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default" w:ascii="楷体" w:hAnsi="楷体" w:eastAsia="楷体" w:cs="楷体"/>
          <w:b/>
          <w:sz w:val="52"/>
          <w:szCs w:val="52"/>
          <w:lang w:val="en-US" w:eastAsia="zh-CN"/>
        </w:rPr>
      </w:pPr>
      <w:bookmarkStart w:id="56" w:name="_GoBack"/>
      <w:bookmarkEnd w:id="56"/>
      <w:r>
        <w:rPr>
          <w:rFonts w:hint="eastAsia" w:ascii="楷体" w:hAnsi="楷体" w:eastAsia="楷体" w:cs="楷体"/>
          <w:b/>
          <w:sz w:val="52"/>
          <w:szCs w:val="52"/>
          <w:lang w:val="en-US" w:eastAsia="zh-CN"/>
        </w:rPr>
        <w:t xml:space="preserve">      </w:t>
      </w:r>
    </w:p>
    <w:p>
      <w:pPr>
        <w:jc w:val="center"/>
        <w:rPr>
          <w:rFonts w:ascii="宋体" w:hAnsi="宋体" w:cs="宋体"/>
          <w:b/>
          <w:sz w:val="56"/>
          <w:szCs w:val="56"/>
        </w:rPr>
      </w:pPr>
      <w:r>
        <w:rPr>
          <w:rFonts w:hint="eastAsia" w:ascii="宋体" w:hAnsi="宋体" w:cs="宋体"/>
          <w:b/>
          <w:sz w:val="56"/>
          <w:szCs w:val="56"/>
        </w:rPr>
        <w:t>涉执房地产处置司法估价报告</w:t>
      </w:r>
    </w:p>
    <w:p>
      <w:pPr>
        <w:jc w:val="center"/>
        <w:rPr>
          <w:rFonts w:ascii="仿宋" w:hAnsi="仿宋" w:eastAsia="仿宋" w:cs="仿宋"/>
          <w:b/>
          <w:sz w:val="52"/>
          <w:szCs w:val="52"/>
        </w:rPr>
      </w:pPr>
    </w:p>
    <w:p>
      <w:pPr>
        <w:jc w:val="center"/>
        <w:rPr>
          <w:rFonts w:ascii="仿宋" w:hAnsi="仿宋" w:eastAsia="仿宋" w:cs="仿宋"/>
          <w:b/>
          <w:sz w:val="52"/>
          <w:szCs w:val="52"/>
        </w:rPr>
      </w:pPr>
    </w:p>
    <w:p>
      <w:pPr>
        <w:jc w:val="both"/>
        <w:rPr>
          <w:rFonts w:ascii="仿宋" w:hAnsi="仿宋" w:eastAsia="仿宋" w:cs="仿宋"/>
          <w:b/>
          <w:sz w:val="52"/>
          <w:szCs w:val="52"/>
        </w:rPr>
      </w:pPr>
    </w:p>
    <w:p>
      <w:pPr>
        <w:spacing w:before="312" w:beforeLines="100"/>
        <w:jc w:val="left"/>
        <w:rPr>
          <w:rFonts w:ascii="仿宋" w:hAnsi="仿宋" w:eastAsia="仿宋" w:cs="仿宋"/>
          <w:bCs/>
          <w:color w:val="000000"/>
          <w:sz w:val="28"/>
          <w:szCs w:val="28"/>
        </w:rPr>
      </w:pPr>
      <w:r>
        <w:rPr>
          <w:rFonts w:hint="eastAsia" w:ascii="仿宋" w:hAnsi="仿宋" w:eastAsia="仿宋" w:cs="仿宋"/>
          <w:b/>
          <w:sz w:val="28"/>
          <w:szCs w:val="28"/>
        </w:rPr>
        <w:t>估价报告编号：</w:t>
      </w:r>
      <w:r>
        <w:rPr>
          <w:rFonts w:hint="eastAsia" w:ascii="仿宋" w:hAnsi="仿宋" w:eastAsia="仿宋" w:cs="仿宋"/>
          <w:bCs/>
          <w:sz w:val="28"/>
          <w:szCs w:val="28"/>
        </w:rPr>
        <w:t>黔昊远房估字（2022）</w:t>
      </w:r>
      <w:r>
        <w:rPr>
          <w:rFonts w:hint="eastAsia" w:ascii="仿宋" w:hAnsi="仿宋" w:eastAsia="仿宋" w:cs="仿宋"/>
          <w:bCs/>
          <w:sz w:val="28"/>
          <w:szCs w:val="28"/>
          <w:lang w:val="en-US" w:eastAsia="zh-CN"/>
        </w:rPr>
        <w:t>第</w:t>
      </w:r>
      <w:r>
        <w:rPr>
          <w:rFonts w:hint="eastAsia" w:ascii="仿宋" w:hAnsi="仿宋" w:eastAsia="仿宋" w:cs="仿宋"/>
          <w:bCs/>
          <w:sz w:val="28"/>
          <w:szCs w:val="28"/>
          <w:lang w:eastAsia="zh-CN"/>
        </w:rPr>
        <w:t>0</w:t>
      </w:r>
      <w:r>
        <w:rPr>
          <w:rFonts w:hint="eastAsia" w:ascii="仿宋" w:hAnsi="仿宋" w:eastAsia="仿宋" w:cs="仿宋"/>
          <w:bCs/>
          <w:sz w:val="28"/>
          <w:szCs w:val="28"/>
          <w:lang w:val="en-US" w:eastAsia="zh-CN"/>
        </w:rPr>
        <w:t>7051</w:t>
      </w:r>
      <w:r>
        <w:rPr>
          <w:rFonts w:hint="eastAsia" w:ascii="仿宋" w:hAnsi="仿宋" w:eastAsia="仿宋" w:cs="仿宋"/>
          <w:bCs/>
          <w:sz w:val="28"/>
          <w:szCs w:val="28"/>
        </w:rPr>
        <w:t>号</w:t>
      </w:r>
    </w:p>
    <w:p>
      <w:pPr>
        <w:spacing w:before="312" w:beforeLines="100"/>
        <w:ind w:left="1940" w:hanging="1940" w:hangingChars="690"/>
        <w:jc w:val="left"/>
        <w:rPr>
          <w:rFonts w:eastAsia="仿宋"/>
          <w:b/>
          <w:sz w:val="28"/>
          <w:szCs w:val="28"/>
        </w:rPr>
      </w:pPr>
      <w:r>
        <w:rPr>
          <w:rFonts w:hint="eastAsia" w:ascii="仿宋" w:hAnsi="仿宋" w:eastAsia="仿宋" w:cs="仿宋"/>
          <w:b/>
          <w:sz w:val="28"/>
          <w:szCs w:val="28"/>
        </w:rPr>
        <w:t>估价项目名称：</w:t>
      </w:r>
      <w:r>
        <w:rPr>
          <w:rFonts w:hint="eastAsia" w:eastAsia="仿宋"/>
          <w:bCs/>
          <w:color w:val="auto"/>
          <w:sz w:val="28"/>
          <w:szCs w:val="28"/>
          <w:lang w:eastAsia="zh-CN"/>
        </w:rPr>
        <w:t>纳雍县居仁街道办事处雍和世纪城5幢27-6号</w:t>
      </w:r>
      <w:r>
        <w:rPr>
          <w:rFonts w:hint="eastAsia" w:eastAsia="仿宋"/>
          <w:bCs/>
          <w:sz w:val="28"/>
          <w:szCs w:val="28"/>
          <w:lang w:eastAsia="zh-CN"/>
        </w:rPr>
        <w:t>住宅</w:t>
      </w:r>
      <w:r>
        <w:rPr>
          <w:rFonts w:eastAsia="仿宋"/>
          <w:bCs/>
          <w:sz w:val="28"/>
          <w:szCs w:val="28"/>
        </w:rPr>
        <w:t>用房房地产市场价值评估</w:t>
      </w:r>
    </w:p>
    <w:p>
      <w:pPr>
        <w:spacing w:before="312" w:beforeLines="100"/>
        <w:jc w:val="left"/>
        <w:rPr>
          <w:rFonts w:hint="default" w:ascii="仿宋" w:hAnsi="仿宋" w:eastAsia="仿宋" w:cs="仿宋"/>
          <w:b w:val="0"/>
          <w:bCs/>
          <w:color w:val="808080" w:themeColor="text1" w:themeTint="80"/>
          <w:sz w:val="28"/>
          <w:szCs w:val="28"/>
          <w:lang w:val="en-US" w:eastAsia="zh-CN"/>
          <w14:textFill>
            <w14:solidFill>
              <w14:schemeClr w14:val="tx1">
                <w14:lumMod w14:val="50000"/>
                <w14:lumOff w14:val="50000"/>
              </w14:schemeClr>
            </w14:solidFill>
          </w14:textFill>
        </w:rPr>
      </w:pPr>
      <w:r>
        <w:rPr>
          <w:rFonts w:hint="eastAsia" w:ascii="仿宋" w:hAnsi="仿宋" w:eastAsia="仿宋" w:cs="仿宋"/>
          <w:b/>
          <w:sz w:val="28"/>
          <w:szCs w:val="28"/>
        </w:rPr>
        <w:t>估价委托人：</w:t>
      </w:r>
      <w:r>
        <w:rPr>
          <w:rFonts w:hint="eastAsia" w:ascii="仿宋" w:hAnsi="仿宋" w:eastAsia="仿宋" w:cs="仿宋"/>
          <w:b w:val="0"/>
          <w:bCs/>
          <w:color w:val="262626" w:themeColor="text1" w:themeTint="D9"/>
          <w:sz w:val="28"/>
          <w:szCs w:val="28"/>
          <w:lang w:val="en-US" w:eastAsia="zh-CN"/>
          <w14:textFill>
            <w14:solidFill>
              <w14:schemeClr w14:val="tx1">
                <w14:lumMod w14:val="85000"/>
                <w14:lumOff w14:val="15000"/>
              </w14:schemeClr>
            </w14:solidFill>
          </w14:textFill>
        </w:rPr>
        <w:t>纳雍县人民法院</w:t>
      </w:r>
    </w:p>
    <w:p>
      <w:pPr>
        <w:spacing w:before="312" w:beforeLines="100"/>
        <w:jc w:val="left"/>
        <w:rPr>
          <w:rFonts w:hint="default" w:ascii="仿宋" w:hAnsi="仿宋" w:eastAsia="仿宋" w:cs="仿宋"/>
          <w:b/>
          <w:sz w:val="28"/>
          <w:szCs w:val="28"/>
          <w:lang w:val="en-US" w:eastAsia="zh-CN"/>
        </w:rPr>
      </w:pPr>
      <w:r>
        <w:rPr>
          <w:rFonts w:hint="eastAsia" w:ascii="仿宋" w:hAnsi="仿宋" w:eastAsia="仿宋" w:cs="仿宋"/>
          <w:b/>
          <w:sz w:val="28"/>
          <w:szCs w:val="28"/>
        </w:rPr>
        <w:t>房地产估价机构：</w:t>
      </w:r>
      <w:r>
        <w:rPr>
          <w:rFonts w:hint="eastAsia" w:ascii="仿宋" w:hAnsi="仿宋" w:eastAsia="仿宋" w:cs="仿宋"/>
          <w:bCs/>
          <w:sz w:val="28"/>
          <w:szCs w:val="28"/>
        </w:rPr>
        <w:t>贵州昊远房地产土地评估有限公司</w:t>
      </w:r>
      <w:r>
        <w:rPr>
          <w:rFonts w:hint="eastAsia" w:ascii="仿宋" w:hAnsi="仿宋" w:eastAsia="仿宋" w:cs="仿宋"/>
          <w:bCs/>
          <w:sz w:val="28"/>
          <w:szCs w:val="28"/>
          <w:lang w:val="en-US" w:eastAsia="zh-CN"/>
        </w:rPr>
        <w:t xml:space="preserve">         </w:t>
      </w:r>
    </w:p>
    <w:p>
      <w:pPr>
        <w:spacing w:before="312" w:beforeLines="100"/>
        <w:jc w:val="left"/>
        <w:rPr>
          <w:rFonts w:ascii="仿宋" w:hAnsi="仿宋" w:eastAsia="仿宋" w:cs="仿宋"/>
          <w:bCs/>
          <w:sz w:val="28"/>
          <w:szCs w:val="28"/>
        </w:rPr>
      </w:pPr>
      <w:r>
        <w:rPr>
          <w:rFonts w:hint="eastAsia" w:ascii="仿宋" w:hAnsi="仿宋" w:eastAsia="仿宋" w:cs="仿宋"/>
          <w:b/>
          <w:sz w:val="28"/>
          <w:szCs w:val="28"/>
        </w:rPr>
        <w:t>注册房地产估价师：</w:t>
      </w:r>
      <w:r>
        <w:rPr>
          <w:rFonts w:hint="eastAsia" w:ascii="仿宋" w:hAnsi="仿宋" w:eastAsia="仿宋" w:cs="仿宋"/>
          <w:bCs/>
          <w:sz w:val="28"/>
          <w:szCs w:val="28"/>
        </w:rPr>
        <w:t>覃  剑（注册号：</w:t>
      </w:r>
      <w:r>
        <w:rPr>
          <w:rFonts w:hint="eastAsia" w:eastAsia="仿宋_GB2312"/>
          <w:bCs/>
          <w:color w:val="000000"/>
          <w:sz w:val="28"/>
          <w:szCs w:val="28"/>
        </w:rPr>
        <w:t>5220040052</w:t>
      </w:r>
      <w:r>
        <w:rPr>
          <w:rFonts w:hint="eastAsia" w:ascii="仿宋" w:hAnsi="仿宋" w:eastAsia="仿宋" w:cs="仿宋"/>
          <w:bCs/>
          <w:sz w:val="28"/>
          <w:szCs w:val="28"/>
        </w:rPr>
        <w:t>）  杨青钢（注册号：</w:t>
      </w:r>
      <w:r>
        <w:rPr>
          <w:rFonts w:hint="eastAsia" w:eastAsia="仿宋_GB2312"/>
          <w:bCs/>
          <w:color w:val="000000"/>
          <w:sz w:val="28"/>
          <w:szCs w:val="28"/>
        </w:rPr>
        <w:t>5220200026</w:t>
      </w:r>
      <w:r>
        <w:rPr>
          <w:rFonts w:hint="eastAsia" w:ascii="仿宋" w:hAnsi="仿宋" w:eastAsia="仿宋" w:cs="仿宋"/>
          <w:bCs/>
          <w:sz w:val="28"/>
          <w:szCs w:val="28"/>
        </w:rPr>
        <w:t>）</w:t>
      </w:r>
    </w:p>
    <w:p>
      <w:pPr>
        <w:spacing w:before="312" w:beforeLines="100"/>
        <w:jc w:val="left"/>
        <w:rPr>
          <w:rFonts w:hint="eastAsia" w:eastAsia="仿宋"/>
          <w:b/>
          <w:bCs/>
          <w:color w:val="000000"/>
          <w:sz w:val="26"/>
          <w:szCs w:val="26"/>
          <w:lang w:eastAsia="zh-CN"/>
        </w:rPr>
      </w:pPr>
      <w:r>
        <w:rPr>
          <w:rFonts w:hint="eastAsia" w:ascii="仿宋" w:hAnsi="仿宋" w:eastAsia="仿宋" w:cs="仿宋"/>
          <w:b/>
          <w:sz w:val="28"/>
          <w:szCs w:val="28"/>
        </w:rPr>
        <w:t>估价报告出具日期：</w:t>
      </w:r>
      <w:r>
        <w:rPr>
          <w:rFonts w:hint="eastAsia" w:eastAsia="仿宋_GB2312"/>
          <w:color w:val="000000"/>
          <w:sz w:val="28"/>
          <w:szCs w:val="28"/>
          <w:lang w:eastAsia="zh-CN"/>
        </w:rPr>
        <w:t>2022年</w:t>
      </w:r>
      <w:r>
        <w:rPr>
          <w:rFonts w:hint="eastAsia" w:eastAsia="仿宋_GB2312"/>
          <w:color w:val="000000"/>
          <w:sz w:val="28"/>
          <w:szCs w:val="28"/>
          <w:lang w:val="en-US" w:eastAsia="zh-CN"/>
        </w:rPr>
        <w:t>8</w:t>
      </w:r>
      <w:r>
        <w:rPr>
          <w:rFonts w:hint="eastAsia" w:eastAsia="仿宋_GB2312"/>
          <w:color w:val="000000"/>
          <w:sz w:val="28"/>
          <w:szCs w:val="28"/>
          <w:lang w:eastAsia="zh-CN"/>
        </w:rPr>
        <w:t>月</w:t>
      </w:r>
      <w:r>
        <w:rPr>
          <w:rFonts w:hint="eastAsia" w:eastAsia="仿宋_GB2312"/>
          <w:color w:val="000000"/>
          <w:sz w:val="28"/>
          <w:szCs w:val="28"/>
          <w:lang w:val="en-US" w:eastAsia="zh-CN"/>
        </w:rPr>
        <w:t>15</w:t>
      </w:r>
      <w:r>
        <w:rPr>
          <w:rFonts w:hint="eastAsia" w:eastAsia="仿宋_GB2312"/>
          <w:color w:val="000000"/>
          <w:sz w:val="28"/>
          <w:szCs w:val="28"/>
          <w:lang w:eastAsia="zh-CN"/>
        </w:rPr>
        <w:t>日</w:t>
      </w:r>
    </w:p>
    <w:p>
      <w:pPr>
        <w:jc w:val="center"/>
        <w:rPr>
          <w:rFonts w:ascii="仿宋" w:hAnsi="仿宋" w:eastAsia="仿宋" w:cs="仿宋"/>
          <w:b/>
          <w:sz w:val="28"/>
          <w:szCs w:val="28"/>
        </w:rPr>
      </w:pPr>
    </w:p>
    <w:p>
      <w:pPr>
        <w:spacing w:line="360" w:lineRule="auto"/>
        <w:jc w:val="left"/>
        <w:rPr>
          <w:rFonts w:ascii="仿宋" w:hAnsi="仿宋" w:eastAsia="仿宋" w:cs="仿宋"/>
          <w:b/>
          <w:sz w:val="28"/>
          <w:szCs w:val="28"/>
        </w:rPr>
        <w:sectPr>
          <w:headerReference r:id="rId3" w:type="default"/>
          <w:footerReference r:id="rId4" w:type="default"/>
          <w:endnotePr>
            <w:numFmt w:val="decimal"/>
          </w:endnotePr>
          <w:pgSz w:w="11906" w:h="16838"/>
          <w:pgMar w:top="1440" w:right="1080" w:bottom="1440" w:left="1080" w:header="851" w:footer="992" w:gutter="0"/>
          <w:pgNumType w:chapStyle="1"/>
          <w:cols w:space="720" w:num="1"/>
          <w:docGrid w:type="lines" w:linePitch="312" w:charSpace="0"/>
        </w:sectPr>
      </w:pPr>
    </w:p>
    <w:p>
      <w:pPr>
        <w:jc w:val="center"/>
        <w:rPr>
          <w:rFonts w:ascii="仿宋" w:hAnsi="仿宋" w:eastAsia="仿宋" w:cs="仿宋"/>
          <w:b/>
          <w:sz w:val="52"/>
          <w:szCs w:val="52"/>
        </w:rPr>
      </w:pPr>
      <w:r>
        <w:rPr>
          <w:rFonts w:hint="eastAsia" w:ascii="仿宋" w:hAnsi="仿宋" w:eastAsia="仿宋" w:cs="仿宋"/>
          <w:b/>
          <w:sz w:val="52"/>
          <w:szCs w:val="52"/>
        </w:rPr>
        <w:t>致估价委托人函</w:t>
      </w:r>
    </w:p>
    <w:p>
      <w:pPr>
        <w:keepNext w:val="0"/>
        <w:keepLines w:val="0"/>
        <w:pageBreakBefore w:val="0"/>
        <w:kinsoku/>
        <w:wordWrap/>
        <w:overflowPunct/>
        <w:topLinePunct w:val="0"/>
        <w:autoSpaceDE/>
        <w:autoSpaceDN/>
        <w:bidi w:val="0"/>
        <w:spacing w:before="312" w:beforeLines="100" w:line="480" w:lineRule="exact"/>
        <w:jc w:val="left"/>
        <w:rPr>
          <w:rFonts w:ascii="仿宋" w:hAnsi="仿宋" w:eastAsia="仿宋" w:cs="仿宋"/>
          <w:bCs/>
          <w:color w:val="0000FF"/>
          <w:sz w:val="24"/>
        </w:rPr>
      </w:pPr>
      <w:r>
        <w:rPr>
          <w:rFonts w:hint="eastAsia" w:ascii="仿宋" w:hAnsi="仿宋" w:eastAsia="仿宋" w:cs="仿宋"/>
          <w:b/>
          <w:sz w:val="28"/>
          <w:szCs w:val="28"/>
          <w:lang w:eastAsia="zh-CN"/>
        </w:rPr>
        <w:t>纳雍县人民法院</w:t>
      </w:r>
      <w:r>
        <w:rPr>
          <w:rFonts w:hint="eastAsia" w:ascii="仿宋" w:hAnsi="仿宋" w:eastAsia="仿宋" w:cs="仿宋"/>
          <w:b/>
          <w:sz w:val="28"/>
          <w:szCs w:val="28"/>
        </w:rPr>
        <w:t>：</w:t>
      </w:r>
      <w:r>
        <w:rPr>
          <w:rFonts w:hint="eastAsia" w:ascii="仿宋" w:hAnsi="仿宋" w:eastAsia="仿宋" w:cs="仿宋"/>
          <w:bCs/>
          <w:color w:val="0000FF"/>
          <w:sz w:val="24"/>
        </w:rPr>
        <w:t xml:space="preserve">  </w:t>
      </w:r>
    </w:p>
    <w:p>
      <w:pPr>
        <w:keepNext w:val="0"/>
        <w:keepLines w:val="0"/>
        <w:pageBreakBefore w:val="0"/>
        <w:kinsoku/>
        <w:wordWrap/>
        <w:overflowPunct/>
        <w:topLinePunct w:val="0"/>
        <w:autoSpaceDE/>
        <w:autoSpaceDN/>
        <w:bidi w:val="0"/>
        <w:spacing w:before="312" w:beforeLines="100" w:line="480" w:lineRule="exact"/>
        <w:ind w:right="168" w:rightChars="80" w:firstLine="520" w:firstLineChars="200"/>
        <w:jc w:val="left"/>
        <w:rPr>
          <w:rFonts w:eastAsia="仿宋_GB2312"/>
          <w:color w:val="000000" w:themeColor="text1"/>
          <w:sz w:val="26"/>
          <w:szCs w:val="26"/>
          <w14:textFill>
            <w14:solidFill>
              <w14:schemeClr w14:val="tx1"/>
            </w14:solidFill>
          </w14:textFill>
        </w:rPr>
      </w:pPr>
      <w:r>
        <w:rPr>
          <w:rFonts w:hint="eastAsia" w:eastAsia="仿宋_GB2312"/>
          <w:color w:val="000000"/>
          <w:sz w:val="26"/>
          <w:szCs w:val="26"/>
        </w:rPr>
        <w:t>受贵院的委托，我公司对贵院委托的位于</w:t>
      </w:r>
      <w:r>
        <w:rPr>
          <w:rFonts w:hint="eastAsia" w:eastAsia="仿宋_GB2312"/>
          <w:color w:val="000000"/>
          <w:sz w:val="26"/>
          <w:szCs w:val="26"/>
          <w:lang w:eastAsia="zh-CN"/>
        </w:rPr>
        <w:t>纳雍县居仁街道办事处雍和世纪城5幢27-6号住宅</w:t>
      </w:r>
      <w:r>
        <w:rPr>
          <w:rFonts w:hint="eastAsia" w:eastAsia="仿宋_GB2312"/>
          <w:color w:val="000000"/>
          <w:sz w:val="26"/>
          <w:szCs w:val="26"/>
        </w:rPr>
        <w:t>用</w:t>
      </w:r>
      <w:r>
        <w:rPr>
          <w:rFonts w:hint="eastAsia" w:eastAsia="仿宋_GB2312"/>
          <w:color w:val="000000"/>
          <w:sz w:val="26"/>
          <w:szCs w:val="26"/>
          <w:lang w:val="en-US" w:eastAsia="zh-CN"/>
        </w:rPr>
        <w:t>途</w:t>
      </w:r>
      <w:r>
        <w:rPr>
          <w:rFonts w:hint="eastAsia" w:eastAsia="仿宋_GB2312"/>
          <w:color w:val="000000"/>
          <w:sz w:val="26"/>
          <w:szCs w:val="26"/>
        </w:rPr>
        <w:t>房地产</w:t>
      </w:r>
      <w:r>
        <w:rPr>
          <w:rFonts w:hint="eastAsia" w:eastAsia="仿宋_GB2312"/>
          <w:color w:val="000000"/>
          <w:sz w:val="26"/>
          <w:szCs w:val="26"/>
          <w:lang w:eastAsia="zh-CN"/>
        </w:rPr>
        <w:t>（</w:t>
      </w:r>
      <w:r>
        <w:rPr>
          <w:rFonts w:hint="eastAsia" w:eastAsia="仿宋_GB2312"/>
          <w:color w:val="000000"/>
          <w:sz w:val="26"/>
          <w:szCs w:val="26"/>
          <w:lang w:val="en-US" w:eastAsia="zh-CN"/>
        </w:rPr>
        <w:t>权利人；李群、张树维；</w:t>
      </w:r>
      <w:r>
        <w:rPr>
          <w:rFonts w:hint="eastAsia" w:eastAsia="仿宋_GB2312"/>
          <w:color w:val="000000"/>
          <w:sz w:val="26"/>
          <w:szCs w:val="26"/>
        </w:rPr>
        <w:t>建筑面积</w:t>
      </w:r>
      <w:r>
        <w:rPr>
          <w:rFonts w:hint="eastAsia" w:eastAsia="仿宋_GB2312"/>
          <w:color w:val="000000" w:themeColor="text1"/>
          <w:sz w:val="26"/>
          <w:szCs w:val="26"/>
          <w:lang w:val="en-US" w:eastAsia="zh-CN"/>
          <w14:textFill>
            <w14:solidFill>
              <w14:schemeClr w14:val="tx1"/>
            </w14:solidFill>
          </w14:textFill>
        </w:rPr>
        <w:t>130.46</w:t>
      </w:r>
      <w:r>
        <w:rPr>
          <w:rFonts w:hint="eastAsia" w:eastAsia="仿宋_GB2312"/>
          <w:color w:val="000000" w:themeColor="text1"/>
          <w:sz w:val="26"/>
          <w:szCs w:val="26"/>
          <w14:textFill>
            <w14:solidFill>
              <w14:schemeClr w14:val="tx1"/>
            </w14:solidFill>
          </w14:textFill>
        </w:rPr>
        <w:t>平方米）进行估价；本次估价包含房屋价值、相应分摊的土地使用权价值、不可分离的设施设备及装修价值，但不包括室内可移动物品、设备等动产以及估价对象所涉及的债权债务等其他财产或权益；估价目的是为人民法院确定财产处置参考价提供参考依据而评估房地产市场价值；</w:t>
      </w:r>
      <w:r>
        <w:rPr>
          <w:rFonts w:hint="eastAsia" w:eastAsia="仿宋_GB2312"/>
          <w:color w:val="000000" w:themeColor="text1"/>
          <w:sz w:val="26"/>
          <w:szCs w:val="26"/>
          <w:lang w:eastAsia="zh-CN"/>
          <w14:textFill>
            <w14:solidFill>
              <w14:schemeClr w14:val="tx1"/>
            </w14:solidFill>
          </w14:textFill>
        </w:rPr>
        <w:t>价值时点为2022年07月</w:t>
      </w:r>
      <w:r>
        <w:rPr>
          <w:rFonts w:hint="eastAsia" w:eastAsia="仿宋_GB2312"/>
          <w:color w:val="000000" w:themeColor="text1"/>
          <w:sz w:val="26"/>
          <w:szCs w:val="26"/>
          <w:lang w:val="en-US" w:eastAsia="zh-CN"/>
          <w14:textFill>
            <w14:solidFill>
              <w14:schemeClr w14:val="tx1"/>
            </w14:solidFill>
          </w14:textFill>
        </w:rPr>
        <w:t>27</w:t>
      </w:r>
      <w:r>
        <w:rPr>
          <w:rFonts w:hint="eastAsia" w:eastAsia="仿宋_GB2312"/>
          <w:color w:val="000000" w:themeColor="text1"/>
          <w:sz w:val="26"/>
          <w:szCs w:val="26"/>
          <w:lang w:eastAsia="zh-CN"/>
          <w14:textFill>
            <w14:solidFill>
              <w14:schemeClr w14:val="tx1"/>
            </w14:solidFill>
          </w14:textFill>
        </w:rPr>
        <w:t>日</w:t>
      </w:r>
      <w:r>
        <w:rPr>
          <w:rFonts w:hint="eastAsia" w:eastAsia="仿宋_GB2312"/>
          <w:color w:val="000000" w:themeColor="text1"/>
          <w:sz w:val="26"/>
          <w:szCs w:val="26"/>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firstLine="520" w:firstLineChars="200"/>
        <w:jc w:val="left"/>
        <w:textAlignment w:val="auto"/>
        <w:rPr>
          <w:rFonts w:hint="eastAsia" w:eastAsia="仿宋_GB2312"/>
          <w:color w:val="000000" w:themeColor="text1"/>
          <w:sz w:val="26"/>
          <w:szCs w:val="26"/>
          <w14:textFill>
            <w14:solidFill>
              <w14:schemeClr w14:val="tx1"/>
            </w14:solidFill>
          </w14:textFill>
        </w:rPr>
      </w:pPr>
      <w:r>
        <w:rPr>
          <w:rFonts w:eastAsia="仿宋_GB2312"/>
          <w:color w:val="000000" w:themeColor="text1"/>
          <w:sz w:val="26"/>
          <w:szCs w:val="26"/>
          <w14:textFill>
            <w14:solidFill>
              <w14:schemeClr w14:val="tx1"/>
            </w14:solidFill>
          </w14:textFill>
        </w:rPr>
        <w:t>估价人员根据估价目的，经过市场调查和实地查勘，依据《房地产估价规范》</w:t>
      </w:r>
      <w:r>
        <w:rPr>
          <w:rFonts w:hint="eastAsia" w:eastAsia="仿宋_GB2312"/>
          <w:color w:val="000000" w:themeColor="text1"/>
          <w:sz w:val="26"/>
          <w:szCs w:val="26"/>
          <w14:textFill>
            <w14:solidFill>
              <w14:schemeClr w14:val="tx1"/>
            </w14:solidFill>
          </w14:textFill>
        </w:rPr>
        <w:t>（GB/T 50291—2015）</w:t>
      </w:r>
      <w:r>
        <w:rPr>
          <w:rFonts w:eastAsia="仿宋_GB2312"/>
          <w:color w:val="000000" w:themeColor="text1"/>
          <w:sz w:val="26"/>
          <w:szCs w:val="26"/>
          <w14:textFill>
            <w14:solidFill>
              <w14:schemeClr w14:val="tx1"/>
            </w14:solidFill>
          </w14:textFill>
        </w:rPr>
        <w:t>、</w:t>
      </w:r>
      <w:r>
        <w:rPr>
          <w:rFonts w:hint="eastAsia" w:eastAsia="仿宋_GB2312"/>
          <w:color w:val="000000" w:themeColor="text1"/>
          <w:sz w:val="26"/>
          <w:szCs w:val="26"/>
          <w14:textFill>
            <w14:solidFill>
              <w14:schemeClr w14:val="tx1"/>
            </w14:solidFill>
          </w14:textFill>
        </w:rPr>
        <w:t>《房地产估价基本术语标准》（GB/T 50899—2013）、</w:t>
      </w:r>
      <w:r>
        <w:rPr>
          <w:rFonts w:eastAsia="仿宋_GB2312"/>
          <w:color w:val="000000" w:themeColor="text1"/>
          <w:sz w:val="26"/>
          <w:szCs w:val="26"/>
          <w14:textFill>
            <w14:solidFill>
              <w14:schemeClr w14:val="tx1"/>
            </w14:solidFill>
          </w14:textFill>
        </w:rPr>
        <w:t>《最高人民法院关于人民法院确定财产处置参考价若干问题的规定 》（法释〔2018〕15号）及其他相关法律法规</w:t>
      </w:r>
      <w:r>
        <w:rPr>
          <w:rFonts w:hint="eastAsia" w:eastAsia="仿宋_GB2312"/>
          <w:color w:val="000000" w:themeColor="text1"/>
          <w:sz w:val="26"/>
          <w:szCs w:val="26"/>
          <w14:textFill>
            <w14:solidFill>
              <w14:schemeClr w14:val="tx1"/>
            </w14:solidFill>
          </w14:textFill>
        </w:rPr>
        <w:t>，遵循估价原则，履行必要的估价程序，</w:t>
      </w:r>
      <w:r>
        <w:rPr>
          <w:rFonts w:eastAsia="仿宋_GB2312"/>
          <w:color w:val="000000" w:themeColor="text1"/>
          <w:sz w:val="26"/>
          <w:szCs w:val="26"/>
          <w14:textFill>
            <w14:solidFill>
              <w14:schemeClr w14:val="tx1"/>
            </w14:solidFill>
          </w14:textFill>
        </w:rPr>
        <w:t>运</w:t>
      </w:r>
      <w:r>
        <w:rPr>
          <w:rFonts w:hint="eastAsia" w:eastAsia="仿宋_GB2312"/>
          <w:color w:val="000000" w:themeColor="text1"/>
          <w:sz w:val="26"/>
          <w:szCs w:val="26"/>
          <w14:textFill>
            <w14:solidFill>
              <w14:schemeClr w14:val="tx1"/>
            </w14:solidFill>
          </w14:textFill>
        </w:rPr>
        <w:t>用比较法</w:t>
      </w:r>
      <w:r>
        <w:rPr>
          <w:rFonts w:eastAsia="仿宋_GB2312"/>
          <w:color w:val="000000" w:themeColor="text1"/>
          <w:sz w:val="26"/>
          <w:szCs w:val="26"/>
          <w14:textFill>
            <w14:solidFill>
              <w14:schemeClr w14:val="tx1"/>
            </w14:solidFill>
          </w14:textFill>
        </w:rPr>
        <w:t>对估价对象的市场价值进行测算</w:t>
      </w:r>
      <w:r>
        <w:rPr>
          <w:rFonts w:hint="eastAsia" w:eastAsia="仿宋_GB2312"/>
          <w:color w:val="000000" w:themeColor="text1"/>
          <w:sz w:val="26"/>
          <w:szCs w:val="26"/>
          <w14:textFill>
            <w14:solidFill>
              <w14:schemeClr w14:val="tx1"/>
            </w14:solidFill>
          </w14:textFill>
        </w:rPr>
        <w:t>，并结合估价经验和对影响价值因素的分析，在满足本次估价的假设和限制条件下，确定估价对象于价值时点</w:t>
      </w:r>
      <w:r>
        <w:rPr>
          <w:rFonts w:hint="eastAsia" w:eastAsia="仿宋_GB2312"/>
          <w:color w:val="000000" w:themeColor="text1"/>
          <w:sz w:val="26"/>
          <w:szCs w:val="26"/>
          <w:lang w:val="en-US" w:eastAsia="zh-CN"/>
          <w14:textFill>
            <w14:solidFill>
              <w14:schemeClr w14:val="tx1"/>
            </w14:solidFill>
          </w14:textFill>
        </w:rPr>
        <w:t>为</w:t>
      </w:r>
      <w:r>
        <w:rPr>
          <w:rFonts w:hint="eastAsia" w:eastAsia="仿宋_GB2312"/>
          <w:color w:val="000000" w:themeColor="text1"/>
          <w:sz w:val="26"/>
          <w:szCs w:val="26"/>
          <w:lang w:eastAsia="zh-CN"/>
          <w14:textFill>
            <w14:solidFill>
              <w14:schemeClr w14:val="tx1"/>
            </w14:solidFill>
          </w14:textFill>
        </w:rPr>
        <w:t>2022年07月</w:t>
      </w:r>
      <w:r>
        <w:rPr>
          <w:rFonts w:hint="eastAsia" w:eastAsia="仿宋_GB2312"/>
          <w:color w:val="000000" w:themeColor="text1"/>
          <w:sz w:val="26"/>
          <w:szCs w:val="26"/>
          <w:lang w:val="en-US" w:eastAsia="zh-CN"/>
          <w14:textFill>
            <w14:solidFill>
              <w14:schemeClr w14:val="tx1"/>
            </w14:solidFill>
          </w14:textFill>
        </w:rPr>
        <w:t>27</w:t>
      </w:r>
      <w:r>
        <w:rPr>
          <w:rFonts w:hint="eastAsia" w:eastAsia="仿宋_GB2312"/>
          <w:color w:val="000000" w:themeColor="text1"/>
          <w:sz w:val="26"/>
          <w:szCs w:val="26"/>
          <w:lang w:eastAsia="zh-CN"/>
          <w14:textFill>
            <w14:solidFill>
              <w14:schemeClr w14:val="tx1"/>
            </w14:solidFill>
          </w14:textFill>
        </w:rPr>
        <w:t>日</w:t>
      </w:r>
      <w:r>
        <w:rPr>
          <w:rFonts w:hint="eastAsia" w:eastAsia="仿宋_GB2312"/>
          <w:color w:val="000000" w:themeColor="text1"/>
          <w:sz w:val="26"/>
          <w:szCs w:val="26"/>
          <w14:textFill>
            <w14:solidFill>
              <w14:schemeClr w14:val="tx1"/>
            </w14:solidFill>
          </w14:textFill>
        </w:rPr>
        <w:t>的市场价值合计为</w:t>
      </w:r>
      <w:r>
        <w:rPr>
          <w:rFonts w:eastAsia="仿宋_GB2312"/>
          <w:b/>
          <w:bCs/>
          <w:color w:val="000000" w:themeColor="text1"/>
          <w:sz w:val="26"/>
          <w:szCs w:val="26"/>
          <w14:textFill>
            <w14:solidFill>
              <w14:schemeClr w14:val="tx1"/>
            </w14:solidFill>
          </w14:textFill>
        </w:rPr>
        <w:t>人民币</w:t>
      </w:r>
      <w:r>
        <w:rPr>
          <w:rFonts w:hint="eastAsia" w:eastAsia="仿宋_GB2312"/>
          <w:b/>
          <w:bCs/>
          <w:color w:val="000000" w:themeColor="text1"/>
          <w:sz w:val="26"/>
          <w:szCs w:val="26"/>
          <w:lang w:val="en-US" w:eastAsia="zh-CN"/>
          <w14:textFill>
            <w14:solidFill>
              <w14:schemeClr w14:val="tx1"/>
            </w14:solidFill>
          </w14:textFill>
        </w:rPr>
        <w:fldChar w:fldCharType="begin"/>
      </w:r>
      <w:r>
        <w:rPr>
          <w:rFonts w:hint="eastAsia" w:eastAsia="仿宋_GB2312"/>
          <w:b/>
          <w:bCs/>
          <w:color w:val="000000" w:themeColor="text1"/>
          <w:sz w:val="26"/>
          <w:szCs w:val="26"/>
          <w:lang w:val="en-US" w:eastAsia="zh-CN"/>
          <w14:textFill>
            <w14:solidFill>
              <w14:schemeClr w14:val="tx1"/>
            </w14:solidFill>
          </w14:textFill>
        </w:rPr>
        <w:instrText xml:space="preserve"> = 538800 \* CHINESENUM2 \* MERGEFORMAT </w:instrText>
      </w:r>
      <w:r>
        <w:rPr>
          <w:rFonts w:hint="eastAsia" w:eastAsia="仿宋_GB2312"/>
          <w:b/>
          <w:bCs/>
          <w:color w:val="000000" w:themeColor="text1"/>
          <w:sz w:val="26"/>
          <w:szCs w:val="26"/>
          <w:lang w:val="en-US" w:eastAsia="zh-CN"/>
          <w14:textFill>
            <w14:solidFill>
              <w14:schemeClr w14:val="tx1"/>
            </w14:solidFill>
          </w14:textFill>
        </w:rPr>
        <w:fldChar w:fldCharType="separate"/>
      </w:r>
      <w:r>
        <w:rPr>
          <w:rFonts w:eastAsia="仿宋_GB2312"/>
          <w:b/>
          <w:bCs/>
          <w:color w:val="000000" w:themeColor="text1"/>
          <w:sz w:val="26"/>
          <w:szCs w:val="26"/>
          <w14:textFill>
            <w14:solidFill>
              <w14:schemeClr w14:val="tx1"/>
            </w14:solidFill>
          </w14:textFill>
        </w:rPr>
        <w:t>伍拾叁万捌仟捌佰</w:t>
      </w:r>
      <w:r>
        <w:rPr>
          <w:rFonts w:hint="eastAsia" w:eastAsia="仿宋_GB2312"/>
          <w:b/>
          <w:bCs/>
          <w:color w:val="000000" w:themeColor="text1"/>
          <w:sz w:val="26"/>
          <w:szCs w:val="26"/>
          <w:lang w:val="en-US" w:eastAsia="zh-CN"/>
          <w14:textFill>
            <w14:solidFill>
              <w14:schemeClr w14:val="tx1"/>
            </w14:solidFill>
          </w14:textFill>
        </w:rPr>
        <w:fldChar w:fldCharType="end"/>
      </w:r>
      <w:r>
        <w:rPr>
          <w:rFonts w:eastAsia="仿宋_GB2312"/>
          <w:b/>
          <w:bCs/>
          <w:color w:val="000000" w:themeColor="text1"/>
          <w:sz w:val="26"/>
          <w:szCs w:val="26"/>
          <w14:textFill>
            <w14:solidFill>
              <w14:schemeClr w14:val="tx1"/>
            </w14:solidFill>
          </w14:textFill>
        </w:rPr>
        <w:t>元整</w:t>
      </w:r>
      <w:r>
        <w:rPr>
          <w:rFonts w:hint="eastAsia" w:eastAsia="仿宋_GB2312"/>
          <w:b/>
          <w:bCs/>
          <w:color w:val="000000" w:themeColor="text1"/>
          <w:sz w:val="26"/>
          <w:szCs w:val="26"/>
          <w14:textFill>
            <w14:solidFill>
              <w14:schemeClr w14:val="tx1"/>
            </w14:solidFill>
          </w14:textFill>
        </w:rPr>
        <w:t>（¥</w:t>
      </w:r>
      <w:r>
        <w:rPr>
          <w:rFonts w:hint="eastAsia" w:eastAsia="仿宋_GB2312"/>
          <w:b/>
          <w:bCs/>
          <w:color w:val="000000" w:themeColor="text1"/>
          <w:sz w:val="26"/>
          <w:szCs w:val="26"/>
          <w:lang w:val="en-US" w:eastAsia="zh-CN"/>
          <w14:textFill>
            <w14:solidFill>
              <w14:schemeClr w14:val="tx1"/>
            </w14:solidFill>
          </w14:textFill>
        </w:rPr>
        <w:t>53.88</w:t>
      </w:r>
      <w:r>
        <w:rPr>
          <w:rFonts w:hint="eastAsia" w:eastAsia="仿宋_GB2312"/>
          <w:b/>
          <w:bCs/>
          <w:color w:val="000000" w:themeColor="text1"/>
          <w:sz w:val="26"/>
          <w:szCs w:val="26"/>
          <w14:textFill>
            <w14:solidFill>
              <w14:schemeClr w14:val="tx1"/>
            </w14:solidFill>
          </w14:textFill>
        </w:rPr>
        <w:t>万元）</w:t>
      </w:r>
      <w:r>
        <w:rPr>
          <w:rFonts w:hint="eastAsia" w:eastAsia="仿宋_GB2312"/>
          <w:color w:val="000000" w:themeColor="text1"/>
          <w:sz w:val="26"/>
          <w:szCs w:val="26"/>
          <w14:textFill>
            <w14:solidFill>
              <w14:schemeClr w14:val="tx1"/>
            </w14:solidFill>
          </w14:textFill>
        </w:rPr>
        <w:t>。详见下表：</w:t>
      </w:r>
    </w:p>
    <w:tbl>
      <w:tblPr>
        <w:tblStyle w:val="24"/>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84"/>
        <w:gridCol w:w="1163"/>
        <w:gridCol w:w="1650"/>
        <w:gridCol w:w="1995"/>
        <w:gridCol w:w="1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9620" w:type="dxa"/>
            <w:gridSpan w:val="5"/>
            <w:tcBorders>
              <w:top w:val="nil"/>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680" w:lineRule="exact"/>
              <w:jc w:val="center"/>
              <w:textAlignment w:val="auto"/>
              <w:outlineLvl w:val="9"/>
              <w:rPr>
                <w:rFonts w:hint="eastAsia" w:ascii="仿宋" w:hAnsi="仿宋" w:eastAsia="仿宋" w:cs="仿宋"/>
                <w:color w:val="000000"/>
                <w:sz w:val="28"/>
                <w:szCs w:val="28"/>
                <w:vertAlign w:val="baseline"/>
                <w:lang w:val="en-US" w:eastAsia="zh-CN"/>
              </w:rPr>
            </w:pPr>
            <w:r>
              <w:rPr>
                <w:rFonts w:hint="eastAsia" w:ascii="仿宋" w:hAnsi="仿宋" w:eastAsia="仿宋" w:cs="仿宋"/>
                <w:b/>
                <w:i w:val="0"/>
                <w:color w:val="000000"/>
                <w:kern w:val="0"/>
                <w:sz w:val="28"/>
                <w:szCs w:val="28"/>
                <w:u w:val="none"/>
                <w:lang w:val="en-US" w:eastAsia="zh-CN" w:bidi="ar"/>
              </w:rPr>
              <w:t>房地产估价结果汇总表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620" w:type="dxa"/>
            <w:gridSpan w:val="5"/>
            <w:tcBorders>
              <w:top w:val="nil"/>
              <w:left w:val="nil"/>
              <w:bottom w:val="single" w:color="auto" w:sz="4" w:space="0"/>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680" w:lineRule="exact"/>
              <w:jc w:val="center"/>
              <w:textAlignment w:val="auto"/>
              <w:outlineLvl w:val="9"/>
              <w:rPr>
                <w:rFonts w:hint="eastAsia" w:ascii="仿宋" w:hAnsi="仿宋" w:eastAsia="仿宋" w:cs="仿宋"/>
                <w:color w:val="000000"/>
                <w:sz w:val="28"/>
                <w:szCs w:val="28"/>
                <w:vertAlign w:val="baseline"/>
                <w:lang w:val="en-US" w:eastAsia="zh-CN"/>
              </w:rPr>
            </w:pPr>
            <w:r>
              <w:rPr>
                <w:rFonts w:hint="eastAsia" w:ascii="仿宋" w:hAnsi="仿宋" w:eastAsia="仿宋" w:cs="仿宋"/>
                <w:b/>
                <w:bCs/>
                <w:color w:val="000000"/>
                <w:kern w:val="0"/>
                <w:sz w:val="24"/>
                <w:lang w:val="en-US" w:eastAsia="zh-CN"/>
              </w:rPr>
              <w:t xml:space="preserve">                                                         </w:t>
            </w:r>
            <w:r>
              <w:rPr>
                <w:rFonts w:hint="eastAsia" w:ascii="仿宋" w:hAnsi="仿宋" w:eastAsia="仿宋" w:cs="仿宋"/>
                <w:b/>
                <w:bCs/>
                <w:color w:val="000000"/>
                <w:kern w:val="0"/>
                <w:sz w:val="24"/>
              </w:rPr>
              <w:t>币种：人民币</w:t>
            </w:r>
            <w:r>
              <w:rPr>
                <w:rFonts w:hint="eastAsia" w:ascii="仿宋" w:hAnsi="仿宋" w:eastAsia="仿宋" w:cs="仿宋"/>
                <w:b/>
                <w:bCs/>
                <w:color w:val="000000"/>
                <w:kern w:val="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5797" w:type="dxa"/>
            <w:gridSpan w:val="3"/>
            <w:tcBorders>
              <w:top w:val="single" w:color="auto" w:sz="4" w:space="0"/>
            </w:tcBorders>
            <w:noWrap w:val="0"/>
            <w:vAlign w:val="top"/>
            <mc:AlternateContent>
              <mc:Choice Requires="wpsCustomData">
                <wpsCustomData:diagonals>
                  <wpsCustomData:diagonal from="30000" to="10000">
                    <wpsCustomData:border w:val="single" w:color="auto" w:sz="4" w:space="0"/>
                  </wpsCustomData:diagonal>
                </wpsCustomData:diagonals>
              </mc:Choice>
            </mc:AlternateContent>
          </w:tcPr>
          <w:p>
            <w:pPr>
              <w:widowControl/>
              <w:jc w:val="center"/>
              <w:rPr>
                <w:rFonts w:hint="eastAsia" w:ascii="仿宋" w:hAnsi="仿宋" w:eastAsia="仿宋" w:cs="仿宋"/>
                <w:b/>
                <w:bCs/>
                <w:color w:val="000000"/>
                <w:kern w:val="0"/>
                <w:szCs w:val="21"/>
                <w:lang w:val="en-US" w:eastAsia="zh-CN"/>
              </w:rPr>
            </w:pPr>
          </w:p>
          <w:p>
            <w:pPr>
              <w:widowControl/>
              <w:jc w:val="both"/>
              <mc:AlternateContent>
                <mc:Choice Requires="wpsCustomData">
                  <wpsCustomData:diagonalParaType/>
                </mc:Choice>
              </mc:AlternateContent>
              <w:rPr>
                <w:rFonts w:hint="eastAsia" w:ascii="仿宋" w:hAnsi="仿宋" w:eastAsia="仿宋" w:cs="仿宋"/>
                <w:b/>
                <w:bCs/>
                <w:color w:val="000000"/>
                <w:kern w:val="0"/>
                <w:szCs w:val="21"/>
                <w:lang w:val="en-US" w:eastAsia="zh-CN"/>
              </w:rPr>
            </w:pPr>
            <w:r>
              <w:rPr>
                <w:rFonts w:hint="eastAsia" w:ascii="仿宋" w:hAnsi="仿宋" w:eastAsia="仿宋" w:cs="仿宋"/>
                <w:b/>
                <w:bCs/>
                <w:color w:val="000000"/>
                <w:kern w:val="0"/>
                <w:szCs w:val="21"/>
                <w:lang w:val="en-US" w:eastAsia="zh-CN"/>
              </w:rPr>
              <w:t>估价对象及结果</w:t>
            </w:r>
          </w:p>
          <w:p>
            <w:pPr>
              <w:widowControl/>
              <w:jc w:val="center"/>
              <w:rPr>
                <w:rFonts w:hint="eastAsia" w:ascii="仿宋" w:hAnsi="仿宋" w:eastAsia="仿宋" w:cs="仿宋"/>
                <w:b/>
                <w:bCs/>
                <w:color w:val="000000"/>
                <w:kern w:val="0"/>
                <w:szCs w:val="21"/>
                <w:lang w:val="en-US" w:eastAsia="zh-CN"/>
              </w:rPr>
            </w:pPr>
            <w:r>
              <w:rPr>
                <w:rFonts w:hint="eastAsia" w:ascii="仿宋" w:hAnsi="仿宋" w:eastAsia="仿宋" w:cs="仿宋"/>
                <w:b/>
                <w:bCs/>
                <w:color w:val="000000"/>
                <w:kern w:val="0"/>
                <w:szCs w:val="21"/>
                <w:lang w:val="en-US" w:eastAsia="zh-CN"/>
              </w:rPr>
              <w:t xml:space="preserve">         估价方法及结果</w:t>
            </w:r>
          </w:p>
          <w:p>
            <w:pPr>
              <w:widowControl/>
              <w:jc w:val="center"/>
              <w:rPr>
                <w:rFonts w:hint="eastAsia" w:ascii="仿宋" w:hAnsi="仿宋" w:eastAsia="仿宋" w:cs="仿宋"/>
                <w:b/>
                <w:bCs/>
                <w:color w:val="000000"/>
                <w:kern w:val="0"/>
                <w:szCs w:val="21"/>
                <w:lang w:val="en-US" w:eastAsia="zh-CN"/>
              </w:rPr>
            </w:pPr>
          </w:p>
          <w:p>
            <w:pPr>
              <w:widowControl/>
              <w:jc w:val="center"/>
              <w:rPr>
                <w:rFonts w:hint="eastAsia" w:ascii="仿宋" w:hAnsi="仿宋" w:eastAsia="仿宋" w:cs="仿宋"/>
                <w:b/>
                <w:bCs/>
                <w:color w:val="000000"/>
                <w:kern w:val="0"/>
                <w:szCs w:val="21"/>
                <w:lang w:val="en-US" w:eastAsia="zh-CN"/>
              </w:rPr>
            </w:pPr>
          </w:p>
        </w:tc>
        <w:tc>
          <w:tcPr>
            <w:tcW w:w="1995" w:type="dxa"/>
            <w:tcBorders>
              <w:top w:val="single" w:color="auto" w:sz="4" w:space="0"/>
            </w:tcBorders>
            <w:noWrap w:val="0"/>
            <w:vAlign w:val="center"/>
          </w:tcPr>
          <w:p>
            <w:pPr>
              <w:widowControl/>
              <w:jc w:val="center"/>
              <w:rPr>
                <w:rFonts w:hint="default" w:ascii="仿宋" w:hAnsi="仿宋" w:eastAsia="仿宋" w:cs="仿宋"/>
                <w:b/>
                <w:bCs/>
                <w:color w:val="000000"/>
                <w:kern w:val="0"/>
                <w:szCs w:val="21"/>
                <w:lang w:val="en-US" w:eastAsia="zh-CN"/>
              </w:rPr>
            </w:pPr>
            <w:r>
              <w:rPr>
                <w:rFonts w:hint="eastAsia" w:ascii="仿宋" w:hAnsi="仿宋" w:eastAsia="仿宋" w:cs="仿宋"/>
                <w:b/>
                <w:bCs/>
                <w:color w:val="000000"/>
                <w:kern w:val="0"/>
                <w:szCs w:val="21"/>
                <w:lang w:val="en-US" w:eastAsia="zh-CN"/>
              </w:rPr>
              <w:t>比较法</w:t>
            </w:r>
          </w:p>
        </w:tc>
        <w:tc>
          <w:tcPr>
            <w:tcW w:w="1828" w:type="dxa"/>
            <w:tcBorders>
              <w:top w:val="single" w:color="auto" w:sz="4" w:space="0"/>
            </w:tcBorders>
            <w:noWrap w:val="0"/>
            <w:vAlign w:val="center"/>
          </w:tcPr>
          <w:p>
            <w:pPr>
              <w:widowControl/>
              <w:jc w:val="center"/>
              <w:rPr>
                <w:rFonts w:hint="eastAsia" w:ascii="仿宋" w:hAnsi="仿宋" w:eastAsia="仿宋" w:cs="仿宋"/>
                <w:b/>
                <w:bCs/>
                <w:color w:val="000000"/>
                <w:kern w:val="0"/>
                <w:szCs w:val="21"/>
                <w:lang w:val="en-US" w:eastAsia="zh-CN"/>
              </w:rPr>
            </w:pPr>
            <w:r>
              <w:rPr>
                <w:rFonts w:hint="eastAsia" w:ascii="仿宋" w:hAnsi="仿宋" w:eastAsia="仿宋" w:cs="仿宋"/>
                <w:b/>
                <w:bCs/>
                <w:color w:val="000000"/>
                <w:kern w:val="0"/>
                <w:szCs w:val="21"/>
                <w:lang w:val="en-US" w:eastAsia="zh-CN"/>
              </w:rPr>
              <w:t>估价结果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984" w:type="dxa"/>
            <w:vMerge w:val="restart"/>
            <w:noWrap w:val="0"/>
            <w:vAlign w:val="center"/>
          </w:tcPr>
          <w:p>
            <w:pPr>
              <w:widowControl/>
              <w:jc w:val="center"/>
              <w:rPr>
                <w:rFonts w:hint="default" w:ascii="Times New Roman" w:hAnsi="Times New Roman" w:eastAsia="仿宋" w:cs="Times New Roman"/>
                <w:b/>
                <w:bCs/>
                <w:color w:val="000000"/>
                <w:kern w:val="0"/>
                <w:sz w:val="21"/>
                <w:szCs w:val="21"/>
                <w:lang w:val="en-US" w:eastAsia="zh-CN"/>
              </w:rPr>
            </w:pPr>
            <w:r>
              <w:rPr>
                <w:rFonts w:hint="eastAsia" w:eastAsia="楷体" w:cs="Times New Roman"/>
                <w:b/>
                <w:bCs/>
                <w:color w:val="000000"/>
                <w:kern w:val="0"/>
                <w:sz w:val="21"/>
                <w:szCs w:val="21"/>
                <w:lang w:eastAsia="zh-CN" w:bidi="ar"/>
              </w:rPr>
              <w:t>纳雍县居仁街道办事处雍和世纪城5幢27-6号</w:t>
            </w:r>
          </w:p>
        </w:tc>
        <w:tc>
          <w:tcPr>
            <w:tcW w:w="1163" w:type="dxa"/>
            <w:vMerge w:val="restart"/>
            <w:noWrap w:val="0"/>
            <w:vAlign w:val="center"/>
          </w:tcPr>
          <w:p>
            <w:pPr>
              <w:widowControl/>
              <w:jc w:val="center"/>
              <w:rPr>
                <w:rFonts w:hint="default" w:ascii="Times New Roman" w:hAnsi="Times New Roman" w:eastAsia="仿宋" w:cs="Times New Roman"/>
                <w:b/>
                <w:bCs/>
                <w:color w:val="000000"/>
                <w:kern w:val="0"/>
                <w:sz w:val="21"/>
                <w:szCs w:val="21"/>
                <w:lang w:val="en-US" w:eastAsia="zh-CN"/>
              </w:rPr>
            </w:pPr>
            <w:r>
              <w:rPr>
                <w:rFonts w:hint="default" w:ascii="Times New Roman" w:hAnsi="Times New Roman" w:eastAsia="仿宋" w:cs="Times New Roman"/>
                <w:b/>
                <w:bCs/>
                <w:color w:val="000000"/>
                <w:kern w:val="0"/>
                <w:sz w:val="21"/>
                <w:szCs w:val="21"/>
                <w:lang w:val="en-US" w:eastAsia="zh-CN"/>
              </w:rPr>
              <w:t>建筑面积</w:t>
            </w:r>
            <w:r>
              <w:rPr>
                <w:rFonts w:hint="eastAsia" w:cs="Times New Roman"/>
                <w:b/>
                <w:bCs/>
                <w:color w:val="000000"/>
                <w:sz w:val="21"/>
                <w:szCs w:val="21"/>
                <w:lang w:val="en-US" w:eastAsia="zh-CN"/>
              </w:rPr>
              <w:t>130.46㎡</w:t>
            </w:r>
          </w:p>
        </w:tc>
        <w:tc>
          <w:tcPr>
            <w:tcW w:w="1650" w:type="dxa"/>
            <w:noWrap w:val="0"/>
            <w:vAlign w:val="center"/>
          </w:tcPr>
          <w:p>
            <w:pPr>
              <w:widowControl/>
              <w:jc w:val="center"/>
              <w:rPr>
                <w:rFonts w:hint="default" w:ascii="Times New Roman" w:hAnsi="Times New Roman" w:eastAsia="仿宋" w:cs="Times New Roman"/>
                <w:b/>
                <w:bCs/>
                <w:color w:val="000000"/>
                <w:kern w:val="0"/>
                <w:sz w:val="21"/>
                <w:szCs w:val="21"/>
                <w:lang w:val="en-US" w:eastAsia="zh-CN"/>
              </w:rPr>
            </w:pPr>
            <w:r>
              <w:rPr>
                <w:rFonts w:hint="default" w:ascii="Times New Roman" w:hAnsi="Times New Roman" w:eastAsia="仿宋" w:cs="Times New Roman"/>
                <w:b/>
                <w:bCs/>
                <w:color w:val="000000"/>
                <w:kern w:val="0"/>
                <w:sz w:val="21"/>
                <w:szCs w:val="21"/>
                <w:lang w:val="en-US" w:eastAsia="zh-CN"/>
              </w:rPr>
              <w:t>总价（万元）</w:t>
            </w:r>
          </w:p>
        </w:tc>
        <w:tc>
          <w:tcPr>
            <w:tcW w:w="19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仿宋_GB2312" w:cs="Times New Roman"/>
                <w:b/>
                <w:bCs/>
                <w:color w:val="000000"/>
                <w:sz w:val="21"/>
                <w:szCs w:val="21"/>
                <w:lang w:val="en-US" w:eastAsia="zh-CN"/>
              </w:rPr>
            </w:pPr>
            <w:r>
              <w:rPr>
                <w:rFonts w:hint="eastAsia" w:eastAsia="仿宋_GB2312" w:cs="Times New Roman"/>
                <w:b/>
                <w:bCs/>
                <w:color w:val="000000"/>
                <w:sz w:val="21"/>
                <w:szCs w:val="21"/>
                <w:lang w:val="en-US" w:eastAsia="zh-CN"/>
              </w:rPr>
              <w:t>53.88</w:t>
            </w:r>
          </w:p>
        </w:tc>
        <w:tc>
          <w:tcPr>
            <w:tcW w:w="182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firstLine="0" w:firstLineChars="0"/>
              <w:jc w:val="center"/>
              <w:textAlignment w:val="auto"/>
              <w:rPr>
                <w:rFonts w:hint="default" w:ascii="Times New Roman" w:hAnsi="Times New Roman" w:eastAsia="仿宋_GB2312" w:cs="Times New Roman"/>
                <w:b/>
                <w:bCs/>
                <w:color w:val="000000"/>
                <w:sz w:val="21"/>
                <w:szCs w:val="21"/>
                <w:lang w:val="en-US" w:eastAsia="zh-CN"/>
              </w:rPr>
            </w:pPr>
            <w:r>
              <w:rPr>
                <w:rFonts w:hint="eastAsia" w:eastAsia="仿宋_GB2312" w:cs="Times New Roman"/>
                <w:b/>
                <w:bCs/>
                <w:color w:val="000000"/>
                <w:sz w:val="21"/>
                <w:szCs w:val="21"/>
                <w:lang w:val="en-US" w:eastAsia="zh-CN"/>
              </w:rPr>
              <w:t>53.88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984" w:type="dxa"/>
            <w:vMerge w:val="continue"/>
            <w:noWrap w:val="0"/>
            <w:vAlign w:val="center"/>
          </w:tcPr>
          <w:p>
            <w:pPr>
              <w:widowControl/>
              <w:jc w:val="center"/>
              <w:rPr>
                <w:rFonts w:hint="default" w:ascii="Times New Roman" w:hAnsi="Times New Roman" w:eastAsia="仿宋" w:cs="Times New Roman"/>
                <w:b/>
                <w:bCs/>
                <w:color w:val="000000"/>
                <w:kern w:val="0"/>
                <w:sz w:val="21"/>
                <w:szCs w:val="21"/>
                <w:lang w:val="en-US" w:eastAsia="zh-CN"/>
              </w:rPr>
            </w:pPr>
          </w:p>
        </w:tc>
        <w:tc>
          <w:tcPr>
            <w:tcW w:w="1163" w:type="dxa"/>
            <w:vMerge w:val="continue"/>
            <w:noWrap w:val="0"/>
            <w:vAlign w:val="center"/>
          </w:tcPr>
          <w:p>
            <w:pPr>
              <w:widowControl/>
              <w:jc w:val="center"/>
              <w:rPr>
                <w:rFonts w:hint="default" w:ascii="Times New Roman" w:hAnsi="Times New Roman" w:eastAsia="仿宋" w:cs="Times New Roman"/>
                <w:b/>
                <w:bCs/>
                <w:color w:val="000000"/>
                <w:kern w:val="0"/>
                <w:sz w:val="21"/>
                <w:szCs w:val="21"/>
                <w:lang w:val="en-US" w:eastAsia="zh-CN"/>
              </w:rPr>
            </w:pPr>
          </w:p>
        </w:tc>
        <w:tc>
          <w:tcPr>
            <w:tcW w:w="1650" w:type="dxa"/>
            <w:noWrap w:val="0"/>
            <w:vAlign w:val="center"/>
          </w:tcPr>
          <w:p>
            <w:pPr>
              <w:widowControl/>
              <w:jc w:val="center"/>
              <w:rPr>
                <w:rFonts w:hint="default" w:ascii="Times New Roman" w:hAnsi="Times New Roman" w:eastAsia="仿宋" w:cs="Times New Roman"/>
                <w:b/>
                <w:bCs/>
                <w:color w:val="000000"/>
                <w:kern w:val="0"/>
                <w:sz w:val="21"/>
                <w:szCs w:val="21"/>
                <w:lang w:val="en-US" w:eastAsia="zh-CN"/>
              </w:rPr>
            </w:pPr>
            <w:r>
              <w:rPr>
                <w:rFonts w:hint="default" w:ascii="Times New Roman" w:hAnsi="Times New Roman" w:eastAsia="仿宋" w:cs="Times New Roman"/>
                <w:b/>
                <w:bCs/>
                <w:color w:val="000000"/>
                <w:kern w:val="0"/>
                <w:sz w:val="21"/>
                <w:szCs w:val="21"/>
                <w:lang w:val="en-US" w:eastAsia="zh-CN"/>
              </w:rPr>
              <w:t>单价（元/㎡）</w:t>
            </w:r>
          </w:p>
        </w:tc>
        <w:tc>
          <w:tcPr>
            <w:tcW w:w="19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仿宋_GB2312" w:cs="Times New Roman"/>
                <w:b/>
                <w:bCs/>
                <w:color w:val="000000"/>
                <w:sz w:val="21"/>
                <w:szCs w:val="21"/>
                <w:lang w:val="en-US" w:eastAsia="zh-CN"/>
              </w:rPr>
            </w:pPr>
            <w:r>
              <w:rPr>
                <w:rFonts w:hint="eastAsia" w:eastAsia="仿宋_GB2312" w:cs="Times New Roman"/>
                <w:b/>
                <w:bCs/>
                <w:color w:val="000000"/>
                <w:sz w:val="21"/>
                <w:szCs w:val="21"/>
                <w:lang w:val="en-US" w:eastAsia="zh-CN"/>
              </w:rPr>
              <w:t>4130</w:t>
            </w:r>
          </w:p>
        </w:tc>
        <w:tc>
          <w:tcPr>
            <w:tcW w:w="182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firstLine="0" w:firstLineChars="0"/>
              <w:jc w:val="center"/>
              <w:textAlignment w:val="auto"/>
              <w:rPr>
                <w:rFonts w:hint="default" w:ascii="Times New Roman" w:hAnsi="Times New Roman" w:eastAsia="仿宋_GB2312" w:cs="Times New Roman"/>
                <w:b/>
                <w:bCs/>
                <w:color w:val="000000"/>
                <w:sz w:val="21"/>
                <w:szCs w:val="21"/>
                <w:lang w:val="en-US" w:eastAsia="zh-CN"/>
              </w:rPr>
            </w:pPr>
            <w:r>
              <w:rPr>
                <w:rFonts w:hint="eastAsia" w:eastAsia="仿宋_GB2312" w:cs="Times New Roman"/>
                <w:b/>
                <w:bCs/>
                <w:color w:val="000000"/>
                <w:sz w:val="21"/>
                <w:szCs w:val="21"/>
                <w:lang w:val="en-US" w:eastAsia="zh-CN"/>
              </w:rPr>
              <w:t>4130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984" w:type="dxa"/>
            <w:vMerge w:val="restart"/>
            <w:noWrap w:val="0"/>
            <w:vAlign w:val="center"/>
          </w:tcPr>
          <w:p>
            <w:pPr>
              <w:widowControl/>
              <w:jc w:val="center"/>
              <w:rPr>
                <w:rFonts w:hint="default" w:ascii="Times New Roman" w:hAnsi="Times New Roman" w:eastAsia="仿宋" w:cs="Times New Roman"/>
                <w:b/>
                <w:bCs/>
                <w:color w:val="000000"/>
                <w:kern w:val="0"/>
                <w:sz w:val="21"/>
                <w:szCs w:val="21"/>
                <w:lang w:val="en-US" w:eastAsia="zh-CN"/>
              </w:rPr>
            </w:pPr>
            <w:r>
              <w:rPr>
                <w:rFonts w:hint="default" w:ascii="Times New Roman" w:hAnsi="Times New Roman" w:eastAsia="仿宋" w:cs="Times New Roman"/>
                <w:b/>
                <w:bCs/>
                <w:color w:val="000000"/>
                <w:kern w:val="0"/>
                <w:sz w:val="21"/>
                <w:szCs w:val="21"/>
                <w:lang w:val="en-US" w:eastAsia="zh-CN"/>
              </w:rPr>
              <w:t>汇总评估价值</w:t>
            </w:r>
          </w:p>
        </w:tc>
        <w:tc>
          <w:tcPr>
            <w:tcW w:w="1163" w:type="dxa"/>
            <w:vMerge w:val="restart"/>
            <w:noWrap w:val="0"/>
            <w:vAlign w:val="center"/>
          </w:tcPr>
          <w:p>
            <w:pPr>
              <w:widowControl/>
              <w:jc w:val="center"/>
              <w:rPr>
                <w:rFonts w:hint="default" w:ascii="Times New Roman" w:hAnsi="Times New Roman" w:eastAsia="仿宋" w:cs="Times New Roman"/>
                <w:b/>
                <w:bCs/>
                <w:color w:val="000000"/>
                <w:kern w:val="0"/>
                <w:sz w:val="21"/>
                <w:szCs w:val="21"/>
                <w:lang w:val="en-US" w:eastAsia="zh-CN"/>
              </w:rPr>
            </w:pPr>
            <w:r>
              <w:rPr>
                <w:rFonts w:hint="eastAsia" w:eastAsia="仿宋" w:cs="Times New Roman"/>
                <w:b/>
                <w:bCs/>
                <w:color w:val="000000"/>
                <w:kern w:val="0"/>
                <w:sz w:val="21"/>
                <w:szCs w:val="21"/>
                <w:lang w:val="en-US" w:eastAsia="zh-CN"/>
              </w:rPr>
              <w:t>130.46㎡</w:t>
            </w:r>
          </w:p>
        </w:tc>
        <w:tc>
          <w:tcPr>
            <w:tcW w:w="1650" w:type="dxa"/>
            <w:noWrap w:val="0"/>
            <w:vAlign w:val="center"/>
          </w:tcPr>
          <w:p>
            <w:pPr>
              <w:widowControl/>
              <w:jc w:val="center"/>
              <w:rPr>
                <w:rFonts w:hint="default" w:ascii="Times New Roman" w:hAnsi="Times New Roman" w:eastAsia="仿宋" w:cs="Times New Roman"/>
                <w:b/>
                <w:bCs/>
                <w:color w:val="000000"/>
                <w:kern w:val="0"/>
                <w:sz w:val="21"/>
                <w:szCs w:val="21"/>
                <w:lang w:val="en-US" w:eastAsia="zh-CN"/>
              </w:rPr>
            </w:pPr>
            <w:r>
              <w:rPr>
                <w:rFonts w:hint="default" w:ascii="Times New Roman" w:hAnsi="Times New Roman" w:eastAsia="仿宋" w:cs="Times New Roman"/>
                <w:b/>
                <w:bCs/>
                <w:color w:val="000000"/>
                <w:kern w:val="0"/>
                <w:sz w:val="21"/>
                <w:szCs w:val="21"/>
                <w:lang w:val="en-US" w:eastAsia="zh-CN"/>
              </w:rPr>
              <w:t>总值(万元）</w:t>
            </w:r>
          </w:p>
        </w:tc>
        <w:tc>
          <w:tcPr>
            <w:tcW w:w="3823" w:type="dxa"/>
            <w:gridSpan w:val="2"/>
            <w:noWrap w:val="0"/>
            <w:vAlign w:val="center"/>
          </w:tcPr>
          <w:p>
            <w:pPr>
              <w:keepNext w:val="0"/>
              <w:keepLines w:val="0"/>
              <w:widowControl/>
              <w:suppressLineNumbers w:val="0"/>
              <w:jc w:val="center"/>
              <w:textAlignment w:val="center"/>
              <w:rPr>
                <w:rFonts w:hint="default" w:ascii="Times New Roman" w:hAnsi="Times New Roman" w:eastAsia="仿宋" w:cs="Times New Roman"/>
                <w:b/>
                <w:bCs/>
                <w:color w:val="000000"/>
                <w:kern w:val="0"/>
                <w:sz w:val="21"/>
                <w:szCs w:val="21"/>
                <w:lang w:val="en-US" w:eastAsia="zh-CN"/>
              </w:rPr>
            </w:pPr>
            <w:r>
              <w:rPr>
                <w:rFonts w:hint="eastAsia" w:eastAsia="仿宋" w:cs="Times New Roman"/>
                <w:b/>
                <w:bCs/>
                <w:color w:val="000000"/>
                <w:kern w:val="0"/>
                <w:sz w:val="21"/>
                <w:szCs w:val="21"/>
                <w:lang w:val="en-US" w:eastAsia="zh-CN"/>
              </w:rPr>
              <w:t>53.88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984" w:type="dxa"/>
            <w:vMerge w:val="continue"/>
            <w:noWrap w:val="0"/>
            <w:vAlign w:val="top"/>
          </w:tcPr>
          <w:p>
            <w:pPr>
              <w:widowControl/>
              <w:jc w:val="center"/>
              <w:rPr>
                <w:rFonts w:hint="default" w:ascii="Times New Roman" w:hAnsi="Times New Roman" w:eastAsia="仿宋" w:cs="Times New Roman"/>
                <w:b/>
                <w:bCs/>
                <w:color w:val="000000"/>
                <w:kern w:val="0"/>
                <w:sz w:val="21"/>
                <w:szCs w:val="21"/>
                <w:lang w:val="en-US" w:eastAsia="zh-CN"/>
              </w:rPr>
            </w:pPr>
          </w:p>
        </w:tc>
        <w:tc>
          <w:tcPr>
            <w:tcW w:w="1163" w:type="dxa"/>
            <w:vMerge w:val="continue"/>
            <w:noWrap w:val="0"/>
            <w:vAlign w:val="top"/>
          </w:tcPr>
          <w:p>
            <w:pPr>
              <w:widowControl/>
              <w:jc w:val="center"/>
              <w:rPr>
                <w:rFonts w:hint="default" w:ascii="Times New Roman" w:hAnsi="Times New Roman" w:eastAsia="仿宋" w:cs="Times New Roman"/>
                <w:b/>
                <w:bCs/>
                <w:color w:val="000000"/>
                <w:kern w:val="0"/>
                <w:sz w:val="21"/>
                <w:szCs w:val="21"/>
                <w:lang w:val="en-US" w:eastAsia="zh-CN"/>
              </w:rPr>
            </w:pPr>
          </w:p>
        </w:tc>
        <w:tc>
          <w:tcPr>
            <w:tcW w:w="1650" w:type="dxa"/>
            <w:noWrap w:val="0"/>
            <w:vAlign w:val="center"/>
          </w:tcPr>
          <w:p>
            <w:pPr>
              <w:widowControl/>
              <w:jc w:val="center"/>
              <w:rPr>
                <w:rFonts w:hint="default" w:ascii="Times New Roman" w:hAnsi="Times New Roman" w:eastAsia="仿宋" w:cs="Times New Roman"/>
                <w:b/>
                <w:bCs/>
                <w:color w:val="000000"/>
                <w:kern w:val="0"/>
                <w:sz w:val="21"/>
                <w:szCs w:val="21"/>
                <w:lang w:val="en-US" w:eastAsia="zh-CN"/>
              </w:rPr>
            </w:pPr>
            <w:r>
              <w:rPr>
                <w:rFonts w:hint="default" w:ascii="Times New Roman" w:hAnsi="Times New Roman" w:eastAsia="仿宋" w:cs="Times New Roman"/>
                <w:b/>
                <w:bCs/>
                <w:color w:val="000000"/>
                <w:kern w:val="0"/>
                <w:sz w:val="21"/>
                <w:szCs w:val="21"/>
                <w:lang w:val="en-US" w:eastAsia="zh-CN"/>
              </w:rPr>
              <w:t>大写金额</w:t>
            </w:r>
          </w:p>
        </w:tc>
        <w:tc>
          <w:tcPr>
            <w:tcW w:w="3823" w:type="dxa"/>
            <w:gridSpan w:val="2"/>
            <w:noWrap w:val="0"/>
            <w:vAlign w:val="center"/>
          </w:tcPr>
          <w:p>
            <w:pPr>
              <w:widowControl/>
              <w:jc w:val="center"/>
              <w:rPr>
                <w:rFonts w:hint="default" w:ascii="Times New Roman" w:hAnsi="Times New Roman" w:eastAsia="仿宋" w:cs="Times New Roman"/>
                <w:b/>
                <w:bCs/>
                <w:color w:val="000000"/>
                <w:kern w:val="0"/>
                <w:sz w:val="21"/>
                <w:szCs w:val="21"/>
                <w:lang w:val="en-US" w:eastAsia="zh-CN"/>
              </w:rPr>
            </w:pPr>
            <w:r>
              <w:rPr>
                <w:rFonts w:hint="default" w:ascii="Times New Roman" w:hAnsi="Times New Roman" w:eastAsia="仿宋" w:cs="Times New Roman"/>
                <w:b/>
                <w:bCs/>
                <w:color w:val="000000"/>
                <w:kern w:val="0"/>
                <w:sz w:val="21"/>
                <w:szCs w:val="21"/>
                <w:lang w:val="en-US" w:eastAsia="zh-CN"/>
              </w:rPr>
              <w:t>人民币</w:t>
            </w:r>
            <w:r>
              <w:rPr>
                <w:rFonts w:hint="eastAsia" w:eastAsia="仿宋" w:cs="Times New Roman"/>
                <w:b/>
                <w:bCs/>
                <w:color w:val="000000"/>
                <w:kern w:val="0"/>
                <w:sz w:val="21"/>
                <w:szCs w:val="21"/>
                <w:lang w:val="en-US" w:eastAsia="zh-CN"/>
              </w:rPr>
              <w:t>陆</w:t>
            </w:r>
            <w:r>
              <w:rPr>
                <w:rFonts w:hint="eastAsia" w:ascii="Times New Roman" w:hAnsi="Times New Roman" w:eastAsia="仿宋" w:cs="Times New Roman"/>
                <w:b/>
                <w:bCs/>
                <w:color w:val="000000"/>
                <w:kern w:val="0"/>
                <w:sz w:val="21"/>
                <w:szCs w:val="21"/>
                <w:lang w:val="en-US" w:eastAsia="zh-CN"/>
              </w:rPr>
              <w:fldChar w:fldCharType="begin"/>
            </w:r>
            <w:r>
              <w:rPr>
                <w:rFonts w:hint="eastAsia" w:ascii="Times New Roman" w:hAnsi="Times New Roman" w:eastAsia="仿宋" w:cs="Times New Roman"/>
                <w:b/>
                <w:bCs/>
                <w:color w:val="000000"/>
                <w:kern w:val="0"/>
                <w:sz w:val="21"/>
                <w:szCs w:val="21"/>
                <w:lang w:val="en-US" w:eastAsia="zh-CN"/>
              </w:rPr>
              <w:instrText xml:space="preserve"> = 453000 \* CHINESENUM2 \* MERGEFORMAT </w:instrText>
            </w:r>
            <w:r>
              <w:rPr>
                <w:rFonts w:hint="eastAsia" w:ascii="Times New Roman" w:hAnsi="Times New Roman" w:eastAsia="仿宋" w:cs="Times New Roman"/>
                <w:b/>
                <w:bCs/>
                <w:color w:val="000000"/>
                <w:kern w:val="0"/>
                <w:sz w:val="21"/>
                <w:szCs w:val="21"/>
                <w:lang w:val="en-US" w:eastAsia="zh-CN"/>
              </w:rPr>
              <w:fldChar w:fldCharType="separate"/>
            </w:r>
            <w:r>
              <w:rPr>
                <w:rFonts w:hint="eastAsia" w:eastAsia="仿宋" w:cs="Times New Roman"/>
                <w:b/>
                <w:bCs/>
                <w:color w:val="000000"/>
                <w:kern w:val="0"/>
                <w:sz w:val="21"/>
                <w:szCs w:val="21"/>
                <w:lang w:val="en-US" w:eastAsia="zh-CN"/>
              </w:rPr>
              <w:t>拾伍万肆仟贰佰</w:t>
            </w:r>
            <w:r>
              <w:rPr>
                <w:rFonts w:hint="eastAsia" w:ascii="Times New Roman" w:hAnsi="Times New Roman" w:eastAsia="仿宋" w:cs="Times New Roman"/>
                <w:b/>
                <w:bCs/>
                <w:color w:val="000000"/>
                <w:kern w:val="0"/>
                <w:sz w:val="21"/>
                <w:szCs w:val="21"/>
                <w:lang w:val="en-US" w:eastAsia="zh-CN"/>
              </w:rPr>
              <w:fldChar w:fldCharType="end"/>
            </w:r>
            <w:r>
              <w:rPr>
                <w:rFonts w:hint="default" w:ascii="Times New Roman" w:hAnsi="Times New Roman" w:eastAsia="仿宋" w:cs="Times New Roman"/>
                <w:b/>
                <w:bCs/>
                <w:color w:val="000000"/>
                <w:kern w:val="0"/>
                <w:sz w:val="21"/>
                <w:szCs w:val="21"/>
                <w:lang w:val="en-US" w:eastAsia="zh-CN"/>
              </w:rPr>
              <w:t>元整</w:t>
            </w:r>
          </w:p>
        </w:tc>
      </w:tr>
    </w:tbl>
    <w:p>
      <w:pPr>
        <w:keepNext w:val="0"/>
        <w:keepLines w:val="0"/>
        <w:pageBreakBefore w:val="0"/>
        <w:widowControl w:val="0"/>
        <w:kinsoku/>
        <w:wordWrap/>
        <w:overflowPunct/>
        <w:topLinePunct w:val="0"/>
        <w:autoSpaceDE/>
        <w:autoSpaceDN/>
        <w:bidi w:val="0"/>
        <w:adjustRightInd/>
        <w:snapToGrid/>
        <w:spacing w:line="520" w:lineRule="exact"/>
        <w:ind w:firstLine="602" w:firstLineChars="200"/>
        <w:jc w:val="left"/>
        <w:textAlignment w:val="auto"/>
        <w:rPr>
          <w:rFonts w:ascii="仿宋" w:hAnsi="仿宋" w:eastAsia="仿宋" w:cs="仿宋"/>
          <w:b/>
          <w:sz w:val="36"/>
          <w:szCs w:val="36"/>
        </w:rPr>
      </w:pPr>
      <w:r>
        <w:rPr>
          <w:rFonts w:hint="eastAsia" w:ascii="仿宋" w:hAnsi="仿宋" w:eastAsia="仿宋" w:cs="仿宋"/>
          <w:b/>
          <w:sz w:val="30"/>
          <w:szCs w:val="30"/>
        </w:rPr>
        <w:t>特别提示：</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jc w:val="left"/>
        <w:textAlignment w:val="auto"/>
        <w:rPr>
          <w:rFonts w:ascii="仿宋" w:hAnsi="仿宋" w:eastAsia="仿宋" w:cs="仿宋"/>
          <w:b/>
          <w:sz w:val="24"/>
          <w:szCs w:val="24"/>
        </w:rPr>
      </w:pPr>
      <w:r>
        <w:rPr>
          <w:rFonts w:hint="eastAsia" w:ascii="仿宋" w:hAnsi="仿宋" w:eastAsia="仿宋" w:cs="仿宋"/>
          <w:b/>
          <w:sz w:val="24"/>
          <w:szCs w:val="24"/>
        </w:rPr>
        <w:t>1、因财产拍卖（或者变卖）日期与价值时点不一致，估价对象状况或者房地产市场状况的变化会对估价结果产生影响；</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jc w:val="left"/>
        <w:textAlignment w:val="auto"/>
        <w:rPr>
          <w:rFonts w:ascii="仿宋" w:hAnsi="仿宋" w:eastAsia="仿宋" w:cs="仿宋"/>
          <w:b/>
          <w:sz w:val="24"/>
          <w:szCs w:val="24"/>
        </w:rPr>
      </w:pPr>
      <w:r>
        <w:rPr>
          <w:rFonts w:ascii="仿宋" w:hAnsi="仿宋" w:eastAsia="仿宋" w:cs="仿宋"/>
          <w:b/>
          <w:sz w:val="24"/>
          <w:szCs w:val="24"/>
        </w:rPr>
        <w:t>2</w:t>
      </w:r>
      <w:r>
        <w:rPr>
          <w:rFonts w:hint="eastAsia" w:ascii="仿宋" w:hAnsi="仿宋" w:eastAsia="仿宋" w:cs="仿宋"/>
          <w:b/>
          <w:sz w:val="24"/>
          <w:szCs w:val="24"/>
        </w:rPr>
        <w:t>、在估价结果有效期内，估价对象状况或者房地产市场发生明显变化的，估价结果应当进行相应调整；</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jc w:val="left"/>
        <w:textAlignment w:val="auto"/>
        <w:rPr>
          <w:rFonts w:ascii="仿宋" w:hAnsi="仿宋" w:eastAsia="仿宋" w:cs="仿宋"/>
          <w:b/>
          <w:sz w:val="24"/>
          <w:szCs w:val="24"/>
        </w:rPr>
      </w:pPr>
      <w:r>
        <w:rPr>
          <w:rFonts w:hint="eastAsia" w:ascii="仿宋" w:hAnsi="仿宋" w:eastAsia="仿宋" w:cs="仿宋"/>
          <w:b/>
          <w:sz w:val="24"/>
          <w:szCs w:val="24"/>
        </w:rPr>
        <w:t>3、委托人或者估价报告使用人应当按照法律规定和估价报告载明的使用范围使用估价报告，违反该规定使用估价报告的，房地产估价机构和注册房地产估价师依法不承担责任；</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jc w:val="left"/>
        <w:textAlignment w:val="auto"/>
        <w:rPr>
          <w:rFonts w:ascii="仿宋" w:hAnsi="仿宋" w:eastAsia="仿宋" w:cs="仿宋"/>
          <w:b/>
          <w:sz w:val="24"/>
          <w:szCs w:val="24"/>
        </w:rPr>
      </w:pPr>
      <w:r>
        <w:rPr>
          <w:rFonts w:hint="eastAsia" w:ascii="仿宋" w:hAnsi="仿宋" w:eastAsia="仿宋" w:cs="仿宋"/>
          <w:b/>
          <w:sz w:val="24"/>
          <w:szCs w:val="24"/>
        </w:rPr>
        <w:t>4、估价结果不等于估价对象处置可实现的成交价，不应被认为是估价对象处置成交价的保证；</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jc w:val="left"/>
        <w:textAlignment w:val="auto"/>
        <w:rPr>
          <w:rFonts w:ascii="仿宋" w:hAnsi="仿宋" w:eastAsia="仿宋" w:cs="仿宋"/>
          <w:b/>
          <w:sz w:val="24"/>
          <w:szCs w:val="24"/>
        </w:rPr>
      </w:pPr>
      <w:r>
        <w:rPr>
          <w:rFonts w:hint="eastAsia" w:ascii="仿宋" w:hAnsi="仿宋" w:eastAsia="仿宋" w:cs="仿宋"/>
          <w:b/>
          <w:sz w:val="24"/>
          <w:szCs w:val="24"/>
        </w:rPr>
        <w:t>5、本次估价估价对象交易税费，按照法律法规规定，转让方和受让方各自负担；</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jc w:val="left"/>
        <w:textAlignment w:val="auto"/>
        <w:rPr>
          <w:rFonts w:hint="eastAsia" w:ascii="仿宋" w:hAnsi="仿宋" w:eastAsia="仿宋" w:cs="仿宋"/>
          <w:b/>
          <w:sz w:val="24"/>
          <w:szCs w:val="24"/>
        </w:rPr>
      </w:pPr>
      <w:r>
        <w:rPr>
          <w:rFonts w:hint="eastAsia" w:ascii="仿宋" w:hAnsi="仿宋" w:eastAsia="仿宋" w:cs="仿宋"/>
          <w:b/>
          <w:sz w:val="24"/>
          <w:szCs w:val="24"/>
        </w:rPr>
        <w:t>6、本机构提醒报告使用方在使用本估价结论时，应认真阅读本报告书全文，提请关注本报告各种假设和限制条件等对该估价结果的影响。</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jc w:val="left"/>
        <w:textAlignment w:val="auto"/>
        <w:rPr>
          <w:rFonts w:hint="eastAsia" w:ascii="仿宋" w:hAnsi="仿宋" w:eastAsia="仿宋" w:cs="仿宋"/>
          <w:b/>
          <w:sz w:val="24"/>
          <w:szCs w:val="24"/>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ascii="仿宋" w:hAnsi="仿宋" w:eastAsia="仿宋" w:cs="仿宋"/>
          <w:b/>
          <w:sz w:val="28"/>
          <w:szCs w:val="28"/>
        </w:rPr>
      </w:pPr>
    </w:p>
    <w:p>
      <w:pPr>
        <w:spacing w:line="380" w:lineRule="exact"/>
        <w:ind w:firstLine="562" w:firstLineChars="200"/>
        <w:jc w:val="left"/>
        <w:rPr>
          <w:rFonts w:hint="eastAsia" w:ascii="仿宋" w:hAnsi="仿宋" w:eastAsia="仿宋" w:cs="仿宋"/>
          <w:b/>
          <w:bCs/>
          <w:sz w:val="28"/>
          <w:szCs w:val="28"/>
        </w:rPr>
      </w:pPr>
      <w:r>
        <w:rPr>
          <w:rFonts w:hint="eastAsia" w:ascii="仿宋" w:hAnsi="仿宋" w:eastAsia="仿宋" w:cs="仿宋"/>
          <w:b/>
          <w:bCs/>
          <w:sz w:val="28"/>
          <w:szCs w:val="28"/>
        </w:rPr>
        <w:t xml:space="preserve">            </w:t>
      </w:r>
    </w:p>
    <w:p>
      <w:pPr>
        <w:spacing w:line="380" w:lineRule="exact"/>
        <w:ind w:firstLine="562" w:firstLineChars="200"/>
        <w:jc w:val="left"/>
        <w:rPr>
          <w:rFonts w:hint="eastAsia" w:ascii="仿宋" w:hAnsi="仿宋" w:eastAsia="仿宋" w:cs="仿宋"/>
          <w:b/>
          <w:bCs/>
          <w:sz w:val="28"/>
          <w:szCs w:val="28"/>
        </w:rPr>
      </w:pPr>
    </w:p>
    <w:p>
      <w:pPr>
        <w:spacing w:line="380" w:lineRule="exact"/>
        <w:ind w:firstLine="562" w:firstLineChars="200"/>
        <w:jc w:val="left"/>
        <w:rPr>
          <w:rFonts w:hint="eastAsia" w:ascii="仿宋" w:hAnsi="仿宋" w:eastAsia="仿宋" w:cs="仿宋"/>
          <w:b/>
          <w:bCs/>
          <w:sz w:val="28"/>
          <w:szCs w:val="28"/>
        </w:rPr>
      </w:pPr>
    </w:p>
    <w:p>
      <w:pPr>
        <w:spacing w:line="380" w:lineRule="exact"/>
        <w:ind w:firstLine="562" w:firstLineChars="200"/>
        <w:jc w:val="left"/>
        <w:rPr>
          <w:rFonts w:hint="eastAsia" w:ascii="仿宋" w:hAnsi="仿宋" w:eastAsia="仿宋" w:cs="仿宋"/>
          <w:b/>
          <w:bCs/>
          <w:sz w:val="28"/>
          <w:szCs w:val="28"/>
        </w:rPr>
      </w:pPr>
    </w:p>
    <w:p>
      <w:pPr>
        <w:spacing w:line="380" w:lineRule="exact"/>
        <w:ind w:firstLine="562" w:firstLineChars="200"/>
        <w:jc w:val="left"/>
        <w:rPr>
          <w:rFonts w:hint="eastAsia" w:ascii="仿宋" w:hAnsi="仿宋" w:eastAsia="仿宋" w:cs="仿宋"/>
          <w:b/>
          <w:bCs/>
          <w:sz w:val="28"/>
          <w:szCs w:val="28"/>
        </w:rPr>
      </w:pPr>
    </w:p>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 xml:space="preserve">                </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 xml:space="preserve"> </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 xml:space="preserve"> 贵州昊远房地产土地评估有限公司</w:t>
      </w:r>
    </w:p>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 xml:space="preserve">             </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 xml:space="preserve">法定代表人：      </w:t>
      </w:r>
    </w:p>
    <w:p>
      <w:pPr>
        <w:spacing w:line="360" w:lineRule="auto"/>
        <w:jc w:val="center"/>
        <w:rPr>
          <w:rFonts w:hint="eastAsia" w:ascii="仿宋" w:hAnsi="仿宋" w:eastAsia="仿宋" w:cs="仿宋"/>
          <w:b/>
          <w:color w:val="000000" w:themeColor="text1"/>
          <w:sz w:val="24"/>
          <w:lang w:eastAsia="zh-CN"/>
          <w14:textFill>
            <w14:solidFill>
              <w14:schemeClr w14:val="tx1"/>
            </w14:solidFill>
          </w14:textFill>
        </w:rPr>
      </w:pPr>
      <w:r>
        <w:rPr>
          <w:rFonts w:hint="eastAsia" w:ascii="仿宋" w:hAnsi="仿宋" w:eastAsia="仿宋" w:cs="仿宋"/>
          <w:b/>
          <w:bCs/>
          <w:sz w:val="28"/>
          <w:szCs w:val="28"/>
        </w:rPr>
        <w:t xml:space="preserve">                     </w:t>
      </w:r>
      <w:r>
        <w:rPr>
          <w:rFonts w:hint="eastAsia" w:ascii="仿宋" w:hAnsi="仿宋" w:eastAsia="仿宋" w:cs="仿宋"/>
          <w:b/>
          <w:bCs/>
          <w:sz w:val="28"/>
          <w:szCs w:val="28"/>
          <w:lang w:eastAsia="zh-CN"/>
        </w:rPr>
        <w:t xml:space="preserve"> </w:t>
      </w:r>
      <w:r>
        <w:rPr>
          <w:rFonts w:hint="eastAsia" w:ascii="仿宋" w:hAnsi="仿宋" w:eastAsia="仿宋" w:cs="仿宋"/>
          <w:b/>
          <w:bCs/>
          <w:sz w:val="28"/>
          <w:szCs w:val="28"/>
          <w:lang w:val="en-US" w:eastAsia="zh-CN"/>
        </w:rPr>
        <w:t xml:space="preserve">    </w:t>
      </w:r>
      <w:r>
        <w:rPr>
          <w:rFonts w:hint="eastAsia" w:ascii="仿宋" w:hAnsi="仿宋" w:eastAsia="仿宋" w:cs="仿宋"/>
          <w:b/>
          <w:bCs/>
          <w:color w:val="000000" w:themeColor="text1"/>
          <w:sz w:val="28"/>
          <w:szCs w:val="28"/>
          <w:shd w:val="clear" w:color="auto" w:fill="auto"/>
          <w:lang w:eastAsia="zh-CN"/>
          <w14:textFill>
            <w14:solidFill>
              <w14:schemeClr w14:val="tx1"/>
            </w14:solidFill>
          </w14:textFill>
        </w:rPr>
        <w:t>二〇二</w:t>
      </w:r>
      <w:r>
        <w:rPr>
          <w:rFonts w:hint="eastAsia" w:ascii="仿宋" w:hAnsi="仿宋" w:eastAsia="仿宋" w:cs="仿宋"/>
          <w:b/>
          <w:bCs/>
          <w:color w:val="000000" w:themeColor="text1"/>
          <w:sz w:val="28"/>
          <w:szCs w:val="28"/>
          <w:shd w:val="clear" w:color="auto" w:fill="auto"/>
          <w:lang w:val="en-US" w:eastAsia="zh-CN"/>
          <w14:textFill>
            <w14:solidFill>
              <w14:schemeClr w14:val="tx1"/>
            </w14:solidFill>
          </w14:textFill>
        </w:rPr>
        <w:t>二年八</w:t>
      </w:r>
      <w:r>
        <w:rPr>
          <w:rFonts w:hint="eastAsia" w:ascii="仿宋" w:hAnsi="仿宋" w:eastAsia="仿宋" w:cs="仿宋"/>
          <w:b/>
          <w:bCs/>
          <w:color w:val="000000" w:themeColor="text1"/>
          <w:sz w:val="28"/>
          <w:szCs w:val="28"/>
          <w:shd w:val="clear" w:color="auto" w:fill="auto"/>
          <w:lang w:eastAsia="zh-CN"/>
          <w14:textFill>
            <w14:solidFill>
              <w14:schemeClr w14:val="tx1"/>
            </w14:solidFill>
          </w14:textFill>
        </w:rPr>
        <w:t>月</w:t>
      </w:r>
      <w:r>
        <w:rPr>
          <w:rFonts w:hint="eastAsia" w:ascii="仿宋" w:hAnsi="仿宋" w:eastAsia="仿宋" w:cs="仿宋"/>
          <w:b/>
          <w:bCs/>
          <w:color w:val="000000" w:themeColor="text1"/>
          <w:sz w:val="28"/>
          <w:szCs w:val="28"/>
          <w:shd w:val="clear" w:color="auto" w:fill="auto"/>
          <w:lang w:val="en-US" w:eastAsia="zh-CN"/>
          <w14:textFill>
            <w14:solidFill>
              <w14:schemeClr w14:val="tx1"/>
            </w14:solidFill>
          </w14:textFill>
        </w:rPr>
        <w:t>十五</w:t>
      </w:r>
      <w:r>
        <w:rPr>
          <w:rFonts w:hint="eastAsia" w:ascii="仿宋" w:hAnsi="仿宋" w:eastAsia="仿宋" w:cs="仿宋"/>
          <w:b/>
          <w:bCs/>
          <w:color w:val="000000" w:themeColor="text1"/>
          <w:sz w:val="28"/>
          <w:szCs w:val="28"/>
          <w:shd w:val="clear" w:color="auto" w:fill="auto"/>
          <w:lang w:eastAsia="zh-CN"/>
          <w14:textFill>
            <w14:solidFill>
              <w14:schemeClr w14:val="tx1"/>
            </w14:solidFill>
          </w14:textFill>
        </w:rPr>
        <w:t>日</w:t>
      </w:r>
    </w:p>
    <w:p>
      <w:pPr>
        <w:jc w:val="center"/>
        <w:rPr>
          <w:rFonts w:ascii="仿宋" w:hAnsi="仿宋" w:eastAsia="仿宋" w:cs="仿宋"/>
          <w:b/>
          <w:color w:val="000000" w:themeColor="text1"/>
          <w:sz w:val="28"/>
          <w:szCs w:val="28"/>
          <w14:textFill>
            <w14:solidFill>
              <w14:schemeClr w14:val="tx1"/>
            </w14:solidFill>
          </w14:textFill>
        </w:rPr>
        <w:sectPr>
          <w:endnotePr>
            <w:numFmt w:val="decimal"/>
          </w:endnotePr>
          <w:pgSz w:w="11906" w:h="16838"/>
          <w:pgMar w:top="1440" w:right="1080" w:bottom="1440" w:left="1080" w:header="851" w:footer="992" w:gutter="0"/>
          <w:pgNumType w:chapStyle="1"/>
          <w:cols w:space="720" w:num="1"/>
          <w:docGrid w:type="lines" w:linePitch="312" w:charSpace="0"/>
        </w:sectPr>
      </w:pPr>
    </w:p>
    <w:p>
      <w:pPr>
        <w:spacing w:line="700" w:lineRule="exact"/>
        <w:jc w:val="center"/>
        <w:rPr>
          <w:rFonts w:ascii="仿宋" w:hAnsi="仿宋" w:eastAsia="仿宋" w:cs="仿宋"/>
          <w:b/>
          <w:bCs/>
          <w:kern w:val="0"/>
          <w:sz w:val="52"/>
          <w:szCs w:val="52"/>
        </w:rPr>
      </w:pPr>
      <w:r>
        <w:rPr>
          <w:rFonts w:hint="eastAsia" w:ascii="仿宋" w:hAnsi="仿宋" w:eastAsia="仿宋" w:cs="仿宋"/>
          <w:b/>
          <w:bCs/>
          <w:kern w:val="0"/>
          <w:sz w:val="52"/>
          <w:szCs w:val="52"/>
        </w:rPr>
        <w:t>目   录</w:t>
      </w:r>
    </w:p>
    <w:p>
      <w:pPr>
        <w:pStyle w:val="16"/>
        <w:keepNext w:val="0"/>
        <w:keepLines w:val="0"/>
        <w:pageBreakBefore w:val="0"/>
        <w:widowControl w:val="0"/>
        <w:tabs>
          <w:tab w:val="right" w:leader="dot" w:pos="9746"/>
        </w:tabs>
        <w:kinsoku/>
        <w:wordWrap/>
        <w:overflowPunct/>
        <w:topLinePunct w:val="0"/>
        <w:autoSpaceDE/>
        <w:autoSpaceDN/>
        <w:bidi w:val="0"/>
        <w:adjustRightInd/>
        <w:snapToGrid/>
        <w:spacing w:line="640" w:lineRule="exact"/>
        <w:textAlignment w:val="auto"/>
      </w:pPr>
      <w:bookmarkStart w:id="0" w:name="_Toc286074107"/>
      <w:r>
        <w:rPr>
          <w:rFonts w:hint="eastAsia" w:ascii="仿宋" w:hAnsi="仿宋" w:eastAsia="仿宋" w:cs="仿宋"/>
          <w:sz w:val="24"/>
        </w:rPr>
        <w:fldChar w:fldCharType="begin"/>
      </w:r>
      <w:r>
        <w:rPr>
          <w:rFonts w:hint="eastAsia" w:ascii="仿宋" w:hAnsi="仿宋" w:eastAsia="仿宋" w:cs="仿宋"/>
          <w:sz w:val="24"/>
        </w:rPr>
        <w:instrText xml:space="preserve">TOC \o "1-2" \h \u </w:instrText>
      </w:r>
      <w:r>
        <w:rPr>
          <w:rFonts w:hint="eastAsia" w:ascii="仿宋" w:hAnsi="仿宋" w:eastAsia="仿宋" w:cs="仿宋"/>
          <w:sz w:val="24"/>
        </w:rPr>
        <w:fldChar w:fldCharType="separate"/>
      </w:r>
      <w:r>
        <w:fldChar w:fldCharType="begin"/>
      </w:r>
      <w:r>
        <w:instrText xml:space="preserve"> HYPERLINK \l "_Toc15568" </w:instrText>
      </w:r>
      <w:r>
        <w:fldChar w:fldCharType="separate"/>
      </w:r>
      <w:r>
        <w:rPr>
          <w:rFonts w:hint="eastAsia" w:ascii="仿宋" w:hAnsi="仿宋" w:eastAsia="仿宋" w:cs="仿宋"/>
          <w:bCs/>
          <w:kern w:val="0"/>
          <w:szCs w:val="52"/>
        </w:rPr>
        <w:t>估价师声明</w:t>
      </w:r>
      <w:r>
        <w:tab/>
      </w:r>
      <w:r>
        <w:fldChar w:fldCharType="begin"/>
      </w:r>
      <w:r>
        <w:instrText xml:space="preserve"> PAGEREF _Toc15568 \h </w:instrText>
      </w:r>
      <w:r>
        <w:fldChar w:fldCharType="separate"/>
      </w:r>
      <w:r>
        <w:t>2</w:t>
      </w:r>
      <w:r>
        <w:fldChar w:fldCharType="end"/>
      </w:r>
      <w:r>
        <w:fldChar w:fldCharType="end"/>
      </w:r>
    </w:p>
    <w:p>
      <w:pPr>
        <w:pStyle w:val="16"/>
        <w:keepNext w:val="0"/>
        <w:keepLines w:val="0"/>
        <w:pageBreakBefore w:val="0"/>
        <w:widowControl w:val="0"/>
        <w:tabs>
          <w:tab w:val="right" w:leader="dot" w:pos="9746"/>
        </w:tabs>
        <w:kinsoku/>
        <w:wordWrap/>
        <w:overflowPunct/>
        <w:topLinePunct w:val="0"/>
        <w:autoSpaceDE/>
        <w:autoSpaceDN/>
        <w:bidi w:val="0"/>
        <w:adjustRightInd/>
        <w:snapToGrid/>
        <w:spacing w:line="640" w:lineRule="exact"/>
        <w:textAlignment w:val="auto"/>
      </w:pPr>
      <w:r>
        <w:fldChar w:fldCharType="begin"/>
      </w:r>
      <w:r>
        <w:instrText xml:space="preserve"> HYPERLINK \l "_Toc22942" </w:instrText>
      </w:r>
      <w:r>
        <w:fldChar w:fldCharType="separate"/>
      </w:r>
      <w:r>
        <w:rPr>
          <w:rFonts w:hint="eastAsia" w:ascii="仿宋" w:hAnsi="仿宋" w:eastAsia="仿宋" w:cs="仿宋"/>
          <w:bCs/>
          <w:kern w:val="0"/>
          <w:szCs w:val="52"/>
        </w:rPr>
        <w:t>估价的假设和限制条件</w:t>
      </w:r>
      <w:r>
        <w:tab/>
      </w:r>
      <w:r>
        <w:fldChar w:fldCharType="begin"/>
      </w:r>
      <w:r>
        <w:instrText xml:space="preserve"> PAGEREF _Toc22942 \h </w:instrText>
      </w:r>
      <w:r>
        <w:fldChar w:fldCharType="separate"/>
      </w:r>
      <w:r>
        <w:t>3</w:t>
      </w:r>
      <w:r>
        <w:fldChar w:fldCharType="end"/>
      </w:r>
      <w:r>
        <w:fldChar w:fldCharType="end"/>
      </w:r>
    </w:p>
    <w:p>
      <w:pPr>
        <w:pStyle w:val="16"/>
        <w:keepNext w:val="0"/>
        <w:keepLines w:val="0"/>
        <w:pageBreakBefore w:val="0"/>
        <w:widowControl w:val="0"/>
        <w:tabs>
          <w:tab w:val="right" w:leader="dot" w:pos="9746"/>
        </w:tabs>
        <w:kinsoku/>
        <w:wordWrap/>
        <w:overflowPunct/>
        <w:topLinePunct w:val="0"/>
        <w:autoSpaceDE/>
        <w:autoSpaceDN/>
        <w:bidi w:val="0"/>
        <w:adjustRightInd/>
        <w:snapToGrid/>
        <w:spacing w:line="640" w:lineRule="exact"/>
        <w:textAlignment w:val="auto"/>
      </w:pPr>
      <w:r>
        <w:fldChar w:fldCharType="begin"/>
      </w:r>
      <w:r>
        <w:instrText xml:space="preserve"> HYPERLINK \l "_Toc12606" </w:instrText>
      </w:r>
      <w:r>
        <w:fldChar w:fldCharType="separate"/>
      </w:r>
      <w:r>
        <w:rPr>
          <w:rFonts w:hint="eastAsia" w:ascii="仿宋" w:hAnsi="仿宋" w:eastAsia="仿宋" w:cs="仿宋"/>
          <w:bCs/>
          <w:kern w:val="0"/>
          <w:szCs w:val="52"/>
        </w:rPr>
        <w:t>估价结果报告</w:t>
      </w:r>
      <w:r>
        <w:tab/>
      </w:r>
      <w:r>
        <w:fldChar w:fldCharType="begin"/>
      </w:r>
      <w:r>
        <w:instrText xml:space="preserve"> PAGEREF _Toc12606 \h </w:instrText>
      </w:r>
      <w:r>
        <w:fldChar w:fldCharType="separate"/>
      </w:r>
      <w:r>
        <w:t>5</w:t>
      </w:r>
      <w:r>
        <w:fldChar w:fldCharType="end"/>
      </w:r>
      <w:r>
        <w:fldChar w:fldCharType="end"/>
      </w:r>
    </w:p>
    <w:p>
      <w:pPr>
        <w:pStyle w:val="19"/>
        <w:keepNext w:val="0"/>
        <w:keepLines w:val="0"/>
        <w:pageBreakBefore w:val="0"/>
        <w:widowControl w:val="0"/>
        <w:tabs>
          <w:tab w:val="right" w:leader="dot" w:pos="9746"/>
          <w:tab w:val="clear" w:pos="9890"/>
        </w:tabs>
        <w:kinsoku/>
        <w:wordWrap/>
        <w:overflowPunct/>
        <w:topLinePunct w:val="0"/>
        <w:autoSpaceDE/>
        <w:autoSpaceDN/>
        <w:bidi w:val="0"/>
        <w:adjustRightInd/>
        <w:snapToGrid/>
        <w:spacing w:line="640" w:lineRule="exact"/>
        <w:textAlignment w:val="auto"/>
      </w:pPr>
      <w:r>
        <w:fldChar w:fldCharType="begin"/>
      </w:r>
      <w:r>
        <w:instrText xml:space="preserve"> HYPERLINK \l "_Toc19827" </w:instrText>
      </w:r>
      <w:r>
        <w:fldChar w:fldCharType="separate"/>
      </w:r>
      <w:r>
        <w:rPr>
          <w:rFonts w:hint="eastAsia" w:ascii="仿宋" w:hAnsi="仿宋" w:eastAsia="仿宋" w:cs="仿宋"/>
          <w:kern w:val="0"/>
          <w:szCs w:val="32"/>
        </w:rPr>
        <w:t>一、估价委托方</w:t>
      </w:r>
      <w:r>
        <w:tab/>
      </w:r>
      <w:r>
        <w:fldChar w:fldCharType="begin"/>
      </w:r>
      <w:r>
        <w:instrText xml:space="preserve"> PAGEREF _Toc19827 \h </w:instrText>
      </w:r>
      <w:r>
        <w:fldChar w:fldCharType="separate"/>
      </w:r>
      <w:r>
        <w:t>5</w:t>
      </w:r>
      <w:r>
        <w:fldChar w:fldCharType="end"/>
      </w:r>
      <w:r>
        <w:fldChar w:fldCharType="end"/>
      </w:r>
    </w:p>
    <w:p>
      <w:pPr>
        <w:pStyle w:val="19"/>
        <w:keepNext w:val="0"/>
        <w:keepLines w:val="0"/>
        <w:pageBreakBefore w:val="0"/>
        <w:widowControl w:val="0"/>
        <w:tabs>
          <w:tab w:val="right" w:leader="dot" w:pos="9746"/>
          <w:tab w:val="clear" w:pos="9890"/>
        </w:tabs>
        <w:kinsoku/>
        <w:wordWrap/>
        <w:overflowPunct/>
        <w:topLinePunct w:val="0"/>
        <w:autoSpaceDE/>
        <w:autoSpaceDN/>
        <w:bidi w:val="0"/>
        <w:adjustRightInd/>
        <w:snapToGrid/>
        <w:spacing w:line="640" w:lineRule="exact"/>
        <w:textAlignment w:val="auto"/>
      </w:pPr>
      <w:r>
        <w:fldChar w:fldCharType="begin"/>
      </w:r>
      <w:r>
        <w:instrText xml:space="preserve"> HYPERLINK \l "_Toc18443" </w:instrText>
      </w:r>
      <w:r>
        <w:fldChar w:fldCharType="separate"/>
      </w:r>
      <w:r>
        <w:rPr>
          <w:rFonts w:hint="eastAsia" w:ascii="仿宋" w:hAnsi="仿宋" w:eastAsia="仿宋" w:cs="仿宋"/>
          <w:bCs/>
          <w:kern w:val="0"/>
          <w:szCs w:val="32"/>
        </w:rPr>
        <w:t>二、房地产估价机构</w:t>
      </w:r>
      <w:r>
        <w:tab/>
      </w:r>
      <w:r>
        <w:fldChar w:fldCharType="begin"/>
      </w:r>
      <w:r>
        <w:instrText xml:space="preserve"> PAGEREF _Toc18443 \h </w:instrText>
      </w:r>
      <w:r>
        <w:fldChar w:fldCharType="separate"/>
      </w:r>
      <w:r>
        <w:t>5</w:t>
      </w:r>
      <w:r>
        <w:fldChar w:fldCharType="end"/>
      </w:r>
      <w:r>
        <w:fldChar w:fldCharType="end"/>
      </w:r>
    </w:p>
    <w:p>
      <w:pPr>
        <w:pStyle w:val="19"/>
        <w:keepNext w:val="0"/>
        <w:keepLines w:val="0"/>
        <w:pageBreakBefore w:val="0"/>
        <w:widowControl w:val="0"/>
        <w:tabs>
          <w:tab w:val="right" w:leader="dot" w:pos="9746"/>
          <w:tab w:val="clear" w:pos="9890"/>
        </w:tabs>
        <w:kinsoku/>
        <w:wordWrap/>
        <w:overflowPunct/>
        <w:topLinePunct w:val="0"/>
        <w:autoSpaceDE/>
        <w:autoSpaceDN/>
        <w:bidi w:val="0"/>
        <w:adjustRightInd/>
        <w:snapToGrid/>
        <w:spacing w:line="640" w:lineRule="exact"/>
        <w:textAlignment w:val="auto"/>
      </w:pPr>
      <w:r>
        <w:fldChar w:fldCharType="begin"/>
      </w:r>
      <w:r>
        <w:instrText xml:space="preserve"> HYPERLINK \l "_Toc337" </w:instrText>
      </w:r>
      <w:r>
        <w:fldChar w:fldCharType="separate"/>
      </w:r>
      <w:r>
        <w:rPr>
          <w:rFonts w:hint="eastAsia" w:ascii="仿宋" w:hAnsi="仿宋" w:eastAsia="仿宋" w:cs="仿宋"/>
          <w:bCs/>
          <w:kern w:val="0"/>
          <w:szCs w:val="32"/>
        </w:rPr>
        <w:t>三、估价目的</w:t>
      </w:r>
      <w:r>
        <w:tab/>
      </w:r>
      <w:r>
        <w:fldChar w:fldCharType="begin"/>
      </w:r>
      <w:r>
        <w:instrText xml:space="preserve"> PAGEREF _Toc337 \h </w:instrText>
      </w:r>
      <w:r>
        <w:fldChar w:fldCharType="separate"/>
      </w:r>
      <w:r>
        <w:t>5</w:t>
      </w:r>
      <w:r>
        <w:fldChar w:fldCharType="end"/>
      </w:r>
      <w:r>
        <w:fldChar w:fldCharType="end"/>
      </w:r>
    </w:p>
    <w:p>
      <w:pPr>
        <w:pStyle w:val="19"/>
        <w:keepNext w:val="0"/>
        <w:keepLines w:val="0"/>
        <w:pageBreakBefore w:val="0"/>
        <w:widowControl w:val="0"/>
        <w:tabs>
          <w:tab w:val="right" w:leader="dot" w:pos="9746"/>
          <w:tab w:val="clear" w:pos="9890"/>
        </w:tabs>
        <w:kinsoku/>
        <w:wordWrap/>
        <w:overflowPunct/>
        <w:topLinePunct w:val="0"/>
        <w:autoSpaceDE/>
        <w:autoSpaceDN/>
        <w:bidi w:val="0"/>
        <w:adjustRightInd/>
        <w:snapToGrid/>
        <w:spacing w:line="640" w:lineRule="exact"/>
        <w:textAlignment w:val="auto"/>
      </w:pPr>
      <w:r>
        <w:fldChar w:fldCharType="begin"/>
      </w:r>
      <w:r>
        <w:instrText xml:space="preserve"> HYPERLINK \l "_Toc22084" </w:instrText>
      </w:r>
      <w:r>
        <w:fldChar w:fldCharType="separate"/>
      </w:r>
      <w:r>
        <w:rPr>
          <w:rFonts w:hint="eastAsia" w:ascii="仿宋" w:hAnsi="仿宋" w:eastAsia="仿宋" w:cs="仿宋"/>
          <w:bCs/>
          <w:kern w:val="0"/>
          <w:szCs w:val="32"/>
        </w:rPr>
        <w:t>四、估价对象</w:t>
      </w:r>
      <w:r>
        <w:tab/>
      </w:r>
      <w:r>
        <w:fldChar w:fldCharType="begin"/>
      </w:r>
      <w:r>
        <w:instrText xml:space="preserve"> PAGEREF _Toc22084 \h </w:instrText>
      </w:r>
      <w:r>
        <w:fldChar w:fldCharType="separate"/>
      </w:r>
      <w:r>
        <w:t>5</w:t>
      </w:r>
      <w:r>
        <w:fldChar w:fldCharType="end"/>
      </w:r>
      <w:r>
        <w:fldChar w:fldCharType="end"/>
      </w:r>
    </w:p>
    <w:p>
      <w:pPr>
        <w:pStyle w:val="19"/>
        <w:keepNext w:val="0"/>
        <w:keepLines w:val="0"/>
        <w:pageBreakBefore w:val="0"/>
        <w:widowControl w:val="0"/>
        <w:tabs>
          <w:tab w:val="right" w:leader="dot" w:pos="9746"/>
          <w:tab w:val="clear" w:pos="9890"/>
        </w:tabs>
        <w:kinsoku/>
        <w:wordWrap/>
        <w:overflowPunct/>
        <w:topLinePunct w:val="0"/>
        <w:autoSpaceDE/>
        <w:autoSpaceDN/>
        <w:bidi w:val="0"/>
        <w:adjustRightInd/>
        <w:snapToGrid/>
        <w:spacing w:line="640" w:lineRule="exact"/>
        <w:textAlignment w:val="auto"/>
      </w:pPr>
      <w:r>
        <w:fldChar w:fldCharType="begin"/>
      </w:r>
      <w:r>
        <w:instrText xml:space="preserve"> HYPERLINK \l "_Toc8522" </w:instrText>
      </w:r>
      <w:r>
        <w:fldChar w:fldCharType="separate"/>
      </w:r>
      <w:r>
        <w:rPr>
          <w:rFonts w:hint="eastAsia" w:ascii="仿宋" w:hAnsi="仿宋" w:eastAsia="仿宋" w:cs="仿宋"/>
          <w:bCs/>
          <w:kern w:val="0"/>
          <w:szCs w:val="32"/>
        </w:rPr>
        <w:t>五、 价值时点</w:t>
      </w:r>
      <w:r>
        <w:tab/>
      </w:r>
      <w:r>
        <w:fldChar w:fldCharType="begin"/>
      </w:r>
      <w:r>
        <w:instrText xml:space="preserve"> PAGEREF _Toc8522 \h </w:instrText>
      </w:r>
      <w:r>
        <w:fldChar w:fldCharType="separate"/>
      </w:r>
      <w:r>
        <w:t>8</w:t>
      </w:r>
      <w:r>
        <w:fldChar w:fldCharType="end"/>
      </w:r>
      <w:r>
        <w:fldChar w:fldCharType="end"/>
      </w:r>
    </w:p>
    <w:p>
      <w:pPr>
        <w:pStyle w:val="19"/>
        <w:keepNext w:val="0"/>
        <w:keepLines w:val="0"/>
        <w:pageBreakBefore w:val="0"/>
        <w:widowControl w:val="0"/>
        <w:tabs>
          <w:tab w:val="right" w:leader="dot" w:pos="9746"/>
          <w:tab w:val="clear" w:pos="9890"/>
        </w:tabs>
        <w:kinsoku/>
        <w:wordWrap/>
        <w:overflowPunct/>
        <w:topLinePunct w:val="0"/>
        <w:autoSpaceDE/>
        <w:autoSpaceDN/>
        <w:bidi w:val="0"/>
        <w:adjustRightInd/>
        <w:snapToGrid/>
        <w:spacing w:line="640" w:lineRule="exact"/>
        <w:textAlignment w:val="auto"/>
      </w:pPr>
      <w:r>
        <w:fldChar w:fldCharType="begin"/>
      </w:r>
      <w:r>
        <w:instrText xml:space="preserve"> HYPERLINK \l "_Toc15880" </w:instrText>
      </w:r>
      <w:r>
        <w:fldChar w:fldCharType="separate"/>
      </w:r>
      <w:r>
        <w:rPr>
          <w:rFonts w:hint="eastAsia" w:ascii="仿宋" w:hAnsi="仿宋" w:eastAsia="仿宋" w:cs="仿宋"/>
          <w:bCs/>
          <w:kern w:val="0"/>
          <w:szCs w:val="32"/>
        </w:rPr>
        <w:t>六、价值类型</w:t>
      </w:r>
      <w:r>
        <w:tab/>
      </w:r>
      <w:r>
        <w:fldChar w:fldCharType="begin"/>
      </w:r>
      <w:r>
        <w:instrText xml:space="preserve"> PAGEREF _Toc15880 \h </w:instrText>
      </w:r>
      <w:r>
        <w:fldChar w:fldCharType="separate"/>
      </w:r>
      <w:r>
        <w:t>8</w:t>
      </w:r>
      <w:r>
        <w:fldChar w:fldCharType="end"/>
      </w:r>
      <w:r>
        <w:fldChar w:fldCharType="end"/>
      </w:r>
    </w:p>
    <w:p>
      <w:pPr>
        <w:pStyle w:val="19"/>
        <w:keepNext w:val="0"/>
        <w:keepLines w:val="0"/>
        <w:pageBreakBefore w:val="0"/>
        <w:widowControl w:val="0"/>
        <w:tabs>
          <w:tab w:val="right" w:leader="dot" w:pos="9746"/>
          <w:tab w:val="clear" w:pos="9890"/>
        </w:tabs>
        <w:kinsoku/>
        <w:wordWrap/>
        <w:overflowPunct/>
        <w:topLinePunct w:val="0"/>
        <w:autoSpaceDE/>
        <w:autoSpaceDN/>
        <w:bidi w:val="0"/>
        <w:adjustRightInd/>
        <w:snapToGrid/>
        <w:spacing w:line="640" w:lineRule="exact"/>
        <w:textAlignment w:val="auto"/>
      </w:pPr>
      <w:r>
        <w:fldChar w:fldCharType="begin"/>
      </w:r>
      <w:r>
        <w:instrText xml:space="preserve"> HYPERLINK \l "_Toc7183" </w:instrText>
      </w:r>
      <w:r>
        <w:fldChar w:fldCharType="separate"/>
      </w:r>
      <w:r>
        <w:rPr>
          <w:rFonts w:hint="eastAsia" w:ascii="仿宋" w:hAnsi="仿宋" w:eastAsia="仿宋" w:cs="仿宋"/>
          <w:bCs/>
          <w:kern w:val="0"/>
          <w:szCs w:val="32"/>
        </w:rPr>
        <w:t>七、估价原则</w:t>
      </w:r>
      <w:r>
        <w:tab/>
      </w:r>
      <w:r>
        <w:fldChar w:fldCharType="begin"/>
      </w:r>
      <w:r>
        <w:instrText xml:space="preserve"> PAGEREF _Toc7183 \h </w:instrText>
      </w:r>
      <w:r>
        <w:fldChar w:fldCharType="separate"/>
      </w:r>
      <w:r>
        <w:t>8</w:t>
      </w:r>
      <w:r>
        <w:fldChar w:fldCharType="end"/>
      </w:r>
      <w:r>
        <w:fldChar w:fldCharType="end"/>
      </w:r>
    </w:p>
    <w:p>
      <w:pPr>
        <w:pStyle w:val="19"/>
        <w:keepNext w:val="0"/>
        <w:keepLines w:val="0"/>
        <w:pageBreakBefore w:val="0"/>
        <w:widowControl w:val="0"/>
        <w:tabs>
          <w:tab w:val="right" w:leader="dot" w:pos="9746"/>
          <w:tab w:val="clear" w:pos="9890"/>
        </w:tabs>
        <w:kinsoku/>
        <w:wordWrap/>
        <w:overflowPunct/>
        <w:topLinePunct w:val="0"/>
        <w:autoSpaceDE/>
        <w:autoSpaceDN/>
        <w:bidi w:val="0"/>
        <w:adjustRightInd/>
        <w:snapToGrid/>
        <w:spacing w:line="640" w:lineRule="exact"/>
        <w:textAlignment w:val="auto"/>
      </w:pPr>
      <w:r>
        <w:fldChar w:fldCharType="begin"/>
      </w:r>
      <w:r>
        <w:instrText xml:space="preserve"> HYPERLINK \l "_Toc7205" </w:instrText>
      </w:r>
      <w:r>
        <w:fldChar w:fldCharType="separate"/>
      </w:r>
      <w:r>
        <w:rPr>
          <w:rFonts w:hint="eastAsia" w:ascii="仿宋" w:hAnsi="仿宋" w:eastAsia="仿宋" w:cs="仿宋"/>
          <w:bCs/>
          <w:kern w:val="0"/>
          <w:szCs w:val="32"/>
        </w:rPr>
        <w:t>八、估价依据</w:t>
      </w:r>
      <w:r>
        <w:tab/>
      </w:r>
      <w:r>
        <w:fldChar w:fldCharType="begin"/>
      </w:r>
      <w:r>
        <w:instrText xml:space="preserve"> PAGEREF _Toc7205 \h </w:instrText>
      </w:r>
      <w:r>
        <w:fldChar w:fldCharType="separate"/>
      </w:r>
      <w:r>
        <w:t>9</w:t>
      </w:r>
      <w:r>
        <w:fldChar w:fldCharType="end"/>
      </w:r>
      <w:r>
        <w:fldChar w:fldCharType="end"/>
      </w:r>
    </w:p>
    <w:p>
      <w:pPr>
        <w:pStyle w:val="19"/>
        <w:keepNext w:val="0"/>
        <w:keepLines w:val="0"/>
        <w:pageBreakBefore w:val="0"/>
        <w:widowControl w:val="0"/>
        <w:tabs>
          <w:tab w:val="right" w:leader="dot" w:pos="9746"/>
          <w:tab w:val="clear" w:pos="9890"/>
        </w:tabs>
        <w:kinsoku/>
        <w:wordWrap/>
        <w:overflowPunct/>
        <w:topLinePunct w:val="0"/>
        <w:autoSpaceDE/>
        <w:autoSpaceDN/>
        <w:bidi w:val="0"/>
        <w:adjustRightInd/>
        <w:snapToGrid/>
        <w:spacing w:line="640" w:lineRule="exact"/>
        <w:textAlignment w:val="auto"/>
      </w:pPr>
      <w:r>
        <w:fldChar w:fldCharType="begin"/>
      </w:r>
      <w:r>
        <w:instrText xml:space="preserve"> HYPERLINK \l "_Toc26764" </w:instrText>
      </w:r>
      <w:r>
        <w:fldChar w:fldCharType="separate"/>
      </w:r>
      <w:r>
        <w:rPr>
          <w:rFonts w:hint="eastAsia" w:ascii="仿宋" w:hAnsi="仿宋" w:eastAsia="仿宋" w:cs="仿宋"/>
          <w:bCs/>
          <w:kern w:val="0"/>
          <w:szCs w:val="32"/>
        </w:rPr>
        <w:t>九、估价方法</w:t>
      </w:r>
      <w:r>
        <w:tab/>
      </w:r>
      <w:r>
        <w:fldChar w:fldCharType="begin"/>
      </w:r>
      <w:r>
        <w:instrText xml:space="preserve"> PAGEREF _Toc26764 \h </w:instrText>
      </w:r>
      <w:r>
        <w:fldChar w:fldCharType="separate"/>
      </w:r>
      <w:r>
        <w:t>10</w:t>
      </w:r>
      <w:r>
        <w:fldChar w:fldCharType="end"/>
      </w:r>
      <w:r>
        <w:fldChar w:fldCharType="end"/>
      </w:r>
    </w:p>
    <w:p>
      <w:pPr>
        <w:pStyle w:val="19"/>
        <w:keepNext w:val="0"/>
        <w:keepLines w:val="0"/>
        <w:pageBreakBefore w:val="0"/>
        <w:widowControl w:val="0"/>
        <w:tabs>
          <w:tab w:val="right" w:leader="dot" w:pos="9746"/>
          <w:tab w:val="clear" w:pos="9890"/>
        </w:tabs>
        <w:kinsoku/>
        <w:wordWrap/>
        <w:overflowPunct/>
        <w:topLinePunct w:val="0"/>
        <w:autoSpaceDE/>
        <w:autoSpaceDN/>
        <w:bidi w:val="0"/>
        <w:adjustRightInd/>
        <w:snapToGrid/>
        <w:spacing w:line="640" w:lineRule="exact"/>
        <w:textAlignment w:val="auto"/>
      </w:pPr>
      <w:r>
        <w:fldChar w:fldCharType="begin"/>
      </w:r>
      <w:r>
        <w:instrText xml:space="preserve"> HYPERLINK \l "_Toc3021" </w:instrText>
      </w:r>
      <w:r>
        <w:fldChar w:fldCharType="separate"/>
      </w:r>
      <w:r>
        <w:rPr>
          <w:rFonts w:hint="eastAsia" w:ascii="仿宋" w:hAnsi="仿宋" w:eastAsia="仿宋" w:cs="仿宋"/>
          <w:bCs/>
          <w:kern w:val="0"/>
          <w:szCs w:val="32"/>
        </w:rPr>
        <w:t>十、估价结果</w:t>
      </w:r>
      <w:r>
        <w:tab/>
      </w:r>
      <w:r>
        <w:fldChar w:fldCharType="begin"/>
      </w:r>
      <w:r>
        <w:instrText xml:space="preserve"> PAGEREF _Toc3021 \h </w:instrText>
      </w:r>
      <w:r>
        <w:fldChar w:fldCharType="separate"/>
      </w:r>
      <w:r>
        <w:t>11</w:t>
      </w:r>
      <w:r>
        <w:fldChar w:fldCharType="end"/>
      </w:r>
      <w:r>
        <w:fldChar w:fldCharType="end"/>
      </w:r>
    </w:p>
    <w:p>
      <w:pPr>
        <w:pStyle w:val="19"/>
        <w:keepNext w:val="0"/>
        <w:keepLines w:val="0"/>
        <w:pageBreakBefore w:val="0"/>
        <w:widowControl w:val="0"/>
        <w:tabs>
          <w:tab w:val="right" w:leader="dot" w:pos="9746"/>
          <w:tab w:val="clear" w:pos="9890"/>
        </w:tabs>
        <w:kinsoku/>
        <w:wordWrap/>
        <w:overflowPunct/>
        <w:topLinePunct w:val="0"/>
        <w:autoSpaceDE/>
        <w:autoSpaceDN/>
        <w:bidi w:val="0"/>
        <w:adjustRightInd/>
        <w:snapToGrid/>
        <w:spacing w:line="640" w:lineRule="exact"/>
        <w:textAlignment w:val="auto"/>
      </w:pPr>
      <w:r>
        <w:fldChar w:fldCharType="begin"/>
      </w:r>
      <w:r>
        <w:instrText xml:space="preserve"> HYPERLINK \l "_Toc32091" </w:instrText>
      </w:r>
      <w:r>
        <w:fldChar w:fldCharType="separate"/>
      </w:r>
      <w:r>
        <w:rPr>
          <w:rFonts w:hint="eastAsia" w:ascii="仿宋" w:hAnsi="仿宋" w:eastAsia="仿宋" w:cs="仿宋"/>
          <w:bCs/>
          <w:kern w:val="0"/>
          <w:szCs w:val="32"/>
        </w:rPr>
        <w:t>十一、</w:t>
      </w:r>
      <w:r>
        <w:rPr>
          <w:rFonts w:hint="eastAsia" w:ascii="仿宋" w:hAnsi="仿宋" w:eastAsia="仿宋" w:cs="仿宋"/>
          <w:kern w:val="0"/>
        </w:rPr>
        <w:t>注册房地产估价师</w:t>
      </w:r>
      <w:r>
        <w:tab/>
      </w:r>
      <w:r>
        <w:fldChar w:fldCharType="begin"/>
      </w:r>
      <w:r>
        <w:instrText xml:space="preserve"> PAGEREF _Toc32091 \h </w:instrText>
      </w:r>
      <w:r>
        <w:fldChar w:fldCharType="separate"/>
      </w:r>
      <w:r>
        <w:t>12</w:t>
      </w:r>
      <w:r>
        <w:fldChar w:fldCharType="end"/>
      </w:r>
      <w:r>
        <w:fldChar w:fldCharType="end"/>
      </w:r>
    </w:p>
    <w:p>
      <w:pPr>
        <w:pStyle w:val="19"/>
        <w:keepNext w:val="0"/>
        <w:keepLines w:val="0"/>
        <w:pageBreakBefore w:val="0"/>
        <w:widowControl w:val="0"/>
        <w:tabs>
          <w:tab w:val="right" w:leader="dot" w:pos="9746"/>
          <w:tab w:val="clear" w:pos="9890"/>
        </w:tabs>
        <w:kinsoku/>
        <w:wordWrap/>
        <w:overflowPunct/>
        <w:topLinePunct w:val="0"/>
        <w:autoSpaceDE/>
        <w:autoSpaceDN/>
        <w:bidi w:val="0"/>
        <w:adjustRightInd/>
        <w:snapToGrid/>
        <w:spacing w:line="640" w:lineRule="exact"/>
        <w:textAlignment w:val="auto"/>
      </w:pPr>
      <w:r>
        <w:fldChar w:fldCharType="begin"/>
      </w:r>
      <w:r>
        <w:instrText xml:space="preserve"> HYPERLINK \l "_Toc30899" </w:instrText>
      </w:r>
      <w:r>
        <w:fldChar w:fldCharType="separate"/>
      </w:r>
      <w:r>
        <w:rPr>
          <w:rFonts w:hint="eastAsia" w:ascii="仿宋" w:hAnsi="仿宋" w:eastAsia="仿宋" w:cs="仿宋"/>
          <w:bCs/>
          <w:kern w:val="0"/>
        </w:rPr>
        <w:t>十二、实地查勘期</w:t>
      </w:r>
      <w:r>
        <w:tab/>
      </w:r>
      <w:r>
        <w:fldChar w:fldCharType="begin"/>
      </w:r>
      <w:r>
        <w:instrText xml:space="preserve"> PAGEREF _Toc30899 \h </w:instrText>
      </w:r>
      <w:r>
        <w:fldChar w:fldCharType="separate"/>
      </w:r>
      <w:r>
        <w:t>12</w:t>
      </w:r>
      <w:r>
        <w:fldChar w:fldCharType="end"/>
      </w:r>
      <w:r>
        <w:fldChar w:fldCharType="end"/>
      </w:r>
    </w:p>
    <w:p>
      <w:pPr>
        <w:pStyle w:val="19"/>
        <w:keepNext w:val="0"/>
        <w:keepLines w:val="0"/>
        <w:pageBreakBefore w:val="0"/>
        <w:widowControl w:val="0"/>
        <w:tabs>
          <w:tab w:val="right" w:leader="dot" w:pos="9746"/>
          <w:tab w:val="clear" w:pos="9890"/>
        </w:tabs>
        <w:kinsoku/>
        <w:wordWrap/>
        <w:overflowPunct/>
        <w:topLinePunct w:val="0"/>
        <w:autoSpaceDE/>
        <w:autoSpaceDN/>
        <w:bidi w:val="0"/>
        <w:adjustRightInd/>
        <w:snapToGrid/>
        <w:spacing w:line="640" w:lineRule="exact"/>
        <w:textAlignment w:val="auto"/>
      </w:pPr>
      <w:r>
        <w:fldChar w:fldCharType="begin"/>
      </w:r>
      <w:r>
        <w:instrText xml:space="preserve"> HYPERLINK \l "_Toc12504" </w:instrText>
      </w:r>
      <w:r>
        <w:fldChar w:fldCharType="separate"/>
      </w:r>
      <w:r>
        <w:rPr>
          <w:rFonts w:hint="eastAsia" w:ascii="仿宋" w:hAnsi="仿宋" w:eastAsia="仿宋" w:cs="仿宋"/>
          <w:bCs/>
          <w:kern w:val="0"/>
        </w:rPr>
        <w:t>十三、估价作业日期</w:t>
      </w:r>
      <w:r>
        <w:tab/>
      </w:r>
      <w:r>
        <w:fldChar w:fldCharType="begin"/>
      </w:r>
      <w:r>
        <w:instrText xml:space="preserve"> PAGEREF _Toc12504 \h </w:instrText>
      </w:r>
      <w:r>
        <w:fldChar w:fldCharType="separate"/>
      </w:r>
      <w:r>
        <w:t>13</w:t>
      </w:r>
      <w:r>
        <w:fldChar w:fldCharType="end"/>
      </w:r>
      <w:r>
        <w:fldChar w:fldCharType="end"/>
      </w:r>
    </w:p>
    <w:p>
      <w:pPr>
        <w:pStyle w:val="19"/>
        <w:keepNext w:val="0"/>
        <w:keepLines w:val="0"/>
        <w:pageBreakBefore w:val="0"/>
        <w:widowControl w:val="0"/>
        <w:tabs>
          <w:tab w:val="right" w:leader="dot" w:pos="9746"/>
          <w:tab w:val="clear" w:pos="9890"/>
        </w:tabs>
        <w:kinsoku/>
        <w:wordWrap/>
        <w:overflowPunct/>
        <w:topLinePunct w:val="0"/>
        <w:autoSpaceDE/>
        <w:autoSpaceDN/>
        <w:bidi w:val="0"/>
        <w:adjustRightInd/>
        <w:snapToGrid/>
        <w:spacing w:line="640" w:lineRule="exact"/>
        <w:textAlignment w:val="auto"/>
      </w:pPr>
      <w:r>
        <w:fldChar w:fldCharType="begin"/>
      </w:r>
      <w:r>
        <w:instrText xml:space="preserve"> HYPERLINK \l "_Toc31567" </w:instrText>
      </w:r>
      <w:r>
        <w:fldChar w:fldCharType="separate"/>
      </w:r>
      <w:r>
        <w:rPr>
          <w:rFonts w:hint="eastAsia" w:ascii="仿宋" w:hAnsi="仿宋" w:eastAsia="仿宋" w:cs="仿宋"/>
          <w:bCs/>
          <w:kern w:val="0"/>
        </w:rPr>
        <w:t>十四、估价报告应用的有效期</w:t>
      </w:r>
      <w:r>
        <w:tab/>
      </w:r>
      <w:r>
        <w:fldChar w:fldCharType="begin"/>
      </w:r>
      <w:r>
        <w:instrText xml:space="preserve"> PAGEREF _Toc31567 \h </w:instrText>
      </w:r>
      <w:r>
        <w:fldChar w:fldCharType="separate"/>
      </w:r>
      <w:r>
        <w:t>13</w:t>
      </w:r>
      <w:r>
        <w:fldChar w:fldCharType="end"/>
      </w:r>
      <w:r>
        <w:fldChar w:fldCharType="end"/>
      </w:r>
    </w:p>
    <w:p>
      <w:pPr>
        <w:pStyle w:val="19"/>
        <w:keepNext w:val="0"/>
        <w:keepLines w:val="0"/>
        <w:pageBreakBefore w:val="0"/>
        <w:widowControl w:val="0"/>
        <w:tabs>
          <w:tab w:val="right" w:leader="dot" w:pos="9746"/>
          <w:tab w:val="clear" w:pos="9890"/>
        </w:tabs>
        <w:kinsoku/>
        <w:wordWrap/>
        <w:overflowPunct/>
        <w:topLinePunct w:val="0"/>
        <w:autoSpaceDE/>
        <w:autoSpaceDN/>
        <w:bidi w:val="0"/>
        <w:adjustRightInd/>
        <w:snapToGrid/>
        <w:spacing w:line="640" w:lineRule="exact"/>
        <w:textAlignment w:val="auto"/>
      </w:pPr>
      <w:r>
        <w:fldChar w:fldCharType="begin"/>
      </w:r>
      <w:r>
        <w:instrText xml:space="preserve"> HYPERLINK \l "_Toc12004" </w:instrText>
      </w:r>
      <w:r>
        <w:fldChar w:fldCharType="separate"/>
      </w:r>
      <w:r>
        <w:rPr>
          <w:rFonts w:hint="eastAsia" w:ascii="仿宋" w:hAnsi="仿宋" w:eastAsia="仿宋" w:cs="仿宋"/>
          <w:bCs/>
          <w:kern w:val="0"/>
        </w:rPr>
        <w:t>十五、其它需要特别说明的事项</w:t>
      </w:r>
      <w:r>
        <w:tab/>
      </w:r>
      <w:r>
        <w:fldChar w:fldCharType="begin"/>
      </w:r>
      <w:r>
        <w:instrText xml:space="preserve"> PAGEREF _Toc12004 \h </w:instrText>
      </w:r>
      <w:r>
        <w:fldChar w:fldCharType="separate"/>
      </w:r>
      <w:r>
        <w:t>13</w:t>
      </w:r>
      <w:r>
        <w:fldChar w:fldCharType="end"/>
      </w:r>
      <w:r>
        <w:fldChar w:fldCharType="end"/>
      </w:r>
    </w:p>
    <w:p>
      <w:pPr>
        <w:pStyle w:val="19"/>
        <w:keepNext w:val="0"/>
        <w:keepLines w:val="0"/>
        <w:pageBreakBefore w:val="0"/>
        <w:widowControl w:val="0"/>
        <w:tabs>
          <w:tab w:val="right" w:leader="dot" w:pos="9746"/>
          <w:tab w:val="clear" w:pos="9890"/>
        </w:tabs>
        <w:kinsoku/>
        <w:wordWrap/>
        <w:overflowPunct/>
        <w:topLinePunct w:val="0"/>
        <w:autoSpaceDE/>
        <w:autoSpaceDN/>
        <w:bidi w:val="0"/>
        <w:adjustRightInd/>
        <w:snapToGrid/>
        <w:spacing w:line="640" w:lineRule="exact"/>
        <w:textAlignment w:val="auto"/>
      </w:pPr>
      <w:r>
        <w:fldChar w:fldCharType="begin"/>
      </w:r>
      <w:r>
        <w:instrText xml:space="preserve"> HYPERLINK \l "_Toc22566" </w:instrText>
      </w:r>
      <w:r>
        <w:fldChar w:fldCharType="separate"/>
      </w:r>
      <w:r>
        <w:rPr>
          <w:rFonts w:hint="eastAsia" w:ascii="仿宋" w:hAnsi="仿宋" w:eastAsia="仿宋" w:cs="仿宋"/>
          <w:bCs/>
          <w:kern w:val="0"/>
          <w:szCs w:val="44"/>
        </w:rPr>
        <w:t>附     件</w:t>
      </w:r>
      <w:r>
        <w:tab/>
      </w:r>
      <w:r>
        <w:fldChar w:fldCharType="begin"/>
      </w:r>
      <w:r>
        <w:instrText xml:space="preserve"> PAGEREF _Toc22566 \h </w:instrText>
      </w:r>
      <w:r>
        <w:fldChar w:fldCharType="separate"/>
      </w:r>
      <w:r>
        <w:t>14</w:t>
      </w:r>
      <w:r>
        <w:fldChar w:fldCharType="end"/>
      </w:r>
      <w:r>
        <w:fldChar w:fldCharType="end"/>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s="仿宋"/>
        </w:rPr>
      </w:pPr>
      <w:r>
        <w:rPr>
          <w:rFonts w:hint="eastAsia" w:ascii="仿宋" w:hAnsi="仿宋" w:eastAsia="仿宋" w:cs="仿宋"/>
        </w:rPr>
        <w:fldChar w:fldCharType="end"/>
      </w:r>
    </w:p>
    <w:p>
      <w:pPr>
        <w:spacing w:line="440" w:lineRule="exact"/>
        <w:rPr>
          <w:rFonts w:ascii="仿宋" w:hAnsi="仿宋" w:eastAsia="仿宋" w:cs="仿宋"/>
        </w:rPr>
      </w:pPr>
    </w:p>
    <w:p>
      <w:pPr>
        <w:pStyle w:val="2"/>
        <w:spacing w:before="0" w:after="0"/>
        <w:jc w:val="center"/>
        <w:rPr>
          <w:rFonts w:ascii="仿宋" w:hAnsi="仿宋" w:eastAsia="仿宋" w:cs="仿宋"/>
          <w:kern w:val="0"/>
          <w:sz w:val="52"/>
          <w:szCs w:val="52"/>
        </w:rPr>
      </w:pPr>
      <w:bookmarkStart w:id="1" w:name="_Toc15568"/>
      <w:r>
        <w:rPr>
          <w:rFonts w:hint="eastAsia" w:ascii="仿宋" w:hAnsi="仿宋" w:eastAsia="仿宋" w:cs="仿宋"/>
          <w:kern w:val="0"/>
          <w:sz w:val="52"/>
          <w:szCs w:val="52"/>
        </w:rPr>
        <w:t>估价师声明</w:t>
      </w:r>
      <w:bookmarkEnd w:id="0"/>
      <w:bookmarkEnd w:id="1"/>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eastAsia="仿宋_GB2312"/>
          <w:color w:val="000000"/>
          <w:sz w:val="26"/>
          <w:szCs w:val="26"/>
        </w:rPr>
      </w:pPr>
      <w:r>
        <w:rPr>
          <w:rFonts w:hint="eastAsia" w:eastAsia="仿宋_GB2312"/>
          <w:color w:val="000000"/>
          <w:sz w:val="26"/>
          <w:szCs w:val="26"/>
        </w:rPr>
        <w:t>所有参加估价的注册房地产估价师郑重申明：</w:t>
      </w:r>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eastAsia="仿宋_GB2312"/>
          <w:color w:val="000000"/>
          <w:sz w:val="26"/>
          <w:szCs w:val="26"/>
        </w:rPr>
      </w:pPr>
      <w:r>
        <w:rPr>
          <w:rFonts w:hint="eastAsia" w:eastAsia="仿宋_GB2312"/>
          <w:color w:val="000000"/>
          <w:sz w:val="26"/>
          <w:szCs w:val="26"/>
        </w:rPr>
        <w:t>一、注册房地产估价师在执行估价业务中，严格遵循相关法律法规和估价规范对注册房地产估价师的估价职业道德要求。</w:t>
      </w:r>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eastAsia="仿宋_GB2312"/>
          <w:color w:val="000000"/>
          <w:sz w:val="26"/>
          <w:szCs w:val="26"/>
        </w:rPr>
      </w:pPr>
      <w:r>
        <w:rPr>
          <w:rFonts w:hint="eastAsia" w:eastAsia="仿宋_GB2312"/>
          <w:color w:val="000000"/>
          <w:sz w:val="26"/>
          <w:szCs w:val="26"/>
        </w:rPr>
        <w:t xml:space="preserve">二、注册房地产估价师具备估价业务所需的专业胜任能力。 </w:t>
      </w:r>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eastAsia="仿宋_GB2312"/>
          <w:color w:val="000000"/>
          <w:sz w:val="26"/>
          <w:szCs w:val="26"/>
        </w:rPr>
      </w:pPr>
      <w:r>
        <w:rPr>
          <w:rFonts w:hint="eastAsia" w:eastAsia="仿宋_GB2312"/>
          <w:color w:val="000000"/>
          <w:sz w:val="26"/>
          <w:szCs w:val="26"/>
        </w:rPr>
        <w:t>三、注册房地产估价师估价业务中勤勉尽责，搜集合法、真实、准确、完整的估价所需资料，对搜集的估价所需资料进行检查，并对估价对象进行实地查勘。</w:t>
      </w:r>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eastAsia="仿宋_GB2312"/>
          <w:color w:val="000000"/>
          <w:sz w:val="26"/>
          <w:szCs w:val="26"/>
        </w:rPr>
      </w:pPr>
      <w:r>
        <w:rPr>
          <w:rFonts w:hint="eastAsia" w:eastAsia="仿宋_GB2312"/>
          <w:color w:val="000000"/>
          <w:sz w:val="26"/>
          <w:szCs w:val="26"/>
        </w:rPr>
        <w:t>四、注册房地产估价师在估价报告中对事实的说明是真实和准确的，没有虚假记载、误导性陈述和重大遗漏。</w:t>
      </w:r>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eastAsia="仿宋_GB2312"/>
          <w:color w:val="000000"/>
          <w:sz w:val="26"/>
          <w:szCs w:val="26"/>
        </w:rPr>
      </w:pPr>
      <w:r>
        <w:rPr>
          <w:rFonts w:hint="eastAsia" w:eastAsia="仿宋_GB2312"/>
          <w:color w:val="000000"/>
          <w:sz w:val="26"/>
          <w:szCs w:val="26"/>
        </w:rPr>
        <w:t>五、估价报告中的分析、意见和结论是注册房地产估价师独立、客观、公正的专业分析、意见和结论，但受到估价报告中已说明的估价假设和限制条件的限制。</w:t>
      </w:r>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eastAsia="仿宋_GB2312"/>
          <w:color w:val="000000"/>
          <w:sz w:val="26"/>
          <w:szCs w:val="26"/>
        </w:rPr>
      </w:pPr>
      <w:r>
        <w:rPr>
          <w:rFonts w:hint="eastAsia" w:eastAsia="仿宋_GB2312"/>
          <w:color w:val="000000"/>
          <w:sz w:val="26"/>
          <w:szCs w:val="26"/>
        </w:rPr>
        <w:t>六、注册房地产估价师与估价报告中的估价对象没有现实或潜在的利益，与估价委托方及估价利害关系人没有利害关系，也对估价对象、估价委托方及估价利害关系人没有偏见。</w:t>
      </w:r>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eastAsia="仿宋_GB2312"/>
          <w:color w:val="000000"/>
          <w:sz w:val="26"/>
          <w:szCs w:val="26"/>
        </w:rPr>
      </w:pPr>
      <w:r>
        <w:rPr>
          <w:rFonts w:hint="eastAsia" w:eastAsia="仿宋_GB2312"/>
          <w:color w:val="000000"/>
          <w:sz w:val="26"/>
          <w:szCs w:val="26"/>
        </w:rPr>
        <w:t>七、注册房地产估价师是按照《房地产估价规范》GB/T50291-2015、《房地产估价基本术语标准》GB/T50899—2013、等房地产估价标准的规定进行估价工作，撰写估价报告。</w:t>
      </w:r>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eastAsia="仿宋_GB2312"/>
          <w:color w:val="000000"/>
          <w:sz w:val="26"/>
          <w:szCs w:val="26"/>
        </w:rPr>
      </w:pPr>
      <w:r>
        <w:rPr>
          <w:rFonts w:hint="eastAsia" w:eastAsia="仿宋_GB2312"/>
          <w:color w:val="000000"/>
          <w:sz w:val="26"/>
          <w:szCs w:val="26"/>
        </w:rPr>
        <w:t>八、本估价报告没有专业帮助、未依据相关专业意见。</w:t>
      </w:r>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eastAsia="仿宋_GB2312"/>
          <w:color w:val="000000"/>
          <w:sz w:val="26"/>
          <w:szCs w:val="26"/>
        </w:rPr>
      </w:pPr>
    </w:p>
    <w:tbl>
      <w:tblPr>
        <w:tblStyle w:val="23"/>
        <w:tblW w:w="0" w:type="auto"/>
        <w:jc w:val="center"/>
        <w:tblLayout w:type="fixed"/>
        <w:tblCellMar>
          <w:top w:w="0" w:type="dxa"/>
          <w:left w:w="108" w:type="dxa"/>
          <w:bottom w:w="0" w:type="dxa"/>
          <w:right w:w="108" w:type="dxa"/>
        </w:tblCellMar>
      </w:tblPr>
      <w:tblGrid>
        <w:gridCol w:w="2562"/>
        <w:gridCol w:w="3285"/>
        <w:gridCol w:w="3570"/>
      </w:tblGrid>
      <w:tr>
        <w:tblPrEx>
          <w:tblCellMar>
            <w:top w:w="0" w:type="dxa"/>
            <w:left w:w="108" w:type="dxa"/>
            <w:bottom w:w="0" w:type="dxa"/>
            <w:right w:w="108" w:type="dxa"/>
          </w:tblCellMar>
        </w:tblPrEx>
        <w:trPr>
          <w:trHeight w:val="728" w:hRule="atLeast"/>
          <w:jc w:val="center"/>
        </w:trPr>
        <w:tc>
          <w:tcPr>
            <w:tcW w:w="25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姓   名</w:t>
            </w:r>
          </w:p>
        </w:tc>
        <w:tc>
          <w:tcPr>
            <w:tcW w:w="328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注册号</w:t>
            </w:r>
          </w:p>
        </w:tc>
        <w:tc>
          <w:tcPr>
            <w:tcW w:w="357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签名</w:t>
            </w:r>
          </w:p>
        </w:tc>
      </w:tr>
      <w:tr>
        <w:tblPrEx>
          <w:tblCellMar>
            <w:top w:w="0" w:type="dxa"/>
            <w:left w:w="108" w:type="dxa"/>
            <w:bottom w:w="0" w:type="dxa"/>
            <w:right w:w="108" w:type="dxa"/>
          </w:tblCellMar>
        </w:tblPrEx>
        <w:trPr>
          <w:trHeight w:val="768" w:hRule="atLeast"/>
          <w:jc w:val="center"/>
        </w:trPr>
        <w:tc>
          <w:tcPr>
            <w:tcW w:w="2562"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 w:val="28"/>
                <w:szCs w:val="28"/>
              </w:rPr>
            </w:pPr>
            <w:r>
              <w:rPr>
                <w:rFonts w:hint="eastAsia" w:ascii="仿宋" w:hAnsi="仿宋" w:eastAsia="仿宋" w:cs="仿宋"/>
                <w:bCs/>
                <w:sz w:val="28"/>
              </w:rPr>
              <w:t>覃  剑</w:t>
            </w:r>
          </w:p>
        </w:tc>
        <w:tc>
          <w:tcPr>
            <w:tcW w:w="3285"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28"/>
                <w:szCs w:val="28"/>
              </w:rPr>
            </w:pPr>
            <w:r>
              <w:rPr>
                <w:rFonts w:hint="eastAsia" w:ascii="仿宋" w:hAnsi="仿宋" w:eastAsia="仿宋" w:cs="仿宋"/>
                <w:bCs/>
                <w:sz w:val="28"/>
              </w:rPr>
              <w:t>5220040052</w:t>
            </w:r>
          </w:p>
        </w:tc>
        <w:tc>
          <w:tcPr>
            <w:tcW w:w="3570"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8"/>
                <w:szCs w:val="28"/>
              </w:rPr>
            </w:pPr>
            <w:r>
              <w:rPr>
                <w:rFonts w:hint="eastAsia" w:ascii="仿宋" w:hAnsi="仿宋" w:eastAsia="仿宋" w:cs="仿宋"/>
                <w:kern w:val="0"/>
                <w:sz w:val="28"/>
                <w:szCs w:val="28"/>
              </w:rPr>
              <w:t>　</w:t>
            </w:r>
          </w:p>
        </w:tc>
      </w:tr>
      <w:tr>
        <w:tblPrEx>
          <w:tblCellMar>
            <w:top w:w="0" w:type="dxa"/>
            <w:left w:w="108" w:type="dxa"/>
            <w:bottom w:w="0" w:type="dxa"/>
            <w:right w:w="108" w:type="dxa"/>
          </w:tblCellMar>
        </w:tblPrEx>
        <w:trPr>
          <w:trHeight w:val="839" w:hRule="atLeast"/>
          <w:jc w:val="center"/>
        </w:trPr>
        <w:tc>
          <w:tcPr>
            <w:tcW w:w="2562"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 w:val="28"/>
                <w:szCs w:val="28"/>
              </w:rPr>
            </w:pPr>
            <w:r>
              <w:rPr>
                <w:rFonts w:hint="eastAsia" w:ascii="仿宋" w:hAnsi="仿宋" w:eastAsia="仿宋" w:cs="仿宋"/>
                <w:bCs/>
                <w:sz w:val="28"/>
              </w:rPr>
              <w:t>杨青钢</w:t>
            </w:r>
          </w:p>
        </w:tc>
        <w:tc>
          <w:tcPr>
            <w:tcW w:w="3285"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28"/>
                <w:szCs w:val="28"/>
              </w:rPr>
            </w:pPr>
            <w:r>
              <w:rPr>
                <w:rFonts w:hint="eastAsia" w:ascii="仿宋" w:hAnsi="仿宋" w:eastAsia="仿宋" w:cs="仿宋"/>
                <w:bCs/>
                <w:sz w:val="28"/>
              </w:rPr>
              <w:t>5220200026</w:t>
            </w:r>
          </w:p>
        </w:tc>
        <w:tc>
          <w:tcPr>
            <w:tcW w:w="3570"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8"/>
                <w:szCs w:val="28"/>
              </w:rPr>
            </w:pPr>
            <w:r>
              <w:rPr>
                <w:rFonts w:hint="eastAsia" w:ascii="仿宋" w:hAnsi="仿宋" w:eastAsia="仿宋" w:cs="仿宋"/>
                <w:kern w:val="0"/>
                <w:sz w:val="28"/>
                <w:szCs w:val="28"/>
              </w:rPr>
              <w:t>　</w:t>
            </w:r>
          </w:p>
        </w:tc>
      </w:tr>
    </w:tbl>
    <w:p>
      <w:pPr>
        <w:overflowPunct w:val="0"/>
        <w:topLinePunct/>
        <w:adjustRightInd w:val="0"/>
        <w:snapToGrid w:val="0"/>
        <w:spacing w:line="300" w:lineRule="auto"/>
        <w:ind w:firstLine="560" w:firstLineChars="200"/>
        <w:jc w:val="left"/>
        <w:rPr>
          <w:rFonts w:ascii="仿宋" w:hAnsi="仿宋" w:eastAsia="仿宋" w:cs="仿宋"/>
          <w:bCs/>
          <w:sz w:val="28"/>
        </w:rPr>
      </w:pPr>
      <w:r>
        <w:rPr>
          <w:rFonts w:hint="eastAsia" w:ascii="仿宋" w:hAnsi="仿宋" w:eastAsia="仿宋" w:cs="仿宋"/>
          <w:bCs/>
          <w:sz w:val="28"/>
        </w:rPr>
        <w:t xml:space="preserve">    </w:t>
      </w:r>
    </w:p>
    <w:p>
      <w:pPr>
        <w:overflowPunct w:val="0"/>
        <w:topLinePunct/>
        <w:adjustRightInd w:val="0"/>
        <w:snapToGrid w:val="0"/>
        <w:spacing w:line="300" w:lineRule="auto"/>
        <w:rPr>
          <w:rFonts w:ascii="仿宋" w:hAnsi="仿宋" w:eastAsia="仿宋" w:cs="仿宋"/>
          <w:color w:val="000000"/>
          <w:kern w:val="0"/>
          <w:sz w:val="28"/>
          <w:szCs w:val="28"/>
        </w:rPr>
      </w:pPr>
    </w:p>
    <w:p>
      <w:pPr>
        <w:overflowPunct w:val="0"/>
        <w:topLinePunct/>
        <w:adjustRightInd w:val="0"/>
        <w:snapToGrid w:val="0"/>
        <w:spacing w:line="300" w:lineRule="auto"/>
        <w:rPr>
          <w:rFonts w:ascii="仿宋" w:hAnsi="仿宋" w:eastAsia="仿宋" w:cs="仿宋"/>
          <w:color w:val="000000"/>
          <w:kern w:val="0"/>
          <w:sz w:val="28"/>
          <w:szCs w:val="28"/>
        </w:rPr>
      </w:pPr>
    </w:p>
    <w:p>
      <w:pPr>
        <w:overflowPunct w:val="0"/>
        <w:topLinePunct/>
        <w:adjustRightInd w:val="0"/>
        <w:snapToGrid w:val="0"/>
        <w:spacing w:line="300" w:lineRule="auto"/>
        <w:rPr>
          <w:rFonts w:ascii="仿宋" w:hAnsi="仿宋" w:eastAsia="仿宋" w:cs="仿宋"/>
          <w:color w:val="000000"/>
          <w:kern w:val="0"/>
          <w:sz w:val="28"/>
          <w:szCs w:val="28"/>
        </w:rPr>
      </w:pPr>
    </w:p>
    <w:p>
      <w:pPr>
        <w:pStyle w:val="2"/>
        <w:spacing w:before="0" w:after="0"/>
        <w:jc w:val="center"/>
        <w:rPr>
          <w:rFonts w:ascii="仿宋" w:hAnsi="仿宋" w:eastAsia="仿宋" w:cs="仿宋"/>
          <w:kern w:val="0"/>
          <w:sz w:val="52"/>
          <w:szCs w:val="52"/>
        </w:rPr>
      </w:pPr>
      <w:bookmarkStart w:id="2" w:name="_Toc22942"/>
      <w:bookmarkStart w:id="3" w:name="_Toc461005127"/>
      <w:bookmarkStart w:id="4" w:name="_Toc522795031"/>
      <w:r>
        <w:rPr>
          <w:rFonts w:hint="eastAsia" w:ascii="仿宋" w:hAnsi="仿宋" w:eastAsia="仿宋" w:cs="仿宋"/>
          <w:kern w:val="0"/>
          <w:sz w:val="52"/>
          <w:szCs w:val="52"/>
        </w:rPr>
        <w:t>估价的假设和限制条件</w:t>
      </w:r>
      <w:bookmarkEnd w:id="2"/>
      <w:bookmarkEnd w:id="3"/>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ascii="仿宋" w:hAnsi="仿宋" w:eastAsia="仿宋" w:cs="仿宋"/>
          <w:b/>
          <w:bCs/>
          <w:sz w:val="28"/>
          <w:szCs w:val="28"/>
        </w:rPr>
      </w:pPr>
      <w:r>
        <w:rPr>
          <w:rFonts w:hint="eastAsia" w:ascii="仿宋" w:hAnsi="仿宋" w:eastAsia="仿宋" w:cs="仿宋"/>
          <w:b/>
          <w:bCs/>
          <w:sz w:val="28"/>
          <w:szCs w:val="28"/>
        </w:rPr>
        <w:t>一、一般性假设</w:t>
      </w:r>
      <w:bookmarkEnd w:id="4"/>
    </w:p>
    <w:p>
      <w:pPr>
        <w:keepNext w:val="0"/>
        <w:keepLines w:val="0"/>
        <w:pageBreakBefore w:val="0"/>
        <w:widowControl w:val="0"/>
        <w:tabs>
          <w:tab w:val="left" w:pos="403"/>
        </w:tabs>
        <w:kinsoku/>
        <w:wordWrap/>
        <w:overflowPunct/>
        <w:topLinePunct w:val="0"/>
        <w:autoSpaceDE/>
        <w:autoSpaceDN/>
        <w:bidi w:val="0"/>
        <w:adjustRightInd w:val="0"/>
        <w:snapToGrid w:val="0"/>
        <w:spacing w:line="480" w:lineRule="exact"/>
        <w:ind w:firstLine="520" w:firstLineChars="200"/>
        <w:textAlignment w:val="auto"/>
        <w:rPr>
          <w:rFonts w:eastAsia="仿宋_GB2312"/>
          <w:color w:val="000000"/>
          <w:sz w:val="26"/>
          <w:szCs w:val="26"/>
        </w:rPr>
      </w:pPr>
      <w:r>
        <w:rPr>
          <w:rFonts w:hint="eastAsia" w:eastAsia="仿宋_GB2312"/>
          <w:color w:val="000000"/>
          <w:sz w:val="26"/>
          <w:szCs w:val="26"/>
        </w:rPr>
        <w:t>（一）假设估价对象能够持续正常使用；</w:t>
      </w:r>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eastAsia="仿宋_GB2312"/>
          <w:color w:val="000000"/>
          <w:sz w:val="26"/>
          <w:szCs w:val="26"/>
        </w:rPr>
      </w:pPr>
      <w:r>
        <w:rPr>
          <w:rFonts w:hint="eastAsia" w:eastAsia="仿宋_GB2312"/>
          <w:color w:val="000000"/>
          <w:sz w:val="26"/>
          <w:szCs w:val="26"/>
        </w:rPr>
        <w:t>（二）注册房地产估价师对估价所依据的估价对象的权属、面积、用途等资料进行了检查，无理由怀疑其合法性、真实性、准确性和完整性且未予以核实，假定估价对象的权属、面积、用途等资料是合法、真实、准确和完整的；</w:t>
      </w:r>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eastAsia="仿宋_GB2312"/>
          <w:color w:val="000000"/>
          <w:sz w:val="26"/>
          <w:szCs w:val="26"/>
        </w:rPr>
      </w:pPr>
      <w:r>
        <w:rPr>
          <w:rFonts w:hint="eastAsia" w:eastAsia="仿宋_GB2312"/>
          <w:color w:val="000000"/>
          <w:sz w:val="26"/>
          <w:szCs w:val="26"/>
        </w:rPr>
        <w:t>（三）注册房地产估价师对房屋安全、环境污染等影响估价对象价值或价格的重大因素给予了关注，无理由怀疑估价对象存在安全隐患且无相应的专业机构进行鉴定、检测，假定估价对象不存在房屋安全隐患。</w:t>
      </w:r>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eastAsia="仿宋_GB2312"/>
          <w:color w:val="000000"/>
          <w:sz w:val="26"/>
          <w:szCs w:val="26"/>
        </w:rPr>
      </w:pPr>
      <w:r>
        <w:rPr>
          <w:rFonts w:hint="eastAsia" w:eastAsia="仿宋_GB2312"/>
          <w:color w:val="000000"/>
          <w:sz w:val="26"/>
          <w:szCs w:val="26"/>
        </w:rPr>
        <w:t>（四）公开市场假设。公开市场是形成市场价格的市场，市场价格是在价值时点预期能够成交的正常价格。它们依据了如下假设：</w:t>
      </w:r>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eastAsia="仿宋_GB2312"/>
          <w:color w:val="000000"/>
          <w:sz w:val="26"/>
          <w:szCs w:val="26"/>
        </w:rPr>
      </w:pPr>
      <w:r>
        <w:rPr>
          <w:rFonts w:hint="eastAsia" w:eastAsia="仿宋_GB2312"/>
          <w:color w:val="000000"/>
          <w:sz w:val="26"/>
          <w:szCs w:val="26"/>
        </w:rPr>
        <w:t>1、交易双方是自愿地进行交易的；</w:t>
      </w:r>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eastAsia="仿宋_GB2312"/>
          <w:color w:val="000000"/>
          <w:sz w:val="26"/>
          <w:szCs w:val="26"/>
        </w:rPr>
      </w:pPr>
      <w:r>
        <w:rPr>
          <w:rFonts w:hint="eastAsia" w:eastAsia="仿宋_GB2312"/>
          <w:color w:val="000000"/>
          <w:sz w:val="26"/>
          <w:szCs w:val="26"/>
        </w:rPr>
        <w:t>2、交易双方是出于利己动机进行交易的；</w:t>
      </w:r>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eastAsia="仿宋_GB2312"/>
          <w:color w:val="000000"/>
          <w:sz w:val="26"/>
          <w:szCs w:val="26"/>
        </w:rPr>
      </w:pPr>
      <w:r>
        <w:rPr>
          <w:rFonts w:hint="eastAsia" w:eastAsia="仿宋_GB2312"/>
          <w:color w:val="000000"/>
          <w:sz w:val="26"/>
          <w:szCs w:val="26"/>
        </w:rPr>
        <w:t>3、买卖双方的交易行为都是精明和谨慎的；</w:t>
      </w:r>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eastAsia="仿宋_GB2312"/>
          <w:color w:val="000000"/>
          <w:sz w:val="26"/>
          <w:szCs w:val="26"/>
        </w:rPr>
      </w:pPr>
      <w:r>
        <w:rPr>
          <w:rFonts w:hint="eastAsia" w:eastAsia="仿宋_GB2312"/>
          <w:color w:val="000000"/>
          <w:sz w:val="26"/>
          <w:szCs w:val="26"/>
        </w:rPr>
        <w:t>4、交易双方有较充裕的时间进行交易；</w:t>
      </w:r>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eastAsia="仿宋_GB2312"/>
          <w:color w:val="000000"/>
          <w:sz w:val="26"/>
          <w:szCs w:val="26"/>
        </w:rPr>
      </w:pPr>
      <w:r>
        <w:rPr>
          <w:rFonts w:hint="eastAsia" w:eastAsia="仿宋_GB2312"/>
          <w:color w:val="000000"/>
          <w:sz w:val="26"/>
          <w:szCs w:val="26"/>
        </w:rPr>
        <w:t>5、在此周期内，市场状况和价格水平是静止不动的；</w:t>
      </w:r>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eastAsia="仿宋_GB2312"/>
          <w:color w:val="000000"/>
          <w:sz w:val="26"/>
          <w:szCs w:val="26"/>
        </w:rPr>
      </w:pPr>
      <w:r>
        <w:rPr>
          <w:rFonts w:hint="eastAsia" w:eastAsia="仿宋_GB2312"/>
          <w:color w:val="000000"/>
          <w:sz w:val="26"/>
          <w:szCs w:val="26"/>
        </w:rPr>
        <w:t>6、不考虑特殊买家的附加出价，也未考虑国家宏观经济政策发生变化以及遇有自然力和其他不可抗力对资产价格的影响。</w:t>
      </w:r>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ascii="仿宋" w:hAnsi="仿宋" w:eastAsia="仿宋" w:cs="仿宋"/>
          <w:color w:val="000000"/>
          <w:kern w:val="0"/>
          <w:sz w:val="28"/>
          <w:szCs w:val="28"/>
        </w:rPr>
      </w:pPr>
      <w:r>
        <w:rPr>
          <w:rFonts w:hint="eastAsia" w:eastAsia="仿宋_GB2312"/>
          <w:color w:val="000000"/>
          <w:sz w:val="26"/>
          <w:szCs w:val="26"/>
        </w:rPr>
        <w:t>7、当前述条件情况发生变动时，估价结果一般会失效。</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ascii="仿宋" w:hAnsi="仿宋" w:eastAsia="仿宋" w:cs="仿宋"/>
          <w:b/>
          <w:bCs/>
          <w:color w:val="000000"/>
          <w:sz w:val="28"/>
          <w:szCs w:val="28"/>
        </w:rPr>
      </w:pPr>
      <w:bookmarkStart w:id="5" w:name="_Toc522795032"/>
      <w:r>
        <w:rPr>
          <w:rFonts w:hint="eastAsia" w:ascii="仿宋" w:hAnsi="仿宋" w:eastAsia="仿宋" w:cs="仿宋"/>
          <w:b/>
          <w:bCs/>
          <w:color w:val="000000"/>
          <w:sz w:val="28"/>
          <w:szCs w:val="28"/>
        </w:rPr>
        <w:t>二、未定事项假设</w:t>
      </w:r>
      <w:bookmarkEnd w:id="5"/>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eastAsia="仿宋_GB2312"/>
          <w:color w:val="000000"/>
          <w:sz w:val="26"/>
          <w:szCs w:val="26"/>
        </w:rPr>
      </w:pPr>
      <w:r>
        <w:rPr>
          <w:rFonts w:hint="eastAsia" w:eastAsia="仿宋_GB2312"/>
          <w:color w:val="000000"/>
          <w:sz w:val="26"/>
          <w:szCs w:val="26"/>
        </w:rPr>
        <w:t>无未定事项假。</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ascii="仿宋" w:hAnsi="仿宋" w:eastAsia="仿宋" w:cs="仿宋"/>
          <w:b/>
          <w:bCs/>
          <w:color w:val="000000"/>
          <w:sz w:val="28"/>
          <w:szCs w:val="28"/>
        </w:rPr>
      </w:pPr>
      <w:bookmarkStart w:id="6" w:name="_Toc522795033"/>
      <w:r>
        <w:rPr>
          <w:rFonts w:hint="eastAsia" w:ascii="仿宋" w:hAnsi="仿宋" w:eastAsia="仿宋" w:cs="仿宋"/>
          <w:b/>
          <w:bCs/>
          <w:color w:val="000000"/>
          <w:sz w:val="28"/>
          <w:szCs w:val="28"/>
        </w:rPr>
        <w:t>三、背离事实假设</w:t>
      </w:r>
      <w:bookmarkEnd w:id="6"/>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eastAsia="仿宋_GB2312"/>
          <w:color w:val="000000"/>
          <w:sz w:val="26"/>
          <w:szCs w:val="26"/>
        </w:rPr>
      </w:pPr>
      <w:r>
        <w:rPr>
          <w:rFonts w:hint="eastAsia" w:eastAsia="仿宋_GB2312"/>
          <w:color w:val="000000"/>
          <w:sz w:val="26"/>
          <w:szCs w:val="26"/>
        </w:rPr>
        <w:t>根据《房地产估价规范》(GB/T50291-2015)5.4.2.2条规定，结合本次估价目的是为人民法院确定财产处置参考价提供参考依据而评估房地产市场价值，故不考虑估价对象可能存在的抵押、查封、欠款等事项的影响。</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ascii="仿宋" w:hAnsi="仿宋" w:eastAsia="仿宋" w:cs="仿宋"/>
          <w:b/>
          <w:bCs/>
          <w:color w:val="000000"/>
          <w:sz w:val="28"/>
          <w:szCs w:val="28"/>
        </w:rPr>
      </w:pPr>
      <w:bookmarkStart w:id="7" w:name="_Toc522795034"/>
      <w:r>
        <w:rPr>
          <w:rFonts w:hint="eastAsia" w:ascii="仿宋" w:hAnsi="仿宋" w:eastAsia="仿宋" w:cs="仿宋"/>
          <w:b/>
          <w:bCs/>
          <w:color w:val="000000"/>
          <w:sz w:val="28"/>
          <w:szCs w:val="28"/>
        </w:rPr>
        <w:t>四、不相一致假设</w:t>
      </w:r>
      <w:bookmarkEnd w:id="7"/>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eastAsia="仿宋_GB2312"/>
          <w:color w:val="000000"/>
          <w:sz w:val="26"/>
          <w:szCs w:val="26"/>
        </w:rPr>
      </w:pPr>
      <w:r>
        <w:rPr>
          <w:rFonts w:hint="eastAsia" w:eastAsia="仿宋_GB2312"/>
          <w:color w:val="000000"/>
          <w:sz w:val="26"/>
          <w:szCs w:val="26"/>
        </w:rPr>
        <w:t>无不相一致假设。</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ascii="仿宋" w:hAnsi="仿宋" w:eastAsia="仿宋" w:cs="仿宋"/>
          <w:b/>
          <w:bCs/>
          <w:color w:val="000000"/>
          <w:sz w:val="28"/>
          <w:szCs w:val="28"/>
        </w:rPr>
      </w:pPr>
      <w:bookmarkStart w:id="8" w:name="_Toc522795035"/>
      <w:r>
        <w:rPr>
          <w:rFonts w:hint="eastAsia" w:ascii="仿宋" w:hAnsi="仿宋" w:eastAsia="仿宋" w:cs="仿宋"/>
          <w:b/>
          <w:bCs/>
          <w:color w:val="000000"/>
          <w:sz w:val="28"/>
          <w:szCs w:val="28"/>
        </w:rPr>
        <w:t>五、依据不足假设</w:t>
      </w:r>
      <w:bookmarkEnd w:id="8"/>
    </w:p>
    <w:p>
      <w:pPr>
        <w:keepNext w:val="0"/>
        <w:keepLines w:val="0"/>
        <w:pageBreakBefore w:val="0"/>
        <w:widowControl w:val="0"/>
        <w:kinsoku/>
        <w:wordWrap/>
        <w:overflowPunct/>
        <w:topLinePunct w:val="0"/>
        <w:autoSpaceDE/>
        <w:autoSpaceDN/>
        <w:bidi w:val="0"/>
        <w:adjustRightInd w:val="0"/>
        <w:snapToGrid w:val="0"/>
        <w:spacing w:line="400" w:lineRule="atLeast"/>
        <w:ind w:firstLine="520" w:firstLineChars="200"/>
        <w:textAlignment w:val="auto"/>
        <w:rPr>
          <w:rFonts w:eastAsia="仿宋_GB2312"/>
          <w:color w:val="000000"/>
          <w:sz w:val="26"/>
          <w:szCs w:val="26"/>
        </w:rPr>
      </w:pPr>
      <w:bookmarkStart w:id="9" w:name="_Toc522795036"/>
      <w:r>
        <w:rPr>
          <w:rFonts w:hint="eastAsia" w:eastAsia="仿宋_GB2312"/>
          <w:color w:val="000000"/>
          <w:sz w:val="26"/>
          <w:szCs w:val="26"/>
        </w:rPr>
        <w:t>1、委托人未</w:t>
      </w:r>
      <w:r>
        <w:rPr>
          <w:rFonts w:hint="eastAsia" w:eastAsia="仿宋_GB2312"/>
          <w:color w:val="000000"/>
          <w:sz w:val="26"/>
          <w:szCs w:val="26"/>
          <w:lang w:val="en-US" w:eastAsia="zh-CN"/>
        </w:rPr>
        <w:t>能</w:t>
      </w:r>
      <w:r>
        <w:rPr>
          <w:rFonts w:hint="eastAsia" w:eastAsia="仿宋_GB2312"/>
          <w:color w:val="000000"/>
          <w:sz w:val="26"/>
          <w:szCs w:val="26"/>
        </w:rPr>
        <w:t>提供估价对象的《房屋所有权证》或《不动产权证》，估价对象的权属、建筑面积、用途等，是根据委托方提供的《贵州省不动产登记查询结果》所得，若估价对象的实际面积、用途等与相关产权管理部门最终核定的不一致，应以相关产权部门核定的为准，并相应的调整评估价值。</w:t>
      </w:r>
    </w:p>
    <w:p>
      <w:pPr>
        <w:keepNext w:val="0"/>
        <w:keepLines w:val="0"/>
        <w:pageBreakBefore w:val="0"/>
        <w:widowControl w:val="0"/>
        <w:kinsoku/>
        <w:wordWrap/>
        <w:overflowPunct/>
        <w:topLinePunct w:val="0"/>
        <w:autoSpaceDE/>
        <w:autoSpaceDN/>
        <w:bidi w:val="0"/>
        <w:spacing w:line="400" w:lineRule="atLeast"/>
        <w:ind w:firstLine="562" w:firstLineChars="200"/>
        <w:textAlignment w:val="auto"/>
        <w:rPr>
          <w:rFonts w:ascii="仿宋" w:hAnsi="仿宋" w:eastAsia="仿宋" w:cs="仿宋"/>
          <w:b/>
          <w:bCs/>
          <w:sz w:val="28"/>
          <w:szCs w:val="28"/>
        </w:rPr>
      </w:pPr>
      <w:r>
        <w:rPr>
          <w:rFonts w:hint="eastAsia" w:ascii="仿宋" w:hAnsi="仿宋" w:eastAsia="仿宋" w:cs="仿宋"/>
          <w:b/>
          <w:bCs/>
          <w:sz w:val="28"/>
          <w:szCs w:val="28"/>
        </w:rPr>
        <w:t>六、估价报告使用限制</w:t>
      </w:r>
      <w:bookmarkEnd w:id="9"/>
    </w:p>
    <w:p>
      <w:pPr>
        <w:keepNext w:val="0"/>
        <w:keepLines w:val="0"/>
        <w:pageBreakBefore w:val="0"/>
        <w:widowControl w:val="0"/>
        <w:kinsoku/>
        <w:wordWrap/>
        <w:overflowPunct/>
        <w:topLinePunct w:val="0"/>
        <w:autoSpaceDE/>
        <w:autoSpaceDN/>
        <w:bidi w:val="0"/>
        <w:adjustRightInd w:val="0"/>
        <w:snapToGrid w:val="0"/>
        <w:spacing w:line="400" w:lineRule="atLeast"/>
        <w:ind w:firstLine="520" w:firstLineChars="200"/>
        <w:textAlignment w:val="auto"/>
        <w:rPr>
          <w:rFonts w:eastAsia="仿宋_GB2312"/>
          <w:color w:val="000000"/>
          <w:sz w:val="26"/>
          <w:szCs w:val="26"/>
        </w:rPr>
      </w:pPr>
      <w:r>
        <w:rPr>
          <w:rFonts w:hint="eastAsia" w:eastAsia="仿宋_GB2312"/>
          <w:color w:val="000000"/>
          <w:sz w:val="26"/>
          <w:szCs w:val="26"/>
        </w:rPr>
        <w:t>（一）本估价报告及估价结果仅用于报告载明之估价目的使用，不得用于报告载明估价目的之外的用途使用。</w:t>
      </w:r>
    </w:p>
    <w:p>
      <w:pPr>
        <w:keepNext w:val="0"/>
        <w:keepLines w:val="0"/>
        <w:pageBreakBefore w:val="0"/>
        <w:widowControl w:val="0"/>
        <w:kinsoku/>
        <w:wordWrap/>
        <w:overflowPunct/>
        <w:topLinePunct w:val="0"/>
        <w:autoSpaceDE/>
        <w:autoSpaceDN/>
        <w:bidi w:val="0"/>
        <w:adjustRightInd w:val="0"/>
        <w:snapToGrid w:val="0"/>
        <w:spacing w:line="400" w:lineRule="atLeast"/>
        <w:ind w:firstLine="520" w:firstLineChars="200"/>
        <w:textAlignment w:val="auto"/>
        <w:rPr>
          <w:rFonts w:eastAsia="仿宋_GB2312"/>
          <w:color w:val="000000"/>
          <w:sz w:val="26"/>
          <w:szCs w:val="26"/>
        </w:rPr>
      </w:pPr>
      <w:r>
        <w:rPr>
          <w:rFonts w:hint="eastAsia" w:eastAsia="仿宋_GB2312"/>
          <w:color w:val="000000"/>
          <w:sz w:val="26"/>
          <w:szCs w:val="26"/>
        </w:rPr>
        <w:t>非为法律、行政法规的需要，报告及附件的全部或部分内容不得向委托方和评估审查部门以外的单位和个人提供，未经委托单位许可，不得见诸于公开媒体、复制或引证。</w:t>
      </w:r>
    </w:p>
    <w:p>
      <w:pPr>
        <w:keepNext w:val="0"/>
        <w:keepLines w:val="0"/>
        <w:pageBreakBefore w:val="0"/>
        <w:widowControl w:val="0"/>
        <w:kinsoku/>
        <w:wordWrap/>
        <w:overflowPunct/>
        <w:topLinePunct w:val="0"/>
        <w:autoSpaceDE/>
        <w:autoSpaceDN/>
        <w:bidi w:val="0"/>
        <w:adjustRightInd w:val="0"/>
        <w:snapToGrid w:val="0"/>
        <w:spacing w:line="400" w:lineRule="atLeast"/>
        <w:ind w:firstLine="520" w:firstLineChars="200"/>
        <w:textAlignment w:val="auto"/>
        <w:rPr>
          <w:rFonts w:eastAsia="仿宋_GB2312"/>
          <w:color w:val="000000"/>
          <w:sz w:val="26"/>
          <w:szCs w:val="26"/>
        </w:rPr>
      </w:pPr>
      <w:r>
        <w:rPr>
          <w:rFonts w:hint="eastAsia" w:eastAsia="仿宋_GB2312"/>
          <w:color w:val="000000"/>
          <w:sz w:val="26"/>
          <w:szCs w:val="26"/>
        </w:rPr>
        <w:t>因使用不当产生的后果，与本估价机构及注册房地产估价师无关。</w:t>
      </w:r>
    </w:p>
    <w:p>
      <w:pPr>
        <w:keepNext w:val="0"/>
        <w:keepLines w:val="0"/>
        <w:pageBreakBefore w:val="0"/>
        <w:widowControl w:val="0"/>
        <w:kinsoku/>
        <w:wordWrap/>
        <w:overflowPunct/>
        <w:topLinePunct w:val="0"/>
        <w:autoSpaceDE/>
        <w:autoSpaceDN/>
        <w:bidi w:val="0"/>
        <w:adjustRightInd w:val="0"/>
        <w:snapToGrid w:val="0"/>
        <w:spacing w:line="400" w:lineRule="atLeast"/>
        <w:ind w:firstLine="520" w:firstLineChars="200"/>
        <w:textAlignment w:val="auto"/>
        <w:rPr>
          <w:rFonts w:eastAsia="仿宋_GB2312"/>
          <w:color w:val="000000"/>
          <w:sz w:val="26"/>
          <w:szCs w:val="26"/>
        </w:rPr>
      </w:pPr>
      <w:r>
        <w:rPr>
          <w:rFonts w:hint="eastAsia" w:eastAsia="仿宋_GB2312"/>
          <w:color w:val="000000"/>
          <w:sz w:val="26"/>
          <w:szCs w:val="26"/>
        </w:rPr>
        <w:t>（二）本估价报告有效期限为一年，从估价报告出具日期之日起计算，估价目的在报告有效期内实现的，可以本估价报告及估价结果作参考。</w:t>
      </w:r>
    </w:p>
    <w:p>
      <w:pPr>
        <w:keepNext w:val="0"/>
        <w:keepLines w:val="0"/>
        <w:pageBreakBefore w:val="0"/>
        <w:widowControl w:val="0"/>
        <w:kinsoku/>
        <w:wordWrap/>
        <w:overflowPunct/>
        <w:topLinePunct w:val="0"/>
        <w:autoSpaceDE/>
        <w:autoSpaceDN/>
        <w:bidi w:val="0"/>
        <w:adjustRightInd w:val="0"/>
        <w:snapToGrid w:val="0"/>
        <w:spacing w:line="400" w:lineRule="atLeast"/>
        <w:ind w:firstLine="520" w:firstLineChars="200"/>
        <w:textAlignment w:val="auto"/>
        <w:rPr>
          <w:rFonts w:eastAsia="仿宋_GB2312"/>
          <w:color w:val="000000"/>
          <w:sz w:val="26"/>
          <w:szCs w:val="26"/>
        </w:rPr>
      </w:pPr>
      <w:r>
        <w:rPr>
          <w:rFonts w:hint="eastAsia" w:eastAsia="仿宋_GB2312"/>
          <w:color w:val="000000"/>
          <w:sz w:val="26"/>
          <w:szCs w:val="26"/>
        </w:rPr>
        <w:t>估价目的在报告有限期之后实现的，不能以本估价报告及估价结果作参考，应重新进行估价。</w:t>
      </w:r>
    </w:p>
    <w:p>
      <w:pPr>
        <w:keepNext w:val="0"/>
        <w:keepLines w:val="0"/>
        <w:pageBreakBefore w:val="0"/>
        <w:widowControl w:val="0"/>
        <w:kinsoku/>
        <w:wordWrap/>
        <w:overflowPunct/>
        <w:topLinePunct w:val="0"/>
        <w:autoSpaceDE/>
        <w:autoSpaceDN/>
        <w:bidi w:val="0"/>
        <w:adjustRightInd w:val="0"/>
        <w:snapToGrid w:val="0"/>
        <w:spacing w:line="400" w:lineRule="atLeast"/>
        <w:ind w:firstLine="520" w:firstLineChars="200"/>
        <w:textAlignment w:val="auto"/>
        <w:rPr>
          <w:rFonts w:eastAsia="仿宋_GB2312"/>
          <w:color w:val="000000"/>
          <w:sz w:val="26"/>
          <w:szCs w:val="26"/>
        </w:rPr>
      </w:pPr>
      <w:r>
        <w:rPr>
          <w:rFonts w:hint="eastAsia" w:eastAsia="仿宋_GB2312"/>
          <w:color w:val="000000"/>
          <w:sz w:val="26"/>
          <w:szCs w:val="26"/>
        </w:rPr>
        <w:t>价值时点后估价报告有效期以内若估价对象数量或价格水平发生重大变化，对估价结果产生明显影响时，委托方或相关当事方应及时聘请估价机构重新确定估价结果。</w:t>
      </w:r>
    </w:p>
    <w:p>
      <w:pPr>
        <w:keepNext w:val="0"/>
        <w:keepLines w:val="0"/>
        <w:pageBreakBefore w:val="0"/>
        <w:widowControl w:val="0"/>
        <w:kinsoku/>
        <w:wordWrap/>
        <w:overflowPunct/>
        <w:topLinePunct w:val="0"/>
        <w:autoSpaceDE/>
        <w:autoSpaceDN/>
        <w:bidi w:val="0"/>
        <w:adjustRightInd w:val="0"/>
        <w:snapToGrid w:val="0"/>
        <w:spacing w:line="400" w:lineRule="atLeast"/>
        <w:ind w:firstLine="520" w:firstLineChars="200"/>
        <w:textAlignment w:val="auto"/>
        <w:rPr>
          <w:rFonts w:eastAsia="仿宋_GB2312"/>
          <w:color w:val="000000"/>
          <w:sz w:val="26"/>
          <w:szCs w:val="26"/>
        </w:rPr>
      </w:pPr>
      <w:r>
        <w:rPr>
          <w:rFonts w:hint="eastAsia" w:eastAsia="仿宋_GB2312"/>
          <w:color w:val="000000"/>
          <w:sz w:val="26"/>
          <w:szCs w:val="26"/>
        </w:rPr>
        <w:t>估价报告使用者包括委托方、估价目的涉及的估价报告使用者以及国家法律法规明确的估价报告使用者。除国家法律、法规另有规定外，任何未经估价机构和委托方确认的机构或个人不能由于得到估价报告成为估价报告使用者。</w:t>
      </w:r>
    </w:p>
    <w:p>
      <w:pPr>
        <w:keepNext w:val="0"/>
        <w:keepLines w:val="0"/>
        <w:pageBreakBefore w:val="0"/>
        <w:widowControl w:val="0"/>
        <w:kinsoku/>
        <w:wordWrap/>
        <w:overflowPunct/>
        <w:topLinePunct w:val="0"/>
        <w:autoSpaceDE/>
        <w:autoSpaceDN/>
        <w:bidi w:val="0"/>
        <w:spacing w:line="400" w:lineRule="atLeast"/>
        <w:ind w:firstLine="562" w:firstLineChars="200"/>
        <w:textAlignment w:val="auto"/>
        <w:rPr>
          <w:rFonts w:ascii="仿宋" w:hAnsi="仿宋" w:eastAsia="仿宋" w:cs="仿宋"/>
          <w:b/>
          <w:bCs/>
          <w:sz w:val="28"/>
          <w:szCs w:val="28"/>
        </w:rPr>
      </w:pPr>
      <w:bookmarkStart w:id="10" w:name="_Toc522795037"/>
      <w:r>
        <w:rPr>
          <w:rFonts w:hint="eastAsia" w:ascii="仿宋" w:hAnsi="仿宋" w:eastAsia="仿宋" w:cs="仿宋"/>
          <w:b/>
          <w:bCs/>
          <w:sz w:val="28"/>
          <w:szCs w:val="28"/>
        </w:rPr>
        <w:t>七、使用估价报告和估价结果时需要注意的其他事项</w:t>
      </w:r>
      <w:bookmarkEnd w:id="10"/>
    </w:p>
    <w:p>
      <w:pPr>
        <w:keepNext w:val="0"/>
        <w:keepLines w:val="0"/>
        <w:pageBreakBefore w:val="0"/>
        <w:widowControl w:val="0"/>
        <w:kinsoku/>
        <w:wordWrap/>
        <w:overflowPunct/>
        <w:topLinePunct w:val="0"/>
        <w:autoSpaceDE/>
        <w:autoSpaceDN/>
        <w:bidi w:val="0"/>
        <w:adjustRightInd w:val="0"/>
        <w:snapToGrid w:val="0"/>
        <w:spacing w:line="400" w:lineRule="atLeast"/>
        <w:ind w:firstLine="520" w:firstLineChars="200"/>
        <w:textAlignment w:val="auto"/>
        <w:rPr>
          <w:rFonts w:eastAsia="仿宋_GB2312"/>
          <w:color w:val="000000"/>
          <w:sz w:val="26"/>
          <w:szCs w:val="26"/>
        </w:rPr>
      </w:pPr>
      <w:r>
        <w:rPr>
          <w:rFonts w:hint="eastAsia" w:eastAsia="仿宋_GB2312"/>
          <w:color w:val="000000"/>
          <w:sz w:val="26"/>
          <w:szCs w:val="26"/>
        </w:rPr>
        <w:t>（一）本估价报告提供的估价结果是在假设和限制条件及特殊说明事项下于价值时点的公开市场价格（包含建筑物应分摊的土地使用权价值）。</w:t>
      </w:r>
    </w:p>
    <w:p>
      <w:pPr>
        <w:keepNext w:val="0"/>
        <w:keepLines w:val="0"/>
        <w:pageBreakBefore w:val="0"/>
        <w:widowControl w:val="0"/>
        <w:kinsoku/>
        <w:wordWrap/>
        <w:overflowPunct/>
        <w:topLinePunct w:val="0"/>
        <w:autoSpaceDE/>
        <w:autoSpaceDN/>
        <w:bidi w:val="0"/>
        <w:adjustRightInd w:val="0"/>
        <w:snapToGrid w:val="0"/>
        <w:spacing w:line="400" w:lineRule="atLeast"/>
        <w:ind w:firstLine="520" w:firstLineChars="200"/>
        <w:textAlignment w:val="auto"/>
        <w:rPr>
          <w:rFonts w:eastAsia="仿宋_GB2312"/>
          <w:color w:val="000000"/>
          <w:sz w:val="26"/>
          <w:szCs w:val="26"/>
        </w:rPr>
      </w:pPr>
      <w:r>
        <w:rPr>
          <w:rFonts w:hint="eastAsia" w:eastAsia="仿宋_GB2312"/>
          <w:color w:val="000000"/>
          <w:sz w:val="26"/>
          <w:szCs w:val="26"/>
        </w:rPr>
        <w:t>（二）本估价报告的估价目的为委托方案件执行提供价值参考依据，报告形成的估价结果，仅供相关方参考。相关数额由相关双方根据市场风险、兑现难易和政府有关税费缴纳规定等情况确定。</w:t>
      </w:r>
    </w:p>
    <w:p>
      <w:pPr>
        <w:keepNext w:val="0"/>
        <w:keepLines w:val="0"/>
        <w:pageBreakBefore w:val="0"/>
        <w:widowControl w:val="0"/>
        <w:kinsoku/>
        <w:wordWrap/>
        <w:overflowPunct/>
        <w:topLinePunct w:val="0"/>
        <w:autoSpaceDE/>
        <w:autoSpaceDN/>
        <w:bidi w:val="0"/>
        <w:adjustRightInd w:val="0"/>
        <w:snapToGrid w:val="0"/>
        <w:spacing w:line="400" w:lineRule="atLeast"/>
        <w:ind w:firstLine="520" w:firstLineChars="200"/>
        <w:textAlignment w:val="auto"/>
        <w:rPr>
          <w:rFonts w:eastAsia="仿宋_GB2312"/>
          <w:color w:val="000000"/>
          <w:sz w:val="26"/>
          <w:szCs w:val="26"/>
        </w:rPr>
      </w:pPr>
      <w:r>
        <w:rPr>
          <w:rFonts w:hint="eastAsia" w:eastAsia="仿宋_GB2312"/>
          <w:color w:val="000000"/>
          <w:sz w:val="26"/>
          <w:szCs w:val="26"/>
        </w:rPr>
        <w:t>（三）本报告的估价结果是估价对象在价值时点现状利用状况下的价值，并不是房地产开发完成后的价值或售价，在此提请估价报告使用方注意。</w:t>
      </w:r>
    </w:p>
    <w:p>
      <w:pPr>
        <w:keepNext w:val="0"/>
        <w:keepLines w:val="0"/>
        <w:pageBreakBefore w:val="0"/>
        <w:widowControl w:val="0"/>
        <w:kinsoku/>
        <w:wordWrap/>
        <w:overflowPunct/>
        <w:topLinePunct w:val="0"/>
        <w:autoSpaceDE/>
        <w:autoSpaceDN/>
        <w:bidi w:val="0"/>
        <w:adjustRightInd w:val="0"/>
        <w:snapToGrid w:val="0"/>
        <w:spacing w:line="400" w:lineRule="atLeast"/>
        <w:ind w:firstLine="520" w:firstLineChars="200"/>
        <w:textAlignment w:val="auto"/>
        <w:rPr>
          <w:rFonts w:eastAsia="仿宋_GB2312"/>
          <w:color w:val="000000"/>
          <w:sz w:val="26"/>
          <w:szCs w:val="26"/>
        </w:rPr>
      </w:pPr>
      <w:r>
        <w:rPr>
          <w:rFonts w:hint="eastAsia" w:eastAsia="仿宋_GB2312"/>
          <w:color w:val="000000"/>
          <w:sz w:val="26"/>
          <w:szCs w:val="26"/>
        </w:rPr>
        <w:t>（四）本公司注册房地产估价师已对本估价报告中的估价对象进行了实地查勘，但仅限于对估价对象建筑外观及目前使用状况。我们不承担对估价对象建筑结构、质量进行调查、核实的责任，也不承担对被遮盖、未暴露及难以接触到的部分进行检视的责任。</w:t>
      </w:r>
    </w:p>
    <w:p>
      <w:bookmarkStart w:id="11" w:name="_Toc286074109"/>
      <w:bookmarkStart w:id="12" w:name="_Toc522795038"/>
    </w:p>
    <w:p/>
    <w:p/>
    <w:p>
      <w:pPr>
        <w:pStyle w:val="2"/>
        <w:spacing w:before="0" w:after="0" w:line="500" w:lineRule="exact"/>
        <w:ind w:firstLine="3132" w:firstLineChars="600"/>
        <w:jc w:val="both"/>
        <w:rPr>
          <w:rFonts w:ascii="仿宋" w:hAnsi="仿宋" w:eastAsia="仿宋" w:cs="仿宋"/>
          <w:kern w:val="0"/>
          <w:sz w:val="52"/>
          <w:szCs w:val="52"/>
        </w:rPr>
      </w:pPr>
      <w:bookmarkStart w:id="13" w:name="_Toc12606"/>
      <w:r>
        <w:rPr>
          <w:rFonts w:hint="eastAsia" w:ascii="仿宋" w:hAnsi="仿宋" w:eastAsia="仿宋" w:cs="仿宋"/>
          <w:kern w:val="0"/>
          <w:sz w:val="52"/>
          <w:szCs w:val="52"/>
        </w:rPr>
        <w:t>估价结果报告</w:t>
      </w:r>
      <w:bookmarkEnd w:id="11"/>
      <w:bookmarkEnd w:id="12"/>
      <w:bookmarkEnd w:id="13"/>
    </w:p>
    <w:p>
      <w:pPr>
        <w:spacing w:line="500" w:lineRule="exact"/>
        <w:jc w:val="center"/>
        <w:rPr>
          <w:rFonts w:ascii="仿宋" w:hAnsi="仿宋" w:eastAsia="仿宋" w:cs="仿宋"/>
          <w:b/>
          <w:bCs/>
          <w:szCs w:val="21"/>
        </w:rPr>
      </w:pPr>
      <w:r>
        <w:rPr>
          <w:rFonts w:hint="eastAsia" w:ascii="仿宋" w:hAnsi="仿宋" w:eastAsia="仿宋" w:cs="仿宋"/>
          <w:b/>
          <w:bCs/>
          <w:szCs w:val="21"/>
        </w:rPr>
        <w:t>黔昊远房估字（2022）</w:t>
      </w:r>
      <w:r>
        <w:rPr>
          <w:rFonts w:hint="eastAsia" w:ascii="仿宋" w:hAnsi="仿宋" w:eastAsia="仿宋" w:cs="仿宋"/>
          <w:b/>
          <w:bCs/>
          <w:szCs w:val="21"/>
          <w:lang w:val="en-US" w:eastAsia="zh-CN"/>
        </w:rPr>
        <w:t>第</w:t>
      </w:r>
      <w:r>
        <w:rPr>
          <w:rFonts w:hint="eastAsia" w:ascii="仿宋" w:hAnsi="仿宋" w:eastAsia="仿宋" w:cs="仿宋"/>
          <w:b/>
          <w:bCs/>
          <w:szCs w:val="21"/>
          <w:lang w:eastAsia="zh-CN"/>
        </w:rPr>
        <w:t>070</w:t>
      </w:r>
      <w:r>
        <w:rPr>
          <w:rFonts w:hint="eastAsia" w:ascii="仿宋" w:hAnsi="仿宋" w:eastAsia="仿宋" w:cs="仿宋"/>
          <w:b/>
          <w:bCs/>
          <w:szCs w:val="21"/>
          <w:lang w:val="en-US" w:eastAsia="zh-CN"/>
        </w:rPr>
        <w:t>51</w:t>
      </w:r>
      <w:r>
        <w:rPr>
          <w:rFonts w:hint="eastAsia" w:ascii="仿宋" w:hAnsi="仿宋" w:eastAsia="仿宋" w:cs="仿宋"/>
          <w:b/>
          <w:bCs/>
          <w:szCs w:val="21"/>
        </w:rPr>
        <w:t>号</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仿宋" w:hAnsi="仿宋" w:eastAsia="仿宋" w:cs="仿宋"/>
          <w:color w:val="464646"/>
          <w:kern w:val="0"/>
          <w:sz w:val="28"/>
          <w:szCs w:val="28"/>
        </w:rPr>
      </w:pPr>
    </w:p>
    <w:p>
      <w:pPr>
        <w:pStyle w:val="3"/>
        <w:pageBreakBefore w:val="0"/>
        <w:widowControl w:val="0"/>
        <w:kinsoku/>
        <w:wordWrap/>
        <w:autoSpaceDE/>
        <w:autoSpaceDN/>
        <w:bidi w:val="0"/>
        <w:spacing w:before="156" w:beforeLines="50" w:after="156" w:afterLines="50" w:line="480" w:lineRule="exact"/>
        <w:ind w:firstLine="643" w:firstLineChars="200"/>
        <w:textAlignment w:val="auto"/>
        <w:rPr>
          <w:rFonts w:ascii="仿宋" w:hAnsi="仿宋" w:eastAsia="仿宋" w:cs="仿宋"/>
          <w:kern w:val="0"/>
        </w:rPr>
      </w:pPr>
      <w:bookmarkStart w:id="14" w:name="_Toc286074110"/>
      <w:bookmarkStart w:id="15" w:name="_Toc522795039"/>
      <w:bookmarkStart w:id="16" w:name="_Toc19827"/>
      <w:r>
        <w:rPr>
          <w:rFonts w:hint="eastAsia" w:ascii="仿宋" w:hAnsi="仿宋" w:eastAsia="仿宋" w:cs="仿宋"/>
          <w:kern w:val="0"/>
        </w:rPr>
        <w:t>一、估价委托</w:t>
      </w:r>
      <w:bookmarkEnd w:id="14"/>
      <w:r>
        <w:rPr>
          <w:rFonts w:hint="eastAsia" w:ascii="仿宋" w:hAnsi="仿宋" w:eastAsia="仿宋" w:cs="仿宋"/>
          <w:kern w:val="0"/>
        </w:rPr>
        <w:t>方</w:t>
      </w:r>
      <w:bookmarkEnd w:id="15"/>
      <w:bookmarkEnd w:id="16"/>
    </w:p>
    <w:p>
      <w:pPr>
        <w:pageBreakBefore w:val="0"/>
        <w:widowControl w:val="0"/>
        <w:kinsoku/>
        <w:wordWrap/>
        <w:autoSpaceDE/>
        <w:autoSpaceDN/>
        <w:bidi w:val="0"/>
        <w:adjustRightInd w:val="0"/>
        <w:snapToGrid w:val="0"/>
        <w:spacing w:line="480" w:lineRule="exact"/>
        <w:ind w:firstLine="520" w:firstLineChars="200"/>
        <w:textAlignment w:val="auto"/>
        <w:rPr>
          <w:rFonts w:hint="eastAsia" w:eastAsia="仿宋_GB2312"/>
          <w:color w:val="000000"/>
          <w:sz w:val="26"/>
          <w:szCs w:val="26"/>
          <w:lang w:eastAsia="zh-CN"/>
        </w:rPr>
      </w:pPr>
      <w:r>
        <w:rPr>
          <w:rFonts w:hint="eastAsia" w:eastAsia="仿宋_GB2312"/>
          <w:color w:val="000000"/>
          <w:sz w:val="26"/>
          <w:szCs w:val="26"/>
        </w:rPr>
        <w:t>单位名称：</w:t>
      </w:r>
      <w:r>
        <w:rPr>
          <w:rFonts w:hint="eastAsia" w:eastAsia="仿宋_GB2312"/>
          <w:color w:val="000000"/>
          <w:sz w:val="26"/>
          <w:szCs w:val="26"/>
          <w:lang w:eastAsia="zh-CN"/>
        </w:rPr>
        <w:t>纳雍县人民法院</w:t>
      </w:r>
    </w:p>
    <w:p>
      <w:pPr>
        <w:pageBreakBefore w:val="0"/>
        <w:widowControl w:val="0"/>
        <w:kinsoku/>
        <w:wordWrap/>
        <w:autoSpaceDE/>
        <w:autoSpaceDN/>
        <w:bidi w:val="0"/>
        <w:adjustRightInd w:val="0"/>
        <w:snapToGrid w:val="0"/>
        <w:spacing w:line="480" w:lineRule="exact"/>
        <w:ind w:firstLine="520" w:firstLineChars="200"/>
        <w:textAlignment w:val="auto"/>
        <w:rPr>
          <w:rFonts w:hint="default" w:eastAsia="仿宋_GB2312"/>
          <w:color w:val="000000"/>
          <w:sz w:val="26"/>
          <w:szCs w:val="26"/>
          <w:lang w:val="en-US" w:eastAsia="zh-CN"/>
        </w:rPr>
      </w:pPr>
      <w:r>
        <w:rPr>
          <w:rFonts w:hint="eastAsia" w:eastAsia="仿宋_GB2312"/>
          <w:color w:val="000000"/>
          <w:sz w:val="26"/>
          <w:szCs w:val="26"/>
        </w:rPr>
        <w:t>联系人：</w:t>
      </w:r>
      <w:r>
        <w:rPr>
          <w:rFonts w:hint="eastAsia" w:eastAsia="仿宋_GB2312"/>
          <w:color w:val="000000"/>
          <w:sz w:val="26"/>
          <w:szCs w:val="26"/>
          <w:lang w:val="en-US" w:eastAsia="zh-CN"/>
        </w:rPr>
        <w:t>左勇</w:t>
      </w:r>
    </w:p>
    <w:p>
      <w:pPr>
        <w:pageBreakBefore w:val="0"/>
        <w:widowControl w:val="0"/>
        <w:kinsoku/>
        <w:wordWrap/>
        <w:autoSpaceDE/>
        <w:autoSpaceDN/>
        <w:bidi w:val="0"/>
        <w:adjustRightInd w:val="0"/>
        <w:snapToGrid w:val="0"/>
        <w:spacing w:line="480" w:lineRule="exact"/>
        <w:ind w:firstLine="520" w:firstLineChars="200"/>
        <w:textAlignment w:val="auto"/>
        <w:rPr>
          <w:rFonts w:hint="default" w:eastAsia="仿宋_GB2312"/>
          <w:color w:val="000000"/>
          <w:sz w:val="26"/>
          <w:szCs w:val="26"/>
          <w:lang w:val="en-US" w:eastAsia="zh-CN"/>
        </w:rPr>
      </w:pPr>
      <w:r>
        <w:rPr>
          <w:rFonts w:hint="eastAsia" w:eastAsia="仿宋_GB2312"/>
          <w:color w:val="000000"/>
          <w:sz w:val="26"/>
          <w:szCs w:val="26"/>
        </w:rPr>
        <w:t>联系电话：</w:t>
      </w:r>
      <w:r>
        <w:rPr>
          <w:rFonts w:hint="eastAsia" w:eastAsia="仿宋_GB2312"/>
          <w:color w:val="000000"/>
          <w:sz w:val="26"/>
          <w:szCs w:val="26"/>
          <w:lang w:val="en-US" w:eastAsia="zh-CN"/>
        </w:rPr>
        <w:t>18076006849</w:t>
      </w:r>
    </w:p>
    <w:p>
      <w:pPr>
        <w:pageBreakBefore w:val="0"/>
        <w:widowControl w:val="0"/>
        <w:kinsoku/>
        <w:wordWrap/>
        <w:autoSpaceDE/>
        <w:autoSpaceDN/>
        <w:bidi w:val="0"/>
        <w:adjustRightInd w:val="0"/>
        <w:snapToGrid w:val="0"/>
        <w:spacing w:line="480" w:lineRule="exact"/>
        <w:ind w:firstLine="520" w:firstLineChars="200"/>
        <w:textAlignment w:val="auto"/>
        <w:rPr>
          <w:rFonts w:hint="default" w:eastAsia="仿宋_GB2312"/>
          <w:color w:val="000000"/>
          <w:sz w:val="26"/>
          <w:szCs w:val="26"/>
          <w:lang w:val="en-US" w:eastAsia="zh-CN"/>
        </w:rPr>
      </w:pPr>
      <w:r>
        <w:rPr>
          <w:rFonts w:hint="eastAsia" w:eastAsia="仿宋_GB2312"/>
          <w:color w:val="000000"/>
          <w:sz w:val="26"/>
          <w:szCs w:val="26"/>
        </w:rPr>
        <w:t>地址：</w:t>
      </w:r>
      <w:r>
        <w:rPr>
          <w:rFonts w:hint="eastAsia" w:eastAsia="仿宋_GB2312"/>
          <w:color w:val="000000"/>
          <w:sz w:val="26"/>
          <w:szCs w:val="26"/>
          <w:lang w:val="en-US" w:eastAsia="zh-CN"/>
        </w:rPr>
        <w:t>毕节市纳雍县</w:t>
      </w:r>
      <w:r>
        <w:rPr>
          <w:rFonts w:hint="eastAsia" w:eastAsia="仿宋_GB2312"/>
          <w:color w:val="000000"/>
          <w:sz w:val="26"/>
          <w:szCs w:val="26"/>
        </w:rPr>
        <w:t xml:space="preserve">  邮编：</w:t>
      </w:r>
      <w:r>
        <w:rPr>
          <w:rFonts w:hint="eastAsia" w:eastAsia="仿宋_GB2312"/>
          <w:color w:val="000000"/>
          <w:sz w:val="26"/>
          <w:szCs w:val="26"/>
          <w:lang w:val="en-US" w:eastAsia="zh-CN"/>
        </w:rPr>
        <w:t>553300</w:t>
      </w:r>
    </w:p>
    <w:p>
      <w:pPr>
        <w:pStyle w:val="3"/>
        <w:pageBreakBefore w:val="0"/>
        <w:widowControl w:val="0"/>
        <w:kinsoku/>
        <w:wordWrap/>
        <w:autoSpaceDE/>
        <w:autoSpaceDN/>
        <w:bidi w:val="0"/>
        <w:spacing w:before="156" w:beforeLines="50" w:after="156" w:afterLines="50" w:line="480" w:lineRule="exact"/>
        <w:ind w:firstLine="643" w:firstLineChars="200"/>
        <w:textAlignment w:val="auto"/>
        <w:rPr>
          <w:rFonts w:ascii="仿宋" w:hAnsi="仿宋" w:eastAsia="仿宋" w:cs="仿宋"/>
          <w:kern w:val="0"/>
        </w:rPr>
      </w:pPr>
      <w:bookmarkStart w:id="17" w:name="_Toc18443"/>
      <w:bookmarkStart w:id="18" w:name="_Toc522795040"/>
      <w:r>
        <w:rPr>
          <w:rFonts w:hint="eastAsia" w:ascii="仿宋" w:hAnsi="仿宋" w:eastAsia="仿宋" w:cs="仿宋"/>
          <w:kern w:val="0"/>
        </w:rPr>
        <w:t>二、房地产估价机构</w:t>
      </w:r>
      <w:bookmarkEnd w:id="17"/>
      <w:bookmarkEnd w:id="18"/>
    </w:p>
    <w:p>
      <w:pPr>
        <w:pageBreakBefore w:val="0"/>
        <w:widowControl w:val="0"/>
        <w:kinsoku/>
        <w:wordWrap/>
        <w:autoSpaceDE/>
        <w:autoSpaceDN/>
        <w:bidi w:val="0"/>
        <w:adjustRightInd w:val="0"/>
        <w:snapToGrid w:val="0"/>
        <w:spacing w:line="480" w:lineRule="exact"/>
        <w:ind w:firstLine="520" w:firstLineChars="200"/>
        <w:textAlignment w:val="auto"/>
        <w:rPr>
          <w:rFonts w:eastAsia="仿宋_GB2312"/>
          <w:color w:val="000000"/>
          <w:sz w:val="26"/>
          <w:szCs w:val="26"/>
        </w:rPr>
      </w:pPr>
      <w:r>
        <w:rPr>
          <w:rFonts w:hint="eastAsia" w:eastAsia="仿宋_GB2312"/>
          <w:color w:val="000000"/>
          <w:sz w:val="26"/>
          <w:szCs w:val="26"/>
        </w:rPr>
        <w:t>名      称：贵州昊远房地产土地评估有限公司</w:t>
      </w:r>
    </w:p>
    <w:p>
      <w:pPr>
        <w:pageBreakBefore w:val="0"/>
        <w:widowControl w:val="0"/>
        <w:kinsoku/>
        <w:wordWrap/>
        <w:autoSpaceDE/>
        <w:autoSpaceDN/>
        <w:bidi w:val="0"/>
        <w:adjustRightInd w:val="0"/>
        <w:snapToGrid w:val="0"/>
        <w:spacing w:line="480" w:lineRule="exact"/>
        <w:ind w:firstLine="520" w:firstLineChars="200"/>
        <w:textAlignment w:val="auto"/>
        <w:rPr>
          <w:rFonts w:eastAsia="仿宋_GB2312"/>
          <w:color w:val="000000"/>
          <w:sz w:val="26"/>
          <w:szCs w:val="26"/>
        </w:rPr>
      </w:pPr>
      <w:r>
        <w:rPr>
          <w:rFonts w:hint="eastAsia" w:eastAsia="仿宋_GB2312"/>
          <w:color w:val="000000"/>
          <w:sz w:val="26"/>
          <w:szCs w:val="26"/>
        </w:rPr>
        <w:t>住      所：贵阳市云岩区新添大道南段金耀华庭商住楼1单元7层6号</w:t>
      </w:r>
    </w:p>
    <w:p>
      <w:pPr>
        <w:pageBreakBefore w:val="0"/>
        <w:widowControl w:val="0"/>
        <w:kinsoku/>
        <w:wordWrap/>
        <w:autoSpaceDE/>
        <w:autoSpaceDN/>
        <w:bidi w:val="0"/>
        <w:adjustRightInd w:val="0"/>
        <w:snapToGrid w:val="0"/>
        <w:spacing w:line="480" w:lineRule="exact"/>
        <w:ind w:firstLine="520" w:firstLineChars="200"/>
        <w:textAlignment w:val="auto"/>
        <w:rPr>
          <w:rFonts w:eastAsia="仿宋_GB2312"/>
          <w:color w:val="000000"/>
          <w:sz w:val="26"/>
          <w:szCs w:val="26"/>
        </w:rPr>
      </w:pPr>
      <w:r>
        <w:rPr>
          <w:rFonts w:hint="eastAsia" w:eastAsia="仿宋_GB2312"/>
          <w:color w:val="000000"/>
          <w:sz w:val="26"/>
          <w:szCs w:val="26"/>
        </w:rPr>
        <w:t>法定代表人：覃剑</w:t>
      </w:r>
    </w:p>
    <w:p>
      <w:pPr>
        <w:pageBreakBefore w:val="0"/>
        <w:widowControl w:val="0"/>
        <w:kinsoku/>
        <w:wordWrap/>
        <w:autoSpaceDE/>
        <w:autoSpaceDN/>
        <w:bidi w:val="0"/>
        <w:adjustRightInd w:val="0"/>
        <w:snapToGrid w:val="0"/>
        <w:spacing w:line="480" w:lineRule="exact"/>
        <w:ind w:firstLine="520" w:firstLineChars="200"/>
        <w:textAlignment w:val="auto"/>
        <w:rPr>
          <w:rFonts w:eastAsia="仿宋_GB2312"/>
          <w:color w:val="000000"/>
          <w:sz w:val="26"/>
          <w:szCs w:val="26"/>
        </w:rPr>
      </w:pPr>
      <w:r>
        <w:rPr>
          <w:rFonts w:hint="eastAsia" w:eastAsia="仿宋_GB2312"/>
          <w:color w:val="000000"/>
          <w:sz w:val="26"/>
          <w:szCs w:val="26"/>
        </w:rPr>
        <w:t>统一社会信用代码：915201030590702657</w:t>
      </w:r>
    </w:p>
    <w:p>
      <w:pPr>
        <w:pageBreakBefore w:val="0"/>
        <w:widowControl w:val="0"/>
        <w:kinsoku/>
        <w:wordWrap/>
        <w:autoSpaceDE/>
        <w:autoSpaceDN/>
        <w:bidi w:val="0"/>
        <w:adjustRightInd w:val="0"/>
        <w:snapToGrid w:val="0"/>
        <w:spacing w:line="480" w:lineRule="exact"/>
        <w:ind w:firstLine="520" w:firstLineChars="200"/>
        <w:textAlignment w:val="auto"/>
        <w:rPr>
          <w:rFonts w:eastAsia="仿宋_GB2312"/>
          <w:color w:val="000000"/>
          <w:sz w:val="26"/>
          <w:szCs w:val="26"/>
        </w:rPr>
      </w:pPr>
      <w:r>
        <w:rPr>
          <w:rFonts w:hint="eastAsia" w:eastAsia="仿宋_GB2312"/>
          <w:color w:val="000000"/>
          <w:sz w:val="26"/>
          <w:szCs w:val="26"/>
        </w:rPr>
        <w:t>经 营 范 围：房地产评估，宗地地价评估，地价咨询(涉及许可证的凭证经营)</w:t>
      </w:r>
    </w:p>
    <w:p>
      <w:pPr>
        <w:pageBreakBefore w:val="0"/>
        <w:widowControl w:val="0"/>
        <w:kinsoku/>
        <w:wordWrap/>
        <w:autoSpaceDE/>
        <w:autoSpaceDN/>
        <w:bidi w:val="0"/>
        <w:adjustRightInd w:val="0"/>
        <w:snapToGrid w:val="0"/>
        <w:spacing w:line="480" w:lineRule="exact"/>
        <w:ind w:firstLine="520" w:firstLineChars="200"/>
        <w:textAlignment w:val="auto"/>
        <w:rPr>
          <w:rFonts w:eastAsia="仿宋_GB2312"/>
          <w:color w:val="000000"/>
          <w:sz w:val="26"/>
          <w:szCs w:val="26"/>
        </w:rPr>
      </w:pPr>
      <w:r>
        <w:rPr>
          <w:rFonts w:hint="eastAsia" w:eastAsia="仿宋_GB2312"/>
          <w:color w:val="000000"/>
          <w:sz w:val="26"/>
          <w:szCs w:val="26"/>
        </w:rPr>
        <w:t>房地产估价机构备案等级：贰级</w:t>
      </w:r>
    </w:p>
    <w:p>
      <w:pPr>
        <w:pageBreakBefore w:val="0"/>
        <w:widowControl w:val="0"/>
        <w:kinsoku/>
        <w:wordWrap/>
        <w:autoSpaceDE/>
        <w:autoSpaceDN/>
        <w:bidi w:val="0"/>
        <w:adjustRightInd w:val="0"/>
        <w:snapToGrid w:val="0"/>
        <w:spacing w:line="480" w:lineRule="exact"/>
        <w:ind w:firstLine="520" w:firstLineChars="200"/>
        <w:textAlignment w:val="auto"/>
        <w:rPr>
          <w:rFonts w:eastAsia="仿宋_GB2312"/>
          <w:color w:val="000000"/>
          <w:sz w:val="26"/>
          <w:szCs w:val="26"/>
        </w:rPr>
      </w:pPr>
      <w:r>
        <w:rPr>
          <w:rFonts w:hint="eastAsia" w:eastAsia="仿宋_GB2312"/>
          <w:color w:val="000000"/>
          <w:sz w:val="26"/>
          <w:szCs w:val="26"/>
        </w:rPr>
        <w:t>房地产估价机构备案证书编号：筑房评估字：A2013013</w:t>
      </w:r>
    </w:p>
    <w:p>
      <w:pPr>
        <w:pStyle w:val="3"/>
        <w:pageBreakBefore w:val="0"/>
        <w:widowControl w:val="0"/>
        <w:kinsoku/>
        <w:wordWrap/>
        <w:autoSpaceDE/>
        <w:autoSpaceDN/>
        <w:bidi w:val="0"/>
        <w:spacing w:before="156" w:beforeLines="50" w:after="156" w:afterLines="50" w:line="480" w:lineRule="exact"/>
        <w:ind w:firstLine="643" w:firstLineChars="200"/>
        <w:textAlignment w:val="auto"/>
        <w:rPr>
          <w:rFonts w:ascii="仿宋" w:hAnsi="仿宋" w:eastAsia="仿宋" w:cs="仿宋"/>
          <w:kern w:val="0"/>
        </w:rPr>
      </w:pPr>
      <w:bookmarkStart w:id="19" w:name="_Toc337"/>
      <w:bookmarkStart w:id="20" w:name="_Toc522795041"/>
      <w:r>
        <w:rPr>
          <w:rFonts w:hint="eastAsia" w:ascii="仿宋" w:hAnsi="仿宋" w:eastAsia="仿宋" w:cs="仿宋"/>
          <w:kern w:val="0"/>
        </w:rPr>
        <w:t>三、估价目的</w:t>
      </w:r>
      <w:bookmarkEnd w:id="19"/>
      <w:bookmarkEnd w:id="20"/>
    </w:p>
    <w:p>
      <w:pPr>
        <w:pageBreakBefore w:val="0"/>
        <w:widowControl w:val="0"/>
        <w:kinsoku/>
        <w:wordWrap/>
        <w:autoSpaceDE/>
        <w:autoSpaceDN/>
        <w:bidi w:val="0"/>
        <w:adjustRightInd w:val="0"/>
        <w:snapToGrid w:val="0"/>
        <w:spacing w:line="480" w:lineRule="exact"/>
        <w:ind w:firstLine="520" w:firstLineChars="200"/>
        <w:textAlignment w:val="auto"/>
        <w:rPr>
          <w:rFonts w:eastAsia="仿宋_GB2312"/>
          <w:color w:val="000000"/>
          <w:sz w:val="26"/>
          <w:szCs w:val="26"/>
        </w:rPr>
      </w:pPr>
      <w:r>
        <w:rPr>
          <w:rFonts w:hint="eastAsia" w:eastAsia="仿宋_GB2312"/>
          <w:color w:val="000000"/>
          <w:sz w:val="26"/>
          <w:szCs w:val="26"/>
        </w:rPr>
        <w:t>本次估价目的是为人民法院确定财产处置参考价提供参考依据而评估房地产市场价值。</w:t>
      </w:r>
    </w:p>
    <w:p>
      <w:pPr>
        <w:pStyle w:val="3"/>
        <w:pageBreakBefore w:val="0"/>
        <w:widowControl w:val="0"/>
        <w:kinsoku/>
        <w:wordWrap/>
        <w:autoSpaceDE/>
        <w:autoSpaceDN/>
        <w:bidi w:val="0"/>
        <w:spacing w:before="156" w:beforeLines="50" w:after="156" w:afterLines="50" w:line="480" w:lineRule="exact"/>
        <w:ind w:firstLine="643" w:firstLineChars="200"/>
        <w:textAlignment w:val="auto"/>
        <w:rPr>
          <w:rFonts w:ascii="仿宋" w:hAnsi="仿宋" w:eastAsia="仿宋" w:cs="仿宋"/>
          <w:kern w:val="0"/>
        </w:rPr>
      </w:pPr>
      <w:bookmarkStart w:id="21" w:name="_Toc286074112"/>
      <w:bookmarkStart w:id="22" w:name="_Toc522795042"/>
      <w:bookmarkStart w:id="23" w:name="_Toc22084"/>
      <w:r>
        <w:rPr>
          <w:rFonts w:hint="eastAsia" w:ascii="仿宋" w:hAnsi="仿宋" w:eastAsia="仿宋" w:cs="仿宋"/>
          <w:kern w:val="0"/>
        </w:rPr>
        <w:t>四、</w:t>
      </w:r>
      <w:bookmarkEnd w:id="21"/>
      <w:r>
        <w:rPr>
          <w:rFonts w:hint="eastAsia" w:ascii="仿宋" w:hAnsi="仿宋" w:eastAsia="仿宋" w:cs="仿宋"/>
          <w:kern w:val="0"/>
        </w:rPr>
        <w:t>估价对象</w:t>
      </w:r>
      <w:bookmarkEnd w:id="22"/>
      <w:bookmarkEnd w:id="23"/>
    </w:p>
    <w:p>
      <w:pPr>
        <w:pStyle w:val="4"/>
        <w:pageBreakBefore w:val="0"/>
        <w:widowControl w:val="0"/>
        <w:kinsoku/>
        <w:wordWrap/>
        <w:autoSpaceDE/>
        <w:autoSpaceDN/>
        <w:bidi w:val="0"/>
        <w:spacing w:before="156" w:beforeLines="50" w:after="156" w:afterLines="50" w:line="480" w:lineRule="exact"/>
        <w:ind w:firstLine="562" w:firstLineChars="200"/>
        <w:textAlignment w:val="auto"/>
        <w:rPr>
          <w:rFonts w:ascii="仿宋" w:hAnsi="仿宋" w:eastAsia="仿宋" w:cs="仿宋"/>
          <w:sz w:val="28"/>
          <w:szCs w:val="28"/>
        </w:rPr>
      </w:pPr>
      <w:bookmarkStart w:id="24" w:name="_Toc286074113"/>
      <w:r>
        <w:rPr>
          <w:rFonts w:hint="eastAsia" w:ascii="仿宋" w:hAnsi="仿宋" w:eastAsia="仿宋" w:cs="仿宋"/>
          <w:sz w:val="28"/>
          <w:szCs w:val="28"/>
        </w:rPr>
        <w:t>（一）估价对象范围及用途</w:t>
      </w:r>
    </w:p>
    <w:p>
      <w:pPr>
        <w:pageBreakBefore w:val="0"/>
        <w:widowControl w:val="0"/>
        <w:kinsoku/>
        <w:wordWrap/>
        <w:autoSpaceDE/>
        <w:autoSpaceDN/>
        <w:bidi w:val="0"/>
        <w:adjustRightInd w:val="0"/>
        <w:snapToGrid w:val="0"/>
        <w:spacing w:line="480" w:lineRule="exact"/>
        <w:ind w:firstLine="520" w:firstLineChars="200"/>
        <w:textAlignment w:val="auto"/>
        <w:rPr>
          <w:rFonts w:hint="default" w:eastAsia="仿宋_GB2312"/>
          <w:color w:val="000000" w:themeColor="text1"/>
          <w:sz w:val="26"/>
          <w:szCs w:val="26"/>
          <w:lang w:val="en-US" w:eastAsia="zh-CN"/>
          <w14:textFill>
            <w14:solidFill>
              <w14:schemeClr w14:val="tx1"/>
            </w14:solidFill>
          </w14:textFill>
        </w:rPr>
      </w:pPr>
      <w:r>
        <w:rPr>
          <w:rFonts w:hint="eastAsia" w:eastAsia="仿宋_GB2312"/>
          <w:color w:val="000000"/>
          <w:sz w:val="26"/>
          <w:szCs w:val="26"/>
        </w:rPr>
        <w:t>估价对象：位于</w:t>
      </w:r>
      <w:r>
        <w:rPr>
          <w:rFonts w:hint="eastAsia" w:eastAsia="仿宋_GB2312"/>
          <w:color w:val="000000"/>
          <w:sz w:val="26"/>
          <w:szCs w:val="26"/>
          <w:lang w:eastAsia="zh-CN"/>
        </w:rPr>
        <w:t>纳雍县居仁街道办事处雍和世纪城5幢27-6号</w:t>
      </w:r>
      <w:r>
        <w:rPr>
          <w:rFonts w:hint="eastAsia" w:eastAsia="仿宋_GB2312"/>
          <w:color w:val="000000"/>
          <w:sz w:val="26"/>
          <w:szCs w:val="26"/>
        </w:rPr>
        <w:t>住宅用房，建筑面积为</w:t>
      </w:r>
      <w:r>
        <w:rPr>
          <w:rFonts w:hint="eastAsia" w:eastAsia="仿宋_GB2312"/>
          <w:color w:val="000000"/>
          <w:sz w:val="26"/>
          <w:szCs w:val="26"/>
          <w:lang w:eastAsia="zh-CN"/>
        </w:rPr>
        <w:t>130.46</w:t>
      </w:r>
      <w:r>
        <w:rPr>
          <w:rFonts w:hint="eastAsia" w:eastAsia="仿宋_GB2312"/>
          <w:color w:val="000000"/>
          <w:sz w:val="26"/>
          <w:szCs w:val="26"/>
        </w:rPr>
        <w:t>平方米，用途为：住宅，产权人为：</w:t>
      </w:r>
      <w:r>
        <w:rPr>
          <w:rFonts w:hint="eastAsia" w:eastAsia="仿宋_GB2312"/>
          <w:color w:val="000000" w:themeColor="text1"/>
          <w:sz w:val="26"/>
          <w:szCs w:val="26"/>
          <w:lang w:val="en-US" w:eastAsia="zh-CN"/>
          <w14:textFill>
            <w14:solidFill>
              <w14:schemeClr w14:val="tx1"/>
            </w14:solidFill>
          </w14:textFill>
        </w:rPr>
        <w:t>李群、张树维；</w:t>
      </w:r>
    </w:p>
    <w:p>
      <w:pPr>
        <w:pageBreakBefore w:val="0"/>
        <w:widowControl w:val="0"/>
        <w:kinsoku/>
        <w:wordWrap/>
        <w:autoSpaceDE/>
        <w:autoSpaceDN/>
        <w:bidi w:val="0"/>
        <w:adjustRightInd w:val="0"/>
        <w:snapToGrid w:val="0"/>
        <w:spacing w:line="480" w:lineRule="exact"/>
        <w:ind w:firstLine="520" w:firstLineChars="200"/>
        <w:textAlignment w:val="auto"/>
        <w:rPr>
          <w:rFonts w:hint="eastAsia" w:eastAsia="仿宋_GB2312"/>
          <w:color w:val="000000"/>
          <w:sz w:val="26"/>
          <w:szCs w:val="26"/>
        </w:rPr>
      </w:pPr>
      <w:r>
        <w:rPr>
          <w:rFonts w:hint="eastAsia" w:eastAsia="仿宋_GB2312"/>
          <w:sz w:val="26"/>
          <w:szCs w:val="26"/>
        </w:rPr>
        <w:t>本次估价包含房屋价值、相应分摊的土地使用权价值、不可分离的设施设备及装修价值</w:t>
      </w:r>
      <w:r>
        <w:rPr>
          <w:rFonts w:hint="eastAsia" w:eastAsia="仿宋_GB2312"/>
          <w:color w:val="000000"/>
          <w:sz w:val="26"/>
          <w:szCs w:val="26"/>
        </w:rPr>
        <w:t>，但不包括估价对象所涉及的债权债务等其他财产或权益。</w:t>
      </w:r>
    </w:p>
    <w:p>
      <w:pPr>
        <w:pageBreakBefore w:val="0"/>
        <w:widowControl w:val="0"/>
        <w:kinsoku/>
        <w:wordWrap/>
        <w:autoSpaceDE/>
        <w:autoSpaceDN/>
        <w:bidi w:val="0"/>
        <w:adjustRightInd w:val="0"/>
        <w:snapToGrid w:val="0"/>
        <w:spacing w:line="480" w:lineRule="exact"/>
        <w:ind w:firstLine="520" w:firstLineChars="200"/>
        <w:textAlignment w:val="auto"/>
        <w:rPr>
          <w:rFonts w:hint="eastAsia" w:eastAsia="仿宋_GB2312"/>
          <w:color w:val="000000"/>
          <w:sz w:val="26"/>
          <w:szCs w:val="26"/>
        </w:rPr>
      </w:pPr>
    </w:p>
    <w:p>
      <w:pPr>
        <w:pageBreakBefore w:val="0"/>
        <w:widowControl w:val="0"/>
        <w:kinsoku/>
        <w:wordWrap/>
        <w:autoSpaceDE/>
        <w:autoSpaceDN/>
        <w:bidi w:val="0"/>
        <w:adjustRightInd w:val="0"/>
        <w:snapToGrid w:val="0"/>
        <w:spacing w:line="480" w:lineRule="exact"/>
        <w:ind w:firstLine="520" w:firstLineChars="200"/>
        <w:textAlignment w:val="auto"/>
        <w:rPr>
          <w:rFonts w:hint="eastAsia" w:eastAsia="仿宋_GB2312"/>
          <w:color w:val="000000"/>
          <w:sz w:val="26"/>
          <w:szCs w:val="26"/>
        </w:rPr>
      </w:pPr>
    </w:p>
    <w:p>
      <w:pPr>
        <w:pageBreakBefore w:val="0"/>
        <w:widowControl w:val="0"/>
        <w:kinsoku/>
        <w:wordWrap/>
        <w:autoSpaceDE/>
        <w:autoSpaceDN/>
        <w:bidi w:val="0"/>
        <w:adjustRightInd w:val="0"/>
        <w:snapToGrid w:val="0"/>
        <w:spacing w:line="480" w:lineRule="exact"/>
        <w:ind w:firstLine="520" w:firstLineChars="200"/>
        <w:textAlignment w:val="auto"/>
        <w:rPr>
          <w:rFonts w:hint="eastAsia" w:eastAsia="仿宋_GB2312"/>
          <w:color w:val="000000"/>
          <w:sz w:val="26"/>
          <w:szCs w:val="26"/>
        </w:rPr>
      </w:pPr>
    </w:p>
    <w:p>
      <w:pPr>
        <w:pStyle w:val="4"/>
        <w:pageBreakBefore w:val="0"/>
        <w:widowControl w:val="0"/>
        <w:kinsoku/>
        <w:wordWrap/>
        <w:autoSpaceDE/>
        <w:autoSpaceDN/>
        <w:bidi w:val="0"/>
        <w:spacing w:before="156" w:beforeLines="50" w:after="156" w:afterLines="50" w:line="480" w:lineRule="exact"/>
        <w:ind w:firstLine="562" w:firstLineChars="200"/>
        <w:textAlignment w:val="auto"/>
        <w:rPr>
          <w:rFonts w:ascii="仿宋" w:hAnsi="仿宋" w:eastAsia="仿宋" w:cs="仿宋"/>
          <w:sz w:val="28"/>
          <w:szCs w:val="28"/>
        </w:rPr>
      </w:pPr>
      <w:r>
        <w:rPr>
          <w:rFonts w:hint="eastAsia" w:ascii="仿宋" w:hAnsi="仿宋" w:eastAsia="仿宋" w:cs="仿宋"/>
          <w:sz w:val="28"/>
          <w:szCs w:val="28"/>
        </w:rPr>
        <w:t>（二）估价对象权益状况</w:t>
      </w:r>
    </w:p>
    <w:p>
      <w:pPr>
        <w:pStyle w:val="5"/>
        <w:pageBreakBefore w:val="0"/>
        <w:widowControl w:val="0"/>
        <w:kinsoku/>
        <w:wordWrap/>
        <w:autoSpaceDE/>
        <w:autoSpaceDN/>
        <w:bidi w:val="0"/>
        <w:spacing w:line="480" w:lineRule="exact"/>
        <w:textAlignment w:val="auto"/>
        <w:rPr>
          <w:rFonts w:ascii="仿宋" w:hAnsi="仿宋" w:eastAsia="仿宋" w:cs="仿宋"/>
        </w:rPr>
      </w:pPr>
      <w:r>
        <w:rPr>
          <w:rFonts w:hint="eastAsia" w:ascii="仿宋" w:hAnsi="仿宋" w:eastAsia="仿宋" w:cs="仿宋"/>
        </w:rPr>
        <w:t>1、估价对象建筑物权益状况</w:t>
      </w:r>
    </w:p>
    <w:p>
      <w:pPr>
        <w:pageBreakBefore w:val="0"/>
        <w:widowControl w:val="0"/>
        <w:kinsoku/>
        <w:wordWrap/>
        <w:overflowPunct w:val="0"/>
        <w:topLinePunct/>
        <w:autoSpaceDE/>
        <w:autoSpaceDN/>
        <w:bidi w:val="0"/>
        <w:adjustRightInd w:val="0"/>
        <w:snapToGrid w:val="0"/>
        <w:spacing w:line="480" w:lineRule="exact"/>
        <w:ind w:firstLine="520" w:firstLineChars="200"/>
        <w:textAlignment w:val="auto"/>
        <w:rPr>
          <w:rFonts w:eastAsia="仿宋_GB2312"/>
          <w:sz w:val="26"/>
          <w:szCs w:val="26"/>
        </w:rPr>
      </w:pPr>
      <w:r>
        <w:rPr>
          <w:rFonts w:hint="eastAsia" w:eastAsia="仿宋_GB2312"/>
          <w:sz w:val="26"/>
          <w:szCs w:val="26"/>
        </w:rPr>
        <w:t>根据委托人提供的《贵州省不动产登记查询结果》，估价对象的权益状况如下：</w:t>
      </w:r>
    </w:p>
    <w:p>
      <w:pPr>
        <w:pageBreakBefore w:val="0"/>
        <w:widowControl w:val="0"/>
        <w:kinsoku/>
        <w:wordWrap/>
        <w:overflowPunct w:val="0"/>
        <w:topLinePunct/>
        <w:autoSpaceDE/>
        <w:autoSpaceDN/>
        <w:bidi w:val="0"/>
        <w:adjustRightInd w:val="0"/>
        <w:snapToGrid w:val="0"/>
        <w:spacing w:line="480" w:lineRule="exact"/>
        <w:ind w:firstLine="520" w:firstLineChars="200"/>
        <w:textAlignment w:val="auto"/>
        <w:rPr>
          <w:rFonts w:hint="eastAsia" w:eastAsia="仿宋_GB2312"/>
          <w:color w:val="000000" w:themeColor="text1"/>
          <w:sz w:val="26"/>
          <w:szCs w:val="26"/>
          <w:lang w:val="en-US" w:eastAsia="zh-CN"/>
          <w14:textFill>
            <w14:solidFill>
              <w14:schemeClr w14:val="tx1"/>
            </w14:solidFill>
          </w14:textFill>
        </w:rPr>
      </w:pPr>
      <w:r>
        <w:rPr>
          <w:rFonts w:hint="eastAsia" w:eastAsia="仿宋_GB2312"/>
          <w:sz w:val="26"/>
          <w:szCs w:val="26"/>
        </w:rPr>
        <w:t>1.1权利人：</w:t>
      </w:r>
      <w:r>
        <w:rPr>
          <w:rFonts w:hint="eastAsia" w:eastAsia="仿宋_GB2312"/>
          <w:color w:val="000000" w:themeColor="text1"/>
          <w:sz w:val="26"/>
          <w:szCs w:val="26"/>
          <w:lang w:val="en-US" w:eastAsia="zh-CN"/>
          <w14:textFill>
            <w14:solidFill>
              <w14:schemeClr w14:val="tx1"/>
            </w14:solidFill>
          </w14:textFill>
        </w:rPr>
        <w:t>李群、张树维；</w:t>
      </w:r>
    </w:p>
    <w:p>
      <w:pPr>
        <w:pageBreakBefore w:val="0"/>
        <w:widowControl w:val="0"/>
        <w:kinsoku/>
        <w:wordWrap/>
        <w:overflowPunct w:val="0"/>
        <w:topLinePunct/>
        <w:autoSpaceDE/>
        <w:autoSpaceDN/>
        <w:bidi w:val="0"/>
        <w:adjustRightInd w:val="0"/>
        <w:snapToGrid w:val="0"/>
        <w:spacing w:line="480" w:lineRule="exact"/>
        <w:ind w:firstLine="520" w:firstLineChars="200"/>
        <w:textAlignment w:val="auto"/>
        <w:rPr>
          <w:rFonts w:hint="default" w:eastAsia="仿宋_GB2312"/>
          <w:color w:val="000000" w:themeColor="text1"/>
          <w:sz w:val="26"/>
          <w:szCs w:val="26"/>
          <w:lang w:val="en-US" w:eastAsia="zh-CN"/>
          <w14:textFill>
            <w14:solidFill>
              <w14:schemeClr w14:val="tx1"/>
            </w14:solidFill>
          </w14:textFill>
        </w:rPr>
      </w:pPr>
      <w:r>
        <w:rPr>
          <w:rFonts w:hint="eastAsia" w:eastAsia="仿宋_GB2312"/>
          <w:color w:val="000000" w:themeColor="text1"/>
          <w:sz w:val="26"/>
          <w:szCs w:val="26"/>
          <w14:textFill>
            <w14:solidFill>
              <w14:schemeClr w14:val="tx1"/>
            </w14:solidFill>
          </w14:textFill>
        </w:rPr>
        <w:t>1.2证件号；</w:t>
      </w:r>
      <w:r>
        <w:rPr>
          <w:rFonts w:hint="eastAsia" w:eastAsia="仿宋_GB2312"/>
          <w:color w:val="000000" w:themeColor="text1"/>
          <w:sz w:val="26"/>
          <w:szCs w:val="26"/>
          <w:lang w:val="en-US" w:eastAsia="zh-CN"/>
          <w14:textFill>
            <w14:solidFill>
              <w14:schemeClr w14:val="tx1"/>
            </w14:solidFill>
          </w14:textFill>
        </w:rPr>
        <w:t>52242619760609682X ; 522426197808086814;</w:t>
      </w:r>
    </w:p>
    <w:p>
      <w:pPr>
        <w:pageBreakBefore w:val="0"/>
        <w:widowControl w:val="0"/>
        <w:kinsoku/>
        <w:wordWrap/>
        <w:overflowPunct w:val="0"/>
        <w:topLinePunct/>
        <w:autoSpaceDE/>
        <w:autoSpaceDN/>
        <w:bidi w:val="0"/>
        <w:adjustRightInd w:val="0"/>
        <w:snapToGrid w:val="0"/>
        <w:spacing w:line="480" w:lineRule="exact"/>
        <w:ind w:left="521" w:leftChars="248" w:firstLine="0" w:firstLineChars="0"/>
        <w:textAlignment w:val="auto"/>
        <w:rPr>
          <w:rFonts w:hint="default" w:eastAsia="仿宋_GB2312"/>
          <w:color w:val="000000" w:themeColor="text1"/>
          <w:sz w:val="26"/>
          <w:szCs w:val="26"/>
          <w:lang w:val="en-US" w:eastAsia="zh-CN"/>
          <w14:textFill>
            <w14:solidFill>
              <w14:schemeClr w14:val="tx1"/>
            </w14:solidFill>
          </w14:textFill>
        </w:rPr>
      </w:pPr>
      <w:r>
        <w:rPr>
          <w:rFonts w:hint="eastAsia" w:eastAsia="仿宋_GB2312"/>
          <w:color w:val="000000" w:themeColor="text1"/>
          <w:sz w:val="26"/>
          <w:szCs w:val="26"/>
          <w14:textFill>
            <w14:solidFill>
              <w14:schemeClr w14:val="tx1"/>
            </w14:solidFill>
          </w14:textFill>
        </w:rPr>
        <w:t>1.3不动产权证号；</w:t>
      </w:r>
      <w:r>
        <w:rPr>
          <w:rFonts w:hint="eastAsia" w:eastAsia="仿宋_GB2312"/>
          <w:color w:val="000000" w:themeColor="text1"/>
          <w:sz w:val="26"/>
          <w:szCs w:val="26"/>
          <w:lang w:val="en-US" w:eastAsia="zh-CN"/>
          <w14:textFill>
            <w14:solidFill>
              <w14:schemeClr w14:val="tx1"/>
            </w14:solidFill>
          </w14:textFill>
        </w:rPr>
        <w:t>黔（2018）纳雍县不动产权第0005637号;</w:t>
      </w:r>
    </w:p>
    <w:p>
      <w:pPr>
        <w:pageBreakBefore w:val="0"/>
        <w:widowControl w:val="0"/>
        <w:kinsoku/>
        <w:wordWrap/>
        <w:overflowPunct w:val="0"/>
        <w:topLinePunct/>
        <w:autoSpaceDE/>
        <w:autoSpaceDN/>
        <w:bidi w:val="0"/>
        <w:adjustRightInd w:val="0"/>
        <w:snapToGrid w:val="0"/>
        <w:spacing w:line="480" w:lineRule="exact"/>
        <w:ind w:firstLine="520" w:firstLineChars="200"/>
        <w:textAlignment w:val="auto"/>
        <w:rPr>
          <w:rFonts w:hint="default" w:eastAsia="仿宋_GB2312"/>
          <w:color w:val="000000" w:themeColor="text1"/>
          <w:sz w:val="26"/>
          <w:szCs w:val="26"/>
          <w:lang w:val="en-US" w:eastAsia="zh-CN"/>
          <w14:textFill>
            <w14:solidFill>
              <w14:schemeClr w14:val="tx1"/>
            </w14:solidFill>
          </w14:textFill>
        </w:rPr>
      </w:pPr>
      <w:r>
        <w:rPr>
          <w:rFonts w:hint="eastAsia" w:eastAsia="仿宋_GB2312"/>
          <w:color w:val="000000" w:themeColor="text1"/>
          <w:sz w:val="26"/>
          <w:szCs w:val="26"/>
          <w14:textFill>
            <w14:solidFill>
              <w14:schemeClr w14:val="tx1"/>
            </w14:solidFill>
          </w14:textFill>
        </w:rPr>
        <w:t>1.4不动产单元号：</w:t>
      </w:r>
      <w:r>
        <w:rPr>
          <w:rFonts w:hint="eastAsia" w:eastAsia="仿宋_GB2312"/>
          <w:color w:val="000000" w:themeColor="text1"/>
          <w:sz w:val="26"/>
          <w:szCs w:val="26"/>
          <w:lang w:val="en-US" w:eastAsia="zh-CN"/>
          <w14:textFill>
            <w14:solidFill>
              <w14:schemeClr w14:val="tx1"/>
            </w14:solidFill>
          </w14:textFill>
        </w:rPr>
        <w:t>520525003003GS00030F00010037;</w:t>
      </w:r>
    </w:p>
    <w:p>
      <w:pPr>
        <w:pageBreakBefore w:val="0"/>
        <w:widowControl w:val="0"/>
        <w:kinsoku/>
        <w:wordWrap/>
        <w:overflowPunct w:val="0"/>
        <w:topLinePunct/>
        <w:autoSpaceDE/>
        <w:autoSpaceDN/>
        <w:bidi w:val="0"/>
        <w:adjustRightInd w:val="0"/>
        <w:snapToGrid w:val="0"/>
        <w:spacing w:line="480" w:lineRule="exact"/>
        <w:ind w:firstLine="520" w:firstLineChars="200"/>
        <w:textAlignment w:val="auto"/>
        <w:rPr>
          <w:rFonts w:hint="default" w:eastAsia="仿宋_GB2312"/>
          <w:color w:val="000000" w:themeColor="text1"/>
          <w:sz w:val="26"/>
          <w:szCs w:val="26"/>
          <w:lang w:val="en-US"/>
          <w14:textFill>
            <w14:solidFill>
              <w14:schemeClr w14:val="tx1"/>
            </w14:solidFill>
          </w14:textFill>
        </w:rPr>
      </w:pPr>
      <w:r>
        <w:rPr>
          <w:rFonts w:hint="eastAsia" w:eastAsia="仿宋_GB2312"/>
          <w:color w:val="000000" w:themeColor="text1"/>
          <w:sz w:val="26"/>
          <w:szCs w:val="26"/>
          <w14:textFill>
            <w14:solidFill>
              <w14:schemeClr w14:val="tx1"/>
            </w14:solidFill>
          </w14:textFill>
        </w:rPr>
        <w:t>1.5坐落：</w:t>
      </w:r>
      <w:r>
        <w:rPr>
          <w:rFonts w:hint="eastAsia" w:eastAsia="仿宋_GB2312"/>
          <w:color w:val="000000" w:themeColor="text1"/>
          <w:sz w:val="26"/>
          <w:szCs w:val="26"/>
          <w:lang w:eastAsia="zh-CN"/>
          <w14:textFill>
            <w14:solidFill>
              <w14:schemeClr w14:val="tx1"/>
            </w14:solidFill>
          </w14:textFill>
        </w:rPr>
        <w:t>纳雍县居仁街道办事处雍和世纪城5幢27-6号</w:t>
      </w:r>
      <w:r>
        <w:rPr>
          <w:rFonts w:hint="eastAsia" w:eastAsia="仿宋_GB2312"/>
          <w:color w:val="000000" w:themeColor="text1"/>
          <w:sz w:val="26"/>
          <w:szCs w:val="26"/>
          <w:lang w:val="en-US" w:eastAsia="zh-CN"/>
          <w14:textFill>
            <w14:solidFill>
              <w14:schemeClr w14:val="tx1"/>
            </w14:solidFill>
          </w14:textFill>
        </w:rPr>
        <w:t>;</w:t>
      </w:r>
    </w:p>
    <w:p>
      <w:pPr>
        <w:pageBreakBefore w:val="0"/>
        <w:widowControl w:val="0"/>
        <w:kinsoku/>
        <w:wordWrap/>
        <w:overflowPunct w:val="0"/>
        <w:topLinePunct/>
        <w:autoSpaceDE/>
        <w:autoSpaceDN/>
        <w:bidi w:val="0"/>
        <w:adjustRightInd w:val="0"/>
        <w:snapToGrid w:val="0"/>
        <w:spacing w:line="480" w:lineRule="exact"/>
        <w:ind w:firstLine="520" w:firstLineChars="200"/>
        <w:textAlignment w:val="auto"/>
        <w:rPr>
          <w:rFonts w:eastAsia="仿宋_GB2312"/>
          <w:color w:val="000000" w:themeColor="text1"/>
          <w:sz w:val="26"/>
          <w:szCs w:val="26"/>
          <w14:textFill>
            <w14:solidFill>
              <w14:schemeClr w14:val="tx1"/>
            </w14:solidFill>
          </w14:textFill>
        </w:rPr>
      </w:pPr>
      <w:r>
        <w:rPr>
          <w:rFonts w:hint="eastAsia" w:eastAsia="仿宋_GB2312"/>
          <w:color w:val="000000" w:themeColor="text1"/>
          <w:sz w:val="26"/>
          <w:szCs w:val="26"/>
          <w14:textFill>
            <w14:solidFill>
              <w14:schemeClr w14:val="tx1"/>
            </w14:solidFill>
          </w14:textFill>
        </w:rPr>
        <w:t>1.6用途：住宅；</w:t>
      </w:r>
    </w:p>
    <w:p>
      <w:pPr>
        <w:pageBreakBefore w:val="0"/>
        <w:widowControl w:val="0"/>
        <w:kinsoku/>
        <w:wordWrap/>
        <w:overflowPunct w:val="0"/>
        <w:topLinePunct/>
        <w:autoSpaceDE/>
        <w:autoSpaceDN/>
        <w:bidi w:val="0"/>
        <w:adjustRightInd w:val="0"/>
        <w:snapToGrid w:val="0"/>
        <w:spacing w:line="480" w:lineRule="exact"/>
        <w:ind w:firstLine="520" w:firstLineChars="200"/>
        <w:textAlignment w:val="auto"/>
        <w:rPr>
          <w:rFonts w:eastAsia="仿宋_GB2312"/>
          <w:color w:val="000000" w:themeColor="text1"/>
          <w:sz w:val="26"/>
          <w:szCs w:val="26"/>
          <w14:textFill>
            <w14:solidFill>
              <w14:schemeClr w14:val="tx1"/>
            </w14:solidFill>
          </w14:textFill>
        </w:rPr>
      </w:pPr>
      <w:r>
        <w:rPr>
          <w:rFonts w:hint="eastAsia" w:eastAsia="仿宋_GB2312"/>
          <w:color w:val="000000" w:themeColor="text1"/>
          <w:sz w:val="26"/>
          <w:szCs w:val="26"/>
          <w14:textFill>
            <w14:solidFill>
              <w14:schemeClr w14:val="tx1"/>
            </w14:solidFill>
          </w14:textFill>
        </w:rPr>
        <w:t>1.7建筑面积：</w:t>
      </w:r>
      <w:r>
        <w:rPr>
          <w:rFonts w:hint="eastAsia" w:eastAsia="仿宋_GB2312"/>
          <w:color w:val="000000" w:themeColor="text1"/>
          <w:sz w:val="26"/>
          <w:szCs w:val="26"/>
          <w:lang w:eastAsia="zh-CN"/>
          <w14:textFill>
            <w14:solidFill>
              <w14:schemeClr w14:val="tx1"/>
            </w14:solidFill>
          </w14:textFill>
        </w:rPr>
        <w:t>130.46</w:t>
      </w:r>
      <w:r>
        <w:rPr>
          <w:rFonts w:hint="eastAsia" w:eastAsia="仿宋_GB2312"/>
          <w:color w:val="000000" w:themeColor="text1"/>
          <w:sz w:val="26"/>
          <w:szCs w:val="26"/>
          <w14:textFill>
            <w14:solidFill>
              <w14:schemeClr w14:val="tx1"/>
            </w14:solidFill>
          </w14:textFill>
        </w:rPr>
        <w:t>平方米；</w:t>
      </w:r>
    </w:p>
    <w:p>
      <w:pPr>
        <w:pageBreakBefore w:val="0"/>
        <w:widowControl w:val="0"/>
        <w:kinsoku/>
        <w:wordWrap/>
        <w:overflowPunct w:val="0"/>
        <w:topLinePunct/>
        <w:autoSpaceDE/>
        <w:autoSpaceDN/>
        <w:bidi w:val="0"/>
        <w:adjustRightInd w:val="0"/>
        <w:snapToGrid w:val="0"/>
        <w:spacing w:line="480" w:lineRule="exact"/>
        <w:ind w:firstLine="520" w:firstLineChars="200"/>
        <w:textAlignment w:val="auto"/>
        <w:rPr>
          <w:rFonts w:eastAsia="仿宋_GB2312"/>
          <w:color w:val="000000" w:themeColor="text1"/>
          <w:sz w:val="26"/>
          <w:szCs w:val="26"/>
          <w14:textFill>
            <w14:solidFill>
              <w14:schemeClr w14:val="tx1"/>
            </w14:solidFill>
          </w14:textFill>
        </w:rPr>
      </w:pPr>
      <w:r>
        <w:rPr>
          <w:rFonts w:hint="eastAsia" w:eastAsia="仿宋_GB2312"/>
          <w:color w:val="000000" w:themeColor="text1"/>
          <w:sz w:val="26"/>
          <w:szCs w:val="26"/>
          <w14:textFill>
            <w14:solidFill>
              <w14:schemeClr w14:val="tx1"/>
            </w14:solidFill>
          </w14:textFill>
        </w:rPr>
        <w:t>1.8权属状态：现势；</w:t>
      </w:r>
    </w:p>
    <w:p>
      <w:pPr>
        <w:pageBreakBefore w:val="0"/>
        <w:widowControl w:val="0"/>
        <w:kinsoku/>
        <w:wordWrap/>
        <w:overflowPunct w:val="0"/>
        <w:topLinePunct/>
        <w:autoSpaceDE/>
        <w:autoSpaceDN/>
        <w:bidi w:val="0"/>
        <w:adjustRightInd w:val="0"/>
        <w:snapToGrid w:val="0"/>
        <w:spacing w:line="480" w:lineRule="exact"/>
        <w:ind w:firstLine="520" w:firstLineChars="200"/>
        <w:textAlignment w:val="auto"/>
        <w:rPr>
          <w:rFonts w:hint="default" w:eastAsia="仿宋_GB2312"/>
          <w:color w:val="000000" w:themeColor="text1"/>
          <w:sz w:val="26"/>
          <w:szCs w:val="26"/>
          <w:lang w:val="en-US" w:eastAsia="zh-CN"/>
          <w14:textFill>
            <w14:solidFill>
              <w14:schemeClr w14:val="tx1"/>
            </w14:solidFill>
          </w14:textFill>
        </w:rPr>
      </w:pPr>
      <w:r>
        <w:rPr>
          <w:rFonts w:hint="eastAsia" w:eastAsia="仿宋_GB2312"/>
          <w:color w:val="000000" w:themeColor="text1"/>
          <w:sz w:val="26"/>
          <w:szCs w:val="26"/>
          <w14:textFill>
            <w14:solidFill>
              <w14:schemeClr w14:val="tx1"/>
            </w14:solidFill>
          </w14:textFill>
        </w:rPr>
        <w:t>1.9登记状态：</w:t>
      </w:r>
      <w:r>
        <w:rPr>
          <w:rFonts w:hint="eastAsia" w:eastAsia="仿宋_GB2312"/>
          <w:color w:val="000000" w:themeColor="text1"/>
          <w:sz w:val="26"/>
          <w:szCs w:val="26"/>
          <w:lang w:val="en-US" w:eastAsia="zh-CN"/>
          <w14:textFill>
            <w14:solidFill>
              <w14:schemeClr w14:val="tx1"/>
            </w14:solidFill>
          </w14:textFill>
        </w:rPr>
        <w:t>预告、预抵；</w:t>
      </w:r>
    </w:p>
    <w:p>
      <w:pPr>
        <w:pageBreakBefore w:val="0"/>
        <w:widowControl w:val="0"/>
        <w:kinsoku/>
        <w:wordWrap/>
        <w:overflowPunct w:val="0"/>
        <w:topLinePunct/>
        <w:autoSpaceDE/>
        <w:autoSpaceDN/>
        <w:bidi w:val="0"/>
        <w:adjustRightInd w:val="0"/>
        <w:snapToGrid w:val="0"/>
        <w:spacing w:line="480" w:lineRule="exact"/>
        <w:ind w:firstLine="520" w:firstLineChars="200"/>
        <w:textAlignment w:val="auto"/>
        <w:rPr>
          <w:rFonts w:hint="eastAsia" w:eastAsia="仿宋_GB2312"/>
          <w:color w:val="000000" w:themeColor="text1"/>
          <w:sz w:val="26"/>
          <w:szCs w:val="26"/>
          <w14:textFill>
            <w14:solidFill>
              <w14:schemeClr w14:val="tx1"/>
            </w14:solidFill>
          </w14:textFill>
        </w:rPr>
      </w:pPr>
      <w:r>
        <w:rPr>
          <w:rFonts w:hint="eastAsia" w:eastAsia="仿宋_GB2312"/>
          <w:color w:val="000000" w:themeColor="text1"/>
          <w:sz w:val="26"/>
          <w:szCs w:val="26"/>
          <w14:textFill>
            <w14:solidFill>
              <w14:schemeClr w14:val="tx1"/>
            </w14:solidFill>
          </w14:textFill>
        </w:rPr>
        <w:t>1.10登记时间：</w:t>
      </w:r>
      <w:r>
        <w:rPr>
          <w:rFonts w:hint="eastAsia" w:eastAsia="仿宋_GB2312"/>
          <w:color w:val="000000" w:themeColor="text1"/>
          <w:sz w:val="26"/>
          <w:szCs w:val="26"/>
          <w:lang w:val="en-US" w:eastAsia="zh-CN"/>
          <w14:textFill>
            <w14:solidFill>
              <w14:schemeClr w14:val="tx1"/>
            </w14:solidFill>
          </w14:textFill>
        </w:rPr>
        <w:t>2018年10月25日</w:t>
      </w:r>
      <w:r>
        <w:rPr>
          <w:rFonts w:hint="eastAsia" w:eastAsia="仿宋_GB2312"/>
          <w:color w:val="000000" w:themeColor="text1"/>
          <w:sz w:val="26"/>
          <w:szCs w:val="26"/>
          <w14:textFill>
            <w14:solidFill>
              <w14:schemeClr w14:val="tx1"/>
            </w14:solidFill>
          </w14:textFill>
        </w:rPr>
        <w:t>。</w:t>
      </w:r>
    </w:p>
    <w:p>
      <w:pPr>
        <w:pageBreakBefore w:val="0"/>
        <w:widowControl w:val="0"/>
        <w:kinsoku/>
        <w:wordWrap/>
        <w:overflowPunct w:val="0"/>
        <w:topLinePunct/>
        <w:autoSpaceDE/>
        <w:autoSpaceDN/>
        <w:bidi w:val="0"/>
        <w:adjustRightInd w:val="0"/>
        <w:snapToGrid w:val="0"/>
        <w:spacing w:line="480" w:lineRule="exact"/>
        <w:textAlignment w:val="auto"/>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 xml:space="preserve">2、土地使用权权益状况 </w:t>
      </w:r>
    </w:p>
    <w:p>
      <w:pPr>
        <w:pageBreakBefore w:val="0"/>
        <w:widowControl w:val="0"/>
        <w:kinsoku/>
        <w:wordWrap/>
        <w:overflowPunct w:val="0"/>
        <w:topLinePunct/>
        <w:autoSpaceDE/>
        <w:autoSpaceDN/>
        <w:bidi w:val="0"/>
        <w:adjustRightInd w:val="0"/>
        <w:snapToGrid w:val="0"/>
        <w:spacing w:line="480" w:lineRule="exact"/>
        <w:textAlignment w:val="auto"/>
        <w:rPr>
          <w:rFonts w:hint="eastAsia" w:eastAsia="仿宋_GB2312"/>
          <w:sz w:val="26"/>
          <w:szCs w:val="26"/>
        </w:rPr>
      </w:pPr>
      <w:r>
        <w:rPr>
          <w:rFonts w:hint="eastAsia" w:eastAsia="仿宋_GB2312"/>
          <w:sz w:val="26"/>
          <w:szCs w:val="26"/>
          <w:lang w:val="en-US" w:eastAsia="zh-CN"/>
        </w:rPr>
        <w:t>估价</w:t>
      </w:r>
      <w:r>
        <w:rPr>
          <w:rFonts w:hint="eastAsia" w:eastAsia="仿宋_GB2312"/>
          <w:sz w:val="26"/>
          <w:szCs w:val="26"/>
        </w:rPr>
        <w:t>委托人</w:t>
      </w:r>
      <w:r>
        <w:rPr>
          <w:rFonts w:hint="eastAsia" w:eastAsia="仿宋_GB2312"/>
          <w:sz w:val="26"/>
          <w:szCs w:val="26"/>
          <w:lang w:val="en-US" w:eastAsia="zh-CN"/>
        </w:rPr>
        <w:t>未</w:t>
      </w:r>
      <w:r>
        <w:rPr>
          <w:rFonts w:hint="eastAsia" w:eastAsia="仿宋_GB2312"/>
          <w:sz w:val="26"/>
          <w:szCs w:val="26"/>
        </w:rPr>
        <w:t>提供估价对象的</w:t>
      </w:r>
      <w:r>
        <w:rPr>
          <w:rFonts w:hint="eastAsia" w:eastAsia="仿宋_GB2312"/>
          <w:color w:val="auto"/>
          <w:sz w:val="26"/>
          <w:szCs w:val="26"/>
          <w:shd w:val="clear" w:color="auto" w:fill="auto"/>
        </w:rPr>
        <w:t>《国有土地使用权证》</w:t>
      </w:r>
      <w:r>
        <w:rPr>
          <w:rFonts w:hint="eastAsia" w:eastAsia="仿宋_GB2312"/>
          <w:color w:val="auto"/>
          <w:sz w:val="26"/>
          <w:szCs w:val="26"/>
          <w:shd w:val="clear" w:color="auto" w:fill="auto"/>
          <w:lang w:val="en-US" w:eastAsia="zh-CN"/>
        </w:rPr>
        <w:t>或</w:t>
      </w:r>
      <w:r>
        <w:rPr>
          <w:rFonts w:hint="eastAsia" w:eastAsia="仿宋_GB2312"/>
          <w:sz w:val="26"/>
          <w:szCs w:val="26"/>
        </w:rPr>
        <w:t>《不动产权证》；</w:t>
      </w:r>
    </w:p>
    <w:p>
      <w:pPr>
        <w:pageBreakBefore w:val="0"/>
        <w:widowControl w:val="0"/>
        <w:kinsoku/>
        <w:wordWrap/>
        <w:overflowPunct w:val="0"/>
        <w:topLinePunct/>
        <w:autoSpaceDE/>
        <w:autoSpaceDN/>
        <w:bidi w:val="0"/>
        <w:adjustRightInd w:val="0"/>
        <w:snapToGrid w:val="0"/>
        <w:spacing w:line="480" w:lineRule="exact"/>
        <w:textAlignment w:val="auto"/>
        <w:rPr>
          <w:rFonts w:hint="eastAsia" w:ascii="仿宋" w:hAnsi="仿宋" w:eastAsia="仿宋" w:cs="仿宋"/>
          <w:lang w:eastAsia="zh-CN"/>
        </w:rPr>
      </w:pPr>
      <w:r>
        <w:rPr>
          <w:rFonts w:hint="eastAsia" w:ascii="仿宋" w:hAnsi="仿宋" w:eastAsia="仿宋" w:cs="仿宋"/>
          <w:b/>
          <w:bCs/>
          <w:sz w:val="28"/>
          <w:szCs w:val="28"/>
          <w:lang w:val="en-US" w:eastAsia="zh-CN"/>
        </w:rPr>
        <w:t>3、</w:t>
      </w:r>
      <w:r>
        <w:rPr>
          <w:rFonts w:hint="eastAsia" w:ascii="仿宋" w:hAnsi="仿宋" w:eastAsia="仿宋" w:cs="仿宋"/>
          <w:b/>
          <w:bCs/>
          <w:sz w:val="28"/>
          <w:szCs w:val="28"/>
        </w:rPr>
        <w:t>他项权利设立状况</w:t>
      </w:r>
      <w:r>
        <w:rPr>
          <w:rFonts w:hint="eastAsia" w:ascii="仿宋" w:hAnsi="仿宋" w:eastAsia="仿宋" w:cs="仿宋"/>
          <w:lang w:eastAsia="zh-CN"/>
        </w:rPr>
        <w:t>、</w:t>
      </w:r>
    </w:p>
    <w:p>
      <w:pPr>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hint="default" w:eastAsia="仿宋_GB2312"/>
          <w:color w:val="000000"/>
          <w:sz w:val="26"/>
          <w:szCs w:val="26"/>
          <w:lang w:val="en-US" w:eastAsia="zh-CN"/>
        </w:rPr>
      </w:pPr>
      <w:r>
        <w:rPr>
          <w:rFonts w:hint="eastAsia" w:eastAsia="仿宋_GB2312"/>
          <w:color w:val="000000"/>
          <w:sz w:val="26"/>
          <w:szCs w:val="26"/>
          <w:lang w:val="en-US" w:eastAsia="zh-CN"/>
        </w:rPr>
        <w:t>无</w:t>
      </w:r>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eastAsia="仿宋_GB2312"/>
          <w:color w:val="000000"/>
          <w:sz w:val="26"/>
          <w:szCs w:val="26"/>
        </w:rPr>
      </w:pPr>
      <w:r>
        <w:rPr>
          <w:rFonts w:hint="eastAsia" w:eastAsia="仿宋_GB2312"/>
          <w:color w:val="000000"/>
          <w:sz w:val="26"/>
          <w:szCs w:val="26"/>
        </w:rPr>
        <w:t>根据估价目的，本次估价仅是为人民法院确定财产处置参考价提供参考依据而评估房地产市场价值。因此本次评估未考虑估价对象存在的法定优先受偿款情况，但是在处置该房地产时，会涉及到法定优先受偿款，会影响到房产受让方收益价值；在此提请估价报告使用方注意。</w:t>
      </w:r>
    </w:p>
    <w:p>
      <w:pPr>
        <w:pStyle w:val="4"/>
        <w:pageBreakBefore w:val="0"/>
        <w:widowControl w:val="0"/>
        <w:kinsoku/>
        <w:wordWrap/>
        <w:autoSpaceDE/>
        <w:autoSpaceDN/>
        <w:bidi w:val="0"/>
        <w:spacing w:before="156" w:beforeLines="50" w:after="156" w:afterLines="50" w:line="480" w:lineRule="exact"/>
        <w:ind w:firstLine="562" w:firstLineChars="200"/>
        <w:textAlignment w:val="auto"/>
        <w:rPr>
          <w:rFonts w:hint="default"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（三）估价对象实物状况</w:t>
      </w:r>
      <w:r>
        <w:rPr>
          <w:rFonts w:hint="eastAsia" w:ascii="仿宋" w:hAnsi="仿宋" w:eastAsia="仿宋" w:cs="仿宋"/>
          <w:color w:val="000000" w:themeColor="text1"/>
          <w:sz w:val="28"/>
          <w:szCs w:val="28"/>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hint="eastAsia" w:ascii="仿宋" w:hAnsi="仿宋" w:eastAsia="仿宋" w:cs="仿宋"/>
          <w:b/>
          <w:bCs/>
          <w:sz w:val="28"/>
          <w:szCs w:val="28"/>
        </w:rPr>
      </w:pPr>
      <w:r>
        <w:rPr>
          <w:rFonts w:eastAsia="仿宋_GB2312"/>
          <w:color w:val="000000"/>
          <w:sz w:val="26"/>
          <w:szCs w:val="26"/>
        </w:rPr>
        <w:t>估价对象基本情况：估价对象</w:t>
      </w:r>
      <w:r>
        <w:rPr>
          <w:rFonts w:hint="eastAsia" w:eastAsia="仿宋_GB2312"/>
          <w:color w:val="000000"/>
          <w:sz w:val="26"/>
          <w:szCs w:val="26"/>
        </w:rPr>
        <w:t>位于</w:t>
      </w:r>
      <w:r>
        <w:rPr>
          <w:rFonts w:hint="eastAsia" w:eastAsia="仿宋_GB2312"/>
          <w:color w:val="000000"/>
          <w:sz w:val="26"/>
          <w:szCs w:val="26"/>
          <w:lang w:eastAsia="zh-CN"/>
        </w:rPr>
        <w:t>纳雍县居仁街道办事处雍和世纪城5幢27-6号</w:t>
      </w:r>
      <w:r>
        <w:rPr>
          <w:rFonts w:eastAsia="仿宋_GB2312"/>
          <w:color w:val="000000"/>
          <w:sz w:val="26"/>
          <w:szCs w:val="26"/>
        </w:rPr>
        <w:t>，</w:t>
      </w:r>
      <w:r>
        <w:rPr>
          <w:rFonts w:hint="eastAsia" w:eastAsia="仿宋_GB2312"/>
          <w:color w:val="auto"/>
          <w:sz w:val="26"/>
          <w:szCs w:val="26"/>
        </w:rPr>
        <w:t>估价对象所在楼栋共</w:t>
      </w:r>
      <w:r>
        <w:rPr>
          <w:rFonts w:hint="eastAsia" w:eastAsia="仿宋_GB2312"/>
          <w:color w:val="auto"/>
          <w:sz w:val="26"/>
          <w:szCs w:val="26"/>
          <w:lang w:val="en-US" w:eastAsia="zh-CN"/>
        </w:rPr>
        <w:t>32</w:t>
      </w:r>
      <w:r>
        <w:rPr>
          <w:rFonts w:hint="eastAsia" w:eastAsia="仿宋_GB2312"/>
          <w:color w:val="auto"/>
          <w:sz w:val="26"/>
          <w:szCs w:val="26"/>
        </w:rPr>
        <w:t>层，地上</w:t>
      </w:r>
      <w:r>
        <w:rPr>
          <w:rFonts w:hint="eastAsia" w:eastAsia="仿宋_GB2312"/>
          <w:color w:val="auto"/>
          <w:sz w:val="26"/>
          <w:szCs w:val="26"/>
          <w:lang w:val="en-US" w:eastAsia="zh-CN"/>
        </w:rPr>
        <w:t>28</w:t>
      </w:r>
      <w:r>
        <w:rPr>
          <w:rFonts w:hint="eastAsia" w:eastAsia="仿宋_GB2312"/>
          <w:color w:val="auto"/>
          <w:sz w:val="26"/>
          <w:szCs w:val="26"/>
        </w:rPr>
        <w:t>层地</w:t>
      </w:r>
      <w:r>
        <w:rPr>
          <w:rFonts w:hint="eastAsia" w:eastAsia="仿宋_GB2312"/>
          <w:color w:val="auto"/>
          <w:sz w:val="26"/>
          <w:szCs w:val="26"/>
          <w:lang w:val="en-US" w:eastAsia="zh-CN"/>
        </w:rPr>
        <w:t>下4</w:t>
      </w:r>
      <w:r>
        <w:rPr>
          <w:rFonts w:hint="eastAsia" w:eastAsia="仿宋_GB2312"/>
          <w:color w:val="auto"/>
          <w:sz w:val="26"/>
          <w:szCs w:val="26"/>
        </w:rPr>
        <w:t>层，估价对象位于第</w:t>
      </w:r>
      <w:r>
        <w:rPr>
          <w:rFonts w:hint="eastAsia" w:eastAsia="仿宋_GB2312"/>
          <w:color w:val="auto"/>
          <w:sz w:val="26"/>
          <w:szCs w:val="26"/>
          <w:lang w:val="en-US" w:eastAsia="zh-CN"/>
        </w:rPr>
        <w:t>27</w:t>
      </w:r>
      <w:r>
        <w:rPr>
          <w:rFonts w:hint="eastAsia" w:eastAsia="仿宋_GB2312"/>
          <w:color w:val="auto"/>
          <w:sz w:val="26"/>
          <w:szCs w:val="26"/>
        </w:rPr>
        <w:t>层</w:t>
      </w:r>
      <w:r>
        <w:rPr>
          <w:rFonts w:hint="eastAsia" w:eastAsia="仿宋_GB2312"/>
          <w:color w:val="000000"/>
          <w:sz w:val="26"/>
          <w:szCs w:val="26"/>
        </w:rPr>
        <w:t>，外观形象新颖；</w:t>
      </w:r>
      <w:r>
        <w:rPr>
          <w:rFonts w:eastAsia="仿宋_GB2312"/>
          <w:color w:val="000000"/>
          <w:sz w:val="26"/>
          <w:szCs w:val="26"/>
        </w:rPr>
        <w:t>水、电</w:t>
      </w:r>
      <w:r>
        <w:rPr>
          <w:rFonts w:hint="eastAsia" w:eastAsia="仿宋_GB2312"/>
          <w:color w:val="000000"/>
          <w:sz w:val="26"/>
          <w:szCs w:val="26"/>
        </w:rPr>
        <w:t>、消防；</w:t>
      </w:r>
      <w:r>
        <w:rPr>
          <w:rFonts w:eastAsia="仿宋_GB2312"/>
          <w:color w:val="000000"/>
          <w:sz w:val="26"/>
          <w:szCs w:val="26"/>
        </w:rPr>
        <w:t>周围道路硬化及绿化</w:t>
      </w:r>
      <w:r>
        <w:rPr>
          <w:rFonts w:hint="eastAsia" w:eastAsia="仿宋_GB2312"/>
          <w:color w:val="000000"/>
          <w:sz w:val="26"/>
          <w:szCs w:val="26"/>
        </w:rPr>
        <w:t>环境较好</w:t>
      </w:r>
      <w:r>
        <w:rPr>
          <w:rFonts w:eastAsia="仿宋_GB2312"/>
          <w:color w:val="000000"/>
          <w:sz w:val="26"/>
          <w:szCs w:val="26"/>
        </w:rPr>
        <w:t>；</w:t>
      </w:r>
      <w:r>
        <w:rPr>
          <w:rFonts w:hint="eastAsia" w:eastAsia="仿宋_GB2312"/>
          <w:color w:val="000000"/>
          <w:sz w:val="26"/>
          <w:szCs w:val="26"/>
        </w:rPr>
        <w:t>周围基础设施以及物业管理水平</w:t>
      </w:r>
      <w:r>
        <w:rPr>
          <w:rFonts w:hint="eastAsia" w:eastAsia="仿宋_GB2312"/>
          <w:color w:val="000000"/>
          <w:sz w:val="26"/>
          <w:szCs w:val="26"/>
          <w:lang w:val="en-US" w:eastAsia="zh-CN"/>
        </w:rPr>
        <w:t>一般</w:t>
      </w:r>
      <w:r>
        <w:rPr>
          <w:rFonts w:eastAsia="仿宋_GB2312"/>
          <w:color w:val="000000"/>
          <w:sz w:val="26"/>
          <w:szCs w:val="26"/>
        </w:rPr>
        <w:t>。</w:t>
      </w:r>
    </w:p>
    <w:p>
      <w:pPr>
        <w:pageBreakBefore w:val="0"/>
        <w:widowControl w:val="0"/>
        <w:kinsoku/>
        <w:wordWrap/>
        <w:overflowPunct/>
        <w:topLinePunct w:val="0"/>
        <w:autoSpaceDE/>
        <w:autoSpaceDN/>
        <w:bidi w:val="0"/>
        <w:adjustRightInd w:val="0"/>
        <w:snapToGrid w:val="0"/>
        <w:spacing w:line="48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1估价对象土地使用权实体状况</w:t>
      </w:r>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eastAsia="仿宋_GB2312"/>
          <w:color w:val="000000"/>
          <w:sz w:val="26"/>
          <w:szCs w:val="26"/>
        </w:rPr>
      </w:pPr>
      <w:r>
        <w:rPr>
          <w:rFonts w:hint="eastAsia" w:eastAsia="仿宋_GB2312"/>
          <w:color w:val="000000"/>
          <w:sz w:val="26"/>
          <w:szCs w:val="26"/>
        </w:rPr>
        <w:t>1.1名称：</w:t>
      </w:r>
      <w:r>
        <w:rPr>
          <w:rFonts w:hint="eastAsia" w:eastAsia="仿宋_GB2312"/>
          <w:color w:val="000000"/>
          <w:sz w:val="26"/>
          <w:szCs w:val="26"/>
          <w:lang w:eastAsia="zh-CN"/>
        </w:rPr>
        <w:t>纳雍县居仁街道办事处雍和世纪城5幢27-6号住宅</w:t>
      </w:r>
      <w:r>
        <w:rPr>
          <w:rFonts w:hint="eastAsia" w:eastAsia="仿宋_GB2312"/>
          <w:color w:val="000000"/>
          <w:sz w:val="26"/>
          <w:szCs w:val="26"/>
        </w:rPr>
        <w:t>楼。</w:t>
      </w:r>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hint="default" w:eastAsia="仿宋_GB2312"/>
          <w:color w:val="auto"/>
          <w:sz w:val="26"/>
          <w:szCs w:val="26"/>
          <w:lang w:val="en-US" w:eastAsia="zh-CN"/>
        </w:rPr>
      </w:pPr>
      <w:r>
        <w:rPr>
          <w:rFonts w:hint="eastAsia" w:eastAsia="仿宋_GB2312"/>
          <w:color w:val="000000"/>
          <w:sz w:val="26"/>
          <w:szCs w:val="26"/>
        </w:rPr>
        <w:t>1.2四至及临街状况：</w:t>
      </w:r>
      <w:r>
        <w:rPr>
          <w:rFonts w:hint="eastAsia" w:eastAsia="仿宋_GB2312"/>
          <w:color w:val="000000"/>
          <w:sz w:val="26"/>
          <w:szCs w:val="26"/>
          <w:lang w:eastAsia="zh-CN"/>
        </w:rPr>
        <w:t>纳雍县居仁街道办事处雍和世纪城5幢27-6号住宅</w:t>
      </w:r>
      <w:r>
        <w:rPr>
          <w:rFonts w:hint="eastAsia" w:eastAsia="仿宋_GB2312"/>
          <w:color w:val="000000"/>
          <w:sz w:val="26"/>
          <w:szCs w:val="26"/>
        </w:rPr>
        <w:t>楼项目，估价对象项目，</w:t>
      </w:r>
      <w:r>
        <w:rPr>
          <w:rFonts w:hint="eastAsia" w:eastAsia="仿宋_GB2312"/>
          <w:color w:val="000000" w:themeColor="text1"/>
          <w:sz w:val="26"/>
          <w:szCs w:val="26"/>
          <w14:textFill>
            <w14:solidFill>
              <w14:schemeClr w14:val="tx1"/>
            </w14:solidFill>
          </w14:textFill>
        </w:rPr>
        <w:t>北临</w:t>
      </w:r>
      <w:r>
        <w:rPr>
          <w:rFonts w:hint="eastAsia" w:eastAsia="仿宋_GB2312"/>
          <w:color w:val="000000" w:themeColor="text1"/>
          <w:sz w:val="26"/>
          <w:szCs w:val="26"/>
          <w:lang w:val="en-US" w:eastAsia="zh-CN"/>
          <w14:textFill>
            <w14:solidFill>
              <w14:schemeClr w14:val="tx1"/>
            </w14:solidFill>
          </w14:textFill>
        </w:rPr>
        <w:t>发展大道</w:t>
      </w:r>
      <w:r>
        <w:rPr>
          <w:rFonts w:hint="eastAsia" w:eastAsia="仿宋_GB2312"/>
          <w:color w:val="000000" w:themeColor="text1"/>
          <w:sz w:val="26"/>
          <w:szCs w:val="26"/>
          <w14:textFill>
            <w14:solidFill>
              <w14:schemeClr w14:val="tx1"/>
            </w14:solidFill>
          </w14:textFill>
        </w:rPr>
        <w:t>、东临</w:t>
      </w:r>
      <w:r>
        <w:rPr>
          <w:rFonts w:hint="eastAsia" w:eastAsia="仿宋_GB2312"/>
          <w:color w:val="000000" w:themeColor="text1"/>
          <w:sz w:val="26"/>
          <w:szCs w:val="26"/>
          <w:lang w:val="en-US" w:eastAsia="zh-CN"/>
          <w14:textFill>
            <w14:solidFill>
              <w14:schemeClr w14:val="tx1"/>
            </w14:solidFill>
          </w14:textFill>
        </w:rPr>
        <w:t>中山东路</w:t>
      </w:r>
      <w:r>
        <w:rPr>
          <w:rFonts w:hint="eastAsia" w:eastAsia="仿宋_GB2312"/>
          <w:color w:val="000000" w:themeColor="text1"/>
          <w:sz w:val="26"/>
          <w:szCs w:val="26"/>
          <w:lang w:eastAsia="zh-CN"/>
          <w14:textFill>
            <w14:solidFill>
              <w14:schemeClr w14:val="tx1"/>
            </w14:solidFill>
          </w14:textFill>
        </w:rPr>
        <w:t>、</w:t>
      </w:r>
      <w:r>
        <w:rPr>
          <w:rFonts w:hint="eastAsia" w:eastAsia="仿宋_GB2312"/>
          <w:color w:val="000000" w:themeColor="text1"/>
          <w:sz w:val="26"/>
          <w:szCs w:val="26"/>
          <w14:textFill>
            <w14:solidFill>
              <w14:schemeClr w14:val="tx1"/>
            </w14:solidFill>
          </w14:textFill>
        </w:rPr>
        <w:t>西临</w:t>
      </w:r>
      <w:r>
        <w:rPr>
          <w:rFonts w:hint="eastAsia" w:eastAsia="仿宋_GB2312"/>
          <w:color w:val="000000" w:themeColor="text1"/>
          <w:sz w:val="26"/>
          <w:szCs w:val="26"/>
          <w:lang w:val="en-US" w:eastAsia="zh-CN"/>
          <w14:textFill>
            <w14:solidFill>
              <w14:schemeClr w14:val="tx1"/>
            </w14:solidFill>
          </w14:textFill>
        </w:rPr>
        <w:t>发展大道</w:t>
      </w:r>
      <w:r>
        <w:rPr>
          <w:rFonts w:hint="eastAsia" w:eastAsia="仿宋_GB2312"/>
          <w:color w:val="000000" w:themeColor="text1"/>
          <w:sz w:val="26"/>
          <w:szCs w:val="26"/>
          <w:lang w:eastAsia="zh-CN"/>
          <w14:textFill>
            <w14:solidFill>
              <w14:schemeClr w14:val="tx1"/>
            </w14:solidFill>
          </w14:textFill>
        </w:rPr>
        <w:t>、</w:t>
      </w:r>
      <w:r>
        <w:rPr>
          <w:rFonts w:hint="eastAsia" w:eastAsia="仿宋_GB2312"/>
          <w:color w:val="000000" w:themeColor="text1"/>
          <w:sz w:val="26"/>
          <w:szCs w:val="26"/>
          <w14:textFill>
            <w14:solidFill>
              <w14:schemeClr w14:val="tx1"/>
            </w14:solidFill>
          </w14:textFill>
        </w:rPr>
        <w:t>南临</w:t>
      </w:r>
      <w:r>
        <w:rPr>
          <w:rFonts w:hint="eastAsia" w:eastAsia="仿宋_GB2312"/>
          <w:color w:val="000000" w:themeColor="text1"/>
          <w:sz w:val="26"/>
          <w:szCs w:val="26"/>
          <w:lang w:val="en-US" w:eastAsia="zh-CN"/>
          <w14:textFill>
            <w14:solidFill>
              <w14:schemeClr w14:val="tx1"/>
            </w14:solidFill>
          </w14:textFill>
        </w:rPr>
        <w:t>居仁西路</w:t>
      </w:r>
      <w:r>
        <w:rPr>
          <w:rFonts w:hint="eastAsia" w:eastAsia="仿宋_GB2312"/>
          <w:color w:val="000000" w:themeColor="text1"/>
          <w:sz w:val="26"/>
          <w:szCs w:val="26"/>
          <w14:textFill>
            <w14:solidFill>
              <w14:schemeClr w14:val="tx1"/>
            </w14:solidFill>
          </w14:textFill>
        </w:rPr>
        <w:t>；</w:t>
      </w:r>
      <w:r>
        <w:rPr>
          <w:rFonts w:hint="eastAsia" w:eastAsia="仿宋_GB2312"/>
          <w:color w:val="auto"/>
          <w:sz w:val="26"/>
          <w:szCs w:val="26"/>
        </w:rPr>
        <w:t>估价对象项目一面临街，临</w:t>
      </w:r>
      <w:r>
        <w:rPr>
          <w:rFonts w:hint="eastAsia" w:eastAsia="仿宋_GB2312"/>
          <w:color w:val="auto"/>
          <w:sz w:val="26"/>
          <w:szCs w:val="26"/>
          <w:lang w:val="en-US" w:eastAsia="zh-CN"/>
        </w:rPr>
        <w:t>近发展大道</w:t>
      </w:r>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eastAsia="仿宋_GB2312"/>
          <w:color w:val="000000"/>
          <w:sz w:val="26"/>
          <w:szCs w:val="26"/>
        </w:rPr>
      </w:pPr>
      <w:r>
        <w:rPr>
          <w:rFonts w:hint="eastAsia" w:eastAsia="仿宋_GB2312"/>
          <w:color w:val="000000"/>
          <w:sz w:val="26"/>
          <w:szCs w:val="26"/>
        </w:rPr>
        <w:t>1.3用途：住宅</w:t>
      </w:r>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eastAsia="仿宋_GB2312"/>
          <w:color w:val="000000"/>
          <w:sz w:val="26"/>
          <w:szCs w:val="26"/>
        </w:rPr>
      </w:pPr>
      <w:r>
        <w:rPr>
          <w:rFonts w:hint="eastAsia" w:eastAsia="仿宋_GB2312"/>
          <w:color w:val="000000"/>
          <w:sz w:val="26"/>
          <w:szCs w:val="26"/>
        </w:rPr>
        <w:t>1.4形状：较规则</w:t>
      </w:r>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eastAsia="仿宋_GB2312"/>
          <w:color w:val="000000"/>
          <w:sz w:val="26"/>
          <w:szCs w:val="26"/>
        </w:rPr>
      </w:pPr>
      <w:r>
        <w:rPr>
          <w:rFonts w:hint="eastAsia" w:eastAsia="仿宋_GB2312"/>
          <w:color w:val="000000"/>
          <w:sz w:val="26"/>
          <w:szCs w:val="26"/>
        </w:rPr>
        <w:t>1.5地形地势：地势较平坦</w:t>
      </w:r>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eastAsia="仿宋_GB2312"/>
          <w:color w:val="000000"/>
          <w:sz w:val="26"/>
          <w:szCs w:val="26"/>
        </w:rPr>
      </w:pPr>
      <w:r>
        <w:rPr>
          <w:rFonts w:hint="eastAsia" w:eastAsia="仿宋_GB2312"/>
          <w:color w:val="000000"/>
          <w:sz w:val="26"/>
          <w:szCs w:val="26"/>
        </w:rPr>
        <w:t>1.6地质：地基承载力一般，地质条件一般</w:t>
      </w:r>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eastAsia="仿宋_GB2312"/>
          <w:color w:val="000000"/>
          <w:sz w:val="26"/>
          <w:szCs w:val="26"/>
        </w:rPr>
      </w:pPr>
      <w:r>
        <w:rPr>
          <w:rFonts w:hint="eastAsia" w:eastAsia="仿宋_GB2312"/>
          <w:color w:val="000000"/>
          <w:sz w:val="26"/>
          <w:szCs w:val="26"/>
        </w:rPr>
        <w:t>1.7土壤：无污染</w:t>
      </w:r>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eastAsia="仿宋_GB2312"/>
          <w:color w:val="000000"/>
          <w:sz w:val="26"/>
          <w:szCs w:val="26"/>
        </w:rPr>
      </w:pPr>
      <w:r>
        <w:rPr>
          <w:rFonts w:hint="eastAsia" w:eastAsia="仿宋_GB2312"/>
          <w:color w:val="000000"/>
          <w:sz w:val="26"/>
          <w:szCs w:val="26"/>
        </w:rPr>
        <w:t>1.8土地开发程度：土地开发程度为“</w:t>
      </w:r>
      <w:r>
        <w:rPr>
          <w:rFonts w:hint="eastAsia" w:eastAsia="仿宋_GB2312"/>
          <w:color w:val="000000"/>
          <w:sz w:val="26"/>
          <w:szCs w:val="26"/>
          <w:lang w:val="en-US" w:eastAsia="zh-CN"/>
        </w:rPr>
        <w:t>五</w:t>
      </w:r>
      <w:r>
        <w:rPr>
          <w:rFonts w:hint="eastAsia" w:eastAsia="仿宋_GB2312"/>
          <w:color w:val="000000"/>
          <w:sz w:val="26"/>
          <w:szCs w:val="26"/>
        </w:rPr>
        <w:t>通一平”（通路、</w:t>
      </w:r>
      <w:r>
        <w:rPr>
          <w:rFonts w:hint="eastAsia" w:eastAsia="仿宋_GB2312"/>
          <w:color w:val="000000"/>
          <w:sz w:val="26"/>
          <w:szCs w:val="26"/>
          <w:lang w:val="en-US" w:eastAsia="zh-CN"/>
        </w:rPr>
        <w:t>供水</w:t>
      </w:r>
      <w:r>
        <w:rPr>
          <w:rFonts w:hint="eastAsia" w:eastAsia="仿宋_GB2312"/>
          <w:color w:val="000000"/>
          <w:sz w:val="26"/>
          <w:szCs w:val="26"/>
        </w:rPr>
        <w:t>、</w:t>
      </w:r>
      <w:r>
        <w:rPr>
          <w:rFonts w:hint="eastAsia" w:eastAsia="仿宋_GB2312"/>
          <w:color w:val="000000"/>
          <w:sz w:val="26"/>
          <w:szCs w:val="26"/>
          <w:lang w:val="en-US" w:eastAsia="zh-CN"/>
        </w:rPr>
        <w:t>排水</w:t>
      </w:r>
      <w:r>
        <w:rPr>
          <w:rFonts w:hint="eastAsia" w:eastAsia="仿宋_GB2312"/>
          <w:color w:val="000000"/>
          <w:sz w:val="26"/>
          <w:szCs w:val="26"/>
        </w:rPr>
        <w:t>、通电、通讯、土地平整）</w:t>
      </w:r>
    </w:p>
    <w:p>
      <w:pPr>
        <w:pageBreakBefore w:val="0"/>
        <w:widowControl w:val="0"/>
        <w:kinsoku/>
        <w:wordWrap/>
        <w:overflowPunct/>
        <w:topLinePunct w:val="0"/>
        <w:autoSpaceDE/>
        <w:autoSpaceDN/>
        <w:bidi w:val="0"/>
        <w:adjustRightInd w:val="0"/>
        <w:snapToGrid w:val="0"/>
        <w:spacing w:line="480" w:lineRule="exact"/>
        <w:ind w:firstLine="562" w:firstLineChars="200"/>
        <w:textAlignment w:val="auto"/>
        <w:rPr>
          <w:rFonts w:ascii="仿宋" w:hAnsi="仿宋" w:eastAsia="仿宋" w:cs="仿宋"/>
          <w:b/>
          <w:bCs/>
          <w:sz w:val="28"/>
          <w:szCs w:val="28"/>
        </w:rPr>
      </w:pPr>
      <w:r>
        <w:rPr>
          <w:rFonts w:hint="eastAsia" w:ascii="仿宋" w:hAnsi="仿宋" w:eastAsia="仿宋" w:cs="仿宋"/>
          <w:b/>
          <w:bCs/>
          <w:sz w:val="28"/>
          <w:szCs w:val="28"/>
        </w:rPr>
        <w:t>2估价对象建筑物实物状况</w:t>
      </w:r>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eastAsia="仿宋_GB2312"/>
          <w:color w:val="0000FF"/>
          <w:sz w:val="26"/>
          <w:szCs w:val="26"/>
        </w:rPr>
      </w:pPr>
      <w:r>
        <w:rPr>
          <w:rFonts w:hint="eastAsia" w:eastAsia="仿宋_GB2312"/>
          <w:color w:val="000000"/>
          <w:sz w:val="26"/>
          <w:szCs w:val="26"/>
        </w:rPr>
        <w:t>2.1名称：</w:t>
      </w:r>
      <w:r>
        <w:rPr>
          <w:rFonts w:hint="eastAsia" w:eastAsia="仿宋_GB2312"/>
          <w:color w:val="000000"/>
          <w:sz w:val="26"/>
          <w:szCs w:val="26"/>
          <w:lang w:eastAsia="zh-CN"/>
        </w:rPr>
        <w:t>纳雍县居仁街道办事处雍和世纪城5幢27-6号住宅</w:t>
      </w:r>
      <w:r>
        <w:rPr>
          <w:rFonts w:hint="eastAsia" w:eastAsia="仿宋_GB2312"/>
          <w:color w:val="000000"/>
          <w:sz w:val="26"/>
          <w:szCs w:val="26"/>
        </w:rPr>
        <w:t>楼；</w:t>
      </w:r>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eastAsia="仿宋_GB2312"/>
          <w:color w:val="000000"/>
          <w:sz w:val="26"/>
          <w:szCs w:val="26"/>
        </w:rPr>
      </w:pPr>
      <w:r>
        <w:rPr>
          <w:rFonts w:hint="eastAsia" w:eastAsia="仿宋_GB2312"/>
          <w:color w:val="000000"/>
          <w:sz w:val="26"/>
          <w:szCs w:val="26"/>
        </w:rPr>
        <w:t>2.2建筑规模：建筑面积</w:t>
      </w:r>
      <w:r>
        <w:rPr>
          <w:rFonts w:hint="eastAsia" w:eastAsia="仿宋_GB2312"/>
          <w:color w:val="000000"/>
          <w:sz w:val="26"/>
          <w:szCs w:val="26"/>
          <w:lang w:eastAsia="zh-CN"/>
        </w:rPr>
        <w:t>130.46</w:t>
      </w:r>
      <w:r>
        <w:rPr>
          <w:rFonts w:hint="eastAsia" w:eastAsia="仿宋_GB2312"/>
          <w:color w:val="000000"/>
          <w:sz w:val="26"/>
          <w:szCs w:val="26"/>
        </w:rPr>
        <w:t>平方米；</w:t>
      </w:r>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eastAsia="仿宋_GB2312"/>
          <w:color w:val="000000"/>
          <w:sz w:val="26"/>
          <w:szCs w:val="26"/>
        </w:rPr>
      </w:pPr>
      <w:r>
        <w:rPr>
          <w:rFonts w:hint="eastAsia" w:eastAsia="仿宋_GB2312"/>
          <w:color w:val="000000"/>
          <w:sz w:val="26"/>
          <w:szCs w:val="26"/>
        </w:rPr>
        <w:t>2.3层数：</w:t>
      </w:r>
      <w:r>
        <w:rPr>
          <w:rFonts w:hint="eastAsia" w:eastAsia="仿宋_GB2312"/>
          <w:color w:val="000000"/>
          <w:sz w:val="26"/>
          <w:szCs w:val="26"/>
          <w:lang w:val="en-US" w:eastAsia="zh-CN"/>
        </w:rPr>
        <w:t>共32</w:t>
      </w:r>
      <w:r>
        <w:rPr>
          <w:rFonts w:hint="eastAsia" w:eastAsia="仿宋_GB2312"/>
          <w:color w:val="000000"/>
          <w:sz w:val="26"/>
          <w:szCs w:val="26"/>
        </w:rPr>
        <w:t>层，地上</w:t>
      </w:r>
      <w:r>
        <w:rPr>
          <w:rFonts w:hint="eastAsia" w:eastAsia="仿宋_GB2312"/>
          <w:color w:val="000000"/>
          <w:sz w:val="26"/>
          <w:szCs w:val="26"/>
          <w:lang w:val="en-US" w:eastAsia="zh-CN"/>
        </w:rPr>
        <w:t>28</w:t>
      </w:r>
      <w:r>
        <w:rPr>
          <w:rFonts w:hint="eastAsia" w:eastAsia="仿宋_GB2312"/>
          <w:color w:val="000000"/>
          <w:sz w:val="26"/>
          <w:szCs w:val="26"/>
        </w:rPr>
        <w:t>层，地下</w:t>
      </w:r>
      <w:r>
        <w:rPr>
          <w:rFonts w:hint="eastAsia" w:eastAsia="仿宋_GB2312"/>
          <w:color w:val="000000"/>
          <w:sz w:val="26"/>
          <w:szCs w:val="26"/>
          <w:lang w:val="en-US" w:eastAsia="zh-CN"/>
        </w:rPr>
        <w:t>4</w:t>
      </w:r>
      <w:r>
        <w:rPr>
          <w:rFonts w:hint="eastAsia" w:eastAsia="仿宋_GB2312"/>
          <w:color w:val="000000"/>
          <w:sz w:val="26"/>
          <w:szCs w:val="26"/>
        </w:rPr>
        <w:t>层，估价对象位于第</w:t>
      </w:r>
      <w:r>
        <w:rPr>
          <w:rFonts w:hint="eastAsia" w:eastAsia="仿宋_GB2312"/>
          <w:color w:val="000000"/>
          <w:sz w:val="26"/>
          <w:szCs w:val="26"/>
          <w:lang w:val="en-US" w:eastAsia="zh-CN"/>
        </w:rPr>
        <w:t>27</w:t>
      </w:r>
      <w:r>
        <w:rPr>
          <w:rFonts w:hint="eastAsia" w:eastAsia="仿宋_GB2312"/>
          <w:color w:val="000000"/>
          <w:sz w:val="26"/>
          <w:szCs w:val="26"/>
        </w:rPr>
        <w:t>层。</w:t>
      </w:r>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eastAsia="仿宋_GB2312"/>
          <w:color w:val="000000"/>
          <w:sz w:val="26"/>
          <w:szCs w:val="26"/>
        </w:rPr>
      </w:pPr>
      <w:r>
        <w:rPr>
          <w:rFonts w:hint="eastAsia" w:eastAsia="仿宋_GB2312"/>
          <w:color w:val="000000"/>
          <w:sz w:val="26"/>
          <w:szCs w:val="26"/>
        </w:rPr>
        <w:t>2.4建筑结构：钢混结构。</w:t>
      </w:r>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eastAsia="仿宋_GB2312"/>
          <w:color w:val="000000"/>
          <w:sz w:val="26"/>
          <w:szCs w:val="26"/>
        </w:rPr>
      </w:pPr>
      <w:r>
        <w:rPr>
          <w:rFonts w:hint="eastAsia" w:eastAsia="仿宋_GB2312"/>
          <w:color w:val="000000"/>
          <w:sz w:val="26"/>
          <w:szCs w:val="26"/>
        </w:rPr>
        <w:t>2.5层高：室内层高约</w:t>
      </w:r>
      <w:r>
        <w:rPr>
          <w:rFonts w:hint="eastAsia" w:eastAsia="仿宋_GB2312"/>
          <w:color w:val="000000"/>
          <w:sz w:val="26"/>
          <w:szCs w:val="26"/>
          <w:lang w:val="en-US" w:eastAsia="zh-CN"/>
        </w:rPr>
        <w:t>2.8</w:t>
      </w:r>
      <w:r>
        <w:rPr>
          <w:rFonts w:hint="eastAsia" w:eastAsia="仿宋_GB2312"/>
          <w:color w:val="000000"/>
          <w:sz w:val="26"/>
          <w:szCs w:val="26"/>
        </w:rPr>
        <w:t>米。</w:t>
      </w:r>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eastAsia="仿宋_GB2312"/>
          <w:color w:val="000000"/>
          <w:sz w:val="26"/>
          <w:szCs w:val="26"/>
        </w:rPr>
      </w:pPr>
      <w:r>
        <w:rPr>
          <w:rFonts w:hint="eastAsia" w:eastAsia="仿宋_GB2312"/>
          <w:color w:val="000000"/>
          <w:sz w:val="26"/>
          <w:szCs w:val="26"/>
        </w:rPr>
        <w:t>2.6空间布局：平面布局，整体使用。</w:t>
      </w:r>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hint="default" w:eastAsia="仿宋_GB2312"/>
          <w:color w:val="000000"/>
          <w:sz w:val="26"/>
          <w:szCs w:val="26"/>
          <w:lang w:val="en-US" w:eastAsia="zh-CN"/>
        </w:rPr>
      </w:pPr>
      <w:r>
        <w:rPr>
          <w:rFonts w:hint="eastAsia" w:eastAsia="仿宋_GB2312"/>
          <w:color w:val="000000"/>
          <w:sz w:val="26"/>
          <w:szCs w:val="26"/>
        </w:rPr>
        <w:t>2.7装饰装修：室内户型为</w:t>
      </w:r>
      <w:r>
        <w:rPr>
          <w:rFonts w:hint="eastAsia" w:eastAsia="仿宋_GB2312"/>
          <w:color w:val="000000" w:themeColor="text1"/>
          <w:sz w:val="26"/>
          <w:szCs w:val="26"/>
          <w:lang w:val="en-US" w:eastAsia="zh-CN"/>
          <w14:textFill>
            <w14:solidFill>
              <w14:schemeClr w14:val="tx1"/>
            </w14:solidFill>
          </w14:textFill>
        </w:rPr>
        <w:t>4</w:t>
      </w:r>
      <w:r>
        <w:rPr>
          <w:rFonts w:hint="eastAsia" w:eastAsia="仿宋_GB2312"/>
          <w:color w:val="000000" w:themeColor="text1"/>
          <w:sz w:val="26"/>
          <w:szCs w:val="26"/>
          <w14:textFill>
            <w14:solidFill>
              <w14:schemeClr w14:val="tx1"/>
            </w14:solidFill>
          </w14:textFill>
        </w:rPr>
        <w:t>室</w:t>
      </w:r>
      <w:r>
        <w:rPr>
          <w:rFonts w:hint="eastAsia" w:eastAsia="仿宋_GB2312"/>
          <w:color w:val="000000" w:themeColor="text1"/>
          <w:sz w:val="26"/>
          <w:szCs w:val="26"/>
          <w:lang w:val="en-US" w:eastAsia="zh-CN"/>
          <w14:textFill>
            <w14:solidFill>
              <w14:schemeClr w14:val="tx1"/>
            </w14:solidFill>
          </w14:textFill>
        </w:rPr>
        <w:t>1</w:t>
      </w:r>
      <w:r>
        <w:rPr>
          <w:rFonts w:hint="eastAsia" w:eastAsia="仿宋_GB2312"/>
          <w:color w:val="000000" w:themeColor="text1"/>
          <w:sz w:val="26"/>
          <w:szCs w:val="26"/>
          <w14:textFill>
            <w14:solidFill>
              <w14:schemeClr w14:val="tx1"/>
            </w14:solidFill>
          </w14:textFill>
        </w:rPr>
        <w:t>厅1厨</w:t>
      </w:r>
      <w:r>
        <w:rPr>
          <w:rFonts w:hint="eastAsia" w:eastAsia="仿宋_GB2312"/>
          <w:color w:val="000000" w:themeColor="text1"/>
          <w:sz w:val="26"/>
          <w:szCs w:val="26"/>
          <w:lang w:val="en-US" w:eastAsia="zh-CN"/>
          <w14:textFill>
            <w14:solidFill>
              <w14:schemeClr w14:val="tx1"/>
            </w14:solidFill>
          </w14:textFill>
        </w:rPr>
        <w:t>2</w:t>
      </w:r>
      <w:r>
        <w:rPr>
          <w:rFonts w:hint="eastAsia" w:eastAsia="仿宋_GB2312"/>
          <w:color w:val="000000" w:themeColor="text1"/>
          <w:sz w:val="26"/>
          <w:szCs w:val="26"/>
          <w14:textFill>
            <w14:solidFill>
              <w14:schemeClr w14:val="tx1"/>
            </w14:solidFill>
          </w14:textFill>
        </w:rPr>
        <w:t>卫</w:t>
      </w:r>
      <w:r>
        <w:rPr>
          <w:rFonts w:hint="eastAsia" w:eastAsia="仿宋_GB2312"/>
          <w:color w:val="000000"/>
          <w:sz w:val="26"/>
          <w:szCs w:val="26"/>
        </w:rPr>
        <w:t>；</w:t>
      </w:r>
      <w:r>
        <w:rPr>
          <w:rFonts w:hint="eastAsia" w:eastAsia="仿宋_GB2312"/>
          <w:color w:val="000000"/>
          <w:sz w:val="26"/>
          <w:szCs w:val="26"/>
          <w:lang w:val="en-US" w:eastAsia="zh-CN"/>
        </w:rPr>
        <w:t>室内地面铺地砖，墙面刮瓷粉及刷乳胶漆，集成吊顶，客厅电视背景墙，卧室安有壁柜，客厅阳台封闭，洗衣房一个（客厅旁边），厨房和卫生间铺地砖贴墙砖，室内精装修</w:t>
      </w:r>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eastAsia="仿宋_GB2312"/>
          <w:color w:val="0000FF"/>
          <w:sz w:val="26"/>
          <w:szCs w:val="26"/>
        </w:rPr>
      </w:pPr>
      <w:r>
        <w:rPr>
          <w:rFonts w:hint="eastAsia" w:eastAsia="仿宋_GB2312"/>
          <w:color w:val="000000"/>
          <w:sz w:val="26"/>
          <w:szCs w:val="26"/>
          <w:lang w:val="en-US" w:eastAsia="zh-CN"/>
        </w:rPr>
        <w:t>2</w:t>
      </w:r>
      <w:r>
        <w:rPr>
          <w:rFonts w:hint="eastAsia" w:eastAsia="仿宋_GB2312"/>
          <w:color w:val="000000"/>
          <w:sz w:val="26"/>
          <w:szCs w:val="26"/>
        </w:rPr>
        <w:t>.8设施设备；估价对象水、电、消防等。</w:t>
      </w:r>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eastAsia="仿宋_GB2312"/>
          <w:color w:val="000000"/>
          <w:sz w:val="26"/>
          <w:szCs w:val="26"/>
        </w:rPr>
      </w:pPr>
      <w:r>
        <w:rPr>
          <w:rFonts w:hint="eastAsia" w:eastAsia="仿宋_GB2312"/>
          <w:color w:val="000000"/>
          <w:sz w:val="26"/>
          <w:szCs w:val="26"/>
        </w:rPr>
        <w:t>2.9物业管理：物业管理一般。</w:t>
      </w:r>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eastAsia="仿宋_GB2312"/>
          <w:color w:val="000000"/>
          <w:sz w:val="26"/>
          <w:szCs w:val="26"/>
        </w:rPr>
      </w:pPr>
      <w:r>
        <w:rPr>
          <w:rFonts w:hint="eastAsia" w:eastAsia="仿宋_GB2312"/>
          <w:color w:val="000000"/>
          <w:sz w:val="26"/>
          <w:szCs w:val="26"/>
        </w:rPr>
        <w:t>3.0维护及完损状况：房屋地基稳固，基础完好；无墙体开裂，现场勘查为</w:t>
      </w:r>
      <w:r>
        <w:rPr>
          <w:rFonts w:hint="eastAsia" w:eastAsia="仿宋_GB2312"/>
          <w:color w:val="000000"/>
          <w:sz w:val="26"/>
          <w:szCs w:val="26"/>
          <w:lang w:val="en-US" w:eastAsia="zh-CN"/>
        </w:rPr>
        <w:t>八成</w:t>
      </w:r>
      <w:r>
        <w:rPr>
          <w:rFonts w:hint="eastAsia" w:eastAsia="仿宋_GB2312"/>
          <w:color w:val="000000"/>
          <w:sz w:val="26"/>
          <w:szCs w:val="26"/>
        </w:rPr>
        <w:t>新。</w:t>
      </w:r>
    </w:p>
    <w:p>
      <w:pPr>
        <w:pStyle w:val="4"/>
        <w:pageBreakBefore w:val="0"/>
        <w:widowControl w:val="0"/>
        <w:kinsoku/>
        <w:wordWrap/>
        <w:overflowPunct/>
        <w:topLinePunct w:val="0"/>
        <w:autoSpaceDE/>
        <w:autoSpaceDN/>
        <w:bidi w:val="0"/>
        <w:spacing w:before="156" w:beforeLines="50" w:after="156" w:afterLines="50" w:line="480" w:lineRule="exact"/>
        <w:ind w:firstLine="562" w:firstLineChars="200"/>
        <w:textAlignment w:val="auto"/>
        <w:rPr>
          <w:rFonts w:ascii="仿宋" w:hAnsi="仿宋" w:eastAsia="仿宋" w:cs="仿宋"/>
          <w:color w:val="000000"/>
          <w:sz w:val="28"/>
          <w:szCs w:val="28"/>
        </w:rPr>
      </w:pPr>
      <w:r>
        <w:rPr>
          <w:rFonts w:hint="eastAsia" w:ascii="仿宋" w:hAnsi="仿宋" w:eastAsia="仿宋" w:cs="仿宋"/>
          <w:color w:val="000000"/>
          <w:sz w:val="28"/>
          <w:szCs w:val="28"/>
        </w:rPr>
        <w:t>（四）估价对象区位状况</w:t>
      </w:r>
    </w:p>
    <w:p>
      <w:pPr>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eastAsia="仿宋_GB2312"/>
          <w:color w:val="000000"/>
          <w:sz w:val="26"/>
          <w:szCs w:val="26"/>
        </w:rPr>
      </w:pPr>
      <w:r>
        <w:rPr>
          <w:rFonts w:hint="eastAsia" w:eastAsia="仿宋_GB2312"/>
          <w:color w:val="000000"/>
          <w:sz w:val="26"/>
          <w:szCs w:val="26"/>
        </w:rPr>
        <w:t>4.1位置状况：估价对象位于</w:t>
      </w:r>
      <w:r>
        <w:rPr>
          <w:rFonts w:hint="eastAsia" w:eastAsia="仿宋_GB2312"/>
          <w:color w:val="000000"/>
          <w:sz w:val="26"/>
          <w:szCs w:val="26"/>
          <w:lang w:eastAsia="zh-CN"/>
        </w:rPr>
        <w:t>纳雍县居仁街道办事处雍和世纪城5幢27-6号号</w:t>
      </w:r>
      <w:r>
        <w:rPr>
          <w:rFonts w:hint="eastAsia" w:eastAsia="仿宋_GB2312"/>
          <w:color w:val="000000"/>
          <w:sz w:val="26"/>
          <w:szCs w:val="26"/>
        </w:rPr>
        <w:t>，与所在区域内商场、医院、学校、银行等重要设施服务半径短；</w:t>
      </w:r>
    </w:p>
    <w:p>
      <w:pPr>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eastAsia="仿宋_GB2312"/>
          <w:color w:val="000000"/>
          <w:sz w:val="26"/>
          <w:szCs w:val="26"/>
        </w:rPr>
      </w:pPr>
      <w:r>
        <w:rPr>
          <w:rFonts w:hint="eastAsia" w:eastAsia="仿宋_GB2312"/>
          <w:color w:val="000000"/>
          <w:sz w:val="26"/>
          <w:szCs w:val="26"/>
        </w:rPr>
        <w:t>4.2交通状况：估价对象所在位置外联道路有</w:t>
      </w:r>
      <w:r>
        <w:rPr>
          <w:rFonts w:hint="eastAsia" w:eastAsia="仿宋_GB2312"/>
          <w:color w:val="000000"/>
          <w:sz w:val="26"/>
          <w:szCs w:val="26"/>
          <w:lang w:val="en-US" w:eastAsia="zh-CN"/>
        </w:rPr>
        <w:t>发展大道</w:t>
      </w:r>
      <w:r>
        <w:rPr>
          <w:rFonts w:hint="eastAsia" w:eastAsia="仿宋_GB2312"/>
          <w:color w:val="000000" w:themeColor="text1"/>
          <w:sz w:val="26"/>
          <w:szCs w:val="26"/>
          <w14:textFill>
            <w14:solidFill>
              <w14:schemeClr w14:val="tx1"/>
            </w14:solidFill>
          </w14:textFill>
        </w:rPr>
        <w:t>，</w:t>
      </w:r>
      <w:r>
        <w:rPr>
          <w:rFonts w:hint="eastAsia" w:eastAsia="仿宋_GB2312"/>
          <w:color w:val="000000"/>
          <w:sz w:val="26"/>
          <w:szCs w:val="26"/>
        </w:rPr>
        <w:t>道路状况较</w:t>
      </w:r>
      <w:r>
        <w:rPr>
          <w:rFonts w:hint="eastAsia" w:eastAsia="仿宋_GB2312"/>
          <w:color w:val="000000"/>
          <w:sz w:val="26"/>
          <w:szCs w:val="26"/>
          <w:lang w:val="en-US" w:eastAsia="zh-CN"/>
        </w:rPr>
        <w:t>好</w:t>
      </w:r>
      <w:r>
        <w:rPr>
          <w:rFonts w:hint="eastAsia" w:eastAsia="仿宋_GB2312"/>
          <w:color w:val="000000"/>
          <w:sz w:val="26"/>
          <w:szCs w:val="26"/>
        </w:rPr>
        <w:t>，通达度较</w:t>
      </w:r>
      <w:r>
        <w:rPr>
          <w:rFonts w:hint="eastAsia" w:eastAsia="仿宋_GB2312"/>
          <w:color w:val="000000"/>
          <w:sz w:val="26"/>
          <w:szCs w:val="26"/>
          <w:lang w:val="en-US" w:eastAsia="zh-CN"/>
        </w:rPr>
        <w:t>优</w:t>
      </w:r>
      <w:r>
        <w:rPr>
          <w:rFonts w:hint="eastAsia" w:eastAsia="仿宋_GB2312"/>
          <w:color w:val="000000"/>
          <w:sz w:val="26"/>
          <w:szCs w:val="26"/>
        </w:rPr>
        <w:t>；</w:t>
      </w:r>
    </w:p>
    <w:p>
      <w:pPr>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eastAsia="仿宋_GB2312"/>
          <w:color w:val="000000"/>
          <w:sz w:val="26"/>
          <w:szCs w:val="26"/>
        </w:rPr>
      </w:pPr>
      <w:r>
        <w:rPr>
          <w:rFonts w:hint="eastAsia" w:eastAsia="仿宋_GB2312"/>
          <w:color w:val="000000"/>
          <w:sz w:val="26"/>
          <w:szCs w:val="26"/>
        </w:rPr>
        <w:t>4.3出行可利用交通工具：附近有</w:t>
      </w:r>
      <w:r>
        <w:rPr>
          <w:rFonts w:hint="eastAsia" w:eastAsia="仿宋_GB2312"/>
          <w:color w:val="000000"/>
          <w:sz w:val="26"/>
          <w:szCs w:val="26"/>
          <w:lang w:val="en-US" w:eastAsia="zh-CN"/>
        </w:rPr>
        <w:t>3</w:t>
      </w:r>
      <w:r>
        <w:rPr>
          <w:rFonts w:hint="eastAsia" w:eastAsia="仿宋_GB2312"/>
          <w:color w:val="000000"/>
          <w:sz w:val="26"/>
          <w:szCs w:val="26"/>
        </w:rPr>
        <w:t>条及以上公交线路，</w:t>
      </w:r>
      <w:r>
        <w:rPr>
          <w:rFonts w:hint="eastAsia" w:eastAsia="仿宋_GB2312"/>
          <w:color w:val="000000"/>
          <w:sz w:val="26"/>
          <w:szCs w:val="26"/>
          <w:lang w:val="en-US" w:eastAsia="zh-CN"/>
        </w:rPr>
        <w:t>纳雍9、4、10路等</w:t>
      </w:r>
      <w:r>
        <w:rPr>
          <w:rFonts w:hint="eastAsia" w:eastAsia="仿宋_GB2312"/>
          <w:color w:val="000000"/>
          <w:sz w:val="26"/>
          <w:szCs w:val="26"/>
        </w:rPr>
        <w:t>，有城市出租车、大巴途径周边区域；</w:t>
      </w:r>
    </w:p>
    <w:p>
      <w:pPr>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eastAsia="仿宋_GB2312"/>
          <w:color w:val="000000"/>
          <w:sz w:val="26"/>
          <w:szCs w:val="26"/>
        </w:rPr>
      </w:pPr>
      <w:r>
        <w:rPr>
          <w:rFonts w:hint="eastAsia" w:eastAsia="仿宋_GB2312"/>
          <w:color w:val="000000"/>
          <w:sz w:val="26"/>
          <w:szCs w:val="26"/>
        </w:rPr>
        <w:t>4.4环境状况：周边自然环境一般，空气噪声污染一般，治安状况一般，人文环境一般，区域内有公园、休闲广场、购物场所等；</w:t>
      </w:r>
    </w:p>
    <w:p>
      <w:pPr>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eastAsia="仿宋_GB2312"/>
          <w:color w:val="000000" w:themeColor="text1"/>
          <w:sz w:val="26"/>
          <w:szCs w:val="26"/>
          <w14:textFill>
            <w14:solidFill>
              <w14:schemeClr w14:val="tx1"/>
            </w14:solidFill>
          </w14:textFill>
        </w:rPr>
      </w:pPr>
      <w:r>
        <w:rPr>
          <w:rFonts w:hint="eastAsia" w:eastAsia="仿宋_GB2312"/>
          <w:color w:val="000000"/>
          <w:sz w:val="26"/>
          <w:szCs w:val="26"/>
        </w:rPr>
        <w:t>4.5外部配套设施状况：估价对象所在区域道路、给排水、电力、电讯等基础设施较完备，</w:t>
      </w:r>
      <w:r>
        <w:rPr>
          <w:rFonts w:hint="eastAsia" w:eastAsia="仿宋_GB2312"/>
          <w:color w:val="000000" w:themeColor="text1"/>
          <w:sz w:val="26"/>
          <w:szCs w:val="26"/>
          <w14:textFill>
            <w14:solidFill>
              <w14:schemeClr w14:val="tx1"/>
            </w14:solidFill>
          </w14:textFill>
        </w:rPr>
        <w:t>周边金融机构：</w:t>
      </w:r>
      <w:r>
        <w:rPr>
          <w:rFonts w:hint="eastAsia" w:eastAsia="仿宋_GB2312"/>
          <w:color w:val="000000" w:themeColor="text1"/>
          <w:sz w:val="26"/>
          <w:szCs w:val="26"/>
          <w:lang w:val="en-US" w:eastAsia="zh-CN"/>
          <w14:textFill>
            <w14:solidFill>
              <w14:schemeClr w14:val="tx1"/>
            </w14:solidFill>
          </w14:textFill>
        </w:rPr>
        <w:t>中国农业银行，中国电信等</w:t>
      </w:r>
      <w:r>
        <w:rPr>
          <w:rFonts w:hint="eastAsia" w:eastAsia="仿宋_GB2312"/>
          <w:color w:val="000000" w:themeColor="text1"/>
          <w:sz w:val="26"/>
          <w:szCs w:val="26"/>
          <w14:textFill>
            <w14:solidFill>
              <w14:schemeClr w14:val="tx1"/>
            </w14:solidFill>
          </w14:textFill>
        </w:rPr>
        <w:t>；教育机构</w:t>
      </w:r>
      <w:r>
        <w:rPr>
          <w:rFonts w:hint="eastAsia" w:eastAsia="仿宋_GB2312"/>
          <w:color w:val="000000" w:themeColor="text1"/>
          <w:sz w:val="26"/>
          <w:szCs w:val="26"/>
          <w:lang w:eastAsia="zh-CN"/>
          <w14:textFill>
            <w14:solidFill>
              <w14:schemeClr w14:val="tx1"/>
            </w14:solidFill>
          </w14:textFill>
        </w:rPr>
        <w:t>；</w:t>
      </w:r>
      <w:r>
        <w:rPr>
          <w:rFonts w:hint="eastAsia" w:eastAsia="仿宋_GB2312"/>
          <w:color w:val="000000" w:themeColor="text1"/>
          <w:sz w:val="26"/>
          <w:szCs w:val="26"/>
          <w:lang w:val="en-US" w:eastAsia="zh-CN"/>
          <w14:textFill>
            <w14:solidFill>
              <w14:schemeClr w14:val="tx1"/>
            </w14:solidFill>
          </w14:textFill>
        </w:rPr>
        <w:t>纳雍天河实验学校</w:t>
      </w:r>
      <w:r>
        <w:rPr>
          <w:rFonts w:hint="eastAsia" w:eastAsia="仿宋_GB2312"/>
          <w:color w:val="000000" w:themeColor="text1"/>
          <w:sz w:val="26"/>
          <w:szCs w:val="26"/>
          <w14:textFill>
            <w14:solidFill>
              <w14:schemeClr w14:val="tx1"/>
            </w14:solidFill>
          </w14:textFill>
        </w:rPr>
        <w:t>医疗机构：</w:t>
      </w:r>
      <w:r>
        <w:rPr>
          <w:rFonts w:hint="eastAsia" w:eastAsia="仿宋_GB2312"/>
          <w:color w:val="000000" w:themeColor="text1"/>
          <w:sz w:val="26"/>
          <w:szCs w:val="26"/>
          <w:lang w:val="en-US" w:eastAsia="zh-CN"/>
          <w14:textFill>
            <w14:solidFill>
              <w14:schemeClr w14:val="tx1"/>
            </w14:solidFill>
          </w14:textFill>
        </w:rPr>
        <w:t>纳雍县人民医院</w:t>
      </w:r>
      <w:r>
        <w:rPr>
          <w:rFonts w:hint="eastAsia" w:eastAsia="仿宋_GB2312"/>
          <w:color w:val="000000" w:themeColor="text1"/>
          <w:sz w:val="26"/>
          <w:szCs w:val="26"/>
          <w14:textFill>
            <w14:solidFill>
              <w14:schemeClr w14:val="tx1"/>
            </w14:solidFill>
          </w14:textFill>
        </w:rPr>
        <w:t>；区域内金融机构、教育机构、医疗机构、行政事业机构较完善；</w:t>
      </w:r>
    </w:p>
    <w:p>
      <w:pPr>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eastAsia="仿宋_GB2312"/>
          <w:color w:val="000000"/>
          <w:sz w:val="26"/>
          <w:szCs w:val="26"/>
        </w:rPr>
      </w:pPr>
      <w:r>
        <w:rPr>
          <w:rFonts w:hint="eastAsia" w:eastAsia="仿宋_GB2312"/>
          <w:color w:val="000000"/>
          <w:sz w:val="26"/>
          <w:szCs w:val="26"/>
        </w:rPr>
        <w:t>4.6区位状况优劣度分析：估价对象所在区域基础设施及公共设施较完善，繁华度一般，人流量一般，交通</w:t>
      </w:r>
      <w:r>
        <w:rPr>
          <w:rFonts w:hint="eastAsia" w:eastAsia="仿宋_GB2312"/>
          <w:color w:val="000000"/>
          <w:sz w:val="26"/>
          <w:szCs w:val="26"/>
          <w:lang w:val="en-US" w:eastAsia="zh-CN"/>
        </w:rPr>
        <w:t>较好</w:t>
      </w:r>
      <w:r>
        <w:rPr>
          <w:rFonts w:hint="eastAsia" w:eastAsia="仿宋_GB2312"/>
          <w:color w:val="000000"/>
          <w:sz w:val="26"/>
          <w:szCs w:val="26"/>
        </w:rPr>
        <w:t>，区位状况</w:t>
      </w:r>
      <w:r>
        <w:rPr>
          <w:rFonts w:hint="eastAsia" w:eastAsia="仿宋_GB2312"/>
          <w:color w:val="000000"/>
          <w:sz w:val="26"/>
          <w:szCs w:val="26"/>
          <w:lang w:val="en-US" w:eastAsia="zh-CN"/>
        </w:rPr>
        <w:t>较</w:t>
      </w:r>
      <w:r>
        <w:rPr>
          <w:rFonts w:hint="eastAsia" w:eastAsia="仿宋_GB2312"/>
          <w:color w:val="000000"/>
          <w:sz w:val="26"/>
          <w:szCs w:val="26"/>
        </w:rPr>
        <w:t>好。</w:t>
      </w:r>
    </w:p>
    <w:p>
      <w:pPr>
        <w:pStyle w:val="3"/>
        <w:pageBreakBefore w:val="0"/>
        <w:widowControl w:val="0"/>
        <w:numPr>
          <w:ilvl w:val="0"/>
          <w:numId w:val="1"/>
        </w:numPr>
        <w:kinsoku/>
        <w:wordWrap/>
        <w:overflowPunct/>
        <w:topLinePunct w:val="0"/>
        <w:autoSpaceDE/>
        <w:autoSpaceDN/>
        <w:bidi w:val="0"/>
        <w:spacing w:before="156" w:beforeLines="50" w:after="156" w:afterLines="50" w:line="480" w:lineRule="exact"/>
        <w:ind w:firstLine="643" w:firstLineChars="200"/>
        <w:textAlignment w:val="auto"/>
        <w:rPr>
          <w:rFonts w:ascii="仿宋" w:hAnsi="仿宋" w:eastAsia="仿宋" w:cs="仿宋"/>
          <w:kern w:val="0"/>
        </w:rPr>
      </w:pPr>
      <w:bookmarkStart w:id="25" w:name="_Toc8522"/>
      <w:bookmarkStart w:id="26" w:name="_Toc522795047"/>
      <w:r>
        <w:rPr>
          <w:rFonts w:hint="eastAsia" w:ascii="仿宋" w:hAnsi="仿宋" w:eastAsia="仿宋" w:cs="仿宋"/>
          <w:kern w:val="0"/>
        </w:rPr>
        <w:t>价值时点</w:t>
      </w:r>
      <w:bookmarkEnd w:id="25"/>
      <w:bookmarkEnd w:id="26"/>
    </w:p>
    <w:p>
      <w:pPr>
        <w:pageBreakBefore w:val="0"/>
        <w:widowControl w:val="0"/>
        <w:kinsoku/>
        <w:wordWrap/>
        <w:overflowPunct/>
        <w:topLinePunct w:val="0"/>
        <w:autoSpaceDE/>
        <w:autoSpaceDN/>
        <w:bidi w:val="0"/>
        <w:adjustRightInd w:val="0"/>
        <w:snapToGrid w:val="0"/>
        <w:spacing w:line="480" w:lineRule="exact"/>
        <w:textAlignment w:val="auto"/>
        <w:rPr>
          <w:rFonts w:eastAsia="仿宋_GB2312"/>
          <w:color w:val="000000"/>
          <w:sz w:val="26"/>
          <w:szCs w:val="26"/>
        </w:rPr>
      </w:pPr>
      <w:r>
        <w:rPr>
          <w:rFonts w:hint="eastAsia" w:eastAsia="仿宋_GB2312"/>
          <w:color w:val="000000"/>
          <w:sz w:val="26"/>
          <w:szCs w:val="26"/>
        </w:rPr>
        <w:t>本次</w:t>
      </w:r>
      <w:r>
        <w:rPr>
          <w:rFonts w:hint="eastAsia" w:eastAsia="仿宋_GB2312"/>
          <w:color w:val="000000"/>
          <w:sz w:val="26"/>
          <w:szCs w:val="26"/>
          <w:lang w:eastAsia="zh-CN"/>
        </w:rPr>
        <w:t>价值时点为2022年7月</w:t>
      </w:r>
      <w:r>
        <w:rPr>
          <w:rFonts w:hint="eastAsia" w:eastAsia="仿宋_GB2312"/>
          <w:color w:val="000000"/>
          <w:sz w:val="26"/>
          <w:szCs w:val="26"/>
          <w:lang w:val="en-US" w:eastAsia="zh-CN"/>
        </w:rPr>
        <w:t>27</w:t>
      </w:r>
      <w:r>
        <w:rPr>
          <w:rFonts w:hint="eastAsia" w:eastAsia="仿宋_GB2312"/>
          <w:color w:val="000000"/>
          <w:sz w:val="26"/>
          <w:szCs w:val="26"/>
          <w:lang w:eastAsia="zh-CN"/>
        </w:rPr>
        <w:t>日</w:t>
      </w:r>
      <w:r>
        <w:rPr>
          <w:rFonts w:hint="eastAsia" w:eastAsia="仿宋_GB2312"/>
          <w:color w:val="000000"/>
          <w:sz w:val="26"/>
          <w:szCs w:val="26"/>
        </w:rPr>
        <w:t>，</w:t>
      </w:r>
      <w:r>
        <w:rPr>
          <w:rFonts w:hint="eastAsia" w:eastAsia="仿宋_GB2312"/>
          <w:sz w:val="26"/>
          <w:szCs w:val="26"/>
        </w:rPr>
        <w:t>为完成估价对象实地查勘之日</w:t>
      </w:r>
      <w:r>
        <w:rPr>
          <w:rFonts w:hint="eastAsia" w:eastAsia="仿宋_GB2312"/>
          <w:color w:val="000000"/>
          <w:sz w:val="26"/>
          <w:szCs w:val="26"/>
        </w:rPr>
        <w:t>。</w:t>
      </w:r>
    </w:p>
    <w:p>
      <w:pPr>
        <w:pStyle w:val="3"/>
        <w:pageBreakBefore w:val="0"/>
        <w:widowControl w:val="0"/>
        <w:kinsoku/>
        <w:wordWrap/>
        <w:overflowPunct/>
        <w:topLinePunct w:val="0"/>
        <w:autoSpaceDE/>
        <w:autoSpaceDN/>
        <w:bidi w:val="0"/>
        <w:spacing w:before="156" w:beforeLines="50" w:after="156" w:afterLines="50" w:line="480" w:lineRule="exact"/>
        <w:ind w:firstLine="643" w:firstLineChars="200"/>
        <w:textAlignment w:val="auto"/>
        <w:rPr>
          <w:rFonts w:ascii="仿宋" w:hAnsi="仿宋" w:eastAsia="仿宋" w:cs="仿宋"/>
          <w:kern w:val="0"/>
        </w:rPr>
      </w:pPr>
      <w:bookmarkStart w:id="27" w:name="_Toc522795048"/>
      <w:bookmarkStart w:id="28" w:name="_Toc15880"/>
      <w:r>
        <w:rPr>
          <w:rFonts w:hint="eastAsia" w:ascii="仿宋" w:hAnsi="仿宋" w:eastAsia="仿宋" w:cs="仿宋"/>
          <w:kern w:val="0"/>
        </w:rPr>
        <w:t>六、价值类型</w:t>
      </w:r>
      <w:bookmarkEnd w:id="24"/>
      <w:bookmarkEnd w:id="27"/>
      <w:bookmarkEnd w:id="28"/>
    </w:p>
    <w:p>
      <w:pPr>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eastAsia="仿宋_GB2312"/>
          <w:color w:val="000000"/>
          <w:sz w:val="26"/>
          <w:szCs w:val="26"/>
        </w:rPr>
      </w:pPr>
      <w:r>
        <w:rPr>
          <w:rFonts w:hint="eastAsia" w:eastAsia="仿宋_GB2312"/>
          <w:color w:val="000000"/>
          <w:sz w:val="26"/>
          <w:szCs w:val="26"/>
        </w:rPr>
        <w:t>本报告估价结果是反映估价对象在价值时点的公开</w:t>
      </w:r>
      <w:bookmarkStart w:id="29" w:name="OLE_LINK6"/>
      <w:r>
        <w:rPr>
          <w:rFonts w:hint="eastAsia" w:eastAsia="仿宋_GB2312"/>
          <w:color w:val="000000"/>
          <w:sz w:val="26"/>
          <w:szCs w:val="26"/>
        </w:rPr>
        <w:t>市场价值</w:t>
      </w:r>
      <w:bookmarkEnd w:id="29"/>
      <w:r>
        <w:rPr>
          <w:rFonts w:hint="eastAsia" w:eastAsia="仿宋_GB2312"/>
          <w:color w:val="000000"/>
          <w:sz w:val="26"/>
          <w:szCs w:val="26"/>
        </w:rPr>
        <w:t>（包含应分摊的土地使用权价格）。</w:t>
      </w:r>
    </w:p>
    <w:p>
      <w:pPr>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hint="eastAsia" w:eastAsia="仿宋_GB2312"/>
          <w:color w:val="000000"/>
          <w:sz w:val="26"/>
          <w:szCs w:val="26"/>
        </w:rPr>
      </w:pPr>
      <w:r>
        <w:rPr>
          <w:rFonts w:hint="eastAsia" w:eastAsia="仿宋_GB2312"/>
          <w:color w:val="000000"/>
          <w:sz w:val="26"/>
          <w:szCs w:val="26"/>
        </w:rPr>
        <w:t>公开市场价值是在公开市场上最可能形成的价格。公开市场指在该市场上交易双方进行交易的目的在于最大限度地追求经济效益，并掌握必要的市场信息，有较充裕的时间进行交易，对交易对象具有必要的专业知识，交易条件公开并不具有排他性。</w:t>
      </w:r>
      <w:bookmarkStart w:id="30" w:name="_Toc522795049"/>
      <w:bookmarkStart w:id="31" w:name="_Toc7183"/>
    </w:p>
    <w:p>
      <w:pPr>
        <w:pStyle w:val="3"/>
        <w:pageBreakBefore w:val="0"/>
        <w:widowControl w:val="0"/>
        <w:kinsoku/>
        <w:wordWrap/>
        <w:overflowPunct/>
        <w:topLinePunct w:val="0"/>
        <w:autoSpaceDE/>
        <w:autoSpaceDN/>
        <w:bidi w:val="0"/>
        <w:spacing w:before="156" w:beforeLines="50" w:after="156" w:afterLines="50" w:line="480" w:lineRule="exact"/>
        <w:textAlignment w:val="auto"/>
        <w:rPr>
          <w:rFonts w:ascii="仿宋" w:hAnsi="仿宋" w:eastAsia="仿宋" w:cs="仿宋"/>
          <w:kern w:val="0"/>
        </w:rPr>
      </w:pPr>
      <w:r>
        <w:rPr>
          <w:rFonts w:hint="eastAsia" w:ascii="仿宋" w:hAnsi="仿宋" w:eastAsia="仿宋" w:cs="仿宋"/>
          <w:kern w:val="0"/>
        </w:rPr>
        <w:t>七、估价原则</w:t>
      </w:r>
      <w:bookmarkEnd w:id="30"/>
      <w:bookmarkEnd w:id="31"/>
    </w:p>
    <w:p>
      <w:pPr>
        <w:pageBreakBefore w:val="0"/>
        <w:widowControl w:val="0"/>
        <w:kinsoku/>
        <w:wordWrap/>
        <w:overflowPunct/>
        <w:topLinePunct w:val="0"/>
        <w:autoSpaceDE/>
        <w:autoSpaceDN/>
        <w:bidi w:val="0"/>
        <w:spacing w:line="480" w:lineRule="exact"/>
        <w:ind w:firstLine="520" w:firstLineChars="200"/>
        <w:textAlignment w:val="auto"/>
        <w:rPr>
          <w:rFonts w:eastAsia="仿宋_GB2312"/>
          <w:sz w:val="26"/>
          <w:szCs w:val="26"/>
        </w:rPr>
      </w:pPr>
      <w:bookmarkStart w:id="32" w:name="_Toc286074115"/>
      <w:r>
        <w:rPr>
          <w:rFonts w:eastAsia="仿宋_GB2312"/>
          <w:sz w:val="26"/>
          <w:szCs w:val="26"/>
        </w:rPr>
        <w:t>本次估价遵循了独立、客观、公正原则、合法原则、最高最佳使用原则、替代原则、价值时点原则。</w:t>
      </w:r>
    </w:p>
    <w:p>
      <w:pPr>
        <w:pageBreakBefore w:val="0"/>
        <w:widowControl w:val="0"/>
        <w:kinsoku/>
        <w:wordWrap/>
        <w:overflowPunct/>
        <w:topLinePunct w:val="0"/>
        <w:autoSpaceDE/>
        <w:autoSpaceDN/>
        <w:bidi w:val="0"/>
        <w:spacing w:line="480" w:lineRule="exact"/>
        <w:ind w:firstLine="520" w:firstLineChars="200"/>
        <w:textAlignment w:val="auto"/>
        <w:rPr>
          <w:rFonts w:eastAsia="仿宋_GB2312"/>
          <w:kern w:val="0"/>
          <w:sz w:val="26"/>
          <w:szCs w:val="26"/>
        </w:rPr>
      </w:pPr>
      <w:r>
        <w:rPr>
          <w:rFonts w:hint="eastAsia" w:eastAsia="仿宋_GB2312"/>
          <w:kern w:val="0"/>
          <w:sz w:val="26"/>
          <w:szCs w:val="26"/>
        </w:rPr>
        <w:t>1、</w:t>
      </w:r>
      <w:r>
        <w:rPr>
          <w:rFonts w:eastAsia="仿宋_GB2312"/>
          <w:sz w:val="26"/>
          <w:szCs w:val="26"/>
        </w:rPr>
        <w:t>独立、客观、公正原则：</w:t>
      </w:r>
      <w:r>
        <w:rPr>
          <w:rFonts w:hint="eastAsia" w:eastAsia="仿宋_GB2312"/>
          <w:sz w:val="26"/>
          <w:szCs w:val="26"/>
        </w:rPr>
        <w:t>要求站在中立的立场上，实事求是、公平正直地评估出对各方估价利害关系人均是公平合理的价值或价格的原则</w:t>
      </w:r>
      <w:r>
        <w:rPr>
          <w:rFonts w:eastAsia="仿宋_GB2312"/>
          <w:sz w:val="26"/>
          <w:szCs w:val="26"/>
        </w:rPr>
        <w:t>。</w:t>
      </w:r>
    </w:p>
    <w:p>
      <w:pPr>
        <w:pageBreakBefore w:val="0"/>
        <w:widowControl w:val="0"/>
        <w:kinsoku/>
        <w:wordWrap/>
        <w:overflowPunct/>
        <w:topLinePunct w:val="0"/>
        <w:autoSpaceDE/>
        <w:autoSpaceDN/>
        <w:bidi w:val="0"/>
        <w:spacing w:line="480" w:lineRule="exact"/>
        <w:ind w:firstLine="520" w:firstLineChars="200"/>
        <w:textAlignment w:val="auto"/>
        <w:rPr>
          <w:rFonts w:eastAsia="仿宋_GB2312"/>
          <w:sz w:val="26"/>
          <w:szCs w:val="26"/>
        </w:rPr>
      </w:pPr>
      <w:r>
        <w:rPr>
          <w:rFonts w:hint="eastAsia" w:eastAsia="仿宋_GB2312"/>
          <w:kern w:val="0"/>
          <w:sz w:val="26"/>
          <w:szCs w:val="26"/>
        </w:rPr>
        <w:t>2、</w:t>
      </w:r>
      <w:r>
        <w:rPr>
          <w:rFonts w:eastAsia="仿宋_GB2312"/>
          <w:sz w:val="26"/>
          <w:szCs w:val="26"/>
        </w:rPr>
        <w:t>合法原则：</w:t>
      </w:r>
      <w:r>
        <w:rPr>
          <w:rFonts w:hint="eastAsia" w:eastAsia="仿宋_GB2312"/>
          <w:sz w:val="26"/>
          <w:szCs w:val="26"/>
        </w:rPr>
        <w:t>要求估价结果是在依法判定的估价对象状况下的价值或价格的原则</w:t>
      </w:r>
      <w:r>
        <w:rPr>
          <w:rFonts w:eastAsia="仿宋_GB2312"/>
          <w:sz w:val="26"/>
          <w:szCs w:val="26"/>
        </w:rPr>
        <w:t>。</w:t>
      </w:r>
    </w:p>
    <w:p>
      <w:pPr>
        <w:pageBreakBefore w:val="0"/>
        <w:widowControl w:val="0"/>
        <w:kinsoku/>
        <w:wordWrap/>
        <w:overflowPunct/>
        <w:topLinePunct w:val="0"/>
        <w:autoSpaceDE/>
        <w:autoSpaceDN/>
        <w:bidi w:val="0"/>
        <w:spacing w:line="480" w:lineRule="exact"/>
        <w:ind w:firstLine="520" w:firstLineChars="200"/>
        <w:textAlignment w:val="auto"/>
        <w:rPr>
          <w:rFonts w:eastAsia="仿宋_GB2312"/>
          <w:sz w:val="26"/>
          <w:szCs w:val="26"/>
        </w:rPr>
      </w:pPr>
      <w:r>
        <w:rPr>
          <w:rFonts w:hint="eastAsia" w:eastAsia="仿宋_GB2312"/>
          <w:kern w:val="0"/>
          <w:sz w:val="26"/>
          <w:szCs w:val="26"/>
        </w:rPr>
        <w:t>3、</w:t>
      </w:r>
      <w:r>
        <w:rPr>
          <w:rFonts w:hint="eastAsia" w:eastAsia="仿宋_GB2312"/>
          <w:sz w:val="26"/>
          <w:szCs w:val="26"/>
        </w:rPr>
        <w:t>价值时点原则</w:t>
      </w:r>
      <w:r>
        <w:rPr>
          <w:rFonts w:eastAsia="仿宋_GB2312"/>
          <w:sz w:val="26"/>
          <w:szCs w:val="26"/>
        </w:rPr>
        <w:t>：</w:t>
      </w:r>
      <w:r>
        <w:rPr>
          <w:rFonts w:hint="eastAsia" w:eastAsia="仿宋_GB2312"/>
          <w:sz w:val="26"/>
          <w:szCs w:val="26"/>
        </w:rPr>
        <w:t>要求估价结果是在根据估价目的确定的某一特定时间的价值或价格的原则</w:t>
      </w:r>
      <w:r>
        <w:rPr>
          <w:rFonts w:eastAsia="仿宋_GB2312"/>
          <w:sz w:val="26"/>
          <w:szCs w:val="26"/>
        </w:rPr>
        <w:t>。</w:t>
      </w:r>
    </w:p>
    <w:p>
      <w:pPr>
        <w:pageBreakBefore w:val="0"/>
        <w:widowControl w:val="0"/>
        <w:kinsoku/>
        <w:wordWrap/>
        <w:overflowPunct/>
        <w:topLinePunct w:val="0"/>
        <w:autoSpaceDE/>
        <w:autoSpaceDN/>
        <w:bidi w:val="0"/>
        <w:spacing w:line="480" w:lineRule="exact"/>
        <w:ind w:firstLine="520" w:firstLineChars="200"/>
        <w:textAlignment w:val="auto"/>
        <w:rPr>
          <w:rFonts w:eastAsia="仿宋_GB2312"/>
          <w:sz w:val="26"/>
          <w:szCs w:val="26"/>
        </w:rPr>
      </w:pPr>
      <w:r>
        <w:rPr>
          <w:rFonts w:hint="eastAsia" w:eastAsia="仿宋_GB2312"/>
          <w:sz w:val="26"/>
          <w:szCs w:val="26"/>
        </w:rPr>
        <w:t>4、</w:t>
      </w:r>
      <w:r>
        <w:rPr>
          <w:rFonts w:eastAsia="仿宋_GB2312"/>
          <w:sz w:val="26"/>
          <w:szCs w:val="26"/>
        </w:rPr>
        <w:t>替代原则：</w:t>
      </w:r>
      <w:r>
        <w:rPr>
          <w:rFonts w:hint="eastAsia" w:eastAsia="仿宋_GB2312"/>
          <w:sz w:val="26"/>
          <w:szCs w:val="26"/>
        </w:rPr>
        <w:t>要求估价结果与估价对象的类似房地产在同等条件下的价值或价格偏差在合理范围内的原则。</w:t>
      </w:r>
    </w:p>
    <w:p>
      <w:pPr>
        <w:pageBreakBefore w:val="0"/>
        <w:widowControl w:val="0"/>
        <w:kinsoku/>
        <w:wordWrap/>
        <w:overflowPunct/>
        <w:topLinePunct w:val="0"/>
        <w:autoSpaceDE/>
        <w:autoSpaceDN/>
        <w:bidi w:val="0"/>
        <w:spacing w:line="480" w:lineRule="exact"/>
        <w:ind w:firstLine="520" w:firstLineChars="200"/>
        <w:textAlignment w:val="auto"/>
        <w:rPr>
          <w:rFonts w:eastAsia="仿宋_GB2312"/>
          <w:color w:val="000000"/>
          <w:sz w:val="26"/>
          <w:szCs w:val="26"/>
        </w:rPr>
      </w:pPr>
      <w:r>
        <w:rPr>
          <w:rFonts w:hint="eastAsia" w:eastAsia="仿宋_GB2312"/>
          <w:sz w:val="26"/>
          <w:szCs w:val="26"/>
        </w:rPr>
        <w:t>5、</w:t>
      </w:r>
      <w:r>
        <w:rPr>
          <w:rFonts w:eastAsia="仿宋_GB2312"/>
          <w:sz w:val="26"/>
          <w:szCs w:val="26"/>
        </w:rPr>
        <w:t>最高最佳使用原则：</w:t>
      </w:r>
      <w:r>
        <w:rPr>
          <w:rFonts w:hint="eastAsia" w:eastAsia="仿宋_GB2312"/>
          <w:sz w:val="26"/>
          <w:szCs w:val="26"/>
        </w:rPr>
        <w:t>要求估价结果是在估价对象最高最佳利用状况下的价值或价格的原则；最高最佳利用：房地产在法律上允许、技术上可能、财务上可行并使价值最大的合理、可能的利用，包括最佳的用途、规模、档次等</w:t>
      </w:r>
      <w:r>
        <w:rPr>
          <w:rFonts w:eastAsia="仿宋_GB2312"/>
          <w:sz w:val="26"/>
          <w:szCs w:val="26"/>
        </w:rPr>
        <w:t>。</w:t>
      </w:r>
    </w:p>
    <w:p>
      <w:pPr>
        <w:pStyle w:val="3"/>
        <w:pageBreakBefore w:val="0"/>
        <w:widowControl w:val="0"/>
        <w:kinsoku/>
        <w:wordWrap/>
        <w:overflowPunct/>
        <w:topLinePunct w:val="0"/>
        <w:autoSpaceDE/>
        <w:autoSpaceDN/>
        <w:bidi w:val="0"/>
        <w:spacing w:before="156" w:beforeLines="50" w:after="156" w:afterLines="50" w:line="480" w:lineRule="exact"/>
        <w:ind w:firstLine="643" w:firstLineChars="200"/>
        <w:textAlignment w:val="auto"/>
        <w:rPr>
          <w:rFonts w:ascii="仿宋" w:hAnsi="仿宋" w:eastAsia="仿宋" w:cs="仿宋"/>
          <w:kern w:val="0"/>
        </w:rPr>
      </w:pPr>
      <w:bookmarkStart w:id="33" w:name="_Toc7205"/>
      <w:bookmarkStart w:id="34" w:name="_Toc522795050"/>
      <w:r>
        <w:rPr>
          <w:rFonts w:hint="eastAsia" w:ascii="仿宋" w:hAnsi="仿宋" w:eastAsia="仿宋" w:cs="仿宋"/>
          <w:kern w:val="0"/>
        </w:rPr>
        <w:t>八、估价依据</w:t>
      </w:r>
      <w:bookmarkEnd w:id="32"/>
      <w:bookmarkEnd w:id="33"/>
      <w:bookmarkEnd w:id="34"/>
    </w:p>
    <w:p>
      <w:pPr>
        <w:pStyle w:val="10"/>
        <w:pageBreakBefore w:val="0"/>
        <w:widowControl w:val="0"/>
        <w:kinsoku/>
        <w:wordWrap/>
        <w:overflowPunct/>
        <w:topLinePunct w:val="0"/>
        <w:autoSpaceDE/>
        <w:autoSpaceDN/>
        <w:bidi w:val="0"/>
        <w:spacing w:line="480" w:lineRule="exact"/>
        <w:ind w:left="0" w:firstLine="520" w:firstLineChars="200"/>
        <w:textAlignment w:val="auto"/>
        <w:rPr>
          <w:rFonts w:eastAsia="仿宋_GB2312"/>
          <w:sz w:val="26"/>
          <w:szCs w:val="26"/>
        </w:rPr>
      </w:pPr>
      <w:bookmarkStart w:id="35" w:name="_Toc286074116"/>
      <w:r>
        <w:rPr>
          <w:rFonts w:hint="eastAsia" w:eastAsia="仿宋_GB2312"/>
          <w:sz w:val="26"/>
          <w:szCs w:val="26"/>
        </w:rPr>
        <w:t>（一）本次估价所依据的有关法律、法规和部门规章</w:t>
      </w:r>
    </w:p>
    <w:p>
      <w:pPr>
        <w:pStyle w:val="10"/>
        <w:pageBreakBefore w:val="0"/>
        <w:widowControl w:val="0"/>
        <w:kinsoku/>
        <w:wordWrap/>
        <w:overflowPunct/>
        <w:topLinePunct w:val="0"/>
        <w:autoSpaceDE/>
        <w:autoSpaceDN/>
        <w:bidi w:val="0"/>
        <w:spacing w:line="480" w:lineRule="exact"/>
        <w:ind w:left="0" w:firstLine="520" w:firstLineChars="200"/>
        <w:textAlignment w:val="auto"/>
        <w:rPr>
          <w:rFonts w:eastAsia="仿宋_GB2312"/>
          <w:sz w:val="26"/>
          <w:szCs w:val="26"/>
        </w:rPr>
      </w:pPr>
      <w:r>
        <w:rPr>
          <w:rFonts w:hint="eastAsia" w:eastAsia="仿宋_GB2312"/>
          <w:sz w:val="26"/>
          <w:szCs w:val="26"/>
        </w:rPr>
        <w:t>1、《中华人民共和国资产评估法》【主席令第46号】（2016年7月2日第十二届全国人民代表大会第二十一次会议通过，自2016年12月1日起实施）；</w:t>
      </w:r>
    </w:p>
    <w:p>
      <w:pPr>
        <w:pStyle w:val="10"/>
        <w:pageBreakBefore w:val="0"/>
        <w:widowControl w:val="0"/>
        <w:kinsoku/>
        <w:wordWrap/>
        <w:overflowPunct/>
        <w:topLinePunct w:val="0"/>
        <w:autoSpaceDE/>
        <w:autoSpaceDN/>
        <w:bidi w:val="0"/>
        <w:spacing w:line="480" w:lineRule="exact"/>
        <w:ind w:left="0" w:firstLine="520" w:firstLineChars="200"/>
        <w:textAlignment w:val="auto"/>
        <w:rPr>
          <w:rFonts w:eastAsia="仿宋_GB2312"/>
          <w:sz w:val="26"/>
          <w:szCs w:val="26"/>
        </w:rPr>
      </w:pPr>
      <w:r>
        <w:rPr>
          <w:rFonts w:hint="eastAsia" w:eastAsia="仿宋_GB2312"/>
          <w:sz w:val="26"/>
          <w:szCs w:val="26"/>
        </w:rPr>
        <w:t>2、</w:t>
      </w:r>
      <w:r>
        <w:rPr>
          <w:rFonts w:hint="eastAsia" w:eastAsia="仿宋_GB2312"/>
          <w:color w:val="000000"/>
          <w:sz w:val="26"/>
          <w:szCs w:val="26"/>
        </w:rPr>
        <w:t>《中华</w:t>
      </w:r>
      <w:r>
        <w:rPr>
          <w:rFonts w:hint="eastAsia" w:eastAsia="仿宋_GB2312"/>
          <w:sz w:val="26"/>
          <w:szCs w:val="26"/>
        </w:rPr>
        <w:t>人民共和国民法典》（2020年5月28日第十三届全国人民代表大会第三次会议通过，自2021年1月1日起实施）；</w:t>
      </w:r>
    </w:p>
    <w:p>
      <w:pPr>
        <w:pStyle w:val="10"/>
        <w:pageBreakBefore w:val="0"/>
        <w:widowControl w:val="0"/>
        <w:kinsoku/>
        <w:wordWrap/>
        <w:overflowPunct/>
        <w:topLinePunct w:val="0"/>
        <w:autoSpaceDE/>
        <w:autoSpaceDN/>
        <w:bidi w:val="0"/>
        <w:spacing w:line="480" w:lineRule="exact"/>
        <w:ind w:left="0" w:firstLine="520" w:firstLineChars="200"/>
        <w:textAlignment w:val="auto"/>
        <w:rPr>
          <w:rFonts w:eastAsia="仿宋_GB2312"/>
          <w:sz w:val="26"/>
          <w:szCs w:val="26"/>
        </w:rPr>
      </w:pPr>
      <w:r>
        <w:rPr>
          <w:rFonts w:hint="eastAsia" w:eastAsia="仿宋_GB2312"/>
          <w:sz w:val="26"/>
          <w:szCs w:val="26"/>
        </w:rPr>
        <w:t>3、全国人民代表大会常务委员会关于修改《中华人民共和国城市房地产管理法》的决定【主席令第72号】（中华人民共和国第十届全国人民代表大会常务委员会第二十九次会议于2007年8月30日通过并发布）；</w:t>
      </w:r>
    </w:p>
    <w:p>
      <w:pPr>
        <w:pStyle w:val="10"/>
        <w:pageBreakBefore w:val="0"/>
        <w:widowControl w:val="0"/>
        <w:kinsoku/>
        <w:wordWrap/>
        <w:overflowPunct/>
        <w:topLinePunct w:val="0"/>
        <w:autoSpaceDE/>
        <w:autoSpaceDN/>
        <w:bidi w:val="0"/>
        <w:spacing w:line="480" w:lineRule="exact"/>
        <w:ind w:left="0" w:firstLine="520" w:firstLineChars="200"/>
        <w:textAlignment w:val="auto"/>
        <w:rPr>
          <w:rFonts w:eastAsia="仿宋_GB2312"/>
          <w:sz w:val="26"/>
          <w:szCs w:val="26"/>
        </w:rPr>
      </w:pPr>
      <w:r>
        <w:rPr>
          <w:rFonts w:hint="eastAsia" w:eastAsia="仿宋_GB2312"/>
          <w:sz w:val="26"/>
          <w:szCs w:val="26"/>
        </w:rPr>
        <w:t>4、《中华人民共和国土地管理法》（根据2004年8月28日第十届全国人民代表大会常务委员会第十一次会议《关于修改‹中华人民共和国土地管理法›的决定第二次修正》）；</w:t>
      </w:r>
    </w:p>
    <w:p>
      <w:pPr>
        <w:pStyle w:val="10"/>
        <w:pageBreakBefore w:val="0"/>
        <w:widowControl w:val="0"/>
        <w:kinsoku/>
        <w:wordWrap/>
        <w:overflowPunct/>
        <w:topLinePunct w:val="0"/>
        <w:autoSpaceDE/>
        <w:autoSpaceDN/>
        <w:bidi w:val="0"/>
        <w:spacing w:line="480" w:lineRule="exact"/>
        <w:ind w:left="0" w:firstLine="520" w:firstLineChars="200"/>
        <w:textAlignment w:val="auto"/>
        <w:rPr>
          <w:rFonts w:eastAsia="仿宋_GB2312"/>
          <w:sz w:val="26"/>
          <w:szCs w:val="26"/>
        </w:rPr>
      </w:pPr>
      <w:r>
        <w:rPr>
          <w:rFonts w:hint="eastAsia" w:eastAsia="仿宋_GB2312"/>
          <w:sz w:val="26"/>
          <w:szCs w:val="26"/>
        </w:rPr>
        <w:t>5、《最高人民法院关于人民法院确定财产处置参考价若干问题的规定 》（法释〔2018〕15号）；</w:t>
      </w:r>
    </w:p>
    <w:p>
      <w:pPr>
        <w:pStyle w:val="10"/>
        <w:pageBreakBefore w:val="0"/>
        <w:widowControl w:val="0"/>
        <w:kinsoku/>
        <w:wordWrap/>
        <w:overflowPunct/>
        <w:topLinePunct w:val="0"/>
        <w:autoSpaceDE/>
        <w:autoSpaceDN/>
        <w:bidi w:val="0"/>
        <w:spacing w:line="480" w:lineRule="exact"/>
        <w:ind w:left="0" w:firstLine="520" w:firstLineChars="200"/>
        <w:textAlignment w:val="auto"/>
        <w:rPr>
          <w:rFonts w:eastAsia="仿宋_GB2312"/>
          <w:sz w:val="26"/>
          <w:szCs w:val="26"/>
        </w:rPr>
      </w:pPr>
      <w:r>
        <w:rPr>
          <w:rFonts w:hint="eastAsia" w:eastAsia="仿宋_GB2312"/>
          <w:sz w:val="26"/>
          <w:szCs w:val="26"/>
        </w:rPr>
        <w:t>6、《人民法院委托评估工作规范》（法办[</w:t>
      </w:r>
      <w:r>
        <w:rPr>
          <w:rFonts w:eastAsia="仿宋_GB2312"/>
          <w:sz w:val="26"/>
          <w:szCs w:val="26"/>
        </w:rPr>
        <w:t>2018]273</w:t>
      </w:r>
      <w:r>
        <w:rPr>
          <w:rFonts w:hint="eastAsia" w:eastAsia="仿宋_GB2312"/>
          <w:sz w:val="26"/>
          <w:szCs w:val="26"/>
        </w:rPr>
        <w:t>号）；</w:t>
      </w:r>
    </w:p>
    <w:p>
      <w:pPr>
        <w:pageBreakBefore w:val="0"/>
        <w:widowControl w:val="0"/>
        <w:kinsoku/>
        <w:wordWrap/>
        <w:overflowPunct/>
        <w:topLinePunct w:val="0"/>
        <w:autoSpaceDE/>
        <w:autoSpaceDN/>
        <w:bidi w:val="0"/>
        <w:spacing w:line="480" w:lineRule="exact"/>
        <w:ind w:firstLine="520" w:firstLineChars="200"/>
        <w:textAlignment w:val="auto"/>
        <w:rPr>
          <w:rFonts w:eastAsia="仿宋_GB2312"/>
          <w:sz w:val="26"/>
          <w:szCs w:val="26"/>
        </w:rPr>
      </w:pPr>
      <w:r>
        <w:rPr>
          <w:rFonts w:hint="eastAsia" w:eastAsia="仿宋_GB2312"/>
          <w:sz w:val="26"/>
          <w:szCs w:val="26"/>
        </w:rPr>
        <w:t>7、法释〔2004〕16号《最高人民法院关于人民法院民事执行中拍卖、变卖财产的规定》（于2004年10月26日由最高人民法院审判委员会第1330次会议通过，自2005年1月1日起施行）；</w:t>
      </w:r>
    </w:p>
    <w:p>
      <w:pPr>
        <w:pageBreakBefore w:val="0"/>
        <w:widowControl w:val="0"/>
        <w:kinsoku/>
        <w:wordWrap/>
        <w:overflowPunct/>
        <w:topLinePunct w:val="0"/>
        <w:autoSpaceDE/>
        <w:autoSpaceDN/>
        <w:bidi w:val="0"/>
        <w:spacing w:line="480" w:lineRule="exact"/>
        <w:ind w:firstLine="520" w:firstLineChars="200"/>
        <w:textAlignment w:val="auto"/>
        <w:rPr>
          <w:rFonts w:eastAsia="仿宋_GB2312"/>
          <w:sz w:val="26"/>
          <w:szCs w:val="26"/>
        </w:rPr>
      </w:pPr>
      <w:r>
        <w:rPr>
          <w:rFonts w:hint="eastAsia" w:eastAsia="仿宋_GB2312"/>
          <w:sz w:val="26"/>
          <w:szCs w:val="26"/>
        </w:rPr>
        <w:t>8、法办发〔2007〕5号《最高人民法院对外委托鉴定、评估、拍卖等工作管理规定》（2007年8月23日公布，自2007年9月1日起施行）；</w:t>
      </w:r>
    </w:p>
    <w:p>
      <w:pPr>
        <w:pStyle w:val="10"/>
        <w:pageBreakBefore w:val="0"/>
        <w:widowControl w:val="0"/>
        <w:kinsoku/>
        <w:wordWrap/>
        <w:overflowPunct/>
        <w:topLinePunct w:val="0"/>
        <w:autoSpaceDE/>
        <w:autoSpaceDN/>
        <w:bidi w:val="0"/>
        <w:spacing w:line="480" w:lineRule="exact"/>
        <w:ind w:left="0" w:firstLine="520" w:firstLineChars="200"/>
        <w:textAlignment w:val="auto"/>
        <w:rPr>
          <w:rFonts w:eastAsia="仿宋_GB2312"/>
          <w:sz w:val="26"/>
          <w:szCs w:val="26"/>
        </w:rPr>
      </w:pPr>
      <w:r>
        <w:rPr>
          <w:rFonts w:hint="eastAsia" w:eastAsia="仿宋_GB2312"/>
          <w:sz w:val="26"/>
          <w:szCs w:val="26"/>
        </w:rPr>
        <w:t>9、法释〔2009〕16号《最高人民法院关于人民法院委托评估、拍卖和变卖工作的若干规定》（于2009年8月24日由最高人民法院审判委员会第1472次会议通过，自2009年11月20日起施行）</w:t>
      </w:r>
    </w:p>
    <w:p>
      <w:pPr>
        <w:pStyle w:val="10"/>
        <w:pageBreakBefore w:val="0"/>
        <w:widowControl w:val="0"/>
        <w:kinsoku/>
        <w:wordWrap/>
        <w:overflowPunct/>
        <w:topLinePunct w:val="0"/>
        <w:autoSpaceDE/>
        <w:autoSpaceDN/>
        <w:bidi w:val="0"/>
        <w:spacing w:line="480" w:lineRule="exact"/>
        <w:ind w:left="0" w:firstLine="520" w:firstLineChars="200"/>
        <w:textAlignment w:val="auto"/>
        <w:rPr>
          <w:rFonts w:eastAsia="仿宋_GB2312"/>
          <w:sz w:val="26"/>
          <w:szCs w:val="26"/>
        </w:rPr>
      </w:pPr>
      <w:r>
        <w:rPr>
          <w:rFonts w:hint="eastAsia" w:eastAsia="仿宋_GB2312"/>
          <w:sz w:val="26"/>
          <w:szCs w:val="26"/>
        </w:rPr>
        <w:t>10、国务院、建设部、贵州省人民政府及有关部门颁布的有关政策、法规文件。</w:t>
      </w:r>
    </w:p>
    <w:p>
      <w:pPr>
        <w:pStyle w:val="10"/>
        <w:pageBreakBefore w:val="0"/>
        <w:widowControl w:val="0"/>
        <w:kinsoku/>
        <w:wordWrap/>
        <w:overflowPunct/>
        <w:topLinePunct w:val="0"/>
        <w:autoSpaceDE/>
        <w:autoSpaceDN/>
        <w:bidi w:val="0"/>
        <w:spacing w:line="480" w:lineRule="exact"/>
        <w:ind w:left="0" w:firstLine="520" w:firstLineChars="200"/>
        <w:textAlignment w:val="auto"/>
        <w:rPr>
          <w:rFonts w:eastAsia="仿宋_GB2312"/>
          <w:sz w:val="26"/>
          <w:szCs w:val="26"/>
        </w:rPr>
      </w:pPr>
      <w:r>
        <w:rPr>
          <w:rFonts w:hint="eastAsia" w:eastAsia="仿宋_GB2312"/>
          <w:sz w:val="26"/>
          <w:szCs w:val="26"/>
        </w:rPr>
        <w:t>（二）本次估价采用的技术规程</w:t>
      </w:r>
    </w:p>
    <w:p>
      <w:pPr>
        <w:pStyle w:val="10"/>
        <w:pageBreakBefore w:val="0"/>
        <w:widowControl w:val="0"/>
        <w:kinsoku/>
        <w:wordWrap/>
        <w:overflowPunct/>
        <w:topLinePunct w:val="0"/>
        <w:autoSpaceDE/>
        <w:autoSpaceDN/>
        <w:bidi w:val="0"/>
        <w:spacing w:line="480" w:lineRule="exact"/>
        <w:ind w:left="0" w:firstLine="520" w:firstLineChars="200"/>
        <w:textAlignment w:val="auto"/>
        <w:rPr>
          <w:rFonts w:eastAsia="仿宋_GB2312"/>
          <w:sz w:val="26"/>
          <w:szCs w:val="26"/>
        </w:rPr>
      </w:pPr>
      <w:r>
        <w:rPr>
          <w:rFonts w:hint="eastAsia" w:eastAsia="仿宋_GB2312"/>
          <w:sz w:val="26"/>
          <w:szCs w:val="26"/>
        </w:rPr>
        <w:t>1、中华人民共和国国家标准《房地产估价规范》（GB/T50291-2015）；</w:t>
      </w:r>
    </w:p>
    <w:p>
      <w:pPr>
        <w:pStyle w:val="10"/>
        <w:pageBreakBefore w:val="0"/>
        <w:widowControl w:val="0"/>
        <w:kinsoku/>
        <w:wordWrap/>
        <w:overflowPunct/>
        <w:topLinePunct w:val="0"/>
        <w:autoSpaceDE/>
        <w:autoSpaceDN/>
        <w:bidi w:val="0"/>
        <w:spacing w:line="480" w:lineRule="exact"/>
        <w:ind w:left="0" w:firstLine="520" w:firstLineChars="200"/>
        <w:textAlignment w:val="auto"/>
        <w:rPr>
          <w:rFonts w:eastAsia="仿宋_GB2312"/>
          <w:sz w:val="26"/>
          <w:szCs w:val="26"/>
        </w:rPr>
      </w:pPr>
      <w:r>
        <w:rPr>
          <w:rFonts w:hint="eastAsia" w:eastAsia="仿宋_GB2312"/>
          <w:sz w:val="26"/>
          <w:szCs w:val="26"/>
        </w:rPr>
        <w:t>2、《房地产估价基本术语标准》(GB/T50899-2013)；</w:t>
      </w:r>
    </w:p>
    <w:p>
      <w:pPr>
        <w:pStyle w:val="10"/>
        <w:pageBreakBefore w:val="0"/>
        <w:widowControl w:val="0"/>
        <w:kinsoku/>
        <w:wordWrap/>
        <w:overflowPunct/>
        <w:topLinePunct w:val="0"/>
        <w:autoSpaceDE/>
        <w:autoSpaceDN/>
        <w:bidi w:val="0"/>
        <w:spacing w:line="480" w:lineRule="exact"/>
        <w:ind w:left="0" w:firstLine="520" w:firstLineChars="200"/>
        <w:textAlignment w:val="auto"/>
        <w:rPr>
          <w:rFonts w:eastAsia="仿宋_GB2312"/>
          <w:sz w:val="26"/>
          <w:szCs w:val="26"/>
        </w:rPr>
      </w:pPr>
      <w:r>
        <w:rPr>
          <w:rFonts w:hint="eastAsia" w:eastAsia="仿宋_GB2312"/>
          <w:sz w:val="26"/>
          <w:szCs w:val="26"/>
        </w:rPr>
        <w:t>（三）估价委托人提供的有关资料</w:t>
      </w:r>
    </w:p>
    <w:p>
      <w:pPr>
        <w:pStyle w:val="10"/>
        <w:pageBreakBefore w:val="0"/>
        <w:widowControl w:val="0"/>
        <w:kinsoku/>
        <w:wordWrap/>
        <w:overflowPunct/>
        <w:topLinePunct w:val="0"/>
        <w:autoSpaceDE/>
        <w:autoSpaceDN/>
        <w:bidi w:val="0"/>
        <w:spacing w:line="480" w:lineRule="exact"/>
        <w:ind w:left="0" w:firstLine="520" w:firstLineChars="200"/>
        <w:textAlignment w:val="auto"/>
        <w:rPr>
          <w:rFonts w:eastAsia="仿宋_GB2312"/>
          <w:sz w:val="26"/>
          <w:szCs w:val="26"/>
        </w:rPr>
      </w:pPr>
      <w:r>
        <w:rPr>
          <w:rFonts w:hint="eastAsia" w:eastAsia="仿宋_GB2312"/>
          <w:sz w:val="26"/>
          <w:szCs w:val="26"/>
        </w:rPr>
        <w:t>1、《</w:t>
      </w:r>
      <w:r>
        <w:rPr>
          <w:rFonts w:hint="eastAsia" w:eastAsia="仿宋_GB2312"/>
          <w:sz w:val="26"/>
          <w:szCs w:val="26"/>
          <w:lang w:eastAsia="zh-CN"/>
        </w:rPr>
        <w:t>纳雍县人民法院</w:t>
      </w:r>
      <w:r>
        <w:rPr>
          <w:rFonts w:hint="eastAsia" w:eastAsia="仿宋_GB2312"/>
          <w:sz w:val="26"/>
          <w:szCs w:val="26"/>
        </w:rPr>
        <w:t>委托书》；</w:t>
      </w:r>
    </w:p>
    <w:p>
      <w:pPr>
        <w:pStyle w:val="10"/>
        <w:pageBreakBefore w:val="0"/>
        <w:widowControl w:val="0"/>
        <w:kinsoku/>
        <w:wordWrap/>
        <w:overflowPunct/>
        <w:topLinePunct w:val="0"/>
        <w:autoSpaceDE/>
        <w:autoSpaceDN/>
        <w:bidi w:val="0"/>
        <w:spacing w:line="480" w:lineRule="exact"/>
        <w:ind w:left="0" w:firstLine="520" w:firstLineChars="200"/>
        <w:textAlignment w:val="auto"/>
        <w:rPr>
          <w:rFonts w:eastAsia="仿宋_GB2312"/>
          <w:sz w:val="26"/>
          <w:szCs w:val="26"/>
        </w:rPr>
      </w:pPr>
      <w:r>
        <w:rPr>
          <w:rFonts w:hint="eastAsia" w:eastAsia="仿宋_GB2312"/>
          <w:sz w:val="26"/>
          <w:szCs w:val="26"/>
        </w:rPr>
        <w:t>2、《贵州省不动产登记查询结果》（复印件）；</w:t>
      </w:r>
    </w:p>
    <w:p>
      <w:pPr>
        <w:pStyle w:val="10"/>
        <w:pageBreakBefore w:val="0"/>
        <w:widowControl w:val="0"/>
        <w:kinsoku/>
        <w:wordWrap/>
        <w:overflowPunct/>
        <w:topLinePunct w:val="0"/>
        <w:autoSpaceDE/>
        <w:autoSpaceDN/>
        <w:bidi w:val="0"/>
        <w:spacing w:line="480" w:lineRule="exact"/>
        <w:ind w:left="0" w:firstLine="520" w:firstLineChars="200"/>
        <w:textAlignment w:val="auto"/>
        <w:rPr>
          <w:rFonts w:eastAsia="仿宋_GB2312"/>
          <w:sz w:val="26"/>
          <w:szCs w:val="26"/>
        </w:rPr>
      </w:pPr>
      <w:r>
        <w:rPr>
          <w:rFonts w:hint="eastAsia" w:eastAsia="仿宋_GB2312"/>
          <w:sz w:val="26"/>
          <w:szCs w:val="26"/>
        </w:rPr>
        <w:t>（四）估价机构和估价人员所搜集掌握的有关资料</w:t>
      </w:r>
    </w:p>
    <w:p>
      <w:pPr>
        <w:pStyle w:val="10"/>
        <w:pageBreakBefore w:val="0"/>
        <w:widowControl w:val="0"/>
        <w:kinsoku/>
        <w:wordWrap/>
        <w:overflowPunct/>
        <w:topLinePunct w:val="0"/>
        <w:autoSpaceDE/>
        <w:autoSpaceDN/>
        <w:bidi w:val="0"/>
        <w:spacing w:line="480" w:lineRule="exact"/>
        <w:ind w:left="0" w:firstLine="520" w:firstLineChars="200"/>
        <w:textAlignment w:val="auto"/>
        <w:rPr>
          <w:rFonts w:eastAsia="仿宋_GB2312"/>
          <w:sz w:val="26"/>
          <w:szCs w:val="26"/>
        </w:rPr>
      </w:pPr>
      <w:r>
        <w:rPr>
          <w:rFonts w:hint="eastAsia" w:eastAsia="仿宋_GB2312"/>
          <w:sz w:val="26"/>
          <w:szCs w:val="26"/>
        </w:rPr>
        <w:t>1、现场调查资料；</w:t>
      </w:r>
    </w:p>
    <w:p>
      <w:pPr>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eastAsia="仿宋_GB2312"/>
          <w:color w:val="000000"/>
          <w:sz w:val="26"/>
          <w:szCs w:val="26"/>
        </w:rPr>
      </w:pPr>
      <w:r>
        <w:rPr>
          <w:rFonts w:hint="eastAsia" w:eastAsia="仿宋_GB2312"/>
          <w:sz w:val="26"/>
          <w:szCs w:val="26"/>
        </w:rPr>
        <w:t>2、当地房地产市场行情；</w:t>
      </w:r>
    </w:p>
    <w:p>
      <w:pPr>
        <w:pStyle w:val="3"/>
        <w:pageBreakBefore w:val="0"/>
        <w:widowControl w:val="0"/>
        <w:kinsoku/>
        <w:wordWrap/>
        <w:overflowPunct/>
        <w:topLinePunct w:val="0"/>
        <w:autoSpaceDE/>
        <w:autoSpaceDN/>
        <w:bidi w:val="0"/>
        <w:spacing w:before="156" w:beforeLines="50" w:after="156" w:afterLines="50" w:line="480" w:lineRule="exact"/>
        <w:ind w:firstLine="643" w:firstLineChars="200"/>
        <w:textAlignment w:val="auto"/>
        <w:rPr>
          <w:rFonts w:ascii="仿宋" w:hAnsi="仿宋" w:eastAsia="仿宋" w:cs="仿宋"/>
          <w:kern w:val="0"/>
        </w:rPr>
      </w:pPr>
      <w:bookmarkStart w:id="36" w:name="_Toc522795051"/>
      <w:bookmarkStart w:id="37" w:name="_Toc26764"/>
      <w:r>
        <w:rPr>
          <w:rFonts w:hint="eastAsia" w:ascii="仿宋" w:hAnsi="仿宋" w:eastAsia="仿宋" w:cs="仿宋"/>
          <w:kern w:val="0"/>
        </w:rPr>
        <w:t>九、估价方法</w:t>
      </w:r>
      <w:bookmarkEnd w:id="35"/>
      <w:bookmarkEnd w:id="36"/>
      <w:bookmarkEnd w:id="37"/>
    </w:p>
    <w:p>
      <w:pPr>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eastAsia="仿宋_GB2312"/>
          <w:sz w:val="26"/>
          <w:szCs w:val="26"/>
        </w:rPr>
      </w:pPr>
      <w:bookmarkStart w:id="38" w:name="_Toc522795052"/>
      <w:r>
        <w:rPr>
          <w:rFonts w:hint="eastAsia" w:eastAsia="仿宋_GB2312"/>
          <w:sz w:val="26"/>
          <w:szCs w:val="26"/>
        </w:rPr>
        <w:t>(一)估价方法适用性分析</w:t>
      </w:r>
    </w:p>
    <w:p>
      <w:pPr>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eastAsia="仿宋_GB2312"/>
          <w:sz w:val="26"/>
          <w:szCs w:val="26"/>
        </w:rPr>
      </w:pPr>
      <w:r>
        <w:rPr>
          <w:rFonts w:hint="eastAsia" w:eastAsia="仿宋_GB2312"/>
          <w:sz w:val="26"/>
          <w:szCs w:val="26"/>
        </w:rPr>
        <w:t>根据《房地产估价规范》，选用估价方法时，应根据估价对象及其所在的房地产市场状况等客观条件，对比较法、收益法、成本法、假设开发法等估价方法进行适用性分析。</w:t>
      </w:r>
    </w:p>
    <w:p>
      <w:pPr>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eastAsia="仿宋_GB2312"/>
          <w:sz w:val="26"/>
          <w:szCs w:val="26"/>
        </w:rPr>
      </w:pPr>
      <w:r>
        <w:rPr>
          <w:rFonts w:hint="eastAsia" w:eastAsia="仿宋_GB2312"/>
          <w:sz w:val="26"/>
          <w:szCs w:val="26"/>
        </w:rPr>
        <w:t>比较法适用于房地产市场成熟，近期同类房地产交易案例较多的估价；收益法适用于有收益或潜在收益的房地产估价；成本法适用于房地产市场不成熟或市场依据不充分而不适宜采用比较法、收益法及假设开发法的房地产估价；假设开发法适用于具有投资开发或再开发潜力的房地产的估价。</w:t>
      </w:r>
    </w:p>
    <w:p>
      <w:pPr>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eastAsia="仿宋_GB2312"/>
          <w:sz w:val="26"/>
          <w:szCs w:val="26"/>
        </w:rPr>
      </w:pPr>
      <w:r>
        <w:rPr>
          <w:rFonts w:hint="eastAsia" w:eastAsia="仿宋_GB2312"/>
          <w:sz w:val="26"/>
          <w:szCs w:val="26"/>
        </w:rPr>
        <w:t>（二）估价方法的选择</w:t>
      </w:r>
    </w:p>
    <w:p>
      <w:pPr>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eastAsia="仿宋_GB2312"/>
          <w:sz w:val="26"/>
          <w:szCs w:val="26"/>
        </w:rPr>
      </w:pPr>
      <w:r>
        <w:rPr>
          <w:rFonts w:hint="eastAsia" w:eastAsia="仿宋_GB2312"/>
          <w:sz w:val="26"/>
          <w:szCs w:val="26"/>
        </w:rPr>
        <w:t>求取房地产市场价值时，主要的估价方法有比较法、成本法、收益法、假设开发法等，比较法适用于市场发达、交易活跃、有充足的具有替代性房地产的评估，成本法适用于无市场依据或市场依据不充分而不易采用比较法、收益法、假设开发法进行评估情况下的房地产评估，收益法适用于有现实收益或潜在收益的房地产评估，假设开发法适用于具有投资开发或有开发潜力的房地产评估。需根据特定的估价目的、估价对象状况、交易市场情况等选择适宜的估价方法。方法选择思路：</w:t>
      </w:r>
    </w:p>
    <w:p>
      <w:pPr>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eastAsia="仿宋_GB2312"/>
          <w:sz w:val="26"/>
          <w:szCs w:val="26"/>
        </w:rPr>
      </w:pPr>
      <w:r>
        <w:rPr>
          <w:rFonts w:hint="eastAsia" w:eastAsia="仿宋_GB2312"/>
          <w:sz w:val="26"/>
          <w:szCs w:val="26"/>
        </w:rPr>
        <w:t>1、理论上不适用的估价方法：估价对象为住宅用途房地产，根据房地产估价规范理论上不适合采用假设开发法，因为现状为正在使用且短期内重新开发或改扩建增加价值的可能性不大，故不适合采用假设开发法进行评估；</w:t>
      </w:r>
    </w:p>
    <w:p>
      <w:pPr>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eastAsia="仿宋_GB2312"/>
          <w:sz w:val="26"/>
          <w:szCs w:val="26"/>
        </w:rPr>
      </w:pPr>
      <w:r>
        <w:rPr>
          <w:rFonts w:hint="eastAsia" w:eastAsia="仿宋_GB2312"/>
          <w:sz w:val="26"/>
          <w:szCs w:val="26"/>
        </w:rPr>
        <w:t>2、理论上适用，但客观条件不具备的估价方法：估价对象位于较繁华区域，周边基础设施、公共配套设施较齐备，交通条件较好；其区位状况较好，而选用成本法测算时无法考虑区位效应、城市附加值等影响，测算结果不能客观、合理反映估价对象的市场价值；因此不适合使用成本法进行评估；</w:t>
      </w:r>
    </w:p>
    <w:p>
      <w:pPr>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eastAsia="仿宋_GB2312"/>
          <w:color w:val="0000FF"/>
          <w:sz w:val="26"/>
          <w:szCs w:val="26"/>
        </w:rPr>
      </w:pPr>
      <w:r>
        <w:rPr>
          <w:rFonts w:hint="eastAsia" w:eastAsia="仿宋_GB2312"/>
          <w:color w:val="000000"/>
          <w:sz w:val="26"/>
          <w:szCs w:val="26"/>
        </w:rPr>
        <w:t>3、理论上适用，但客观条件不具备的估价方法：估价对象为成套住宅用途房地产，虽然可以出租取得收益，但未进行出租获得租金，且周边类似物业租金案例较少，成套住宅租金交易不活跃，委托方未提供估价对象的收益年限，估价人员尽职调查后也未能获得，因此未能选用收益法进行评估；</w:t>
      </w:r>
    </w:p>
    <w:p>
      <w:pPr>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eastAsia="仿宋_GB2312"/>
          <w:color w:val="000000"/>
          <w:sz w:val="26"/>
          <w:szCs w:val="26"/>
        </w:rPr>
      </w:pPr>
      <w:r>
        <w:rPr>
          <w:rFonts w:hint="eastAsia" w:eastAsia="仿宋_GB2312"/>
          <w:color w:val="000000"/>
          <w:sz w:val="26"/>
          <w:szCs w:val="26"/>
        </w:rPr>
        <w:t>4、适用的估价方法：市场比较法适用于区域内同类房地产市场交易案例较多，交易较为频繁的估价方法，近期与估价对象同区域、同类的房地产市场交易案例较多、且容易收集，交易市场活跃，比较法是比较合适的方法。</w:t>
      </w:r>
    </w:p>
    <w:p>
      <w:pPr>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eastAsia="仿宋_GB2312"/>
          <w:sz w:val="26"/>
          <w:szCs w:val="26"/>
        </w:rPr>
      </w:pPr>
      <w:r>
        <w:rPr>
          <w:rFonts w:hint="eastAsia" w:eastAsia="仿宋_GB2312"/>
          <w:color w:val="000000"/>
          <w:sz w:val="26"/>
          <w:szCs w:val="26"/>
        </w:rPr>
        <w:t>综上所述，估价人员在认真分析所掌握的资料并对邻近类似房地产进行实地查看调查后，根据估价对象的特点及本次估价目的，遵照国家有关法律、法规、估价技术标准，对估价对象采用比较法进行评估。</w:t>
      </w:r>
    </w:p>
    <w:p>
      <w:pPr>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eastAsia="仿宋_GB2312"/>
          <w:sz w:val="26"/>
          <w:szCs w:val="26"/>
        </w:rPr>
      </w:pPr>
      <w:r>
        <w:rPr>
          <w:rFonts w:hint="eastAsia" w:eastAsia="仿宋_GB2312"/>
          <w:sz w:val="26"/>
          <w:szCs w:val="26"/>
        </w:rPr>
        <w:t>（三）估价方法简介</w:t>
      </w:r>
    </w:p>
    <w:p>
      <w:pPr>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eastAsia="仿宋_GB2312"/>
          <w:color w:val="000000"/>
          <w:sz w:val="26"/>
          <w:szCs w:val="26"/>
        </w:rPr>
      </w:pPr>
      <w:r>
        <w:rPr>
          <w:rFonts w:hint="eastAsia" w:eastAsia="仿宋_GB2312"/>
          <w:color w:val="000000"/>
          <w:sz w:val="26"/>
          <w:szCs w:val="26"/>
        </w:rPr>
        <w:t>比较法，是指将估价对象与在价值时点近期有过交易的类似房地产进行比较，对这些类似房地产的已知价格作适当的修正，以此估算估价对象的客观合理价格或价值的方法。</w:t>
      </w:r>
    </w:p>
    <w:p>
      <w:pPr>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hint="eastAsia" w:eastAsia="仿宋_GB2312"/>
          <w:sz w:val="26"/>
          <w:szCs w:val="26"/>
          <w:lang w:val="en-US" w:eastAsia="zh-CN"/>
        </w:rPr>
      </w:pPr>
      <w:r>
        <w:rPr>
          <w:rFonts w:hint="eastAsia" w:eastAsia="仿宋_GB2312"/>
          <w:color w:val="000000"/>
          <w:sz w:val="26"/>
          <w:szCs w:val="26"/>
        </w:rPr>
        <w:t>房地产价值＝可比实例成交价格×交易情况修正系数×市场状况调整系数×房地产状况调整系数</w:t>
      </w:r>
      <w:r>
        <w:rPr>
          <w:rFonts w:hint="eastAsia" w:eastAsia="仿宋_GB2312"/>
          <w:sz w:val="26"/>
          <w:szCs w:val="26"/>
        </w:rPr>
        <w:t>。</w:t>
      </w:r>
    </w:p>
    <w:p>
      <w:pPr>
        <w:pStyle w:val="3"/>
        <w:pageBreakBefore w:val="0"/>
        <w:kinsoku/>
        <w:wordWrap/>
        <w:overflowPunct/>
        <w:topLinePunct w:val="0"/>
        <w:autoSpaceDE/>
        <w:autoSpaceDN/>
        <w:bidi w:val="0"/>
        <w:spacing w:before="156" w:beforeLines="50" w:after="156" w:afterLines="50" w:line="480" w:lineRule="exact"/>
        <w:ind w:firstLine="643" w:firstLineChars="200"/>
        <w:rPr>
          <w:rFonts w:ascii="仿宋" w:hAnsi="仿宋" w:eastAsia="仿宋" w:cs="仿宋"/>
          <w:kern w:val="0"/>
        </w:rPr>
      </w:pPr>
      <w:bookmarkStart w:id="39" w:name="_Toc3021"/>
      <w:r>
        <w:rPr>
          <w:rFonts w:hint="eastAsia" w:ascii="仿宋" w:hAnsi="仿宋" w:eastAsia="仿宋" w:cs="仿宋"/>
          <w:kern w:val="0"/>
        </w:rPr>
        <w:t>十、估价结果</w:t>
      </w:r>
      <w:bookmarkEnd w:id="38"/>
      <w:bookmarkEnd w:id="39"/>
    </w:p>
    <w:p>
      <w:pPr>
        <w:keepNext w:val="0"/>
        <w:keepLines w:val="0"/>
        <w:pageBreakBefore w:val="0"/>
        <w:widowControl w:val="0"/>
        <w:kinsoku/>
        <w:wordWrap/>
        <w:overflowPunct/>
        <w:topLinePunct w:val="0"/>
        <w:autoSpaceDE/>
        <w:autoSpaceDN/>
        <w:bidi w:val="0"/>
        <w:adjustRightInd/>
        <w:snapToGrid/>
        <w:spacing w:line="480" w:lineRule="exact"/>
        <w:ind w:firstLine="520" w:firstLineChars="200"/>
        <w:jc w:val="left"/>
        <w:textAlignment w:val="auto"/>
        <w:rPr>
          <w:rFonts w:eastAsia="仿宋_GB2312"/>
          <w:color w:val="000000" w:themeColor="text1"/>
          <w:sz w:val="26"/>
          <w:szCs w:val="26"/>
          <w14:textFill>
            <w14:solidFill>
              <w14:schemeClr w14:val="tx1"/>
            </w14:solidFill>
          </w14:textFill>
        </w:rPr>
      </w:pPr>
      <w:bookmarkStart w:id="40" w:name="_Toc286074118"/>
      <w:r>
        <w:rPr>
          <w:rFonts w:eastAsia="仿宋_GB2312"/>
          <w:sz w:val="26"/>
          <w:szCs w:val="26"/>
        </w:rPr>
        <w:t>估价人员根据估价目的，经过市场调查和实地查勘，依据《房地产估价规范》</w:t>
      </w:r>
      <w:r>
        <w:rPr>
          <w:rFonts w:hint="eastAsia" w:eastAsia="仿宋_GB2312"/>
          <w:sz w:val="26"/>
          <w:szCs w:val="26"/>
        </w:rPr>
        <w:t>（GB/T 50291—2015）</w:t>
      </w:r>
      <w:r>
        <w:rPr>
          <w:rFonts w:eastAsia="仿宋_GB2312"/>
          <w:sz w:val="26"/>
          <w:szCs w:val="26"/>
        </w:rPr>
        <w:t>、</w:t>
      </w:r>
      <w:r>
        <w:rPr>
          <w:rFonts w:hint="eastAsia" w:eastAsia="仿宋_GB2312"/>
          <w:sz w:val="26"/>
          <w:szCs w:val="26"/>
        </w:rPr>
        <w:t>《房地产估价基本术语标准》（GB/T 50899—2013）、</w:t>
      </w:r>
      <w:r>
        <w:rPr>
          <w:rFonts w:eastAsia="仿宋_GB2312"/>
          <w:sz w:val="26"/>
          <w:szCs w:val="26"/>
        </w:rPr>
        <w:t>《最高人民法院关于人民法院确定财产处置参考价若干问题的规定 》（法释〔2018〕15号）及其他相关法律法规</w:t>
      </w:r>
      <w:r>
        <w:rPr>
          <w:rFonts w:hint="eastAsia" w:eastAsia="仿宋_GB2312"/>
          <w:sz w:val="26"/>
          <w:szCs w:val="26"/>
        </w:rPr>
        <w:t>，</w:t>
      </w:r>
      <w:r>
        <w:rPr>
          <w:rFonts w:hint="eastAsia" w:eastAsia="仿宋_GB2312"/>
          <w:color w:val="000000"/>
          <w:sz w:val="26"/>
          <w:szCs w:val="26"/>
        </w:rPr>
        <w:t>遵循估价原则，履行必要的估价程序，</w:t>
      </w:r>
      <w:r>
        <w:rPr>
          <w:rFonts w:eastAsia="仿宋_GB2312"/>
          <w:sz w:val="26"/>
          <w:szCs w:val="26"/>
        </w:rPr>
        <w:t>运</w:t>
      </w:r>
      <w:r>
        <w:rPr>
          <w:rFonts w:hint="eastAsia" w:eastAsia="仿宋_GB2312"/>
          <w:color w:val="000000"/>
          <w:sz w:val="26"/>
          <w:szCs w:val="26"/>
        </w:rPr>
        <w:t>用比较法</w:t>
      </w:r>
      <w:r>
        <w:rPr>
          <w:rFonts w:eastAsia="仿宋_GB2312"/>
          <w:sz w:val="26"/>
          <w:szCs w:val="26"/>
        </w:rPr>
        <w:t>对估价对象的市场价值进行测算</w:t>
      </w:r>
      <w:r>
        <w:rPr>
          <w:rFonts w:hint="eastAsia" w:eastAsia="仿宋_GB2312"/>
          <w:sz w:val="26"/>
          <w:szCs w:val="26"/>
        </w:rPr>
        <w:t>，</w:t>
      </w:r>
      <w:r>
        <w:rPr>
          <w:rFonts w:hint="eastAsia" w:eastAsia="仿宋_GB2312"/>
          <w:color w:val="000000"/>
          <w:sz w:val="26"/>
          <w:szCs w:val="26"/>
        </w:rPr>
        <w:t>并结合估价经验和对影响价值因素的分析，在满足本次估价的假设和限制条件下，确定估价对</w:t>
      </w:r>
      <w:r>
        <w:rPr>
          <w:rFonts w:hint="eastAsia" w:eastAsia="仿宋_GB2312"/>
          <w:color w:val="000000" w:themeColor="text1"/>
          <w:sz w:val="26"/>
          <w:szCs w:val="26"/>
          <w14:textFill>
            <w14:solidFill>
              <w14:schemeClr w14:val="tx1"/>
            </w14:solidFill>
          </w14:textFill>
        </w:rPr>
        <w:t>象于</w:t>
      </w:r>
      <w:r>
        <w:rPr>
          <w:rFonts w:hint="eastAsia" w:eastAsia="仿宋_GB2312"/>
          <w:color w:val="000000" w:themeColor="text1"/>
          <w:sz w:val="26"/>
          <w:szCs w:val="26"/>
          <w:lang w:eastAsia="zh-CN"/>
          <w14:textFill>
            <w14:solidFill>
              <w14:schemeClr w14:val="tx1"/>
            </w14:solidFill>
          </w14:textFill>
        </w:rPr>
        <w:t>价值时点为2022年7月</w:t>
      </w:r>
      <w:r>
        <w:rPr>
          <w:rFonts w:hint="eastAsia" w:eastAsia="仿宋_GB2312"/>
          <w:color w:val="000000" w:themeColor="text1"/>
          <w:sz w:val="26"/>
          <w:szCs w:val="26"/>
          <w:lang w:val="en-US" w:eastAsia="zh-CN"/>
          <w14:textFill>
            <w14:solidFill>
              <w14:schemeClr w14:val="tx1"/>
            </w14:solidFill>
          </w14:textFill>
        </w:rPr>
        <w:t>27</w:t>
      </w:r>
      <w:r>
        <w:rPr>
          <w:rFonts w:hint="eastAsia" w:eastAsia="仿宋_GB2312"/>
          <w:color w:val="000000" w:themeColor="text1"/>
          <w:sz w:val="26"/>
          <w:szCs w:val="26"/>
          <w:lang w:eastAsia="zh-CN"/>
          <w14:textFill>
            <w14:solidFill>
              <w14:schemeClr w14:val="tx1"/>
            </w14:solidFill>
          </w14:textFill>
        </w:rPr>
        <w:t>日</w:t>
      </w:r>
      <w:r>
        <w:rPr>
          <w:rFonts w:hint="eastAsia" w:eastAsia="仿宋_GB2312"/>
          <w:color w:val="000000" w:themeColor="text1"/>
          <w:sz w:val="26"/>
          <w:szCs w:val="26"/>
          <w14:textFill>
            <w14:solidFill>
              <w14:schemeClr w14:val="tx1"/>
            </w14:solidFill>
          </w14:textFill>
        </w:rPr>
        <w:t>的市场价</w:t>
      </w:r>
      <w:r>
        <w:rPr>
          <w:rFonts w:hint="eastAsia" w:eastAsia="仿宋_GB2312"/>
          <w:color w:val="000000"/>
          <w:sz w:val="26"/>
          <w:szCs w:val="26"/>
        </w:rPr>
        <w:t>值合计为</w:t>
      </w:r>
      <w:r>
        <w:rPr>
          <w:rFonts w:eastAsia="仿宋_GB2312"/>
          <w:b/>
          <w:bCs/>
          <w:color w:val="000000" w:themeColor="text1"/>
          <w:sz w:val="26"/>
          <w:szCs w:val="26"/>
          <w14:textFill>
            <w14:solidFill>
              <w14:schemeClr w14:val="tx1"/>
            </w14:solidFill>
          </w14:textFill>
        </w:rPr>
        <w:t>人民币</w:t>
      </w:r>
      <w:r>
        <w:rPr>
          <w:rFonts w:hint="eastAsia" w:eastAsia="仿宋_GB2312"/>
          <w:b/>
          <w:bCs/>
          <w:color w:val="000000" w:themeColor="text1"/>
          <w:sz w:val="26"/>
          <w:szCs w:val="26"/>
          <w:lang w:val="en-US" w:eastAsia="zh-CN"/>
          <w14:textFill>
            <w14:solidFill>
              <w14:schemeClr w14:val="tx1"/>
            </w14:solidFill>
          </w14:textFill>
        </w:rPr>
        <w:fldChar w:fldCharType="begin"/>
      </w:r>
      <w:r>
        <w:rPr>
          <w:rFonts w:hint="eastAsia" w:eastAsia="仿宋_GB2312"/>
          <w:b/>
          <w:bCs/>
          <w:color w:val="000000" w:themeColor="text1"/>
          <w:sz w:val="26"/>
          <w:szCs w:val="26"/>
          <w:lang w:val="en-US" w:eastAsia="zh-CN"/>
          <w14:textFill>
            <w14:solidFill>
              <w14:schemeClr w14:val="tx1"/>
            </w14:solidFill>
          </w14:textFill>
        </w:rPr>
        <w:instrText xml:space="preserve"> = 538800 \* CHINESENUM2 \* MERGEFORMAT </w:instrText>
      </w:r>
      <w:r>
        <w:rPr>
          <w:rFonts w:hint="eastAsia" w:eastAsia="仿宋_GB2312"/>
          <w:b/>
          <w:bCs/>
          <w:color w:val="000000" w:themeColor="text1"/>
          <w:sz w:val="26"/>
          <w:szCs w:val="26"/>
          <w:lang w:val="en-US" w:eastAsia="zh-CN"/>
          <w14:textFill>
            <w14:solidFill>
              <w14:schemeClr w14:val="tx1"/>
            </w14:solidFill>
          </w14:textFill>
        </w:rPr>
        <w:fldChar w:fldCharType="separate"/>
      </w:r>
      <w:r>
        <w:rPr>
          <w:rFonts w:eastAsia="仿宋_GB2312"/>
          <w:b/>
          <w:bCs/>
          <w:color w:val="000000" w:themeColor="text1"/>
          <w:sz w:val="26"/>
          <w:szCs w:val="26"/>
          <w14:textFill>
            <w14:solidFill>
              <w14:schemeClr w14:val="tx1"/>
            </w14:solidFill>
          </w14:textFill>
        </w:rPr>
        <w:t>伍拾叁万捌仟捌佰</w:t>
      </w:r>
      <w:r>
        <w:rPr>
          <w:rFonts w:hint="eastAsia" w:eastAsia="仿宋_GB2312"/>
          <w:b/>
          <w:bCs/>
          <w:color w:val="000000" w:themeColor="text1"/>
          <w:sz w:val="26"/>
          <w:szCs w:val="26"/>
          <w:lang w:val="en-US" w:eastAsia="zh-CN"/>
          <w14:textFill>
            <w14:solidFill>
              <w14:schemeClr w14:val="tx1"/>
            </w14:solidFill>
          </w14:textFill>
        </w:rPr>
        <w:fldChar w:fldCharType="end"/>
      </w:r>
      <w:r>
        <w:rPr>
          <w:rFonts w:eastAsia="仿宋_GB2312"/>
          <w:b/>
          <w:bCs/>
          <w:color w:val="000000" w:themeColor="text1"/>
          <w:sz w:val="26"/>
          <w:szCs w:val="26"/>
          <w14:textFill>
            <w14:solidFill>
              <w14:schemeClr w14:val="tx1"/>
            </w14:solidFill>
          </w14:textFill>
        </w:rPr>
        <w:t>元整</w:t>
      </w:r>
      <w:r>
        <w:rPr>
          <w:rFonts w:hint="eastAsia" w:eastAsia="仿宋_GB2312"/>
          <w:b/>
          <w:bCs/>
          <w:color w:val="000000" w:themeColor="text1"/>
          <w:sz w:val="26"/>
          <w:szCs w:val="26"/>
          <w14:textFill>
            <w14:solidFill>
              <w14:schemeClr w14:val="tx1"/>
            </w14:solidFill>
          </w14:textFill>
        </w:rPr>
        <w:t>（¥</w:t>
      </w:r>
      <w:r>
        <w:rPr>
          <w:rFonts w:hint="eastAsia" w:eastAsia="仿宋_GB2312"/>
          <w:b/>
          <w:bCs/>
          <w:color w:val="000000" w:themeColor="text1"/>
          <w:sz w:val="26"/>
          <w:szCs w:val="26"/>
          <w:lang w:val="en-US" w:eastAsia="zh-CN"/>
          <w14:textFill>
            <w14:solidFill>
              <w14:schemeClr w14:val="tx1"/>
            </w14:solidFill>
          </w14:textFill>
        </w:rPr>
        <w:t>53.88</w:t>
      </w:r>
      <w:r>
        <w:rPr>
          <w:rFonts w:hint="eastAsia" w:eastAsia="仿宋_GB2312"/>
          <w:b/>
          <w:bCs/>
          <w:color w:val="000000" w:themeColor="text1"/>
          <w:sz w:val="26"/>
          <w:szCs w:val="26"/>
          <w14:textFill>
            <w14:solidFill>
              <w14:schemeClr w14:val="tx1"/>
            </w14:solidFill>
          </w14:textFill>
        </w:rPr>
        <w:t>万元）</w:t>
      </w:r>
      <w:r>
        <w:rPr>
          <w:rFonts w:hint="eastAsia" w:eastAsia="仿宋_GB2312"/>
          <w:color w:val="000000" w:themeColor="text1"/>
          <w:sz w:val="26"/>
          <w:szCs w:val="26"/>
          <w14:textFill>
            <w14:solidFill>
              <w14:schemeClr w14:val="tx1"/>
            </w14:solidFill>
          </w14:textFill>
        </w:rPr>
        <w:t>。详见下表：</w:t>
      </w:r>
    </w:p>
    <w:tbl>
      <w:tblPr>
        <w:tblStyle w:val="24"/>
        <w:tblpPr w:leftFromText="180" w:rightFromText="180" w:vertAnchor="text" w:horzAnchor="page" w:tblpX="1450" w:tblpY="497"/>
        <w:tblOverlap w:val="never"/>
        <w:tblW w:w="94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84"/>
        <w:gridCol w:w="1163"/>
        <w:gridCol w:w="1650"/>
        <w:gridCol w:w="1995"/>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9412" w:type="dxa"/>
            <w:gridSpan w:val="5"/>
            <w:tcBorders>
              <w:top w:val="nil"/>
              <w:left w:val="nil"/>
              <w:bottom w:val="nil"/>
              <w:right w:val="nil"/>
            </w:tcBorders>
          </w:tcPr>
          <w:p>
            <w:pPr>
              <w:pageBreakBefore w:val="0"/>
              <w:kinsoku/>
              <w:wordWrap/>
              <w:overflowPunct/>
              <w:topLinePunct w:val="0"/>
              <w:autoSpaceDE/>
              <w:autoSpaceDN/>
              <w:bidi w:val="0"/>
              <w:spacing w:line="480" w:lineRule="exact"/>
              <w:ind w:firstLine="3373" w:firstLineChars="1200"/>
              <w:jc w:val="both"/>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color w:val="000000" w:themeColor="text1"/>
                <w:kern w:val="0"/>
                <w:sz w:val="28"/>
                <w:szCs w:val="28"/>
                <w:lang w:bidi="ar"/>
                <w14:textFill>
                  <w14:solidFill>
                    <w14:schemeClr w14:val="tx1"/>
                  </w14:solidFill>
                </w14:textFill>
              </w:rPr>
              <w:t>房地产估价结果汇总表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9412" w:type="dxa"/>
            <w:gridSpan w:val="5"/>
            <w:tcBorders>
              <w:top w:val="nil"/>
              <w:left w:val="nil"/>
              <w:bottom w:val="single" w:color="auto" w:sz="4" w:space="0"/>
              <w:right w:val="nil"/>
            </w:tcBorders>
          </w:tcPr>
          <w:p>
            <w:pPr>
              <w:pageBreakBefore w:val="0"/>
              <w:kinsoku/>
              <w:wordWrap/>
              <w:overflowPunct/>
              <w:topLinePunct w:val="0"/>
              <w:autoSpaceDE/>
              <w:autoSpaceDN/>
              <w:bidi w:val="0"/>
              <w:spacing w:line="480" w:lineRule="exact"/>
              <w:jc w:val="both"/>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 xml:space="preserve">                    </w:t>
            </w:r>
            <w:r>
              <w:rPr>
                <w:rFonts w:hint="eastAsia" w:ascii="仿宋" w:hAnsi="仿宋" w:eastAsia="仿宋" w:cs="仿宋"/>
                <w:b/>
                <w:bCs/>
                <w:color w:val="000000" w:themeColor="text1"/>
                <w:kern w:val="0"/>
                <w:sz w:val="24"/>
                <w:lang w:val="en-US" w:eastAsia="zh-CN"/>
                <w14:textFill>
                  <w14:solidFill>
                    <w14:schemeClr w14:val="tx1"/>
                  </w14:solidFill>
                </w14:textFill>
              </w:rPr>
              <w:t xml:space="preserve">                                       </w:t>
            </w:r>
            <w:r>
              <w:rPr>
                <w:rFonts w:hint="eastAsia" w:ascii="仿宋" w:hAnsi="仿宋" w:eastAsia="仿宋" w:cs="仿宋"/>
                <w:b/>
                <w:bCs/>
                <w:color w:val="000000" w:themeColor="text1"/>
                <w:kern w:val="0"/>
                <w:sz w:val="24"/>
                <w14:textFill>
                  <w14:solidFill>
                    <w14:schemeClr w14:val="tx1"/>
                  </w14:solidFill>
                </w14:textFill>
              </w:rPr>
              <w:t xml:space="preserve">币种：人民币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5797" w:type="dxa"/>
            <w:gridSpan w:val="3"/>
            <w:tcBorders>
              <w:top w:val="single" w:color="auto" w:sz="4" w:space="0"/>
            </w:tcBorders>
          </w:tcPr>
          <w:p>
            <w:pPr>
              <w:pageBreakBefore w:val="0"/>
              <w:widowControl/>
              <w:kinsoku/>
              <w:wordWrap/>
              <w:overflowPunct/>
              <w:topLinePunct w:val="0"/>
              <w:autoSpaceDE/>
              <w:autoSpaceDN/>
              <w:bidi w:val="0"/>
              <w:spacing w:line="480" w:lineRule="exact"/>
              <w:jc w:val="both"/>
              <w:rPr>
                <w:rFonts w:ascii="仿宋" w:hAnsi="仿宋" w:eastAsia="仿宋" w:cs="仿宋"/>
                <w:b/>
                <w:bCs/>
                <w:color w:val="000000" w:themeColor="text1"/>
                <w:kern w:val="0"/>
                <w:szCs w:val="21"/>
                <w14:textFill>
                  <w14:solidFill>
                    <w14:schemeClr w14:val="tx1"/>
                  </w14:solidFill>
                </w14:textFill>
              </w:rPr>
            </w:pPr>
            <w:r>
              <w:rPr>
                <w:color w:val="000000" w:themeColor="text1"/>
                <w:sz w:val="2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-59055</wp:posOffset>
                      </wp:positionH>
                      <wp:positionV relativeFrom="paragraph">
                        <wp:posOffset>34925</wp:posOffset>
                      </wp:positionV>
                      <wp:extent cx="3660140" cy="652780"/>
                      <wp:effectExtent l="635" t="4445" r="15875" b="9525"/>
                      <wp:wrapNone/>
                      <wp:docPr id="3" name="直接连接符 3"/>
                      <wp:cNvGraphicFramePr/>
                      <a:graphic xmlns:a="http://schemas.openxmlformats.org/drawingml/2006/main">
                        <a:graphicData uri="http://schemas.microsoft.com/office/word/2010/wordprocessingShape">
                          <wps:wsp>
                            <wps:cNvCnPr/>
                            <wps:spPr>
                              <a:xfrm flipH="1">
                                <a:off x="743585" y="4298315"/>
                                <a:ext cx="3660140" cy="652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4.65pt;margin-top:2.75pt;height:51.4pt;width:288.2pt;z-index:251661312;mso-width-relative:page;mso-height-relative:page;" filled="f" stroked="t" coordsize="21600,21600" o:gfxdata="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14QKQ1wAAAAgBAAAPAAAAAAAAAAEAIAAAACIAAABkcnMvZG93bnJldi54bWxQSwEC&#10;FAAUAAAACACHTuJAB/heUfUBAAC0AwAADgAAAAAAAAABACAAAAAmAQAAZHJzL2Uyb0RvYy54bWxQ&#10;SwUGAAAAAAYABgBZAQAAjQUAAAAA&#10;">
                      <v:fill on="f" focussize="0,0"/>
                      <v:stroke color="#000000 [3213]" joinstyle="round"/>
                      <v:imagedata o:title=""/>
                      <o:lock v:ext="edit" aspectratio="f"/>
                    </v:line>
                  </w:pict>
                </mc:Fallback>
              </mc:AlternateContent>
            </w:r>
            <w:r>
              <w:rPr>
                <w:rFonts w:hint="eastAsia" w:ascii="仿宋" w:hAnsi="仿宋" w:eastAsia="仿宋" w:cs="仿宋"/>
                <w:b/>
                <w:bCs/>
                <w:color w:val="000000" w:themeColor="text1"/>
                <w:kern w:val="0"/>
                <w:szCs w:val="21"/>
                <w14:textFill>
                  <w14:solidFill>
                    <w14:schemeClr w14:val="tx1"/>
                  </w14:solidFill>
                </w14:textFill>
              </w:rPr>
              <w:t>估价对象及结果</w:t>
            </w:r>
          </w:p>
          <w:p>
            <w:pPr>
              <w:pageBreakBefore w:val="0"/>
              <w:widowControl/>
              <w:kinsoku/>
              <w:wordWrap/>
              <w:overflowPunct/>
              <w:topLinePunct w:val="0"/>
              <w:autoSpaceDE/>
              <w:autoSpaceDN/>
              <w:bidi w:val="0"/>
              <w:spacing w:line="480" w:lineRule="exact"/>
              <w:jc w:val="center"/>
              <w:rPr>
                <w:rFonts w:ascii="仿宋" w:hAnsi="仿宋" w:eastAsia="仿宋" w:cs="仿宋"/>
                <w:b/>
                <w:bCs/>
                <w:color w:val="000000" w:themeColor="text1"/>
                <w:kern w:val="0"/>
                <w:szCs w:val="21"/>
                <w14:textFill>
                  <w14:solidFill>
                    <w14:schemeClr w14:val="tx1"/>
                  </w14:solidFill>
                </w14:textFill>
              </w:rPr>
            </w:pPr>
            <w:r>
              <w:rPr>
                <w:rFonts w:hint="eastAsia" w:ascii="仿宋" w:hAnsi="仿宋" w:eastAsia="仿宋" w:cs="仿宋"/>
                <w:b/>
                <w:bCs/>
                <w:color w:val="000000" w:themeColor="text1"/>
                <w:kern w:val="0"/>
                <w:szCs w:val="21"/>
                <w14:textFill>
                  <w14:solidFill>
                    <w14:schemeClr w14:val="tx1"/>
                  </w14:solidFill>
                </w14:textFill>
              </w:rPr>
              <w:t xml:space="preserve">         </w:t>
            </w:r>
            <w:r>
              <w:rPr>
                <w:rFonts w:hint="eastAsia" w:ascii="仿宋" w:hAnsi="仿宋" w:eastAsia="仿宋" w:cs="仿宋"/>
                <w:b/>
                <w:bCs/>
                <w:color w:val="000000" w:themeColor="text1"/>
                <w:kern w:val="0"/>
                <w:szCs w:val="21"/>
                <w:lang w:val="en-US" w:eastAsia="zh-CN"/>
                <w14:textFill>
                  <w14:solidFill>
                    <w14:schemeClr w14:val="tx1"/>
                  </w14:solidFill>
                </w14:textFill>
              </w:rPr>
              <w:t xml:space="preserve">                        </w:t>
            </w:r>
            <w:r>
              <w:rPr>
                <w:rFonts w:hint="eastAsia" w:ascii="仿宋" w:hAnsi="仿宋" w:eastAsia="仿宋" w:cs="仿宋"/>
                <w:b/>
                <w:bCs/>
                <w:color w:val="000000" w:themeColor="text1"/>
                <w:kern w:val="0"/>
                <w:szCs w:val="21"/>
                <w14:textFill>
                  <w14:solidFill>
                    <w14:schemeClr w14:val="tx1"/>
                  </w14:solidFill>
                </w14:textFill>
              </w:rPr>
              <w:t>估价方法及结果</w:t>
            </w:r>
          </w:p>
        </w:tc>
        <w:tc>
          <w:tcPr>
            <w:tcW w:w="1995" w:type="dxa"/>
            <w:tcBorders>
              <w:top w:val="single" w:color="auto" w:sz="4" w:space="0"/>
            </w:tcBorders>
            <w:vAlign w:val="center"/>
          </w:tcPr>
          <w:p>
            <w:pPr>
              <w:pageBreakBefore w:val="0"/>
              <w:widowControl/>
              <w:kinsoku/>
              <w:wordWrap/>
              <w:overflowPunct/>
              <w:topLinePunct w:val="0"/>
              <w:autoSpaceDE/>
              <w:autoSpaceDN/>
              <w:bidi w:val="0"/>
              <w:spacing w:line="480" w:lineRule="exact"/>
              <w:jc w:val="center"/>
              <w:rPr>
                <w:rFonts w:ascii="仿宋" w:hAnsi="仿宋" w:eastAsia="仿宋" w:cs="仿宋"/>
                <w:b/>
                <w:bCs/>
                <w:color w:val="000000" w:themeColor="text1"/>
                <w:kern w:val="0"/>
                <w:szCs w:val="21"/>
                <w14:textFill>
                  <w14:solidFill>
                    <w14:schemeClr w14:val="tx1"/>
                  </w14:solidFill>
                </w14:textFill>
              </w:rPr>
            </w:pPr>
            <w:r>
              <w:rPr>
                <w:rFonts w:hint="eastAsia" w:ascii="仿宋" w:hAnsi="仿宋" w:eastAsia="仿宋" w:cs="仿宋"/>
                <w:b/>
                <w:bCs/>
                <w:color w:val="000000" w:themeColor="text1"/>
                <w:kern w:val="0"/>
                <w:szCs w:val="21"/>
                <w14:textFill>
                  <w14:solidFill>
                    <w14:schemeClr w14:val="tx1"/>
                  </w14:solidFill>
                </w14:textFill>
              </w:rPr>
              <w:t>比较法</w:t>
            </w:r>
          </w:p>
        </w:tc>
        <w:tc>
          <w:tcPr>
            <w:tcW w:w="1620" w:type="dxa"/>
            <w:tcBorders>
              <w:top w:val="single" w:color="auto" w:sz="4" w:space="0"/>
            </w:tcBorders>
            <w:vAlign w:val="center"/>
          </w:tcPr>
          <w:p>
            <w:pPr>
              <w:pageBreakBefore w:val="0"/>
              <w:widowControl/>
              <w:kinsoku/>
              <w:wordWrap/>
              <w:overflowPunct/>
              <w:topLinePunct w:val="0"/>
              <w:autoSpaceDE/>
              <w:autoSpaceDN/>
              <w:bidi w:val="0"/>
              <w:spacing w:line="480" w:lineRule="exact"/>
              <w:jc w:val="center"/>
              <w:rPr>
                <w:rFonts w:ascii="仿宋" w:hAnsi="仿宋" w:eastAsia="仿宋" w:cs="仿宋"/>
                <w:b/>
                <w:bCs/>
                <w:color w:val="000000" w:themeColor="text1"/>
                <w:kern w:val="0"/>
                <w:szCs w:val="21"/>
                <w14:textFill>
                  <w14:solidFill>
                    <w14:schemeClr w14:val="tx1"/>
                  </w14:solidFill>
                </w14:textFill>
              </w:rPr>
            </w:pPr>
            <w:r>
              <w:rPr>
                <w:rFonts w:hint="eastAsia" w:ascii="仿宋" w:hAnsi="仿宋" w:eastAsia="仿宋" w:cs="仿宋"/>
                <w:b/>
                <w:bCs/>
                <w:color w:val="000000" w:themeColor="text1"/>
                <w:kern w:val="0"/>
                <w:szCs w:val="21"/>
                <w14:textFill>
                  <w14:solidFill>
                    <w14:schemeClr w14:val="tx1"/>
                  </w14:solidFill>
                </w14:textFill>
              </w:rPr>
              <w:t>估价结果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2984" w:type="dxa"/>
            <w:vMerge w:val="restart"/>
            <w:vAlign w:val="center"/>
          </w:tcPr>
          <w:p>
            <w:pPr>
              <w:pageBreakBefore w:val="0"/>
              <w:widowControl/>
              <w:kinsoku/>
              <w:wordWrap/>
              <w:overflowPunct/>
              <w:topLinePunct w:val="0"/>
              <w:autoSpaceDE/>
              <w:autoSpaceDN/>
              <w:bidi w:val="0"/>
              <w:spacing w:line="480" w:lineRule="exact"/>
              <w:jc w:val="center"/>
              <w:rPr>
                <w:rFonts w:hint="eastAsia" w:eastAsia="仿宋"/>
                <w:b/>
                <w:bCs/>
                <w:color w:val="000000" w:themeColor="text1"/>
                <w:kern w:val="0"/>
                <w:szCs w:val="21"/>
                <w:lang w:eastAsia="zh-CN"/>
                <w14:textFill>
                  <w14:solidFill>
                    <w14:schemeClr w14:val="tx1"/>
                  </w14:solidFill>
                </w14:textFill>
              </w:rPr>
            </w:pPr>
            <w:r>
              <w:rPr>
                <w:rFonts w:hint="eastAsia" w:eastAsia="仿宋"/>
                <w:b/>
                <w:bCs/>
                <w:color w:val="000000" w:themeColor="text1"/>
                <w:kern w:val="0"/>
                <w:szCs w:val="21"/>
                <w:lang w:eastAsia="zh-CN"/>
                <w14:textFill>
                  <w14:solidFill>
                    <w14:schemeClr w14:val="tx1"/>
                  </w14:solidFill>
                </w14:textFill>
              </w:rPr>
              <w:t>纳雍县居仁街道办事处雍和世纪城5幢27-6号</w:t>
            </w:r>
          </w:p>
        </w:tc>
        <w:tc>
          <w:tcPr>
            <w:tcW w:w="1163" w:type="dxa"/>
            <w:vMerge w:val="restart"/>
            <w:vAlign w:val="center"/>
          </w:tcPr>
          <w:p>
            <w:pPr>
              <w:pageBreakBefore w:val="0"/>
              <w:widowControl/>
              <w:kinsoku/>
              <w:wordWrap/>
              <w:overflowPunct/>
              <w:topLinePunct w:val="0"/>
              <w:autoSpaceDE/>
              <w:autoSpaceDN/>
              <w:bidi w:val="0"/>
              <w:spacing w:line="480" w:lineRule="exact"/>
              <w:jc w:val="center"/>
              <w:rPr>
                <w:rFonts w:eastAsia="仿宋"/>
                <w:b/>
                <w:bCs/>
                <w:color w:val="000000" w:themeColor="text1"/>
                <w:kern w:val="0"/>
                <w:szCs w:val="21"/>
                <w14:textFill>
                  <w14:solidFill>
                    <w14:schemeClr w14:val="tx1"/>
                  </w14:solidFill>
                </w14:textFill>
              </w:rPr>
            </w:pPr>
            <w:r>
              <w:rPr>
                <w:rFonts w:eastAsia="仿宋"/>
                <w:b/>
                <w:bCs/>
                <w:color w:val="000000" w:themeColor="text1"/>
                <w:kern w:val="0"/>
                <w:szCs w:val="21"/>
                <w14:textFill>
                  <w14:solidFill>
                    <w14:schemeClr w14:val="tx1"/>
                  </w14:solidFill>
                </w14:textFill>
              </w:rPr>
              <w:t>建筑面积</w:t>
            </w:r>
            <w:r>
              <w:rPr>
                <w:rFonts w:hint="eastAsia" w:eastAsia="仿宋"/>
                <w:b/>
                <w:bCs/>
                <w:color w:val="000000" w:themeColor="text1"/>
                <w:szCs w:val="21"/>
                <w:lang w:eastAsia="zh-CN"/>
                <w14:textFill>
                  <w14:solidFill>
                    <w14:schemeClr w14:val="tx1"/>
                  </w14:solidFill>
                </w14:textFill>
              </w:rPr>
              <w:t>130.46</w:t>
            </w:r>
            <w:r>
              <w:rPr>
                <w:rFonts w:eastAsia="仿宋"/>
                <w:b/>
                <w:bCs/>
                <w:color w:val="000000" w:themeColor="text1"/>
                <w:kern w:val="0"/>
                <w:szCs w:val="21"/>
                <w14:textFill>
                  <w14:solidFill>
                    <w14:schemeClr w14:val="tx1"/>
                  </w14:solidFill>
                </w14:textFill>
              </w:rPr>
              <w:t>㎡</w:t>
            </w:r>
          </w:p>
        </w:tc>
        <w:tc>
          <w:tcPr>
            <w:tcW w:w="1650" w:type="dxa"/>
            <w:vAlign w:val="center"/>
          </w:tcPr>
          <w:p>
            <w:pPr>
              <w:pageBreakBefore w:val="0"/>
              <w:widowControl/>
              <w:kinsoku/>
              <w:wordWrap/>
              <w:overflowPunct/>
              <w:topLinePunct w:val="0"/>
              <w:autoSpaceDE/>
              <w:autoSpaceDN/>
              <w:bidi w:val="0"/>
              <w:spacing w:line="480" w:lineRule="exact"/>
              <w:jc w:val="center"/>
              <w:rPr>
                <w:rFonts w:eastAsia="仿宋"/>
                <w:b/>
                <w:bCs/>
                <w:color w:val="000000" w:themeColor="text1"/>
                <w:kern w:val="0"/>
                <w:szCs w:val="21"/>
                <w14:textFill>
                  <w14:solidFill>
                    <w14:schemeClr w14:val="tx1"/>
                  </w14:solidFill>
                </w14:textFill>
              </w:rPr>
            </w:pPr>
            <w:r>
              <w:rPr>
                <w:rFonts w:eastAsia="仿宋"/>
                <w:b/>
                <w:bCs/>
                <w:color w:val="000000" w:themeColor="text1"/>
                <w:kern w:val="0"/>
                <w:szCs w:val="21"/>
                <w14:textFill>
                  <w14:solidFill>
                    <w14:schemeClr w14:val="tx1"/>
                  </w14:solidFill>
                </w14:textFill>
              </w:rPr>
              <w:t>总价（万元）</w:t>
            </w:r>
          </w:p>
        </w:tc>
        <w:tc>
          <w:tcPr>
            <w:tcW w:w="1995" w:type="dxa"/>
            <w:vAlign w:val="center"/>
          </w:tcPr>
          <w:p>
            <w:pPr>
              <w:pageBreakBefore w:val="0"/>
              <w:kinsoku/>
              <w:wordWrap/>
              <w:overflowPunct/>
              <w:topLinePunct w:val="0"/>
              <w:autoSpaceDE/>
              <w:autoSpaceDN/>
              <w:bidi w:val="0"/>
              <w:adjustRightInd w:val="0"/>
              <w:snapToGrid w:val="0"/>
              <w:spacing w:line="480" w:lineRule="exact"/>
              <w:jc w:val="center"/>
              <w:rPr>
                <w:rFonts w:hint="default" w:eastAsia="仿宋_GB2312"/>
                <w:b/>
                <w:bCs/>
                <w:color w:val="000000" w:themeColor="text1"/>
                <w:szCs w:val="21"/>
                <w:lang w:val="en-US" w:eastAsia="zh-CN"/>
                <w14:textFill>
                  <w14:solidFill>
                    <w14:schemeClr w14:val="tx1"/>
                  </w14:solidFill>
                </w14:textFill>
              </w:rPr>
            </w:pPr>
            <w:r>
              <w:rPr>
                <w:rFonts w:hint="eastAsia" w:eastAsia="仿宋_GB2312"/>
                <w:b/>
                <w:bCs/>
                <w:color w:val="000000" w:themeColor="text1"/>
                <w:szCs w:val="21"/>
                <w:lang w:val="en-US" w:eastAsia="zh-CN"/>
                <w14:textFill>
                  <w14:solidFill>
                    <w14:schemeClr w14:val="tx1"/>
                  </w14:solidFill>
                </w14:textFill>
              </w:rPr>
              <w:t>53.88</w:t>
            </w:r>
          </w:p>
        </w:tc>
        <w:tc>
          <w:tcPr>
            <w:tcW w:w="1620" w:type="dxa"/>
            <w:vAlign w:val="center"/>
          </w:tcPr>
          <w:p>
            <w:pPr>
              <w:pageBreakBefore w:val="0"/>
              <w:kinsoku/>
              <w:wordWrap/>
              <w:overflowPunct/>
              <w:topLinePunct w:val="0"/>
              <w:autoSpaceDE/>
              <w:autoSpaceDN/>
              <w:bidi w:val="0"/>
              <w:adjustRightInd w:val="0"/>
              <w:snapToGrid w:val="0"/>
              <w:spacing w:line="480" w:lineRule="exact"/>
              <w:jc w:val="center"/>
              <w:rPr>
                <w:rFonts w:hint="eastAsia" w:eastAsia="仿宋_GB2312"/>
                <w:b/>
                <w:bCs/>
                <w:color w:val="000000" w:themeColor="text1"/>
                <w:szCs w:val="21"/>
                <w:lang w:eastAsia="zh-CN"/>
                <w14:textFill>
                  <w14:solidFill>
                    <w14:schemeClr w14:val="tx1"/>
                  </w14:solidFill>
                </w14:textFill>
              </w:rPr>
            </w:pPr>
            <w:r>
              <w:rPr>
                <w:rFonts w:hint="eastAsia" w:eastAsia="仿宋_GB2312"/>
                <w:b/>
                <w:bCs/>
                <w:color w:val="000000" w:themeColor="text1"/>
                <w:szCs w:val="21"/>
                <w:lang w:val="en-US" w:eastAsia="zh-CN"/>
                <w14:textFill>
                  <w14:solidFill>
                    <w14:schemeClr w14:val="tx1"/>
                  </w14:solidFill>
                </w14:textFill>
              </w:rPr>
              <w:t>53.88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984" w:type="dxa"/>
            <w:vMerge w:val="continue"/>
            <w:vAlign w:val="center"/>
          </w:tcPr>
          <w:p>
            <w:pPr>
              <w:pageBreakBefore w:val="0"/>
              <w:widowControl/>
              <w:kinsoku/>
              <w:wordWrap/>
              <w:overflowPunct/>
              <w:topLinePunct w:val="0"/>
              <w:autoSpaceDE/>
              <w:autoSpaceDN/>
              <w:bidi w:val="0"/>
              <w:spacing w:line="480" w:lineRule="exact"/>
              <w:jc w:val="center"/>
              <w:rPr>
                <w:rFonts w:eastAsia="仿宋"/>
                <w:b/>
                <w:bCs/>
                <w:color w:val="000000" w:themeColor="text1"/>
                <w:kern w:val="0"/>
                <w:szCs w:val="21"/>
                <w14:textFill>
                  <w14:solidFill>
                    <w14:schemeClr w14:val="tx1"/>
                  </w14:solidFill>
                </w14:textFill>
              </w:rPr>
            </w:pPr>
          </w:p>
        </w:tc>
        <w:tc>
          <w:tcPr>
            <w:tcW w:w="1163" w:type="dxa"/>
            <w:vMerge w:val="continue"/>
            <w:vAlign w:val="center"/>
          </w:tcPr>
          <w:p>
            <w:pPr>
              <w:pageBreakBefore w:val="0"/>
              <w:widowControl/>
              <w:kinsoku/>
              <w:wordWrap/>
              <w:overflowPunct/>
              <w:topLinePunct w:val="0"/>
              <w:autoSpaceDE/>
              <w:autoSpaceDN/>
              <w:bidi w:val="0"/>
              <w:spacing w:line="480" w:lineRule="exact"/>
              <w:jc w:val="center"/>
              <w:rPr>
                <w:rFonts w:eastAsia="仿宋"/>
                <w:b/>
                <w:bCs/>
                <w:color w:val="000000" w:themeColor="text1"/>
                <w:kern w:val="0"/>
                <w:szCs w:val="21"/>
                <w14:textFill>
                  <w14:solidFill>
                    <w14:schemeClr w14:val="tx1"/>
                  </w14:solidFill>
                </w14:textFill>
              </w:rPr>
            </w:pPr>
          </w:p>
        </w:tc>
        <w:tc>
          <w:tcPr>
            <w:tcW w:w="1650" w:type="dxa"/>
            <w:vAlign w:val="center"/>
          </w:tcPr>
          <w:p>
            <w:pPr>
              <w:pageBreakBefore w:val="0"/>
              <w:widowControl/>
              <w:kinsoku/>
              <w:wordWrap/>
              <w:overflowPunct/>
              <w:topLinePunct w:val="0"/>
              <w:autoSpaceDE/>
              <w:autoSpaceDN/>
              <w:bidi w:val="0"/>
              <w:spacing w:line="480" w:lineRule="exact"/>
              <w:jc w:val="center"/>
              <w:rPr>
                <w:rFonts w:eastAsia="仿宋"/>
                <w:b/>
                <w:bCs/>
                <w:color w:val="000000" w:themeColor="text1"/>
                <w:kern w:val="0"/>
                <w:szCs w:val="21"/>
                <w14:textFill>
                  <w14:solidFill>
                    <w14:schemeClr w14:val="tx1"/>
                  </w14:solidFill>
                </w14:textFill>
              </w:rPr>
            </w:pPr>
            <w:r>
              <w:rPr>
                <w:rFonts w:eastAsia="仿宋"/>
                <w:b/>
                <w:bCs/>
                <w:color w:val="000000" w:themeColor="text1"/>
                <w:kern w:val="0"/>
                <w:szCs w:val="21"/>
                <w14:textFill>
                  <w14:solidFill>
                    <w14:schemeClr w14:val="tx1"/>
                  </w14:solidFill>
                </w14:textFill>
              </w:rPr>
              <w:t>单价（元/㎡）</w:t>
            </w:r>
          </w:p>
        </w:tc>
        <w:tc>
          <w:tcPr>
            <w:tcW w:w="1995" w:type="dxa"/>
            <w:vAlign w:val="center"/>
          </w:tcPr>
          <w:p>
            <w:pPr>
              <w:pageBreakBefore w:val="0"/>
              <w:kinsoku/>
              <w:wordWrap/>
              <w:overflowPunct/>
              <w:topLinePunct w:val="0"/>
              <w:autoSpaceDE/>
              <w:autoSpaceDN/>
              <w:bidi w:val="0"/>
              <w:adjustRightInd w:val="0"/>
              <w:snapToGrid w:val="0"/>
              <w:spacing w:line="480" w:lineRule="exact"/>
              <w:jc w:val="center"/>
              <w:rPr>
                <w:rFonts w:hint="default" w:eastAsia="仿宋_GB2312"/>
                <w:b/>
                <w:bCs/>
                <w:color w:val="000000" w:themeColor="text1"/>
                <w:szCs w:val="21"/>
                <w:lang w:val="en-US" w:eastAsia="zh-CN"/>
                <w14:textFill>
                  <w14:solidFill>
                    <w14:schemeClr w14:val="tx1"/>
                  </w14:solidFill>
                </w14:textFill>
              </w:rPr>
            </w:pPr>
            <w:r>
              <w:rPr>
                <w:rFonts w:hint="eastAsia" w:eastAsia="仿宋_GB2312"/>
                <w:b/>
                <w:bCs/>
                <w:color w:val="000000" w:themeColor="text1"/>
                <w:szCs w:val="21"/>
                <w:lang w:val="en-US" w:eastAsia="zh-CN"/>
                <w14:textFill>
                  <w14:solidFill>
                    <w14:schemeClr w14:val="tx1"/>
                  </w14:solidFill>
                </w14:textFill>
              </w:rPr>
              <w:t>4130</w:t>
            </w:r>
          </w:p>
        </w:tc>
        <w:tc>
          <w:tcPr>
            <w:tcW w:w="1620" w:type="dxa"/>
            <w:vAlign w:val="center"/>
          </w:tcPr>
          <w:p>
            <w:pPr>
              <w:pageBreakBefore w:val="0"/>
              <w:kinsoku/>
              <w:wordWrap/>
              <w:overflowPunct/>
              <w:topLinePunct w:val="0"/>
              <w:autoSpaceDE/>
              <w:autoSpaceDN/>
              <w:bidi w:val="0"/>
              <w:adjustRightInd w:val="0"/>
              <w:snapToGrid w:val="0"/>
              <w:spacing w:line="480" w:lineRule="exact"/>
              <w:jc w:val="center"/>
              <w:rPr>
                <w:rFonts w:hint="default" w:eastAsia="仿宋_GB2312"/>
                <w:b/>
                <w:bCs/>
                <w:color w:val="000000" w:themeColor="text1"/>
                <w:szCs w:val="21"/>
                <w:lang w:val="en-US" w:eastAsia="zh-CN"/>
                <w14:textFill>
                  <w14:solidFill>
                    <w14:schemeClr w14:val="tx1"/>
                  </w14:solidFill>
                </w14:textFill>
              </w:rPr>
            </w:pPr>
            <w:r>
              <w:rPr>
                <w:rFonts w:hint="eastAsia" w:eastAsia="仿宋_GB2312"/>
                <w:b/>
                <w:bCs/>
                <w:color w:val="000000" w:themeColor="text1"/>
                <w:szCs w:val="21"/>
                <w:lang w:val="en-US" w:eastAsia="zh-CN"/>
                <w14:textFill>
                  <w14:solidFill>
                    <w14:schemeClr w14:val="tx1"/>
                  </w14:solidFill>
                </w14:textFill>
              </w:rPr>
              <w:t>4130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984" w:type="dxa"/>
            <w:vMerge w:val="restart"/>
            <w:vAlign w:val="center"/>
          </w:tcPr>
          <w:p>
            <w:pPr>
              <w:pageBreakBefore w:val="0"/>
              <w:widowControl/>
              <w:kinsoku/>
              <w:wordWrap/>
              <w:overflowPunct/>
              <w:topLinePunct w:val="0"/>
              <w:autoSpaceDE/>
              <w:autoSpaceDN/>
              <w:bidi w:val="0"/>
              <w:spacing w:line="480" w:lineRule="exact"/>
              <w:jc w:val="center"/>
              <w:rPr>
                <w:rFonts w:eastAsia="仿宋"/>
                <w:b/>
                <w:bCs/>
                <w:color w:val="000000" w:themeColor="text1"/>
                <w:kern w:val="0"/>
                <w:szCs w:val="21"/>
                <w14:textFill>
                  <w14:solidFill>
                    <w14:schemeClr w14:val="tx1"/>
                  </w14:solidFill>
                </w14:textFill>
              </w:rPr>
            </w:pPr>
            <w:r>
              <w:rPr>
                <w:rFonts w:eastAsia="仿宋"/>
                <w:b/>
                <w:bCs/>
                <w:color w:val="000000" w:themeColor="text1"/>
                <w:kern w:val="0"/>
                <w:szCs w:val="21"/>
                <w14:textFill>
                  <w14:solidFill>
                    <w14:schemeClr w14:val="tx1"/>
                  </w14:solidFill>
                </w14:textFill>
              </w:rPr>
              <w:t>汇总评估价值</w:t>
            </w:r>
          </w:p>
        </w:tc>
        <w:tc>
          <w:tcPr>
            <w:tcW w:w="1163" w:type="dxa"/>
            <w:vMerge w:val="restart"/>
            <w:vAlign w:val="center"/>
          </w:tcPr>
          <w:p>
            <w:pPr>
              <w:pageBreakBefore w:val="0"/>
              <w:widowControl/>
              <w:kinsoku/>
              <w:wordWrap/>
              <w:overflowPunct/>
              <w:topLinePunct w:val="0"/>
              <w:autoSpaceDE/>
              <w:autoSpaceDN/>
              <w:bidi w:val="0"/>
              <w:spacing w:line="480" w:lineRule="exact"/>
              <w:jc w:val="center"/>
              <w:rPr>
                <w:rFonts w:eastAsia="仿宋"/>
                <w:b/>
                <w:bCs/>
                <w:color w:val="000000" w:themeColor="text1"/>
                <w:kern w:val="0"/>
                <w:szCs w:val="21"/>
                <w14:textFill>
                  <w14:solidFill>
                    <w14:schemeClr w14:val="tx1"/>
                  </w14:solidFill>
                </w14:textFill>
              </w:rPr>
            </w:pPr>
            <w:r>
              <w:rPr>
                <w:rFonts w:hint="eastAsia" w:eastAsia="仿宋"/>
                <w:b/>
                <w:bCs/>
                <w:color w:val="000000" w:themeColor="text1"/>
                <w:szCs w:val="21"/>
                <w:lang w:eastAsia="zh-CN"/>
                <w14:textFill>
                  <w14:solidFill>
                    <w14:schemeClr w14:val="tx1"/>
                  </w14:solidFill>
                </w14:textFill>
              </w:rPr>
              <w:t>130.46</w:t>
            </w:r>
            <w:r>
              <w:rPr>
                <w:rFonts w:eastAsia="仿宋"/>
                <w:b/>
                <w:bCs/>
                <w:color w:val="000000" w:themeColor="text1"/>
                <w:kern w:val="0"/>
                <w:szCs w:val="21"/>
                <w14:textFill>
                  <w14:solidFill>
                    <w14:schemeClr w14:val="tx1"/>
                  </w14:solidFill>
                </w14:textFill>
              </w:rPr>
              <w:t>㎡</w:t>
            </w:r>
          </w:p>
        </w:tc>
        <w:tc>
          <w:tcPr>
            <w:tcW w:w="1650" w:type="dxa"/>
            <w:vAlign w:val="center"/>
          </w:tcPr>
          <w:p>
            <w:pPr>
              <w:pageBreakBefore w:val="0"/>
              <w:widowControl/>
              <w:kinsoku/>
              <w:wordWrap/>
              <w:overflowPunct/>
              <w:topLinePunct w:val="0"/>
              <w:autoSpaceDE/>
              <w:autoSpaceDN/>
              <w:bidi w:val="0"/>
              <w:spacing w:line="480" w:lineRule="exact"/>
              <w:jc w:val="center"/>
              <w:rPr>
                <w:rFonts w:eastAsia="仿宋"/>
                <w:b/>
                <w:bCs/>
                <w:color w:val="000000" w:themeColor="text1"/>
                <w:kern w:val="0"/>
                <w:szCs w:val="21"/>
                <w14:textFill>
                  <w14:solidFill>
                    <w14:schemeClr w14:val="tx1"/>
                  </w14:solidFill>
                </w14:textFill>
              </w:rPr>
            </w:pPr>
            <w:r>
              <w:rPr>
                <w:rFonts w:eastAsia="仿宋"/>
                <w:b/>
                <w:bCs/>
                <w:color w:val="000000" w:themeColor="text1"/>
                <w:kern w:val="0"/>
                <w:szCs w:val="21"/>
                <w14:textFill>
                  <w14:solidFill>
                    <w14:schemeClr w14:val="tx1"/>
                  </w14:solidFill>
                </w14:textFill>
              </w:rPr>
              <w:t>总值(万元）</w:t>
            </w:r>
          </w:p>
        </w:tc>
        <w:tc>
          <w:tcPr>
            <w:tcW w:w="3615" w:type="dxa"/>
            <w:gridSpan w:val="2"/>
            <w:vAlign w:val="center"/>
          </w:tcPr>
          <w:p>
            <w:pPr>
              <w:pageBreakBefore w:val="0"/>
              <w:widowControl/>
              <w:kinsoku/>
              <w:wordWrap/>
              <w:overflowPunct/>
              <w:topLinePunct w:val="0"/>
              <w:autoSpaceDE/>
              <w:autoSpaceDN/>
              <w:bidi w:val="0"/>
              <w:spacing w:line="480" w:lineRule="exact"/>
              <w:jc w:val="center"/>
              <w:textAlignment w:val="center"/>
              <w:rPr>
                <w:rFonts w:hint="default" w:eastAsia="仿宋"/>
                <w:b/>
                <w:bCs/>
                <w:color w:val="000000" w:themeColor="text1"/>
                <w:kern w:val="0"/>
                <w:szCs w:val="21"/>
                <w:lang w:val="en-US" w:eastAsia="zh-CN"/>
                <w14:textFill>
                  <w14:solidFill>
                    <w14:schemeClr w14:val="tx1"/>
                  </w14:solidFill>
                </w14:textFill>
              </w:rPr>
            </w:pPr>
            <w:r>
              <w:rPr>
                <w:rFonts w:hint="eastAsia" w:eastAsia="仿宋"/>
                <w:b/>
                <w:bCs/>
                <w:color w:val="000000" w:themeColor="text1"/>
                <w:kern w:val="0"/>
                <w:szCs w:val="21"/>
                <w:lang w:val="en-US" w:eastAsia="zh-CN"/>
                <w14:textFill>
                  <w14:solidFill>
                    <w14:schemeClr w14:val="tx1"/>
                  </w14:solidFill>
                </w14:textFill>
              </w:rPr>
              <w:t>53.88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2984" w:type="dxa"/>
            <w:vMerge w:val="continue"/>
          </w:tcPr>
          <w:p>
            <w:pPr>
              <w:pageBreakBefore w:val="0"/>
              <w:widowControl/>
              <w:kinsoku/>
              <w:wordWrap/>
              <w:overflowPunct/>
              <w:topLinePunct w:val="0"/>
              <w:autoSpaceDE/>
              <w:autoSpaceDN/>
              <w:bidi w:val="0"/>
              <w:spacing w:line="480" w:lineRule="exact"/>
              <w:jc w:val="center"/>
              <w:rPr>
                <w:rFonts w:eastAsia="仿宋"/>
                <w:b/>
                <w:bCs/>
                <w:color w:val="000000" w:themeColor="text1"/>
                <w:kern w:val="0"/>
                <w:szCs w:val="21"/>
                <w14:textFill>
                  <w14:solidFill>
                    <w14:schemeClr w14:val="tx1"/>
                  </w14:solidFill>
                </w14:textFill>
              </w:rPr>
            </w:pPr>
          </w:p>
        </w:tc>
        <w:tc>
          <w:tcPr>
            <w:tcW w:w="1163" w:type="dxa"/>
            <w:vMerge w:val="continue"/>
          </w:tcPr>
          <w:p>
            <w:pPr>
              <w:pageBreakBefore w:val="0"/>
              <w:widowControl/>
              <w:kinsoku/>
              <w:wordWrap/>
              <w:overflowPunct/>
              <w:topLinePunct w:val="0"/>
              <w:autoSpaceDE/>
              <w:autoSpaceDN/>
              <w:bidi w:val="0"/>
              <w:spacing w:line="480" w:lineRule="exact"/>
              <w:jc w:val="center"/>
              <w:rPr>
                <w:rFonts w:eastAsia="仿宋"/>
                <w:b/>
                <w:bCs/>
                <w:color w:val="000000" w:themeColor="text1"/>
                <w:kern w:val="0"/>
                <w:szCs w:val="21"/>
                <w14:textFill>
                  <w14:solidFill>
                    <w14:schemeClr w14:val="tx1"/>
                  </w14:solidFill>
                </w14:textFill>
              </w:rPr>
            </w:pPr>
          </w:p>
        </w:tc>
        <w:tc>
          <w:tcPr>
            <w:tcW w:w="1650" w:type="dxa"/>
            <w:vAlign w:val="center"/>
          </w:tcPr>
          <w:p>
            <w:pPr>
              <w:pageBreakBefore w:val="0"/>
              <w:widowControl/>
              <w:kinsoku/>
              <w:wordWrap/>
              <w:overflowPunct/>
              <w:topLinePunct w:val="0"/>
              <w:autoSpaceDE/>
              <w:autoSpaceDN/>
              <w:bidi w:val="0"/>
              <w:spacing w:line="480" w:lineRule="exact"/>
              <w:jc w:val="center"/>
              <w:rPr>
                <w:rFonts w:eastAsia="仿宋"/>
                <w:b/>
                <w:bCs/>
                <w:color w:val="000000" w:themeColor="text1"/>
                <w:kern w:val="0"/>
                <w:szCs w:val="21"/>
                <w14:textFill>
                  <w14:solidFill>
                    <w14:schemeClr w14:val="tx1"/>
                  </w14:solidFill>
                </w14:textFill>
              </w:rPr>
            </w:pPr>
            <w:r>
              <w:rPr>
                <w:rFonts w:eastAsia="仿宋"/>
                <w:b/>
                <w:bCs/>
                <w:color w:val="000000" w:themeColor="text1"/>
                <w:kern w:val="0"/>
                <w:szCs w:val="21"/>
                <w14:textFill>
                  <w14:solidFill>
                    <w14:schemeClr w14:val="tx1"/>
                  </w14:solidFill>
                </w14:textFill>
              </w:rPr>
              <w:t>大写金额</w:t>
            </w:r>
          </w:p>
        </w:tc>
        <w:tc>
          <w:tcPr>
            <w:tcW w:w="3615" w:type="dxa"/>
            <w:gridSpan w:val="2"/>
            <w:vAlign w:val="center"/>
          </w:tcPr>
          <w:p>
            <w:pPr>
              <w:pageBreakBefore w:val="0"/>
              <w:widowControl/>
              <w:kinsoku/>
              <w:wordWrap/>
              <w:overflowPunct/>
              <w:topLinePunct w:val="0"/>
              <w:autoSpaceDE/>
              <w:autoSpaceDN/>
              <w:bidi w:val="0"/>
              <w:spacing w:line="480" w:lineRule="exact"/>
              <w:jc w:val="center"/>
              <w:rPr>
                <w:rFonts w:eastAsia="仿宋"/>
                <w:b/>
                <w:bCs/>
                <w:color w:val="000000" w:themeColor="text1"/>
                <w:kern w:val="0"/>
                <w:szCs w:val="21"/>
                <w14:textFill>
                  <w14:solidFill>
                    <w14:schemeClr w14:val="tx1"/>
                  </w14:solidFill>
                </w14:textFill>
              </w:rPr>
            </w:pPr>
            <w:r>
              <w:rPr>
                <w:rFonts w:eastAsia="仿宋"/>
                <w:b/>
                <w:bCs/>
                <w:color w:val="000000" w:themeColor="text1"/>
                <w:kern w:val="0"/>
                <w:szCs w:val="21"/>
                <w14:textFill>
                  <w14:solidFill>
                    <w14:schemeClr w14:val="tx1"/>
                  </w14:solidFill>
                </w14:textFill>
              </w:rPr>
              <w:t>人民币</w:t>
            </w:r>
            <w:r>
              <w:rPr>
                <w:rFonts w:hint="eastAsia" w:eastAsia="仿宋"/>
                <w:b/>
                <w:bCs/>
                <w:color w:val="000000" w:themeColor="text1"/>
                <w:kern w:val="0"/>
                <w:szCs w:val="21"/>
                <w:lang w:val="en-US" w:eastAsia="zh-CN"/>
                <w14:textFill>
                  <w14:solidFill>
                    <w14:schemeClr w14:val="tx1"/>
                  </w14:solidFill>
                </w14:textFill>
              </w:rPr>
              <w:fldChar w:fldCharType="begin"/>
            </w:r>
            <w:r>
              <w:rPr>
                <w:rFonts w:hint="eastAsia" w:eastAsia="仿宋"/>
                <w:b/>
                <w:bCs/>
                <w:color w:val="000000" w:themeColor="text1"/>
                <w:kern w:val="0"/>
                <w:szCs w:val="21"/>
                <w:lang w:val="en-US" w:eastAsia="zh-CN"/>
                <w14:textFill>
                  <w14:solidFill>
                    <w14:schemeClr w14:val="tx1"/>
                  </w14:solidFill>
                </w14:textFill>
              </w:rPr>
              <w:instrText xml:space="preserve"> = 538800 \* CHINESENUM2 \* MERGEFORMAT </w:instrText>
            </w:r>
            <w:r>
              <w:rPr>
                <w:rFonts w:hint="eastAsia" w:eastAsia="仿宋"/>
                <w:b/>
                <w:bCs/>
                <w:color w:val="000000" w:themeColor="text1"/>
                <w:kern w:val="0"/>
                <w:szCs w:val="21"/>
                <w:lang w:val="en-US" w:eastAsia="zh-CN"/>
                <w14:textFill>
                  <w14:solidFill>
                    <w14:schemeClr w14:val="tx1"/>
                  </w14:solidFill>
                </w14:textFill>
              </w:rPr>
              <w:fldChar w:fldCharType="separate"/>
            </w:r>
            <w:r>
              <w:rPr>
                <w:rFonts w:eastAsia="仿宋"/>
                <w:b/>
                <w:bCs/>
                <w:color w:val="000000" w:themeColor="text1"/>
                <w:kern w:val="0"/>
                <w:szCs w:val="21"/>
                <w14:textFill>
                  <w14:solidFill>
                    <w14:schemeClr w14:val="tx1"/>
                  </w14:solidFill>
                </w14:textFill>
              </w:rPr>
              <w:t>伍拾叁万捌仟捌佰</w:t>
            </w:r>
            <w:r>
              <w:rPr>
                <w:rFonts w:hint="eastAsia" w:eastAsia="仿宋"/>
                <w:b/>
                <w:bCs/>
                <w:color w:val="000000" w:themeColor="text1"/>
                <w:kern w:val="0"/>
                <w:szCs w:val="21"/>
                <w:lang w:val="en-US" w:eastAsia="zh-CN"/>
                <w14:textFill>
                  <w14:solidFill>
                    <w14:schemeClr w14:val="tx1"/>
                  </w14:solidFill>
                </w14:textFill>
              </w:rPr>
              <w:fldChar w:fldCharType="end"/>
            </w:r>
            <w:r>
              <w:rPr>
                <w:rFonts w:eastAsia="仿宋"/>
                <w:b/>
                <w:bCs/>
                <w:color w:val="000000" w:themeColor="text1"/>
                <w:kern w:val="0"/>
                <w:szCs w:val="21"/>
                <w14:textFill>
                  <w14:solidFill>
                    <w14:schemeClr w14:val="tx1"/>
                  </w14:solidFill>
                </w14:textFill>
              </w:rPr>
              <w:t>元整</w:t>
            </w:r>
          </w:p>
        </w:tc>
      </w:tr>
    </w:tbl>
    <w:p>
      <w:pPr>
        <w:pageBreakBefore w:val="0"/>
        <w:kinsoku/>
        <w:wordWrap/>
        <w:overflowPunct/>
        <w:topLinePunct w:val="0"/>
        <w:autoSpaceDE/>
        <w:autoSpaceDN/>
        <w:bidi w:val="0"/>
        <w:spacing w:line="480" w:lineRule="exact"/>
        <w:rPr>
          <w:rFonts w:hint="eastAsia" w:ascii="仿宋" w:hAnsi="仿宋" w:eastAsia="仿宋" w:cs="仿宋"/>
          <w:kern w:val="0"/>
        </w:rPr>
      </w:pPr>
      <w:bookmarkStart w:id="41" w:name="_Toc32091"/>
    </w:p>
    <w:p>
      <w:pPr>
        <w:pageBreakBefore w:val="0"/>
        <w:kinsoku/>
        <w:wordWrap/>
        <w:overflowPunct/>
        <w:topLinePunct w:val="0"/>
        <w:autoSpaceDE/>
        <w:autoSpaceDN/>
        <w:bidi w:val="0"/>
        <w:spacing w:line="480" w:lineRule="exact"/>
        <w:rPr>
          <w:rFonts w:hint="eastAsia" w:ascii="仿宋" w:hAnsi="仿宋" w:eastAsia="仿宋" w:cs="仿宋"/>
          <w:kern w:val="0"/>
        </w:rPr>
      </w:pPr>
    </w:p>
    <w:p>
      <w:pPr>
        <w:pStyle w:val="3"/>
        <w:pageBreakBefore w:val="0"/>
        <w:kinsoku/>
        <w:wordWrap/>
        <w:overflowPunct/>
        <w:topLinePunct w:val="0"/>
        <w:autoSpaceDE/>
        <w:autoSpaceDN/>
        <w:bidi w:val="0"/>
        <w:spacing w:before="156" w:beforeLines="50" w:after="156" w:afterLines="50" w:line="480" w:lineRule="exact"/>
        <w:ind w:firstLine="643" w:firstLineChars="200"/>
        <w:rPr>
          <w:rFonts w:ascii="仿宋" w:hAnsi="仿宋" w:eastAsia="仿宋" w:cs="仿宋"/>
          <w:kern w:val="0"/>
        </w:rPr>
      </w:pPr>
      <w:r>
        <w:rPr>
          <w:rFonts w:hint="eastAsia" w:ascii="仿宋" w:hAnsi="仿宋" w:eastAsia="仿宋" w:cs="仿宋"/>
          <w:kern w:val="0"/>
        </w:rPr>
        <w:t>十一、注册房地产估价师</w:t>
      </w:r>
      <w:bookmarkEnd w:id="40"/>
      <w:bookmarkEnd w:id="41"/>
    </w:p>
    <w:tbl>
      <w:tblPr>
        <w:tblStyle w:val="23"/>
        <w:tblW w:w="0" w:type="auto"/>
        <w:jc w:val="center"/>
        <w:tblLayout w:type="fixed"/>
        <w:tblCellMar>
          <w:top w:w="0" w:type="dxa"/>
          <w:left w:w="108" w:type="dxa"/>
          <w:bottom w:w="0" w:type="dxa"/>
          <w:right w:w="108" w:type="dxa"/>
        </w:tblCellMar>
      </w:tblPr>
      <w:tblGrid>
        <w:gridCol w:w="2873"/>
        <w:gridCol w:w="2775"/>
        <w:gridCol w:w="3617"/>
      </w:tblGrid>
      <w:tr>
        <w:tblPrEx>
          <w:tblCellMar>
            <w:top w:w="0" w:type="dxa"/>
            <w:left w:w="108" w:type="dxa"/>
            <w:bottom w:w="0" w:type="dxa"/>
            <w:right w:w="108" w:type="dxa"/>
          </w:tblCellMar>
        </w:tblPrEx>
        <w:trPr>
          <w:trHeight w:val="768" w:hRule="atLeast"/>
          <w:jc w:val="center"/>
        </w:trPr>
        <w:tc>
          <w:tcPr>
            <w:tcW w:w="287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480" w:lineRule="exact"/>
              <w:jc w:val="center"/>
              <w:rPr>
                <w:rFonts w:ascii="仿宋" w:hAnsi="仿宋" w:eastAsia="仿宋" w:cs="仿宋"/>
                <w:color w:val="000000"/>
                <w:kern w:val="0"/>
                <w:sz w:val="28"/>
                <w:szCs w:val="28"/>
              </w:rPr>
            </w:pPr>
            <w:bookmarkStart w:id="42" w:name="_Toc522795054"/>
            <w:bookmarkStart w:id="43" w:name="_Toc286074119"/>
            <w:r>
              <w:rPr>
                <w:rFonts w:hint="eastAsia" w:ascii="仿宋" w:hAnsi="仿宋" w:eastAsia="仿宋" w:cs="仿宋"/>
                <w:color w:val="000000"/>
                <w:kern w:val="0"/>
                <w:sz w:val="28"/>
                <w:szCs w:val="28"/>
              </w:rPr>
              <w:t>姓   名</w:t>
            </w:r>
          </w:p>
        </w:tc>
        <w:tc>
          <w:tcPr>
            <w:tcW w:w="2775"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48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注册号</w:t>
            </w:r>
          </w:p>
        </w:tc>
        <w:tc>
          <w:tcPr>
            <w:tcW w:w="3617"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48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签名</w:t>
            </w:r>
          </w:p>
        </w:tc>
      </w:tr>
      <w:tr>
        <w:tblPrEx>
          <w:tblCellMar>
            <w:top w:w="0" w:type="dxa"/>
            <w:left w:w="108" w:type="dxa"/>
            <w:bottom w:w="0" w:type="dxa"/>
            <w:right w:w="108" w:type="dxa"/>
          </w:tblCellMar>
        </w:tblPrEx>
        <w:trPr>
          <w:trHeight w:val="768" w:hRule="atLeast"/>
          <w:jc w:val="center"/>
        </w:trPr>
        <w:tc>
          <w:tcPr>
            <w:tcW w:w="2873"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480" w:lineRule="exact"/>
              <w:jc w:val="center"/>
              <w:rPr>
                <w:rFonts w:ascii="仿宋" w:hAnsi="仿宋" w:eastAsia="仿宋" w:cs="仿宋"/>
                <w:color w:val="000000"/>
                <w:kern w:val="0"/>
                <w:sz w:val="28"/>
                <w:szCs w:val="28"/>
              </w:rPr>
            </w:pPr>
            <w:r>
              <w:rPr>
                <w:rFonts w:hint="eastAsia" w:ascii="仿宋" w:hAnsi="仿宋" w:eastAsia="仿宋" w:cs="仿宋"/>
                <w:bCs/>
                <w:sz w:val="28"/>
              </w:rPr>
              <w:t>覃  剑</w:t>
            </w:r>
          </w:p>
        </w:tc>
        <w:tc>
          <w:tcPr>
            <w:tcW w:w="2775"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480" w:lineRule="exact"/>
              <w:jc w:val="center"/>
              <w:rPr>
                <w:rFonts w:ascii="仿宋" w:hAnsi="仿宋" w:eastAsia="仿宋" w:cs="仿宋"/>
                <w:color w:val="000000"/>
                <w:kern w:val="0"/>
                <w:sz w:val="28"/>
                <w:szCs w:val="28"/>
              </w:rPr>
            </w:pPr>
            <w:r>
              <w:rPr>
                <w:rFonts w:hint="eastAsia" w:ascii="仿宋" w:hAnsi="仿宋" w:eastAsia="仿宋" w:cs="仿宋"/>
                <w:bCs/>
                <w:sz w:val="28"/>
              </w:rPr>
              <w:t>5220040052</w:t>
            </w:r>
          </w:p>
        </w:tc>
        <w:tc>
          <w:tcPr>
            <w:tcW w:w="3617"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480" w:lineRule="exact"/>
              <w:jc w:val="center"/>
              <w:rPr>
                <w:rFonts w:ascii="仿宋" w:hAnsi="仿宋" w:eastAsia="仿宋" w:cs="仿宋"/>
                <w:kern w:val="0"/>
                <w:sz w:val="28"/>
                <w:szCs w:val="28"/>
              </w:rPr>
            </w:pPr>
            <w:r>
              <w:rPr>
                <w:rFonts w:hint="eastAsia" w:ascii="仿宋" w:hAnsi="仿宋" w:eastAsia="仿宋" w:cs="仿宋"/>
                <w:kern w:val="0"/>
                <w:sz w:val="28"/>
                <w:szCs w:val="28"/>
              </w:rPr>
              <w:t>　</w:t>
            </w:r>
          </w:p>
        </w:tc>
      </w:tr>
      <w:tr>
        <w:tblPrEx>
          <w:tblCellMar>
            <w:top w:w="0" w:type="dxa"/>
            <w:left w:w="108" w:type="dxa"/>
            <w:bottom w:w="0" w:type="dxa"/>
            <w:right w:w="108" w:type="dxa"/>
          </w:tblCellMar>
        </w:tblPrEx>
        <w:trPr>
          <w:trHeight w:val="814" w:hRule="atLeast"/>
          <w:jc w:val="center"/>
        </w:trPr>
        <w:tc>
          <w:tcPr>
            <w:tcW w:w="2873"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480" w:lineRule="exact"/>
              <w:jc w:val="center"/>
              <w:rPr>
                <w:rFonts w:ascii="仿宋" w:hAnsi="仿宋" w:eastAsia="仿宋" w:cs="仿宋"/>
                <w:color w:val="000000"/>
                <w:kern w:val="0"/>
                <w:sz w:val="28"/>
                <w:szCs w:val="28"/>
              </w:rPr>
            </w:pPr>
            <w:r>
              <w:rPr>
                <w:rFonts w:hint="eastAsia" w:ascii="仿宋" w:hAnsi="仿宋" w:eastAsia="仿宋" w:cs="仿宋"/>
                <w:bCs/>
                <w:sz w:val="28"/>
              </w:rPr>
              <w:t>杨青钢</w:t>
            </w:r>
          </w:p>
        </w:tc>
        <w:tc>
          <w:tcPr>
            <w:tcW w:w="2775"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480" w:lineRule="exact"/>
              <w:jc w:val="center"/>
              <w:rPr>
                <w:rFonts w:ascii="仿宋" w:hAnsi="仿宋" w:eastAsia="仿宋" w:cs="仿宋"/>
                <w:color w:val="000000"/>
                <w:kern w:val="0"/>
                <w:sz w:val="28"/>
                <w:szCs w:val="28"/>
              </w:rPr>
            </w:pPr>
            <w:r>
              <w:rPr>
                <w:rFonts w:hint="eastAsia" w:ascii="仿宋" w:hAnsi="仿宋" w:eastAsia="仿宋" w:cs="仿宋"/>
                <w:bCs/>
                <w:sz w:val="28"/>
              </w:rPr>
              <w:t>5220200026</w:t>
            </w:r>
          </w:p>
        </w:tc>
        <w:tc>
          <w:tcPr>
            <w:tcW w:w="3617"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480" w:lineRule="exact"/>
              <w:jc w:val="center"/>
              <w:rPr>
                <w:rFonts w:ascii="仿宋" w:hAnsi="仿宋" w:eastAsia="仿宋" w:cs="仿宋"/>
                <w:kern w:val="0"/>
                <w:sz w:val="28"/>
                <w:szCs w:val="28"/>
              </w:rPr>
            </w:pPr>
            <w:r>
              <w:rPr>
                <w:rFonts w:hint="eastAsia" w:ascii="仿宋" w:hAnsi="仿宋" w:eastAsia="仿宋" w:cs="仿宋"/>
                <w:kern w:val="0"/>
                <w:sz w:val="28"/>
                <w:szCs w:val="28"/>
              </w:rPr>
              <w:t>　</w:t>
            </w:r>
          </w:p>
        </w:tc>
      </w:tr>
      <w:bookmarkEnd w:id="42"/>
      <w:bookmarkEnd w:id="43"/>
    </w:tbl>
    <w:p>
      <w:pPr>
        <w:pStyle w:val="3"/>
        <w:pageBreakBefore w:val="0"/>
        <w:kinsoku/>
        <w:wordWrap/>
        <w:overflowPunct/>
        <w:topLinePunct w:val="0"/>
        <w:autoSpaceDE/>
        <w:autoSpaceDN/>
        <w:bidi w:val="0"/>
        <w:spacing w:before="156" w:beforeLines="50" w:after="156" w:afterLines="50" w:line="480" w:lineRule="exact"/>
        <w:ind w:firstLine="643" w:firstLineChars="200"/>
        <w:rPr>
          <w:rFonts w:ascii="仿宋" w:hAnsi="仿宋" w:eastAsia="仿宋" w:cs="仿宋"/>
          <w:kern w:val="0"/>
        </w:rPr>
      </w:pPr>
      <w:bookmarkStart w:id="44" w:name="_Toc30899"/>
      <w:bookmarkStart w:id="45" w:name="_Toc461005140"/>
      <w:bookmarkStart w:id="46" w:name="_Toc286074121"/>
      <w:bookmarkStart w:id="47" w:name="_Toc522795056"/>
      <w:r>
        <w:rPr>
          <w:rFonts w:hint="eastAsia" w:ascii="仿宋" w:hAnsi="仿宋" w:eastAsia="仿宋" w:cs="仿宋"/>
          <w:kern w:val="0"/>
        </w:rPr>
        <w:t>十二、实地查勘期</w:t>
      </w:r>
      <w:bookmarkEnd w:id="44"/>
      <w:bookmarkEnd w:id="45"/>
    </w:p>
    <w:p>
      <w:pPr>
        <w:pageBreakBefore w:val="0"/>
        <w:kinsoku/>
        <w:wordWrap/>
        <w:overflowPunct/>
        <w:topLinePunct w:val="0"/>
        <w:autoSpaceDE/>
        <w:autoSpaceDN/>
        <w:bidi w:val="0"/>
        <w:adjustRightInd w:val="0"/>
        <w:snapToGrid w:val="0"/>
        <w:spacing w:line="480" w:lineRule="exact"/>
        <w:ind w:firstLine="520" w:firstLineChars="200"/>
        <w:rPr>
          <w:rFonts w:eastAsia="仿宋_GB2312"/>
          <w:color w:val="000000"/>
          <w:sz w:val="26"/>
          <w:szCs w:val="26"/>
        </w:rPr>
      </w:pPr>
      <w:r>
        <w:rPr>
          <w:rFonts w:hint="eastAsia" w:eastAsia="仿宋_GB2312"/>
          <w:color w:val="000000"/>
          <w:sz w:val="26"/>
          <w:szCs w:val="26"/>
        </w:rPr>
        <w:t>本次实地勘查日期</w:t>
      </w:r>
      <w:r>
        <w:rPr>
          <w:rFonts w:hint="eastAsia" w:eastAsia="仿宋_GB2312"/>
          <w:color w:val="000000" w:themeColor="text1"/>
          <w:sz w:val="26"/>
          <w:szCs w:val="26"/>
          <w14:textFill>
            <w14:solidFill>
              <w14:schemeClr w14:val="tx1"/>
            </w14:solidFill>
          </w14:textFill>
        </w:rPr>
        <w:t>2022年</w:t>
      </w:r>
      <w:r>
        <w:rPr>
          <w:rFonts w:hint="eastAsia" w:eastAsia="仿宋_GB2312"/>
          <w:color w:val="000000" w:themeColor="text1"/>
          <w:sz w:val="26"/>
          <w:szCs w:val="26"/>
          <w:lang w:val="en-US" w:eastAsia="zh-CN"/>
          <w14:textFill>
            <w14:solidFill>
              <w14:schemeClr w14:val="tx1"/>
            </w14:solidFill>
          </w14:textFill>
        </w:rPr>
        <w:t>7</w:t>
      </w:r>
      <w:r>
        <w:rPr>
          <w:rFonts w:hint="eastAsia" w:eastAsia="仿宋_GB2312"/>
          <w:color w:val="000000" w:themeColor="text1"/>
          <w:sz w:val="26"/>
          <w:szCs w:val="26"/>
          <w14:textFill>
            <w14:solidFill>
              <w14:schemeClr w14:val="tx1"/>
            </w14:solidFill>
          </w14:textFill>
        </w:rPr>
        <w:t>月</w:t>
      </w:r>
      <w:r>
        <w:rPr>
          <w:rFonts w:hint="eastAsia" w:eastAsia="仿宋_GB2312"/>
          <w:color w:val="000000" w:themeColor="text1"/>
          <w:sz w:val="26"/>
          <w:szCs w:val="26"/>
          <w:lang w:val="en-US" w:eastAsia="zh-CN"/>
          <w14:textFill>
            <w14:solidFill>
              <w14:schemeClr w14:val="tx1"/>
            </w14:solidFill>
          </w14:textFill>
        </w:rPr>
        <w:t>27</w:t>
      </w:r>
      <w:r>
        <w:rPr>
          <w:rFonts w:hint="eastAsia" w:eastAsia="仿宋_GB2312"/>
          <w:color w:val="000000" w:themeColor="text1"/>
          <w:sz w:val="26"/>
          <w:szCs w:val="26"/>
          <w14:textFill>
            <w14:solidFill>
              <w14:schemeClr w14:val="tx1"/>
            </w14:solidFill>
          </w14:textFill>
        </w:rPr>
        <w:t>日</w:t>
      </w:r>
      <w:r>
        <w:rPr>
          <w:rFonts w:hint="eastAsia" w:eastAsia="仿宋_GB2312"/>
          <w:color w:val="000000"/>
          <w:sz w:val="26"/>
          <w:szCs w:val="26"/>
        </w:rPr>
        <w:t>。</w:t>
      </w:r>
    </w:p>
    <w:p>
      <w:pPr>
        <w:pStyle w:val="3"/>
        <w:pageBreakBefore w:val="0"/>
        <w:kinsoku/>
        <w:wordWrap/>
        <w:overflowPunct/>
        <w:topLinePunct w:val="0"/>
        <w:autoSpaceDE/>
        <w:autoSpaceDN/>
        <w:bidi w:val="0"/>
        <w:spacing w:before="156" w:beforeLines="50" w:after="156" w:afterLines="50" w:line="480" w:lineRule="exact"/>
        <w:ind w:firstLine="643" w:firstLineChars="200"/>
        <w:rPr>
          <w:rFonts w:ascii="仿宋" w:hAnsi="仿宋" w:eastAsia="仿宋" w:cs="仿宋"/>
          <w:kern w:val="0"/>
        </w:rPr>
      </w:pPr>
      <w:bookmarkStart w:id="48" w:name="_Toc12504"/>
      <w:bookmarkStart w:id="49" w:name="_Toc461005141"/>
      <w:r>
        <w:rPr>
          <w:rFonts w:hint="eastAsia" w:ascii="仿宋" w:hAnsi="仿宋" w:eastAsia="仿宋" w:cs="仿宋"/>
          <w:kern w:val="0"/>
        </w:rPr>
        <w:t>十三、估价作业日期</w:t>
      </w:r>
      <w:bookmarkEnd w:id="48"/>
      <w:bookmarkEnd w:id="49"/>
    </w:p>
    <w:p>
      <w:pPr>
        <w:pageBreakBefore w:val="0"/>
        <w:kinsoku/>
        <w:wordWrap/>
        <w:overflowPunct/>
        <w:topLinePunct w:val="0"/>
        <w:autoSpaceDE/>
        <w:autoSpaceDN/>
        <w:bidi w:val="0"/>
        <w:spacing w:line="480" w:lineRule="exact"/>
        <w:ind w:firstLine="520" w:firstLineChars="200"/>
        <w:rPr>
          <w:rFonts w:ascii="仿宋" w:hAnsi="仿宋" w:eastAsia="仿宋" w:cs="仿宋"/>
          <w:color w:val="000000" w:themeColor="text1"/>
          <w:sz w:val="28"/>
          <w:szCs w:val="28"/>
          <w14:textFill>
            <w14:solidFill>
              <w14:schemeClr w14:val="tx1"/>
            </w14:solidFill>
          </w14:textFill>
        </w:rPr>
      </w:pPr>
      <w:r>
        <w:rPr>
          <w:rFonts w:hint="eastAsia" w:eastAsia="仿宋_GB2312"/>
          <w:color w:val="000000" w:themeColor="text1"/>
          <w:sz w:val="26"/>
          <w:szCs w:val="26"/>
          <w14:textFill>
            <w14:solidFill>
              <w14:schemeClr w14:val="tx1"/>
            </w14:solidFill>
          </w14:textFill>
        </w:rPr>
        <w:t>本次估价的作业日期是2022年</w:t>
      </w:r>
      <w:r>
        <w:rPr>
          <w:rFonts w:hint="eastAsia" w:eastAsia="仿宋_GB2312"/>
          <w:color w:val="000000" w:themeColor="text1"/>
          <w:sz w:val="26"/>
          <w:szCs w:val="26"/>
          <w:lang w:val="en-US" w:eastAsia="zh-CN"/>
          <w14:textFill>
            <w14:solidFill>
              <w14:schemeClr w14:val="tx1"/>
            </w14:solidFill>
          </w14:textFill>
        </w:rPr>
        <w:t>7</w:t>
      </w:r>
      <w:r>
        <w:rPr>
          <w:rFonts w:hint="eastAsia" w:eastAsia="仿宋_GB2312"/>
          <w:color w:val="000000" w:themeColor="text1"/>
          <w:sz w:val="26"/>
          <w:szCs w:val="26"/>
          <w14:textFill>
            <w14:solidFill>
              <w14:schemeClr w14:val="tx1"/>
            </w14:solidFill>
          </w14:textFill>
        </w:rPr>
        <w:t>月</w:t>
      </w:r>
      <w:r>
        <w:rPr>
          <w:rFonts w:hint="eastAsia" w:eastAsia="仿宋_GB2312"/>
          <w:color w:val="000000" w:themeColor="text1"/>
          <w:sz w:val="26"/>
          <w:szCs w:val="26"/>
          <w:lang w:val="en-US" w:eastAsia="zh-CN"/>
          <w14:textFill>
            <w14:solidFill>
              <w14:schemeClr w14:val="tx1"/>
            </w14:solidFill>
          </w14:textFill>
        </w:rPr>
        <w:t>27</w:t>
      </w:r>
      <w:r>
        <w:rPr>
          <w:rFonts w:hint="eastAsia" w:eastAsia="仿宋_GB2312"/>
          <w:color w:val="000000" w:themeColor="text1"/>
          <w:sz w:val="26"/>
          <w:szCs w:val="26"/>
          <w14:textFill>
            <w14:solidFill>
              <w14:schemeClr w14:val="tx1"/>
            </w14:solidFill>
          </w14:textFill>
        </w:rPr>
        <w:t>日至</w:t>
      </w:r>
      <w:r>
        <w:rPr>
          <w:rFonts w:hint="eastAsia" w:eastAsia="仿宋_GB2312"/>
          <w:color w:val="000000" w:themeColor="text1"/>
          <w:sz w:val="26"/>
          <w:szCs w:val="26"/>
          <w:lang w:eastAsia="zh-CN"/>
          <w14:textFill>
            <w14:solidFill>
              <w14:schemeClr w14:val="tx1"/>
            </w14:solidFill>
          </w14:textFill>
        </w:rPr>
        <w:t>202</w:t>
      </w:r>
      <w:r>
        <w:rPr>
          <w:rFonts w:hint="eastAsia" w:eastAsia="仿宋_GB2312"/>
          <w:color w:val="000000" w:themeColor="text1"/>
          <w:sz w:val="26"/>
          <w:szCs w:val="26"/>
          <w:lang w:val="en-US" w:eastAsia="zh-CN"/>
          <w14:textFill>
            <w14:solidFill>
              <w14:schemeClr w14:val="tx1"/>
            </w14:solidFill>
          </w14:textFill>
        </w:rPr>
        <w:t>2</w:t>
      </w:r>
      <w:r>
        <w:rPr>
          <w:rFonts w:hint="eastAsia" w:eastAsia="仿宋_GB2312"/>
          <w:color w:val="000000" w:themeColor="text1"/>
          <w:sz w:val="26"/>
          <w:szCs w:val="26"/>
          <w:lang w:eastAsia="zh-CN"/>
          <w14:textFill>
            <w14:solidFill>
              <w14:schemeClr w14:val="tx1"/>
            </w14:solidFill>
          </w14:textFill>
        </w:rPr>
        <w:t>年</w:t>
      </w:r>
      <w:r>
        <w:rPr>
          <w:rFonts w:hint="eastAsia" w:eastAsia="仿宋_GB2312"/>
          <w:color w:val="000000" w:themeColor="text1"/>
          <w:sz w:val="26"/>
          <w:szCs w:val="26"/>
          <w:lang w:val="en-US" w:eastAsia="zh-CN"/>
          <w14:textFill>
            <w14:solidFill>
              <w14:schemeClr w14:val="tx1"/>
            </w14:solidFill>
          </w14:textFill>
        </w:rPr>
        <w:t>8</w:t>
      </w:r>
      <w:r>
        <w:rPr>
          <w:rFonts w:hint="eastAsia" w:eastAsia="仿宋_GB2312"/>
          <w:color w:val="000000" w:themeColor="text1"/>
          <w:sz w:val="26"/>
          <w:szCs w:val="26"/>
          <w:lang w:eastAsia="zh-CN"/>
          <w14:textFill>
            <w14:solidFill>
              <w14:schemeClr w14:val="tx1"/>
            </w14:solidFill>
          </w14:textFill>
        </w:rPr>
        <w:t>月</w:t>
      </w:r>
      <w:r>
        <w:rPr>
          <w:rFonts w:hint="eastAsia" w:eastAsia="仿宋_GB2312"/>
          <w:color w:val="000000" w:themeColor="text1"/>
          <w:sz w:val="26"/>
          <w:szCs w:val="26"/>
          <w:lang w:val="en-US" w:eastAsia="zh-CN"/>
          <w14:textFill>
            <w14:solidFill>
              <w14:schemeClr w14:val="tx1"/>
            </w14:solidFill>
          </w14:textFill>
        </w:rPr>
        <w:t>15</w:t>
      </w:r>
      <w:r>
        <w:rPr>
          <w:rFonts w:hint="eastAsia" w:eastAsia="仿宋_GB2312"/>
          <w:color w:val="000000" w:themeColor="text1"/>
          <w:sz w:val="26"/>
          <w:szCs w:val="26"/>
          <w:lang w:eastAsia="zh-CN"/>
          <w14:textFill>
            <w14:solidFill>
              <w14:schemeClr w14:val="tx1"/>
            </w14:solidFill>
          </w14:textFill>
        </w:rPr>
        <w:t>日</w:t>
      </w:r>
      <w:r>
        <w:rPr>
          <w:rFonts w:hint="eastAsia" w:eastAsia="仿宋_GB2312"/>
          <w:color w:val="000000" w:themeColor="text1"/>
          <w:sz w:val="26"/>
          <w:szCs w:val="26"/>
          <w14:textFill>
            <w14:solidFill>
              <w14:schemeClr w14:val="tx1"/>
            </w14:solidFill>
          </w14:textFill>
        </w:rPr>
        <w:t>。</w:t>
      </w:r>
    </w:p>
    <w:p>
      <w:pPr>
        <w:pStyle w:val="3"/>
        <w:pageBreakBefore w:val="0"/>
        <w:kinsoku/>
        <w:wordWrap/>
        <w:overflowPunct/>
        <w:topLinePunct w:val="0"/>
        <w:autoSpaceDE/>
        <w:autoSpaceDN/>
        <w:bidi w:val="0"/>
        <w:spacing w:before="156" w:beforeLines="50" w:after="156" w:afterLines="50" w:line="480" w:lineRule="exact"/>
        <w:ind w:firstLine="643" w:firstLineChars="200"/>
        <w:rPr>
          <w:rFonts w:ascii="仿宋" w:hAnsi="仿宋" w:eastAsia="仿宋" w:cs="仿宋"/>
          <w:color w:val="000000" w:themeColor="text1"/>
          <w:kern w:val="0"/>
          <w14:textFill>
            <w14:solidFill>
              <w14:schemeClr w14:val="tx1"/>
            </w14:solidFill>
          </w14:textFill>
        </w:rPr>
      </w:pPr>
      <w:bookmarkStart w:id="50" w:name="_Toc31567"/>
      <w:r>
        <w:rPr>
          <w:rFonts w:hint="eastAsia" w:ascii="仿宋" w:hAnsi="仿宋" w:eastAsia="仿宋" w:cs="仿宋"/>
          <w:color w:val="000000" w:themeColor="text1"/>
          <w:kern w:val="0"/>
          <w14:textFill>
            <w14:solidFill>
              <w14:schemeClr w14:val="tx1"/>
            </w14:solidFill>
          </w14:textFill>
        </w:rPr>
        <w:t>十四、估价报告</w:t>
      </w:r>
      <w:bookmarkEnd w:id="46"/>
      <w:r>
        <w:rPr>
          <w:rFonts w:hint="eastAsia" w:ascii="仿宋" w:hAnsi="仿宋" w:eastAsia="仿宋" w:cs="仿宋"/>
          <w:color w:val="000000" w:themeColor="text1"/>
          <w:kern w:val="0"/>
          <w14:textFill>
            <w14:solidFill>
              <w14:schemeClr w14:val="tx1"/>
            </w14:solidFill>
          </w14:textFill>
        </w:rPr>
        <w:t>应用的有效期</w:t>
      </w:r>
      <w:bookmarkEnd w:id="47"/>
      <w:bookmarkEnd w:id="50"/>
    </w:p>
    <w:p>
      <w:pPr>
        <w:pageBreakBefore w:val="0"/>
        <w:kinsoku/>
        <w:wordWrap/>
        <w:overflowPunct/>
        <w:topLinePunct w:val="0"/>
        <w:autoSpaceDE/>
        <w:autoSpaceDN/>
        <w:bidi w:val="0"/>
        <w:adjustRightInd w:val="0"/>
        <w:snapToGrid w:val="0"/>
        <w:spacing w:line="480" w:lineRule="exact"/>
        <w:ind w:left="517" w:leftChars="246" w:firstLine="0" w:firstLineChars="0"/>
        <w:rPr>
          <w:rFonts w:eastAsia="仿宋_GB2312"/>
          <w:color w:val="000000" w:themeColor="text1"/>
          <w:sz w:val="26"/>
          <w:szCs w:val="26"/>
          <w14:textFill>
            <w14:solidFill>
              <w14:schemeClr w14:val="tx1"/>
            </w14:solidFill>
          </w14:textFill>
        </w:rPr>
      </w:pPr>
      <w:r>
        <w:rPr>
          <w:rFonts w:hint="eastAsia" w:eastAsia="仿宋_GB2312"/>
          <w:color w:val="000000" w:themeColor="text1"/>
          <w:sz w:val="26"/>
          <w:szCs w:val="26"/>
          <w14:textFill>
            <w14:solidFill>
              <w14:schemeClr w14:val="tx1"/>
            </w14:solidFill>
          </w14:textFill>
        </w:rPr>
        <w:t>本估价报告有效期限为一年，从估价报告出具日期之日起计算，即：</w:t>
      </w:r>
      <w:r>
        <w:rPr>
          <w:rFonts w:hint="eastAsia" w:eastAsia="仿宋_GB2312"/>
          <w:color w:val="000000" w:themeColor="text1"/>
          <w:sz w:val="26"/>
          <w:szCs w:val="26"/>
          <w:lang w:eastAsia="zh-CN"/>
          <w14:textFill>
            <w14:solidFill>
              <w14:schemeClr w14:val="tx1"/>
            </w14:solidFill>
          </w14:textFill>
        </w:rPr>
        <w:t>2022年</w:t>
      </w:r>
      <w:r>
        <w:rPr>
          <w:rFonts w:hint="eastAsia" w:eastAsia="仿宋_GB2312"/>
          <w:color w:val="000000" w:themeColor="text1"/>
          <w:sz w:val="26"/>
          <w:szCs w:val="26"/>
          <w:lang w:val="en-US" w:eastAsia="zh-CN"/>
          <w14:textFill>
            <w14:solidFill>
              <w14:schemeClr w14:val="tx1"/>
            </w14:solidFill>
          </w14:textFill>
        </w:rPr>
        <w:t>8</w:t>
      </w:r>
      <w:r>
        <w:rPr>
          <w:rFonts w:hint="eastAsia" w:eastAsia="仿宋_GB2312"/>
          <w:color w:val="000000" w:themeColor="text1"/>
          <w:sz w:val="26"/>
          <w:szCs w:val="26"/>
          <w:lang w:eastAsia="zh-CN"/>
          <w14:textFill>
            <w14:solidFill>
              <w14:schemeClr w14:val="tx1"/>
            </w14:solidFill>
          </w14:textFill>
        </w:rPr>
        <w:t>月</w:t>
      </w:r>
      <w:r>
        <w:rPr>
          <w:rFonts w:hint="eastAsia" w:eastAsia="仿宋_GB2312"/>
          <w:color w:val="000000" w:themeColor="text1"/>
          <w:sz w:val="26"/>
          <w:szCs w:val="26"/>
          <w:lang w:val="en-US" w:eastAsia="zh-CN"/>
          <w14:textFill>
            <w14:solidFill>
              <w14:schemeClr w14:val="tx1"/>
            </w14:solidFill>
          </w14:textFill>
        </w:rPr>
        <w:t>15</w:t>
      </w:r>
      <w:r>
        <w:rPr>
          <w:rFonts w:hint="eastAsia" w:eastAsia="仿宋_GB2312"/>
          <w:color w:val="000000" w:themeColor="text1"/>
          <w:sz w:val="26"/>
          <w:szCs w:val="26"/>
          <w:lang w:eastAsia="zh-CN"/>
          <w14:textFill>
            <w14:solidFill>
              <w14:schemeClr w14:val="tx1"/>
            </w14:solidFill>
          </w14:textFill>
        </w:rPr>
        <w:t>日</w:t>
      </w:r>
      <w:r>
        <w:rPr>
          <w:rFonts w:hint="eastAsia" w:eastAsia="仿宋_GB2312"/>
          <w:color w:val="000000" w:themeColor="text1"/>
          <w:sz w:val="26"/>
          <w:szCs w:val="26"/>
          <w14:textFill>
            <w14:solidFill>
              <w14:schemeClr w14:val="tx1"/>
            </w14:solidFill>
          </w14:textFill>
        </w:rPr>
        <w:t>至2023年</w:t>
      </w:r>
      <w:r>
        <w:rPr>
          <w:rFonts w:hint="eastAsia" w:eastAsia="仿宋_GB2312"/>
          <w:color w:val="000000" w:themeColor="text1"/>
          <w:sz w:val="26"/>
          <w:szCs w:val="26"/>
          <w:lang w:val="en-US" w:eastAsia="zh-CN"/>
          <w14:textFill>
            <w14:solidFill>
              <w14:schemeClr w14:val="tx1"/>
            </w14:solidFill>
          </w14:textFill>
        </w:rPr>
        <w:t>8</w:t>
      </w:r>
      <w:r>
        <w:rPr>
          <w:rFonts w:hint="eastAsia" w:eastAsia="仿宋_GB2312"/>
          <w:color w:val="000000" w:themeColor="text1"/>
          <w:sz w:val="26"/>
          <w:szCs w:val="26"/>
          <w14:textFill>
            <w14:solidFill>
              <w14:schemeClr w14:val="tx1"/>
            </w14:solidFill>
          </w14:textFill>
        </w:rPr>
        <w:t>月</w:t>
      </w:r>
      <w:r>
        <w:rPr>
          <w:rFonts w:hint="eastAsia" w:eastAsia="仿宋_GB2312"/>
          <w:color w:val="000000" w:themeColor="text1"/>
          <w:sz w:val="26"/>
          <w:szCs w:val="26"/>
          <w:lang w:val="en-US" w:eastAsia="zh-CN"/>
          <w14:textFill>
            <w14:solidFill>
              <w14:schemeClr w14:val="tx1"/>
            </w14:solidFill>
          </w14:textFill>
        </w:rPr>
        <w:t>14</w:t>
      </w:r>
      <w:r>
        <w:rPr>
          <w:rFonts w:hint="eastAsia" w:eastAsia="仿宋_GB2312"/>
          <w:color w:val="000000" w:themeColor="text1"/>
          <w:sz w:val="26"/>
          <w:szCs w:val="26"/>
          <w14:textFill>
            <w14:solidFill>
              <w14:schemeClr w14:val="tx1"/>
            </w14:solidFill>
          </w14:textFill>
        </w:rPr>
        <w:t>日。</w:t>
      </w:r>
    </w:p>
    <w:p>
      <w:pPr>
        <w:pStyle w:val="3"/>
        <w:pageBreakBefore w:val="0"/>
        <w:kinsoku/>
        <w:wordWrap/>
        <w:overflowPunct/>
        <w:topLinePunct w:val="0"/>
        <w:autoSpaceDE/>
        <w:autoSpaceDN/>
        <w:bidi w:val="0"/>
        <w:spacing w:before="156" w:beforeLines="50" w:after="156" w:afterLines="50" w:line="480" w:lineRule="exact"/>
        <w:ind w:firstLine="643" w:firstLineChars="200"/>
        <w:rPr>
          <w:rFonts w:ascii="仿宋" w:hAnsi="仿宋" w:eastAsia="仿宋" w:cs="仿宋"/>
          <w:color w:val="000000" w:themeColor="text1"/>
          <w:kern w:val="0"/>
          <w14:textFill>
            <w14:solidFill>
              <w14:schemeClr w14:val="tx1"/>
            </w14:solidFill>
          </w14:textFill>
        </w:rPr>
      </w:pPr>
      <w:bookmarkStart w:id="51" w:name="_Toc451421812"/>
      <w:bookmarkStart w:id="52" w:name="_Toc12004"/>
      <w:r>
        <w:rPr>
          <w:rFonts w:hint="eastAsia" w:ascii="仿宋" w:hAnsi="仿宋" w:eastAsia="仿宋" w:cs="仿宋"/>
          <w:color w:val="000000" w:themeColor="text1"/>
          <w:kern w:val="0"/>
          <w14:textFill>
            <w14:solidFill>
              <w14:schemeClr w14:val="tx1"/>
            </w14:solidFill>
          </w14:textFill>
        </w:rPr>
        <w:t>十五、其它需要特别说明的事项</w:t>
      </w:r>
      <w:bookmarkEnd w:id="51"/>
      <w:bookmarkEnd w:id="52"/>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eastAsia="仿宋_GB2312"/>
          <w:color w:val="000000"/>
          <w:sz w:val="26"/>
          <w:szCs w:val="26"/>
        </w:rPr>
      </w:pPr>
      <w:r>
        <w:rPr>
          <w:rFonts w:hint="eastAsia" w:eastAsia="仿宋_GB2312"/>
          <w:color w:val="000000"/>
          <w:sz w:val="26"/>
          <w:szCs w:val="26"/>
        </w:rPr>
        <w:t>1、本报告结果及附件仅供委托方用于估价目的所载明的用途，不对其它用途负责，不能作为估价对象权属界定的依据。</w:t>
      </w:r>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eastAsia="仿宋_GB2312"/>
          <w:color w:val="000000"/>
          <w:sz w:val="26"/>
          <w:szCs w:val="26"/>
        </w:rPr>
      </w:pPr>
      <w:r>
        <w:rPr>
          <w:rFonts w:hint="eastAsia" w:eastAsia="仿宋_GB2312"/>
          <w:color w:val="000000"/>
          <w:sz w:val="26"/>
          <w:szCs w:val="26"/>
        </w:rPr>
        <w:t>2、报告中提示的估价对象的市场价值是专业人员在一系列假设条件下模拟市场交易得出的价值结果，而交易价格往往受到交易时种种条件的限制，实际交易的情形也极难于与价值时点的假设条件保持一致，因此，估价结果仅供估价委托人参考，而不是对价格实现的一种保证。</w:t>
      </w:r>
    </w:p>
    <w:p>
      <w:pPr>
        <w:pageBreakBefore w:val="0"/>
        <w:kinsoku/>
        <w:wordWrap/>
        <w:overflowPunct/>
        <w:topLinePunct w:val="0"/>
        <w:autoSpaceDE/>
        <w:autoSpaceDN/>
        <w:bidi w:val="0"/>
        <w:spacing w:line="480" w:lineRule="exact"/>
        <w:jc w:val="center"/>
        <w:rPr>
          <w:rFonts w:ascii="仿宋" w:hAnsi="仿宋" w:eastAsia="仿宋" w:cs="仿宋"/>
          <w:b/>
          <w:bCs/>
          <w:color w:val="000000"/>
          <w:kern w:val="0"/>
          <w:sz w:val="28"/>
          <w:szCs w:val="28"/>
        </w:rPr>
      </w:pPr>
    </w:p>
    <w:p>
      <w:pPr>
        <w:pageBreakBefore w:val="0"/>
        <w:kinsoku/>
        <w:wordWrap/>
        <w:overflowPunct/>
        <w:topLinePunct w:val="0"/>
        <w:autoSpaceDE/>
        <w:autoSpaceDN/>
        <w:bidi w:val="0"/>
        <w:spacing w:line="480" w:lineRule="exact"/>
        <w:jc w:val="center"/>
        <w:rPr>
          <w:rFonts w:ascii="仿宋" w:hAnsi="仿宋" w:eastAsia="仿宋" w:cs="仿宋"/>
          <w:b/>
          <w:bCs/>
          <w:color w:val="000000"/>
          <w:kern w:val="0"/>
          <w:sz w:val="28"/>
          <w:szCs w:val="28"/>
        </w:rPr>
      </w:pPr>
    </w:p>
    <w:p>
      <w:pPr>
        <w:pageBreakBefore w:val="0"/>
        <w:kinsoku/>
        <w:wordWrap/>
        <w:overflowPunct/>
        <w:topLinePunct w:val="0"/>
        <w:autoSpaceDE/>
        <w:autoSpaceDN/>
        <w:bidi w:val="0"/>
        <w:spacing w:line="480" w:lineRule="exact"/>
        <w:jc w:val="center"/>
        <w:rPr>
          <w:rFonts w:ascii="仿宋" w:hAnsi="仿宋" w:eastAsia="仿宋" w:cs="仿宋"/>
          <w:b/>
          <w:bCs/>
          <w:color w:val="000000"/>
          <w:kern w:val="0"/>
          <w:sz w:val="28"/>
          <w:szCs w:val="28"/>
        </w:rPr>
      </w:pPr>
    </w:p>
    <w:p>
      <w:pPr>
        <w:pageBreakBefore w:val="0"/>
        <w:kinsoku/>
        <w:wordWrap/>
        <w:overflowPunct/>
        <w:topLinePunct w:val="0"/>
        <w:autoSpaceDE/>
        <w:autoSpaceDN/>
        <w:bidi w:val="0"/>
        <w:spacing w:line="480" w:lineRule="exact"/>
        <w:jc w:val="center"/>
        <w:rPr>
          <w:rFonts w:ascii="仿宋" w:hAnsi="仿宋" w:eastAsia="仿宋" w:cs="仿宋"/>
          <w:b/>
          <w:bCs/>
          <w:color w:val="000000"/>
          <w:kern w:val="0"/>
          <w:sz w:val="28"/>
          <w:szCs w:val="28"/>
        </w:rPr>
      </w:pPr>
    </w:p>
    <w:p>
      <w:pPr>
        <w:pageBreakBefore w:val="0"/>
        <w:kinsoku/>
        <w:wordWrap/>
        <w:overflowPunct/>
        <w:topLinePunct w:val="0"/>
        <w:autoSpaceDE/>
        <w:autoSpaceDN/>
        <w:bidi w:val="0"/>
        <w:spacing w:line="480" w:lineRule="exact"/>
        <w:jc w:val="both"/>
        <w:rPr>
          <w:rFonts w:ascii="仿宋" w:hAnsi="仿宋" w:eastAsia="仿宋" w:cs="仿宋"/>
          <w:b/>
          <w:bCs/>
          <w:color w:val="000000"/>
          <w:kern w:val="0"/>
          <w:sz w:val="28"/>
          <w:szCs w:val="28"/>
        </w:rPr>
      </w:pPr>
    </w:p>
    <w:p>
      <w:pPr>
        <w:pageBreakBefore w:val="0"/>
        <w:kinsoku/>
        <w:wordWrap/>
        <w:overflowPunct/>
        <w:topLinePunct w:val="0"/>
        <w:autoSpaceDE/>
        <w:autoSpaceDN/>
        <w:bidi w:val="0"/>
        <w:spacing w:line="480" w:lineRule="exact"/>
        <w:jc w:val="righ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贵州昊远房地产土地评估有限公司</w:t>
      </w:r>
    </w:p>
    <w:p>
      <w:pPr>
        <w:pageBreakBefore w:val="0"/>
        <w:kinsoku/>
        <w:wordWrap/>
        <w:overflowPunct/>
        <w:topLinePunct w:val="0"/>
        <w:autoSpaceDE/>
        <w:autoSpaceDN/>
        <w:bidi w:val="0"/>
        <w:spacing w:line="480" w:lineRule="exact"/>
        <w:jc w:val="center"/>
        <w:rPr>
          <w:rFonts w:hint="eastAsia" w:ascii="仿宋" w:hAnsi="仿宋" w:eastAsia="仿宋" w:cs="仿宋"/>
          <w:b/>
          <w:bCs/>
          <w:color w:val="000000" w:themeColor="text1"/>
          <w:sz w:val="28"/>
          <w:szCs w:val="28"/>
          <w:lang w:eastAsia="zh-CN"/>
          <w14:textFill>
            <w14:solidFill>
              <w14:schemeClr w14:val="tx1"/>
            </w14:solidFill>
          </w14:textFill>
        </w:rPr>
      </w:pPr>
      <w:bookmarkStart w:id="53" w:name="_Toc457813611"/>
      <w:bookmarkStart w:id="54" w:name="_Toc491439231"/>
      <w:r>
        <w:rPr>
          <w:rFonts w:hint="eastAsia" w:ascii="仿宋" w:hAnsi="仿宋" w:eastAsia="仿宋" w:cs="仿宋"/>
          <w:b/>
          <w:bCs/>
          <w:color w:val="FF0000"/>
          <w:sz w:val="28"/>
          <w:szCs w:val="28"/>
          <w:lang w:val="en-US" w:eastAsia="zh-CN"/>
        </w:rPr>
        <w:t xml:space="preserve">                                       </w:t>
      </w:r>
      <w:r>
        <w:rPr>
          <w:rFonts w:hint="eastAsia" w:ascii="仿宋" w:hAnsi="仿宋" w:eastAsia="仿宋" w:cs="仿宋"/>
          <w:b/>
          <w:bCs/>
          <w:color w:val="000000" w:themeColor="text1"/>
          <w:sz w:val="28"/>
          <w:szCs w:val="28"/>
          <w:lang w:eastAsia="zh-CN"/>
          <w14:textFill>
            <w14:solidFill>
              <w14:schemeClr w14:val="tx1"/>
            </w14:solidFill>
          </w14:textFill>
        </w:rPr>
        <w:t>二〇二二年</w:t>
      </w:r>
      <w:r>
        <w:rPr>
          <w:rFonts w:hint="eastAsia" w:ascii="仿宋" w:hAnsi="仿宋" w:eastAsia="仿宋" w:cs="仿宋"/>
          <w:b/>
          <w:bCs/>
          <w:color w:val="000000" w:themeColor="text1"/>
          <w:sz w:val="28"/>
          <w:szCs w:val="28"/>
          <w:lang w:val="en-US" w:eastAsia="zh-CN"/>
          <w14:textFill>
            <w14:solidFill>
              <w14:schemeClr w14:val="tx1"/>
            </w14:solidFill>
          </w14:textFill>
        </w:rPr>
        <w:t>八</w:t>
      </w:r>
      <w:r>
        <w:rPr>
          <w:rFonts w:hint="eastAsia" w:ascii="仿宋" w:hAnsi="仿宋" w:eastAsia="仿宋" w:cs="仿宋"/>
          <w:b/>
          <w:bCs/>
          <w:color w:val="000000" w:themeColor="text1"/>
          <w:sz w:val="28"/>
          <w:szCs w:val="28"/>
          <w:lang w:eastAsia="zh-CN"/>
          <w14:textFill>
            <w14:solidFill>
              <w14:schemeClr w14:val="tx1"/>
            </w14:solidFill>
          </w14:textFill>
        </w:rPr>
        <w:t>月</w:t>
      </w:r>
      <w:r>
        <w:rPr>
          <w:rFonts w:hint="eastAsia" w:ascii="仿宋" w:hAnsi="仿宋" w:eastAsia="仿宋" w:cs="仿宋"/>
          <w:b/>
          <w:bCs/>
          <w:color w:val="000000" w:themeColor="text1"/>
          <w:sz w:val="28"/>
          <w:szCs w:val="28"/>
          <w:lang w:val="en-US" w:eastAsia="zh-CN"/>
          <w14:textFill>
            <w14:solidFill>
              <w14:schemeClr w14:val="tx1"/>
            </w14:solidFill>
          </w14:textFill>
        </w:rPr>
        <w:t>十五</w:t>
      </w:r>
      <w:r>
        <w:rPr>
          <w:rFonts w:hint="eastAsia" w:ascii="仿宋" w:hAnsi="仿宋" w:eastAsia="仿宋" w:cs="仿宋"/>
          <w:b/>
          <w:bCs/>
          <w:color w:val="000000" w:themeColor="text1"/>
          <w:sz w:val="28"/>
          <w:szCs w:val="28"/>
          <w:lang w:eastAsia="zh-CN"/>
          <w14:textFill>
            <w14:solidFill>
              <w14:schemeClr w14:val="tx1"/>
            </w14:solidFill>
          </w14:textFill>
        </w:rPr>
        <w:t>日</w:t>
      </w:r>
    </w:p>
    <w:p>
      <w:pPr>
        <w:pageBreakBefore w:val="0"/>
        <w:kinsoku/>
        <w:wordWrap/>
        <w:overflowPunct/>
        <w:topLinePunct w:val="0"/>
        <w:autoSpaceDE/>
        <w:autoSpaceDN/>
        <w:bidi w:val="0"/>
        <w:spacing w:line="480" w:lineRule="exact"/>
        <w:jc w:val="center"/>
        <w:rPr>
          <w:rFonts w:hint="eastAsia" w:ascii="仿宋" w:hAnsi="仿宋" w:eastAsia="仿宋" w:cs="仿宋"/>
          <w:b/>
          <w:bCs/>
          <w:color w:val="FF0000"/>
          <w:sz w:val="28"/>
          <w:szCs w:val="28"/>
          <w:lang w:eastAsia="zh-CN"/>
        </w:rPr>
      </w:pPr>
    </w:p>
    <w:p>
      <w:pPr>
        <w:spacing w:line="420" w:lineRule="exact"/>
        <w:jc w:val="center"/>
        <w:rPr>
          <w:rFonts w:hint="eastAsia" w:ascii="仿宋" w:hAnsi="仿宋" w:eastAsia="仿宋" w:cs="仿宋"/>
          <w:b/>
          <w:bCs/>
          <w:color w:val="FF0000"/>
          <w:sz w:val="28"/>
          <w:szCs w:val="28"/>
          <w:lang w:eastAsia="zh-CN"/>
        </w:rPr>
      </w:pPr>
    </w:p>
    <w:p>
      <w:pPr>
        <w:spacing w:line="420" w:lineRule="exact"/>
        <w:jc w:val="center"/>
        <w:rPr>
          <w:rFonts w:hint="eastAsia" w:ascii="仿宋" w:hAnsi="仿宋" w:eastAsia="仿宋" w:cs="仿宋"/>
          <w:b/>
          <w:bCs/>
          <w:color w:val="FF0000"/>
          <w:sz w:val="28"/>
          <w:szCs w:val="28"/>
          <w:lang w:eastAsia="zh-CN"/>
        </w:rPr>
      </w:pPr>
    </w:p>
    <w:p>
      <w:pPr>
        <w:spacing w:line="420" w:lineRule="exact"/>
        <w:jc w:val="center"/>
        <w:rPr>
          <w:rFonts w:hint="eastAsia" w:ascii="仿宋" w:hAnsi="仿宋" w:eastAsia="仿宋" w:cs="仿宋"/>
          <w:b/>
          <w:bCs/>
          <w:color w:val="FF0000"/>
          <w:sz w:val="28"/>
          <w:szCs w:val="28"/>
          <w:lang w:eastAsia="zh-CN"/>
        </w:rPr>
      </w:pPr>
    </w:p>
    <w:p>
      <w:pPr>
        <w:spacing w:line="420" w:lineRule="exact"/>
        <w:jc w:val="center"/>
        <w:rPr>
          <w:rFonts w:hint="eastAsia" w:ascii="仿宋" w:hAnsi="仿宋" w:eastAsia="仿宋" w:cs="仿宋"/>
          <w:b/>
          <w:bCs/>
          <w:color w:val="FF0000"/>
          <w:sz w:val="28"/>
          <w:szCs w:val="28"/>
          <w:lang w:eastAsia="zh-CN"/>
        </w:rPr>
      </w:pPr>
    </w:p>
    <w:p>
      <w:pPr>
        <w:spacing w:line="420" w:lineRule="exact"/>
        <w:jc w:val="center"/>
        <w:rPr>
          <w:rFonts w:hint="eastAsia" w:ascii="仿宋" w:hAnsi="仿宋" w:eastAsia="仿宋" w:cs="仿宋"/>
          <w:b/>
          <w:bCs/>
          <w:color w:val="FF0000"/>
          <w:sz w:val="28"/>
          <w:szCs w:val="28"/>
          <w:lang w:eastAsia="zh-CN"/>
        </w:rPr>
      </w:pPr>
    </w:p>
    <w:p>
      <w:pPr>
        <w:spacing w:line="420" w:lineRule="exact"/>
        <w:jc w:val="center"/>
        <w:rPr>
          <w:rFonts w:hint="eastAsia" w:ascii="仿宋" w:hAnsi="仿宋" w:eastAsia="仿宋" w:cs="仿宋"/>
          <w:b/>
          <w:bCs/>
          <w:color w:val="FF0000"/>
          <w:sz w:val="28"/>
          <w:szCs w:val="28"/>
          <w:lang w:eastAsia="zh-CN"/>
        </w:rPr>
      </w:pPr>
    </w:p>
    <w:p>
      <w:pPr>
        <w:spacing w:line="420" w:lineRule="exact"/>
        <w:jc w:val="center"/>
        <w:rPr>
          <w:rFonts w:hint="eastAsia" w:ascii="仿宋" w:hAnsi="仿宋" w:eastAsia="仿宋" w:cs="仿宋"/>
          <w:b/>
          <w:bCs/>
          <w:color w:val="FF0000"/>
          <w:sz w:val="28"/>
          <w:szCs w:val="28"/>
          <w:lang w:eastAsia="zh-CN"/>
        </w:rPr>
      </w:pPr>
    </w:p>
    <w:p>
      <w:pPr>
        <w:pStyle w:val="3"/>
        <w:spacing w:before="156" w:beforeLines="50" w:after="156" w:afterLines="50"/>
        <w:ind w:firstLine="3534" w:firstLineChars="800"/>
        <w:jc w:val="both"/>
        <w:rPr>
          <w:rFonts w:ascii="仿宋" w:hAnsi="仿宋" w:eastAsia="仿宋" w:cs="仿宋"/>
          <w:sz w:val="44"/>
          <w:szCs w:val="44"/>
        </w:rPr>
      </w:pPr>
      <w:bookmarkStart w:id="55" w:name="_Toc22566"/>
      <w:r>
        <w:rPr>
          <w:rFonts w:hint="eastAsia" w:ascii="仿宋" w:hAnsi="仿宋" w:eastAsia="仿宋" w:cs="仿宋"/>
          <w:kern w:val="0"/>
          <w:sz w:val="44"/>
          <w:szCs w:val="44"/>
        </w:rPr>
        <w:t>附     件</w:t>
      </w:r>
      <w:bookmarkEnd w:id="55"/>
    </w:p>
    <w:p>
      <w:pPr>
        <w:spacing w:line="420" w:lineRule="exact"/>
        <w:jc w:val="center"/>
        <w:rPr>
          <w:rFonts w:hint="eastAsia" w:ascii="仿宋" w:hAnsi="仿宋" w:eastAsia="仿宋" w:cs="仿宋"/>
          <w:b/>
          <w:bCs/>
          <w:color w:val="FF0000"/>
          <w:sz w:val="28"/>
          <w:szCs w:val="28"/>
          <w:lang w:eastAsia="zh-CN"/>
        </w:rPr>
      </w:pPr>
    </w:p>
    <w:bookmarkEnd w:id="53"/>
    <w:bookmarkEnd w:id="54"/>
    <w:p>
      <w:pPr>
        <w:numPr>
          <w:ilvl w:val="0"/>
          <w:numId w:val="2"/>
        </w:numPr>
        <w:spacing w:line="680" w:lineRule="exact"/>
        <w:ind w:left="1119" w:leftChars="266" w:hanging="560" w:hangingChars="200"/>
        <w:rPr>
          <w:rFonts w:ascii="仿宋" w:hAnsi="仿宋" w:eastAsia="仿宋" w:cs="仿宋"/>
          <w:sz w:val="28"/>
          <w:szCs w:val="28"/>
        </w:rPr>
      </w:pPr>
      <w:r>
        <w:rPr>
          <w:rFonts w:hint="eastAsia" w:ascii="仿宋" w:hAnsi="仿宋" w:eastAsia="仿宋" w:cs="仿宋"/>
          <w:sz w:val="28"/>
          <w:szCs w:val="28"/>
        </w:rPr>
        <w:t>估价对象现状照片及位置图</w:t>
      </w:r>
    </w:p>
    <w:p>
      <w:pPr>
        <w:spacing w:line="680" w:lineRule="exact"/>
        <w:ind w:firstLine="560" w:firstLineChars="200"/>
        <w:rPr>
          <w:rFonts w:ascii="仿宋" w:hAnsi="仿宋" w:eastAsia="仿宋" w:cs="仿宋"/>
          <w:sz w:val="28"/>
          <w:szCs w:val="28"/>
        </w:rPr>
      </w:pPr>
      <w:r>
        <w:rPr>
          <w:rFonts w:hint="eastAsia" w:ascii="仿宋" w:hAnsi="仿宋" w:eastAsia="仿宋" w:cs="仿宋"/>
          <w:sz w:val="28"/>
          <w:szCs w:val="28"/>
        </w:rPr>
        <w:t>二、《</w:t>
      </w:r>
      <w:r>
        <w:rPr>
          <w:rFonts w:hint="eastAsia" w:ascii="仿宋" w:hAnsi="仿宋" w:eastAsia="仿宋" w:cs="仿宋"/>
          <w:sz w:val="28"/>
          <w:szCs w:val="28"/>
          <w:lang w:val="en-US" w:eastAsia="zh-CN"/>
        </w:rPr>
        <w:t>纳雍县</w:t>
      </w:r>
      <w:r>
        <w:rPr>
          <w:rFonts w:hint="eastAsia" w:ascii="仿宋" w:hAnsi="仿宋" w:eastAsia="仿宋" w:cs="仿宋"/>
          <w:sz w:val="28"/>
          <w:szCs w:val="28"/>
          <w:lang w:eastAsia="zh-CN"/>
        </w:rPr>
        <w:t>人民法院</w:t>
      </w:r>
      <w:r>
        <w:rPr>
          <w:rFonts w:hint="eastAsia" w:ascii="仿宋" w:hAnsi="仿宋" w:eastAsia="仿宋" w:cs="仿宋"/>
          <w:sz w:val="28"/>
          <w:szCs w:val="28"/>
        </w:rPr>
        <w:t>委托书》复印件</w:t>
      </w:r>
    </w:p>
    <w:p>
      <w:pPr>
        <w:spacing w:line="680" w:lineRule="exact"/>
        <w:ind w:firstLine="560" w:firstLineChars="200"/>
        <w:rPr>
          <w:rFonts w:ascii="仿宋" w:hAnsi="仿宋" w:eastAsia="仿宋" w:cs="仿宋"/>
          <w:sz w:val="28"/>
          <w:szCs w:val="28"/>
        </w:rPr>
      </w:pPr>
      <w:r>
        <w:rPr>
          <w:rFonts w:hint="eastAsia" w:ascii="仿宋" w:hAnsi="仿宋" w:eastAsia="仿宋" w:cs="仿宋"/>
          <w:sz w:val="28"/>
          <w:szCs w:val="28"/>
        </w:rPr>
        <w:t>三、《贵州省不动产登记查询结果》复印件</w:t>
      </w:r>
    </w:p>
    <w:p>
      <w:pPr>
        <w:spacing w:line="680" w:lineRule="exact"/>
        <w:ind w:firstLine="560" w:firstLineChars="200"/>
        <w:rPr>
          <w:rFonts w:ascii="仿宋" w:hAnsi="仿宋" w:eastAsia="仿宋" w:cs="仿宋"/>
          <w:sz w:val="28"/>
          <w:szCs w:val="28"/>
        </w:rPr>
      </w:pPr>
      <w:r>
        <w:rPr>
          <w:rFonts w:hint="eastAsia" w:ascii="仿宋" w:hAnsi="仿宋" w:eastAsia="仿宋" w:cs="仿宋"/>
          <w:sz w:val="28"/>
          <w:szCs w:val="28"/>
        </w:rPr>
        <w:t>五、估价机构营业执照复印件</w:t>
      </w:r>
    </w:p>
    <w:p>
      <w:pPr>
        <w:spacing w:line="680" w:lineRule="exact"/>
        <w:ind w:firstLine="560" w:firstLineChars="200"/>
        <w:rPr>
          <w:rFonts w:ascii="仿宋" w:hAnsi="仿宋" w:eastAsia="仿宋" w:cs="仿宋"/>
          <w:sz w:val="28"/>
          <w:szCs w:val="28"/>
        </w:rPr>
      </w:pPr>
      <w:r>
        <w:rPr>
          <w:rFonts w:hint="eastAsia" w:ascii="仿宋" w:hAnsi="仿宋" w:eastAsia="仿宋" w:cs="仿宋"/>
          <w:sz w:val="28"/>
          <w:szCs w:val="28"/>
        </w:rPr>
        <w:t>六、估价机构房地产估价备案证书复印件</w:t>
      </w:r>
    </w:p>
    <w:p>
      <w:pPr>
        <w:spacing w:line="680" w:lineRule="exact"/>
        <w:ind w:firstLine="560" w:firstLineChars="200"/>
        <w:rPr>
          <w:rFonts w:ascii="仿宋" w:hAnsi="仿宋" w:eastAsia="仿宋" w:cs="仿宋"/>
          <w:sz w:val="28"/>
          <w:szCs w:val="28"/>
        </w:rPr>
      </w:pPr>
      <w:r>
        <w:rPr>
          <w:rFonts w:hint="eastAsia" w:ascii="仿宋" w:hAnsi="仿宋" w:eastAsia="仿宋" w:cs="仿宋"/>
          <w:sz w:val="28"/>
          <w:szCs w:val="28"/>
        </w:rPr>
        <w:t>七、房地产估价师注册证书复印件</w:t>
      </w:r>
    </w:p>
    <w:p>
      <w:pPr>
        <w:spacing w:line="680" w:lineRule="exact"/>
        <w:ind w:firstLine="560" w:firstLineChars="200"/>
        <w:rPr>
          <w:rFonts w:ascii="仿宋" w:hAnsi="仿宋" w:eastAsia="仿宋" w:cs="仿宋"/>
          <w:sz w:val="28"/>
          <w:szCs w:val="28"/>
        </w:rPr>
      </w:pPr>
    </w:p>
    <w:p>
      <w:pPr>
        <w:spacing w:line="680" w:lineRule="exact"/>
        <w:ind w:firstLine="560" w:firstLineChars="200"/>
        <w:rPr>
          <w:rFonts w:ascii="楷体" w:hAnsi="楷体" w:eastAsia="楷体" w:cs="楷体"/>
          <w:sz w:val="28"/>
          <w:szCs w:val="28"/>
        </w:rPr>
      </w:pPr>
    </w:p>
    <w:p>
      <w:pPr>
        <w:spacing w:line="680" w:lineRule="exact"/>
        <w:ind w:firstLine="560" w:firstLineChars="200"/>
        <w:rPr>
          <w:rFonts w:ascii="楷体" w:hAnsi="楷体" w:eastAsia="楷体" w:cs="楷体"/>
          <w:sz w:val="28"/>
          <w:szCs w:val="28"/>
        </w:rPr>
      </w:pPr>
    </w:p>
    <w:p>
      <w:pPr>
        <w:spacing w:line="680" w:lineRule="exact"/>
        <w:ind w:firstLine="560" w:firstLineChars="200"/>
        <w:rPr>
          <w:rFonts w:ascii="楷体" w:hAnsi="楷体" w:eastAsia="楷体" w:cs="楷体"/>
          <w:sz w:val="28"/>
          <w:szCs w:val="28"/>
        </w:rPr>
      </w:pPr>
    </w:p>
    <w:p>
      <w:pPr>
        <w:spacing w:line="680" w:lineRule="exact"/>
        <w:ind w:firstLine="560" w:firstLineChars="200"/>
        <w:rPr>
          <w:rFonts w:ascii="楷体" w:hAnsi="楷体" w:eastAsia="楷体" w:cs="楷体"/>
          <w:sz w:val="28"/>
          <w:szCs w:val="28"/>
        </w:rPr>
      </w:pPr>
    </w:p>
    <w:p>
      <w:pPr>
        <w:spacing w:line="680" w:lineRule="exact"/>
        <w:ind w:firstLine="560" w:firstLineChars="200"/>
        <w:rPr>
          <w:rFonts w:ascii="楷体" w:hAnsi="楷体" w:eastAsia="楷体" w:cs="楷体"/>
          <w:sz w:val="28"/>
          <w:szCs w:val="28"/>
        </w:rPr>
      </w:pPr>
    </w:p>
    <w:p>
      <w:pPr>
        <w:spacing w:line="680" w:lineRule="exact"/>
        <w:ind w:firstLine="560" w:firstLineChars="200"/>
        <w:rPr>
          <w:rFonts w:ascii="楷体" w:hAnsi="楷体" w:eastAsia="楷体" w:cs="楷体"/>
          <w:sz w:val="28"/>
          <w:szCs w:val="28"/>
        </w:rPr>
      </w:pPr>
    </w:p>
    <w:p>
      <w:pPr>
        <w:spacing w:line="680" w:lineRule="exact"/>
        <w:ind w:firstLine="560" w:firstLineChars="200"/>
        <w:rPr>
          <w:rFonts w:ascii="楷体" w:hAnsi="楷体" w:eastAsia="楷体" w:cs="楷体"/>
          <w:sz w:val="28"/>
          <w:szCs w:val="28"/>
        </w:rPr>
      </w:pPr>
    </w:p>
    <w:p>
      <w:pPr>
        <w:spacing w:line="680" w:lineRule="exact"/>
        <w:ind w:firstLine="560" w:firstLineChars="200"/>
        <w:rPr>
          <w:rFonts w:ascii="楷体" w:hAnsi="楷体" w:eastAsia="楷体" w:cs="楷体"/>
          <w:sz w:val="28"/>
          <w:szCs w:val="28"/>
        </w:rPr>
      </w:pPr>
    </w:p>
    <w:p>
      <w:pPr>
        <w:spacing w:line="680" w:lineRule="exact"/>
        <w:ind w:firstLine="560" w:firstLineChars="200"/>
        <w:rPr>
          <w:rFonts w:ascii="楷体" w:hAnsi="楷体" w:eastAsia="楷体" w:cs="楷体"/>
          <w:sz w:val="28"/>
          <w:szCs w:val="28"/>
        </w:rPr>
      </w:pPr>
    </w:p>
    <w:p>
      <w:pPr>
        <w:spacing w:line="680" w:lineRule="exact"/>
        <w:ind w:firstLine="560" w:firstLineChars="200"/>
        <w:rPr>
          <w:rFonts w:ascii="楷体" w:hAnsi="楷体" w:eastAsia="楷体" w:cs="楷体"/>
          <w:sz w:val="28"/>
          <w:szCs w:val="28"/>
        </w:rPr>
      </w:pPr>
    </w:p>
    <w:p>
      <w:pPr>
        <w:spacing w:line="680" w:lineRule="exact"/>
        <w:rPr>
          <w:rFonts w:ascii="楷体" w:hAnsi="楷体" w:eastAsia="楷体" w:cs="楷体"/>
          <w:sz w:val="28"/>
          <w:szCs w:val="28"/>
        </w:rPr>
      </w:pPr>
    </w:p>
    <w:p>
      <w:pPr>
        <w:spacing w:line="680" w:lineRule="exact"/>
        <w:ind w:firstLine="562" w:firstLineChars="200"/>
        <w:jc w:val="center"/>
        <w:rPr>
          <w:rFonts w:ascii="仿宋" w:hAnsi="仿宋" w:eastAsia="仿宋" w:cs="仿宋"/>
          <w:b/>
          <w:bCs/>
          <w:sz w:val="28"/>
          <w:szCs w:val="28"/>
        </w:rPr>
      </w:pPr>
      <w:r>
        <w:rPr>
          <w:rFonts w:hint="eastAsia" w:ascii="仿宋" w:hAnsi="仿宋" w:eastAsia="仿宋" w:cs="仿宋"/>
          <w:b/>
          <w:bCs/>
          <w:sz w:val="28"/>
          <w:szCs w:val="28"/>
        </w:rPr>
        <w:t>估价对象现状照片</w:t>
      </w:r>
    </w:p>
    <w:tbl>
      <w:tblPr>
        <w:tblStyle w:val="23"/>
        <w:tblpPr w:leftFromText="180" w:rightFromText="180" w:vertAnchor="text" w:horzAnchor="page" w:tblpX="1294" w:tblpY="252"/>
        <w:tblOverlap w:val="never"/>
        <w:tblW w:w="96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3"/>
        <w:gridCol w:w="4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4" w:hRule="atLeast"/>
        </w:trPr>
        <w:tc>
          <w:tcPr>
            <w:tcW w:w="4683" w:type="dxa"/>
            <w:vAlign w:val="center"/>
          </w:tcPr>
          <w:p>
            <w:pPr>
              <w:jc w:val="center"/>
              <w:rPr>
                <w:rFonts w:hint="eastAsia" w:ascii="楷体" w:hAnsi="楷体" w:eastAsia="楷体"/>
                <w:lang w:eastAsia="zh-CN"/>
              </w:rPr>
            </w:pPr>
            <w:r>
              <w:rPr>
                <w:rFonts w:hint="eastAsia" w:ascii="楷体" w:hAnsi="楷体" w:eastAsia="楷体"/>
                <w:lang w:eastAsia="zh-CN"/>
              </w:rPr>
              <w:drawing>
                <wp:inline distT="0" distB="0" distL="114300" distR="114300">
                  <wp:extent cx="2828290" cy="3427730"/>
                  <wp:effectExtent l="0" t="0" r="10160" b="1270"/>
                  <wp:docPr id="14" name="图片 14" descr="882a1a49f928133078b0e3db75c16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882a1a49f928133078b0e3db75c16f8"/>
                          <pic:cNvPicPr>
                            <a:picLocks noChangeAspect="1"/>
                          </pic:cNvPicPr>
                        </pic:nvPicPr>
                        <pic:blipFill>
                          <a:blip r:embed="rId7"/>
                          <a:stretch>
                            <a:fillRect/>
                          </a:stretch>
                        </pic:blipFill>
                        <pic:spPr>
                          <a:xfrm>
                            <a:off x="0" y="0"/>
                            <a:ext cx="2828290" cy="3427730"/>
                          </a:xfrm>
                          <a:prstGeom prst="rect">
                            <a:avLst/>
                          </a:prstGeom>
                        </pic:spPr>
                      </pic:pic>
                    </a:graphicData>
                  </a:graphic>
                </wp:inline>
              </w:drawing>
            </w:r>
          </w:p>
        </w:tc>
        <w:tc>
          <w:tcPr>
            <w:tcW w:w="4976" w:type="dxa"/>
            <w:vAlign w:val="center"/>
          </w:tcPr>
          <w:p>
            <w:pPr>
              <w:jc w:val="center"/>
              <w:rPr>
                <w:rFonts w:hint="eastAsia" w:ascii="楷体" w:hAnsi="楷体" w:eastAsia="楷体"/>
                <w:b/>
                <w:lang w:eastAsia="zh-CN"/>
              </w:rPr>
            </w:pPr>
            <w:r>
              <w:rPr>
                <w:rFonts w:hint="eastAsia" w:ascii="楷体" w:hAnsi="楷体" w:eastAsia="楷体"/>
                <w:b/>
                <w:lang w:eastAsia="zh-CN"/>
              </w:rPr>
              <w:drawing>
                <wp:inline distT="0" distB="0" distL="114300" distR="114300">
                  <wp:extent cx="2677795" cy="3404235"/>
                  <wp:effectExtent l="0" t="0" r="8255" b="5715"/>
                  <wp:docPr id="10" name="图片 10" descr="f98761c07b3bb88f2642acc0cbe6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f98761c07b3bb88f2642acc0cbe6646"/>
                          <pic:cNvPicPr>
                            <a:picLocks noChangeAspect="1"/>
                          </pic:cNvPicPr>
                        </pic:nvPicPr>
                        <pic:blipFill>
                          <a:blip r:embed="rId8"/>
                          <a:stretch>
                            <a:fillRect/>
                          </a:stretch>
                        </pic:blipFill>
                        <pic:spPr>
                          <a:xfrm>
                            <a:off x="0" y="0"/>
                            <a:ext cx="2677795" cy="340423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4683" w:type="dxa"/>
            <w:tcBorders>
              <w:top w:val="nil"/>
            </w:tcBorders>
            <w:vAlign w:val="center"/>
          </w:tcPr>
          <w:p>
            <w:pPr>
              <w:jc w:val="center"/>
              <w:rPr>
                <w:rFonts w:ascii="楷体" w:hAnsi="楷体" w:eastAsia="楷体"/>
              </w:rPr>
            </w:pPr>
            <w:r>
              <w:rPr>
                <w:rFonts w:hint="eastAsia" w:ascii="楷体" w:hAnsi="楷体" w:eastAsia="楷体"/>
              </w:rPr>
              <w:t>估价对象照片</w:t>
            </w:r>
          </w:p>
        </w:tc>
        <w:tc>
          <w:tcPr>
            <w:tcW w:w="4976" w:type="dxa"/>
            <w:tcBorders>
              <w:top w:val="nil"/>
            </w:tcBorders>
            <w:vAlign w:val="center"/>
          </w:tcPr>
          <w:p>
            <w:pPr>
              <w:jc w:val="center"/>
              <w:rPr>
                <w:rFonts w:ascii="楷体" w:hAnsi="楷体" w:eastAsia="楷体"/>
              </w:rPr>
            </w:pPr>
            <w:r>
              <w:rPr>
                <w:rFonts w:hint="eastAsia" w:ascii="楷体" w:hAnsi="楷体" w:eastAsia="楷体"/>
              </w:rPr>
              <w:t>估价对象照片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2" w:hRule="atLeast"/>
        </w:trPr>
        <w:tc>
          <w:tcPr>
            <w:tcW w:w="4683" w:type="dxa"/>
            <w:tcBorders>
              <w:top w:val="nil"/>
            </w:tcBorders>
            <w:vAlign w:val="center"/>
          </w:tcPr>
          <w:p>
            <w:pPr>
              <w:jc w:val="center"/>
              <w:rPr>
                <w:rFonts w:hint="eastAsia" w:ascii="楷体" w:hAnsi="楷体" w:eastAsia="楷体"/>
                <w:lang w:eastAsia="zh-CN"/>
              </w:rPr>
            </w:pPr>
            <w:r>
              <w:rPr>
                <w:rFonts w:hint="eastAsia" w:ascii="楷体" w:hAnsi="楷体" w:eastAsia="楷体"/>
                <w:lang w:eastAsia="zh-CN"/>
              </w:rPr>
              <w:drawing>
                <wp:inline distT="0" distB="0" distL="114300" distR="114300">
                  <wp:extent cx="1617980" cy="2994660"/>
                  <wp:effectExtent l="0" t="0" r="1270" b="15240"/>
                  <wp:docPr id="5" name="图片 5" descr="e87464c04d70ded07440182ab575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e87464c04d70ded07440182ab575801"/>
                          <pic:cNvPicPr>
                            <a:picLocks noChangeAspect="1"/>
                          </pic:cNvPicPr>
                        </pic:nvPicPr>
                        <pic:blipFill>
                          <a:blip r:embed="rId9"/>
                          <a:stretch>
                            <a:fillRect/>
                          </a:stretch>
                        </pic:blipFill>
                        <pic:spPr>
                          <a:xfrm>
                            <a:off x="0" y="0"/>
                            <a:ext cx="1617980" cy="2994660"/>
                          </a:xfrm>
                          <a:prstGeom prst="rect">
                            <a:avLst/>
                          </a:prstGeom>
                        </pic:spPr>
                      </pic:pic>
                    </a:graphicData>
                  </a:graphic>
                </wp:inline>
              </w:drawing>
            </w:r>
          </w:p>
        </w:tc>
        <w:tc>
          <w:tcPr>
            <w:tcW w:w="4976" w:type="dxa"/>
            <w:tcBorders>
              <w:top w:val="nil"/>
            </w:tcBorders>
            <w:vAlign w:val="center"/>
          </w:tcPr>
          <w:p>
            <w:pPr>
              <w:jc w:val="center"/>
              <w:rPr>
                <w:rFonts w:hint="eastAsia" w:ascii="楷体" w:hAnsi="楷体" w:eastAsia="楷体"/>
                <w:b/>
                <w:lang w:eastAsia="zh-CN"/>
              </w:rPr>
            </w:pPr>
            <w:r>
              <w:rPr>
                <w:rFonts w:hint="eastAsia" w:ascii="楷体" w:hAnsi="楷体" w:eastAsia="楷体"/>
                <w:b/>
                <w:lang w:val="en-US" w:eastAsia="zh-CN"/>
              </w:rPr>
              <w:t>x</w:t>
            </w:r>
            <w:r>
              <w:rPr>
                <w:rFonts w:hint="eastAsia" w:ascii="楷体" w:hAnsi="楷体" w:eastAsia="楷体"/>
                <w:b/>
                <w:lang w:eastAsia="zh-CN"/>
              </w:rPr>
              <w:drawing>
                <wp:inline distT="0" distB="0" distL="114300" distR="114300">
                  <wp:extent cx="1572895" cy="2957195"/>
                  <wp:effectExtent l="0" t="0" r="8255" b="14605"/>
                  <wp:docPr id="6" name="图片 6" descr="16ff344e1f1c01e0f9e70163d96d6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6ff344e1f1c01e0f9e70163d96d64f"/>
                          <pic:cNvPicPr>
                            <a:picLocks noChangeAspect="1"/>
                          </pic:cNvPicPr>
                        </pic:nvPicPr>
                        <pic:blipFill>
                          <a:blip r:embed="rId10"/>
                          <a:stretch>
                            <a:fillRect/>
                          </a:stretch>
                        </pic:blipFill>
                        <pic:spPr>
                          <a:xfrm>
                            <a:off x="0" y="0"/>
                            <a:ext cx="1572895" cy="295719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4683" w:type="dxa"/>
            <w:tcBorders>
              <w:top w:val="single" w:color="auto" w:sz="4" w:space="0"/>
            </w:tcBorders>
            <w:vAlign w:val="center"/>
          </w:tcPr>
          <w:p>
            <w:pPr>
              <w:jc w:val="center"/>
              <w:rPr>
                <w:rFonts w:ascii="楷体" w:hAnsi="楷体" w:eastAsia="楷体"/>
              </w:rPr>
            </w:pPr>
            <w:r>
              <w:rPr>
                <w:rFonts w:hint="eastAsia" w:ascii="楷体" w:hAnsi="楷体" w:eastAsia="楷体"/>
              </w:rPr>
              <w:t>估价对象照片</w:t>
            </w:r>
          </w:p>
        </w:tc>
        <w:tc>
          <w:tcPr>
            <w:tcW w:w="4976" w:type="dxa"/>
            <w:tcBorders>
              <w:top w:val="single" w:color="auto" w:sz="4" w:space="0"/>
            </w:tcBorders>
            <w:vAlign w:val="center"/>
          </w:tcPr>
          <w:p>
            <w:pPr>
              <w:jc w:val="center"/>
              <w:rPr>
                <w:rFonts w:ascii="楷体" w:hAnsi="楷体" w:eastAsia="楷体"/>
              </w:rPr>
            </w:pPr>
            <w:r>
              <w:rPr>
                <w:rFonts w:hint="eastAsia" w:ascii="楷体" w:hAnsi="楷体" w:eastAsia="楷体"/>
              </w:rPr>
              <w:t>估价对象照片</w:t>
            </w:r>
          </w:p>
        </w:tc>
      </w:tr>
    </w:tbl>
    <w:p>
      <w:pPr>
        <w:spacing w:line="680" w:lineRule="exact"/>
        <w:ind w:firstLine="560" w:firstLineChars="200"/>
        <w:rPr>
          <w:rFonts w:ascii="楷体" w:hAnsi="楷体" w:eastAsia="楷体" w:cs="楷体"/>
          <w:sz w:val="28"/>
          <w:szCs w:val="28"/>
        </w:rPr>
      </w:pPr>
    </w:p>
    <w:tbl>
      <w:tblPr>
        <w:tblStyle w:val="23"/>
        <w:tblpPr w:leftFromText="180" w:rightFromText="180" w:vertAnchor="text" w:horzAnchor="page" w:tblpX="1294" w:tblpY="252"/>
        <w:tblOverlap w:val="never"/>
        <w:tblW w:w="96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3"/>
        <w:gridCol w:w="4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4" w:hRule="atLeast"/>
        </w:trPr>
        <w:tc>
          <w:tcPr>
            <w:tcW w:w="4683" w:type="dxa"/>
            <w:vAlign w:val="center"/>
          </w:tcPr>
          <w:p>
            <w:pPr>
              <w:jc w:val="center"/>
              <w:rPr>
                <w:rFonts w:hint="eastAsia" w:ascii="楷体" w:hAnsi="楷体" w:eastAsia="楷体"/>
                <w:lang w:eastAsia="zh-CN"/>
              </w:rPr>
            </w:pPr>
            <w:r>
              <w:rPr>
                <w:rFonts w:hint="eastAsia" w:ascii="楷体" w:hAnsi="楷体" w:eastAsia="楷体"/>
                <w:lang w:eastAsia="zh-CN"/>
              </w:rPr>
              <w:drawing>
                <wp:inline distT="0" distB="0" distL="114300" distR="114300">
                  <wp:extent cx="2038985" cy="2922905"/>
                  <wp:effectExtent l="0" t="0" r="18415" b="10795"/>
                  <wp:docPr id="17" name="图片 17" descr="36db639f4b6c8b0c7ca3ce30622e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36db639f4b6c8b0c7ca3ce30622e370"/>
                          <pic:cNvPicPr>
                            <a:picLocks noChangeAspect="1"/>
                          </pic:cNvPicPr>
                        </pic:nvPicPr>
                        <pic:blipFill>
                          <a:blip r:embed="rId11"/>
                          <a:stretch>
                            <a:fillRect/>
                          </a:stretch>
                        </pic:blipFill>
                        <pic:spPr>
                          <a:xfrm>
                            <a:off x="0" y="0"/>
                            <a:ext cx="2038985" cy="2922905"/>
                          </a:xfrm>
                          <a:prstGeom prst="rect">
                            <a:avLst/>
                          </a:prstGeom>
                        </pic:spPr>
                      </pic:pic>
                    </a:graphicData>
                  </a:graphic>
                </wp:inline>
              </w:drawing>
            </w:r>
          </w:p>
        </w:tc>
        <w:tc>
          <w:tcPr>
            <w:tcW w:w="4976" w:type="dxa"/>
            <w:vAlign w:val="center"/>
          </w:tcPr>
          <w:p>
            <w:pPr>
              <w:jc w:val="center"/>
              <w:rPr>
                <w:rFonts w:hint="eastAsia" w:ascii="楷体" w:hAnsi="楷体" w:eastAsia="楷体"/>
                <w:b/>
                <w:lang w:eastAsia="zh-CN"/>
              </w:rPr>
            </w:pPr>
            <w:r>
              <w:rPr>
                <w:rFonts w:hint="eastAsia" w:ascii="楷体" w:hAnsi="楷体" w:eastAsia="楷体"/>
                <w:b/>
                <w:lang w:eastAsia="zh-CN"/>
              </w:rPr>
              <w:drawing>
                <wp:inline distT="0" distB="0" distL="114300" distR="114300">
                  <wp:extent cx="1592580" cy="3177540"/>
                  <wp:effectExtent l="0" t="0" r="7620" b="3810"/>
                  <wp:docPr id="8" name="图片 8" descr="506ebcdd86020a9c1723f758d563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506ebcdd86020a9c1723f758d563381"/>
                          <pic:cNvPicPr>
                            <a:picLocks noChangeAspect="1"/>
                          </pic:cNvPicPr>
                        </pic:nvPicPr>
                        <pic:blipFill>
                          <a:blip r:embed="rId12"/>
                          <a:stretch>
                            <a:fillRect/>
                          </a:stretch>
                        </pic:blipFill>
                        <pic:spPr>
                          <a:xfrm>
                            <a:off x="0" y="0"/>
                            <a:ext cx="1592580" cy="317754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4683" w:type="dxa"/>
            <w:tcBorders>
              <w:top w:val="nil"/>
            </w:tcBorders>
            <w:vAlign w:val="center"/>
          </w:tcPr>
          <w:p>
            <w:pPr>
              <w:jc w:val="center"/>
              <w:rPr>
                <w:rFonts w:ascii="楷体" w:hAnsi="楷体" w:eastAsia="楷体"/>
              </w:rPr>
            </w:pPr>
            <w:r>
              <w:rPr>
                <w:rFonts w:hint="eastAsia" w:ascii="楷体" w:hAnsi="楷体" w:eastAsia="楷体"/>
              </w:rPr>
              <w:t>估价对象照片</w:t>
            </w:r>
          </w:p>
        </w:tc>
        <w:tc>
          <w:tcPr>
            <w:tcW w:w="4976" w:type="dxa"/>
            <w:tcBorders>
              <w:top w:val="nil"/>
            </w:tcBorders>
            <w:vAlign w:val="center"/>
          </w:tcPr>
          <w:p>
            <w:pPr>
              <w:jc w:val="center"/>
              <w:rPr>
                <w:rFonts w:ascii="楷体" w:hAnsi="楷体" w:eastAsia="楷体"/>
              </w:rPr>
            </w:pPr>
            <w:r>
              <w:rPr>
                <w:rFonts w:hint="eastAsia" w:ascii="楷体" w:hAnsi="楷体" w:eastAsia="楷体"/>
              </w:rPr>
              <w:t>估价对象照片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2" w:hRule="atLeast"/>
        </w:trPr>
        <w:tc>
          <w:tcPr>
            <w:tcW w:w="4683" w:type="dxa"/>
            <w:tcBorders>
              <w:top w:val="nil"/>
            </w:tcBorders>
            <w:vAlign w:val="center"/>
          </w:tcPr>
          <w:p>
            <w:pPr>
              <w:jc w:val="center"/>
              <w:rPr>
                <w:rFonts w:hint="eastAsia" w:ascii="楷体" w:hAnsi="楷体" w:eastAsia="楷体"/>
                <w:lang w:eastAsia="zh-CN"/>
              </w:rPr>
            </w:pPr>
            <w:r>
              <w:rPr>
                <w:rFonts w:hint="eastAsia" w:ascii="楷体" w:hAnsi="楷体" w:eastAsia="楷体"/>
                <w:lang w:eastAsia="zh-CN"/>
              </w:rPr>
              <w:drawing>
                <wp:inline distT="0" distB="0" distL="114300" distR="114300">
                  <wp:extent cx="1438275" cy="2835910"/>
                  <wp:effectExtent l="0" t="0" r="9525" b="2540"/>
                  <wp:docPr id="9" name="图片 9" descr="37b6fcdabc6d31b7a807f43e7ccba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7b6fcdabc6d31b7a807f43e7ccbadc"/>
                          <pic:cNvPicPr>
                            <a:picLocks noChangeAspect="1"/>
                          </pic:cNvPicPr>
                        </pic:nvPicPr>
                        <pic:blipFill>
                          <a:blip r:embed="rId13"/>
                          <a:stretch>
                            <a:fillRect/>
                          </a:stretch>
                        </pic:blipFill>
                        <pic:spPr>
                          <a:xfrm>
                            <a:off x="0" y="0"/>
                            <a:ext cx="1438275" cy="2835910"/>
                          </a:xfrm>
                          <a:prstGeom prst="rect">
                            <a:avLst/>
                          </a:prstGeom>
                        </pic:spPr>
                      </pic:pic>
                    </a:graphicData>
                  </a:graphic>
                </wp:inline>
              </w:drawing>
            </w:r>
          </w:p>
        </w:tc>
        <w:tc>
          <w:tcPr>
            <w:tcW w:w="4976" w:type="dxa"/>
            <w:tcBorders>
              <w:top w:val="nil"/>
            </w:tcBorders>
            <w:vAlign w:val="center"/>
          </w:tcPr>
          <w:p>
            <w:pPr>
              <w:jc w:val="center"/>
              <w:rPr>
                <w:rFonts w:hint="eastAsia" w:ascii="楷体" w:hAnsi="楷体" w:eastAsia="楷体"/>
                <w:b/>
                <w:lang w:eastAsia="zh-CN"/>
              </w:rPr>
            </w:pPr>
            <w:r>
              <w:rPr>
                <w:rFonts w:hint="eastAsia" w:ascii="楷体" w:hAnsi="楷体" w:eastAsia="楷体"/>
                <w:b/>
                <w:lang w:eastAsia="zh-CN"/>
              </w:rPr>
              <w:drawing>
                <wp:inline distT="0" distB="0" distL="114300" distR="114300">
                  <wp:extent cx="1687195" cy="3023235"/>
                  <wp:effectExtent l="0" t="0" r="8255" b="5715"/>
                  <wp:docPr id="11" name="图片 11" descr="f0c8479088c4265463fb54b34cdc2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f0c8479088c4265463fb54b34cdc2c6"/>
                          <pic:cNvPicPr>
                            <a:picLocks noChangeAspect="1"/>
                          </pic:cNvPicPr>
                        </pic:nvPicPr>
                        <pic:blipFill>
                          <a:blip r:embed="rId14"/>
                          <a:stretch>
                            <a:fillRect/>
                          </a:stretch>
                        </pic:blipFill>
                        <pic:spPr>
                          <a:xfrm>
                            <a:off x="0" y="0"/>
                            <a:ext cx="1687195" cy="302323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4683" w:type="dxa"/>
            <w:tcBorders>
              <w:top w:val="single" w:color="auto" w:sz="4" w:space="0"/>
            </w:tcBorders>
            <w:vAlign w:val="center"/>
          </w:tcPr>
          <w:p>
            <w:pPr>
              <w:jc w:val="center"/>
              <w:rPr>
                <w:rFonts w:ascii="楷体" w:hAnsi="楷体" w:eastAsia="楷体"/>
              </w:rPr>
            </w:pPr>
            <w:r>
              <w:rPr>
                <w:rFonts w:hint="eastAsia" w:ascii="楷体" w:hAnsi="楷体" w:eastAsia="楷体"/>
              </w:rPr>
              <w:t>估价对象照片</w:t>
            </w:r>
          </w:p>
        </w:tc>
        <w:tc>
          <w:tcPr>
            <w:tcW w:w="4976" w:type="dxa"/>
            <w:tcBorders>
              <w:top w:val="single" w:color="auto" w:sz="4" w:space="0"/>
            </w:tcBorders>
            <w:vAlign w:val="center"/>
          </w:tcPr>
          <w:p>
            <w:pPr>
              <w:jc w:val="center"/>
              <w:rPr>
                <w:rFonts w:ascii="楷体" w:hAnsi="楷体" w:eastAsia="楷体"/>
              </w:rPr>
            </w:pPr>
            <w:r>
              <w:rPr>
                <w:rFonts w:hint="eastAsia" w:ascii="楷体" w:hAnsi="楷体" w:eastAsia="楷体"/>
              </w:rPr>
              <w:t>估价对象照片</w:t>
            </w:r>
          </w:p>
        </w:tc>
      </w:tr>
    </w:tbl>
    <w:p>
      <w:pPr>
        <w:spacing w:line="680" w:lineRule="exact"/>
        <w:ind w:firstLine="560" w:firstLineChars="200"/>
        <w:rPr>
          <w:rFonts w:ascii="楷体" w:hAnsi="楷体" w:eastAsia="楷体" w:cs="楷体"/>
          <w:sz w:val="28"/>
          <w:szCs w:val="28"/>
        </w:rPr>
      </w:pPr>
    </w:p>
    <w:tbl>
      <w:tblPr>
        <w:tblStyle w:val="23"/>
        <w:tblpPr w:leftFromText="180" w:rightFromText="180" w:vertAnchor="text" w:horzAnchor="page" w:tblpX="1294" w:tblpY="252"/>
        <w:tblOverlap w:val="never"/>
        <w:tblW w:w="96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3"/>
        <w:gridCol w:w="4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4" w:hRule="atLeast"/>
        </w:trPr>
        <w:tc>
          <w:tcPr>
            <w:tcW w:w="4683" w:type="dxa"/>
            <w:vAlign w:val="center"/>
          </w:tcPr>
          <w:p>
            <w:pPr>
              <w:jc w:val="center"/>
              <w:rPr>
                <w:rFonts w:hint="eastAsia" w:ascii="楷体" w:hAnsi="楷体" w:eastAsia="楷体"/>
                <w:lang w:eastAsia="zh-CN"/>
              </w:rPr>
            </w:pPr>
            <w:r>
              <w:rPr>
                <w:rFonts w:hint="eastAsia" w:ascii="楷体" w:hAnsi="楷体" w:eastAsia="楷体"/>
                <w:lang w:eastAsia="zh-CN"/>
              </w:rPr>
              <w:drawing>
                <wp:inline distT="0" distB="0" distL="114300" distR="114300">
                  <wp:extent cx="1704340" cy="3169920"/>
                  <wp:effectExtent l="0" t="0" r="10160" b="11430"/>
                  <wp:docPr id="12" name="图片 12" descr="36db639f4b6c8b0c7ca3ce30622e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36db639f4b6c8b0c7ca3ce30622e370"/>
                          <pic:cNvPicPr>
                            <a:picLocks noChangeAspect="1"/>
                          </pic:cNvPicPr>
                        </pic:nvPicPr>
                        <pic:blipFill>
                          <a:blip r:embed="rId15"/>
                          <a:stretch>
                            <a:fillRect/>
                          </a:stretch>
                        </pic:blipFill>
                        <pic:spPr>
                          <a:xfrm>
                            <a:off x="0" y="0"/>
                            <a:ext cx="1704340" cy="3169920"/>
                          </a:xfrm>
                          <a:prstGeom prst="rect">
                            <a:avLst/>
                          </a:prstGeom>
                        </pic:spPr>
                      </pic:pic>
                    </a:graphicData>
                  </a:graphic>
                </wp:inline>
              </w:drawing>
            </w:r>
          </w:p>
        </w:tc>
        <w:tc>
          <w:tcPr>
            <w:tcW w:w="4976" w:type="dxa"/>
            <w:vAlign w:val="center"/>
          </w:tcPr>
          <w:p>
            <w:pPr>
              <w:jc w:val="center"/>
              <w:rPr>
                <w:rFonts w:hint="eastAsia" w:ascii="楷体" w:hAnsi="楷体" w:eastAsia="楷体"/>
                <w:b/>
                <w:lang w:eastAsia="zh-CN"/>
              </w:rPr>
            </w:pPr>
            <w:r>
              <w:rPr>
                <w:rFonts w:hint="eastAsia" w:ascii="楷体" w:hAnsi="楷体" w:eastAsia="楷体"/>
                <w:b/>
                <w:lang w:eastAsia="zh-CN"/>
              </w:rPr>
              <w:drawing>
                <wp:inline distT="0" distB="0" distL="114300" distR="114300">
                  <wp:extent cx="1621155" cy="3242310"/>
                  <wp:effectExtent l="0" t="0" r="17145" b="15240"/>
                  <wp:docPr id="16" name="图片 16" descr="2b0b571116894bb9279a91da9637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2b0b571116894bb9279a91da96379a0"/>
                          <pic:cNvPicPr>
                            <a:picLocks noChangeAspect="1"/>
                          </pic:cNvPicPr>
                        </pic:nvPicPr>
                        <pic:blipFill>
                          <a:blip r:embed="rId16"/>
                          <a:stretch>
                            <a:fillRect/>
                          </a:stretch>
                        </pic:blipFill>
                        <pic:spPr>
                          <a:xfrm>
                            <a:off x="0" y="0"/>
                            <a:ext cx="1621155" cy="324231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4683" w:type="dxa"/>
            <w:tcBorders>
              <w:top w:val="nil"/>
            </w:tcBorders>
            <w:vAlign w:val="center"/>
          </w:tcPr>
          <w:p>
            <w:pPr>
              <w:jc w:val="center"/>
              <w:rPr>
                <w:rFonts w:ascii="楷体" w:hAnsi="楷体" w:eastAsia="楷体"/>
              </w:rPr>
            </w:pPr>
            <w:r>
              <w:rPr>
                <w:rFonts w:hint="eastAsia" w:ascii="楷体" w:hAnsi="楷体" w:eastAsia="楷体"/>
              </w:rPr>
              <w:t>估价对象照片</w:t>
            </w:r>
          </w:p>
        </w:tc>
        <w:tc>
          <w:tcPr>
            <w:tcW w:w="4976" w:type="dxa"/>
            <w:tcBorders>
              <w:top w:val="nil"/>
            </w:tcBorders>
            <w:vAlign w:val="center"/>
          </w:tcPr>
          <w:p>
            <w:pPr>
              <w:jc w:val="center"/>
              <w:rPr>
                <w:rFonts w:ascii="楷体" w:hAnsi="楷体" w:eastAsia="楷体"/>
              </w:rPr>
            </w:pPr>
            <w:r>
              <w:rPr>
                <w:rFonts w:hint="eastAsia" w:ascii="楷体" w:hAnsi="楷体" w:eastAsia="楷体"/>
              </w:rPr>
              <w:t>估价对象照片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2" w:hRule="atLeast"/>
        </w:trPr>
        <w:tc>
          <w:tcPr>
            <w:tcW w:w="4683" w:type="dxa"/>
            <w:tcBorders>
              <w:top w:val="nil"/>
            </w:tcBorders>
            <w:vAlign w:val="center"/>
          </w:tcPr>
          <w:p>
            <w:pPr>
              <w:jc w:val="center"/>
              <w:rPr>
                <w:rFonts w:hint="eastAsia" w:ascii="楷体" w:hAnsi="楷体" w:eastAsia="楷体"/>
                <w:lang w:eastAsia="zh-CN"/>
              </w:rPr>
            </w:pPr>
            <w:r>
              <w:rPr>
                <w:rFonts w:hint="eastAsia" w:ascii="楷体" w:hAnsi="楷体" w:eastAsia="楷体"/>
                <w:lang w:eastAsia="zh-CN"/>
              </w:rPr>
              <w:drawing>
                <wp:inline distT="0" distB="0" distL="114300" distR="114300">
                  <wp:extent cx="1686560" cy="3303270"/>
                  <wp:effectExtent l="0" t="0" r="8890" b="11430"/>
                  <wp:docPr id="19" name="图片 19" descr="66283317c0580ce1364dd8595eeb1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66283317c0580ce1364dd8595eeb1e2"/>
                          <pic:cNvPicPr>
                            <a:picLocks noChangeAspect="1"/>
                          </pic:cNvPicPr>
                        </pic:nvPicPr>
                        <pic:blipFill>
                          <a:blip r:embed="rId17"/>
                          <a:stretch>
                            <a:fillRect/>
                          </a:stretch>
                        </pic:blipFill>
                        <pic:spPr>
                          <a:xfrm>
                            <a:off x="0" y="0"/>
                            <a:ext cx="1686560" cy="3303270"/>
                          </a:xfrm>
                          <a:prstGeom prst="rect">
                            <a:avLst/>
                          </a:prstGeom>
                        </pic:spPr>
                      </pic:pic>
                    </a:graphicData>
                  </a:graphic>
                </wp:inline>
              </w:drawing>
            </w:r>
          </w:p>
        </w:tc>
        <w:tc>
          <w:tcPr>
            <w:tcW w:w="4976" w:type="dxa"/>
            <w:tcBorders>
              <w:top w:val="nil"/>
            </w:tcBorders>
            <w:vAlign w:val="center"/>
          </w:tcPr>
          <w:p>
            <w:pPr>
              <w:jc w:val="center"/>
              <w:rPr>
                <w:rFonts w:hint="eastAsia" w:ascii="楷体" w:hAnsi="楷体" w:eastAsia="楷体"/>
                <w:b/>
                <w:lang w:eastAsia="zh-CN"/>
              </w:rPr>
            </w:pPr>
            <w:r>
              <w:rPr>
                <w:rFonts w:hint="eastAsia" w:ascii="楷体" w:hAnsi="楷体" w:eastAsia="楷体"/>
                <w:b/>
                <w:lang w:eastAsia="zh-CN"/>
              </w:rPr>
              <w:drawing>
                <wp:inline distT="0" distB="0" distL="114300" distR="114300">
                  <wp:extent cx="1887220" cy="3168015"/>
                  <wp:effectExtent l="0" t="0" r="17780" b="13335"/>
                  <wp:docPr id="22" name="图片 22" descr="73ab2372787a2e054ec400f75d62b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73ab2372787a2e054ec400f75d62b4e"/>
                          <pic:cNvPicPr>
                            <a:picLocks noChangeAspect="1"/>
                          </pic:cNvPicPr>
                        </pic:nvPicPr>
                        <pic:blipFill>
                          <a:blip r:embed="rId18"/>
                          <a:stretch>
                            <a:fillRect/>
                          </a:stretch>
                        </pic:blipFill>
                        <pic:spPr>
                          <a:xfrm>
                            <a:off x="0" y="0"/>
                            <a:ext cx="1887220" cy="316801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4683" w:type="dxa"/>
            <w:tcBorders>
              <w:top w:val="single" w:color="auto" w:sz="4" w:space="0"/>
            </w:tcBorders>
            <w:vAlign w:val="center"/>
          </w:tcPr>
          <w:p>
            <w:pPr>
              <w:jc w:val="center"/>
              <w:rPr>
                <w:rFonts w:ascii="楷体" w:hAnsi="楷体" w:eastAsia="楷体"/>
              </w:rPr>
            </w:pPr>
            <w:r>
              <w:rPr>
                <w:rFonts w:hint="eastAsia" w:ascii="楷体" w:hAnsi="楷体" w:eastAsia="楷体"/>
              </w:rPr>
              <w:t>估价对象照片</w:t>
            </w:r>
          </w:p>
        </w:tc>
        <w:tc>
          <w:tcPr>
            <w:tcW w:w="4976" w:type="dxa"/>
            <w:tcBorders>
              <w:top w:val="single" w:color="auto" w:sz="4" w:space="0"/>
            </w:tcBorders>
            <w:vAlign w:val="center"/>
          </w:tcPr>
          <w:p>
            <w:pPr>
              <w:jc w:val="center"/>
              <w:rPr>
                <w:rFonts w:ascii="楷体" w:hAnsi="楷体" w:eastAsia="楷体"/>
              </w:rPr>
            </w:pPr>
            <w:r>
              <w:rPr>
                <w:rFonts w:hint="eastAsia" w:ascii="楷体" w:hAnsi="楷体" w:eastAsia="楷体"/>
              </w:rPr>
              <w:t>估价对象照片</w:t>
            </w:r>
          </w:p>
        </w:tc>
      </w:tr>
    </w:tbl>
    <w:p>
      <w:pPr>
        <w:spacing w:line="680" w:lineRule="exact"/>
        <w:ind w:firstLine="560" w:firstLineChars="200"/>
        <w:rPr>
          <w:rFonts w:ascii="楷体" w:hAnsi="楷体" w:eastAsia="楷体" w:cs="楷体"/>
          <w:sz w:val="28"/>
          <w:szCs w:val="28"/>
        </w:rPr>
      </w:pPr>
    </w:p>
    <w:p>
      <w:pPr>
        <w:jc w:val="center"/>
        <w:rPr>
          <w:rFonts w:ascii="仿宋" w:hAnsi="仿宋" w:eastAsia="仿宋" w:cs="仿宋"/>
          <w:b/>
          <w:bCs/>
          <w:color w:val="000000"/>
          <w:kern w:val="0"/>
          <w:sz w:val="28"/>
          <w:szCs w:val="28"/>
        </w:rPr>
      </w:pPr>
    </w:p>
    <w:p>
      <w:pPr>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价对象位置图</w:t>
      </w:r>
    </w:p>
    <w:p>
      <w:pPr>
        <w:jc w:val="center"/>
        <w:rPr>
          <w:rFonts w:ascii="仿宋" w:hAnsi="仿宋" w:eastAsia="仿宋" w:cs="仿宋"/>
          <w:b/>
          <w:bCs/>
          <w:color w:val="000000"/>
          <w:kern w:val="0"/>
          <w:sz w:val="28"/>
          <w:szCs w:val="28"/>
        </w:rPr>
      </w:pPr>
    </w:p>
    <w:p>
      <w:pPr>
        <w:jc w:val="center"/>
        <w:rPr>
          <w:rFonts w:ascii="仿宋" w:hAnsi="仿宋" w:eastAsia="仿宋" w:cs="仿宋"/>
          <w:b/>
          <w:bCs/>
          <w:color w:val="000000"/>
          <w:kern w:val="0"/>
          <w:sz w:val="28"/>
          <w:szCs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rFonts w:hint="eastAsia" w:ascii="仿宋_GB2312" w:eastAsia="仿宋_GB2312"/>
          <w:sz w:val="28"/>
          <w:szCs w:val="28"/>
          <w:lang w:eastAsia="zh-CN"/>
        </w:rPr>
      </w:pPr>
      <w:r>
        <mc:AlternateContent>
          <mc:Choice Requires="wps">
            <w:drawing>
              <wp:anchor distT="0" distB="0" distL="114300" distR="114300" simplePos="0" relativeHeight="251662336" behindDoc="0" locked="0" layoutInCell="1" allowOverlap="1">
                <wp:simplePos x="0" y="0"/>
                <wp:positionH relativeFrom="column">
                  <wp:posOffset>3128010</wp:posOffset>
                </wp:positionH>
                <wp:positionV relativeFrom="paragraph">
                  <wp:posOffset>2659380</wp:posOffset>
                </wp:positionV>
                <wp:extent cx="671195" cy="1786890"/>
                <wp:effectExtent l="17145" t="0" r="16510" b="3810"/>
                <wp:wrapNone/>
                <wp:docPr id="1" name="直线 35"/>
                <wp:cNvGraphicFramePr/>
                <a:graphic xmlns:a="http://schemas.openxmlformats.org/drawingml/2006/main">
                  <a:graphicData uri="http://schemas.microsoft.com/office/word/2010/wordprocessingShape">
                    <wps:wsp>
                      <wps:cNvCnPr/>
                      <wps:spPr>
                        <a:xfrm flipH="1" flipV="1">
                          <a:off x="0" y="0"/>
                          <a:ext cx="671195" cy="1786890"/>
                        </a:xfrm>
                        <a:prstGeom prst="line">
                          <a:avLst/>
                        </a:prstGeom>
                        <a:ln w="15875" cap="flat" cmpd="sng">
                          <a:solidFill>
                            <a:srgbClr val="000000"/>
                          </a:solidFill>
                          <a:prstDash val="solid"/>
                          <a:headEnd type="none" w="med" len="med"/>
                          <a:tailEnd type="arrow" w="med" len="med"/>
                        </a:ln>
                      </wps:spPr>
                      <wps:bodyPr upright="1"/>
                    </wps:wsp>
                  </a:graphicData>
                </a:graphic>
              </wp:anchor>
            </w:drawing>
          </mc:Choice>
          <mc:Fallback>
            <w:pict>
              <v:line id="直线 35" o:spid="_x0000_s1026" o:spt="20" style="position:absolute;left:0pt;flip:x y;margin-left:246.3pt;margin-top:209.4pt;height:140.7pt;width:52.85pt;z-index:251662336;mso-width-relative:page;mso-height-relative:page;" filled="f" stroked="t" coordsize="21600,21600" o:gfxdata="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sIc9CtkAAAALAQAADwAAAAAAAAABACAAAAAiAAAAZHJzL2Rv&#10;d25yZXYueG1sUEsBAhQAFAAAAAgAh07iQNttBsgAAgAA9wMAAA4AAAAAAAAAAQAgAAAAKAEAAGRy&#10;cy9lMm9Eb2MueG1sUEsFBgAAAAAGAAYAWQEAAJoFAAAAAA==&#10;">
                <v:fill on="f" focussize="0,0"/>
                <v:stroke weight="1.25pt" color="#000000" joinstyle="round" endarrow="open"/>
                <v:imagedata o:title=""/>
                <o:lock v:ext="edit" aspectratio="f"/>
              </v:line>
            </w:pict>
          </mc:Fallback>
        </mc:AlternateContent>
      </w:r>
      <w:r>
        <w:rPr>
          <w:rFonts w:hint="eastAsia" w:ascii="仿宋_GB2312" w:eastAsia="仿宋_GB2312"/>
          <w:sz w:val="28"/>
          <w:szCs w:val="28"/>
          <w:lang w:eastAsia="zh-CN"/>
        </w:rPr>
        <w:drawing>
          <wp:inline distT="0" distB="0" distL="114300" distR="114300">
            <wp:extent cx="3676015" cy="5509260"/>
            <wp:effectExtent l="0" t="0" r="635" b="15240"/>
            <wp:docPr id="25" name="图片 25" descr="ae50d07a229990bc18aafdfc866b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ae50d07a229990bc18aafdfc866b187"/>
                    <pic:cNvPicPr>
                      <a:picLocks noChangeAspect="1"/>
                    </pic:cNvPicPr>
                  </pic:nvPicPr>
                  <pic:blipFill>
                    <a:blip r:embed="rId19"/>
                    <a:stretch>
                      <a:fillRect/>
                    </a:stretch>
                  </pic:blipFill>
                  <pic:spPr>
                    <a:xfrm>
                      <a:off x="0" y="0"/>
                      <a:ext cx="3676015" cy="5509260"/>
                    </a:xfrm>
                    <a:prstGeom prst="rect">
                      <a:avLst/>
                    </a:prstGeom>
                  </pic:spPr>
                </pic:pic>
              </a:graphicData>
            </a:graphic>
          </wp:inline>
        </w:drawing>
      </w:r>
    </w:p>
    <w:sectPr>
      <w:footerReference r:id="rId5" w:type="default"/>
      <w:endnotePr>
        <w:numFmt w:val="decimal"/>
      </w:endnotePr>
      <w:pgSz w:w="11906" w:h="16838"/>
      <w:pgMar w:top="1440" w:right="1080" w:bottom="1440" w:left="1080" w:header="851" w:footer="992" w:gutter="0"/>
      <w:pgNumType w:start="1" w:chapStyle="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Arial Narrow">
    <w:panose1 w:val="020B0606020202030204"/>
    <w:charset w:val="00"/>
    <w:family w:val="swiss"/>
    <w:pitch w:val="default"/>
    <w:sig w:usb0="00000287" w:usb1="00000800" w:usb2="00000000" w:usb3="00000000" w:csb0="2000009F" w:csb1="DFD70000"/>
  </w:font>
  <w:font w:name="华文细黑">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457835" cy="147955"/>
              <wp:effectExtent l="0" t="0" r="0" b="0"/>
              <wp:wrapNone/>
              <wp:docPr id="20" name="文本框 7"/>
              <wp:cNvGraphicFramePr/>
              <a:graphic xmlns:a="http://schemas.openxmlformats.org/drawingml/2006/main">
                <a:graphicData uri="http://schemas.microsoft.com/office/word/2010/wordprocessingShape">
                  <wps:wsp>
                    <wps:cNvSpPr txBox="1"/>
                    <wps:spPr>
                      <a:xfrm>
                        <a:off x="0" y="0"/>
                        <a:ext cx="457835" cy="147955"/>
                      </a:xfrm>
                      <a:prstGeom prst="rect">
                        <a:avLst/>
                      </a:prstGeom>
                      <a:noFill/>
                      <a:ln w="15875">
                        <a:noFill/>
                      </a:ln>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11</w:t>
                          </w:r>
                          <w:r>
                            <w:rPr>
                              <w:rFonts w:hint="eastAsia"/>
                              <w:sz w:val="18"/>
                            </w:rPr>
                            <w:fldChar w:fldCharType="end"/>
                          </w:r>
                          <w:r>
                            <w:rPr>
                              <w:rFonts w:hint="eastAsia"/>
                              <w:sz w:val="18"/>
                            </w:rPr>
                            <w:t xml:space="preserve"> 页</w:t>
                          </w:r>
                        </w:p>
                      </w:txbxContent>
                    </wps:txbx>
                    <wps:bodyPr wrap="none" lIns="0" tIns="0" rIns="0" bIns="0">
                      <a:spAutoFit/>
                    </wps:bodyPr>
                  </wps:wsp>
                </a:graphicData>
              </a:graphic>
            </wp:anchor>
          </w:drawing>
        </mc:Choice>
        <mc:Fallback>
          <w:pict>
            <v:shape id="文本框 7" o:spid="_x0000_s1026" o:spt="202" type="#_x0000_t202" style="position:absolute;left:0pt;margin-top:0pt;height:11.65pt;width:36.05pt;mso-position-horizontal:center;mso-position-horizontal-relative:margin;mso-wrap-style:none;z-index:251661312;mso-width-relative:page;mso-height-relative:page;" filled="f" stroked="f" coordsize="21600,21600" o:gfxdata="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jjqNZ1QAAAAMBAAAPAAAAAAAAAAEAIAAAACIAAABk&#10;cnMvZG93bnJldi54bWxQSwECFAAUAAAACACHTuJAv3MkH9ABAACWAwAADgAAAAAAAAABACAAAAAk&#10;AQAAZHJzL2Uyb0RvYy54bWxQSwUGAAAAAAYABgBZAQAAZgUAAAAA&#10;">
              <v:fill on="f" focussize="0,0"/>
              <v:stroke on="f" weight="1.25pt"/>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11</w:t>
                    </w:r>
                    <w:r>
                      <w:rPr>
                        <w:rFonts w:hint="eastAsia"/>
                        <w:sz w:val="18"/>
                      </w:rPr>
                      <w:fldChar w:fldCharType="end"/>
                    </w:r>
                    <w:r>
                      <w:rPr>
                        <w:rFonts w:hint="eastAsia"/>
                        <w:sz w:val="1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r>
      <w:pict>
        <v:shape id="_x0000_s1032" o:spid="_x0000_s1032" o:spt="136" type="#_x0000_t136" style="position:absolute;left:0pt;margin-left:-31.55pt;margin-top:265.35pt;height:152.85pt;width:536.25pt;mso-position-horizontal-relative:margin;mso-position-vertical-relative:margin;rotation:-2949120f;z-index:-251657216;mso-width-relative:page;mso-height-relative:page;" fillcolor="#C0C0C0" filled="t" stroked="f" coordsize="21600,21600">
          <v:path/>
          <v:fill on="t" opacity="32112f" focussize="0,0"/>
          <v:stroke on="f"/>
          <v:imagedata o:title=""/>
          <o:lock v:ext="edit" aspectratio="t"/>
          <v:textpath on="t" fitshape="t" fitpath="t" trim="t" xscale="f" string="昊远评估" style="font-family:楷体;font-size:36pt;v-text-align:center;"/>
        </v:shape>
      </w:pict>
    </w:r>
    <w:r>
      <w:pict>
        <v:shape id="PowerPlusWaterMarkObject18075" o:spid="_x0000_s1035" o:spt="136" type="#_x0000_t136" style="position:absolute;left:0pt;height:135.55pt;width:415.3pt;mso-position-horizontal:center;mso-position-horizontal-relative:margin;mso-position-vertical:center;mso-position-vertical-relative:margin;z-index:-251656192;mso-width-relative:page;mso-height-relative:page;" fillcolor="#C0C0C0" filled="t" stroked="f" coordsize="21600,21600">
          <v:path/>
          <v:fill on="t" opacity="0f" focussize="0,0"/>
          <v:stroke on="f"/>
          <v:imagedata o:title=""/>
          <o:lock v:ext="edit" aspectratio="t"/>
          <v:textpath on="t" fitshape="t" fitpath="t" trim="t" xscale="f" string="严禁复制" style="font-family:微软雅黑;font-size:36pt;v-text-align:center;"/>
        </v:shape>
      </w:pict>
    </w:r>
    <w:r>
      <w:rPr>
        <w:rFonts w:hint="eastAsia" w:ascii="楷体" w:hAnsi="楷体" w:eastAsia="楷体" w:cs="楷体"/>
      </w:rPr>
      <w:drawing>
        <wp:inline distT="0" distB="0" distL="114300" distR="114300">
          <wp:extent cx="287020" cy="287020"/>
          <wp:effectExtent l="0" t="0" r="17780" b="17780"/>
          <wp:docPr id="21" name="图片 2" descr="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 descr="图标"/>
                  <pic:cNvPicPr>
                    <a:picLocks noChangeAspect="1"/>
                  </pic:cNvPicPr>
                </pic:nvPicPr>
                <pic:blipFill>
                  <a:blip r:embed="rId1"/>
                  <a:stretch>
                    <a:fillRect/>
                  </a:stretch>
                </pic:blipFill>
                <pic:spPr>
                  <a:xfrm>
                    <a:off x="0" y="0"/>
                    <a:ext cx="287020" cy="287020"/>
                  </a:xfrm>
                  <a:prstGeom prst="rect">
                    <a:avLst/>
                  </a:prstGeom>
                  <a:noFill/>
                  <a:ln>
                    <a:noFill/>
                  </a:ln>
                </pic:spPr>
              </pic:pic>
            </a:graphicData>
          </a:graphic>
        </wp:inline>
      </w:drawing>
    </w:r>
    <w:r>
      <w:rPr>
        <w:rFonts w:hint="eastAsia" w:ascii="宋体" w:hAnsi="宋体" w:cs="宋体"/>
        <w:b/>
        <w:bCs/>
        <w:sz w:val="36"/>
        <w:szCs w:val="36"/>
      </w:rPr>
      <w:t>贵州昊远房地产土地评估有限公司房地产估价报告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306EC4"/>
    <w:multiLevelType w:val="singleLevel"/>
    <w:tmpl w:val="AF306EC4"/>
    <w:lvl w:ilvl="0" w:tentative="0">
      <w:start w:val="1"/>
      <w:numFmt w:val="chineseCounting"/>
      <w:suff w:val="nothing"/>
      <w:lvlText w:val="%1、"/>
      <w:lvlJc w:val="left"/>
      <w:rPr>
        <w:rFonts w:hint="eastAsia"/>
      </w:rPr>
    </w:lvl>
  </w:abstractNum>
  <w:abstractNum w:abstractNumId="1">
    <w:nsid w:val="CDCC788E"/>
    <w:multiLevelType w:val="singleLevel"/>
    <w:tmpl w:val="CDCC788E"/>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1"/>
    </o:shapelayout>
  </w:hdrShapeDefaults>
  <w:endnotePr>
    <w:numFmt w:val="decimal"/>
  </w:end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0YjQ5NTJjYTcyODBkOTBhMmY1N2FmNjM3MGQ1OWEifQ=="/>
  </w:docVars>
  <w:rsids>
    <w:rsidRoot w:val="00D16785"/>
    <w:rsid w:val="00001314"/>
    <w:rsid w:val="000054AC"/>
    <w:rsid w:val="00011D71"/>
    <w:rsid w:val="000133BC"/>
    <w:rsid w:val="0002501F"/>
    <w:rsid w:val="00027245"/>
    <w:rsid w:val="00032B13"/>
    <w:rsid w:val="00037C47"/>
    <w:rsid w:val="000405B0"/>
    <w:rsid w:val="000477AB"/>
    <w:rsid w:val="0005140B"/>
    <w:rsid w:val="00054007"/>
    <w:rsid w:val="0005680F"/>
    <w:rsid w:val="00056F13"/>
    <w:rsid w:val="0005749F"/>
    <w:rsid w:val="00057532"/>
    <w:rsid w:val="000625EE"/>
    <w:rsid w:val="0006407F"/>
    <w:rsid w:val="00070C6F"/>
    <w:rsid w:val="00072E7E"/>
    <w:rsid w:val="00080F9A"/>
    <w:rsid w:val="000812F8"/>
    <w:rsid w:val="000818E1"/>
    <w:rsid w:val="00086367"/>
    <w:rsid w:val="000937A5"/>
    <w:rsid w:val="000A561B"/>
    <w:rsid w:val="000A7259"/>
    <w:rsid w:val="000B4494"/>
    <w:rsid w:val="000C4ABC"/>
    <w:rsid w:val="000D0309"/>
    <w:rsid w:val="000D104B"/>
    <w:rsid w:val="000E27AD"/>
    <w:rsid w:val="000E4B62"/>
    <w:rsid w:val="000E547C"/>
    <w:rsid w:val="000E6AD6"/>
    <w:rsid w:val="000E7CBA"/>
    <w:rsid w:val="000F118D"/>
    <w:rsid w:val="000F154F"/>
    <w:rsid w:val="000F276D"/>
    <w:rsid w:val="000F2B44"/>
    <w:rsid w:val="000F4C8A"/>
    <w:rsid w:val="00101D24"/>
    <w:rsid w:val="00110750"/>
    <w:rsid w:val="00110B93"/>
    <w:rsid w:val="00117143"/>
    <w:rsid w:val="0011719F"/>
    <w:rsid w:val="00117E23"/>
    <w:rsid w:val="001235FA"/>
    <w:rsid w:val="001251AF"/>
    <w:rsid w:val="001261CA"/>
    <w:rsid w:val="00127090"/>
    <w:rsid w:val="00127643"/>
    <w:rsid w:val="0013305A"/>
    <w:rsid w:val="001355E3"/>
    <w:rsid w:val="0013768A"/>
    <w:rsid w:val="00141C6A"/>
    <w:rsid w:val="00150639"/>
    <w:rsid w:val="001510D4"/>
    <w:rsid w:val="001545E0"/>
    <w:rsid w:val="00155998"/>
    <w:rsid w:val="00157448"/>
    <w:rsid w:val="00162158"/>
    <w:rsid w:val="0016497E"/>
    <w:rsid w:val="00172A51"/>
    <w:rsid w:val="001746ED"/>
    <w:rsid w:val="00174DCD"/>
    <w:rsid w:val="001752F5"/>
    <w:rsid w:val="001760D3"/>
    <w:rsid w:val="0017690A"/>
    <w:rsid w:val="00181633"/>
    <w:rsid w:val="00182FB0"/>
    <w:rsid w:val="00184906"/>
    <w:rsid w:val="0018638F"/>
    <w:rsid w:val="00186D90"/>
    <w:rsid w:val="00190241"/>
    <w:rsid w:val="0019158A"/>
    <w:rsid w:val="001932E1"/>
    <w:rsid w:val="001A05D7"/>
    <w:rsid w:val="001A0603"/>
    <w:rsid w:val="001A4C5D"/>
    <w:rsid w:val="001A4DCE"/>
    <w:rsid w:val="001A6146"/>
    <w:rsid w:val="001A66F4"/>
    <w:rsid w:val="001A6E8F"/>
    <w:rsid w:val="001B02C3"/>
    <w:rsid w:val="001B7D68"/>
    <w:rsid w:val="001C27ED"/>
    <w:rsid w:val="001C2CAB"/>
    <w:rsid w:val="001C3DF5"/>
    <w:rsid w:val="001C4459"/>
    <w:rsid w:val="001C6F9E"/>
    <w:rsid w:val="001D0E59"/>
    <w:rsid w:val="001D4993"/>
    <w:rsid w:val="001D52EB"/>
    <w:rsid w:val="001F18F7"/>
    <w:rsid w:val="002010ED"/>
    <w:rsid w:val="00205644"/>
    <w:rsid w:val="0020600C"/>
    <w:rsid w:val="00212CE0"/>
    <w:rsid w:val="00216511"/>
    <w:rsid w:val="0022408B"/>
    <w:rsid w:val="00224439"/>
    <w:rsid w:val="0023095D"/>
    <w:rsid w:val="00235B9E"/>
    <w:rsid w:val="00242DBB"/>
    <w:rsid w:val="0024491F"/>
    <w:rsid w:val="0025255F"/>
    <w:rsid w:val="00254C01"/>
    <w:rsid w:val="0026049A"/>
    <w:rsid w:val="00273598"/>
    <w:rsid w:val="00277123"/>
    <w:rsid w:val="00277556"/>
    <w:rsid w:val="00282BE3"/>
    <w:rsid w:val="0028357B"/>
    <w:rsid w:val="00284589"/>
    <w:rsid w:val="00293653"/>
    <w:rsid w:val="002A0859"/>
    <w:rsid w:val="002B5ABB"/>
    <w:rsid w:val="002C0551"/>
    <w:rsid w:val="002C3093"/>
    <w:rsid w:val="002D05FB"/>
    <w:rsid w:val="002D2198"/>
    <w:rsid w:val="002D3ECD"/>
    <w:rsid w:val="002D3EE9"/>
    <w:rsid w:val="002D6883"/>
    <w:rsid w:val="002E4381"/>
    <w:rsid w:val="002E479C"/>
    <w:rsid w:val="002E6F62"/>
    <w:rsid w:val="002E71EF"/>
    <w:rsid w:val="002E7FC1"/>
    <w:rsid w:val="002F1EAE"/>
    <w:rsid w:val="00306298"/>
    <w:rsid w:val="00311B2F"/>
    <w:rsid w:val="00331F97"/>
    <w:rsid w:val="00350509"/>
    <w:rsid w:val="003562A0"/>
    <w:rsid w:val="003569E4"/>
    <w:rsid w:val="00361CA9"/>
    <w:rsid w:val="003729B9"/>
    <w:rsid w:val="00372A5F"/>
    <w:rsid w:val="00373AE8"/>
    <w:rsid w:val="0037795B"/>
    <w:rsid w:val="0038039F"/>
    <w:rsid w:val="003832B8"/>
    <w:rsid w:val="003864E8"/>
    <w:rsid w:val="00391AF0"/>
    <w:rsid w:val="00395E12"/>
    <w:rsid w:val="003A0AE4"/>
    <w:rsid w:val="003A4F70"/>
    <w:rsid w:val="003A796F"/>
    <w:rsid w:val="003B1853"/>
    <w:rsid w:val="003B2DFB"/>
    <w:rsid w:val="003B4FE6"/>
    <w:rsid w:val="003B6DCE"/>
    <w:rsid w:val="003C404E"/>
    <w:rsid w:val="003C5064"/>
    <w:rsid w:val="003D57AF"/>
    <w:rsid w:val="003D637B"/>
    <w:rsid w:val="003D7B2B"/>
    <w:rsid w:val="003E0379"/>
    <w:rsid w:val="003E03A4"/>
    <w:rsid w:val="003E0AC3"/>
    <w:rsid w:val="003E24DE"/>
    <w:rsid w:val="003F31E8"/>
    <w:rsid w:val="003F5181"/>
    <w:rsid w:val="00410697"/>
    <w:rsid w:val="00412092"/>
    <w:rsid w:val="00426631"/>
    <w:rsid w:val="004339DB"/>
    <w:rsid w:val="00434B99"/>
    <w:rsid w:val="0043639B"/>
    <w:rsid w:val="004371DC"/>
    <w:rsid w:val="00437302"/>
    <w:rsid w:val="00437475"/>
    <w:rsid w:val="004409D5"/>
    <w:rsid w:val="00440AAD"/>
    <w:rsid w:val="0044199E"/>
    <w:rsid w:val="004439BF"/>
    <w:rsid w:val="004439D7"/>
    <w:rsid w:val="0045022E"/>
    <w:rsid w:val="00460AF9"/>
    <w:rsid w:val="00461B4A"/>
    <w:rsid w:val="00463BA0"/>
    <w:rsid w:val="00464BE7"/>
    <w:rsid w:val="0046654C"/>
    <w:rsid w:val="00466FD9"/>
    <w:rsid w:val="00467327"/>
    <w:rsid w:val="00475BEE"/>
    <w:rsid w:val="0048149C"/>
    <w:rsid w:val="004875CE"/>
    <w:rsid w:val="00497E18"/>
    <w:rsid w:val="004A1012"/>
    <w:rsid w:val="004A25A1"/>
    <w:rsid w:val="004A3A18"/>
    <w:rsid w:val="004A4241"/>
    <w:rsid w:val="004A445E"/>
    <w:rsid w:val="004B0A7E"/>
    <w:rsid w:val="004B6781"/>
    <w:rsid w:val="004B6838"/>
    <w:rsid w:val="004B6C13"/>
    <w:rsid w:val="004C0B70"/>
    <w:rsid w:val="004C703C"/>
    <w:rsid w:val="004C78E6"/>
    <w:rsid w:val="004D7090"/>
    <w:rsid w:val="004E18BE"/>
    <w:rsid w:val="004E3A3C"/>
    <w:rsid w:val="004F22E6"/>
    <w:rsid w:val="004F3531"/>
    <w:rsid w:val="004F3F58"/>
    <w:rsid w:val="004F438B"/>
    <w:rsid w:val="004F529C"/>
    <w:rsid w:val="004F5AB6"/>
    <w:rsid w:val="00505EFC"/>
    <w:rsid w:val="00512545"/>
    <w:rsid w:val="00512F7A"/>
    <w:rsid w:val="00517E18"/>
    <w:rsid w:val="0052380E"/>
    <w:rsid w:val="0052698D"/>
    <w:rsid w:val="00526D19"/>
    <w:rsid w:val="00531AC3"/>
    <w:rsid w:val="00531ACB"/>
    <w:rsid w:val="00541E05"/>
    <w:rsid w:val="00543327"/>
    <w:rsid w:val="00543396"/>
    <w:rsid w:val="0055059D"/>
    <w:rsid w:val="0055627E"/>
    <w:rsid w:val="005577FD"/>
    <w:rsid w:val="00562F85"/>
    <w:rsid w:val="00565B34"/>
    <w:rsid w:val="00570555"/>
    <w:rsid w:val="00574319"/>
    <w:rsid w:val="00583081"/>
    <w:rsid w:val="00593F44"/>
    <w:rsid w:val="0059666E"/>
    <w:rsid w:val="005A003B"/>
    <w:rsid w:val="005A0C71"/>
    <w:rsid w:val="005A1D4B"/>
    <w:rsid w:val="005A68AB"/>
    <w:rsid w:val="005B0F20"/>
    <w:rsid w:val="005B5048"/>
    <w:rsid w:val="005B69B2"/>
    <w:rsid w:val="005B7B10"/>
    <w:rsid w:val="005C267C"/>
    <w:rsid w:val="005D0E34"/>
    <w:rsid w:val="005D5268"/>
    <w:rsid w:val="005D5BF9"/>
    <w:rsid w:val="005E0677"/>
    <w:rsid w:val="005E2964"/>
    <w:rsid w:val="005E379F"/>
    <w:rsid w:val="005E7947"/>
    <w:rsid w:val="005F14ED"/>
    <w:rsid w:val="005F3CB9"/>
    <w:rsid w:val="005F56B5"/>
    <w:rsid w:val="00600C34"/>
    <w:rsid w:val="00605E94"/>
    <w:rsid w:val="00606209"/>
    <w:rsid w:val="00607FEB"/>
    <w:rsid w:val="00610F05"/>
    <w:rsid w:val="00614FD5"/>
    <w:rsid w:val="00620B5B"/>
    <w:rsid w:val="0062312A"/>
    <w:rsid w:val="00623B5A"/>
    <w:rsid w:val="006240AC"/>
    <w:rsid w:val="0062444F"/>
    <w:rsid w:val="006253C9"/>
    <w:rsid w:val="0062702C"/>
    <w:rsid w:val="00627B48"/>
    <w:rsid w:val="0063184C"/>
    <w:rsid w:val="0064316D"/>
    <w:rsid w:val="00644347"/>
    <w:rsid w:val="0064663D"/>
    <w:rsid w:val="00650720"/>
    <w:rsid w:val="00651778"/>
    <w:rsid w:val="00653162"/>
    <w:rsid w:val="00657BCA"/>
    <w:rsid w:val="006616DE"/>
    <w:rsid w:val="00662466"/>
    <w:rsid w:val="00662CD7"/>
    <w:rsid w:val="00664DB0"/>
    <w:rsid w:val="00666437"/>
    <w:rsid w:val="006671B9"/>
    <w:rsid w:val="00671791"/>
    <w:rsid w:val="00671BA5"/>
    <w:rsid w:val="006738A3"/>
    <w:rsid w:val="00680E2C"/>
    <w:rsid w:val="006810F9"/>
    <w:rsid w:val="0068621D"/>
    <w:rsid w:val="006943AC"/>
    <w:rsid w:val="00694E04"/>
    <w:rsid w:val="006A3184"/>
    <w:rsid w:val="006A3A42"/>
    <w:rsid w:val="006A5B79"/>
    <w:rsid w:val="006A5D9D"/>
    <w:rsid w:val="006A630B"/>
    <w:rsid w:val="006A715D"/>
    <w:rsid w:val="006B2957"/>
    <w:rsid w:val="006B3292"/>
    <w:rsid w:val="006B4356"/>
    <w:rsid w:val="006B4F60"/>
    <w:rsid w:val="006B617F"/>
    <w:rsid w:val="006B7F87"/>
    <w:rsid w:val="006C0D75"/>
    <w:rsid w:val="006C150E"/>
    <w:rsid w:val="006C4A14"/>
    <w:rsid w:val="006C6EA5"/>
    <w:rsid w:val="006C7E53"/>
    <w:rsid w:val="006D32EC"/>
    <w:rsid w:val="006D4539"/>
    <w:rsid w:val="006D776E"/>
    <w:rsid w:val="006E7C19"/>
    <w:rsid w:val="006F24FB"/>
    <w:rsid w:val="006F2B18"/>
    <w:rsid w:val="006F505E"/>
    <w:rsid w:val="006F5720"/>
    <w:rsid w:val="006F6076"/>
    <w:rsid w:val="006F659A"/>
    <w:rsid w:val="006F6D22"/>
    <w:rsid w:val="006F745F"/>
    <w:rsid w:val="006F772C"/>
    <w:rsid w:val="00701DA4"/>
    <w:rsid w:val="007075EF"/>
    <w:rsid w:val="00715129"/>
    <w:rsid w:val="00724088"/>
    <w:rsid w:val="00724322"/>
    <w:rsid w:val="007244B6"/>
    <w:rsid w:val="00726DC8"/>
    <w:rsid w:val="007318D7"/>
    <w:rsid w:val="00732584"/>
    <w:rsid w:val="00732CD0"/>
    <w:rsid w:val="00733BF1"/>
    <w:rsid w:val="00735B55"/>
    <w:rsid w:val="007377B7"/>
    <w:rsid w:val="007433E3"/>
    <w:rsid w:val="00746F63"/>
    <w:rsid w:val="007470CC"/>
    <w:rsid w:val="007522C8"/>
    <w:rsid w:val="0075262A"/>
    <w:rsid w:val="0075326F"/>
    <w:rsid w:val="00757B3C"/>
    <w:rsid w:val="00760517"/>
    <w:rsid w:val="00762A88"/>
    <w:rsid w:val="0076659B"/>
    <w:rsid w:val="007747FE"/>
    <w:rsid w:val="0077631C"/>
    <w:rsid w:val="007838D5"/>
    <w:rsid w:val="00790159"/>
    <w:rsid w:val="00790AFB"/>
    <w:rsid w:val="007942ED"/>
    <w:rsid w:val="00797189"/>
    <w:rsid w:val="007A57D1"/>
    <w:rsid w:val="007B0873"/>
    <w:rsid w:val="007B0D2A"/>
    <w:rsid w:val="007B1EB6"/>
    <w:rsid w:val="007B4929"/>
    <w:rsid w:val="007B70D5"/>
    <w:rsid w:val="007C2891"/>
    <w:rsid w:val="007C3AB5"/>
    <w:rsid w:val="007C46B3"/>
    <w:rsid w:val="007D257F"/>
    <w:rsid w:val="007D282A"/>
    <w:rsid w:val="007D73CC"/>
    <w:rsid w:val="007E21BC"/>
    <w:rsid w:val="007F081A"/>
    <w:rsid w:val="007F0B5F"/>
    <w:rsid w:val="007F1807"/>
    <w:rsid w:val="008003A8"/>
    <w:rsid w:val="0080367F"/>
    <w:rsid w:val="00803BBC"/>
    <w:rsid w:val="00805043"/>
    <w:rsid w:val="00810056"/>
    <w:rsid w:val="0081056B"/>
    <w:rsid w:val="008110B7"/>
    <w:rsid w:val="00812712"/>
    <w:rsid w:val="0081562D"/>
    <w:rsid w:val="0081601F"/>
    <w:rsid w:val="00822525"/>
    <w:rsid w:val="00822CF6"/>
    <w:rsid w:val="008230E3"/>
    <w:rsid w:val="008249CA"/>
    <w:rsid w:val="008254CF"/>
    <w:rsid w:val="008274AB"/>
    <w:rsid w:val="008333DE"/>
    <w:rsid w:val="00840268"/>
    <w:rsid w:val="00840CFF"/>
    <w:rsid w:val="00845EE4"/>
    <w:rsid w:val="00847384"/>
    <w:rsid w:val="00856AFB"/>
    <w:rsid w:val="00856B42"/>
    <w:rsid w:val="00861785"/>
    <w:rsid w:val="00862566"/>
    <w:rsid w:val="00864CE7"/>
    <w:rsid w:val="00871EB2"/>
    <w:rsid w:val="00872EC0"/>
    <w:rsid w:val="00873937"/>
    <w:rsid w:val="00873DA5"/>
    <w:rsid w:val="00875B3B"/>
    <w:rsid w:val="00881008"/>
    <w:rsid w:val="00886289"/>
    <w:rsid w:val="00886C70"/>
    <w:rsid w:val="0089170A"/>
    <w:rsid w:val="008921BE"/>
    <w:rsid w:val="00893B47"/>
    <w:rsid w:val="00893EE0"/>
    <w:rsid w:val="008943C6"/>
    <w:rsid w:val="008A1F91"/>
    <w:rsid w:val="008A3B7F"/>
    <w:rsid w:val="008A4DE2"/>
    <w:rsid w:val="008A5B79"/>
    <w:rsid w:val="008A67DC"/>
    <w:rsid w:val="008A710A"/>
    <w:rsid w:val="008B6401"/>
    <w:rsid w:val="008C5A67"/>
    <w:rsid w:val="008D33E3"/>
    <w:rsid w:val="008D7063"/>
    <w:rsid w:val="008D7F2C"/>
    <w:rsid w:val="008E1490"/>
    <w:rsid w:val="008E2988"/>
    <w:rsid w:val="008F1609"/>
    <w:rsid w:val="008F179A"/>
    <w:rsid w:val="008F254A"/>
    <w:rsid w:val="008F40B1"/>
    <w:rsid w:val="0090093C"/>
    <w:rsid w:val="009100A6"/>
    <w:rsid w:val="00911EF7"/>
    <w:rsid w:val="00916171"/>
    <w:rsid w:val="009242DE"/>
    <w:rsid w:val="00924A6A"/>
    <w:rsid w:val="0093208E"/>
    <w:rsid w:val="00935C50"/>
    <w:rsid w:val="009367A3"/>
    <w:rsid w:val="00936899"/>
    <w:rsid w:val="00936A89"/>
    <w:rsid w:val="009409CB"/>
    <w:rsid w:val="009427BD"/>
    <w:rsid w:val="00942BEC"/>
    <w:rsid w:val="009444BE"/>
    <w:rsid w:val="009449F2"/>
    <w:rsid w:val="00950BBB"/>
    <w:rsid w:val="00954FD6"/>
    <w:rsid w:val="009557FA"/>
    <w:rsid w:val="0095763B"/>
    <w:rsid w:val="00957C61"/>
    <w:rsid w:val="00961411"/>
    <w:rsid w:val="009639D5"/>
    <w:rsid w:val="009746F1"/>
    <w:rsid w:val="0097623E"/>
    <w:rsid w:val="00983384"/>
    <w:rsid w:val="00986E96"/>
    <w:rsid w:val="0099170E"/>
    <w:rsid w:val="0099397D"/>
    <w:rsid w:val="009A0D2F"/>
    <w:rsid w:val="009A3D28"/>
    <w:rsid w:val="009A58A5"/>
    <w:rsid w:val="009A594C"/>
    <w:rsid w:val="009B03F0"/>
    <w:rsid w:val="009B3394"/>
    <w:rsid w:val="009C4C01"/>
    <w:rsid w:val="009C7529"/>
    <w:rsid w:val="009D286C"/>
    <w:rsid w:val="009E0263"/>
    <w:rsid w:val="009F4684"/>
    <w:rsid w:val="009F6CA3"/>
    <w:rsid w:val="00A01AB8"/>
    <w:rsid w:val="00A020C0"/>
    <w:rsid w:val="00A023F2"/>
    <w:rsid w:val="00A04E62"/>
    <w:rsid w:val="00A1006E"/>
    <w:rsid w:val="00A11B85"/>
    <w:rsid w:val="00A1445C"/>
    <w:rsid w:val="00A17B76"/>
    <w:rsid w:val="00A21B39"/>
    <w:rsid w:val="00A258DB"/>
    <w:rsid w:val="00A27F38"/>
    <w:rsid w:val="00A31ECD"/>
    <w:rsid w:val="00A321AD"/>
    <w:rsid w:val="00A4049C"/>
    <w:rsid w:val="00A46F92"/>
    <w:rsid w:val="00A47FE6"/>
    <w:rsid w:val="00A519A1"/>
    <w:rsid w:val="00A61795"/>
    <w:rsid w:val="00A62CDF"/>
    <w:rsid w:val="00A63BD1"/>
    <w:rsid w:val="00A70971"/>
    <w:rsid w:val="00A752F4"/>
    <w:rsid w:val="00A76DE1"/>
    <w:rsid w:val="00A81F1A"/>
    <w:rsid w:val="00A82595"/>
    <w:rsid w:val="00A828CD"/>
    <w:rsid w:val="00A835BB"/>
    <w:rsid w:val="00A95732"/>
    <w:rsid w:val="00A978FB"/>
    <w:rsid w:val="00AA3208"/>
    <w:rsid w:val="00AA45F9"/>
    <w:rsid w:val="00AA5502"/>
    <w:rsid w:val="00AB0F1F"/>
    <w:rsid w:val="00AB32F8"/>
    <w:rsid w:val="00AB3C38"/>
    <w:rsid w:val="00AB5E10"/>
    <w:rsid w:val="00AB6882"/>
    <w:rsid w:val="00AD2047"/>
    <w:rsid w:val="00AD5DB4"/>
    <w:rsid w:val="00AD6DB9"/>
    <w:rsid w:val="00AE0D78"/>
    <w:rsid w:val="00AE77BE"/>
    <w:rsid w:val="00AF0112"/>
    <w:rsid w:val="00AF1B95"/>
    <w:rsid w:val="00AF1BEB"/>
    <w:rsid w:val="00AF285E"/>
    <w:rsid w:val="00AF3F96"/>
    <w:rsid w:val="00AF4DEB"/>
    <w:rsid w:val="00B05FE4"/>
    <w:rsid w:val="00B06056"/>
    <w:rsid w:val="00B0658E"/>
    <w:rsid w:val="00B1070B"/>
    <w:rsid w:val="00B116E4"/>
    <w:rsid w:val="00B11A49"/>
    <w:rsid w:val="00B1449C"/>
    <w:rsid w:val="00B146D5"/>
    <w:rsid w:val="00B15FF8"/>
    <w:rsid w:val="00B163B8"/>
    <w:rsid w:val="00B24404"/>
    <w:rsid w:val="00B25C3B"/>
    <w:rsid w:val="00B277CF"/>
    <w:rsid w:val="00B33FB9"/>
    <w:rsid w:val="00B36A5D"/>
    <w:rsid w:val="00B401D3"/>
    <w:rsid w:val="00B40C7D"/>
    <w:rsid w:val="00B46F22"/>
    <w:rsid w:val="00B4771C"/>
    <w:rsid w:val="00B51EE2"/>
    <w:rsid w:val="00B537CD"/>
    <w:rsid w:val="00B5612B"/>
    <w:rsid w:val="00B57DA9"/>
    <w:rsid w:val="00B617B4"/>
    <w:rsid w:val="00B61958"/>
    <w:rsid w:val="00B6306D"/>
    <w:rsid w:val="00B72B0D"/>
    <w:rsid w:val="00B82834"/>
    <w:rsid w:val="00B90155"/>
    <w:rsid w:val="00B92FB1"/>
    <w:rsid w:val="00B954A2"/>
    <w:rsid w:val="00BA26D4"/>
    <w:rsid w:val="00BA2F86"/>
    <w:rsid w:val="00BA32E8"/>
    <w:rsid w:val="00BA57A4"/>
    <w:rsid w:val="00BB1109"/>
    <w:rsid w:val="00BB1F4E"/>
    <w:rsid w:val="00BB3228"/>
    <w:rsid w:val="00BC252E"/>
    <w:rsid w:val="00BC3171"/>
    <w:rsid w:val="00BC3F70"/>
    <w:rsid w:val="00BD001A"/>
    <w:rsid w:val="00BD0CF2"/>
    <w:rsid w:val="00BD1173"/>
    <w:rsid w:val="00BD153C"/>
    <w:rsid w:val="00BD1F0A"/>
    <w:rsid w:val="00BD2847"/>
    <w:rsid w:val="00BD4582"/>
    <w:rsid w:val="00BD6BAD"/>
    <w:rsid w:val="00BD7571"/>
    <w:rsid w:val="00BE0712"/>
    <w:rsid w:val="00BE4F5B"/>
    <w:rsid w:val="00BE4FE3"/>
    <w:rsid w:val="00BE59B1"/>
    <w:rsid w:val="00BE5DB5"/>
    <w:rsid w:val="00BE60C1"/>
    <w:rsid w:val="00BE6FAB"/>
    <w:rsid w:val="00BF0901"/>
    <w:rsid w:val="00BF59E6"/>
    <w:rsid w:val="00BF6546"/>
    <w:rsid w:val="00C039CA"/>
    <w:rsid w:val="00C03E46"/>
    <w:rsid w:val="00C044B6"/>
    <w:rsid w:val="00C07CC4"/>
    <w:rsid w:val="00C14E7C"/>
    <w:rsid w:val="00C333E8"/>
    <w:rsid w:val="00C345C7"/>
    <w:rsid w:val="00C35A0E"/>
    <w:rsid w:val="00C37355"/>
    <w:rsid w:val="00C41DB4"/>
    <w:rsid w:val="00C46135"/>
    <w:rsid w:val="00C50590"/>
    <w:rsid w:val="00C510AE"/>
    <w:rsid w:val="00C541AE"/>
    <w:rsid w:val="00C5498C"/>
    <w:rsid w:val="00C54C9A"/>
    <w:rsid w:val="00C55683"/>
    <w:rsid w:val="00C564FB"/>
    <w:rsid w:val="00C56A06"/>
    <w:rsid w:val="00C61963"/>
    <w:rsid w:val="00C64F7D"/>
    <w:rsid w:val="00C66FA8"/>
    <w:rsid w:val="00C70190"/>
    <w:rsid w:val="00C70CBB"/>
    <w:rsid w:val="00C76623"/>
    <w:rsid w:val="00C81D06"/>
    <w:rsid w:val="00C81D3C"/>
    <w:rsid w:val="00C820DE"/>
    <w:rsid w:val="00C82ABE"/>
    <w:rsid w:val="00C85694"/>
    <w:rsid w:val="00C86391"/>
    <w:rsid w:val="00C93FBD"/>
    <w:rsid w:val="00C944F0"/>
    <w:rsid w:val="00C9769D"/>
    <w:rsid w:val="00CA57C4"/>
    <w:rsid w:val="00CA6424"/>
    <w:rsid w:val="00CA6D4D"/>
    <w:rsid w:val="00CB1408"/>
    <w:rsid w:val="00CB1629"/>
    <w:rsid w:val="00CB1C4D"/>
    <w:rsid w:val="00CC2A8A"/>
    <w:rsid w:val="00CD1AF1"/>
    <w:rsid w:val="00CD27DA"/>
    <w:rsid w:val="00CD35DA"/>
    <w:rsid w:val="00CE1391"/>
    <w:rsid w:val="00CE2985"/>
    <w:rsid w:val="00CE68D9"/>
    <w:rsid w:val="00CF0EB8"/>
    <w:rsid w:val="00CF0F69"/>
    <w:rsid w:val="00CF1D8C"/>
    <w:rsid w:val="00D02553"/>
    <w:rsid w:val="00D12CBE"/>
    <w:rsid w:val="00D1410C"/>
    <w:rsid w:val="00D160DD"/>
    <w:rsid w:val="00D16785"/>
    <w:rsid w:val="00D327D9"/>
    <w:rsid w:val="00D32A8F"/>
    <w:rsid w:val="00D3413C"/>
    <w:rsid w:val="00D34C86"/>
    <w:rsid w:val="00D4016F"/>
    <w:rsid w:val="00D41546"/>
    <w:rsid w:val="00D42C3E"/>
    <w:rsid w:val="00D43731"/>
    <w:rsid w:val="00D438BF"/>
    <w:rsid w:val="00D449DF"/>
    <w:rsid w:val="00D47842"/>
    <w:rsid w:val="00D60F43"/>
    <w:rsid w:val="00D61011"/>
    <w:rsid w:val="00D708EF"/>
    <w:rsid w:val="00D71CCE"/>
    <w:rsid w:val="00D71FC1"/>
    <w:rsid w:val="00D72448"/>
    <w:rsid w:val="00D8156B"/>
    <w:rsid w:val="00D8381B"/>
    <w:rsid w:val="00D85843"/>
    <w:rsid w:val="00D86420"/>
    <w:rsid w:val="00DA08AD"/>
    <w:rsid w:val="00DA0EFF"/>
    <w:rsid w:val="00DB2441"/>
    <w:rsid w:val="00DB640B"/>
    <w:rsid w:val="00DB7E71"/>
    <w:rsid w:val="00DC00C6"/>
    <w:rsid w:val="00DC3584"/>
    <w:rsid w:val="00DD1DA7"/>
    <w:rsid w:val="00DE1419"/>
    <w:rsid w:val="00DE1BD3"/>
    <w:rsid w:val="00DE1FF1"/>
    <w:rsid w:val="00DE7705"/>
    <w:rsid w:val="00DF369B"/>
    <w:rsid w:val="00DF71C0"/>
    <w:rsid w:val="00E07FE4"/>
    <w:rsid w:val="00E105DA"/>
    <w:rsid w:val="00E10D0A"/>
    <w:rsid w:val="00E12BD9"/>
    <w:rsid w:val="00E1749F"/>
    <w:rsid w:val="00E21602"/>
    <w:rsid w:val="00E21A3E"/>
    <w:rsid w:val="00E24F7F"/>
    <w:rsid w:val="00E25AB7"/>
    <w:rsid w:val="00E3037E"/>
    <w:rsid w:val="00E31B6F"/>
    <w:rsid w:val="00E36992"/>
    <w:rsid w:val="00E410A0"/>
    <w:rsid w:val="00E45C57"/>
    <w:rsid w:val="00E47F9D"/>
    <w:rsid w:val="00E5648E"/>
    <w:rsid w:val="00E603A5"/>
    <w:rsid w:val="00E624EB"/>
    <w:rsid w:val="00E64A3A"/>
    <w:rsid w:val="00E6598F"/>
    <w:rsid w:val="00E86BF7"/>
    <w:rsid w:val="00E87A7C"/>
    <w:rsid w:val="00E90DB2"/>
    <w:rsid w:val="00E92020"/>
    <w:rsid w:val="00E94434"/>
    <w:rsid w:val="00EA091D"/>
    <w:rsid w:val="00EA19B4"/>
    <w:rsid w:val="00EA777F"/>
    <w:rsid w:val="00EB2C6F"/>
    <w:rsid w:val="00EB3AE5"/>
    <w:rsid w:val="00EB3C46"/>
    <w:rsid w:val="00EB72D8"/>
    <w:rsid w:val="00EB73DB"/>
    <w:rsid w:val="00EC65DD"/>
    <w:rsid w:val="00ED1F4E"/>
    <w:rsid w:val="00ED2150"/>
    <w:rsid w:val="00ED30DF"/>
    <w:rsid w:val="00ED6372"/>
    <w:rsid w:val="00EE4BC6"/>
    <w:rsid w:val="00EE56BD"/>
    <w:rsid w:val="00EE75D7"/>
    <w:rsid w:val="00EF3C9D"/>
    <w:rsid w:val="00F013F6"/>
    <w:rsid w:val="00F06334"/>
    <w:rsid w:val="00F24AF9"/>
    <w:rsid w:val="00F27D0E"/>
    <w:rsid w:val="00F33756"/>
    <w:rsid w:val="00F34C6B"/>
    <w:rsid w:val="00F36F51"/>
    <w:rsid w:val="00F4120C"/>
    <w:rsid w:val="00F42C94"/>
    <w:rsid w:val="00F43627"/>
    <w:rsid w:val="00F50362"/>
    <w:rsid w:val="00F5175A"/>
    <w:rsid w:val="00F5645A"/>
    <w:rsid w:val="00F56DA4"/>
    <w:rsid w:val="00F619A3"/>
    <w:rsid w:val="00F63969"/>
    <w:rsid w:val="00F700B1"/>
    <w:rsid w:val="00F7028A"/>
    <w:rsid w:val="00F70E89"/>
    <w:rsid w:val="00F75A1C"/>
    <w:rsid w:val="00F769D4"/>
    <w:rsid w:val="00F82929"/>
    <w:rsid w:val="00F84821"/>
    <w:rsid w:val="00F91D2D"/>
    <w:rsid w:val="00F92844"/>
    <w:rsid w:val="00F96F76"/>
    <w:rsid w:val="00FA0E2D"/>
    <w:rsid w:val="00FA4F63"/>
    <w:rsid w:val="00FA617A"/>
    <w:rsid w:val="00FA637D"/>
    <w:rsid w:val="00FA6717"/>
    <w:rsid w:val="00FB4AB1"/>
    <w:rsid w:val="00FB58FF"/>
    <w:rsid w:val="00FB6D72"/>
    <w:rsid w:val="00FC1C50"/>
    <w:rsid w:val="00FD7A82"/>
    <w:rsid w:val="00FE0066"/>
    <w:rsid w:val="00FE1553"/>
    <w:rsid w:val="00FE2F66"/>
    <w:rsid w:val="00FE474F"/>
    <w:rsid w:val="00FE4BDD"/>
    <w:rsid w:val="00FF3BD7"/>
    <w:rsid w:val="00FF566F"/>
    <w:rsid w:val="00FF60FA"/>
    <w:rsid w:val="00FF6E0B"/>
    <w:rsid w:val="0115131B"/>
    <w:rsid w:val="01451970"/>
    <w:rsid w:val="014D58C2"/>
    <w:rsid w:val="0159332C"/>
    <w:rsid w:val="01813AAA"/>
    <w:rsid w:val="019649D3"/>
    <w:rsid w:val="01B81F98"/>
    <w:rsid w:val="01E53A68"/>
    <w:rsid w:val="01F31D29"/>
    <w:rsid w:val="023B604C"/>
    <w:rsid w:val="024B59EF"/>
    <w:rsid w:val="025B0F77"/>
    <w:rsid w:val="026B583F"/>
    <w:rsid w:val="02770B3C"/>
    <w:rsid w:val="028739E5"/>
    <w:rsid w:val="028C3ABD"/>
    <w:rsid w:val="02A459BA"/>
    <w:rsid w:val="02C66F76"/>
    <w:rsid w:val="02C94116"/>
    <w:rsid w:val="02D95F45"/>
    <w:rsid w:val="02F15080"/>
    <w:rsid w:val="034172A0"/>
    <w:rsid w:val="03423FFC"/>
    <w:rsid w:val="034B31FD"/>
    <w:rsid w:val="038E36B4"/>
    <w:rsid w:val="03B1218E"/>
    <w:rsid w:val="03D60F2F"/>
    <w:rsid w:val="03E1478D"/>
    <w:rsid w:val="03EE5241"/>
    <w:rsid w:val="03F72BEF"/>
    <w:rsid w:val="04144EF7"/>
    <w:rsid w:val="0418012E"/>
    <w:rsid w:val="041B7772"/>
    <w:rsid w:val="04363AE8"/>
    <w:rsid w:val="044B17E7"/>
    <w:rsid w:val="04604A8F"/>
    <w:rsid w:val="048B7513"/>
    <w:rsid w:val="04952CB3"/>
    <w:rsid w:val="04F2372E"/>
    <w:rsid w:val="052C7305"/>
    <w:rsid w:val="053C2829"/>
    <w:rsid w:val="05740722"/>
    <w:rsid w:val="05B568E2"/>
    <w:rsid w:val="05C704E5"/>
    <w:rsid w:val="060A449F"/>
    <w:rsid w:val="064C5F5A"/>
    <w:rsid w:val="065A1F87"/>
    <w:rsid w:val="0663234E"/>
    <w:rsid w:val="06A13635"/>
    <w:rsid w:val="06A71919"/>
    <w:rsid w:val="06BA346B"/>
    <w:rsid w:val="070C60B7"/>
    <w:rsid w:val="07244646"/>
    <w:rsid w:val="07362BEF"/>
    <w:rsid w:val="07601CD7"/>
    <w:rsid w:val="076C0FA8"/>
    <w:rsid w:val="078F26D1"/>
    <w:rsid w:val="07904AA3"/>
    <w:rsid w:val="079F4160"/>
    <w:rsid w:val="07AD68D1"/>
    <w:rsid w:val="07CC7DE6"/>
    <w:rsid w:val="07E0237B"/>
    <w:rsid w:val="08223E20"/>
    <w:rsid w:val="08340535"/>
    <w:rsid w:val="0848689E"/>
    <w:rsid w:val="08870650"/>
    <w:rsid w:val="088965EF"/>
    <w:rsid w:val="088C503A"/>
    <w:rsid w:val="08B4188C"/>
    <w:rsid w:val="08CB2ADD"/>
    <w:rsid w:val="08CE008F"/>
    <w:rsid w:val="092A33AA"/>
    <w:rsid w:val="092D4C97"/>
    <w:rsid w:val="09346B93"/>
    <w:rsid w:val="09CD4512"/>
    <w:rsid w:val="0A017571"/>
    <w:rsid w:val="0A14374B"/>
    <w:rsid w:val="0A3723C6"/>
    <w:rsid w:val="0A661610"/>
    <w:rsid w:val="0A826D5D"/>
    <w:rsid w:val="0A875395"/>
    <w:rsid w:val="0A9009E6"/>
    <w:rsid w:val="0AFB0037"/>
    <w:rsid w:val="0B1157F3"/>
    <w:rsid w:val="0B3415FC"/>
    <w:rsid w:val="0B50064E"/>
    <w:rsid w:val="0B5E759C"/>
    <w:rsid w:val="0B866223"/>
    <w:rsid w:val="0BED1444"/>
    <w:rsid w:val="0C0E4239"/>
    <w:rsid w:val="0C4F5947"/>
    <w:rsid w:val="0C99313E"/>
    <w:rsid w:val="0CA91733"/>
    <w:rsid w:val="0CCD4B8E"/>
    <w:rsid w:val="0D452C96"/>
    <w:rsid w:val="0D626BAE"/>
    <w:rsid w:val="0D6860CB"/>
    <w:rsid w:val="0DA82032"/>
    <w:rsid w:val="0DB901D4"/>
    <w:rsid w:val="0DD377AE"/>
    <w:rsid w:val="0E01162D"/>
    <w:rsid w:val="0E3A4ED3"/>
    <w:rsid w:val="0E623A90"/>
    <w:rsid w:val="0E72755E"/>
    <w:rsid w:val="0E727DA2"/>
    <w:rsid w:val="0E8B05DA"/>
    <w:rsid w:val="0EB119A7"/>
    <w:rsid w:val="0ECA2587"/>
    <w:rsid w:val="0EF82DCB"/>
    <w:rsid w:val="0F1512DF"/>
    <w:rsid w:val="0F226E34"/>
    <w:rsid w:val="0F256317"/>
    <w:rsid w:val="0F31706E"/>
    <w:rsid w:val="0F352D45"/>
    <w:rsid w:val="0F675CBD"/>
    <w:rsid w:val="0F9B0FB7"/>
    <w:rsid w:val="0FC0315E"/>
    <w:rsid w:val="0FDB7B77"/>
    <w:rsid w:val="0FE05625"/>
    <w:rsid w:val="0FFE1AF1"/>
    <w:rsid w:val="10997802"/>
    <w:rsid w:val="10CF2E2E"/>
    <w:rsid w:val="10E80264"/>
    <w:rsid w:val="10EA0DF2"/>
    <w:rsid w:val="10FC45FF"/>
    <w:rsid w:val="11542028"/>
    <w:rsid w:val="11E070B4"/>
    <w:rsid w:val="11EE45FC"/>
    <w:rsid w:val="11F13A77"/>
    <w:rsid w:val="120E38D2"/>
    <w:rsid w:val="123840C9"/>
    <w:rsid w:val="124C5059"/>
    <w:rsid w:val="1294187C"/>
    <w:rsid w:val="12B66128"/>
    <w:rsid w:val="12B83F1E"/>
    <w:rsid w:val="12D27BEC"/>
    <w:rsid w:val="13514766"/>
    <w:rsid w:val="136D599B"/>
    <w:rsid w:val="139F1C36"/>
    <w:rsid w:val="13C252F8"/>
    <w:rsid w:val="13C847C3"/>
    <w:rsid w:val="13CB6984"/>
    <w:rsid w:val="13DA4490"/>
    <w:rsid w:val="143F51D0"/>
    <w:rsid w:val="144633BC"/>
    <w:rsid w:val="14613B33"/>
    <w:rsid w:val="148C5809"/>
    <w:rsid w:val="149E4757"/>
    <w:rsid w:val="14BD37FB"/>
    <w:rsid w:val="155B190B"/>
    <w:rsid w:val="15A229B1"/>
    <w:rsid w:val="15BF7D50"/>
    <w:rsid w:val="15DA1D43"/>
    <w:rsid w:val="15F574FD"/>
    <w:rsid w:val="15F916EF"/>
    <w:rsid w:val="160B4677"/>
    <w:rsid w:val="162829A0"/>
    <w:rsid w:val="163D21EC"/>
    <w:rsid w:val="168220FA"/>
    <w:rsid w:val="16832508"/>
    <w:rsid w:val="16D50A48"/>
    <w:rsid w:val="16D8059C"/>
    <w:rsid w:val="1704143E"/>
    <w:rsid w:val="17A72E68"/>
    <w:rsid w:val="17ED2531"/>
    <w:rsid w:val="18104A18"/>
    <w:rsid w:val="18185F71"/>
    <w:rsid w:val="188F546D"/>
    <w:rsid w:val="18C7151D"/>
    <w:rsid w:val="19175CFE"/>
    <w:rsid w:val="191C4A58"/>
    <w:rsid w:val="19352BBA"/>
    <w:rsid w:val="1943210F"/>
    <w:rsid w:val="19550115"/>
    <w:rsid w:val="196D25FA"/>
    <w:rsid w:val="198F2FD2"/>
    <w:rsid w:val="19A2603D"/>
    <w:rsid w:val="19B57547"/>
    <w:rsid w:val="19DE2470"/>
    <w:rsid w:val="19E27E66"/>
    <w:rsid w:val="19ED6B46"/>
    <w:rsid w:val="1A310BA8"/>
    <w:rsid w:val="1A400DC5"/>
    <w:rsid w:val="1A6B762A"/>
    <w:rsid w:val="1A766500"/>
    <w:rsid w:val="1A917D47"/>
    <w:rsid w:val="1ABC3C5A"/>
    <w:rsid w:val="1B154000"/>
    <w:rsid w:val="1B245A93"/>
    <w:rsid w:val="1B2653EF"/>
    <w:rsid w:val="1B385B8A"/>
    <w:rsid w:val="1B642683"/>
    <w:rsid w:val="1B9E1DD0"/>
    <w:rsid w:val="1BE45BB3"/>
    <w:rsid w:val="1BEB3B02"/>
    <w:rsid w:val="1C311E08"/>
    <w:rsid w:val="1C321825"/>
    <w:rsid w:val="1C4701E9"/>
    <w:rsid w:val="1C4A069C"/>
    <w:rsid w:val="1C7B6309"/>
    <w:rsid w:val="1C832B47"/>
    <w:rsid w:val="1C887521"/>
    <w:rsid w:val="1C9261C5"/>
    <w:rsid w:val="1CDF5A48"/>
    <w:rsid w:val="1CE5722B"/>
    <w:rsid w:val="1CE9117E"/>
    <w:rsid w:val="1CF139D8"/>
    <w:rsid w:val="1CFA2A91"/>
    <w:rsid w:val="1CFD0A7C"/>
    <w:rsid w:val="1CFE51AF"/>
    <w:rsid w:val="1D132CA0"/>
    <w:rsid w:val="1D39162D"/>
    <w:rsid w:val="1D5A75A7"/>
    <w:rsid w:val="1D5E6285"/>
    <w:rsid w:val="1D6E3522"/>
    <w:rsid w:val="1DAB0993"/>
    <w:rsid w:val="1DC64F19"/>
    <w:rsid w:val="1DFF7DDB"/>
    <w:rsid w:val="1E037A41"/>
    <w:rsid w:val="1E041D6E"/>
    <w:rsid w:val="1E1E082B"/>
    <w:rsid w:val="1E526437"/>
    <w:rsid w:val="1E6860FF"/>
    <w:rsid w:val="1E766728"/>
    <w:rsid w:val="1E8D40EC"/>
    <w:rsid w:val="1E8E4B67"/>
    <w:rsid w:val="1E942212"/>
    <w:rsid w:val="1E9909AA"/>
    <w:rsid w:val="1EB03B3B"/>
    <w:rsid w:val="1EC27293"/>
    <w:rsid w:val="1ECC5E73"/>
    <w:rsid w:val="1F56289E"/>
    <w:rsid w:val="1F606764"/>
    <w:rsid w:val="1F884B54"/>
    <w:rsid w:val="1F8C78AB"/>
    <w:rsid w:val="1FAD5D82"/>
    <w:rsid w:val="1FBE4D2D"/>
    <w:rsid w:val="1FD10D03"/>
    <w:rsid w:val="1FE01D12"/>
    <w:rsid w:val="1FE55B40"/>
    <w:rsid w:val="1FEB2C88"/>
    <w:rsid w:val="200333AE"/>
    <w:rsid w:val="20210F16"/>
    <w:rsid w:val="20381819"/>
    <w:rsid w:val="20411FCE"/>
    <w:rsid w:val="20414CA1"/>
    <w:rsid w:val="20475D93"/>
    <w:rsid w:val="20AB3983"/>
    <w:rsid w:val="20AE74C2"/>
    <w:rsid w:val="20CD7A3D"/>
    <w:rsid w:val="20D85CA1"/>
    <w:rsid w:val="20D938F1"/>
    <w:rsid w:val="212539AB"/>
    <w:rsid w:val="214D5C56"/>
    <w:rsid w:val="217E7D47"/>
    <w:rsid w:val="218F5BBA"/>
    <w:rsid w:val="21970830"/>
    <w:rsid w:val="21CE6BFC"/>
    <w:rsid w:val="22243595"/>
    <w:rsid w:val="229F5FCB"/>
    <w:rsid w:val="22BF5778"/>
    <w:rsid w:val="22F95C5D"/>
    <w:rsid w:val="23145A01"/>
    <w:rsid w:val="234A19DF"/>
    <w:rsid w:val="23C7793E"/>
    <w:rsid w:val="23C90742"/>
    <w:rsid w:val="23E302FC"/>
    <w:rsid w:val="24405175"/>
    <w:rsid w:val="24476679"/>
    <w:rsid w:val="24607BD2"/>
    <w:rsid w:val="247D1A44"/>
    <w:rsid w:val="248A6F0B"/>
    <w:rsid w:val="24A21070"/>
    <w:rsid w:val="24A76E6F"/>
    <w:rsid w:val="24C548EF"/>
    <w:rsid w:val="24D1264B"/>
    <w:rsid w:val="24D50BFC"/>
    <w:rsid w:val="24F018E1"/>
    <w:rsid w:val="24FA1742"/>
    <w:rsid w:val="25076767"/>
    <w:rsid w:val="25175258"/>
    <w:rsid w:val="255652B4"/>
    <w:rsid w:val="257D3351"/>
    <w:rsid w:val="25974067"/>
    <w:rsid w:val="25F03271"/>
    <w:rsid w:val="25F84015"/>
    <w:rsid w:val="262F3A3E"/>
    <w:rsid w:val="26526135"/>
    <w:rsid w:val="26723EA0"/>
    <w:rsid w:val="269F768C"/>
    <w:rsid w:val="26C848AF"/>
    <w:rsid w:val="26D31172"/>
    <w:rsid w:val="27062977"/>
    <w:rsid w:val="27571C87"/>
    <w:rsid w:val="276B1E8B"/>
    <w:rsid w:val="277108CB"/>
    <w:rsid w:val="27844867"/>
    <w:rsid w:val="27892169"/>
    <w:rsid w:val="27920855"/>
    <w:rsid w:val="27B4132B"/>
    <w:rsid w:val="28157C40"/>
    <w:rsid w:val="281B5375"/>
    <w:rsid w:val="2824542C"/>
    <w:rsid w:val="28372084"/>
    <w:rsid w:val="28622E06"/>
    <w:rsid w:val="286B2565"/>
    <w:rsid w:val="287C6C3A"/>
    <w:rsid w:val="28886D57"/>
    <w:rsid w:val="28A705B3"/>
    <w:rsid w:val="28CA5658"/>
    <w:rsid w:val="28F87EEF"/>
    <w:rsid w:val="29130A27"/>
    <w:rsid w:val="29210099"/>
    <w:rsid w:val="29220923"/>
    <w:rsid w:val="292F265D"/>
    <w:rsid w:val="29485363"/>
    <w:rsid w:val="294D0D20"/>
    <w:rsid w:val="295C5ABC"/>
    <w:rsid w:val="296A1A7A"/>
    <w:rsid w:val="29DD674E"/>
    <w:rsid w:val="29EB6CDD"/>
    <w:rsid w:val="29EE7698"/>
    <w:rsid w:val="29EF250D"/>
    <w:rsid w:val="29F42CFB"/>
    <w:rsid w:val="2A470FAA"/>
    <w:rsid w:val="2A874242"/>
    <w:rsid w:val="2A901110"/>
    <w:rsid w:val="2AD7730F"/>
    <w:rsid w:val="2AF25235"/>
    <w:rsid w:val="2AF376AF"/>
    <w:rsid w:val="2B21574D"/>
    <w:rsid w:val="2B330C07"/>
    <w:rsid w:val="2B4443B7"/>
    <w:rsid w:val="2B555689"/>
    <w:rsid w:val="2B946EED"/>
    <w:rsid w:val="2BA06A96"/>
    <w:rsid w:val="2BB136A6"/>
    <w:rsid w:val="2BC82084"/>
    <w:rsid w:val="2BD86057"/>
    <w:rsid w:val="2C073947"/>
    <w:rsid w:val="2C0F3281"/>
    <w:rsid w:val="2C67792A"/>
    <w:rsid w:val="2C8D32AA"/>
    <w:rsid w:val="2CB32213"/>
    <w:rsid w:val="2CB54ADF"/>
    <w:rsid w:val="2CB80CCC"/>
    <w:rsid w:val="2CCE51BD"/>
    <w:rsid w:val="2CD51023"/>
    <w:rsid w:val="2CF310AD"/>
    <w:rsid w:val="2D040DC1"/>
    <w:rsid w:val="2D281A9A"/>
    <w:rsid w:val="2D5013D0"/>
    <w:rsid w:val="2D6512CA"/>
    <w:rsid w:val="2DE51CEC"/>
    <w:rsid w:val="2E017E53"/>
    <w:rsid w:val="2E034A57"/>
    <w:rsid w:val="2E1D72D7"/>
    <w:rsid w:val="2E2C3D01"/>
    <w:rsid w:val="2E525A73"/>
    <w:rsid w:val="2EB93869"/>
    <w:rsid w:val="2EC70CDC"/>
    <w:rsid w:val="2ECF58EF"/>
    <w:rsid w:val="2ED607E7"/>
    <w:rsid w:val="2EF11441"/>
    <w:rsid w:val="2EF44867"/>
    <w:rsid w:val="2EF6166D"/>
    <w:rsid w:val="2F266D26"/>
    <w:rsid w:val="2F7C4D40"/>
    <w:rsid w:val="2F9302C9"/>
    <w:rsid w:val="2F9C6A30"/>
    <w:rsid w:val="2FC82575"/>
    <w:rsid w:val="30074D0F"/>
    <w:rsid w:val="300D47EE"/>
    <w:rsid w:val="302B173A"/>
    <w:rsid w:val="302E220D"/>
    <w:rsid w:val="303368B3"/>
    <w:rsid w:val="306B7794"/>
    <w:rsid w:val="30BA5AC0"/>
    <w:rsid w:val="30E60283"/>
    <w:rsid w:val="30EA0F4A"/>
    <w:rsid w:val="310D3CC2"/>
    <w:rsid w:val="313913A9"/>
    <w:rsid w:val="31746C95"/>
    <w:rsid w:val="3176757A"/>
    <w:rsid w:val="317B24DE"/>
    <w:rsid w:val="318F5DEE"/>
    <w:rsid w:val="31E15046"/>
    <w:rsid w:val="31E1598D"/>
    <w:rsid w:val="320A65D6"/>
    <w:rsid w:val="32100829"/>
    <w:rsid w:val="32196698"/>
    <w:rsid w:val="32405F03"/>
    <w:rsid w:val="32716071"/>
    <w:rsid w:val="32C33527"/>
    <w:rsid w:val="32C67A65"/>
    <w:rsid w:val="32CD2A23"/>
    <w:rsid w:val="33484ECB"/>
    <w:rsid w:val="336269FF"/>
    <w:rsid w:val="33780FB5"/>
    <w:rsid w:val="33A65DCF"/>
    <w:rsid w:val="33AE2461"/>
    <w:rsid w:val="33E763F3"/>
    <w:rsid w:val="343B0FD4"/>
    <w:rsid w:val="346678A3"/>
    <w:rsid w:val="348C1FF6"/>
    <w:rsid w:val="34AF1930"/>
    <w:rsid w:val="34CC6012"/>
    <w:rsid w:val="34E168DE"/>
    <w:rsid w:val="34E41A8C"/>
    <w:rsid w:val="352E7146"/>
    <w:rsid w:val="35306661"/>
    <w:rsid w:val="35E05AAE"/>
    <w:rsid w:val="360959BC"/>
    <w:rsid w:val="361F3808"/>
    <w:rsid w:val="365531D3"/>
    <w:rsid w:val="36634751"/>
    <w:rsid w:val="36742008"/>
    <w:rsid w:val="36A43530"/>
    <w:rsid w:val="36B04DC3"/>
    <w:rsid w:val="36C66276"/>
    <w:rsid w:val="36D63D7C"/>
    <w:rsid w:val="36DC31ED"/>
    <w:rsid w:val="36E36896"/>
    <w:rsid w:val="36E972ED"/>
    <w:rsid w:val="37442F41"/>
    <w:rsid w:val="37517D16"/>
    <w:rsid w:val="376E5092"/>
    <w:rsid w:val="3791079A"/>
    <w:rsid w:val="37D748F2"/>
    <w:rsid w:val="382F54A4"/>
    <w:rsid w:val="383E027C"/>
    <w:rsid w:val="384B5EED"/>
    <w:rsid w:val="38621CD0"/>
    <w:rsid w:val="387A1725"/>
    <w:rsid w:val="388C4040"/>
    <w:rsid w:val="388F36C6"/>
    <w:rsid w:val="389C44C3"/>
    <w:rsid w:val="38A1711E"/>
    <w:rsid w:val="38B274D8"/>
    <w:rsid w:val="38B54060"/>
    <w:rsid w:val="38BB74A5"/>
    <w:rsid w:val="38C57299"/>
    <w:rsid w:val="38E35F75"/>
    <w:rsid w:val="38ED6BC0"/>
    <w:rsid w:val="38EE1C14"/>
    <w:rsid w:val="39B70744"/>
    <w:rsid w:val="39F23E80"/>
    <w:rsid w:val="39F30C61"/>
    <w:rsid w:val="3A041B49"/>
    <w:rsid w:val="3A0F55A5"/>
    <w:rsid w:val="3A7B1CFB"/>
    <w:rsid w:val="3A8459F7"/>
    <w:rsid w:val="3A873175"/>
    <w:rsid w:val="3A881CA1"/>
    <w:rsid w:val="3A8C65F2"/>
    <w:rsid w:val="3A9A338F"/>
    <w:rsid w:val="3AF23B2F"/>
    <w:rsid w:val="3B037B06"/>
    <w:rsid w:val="3B144472"/>
    <w:rsid w:val="3B517BFC"/>
    <w:rsid w:val="3B5B6AE1"/>
    <w:rsid w:val="3B622A0E"/>
    <w:rsid w:val="3B6A7FB0"/>
    <w:rsid w:val="3B8C7056"/>
    <w:rsid w:val="3B922130"/>
    <w:rsid w:val="3C10747F"/>
    <w:rsid w:val="3C3405AE"/>
    <w:rsid w:val="3C5C736A"/>
    <w:rsid w:val="3C744FEC"/>
    <w:rsid w:val="3C9B0CF0"/>
    <w:rsid w:val="3C9B6998"/>
    <w:rsid w:val="3D3217C4"/>
    <w:rsid w:val="3D565E19"/>
    <w:rsid w:val="3D634E6F"/>
    <w:rsid w:val="3D78440A"/>
    <w:rsid w:val="3D8E4EAA"/>
    <w:rsid w:val="3D912FAC"/>
    <w:rsid w:val="3E3B7740"/>
    <w:rsid w:val="3E766BEA"/>
    <w:rsid w:val="3E851642"/>
    <w:rsid w:val="3E854231"/>
    <w:rsid w:val="3E8E17EB"/>
    <w:rsid w:val="3E9952A1"/>
    <w:rsid w:val="3EAE620B"/>
    <w:rsid w:val="3EB17EDC"/>
    <w:rsid w:val="3EB76FF8"/>
    <w:rsid w:val="3EC92982"/>
    <w:rsid w:val="3EF1250A"/>
    <w:rsid w:val="3F007DB2"/>
    <w:rsid w:val="3F384209"/>
    <w:rsid w:val="3F4970F3"/>
    <w:rsid w:val="3F4F67B1"/>
    <w:rsid w:val="3F6C7B7F"/>
    <w:rsid w:val="3FB64604"/>
    <w:rsid w:val="3FBF609A"/>
    <w:rsid w:val="3FC10F40"/>
    <w:rsid w:val="3FD85092"/>
    <w:rsid w:val="3FE57A00"/>
    <w:rsid w:val="40072154"/>
    <w:rsid w:val="400B27A9"/>
    <w:rsid w:val="40130898"/>
    <w:rsid w:val="40622D52"/>
    <w:rsid w:val="40735A5A"/>
    <w:rsid w:val="407B4DD5"/>
    <w:rsid w:val="40EB749F"/>
    <w:rsid w:val="40F433E9"/>
    <w:rsid w:val="410468D1"/>
    <w:rsid w:val="4120496E"/>
    <w:rsid w:val="4125590F"/>
    <w:rsid w:val="414A47FF"/>
    <w:rsid w:val="414C4489"/>
    <w:rsid w:val="417B5000"/>
    <w:rsid w:val="419F64A4"/>
    <w:rsid w:val="41E03B8B"/>
    <w:rsid w:val="41EF444F"/>
    <w:rsid w:val="420B4BF7"/>
    <w:rsid w:val="42894D66"/>
    <w:rsid w:val="42A52BAA"/>
    <w:rsid w:val="42C63105"/>
    <w:rsid w:val="42D6387C"/>
    <w:rsid w:val="42D83B09"/>
    <w:rsid w:val="42EE75EE"/>
    <w:rsid w:val="42FD44EB"/>
    <w:rsid w:val="439E0E56"/>
    <w:rsid w:val="43AD6043"/>
    <w:rsid w:val="44451492"/>
    <w:rsid w:val="44762741"/>
    <w:rsid w:val="44E93695"/>
    <w:rsid w:val="450B1B80"/>
    <w:rsid w:val="453E5D70"/>
    <w:rsid w:val="4541013D"/>
    <w:rsid w:val="458D615F"/>
    <w:rsid w:val="459F3A4A"/>
    <w:rsid w:val="45E05A77"/>
    <w:rsid w:val="461131A2"/>
    <w:rsid w:val="46611407"/>
    <w:rsid w:val="471274C2"/>
    <w:rsid w:val="473501ED"/>
    <w:rsid w:val="473B28B7"/>
    <w:rsid w:val="47537742"/>
    <w:rsid w:val="47623F9D"/>
    <w:rsid w:val="47670D40"/>
    <w:rsid w:val="476C5FC3"/>
    <w:rsid w:val="477F61B7"/>
    <w:rsid w:val="478A61EF"/>
    <w:rsid w:val="47970092"/>
    <w:rsid w:val="47D241C3"/>
    <w:rsid w:val="47DD1166"/>
    <w:rsid w:val="480774D7"/>
    <w:rsid w:val="4824501D"/>
    <w:rsid w:val="48326DA6"/>
    <w:rsid w:val="48653CF8"/>
    <w:rsid w:val="488B2F1F"/>
    <w:rsid w:val="48A2108A"/>
    <w:rsid w:val="48CC5108"/>
    <w:rsid w:val="48CF5A98"/>
    <w:rsid w:val="48FD337D"/>
    <w:rsid w:val="49354868"/>
    <w:rsid w:val="496D66DC"/>
    <w:rsid w:val="499C7FD1"/>
    <w:rsid w:val="4A655AF5"/>
    <w:rsid w:val="4A692455"/>
    <w:rsid w:val="4A6D0523"/>
    <w:rsid w:val="4AD928D8"/>
    <w:rsid w:val="4ADD3489"/>
    <w:rsid w:val="4B5235B5"/>
    <w:rsid w:val="4B84043E"/>
    <w:rsid w:val="4BA10349"/>
    <w:rsid w:val="4BA24089"/>
    <w:rsid w:val="4C037D97"/>
    <w:rsid w:val="4C1D2CFA"/>
    <w:rsid w:val="4CA94164"/>
    <w:rsid w:val="4CAE1D99"/>
    <w:rsid w:val="4CC343EB"/>
    <w:rsid w:val="4CC605F3"/>
    <w:rsid w:val="4D587760"/>
    <w:rsid w:val="4D7953E7"/>
    <w:rsid w:val="4D903C41"/>
    <w:rsid w:val="4DA46DA9"/>
    <w:rsid w:val="4DC76A97"/>
    <w:rsid w:val="4E3276B5"/>
    <w:rsid w:val="4E990870"/>
    <w:rsid w:val="4E9A2DF5"/>
    <w:rsid w:val="4EA12DFD"/>
    <w:rsid w:val="4EA166BA"/>
    <w:rsid w:val="4EC35483"/>
    <w:rsid w:val="4ED6006A"/>
    <w:rsid w:val="4EF01677"/>
    <w:rsid w:val="4F16188A"/>
    <w:rsid w:val="4F184C3D"/>
    <w:rsid w:val="4F452E1D"/>
    <w:rsid w:val="4F4568EE"/>
    <w:rsid w:val="4F4A3053"/>
    <w:rsid w:val="4F576C2C"/>
    <w:rsid w:val="4F5F0EA0"/>
    <w:rsid w:val="4F83658D"/>
    <w:rsid w:val="4F907069"/>
    <w:rsid w:val="4F9446FE"/>
    <w:rsid w:val="4FCD241A"/>
    <w:rsid w:val="4FE97E3B"/>
    <w:rsid w:val="501F3220"/>
    <w:rsid w:val="50206A85"/>
    <w:rsid w:val="502A7555"/>
    <w:rsid w:val="50866A4B"/>
    <w:rsid w:val="50BB4459"/>
    <w:rsid w:val="50FD3C07"/>
    <w:rsid w:val="51110E0E"/>
    <w:rsid w:val="511740CA"/>
    <w:rsid w:val="51F35963"/>
    <w:rsid w:val="52193066"/>
    <w:rsid w:val="522254E6"/>
    <w:rsid w:val="52382EED"/>
    <w:rsid w:val="526A2E49"/>
    <w:rsid w:val="52725003"/>
    <w:rsid w:val="52766651"/>
    <w:rsid w:val="529334A7"/>
    <w:rsid w:val="52D07A71"/>
    <w:rsid w:val="52E30664"/>
    <w:rsid w:val="533943B2"/>
    <w:rsid w:val="53777F30"/>
    <w:rsid w:val="53811452"/>
    <w:rsid w:val="539A08F8"/>
    <w:rsid w:val="53E41FF1"/>
    <w:rsid w:val="53F779B6"/>
    <w:rsid w:val="54192FA1"/>
    <w:rsid w:val="54210D73"/>
    <w:rsid w:val="546F7693"/>
    <w:rsid w:val="54721C30"/>
    <w:rsid w:val="547649B7"/>
    <w:rsid w:val="548C13AB"/>
    <w:rsid w:val="54D166AD"/>
    <w:rsid w:val="551A1F2C"/>
    <w:rsid w:val="551D1077"/>
    <w:rsid w:val="551F3ADD"/>
    <w:rsid w:val="55751470"/>
    <w:rsid w:val="55A9662C"/>
    <w:rsid w:val="55AF464C"/>
    <w:rsid w:val="55C26DB0"/>
    <w:rsid w:val="55E07638"/>
    <w:rsid w:val="55E66DDB"/>
    <w:rsid w:val="560C2A07"/>
    <w:rsid w:val="562543F0"/>
    <w:rsid w:val="563077C6"/>
    <w:rsid w:val="563A251E"/>
    <w:rsid w:val="5651378C"/>
    <w:rsid w:val="565C1F74"/>
    <w:rsid w:val="5674416A"/>
    <w:rsid w:val="567B6358"/>
    <w:rsid w:val="5685138B"/>
    <w:rsid w:val="56CD0356"/>
    <w:rsid w:val="573E2C8E"/>
    <w:rsid w:val="57461F74"/>
    <w:rsid w:val="57464959"/>
    <w:rsid w:val="57966590"/>
    <w:rsid w:val="57A80F1F"/>
    <w:rsid w:val="57C250CD"/>
    <w:rsid w:val="57D17353"/>
    <w:rsid w:val="57EB47D7"/>
    <w:rsid w:val="58940EA6"/>
    <w:rsid w:val="58A745BD"/>
    <w:rsid w:val="58B57C0B"/>
    <w:rsid w:val="58FC17D8"/>
    <w:rsid w:val="59390453"/>
    <w:rsid w:val="59412F93"/>
    <w:rsid w:val="596A753E"/>
    <w:rsid w:val="59836980"/>
    <w:rsid w:val="598D717D"/>
    <w:rsid w:val="59DB34A5"/>
    <w:rsid w:val="5A1A62BA"/>
    <w:rsid w:val="5A202D14"/>
    <w:rsid w:val="5A5E6FEE"/>
    <w:rsid w:val="5A731BCE"/>
    <w:rsid w:val="5A780E60"/>
    <w:rsid w:val="5AB67BC0"/>
    <w:rsid w:val="5ABD25F5"/>
    <w:rsid w:val="5AC47F38"/>
    <w:rsid w:val="5AE3482C"/>
    <w:rsid w:val="5B110410"/>
    <w:rsid w:val="5B8D6933"/>
    <w:rsid w:val="5BAD5DB5"/>
    <w:rsid w:val="5BB44C0B"/>
    <w:rsid w:val="5BC21397"/>
    <w:rsid w:val="5C301585"/>
    <w:rsid w:val="5C33638D"/>
    <w:rsid w:val="5C4464A4"/>
    <w:rsid w:val="5C666FAF"/>
    <w:rsid w:val="5C713B9F"/>
    <w:rsid w:val="5C945C92"/>
    <w:rsid w:val="5CA8352B"/>
    <w:rsid w:val="5CAA121A"/>
    <w:rsid w:val="5CC16747"/>
    <w:rsid w:val="5CD17B32"/>
    <w:rsid w:val="5CDF4D92"/>
    <w:rsid w:val="5CED7F03"/>
    <w:rsid w:val="5D4E0D63"/>
    <w:rsid w:val="5D9064E3"/>
    <w:rsid w:val="5DA1314A"/>
    <w:rsid w:val="5DCC18DD"/>
    <w:rsid w:val="5E3B0298"/>
    <w:rsid w:val="5E547B2C"/>
    <w:rsid w:val="5E7D35A5"/>
    <w:rsid w:val="5F006B77"/>
    <w:rsid w:val="5F3673C4"/>
    <w:rsid w:val="5F4D5752"/>
    <w:rsid w:val="5F711E6C"/>
    <w:rsid w:val="5F9E2966"/>
    <w:rsid w:val="5FA85294"/>
    <w:rsid w:val="5FAE5685"/>
    <w:rsid w:val="5FC75223"/>
    <w:rsid w:val="5FCC0E64"/>
    <w:rsid w:val="5FCC2EBA"/>
    <w:rsid w:val="5FDF588C"/>
    <w:rsid w:val="5FE404A3"/>
    <w:rsid w:val="601A2EBA"/>
    <w:rsid w:val="603D58F4"/>
    <w:rsid w:val="60644EBB"/>
    <w:rsid w:val="60893661"/>
    <w:rsid w:val="609453AD"/>
    <w:rsid w:val="60CB4552"/>
    <w:rsid w:val="60E52D9E"/>
    <w:rsid w:val="60EE376F"/>
    <w:rsid w:val="6118431B"/>
    <w:rsid w:val="611C3B9A"/>
    <w:rsid w:val="613B6DE6"/>
    <w:rsid w:val="61473EE7"/>
    <w:rsid w:val="6176003A"/>
    <w:rsid w:val="617C7665"/>
    <w:rsid w:val="61A2606A"/>
    <w:rsid w:val="61EA3517"/>
    <w:rsid w:val="61F34E34"/>
    <w:rsid w:val="61FB0E28"/>
    <w:rsid w:val="623065F6"/>
    <w:rsid w:val="625859ED"/>
    <w:rsid w:val="62E7154F"/>
    <w:rsid w:val="63091660"/>
    <w:rsid w:val="630D6C77"/>
    <w:rsid w:val="633D445E"/>
    <w:rsid w:val="63557404"/>
    <w:rsid w:val="637F0CC9"/>
    <w:rsid w:val="639D432A"/>
    <w:rsid w:val="63AA00CE"/>
    <w:rsid w:val="63AC1A31"/>
    <w:rsid w:val="64637862"/>
    <w:rsid w:val="647743EC"/>
    <w:rsid w:val="648C68FA"/>
    <w:rsid w:val="64931174"/>
    <w:rsid w:val="64C76413"/>
    <w:rsid w:val="64D0514B"/>
    <w:rsid w:val="64D61CC2"/>
    <w:rsid w:val="65090347"/>
    <w:rsid w:val="65116D11"/>
    <w:rsid w:val="65143E54"/>
    <w:rsid w:val="651B0FA8"/>
    <w:rsid w:val="651B7001"/>
    <w:rsid w:val="651E0213"/>
    <w:rsid w:val="652A680A"/>
    <w:rsid w:val="6538132E"/>
    <w:rsid w:val="654229A8"/>
    <w:rsid w:val="65577B31"/>
    <w:rsid w:val="65B53BC6"/>
    <w:rsid w:val="661F281A"/>
    <w:rsid w:val="6624502A"/>
    <w:rsid w:val="665F0915"/>
    <w:rsid w:val="669811DF"/>
    <w:rsid w:val="669B03C2"/>
    <w:rsid w:val="669E20D0"/>
    <w:rsid w:val="66AB21A4"/>
    <w:rsid w:val="66D478D1"/>
    <w:rsid w:val="670A7CEA"/>
    <w:rsid w:val="67164A7D"/>
    <w:rsid w:val="672B33F4"/>
    <w:rsid w:val="672F7A3B"/>
    <w:rsid w:val="6765510A"/>
    <w:rsid w:val="676807F4"/>
    <w:rsid w:val="67900CA7"/>
    <w:rsid w:val="679166C8"/>
    <w:rsid w:val="67B92AF5"/>
    <w:rsid w:val="67E113F2"/>
    <w:rsid w:val="67F764AE"/>
    <w:rsid w:val="6808075C"/>
    <w:rsid w:val="683F3FDD"/>
    <w:rsid w:val="685D6012"/>
    <w:rsid w:val="68881C78"/>
    <w:rsid w:val="68BF7818"/>
    <w:rsid w:val="68D35AE0"/>
    <w:rsid w:val="68E43F16"/>
    <w:rsid w:val="68FC4B10"/>
    <w:rsid w:val="69111AEC"/>
    <w:rsid w:val="69192C19"/>
    <w:rsid w:val="69224D70"/>
    <w:rsid w:val="695558A5"/>
    <w:rsid w:val="696C220C"/>
    <w:rsid w:val="69763FA3"/>
    <w:rsid w:val="697C3AD9"/>
    <w:rsid w:val="698460AD"/>
    <w:rsid w:val="69DB133C"/>
    <w:rsid w:val="6A396658"/>
    <w:rsid w:val="6A7E5DCC"/>
    <w:rsid w:val="6AA449A0"/>
    <w:rsid w:val="6ADC5EB8"/>
    <w:rsid w:val="6B1D7AAE"/>
    <w:rsid w:val="6B324F4A"/>
    <w:rsid w:val="6B691305"/>
    <w:rsid w:val="6BBC74BD"/>
    <w:rsid w:val="6BEC234B"/>
    <w:rsid w:val="6BF24D4D"/>
    <w:rsid w:val="6C0A4383"/>
    <w:rsid w:val="6C0E172F"/>
    <w:rsid w:val="6C4108FF"/>
    <w:rsid w:val="6C7262C9"/>
    <w:rsid w:val="6CC643F1"/>
    <w:rsid w:val="6D0903F9"/>
    <w:rsid w:val="6D66437C"/>
    <w:rsid w:val="6D7838A9"/>
    <w:rsid w:val="6D970019"/>
    <w:rsid w:val="6DDC138F"/>
    <w:rsid w:val="6DDD105B"/>
    <w:rsid w:val="6DE547A4"/>
    <w:rsid w:val="6DED2DB3"/>
    <w:rsid w:val="6E116410"/>
    <w:rsid w:val="6E272B41"/>
    <w:rsid w:val="6E540848"/>
    <w:rsid w:val="6E743A34"/>
    <w:rsid w:val="6E762F66"/>
    <w:rsid w:val="6EDA75F6"/>
    <w:rsid w:val="6F1E3512"/>
    <w:rsid w:val="6F345300"/>
    <w:rsid w:val="6F376CB0"/>
    <w:rsid w:val="6F3B13A9"/>
    <w:rsid w:val="6F58017B"/>
    <w:rsid w:val="6F8C55C2"/>
    <w:rsid w:val="70133765"/>
    <w:rsid w:val="707C4C46"/>
    <w:rsid w:val="70AB511A"/>
    <w:rsid w:val="70B5611C"/>
    <w:rsid w:val="71382996"/>
    <w:rsid w:val="717D50F2"/>
    <w:rsid w:val="71F010C5"/>
    <w:rsid w:val="71F80774"/>
    <w:rsid w:val="72346B14"/>
    <w:rsid w:val="723B732C"/>
    <w:rsid w:val="72456A8C"/>
    <w:rsid w:val="724645D5"/>
    <w:rsid w:val="726222EF"/>
    <w:rsid w:val="72645038"/>
    <w:rsid w:val="727F150A"/>
    <w:rsid w:val="72AA268A"/>
    <w:rsid w:val="72BB2028"/>
    <w:rsid w:val="72E24FC8"/>
    <w:rsid w:val="72E43286"/>
    <w:rsid w:val="734C2308"/>
    <w:rsid w:val="735C74F0"/>
    <w:rsid w:val="736035B8"/>
    <w:rsid w:val="73A86BFD"/>
    <w:rsid w:val="73CC2843"/>
    <w:rsid w:val="73E30337"/>
    <w:rsid w:val="74253AE1"/>
    <w:rsid w:val="74465535"/>
    <w:rsid w:val="74C13C71"/>
    <w:rsid w:val="750003AD"/>
    <w:rsid w:val="75051E92"/>
    <w:rsid w:val="751F6CE6"/>
    <w:rsid w:val="754360E2"/>
    <w:rsid w:val="75455030"/>
    <w:rsid w:val="757B0BF0"/>
    <w:rsid w:val="7585471D"/>
    <w:rsid w:val="75B67DE5"/>
    <w:rsid w:val="75EE293E"/>
    <w:rsid w:val="75F20FBA"/>
    <w:rsid w:val="76546942"/>
    <w:rsid w:val="765D5115"/>
    <w:rsid w:val="76906275"/>
    <w:rsid w:val="76C03600"/>
    <w:rsid w:val="76C10112"/>
    <w:rsid w:val="76EB40B7"/>
    <w:rsid w:val="76FF7967"/>
    <w:rsid w:val="776C0423"/>
    <w:rsid w:val="776C7498"/>
    <w:rsid w:val="77814A0A"/>
    <w:rsid w:val="77F175D1"/>
    <w:rsid w:val="780249E8"/>
    <w:rsid w:val="78104FA2"/>
    <w:rsid w:val="78256105"/>
    <w:rsid w:val="78542E38"/>
    <w:rsid w:val="787142DD"/>
    <w:rsid w:val="78985F3D"/>
    <w:rsid w:val="78CC2C96"/>
    <w:rsid w:val="79004A91"/>
    <w:rsid w:val="79325F08"/>
    <w:rsid w:val="79706E53"/>
    <w:rsid w:val="79EA549E"/>
    <w:rsid w:val="79EC31CA"/>
    <w:rsid w:val="79F35BE7"/>
    <w:rsid w:val="79F605B8"/>
    <w:rsid w:val="79F61EB2"/>
    <w:rsid w:val="7A0E76C4"/>
    <w:rsid w:val="7A115B00"/>
    <w:rsid w:val="7A2E0E6B"/>
    <w:rsid w:val="7A350B7E"/>
    <w:rsid w:val="7A512B3A"/>
    <w:rsid w:val="7A5A4D3B"/>
    <w:rsid w:val="7A737AD4"/>
    <w:rsid w:val="7A7C2D1A"/>
    <w:rsid w:val="7A964349"/>
    <w:rsid w:val="7AC450B7"/>
    <w:rsid w:val="7ADB720F"/>
    <w:rsid w:val="7B141557"/>
    <w:rsid w:val="7B5C27F8"/>
    <w:rsid w:val="7B790DE1"/>
    <w:rsid w:val="7BB35E60"/>
    <w:rsid w:val="7C2C2D2D"/>
    <w:rsid w:val="7C816BF4"/>
    <w:rsid w:val="7CCC1ED0"/>
    <w:rsid w:val="7D014C00"/>
    <w:rsid w:val="7D276F00"/>
    <w:rsid w:val="7D7C58C3"/>
    <w:rsid w:val="7D894643"/>
    <w:rsid w:val="7D9B1251"/>
    <w:rsid w:val="7DB976CA"/>
    <w:rsid w:val="7DE94AE5"/>
    <w:rsid w:val="7DF44DB3"/>
    <w:rsid w:val="7E080A34"/>
    <w:rsid w:val="7E271FAB"/>
    <w:rsid w:val="7E3B567F"/>
    <w:rsid w:val="7EC17485"/>
    <w:rsid w:val="7EFF4A83"/>
    <w:rsid w:val="7F210833"/>
    <w:rsid w:val="7F4027DF"/>
    <w:rsid w:val="7F9775B9"/>
    <w:rsid w:val="7FA94856"/>
    <w:rsid w:val="7FB12A57"/>
    <w:rsid w:val="7FC4122B"/>
    <w:rsid w:val="7FCD5D98"/>
    <w:rsid w:val="7FD472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snapToGrid w:val="0"/>
      <w:spacing w:line="360" w:lineRule="auto"/>
      <w:ind w:firstLine="567"/>
    </w:pPr>
    <w:rPr>
      <w:sz w:val="28"/>
    </w:rPr>
  </w:style>
  <w:style w:type="paragraph" w:styleId="7">
    <w:name w:val="annotation text"/>
    <w:basedOn w:val="1"/>
    <w:link w:val="47"/>
    <w:qFormat/>
    <w:uiPriority w:val="0"/>
    <w:pPr>
      <w:jc w:val="left"/>
    </w:pPr>
  </w:style>
  <w:style w:type="paragraph" w:styleId="8">
    <w:name w:val="Salutation"/>
    <w:basedOn w:val="1"/>
    <w:next w:val="1"/>
    <w:link w:val="37"/>
    <w:qFormat/>
    <w:uiPriority w:val="0"/>
    <w:rPr>
      <w:rFonts w:ascii="仿宋_GB2312" w:eastAsia="仿宋_GB2312"/>
      <w:sz w:val="28"/>
      <w:szCs w:val="28"/>
    </w:rPr>
  </w:style>
  <w:style w:type="paragraph" w:styleId="9">
    <w:name w:val="Body Text"/>
    <w:basedOn w:val="1"/>
    <w:qFormat/>
    <w:uiPriority w:val="0"/>
    <w:rPr>
      <w:rFonts w:hint="eastAsia" w:ascii="仿宋_GB2312" w:eastAsia="仿宋_GB2312"/>
      <w:sz w:val="28"/>
      <w:szCs w:val="20"/>
    </w:rPr>
  </w:style>
  <w:style w:type="paragraph" w:styleId="10">
    <w:name w:val="Body Text Indent"/>
    <w:basedOn w:val="1"/>
    <w:qFormat/>
    <w:uiPriority w:val="0"/>
    <w:pPr>
      <w:ind w:left="1050"/>
    </w:pPr>
    <w:rPr>
      <w:szCs w:val="20"/>
    </w:rPr>
  </w:style>
  <w:style w:type="paragraph" w:styleId="11">
    <w:name w:val="Plain Text"/>
    <w:basedOn w:val="1"/>
    <w:qFormat/>
    <w:uiPriority w:val="0"/>
    <w:rPr>
      <w:rFonts w:ascii="宋体" w:hAnsi="Courier New"/>
    </w:rPr>
  </w:style>
  <w:style w:type="paragraph" w:styleId="12">
    <w:name w:val="Date"/>
    <w:basedOn w:val="1"/>
    <w:next w:val="1"/>
    <w:qFormat/>
    <w:uiPriority w:val="0"/>
    <w:pPr>
      <w:ind w:left="100" w:leftChars="2500"/>
    </w:pPr>
  </w:style>
  <w:style w:type="paragraph" w:styleId="13">
    <w:name w:val="Balloon Text"/>
    <w:basedOn w:val="1"/>
    <w:semiHidden/>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style>
  <w:style w:type="paragraph" w:styleId="17">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18">
    <w:name w:val="footnote text"/>
    <w:basedOn w:val="1"/>
    <w:link w:val="34"/>
    <w:qFormat/>
    <w:uiPriority w:val="0"/>
    <w:pPr>
      <w:snapToGrid w:val="0"/>
      <w:jc w:val="left"/>
    </w:pPr>
    <w:rPr>
      <w:sz w:val="18"/>
      <w:szCs w:val="18"/>
    </w:rPr>
  </w:style>
  <w:style w:type="paragraph" w:styleId="19">
    <w:name w:val="toc 2"/>
    <w:basedOn w:val="1"/>
    <w:next w:val="1"/>
    <w:qFormat/>
    <w:uiPriority w:val="39"/>
    <w:pPr>
      <w:tabs>
        <w:tab w:val="right" w:leader="dot" w:pos="9890"/>
      </w:tabs>
      <w:spacing w:line="360" w:lineRule="auto"/>
      <w:ind w:left="420" w:leftChars="200"/>
    </w:pPr>
  </w:style>
  <w:style w:type="paragraph" w:styleId="2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18"/>
      <w:szCs w:val="18"/>
    </w:rPr>
  </w:style>
  <w:style w:type="paragraph" w:styleId="21">
    <w:name w:val="Normal (Web)"/>
    <w:basedOn w:val="1"/>
    <w:qFormat/>
    <w:uiPriority w:val="0"/>
    <w:pPr>
      <w:jc w:val="left"/>
    </w:pPr>
    <w:rPr>
      <w:kern w:val="0"/>
      <w:sz w:val="24"/>
    </w:rPr>
  </w:style>
  <w:style w:type="paragraph" w:styleId="22">
    <w:name w:val="annotation subject"/>
    <w:basedOn w:val="7"/>
    <w:next w:val="7"/>
    <w:link w:val="42"/>
    <w:qFormat/>
    <w:uiPriority w:val="0"/>
    <w:rPr>
      <w:b/>
      <w:bCs/>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page number"/>
    <w:basedOn w:val="25"/>
    <w:qFormat/>
    <w:uiPriority w:val="0"/>
  </w:style>
  <w:style w:type="character" w:styleId="27">
    <w:name w:val="Hyperlink"/>
    <w:basedOn w:val="25"/>
    <w:qFormat/>
    <w:uiPriority w:val="99"/>
    <w:rPr>
      <w:color w:val="0000FF"/>
      <w:u w:val="single"/>
    </w:rPr>
  </w:style>
  <w:style w:type="character" w:styleId="28">
    <w:name w:val="annotation reference"/>
    <w:qFormat/>
    <w:uiPriority w:val="0"/>
    <w:rPr>
      <w:sz w:val="21"/>
      <w:szCs w:val="21"/>
    </w:rPr>
  </w:style>
  <w:style w:type="character" w:styleId="29">
    <w:name w:val="footnote reference"/>
    <w:qFormat/>
    <w:uiPriority w:val="0"/>
    <w:rPr>
      <w:vertAlign w:val="superscript"/>
    </w:rPr>
  </w:style>
  <w:style w:type="paragraph" w:customStyle="1" w:styleId="30">
    <w:name w:val="zw"/>
    <w:basedOn w:val="1"/>
    <w:qFormat/>
    <w:uiPriority w:val="0"/>
    <w:pPr>
      <w:autoSpaceDE w:val="0"/>
      <w:autoSpaceDN w:val="0"/>
      <w:adjustRightInd w:val="0"/>
      <w:spacing w:line="360" w:lineRule="auto"/>
      <w:ind w:firstLine="482"/>
      <w:textAlignment w:val="bottom"/>
    </w:pPr>
    <w:rPr>
      <w:rFonts w:ascii="Arial Narrow" w:hAnsi="Arial Narrow" w:eastAsia="仿宋_GB2312"/>
      <w:kern w:val="0"/>
      <w:sz w:val="24"/>
      <w:szCs w:val="20"/>
    </w:rPr>
  </w:style>
  <w:style w:type="paragraph" w:customStyle="1" w:styleId="31">
    <w:name w:val="报告正文 Char Char Char"/>
    <w:basedOn w:val="1"/>
    <w:qFormat/>
    <w:uiPriority w:val="0"/>
    <w:pPr>
      <w:adjustRightInd w:val="0"/>
      <w:snapToGrid w:val="0"/>
      <w:spacing w:line="336" w:lineRule="auto"/>
      <w:ind w:left="2603"/>
    </w:pPr>
    <w:rPr>
      <w:rFonts w:ascii="华文细黑" w:eastAsia="华文细黑" w:cs="宋体"/>
      <w:sz w:val="22"/>
      <w:szCs w:val="20"/>
    </w:rPr>
  </w:style>
  <w:style w:type="paragraph" w:customStyle="1" w:styleId="32">
    <w:name w:val="列出段落1"/>
    <w:basedOn w:val="1"/>
    <w:qFormat/>
    <w:uiPriority w:val="34"/>
    <w:pPr>
      <w:ind w:firstLine="420" w:firstLineChars="200"/>
    </w:pPr>
    <w:rPr>
      <w:rFonts w:ascii="Calibri" w:hAnsi="Calibri"/>
      <w:szCs w:val="22"/>
    </w:rPr>
  </w:style>
  <w:style w:type="paragraph" w:customStyle="1" w:styleId="33">
    <w:name w:val="先河正文"/>
    <w:basedOn w:val="1"/>
    <w:qFormat/>
    <w:uiPriority w:val="0"/>
    <w:pPr>
      <w:ind w:firstLine="550" w:firstLineChars="200"/>
    </w:pPr>
    <w:rPr>
      <w:sz w:val="28"/>
      <w:lang w:bidi="he-IL"/>
    </w:rPr>
  </w:style>
  <w:style w:type="character" w:customStyle="1" w:styleId="34">
    <w:name w:val="脚注文本 字符"/>
    <w:link w:val="18"/>
    <w:qFormat/>
    <w:uiPriority w:val="0"/>
    <w:rPr>
      <w:kern w:val="2"/>
      <w:sz w:val="18"/>
      <w:szCs w:val="18"/>
    </w:rPr>
  </w:style>
  <w:style w:type="character" w:customStyle="1" w:styleId="35">
    <w:name w:val="font61"/>
    <w:qFormat/>
    <w:uiPriority w:val="0"/>
    <w:rPr>
      <w:rFonts w:hint="eastAsia" w:ascii="黑体" w:hAnsi="宋体" w:eastAsia="黑体" w:cs="黑体"/>
      <w:color w:val="000000"/>
      <w:sz w:val="40"/>
      <w:szCs w:val="40"/>
      <w:u w:val="none"/>
    </w:rPr>
  </w:style>
  <w:style w:type="character" w:customStyle="1" w:styleId="36">
    <w:name w:val="font71"/>
    <w:qFormat/>
    <w:uiPriority w:val="0"/>
    <w:rPr>
      <w:rFonts w:hint="eastAsia" w:ascii="宋体" w:hAnsi="宋体" w:eastAsia="宋体" w:cs="宋体"/>
      <w:color w:val="000000"/>
      <w:sz w:val="24"/>
      <w:szCs w:val="24"/>
      <w:u w:val="none"/>
    </w:rPr>
  </w:style>
  <w:style w:type="character" w:customStyle="1" w:styleId="37">
    <w:name w:val="称呼 字符"/>
    <w:link w:val="8"/>
    <w:qFormat/>
    <w:uiPriority w:val="0"/>
    <w:rPr>
      <w:rFonts w:ascii="仿宋_GB2312" w:eastAsia="仿宋_GB2312"/>
      <w:kern w:val="2"/>
      <w:sz w:val="28"/>
      <w:szCs w:val="28"/>
      <w:lang w:bidi="ar-SA"/>
    </w:rPr>
  </w:style>
  <w:style w:type="character" w:customStyle="1" w:styleId="38">
    <w:name w:val="font131"/>
    <w:qFormat/>
    <w:uiPriority w:val="0"/>
    <w:rPr>
      <w:rFonts w:hint="default" w:ascii="Times New Roman" w:hAnsi="Times New Roman" w:cs="Times New Roman"/>
      <w:color w:val="000000"/>
      <w:sz w:val="22"/>
      <w:szCs w:val="22"/>
      <w:u w:val="none"/>
    </w:rPr>
  </w:style>
  <w:style w:type="character" w:customStyle="1" w:styleId="39">
    <w:name w:val="font51"/>
    <w:basedOn w:val="25"/>
    <w:qFormat/>
    <w:uiPriority w:val="0"/>
    <w:rPr>
      <w:rFonts w:hint="eastAsia" w:ascii="仿宋" w:hAnsi="仿宋" w:eastAsia="仿宋" w:cs="仿宋"/>
      <w:color w:val="000000"/>
      <w:sz w:val="24"/>
      <w:szCs w:val="24"/>
      <w:u w:val="none"/>
    </w:rPr>
  </w:style>
  <w:style w:type="character" w:customStyle="1" w:styleId="40">
    <w:name w:val="font41"/>
    <w:qFormat/>
    <w:uiPriority w:val="0"/>
    <w:rPr>
      <w:rFonts w:hint="default" w:ascii="Times New Roman" w:hAnsi="Times New Roman" w:cs="Times New Roman"/>
      <w:color w:val="000000"/>
      <w:sz w:val="22"/>
      <w:szCs w:val="22"/>
      <w:u w:val="none"/>
    </w:rPr>
  </w:style>
  <w:style w:type="character" w:customStyle="1" w:styleId="41">
    <w:name w:val="font31"/>
    <w:qFormat/>
    <w:uiPriority w:val="0"/>
    <w:rPr>
      <w:rFonts w:hint="default" w:ascii="Times New Roman" w:hAnsi="Times New Roman" w:cs="Times New Roman"/>
      <w:color w:val="000000"/>
      <w:sz w:val="24"/>
      <w:szCs w:val="24"/>
      <w:u w:val="none"/>
    </w:rPr>
  </w:style>
  <w:style w:type="character" w:customStyle="1" w:styleId="42">
    <w:name w:val="批注主题 字符"/>
    <w:link w:val="22"/>
    <w:qFormat/>
    <w:uiPriority w:val="0"/>
    <w:rPr>
      <w:b/>
      <w:bCs/>
      <w:kern w:val="2"/>
      <w:sz w:val="21"/>
      <w:szCs w:val="24"/>
    </w:rPr>
  </w:style>
  <w:style w:type="character" w:customStyle="1" w:styleId="43">
    <w:name w:val="font81"/>
    <w:qFormat/>
    <w:uiPriority w:val="0"/>
    <w:rPr>
      <w:rFonts w:hint="default" w:ascii="Times New Roman" w:hAnsi="Times New Roman" w:cs="Times New Roman"/>
      <w:color w:val="000000"/>
      <w:sz w:val="24"/>
      <w:szCs w:val="24"/>
      <w:u w:val="none"/>
    </w:rPr>
  </w:style>
  <w:style w:type="character" w:customStyle="1" w:styleId="44">
    <w:name w:val="font01"/>
    <w:basedOn w:val="25"/>
    <w:qFormat/>
    <w:uiPriority w:val="0"/>
    <w:rPr>
      <w:rFonts w:hint="eastAsia" w:ascii="楷体" w:hAnsi="楷体" w:eastAsia="楷体" w:cs="楷体"/>
      <w:color w:val="000000"/>
      <w:sz w:val="20"/>
      <w:szCs w:val="20"/>
      <w:u w:val="none"/>
      <w:vertAlign w:val="superscript"/>
    </w:rPr>
  </w:style>
  <w:style w:type="character" w:customStyle="1" w:styleId="45">
    <w:name w:val="font21"/>
    <w:qFormat/>
    <w:uiPriority w:val="0"/>
    <w:rPr>
      <w:rFonts w:hint="eastAsia" w:ascii="宋体" w:hAnsi="宋体" w:eastAsia="宋体" w:cs="宋体"/>
      <w:color w:val="000000"/>
      <w:sz w:val="22"/>
      <w:szCs w:val="22"/>
      <w:u w:val="none"/>
    </w:rPr>
  </w:style>
  <w:style w:type="character" w:customStyle="1" w:styleId="46">
    <w:name w:val="font11"/>
    <w:basedOn w:val="25"/>
    <w:qFormat/>
    <w:uiPriority w:val="0"/>
    <w:rPr>
      <w:rFonts w:hint="eastAsia" w:ascii="仿宋" w:hAnsi="仿宋" w:eastAsia="仿宋" w:cs="仿宋"/>
      <w:color w:val="000000"/>
      <w:sz w:val="24"/>
      <w:szCs w:val="24"/>
      <w:u w:val="none"/>
      <w:vertAlign w:val="superscript"/>
    </w:rPr>
  </w:style>
  <w:style w:type="character" w:customStyle="1" w:styleId="47">
    <w:name w:val="批注文字 字符"/>
    <w:link w:val="7"/>
    <w:qFormat/>
    <w:uiPriority w:val="0"/>
    <w:rPr>
      <w:kern w:val="2"/>
      <w:sz w:val="21"/>
      <w:szCs w:val="24"/>
    </w:rPr>
  </w:style>
  <w:style w:type="character" w:customStyle="1" w:styleId="48">
    <w:name w:val="font91"/>
    <w:basedOn w:val="2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2"/>
    <customShpInfo spid="_x0000_s1035"/>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8283</Words>
  <Characters>8914</Characters>
  <Lines>79</Lines>
  <Paragraphs>22</Paragraphs>
  <TotalTime>7</TotalTime>
  <ScaleCrop>false</ScaleCrop>
  <LinksUpToDate>false</LinksUpToDate>
  <CharactersWithSpaces>9506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2014-04-24T09:17:00Z</dcterms:created>
  <dc:creator>罗方裕</dc:creator>
  <cp:lastModifiedBy>lenovo</cp:lastModifiedBy>
  <cp:lastPrinted>2022-08-24T02:46:00Z</cp:lastPrinted>
  <dcterms:modified xsi:type="dcterms:W3CDTF">2022-10-20T04:15:01Z</dcterms:modified>
  <dc:title>评估报告</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C6458982BC67438FAD52828DA0AA051F</vt:lpwstr>
  </property>
</Properties>
</file>