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湖南省大通湖管理区人民法院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  <w:t>执行裁定书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（2021）湘0991执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192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申请执行人：中国人民财产保险股份有限公司茂名市分公司，统一社会信用代码91440900894951824L，住所地广东省茂名市高凉中路22号。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负责人：戴光平，总经理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委托代理人：黎志明，广东创杰律师事务所律师。代理权限为特别授权，包括代为申请执行，进行和解或调解、签订和解或调解协议，签收法律文书等事项。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被执行人：梁红，女，汉族，1972年7月22日出生，身份证号430921197207227927，住湖南省益阳市大通湖区金盆镇大东口村145号。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本院在执行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中国人民财产保险股份有限公司茂名市分公司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梁红代位求偿权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纠纷一案中，责令被执行人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梁红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自收到执行通知书三日内向申请执行人支付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128590.8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元及利息，负担案件受理费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2872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元、执行费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1829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元，但被执行人至今未履行生效法律文书确定的义务。本院于202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以（2021）湘0991执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号执行裁定查封了被执行人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赵迪牛、梁红共同共有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的位于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益阳市资阳区汽车路办事处乾元宫社区银城华天2#1910室、权证号为湘（2021）益阳市不动产权第0006069号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房屋一套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。依照《中华人民共和国民事诉讼法》第二百五十一条、第二百五十四条规定，裁定如下：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拍卖被执行人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梁红、赵迪牛共同共有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益阳市资阳区汽车路办事处乾元宫社区银城华天2#1910室、权证号为湘（2021）益阳市不动产权第0006069号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房屋一套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本裁定送达后即发生法律效力。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  判  长      何应元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  判  员      李琼骞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  判  员      王  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二○二二年十二月一日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  记  员      陈  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512D1"/>
    <w:rsid w:val="0097599A"/>
    <w:rsid w:val="0C531BC8"/>
    <w:rsid w:val="19C71466"/>
    <w:rsid w:val="269B3A83"/>
    <w:rsid w:val="30BD6F69"/>
    <w:rsid w:val="336C2504"/>
    <w:rsid w:val="33D37D12"/>
    <w:rsid w:val="341A6EAC"/>
    <w:rsid w:val="530C4081"/>
    <w:rsid w:val="5D4077B0"/>
    <w:rsid w:val="60092169"/>
    <w:rsid w:val="648512D1"/>
    <w:rsid w:val="668669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2018-06-19T03:08:00Z</dcterms:created>
  <dc:creator>Administrator</dc:creator>
  <cp:lastModifiedBy>李创奇</cp:lastModifiedBy>
  <dcterms:modified xsi:type="dcterms:W3CDTF">2022-12-01T07:51:09Z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