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right"/>
        <w:rPr>
          <w:rFonts w:cs="宋体-18030" w:asciiTheme="minorEastAsia" w:hAnsiTheme="minorEastAsia" w:eastAsiaTheme="minorEastAsia"/>
          <w:b/>
          <w:color w:val="auto"/>
          <w:sz w:val="44"/>
          <w:highlight w:val="none"/>
        </w:rPr>
      </w:pPr>
    </w:p>
    <w:p>
      <w:pPr>
        <w:spacing w:line="600" w:lineRule="exact"/>
        <w:jc w:val="right"/>
        <w:rPr>
          <w:rFonts w:cs="宋体-18030" w:asciiTheme="minorEastAsia" w:hAnsiTheme="minorEastAsia" w:eastAsiaTheme="minorEastAsia"/>
          <w:b/>
          <w:color w:val="auto"/>
          <w:sz w:val="44"/>
          <w:highlight w:val="none"/>
        </w:rPr>
      </w:pPr>
    </w:p>
    <w:p>
      <w:pPr>
        <w:spacing w:line="600" w:lineRule="exact"/>
        <w:jc w:val="center"/>
        <w:rPr>
          <w:rFonts w:cs="宋体-18030"/>
          <w:b/>
          <w:color w:val="auto"/>
          <w:sz w:val="36"/>
          <w:highlight w:val="none"/>
        </w:rPr>
      </w:pPr>
      <w:r>
        <w:rPr>
          <w:rFonts w:hint="eastAsia" w:cs="宋体-18030"/>
          <w:b/>
          <w:color w:val="auto"/>
          <w:sz w:val="36"/>
          <w:highlight w:val="none"/>
        </w:rPr>
        <w:t>涉执房地产处置司法评估报告</w:t>
      </w:r>
    </w:p>
    <w:p>
      <w:pPr>
        <w:spacing w:line="600" w:lineRule="exact"/>
        <w:ind w:firstLine="1590"/>
        <w:jc w:val="right"/>
        <w:rPr>
          <w:rFonts w:cs="宋体-18030" w:asciiTheme="minorEastAsia" w:hAnsiTheme="minorEastAsia" w:eastAsiaTheme="minorEastAsia"/>
          <w:color w:val="auto"/>
          <w:sz w:val="30"/>
          <w:highlight w:val="none"/>
        </w:rPr>
      </w:pPr>
    </w:p>
    <w:p>
      <w:pPr>
        <w:spacing w:line="600" w:lineRule="exact"/>
        <w:ind w:firstLine="1590"/>
        <w:jc w:val="right"/>
        <w:rPr>
          <w:rFonts w:cs="宋体-18030" w:asciiTheme="minorEastAsia" w:hAnsiTheme="minorEastAsia" w:eastAsiaTheme="minorEastAsia"/>
          <w:color w:val="auto"/>
          <w:sz w:val="30"/>
          <w:highlight w:val="none"/>
        </w:rPr>
      </w:pPr>
    </w:p>
    <w:p>
      <w:pPr>
        <w:spacing w:line="600" w:lineRule="exact"/>
        <w:ind w:left="1920" w:leftChars="-21" w:hanging="1970" w:hangingChars="654"/>
        <w:jc w:val="both"/>
        <w:rPr>
          <w:rFonts w:cs="宋体-18030" w:asciiTheme="minorEastAsia" w:hAnsiTheme="minorEastAsia" w:eastAsiaTheme="minorEastAsia"/>
          <w:color w:val="auto"/>
          <w:sz w:val="30"/>
          <w:highlight w:val="none"/>
        </w:rPr>
      </w:pPr>
      <w:r>
        <w:rPr>
          <w:rFonts w:hint="eastAsia" w:cs="宋体-18030" w:asciiTheme="minorEastAsia" w:hAnsiTheme="minorEastAsia" w:eastAsiaTheme="minorEastAsia"/>
          <w:b/>
          <w:color w:val="auto"/>
          <w:sz w:val="30"/>
          <w:highlight w:val="none"/>
        </w:rPr>
        <w:t>估价项目名称</w:t>
      </w:r>
      <w:r>
        <w:rPr>
          <w:rFonts w:hint="eastAsia" w:cs="宋体-18030" w:asciiTheme="minorEastAsia" w:hAnsiTheme="minorEastAsia" w:eastAsiaTheme="minorEastAsia"/>
          <w:color w:val="auto"/>
          <w:sz w:val="30"/>
          <w:highlight w:val="none"/>
        </w:rPr>
        <w:t>：</w:t>
      </w:r>
      <w:r>
        <w:rPr>
          <w:rFonts w:hint="eastAsia" w:cs="宋体-18030" w:asciiTheme="minorEastAsia" w:hAnsiTheme="minorEastAsia" w:eastAsiaTheme="minorEastAsia"/>
          <w:color w:val="auto"/>
          <w:sz w:val="30"/>
          <w:highlight w:val="none"/>
          <w:lang w:eastAsia="zh-CN"/>
        </w:rPr>
        <w:t>四川省成都市中级人民法院</w:t>
      </w:r>
      <w:r>
        <w:rPr>
          <w:rFonts w:hint="eastAsia" w:cs="宋体-18030" w:asciiTheme="minorEastAsia" w:hAnsiTheme="minorEastAsia" w:eastAsiaTheme="minorEastAsia"/>
          <w:color w:val="auto"/>
          <w:sz w:val="30"/>
          <w:highlight w:val="none"/>
        </w:rPr>
        <w:t>执行案件涉及位于</w:t>
      </w:r>
      <w:r>
        <w:rPr>
          <w:rFonts w:hint="eastAsia" w:cs="宋体-18030" w:asciiTheme="minorEastAsia" w:hAnsiTheme="minorEastAsia" w:eastAsiaTheme="minorEastAsia"/>
          <w:color w:val="auto"/>
          <w:sz w:val="30"/>
          <w:highlight w:val="none"/>
          <w:lang w:val="en-US" w:eastAsia="zh-CN"/>
        </w:rPr>
        <w:t>眉山市</w:t>
      </w:r>
      <w:r>
        <w:rPr>
          <w:rFonts w:hint="eastAsia" w:cs="宋体-18030" w:asciiTheme="minorEastAsia" w:hAnsiTheme="minorEastAsia" w:eastAsiaTheme="minorEastAsia"/>
          <w:color w:val="auto"/>
          <w:sz w:val="30"/>
          <w:highlight w:val="none"/>
          <w:lang w:eastAsia="zh-CN"/>
        </w:rPr>
        <w:t>仁寿县文林镇仁寿大道二段189号（怀仁街道仁寿大道二段431号）“中铁·仁禾广场”1、2、7、8、12栋共计17套</w:t>
      </w:r>
      <w:r>
        <w:rPr>
          <w:rFonts w:hint="eastAsia" w:cs="宋体-18030" w:asciiTheme="minorEastAsia" w:hAnsiTheme="minorEastAsia" w:eastAsiaTheme="minorEastAsia"/>
          <w:color w:val="auto"/>
          <w:sz w:val="30"/>
          <w:highlight w:val="none"/>
        </w:rPr>
        <w:t>住宅用途房地产市场价值评估</w:t>
      </w:r>
    </w:p>
    <w:p>
      <w:pPr>
        <w:spacing w:line="600" w:lineRule="exact"/>
        <w:ind w:left="2880" w:hanging="2880"/>
        <w:rPr>
          <w:rFonts w:cs="宋体-18030" w:asciiTheme="minorEastAsia" w:hAnsiTheme="minorEastAsia" w:eastAsiaTheme="minorEastAsia"/>
          <w:color w:val="auto"/>
          <w:sz w:val="30"/>
          <w:highlight w:val="none"/>
        </w:rPr>
      </w:pPr>
    </w:p>
    <w:p>
      <w:pPr>
        <w:spacing w:line="600" w:lineRule="exact"/>
        <w:rPr>
          <w:rFonts w:cs="宋体-18030" w:asciiTheme="minorEastAsia" w:hAnsiTheme="minorEastAsia" w:eastAsiaTheme="minorEastAsia"/>
          <w:color w:val="auto"/>
          <w:sz w:val="30"/>
          <w:highlight w:val="none"/>
        </w:rPr>
      </w:pPr>
      <w:r>
        <w:rPr>
          <w:rFonts w:hint="eastAsia" w:cs="宋体-18030" w:asciiTheme="minorEastAsia" w:hAnsiTheme="minorEastAsia" w:eastAsiaTheme="minorEastAsia"/>
          <w:b/>
          <w:color w:val="auto"/>
          <w:sz w:val="30"/>
          <w:highlight w:val="none"/>
        </w:rPr>
        <w:t>估价报告编号</w:t>
      </w:r>
      <w:r>
        <w:rPr>
          <w:rFonts w:hint="eastAsia" w:cs="宋体-18030" w:asciiTheme="minorEastAsia" w:hAnsiTheme="minorEastAsia" w:eastAsiaTheme="minorEastAsia"/>
          <w:color w:val="auto"/>
          <w:sz w:val="30"/>
          <w:highlight w:val="none"/>
        </w:rPr>
        <w:t>：四川大成(2022)房字第10029</w:t>
      </w:r>
      <w:r>
        <w:rPr>
          <w:rFonts w:cs="宋体-18030" w:asciiTheme="minorEastAsia" w:hAnsiTheme="minorEastAsia" w:eastAsiaTheme="minorEastAsia"/>
          <w:color w:val="auto"/>
          <w:sz w:val="30"/>
          <w:highlight w:val="none"/>
        </w:rPr>
        <w:t>号</w:t>
      </w:r>
    </w:p>
    <w:p>
      <w:pPr>
        <w:spacing w:line="600" w:lineRule="exact"/>
        <w:rPr>
          <w:rFonts w:cs="宋体-18030" w:asciiTheme="minorEastAsia" w:hAnsiTheme="minorEastAsia" w:eastAsiaTheme="minorEastAsia"/>
          <w:color w:val="auto"/>
          <w:sz w:val="30"/>
          <w:highlight w:val="none"/>
        </w:rPr>
      </w:pPr>
    </w:p>
    <w:p>
      <w:pPr>
        <w:spacing w:line="600" w:lineRule="exact"/>
        <w:rPr>
          <w:rFonts w:hint="eastAsia" w:cs="宋体-18030" w:asciiTheme="minorEastAsia" w:hAnsiTheme="minorEastAsia" w:eastAsiaTheme="minorEastAsia"/>
          <w:color w:val="auto"/>
          <w:sz w:val="30"/>
          <w:highlight w:val="none"/>
          <w:lang w:eastAsia="zh-CN"/>
        </w:rPr>
      </w:pPr>
      <w:r>
        <w:rPr>
          <w:rFonts w:hint="eastAsia" w:cs="宋体-18030" w:asciiTheme="minorEastAsia" w:hAnsiTheme="minorEastAsia" w:eastAsiaTheme="minorEastAsia"/>
          <w:b/>
          <w:color w:val="auto"/>
          <w:sz w:val="30"/>
          <w:highlight w:val="none"/>
        </w:rPr>
        <w:t>估价委托人</w:t>
      </w:r>
      <w:r>
        <w:rPr>
          <w:rFonts w:hint="eastAsia" w:cs="宋体-18030" w:asciiTheme="minorEastAsia" w:hAnsiTheme="minorEastAsia" w:eastAsiaTheme="minorEastAsia"/>
          <w:color w:val="auto"/>
          <w:sz w:val="30"/>
          <w:highlight w:val="none"/>
        </w:rPr>
        <w:t>：</w:t>
      </w:r>
      <w:r>
        <w:rPr>
          <w:rFonts w:hint="eastAsia" w:cs="宋体-18030" w:asciiTheme="minorEastAsia" w:hAnsiTheme="minorEastAsia" w:eastAsiaTheme="minorEastAsia"/>
          <w:color w:val="auto"/>
          <w:sz w:val="30"/>
          <w:highlight w:val="none"/>
          <w:lang w:eastAsia="zh-CN"/>
        </w:rPr>
        <w:t>四川省成都市中级人民法院</w:t>
      </w:r>
    </w:p>
    <w:p>
      <w:pPr>
        <w:spacing w:line="600" w:lineRule="exact"/>
        <w:rPr>
          <w:rFonts w:cs="宋体-18030" w:asciiTheme="minorEastAsia" w:hAnsiTheme="minorEastAsia" w:eastAsiaTheme="minorEastAsia"/>
          <w:color w:val="auto"/>
          <w:sz w:val="30"/>
          <w:highlight w:val="none"/>
        </w:rPr>
      </w:pPr>
    </w:p>
    <w:p>
      <w:pPr>
        <w:spacing w:line="600" w:lineRule="exact"/>
        <w:rPr>
          <w:rFonts w:cs="宋体-18030" w:asciiTheme="minorEastAsia" w:hAnsiTheme="minorEastAsia" w:eastAsiaTheme="minorEastAsia"/>
          <w:color w:val="auto"/>
          <w:sz w:val="30"/>
          <w:highlight w:val="none"/>
        </w:rPr>
      </w:pPr>
      <w:r>
        <w:rPr>
          <w:rFonts w:hint="eastAsia" w:cs="宋体-18030" w:asciiTheme="minorEastAsia" w:hAnsiTheme="minorEastAsia" w:eastAsiaTheme="minorEastAsia"/>
          <w:b/>
          <w:color w:val="auto"/>
          <w:sz w:val="30"/>
          <w:highlight w:val="none"/>
        </w:rPr>
        <w:t>房地产估价机构</w:t>
      </w:r>
      <w:r>
        <w:rPr>
          <w:rFonts w:hint="eastAsia" w:cs="宋体-18030" w:asciiTheme="minorEastAsia" w:hAnsiTheme="minorEastAsia" w:eastAsiaTheme="minorEastAsia"/>
          <w:color w:val="auto"/>
          <w:sz w:val="30"/>
          <w:highlight w:val="none"/>
        </w:rPr>
        <w:t>：四川大成房地产土地评估有限公司</w:t>
      </w:r>
    </w:p>
    <w:p>
      <w:pPr>
        <w:spacing w:line="600" w:lineRule="exact"/>
        <w:rPr>
          <w:rFonts w:cs="宋体-18030" w:asciiTheme="minorEastAsia" w:hAnsiTheme="minorEastAsia" w:eastAsiaTheme="minorEastAsia"/>
          <w:color w:val="auto"/>
          <w:sz w:val="30"/>
          <w:highlight w:val="none"/>
        </w:rPr>
      </w:pPr>
    </w:p>
    <w:p>
      <w:pPr>
        <w:spacing w:line="600" w:lineRule="exact"/>
        <w:rPr>
          <w:rFonts w:hint="eastAsia" w:cs="宋体-18030" w:asciiTheme="minorEastAsia" w:hAnsiTheme="minorEastAsia" w:eastAsiaTheme="minorEastAsia"/>
          <w:color w:val="auto"/>
          <w:sz w:val="30"/>
          <w:highlight w:val="none"/>
          <w:lang w:eastAsia="zh-CN"/>
        </w:rPr>
      </w:pPr>
      <w:r>
        <w:rPr>
          <w:rFonts w:hint="eastAsia" w:cs="宋体-18030" w:asciiTheme="minorEastAsia" w:hAnsiTheme="minorEastAsia" w:eastAsiaTheme="minorEastAsia"/>
          <w:b/>
          <w:color w:val="auto"/>
          <w:sz w:val="30"/>
          <w:highlight w:val="none"/>
        </w:rPr>
        <w:t>注册房地产估价师</w:t>
      </w:r>
      <w:r>
        <w:rPr>
          <w:rFonts w:cs="宋体-18030" w:asciiTheme="minorEastAsia" w:hAnsiTheme="minorEastAsia" w:eastAsiaTheme="minorEastAsia"/>
          <w:color w:val="auto"/>
          <w:sz w:val="30"/>
          <w:highlight w:val="none"/>
        </w:rPr>
        <w:t xml:space="preserve">: </w:t>
      </w:r>
      <w:r>
        <w:rPr>
          <w:rFonts w:hint="eastAsia" w:cs="宋体-18030" w:asciiTheme="minorEastAsia" w:hAnsiTheme="minorEastAsia" w:eastAsiaTheme="minorEastAsia"/>
          <w:color w:val="auto"/>
          <w:sz w:val="30"/>
          <w:highlight w:val="none"/>
          <w:lang w:eastAsia="zh-CN"/>
        </w:rPr>
        <w:t>何  强</w:t>
      </w:r>
      <w:r>
        <w:rPr>
          <w:rFonts w:hint="eastAsia" w:cs="宋体-18030" w:asciiTheme="minorEastAsia" w:hAnsiTheme="minorEastAsia" w:eastAsiaTheme="minorEastAsia"/>
          <w:color w:val="auto"/>
          <w:sz w:val="30"/>
          <w:highlight w:val="none"/>
        </w:rPr>
        <w:t xml:space="preserve">     注册号：</w:t>
      </w:r>
      <w:r>
        <w:rPr>
          <w:rFonts w:hint="eastAsia" w:cs="宋体-18030" w:eastAsiaTheme="minorEastAsia"/>
          <w:color w:val="auto"/>
          <w:sz w:val="30"/>
          <w:highlight w:val="none"/>
          <w:lang w:eastAsia="zh-CN"/>
        </w:rPr>
        <w:t>5120210064</w:t>
      </w:r>
    </w:p>
    <w:p>
      <w:pPr>
        <w:spacing w:line="600" w:lineRule="exact"/>
        <w:ind w:firstLine="2700" w:firstLineChars="900"/>
        <w:rPr>
          <w:rFonts w:hint="eastAsia" w:cs="宋体-18030" w:asciiTheme="minorEastAsia" w:hAnsiTheme="minorEastAsia" w:eastAsiaTheme="minorEastAsia"/>
          <w:color w:val="auto"/>
          <w:sz w:val="30"/>
          <w:highlight w:val="none"/>
          <w:lang w:eastAsia="zh-CN"/>
        </w:rPr>
      </w:pPr>
      <w:r>
        <w:rPr>
          <w:rFonts w:hint="eastAsia" w:cs="宋体-18030" w:asciiTheme="minorEastAsia" w:hAnsiTheme="minorEastAsia" w:eastAsiaTheme="minorEastAsia"/>
          <w:color w:val="auto"/>
          <w:sz w:val="30"/>
          <w:highlight w:val="none"/>
          <w:lang w:eastAsia="zh-CN"/>
        </w:rPr>
        <w:t>李永健</w:t>
      </w:r>
      <w:r>
        <w:rPr>
          <w:rFonts w:hint="eastAsia" w:cs="宋体-18030" w:asciiTheme="minorEastAsia" w:hAnsiTheme="minorEastAsia" w:eastAsiaTheme="minorEastAsia"/>
          <w:color w:val="auto"/>
          <w:sz w:val="30"/>
          <w:highlight w:val="none"/>
        </w:rPr>
        <w:t xml:space="preserve">     注册号：</w:t>
      </w:r>
      <w:r>
        <w:rPr>
          <w:rFonts w:hint="eastAsia" w:cs="宋体-18030" w:asciiTheme="minorEastAsia" w:hAnsiTheme="minorEastAsia" w:eastAsiaTheme="minorEastAsia"/>
          <w:color w:val="auto"/>
          <w:sz w:val="30"/>
          <w:highlight w:val="none"/>
          <w:lang w:eastAsia="zh-CN"/>
        </w:rPr>
        <w:t>5120200093</w:t>
      </w:r>
    </w:p>
    <w:p>
      <w:pPr>
        <w:spacing w:line="600" w:lineRule="exact"/>
        <w:ind w:firstLine="2700" w:firstLineChars="900"/>
        <w:rPr>
          <w:color w:val="auto"/>
          <w:sz w:val="30"/>
          <w:szCs w:val="30"/>
          <w:highlight w:val="none"/>
        </w:rPr>
      </w:pPr>
      <w:r>
        <w:rPr>
          <w:rFonts w:hint="eastAsia" w:cs="宋体-18030"/>
          <w:color w:val="auto"/>
          <w:sz w:val="30"/>
          <w:highlight w:val="none"/>
        </w:rPr>
        <w:t>周  燕</w:t>
      </w:r>
      <w:r>
        <w:rPr>
          <w:rFonts w:cs="宋体-18030"/>
          <w:color w:val="auto"/>
          <w:sz w:val="30"/>
          <w:highlight w:val="none"/>
        </w:rPr>
        <w:t xml:space="preserve">     注</w:t>
      </w:r>
      <w:r>
        <w:rPr>
          <w:rFonts w:hint="eastAsia" w:cs="宋体-18030"/>
          <w:bCs/>
          <w:color w:val="auto"/>
          <w:sz w:val="30"/>
          <w:highlight w:val="none"/>
        </w:rPr>
        <w:t>册号：</w:t>
      </w:r>
      <w:r>
        <w:rPr>
          <w:rFonts w:cs="宋体-18030"/>
          <w:color w:val="auto"/>
          <w:sz w:val="30"/>
          <w:highlight w:val="none"/>
        </w:rPr>
        <w:t>5120070067</w:t>
      </w:r>
    </w:p>
    <w:p>
      <w:pPr>
        <w:spacing w:line="600" w:lineRule="exact"/>
        <w:ind w:firstLine="2700" w:firstLineChars="900"/>
        <w:rPr>
          <w:rFonts w:cs="宋体-18030" w:asciiTheme="minorEastAsia" w:hAnsiTheme="minorEastAsia" w:eastAsiaTheme="minorEastAsia"/>
          <w:bCs/>
          <w:color w:val="auto"/>
          <w:sz w:val="30"/>
          <w:highlight w:val="none"/>
        </w:rPr>
      </w:pPr>
    </w:p>
    <w:p>
      <w:pPr>
        <w:spacing w:line="600" w:lineRule="exact"/>
        <w:rPr>
          <w:rFonts w:hint="eastAsia" w:cs="宋体-18030" w:asciiTheme="minorEastAsia" w:hAnsiTheme="minorEastAsia" w:eastAsiaTheme="minorEastAsia"/>
          <w:color w:val="auto"/>
          <w:sz w:val="30"/>
          <w:highlight w:val="none"/>
          <w:lang w:eastAsia="zh-CN"/>
        </w:rPr>
      </w:pPr>
      <w:r>
        <w:rPr>
          <w:rFonts w:hint="eastAsia" w:cs="宋体-18030" w:asciiTheme="minorEastAsia" w:hAnsiTheme="minorEastAsia" w:eastAsiaTheme="minorEastAsia"/>
          <w:b/>
          <w:color w:val="auto"/>
          <w:sz w:val="30"/>
          <w:highlight w:val="none"/>
        </w:rPr>
        <w:t>估价报告出具日期</w:t>
      </w:r>
      <w:r>
        <w:rPr>
          <w:rFonts w:hint="eastAsia" w:cs="宋体-18030" w:asciiTheme="minorEastAsia" w:hAnsiTheme="minorEastAsia" w:eastAsiaTheme="minorEastAsia"/>
          <w:color w:val="auto"/>
          <w:sz w:val="30"/>
          <w:highlight w:val="none"/>
        </w:rPr>
        <w:t xml:space="preserve">： </w:t>
      </w:r>
      <w:r>
        <w:rPr>
          <w:rFonts w:hint="eastAsia" w:cs="宋体-18030" w:asciiTheme="minorEastAsia" w:hAnsiTheme="minorEastAsia" w:eastAsiaTheme="minorEastAsia"/>
          <w:color w:val="auto"/>
          <w:sz w:val="30"/>
          <w:highlight w:val="none"/>
          <w:lang w:eastAsia="zh-CN"/>
        </w:rPr>
        <w:t>2022年10月10日</w:t>
      </w:r>
    </w:p>
    <w:p>
      <w:pPr>
        <w:rPr>
          <w:rFonts w:cs="宋体-18030" w:asciiTheme="minorEastAsia" w:hAnsiTheme="minorEastAsia" w:eastAsiaTheme="minorEastAsia"/>
          <w:b/>
          <w:color w:val="auto"/>
          <w:sz w:val="36"/>
          <w:highlight w:val="none"/>
        </w:rPr>
      </w:pPr>
      <w:bookmarkStart w:id="0" w:name="_Toc511861962"/>
      <w:bookmarkStart w:id="1" w:name="_Toc40632062"/>
      <w:bookmarkStart w:id="2" w:name="_Toc40631142"/>
      <w:bookmarkStart w:id="3" w:name="_Toc532308267"/>
      <w:bookmarkStart w:id="4" w:name="_Toc40631181"/>
      <w:r>
        <w:rPr>
          <w:rFonts w:cs="宋体-18030" w:asciiTheme="minorEastAsia" w:hAnsiTheme="minorEastAsia" w:eastAsiaTheme="minorEastAsia"/>
          <w:b/>
          <w:color w:val="auto"/>
          <w:sz w:val="36"/>
          <w:highlight w:val="none"/>
        </w:rPr>
        <w:br w:type="page"/>
      </w:r>
    </w:p>
    <w:p>
      <w:pPr>
        <w:adjustRightInd w:val="0"/>
        <w:snapToGrid w:val="0"/>
        <w:spacing w:line="600" w:lineRule="exact"/>
        <w:ind w:right="3" w:firstLine="723" w:firstLineChars="200"/>
        <w:jc w:val="center"/>
        <w:outlineLvl w:val="0"/>
        <w:rPr>
          <w:rFonts w:cs="宋体-18030" w:asciiTheme="minorEastAsia" w:hAnsiTheme="minorEastAsia" w:eastAsiaTheme="minorEastAsia"/>
          <w:b/>
          <w:color w:val="auto"/>
          <w:sz w:val="36"/>
          <w:highlight w:val="none"/>
        </w:rPr>
      </w:pPr>
      <w:bookmarkStart w:id="5" w:name="_Toc86245478"/>
      <w:r>
        <w:rPr>
          <w:rFonts w:hint="eastAsia" w:cs="宋体-18030" w:asciiTheme="minorEastAsia" w:hAnsiTheme="minorEastAsia" w:eastAsiaTheme="minorEastAsia"/>
          <w:b/>
          <w:color w:val="auto"/>
          <w:sz w:val="36"/>
          <w:highlight w:val="none"/>
        </w:rPr>
        <w:t>致估价委托人函</w:t>
      </w:r>
      <w:bookmarkEnd w:id="0"/>
      <w:bookmarkEnd w:id="1"/>
      <w:bookmarkEnd w:id="2"/>
      <w:bookmarkEnd w:id="3"/>
      <w:bookmarkEnd w:id="4"/>
      <w:bookmarkEnd w:id="5"/>
    </w:p>
    <w:p>
      <w:pPr>
        <w:spacing w:line="600" w:lineRule="exact"/>
        <w:rPr>
          <w:rFonts w:cs="宋体-18030" w:asciiTheme="minorEastAsia" w:hAnsiTheme="minorEastAsia" w:eastAsiaTheme="minorEastAsia"/>
          <w:bCs/>
          <w:color w:val="auto"/>
          <w:sz w:val="26"/>
          <w:szCs w:val="26"/>
          <w:highlight w:val="none"/>
        </w:rPr>
      </w:pPr>
      <w:r>
        <w:rPr>
          <w:rFonts w:hint="eastAsia" w:cs="宋体-18030" w:asciiTheme="minorEastAsia" w:hAnsiTheme="minorEastAsia" w:eastAsiaTheme="minorEastAsia"/>
          <w:color w:val="auto"/>
          <w:sz w:val="26"/>
          <w:szCs w:val="26"/>
          <w:highlight w:val="none"/>
          <w:lang w:eastAsia="zh-CN"/>
        </w:rPr>
        <w:t>四川省成都市中级人民法院</w:t>
      </w:r>
      <w:r>
        <w:rPr>
          <w:rFonts w:hint="eastAsia" w:cs="宋体-18030" w:asciiTheme="minorEastAsia" w:hAnsiTheme="minorEastAsia" w:eastAsiaTheme="minorEastAsia"/>
          <w:bCs/>
          <w:color w:val="auto"/>
          <w:sz w:val="26"/>
          <w:szCs w:val="26"/>
          <w:highlight w:val="none"/>
        </w:rPr>
        <w:t>：</w:t>
      </w:r>
    </w:p>
    <w:p>
      <w:pPr>
        <w:tabs>
          <w:tab w:val="left" w:pos="2835"/>
        </w:tabs>
        <w:spacing w:line="600" w:lineRule="exact"/>
        <w:ind w:firstLine="590"/>
        <w:rPr>
          <w:rFonts w:cs="宋体-18030" w:asciiTheme="minorEastAsia" w:hAnsiTheme="minorEastAsia" w:eastAsiaTheme="minorEastAsia"/>
          <w:bCs/>
          <w:color w:val="auto"/>
          <w:sz w:val="26"/>
          <w:szCs w:val="26"/>
          <w:highlight w:val="none"/>
        </w:rPr>
      </w:pPr>
      <w:r>
        <w:rPr>
          <w:rFonts w:hint="eastAsia" w:cs="宋体-18030" w:asciiTheme="minorEastAsia" w:hAnsiTheme="minorEastAsia" w:eastAsiaTheme="minorEastAsia"/>
          <w:bCs/>
          <w:color w:val="auto"/>
          <w:sz w:val="26"/>
          <w:szCs w:val="26"/>
          <w:highlight w:val="none"/>
        </w:rPr>
        <w:t>受贵院的委托[</w:t>
      </w:r>
      <w:r>
        <w:rPr>
          <w:rFonts w:hint="eastAsia" w:cs="宋体-18030" w:asciiTheme="minorEastAsia" w:hAnsiTheme="minorEastAsia" w:eastAsiaTheme="minorEastAsia"/>
          <w:bCs/>
          <w:color w:val="auto"/>
          <w:sz w:val="26"/>
          <w:szCs w:val="26"/>
          <w:highlight w:val="none"/>
          <w:lang w:val="en-US" w:eastAsia="zh-CN"/>
        </w:rPr>
        <w:t>（2022）川01执3524号</w:t>
      </w:r>
      <w:r>
        <w:rPr>
          <w:rFonts w:hint="eastAsia" w:cs="宋体-18030" w:asciiTheme="minorEastAsia" w:hAnsiTheme="minorEastAsia" w:eastAsiaTheme="minorEastAsia"/>
          <w:bCs/>
          <w:color w:val="auto"/>
          <w:sz w:val="26"/>
          <w:szCs w:val="26"/>
          <w:highlight w:val="none"/>
        </w:rPr>
        <w:t>]，我公司</w:t>
      </w:r>
      <w:r>
        <w:rPr>
          <w:rFonts w:hint="eastAsia" w:cs="宋体-18030" w:asciiTheme="minorEastAsia" w:hAnsiTheme="minorEastAsia" w:eastAsiaTheme="minorEastAsia"/>
          <w:color w:val="auto"/>
          <w:sz w:val="26"/>
          <w:szCs w:val="26"/>
          <w:highlight w:val="none"/>
        </w:rPr>
        <w:t>遵循</w:t>
      </w:r>
      <w:r>
        <w:rPr>
          <w:rFonts w:hint="eastAsia" w:cs="宋体-18030" w:asciiTheme="minorEastAsia" w:hAnsiTheme="minorEastAsia" w:eastAsiaTheme="minorEastAsia"/>
          <w:bCs/>
          <w:color w:val="auto"/>
          <w:sz w:val="26"/>
          <w:szCs w:val="26"/>
          <w:highlight w:val="none"/>
        </w:rPr>
        <w:t>独立、客观、公正、合法的原则，按照国家规定的技术标准和程序，结合估价对象的权益状况及所在区域市场状况，对估价对象在价值时点的</w:t>
      </w:r>
      <w:r>
        <w:rPr>
          <w:rFonts w:hint="eastAsia" w:cs="宋体-18030" w:asciiTheme="minorEastAsia" w:hAnsiTheme="minorEastAsia" w:eastAsiaTheme="minorEastAsia"/>
          <w:color w:val="auto"/>
          <w:sz w:val="26"/>
          <w:szCs w:val="26"/>
          <w:highlight w:val="none"/>
        </w:rPr>
        <w:t>市场价值</w:t>
      </w:r>
      <w:r>
        <w:rPr>
          <w:rFonts w:hint="eastAsia" w:cs="宋体-18030" w:asciiTheme="minorEastAsia" w:hAnsiTheme="minorEastAsia" w:eastAsiaTheme="minorEastAsia"/>
          <w:bCs/>
          <w:color w:val="auto"/>
          <w:sz w:val="26"/>
          <w:szCs w:val="26"/>
          <w:highlight w:val="none"/>
        </w:rPr>
        <w:t>进行了专业分析、测算和判断，完成了估价对象的</w:t>
      </w:r>
      <w:r>
        <w:rPr>
          <w:rFonts w:hint="eastAsia" w:cs="宋体-18030" w:asciiTheme="minorEastAsia" w:hAnsiTheme="minorEastAsia" w:eastAsiaTheme="minorEastAsia"/>
          <w:color w:val="auto"/>
          <w:sz w:val="26"/>
          <w:szCs w:val="26"/>
          <w:highlight w:val="none"/>
        </w:rPr>
        <w:t>市场价值</w:t>
      </w:r>
      <w:r>
        <w:rPr>
          <w:rFonts w:hint="eastAsia" w:cs="宋体-18030" w:asciiTheme="minorEastAsia" w:hAnsiTheme="minorEastAsia" w:eastAsiaTheme="minorEastAsia"/>
          <w:bCs/>
          <w:color w:val="auto"/>
          <w:sz w:val="26"/>
          <w:szCs w:val="26"/>
          <w:highlight w:val="none"/>
        </w:rPr>
        <w:t>评估工作。</w:t>
      </w:r>
    </w:p>
    <w:p>
      <w:pPr>
        <w:tabs>
          <w:tab w:val="left" w:pos="2835"/>
        </w:tabs>
        <w:spacing w:line="600" w:lineRule="exact"/>
        <w:ind w:firstLine="590"/>
        <w:rPr>
          <w:rFonts w:cs="宋体-18030" w:asciiTheme="minorEastAsia" w:hAnsiTheme="minorEastAsia" w:eastAsiaTheme="minorEastAsia"/>
          <w:bCs/>
          <w:color w:val="auto"/>
          <w:sz w:val="26"/>
          <w:szCs w:val="26"/>
          <w:highlight w:val="none"/>
        </w:rPr>
      </w:pPr>
      <w:r>
        <w:rPr>
          <w:rFonts w:hint="eastAsia" w:cs="宋体-18030" w:asciiTheme="minorEastAsia" w:hAnsiTheme="minorEastAsia" w:eastAsiaTheme="minorEastAsia"/>
          <w:b/>
          <w:bCs/>
          <w:color w:val="auto"/>
          <w:sz w:val="26"/>
          <w:szCs w:val="26"/>
          <w:highlight w:val="none"/>
        </w:rPr>
        <w:t>一、估价对象</w:t>
      </w:r>
      <w:r>
        <w:rPr>
          <w:rFonts w:hint="eastAsia" w:cs="宋体-18030" w:asciiTheme="minorEastAsia" w:hAnsiTheme="minorEastAsia" w:eastAsiaTheme="minorEastAsia"/>
          <w:bCs/>
          <w:color w:val="auto"/>
          <w:sz w:val="26"/>
          <w:szCs w:val="26"/>
          <w:highlight w:val="none"/>
        </w:rPr>
        <w:t>：</w:t>
      </w:r>
      <w:r>
        <w:rPr>
          <w:rFonts w:hint="eastAsia" w:cs="宋体-18030" w:asciiTheme="minorEastAsia" w:hAnsiTheme="minorEastAsia" w:eastAsiaTheme="minorEastAsia"/>
          <w:bCs/>
          <w:color w:val="auto"/>
          <w:sz w:val="26"/>
          <w:szCs w:val="26"/>
          <w:highlight w:val="none"/>
          <w:lang w:eastAsia="zh-CN"/>
        </w:rPr>
        <w:t>四川众志房地产开发有限公司所有</w:t>
      </w:r>
      <w:r>
        <w:rPr>
          <w:rFonts w:hint="eastAsia" w:cs="宋体-18030" w:asciiTheme="minorEastAsia" w:hAnsiTheme="minorEastAsia" w:eastAsiaTheme="minorEastAsia"/>
          <w:bCs/>
          <w:color w:val="auto"/>
          <w:sz w:val="26"/>
          <w:szCs w:val="26"/>
          <w:highlight w:val="none"/>
        </w:rPr>
        <w:t>的位于</w:t>
      </w:r>
      <w:r>
        <w:rPr>
          <w:rFonts w:hint="eastAsia" w:cs="宋体-18030" w:asciiTheme="minorEastAsia" w:hAnsiTheme="minorEastAsia" w:eastAsiaTheme="minorEastAsia"/>
          <w:bCs/>
          <w:color w:val="auto"/>
          <w:sz w:val="26"/>
          <w:szCs w:val="26"/>
          <w:highlight w:val="none"/>
          <w:lang w:val="en-US" w:eastAsia="zh-CN"/>
        </w:rPr>
        <w:t>眉山市</w:t>
      </w:r>
      <w:r>
        <w:rPr>
          <w:rFonts w:hint="eastAsia" w:cs="宋体-18030" w:asciiTheme="minorEastAsia" w:hAnsiTheme="minorEastAsia" w:eastAsiaTheme="minorEastAsia"/>
          <w:bCs/>
          <w:color w:val="auto"/>
          <w:sz w:val="26"/>
          <w:szCs w:val="26"/>
          <w:highlight w:val="none"/>
          <w:lang w:eastAsia="zh-CN"/>
        </w:rPr>
        <w:t>仁寿县文林镇仁寿大道二段189号（怀仁街道仁寿大道二段431号）“中铁·仁禾广场”1、2、7、8、12栋共计17套</w:t>
      </w:r>
      <w:r>
        <w:rPr>
          <w:rFonts w:hint="eastAsia" w:cs="宋体-18030" w:asciiTheme="minorEastAsia" w:hAnsiTheme="minorEastAsia" w:eastAsiaTheme="minorEastAsia"/>
          <w:bCs/>
          <w:color w:val="auto"/>
          <w:sz w:val="26"/>
          <w:szCs w:val="26"/>
          <w:highlight w:val="none"/>
        </w:rPr>
        <w:t>住宅用途房地产（</w:t>
      </w:r>
      <w:r>
        <w:rPr>
          <w:rFonts w:hint="eastAsia" w:cs="宋体-18030" w:asciiTheme="minorEastAsia" w:hAnsiTheme="minorEastAsia" w:eastAsiaTheme="minorEastAsia"/>
          <w:bCs/>
          <w:color w:val="auto"/>
          <w:sz w:val="26"/>
          <w:szCs w:val="26"/>
          <w:highlight w:val="none"/>
          <w:lang w:eastAsia="zh-CN"/>
        </w:rPr>
        <w:t>含建筑物、附着在建筑物上与其功能相匹配且不可移动的装饰装修、设施设备及分摊的土地使用权</w:t>
      </w:r>
      <w:r>
        <w:rPr>
          <w:rFonts w:hint="eastAsia"/>
          <w:color w:val="auto"/>
          <w:sz w:val="26"/>
          <w:szCs w:val="26"/>
          <w:highlight w:val="none"/>
        </w:rPr>
        <w:t>）</w:t>
      </w:r>
      <w:r>
        <w:rPr>
          <w:rFonts w:hint="eastAsia" w:cs="宋体-18030" w:asciiTheme="minorEastAsia" w:hAnsiTheme="minorEastAsia" w:eastAsiaTheme="minorEastAsia"/>
          <w:bCs/>
          <w:color w:val="auto"/>
          <w:sz w:val="26"/>
          <w:szCs w:val="26"/>
          <w:highlight w:val="none"/>
        </w:rPr>
        <w:t>，</w:t>
      </w:r>
      <w:r>
        <w:rPr>
          <w:rFonts w:hint="eastAsia" w:cs="宋体-18030" w:asciiTheme="minorEastAsia" w:hAnsiTheme="minorEastAsia" w:eastAsiaTheme="minorEastAsia"/>
          <w:bCs/>
          <w:color w:val="auto"/>
          <w:sz w:val="26"/>
          <w:szCs w:val="26"/>
          <w:highlight w:val="none"/>
          <w:lang w:eastAsia="zh-CN"/>
        </w:rPr>
        <w:t>其中建筑面积合计1246.15平方米</w:t>
      </w:r>
      <w:r>
        <w:rPr>
          <w:rFonts w:hint="eastAsia" w:cs="宋体-18030" w:asciiTheme="minorEastAsia" w:hAnsiTheme="minorEastAsia" w:eastAsiaTheme="minorEastAsia"/>
          <w:bCs/>
          <w:color w:val="auto"/>
          <w:sz w:val="26"/>
          <w:szCs w:val="26"/>
          <w:highlight w:val="none"/>
        </w:rPr>
        <w:t>。估价对象具体评估范围和登记状况详见表</w:t>
      </w:r>
      <w:r>
        <w:rPr>
          <w:rFonts w:cs="宋体-18030" w:asciiTheme="minorEastAsia" w:hAnsiTheme="minorEastAsia" w:eastAsiaTheme="minorEastAsia"/>
          <w:bCs/>
          <w:color w:val="auto"/>
          <w:sz w:val="26"/>
          <w:szCs w:val="26"/>
          <w:highlight w:val="none"/>
        </w:rPr>
        <w:t>1</w:t>
      </w:r>
      <w:r>
        <w:rPr>
          <w:rFonts w:hint="eastAsia" w:cs="宋体-18030" w:asciiTheme="minorEastAsia" w:hAnsiTheme="minorEastAsia" w:eastAsiaTheme="minorEastAsia"/>
          <w:bCs/>
          <w:color w:val="auto"/>
          <w:sz w:val="26"/>
          <w:szCs w:val="26"/>
          <w:highlight w:val="none"/>
        </w:rPr>
        <w:t>。</w:t>
      </w:r>
    </w:p>
    <w:p>
      <w:pPr>
        <w:tabs>
          <w:tab w:val="left" w:pos="2835"/>
        </w:tabs>
        <w:spacing w:line="600" w:lineRule="exact"/>
        <w:ind w:firstLine="590"/>
        <w:rPr>
          <w:rFonts w:cs="宋体-18030" w:asciiTheme="minorEastAsia" w:hAnsiTheme="minorEastAsia" w:eastAsiaTheme="minorEastAsia"/>
          <w:bCs/>
          <w:color w:val="auto"/>
          <w:sz w:val="26"/>
          <w:szCs w:val="26"/>
          <w:highlight w:val="none"/>
        </w:rPr>
      </w:pPr>
      <w:r>
        <w:rPr>
          <w:rFonts w:hint="eastAsia" w:cs="宋体-18030" w:asciiTheme="minorEastAsia" w:hAnsiTheme="minorEastAsia" w:eastAsiaTheme="minorEastAsia"/>
          <w:b/>
          <w:bCs/>
          <w:color w:val="auto"/>
          <w:sz w:val="26"/>
          <w:szCs w:val="26"/>
          <w:highlight w:val="none"/>
        </w:rPr>
        <w:t>二、估价目的</w:t>
      </w:r>
      <w:r>
        <w:rPr>
          <w:rFonts w:hint="eastAsia" w:cs="宋体-18030" w:asciiTheme="minorEastAsia" w:hAnsiTheme="minorEastAsia" w:eastAsiaTheme="minorEastAsia"/>
          <w:bCs/>
          <w:color w:val="auto"/>
          <w:sz w:val="26"/>
          <w:szCs w:val="26"/>
          <w:highlight w:val="none"/>
        </w:rPr>
        <w:t>：为</w:t>
      </w:r>
      <w:r>
        <w:rPr>
          <w:rFonts w:hint="eastAsia" w:cs="宋体-18030" w:asciiTheme="minorEastAsia" w:hAnsiTheme="minorEastAsia" w:eastAsiaTheme="minorEastAsia"/>
          <w:bCs/>
          <w:color w:val="auto"/>
          <w:sz w:val="26"/>
          <w:szCs w:val="26"/>
          <w:highlight w:val="none"/>
          <w:lang w:eastAsia="zh-CN"/>
        </w:rPr>
        <w:t>四川省成都市中级人民法院</w:t>
      </w:r>
      <w:r>
        <w:rPr>
          <w:rFonts w:hint="eastAsia" w:cs="宋体-18030" w:asciiTheme="minorEastAsia" w:hAnsiTheme="minorEastAsia" w:eastAsiaTheme="minorEastAsia"/>
          <w:bCs/>
          <w:color w:val="auto"/>
          <w:sz w:val="26"/>
          <w:szCs w:val="26"/>
          <w:highlight w:val="none"/>
        </w:rPr>
        <w:t>执行</w:t>
      </w:r>
      <w:r>
        <w:rPr>
          <w:rFonts w:hint="eastAsia" w:cs="宋体-18030" w:asciiTheme="minorEastAsia" w:hAnsiTheme="minorEastAsia" w:eastAsiaTheme="minorEastAsia"/>
          <w:bCs/>
          <w:color w:val="auto"/>
          <w:sz w:val="26"/>
          <w:szCs w:val="26"/>
          <w:highlight w:val="none"/>
          <w:lang w:eastAsia="zh-CN"/>
        </w:rPr>
        <w:t>成都中合利方企业管理中心（有限合伙）与四川众志房地产开发有限公司、资阳市中瑞房地产开发有限公司、资阳市雁江区建达房地产开发有限公司、成都市腾启房地产开发有限公司借款合同纠纷一案</w:t>
      </w:r>
      <w:r>
        <w:rPr>
          <w:rFonts w:hint="eastAsia" w:cs="宋体-18030" w:asciiTheme="minorEastAsia" w:hAnsiTheme="minorEastAsia" w:eastAsiaTheme="minorEastAsia"/>
          <w:bCs/>
          <w:color w:val="auto"/>
          <w:sz w:val="26"/>
          <w:szCs w:val="26"/>
          <w:highlight w:val="none"/>
        </w:rPr>
        <w:t>时确定估价对象处置参考价提供参考依据而评估房地产市场价值。</w:t>
      </w:r>
    </w:p>
    <w:p>
      <w:pPr>
        <w:tabs>
          <w:tab w:val="left" w:pos="2835"/>
        </w:tabs>
        <w:spacing w:line="600" w:lineRule="exact"/>
        <w:ind w:firstLine="590"/>
        <w:rPr>
          <w:rFonts w:hint="eastAsia" w:cs="宋体-18030" w:asciiTheme="minorEastAsia" w:hAnsiTheme="minorEastAsia" w:eastAsiaTheme="minorEastAsia"/>
          <w:bCs/>
          <w:color w:val="auto"/>
          <w:sz w:val="26"/>
          <w:szCs w:val="26"/>
          <w:highlight w:val="none"/>
          <w:lang w:eastAsia="zh-CN"/>
        </w:rPr>
      </w:pPr>
      <w:r>
        <w:rPr>
          <w:rFonts w:hint="eastAsia" w:cs="宋体-18030" w:asciiTheme="minorEastAsia" w:hAnsiTheme="minorEastAsia" w:eastAsiaTheme="minorEastAsia"/>
          <w:b/>
          <w:bCs/>
          <w:color w:val="auto"/>
          <w:sz w:val="26"/>
          <w:szCs w:val="26"/>
          <w:highlight w:val="none"/>
        </w:rPr>
        <w:t>三、价值时点</w:t>
      </w:r>
      <w:r>
        <w:rPr>
          <w:rFonts w:hint="eastAsia" w:cs="宋体-18030" w:asciiTheme="minorEastAsia" w:hAnsiTheme="minorEastAsia" w:eastAsiaTheme="minorEastAsia"/>
          <w:bCs/>
          <w:color w:val="auto"/>
          <w:sz w:val="26"/>
          <w:szCs w:val="26"/>
          <w:highlight w:val="none"/>
        </w:rPr>
        <w:t>：</w:t>
      </w:r>
      <w:r>
        <w:rPr>
          <w:rFonts w:hint="eastAsia" w:cs="宋体-18030" w:asciiTheme="minorEastAsia" w:hAnsiTheme="minorEastAsia" w:eastAsiaTheme="minorEastAsia"/>
          <w:bCs/>
          <w:color w:val="auto"/>
          <w:sz w:val="26"/>
          <w:szCs w:val="26"/>
          <w:highlight w:val="none"/>
          <w:lang w:eastAsia="zh-CN"/>
        </w:rPr>
        <w:t>2022年9月22日</w:t>
      </w:r>
    </w:p>
    <w:p>
      <w:pPr>
        <w:tabs>
          <w:tab w:val="left" w:pos="2835"/>
        </w:tabs>
        <w:spacing w:line="600" w:lineRule="exact"/>
        <w:ind w:firstLine="590"/>
        <w:rPr>
          <w:rFonts w:cs="宋体-18030" w:asciiTheme="minorEastAsia" w:hAnsiTheme="minorEastAsia" w:eastAsiaTheme="minorEastAsia"/>
          <w:bCs/>
          <w:color w:val="auto"/>
          <w:sz w:val="26"/>
          <w:szCs w:val="26"/>
          <w:highlight w:val="none"/>
        </w:rPr>
      </w:pPr>
      <w:r>
        <w:rPr>
          <w:rFonts w:hint="eastAsia" w:cs="宋体-18030" w:asciiTheme="minorEastAsia" w:hAnsiTheme="minorEastAsia" w:eastAsiaTheme="minorEastAsia"/>
          <w:b/>
          <w:bCs/>
          <w:color w:val="auto"/>
          <w:sz w:val="26"/>
          <w:szCs w:val="26"/>
          <w:highlight w:val="none"/>
        </w:rPr>
        <w:t>四、价值类型</w:t>
      </w:r>
      <w:r>
        <w:rPr>
          <w:rFonts w:hint="eastAsia" w:cs="宋体-18030" w:asciiTheme="minorEastAsia" w:hAnsiTheme="minorEastAsia" w:eastAsiaTheme="minorEastAsia"/>
          <w:bCs/>
          <w:color w:val="auto"/>
          <w:sz w:val="26"/>
          <w:szCs w:val="26"/>
          <w:highlight w:val="none"/>
        </w:rPr>
        <w:t>：</w:t>
      </w:r>
      <w:r>
        <w:rPr>
          <w:rFonts w:hint="eastAsia" w:cs="宋体-18030" w:asciiTheme="minorEastAsia" w:hAnsiTheme="minorEastAsia" w:eastAsiaTheme="minorEastAsia"/>
          <w:color w:val="auto"/>
          <w:sz w:val="26"/>
          <w:szCs w:val="26"/>
          <w:highlight w:val="none"/>
        </w:rPr>
        <w:t>市场价值</w:t>
      </w:r>
    </w:p>
    <w:p>
      <w:pPr>
        <w:tabs>
          <w:tab w:val="left" w:pos="2835"/>
        </w:tabs>
        <w:spacing w:line="600" w:lineRule="exact"/>
        <w:ind w:firstLine="590"/>
        <w:rPr>
          <w:rFonts w:cs="宋体-18030" w:asciiTheme="minorEastAsia" w:hAnsiTheme="minorEastAsia" w:eastAsiaTheme="minorEastAsia"/>
          <w:b/>
          <w:bCs/>
          <w:color w:val="auto"/>
          <w:sz w:val="26"/>
          <w:szCs w:val="26"/>
          <w:highlight w:val="none"/>
        </w:rPr>
      </w:pPr>
      <w:r>
        <w:rPr>
          <w:rFonts w:hint="eastAsia" w:cs="宋体-18030" w:asciiTheme="minorEastAsia" w:hAnsiTheme="minorEastAsia" w:eastAsiaTheme="minorEastAsia"/>
          <w:b/>
          <w:bCs/>
          <w:color w:val="auto"/>
          <w:sz w:val="26"/>
          <w:szCs w:val="26"/>
          <w:highlight w:val="none"/>
        </w:rPr>
        <w:t>五、估价方法：</w:t>
      </w:r>
      <w:r>
        <w:rPr>
          <w:rFonts w:hint="eastAsia" w:cs="宋体-18030" w:asciiTheme="minorEastAsia" w:hAnsiTheme="minorEastAsia" w:eastAsiaTheme="minorEastAsia"/>
          <w:bCs/>
          <w:color w:val="auto"/>
          <w:sz w:val="26"/>
          <w:szCs w:val="26"/>
          <w:highlight w:val="none"/>
        </w:rPr>
        <w:t>比较法</w:t>
      </w:r>
    </w:p>
    <w:p>
      <w:pPr>
        <w:tabs>
          <w:tab w:val="left" w:pos="2835"/>
        </w:tabs>
        <w:spacing w:line="600" w:lineRule="exact"/>
        <w:ind w:firstLine="59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b/>
          <w:bCs/>
          <w:color w:val="auto"/>
          <w:sz w:val="26"/>
          <w:szCs w:val="26"/>
          <w:highlight w:val="none"/>
        </w:rPr>
        <w:t>六、估价结果</w:t>
      </w:r>
      <w:r>
        <w:rPr>
          <w:rFonts w:hint="eastAsia" w:cs="宋体-18030" w:asciiTheme="minorEastAsia" w:hAnsiTheme="minorEastAsia" w:eastAsiaTheme="minorEastAsia"/>
          <w:bCs/>
          <w:color w:val="auto"/>
          <w:sz w:val="26"/>
          <w:szCs w:val="26"/>
          <w:highlight w:val="none"/>
        </w:rPr>
        <w:t>：估价对象在满足本报告</w:t>
      </w:r>
      <w:r>
        <w:rPr>
          <w:rFonts w:hint="eastAsia" w:cs="宋体-18030" w:asciiTheme="minorEastAsia" w:hAnsiTheme="minorEastAsia" w:eastAsiaTheme="minorEastAsia"/>
          <w:color w:val="auto"/>
          <w:sz w:val="26"/>
          <w:szCs w:val="26"/>
          <w:highlight w:val="none"/>
        </w:rPr>
        <w:t>“估价的假设和限制条件”及“价值类型”条件下的市场价值估价结果（详见表1）如下：</w:t>
      </w:r>
    </w:p>
    <w:p>
      <w:pPr>
        <w:tabs>
          <w:tab w:val="left" w:pos="2835"/>
        </w:tabs>
        <w:spacing w:line="600" w:lineRule="exact"/>
        <w:ind w:firstLine="59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评估面积：</w:t>
      </w:r>
      <w:r>
        <w:rPr>
          <w:rFonts w:hint="eastAsia" w:cs="宋体-18030" w:asciiTheme="minorEastAsia" w:hAnsiTheme="minorEastAsia" w:eastAsiaTheme="minorEastAsia"/>
          <w:color w:val="auto"/>
          <w:sz w:val="26"/>
          <w:highlight w:val="none"/>
          <w:lang w:eastAsia="zh-CN"/>
        </w:rPr>
        <w:t>1246.15</w:t>
      </w:r>
      <w:r>
        <w:rPr>
          <w:rFonts w:hint="eastAsia" w:cs="宋体-18030" w:asciiTheme="minorEastAsia" w:hAnsiTheme="minorEastAsia" w:eastAsiaTheme="minorEastAsia"/>
          <w:color w:val="auto"/>
          <w:sz w:val="26"/>
          <w:highlight w:val="none"/>
        </w:rPr>
        <w:t>平方米</w:t>
      </w:r>
    </w:p>
    <w:p>
      <w:pPr>
        <w:tabs>
          <w:tab w:val="left" w:pos="2835"/>
        </w:tabs>
        <w:spacing w:line="600" w:lineRule="exact"/>
        <w:ind w:firstLine="59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评估总价：</w:t>
      </w:r>
      <w:r>
        <w:rPr>
          <w:rFonts w:hint="eastAsia" w:eastAsiaTheme="minorEastAsia"/>
          <w:snapToGrid w:val="0"/>
          <w:color w:val="auto"/>
          <w:sz w:val="26"/>
          <w:szCs w:val="26"/>
          <w:highlight w:val="none"/>
          <w:lang w:eastAsia="zh-CN"/>
        </w:rPr>
        <w:t>940.84</w:t>
      </w:r>
      <w:r>
        <w:rPr>
          <w:rFonts w:hint="eastAsia" w:cs="宋体-18030" w:asciiTheme="minorEastAsia" w:hAnsiTheme="minorEastAsia" w:eastAsiaTheme="minorEastAsia"/>
          <w:color w:val="auto"/>
          <w:sz w:val="26"/>
          <w:highlight w:val="none"/>
        </w:rPr>
        <w:t>万元</w:t>
      </w:r>
    </w:p>
    <w:p>
      <w:pPr>
        <w:spacing w:line="560" w:lineRule="exact"/>
        <w:ind w:firstLine="573"/>
        <w:rPr>
          <w:rFonts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总价大写：</w:t>
      </w:r>
      <w:r>
        <w:rPr>
          <w:rFonts w:hint="eastAsia" w:cs="宋体-18030" w:asciiTheme="minorEastAsia" w:hAnsiTheme="minorEastAsia" w:eastAsiaTheme="minorEastAsia"/>
          <w:color w:val="auto"/>
          <w:sz w:val="26"/>
          <w:highlight w:val="none"/>
          <w:lang w:eastAsia="zh-CN"/>
        </w:rPr>
        <w:t>玖佰肆拾万零捌仟肆佰</w:t>
      </w:r>
      <w:r>
        <w:rPr>
          <w:rFonts w:hint="eastAsia" w:cs="宋体-18030" w:asciiTheme="minorEastAsia" w:hAnsiTheme="minorEastAsia" w:eastAsiaTheme="minorEastAsia"/>
          <w:color w:val="auto"/>
          <w:sz w:val="26"/>
          <w:highlight w:val="none"/>
        </w:rPr>
        <w:t>圆整</w:t>
      </w:r>
    </w:p>
    <w:p>
      <w:pPr>
        <w:spacing w:line="560" w:lineRule="exact"/>
        <w:ind w:firstLine="573"/>
        <w:rPr>
          <w:rFonts w:asciiTheme="minorEastAsia" w:hAnsiTheme="minorEastAsia" w:eastAsiaTheme="minorEastAsia"/>
          <w:color w:val="auto"/>
          <w:sz w:val="26"/>
          <w:highlight w:val="none"/>
        </w:rPr>
      </w:pPr>
      <w:r>
        <w:rPr>
          <w:rFonts w:hint="eastAsia" w:asciiTheme="minorEastAsia" w:hAnsiTheme="minorEastAsia" w:eastAsiaTheme="minorEastAsia"/>
          <w:color w:val="auto"/>
          <w:sz w:val="26"/>
          <w:highlight w:val="none"/>
        </w:rPr>
        <w:t>币    种：人民币</w:t>
      </w:r>
    </w:p>
    <w:p>
      <w:pPr>
        <w:spacing w:line="560" w:lineRule="exact"/>
        <w:ind w:firstLine="573"/>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表1　　　              估价结果一览表</w:t>
      </w:r>
    </w:p>
    <w:tbl>
      <w:tblPr>
        <w:tblStyle w:val="46"/>
        <w:tblW w:w="498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6"/>
        <w:gridCol w:w="1385"/>
        <w:gridCol w:w="642"/>
        <w:gridCol w:w="966"/>
        <w:gridCol w:w="966"/>
        <w:gridCol w:w="497"/>
        <w:gridCol w:w="573"/>
        <w:gridCol w:w="403"/>
        <w:gridCol w:w="426"/>
        <w:gridCol w:w="683"/>
        <w:gridCol w:w="943"/>
        <w:gridCol w:w="970"/>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序号</w:t>
            </w:r>
          </w:p>
        </w:tc>
        <w:tc>
          <w:tcPr>
            <w:tcW w:w="70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权证号</w:t>
            </w:r>
          </w:p>
        </w:tc>
        <w:tc>
          <w:tcPr>
            <w:tcW w:w="3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权利人</w:t>
            </w:r>
          </w:p>
        </w:tc>
        <w:tc>
          <w:tcPr>
            <w:tcW w:w="4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lang w:eastAsia="zh-CN"/>
              </w:rPr>
            </w:pPr>
            <w:r>
              <w:rPr>
                <w:rFonts w:hint="eastAsia" w:asciiTheme="minorEastAsia" w:hAnsiTheme="minorEastAsia" w:eastAsiaTheme="minorEastAsia" w:cstheme="minorEastAsia"/>
                <w:b w:val="0"/>
                <w:bCs w:val="0"/>
                <w:i w:val="0"/>
                <w:iCs w:val="0"/>
                <w:color w:val="auto"/>
                <w:sz w:val="18"/>
                <w:szCs w:val="18"/>
                <w:highlight w:val="none"/>
                <w:u w:val="none"/>
                <w:lang w:eastAsia="zh-CN"/>
              </w:rPr>
              <w:t>街道号</w:t>
            </w:r>
          </w:p>
        </w:tc>
        <w:tc>
          <w:tcPr>
            <w:tcW w:w="4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项目名称</w:t>
            </w:r>
          </w:p>
        </w:tc>
        <w:tc>
          <w:tcPr>
            <w:tcW w:w="25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幢号</w:t>
            </w:r>
          </w:p>
        </w:tc>
        <w:tc>
          <w:tcPr>
            <w:tcW w:w="2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单元号</w:t>
            </w:r>
          </w:p>
        </w:tc>
        <w:tc>
          <w:tcPr>
            <w:tcW w:w="20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楼层</w:t>
            </w:r>
          </w:p>
        </w:tc>
        <w:tc>
          <w:tcPr>
            <w:tcW w:w="21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房号</w:t>
            </w:r>
          </w:p>
        </w:tc>
        <w:tc>
          <w:tcPr>
            <w:tcW w:w="34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规划用途</w:t>
            </w:r>
          </w:p>
        </w:tc>
        <w:tc>
          <w:tcPr>
            <w:tcW w:w="48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建筑面积（㎡）</w:t>
            </w:r>
          </w:p>
        </w:tc>
        <w:tc>
          <w:tcPr>
            <w:tcW w:w="49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评估单价（元/㎡）</w:t>
            </w:r>
          </w:p>
        </w:tc>
        <w:tc>
          <w:tcPr>
            <w:tcW w:w="4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评估总价（万元）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7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川（2017）仁寿县不动产权第0002417号</w:t>
            </w:r>
          </w:p>
        </w:tc>
        <w:tc>
          <w:tcPr>
            <w:tcW w:w="327"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四川众志房地产开发有限公司</w:t>
            </w:r>
          </w:p>
        </w:tc>
        <w:tc>
          <w:tcPr>
            <w:tcW w:w="49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文林镇仁寿大道二段189号</w:t>
            </w:r>
          </w:p>
        </w:tc>
        <w:tc>
          <w:tcPr>
            <w:tcW w:w="49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中铁·仁禾广场</w:t>
            </w: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116.35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7720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70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川（2017）仁寿县不动产权第0002416号</w:t>
            </w: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116.58</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7970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116.58</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7810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w:t>
            </w:r>
          </w:p>
        </w:tc>
        <w:tc>
          <w:tcPr>
            <w:tcW w:w="70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监证0221187</w:t>
            </w: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怀仁街道仁寿大道二段431号</w:t>
            </w: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97.34</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7970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89.08</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7890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70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监证0223207</w:t>
            </w: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59.04</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10</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59.04</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13</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14</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15</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16</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17</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532"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合计</w:t>
            </w:r>
          </w:p>
        </w:tc>
        <w:tc>
          <w:tcPr>
            <w:tcW w:w="48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1246.15</w:t>
            </w:r>
          </w:p>
        </w:tc>
        <w:tc>
          <w:tcPr>
            <w:tcW w:w="49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w:t>
            </w:r>
          </w:p>
        </w:tc>
        <w:tc>
          <w:tcPr>
            <w:tcW w:w="4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940.84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1、估价结果单价精确到十元位，总价精确到百元位，币种为人民币。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本次评估，根据估价对象所在区域司法拍卖惯例，财产处置费用（如评估费、拍卖费、诉讼费用、律师费等费用）一般在司法拍卖结束后根据实际发生费用从财产处置价款中扣除，结合估价委托人介绍，本次评估结果未扣除相关财产处置费用，提请相关当事人关注此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3、本次评估，我们没有考虑估价对象被迫转让及处置后可能存在的被执行人不自愿配合交付因素对评估结果的不利影响，在此提请报告使用人注意此事项。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4、估价结果包含估价对象房屋（含建筑物、附着在建筑物上与其功能相匹配且不可移动的室内装饰装修、设施设备）及其分摊的土地使用权市场价值。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heme="minorEastAsia" w:hAnsiTheme="minorEastAsia" w:eastAsiaTheme="minorEastAsia" w:cstheme="minorEastAsia"/>
                <w:b w:val="0"/>
                <w:bCs w:val="0"/>
                <w:i w:val="0"/>
                <w:iCs w:val="0"/>
                <w:color w:val="auto"/>
                <w:sz w:val="18"/>
                <w:szCs w:val="18"/>
                <w:highlight w:val="none"/>
                <w:u w:val="none"/>
                <w:lang w:val="en-US"/>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r>
              <w:rPr>
                <w:rFonts w:hint="eastAsia" w:ascii="宋体" w:hAnsi="宋体" w:cs="宋体"/>
                <w:color w:val="auto"/>
                <w:kern w:val="0"/>
                <w:sz w:val="18"/>
                <w:szCs w:val="18"/>
                <w:highlight w:val="none"/>
                <w:lang w:bidi="ar"/>
              </w:rPr>
              <w:t>根据</w:t>
            </w:r>
            <w:r>
              <w:rPr>
                <w:rFonts w:hint="eastAsia" w:cs="宋体"/>
                <w:color w:val="auto"/>
                <w:kern w:val="0"/>
                <w:sz w:val="18"/>
                <w:szCs w:val="18"/>
                <w:highlight w:val="none"/>
                <w:lang w:eastAsia="zh-CN" w:bidi="ar"/>
              </w:rPr>
              <w:t>估价委托人提供的《平面图》</w:t>
            </w:r>
            <w:r>
              <w:rPr>
                <w:rFonts w:hint="eastAsia" w:ascii="宋体" w:hAnsi="宋体" w:cs="宋体"/>
                <w:color w:val="auto"/>
                <w:kern w:val="0"/>
                <w:sz w:val="18"/>
                <w:szCs w:val="18"/>
                <w:highlight w:val="none"/>
                <w:lang w:bidi="ar"/>
              </w:rPr>
              <w:t>，</w:t>
            </w:r>
            <w:r>
              <w:rPr>
                <w:rFonts w:hint="eastAsia" w:cs="宋体"/>
                <w:color w:val="auto"/>
                <w:kern w:val="0"/>
                <w:sz w:val="18"/>
                <w:szCs w:val="18"/>
                <w:highlight w:val="none"/>
                <w:lang w:val="en-US" w:eastAsia="zh-CN" w:bidi="ar"/>
              </w:rPr>
              <w:t>结合</w:t>
            </w:r>
            <w:r>
              <w:rPr>
                <w:rFonts w:hint="eastAsia" w:ascii="宋体" w:hAnsi="宋体" w:cs="宋体"/>
                <w:color w:val="auto"/>
                <w:kern w:val="0"/>
                <w:sz w:val="18"/>
                <w:szCs w:val="18"/>
                <w:highlight w:val="none"/>
                <w:lang w:bidi="ar"/>
              </w:rPr>
              <w:t>估价人员现场查看，</w:t>
            </w: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估价对象6-10、11-17未按</w:t>
            </w:r>
            <w:r>
              <w:rPr>
                <w:rFonts w:hint="eastAsia" w:cs="宋体"/>
                <w:color w:val="auto"/>
                <w:kern w:val="0"/>
                <w:sz w:val="18"/>
                <w:szCs w:val="18"/>
                <w:highlight w:val="none"/>
                <w:lang w:eastAsia="zh-CN" w:bidi="ar"/>
              </w:rPr>
              <w:t>原住宅设计户型布局，</w:t>
            </w:r>
            <w:r>
              <w:rPr>
                <w:rFonts w:hint="eastAsia" w:cs="宋体"/>
                <w:color w:val="auto"/>
                <w:kern w:val="0"/>
                <w:sz w:val="18"/>
                <w:szCs w:val="18"/>
                <w:highlight w:val="none"/>
                <w:lang w:val="en-US" w:eastAsia="zh-CN" w:bidi="ar"/>
              </w:rPr>
              <w:t>目前</w:t>
            </w: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与相邻物业整体打通重新分割后用作办公用房</w:t>
            </w:r>
            <w:r>
              <w:rPr>
                <w:rFonts w:hint="eastAsia" w:ascii="宋体" w:hAnsi="宋体" w:cs="宋体"/>
                <w:color w:val="auto"/>
                <w:kern w:val="0"/>
                <w:sz w:val="18"/>
                <w:szCs w:val="18"/>
                <w:highlight w:val="none"/>
                <w:lang w:bidi="ar"/>
              </w:rPr>
              <w:t>，</w:t>
            </w:r>
            <w:r>
              <w:rPr>
                <w:rFonts w:hint="eastAsia" w:cs="宋体"/>
                <w:color w:val="auto"/>
                <w:kern w:val="0"/>
                <w:sz w:val="18"/>
                <w:szCs w:val="18"/>
                <w:highlight w:val="none"/>
                <w:lang w:val="en-US" w:eastAsia="zh-CN" w:bidi="ar"/>
              </w:rPr>
              <w:t>各套间</w:t>
            </w:r>
            <w:r>
              <w:rPr>
                <w:rFonts w:hint="eastAsia" w:cs="宋体"/>
                <w:color w:val="auto"/>
                <w:kern w:val="0"/>
                <w:sz w:val="18"/>
                <w:szCs w:val="18"/>
                <w:highlight w:val="none"/>
                <w:lang w:eastAsia="zh-CN" w:bidi="ar"/>
              </w:rPr>
              <w:t>无明显分界线，</w:t>
            </w:r>
            <w:r>
              <w:rPr>
                <w:rFonts w:hint="eastAsia" w:ascii="宋体" w:hAnsi="宋体" w:cs="宋体"/>
                <w:color w:val="auto"/>
                <w:kern w:val="0"/>
                <w:sz w:val="18"/>
                <w:szCs w:val="18"/>
                <w:highlight w:val="none"/>
                <w:lang w:bidi="ar"/>
              </w:rPr>
              <w:t>提请报告使用人关注。</w:t>
            </w:r>
          </w:p>
        </w:tc>
      </w:tr>
    </w:tbl>
    <w:p>
      <w:pPr>
        <w:tabs>
          <w:tab w:val="left" w:pos="1365"/>
        </w:tabs>
        <w:spacing w:line="520" w:lineRule="exact"/>
        <w:ind w:left="1" w:firstLine="587"/>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估价的具体情况及相关专业意见，请见附后的估价报告。</w:t>
      </w:r>
    </w:p>
    <w:p>
      <w:pPr>
        <w:tabs>
          <w:tab w:val="left" w:pos="1365"/>
        </w:tabs>
        <w:spacing w:line="520" w:lineRule="exact"/>
        <w:ind w:left="1" w:firstLine="587"/>
        <w:rPr>
          <w:rFonts w:asciiTheme="minorEastAsia" w:hAnsiTheme="minorEastAsia" w:eastAsiaTheme="minorEastAsia"/>
          <w:color w:val="auto"/>
          <w:sz w:val="26"/>
          <w:szCs w:val="26"/>
          <w:highlight w:val="none"/>
        </w:rPr>
      </w:pPr>
    </w:p>
    <w:p>
      <w:pPr>
        <w:tabs>
          <w:tab w:val="left" w:pos="1365"/>
        </w:tabs>
        <w:spacing w:line="520" w:lineRule="exact"/>
        <w:ind w:left="1" w:firstLine="587"/>
        <w:jc w:val="right"/>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四川大成房地产土地评估有限公司</w:t>
      </w:r>
    </w:p>
    <w:p>
      <w:pPr>
        <w:adjustRightInd w:val="0"/>
        <w:snapToGrid w:val="0"/>
        <w:spacing w:line="520" w:lineRule="exact"/>
        <w:ind w:right="3" w:firstLine="520" w:firstLineChars="200"/>
        <w:jc w:val="right"/>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法定代表人：徐涛</w:t>
      </w:r>
    </w:p>
    <w:p>
      <w:pPr>
        <w:adjustRightInd w:val="0"/>
        <w:snapToGrid w:val="0"/>
        <w:spacing w:line="520" w:lineRule="exact"/>
        <w:ind w:right="3" w:firstLine="520" w:firstLineChars="200"/>
        <w:jc w:val="right"/>
        <w:rPr>
          <w:rFonts w:hint="eastAsia" w:asciiTheme="minorEastAsia" w:hAnsiTheme="minorEastAsia" w:eastAsiaTheme="minorEastAsia"/>
          <w:color w:val="auto"/>
          <w:sz w:val="26"/>
          <w:szCs w:val="26"/>
          <w:highlight w:val="none"/>
          <w:lang w:eastAsia="zh-CN"/>
        </w:rPr>
      </w:pPr>
      <w:bookmarkStart w:id="6" w:name="_Toc532308268"/>
      <w:bookmarkStart w:id="7" w:name="_Toc511861963"/>
      <w:r>
        <w:rPr>
          <w:rFonts w:hint="eastAsia" w:eastAsiaTheme="minorEastAsia"/>
          <w:color w:val="auto"/>
          <w:sz w:val="26"/>
          <w:szCs w:val="26"/>
          <w:highlight w:val="none"/>
          <w:lang w:eastAsia="zh-CN"/>
        </w:rPr>
        <w:t>二〇二二年十月十日</w:t>
      </w:r>
    </w:p>
    <w:p>
      <w:pPr>
        <w:rPr>
          <w:rFonts w:cs="宋体-18030" w:asciiTheme="minorEastAsia" w:hAnsiTheme="minorEastAsia" w:eastAsiaTheme="minorEastAsia"/>
          <w:b/>
          <w:color w:val="auto"/>
          <w:sz w:val="36"/>
          <w:highlight w:val="none"/>
        </w:rPr>
      </w:pPr>
      <w:bookmarkStart w:id="8" w:name="_Toc40632063"/>
      <w:r>
        <w:rPr>
          <w:rFonts w:cs="宋体-18030" w:asciiTheme="minorEastAsia" w:hAnsiTheme="minorEastAsia" w:eastAsiaTheme="minorEastAsia"/>
          <w:b/>
          <w:color w:val="auto"/>
          <w:sz w:val="36"/>
          <w:highlight w:val="none"/>
        </w:rPr>
        <w:br w:type="page"/>
      </w:r>
    </w:p>
    <w:p>
      <w:pPr>
        <w:adjustRightInd w:val="0"/>
        <w:snapToGrid w:val="0"/>
        <w:spacing w:line="600" w:lineRule="exact"/>
        <w:ind w:right="3"/>
        <w:jc w:val="center"/>
        <w:outlineLvl w:val="0"/>
        <w:rPr>
          <w:rFonts w:cs="宋体-18030" w:asciiTheme="minorEastAsia" w:hAnsiTheme="minorEastAsia" w:eastAsiaTheme="minorEastAsia"/>
          <w:color w:val="auto"/>
          <w:sz w:val="26"/>
          <w:szCs w:val="26"/>
          <w:highlight w:val="none"/>
        </w:rPr>
      </w:pPr>
      <w:bookmarkStart w:id="9" w:name="_Toc86245479"/>
      <w:r>
        <w:rPr>
          <w:rFonts w:hint="eastAsia" w:cs="宋体-18030" w:asciiTheme="minorEastAsia" w:hAnsiTheme="minorEastAsia" w:eastAsiaTheme="minorEastAsia"/>
          <w:b/>
          <w:color w:val="auto"/>
          <w:sz w:val="36"/>
          <w:highlight w:val="none"/>
        </w:rPr>
        <w:t>目  录</w:t>
      </w:r>
      <w:bookmarkEnd w:id="6"/>
      <w:bookmarkEnd w:id="7"/>
      <w:bookmarkEnd w:id="8"/>
      <w:bookmarkEnd w:id="9"/>
    </w:p>
    <w:p>
      <w:pPr>
        <w:pStyle w:val="29"/>
        <w:tabs>
          <w:tab w:val="right" w:leader="dot" w:pos="9628"/>
        </w:tabs>
        <w:ind w:left="1482" w:hanging="522"/>
        <w:rPr>
          <w:rFonts w:eastAsiaTheme="minorEastAsia" w:cstheme="minorBidi"/>
          <w:b w:val="0"/>
          <w:bCs w:val="0"/>
          <w:caps w:val="0"/>
          <w:color w:val="auto"/>
          <w:kern w:val="2"/>
          <w:sz w:val="26"/>
          <w:szCs w:val="26"/>
          <w:highlight w:val="none"/>
        </w:rPr>
      </w:pPr>
      <w:r>
        <w:rPr>
          <w:rFonts w:asciiTheme="minorEastAsia" w:hAnsiTheme="minorEastAsia" w:eastAsiaTheme="minorEastAsia"/>
          <w:b w:val="0"/>
          <w:bCs w:val="0"/>
          <w:caps w:val="0"/>
          <w:color w:val="auto"/>
          <w:sz w:val="26"/>
          <w:szCs w:val="26"/>
          <w:highlight w:val="none"/>
        </w:rPr>
        <w:fldChar w:fldCharType="begin"/>
      </w:r>
      <w:r>
        <w:rPr>
          <w:rFonts w:asciiTheme="minorEastAsia" w:hAnsiTheme="minorEastAsia" w:eastAsiaTheme="minorEastAsia"/>
          <w:b w:val="0"/>
          <w:bCs w:val="0"/>
          <w:caps w:val="0"/>
          <w:color w:val="auto"/>
          <w:sz w:val="26"/>
          <w:szCs w:val="26"/>
          <w:highlight w:val="none"/>
        </w:rPr>
        <w:instrText xml:space="preserve"> TOC \o "1-3" \h \z \u </w:instrText>
      </w:r>
      <w:r>
        <w:rPr>
          <w:rFonts w:asciiTheme="minorEastAsia" w:hAnsiTheme="minorEastAsia" w:eastAsiaTheme="minorEastAsia"/>
          <w:b w:val="0"/>
          <w:bCs w:val="0"/>
          <w:caps w:val="0"/>
          <w:color w:val="auto"/>
          <w:sz w:val="26"/>
          <w:szCs w:val="26"/>
          <w:highlight w:val="none"/>
        </w:rPr>
        <w:fldChar w:fldCharType="separate"/>
      </w:r>
    </w:p>
    <w:p>
      <w:pPr>
        <w:pStyle w:val="29"/>
        <w:tabs>
          <w:tab w:val="right" w:leader="dot" w:pos="9628"/>
        </w:tabs>
        <w:rPr>
          <w:rFonts w:eastAsiaTheme="minorEastAsia" w:cstheme="minorBidi"/>
          <w:b w:val="0"/>
          <w:bCs w:val="0"/>
          <w:caps w:val="0"/>
          <w:color w:val="auto"/>
          <w:kern w:val="2"/>
          <w:sz w:val="26"/>
          <w:szCs w:val="26"/>
          <w:highlight w:val="none"/>
        </w:rPr>
      </w:pPr>
      <w:r>
        <w:rPr>
          <w:color w:val="auto"/>
          <w:highlight w:val="none"/>
        </w:rPr>
        <w:fldChar w:fldCharType="begin"/>
      </w:r>
      <w:r>
        <w:rPr>
          <w:color w:val="auto"/>
          <w:highlight w:val="none"/>
        </w:rPr>
        <w:instrText xml:space="preserve"> HYPERLINK \l "_Toc86245480" </w:instrText>
      </w:r>
      <w:r>
        <w:rPr>
          <w:color w:val="auto"/>
          <w:highlight w:val="none"/>
        </w:rPr>
        <w:fldChar w:fldCharType="separate"/>
      </w:r>
      <w:r>
        <w:rPr>
          <w:rStyle w:val="56"/>
          <w:rFonts w:hint="eastAsia" w:cs="宋体-18030" w:asciiTheme="minorEastAsia" w:hAnsiTheme="minorEastAsia"/>
          <w:b w:val="0"/>
          <w:color w:val="auto"/>
          <w:sz w:val="26"/>
          <w:szCs w:val="26"/>
          <w:highlight w:val="none"/>
        </w:rPr>
        <w:t>估价师声明</w:t>
      </w:r>
      <w:r>
        <w:rPr>
          <w:b w:val="0"/>
          <w:color w:val="auto"/>
          <w:sz w:val="26"/>
          <w:szCs w:val="26"/>
          <w:highlight w:val="none"/>
        </w:rPr>
        <w:tab/>
      </w:r>
      <w:r>
        <w:rPr>
          <w:b w:val="0"/>
          <w:color w:val="auto"/>
          <w:sz w:val="26"/>
          <w:szCs w:val="26"/>
          <w:highlight w:val="none"/>
        </w:rPr>
        <w:fldChar w:fldCharType="begin"/>
      </w:r>
      <w:r>
        <w:rPr>
          <w:b w:val="0"/>
          <w:color w:val="auto"/>
          <w:sz w:val="26"/>
          <w:szCs w:val="26"/>
          <w:highlight w:val="none"/>
        </w:rPr>
        <w:instrText xml:space="preserve"> PAGEREF _Toc86245480 \h </w:instrText>
      </w:r>
      <w:r>
        <w:rPr>
          <w:b w:val="0"/>
          <w:color w:val="auto"/>
          <w:sz w:val="26"/>
          <w:szCs w:val="26"/>
          <w:highlight w:val="none"/>
        </w:rPr>
        <w:fldChar w:fldCharType="separate"/>
      </w:r>
      <w:r>
        <w:rPr>
          <w:b w:val="0"/>
          <w:color w:val="auto"/>
          <w:sz w:val="26"/>
          <w:szCs w:val="26"/>
          <w:highlight w:val="none"/>
        </w:rPr>
        <w:t>4</w:t>
      </w:r>
      <w:r>
        <w:rPr>
          <w:b w:val="0"/>
          <w:color w:val="auto"/>
          <w:sz w:val="26"/>
          <w:szCs w:val="26"/>
          <w:highlight w:val="none"/>
        </w:rPr>
        <w:fldChar w:fldCharType="end"/>
      </w:r>
      <w:r>
        <w:rPr>
          <w:b w:val="0"/>
          <w:color w:val="auto"/>
          <w:sz w:val="26"/>
          <w:szCs w:val="26"/>
          <w:highlight w:val="none"/>
        </w:rPr>
        <w:fldChar w:fldCharType="end"/>
      </w:r>
    </w:p>
    <w:p>
      <w:pPr>
        <w:pStyle w:val="29"/>
        <w:tabs>
          <w:tab w:val="right" w:leader="dot" w:pos="9628"/>
        </w:tabs>
        <w:rPr>
          <w:rFonts w:eastAsiaTheme="minorEastAsia" w:cstheme="minorBidi"/>
          <w:b w:val="0"/>
          <w:bCs w:val="0"/>
          <w:caps w:val="0"/>
          <w:color w:val="auto"/>
          <w:kern w:val="2"/>
          <w:sz w:val="26"/>
          <w:szCs w:val="26"/>
          <w:highlight w:val="none"/>
        </w:rPr>
      </w:pPr>
      <w:r>
        <w:rPr>
          <w:color w:val="auto"/>
          <w:highlight w:val="none"/>
        </w:rPr>
        <w:fldChar w:fldCharType="begin"/>
      </w:r>
      <w:r>
        <w:rPr>
          <w:color w:val="auto"/>
          <w:highlight w:val="none"/>
        </w:rPr>
        <w:instrText xml:space="preserve"> HYPERLINK \l "_Toc86245481" </w:instrText>
      </w:r>
      <w:r>
        <w:rPr>
          <w:color w:val="auto"/>
          <w:highlight w:val="none"/>
        </w:rPr>
        <w:fldChar w:fldCharType="separate"/>
      </w:r>
      <w:r>
        <w:rPr>
          <w:rStyle w:val="56"/>
          <w:rFonts w:hint="eastAsia" w:asciiTheme="minorEastAsia" w:hAnsiTheme="minorEastAsia"/>
          <w:b w:val="0"/>
          <w:color w:val="auto"/>
          <w:sz w:val="26"/>
          <w:szCs w:val="26"/>
          <w:highlight w:val="none"/>
        </w:rPr>
        <w:t>估价的假设和限制条件</w:t>
      </w:r>
      <w:r>
        <w:rPr>
          <w:b w:val="0"/>
          <w:color w:val="auto"/>
          <w:sz w:val="26"/>
          <w:szCs w:val="26"/>
          <w:highlight w:val="none"/>
        </w:rPr>
        <w:tab/>
      </w:r>
      <w:r>
        <w:rPr>
          <w:b w:val="0"/>
          <w:color w:val="auto"/>
          <w:sz w:val="26"/>
          <w:szCs w:val="26"/>
          <w:highlight w:val="none"/>
        </w:rPr>
        <w:fldChar w:fldCharType="begin"/>
      </w:r>
      <w:r>
        <w:rPr>
          <w:b w:val="0"/>
          <w:color w:val="auto"/>
          <w:sz w:val="26"/>
          <w:szCs w:val="26"/>
          <w:highlight w:val="none"/>
        </w:rPr>
        <w:instrText xml:space="preserve"> PAGEREF _Toc86245481 \h </w:instrText>
      </w:r>
      <w:r>
        <w:rPr>
          <w:b w:val="0"/>
          <w:color w:val="auto"/>
          <w:sz w:val="26"/>
          <w:szCs w:val="26"/>
          <w:highlight w:val="none"/>
        </w:rPr>
        <w:fldChar w:fldCharType="separate"/>
      </w:r>
      <w:r>
        <w:rPr>
          <w:b w:val="0"/>
          <w:color w:val="auto"/>
          <w:sz w:val="26"/>
          <w:szCs w:val="26"/>
          <w:highlight w:val="none"/>
        </w:rPr>
        <w:t>5</w:t>
      </w:r>
      <w:r>
        <w:rPr>
          <w:b w:val="0"/>
          <w:color w:val="auto"/>
          <w:sz w:val="26"/>
          <w:szCs w:val="26"/>
          <w:highlight w:val="none"/>
        </w:rPr>
        <w:fldChar w:fldCharType="end"/>
      </w:r>
      <w:r>
        <w:rPr>
          <w:b w:val="0"/>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"_Toc86245482" </w:instrText>
      </w:r>
      <w:r>
        <w:rPr>
          <w:color w:val="auto"/>
          <w:highlight w:val="none"/>
        </w:rPr>
        <w:fldChar w:fldCharType="separate"/>
      </w:r>
      <w:r>
        <w:rPr>
          <w:rStyle w:val="56"/>
          <w:rFonts w:hint="eastAsia" w:asciiTheme="minorEastAsia" w:hAnsiTheme="minorEastAsia"/>
          <w:color w:val="auto"/>
          <w:sz w:val="26"/>
          <w:szCs w:val="26"/>
          <w:highlight w:val="none"/>
        </w:rPr>
        <w:t>一、估价的假设</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_Toc86245482 \h </w:instrText>
      </w:r>
      <w:r>
        <w:rPr>
          <w:color w:val="auto"/>
          <w:sz w:val="26"/>
          <w:szCs w:val="26"/>
          <w:highlight w:val="none"/>
        </w:rPr>
        <w:fldChar w:fldCharType="separate"/>
      </w:r>
      <w:r>
        <w:rPr>
          <w:color w:val="auto"/>
          <w:sz w:val="26"/>
          <w:szCs w:val="26"/>
          <w:highlight w:val="none"/>
        </w:rPr>
        <w:t>5</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"_Toc86245483" </w:instrText>
      </w:r>
      <w:r>
        <w:rPr>
          <w:color w:val="auto"/>
          <w:highlight w:val="none"/>
        </w:rPr>
        <w:fldChar w:fldCharType="separate"/>
      </w:r>
      <w:r>
        <w:rPr>
          <w:rStyle w:val="56"/>
          <w:rFonts w:hint="eastAsia" w:asciiTheme="minorEastAsia" w:hAnsiTheme="minorEastAsia"/>
          <w:color w:val="auto"/>
          <w:sz w:val="26"/>
          <w:szCs w:val="26"/>
          <w:highlight w:val="none"/>
        </w:rPr>
        <w:t>二、估价报告使用限制条件</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_Toc86245483 \h </w:instrText>
      </w:r>
      <w:r>
        <w:rPr>
          <w:color w:val="auto"/>
          <w:sz w:val="26"/>
          <w:szCs w:val="26"/>
          <w:highlight w:val="none"/>
        </w:rPr>
        <w:fldChar w:fldCharType="separate"/>
      </w:r>
      <w:r>
        <w:rPr>
          <w:color w:val="auto"/>
          <w:sz w:val="26"/>
          <w:szCs w:val="26"/>
          <w:highlight w:val="none"/>
        </w:rPr>
        <w:t>6</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"_Toc86245484" </w:instrText>
      </w:r>
      <w:r>
        <w:rPr>
          <w:color w:val="auto"/>
          <w:highlight w:val="none"/>
        </w:rPr>
        <w:fldChar w:fldCharType="separate"/>
      </w:r>
      <w:r>
        <w:rPr>
          <w:rStyle w:val="56"/>
          <w:rFonts w:hint="eastAsia" w:asciiTheme="minorEastAsia" w:hAnsiTheme="minorEastAsia"/>
          <w:color w:val="auto"/>
          <w:sz w:val="26"/>
          <w:szCs w:val="26"/>
          <w:highlight w:val="none"/>
        </w:rPr>
        <w:t>三、需要特别说明事项</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_Toc86245484 \h </w:instrText>
      </w:r>
      <w:r>
        <w:rPr>
          <w:color w:val="auto"/>
          <w:sz w:val="26"/>
          <w:szCs w:val="26"/>
          <w:highlight w:val="none"/>
        </w:rPr>
        <w:fldChar w:fldCharType="separate"/>
      </w:r>
      <w:r>
        <w:rPr>
          <w:color w:val="auto"/>
          <w:sz w:val="26"/>
          <w:szCs w:val="26"/>
          <w:highlight w:val="none"/>
        </w:rPr>
        <w:t>8</w:t>
      </w:r>
      <w:r>
        <w:rPr>
          <w:color w:val="auto"/>
          <w:sz w:val="26"/>
          <w:szCs w:val="26"/>
          <w:highlight w:val="none"/>
        </w:rPr>
        <w:fldChar w:fldCharType="end"/>
      </w:r>
      <w:r>
        <w:rPr>
          <w:color w:val="auto"/>
          <w:sz w:val="26"/>
          <w:szCs w:val="26"/>
          <w:highlight w:val="none"/>
        </w:rPr>
        <w:fldChar w:fldCharType="end"/>
      </w:r>
    </w:p>
    <w:p>
      <w:pPr>
        <w:pStyle w:val="29"/>
        <w:tabs>
          <w:tab w:val="right" w:leader="dot" w:pos="9628"/>
        </w:tabs>
        <w:rPr>
          <w:rFonts w:eastAsiaTheme="minorEastAsia" w:cstheme="minorBidi"/>
          <w:b w:val="0"/>
          <w:bCs w:val="0"/>
          <w:caps w:val="0"/>
          <w:color w:val="auto"/>
          <w:kern w:val="2"/>
          <w:sz w:val="26"/>
          <w:szCs w:val="26"/>
          <w:highlight w:val="none"/>
        </w:rPr>
      </w:pPr>
      <w:r>
        <w:rPr>
          <w:color w:val="auto"/>
          <w:highlight w:val="none"/>
        </w:rPr>
        <w:fldChar w:fldCharType="begin"/>
      </w:r>
      <w:r>
        <w:rPr>
          <w:color w:val="auto"/>
          <w:highlight w:val="none"/>
        </w:rPr>
        <w:instrText xml:space="preserve"> HYPERLINK \l "_Toc86245485" </w:instrText>
      </w:r>
      <w:r>
        <w:rPr>
          <w:color w:val="auto"/>
          <w:highlight w:val="none"/>
        </w:rPr>
        <w:fldChar w:fldCharType="separate"/>
      </w:r>
      <w:r>
        <w:rPr>
          <w:rStyle w:val="56"/>
          <w:rFonts w:hint="eastAsia" w:cs="宋体-18030" w:asciiTheme="minorEastAsia" w:hAnsiTheme="minorEastAsia"/>
          <w:b w:val="0"/>
          <w:color w:val="auto"/>
          <w:sz w:val="26"/>
          <w:szCs w:val="26"/>
          <w:highlight w:val="none"/>
        </w:rPr>
        <w:t>估价结果报告</w:t>
      </w:r>
      <w:r>
        <w:rPr>
          <w:b w:val="0"/>
          <w:color w:val="auto"/>
          <w:sz w:val="26"/>
          <w:szCs w:val="26"/>
          <w:highlight w:val="none"/>
        </w:rPr>
        <w:tab/>
      </w:r>
      <w:r>
        <w:rPr>
          <w:b w:val="0"/>
          <w:color w:val="auto"/>
          <w:sz w:val="26"/>
          <w:szCs w:val="26"/>
          <w:highlight w:val="none"/>
        </w:rPr>
        <w:fldChar w:fldCharType="begin"/>
      </w:r>
      <w:r>
        <w:rPr>
          <w:b w:val="0"/>
          <w:color w:val="auto"/>
          <w:sz w:val="26"/>
          <w:szCs w:val="26"/>
          <w:highlight w:val="none"/>
        </w:rPr>
        <w:instrText xml:space="preserve"> PAGEREF _Toc86245485 \h </w:instrText>
      </w:r>
      <w:r>
        <w:rPr>
          <w:b w:val="0"/>
          <w:color w:val="auto"/>
          <w:sz w:val="26"/>
          <w:szCs w:val="26"/>
          <w:highlight w:val="none"/>
        </w:rPr>
        <w:fldChar w:fldCharType="separate"/>
      </w:r>
      <w:r>
        <w:rPr>
          <w:b w:val="0"/>
          <w:color w:val="auto"/>
          <w:sz w:val="26"/>
          <w:szCs w:val="26"/>
          <w:highlight w:val="none"/>
        </w:rPr>
        <w:t>10</w:t>
      </w:r>
      <w:r>
        <w:rPr>
          <w:b w:val="0"/>
          <w:color w:val="auto"/>
          <w:sz w:val="26"/>
          <w:szCs w:val="26"/>
          <w:highlight w:val="none"/>
        </w:rPr>
        <w:fldChar w:fldCharType="end"/>
      </w:r>
      <w:r>
        <w:rPr>
          <w:b w:val="0"/>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"_Toc86245486" </w:instrText>
      </w:r>
      <w:r>
        <w:rPr>
          <w:color w:val="auto"/>
          <w:highlight w:val="none"/>
        </w:rPr>
        <w:fldChar w:fldCharType="separate"/>
      </w:r>
      <w:r>
        <w:rPr>
          <w:rStyle w:val="56"/>
          <w:rFonts w:hint="eastAsia" w:cs="宋体-18030" w:asciiTheme="minorEastAsia" w:hAnsiTheme="minorEastAsia"/>
          <w:color w:val="auto"/>
          <w:sz w:val="26"/>
          <w:szCs w:val="26"/>
          <w:highlight w:val="none"/>
        </w:rPr>
        <w:t>一、估价委托人</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_Toc86245486 \h </w:instrText>
      </w:r>
      <w:r>
        <w:rPr>
          <w:color w:val="auto"/>
          <w:sz w:val="26"/>
          <w:szCs w:val="26"/>
          <w:highlight w:val="none"/>
        </w:rPr>
        <w:fldChar w:fldCharType="separate"/>
      </w:r>
      <w:r>
        <w:rPr>
          <w:color w:val="auto"/>
          <w:sz w:val="26"/>
          <w:szCs w:val="26"/>
          <w:highlight w:val="none"/>
        </w:rPr>
        <w:t>10</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"_Toc86245487" </w:instrText>
      </w:r>
      <w:r>
        <w:rPr>
          <w:color w:val="auto"/>
          <w:highlight w:val="none"/>
        </w:rPr>
        <w:fldChar w:fldCharType="separate"/>
      </w:r>
      <w:r>
        <w:rPr>
          <w:rStyle w:val="56"/>
          <w:rFonts w:hint="eastAsia" w:cs="宋体-18030" w:asciiTheme="minorEastAsia" w:hAnsiTheme="minorEastAsia"/>
          <w:color w:val="auto"/>
          <w:sz w:val="26"/>
          <w:szCs w:val="26"/>
          <w:highlight w:val="none"/>
        </w:rPr>
        <w:t>二、房地产估价机构</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_Toc86245487 \h </w:instrText>
      </w:r>
      <w:r>
        <w:rPr>
          <w:color w:val="auto"/>
          <w:sz w:val="26"/>
          <w:szCs w:val="26"/>
          <w:highlight w:val="none"/>
        </w:rPr>
        <w:fldChar w:fldCharType="separate"/>
      </w:r>
      <w:r>
        <w:rPr>
          <w:color w:val="auto"/>
          <w:sz w:val="26"/>
          <w:szCs w:val="26"/>
          <w:highlight w:val="none"/>
        </w:rPr>
        <w:t>10</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"_Toc86245488" </w:instrText>
      </w:r>
      <w:r>
        <w:rPr>
          <w:color w:val="auto"/>
          <w:highlight w:val="none"/>
        </w:rPr>
        <w:fldChar w:fldCharType="separate"/>
      </w:r>
      <w:r>
        <w:rPr>
          <w:rStyle w:val="56"/>
          <w:rFonts w:hint="eastAsia" w:cs="宋体-18030" w:asciiTheme="minorEastAsia" w:hAnsiTheme="minorEastAsia"/>
          <w:color w:val="auto"/>
          <w:sz w:val="26"/>
          <w:szCs w:val="26"/>
          <w:highlight w:val="none"/>
        </w:rPr>
        <w:t>三、</w:t>
      </w:r>
      <w:r>
        <w:rPr>
          <w:rStyle w:val="56"/>
          <w:rFonts w:hint="eastAsia" w:asciiTheme="minorEastAsia" w:hAnsiTheme="minorEastAsia"/>
          <w:color w:val="auto"/>
          <w:sz w:val="26"/>
          <w:szCs w:val="26"/>
          <w:highlight w:val="none"/>
        </w:rPr>
        <w:t>估价目的</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_Toc86245488 \h </w:instrText>
      </w:r>
      <w:r>
        <w:rPr>
          <w:color w:val="auto"/>
          <w:sz w:val="26"/>
          <w:szCs w:val="26"/>
          <w:highlight w:val="none"/>
        </w:rPr>
        <w:fldChar w:fldCharType="separate"/>
      </w:r>
      <w:r>
        <w:rPr>
          <w:color w:val="auto"/>
          <w:sz w:val="26"/>
          <w:szCs w:val="26"/>
          <w:highlight w:val="none"/>
        </w:rPr>
        <w:t>10</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"_Toc86245489" </w:instrText>
      </w:r>
      <w:r>
        <w:rPr>
          <w:color w:val="auto"/>
          <w:highlight w:val="none"/>
        </w:rPr>
        <w:fldChar w:fldCharType="separate"/>
      </w:r>
      <w:r>
        <w:rPr>
          <w:rStyle w:val="56"/>
          <w:rFonts w:hint="eastAsia" w:asciiTheme="minorEastAsia" w:hAnsiTheme="minorEastAsia"/>
          <w:color w:val="auto"/>
          <w:sz w:val="26"/>
          <w:szCs w:val="26"/>
          <w:highlight w:val="none"/>
        </w:rPr>
        <w:t>四、估价对象</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_Toc86245489 \h </w:instrText>
      </w:r>
      <w:r>
        <w:rPr>
          <w:color w:val="auto"/>
          <w:sz w:val="26"/>
          <w:szCs w:val="26"/>
          <w:highlight w:val="none"/>
        </w:rPr>
        <w:fldChar w:fldCharType="separate"/>
      </w:r>
      <w:r>
        <w:rPr>
          <w:color w:val="auto"/>
          <w:sz w:val="26"/>
          <w:szCs w:val="26"/>
          <w:highlight w:val="none"/>
        </w:rPr>
        <w:t>10</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"_Toc86245490" </w:instrText>
      </w:r>
      <w:r>
        <w:rPr>
          <w:color w:val="auto"/>
          <w:highlight w:val="none"/>
        </w:rPr>
        <w:fldChar w:fldCharType="separate"/>
      </w:r>
      <w:r>
        <w:rPr>
          <w:rStyle w:val="56"/>
          <w:rFonts w:hint="eastAsia" w:cs="宋体-18030" w:asciiTheme="minorEastAsia" w:hAnsiTheme="minorEastAsia"/>
          <w:color w:val="auto"/>
          <w:sz w:val="26"/>
          <w:szCs w:val="26"/>
          <w:highlight w:val="none"/>
        </w:rPr>
        <w:t>五、价值时点</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_Toc86245490 \h </w:instrText>
      </w:r>
      <w:r>
        <w:rPr>
          <w:color w:val="auto"/>
          <w:sz w:val="26"/>
          <w:szCs w:val="26"/>
          <w:highlight w:val="none"/>
        </w:rPr>
        <w:fldChar w:fldCharType="separate"/>
      </w:r>
      <w:r>
        <w:rPr>
          <w:color w:val="auto"/>
          <w:sz w:val="26"/>
          <w:szCs w:val="26"/>
          <w:highlight w:val="none"/>
        </w:rPr>
        <w:t>14</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"_Toc86245491" </w:instrText>
      </w:r>
      <w:r>
        <w:rPr>
          <w:color w:val="auto"/>
          <w:highlight w:val="none"/>
        </w:rPr>
        <w:fldChar w:fldCharType="separate"/>
      </w:r>
      <w:r>
        <w:rPr>
          <w:rStyle w:val="56"/>
          <w:rFonts w:hint="eastAsia" w:cs="宋体-18030" w:asciiTheme="minorEastAsia" w:hAnsiTheme="minorEastAsia"/>
          <w:color w:val="auto"/>
          <w:sz w:val="26"/>
          <w:szCs w:val="26"/>
          <w:highlight w:val="none"/>
        </w:rPr>
        <w:t>六、价值类型</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_Toc86245491 \h </w:instrText>
      </w:r>
      <w:r>
        <w:rPr>
          <w:color w:val="auto"/>
          <w:sz w:val="26"/>
          <w:szCs w:val="26"/>
          <w:highlight w:val="none"/>
        </w:rPr>
        <w:fldChar w:fldCharType="separate"/>
      </w:r>
      <w:r>
        <w:rPr>
          <w:color w:val="auto"/>
          <w:sz w:val="26"/>
          <w:szCs w:val="26"/>
          <w:highlight w:val="none"/>
        </w:rPr>
        <w:t>14</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"_Toc86245492" </w:instrText>
      </w:r>
      <w:r>
        <w:rPr>
          <w:color w:val="auto"/>
          <w:highlight w:val="none"/>
        </w:rPr>
        <w:fldChar w:fldCharType="separate"/>
      </w:r>
      <w:r>
        <w:rPr>
          <w:rStyle w:val="56"/>
          <w:rFonts w:hint="eastAsia" w:cs="宋体-18030" w:asciiTheme="minorEastAsia" w:hAnsiTheme="minorEastAsia"/>
          <w:color w:val="auto"/>
          <w:sz w:val="26"/>
          <w:szCs w:val="26"/>
          <w:highlight w:val="none"/>
        </w:rPr>
        <w:t>七、估价原则</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_Toc86245492 \h </w:instrText>
      </w:r>
      <w:r>
        <w:rPr>
          <w:color w:val="auto"/>
          <w:sz w:val="26"/>
          <w:szCs w:val="26"/>
          <w:highlight w:val="none"/>
        </w:rPr>
        <w:fldChar w:fldCharType="separate"/>
      </w:r>
      <w:r>
        <w:rPr>
          <w:color w:val="auto"/>
          <w:sz w:val="26"/>
          <w:szCs w:val="26"/>
          <w:highlight w:val="none"/>
        </w:rPr>
        <w:t>14</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"_Toc86245493" </w:instrText>
      </w:r>
      <w:r>
        <w:rPr>
          <w:color w:val="auto"/>
          <w:highlight w:val="none"/>
        </w:rPr>
        <w:fldChar w:fldCharType="separate"/>
      </w:r>
      <w:r>
        <w:rPr>
          <w:rStyle w:val="56"/>
          <w:rFonts w:hint="eastAsia" w:cs="宋体-18030" w:asciiTheme="minorEastAsia" w:hAnsiTheme="minorEastAsia"/>
          <w:color w:val="auto"/>
          <w:sz w:val="26"/>
          <w:szCs w:val="26"/>
          <w:highlight w:val="none"/>
        </w:rPr>
        <w:t>八、估价依据</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_Toc86245493 \h </w:instrText>
      </w:r>
      <w:r>
        <w:rPr>
          <w:color w:val="auto"/>
          <w:sz w:val="26"/>
          <w:szCs w:val="26"/>
          <w:highlight w:val="none"/>
        </w:rPr>
        <w:fldChar w:fldCharType="separate"/>
      </w:r>
      <w:r>
        <w:rPr>
          <w:color w:val="auto"/>
          <w:sz w:val="26"/>
          <w:szCs w:val="26"/>
          <w:highlight w:val="none"/>
        </w:rPr>
        <w:t>16</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"_Toc86245494" </w:instrText>
      </w:r>
      <w:r>
        <w:rPr>
          <w:color w:val="auto"/>
          <w:highlight w:val="none"/>
        </w:rPr>
        <w:fldChar w:fldCharType="separate"/>
      </w:r>
      <w:r>
        <w:rPr>
          <w:rStyle w:val="56"/>
          <w:rFonts w:hint="eastAsia" w:cs="宋体-18030" w:asciiTheme="minorEastAsia" w:hAnsiTheme="minorEastAsia"/>
          <w:color w:val="auto"/>
          <w:sz w:val="26"/>
          <w:szCs w:val="26"/>
          <w:highlight w:val="none"/>
        </w:rPr>
        <w:t>九、估价方法</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_Toc86245494 \h </w:instrText>
      </w:r>
      <w:r>
        <w:rPr>
          <w:color w:val="auto"/>
          <w:sz w:val="26"/>
          <w:szCs w:val="26"/>
          <w:highlight w:val="none"/>
        </w:rPr>
        <w:fldChar w:fldCharType="separate"/>
      </w:r>
      <w:r>
        <w:rPr>
          <w:color w:val="auto"/>
          <w:sz w:val="26"/>
          <w:szCs w:val="26"/>
          <w:highlight w:val="none"/>
        </w:rPr>
        <w:t>17</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"_Toc86245495" </w:instrText>
      </w:r>
      <w:r>
        <w:rPr>
          <w:color w:val="auto"/>
          <w:highlight w:val="none"/>
        </w:rPr>
        <w:fldChar w:fldCharType="separate"/>
      </w:r>
      <w:r>
        <w:rPr>
          <w:rStyle w:val="56"/>
          <w:rFonts w:hint="eastAsia" w:cs="宋体-18030" w:asciiTheme="minorEastAsia" w:hAnsiTheme="minorEastAsia"/>
          <w:color w:val="auto"/>
          <w:sz w:val="26"/>
          <w:szCs w:val="26"/>
          <w:highlight w:val="none"/>
        </w:rPr>
        <w:t>十、估价结果</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_Toc86245495 \h </w:instrText>
      </w:r>
      <w:r>
        <w:rPr>
          <w:color w:val="auto"/>
          <w:sz w:val="26"/>
          <w:szCs w:val="26"/>
          <w:highlight w:val="none"/>
        </w:rPr>
        <w:fldChar w:fldCharType="separate"/>
      </w:r>
      <w:r>
        <w:rPr>
          <w:color w:val="auto"/>
          <w:sz w:val="26"/>
          <w:szCs w:val="26"/>
          <w:highlight w:val="none"/>
        </w:rPr>
        <w:t>19</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"_Toc86245496" </w:instrText>
      </w:r>
      <w:r>
        <w:rPr>
          <w:color w:val="auto"/>
          <w:highlight w:val="none"/>
        </w:rPr>
        <w:fldChar w:fldCharType="separate"/>
      </w:r>
      <w:r>
        <w:rPr>
          <w:rStyle w:val="56"/>
          <w:rFonts w:hint="eastAsia" w:cs="宋体-18030" w:asciiTheme="minorEastAsia" w:hAnsiTheme="minorEastAsia"/>
          <w:color w:val="auto"/>
          <w:sz w:val="26"/>
          <w:szCs w:val="26"/>
          <w:highlight w:val="none"/>
        </w:rPr>
        <w:t>十一、注册房地产估价师</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_Toc86245496 \h </w:instrText>
      </w:r>
      <w:r>
        <w:rPr>
          <w:color w:val="auto"/>
          <w:sz w:val="26"/>
          <w:szCs w:val="26"/>
          <w:highlight w:val="none"/>
        </w:rPr>
        <w:fldChar w:fldCharType="separate"/>
      </w:r>
      <w:r>
        <w:rPr>
          <w:color w:val="auto"/>
          <w:sz w:val="26"/>
          <w:szCs w:val="26"/>
          <w:highlight w:val="none"/>
        </w:rPr>
        <w:t>20</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"_Toc86245497" </w:instrText>
      </w:r>
      <w:r>
        <w:rPr>
          <w:color w:val="auto"/>
          <w:highlight w:val="none"/>
        </w:rPr>
        <w:fldChar w:fldCharType="separate"/>
      </w:r>
      <w:r>
        <w:rPr>
          <w:rStyle w:val="56"/>
          <w:rFonts w:hint="eastAsia" w:cs="宋体-18030" w:asciiTheme="minorEastAsia" w:hAnsiTheme="minorEastAsia"/>
          <w:color w:val="auto"/>
          <w:sz w:val="26"/>
          <w:szCs w:val="26"/>
          <w:highlight w:val="none"/>
        </w:rPr>
        <w:t>十二、实地查勘期</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_Toc86245497 \h </w:instrText>
      </w:r>
      <w:r>
        <w:rPr>
          <w:color w:val="auto"/>
          <w:sz w:val="26"/>
          <w:szCs w:val="26"/>
          <w:highlight w:val="none"/>
        </w:rPr>
        <w:fldChar w:fldCharType="separate"/>
      </w:r>
      <w:r>
        <w:rPr>
          <w:color w:val="auto"/>
          <w:sz w:val="26"/>
          <w:szCs w:val="26"/>
          <w:highlight w:val="none"/>
        </w:rPr>
        <w:t>20</w:t>
      </w:r>
      <w:r>
        <w:rPr>
          <w:color w:val="auto"/>
          <w:sz w:val="26"/>
          <w:szCs w:val="26"/>
          <w:highlight w:val="none"/>
        </w:rPr>
        <w:fldChar w:fldCharType="end"/>
      </w:r>
      <w:r>
        <w:rPr>
          <w:color w:val="auto"/>
          <w:sz w:val="26"/>
          <w:szCs w:val="26"/>
          <w:highlight w:val="none"/>
        </w:rPr>
        <w:fldChar w:fldCharType="end"/>
      </w:r>
    </w:p>
    <w:p>
      <w:pPr>
        <w:pStyle w:val="36"/>
        <w:tabs>
          <w:tab w:val="right" w:leader="dot" w:pos="9628"/>
        </w:tabs>
        <w:rPr>
          <w:rFonts w:eastAsiaTheme="minorEastAsia" w:cstheme="minorBidi"/>
          <w:smallCaps w:val="0"/>
          <w:color w:val="auto"/>
          <w:kern w:val="2"/>
          <w:sz w:val="26"/>
          <w:szCs w:val="26"/>
          <w:highlight w:val="none"/>
        </w:rPr>
      </w:pPr>
      <w:r>
        <w:rPr>
          <w:color w:val="auto"/>
          <w:highlight w:val="none"/>
        </w:rPr>
        <w:fldChar w:fldCharType="begin"/>
      </w:r>
      <w:r>
        <w:rPr>
          <w:color w:val="auto"/>
          <w:highlight w:val="none"/>
        </w:rPr>
        <w:instrText xml:space="preserve"> HYPERLINK \l "_Toc86245498" </w:instrText>
      </w:r>
      <w:r>
        <w:rPr>
          <w:color w:val="auto"/>
          <w:highlight w:val="none"/>
        </w:rPr>
        <w:fldChar w:fldCharType="separate"/>
      </w:r>
      <w:r>
        <w:rPr>
          <w:rStyle w:val="56"/>
          <w:rFonts w:hint="eastAsia" w:cs="宋体-18030" w:asciiTheme="minorEastAsia" w:hAnsiTheme="minorEastAsia"/>
          <w:color w:val="auto"/>
          <w:sz w:val="26"/>
          <w:szCs w:val="26"/>
          <w:highlight w:val="none"/>
        </w:rPr>
        <w:t>十三、估价作业期</w:t>
      </w:r>
      <w:r>
        <w:rPr>
          <w:color w:val="auto"/>
          <w:sz w:val="26"/>
          <w:szCs w:val="26"/>
          <w:highlight w:val="none"/>
        </w:rPr>
        <w:tab/>
      </w:r>
      <w:r>
        <w:rPr>
          <w:color w:val="auto"/>
          <w:sz w:val="26"/>
          <w:szCs w:val="26"/>
          <w:highlight w:val="none"/>
        </w:rPr>
        <w:fldChar w:fldCharType="begin"/>
      </w:r>
      <w:r>
        <w:rPr>
          <w:color w:val="auto"/>
          <w:sz w:val="26"/>
          <w:szCs w:val="26"/>
          <w:highlight w:val="none"/>
        </w:rPr>
        <w:instrText xml:space="preserve"> PAGEREF _Toc86245498 \h </w:instrText>
      </w:r>
      <w:r>
        <w:rPr>
          <w:color w:val="auto"/>
          <w:sz w:val="26"/>
          <w:szCs w:val="26"/>
          <w:highlight w:val="none"/>
        </w:rPr>
        <w:fldChar w:fldCharType="separate"/>
      </w:r>
      <w:r>
        <w:rPr>
          <w:color w:val="auto"/>
          <w:sz w:val="26"/>
          <w:szCs w:val="26"/>
          <w:highlight w:val="none"/>
        </w:rPr>
        <w:t>20</w:t>
      </w:r>
      <w:r>
        <w:rPr>
          <w:color w:val="auto"/>
          <w:sz w:val="26"/>
          <w:szCs w:val="26"/>
          <w:highlight w:val="none"/>
        </w:rPr>
        <w:fldChar w:fldCharType="end"/>
      </w:r>
      <w:r>
        <w:rPr>
          <w:color w:val="auto"/>
          <w:sz w:val="26"/>
          <w:szCs w:val="26"/>
          <w:highlight w:val="none"/>
        </w:rPr>
        <w:fldChar w:fldCharType="end"/>
      </w:r>
    </w:p>
    <w:p>
      <w:pPr>
        <w:pStyle w:val="29"/>
        <w:tabs>
          <w:tab w:val="right" w:leader="dot" w:pos="9628"/>
        </w:tabs>
        <w:rPr>
          <w:rFonts w:eastAsiaTheme="minorEastAsia" w:cstheme="minorBidi"/>
          <w:b w:val="0"/>
          <w:bCs w:val="0"/>
          <w:caps w:val="0"/>
          <w:color w:val="auto"/>
          <w:kern w:val="2"/>
          <w:sz w:val="26"/>
          <w:szCs w:val="26"/>
          <w:highlight w:val="none"/>
        </w:rPr>
      </w:pPr>
      <w:r>
        <w:rPr>
          <w:color w:val="auto"/>
          <w:highlight w:val="none"/>
        </w:rPr>
        <w:fldChar w:fldCharType="begin"/>
      </w:r>
      <w:r>
        <w:rPr>
          <w:color w:val="auto"/>
          <w:highlight w:val="none"/>
        </w:rPr>
        <w:instrText xml:space="preserve"> HYPERLINK \l "_Toc86245499" </w:instrText>
      </w:r>
      <w:r>
        <w:rPr>
          <w:color w:val="auto"/>
          <w:highlight w:val="none"/>
        </w:rPr>
        <w:fldChar w:fldCharType="separate"/>
      </w:r>
      <w:r>
        <w:rPr>
          <w:rStyle w:val="56"/>
          <w:rFonts w:hint="eastAsia" w:cs="宋体-18030" w:asciiTheme="minorEastAsia" w:hAnsiTheme="minorEastAsia"/>
          <w:b w:val="0"/>
          <w:color w:val="auto"/>
          <w:sz w:val="26"/>
          <w:szCs w:val="26"/>
          <w:highlight w:val="none"/>
        </w:rPr>
        <w:t>附件</w:t>
      </w:r>
      <w:r>
        <w:rPr>
          <w:b w:val="0"/>
          <w:color w:val="auto"/>
          <w:sz w:val="26"/>
          <w:szCs w:val="26"/>
          <w:highlight w:val="none"/>
        </w:rPr>
        <w:tab/>
      </w:r>
      <w:r>
        <w:rPr>
          <w:b w:val="0"/>
          <w:color w:val="auto"/>
          <w:sz w:val="26"/>
          <w:szCs w:val="26"/>
          <w:highlight w:val="none"/>
        </w:rPr>
        <w:fldChar w:fldCharType="begin"/>
      </w:r>
      <w:r>
        <w:rPr>
          <w:b w:val="0"/>
          <w:color w:val="auto"/>
          <w:sz w:val="26"/>
          <w:szCs w:val="26"/>
          <w:highlight w:val="none"/>
        </w:rPr>
        <w:instrText xml:space="preserve"> PAGEREF _Toc86245499 \h </w:instrText>
      </w:r>
      <w:r>
        <w:rPr>
          <w:b w:val="0"/>
          <w:color w:val="auto"/>
          <w:sz w:val="26"/>
          <w:szCs w:val="26"/>
          <w:highlight w:val="none"/>
        </w:rPr>
        <w:fldChar w:fldCharType="separate"/>
      </w:r>
      <w:r>
        <w:rPr>
          <w:b w:val="0"/>
          <w:color w:val="auto"/>
          <w:sz w:val="26"/>
          <w:szCs w:val="26"/>
          <w:highlight w:val="none"/>
        </w:rPr>
        <w:t>21</w:t>
      </w:r>
      <w:r>
        <w:rPr>
          <w:b w:val="0"/>
          <w:color w:val="auto"/>
          <w:sz w:val="26"/>
          <w:szCs w:val="26"/>
          <w:highlight w:val="none"/>
        </w:rPr>
        <w:fldChar w:fldCharType="end"/>
      </w:r>
      <w:r>
        <w:rPr>
          <w:b w:val="0"/>
          <w:color w:val="auto"/>
          <w:sz w:val="26"/>
          <w:szCs w:val="26"/>
          <w:highlight w:val="none"/>
        </w:rPr>
        <w:fldChar w:fldCharType="end"/>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asciiTheme="minorEastAsia" w:hAnsiTheme="minorEastAsia" w:eastAsiaTheme="minorEastAsia"/>
          <w:bCs/>
          <w:caps/>
          <w:color w:val="auto"/>
          <w:sz w:val="26"/>
          <w:szCs w:val="26"/>
          <w:highlight w:val="none"/>
        </w:rPr>
        <w:fldChar w:fldCharType="end"/>
      </w:r>
      <w:r>
        <w:rPr>
          <w:rFonts w:hint="eastAsia" w:cs="宋体-18030" w:asciiTheme="minorEastAsia" w:hAnsiTheme="minorEastAsia" w:eastAsiaTheme="minorEastAsia"/>
          <w:color w:val="auto"/>
          <w:sz w:val="18"/>
          <w:szCs w:val="18"/>
          <w:highlight w:val="none"/>
          <w:lang w:eastAsia="zh-CN"/>
        </w:rPr>
        <w:t>《四川省成都市中级人民法院委托书》《评估财产清单》</w:t>
      </w:r>
      <w:r>
        <w:rPr>
          <w:rFonts w:hint="eastAsia" w:cs="宋体-18030" w:asciiTheme="minorEastAsia" w:hAnsiTheme="minorEastAsia" w:eastAsiaTheme="minorEastAsia"/>
          <w:color w:val="auto"/>
          <w:sz w:val="18"/>
          <w:szCs w:val="18"/>
          <w:highlight w:val="none"/>
        </w:rPr>
        <w:t>（复印件）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rPr>
        <w:t>估价对象位置示意图</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rPr>
        <w:t>估价对象实地查勘情况和相关照片</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color w:val="auto"/>
          <w:sz w:val="18"/>
          <w:szCs w:val="18"/>
          <w:highlight w:val="none"/>
          <w:lang w:eastAsia="zh-CN"/>
        </w:rPr>
        <w:t>《抵押给成都中合利方投资管理合伙企业（有限合伙）的房产信息》</w:t>
      </w:r>
      <w:r>
        <w:rPr>
          <w:rFonts w:hint="eastAsia" w:cs="宋体-18030" w:asciiTheme="minorEastAsia" w:hAnsiTheme="minorEastAsia" w:eastAsiaTheme="minorEastAsia"/>
          <w:color w:val="auto"/>
          <w:sz w:val="18"/>
          <w:szCs w:val="18"/>
          <w:highlight w:val="none"/>
        </w:rPr>
        <w:t>（复印件）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color w:val="auto"/>
          <w:sz w:val="18"/>
          <w:szCs w:val="18"/>
          <w:highlight w:val="none"/>
        </w:rPr>
        <w:t>《</w:t>
      </w:r>
      <w:r>
        <w:rPr>
          <w:rFonts w:hint="eastAsia" w:cs="宋体-18030"/>
          <w:color w:val="auto"/>
          <w:sz w:val="18"/>
          <w:szCs w:val="18"/>
          <w:highlight w:val="none"/>
          <w:lang w:eastAsia="zh-CN"/>
        </w:rPr>
        <w:t>查封众志公司的财产清单</w:t>
      </w:r>
      <w:r>
        <w:rPr>
          <w:rFonts w:hint="eastAsia" w:cs="宋体-18030"/>
          <w:color w:val="auto"/>
          <w:sz w:val="18"/>
          <w:szCs w:val="18"/>
          <w:highlight w:val="none"/>
          <w:lang w:val="en-US" w:eastAsia="zh-CN"/>
        </w:rPr>
        <w:t>-未抵押给</w:t>
      </w:r>
      <w:r>
        <w:rPr>
          <w:rFonts w:hint="eastAsia" w:cs="宋体-18030"/>
          <w:color w:val="auto"/>
          <w:sz w:val="18"/>
          <w:szCs w:val="18"/>
          <w:highlight w:val="none"/>
          <w:lang w:eastAsia="zh-CN"/>
        </w:rPr>
        <w:t>合利方的其他房产信息</w:t>
      </w:r>
      <w:r>
        <w:rPr>
          <w:rFonts w:hint="eastAsia" w:cs="宋体-18030"/>
          <w:color w:val="auto"/>
          <w:sz w:val="18"/>
          <w:szCs w:val="18"/>
          <w:highlight w:val="none"/>
        </w:rPr>
        <w:t>》</w:t>
      </w:r>
      <w:r>
        <w:rPr>
          <w:rFonts w:hint="eastAsia" w:cs="宋体-18030" w:asciiTheme="minorEastAsia" w:hAnsiTheme="minorEastAsia" w:eastAsiaTheme="minorEastAsia"/>
          <w:color w:val="auto"/>
          <w:sz w:val="18"/>
          <w:szCs w:val="18"/>
          <w:highlight w:val="none"/>
        </w:rPr>
        <w:t>（复印件）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lang w:eastAsia="zh-CN"/>
        </w:rPr>
        <w:t>《土地登记审批表》复印件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lang w:eastAsia="zh-CN"/>
        </w:rPr>
        <w:t>《查封清单》</w:t>
      </w:r>
      <w:r>
        <w:rPr>
          <w:rFonts w:hint="eastAsia" w:cs="宋体-18030" w:asciiTheme="minorEastAsia" w:hAnsiTheme="minorEastAsia" w:eastAsiaTheme="minorEastAsia"/>
          <w:color w:val="auto"/>
          <w:sz w:val="18"/>
          <w:szCs w:val="18"/>
          <w:highlight w:val="none"/>
        </w:rPr>
        <w:t>（复印件）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lang w:eastAsia="zh-CN"/>
        </w:rPr>
        <w:t>《平面图》</w:t>
      </w:r>
      <w:r>
        <w:rPr>
          <w:rFonts w:hint="eastAsia" w:cs="宋体-18030" w:asciiTheme="minorEastAsia" w:hAnsiTheme="minorEastAsia" w:eastAsiaTheme="minorEastAsia"/>
          <w:color w:val="auto"/>
          <w:sz w:val="18"/>
          <w:szCs w:val="18"/>
          <w:highlight w:val="none"/>
        </w:rPr>
        <w:t>（复印件）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rPr>
        <w:t>专业帮助情况和相关专业意见</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rPr>
        <w:t>估价机构营业执照（复印件）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rPr>
        <w:t>估价机构备案证书（复印件）</w:t>
      </w:r>
    </w:p>
    <w:p>
      <w:pPr>
        <w:pStyle w:val="232"/>
        <w:numPr>
          <w:ilvl w:val="0"/>
          <w:numId w:val="1"/>
        </w:numPr>
        <w:spacing w:line="360" w:lineRule="auto"/>
        <w:ind w:firstLineChars="0"/>
        <w:rPr>
          <w:rFonts w:cs="宋体-18030" w:asciiTheme="minorEastAsia" w:hAnsiTheme="minorEastAsia" w:eastAsiaTheme="minorEastAsia"/>
          <w:color w:val="auto"/>
          <w:sz w:val="18"/>
          <w:szCs w:val="18"/>
          <w:highlight w:val="none"/>
        </w:rPr>
      </w:pPr>
      <w:r>
        <w:rPr>
          <w:rFonts w:hint="eastAsia" w:cs="宋体-18030" w:asciiTheme="minorEastAsia" w:hAnsiTheme="minorEastAsia" w:eastAsiaTheme="minorEastAsia"/>
          <w:color w:val="auto"/>
          <w:sz w:val="18"/>
          <w:szCs w:val="18"/>
          <w:highlight w:val="none"/>
        </w:rPr>
        <w:t>估价人员资格证书（复印件）</w:t>
      </w:r>
    </w:p>
    <w:p>
      <w:pPr>
        <w:pStyle w:val="232"/>
        <w:tabs>
          <w:tab w:val="left" w:pos="2835"/>
        </w:tabs>
        <w:spacing w:line="360" w:lineRule="auto"/>
        <w:ind w:left="590" w:firstLine="0" w:firstLineChars="0"/>
        <w:rPr>
          <w:rFonts w:cs="宋体-18030" w:asciiTheme="minorEastAsia" w:hAnsiTheme="minorEastAsia" w:eastAsiaTheme="minorEastAsia"/>
          <w:bCs/>
          <w:color w:val="auto"/>
          <w:szCs w:val="21"/>
          <w:highlight w:val="none"/>
        </w:rPr>
      </w:pPr>
    </w:p>
    <w:p>
      <w:pPr>
        <w:tabs>
          <w:tab w:val="left" w:pos="2835"/>
        </w:tabs>
        <w:spacing w:line="300" w:lineRule="exact"/>
        <w:rPr>
          <w:rFonts w:cs="宋体-18030" w:asciiTheme="minorEastAsia" w:hAnsiTheme="minorEastAsia" w:eastAsiaTheme="minorEastAsia"/>
          <w:bCs/>
          <w:color w:val="auto"/>
          <w:szCs w:val="21"/>
          <w:highlight w:val="none"/>
        </w:rPr>
        <w:sectPr>
          <w:headerReference r:id="rId4" w:type="first"/>
          <w:footerReference r:id="rId6" w:type="first"/>
          <w:headerReference r:id="rId3" w:type="default"/>
          <w:footerReference r:id="rId5" w:type="default"/>
          <w:pgSz w:w="11906" w:h="16838"/>
          <w:pgMar w:top="1134" w:right="1134" w:bottom="1701" w:left="1134" w:header="851" w:footer="851" w:gutter="0"/>
          <w:pgNumType w:start="0"/>
          <w:cols w:space="720" w:num="1"/>
          <w:titlePg/>
          <w:docGrid w:linePitch="312" w:charSpace="0"/>
        </w:sectPr>
      </w:pPr>
    </w:p>
    <w:p>
      <w:pPr>
        <w:adjustRightInd w:val="0"/>
        <w:snapToGrid w:val="0"/>
        <w:spacing w:line="600" w:lineRule="exact"/>
        <w:ind w:right="3"/>
        <w:jc w:val="center"/>
        <w:outlineLvl w:val="0"/>
        <w:rPr>
          <w:rFonts w:cs="宋体-18030" w:asciiTheme="minorEastAsia" w:hAnsiTheme="minorEastAsia" w:eastAsiaTheme="minorEastAsia"/>
          <w:b/>
          <w:color w:val="auto"/>
          <w:sz w:val="36"/>
          <w:highlight w:val="none"/>
        </w:rPr>
      </w:pPr>
      <w:bookmarkStart w:id="10" w:name="_Toc511861964"/>
      <w:bookmarkStart w:id="11" w:name="_Toc481509708"/>
      <w:bookmarkStart w:id="12" w:name="_Toc86245480"/>
      <w:bookmarkStart w:id="13" w:name="_Toc481509792"/>
      <w:r>
        <w:rPr>
          <w:rFonts w:hint="eastAsia" w:cs="宋体-18030" w:asciiTheme="minorEastAsia" w:hAnsiTheme="minorEastAsia" w:eastAsiaTheme="minorEastAsia"/>
          <w:b/>
          <w:color w:val="auto"/>
          <w:sz w:val="36"/>
          <w:highlight w:val="none"/>
        </w:rPr>
        <w:t>估价师声明</w:t>
      </w:r>
      <w:bookmarkEnd w:id="10"/>
      <w:bookmarkEnd w:id="11"/>
      <w:bookmarkEnd w:id="12"/>
      <w:bookmarkEnd w:id="13"/>
    </w:p>
    <w:p>
      <w:pPr>
        <w:spacing w:line="600" w:lineRule="exact"/>
        <w:ind w:firstLine="1965"/>
        <w:rPr>
          <w:rFonts w:cs="宋体-18030" w:asciiTheme="minorEastAsia" w:hAnsiTheme="minorEastAsia" w:eastAsiaTheme="minorEastAsia"/>
          <w:b/>
          <w:color w:val="auto"/>
          <w:sz w:val="44"/>
          <w:highlight w:val="none"/>
        </w:rPr>
      </w:pPr>
    </w:p>
    <w:p>
      <w:pPr>
        <w:spacing w:line="56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我们郑重声明：</w:t>
      </w:r>
    </w:p>
    <w:p>
      <w:pPr>
        <w:spacing w:line="560" w:lineRule="exact"/>
        <w:ind w:firstLine="59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1</w:t>
      </w:r>
      <w:r>
        <w:rPr>
          <w:rFonts w:hint="eastAsia" w:cs="宋体-18030" w:asciiTheme="minorEastAsia" w:hAnsiTheme="minorEastAsia" w:eastAsiaTheme="minorEastAsia"/>
          <w:color w:val="auto"/>
          <w:sz w:val="26"/>
          <w:highlight w:val="none"/>
        </w:rPr>
        <w:t>、我们在本估价报告中对事实的说明是真实、准确和完整的，没有虚假记载、误导性陈述和重大遗漏。</w:t>
      </w:r>
    </w:p>
    <w:p>
      <w:pPr>
        <w:spacing w:line="560" w:lineRule="exact"/>
        <w:ind w:firstLine="59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2</w:t>
      </w:r>
      <w:r>
        <w:rPr>
          <w:rFonts w:hint="eastAsia" w:cs="宋体-18030" w:asciiTheme="minorEastAsia" w:hAnsiTheme="minorEastAsia" w:eastAsiaTheme="minorEastAsia"/>
          <w:color w:val="auto"/>
          <w:sz w:val="26"/>
          <w:highlight w:val="none"/>
        </w:rPr>
        <w:t>、本估价报告中的分析、意见和结论是我们自己独立、客观、公正的专业分析、意见和结论，但受到本估价报告中已经说明的估价假设和限制条件的限制。</w:t>
      </w:r>
    </w:p>
    <w:p>
      <w:pPr>
        <w:spacing w:line="560" w:lineRule="exact"/>
        <w:ind w:firstLine="59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3</w:t>
      </w:r>
      <w:r>
        <w:rPr>
          <w:rFonts w:hint="eastAsia" w:cs="宋体-18030" w:asciiTheme="minorEastAsia" w:hAnsiTheme="minorEastAsia" w:eastAsiaTheme="minorEastAsia"/>
          <w:color w:val="auto"/>
          <w:sz w:val="26"/>
          <w:highlight w:val="none"/>
        </w:rPr>
        <w:t>、我们与估价报告中的估价对象没有现实或潜在的利益，与估价委托人及估价利害关系人没有利害关系，也对估价对象、估价委托人及估价利害关系人没有偏见。</w:t>
      </w:r>
    </w:p>
    <w:p>
      <w:pPr>
        <w:spacing w:line="560" w:lineRule="exact"/>
        <w:ind w:firstLine="59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4</w:t>
      </w:r>
      <w:r>
        <w:rPr>
          <w:rFonts w:hint="eastAsia" w:cs="宋体-18030" w:asciiTheme="minorEastAsia" w:hAnsiTheme="minorEastAsia" w:eastAsiaTheme="minorEastAsia"/>
          <w:color w:val="auto"/>
          <w:sz w:val="26"/>
          <w:highlight w:val="none"/>
        </w:rPr>
        <w:t>、我们依照中华人民共和国国家标准《房地产估价规范》《房地产估价基本术语标准》和《四川省住房和城乡建设厅房地产司法鉴定评估指导意见（试行）》</w:t>
      </w:r>
      <w:r>
        <w:rPr>
          <w:rFonts w:hint="eastAsia" w:cs="宋体-18030"/>
          <w:color w:val="auto"/>
          <w:sz w:val="26"/>
          <w:highlight w:val="none"/>
        </w:rPr>
        <w:t>《涉执房地产处置司法评估指导意见（试行）》</w:t>
      </w:r>
      <w:r>
        <w:rPr>
          <w:rFonts w:hint="eastAsia" w:cs="宋体-18030" w:asciiTheme="minorEastAsia" w:hAnsiTheme="minorEastAsia" w:eastAsiaTheme="minorEastAsia"/>
          <w:color w:val="auto"/>
          <w:sz w:val="26"/>
          <w:highlight w:val="none"/>
        </w:rPr>
        <w:t>等房地产估价标准的规定进行估价工作，撰写本估价报告。</w:t>
      </w:r>
    </w:p>
    <w:p>
      <w:pPr>
        <w:spacing w:line="560" w:lineRule="exact"/>
        <w:ind w:firstLine="59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5</w:t>
      </w:r>
      <w:r>
        <w:rPr>
          <w:rFonts w:hint="eastAsia" w:cs="宋体-18030" w:asciiTheme="minorEastAsia" w:hAnsiTheme="minorEastAsia" w:eastAsiaTheme="minorEastAsia"/>
          <w:color w:val="auto"/>
          <w:sz w:val="26"/>
          <w:highlight w:val="none"/>
        </w:rPr>
        <w:t>、参与本估价项目的专职房地产估价师具备相关专业知识和相应的房地产市场分析能力。</w:t>
      </w:r>
    </w:p>
    <w:p>
      <w:pPr>
        <w:spacing w:line="560" w:lineRule="exact"/>
        <w:ind w:firstLine="59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6、参与本次估价的注册房地产估价师</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1953"/>
        <w:gridCol w:w="1925"/>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669"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注册房地产估价师姓名</w:t>
            </w:r>
          </w:p>
        </w:tc>
        <w:tc>
          <w:tcPr>
            <w:tcW w:w="991"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注册证书号</w:t>
            </w:r>
          </w:p>
        </w:tc>
        <w:tc>
          <w:tcPr>
            <w:tcW w:w="977"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签名</w:t>
            </w:r>
          </w:p>
        </w:tc>
        <w:tc>
          <w:tcPr>
            <w:tcW w:w="1363"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9" w:type="pct"/>
            <w:vAlign w:val="center"/>
          </w:tcPr>
          <w:p>
            <w:pPr>
              <w:spacing w:line="600" w:lineRule="exact"/>
              <w:jc w:val="center"/>
              <w:rPr>
                <w:rFonts w:hint="eastAsia" w:cs="宋体-18030" w:asciiTheme="minorEastAsia" w:hAnsiTheme="minorEastAsia" w:eastAsiaTheme="minorEastAsia"/>
                <w:color w:val="auto"/>
                <w:sz w:val="26"/>
                <w:highlight w:val="none"/>
                <w:lang w:eastAsia="zh-CN"/>
              </w:rPr>
            </w:pPr>
            <w:r>
              <w:rPr>
                <w:rFonts w:hint="eastAsia" w:cs="宋体-18030" w:asciiTheme="minorEastAsia" w:hAnsiTheme="minorEastAsia" w:eastAsiaTheme="minorEastAsia"/>
                <w:bCs/>
                <w:color w:val="auto"/>
                <w:sz w:val="26"/>
                <w:highlight w:val="none"/>
                <w:lang w:eastAsia="zh-CN"/>
              </w:rPr>
              <w:t>何  强</w:t>
            </w:r>
          </w:p>
        </w:tc>
        <w:tc>
          <w:tcPr>
            <w:tcW w:w="991" w:type="pct"/>
            <w:vAlign w:val="center"/>
          </w:tcPr>
          <w:p>
            <w:pPr>
              <w:spacing w:line="600" w:lineRule="exact"/>
              <w:jc w:val="center"/>
              <w:rPr>
                <w:rFonts w:hint="eastAsia" w:cs="宋体-18030" w:asciiTheme="minorEastAsia" w:hAnsiTheme="minorEastAsia" w:eastAsiaTheme="minorEastAsia"/>
                <w:color w:val="auto"/>
                <w:sz w:val="26"/>
                <w:highlight w:val="none"/>
                <w:lang w:eastAsia="zh-CN"/>
              </w:rPr>
            </w:pPr>
            <w:r>
              <w:rPr>
                <w:rFonts w:hint="eastAsia" w:cs="宋体-18030" w:asciiTheme="minorEastAsia" w:hAnsiTheme="minorEastAsia" w:eastAsiaTheme="minorEastAsia"/>
                <w:bCs/>
                <w:color w:val="auto"/>
                <w:sz w:val="26"/>
                <w:highlight w:val="none"/>
                <w:lang w:eastAsia="zh-CN"/>
              </w:rPr>
              <w:t>5120210064</w:t>
            </w:r>
          </w:p>
        </w:tc>
        <w:tc>
          <w:tcPr>
            <w:tcW w:w="977" w:type="pct"/>
            <w:vAlign w:val="center"/>
          </w:tcPr>
          <w:p>
            <w:pPr>
              <w:spacing w:line="600" w:lineRule="exact"/>
              <w:ind w:firstLine="587"/>
              <w:jc w:val="center"/>
              <w:rPr>
                <w:rFonts w:cs="宋体-18030" w:asciiTheme="minorEastAsia" w:hAnsiTheme="minorEastAsia" w:eastAsiaTheme="minorEastAsia"/>
                <w:color w:val="auto"/>
                <w:sz w:val="26"/>
                <w:szCs w:val="26"/>
                <w:highlight w:val="none"/>
              </w:rPr>
            </w:pPr>
          </w:p>
        </w:tc>
        <w:tc>
          <w:tcPr>
            <w:tcW w:w="1363" w:type="pct"/>
            <w:vAlign w:val="center"/>
          </w:tcPr>
          <w:p>
            <w:pPr>
              <w:spacing w:line="600" w:lineRule="exact"/>
              <w:jc w:val="center"/>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2022年10月10日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9" w:type="pct"/>
            <w:vAlign w:val="center"/>
          </w:tcPr>
          <w:p>
            <w:pPr>
              <w:spacing w:line="600" w:lineRule="exact"/>
              <w:jc w:val="center"/>
              <w:rPr>
                <w:rFonts w:hint="eastAsia" w:eastAsia="宋体" w:cs="宋体-18030"/>
                <w:bCs/>
                <w:color w:val="auto"/>
                <w:sz w:val="26"/>
                <w:highlight w:val="none"/>
                <w:lang w:eastAsia="zh-CN"/>
              </w:rPr>
            </w:pPr>
            <w:r>
              <w:rPr>
                <w:rFonts w:hint="eastAsia" w:cs="宋体-18030"/>
                <w:bCs/>
                <w:color w:val="auto"/>
                <w:sz w:val="26"/>
                <w:highlight w:val="none"/>
                <w:lang w:eastAsia="zh-CN"/>
              </w:rPr>
              <w:t>李永健</w:t>
            </w:r>
          </w:p>
        </w:tc>
        <w:tc>
          <w:tcPr>
            <w:tcW w:w="991" w:type="pct"/>
            <w:vAlign w:val="center"/>
          </w:tcPr>
          <w:p>
            <w:pPr>
              <w:spacing w:line="600" w:lineRule="exact"/>
              <w:jc w:val="center"/>
              <w:rPr>
                <w:rFonts w:hint="eastAsia" w:eastAsia="宋体" w:cs="宋体-18030"/>
                <w:bCs/>
                <w:color w:val="auto"/>
                <w:sz w:val="26"/>
                <w:highlight w:val="none"/>
                <w:lang w:eastAsia="zh-CN"/>
              </w:rPr>
            </w:pPr>
            <w:r>
              <w:rPr>
                <w:rFonts w:hint="eastAsia"/>
                <w:color w:val="auto"/>
                <w:sz w:val="24"/>
                <w:highlight w:val="none"/>
                <w:lang w:eastAsia="zh-CN"/>
              </w:rPr>
              <w:t>5120200093</w:t>
            </w:r>
          </w:p>
        </w:tc>
        <w:tc>
          <w:tcPr>
            <w:tcW w:w="977" w:type="pct"/>
            <w:vAlign w:val="center"/>
          </w:tcPr>
          <w:p>
            <w:pPr>
              <w:spacing w:line="600" w:lineRule="exact"/>
              <w:ind w:firstLine="587"/>
              <w:jc w:val="center"/>
              <w:rPr>
                <w:rFonts w:cs="宋体-18030" w:asciiTheme="minorEastAsia" w:hAnsiTheme="minorEastAsia" w:eastAsiaTheme="minorEastAsia"/>
                <w:color w:val="auto"/>
                <w:sz w:val="26"/>
                <w:szCs w:val="26"/>
                <w:highlight w:val="none"/>
              </w:rPr>
            </w:pPr>
          </w:p>
        </w:tc>
        <w:tc>
          <w:tcPr>
            <w:tcW w:w="1363" w:type="pct"/>
            <w:vAlign w:val="center"/>
          </w:tcPr>
          <w:p>
            <w:pPr>
              <w:spacing w:line="600" w:lineRule="exact"/>
              <w:jc w:val="center"/>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2022年10月10日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9" w:type="pct"/>
            <w:vAlign w:val="center"/>
          </w:tcPr>
          <w:p>
            <w:pPr>
              <w:spacing w:line="600" w:lineRule="exact"/>
              <w:jc w:val="center"/>
              <w:rPr>
                <w:rFonts w:cs="宋体-18030"/>
                <w:color w:val="auto"/>
                <w:sz w:val="26"/>
                <w:highlight w:val="none"/>
              </w:rPr>
            </w:pPr>
            <w:r>
              <w:rPr>
                <w:rFonts w:hint="eastAsia" w:cs="宋体-18030"/>
                <w:bCs/>
                <w:color w:val="auto"/>
                <w:sz w:val="26"/>
                <w:highlight w:val="none"/>
              </w:rPr>
              <w:t>周  燕</w:t>
            </w:r>
          </w:p>
        </w:tc>
        <w:tc>
          <w:tcPr>
            <w:tcW w:w="991" w:type="pct"/>
            <w:vAlign w:val="center"/>
          </w:tcPr>
          <w:p>
            <w:pPr>
              <w:spacing w:line="600" w:lineRule="exact"/>
              <w:jc w:val="center"/>
              <w:rPr>
                <w:rFonts w:cs="宋体-18030"/>
                <w:bCs/>
                <w:color w:val="auto"/>
                <w:sz w:val="26"/>
                <w:highlight w:val="none"/>
              </w:rPr>
            </w:pPr>
            <w:r>
              <w:rPr>
                <w:rFonts w:cs="宋体-18030"/>
                <w:bCs/>
                <w:color w:val="auto"/>
                <w:sz w:val="26"/>
                <w:highlight w:val="none"/>
              </w:rPr>
              <w:t>5120070067</w:t>
            </w:r>
          </w:p>
        </w:tc>
        <w:tc>
          <w:tcPr>
            <w:tcW w:w="977" w:type="pct"/>
            <w:vAlign w:val="center"/>
          </w:tcPr>
          <w:p>
            <w:pPr>
              <w:spacing w:line="600" w:lineRule="exact"/>
              <w:ind w:firstLine="587"/>
              <w:jc w:val="center"/>
              <w:rPr>
                <w:rFonts w:cs="宋体-18030" w:asciiTheme="minorEastAsia" w:hAnsiTheme="minorEastAsia" w:eastAsiaTheme="minorEastAsia"/>
                <w:color w:val="auto"/>
                <w:sz w:val="26"/>
                <w:szCs w:val="26"/>
                <w:highlight w:val="none"/>
              </w:rPr>
            </w:pPr>
          </w:p>
        </w:tc>
        <w:tc>
          <w:tcPr>
            <w:tcW w:w="1363" w:type="pct"/>
            <w:vAlign w:val="center"/>
          </w:tcPr>
          <w:p>
            <w:pPr>
              <w:spacing w:line="600" w:lineRule="exact"/>
              <w:jc w:val="center"/>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2022年10月10日</w:t>
            </w:r>
          </w:p>
        </w:tc>
      </w:tr>
    </w:tbl>
    <w:p>
      <w:pPr>
        <w:tabs>
          <w:tab w:val="left" w:pos="180"/>
        </w:tabs>
        <w:spacing w:line="600" w:lineRule="exact"/>
        <w:ind w:left="1135" w:leftChars="123" w:hanging="840" w:hangingChars="300"/>
        <w:jc w:val="center"/>
        <w:outlineLvl w:val="0"/>
        <w:rPr>
          <w:rFonts w:asciiTheme="minorEastAsia" w:hAnsiTheme="minorEastAsia" w:eastAsiaTheme="minorEastAsia"/>
          <w:b/>
          <w:bCs/>
          <w:color w:val="auto"/>
          <w:sz w:val="36"/>
          <w:highlight w:val="none"/>
        </w:rPr>
      </w:pPr>
      <w:r>
        <w:rPr>
          <w:rFonts w:cs="宋体-18030" w:asciiTheme="minorEastAsia" w:hAnsiTheme="minorEastAsia" w:eastAsiaTheme="minorEastAsia"/>
          <w:color w:val="auto"/>
          <w:sz w:val="28"/>
          <w:highlight w:val="none"/>
        </w:rPr>
        <w:br w:type="page"/>
      </w:r>
      <w:bookmarkStart w:id="14" w:name="_Toc511861965"/>
      <w:bookmarkStart w:id="15" w:name="_Toc481509793"/>
      <w:bookmarkStart w:id="16" w:name="_Toc86245481"/>
      <w:bookmarkStart w:id="17" w:name="_Toc481509709"/>
      <w:r>
        <w:rPr>
          <w:rFonts w:hint="eastAsia" w:asciiTheme="minorEastAsia" w:hAnsiTheme="minorEastAsia" w:eastAsiaTheme="minorEastAsia"/>
          <w:b/>
          <w:bCs/>
          <w:color w:val="auto"/>
          <w:sz w:val="36"/>
          <w:highlight w:val="none"/>
        </w:rPr>
        <w:t>估价的假设和限制条件</w:t>
      </w:r>
      <w:bookmarkEnd w:id="14"/>
      <w:bookmarkEnd w:id="15"/>
      <w:bookmarkEnd w:id="16"/>
      <w:bookmarkEnd w:id="17"/>
    </w:p>
    <w:p>
      <w:pPr>
        <w:tabs>
          <w:tab w:val="left" w:pos="180"/>
        </w:tabs>
        <w:spacing w:line="600" w:lineRule="exact"/>
        <w:ind w:firstLine="602"/>
        <w:outlineLvl w:val="1"/>
        <w:rPr>
          <w:rFonts w:asciiTheme="minorEastAsia" w:hAnsiTheme="minorEastAsia" w:eastAsiaTheme="minorEastAsia"/>
          <w:b/>
          <w:color w:val="auto"/>
          <w:sz w:val="26"/>
          <w:highlight w:val="none"/>
        </w:rPr>
      </w:pPr>
      <w:bookmarkStart w:id="18" w:name="_Toc481509794"/>
      <w:bookmarkStart w:id="19" w:name="_Toc86245482"/>
      <w:bookmarkStart w:id="20" w:name="_Toc511861966"/>
      <w:bookmarkStart w:id="21" w:name="_Toc481509710"/>
      <w:r>
        <w:rPr>
          <w:rFonts w:hint="eastAsia" w:asciiTheme="minorEastAsia" w:hAnsiTheme="minorEastAsia" w:eastAsiaTheme="minorEastAsia"/>
          <w:b/>
          <w:color w:val="auto"/>
          <w:sz w:val="26"/>
          <w:highlight w:val="none"/>
        </w:rPr>
        <w:t>一、估价的假设</w:t>
      </w:r>
      <w:bookmarkEnd w:id="18"/>
      <w:bookmarkEnd w:id="19"/>
      <w:bookmarkEnd w:id="20"/>
      <w:bookmarkEnd w:id="21"/>
    </w:p>
    <w:p>
      <w:pPr>
        <w:tabs>
          <w:tab w:val="left" w:pos="180"/>
        </w:tabs>
        <w:spacing w:line="600" w:lineRule="exact"/>
        <w:ind w:firstLine="602"/>
        <w:rPr>
          <w:rFonts w:asciiTheme="minorEastAsia" w:hAnsiTheme="minorEastAsia" w:eastAsiaTheme="minorEastAsia"/>
          <w:color w:val="auto"/>
          <w:sz w:val="26"/>
          <w:szCs w:val="26"/>
          <w:highlight w:val="none"/>
        </w:rPr>
      </w:pPr>
      <w:r>
        <w:rPr>
          <w:rFonts w:asciiTheme="minorEastAsia" w:hAnsiTheme="minorEastAsia" w:eastAsiaTheme="minorEastAsia"/>
          <w:color w:val="auto"/>
          <w:sz w:val="26"/>
          <w:szCs w:val="26"/>
          <w:highlight w:val="none"/>
        </w:rPr>
        <w:t>(</w:t>
      </w:r>
      <w:r>
        <w:rPr>
          <w:rFonts w:hint="eastAsia" w:asciiTheme="minorEastAsia" w:hAnsiTheme="minorEastAsia" w:eastAsiaTheme="minorEastAsia"/>
          <w:color w:val="auto"/>
          <w:sz w:val="26"/>
          <w:szCs w:val="26"/>
          <w:highlight w:val="none"/>
        </w:rPr>
        <w:t>一</w:t>
      </w:r>
      <w:r>
        <w:rPr>
          <w:rFonts w:asciiTheme="minorEastAsia" w:hAnsiTheme="minorEastAsia" w:eastAsiaTheme="minorEastAsia"/>
          <w:color w:val="auto"/>
          <w:sz w:val="26"/>
          <w:szCs w:val="26"/>
          <w:highlight w:val="none"/>
        </w:rPr>
        <w:t>)</w:t>
      </w:r>
      <w:r>
        <w:rPr>
          <w:rFonts w:hint="eastAsia" w:asciiTheme="minorEastAsia" w:hAnsiTheme="minorEastAsia" w:eastAsiaTheme="minorEastAsia"/>
          <w:color w:val="auto"/>
          <w:sz w:val="26"/>
          <w:szCs w:val="26"/>
          <w:highlight w:val="none"/>
        </w:rPr>
        <w:t>一般性假设</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1、</w:t>
      </w:r>
      <w:r>
        <w:rPr>
          <w:rFonts w:hint="eastAsia"/>
          <w:color w:val="auto"/>
          <w:sz w:val="26"/>
          <w:szCs w:val="26"/>
          <w:highlight w:val="none"/>
        </w:rPr>
        <w:t>估价委托人提供了</w:t>
      </w:r>
      <w:r>
        <w:rPr>
          <w:rFonts w:hint="eastAsia"/>
          <w:color w:val="auto"/>
          <w:sz w:val="26"/>
          <w:szCs w:val="26"/>
          <w:highlight w:val="none"/>
          <w:lang w:eastAsia="zh-CN"/>
        </w:rPr>
        <w:t>《四川省成都市中级人民法院委托书》《评估财产清单》《抵押给成都中合利方投资管理合伙企业（有限合伙）的房产信息》《查封众志公司的财产清单</w:t>
      </w:r>
      <w:r>
        <w:rPr>
          <w:rFonts w:hint="eastAsia"/>
          <w:color w:val="auto"/>
          <w:sz w:val="26"/>
          <w:szCs w:val="26"/>
          <w:highlight w:val="none"/>
          <w:lang w:val="en-US" w:eastAsia="zh-CN"/>
        </w:rPr>
        <w:t>-未抵押给</w:t>
      </w:r>
      <w:r>
        <w:rPr>
          <w:rFonts w:hint="eastAsia"/>
          <w:color w:val="auto"/>
          <w:sz w:val="26"/>
          <w:szCs w:val="26"/>
          <w:highlight w:val="none"/>
          <w:lang w:eastAsia="zh-CN"/>
        </w:rPr>
        <w:t>合利方的其他房产信息》《查封清单》《平面图》《土地登记审批表》</w:t>
      </w:r>
      <w:r>
        <w:rPr>
          <w:rFonts w:hint="eastAsia"/>
          <w:color w:val="auto"/>
          <w:sz w:val="26"/>
          <w:szCs w:val="26"/>
          <w:highlight w:val="none"/>
        </w:rPr>
        <w:t>，</w:t>
      </w:r>
      <w:r>
        <w:rPr>
          <w:rFonts w:hint="eastAsia" w:ascii="宋体" w:hAnsi="宋体"/>
          <w:color w:val="auto"/>
          <w:sz w:val="26"/>
          <w:szCs w:val="26"/>
          <w:highlight w:val="none"/>
        </w:rPr>
        <w:t>估价人员对上述资料进行了必要的核查、验证，</w:t>
      </w:r>
      <w:r>
        <w:rPr>
          <w:rFonts w:hint="eastAsia"/>
          <w:color w:val="auto"/>
          <w:sz w:val="26"/>
          <w:szCs w:val="26"/>
          <w:highlight w:val="none"/>
        </w:rPr>
        <w:t>在无理由怀疑其合法性、真实性、准确性和完整性的情况下，本次评估假定上述资料合法、真实、准确、完整</w:t>
      </w:r>
      <w:r>
        <w:rPr>
          <w:rFonts w:hint="eastAsia" w:asciiTheme="minorEastAsia" w:hAnsiTheme="minorEastAsia" w:eastAsiaTheme="minorEastAsia"/>
          <w:color w:val="auto"/>
          <w:sz w:val="26"/>
          <w:szCs w:val="26"/>
          <w:highlight w:val="none"/>
        </w:rPr>
        <w:t>。</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asciiTheme="minorEastAsia" w:hAnsiTheme="minorEastAsia" w:eastAsiaTheme="minorEastAsia"/>
          <w:color w:val="auto"/>
          <w:sz w:val="26"/>
          <w:szCs w:val="26"/>
          <w:highlight w:val="none"/>
        </w:rPr>
        <w:t>2</w:t>
      </w:r>
      <w:r>
        <w:rPr>
          <w:rFonts w:hint="eastAsia" w:asciiTheme="minorEastAsia" w:hAnsiTheme="minorEastAsia" w:eastAsiaTheme="minorEastAsia"/>
          <w:color w:val="auto"/>
          <w:sz w:val="26"/>
          <w:szCs w:val="26"/>
          <w:highlight w:val="none"/>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180"/>
        </w:tabs>
        <w:spacing w:line="600" w:lineRule="exact"/>
        <w:ind w:firstLine="602"/>
        <w:rPr>
          <w:color w:val="auto"/>
          <w:sz w:val="26"/>
          <w:szCs w:val="26"/>
          <w:highlight w:val="none"/>
        </w:rPr>
      </w:pPr>
      <w:r>
        <w:rPr>
          <w:color w:val="auto"/>
          <w:sz w:val="26"/>
          <w:szCs w:val="26"/>
          <w:highlight w:val="none"/>
        </w:rPr>
        <w:t>3</w:t>
      </w:r>
      <w:r>
        <w:rPr>
          <w:rFonts w:hint="eastAsia"/>
          <w:color w:val="auto"/>
          <w:sz w:val="26"/>
          <w:szCs w:val="26"/>
          <w:highlight w:val="none"/>
        </w:rPr>
        <w:t>、注册房地产估价师未对房屋建筑面积进行专业测量，本次评估假定估价对象的实际建筑面积与</w:t>
      </w:r>
      <w:r>
        <w:rPr>
          <w:rFonts w:hint="eastAsia"/>
          <w:color w:val="auto"/>
          <w:sz w:val="26"/>
          <w:szCs w:val="26"/>
          <w:highlight w:val="none"/>
          <w:lang w:eastAsia="zh-CN"/>
        </w:rPr>
        <w:t>《评估财产清单》《抵押给成都中合利方投资管理合伙企业（有限合伙）的房产信息》《查封众志公司的财产清单</w:t>
      </w:r>
      <w:r>
        <w:rPr>
          <w:rFonts w:hint="eastAsia"/>
          <w:color w:val="auto"/>
          <w:sz w:val="26"/>
          <w:szCs w:val="26"/>
          <w:highlight w:val="none"/>
          <w:lang w:val="en-US" w:eastAsia="zh-CN"/>
        </w:rPr>
        <w:t>-未抵押给</w:t>
      </w:r>
      <w:r>
        <w:rPr>
          <w:rFonts w:hint="eastAsia"/>
          <w:color w:val="auto"/>
          <w:sz w:val="26"/>
          <w:szCs w:val="26"/>
          <w:highlight w:val="none"/>
          <w:lang w:eastAsia="zh-CN"/>
        </w:rPr>
        <w:t>合利方的其他房产信息》</w:t>
      </w:r>
      <w:r>
        <w:rPr>
          <w:rFonts w:hint="eastAsia"/>
          <w:color w:val="auto"/>
          <w:sz w:val="26"/>
          <w:szCs w:val="26"/>
          <w:highlight w:val="none"/>
        </w:rPr>
        <w:t>记载建筑面积一致。</w:t>
      </w:r>
    </w:p>
    <w:p>
      <w:pPr>
        <w:tabs>
          <w:tab w:val="left" w:pos="180"/>
        </w:tabs>
        <w:spacing w:line="600" w:lineRule="exact"/>
        <w:ind w:firstLine="602"/>
        <w:rPr>
          <w:color w:val="auto"/>
          <w:spacing w:val="-2"/>
          <w:sz w:val="26"/>
          <w:szCs w:val="26"/>
          <w:highlight w:val="none"/>
        </w:rPr>
      </w:pPr>
      <w:r>
        <w:rPr>
          <w:color w:val="auto"/>
          <w:sz w:val="26"/>
          <w:szCs w:val="26"/>
          <w:highlight w:val="none"/>
        </w:rPr>
        <w:t>4</w:t>
      </w:r>
      <w:r>
        <w:rPr>
          <w:rFonts w:hint="eastAsia"/>
          <w:color w:val="auto"/>
          <w:sz w:val="26"/>
          <w:szCs w:val="26"/>
          <w:highlight w:val="none"/>
        </w:rPr>
        <w:t>、估价人员实地查勘的房屋与</w:t>
      </w:r>
      <w:r>
        <w:rPr>
          <w:rFonts w:hint="eastAsia"/>
          <w:color w:val="auto"/>
          <w:spacing w:val="-2"/>
          <w:sz w:val="26"/>
          <w:szCs w:val="26"/>
          <w:highlight w:val="none"/>
        </w:rPr>
        <w:t>估价对象</w:t>
      </w:r>
      <w:r>
        <w:rPr>
          <w:rFonts w:hint="eastAsia"/>
          <w:color w:val="auto"/>
          <w:sz w:val="26"/>
          <w:szCs w:val="26"/>
          <w:highlight w:val="none"/>
          <w:lang w:eastAsia="zh-CN"/>
        </w:rPr>
        <w:t>《评估财产清单》《抵押给成都中合利方投资管理合伙企业（有限合伙）的房产信息》《查封众志公司的财产清单</w:t>
      </w:r>
      <w:r>
        <w:rPr>
          <w:rFonts w:hint="eastAsia"/>
          <w:color w:val="auto"/>
          <w:sz w:val="26"/>
          <w:szCs w:val="26"/>
          <w:highlight w:val="none"/>
          <w:lang w:val="en-US" w:eastAsia="zh-CN"/>
        </w:rPr>
        <w:t>-未抵押给</w:t>
      </w:r>
      <w:r>
        <w:rPr>
          <w:rFonts w:hint="eastAsia"/>
          <w:color w:val="auto"/>
          <w:sz w:val="26"/>
          <w:szCs w:val="26"/>
          <w:highlight w:val="none"/>
          <w:lang w:eastAsia="zh-CN"/>
        </w:rPr>
        <w:t>合利方的其他房产信息》</w:t>
      </w:r>
      <w:r>
        <w:rPr>
          <w:rFonts w:hint="eastAsia"/>
          <w:color w:val="auto"/>
          <w:spacing w:val="-2"/>
          <w:sz w:val="26"/>
          <w:szCs w:val="26"/>
          <w:highlight w:val="none"/>
        </w:rPr>
        <w:t>登记房屋及</w:t>
      </w:r>
      <w:r>
        <w:rPr>
          <w:rFonts w:hint="eastAsia"/>
          <w:color w:val="auto"/>
          <w:sz w:val="26"/>
          <w:szCs w:val="26"/>
          <w:highlight w:val="none"/>
        </w:rPr>
        <w:t>房地产管理部门的相应登记薄中记载房屋</w:t>
      </w:r>
      <w:r>
        <w:rPr>
          <w:rFonts w:hint="eastAsia"/>
          <w:color w:val="auto"/>
          <w:spacing w:val="-2"/>
          <w:sz w:val="26"/>
          <w:szCs w:val="26"/>
          <w:highlight w:val="none"/>
        </w:rPr>
        <w:t>为同一房屋，具有唯一性。</w:t>
      </w:r>
    </w:p>
    <w:p>
      <w:pPr>
        <w:tabs>
          <w:tab w:val="left" w:pos="180"/>
        </w:tabs>
        <w:spacing w:line="600" w:lineRule="exact"/>
        <w:ind w:firstLine="602"/>
        <w:rPr>
          <w:rFonts w:hint="eastAsia"/>
          <w:color w:val="auto"/>
          <w:sz w:val="26"/>
          <w:szCs w:val="26"/>
          <w:highlight w:val="none"/>
        </w:rPr>
      </w:pPr>
      <w:r>
        <w:rPr>
          <w:rFonts w:hint="eastAsia"/>
          <w:color w:val="auto"/>
          <w:sz w:val="26"/>
          <w:szCs w:val="26"/>
          <w:highlight w:val="none"/>
        </w:rPr>
        <w:t>5、</w:t>
      </w:r>
      <w:r>
        <w:rPr>
          <w:rFonts w:hint="eastAsia" w:asciiTheme="minorEastAsia" w:hAnsiTheme="minorEastAsia" w:eastAsiaTheme="minorEastAsia"/>
          <w:color w:val="auto"/>
          <w:spacing w:val="-2"/>
          <w:sz w:val="26"/>
          <w:szCs w:val="26"/>
          <w:highlight w:val="none"/>
        </w:rPr>
        <w:t>根据估价人员实地查勘，估价对象</w:t>
      </w:r>
      <w:r>
        <w:rPr>
          <w:rFonts w:hint="eastAsia" w:asciiTheme="minorEastAsia" w:hAnsiTheme="minorEastAsia" w:eastAsiaTheme="minorEastAsia"/>
          <w:color w:val="auto"/>
          <w:spacing w:val="-2"/>
          <w:sz w:val="26"/>
          <w:szCs w:val="26"/>
          <w:highlight w:val="none"/>
          <w:lang w:val="en-US" w:eastAsia="zh-CN"/>
        </w:rPr>
        <w:t>1-5</w:t>
      </w:r>
      <w:r>
        <w:rPr>
          <w:rFonts w:hint="eastAsia" w:asciiTheme="minorEastAsia" w:hAnsiTheme="minorEastAsia" w:eastAsiaTheme="minorEastAsia"/>
          <w:color w:val="auto"/>
          <w:spacing w:val="-2"/>
          <w:sz w:val="26"/>
          <w:szCs w:val="26"/>
          <w:highlight w:val="none"/>
          <w:lang w:eastAsia="zh-CN"/>
        </w:rPr>
        <w:t>空置、</w:t>
      </w:r>
      <w:r>
        <w:rPr>
          <w:rFonts w:hint="eastAsia" w:asciiTheme="minorEastAsia" w:hAnsiTheme="minorEastAsia" w:eastAsiaTheme="minorEastAsia"/>
          <w:color w:val="auto"/>
          <w:spacing w:val="-2"/>
          <w:sz w:val="26"/>
          <w:szCs w:val="26"/>
          <w:highlight w:val="none"/>
          <w:lang w:val="en-US" w:eastAsia="zh-CN"/>
        </w:rPr>
        <w:t>6-17产权人自用</w:t>
      </w:r>
      <w:r>
        <w:rPr>
          <w:rFonts w:hint="eastAsia" w:asciiTheme="minorEastAsia" w:hAnsiTheme="minorEastAsia" w:eastAsiaTheme="minorEastAsia"/>
          <w:color w:val="auto"/>
          <w:spacing w:val="-2"/>
          <w:sz w:val="26"/>
          <w:szCs w:val="26"/>
          <w:highlight w:val="none"/>
        </w:rPr>
        <w:t>。估价委托人未明确估价对象是否存在租赁权、用益物权及占有使用情况；我们经过尽职调查也未发现、掌握估价对象有前述状况，故本次评估假定估价对象不存在租赁权、用益物权及占有使用情况。</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pacing w:val="-2"/>
          <w:sz w:val="26"/>
          <w:szCs w:val="26"/>
          <w:highlight w:val="none"/>
          <w:lang w:val="en-US" w:eastAsia="zh-CN"/>
        </w:rPr>
        <w:t>6</w:t>
      </w:r>
      <w:r>
        <w:rPr>
          <w:rFonts w:hint="eastAsia" w:asciiTheme="minorEastAsia" w:hAnsiTheme="minorEastAsia" w:eastAsiaTheme="minorEastAsia"/>
          <w:color w:val="auto"/>
          <w:spacing w:val="-2"/>
          <w:sz w:val="26"/>
          <w:szCs w:val="26"/>
          <w:highlight w:val="none"/>
        </w:rPr>
        <w:t>、</w:t>
      </w:r>
      <w:r>
        <w:rPr>
          <w:rFonts w:hint="eastAsia" w:asciiTheme="minorEastAsia" w:hAnsiTheme="minorEastAsia" w:eastAsiaTheme="minorEastAsia"/>
          <w:color w:val="auto"/>
          <w:sz w:val="26"/>
          <w:szCs w:val="26"/>
          <w:highlight w:val="none"/>
        </w:rPr>
        <w:t>估价对象在价值时点的房地产市场为公开、平等、自愿的交易市场，即能满足以下条件：</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w:t>
      </w:r>
      <w:r>
        <w:rPr>
          <w:rFonts w:asciiTheme="minorEastAsia" w:hAnsiTheme="minorEastAsia" w:eastAsiaTheme="minorEastAsia"/>
          <w:color w:val="auto"/>
          <w:sz w:val="26"/>
          <w:szCs w:val="26"/>
          <w:highlight w:val="none"/>
        </w:rPr>
        <w:t>1</w:t>
      </w:r>
      <w:r>
        <w:rPr>
          <w:rFonts w:hint="eastAsia" w:asciiTheme="minorEastAsia" w:hAnsiTheme="minorEastAsia" w:eastAsiaTheme="minorEastAsia"/>
          <w:color w:val="auto"/>
          <w:sz w:val="26"/>
          <w:szCs w:val="26"/>
          <w:highlight w:val="none"/>
        </w:rPr>
        <w:t>）房地产交易符合国家相关法律、法规规定，能够自由在市场上交易；</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w:t>
      </w:r>
      <w:r>
        <w:rPr>
          <w:rFonts w:asciiTheme="minorEastAsia" w:hAnsiTheme="minorEastAsia" w:eastAsiaTheme="minorEastAsia"/>
          <w:color w:val="auto"/>
          <w:sz w:val="26"/>
          <w:szCs w:val="26"/>
          <w:highlight w:val="none"/>
        </w:rPr>
        <w:t>2</w:t>
      </w:r>
      <w:r>
        <w:rPr>
          <w:rFonts w:hint="eastAsia" w:asciiTheme="minorEastAsia" w:hAnsiTheme="minorEastAsia" w:eastAsiaTheme="minorEastAsia"/>
          <w:color w:val="auto"/>
          <w:sz w:val="26"/>
          <w:szCs w:val="26"/>
          <w:highlight w:val="none"/>
        </w:rPr>
        <w:t>）交易双方是自愿进行交易，交易目的是追求自身利益的最大化；</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w:t>
      </w:r>
      <w:r>
        <w:rPr>
          <w:rFonts w:asciiTheme="minorEastAsia" w:hAnsiTheme="minorEastAsia" w:eastAsiaTheme="minorEastAsia"/>
          <w:color w:val="auto"/>
          <w:sz w:val="26"/>
          <w:szCs w:val="26"/>
          <w:highlight w:val="none"/>
        </w:rPr>
        <w:t>3</w:t>
      </w:r>
      <w:r>
        <w:rPr>
          <w:rFonts w:hint="eastAsia" w:asciiTheme="minorEastAsia" w:hAnsiTheme="minorEastAsia" w:eastAsiaTheme="minorEastAsia"/>
          <w:color w:val="auto"/>
          <w:sz w:val="26"/>
          <w:szCs w:val="26"/>
          <w:highlight w:val="none"/>
        </w:rPr>
        <w:t>）交易双方精明、谨慎行事，并了解交易对象、知晓市场行情；</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w:t>
      </w:r>
      <w:r>
        <w:rPr>
          <w:rFonts w:asciiTheme="minorEastAsia" w:hAnsiTheme="minorEastAsia" w:eastAsiaTheme="minorEastAsia"/>
          <w:color w:val="auto"/>
          <w:sz w:val="26"/>
          <w:szCs w:val="26"/>
          <w:highlight w:val="none"/>
        </w:rPr>
        <w:t>4</w:t>
      </w:r>
      <w:r>
        <w:rPr>
          <w:rFonts w:hint="eastAsia" w:asciiTheme="minorEastAsia" w:hAnsiTheme="minorEastAsia" w:eastAsiaTheme="minorEastAsia"/>
          <w:color w:val="auto"/>
          <w:sz w:val="26"/>
          <w:szCs w:val="26"/>
          <w:highlight w:val="none"/>
        </w:rPr>
        <w:t>）交易双方有较充裕的时间进行交易；</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w:t>
      </w:r>
      <w:r>
        <w:rPr>
          <w:rFonts w:asciiTheme="minorEastAsia" w:hAnsiTheme="minorEastAsia" w:eastAsiaTheme="minorEastAsia"/>
          <w:color w:val="auto"/>
          <w:sz w:val="26"/>
          <w:szCs w:val="26"/>
          <w:highlight w:val="none"/>
        </w:rPr>
        <w:t>5</w:t>
      </w:r>
      <w:r>
        <w:rPr>
          <w:rFonts w:hint="eastAsia" w:asciiTheme="minorEastAsia" w:hAnsiTheme="minorEastAsia" w:eastAsiaTheme="minorEastAsia"/>
          <w:color w:val="auto"/>
          <w:sz w:val="26"/>
          <w:szCs w:val="26"/>
          <w:highlight w:val="none"/>
        </w:rPr>
        <w:t>）不存在特殊买者的附加出价。</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w:t>
      </w:r>
      <w:r>
        <w:rPr>
          <w:rFonts w:asciiTheme="minorEastAsia" w:hAnsiTheme="minorEastAsia" w:eastAsiaTheme="minorEastAsia"/>
          <w:color w:val="auto"/>
          <w:sz w:val="26"/>
          <w:szCs w:val="26"/>
          <w:highlight w:val="none"/>
        </w:rPr>
        <w:t>6</w:t>
      </w:r>
      <w:r>
        <w:rPr>
          <w:rFonts w:hint="eastAsia" w:asciiTheme="minorEastAsia" w:hAnsiTheme="minorEastAsia" w:eastAsiaTheme="minorEastAsia"/>
          <w:color w:val="auto"/>
          <w:sz w:val="26"/>
          <w:szCs w:val="26"/>
          <w:highlight w:val="none"/>
        </w:rPr>
        <w:t>）交易双方负担各应负担的税费。</w:t>
      </w:r>
    </w:p>
    <w:p>
      <w:pPr>
        <w:spacing w:line="560" w:lineRule="exact"/>
        <w:ind w:firstLine="520" w:firstLineChars="200"/>
        <w:rPr>
          <w:rFonts w:asciiTheme="minorEastAsia" w:hAnsiTheme="minorEastAsia" w:eastAsiaTheme="minorEastAsia"/>
          <w:color w:val="auto"/>
          <w:sz w:val="26"/>
          <w:szCs w:val="26"/>
          <w:highlight w:val="none"/>
        </w:rPr>
      </w:pPr>
      <w:r>
        <w:rPr>
          <w:rFonts w:hint="eastAsia" w:asciiTheme="minorEastAsia" w:hAnsiTheme="minorEastAsia" w:eastAsiaTheme="minorEastAsia"/>
          <w:snapToGrid w:val="0"/>
          <w:color w:val="auto"/>
          <w:sz w:val="26"/>
          <w:szCs w:val="26"/>
          <w:highlight w:val="none"/>
          <w:lang w:val="en-US" w:eastAsia="zh-CN"/>
        </w:rPr>
        <w:t>7</w:t>
      </w:r>
      <w:r>
        <w:rPr>
          <w:rFonts w:hint="eastAsia" w:asciiTheme="minorEastAsia" w:hAnsiTheme="minorEastAsia" w:eastAsiaTheme="minorEastAsia"/>
          <w:snapToGrid w:val="0"/>
          <w:color w:val="auto"/>
          <w:sz w:val="26"/>
          <w:szCs w:val="26"/>
          <w:highlight w:val="none"/>
        </w:rPr>
        <w:t>、估价对象为所在建筑物的一部分，假设估价对象享有公共部位的通行权及水、电等共用设施的使用权。</w:t>
      </w:r>
    </w:p>
    <w:p>
      <w:pPr>
        <w:tabs>
          <w:tab w:val="left" w:pos="180"/>
        </w:tabs>
        <w:spacing w:line="600" w:lineRule="exact"/>
        <w:ind w:firstLine="539"/>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（二）未定事项假设</w:t>
      </w:r>
    </w:p>
    <w:p>
      <w:pPr>
        <w:tabs>
          <w:tab w:val="left" w:pos="180"/>
        </w:tabs>
        <w:spacing w:line="600" w:lineRule="exact"/>
        <w:ind w:firstLine="602"/>
        <w:rPr>
          <w:rFonts w:cs="宋体-18030" w:asciiTheme="minorEastAsia" w:hAnsiTheme="minorEastAsia" w:eastAsiaTheme="minorEastAsia"/>
          <w:bCs/>
          <w:color w:val="auto"/>
          <w:sz w:val="26"/>
          <w:szCs w:val="26"/>
          <w:highlight w:val="none"/>
        </w:rPr>
      </w:pPr>
      <w:r>
        <w:rPr>
          <w:rFonts w:hint="eastAsia" w:asciiTheme="minorEastAsia" w:hAnsiTheme="minorEastAsia" w:eastAsiaTheme="minorEastAsia"/>
          <w:color w:val="auto"/>
          <w:sz w:val="26"/>
          <w:szCs w:val="26"/>
          <w:highlight w:val="none"/>
          <w:lang w:eastAsia="zh-CN"/>
        </w:rPr>
        <w:t>无</w:t>
      </w:r>
      <w:r>
        <w:rPr>
          <w:rFonts w:hint="eastAsia" w:cs="宋体-18030" w:asciiTheme="minorEastAsia" w:hAnsiTheme="minorEastAsia" w:eastAsiaTheme="minorEastAsia"/>
          <w:bCs/>
          <w:color w:val="auto"/>
          <w:sz w:val="26"/>
          <w:szCs w:val="26"/>
          <w:highlight w:val="none"/>
        </w:rPr>
        <w:t>。</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（三）背离事实假设</w:t>
      </w:r>
    </w:p>
    <w:p>
      <w:pPr>
        <w:tabs>
          <w:tab w:val="left" w:pos="180"/>
        </w:tabs>
        <w:spacing w:line="580" w:lineRule="exact"/>
        <w:ind w:firstLine="520" w:firstLineChars="200"/>
        <w:rPr>
          <w:rFonts w:ascii="宋体" w:hAnsi="宋体" w:cs="宋体-18030"/>
          <w:bCs/>
          <w:color w:val="auto"/>
          <w:sz w:val="26"/>
          <w:szCs w:val="26"/>
          <w:highlight w:val="none"/>
        </w:rPr>
      </w:pPr>
      <w:r>
        <w:rPr>
          <w:rFonts w:hint="eastAsia" w:ascii="宋体" w:hAnsi="宋体"/>
          <w:color w:val="auto"/>
          <w:sz w:val="26"/>
          <w:szCs w:val="26"/>
          <w:highlight w:val="none"/>
        </w:rPr>
        <w:t>据</w:t>
      </w:r>
      <w:r>
        <w:rPr>
          <w:rFonts w:hint="eastAsia"/>
          <w:color w:val="auto"/>
          <w:sz w:val="26"/>
          <w:szCs w:val="26"/>
          <w:highlight w:val="none"/>
          <w:lang w:eastAsia="zh-CN"/>
        </w:rPr>
        <w:t>《抵押给成都中合利方投资管理合伙企业（有限合伙）的房产信息》《查封众志公司的财产清单</w:t>
      </w:r>
      <w:r>
        <w:rPr>
          <w:rFonts w:hint="eastAsia"/>
          <w:color w:val="auto"/>
          <w:sz w:val="26"/>
          <w:szCs w:val="26"/>
          <w:highlight w:val="none"/>
          <w:lang w:val="en-US" w:eastAsia="zh-CN"/>
        </w:rPr>
        <w:t>-未抵押给</w:t>
      </w:r>
      <w:r>
        <w:rPr>
          <w:rFonts w:hint="eastAsia"/>
          <w:color w:val="auto"/>
          <w:sz w:val="26"/>
          <w:szCs w:val="26"/>
          <w:highlight w:val="none"/>
          <w:lang w:eastAsia="zh-CN"/>
        </w:rPr>
        <w:t>合利方的其他房产信息》《查封清单》</w:t>
      </w:r>
      <w:r>
        <w:rPr>
          <w:rFonts w:hint="eastAsia" w:ascii="宋体" w:hAnsi="宋体"/>
          <w:color w:val="auto"/>
          <w:sz w:val="26"/>
          <w:szCs w:val="26"/>
          <w:highlight w:val="none"/>
        </w:rPr>
        <w:t>，估价对象设置有抵押权、并存在司法查封，因抵押担保和司法查封将随估价对象的处置而消灭或解除，基于本次评估目的，本次估价未考虑估价对象抵押担保和司法查封的影响，设定估价对象无他项权利限制</w:t>
      </w:r>
      <w:r>
        <w:rPr>
          <w:rFonts w:hint="eastAsia" w:ascii="宋体" w:hAnsi="宋体" w:cs="宋体-18030"/>
          <w:bCs/>
          <w:color w:val="auto"/>
          <w:sz w:val="26"/>
          <w:szCs w:val="26"/>
          <w:highlight w:val="none"/>
        </w:rPr>
        <w:t>。</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（四）不相一致假设</w:t>
      </w:r>
    </w:p>
    <w:p>
      <w:pPr>
        <w:tabs>
          <w:tab w:val="left" w:pos="180"/>
        </w:tabs>
        <w:spacing w:line="600" w:lineRule="exact"/>
        <w:ind w:firstLine="602"/>
        <w:rPr>
          <w:rFonts w:cs="宋体-18030" w:asciiTheme="minorEastAsia" w:hAnsiTheme="minorEastAsia" w:eastAsiaTheme="minorEastAsia"/>
          <w:bCs/>
          <w:color w:val="auto"/>
          <w:sz w:val="26"/>
          <w:szCs w:val="26"/>
          <w:highlight w:val="none"/>
        </w:rPr>
      </w:pPr>
      <w:r>
        <w:rPr>
          <w:rFonts w:hint="eastAsia" w:cs="宋体-18030" w:asciiTheme="minorEastAsia" w:hAnsiTheme="minorEastAsia" w:eastAsiaTheme="minorEastAsia"/>
          <w:bCs/>
          <w:color w:val="auto"/>
          <w:sz w:val="26"/>
          <w:szCs w:val="26"/>
          <w:highlight w:val="none"/>
          <w:lang w:eastAsia="zh-CN"/>
        </w:rPr>
        <w:t>无</w:t>
      </w:r>
      <w:r>
        <w:rPr>
          <w:rFonts w:hint="eastAsia" w:cs="宋体-18030" w:asciiTheme="minorEastAsia" w:hAnsiTheme="minorEastAsia" w:eastAsiaTheme="minorEastAsia"/>
          <w:bCs/>
          <w:color w:val="auto"/>
          <w:sz w:val="26"/>
          <w:szCs w:val="26"/>
          <w:highlight w:val="none"/>
        </w:rPr>
        <w:t>。</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（五）依据不足假设</w:t>
      </w:r>
    </w:p>
    <w:p>
      <w:pPr>
        <w:tabs>
          <w:tab w:val="left" w:pos="180"/>
        </w:tabs>
        <w:spacing w:line="600" w:lineRule="exact"/>
        <w:ind w:firstLine="520" w:firstLineChars="200"/>
        <w:rPr>
          <w:color w:val="auto"/>
          <w:sz w:val="26"/>
          <w:szCs w:val="26"/>
          <w:highlight w:val="none"/>
        </w:rPr>
      </w:pPr>
      <w:bookmarkStart w:id="22" w:name="_Toc86245483"/>
      <w:bookmarkStart w:id="23" w:name="_Toc511861967"/>
      <w:r>
        <w:rPr>
          <w:rFonts w:hint="eastAsia"/>
          <w:color w:val="auto"/>
          <w:sz w:val="26"/>
          <w:szCs w:val="26"/>
          <w:highlight w:val="none"/>
          <w:lang w:val="en-US" w:eastAsia="zh-CN"/>
        </w:rPr>
        <w:t>估价委托人提供的资料</w:t>
      </w:r>
      <w:r>
        <w:rPr>
          <w:rFonts w:hint="eastAsia"/>
          <w:color w:val="auto"/>
          <w:sz w:val="26"/>
          <w:szCs w:val="26"/>
          <w:highlight w:val="none"/>
        </w:rPr>
        <w:t>未</w:t>
      </w:r>
      <w:r>
        <w:rPr>
          <w:color w:val="auto"/>
          <w:sz w:val="26"/>
          <w:szCs w:val="26"/>
          <w:highlight w:val="none"/>
        </w:rPr>
        <w:t>载明估价对象的建成年代，</w:t>
      </w:r>
      <w:r>
        <w:rPr>
          <w:rFonts w:hint="eastAsia"/>
          <w:color w:val="auto"/>
          <w:sz w:val="26"/>
          <w:szCs w:val="26"/>
          <w:highlight w:val="none"/>
          <w:lang w:eastAsia="zh-CN"/>
        </w:rPr>
        <w:t>估价人员亦未获取到记载估价对象建成年代的资料，</w:t>
      </w:r>
      <w:r>
        <w:rPr>
          <w:rFonts w:hint="eastAsia"/>
          <w:color w:val="auto"/>
          <w:sz w:val="26"/>
          <w:szCs w:val="26"/>
          <w:highlight w:val="none"/>
        </w:rPr>
        <w:t>据估价人员</w:t>
      </w:r>
      <w:r>
        <w:rPr>
          <w:color w:val="auto"/>
          <w:sz w:val="26"/>
          <w:szCs w:val="26"/>
          <w:highlight w:val="none"/>
        </w:rPr>
        <w:t>调查</w:t>
      </w:r>
      <w:r>
        <w:rPr>
          <w:rFonts w:hint="eastAsia"/>
          <w:color w:val="auto"/>
          <w:sz w:val="26"/>
          <w:szCs w:val="26"/>
          <w:highlight w:val="none"/>
        </w:rPr>
        <w:t>了解</w:t>
      </w:r>
      <w:r>
        <w:rPr>
          <w:color w:val="auto"/>
          <w:sz w:val="26"/>
          <w:szCs w:val="26"/>
          <w:highlight w:val="none"/>
        </w:rPr>
        <w:t>，估价对象建成年代约</w:t>
      </w:r>
      <w:r>
        <w:rPr>
          <w:rFonts w:hint="eastAsia"/>
          <w:color w:val="auto"/>
          <w:sz w:val="26"/>
          <w:szCs w:val="26"/>
          <w:highlight w:val="none"/>
        </w:rPr>
        <w:t>为</w:t>
      </w:r>
      <w:r>
        <w:rPr>
          <w:rFonts w:hint="eastAsia"/>
          <w:color w:val="auto"/>
          <w:sz w:val="26"/>
          <w:szCs w:val="26"/>
          <w:highlight w:val="none"/>
          <w:lang w:val="en-US" w:eastAsia="zh-CN"/>
        </w:rPr>
        <w:t>2015</w:t>
      </w:r>
      <w:r>
        <w:rPr>
          <w:rFonts w:hint="eastAsia"/>
          <w:color w:val="auto"/>
          <w:sz w:val="26"/>
          <w:szCs w:val="26"/>
          <w:highlight w:val="none"/>
        </w:rPr>
        <w:t>年，本次评估</w:t>
      </w:r>
      <w:r>
        <w:rPr>
          <w:color w:val="auto"/>
          <w:sz w:val="26"/>
          <w:szCs w:val="26"/>
          <w:highlight w:val="none"/>
        </w:rPr>
        <w:t>我们据此设定估价对象建成</w:t>
      </w:r>
      <w:r>
        <w:rPr>
          <w:rFonts w:hint="eastAsia"/>
          <w:color w:val="auto"/>
          <w:sz w:val="26"/>
          <w:szCs w:val="26"/>
          <w:highlight w:val="none"/>
        </w:rPr>
        <w:t>年代</w:t>
      </w:r>
      <w:r>
        <w:rPr>
          <w:color w:val="auto"/>
          <w:sz w:val="26"/>
          <w:szCs w:val="26"/>
          <w:highlight w:val="none"/>
        </w:rPr>
        <w:t>，鉴于</w:t>
      </w:r>
      <w:r>
        <w:rPr>
          <w:rFonts w:hint="eastAsia"/>
          <w:color w:val="auto"/>
          <w:sz w:val="26"/>
          <w:szCs w:val="26"/>
          <w:highlight w:val="none"/>
        </w:rPr>
        <w:t>房地产</w:t>
      </w:r>
      <w:r>
        <w:rPr>
          <w:color w:val="auto"/>
          <w:sz w:val="26"/>
          <w:szCs w:val="26"/>
          <w:highlight w:val="none"/>
        </w:rPr>
        <w:t>估价师的权限，</w:t>
      </w:r>
      <w:r>
        <w:rPr>
          <w:rFonts w:hint="eastAsia"/>
          <w:color w:val="auto"/>
          <w:sz w:val="26"/>
          <w:szCs w:val="26"/>
          <w:highlight w:val="none"/>
        </w:rPr>
        <w:t>我们</w:t>
      </w:r>
      <w:r>
        <w:rPr>
          <w:color w:val="auto"/>
          <w:sz w:val="26"/>
          <w:szCs w:val="26"/>
          <w:highlight w:val="none"/>
        </w:rPr>
        <w:t>无法确定其建成年代的准确性，</w:t>
      </w:r>
      <w:r>
        <w:rPr>
          <w:rFonts w:hint="eastAsia"/>
          <w:color w:val="auto"/>
          <w:sz w:val="26"/>
          <w:szCs w:val="26"/>
          <w:highlight w:val="none"/>
        </w:rPr>
        <w:t>对于</w:t>
      </w:r>
      <w:r>
        <w:rPr>
          <w:color w:val="auto"/>
          <w:sz w:val="26"/>
          <w:szCs w:val="26"/>
          <w:highlight w:val="none"/>
        </w:rPr>
        <w:t>估价对象的准确建成年代</w:t>
      </w:r>
      <w:r>
        <w:rPr>
          <w:rFonts w:hint="eastAsia"/>
          <w:color w:val="auto"/>
          <w:sz w:val="26"/>
          <w:szCs w:val="26"/>
          <w:highlight w:val="none"/>
        </w:rPr>
        <w:t>应</w:t>
      </w:r>
      <w:r>
        <w:rPr>
          <w:color w:val="auto"/>
          <w:sz w:val="26"/>
          <w:szCs w:val="26"/>
          <w:highlight w:val="none"/>
        </w:rPr>
        <w:t>以相关管理部门的档案资料为准。</w:t>
      </w:r>
    </w:p>
    <w:p>
      <w:pPr>
        <w:tabs>
          <w:tab w:val="left" w:pos="180"/>
        </w:tabs>
        <w:spacing w:line="600" w:lineRule="exact"/>
        <w:ind w:firstLine="602"/>
        <w:outlineLvl w:val="1"/>
        <w:rPr>
          <w:rFonts w:asciiTheme="minorEastAsia" w:hAnsiTheme="minorEastAsia" w:eastAsiaTheme="minorEastAsia"/>
          <w:b/>
          <w:color w:val="auto"/>
          <w:sz w:val="26"/>
          <w:szCs w:val="26"/>
          <w:highlight w:val="none"/>
        </w:rPr>
      </w:pPr>
      <w:r>
        <w:rPr>
          <w:rFonts w:hint="eastAsia" w:asciiTheme="minorEastAsia" w:hAnsiTheme="minorEastAsia" w:eastAsiaTheme="minorEastAsia"/>
          <w:b/>
          <w:color w:val="auto"/>
          <w:sz w:val="26"/>
          <w:szCs w:val="26"/>
          <w:highlight w:val="none"/>
        </w:rPr>
        <w:t>二、估价报告使用限制条件</w:t>
      </w:r>
      <w:bookmarkEnd w:id="22"/>
      <w:bookmarkEnd w:id="23"/>
    </w:p>
    <w:p>
      <w:pPr>
        <w:tabs>
          <w:tab w:val="left" w:pos="180"/>
        </w:tabs>
        <w:spacing w:line="600" w:lineRule="exact"/>
        <w:ind w:firstLine="520" w:firstLineChars="200"/>
        <w:rPr>
          <w:rStyle w:val="58"/>
          <w:color w:val="auto"/>
          <w:sz w:val="26"/>
          <w:szCs w:val="26"/>
          <w:highlight w:val="none"/>
        </w:rPr>
      </w:pPr>
      <w:r>
        <w:rPr>
          <w:rFonts w:asciiTheme="minorEastAsia" w:hAnsiTheme="minorEastAsia" w:eastAsiaTheme="minorEastAsia"/>
          <w:color w:val="auto"/>
          <w:sz w:val="26"/>
          <w:szCs w:val="26"/>
          <w:highlight w:val="none"/>
        </w:rPr>
        <w:t>1</w:t>
      </w:r>
      <w:r>
        <w:rPr>
          <w:rFonts w:hint="eastAsia" w:asciiTheme="minorEastAsia" w:hAnsiTheme="minorEastAsia" w:eastAsiaTheme="minorEastAsia"/>
          <w:color w:val="auto"/>
          <w:sz w:val="26"/>
          <w:szCs w:val="26"/>
          <w:highlight w:val="none"/>
        </w:rPr>
        <w:t>、本报告估价结论仅作为</w:t>
      </w:r>
      <w:r>
        <w:rPr>
          <w:rFonts w:hint="eastAsia" w:cs="宋体-18030" w:asciiTheme="minorEastAsia" w:hAnsiTheme="minorEastAsia" w:eastAsiaTheme="minorEastAsia"/>
          <w:bCs/>
          <w:color w:val="auto"/>
          <w:sz w:val="26"/>
          <w:szCs w:val="26"/>
          <w:highlight w:val="none"/>
          <w:lang w:eastAsia="zh-CN"/>
        </w:rPr>
        <w:t>四川省成都市中级人民法院</w:t>
      </w:r>
      <w:r>
        <w:rPr>
          <w:rFonts w:hint="eastAsia" w:cs="宋体-18030" w:asciiTheme="minorEastAsia" w:hAnsiTheme="minorEastAsia" w:eastAsiaTheme="minorEastAsia"/>
          <w:bCs/>
          <w:color w:val="auto"/>
          <w:sz w:val="26"/>
          <w:szCs w:val="26"/>
          <w:highlight w:val="none"/>
        </w:rPr>
        <w:t>执行</w:t>
      </w:r>
      <w:r>
        <w:rPr>
          <w:rFonts w:hint="eastAsia" w:cs="宋体-18030" w:asciiTheme="minorEastAsia" w:hAnsiTheme="minorEastAsia" w:eastAsiaTheme="minorEastAsia"/>
          <w:bCs/>
          <w:color w:val="auto"/>
          <w:sz w:val="26"/>
          <w:szCs w:val="26"/>
          <w:highlight w:val="none"/>
          <w:lang w:eastAsia="zh-CN"/>
        </w:rPr>
        <w:t>成都中合利方企业管理中心（有限合伙）与四川众志房地产开发有限公司、资阳市中瑞房地产开发有限公司、资阳市雁江区建达房地产开发有限公司、成都市腾启房地产开发有限公司借款合同纠纷一案</w:t>
      </w:r>
      <w:r>
        <w:rPr>
          <w:rFonts w:hint="eastAsia" w:cs="宋体-18030" w:asciiTheme="minorEastAsia" w:hAnsiTheme="minorEastAsia" w:eastAsiaTheme="minorEastAsia"/>
          <w:bCs/>
          <w:color w:val="auto"/>
          <w:sz w:val="26"/>
          <w:szCs w:val="26"/>
          <w:highlight w:val="none"/>
        </w:rPr>
        <w:t>时</w:t>
      </w:r>
      <w:r>
        <w:rPr>
          <w:rFonts w:hint="eastAsia" w:asciiTheme="minorEastAsia" w:hAnsiTheme="minorEastAsia" w:eastAsiaTheme="minorEastAsia"/>
          <w:color w:val="auto"/>
          <w:sz w:val="26"/>
          <w:szCs w:val="26"/>
          <w:highlight w:val="none"/>
        </w:rPr>
        <w:t>确定估价对象处置参考价提供参考依据，若用于其他用途本报告估价结果无效。估价结论不等同于估价对象可实现价格，</w:t>
      </w:r>
      <w:r>
        <w:rPr>
          <w:rStyle w:val="58"/>
          <w:color w:val="auto"/>
          <w:sz w:val="26"/>
          <w:szCs w:val="26"/>
          <w:highlight w:val="none"/>
        </w:rPr>
        <w:t>不应当被视为对评估对象处置成交价格的保证</w:t>
      </w:r>
      <w:r>
        <w:rPr>
          <w:rStyle w:val="58"/>
          <w:rFonts w:hint="eastAsia"/>
          <w:color w:val="auto"/>
          <w:sz w:val="26"/>
          <w:szCs w:val="26"/>
          <w:highlight w:val="none"/>
        </w:rPr>
        <w:t>。</w:t>
      </w:r>
    </w:p>
    <w:p>
      <w:pPr>
        <w:tabs>
          <w:tab w:val="left" w:pos="180"/>
        </w:tabs>
        <w:spacing w:line="600" w:lineRule="exact"/>
        <w:ind w:firstLine="602"/>
        <w:rPr>
          <w:rFonts w:cs="宋体-18030"/>
          <w:bCs/>
          <w:color w:val="auto"/>
          <w:sz w:val="26"/>
          <w:szCs w:val="26"/>
          <w:highlight w:val="none"/>
        </w:rPr>
      </w:pPr>
      <w:r>
        <w:rPr>
          <w:rFonts w:cs="宋体-18030"/>
          <w:color w:val="auto"/>
          <w:sz w:val="26"/>
          <w:szCs w:val="26"/>
          <w:highlight w:val="none"/>
        </w:rPr>
        <w:t>2</w:t>
      </w:r>
      <w:r>
        <w:rPr>
          <w:rFonts w:hint="eastAsia" w:cs="宋体-18030"/>
          <w:color w:val="auto"/>
          <w:sz w:val="26"/>
          <w:szCs w:val="26"/>
          <w:highlight w:val="none"/>
        </w:rPr>
        <w:t>、</w:t>
      </w:r>
      <w:r>
        <w:rPr>
          <w:rFonts w:hint="eastAsia"/>
          <w:color w:val="auto"/>
          <w:sz w:val="26"/>
          <w:szCs w:val="26"/>
          <w:highlight w:val="none"/>
        </w:rPr>
        <w:t>本报告估价结果包含估价对象的房屋所有权（</w:t>
      </w:r>
      <w:r>
        <w:rPr>
          <w:rFonts w:hint="eastAsia"/>
          <w:color w:val="auto"/>
          <w:sz w:val="26"/>
          <w:szCs w:val="26"/>
          <w:highlight w:val="none"/>
          <w:lang w:eastAsia="zh-CN"/>
        </w:rPr>
        <w:t>含建筑物、附着在建筑物上与其功能相匹配且不可移动的室内装饰装修、设施设备</w:t>
      </w:r>
      <w:r>
        <w:rPr>
          <w:rFonts w:hint="eastAsia"/>
          <w:color w:val="auto"/>
          <w:sz w:val="26"/>
          <w:szCs w:val="26"/>
          <w:highlight w:val="none"/>
        </w:rPr>
        <w:t>）及分摊的土地使用权的市场价值，</w:t>
      </w:r>
      <w:r>
        <w:rPr>
          <w:rFonts w:hint="eastAsia" w:cs="宋体-18030"/>
          <w:bCs/>
          <w:color w:val="auto"/>
          <w:sz w:val="26"/>
          <w:szCs w:val="26"/>
          <w:highlight w:val="none"/>
        </w:rPr>
        <w:t>不包含家电、家具等可移动物品价值。</w:t>
      </w:r>
    </w:p>
    <w:p>
      <w:pPr>
        <w:tabs>
          <w:tab w:val="left" w:pos="180"/>
        </w:tabs>
        <w:spacing w:line="600" w:lineRule="exact"/>
        <w:ind w:firstLine="602"/>
        <w:rPr>
          <w:rStyle w:val="58"/>
          <w:color w:val="auto"/>
          <w:sz w:val="26"/>
          <w:szCs w:val="26"/>
          <w:highlight w:val="none"/>
        </w:rPr>
      </w:pPr>
      <w:r>
        <w:rPr>
          <w:rFonts w:cs="宋体-18030" w:asciiTheme="minorEastAsia" w:hAnsiTheme="minorEastAsia" w:eastAsiaTheme="minorEastAsia"/>
          <w:color w:val="auto"/>
          <w:sz w:val="26"/>
          <w:szCs w:val="26"/>
          <w:highlight w:val="none"/>
        </w:rPr>
        <w:t>3</w:t>
      </w:r>
      <w:r>
        <w:rPr>
          <w:rFonts w:hint="eastAsia" w:cs="宋体-18030" w:asciiTheme="minorEastAsia" w:hAnsiTheme="minorEastAsia" w:eastAsiaTheme="minorEastAsia"/>
          <w:color w:val="auto"/>
          <w:sz w:val="26"/>
          <w:szCs w:val="26"/>
          <w:highlight w:val="none"/>
        </w:rPr>
        <w:t>、</w:t>
      </w:r>
      <w:r>
        <w:rPr>
          <w:rFonts w:hint="eastAsia"/>
          <w:color w:val="auto"/>
          <w:sz w:val="26"/>
          <w:szCs w:val="26"/>
          <w:highlight w:val="none"/>
        </w:rPr>
        <w:t>报告使用人</w:t>
      </w:r>
      <w:r>
        <w:rPr>
          <w:rStyle w:val="58"/>
          <w:color w:val="auto"/>
          <w:sz w:val="26"/>
          <w:szCs w:val="26"/>
          <w:highlight w:val="none"/>
        </w:rPr>
        <w:t>应当按照法律规定和评估报告载明的用途、使用人、使用期限等使用范围使用评估报告。否则，房地产估价机构和注册房地产估价师依法不承担责任</w:t>
      </w:r>
      <w:r>
        <w:rPr>
          <w:rStyle w:val="58"/>
          <w:rFonts w:hint="eastAsia"/>
          <w:color w:val="auto"/>
          <w:sz w:val="26"/>
          <w:szCs w:val="26"/>
          <w:highlight w:val="none"/>
        </w:rPr>
        <w:t>。</w:t>
      </w:r>
    </w:p>
    <w:p>
      <w:pPr>
        <w:tabs>
          <w:tab w:val="left" w:pos="180"/>
        </w:tabs>
        <w:spacing w:line="600" w:lineRule="exact"/>
        <w:ind w:firstLine="602"/>
        <w:rPr>
          <w:rFonts w:cs="宋体-18030" w:asciiTheme="minorEastAsia" w:hAnsiTheme="minorEastAsia" w:eastAsiaTheme="minorEastAsia"/>
          <w:color w:val="auto"/>
          <w:sz w:val="26"/>
          <w:szCs w:val="26"/>
          <w:highlight w:val="none"/>
        </w:rPr>
      </w:pPr>
      <w:r>
        <w:rPr>
          <w:rFonts w:cs="宋体-18030" w:asciiTheme="minorEastAsia" w:hAnsiTheme="minorEastAsia" w:eastAsiaTheme="minorEastAsia"/>
          <w:color w:val="auto"/>
          <w:sz w:val="26"/>
          <w:szCs w:val="26"/>
          <w:highlight w:val="none"/>
        </w:rPr>
        <w:t>4</w:t>
      </w:r>
      <w:r>
        <w:rPr>
          <w:rFonts w:hint="eastAsia" w:cs="宋体-18030" w:asciiTheme="minorEastAsia" w:hAnsiTheme="minorEastAsia" w:eastAsiaTheme="minorEastAsia"/>
          <w:color w:val="auto"/>
          <w:sz w:val="26"/>
          <w:szCs w:val="26"/>
          <w:highlight w:val="none"/>
        </w:rPr>
        <w:t>、估价对象的</w:t>
      </w:r>
      <w:r>
        <w:rPr>
          <w:rFonts w:cs="宋体-18030" w:asciiTheme="minorEastAsia" w:hAnsiTheme="minorEastAsia" w:eastAsiaTheme="minorEastAsia"/>
          <w:color w:val="auto"/>
          <w:sz w:val="26"/>
          <w:szCs w:val="26"/>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cs="宋体-18030" w:asciiTheme="minorEastAsia" w:hAnsiTheme="minorEastAsia" w:eastAsiaTheme="minorEastAsia"/>
          <w:color w:val="auto"/>
          <w:sz w:val="26"/>
          <w:szCs w:val="26"/>
          <w:highlight w:val="none"/>
        </w:rPr>
        <w:t>。</w:t>
      </w:r>
    </w:p>
    <w:p>
      <w:pPr>
        <w:tabs>
          <w:tab w:val="left" w:pos="180"/>
        </w:tabs>
        <w:spacing w:line="600" w:lineRule="exact"/>
        <w:ind w:firstLine="602"/>
        <w:rPr>
          <w:rStyle w:val="58"/>
          <w:color w:val="auto"/>
          <w:sz w:val="26"/>
          <w:szCs w:val="26"/>
          <w:highlight w:val="none"/>
        </w:rPr>
      </w:pPr>
      <w:r>
        <w:rPr>
          <w:rFonts w:hint="eastAsia" w:cs="宋体-18030" w:asciiTheme="minorEastAsia" w:hAnsiTheme="minorEastAsia" w:eastAsiaTheme="minorEastAsia"/>
          <w:color w:val="auto"/>
          <w:sz w:val="26"/>
          <w:szCs w:val="26"/>
          <w:highlight w:val="none"/>
        </w:rPr>
        <w:t>5</w:t>
      </w:r>
      <w:r>
        <w:rPr>
          <w:rFonts w:hint="eastAsia" w:asciiTheme="minorEastAsia" w:hAnsiTheme="minorEastAsia" w:eastAsiaTheme="minorEastAsia"/>
          <w:color w:val="auto"/>
          <w:sz w:val="26"/>
          <w:szCs w:val="26"/>
          <w:highlight w:val="none"/>
        </w:rPr>
        <w:t>、本报告应在确定的使用期限内使用，</w:t>
      </w:r>
      <w:r>
        <w:rPr>
          <w:rFonts w:hint="eastAsia" w:cs="宋体-18030" w:asciiTheme="minorEastAsia" w:hAnsiTheme="minorEastAsia" w:eastAsiaTheme="minorEastAsia"/>
          <w:color w:val="auto"/>
          <w:sz w:val="26"/>
          <w:highlight w:val="none"/>
        </w:rPr>
        <w:t>即</w:t>
      </w:r>
      <w:r>
        <w:rPr>
          <w:rFonts w:hint="eastAsia" w:asciiTheme="minorEastAsia" w:hAnsiTheme="minorEastAsia" w:eastAsiaTheme="minorEastAsia"/>
          <w:color w:val="auto"/>
          <w:sz w:val="26"/>
          <w:szCs w:val="26"/>
          <w:highlight w:val="none"/>
        </w:rPr>
        <w:t>自本报告出具日起一年内（</w:t>
      </w:r>
      <w:r>
        <w:rPr>
          <w:rFonts w:hint="eastAsia" w:cs="宋体-18030" w:asciiTheme="minorEastAsia" w:hAnsiTheme="minorEastAsia" w:eastAsiaTheme="minorEastAsia"/>
          <w:color w:val="auto"/>
          <w:sz w:val="26"/>
          <w:highlight w:val="none"/>
        </w:rPr>
        <w:t>自</w:t>
      </w:r>
      <w:r>
        <w:rPr>
          <w:rFonts w:hint="eastAsia" w:cs="宋体-18030" w:asciiTheme="minorEastAsia" w:hAnsiTheme="minorEastAsia" w:eastAsiaTheme="minorEastAsia"/>
          <w:color w:val="auto"/>
          <w:sz w:val="26"/>
          <w:highlight w:val="none"/>
          <w:lang w:eastAsia="zh-CN"/>
        </w:rPr>
        <w:t>2022年10月10日</w:t>
      </w:r>
      <w:r>
        <w:rPr>
          <w:rFonts w:hint="eastAsia" w:cs="宋体-18030" w:asciiTheme="minorEastAsia" w:hAnsiTheme="minorEastAsia" w:eastAsiaTheme="minorEastAsia"/>
          <w:color w:val="auto"/>
          <w:sz w:val="26"/>
          <w:highlight w:val="none"/>
        </w:rPr>
        <w:t>至</w:t>
      </w:r>
      <w:r>
        <w:rPr>
          <w:rFonts w:cs="宋体-18030" w:asciiTheme="minorEastAsia" w:hAnsiTheme="minorEastAsia" w:eastAsiaTheme="minorEastAsia"/>
          <w:color w:val="auto"/>
          <w:sz w:val="26"/>
          <w:highlight w:val="none"/>
        </w:rPr>
        <w:t>202</w:t>
      </w:r>
      <w:r>
        <w:rPr>
          <w:rFonts w:hint="eastAsia" w:cs="宋体-18030" w:asciiTheme="minorEastAsia" w:hAnsiTheme="minorEastAsia" w:eastAsiaTheme="minorEastAsia"/>
          <w:color w:val="auto"/>
          <w:sz w:val="26"/>
          <w:highlight w:val="none"/>
        </w:rPr>
        <w:t>3年</w:t>
      </w:r>
      <w:r>
        <w:rPr>
          <w:rFonts w:hint="eastAsia" w:cs="宋体-18030" w:asciiTheme="minorEastAsia" w:hAnsiTheme="minorEastAsia" w:eastAsiaTheme="minorEastAsia"/>
          <w:color w:val="auto"/>
          <w:sz w:val="26"/>
          <w:highlight w:val="none"/>
          <w:lang w:val="en-US" w:eastAsia="zh-CN"/>
        </w:rPr>
        <w:t>10</w:t>
      </w:r>
      <w:r>
        <w:rPr>
          <w:rFonts w:hint="eastAsia" w:cs="宋体-18030" w:asciiTheme="minorEastAsia" w:hAnsiTheme="minorEastAsia" w:eastAsiaTheme="minorEastAsia"/>
          <w:color w:val="auto"/>
          <w:sz w:val="26"/>
          <w:highlight w:val="none"/>
        </w:rPr>
        <w:t>月</w:t>
      </w:r>
      <w:r>
        <w:rPr>
          <w:rFonts w:hint="eastAsia" w:cs="宋体-18030" w:asciiTheme="minorEastAsia" w:hAnsiTheme="minorEastAsia" w:eastAsiaTheme="minorEastAsia"/>
          <w:color w:val="auto"/>
          <w:sz w:val="26"/>
          <w:highlight w:val="none"/>
          <w:lang w:val="en-US" w:eastAsia="zh-CN"/>
        </w:rPr>
        <w:t>9</w:t>
      </w:r>
      <w:r>
        <w:rPr>
          <w:rFonts w:hint="eastAsia" w:cs="宋体-18030" w:asciiTheme="minorEastAsia" w:hAnsiTheme="minorEastAsia" w:eastAsiaTheme="minorEastAsia"/>
          <w:color w:val="auto"/>
          <w:sz w:val="26"/>
          <w:highlight w:val="none"/>
        </w:rPr>
        <w:t>日）有效，</w:t>
      </w:r>
      <w:r>
        <w:rPr>
          <w:rFonts w:hint="eastAsia" w:asciiTheme="minorEastAsia" w:hAnsiTheme="minorEastAsia" w:eastAsiaTheme="minorEastAsia"/>
          <w:color w:val="auto"/>
          <w:sz w:val="26"/>
          <w:szCs w:val="26"/>
          <w:highlight w:val="none"/>
        </w:rPr>
        <w:t>超过估价报告使用期限使用估价报告的，相关责任由使用者承担。</w:t>
      </w:r>
      <w:r>
        <w:rPr>
          <w:rStyle w:val="58"/>
          <w:color w:val="auto"/>
          <w:sz w:val="26"/>
          <w:szCs w:val="26"/>
          <w:highlight w:val="none"/>
        </w:rPr>
        <w:t>在评估报告使用期限或者评估结果有效期内，评估报告或者评估结果未使用之前，如果评估对象状况或者房地产市场状况发生明显变化的，评估结果应当进行相应调整后才可使用</w:t>
      </w:r>
      <w:r>
        <w:rPr>
          <w:rStyle w:val="58"/>
          <w:rFonts w:hint="eastAsia"/>
          <w:color w:val="auto"/>
          <w:sz w:val="26"/>
          <w:szCs w:val="26"/>
          <w:highlight w:val="none"/>
        </w:rPr>
        <w:t>。</w:t>
      </w:r>
    </w:p>
    <w:p>
      <w:pPr>
        <w:tabs>
          <w:tab w:val="left" w:pos="180"/>
        </w:tabs>
        <w:spacing w:line="600" w:lineRule="exact"/>
        <w:ind w:firstLine="602"/>
        <w:rPr>
          <w:rStyle w:val="58"/>
          <w:color w:val="auto"/>
          <w:sz w:val="26"/>
          <w:szCs w:val="26"/>
          <w:highlight w:val="none"/>
        </w:rPr>
      </w:pPr>
      <w:r>
        <w:rPr>
          <w:rStyle w:val="58"/>
          <w:rFonts w:hint="eastAsia"/>
          <w:color w:val="auto"/>
          <w:sz w:val="26"/>
          <w:szCs w:val="26"/>
          <w:highlight w:val="none"/>
        </w:rPr>
        <w:t>6、</w:t>
      </w:r>
      <w:r>
        <w:rPr>
          <w:rStyle w:val="58"/>
          <w:color w:val="auto"/>
          <w:sz w:val="26"/>
          <w:szCs w:val="26"/>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7、本估价报告必须完整使用方为有效，对仅使用本估价报告中的部分内容，所导致可能发生的损失，本估价机构不承担责任。</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8、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rPr>
        <w:t>9、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pPr>
        <w:tabs>
          <w:tab w:val="left" w:pos="180"/>
        </w:tabs>
        <w:spacing w:line="600" w:lineRule="exact"/>
        <w:ind w:firstLine="601"/>
        <w:outlineLvl w:val="1"/>
        <w:rPr>
          <w:rFonts w:asciiTheme="minorEastAsia" w:hAnsiTheme="minorEastAsia" w:eastAsiaTheme="minorEastAsia"/>
          <w:b/>
          <w:color w:val="auto"/>
          <w:sz w:val="26"/>
          <w:szCs w:val="26"/>
          <w:highlight w:val="none"/>
        </w:rPr>
      </w:pPr>
      <w:bookmarkStart w:id="24" w:name="_Toc86245484"/>
      <w:bookmarkStart w:id="25" w:name="_Toc511861968"/>
      <w:bookmarkStart w:id="26" w:name="_Toc481509712"/>
      <w:bookmarkStart w:id="27" w:name="_Toc481509796"/>
      <w:r>
        <w:rPr>
          <w:rFonts w:hint="eastAsia" w:asciiTheme="minorEastAsia" w:hAnsiTheme="minorEastAsia" w:eastAsiaTheme="minorEastAsia"/>
          <w:b/>
          <w:color w:val="auto"/>
          <w:sz w:val="26"/>
          <w:szCs w:val="26"/>
          <w:highlight w:val="none"/>
        </w:rPr>
        <w:t>三、需要特别说明事项</w:t>
      </w:r>
      <w:bookmarkEnd w:id="24"/>
      <w:bookmarkEnd w:id="25"/>
      <w:bookmarkEnd w:id="26"/>
      <w:bookmarkEnd w:id="27"/>
    </w:p>
    <w:p>
      <w:pPr>
        <w:tabs>
          <w:tab w:val="left" w:pos="180"/>
        </w:tabs>
        <w:spacing w:line="600" w:lineRule="exact"/>
        <w:ind w:firstLine="602"/>
        <w:rPr>
          <w:rFonts w:asciiTheme="minorEastAsia" w:hAnsiTheme="minorEastAsia" w:eastAsiaTheme="minorEastAsia"/>
          <w:color w:val="auto"/>
          <w:sz w:val="26"/>
          <w:szCs w:val="26"/>
          <w:highlight w:val="none"/>
        </w:rPr>
      </w:pPr>
      <w:r>
        <w:rPr>
          <w:rFonts w:asciiTheme="minorEastAsia" w:hAnsiTheme="minorEastAsia" w:eastAsiaTheme="minorEastAsia"/>
          <w:color w:val="auto"/>
          <w:sz w:val="26"/>
          <w:szCs w:val="26"/>
          <w:highlight w:val="none"/>
        </w:rPr>
        <w:t>1</w:t>
      </w:r>
      <w:r>
        <w:rPr>
          <w:rFonts w:hint="eastAsia" w:asciiTheme="minorEastAsia" w:hAnsiTheme="minorEastAsia" w:eastAsiaTheme="minorEastAsia"/>
          <w:color w:val="auto"/>
          <w:sz w:val="26"/>
          <w:szCs w:val="26"/>
          <w:highlight w:val="none"/>
        </w:rPr>
        <w:t>、</w:t>
      </w:r>
      <w:r>
        <w:rPr>
          <w:rFonts w:hint="eastAsia"/>
          <w:color w:val="auto"/>
          <w:sz w:val="26"/>
          <w:szCs w:val="26"/>
          <w:highlight w:val="none"/>
        </w:rPr>
        <w:t>本次估价范围以估价委托人提供的</w:t>
      </w:r>
      <w:r>
        <w:rPr>
          <w:rFonts w:hint="eastAsia"/>
          <w:color w:val="auto"/>
          <w:sz w:val="26"/>
          <w:szCs w:val="26"/>
          <w:highlight w:val="none"/>
          <w:lang w:eastAsia="zh-CN"/>
        </w:rPr>
        <w:t>《四川省成都市中级人民法院委托书》《评估财产清单》</w:t>
      </w:r>
      <w:r>
        <w:rPr>
          <w:rFonts w:hint="eastAsia"/>
          <w:color w:val="auto"/>
          <w:sz w:val="26"/>
          <w:szCs w:val="26"/>
          <w:highlight w:val="none"/>
        </w:rPr>
        <w:t>为准，估价对象房屋的基本信息以</w:t>
      </w:r>
      <w:r>
        <w:rPr>
          <w:rFonts w:hint="eastAsia"/>
          <w:color w:val="auto"/>
          <w:sz w:val="26"/>
          <w:szCs w:val="26"/>
          <w:highlight w:val="none"/>
          <w:lang w:eastAsia="zh-CN"/>
        </w:rPr>
        <w:t>《抵押给成都中合利方投资管理合伙企业（有限合伙）的房产信息》《查封众志公司的财产清单</w:t>
      </w:r>
      <w:r>
        <w:rPr>
          <w:rFonts w:hint="eastAsia"/>
          <w:color w:val="auto"/>
          <w:sz w:val="26"/>
          <w:szCs w:val="26"/>
          <w:highlight w:val="none"/>
          <w:lang w:val="en-US" w:eastAsia="zh-CN"/>
        </w:rPr>
        <w:t>-未抵押给</w:t>
      </w:r>
      <w:r>
        <w:rPr>
          <w:rFonts w:hint="eastAsia"/>
          <w:color w:val="auto"/>
          <w:sz w:val="26"/>
          <w:szCs w:val="26"/>
          <w:highlight w:val="none"/>
          <w:lang w:eastAsia="zh-CN"/>
        </w:rPr>
        <w:t>合利方的其他房产信息》</w:t>
      </w:r>
      <w:r>
        <w:rPr>
          <w:rFonts w:hint="eastAsia"/>
          <w:color w:val="auto"/>
          <w:sz w:val="26"/>
          <w:szCs w:val="26"/>
          <w:highlight w:val="none"/>
        </w:rPr>
        <w:t>为准</w:t>
      </w:r>
      <w:r>
        <w:rPr>
          <w:rFonts w:hint="eastAsia" w:asciiTheme="minorEastAsia" w:hAnsiTheme="minorEastAsia" w:eastAsiaTheme="minorEastAsia"/>
          <w:color w:val="auto"/>
          <w:sz w:val="26"/>
          <w:szCs w:val="26"/>
          <w:highlight w:val="none"/>
        </w:rPr>
        <w:t>。</w:t>
      </w:r>
    </w:p>
    <w:p>
      <w:pPr>
        <w:tabs>
          <w:tab w:val="left" w:pos="180"/>
        </w:tabs>
        <w:spacing w:line="600" w:lineRule="exact"/>
        <w:ind w:firstLine="602"/>
        <w:rPr>
          <w:rFonts w:hint="eastAsia"/>
          <w:color w:val="auto"/>
          <w:sz w:val="26"/>
          <w:szCs w:val="26"/>
          <w:highlight w:val="none"/>
        </w:rPr>
      </w:pPr>
      <w:r>
        <w:rPr>
          <w:rFonts w:hint="eastAsia" w:asciiTheme="minorEastAsia" w:hAnsiTheme="minorEastAsia" w:eastAsiaTheme="minorEastAsia"/>
          <w:color w:val="auto"/>
          <w:sz w:val="26"/>
          <w:szCs w:val="26"/>
          <w:highlight w:val="none"/>
        </w:rPr>
        <w:t>2、</w:t>
      </w:r>
      <w:r>
        <w:rPr>
          <w:rFonts w:hint="eastAsia"/>
          <w:color w:val="auto"/>
          <w:sz w:val="26"/>
          <w:szCs w:val="26"/>
          <w:highlight w:val="none"/>
        </w:rPr>
        <w:t>本次评估，根据估价对象所在区域司法拍卖惯例，财产处置费用（如评估费、拍卖费、诉讼费用、律师费等费用）一般在司法拍卖结束后根据实际发生费用从财产处置价款中扣除，结合</w:t>
      </w:r>
      <w:r>
        <w:rPr>
          <w:rFonts w:hint="eastAsia"/>
          <w:color w:val="auto"/>
          <w:sz w:val="26"/>
          <w:szCs w:val="26"/>
          <w:highlight w:val="none"/>
          <w:lang w:eastAsia="zh-CN"/>
        </w:rPr>
        <w:t>估价委托人</w:t>
      </w:r>
      <w:r>
        <w:rPr>
          <w:rFonts w:hint="eastAsia"/>
          <w:color w:val="auto"/>
          <w:sz w:val="26"/>
          <w:szCs w:val="26"/>
          <w:highlight w:val="none"/>
        </w:rPr>
        <w:t>介绍，本次评估结果未扣除相关财产处置费用，特此说明。</w:t>
      </w:r>
    </w:p>
    <w:p>
      <w:pPr>
        <w:tabs>
          <w:tab w:val="left" w:pos="180"/>
        </w:tabs>
        <w:spacing w:line="600" w:lineRule="exact"/>
        <w:ind w:firstLine="602"/>
        <w:rPr>
          <w:rFonts w:asciiTheme="minorEastAsia" w:hAnsiTheme="minorEastAsia" w:eastAsiaTheme="minorEastAsia"/>
          <w:snapToGrid w:val="0"/>
          <w:color w:val="auto"/>
          <w:sz w:val="26"/>
          <w:szCs w:val="26"/>
          <w:highlight w:val="none"/>
        </w:rPr>
      </w:pPr>
      <w:r>
        <w:rPr>
          <w:rFonts w:hint="eastAsia" w:asciiTheme="minorEastAsia" w:hAnsiTheme="minorEastAsia" w:eastAsiaTheme="minorEastAsia"/>
          <w:color w:val="auto"/>
          <w:spacing w:val="-2"/>
          <w:sz w:val="26"/>
          <w:szCs w:val="26"/>
          <w:highlight w:val="none"/>
          <w:lang w:val="en-US" w:eastAsia="zh-CN"/>
        </w:rPr>
        <w:t>3</w:t>
      </w:r>
      <w:r>
        <w:rPr>
          <w:rFonts w:hint="eastAsia" w:asciiTheme="minorEastAsia" w:hAnsiTheme="minorEastAsia" w:eastAsiaTheme="minorEastAsia"/>
          <w:color w:val="auto"/>
          <w:spacing w:val="-2"/>
          <w:sz w:val="26"/>
          <w:szCs w:val="26"/>
          <w:highlight w:val="none"/>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Pr>
          <w:rFonts w:hint="eastAsia" w:asciiTheme="minorEastAsia" w:hAnsiTheme="minorEastAsia" w:eastAsiaTheme="minorEastAsia"/>
          <w:snapToGrid w:val="0"/>
          <w:color w:val="auto"/>
          <w:sz w:val="26"/>
          <w:szCs w:val="26"/>
          <w:highlight w:val="none"/>
        </w:rPr>
        <w:t>。</w:t>
      </w:r>
    </w:p>
    <w:p>
      <w:pPr>
        <w:tabs>
          <w:tab w:val="left" w:pos="180"/>
        </w:tabs>
        <w:spacing w:line="600" w:lineRule="exact"/>
        <w:ind w:firstLine="602"/>
        <w:rPr>
          <w:rFonts w:hint="eastAsia" w:asciiTheme="minorEastAsia" w:hAnsiTheme="minorEastAsia" w:eastAsiaTheme="minorEastAsia"/>
          <w:color w:val="auto"/>
          <w:spacing w:val="-2"/>
          <w:sz w:val="26"/>
          <w:szCs w:val="26"/>
          <w:highlight w:val="none"/>
          <w:lang w:val="en-US" w:eastAsia="zh-CN"/>
        </w:rPr>
      </w:pPr>
      <w:r>
        <w:rPr>
          <w:rFonts w:hint="eastAsia" w:asciiTheme="minorEastAsia" w:hAnsiTheme="minorEastAsia" w:eastAsiaTheme="minorEastAsia"/>
          <w:color w:val="auto"/>
          <w:spacing w:val="-2"/>
          <w:sz w:val="26"/>
          <w:szCs w:val="26"/>
          <w:highlight w:val="none"/>
          <w:lang w:val="en-US" w:eastAsia="zh-CN"/>
        </w:rPr>
        <w:t>4、本次评估，我公司估价人员与</w:t>
      </w:r>
      <w:r>
        <w:rPr>
          <w:rFonts w:hint="eastAsia" w:ascii="宋体" w:hAnsi="宋体"/>
          <w:color w:val="auto"/>
          <w:sz w:val="26"/>
          <w:szCs w:val="26"/>
          <w:highlight w:val="none"/>
          <w:lang w:eastAsia="zh-CN"/>
        </w:rPr>
        <w:t>估价委托人、当事人</w:t>
      </w:r>
      <w:r>
        <w:rPr>
          <w:rFonts w:hint="eastAsia" w:asciiTheme="minorEastAsia" w:hAnsiTheme="minorEastAsia" w:eastAsiaTheme="minorEastAsia"/>
          <w:color w:val="auto"/>
          <w:spacing w:val="-2"/>
          <w:sz w:val="26"/>
          <w:szCs w:val="26"/>
          <w:highlight w:val="none"/>
          <w:lang w:val="en-US" w:eastAsia="zh-CN"/>
        </w:rPr>
        <w:t>一起对估价对象进行了实地查勘，我公司估价人员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pPr>
        <w:tabs>
          <w:tab w:val="left" w:pos="180"/>
        </w:tabs>
        <w:spacing w:line="600" w:lineRule="exact"/>
        <w:ind w:firstLine="602"/>
        <w:rPr>
          <w:rFonts w:asciiTheme="minorEastAsia" w:hAnsiTheme="minorEastAsia" w:eastAsiaTheme="minorEastAsia"/>
          <w:color w:val="auto"/>
          <w:spacing w:val="-2"/>
          <w:sz w:val="26"/>
          <w:szCs w:val="26"/>
          <w:highlight w:val="none"/>
        </w:rPr>
      </w:pPr>
      <w:r>
        <w:rPr>
          <w:rFonts w:hint="eastAsia" w:asciiTheme="minorEastAsia" w:hAnsiTheme="minorEastAsia" w:eastAsiaTheme="minorEastAsia"/>
          <w:color w:val="auto"/>
          <w:spacing w:val="-2"/>
          <w:sz w:val="26"/>
          <w:szCs w:val="26"/>
          <w:highlight w:val="none"/>
          <w:lang w:val="en-US" w:eastAsia="zh-CN"/>
        </w:rPr>
        <w:t>5</w:t>
      </w:r>
      <w:r>
        <w:rPr>
          <w:rFonts w:hint="eastAsia" w:asciiTheme="minorEastAsia" w:hAnsiTheme="minorEastAsia" w:eastAsiaTheme="minorEastAsia"/>
          <w:color w:val="auto"/>
          <w:spacing w:val="-2"/>
          <w:sz w:val="26"/>
          <w:szCs w:val="26"/>
          <w:highlight w:val="none"/>
        </w:rPr>
        <w:t>、</w:t>
      </w:r>
      <w:r>
        <w:rPr>
          <w:rFonts w:hint="eastAsia" w:asciiTheme="minorEastAsia" w:hAnsiTheme="minorEastAsia" w:eastAsiaTheme="minorEastAsia"/>
          <w:color w:val="auto"/>
          <w:sz w:val="26"/>
          <w:highlight w:val="none"/>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Pr>
          <w:rFonts w:hint="eastAsia" w:asciiTheme="minorEastAsia" w:hAnsiTheme="minorEastAsia" w:eastAsiaTheme="minorEastAsia"/>
          <w:color w:val="auto"/>
          <w:spacing w:val="-2"/>
          <w:sz w:val="26"/>
          <w:szCs w:val="26"/>
          <w:highlight w:val="none"/>
        </w:rPr>
        <w:t>。</w:t>
      </w:r>
    </w:p>
    <w:p>
      <w:pPr>
        <w:tabs>
          <w:tab w:val="left" w:pos="180"/>
        </w:tabs>
        <w:spacing w:line="600" w:lineRule="exact"/>
        <w:ind w:firstLine="601"/>
        <w:rPr>
          <w:rFonts w:hint="default" w:asciiTheme="minorEastAsia" w:hAnsiTheme="minorEastAsia" w:eastAsiaTheme="minorEastAsia"/>
          <w:color w:val="auto"/>
          <w:sz w:val="26"/>
          <w:szCs w:val="26"/>
          <w:highlight w:val="none"/>
          <w:lang w:val="en-US" w:eastAsia="zh-CN"/>
        </w:rPr>
      </w:pPr>
      <w:r>
        <w:rPr>
          <w:rFonts w:hint="eastAsia" w:asciiTheme="minorEastAsia" w:hAnsiTheme="minorEastAsia" w:eastAsiaTheme="minorEastAsia"/>
          <w:color w:val="auto"/>
          <w:sz w:val="26"/>
          <w:szCs w:val="26"/>
          <w:highlight w:val="none"/>
          <w:lang w:val="en-US" w:eastAsia="zh-CN"/>
        </w:rPr>
        <w:t>6、根据估价委托人提供的《平面图》，结合估价人员现场查看，估价对象6-10、11-17未按原住宅设计户型布局，目前与相邻物业整体打通重新分割后用作办公用房，各套间无明显分界线，提请报告使用人关注。</w:t>
      </w:r>
    </w:p>
    <w:p>
      <w:pPr>
        <w:tabs>
          <w:tab w:val="left" w:pos="180"/>
        </w:tabs>
        <w:spacing w:line="600" w:lineRule="exact"/>
        <w:ind w:firstLine="601"/>
        <w:rPr>
          <w:rFonts w:asciiTheme="minorEastAsia" w:hAnsiTheme="minorEastAsia" w:eastAsiaTheme="minorEastAsia"/>
          <w:color w:val="auto"/>
          <w:sz w:val="26"/>
          <w:highlight w:val="none"/>
        </w:rPr>
      </w:pPr>
      <w:r>
        <w:rPr>
          <w:rFonts w:hint="eastAsia" w:asciiTheme="minorEastAsia" w:hAnsiTheme="minorEastAsia" w:eastAsiaTheme="minorEastAsia"/>
          <w:color w:val="auto"/>
          <w:sz w:val="26"/>
          <w:szCs w:val="26"/>
          <w:highlight w:val="none"/>
          <w:lang w:val="en-US" w:eastAsia="zh-CN"/>
        </w:rPr>
        <w:t>7</w:t>
      </w:r>
      <w:r>
        <w:rPr>
          <w:rFonts w:hint="eastAsia" w:asciiTheme="minorEastAsia" w:hAnsiTheme="minorEastAsia" w:eastAsiaTheme="minorEastAsia"/>
          <w:color w:val="auto"/>
          <w:sz w:val="26"/>
          <w:szCs w:val="26"/>
          <w:highlight w:val="none"/>
        </w:rPr>
        <w:t>、报告使用者使用报告过程中如发现本报告内的文字、数字因校印或其他原因出现误差时，请通知本估价机构进行更正</w:t>
      </w:r>
      <w:r>
        <w:rPr>
          <w:rFonts w:hint="eastAsia" w:asciiTheme="minorEastAsia" w:hAnsiTheme="minorEastAsia" w:eastAsiaTheme="minorEastAsia"/>
          <w:color w:val="auto"/>
          <w:sz w:val="26"/>
          <w:highlight w:val="none"/>
        </w:rPr>
        <w:t>。</w:t>
      </w:r>
    </w:p>
    <w:p>
      <w:pPr>
        <w:tabs>
          <w:tab w:val="left" w:pos="180"/>
        </w:tabs>
        <w:spacing w:line="600" w:lineRule="exact"/>
        <w:ind w:firstLine="602"/>
        <w:rPr>
          <w:rFonts w:asciiTheme="minorEastAsia" w:hAnsiTheme="minorEastAsia" w:eastAsiaTheme="minorEastAsia"/>
          <w:color w:val="auto"/>
          <w:sz w:val="26"/>
          <w:szCs w:val="26"/>
          <w:highlight w:val="none"/>
        </w:rPr>
      </w:pPr>
      <w:r>
        <w:rPr>
          <w:rFonts w:hint="eastAsia" w:asciiTheme="minorEastAsia" w:hAnsiTheme="minorEastAsia" w:eastAsiaTheme="minorEastAsia"/>
          <w:color w:val="auto"/>
          <w:sz w:val="26"/>
          <w:szCs w:val="26"/>
          <w:highlight w:val="none"/>
          <w:lang w:val="en-US" w:eastAsia="zh-CN"/>
        </w:rPr>
        <w:t>8</w:t>
      </w:r>
      <w:r>
        <w:rPr>
          <w:rFonts w:hint="eastAsia" w:asciiTheme="minorEastAsia" w:hAnsiTheme="minorEastAsia" w:eastAsiaTheme="minorEastAsia"/>
          <w:color w:val="auto"/>
          <w:sz w:val="26"/>
          <w:szCs w:val="26"/>
          <w:highlight w:val="none"/>
        </w:rPr>
        <w:t>、本估价报告由四川大成房地产土地评估有限公司负责解释。</w:t>
      </w:r>
    </w:p>
    <w:p>
      <w:pPr>
        <w:tabs>
          <w:tab w:val="left" w:pos="180"/>
        </w:tabs>
        <w:spacing w:line="600" w:lineRule="exact"/>
        <w:jc w:val="center"/>
        <w:outlineLvl w:val="0"/>
        <w:rPr>
          <w:rFonts w:asciiTheme="minorEastAsia" w:hAnsiTheme="minorEastAsia" w:eastAsiaTheme="minorEastAsia"/>
          <w:color w:val="auto"/>
          <w:sz w:val="26"/>
          <w:highlight w:val="none"/>
        </w:rPr>
      </w:pPr>
      <w:bookmarkStart w:id="28" w:name="_Toc481509713"/>
      <w:bookmarkStart w:id="29" w:name="_Toc511861969"/>
      <w:bookmarkStart w:id="30" w:name="_Toc481509797"/>
      <w:r>
        <w:rPr>
          <w:rFonts w:cs="宋体-18030" w:asciiTheme="minorEastAsia" w:hAnsiTheme="minorEastAsia" w:eastAsiaTheme="minorEastAsia"/>
          <w:b/>
          <w:color w:val="auto"/>
          <w:sz w:val="36"/>
          <w:highlight w:val="none"/>
        </w:rPr>
        <w:br w:type="page"/>
      </w:r>
      <w:bookmarkStart w:id="31" w:name="_Toc86245485"/>
      <w:r>
        <w:rPr>
          <w:rFonts w:hint="eastAsia" w:cs="宋体-18030" w:asciiTheme="minorEastAsia" w:hAnsiTheme="minorEastAsia" w:eastAsiaTheme="minorEastAsia"/>
          <w:b/>
          <w:color w:val="auto"/>
          <w:sz w:val="36"/>
          <w:highlight w:val="none"/>
        </w:rPr>
        <w:t>估价结果报告</w:t>
      </w:r>
      <w:bookmarkEnd w:id="28"/>
      <w:bookmarkEnd w:id="29"/>
      <w:bookmarkEnd w:id="30"/>
      <w:bookmarkEnd w:id="31"/>
    </w:p>
    <w:p>
      <w:pPr>
        <w:tabs>
          <w:tab w:val="left" w:pos="180"/>
        </w:tabs>
        <w:spacing w:line="600" w:lineRule="exact"/>
        <w:ind w:firstLine="602"/>
        <w:rPr>
          <w:rFonts w:cs="宋体-18030" w:asciiTheme="minorEastAsia" w:hAnsiTheme="minorEastAsia" w:eastAsiaTheme="minorEastAsia"/>
          <w:b/>
          <w:color w:val="auto"/>
          <w:sz w:val="26"/>
          <w:highlight w:val="none"/>
        </w:rPr>
      </w:pPr>
      <w:bookmarkStart w:id="32" w:name="_Toc511861970"/>
      <w:bookmarkStart w:id="33" w:name="_Toc481509798"/>
      <w:bookmarkStart w:id="34" w:name="_Toc481509714"/>
    </w:p>
    <w:p>
      <w:pPr>
        <w:tabs>
          <w:tab w:val="left" w:pos="180"/>
        </w:tabs>
        <w:spacing w:line="600" w:lineRule="exact"/>
        <w:ind w:firstLine="522" w:firstLineChars="200"/>
        <w:outlineLvl w:val="1"/>
        <w:rPr>
          <w:rFonts w:cs="宋体-18030" w:asciiTheme="minorEastAsia" w:hAnsiTheme="minorEastAsia" w:eastAsiaTheme="minorEastAsia"/>
          <w:b/>
          <w:color w:val="auto"/>
          <w:sz w:val="26"/>
          <w:highlight w:val="none"/>
        </w:rPr>
      </w:pPr>
      <w:bookmarkStart w:id="35" w:name="_Toc86245486"/>
      <w:r>
        <w:rPr>
          <w:rFonts w:hint="eastAsia" w:cs="宋体-18030" w:asciiTheme="minorEastAsia" w:hAnsiTheme="minorEastAsia" w:eastAsiaTheme="minorEastAsia"/>
          <w:b/>
          <w:color w:val="auto"/>
          <w:sz w:val="26"/>
          <w:highlight w:val="none"/>
        </w:rPr>
        <w:t>一、估价委托人</w:t>
      </w:r>
      <w:bookmarkEnd w:id="32"/>
      <w:bookmarkEnd w:id="33"/>
      <w:bookmarkEnd w:id="34"/>
      <w:bookmarkEnd w:id="35"/>
    </w:p>
    <w:p>
      <w:pPr>
        <w:tabs>
          <w:tab w:val="left" w:pos="180"/>
        </w:tabs>
        <w:spacing w:line="600" w:lineRule="exact"/>
        <w:ind w:firstLine="616"/>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rPr>
        <w:t>单位名称：</w:t>
      </w:r>
      <w:r>
        <w:rPr>
          <w:rFonts w:hint="eastAsia" w:cs="宋体-18030" w:asciiTheme="minorEastAsia" w:hAnsiTheme="minorEastAsia" w:eastAsiaTheme="minorEastAsia"/>
          <w:color w:val="auto"/>
          <w:sz w:val="26"/>
          <w:szCs w:val="26"/>
          <w:highlight w:val="none"/>
          <w:lang w:eastAsia="zh-CN"/>
        </w:rPr>
        <w:t>四川省成都市中级人民法院</w:t>
      </w:r>
    </w:p>
    <w:p>
      <w:pPr>
        <w:tabs>
          <w:tab w:val="left" w:pos="180"/>
        </w:tabs>
        <w:spacing w:line="600" w:lineRule="exact"/>
        <w:ind w:firstLine="616"/>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rPr>
        <w:t>联 系 人：</w:t>
      </w:r>
      <w:r>
        <w:rPr>
          <w:rFonts w:hint="eastAsia" w:cs="宋体-18030" w:asciiTheme="minorEastAsia" w:hAnsiTheme="minorEastAsia" w:eastAsiaTheme="minorEastAsia"/>
          <w:color w:val="auto"/>
          <w:sz w:val="26"/>
          <w:szCs w:val="26"/>
          <w:highlight w:val="none"/>
          <w:lang w:eastAsia="zh-CN"/>
        </w:rPr>
        <w:t>侯钢</w:t>
      </w:r>
    </w:p>
    <w:p>
      <w:pPr>
        <w:tabs>
          <w:tab w:val="left" w:pos="180"/>
        </w:tabs>
        <w:spacing w:line="600" w:lineRule="exact"/>
        <w:ind w:firstLine="616"/>
        <w:rPr>
          <w:rFonts w:hint="default" w:eastAsia="宋体" w:cs="宋体-18030"/>
          <w:color w:val="auto"/>
          <w:sz w:val="26"/>
          <w:szCs w:val="26"/>
          <w:highlight w:val="none"/>
          <w:lang w:val="en-US" w:eastAsia="zh-CN"/>
        </w:rPr>
      </w:pPr>
      <w:bookmarkStart w:id="36" w:name="_Toc86245487"/>
      <w:bookmarkStart w:id="37" w:name="_Toc511861971"/>
      <w:bookmarkStart w:id="38" w:name="_Toc481509799"/>
      <w:bookmarkStart w:id="39" w:name="_Toc481509715"/>
      <w:r>
        <w:rPr>
          <w:rFonts w:hint="eastAsia" w:cs="宋体-18030"/>
          <w:color w:val="auto"/>
          <w:sz w:val="26"/>
          <w:szCs w:val="26"/>
          <w:highlight w:val="none"/>
        </w:rPr>
        <w:t>联系电话：</w:t>
      </w:r>
      <w:r>
        <w:rPr>
          <w:rFonts w:hint="eastAsia" w:cs="宋体-18030"/>
          <w:color w:val="auto"/>
          <w:sz w:val="26"/>
          <w:szCs w:val="26"/>
          <w:highlight w:val="none"/>
          <w:lang w:val="en-US" w:eastAsia="zh-CN"/>
        </w:rPr>
        <w:t>028-82915247</w:t>
      </w:r>
    </w:p>
    <w:p>
      <w:pPr>
        <w:tabs>
          <w:tab w:val="left" w:pos="180"/>
        </w:tabs>
        <w:spacing w:line="600" w:lineRule="exact"/>
        <w:ind w:firstLine="522" w:firstLineChars="200"/>
        <w:outlineLvl w:val="1"/>
        <w:rPr>
          <w:rFonts w:cs="宋体-18030" w:asciiTheme="minorEastAsia" w:hAnsiTheme="minorEastAsia" w:eastAsiaTheme="minorEastAsia"/>
          <w:b/>
          <w:color w:val="auto"/>
          <w:sz w:val="26"/>
          <w:highlight w:val="none"/>
        </w:rPr>
      </w:pPr>
      <w:r>
        <w:rPr>
          <w:rFonts w:hint="eastAsia" w:cs="宋体-18030" w:asciiTheme="minorEastAsia" w:hAnsiTheme="minorEastAsia" w:eastAsiaTheme="minorEastAsia"/>
          <w:b/>
          <w:color w:val="auto"/>
          <w:sz w:val="26"/>
          <w:highlight w:val="none"/>
        </w:rPr>
        <w:t>二、房地产估价机构</w:t>
      </w:r>
      <w:bookmarkEnd w:id="36"/>
      <w:bookmarkEnd w:id="37"/>
      <w:bookmarkEnd w:id="38"/>
      <w:bookmarkEnd w:id="39"/>
    </w:p>
    <w:p>
      <w:pPr>
        <w:adjustRightInd w:val="0"/>
        <w:snapToGrid w:val="0"/>
        <w:spacing w:line="600" w:lineRule="exact"/>
        <w:ind w:firstLine="520" w:firstLineChars="200"/>
        <w:rPr>
          <w:rFonts w:ascii="宋体" w:hAnsi="宋体"/>
          <w:color w:val="auto"/>
          <w:sz w:val="26"/>
          <w:szCs w:val="26"/>
          <w:highlight w:val="none"/>
        </w:rPr>
      </w:pPr>
      <w:bookmarkStart w:id="40" w:name="_Toc481509716"/>
      <w:bookmarkStart w:id="41" w:name="_Toc511861972"/>
      <w:bookmarkStart w:id="42" w:name="_Toc481509800"/>
      <w:r>
        <w:rPr>
          <w:rFonts w:hint="eastAsia" w:ascii="宋体" w:hAnsi="宋体"/>
          <w:color w:val="auto"/>
          <w:sz w:val="26"/>
          <w:szCs w:val="26"/>
          <w:highlight w:val="none"/>
        </w:rPr>
        <w:t>机构名称：四川大成房地产土地评估有限公司</w:t>
      </w:r>
    </w:p>
    <w:p>
      <w:pPr>
        <w:spacing w:line="600" w:lineRule="exact"/>
        <w:ind w:firstLine="520" w:firstLineChars="200"/>
        <w:rPr>
          <w:rFonts w:hint="eastAsia" w:ascii="宋体" w:hAnsi="宋体"/>
          <w:color w:val="auto"/>
          <w:sz w:val="26"/>
          <w:szCs w:val="26"/>
          <w:highlight w:val="none"/>
        </w:rPr>
      </w:pPr>
      <w:r>
        <w:rPr>
          <w:rFonts w:hint="eastAsia" w:ascii="宋体" w:hAnsi="宋体"/>
          <w:color w:val="auto"/>
          <w:sz w:val="26"/>
          <w:szCs w:val="26"/>
          <w:highlight w:val="none"/>
        </w:rPr>
        <w:t>办公地址：成都市高新区天府大道北段1700号环球中心W区7W4层</w:t>
      </w:r>
    </w:p>
    <w:p>
      <w:pPr>
        <w:spacing w:line="600" w:lineRule="exact"/>
        <w:ind w:firstLine="520" w:firstLineChars="200"/>
        <w:rPr>
          <w:rFonts w:hint="eastAsia" w:ascii="宋体" w:hAnsi="宋体"/>
          <w:color w:val="auto"/>
          <w:sz w:val="26"/>
          <w:szCs w:val="26"/>
          <w:highlight w:val="none"/>
        </w:rPr>
      </w:pPr>
      <w:r>
        <w:rPr>
          <w:rFonts w:hint="eastAsia" w:ascii="宋体" w:hAnsi="宋体"/>
          <w:color w:val="auto"/>
          <w:sz w:val="26"/>
          <w:szCs w:val="26"/>
          <w:highlight w:val="none"/>
        </w:rPr>
        <w:t>（原办公地址：成都市青羊区西华门街17号天府中心16F）</w:t>
      </w:r>
    </w:p>
    <w:p>
      <w:pPr>
        <w:adjustRightInd w:val="0"/>
        <w:snapToGrid w:val="0"/>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法定代表人：徐涛</w:t>
      </w:r>
    </w:p>
    <w:p>
      <w:pPr>
        <w:adjustRightInd w:val="0"/>
        <w:snapToGrid w:val="0"/>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备 案 等 级：壹级</w:t>
      </w:r>
    </w:p>
    <w:p>
      <w:pPr>
        <w:adjustRightInd w:val="0"/>
        <w:snapToGrid w:val="0"/>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备案证书编号：川建房估备字[2019]0235号</w:t>
      </w:r>
    </w:p>
    <w:p>
      <w:pPr>
        <w:tabs>
          <w:tab w:val="left" w:pos="180"/>
        </w:tabs>
        <w:spacing w:line="600" w:lineRule="exact"/>
        <w:ind w:firstLine="520" w:firstLineChars="200"/>
        <w:rPr>
          <w:rFonts w:hint="eastAsia" w:eastAsia="宋体" w:cs="宋体-18030" w:asciiTheme="minorEastAsia" w:hAnsiTheme="minorEastAsia"/>
          <w:color w:val="auto"/>
          <w:sz w:val="26"/>
          <w:szCs w:val="26"/>
          <w:highlight w:val="none"/>
          <w:lang w:eastAsia="zh-CN"/>
        </w:rPr>
      </w:pPr>
      <w:r>
        <w:rPr>
          <w:rFonts w:hint="eastAsia" w:ascii="宋体" w:hAnsi="宋体"/>
          <w:color w:val="auto"/>
          <w:sz w:val="26"/>
          <w:szCs w:val="26"/>
          <w:highlight w:val="none"/>
        </w:rPr>
        <w:t>备案证书有效期：2022年09月14日至2025年09月14</w:t>
      </w:r>
      <w:r>
        <w:rPr>
          <w:rFonts w:hint="eastAsia"/>
          <w:color w:val="auto"/>
          <w:sz w:val="26"/>
          <w:szCs w:val="26"/>
          <w:highlight w:val="none"/>
          <w:lang w:eastAsia="zh-CN"/>
        </w:rPr>
        <w:t>日</w:t>
      </w:r>
    </w:p>
    <w:p>
      <w:pPr>
        <w:spacing w:line="600" w:lineRule="exact"/>
        <w:ind w:firstLine="522" w:firstLineChars="200"/>
        <w:outlineLvl w:val="1"/>
        <w:rPr>
          <w:rFonts w:asciiTheme="minorEastAsia" w:hAnsiTheme="minorEastAsia" w:eastAsiaTheme="minorEastAsia"/>
          <w:b/>
          <w:color w:val="auto"/>
          <w:sz w:val="26"/>
          <w:highlight w:val="none"/>
        </w:rPr>
      </w:pPr>
      <w:bookmarkStart w:id="43" w:name="_Toc86245488"/>
      <w:r>
        <w:rPr>
          <w:rFonts w:hint="eastAsia" w:cs="宋体-18030" w:asciiTheme="minorEastAsia" w:hAnsiTheme="minorEastAsia" w:eastAsiaTheme="minorEastAsia"/>
          <w:b/>
          <w:color w:val="auto"/>
          <w:sz w:val="26"/>
          <w:highlight w:val="none"/>
        </w:rPr>
        <w:t>三、</w:t>
      </w:r>
      <w:r>
        <w:rPr>
          <w:rFonts w:hint="eastAsia" w:asciiTheme="minorEastAsia" w:hAnsiTheme="minorEastAsia" w:eastAsiaTheme="minorEastAsia"/>
          <w:b/>
          <w:color w:val="auto"/>
          <w:sz w:val="26"/>
          <w:highlight w:val="none"/>
        </w:rPr>
        <w:t>估价目的</w:t>
      </w:r>
      <w:bookmarkEnd w:id="40"/>
      <w:bookmarkEnd w:id="41"/>
      <w:bookmarkEnd w:id="42"/>
      <w:bookmarkEnd w:id="43"/>
    </w:p>
    <w:p>
      <w:pPr>
        <w:tabs>
          <w:tab w:val="left" w:pos="180"/>
        </w:tabs>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bCs/>
          <w:color w:val="auto"/>
          <w:sz w:val="26"/>
          <w:szCs w:val="26"/>
          <w:highlight w:val="none"/>
        </w:rPr>
        <w:t>为</w:t>
      </w:r>
      <w:r>
        <w:rPr>
          <w:rFonts w:hint="eastAsia" w:cs="宋体-18030" w:asciiTheme="minorEastAsia" w:hAnsiTheme="minorEastAsia" w:eastAsiaTheme="minorEastAsia"/>
          <w:bCs/>
          <w:color w:val="auto"/>
          <w:sz w:val="26"/>
          <w:szCs w:val="26"/>
          <w:highlight w:val="none"/>
          <w:lang w:eastAsia="zh-CN"/>
        </w:rPr>
        <w:t>四川省成都市中级人民法院</w:t>
      </w:r>
      <w:r>
        <w:rPr>
          <w:rFonts w:hint="eastAsia" w:cs="宋体-18030" w:asciiTheme="minorEastAsia" w:hAnsiTheme="minorEastAsia" w:eastAsiaTheme="minorEastAsia"/>
          <w:bCs/>
          <w:color w:val="auto"/>
          <w:sz w:val="26"/>
          <w:szCs w:val="26"/>
          <w:highlight w:val="none"/>
        </w:rPr>
        <w:t>执行</w:t>
      </w:r>
      <w:r>
        <w:rPr>
          <w:rFonts w:hint="eastAsia" w:cs="宋体-18030" w:asciiTheme="minorEastAsia" w:hAnsiTheme="minorEastAsia" w:eastAsiaTheme="minorEastAsia"/>
          <w:bCs/>
          <w:color w:val="auto"/>
          <w:sz w:val="26"/>
          <w:szCs w:val="26"/>
          <w:highlight w:val="none"/>
          <w:lang w:eastAsia="zh-CN"/>
        </w:rPr>
        <w:t>成都中合利方企业管理中心（有限合伙）与四川众志房地产开发有限公司、资阳市中瑞房地产开发有限公司、资阳市雁江区建达房地产开发有限公司、成都市腾启房地产开发有限公司借款合同纠纷一案</w:t>
      </w:r>
      <w:r>
        <w:rPr>
          <w:rFonts w:hint="eastAsia" w:cs="宋体-18030" w:asciiTheme="minorEastAsia" w:hAnsiTheme="minorEastAsia" w:eastAsiaTheme="minorEastAsia"/>
          <w:bCs/>
          <w:color w:val="auto"/>
          <w:sz w:val="26"/>
          <w:szCs w:val="26"/>
          <w:highlight w:val="none"/>
        </w:rPr>
        <w:t>时确定估价对象处置参考价提供参考依据而评估房地产市场价值。</w:t>
      </w:r>
    </w:p>
    <w:p>
      <w:pPr>
        <w:spacing w:line="600" w:lineRule="exact"/>
        <w:ind w:firstLine="522" w:firstLineChars="200"/>
        <w:outlineLvl w:val="1"/>
        <w:rPr>
          <w:rFonts w:asciiTheme="minorEastAsia" w:hAnsiTheme="minorEastAsia" w:eastAsiaTheme="minorEastAsia"/>
          <w:b/>
          <w:color w:val="auto"/>
          <w:sz w:val="26"/>
          <w:highlight w:val="none"/>
        </w:rPr>
      </w:pPr>
      <w:bookmarkStart w:id="44" w:name="_Toc481509801"/>
      <w:bookmarkStart w:id="45" w:name="_Toc511861973"/>
      <w:bookmarkStart w:id="46" w:name="_Toc481509717"/>
      <w:bookmarkStart w:id="47" w:name="_Toc86245489"/>
      <w:r>
        <w:rPr>
          <w:rFonts w:hint="eastAsia" w:asciiTheme="minorEastAsia" w:hAnsiTheme="minorEastAsia" w:eastAsiaTheme="minorEastAsia"/>
          <w:b/>
          <w:color w:val="auto"/>
          <w:sz w:val="26"/>
          <w:highlight w:val="none"/>
        </w:rPr>
        <w:t>四、估价对象</w:t>
      </w:r>
      <w:bookmarkEnd w:id="44"/>
      <w:bookmarkEnd w:id="45"/>
      <w:bookmarkEnd w:id="46"/>
      <w:bookmarkEnd w:id="47"/>
    </w:p>
    <w:p>
      <w:pPr>
        <w:tabs>
          <w:tab w:val="left" w:pos="180"/>
        </w:tabs>
        <w:spacing w:line="60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（一）估价对象权益状况</w:t>
      </w:r>
    </w:p>
    <w:p>
      <w:pPr>
        <w:tabs>
          <w:tab w:val="left" w:pos="180"/>
        </w:tabs>
        <w:spacing w:line="600" w:lineRule="exact"/>
        <w:ind w:firstLine="520" w:firstLineChars="200"/>
        <w:rPr>
          <w:rFonts w:cs="宋体-18030" w:asciiTheme="minorEastAsia" w:hAnsiTheme="minorEastAsia" w:eastAsiaTheme="minorEastAsia"/>
          <w:color w:val="auto"/>
          <w:sz w:val="26"/>
          <w:szCs w:val="26"/>
          <w:highlight w:val="none"/>
        </w:rPr>
      </w:pPr>
      <w:r>
        <w:rPr>
          <w:rFonts w:cs="宋体-18030" w:asciiTheme="minorEastAsia" w:hAnsiTheme="minorEastAsia" w:eastAsiaTheme="minorEastAsia"/>
          <w:color w:val="auto"/>
          <w:sz w:val="26"/>
          <w:szCs w:val="26"/>
          <w:highlight w:val="none"/>
        </w:rPr>
        <w:t>1</w:t>
      </w:r>
      <w:r>
        <w:rPr>
          <w:rFonts w:hint="eastAsia" w:cs="宋体-18030" w:asciiTheme="minorEastAsia" w:hAnsiTheme="minorEastAsia" w:eastAsiaTheme="minorEastAsia"/>
          <w:color w:val="auto"/>
          <w:sz w:val="26"/>
          <w:szCs w:val="26"/>
          <w:highlight w:val="none"/>
        </w:rPr>
        <w:t>、估价对象范围及产权登记状况</w:t>
      </w:r>
    </w:p>
    <w:p>
      <w:pPr>
        <w:tabs>
          <w:tab w:val="left" w:pos="180"/>
        </w:tabs>
        <w:spacing w:line="60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本报告估价对象为</w:t>
      </w:r>
      <w:r>
        <w:rPr>
          <w:rFonts w:hint="eastAsia" w:cs="宋体-18030" w:asciiTheme="minorEastAsia" w:hAnsiTheme="minorEastAsia" w:eastAsiaTheme="minorEastAsia"/>
          <w:bCs/>
          <w:color w:val="auto"/>
          <w:sz w:val="26"/>
          <w:szCs w:val="26"/>
          <w:highlight w:val="none"/>
        </w:rPr>
        <w:t>位于</w:t>
      </w:r>
      <w:r>
        <w:rPr>
          <w:rFonts w:hint="eastAsia" w:cs="宋体-18030" w:asciiTheme="minorEastAsia" w:hAnsiTheme="minorEastAsia" w:eastAsiaTheme="minorEastAsia"/>
          <w:bCs/>
          <w:color w:val="auto"/>
          <w:sz w:val="26"/>
          <w:szCs w:val="26"/>
          <w:highlight w:val="none"/>
          <w:lang w:val="en-US" w:eastAsia="zh-CN"/>
        </w:rPr>
        <w:t>眉山市</w:t>
      </w:r>
      <w:r>
        <w:rPr>
          <w:rFonts w:hint="eastAsia" w:cs="宋体-18030" w:asciiTheme="minorEastAsia" w:hAnsiTheme="minorEastAsia" w:eastAsiaTheme="minorEastAsia"/>
          <w:bCs/>
          <w:color w:val="auto"/>
          <w:sz w:val="26"/>
          <w:szCs w:val="26"/>
          <w:highlight w:val="none"/>
          <w:lang w:eastAsia="zh-CN"/>
        </w:rPr>
        <w:t>仁寿县文林镇仁寿大道二段189号（怀仁街道仁寿大道二段431号）“中铁·仁禾广场”1、2、7、8、12栋共计17套</w:t>
      </w:r>
      <w:r>
        <w:rPr>
          <w:rFonts w:hint="eastAsia" w:cs="宋体-18030" w:asciiTheme="minorEastAsia" w:hAnsiTheme="minorEastAsia" w:eastAsiaTheme="minorEastAsia"/>
          <w:bCs/>
          <w:color w:val="auto"/>
          <w:sz w:val="26"/>
          <w:szCs w:val="26"/>
          <w:highlight w:val="none"/>
        </w:rPr>
        <w:t>的住宅用途房地产（</w:t>
      </w:r>
      <w:r>
        <w:rPr>
          <w:rFonts w:hint="eastAsia" w:cs="宋体-18030" w:asciiTheme="minorEastAsia" w:hAnsiTheme="minorEastAsia" w:eastAsiaTheme="minorEastAsia"/>
          <w:bCs/>
          <w:color w:val="auto"/>
          <w:sz w:val="26"/>
          <w:szCs w:val="26"/>
          <w:highlight w:val="none"/>
          <w:lang w:eastAsia="zh-CN"/>
        </w:rPr>
        <w:t>含建筑物、附着在建筑物上与其功能相匹配且不可移动的装饰装修、设施设备及分摊的土地使用权</w:t>
      </w:r>
      <w:r>
        <w:rPr>
          <w:rFonts w:hint="eastAsia"/>
          <w:color w:val="auto"/>
          <w:sz w:val="26"/>
          <w:szCs w:val="26"/>
          <w:highlight w:val="none"/>
        </w:rPr>
        <w:t>）</w:t>
      </w:r>
      <w:r>
        <w:rPr>
          <w:rFonts w:hint="eastAsia" w:cs="宋体-18030" w:asciiTheme="minorEastAsia" w:hAnsiTheme="minorEastAsia" w:eastAsiaTheme="minorEastAsia"/>
          <w:bCs/>
          <w:color w:val="auto"/>
          <w:sz w:val="26"/>
          <w:szCs w:val="26"/>
          <w:highlight w:val="none"/>
        </w:rPr>
        <w:t>，</w:t>
      </w:r>
      <w:r>
        <w:rPr>
          <w:rFonts w:hint="eastAsia" w:cs="宋体-18030" w:asciiTheme="minorEastAsia" w:hAnsiTheme="minorEastAsia" w:eastAsiaTheme="minorEastAsia"/>
          <w:bCs/>
          <w:color w:val="auto"/>
          <w:sz w:val="26"/>
          <w:szCs w:val="26"/>
          <w:highlight w:val="none"/>
          <w:lang w:eastAsia="zh-CN"/>
        </w:rPr>
        <w:t>其中建筑面积合计1246.15平方米</w:t>
      </w:r>
      <w:r>
        <w:rPr>
          <w:rFonts w:hint="eastAsia" w:cs="宋体-18030" w:asciiTheme="minorEastAsia" w:hAnsiTheme="minorEastAsia" w:eastAsiaTheme="minorEastAsia"/>
          <w:bCs/>
          <w:color w:val="auto"/>
          <w:sz w:val="26"/>
          <w:szCs w:val="26"/>
          <w:highlight w:val="none"/>
        </w:rPr>
        <w:t>，</w:t>
      </w:r>
      <w:r>
        <w:rPr>
          <w:rFonts w:hint="eastAsia" w:cs="宋体-18030"/>
          <w:color w:val="auto"/>
          <w:sz w:val="26"/>
          <w:szCs w:val="26"/>
          <w:highlight w:val="none"/>
        </w:rPr>
        <w:t>据估价委托人提供的资料，结合估价人员调查，估价对象权利登记状况详见下表</w:t>
      </w:r>
      <w:r>
        <w:rPr>
          <w:rFonts w:hint="eastAsia" w:cs="宋体-18030" w:asciiTheme="minorEastAsia" w:hAnsiTheme="minorEastAsia" w:eastAsiaTheme="minorEastAsia"/>
          <w:color w:val="auto"/>
          <w:sz w:val="26"/>
          <w:szCs w:val="26"/>
          <w:highlight w:val="none"/>
        </w:rPr>
        <w:t>：</w:t>
      </w:r>
    </w:p>
    <w:p>
      <w:pPr>
        <w:spacing w:line="600" w:lineRule="exact"/>
        <w:ind w:firstLine="520" w:firstLineChars="200"/>
        <w:rPr>
          <w:rFonts w:cs="宋体-18030"/>
          <w:color w:val="auto"/>
          <w:sz w:val="26"/>
          <w:highlight w:val="none"/>
        </w:rPr>
      </w:pPr>
      <w:r>
        <w:rPr>
          <w:rFonts w:hint="eastAsia" w:cs="宋体-18030"/>
          <w:color w:val="auto"/>
          <w:sz w:val="26"/>
          <w:highlight w:val="none"/>
        </w:rPr>
        <w:t>表</w:t>
      </w:r>
      <w:r>
        <w:rPr>
          <w:rFonts w:cs="宋体-18030"/>
          <w:color w:val="auto"/>
          <w:sz w:val="26"/>
          <w:highlight w:val="none"/>
        </w:rPr>
        <w:t>2</w:t>
      </w:r>
      <w:r>
        <w:rPr>
          <w:rFonts w:hint="eastAsia" w:cs="宋体-18030"/>
          <w:color w:val="auto"/>
          <w:sz w:val="26"/>
          <w:highlight w:val="none"/>
          <w:lang w:val="en-US" w:eastAsia="zh-CN"/>
        </w:rPr>
        <w:t>-1</w:t>
      </w:r>
      <w:r>
        <w:rPr>
          <w:rFonts w:cs="宋体-18030"/>
          <w:color w:val="auto"/>
          <w:sz w:val="26"/>
          <w:highlight w:val="none"/>
        </w:rPr>
        <w:t xml:space="preserve">          </w:t>
      </w:r>
      <w:r>
        <w:rPr>
          <w:rFonts w:hint="eastAsia" w:cs="宋体-18030"/>
          <w:color w:val="auto"/>
          <w:sz w:val="26"/>
          <w:highlight w:val="none"/>
          <w:lang w:val="en-US" w:eastAsia="zh-CN"/>
        </w:rPr>
        <w:t xml:space="preserve">      </w:t>
      </w:r>
      <w:r>
        <w:rPr>
          <w:rFonts w:hint="eastAsia" w:cs="宋体-18030"/>
          <w:color w:val="auto"/>
          <w:sz w:val="26"/>
          <w:highlight w:val="none"/>
        </w:rPr>
        <w:t>估价对象</w:t>
      </w:r>
      <w:r>
        <w:rPr>
          <w:rFonts w:hint="eastAsia" w:cs="宋体-18030"/>
          <w:color w:val="auto"/>
          <w:sz w:val="26"/>
          <w:highlight w:val="none"/>
          <w:lang w:eastAsia="zh-CN"/>
        </w:rPr>
        <w:t>产权登记信息</w:t>
      </w:r>
      <w:r>
        <w:rPr>
          <w:rFonts w:hint="eastAsia" w:cs="宋体-18030"/>
          <w:color w:val="auto"/>
          <w:sz w:val="26"/>
          <w:highlight w:val="none"/>
        </w:rPr>
        <w:t>一览表</w:t>
      </w:r>
    </w:p>
    <w:tbl>
      <w:tblPr>
        <w:tblStyle w:val="46"/>
        <w:tblW w:w="499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
        <w:gridCol w:w="1486"/>
        <w:gridCol w:w="763"/>
        <w:gridCol w:w="887"/>
        <w:gridCol w:w="900"/>
        <w:gridCol w:w="1023"/>
        <w:gridCol w:w="859"/>
        <w:gridCol w:w="545"/>
        <w:gridCol w:w="573"/>
        <w:gridCol w:w="476"/>
        <w:gridCol w:w="410"/>
        <w:gridCol w:w="637"/>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序号</w:t>
            </w:r>
          </w:p>
        </w:tc>
        <w:tc>
          <w:tcPr>
            <w:tcW w:w="75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权证号</w:t>
            </w:r>
          </w:p>
        </w:tc>
        <w:tc>
          <w:tcPr>
            <w:tcW w:w="38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heme="minorEastAsia" w:hAnsiTheme="minorEastAsia" w:eastAsiaTheme="minorEastAsia" w:cstheme="minorEastAsia"/>
                <w:b w:val="0"/>
                <w:bCs w:val="0"/>
                <w:i w:val="0"/>
                <w:iCs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不动产类型</w:t>
            </w:r>
          </w:p>
        </w:tc>
        <w:tc>
          <w:tcPr>
            <w:tcW w:w="45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权利人</w:t>
            </w:r>
          </w:p>
        </w:tc>
        <w:tc>
          <w:tcPr>
            <w:tcW w:w="4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lang w:eastAsia="zh-CN"/>
              </w:rPr>
            </w:pPr>
            <w:r>
              <w:rPr>
                <w:rFonts w:hint="eastAsia" w:asciiTheme="minorEastAsia" w:hAnsiTheme="minorEastAsia" w:eastAsiaTheme="minorEastAsia" w:cstheme="minorEastAsia"/>
                <w:b w:val="0"/>
                <w:bCs w:val="0"/>
                <w:i w:val="0"/>
                <w:iCs w:val="0"/>
                <w:color w:val="auto"/>
                <w:sz w:val="18"/>
                <w:szCs w:val="18"/>
                <w:highlight w:val="none"/>
                <w:u w:val="none"/>
                <w:lang w:eastAsia="zh-CN"/>
              </w:rPr>
              <w:t>证件号</w:t>
            </w:r>
          </w:p>
        </w:tc>
        <w:tc>
          <w:tcPr>
            <w:tcW w:w="51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lang w:eastAsia="zh-CN"/>
              </w:rPr>
            </w:pPr>
            <w:r>
              <w:rPr>
                <w:rFonts w:hint="eastAsia" w:asciiTheme="minorEastAsia" w:hAnsiTheme="minorEastAsia" w:eastAsiaTheme="minorEastAsia" w:cstheme="minorEastAsia"/>
                <w:b w:val="0"/>
                <w:bCs w:val="0"/>
                <w:i w:val="0"/>
                <w:iCs w:val="0"/>
                <w:color w:val="auto"/>
                <w:sz w:val="18"/>
                <w:szCs w:val="18"/>
                <w:highlight w:val="none"/>
                <w:u w:val="none"/>
                <w:lang w:eastAsia="zh-CN"/>
              </w:rPr>
              <w:t>街道号</w:t>
            </w:r>
          </w:p>
        </w:tc>
        <w:tc>
          <w:tcPr>
            <w:tcW w:w="4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项目名称</w:t>
            </w:r>
          </w:p>
        </w:tc>
        <w:tc>
          <w:tcPr>
            <w:tcW w:w="27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幢号</w:t>
            </w:r>
          </w:p>
        </w:tc>
        <w:tc>
          <w:tcPr>
            <w:tcW w:w="29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单元号</w:t>
            </w:r>
          </w:p>
        </w:tc>
        <w:tc>
          <w:tcPr>
            <w:tcW w:w="24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楼层</w:t>
            </w:r>
          </w:p>
        </w:tc>
        <w:tc>
          <w:tcPr>
            <w:tcW w:w="2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房号</w:t>
            </w:r>
          </w:p>
        </w:tc>
        <w:tc>
          <w:tcPr>
            <w:tcW w:w="32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规划用途</w:t>
            </w:r>
          </w:p>
        </w:tc>
        <w:tc>
          <w:tcPr>
            <w:tcW w:w="38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75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川（2017）仁寿县不动产权第0002417号</w:t>
            </w:r>
          </w:p>
        </w:tc>
        <w:tc>
          <w:tcPr>
            <w:tcW w:w="387"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房屋</w:t>
            </w:r>
          </w:p>
        </w:tc>
        <w:tc>
          <w:tcPr>
            <w:tcW w:w="450"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四川众志房地产开发有限公司</w:t>
            </w:r>
          </w:p>
        </w:tc>
        <w:tc>
          <w:tcPr>
            <w:tcW w:w="457"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heme="minorEastAsia" w:hAnsiTheme="minorEastAsia" w:eastAsiaTheme="minorEastAsia" w:cstheme="minorEastAsia"/>
                <w:b w:val="0"/>
                <w:bCs w:val="0"/>
                <w:i w:val="0"/>
                <w:iCs w:val="0"/>
                <w:color w:val="auto"/>
                <w:kern w:val="0"/>
                <w:sz w:val="18"/>
                <w:szCs w:val="18"/>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91511421599955814P</w:t>
            </w:r>
          </w:p>
        </w:tc>
        <w:tc>
          <w:tcPr>
            <w:tcW w:w="519"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文林镇仁寿大道二段189号</w:t>
            </w:r>
          </w:p>
        </w:tc>
        <w:tc>
          <w:tcPr>
            <w:tcW w:w="436"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中铁·仁禾广场</w:t>
            </w: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75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川（2017）仁寿县不动产权第0002416号</w:t>
            </w: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w:t>
            </w:r>
          </w:p>
        </w:tc>
        <w:tc>
          <w:tcPr>
            <w:tcW w:w="75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监证0221187</w:t>
            </w: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pPr>
          </w:p>
        </w:tc>
        <w:tc>
          <w:tcPr>
            <w:tcW w:w="519"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怀仁街道仁寿大道二段431号</w:t>
            </w: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75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监证0223207</w:t>
            </w: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10</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13</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14</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15</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16</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17</w:t>
            </w:r>
          </w:p>
        </w:tc>
        <w:tc>
          <w:tcPr>
            <w:tcW w:w="75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87" w:type="pct"/>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0"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57" w:type="pct"/>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519"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36"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7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38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r>
    </w:tbl>
    <w:p>
      <w:pPr>
        <w:spacing w:line="600" w:lineRule="exact"/>
        <w:ind w:firstLine="520" w:firstLineChars="200"/>
        <w:rPr>
          <w:rFonts w:hint="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根据估价委托人提供的《土地登记审批表》，估价对象所在土地登记情况详见下表：</w:t>
      </w:r>
    </w:p>
    <w:p>
      <w:pPr>
        <w:spacing w:line="600" w:lineRule="exact"/>
        <w:ind w:firstLine="520" w:firstLineChars="200"/>
        <w:rPr>
          <w:rFonts w:cs="宋体-18030"/>
          <w:color w:val="auto"/>
          <w:sz w:val="26"/>
          <w:highlight w:val="none"/>
        </w:rPr>
      </w:pPr>
      <w:r>
        <w:rPr>
          <w:rFonts w:hint="eastAsia" w:cs="宋体-18030"/>
          <w:color w:val="auto"/>
          <w:sz w:val="26"/>
          <w:highlight w:val="none"/>
        </w:rPr>
        <w:t>表</w:t>
      </w:r>
      <w:r>
        <w:rPr>
          <w:rFonts w:cs="宋体-18030"/>
          <w:color w:val="auto"/>
          <w:sz w:val="26"/>
          <w:highlight w:val="none"/>
        </w:rPr>
        <w:t>2</w:t>
      </w:r>
      <w:r>
        <w:rPr>
          <w:rFonts w:hint="eastAsia" w:cs="宋体-18030"/>
          <w:color w:val="auto"/>
          <w:sz w:val="26"/>
          <w:highlight w:val="none"/>
          <w:lang w:val="en-US" w:eastAsia="zh-CN"/>
        </w:rPr>
        <w:t>-2</w:t>
      </w:r>
      <w:r>
        <w:rPr>
          <w:rFonts w:cs="宋体-18030"/>
          <w:color w:val="auto"/>
          <w:sz w:val="26"/>
          <w:highlight w:val="none"/>
        </w:rPr>
        <w:t xml:space="preserve">          </w:t>
      </w:r>
      <w:r>
        <w:rPr>
          <w:rFonts w:hint="eastAsia" w:cs="宋体-18030"/>
          <w:color w:val="auto"/>
          <w:sz w:val="26"/>
          <w:highlight w:val="none"/>
          <w:lang w:val="en-US" w:eastAsia="zh-CN"/>
        </w:rPr>
        <w:t xml:space="preserve">      </w:t>
      </w:r>
      <w:r>
        <w:rPr>
          <w:rFonts w:hint="eastAsia" w:cs="宋体-18030" w:asciiTheme="minorEastAsia" w:hAnsiTheme="minorEastAsia" w:eastAsiaTheme="minorEastAsia"/>
          <w:color w:val="auto"/>
          <w:sz w:val="26"/>
          <w:szCs w:val="26"/>
          <w:highlight w:val="none"/>
          <w:lang w:eastAsia="zh-CN"/>
        </w:rPr>
        <w:t>估价对象所在土地登记情况</w:t>
      </w:r>
      <w:r>
        <w:rPr>
          <w:rFonts w:hint="eastAsia" w:cs="宋体-18030"/>
          <w:color w:val="auto"/>
          <w:sz w:val="26"/>
          <w:highlight w:val="none"/>
        </w:rPr>
        <w:t>表</w:t>
      </w:r>
    </w:p>
    <w:tbl>
      <w:tblPr>
        <w:tblStyle w:val="46"/>
        <w:tblW w:w="98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20"/>
        <w:gridCol w:w="7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土地证号</w:t>
            </w:r>
          </w:p>
        </w:tc>
        <w:tc>
          <w:tcPr>
            <w:tcW w:w="7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仁国用（2016）2200号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土地使用权人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四川众志房地产开发有限公司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cs="宋体"/>
                <w:i w:val="0"/>
                <w:iCs w:val="0"/>
                <w:color w:val="auto"/>
                <w:kern w:val="0"/>
                <w:sz w:val="18"/>
                <w:szCs w:val="18"/>
                <w:highlight w:val="none"/>
                <w:u w:val="none"/>
                <w:lang w:val="en-US" w:eastAsia="zh-CN" w:bidi="ar"/>
              </w:rPr>
              <w:t>坐落</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cs="宋体"/>
                <w:i w:val="0"/>
                <w:iCs w:val="0"/>
                <w:color w:val="auto"/>
                <w:kern w:val="0"/>
                <w:sz w:val="18"/>
                <w:szCs w:val="18"/>
                <w:highlight w:val="none"/>
                <w:u w:val="none"/>
                <w:lang w:val="en-US" w:eastAsia="zh-CN" w:bidi="ar"/>
              </w:rPr>
              <w:t>文林镇仁寿大道延伸线二段189号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用途</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批发零售用地、城镇住宅用地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权属性质</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国有土地使用权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使用权类型</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出让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使用权面积</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73867.7㎡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土地终止时间</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商业终止日期为2052年5月16日、住宅终止日期为2082年5月16日</w:t>
            </w:r>
          </w:p>
        </w:tc>
      </w:tr>
    </w:tbl>
    <w:p>
      <w:pPr>
        <w:spacing w:line="600" w:lineRule="exact"/>
        <w:ind w:firstLine="520" w:firstLineChars="200"/>
        <w:rPr>
          <w:rFonts w:hint="eastAsia" w:eastAsia="宋体" w:cs="宋体-18030" w:asciiTheme="minorEastAsia" w:hAnsiTheme="minorEastAsia"/>
          <w:color w:val="auto"/>
          <w:sz w:val="26"/>
          <w:szCs w:val="26"/>
          <w:highlight w:val="none"/>
          <w:lang w:eastAsia="zh-CN"/>
        </w:rPr>
      </w:pPr>
      <w:r>
        <w:rPr>
          <w:rFonts w:hint="eastAsia" w:cs="宋体-18030" w:asciiTheme="minorEastAsia" w:hAnsiTheme="minorEastAsia"/>
          <w:color w:val="auto"/>
          <w:sz w:val="26"/>
          <w:szCs w:val="26"/>
          <w:highlight w:val="none"/>
          <w:lang w:eastAsia="zh-CN"/>
        </w:rPr>
        <w:t>根据估价委托人提供的</w:t>
      </w:r>
      <w:r>
        <w:rPr>
          <w:rFonts w:hint="eastAsia"/>
          <w:color w:val="auto"/>
          <w:sz w:val="26"/>
          <w:szCs w:val="26"/>
          <w:highlight w:val="none"/>
          <w:lang w:eastAsia="zh-CN"/>
        </w:rPr>
        <w:t>《抵押给成都中合利方投资管理合伙企业（有限合伙）的房产信息》《查封众志公司的财产清单</w:t>
      </w:r>
      <w:r>
        <w:rPr>
          <w:rFonts w:hint="eastAsia"/>
          <w:color w:val="auto"/>
          <w:sz w:val="26"/>
          <w:szCs w:val="26"/>
          <w:highlight w:val="none"/>
          <w:lang w:val="en-US" w:eastAsia="zh-CN"/>
        </w:rPr>
        <w:t>-未抵押给</w:t>
      </w:r>
      <w:r>
        <w:rPr>
          <w:rFonts w:hint="eastAsia"/>
          <w:color w:val="auto"/>
          <w:sz w:val="26"/>
          <w:szCs w:val="26"/>
          <w:highlight w:val="none"/>
          <w:lang w:eastAsia="zh-CN"/>
        </w:rPr>
        <w:t>合利方的其他房产信息》《查封清单》，估价对象涉及抵押</w:t>
      </w:r>
      <w:r>
        <w:rPr>
          <w:rFonts w:hint="eastAsia"/>
          <w:color w:val="auto"/>
          <w:sz w:val="26"/>
          <w:szCs w:val="26"/>
          <w:highlight w:val="none"/>
          <w:lang w:val="en-US" w:eastAsia="zh-CN"/>
        </w:rPr>
        <w:t>和</w:t>
      </w:r>
      <w:r>
        <w:rPr>
          <w:rFonts w:hint="eastAsia"/>
          <w:color w:val="auto"/>
          <w:sz w:val="26"/>
          <w:szCs w:val="26"/>
          <w:highlight w:val="none"/>
          <w:lang w:eastAsia="zh-CN"/>
        </w:rPr>
        <w:t>查封情况，具体情况详见附件。</w:t>
      </w:r>
    </w:p>
    <w:p>
      <w:pPr>
        <w:spacing w:line="600" w:lineRule="exact"/>
        <w:ind w:firstLine="520" w:firstLineChars="200"/>
        <w:rPr>
          <w:rFonts w:cs="宋体-18030" w:asciiTheme="minorEastAsia" w:hAnsiTheme="minorEastAsia" w:eastAsiaTheme="minorEastAsia"/>
          <w:color w:val="auto"/>
          <w:sz w:val="26"/>
          <w:szCs w:val="26"/>
          <w:highlight w:val="none"/>
        </w:rPr>
      </w:pPr>
      <w:r>
        <w:rPr>
          <w:rFonts w:cs="宋体-18030" w:asciiTheme="minorEastAsia" w:hAnsiTheme="minorEastAsia" w:eastAsiaTheme="minorEastAsia"/>
          <w:color w:val="auto"/>
          <w:sz w:val="26"/>
          <w:szCs w:val="26"/>
          <w:highlight w:val="none"/>
        </w:rPr>
        <w:t>2</w:t>
      </w:r>
      <w:r>
        <w:rPr>
          <w:rFonts w:hint="eastAsia" w:cs="宋体-18030" w:asciiTheme="minorEastAsia" w:hAnsiTheme="minorEastAsia" w:eastAsiaTheme="minorEastAsia"/>
          <w:color w:val="auto"/>
          <w:sz w:val="26"/>
          <w:szCs w:val="26"/>
          <w:highlight w:val="none"/>
        </w:rPr>
        <w:t>、估价对象权益状况及他项权利状况</w:t>
      </w:r>
    </w:p>
    <w:p>
      <w:pPr>
        <w:spacing w:line="600" w:lineRule="exact"/>
        <w:ind w:firstLine="520" w:firstLineChars="200"/>
        <w:rPr>
          <w:rFonts w:asciiTheme="minorEastAsia" w:hAnsiTheme="minorEastAsia" w:eastAsiaTheme="minorEastAsia"/>
          <w:color w:val="auto"/>
          <w:sz w:val="26"/>
          <w:szCs w:val="26"/>
          <w:highlight w:val="none"/>
        </w:rPr>
      </w:pPr>
      <w:r>
        <w:rPr>
          <w:rFonts w:hint="eastAsia" w:cs="宋体-18030" w:asciiTheme="minorEastAsia" w:hAnsiTheme="minorEastAsia" w:eastAsiaTheme="minorEastAsia"/>
          <w:bCs/>
          <w:color w:val="auto"/>
          <w:sz w:val="26"/>
          <w:szCs w:val="26"/>
          <w:highlight w:val="none"/>
        </w:rPr>
        <w:t>估价对象为</w:t>
      </w:r>
      <w:r>
        <w:rPr>
          <w:rFonts w:hint="eastAsia" w:cs="宋体-18030" w:asciiTheme="minorEastAsia" w:hAnsiTheme="minorEastAsia" w:eastAsiaTheme="minorEastAsia"/>
          <w:bCs/>
          <w:color w:val="auto"/>
          <w:sz w:val="26"/>
          <w:szCs w:val="26"/>
          <w:highlight w:val="none"/>
          <w:lang w:eastAsia="zh-CN"/>
        </w:rPr>
        <w:t>四川省成都市中级人民法院</w:t>
      </w:r>
      <w:r>
        <w:rPr>
          <w:rFonts w:hint="eastAsia" w:cs="宋体-18030" w:asciiTheme="minorEastAsia" w:hAnsiTheme="minorEastAsia" w:eastAsiaTheme="minorEastAsia"/>
          <w:bCs/>
          <w:color w:val="auto"/>
          <w:sz w:val="26"/>
          <w:szCs w:val="26"/>
          <w:highlight w:val="none"/>
        </w:rPr>
        <w:t>执行</w:t>
      </w:r>
      <w:r>
        <w:rPr>
          <w:rFonts w:hint="eastAsia" w:cs="宋体-18030" w:asciiTheme="minorEastAsia" w:hAnsiTheme="minorEastAsia" w:eastAsiaTheme="minorEastAsia"/>
          <w:bCs/>
          <w:color w:val="auto"/>
          <w:sz w:val="26"/>
          <w:szCs w:val="26"/>
          <w:highlight w:val="none"/>
          <w:lang w:eastAsia="zh-CN"/>
        </w:rPr>
        <w:t>成都中合利方企业管理中心（有限合伙）与四川众志房地产开发有限公司、资阳市中瑞房地产开发有限公司、资阳市雁江区建达房地产开发有限公司、成都市腾启房地产开发有限公司借款合同纠纷一案</w:t>
      </w:r>
      <w:r>
        <w:rPr>
          <w:rFonts w:hint="eastAsia" w:cs="宋体-18030" w:asciiTheme="minorEastAsia" w:hAnsiTheme="minorEastAsia" w:eastAsiaTheme="minorEastAsia"/>
          <w:bCs/>
          <w:color w:val="auto"/>
          <w:sz w:val="26"/>
          <w:szCs w:val="26"/>
          <w:highlight w:val="none"/>
        </w:rPr>
        <w:t>时</w:t>
      </w:r>
      <w:r>
        <w:rPr>
          <w:rFonts w:hint="eastAsia" w:cs="宋体-18030" w:asciiTheme="minorEastAsia" w:hAnsiTheme="minorEastAsia" w:eastAsiaTheme="minorEastAsia"/>
          <w:color w:val="auto"/>
          <w:sz w:val="26"/>
          <w:szCs w:val="26"/>
          <w:highlight w:val="none"/>
        </w:rPr>
        <w:t>涉及的标的物，</w:t>
      </w:r>
      <w:r>
        <w:rPr>
          <w:rFonts w:hint="eastAsia" w:cs="宋体-18030" w:asciiTheme="minorEastAsia" w:hAnsiTheme="minorEastAsia" w:eastAsiaTheme="minorEastAsia"/>
          <w:color w:val="auto"/>
          <w:sz w:val="26"/>
          <w:szCs w:val="26"/>
          <w:highlight w:val="none"/>
          <w:lang w:eastAsia="zh-CN"/>
        </w:rPr>
        <w:t>根据估价委托人提供的资料</w:t>
      </w:r>
      <w:r>
        <w:rPr>
          <w:rFonts w:hint="eastAsia" w:cs="宋体-18030"/>
          <w:color w:val="auto"/>
          <w:sz w:val="26"/>
          <w:szCs w:val="26"/>
          <w:highlight w:val="none"/>
        </w:rPr>
        <w:t>，</w:t>
      </w:r>
      <w:r>
        <w:rPr>
          <w:rFonts w:hint="eastAsia" w:ascii="宋体" w:hAnsi="宋体" w:cs="宋体-18030"/>
          <w:color w:val="auto"/>
          <w:sz w:val="26"/>
          <w:szCs w:val="26"/>
          <w:highlight w:val="none"/>
        </w:rPr>
        <w:t>估价对象在价值时点</w:t>
      </w:r>
      <w:r>
        <w:rPr>
          <w:rFonts w:hint="eastAsia" w:ascii="宋体" w:hAnsi="宋体"/>
          <w:color w:val="auto"/>
          <w:sz w:val="26"/>
          <w:szCs w:val="26"/>
          <w:highlight w:val="none"/>
        </w:rPr>
        <w:t>涉及抵押担保及司法查封</w:t>
      </w:r>
      <w:r>
        <w:rPr>
          <w:rFonts w:hint="eastAsia"/>
          <w:color w:val="auto"/>
          <w:sz w:val="26"/>
          <w:szCs w:val="26"/>
          <w:highlight w:val="none"/>
          <w:lang w:eastAsia="zh-CN"/>
        </w:rPr>
        <w:t>、未设立居住权和租赁权</w:t>
      </w:r>
      <w:r>
        <w:rPr>
          <w:rFonts w:hint="eastAsia" w:ascii="宋体" w:hAnsi="宋体"/>
          <w:color w:val="auto"/>
          <w:sz w:val="26"/>
          <w:szCs w:val="26"/>
          <w:highlight w:val="none"/>
        </w:rPr>
        <w:t>，</w:t>
      </w:r>
      <w:r>
        <w:rPr>
          <w:rFonts w:hint="eastAsia" w:ascii="宋体" w:hAnsi="宋体"/>
          <w:bCs/>
          <w:color w:val="auto"/>
          <w:sz w:val="26"/>
          <w:szCs w:val="26"/>
          <w:highlight w:val="none"/>
        </w:rPr>
        <w:t>因抵押担保及司法查封将随案件的处理而消灭或解除，基于本次评估目的，</w:t>
      </w:r>
      <w:r>
        <w:rPr>
          <w:rFonts w:hint="eastAsia" w:ascii="宋体" w:hAnsi="宋体"/>
          <w:color w:val="auto"/>
          <w:sz w:val="26"/>
          <w:szCs w:val="26"/>
          <w:highlight w:val="none"/>
        </w:rPr>
        <w:t>本次估价未考虑上述因素对估价对象价值的影响</w:t>
      </w:r>
      <w:r>
        <w:rPr>
          <w:rFonts w:hint="eastAsia" w:asciiTheme="minorEastAsia" w:hAnsiTheme="minorEastAsia" w:eastAsiaTheme="minorEastAsia"/>
          <w:color w:val="auto"/>
          <w:sz w:val="26"/>
          <w:szCs w:val="26"/>
          <w:highlight w:val="none"/>
        </w:rPr>
        <w:t>。</w:t>
      </w:r>
    </w:p>
    <w:p>
      <w:pPr>
        <w:spacing w:line="60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（二）估价对象实物状况</w:t>
      </w:r>
    </w:p>
    <w:p>
      <w:pPr>
        <w:spacing w:line="600" w:lineRule="exact"/>
        <w:ind w:firstLine="520" w:firstLineChars="200"/>
        <w:rPr>
          <w:rFonts w:cs="宋体-18030" w:asciiTheme="minorEastAsia" w:hAnsiTheme="minorEastAsia" w:eastAsiaTheme="minorEastAsia"/>
          <w:color w:val="auto"/>
          <w:sz w:val="26"/>
          <w:szCs w:val="26"/>
          <w:highlight w:val="none"/>
        </w:rPr>
      </w:pPr>
      <w:r>
        <w:rPr>
          <w:rFonts w:cs="宋体-18030" w:asciiTheme="minorEastAsia" w:hAnsiTheme="minorEastAsia" w:eastAsiaTheme="minorEastAsia"/>
          <w:color w:val="auto"/>
          <w:sz w:val="26"/>
          <w:szCs w:val="26"/>
          <w:highlight w:val="none"/>
        </w:rPr>
        <w:t>1</w:t>
      </w:r>
      <w:r>
        <w:rPr>
          <w:rFonts w:hint="eastAsia" w:cs="宋体-18030" w:asciiTheme="minorEastAsia" w:hAnsiTheme="minorEastAsia" w:eastAsiaTheme="minorEastAsia"/>
          <w:color w:val="auto"/>
          <w:sz w:val="26"/>
          <w:szCs w:val="26"/>
          <w:highlight w:val="none"/>
        </w:rPr>
        <w:t>、土地实物状况</w:t>
      </w:r>
    </w:p>
    <w:p>
      <w:pPr>
        <w:spacing w:line="60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据估价人员实地查勘，估价对象及所在项目的土地实物状况如下表：</w:t>
      </w:r>
    </w:p>
    <w:p>
      <w:pPr>
        <w:spacing w:line="56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表3            估价对象土地实物状况一览表</w:t>
      </w:r>
    </w:p>
    <w:tbl>
      <w:tblPr>
        <w:tblStyle w:val="46"/>
        <w:tblW w:w="5000" w:type="pct"/>
        <w:jc w:val="center"/>
        <w:tblLayout w:type="autofit"/>
        <w:tblCellMar>
          <w:top w:w="0" w:type="dxa"/>
          <w:left w:w="108" w:type="dxa"/>
          <w:bottom w:w="0" w:type="dxa"/>
          <w:right w:w="108" w:type="dxa"/>
        </w:tblCellMar>
      </w:tblPr>
      <w:tblGrid>
        <w:gridCol w:w="2871"/>
        <w:gridCol w:w="6983"/>
      </w:tblGrid>
      <w:tr>
        <w:tblPrEx>
          <w:tblCellMar>
            <w:top w:w="0" w:type="dxa"/>
            <w:left w:w="108" w:type="dxa"/>
            <w:bottom w:w="0" w:type="dxa"/>
            <w:right w:w="108" w:type="dxa"/>
          </w:tblCellMar>
        </w:tblPrEx>
        <w:trPr>
          <w:trHeight w:val="20" w:hRule="atLeast"/>
          <w:jc w:val="center"/>
        </w:trPr>
        <w:tc>
          <w:tcPr>
            <w:tcW w:w="145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w:t>
            </w:r>
          </w:p>
        </w:tc>
        <w:tc>
          <w:tcPr>
            <w:tcW w:w="3543"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具体内容</w:t>
            </w:r>
          </w:p>
        </w:tc>
      </w:tr>
      <w:tr>
        <w:tblPrEx>
          <w:tblCellMar>
            <w:top w:w="0" w:type="dxa"/>
            <w:left w:w="108" w:type="dxa"/>
            <w:bottom w:w="0" w:type="dxa"/>
            <w:right w:w="108" w:type="dxa"/>
          </w:tblCellMar>
        </w:tblPrEx>
        <w:trPr>
          <w:trHeight w:val="156"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土地座落</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lang w:val="en-US" w:eastAsia="zh-CN"/>
              </w:rPr>
              <w:t>文林镇仁寿大道延伸线二段189号</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lang w:eastAsia="zh-CN"/>
              </w:rPr>
              <w:t>土地</w:t>
            </w:r>
            <w:r>
              <w:rPr>
                <w:rFonts w:hint="eastAsia" w:asciiTheme="minorEastAsia" w:hAnsiTheme="minorEastAsia" w:eastAsiaTheme="minorEastAsia"/>
                <w:color w:val="auto"/>
                <w:sz w:val="18"/>
                <w:szCs w:val="18"/>
                <w:highlight w:val="none"/>
              </w:rPr>
              <w:t>面积</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cs="宋体"/>
                <w:i w:val="0"/>
                <w:iCs w:val="0"/>
                <w:color w:val="auto"/>
                <w:kern w:val="0"/>
                <w:sz w:val="18"/>
                <w:szCs w:val="18"/>
                <w:highlight w:val="none"/>
                <w:u w:val="none"/>
                <w:lang w:val="en-US" w:eastAsia="zh-CN" w:bidi="ar"/>
              </w:rPr>
              <w:t>土地总面积</w:t>
            </w:r>
            <w:r>
              <w:rPr>
                <w:rFonts w:hint="eastAsia" w:ascii="宋体" w:hAnsi="宋体" w:eastAsia="宋体" w:cs="宋体"/>
                <w:i w:val="0"/>
                <w:iCs w:val="0"/>
                <w:color w:val="auto"/>
                <w:kern w:val="0"/>
                <w:sz w:val="18"/>
                <w:szCs w:val="18"/>
                <w:highlight w:val="none"/>
                <w:u w:val="none"/>
                <w:lang w:val="en-US" w:eastAsia="zh-CN" w:bidi="ar"/>
              </w:rPr>
              <w:t>73867.7㎡</w:t>
            </w:r>
            <w:r>
              <w:rPr>
                <w:rFonts w:hint="eastAsia" w:cs="宋体"/>
                <w:i w:val="0"/>
                <w:iCs w:val="0"/>
                <w:color w:val="auto"/>
                <w:kern w:val="0"/>
                <w:sz w:val="18"/>
                <w:szCs w:val="18"/>
                <w:highlight w:val="none"/>
                <w:u w:val="none"/>
                <w:lang w:val="en-US" w:eastAsia="zh-CN" w:bidi="ar"/>
              </w:rPr>
              <w:t>，分摊面积不详</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项目实勘四至</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估价对象属于分摊用地，四至无法确定，所在项目东至</w:t>
            </w:r>
            <w:r>
              <w:rPr>
                <w:rFonts w:hint="eastAsia" w:asciiTheme="minorEastAsia" w:hAnsiTheme="minorEastAsia" w:eastAsiaTheme="minorEastAsia"/>
                <w:color w:val="auto"/>
                <w:sz w:val="18"/>
                <w:szCs w:val="18"/>
                <w:highlight w:val="none"/>
                <w:lang w:eastAsia="zh-CN"/>
              </w:rPr>
              <w:t>陵州大道东一段</w:t>
            </w:r>
            <w:r>
              <w:rPr>
                <w:rFonts w:hint="eastAsia" w:asciiTheme="minorEastAsia" w:hAnsiTheme="minorEastAsia" w:eastAsiaTheme="minorEastAsia"/>
                <w:color w:val="auto"/>
                <w:sz w:val="18"/>
                <w:szCs w:val="18"/>
                <w:highlight w:val="none"/>
              </w:rPr>
              <w:t>，南至</w:t>
            </w:r>
            <w:r>
              <w:rPr>
                <w:rFonts w:hint="eastAsia" w:asciiTheme="minorEastAsia" w:hAnsiTheme="minorEastAsia" w:eastAsiaTheme="minorEastAsia"/>
                <w:color w:val="auto"/>
                <w:sz w:val="18"/>
                <w:szCs w:val="18"/>
                <w:highlight w:val="none"/>
                <w:lang w:eastAsia="zh-CN"/>
              </w:rPr>
              <w:t>仁寿大道</w:t>
            </w:r>
            <w:r>
              <w:rPr>
                <w:rFonts w:hint="eastAsia" w:asciiTheme="minorEastAsia" w:hAnsiTheme="minorEastAsia" w:eastAsiaTheme="minorEastAsia"/>
                <w:color w:val="auto"/>
                <w:sz w:val="18"/>
                <w:szCs w:val="18"/>
                <w:highlight w:val="none"/>
              </w:rPr>
              <w:t>，西至</w:t>
            </w:r>
            <w:r>
              <w:rPr>
                <w:rFonts w:hint="eastAsia" w:asciiTheme="minorEastAsia" w:hAnsiTheme="minorEastAsia" w:eastAsiaTheme="minorEastAsia"/>
                <w:color w:val="auto"/>
                <w:sz w:val="18"/>
                <w:szCs w:val="18"/>
                <w:highlight w:val="none"/>
                <w:lang w:eastAsia="zh-CN"/>
              </w:rPr>
              <w:t>文锦街</w:t>
            </w:r>
            <w:r>
              <w:rPr>
                <w:rFonts w:hint="eastAsia" w:asciiTheme="minorEastAsia" w:hAnsiTheme="minorEastAsia" w:eastAsiaTheme="minorEastAsia"/>
                <w:color w:val="auto"/>
                <w:sz w:val="18"/>
                <w:szCs w:val="18"/>
                <w:highlight w:val="none"/>
              </w:rPr>
              <w:t>，北至</w:t>
            </w:r>
            <w:r>
              <w:rPr>
                <w:rFonts w:hint="eastAsia" w:asciiTheme="minorEastAsia" w:hAnsiTheme="minorEastAsia" w:eastAsiaTheme="minorEastAsia"/>
                <w:color w:val="auto"/>
                <w:sz w:val="18"/>
                <w:szCs w:val="18"/>
                <w:highlight w:val="none"/>
                <w:lang w:eastAsia="zh-CN"/>
              </w:rPr>
              <w:t>高滩路二段</w:t>
            </w:r>
            <w:r>
              <w:rPr>
                <w:rFonts w:asciiTheme="minorEastAsia" w:hAnsiTheme="minorEastAsia" w:eastAsiaTheme="minorEastAsia"/>
                <w:color w:val="auto"/>
                <w:sz w:val="18"/>
                <w:szCs w:val="18"/>
                <w:highlight w:val="none"/>
              </w:rPr>
              <w:t>。</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形 状</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估价对象土地属于分摊用地，形状不明确，所在项目宗地形状规则</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地形条件</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地形基本平坦</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地质条件</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地质条件一般</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基础设施条件及土地平整程度</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所在项目宗地通供水、通排水、通电、通气、通讯、通路及场地平整</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规划限制条件</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无</w:t>
            </w:r>
          </w:p>
        </w:tc>
      </w:tr>
      <w:tr>
        <w:tblPrEx>
          <w:tblCellMar>
            <w:top w:w="0" w:type="dxa"/>
            <w:left w:w="108" w:type="dxa"/>
            <w:bottom w:w="0" w:type="dxa"/>
            <w:right w:w="108" w:type="dxa"/>
          </w:tblCellMar>
        </w:tblPrEx>
        <w:trPr>
          <w:trHeight w:val="20" w:hRule="atLeast"/>
          <w:jc w:val="center"/>
        </w:trPr>
        <w:tc>
          <w:tcPr>
            <w:tcW w:w="145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土地利用状况</w:t>
            </w:r>
          </w:p>
        </w:tc>
        <w:tc>
          <w:tcPr>
            <w:tcW w:w="3543"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作为估价对象所在项目占地使用</w:t>
            </w:r>
          </w:p>
        </w:tc>
      </w:tr>
    </w:tbl>
    <w:p>
      <w:pPr>
        <w:spacing w:line="560" w:lineRule="exact"/>
        <w:ind w:firstLine="520" w:firstLineChars="200"/>
        <w:rPr>
          <w:rFonts w:cs="宋体-18030" w:asciiTheme="minorEastAsia" w:hAnsiTheme="minorEastAsia" w:eastAsiaTheme="minorEastAsia"/>
          <w:color w:val="auto"/>
          <w:sz w:val="26"/>
          <w:szCs w:val="26"/>
          <w:highlight w:val="none"/>
        </w:rPr>
      </w:pPr>
      <w:r>
        <w:rPr>
          <w:rFonts w:cs="宋体-18030" w:asciiTheme="minorEastAsia" w:hAnsiTheme="minorEastAsia" w:eastAsiaTheme="minorEastAsia"/>
          <w:color w:val="auto"/>
          <w:sz w:val="26"/>
          <w:szCs w:val="26"/>
          <w:highlight w:val="none"/>
        </w:rPr>
        <w:t>2</w:t>
      </w:r>
      <w:r>
        <w:rPr>
          <w:rFonts w:hint="eastAsia" w:cs="宋体-18030" w:asciiTheme="minorEastAsia" w:hAnsiTheme="minorEastAsia" w:eastAsiaTheme="minorEastAsia"/>
          <w:color w:val="auto"/>
          <w:sz w:val="26"/>
          <w:szCs w:val="26"/>
          <w:highlight w:val="none"/>
        </w:rPr>
        <w:t>、建筑物实物状况</w:t>
      </w:r>
    </w:p>
    <w:p>
      <w:pPr>
        <w:tabs>
          <w:tab w:val="left" w:pos="1701"/>
        </w:tabs>
        <w:spacing w:line="600" w:lineRule="exact"/>
        <w:ind w:firstLine="520" w:firstLineChars="200"/>
        <w:rPr>
          <w:rFonts w:cs="宋体-18030"/>
          <w:color w:val="auto"/>
          <w:sz w:val="26"/>
          <w:szCs w:val="26"/>
          <w:highlight w:val="none"/>
        </w:rPr>
      </w:pPr>
      <w:r>
        <w:rPr>
          <w:rFonts w:hint="eastAsia" w:cs="宋体-18030" w:asciiTheme="minorEastAsia" w:hAnsiTheme="minorEastAsia" w:eastAsiaTheme="minorEastAsia"/>
          <w:color w:val="auto"/>
          <w:sz w:val="26"/>
          <w:szCs w:val="26"/>
          <w:highlight w:val="none"/>
        </w:rPr>
        <w:t>据估价人员实地查勘，估价对象位于</w:t>
      </w:r>
      <w:r>
        <w:rPr>
          <w:rFonts w:hint="eastAsia" w:cs="宋体-18030" w:asciiTheme="minorEastAsia" w:hAnsiTheme="minorEastAsia" w:eastAsiaTheme="minorEastAsia"/>
          <w:color w:val="auto"/>
          <w:sz w:val="26"/>
          <w:szCs w:val="26"/>
          <w:highlight w:val="none"/>
          <w:lang w:eastAsia="zh-CN"/>
        </w:rPr>
        <w:t>仁寿县文林镇仁寿大道二段189号（怀仁街道仁寿大道二段431号）“中铁·仁禾广场”1、2、7、8、12栋共计17套</w:t>
      </w:r>
      <w:r>
        <w:rPr>
          <w:rFonts w:hint="eastAsia" w:cs="宋体-18030" w:asciiTheme="minorEastAsia" w:hAnsiTheme="minorEastAsia" w:eastAsiaTheme="minorEastAsia"/>
          <w:bCs/>
          <w:color w:val="auto"/>
          <w:sz w:val="26"/>
          <w:szCs w:val="26"/>
          <w:highlight w:val="none"/>
        </w:rPr>
        <w:t>的</w:t>
      </w:r>
      <w:r>
        <w:rPr>
          <w:rFonts w:cs="宋体-18030" w:asciiTheme="minorEastAsia" w:hAnsiTheme="minorEastAsia" w:eastAsiaTheme="minorEastAsia"/>
          <w:bCs/>
          <w:color w:val="auto"/>
          <w:sz w:val="26"/>
          <w:szCs w:val="26"/>
          <w:highlight w:val="none"/>
        </w:rPr>
        <w:t>住宅用房</w:t>
      </w:r>
      <w:r>
        <w:rPr>
          <w:rFonts w:hint="eastAsia" w:cs="宋体-18030" w:asciiTheme="minorEastAsia" w:hAnsiTheme="minorEastAsia" w:eastAsiaTheme="minorEastAsia"/>
          <w:color w:val="auto"/>
          <w:sz w:val="26"/>
          <w:szCs w:val="26"/>
          <w:highlight w:val="none"/>
          <w:lang w:eastAsia="zh-CN"/>
        </w:rPr>
        <w:t>，</w:t>
      </w:r>
      <w:r>
        <w:rPr>
          <w:rFonts w:hint="eastAsia" w:cs="宋体-18030"/>
          <w:color w:val="auto"/>
          <w:sz w:val="26"/>
          <w:szCs w:val="26"/>
          <w:highlight w:val="none"/>
          <w:lang w:eastAsia="zh-CN"/>
        </w:rPr>
        <w:t>估价对象所在项目</w:t>
      </w:r>
      <w:r>
        <w:rPr>
          <w:rFonts w:hint="eastAsia" w:cs="宋体-18030"/>
          <w:color w:val="auto"/>
          <w:sz w:val="26"/>
          <w:szCs w:val="26"/>
          <w:highlight w:val="none"/>
        </w:rPr>
        <w:t>约建成于</w:t>
      </w:r>
      <w:r>
        <w:rPr>
          <w:rFonts w:cs="宋体-18030"/>
          <w:color w:val="auto"/>
          <w:sz w:val="26"/>
          <w:highlight w:val="none"/>
        </w:rPr>
        <w:t>2</w:t>
      </w:r>
      <w:r>
        <w:rPr>
          <w:rFonts w:hint="eastAsia" w:cs="宋体-18030"/>
          <w:color w:val="auto"/>
          <w:sz w:val="26"/>
          <w:highlight w:val="none"/>
          <w:lang w:val="en-US" w:eastAsia="zh-CN"/>
        </w:rPr>
        <w:t>015</w:t>
      </w:r>
      <w:r>
        <w:rPr>
          <w:rFonts w:cs="宋体-18030"/>
          <w:color w:val="auto"/>
          <w:sz w:val="26"/>
          <w:szCs w:val="26"/>
          <w:highlight w:val="none"/>
        </w:rPr>
        <w:t>年</w:t>
      </w:r>
      <w:r>
        <w:rPr>
          <w:rFonts w:hint="eastAsia" w:cs="宋体-18030"/>
          <w:color w:val="auto"/>
          <w:sz w:val="26"/>
          <w:szCs w:val="26"/>
          <w:highlight w:val="none"/>
        </w:rPr>
        <w:t>，</w:t>
      </w:r>
      <w:r>
        <w:rPr>
          <w:rFonts w:hint="eastAsia" w:cs="宋体-18030"/>
          <w:color w:val="auto"/>
          <w:sz w:val="26"/>
          <w:szCs w:val="26"/>
          <w:highlight w:val="none"/>
          <w:lang w:eastAsia="zh-CN"/>
        </w:rPr>
        <w:t>该小区为商住综合项目，小区共计</w:t>
      </w:r>
      <w:r>
        <w:rPr>
          <w:rFonts w:hint="eastAsia" w:cs="宋体-18030"/>
          <w:color w:val="auto"/>
          <w:sz w:val="26"/>
          <w:szCs w:val="26"/>
          <w:highlight w:val="none"/>
          <w:lang w:val="en-US" w:eastAsia="zh-CN"/>
        </w:rPr>
        <w:t>14栋建筑物（其中1-10、12栋为住宅楼，11、13-14栋为商业用房）</w:t>
      </w:r>
      <w:r>
        <w:rPr>
          <w:rFonts w:hint="eastAsia" w:cs="宋体-18030"/>
          <w:color w:val="auto"/>
          <w:sz w:val="26"/>
          <w:szCs w:val="26"/>
          <w:highlight w:val="none"/>
          <w:lang w:eastAsia="zh-CN"/>
        </w:rPr>
        <w:t>。估价对象</w:t>
      </w:r>
      <w:r>
        <w:rPr>
          <w:rFonts w:hint="eastAsia" w:cs="宋体-18030"/>
          <w:color w:val="auto"/>
          <w:sz w:val="26"/>
          <w:szCs w:val="26"/>
          <w:highlight w:val="none"/>
        </w:rPr>
        <w:t>建筑物的实物状况如下表</w:t>
      </w:r>
      <w:r>
        <w:rPr>
          <w:rFonts w:hint="eastAsia" w:cs="宋体-18030" w:asciiTheme="minorEastAsia" w:hAnsiTheme="minorEastAsia" w:eastAsiaTheme="minorEastAsia"/>
          <w:color w:val="auto"/>
          <w:sz w:val="26"/>
          <w:szCs w:val="26"/>
          <w:highlight w:val="none"/>
        </w:rPr>
        <w:t>：</w:t>
      </w:r>
    </w:p>
    <w:p>
      <w:pPr>
        <w:spacing w:line="56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 xml:space="preserve">表4         </w:t>
      </w:r>
      <w:r>
        <w:rPr>
          <w:rFonts w:hint="eastAsia" w:cs="宋体-18030" w:asciiTheme="minorEastAsia" w:hAnsiTheme="minorEastAsia" w:eastAsiaTheme="minorEastAsia"/>
          <w:color w:val="auto"/>
          <w:sz w:val="26"/>
          <w:szCs w:val="26"/>
          <w:highlight w:val="none"/>
          <w:lang w:val="en-US" w:eastAsia="zh-CN"/>
        </w:rPr>
        <w:t xml:space="preserve">     </w:t>
      </w:r>
      <w:r>
        <w:rPr>
          <w:rFonts w:hint="eastAsia" w:cs="宋体-18030" w:asciiTheme="minorEastAsia" w:hAnsiTheme="minorEastAsia" w:eastAsiaTheme="minorEastAsia"/>
          <w:color w:val="auto"/>
          <w:sz w:val="26"/>
          <w:szCs w:val="26"/>
          <w:highlight w:val="none"/>
        </w:rPr>
        <w:t>估价对象建筑物实物情况一览表</w:t>
      </w:r>
    </w:p>
    <w:tbl>
      <w:tblPr>
        <w:tblStyle w:val="4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6"/>
        <w:gridCol w:w="1513"/>
        <w:gridCol w:w="969"/>
        <w:gridCol w:w="1173"/>
        <w:gridCol w:w="927"/>
        <w:gridCol w:w="1077"/>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项目</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估价对象序号</w:t>
            </w:r>
          </w:p>
        </w:tc>
        <w:tc>
          <w:tcPr>
            <w:tcW w:w="4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1</w:t>
            </w:r>
          </w:p>
        </w:tc>
        <w:tc>
          <w:tcPr>
            <w:tcW w:w="59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2-3</w:t>
            </w:r>
          </w:p>
        </w:tc>
        <w:tc>
          <w:tcPr>
            <w:tcW w:w="470"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4</w:t>
            </w:r>
          </w:p>
        </w:tc>
        <w:tc>
          <w:tcPr>
            <w:tcW w:w="546"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5</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项目名称</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中铁·仁禾广场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栋号</w:t>
            </w:r>
          </w:p>
        </w:tc>
        <w:tc>
          <w:tcPr>
            <w:tcW w:w="4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1</w:t>
            </w:r>
          </w:p>
        </w:tc>
        <w:tc>
          <w:tcPr>
            <w:tcW w:w="59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w:t>
            </w:r>
          </w:p>
        </w:tc>
        <w:tc>
          <w:tcPr>
            <w:tcW w:w="470"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7</w:t>
            </w:r>
          </w:p>
        </w:tc>
        <w:tc>
          <w:tcPr>
            <w:tcW w:w="546"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8</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建成年代</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约2015年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建筑物基本情况</w:t>
            </w: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建筑结构</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总层数</w:t>
            </w:r>
          </w:p>
        </w:tc>
        <w:tc>
          <w:tcPr>
            <w:tcW w:w="4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29层</w:t>
            </w:r>
          </w:p>
        </w:tc>
        <w:tc>
          <w:tcPr>
            <w:tcW w:w="59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29层</w:t>
            </w:r>
          </w:p>
        </w:tc>
        <w:tc>
          <w:tcPr>
            <w:tcW w:w="470"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33层</w:t>
            </w:r>
          </w:p>
        </w:tc>
        <w:tc>
          <w:tcPr>
            <w:tcW w:w="546"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33层</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所在楼层</w:t>
            </w:r>
          </w:p>
        </w:tc>
        <w:tc>
          <w:tcPr>
            <w:tcW w:w="4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2层</w:t>
            </w:r>
          </w:p>
        </w:tc>
        <w:tc>
          <w:tcPr>
            <w:tcW w:w="59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2层</w:t>
            </w:r>
          </w:p>
        </w:tc>
        <w:tc>
          <w:tcPr>
            <w:tcW w:w="470"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2层</w:t>
            </w:r>
          </w:p>
        </w:tc>
        <w:tc>
          <w:tcPr>
            <w:tcW w:w="546"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11层</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外墙装饰</w:t>
            </w:r>
          </w:p>
        </w:tc>
        <w:tc>
          <w:tcPr>
            <w:tcW w:w="4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面砖</w:t>
            </w:r>
          </w:p>
        </w:tc>
        <w:tc>
          <w:tcPr>
            <w:tcW w:w="59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面砖</w:t>
            </w:r>
          </w:p>
        </w:tc>
        <w:tc>
          <w:tcPr>
            <w:tcW w:w="470"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面砖</w:t>
            </w:r>
          </w:p>
        </w:tc>
        <w:tc>
          <w:tcPr>
            <w:tcW w:w="54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面砖</w:t>
            </w:r>
          </w:p>
        </w:tc>
        <w:tc>
          <w:tcPr>
            <w:tcW w:w="172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面砖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地基及墙面</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地基无不均匀沉降，墙面无裂缝现象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垂直交通</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直升降电梯和步行楼梯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层高</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约3米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基础设施</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通上水、通下水、通电、通气、通讯、通路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装修状况</w:t>
            </w: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门</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防盗门</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防盗门、木门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窗</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塑钢窗</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塑钢窗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地面</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水泥找平</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部分为地砖、部分为木地板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内墙</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乳胶漆</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乳胶漆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天棚</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乳胶漆</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乳胶漆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卫生间</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毛坯状态</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18"/>
                <w:szCs w:val="18"/>
                <w:highlight w:val="none"/>
                <w:u w:val="none"/>
                <w:lang w:val="en-US" w:eastAsia="zh-CN" w:bidi="ar"/>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部分为毛坯状态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部分为地砖地面、瓷片墙面、扣板天棚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厨房</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毛坯状态</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毛坯状态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建筑物完损状况</w:t>
            </w: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地基及墙面</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地基无不均匀下降，墙面无裂缝现象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主体结构</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尚未发现主体结构受损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配套设施设备</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配套实施完善，配套条件一般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估价对象其他个别条件</w:t>
            </w: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个别景观及采光</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无特殊景观，个别景观及采光一般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套型及布局</w:t>
            </w:r>
          </w:p>
        </w:tc>
        <w:tc>
          <w:tcPr>
            <w:tcW w:w="49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3室2厅2卫</w:t>
            </w:r>
          </w:p>
        </w:tc>
        <w:tc>
          <w:tcPr>
            <w:tcW w:w="59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3室2厅2卫</w:t>
            </w:r>
          </w:p>
        </w:tc>
        <w:tc>
          <w:tcPr>
            <w:tcW w:w="470"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3室2厅2卫</w:t>
            </w:r>
          </w:p>
        </w:tc>
        <w:tc>
          <w:tcPr>
            <w:tcW w:w="546"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3室2厅1卫</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原设计户型为3室1厅1卫，现已整层分割重新利用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面积（㎡）</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详见《估价对象产权登记信息一览表》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临街状态</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所处楼栋临街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楼间距</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楼间距适中、通风采光一般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建筑覆盖率</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符合区域平均水平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垂直交通</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基本顺畅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物业管理</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有专业物业管理，管理一般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4" w:type="pct"/>
            <w:vMerge w:val="continue"/>
            <w:shd w:val="clear" w:color="auto" w:fill="auto"/>
            <w:vAlign w:val="center"/>
          </w:tcPr>
          <w:p>
            <w:pPr>
              <w:jc w:val="center"/>
              <w:rPr>
                <w:rFonts w:hint="eastAsia" w:asciiTheme="minorEastAsia" w:hAnsiTheme="minorEastAsia" w:eastAsiaTheme="minorEastAsia" w:cstheme="minorEastAsia"/>
                <w:i w:val="0"/>
                <w:iCs w:val="0"/>
                <w:color w:val="auto"/>
                <w:sz w:val="18"/>
                <w:szCs w:val="18"/>
                <w:highlight w:val="none"/>
                <w:u w:val="none"/>
              </w:rPr>
            </w:pPr>
          </w:p>
        </w:tc>
        <w:tc>
          <w:tcPr>
            <w:tcW w:w="7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成新率</w:t>
            </w:r>
          </w:p>
        </w:tc>
        <w:tc>
          <w:tcPr>
            <w:tcW w:w="3827" w:type="pct"/>
            <w:gridSpan w:val="5"/>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成新率较高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估价对象房屋使用状况</w:t>
            </w:r>
          </w:p>
        </w:tc>
        <w:tc>
          <w:tcPr>
            <w:tcW w:w="2104" w:type="pct"/>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至价值时点，估价对象空置</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highlight w:val="none"/>
                <w:u w:val="none"/>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至价值时点，估价对象自用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7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18"/>
                <w:szCs w:val="18"/>
                <w:highlight w:val="none"/>
                <w:u w:val="none"/>
                <w:lang w:val="en-US" w:eastAsia="zh-CN" w:bidi="ar"/>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备注</w:t>
            </w:r>
          </w:p>
        </w:tc>
        <w:tc>
          <w:tcPr>
            <w:tcW w:w="2104" w:type="pct"/>
            <w:gridSpan w:val="4"/>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18"/>
                <w:szCs w:val="18"/>
                <w:highlight w:val="none"/>
                <w:u w:val="none"/>
                <w:lang w:val="en-US" w:eastAsia="zh-CN" w:bidi="ar"/>
              </w:rPr>
            </w:pPr>
            <w:r>
              <w:rPr>
                <w:rFonts w:hint="eastAsia" w:asciiTheme="minorEastAsia" w:hAnsiTheme="minorEastAsia" w:eastAsiaTheme="minorEastAsia" w:cstheme="minorEastAsia"/>
                <w:i w:val="0"/>
                <w:iCs w:val="0"/>
                <w:color w:val="auto"/>
                <w:kern w:val="0"/>
                <w:sz w:val="18"/>
                <w:szCs w:val="18"/>
                <w:highlight w:val="none"/>
                <w:u w:val="none"/>
                <w:lang w:val="en-US" w:eastAsia="zh-CN" w:bidi="ar"/>
              </w:rPr>
              <w:t>/</w:t>
            </w:r>
          </w:p>
        </w:tc>
        <w:tc>
          <w:tcPr>
            <w:tcW w:w="172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18"/>
                <w:szCs w:val="18"/>
                <w:highlight w:val="none"/>
                <w:u w:val="none"/>
                <w:lang w:val="en-US" w:eastAsia="zh-CN" w:bidi="ar"/>
              </w:rPr>
            </w:pPr>
            <w:r>
              <w:rPr>
                <w:rFonts w:hint="eastAsia" w:cs="宋体"/>
                <w:color w:val="auto"/>
                <w:kern w:val="0"/>
                <w:sz w:val="18"/>
                <w:szCs w:val="18"/>
                <w:highlight w:val="none"/>
                <w:lang w:eastAsia="zh-CN" w:bidi="ar"/>
              </w:rPr>
              <w:t>与</w:t>
            </w:r>
            <w:r>
              <w:rPr>
                <w:rFonts w:hint="eastAsia" w:ascii="宋体" w:hAnsi="宋体" w:cs="宋体"/>
                <w:color w:val="auto"/>
                <w:kern w:val="0"/>
                <w:sz w:val="18"/>
                <w:szCs w:val="18"/>
                <w:highlight w:val="none"/>
                <w:lang w:bidi="ar"/>
              </w:rPr>
              <w:t>相邻物业整体打通用作办公用房</w:t>
            </w:r>
            <w:r>
              <w:rPr>
                <w:rFonts w:hint="eastAsia" w:cs="宋体"/>
                <w:color w:val="auto"/>
                <w:kern w:val="0"/>
                <w:sz w:val="18"/>
                <w:szCs w:val="18"/>
                <w:highlight w:val="none"/>
                <w:lang w:eastAsia="zh-CN" w:bidi="ar"/>
              </w:rPr>
              <w:t>（按单元整层重新分割利用）</w:t>
            </w:r>
            <w:r>
              <w:rPr>
                <w:rFonts w:hint="eastAsia" w:ascii="宋体" w:hAnsi="宋体" w:cs="宋体"/>
                <w:color w:val="auto"/>
                <w:kern w:val="0"/>
                <w:sz w:val="18"/>
                <w:szCs w:val="18"/>
                <w:highlight w:val="none"/>
                <w:lang w:bidi="ar"/>
              </w:rPr>
              <w:t>，</w:t>
            </w:r>
            <w:r>
              <w:rPr>
                <w:rFonts w:hint="eastAsia" w:cs="宋体"/>
                <w:color w:val="auto"/>
                <w:kern w:val="0"/>
                <w:sz w:val="18"/>
                <w:szCs w:val="18"/>
                <w:highlight w:val="none"/>
                <w:lang w:val="en-US" w:eastAsia="zh-CN" w:bidi="ar"/>
              </w:rPr>
              <w:t>各套间</w:t>
            </w:r>
            <w:r>
              <w:rPr>
                <w:rFonts w:hint="eastAsia" w:cs="宋体"/>
                <w:color w:val="auto"/>
                <w:kern w:val="0"/>
                <w:sz w:val="18"/>
                <w:szCs w:val="18"/>
                <w:highlight w:val="none"/>
                <w:lang w:eastAsia="zh-CN" w:bidi="ar"/>
              </w:rPr>
              <w:t>无明显分界线。</w:t>
            </w:r>
          </w:p>
        </w:tc>
      </w:tr>
    </w:tbl>
    <w:p>
      <w:pPr>
        <w:spacing w:line="56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（三）估价对象区位状况</w:t>
      </w:r>
    </w:p>
    <w:p>
      <w:pPr>
        <w:spacing w:line="560" w:lineRule="exact"/>
        <w:ind w:firstLine="520" w:firstLineChars="20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据估价人员实地调查，估价对象的主要区位状况如下：</w:t>
      </w:r>
    </w:p>
    <w:p>
      <w:pPr>
        <w:spacing w:line="560" w:lineRule="exact"/>
        <w:ind w:firstLine="720"/>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表5                估价对象区位状况一览表</w:t>
      </w:r>
    </w:p>
    <w:tbl>
      <w:tblPr>
        <w:tblStyle w:val="46"/>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342"/>
        <w:gridCol w:w="1279"/>
        <w:gridCol w:w="72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330" w:type="pct"/>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具体内容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330" w:type="pct"/>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位置</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估价对象位于</w:t>
            </w:r>
            <w:r>
              <w:rPr>
                <w:rFonts w:hint="eastAsia" w:asciiTheme="minorEastAsia" w:hAnsiTheme="minorEastAsia" w:eastAsiaTheme="minorEastAsia"/>
                <w:color w:val="auto"/>
                <w:sz w:val="18"/>
                <w:szCs w:val="18"/>
                <w:highlight w:val="none"/>
                <w:lang w:eastAsia="zh-CN"/>
              </w:rPr>
              <w:t>仁寿县文林镇仁寿大道二段189号（怀仁街道仁寿大道二段431号）“中铁·仁禾广场”小区内</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eastAsia="zh-CN"/>
              </w:rPr>
              <w:t>处于仁寿县新区，居住聚集度较高</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eastAsia="zh-CN"/>
              </w:rPr>
              <w:t>距离仁寿县人民政府距离</w:t>
            </w:r>
            <w:r>
              <w:rPr>
                <w:rFonts w:hint="eastAsia" w:asciiTheme="minorEastAsia" w:hAnsiTheme="minorEastAsia" w:eastAsiaTheme="minorEastAsia"/>
                <w:color w:val="auto"/>
                <w:sz w:val="18"/>
                <w:szCs w:val="18"/>
                <w:highlight w:val="none"/>
                <w:lang w:val="en-US" w:eastAsia="zh-CN"/>
              </w:rPr>
              <w:t>3.2公里</w:t>
            </w:r>
            <w:r>
              <w:rPr>
                <w:rFonts w:hint="eastAsia" w:asciiTheme="minorEastAsia" w:hAnsiTheme="minorEastAsia" w:eastAsiaTheme="minorEastAsia"/>
                <w:color w:val="auto"/>
                <w:sz w:val="18"/>
                <w:szCs w:val="18"/>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330" w:type="pct"/>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购物条件</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估价对象所在区域分布有</w:t>
            </w:r>
            <w:r>
              <w:rPr>
                <w:rFonts w:hint="eastAsia" w:asciiTheme="minorEastAsia" w:hAnsiTheme="minorEastAsia" w:eastAsiaTheme="minorEastAsia"/>
                <w:color w:val="auto"/>
                <w:sz w:val="18"/>
                <w:szCs w:val="18"/>
                <w:highlight w:val="none"/>
                <w:lang w:eastAsia="zh-CN"/>
              </w:rPr>
              <w:t>中铁仁禾购物广场、永辉超市、国贸超市</w:t>
            </w:r>
            <w:r>
              <w:rPr>
                <w:rFonts w:hint="eastAsia" w:asciiTheme="minorEastAsia" w:hAnsiTheme="minorEastAsia" w:eastAsiaTheme="minorEastAsia"/>
                <w:color w:val="auto"/>
                <w:sz w:val="18"/>
                <w:szCs w:val="18"/>
                <w:highlight w:val="none"/>
              </w:rPr>
              <w:t>等购物设施</w:t>
            </w:r>
            <w:r>
              <w:rPr>
                <w:rFonts w:hint="eastAsia" w:asciiTheme="minorEastAsia" w:hAnsiTheme="minorEastAsia" w:eastAsiaTheme="minorEastAsia"/>
                <w:color w:val="auto"/>
                <w:sz w:val="18"/>
                <w:szCs w:val="18"/>
                <w:highlight w:val="none"/>
                <w:lang w:eastAsia="zh-CN"/>
              </w:rPr>
              <w:t>及临街商业</w:t>
            </w:r>
            <w:r>
              <w:rPr>
                <w:rFonts w:hint="eastAsia" w:asciiTheme="minorEastAsia" w:hAnsiTheme="minorEastAsia" w:eastAsiaTheme="minorEastAsia"/>
                <w:color w:val="auto"/>
                <w:sz w:val="18"/>
                <w:szCs w:val="18"/>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81" w:type="pct"/>
            <w:vMerge w:val="restar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交通条件</w:t>
            </w: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公交便捷度</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分布有</w:t>
            </w:r>
            <w:r>
              <w:rPr>
                <w:rFonts w:hint="eastAsia" w:asciiTheme="minorEastAsia" w:hAnsiTheme="minorEastAsia" w:eastAsiaTheme="minorEastAsia"/>
                <w:color w:val="auto"/>
                <w:sz w:val="18"/>
                <w:szCs w:val="18"/>
                <w:highlight w:val="none"/>
                <w:lang w:val="en-US" w:eastAsia="zh-CN"/>
              </w:rPr>
              <w:t>仁寿11、12、4、15、6、9</w:t>
            </w:r>
            <w:r>
              <w:rPr>
                <w:rFonts w:asciiTheme="minorEastAsia" w:hAnsiTheme="minorEastAsia" w:eastAsiaTheme="minorEastAsia"/>
                <w:color w:val="auto"/>
                <w:sz w:val="18"/>
                <w:szCs w:val="18"/>
                <w:highlight w:val="none"/>
              </w:rPr>
              <w:t>路</w:t>
            </w:r>
            <w:r>
              <w:rPr>
                <w:rFonts w:hint="eastAsia" w:asciiTheme="minorEastAsia" w:hAnsiTheme="minorEastAsia" w:eastAsiaTheme="minorEastAsia"/>
                <w:color w:val="auto"/>
                <w:sz w:val="18"/>
                <w:szCs w:val="18"/>
                <w:highlight w:val="none"/>
              </w:rPr>
              <w:t>公交车通过</w:t>
            </w:r>
            <w:r>
              <w:rPr>
                <w:rFonts w:hint="eastAsia" w:asciiTheme="minorEastAsia" w:hAnsiTheme="minorEastAsia" w:eastAsiaTheme="minorEastAsia"/>
                <w:color w:val="auto"/>
                <w:sz w:val="18"/>
                <w:szCs w:val="18"/>
                <w:highlight w:val="none"/>
                <w:lang w:eastAsia="zh-CN"/>
              </w:rPr>
              <w:t>并设有站点</w:t>
            </w:r>
            <w:r>
              <w:rPr>
                <w:rFonts w:hint="eastAsia" w:asciiTheme="minorEastAsia" w:hAnsiTheme="minorEastAsia" w:eastAsiaTheme="minorEastAsia"/>
                <w:color w:val="auto"/>
                <w:sz w:val="18"/>
                <w:szCs w:val="18"/>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color w:val="auto"/>
                <w:sz w:val="18"/>
                <w:szCs w:val="18"/>
                <w:highlight w:val="none"/>
              </w:rPr>
            </w:pP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道路通达度</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区域内道路有</w:t>
            </w:r>
            <w:r>
              <w:rPr>
                <w:rFonts w:hint="eastAsia" w:asciiTheme="minorEastAsia" w:hAnsiTheme="minorEastAsia" w:eastAsiaTheme="minorEastAsia"/>
                <w:color w:val="auto"/>
                <w:sz w:val="18"/>
                <w:szCs w:val="18"/>
                <w:highlight w:val="none"/>
                <w:lang w:eastAsia="zh-CN"/>
              </w:rPr>
              <w:t>仁寿大道、陵州大道、文锦街</w:t>
            </w:r>
            <w:r>
              <w:rPr>
                <w:rFonts w:hint="eastAsia" w:asciiTheme="minorEastAsia" w:hAnsiTheme="minorEastAsia" w:eastAsiaTheme="minorEastAsia"/>
                <w:color w:val="auto"/>
                <w:sz w:val="18"/>
                <w:szCs w:val="18"/>
                <w:highlight w:val="none"/>
              </w:rPr>
              <w:t>等主要</w:t>
            </w:r>
            <w:r>
              <w:rPr>
                <w:rFonts w:hint="eastAsia"/>
                <w:color w:val="auto"/>
                <w:sz w:val="18"/>
                <w:szCs w:val="18"/>
                <w:highlight w:val="none"/>
              </w:rPr>
              <w:t>等城市道路与外界联系</w:t>
            </w:r>
            <w:r>
              <w:rPr>
                <w:rFonts w:hint="eastAsia" w:asciiTheme="minorEastAsia" w:hAnsiTheme="minorEastAsia" w:eastAsiaTheme="minorEastAsia"/>
                <w:color w:val="auto"/>
                <w:sz w:val="18"/>
                <w:szCs w:val="18"/>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330" w:type="pct"/>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基础设施条件</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区域基础设施完善度设施条件较完善，对居民生活几乎无影响，通电、通水、通路、通讯、通气。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81" w:type="pct"/>
            <w:vMerge w:val="restar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公共配套设施</w:t>
            </w: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教育设施</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区域布局有</w:t>
            </w:r>
            <w:r>
              <w:rPr>
                <w:rFonts w:hint="eastAsia" w:asciiTheme="minorEastAsia" w:hAnsiTheme="minorEastAsia" w:eastAsiaTheme="minorEastAsia"/>
                <w:color w:val="auto"/>
                <w:sz w:val="18"/>
                <w:szCs w:val="18"/>
                <w:highlight w:val="none"/>
                <w:lang w:eastAsia="zh-CN"/>
              </w:rPr>
              <w:t>仁寿一中、仁寿县华兴中学、仁寿县城北实验初级中学</w:t>
            </w:r>
            <w:r>
              <w:rPr>
                <w:rFonts w:hint="eastAsia" w:asciiTheme="minorEastAsia" w:hAnsiTheme="minorEastAsia" w:eastAsiaTheme="minorEastAsia"/>
                <w:color w:val="auto"/>
                <w:sz w:val="18"/>
                <w:szCs w:val="18"/>
                <w:highlight w:val="none"/>
              </w:rPr>
              <w:t>等学校。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color w:val="auto"/>
                <w:sz w:val="18"/>
                <w:szCs w:val="18"/>
                <w:highlight w:val="none"/>
              </w:rPr>
            </w:pP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医疗设施</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区域布局有</w:t>
            </w:r>
            <w:r>
              <w:rPr>
                <w:rFonts w:hint="eastAsia" w:asciiTheme="minorEastAsia" w:hAnsiTheme="minorEastAsia" w:eastAsiaTheme="minorEastAsia"/>
                <w:color w:val="auto"/>
                <w:sz w:val="18"/>
                <w:szCs w:val="18"/>
                <w:highlight w:val="none"/>
                <w:lang w:eastAsia="zh-CN"/>
              </w:rPr>
              <w:t>仁寿县中医医院、仁寿县人民医院、城北社区卫生服务中心</w:t>
            </w:r>
            <w:r>
              <w:rPr>
                <w:rFonts w:hint="eastAsia" w:asciiTheme="minorEastAsia" w:hAnsiTheme="minorEastAsia" w:eastAsiaTheme="minorEastAsia"/>
                <w:color w:val="auto"/>
                <w:sz w:val="18"/>
                <w:szCs w:val="18"/>
                <w:highlight w:val="none"/>
              </w:rPr>
              <w:t>等医疗设施分布。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81" w:type="pct"/>
            <w:vMerge w:val="restar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环境状况</w:t>
            </w: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自然环境</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自然环境</w:t>
            </w:r>
            <w:r>
              <w:rPr>
                <w:rFonts w:hint="eastAsia" w:asciiTheme="minorEastAsia" w:hAnsiTheme="minorEastAsia" w:eastAsiaTheme="minorEastAsia"/>
                <w:color w:val="auto"/>
                <w:sz w:val="18"/>
                <w:szCs w:val="18"/>
                <w:highlight w:val="none"/>
                <w:lang w:eastAsia="zh-CN"/>
              </w:rPr>
              <w:t>一般</w:t>
            </w:r>
            <w:r>
              <w:rPr>
                <w:rFonts w:hint="eastAsia" w:asciiTheme="minorEastAsia" w:hAnsiTheme="minorEastAsia" w:eastAsiaTheme="minorEastAsia"/>
                <w:color w:val="auto"/>
                <w:sz w:val="18"/>
                <w:szCs w:val="18"/>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color w:val="auto"/>
                <w:sz w:val="18"/>
                <w:szCs w:val="18"/>
                <w:highlight w:val="none"/>
              </w:rPr>
            </w:pP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人文环境</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color w:val="auto"/>
                <w:sz w:val="18"/>
                <w:szCs w:val="18"/>
                <w:highlight w:val="none"/>
              </w:rPr>
              <w:t>无固定污染源，无明显噪音及粉尘污染。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0" w:type="auto"/>
            <w:vMerge w:val="continue"/>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color w:val="auto"/>
                <w:sz w:val="18"/>
                <w:szCs w:val="18"/>
                <w:highlight w:val="none"/>
              </w:rPr>
            </w:pPr>
          </w:p>
        </w:tc>
        <w:tc>
          <w:tcPr>
            <w:tcW w:w="648"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厌恶设施</w:t>
            </w:r>
          </w:p>
        </w:tc>
        <w:tc>
          <w:tcPr>
            <w:tcW w:w="3669" w:type="pct"/>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区域无厌恶设施分布。</w:t>
            </w:r>
          </w:p>
        </w:tc>
      </w:tr>
    </w:tbl>
    <w:p>
      <w:pPr>
        <w:spacing w:line="600" w:lineRule="exact"/>
        <w:ind w:firstLine="522" w:firstLineChars="200"/>
        <w:outlineLvl w:val="1"/>
        <w:rPr>
          <w:rFonts w:cs="宋体-18030" w:asciiTheme="minorEastAsia" w:hAnsiTheme="minorEastAsia" w:eastAsiaTheme="minorEastAsia"/>
          <w:b/>
          <w:color w:val="auto"/>
          <w:sz w:val="26"/>
          <w:highlight w:val="none"/>
        </w:rPr>
      </w:pPr>
      <w:bookmarkStart w:id="48" w:name="_Toc86245490"/>
      <w:r>
        <w:rPr>
          <w:rFonts w:hint="eastAsia" w:cs="宋体-18030" w:asciiTheme="minorEastAsia" w:hAnsiTheme="minorEastAsia" w:eastAsiaTheme="minorEastAsia"/>
          <w:b/>
          <w:color w:val="auto"/>
          <w:sz w:val="26"/>
          <w:highlight w:val="none"/>
        </w:rPr>
        <w:t>五、价值时点</w:t>
      </w:r>
      <w:bookmarkEnd w:id="48"/>
    </w:p>
    <w:p>
      <w:pPr>
        <w:spacing w:line="540" w:lineRule="exact"/>
        <w:ind w:left="1" w:firstLine="587"/>
        <w:rPr>
          <w:rFonts w:asciiTheme="minorEastAsia" w:hAnsiTheme="minorEastAsia" w:eastAsiaTheme="minorEastAsia"/>
          <w:color w:val="auto"/>
          <w:sz w:val="26"/>
          <w:highlight w:val="none"/>
        </w:rPr>
      </w:pPr>
      <w:bookmarkStart w:id="49" w:name="_Toc481509803"/>
      <w:bookmarkStart w:id="50" w:name="_Toc511861975"/>
      <w:bookmarkStart w:id="51" w:name="_Toc481509719"/>
      <w:r>
        <w:rPr>
          <w:rFonts w:hint="eastAsia" w:cs="宋体-18030"/>
          <w:color w:val="auto"/>
          <w:sz w:val="26"/>
          <w:highlight w:val="none"/>
        </w:rPr>
        <w:t>根据《房地产司法鉴定评估指导意见（试行）》以及《涉执房地产处置司法评估指导意见（试行）》条款规定，“房地产司法鉴定评估的估价时点原则上为评估委托之日或完成估价对象现场查勘之日”、“人民法院未明确价值时点的，一般以评估对象实地查勘完成之日作为价值时点”，本次评估估价委托人并未书面明确价值时点，我们以完成估价对象现场查勘之日为准。即</w:t>
      </w:r>
      <w:r>
        <w:rPr>
          <w:rFonts w:hint="eastAsia" w:cs="宋体-18030" w:asciiTheme="minorEastAsia" w:hAnsiTheme="minorEastAsia" w:eastAsiaTheme="minorEastAsia"/>
          <w:color w:val="auto"/>
          <w:sz w:val="26"/>
          <w:highlight w:val="none"/>
        </w:rPr>
        <w:t>估价人员于</w:t>
      </w:r>
      <w:r>
        <w:rPr>
          <w:rFonts w:hint="eastAsia" w:cs="宋体-18030" w:asciiTheme="minorEastAsia" w:hAnsiTheme="minorEastAsia" w:eastAsiaTheme="minorEastAsia"/>
          <w:color w:val="auto"/>
          <w:sz w:val="26"/>
          <w:highlight w:val="none"/>
          <w:lang w:eastAsia="zh-CN"/>
        </w:rPr>
        <w:t>2022年9月22日</w:t>
      </w:r>
      <w:r>
        <w:rPr>
          <w:rFonts w:hint="eastAsia" w:cs="宋体-18030" w:asciiTheme="minorEastAsia" w:hAnsiTheme="minorEastAsia" w:eastAsiaTheme="minorEastAsia"/>
          <w:color w:val="auto"/>
          <w:sz w:val="26"/>
          <w:highlight w:val="none"/>
        </w:rPr>
        <w:t>完成了估价对象的实地查勘，故本报告价值时点确定为实地查勘日</w:t>
      </w:r>
      <w:r>
        <w:rPr>
          <w:rFonts w:hint="eastAsia" w:cs="宋体-18030" w:asciiTheme="minorEastAsia" w:hAnsiTheme="minorEastAsia" w:eastAsiaTheme="minorEastAsia"/>
          <w:color w:val="auto"/>
          <w:sz w:val="26"/>
          <w:highlight w:val="none"/>
          <w:lang w:eastAsia="zh-CN"/>
        </w:rPr>
        <w:t>2022年9月22日</w:t>
      </w:r>
      <w:r>
        <w:rPr>
          <w:rFonts w:hint="eastAsia" w:cs="宋体-18030" w:asciiTheme="minorEastAsia" w:hAnsiTheme="minorEastAsia" w:eastAsiaTheme="minorEastAsia"/>
          <w:color w:val="auto"/>
          <w:sz w:val="26"/>
          <w:highlight w:val="none"/>
        </w:rPr>
        <w:t>。</w:t>
      </w:r>
    </w:p>
    <w:p>
      <w:pPr>
        <w:spacing w:line="600" w:lineRule="exact"/>
        <w:ind w:firstLine="522" w:firstLineChars="200"/>
        <w:outlineLvl w:val="1"/>
        <w:rPr>
          <w:rFonts w:cs="宋体-18030" w:asciiTheme="minorEastAsia" w:hAnsiTheme="minorEastAsia" w:eastAsiaTheme="minorEastAsia"/>
          <w:b/>
          <w:color w:val="auto"/>
          <w:sz w:val="26"/>
          <w:highlight w:val="none"/>
        </w:rPr>
      </w:pPr>
      <w:bookmarkStart w:id="52" w:name="_Toc86245491"/>
      <w:r>
        <w:rPr>
          <w:rFonts w:hint="eastAsia" w:cs="宋体-18030" w:asciiTheme="minorEastAsia" w:hAnsiTheme="minorEastAsia" w:eastAsiaTheme="minorEastAsia"/>
          <w:b/>
          <w:color w:val="auto"/>
          <w:sz w:val="26"/>
          <w:highlight w:val="none"/>
        </w:rPr>
        <w:t>六、价值类型</w:t>
      </w:r>
      <w:bookmarkEnd w:id="49"/>
      <w:bookmarkEnd w:id="50"/>
      <w:bookmarkEnd w:id="51"/>
      <w:bookmarkEnd w:id="52"/>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1</w:t>
      </w:r>
      <w:r>
        <w:rPr>
          <w:rFonts w:hint="eastAsia" w:cs="宋体-18030" w:asciiTheme="minorEastAsia" w:hAnsiTheme="minorEastAsia" w:eastAsiaTheme="minorEastAsia"/>
          <w:color w:val="auto"/>
          <w:sz w:val="26"/>
          <w:highlight w:val="none"/>
        </w:rPr>
        <w:t>、本报告估价结果为估价对象在价值时点的市场价值。</w:t>
      </w:r>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2</w:t>
      </w:r>
      <w:r>
        <w:rPr>
          <w:rFonts w:hint="eastAsia" w:cs="宋体-18030" w:asciiTheme="minorEastAsia" w:hAnsiTheme="minorEastAsia" w:eastAsiaTheme="minorEastAsia"/>
          <w:color w:val="auto"/>
          <w:sz w:val="26"/>
          <w:highlight w:val="none"/>
        </w:rPr>
        <w:t>、市场价值是经适当营销后，由熟悉情况、谨慎行事且不受强迫的交易双方，以公平交易方式在价值时点自愿进行交易的金额。</w:t>
      </w:r>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3</w:t>
      </w:r>
      <w:r>
        <w:rPr>
          <w:rFonts w:hint="eastAsia" w:cs="宋体-18030" w:asciiTheme="minorEastAsia" w:hAnsiTheme="minorEastAsia" w:eastAsiaTheme="minorEastAsia"/>
          <w:color w:val="auto"/>
          <w:sz w:val="26"/>
          <w:highlight w:val="none"/>
        </w:rPr>
        <w:t>、本报告估价结果是反映估价对象在本次估价目的下，根据独立、客观、公正、合法等原则确定的，在</w:t>
      </w:r>
      <w:r>
        <w:rPr>
          <w:rFonts w:hint="eastAsia" w:cs="宋体-18030" w:asciiTheme="minorEastAsia" w:hAnsiTheme="minorEastAsia" w:eastAsiaTheme="minorEastAsia"/>
          <w:color w:val="auto"/>
          <w:sz w:val="26"/>
          <w:highlight w:val="none"/>
          <w:lang w:eastAsia="zh-CN"/>
        </w:rPr>
        <w:t>2022年9月22日</w:t>
      </w:r>
      <w:r>
        <w:rPr>
          <w:rFonts w:hint="eastAsia" w:cs="宋体-18030" w:asciiTheme="minorEastAsia" w:hAnsiTheme="minorEastAsia" w:eastAsiaTheme="minorEastAsia"/>
          <w:color w:val="auto"/>
          <w:sz w:val="26"/>
          <w:highlight w:val="none"/>
        </w:rPr>
        <w:t>的市场价值，该价值内涵还包括：</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w:t>
      </w:r>
      <w:r>
        <w:rPr>
          <w:rFonts w:cs="宋体-18030" w:asciiTheme="minorEastAsia" w:hAnsiTheme="minorEastAsia" w:eastAsiaTheme="minorEastAsia"/>
          <w:color w:val="auto"/>
          <w:sz w:val="26"/>
          <w:highlight w:val="none"/>
        </w:rPr>
        <w:t>1</w:t>
      </w:r>
      <w:r>
        <w:rPr>
          <w:rFonts w:hint="eastAsia" w:cs="宋体-18030" w:asciiTheme="minorEastAsia" w:hAnsiTheme="minorEastAsia" w:eastAsiaTheme="minorEastAsia"/>
          <w:color w:val="auto"/>
          <w:sz w:val="26"/>
          <w:highlight w:val="none"/>
        </w:rPr>
        <w:t>）估价结果包含估价对象的房屋所有权（</w:t>
      </w:r>
      <w:r>
        <w:rPr>
          <w:rFonts w:hint="eastAsia" w:cs="宋体-18030" w:asciiTheme="minorEastAsia" w:hAnsiTheme="minorEastAsia" w:eastAsiaTheme="minorEastAsia"/>
          <w:color w:val="auto"/>
          <w:sz w:val="26"/>
          <w:highlight w:val="none"/>
          <w:lang w:eastAsia="zh-CN"/>
        </w:rPr>
        <w:t>含建筑物、附着在建筑物上与其功能相匹配且不可移动的室内装饰装修、设施设备</w:t>
      </w:r>
      <w:r>
        <w:rPr>
          <w:rFonts w:hint="eastAsia" w:asciiTheme="minorEastAsia" w:hAnsiTheme="minorEastAsia" w:eastAsiaTheme="minorEastAsia" w:cstheme="minorEastAsia"/>
          <w:color w:val="auto"/>
          <w:sz w:val="26"/>
          <w:highlight w:val="none"/>
        </w:rPr>
        <w:t>）及分摊的土地使用权价值</w:t>
      </w:r>
      <w:r>
        <w:rPr>
          <w:rFonts w:hint="eastAsia" w:cs="宋体-18030" w:asciiTheme="minorEastAsia" w:hAnsiTheme="minorEastAsia" w:eastAsiaTheme="minorEastAsia"/>
          <w:color w:val="auto"/>
          <w:sz w:val="26"/>
          <w:highlight w:val="none"/>
        </w:rPr>
        <w:t>。</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w:t>
      </w:r>
      <w:r>
        <w:rPr>
          <w:rFonts w:cs="宋体-18030" w:asciiTheme="minorEastAsia" w:hAnsiTheme="minorEastAsia" w:eastAsiaTheme="minorEastAsia"/>
          <w:color w:val="auto"/>
          <w:sz w:val="26"/>
          <w:highlight w:val="none"/>
        </w:rPr>
        <w:t>2</w:t>
      </w:r>
      <w:r>
        <w:rPr>
          <w:rFonts w:hint="eastAsia" w:cs="宋体-18030" w:asciiTheme="minorEastAsia" w:hAnsiTheme="minorEastAsia" w:eastAsiaTheme="minorEastAsia"/>
          <w:color w:val="auto"/>
          <w:sz w:val="26"/>
          <w:highlight w:val="none"/>
        </w:rPr>
        <w:t>）权利状况：</w:t>
      </w:r>
      <w:r>
        <w:rPr>
          <w:rFonts w:hint="eastAsia" w:cs="宋体-18030"/>
          <w:color w:val="auto"/>
          <w:sz w:val="26"/>
          <w:highlight w:val="none"/>
        </w:rPr>
        <w:t>设定估价对象无他项权利限制，土地为出让城镇住宅用地使用权</w:t>
      </w:r>
      <w:r>
        <w:rPr>
          <w:rFonts w:hint="eastAsia" w:cs="宋体-18030" w:asciiTheme="minorEastAsia" w:hAnsiTheme="minorEastAsia" w:eastAsiaTheme="minorEastAsia"/>
          <w:color w:val="auto"/>
          <w:sz w:val="26"/>
          <w:highlight w:val="none"/>
        </w:rPr>
        <w:t>。</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w:t>
      </w:r>
      <w:r>
        <w:rPr>
          <w:rFonts w:cs="宋体-18030" w:asciiTheme="minorEastAsia" w:hAnsiTheme="minorEastAsia" w:eastAsiaTheme="minorEastAsia"/>
          <w:color w:val="auto"/>
          <w:sz w:val="26"/>
          <w:highlight w:val="none"/>
        </w:rPr>
        <w:t>3</w:t>
      </w:r>
      <w:r>
        <w:rPr>
          <w:rFonts w:hint="eastAsia" w:cs="宋体-18030" w:asciiTheme="minorEastAsia" w:hAnsiTheme="minorEastAsia" w:eastAsiaTheme="minorEastAsia"/>
          <w:color w:val="auto"/>
          <w:sz w:val="26"/>
          <w:highlight w:val="none"/>
        </w:rPr>
        <w:t>）用途：住宅房地产。</w:t>
      </w:r>
      <w:r>
        <w:rPr>
          <w:rFonts w:hint="eastAsia" w:cs="宋体-18030" w:asciiTheme="minorEastAsia" w:hAnsiTheme="minorEastAsia" w:eastAsiaTheme="minorEastAsia"/>
          <w:color w:val="auto"/>
          <w:sz w:val="26"/>
          <w:highlight w:val="none"/>
        </w:rPr>
        <w:tab/>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w:t>
      </w:r>
      <w:r>
        <w:rPr>
          <w:rFonts w:cs="宋体-18030" w:asciiTheme="minorEastAsia" w:hAnsiTheme="minorEastAsia" w:eastAsiaTheme="minorEastAsia"/>
          <w:color w:val="auto"/>
          <w:sz w:val="26"/>
          <w:highlight w:val="none"/>
        </w:rPr>
        <w:t>4</w:t>
      </w:r>
      <w:r>
        <w:rPr>
          <w:rFonts w:hint="eastAsia" w:cs="宋体-18030" w:asciiTheme="minorEastAsia" w:hAnsiTheme="minorEastAsia" w:eastAsiaTheme="minorEastAsia"/>
          <w:color w:val="auto"/>
          <w:sz w:val="26"/>
          <w:highlight w:val="none"/>
        </w:rPr>
        <w:t>）房地产基础设施条件达到“六通”（通供水、通排水、通电、通气、通讯、通路）。</w:t>
      </w:r>
    </w:p>
    <w:p>
      <w:pPr>
        <w:spacing w:line="600" w:lineRule="exact"/>
        <w:ind w:firstLine="522" w:firstLineChars="200"/>
        <w:outlineLvl w:val="1"/>
        <w:rPr>
          <w:rFonts w:cs="宋体-18030" w:asciiTheme="minorEastAsia" w:hAnsiTheme="minorEastAsia" w:eastAsiaTheme="minorEastAsia"/>
          <w:b/>
          <w:color w:val="auto"/>
          <w:sz w:val="26"/>
          <w:highlight w:val="none"/>
        </w:rPr>
      </w:pPr>
      <w:bookmarkStart w:id="53" w:name="_Toc481509804"/>
      <w:bookmarkStart w:id="54" w:name="_Toc481509720"/>
      <w:bookmarkStart w:id="55" w:name="_Toc86245492"/>
      <w:bookmarkStart w:id="56" w:name="_Toc511861976"/>
      <w:r>
        <w:rPr>
          <w:rFonts w:hint="eastAsia" w:cs="宋体-18030" w:asciiTheme="minorEastAsia" w:hAnsiTheme="minorEastAsia" w:eastAsiaTheme="minorEastAsia"/>
          <w:b/>
          <w:color w:val="auto"/>
          <w:sz w:val="26"/>
          <w:highlight w:val="none"/>
        </w:rPr>
        <w:t>七、估价原则</w:t>
      </w:r>
      <w:bookmarkEnd w:id="53"/>
      <w:bookmarkEnd w:id="54"/>
      <w:bookmarkEnd w:id="55"/>
      <w:bookmarkEnd w:id="56"/>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1</w:t>
      </w:r>
      <w:r>
        <w:rPr>
          <w:rFonts w:hint="eastAsia" w:cs="宋体-18030" w:asciiTheme="minorEastAsia" w:hAnsiTheme="minorEastAsia" w:eastAsiaTheme="minorEastAsia"/>
          <w:color w:val="auto"/>
          <w:sz w:val="26"/>
          <w:highlight w:val="none"/>
        </w:rPr>
        <w:t>、独立、客观、公正原则</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独立、客观、公正原则要求估价机构和估价人员站在中立的立场上，实事求是、公平正直地评估出对各方估价利害关系人均是公平合理的价值或价格的原则。</w:t>
      </w:r>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2</w:t>
      </w:r>
      <w:r>
        <w:rPr>
          <w:rFonts w:hint="eastAsia" w:cs="宋体-18030" w:asciiTheme="minorEastAsia" w:hAnsiTheme="minorEastAsia" w:eastAsiaTheme="minorEastAsia"/>
          <w:color w:val="auto"/>
          <w:sz w:val="26"/>
          <w:highlight w:val="none"/>
        </w:rPr>
        <w:t>、合法原则</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3</w:t>
      </w:r>
      <w:r>
        <w:rPr>
          <w:rFonts w:hint="eastAsia" w:cs="宋体-18030" w:asciiTheme="minorEastAsia" w:hAnsiTheme="minorEastAsia" w:eastAsiaTheme="minorEastAsia"/>
          <w:color w:val="auto"/>
          <w:sz w:val="26"/>
          <w:highlight w:val="none"/>
        </w:rPr>
        <w:t>、价值时点原则</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4</w:t>
      </w:r>
      <w:r>
        <w:rPr>
          <w:rFonts w:hint="eastAsia" w:cs="宋体-18030" w:asciiTheme="minorEastAsia" w:hAnsiTheme="minorEastAsia" w:eastAsiaTheme="minorEastAsia"/>
          <w:color w:val="auto"/>
          <w:sz w:val="26"/>
          <w:highlight w:val="none"/>
        </w:rPr>
        <w:t>、替代原则</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pPr>
        <w:spacing w:line="600" w:lineRule="exact"/>
        <w:ind w:firstLine="520" w:firstLineChars="200"/>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5</w:t>
      </w:r>
      <w:r>
        <w:rPr>
          <w:rFonts w:hint="eastAsia" w:cs="宋体-18030" w:asciiTheme="minorEastAsia" w:hAnsiTheme="minorEastAsia" w:eastAsiaTheme="minorEastAsia"/>
          <w:color w:val="auto"/>
          <w:sz w:val="26"/>
          <w:highlight w:val="none"/>
        </w:rPr>
        <w:t>、最高最佳利用原则</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最高最佳利用原则是要求估价结果是在估价对象最高最佳利用状况下的价值或价格的原则。最高最佳利用是房地产在法律上允许、技术上可能、财务上可行并使价值最大的合理、可能的利用，包括最佳的用途、规模、档次等。</w:t>
      </w:r>
    </w:p>
    <w:p>
      <w:pPr>
        <w:spacing w:line="600" w:lineRule="exact"/>
        <w:ind w:firstLine="520" w:firstLineChars="20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总之，在估价过程中，以国家及地方的有关法律、法规为依据，做到估价过程合理，估价方法科学，估价结果准确，严格保守在估价过程中知悉的相关当事人的秘密。</w:t>
      </w:r>
    </w:p>
    <w:p>
      <w:pPr>
        <w:spacing w:line="600" w:lineRule="exact"/>
        <w:ind w:firstLine="522" w:firstLineChars="200"/>
        <w:outlineLvl w:val="1"/>
        <w:rPr>
          <w:rFonts w:cs="宋体-18030" w:asciiTheme="minorEastAsia" w:hAnsiTheme="minorEastAsia" w:eastAsiaTheme="minorEastAsia"/>
          <w:b/>
          <w:color w:val="auto"/>
          <w:sz w:val="26"/>
          <w:highlight w:val="none"/>
        </w:rPr>
      </w:pPr>
      <w:bookmarkStart w:id="57" w:name="_Toc511861977"/>
      <w:bookmarkStart w:id="58" w:name="_Toc481509721"/>
      <w:bookmarkStart w:id="59" w:name="_Toc86245493"/>
      <w:bookmarkStart w:id="60" w:name="_Toc481509805"/>
      <w:r>
        <w:rPr>
          <w:rFonts w:hint="eastAsia" w:cs="宋体-18030" w:asciiTheme="minorEastAsia" w:hAnsiTheme="minorEastAsia" w:eastAsiaTheme="minorEastAsia"/>
          <w:b/>
          <w:color w:val="auto"/>
          <w:sz w:val="26"/>
          <w:highlight w:val="none"/>
        </w:rPr>
        <w:t>八、估价依据</w:t>
      </w:r>
      <w:bookmarkEnd w:id="57"/>
      <w:bookmarkEnd w:id="58"/>
      <w:bookmarkEnd w:id="59"/>
      <w:bookmarkEnd w:id="60"/>
    </w:p>
    <w:p>
      <w:pPr>
        <w:tabs>
          <w:tab w:val="left" w:pos="180"/>
        </w:tabs>
        <w:spacing w:line="600" w:lineRule="exact"/>
        <w:ind w:firstLine="618"/>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（一）国家及地方相关法律、法规、规章及文件</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1、</w:t>
      </w:r>
      <w:r>
        <w:rPr>
          <w:rFonts w:cs="宋体-18030"/>
          <w:color w:val="auto"/>
          <w:sz w:val="26"/>
          <w:szCs w:val="20"/>
          <w:highlight w:val="none"/>
        </w:rPr>
        <w:t>《</w:t>
      </w:r>
      <w:r>
        <w:rPr>
          <w:color w:val="auto"/>
          <w:highlight w:val="none"/>
        </w:rPr>
        <w:fldChar w:fldCharType="begin"/>
      </w:r>
      <w:r>
        <w:rPr>
          <w:color w:val="auto"/>
          <w:highlight w:val="none"/>
        </w:rPr>
        <w:instrText xml:space="preserve"> HYPERLINK "https://baike.baidu.com/item/%E4%B8%AD%E5%8D%8E%E4%BA%BA%E6%B0%91%E5%85%B1%E5%92%8C%E5%9B%BD%E6%B0%91%E6%B3%95%E5%85%B8/19435116" \t "_blank" </w:instrText>
      </w:r>
      <w:r>
        <w:rPr>
          <w:color w:val="auto"/>
          <w:highlight w:val="none"/>
        </w:rPr>
        <w:fldChar w:fldCharType="separate"/>
      </w:r>
      <w:r>
        <w:rPr>
          <w:rFonts w:cs="宋体-18030"/>
          <w:color w:val="auto"/>
          <w:sz w:val="26"/>
          <w:szCs w:val="20"/>
          <w:highlight w:val="none"/>
        </w:rPr>
        <w:t>中华人民共和国民法典</w:t>
      </w:r>
      <w:r>
        <w:rPr>
          <w:rFonts w:cs="宋体-18030"/>
          <w:color w:val="auto"/>
          <w:sz w:val="26"/>
          <w:szCs w:val="20"/>
          <w:highlight w:val="none"/>
        </w:rPr>
        <w:fldChar w:fldCharType="end"/>
      </w:r>
      <w:r>
        <w:rPr>
          <w:rFonts w:hint="eastAsia" w:cs="宋体-18030"/>
          <w:color w:val="auto"/>
          <w:sz w:val="26"/>
          <w:szCs w:val="20"/>
          <w:highlight w:val="none"/>
        </w:rPr>
        <w:t>》</w:t>
      </w:r>
      <w:r>
        <w:rPr>
          <w:rFonts w:cs="宋体-18030"/>
          <w:color w:val="auto"/>
          <w:sz w:val="26"/>
          <w:szCs w:val="20"/>
          <w:highlight w:val="none"/>
        </w:rPr>
        <w:t>(中华人民共和国主席令第45号</w:t>
      </w:r>
      <w:r>
        <w:rPr>
          <w:rFonts w:hint="eastAsia" w:cs="宋体-18030"/>
          <w:color w:val="auto"/>
          <w:sz w:val="26"/>
          <w:szCs w:val="20"/>
          <w:highlight w:val="none"/>
        </w:rPr>
        <w:t>，</w:t>
      </w:r>
      <w:r>
        <w:rPr>
          <w:rFonts w:cs="宋体-18030"/>
          <w:color w:val="auto"/>
          <w:sz w:val="26"/>
          <w:szCs w:val="20"/>
          <w:highlight w:val="none"/>
        </w:rPr>
        <w:t>自2021年1月1日起施行</w:t>
      </w:r>
      <w:r>
        <w:rPr>
          <w:rFonts w:hint="eastAsia" w:cs="宋体-18030"/>
          <w:color w:val="auto"/>
          <w:sz w:val="26"/>
          <w:szCs w:val="20"/>
          <w:highlight w:val="none"/>
        </w:rPr>
        <w:t>）；</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2、《中华人民共和国城市房地产管理法》（中华人民共和国主席令第32号，2019年8月26日修订通过，</w:t>
      </w:r>
      <w:r>
        <w:rPr>
          <w:rFonts w:cs="宋体-18030"/>
          <w:color w:val="auto"/>
          <w:sz w:val="26"/>
          <w:szCs w:val="20"/>
          <w:highlight w:val="none"/>
        </w:rPr>
        <w:t>2020年1月1日起施行</w:t>
      </w:r>
      <w:r>
        <w:rPr>
          <w:rFonts w:hint="eastAsia" w:cs="宋体-18030"/>
          <w:color w:val="auto"/>
          <w:sz w:val="26"/>
          <w:szCs w:val="20"/>
          <w:highlight w:val="none"/>
        </w:rPr>
        <w:t>）；</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3、《中华人民共和国土地管理法》（中华人民共和国主席令第32号，2019年8月26日修订通过，</w:t>
      </w:r>
      <w:r>
        <w:rPr>
          <w:rFonts w:cs="宋体-18030"/>
          <w:color w:val="auto"/>
          <w:sz w:val="26"/>
          <w:szCs w:val="20"/>
          <w:highlight w:val="none"/>
        </w:rPr>
        <w:t>2020年1月1日起施行</w:t>
      </w:r>
      <w:r>
        <w:rPr>
          <w:rFonts w:hint="eastAsia" w:cs="宋体-18030"/>
          <w:color w:val="auto"/>
          <w:sz w:val="26"/>
          <w:szCs w:val="20"/>
          <w:highlight w:val="none"/>
        </w:rPr>
        <w:t>）；</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4、《中华人民共和国资产评估法》（中华人民共和国主席令第46号，自2016年12月1日起施行）；</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5、《中华人民共和国城镇国有土地使用权出让和转让暂行条例》（中华人民共和国国务院令第55号，自1990年5月17日起施行，中华人民共和国国务院令第</w:t>
      </w:r>
      <w:r>
        <w:rPr>
          <w:rFonts w:cs="宋体-18030"/>
          <w:color w:val="auto"/>
          <w:sz w:val="26"/>
          <w:szCs w:val="20"/>
          <w:highlight w:val="none"/>
        </w:rPr>
        <w:t>732号</w:t>
      </w:r>
      <w:r>
        <w:rPr>
          <w:rFonts w:hint="eastAsia" w:cs="宋体-18030"/>
          <w:color w:val="auto"/>
          <w:sz w:val="26"/>
          <w:szCs w:val="20"/>
          <w:highlight w:val="none"/>
        </w:rPr>
        <w:t>于</w:t>
      </w:r>
      <w:r>
        <w:rPr>
          <w:rFonts w:cs="宋体-18030"/>
          <w:color w:val="auto"/>
          <w:sz w:val="26"/>
          <w:szCs w:val="20"/>
          <w:highlight w:val="none"/>
        </w:rPr>
        <w:t>2020年11月29日</w:t>
      </w:r>
      <w:r>
        <w:rPr>
          <w:rFonts w:hint="eastAsia" w:cs="宋体-18030"/>
          <w:color w:val="auto"/>
          <w:sz w:val="26"/>
          <w:szCs w:val="20"/>
          <w:highlight w:val="none"/>
        </w:rPr>
        <w:t>公布修订版）；</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 xml:space="preserve">6、《最高人民法院关于人民法院确定财产处置参考价若干问题的规定》（法释[2018]15号，自2018年9月1日起施行）； </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7、《关于印发&lt;人民法院委托评估工作规范&gt;的通知》（法办〔2018〕273号，自2018年12月10日起施行）；</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8、《四川省住房和城乡建设厅房地产司法鉴定评估指导意见（试行）》（川建房发[2011]89号，自2011年3月30日起施行）；</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9、《四川省高级人民法院 四川省住房和城乡建设厅关于规范房地产司法鉴定评估工作的通知》（川高法[2011]99号）；</w:t>
      </w:r>
    </w:p>
    <w:p>
      <w:pPr>
        <w:tabs>
          <w:tab w:val="left" w:pos="180"/>
          <w:tab w:val="left" w:pos="993"/>
        </w:tabs>
        <w:spacing w:line="540" w:lineRule="exact"/>
        <w:ind w:firstLine="520" w:firstLineChars="200"/>
        <w:rPr>
          <w:rFonts w:cs="宋体-18030"/>
          <w:color w:val="auto"/>
          <w:sz w:val="26"/>
          <w:szCs w:val="20"/>
          <w:highlight w:val="none"/>
        </w:rPr>
      </w:pPr>
      <w:r>
        <w:rPr>
          <w:rFonts w:hint="eastAsia" w:cs="宋体-18030"/>
          <w:color w:val="auto"/>
          <w:sz w:val="26"/>
          <w:szCs w:val="20"/>
          <w:highlight w:val="none"/>
        </w:rPr>
        <w:t>10、《中房学</w:t>
      </w:r>
      <w:r>
        <w:rPr>
          <w:rFonts w:hint="eastAsia" w:cs="宋体-18030"/>
          <w:color w:val="auto"/>
          <w:sz w:val="26"/>
          <w:highlight w:val="none"/>
        </w:rPr>
        <w:t>关于印发&lt;涉执房地产处置司法评估指导意见（试行）&gt;的通知》（自</w:t>
      </w:r>
      <w:r>
        <w:rPr>
          <w:rFonts w:hint="eastAsia" w:cs="宋体-18030"/>
          <w:color w:val="auto"/>
          <w:sz w:val="26"/>
          <w:szCs w:val="20"/>
          <w:highlight w:val="none"/>
        </w:rPr>
        <w:t>2021年9月1日起施行）；</w:t>
      </w:r>
    </w:p>
    <w:p>
      <w:pPr>
        <w:tabs>
          <w:tab w:val="left" w:pos="180"/>
          <w:tab w:val="left" w:pos="993"/>
        </w:tabs>
        <w:spacing w:line="540" w:lineRule="exact"/>
        <w:ind w:firstLine="520" w:firstLineChars="200"/>
        <w:rPr>
          <w:rFonts w:cs="宋体-18030"/>
          <w:color w:val="auto"/>
          <w:sz w:val="26"/>
          <w:highlight w:val="none"/>
        </w:rPr>
      </w:pPr>
      <w:r>
        <w:rPr>
          <w:rFonts w:hint="eastAsia" w:cs="宋体-18030"/>
          <w:color w:val="auto"/>
          <w:sz w:val="26"/>
          <w:szCs w:val="20"/>
          <w:highlight w:val="none"/>
        </w:rPr>
        <w:t>11、其他相关法律、法规、规章及文件</w:t>
      </w:r>
      <w:r>
        <w:rPr>
          <w:rFonts w:hint="eastAsia" w:cs="宋体-18030"/>
          <w:color w:val="auto"/>
          <w:sz w:val="26"/>
          <w:highlight w:val="none"/>
        </w:rPr>
        <w:t>。</w:t>
      </w:r>
    </w:p>
    <w:p>
      <w:pPr>
        <w:tabs>
          <w:tab w:val="left" w:pos="180"/>
        </w:tabs>
        <w:spacing w:line="600" w:lineRule="exact"/>
        <w:ind w:firstLine="618"/>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ab/>
      </w:r>
      <w:r>
        <w:rPr>
          <w:rFonts w:hint="eastAsia" w:cs="宋体-18030" w:asciiTheme="minorEastAsia" w:hAnsiTheme="minorEastAsia" w:eastAsiaTheme="minorEastAsia"/>
          <w:color w:val="auto"/>
          <w:sz w:val="26"/>
          <w:highlight w:val="none"/>
        </w:rPr>
        <w:t>（二）房地产估价相关技术标准</w:t>
      </w:r>
    </w:p>
    <w:p>
      <w:pPr>
        <w:tabs>
          <w:tab w:val="left" w:pos="180"/>
        </w:tabs>
        <w:spacing w:line="600" w:lineRule="exact"/>
        <w:ind w:firstLine="618"/>
        <w:rPr>
          <w:rFonts w:cs="宋体-18030"/>
          <w:color w:val="auto"/>
          <w:sz w:val="26"/>
          <w:highlight w:val="none"/>
        </w:rPr>
      </w:pPr>
      <w:r>
        <w:rPr>
          <w:rFonts w:hint="eastAsia" w:cs="宋体-18030"/>
          <w:color w:val="auto"/>
          <w:sz w:val="26"/>
          <w:highlight w:val="none"/>
        </w:rPr>
        <w:t>1、《房地产估价规范》(GB/T50291-2015)；</w:t>
      </w:r>
    </w:p>
    <w:p>
      <w:pPr>
        <w:tabs>
          <w:tab w:val="left" w:pos="180"/>
        </w:tabs>
        <w:spacing w:line="600" w:lineRule="exact"/>
        <w:ind w:firstLine="618"/>
        <w:rPr>
          <w:rFonts w:cs="宋体-18030"/>
          <w:color w:val="auto"/>
          <w:sz w:val="26"/>
          <w:highlight w:val="none"/>
        </w:rPr>
      </w:pPr>
      <w:r>
        <w:rPr>
          <w:rFonts w:hint="eastAsia" w:cs="宋体-18030"/>
          <w:color w:val="auto"/>
          <w:sz w:val="26"/>
          <w:highlight w:val="none"/>
        </w:rPr>
        <w:t>2、《城镇土地估价规程》（GB/T18508-2014）；</w:t>
      </w:r>
    </w:p>
    <w:p>
      <w:pPr>
        <w:tabs>
          <w:tab w:val="left" w:pos="180"/>
        </w:tabs>
        <w:spacing w:line="600" w:lineRule="exact"/>
        <w:ind w:firstLine="618"/>
        <w:rPr>
          <w:rFonts w:cs="宋体-18030"/>
          <w:color w:val="auto"/>
          <w:sz w:val="26"/>
          <w:highlight w:val="none"/>
        </w:rPr>
      </w:pPr>
      <w:r>
        <w:rPr>
          <w:rFonts w:hint="eastAsia" w:cs="宋体-18030"/>
          <w:color w:val="auto"/>
          <w:sz w:val="26"/>
          <w:highlight w:val="none"/>
        </w:rPr>
        <w:t>3、《房地产估价基本术语标准》（GB/T50899-2013）；</w:t>
      </w:r>
    </w:p>
    <w:p>
      <w:pPr>
        <w:tabs>
          <w:tab w:val="left" w:pos="180"/>
        </w:tabs>
        <w:spacing w:line="600" w:lineRule="exact"/>
        <w:ind w:firstLine="618"/>
        <w:rPr>
          <w:rFonts w:cs="宋体-18030" w:asciiTheme="minorEastAsia" w:hAnsiTheme="minorEastAsia" w:eastAsiaTheme="minorEastAsia"/>
          <w:color w:val="auto"/>
          <w:sz w:val="26"/>
          <w:highlight w:val="none"/>
        </w:rPr>
      </w:pPr>
      <w:r>
        <w:rPr>
          <w:rFonts w:hint="eastAsia" w:cs="宋体-18030"/>
          <w:color w:val="auto"/>
          <w:sz w:val="26"/>
          <w:highlight w:val="none"/>
        </w:rPr>
        <w:t>4、《涉执房地产处置司法评估指导意见（试行）》。</w:t>
      </w:r>
    </w:p>
    <w:p>
      <w:pPr>
        <w:tabs>
          <w:tab w:val="left" w:pos="180"/>
        </w:tabs>
        <w:spacing w:line="600" w:lineRule="exact"/>
        <w:ind w:firstLine="618"/>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ab/>
      </w:r>
      <w:r>
        <w:rPr>
          <w:rFonts w:hint="eastAsia" w:cs="宋体-18030" w:asciiTheme="minorEastAsia" w:hAnsiTheme="minorEastAsia" w:eastAsiaTheme="minorEastAsia"/>
          <w:color w:val="auto"/>
          <w:sz w:val="26"/>
          <w:highlight w:val="none"/>
        </w:rPr>
        <w:t>（三）估价委托人提供的与估价对象有关的资料</w:t>
      </w:r>
    </w:p>
    <w:p>
      <w:pPr>
        <w:tabs>
          <w:tab w:val="left" w:pos="180"/>
        </w:tabs>
        <w:spacing w:line="600" w:lineRule="exact"/>
        <w:ind w:firstLine="618"/>
        <w:rPr>
          <w:rFonts w:hint="eastAsia" w:eastAsia="宋体" w:cs="宋体-18030" w:asciiTheme="minorEastAsia" w:hAnsiTheme="minorEastAsia"/>
          <w:color w:val="auto"/>
          <w:sz w:val="26"/>
          <w:highlight w:val="none"/>
          <w:lang w:eastAsia="zh-CN"/>
        </w:rPr>
      </w:pPr>
      <w:r>
        <w:rPr>
          <w:rFonts w:hint="eastAsia" w:cs="宋体-18030"/>
          <w:color w:val="auto"/>
          <w:spacing w:val="-8"/>
          <w:sz w:val="26"/>
          <w:highlight w:val="none"/>
          <w:lang w:val="en-US" w:eastAsia="zh-CN"/>
        </w:rPr>
        <w:t>1、</w:t>
      </w:r>
      <w:r>
        <w:rPr>
          <w:rFonts w:hint="eastAsia" w:cs="宋体-18030"/>
          <w:color w:val="auto"/>
          <w:spacing w:val="-8"/>
          <w:sz w:val="26"/>
          <w:highlight w:val="none"/>
          <w:lang w:eastAsia="zh-CN"/>
        </w:rPr>
        <w:t>《四川省成都市中级人民法院委托书》《评估财产清单》</w:t>
      </w:r>
      <w:r>
        <w:rPr>
          <w:rFonts w:hint="eastAsia" w:cs="宋体-18030" w:asciiTheme="minorEastAsia" w:hAnsiTheme="minorEastAsia" w:eastAsiaTheme="minorEastAsia"/>
          <w:color w:val="auto"/>
          <w:sz w:val="26"/>
          <w:highlight w:val="none"/>
          <w:lang w:eastAsia="zh-CN"/>
        </w:rPr>
        <w:t>；</w:t>
      </w:r>
    </w:p>
    <w:p>
      <w:pPr>
        <w:tabs>
          <w:tab w:val="left" w:pos="180"/>
        </w:tabs>
        <w:spacing w:line="600" w:lineRule="exact"/>
        <w:ind w:firstLine="618"/>
        <w:rPr>
          <w:rFonts w:hint="eastAsia" w:cs="宋体-18030" w:asciiTheme="minorEastAsia" w:hAnsiTheme="minorEastAsia" w:eastAsiaTheme="minorEastAsia"/>
          <w:color w:val="auto"/>
          <w:sz w:val="26"/>
          <w:highlight w:val="none"/>
          <w:lang w:val="en-US" w:eastAsia="zh-CN"/>
        </w:rPr>
      </w:pPr>
      <w:r>
        <w:rPr>
          <w:rFonts w:hint="eastAsia" w:cs="宋体-18030" w:asciiTheme="minorEastAsia" w:hAnsiTheme="minorEastAsia" w:eastAsiaTheme="minorEastAsia"/>
          <w:color w:val="auto"/>
          <w:sz w:val="26"/>
          <w:highlight w:val="none"/>
          <w:lang w:val="en-US" w:eastAsia="zh-CN"/>
        </w:rPr>
        <w:t>2、《抵押给成都中合利方投资管理合伙企业（有限合伙）的房产信息》（复印件）；</w:t>
      </w:r>
    </w:p>
    <w:p>
      <w:pPr>
        <w:tabs>
          <w:tab w:val="left" w:pos="180"/>
        </w:tabs>
        <w:spacing w:line="600" w:lineRule="exact"/>
        <w:ind w:firstLine="618"/>
        <w:rPr>
          <w:rFonts w:hint="eastAsia" w:cs="宋体-18030" w:asciiTheme="minorEastAsia" w:hAnsiTheme="minorEastAsia" w:eastAsiaTheme="minorEastAsia"/>
          <w:color w:val="auto"/>
          <w:sz w:val="26"/>
          <w:highlight w:val="none"/>
          <w:lang w:val="en-US" w:eastAsia="zh-CN"/>
        </w:rPr>
      </w:pPr>
      <w:r>
        <w:rPr>
          <w:rFonts w:hint="eastAsia" w:cs="宋体-18030" w:asciiTheme="minorEastAsia" w:hAnsiTheme="minorEastAsia" w:eastAsiaTheme="minorEastAsia"/>
          <w:color w:val="auto"/>
          <w:sz w:val="26"/>
          <w:highlight w:val="none"/>
          <w:lang w:val="en-US" w:eastAsia="zh-CN"/>
        </w:rPr>
        <w:t>3、《查封众志公司的财产清单-未抵押给合利方的其他房产信息》（复印件）；</w:t>
      </w:r>
    </w:p>
    <w:p>
      <w:pPr>
        <w:tabs>
          <w:tab w:val="left" w:pos="180"/>
        </w:tabs>
        <w:spacing w:line="600" w:lineRule="exact"/>
        <w:ind w:firstLine="618"/>
        <w:rPr>
          <w:rFonts w:hint="eastAsia" w:cs="宋体-18030" w:asciiTheme="minorEastAsia" w:hAnsiTheme="minorEastAsia" w:eastAsiaTheme="minorEastAsia"/>
          <w:color w:val="auto"/>
          <w:sz w:val="26"/>
          <w:highlight w:val="none"/>
          <w:lang w:val="en-US" w:eastAsia="zh-CN"/>
        </w:rPr>
      </w:pPr>
      <w:r>
        <w:rPr>
          <w:rFonts w:hint="eastAsia" w:cs="宋体-18030" w:asciiTheme="minorEastAsia" w:hAnsiTheme="minorEastAsia" w:eastAsiaTheme="minorEastAsia"/>
          <w:color w:val="auto"/>
          <w:sz w:val="26"/>
          <w:highlight w:val="none"/>
          <w:lang w:val="en-US" w:eastAsia="zh-CN"/>
        </w:rPr>
        <w:t>4、《土地登记审批表》复印件；</w:t>
      </w:r>
    </w:p>
    <w:p>
      <w:pPr>
        <w:tabs>
          <w:tab w:val="left" w:pos="180"/>
        </w:tabs>
        <w:spacing w:line="600" w:lineRule="exact"/>
        <w:ind w:firstLine="618"/>
        <w:rPr>
          <w:rFonts w:hint="eastAsia" w:cs="宋体-18030" w:asciiTheme="minorEastAsia" w:hAnsiTheme="minorEastAsia" w:eastAsiaTheme="minorEastAsia"/>
          <w:color w:val="auto"/>
          <w:sz w:val="26"/>
          <w:highlight w:val="none"/>
          <w:lang w:val="en-US" w:eastAsia="zh-CN"/>
        </w:rPr>
      </w:pPr>
      <w:r>
        <w:rPr>
          <w:rFonts w:hint="eastAsia" w:cs="宋体-18030" w:asciiTheme="minorEastAsia" w:hAnsiTheme="minorEastAsia" w:eastAsiaTheme="minorEastAsia"/>
          <w:color w:val="auto"/>
          <w:sz w:val="26"/>
          <w:highlight w:val="none"/>
          <w:lang w:val="en-US" w:eastAsia="zh-CN"/>
        </w:rPr>
        <w:t>5、《查封清单》（复印件）；</w:t>
      </w:r>
    </w:p>
    <w:p>
      <w:pPr>
        <w:tabs>
          <w:tab w:val="left" w:pos="180"/>
        </w:tabs>
        <w:spacing w:line="600" w:lineRule="exact"/>
        <w:ind w:firstLine="618"/>
        <w:rPr>
          <w:rFonts w:hint="eastAsia" w:cs="宋体-18030" w:asciiTheme="minorEastAsia" w:hAnsiTheme="minorEastAsia" w:eastAsiaTheme="minorEastAsia"/>
          <w:color w:val="auto"/>
          <w:sz w:val="26"/>
          <w:highlight w:val="none"/>
          <w:lang w:val="en-US" w:eastAsia="zh-CN"/>
        </w:rPr>
      </w:pPr>
      <w:r>
        <w:rPr>
          <w:rFonts w:hint="eastAsia" w:cs="宋体-18030" w:asciiTheme="minorEastAsia" w:hAnsiTheme="minorEastAsia" w:eastAsiaTheme="minorEastAsia"/>
          <w:color w:val="auto"/>
          <w:sz w:val="26"/>
          <w:highlight w:val="none"/>
          <w:lang w:val="en-US" w:eastAsia="zh-CN"/>
        </w:rPr>
        <w:t>6、《平面图》（复印件）；</w:t>
      </w:r>
    </w:p>
    <w:p>
      <w:pPr>
        <w:tabs>
          <w:tab w:val="left" w:pos="180"/>
        </w:tabs>
        <w:spacing w:line="600" w:lineRule="exact"/>
        <w:ind w:firstLine="618"/>
        <w:rPr>
          <w:rFonts w:hint="eastAsia" w:cs="宋体-18030" w:asciiTheme="minorEastAsia" w:hAnsiTheme="minorEastAsia" w:eastAsiaTheme="minorEastAsia"/>
          <w:color w:val="auto"/>
          <w:sz w:val="26"/>
          <w:highlight w:val="none"/>
          <w:lang w:val="en-US" w:eastAsia="zh-CN"/>
        </w:rPr>
      </w:pPr>
      <w:r>
        <w:rPr>
          <w:rFonts w:hint="eastAsia" w:cs="宋体-18030" w:asciiTheme="minorEastAsia" w:hAnsiTheme="minorEastAsia" w:eastAsiaTheme="minorEastAsia"/>
          <w:color w:val="auto"/>
          <w:sz w:val="26"/>
          <w:highlight w:val="none"/>
          <w:lang w:val="en-US" w:eastAsia="zh-CN"/>
        </w:rPr>
        <w:t>7、</w:t>
      </w:r>
      <w:r>
        <w:rPr>
          <w:rFonts w:hint="eastAsia" w:cs="宋体-18030" w:asciiTheme="minorEastAsia" w:hAnsiTheme="minorEastAsia" w:eastAsiaTheme="minorEastAsia"/>
          <w:color w:val="auto"/>
          <w:sz w:val="26"/>
          <w:highlight w:val="none"/>
          <w:lang w:val="en-US" w:eastAsia="zh-CN"/>
        </w:rPr>
        <w:tab/>
      </w:r>
      <w:r>
        <w:rPr>
          <w:rFonts w:hint="eastAsia" w:cs="宋体-18030" w:asciiTheme="minorEastAsia" w:hAnsiTheme="minorEastAsia" w:eastAsiaTheme="minorEastAsia"/>
          <w:color w:val="auto"/>
          <w:sz w:val="26"/>
          <w:highlight w:val="none"/>
          <w:lang w:val="en-US" w:eastAsia="zh-CN"/>
        </w:rPr>
        <w:t>其他资料。</w:t>
      </w:r>
    </w:p>
    <w:p>
      <w:pPr>
        <w:tabs>
          <w:tab w:val="left" w:pos="180"/>
        </w:tabs>
        <w:spacing w:line="600" w:lineRule="exact"/>
        <w:ind w:firstLine="618"/>
        <w:rPr>
          <w:rFonts w:cs="宋体-18030" w:asciiTheme="minorEastAsia" w:hAnsiTheme="minorEastAsia" w:eastAsiaTheme="minorEastAsia"/>
          <w:color w:val="auto"/>
          <w:sz w:val="26"/>
          <w:highlight w:val="none"/>
        </w:rPr>
      </w:pPr>
      <w:r>
        <w:rPr>
          <w:rFonts w:hint="eastAsia" w:cs="宋体-18030"/>
          <w:color w:val="auto"/>
          <w:sz w:val="26"/>
          <w:highlight w:val="none"/>
        </w:rPr>
        <w:t>（四）</w:t>
      </w:r>
      <w:r>
        <w:rPr>
          <w:rFonts w:hint="eastAsia" w:cs="宋体-18030" w:asciiTheme="minorEastAsia" w:hAnsiTheme="minorEastAsia" w:eastAsiaTheme="minorEastAsia"/>
          <w:color w:val="auto"/>
          <w:sz w:val="26"/>
          <w:highlight w:val="none"/>
        </w:rPr>
        <w:t>房地产实地查勘记录表</w:t>
      </w:r>
    </w:p>
    <w:p>
      <w:pPr>
        <w:tabs>
          <w:tab w:val="left" w:pos="180"/>
        </w:tabs>
        <w:spacing w:line="600" w:lineRule="exact"/>
        <w:ind w:firstLine="618"/>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w:t>
      </w:r>
      <w:r>
        <w:rPr>
          <w:rFonts w:hint="eastAsia" w:cs="宋体-18030" w:asciiTheme="minorEastAsia" w:hAnsiTheme="minorEastAsia" w:eastAsiaTheme="minorEastAsia"/>
          <w:color w:val="auto"/>
          <w:sz w:val="26"/>
          <w:highlight w:val="none"/>
          <w:lang w:eastAsia="zh-CN"/>
        </w:rPr>
        <w:t>无</w:t>
      </w:r>
      <w:r>
        <w:rPr>
          <w:rFonts w:hint="eastAsia" w:cs="宋体-18030" w:asciiTheme="minorEastAsia" w:hAnsiTheme="minorEastAsia" w:eastAsiaTheme="minorEastAsia"/>
          <w:color w:val="auto"/>
          <w:sz w:val="26"/>
          <w:highlight w:val="none"/>
        </w:rPr>
        <w:t>）本公司掌握和搜集的有关估价对象资料及市场调查资料</w:t>
      </w:r>
    </w:p>
    <w:p>
      <w:pPr>
        <w:spacing w:line="600" w:lineRule="exact"/>
        <w:ind w:firstLine="522" w:firstLineChars="200"/>
        <w:outlineLvl w:val="1"/>
        <w:rPr>
          <w:rFonts w:cs="宋体-18030" w:asciiTheme="minorEastAsia" w:hAnsiTheme="minorEastAsia" w:eastAsiaTheme="minorEastAsia"/>
          <w:b/>
          <w:color w:val="auto"/>
          <w:sz w:val="26"/>
          <w:highlight w:val="none"/>
        </w:rPr>
      </w:pPr>
      <w:bookmarkStart w:id="61" w:name="_Toc86245494"/>
      <w:bookmarkStart w:id="62" w:name="_Toc481509722"/>
      <w:bookmarkStart w:id="63" w:name="_Toc481509806"/>
      <w:bookmarkStart w:id="64" w:name="_Toc511861978"/>
      <w:r>
        <w:rPr>
          <w:rFonts w:hint="eastAsia" w:cs="宋体-18030" w:asciiTheme="minorEastAsia" w:hAnsiTheme="minorEastAsia" w:eastAsiaTheme="minorEastAsia"/>
          <w:b/>
          <w:color w:val="auto"/>
          <w:sz w:val="26"/>
          <w:highlight w:val="none"/>
        </w:rPr>
        <w:t>九、估价方法</w:t>
      </w:r>
      <w:bookmarkEnd w:id="61"/>
      <w:bookmarkEnd w:id="62"/>
      <w:bookmarkEnd w:id="63"/>
      <w:bookmarkEnd w:id="64"/>
    </w:p>
    <w:p>
      <w:pPr>
        <w:tabs>
          <w:tab w:val="left" w:pos="180"/>
        </w:tabs>
        <w:spacing w:line="600" w:lineRule="exact"/>
        <w:ind w:firstLine="602"/>
        <w:rPr>
          <w:rFonts w:cs="宋体-18030" w:asciiTheme="minorEastAsia" w:hAnsiTheme="minorEastAsia" w:eastAsiaTheme="minorEastAsia"/>
          <w:color w:val="auto"/>
          <w:sz w:val="26"/>
          <w:szCs w:val="26"/>
          <w:highlight w:val="none"/>
        </w:rPr>
      </w:pPr>
      <w:bookmarkStart w:id="65" w:name="_Toc532308284"/>
      <w:bookmarkStart w:id="66" w:name="_Toc481509723"/>
      <w:bookmarkStart w:id="67" w:name="_Toc481509807"/>
      <w:r>
        <w:rPr>
          <w:rFonts w:hint="eastAsia" w:cs="宋体-18030" w:asciiTheme="minorEastAsia" w:hAnsiTheme="minorEastAsia" w:eastAsiaTheme="minorEastAsia"/>
          <w:color w:val="auto"/>
          <w:sz w:val="26"/>
          <w:szCs w:val="26"/>
          <w:highlight w:val="none"/>
        </w:rPr>
        <w:t>（一）估价方法的介绍</w:t>
      </w:r>
      <w:bookmarkEnd w:id="65"/>
    </w:p>
    <w:p>
      <w:pPr>
        <w:tabs>
          <w:tab w:val="left" w:pos="180"/>
        </w:tabs>
        <w:spacing w:line="600" w:lineRule="exact"/>
        <w:ind w:firstLine="602"/>
        <w:rPr>
          <w:rFonts w:cs="宋体-18030" w:asciiTheme="minorEastAsia" w:hAnsiTheme="minorEastAsia" w:eastAsiaTheme="minorEastAsia"/>
          <w:color w:val="auto"/>
          <w:sz w:val="26"/>
          <w:szCs w:val="26"/>
          <w:highlight w:val="none"/>
        </w:rPr>
      </w:pPr>
      <w:bookmarkStart w:id="68" w:name="_Toc532308285"/>
      <w:r>
        <w:rPr>
          <w:rFonts w:hint="eastAsia" w:cs="宋体-18030" w:asciiTheme="minorEastAsia" w:hAnsiTheme="minorEastAsia" w:eastAsiaTheme="minorEastAsia"/>
          <w:color w:val="auto"/>
          <w:sz w:val="26"/>
          <w:szCs w:val="26"/>
          <w:highlight w:val="none"/>
        </w:rPr>
        <w:t>房地产估价的常用方法有比较法、收益法、成本法、假设开发法等。</w:t>
      </w:r>
      <w:bookmarkEnd w:id="68"/>
    </w:p>
    <w:p>
      <w:pPr>
        <w:tabs>
          <w:tab w:val="left" w:pos="180"/>
        </w:tabs>
        <w:spacing w:line="600" w:lineRule="exact"/>
        <w:ind w:firstLine="602"/>
        <w:rPr>
          <w:rFonts w:cs="宋体-18030" w:asciiTheme="minorEastAsia" w:hAnsiTheme="minorEastAsia" w:eastAsiaTheme="minorEastAsia"/>
          <w:color w:val="auto"/>
          <w:sz w:val="26"/>
          <w:szCs w:val="26"/>
          <w:highlight w:val="none"/>
        </w:rPr>
      </w:pPr>
      <w:bookmarkStart w:id="69" w:name="_Toc532308286"/>
      <w:r>
        <w:rPr>
          <w:rFonts w:hint="eastAsia" w:cs="宋体-18030" w:asciiTheme="minorEastAsia" w:hAnsiTheme="minorEastAsia" w:eastAsiaTheme="minorEastAsia"/>
          <w:color w:val="auto"/>
          <w:sz w:val="26"/>
          <w:szCs w:val="26"/>
          <w:highlight w:val="none"/>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9"/>
    </w:p>
    <w:p>
      <w:pPr>
        <w:tabs>
          <w:tab w:val="left" w:pos="180"/>
        </w:tabs>
        <w:spacing w:line="600" w:lineRule="exact"/>
        <w:ind w:firstLine="602"/>
        <w:rPr>
          <w:rFonts w:cs="宋体-18030" w:asciiTheme="minorEastAsia" w:hAnsiTheme="minorEastAsia" w:eastAsiaTheme="minorEastAsia"/>
          <w:color w:val="auto"/>
          <w:sz w:val="26"/>
          <w:szCs w:val="26"/>
          <w:highlight w:val="none"/>
        </w:rPr>
      </w:pPr>
      <w:bookmarkStart w:id="70" w:name="_Toc532308287"/>
      <w:r>
        <w:rPr>
          <w:rFonts w:hint="eastAsia" w:cs="宋体-18030" w:asciiTheme="minorEastAsia" w:hAnsiTheme="minorEastAsia" w:eastAsiaTheme="minorEastAsia"/>
          <w:color w:val="auto"/>
          <w:sz w:val="26"/>
          <w:szCs w:val="26"/>
          <w:highlight w:val="none"/>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70"/>
    </w:p>
    <w:p>
      <w:pPr>
        <w:tabs>
          <w:tab w:val="left" w:pos="180"/>
        </w:tabs>
        <w:spacing w:line="600" w:lineRule="exact"/>
        <w:ind w:firstLine="602"/>
        <w:rPr>
          <w:rFonts w:cs="宋体-18030" w:asciiTheme="minorEastAsia" w:hAnsiTheme="minorEastAsia" w:eastAsiaTheme="minorEastAsia"/>
          <w:color w:val="auto"/>
          <w:sz w:val="26"/>
          <w:szCs w:val="26"/>
          <w:highlight w:val="none"/>
        </w:rPr>
      </w:pPr>
      <w:bookmarkStart w:id="71" w:name="_Toc532308288"/>
      <w:r>
        <w:rPr>
          <w:rFonts w:hint="eastAsia" w:cs="宋体-18030" w:asciiTheme="minorEastAsia" w:hAnsiTheme="minorEastAsia" w:eastAsiaTheme="minorEastAsia"/>
          <w:color w:val="auto"/>
          <w:sz w:val="26"/>
          <w:szCs w:val="26"/>
          <w:highlight w:val="none"/>
        </w:rPr>
        <w:t>成本法是测算估价对象在价值时点的重置成本或重建成本和折旧，将重置成本或重建成本减去折旧得到估价对象价值或价格的方法。成本法适用于估价对象可假定为独立的开发项目进行重新开发的房地产以及房地产市场不够活跃或同类房地产交易较少、且没有经济收入或潜在经济收入，难以采用比较法和收益法估价的房地产。</w:t>
      </w:r>
      <w:bookmarkEnd w:id="71"/>
    </w:p>
    <w:p>
      <w:pPr>
        <w:tabs>
          <w:tab w:val="left" w:pos="180"/>
        </w:tabs>
        <w:spacing w:line="560" w:lineRule="exact"/>
        <w:ind w:firstLine="602"/>
        <w:rPr>
          <w:rFonts w:cs="宋体-18030" w:asciiTheme="minorEastAsia" w:hAnsiTheme="minorEastAsia" w:eastAsiaTheme="minorEastAsia"/>
          <w:color w:val="auto"/>
          <w:sz w:val="26"/>
          <w:szCs w:val="26"/>
          <w:highlight w:val="none"/>
        </w:rPr>
      </w:pPr>
      <w:bookmarkStart w:id="72" w:name="_Toc532308289"/>
      <w:r>
        <w:rPr>
          <w:rFonts w:hint="eastAsia" w:cs="宋体-18030" w:asciiTheme="minorEastAsia" w:hAnsiTheme="minorEastAsia" w:eastAsiaTheme="minorEastAsia"/>
          <w:color w:val="auto"/>
          <w:sz w:val="26"/>
          <w:szCs w:val="26"/>
          <w:highlight w:val="none"/>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比较法、收益法等成本法以外的方法测算的房地产。</w:t>
      </w:r>
      <w:bookmarkEnd w:id="72"/>
    </w:p>
    <w:p>
      <w:pPr>
        <w:tabs>
          <w:tab w:val="left" w:pos="180"/>
        </w:tabs>
        <w:spacing w:line="560" w:lineRule="exact"/>
        <w:ind w:firstLine="602"/>
        <w:rPr>
          <w:rFonts w:cs="宋体-18030" w:asciiTheme="minorEastAsia" w:hAnsiTheme="minorEastAsia" w:eastAsiaTheme="minorEastAsia"/>
          <w:color w:val="auto"/>
          <w:sz w:val="26"/>
          <w:highlight w:val="none"/>
        </w:rPr>
      </w:pPr>
      <w:bookmarkStart w:id="73" w:name="_Toc532308290"/>
      <w:r>
        <w:rPr>
          <w:rFonts w:hint="eastAsia" w:cs="宋体-18030" w:asciiTheme="minorEastAsia" w:hAnsiTheme="minorEastAsia" w:eastAsiaTheme="minorEastAsia"/>
          <w:color w:val="auto"/>
          <w:sz w:val="26"/>
          <w:szCs w:val="26"/>
          <w:highlight w:val="none"/>
        </w:rPr>
        <w:t>（二）估价方法的选择依据</w:t>
      </w:r>
      <w:bookmarkEnd w:id="73"/>
    </w:p>
    <w:p>
      <w:pPr>
        <w:tabs>
          <w:tab w:val="left" w:pos="180"/>
        </w:tabs>
        <w:spacing w:line="560" w:lineRule="exact"/>
        <w:ind w:firstLine="520" w:firstLineChars="200"/>
        <w:rPr>
          <w:rFonts w:cs="宋体-18030"/>
          <w:color w:val="auto"/>
          <w:sz w:val="26"/>
          <w:highlight w:val="none"/>
        </w:rPr>
      </w:pPr>
      <w:r>
        <w:rPr>
          <w:rFonts w:hint="eastAsia" w:cs="宋体-18030" w:asciiTheme="minorEastAsia" w:hAnsiTheme="minorEastAsia" w:eastAsiaTheme="minorEastAsia"/>
          <w:color w:val="auto"/>
          <w:sz w:val="26"/>
          <w:highlight w:val="none"/>
        </w:rPr>
        <w:t>估价对象为已建成可正常使用的房屋，且目前为最高最佳利用状态，假设开发法不适用；</w:t>
      </w:r>
      <w:r>
        <w:rPr>
          <w:rFonts w:hint="eastAsia" w:asciiTheme="minorEastAsia" w:hAnsiTheme="minorEastAsia" w:eastAsiaTheme="minorEastAsia"/>
          <w:color w:val="auto"/>
          <w:sz w:val="26"/>
          <w:szCs w:val="26"/>
          <w:highlight w:val="none"/>
        </w:rPr>
        <w:t>估价对象作为住宅物业，其主要功能是供人们的居住，</w:t>
      </w:r>
      <w:r>
        <w:rPr>
          <w:rFonts w:hint="eastAsia" w:asciiTheme="minorEastAsia" w:hAnsiTheme="minorEastAsia" w:eastAsiaTheme="minorEastAsia"/>
          <w:color w:val="auto"/>
          <w:sz w:val="26"/>
          <w:highlight w:val="none"/>
        </w:rPr>
        <w:t>其价值高低取决于市场供求关系，而非成本累加，且估价对象属整栋建筑的一部分，不能作为</w:t>
      </w:r>
      <w:r>
        <w:rPr>
          <w:rFonts w:hint="eastAsia" w:asciiTheme="minorEastAsia" w:hAnsiTheme="minorEastAsia" w:eastAsiaTheme="minorEastAsia"/>
          <w:color w:val="auto"/>
          <w:sz w:val="26"/>
          <w:szCs w:val="26"/>
          <w:highlight w:val="none"/>
        </w:rPr>
        <w:t>独立的开发建设项目进行重新开发建设，</w:t>
      </w:r>
      <w:r>
        <w:rPr>
          <w:rFonts w:hint="eastAsia" w:asciiTheme="minorEastAsia" w:hAnsiTheme="minorEastAsia" w:eastAsiaTheme="minorEastAsia"/>
          <w:color w:val="auto"/>
          <w:sz w:val="26"/>
          <w:highlight w:val="none"/>
        </w:rPr>
        <w:t>故成本法不适用；</w:t>
      </w:r>
      <w:r>
        <w:rPr>
          <w:rFonts w:hint="eastAsia" w:asciiTheme="minorEastAsia" w:hAnsiTheme="minorEastAsia" w:eastAsiaTheme="minorEastAsia"/>
          <w:color w:val="auto"/>
          <w:sz w:val="26"/>
          <w:szCs w:val="26"/>
          <w:highlight w:val="none"/>
        </w:rPr>
        <w:t>估价对象所在区域住宅</w:t>
      </w:r>
      <w:r>
        <w:rPr>
          <w:rFonts w:hint="eastAsia" w:asciiTheme="minorEastAsia" w:hAnsiTheme="minorEastAsia" w:eastAsiaTheme="minorEastAsia"/>
          <w:color w:val="auto"/>
          <w:sz w:val="26"/>
          <w:highlight w:val="none"/>
        </w:rPr>
        <w:t>虽然出租实例较多，有租金等经济收入，但住宅租金回报低，无法体现房屋的真实价值，不宜采用收益法；</w:t>
      </w:r>
      <w:r>
        <w:rPr>
          <w:rFonts w:hint="eastAsia" w:asciiTheme="minorEastAsia" w:hAnsiTheme="minorEastAsia" w:eastAsiaTheme="minorEastAsia"/>
          <w:color w:val="auto"/>
          <w:sz w:val="26"/>
          <w:szCs w:val="26"/>
          <w:highlight w:val="none"/>
        </w:rPr>
        <w:t>目前估价对象所在区域住宅用途房地产市场较为活跃，交易实例较多，比较法所需的各项资料较易收集</w:t>
      </w:r>
      <w:r>
        <w:rPr>
          <w:rFonts w:asciiTheme="minorEastAsia" w:hAnsiTheme="minorEastAsia" w:eastAsiaTheme="minorEastAsia"/>
          <w:color w:val="auto"/>
          <w:sz w:val="26"/>
          <w:szCs w:val="26"/>
          <w:highlight w:val="none"/>
        </w:rPr>
        <w:t>,</w:t>
      </w:r>
      <w:r>
        <w:rPr>
          <w:rFonts w:hint="eastAsia" w:asciiTheme="minorEastAsia" w:hAnsiTheme="minorEastAsia" w:eastAsiaTheme="minorEastAsia"/>
          <w:color w:val="auto"/>
          <w:sz w:val="26"/>
          <w:szCs w:val="26"/>
          <w:highlight w:val="none"/>
        </w:rPr>
        <w:t>因此，我们采用比较法进行测算。</w:t>
      </w:r>
    </w:p>
    <w:p>
      <w:pPr>
        <w:tabs>
          <w:tab w:val="left" w:pos="180"/>
        </w:tabs>
        <w:spacing w:line="560" w:lineRule="exact"/>
        <w:ind w:firstLine="602"/>
        <w:rPr>
          <w:rFonts w:cs="宋体-18030"/>
          <w:color w:val="auto"/>
          <w:sz w:val="26"/>
          <w:highlight w:val="none"/>
        </w:rPr>
      </w:pPr>
      <w:bookmarkStart w:id="74" w:name="_Toc511861979"/>
      <w:r>
        <w:rPr>
          <w:rFonts w:hint="eastAsia" w:cs="宋体-18030"/>
          <w:color w:val="auto"/>
          <w:sz w:val="26"/>
          <w:szCs w:val="26"/>
          <w:highlight w:val="none"/>
        </w:rPr>
        <w:t>（三）简要测算过程</w:t>
      </w:r>
    </w:p>
    <w:p>
      <w:pPr>
        <w:adjustRightInd w:val="0"/>
        <w:snapToGrid w:val="0"/>
        <w:spacing w:line="560" w:lineRule="exact"/>
        <w:ind w:firstLine="629"/>
        <w:rPr>
          <w:rFonts w:ascii="Times New Roman" w:hAnsi="Times New Roman" w:cs="Times New Roman"/>
          <w:snapToGrid w:val="0"/>
          <w:color w:val="auto"/>
          <w:sz w:val="26"/>
          <w:szCs w:val="26"/>
          <w:highlight w:val="none"/>
        </w:rPr>
      </w:pPr>
      <w:r>
        <w:rPr>
          <w:rFonts w:hint="eastAsia"/>
          <w:color w:val="auto"/>
          <w:sz w:val="26"/>
          <w:szCs w:val="26"/>
          <w:highlight w:val="none"/>
        </w:rPr>
        <w:t>比较法是选取一定数量的可比实例，将它们与估价对象进行比较，根据其间的差异对可比实例成交价格进行处理后得到估价对象价值或价格的方法</w:t>
      </w:r>
      <w:r>
        <w:rPr>
          <w:rFonts w:hint="eastAsia"/>
          <w:snapToGrid w:val="0"/>
          <w:color w:val="auto"/>
          <w:sz w:val="26"/>
          <w:szCs w:val="26"/>
          <w:highlight w:val="none"/>
        </w:rPr>
        <w:t>，其基本计算公式：</w:t>
      </w:r>
    </w:p>
    <w:p>
      <w:pPr>
        <w:adjustRightInd w:val="0"/>
        <w:snapToGrid w:val="0"/>
        <w:spacing w:line="560" w:lineRule="exact"/>
        <w:ind w:firstLine="629"/>
        <w:rPr>
          <w:snapToGrid w:val="0"/>
          <w:color w:val="auto"/>
          <w:sz w:val="26"/>
          <w:szCs w:val="26"/>
          <w:highlight w:val="none"/>
        </w:rPr>
      </w:pPr>
      <w:r>
        <w:rPr>
          <w:rFonts w:hint="eastAsia" w:cs="宋体-18030"/>
          <w:color w:val="auto"/>
          <w:sz w:val="26"/>
          <w:szCs w:val="26"/>
          <w:highlight w:val="none"/>
        </w:rPr>
        <w:t>估价对象的比较价值＝</w:t>
      </w:r>
      <w:r>
        <w:rPr>
          <w:rFonts w:hint="eastAsia"/>
          <w:snapToGrid w:val="0"/>
          <w:color w:val="auto"/>
          <w:sz w:val="26"/>
          <w:szCs w:val="26"/>
          <w:highlight w:val="none"/>
        </w:rPr>
        <w:t>可比实例房地产的价格×交易情况修正系数×市场状况调整系数×权益状况调整系数×区位状况调整系数×实物状况调整系数</w:t>
      </w:r>
    </w:p>
    <w:p>
      <w:pPr>
        <w:spacing w:line="560" w:lineRule="exact"/>
        <w:ind w:firstLine="560"/>
        <w:rPr>
          <w:color w:val="auto"/>
          <w:sz w:val="26"/>
          <w:szCs w:val="26"/>
          <w:highlight w:val="none"/>
        </w:rPr>
      </w:pPr>
      <w:r>
        <w:rPr>
          <w:rFonts w:hint="eastAsia"/>
          <w:color w:val="auto"/>
          <w:sz w:val="26"/>
          <w:szCs w:val="26"/>
          <w:highlight w:val="none"/>
        </w:rPr>
        <w:t>我们选取</w:t>
      </w:r>
      <w:r>
        <w:rPr>
          <w:color w:val="auto"/>
          <w:sz w:val="26"/>
          <w:szCs w:val="26"/>
          <w:highlight w:val="none"/>
        </w:rPr>
        <w:t>3</w:t>
      </w:r>
      <w:r>
        <w:rPr>
          <w:rFonts w:hint="eastAsia"/>
          <w:color w:val="auto"/>
          <w:sz w:val="26"/>
          <w:szCs w:val="26"/>
          <w:highlight w:val="none"/>
        </w:rPr>
        <w:t>个可比实例，通过各可比实例修正、调整后采取算数平均值得出估价对象住宅用房的比较价值。</w:t>
      </w:r>
    </w:p>
    <w:p>
      <w:pPr>
        <w:spacing w:line="560" w:lineRule="exact"/>
        <w:ind w:firstLine="512" w:firstLineChars="196"/>
        <w:outlineLvl w:val="1"/>
        <w:rPr>
          <w:rFonts w:cs="宋体-18030" w:asciiTheme="minorEastAsia" w:hAnsiTheme="minorEastAsia" w:eastAsiaTheme="minorEastAsia"/>
          <w:b/>
          <w:color w:val="auto"/>
          <w:sz w:val="26"/>
          <w:highlight w:val="none"/>
        </w:rPr>
      </w:pPr>
      <w:bookmarkStart w:id="75" w:name="_Toc86245495"/>
      <w:r>
        <w:rPr>
          <w:rFonts w:hint="eastAsia" w:cs="宋体-18030" w:asciiTheme="minorEastAsia" w:hAnsiTheme="minorEastAsia" w:eastAsiaTheme="minorEastAsia"/>
          <w:b/>
          <w:color w:val="auto"/>
          <w:sz w:val="26"/>
          <w:highlight w:val="none"/>
        </w:rPr>
        <w:t>十、估价</w:t>
      </w:r>
      <w:bookmarkEnd w:id="66"/>
      <w:bookmarkEnd w:id="67"/>
      <w:bookmarkEnd w:id="74"/>
      <w:r>
        <w:rPr>
          <w:rFonts w:hint="eastAsia" w:cs="宋体-18030" w:asciiTheme="minorEastAsia" w:hAnsiTheme="minorEastAsia" w:eastAsiaTheme="minorEastAsia"/>
          <w:b/>
          <w:color w:val="auto"/>
          <w:sz w:val="26"/>
          <w:highlight w:val="none"/>
        </w:rPr>
        <w:t>结果</w:t>
      </w:r>
      <w:bookmarkEnd w:id="75"/>
    </w:p>
    <w:p>
      <w:pPr>
        <w:tabs>
          <w:tab w:val="left" w:pos="180"/>
        </w:tabs>
        <w:spacing w:line="560" w:lineRule="exact"/>
        <w:ind w:firstLine="601"/>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估价人员根据本次估价目的，遵循估价原则，在综合分析影响估价对象价值因素的基础上，选用比较法确定估价对象在价值时点满足本报告“估价的假设和限制条件”及“价值类型”条件下的市场价值如下：</w:t>
      </w:r>
    </w:p>
    <w:p>
      <w:pPr>
        <w:tabs>
          <w:tab w:val="left" w:pos="2835"/>
        </w:tabs>
        <w:spacing w:line="600" w:lineRule="exact"/>
        <w:ind w:firstLine="590"/>
        <w:rPr>
          <w:rFonts w:cs="宋体-18030" w:asciiTheme="minorEastAsia" w:hAnsiTheme="minorEastAsia" w:eastAsiaTheme="minorEastAsia"/>
          <w:color w:val="auto"/>
          <w:sz w:val="26"/>
          <w:highlight w:val="none"/>
        </w:rPr>
      </w:pPr>
      <w:bookmarkStart w:id="76" w:name="_Toc387655585"/>
      <w:r>
        <w:rPr>
          <w:rFonts w:hint="eastAsia" w:cs="宋体-18030" w:asciiTheme="minorEastAsia" w:hAnsiTheme="minorEastAsia" w:eastAsiaTheme="minorEastAsia"/>
          <w:color w:val="auto"/>
          <w:sz w:val="26"/>
          <w:highlight w:val="none"/>
        </w:rPr>
        <w:t>评估面积：</w:t>
      </w:r>
      <w:r>
        <w:rPr>
          <w:rFonts w:hint="eastAsia" w:cs="宋体-18030" w:asciiTheme="minorEastAsia" w:hAnsiTheme="minorEastAsia" w:eastAsiaTheme="minorEastAsia"/>
          <w:color w:val="auto"/>
          <w:sz w:val="26"/>
          <w:highlight w:val="none"/>
          <w:lang w:eastAsia="zh-CN"/>
        </w:rPr>
        <w:t>1246.15</w:t>
      </w:r>
      <w:r>
        <w:rPr>
          <w:rFonts w:hint="eastAsia" w:cs="宋体-18030" w:asciiTheme="minorEastAsia" w:hAnsiTheme="minorEastAsia" w:eastAsiaTheme="minorEastAsia"/>
          <w:color w:val="auto"/>
          <w:sz w:val="26"/>
          <w:highlight w:val="none"/>
        </w:rPr>
        <w:t>平方米</w:t>
      </w:r>
    </w:p>
    <w:p>
      <w:pPr>
        <w:tabs>
          <w:tab w:val="left" w:pos="2835"/>
        </w:tabs>
        <w:spacing w:line="600" w:lineRule="exact"/>
        <w:ind w:firstLine="59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评估总价：</w:t>
      </w:r>
      <w:r>
        <w:rPr>
          <w:rFonts w:hint="eastAsia" w:eastAsiaTheme="minorEastAsia"/>
          <w:snapToGrid w:val="0"/>
          <w:color w:val="auto"/>
          <w:sz w:val="26"/>
          <w:szCs w:val="26"/>
          <w:highlight w:val="none"/>
          <w:lang w:eastAsia="zh-CN"/>
        </w:rPr>
        <w:t>940.84</w:t>
      </w:r>
      <w:r>
        <w:rPr>
          <w:rFonts w:hint="eastAsia" w:cs="宋体-18030" w:asciiTheme="minorEastAsia" w:hAnsiTheme="minorEastAsia" w:eastAsiaTheme="minorEastAsia"/>
          <w:color w:val="auto"/>
          <w:sz w:val="26"/>
          <w:highlight w:val="none"/>
        </w:rPr>
        <w:t>万元</w:t>
      </w:r>
    </w:p>
    <w:p>
      <w:pPr>
        <w:spacing w:line="560" w:lineRule="exact"/>
        <w:ind w:firstLine="573"/>
        <w:rPr>
          <w:rFonts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总价大写：</w:t>
      </w:r>
      <w:r>
        <w:rPr>
          <w:rFonts w:hint="eastAsia" w:cs="宋体-18030" w:asciiTheme="minorEastAsia" w:hAnsiTheme="minorEastAsia" w:eastAsiaTheme="minorEastAsia"/>
          <w:color w:val="auto"/>
          <w:sz w:val="26"/>
          <w:highlight w:val="none"/>
          <w:lang w:eastAsia="zh-CN"/>
        </w:rPr>
        <w:t>玖佰肆拾万零捌仟肆佰</w:t>
      </w:r>
      <w:r>
        <w:rPr>
          <w:rFonts w:hint="eastAsia" w:cs="宋体-18030" w:asciiTheme="minorEastAsia" w:hAnsiTheme="minorEastAsia" w:eastAsiaTheme="minorEastAsia"/>
          <w:color w:val="auto"/>
          <w:sz w:val="26"/>
          <w:highlight w:val="none"/>
        </w:rPr>
        <w:t>圆整</w:t>
      </w:r>
    </w:p>
    <w:p>
      <w:pPr>
        <w:tabs>
          <w:tab w:val="left" w:pos="2835"/>
        </w:tabs>
        <w:spacing w:line="540" w:lineRule="exact"/>
        <w:ind w:firstLine="590"/>
        <w:rPr>
          <w:rFonts w:cs="宋体-18030" w:asciiTheme="minorEastAsia" w:hAnsiTheme="minorEastAsia" w:eastAsiaTheme="minorEastAsia"/>
          <w:color w:val="auto"/>
          <w:sz w:val="26"/>
          <w:highlight w:val="none"/>
        </w:rPr>
      </w:pPr>
      <w:r>
        <w:rPr>
          <w:rFonts w:hint="eastAsia" w:asciiTheme="minorEastAsia" w:hAnsiTheme="minorEastAsia" w:eastAsiaTheme="minorEastAsia"/>
          <w:color w:val="auto"/>
          <w:sz w:val="26"/>
          <w:highlight w:val="none"/>
        </w:rPr>
        <w:t>币    种：人民币</w:t>
      </w:r>
    </w:p>
    <w:p>
      <w:pPr>
        <w:tabs>
          <w:tab w:val="left" w:pos="2835"/>
        </w:tabs>
        <w:spacing w:line="600" w:lineRule="exact"/>
        <w:ind w:firstLine="590"/>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表6　　              估价结果一览表</w:t>
      </w:r>
    </w:p>
    <w:tbl>
      <w:tblPr>
        <w:tblStyle w:val="46"/>
        <w:tblW w:w="498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6"/>
        <w:gridCol w:w="1385"/>
        <w:gridCol w:w="642"/>
        <w:gridCol w:w="966"/>
        <w:gridCol w:w="966"/>
        <w:gridCol w:w="497"/>
        <w:gridCol w:w="573"/>
        <w:gridCol w:w="403"/>
        <w:gridCol w:w="426"/>
        <w:gridCol w:w="683"/>
        <w:gridCol w:w="943"/>
        <w:gridCol w:w="970"/>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序号</w:t>
            </w:r>
          </w:p>
        </w:tc>
        <w:tc>
          <w:tcPr>
            <w:tcW w:w="70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权证号</w:t>
            </w:r>
          </w:p>
        </w:tc>
        <w:tc>
          <w:tcPr>
            <w:tcW w:w="3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权利人</w:t>
            </w:r>
          </w:p>
        </w:tc>
        <w:tc>
          <w:tcPr>
            <w:tcW w:w="4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lang w:eastAsia="zh-CN"/>
              </w:rPr>
            </w:pPr>
            <w:r>
              <w:rPr>
                <w:rFonts w:hint="eastAsia" w:asciiTheme="minorEastAsia" w:hAnsiTheme="minorEastAsia" w:eastAsiaTheme="minorEastAsia" w:cstheme="minorEastAsia"/>
                <w:b w:val="0"/>
                <w:bCs w:val="0"/>
                <w:i w:val="0"/>
                <w:iCs w:val="0"/>
                <w:color w:val="auto"/>
                <w:sz w:val="18"/>
                <w:szCs w:val="18"/>
                <w:highlight w:val="none"/>
                <w:u w:val="none"/>
                <w:lang w:eastAsia="zh-CN"/>
              </w:rPr>
              <w:t>街道号</w:t>
            </w:r>
          </w:p>
        </w:tc>
        <w:tc>
          <w:tcPr>
            <w:tcW w:w="4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项目名称</w:t>
            </w:r>
          </w:p>
        </w:tc>
        <w:tc>
          <w:tcPr>
            <w:tcW w:w="25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幢号</w:t>
            </w:r>
          </w:p>
        </w:tc>
        <w:tc>
          <w:tcPr>
            <w:tcW w:w="2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单元号</w:t>
            </w:r>
          </w:p>
        </w:tc>
        <w:tc>
          <w:tcPr>
            <w:tcW w:w="20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楼层</w:t>
            </w:r>
          </w:p>
        </w:tc>
        <w:tc>
          <w:tcPr>
            <w:tcW w:w="21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房号</w:t>
            </w:r>
          </w:p>
        </w:tc>
        <w:tc>
          <w:tcPr>
            <w:tcW w:w="34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规划用途</w:t>
            </w:r>
          </w:p>
        </w:tc>
        <w:tc>
          <w:tcPr>
            <w:tcW w:w="48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建筑面积（㎡）</w:t>
            </w:r>
          </w:p>
        </w:tc>
        <w:tc>
          <w:tcPr>
            <w:tcW w:w="49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评估单价（元/㎡）</w:t>
            </w:r>
          </w:p>
        </w:tc>
        <w:tc>
          <w:tcPr>
            <w:tcW w:w="49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评估总价（万元）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7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川（2017）仁寿县不动产权第0002417号</w:t>
            </w:r>
          </w:p>
        </w:tc>
        <w:tc>
          <w:tcPr>
            <w:tcW w:w="327"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四川众志房地产开发有限公司</w:t>
            </w:r>
          </w:p>
        </w:tc>
        <w:tc>
          <w:tcPr>
            <w:tcW w:w="49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文林镇仁寿大道二段189号</w:t>
            </w:r>
          </w:p>
        </w:tc>
        <w:tc>
          <w:tcPr>
            <w:tcW w:w="49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中铁·仁禾广场</w:t>
            </w: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116.35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7720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70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川（2017）仁寿县不动产权第0002416号</w:t>
            </w: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116.58</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7970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116.58</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7810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w:t>
            </w:r>
          </w:p>
        </w:tc>
        <w:tc>
          <w:tcPr>
            <w:tcW w:w="70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监证0221187</w:t>
            </w: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怀仁街道仁寿大道二段431号</w:t>
            </w: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97.34</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7970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89.08</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7890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70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监证0223207</w:t>
            </w: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59.04</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8</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10</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11</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59.04</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13</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7230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14</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15</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16</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6</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59.16</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17</w:t>
            </w:r>
          </w:p>
        </w:tc>
        <w:tc>
          <w:tcPr>
            <w:tcW w:w="705"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327"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49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Theme="minorEastAsia" w:hAnsiTheme="minorEastAsia" w:eastAsiaTheme="minorEastAsia" w:cstheme="minorEastAsia"/>
                <w:b w:val="0"/>
                <w:bCs w:val="0"/>
                <w:i w:val="0"/>
                <w:iCs w:val="0"/>
                <w:color w:val="auto"/>
                <w:sz w:val="18"/>
                <w:szCs w:val="18"/>
                <w:highlight w:val="none"/>
                <w:u w:val="none"/>
              </w:rPr>
            </w:pPr>
          </w:p>
        </w:tc>
        <w:tc>
          <w:tcPr>
            <w:tcW w:w="25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w:t>
            </w:r>
          </w:p>
        </w:tc>
        <w:tc>
          <w:tcPr>
            <w:tcW w:w="2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w:t>
            </w:r>
          </w:p>
        </w:tc>
        <w:tc>
          <w:tcPr>
            <w:tcW w:w="20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w:t>
            </w:r>
          </w:p>
        </w:tc>
        <w:tc>
          <w:tcPr>
            <w:tcW w:w="21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w:t>
            </w:r>
          </w:p>
        </w:tc>
        <w:tc>
          <w:tcPr>
            <w:tcW w:w="34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住宅</w:t>
            </w:r>
          </w:p>
        </w:tc>
        <w:tc>
          <w:tcPr>
            <w:tcW w:w="4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59.25</w:t>
            </w:r>
          </w:p>
        </w:tc>
        <w:tc>
          <w:tcPr>
            <w:tcW w:w="49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7390</w:t>
            </w:r>
          </w:p>
        </w:tc>
        <w:tc>
          <w:tcPr>
            <w:tcW w:w="49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532"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合计</w:t>
            </w:r>
          </w:p>
        </w:tc>
        <w:tc>
          <w:tcPr>
            <w:tcW w:w="48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1246.15</w:t>
            </w:r>
          </w:p>
        </w:tc>
        <w:tc>
          <w:tcPr>
            <w:tcW w:w="49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w:t>
            </w:r>
          </w:p>
        </w:tc>
        <w:tc>
          <w:tcPr>
            <w:tcW w:w="4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940.84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1、估价结果单价精确到十元位，总价精确到百元位，币种为人民币。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2、本次评估，根据估价对象所在区域司法拍卖惯例，财产处置费用（如评估费、拍卖费、诉讼费用、律师费等费用）一般在司法拍卖结束后根据实际发生费用从财产处置价款中扣除，结合估价委托人介绍，本次评估结果未扣除相关财产处置费用，提请相关当事人关注此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3、本次评估，我们没有考虑估价对象被迫转让及处置后可能存在的被执行人不自愿配合交付因素对评估结果的不利影响，在此提请报告使用人注意此事项。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Theme="minorEastAsia" w:hAnsiTheme="minorEastAsia" w:eastAsiaTheme="minorEastAsia" w:cstheme="minorEastAsia"/>
                <w:b w:val="0"/>
                <w:bCs w:val="0"/>
                <w:i w:val="0"/>
                <w:iCs w:val="0"/>
                <w:color w:val="auto"/>
                <w:sz w:val="18"/>
                <w:szCs w:val="18"/>
                <w:highlight w:val="none"/>
                <w:u w:val="none"/>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4、估价结果包含估价对象房屋（含建筑物、附着在建筑物上与其功能相匹配且不可移动的室内装饰装修、设施设备）及其分摊的土地使用权市场价值。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000" w:type="pct"/>
            <w:gridSpan w:val="1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heme="minorEastAsia" w:hAnsiTheme="minorEastAsia" w:eastAsiaTheme="minorEastAsia" w:cstheme="minorEastAsia"/>
                <w:b w:val="0"/>
                <w:bCs w:val="0"/>
                <w:i w:val="0"/>
                <w:iCs w:val="0"/>
                <w:color w:val="auto"/>
                <w:sz w:val="18"/>
                <w:szCs w:val="18"/>
                <w:highlight w:val="none"/>
                <w:u w:val="none"/>
                <w:lang w:val="en-US"/>
              </w:rPr>
            </w:pP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5、</w:t>
            </w:r>
            <w:r>
              <w:rPr>
                <w:rFonts w:hint="eastAsia" w:ascii="宋体" w:hAnsi="宋体" w:cs="宋体"/>
                <w:color w:val="auto"/>
                <w:kern w:val="0"/>
                <w:sz w:val="18"/>
                <w:szCs w:val="18"/>
                <w:highlight w:val="none"/>
                <w:lang w:bidi="ar"/>
              </w:rPr>
              <w:t>根据</w:t>
            </w:r>
            <w:r>
              <w:rPr>
                <w:rFonts w:hint="eastAsia" w:cs="宋体"/>
                <w:color w:val="auto"/>
                <w:kern w:val="0"/>
                <w:sz w:val="18"/>
                <w:szCs w:val="18"/>
                <w:highlight w:val="none"/>
                <w:lang w:eastAsia="zh-CN" w:bidi="ar"/>
              </w:rPr>
              <w:t>估价委托人提供的《平面图》</w:t>
            </w:r>
            <w:r>
              <w:rPr>
                <w:rFonts w:hint="eastAsia" w:ascii="宋体" w:hAnsi="宋体" w:cs="宋体"/>
                <w:color w:val="auto"/>
                <w:kern w:val="0"/>
                <w:sz w:val="18"/>
                <w:szCs w:val="18"/>
                <w:highlight w:val="none"/>
                <w:lang w:bidi="ar"/>
              </w:rPr>
              <w:t>，</w:t>
            </w:r>
            <w:r>
              <w:rPr>
                <w:rFonts w:hint="eastAsia" w:cs="宋体"/>
                <w:color w:val="auto"/>
                <w:kern w:val="0"/>
                <w:sz w:val="18"/>
                <w:szCs w:val="18"/>
                <w:highlight w:val="none"/>
                <w:lang w:val="en-US" w:eastAsia="zh-CN" w:bidi="ar"/>
              </w:rPr>
              <w:t>结合</w:t>
            </w:r>
            <w:r>
              <w:rPr>
                <w:rFonts w:hint="eastAsia" w:ascii="宋体" w:hAnsi="宋体" w:cs="宋体"/>
                <w:color w:val="auto"/>
                <w:kern w:val="0"/>
                <w:sz w:val="18"/>
                <w:szCs w:val="18"/>
                <w:highlight w:val="none"/>
                <w:lang w:bidi="ar"/>
              </w:rPr>
              <w:t>估价人员现场查看，</w:t>
            </w: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估价对象6-10、11-17未按</w:t>
            </w:r>
            <w:r>
              <w:rPr>
                <w:rFonts w:hint="eastAsia" w:cs="宋体"/>
                <w:color w:val="auto"/>
                <w:kern w:val="0"/>
                <w:sz w:val="18"/>
                <w:szCs w:val="18"/>
                <w:highlight w:val="none"/>
                <w:lang w:eastAsia="zh-CN" w:bidi="ar"/>
              </w:rPr>
              <w:t>原住宅设计户型布局，</w:t>
            </w:r>
            <w:r>
              <w:rPr>
                <w:rFonts w:hint="eastAsia" w:cs="宋体"/>
                <w:color w:val="auto"/>
                <w:kern w:val="0"/>
                <w:sz w:val="18"/>
                <w:szCs w:val="18"/>
                <w:highlight w:val="none"/>
                <w:lang w:val="en-US" w:eastAsia="zh-CN" w:bidi="ar"/>
              </w:rPr>
              <w:t>目前</w:t>
            </w:r>
            <w:r>
              <w:rPr>
                <w:rFonts w:hint="eastAsia" w:asciiTheme="minorEastAsia" w:hAnsiTheme="minorEastAsia" w:eastAsiaTheme="minorEastAsia" w:cstheme="minorEastAsia"/>
                <w:b w:val="0"/>
                <w:bCs w:val="0"/>
                <w:i w:val="0"/>
                <w:iCs w:val="0"/>
                <w:color w:val="auto"/>
                <w:kern w:val="0"/>
                <w:sz w:val="18"/>
                <w:szCs w:val="18"/>
                <w:highlight w:val="none"/>
                <w:u w:val="none"/>
                <w:lang w:val="en-US" w:eastAsia="zh-CN" w:bidi="ar"/>
              </w:rPr>
              <w:t>与相邻物业整体打通重新分割后用作办公用房</w:t>
            </w:r>
            <w:r>
              <w:rPr>
                <w:rFonts w:hint="eastAsia" w:ascii="宋体" w:hAnsi="宋体" w:cs="宋体"/>
                <w:color w:val="auto"/>
                <w:kern w:val="0"/>
                <w:sz w:val="18"/>
                <w:szCs w:val="18"/>
                <w:highlight w:val="none"/>
                <w:lang w:bidi="ar"/>
              </w:rPr>
              <w:t>，</w:t>
            </w:r>
            <w:r>
              <w:rPr>
                <w:rFonts w:hint="eastAsia" w:cs="宋体"/>
                <w:color w:val="auto"/>
                <w:kern w:val="0"/>
                <w:sz w:val="18"/>
                <w:szCs w:val="18"/>
                <w:highlight w:val="none"/>
                <w:lang w:val="en-US" w:eastAsia="zh-CN" w:bidi="ar"/>
              </w:rPr>
              <w:t>各套间</w:t>
            </w:r>
            <w:r>
              <w:rPr>
                <w:rFonts w:hint="eastAsia" w:cs="宋体"/>
                <w:color w:val="auto"/>
                <w:kern w:val="0"/>
                <w:sz w:val="18"/>
                <w:szCs w:val="18"/>
                <w:highlight w:val="none"/>
                <w:lang w:eastAsia="zh-CN" w:bidi="ar"/>
              </w:rPr>
              <w:t>无明显分界线，</w:t>
            </w:r>
            <w:r>
              <w:rPr>
                <w:rFonts w:hint="eastAsia" w:ascii="宋体" w:hAnsi="宋体" w:cs="宋体"/>
                <w:color w:val="auto"/>
                <w:kern w:val="0"/>
                <w:sz w:val="18"/>
                <w:szCs w:val="18"/>
                <w:highlight w:val="none"/>
                <w:lang w:bidi="ar"/>
              </w:rPr>
              <w:t>提请报告使用人关注。</w:t>
            </w:r>
          </w:p>
        </w:tc>
      </w:tr>
    </w:tbl>
    <w:p>
      <w:pPr>
        <w:rPr>
          <w:rFonts w:cs="宋体-18030" w:asciiTheme="minorEastAsia" w:hAnsiTheme="minorEastAsia" w:eastAsiaTheme="minorEastAsia"/>
          <w:b/>
          <w:color w:val="auto"/>
          <w:sz w:val="26"/>
          <w:highlight w:val="none"/>
        </w:rPr>
      </w:pPr>
    </w:p>
    <w:p>
      <w:pPr>
        <w:ind w:left="566" w:leftChars="236"/>
        <w:rPr>
          <w:rFonts w:cs="宋体-18030" w:asciiTheme="minorEastAsia" w:hAnsiTheme="minorEastAsia" w:eastAsiaTheme="minorEastAsia"/>
          <w:b/>
          <w:color w:val="auto"/>
          <w:sz w:val="26"/>
          <w:highlight w:val="none"/>
        </w:rPr>
      </w:pPr>
      <w:bookmarkStart w:id="77" w:name="_Toc86245496"/>
      <w:r>
        <w:rPr>
          <w:rFonts w:hint="eastAsia" w:cs="宋体-18030" w:asciiTheme="minorEastAsia" w:hAnsiTheme="minorEastAsia" w:eastAsiaTheme="minorEastAsia"/>
          <w:b/>
          <w:color w:val="auto"/>
          <w:sz w:val="26"/>
          <w:highlight w:val="none"/>
        </w:rPr>
        <w:t>十一、注册房地产估价师</w:t>
      </w:r>
      <w:bookmarkEnd w:id="77"/>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1953"/>
        <w:gridCol w:w="1925"/>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9" w:type="pct"/>
            <w:vAlign w:val="center"/>
          </w:tcPr>
          <w:p>
            <w:pPr>
              <w:spacing w:line="600" w:lineRule="exact"/>
              <w:jc w:val="center"/>
              <w:rPr>
                <w:rFonts w:cs="宋体-18030" w:asciiTheme="minorEastAsia" w:hAnsiTheme="minorEastAsia" w:eastAsiaTheme="minorEastAsia"/>
                <w:color w:val="auto"/>
                <w:sz w:val="26"/>
                <w:szCs w:val="26"/>
                <w:highlight w:val="none"/>
              </w:rPr>
            </w:pPr>
            <w:bookmarkStart w:id="78" w:name="_Toc86245497"/>
            <w:bookmarkStart w:id="79" w:name="_Toc481509808"/>
            <w:bookmarkStart w:id="80" w:name="_Toc511861981"/>
            <w:bookmarkStart w:id="81" w:name="_Toc481509724"/>
            <w:r>
              <w:rPr>
                <w:rFonts w:hint="eastAsia" w:cs="宋体-18030" w:asciiTheme="minorEastAsia" w:hAnsiTheme="minorEastAsia" w:eastAsiaTheme="minorEastAsia"/>
                <w:color w:val="auto"/>
                <w:sz w:val="26"/>
                <w:szCs w:val="26"/>
                <w:highlight w:val="none"/>
              </w:rPr>
              <w:t>注册房地产估价师姓名</w:t>
            </w:r>
          </w:p>
        </w:tc>
        <w:tc>
          <w:tcPr>
            <w:tcW w:w="991"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注册证书号</w:t>
            </w:r>
          </w:p>
        </w:tc>
        <w:tc>
          <w:tcPr>
            <w:tcW w:w="977"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签名</w:t>
            </w:r>
          </w:p>
        </w:tc>
        <w:tc>
          <w:tcPr>
            <w:tcW w:w="1363" w:type="pct"/>
            <w:vAlign w:val="center"/>
          </w:tcPr>
          <w:p>
            <w:pPr>
              <w:spacing w:line="600" w:lineRule="exact"/>
              <w:jc w:val="center"/>
              <w:rPr>
                <w:rFonts w:cs="宋体-18030" w:asciiTheme="minorEastAsia" w:hAnsiTheme="minorEastAsia" w:eastAsiaTheme="minorEastAsia"/>
                <w:color w:val="auto"/>
                <w:sz w:val="26"/>
                <w:szCs w:val="26"/>
                <w:highlight w:val="none"/>
              </w:rPr>
            </w:pPr>
            <w:r>
              <w:rPr>
                <w:rFonts w:hint="eastAsia" w:cs="宋体-18030" w:asciiTheme="minorEastAsia" w:hAnsiTheme="minorEastAsia" w:eastAsiaTheme="minorEastAsia"/>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9" w:type="pct"/>
            <w:vAlign w:val="center"/>
          </w:tcPr>
          <w:p>
            <w:pPr>
              <w:spacing w:line="600" w:lineRule="exact"/>
              <w:jc w:val="center"/>
              <w:rPr>
                <w:rFonts w:hint="eastAsia" w:cs="宋体-18030" w:asciiTheme="minorEastAsia" w:hAnsiTheme="minorEastAsia" w:eastAsiaTheme="minorEastAsia"/>
                <w:color w:val="auto"/>
                <w:sz w:val="26"/>
                <w:highlight w:val="none"/>
                <w:lang w:eastAsia="zh-CN"/>
              </w:rPr>
            </w:pPr>
            <w:r>
              <w:rPr>
                <w:rFonts w:hint="eastAsia" w:cs="宋体-18030" w:asciiTheme="minorEastAsia" w:hAnsiTheme="minorEastAsia" w:eastAsiaTheme="minorEastAsia"/>
                <w:bCs/>
                <w:color w:val="auto"/>
                <w:sz w:val="26"/>
                <w:highlight w:val="none"/>
                <w:lang w:eastAsia="zh-CN"/>
              </w:rPr>
              <w:t>何  强</w:t>
            </w:r>
          </w:p>
        </w:tc>
        <w:tc>
          <w:tcPr>
            <w:tcW w:w="991" w:type="pct"/>
            <w:vAlign w:val="center"/>
          </w:tcPr>
          <w:p>
            <w:pPr>
              <w:spacing w:line="600" w:lineRule="exact"/>
              <w:jc w:val="center"/>
              <w:rPr>
                <w:rFonts w:hint="eastAsia" w:cs="宋体-18030" w:asciiTheme="minorEastAsia" w:hAnsiTheme="minorEastAsia" w:eastAsiaTheme="minorEastAsia"/>
                <w:color w:val="auto"/>
                <w:sz w:val="26"/>
                <w:highlight w:val="none"/>
                <w:lang w:eastAsia="zh-CN"/>
              </w:rPr>
            </w:pPr>
            <w:r>
              <w:rPr>
                <w:rFonts w:hint="eastAsia" w:cs="宋体-18030" w:asciiTheme="minorEastAsia" w:hAnsiTheme="minorEastAsia" w:eastAsiaTheme="minorEastAsia"/>
                <w:bCs/>
                <w:color w:val="auto"/>
                <w:sz w:val="26"/>
                <w:highlight w:val="none"/>
                <w:lang w:eastAsia="zh-CN"/>
              </w:rPr>
              <w:t>5120210064</w:t>
            </w:r>
          </w:p>
        </w:tc>
        <w:tc>
          <w:tcPr>
            <w:tcW w:w="977" w:type="pct"/>
            <w:vAlign w:val="center"/>
          </w:tcPr>
          <w:p>
            <w:pPr>
              <w:spacing w:line="600" w:lineRule="exact"/>
              <w:ind w:firstLine="587"/>
              <w:jc w:val="center"/>
              <w:rPr>
                <w:rFonts w:cs="宋体-18030" w:asciiTheme="minorEastAsia" w:hAnsiTheme="minorEastAsia" w:eastAsiaTheme="minorEastAsia"/>
                <w:color w:val="auto"/>
                <w:sz w:val="26"/>
                <w:szCs w:val="26"/>
                <w:highlight w:val="none"/>
              </w:rPr>
            </w:pPr>
          </w:p>
        </w:tc>
        <w:tc>
          <w:tcPr>
            <w:tcW w:w="1363" w:type="pct"/>
            <w:vAlign w:val="center"/>
          </w:tcPr>
          <w:p>
            <w:pPr>
              <w:spacing w:line="600" w:lineRule="exact"/>
              <w:jc w:val="center"/>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2022年10月10日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9" w:type="pct"/>
            <w:vAlign w:val="center"/>
          </w:tcPr>
          <w:p>
            <w:pPr>
              <w:spacing w:line="600" w:lineRule="exact"/>
              <w:jc w:val="center"/>
              <w:rPr>
                <w:rFonts w:hint="eastAsia" w:eastAsia="宋体" w:cs="宋体-18030"/>
                <w:bCs/>
                <w:color w:val="auto"/>
                <w:sz w:val="26"/>
                <w:highlight w:val="none"/>
                <w:lang w:eastAsia="zh-CN"/>
              </w:rPr>
            </w:pPr>
            <w:r>
              <w:rPr>
                <w:rFonts w:hint="eastAsia" w:cs="宋体-18030"/>
                <w:bCs/>
                <w:color w:val="auto"/>
                <w:sz w:val="26"/>
                <w:highlight w:val="none"/>
                <w:lang w:eastAsia="zh-CN"/>
              </w:rPr>
              <w:t>李永健</w:t>
            </w:r>
          </w:p>
        </w:tc>
        <w:tc>
          <w:tcPr>
            <w:tcW w:w="991" w:type="pct"/>
            <w:vAlign w:val="center"/>
          </w:tcPr>
          <w:p>
            <w:pPr>
              <w:spacing w:line="600" w:lineRule="exact"/>
              <w:jc w:val="center"/>
              <w:rPr>
                <w:rFonts w:hint="eastAsia" w:eastAsia="宋体" w:cs="宋体-18030"/>
                <w:bCs/>
                <w:color w:val="auto"/>
                <w:sz w:val="26"/>
                <w:highlight w:val="none"/>
                <w:lang w:eastAsia="zh-CN"/>
              </w:rPr>
            </w:pPr>
            <w:r>
              <w:rPr>
                <w:rFonts w:hint="eastAsia"/>
                <w:color w:val="auto"/>
                <w:sz w:val="24"/>
                <w:highlight w:val="none"/>
                <w:lang w:eastAsia="zh-CN"/>
              </w:rPr>
              <w:t>5120200093</w:t>
            </w:r>
          </w:p>
        </w:tc>
        <w:tc>
          <w:tcPr>
            <w:tcW w:w="977" w:type="pct"/>
            <w:vAlign w:val="center"/>
          </w:tcPr>
          <w:p>
            <w:pPr>
              <w:spacing w:line="600" w:lineRule="exact"/>
              <w:ind w:firstLine="587"/>
              <w:jc w:val="center"/>
              <w:rPr>
                <w:rFonts w:cs="宋体-18030" w:asciiTheme="minorEastAsia" w:hAnsiTheme="minorEastAsia" w:eastAsiaTheme="minorEastAsia"/>
                <w:color w:val="auto"/>
                <w:sz w:val="26"/>
                <w:szCs w:val="26"/>
                <w:highlight w:val="none"/>
              </w:rPr>
            </w:pPr>
          </w:p>
        </w:tc>
        <w:tc>
          <w:tcPr>
            <w:tcW w:w="1363" w:type="pct"/>
            <w:vAlign w:val="center"/>
          </w:tcPr>
          <w:p>
            <w:pPr>
              <w:spacing w:line="600" w:lineRule="exact"/>
              <w:jc w:val="center"/>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2022年10月10日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9" w:type="pct"/>
            <w:vAlign w:val="center"/>
          </w:tcPr>
          <w:p>
            <w:pPr>
              <w:spacing w:line="600" w:lineRule="exact"/>
              <w:jc w:val="center"/>
              <w:rPr>
                <w:rFonts w:cs="宋体-18030"/>
                <w:color w:val="auto"/>
                <w:sz w:val="26"/>
                <w:highlight w:val="none"/>
              </w:rPr>
            </w:pPr>
            <w:r>
              <w:rPr>
                <w:rFonts w:hint="eastAsia" w:cs="宋体-18030"/>
                <w:bCs/>
                <w:color w:val="auto"/>
                <w:sz w:val="26"/>
                <w:highlight w:val="none"/>
              </w:rPr>
              <w:t>周  燕</w:t>
            </w:r>
          </w:p>
        </w:tc>
        <w:tc>
          <w:tcPr>
            <w:tcW w:w="991" w:type="pct"/>
            <w:vAlign w:val="center"/>
          </w:tcPr>
          <w:p>
            <w:pPr>
              <w:spacing w:line="600" w:lineRule="exact"/>
              <w:jc w:val="center"/>
              <w:rPr>
                <w:rFonts w:cs="宋体-18030"/>
                <w:bCs/>
                <w:color w:val="auto"/>
                <w:sz w:val="26"/>
                <w:highlight w:val="none"/>
              </w:rPr>
            </w:pPr>
            <w:r>
              <w:rPr>
                <w:rFonts w:cs="宋体-18030"/>
                <w:bCs/>
                <w:color w:val="auto"/>
                <w:sz w:val="26"/>
                <w:highlight w:val="none"/>
              </w:rPr>
              <w:t>5120070067</w:t>
            </w:r>
          </w:p>
        </w:tc>
        <w:tc>
          <w:tcPr>
            <w:tcW w:w="977" w:type="pct"/>
            <w:vAlign w:val="center"/>
          </w:tcPr>
          <w:p>
            <w:pPr>
              <w:spacing w:line="600" w:lineRule="exact"/>
              <w:ind w:firstLine="587"/>
              <w:jc w:val="center"/>
              <w:rPr>
                <w:rFonts w:cs="宋体-18030" w:asciiTheme="minorEastAsia" w:hAnsiTheme="minorEastAsia" w:eastAsiaTheme="minorEastAsia"/>
                <w:color w:val="auto"/>
                <w:sz w:val="26"/>
                <w:szCs w:val="26"/>
                <w:highlight w:val="none"/>
              </w:rPr>
            </w:pPr>
          </w:p>
        </w:tc>
        <w:tc>
          <w:tcPr>
            <w:tcW w:w="1363" w:type="pct"/>
            <w:vAlign w:val="center"/>
          </w:tcPr>
          <w:p>
            <w:pPr>
              <w:spacing w:line="600" w:lineRule="exact"/>
              <w:jc w:val="center"/>
              <w:rPr>
                <w:rFonts w:hint="eastAsia" w:cs="宋体-18030" w:asciiTheme="minorEastAsia" w:hAnsiTheme="minorEastAsia" w:eastAsiaTheme="minorEastAsia"/>
                <w:color w:val="auto"/>
                <w:sz w:val="26"/>
                <w:szCs w:val="26"/>
                <w:highlight w:val="none"/>
                <w:lang w:eastAsia="zh-CN"/>
              </w:rPr>
            </w:pPr>
            <w:r>
              <w:rPr>
                <w:rFonts w:hint="eastAsia" w:cs="宋体-18030" w:asciiTheme="minorEastAsia" w:hAnsiTheme="minorEastAsia" w:eastAsiaTheme="minorEastAsia"/>
                <w:color w:val="auto"/>
                <w:sz w:val="26"/>
                <w:szCs w:val="26"/>
                <w:highlight w:val="none"/>
                <w:lang w:eastAsia="zh-CN"/>
              </w:rPr>
              <w:t>2022年10月10日</w:t>
            </w:r>
          </w:p>
        </w:tc>
      </w:tr>
    </w:tbl>
    <w:p>
      <w:pPr>
        <w:tabs>
          <w:tab w:val="left" w:pos="180"/>
          <w:tab w:val="left" w:pos="3640"/>
        </w:tabs>
        <w:spacing w:line="540" w:lineRule="exact"/>
        <w:ind w:firstLine="522" w:firstLineChars="200"/>
        <w:outlineLvl w:val="1"/>
        <w:rPr>
          <w:rFonts w:cs="宋体-18030" w:asciiTheme="minorEastAsia" w:hAnsiTheme="minorEastAsia" w:eastAsiaTheme="minorEastAsia"/>
          <w:b/>
          <w:color w:val="auto"/>
          <w:sz w:val="26"/>
          <w:highlight w:val="none"/>
        </w:rPr>
      </w:pPr>
      <w:r>
        <w:rPr>
          <w:rFonts w:hint="eastAsia" w:cs="宋体-18030" w:asciiTheme="minorEastAsia" w:hAnsiTheme="minorEastAsia" w:eastAsiaTheme="minorEastAsia"/>
          <w:b/>
          <w:color w:val="auto"/>
          <w:sz w:val="26"/>
          <w:highlight w:val="none"/>
        </w:rPr>
        <w:t>十二、实地查勘期</w:t>
      </w:r>
      <w:bookmarkEnd w:id="78"/>
      <w:bookmarkEnd w:id="79"/>
      <w:bookmarkEnd w:id="80"/>
      <w:bookmarkEnd w:id="81"/>
    </w:p>
    <w:p>
      <w:pPr>
        <w:spacing w:line="540" w:lineRule="exact"/>
        <w:ind w:left="1" w:firstLine="587"/>
        <w:rPr>
          <w:rFonts w:hint="eastAsia" w:cs="宋体-18030" w:asciiTheme="minorEastAsia" w:hAnsiTheme="minorEastAsia" w:eastAsiaTheme="minorEastAsia"/>
          <w:color w:val="auto"/>
          <w:sz w:val="26"/>
          <w:highlight w:val="none"/>
          <w:lang w:eastAsia="zh-CN"/>
        </w:rPr>
      </w:pPr>
      <w:r>
        <w:rPr>
          <w:rFonts w:hint="eastAsia" w:cs="宋体-18030" w:asciiTheme="minorEastAsia" w:hAnsiTheme="minorEastAsia" w:eastAsiaTheme="minorEastAsia"/>
          <w:color w:val="auto"/>
          <w:sz w:val="26"/>
          <w:highlight w:val="none"/>
          <w:lang w:eastAsia="zh-CN"/>
        </w:rPr>
        <w:t>2022年9月22日</w:t>
      </w:r>
    </w:p>
    <w:p>
      <w:pPr>
        <w:tabs>
          <w:tab w:val="left" w:pos="180"/>
          <w:tab w:val="left" w:pos="3640"/>
        </w:tabs>
        <w:spacing w:line="540" w:lineRule="exact"/>
        <w:ind w:firstLine="522" w:firstLineChars="200"/>
        <w:outlineLvl w:val="1"/>
        <w:rPr>
          <w:rFonts w:cs="宋体-18030" w:asciiTheme="minorEastAsia" w:hAnsiTheme="minorEastAsia" w:eastAsiaTheme="minorEastAsia"/>
          <w:b/>
          <w:color w:val="auto"/>
          <w:sz w:val="26"/>
          <w:highlight w:val="none"/>
        </w:rPr>
      </w:pPr>
      <w:bookmarkStart w:id="82" w:name="_Toc511861982"/>
      <w:bookmarkStart w:id="83" w:name="_Toc481509725"/>
      <w:bookmarkStart w:id="84" w:name="_Toc86245498"/>
      <w:bookmarkStart w:id="85" w:name="_Toc481509809"/>
      <w:r>
        <w:rPr>
          <w:rFonts w:hint="eastAsia" w:cs="宋体-18030" w:asciiTheme="minorEastAsia" w:hAnsiTheme="minorEastAsia" w:eastAsiaTheme="minorEastAsia"/>
          <w:b/>
          <w:color w:val="auto"/>
          <w:sz w:val="26"/>
          <w:highlight w:val="none"/>
        </w:rPr>
        <w:t>十三、估价作业期</w:t>
      </w:r>
      <w:bookmarkEnd w:id="82"/>
      <w:bookmarkEnd w:id="83"/>
      <w:bookmarkEnd w:id="84"/>
      <w:bookmarkEnd w:id="85"/>
    </w:p>
    <w:p>
      <w:pPr>
        <w:spacing w:line="540" w:lineRule="exact"/>
        <w:ind w:firstLine="520" w:firstLineChars="200"/>
        <w:rPr>
          <w:rFonts w:hint="eastAsia" w:cs="宋体-18030" w:asciiTheme="minorEastAsia" w:hAnsiTheme="minorEastAsia" w:eastAsiaTheme="minorEastAsia"/>
          <w:color w:val="auto"/>
          <w:sz w:val="26"/>
          <w:highlight w:val="none"/>
          <w:lang w:eastAsia="zh-CN"/>
        </w:rPr>
      </w:pPr>
      <w:r>
        <w:rPr>
          <w:rFonts w:hint="eastAsia" w:cs="宋体-18030" w:asciiTheme="minorEastAsia" w:hAnsiTheme="minorEastAsia" w:eastAsiaTheme="minorEastAsia"/>
          <w:color w:val="auto"/>
          <w:sz w:val="26"/>
          <w:highlight w:val="none"/>
        </w:rPr>
        <w:t>2022年</w:t>
      </w:r>
      <w:r>
        <w:rPr>
          <w:rFonts w:hint="eastAsia" w:cs="宋体-18030" w:asciiTheme="minorEastAsia" w:hAnsiTheme="minorEastAsia" w:eastAsiaTheme="minorEastAsia"/>
          <w:color w:val="auto"/>
          <w:sz w:val="26"/>
          <w:highlight w:val="none"/>
          <w:lang w:val="en-US" w:eastAsia="zh-CN"/>
        </w:rPr>
        <w:t>8</w:t>
      </w:r>
      <w:r>
        <w:rPr>
          <w:rFonts w:hint="eastAsia" w:cs="宋体-18030" w:asciiTheme="minorEastAsia" w:hAnsiTheme="minorEastAsia" w:eastAsiaTheme="minorEastAsia"/>
          <w:color w:val="auto"/>
          <w:sz w:val="26"/>
          <w:highlight w:val="none"/>
        </w:rPr>
        <w:t>月</w:t>
      </w:r>
      <w:r>
        <w:rPr>
          <w:rFonts w:hint="eastAsia" w:cs="宋体-18030" w:asciiTheme="minorEastAsia" w:hAnsiTheme="minorEastAsia" w:eastAsiaTheme="minorEastAsia"/>
          <w:color w:val="auto"/>
          <w:sz w:val="26"/>
          <w:highlight w:val="none"/>
          <w:lang w:val="en-US" w:eastAsia="zh-CN"/>
        </w:rPr>
        <w:t>11</w:t>
      </w:r>
      <w:r>
        <w:rPr>
          <w:rFonts w:hint="eastAsia" w:cs="宋体-18030" w:asciiTheme="minorEastAsia" w:hAnsiTheme="minorEastAsia" w:eastAsiaTheme="minorEastAsia"/>
          <w:color w:val="auto"/>
          <w:sz w:val="26"/>
          <w:highlight w:val="none"/>
        </w:rPr>
        <w:t>日至</w:t>
      </w:r>
      <w:r>
        <w:rPr>
          <w:rFonts w:hint="eastAsia" w:cs="宋体-18030" w:asciiTheme="minorEastAsia" w:hAnsiTheme="minorEastAsia" w:eastAsiaTheme="minorEastAsia"/>
          <w:color w:val="auto"/>
          <w:sz w:val="26"/>
          <w:highlight w:val="none"/>
          <w:lang w:eastAsia="zh-CN"/>
        </w:rPr>
        <w:t>2022年10月10日</w:t>
      </w:r>
    </w:p>
    <w:bookmarkEnd w:id="76"/>
    <w:p>
      <w:pPr>
        <w:spacing w:line="540" w:lineRule="exact"/>
        <w:ind w:firstLine="520" w:firstLineChars="200"/>
        <w:jc w:val="righ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四川大成房地产土地评估有限公司</w:t>
      </w:r>
    </w:p>
    <w:p>
      <w:pPr>
        <w:spacing w:line="600" w:lineRule="exact"/>
        <w:ind w:firstLine="520" w:firstLineChars="200"/>
        <w:jc w:val="right"/>
        <w:rPr>
          <w:rFonts w:cs="宋体-18030" w:asciiTheme="minorEastAsia" w:hAnsiTheme="minorEastAsia" w:eastAsiaTheme="minorEastAsia"/>
          <w:color w:val="auto"/>
          <w:sz w:val="26"/>
          <w:highlight w:val="none"/>
        </w:rPr>
      </w:pPr>
      <w:r>
        <w:rPr>
          <w:rFonts w:hint="eastAsia" w:eastAsiaTheme="minorEastAsia"/>
          <w:color w:val="auto"/>
          <w:sz w:val="26"/>
          <w:szCs w:val="26"/>
          <w:highlight w:val="none"/>
          <w:lang w:eastAsia="zh-CN"/>
        </w:rPr>
        <w:t>二〇二二年十月十日</w:t>
      </w:r>
      <w:r>
        <w:rPr>
          <w:rFonts w:cs="宋体-18030" w:asciiTheme="minorEastAsia" w:hAnsiTheme="minorEastAsia" w:eastAsiaTheme="minorEastAsia"/>
          <w:color w:val="auto"/>
          <w:sz w:val="26"/>
          <w:highlight w:val="none"/>
        </w:rPr>
        <w:br w:type="page"/>
      </w:r>
    </w:p>
    <w:p>
      <w:pPr>
        <w:spacing w:line="600" w:lineRule="exact"/>
        <w:jc w:val="center"/>
        <w:outlineLvl w:val="0"/>
        <w:rPr>
          <w:rFonts w:cs="宋体-18030" w:asciiTheme="minorEastAsia" w:hAnsiTheme="minorEastAsia" w:eastAsiaTheme="minorEastAsia"/>
          <w:b/>
          <w:color w:val="auto"/>
          <w:sz w:val="36"/>
          <w:highlight w:val="none"/>
        </w:rPr>
      </w:pPr>
      <w:bookmarkStart w:id="86" w:name="_Toc86245499"/>
      <w:bookmarkStart w:id="87" w:name="_Toc481509810"/>
      <w:bookmarkStart w:id="88" w:name="_Toc40631130"/>
      <w:bookmarkStart w:id="89" w:name="_Toc481509726"/>
      <w:bookmarkStart w:id="90" w:name="_Toc511861983"/>
      <w:r>
        <w:rPr>
          <w:rFonts w:hint="eastAsia" w:cs="宋体-18030" w:asciiTheme="minorEastAsia" w:hAnsiTheme="minorEastAsia" w:eastAsiaTheme="minorEastAsia"/>
          <w:b/>
          <w:color w:val="auto"/>
          <w:sz w:val="36"/>
          <w:highlight w:val="none"/>
        </w:rPr>
        <w:t>附  件</w:t>
      </w:r>
      <w:bookmarkEnd w:id="86"/>
      <w:bookmarkEnd w:id="87"/>
      <w:bookmarkEnd w:id="88"/>
      <w:bookmarkEnd w:id="89"/>
      <w:bookmarkEnd w:id="90"/>
    </w:p>
    <w:p>
      <w:pPr>
        <w:spacing w:line="600" w:lineRule="exact"/>
        <w:rPr>
          <w:rFonts w:cs="宋体-18030" w:asciiTheme="minorEastAsia" w:hAnsiTheme="minorEastAsia" w:eastAsiaTheme="minorEastAsia"/>
          <w:color w:val="auto"/>
          <w:sz w:val="28"/>
          <w:highlight w:val="none"/>
        </w:rPr>
      </w:pP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lang w:eastAsia="zh-CN"/>
        </w:rPr>
        <w:t>《四川省成都市中级人民法院委托书》《评估财产清单》</w:t>
      </w:r>
      <w:r>
        <w:rPr>
          <w:rFonts w:hint="eastAsia" w:cs="宋体-18030" w:asciiTheme="minorEastAsia" w:hAnsiTheme="minorEastAsia" w:eastAsiaTheme="minorEastAsia"/>
          <w:color w:val="auto"/>
          <w:sz w:val="26"/>
          <w:highlight w:val="none"/>
        </w:rPr>
        <w:t>（复印件）；</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估价对象位置示意图；</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估价对象实地查勘情况和相关照片；</w:t>
      </w:r>
    </w:p>
    <w:p>
      <w:pPr>
        <w:numPr>
          <w:ilvl w:val="0"/>
          <w:numId w:val="2"/>
        </w:numPr>
        <w:spacing w:line="600" w:lineRule="exact"/>
        <w:rPr>
          <w:rFonts w:cs="宋体-18030" w:asciiTheme="minorEastAsia" w:hAnsiTheme="minorEastAsia" w:eastAsiaTheme="minorEastAsia"/>
          <w:color w:val="auto"/>
          <w:sz w:val="26"/>
          <w:highlight w:val="none"/>
        </w:rPr>
      </w:pPr>
      <w:r>
        <w:rPr>
          <w:rFonts w:cs="宋体-18030" w:asciiTheme="minorEastAsia" w:hAnsiTheme="minorEastAsia" w:eastAsiaTheme="minorEastAsia"/>
          <w:color w:val="auto"/>
          <w:sz w:val="26"/>
          <w:highlight w:val="none"/>
        </w:rPr>
        <w:tab/>
      </w:r>
      <w:r>
        <w:rPr>
          <w:rFonts w:hint="eastAsia" w:cs="宋体-18030" w:asciiTheme="minorEastAsia" w:hAnsiTheme="minorEastAsia" w:eastAsiaTheme="minorEastAsia"/>
          <w:color w:val="auto"/>
          <w:sz w:val="26"/>
          <w:highlight w:val="none"/>
          <w:lang w:eastAsia="zh-CN"/>
        </w:rPr>
        <w:t>《抵押给成都中合利方投资管理合伙企业（有限合伙）的房产信息》</w:t>
      </w:r>
      <w:r>
        <w:rPr>
          <w:rFonts w:hint="eastAsia" w:cs="宋体-18030" w:asciiTheme="minorEastAsia" w:hAnsiTheme="minorEastAsia" w:eastAsiaTheme="minorEastAsia"/>
          <w:color w:val="auto"/>
          <w:sz w:val="26"/>
          <w:highlight w:val="none"/>
        </w:rPr>
        <w:t>（复印件）</w:t>
      </w:r>
      <w:r>
        <w:rPr>
          <w:rFonts w:hint="eastAsia" w:cs="宋体-18030" w:asciiTheme="minorEastAsia" w:hAnsiTheme="minorEastAsia" w:eastAsiaTheme="minorEastAsia"/>
          <w:color w:val="auto"/>
          <w:sz w:val="26"/>
          <w:highlight w:val="none"/>
          <w:lang w:eastAsia="zh-CN"/>
        </w:rPr>
        <w:t>；</w:t>
      </w:r>
    </w:p>
    <w:p>
      <w:pPr>
        <w:numPr>
          <w:ilvl w:val="0"/>
          <w:numId w:val="2"/>
        </w:numPr>
        <w:spacing w:line="600" w:lineRule="exact"/>
        <w:rPr>
          <w:rFonts w:hint="eastAsia"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w:t>
      </w:r>
      <w:r>
        <w:rPr>
          <w:rFonts w:hint="eastAsia" w:cs="宋体-18030" w:asciiTheme="minorEastAsia" w:hAnsiTheme="minorEastAsia" w:eastAsiaTheme="minorEastAsia"/>
          <w:color w:val="auto"/>
          <w:sz w:val="26"/>
          <w:highlight w:val="none"/>
          <w:lang w:eastAsia="zh-CN"/>
        </w:rPr>
        <w:t>查封众志公司的财产清单</w:t>
      </w:r>
      <w:r>
        <w:rPr>
          <w:rFonts w:hint="eastAsia" w:cs="宋体-18030" w:asciiTheme="minorEastAsia" w:hAnsiTheme="minorEastAsia" w:eastAsiaTheme="minorEastAsia"/>
          <w:color w:val="auto"/>
          <w:sz w:val="26"/>
          <w:highlight w:val="none"/>
          <w:lang w:val="en-US" w:eastAsia="zh-CN"/>
        </w:rPr>
        <w:t>-未抵押给</w:t>
      </w:r>
      <w:r>
        <w:rPr>
          <w:rFonts w:hint="eastAsia" w:cs="宋体-18030" w:asciiTheme="minorEastAsia" w:hAnsiTheme="minorEastAsia" w:eastAsiaTheme="minorEastAsia"/>
          <w:color w:val="auto"/>
          <w:sz w:val="26"/>
          <w:highlight w:val="none"/>
          <w:lang w:eastAsia="zh-CN"/>
        </w:rPr>
        <w:t>合利方的其他房产信息</w:t>
      </w:r>
      <w:r>
        <w:rPr>
          <w:rFonts w:hint="eastAsia" w:cs="宋体-18030" w:asciiTheme="minorEastAsia" w:hAnsiTheme="minorEastAsia" w:eastAsiaTheme="minorEastAsia"/>
          <w:color w:val="auto"/>
          <w:sz w:val="26"/>
          <w:highlight w:val="none"/>
        </w:rPr>
        <w:t>》（复印件）</w:t>
      </w:r>
      <w:r>
        <w:rPr>
          <w:rFonts w:hint="eastAsia" w:cs="宋体-18030" w:asciiTheme="minorEastAsia" w:hAnsiTheme="minorEastAsia" w:eastAsiaTheme="minorEastAsia"/>
          <w:color w:val="auto"/>
          <w:sz w:val="26"/>
          <w:highlight w:val="none"/>
          <w:lang w:eastAsia="zh-CN"/>
        </w:rPr>
        <w:t>；</w:t>
      </w:r>
    </w:p>
    <w:p>
      <w:pPr>
        <w:numPr>
          <w:ilvl w:val="0"/>
          <w:numId w:val="2"/>
        </w:numPr>
        <w:spacing w:line="600" w:lineRule="exact"/>
        <w:rPr>
          <w:rFonts w:hint="eastAsia"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lang w:eastAsia="zh-CN"/>
        </w:rPr>
        <w:t>《土地登记审批表》复印件</w:t>
      </w:r>
      <w:r>
        <w:rPr>
          <w:rFonts w:hint="eastAsia" w:cs="宋体-18030" w:asciiTheme="minorEastAsia" w:hAnsiTheme="minorEastAsia" w:eastAsiaTheme="minorEastAsia"/>
          <w:color w:val="auto"/>
          <w:sz w:val="26"/>
          <w:highlight w:val="none"/>
        </w:rPr>
        <w:t>；</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lang w:eastAsia="zh-CN"/>
        </w:rPr>
        <w:t>《查封清单》</w:t>
      </w:r>
      <w:r>
        <w:rPr>
          <w:rFonts w:hint="eastAsia" w:cs="宋体-18030" w:asciiTheme="minorEastAsia" w:hAnsiTheme="minorEastAsia" w:eastAsiaTheme="minorEastAsia"/>
          <w:color w:val="auto"/>
          <w:sz w:val="26"/>
          <w:highlight w:val="none"/>
        </w:rPr>
        <w:t>（复印件</w:t>
      </w:r>
      <w:r>
        <w:rPr>
          <w:rFonts w:hint="eastAsia" w:cs="宋体-18030" w:asciiTheme="minorEastAsia" w:hAnsiTheme="minorEastAsia" w:eastAsiaTheme="minorEastAsia"/>
          <w:color w:val="auto"/>
          <w:sz w:val="26"/>
          <w:highlight w:val="none"/>
          <w:lang w:eastAsia="zh-CN"/>
        </w:rPr>
        <w:t>）；</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lang w:eastAsia="zh-CN"/>
        </w:rPr>
        <w:t>《平面图》</w:t>
      </w:r>
      <w:r>
        <w:rPr>
          <w:rFonts w:hint="eastAsia" w:cs="宋体-18030" w:asciiTheme="minorEastAsia" w:hAnsiTheme="minorEastAsia" w:eastAsiaTheme="minorEastAsia"/>
          <w:color w:val="auto"/>
          <w:sz w:val="26"/>
          <w:highlight w:val="none"/>
        </w:rPr>
        <w:t>（复印件）</w:t>
      </w:r>
      <w:r>
        <w:rPr>
          <w:rFonts w:hint="eastAsia" w:cs="宋体-18030" w:asciiTheme="minorEastAsia" w:hAnsiTheme="minorEastAsia" w:eastAsiaTheme="minorEastAsia"/>
          <w:color w:val="auto"/>
          <w:sz w:val="26"/>
          <w:highlight w:val="none"/>
          <w:lang w:eastAsia="zh-CN"/>
        </w:rPr>
        <w:t>；</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专业帮助情况和相关专业意见；</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估价机构营业执照（复印件）；</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估价机构备案证书（复印件）；</w:t>
      </w:r>
    </w:p>
    <w:p>
      <w:pPr>
        <w:numPr>
          <w:ilvl w:val="0"/>
          <w:numId w:val="2"/>
        </w:numPr>
        <w:spacing w:line="600" w:lineRule="exact"/>
        <w:rPr>
          <w:rFonts w:cs="宋体-18030" w:asciiTheme="minorEastAsia" w:hAnsiTheme="minorEastAsia" w:eastAsiaTheme="minorEastAsia"/>
          <w:color w:val="auto"/>
          <w:sz w:val="26"/>
          <w:highlight w:val="none"/>
        </w:rPr>
      </w:pPr>
      <w:r>
        <w:rPr>
          <w:rFonts w:hint="eastAsia" w:cs="宋体-18030" w:asciiTheme="minorEastAsia" w:hAnsiTheme="minorEastAsia" w:eastAsiaTheme="minorEastAsia"/>
          <w:color w:val="auto"/>
          <w:sz w:val="26"/>
          <w:highlight w:val="none"/>
        </w:rPr>
        <w:t>估价人员资格证书（复印件）。</w:t>
      </w:r>
    </w:p>
    <w:p>
      <w:pPr>
        <w:spacing w:line="600" w:lineRule="exact"/>
        <w:jc w:val="both"/>
        <w:rPr>
          <w:rFonts w:asciiTheme="minorEastAsia" w:hAnsiTheme="minorEastAsia" w:eastAsiaTheme="minorEastAsia"/>
          <w:color w:val="auto"/>
          <w:highlight w:val="none"/>
        </w:rPr>
      </w:pPr>
      <w:bookmarkStart w:id="91" w:name="_GoBack"/>
      <w:bookmarkEnd w:id="91"/>
    </w:p>
    <w:sectPr>
      <w:footerReference r:id="rId8" w:type="first"/>
      <w:footerReference r:id="rId7" w:type="default"/>
      <w:pgSz w:w="11906" w:h="16838"/>
      <w:pgMar w:top="1134" w:right="1134" w:bottom="1701" w:left="1134" w:header="851" w:footer="850"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Arail">
    <w:altName w:val="Times New Roman"/>
    <w:panose1 w:val="00000000000000000000"/>
    <w:charset w:val="00"/>
    <w:family w:val="auto"/>
    <w:pitch w:val="default"/>
    <w:sig w:usb0="00000000" w:usb1="00000000" w:usb2="00000000" w:usb3="00000000" w:csb0="00000001" w:csb1="0000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苹方 常规">
    <w:altName w:val="宋体"/>
    <w:panose1 w:val="00000000000000000000"/>
    <w:charset w:val="86"/>
    <w:family w:val="swiss"/>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728596"/>
      <w:docPartObj>
        <w:docPartGallery w:val="autotext"/>
      </w:docPartObj>
    </w:sdtPr>
    <w:sdtContent>
      <w:p>
        <w:pPr>
          <w:pStyle w:val="2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7"/>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wordWrap w:val="0"/>
      <w:ind w:right="9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4</w:t>
    </w:r>
    <w:r>
      <w:rPr>
        <w:lang w:val="zh-CN"/>
      </w:rPr>
      <w:fldChar w:fldCharType="end"/>
    </w:r>
  </w:p>
  <w:p>
    <w:pPr>
      <w:pStyle w:val="27"/>
      <w:wordWrap w:val="0"/>
      <w:ind w:right="9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D178A"/>
    <w:multiLevelType w:val="multilevel"/>
    <w:tmpl w:val="152D178A"/>
    <w:lvl w:ilvl="0" w:tentative="0">
      <w:start w:val="1"/>
      <w:numFmt w:val="chineseCountingThousand"/>
      <w:lvlText w:val="%1、"/>
      <w:lvlJc w:val="left"/>
      <w:pPr>
        <w:ind w:left="1129" w:hanging="420"/>
      </w:pPr>
      <w:rPr>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7A932EBC"/>
    <w:multiLevelType w:val="multilevel"/>
    <w:tmpl w:val="7A932EBC"/>
    <w:lvl w:ilvl="0" w:tentative="0">
      <w:start w:val="1"/>
      <w:numFmt w:val="decimal"/>
      <w:lvlText w:val="%1、"/>
      <w:lvlJc w:val="left"/>
      <w:pPr>
        <w:ind w:left="989" w:hanging="420"/>
      </w:pPr>
      <w:rPr>
        <w:rFonts w:hint="eastAsia"/>
        <w:lang w:val="en-US"/>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hideSpellingErrors/>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zdmMDA1MjBlZmY4OWQ0OGUxZDlkOGI3YTI4NDEifQ=="/>
  </w:docVars>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ACE"/>
    <w:rsid w:val="00006EC3"/>
    <w:rsid w:val="0000783D"/>
    <w:rsid w:val="00007989"/>
    <w:rsid w:val="00007B97"/>
    <w:rsid w:val="00007D0B"/>
    <w:rsid w:val="00007D6A"/>
    <w:rsid w:val="00007EEC"/>
    <w:rsid w:val="00007F52"/>
    <w:rsid w:val="0001022B"/>
    <w:rsid w:val="00010742"/>
    <w:rsid w:val="00010EF5"/>
    <w:rsid w:val="000114DA"/>
    <w:rsid w:val="000116C2"/>
    <w:rsid w:val="00011984"/>
    <w:rsid w:val="00011CB7"/>
    <w:rsid w:val="00011FB9"/>
    <w:rsid w:val="00012098"/>
    <w:rsid w:val="0001216F"/>
    <w:rsid w:val="0001221D"/>
    <w:rsid w:val="000123C3"/>
    <w:rsid w:val="00013247"/>
    <w:rsid w:val="0001407A"/>
    <w:rsid w:val="00014357"/>
    <w:rsid w:val="0001436A"/>
    <w:rsid w:val="000146D4"/>
    <w:rsid w:val="000148F4"/>
    <w:rsid w:val="00015162"/>
    <w:rsid w:val="00015248"/>
    <w:rsid w:val="000158BC"/>
    <w:rsid w:val="00016369"/>
    <w:rsid w:val="00016582"/>
    <w:rsid w:val="00016784"/>
    <w:rsid w:val="0001716C"/>
    <w:rsid w:val="00017998"/>
    <w:rsid w:val="000179BC"/>
    <w:rsid w:val="00017B1C"/>
    <w:rsid w:val="00020243"/>
    <w:rsid w:val="0002039E"/>
    <w:rsid w:val="000204DB"/>
    <w:rsid w:val="00020575"/>
    <w:rsid w:val="000205E8"/>
    <w:rsid w:val="000206CB"/>
    <w:rsid w:val="00020A2A"/>
    <w:rsid w:val="00020ED6"/>
    <w:rsid w:val="00020FB5"/>
    <w:rsid w:val="00021390"/>
    <w:rsid w:val="00021D37"/>
    <w:rsid w:val="000222F7"/>
    <w:rsid w:val="00022632"/>
    <w:rsid w:val="00022D63"/>
    <w:rsid w:val="0002323C"/>
    <w:rsid w:val="000233F8"/>
    <w:rsid w:val="000237E4"/>
    <w:rsid w:val="0002386B"/>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1CB"/>
    <w:rsid w:val="000303BC"/>
    <w:rsid w:val="00030738"/>
    <w:rsid w:val="00030805"/>
    <w:rsid w:val="000313F8"/>
    <w:rsid w:val="00031777"/>
    <w:rsid w:val="00031B04"/>
    <w:rsid w:val="00031C52"/>
    <w:rsid w:val="00032425"/>
    <w:rsid w:val="0003266F"/>
    <w:rsid w:val="00032777"/>
    <w:rsid w:val="00032B4B"/>
    <w:rsid w:val="00032C15"/>
    <w:rsid w:val="0003345B"/>
    <w:rsid w:val="000334E3"/>
    <w:rsid w:val="000337CC"/>
    <w:rsid w:val="0003390B"/>
    <w:rsid w:val="00033AD7"/>
    <w:rsid w:val="0003411C"/>
    <w:rsid w:val="00034B7C"/>
    <w:rsid w:val="00034BB0"/>
    <w:rsid w:val="00034F70"/>
    <w:rsid w:val="00034FD2"/>
    <w:rsid w:val="0003576B"/>
    <w:rsid w:val="00035B00"/>
    <w:rsid w:val="00035C40"/>
    <w:rsid w:val="00035D89"/>
    <w:rsid w:val="000364F4"/>
    <w:rsid w:val="00036A56"/>
    <w:rsid w:val="00036B5E"/>
    <w:rsid w:val="00036BC2"/>
    <w:rsid w:val="00036F08"/>
    <w:rsid w:val="000376A7"/>
    <w:rsid w:val="000376AC"/>
    <w:rsid w:val="00037BB4"/>
    <w:rsid w:val="00040046"/>
    <w:rsid w:val="00040B49"/>
    <w:rsid w:val="00040B9B"/>
    <w:rsid w:val="00041076"/>
    <w:rsid w:val="0004107A"/>
    <w:rsid w:val="0004169A"/>
    <w:rsid w:val="000416EF"/>
    <w:rsid w:val="00042558"/>
    <w:rsid w:val="00042D7F"/>
    <w:rsid w:val="00042EEA"/>
    <w:rsid w:val="000433E6"/>
    <w:rsid w:val="000438E8"/>
    <w:rsid w:val="0004394A"/>
    <w:rsid w:val="00043D57"/>
    <w:rsid w:val="00043E78"/>
    <w:rsid w:val="0004415F"/>
    <w:rsid w:val="000444EC"/>
    <w:rsid w:val="00044619"/>
    <w:rsid w:val="0004480F"/>
    <w:rsid w:val="00044A5E"/>
    <w:rsid w:val="00045B3E"/>
    <w:rsid w:val="00045FBE"/>
    <w:rsid w:val="000462AB"/>
    <w:rsid w:val="00046D8A"/>
    <w:rsid w:val="000474D9"/>
    <w:rsid w:val="000475F8"/>
    <w:rsid w:val="000476F9"/>
    <w:rsid w:val="0004772D"/>
    <w:rsid w:val="0005047E"/>
    <w:rsid w:val="00050C20"/>
    <w:rsid w:val="00051082"/>
    <w:rsid w:val="0005150F"/>
    <w:rsid w:val="00051706"/>
    <w:rsid w:val="0005183E"/>
    <w:rsid w:val="000518F3"/>
    <w:rsid w:val="000522D5"/>
    <w:rsid w:val="0005255E"/>
    <w:rsid w:val="0005273B"/>
    <w:rsid w:val="0005290D"/>
    <w:rsid w:val="00052B5A"/>
    <w:rsid w:val="0005386C"/>
    <w:rsid w:val="000538CD"/>
    <w:rsid w:val="00053A60"/>
    <w:rsid w:val="00054A5C"/>
    <w:rsid w:val="0005530D"/>
    <w:rsid w:val="000553CC"/>
    <w:rsid w:val="000553E2"/>
    <w:rsid w:val="000554E5"/>
    <w:rsid w:val="000557BA"/>
    <w:rsid w:val="00055BEC"/>
    <w:rsid w:val="000561A1"/>
    <w:rsid w:val="0005695D"/>
    <w:rsid w:val="00056C57"/>
    <w:rsid w:val="00057037"/>
    <w:rsid w:val="00057382"/>
    <w:rsid w:val="00057A84"/>
    <w:rsid w:val="00057BE6"/>
    <w:rsid w:val="00060F47"/>
    <w:rsid w:val="00061395"/>
    <w:rsid w:val="00061764"/>
    <w:rsid w:val="00061785"/>
    <w:rsid w:val="00061C49"/>
    <w:rsid w:val="00062253"/>
    <w:rsid w:val="000628AE"/>
    <w:rsid w:val="00062DB7"/>
    <w:rsid w:val="00063124"/>
    <w:rsid w:val="0006352A"/>
    <w:rsid w:val="00063768"/>
    <w:rsid w:val="000643C1"/>
    <w:rsid w:val="0006452B"/>
    <w:rsid w:val="00064633"/>
    <w:rsid w:val="000649A2"/>
    <w:rsid w:val="00065566"/>
    <w:rsid w:val="00065F86"/>
    <w:rsid w:val="00066C0C"/>
    <w:rsid w:val="00067748"/>
    <w:rsid w:val="000678C9"/>
    <w:rsid w:val="00067DF4"/>
    <w:rsid w:val="00070165"/>
    <w:rsid w:val="000714E7"/>
    <w:rsid w:val="00071B1C"/>
    <w:rsid w:val="00071F5C"/>
    <w:rsid w:val="00071F7A"/>
    <w:rsid w:val="000727C1"/>
    <w:rsid w:val="00072A47"/>
    <w:rsid w:val="00072C83"/>
    <w:rsid w:val="00072ED6"/>
    <w:rsid w:val="000733BB"/>
    <w:rsid w:val="00073664"/>
    <w:rsid w:val="000738EE"/>
    <w:rsid w:val="00073D96"/>
    <w:rsid w:val="000741A7"/>
    <w:rsid w:val="000743FE"/>
    <w:rsid w:val="00074647"/>
    <w:rsid w:val="00074675"/>
    <w:rsid w:val="0007488F"/>
    <w:rsid w:val="00074F21"/>
    <w:rsid w:val="000756C2"/>
    <w:rsid w:val="0007571F"/>
    <w:rsid w:val="00075866"/>
    <w:rsid w:val="00075FFE"/>
    <w:rsid w:val="00076242"/>
    <w:rsid w:val="00076286"/>
    <w:rsid w:val="00076BBC"/>
    <w:rsid w:val="000772E4"/>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795"/>
    <w:rsid w:val="00086855"/>
    <w:rsid w:val="00086B89"/>
    <w:rsid w:val="00086BF6"/>
    <w:rsid w:val="00086D1A"/>
    <w:rsid w:val="0008734F"/>
    <w:rsid w:val="00087AFC"/>
    <w:rsid w:val="00087DE3"/>
    <w:rsid w:val="00090094"/>
    <w:rsid w:val="0009056C"/>
    <w:rsid w:val="0009058D"/>
    <w:rsid w:val="0009072B"/>
    <w:rsid w:val="00090C80"/>
    <w:rsid w:val="00090FF0"/>
    <w:rsid w:val="000913D3"/>
    <w:rsid w:val="00091402"/>
    <w:rsid w:val="0009195F"/>
    <w:rsid w:val="00092222"/>
    <w:rsid w:val="000922E7"/>
    <w:rsid w:val="00092A76"/>
    <w:rsid w:val="00092BC2"/>
    <w:rsid w:val="00093404"/>
    <w:rsid w:val="000935B7"/>
    <w:rsid w:val="0009379C"/>
    <w:rsid w:val="000938FF"/>
    <w:rsid w:val="00093C03"/>
    <w:rsid w:val="00093D09"/>
    <w:rsid w:val="0009417E"/>
    <w:rsid w:val="000941A7"/>
    <w:rsid w:val="00094382"/>
    <w:rsid w:val="000943CB"/>
    <w:rsid w:val="00094831"/>
    <w:rsid w:val="00094F42"/>
    <w:rsid w:val="000950D0"/>
    <w:rsid w:val="00095261"/>
    <w:rsid w:val="00095416"/>
    <w:rsid w:val="00095FDD"/>
    <w:rsid w:val="00096086"/>
    <w:rsid w:val="000965FF"/>
    <w:rsid w:val="00096896"/>
    <w:rsid w:val="00097423"/>
    <w:rsid w:val="000975B7"/>
    <w:rsid w:val="000975C3"/>
    <w:rsid w:val="000A0461"/>
    <w:rsid w:val="000A0EE8"/>
    <w:rsid w:val="000A138A"/>
    <w:rsid w:val="000A1539"/>
    <w:rsid w:val="000A1D69"/>
    <w:rsid w:val="000A2B9B"/>
    <w:rsid w:val="000A2D6D"/>
    <w:rsid w:val="000A36A9"/>
    <w:rsid w:val="000A3D66"/>
    <w:rsid w:val="000A408F"/>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4D3"/>
    <w:rsid w:val="000A798A"/>
    <w:rsid w:val="000A79E5"/>
    <w:rsid w:val="000A7B08"/>
    <w:rsid w:val="000A7CF2"/>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4FD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639"/>
    <w:rsid w:val="000C19FD"/>
    <w:rsid w:val="000C1DDB"/>
    <w:rsid w:val="000C1F26"/>
    <w:rsid w:val="000C2115"/>
    <w:rsid w:val="000C2B92"/>
    <w:rsid w:val="000C2FF0"/>
    <w:rsid w:val="000C3470"/>
    <w:rsid w:val="000C3849"/>
    <w:rsid w:val="000C3B8C"/>
    <w:rsid w:val="000C3D01"/>
    <w:rsid w:val="000C3F3D"/>
    <w:rsid w:val="000C435D"/>
    <w:rsid w:val="000C452F"/>
    <w:rsid w:val="000C4CBB"/>
    <w:rsid w:val="000C503E"/>
    <w:rsid w:val="000C5586"/>
    <w:rsid w:val="000C5CF0"/>
    <w:rsid w:val="000C61C0"/>
    <w:rsid w:val="000C63CA"/>
    <w:rsid w:val="000C66D4"/>
    <w:rsid w:val="000C6DD4"/>
    <w:rsid w:val="000C6FCA"/>
    <w:rsid w:val="000C6FD8"/>
    <w:rsid w:val="000C701B"/>
    <w:rsid w:val="000D0276"/>
    <w:rsid w:val="000D0951"/>
    <w:rsid w:val="000D0CFE"/>
    <w:rsid w:val="000D0D97"/>
    <w:rsid w:val="000D0F6D"/>
    <w:rsid w:val="000D1071"/>
    <w:rsid w:val="000D11E9"/>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BFD"/>
    <w:rsid w:val="000D4CAA"/>
    <w:rsid w:val="000D4EC2"/>
    <w:rsid w:val="000D5074"/>
    <w:rsid w:val="000D51FB"/>
    <w:rsid w:val="000D578E"/>
    <w:rsid w:val="000D588B"/>
    <w:rsid w:val="000D5A28"/>
    <w:rsid w:val="000D6385"/>
    <w:rsid w:val="000D65AF"/>
    <w:rsid w:val="000D6A50"/>
    <w:rsid w:val="000D6D0D"/>
    <w:rsid w:val="000D7538"/>
    <w:rsid w:val="000D76B5"/>
    <w:rsid w:val="000D7BD8"/>
    <w:rsid w:val="000D7C19"/>
    <w:rsid w:val="000D7E7A"/>
    <w:rsid w:val="000E0E85"/>
    <w:rsid w:val="000E13C8"/>
    <w:rsid w:val="000E1686"/>
    <w:rsid w:val="000E199F"/>
    <w:rsid w:val="000E1D30"/>
    <w:rsid w:val="000E2726"/>
    <w:rsid w:val="000E2B61"/>
    <w:rsid w:val="000E2E69"/>
    <w:rsid w:val="000E30B8"/>
    <w:rsid w:val="000E3231"/>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4C"/>
    <w:rsid w:val="000E7A83"/>
    <w:rsid w:val="000F012D"/>
    <w:rsid w:val="000F0403"/>
    <w:rsid w:val="000F0479"/>
    <w:rsid w:val="000F0BE0"/>
    <w:rsid w:val="000F0E4A"/>
    <w:rsid w:val="000F1102"/>
    <w:rsid w:val="000F1663"/>
    <w:rsid w:val="000F1727"/>
    <w:rsid w:val="000F1899"/>
    <w:rsid w:val="000F1B61"/>
    <w:rsid w:val="000F1B8D"/>
    <w:rsid w:val="000F1F5B"/>
    <w:rsid w:val="000F2238"/>
    <w:rsid w:val="000F25EB"/>
    <w:rsid w:val="000F2F22"/>
    <w:rsid w:val="000F35F5"/>
    <w:rsid w:val="000F3657"/>
    <w:rsid w:val="000F3793"/>
    <w:rsid w:val="000F3F96"/>
    <w:rsid w:val="000F41CA"/>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263"/>
    <w:rsid w:val="000F7666"/>
    <w:rsid w:val="000F795C"/>
    <w:rsid w:val="000F7C27"/>
    <w:rsid w:val="00100094"/>
    <w:rsid w:val="00100229"/>
    <w:rsid w:val="00100300"/>
    <w:rsid w:val="00100C7B"/>
    <w:rsid w:val="00100F29"/>
    <w:rsid w:val="001014CC"/>
    <w:rsid w:val="001014F0"/>
    <w:rsid w:val="001018FD"/>
    <w:rsid w:val="00101B48"/>
    <w:rsid w:val="001020BF"/>
    <w:rsid w:val="0010279A"/>
    <w:rsid w:val="00102D80"/>
    <w:rsid w:val="00103017"/>
    <w:rsid w:val="0010341D"/>
    <w:rsid w:val="001034E3"/>
    <w:rsid w:val="00104061"/>
    <w:rsid w:val="0010431E"/>
    <w:rsid w:val="001044C8"/>
    <w:rsid w:val="00104D23"/>
    <w:rsid w:val="001052D4"/>
    <w:rsid w:val="00105384"/>
    <w:rsid w:val="0010540D"/>
    <w:rsid w:val="00105D73"/>
    <w:rsid w:val="00106163"/>
    <w:rsid w:val="00106699"/>
    <w:rsid w:val="00106B16"/>
    <w:rsid w:val="00106DA5"/>
    <w:rsid w:val="00107006"/>
    <w:rsid w:val="001072D4"/>
    <w:rsid w:val="001079EF"/>
    <w:rsid w:val="00107AAD"/>
    <w:rsid w:val="00107D6E"/>
    <w:rsid w:val="001112BA"/>
    <w:rsid w:val="001113F5"/>
    <w:rsid w:val="001114FA"/>
    <w:rsid w:val="001115AE"/>
    <w:rsid w:val="00111A90"/>
    <w:rsid w:val="00111E6C"/>
    <w:rsid w:val="00111EA8"/>
    <w:rsid w:val="0011291A"/>
    <w:rsid w:val="00112BD0"/>
    <w:rsid w:val="00112C49"/>
    <w:rsid w:val="00112C7C"/>
    <w:rsid w:val="00112C85"/>
    <w:rsid w:val="00112D3D"/>
    <w:rsid w:val="00112D79"/>
    <w:rsid w:val="00112E8B"/>
    <w:rsid w:val="00112ECE"/>
    <w:rsid w:val="0011371E"/>
    <w:rsid w:val="001137F7"/>
    <w:rsid w:val="001149E2"/>
    <w:rsid w:val="00114A6C"/>
    <w:rsid w:val="00114C60"/>
    <w:rsid w:val="001153F1"/>
    <w:rsid w:val="00116D1C"/>
    <w:rsid w:val="00116D25"/>
    <w:rsid w:val="00117014"/>
    <w:rsid w:val="00120A1A"/>
    <w:rsid w:val="00121438"/>
    <w:rsid w:val="00122136"/>
    <w:rsid w:val="00122381"/>
    <w:rsid w:val="00122694"/>
    <w:rsid w:val="00122750"/>
    <w:rsid w:val="001229C8"/>
    <w:rsid w:val="00122D57"/>
    <w:rsid w:val="00122EBC"/>
    <w:rsid w:val="001234C2"/>
    <w:rsid w:val="00123A8D"/>
    <w:rsid w:val="00123C30"/>
    <w:rsid w:val="00123C3E"/>
    <w:rsid w:val="0012416D"/>
    <w:rsid w:val="001241CA"/>
    <w:rsid w:val="001241FA"/>
    <w:rsid w:val="00124368"/>
    <w:rsid w:val="001247F8"/>
    <w:rsid w:val="00124A29"/>
    <w:rsid w:val="00124DED"/>
    <w:rsid w:val="00125208"/>
    <w:rsid w:val="001252F9"/>
    <w:rsid w:val="001253BE"/>
    <w:rsid w:val="00125495"/>
    <w:rsid w:val="00125E5D"/>
    <w:rsid w:val="001263BE"/>
    <w:rsid w:val="00126C73"/>
    <w:rsid w:val="00127127"/>
    <w:rsid w:val="00127AC1"/>
    <w:rsid w:val="00130067"/>
    <w:rsid w:val="00130C38"/>
    <w:rsid w:val="0013132A"/>
    <w:rsid w:val="001319F0"/>
    <w:rsid w:val="00131BAA"/>
    <w:rsid w:val="0013229F"/>
    <w:rsid w:val="00132C7B"/>
    <w:rsid w:val="001333AC"/>
    <w:rsid w:val="001333E8"/>
    <w:rsid w:val="00133F31"/>
    <w:rsid w:val="00133F9B"/>
    <w:rsid w:val="0013436C"/>
    <w:rsid w:val="00134628"/>
    <w:rsid w:val="001347A9"/>
    <w:rsid w:val="00134830"/>
    <w:rsid w:val="001350AF"/>
    <w:rsid w:val="00135D3B"/>
    <w:rsid w:val="00135EC7"/>
    <w:rsid w:val="00135ED6"/>
    <w:rsid w:val="00135F6B"/>
    <w:rsid w:val="0013619F"/>
    <w:rsid w:val="0013669D"/>
    <w:rsid w:val="00137625"/>
    <w:rsid w:val="00137C88"/>
    <w:rsid w:val="00140844"/>
    <w:rsid w:val="00140C9B"/>
    <w:rsid w:val="00140CE7"/>
    <w:rsid w:val="00140D83"/>
    <w:rsid w:val="00140E73"/>
    <w:rsid w:val="00140F08"/>
    <w:rsid w:val="00140FCA"/>
    <w:rsid w:val="0014115D"/>
    <w:rsid w:val="0014120A"/>
    <w:rsid w:val="001415C4"/>
    <w:rsid w:val="00141715"/>
    <w:rsid w:val="00141799"/>
    <w:rsid w:val="00141B9C"/>
    <w:rsid w:val="00141F2B"/>
    <w:rsid w:val="00141F48"/>
    <w:rsid w:val="0014215B"/>
    <w:rsid w:val="001423B3"/>
    <w:rsid w:val="00142E4B"/>
    <w:rsid w:val="0014335F"/>
    <w:rsid w:val="00143634"/>
    <w:rsid w:val="001436C3"/>
    <w:rsid w:val="00143B67"/>
    <w:rsid w:val="0014413D"/>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1D"/>
    <w:rsid w:val="001534F3"/>
    <w:rsid w:val="00153C72"/>
    <w:rsid w:val="0015408F"/>
    <w:rsid w:val="0015455E"/>
    <w:rsid w:val="00154FFE"/>
    <w:rsid w:val="001550D9"/>
    <w:rsid w:val="001552F8"/>
    <w:rsid w:val="00155497"/>
    <w:rsid w:val="00155774"/>
    <w:rsid w:val="001558D2"/>
    <w:rsid w:val="00156069"/>
    <w:rsid w:val="001560A9"/>
    <w:rsid w:val="00156378"/>
    <w:rsid w:val="0015655F"/>
    <w:rsid w:val="00156640"/>
    <w:rsid w:val="00156977"/>
    <w:rsid w:val="00156D3F"/>
    <w:rsid w:val="00156E6C"/>
    <w:rsid w:val="001574B4"/>
    <w:rsid w:val="001576B8"/>
    <w:rsid w:val="001577A8"/>
    <w:rsid w:val="0015796D"/>
    <w:rsid w:val="00157CA2"/>
    <w:rsid w:val="00157D28"/>
    <w:rsid w:val="00160483"/>
    <w:rsid w:val="00160542"/>
    <w:rsid w:val="001608E6"/>
    <w:rsid w:val="00160A97"/>
    <w:rsid w:val="00160CC7"/>
    <w:rsid w:val="0016182D"/>
    <w:rsid w:val="00161DD8"/>
    <w:rsid w:val="00161FCD"/>
    <w:rsid w:val="001625E3"/>
    <w:rsid w:val="00162EE2"/>
    <w:rsid w:val="001632D7"/>
    <w:rsid w:val="0016333C"/>
    <w:rsid w:val="001638D2"/>
    <w:rsid w:val="00164022"/>
    <w:rsid w:val="001646B9"/>
    <w:rsid w:val="00164C8B"/>
    <w:rsid w:val="00165327"/>
    <w:rsid w:val="0016538E"/>
    <w:rsid w:val="001656C3"/>
    <w:rsid w:val="00165715"/>
    <w:rsid w:val="00165A27"/>
    <w:rsid w:val="00165C89"/>
    <w:rsid w:val="00165CA6"/>
    <w:rsid w:val="0016652D"/>
    <w:rsid w:val="001665AE"/>
    <w:rsid w:val="00166827"/>
    <w:rsid w:val="00166855"/>
    <w:rsid w:val="00166925"/>
    <w:rsid w:val="001669B9"/>
    <w:rsid w:val="001669C0"/>
    <w:rsid w:val="0016772F"/>
    <w:rsid w:val="00167ECB"/>
    <w:rsid w:val="001700C4"/>
    <w:rsid w:val="001708FD"/>
    <w:rsid w:val="001709E4"/>
    <w:rsid w:val="00170CA7"/>
    <w:rsid w:val="0017118F"/>
    <w:rsid w:val="001715DA"/>
    <w:rsid w:val="0017197B"/>
    <w:rsid w:val="00171CD8"/>
    <w:rsid w:val="00172256"/>
    <w:rsid w:val="00172432"/>
    <w:rsid w:val="001728F7"/>
    <w:rsid w:val="001729D1"/>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605A"/>
    <w:rsid w:val="00176A1B"/>
    <w:rsid w:val="00176DED"/>
    <w:rsid w:val="00176DEE"/>
    <w:rsid w:val="001771CF"/>
    <w:rsid w:val="00177460"/>
    <w:rsid w:val="00177501"/>
    <w:rsid w:val="00177971"/>
    <w:rsid w:val="00177ACF"/>
    <w:rsid w:val="0018015E"/>
    <w:rsid w:val="0018027F"/>
    <w:rsid w:val="001805C7"/>
    <w:rsid w:val="0018064F"/>
    <w:rsid w:val="001806E7"/>
    <w:rsid w:val="001809EF"/>
    <w:rsid w:val="00180D1E"/>
    <w:rsid w:val="00180E71"/>
    <w:rsid w:val="0018169B"/>
    <w:rsid w:val="001818CD"/>
    <w:rsid w:val="00181A79"/>
    <w:rsid w:val="00181E78"/>
    <w:rsid w:val="00182135"/>
    <w:rsid w:val="0018231B"/>
    <w:rsid w:val="0018257F"/>
    <w:rsid w:val="001825D9"/>
    <w:rsid w:val="00182654"/>
    <w:rsid w:val="00182FBE"/>
    <w:rsid w:val="00183128"/>
    <w:rsid w:val="0018367A"/>
    <w:rsid w:val="00183B98"/>
    <w:rsid w:val="00183EE6"/>
    <w:rsid w:val="001842DE"/>
    <w:rsid w:val="0018479B"/>
    <w:rsid w:val="00184B60"/>
    <w:rsid w:val="0018551C"/>
    <w:rsid w:val="001855A0"/>
    <w:rsid w:val="00185725"/>
    <w:rsid w:val="00186064"/>
    <w:rsid w:val="00186226"/>
    <w:rsid w:val="00186587"/>
    <w:rsid w:val="00186900"/>
    <w:rsid w:val="00186928"/>
    <w:rsid w:val="0018704D"/>
    <w:rsid w:val="0018794B"/>
    <w:rsid w:val="00187EA4"/>
    <w:rsid w:val="0019031D"/>
    <w:rsid w:val="001904EF"/>
    <w:rsid w:val="00190707"/>
    <w:rsid w:val="00190761"/>
    <w:rsid w:val="001909DA"/>
    <w:rsid w:val="00190F2B"/>
    <w:rsid w:val="00191004"/>
    <w:rsid w:val="0019226E"/>
    <w:rsid w:val="0019252A"/>
    <w:rsid w:val="001927AE"/>
    <w:rsid w:val="00192956"/>
    <w:rsid w:val="001930AF"/>
    <w:rsid w:val="001933F1"/>
    <w:rsid w:val="00193C43"/>
    <w:rsid w:val="00193DB8"/>
    <w:rsid w:val="00194091"/>
    <w:rsid w:val="00194097"/>
    <w:rsid w:val="001943A3"/>
    <w:rsid w:val="00194424"/>
    <w:rsid w:val="001947B7"/>
    <w:rsid w:val="0019492D"/>
    <w:rsid w:val="00194B4B"/>
    <w:rsid w:val="0019672E"/>
    <w:rsid w:val="00196DC3"/>
    <w:rsid w:val="0019710F"/>
    <w:rsid w:val="00197620"/>
    <w:rsid w:val="00197CA8"/>
    <w:rsid w:val="001A054D"/>
    <w:rsid w:val="001A0F7D"/>
    <w:rsid w:val="001A18A9"/>
    <w:rsid w:val="001A1A5F"/>
    <w:rsid w:val="001A1E2F"/>
    <w:rsid w:val="001A2198"/>
    <w:rsid w:val="001A2B0A"/>
    <w:rsid w:val="001A2FD4"/>
    <w:rsid w:val="001A328D"/>
    <w:rsid w:val="001A3496"/>
    <w:rsid w:val="001A3959"/>
    <w:rsid w:val="001A3F0A"/>
    <w:rsid w:val="001A4C29"/>
    <w:rsid w:val="001A4D51"/>
    <w:rsid w:val="001A4F00"/>
    <w:rsid w:val="001A58C6"/>
    <w:rsid w:val="001A69FB"/>
    <w:rsid w:val="001A792F"/>
    <w:rsid w:val="001A79A8"/>
    <w:rsid w:val="001A79E7"/>
    <w:rsid w:val="001B0DC2"/>
    <w:rsid w:val="001B0F39"/>
    <w:rsid w:val="001B10B1"/>
    <w:rsid w:val="001B15A9"/>
    <w:rsid w:val="001B16EA"/>
    <w:rsid w:val="001B1872"/>
    <w:rsid w:val="001B1BC1"/>
    <w:rsid w:val="001B227F"/>
    <w:rsid w:val="001B22B4"/>
    <w:rsid w:val="001B2777"/>
    <w:rsid w:val="001B2954"/>
    <w:rsid w:val="001B2EE9"/>
    <w:rsid w:val="001B33F0"/>
    <w:rsid w:val="001B362A"/>
    <w:rsid w:val="001B4AD3"/>
    <w:rsid w:val="001B4AED"/>
    <w:rsid w:val="001B4F34"/>
    <w:rsid w:val="001B54E5"/>
    <w:rsid w:val="001B55A0"/>
    <w:rsid w:val="001B56BB"/>
    <w:rsid w:val="001B68ED"/>
    <w:rsid w:val="001B6CEF"/>
    <w:rsid w:val="001B6F81"/>
    <w:rsid w:val="001B7350"/>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D9E"/>
    <w:rsid w:val="001C5EF2"/>
    <w:rsid w:val="001C6218"/>
    <w:rsid w:val="001C6340"/>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0AB8"/>
    <w:rsid w:val="001E112C"/>
    <w:rsid w:val="001E12DE"/>
    <w:rsid w:val="001E130A"/>
    <w:rsid w:val="001E158E"/>
    <w:rsid w:val="001E15CE"/>
    <w:rsid w:val="001E18A1"/>
    <w:rsid w:val="001E2567"/>
    <w:rsid w:val="001E2B92"/>
    <w:rsid w:val="001E3243"/>
    <w:rsid w:val="001E3CCA"/>
    <w:rsid w:val="001E4773"/>
    <w:rsid w:val="001E49B3"/>
    <w:rsid w:val="001E4E33"/>
    <w:rsid w:val="001E52B9"/>
    <w:rsid w:val="001E5678"/>
    <w:rsid w:val="001E59AC"/>
    <w:rsid w:val="001E5CE2"/>
    <w:rsid w:val="001E6118"/>
    <w:rsid w:val="001E64D8"/>
    <w:rsid w:val="001E65F8"/>
    <w:rsid w:val="001E6714"/>
    <w:rsid w:val="001E6BE1"/>
    <w:rsid w:val="001E79FF"/>
    <w:rsid w:val="001E7C32"/>
    <w:rsid w:val="001E7F97"/>
    <w:rsid w:val="001F00B4"/>
    <w:rsid w:val="001F0170"/>
    <w:rsid w:val="001F04F6"/>
    <w:rsid w:val="001F0682"/>
    <w:rsid w:val="001F094C"/>
    <w:rsid w:val="001F0D99"/>
    <w:rsid w:val="001F13A4"/>
    <w:rsid w:val="001F13B7"/>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346"/>
    <w:rsid w:val="001F6576"/>
    <w:rsid w:val="001F669B"/>
    <w:rsid w:val="001F6812"/>
    <w:rsid w:val="001F68AD"/>
    <w:rsid w:val="001F6B58"/>
    <w:rsid w:val="001F6B67"/>
    <w:rsid w:val="001F6BE2"/>
    <w:rsid w:val="001F7615"/>
    <w:rsid w:val="001F790D"/>
    <w:rsid w:val="001F7B0A"/>
    <w:rsid w:val="001F7BC0"/>
    <w:rsid w:val="001F7E3F"/>
    <w:rsid w:val="001F7FD2"/>
    <w:rsid w:val="002005F1"/>
    <w:rsid w:val="00200733"/>
    <w:rsid w:val="00200AC5"/>
    <w:rsid w:val="00200AC6"/>
    <w:rsid w:val="00200B2B"/>
    <w:rsid w:val="00201C71"/>
    <w:rsid w:val="00201DC1"/>
    <w:rsid w:val="00201FC1"/>
    <w:rsid w:val="00202349"/>
    <w:rsid w:val="00202527"/>
    <w:rsid w:val="002027FD"/>
    <w:rsid w:val="00202A57"/>
    <w:rsid w:val="00202B49"/>
    <w:rsid w:val="002030E7"/>
    <w:rsid w:val="0020337B"/>
    <w:rsid w:val="00203804"/>
    <w:rsid w:val="00203DFF"/>
    <w:rsid w:val="00204611"/>
    <w:rsid w:val="00204705"/>
    <w:rsid w:val="002057C8"/>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2B"/>
    <w:rsid w:val="002129B4"/>
    <w:rsid w:val="002133BB"/>
    <w:rsid w:val="0021350E"/>
    <w:rsid w:val="002147F6"/>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BFF"/>
    <w:rsid w:val="00222DD9"/>
    <w:rsid w:val="0022339C"/>
    <w:rsid w:val="0022367B"/>
    <w:rsid w:val="00223868"/>
    <w:rsid w:val="002239AC"/>
    <w:rsid w:val="002244C1"/>
    <w:rsid w:val="00225226"/>
    <w:rsid w:val="00225BE5"/>
    <w:rsid w:val="00225F7B"/>
    <w:rsid w:val="0022633F"/>
    <w:rsid w:val="00226DFF"/>
    <w:rsid w:val="00226F8A"/>
    <w:rsid w:val="00227A82"/>
    <w:rsid w:val="002303A6"/>
    <w:rsid w:val="00230A10"/>
    <w:rsid w:val="00230BDC"/>
    <w:rsid w:val="002311EE"/>
    <w:rsid w:val="00232E03"/>
    <w:rsid w:val="002332CD"/>
    <w:rsid w:val="002333BC"/>
    <w:rsid w:val="00233659"/>
    <w:rsid w:val="002337AD"/>
    <w:rsid w:val="00233ABB"/>
    <w:rsid w:val="00233B49"/>
    <w:rsid w:val="00233C2C"/>
    <w:rsid w:val="00233D80"/>
    <w:rsid w:val="00233F22"/>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12"/>
    <w:rsid w:val="00244B53"/>
    <w:rsid w:val="00244C76"/>
    <w:rsid w:val="002455C1"/>
    <w:rsid w:val="0024575E"/>
    <w:rsid w:val="00245FAA"/>
    <w:rsid w:val="002467FD"/>
    <w:rsid w:val="00246977"/>
    <w:rsid w:val="00246B9F"/>
    <w:rsid w:val="00246BD7"/>
    <w:rsid w:val="00246C5A"/>
    <w:rsid w:val="00246E3F"/>
    <w:rsid w:val="00246F75"/>
    <w:rsid w:val="00250332"/>
    <w:rsid w:val="002506E5"/>
    <w:rsid w:val="00250EE6"/>
    <w:rsid w:val="00251094"/>
    <w:rsid w:val="00251230"/>
    <w:rsid w:val="002513D7"/>
    <w:rsid w:val="00251796"/>
    <w:rsid w:val="00251CBA"/>
    <w:rsid w:val="00251E55"/>
    <w:rsid w:val="00252202"/>
    <w:rsid w:val="002529C7"/>
    <w:rsid w:val="00252BAC"/>
    <w:rsid w:val="00253E9C"/>
    <w:rsid w:val="00254346"/>
    <w:rsid w:val="0025487D"/>
    <w:rsid w:val="00254A56"/>
    <w:rsid w:val="00254B6B"/>
    <w:rsid w:val="00254DA9"/>
    <w:rsid w:val="00254FC3"/>
    <w:rsid w:val="002557E9"/>
    <w:rsid w:val="002558D6"/>
    <w:rsid w:val="00255B75"/>
    <w:rsid w:val="00255E32"/>
    <w:rsid w:val="002562A0"/>
    <w:rsid w:val="002566B5"/>
    <w:rsid w:val="00256A05"/>
    <w:rsid w:val="00256A56"/>
    <w:rsid w:val="00256C21"/>
    <w:rsid w:val="00256F8B"/>
    <w:rsid w:val="00257632"/>
    <w:rsid w:val="00257A9B"/>
    <w:rsid w:val="00257B52"/>
    <w:rsid w:val="00257D23"/>
    <w:rsid w:val="0026038A"/>
    <w:rsid w:val="00260551"/>
    <w:rsid w:val="00260E6C"/>
    <w:rsid w:val="00260EFE"/>
    <w:rsid w:val="00261142"/>
    <w:rsid w:val="00261689"/>
    <w:rsid w:val="002616AA"/>
    <w:rsid w:val="00261AA3"/>
    <w:rsid w:val="00261EE1"/>
    <w:rsid w:val="002623B2"/>
    <w:rsid w:val="00262CBA"/>
    <w:rsid w:val="00262F1B"/>
    <w:rsid w:val="002645CE"/>
    <w:rsid w:val="00264D38"/>
    <w:rsid w:val="00264E97"/>
    <w:rsid w:val="00265239"/>
    <w:rsid w:val="0026529C"/>
    <w:rsid w:val="002657B9"/>
    <w:rsid w:val="00265F49"/>
    <w:rsid w:val="00266572"/>
    <w:rsid w:val="002666B1"/>
    <w:rsid w:val="00267BC9"/>
    <w:rsid w:val="00267C56"/>
    <w:rsid w:val="00267E01"/>
    <w:rsid w:val="0027016C"/>
    <w:rsid w:val="00270B05"/>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AE9"/>
    <w:rsid w:val="00274EFF"/>
    <w:rsid w:val="002754E2"/>
    <w:rsid w:val="00275838"/>
    <w:rsid w:val="00275960"/>
    <w:rsid w:val="00275B19"/>
    <w:rsid w:val="00275C16"/>
    <w:rsid w:val="00275C36"/>
    <w:rsid w:val="00275F7E"/>
    <w:rsid w:val="0027682A"/>
    <w:rsid w:val="00276A57"/>
    <w:rsid w:val="00276F41"/>
    <w:rsid w:val="00277672"/>
    <w:rsid w:val="00277CA6"/>
    <w:rsid w:val="00277CF7"/>
    <w:rsid w:val="00277D2F"/>
    <w:rsid w:val="002806B3"/>
    <w:rsid w:val="00280AF2"/>
    <w:rsid w:val="00280E56"/>
    <w:rsid w:val="002812A9"/>
    <w:rsid w:val="00281888"/>
    <w:rsid w:val="002818EB"/>
    <w:rsid w:val="00281990"/>
    <w:rsid w:val="00281BA5"/>
    <w:rsid w:val="00281E69"/>
    <w:rsid w:val="00282299"/>
    <w:rsid w:val="00282A9F"/>
    <w:rsid w:val="00282EBD"/>
    <w:rsid w:val="00283B89"/>
    <w:rsid w:val="0028402D"/>
    <w:rsid w:val="00284259"/>
    <w:rsid w:val="00284274"/>
    <w:rsid w:val="00284406"/>
    <w:rsid w:val="002845BC"/>
    <w:rsid w:val="0028492E"/>
    <w:rsid w:val="00284A68"/>
    <w:rsid w:val="00284A87"/>
    <w:rsid w:val="00285853"/>
    <w:rsid w:val="0028603A"/>
    <w:rsid w:val="0028643D"/>
    <w:rsid w:val="00286560"/>
    <w:rsid w:val="00286983"/>
    <w:rsid w:val="002870E7"/>
    <w:rsid w:val="0028746E"/>
    <w:rsid w:val="00287C47"/>
    <w:rsid w:val="00287F28"/>
    <w:rsid w:val="00287FBE"/>
    <w:rsid w:val="00290038"/>
    <w:rsid w:val="0029044B"/>
    <w:rsid w:val="00290791"/>
    <w:rsid w:val="00290CD3"/>
    <w:rsid w:val="0029119A"/>
    <w:rsid w:val="002915A7"/>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FA"/>
    <w:rsid w:val="002942C1"/>
    <w:rsid w:val="00294340"/>
    <w:rsid w:val="0029435F"/>
    <w:rsid w:val="00294598"/>
    <w:rsid w:val="0029504D"/>
    <w:rsid w:val="00295430"/>
    <w:rsid w:val="002963E4"/>
    <w:rsid w:val="0029681F"/>
    <w:rsid w:val="0029682A"/>
    <w:rsid w:val="00296AB2"/>
    <w:rsid w:val="00296D2C"/>
    <w:rsid w:val="00296FA6"/>
    <w:rsid w:val="00297B0F"/>
    <w:rsid w:val="00297E7F"/>
    <w:rsid w:val="00297F5A"/>
    <w:rsid w:val="002A04EF"/>
    <w:rsid w:val="002A09F3"/>
    <w:rsid w:val="002A0AB2"/>
    <w:rsid w:val="002A0BE5"/>
    <w:rsid w:val="002A0C9C"/>
    <w:rsid w:val="002A1281"/>
    <w:rsid w:val="002A1A75"/>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A0F"/>
    <w:rsid w:val="002A6EA9"/>
    <w:rsid w:val="002A719F"/>
    <w:rsid w:val="002A74C3"/>
    <w:rsid w:val="002A7613"/>
    <w:rsid w:val="002A77CF"/>
    <w:rsid w:val="002A78CB"/>
    <w:rsid w:val="002A7960"/>
    <w:rsid w:val="002B0648"/>
    <w:rsid w:val="002B0B3D"/>
    <w:rsid w:val="002B0BD9"/>
    <w:rsid w:val="002B0D3C"/>
    <w:rsid w:val="002B0F50"/>
    <w:rsid w:val="002B0FED"/>
    <w:rsid w:val="002B145E"/>
    <w:rsid w:val="002B18BB"/>
    <w:rsid w:val="002B19D5"/>
    <w:rsid w:val="002B1B4D"/>
    <w:rsid w:val="002B1C7F"/>
    <w:rsid w:val="002B2071"/>
    <w:rsid w:val="002B244E"/>
    <w:rsid w:val="002B2636"/>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72F1"/>
    <w:rsid w:val="002B7423"/>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2BB"/>
    <w:rsid w:val="002C3C3D"/>
    <w:rsid w:val="002C4155"/>
    <w:rsid w:val="002C419A"/>
    <w:rsid w:val="002C422C"/>
    <w:rsid w:val="002C465E"/>
    <w:rsid w:val="002C473F"/>
    <w:rsid w:val="002C5379"/>
    <w:rsid w:val="002C573A"/>
    <w:rsid w:val="002C5CDE"/>
    <w:rsid w:val="002C5E9B"/>
    <w:rsid w:val="002C5F31"/>
    <w:rsid w:val="002C6368"/>
    <w:rsid w:val="002C6572"/>
    <w:rsid w:val="002C6838"/>
    <w:rsid w:val="002C69FF"/>
    <w:rsid w:val="002C6C32"/>
    <w:rsid w:val="002C7EA0"/>
    <w:rsid w:val="002D0188"/>
    <w:rsid w:val="002D063A"/>
    <w:rsid w:val="002D0D15"/>
    <w:rsid w:val="002D0E3B"/>
    <w:rsid w:val="002D1498"/>
    <w:rsid w:val="002D1621"/>
    <w:rsid w:val="002D1790"/>
    <w:rsid w:val="002D21B7"/>
    <w:rsid w:val="002D2253"/>
    <w:rsid w:val="002D25BE"/>
    <w:rsid w:val="002D2C9C"/>
    <w:rsid w:val="002D3295"/>
    <w:rsid w:val="002D3BB0"/>
    <w:rsid w:val="002D45DE"/>
    <w:rsid w:val="002D4847"/>
    <w:rsid w:val="002D48B3"/>
    <w:rsid w:val="002D4FA5"/>
    <w:rsid w:val="002D587E"/>
    <w:rsid w:val="002D58F9"/>
    <w:rsid w:val="002D5EAD"/>
    <w:rsid w:val="002D639E"/>
    <w:rsid w:val="002D6C1F"/>
    <w:rsid w:val="002D6ED0"/>
    <w:rsid w:val="002D7294"/>
    <w:rsid w:val="002D7A8F"/>
    <w:rsid w:val="002E0355"/>
    <w:rsid w:val="002E07B2"/>
    <w:rsid w:val="002E08D6"/>
    <w:rsid w:val="002E0ABB"/>
    <w:rsid w:val="002E0D4C"/>
    <w:rsid w:val="002E197E"/>
    <w:rsid w:val="002E1AA5"/>
    <w:rsid w:val="002E1AC0"/>
    <w:rsid w:val="002E1D63"/>
    <w:rsid w:val="002E2765"/>
    <w:rsid w:val="002E2A54"/>
    <w:rsid w:val="002E2B86"/>
    <w:rsid w:val="002E2EF6"/>
    <w:rsid w:val="002E30CB"/>
    <w:rsid w:val="002E36B0"/>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9F"/>
    <w:rsid w:val="002F0EE1"/>
    <w:rsid w:val="002F1292"/>
    <w:rsid w:val="002F18BD"/>
    <w:rsid w:val="002F2D8A"/>
    <w:rsid w:val="002F2F49"/>
    <w:rsid w:val="002F2F90"/>
    <w:rsid w:val="002F2FDB"/>
    <w:rsid w:val="002F31D4"/>
    <w:rsid w:val="002F343B"/>
    <w:rsid w:val="002F3457"/>
    <w:rsid w:val="002F3531"/>
    <w:rsid w:val="002F3698"/>
    <w:rsid w:val="002F3747"/>
    <w:rsid w:val="002F3891"/>
    <w:rsid w:val="002F3C02"/>
    <w:rsid w:val="002F3D5C"/>
    <w:rsid w:val="002F3EBE"/>
    <w:rsid w:val="002F3F41"/>
    <w:rsid w:val="002F4EA9"/>
    <w:rsid w:val="002F4FBC"/>
    <w:rsid w:val="002F55DE"/>
    <w:rsid w:val="002F5716"/>
    <w:rsid w:val="002F5863"/>
    <w:rsid w:val="002F5A72"/>
    <w:rsid w:val="002F5BCA"/>
    <w:rsid w:val="002F5D53"/>
    <w:rsid w:val="002F5D80"/>
    <w:rsid w:val="002F5E3F"/>
    <w:rsid w:val="002F5EBC"/>
    <w:rsid w:val="002F5F28"/>
    <w:rsid w:val="002F6148"/>
    <w:rsid w:val="002F61A4"/>
    <w:rsid w:val="002F64C3"/>
    <w:rsid w:val="002F671A"/>
    <w:rsid w:val="002F69D4"/>
    <w:rsid w:val="002F6B0B"/>
    <w:rsid w:val="002F7085"/>
    <w:rsid w:val="002F7176"/>
    <w:rsid w:val="002F7677"/>
    <w:rsid w:val="002F7867"/>
    <w:rsid w:val="002F79DF"/>
    <w:rsid w:val="002F7B08"/>
    <w:rsid w:val="00300272"/>
    <w:rsid w:val="0030083F"/>
    <w:rsid w:val="003016C7"/>
    <w:rsid w:val="003016FF"/>
    <w:rsid w:val="00301B10"/>
    <w:rsid w:val="00301C26"/>
    <w:rsid w:val="00301E50"/>
    <w:rsid w:val="00301F8D"/>
    <w:rsid w:val="003020C3"/>
    <w:rsid w:val="003023CD"/>
    <w:rsid w:val="0030306C"/>
    <w:rsid w:val="0030327E"/>
    <w:rsid w:val="00303AEB"/>
    <w:rsid w:val="00303BFC"/>
    <w:rsid w:val="003040EF"/>
    <w:rsid w:val="003045A0"/>
    <w:rsid w:val="003048AD"/>
    <w:rsid w:val="00304BAB"/>
    <w:rsid w:val="00304C69"/>
    <w:rsid w:val="00304E44"/>
    <w:rsid w:val="00305358"/>
    <w:rsid w:val="00305399"/>
    <w:rsid w:val="003053DA"/>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F88"/>
    <w:rsid w:val="003230E0"/>
    <w:rsid w:val="003235A9"/>
    <w:rsid w:val="0032362E"/>
    <w:rsid w:val="00323721"/>
    <w:rsid w:val="0032378F"/>
    <w:rsid w:val="00323DC8"/>
    <w:rsid w:val="003243CA"/>
    <w:rsid w:val="00324689"/>
    <w:rsid w:val="0032503D"/>
    <w:rsid w:val="003254D1"/>
    <w:rsid w:val="00325B6F"/>
    <w:rsid w:val="00325B98"/>
    <w:rsid w:val="00325E61"/>
    <w:rsid w:val="003262A2"/>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33F"/>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AFA"/>
    <w:rsid w:val="00340BA8"/>
    <w:rsid w:val="00340CF6"/>
    <w:rsid w:val="00340D50"/>
    <w:rsid w:val="00340ED7"/>
    <w:rsid w:val="00340FFB"/>
    <w:rsid w:val="00342319"/>
    <w:rsid w:val="003428A6"/>
    <w:rsid w:val="003428BA"/>
    <w:rsid w:val="00342926"/>
    <w:rsid w:val="00342A91"/>
    <w:rsid w:val="00342B17"/>
    <w:rsid w:val="003432CE"/>
    <w:rsid w:val="003432DC"/>
    <w:rsid w:val="00343631"/>
    <w:rsid w:val="003438DA"/>
    <w:rsid w:val="00343C2B"/>
    <w:rsid w:val="00343DCE"/>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133"/>
    <w:rsid w:val="00351ABD"/>
    <w:rsid w:val="00351E22"/>
    <w:rsid w:val="003528B7"/>
    <w:rsid w:val="00352C58"/>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70AC"/>
    <w:rsid w:val="00357175"/>
    <w:rsid w:val="003571DA"/>
    <w:rsid w:val="00357430"/>
    <w:rsid w:val="00357534"/>
    <w:rsid w:val="0035778B"/>
    <w:rsid w:val="00357D72"/>
    <w:rsid w:val="0036005E"/>
    <w:rsid w:val="003606FB"/>
    <w:rsid w:val="0036169F"/>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459"/>
    <w:rsid w:val="003664C6"/>
    <w:rsid w:val="003667DC"/>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4E3"/>
    <w:rsid w:val="003738C2"/>
    <w:rsid w:val="0037399D"/>
    <w:rsid w:val="003741A8"/>
    <w:rsid w:val="00374897"/>
    <w:rsid w:val="00374A5C"/>
    <w:rsid w:val="0037500A"/>
    <w:rsid w:val="003750DF"/>
    <w:rsid w:val="00375316"/>
    <w:rsid w:val="00375443"/>
    <w:rsid w:val="003755D4"/>
    <w:rsid w:val="003757E1"/>
    <w:rsid w:val="00375B41"/>
    <w:rsid w:val="00375CDC"/>
    <w:rsid w:val="00375FCF"/>
    <w:rsid w:val="003760DC"/>
    <w:rsid w:val="003762D8"/>
    <w:rsid w:val="0037645E"/>
    <w:rsid w:val="0037699E"/>
    <w:rsid w:val="00376EE0"/>
    <w:rsid w:val="003772D3"/>
    <w:rsid w:val="003775CC"/>
    <w:rsid w:val="003775D4"/>
    <w:rsid w:val="00377802"/>
    <w:rsid w:val="003778F6"/>
    <w:rsid w:val="003778FA"/>
    <w:rsid w:val="00377E67"/>
    <w:rsid w:val="00380020"/>
    <w:rsid w:val="0038008E"/>
    <w:rsid w:val="0038045A"/>
    <w:rsid w:val="00381075"/>
    <w:rsid w:val="003816AA"/>
    <w:rsid w:val="00381929"/>
    <w:rsid w:val="00381985"/>
    <w:rsid w:val="00381BB5"/>
    <w:rsid w:val="00381CE5"/>
    <w:rsid w:val="00381E0E"/>
    <w:rsid w:val="00382164"/>
    <w:rsid w:val="00382E3C"/>
    <w:rsid w:val="003832CA"/>
    <w:rsid w:val="00383610"/>
    <w:rsid w:val="003838DD"/>
    <w:rsid w:val="00383A85"/>
    <w:rsid w:val="00383CF6"/>
    <w:rsid w:val="0038418C"/>
    <w:rsid w:val="003849FA"/>
    <w:rsid w:val="00384A2B"/>
    <w:rsid w:val="00385321"/>
    <w:rsid w:val="00385341"/>
    <w:rsid w:val="003857CD"/>
    <w:rsid w:val="00385E3D"/>
    <w:rsid w:val="00386089"/>
    <w:rsid w:val="003862DA"/>
    <w:rsid w:val="00386818"/>
    <w:rsid w:val="003870FB"/>
    <w:rsid w:val="003871DD"/>
    <w:rsid w:val="003879DC"/>
    <w:rsid w:val="00390019"/>
    <w:rsid w:val="00390033"/>
    <w:rsid w:val="00390500"/>
    <w:rsid w:val="003905E4"/>
    <w:rsid w:val="0039131E"/>
    <w:rsid w:val="00391630"/>
    <w:rsid w:val="00391A53"/>
    <w:rsid w:val="00391FB8"/>
    <w:rsid w:val="00391FDB"/>
    <w:rsid w:val="003920E5"/>
    <w:rsid w:val="0039281B"/>
    <w:rsid w:val="003929A7"/>
    <w:rsid w:val="00392D6C"/>
    <w:rsid w:val="00392FAF"/>
    <w:rsid w:val="0039335A"/>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D62"/>
    <w:rsid w:val="003A1F00"/>
    <w:rsid w:val="003A2689"/>
    <w:rsid w:val="003A2FF5"/>
    <w:rsid w:val="003A3604"/>
    <w:rsid w:val="003A3680"/>
    <w:rsid w:val="003A3740"/>
    <w:rsid w:val="003A37DD"/>
    <w:rsid w:val="003A39F6"/>
    <w:rsid w:val="003A3B29"/>
    <w:rsid w:val="003A43B4"/>
    <w:rsid w:val="003A468C"/>
    <w:rsid w:val="003A5200"/>
    <w:rsid w:val="003A54E5"/>
    <w:rsid w:val="003A57E7"/>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77E"/>
    <w:rsid w:val="003B0FC8"/>
    <w:rsid w:val="003B1372"/>
    <w:rsid w:val="003B13C1"/>
    <w:rsid w:val="003B1543"/>
    <w:rsid w:val="003B182F"/>
    <w:rsid w:val="003B1B7B"/>
    <w:rsid w:val="003B2027"/>
    <w:rsid w:val="003B298B"/>
    <w:rsid w:val="003B2D2E"/>
    <w:rsid w:val="003B2E38"/>
    <w:rsid w:val="003B340A"/>
    <w:rsid w:val="003B43F1"/>
    <w:rsid w:val="003B4673"/>
    <w:rsid w:val="003B49C0"/>
    <w:rsid w:val="003B5319"/>
    <w:rsid w:val="003B53D1"/>
    <w:rsid w:val="003B5B94"/>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2E78"/>
    <w:rsid w:val="003C313D"/>
    <w:rsid w:val="003C315F"/>
    <w:rsid w:val="003C3588"/>
    <w:rsid w:val="003C3C1C"/>
    <w:rsid w:val="003C430A"/>
    <w:rsid w:val="003C49D7"/>
    <w:rsid w:val="003C5194"/>
    <w:rsid w:val="003C5D26"/>
    <w:rsid w:val="003C60CF"/>
    <w:rsid w:val="003C63E0"/>
    <w:rsid w:val="003C6905"/>
    <w:rsid w:val="003C6A77"/>
    <w:rsid w:val="003C702C"/>
    <w:rsid w:val="003C7A92"/>
    <w:rsid w:val="003C7F92"/>
    <w:rsid w:val="003D020D"/>
    <w:rsid w:val="003D0309"/>
    <w:rsid w:val="003D070F"/>
    <w:rsid w:val="003D1669"/>
    <w:rsid w:val="003D1727"/>
    <w:rsid w:val="003D185F"/>
    <w:rsid w:val="003D1DBF"/>
    <w:rsid w:val="003D1EC4"/>
    <w:rsid w:val="003D2075"/>
    <w:rsid w:val="003D2105"/>
    <w:rsid w:val="003D24E8"/>
    <w:rsid w:val="003D26A1"/>
    <w:rsid w:val="003D2F47"/>
    <w:rsid w:val="003D341F"/>
    <w:rsid w:val="003D36DA"/>
    <w:rsid w:val="003D3B93"/>
    <w:rsid w:val="003D3BDC"/>
    <w:rsid w:val="003D3E28"/>
    <w:rsid w:val="003D459B"/>
    <w:rsid w:val="003D5D79"/>
    <w:rsid w:val="003D6375"/>
    <w:rsid w:val="003D6880"/>
    <w:rsid w:val="003D72EC"/>
    <w:rsid w:val="003D7345"/>
    <w:rsid w:val="003D7525"/>
    <w:rsid w:val="003D7793"/>
    <w:rsid w:val="003D7CD7"/>
    <w:rsid w:val="003E005F"/>
    <w:rsid w:val="003E04B8"/>
    <w:rsid w:val="003E1052"/>
    <w:rsid w:val="003E10D3"/>
    <w:rsid w:val="003E1524"/>
    <w:rsid w:val="003E152E"/>
    <w:rsid w:val="003E1548"/>
    <w:rsid w:val="003E1B5E"/>
    <w:rsid w:val="003E1FB8"/>
    <w:rsid w:val="003E2375"/>
    <w:rsid w:val="003E29B0"/>
    <w:rsid w:val="003E2BCF"/>
    <w:rsid w:val="003E340A"/>
    <w:rsid w:val="003E3BB7"/>
    <w:rsid w:val="003E466D"/>
    <w:rsid w:val="003E474D"/>
    <w:rsid w:val="003E4F09"/>
    <w:rsid w:val="003E519E"/>
    <w:rsid w:val="003E5BF0"/>
    <w:rsid w:val="003E6234"/>
    <w:rsid w:val="003E647B"/>
    <w:rsid w:val="003E64C3"/>
    <w:rsid w:val="003E6655"/>
    <w:rsid w:val="003E67CE"/>
    <w:rsid w:val="003E6CE0"/>
    <w:rsid w:val="003E6F24"/>
    <w:rsid w:val="003E722F"/>
    <w:rsid w:val="003E78C3"/>
    <w:rsid w:val="003E7EA1"/>
    <w:rsid w:val="003F06CB"/>
    <w:rsid w:val="003F0778"/>
    <w:rsid w:val="003F0C18"/>
    <w:rsid w:val="003F161F"/>
    <w:rsid w:val="003F173E"/>
    <w:rsid w:val="003F1F15"/>
    <w:rsid w:val="003F21B3"/>
    <w:rsid w:val="003F25C2"/>
    <w:rsid w:val="003F2705"/>
    <w:rsid w:val="003F27F8"/>
    <w:rsid w:val="003F2937"/>
    <w:rsid w:val="003F2BB2"/>
    <w:rsid w:val="003F30FC"/>
    <w:rsid w:val="003F3709"/>
    <w:rsid w:val="003F3A70"/>
    <w:rsid w:val="003F3BB4"/>
    <w:rsid w:val="003F4436"/>
    <w:rsid w:val="003F45A4"/>
    <w:rsid w:val="003F4734"/>
    <w:rsid w:val="003F51D9"/>
    <w:rsid w:val="003F5838"/>
    <w:rsid w:val="003F5D25"/>
    <w:rsid w:val="003F6590"/>
    <w:rsid w:val="003F65D0"/>
    <w:rsid w:val="003F6B37"/>
    <w:rsid w:val="003F6F8F"/>
    <w:rsid w:val="003F6FB9"/>
    <w:rsid w:val="003F6FF0"/>
    <w:rsid w:val="003F7048"/>
    <w:rsid w:val="003F741E"/>
    <w:rsid w:val="003F78AF"/>
    <w:rsid w:val="003F791E"/>
    <w:rsid w:val="00400443"/>
    <w:rsid w:val="00400DBE"/>
    <w:rsid w:val="00400EAD"/>
    <w:rsid w:val="00400F67"/>
    <w:rsid w:val="00401D51"/>
    <w:rsid w:val="004023F5"/>
    <w:rsid w:val="00402702"/>
    <w:rsid w:val="004027DC"/>
    <w:rsid w:val="0040284A"/>
    <w:rsid w:val="00402A09"/>
    <w:rsid w:val="00402C7E"/>
    <w:rsid w:val="00404C05"/>
    <w:rsid w:val="00404E29"/>
    <w:rsid w:val="0040508B"/>
    <w:rsid w:val="00405494"/>
    <w:rsid w:val="00405495"/>
    <w:rsid w:val="00405816"/>
    <w:rsid w:val="004061CD"/>
    <w:rsid w:val="004063EB"/>
    <w:rsid w:val="00406B1E"/>
    <w:rsid w:val="00406C95"/>
    <w:rsid w:val="00406CAC"/>
    <w:rsid w:val="00406D40"/>
    <w:rsid w:val="00406D79"/>
    <w:rsid w:val="00406E7D"/>
    <w:rsid w:val="00407647"/>
    <w:rsid w:val="00407710"/>
    <w:rsid w:val="00407912"/>
    <w:rsid w:val="00407C44"/>
    <w:rsid w:val="00407F23"/>
    <w:rsid w:val="004100D7"/>
    <w:rsid w:val="0041034E"/>
    <w:rsid w:val="004113BE"/>
    <w:rsid w:val="00411506"/>
    <w:rsid w:val="004116D3"/>
    <w:rsid w:val="00412162"/>
    <w:rsid w:val="00412286"/>
    <w:rsid w:val="00413100"/>
    <w:rsid w:val="00413288"/>
    <w:rsid w:val="004138CD"/>
    <w:rsid w:val="00413F93"/>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6F8"/>
    <w:rsid w:val="004238B8"/>
    <w:rsid w:val="0042478E"/>
    <w:rsid w:val="004247BE"/>
    <w:rsid w:val="00424944"/>
    <w:rsid w:val="004249B8"/>
    <w:rsid w:val="00424B98"/>
    <w:rsid w:val="00424D24"/>
    <w:rsid w:val="00425424"/>
    <w:rsid w:val="00425488"/>
    <w:rsid w:val="004254BA"/>
    <w:rsid w:val="0042584B"/>
    <w:rsid w:val="004258E8"/>
    <w:rsid w:val="0042656E"/>
    <w:rsid w:val="00427126"/>
    <w:rsid w:val="004272D8"/>
    <w:rsid w:val="004273C5"/>
    <w:rsid w:val="00427FEE"/>
    <w:rsid w:val="00430701"/>
    <w:rsid w:val="004307F1"/>
    <w:rsid w:val="00430913"/>
    <w:rsid w:val="00431037"/>
    <w:rsid w:val="0043103C"/>
    <w:rsid w:val="00431745"/>
    <w:rsid w:val="00431EB0"/>
    <w:rsid w:val="00431F98"/>
    <w:rsid w:val="00431FAE"/>
    <w:rsid w:val="0043211E"/>
    <w:rsid w:val="00432625"/>
    <w:rsid w:val="00432AFC"/>
    <w:rsid w:val="0043324F"/>
    <w:rsid w:val="00433277"/>
    <w:rsid w:val="0043353C"/>
    <w:rsid w:val="00433B36"/>
    <w:rsid w:val="0043402A"/>
    <w:rsid w:val="004341E8"/>
    <w:rsid w:val="004346E6"/>
    <w:rsid w:val="004347FA"/>
    <w:rsid w:val="0043480B"/>
    <w:rsid w:val="0043582E"/>
    <w:rsid w:val="00435BE6"/>
    <w:rsid w:val="004361A0"/>
    <w:rsid w:val="00436450"/>
    <w:rsid w:val="0043648D"/>
    <w:rsid w:val="004364B4"/>
    <w:rsid w:val="0043652A"/>
    <w:rsid w:val="00437225"/>
    <w:rsid w:val="00437557"/>
    <w:rsid w:val="004378A0"/>
    <w:rsid w:val="004378F7"/>
    <w:rsid w:val="00437B7A"/>
    <w:rsid w:val="00440173"/>
    <w:rsid w:val="00440422"/>
    <w:rsid w:val="00440B9A"/>
    <w:rsid w:val="00441289"/>
    <w:rsid w:val="004414D3"/>
    <w:rsid w:val="0044154B"/>
    <w:rsid w:val="00441ED1"/>
    <w:rsid w:val="00441FDA"/>
    <w:rsid w:val="00442AF0"/>
    <w:rsid w:val="004436D9"/>
    <w:rsid w:val="004439FF"/>
    <w:rsid w:val="00443DAF"/>
    <w:rsid w:val="00444035"/>
    <w:rsid w:val="004441B4"/>
    <w:rsid w:val="004441EB"/>
    <w:rsid w:val="00444390"/>
    <w:rsid w:val="00444846"/>
    <w:rsid w:val="00444BB3"/>
    <w:rsid w:val="004459A0"/>
    <w:rsid w:val="00445C46"/>
    <w:rsid w:val="00445FEB"/>
    <w:rsid w:val="0044614C"/>
    <w:rsid w:val="004463CB"/>
    <w:rsid w:val="00446B5E"/>
    <w:rsid w:val="00446C18"/>
    <w:rsid w:val="00446CF2"/>
    <w:rsid w:val="00447049"/>
    <w:rsid w:val="0044790E"/>
    <w:rsid w:val="00447F99"/>
    <w:rsid w:val="00447FB2"/>
    <w:rsid w:val="00450C7E"/>
    <w:rsid w:val="00450DDB"/>
    <w:rsid w:val="00450E8C"/>
    <w:rsid w:val="00451179"/>
    <w:rsid w:val="0045128D"/>
    <w:rsid w:val="004519D3"/>
    <w:rsid w:val="00451D98"/>
    <w:rsid w:val="00451FF9"/>
    <w:rsid w:val="004522B0"/>
    <w:rsid w:val="004524F7"/>
    <w:rsid w:val="0045290A"/>
    <w:rsid w:val="00453092"/>
    <w:rsid w:val="004531FE"/>
    <w:rsid w:val="004534E4"/>
    <w:rsid w:val="00453816"/>
    <w:rsid w:val="00454671"/>
    <w:rsid w:val="00454803"/>
    <w:rsid w:val="00454D17"/>
    <w:rsid w:val="00454FF7"/>
    <w:rsid w:val="00455398"/>
    <w:rsid w:val="0045594F"/>
    <w:rsid w:val="00455B23"/>
    <w:rsid w:val="004560F0"/>
    <w:rsid w:val="0045619C"/>
    <w:rsid w:val="00456DFF"/>
    <w:rsid w:val="00456F3C"/>
    <w:rsid w:val="00457041"/>
    <w:rsid w:val="004571D6"/>
    <w:rsid w:val="004572C4"/>
    <w:rsid w:val="0045739B"/>
    <w:rsid w:val="00457674"/>
    <w:rsid w:val="00460590"/>
    <w:rsid w:val="00460DC0"/>
    <w:rsid w:val="00461B45"/>
    <w:rsid w:val="0046202B"/>
    <w:rsid w:val="004627B0"/>
    <w:rsid w:val="00463270"/>
    <w:rsid w:val="00463CA9"/>
    <w:rsid w:val="004640E7"/>
    <w:rsid w:val="004643D0"/>
    <w:rsid w:val="004647D7"/>
    <w:rsid w:val="004648C7"/>
    <w:rsid w:val="004649BF"/>
    <w:rsid w:val="004649D5"/>
    <w:rsid w:val="00464A39"/>
    <w:rsid w:val="00464B55"/>
    <w:rsid w:val="00464CDA"/>
    <w:rsid w:val="004658B0"/>
    <w:rsid w:val="0046590B"/>
    <w:rsid w:val="00465ADB"/>
    <w:rsid w:val="00465B92"/>
    <w:rsid w:val="004661A4"/>
    <w:rsid w:val="004661A7"/>
    <w:rsid w:val="00466645"/>
    <w:rsid w:val="00466E51"/>
    <w:rsid w:val="00466E52"/>
    <w:rsid w:val="0046702E"/>
    <w:rsid w:val="00467096"/>
    <w:rsid w:val="004671C4"/>
    <w:rsid w:val="00467648"/>
    <w:rsid w:val="004676C2"/>
    <w:rsid w:val="004677F2"/>
    <w:rsid w:val="004678ED"/>
    <w:rsid w:val="00467B6B"/>
    <w:rsid w:val="00470555"/>
    <w:rsid w:val="00471395"/>
    <w:rsid w:val="004716E8"/>
    <w:rsid w:val="00471A52"/>
    <w:rsid w:val="004720F7"/>
    <w:rsid w:val="004727D6"/>
    <w:rsid w:val="004728B7"/>
    <w:rsid w:val="004736AB"/>
    <w:rsid w:val="00474A6D"/>
    <w:rsid w:val="00474CBD"/>
    <w:rsid w:val="0047540A"/>
    <w:rsid w:val="00475456"/>
    <w:rsid w:val="004754BD"/>
    <w:rsid w:val="00475674"/>
    <w:rsid w:val="00475E14"/>
    <w:rsid w:val="00475EA6"/>
    <w:rsid w:val="004762AD"/>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663"/>
    <w:rsid w:val="004827BE"/>
    <w:rsid w:val="004842D5"/>
    <w:rsid w:val="00484898"/>
    <w:rsid w:val="00484A45"/>
    <w:rsid w:val="00484C5D"/>
    <w:rsid w:val="004850D9"/>
    <w:rsid w:val="00485225"/>
    <w:rsid w:val="0048522C"/>
    <w:rsid w:val="0048557C"/>
    <w:rsid w:val="00485859"/>
    <w:rsid w:val="00486005"/>
    <w:rsid w:val="004865A8"/>
    <w:rsid w:val="00486877"/>
    <w:rsid w:val="0048701C"/>
    <w:rsid w:val="0048701D"/>
    <w:rsid w:val="0048706F"/>
    <w:rsid w:val="00487804"/>
    <w:rsid w:val="004902FB"/>
    <w:rsid w:val="004906E0"/>
    <w:rsid w:val="00490A2E"/>
    <w:rsid w:val="00490CE7"/>
    <w:rsid w:val="00490F8C"/>
    <w:rsid w:val="00491218"/>
    <w:rsid w:val="0049152D"/>
    <w:rsid w:val="004915A8"/>
    <w:rsid w:val="004917FC"/>
    <w:rsid w:val="0049190C"/>
    <w:rsid w:val="004925E6"/>
    <w:rsid w:val="00492935"/>
    <w:rsid w:val="00492B01"/>
    <w:rsid w:val="00492DCB"/>
    <w:rsid w:val="00492F20"/>
    <w:rsid w:val="004930D3"/>
    <w:rsid w:val="004935B6"/>
    <w:rsid w:val="00493ED5"/>
    <w:rsid w:val="00494088"/>
    <w:rsid w:val="00494168"/>
    <w:rsid w:val="00494458"/>
    <w:rsid w:val="00494484"/>
    <w:rsid w:val="00494676"/>
    <w:rsid w:val="0049479E"/>
    <w:rsid w:val="004949B8"/>
    <w:rsid w:val="00494CF0"/>
    <w:rsid w:val="0049568B"/>
    <w:rsid w:val="004957EC"/>
    <w:rsid w:val="00495ABC"/>
    <w:rsid w:val="00495D54"/>
    <w:rsid w:val="00496141"/>
    <w:rsid w:val="0049614E"/>
    <w:rsid w:val="00496582"/>
    <w:rsid w:val="00496801"/>
    <w:rsid w:val="0049750B"/>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20FF"/>
    <w:rsid w:val="004B23EE"/>
    <w:rsid w:val="004B2543"/>
    <w:rsid w:val="004B257F"/>
    <w:rsid w:val="004B266C"/>
    <w:rsid w:val="004B2ADE"/>
    <w:rsid w:val="004B2E48"/>
    <w:rsid w:val="004B3508"/>
    <w:rsid w:val="004B3B02"/>
    <w:rsid w:val="004B42CF"/>
    <w:rsid w:val="004B5FFF"/>
    <w:rsid w:val="004B60D5"/>
    <w:rsid w:val="004B6236"/>
    <w:rsid w:val="004B6416"/>
    <w:rsid w:val="004B6BE8"/>
    <w:rsid w:val="004B6E50"/>
    <w:rsid w:val="004B70D5"/>
    <w:rsid w:val="004B76F5"/>
    <w:rsid w:val="004B7970"/>
    <w:rsid w:val="004B7E32"/>
    <w:rsid w:val="004C030C"/>
    <w:rsid w:val="004C091C"/>
    <w:rsid w:val="004C0AD0"/>
    <w:rsid w:val="004C0E3C"/>
    <w:rsid w:val="004C11ED"/>
    <w:rsid w:val="004C159C"/>
    <w:rsid w:val="004C161E"/>
    <w:rsid w:val="004C182F"/>
    <w:rsid w:val="004C2161"/>
    <w:rsid w:val="004C24E8"/>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1BD"/>
    <w:rsid w:val="004D029A"/>
    <w:rsid w:val="004D036D"/>
    <w:rsid w:val="004D071E"/>
    <w:rsid w:val="004D0A4F"/>
    <w:rsid w:val="004D0F22"/>
    <w:rsid w:val="004D0FDB"/>
    <w:rsid w:val="004D1352"/>
    <w:rsid w:val="004D1461"/>
    <w:rsid w:val="004D160D"/>
    <w:rsid w:val="004D165F"/>
    <w:rsid w:val="004D169C"/>
    <w:rsid w:val="004D1BDB"/>
    <w:rsid w:val="004D1C9F"/>
    <w:rsid w:val="004D2E20"/>
    <w:rsid w:val="004D2F9C"/>
    <w:rsid w:val="004D3105"/>
    <w:rsid w:val="004D3674"/>
    <w:rsid w:val="004D463E"/>
    <w:rsid w:val="004D4B55"/>
    <w:rsid w:val="004D516B"/>
    <w:rsid w:val="004D51E0"/>
    <w:rsid w:val="004D530A"/>
    <w:rsid w:val="004D57AA"/>
    <w:rsid w:val="004D607C"/>
    <w:rsid w:val="004D613B"/>
    <w:rsid w:val="004D6560"/>
    <w:rsid w:val="004D6856"/>
    <w:rsid w:val="004D6FEA"/>
    <w:rsid w:val="004D733D"/>
    <w:rsid w:val="004D7754"/>
    <w:rsid w:val="004D7B88"/>
    <w:rsid w:val="004D7EC0"/>
    <w:rsid w:val="004E0022"/>
    <w:rsid w:val="004E0D15"/>
    <w:rsid w:val="004E0E9E"/>
    <w:rsid w:val="004E148A"/>
    <w:rsid w:val="004E187E"/>
    <w:rsid w:val="004E1925"/>
    <w:rsid w:val="004E1951"/>
    <w:rsid w:val="004E2226"/>
    <w:rsid w:val="004E26CC"/>
    <w:rsid w:val="004E2874"/>
    <w:rsid w:val="004E2A48"/>
    <w:rsid w:val="004E2DB4"/>
    <w:rsid w:val="004E2F97"/>
    <w:rsid w:val="004E31A6"/>
    <w:rsid w:val="004E3343"/>
    <w:rsid w:val="004E35B2"/>
    <w:rsid w:val="004E3B12"/>
    <w:rsid w:val="004E3DD0"/>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81E"/>
    <w:rsid w:val="004F23B0"/>
    <w:rsid w:val="004F2430"/>
    <w:rsid w:val="004F2475"/>
    <w:rsid w:val="004F27E2"/>
    <w:rsid w:val="004F2837"/>
    <w:rsid w:val="004F2F6A"/>
    <w:rsid w:val="004F380B"/>
    <w:rsid w:val="004F39CD"/>
    <w:rsid w:val="004F3BDA"/>
    <w:rsid w:val="004F3C70"/>
    <w:rsid w:val="004F3DD6"/>
    <w:rsid w:val="004F3EF7"/>
    <w:rsid w:val="004F4424"/>
    <w:rsid w:val="004F44F5"/>
    <w:rsid w:val="004F4AB6"/>
    <w:rsid w:val="004F4E3E"/>
    <w:rsid w:val="004F52C4"/>
    <w:rsid w:val="004F52DA"/>
    <w:rsid w:val="004F52E9"/>
    <w:rsid w:val="004F5369"/>
    <w:rsid w:val="004F5CE4"/>
    <w:rsid w:val="004F5E94"/>
    <w:rsid w:val="004F6B9A"/>
    <w:rsid w:val="004F6DB6"/>
    <w:rsid w:val="004F7196"/>
    <w:rsid w:val="004F73C5"/>
    <w:rsid w:val="004F75ED"/>
    <w:rsid w:val="004F7A61"/>
    <w:rsid w:val="004F7F9E"/>
    <w:rsid w:val="0050022C"/>
    <w:rsid w:val="00500307"/>
    <w:rsid w:val="00500A0B"/>
    <w:rsid w:val="005010A5"/>
    <w:rsid w:val="005010DF"/>
    <w:rsid w:val="00501282"/>
    <w:rsid w:val="0050137F"/>
    <w:rsid w:val="0050171B"/>
    <w:rsid w:val="005017BD"/>
    <w:rsid w:val="0050225C"/>
    <w:rsid w:val="00502ACA"/>
    <w:rsid w:val="00502C31"/>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852"/>
    <w:rsid w:val="00510CD9"/>
    <w:rsid w:val="00510CDA"/>
    <w:rsid w:val="00510E29"/>
    <w:rsid w:val="00510E53"/>
    <w:rsid w:val="00510ED3"/>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735B"/>
    <w:rsid w:val="00517628"/>
    <w:rsid w:val="00520596"/>
    <w:rsid w:val="005205CC"/>
    <w:rsid w:val="00520BEE"/>
    <w:rsid w:val="00520DA9"/>
    <w:rsid w:val="00520E1F"/>
    <w:rsid w:val="00521028"/>
    <w:rsid w:val="005210C4"/>
    <w:rsid w:val="00521116"/>
    <w:rsid w:val="00521185"/>
    <w:rsid w:val="00521767"/>
    <w:rsid w:val="005217A6"/>
    <w:rsid w:val="00522575"/>
    <w:rsid w:val="00522CF7"/>
    <w:rsid w:val="00522E60"/>
    <w:rsid w:val="00523A74"/>
    <w:rsid w:val="00523D6A"/>
    <w:rsid w:val="00523F1E"/>
    <w:rsid w:val="00524000"/>
    <w:rsid w:val="00524194"/>
    <w:rsid w:val="005245F2"/>
    <w:rsid w:val="005248EE"/>
    <w:rsid w:val="00524BB6"/>
    <w:rsid w:val="00525068"/>
    <w:rsid w:val="005257BB"/>
    <w:rsid w:val="00525E33"/>
    <w:rsid w:val="00526181"/>
    <w:rsid w:val="00526711"/>
    <w:rsid w:val="00526859"/>
    <w:rsid w:val="00526D15"/>
    <w:rsid w:val="00526E1C"/>
    <w:rsid w:val="00526E26"/>
    <w:rsid w:val="00526F81"/>
    <w:rsid w:val="00527291"/>
    <w:rsid w:val="005278D9"/>
    <w:rsid w:val="005279D7"/>
    <w:rsid w:val="00527BA7"/>
    <w:rsid w:val="00527E97"/>
    <w:rsid w:val="00527FBD"/>
    <w:rsid w:val="0053037A"/>
    <w:rsid w:val="0053051C"/>
    <w:rsid w:val="005306C8"/>
    <w:rsid w:val="00530746"/>
    <w:rsid w:val="005309B3"/>
    <w:rsid w:val="00530C25"/>
    <w:rsid w:val="00530CA8"/>
    <w:rsid w:val="0053107D"/>
    <w:rsid w:val="005322AB"/>
    <w:rsid w:val="005322B1"/>
    <w:rsid w:val="00532390"/>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3B7"/>
    <w:rsid w:val="005405CA"/>
    <w:rsid w:val="00540BD3"/>
    <w:rsid w:val="00541313"/>
    <w:rsid w:val="0054146E"/>
    <w:rsid w:val="00542027"/>
    <w:rsid w:val="005423D1"/>
    <w:rsid w:val="005427B0"/>
    <w:rsid w:val="00542976"/>
    <w:rsid w:val="00542B6F"/>
    <w:rsid w:val="005432AB"/>
    <w:rsid w:val="005434B2"/>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1F87"/>
    <w:rsid w:val="00552230"/>
    <w:rsid w:val="00552856"/>
    <w:rsid w:val="00552939"/>
    <w:rsid w:val="00553075"/>
    <w:rsid w:val="005534FB"/>
    <w:rsid w:val="005537CF"/>
    <w:rsid w:val="00553D74"/>
    <w:rsid w:val="005543AF"/>
    <w:rsid w:val="005547C4"/>
    <w:rsid w:val="00554D68"/>
    <w:rsid w:val="00555218"/>
    <w:rsid w:val="00555501"/>
    <w:rsid w:val="00555509"/>
    <w:rsid w:val="00555987"/>
    <w:rsid w:val="00555A38"/>
    <w:rsid w:val="0055647A"/>
    <w:rsid w:val="005567C6"/>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E78"/>
    <w:rsid w:val="0056420F"/>
    <w:rsid w:val="0056496A"/>
    <w:rsid w:val="005651B0"/>
    <w:rsid w:val="00565278"/>
    <w:rsid w:val="00566356"/>
    <w:rsid w:val="005665B3"/>
    <w:rsid w:val="0056694A"/>
    <w:rsid w:val="00566FCB"/>
    <w:rsid w:val="00567BD7"/>
    <w:rsid w:val="00567C77"/>
    <w:rsid w:val="00567FD8"/>
    <w:rsid w:val="0057007A"/>
    <w:rsid w:val="00570260"/>
    <w:rsid w:val="0057049F"/>
    <w:rsid w:val="005704BB"/>
    <w:rsid w:val="00570502"/>
    <w:rsid w:val="00570771"/>
    <w:rsid w:val="00570870"/>
    <w:rsid w:val="00570C0A"/>
    <w:rsid w:val="00570F91"/>
    <w:rsid w:val="00570FD0"/>
    <w:rsid w:val="005711AD"/>
    <w:rsid w:val="00571412"/>
    <w:rsid w:val="00571558"/>
    <w:rsid w:val="00571C13"/>
    <w:rsid w:val="00572C23"/>
    <w:rsid w:val="00572DB7"/>
    <w:rsid w:val="00573104"/>
    <w:rsid w:val="005731EA"/>
    <w:rsid w:val="00573259"/>
    <w:rsid w:val="0057373F"/>
    <w:rsid w:val="005738EC"/>
    <w:rsid w:val="00573D69"/>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8A"/>
    <w:rsid w:val="005826BB"/>
    <w:rsid w:val="005837FC"/>
    <w:rsid w:val="0058452E"/>
    <w:rsid w:val="0058480B"/>
    <w:rsid w:val="00584EF0"/>
    <w:rsid w:val="00585A8F"/>
    <w:rsid w:val="00585E8D"/>
    <w:rsid w:val="005861A9"/>
    <w:rsid w:val="005864D5"/>
    <w:rsid w:val="00586627"/>
    <w:rsid w:val="005866FC"/>
    <w:rsid w:val="00586B14"/>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3E"/>
    <w:rsid w:val="00595E66"/>
    <w:rsid w:val="0059622F"/>
    <w:rsid w:val="00596410"/>
    <w:rsid w:val="005967EF"/>
    <w:rsid w:val="0059713E"/>
    <w:rsid w:val="0059731C"/>
    <w:rsid w:val="0059755C"/>
    <w:rsid w:val="00597AEF"/>
    <w:rsid w:val="00597D37"/>
    <w:rsid w:val="00597F53"/>
    <w:rsid w:val="005A05BB"/>
    <w:rsid w:val="005A0623"/>
    <w:rsid w:val="005A0AF1"/>
    <w:rsid w:val="005A0B97"/>
    <w:rsid w:val="005A0C7F"/>
    <w:rsid w:val="005A0DDA"/>
    <w:rsid w:val="005A118A"/>
    <w:rsid w:val="005A120E"/>
    <w:rsid w:val="005A178B"/>
    <w:rsid w:val="005A199B"/>
    <w:rsid w:val="005A1D1E"/>
    <w:rsid w:val="005A2BBC"/>
    <w:rsid w:val="005A2CD2"/>
    <w:rsid w:val="005A303A"/>
    <w:rsid w:val="005A3076"/>
    <w:rsid w:val="005A33B9"/>
    <w:rsid w:val="005A33DD"/>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174"/>
    <w:rsid w:val="005B2434"/>
    <w:rsid w:val="005B2620"/>
    <w:rsid w:val="005B286D"/>
    <w:rsid w:val="005B2B39"/>
    <w:rsid w:val="005B2E90"/>
    <w:rsid w:val="005B3352"/>
    <w:rsid w:val="005B3873"/>
    <w:rsid w:val="005B3BF0"/>
    <w:rsid w:val="005B4838"/>
    <w:rsid w:val="005B49FD"/>
    <w:rsid w:val="005B4AA6"/>
    <w:rsid w:val="005B4BAE"/>
    <w:rsid w:val="005B55E7"/>
    <w:rsid w:val="005B5831"/>
    <w:rsid w:val="005B5B68"/>
    <w:rsid w:val="005B5BAF"/>
    <w:rsid w:val="005B5CA9"/>
    <w:rsid w:val="005B64C8"/>
    <w:rsid w:val="005B67ED"/>
    <w:rsid w:val="005C0712"/>
    <w:rsid w:val="005C09E9"/>
    <w:rsid w:val="005C0F05"/>
    <w:rsid w:val="005C1DF3"/>
    <w:rsid w:val="005C1FA3"/>
    <w:rsid w:val="005C22B4"/>
    <w:rsid w:val="005C25BF"/>
    <w:rsid w:val="005C29C0"/>
    <w:rsid w:val="005C319E"/>
    <w:rsid w:val="005C36E2"/>
    <w:rsid w:val="005C4023"/>
    <w:rsid w:val="005C42C2"/>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93E"/>
    <w:rsid w:val="005C794B"/>
    <w:rsid w:val="005C79F1"/>
    <w:rsid w:val="005C7D79"/>
    <w:rsid w:val="005D0077"/>
    <w:rsid w:val="005D026E"/>
    <w:rsid w:val="005D09E7"/>
    <w:rsid w:val="005D106C"/>
    <w:rsid w:val="005D1250"/>
    <w:rsid w:val="005D2192"/>
    <w:rsid w:val="005D22B8"/>
    <w:rsid w:val="005D33D2"/>
    <w:rsid w:val="005D382B"/>
    <w:rsid w:val="005D566A"/>
    <w:rsid w:val="005D614E"/>
    <w:rsid w:val="005D61C1"/>
    <w:rsid w:val="005D64E5"/>
    <w:rsid w:val="005D69B6"/>
    <w:rsid w:val="005D6A74"/>
    <w:rsid w:val="005D6DC3"/>
    <w:rsid w:val="005D7A23"/>
    <w:rsid w:val="005E09EB"/>
    <w:rsid w:val="005E0A00"/>
    <w:rsid w:val="005E102D"/>
    <w:rsid w:val="005E10A6"/>
    <w:rsid w:val="005E16F0"/>
    <w:rsid w:val="005E1B7A"/>
    <w:rsid w:val="005E206B"/>
    <w:rsid w:val="005E251E"/>
    <w:rsid w:val="005E2603"/>
    <w:rsid w:val="005E26B1"/>
    <w:rsid w:val="005E2CEB"/>
    <w:rsid w:val="005E319A"/>
    <w:rsid w:val="005E3D11"/>
    <w:rsid w:val="005E3F66"/>
    <w:rsid w:val="005E424A"/>
    <w:rsid w:val="005E44F4"/>
    <w:rsid w:val="005E46CE"/>
    <w:rsid w:val="005E4782"/>
    <w:rsid w:val="005E47CB"/>
    <w:rsid w:val="005E49BE"/>
    <w:rsid w:val="005E4A2F"/>
    <w:rsid w:val="005E4F14"/>
    <w:rsid w:val="005E53AA"/>
    <w:rsid w:val="005E550A"/>
    <w:rsid w:val="005E592E"/>
    <w:rsid w:val="005E5C52"/>
    <w:rsid w:val="005E63C0"/>
    <w:rsid w:val="005E6575"/>
    <w:rsid w:val="005E6B16"/>
    <w:rsid w:val="005E6F3E"/>
    <w:rsid w:val="005E74E9"/>
    <w:rsid w:val="005E761B"/>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406"/>
    <w:rsid w:val="005F39FC"/>
    <w:rsid w:val="005F3FAC"/>
    <w:rsid w:val="005F3FBE"/>
    <w:rsid w:val="005F408B"/>
    <w:rsid w:val="005F458B"/>
    <w:rsid w:val="005F4B77"/>
    <w:rsid w:val="005F4F6E"/>
    <w:rsid w:val="005F5721"/>
    <w:rsid w:val="005F5E4A"/>
    <w:rsid w:val="005F5F85"/>
    <w:rsid w:val="005F6078"/>
    <w:rsid w:val="005F6084"/>
    <w:rsid w:val="005F636D"/>
    <w:rsid w:val="005F688E"/>
    <w:rsid w:val="005F7127"/>
    <w:rsid w:val="005F7139"/>
    <w:rsid w:val="005F7654"/>
    <w:rsid w:val="005F76DA"/>
    <w:rsid w:val="00600090"/>
    <w:rsid w:val="00600C2E"/>
    <w:rsid w:val="00600FDD"/>
    <w:rsid w:val="006010E4"/>
    <w:rsid w:val="00601209"/>
    <w:rsid w:val="00601286"/>
    <w:rsid w:val="006014B8"/>
    <w:rsid w:val="00601CDD"/>
    <w:rsid w:val="00601DDA"/>
    <w:rsid w:val="006020C0"/>
    <w:rsid w:val="00602152"/>
    <w:rsid w:val="0060225A"/>
    <w:rsid w:val="00602903"/>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1D6"/>
    <w:rsid w:val="00606A04"/>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B67"/>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11D"/>
    <w:rsid w:val="006212E9"/>
    <w:rsid w:val="00621497"/>
    <w:rsid w:val="006214EF"/>
    <w:rsid w:val="00621881"/>
    <w:rsid w:val="00621C92"/>
    <w:rsid w:val="00621CF0"/>
    <w:rsid w:val="00621D96"/>
    <w:rsid w:val="00621E27"/>
    <w:rsid w:val="00621E92"/>
    <w:rsid w:val="00621FE3"/>
    <w:rsid w:val="00622A9E"/>
    <w:rsid w:val="0062305C"/>
    <w:rsid w:val="00623235"/>
    <w:rsid w:val="00623C6C"/>
    <w:rsid w:val="00625045"/>
    <w:rsid w:val="006255C6"/>
    <w:rsid w:val="0062566F"/>
    <w:rsid w:val="00625B2C"/>
    <w:rsid w:val="00625C65"/>
    <w:rsid w:val="006261A8"/>
    <w:rsid w:val="0062629E"/>
    <w:rsid w:val="00626B46"/>
    <w:rsid w:val="00626D7F"/>
    <w:rsid w:val="00630700"/>
    <w:rsid w:val="00631613"/>
    <w:rsid w:val="00631A71"/>
    <w:rsid w:val="006327E9"/>
    <w:rsid w:val="00632849"/>
    <w:rsid w:val="00632E12"/>
    <w:rsid w:val="00632E33"/>
    <w:rsid w:val="006336CB"/>
    <w:rsid w:val="00633963"/>
    <w:rsid w:val="00633ACB"/>
    <w:rsid w:val="00633AE6"/>
    <w:rsid w:val="0063436D"/>
    <w:rsid w:val="00634389"/>
    <w:rsid w:val="0063464C"/>
    <w:rsid w:val="006346F5"/>
    <w:rsid w:val="00634F94"/>
    <w:rsid w:val="00635E73"/>
    <w:rsid w:val="00636817"/>
    <w:rsid w:val="006369C6"/>
    <w:rsid w:val="00636A35"/>
    <w:rsid w:val="00636EFF"/>
    <w:rsid w:val="006370D2"/>
    <w:rsid w:val="00637130"/>
    <w:rsid w:val="00637409"/>
    <w:rsid w:val="00637B03"/>
    <w:rsid w:val="00637F62"/>
    <w:rsid w:val="0064027A"/>
    <w:rsid w:val="00640295"/>
    <w:rsid w:val="00640453"/>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166"/>
    <w:rsid w:val="006454EC"/>
    <w:rsid w:val="00645797"/>
    <w:rsid w:val="00645906"/>
    <w:rsid w:val="0064595D"/>
    <w:rsid w:val="0064635E"/>
    <w:rsid w:val="006464DD"/>
    <w:rsid w:val="0064664F"/>
    <w:rsid w:val="00646C81"/>
    <w:rsid w:val="0064720F"/>
    <w:rsid w:val="00647298"/>
    <w:rsid w:val="0065007D"/>
    <w:rsid w:val="0065055B"/>
    <w:rsid w:val="006509E6"/>
    <w:rsid w:val="00650EEB"/>
    <w:rsid w:val="006511C6"/>
    <w:rsid w:val="0065129B"/>
    <w:rsid w:val="00651B68"/>
    <w:rsid w:val="00651D00"/>
    <w:rsid w:val="006521CC"/>
    <w:rsid w:val="0065268F"/>
    <w:rsid w:val="00652D24"/>
    <w:rsid w:val="00652FC6"/>
    <w:rsid w:val="00652FFE"/>
    <w:rsid w:val="006536CC"/>
    <w:rsid w:val="006540E5"/>
    <w:rsid w:val="00655838"/>
    <w:rsid w:val="00655994"/>
    <w:rsid w:val="00655FFE"/>
    <w:rsid w:val="0065636C"/>
    <w:rsid w:val="00656668"/>
    <w:rsid w:val="00656719"/>
    <w:rsid w:val="00656BE5"/>
    <w:rsid w:val="00656F58"/>
    <w:rsid w:val="00657216"/>
    <w:rsid w:val="006572C6"/>
    <w:rsid w:val="00657520"/>
    <w:rsid w:val="00657BD2"/>
    <w:rsid w:val="006603EC"/>
    <w:rsid w:val="00660442"/>
    <w:rsid w:val="00661399"/>
    <w:rsid w:val="00661855"/>
    <w:rsid w:val="006629D8"/>
    <w:rsid w:val="006629ED"/>
    <w:rsid w:val="00662BBE"/>
    <w:rsid w:val="00662C0C"/>
    <w:rsid w:val="0066320C"/>
    <w:rsid w:val="0066321D"/>
    <w:rsid w:val="00663510"/>
    <w:rsid w:val="00663823"/>
    <w:rsid w:val="00663872"/>
    <w:rsid w:val="00663971"/>
    <w:rsid w:val="006639C5"/>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83D"/>
    <w:rsid w:val="00667B7E"/>
    <w:rsid w:val="006705D4"/>
    <w:rsid w:val="006705ED"/>
    <w:rsid w:val="006706BC"/>
    <w:rsid w:val="00670C64"/>
    <w:rsid w:val="00670E15"/>
    <w:rsid w:val="00671795"/>
    <w:rsid w:val="00671829"/>
    <w:rsid w:val="006720FA"/>
    <w:rsid w:val="0067279B"/>
    <w:rsid w:val="006728DD"/>
    <w:rsid w:val="00672C4A"/>
    <w:rsid w:val="0067354F"/>
    <w:rsid w:val="00673B29"/>
    <w:rsid w:val="00674401"/>
    <w:rsid w:val="006746CE"/>
    <w:rsid w:val="00675416"/>
    <w:rsid w:val="006757AC"/>
    <w:rsid w:val="006760F6"/>
    <w:rsid w:val="006761F0"/>
    <w:rsid w:val="006771B1"/>
    <w:rsid w:val="0067724E"/>
    <w:rsid w:val="0067728F"/>
    <w:rsid w:val="0067748A"/>
    <w:rsid w:val="0067763F"/>
    <w:rsid w:val="006776FE"/>
    <w:rsid w:val="00677717"/>
    <w:rsid w:val="00677905"/>
    <w:rsid w:val="0067799E"/>
    <w:rsid w:val="00677D3C"/>
    <w:rsid w:val="00677E70"/>
    <w:rsid w:val="006801EA"/>
    <w:rsid w:val="006806CF"/>
    <w:rsid w:val="00680B0C"/>
    <w:rsid w:val="00680EF8"/>
    <w:rsid w:val="00680F24"/>
    <w:rsid w:val="006810EA"/>
    <w:rsid w:val="006811D1"/>
    <w:rsid w:val="00681253"/>
    <w:rsid w:val="006813C7"/>
    <w:rsid w:val="00681595"/>
    <w:rsid w:val="00681B28"/>
    <w:rsid w:val="00681CD8"/>
    <w:rsid w:val="006825DE"/>
    <w:rsid w:val="00682612"/>
    <w:rsid w:val="006827EB"/>
    <w:rsid w:val="006827F8"/>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B22"/>
    <w:rsid w:val="00687D50"/>
    <w:rsid w:val="00687E4F"/>
    <w:rsid w:val="0069007B"/>
    <w:rsid w:val="006906BA"/>
    <w:rsid w:val="006909DD"/>
    <w:rsid w:val="0069132F"/>
    <w:rsid w:val="00691736"/>
    <w:rsid w:val="00692A44"/>
    <w:rsid w:val="00692D76"/>
    <w:rsid w:val="00692E96"/>
    <w:rsid w:val="00692FCA"/>
    <w:rsid w:val="00693052"/>
    <w:rsid w:val="006936FB"/>
    <w:rsid w:val="00693A5F"/>
    <w:rsid w:val="00693BD7"/>
    <w:rsid w:val="00693F17"/>
    <w:rsid w:val="00695248"/>
    <w:rsid w:val="00695872"/>
    <w:rsid w:val="00695D3C"/>
    <w:rsid w:val="006962D2"/>
    <w:rsid w:val="006965FE"/>
    <w:rsid w:val="00696722"/>
    <w:rsid w:val="00696AB1"/>
    <w:rsid w:val="00696C88"/>
    <w:rsid w:val="00697438"/>
    <w:rsid w:val="0069761B"/>
    <w:rsid w:val="00697B24"/>
    <w:rsid w:val="006A0A56"/>
    <w:rsid w:val="006A0E38"/>
    <w:rsid w:val="006A2180"/>
    <w:rsid w:val="006A2575"/>
    <w:rsid w:val="006A32F6"/>
    <w:rsid w:val="006A346F"/>
    <w:rsid w:val="006A3D03"/>
    <w:rsid w:val="006A3D5D"/>
    <w:rsid w:val="006A3E16"/>
    <w:rsid w:val="006A3F0A"/>
    <w:rsid w:val="006A413E"/>
    <w:rsid w:val="006A43D7"/>
    <w:rsid w:val="006A45C1"/>
    <w:rsid w:val="006A4DA4"/>
    <w:rsid w:val="006A4DB1"/>
    <w:rsid w:val="006A5175"/>
    <w:rsid w:val="006A54D8"/>
    <w:rsid w:val="006A5D56"/>
    <w:rsid w:val="006A5D8E"/>
    <w:rsid w:val="006A6901"/>
    <w:rsid w:val="006A69EE"/>
    <w:rsid w:val="006A6B31"/>
    <w:rsid w:val="006A6C65"/>
    <w:rsid w:val="006A6D00"/>
    <w:rsid w:val="006A749B"/>
    <w:rsid w:val="006A77D2"/>
    <w:rsid w:val="006A7C65"/>
    <w:rsid w:val="006A7D44"/>
    <w:rsid w:val="006B047B"/>
    <w:rsid w:val="006B04AE"/>
    <w:rsid w:val="006B0886"/>
    <w:rsid w:val="006B0C09"/>
    <w:rsid w:val="006B0EF5"/>
    <w:rsid w:val="006B1228"/>
    <w:rsid w:val="006B1DEC"/>
    <w:rsid w:val="006B343B"/>
    <w:rsid w:val="006B36BA"/>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B33"/>
    <w:rsid w:val="006B7CCA"/>
    <w:rsid w:val="006C0F1C"/>
    <w:rsid w:val="006C0FE0"/>
    <w:rsid w:val="006C1010"/>
    <w:rsid w:val="006C2685"/>
    <w:rsid w:val="006C29E5"/>
    <w:rsid w:val="006C3144"/>
    <w:rsid w:val="006C3295"/>
    <w:rsid w:val="006C3D38"/>
    <w:rsid w:val="006C3D84"/>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B83"/>
    <w:rsid w:val="006C6D85"/>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01"/>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59C6"/>
    <w:rsid w:val="006E5F34"/>
    <w:rsid w:val="006E5FE7"/>
    <w:rsid w:val="006E65C0"/>
    <w:rsid w:val="006E710D"/>
    <w:rsid w:val="006E770E"/>
    <w:rsid w:val="006E788A"/>
    <w:rsid w:val="006E7D5D"/>
    <w:rsid w:val="006E7E0D"/>
    <w:rsid w:val="006F0A5C"/>
    <w:rsid w:val="006F0BEE"/>
    <w:rsid w:val="006F0DE1"/>
    <w:rsid w:val="006F1068"/>
    <w:rsid w:val="006F1A30"/>
    <w:rsid w:val="006F2368"/>
    <w:rsid w:val="006F2552"/>
    <w:rsid w:val="006F329E"/>
    <w:rsid w:val="006F3423"/>
    <w:rsid w:val="006F35C2"/>
    <w:rsid w:val="006F35CE"/>
    <w:rsid w:val="006F391C"/>
    <w:rsid w:val="006F397D"/>
    <w:rsid w:val="006F3DAC"/>
    <w:rsid w:val="006F4056"/>
    <w:rsid w:val="006F518C"/>
    <w:rsid w:val="006F5332"/>
    <w:rsid w:val="006F56E6"/>
    <w:rsid w:val="006F5E62"/>
    <w:rsid w:val="006F6F65"/>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CE0"/>
    <w:rsid w:val="00703F76"/>
    <w:rsid w:val="0070402A"/>
    <w:rsid w:val="00704032"/>
    <w:rsid w:val="00704289"/>
    <w:rsid w:val="00704559"/>
    <w:rsid w:val="00704928"/>
    <w:rsid w:val="007049E7"/>
    <w:rsid w:val="00704C21"/>
    <w:rsid w:val="00704DCD"/>
    <w:rsid w:val="00705007"/>
    <w:rsid w:val="00705384"/>
    <w:rsid w:val="007055C4"/>
    <w:rsid w:val="00705D45"/>
    <w:rsid w:val="00705EDE"/>
    <w:rsid w:val="00706080"/>
    <w:rsid w:val="00706C08"/>
    <w:rsid w:val="007073A0"/>
    <w:rsid w:val="00707A74"/>
    <w:rsid w:val="00707CF0"/>
    <w:rsid w:val="00710580"/>
    <w:rsid w:val="00710D7A"/>
    <w:rsid w:val="00710DFF"/>
    <w:rsid w:val="00710E09"/>
    <w:rsid w:val="00710EB8"/>
    <w:rsid w:val="007112FA"/>
    <w:rsid w:val="0071143B"/>
    <w:rsid w:val="00711503"/>
    <w:rsid w:val="0071150E"/>
    <w:rsid w:val="007115D6"/>
    <w:rsid w:val="0071161D"/>
    <w:rsid w:val="0071192A"/>
    <w:rsid w:val="00711D56"/>
    <w:rsid w:val="00711FE6"/>
    <w:rsid w:val="00712600"/>
    <w:rsid w:val="00712A9C"/>
    <w:rsid w:val="00712E4B"/>
    <w:rsid w:val="0071418E"/>
    <w:rsid w:val="007142BF"/>
    <w:rsid w:val="00715089"/>
    <w:rsid w:val="00715094"/>
    <w:rsid w:val="00715136"/>
    <w:rsid w:val="0071542C"/>
    <w:rsid w:val="00715495"/>
    <w:rsid w:val="00715914"/>
    <w:rsid w:val="00715FF6"/>
    <w:rsid w:val="00716141"/>
    <w:rsid w:val="00716187"/>
    <w:rsid w:val="00716660"/>
    <w:rsid w:val="00716CCE"/>
    <w:rsid w:val="00716D66"/>
    <w:rsid w:val="00716DCB"/>
    <w:rsid w:val="00716FA2"/>
    <w:rsid w:val="00717089"/>
    <w:rsid w:val="00717743"/>
    <w:rsid w:val="00717AF6"/>
    <w:rsid w:val="00720483"/>
    <w:rsid w:val="007204C8"/>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54A"/>
    <w:rsid w:val="00725AC0"/>
    <w:rsid w:val="00725ACE"/>
    <w:rsid w:val="00725BE5"/>
    <w:rsid w:val="00725C40"/>
    <w:rsid w:val="00725FBF"/>
    <w:rsid w:val="00726415"/>
    <w:rsid w:val="007264F8"/>
    <w:rsid w:val="00726792"/>
    <w:rsid w:val="00726931"/>
    <w:rsid w:val="00726B8B"/>
    <w:rsid w:val="00726E1C"/>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A3E"/>
    <w:rsid w:val="00733D34"/>
    <w:rsid w:val="00734055"/>
    <w:rsid w:val="007341E0"/>
    <w:rsid w:val="0073554E"/>
    <w:rsid w:val="00736738"/>
    <w:rsid w:val="00736B86"/>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CC3"/>
    <w:rsid w:val="00746F19"/>
    <w:rsid w:val="0074738A"/>
    <w:rsid w:val="00747602"/>
    <w:rsid w:val="00747E82"/>
    <w:rsid w:val="00750568"/>
    <w:rsid w:val="00750740"/>
    <w:rsid w:val="00750B15"/>
    <w:rsid w:val="00750B96"/>
    <w:rsid w:val="00750DD3"/>
    <w:rsid w:val="0075106E"/>
    <w:rsid w:val="00751147"/>
    <w:rsid w:val="00751295"/>
    <w:rsid w:val="0075147A"/>
    <w:rsid w:val="007519E5"/>
    <w:rsid w:val="00751E3D"/>
    <w:rsid w:val="00752461"/>
    <w:rsid w:val="00752D25"/>
    <w:rsid w:val="00752F91"/>
    <w:rsid w:val="007536CE"/>
    <w:rsid w:val="0075374B"/>
    <w:rsid w:val="00754037"/>
    <w:rsid w:val="007541CF"/>
    <w:rsid w:val="00754747"/>
    <w:rsid w:val="007549B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A04"/>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1C20"/>
    <w:rsid w:val="007620B4"/>
    <w:rsid w:val="00762EA8"/>
    <w:rsid w:val="0076348A"/>
    <w:rsid w:val="00763AAB"/>
    <w:rsid w:val="00763D76"/>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2EB"/>
    <w:rsid w:val="00772BA1"/>
    <w:rsid w:val="00772E7B"/>
    <w:rsid w:val="00773549"/>
    <w:rsid w:val="00773DFE"/>
    <w:rsid w:val="0077411D"/>
    <w:rsid w:val="007743B1"/>
    <w:rsid w:val="007745EC"/>
    <w:rsid w:val="00774601"/>
    <w:rsid w:val="007748DA"/>
    <w:rsid w:val="00774935"/>
    <w:rsid w:val="00774BA0"/>
    <w:rsid w:val="00774D65"/>
    <w:rsid w:val="00775201"/>
    <w:rsid w:val="00775298"/>
    <w:rsid w:val="00775537"/>
    <w:rsid w:val="00775E77"/>
    <w:rsid w:val="00776943"/>
    <w:rsid w:val="00776C28"/>
    <w:rsid w:val="00776CEF"/>
    <w:rsid w:val="007771D7"/>
    <w:rsid w:val="00777216"/>
    <w:rsid w:val="00777275"/>
    <w:rsid w:val="00777E47"/>
    <w:rsid w:val="00780278"/>
    <w:rsid w:val="00780410"/>
    <w:rsid w:val="00780DD2"/>
    <w:rsid w:val="00780E6C"/>
    <w:rsid w:val="00781220"/>
    <w:rsid w:val="00781996"/>
    <w:rsid w:val="00782340"/>
    <w:rsid w:val="00782E21"/>
    <w:rsid w:val="00783028"/>
    <w:rsid w:val="00783467"/>
    <w:rsid w:val="007836FA"/>
    <w:rsid w:val="00783AAB"/>
    <w:rsid w:val="00783E9A"/>
    <w:rsid w:val="00783F53"/>
    <w:rsid w:val="0078483D"/>
    <w:rsid w:val="00784DDB"/>
    <w:rsid w:val="00785030"/>
    <w:rsid w:val="007855BC"/>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1A8"/>
    <w:rsid w:val="0079133E"/>
    <w:rsid w:val="0079159E"/>
    <w:rsid w:val="007915FA"/>
    <w:rsid w:val="007917C1"/>
    <w:rsid w:val="00791A82"/>
    <w:rsid w:val="00791C34"/>
    <w:rsid w:val="00792EA9"/>
    <w:rsid w:val="00793D17"/>
    <w:rsid w:val="00793F7F"/>
    <w:rsid w:val="007943E3"/>
    <w:rsid w:val="0079467B"/>
    <w:rsid w:val="00794D24"/>
    <w:rsid w:val="007954A2"/>
    <w:rsid w:val="0079583A"/>
    <w:rsid w:val="00795C1C"/>
    <w:rsid w:val="00795C92"/>
    <w:rsid w:val="00795FED"/>
    <w:rsid w:val="00796490"/>
    <w:rsid w:val="007966C6"/>
    <w:rsid w:val="007972A0"/>
    <w:rsid w:val="00797C67"/>
    <w:rsid w:val="007A075A"/>
    <w:rsid w:val="007A0A20"/>
    <w:rsid w:val="007A0A74"/>
    <w:rsid w:val="007A100E"/>
    <w:rsid w:val="007A1014"/>
    <w:rsid w:val="007A178C"/>
    <w:rsid w:val="007A1C86"/>
    <w:rsid w:val="007A2533"/>
    <w:rsid w:val="007A25A4"/>
    <w:rsid w:val="007A288A"/>
    <w:rsid w:val="007A2CE9"/>
    <w:rsid w:val="007A31CA"/>
    <w:rsid w:val="007A3419"/>
    <w:rsid w:val="007A3459"/>
    <w:rsid w:val="007A3472"/>
    <w:rsid w:val="007A379E"/>
    <w:rsid w:val="007A396C"/>
    <w:rsid w:val="007A3A0C"/>
    <w:rsid w:val="007A3DC4"/>
    <w:rsid w:val="007A447A"/>
    <w:rsid w:val="007A4756"/>
    <w:rsid w:val="007A593F"/>
    <w:rsid w:val="007A6608"/>
    <w:rsid w:val="007A6617"/>
    <w:rsid w:val="007A68E8"/>
    <w:rsid w:val="007A6E42"/>
    <w:rsid w:val="007A6E81"/>
    <w:rsid w:val="007A732E"/>
    <w:rsid w:val="007A7A6B"/>
    <w:rsid w:val="007A7AD8"/>
    <w:rsid w:val="007B0A9A"/>
    <w:rsid w:val="007B0C1D"/>
    <w:rsid w:val="007B0DAA"/>
    <w:rsid w:val="007B1060"/>
    <w:rsid w:val="007B115F"/>
    <w:rsid w:val="007B13B4"/>
    <w:rsid w:val="007B226D"/>
    <w:rsid w:val="007B270E"/>
    <w:rsid w:val="007B35DA"/>
    <w:rsid w:val="007B3B4E"/>
    <w:rsid w:val="007B3CC7"/>
    <w:rsid w:val="007B3CD1"/>
    <w:rsid w:val="007B3D30"/>
    <w:rsid w:val="007B47E6"/>
    <w:rsid w:val="007B4A08"/>
    <w:rsid w:val="007B4B9F"/>
    <w:rsid w:val="007B4C89"/>
    <w:rsid w:val="007B4D2C"/>
    <w:rsid w:val="007B54DD"/>
    <w:rsid w:val="007B5632"/>
    <w:rsid w:val="007B588A"/>
    <w:rsid w:val="007B58A4"/>
    <w:rsid w:val="007B5C4D"/>
    <w:rsid w:val="007B5FA6"/>
    <w:rsid w:val="007B6447"/>
    <w:rsid w:val="007B6558"/>
    <w:rsid w:val="007B6B3F"/>
    <w:rsid w:val="007B725E"/>
    <w:rsid w:val="007B72EF"/>
    <w:rsid w:val="007B753B"/>
    <w:rsid w:val="007B7AF2"/>
    <w:rsid w:val="007C015A"/>
    <w:rsid w:val="007C039C"/>
    <w:rsid w:val="007C059B"/>
    <w:rsid w:val="007C0966"/>
    <w:rsid w:val="007C0B96"/>
    <w:rsid w:val="007C0C77"/>
    <w:rsid w:val="007C0D43"/>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6C9"/>
    <w:rsid w:val="007C4751"/>
    <w:rsid w:val="007C48A8"/>
    <w:rsid w:val="007C4C31"/>
    <w:rsid w:val="007C512D"/>
    <w:rsid w:val="007C52FD"/>
    <w:rsid w:val="007C532D"/>
    <w:rsid w:val="007C567C"/>
    <w:rsid w:val="007C59A9"/>
    <w:rsid w:val="007C5B55"/>
    <w:rsid w:val="007C5CA5"/>
    <w:rsid w:val="007C5EB2"/>
    <w:rsid w:val="007C6058"/>
    <w:rsid w:val="007C606E"/>
    <w:rsid w:val="007C6344"/>
    <w:rsid w:val="007C6D4A"/>
    <w:rsid w:val="007C6FA8"/>
    <w:rsid w:val="007C765B"/>
    <w:rsid w:val="007C7A7D"/>
    <w:rsid w:val="007D0325"/>
    <w:rsid w:val="007D27E0"/>
    <w:rsid w:val="007D2979"/>
    <w:rsid w:val="007D2AC8"/>
    <w:rsid w:val="007D2B28"/>
    <w:rsid w:val="007D2E83"/>
    <w:rsid w:val="007D3284"/>
    <w:rsid w:val="007D3FCB"/>
    <w:rsid w:val="007D4004"/>
    <w:rsid w:val="007D410C"/>
    <w:rsid w:val="007D42D3"/>
    <w:rsid w:val="007D43EB"/>
    <w:rsid w:val="007D4FBE"/>
    <w:rsid w:val="007D5674"/>
    <w:rsid w:val="007D5816"/>
    <w:rsid w:val="007D5B66"/>
    <w:rsid w:val="007D5BA4"/>
    <w:rsid w:val="007D6604"/>
    <w:rsid w:val="007E01F6"/>
    <w:rsid w:val="007E08AC"/>
    <w:rsid w:val="007E0920"/>
    <w:rsid w:val="007E09BD"/>
    <w:rsid w:val="007E09F5"/>
    <w:rsid w:val="007E16DA"/>
    <w:rsid w:val="007E1A39"/>
    <w:rsid w:val="007E2109"/>
    <w:rsid w:val="007E2276"/>
    <w:rsid w:val="007E25AC"/>
    <w:rsid w:val="007E2967"/>
    <w:rsid w:val="007E307F"/>
    <w:rsid w:val="007E3955"/>
    <w:rsid w:val="007E398C"/>
    <w:rsid w:val="007E3AB2"/>
    <w:rsid w:val="007E44BC"/>
    <w:rsid w:val="007E4594"/>
    <w:rsid w:val="007E4641"/>
    <w:rsid w:val="007E4844"/>
    <w:rsid w:val="007E4958"/>
    <w:rsid w:val="007E4AB8"/>
    <w:rsid w:val="007E4C1A"/>
    <w:rsid w:val="007E4C4C"/>
    <w:rsid w:val="007E4CF4"/>
    <w:rsid w:val="007E4F45"/>
    <w:rsid w:val="007E5075"/>
    <w:rsid w:val="007E5607"/>
    <w:rsid w:val="007E57DA"/>
    <w:rsid w:val="007E5B1B"/>
    <w:rsid w:val="007E5C7B"/>
    <w:rsid w:val="007E6499"/>
    <w:rsid w:val="007E650D"/>
    <w:rsid w:val="007E6D88"/>
    <w:rsid w:val="007E70B7"/>
    <w:rsid w:val="007E712F"/>
    <w:rsid w:val="007E7D45"/>
    <w:rsid w:val="007E7D47"/>
    <w:rsid w:val="007F0623"/>
    <w:rsid w:val="007F064A"/>
    <w:rsid w:val="007F0BD2"/>
    <w:rsid w:val="007F0ED9"/>
    <w:rsid w:val="007F0EDD"/>
    <w:rsid w:val="007F12AD"/>
    <w:rsid w:val="007F1823"/>
    <w:rsid w:val="007F1874"/>
    <w:rsid w:val="007F1F5E"/>
    <w:rsid w:val="007F207D"/>
    <w:rsid w:val="007F284C"/>
    <w:rsid w:val="007F2C03"/>
    <w:rsid w:val="007F33E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A43"/>
    <w:rsid w:val="007F6D46"/>
    <w:rsid w:val="007F6D82"/>
    <w:rsid w:val="007F7246"/>
    <w:rsid w:val="007F74AD"/>
    <w:rsid w:val="008000B9"/>
    <w:rsid w:val="008001BB"/>
    <w:rsid w:val="00800DCF"/>
    <w:rsid w:val="00800F1C"/>
    <w:rsid w:val="008013A1"/>
    <w:rsid w:val="008015DC"/>
    <w:rsid w:val="008018DE"/>
    <w:rsid w:val="00801A72"/>
    <w:rsid w:val="00801CCA"/>
    <w:rsid w:val="00802160"/>
    <w:rsid w:val="0080224D"/>
    <w:rsid w:val="008028BA"/>
    <w:rsid w:val="00802A2B"/>
    <w:rsid w:val="0080363D"/>
    <w:rsid w:val="00803D5D"/>
    <w:rsid w:val="00803D69"/>
    <w:rsid w:val="00804247"/>
    <w:rsid w:val="008051DF"/>
    <w:rsid w:val="0080606E"/>
    <w:rsid w:val="00806153"/>
    <w:rsid w:val="008066E1"/>
    <w:rsid w:val="00806773"/>
    <w:rsid w:val="0080685A"/>
    <w:rsid w:val="008068B4"/>
    <w:rsid w:val="00807250"/>
    <w:rsid w:val="00807308"/>
    <w:rsid w:val="0081061B"/>
    <w:rsid w:val="00810E35"/>
    <w:rsid w:val="0081100F"/>
    <w:rsid w:val="00811269"/>
    <w:rsid w:val="008112FD"/>
    <w:rsid w:val="00811587"/>
    <w:rsid w:val="008133FA"/>
    <w:rsid w:val="00813A00"/>
    <w:rsid w:val="00814034"/>
    <w:rsid w:val="00814037"/>
    <w:rsid w:val="00814B4E"/>
    <w:rsid w:val="00815CF9"/>
    <w:rsid w:val="008162C1"/>
    <w:rsid w:val="00816497"/>
    <w:rsid w:val="0081662A"/>
    <w:rsid w:val="008167A0"/>
    <w:rsid w:val="00816C11"/>
    <w:rsid w:val="0081747B"/>
    <w:rsid w:val="008177FA"/>
    <w:rsid w:val="00817C5C"/>
    <w:rsid w:val="00817DB6"/>
    <w:rsid w:val="00817F08"/>
    <w:rsid w:val="00820121"/>
    <w:rsid w:val="0082012C"/>
    <w:rsid w:val="0082036E"/>
    <w:rsid w:val="00820AF2"/>
    <w:rsid w:val="00820D17"/>
    <w:rsid w:val="00821045"/>
    <w:rsid w:val="0082192C"/>
    <w:rsid w:val="00821BE8"/>
    <w:rsid w:val="00821D86"/>
    <w:rsid w:val="00821DB7"/>
    <w:rsid w:val="00821DE8"/>
    <w:rsid w:val="00822597"/>
    <w:rsid w:val="008235D7"/>
    <w:rsid w:val="0082397D"/>
    <w:rsid w:val="008243F3"/>
    <w:rsid w:val="00824478"/>
    <w:rsid w:val="00824487"/>
    <w:rsid w:val="00824819"/>
    <w:rsid w:val="00824CC2"/>
    <w:rsid w:val="00824EB6"/>
    <w:rsid w:val="00824EDF"/>
    <w:rsid w:val="0082528E"/>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3738"/>
    <w:rsid w:val="00834212"/>
    <w:rsid w:val="00834578"/>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9C"/>
    <w:rsid w:val="008403F0"/>
    <w:rsid w:val="008406DB"/>
    <w:rsid w:val="008408A0"/>
    <w:rsid w:val="00840EC4"/>
    <w:rsid w:val="008412F3"/>
    <w:rsid w:val="00841B67"/>
    <w:rsid w:val="00841B92"/>
    <w:rsid w:val="0084203F"/>
    <w:rsid w:val="00842901"/>
    <w:rsid w:val="008431F2"/>
    <w:rsid w:val="00843616"/>
    <w:rsid w:val="00843EA0"/>
    <w:rsid w:val="00843F4E"/>
    <w:rsid w:val="00844060"/>
    <w:rsid w:val="008444D7"/>
    <w:rsid w:val="0084468F"/>
    <w:rsid w:val="008447CA"/>
    <w:rsid w:val="00844E86"/>
    <w:rsid w:val="00845375"/>
    <w:rsid w:val="00845474"/>
    <w:rsid w:val="0084578E"/>
    <w:rsid w:val="00846162"/>
    <w:rsid w:val="00846619"/>
    <w:rsid w:val="0084668B"/>
    <w:rsid w:val="00846CFA"/>
    <w:rsid w:val="008470B1"/>
    <w:rsid w:val="00847283"/>
    <w:rsid w:val="00847DD1"/>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351"/>
    <w:rsid w:val="0085469A"/>
    <w:rsid w:val="0085531F"/>
    <w:rsid w:val="00855684"/>
    <w:rsid w:val="00855EDA"/>
    <w:rsid w:val="008569B2"/>
    <w:rsid w:val="00856C15"/>
    <w:rsid w:val="00856EEA"/>
    <w:rsid w:val="00856F0D"/>
    <w:rsid w:val="00857884"/>
    <w:rsid w:val="00857C7F"/>
    <w:rsid w:val="00857D1A"/>
    <w:rsid w:val="00857D22"/>
    <w:rsid w:val="00860528"/>
    <w:rsid w:val="00860A13"/>
    <w:rsid w:val="00860D0D"/>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E0E"/>
    <w:rsid w:val="008655F5"/>
    <w:rsid w:val="00865A61"/>
    <w:rsid w:val="0086608D"/>
    <w:rsid w:val="00866F52"/>
    <w:rsid w:val="0086721D"/>
    <w:rsid w:val="0086723C"/>
    <w:rsid w:val="00867328"/>
    <w:rsid w:val="00867B3B"/>
    <w:rsid w:val="00867BC9"/>
    <w:rsid w:val="008700AD"/>
    <w:rsid w:val="0087128F"/>
    <w:rsid w:val="00871408"/>
    <w:rsid w:val="008714F7"/>
    <w:rsid w:val="008718E1"/>
    <w:rsid w:val="00871C28"/>
    <w:rsid w:val="00872A17"/>
    <w:rsid w:val="00872A3E"/>
    <w:rsid w:val="00872F4C"/>
    <w:rsid w:val="008730EC"/>
    <w:rsid w:val="008732B5"/>
    <w:rsid w:val="008739A7"/>
    <w:rsid w:val="00874A18"/>
    <w:rsid w:val="00874A1A"/>
    <w:rsid w:val="00874A67"/>
    <w:rsid w:val="00874E7B"/>
    <w:rsid w:val="008750A3"/>
    <w:rsid w:val="00875484"/>
    <w:rsid w:val="008758CB"/>
    <w:rsid w:val="00875946"/>
    <w:rsid w:val="008759FD"/>
    <w:rsid w:val="00875C56"/>
    <w:rsid w:val="008762D6"/>
    <w:rsid w:val="008766BC"/>
    <w:rsid w:val="008771D0"/>
    <w:rsid w:val="00877440"/>
    <w:rsid w:val="00877586"/>
    <w:rsid w:val="00877827"/>
    <w:rsid w:val="00877A25"/>
    <w:rsid w:val="00877FCB"/>
    <w:rsid w:val="00877FE7"/>
    <w:rsid w:val="0088002C"/>
    <w:rsid w:val="008800EA"/>
    <w:rsid w:val="00880280"/>
    <w:rsid w:val="0088073D"/>
    <w:rsid w:val="00880AFB"/>
    <w:rsid w:val="00880D84"/>
    <w:rsid w:val="00880E1F"/>
    <w:rsid w:val="008816B4"/>
    <w:rsid w:val="0088188C"/>
    <w:rsid w:val="00881996"/>
    <w:rsid w:val="00881B37"/>
    <w:rsid w:val="00882281"/>
    <w:rsid w:val="00882BBA"/>
    <w:rsid w:val="00882CBD"/>
    <w:rsid w:val="00883877"/>
    <w:rsid w:val="008840F7"/>
    <w:rsid w:val="0088504D"/>
    <w:rsid w:val="00885D96"/>
    <w:rsid w:val="0088679D"/>
    <w:rsid w:val="00886923"/>
    <w:rsid w:val="00887BB1"/>
    <w:rsid w:val="00887CCA"/>
    <w:rsid w:val="00887F24"/>
    <w:rsid w:val="00887FCE"/>
    <w:rsid w:val="008905A3"/>
    <w:rsid w:val="008908F6"/>
    <w:rsid w:val="008912CD"/>
    <w:rsid w:val="00891662"/>
    <w:rsid w:val="00891B23"/>
    <w:rsid w:val="00891C95"/>
    <w:rsid w:val="00891F8C"/>
    <w:rsid w:val="008921DF"/>
    <w:rsid w:val="00892A62"/>
    <w:rsid w:val="00892B40"/>
    <w:rsid w:val="00892B7A"/>
    <w:rsid w:val="008930B4"/>
    <w:rsid w:val="00893739"/>
    <w:rsid w:val="00893A5C"/>
    <w:rsid w:val="00893C84"/>
    <w:rsid w:val="00893CA2"/>
    <w:rsid w:val="00893D30"/>
    <w:rsid w:val="00893D9E"/>
    <w:rsid w:val="00893E8B"/>
    <w:rsid w:val="008941C3"/>
    <w:rsid w:val="008945A8"/>
    <w:rsid w:val="00894838"/>
    <w:rsid w:val="00894CA3"/>
    <w:rsid w:val="008950AF"/>
    <w:rsid w:val="00895296"/>
    <w:rsid w:val="008952A5"/>
    <w:rsid w:val="0089550F"/>
    <w:rsid w:val="00896106"/>
    <w:rsid w:val="0089659D"/>
    <w:rsid w:val="008966C9"/>
    <w:rsid w:val="00896829"/>
    <w:rsid w:val="008969CF"/>
    <w:rsid w:val="00896B53"/>
    <w:rsid w:val="00896E1F"/>
    <w:rsid w:val="00897361"/>
    <w:rsid w:val="00897405"/>
    <w:rsid w:val="00897C87"/>
    <w:rsid w:val="00897F3D"/>
    <w:rsid w:val="008A093A"/>
    <w:rsid w:val="008A0D23"/>
    <w:rsid w:val="008A0EED"/>
    <w:rsid w:val="008A10A7"/>
    <w:rsid w:val="008A111D"/>
    <w:rsid w:val="008A145C"/>
    <w:rsid w:val="008A1A8D"/>
    <w:rsid w:val="008A1BB3"/>
    <w:rsid w:val="008A2345"/>
    <w:rsid w:val="008A2709"/>
    <w:rsid w:val="008A2890"/>
    <w:rsid w:val="008A2A09"/>
    <w:rsid w:val="008A2C6E"/>
    <w:rsid w:val="008A2D34"/>
    <w:rsid w:val="008A324C"/>
    <w:rsid w:val="008A367A"/>
    <w:rsid w:val="008A4988"/>
    <w:rsid w:val="008A5066"/>
    <w:rsid w:val="008A54FD"/>
    <w:rsid w:val="008A6173"/>
    <w:rsid w:val="008A6433"/>
    <w:rsid w:val="008A6B98"/>
    <w:rsid w:val="008A6D91"/>
    <w:rsid w:val="008A6DA7"/>
    <w:rsid w:val="008A7599"/>
    <w:rsid w:val="008A76C8"/>
    <w:rsid w:val="008B030B"/>
    <w:rsid w:val="008B0707"/>
    <w:rsid w:val="008B0966"/>
    <w:rsid w:val="008B0AC4"/>
    <w:rsid w:val="008B0EB9"/>
    <w:rsid w:val="008B0EE4"/>
    <w:rsid w:val="008B1E6D"/>
    <w:rsid w:val="008B2088"/>
    <w:rsid w:val="008B21CD"/>
    <w:rsid w:val="008B22ED"/>
    <w:rsid w:val="008B2BDF"/>
    <w:rsid w:val="008B3AEC"/>
    <w:rsid w:val="008B410C"/>
    <w:rsid w:val="008B469A"/>
    <w:rsid w:val="008B474C"/>
    <w:rsid w:val="008B4792"/>
    <w:rsid w:val="008B47A8"/>
    <w:rsid w:val="008B48DB"/>
    <w:rsid w:val="008B4BAB"/>
    <w:rsid w:val="008B544F"/>
    <w:rsid w:val="008B55C4"/>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670"/>
    <w:rsid w:val="008C1690"/>
    <w:rsid w:val="008C1802"/>
    <w:rsid w:val="008C18AF"/>
    <w:rsid w:val="008C18D5"/>
    <w:rsid w:val="008C1A2E"/>
    <w:rsid w:val="008C1FC7"/>
    <w:rsid w:val="008C2396"/>
    <w:rsid w:val="008C2817"/>
    <w:rsid w:val="008C28EC"/>
    <w:rsid w:val="008C2991"/>
    <w:rsid w:val="008C29C0"/>
    <w:rsid w:val="008C2A7E"/>
    <w:rsid w:val="008C2D99"/>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99"/>
    <w:rsid w:val="008D00B8"/>
    <w:rsid w:val="008D0117"/>
    <w:rsid w:val="008D0BC1"/>
    <w:rsid w:val="008D1157"/>
    <w:rsid w:val="008D161C"/>
    <w:rsid w:val="008D18A2"/>
    <w:rsid w:val="008D1A96"/>
    <w:rsid w:val="008D1E54"/>
    <w:rsid w:val="008D254A"/>
    <w:rsid w:val="008D25C4"/>
    <w:rsid w:val="008D2B24"/>
    <w:rsid w:val="008D31CC"/>
    <w:rsid w:val="008D3C0C"/>
    <w:rsid w:val="008D3C7D"/>
    <w:rsid w:val="008D4075"/>
    <w:rsid w:val="008D40B0"/>
    <w:rsid w:val="008D4965"/>
    <w:rsid w:val="008D4A67"/>
    <w:rsid w:val="008D4B55"/>
    <w:rsid w:val="008D4B9C"/>
    <w:rsid w:val="008D57C5"/>
    <w:rsid w:val="008D59A1"/>
    <w:rsid w:val="008D5AFF"/>
    <w:rsid w:val="008D5B53"/>
    <w:rsid w:val="008D6C90"/>
    <w:rsid w:val="008D6D91"/>
    <w:rsid w:val="008D702D"/>
    <w:rsid w:val="008D717B"/>
    <w:rsid w:val="008D7221"/>
    <w:rsid w:val="008D726B"/>
    <w:rsid w:val="008D79CE"/>
    <w:rsid w:val="008D7C2C"/>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141"/>
    <w:rsid w:val="008E7378"/>
    <w:rsid w:val="008E7381"/>
    <w:rsid w:val="008E7564"/>
    <w:rsid w:val="008E7728"/>
    <w:rsid w:val="008E79EB"/>
    <w:rsid w:val="008F0367"/>
    <w:rsid w:val="008F0918"/>
    <w:rsid w:val="008F0CCF"/>
    <w:rsid w:val="008F1B6F"/>
    <w:rsid w:val="008F1CFE"/>
    <w:rsid w:val="008F1F2B"/>
    <w:rsid w:val="008F2083"/>
    <w:rsid w:val="008F216B"/>
    <w:rsid w:val="008F360F"/>
    <w:rsid w:val="008F3EBA"/>
    <w:rsid w:val="008F3F60"/>
    <w:rsid w:val="008F40E8"/>
    <w:rsid w:val="008F437D"/>
    <w:rsid w:val="008F4388"/>
    <w:rsid w:val="008F48C0"/>
    <w:rsid w:val="008F4CF9"/>
    <w:rsid w:val="008F53CE"/>
    <w:rsid w:val="008F54AB"/>
    <w:rsid w:val="008F54CC"/>
    <w:rsid w:val="008F5B27"/>
    <w:rsid w:val="008F5C56"/>
    <w:rsid w:val="008F5EF2"/>
    <w:rsid w:val="008F5F63"/>
    <w:rsid w:val="008F66AA"/>
    <w:rsid w:val="008F6778"/>
    <w:rsid w:val="008F6D34"/>
    <w:rsid w:val="008F6FB8"/>
    <w:rsid w:val="008F6FD9"/>
    <w:rsid w:val="008F7108"/>
    <w:rsid w:val="008F791F"/>
    <w:rsid w:val="008F7E2C"/>
    <w:rsid w:val="009000A9"/>
    <w:rsid w:val="00900486"/>
    <w:rsid w:val="009006C4"/>
    <w:rsid w:val="009006DE"/>
    <w:rsid w:val="00900913"/>
    <w:rsid w:val="00900D4C"/>
    <w:rsid w:val="0090140D"/>
    <w:rsid w:val="0090148F"/>
    <w:rsid w:val="00901903"/>
    <w:rsid w:val="00901A38"/>
    <w:rsid w:val="009021A2"/>
    <w:rsid w:val="0090256D"/>
    <w:rsid w:val="009028E5"/>
    <w:rsid w:val="00902B40"/>
    <w:rsid w:val="00902B79"/>
    <w:rsid w:val="00902FCA"/>
    <w:rsid w:val="009037C6"/>
    <w:rsid w:val="0090384F"/>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17DD"/>
    <w:rsid w:val="00912052"/>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E4"/>
    <w:rsid w:val="00923B55"/>
    <w:rsid w:val="00923CED"/>
    <w:rsid w:val="00923E00"/>
    <w:rsid w:val="00924141"/>
    <w:rsid w:val="009241DE"/>
    <w:rsid w:val="009244AD"/>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073"/>
    <w:rsid w:val="009314C6"/>
    <w:rsid w:val="009315A1"/>
    <w:rsid w:val="00931875"/>
    <w:rsid w:val="009319D2"/>
    <w:rsid w:val="00932058"/>
    <w:rsid w:val="0093218B"/>
    <w:rsid w:val="00932878"/>
    <w:rsid w:val="009329C2"/>
    <w:rsid w:val="00932DD8"/>
    <w:rsid w:val="00932F1E"/>
    <w:rsid w:val="00932F94"/>
    <w:rsid w:val="0093304D"/>
    <w:rsid w:val="0093337D"/>
    <w:rsid w:val="009333B9"/>
    <w:rsid w:val="009333F6"/>
    <w:rsid w:val="00933CB5"/>
    <w:rsid w:val="00933E9C"/>
    <w:rsid w:val="00934849"/>
    <w:rsid w:val="00934FB2"/>
    <w:rsid w:val="00934FDC"/>
    <w:rsid w:val="0093535B"/>
    <w:rsid w:val="0093596B"/>
    <w:rsid w:val="00935ACF"/>
    <w:rsid w:val="00935FC1"/>
    <w:rsid w:val="00935FD4"/>
    <w:rsid w:val="009360F7"/>
    <w:rsid w:val="00936516"/>
    <w:rsid w:val="00936CB7"/>
    <w:rsid w:val="00936D73"/>
    <w:rsid w:val="00936ECF"/>
    <w:rsid w:val="009374C3"/>
    <w:rsid w:val="00940AB5"/>
    <w:rsid w:val="00941053"/>
    <w:rsid w:val="009417EA"/>
    <w:rsid w:val="0094190B"/>
    <w:rsid w:val="00941965"/>
    <w:rsid w:val="00941AFC"/>
    <w:rsid w:val="009426A9"/>
    <w:rsid w:val="00942BC0"/>
    <w:rsid w:val="00942CDA"/>
    <w:rsid w:val="0094313E"/>
    <w:rsid w:val="009433F8"/>
    <w:rsid w:val="009434DA"/>
    <w:rsid w:val="00943751"/>
    <w:rsid w:val="009438E7"/>
    <w:rsid w:val="00943B00"/>
    <w:rsid w:val="00944370"/>
    <w:rsid w:val="009446B4"/>
    <w:rsid w:val="0094492A"/>
    <w:rsid w:val="009449F7"/>
    <w:rsid w:val="00944A2D"/>
    <w:rsid w:val="00944AE1"/>
    <w:rsid w:val="00944C95"/>
    <w:rsid w:val="00944D04"/>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2540"/>
    <w:rsid w:val="00954494"/>
    <w:rsid w:val="009550B8"/>
    <w:rsid w:val="009550F8"/>
    <w:rsid w:val="0095586C"/>
    <w:rsid w:val="00955ADE"/>
    <w:rsid w:val="009562F0"/>
    <w:rsid w:val="00956F9F"/>
    <w:rsid w:val="00957254"/>
    <w:rsid w:val="00957457"/>
    <w:rsid w:val="00957545"/>
    <w:rsid w:val="00957951"/>
    <w:rsid w:val="00957B1E"/>
    <w:rsid w:val="00957BF3"/>
    <w:rsid w:val="009603F7"/>
    <w:rsid w:val="0096052B"/>
    <w:rsid w:val="00960A5C"/>
    <w:rsid w:val="00961108"/>
    <w:rsid w:val="00961EAB"/>
    <w:rsid w:val="00961F77"/>
    <w:rsid w:val="00961FDF"/>
    <w:rsid w:val="00962544"/>
    <w:rsid w:val="009625A8"/>
    <w:rsid w:val="009626F2"/>
    <w:rsid w:val="00962A2E"/>
    <w:rsid w:val="00962B0D"/>
    <w:rsid w:val="00962ED3"/>
    <w:rsid w:val="00962F4B"/>
    <w:rsid w:val="009633EA"/>
    <w:rsid w:val="00963431"/>
    <w:rsid w:val="0096351A"/>
    <w:rsid w:val="009639E3"/>
    <w:rsid w:val="0096402D"/>
    <w:rsid w:val="009641E5"/>
    <w:rsid w:val="00964D71"/>
    <w:rsid w:val="00964D7C"/>
    <w:rsid w:val="00964D89"/>
    <w:rsid w:val="00964F38"/>
    <w:rsid w:val="009655F1"/>
    <w:rsid w:val="00965611"/>
    <w:rsid w:val="00966990"/>
    <w:rsid w:val="00966C1B"/>
    <w:rsid w:val="00966E0E"/>
    <w:rsid w:val="0096740A"/>
    <w:rsid w:val="00967F0B"/>
    <w:rsid w:val="0097035F"/>
    <w:rsid w:val="00970EE1"/>
    <w:rsid w:val="0097101A"/>
    <w:rsid w:val="0097113E"/>
    <w:rsid w:val="0097164E"/>
    <w:rsid w:val="009717FF"/>
    <w:rsid w:val="00971C10"/>
    <w:rsid w:val="0097204A"/>
    <w:rsid w:val="009724E9"/>
    <w:rsid w:val="009726B2"/>
    <w:rsid w:val="00972BD6"/>
    <w:rsid w:val="0097333C"/>
    <w:rsid w:val="00974337"/>
    <w:rsid w:val="00974A02"/>
    <w:rsid w:val="00974AA1"/>
    <w:rsid w:val="00975003"/>
    <w:rsid w:val="0097530C"/>
    <w:rsid w:val="00975454"/>
    <w:rsid w:val="00975BB1"/>
    <w:rsid w:val="009760EB"/>
    <w:rsid w:val="009769EE"/>
    <w:rsid w:val="00976E25"/>
    <w:rsid w:val="00977218"/>
    <w:rsid w:val="0097724B"/>
    <w:rsid w:val="0097760B"/>
    <w:rsid w:val="00980409"/>
    <w:rsid w:val="00980658"/>
    <w:rsid w:val="00980939"/>
    <w:rsid w:val="00980B50"/>
    <w:rsid w:val="00980C35"/>
    <w:rsid w:val="00980EF4"/>
    <w:rsid w:val="00981405"/>
    <w:rsid w:val="009815BD"/>
    <w:rsid w:val="009818E3"/>
    <w:rsid w:val="00981A2D"/>
    <w:rsid w:val="00981C30"/>
    <w:rsid w:val="00982052"/>
    <w:rsid w:val="0098225A"/>
    <w:rsid w:val="00982A72"/>
    <w:rsid w:val="00982E82"/>
    <w:rsid w:val="00983962"/>
    <w:rsid w:val="009839C4"/>
    <w:rsid w:val="00983D08"/>
    <w:rsid w:val="0098403B"/>
    <w:rsid w:val="0098518F"/>
    <w:rsid w:val="00985302"/>
    <w:rsid w:val="009856C3"/>
    <w:rsid w:val="00985FA3"/>
    <w:rsid w:val="00986050"/>
    <w:rsid w:val="009861D6"/>
    <w:rsid w:val="009870C3"/>
    <w:rsid w:val="009870E2"/>
    <w:rsid w:val="00987F02"/>
    <w:rsid w:val="0099005D"/>
    <w:rsid w:val="0099020D"/>
    <w:rsid w:val="00990262"/>
    <w:rsid w:val="00990637"/>
    <w:rsid w:val="0099063F"/>
    <w:rsid w:val="009906AE"/>
    <w:rsid w:val="0099077B"/>
    <w:rsid w:val="00990866"/>
    <w:rsid w:val="00990D70"/>
    <w:rsid w:val="00990E09"/>
    <w:rsid w:val="00991051"/>
    <w:rsid w:val="0099134B"/>
    <w:rsid w:val="0099155E"/>
    <w:rsid w:val="009916BF"/>
    <w:rsid w:val="009916E1"/>
    <w:rsid w:val="009918B6"/>
    <w:rsid w:val="00991AD0"/>
    <w:rsid w:val="0099245D"/>
    <w:rsid w:val="0099256C"/>
    <w:rsid w:val="0099283C"/>
    <w:rsid w:val="00992A48"/>
    <w:rsid w:val="00992FA1"/>
    <w:rsid w:val="00993A89"/>
    <w:rsid w:val="0099425E"/>
    <w:rsid w:val="00994594"/>
    <w:rsid w:val="00995056"/>
    <w:rsid w:val="009955E2"/>
    <w:rsid w:val="009956C8"/>
    <w:rsid w:val="0099571B"/>
    <w:rsid w:val="009957B2"/>
    <w:rsid w:val="00995BFA"/>
    <w:rsid w:val="00995DF8"/>
    <w:rsid w:val="00995E86"/>
    <w:rsid w:val="00995F30"/>
    <w:rsid w:val="009965F2"/>
    <w:rsid w:val="00996805"/>
    <w:rsid w:val="00996B5E"/>
    <w:rsid w:val="009971A6"/>
    <w:rsid w:val="00997243"/>
    <w:rsid w:val="0099774B"/>
    <w:rsid w:val="00997C34"/>
    <w:rsid w:val="009A0833"/>
    <w:rsid w:val="009A1203"/>
    <w:rsid w:val="009A16D8"/>
    <w:rsid w:val="009A17FF"/>
    <w:rsid w:val="009A1945"/>
    <w:rsid w:val="009A1F93"/>
    <w:rsid w:val="009A24F0"/>
    <w:rsid w:val="009A26D9"/>
    <w:rsid w:val="009A2EA1"/>
    <w:rsid w:val="009A3FE5"/>
    <w:rsid w:val="009A4329"/>
    <w:rsid w:val="009A43BC"/>
    <w:rsid w:val="009A46E5"/>
    <w:rsid w:val="009A47E4"/>
    <w:rsid w:val="009A5511"/>
    <w:rsid w:val="009A5761"/>
    <w:rsid w:val="009A5D9E"/>
    <w:rsid w:val="009A5DDF"/>
    <w:rsid w:val="009A5E1C"/>
    <w:rsid w:val="009A5E22"/>
    <w:rsid w:val="009A65E5"/>
    <w:rsid w:val="009A66F1"/>
    <w:rsid w:val="009A6CE8"/>
    <w:rsid w:val="009A6F30"/>
    <w:rsid w:val="009A70A5"/>
    <w:rsid w:val="009A74DC"/>
    <w:rsid w:val="009A7689"/>
    <w:rsid w:val="009A7CEA"/>
    <w:rsid w:val="009B0105"/>
    <w:rsid w:val="009B01C1"/>
    <w:rsid w:val="009B039C"/>
    <w:rsid w:val="009B055C"/>
    <w:rsid w:val="009B08F4"/>
    <w:rsid w:val="009B0AE3"/>
    <w:rsid w:val="009B2CCD"/>
    <w:rsid w:val="009B2DF4"/>
    <w:rsid w:val="009B3033"/>
    <w:rsid w:val="009B3398"/>
    <w:rsid w:val="009B3CE6"/>
    <w:rsid w:val="009B4711"/>
    <w:rsid w:val="009B4788"/>
    <w:rsid w:val="009B5336"/>
    <w:rsid w:val="009B54A8"/>
    <w:rsid w:val="009B54EA"/>
    <w:rsid w:val="009B55F5"/>
    <w:rsid w:val="009B56E4"/>
    <w:rsid w:val="009B5CA1"/>
    <w:rsid w:val="009B5E54"/>
    <w:rsid w:val="009B6642"/>
    <w:rsid w:val="009B6867"/>
    <w:rsid w:val="009B6DAA"/>
    <w:rsid w:val="009B7080"/>
    <w:rsid w:val="009B71E5"/>
    <w:rsid w:val="009B7E32"/>
    <w:rsid w:val="009C0B68"/>
    <w:rsid w:val="009C0F36"/>
    <w:rsid w:val="009C160C"/>
    <w:rsid w:val="009C18AD"/>
    <w:rsid w:val="009C1CD6"/>
    <w:rsid w:val="009C2134"/>
    <w:rsid w:val="009C2226"/>
    <w:rsid w:val="009C2720"/>
    <w:rsid w:val="009C2D1C"/>
    <w:rsid w:val="009C2D51"/>
    <w:rsid w:val="009C2DBC"/>
    <w:rsid w:val="009C2E10"/>
    <w:rsid w:val="009C36D8"/>
    <w:rsid w:val="009C3F91"/>
    <w:rsid w:val="009C4893"/>
    <w:rsid w:val="009C504E"/>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3042"/>
    <w:rsid w:val="009D4F7B"/>
    <w:rsid w:val="009D528D"/>
    <w:rsid w:val="009D5830"/>
    <w:rsid w:val="009D5E6A"/>
    <w:rsid w:val="009D6739"/>
    <w:rsid w:val="009D6886"/>
    <w:rsid w:val="009D73FB"/>
    <w:rsid w:val="009D77A3"/>
    <w:rsid w:val="009D786B"/>
    <w:rsid w:val="009E04FE"/>
    <w:rsid w:val="009E0520"/>
    <w:rsid w:val="009E0632"/>
    <w:rsid w:val="009E0646"/>
    <w:rsid w:val="009E0AFB"/>
    <w:rsid w:val="009E0E45"/>
    <w:rsid w:val="009E1035"/>
    <w:rsid w:val="009E119D"/>
    <w:rsid w:val="009E11AE"/>
    <w:rsid w:val="009E1302"/>
    <w:rsid w:val="009E1492"/>
    <w:rsid w:val="009E1772"/>
    <w:rsid w:val="009E19E8"/>
    <w:rsid w:val="009E1BC2"/>
    <w:rsid w:val="009E1E0A"/>
    <w:rsid w:val="009E249A"/>
    <w:rsid w:val="009E27C9"/>
    <w:rsid w:val="009E27D9"/>
    <w:rsid w:val="009E2A06"/>
    <w:rsid w:val="009E2C3D"/>
    <w:rsid w:val="009E2F1F"/>
    <w:rsid w:val="009E31E3"/>
    <w:rsid w:val="009E399B"/>
    <w:rsid w:val="009E43E3"/>
    <w:rsid w:val="009E44E5"/>
    <w:rsid w:val="009E44F8"/>
    <w:rsid w:val="009E471B"/>
    <w:rsid w:val="009E5427"/>
    <w:rsid w:val="009E5A73"/>
    <w:rsid w:val="009E624C"/>
    <w:rsid w:val="009E63FF"/>
    <w:rsid w:val="009E65BD"/>
    <w:rsid w:val="009E6A41"/>
    <w:rsid w:val="009E6EE5"/>
    <w:rsid w:val="009E6F3A"/>
    <w:rsid w:val="009E756D"/>
    <w:rsid w:val="009E776F"/>
    <w:rsid w:val="009F0FD4"/>
    <w:rsid w:val="009F1068"/>
    <w:rsid w:val="009F1650"/>
    <w:rsid w:val="009F229B"/>
    <w:rsid w:val="009F26FA"/>
    <w:rsid w:val="009F2C4F"/>
    <w:rsid w:val="009F2D3A"/>
    <w:rsid w:val="009F327D"/>
    <w:rsid w:val="009F3295"/>
    <w:rsid w:val="009F38B9"/>
    <w:rsid w:val="009F3A19"/>
    <w:rsid w:val="009F46E4"/>
    <w:rsid w:val="009F4756"/>
    <w:rsid w:val="009F5134"/>
    <w:rsid w:val="009F57CD"/>
    <w:rsid w:val="009F5C24"/>
    <w:rsid w:val="009F6018"/>
    <w:rsid w:val="009F6021"/>
    <w:rsid w:val="009F60F1"/>
    <w:rsid w:val="009F687D"/>
    <w:rsid w:val="009F6948"/>
    <w:rsid w:val="009F6BF9"/>
    <w:rsid w:val="009F6EA4"/>
    <w:rsid w:val="009F6F4A"/>
    <w:rsid w:val="009F745E"/>
    <w:rsid w:val="00A00258"/>
    <w:rsid w:val="00A0051B"/>
    <w:rsid w:val="00A00540"/>
    <w:rsid w:val="00A00C3D"/>
    <w:rsid w:val="00A01AD5"/>
    <w:rsid w:val="00A01BBF"/>
    <w:rsid w:val="00A01CAC"/>
    <w:rsid w:val="00A01CCF"/>
    <w:rsid w:val="00A01D20"/>
    <w:rsid w:val="00A01FA9"/>
    <w:rsid w:val="00A022A4"/>
    <w:rsid w:val="00A0248A"/>
    <w:rsid w:val="00A026A4"/>
    <w:rsid w:val="00A029B8"/>
    <w:rsid w:val="00A02CC3"/>
    <w:rsid w:val="00A03000"/>
    <w:rsid w:val="00A031B1"/>
    <w:rsid w:val="00A03966"/>
    <w:rsid w:val="00A03F9C"/>
    <w:rsid w:val="00A0488A"/>
    <w:rsid w:val="00A04ECC"/>
    <w:rsid w:val="00A05129"/>
    <w:rsid w:val="00A056E9"/>
    <w:rsid w:val="00A05B00"/>
    <w:rsid w:val="00A05E29"/>
    <w:rsid w:val="00A066A6"/>
    <w:rsid w:val="00A06DC7"/>
    <w:rsid w:val="00A06E70"/>
    <w:rsid w:val="00A07ABC"/>
    <w:rsid w:val="00A07AC3"/>
    <w:rsid w:val="00A100BA"/>
    <w:rsid w:val="00A112D1"/>
    <w:rsid w:val="00A116B9"/>
    <w:rsid w:val="00A1186B"/>
    <w:rsid w:val="00A11877"/>
    <w:rsid w:val="00A11B0F"/>
    <w:rsid w:val="00A12301"/>
    <w:rsid w:val="00A13217"/>
    <w:rsid w:val="00A136B2"/>
    <w:rsid w:val="00A13D5A"/>
    <w:rsid w:val="00A14018"/>
    <w:rsid w:val="00A14636"/>
    <w:rsid w:val="00A155CE"/>
    <w:rsid w:val="00A1576B"/>
    <w:rsid w:val="00A159AB"/>
    <w:rsid w:val="00A15AAA"/>
    <w:rsid w:val="00A15BF5"/>
    <w:rsid w:val="00A16471"/>
    <w:rsid w:val="00A16EB3"/>
    <w:rsid w:val="00A16ECA"/>
    <w:rsid w:val="00A171DF"/>
    <w:rsid w:val="00A17657"/>
    <w:rsid w:val="00A17746"/>
    <w:rsid w:val="00A17840"/>
    <w:rsid w:val="00A17939"/>
    <w:rsid w:val="00A17B11"/>
    <w:rsid w:val="00A2013E"/>
    <w:rsid w:val="00A20234"/>
    <w:rsid w:val="00A20290"/>
    <w:rsid w:val="00A20965"/>
    <w:rsid w:val="00A20CAA"/>
    <w:rsid w:val="00A21242"/>
    <w:rsid w:val="00A22C7B"/>
    <w:rsid w:val="00A22D03"/>
    <w:rsid w:val="00A22EB0"/>
    <w:rsid w:val="00A230F7"/>
    <w:rsid w:val="00A234CD"/>
    <w:rsid w:val="00A23B8A"/>
    <w:rsid w:val="00A23F33"/>
    <w:rsid w:val="00A24BBD"/>
    <w:rsid w:val="00A25048"/>
    <w:rsid w:val="00A2531B"/>
    <w:rsid w:val="00A25648"/>
    <w:rsid w:val="00A25F2D"/>
    <w:rsid w:val="00A268E6"/>
    <w:rsid w:val="00A2751B"/>
    <w:rsid w:val="00A275E0"/>
    <w:rsid w:val="00A279C4"/>
    <w:rsid w:val="00A279CA"/>
    <w:rsid w:val="00A27D96"/>
    <w:rsid w:val="00A3032F"/>
    <w:rsid w:val="00A30611"/>
    <w:rsid w:val="00A30990"/>
    <w:rsid w:val="00A30B9C"/>
    <w:rsid w:val="00A30C1A"/>
    <w:rsid w:val="00A30C73"/>
    <w:rsid w:val="00A30FA0"/>
    <w:rsid w:val="00A310C4"/>
    <w:rsid w:val="00A31459"/>
    <w:rsid w:val="00A3152E"/>
    <w:rsid w:val="00A316F9"/>
    <w:rsid w:val="00A31A0A"/>
    <w:rsid w:val="00A31F96"/>
    <w:rsid w:val="00A32402"/>
    <w:rsid w:val="00A327A5"/>
    <w:rsid w:val="00A33070"/>
    <w:rsid w:val="00A3357A"/>
    <w:rsid w:val="00A33C34"/>
    <w:rsid w:val="00A3435F"/>
    <w:rsid w:val="00A34415"/>
    <w:rsid w:val="00A348BD"/>
    <w:rsid w:val="00A34961"/>
    <w:rsid w:val="00A34A7E"/>
    <w:rsid w:val="00A35160"/>
    <w:rsid w:val="00A351DB"/>
    <w:rsid w:val="00A3567B"/>
    <w:rsid w:val="00A357A7"/>
    <w:rsid w:val="00A35922"/>
    <w:rsid w:val="00A35C1B"/>
    <w:rsid w:val="00A360ED"/>
    <w:rsid w:val="00A361F7"/>
    <w:rsid w:val="00A36327"/>
    <w:rsid w:val="00A36748"/>
    <w:rsid w:val="00A3685A"/>
    <w:rsid w:val="00A36F90"/>
    <w:rsid w:val="00A37125"/>
    <w:rsid w:val="00A37CF6"/>
    <w:rsid w:val="00A37D25"/>
    <w:rsid w:val="00A40186"/>
    <w:rsid w:val="00A401BF"/>
    <w:rsid w:val="00A4032A"/>
    <w:rsid w:val="00A406AD"/>
    <w:rsid w:val="00A4078B"/>
    <w:rsid w:val="00A411D1"/>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E83"/>
    <w:rsid w:val="00A4625B"/>
    <w:rsid w:val="00A46B6E"/>
    <w:rsid w:val="00A46F27"/>
    <w:rsid w:val="00A4778B"/>
    <w:rsid w:val="00A47797"/>
    <w:rsid w:val="00A47AA8"/>
    <w:rsid w:val="00A47D07"/>
    <w:rsid w:val="00A50178"/>
    <w:rsid w:val="00A50193"/>
    <w:rsid w:val="00A5070C"/>
    <w:rsid w:val="00A510A8"/>
    <w:rsid w:val="00A51995"/>
    <w:rsid w:val="00A51B5E"/>
    <w:rsid w:val="00A5213F"/>
    <w:rsid w:val="00A52608"/>
    <w:rsid w:val="00A529D2"/>
    <w:rsid w:val="00A5319A"/>
    <w:rsid w:val="00A53ECD"/>
    <w:rsid w:val="00A545EC"/>
    <w:rsid w:val="00A5498B"/>
    <w:rsid w:val="00A5509A"/>
    <w:rsid w:val="00A552FC"/>
    <w:rsid w:val="00A55485"/>
    <w:rsid w:val="00A55920"/>
    <w:rsid w:val="00A559F7"/>
    <w:rsid w:val="00A55B3F"/>
    <w:rsid w:val="00A55CAE"/>
    <w:rsid w:val="00A56317"/>
    <w:rsid w:val="00A569B1"/>
    <w:rsid w:val="00A56B2C"/>
    <w:rsid w:val="00A56B4D"/>
    <w:rsid w:val="00A56B99"/>
    <w:rsid w:val="00A56D92"/>
    <w:rsid w:val="00A56F59"/>
    <w:rsid w:val="00A5710C"/>
    <w:rsid w:val="00A57918"/>
    <w:rsid w:val="00A57ABD"/>
    <w:rsid w:val="00A601F1"/>
    <w:rsid w:val="00A607FA"/>
    <w:rsid w:val="00A612F3"/>
    <w:rsid w:val="00A61339"/>
    <w:rsid w:val="00A613A7"/>
    <w:rsid w:val="00A614B5"/>
    <w:rsid w:val="00A61890"/>
    <w:rsid w:val="00A61ADE"/>
    <w:rsid w:val="00A61C97"/>
    <w:rsid w:val="00A62281"/>
    <w:rsid w:val="00A62427"/>
    <w:rsid w:val="00A62E53"/>
    <w:rsid w:val="00A62F5F"/>
    <w:rsid w:val="00A62FBD"/>
    <w:rsid w:val="00A63064"/>
    <w:rsid w:val="00A63119"/>
    <w:rsid w:val="00A6365D"/>
    <w:rsid w:val="00A63C20"/>
    <w:rsid w:val="00A6405A"/>
    <w:rsid w:val="00A64785"/>
    <w:rsid w:val="00A64918"/>
    <w:rsid w:val="00A649BA"/>
    <w:rsid w:val="00A64D0F"/>
    <w:rsid w:val="00A650EC"/>
    <w:rsid w:val="00A651CA"/>
    <w:rsid w:val="00A65A52"/>
    <w:rsid w:val="00A65C40"/>
    <w:rsid w:val="00A65CFC"/>
    <w:rsid w:val="00A6665F"/>
    <w:rsid w:val="00A66678"/>
    <w:rsid w:val="00A6687B"/>
    <w:rsid w:val="00A66A27"/>
    <w:rsid w:val="00A66CA0"/>
    <w:rsid w:val="00A66D55"/>
    <w:rsid w:val="00A67205"/>
    <w:rsid w:val="00A67A2B"/>
    <w:rsid w:val="00A67EA1"/>
    <w:rsid w:val="00A704AF"/>
    <w:rsid w:val="00A70E5C"/>
    <w:rsid w:val="00A716CA"/>
    <w:rsid w:val="00A71A51"/>
    <w:rsid w:val="00A71EAA"/>
    <w:rsid w:val="00A72416"/>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AB"/>
    <w:rsid w:val="00A81F3E"/>
    <w:rsid w:val="00A81F46"/>
    <w:rsid w:val="00A823B2"/>
    <w:rsid w:val="00A82AD7"/>
    <w:rsid w:val="00A82AFD"/>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0E"/>
    <w:rsid w:val="00A90910"/>
    <w:rsid w:val="00A90AC8"/>
    <w:rsid w:val="00A90CB3"/>
    <w:rsid w:val="00A90CF3"/>
    <w:rsid w:val="00A90F3B"/>
    <w:rsid w:val="00A91220"/>
    <w:rsid w:val="00A917AC"/>
    <w:rsid w:val="00A91A42"/>
    <w:rsid w:val="00A91DBA"/>
    <w:rsid w:val="00A91E8C"/>
    <w:rsid w:val="00A9261D"/>
    <w:rsid w:val="00A927EB"/>
    <w:rsid w:val="00A92864"/>
    <w:rsid w:val="00A92925"/>
    <w:rsid w:val="00A92C40"/>
    <w:rsid w:val="00A92E3B"/>
    <w:rsid w:val="00A932E2"/>
    <w:rsid w:val="00A93930"/>
    <w:rsid w:val="00A93F68"/>
    <w:rsid w:val="00A944F2"/>
    <w:rsid w:val="00A948E3"/>
    <w:rsid w:val="00A94F9D"/>
    <w:rsid w:val="00A953DF"/>
    <w:rsid w:val="00A9589A"/>
    <w:rsid w:val="00A95D4B"/>
    <w:rsid w:val="00A95FC3"/>
    <w:rsid w:val="00A960A9"/>
    <w:rsid w:val="00A966D4"/>
    <w:rsid w:val="00A9691A"/>
    <w:rsid w:val="00A96E77"/>
    <w:rsid w:val="00A978BF"/>
    <w:rsid w:val="00A97BBD"/>
    <w:rsid w:val="00AA04B9"/>
    <w:rsid w:val="00AA0744"/>
    <w:rsid w:val="00AA14E7"/>
    <w:rsid w:val="00AA232A"/>
    <w:rsid w:val="00AA24D4"/>
    <w:rsid w:val="00AA2518"/>
    <w:rsid w:val="00AA2603"/>
    <w:rsid w:val="00AA2CDD"/>
    <w:rsid w:val="00AA3226"/>
    <w:rsid w:val="00AA3B65"/>
    <w:rsid w:val="00AA3C90"/>
    <w:rsid w:val="00AA3CFD"/>
    <w:rsid w:val="00AA51C8"/>
    <w:rsid w:val="00AA546C"/>
    <w:rsid w:val="00AA56D8"/>
    <w:rsid w:val="00AA56FE"/>
    <w:rsid w:val="00AA5910"/>
    <w:rsid w:val="00AA5A34"/>
    <w:rsid w:val="00AA5C20"/>
    <w:rsid w:val="00AA5C32"/>
    <w:rsid w:val="00AA6D91"/>
    <w:rsid w:val="00AA6E00"/>
    <w:rsid w:val="00AA6EF3"/>
    <w:rsid w:val="00AA6FB5"/>
    <w:rsid w:val="00AB0825"/>
    <w:rsid w:val="00AB0D92"/>
    <w:rsid w:val="00AB0EEB"/>
    <w:rsid w:val="00AB1028"/>
    <w:rsid w:val="00AB11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1A9"/>
    <w:rsid w:val="00AB4277"/>
    <w:rsid w:val="00AB430F"/>
    <w:rsid w:val="00AB439E"/>
    <w:rsid w:val="00AB45CB"/>
    <w:rsid w:val="00AB49B6"/>
    <w:rsid w:val="00AB4E53"/>
    <w:rsid w:val="00AB558F"/>
    <w:rsid w:val="00AB56F1"/>
    <w:rsid w:val="00AB573A"/>
    <w:rsid w:val="00AB5974"/>
    <w:rsid w:val="00AB5B73"/>
    <w:rsid w:val="00AB69A7"/>
    <w:rsid w:val="00AB6BE4"/>
    <w:rsid w:val="00AB7602"/>
    <w:rsid w:val="00AB7718"/>
    <w:rsid w:val="00AB77AF"/>
    <w:rsid w:val="00AC0076"/>
    <w:rsid w:val="00AC08FC"/>
    <w:rsid w:val="00AC0FAF"/>
    <w:rsid w:val="00AC17D2"/>
    <w:rsid w:val="00AC1AB5"/>
    <w:rsid w:val="00AC23EE"/>
    <w:rsid w:val="00AC29BE"/>
    <w:rsid w:val="00AC2A44"/>
    <w:rsid w:val="00AC2BD3"/>
    <w:rsid w:val="00AC3628"/>
    <w:rsid w:val="00AC3FC8"/>
    <w:rsid w:val="00AC48E5"/>
    <w:rsid w:val="00AC4A45"/>
    <w:rsid w:val="00AC4B01"/>
    <w:rsid w:val="00AC52CB"/>
    <w:rsid w:val="00AC56F4"/>
    <w:rsid w:val="00AC576A"/>
    <w:rsid w:val="00AC5EF6"/>
    <w:rsid w:val="00AC607C"/>
    <w:rsid w:val="00AC6450"/>
    <w:rsid w:val="00AC675E"/>
    <w:rsid w:val="00AC68AB"/>
    <w:rsid w:val="00AC73B9"/>
    <w:rsid w:val="00AC74C5"/>
    <w:rsid w:val="00AC7545"/>
    <w:rsid w:val="00AC7BE4"/>
    <w:rsid w:val="00AC7EB0"/>
    <w:rsid w:val="00AD00BA"/>
    <w:rsid w:val="00AD0185"/>
    <w:rsid w:val="00AD0615"/>
    <w:rsid w:val="00AD070B"/>
    <w:rsid w:val="00AD0F2C"/>
    <w:rsid w:val="00AD18D1"/>
    <w:rsid w:val="00AD23D7"/>
    <w:rsid w:val="00AD2B0A"/>
    <w:rsid w:val="00AD30BA"/>
    <w:rsid w:val="00AD394D"/>
    <w:rsid w:val="00AD4550"/>
    <w:rsid w:val="00AD4D98"/>
    <w:rsid w:val="00AD57DF"/>
    <w:rsid w:val="00AD57F8"/>
    <w:rsid w:val="00AD5A71"/>
    <w:rsid w:val="00AD5C19"/>
    <w:rsid w:val="00AD61ED"/>
    <w:rsid w:val="00AD6DDA"/>
    <w:rsid w:val="00AD7071"/>
    <w:rsid w:val="00AD74AF"/>
    <w:rsid w:val="00AE1195"/>
    <w:rsid w:val="00AE1315"/>
    <w:rsid w:val="00AE13C7"/>
    <w:rsid w:val="00AE14F8"/>
    <w:rsid w:val="00AE2606"/>
    <w:rsid w:val="00AE32EE"/>
    <w:rsid w:val="00AE345D"/>
    <w:rsid w:val="00AE3703"/>
    <w:rsid w:val="00AE3836"/>
    <w:rsid w:val="00AE38D7"/>
    <w:rsid w:val="00AE4098"/>
    <w:rsid w:val="00AE429D"/>
    <w:rsid w:val="00AE4404"/>
    <w:rsid w:val="00AE503C"/>
    <w:rsid w:val="00AE504C"/>
    <w:rsid w:val="00AE508D"/>
    <w:rsid w:val="00AE52C1"/>
    <w:rsid w:val="00AE552F"/>
    <w:rsid w:val="00AE5715"/>
    <w:rsid w:val="00AE5720"/>
    <w:rsid w:val="00AE6AF2"/>
    <w:rsid w:val="00AE6B17"/>
    <w:rsid w:val="00AE71CD"/>
    <w:rsid w:val="00AE7266"/>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1E6"/>
    <w:rsid w:val="00AF3728"/>
    <w:rsid w:val="00AF39EE"/>
    <w:rsid w:val="00AF3BF5"/>
    <w:rsid w:val="00AF3C35"/>
    <w:rsid w:val="00AF3F33"/>
    <w:rsid w:val="00AF3F76"/>
    <w:rsid w:val="00AF3F93"/>
    <w:rsid w:val="00AF4144"/>
    <w:rsid w:val="00AF4375"/>
    <w:rsid w:val="00AF4641"/>
    <w:rsid w:val="00AF4B1D"/>
    <w:rsid w:val="00AF4D27"/>
    <w:rsid w:val="00AF4D8B"/>
    <w:rsid w:val="00AF4F60"/>
    <w:rsid w:val="00AF5374"/>
    <w:rsid w:val="00AF53A1"/>
    <w:rsid w:val="00AF543F"/>
    <w:rsid w:val="00AF5640"/>
    <w:rsid w:val="00AF57E4"/>
    <w:rsid w:val="00AF59A3"/>
    <w:rsid w:val="00AF5B7B"/>
    <w:rsid w:val="00AF5B84"/>
    <w:rsid w:val="00AF5F52"/>
    <w:rsid w:val="00AF63CA"/>
    <w:rsid w:val="00AF6452"/>
    <w:rsid w:val="00AF6641"/>
    <w:rsid w:val="00AF66BF"/>
    <w:rsid w:val="00AF6A30"/>
    <w:rsid w:val="00AF6C16"/>
    <w:rsid w:val="00AF6EB2"/>
    <w:rsid w:val="00AF70D2"/>
    <w:rsid w:val="00AF731F"/>
    <w:rsid w:val="00AF73DB"/>
    <w:rsid w:val="00AF74A3"/>
    <w:rsid w:val="00AF7619"/>
    <w:rsid w:val="00AF78FA"/>
    <w:rsid w:val="00AF7AEB"/>
    <w:rsid w:val="00AF7FDC"/>
    <w:rsid w:val="00B00245"/>
    <w:rsid w:val="00B00447"/>
    <w:rsid w:val="00B00E34"/>
    <w:rsid w:val="00B010C4"/>
    <w:rsid w:val="00B018A3"/>
    <w:rsid w:val="00B01A18"/>
    <w:rsid w:val="00B020D0"/>
    <w:rsid w:val="00B020E5"/>
    <w:rsid w:val="00B0224F"/>
    <w:rsid w:val="00B0237D"/>
    <w:rsid w:val="00B024CF"/>
    <w:rsid w:val="00B02609"/>
    <w:rsid w:val="00B02F87"/>
    <w:rsid w:val="00B039F7"/>
    <w:rsid w:val="00B03BFF"/>
    <w:rsid w:val="00B03F4C"/>
    <w:rsid w:val="00B04005"/>
    <w:rsid w:val="00B04A22"/>
    <w:rsid w:val="00B04F01"/>
    <w:rsid w:val="00B04FEB"/>
    <w:rsid w:val="00B0501E"/>
    <w:rsid w:val="00B05049"/>
    <w:rsid w:val="00B0579A"/>
    <w:rsid w:val="00B05EE8"/>
    <w:rsid w:val="00B0654D"/>
    <w:rsid w:val="00B0673F"/>
    <w:rsid w:val="00B06BFA"/>
    <w:rsid w:val="00B06CD0"/>
    <w:rsid w:val="00B06E50"/>
    <w:rsid w:val="00B06F1A"/>
    <w:rsid w:val="00B06F80"/>
    <w:rsid w:val="00B07416"/>
    <w:rsid w:val="00B077DE"/>
    <w:rsid w:val="00B079F7"/>
    <w:rsid w:val="00B07B15"/>
    <w:rsid w:val="00B07E8E"/>
    <w:rsid w:val="00B10063"/>
    <w:rsid w:val="00B109DC"/>
    <w:rsid w:val="00B10CFD"/>
    <w:rsid w:val="00B110AA"/>
    <w:rsid w:val="00B11130"/>
    <w:rsid w:val="00B111AA"/>
    <w:rsid w:val="00B1193C"/>
    <w:rsid w:val="00B11B15"/>
    <w:rsid w:val="00B12426"/>
    <w:rsid w:val="00B1251E"/>
    <w:rsid w:val="00B12899"/>
    <w:rsid w:val="00B12926"/>
    <w:rsid w:val="00B13000"/>
    <w:rsid w:val="00B132FE"/>
    <w:rsid w:val="00B1402C"/>
    <w:rsid w:val="00B14D09"/>
    <w:rsid w:val="00B14F8F"/>
    <w:rsid w:val="00B1515E"/>
    <w:rsid w:val="00B153E3"/>
    <w:rsid w:val="00B169F4"/>
    <w:rsid w:val="00B16A80"/>
    <w:rsid w:val="00B1744E"/>
    <w:rsid w:val="00B178CF"/>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D2F"/>
    <w:rsid w:val="00B25D3B"/>
    <w:rsid w:val="00B26001"/>
    <w:rsid w:val="00B26236"/>
    <w:rsid w:val="00B263D3"/>
    <w:rsid w:val="00B26BE6"/>
    <w:rsid w:val="00B27F4E"/>
    <w:rsid w:val="00B3006C"/>
    <w:rsid w:val="00B30346"/>
    <w:rsid w:val="00B30AA1"/>
    <w:rsid w:val="00B31549"/>
    <w:rsid w:val="00B3184A"/>
    <w:rsid w:val="00B31AB6"/>
    <w:rsid w:val="00B31B62"/>
    <w:rsid w:val="00B32269"/>
    <w:rsid w:val="00B323A4"/>
    <w:rsid w:val="00B33773"/>
    <w:rsid w:val="00B33A4E"/>
    <w:rsid w:val="00B33B49"/>
    <w:rsid w:val="00B33B9A"/>
    <w:rsid w:val="00B34078"/>
    <w:rsid w:val="00B34601"/>
    <w:rsid w:val="00B34E7D"/>
    <w:rsid w:val="00B35438"/>
    <w:rsid w:val="00B35B2B"/>
    <w:rsid w:val="00B36BDA"/>
    <w:rsid w:val="00B36CE5"/>
    <w:rsid w:val="00B36E44"/>
    <w:rsid w:val="00B36FD7"/>
    <w:rsid w:val="00B37231"/>
    <w:rsid w:val="00B37463"/>
    <w:rsid w:val="00B37774"/>
    <w:rsid w:val="00B37D92"/>
    <w:rsid w:val="00B400DF"/>
    <w:rsid w:val="00B407C2"/>
    <w:rsid w:val="00B40B86"/>
    <w:rsid w:val="00B40C59"/>
    <w:rsid w:val="00B40DB2"/>
    <w:rsid w:val="00B412D3"/>
    <w:rsid w:val="00B417A3"/>
    <w:rsid w:val="00B418B1"/>
    <w:rsid w:val="00B41C8B"/>
    <w:rsid w:val="00B41D5B"/>
    <w:rsid w:val="00B41ED6"/>
    <w:rsid w:val="00B4310A"/>
    <w:rsid w:val="00B4317B"/>
    <w:rsid w:val="00B4325E"/>
    <w:rsid w:val="00B4338B"/>
    <w:rsid w:val="00B4339E"/>
    <w:rsid w:val="00B43505"/>
    <w:rsid w:val="00B43B2F"/>
    <w:rsid w:val="00B43B3E"/>
    <w:rsid w:val="00B43D85"/>
    <w:rsid w:val="00B43FDE"/>
    <w:rsid w:val="00B441ED"/>
    <w:rsid w:val="00B442F6"/>
    <w:rsid w:val="00B445AD"/>
    <w:rsid w:val="00B44AE1"/>
    <w:rsid w:val="00B44CC4"/>
    <w:rsid w:val="00B4504B"/>
    <w:rsid w:val="00B45228"/>
    <w:rsid w:val="00B45670"/>
    <w:rsid w:val="00B45689"/>
    <w:rsid w:val="00B45905"/>
    <w:rsid w:val="00B45976"/>
    <w:rsid w:val="00B465E1"/>
    <w:rsid w:val="00B467F7"/>
    <w:rsid w:val="00B46F9A"/>
    <w:rsid w:val="00B4702F"/>
    <w:rsid w:val="00B47038"/>
    <w:rsid w:val="00B47396"/>
    <w:rsid w:val="00B4744D"/>
    <w:rsid w:val="00B475CF"/>
    <w:rsid w:val="00B47674"/>
    <w:rsid w:val="00B47731"/>
    <w:rsid w:val="00B500AA"/>
    <w:rsid w:val="00B5049A"/>
    <w:rsid w:val="00B50606"/>
    <w:rsid w:val="00B5066C"/>
    <w:rsid w:val="00B506EC"/>
    <w:rsid w:val="00B50C14"/>
    <w:rsid w:val="00B51EA3"/>
    <w:rsid w:val="00B52206"/>
    <w:rsid w:val="00B52383"/>
    <w:rsid w:val="00B527B8"/>
    <w:rsid w:val="00B5284F"/>
    <w:rsid w:val="00B53484"/>
    <w:rsid w:val="00B5357D"/>
    <w:rsid w:val="00B53A86"/>
    <w:rsid w:val="00B53E4A"/>
    <w:rsid w:val="00B53E5F"/>
    <w:rsid w:val="00B53EB3"/>
    <w:rsid w:val="00B53F33"/>
    <w:rsid w:val="00B54975"/>
    <w:rsid w:val="00B54FD2"/>
    <w:rsid w:val="00B561A1"/>
    <w:rsid w:val="00B562E1"/>
    <w:rsid w:val="00B563D8"/>
    <w:rsid w:val="00B566F1"/>
    <w:rsid w:val="00B57EBB"/>
    <w:rsid w:val="00B604D1"/>
    <w:rsid w:val="00B60754"/>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4AC"/>
    <w:rsid w:val="00B66630"/>
    <w:rsid w:val="00B667E1"/>
    <w:rsid w:val="00B6693D"/>
    <w:rsid w:val="00B66A75"/>
    <w:rsid w:val="00B66BA8"/>
    <w:rsid w:val="00B67295"/>
    <w:rsid w:val="00B67546"/>
    <w:rsid w:val="00B6758D"/>
    <w:rsid w:val="00B67720"/>
    <w:rsid w:val="00B67B01"/>
    <w:rsid w:val="00B700AF"/>
    <w:rsid w:val="00B70165"/>
    <w:rsid w:val="00B7025C"/>
    <w:rsid w:val="00B7064B"/>
    <w:rsid w:val="00B70BD6"/>
    <w:rsid w:val="00B71A61"/>
    <w:rsid w:val="00B71B41"/>
    <w:rsid w:val="00B729F9"/>
    <w:rsid w:val="00B72B33"/>
    <w:rsid w:val="00B72C50"/>
    <w:rsid w:val="00B72D24"/>
    <w:rsid w:val="00B72FC1"/>
    <w:rsid w:val="00B73E7A"/>
    <w:rsid w:val="00B74546"/>
    <w:rsid w:val="00B747BC"/>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2A37"/>
    <w:rsid w:val="00B82BE2"/>
    <w:rsid w:val="00B83149"/>
    <w:rsid w:val="00B838B7"/>
    <w:rsid w:val="00B83EF4"/>
    <w:rsid w:val="00B83FB1"/>
    <w:rsid w:val="00B843E9"/>
    <w:rsid w:val="00B847A7"/>
    <w:rsid w:val="00B8496D"/>
    <w:rsid w:val="00B8527C"/>
    <w:rsid w:val="00B85BA4"/>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206D"/>
    <w:rsid w:val="00B92701"/>
    <w:rsid w:val="00B929DB"/>
    <w:rsid w:val="00B9351E"/>
    <w:rsid w:val="00B9412F"/>
    <w:rsid w:val="00B9426A"/>
    <w:rsid w:val="00B9429D"/>
    <w:rsid w:val="00B9434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093A"/>
    <w:rsid w:val="00BA166E"/>
    <w:rsid w:val="00BA1977"/>
    <w:rsid w:val="00BA1ABD"/>
    <w:rsid w:val="00BA1B44"/>
    <w:rsid w:val="00BA1E0F"/>
    <w:rsid w:val="00BA27BC"/>
    <w:rsid w:val="00BA28D4"/>
    <w:rsid w:val="00BA2EC9"/>
    <w:rsid w:val="00BA2F5E"/>
    <w:rsid w:val="00BA2F9D"/>
    <w:rsid w:val="00BA366E"/>
    <w:rsid w:val="00BA38AD"/>
    <w:rsid w:val="00BA3ABA"/>
    <w:rsid w:val="00BA3B45"/>
    <w:rsid w:val="00BA3BE2"/>
    <w:rsid w:val="00BA3FDB"/>
    <w:rsid w:val="00BA481F"/>
    <w:rsid w:val="00BA4C4A"/>
    <w:rsid w:val="00BA53F0"/>
    <w:rsid w:val="00BA550D"/>
    <w:rsid w:val="00BA5B47"/>
    <w:rsid w:val="00BA5D5E"/>
    <w:rsid w:val="00BA60C8"/>
    <w:rsid w:val="00BA611E"/>
    <w:rsid w:val="00BA639D"/>
    <w:rsid w:val="00BA64E1"/>
    <w:rsid w:val="00BA6997"/>
    <w:rsid w:val="00BA6A2E"/>
    <w:rsid w:val="00BA6FC5"/>
    <w:rsid w:val="00BA70FC"/>
    <w:rsid w:val="00BA739A"/>
    <w:rsid w:val="00BA7716"/>
    <w:rsid w:val="00BA7935"/>
    <w:rsid w:val="00BA7938"/>
    <w:rsid w:val="00BA7FCA"/>
    <w:rsid w:val="00BB01BF"/>
    <w:rsid w:val="00BB043F"/>
    <w:rsid w:val="00BB09CE"/>
    <w:rsid w:val="00BB100F"/>
    <w:rsid w:val="00BB10CA"/>
    <w:rsid w:val="00BB1795"/>
    <w:rsid w:val="00BB1796"/>
    <w:rsid w:val="00BB17DC"/>
    <w:rsid w:val="00BB1ABC"/>
    <w:rsid w:val="00BB1BF2"/>
    <w:rsid w:val="00BB1ED0"/>
    <w:rsid w:val="00BB24E3"/>
    <w:rsid w:val="00BB2DD7"/>
    <w:rsid w:val="00BB380E"/>
    <w:rsid w:val="00BB3AC4"/>
    <w:rsid w:val="00BB3E84"/>
    <w:rsid w:val="00BB4792"/>
    <w:rsid w:val="00BB4FB9"/>
    <w:rsid w:val="00BB5036"/>
    <w:rsid w:val="00BB55E2"/>
    <w:rsid w:val="00BB5659"/>
    <w:rsid w:val="00BB67CE"/>
    <w:rsid w:val="00BB6BC8"/>
    <w:rsid w:val="00BB70BE"/>
    <w:rsid w:val="00BB70DF"/>
    <w:rsid w:val="00BB728A"/>
    <w:rsid w:val="00BB7623"/>
    <w:rsid w:val="00BB7952"/>
    <w:rsid w:val="00BC0C63"/>
    <w:rsid w:val="00BC1269"/>
    <w:rsid w:val="00BC1416"/>
    <w:rsid w:val="00BC1848"/>
    <w:rsid w:val="00BC1B01"/>
    <w:rsid w:val="00BC1ECD"/>
    <w:rsid w:val="00BC1F2E"/>
    <w:rsid w:val="00BC2589"/>
    <w:rsid w:val="00BC2AC2"/>
    <w:rsid w:val="00BC322D"/>
    <w:rsid w:val="00BC337D"/>
    <w:rsid w:val="00BC3EB2"/>
    <w:rsid w:val="00BC4288"/>
    <w:rsid w:val="00BC49E0"/>
    <w:rsid w:val="00BC57FD"/>
    <w:rsid w:val="00BC616B"/>
    <w:rsid w:val="00BC697E"/>
    <w:rsid w:val="00BC698D"/>
    <w:rsid w:val="00BC69C6"/>
    <w:rsid w:val="00BC6B26"/>
    <w:rsid w:val="00BC6BBE"/>
    <w:rsid w:val="00BC74B2"/>
    <w:rsid w:val="00BC7733"/>
    <w:rsid w:val="00BC7764"/>
    <w:rsid w:val="00BC7824"/>
    <w:rsid w:val="00BC79C7"/>
    <w:rsid w:val="00BD0029"/>
    <w:rsid w:val="00BD080B"/>
    <w:rsid w:val="00BD0901"/>
    <w:rsid w:val="00BD09FE"/>
    <w:rsid w:val="00BD0A6B"/>
    <w:rsid w:val="00BD0A96"/>
    <w:rsid w:val="00BD0CFB"/>
    <w:rsid w:val="00BD0DA2"/>
    <w:rsid w:val="00BD0F5B"/>
    <w:rsid w:val="00BD1578"/>
    <w:rsid w:val="00BD1934"/>
    <w:rsid w:val="00BD1A22"/>
    <w:rsid w:val="00BD24DC"/>
    <w:rsid w:val="00BD2BF5"/>
    <w:rsid w:val="00BD2EC3"/>
    <w:rsid w:val="00BD357F"/>
    <w:rsid w:val="00BD3679"/>
    <w:rsid w:val="00BD393E"/>
    <w:rsid w:val="00BD398E"/>
    <w:rsid w:val="00BD3A87"/>
    <w:rsid w:val="00BD3AA1"/>
    <w:rsid w:val="00BD3EB1"/>
    <w:rsid w:val="00BD3F19"/>
    <w:rsid w:val="00BD407C"/>
    <w:rsid w:val="00BD47B6"/>
    <w:rsid w:val="00BD490C"/>
    <w:rsid w:val="00BD56EB"/>
    <w:rsid w:val="00BD57AB"/>
    <w:rsid w:val="00BD5CDA"/>
    <w:rsid w:val="00BD5D04"/>
    <w:rsid w:val="00BD5D36"/>
    <w:rsid w:val="00BD5EFE"/>
    <w:rsid w:val="00BD5F30"/>
    <w:rsid w:val="00BD608C"/>
    <w:rsid w:val="00BD6515"/>
    <w:rsid w:val="00BD6537"/>
    <w:rsid w:val="00BD65C5"/>
    <w:rsid w:val="00BD6A3E"/>
    <w:rsid w:val="00BD6D8F"/>
    <w:rsid w:val="00BD7019"/>
    <w:rsid w:val="00BD7B4A"/>
    <w:rsid w:val="00BD7D40"/>
    <w:rsid w:val="00BE0B0D"/>
    <w:rsid w:val="00BE1512"/>
    <w:rsid w:val="00BE161D"/>
    <w:rsid w:val="00BE174B"/>
    <w:rsid w:val="00BE1924"/>
    <w:rsid w:val="00BE1F69"/>
    <w:rsid w:val="00BE2557"/>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6A3"/>
    <w:rsid w:val="00BE7A99"/>
    <w:rsid w:val="00BE7BB0"/>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94E"/>
    <w:rsid w:val="00BF3A4F"/>
    <w:rsid w:val="00BF3D1F"/>
    <w:rsid w:val="00BF3DC7"/>
    <w:rsid w:val="00BF408D"/>
    <w:rsid w:val="00BF42AA"/>
    <w:rsid w:val="00BF44BE"/>
    <w:rsid w:val="00BF51E8"/>
    <w:rsid w:val="00BF526D"/>
    <w:rsid w:val="00BF5FD9"/>
    <w:rsid w:val="00BF6063"/>
    <w:rsid w:val="00BF6266"/>
    <w:rsid w:val="00BF6D3F"/>
    <w:rsid w:val="00BF6DC0"/>
    <w:rsid w:val="00BF70C6"/>
    <w:rsid w:val="00BF7193"/>
    <w:rsid w:val="00BF736E"/>
    <w:rsid w:val="00BF73D4"/>
    <w:rsid w:val="00BF76BB"/>
    <w:rsid w:val="00BF76E3"/>
    <w:rsid w:val="00BF796A"/>
    <w:rsid w:val="00BF7AFD"/>
    <w:rsid w:val="00BF7D92"/>
    <w:rsid w:val="00C00348"/>
    <w:rsid w:val="00C00844"/>
    <w:rsid w:val="00C00F75"/>
    <w:rsid w:val="00C00FAC"/>
    <w:rsid w:val="00C01422"/>
    <w:rsid w:val="00C0157D"/>
    <w:rsid w:val="00C015DD"/>
    <w:rsid w:val="00C016E1"/>
    <w:rsid w:val="00C01B64"/>
    <w:rsid w:val="00C01D9F"/>
    <w:rsid w:val="00C0202B"/>
    <w:rsid w:val="00C02071"/>
    <w:rsid w:val="00C0207A"/>
    <w:rsid w:val="00C0218B"/>
    <w:rsid w:val="00C02ED9"/>
    <w:rsid w:val="00C02FF4"/>
    <w:rsid w:val="00C03A4E"/>
    <w:rsid w:val="00C03CE6"/>
    <w:rsid w:val="00C03E2A"/>
    <w:rsid w:val="00C041DD"/>
    <w:rsid w:val="00C043B4"/>
    <w:rsid w:val="00C0461E"/>
    <w:rsid w:val="00C04747"/>
    <w:rsid w:val="00C04991"/>
    <w:rsid w:val="00C049AF"/>
    <w:rsid w:val="00C04B69"/>
    <w:rsid w:val="00C050BD"/>
    <w:rsid w:val="00C05293"/>
    <w:rsid w:val="00C052C7"/>
    <w:rsid w:val="00C056AE"/>
    <w:rsid w:val="00C056FA"/>
    <w:rsid w:val="00C05BAE"/>
    <w:rsid w:val="00C06196"/>
    <w:rsid w:val="00C062D5"/>
    <w:rsid w:val="00C06462"/>
    <w:rsid w:val="00C06B05"/>
    <w:rsid w:val="00C07563"/>
    <w:rsid w:val="00C10008"/>
    <w:rsid w:val="00C10074"/>
    <w:rsid w:val="00C104AA"/>
    <w:rsid w:val="00C10824"/>
    <w:rsid w:val="00C10AF1"/>
    <w:rsid w:val="00C10F1A"/>
    <w:rsid w:val="00C1138E"/>
    <w:rsid w:val="00C114D7"/>
    <w:rsid w:val="00C11752"/>
    <w:rsid w:val="00C11768"/>
    <w:rsid w:val="00C118A1"/>
    <w:rsid w:val="00C11B30"/>
    <w:rsid w:val="00C11C5D"/>
    <w:rsid w:val="00C12052"/>
    <w:rsid w:val="00C1212B"/>
    <w:rsid w:val="00C121FE"/>
    <w:rsid w:val="00C12775"/>
    <w:rsid w:val="00C12893"/>
    <w:rsid w:val="00C12D4C"/>
    <w:rsid w:val="00C12DA7"/>
    <w:rsid w:val="00C132C2"/>
    <w:rsid w:val="00C1372C"/>
    <w:rsid w:val="00C13C01"/>
    <w:rsid w:val="00C13F20"/>
    <w:rsid w:val="00C142BA"/>
    <w:rsid w:val="00C143C0"/>
    <w:rsid w:val="00C14480"/>
    <w:rsid w:val="00C1460F"/>
    <w:rsid w:val="00C15642"/>
    <w:rsid w:val="00C15BB8"/>
    <w:rsid w:val="00C15D82"/>
    <w:rsid w:val="00C15DA3"/>
    <w:rsid w:val="00C15F9C"/>
    <w:rsid w:val="00C161BE"/>
    <w:rsid w:val="00C16255"/>
    <w:rsid w:val="00C1644E"/>
    <w:rsid w:val="00C164B7"/>
    <w:rsid w:val="00C164C1"/>
    <w:rsid w:val="00C17405"/>
    <w:rsid w:val="00C17515"/>
    <w:rsid w:val="00C17607"/>
    <w:rsid w:val="00C1788D"/>
    <w:rsid w:val="00C1795C"/>
    <w:rsid w:val="00C1798D"/>
    <w:rsid w:val="00C17E9C"/>
    <w:rsid w:val="00C2045F"/>
    <w:rsid w:val="00C20642"/>
    <w:rsid w:val="00C20B7C"/>
    <w:rsid w:val="00C20E3F"/>
    <w:rsid w:val="00C21289"/>
    <w:rsid w:val="00C212DB"/>
    <w:rsid w:val="00C21882"/>
    <w:rsid w:val="00C21901"/>
    <w:rsid w:val="00C219B6"/>
    <w:rsid w:val="00C21D3B"/>
    <w:rsid w:val="00C2237A"/>
    <w:rsid w:val="00C22527"/>
    <w:rsid w:val="00C226F5"/>
    <w:rsid w:val="00C22984"/>
    <w:rsid w:val="00C22E5F"/>
    <w:rsid w:val="00C23112"/>
    <w:rsid w:val="00C23D38"/>
    <w:rsid w:val="00C256C5"/>
    <w:rsid w:val="00C25893"/>
    <w:rsid w:val="00C25CE3"/>
    <w:rsid w:val="00C25FA0"/>
    <w:rsid w:val="00C25FF9"/>
    <w:rsid w:val="00C26033"/>
    <w:rsid w:val="00C27C5B"/>
    <w:rsid w:val="00C27EF8"/>
    <w:rsid w:val="00C300E8"/>
    <w:rsid w:val="00C30238"/>
    <w:rsid w:val="00C3029D"/>
    <w:rsid w:val="00C30431"/>
    <w:rsid w:val="00C30541"/>
    <w:rsid w:val="00C30614"/>
    <w:rsid w:val="00C30AD2"/>
    <w:rsid w:val="00C30C2D"/>
    <w:rsid w:val="00C30CB6"/>
    <w:rsid w:val="00C3117C"/>
    <w:rsid w:val="00C31765"/>
    <w:rsid w:val="00C3183D"/>
    <w:rsid w:val="00C31936"/>
    <w:rsid w:val="00C31C01"/>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69E"/>
    <w:rsid w:val="00C417CC"/>
    <w:rsid w:val="00C4279A"/>
    <w:rsid w:val="00C4340A"/>
    <w:rsid w:val="00C43889"/>
    <w:rsid w:val="00C43E15"/>
    <w:rsid w:val="00C4425D"/>
    <w:rsid w:val="00C443D7"/>
    <w:rsid w:val="00C452F5"/>
    <w:rsid w:val="00C45376"/>
    <w:rsid w:val="00C45772"/>
    <w:rsid w:val="00C457B2"/>
    <w:rsid w:val="00C459B0"/>
    <w:rsid w:val="00C45E04"/>
    <w:rsid w:val="00C45F00"/>
    <w:rsid w:val="00C468F9"/>
    <w:rsid w:val="00C46CBB"/>
    <w:rsid w:val="00C46FEE"/>
    <w:rsid w:val="00C50230"/>
    <w:rsid w:val="00C50F79"/>
    <w:rsid w:val="00C512D0"/>
    <w:rsid w:val="00C515DC"/>
    <w:rsid w:val="00C5170E"/>
    <w:rsid w:val="00C51776"/>
    <w:rsid w:val="00C524E2"/>
    <w:rsid w:val="00C526EF"/>
    <w:rsid w:val="00C52B1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9B0"/>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3F"/>
    <w:rsid w:val="00C649BC"/>
    <w:rsid w:val="00C64B4C"/>
    <w:rsid w:val="00C64C4B"/>
    <w:rsid w:val="00C64DF4"/>
    <w:rsid w:val="00C64E35"/>
    <w:rsid w:val="00C651FA"/>
    <w:rsid w:val="00C65BBB"/>
    <w:rsid w:val="00C65DC0"/>
    <w:rsid w:val="00C66228"/>
    <w:rsid w:val="00C6647C"/>
    <w:rsid w:val="00C66708"/>
    <w:rsid w:val="00C6685E"/>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30F7"/>
    <w:rsid w:val="00C731A0"/>
    <w:rsid w:val="00C732DE"/>
    <w:rsid w:val="00C7360B"/>
    <w:rsid w:val="00C7369D"/>
    <w:rsid w:val="00C7388C"/>
    <w:rsid w:val="00C739D6"/>
    <w:rsid w:val="00C73AEF"/>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7B3"/>
    <w:rsid w:val="00C81886"/>
    <w:rsid w:val="00C8259A"/>
    <w:rsid w:val="00C825BE"/>
    <w:rsid w:val="00C827A9"/>
    <w:rsid w:val="00C82959"/>
    <w:rsid w:val="00C82D67"/>
    <w:rsid w:val="00C82E24"/>
    <w:rsid w:val="00C8300F"/>
    <w:rsid w:val="00C833EA"/>
    <w:rsid w:val="00C8375A"/>
    <w:rsid w:val="00C8380B"/>
    <w:rsid w:val="00C83AD2"/>
    <w:rsid w:val="00C83DE0"/>
    <w:rsid w:val="00C84588"/>
    <w:rsid w:val="00C84D1E"/>
    <w:rsid w:val="00C84E8B"/>
    <w:rsid w:val="00C8589F"/>
    <w:rsid w:val="00C859BA"/>
    <w:rsid w:val="00C85BBE"/>
    <w:rsid w:val="00C86235"/>
    <w:rsid w:val="00C86389"/>
    <w:rsid w:val="00C86871"/>
    <w:rsid w:val="00C86ED0"/>
    <w:rsid w:val="00C86F14"/>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536"/>
    <w:rsid w:val="00C94538"/>
    <w:rsid w:val="00C946AA"/>
    <w:rsid w:val="00C94814"/>
    <w:rsid w:val="00C94942"/>
    <w:rsid w:val="00C9537A"/>
    <w:rsid w:val="00C95BF4"/>
    <w:rsid w:val="00C96AE1"/>
    <w:rsid w:val="00C97B73"/>
    <w:rsid w:val="00C97C1F"/>
    <w:rsid w:val="00C97ECE"/>
    <w:rsid w:val="00C97F2E"/>
    <w:rsid w:val="00CA0145"/>
    <w:rsid w:val="00CA0190"/>
    <w:rsid w:val="00CA0845"/>
    <w:rsid w:val="00CA0D5D"/>
    <w:rsid w:val="00CA0F59"/>
    <w:rsid w:val="00CA107F"/>
    <w:rsid w:val="00CA132D"/>
    <w:rsid w:val="00CA145B"/>
    <w:rsid w:val="00CA1962"/>
    <w:rsid w:val="00CA1BD3"/>
    <w:rsid w:val="00CA20E3"/>
    <w:rsid w:val="00CA2136"/>
    <w:rsid w:val="00CA26E2"/>
    <w:rsid w:val="00CA27DF"/>
    <w:rsid w:val="00CA2C5C"/>
    <w:rsid w:val="00CA3207"/>
    <w:rsid w:val="00CA3D67"/>
    <w:rsid w:val="00CA3DCB"/>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6F5F"/>
    <w:rsid w:val="00CA7146"/>
    <w:rsid w:val="00CA7244"/>
    <w:rsid w:val="00CA7718"/>
    <w:rsid w:val="00CA782F"/>
    <w:rsid w:val="00CA79BD"/>
    <w:rsid w:val="00CA7AE8"/>
    <w:rsid w:val="00CB0524"/>
    <w:rsid w:val="00CB06D4"/>
    <w:rsid w:val="00CB071F"/>
    <w:rsid w:val="00CB090B"/>
    <w:rsid w:val="00CB1794"/>
    <w:rsid w:val="00CB1EBA"/>
    <w:rsid w:val="00CB1FB0"/>
    <w:rsid w:val="00CB218F"/>
    <w:rsid w:val="00CB2455"/>
    <w:rsid w:val="00CB297A"/>
    <w:rsid w:val="00CB2B35"/>
    <w:rsid w:val="00CB2B3A"/>
    <w:rsid w:val="00CB3321"/>
    <w:rsid w:val="00CB4088"/>
    <w:rsid w:val="00CB41FF"/>
    <w:rsid w:val="00CB43D8"/>
    <w:rsid w:val="00CB4ADE"/>
    <w:rsid w:val="00CB5512"/>
    <w:rsid w:val="00CB5E4C"/>
    <w:rsid w:val="00CB5F9B"/>
    <w:rsid w:val="00CB612D"/>
    <w:rsid w:val="00CB61E0"/>
    <w:rsid w:val="00CB71D2"/>
    <w:rsid w:val="00CB761D"/>
    <w:rsid w:val="00CB7842"/>
    <w:rsid w:val="00CB79D7"/>
    <w:rsid w:val="00CB7B8C"/>
    <w:rsid w:val="00CB7DD0"/>
    <w:rsid w:val="00CC015C"/>
    <w:rsid w:val="00CC045A"/>
    <w:rsid w:val="00CC0579"/>
    <w:rsid w:val="00CC0705"/>
    <w:rsid w:val="00CC09FF"/>
    <w:rsid w:val="00CC0DFE"/>
    <w:rsid w:val="00CC0E91"/>
    <w:rsid w:val="00CC1AF7"/>
    <w:rsid w:val="00CC26F4"/>
    <w:rsid w:val="00CC2A98"/>
    <w:rsid w:val="00CC2AA4"/>
    <w:rsid w:val="00CC2E10"/>
    <w:rsid w:val="00CC2FC2"/>
    <w:rsid w:val="00CC3B88"/>
    <w:rsid w:val="00CC3F49"/>
    <w:rsid w:val="00CC4817"/>
    <w:rsid w:val="00CC5E2F"/>
    <w:rsid w:val="00CC67C6"/>
    <w:rsid w:val="00CC6BAA"/>
    <w:rsid w:val="00CC6D90"/>
    <w:rsid w:val="00CC6E3A"/>
    <w:rsid w:val="00CC7055"/>
    <w:rsid w:val="00CC76C5"/>
    <w:rsid w:val="00CC78F6"/>
    <w:rsid w:val="00CC7B7C"/>
    <w:rsid w:val="00CC7EFB"/>
    <w:rsid w:val="00CC7FDD"/>
    <w:rsid w:val="00CD00C9"/>
    <w:rsid w:val="00CD061E"/>
    <w:rsid w:val="00CD095D"/>
    <w:rsid w:val="00CD10B4"/>
    <w:rsid w:val="00CD1F56"/>
    <w:rsid w:val="00CD1FFB"/>
    <w:rsid w:val="00CD2027"/>
    <w:rsid w:val="00CD2550"/>
    <w:rsid w:val="00CD25A5"/>
    <w:rsid w:val="00CD264D"/>
    <w:rsid w:val="00CD2D6C"/>
    <w:rsid w:val="00CD2E80"/>
    <w:rsid w:val="00CD3E67"/>
    <w:rsid w:val="00CD4FD7"/>
    <w:rsid w:val="00CD538C"/>
    <w:rsid w:val="00CD5636"/>
    <w:rsid w:val="00CD5795"/>
    <w:rsid w:val="00CD58D3"/>
    <w:rsid w:val="00CD5AF5"/>
    <w:rsid w:val="00CD5C72"/>
    <w:rsid w:val="00CD5E77"/>
    <w:rsid w:val="00CD638F"/>
    <w:rsid w:val="00CD6ACA"/>
    <w:rsid w:val="00CD6D01"/>
    <w:rsid w:val="00CD6D58"/>
    <w:rsid w:val="00CD7007"/>
    <w:rsid w:val="00CD7074"/>
    <w:rsid w:val="00CD71EB"/>
    <w:rsid w:val="00CD7858"/>
    <w:rsid w:val="00CD7B45"/>
    <w:rsid w:val="00CD7C6E"/>
    <w:rsid w:val="00CD7F08"/>
    <w:rsid w:val="00CE05F4"/>
    <w:rsid w:val="00CE0675"/>
    <w:rsid w:val="00CE102A"/>
    <w:rsid w:val="00CE13E0"/>
    <w:rsid w:val="00CE15A3"/>
    <w:rsid w:val="00CE1ECC"/>
    <w:rsid w:val="00CE2976"/>
    <w:rsid w:val="00CE3B09"/>
    <w:rsid w:val="00CE3E58"/>
    <w:rsid w:val="00CE3EEF"/>
    <w:rsid w:val="00CE420D"/>
    <w:rsid w:val="00CE4430"/>
    <w:rsid w:val="00CE4D31"/>
    <w:rsid w:val="00CE5047"/>
    <w:rsid w:val="00CE50DC"/>
    <w:rsid w:val="00CE584E"/>
    <w:rsid w:val="00CE5892"/>
    <w:rsid w:val="00CE594C"/>
    <w:rsid w:val="00CE6092"/>
    <w:rsid w:val="00CE6410"/>
    <w:rsid w:val="00CE679A"/>
    <w:rsid w:val="00CE6D83"/>
    <w:rsid w:val="00CE6E62"/>
    <w:rsid w:val="00CE701A"/>
    <w:rsid w:val="00CE790C"/>
    <w:rsid w:val="00CE7A36"/>
    <w:rsid w:val="00CE7B04"/>
    <w:rsid w:val="00CF08EE"/>
    <w:rsid w:val="00CF09B0"/>
    <w:rsid w:val="00CF0BC0"/>
    <w:rsid w:val="00CF156F"/>
    <w:rsid w:val="00CF1BB8"/>
    <w:rsid w:val="00CF1BDE"/>
    <w:rsid w:val="00CF1BE9"/>
    <w:rsid w:val="00CF1D8D"/>
    <w:rsid w:val="00CF2D60"/>
    <w:rsid w:val="00CF2FCE"/>
    <w:rsid w:val="00CF30FF"/>
    <w:rsid w:val="00CF36AD"/>
    <w:rsid w:val="00CF3AED"/>
    <w:rsid w:val="00CF3C24"/>
    <w:rsid w:val="00CF3E54"/>
    <w:rsid w:val="00CF4100"/>
    <w:rsid w:val="00CF482B"/>
    <w:rsid w:val="00CF5FEC"/>
    <w:rsid w:val="00CF6A0B"/>
    <w:rsid w:val="00CF6C20"/>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2F7A"/>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722"/>
    <w:rsid w:val="00D10954"/>
    <w:rsid w:val="00D10D7B"/>
    <w:rsid w:val="00D10E5A"/>
    <w:rsid w:val="00D1112F"/>
    <w:rsid w:val="00D113C5"/>
    <w:rsid w:val="00D11845"/>
    <w:rsid w:val="00D11935"/>
    <w:rsid w:val="00D12090"/>
    <w:rsid w:val="00D120E2"/>
    <w:rsid w:val="00D121CC"/>
    <w:rsid w:val="00D1220B"/>
    <w:rsid w:val="00D12598"/>
    <w:rsid w:val="00D12F3F"/>
    <w:rsid w:val="00D1323B"/>
    <w:rsid w:val="00D133F9"/>
    <w:rsid w:val="00D1341A"/>
    <w:rsid w:val="00D135DD"/>
    <w:rsid w:val="00D13638"/>
    <w:rsid w:val="00D1406F"/>
    <w:rsid w:val="00D142AD"/>
    <w:rsid w:val="00D143DF"/>
    <w:rsid w:val="00D14AC5"/>
    <w:rsid w:val="00D14FF0"/>
    <w:rsid w:val="00D1588F"/>
    <w:rsid w:val="00D15E14"/>
    <w:rsid w:val="00D1648E"/>
    <w:rsid w:val="00D164BF"/>
    <w:rsid w:val="00D16607"/>
    <w:rsid w:val="00D166FF"/>
    <w:rsid w:val="00D16CE7"/>
    <w:rsid w:val="00D170E0"/>
    <w:rsid w:val="00D176C4"/>
    <w:rsid w:val="00D178AA"/>
    <w:rsid w:val="00D17CD2"/>
    <w:rsid w:val="00D17EAA"/>
    <w:rsid w:val="00D17F2C"/>
    <w:rsid w:val="00D204E1"/>
    <w:rsid w:val="00D20584"/>
    <w:rsid w:val="00D2133B"/>
    <w:rsid w:val="00D21435"/>
    <w:rsid w:val="00D21985"/>
    <w:rsid w:val="00D21ADA"/>
    <w:rsid w:val="00D21ADB"/>
    <w:rsid w:val="00D21CCC"/>
    <w:rsid w:val="00D221CC"/>
    <w:rsid w:val="00D2319F"/>
    <w:rsid w:val="00D24A73"/>
    <w:rsid w:val="00D24EC6"/>
    <w:rsid w:val="00D25117"/>
    <w:rsid w:val="00D2596E"/>
    <w:rsid w:val="00D259D8"/>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0CDD"/>
    <w:rsid w:val="00D40EC1"/>
    <w:rsid w:val="00D414C7"/>
    <w:rsid w:val="00D41C90"/>
    <w:rsid w:val="00D41F85"/>
    <w:rsid w:val="00D4207A"/>
    <w:rsid w:val="00D422A5"/>
    <w:rsid w:val="00D42819"/>
    <w:rsid w:val="00D42EFB"/>
    <w:rsid w:val="00D42F79"/>
    <w:rsid w:val="00D43104"/>
    <w:rsid w:val="00D432D4"/>
    <w:rsid w:val="00D43358"/>
    <w:rsid w:val="00D4388A"/>
    <w:rsid w:val="00D43EB7"/>
    <w:rsid w:val="00D44212"/>
    <w:rsid w:val="00D445D5"/>
    <w:rsid w:val="00D44799"/>
    <w:rsid w:val="00D44911"/>
    <w:rsid w:val="00D45359"/>
    <w:rsid w:val="00D455DF"/>
    <w:rsid w:val="00D45AAC"/>
    <w:rsid w:val="00D45BD5"/>
    <w:rsid w:val="00D4671C"/>
    <w:rsid w:val="00D4708E"/>
    <w:rsid w:val="00D47CEC"/>
    <w:rsid w:val="00D5005E"/>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2CED"/>
    <w:rsid w:val="00D537B2"/>
    <w:rsid w:val="00D53881"/>
    <w:rsid w:val="00D53A4A"/>
    <w:rsid w:val="00D53E13"/>
    <w:rsid w:val="00D53E15"/>
    <w:rsid w:val="00D53F29"/>
    <w:rsid w:val="00D540CD"/>
    <w:rsid w:val="00D5429F"/>
    <w:rsid w:val="00D54433"/>
    <w:rsid w:val="00D5482B"/>
    <w:rsid w:val="00D5505C"/>
    <w:rsid w:val="00D55216"/>
    <w:rsid w:val="00D55329"/>
    <w:rsid w:val="00D554A5"/>
    <w:rsid w:val="00D567DC"/>
    <w:rsid w:val="00D56DA4"/>
    <w:rsid w:val="00D571E8"/>
    <w:rsid w:val="00D57205"/>
    <w:rsid w:val="00D5788C"/>
    <w:rsid w:val="00D601D0"/>
    <w:rsid w:val="00D602CF"/>
    <w:rsid w:val="00D6034A"/>
    <w:rsid w:val="00D605B4"/>
    <w:rsid w:val="00D60B58"/>
    <w:rsid w:val="00D61130"/>
    <w:rsid w:val="00D61409"/>
    <w:rsid w:val="00D61A13"/>
    <w:rsid w:val="00D62707"/>
    <w:rsid w:val="00D62BF6"/>
    <w:rsid w:val="00D6330B"/>
    <w:rsid w:val="00D63AE9"/>
    <w:rsid w:val="00D63CBC"/>
    <w:rsid w:val="00D63DA9"/>
    <w:rsid w:val="00D63DDE"/>
    <w:rsid w:val="00D64111"/>
    <w:rsid w:val="00D64155"/>
    <w:rsid w:val="00D648B6"/>
    <w:rsid w:val="00D64DE2"/>
    <w:rsid w:val="00D654F2"/>
    <w:rsid w:val="00D655C7"/>
    <w:rsid w:val="00D65C46"/>
    <w:rsid w:val="00D65E45"/>
    <w:rsid w:val="00D66033"/>
    <w:rsid w:val="00D665EE"/>
    <w:rsid w:val="00D66700"/>
    <w:rsid w:val="00D66744"/>
    <w:rsid w:val="00D66AF1"/>
    <w:rsid w:val="00D66C84"/>
    <w:rsid w:val="00D66EBA"/>
    <w:rsid w:val="00D67121"/>
    <w:rsid w:val="00D67548"/>
    <w:rsid w:val="00D675B2"/>
    <w:rsid w:val="00D67C48"/>
    <w:rsid w:val="00D67FD8"/>
    <w:rsid w:val="00D701FE"/>
    <w:rsid w:val="00D703B2"/>
    <w:rsid w:val="00D7046A"/>
    <w:rsid w:val="00D7055B"/>
    <w:rsid w:val="00D71327"/>
    <w:rsid w:val="00D71C8E"/>
    <w:rsid w:val="00D71CD8"/>
    <w:rsid w:val="00D71DF2"/>
    <w:rsid w:val="00D71F13"/>
    <w:rsid w:val="00D73069"/>
    <w:rsid w:val="00D733E8"/>
    <w:rsid w:val="00D734E4"/>
    <w:rsid w:val="00D735C6"/>
    <w:rsid w:val="00D737E2"/>
    <w:rsid w:val="00D73A34"/>
    <w:rsid w:val="00D7412B"/>
    <w:rsid w:val="00D741F0"/>
    <w:rsid w:val="00D74221"/>
    <w:rsid w:val="00D748C4"/>
    <w:rsid w:val="00D749B7"/>
    <w:rsid w:val="00D74A07"/>
    <w:rsid w:val="00D74DFD"/>
    <w:rsid w:val="00D755BE"/>
    <w:rsid w:val="00D75881"/>
    <w:rsid w:val="00D75946"/>
    <w:rsid w:val="00D75C6C"/>
    <w:rsid w:val="00D75D56"/>
    <w:rsid w:val="00D76122"/>
    <w:rsid w:val="00D761E7"/>
    <w:rsid w:val="00D764A1"/>
    <w:rsid w:val="00D76A51"/>
    <w:rsid w:val="00D76B60"/>
    <w:rsid w:val="00D77178"/>
    <w:rsid w:val="00D77BCD"/>
    <w:rsid w:val="00D77D04"/>
    <w:rsid w:val="00D77FC3"/>
    <w:rsid w:val="00D800F4"/>
    <w:rsid w:val="00D80187"/>
    <w:rsid w:val="00D8033F"/>
    <w:rsid w:val="00D803A0"/>
    <w:rsid w:val="00D8074B"/>
    <w:rsid w:val="00D813F9"/>
    <w:rsid w:val="00D8178C"/>
    <w:rsid w:val="00D818B9"/>
    <w:rsid w:val="00D81D39"/>
    <w:rsid w:val="00D81DB9"/>
    <w:rsid w:val="00D81EE6"/>
    <w:rsid w:val="00D820B5"/>
    <w:rsid w:val="00D820B6"/>
    <w:rsid w:val="00D828DD"/>
    <w:rsid w:val="00D8292F"/>
    <w:rsid w:val="00D82B71"/>
    <w:rsid w:val="00D83022"/>
    <w:rsid w:val="00D8306C"/>
    <w:rsid w:val="00D8314B"/>
    <w:rsid w:val="00D83252"/>
    <w:rsid w:val="00D839E2"/>
    <w:rsid w:val="00D83B83"/>
    <w:rsid w:val="00D83C51"/>
    <w:rsid w:val="00D83DBF"/>
    <w:rsid w:val="00D83E84"/>
    <w:rsid w:val="00D83F69"/>
    <w:rsid w:val="00D8436A"/>
    <w:rsid w:val="00D8483E"/>
    <w:rsid w:val="00D84939"/>
    <w:rsid w:val="00D849E8"/>
    <w:rsid w:val="00D84F7A"/>
    <w:rsid w:val="00D85423"/>
    <w:rsid w:val="00D85F8B"/>
    <w:rsid w:val="00D86070"/>
    <w:rsid w:val="00D86168"/>
    <w:rsid w:val="00D866E8"/>
    <w:rsid w:val="00D86CFF"/>
    <w:rsid w:val="00D86FCB"/>
    <w:rsid w:val="00D8703B"/>
    <w:rsid w:val="00D879F6"/>
    <w:rsid w:val="00D87C54"/>
    <w:rsid w:val="00D87E92"/>
    <w:rsid w:val="00D90054"/>
    <w:rsid w:val="00D90187"/>
    <w:rsid w:val="00D908FD"/>
    <w:rsid w:val="00D9091E"/>
    <w:rsid w:val="00D9110D"/>
    <w:rsid w:val="00D919FB"/>
    <w:rsid w:val="00D91F7B"/>
    <w:rsid w:val="00D91FB7"/>
    <w:rsid w:val="00D9247F"/>
    <w:rsid w:val="00D9257E"/>
    <w:rsid w:val="00D926FC"/>
    <w:rsid w:val="00D92C7F"/>
    <w:rsid w:val="00D936E2"/>
    <w:rsid w:val="00D93939"/>
    <w:rsid w:val="00D93A26"/>
    <w:rsid w:val="00D93B75"/>
    <w:rsid w:val="00D9406B"/>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1ED"/>
    <w:rsid w:val="00DA0422"/>
    <w:rsid w:val="00DA06F7"/>
    <w:rsid w:val="00DA07AD"/>
    <w:rsid w:val="00DA094B"/>
    <w:rsid w:val="00DA09C7"/>
    <w:rsid w:val="00DA0A59"/>
    <w:rsid w:val="00DA0DA8"/>
    <w:rsid w:val="00DA0F10"/>
    <w:rsid w:val="00DA14F0"/>
    <w:rsid w:val="00DA18C6"/>
    <w:rsid w:val="00DA2121"/>
    <w:rsid w:val="00DA2813"/>
    <w:rsid w:val="00DA2899"/>
    <w:rsid w:val="00DA2989"/>
    <w:rsid w:val="00DA2C9F"/>
    <w:rsid w:val="00DA2D9D"/>
    <w:rsid w:val="00DA3228"/>
    <w:rsid w:val="00DA34CE"/>
    <w:rsid w:val="00DA35E3"/>
    <w:rsid w:val="00DA3AE4"/>
    <w:rsid w:val="00DA3E40"/>
    <w:rsid w:val="00DA40B7"/>
    <w:rsid w:val="00DA41BF"/>
    <w:rsid w:val="00DA438B"/>
    <w:rsid w:val="00DA457B"/>
    <w:rsid w:val="00DA4669"/>
    <w:rsid w:val="00DA4B3F"/>
    <w:rsid w:val="00DA4B4C"/>
    <w:rsid w:val="00DA4EB4"/>
    <w:rsid w:val="00DA4FB9"/>
    <w:rsid w:val="00DA51F4"/>
    <w:rsid w:val="00DA5B15"/>
    <w:rsid w:val="00DA5BD2"/>
    <w:rsid w:val="00DA6B0B"/>
    <w:rsid w:val="00DA6B17"/>
    <w:rsid w:val="00DA7135"/>
    <w:rsid w:val="00DA7163"/>
    <w:rsid w:val="00DA71E1"/>
    <w:rsid w:val="00DA74A5"/>
    <w:rsid w:val="00DA782B"/>
    <w:rsid w:val="00DA79C4"/>
    <w:rsid w:val="00DB0366"/>
    <w:rsid w:val="00DB067D"/>
    <w:rsid w:val="00DB072E"/>
    <w:rsid w:val="00DB07CA"/>
    <w:rsid w:val="00DB0D73"/>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44F"/>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0FBB"/>
    <w:rsid w:val="00DC1031"/>
    <w:rsid w:val="00DC15A8"/>
    <w:rsid w:val="00DC23DF"/>
    <w:rsid w:val="00DC23E7"/>
    <w:rsid w:val="00DC3231"/>
    <w:rsid w:val="00DC377E"/>
    <w:rsid w:val="00DC3E6E"/>
    <w:rsid w:val="00DC42DD"/>
    <w:rsid w:val="00DC44B8"/>
    <w:rsid w:val="00DC5411"/>
    <w:rsid w:val="00DC575A"/>
    <w:rsid w:val="00DC5FEA"/>
    <w:rsid w:val="00DC63E1"/>
    <w:rsid w:val="00DC65E9"/>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341"/>
    <w:rsid w:val="00DD288D"/>
    <w:rsid w:val="00DD3A71"/>
    <w:rsid w:val="00DD3E5F"/>
    <w:rsid w:val="00DD4CFA"/>
    <w:rsid w:val="00DD4DD8"/>
    <w:rsid w:val="00DD52B0"/>
    <w:rsid w:val="00DD553D"/>
    <w:rsid w:val="00DD59FE"/>
    <w:rsid w:val="00DD5C7C"/>
    <w:rsid w:val="00DD5EB4"/>
    <w:rsid w:val="00DD6018"/>
    <w:rsid w:val="00DD619A"/>
    <w:rsid w:val="00DD630A"/>
    <w:rsid w:val="00DD656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25A6"/>
    <w:rsid w:val="00DE2A71"/>
    <w:rsid w:val="00DE2DEC"/>
    <w:rsid w:val="00DE34AE"/>
    <w:rsid w:val="00DE3820"/>
    <w:rsid w:val="00DE3C61"/>
    <w:rsid w:val="00DE3EEF"/>
    <w:rsid w:val="00DE3F1C"/>
    <w:rsid w:val="00DE4576"/>
    <w:rsid w:val="00DE47EC"/>
    <w:rsid w:val="00DE5260"/>
    <w:rsid w:val="00DE52E5"/>
    <w:rsid w:val="00DE533D"/>
    <w:rsid w:val="00DE560F"/>
    <w:rsid w:val="00DE5BD8"/>
    <w:rsid w:val="00DE62BD"/>
    <w:rsid w:val="00DE6925"/>
    <w:rsid w:val="00DE6BB3"/>
    <w:rsid w:val="00DE6E1E"/>
    <w:rsid w:val="00DE7118"/>
    <w:rsid w:val="00DE7297"/>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3C57"/>
    <w:rsid w:val="00DF4396"/>
    <w:rsid w:val="00DF4C4A"/>
    <w:rsid w:val="00DF4FA2"/>
    <w:rsid w:val="00DF56D1"/>
    <w:rsid w:val="00DF5CDC"/>
    <w:rsid w:val="00DF62BD"/>
    <w:rsid w:val="00DF669A"/>
    <w:rsid w:val="00DF6AAD"/>
    <w:rsid w:val="00DF7018"/>
    <w:rsid w:val="00DF7080"/>
    <w:rsid w:val="00DF7253"/>
    <w:rsid w:val="00DF72E7"/>
    <w:rsid w:val="00DF737B"/>
    <w:rsid w:val="00DF781B"/>
    <w:rsid w:val="00DF7A24"/>
    <w:rsid w:val="00E00772"/>
    <w:rsid w:val="00E00B25"/>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07DE1"/>
    <w:rsid w:val="00E1045B"/>
    <w:rsid w:val="00E104AC"/>
    <w:rsid w:val="00E104B5"/>
    <w:rsid w:val="00E1089F"/>
    <w:rsid w:val="00E109BE"/>
    <w:rsid w:val="00E10F34"/>
    <w:rsid w:val="00E11521"/>
    <w:rsid w:val="00E11585"/>
    <w:rsid w:val="00E118A7"/>
    <w:rsid w:val="00E119B3"/>
    <w:rsid w:val="00E11A48"/>
    <w:rsid w:val="00E11BD9"/>
    <w:rsid w:val="00E11C59"/>
    <w:rsid w:val="00E11C93"/>
    <w:rsid w:val="00E11CC3"/>
    <w:rsid w:val="00E1201F"/>
    <w:rsid w:val="00E1229E"/>
    <w:rsid w:val="00E12A3F"/>
    <w:rsid w:val="00E12D04"/>
    <w:rsid w:val="00E1318B"/>
    <w:rsid w:val="00E13287"/>
    <w:rsid w:val="00E13A30"/>
    <w:rsid w:val="00E13AA4"/>
    <w:rsid w:val="00E13B0B"/>
    <w:rsid w:val="00E13B53"/>
    <w:rsid w:val="00E13E7E"/>
    <w:rsid w:val="00E14862"/>
    <w:rsid w:val="00E14A7C"/>
    <w:rsid w:val="00E155A8"/>
    <w:rsid w:val="00E15ADB"/>
    <w:rsid w:val="00E15F8B"/>
    <w:rsid w:val="00E16513"/>
    <w:rsid w:val="00E166CA"/>
    <w:rsid w:val="00E16A55"/>
    <w:rsid w:val="00E16B4F"/>
    <w:rsid w:val="00E16C24"/>
    <w:rsid w:val="00E17036"/>
    <w:rsid w:val="00E17397"/>
    <w:rsid w:val="00E17B17"/>
    <w:rsid w:val="00E17DA5"/>
    <w:rsid w:val="00E202D2"/>
    <w:rsid w:val="00E2085A"/>
    <w:rsid w:val="00E209F1"/>
    <w:rsid w:val="00E20A77"/>
    <w:rsid w:val="00E210B5"/>
    <w:rsid w:val="00E21234"/>
    <w:rsid w:val="00E21881"/>
    <w:rsid w:val="00E2194E"/>
    <w:rsid w:val="00E2203C"/>
    <w:rsid w:val="00E222EA"/>
    <w:rsid w:val="00E22CF9"/>
    <w:rsid w:val="00E23076"/>
    <w:rsid w:val="00E230E9"/>
    <w:rsid w:val="00E23402"/>
    <w:rsid w:val="00E23D78"/>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8D5"/>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D2F"/>
    <w:rsid w:val="00E35EA6"/>
    <w:rsid w:val="00E362FB"/>
    <w:rsid w:val="00E36599"/>
    <w:rsid w:val="00E3686E"/>
    <w:rsid w:val="00E368ED"/>
    <w:rsid w:val="00E369FB"/>
    <w:rsid w:val="00E36BE9"/>
    <w:rsid w:val="00E37BEE"/>
    <w:rsid w:val="00E37ED3"/>
    <w:rsid w:val="00E4015D"/>
    <w:rsid w:val="00E40588"/>
    <w:rsid w:val="00E407AA"/>
    <w:rsid w:val="00E40EF2"/>
    <w:rsid w:val="00E412DB"/>
    <w:rsid w:val="00E41304"/>
    <w:rsid w:val="00E419A4"/>
    <w:rsid w:val="00E422FE"/>
    <w:rsid w:val="00E427B4"/>
    <w:rsid w:val="00E4292C"/>
    <w:rsid w:val="00E42CFC"/>
    <w:rsid w:val="00E44411"/>
    <w:rsid w:val="00E44CD6"/>
    <w:rsid w:val="00E44E15"/>
    <w:rsid w:val="00E44F52"/>
    <w:rsid w:val="00E44F64"/>
    <w:rsid w:val="00E454C3"/>
    <w:rsid w:val="00E459DA"/>
    <w:rsid w:val="00E46354"/>
    <w:rsid w:val="00E4641E"/>
    <w:rsid w:val="00E46606"/>
    <w:rsid w:val="00E46683"/>
    <w:rsid w:val="00E46B1F"/>
    <w:rsid w:val="00E46FAB"/>
    <w:rsid w:val="00E47983"/>
    <w:rsid w:val="00E47A68"/>
    <w:rsid w:val="00E47D7E"/>
    <w:rsid w:val="00E47F23"/>
    <w:rsid w:val="00E50036"/>
    <w:rsid w:val="00E50118"/>
    <w:rsid w:val="00E5063E"/>
    <w:rsid w:val="00E50646"/>
    <w:rsid w:val="00E507D9"/>
    <w:rsid w:val="00E50D0C"/>
    <w:rsid w:val="00E50E11"/>
    <w:rsid w:val="00E512C3"/>
    <w:rsid w:val="00E51436"/>
    <w:rsid w:val="00E5181B"/>
    <w:rsid w:val="00E51C0A"/>
    <w:rsid w:val="00E52843"/>
    <w:rsid w:val="00E52A65"/>
    <w:rsid w:val="00E52A9E"/>
    <w:rsid w:val="00E52D27"/>
    <w:rsid w:val="00E52DD6"/>
    <w:rsid w:val="00E52EB2"/>
    <w:rsid w:val="00E53534"/>
    <w:rsid w:val="00E538DC"/>
    <w:rsid w:val="00E53C6E"/>
    <w:rsid w:val="00E54214"/>
    <w:rsid w:val="00E54275"/>
    <w:rsid w:val="00E54350"/>
    <w:rsid w:val="00E543DE"/>
    <w:rsid w:val="00E545F9"/>
    <w:rsid w:val="00E54955"/>
    <w:rsid w:val="00E5505E"/>
    <w:rsid w:val="00E5516A"/>
    <w:rsid w:val="00E55316"/>
    <w:rsid w:val="00E55AB1"/>
    <w:rsid w:val="00E56406"/>
    <w:rsid w:val="00E56C63"/>
    <w:rsid w:val="00E56DDA"/>
    <w:rsid w:val="00E56F74"/>
    <w:rsid w:val="00E57865"/>
    <w:rsid w:val="00E579E1"/>
    <w:rsid w:val="00E57F7B"/>
    <w:rsid w:val="00E61401"/>
    <w:rsid w:val="00E6166C"/>
    <w:rsid w:val="00E61879"/>
    <w:rsid w:val="00E618E8"/>
    <w:rsid w:val="00E629BA"/>
    <w:rsid w:val="00E62C41"/>
    <w:rsid w:val="00E63332"/>
    <w:rsid w:val="00E63503"/>
    <w:rsid w:val="00E636CD"/>
    <w:rsid w:val="00E642F3"/>
    <w:rsid w:val="00E64559"/>
    <w:rsid w:val="00E6504E"/>
    <w:rsid w:val="00E6577A"/>
    <w:rsid w:val="00E65E26"/>
    <w:rsid w:val="00E65E3A"/>
    <w:rsid w:val="00E66100"/>
    <w:rsid w:val="00E66CA1"/>
    <w:rsid w:val="00E67688"/>
    <w:rsid w:val="00E67AC3"/>
    <w:rsid w:val="00E67B02"/>
    <w:rsid w:val="00E709EB"/>
    <w:rsid w:val="00E71402"/>
    <w:rsid w:val="00E7160F"/>
    <w:rsid w:val="00E717AD"/>
    <w:rsid w:val="00E71827"/>
    <w:rsid w:val="00E71C3B"/>
    <w:rsid w:val="00E71FC0"/>
    <w:rsid w:val="00E7210C"/>
    <w:rsid w:val="00E72520"/>
    <w:rsid w:val="00E72875"/>
    <w:rsid w:val="00E72AAF"/>
    <w:rsid w:val="00E72D96"/>
    <w:rsid w:val="00E72F91"/>
    <w:rsid w:val="00E73043"/>
    <w:rsid w:val="00E73162"/>
    <w:rsid w:val="00E731B4"/>
    <w:rsid w:val="00E7369D"/>
    <w:rsid w:val="00E73B23"/>
    <w:rsid w:val="00E73F0E"/>
    <w:rsid w:val="00E73F35"/>
    <w:rsid w:val="00E74879"/>
    <w:rsid w:val="00E74C6C"/>
    <w:rsid w:val="00E75219"/>
    <w:rsid w:val="00E7536D"/>
    <w:rsid w:val="00E75676"/>
    <w:rsid w:val="00E75A2C"/>
    <w:rsid w:val="00E7615E"/>
    <w:rsid w:val="00E768D9"/>
    <w:rsid w:val="00E77039"/>
    <w:rsid w:val="00E77142"/>
    <w:rsid w:val="00E77325"/>
    <w:rsid w:val="00E77522"/>
    <w:rsid w:val="00E7757A"/>
    <w:rsid w:val="00E7763E"/>
    <w:rsid w:val="00E7776D"/>
    <w:rsid w:val="00E77C33"/>
    <w:rsid w:val="00E77D55"/>
    <w:rsid w:val="00E80031"/>
    <w:rsid w:val="00E80163"/>
    <w:rsid w:val="00E804FD"/>
    <w:rsid w:val="00E80C1C"/>
    <w:rsid w:val="00E81572"/>
    <w:rsid w:val="00E81EFA"/>
    <w:rsid w:val="00E8240D"/>
    <w:rsid w:val="00E82B61"/>
    <w:rsid w:val="00E835E1"/>
    <w:rsid w:val="00E83B38"/>
    <w:rsid w:val="00E83C8C"/>
    <w:rsid w:val="00E84013"/>
    <w:rsid w:val="00E84197"/>
    <w:rsid w:val="00E841E1"/>
    <w:rsid w:val="00E8459D"/>
    <w:rsid w:val="00E84822"/>
    <w:rsid w:val="00E851B1"/>
    <w:rsid w:val="00E851FC"/>
    <w:rsid w:val="00E85910"/>
    <w:rsid w:val="00E85DF0"/>
    <w:rsid w:val="00E8607E"/>
    <w:rsid w:val="00E86446"/>
    <w:rsid w:val="00E86626"/>
    <w:rsid w:val="00E86C9A"/>
    <w:rsid w:val="00E870C9"/>
    <w:rsid w:val="00E87FBE"/>
    <w:rsid w:val="00E900B6"/>
    <w:rsid w:val="00E90529"/>
    <w:rsid w:val="00E907CD"/>
    <w:rsid w:val="00E91ACE"/>
    <w:rsid w:val="00E9229E"/>
    <w:rsid w:val="00E922D4"/>
    <w:rsid w:val="00E92C16"/>
    <w:rsid w:val="00E92D08"/>
    <w:rsid w:val="00E92FA9"/>
    <w:rsid w:val="00E93183"/>
    <w:rsid w:val="00E948F3"/>
    <w:rsid w:val="00E94B04"/>
    <w:rsid w:val="00E94E14"/>
    <w:rsid w:val="00E94F18"/>
    <w:rsid w:val="00E94F3A"/>
    <w:rsid w:val="00E95232"/>
    <w:rsid w:val="00E95601"/>
    <w:rsid w:val="00E956FA"/>
    <w:rsid w:val="00E9596C"/>
    <w:rsid w:val="00E95E0F"/>
    <w:rsid w:val="00E96B25"/>
    <w:rsid w:val="00E96DF6"/>
    <w:rsid w:val="00E96E02"/>
    <w:rsid w:val="00E9710B"/>
    <w:rsid w:val="00E97622"/>
    <w:rsid w:val="00E97766"/>
    <w:rsid w:val="00E97C06"/>
    <w:rsid w:val="00E97EEF"/>
    <w:rsid w:val="00EA007E"/>
    <w:rsid w:val="00EA044F"/>
    <w:rsid w:val="00EA0E80"/>
    <w:rsid w:val="00EA1020"/>
    <w:rsid w:val="00EA1C3D"/>
    <w:rsid w:val="00EA23AD"/>
    <w:rsid w:val="00EA24E2"/>
    <w:rsid w:val="00EA2C50"/>
    <w:rsid w:val="00EA2EE3"/>
    <w:rsid w:val="00EA3C0D"/>
    <w:rsid w:val="00EA4B66"/>
    <w:rsid w:val="00EA4ECD"/>
    <w:rsid w:val="00EA4F5A"/>
    <w:rsid w:val="00EA5107"/>
    <w:rsid w:val="00EA5338"/>
    <w:rsid w:val="00EA5A31"/>
    <w:rsid w:val="00EA69D0"/>
    <w:rsid w:val="00EA6D16"/>
    <w:rsid w:val="00EA78EF"/>
    <w:rsid w:val="00EA79F0"/>
    <w:rsid w:val="00EA7AD3"/>
    <w:rsid w:val="00EA7DDF"/>
    <w:rsid w:val="00EA7E7D"/>
    <w:rsid w:val="00EB0186"/>
    <w:rsid w:val="00EB049F"/>
    <w:rsid w:val="00EB0CD3"/>
    <w:rsid w:val="00EB112C"/>
    <w:rsid w:val="00EB18A9"/>
    <w:rsid w:val="00EB1C75"/>
    <w:rsid w:val="00EB1DD0"/>
    <w:rsid w:val="00EB1DD8"/>
    <w:rsid w:val="00EB1E74"/>
    <w:rsid w:val="00EB24E6"/>
    <w:rsid w:val="00EB2B41"/>
    <w:rsid w:val="00EB2CE0"/>
    <w:rsid w:val="00EB3F04"/>
    <w:rsid w:val="00EB47DD"/>
    <w:rsid w:val="00EB4883"/>
    <w:rsid w:val="00EB4CF7"/>
    <w:rsid w:val="00EB544D"/>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B7F72"/>
    <w:rsid w:val="00EC03B6"/>
    <w:rsid w:val="00EC04D2"/>
    <w:rsid w:val="00EC09E7"/>
    <w:rsid w:val="00EC0EAF"/>
    <w:rsid w:val="00EC1326"/>
    <w:rsid w:val="00EC1357"/>
    <w:rsid w:val="00EC1789"/>
    <w:rsid w:val="00EC182C"/>
    <w:rsid w:val="00EC1D8A"/>
    <w:rsid w:val="00EC2155"/>
    <w:rsid w:val="00EC21A8"/>
    <w:rsid w:val="00EC2F3B"/>
    <w:rsid w:val="00EC3820"/>
    <w:rsid w:val="00EC3ACD"/>
    <w:rsid w:val="00EC3B07"/>
    <w:rsid w:val="00EC4309"/>
    <w:rsid w:val="00EC445D"/>
    <w:rsid w:val="00EC4760"/>
    <w:rsid w:val="00EC4C59"/>
    <w:rsid w:val="00EC53C4"/>
    <w:rsid w:val="00EC5F3D"/>
    <w:rsid w:val="00EC6655"/>
    <w:rsid w:val="00EC69CA"/>
    <w:rsid w:val="00EC69E1"/>
    <w:rsid w:val="00EC6AE8"/>
    <w:rsid w:val="00EC6DB0"/>
    <w:rsid w:val="00EC7054"/>
    <w:rsid w:val="00EC7893"/>
    <w:rsid w:val="00ED03F9"/>
    <w:rsid w:val="00ED0447"/>
    <w:rsid w:val="00ED0712"/>
    <w:rsid w:val="00ED09EA"/>
    <w:rsid w:val="00ED0A24"/>
    <w:rsid w:val="00ED0A32"/>
    <w:rsid w:val="00ED0AF8"/>
    <w:rsid w:val="00ED0B92"/>
    <w:rsid w:val="00ED0F34"/>
    <w:rsid w:val="00ED1BD9"/>
    <w:rsid w:val="00ED1F2E"/>
    <w:rsid w:val="00ED1FA1"/>
    <w:rsid w:val="00ED2344"/>
    <w:rsid w:val="00ED2348"/>
    <w:rsid w:val="00ED2771"/>
    <w:rsid w:val="00ED2929"/>
    <w:rsid w:val="00ED2C25"/>
    <w:rsid w:val="00ED2EB5"/>
    <w:rsid w:val="00ED2FF7"/>
    <w:rsid w:val="00ED34BD"/>
    <w:rsid w:val="00ED3733"/>
    <w:rsid w:val="00ED3762"/>
    <w:rsid w:val="00ED37AD"/>
    <w:rsid w:val="00ED3A44"/>
    <w:rsid w:val="00ED43A4"/>
    <w:rsid w:val="00ED4709"/>
    <w:rsid w:val="00ED4E50"/>
    <w:rsid w:val="00ED5319"/>
    <w:rsid w:val="00ED5471"/>
    <w:rsid w:val="00ED5A51"/>
    <w:rsid w:val="00ED5A59"/>
    <w:rsid w:val="00ED5F69"/>
    <w:rsid w:val="00ED601C"/>
    <w:rsid w:val="00ED652F"/>
    <w:rsid w:val="00ED7D8C"/>
    <w:rsid w:val="00EE01E1"/>
    <w:rsid w:val="00EE01EF"/>
    <w:rsid w:val="00EE023C"/>
    <w:rsid w:val="00EE03DF"/>
    <w:rsid w:val="00EE042A"/>
    <w:rsid w:val="00EE04F9"/>
    <w:rsid w:val="00EE0624"/>
    <w:rsid w:val="00EE0D51"/>
    <w:rsid w:val="00EE0F90"/>
    <w:rsid w:val="00EE1457"/>
    <w:rsid w:val="00EE157D"/>
    <w:rsid w:val="00EE182A"/>
    <w:rsid w:val="00EE18A9"/>
    <w:rsid w:val="00EE1FF0"/>
    <w:rsid w:val="00EE216A"/>
    <w:rsid w:val="00EE26F9"/>
    <w:rsid w:val="00EE2B9F"/>
    <w:rsid w:val="00EE2F84"/>
    <w:rsid w:val="00EE3077"/>
    <w:rsid w:val="00EE36BA"/>
    <w:rsid w:val="00EE38EF"/>
    <w:rsid w:val="00EE3C5A"/>
    <w:rsid w:val="00EE4343"/>
    <w:rsid w:val="00EE4353"/>
    <w:rsid w:val="00EE47CB"/>
    <w:rsid w:val="00EE4AD0"/>
    <w:rsid w:val="00EE4B1F"/>
    <w:rsid w:val="00EE5504"/>
    <w:rsid w:val="00EE5771"/>
    <w:rsid w:val="00EE57BC"/>
    <w:rsid w:val="00EE5DE0"/>
    <w:rsid w:val="00EE62AA"/>
    <w:rsid w:val="00EE64A6"/>
    <w:rsid w:val="00EE653F"/>
    <w:rsid w:val="00EE6704"/>
    <w:rsid w:val="00EE6BFD"/>
    <w:rsid w:val="00EE6CEB"/>
    <w:rsid w:val="00EE6E28"/>
    <w:rsid w:val="00EE750A"/>
    <w:rsid w:val="00EE7697"/>
    <w:rsid w:val="00EF0404"/>
    <w:rsid w:val="00EF0AC3"/>
    <w:rsid w:val="00EF0BF7"/>
    <w:rsid w:val="00EF0D0E"/>
    <w:rsid w:val="00EF0D64"/>
    <w:rsid w:val="00EF0DC2"/>
    <w:rsid w:val="00EF0FD9"/>
    <w:rsid w:val="00EF1032"/>
    <w:rsid w:val="00EF141F"/>
    <w:rsid w:val="00EF17C6"/>
    <w:rsid w:val="00EF1C57"/>
    <w:rsid w:val="00EF225F"/>
    <w:rsid w:val="00EF23EF"/>
    <w:rsid w:val="00EF2548"/>
    <w:rsid w:val="00EF2A8E"/>
    <w:rsid w:val="00EF2B85"/>
    <w:rsid w:val="00EF2C03"/>
    <w:rsid w:val="00EF2C05"/>
    <w:rsid w:val="00EF2F21"/>
    <w:rsid w:val="00EF300D"/>
    <w:rsid w:val="00EF318B"/>
    <w:rsid w:val="00EF3875"/>
    <w:rsid w:val="00EF40A9"/>
    <w:rsid w:val="00EF4695"/>
    <w:rsid w:val="00EF4807"/>
    <w:rsid w:val="00EF4CEB"/>
    <w:rsid w:val="00EF4FEF"/>
    <w:rsid w:val="00EF559D"/>
    <w:rsid w:val="00EF62B9"/>
    <w:rsid w:val="00EF6784"/>
    <w:rsid w:val="00EF6C37"/>
    <w:rsid w:val="00EF71D5"/>
    <w:rsid w:val="00EF74C8"/>
    <w:rsid w:val="00EF7998"/>
    <w:rsid w:val="00EF7D90"/>
    <w:rsid w:val="00F00144"/>
    <w:rsid w:val="00F00305"/>
    <w:rsid w:val="00F005AE"/>
    <w:rsid w:val="00F00AE2"/>
    <w:rsid w:val="00F00FD7"/>
    <w:rsid w:val="00F0159A"/>
    <w:rsid w:val="00F01AC2"/>
    <w:rsid w:val="00F01E8C"/>
    <w:rsid w:val="00F028EA"/>
    <w:rsid w:val="00F02ACA"/>
    <w:rsid w:val="00F02BFE"/>
    <w:rsid w:val="00F02C03"/>
    <w:rsid w:val="00F02D0C"/>
    <w:rsid w:val="00F02EC3"/>
    <w:rsid w:val="00F02ED4"/>
    <w:rsid w:val="00F03094"/>
    <w:rsid w:val="00F03412"/>
    <w:rsid w:val="00F03940"/>
    <w:rsid w:val="00F03C7C"/>
    <w:rsid w:val="00F03E3E"/>
    <w:rsid w:val="00F052BE"/>
    <w:rsid w:val="00F05316"/>
    <w:rsid w:val="00F0565E"/>
    <w:rsid w:val="00F05FC0"/>
    <w:rsid w:val="00F060B1"/>
    <w:rsid w:val="00F06502"/>
    <w:rsid w:val="00F0698E"/>
    <w:rsid w:val="00F0723C"/>
    <w:rsid w:val="00F07839"/>
    <w:rsid w:val="00F07BFB"/>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8B8"/>
    <w:rsid w:val="00F13A0C"/>
    <w:rsid w:val="00F13ABD"/>
    <w:rsid w:val="00F146BC"/>
    <w:rsid w:val="00F148DF"/>
    <w:rsid w:val="00F14C7B"/>
    <w:rsid w:val="00F14D32"/>
    <w:rsid w:val="00F14E75"/>
    <w:rsid w:val="00F152A6"/>
    <w:rsid w:val="00F15F8A"/>
    <w:rsid w:val="00F163ED"/>
    <w:rsid w:val="00F16B6A"/>
    <w:rsid w:val="00F16BCA"/>
    <w:rsid w:val="00F1742D"/>
    <w:rsid w:val="00F177D4"/>
    <w:rsid w:val="00F204E4"/>
    <w:rsid w:val="00F20C22"/>
    <w:rsid w:val="00F21403"/>
    <w:rsid w:val="00F2186E"/>
    <w:rsid w:val="00F21E68"/>
    <w:rsid w:val="00F221AF"/>
    <w:rsid w:val="00F227C7"/>
    <w:rsid w:val="00F22A34"/>
    <w:rsid w:val="00F22B73"/>
    <w:rsid w:val="00F22EC6"/>
    <w:rsid w:val="00F230AE"/>
    <w:rsid w:val="00F23210"/>
    <w:rsid w:val="00F23336"/>
    <w:rsid w:val="00F23459"/>
    <w:rsid w:val="00F237B5"/>
    <w:rsid w:val="00F23C91"/>
    <w:rsid w:val="00F23F7F"/>
    <w:rsid w:val="00F24C38"/>
    <w:rsid w:val="00F24EA9"/>
    <w:rsid w:val="00F251F9"/>
    <w:rsid w:val="00F25400"/>
    <w:rsid w:val="00F2557D"/>
    <w:rsid w:val="00F25B91"/>
    <w:rsid w:val="00F2607D"/>
    <w:rsid w:val="00F26474"/>
    <w:rsid w:val="00F26CCC"/>
    <w:rsid w:val="00F26D59"/>
    <w:rsid w:val="00F2718E"/>
    <w:rsid w:val="00F2726F"/>
    <w:rsid w:val="00F272F8"/>
    <w:rsid w:val="00F27369"/>
    <w:rsid w:val="00F274CE"/>
    <w:rsid w:val="00F27D53"/>
    <w:rsid w:val="00F27E0B"/>
    <w:rsid w:val="00F300A7"/>
    <w:rsid w:val="00F311CB"/>
    <w:rsid w:val="00F31801"/>
    <w:rsid w:val="00F31985"/>
    <w:rsid w:val="00F31D8D"/>
    <w:rsid w:val="00F3240E"/>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9AE"/>
    <w:rsid w:val="00F35B7E"/>
    <w:rsid w:val="00F36451"/>
    <w:rsid w:val="00F36E4B"/>
    <w:rsid w:val="00F36F83"/>
    <w:rsid w:val="00F37421"/>
    <w:rsid w:val="00F375CA"/>
    <w:rsid w:val="00F4055B"/>
    <w:rsid w:val="00F408E2"/>
    <w:rsid w:val="00F40970"/>
    <w:rsid w:val="00F41005"/>
    <w:rsid w:val="00F4113B"/>
    <w:rsid w:val="00F412A1"/>
    <w:rsid w:val="00F4161E"/>
    <w:rsid w:val="00F41A25"/>
    <w:rsid w:val="00F41A9C"/>
    <w:rsid w:val="00F429B8"/>
    <w:rsid w:val="00F42BE1"/>
    <w:rsid w:val="00F42C70"/>
    <w:rsid w:val="00F436F1"/>
    <w:rsid w:val="00F43A1D"/>
    <w:rsid w:val="00F43A39"/>
    <w:rsid w:val="00F43BBC"/>
    <w:rsid w:val="00F43CC0"/>
    <w:rsid w:val="00F4464F"/>
    <w:rsid w:val="00F44BC6"/>
    <w:rsid w:val="00F44C86"/>
    <w:rsid w:val="00F44ECF"/>
    <w:rsid w:val="00F454A7"/>
    <w:rsid w:val="00F46678"/>
    <w:rsid w:val="00F466EC"/>
    <w:rsid w:val="00F46F17"/>
    <w:rsid w:val="00F475D9"/>
    <w:rsid w:val="00F47927"/>
    <w:rsid w:val="00F47C22"/>
    <w:rsid w:val="00F501B4"/>
    <w:rsid w:val="00F5147E"/>
    <w:rsid w:val="00F51AAF"/>
    <w:rsid w:val="00F51DA3"/>
    <w:rsid w:val="00F51F79"/>
    <w:rsid w:val="00F520D9"/>
    <w:rsid w:val="00F52136"/>
    <w:rsid w:val="00F52373"/>
    <w:rsid w:val="00F52BEA"/>
    <w:rsid w:val="00F52FC8"/>
    <w:rsid w:val="00F533E3"/>
    <w:rsid w:val="00F5354F"/>
    <w:rsid w:val="00F538B5"/>
    <w:rsid w:val="00F53944"/>
    <w:rsid w:val="00F53ACB"/>
    <w:rsid w:val="00F53D34"/>
    <w:rsid w:val="00F54971"/>
    <w:rsid w:val="00F554A6"/>
    <w:rsid w:val="00F554C9"/>
    <w:rsid w:val="00F5570B"/>
    <w:rsid w:val="00F56217"/>
    <w:rsid w:val="00F56ECB"/>
    <w:rsid w:val="00F56EF2"/>
    <w:rsid w:val="00F576BD"/>
    <w:rsid w:val="00F57937"/>
    <w:rsid w:val="00F57DF5"/>
    <w:rsid w:val="00F57E60"/>
    <w:rsid w:val="00F605A7"/>
    <w:rsid w:val="00F6115B"/>
    <w:rsid w:val="00F61366"/>
    <w:rsid w:val="00F613BE"/>
    <w:rsid w:val="00F613C0"/>
    <w:rsid w:val="00F614B9"/>
    <w:rsid w:val="00F6153F"/>
    <w:rsid w:val="00F619AD"/>
    <w:rsid w:val="00F61BF5"/>
    <w:rsid w:val="00F61F05"/>
    <w:rsid w:val="00F624C4"/>
    <w:rsid w:val="00F62540"/>
    <w:rsid w:val="00F62EEC"/>
    <w:rsid w:val="00F62F81"/>
    <w:rsid w:val="00F630ED"/>
    <w:rsid w:val="00F63566"/>
    <w:rsid w:val="00F63C4C"/>
    <w:rsid w:val="00F64011"/>
    <w:rsid w:val="00F64113"/>
    <w:rsid w:val="00F64129"/>
    <w:rsid w:val="00F643FB"/>
    <w:rsid w:val="00F64897"/>
    <w:rsid w:val="00F64A8E"/>
    <w:rsid w:val="00F65280"/>
    <w:rsid w:val="00F65429"/>
    <w:rsid w:val="00F65581"/>
    <w:rsid w:val="00F65C5D"/>
    <w:rsid w:val="00F65FB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9BA"/>
    <w:rsid w:val="00F71BB5"/>
    <w:rsid w:val="00F71C01"/>
    <w:rsid w:val="00F71DBA"/>
    <w:rsid w:val="00F71E3B"/>
    <w:rsid w:val="00F71E64"/>
    <w:rsid w:val="00F71E71"/>
    <w:rsid w:val="00F71F28"/>
    <w:rsid w:val="00F723E3"/>
    <w:rsid w:val="00F72560"/>
    <w:rsid w:val="00F72757"/>
    <w:rsid w:val="00F72C79"/>
    <w:rsid w:val="00F734BF"/>
    <w:rsid w:val="00F7378C"/>
    <w:rsid w:val="00F739A8"/>
    <w:rsid w:val="00F73B01"/>
    <w:rsid w:val="00F73DF0"/>
    <w:rsid w:val="00F73E22"/>
    <w:rsid w:val="00F7400A"/>
    <w:rsid w:val="00F74182"/>
    <w:rsid w:val="00F74505"/>
    <w:rsid w:val="00F745A2"/>
    <w:rsid w:val="00F747C4"/>
    <w:rsid w:val="00F74E2C"/>
    <w:rsid w:val="00F75333"/>
    <w:rsid w:val="00F7542D"/>
    <w:rsid w:val="00F7549B"/>
    <w:rsid w:val="00F756D6"/>
    <w:rsid w:val="00F756DD"/>
    <w:rsid w:val="00F75AB8"/>
    <w:rsid w:val="00F75C40"/>
    <w:rsid w:val="00F76A00"/>
    <w:rsid w:val="00F77372"/>
    <w:rsid w:val="00F77885"/>
    <w:rsid w:val="00F77A91"/>
    <w:rsid w:val="00F77D66"/>
    <w:rsid w:val="00F77ED7"/>
    <w:rsid w:val="00F77FF2"/>
    <w:rsid w:val="00F8025D"/>
    <w:rsid w:val="00F80401"/>
    <w:rsid w:val="00F80DA0"/>
    <w:rsid w:val="00F80E2B"/>
    <w:rsid w:val="00F8168B"/>
    <w:rsid w:val="00F81742"/>
    <w:rsid w:val="00F81F14"/>
    <w:rsid w:val="00F823F3"/>
    <w:rsid w:val="00F82635"/>
    <w:rsid w:val="00F827A9"/>
    <w:rsid w:val="00F83821"/>
    <w:rsid w:val="00F83C16"/>
    <w:rsid w:val="00F83FA0"/>
    <w:rsid w:val="00F8529D"/>
    <w:rsid w:val="00F8544F"/>
    <w:rsid w:val="00F857D2"/>
    <w:rsid w:val="00F85A49"/>
    <w:rsid w:val="00F85FAF"/>
    <w:rsid w:val="00F860F5"/>
    <w:rsid w:val="00F86D6D"/>
    <w:rsid w:val="00F86FC2"/>
    <w:rsid w:val="00F870D5"/>
    <w:rsid w:val="00F8712F"/>
    <w:rsid w:val="00F87643"/>
    <w:rsid w:val="00F902A2"/>
    <w:rsid w:val="00F90399"/>
    <w:rsid w:val="00F90449"/>
    <w:rsid w:val="00F909D9"/>
    <w:rsid w:val="00F90C14"/>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5DB8"/>
    <w:rsid w:val="00F963F4"/>
    <w:rsid w:val="00F966B9"/>
    <w:rsid w:val="00F96AAF"/>
    <w:rsid w:val="00F96AF6"/>
    <w:rsid w:val="00F96F99"/>
    <w:rsid w:val="00F971BC"/>
    <w:rsid w:val="00F971BF"/>
    <w:rsid w:val="00F971C1"/>
    <w:rsid w:val="00F97427"/>
    <w:rsid w:val="00F9746E"/>
    <w:rsid w:val="00F976A1"/>
    <w:rsid w:val="00F979D6"/>
    <w:rsid w:val="00F97A78"/>
    <w:rsid w:val="00F97F82"/>
    <w:rsid w:val="00FA00BB"/>
    <w:rsid w:val="00FA01C3"/>
    <w:rsid w:val="00FA03D1"/>
    <w:rsid w:val="00FA042D"/>
    <w:rsid w:val="00FA0690"/>
    <w:rsid w:val="00FA11DE"/>
    <w:rsid w:val="00FA1782"/>
    <w:rsid w:val="00FA1BB6"/>
    <w:rsid w:val="00FA1D8E"/>
    <w:rsid w:val="00FA1F0C"/>
    <w:rsid w:val="00FA214A"/>
    <w:rsid w:val="00FA21D5"/>
    <w:rsid w:val="00FA2FBE"/>
    <w:rsid w:val="00FA30B8"/>
    <w:rsid w:val="00FA30E0"/>
    <w:rsid w:val="00FA3AA7"/>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C20"/>
    <w:rsid w:val="00FB0E77"/>
    <w:rsid w:val="00FB1D60"/>
    <w:rsid w:val="00FB2258"/>
    <w:rsid w:val="00FB26FA"/>
    <w:rsid w:val="00FB2944"/>
    <w:rsid w:val="00FB2964"/>
    <w:rsid w:val="00FB2A7A"/>
    <w:rsid w:val="00FB2C28"/>
    <w:rsid w:val="00FB2EEF"/>
    <w:rsid w:val="00FB324C"/>
    <w:rsid w:val="00FB37C1"/>
    <w:rsid w:val="00FB38DC"/>
    <w:rsid w:val="00FB3E25"/>
    <w:rsid w:val="00FB402B"/>
    <w:rsid w:val="00FB4112"/>
    <w:rsid w:val="00FB49E6"/>
    <w:rsid w:val="00FB4E5C"/>
    <w:rsid w:val="00FB502B"/>
    <w:rsid w:val="00FB518B"/>
    <w:rsid w:val="00FB5674"/>
    <w:rsid w:val="00FB649D"/>
    <w:rsid w:val="00FB65A4"/>
    <w:rsid w:val="00FB6D8D"/>
    <w:rsid w:val="00FB721E"/>
    <w:rsid w:val="00FB7A9A"/>
    <w:rsid w:val="00FB7C18"/>
    <w:rsid w:val="00FC050B"/>
    <w:rsid w:val="00FC0DCB"/>
    <w:rsid w:val="00FC0F3B"/>
    <w:rsid w:val="00FC1043"/>
    <w:rsid w:val="00FC1151"/>
    <w:rsid w:val="00FC12FA"/>
    <w:rsid w:val="00FC15C7"/>
    <w:rsid w:val="00FC16B3"/>
    <w:rsid w:val="00FC1B40"/>
    <w:rsid w:val="00FC21EE"/>
    <w:rsid w:val="00FC22AF"/>
    <w:rsid w:val="00FC2593"/>
    <w:rsid w:val="00FC370F"/>
    <w:rsid w:val="00FC38BA"/>
    <w:rsid w:val="00FC3B6B"/>
    <w:rsid w:val="00FC3E4C"/>
    <w:rsid w:val="00FC4811"/>
    <w:rsid w:val="00FC4817"/>
    <w:rsid w:val="00FC48BE"/>
    <w:rsid w:val="00FC4BF6"/>
    <w:rsid w:val="00FC4C0E"/>
    <w:rsid w:val="00FC4FDE"/>
    <w:rsid w:val="00FC5095"/>
    <w:rsid w:val="00FC514A"/>
    <w:rsid w:val="00FC5CCD"/>
    <w:rsid w:val="00FC6401"/>
    <w:rsid w:val="00FC65E5"/>
    <w:rsid w:val="00FC6C19"/>
    <w:rsid w:val="00FC6D0B"/>
    <w:rsid w:val="00FC6ECF"/>
    <w:rsid w:val="00FC7449"/>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4D8C"/>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5C"/>
    <w:rsid w:val="00FE0FE3"/>
    <w:rsid w:val="00FE157B"/>
    <w:rsid w:val="00FE1FD3"/>
    <w:rsid w:val="00FE2308"/>
    <w:rsid w:val="00FE2334"/>
    <w:rsid w:val="00FE2CE7"/>
    <w:rsid w:val="00FE2DB5"/>
    <w:rsid w:val="00FE3E6A"/>
    <w:rsid w:val="00FE424E"/>
    <w:rsid w:val="00FE4268"/>
    <w:rsid w:val="00FE49C3"/>
    <w:rsid w:val="00FE4A4B"/>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A5"/>
    <w:rsid w:val="00FF0D7C"/>
    <w:rsid w:val="00FF0F0A"/>
    <w:rsid w:val="00FF1165"/>
    <w:rsid w:val="00FF11BC"/>
    <w:rsid w:val="00FF125C"/>
    <w:rsid w:val="00FF15F7"/>
    <w:rsid w:val="00FF184B"/>
    <w:rsid w:val="00FF1868"/>
    <w:rsid w:val="00FF20CC"/>
    <w:rsid w:val="00FF2454"/>
    <w:rsid w:val="00FF24F2"/>
    <w:rsid w:val="00FF3323"/>
    <w:rsid w:val="00FF34F4"/>
    <w:rsid w:val="00FF3816"/>
    <w:rsid w:val="00FF3DC7"/>
    <w:rsid w:val="00FF4DE8"/>
    <w:rsid w:val="00FF4FE6"/>
    <w:rsid w:val="00FF517B"/>
    <w:rsid w:val="00FF522E"/>
    <w:rsid w:val="00FF5304"/>
    <w:rsid w:val="00FF5A39"/>
    <w:rsid w:val="00FF62B3"/>
    <w:rsid w:val="00FF6759"/>
    <w:rsid w:val="00FF6B96"/>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0"/>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07011"/>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570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347E5"/>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6056B"/>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2762C"/>
    <w:rsid w:val="15E72BCE"/>
    <w:rsid w:val="15EA7C2F"/>
    <w:rsid w:val="15ED1850"/>
    <w:rsid w:val="15F3651B"/>
    <w:rsid w:val="15FD1F98"/>
    <w:rsid w:val="15FF04BE"/>
    <w:rsid w:val="16000B5E"/>
    <w:rsid w:val="160254E6"/>
    <w:rsid w:val="16045CAE"/>
    <w:rsid w:val="16051CD2"/>
    <w:rsid w:val="160C6D22"/>
    <w:rsid w:val="160F3223"/>
    <w:rsid w:val="16107D31"/>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8A6F7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3D5C07"/>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21B7B"/>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511B9"/>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54415"/>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71D6D"/>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24807"/>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0A4A78"/>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3633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55C50"/>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40D26"/>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44345"/>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9A0262"/>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6D6A31"/>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40D45"/>
    <w:rsid w:val="38E5276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60379"/>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239D7"/>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A4D4C"/>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B20A4C"/>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92515"/>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3E57"/>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11901"/>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3579"/>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2670"/>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72B42"/>
    <w:rsid w:val="55AC62EA"/>
    <w:rsid w:val="55AD5204"/>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92841"/>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67185"/>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01335"/>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1477C"/>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CD714B"/>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32C64"/>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011E2"/>
    <w:rsid w:val="635A458A"/>
    <w:rsid w:val="63613263"/>
    <w:rsid w:val="63613C87"/>
    <w:rsid w:val="6365641E"/>
    <w:rsid w:val="636962CA"/>
    <w:rsid w:val="636F232A"/>
    <w:rsid w:val="6377708D"/>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2F4A95"/>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1D44"/>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64028"/>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0620F"/>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3F13F7"/>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C0AD9"/>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9F585A"/>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667E6"/>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AF370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520BE"/>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361A3"/>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7C6297"/>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iPriority="0" w:semiHidden="0" w:name="List"/>
    <w:lsdException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0" w:name="HTML Typewriter"/>
    <w:lsdException w:qFormat="1"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1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2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21"/>
    <w:qFormat/>
    <w:uiPriority w:val="0"/>
    <w:pPr>
      <w:keepNext/>
      <w:keepLines/>
      <w:spacing w:before="260" w:after="260" w:line="416" w:lineRule="auto"/>
      <w:outlineLvl w:val="2"/>
    </w:pPr>
    <w:rPr>
      <w:b/>
      <w:bCs/>
      <w:sz w:val="32"/>
      <w:szCs w:val="32"/>
    </w:rPr>
  </w:style>
  <w:style w:type="paragraph" w:styleId="6">
    <w:name w:val="heading 5"/>
    <w:basedOn w:val="1"/>
    <w:next w:val="1"/>
    <w:link w:val="116"/>
    <w:qFormat/>
    <w:uiPriority w:val="0"/>
    <w:pPr>
      <w:keepNext/>
      <w:keepLines/>
      <w:spacing w:before="280" w:after="290" w:line="374" w:lineRule="auto"/>
      <w:outlineLvl w:val="4"/>
    </w:pPr>
    <w:rPr>
      <w:b/>
      <w:bCs/>
      <w:sz w:val="28"/>
      <w:szCs w:val="28"/>
    </w:rPr>
  </w:style>
  <w:style w:type="paragraph" w:styleId="7">
    <w:name w:val="heading 6"/>
    <w:basedOn w:val="1"/>
    <w:next w:val="1"/>
    <w:link w:val="117"/>
    <w:qFormat/>
    <w:uiPriority w:val="0"/>
    <w:pPr>
      <w:keepNext/>
      <w:keepLines/>
      <w:spacing w:before="240" w:after="64" w:line="319" w:lineRule="auto"/>
      <w:outlineLvl w:val="5"/>
    </w:pPr>
    <w:rPr>
      <w:rFonts w:ascii="Arial" w:hAnsi="Arial" w:eastAsia="黑体"/>
      <w:b/>
      <w:bCs/>
    </w:rPr>
  </w:style>
  <w:style w:type="paragraph" w:styleId="8">
    <w:name w:val="heading 7"/>
    <w:basedOn w:val="1"/>
    <w:next w:val="1"/>
    <w:link w:val="118"/>
    <w:qFormat/>
    <w:uiPriority w:val="0"/>
    <w:pPr>
      <w:keepNext/>
      <w:keepLines/>
      <w:spacing w:before="240" w:after="64" w:line="319" w:lineRule="auto"/>
      <w:outlineLvl w:val="6"/>
    </w:pPr>
    <w:rPr>
      <w:b/>
      <w:bCs/>
    </w:r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widowControl w:val="0"/>
      <w:ind w:left="200" w:leftChars="200" w:hanging="200" w:hangingChars="200"/>
      <w:jc w:val="both"/>
    </w:pPr>
    <w:rPr>
      <w:rFonts w:ascii="Times New Roman" w:hAnsi="Times New Roman" w:cs="Times New Roman"/>
      <w:kern w:val="2"/>
      <w:sz w:val="21"/>
      <w:szCs w:val="22"/>
    </w:rPr>
  </w:style>
  <w:style w:type="paragraph" w:styleId="9">
    <w:name w:val="List 3"/>
    <w:basedOn w:val="1"/>
    <w:unhideWhenUsed/>
    <w:qFormat/>
    <w:uiPriority w:val="0"/>
    <w:pPr>
      <w:ind w:left="100" w:leftChars="400" w:hanging="200" w:hangingChars="200"/>
    </w:pPr>
    <w:rPr>
      <w:szCs w:val="20"/>
    </w:rPr>
  </w:style>
  <w:style w:type="paragraph" w:styleId="10">
    <w:name w:val="toc 7"/>
    <w:basedOn w:val="1"/>
    <w:next w:val="1"/>
    <w:unhideWhenUsed/>
    <w:qFormat/>
    <w:uiPriority w:val="0"/>
    <w:pPr>
      <w:ind w:left="1260"/>
    </w:pPr>
    <w:rPr>
      <w:rFonts w:asciiTheme="minorHAnsi" w:hAnsiTheme="minorHAnsi"/>
      <w:sz w:val="18"/>
      <w:szCs w:val="18"/>
    </w:rPr>
  </w:style>
  <w:style w:type="paragraph" w:styleId="11">
    <w:name w:val="Normal Indent"/>
    <w:basedOn w:val="1"/>
    <w:link w:val="194"/>
    <w:unhideWhenUsed/>
    <w:qFormat/>
    <w:uiPriority w:val="0"/>
    <w:pPr>
      <w:spacing w:line="500" w:lineRule="exact"/>
      <w:ind w:firstLine="420"/>
    </w:pPr>
    <w:rPr>
      <w:rFonts w:ascii="Tahoma" w:hAnsi="Tahoma"/>
      <w:sz w:val="28"/>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131"/>
    <w:semiHidden/>
    <w:qFormat/>
    <w:uiPriority w:val="0"/>
    <w:pPr>
      <w:shd w:val="clear" w:color="auto" w:fill="000080"/>
    </w:pPr>
  </w:style>
  <w:style w:type="paragraph" w:styleId="14">
    <w:name w:val="annotation text"/>
    <w:basedOn w:val="1"/>
    <w:link w:val="133"/>
    <w:qFormat/>
    <w:uiPriority w:val="0"/>
  </w:style>
  <w:style w:type="paragraph" w:styleId="15">
    <w:name w:val="Body Text 3"/>
    <w:basedOn w:val="1"/>
    <w:link w:val="171"/>
    <w:unhideWhenUsed/>
    <w:qFormat/>
    <w:uiPriority w:val="0"/>
    <w:pPr>
      <w:jc w:val="center"/>
    </w:pPr>
    <w:rPr>
      <w:spacing w:val="-8"/>
      <w:sz w:val="16"/>
      <w:szCs w:val="20"/>
    </w:rPr>
  </w:style>
  <w:style w:type="paragraph" w:styleId="16">
    <w:name w:val="Body Text"/>
    <w:basedOn w:val="1"/>
    <w:link w:val="125"/>
    <w:qFormat/>
    <w:uiPriority w:val="0"/>
    <w:rPr>
      <w:rFonts w:ascii="仿宋_GB2312" w:eastAsia="仿宋_GB2312"/>
      <w:sz w:val="18"/>
    </w:rPr>
  </w:style>
  <w:style w:type="paragraph" w:styleId="17">
    <w:name w:val="Body Text Indent"/>
    <w:basedOn w:val="1"/>
    <w:link w:val="184"/>
    <w:qFormat/>
    <w:uiPriority w:val="0"/>
    <w:pPr>
      <w:ind w:firstLine="4400" w:firstLineChars="1000"/>
    </w:pPr>
    <w:rPr>
      <w:rFonts w:ascii="仿宋_GB2312" w:eastAsia="仿宋_GB2312"/>
      <w:sz w:val="44"/>
    </w:rPr>
  </w:style>
  <w:style w:type="paragraph" w:styleId="18">
    <w:name w:val="List 2"/>
    <w:basedOn w:val="1"/>
    <w:unhideWhenUsed/>
    <w:qFormat/>
    <w:uiPriority w:val="0"/>
    <w:pPr>
      <w:ind w:left="100" w:leftChars="200" w:hanging="200" w:hangingChars="200"/>
    </w:pPr>
    <w:rPr>
      <w:szCs w:val="20"/>
    </w:rPr>
  </w:style>
  <w:style w:type="paragraph" w:styleId="19">
    <w:name w:val="Block Text"/>
    <w:basedOn w:val="1"/>
    <w:qFormat/>
    <w:uiPriority w:val="0"/>
    <w:pPr>
      <w:ind w:left="-135" w:right="-108"/>
      <w:jc w:val="center"/>
    </w:pPr>
    <w:rPr>
      <w:rFonts w:ascii="仿宋_GB2312" w:eastAsia="仿宋_GB2312"/>
      <w:sz w:val="18"/>
    </w:rPr>
  </w:style>
  <w:style w:type="paragraph" w:styleId="20">
    <w:name w:val="toc 5"/>
    <w:basedOn w:val="1"/>
    <w:next w:val="1"/>
    <w:unhideWhenUsed/>
    <w:qFormat/>
    <w:uiPriority w:val="0"/>
    <w:pPr>
      <w:ind w:left="840"/>
    </w:pPr>
    <w:rPr>
      <w:rFonts w:asciiTheme="minorHAnsi" w:hAnsiTheme="minorHAnsi"/>
      <w:sz w:val="18"/>
      <w:szCs w:val="18"/>
    </w:rPr>
  </w:style>
  <w:style w:type="paragraph" w:styleId="21">
    <w:name w:val="toc 3"/>
    <w:basedOn w:val="1"/>
    <w:next w:val="1"/>
    <w:unhideWhenUsed/>
    <w:qFormat/>
    <w:uiPriority w:val="39"/>
    <w:pPr>
      <w:ind w:left="420"/>
    </w:pPr>
    <w:rPr>
      <w:rFonts w:asciiTheme="minorHAnsi" w:hAnsiTheme="minorHAnsi"/>
      <w:i/>
      <w:iCs/>
      <w:sz w:val="20"/>
      <w:szCs w:val="20"/>
    </w:rPr>
  </w:style>
  <w:style w:type="paragraph" w:styleId="22">
    <w:name w:val="Plain Text"/>
    <w:basedOn w:val="1"/>
    <w:link w:val="126"/>
    <w:qFormat/>
    <w:uiPriority w:val="0"/>
    <w:rPr>
      <w:rFonts w:hAnsi="Courier New"/>
      <w:szCs w:val="20"/>
    </w:rPr>
  </w:style>
  <w:style w:type="paragraph" w:styleId="23">
    <w:name w:val="toc 8"/>
    <w:basedOn w:val="1"/>
    <w:next w:val="1"/>
    <w:unhideWhenUsed/>
    <w:qFormat/>
    <w:uiPriority w:val="0"/>
    <w:pPr>
      <w:ind w:left="1470"/>
    </w:pPr>
    <w:rPr>
      <w:rFonts w:asciiTheme="minorHAnsi" w:hAnsiTheme="minorHAnsi"/>
      <w:sz w:val="18"/>
      <w:szCs w:val="18"/>
    </w:rPr>
  </w:style>
  <w:style w:type="paragraph" w:styleId="24">
    <w:name w:val="Date"/>
    <w:basedOn w:val="1"/>
    <w:next w:val="1"/>
    <w:link w:val="127"/>
    <w:qFormat/>
    <w:uiPriority w:val="0"/>
    <w:rPr>
      <w:szCs w:val="20"/>
    </w:rPr>
  </w:style>
  <w:style w:type="paragraph" w:styleId="25">
    <w:name w:val="Body Text Indent 2"/>
    <w:basedOn w:val="1"/>
    <w:link w:val="123"/>
    <w:qFormat/>
    <w:uiPriority w:val="0"/>
    <w:pPr>
      <w:ind w:left="181" w:leftChars="86" w:firstLine="840" w:firstLineChars="300"/>
    </w:pPr>
    <w:rPr>
      <w:rFonts w:ascii="仿宋_GB2312" w:eastAsia="仿宋_GB2312"/>
      <w:sz w:val="28"/>
    </w:rPr>
  </w:style>
  <w:style w:type="paragraph" w:styleId="26">
    <w:name w:val="Balloon Text"/>
    <w:basedOn w:val="1"/>
    <w:link w:val="132"/>
    <w:qFormat/>
    <w:uiPriority w:val="0"/>
    <w:rPr>
      <w:sz w:val="18"/>
      <w:szCs w:val="18"/>
    </w:rPr>
  </w:style>
  <w:style w:type="paragraph" w:styleId="27">
    <w:name w:val="footer"/>
    <w:basedOn w:val="1"/>
    <w:link w:val="124"/>
    <w:qFormat/>
    <w:uiPriority w:val="99"/>
    <w:pPr>
      <w:tabs>
        <w:tab w:val="center" w:pos="4153"/>
        <w:tab w:val="right" w:pos="8306"/>
      </w:tabs>
      <w:snapToGrid w:val="0"/>
    </w:pPr>
    <w:rPr>
      <w:sz w:val="18"/>
    </w:rPr>
  </w:style>
  <w:style w:type="paragraph" w:styleId="28">
    <w:name w:val="header"/>
    <w:basedOn w:val="1"/>
    <w:link w:val="128"/>
    <w:qFormat/>
    <w:uiPriority w:val="0"/>
    <w:pPr>
      <w:pBdr>
        <w:bottom w:val="single" w:color="auto" w:sz="6" w:space="1"/>
      </w:pBdr>
      <w:tabs>
        <w:tab w:val="center" w:pos="4153"/>
        <w:tab w:val="right" w:pos="8306"/>
      </w:tabs>
      <w:snapToGrid w:val="0"/>
      <w:jc w:val="center"/>
    </w:pPr>
    <w:rPr>
      <w:sz w:val="18"/>
      <w:szCs w:val="20"/>
    </w:rPr>
  </w:style>
  <w:style w:type="paragraph" w:styleId="29">
    <w:name w:val="toc 1"/>
    <w:basedOn w:val="1"/>
    <w:next w:val="1"/>
    <w:qFormat/>
    <w:uiPriority w:val="39"/>
    <w:pPr>
      <w:spacing w:before="120" w:after="120"/>
    </w:pPr>
    <w:rPr>
      <w:rFonts w:asciiTheme="minorHAnsi" w:hAnsiTheme="minorHAnsi"/>
      <w:b/>
      <w:bCs/>
      <w:caps/>
      <w:sz w:val="20"/>
      <w:szCs w:val="20"/>
    </w:rPr>
  </w:style>
  <w:style w:type="paragraph" w:styleId="30">
    <w:name w:val="toc 4"/>
    <w:basedOn w:val="1"/>
    <w:next w:val="1"/>
    <w:unhideWhenUsed/>
    <w:qFormat/>
    <w:uiPriority w:val="0"/>
    <w:pPr>
      <w:ind w:left="630"/>
    </w:pPr>
    <w:rPr>
      <w:rFonts w:asciiTheme="minorHAnsi" w:hAnsiTheme="minorHAnsi"/>
      <w:sz w:val="18"/>
      <w:szCs w:val="18"/>
    </w:rPr>
  </w:style>
  <w:style w:type="paragraph" w:styleId="31">
    <w:name w:val="Subtitle"/>
    <w:basedOn w:val="1"/>
    <w:next w:val="1"/>
    <w:link w:val="164"/>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unhideWhenUsed/>
    <w:qFormat/>
    <w:uiPriority w:val="0"/>
    <w:pPr>
      <w:ind w:left="200" w:hanging="200" w:hangingChars="200"/>
    </w:pPr>
    <w:rPr>
      <w:szCs w:val="20"/>
    </w:rPr>
  </w:style>
  <w:style w:type="paragraph" w:styleId="33">
    <w:name w:val="toc 6"/>
    <w:basedOn w:val="1"/>
    <w:next w:val="1"/>
    <w:unhideWhenUsed/>
    <w:qFormat/>
    <w:uiPriority w:val="0"/>
    <w:pPr>
      <w:ind w:left="1050"/>
    </w:pPr>
    <w:rPr>
      <w:rFonts w:asciiTheme="minorHAnsi" w:hAnsiTheme="minorHAnsi"/>
      <w:sz w:val="18"/>
      <w:szCs w:val="18"/>
    </w:rPr>
  </w:style>
  <w:style w:type="paragraph" w:styleId="34">
    <w:name w:val="Body Text Indent 3"/>
    <w:basedOn w:val="1"/>
    <w:link w:val="129"/>
    <w:qFormat/>
    <w:uiPriority w:val="0"/>
    <w:pPr>
      <w:tabs>
        <w:tab w:val="left" w:pos="180"/>
      </w:tabs>
      <w:ind w:firstLine="538"/>
    </w:pPr>
    <w:rPr>
      <w:rFonts w:ascii="仿宋_GB2312" w:eastAsia="仿宋_GB2312"/>
      <w:sz w:val="28"/>
    </w:rPr>
  </w:style>
  <w:style w:type="paragraph" w:styleId="35">
    <w:name w:val="index 9"/>
    <w:basedOn w:val="1"/>
    <w:next w:val="1"/>
    <w:semiHidden/>
    <w:qFormat/>
    <w:uiPriority w:val="0"/>
    <w:pPr>
      <w:ind w:left="1600" w:leftChars="1600"/>
    </w:pPr>
    <w:rPr>
      <w:szCs w:val="20"/>
    </w:rPr>
  </w:style>
  <w:style w:type="paragraph" w:styleId="36">
    <w:name w:val="toc 2"/>
    <w:basedOn w:val="1"/>
    <w:next w:val="1"/>
    <w:qFormat/>
    <w:uiPriority w:val="39"/>
    <w:pPr>
      <w:ind w:left="210"/>
    </w:pPr>
    <w:rPr>
      <w:rFonts w:asciiTheme="minorHAnsi" w:hAnsiTheme="minorHAnsi"/>
      <w:smallCaps/>
      <w:sz w:val="20"/>
      <w:szCs w:val="20"/>
    </w:rPr>
  </w:style>
  <w:style w:type="paragraph" w:styleId="37">
    <w:name w:val="toc 9"/>
    <w:basedOn w:val="1"/>
    <w:next w:val="1"/>
    <w:unhideWhenUsed/>
    <w:qFormat/>
    <w:uiPriority w:val="0"/>
    <w:pPr>
      <w:ind w:left="1680"/>
    </w:pPr>
    <w:rPr>
      <w:rFonts w:asciiTheme="minorHAnsi" w:hAnsiTheme="minorHAnsi"/>
      <w:sz w:val="18"/>
      <w:szCs w:val="18"/>
    </w:rPr>
  </w:style>
  <w:style w:type="paragraph" w:styleId="38">
    <w:name w:val="Body Text 2"/>
    <w:basedOn w:val="1"/>
    <w:link w:val="130"/>
    <w:qFormat/>
    <w:uiPriority w:val="0"/>
    <w:rPr>
      <w:rFonts w:ascii="仿宋_GB2312"/>
      <w:sz w:val="20"/>
    </w:rPr>
  </w:style>
  <w:style w:type="paragraph" w:styleId="39">
    <w:name w:val="HTML Preformatted"/>
    <w:basedOn w:val="1"/>
    <w:link w:val="192"/>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40">
    <w:name w:val="Normal (Web)"/>
    <w:basedOn w:val="1"/>
    <w:qFormat/>
    <w:uiPriority w:val="99"/>
    <w:pPr>
      <w:spacing w:before="100" w:beforeAutospacing="1" w:after="100" w:afterAutospacing="1"/>
    </w:pPr>
    <w:rPr>
      <w:rFonts w:hint="eastAsia"/>
    </w:rPr>
  </w:style>
  <w:style w:type="paragraph" w:styleId="41">
    <w:name w:val="index 1"/>
    <w:basedOn w:val="1"/>
    <w:next w:val="1"/>
    <w:semiHidden/>
    <w:qFormat/>
    <w:uiPriority w:val="0"/>
    <w:rPr>
      <w:szCs w:val="20"/>
    </w:rPr>
  </w:style>
  <w:style w:type="paragraph" w:styleId="42">
    <w:name w:val="Title"/>
    <w:basedOn w:val="1"/>
    <w:next w:val="1"/>
    <w:link w:val="163"/>
    <w:qFormat/>
    <w:uiPriority w:val="0"/>
    <w:pPr>
      <w:spacing w:before="240" w:after="60"/>
      <w:jc w:val="center"/>
      <w:outlineLvl w:val="0"/>
    </w:pPr>
    <w:rPr>
      <w:rFonts w:ascii="Cambria" w:hAnsi="Cambria"/>
      <w:b/>
      <w:bCs/>
      <w:sz w:val="32"/>
      <w:szCs w:val="32"/>
    </w:rPr>
  </w:style>
  <w:style w:type="paragraph" w:styleId="43">
    <w:name w:val="annotation subject"/>
    <w:basedOn w:val="14"/>
    <w:next w:val="14"/>
    <w:link w:val="134"/>
    <w:semiHidden/>
    <w:qFormat/>
    <w:uiPriority w:val="0"/>
    <w:rPr>
      <w:b/>
      <w:bCs/>
    </w:rPr>
  </w:style>
  <w:style w:type="paragraph" w:styleId="44">
    <w:name w:val="Body Text First Indent"/>
    <w:basedOn w:val="16"/>
    <w:link w:val="135"/>
    <w:qFormat/>
    <w:uiPriority w:val="0"/>
    <w:pPr>
      <w:spacing w:after="120"/>
      <w:ind w:firstLine="420" w:firstLineChars="100"/>
    </w:pPr>
    <w:rPr>
      <w:rFonts w:ascii="Times New Roman" w:eastAsia="宋体"/>
      <w:sz w:val="21"/>
    </w:rPr>
  </w:style>
  <w:style w:type="paragraph" w:styleId="45">
    <w:name w:val="Body Text First Indent 2"/>
    <w:basedOn w:val="17"/>
    <w:link w:val="183"/>
    <w:unhideWhenUsed/>
    <w:qFormat/>
    <w:uiPriority w:val="0"/>
    <w:pPr>
      <w:spacing w:after="120"/>
      <w:ind w:left="420" w:firstLine="210" w:firstLineChars="0"/>
    </w:pPr>
    <w:rPr>
      <w:sz w:val="21"/>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Theme"/>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color w:val="D14836"/>
    </w:rPr>
  </w:style>
  <w:style w:type="character" w:styleId="54">
    <w:name w:val="HTML Definition"/>
    <w:unhideWhenUsed/>
    <w:qFormat/>
    <w:uiPriority w:val="0"/>
    <w:rPr>
      <w:rFonts w:hint="default" w:ascii="Tahoma" w:hAnsi="Tahoma" w:cs="Times New Roman"/>
      <w:sz w:val="24"/>
      <w:szCs w:val="20"/>
    </w:rPr>
  </w:style>
  <w:style w:type="character" w:styleId="55">
    <w:name w:val="HTML Variable"/>
    <w:unhideWhenUsed/>
    <w:qFormat/>
    <w:uiPriority w:val="0"/>
    <w:rPr>
      <w:rFonts w:hint="default" w:ascii="Tahoma" w:hAnsi="Tahoma" w:cs="Times New Roman"/>
      <w:sz w:val="24"/>
      <w:szCs w:val="20"/>
    </w:rPr>
  </w:style>
  <w:style w:type="character" w:styleId="56">
    <w:name w:val="Hyperlink"/>
    <w:qFormat/>
    <w:uiPriority w:val="99"/>
    <w:rPr>
      <w:color w:val="000000"/>
      <w:u w:val="none"/>
    </w:rPr>
  </w:style>
  <w:style w:type="character" w:styleId="57">
    <w:name w:val="HTML Code"/>
    <w:unhideWhenUsed/>
    <w:qFormat/>
    <w:uiPriority w:val="0"/>
    <w:rPr>
      <w:rFonts w:hint="default" w:ascii="Courier New" w:hAnsi="Courier New" w:eastAsia="Times New Roman" w:cs="Courier New"/>
      <w:sz w:val="24"/>
      <w:szCs w:val="24"/>
    </w:rPr>
  </w:style>
  <w:style w:type="character" w:styleId="58">
    <w:name w:val="annotation reference"/>
    <w:qFormat/>
    <w:uiPriority w:val="0"/>
    <w:rPr>
      <w:sz w:val="21"/>
      <w:szCs w:val="21"/>
    </w:rPr>
  </w:style>
  <w:style w:type="character" w:styleId="59">
    <w:name w:val="HTML Cite"/>
    <w:unhideWhenUsed/>
    <w:qFormat/>
    <w:uiPriority w:val="0"/>
    <w:rPr>
      <w:rFonts w:hint="default" w:ascii="Tahoma" w:hAnsi="Tahoma" w:cs="Times New Roman"/>
      <w:sz w:val="24"/>
      <w:szCs w:val="20"/>
    </w:rPr>
  </w:style>
  <w:style w:type="character" w:styleId="60">
    <w:name w:val="HTML Keyboard"/>
    <w:unhideWhenUsed/>
    <w:qFormat/>
    <w:uiPriority w:val="0"/>
    <w:rPr>
      <w:rFonts w:hint="default" w:ascii="Courier New" w:hAnsi="Courier New" w:eastAsia="Times New Roman" w:cs="Courier New"/>
      <w:sz w:val="24"/>
      <w:szCs w:val="24"/>
    </w:rPr>
  </w:style>
  <w:style w:type="character" w:styleId="61">
    <w:name w:val="HTML Sample"/>
    <w:unhideWhenUsed/>
    <w:qFormat/>
    <w:uiPriority w:val="0"/>
    <w:rPr>
      <w:rFonts w:hint="default" w:ascii="Courier New" w:hAnsi="Courier New" w:eastAsia="Times New Roman" w:cs="Courier New"/>
      <w:sz w:val="24"/>
      <w:szCs w:val="20"/>
    </w:rPr>
  </w:style>
  <w:style w:type="character" w:customStyle="1" w:styleId="62">
    <w:name w:val="getmessage6"/>
    <w:qFormat/>
    <w:uiPriority w:val="0"/>
    <w:rPr>
      <w:color w:val="3D3D3D"/>
    </w:rPr>
  </w:style>
  <w:style w:type="character" w:customStyle="1" w:styleId="63">
    <w:name w:val="getmessage10"/>
    <w:basedOn w:val="49"/>
    <w:qFormat/>
    <w:uiPriority w:val="0"/>
  </w:style>
  <w:style w:type="character" w:customStyle="1" w:styleId="64">
    <w:name w:val="getmessage11"/>
    <w:qFormat/>
    <w:uiPriority w:val="0"/>
    <w:rPr>
      <w:color w:val="326B1E"/>
    </w:rPr>
  </w:style>
  <w:style w:type="character" w:customStyle="1" w:styleId="65">
    <w:name w:val="hover"/>
    <w:basedOn w:val="49"/>
    <w:qFormat/>
    <w:uiPriority w:val="0"/>
  </w:style>
  <w:style w:type="character" w:customStyle="1" w:styleId="66">
    <w:name w:val="getmessage"/>
    <w:qFormat/>
    <w:uiPriority w:val="0"/>
    <w:rPr>
      <w:color w:val="326B1E"/>
    </w:rPr>
  </w:style>
  <w:style w:type="character" w:customStyle="1" w:styleId="67">
    <w:name w:val="getmessage3"/>
    <w:qFormat/>
    <w:uiPriority w:val="0"/>
    <w:rPr>
      <w:color w:val="231E1E"/>
    </w:rPr>
  </w:style>
  <w:style w:type="character" w:customStyle="1" w:styleId="68">
    <w:name w:val="apple-converted-space"/>
    <w:basedOn w:val="49"/>
    <w:qFormat/>
    <w:uiPriority w:val="0"/>
  </w:style>
  <w:style w:type="character" w:customStyle="1" w:styleId="69">
    <w:name w:val="font01"/>
    <w:qFormat/>
    <w:uiPriority w:val="0"/>
    <w:rPr>
      <w:rFonts w:hint="eastAsia" w:ascii="宋体" w:hAnsi="宋体" w:eastAsia="宋体"/>
      <w:color w:val="000000"/>
      <w:sz w:val="18"/>
      <w:szCs w:val="18"/>
      <w:u w:val="none"/>
    </w:rPr>
  </w:style>
  <w:style w:type="character" w:customStyle="1" w:styleId="70">
    <w:name w:val="getmessage4"/>
    <w:basedOn w:val="49"/>
    <w:qFormat/>
    <w:uiPriority w:val="0"/>
  </w:style>
  <w:style w:type="character" w:customStyle="1" w:styleId="71">
    <w:name w:val="font21"/>
    <w:qFormat/>
    <w:uiPriority w:val="0"/>
    <w:rPr>
      <w:rFonts w:hint="eastAsia" w:ascii="宋体" w:hAnsi="宋体" w:eastAsia="宋体" w:cs="宋体"/>
      <w:color w:val="000000"/>
      <w:sz w:val="18"/>
      <w:szCs w:val="18"/>
      <w:u w:val="none"/>
    </w:rPr>
  </w:style>
  <w:style w:type="character" w:customStyle="1" w:styleId="72">
    <w:name w:val="gray"/>
    <w:basedOn w:val="49"/>
    <w:qFormat/>
    <w:uiPriority w:val="0"/>
  </w:style>
  <w:style w:type="character" w:customStyle="1" w:styleId="73">
    <w:name w:val="getmessage9"/>
    <w:basedOn w:val="49"/>
    <w:qFormat/>
    <w:uiPriority w:val="0"/>
  </w:style>
  <w:style w:type="character" w:customStyle="1" w:styleId="74">
    <w:name w:val="getmessage5"/>
    <w:qFormat/>
    <w:uiPriority w:val="0"/>
    <w:rPr>
      <w:color w:val="3D3D3D"/>
    </w:rPr>
  </w:style>
  <w:style w:type="character" w:customStyle="1" w:styleId="75">
    <w:name w:val="focus-area"/>
    <w:qFormat/>
    <w:uiPriority w:val="0"/>
    <w:rPr>
      <w:rFonts w:ascii="微软雅黑" w:hAnsi="微软雅黑" w:eastAsia="微软雅黑" w:cs="微软雅黑"/>
      <w:color w:val="FFFFFF"/>
      <w:sz w:val="25"/>
      <w:szCs w:val="25"/>
    </w:rPr>
  </w:style>
  <w:style w:type="character" w:customStyle="1" w:styleId="76">
    <w:name w:val="getmessage12"/>
    <w:qFormat/>
    <w:uiPriority w:val="0"/>
    <w:rPr>
      <w:color w:val="326B1E"/>
    </w:rPr>
  </w:style>
  <w:style w:type="character" w:customStyle="1" w:styleId="77">
    <w:name w:val="getmessage1"/>
    <w:qFormat/>
    <w:uiPriority w:val="0"/>
    <w:rPr>
      <w:color w:val="FFFFFF"/>
    </w:rPr>
  </w:style>
  <w:style w:type="character" w:customStyle="1" w:styleId="78">
    <w:name w:val="样式7 Char"/>
    <w:link w:val="79"/>
    <w:qFormat/>
    <w:uiPriority w:val="0"/>
    <w:rPr>
      <w:rFonts w:ascii="仿宋_GB2312" w:eastAsia="仿宋_GB2312"/>
      <w:kern w:val="2"/>
      <w:sz w:val="28"/>
      <w:lang w:val="en-US" w:eastAsia="zh-CN" w:bidi="ar-SA"/>
    </w:rPr>
  </w:style>
  <w:style w:type="paragraph" w:customStyle="1" w:styleId="79">
    <w:name w:val="样式7"/>
    <w:basedOn w:val="1"/>
    <w:link w:val="78"/>
    <w:qFormat/>
    <w:uiPriority w:val="0"/>
    <w:pPr>
      <w:spacing w:line="360" w:lineRule="auto"/>
      <w:ind w:firstLine="567"/>
    </w:pPr>
    <w:rPr>
      <w:rFonts w:ascii="仿宋_GB2312" w:eastAsia="仿宋_GB2312"/>
      <w:sz w:val="28"/>
      <w:szCs w:val="20"/>
    </w:rPr>
  </w:style>
  <w:style w:type="character" w:customStyle="1" w:styleId="80">
    <w:name w:val="getmessage2"/>
    <w:qFormat/>
    <w:uiPriority w:val="0"/>
    <w:rPr>
      <w:color w:val="000000"/>
      <w:sz w:val="27"/>
      <w:szCs w:val="27"/>
    </w:rPr>
  </w:style>
  <w:style w:type="character" w:customStyle="1" w:styleId="81">
    <w:name w:val="getmessage7"/>
    <w:basedOn w:val="49"/>
    <w:qFormat/>
    <w:uiPriority w:val="0"/>
  </w:style>
  <w:style w:type="character" w:customStyle="1" w:styleId="82">
    <w:name w:val="getmessage8"/>
    <w:basedOn w:val="49"/>
    <w:qFormat/>
    <w:uiPriority w:val="0"/>
  </w:style>
  <w:style w:type="paragraph" w:customStyle="1" w:styleId="83">
    <w:name w:val="xl2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84">
    <w:name w:val="xl3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85">
    <w:name w:val="Char Char2"/>
    <w:basedOn w:val="1"/>
    <w:qFormat/>
    <w:uiPriority w:val="0"/>
  </w:style>
  <w:style w:type="paragraph" w:customStyle="1" w:styleId="86">
    <w:name w:val="font9"/>
    <w:basedOn w:val="1"/>
    <w:qFormat/>
    <w:uiPriority w:val="0"/>
    <w:pPr>
      <w:spacing w:before="100" w:beforeAutospacing="1" w:after="100" w:afterAutospacing="1"/>
    </w:pPr>
    <w:rPr>
      <w:rFonts w:hint="eastAsia" w:cs="Arial Unicode MS"/>
      <w:sz w:val="16"/>
      <w:szCs w:val="16"/>
    </w:rPr>
  </w:style>
  <w:style w:type="paragraph" w:customStyle="1" w:styleId="87">
    <w:name w:val="xl3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88">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9">
    <w:name w:val="xl2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90">
    <w:name w:val="xl35"/>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91">
    <w:name w:val="xl37"/>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92">
    <w:name w:val="Char"/>
    <w:basedOn w:val="1"/>
    <w:qFormat/>
    <w:uiPriority w:val="0"/>
    <w:rPr>
      <w:rFonts w:ascii="Tahoma" w:hAnsi="Tahoma"/>
      <w:szCs w:val="20"/>
    </w:rPr>
  </w:style>
  <w:style w:type="paragraph" w:customStyle="1" w:styleId="93">
    <w:name w:val="xl36"/>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94">
    <w:name w:val="Char Char3"/>
    <w:basedOn w:val="1"/>
    <w:qFormat/>
    <w:uiPriority w:val="0"/>
    <w:rPr>
      <w:rFonts w:ascii="Tahoma" w:hAnsi="Tahoma"/>
      <w:szCs w:val="20"/>
    </w:rPr>
  </w:style>
  <w:style w:type="paragraph" w:customStyle="1" w:styleId="95">
    <w:name w:val="font1"/>
    <w:basedOn w:val="1"/>
    <w:qFormat/>
    <w:uiPriority w:val="0"/>
    <w:pPr>
      <w:spacing w:before="100" w:beforeAutospacing="1" w:after="100" w:afterAutospacing="1"/>
    </w:pPr>
    <w:rPr>
      <w:rFonts w:hint="eastAsia" w:cs="Arial Unicode MS"/>
      <w:b/>
      <w:bCs/>
    </w:rPr>
  </w:style>
  <w:style w:type="paragraph" w:customStyle="1" w:styleId="96">
    <w:name w:val="1"/>
    <w:basedOn w:val="1"/>
    <w:qFormat/>
    <w:uiPriority w:val="0"/>
    <w:pPr>
      <w:spacing w:line="360" w:lineRule="auto"/>
      <w:ind w:firstLine="551" w:firstLineChars="196"/>
    </w:pPr>
    <w:rPr>
      <w:b/>
      <w:sz w:val="28"/>
      <w:szCs w:val="28"/>
    </w:rPr>
  </w:style>
  <w:style w:type="paragraph" w:customStyle="1" w:styleId="97">
    <w:name w:val="xl3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98">
    <w:name w:val="font5"/>
    <w:basedOn w:val="1"/>
    <w:qFormat/>
    <w:uiPriority w:val="0"/>
    <w:pPr>
      <w:spacing w:before="100" w:beforeAutospacing="1" w:after="100" w:afterAutospacing="1"/>
    </w:pPr>
    <w:rPr>
      <w:rFonts w:hint="eastAsia" w:cs="Arial Unicode MS"/>
      <w:sz w:val="18"/>
      <w:szCs w:val="18"/>
    </w:rPr>
  </w:style>
  <w:style w:type="paragraph" w:customStyle="1" w:styleId="99">
    <w:name w:val="xl2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00">
    <w:name w:val="xl3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01">
    <w:name w:val="font10"/>
    <w:basedOn w:val="1"/>
    <w:qFormat/>
    <w:uiPriority w:val="0"/>
    <w:pPr>
      <w:spacing w:before="100" w:beforeAutospacing="1" w:after="100" w:afterAutospacing="1"/>
    </w:pPr>
    <w:rPr>
      <w:rFonts w:eastAsia="Arial Unicode MS"/>
      <w:color w:val="000000"/>
      <w:sz w:val="18"/>
      <w:szCs w:val="18"/>
    </w:rPr>
  </w:style>
  <w:style w:type="paragraph" w:customStyle="1" w:styleId="102">
    <w:name w:val="正文文本缩进 21"/>
    <w:basedOn w:val="1"/>
    <w:qFormat/>
    <w:uiPriority w:val="0"/>
    <w:pPr>
      <w:adjustRightInd w:val="0"/>
      <w:spacing w:line="300" w:lineRule="atLeast"/>
      <w:ind w:firstLine="540"/>
      <w:textAlignment w:val="baseline"/>
    </w:pPr>
    <w:rPr>
      <w:sz w:val="28"/>
      <w:szCs w:val="20"/>
    </w:rPr>
  </w:style>
  <w:style w:type="paragraph" w:customStyle="1" w:styleId="103">
    <w:name w:val="font11"/>
    <w:basedOn w:val="1"/>
    <w:qFormat/>
    <w:uiPriority w:val="0"/>
    <w:pPr>
      <w:spacing w:before="100" w:beforeAutospacing="1" w:after="100" w:afterAutospacing="1"/>
    </w:pPr>
    <w:rPr>
      <w:rFonts w:eastAsia="Arial Unicode MS"/>
      <w:sz w:val="16"/>
      <w:szCs w:val="16"/>
    </w:rPr>
  </w:style>
  <w:style w:type="paragraph" w:customStyle="1" w:styleId="104">
    <w:name w:val="xl28"/>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05">
    <w:name w:val="xl3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06">
    <w:name w:val="font6"/>
    <w:basedOn w:val="1"/>
    <w:qFormat/>
    <w:uiPriority w:val="0"/>
    <w:pPr>
      <w:spacing w:before="100" w:beforeAutospacing="1" w:after="100" w:afterAutospacing="1"/>
    </w:pPr>
    <w:rPr>
      <w:rFonts w:eastAsia="Arial Unicode MS"/>
      <w:sz w:val="18"/>
      <w:szCs w:val="18"/>
    </w:rPr>
  </w:style>
  <w:style w:type="paragraph" w:customStyle="1" w:styleId="107">
    <w:name w:val="Char Char"/>
    <w:basedOn w:val="1"/>
    <w:qFormat/>
    <w:uiPriority w:val="0"/>
    <w:rPr>
      <w:rFonts w:ascii="Tahoma" w:hAnsi="Tahoma"/>
      <w:szCs w:val="20"/>
    </w:rPr>
  </w:style>
  <w:style w:type="paragraph" w:customStyle="1" w:styleId="108">
    <w:name w:val="font8"/>
    <w:basedOn w:val="1"/>
    <w:qFormat/>
    <w:uiPriority w:val="0"/>
    <w:pPr>
      <w:spacing w:before="100" w:beforeAutospacing="1" w:after="100" w:afterAutospacing="1"/>
    </w:pPr>
    <w:rPr>
      <w:rFonts w:hint="eastAsia" w:cs="Arial Unicode MS"/>
      <w:sz w:val="16"/>
      <w:szCs w:val="16"/>
    </w:rPr>
  </w:style>
  <w:style w:type="paragraph" w:customStyle="1" w:styleId="109">
    <w:name w:val="xl39"/>
    <w:basedOn w:val="1"/>
    <w:qFormat/>
    <w:uiPriority w:val="0"/>
    <w:pPr>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10">
    <w:name w:val="xl2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11">
    <w:name w:val="font7"/>
    <w:basedOn w:val="1"/>
    <w:qFormat/>
    <w:uiPriority w:val="0"/>
    <w:pPr>
      <w:spacing w:before="100" w:beforeAutospacing="1" w:after="100" w:afterAutospacing="1"/>
    </w:pPr>
    <w:rPr>
      <w:rFonts w:hint="eastAsia" w:cs="Arial Unicode MS"/>
      <w:color w:val="000000"/>
      <w:sz w:val="18"/>
      <w:szCs w:val="18"/>
    </w:rPr>
  </w:style>
  <w:style w:type="paragraph" w:customStyle="1" w:styleId="112">
    <w:name w:val="Char1"/>
    <w:basedOn w:val="1"/>
    <w:qFormat/>
    <w:uiPriority w:val="0"/>
    <w:pPr>
      <w:spacing w:line="360" w:lineRule="auto"/>
      <w:ind w:firstLine="551" w:firstLineChars="196"/>
    </w:pPr>
    <w:rPr>
      <w:b/>
      <w:sz w:val="28"/>
      <w:szCs w:val="28"/>
    </w:rPr>
  </w:style>
  <w:style w:type="paragraph" w:customStyle="1" w:styleId="113">
    <w:name w:val="Char Char8"/>
    <w:basedOn w:val="1"/>
    <w:qFormat/>
    <w:uiPriority w:val="0"/>
    <w:rPr>
      <w:szCs w:val="20"/>
    </w:rPr>
  </w:style>
  <w:style w:type="paragraph" w:customStyle="1" w:styleId="114">
    <w:name w:val="xl3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15">
    <w:name w:val="xl2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character" w:customStyle="1" w:styleId="116">
    <w:name w:val="标题 5 字符"/>
    <w:link w:val="6"/>
    <w:qFormat/>
    <w:uiPriority w:val="0"/>
    <w:rPr>
      <w:b/>
      <w:bCs/>
      <w:kern w:val="2"/>
      <w:sz w:val="28"/>
      <w:szCs w:val="28"/>
    </w:rPr>
  </w:style>
  <w:style w:type="character" w:customStyle="1" w:styleId="117">
    <w:name w:val="标题 6 字符"/>
    <w:link w:val="7"/>
    <w:qFormat/>
    <w:uiPriority w:val="0"/>
    <w:rPr>
      <w:rFonts w:ascii="Arial" w:hAnsi="Arial" w:eastAsia="黑体"/>
      <w:b/>
      <w:bCs/>
      <w:kern w:val="2"/>
      <w:sz w:val="24"/>
      <w:szCs w:val="24"/>
    </w:rPr>
  </w:style>
  <w:style w:type="character" w:customStyle="1" w:styleId="118">
    <w:name w:val="标题 7 字符"/>
    <w:link w:val="8"/>
    <w:qFormat/>
    <w:uiPriority w:val="0"/>
    <w:rPr>
      <w:b/>
      <w:bCs/>
      <w:kern w:val="2"/>
      <w:sz w:val="24"/>
      <w:szCs w:val="24"/>
    </w:rPr>
  </w:style>
  <w:style w:type="character" w:customStyle="1" w:styleId="119">
    <w:name w:val="标题 1 字符"/>
    <w:link w:val="3"/>
    <w:qFormat/>
    <w:uiPriority w:val="0"/>
    <w:rPr>
      <w:b/>
      <w:bCs/>
      <w:kern w:val="44"/>
      <w:sz w:val="44"/>
      <w:szCs w:val="44"/>
    </w:rPr>
  </w:style>
  <w:style w:type="character" w:customStyle="1" w:styleId="120">
    <w:name w:val="标题 2 字符"/>
    <w:link w:val="4"/>
    <w:qFormat/>
    <w:uiPriority w:val="0"/>
    <w:rPr>
      <w:rFonts w:ascii="Arial" w:hAnsi="Arial" w:eastAsia="黑体"/>
      <w:b/>
      <w:bCs/>
      <w:kern w:val="2"/>
      <w:sz w:val="32"/>
      <w:szCs w:val="32"/>
    </w:rPr>
  </w:style>
  <w:style w:type="character" w:customStyle="1" w:styleId="121">
    <w:name w:val="标题 3 字符"/>
    <w:link w:val="5"/>
    <w:qFormat/>
    <w:uiPriority w:val="0"/>
    <w:rPr>
      <w:b/>
      <w:bCs/>
      <w:kern w:val="2"/>
      <w:sz w:val="32"/>
      <w:szCs w:val="32"/>
    </w:rPr>
  </w:style>
  <w:style w:type="character" w:customStyle="1" w:styleId="122">
    <w:name w:val="正文文本缩进 Char2"/>
    <w:qFormat/>
    <w:uiPriority w:val="0"/>
    <w:rPr>
      <w:rFonts w:ascii="仿宋_GB2312" w:eastAsia="仿宋_GB2312"/>
      <w:kern w:val="2"/>
      <w:sz w:val="44"/>
      <w:szCs w:val="24"/>
    </w:rPr>
  </w:style>
  <w:style w:type="character" w:customStyle="1" w:styleId="123">
    <w:name w:val="正文文本缩进 2 字符"/>
    <w:link w:val="25"/>
    <w:qFormat/>
    <w:uiPriority w:val="0"/>
    <w:rPr>
      <w:rFonts w:ascii="仿宋_GB2312" w:eastAsia="仿宋_GB2312"/>
      <w:kern w:val="2"/>
      <w:sz w:val="28"/>
      <w:szCs w:val="24"/>
    </w:rPr>
  </w:style>
  <w:style w:type="character" w:customStyle="1" w:styleId="124">
    <w:name w:val="页脚 字符"/>
    <w:link w:val="27"/>
    <w:qFormat/>
    <w:uiPriority w:val="99"/>
    <w:rPr>
      <w:kern w:val="2"/>
      <w:sz w:val="18"/>
      <w:szCs w:val="24"/>
    </w:rPr>
  </w:style>
  <w:style w:type="character" w:customStyle="1" w:styleId="125">
    <w:name w:val="正文文本 字符"/>
    <w:link w:val="16"/>
    <w:qFormat/>
    <w:uiPriority w:val="0"/>
    <w:rPr>
      <w:rFonts w:ascii="仿宋_GB2312" w:eastAsia="仿宋_GB2312"/>
      <w:kern w:val="2"/>
      <w:sz w:val="18"/>
      <w:szCs w:val="24"/>
    </w:rPr>
  </w:style>
  <w:style w:type="character" w:customStyle="1" w:styleId="126">
    <w:name w:val="纯文本 字符"/>
    <w:link w:val="22"/>
    <w:qFormat/>
    <w:uiPriority w:val="0"/>
    <w:rPr>
      <w:rFonts w:ascii="宋体" w:hAnsi="Courier New"/>
      <w:kern w:val="2"/>
      <w:sz w:val="21"/>
    </w:rPr>
  </w:style>
  <w:style w:type="character" w:customStyle="1" w:styleId="127">
    <w:name w:val="日期 字符"/>
    <w:link w:val="24"/>
    <w:qFormat/>
    <w:uiPriority w:val="0"/>
    <w:rPr>
      <w:kern w:val="2"/>
      <w:sz w:val="24"/>
    </w:rPr>
  </w:style>
  <w:style w:type="character" w:customStyle="1" w:styleId="128">
    <w:name w:val="页眉 字符"/>
    <w:link w:val="28"/>
    <w:qFormat/>
    <w:uiPriority w:val="0"/>
    <w:rPr>
      <w:kern w:val="2"/>
      <w:sz w:val="18"/>
    </w:rPr>
  </w:style>
  <w:style w:type="character" w:customStyle="1" w:styleId="129">
    <w:name w:val="正文文本缩进 3 字符"/>
    <w:link w:val="34"/>
    <w:qFormat/>
    <w:uiPriority w:val="0"/>
    <w:rPr>
      <w:rFonts w:ascii="仿宋_GB2312" w:eastAsia="仿宋_GB2312"/>
      <w:kern w:val="2"/>
      <w:sz w:val="28"/>
      <w:szCs w:val="24"/>
    </w:rPr>
  </w:style>
  <w:style w:type="character" w:customStyle="1" w:styleId="130">
    <w:name w:val="正文文本 2 字符"/>
    <w:link w:val="38"/>
    <w:qFormat/>
    <w:uiPriority w:val="0"/>
    <w:rPr>
      <w:rFonts w:ascii="仿宋_GB2312"/>
      <w:kern w:val="2"/>
      <w:szCs w:val="24"/>
    </w:rPr>
  </w:style>
  <w:style w:type="character" w:customStyle="1" w:styleId="131">
    <w:name w:val="文档结构图 字符"/>
    <w:link w:val="13"/>
    <w:semiHidden/>
    <w:qFormat/>
    <w:uiPriority w:val="0"/>
    <w:rPr>
      <w:kern w:val="2"/>
      <w:sz w:val="21"/>
      <w:szCs w:val="24"/>
      <w:shd w:val="clear" w:color="auto" w:fill="000080"/>
    </w:rPr>
  </w:style>
  <w:style w:type="character" w:customStyle="1" w:styleId="132">
    <w:name w:val="批注框文本 字符"/>
    <w:link w:val="26"/>
    <w:qFormat/>
    <w:uiPriority w:val="0"/>
    <w:rPr>
      <w:kern w:val="2"/>
      <w:sz w:val="18"/>
      <w:szCs w:val="18"/>
    </w:rPr>
  </w:style>
  <w:style w:type="character" w:customStyle="1" w:styleId="133">
    <w:name w:val="批注文字 字符"/>
    <w:link w:val="14"/>
    <w:qFormat/>
    <w:uiPriority w:val="0"/>
    <w:rPr>
      <w:kern w:val="2"/>
      <w:sz w:val="21"/>
      <w:szCs w:val="24"/>
    </w:rPr>
  </w:style>
  <w:style w:type="character" w:customStyle="1" w:styleId="134">
    <w:name w:val="批注主题 字符"/>
    <w:link w:val="43"/>
    <w:semiHidden/>
    <w:qFormat/>
    <w:uiPriority w:val="0"/>
    <w:rPr>
      <w:b/>
      <w:bCs/>
      <w:kern w:val="2"/>
      <w:sz w:val="21"/>
      <w:szCs w:val="24"/>
    </w:rPr>
  </w:style>
  <w:style w:type="character" w:customStyle="1" w:styleId="135">
    <w:name w:val="正文首行缩进 字符"/>
    <w:link w:val="44"/>
    <w:qFormat/>
    <w:uiPriority w:val="0"/>
    <w:rPr>
      <w:kern w:val="2"/>
      <w:sz w:val="21"/>
      <w:szCs w:val="24"/>
    </w:rPr>
  </w:style>
  <w:style w:type="character" w:customStyle="1" w:styleId="136">
    <w:name w:val="font41"/>
    <w:qFormat/>
    <w:uiPriority w:val="0"/>
    <w:rPr>
      <w:rFonts w:hint="default" w:ascii="Arial" w:hAnsi="Arial" w:cs="Arial"/>
      <w:color w:val="000000"/>
      <w:sz w:val="20"/>
      <w:szCs w:val="20"/>
      <w:u w:val="none"/>
    </w:rPr>
  </w:style>
  <w:style w:type="character" w:customStyle="1" w:styleId="137">
    <w:name w:val="font51"/>
    <w:qFormat/>
    <w:uiPriority w:val="0"/>
    <w:rPr>
      <w:rFonts w:hint="eastAsia" w:ascii="宋体" w:hAnsi="宋体" w:eastAsia="宋体" w:cs="宋体"/>
      <w:color w:val="000000"/>
      <w:sz w:val="20"/>
      <w:szCs w:val="20"/>
      <w:u w:val="none"/>
    </w:rPr>
  </w:style>
  <w:style w:type="paragraph" w:customStyle="1" w:styleId="138">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rPr>
  </w:style>
  <w:style w:type="paragraph" w:customStyle="1" w:styleId="139">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4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41">
    <w:name w:val="xl1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4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4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44">
    <w:name w:val="xl70"/>
    <w:basedOn w:val="1"/>
    <w:qFormat/>
    <w:uiPriority w:val="0"/>
    <w:pPr>
      <w:spacing w:before="100" w:beforeAutospacing="1" w:after="100" w:afterAutospacing="1"/>
    </w:pPr>
  </w:style>
  <w:style w:type="paragraph" w:customStyle="1" w:styleId="145">
    <w:name w:val="xl1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4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47">
    <w:name w:val="xl187"/>
    <w:basedOn w:val="1"/>
    <w:qFormat/>
    <w:uiPriority w:val="0"/>
    <w:pPr>
      <w:spacing w:before="100" w:beforeAutospacing="1" w:after="100" w:afterAutospacing="1"/>
      <w:jc w:val="center"/>
    </w:pPr>
  </w:style>
  <w:style w:type="paragraph" w:customStyle="1" w:styleId="14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49">
    <w:name w:val="xl1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50">
    <w:name w:val="xl183"/>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1">
    <w:name w:val="xl1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3">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rPr>
  </w:style>
  <w:style w:type="paragraph" w:customStyle="1" w:styleId="154">
    <w:name w:val="xl18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5">
    <w:name w:val="xl1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7">
    <w:name w:val="xl1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58">
    <w:name w:val="xl8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style>
  <w:style w:type="paragraph" w:customStyle="1" w:styleId="159">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6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161">
    <w:name w:val="Char2"/>
    <w:basedOn w:val="1"/>
    <w:qFormat/>
    <w:uiPriority w:val="0"/>
    <w:rPr>
      <w:rFonts w:ascii="Tahoma" w:hAnsi="Tahoma"/>
      <w:szCs w:val="20"/>
    </w:rPr>
  </w:style>
  <w:style w:type="paragraph" w:customStyle="1" w:styleId="162">
    <w:name w:val="xl8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style>
  <w:style w:type="character" w:customStyle="1" w:styleId="163">
    <w:name w:val="标题 字符"/>
    <w:link w:val="42"/>
    <w:qFormat/>
    <w:uiPriority w:val="0"/>
    <w:rPr>
      <w:rFonts w:ascii="Cambria" w:hAnsi="Cambria"/>
      <w:b/>
      <w:bCs/>
      <w:kern w:val="2"/>
      <w:sz w:val="32"/>
      <w:szCs w:val="32"/>
    </w:rPr>
  </w:style>
  <w:style w:type="character" w:customStyle="1" w:styleId="164">
    <w:name w:val="副标题 字符"/>
    <w:link w:val="31"/>
    <w:qFormat/>
    <w:uiPriority w:val="0"/>
    <w:rPr>
      <w:rFonts w:ascii="Cambria" w:hAnsi="Cambria"/>
      <w:b/>
      <w:bCs/>
      <w:kern w:val="28"/>
      <w:sz w:val="32"/>
      <w:szCs w:val="32"/>
    </w:rPr>
  </w:style>
  <w:style w:type="character" w:customStyle="1" w:styleId="165">
    <w:name w:val="副标题 Char1"/>
    <w:qFormat/>
    <w:uiPriority w:val="0"/>
    <w:rPr>
      <w:rFonts w:ascii="Cambria" w:hAnsi="Cambria" w:cs="Times New Roman"/>
      <w:b/>
      <w:bCs/>
      <w:kern w:val="28"/>
      <w:sz w:val="32"/>
      <w:szCs w:val="32"/>
    </w:rPr>
  </w:style>
  <w:style w:type="character" w:customStyle="1" w:styleId="166">
    <w:name w:val="sidecatalog-index1"/>
    <w:qFormat/>
    <w:uiPriority w:val="0"/>
    <w:rPr>
      <w:rFonts w:hint="default" w:ascii="Arial" w:hAnsi="Arial" w:cs="Arial"/>
      <w:b/>
      <w:color w:val="999999"/>
      <w:sz w:val="21"/>
      <w:szCs w:val="21"/>
    </w:rPr>
  </w:style>
  <w:style w:type="character" w:customStyle="1" w:styleId="167">
    <w:name w:val="lemmatitleh12"/>
    <w:qFormat/>
    <w:uiPriority w:val="0"/>
    <w:rPr>
      <w:rFonts w:hint="default" w:ascii="Tahoma" w:hAnsi="Tahoma" w:cs="Times New Roman"/>
      <w:sz w:val="24"/>
      <w:szCs w:val="20"/>
    </w:rPr>
  </w:style>
  <w:style w:type="character" w:customStyle="1" w:styleId="168">
    <w:name w:val="bds_nopic1"/>
    <w:qFormat/>
    <w:uiPriority w:val="0"/>
    <w:rPr>
      <w:rFonts w:hint="default" w:ascii="Tahoma" w:hAnsi="Tahoma" w:cs="Times New Roman"/>
      <w:sz w:val="24"/>
      <w:szCs w:val="20"/>
    </w:rPr>
  </w:style>
  <w:style w:type="character" w:customStyle="1" w:styleId="169">
    <w:name w:val="desc"/>
    <w:qFormat/>
    <w:uiPriority w:val="0"/>
    <w:rPr>
      <w:rFonts w:hint="default" w:ascii="Tahoma" w:hAnsi="Tahoma" w:cs="Times New Roman"/>
      <w:color w:val="000000"/>
      <w:sz w:val="18"/>
      <w:szCs w:val="18"/>
    </w:rPr>
  </w:style>
  <w:style w:type="character" w:customStyle="1" w:styleId="170">
    <w:name w:val="bds_more2"/>
    <w:qFormat/>
    <w:uiPriority w:val="0"/>
    <w:rPr>
      <w:rFonts w:hint="eastAsia" w:ascii="宋体" w:hAnsi="宋体" w:eastAsia="宋体" w:cs="宋体"/>
      <w:sz w:val="24"/>
      <w:szCs w:val="20"/>
    </w:rPr>
  </w:style>
  <w:style w:type="character" w:customStyle="1" w:styleId="171">
    <w:name w:val="正文文本 3 字符"/>
    <w:link w:val="15"/>
    <w:qFormat/>
    <w:uiPriority w:val="0"/>
    <w:rPr>
      <w:rFonts w:ascii="宋体" w:hAnsi="宋体"/>
      <w:spacing w:val="-8"/>
      <w:kern w:val="2"/>
      <w:sz w:val="16"/>
    </w:rPr>
  </w:style>
  <w:style w:type="character" w:customStyle="1" w:styleId="172">
    <w:name w:val="正文文本 3 Char1"/>
    <w:qFormat/>
    <w:uiPriority w:val="0"/>
    <w:rPr>
      <w:kern w:val="2"/>
      <w:sz w:val="16"/>
      <w:szCs w:val="16"/>
    </w:rPr>
  </w:style>
  <w:style w:type="character" w:customStyle="1" w:styleId="173">
    <w:name w:val="sidecatalog-index2"/>
    <w:qFormat/>
    <w:uiPriority w:val="0"/>
    <w:rPr>
      <w:rFonts w:hint="default" w:ascii="Arail" w:hAnsi="Arail" w:cs="Arail"/>
      <w:color w:val="999999"/>
      <w:sz w:val="21"/>
      <w:szCs w:val="21"/>
    </w:rPr>
  </w:style>
  <w:style w:type="character" w:customStyle="1" w:styleId="174">
    <w:name w:val="bds_more6"/>
    <w:qFormat/>
    <w:uiPriority w:val="0"/>
    <w:rPr>
      <w:rFonts w:hint="eastAsia" w:ascii="宋体" w:hAnsi="宋体" w:eastAsia="宋体" w:cs="宋体"/>
      <w:sz w:val="24"/>
      <w:szCs w:val="20"/>
    </w:rPr>
  </w:style>
  <w:style w:type="character" w:customStyle="1" w:styleId="175">
    <w:name w:val="sidecatalog-dot1"/>
    <w:qFormat/>
    <w:uiPriority w:val="0"/>
    <w:rPr>
      <w:rFonts w:hint="default" w:ascii="Tahoma" w:hAnsi="Tahoma" w:cs="Times New Roman"/>
      <w:sz w:val="24"/>
      <w:szCs w:val="20"/>
    </w:rPr>
  </w:style>
  <w:style w:type="character" w:customStyle="1" w:styleId="176">
    <w:name w:val="bds_nopic2"/>
    <w:qFormat/>
    <w:uiPriority w:val="0"/>
    <w:rPr>
      <w:rFonts w:hint="default" w:ascii="Tahoma" w:hAnsi="Tahoma" w:cs="Times New Roman"/>
      <w:sz w:val="24"/>
      <w:szCs w:val="20"/>
    </w:rPr>
  </w:style>
  <w:style w:type="character" w:customStyle="1" w:styleId="177">
    <w:name w:val="echo1"/>
    <w:qFormat/>
    <w:uiPriority w:val="0"/>
    <w:rPr>
      <w:rFonts w:hint="default" w:ascii="Tahoma" w:hAnsi="Tahoma" w:cs="Tahoma"/>
      <w:color w:val="333366"/>
      <w:sz w:val="26"/>
      <w:szCs w:val="26"/>
    </w:rPr>
  </w:style>
  <w:style w:type="character" w:customStyle="1" w:styleId="178">
    <w:name w:val="正文文本 Char1"/>
    <w:qFormat/>
    <w:locked/>
    <w:uiPriority w:val="0"/>
    <w:rPr>
      <w:rFonts w:ascii="仿宋_GB2312" w:eastAsia="仿宋_GB2312"/>
      <w:kern w:val="2"/>
      <w:sz w:val="18"/>
      <w:szCs w:val="24"/>
    </w:rPr>
  </w:style>
  <w:style w:type="character" w:customStyle="1" w:styleId="179">
    <w:name w:val="bds_more10"/>
    <w:qFormat/>
    <w:uiPriority w:val="0"/>
    <w:rPr>
      <w:rFonts w:hint="eastAsia" w:ascii="宋体" w:hAnsi="宋体" w:eastAsia="宋体" w:cs="宋体"/>
      <w:color w:val="454545"/>
      <w:sz w:val="18"/>
      <w:szCs w:val="18"/>
    </w:rPr>
  </w:style>
  <w:style w:type="character" w:customStyle="1" w:styleId="180">
    <w:name w:val="bds_more7"/>
    <w:qFormat/>
    <w:uiPriority w:val="0"/>
    <w:rPr>
      <w:rFonts w:hint="default" w:ascii="Tahoma" w:hAnsi="Tahoma" w:cs="Times New Roman"/>
      <w:sz w:val="24"/>
      <w:szCs w:val="20"/>
    </w:rPr>
  </w:style>
  <w:style w:type="character" w:customStyle="1" w:styleId="181">
    <w:name w:val="bds_nopic"/>
    <w:qFormat/>
    <w:uiPriority w:val="0"/>
    <w:rPr>
      <w:rFonts w:hint="default" w:ascii="Tahoma" w:hAnsi="Tahoma" w:cs="Times New Roman"/>
      <w:sz w:val="24"/>
      <w:szCs w:val="20"/>
    </w:rPr>
  </w:style>
  <w:style w:type="character" w:customStyle="1" w:styleId="182">
    <w:name w:val="sidecatalog-dot"/>
    <w:qFormat/>
    <w:uiPriority w:val="0"/>
    <w:rPr>
      <w:rFonts w:hint="default" w:ascii="Tahoma" w:hAnsi="Tahoma" w:cs="Times New Roman"/>
      <w:sz w:val="24"/>
      <w:szCs w:val="20"/>
    </w:rPr>
  </w:style>
  <w:style w:type="character" w:customStyle="1" w:styleId="183">
    <w:name w:val="正文首行缩进 2 字符"/>
    <w:link w:val="45"/>
    <w:qFormat/>
    <w:uiPriority w:val="0"/>
    <w:rPr>
      <w:rFonts w:ascii="仿宋_GB2312" w:eastAsia="仿宋_GB2312"/>
      <w:kern w:val="2"/>
      <w:sz w:val="21"/>
      <w:szCs w:val="24"/>
    </w:rPr>
  </w:style>
  <w:style w:type="character" w:customStyle="1" w:styleId="184">
    <w:name w:val="正文文本缩进 字符"/>
    <w:link w:val="17"/>
    <w:qFormat/>
    <w:uiPriority w:val="0"/>
    <w:rPr>
      <w:rFonts w:ascii="仿宋_GB2312" w:eastAsia="仿宋_GB2312"/>
      <w:kern w:val="2"/>
      <w:sz w:val="44"/>
      <w:szCs w:val="24"/>
    </w:rPr>
  </w:style>
  <w:style w:type="character" w:customStyle="1" w:styleId="185">
    <w:name w:val="正文首行缩进 2 Char1"/>
    <w:qFormat/>
    <w:uiPriority w:val="0"/>
    <w:rPr>
      <w:rFonts w:ascii="仿宋_GB2312" w:eastAsia="仿宋_GB2312"/>
      <w:kern w:val="2"/>
      <w:sz w:val="21"/>
      <w:szCs w:val="24"/>
    </w:rPr>
  </w:style>
  <w:style w:type="character" w:customStyle="1" w:styleId="186">
    <w:name w:val="正文文本缩进 Char1"/>
    <w:qFormat/>
    <w:uiPriority w:val="0"/>
    <w:rPr>
      <w:rFonts w:ascii="仿宋_GB2312" w:eastAsia="仿宋_GB2312"/>
      <w:kern w:val="2"/>
      <w:sz w:val="44"/>
      <w:szCs w:val="24"/>
    </w:rPr>
  </w:style>
  <w:style w:type="character" w:customStyle="1" w:styleId="187">
    <w:name w:val="color1"/>
    <w:qFormat/>
    <w:uiPriority w:val="0"/>
    <w:rPr>
      <w:rFonts w:hint="default" w:ascii="Tahoma" w:hAnsi="Tahoma" w:cs="Tahoma"/>
      <w:color w:val="6699FF"/>
      <w:sz w:val="24"/>
      <w:szCs w:val="20"/>
      <w:u w:val="none"/>
    </w:rPr>
  </w:style>
  <w:style w:type="character" w:customStyle="1" w:styleId="188">
    <w:name w:val="bds_more8"/>
    <w:qFormat/>
    <w:uiPriority w:val="0"/>
    <w:rPr>
      <w:rFonts w:hint="default" w:ascii="Tahoma" w:hAnsi="Tahoma" w:cs="Times New Roman"/>
      <w:sz w:val="24"/>
      <w:szCs w:val="20"/>
    </w:rPr>
  </w:style>
  <w:style w:type="character" w:customStyle="1" w:styleId="189">
    <w:name w:val="plus"/>
    <w:qFormat/>
    <w:uiPriority w:val="0"/>
    <w:rPr>
      <w:rFonts w:hint="default" w:ascii="Tahoma" w:hAnsi="Tahoma" w:cs="Times New Roman"/>
      <w:b/>
      <w:vanish/>
      <w:color w:val="1F8DEF"/>
      <w:sz w:val="24"/>
      <w:szCs w:val="24"/>
    </w:rPr>
  </w:style>
  <w:style w:type="character" w:customStyle="1" w:styleId="190">
    <w:name w:val="bds_more"/>
    <w:qFormat/>
    <w:uiPriority w:val="0"/>
    <w:rPr>
      <w:rFonts w:hint="default" w:ascii="Tahoma" w:hAnsi="Tahoma" w:cs="Times New Roman"/>
      <w:sz w:val="24"/>
      <w:szCs w:val="20"/>
    </w:rPr>
  </w:style>
  <w:style w:type="character" w:customStyle="1" w:styleId="191">
    <w:name w:val="bds_more1"/>
    <w:qFormat/>
    <w:uiPriority w:val="0"/>
    <w:rPr>
      <w:rFonts w:hint="default" w:ascii="Tahoma" w:hAnsi="Tahoma" w:cs="Times New Roman"/>
      <w:sz w:val="24"/>
      <w:szCs w:val="20"/>
    </w:rPr>
  </w:style>
  <w:style w:type="character" w:customStyle="1" w:styleId="192">
    <w:name w:val="HTML 预设格式 字符"/>
    <w:link w:val="39"/>
    <w:qFormat/>
    <w:uiPriority w:val="0"/>
    <w:rPr>
      <w:rFonts w:ascii="Arial" w:hAnsi="Arial" w:cs="Arial"/>
      <w:sz w:val="24"/>
      <w:szCs w:val="24"/>
    </w:rPr>
  </w:style>
  <w:style w:type="character" w:customStyle="1" w:styleId="193">
    <w:name w:val="HTML 预设格式 Char1"/>
    <w:qFormat/>
    <w:uiPriority w:val="0"/>
    <w:rPr>
      <w:rFonts w:ascii="Courier New" w:hAnsi="Courier New" w:cs="Courier New"/>
      <w:kern w:val="2"/>
    </w:rPr>
  </w:style>
  <w:style w:type="character" w:customStyle="1" w:styleId="194">
    <w:name w:val="正文缩进 字符"/>
    <w:link w:val="11"/>
    <w:qFormat/>
    <w:locked/>
    <w:uiPriority w:val="0"/>
    <w:rPr>
      <w:rFonts w:ascii="Tahoma" w:hAnsi="Tahoma" w:cs="Tahoma"/>
      <w:sz w:val="28"/>
    </w:rPr>
  </w:style>
  <w:style w:type="character" w:customStyle="1" w:styleId="195">
    <w:name w:val="polysemyexp"/>
    <w:qFormat/>
    <w:uiPriority w:val="0"/>
    <w:rPr>
      <w:rFonts w:hint="default" w:ascii="Tahoma" w:hAnsi="Tahoma" w:cs="Times New Roman"/>
      <w:color w:val="AAAAAA"/>
      <w:sz w:val="18"/>
      <w:szCs w:val="18"/>
    </w:rPr>
  </w:style>
  <w:style w:type="character" w:customStyle="1" w:styleId="196">
    <w:name w:val="bds_more3"/>
    <w:qFormat/>
    <w:uiPriority w:val="0"/>
    <w:rPr>
      <w:rFonts w:hint="default" w:ascii="Tahoma" w:hAnsi="Tahoma" w:cs="Times New Roman"/>
      <w:sz w:val="24"/>
      <w:szCs w:val="20"/>
    </w:rPr>
  </w:style>
  <w:style w:type="character" w:customStyle="1" w:styleId="197">
    <w:name w:val="bds_more4"/>
    <w:qFormat/>
    <w:uiPriority w:val="0"/>
    <w:rPr>
      <w:rFonts w:hint="default" w:ascii="Tahoma" w:hAnsi="Tahoma" w:cs="Times New Roman"/>
      <w:sz w:val="24"/>
      <w:szCs w:val="20"/>
    </w:rPr>
  </w:style>
  <w:style w:type="character" w:customStyle="1" w:styleId="198">
    <w:name w:val="bds_more9"/>
    <w:qFormat/>
    <w:uiPriority w:val="0"/>
    <w:rPr>
      <w:rFonts w:hint="eastAsia" w:ascii="宋体" w:hAnsi="宋体" w:eastAsia="宋体" w:cs="宋体"/>
      <w:color w:val="454545"/>
      <w:sz w:val="21"/>
      <w:szCs w:val="21"/>
    </w:rPr>
  </w:style>
  <w:style w:type="character" w:customStyle="1" w:styleId="199">
    <w:name w:val="polysemyred"/>
    <w:qFormat/>
    <w:uiPriority w:val="0"/>
    <w:rPr>
      <w:rFonts w:hint="default" w:ascii="Tahoma" w:hAnsi="Tahoma" w:cs="Times New Roman"/>
      <w:color w:val="FF6666"/>
      <w:sz w:val="18"/>
      <w:szCs w:val="18"/>
    </w:rPr>
  </w:style>
  <w:style w:type="character" w:customStyle="1" w:styleId="200">
    <w:name w:val="sort1"/>
    <w:qFormat/>
    <w:uiPriority w:val="0"/>
    <w:rPr>
      <w:rFonts w:hint="default" w:ascii="Tahoma" w:hAnsi="Tahoma" w:cs="Times New Roman"/>
      <w:sz w:val="24"/>
      <w:szCs w:val="20"/>
    </w:rPr>
  </w:style>
  <w:style w:type="character" w:customStyle="1" w:styleId="201">
    <w:name w:val="apple-style-span"/>
    <w:qFormat/>
    <w:uiPriority w:val="0"/>
    <w:rPr>
      <w:rFonts w:hint="default" w:ascii="Tahoma" w:hAnsi="Tahoma" w:cs="Tahoma"/>
      <w:sz w:val="24"/>
      <w:szCs w:val="20"/>
    </w:rPr>
  </w:style>
  <w:style w:type="character" w:customStyle="1" w:styleId="202">
    <w:name w:val="sort"/>
    <w:qFormat/>
    <w:uiPriority w:val="0"/>
    <w:rPr>
      <w:rFonts w:hint="default" w:ascii="Tahoma" w:hAnsi="Tahoma" w:cs="Times New Roman"/>
      <w:color w:val="FFFFFF"/>
      <w:sz w:val="24"/>
      <w:szCs w:val="20"/>
      <w:bdr w:val="single" w:color="auto" w:sz="24" w:space="0"/>
    </w:rPr>
  </w:style>
  <w:style w:type="character" w:customStyle="1" w:styleId="203">
    <w:name w:val="morelink-item"/>
    <w:qFormat/>
    <w:uiPriority w:val="0"/>
    <w:rPr>
      <w:rFonts w:hint="default" w:ascii="Tahoma" w:hAnsi="Tahoma" w:cs="Times New Roman"/>
      <w:sz w:val="24"/>
      <w:szCs w:val="20"/>
    </w:rPr>
  </w:style>
  <w:style w:type="paragraph" w:customStyle="1" w:styleId="204">
    <w:name w:val="纯文本1"/>
    <w:basedOn w:val="1"/>
    <w:qFormat/>
    <w:uiPriority w:val="0"/>
    <w:pPr>
      <w:adjustRightInd w:val="0"/>
    </w:pPr>
    <w:rPr>
      <w:szCs w:val="20"/>
    </w:rPr>
  </w:style>
  <w:style w:type="paragraph" w:customStyle="1" w:styleId="205">
    <w:name w:val="向"/>
    <w:basedOn w:val="22"/>
    <w:qFormat/>
    <w:uiPriority w:val="0"/>
    <w:pPr>
      <w:spacing w:line="360" w:lineRule="auto"/>
      <w:ind w:firstLine="567"/>
    </w:pPr>
    <w:rPr>
      <w:rFonts w:ascii="仿宋_GB2312" w:eastAsia="仿宋_GB2312"/>
      <w:sz w:val="28"/>
    </w:rPr>
  </w:style>
  <w:style w:type="paragraph" w:customStyle="1" w:styleId="206">
    <w:name w:val="Char11"/>
    <w:basedOn w:val="1"/>
    <w:qFormat/>
    <w:uiPriority w:val="0"/>
    <w:pPr>
      <w:spacing w:line="360" w:lineRule="auto"/>
      <w:ind w:firstLine="551" w:firstLineChars="196"/>
    </w:pPr>
    <w:rPr>
      <w:b/>
      <w:sz w:val="28"/>
      <w:szCs w:val="28"/>
    </w:rPr>
  </w:style>
  <w:style w:type="paragraph" w:customStyle="1" w:styleId="207">
    <w:name w:val="样式6"/>
    <w:qFormat/>
    <w:uiPriority w:val="0"/>
    <w:pPr>
      <w:widowControl w:val="0"/>
      <w:spacing w:line="360" w:lineRule="auto"/>
      <w:ind w:firstLine="567"/>
    </w:pPr>
    <w:rPr>
      <w:rFonts w:ascii="仿宋_GB2312" w:hAnsi="Times New Roman" w:eastAsia="仿宋_GB2312" w:cs="Times New Roman"/>
      <w:sz w:val="28"/>
      <w:lang w:val="en-US" w:eastAsia="zh-CN" w:bidi="ar-SA"/>
    </w:rPr>
  </w:style>
  <w:style w:type="paragraph" w:customStyle="1" w:styleId="208">
    <w:name w:val="表格文字"/>
    <w:basedOn w:val="1"/>
    <w:qFormat/>
    <w:uiPriority w:val="0"/>
    <w:pPr>
      <w:tabs>
        <w:tab w:val="left" w:pos="0"/>
      </w:tabs>
      <w:adjustRightInd w:val="0"/>
      <w:snapToGrid w:val="0"/>
      <w:spacing w:line="300" w:lineRule="auto"/>
      <w:jc w:val="center"/>
    </w:pPr>
    <w:rPr>
      <w:szCs w:val="20"/>
    </w:rPr>
  </w:style>
  <w:style w:type="paragraph" w:customStyle="1" w:styleId="209">
    <w:name w:val="xl22"/>
    <w:basedOn w:val="1"/>
    <w:qFormat/>
    <w:uiPriority w:val="0"/>
    <w:pPr>
      <w:spacing w:before="100" w:beforeAutospacing="1" w:after="100" w:afterAutospacing="1"/>
      <w:jc w:val="center"/>
    </w:pPr>
    <w:rPr>
      <w:rFonts w:ascii="仿宋_GB2312" w:eastAsia="仿宋_GB2312"/>
      <w:sz w:val="18"/>
      <w:szCs w:val="18"/>
    </w:rPr>
  </w:style>
  <w:style w:type="paragraph" w:customStyle="1" w:styleId="210">
    <w:name w:val="标准"/>
    <w:basedOn w:val="1"/>
    <w:qFormat/>
    <w:uiPriority w:val="0"/>
    <w:pPr>
      <w:autoSpaceDE w:val="0"/>
      <w:autoSpaceDN w:val="0"/>
      <w:adjustRightInd w:val="0"/>
      <w:spacing w:line="480" w:lineRule="atLeast"/>
    </w:pPr>
    <w:rPr>
      <w:rFonts w:ascii="昆仑仿宋" w:eastAsia="昆仑仿宋"/>
      <w:spacing w:val="40"/>
      <w:sz w:val="28"/>
      <w:szCs w:val="20"/>
    </w:rPr>
  </w:style>
  <w:style w:type="paragraph" w:customStyle="1" w:styleId="211">
    <w:name w:val="默认段落字体 Para Char Char Char Char Char Char Char"/>
    <w:basedOn w:val="1"/>
    <w:qFormat/>
    <w:uiPriority w:val="0"/>
    <w:rPr>
      <w:rFonts w:ascii="Tahoma" w:hAnsi="Tahoma"/>
      <w:szCs w:val="20"/>
    </w:rPr>
  </w:style>
  <w:style w:type="paragraph" w:customStyle="1" w:styleId="212">
    <w:name w:val="Char Char Char Char Char Char Char Char Char"/>
    <w:basedOn w:val="1"/>
    <w:qFormat/>
    <w:uiPriority w:val="0"/>
  </w:style>
  <w:style w:type="paragraph" w:customStyle="1" w:styleId="213">
    <w:name w:val="Char Char8 Char Char"/>
    <w:basedOn w:val="1"/>
    <w:qFormat/>
    <w:uiPriority w:val="0"/>
    <w:rPr>
      <w:rFonts w:ascii="Tahoma" w:hAnsi="Tahoma" w:eastAsia="Times New Roman"/>
      <w:szCs w:val="20"/>
    </w:rPr>
  </w:style>
  <w:style w:type="paragraph" w:customStyle="1" w:styleId="214">
    <w:name w:val="报告正文"/>
    <w:basedOn w:val="22"/>
    <w:link w:val="236"/>
    <w:qFormat/>
    <w:uiPriority w:val="0"/>
    <w:pPr>
      <w:spacing w:line="360" w:lineRule="auto"/>
      <w:ind w:firstLine="567"/>
    </w:pPr>
    <w:rPr>
      <w:rFonts w:ascii="仿宋_GB2312" w:eastAsia="仿宋_GB2312"/>
      <w:sz w:val="28"/>
    </w:rPr>
  </w:style>
  <w:style w:type="paragraph" w:customStyle="1" w:styleId="215">
    <w:name w:val="ST20_1"/>
    <w:basedOn w:val="1"/>
    <w:qFormat/>
    <w:uiPriority w:val="0"/>
    <w:pPr>
      <w:autoSpaceDE w:val="0"/>
      <w:autoSpaceDN w:val="0"/>
      <w:adjustRightInd w:val="0"/>
      <w:spacing w:line="500" w:lineRule="atLeast"/>
    </w:pPr>
    <w:rPr>
      <w:rFonts w:ascii="昆仑仿宋" w:hAnsi="Tms Rmn" w:eastAsia="昆仑仿宋"/>
      <w:sz w:val="28"/>
      <w:szCs w:val="20"/>
    </w:rPr>
  </w:style>
  <w:style w:type="paragraph" w:customStyle="1" w:styleId="216">
    <w:name w:val="Char1 Char Char Char Char Char Char"/>
    <w:basedOn w:val="1"/>
    <w:qFormat/>
    <w:uiPriority w:val="0"/>
    <w:pPr>
      <w:spacing w:line="240" w:lineRule="atLeast"/>
      <w:ind w:left="420" w:firstLine="420"/>
    </w:pPr>
    <w:rPr>
      <w:szCs w:val="21"/>
    </w:rPr>
  </w:style>
  <w:style w:type="paragraph" w:customStyle="1" w:styleId="217">
    <w:name w:val="_Style 42"/>
    <w:basedOn w:val="1"/>
    <w:qFormat/>
    <w:uiPriority w:val="0"/>
    <w:rPr>
      <w:rFonts w:ascii="Tahoma" w:hAnsi="Tahoma"/>
      <w:szCs w:val="20"/>
    </w:rPr>
  </w:style>
  <w:style w:type="paragraph" w:customStyle="1" w:styleId="218">
    <w:name w:val="Char Char Char Char Char Char Char Char Char Char Char Char Char Char Char Char Char Char"/>
    <w:basedOn w:val="1"/>
    <w:qFormat/>
    <w:uiPriority w:val="0"/>
    <w:rPr>
      <w:rFonts w:ascii="Tahoma" w:hAnsi="Tahoma"/>
      <w:szCs w:val="20"/>
    </w:rPr>
  </w:style>
  <w:style w:type="paragraph" w:customStyle="1" w:styleId="219">
    <w:name w:val="正文文本缩进 211"/>
    <w:basedOn w:val="1"/>
    <w:qFormat/>
    <w:uiPriority w:val="0"/>
    <w:pPr>
      <w:adjustRightInd w:val="0"/>
      <w:spacing w:line="300" w:lineRule="atLeast"/>
      <w:ind w:firstLine="540"/>
    </w:pPr>
    <w:rPr>
      <w:sz w:val="28"/>
      <w:szCs w:val="20"/>
    </w:rPr>
  </w:style>
  <w:style w:type="paragraph" w:customStyle="1" w:styleId="220">
    <w:name w:val="Char Char Char Char Char Char Char Char"/>
    <w:basedOn w:val="1"/>
    <w:qFormat/>
    <w:uiPriority w:val="0"/>
    <w:rPr>
      <w:rFonts w:ascii="Tahoma" w:hAnsi="Tahoma"/>
      <w:szCs w:val="20"/>
    </w:rPr>
  </w:style>
  <w:style w:type="paragraph" w:customStyle="1" w:styleId="221">
    <w:name w:val="Char Char1"/>
    <w:basedOn w:val="1"/>
    <w:qFormat/>
    <w:uiPriority w:val="0"/>
    <w:rPr>
      <w:rFonts w:ascii="Tahoma" w:hAnsi="Tahoma"/>
      <w:szCs w:val="20"/>
    </w:rPr>
  </w:style>
  <w:style w:type="paragraph" w:customStyle="1" w:styleId="222">
    <w:name w:val="样式1"/>
    <w:basedOn w:val="3"/>
    <w:qFormat/>
    <w:uiPriority w:val="0"/>
    <w:pPr>
      <w:spacing w:line="576" w:lineRule="auto"/>
      <w:jc w:val="center"/>
    </w:pPr>
    <w:rPr>
      <w:bCs w:val="0"/>
      <w:szCs w:val="20"/>
    </w:rPr>
  </w:style>
  <w:style w:type="paragraph" w:customStyle="1" w:styleId="223">
    <w:name w:val="Char3"/>
    <w:basedOn w:val="1"/>
    <w:qFormat/>
    <w:uiPriority w:val="0"/>
    <w:rPr>
      <w:rFonts w:ascii="Tahoma" w:hAnsi="Tahoma"/>
      <w:szCs w:val="20"/>
    </w:rPr>
  </w:style>
  <w:style w:type="paragraph" w:customStyle="1" w:styleId="224">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25">
    <w:name w:val="Char Char4"/>
    <w:basedOn w:val="1"/>
    <w:qFormat/>
    <w:uiPriority w:val="0"/>
    <w:rPr>
      <w:rFonts w:ascii="Tahoma" w:hAnsi="Tahoma"/>
      <w:szCs w:val="20"/>
    </w:rPr>
  </w:style>
  <w:style w:type="paragraph" w:customStyle="1" w:styleId="226">
    <w:name w:val="样式2"/>
    <w:basedOn w:val="1"/>
    <w:qFormat/>
    <w:uiPriority w:val="0"/>
    <w:pPr>
      <w:spacing w:line="560" w:lineRule="exact"/>
      <w:jc w:val="center"/>
      <w:outlineLvl w:val="1"/>
    </w:pPr>
    <w:rPr>
      <w:b/>
      <w:sz w:val="32"/>
      <w:szCs w:val="32"/>
    </w:rPr>
  </w:style>
  <w:style w:type="paragraph" w:customStyle="1" w:styleId="227">
    <w:name w:val="简单回函地址"/>
    <w:basedOn w:val="1"/>
    <w:qFormat/>
    <w:uiPriority w:val="0"/>
    <w:rPr>
      <w:szCs w:val="20"/>
    </w:rPr>
  </w:style>
  <w:style w:type="paragraph" w:customStyle="1" w:styleId="228">
    <w:name w:val="ST20_4"/>
    <w:basedOn w:val="1"/>
    <w:qFormat/>
    <w:uiPriority w:val="0"/>
    <w:pPr>
      <w:autoSpaceDE w:val="0"/>
      <w:autoSpaceDN w:val="0"/>
      <w:adjustRightInd w:val="0"/>
    </w:pPr>
    <w:rPr>
      <w:rFonts w:hAnsi="Tms Rmn"/>
      <w:szCs w:val="20"/>
    </w:rPr>
  </w:style>
  <w:style w:type="paragraph" w:customStyle="1" w:styleId="22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30">
    <w:name w:val="xl76"/>
    <w:basedOn w:val="1"/>
    <w:qFormat/>
    <w:uiPriority w:val="0"/>
    <w:pPr>
      <w:spacing w:before="100" w:beforeAutospacing="1" w:after="100" w:afterAutospacing="1"/>
      <w:jc w:val="center"/>
    </w:pPr>
    <w:rPr>
      <w:sz w:val="20"/>
      <w:szCs w:val="20"/>
    </w:rPr>
  </w:style>
  <w:style w:type="paragraph" w:customStyle="1" w:styleId="23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styleId="232">
    <w:name w:val="List Paragraph"/>
    <w:basedOn w:val="1"/>
    <w:qFormat/>
    <w:uiPriority w:val="99"/>
    <w:pPr>
      <w:ind w:firstLine="420" w:firstLineChars="200"/>
    </w:pPr>
  </w:style>
  <w:style w:type="paragraph" w:customStyle="1" w:styleId="23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4">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235">
    <w:name w:val="msonormal"/>
    <w:basedOn w:val="1"/>
    <w:qFormat/>
    <w:uiPriority w:val="0"/>
    <w:pPr>
      <w:spacing w:before="100" w:beforeAutospacing="1" w:after="100" w:afterAutospacing="1"/>
    </w:pPr>
  </w:style>
  <w:style w:type="character" w:customStyle="1" w:styleId="236">
    <w:name w:val="报告正文 字符"/>
    <w:link w:val="214"/>
    <w:qFormat/>
    <w:locked/>
    <w:uiPriority w:val="0"/>
    <w:rPr>
      <w:rFonts w:ascii="仿宋_GB2312" w:hAnsi="Courier New" w:eastAsia="仿宋_GB2312"/>
      <w:kern w:val="2"/>
      <w:sz w:val="28"/>
    </w:rPr>
  </w:style>
  <w:style w:type="character" w:customStyle="1" w:styleId="237">
    <w:name w:val="脚注 字符"/>
    <w:link w:val="238"/>
    <w:qFormat/>
    <w:locked/>
    <w:uiPriority w:val="0"/>
    <w:rPr>
      <w:rFonts w:ascii="苹方 常规" w:hAnsi="苹方 常规" w:eastAsia="苹方 常规" w:cs="楷体"/>
      <w:bCs/>
      <w:sz w:val="18"/>
    </w:rPr>
  </w:style>
  <w:style w:type="paragraph" w:customStyle="1" w:styleId="238">
    <w:name w:val="脚注"/>
    <w:next w:val="214"/>
    <w:link w:val="237"/>
    <w:qFormat/>
    <w:uiPriority w:val="0"/>
    <w:pPr>
      <w:jc w:val="right"/>
    </w:pPr>
    <w:rPr>
      <w:rFonts w:ascii="苹方 常规" w:hAnsi="苹方 常规" w:eastAsia="苹方 常规" w:cs="楷体"/>
      <w:bCs/>
      <w:sz w:val="18"/>
      <w:lang w:val="en-US" w:eastAsia="zh-CN" w:bidi="ar-SA"/>
    </w:rPr>
  </w:style>
  <w:style w:type="paragraph" w:customStyle="1" w:styleId="239">
    <w:name w:val="TOC 标题1"/>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40">
    <w:name w:val="one-p"/>
    <w:basedOn w:val="1"/>
    <w:qFormat/>
    <w:uiPriority w:val="0"/>
    <w:pPr>
      <w:spacing w:before="100" w:beforeAutospacing="1" w:after="100" w:afterAutospacing="1"/>
    </w:pPr>
  </w:style>
  <w:style w:type="paragraph" w:customStyle="1" w:styleId="241">
    <w:name w:val="正文・评估"/>
    <w:link w:val="242"/>
    <w:qFormat/>
    <w:uiPriority w:val="0"/>
    <w:pPr>
      <w:spacing w:beforeLines="50" w:afterLines="50" w:line="360" w:lineRule="auto"/>
      <w:ind w:firstLine="200" w:firstLineChars="200"/>
      <w:contextualSpacing/>
      <w:jc w:val="both"/>
    </w:pPr>
    <w:rPr>
      <w:rFonts w:ascii="仿宋" w:hAnsi="等线" w:eastAsia="仿宋" w:cs="Times New Roman"/>
      <w:kern w:val="2"/>
      <w:sz w:val="28"/>
      <w:szCs w:val="22"/>
      <w:lang w:val="en-US" w:eastAsia="zh-CN" w:bidi="ar-SA"/>
    </w:rPr>
  </w:style>
  <w:style w:type="character" w:customStyle="1" w:styleId="242">
    <w:name w:val="正文・评估 字符"/>
    <w:link w:val="241"/>
    <w:qFormat/>
    <w:uiPriority w:val="0"/>
    <w:rPr>
      <w:rFonts w:ascii="仿宋" w:hAnsi="等线" w:eastAsia="仿宋"/>
      <w:kern w:val="2"/>
      <w:sz w:val="28"/>
      <w:szCs w:val="22"/>
    </w:rPr>
  </w:style>
  <w:style w:type="character" w:customStyle="1" w:styleId="243">
    <w:name w:val="Unresolved Mention"/>
    <w:basedOn w:val="49"/>
    <w:semiHidden/>
    <w:unhideWhenUsed/>
    <w:qFormat/>
    <w:uiPriority w:val="99"/>
    <w:rPr>
      <w:color w:val="605E5C"/>
      <w:shd w:val="clear" w:color="auto" w:fill="E1DFDD"/>
    </w:rPr>
  </w:style>
  <w:style w:type="character" w:customStyle="1" w:styleId="244">
    <w:name w:val="font61"/>
    <w:basedOn w:val="49"/>
    <w:qFormat/>
    <w:uiPriority w:val="0"/>
    <w:rPr>
      <w:rFonts w:hint="eastAsia" w:ascii="宋体" w:hAnsi="宋体" w:eastAsia="宋体" w:cs="宋体"/>
      <w:b/>
      <w:color w:val="auto"/>
      <w:sz w:val="18"/>
      <w:szCs w:val="18"/>
      <w:u w:val="none"/>
    </w:rPr>
  </w:style>
  <w:style w:type="character" w:customStyle="1" w:styleId="245">
    <w:name w:val="font71"/>
    <w:basedOn w:val="49"/>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75263-8179-41AC-B68E-90AB3835388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25990</Words>
  <Characters>29246</Characters>
  <Lines>224</Lines>
  <Paragraphs>63</Paragraphs>
  <TotalTime>4</TotalTime>
  <ScaleCrop>false</ScaleCrop>
  <LinksUpToDate>false</LinksUpToDate>
  <CharactersWithSpaces>29626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2022-03-18T08:01:00Z</dcterms:created>
  <dc:creator>Legend</dc:creator>
  <cp:lastModifiedBy>Hh-惠</cp:lastModifiedBy>
  <cp:lastPrinted>2022-03-11T01:34:00Z</cp:lastPrinted>
  <dcterms:modified xsi:type="dcterms:W3CDTF">2022-10-28T03:42:12Z</dcterms:modified>
  <dc:title>(   )房地产估价报告</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FF006308A52542919C56EB5D82D6DC3E</vt:lpwstr>
  </property>
</Properties>
</file>