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E3" w:rsidRDefault="008A54E3">
      <w:pPr>
        <w:jc w:val="center"/>
        <w:rPr>
          <w:rFonts w:ascii="楷体" w:eastAsia="楷体" w:hAnsi="楷体" w:cs="楷体"/>
          <w:b/>
          <w:bCs/>
          <w:color w:val="000000" w:themeColor="text1"/>
          <w:sz w:val="52"/>
          <w:szCs w:val="52"/>
        </w:rPr>
      </w:pPr>
    </w:p>
    <w:p w:rsidR="008A54E3" w:rsidRDefault="008A54E3">
      <w:pPr>
        <w:jc w:val="center"/>
        <w:rPr>
          <w:rFonts w:eastAsia="黑体"/>
          <w:b/>
          <w:sz w:val="44"/>
        </w:rPr>
      </w:pPr>
      <w:bookmarkStart w:id="0" w:name="_Toc76"/>
      <w:bookmarkStart w:id="1" w:name="_Toc28208"/>
      <w:bookmarkStart w:id="2" w:name="_Toc29133"/>
      <w:bookmarkStart w:id="3" w:name="_Toc243366088"/>
    </w:p>
    <w:p w:rsidR="008A54E3" w:rsidRDefault="008A54E3">
      <w:pPr>
        <w:jc w:val="center"/>
        <w:rPr>
          <w:rFonts w:eastAsia="黑体"/>
          <w:b/>
          <w:sz w:val="44"/>
        </w:rPr>
      </w:pPr>
    </w:p>
    <w:p w:rsidR="008A54E3" w:rsidRDefault="000F2545">
      <w:pPr>
        <w:spacing w:line="630" w:lineRule="exact"/>
        <w:jc w:val="center"/>
        <w:rPr>
          <w:rFonts w:eastAsia="黑体"/>
          <w:b/>
          <w:sz w:val="44"/>
        </w:rPr>
      </w:pPr>
      <w:bookmarkStart w:id="4" w:name="_Toc4856"/>
      <w:bookmarkStart w:id="5" w:name="_Toc20347"/>
      <w:bookmarkStart w:id="6" w:name="_Toc4789"/>
      <w:bookmarkStart w:id="7" w:name="_Toc456096203"/>
      <w:bookmarkStart w:id="8" w:name="_Toc452629514"/>
      <w:bookmarkStart w:id="9" w:name="_Toc980"/>
      <w:bookmarkStart w:id="10" w:name="_Toc25007"/>
      <w:bookmarkEnd w:id="0"/>
      <w:bookmarkEnd w:id="1"/>
      <w:bookmarkEnd w:id="2"/>
      <w:r>
        <w:rPr>
          <w:rFonts w:eastAsia="黑体" w:hint="eastAsia"/>
          <w:b/>
          <w:sz w:val="44"/>
        </w:rPr>
        <w:t>房地产估价报告</w:t>
      </w:r>
    </w:p>
    <w:p w:rsidR="008A54E3" w:rsidRDefault="008A54E3">
      <w:pPr>
        <w:spacing w:line="630" w:lineRule="exact"/>
      </w:pPr>
    </w:p>
    <w:p w:rsidR="008A54E3" w:rsidRDefault="008A54E3">
      <w:pPr>
        <w:spacing w:line="630" w:lineRule="exact"/>
        <w:rPr>
          <w:b/>
          <w:sz w:val="28"/>
        </w:rPr>
      </w:pPr>
    </w:p>
    <w:p w:rsidR="008A54E3" w:rsidRDefault="000F2545">
      <w:pPr>
        <w:spacing w:line="630" w:lineRule="exact"/>
        <w:rPr>
          <w:rFonts w:eastAsia="楷体"/>
          <w:sz w:val="28"/>
        </w:rPr>
      </w:pPr>
      <w:r>
        <w:rPr>
          <w:rFonts w:eastAsia="楷体" w:hint="eastAsia"/>
          <w:b/>
          <w:sz w:val="28"/>
        </w:rPr>
        <w:t>估价报告编号</w:t>
      </w:r>
      <w:r>
        <w:rPr>
          <w:rFonts w:eastAsia="楷体" w:hint="eastAsia"/>
          <w:sz w:val="28"/>
        </w:rPr>
        <w:t>：杭天平房估（</w:t>
      </w:r>
      <w:r>
        <w:rPr>
          <w:rFonts w:ascii="楷体" w:eastAsia="楷体" w:hAnsi="楷体"/>
          <w:sz w:val="28"/>
        </w:rPr>
        <w:t>202</w:t>
      </w:r>
      <w:r>
        <w:rPr>
          <w:rFonts w:ascii="楷体" w:eastAsia="楷体" w:hAnsi="楷体" w:hint="eastAsia"/>
          <w:sz w:val="28"/>
        </w:rPr>
        <w:t>2</w:t>
      </w:r>
      <w:r>
        <w:rPr>
          <w:rFonts w:eastAsia="楷体" w:hint="eastAsia"/>
          <w:sz w:val="28"/>
        </w:rPr>
        <w:t>）字第</w:t>
      </w:r>
      <w:r>
        <w:rPr>
          <w:rFonts w:eastAsia="楷体" w:hint="eastAsia"/>
          <w:sz w:val="28"/>
        </w:rPr>
        <w:t>1465</w:t>
      </w:r>
      <w:r>
        <w:rPr>
          <w:rFonts w:ascii="楷体" w:eastAsia="楷体" w:hAnsi="楷体" w:hint="eastAsia"/>
          <w:sz w:val="28"/>
        </w:rPr>
        <w:t>号</w:t>
      </w:r>
    </w:p>
    <w:p w:rsidR="008A54E3" w:rsidRDefault="008A54E3">
      <w:pPr>
        <w:spacing w:line="630" w:lineRule="exact"/>
        <w:rPr>
          <w:rFonts w:eastAsia="楷体"/>
          <w:sz w:val="28"/>
        </w:rPr>
      </w:pPr>
    </w:p>
    <w:p w:rsidR="008A54E3" w:rsidRDefault="000F2545">
      <w:pPr>
        <w:spacing w:line="630" w:lineRule="exact"/>
        <w:ind w:left="1968" w:hangingChars="700" w:hanging="1968"/>
        <w:rPr>
          <w:rFonts w:ascii="楷体" w:eastAsia="楷体" w:hAnsi="楷体"/>
          <w:spacing w:val="-6"/>
          <w:sz w:val="28"/>
          <w:szCs w:val="28"/>
        </w:rPr>
      </w:pPr>
      <w:r>
        <w:rPr>
          <w:rFonts w:eastAsia="楷体" w:hint="eastAsia"/>
          <w:b/>
          <w:sz w:val="28"/>
        </w:rPr>
        <w:t>估价项目名称：</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）其他（非住宅）</w:t>
      </w:r>
      <w:r>
        <w:rPr>
          <w:rFonts w:eastAsia="楷体" w:hint="eastAsia"/>
          <w:spacing w:val="-6"/>
          <w:sz w:val="28"/>
        </w:rPr>
        <w:t>房地产司法估价</w:t>
      </w:r>
      <w:r>
        <w:rPr>
          <w:rFonts w:eastAsia="楷体" w:hint="eastAsia"/>
          <w:spacing w:val="-6"/>
          <w:sz w:val="28"/>
        </w:rPr>
        <w:t xml:space="preserve"> </w:t>
      </w:r>
    </w:p>
    <w:p w:rsidR="008A54E3" w:rsidRDefault="008A54E3">
      <w:pPr>
        <w:spacing w:line="630" w:lineRule="exact"/>
        <w:ind w:left="1968" w:hangingChars="700" w:hanging="1968"/>
        <w:rPr>
          <w:rFonts w:eastAsia="楷体"/>
          <w:b/>
          <w:sz w:val="28"/>
        </w:rPr>
      </w:pPr>
    </w:p>
    <w:p w:rsidR="008A54E3" w:rsidRDefault="000F2545">
      <w:pPr>
        <w:spacing w:line="630" w:lineRule="exact"/>
        <w:ind w:left="1968" w:hangingChars="700" w:hanging="1968"/>
        <w:rPr>
          <w:rFonts w:eastAsia="楷体"/>
          <w:sz w:val="28"/>
        </w:rPr>
      </w:pPr>
      <w:r>
        <w:rPr>
          <w:rFonts w:eastAsia="楷体" w:hint="eastAsia"/>
          <w:b/>
          <w:sz w:val="28"/>
        </w:rPr>
        <w:t>估价委托人：</w:t>
      </w:r>
      <w:r>
        <w:rPr>
          <w:rFonts w:ascii="楷体" w:eastAsia="楷体" w:hAnsi="楷体" w:hint="eastAsia"/>
          <w:sz w:val="28"/>
        </w:rPr>
        <w:t>杭州市</w:t>
      </w:r>
      <w:r>
        <w:rPr>
          <w:rFonts w:ascii="楷体" w:eastAsia="楷体" w:hAnsi="楷体" w:hint="eastAsia"/>
          <w:sz w:val="28"/>
        </w:rPr>
        <w:t>临安</w:t>
      </w:r>
      <w:r>
        <w:rPr>
          <w:rFonts w:ascii="楷体" w:eastAsia="楷体" w:hAnsi="楷体" w:hint="eastAsia"/>
          <w:sz w:val="28"/>
        </w:rPr>
        <w:t>区人民法院</w:t>
      </w:r>
    </w:p>
    <w:p w:rsidR="008A54E3" w:rsidRDefault="008A54E3">
      <w:pPr>
        <w:spacing w:line="630" w:lineRule="exact"/>
        <w:rPr>
          <w:rFonts w:eastAsia="楷体"/>
          <w:b/>
          <w:sz w:val="28"/>
        </w:rPr>
      </w:pPr>
    </w:p>
    <w:p w:rsidR="008A54E3" w:rsidRDefault="000F2545">
      <w:pPr>
        <w:spacing w:line="630" w:lineRule="exact"/>
        <w:rPr>
          <w:rFonts w:eastAsia="楷体"/>
          <w:sz w:val="28"/>
        </w:rPr>
      </w:pPr>
      <w:r>
        <w:rPr>
          <w:rFonts w:eastAsia="楷体" w:hint="eastAsia"/>
          <w:b/>
          <w:sz w:val="28"/>
        </w:rPr>
        <w:t>房地产估价机构：</w:t>
      </w:r>
      <w:r>
        <w:rPr>
          <w:rFonts w:eastAsia="楷体" w:hint="eastAsia"/>
          <w:sz w:val="28"/>
        </w:rPr>
        <w:t>杭州天平房地产评估有限公司</w:t>
      </w:r>
    </w:p>
    <w:p w:rsidR="008A54E3" w:rsidRDefault="008A54E3">
      <w:pPr>
        <w:spacing w:line="630" w:lineRule="exact"/>
        <w:rPr>
          <w:rFonts w:eastAsia="楷体"/>
          <w:b/>
          <w:sz w:val="28"/>
        </w:rPr>
      </w:pPr>
    </w:p>
    <w:p w:rsidR="008A54E3" w:rsidRDefault="000F2545">
      <w:pPr>
        <w:spacing w:line="630" w:lineRule="exact"/>
        <w:rPr>
          <w:rFonts w:ascii="楷体" w:eastAsia="楷体" w:hAnsi="楷体" w:cs="楷体"/>
          <w:sz w:val="28"/>
        </w:rPr>
      </w:pPr>
      <w:r>
        <w:rPr>
          <w:rFonts w:eastAsia="楷体" w:hint="eastAsia"/>
          <w:b/>
          <w:sz w:val="28"/>
        </w:rPr>
        <w:t>注册房地产估价师：</w:t>
      </w:r>
      <w:r>
        <w:rPr>
          <w:rFonts w:eastAsia="楷体" w:hint="eastAsia"/>
          <w:sz w:val="28"/>
        </w:rPr>
        <w:t>沈</w:t>
      </w:r>
      <w:r>
        <w:rPr>
          <w:rFonts w:eastAsia="楷体" w:hint="eastAsia"/>
          <w:sz w:val="28"/>
        </w:rPr>
        <w:t xml:space="preserve">  </w:t>
      </w:r>
      <w:r>
        <w:rPr>
          <w:rFonts w:eastAsia="楷体" w:hint="eastAsia"/>
          <w:sz w:val="28"/>
        </w:rPr>
        <w:t>鑫</w:t>
      </w:r>
      <w:r>
        <w:rPr>
          <w:rFonts w:eastAsia="楷体" w:hint="eastAsia"/>
          <w:sz w:val="28"/>
          <w:szCs w:val="28"/>
        </w:rPr>
        <w:t>（注册号：</w:t>
      </w:r>
      <w:r>
        <w:rPr>
          <w:rFonts w:ascii="楷体" w:eastAsia="楷体" w:hAnsi="楷体" w:cs="楷体" w:hint="eastAsia"/>
          <w:sz w:val="28"/>
          <w:szCs w:val="28"/>
        </w:rPr>
        <w:t>3320160126</w:t>
      </w:r>
      <w:r>
        <w:rPr>
          <w:rFonts w:ascii="楷体" w:eastAsia="楷体" w:hAnsi="楷体" w:cs="楷体" w:hint="eastAsia"/>
          <w:sz w:val="28"/>
          <w:szCs w:val="28"/>
        </w:rPr>
        <w:t>）</w:t>
      </w:r>
    </w:p>
    <w:p w:rsidR="008A54E3" w:rsidRDefault="008A54E3">
      <w:pPr>
        <w:tabs>
          <w:tab w:val="left" w:pos="1701"/>
          <w:tab w:val="left" w:pos="1843"/>
          <w:tab w:val="left" w:pos="1985"/>
          <w:tab w:val="left" w:pos="2127"/>
          <w:tab w:val="left" w:pos="2410"/>
          <w:tab w:val="left" w:pos="2552"/>
        </w:tabs>
        <w:spacing w:line="630" w:lineRule="exact"/>
        <w:ind w:firstLineChars="900" w:firstLine="2520"/>
        <w:rPr>
          <w:rFonts w:ascii="楷体" w:eastAsia="楷体" w:hAnsi="楷体" w:cs="楷体"/>
          <w:sz w:val="28"/>
        </w:rPr>
      </w:pPr>
    </w:p>
    <w:p w:rsidR="008A54E3" w:rsidRDefault="000F2545">
      <w:pPr>
        <w:tabs>
          <w:tab w:val="left" w:pos="1701"/>
          <w:tab w:val="left" w:pos="1843"/>
          <w:tab w:val="left" w:pos="1985"/>
          <w:tab w:val="left" w:pos="2127"/>
          <w:tab w:val="left" w:pos="2410"/>
          <w:tab w:val="left" w:pos="2552"/>
        </w:tabs>
        <w:spacing w:line="630" w:lineRule="exact"/>
        <w:ind w:firstLineChars="900" w:firstLine="2520"/>
        <w:rPr>
          <w:rFonts w:ascii="宋体" w:eastAsia="楷体" w:hAnsi="宋体"/>
          <w:b/>
          <w:sz w:val="28"/>
        </w:rPr>
      </w:pPr>
      <w:r>
        <w:rPr>
          <w:rFonts w:ascii="楷体" w:eastAsia="楷体" w:hAnsi="楷体" w:cs="楷体" w:hint="eastAsia"/>
          <w:sz w:val="28"/>
        </w:rPr>
        <w:t>郑</w:t>
      </w:r>
      <w:r>
        <w:rPr>
          <w:rFonts w:ascii="楷体" w:eastAsia="楷体" w:hAnsi="楷体" w:cs="楷体" w:hint="eastAsia"/>
          <w:sz w:val="28"/>
        </w:rPr>
        <w:t xml:space="preserve">  </w:t>
      </w:r>
      <w:r>
        <w:rPr>
          <w:rFonts w:ascii="楷体" w:eastAsia="楷体" w:hAnsi="楷体" w:cs="楷体" w:hint="eastAsia"/>
          <w:sz w:val="28"/>
        </w:rPr>
        <w:t>玺</w:t>
      </w:r>
      <w:r>
        <w:rPr>
          <w:rFonts w:ascii="楷体" w:eastAsia="楷体" w:hAnsi="楷体" w:cs="楷体" w:hint="eastAsia"/>
          <w:sz w:val="28"/>
          <w:szCs w:val="28"/>
        </w:rPr>
        <w:t>（注册号：</w:t>
      </w:r>
      <w:r>
        <w:rPr>
          <w:rFonts w:ascii="楷体" w:eastAsia="楷体" w:hAnsi="楷体" w:cs="楷体" w:hint="eastAsia"/>
          <w:sz w:val="28"/>
          <w:szCs w:val="28"/>
        </w:rPr>
        <w:t>3320130035</w:t>
      </w:r>
      <w:r>
        <w:rPr>
          <w:rFonts w:ascii="楷体" w:eastAsia="楷体" w:hAnsi="楷体" w:cs="楷体" w:hint="eastAsia"/>
          <w:sz w:val="28"/>
          <w:szCs w:val="28"/>
        </w:rPr>
        <w:t>）</w:t>
      </w:r>
    </w:p>
    <w:p w:rsidR="008A54E3" w:rsidRDefault="008A54E3">
      <w:pPr>
        <w:spacing w:line="630" w:lineRule="exact"/>
        <w:rPr>
          <w:rFonts w:eastAsia="楷体"/>
          <w:sz w:val="28"/>
        </w:rPr>
      </w:pPr>
    </w:p>
    <w:p w:rsidR="008A54E3" w:rsidRDefault="000F2545">
      <w:pPr>
        <w:spacing w:line="630" w:lineRule="exact"/>
        <w:ind w:left="2238" w:hangingChars="796" w:hanging="2238"/>
        <w:rPr>
          <w:rFonts w:eastAsia="楷体"/>
          <w:sz w:val="28"/>
        </w:rPr>
      </w:pPr>
      <w:r>
        <w:rPr>
          <w:rFonts w:eastAsia="楷体" w:hint="eastAsia"/>
          <w:b/>
          <w:sz w:val="28"/>
        </w:rPr>
        <w:t>估价报告出具日期</w:t>
      </w:r>
      <w:r>
        <w:rPr>
          <w:rFonts w:ascii="仿宋_GB2312" w:eastAsia="楷体" w:hAnsi="宋体" w:hint="eastAsia"/>
          <w:b/>
          <w:sz w:val="28"/>
          <w:szCs w:val="28"/>
        </w:rPr>
        <w:t>：</w:t>
      </w:r>
      <w:r>
        <w:rPr>
          <w:rFonts w:eastAsia="楷体" w:hint="eastAsia"/>
          <w:sz w:val="28"/>
        </w:rPr>
        <w:t>二Ο二二年十一月九日</w:t>
      </w:r>
    </w:p>
    <w:p w:rsidR="008A54E3" w:rsidRDefault="008A54E3">
      <w:pPr>
        <w:spacing w:line="630" w:lineRule="exact"/>
        <w:jc w:val="center"/>
        <w:rPr>
          <w:rFonts w:ascii="楷体" w:eastAsia="楷体" w:hAnsi="楷体" w:cs="楷体"/>
          <w:color w:val="000000" w:themeColor="text1"/>
          <w:spacing w:val="20"/>
          <w:sz w:val="28"/>
          <w:szCs w:val="28"/>
        </w:rPr>
      </w:pPr>
    </w:p>
    <w:p w:rsidR="008A54E3" w:rsidRDefault="008A54E3">
      <w:pPr>
        <w:spacing w:line="630" w:lineRule="exact"/>
        <w:jc w:val="center"/>
        <w:rPr>
          <w:rFonts w:ascii="楷体" w:eastAsia="楷体" w:hAnsi="楷体" w:cs="楷体"/>
          <w:color w:val="000000" w:themeColor="text1"/>
          <w:spacing w:val="20"/>
          <w:sz w:val="28"/>
          <w:szCs w:val="28"/>
        </w:rPr>
      </w:pPr>
    </w:p>
    <w:p w:rsidR="008A54E3" w:rsidRDefault="008A54E3">
      <w:pPr>
        <w:jc w:val="center"/>
        <w:rPr>
          <w:rFonts w:ascii="楷体" w:eastAsia="楷体" w:hAnsi="楷体" w:cs="楷体"/>
          <w:color w:val="000000" w:themeColor="text1"/>
          <w:spacing w:val="20"/>
          <w:sz w:val="28"/>
          <w:szCs w:val="28"/>
        </w:rPr>
      </w:pPr>
    </w:p>
    <w:p w:rsidR="008A54E3" w:rsidRDefault="008A54E3">
      <w:pPr>
        <w:jc w:val="center"/>
        <w:rPr>
          <w:rFonts w:ascii="楷体" w:eastAsia="楷体" w:hAnsi="楷体" w:cs="楷体"/>
          <w:color w:val="000000" w:themeColor="text1"/>
          <w:spacing w:val="20"/>
          <w:sz w:val="28"/>
          <w:szCs w:val="28"/>
        </w:rPr>
      </w:pPr>
    </w:p>
    <w:p w:rsidR="008A54E3" w:rsidRDefault="008A54E3">
      <w:pPr>
        <w:rPr>
          <w:rFonts w:ascii="楷体" w:eastAsia="楷体" w:hAnsi="楷体" w:cs="楷体"/>
          <w:color w:val="000000" w:themeColor="text1"/>
          <w:sz w:val="28"/>
          <w:szCs w:val="28"/>
        </w:rPr>
        <w:sectPr w:rsidR="008A54E3">
          <w:pgSz w:w="11906" w:h="16838"/>
          <w:pgMar w:top="1276" w:right="1797" w:bottom="1134" w:left="1797" w:header="907" w:footer="992" w:gutter="0"/>
          <w:pgNumType w:start="1"/>
          <w:cols w:space="720"/>
        </w:sectPr>
      </w:pPr>
    </w:p>
    <w:p w:rsidR="008A54E3" w:rsidRDefault="000F2545" w:rsidP="0090314D">
      <w:pPr>
        <w:spacing w:beforeLines="50" w:afterLines="50" w:line="630" w:lineRule="exact"/>
        <w:jc w:val="center"/>
        <w:rPr>
          <w:rFonts w:ascii="楷体" w:eastAsia="楷体" w:hAnsi="楷体" w:cs="楷体"/>
          <w:b/>
          <w:bCs/>
          <w:color w:val="000000" w:themeColor="text1"/>
          <w:sz w:val="44"/>
          <w:szCs w:val="44"/>
        </w:rPr>
      </w:pPr>
      <w:bookmarkStart w:id="11" w:name="_Toc243366084"/>
      <w:r>
        <w:rPr>
          <w:rFonts w:ascii="黑体" w:eastAsia="黑体" w:hAnsi="黑体" w:cs="黑体" w:hint="eastAsia"/>
          <w:b/>
          <w:bCs/>
          <w:color w:val="000000" w:themeColor="text1"/>
          <w:sz w:val="32"/>
          <w:szCs w:val="32"/>
        </w:rPr>
        <w:lastRenderedPageBreak/>
        <w:t>致估价委托人函</w:t>
      </w:r>
      <w:bookmarkEnd w:id="11"/>
    </w:p>
    <w:p w:rsidR="008A54E3" w:rsidRDefault="000F2545">
      <w:pPr>
        <w:spacing w:line="580" w:lineRule="exact"/>
        <w:rPr>
          <w:rFonts w:eastAsia="楷体"/>
          <w:sz w:val="28"/>
        </w:rPr>
      </w:pPr>
      <w:r>
        <w:rPr>
          <w:rFonts w:ascii="楷体" w:eastAsia="楷体" w:hAnsi="楷体" w:hint="eastAsia"/>
          <w:sz w:val="28"/>
          <w:szCs w:val="28"/>
        </w:rPr>
        <w:t>杭州市</w:t>
      </w:r>
      <w:r>
        <w:rPr>
          <w:rFonts w:ascii="楷体" w:eastAsia="楷体" w:hAnsi="楷体" w:hint="eastAsia"/>
          <w:sz w:val="28"/>
          <w:szCs w:val="28"/>
        </w:rPr>
        <w:t>临安</w:t>
      </w:r>
      <w:r>
        <w:rPr>
          <w:rFonts w:ascii="楷体" w:eastAsia="楷体" w:hAnsi="楷体" w:hint="eastAsia"/>
          <w:sz w:val="28"/>
          <w:szCs w:val="28"/>
        </w:rPr>
        <w:t>区人民法院</w:t>
      </w:r>
      <w:r>
        <w:rPr>
          <w:rFonts w:eastAsia="楷体" w:hint="eastAsia"/>
          <w:sz w:val="28"/>
        </w:rPr>
        <w:t>：</w:t>
      </w:r>
    </w:p>
    <w:p w:rsidR="008A54E3" w:rsidRDefault="000F2545">
      <w:pPr>
        <w:autoSpaceDE w:val="0"/>
        <w:spacing w:line="54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受贵方委托，</w:t>
      </w:r>
      <w:r>
        <w:rPr>
          <w:rFonts w:ascii="楷体" w:eastAsia="楷体" w:hAnsi="楷体" w:cs="楷体" w:hint="eastAsia"/>
          <w:color w:val="000000"/>
          <w:sz w:val="28"/>
          <w:szCs w:val="28"/>
        </w:rPr>
        <w:t>根据（</w:t>
      </w:r>
      <w:r>
        <w:rPr>
          <w:rFonts w:ascii="楷体" w:eastAsia="楷体" w:hAnsi="楷体" w:cs="楷体" w:hint="eastAsia"/>
          <w:color w:val="000000"/>
          <w:sz w:val="28"/>
          <w:szCs w:val="28"/>
        </w:rPr>
        <w:t>2021</w:t>
      </w:r>
      <w:r>
        <w:rPr>
          <w:rFonts w:ascii="楷体" w:eastAsia="楷体" w:hAnsi="楷体" w:cs="楷体" w:hint="eastAsia"/>
          <w:color w:val="000000"/>
          <w:sz w:val="28"/>
          <w:szCs w:val="28"/>
        </w:rPr>
        <w:t>）浙</w:t>
      </w:r>
      <w:r>
        <w:rPr>
          <w:rFonts w:ascii="楷体" w:eastAsia="楷体" w:hAnsi="楷体" w:cs="楷体" w:hint="eastAsia"/>
          <w:color w:val="000000"/>
          <w:sz w:val="28"/>
          <w:szCs w:val="28"/>
        </w:rPr>
        <w:t xml:space="preserve"> 0112</w:t>
      </w:r>
      <w:r>
        <w:rPr>
          <w:rFonts w:ascii="楷体" w:eastAsia="楷体" w:hAnsi="楷体" w:cs="楷体" w:hint="eastAsia"/>
          <w:color w:val="000000"/>
          <w:sz w:val="28"/>
          <w:szCs w:val="28"/>
        </w:rPr>
        <w:t>执</w:t>
      </w:r>
      <w:r>
        <w:rPr>
          <w:rFonts w:ascii="楷体" w:eastAsia="楷体" w:hAnsi="楷体" w:cs="楷体" w:hint="eastAsia"/>
          <w:color w:val="000000"/>
          <w:sz w:val="28"/>
          <w:szCs w:val="28"/>
        </w:rPr>
        <w:t>1369</w:t>
      </w:r>
      <w:r>
        <w:rPr>
          <w:rFonts w:ascii="楷体" w:eastAsia="楷体" w:hAnsi="楷体" w:cs="楷体" w:hint="eastAsia"/>
          <w:color w:val="000000"/>
          <w:sz w:val="28"/>
          <w:szCs w:val="28"/>
        </w:rPr>
        <w:t>号</w:t>
      </w:r>
      <w:r>
        <w:rPr>
          <w:rFonts w:ascii="楷体" w:eastAsia="楷体" w:hAnsi="楷体" w:hint="eastAsia"/>
          <w:sz w:val="28"/>
        </w:rPr>
        <w:t>《委托书》</w:t>
      </w:r>
      <w:r>
        <w:rPr>
          <w:rFonts w:ascii="楷体" w:eastAsia="楷体" w:hAnsi="楷体" w:cs="楷体" w:hint="eastAsia"/>
          <w:sz w:val="28"/>
          <w:szCs w:val="28"/>
        </w:rPr>
        <w:t>，</w:t>
      </w:r>
      <w:r>
        <w:rPr>
          <w:rFonts w:ascii="楷体" w:eastAsia="楷体" w:hAnsi="楷体" w:cs="楷体" w:hint="eastAsia"/>
          <w:color w:val="000000"/>
          <w:sz w:val="28"/>
          <w:szCs w:val="28"/>
        </w:rPr>
        <w:t>我们按照估价程序，遵照《中华人民共和国城市房地产管理法》、《房地产估价规范》、</w:t>
      </w:r>
      <w:r>
        <w:rPr>
          <w:rFonts w:ascii="楷体" w:eastAsia="楷体" w:hAnsi="楷体" w:hint="eastAsia"/>
          <w:sz w:val="28"/>
          <w:szCs w:val="28"/>
        </w:rPr>
        <w:t>《最高人民法院关于人民法院确定财产处置参考价若干问题的规定》</w:t>
      </w:r>
      <w:r>
        <w:rPr>
          <w:rFonts w:ascii="楷体" w:eastAsia="楷体" w:hAnsi="楷体" w:cs="楷体" w:hint="eastAsia"/>
          <w:color w:val="000000"/>
          <w:sz w:val="28"/>
          <w:szCs w:val="28"/>
        </w:rPr>
        <w:t>等法律法规和技术标准对委托房地产进行了分析、测算和判断，现将估价结果报告如下：</w:t>
      </w:r>
      <w:r>
        <w:rPr>
          <w:rFonts w:ascii="楷体" w:eastAsia="楷体" w:hAnsi="楷体" w:cs="楷体" w:hint="eastAsia"/>
          <w:color w:val="000000"/>
          <w:sz w:val="28"/>
          <w:szCs w:val="28"/>
        </w:rPr>
        <w:t xml:space="preserve"> </w:t>
      </w:r>
    </w:p>
    <w:p w:rsidR="008A54E3" w:rsidRDefault="000F2545">
      <w:pPr>
        <w:autoSpaceDE w:val="0"/>
        <w:spacing w:line="540" w:lineRule="exact"/>
        <w:ind w:firstLineChars="200" w:firstLine="560"/>
        <w:textAlignment w:val="bottom"/>
        <w:rPr>
          <w:rFonts w:ascii="楷体" w:eastAsia="楷体" w:hAnsi="楷体"/>
          <w:sz w:val="28"/>
          <w:szCs w:val="28"/>
        </w:rPr>
      </w:pPr>
      <w:r>
        <w:rPr>
          <w:rFonts w:ascii="楷体" w:eastAsia="楷体" w:hAnsi="楷体" w:cs="楷体" w:hint="eastAsia"/>
          <w:color w:val="000000"/>
          <w:sz w:val="28"/>
          <w:szCs w:val="28"/>
        </w:rPr>
        <w:t>【估价对象】</w:t>
      </w:r>
      <w:r>
        <w:rPr>
          <w:rFonts w:ascii="楷体" w:eastAsia="楷体" w:hAnsi="楷体" w:hint="eastAsia"/>
          <w:sz w:val="28"/>
          <w:szCs w:val="28"/>
        </w:rPr>
        <w:t>徐海军</w:t>
      </w:r>
      <w:r>
        <w:rPr>
          <w:rFonts w:ascii="楷体" w:eastAsia="楷体" w:hAnsi="楷体" w:hint="eastAsia"/>
          <w:sz w:val="28"/>
          <w:szCs w:val="28"/>
        </w:rPr>
        <w:t>所有的位于</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）其他（非住宅）</w:t>
      </w:r>
      <w:r>
        <w:rPr>
          <w:rFonts w:ascii="楷体" w:eastAsia="楷体" w:hAnsi="楷体" w:hint="eastAsia"/>
          <w:sz w:val="28"/>
          <w:szCs w:val="28"/>
        </w:rPr>
        <w:t>房地产（包含估价对象房屋所有权、国有土地使用权</w:t>
      </w:r>
      <w:r>
        <w:rPr>
          <w:rFonts w:ascii="楷体" w:eastAsia="楷体" w:hAnsi="楷体" w:hint="eastAsia"/>
          <w:sz w:val="28"/>
          <w:szCs w:val="28"/>
        </w:rPr>
        <w:t>及室内固定装修</w:t>
      </w:r>
      <w:r>
        <w:rPr>
          <w:rFonts w:ascii="楷体" w:eastAsia="楷体" w:hAnsi="楷体" w:hint="eastAsia"/>
          <w:sz w:val="28"/>
          <w:szCs w:val="28"/>
        </w:rPr>
        <w:t>）。估价对象房屋建筑面积</w:t>
      </w:r>
      <w:r>
        <w:rPr>
          <w:rFonts w:ascii="楷体" w:eastAsia="楷体" w:hAnsi="楷体" w:hint="eastAsia"/>
          <w:sz w:val="28"/>
          <w:szCs w:val="28"/>
        </w:rPr>
        <w:t>31.01</w:t>
      </w:r>
      <w:r>
        <w:rPr>
          <w:rFonts w:ascii="楷体" w:eastAsia="楷体" w:hAnsi="楷体" w:hint="eastAsia"/>
          <w:sz w:val="28"/>
          <w:szCs w:val="28"/>
        </w:rPr>
        <w:t>平方米</w:t>
      </w:r>
      <w:r>
        <w:rPr>
          <w:rFonts w:ascii="楷体" w:eastAsia="楷体" w:hAnsi="楷体" w:hint="eastAsia"/>
          <w:sz w:val="28"/>
          <w:szCs w:val="28"/>
        </w:rPr>
        <w:t>，</w:t>
      </w:r>
      <w:r>
        <w:rPr>
          <w:rFonts w:ascii="楷体" w:eastAsia="楷体" w:hAnsi="楷体" w:hint="eastAsia"/>
          <w:sz w:val="28"/>
          <w:szCs w:val="28"/>
        </w:rPr>
        <w:t>土地使用权面积</w:t>
      </w:r>
      <w:r>
        <w:rPr>
          <w:rFonts w:ascii="楷体" w:eastAsia="楷体" w:hAnsi="楷体" w:hint="eastAsia"/>
          <w:sz w:val="28"/>
          <w:szCs w:val="28"/>
        </w:rPr>
        <w:t>11.07</w:t>
      </w:r>
      <w:r>
        <w:rPr>
          <w:rFonts w:ascii="楷体" w:eastAsia="楷体" w:hAnsi="楷体" w:hint="eastAsia"/>
          <w:sz w:val="28"/>
          <w:szCs w:val="28"/>
        </w:rPr>
        <w:t>平方米，权利类型为国有建设用地使用权</w:t>
      </w:r>
      <w:r>
        <w:rPr>
          <w:rFonts w:ascii="楷体" w:eastAsia="楷体" w:hAnsi="楷体" w:hint="eastAsia"/>
          <w:sz w:val="28"/>
          <w:szCs w:val="28"/>
        </w:rPr>
        <w:t>/</w:t>
      </w:r>
      <w:r>
        <w:rPr>
          <w:rFonts w:ascii="楷体" w:eastAsia="楷体" w:hAnsi="楷体" w:hint="eastAsia"/>
          <w:sz w:val="28"/>
          <w:szCs w:val="28"/>
        </w:rPr>
        <w:t>房屋（构筑物）所有权，权利性质为出让</w:t>
      </w:r>
      <w:r>
        <w:rPr>
          <w:rFonts w:ascii="楷体" w:eastAsia="楷体" w:hAnsi="楷体" w:hint="eastAsia"/>
          <w:sz w:val="28"/>
          <w:szCs w:val="28"/>
        </w:rPr>
        <w:t>/</w:t>
      </w:r>
      <w:r>
        <w:rPr>
          <w:rFonts w:ascii="楷体" w:eastAsia="楷体" w:hAnsi="楷体" w:hint="eastAsia"/>
          <w:sz w:val="28"/>
          <w:szCs w:val="28"/>
        </w:rPr>
        <w:t>存量房产，用途为住宅用地</w:t>
      </w:r>
      <w:r>
        <w:rPr>
          <w:rFonts w:ascii="楷体" w:eastAsia="楷体" w:hAnsi="楷体" w:hint="eastAsia"/>
          <w:sz w:val="28"/>
          <w:szCs w:val="28"/>
        </w:rPr>
        <w:t>/</w:t>
      </w:r>
      <w:r>
        <w:rPr>
          <w:rFonts w:ascii="楷体" w:eastAsia="楷体" w:hAnsi="楷体" w:hint="eastAsia"/>
          <w:sz w:val="28"/>
          <w:szCs w:val="28"/>
        </w:rPr>
        <w:t>其他（非住宅），使用期限至</w:t>
      </w:r>
      <w:r>
        <w:rPr>
          <w:rFonts w:ascii="楷体" w:eastAsia="楷体" w:hAnsi="楷体" w:hint="eastAsia"/>
          <w:sz w:val="28"/>
          <w:szCs w:val="28"/>
        </w:rPr>
        <w:t>2073</w:t>
      </w:r>
      <w:r>
        <w:rPr>
          <w:rFonts w:ascii="楷体" w:eastAsia="楷体" w:hAnsi="楷体" w:hint="eastAsia"/>
          <w:sz w:val="28"/>
          <w:szCs w:val="28"/>
        </w:rPr>
        <w:t>年</w:t>
      </w:r>
      <w:r>
        <w:rPr>
          <w:rFonts w:ascii="楷体" w:eastAsia="楷体" w:hAnsi="楷体" w:hint="eastAsia"/>
          <w:sz w:val="28"/>
          <w:szCs w:val="28"/>
        </w:rPr>
        <w:t>1</w:t>
      </w:r>
      <w:r>
        <w:rPr>
          <w:rFonts w:ascii="楷体" w:eastAsia="楷体" w:hAnsi="楷体" w:hint="eastAsia"/>
          <w:sz w:val="28"/>
          <w:szCs w:val="28"/>
        </w:rPr>
        <w:t>月</w:t>
      </w:r>
      <w:r>
        <w:rPr>
          <w:rFonts w:ascii="楷体" w:eastAsia="楷体" w:hAnsi="楷体" w:hint="eastAsia"/>
          <w:sz w:val="28"/>
          <w:szCs w:val="28"/>
        </w:rPr>
        <w:t>19</w:t>
      </w:r>
      <w:r>
        <w:rPr>
          <w:rFonts w:ascii="楷体" w:eastAsia="楷体" w:hAnsi="楷体" w:hint="eastAsia"/>
          <w:sz w:val="28"/>
          <w:szCs w:val="28"/>
        </w:rPr>
        <w:t>日。</w:t>
      </w:r>
    </w:p>
    <w:p w:rsidR="008A54E3" w:rsidRDefault="000F2545">
      <w:pPr>
        <w:autoSpaceDE w:val="0"/>
        <w:spacing w:line="54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【估价目的】</w:t>
      </w:r>
      <w:r>
        <w:rPr>
          <w:rFonts w:ascii="楷体" w:eastAsia="楷体" w:hAnsi="楷体" w:hint="eastAsia"/>
          <w:sz w:val="28"/>
        </w:rPr>
        <w:t>为人民法院确定财产处置参考价提供参考依据。</w:t>
      </w:r>
    </w:p>
    <w:p w:rsidR="008A54E3" w:rsidRDefault="000F2545">
      <w:pPr>
        <w:autoSpaceDE w:val="0"/>
        <w:spacing w:line="54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【价值时点】</w:t>
      </w:r>
      <w:r>
        <w:rPr>
          <w:rFonts w:ascii="楷体" w:eastAsia="楷体" w:hAnsi="楷体" w:cs="楷体" w:hint="eastAsia"/>
          <w:color w:val="000000"/>
          <w:sz w:val="28"/>
          <w:szCs w:val="28"/>
        </w:rPr>
        <w:t>二Ο二二年十月二十六日</w:t>
      </w:r>
      <w:r>
        <w:rPr>
          <w:rFonts w:ascii="楷体" w:eastAsia="楷体" w:hAnsi="楷体" w:cs="楷体" w:hint="eastAsia"/>
          <w:color w:val="000000"/>
          <w:sz w:val="28"/>
          <w:szCs w:val="28"/>
        </w:rPr>
        <w:t>(</w:t>
      </w:r>
      <w:r>
        <w:rPr>
          <w:rFonts w:ascii="楷体" w:eastAsia="楷体" w:hAnsi="楷体" w:cs="楷体" w:hint="eastAsia"/>
          <w:color w:val="000000"/>
          <w:sz w:val="28"/>
          <w:szCs w:val="28"/>
        </w:rPr>
        <w:t>实地查勘</w:t>
      </w:r>
      <w:r>
        <w:rPr>
          <w:rFonts w:ascii="楷体" w:eastAsia="楷体" w:hAnsi="楷体" w:cs="楷体" w:hint="eastAsia"/>
          <w:color w:val="000000"/>
          <w:sz w:val="28"/>
          <w:szCs w:val="28"/>
        </w:rPr>
        <w:t>之</w:t>
      </w:r>
      <w:r>
        <w:rPr>
          <w:rFonts w:ascii="楷体" w:eastAsia="楷体" w:hAnsi="楷体" w:cs="楷体" w:hint="eastAsia"/>
          <w:color w:val="000000"/>
          <w:sz w:val="28"/>
          <w:szCs w:val="28"/>
        </w:rPr>
        <w:t>日</w:t>
      </w:r>
      <w:r>
        <w:rPr>
          <w:rFonts w:ascii="楷体" w:eastAsia="楷体" w:hAnsi="楷体" w:cs="楷体" w:hint="eastAsia"/>
          <w:color w:val="000000"/>
          <w:sz w:val="28"/>
          <w:szCs w:val="28"/>
        </w:rPr>
        <w:t>)</w:t>
      </w:r>
      <w:r>
        <w:rPr>
          <w:rFonts w:ascii="楷体" w:eastAsia="楷体" w:hAnsi="楷体" w:cs="楷体" w:hint="eastAsia"/>
          <w:color w:val="000000"/>
          <w:sz w:val="28"/>
          <w:szCs w:val="28"/>
        </w:rPr>
        <w:t>。</w:t>
      </w:r>
    </w:p>
    <w:p w:rsidR="008A54E3" w:rsidRDefault="000F2545">
      <w:pPr>
        <w:autoSpaceDE w:val="0"/>
        <w:spacing w:line="54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【价值类型】本次估价结果为估价对象在价值时点的市场价值。</w:t>
      </w:r>
    </w:p>
    <w:p w:rsidR="008A54E3" w:rsidRDefault="000F2545">
      <w:pPr>
        <w:autoSpaceDE w:val="0"/>
        <w:spacing w:line="540" w:lineRule="exact"/>
        <w:ind w:firstLineChars="200" w:firstLine="560"/>
        <w:textAlignment w:val="bottom"/>
        <w:rPr>
          <w:rFonts w:ascii="楷体" w:eastAsia="楷体" w:hAnsi="楷体" w:cs="楷体"/>
          <w:color w:val="000000"/>
          <w:sz w:val="28"/>
          <w:szCs w:val="28"/>
        </w:rPr>
      </w:pPr>
      <w:r>
        <w:rPr>
          <w:rFonts w:ascii="楷体" w:eastAsia="楷体" w:hAnsi="楷体" w:cs="楷体" w:hint="eastAsia"/>
          <w:color w:val="000000"/>
          <w:sz w:val="28"/>
          <w:szCs w:val="28"/>
        </w:rPr>
        <w:t>【估价方法】</w:t>
      </w:r>
      <w:r>
        <w:rPr>
          <w:rFonts w:ascii="楷体" w:eastAsia="楷体" w:hAnsi="楷体" w:cs="楷体" w:hint="eastAsia"/>
          <w:color w:val="000000"/>
          <w:sz w:val="28"/>
          <w:szCs w:val="28"/>
        </w:rPr>
        <w:t>本次估价</w:t>
      </w:r>
      <w:r>
        <w:rPr>
          <w:rFonts w:ascii="楷体" w:eastAsia="楷体" w:hAnsi="楷体" w:cs="楷体" w:hint="eastAsia"/>
          <w:color w:val="000000"/>
          <w:sz w:val="28"/>
          <w:szCs w:val="28"/>
        </w:rPr>
        <w:t>采用比较法</w:t>
      </w:r>
      <w:r>
        <w:rPr>
          <w:rFonts w:ascii="楷体" w:eastAsia="楷体" w:hAnsi="楷体" w:cs="楷体" w:hint="eastAsia"/>
          <w:color w:val="000000"/>
          <w:sz w:val="28"/>
          <w:szCs w:val="28"/>
        </w:rPr>
        <w:t>和收益法</w:t>
      </w:r>
      <w:r>
        <w:rPr>
          <w:rFonts w:ascii="楷体" w:eastAsia="楷体" w:hAnsi="楷体" w:cs="楷体" w:hint="eastAsia"/>
          <w:color w:val="000000"/>
          <w:sz w:val="28"/>
          <w:szCs w:val="28"/>
        </w:rPr>
        <w:t>对估价对象进行测算。</w:t>
      </w:r>
    </w:p>
    <w:p w:rsidR="008A54E3" w:rsidRDefault="000F2545">
      <w:pPr>
        <w:spacing w:line="540" w:lineRule="exact"/>
        <w:ind w:firstLineChars="200" w:firstLine="560"/>
        <w:rPr>
          <w:rFonts w:ascii="楷体" w:eastAsia="楷体" w:hAnsi="楷体"/>
          <w:bCs/>
          <w:sz w:val="28"/>
          <w:szCs w:val="22"/>
        </w:rPr>
      </w:pPr>
      <w:r>
        <w:rPr>
          <w:rFonts w:ascii="楷体" w:eastAsia="楷体" w:hAnsi="楷体" w:cs="楷体" w:hint="eastAsia"/>
          <w:color w:val="000000"/>
          <w:sz w:val="28"/>
          <w:szCs w:val="28"/>
        </w:rPr>
        <w:t>【估价结果】估价对象受本报告估价目的与</w:t>
      </w:r>
      <w:r>
        <w:rPr>
          <w:rFonts w:ascii="楷体" w:eastAsia="楷体" w:hAnsi="楷体" w:cs="楷体" w:hint="eastAsia"/>
          <w:color w:val="000000"/>
          <w:sz w:val="28"/>
          <w:szCs w:val="28"/>
        </w:rPr>
        <w:t>估价</w:t>
      </w:r>
      <w:r>
        <w:rPr>
          <w:rFonts w:ascii="楷体" w:eastAsia="楷体" w:hAnsi="楷体" w:cs="楷体" w:hint="eastAsia"/>
          <w:color w:val="000000"/>
          <w:sz w:val="28"/>
          <w:szCs w:val="28"/>
        </w:rPr>
        <w:t>假设</w:t>
      </w:r>
      <w:r>
        <w:rPr>
          <w:rFonts w:ascii="楷体" w:eastAsia="楷体" w:hAnsi="楷体" w:cs="楷体" w:hint="eastAsia"/>
          <w:color w:val="000000"/>
          <w:sz w:val="28"/>
          <w:szCs w:val="28"/>
        </w:rPr>
        <w:t>和</w:t>
      </w:r>
      <w:r>
        <w:rPr>
          <w:rFonts w:ascii="楷体" w:eastAsia="楷体" w:hAnsi="楷体" w:cs="楷体" w:hint="eastAsia"/>
          <w:color w:val="000000"/>
          <w:sz w:val="28"/>
          <w:szCs w:val="28"/>
        </w:rPr>
        <w:t>限制条件制约，于价值时点</w:t>
      </w:r>
      <w:r>
        <w:rPr>
          <w:rFonts w:ascii="楷体" w:eastAsia="楷体" w:hAnsi="楷体" w:hint="eastAsia"/>
          <w:sz w:val="28"/>
        </w:rPr>
        <w:t>的市场价值</w:t>
      </w:r>
      <w:r>
        <w:rPr>
          <w:rFonts w:ascii="楷体" w:eastAsia="楷体" w:hAnsi="楷体" w:hint="eastAsia"/>
          <w:sz w:val="28"/>
        </w:rPr>
        <w:t>取整</w:t>
      </w:r>
      <w:r>
        <w:rPr>
          <w:rFonts w:ascii="楷体" w:eastAsia="楷体" w:hAnsi="楷体" w:hint="eastAsia"/>
          <w:sz w:val="28"/>
        </w:rPr>
        <w:t>为</w:t>
      </w:r>
      <w:r>
        <w:rPr>
          <w:rFonts w:ascii="楷体" w:eastAsia="楷体" w:hAnsi="楷体" w:hint="eastAsia"/>
          <w:bCs/>
          <w:sz w:val="28"/>
        </w:rPr>
        <w:t>人民币</w:t>
      </w:r>
      <w:r>
        <w:rPr>
          <w:rFonts w:ascii="楷体" w:eastAsia="楷体" w:hAnsi="楷体" w:hint="eastAsia"/>
          <w:b/>
          <w:sz w:val="28"/>
        </w:rPr>
        <w:t>21</w:t>
      </w:r>
      <w:r>
        <w:rPr>
          <w:rFonts w:ascii="楷体" w:eastAsia="楷体" w:hAnsi="楷体" w:hint="eastAsia"/>
          <w:b/>
          <w:sz w:val="28"/>
        </w:rPr>
        <w:t>万元</w:t>
      </w:r>
      <w:r>
        <w:rPr>
          <w:rFonts w:ascii="楷体" w:eastAsia="楷体" w:hAnsi="楷体" w:hint="eastAsia"/>
          <w:bCs/>
          <w:sz w:val="28"/>
        </w:rPr>
        <w:t>整，大写为人民币</w:t>
      </w:r>
      <w:r w:rsidR="008A54E3">
        <w:rPr>
          <w:rFonts w:ascii="楷体" w:eastAsia="楷体" w:hAnsi="楷体" w:hint="eastAsia"/>
          <w:b/>
          <w:sz w:val="28"/>
        </w:rPr>
        <w:fldChar w:fldCharType="begin"/>
      </w:r>
      <w:r>
        <w:rPr>
          <w:rFonts w:ascii="楷体" w:eastAsia="楷体" w:hAnsi="楷体" w:hint="eastAsia"/>
          <w:b/>
          <w:sz w:val="28"/>
        </w:rPr>
        <w:instrText xml:space="preserve"> = 210000 \* CHINESENUM2 \* MERGEFORMAT </w:instrText>
      </w:r>
      <w:r w:rsidR="008A54E3">
        <w:rPr>
          <w:rFonts w:ascii="楷体" w:eastAsia="楷体" w:hAnsi="楷体" w:hint="eastAsia"/>
          <w:b/>
          <w:sz w:val="28"/>
        </w:rPr>
        <w:fldChar w:fldCharType="separate"/>
      </w:r>
      <w:r>
        <w:rPr>
          <w:rFonts w:ascii="楷体" w:eastAsia="楷体" w:hAnsi="楷体" w:hint="eastAsia"/>
          <w:b/>
          <w:sz w:val="28"/>
        </w:rPr>
        <w:t>贰拾壹万</w:t>
      </w:r>
      <w:r w:rsidR="008A54E3">
        <w:rPr>
          <w:rFonts w:ascii="楷体" w:eastAsia="楷体" w:hAnsi="楷体" w:hint="eastAsia"/>
          <w:b/>
          <w:sz w:val="28"/>
        </w:rPr>
        <w:fldChar w:fldCharType="end"/>
      </w:r>
      <w:r>
        <w:rPr>
          <w:rFonts w:ascii="楷体" w:eastAsia="楷体" w:hAnsi="楷体" w:hint="eastAsia"/>
          <w:b/>
          <w:sz w:val="28"/>
        </w:rPr>
        <w:t>元</w:t>
      </w:r>
      <w:r>
        <w:rPr>
          <w:rFonts w:ascii="楷体" w:eastAsia="楷体" w:hAnsi="楷体" w:hint="eastAsia"/>
          <w:bCs/>
          <w:sz w:val="28"/>
        </w:rPr>
        <w:t>整。</w:t>
      </w:r>
    </w:p>
    <w:p w:rsidR="008A54E3" w:rsidRDefault="000F2545" w:rsidP="0090314D">
      <w:pPr>
        <w:pStyle w:val="20"/>
        <w:adjustRightInd/>
        <w:spacing w:afterLines="50" w:line="630" w:lineRule="exact"/>
        <w:rPr>
          <w:rFonts w:ascii="楷体" w:eastAsia="楷体" w:hAnsi="楷体" w:cs="楷体"/>
          <w:color w:val="000000" w:themeColor="text1"/>
          <w:kern w:val="2"/>
          <w:szCs w:val="28"/>
        </w:rPr>
      </w:pPr>
      <w:r>
        <w:rPr>
          <w:rFonts w:ascii="楷体" w:eastAsia="楷体" w:hAnsi="楷体" w:cs="楷体" w:hint="eastAsia"/>
          <w:color w:val="000000" w:themeColor="text1"/>
          <w:kern w:val="2"/>
          <w:szCs w:val="28"/>
        </w:rPr>
        <w:t>特此函告！</w:t>
      </w:r>
    </w:p>
    <w:p w:rsidR="008A54E3" w:rsidRDefault="000F2545">
      <w:pPr>
        <w:spacing w:line="500" w:lineRule="exact"/>
        <w:jc w:val="righ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杭州天平房地产评估有限公司</w:t>
      </w:r>
    </w:p>
    <w:p w:rsidR="008A54E3" w:rsidRDefault="000F2545">
      <w:pPr>
        <w:spacing w:line="500" w:lineRule="exact"/>
        <w:ind w:firstLineChars="2100" w:firstLine="5880"/>
        <w:jc w:val="center"/>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法定代表人：</w:t>
      </w:r>
      <w:r>
        <w:rPr>
          <w:rFonts w:eastAsia="楷体" w:hint="eastAsia"/>
          <w:sz w:val="28"/>
          <w:szCs w:val="28"/>
        </w:rPr>
        <w:t>杨甦</w:t>
      </w:r>
    </w:p>
    <w:p w:rsidR="008A54E3" w:rsidRDefault="000F2545" w:rsidP="0090314D">
      <w:pPr>
        <w:spacing w:line="630" w:lineRule="exact"/>
        <w:ind w:left="2229" w:hangingChars="796" w:hanging="2229"/>
        <w:rPr>
          <w:sz w:val="28"/>
        </w:rPr>
      </w:pPr>
      <w:r>
        <w:rPr>
          <w:rFonts w:eastAsia="楷体" w:hint="eastAsia"/>
          <w:sz w:val="28"/>
        </w:rPr>
        <w:t>二Ο二二年十一月九日</w:t>
      </w:r>
    </w:p>
    <w:p w:rsidR="008A54E3" w:rsidRDefault="008A54E3" w:rsidP="0090314D">
      <w:pPr>
        <w:spacing w:line="630" w:lineRule="exact"/>
        <w:ind w:left="2229" w:hangingChars="796" w:hanging="2229"/>
        <w:jc w:val="right"/>
        <w:rPr>
          <w:rFonts w:eastAsia="楷体"/>
          <w:sz w:val="28"/>
        </w:rPr>
      </w:pPr>
    </w:p>
    <w:p w:rsidR="008A54E3" w:rsidRDefault="000F2545">
      <w:pPr>
        <w:spacing w:line="540" w:lineRule="exact"/>
        <w:jc w:val="left"/>
        <w:rPr>
          <w:rFonts w:ascii="楷体" w:eastAsia="楷体" w:hAnsi="楷体" w:cs="楷体"/>
          <w:b/>
          <w:bCs/>
          <w:sz w:val="28"/>
        </w:rPr>
      </w:pPr>
      <w:r>
        <w:rPr>
          <w:rFonts w:ascii="楷体" w:eastAsia="楷体" w:hAnsi="楷体" w:cs="楷体" w:hint="eastAsia"/>
          <w:b/>
          <w:bCs/>
          <w:color w:val="000000" w:themeColor="text1"/>
          <w:sz w:val="28"/>
          <w:szCs w:val="28"/>
        </w:rPr>
        <w:lastRenderedPageBreak/>
        <w:t>特别提示：</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1</w:t>
      </w:r>
      <w:r>
        <w:rPr>
          <w:rFonts w:ascii="楷体" w:eastAsia="楷体" w:hAnsi="楷体" w:cs="楷体" w:hint="eastAsia"/>
          <w:sz w:val="28"/>
        </w:rPr>
        <w:t>、</w:t>
      </w:r>
      <w:r>
        <w:rPr>
          <w:rFonts w:ascii="楷体" w:eastAsia="楷体" w:hAnsi="楷体" w:cs="楷体" w:hint="eastAsia"/>
          <w:sz w:val="28"/>
        </w:rPr>
        <w:t>以上内容摘自房地产估价报告，请认真阅读房地产估价报告全文。本估价结果受到本估价报告中说明的估价假设和限制条件的制约。本估价报告使用期限自出具之日起壹年。</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2</w:t>
      </w:r>
      <w:r>
        <w:rPr>
          <w:rFonts w:ascii="楷体" w:eastAsia="楷体" w:hAnsi="楷体" w:cs="楷体" w:hint="eastAsia"/>
          <w:sz w:val="28"/>
        </w:rPr>
        <w:t>、</w:t>
      </w:r>
      <w:r>
        <w:rPr>
          <w:rFonts w:ascii="楷体" w:eastAsia="楷体" w:hAnsi="楷体" w:cs="楷体" w:hint="eastAsia"/>
          <w:sz w:val="28"/>
        </w:rPr>
        <w:t>应当按照法律规定和评估报告载明的用途、使用人、使用期限等使用范围使用评估报告。否则，房地产估价机构和注册房地产估价师依法不承担责任；</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3</w:t>
      </w:r>
      <w:r>
        <w:rPr>
          <w:rFonts w:ascii="楷体" w:eastAsia="楷体" w:hAnsi="楷体" w:cs="楷体" w:hint="eastAsia"/>
          <w:sz w:val="28"/>
        </w:rPr>
        <w:t>、估价</w:t>
      </w:r>
      <w:r>
        <w:rPr>
          <w:rFonts w:ascii="楷体" w:eastAsia="楷体" w:hAnsi="楷体" w:cs="楷体" w:hint="eastAsia"/>
          <w:sz w:val="28"/>
        </w:rPr>
        <w:t>结果仅为人民法院确定财产处置参考价服务，不是</w:t>
      </w:r>
      <w:r>
        <w:rPr>
          <w:rFonts w:ascii="楷体" w:eastAsia="楷体" w:hAnsi="楷体" w:cs="楷体" w:hint="eastAsia"/>
          <w:sz w:val="28"/>
        </w:rPr>
        <w:t>估价</w:t>
      </w:r>
      <w:r>
        <w:rPr>
          <w:rFonts w:ascii="楷体" w:eastAsia="楷体" w:hAnsi="楷体" w:cs="楷体" w:hint="eastAsia"/>
          <w:sz w:val="28"/>
        </w:rPr>
        <w:t>对象处置可实现的成交价格，也不应当被视为对</w:t>
      </w:r>
      <w:r>
        <w:rPr>
          <w:rFonts w:ascii="楷体" w:eastAsia="楷体" w:hAnsi="楷体" w:cs="楷体" w:hint="eastAsia"/>
          <w:sz w:val="28"/>
        </w:rPr>
        <w:t>估价</w:t>
      </w:r>
      <w:r>
        <w:rPr>
          <w:rFonts w:ascii="楷体" w:eastAsia="楷体" w:hAnsi="楷体" w:cs="楷体" w:hint="eastAsia"/>
          <w:sz w:val="28"/>
        </w:rPr>
        <w:t>对象处置成交价格的保证；</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4</w:t>
      </w:r>
      <w:r>
        <w:rPr>
          <w:rFonts w:ascii="楷体" w:eastAsia="楷体" w:hAnsi="楷体" w:cs="楷体" w:hint="eastAsia"/>
          <w:sz w:val="28"/>
        </w:rPr>
        <w:t>、</w:t>
      </w:r>
      <w:r>
        <w:rPr>
          <w:rFonts w:ascii="楷体" w:eastAsia="楷体" w:hAnsi="楷体" w:cs="楷体" w:hint="eastAsia"/>
          <w:sz w:val="28"/>
        </w:rPr>
        <w:t>财产拍卖或者变卖之日与价值时点不一致，可能导致</w:t>
      </w:r>
      <w:r>
        <w:rPr>
          <w:rFonts w:ascii="楷体" w:eastAsia="楷体" w:hAnsi="楷体" w:cs="楷体" w:hint="eastAsia"/>
          <w:sz w:val="28"/>
        </w:rPr>
        <w:t>估价</w:t>
      </w:r>
      <w:r>
        <w:rPr>
          <w:rFonts w:ascii="楷体" w:eastAsia="楷体" w:hAnsi="楷体" w:cs="楷体" w:hint="eastAsia"/>
          <w:sz w:val="28"/>
        </w:rPr>
        <w:t>结果对应的</w:t>
      </w:r>
      <w:r>
        <w:rPr>
          <w:rFonts w:ascii="楷体" w:eastAsia="楷体" w:hAnsi="楷体" w:cs="楷体" w:hint="eastAsia"/>
          <w:sz w:val="28"/>
        </w:rPr>
        <w:t>估价</w:t>
      </w:r>
      <w:r>
        <w:rPr>
          <w:rFonts w:ascii="楷体" w:eastAsia="楷体" w:hAnsi="楷体" w:cs="楷体" w:hint="eastAsia"/>
          <w:sz w:val="28"/>
        </w:rPr>
        <w:t>对象状况、房地产市场状况、欠缴税费状况等与财产拍卖或者变卖时的相应状况不一致，发生明显变化的，</w:t>
      </w:r>
      <w:r>
        <w:rPr>
          <w:rFonts w:ascii="楷体" w:eastAsia="楷体" w:hAnsi="楷体" w:cs="楷体" w:hint="eastAsia"/>
          <w:sz w:val="28"/>
        </w:rPr>
        <w:t>估价</w:t>
      </w:r>
      <w:r>
        <w:rPr>
          <w:rFonts w:ascii="楷体" w:eastAsia="楷体" w:hAnsi="楷体" w:cs="楷体" w:hint="eastAsia"/>
          <w:sz w:val="28"/>
        </w:rPr>
        <w:t>结果应当进行相应调整后才可使用；</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5</w:t>
      </w:r>
      <w:r>
        <w:rPr>
          <w:rFonts w:ascii="楷体" w:eastAsia="楷体" w:hAnsi="楷体" w:cs="楷体" w:hint="eastAsia"/>
          <w:sz w:val="28"/>
        </w:rPr>
        <w:t>、</w:t>
      </w:r>
      <w:r>
        <w:rPr>
          <w:rFonts w:ascii="楷体" w:eastAsia="楷体" w:hAnsi="楷体" w:cs="楷体" w:hint="eastAsia"/>
          <w:sz w:val="28"/>
        </w:rPr>
        <w:t>在</w:t>
      </w:r>
      <w:r>
        <w:rPr>
          <w:rFonts w:ascii="楷体" w:eastAsia="楷体" w:hAnsi="楷体" w:cs="楷体" w:hint="eastAsia"/>
          <w:sz w:val="28"/>
        </w:rPr>
        <w:t>估价</w:t>
      </w:r>
      <w:r>
        <w:rPr>
          <w:rFonts w:ascii="楷体" w:eastAsia="楷体" w:hAnsi="楷体" w:cs="楷体" w:hint="eastAsia"/>
          <w:sz w:val="28"/>
        </w:rPr>
        <w:t>报告使用期限或者</w:t>
      </w:r>
      <w:r>
        <w:rPr>
          <w:rFonts w:ascii="楷体" w:eastAsia="楷体" w:hAnsi="楷体" w:cs="楷体" w:hint="eastAsia"/>
          <w:sz w:val="28"/>
        </w:rPr>
        <w:t>估价</w:t>
      </w:r>
      <w:r>
        <w:rPr>
          <w:rFonts w:ascii="楷体" w:eastAsia="楷体" w:hAnsi="楷体" w:cs="楷体" w:hint="eastAsia"/>
          <w:sz w:val="28"/>
        </w:rPr>
        <w:t>结果有效期内，</w:t>
      </w:r>
      <w:r>
        <w:rPr>
          <w:rFonts w:ascii="楷体" w:eastAsia="楷体" w:hAnsi="楷体" w:cs="楷体" w:hint="eastAsia"/>
          <w:sz w:val="28"/>
        </w:rPr>
        <w:t>估价</w:t>
      </w:r>
      <w:r>
        <w:rPr>
          <w:rFonts w:ascii="楷体" w:eastAsia="楷体" w:hAnsi="楷体" w:cs="楷体" w:hint="eastAsia"/>
          <w:sz w:val="28"/>
        </w:rPr>
        <w:t>报告或者</w:t>
      </w:r>
      <w:r>
        <w:rPr>
          <w:rFonts w:ascii="楷体" w:eastAsia="楷体" w:hAnsi="楷体" w:cs="楷体" w:hint="eastAsia"/>
          <w:sz w:val="28"/>
        </w:rPr>
        <w:t>估价</w:t>
      </w:r>
      <w:r>
        <w:rPr>
          <w:rFonts w:ascii="楷体" w:eastAsia="楷体" w:hAnsi="楷体" w:cs="楷体" w:hint="eastAsia"/>
          <w:sz w:val="28"/>
        </w:rPr>
        <w:t>结果未使用之前，如果</w:t>
      </w:r>
      <w:r>
        <w:rPr>
          <w:rFonts w:ascii="楷体" w:eastAsia="楷体" w:hAnsi="楷体" w:cs="楷体" w:hint="eastAsia"/>
          <w:sz w:val="28"/>
        </w:rPr>
        <w:t>估价</w:t>
      </w:r>
      <w:r>
        <w:rPr>
          <w:rFonts w:ascii="楷体" w:eastAsia="楷体" w:hAnsi="楷体" w:cs="楷体" w:hint="eastAsia"/>
          <w:sz w:val="28"/>
        </w:rPr>
        <w:t>对象状况或者房地产市场状况发生明显变化的，</w:t>
      </w:r>
      <w:r>
        <w:rPr>
          <w:rFonts w:ascii="楷体" w:eastAsia="楷体" w:hAnsi="楷体" w:cs="楷体" w:hint="eastAsia"/>
          <w:sz w:val="28"/>
        </w:rPr>
        <w:t>估价</w:t>
      </w:r>
      <w:r>
        <w:rPr>
          <w:rFonts w:ascii="楷体" w:eastAsia="楷体" w:hAnsi="楷体" w:cs="楷体" w:hint="eastAsia"/>
          <w:sz w:val="28"/>
        </w:rPr>
        <w:t>结果应当进行相应调整后才可使用；</w:t>
      </w:r>
    </w:p>
    <w:p w:rsidR="008A54E3" w:rsidRDefault="000F2545">
      <w:pPr>
        <w:spacing w:line="540" w:lineRule="exact"/>
        <w:ind w:firstLineChars="200" w:firstLine="560"/>
        <w:jc w:val="left"/>
        <w:rPr>
          <w:rFonts w:ascii="楷体" w:eastAsia="楷体" w:hAnsi="楷体" w:cs="楷体"/>
          <w:sz w:val="28"/>
        </w:rPr>
      </w:pPr>
      <w:r>
        <w:rPr>
          <w:rFonts w:ascii="楷体" w:eastAsia="楷体" w:hAnsi="楷体" w:cs="楷体" w:hint="eastAsia"/>
          <w:sz w:val="28"/>
        </w:rPr>
        <w:t>6</w:t>
      </w:r>
      <w:r>
        <w:rPr>
          <w:rFonts w:ascii="楷体" w:eastAsia="楷体" w:hAnsi="楷体" w:cs="楷体" w:hint="eastAsia"/>
          <w:sz w:val="28"/>
        </w:rPr>
        <w:t>、</w:t>
      </w:r>
      <w:r>
        <w:rPr>
          <w:rFonts w:ascii="楷体" w:eastAsia="楷体" w:hAnsi="楷体" w:cs="楷体" w:hint="eastAsia"/>
          <w:sz w:val="28"/>
        </w:rPr>
        <w:t>当事人、利害关系</w:t>
      </w:r>
      <w:r>
        <w:rPr>
          <w:rFonts w:ascii="楷体" w:eastAsia="楷体" w:hAnsi="楷体" w:cs="楷体" w:hint="eastAsia"/>
          <w:sz w:val="28"/>
        </w:rPr>
        <w:t>人收到</w:t>
      </w:r>
      <w:r>
        <w:rPr>
          <w:rFonts w:ascii="楷体" w:eastAsia="楷体" w:hAnsi="楷体" w:cs="楷体" w:hint="eastAsia"/>
          <w:sz w:val="28"/>
        </w:rPr>
        <w:t>估价</w:t>
      </w:r>
      <w:r>
        <w:rPr>
          <w:rFonts w:ascii="楷体" w:eastAsia="楷体" w:hAnsi="楷体" w:cs="楷体" w:hint="eastAsia"/>
          <w:sz w:val="28"/>
        </w:rPr>
        <w:t>报告后五日内可对</w:t>
      </w:r>
      <w:r>
        <w:rPr>
          <w:rFonts w:ascii="楷体" w:eastAsia="楷体" w:hAnsi="楷体" w:cs="楷体" w:hint="eastAsia"/>
          <w:sz w:val="28"/>
        </w:rPr>
        <w:t>估价</w:t>
      </w:r>
      <w:r>
        <w:rPr>
          <w:rFonts w:ascii="楷体" w:eastAsia="楷体" w:hAnsi="楷体" w:cs="楷体" w:hint="eastAsia"/>
          <w:sz w:val="28"/>
        </w:rPr>
        <w:t>报告的参照标准、计算方法或者</w:t>
      </w:r>
      <w:r>
        <w:rPr>
          <w:rFonts w:ascii="楷体" w:eastAsia="楷体" w:hAnsi="楷体" w:cs="楷体" w:hint="eastAsia"/>
          <w:sz w:val="28"/>
        </w:rPr>
        <w:t>估价</w:t>
      </w:r>
      <w:r>
        <w:rPr>
          <w:rFonts w:ascii="楷体" w:eastAsia="楷体" w:hAnsi="楷体" w:cs="楷体" w:hint="eastAsia"/>
          <w:sz w:val="28"/>
        </w:rPr>
        <w:t>结果等向人民法院提出书面异议，本公司将根据异议进行复核并作出书面说明。</w:t>
      </w:r>
    </w:p>
    <w:p w:rsidR="008A54E3" w:rsidRDefault="008A54E3">
      <w:pPr>
        <w:spacing w:line="560" w:lineRule="exact"/>
        <w:jc w:val="left"/>
        <w:rPr>
          <w:rFonts w:ascii="楷体" w:eastAsia="楷体" w:hAnsi="楷体" w:cs="楷体"/>
          <w:sz w:val="28"/>
        </w:rPr>
      </w:pPr>
    </w:p>
    <w:p w:rsidR="008A54E3" w:rsidRDefault="008A54E3">
      <w:pPr>
        <w:jc w:val="right"/>
        <w:rPr>
          <w:rFonts w:ascii="楷体" w:eastAsia="楷体" w:hAnsi="楷体" w:cs="楷体"/>
          <w:sz w:val="28"/>
        </w:rPr>
      </w:pPr>
    </w:p>
    <w:p w:rsidR="008A54E3" w:rsidRDefault="008A54E3">
      <w:pPr>
        <w:jc w:val="right"/>
        <w:rPr>
          <w:rFonts w:ascii="楷体" w:eastAsia="楷体" w:hAnsi="楷体" w:cs="楷体"/>
          <w:sz w:val="28"/>
        </w:rPr>
      </w:pPr>
    </w:p>
    <w:p w:rsidR="008A54E3" w:rsidRDefault="008A54E3">
      <w:pPr>
        <w:jc w:val="right"/>
        <w:rPr>
          <w:rFonts w:ascii="楷体" w:eastAsia="楷体" w:hAnsi="楷体" w:cs="楷体"/>
          <w:sz w:val="28"/>
        </w:rPr>
      </w:pPr>
    </w:p>
    <w:p w:rsidR="008A54E3" w:rsidRDefault="008A54E3">
      <w:pPr>
        <w:jc w:val="right"/>
        <w:rPr>
          <w:rFonts w:ascii="楷体" w:eastAsia="楷体" w:hAnsi="楷体" w:cs="楷体"/>
          <w:sz w:val="28"/>
        </w:rPr>
      </w:pPr>
    </w:p>
    <w:p w:rsidR="008A54E3" w:rsidRDefault="008A54E3">
      <w:pPr>
        <w:jc w:val="right"/>
        <w:rPr>
          <w:rFonts w:ascii="楷体" w:eastAsia="楷体" w:hAnsi="楷体" w:cs="楷体"/>
          <w:sz w:val="28"/>
        </w:rPr>
      </w:pPr>
    </w:p>
    <w:p w:rsidR="008A54E3" w:rsidRDefault="008A54E3">
      <w:pPr>
        <w:jc w:val="right"/>
        <w:rPr>
          <w:rFonts w:ascii="楷体" w:eastAsia="楷体" w:hAnsi="楷体" w:cs="楷体"/>
          <w:sz w:val="28"/>
        </w:rPr>
      </w:pPr>
    </w:p>
    <w:bookmarkStart w:id="12" w:name="_Toc25990" w:displacedByCustomXml="next"/>
    <w:sdt>
      <w:sdtPr>
        <w:rPr>
          <w:rFonts w:ascii="宋体" w:hAnsi="宋体"/>
          <w:b w:val="0"/>
          <w:bCs w:val="0"/>
          <w:sz w:val="21"/>
          <w:szCs w:val="24"/>
        </w:rPr>
        <w:id w:val="147476667"/>
        <w:docPartObj>
          <w:docPartGallery w:val="Table of Contents"/>
          <w:docPartUnique/>
        </w:docPartObj>
      </w:sdtPr>
      <w:sdtEndPr>
        <w:rPr>
          <w:rFonts w:ascii="楷体" w:hAnsi="楷体" w:cs="楷体" w:hint="eastAsia"/>
          <w:color w:val="000000" w:themeColor="text1"/>
          <w:spacing w:val="20"/>
          <w:sz w:val="28"/>
          <w:szCs w:val="28"/>
        </w:rPr>
      </w:sdtEndPr>
      <w:sdtContent>
        <w:p w:rsidR="008A54E3" w:rsidRDefault="000F2545" w:rsidP="0090314D">
          <w:pPr>
            <w:pStyle w:val="2"/>
            <w:spacing w:beforeLines="50" w:afterLines="50" w:line="560" w:lineRule="exact"/>
            <w:jc w:val="center"/>
            <w:rPr>
              <w:rFonts w:ascii="楷体" w:hAnsi="楷体" w:cs="楷体"/>
              <w:sz w:val="32"/>
              <w:szCs w:val="40"/>
            </w:rPr>
          </w:pPr>
          <w:r>
            <w:rPr>
              <w:rFonts w:ascii="黑体" w:eastAsia="黑体" w:hAnsi="黑体" w:cs="黑体" w:hint="eastAsia"/>
              <w:color w:val="000000" w:themeColor="text1"/>
              <w:kern w:val="44"/>
              <w:sz w:val="32"/>
            </w:rPr>
            <w:t>目录</w:t>
          </w:r>
          <w:bookmarkEnd w:id="12"/>
        </w:p>
        <w:p w:rsidR="008A54E3" w:rsidRDefault="008A54E3">
          <w:pPr>
            <w:pStyle w:val="21"/>
            <w:tabs>
              <w:tab w:val="right" w:leader="dot" w:pos="8408"/>
            </w:tabs>
            <w:spacing w:line="40" w:lineRule="exact"/>
            <w:rPr>
              <w:rFonts w:ascii="楷体" w:hAnsi="楷体" w:cs="楷体"/>
              <w:sz w:val="28"/>
              <w:szCs w:val="28"/>
            </w:rPr>
          </w:pPr>
          <w:r>
            <w:rPr>
              <w:rFonts w:ascii="楷体" w:hAnsi="楷体" w:cs="楷体" w:hint="eastAsia"/>
              <w:color w:val="000000" w:themeColor="text1"/>
              <w:spacing w:val="20"/>
              <w:sz w:val="28"/>
              <w:szCs w:val="28"/>
            </w:rPr>
            <w:fldChar w:fldCharType="begin"/>
          </w:r>
          <w:r w:rsidR="000F2545">
            <w:rPr>
              <w:rFonts w:ascii="楷体" w:hAnsi="楷体" w:cs="楷体" w:hint="eastAsia"/>
              <w:color w:val="000000" w:themeColor="text1"/>
              <w:spacing w:val="20"/>
              <w:sz w:val="28"/>
              <w:szCs w:val="28"/>
            </w:rPr>
            <w:instrText xml:space="preserve">TOC \o "1-2" \h \u </w:instrText>
          </w:r>
          <w:r>
            <w:rPr>
              <w:rFonts w:ascii="楷体" w:hAnsi="楷体" w:cs="楷体" w:hint="eastAsia"/>
              <w:color w:val="000000" w:themeColor="text1"/>
              <w:spacing w:val="20"/>
              <w:sz w:val="28"/>
              <w:szCs w:val="28"/>
            </w:rPr>
            <w:fldChar w:fldCharType="separate"/>
          </w:r>
        </w:p>
        <w:p w:rsidR="008A54E3" w:rsidRDefault="008A54E3">
          <w:pPr>
            <w:pStyle w:val="10"/>
            <w:tabs>
              <w:tab w:val="right" w:leader="dot" w:pos="8408"/>
            </w:tabs>
            <w:spacing w:line="630" w:lineRule="exact"/>
            <w:rPr>
              <w:rFonts w:ascii="楷体" w:hAnsi="楷体" w:cs="楷体"/>
              <w:szCs w:val="28"/>
            </w:rPr>
          </w:pPr>
          <w:hyperlink w:anchor="_Toc4397" w:history="1">
            <w:r w:rsidR="000F2545">
              <w:rPr>
                <w:rFonts w:ascii="楷体" w:hAnsi="楷体" w:cs="楷体" w:hint="eastAsia"/>
                <w:szCs w:val="28"/>
              </w:rPr>
              <w:t>注册房地产估价师声明</w:t>
            </w:r>
            <w:r w:rsidR="000F2545">
              <w:rPr>
                <w:rFonts w:ascii="楷体" w:hAnsi="楷体" w:cs="楷体" w:hint="eastAsia"/>
                <w:szCs w:val="28"/>
              </w:rPr>
              <w:tab/>
            </w:r>
            <w:r>
              <w:rPr>
                <w:rFonts w:ascii="楷体" w:hAnsi="楷体" w:cs="楷体" w:hint="eastAsia"/>
                <w:szCs w:val="28"/>
              </w:rPr>
              <w:fldChar w:fldCharType="begin"/>
            </w:r>
            <w:r w:rsidR="000F2545">
              <w:rPr>
                <w:rFonts w:ascii="楷体" w:hAnsi="楷体" w:cs="楷体" w:hint="eastAsia"/>
                <w:szCs w:val="28"/>
              </w:rPr>
              <w:instrText xml:space="preserve"> PAGEREF _Toc4397 </w:instrText>
            </w:r>
            <w:r>
              <w:rPr>
                <w:rFonts w:ascii="楷体" w:hAnsi="楷体" w:cs="楷体" w:hint="eastAsia"/>
                <w:szCs w:val="28"/>
              </w:rPr>
              <w:fldChar w:fldCharType="separate"/>
            </w:r>
            <w:r w:rsidR="000F2545">
              <w:rPr>
                <w:rFonts w:ascii="楷体" w:hAnsi="楷体" w:cs="楷体" w:hint="eastAsia"/>
                <w:szCs w:val="28"/>
              </w:rPr>
              <w:t>1</w:t>
            </w:r>
            <w:r>
              <w:rPr>
                <w:rFonts w:ascii="楷体" w:hAnsi="楷体" w:cs="楷体" w:hint="eastAsia"/>
                <w:szCs w:val="28"/>
              </w:rPr>
              <w:fldChar w:fldCharType="end"/>
            </w:r>
          </w:hyperlink>
        </w:p>
        <w:p w:rsidR="008A54E3" w:rsidRDefault="008A54E3">
          <w:pPr>
            <w:pStyle w:val="10"/>
            <w:tabs>
              <w:tab w:val="right" w:leader="dot" w:pos="8408"/>
            </w:tabs>
            <w:spacing w:line="630" w:lineRule="exact"/>
            <w:rPr>
              <w:rFonts w:ascii="楷体" w:hAnsi="楷体" w:cs="楷体"/>
              <w:szCs w:val="28"/>
            </w:rPr>
          </w:pPr>
          <w:hyperlink w:anchor="_Toc13041" w:history="1">
            <w:r w:rsidR="000F2545">
              <w:rPr>
                <w:rFonts w:ascii="楷体" w:hAnsi="楷体" w:cs="楷体" w:hint="eastAsia"/>
                <w:szCs w:val="28"/>
              </w:rPr>
              <w:t>估价假设和限制条件</w:t>
            </w:r>
            <w:r w:rsidR="000F2545">
              <w:rPr>
                <w:rFonts w:ascii="楷体" w:hAnsi="楷体" w:cs="楷体" w:hint="eastAsia"/>
                <w:szCs w:val="28"/>
              </w:rPr>
              <w:tab/>
            </w:r>
            <w:r>
              <w:rPr>
                <w:rFonts w:ascii="楷体" w:hAnsi="楷体" w:cs="楷体" w:hint="eastAsia"/>
                <w:szCs w:val="28"/>
              </w:rPr>
              <w:fldChar w:fldCharType="begin"/>
            </w:r>
            <w:r w:rsidR="000F2545">
              <w:rPr>
                <w:rFonts w:ascii="楷体" w:hAnsi="楷体" w:cs="楷体" w:hint="eastAsia"/>
                <w:szCs w:val="28"/>
              </w:rPr>
              <w:instrText xml:space="preserve"> PAGEREF _Toc13041 </w:instrText>
            </w:r>
            <w:r>
              <w:rPr>
                <w:rFonts w:ascii="楷体" w:hAnsi="楷体" w:cs="楷体" w:hint="eastAsia"/>
                <w:szCs w:val="28"/>
              </w:rPr>
              <w:fldChar w:fldCharType="separate"/>
            </w:r>
            <w:r w:rsidR="000F2545">
              <w:rPr>
                <w:rFonts w:ascii="楷体" w:hAnsi="楷体" w:cs="楷体" w:hint="eastAsia"/>
                <w:szCs w:val="28"/>
              </w:rPr>
              <w:t>2</w:t>
            </w:r>
            <w:r>
              <w:rPr>
                <w:rFonts w:ascii="楷体" w:hAnsi="楷体" w:cs="楷体" w:hint="eastAsia"/>
                <w:szCs w:val="28"/>
              </w:rPr>
              <w:fldChar w:fldCharType="end"/>
            </w:r>
          </w:hyperlink>
        </w:p>
        <w:p w:rsidR="008A54E3" w:rsidRDefault="008A54E3">
          <w:pPr>
            <w:pStyle w:val="10"/>
            <w:tabs>
              <w:tab w:val="right" w:leader="dot" w:pos="8408"/>
            </w:tabs>
            <w:spacing w:line="630" w:lineRule="exact"/>
            <w:rPr>
              <w:rFonts w:ascii="楷体" w:hAnsi="楷体" w:cs="楷体"/>
              <w:szCs w:val="28"/>
            </w:rPr>
          </w:pPr>
          <w:hyperlink w:anchor="_Toc26082" w:history="1">
            <w:r w:rsidR="000F2545">
              <w:rPr>
                <w:rFonts w:ascii="楷体" w:hAnsi="楷体" w:cs="楷体" w:hint="eastAsia"/>
                <w:szCs w:val="28"/>
              </w:rPr>
              <w:t>估价结果报告</w:t>
            </w:r>
            <w:r w:rsidR="000F2545">
              <w:rPr>
                <w:rFonts w:ascii="楷体" w:hAnsi="楷体" w:cs="楷体" w:hint="eastAsia"/>
                <w:szCs w:val="28"/>
              </w:rPr>
              <w:tab/>
            </w:r>
            <w:r>
              <w:rPr>
                <w:rFonts w:ascii="楷体" w:hAnsi="楷体" w:cs="楷体" w:hint="eastAsia"/>
                <w:szCs w:val="28"/>
              </w:rPr>
              <w:fldChar w:fldCharType="begin"/>
            </w:r>
            <w:r w:rsidR="000F2545">
              <w:rPr>
                <w:rFonts w:ascii="楷体" w:hAnsi="楷体" w:cs="楷体" w:hint="eastAsia"/>
                <w:szCs w:val="28"/>
              </w:rPr>
              <w:instrText xml:space="preserve"> PAGEREF _Toc26082 </w:instrText>
            </w:r>
            <w:r>
              <w:rPr>
                <w:rFonts w:ascii="楷体" w:hAnsi="楷体" w:cs="楷体" w:hint="eastAsia"/>
                <w:szCs w:val="28"/>
              </w:rPr>
              <w:fldChar w:fldCharType="separate"/>
            </w:r>
            <w:r w:rsidR="000F2545">
              <w:rPr>
                <w:rFonts w:ascii="楷体" w:hAnsi="楷体" w:cs="楷体" w:hint="eastAsia"/>
                <w:szCs w:val="28"/>
              </w:rPr>
              <w:t>5</w:t>
            </w:r>
            <w:r>
              <w:rPr>
                <w:rFonts w:ascii="楷体" w:hAnsi="楷体" w:cs="楷体" w:hint="eastAsia"/>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7359" w:history="1">
            <w:r w:rsidR="000F2545">
              <w:rPr>
                <w:rFonts w:ascii="楷体" w:hAnsi="楷体" w:cs="楷体" w:hint="eastAsia"/>
                <w:sz w:val="28"/>
                <w:szCs w:val="28"/>
              </w:rPr>
              <w:t>一、估价委托人</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_Toc27359 </w:instrText>
            </w:r>
            <w:r>
              <w:rPr>
                <w:rFonts w:ascii="楷体" w:hAnsi="楷体" w:cs="楷体" w:hint="eastAsia"/>
                <w:sz w:val="28"/>
                <w:szCs w:val="28"/>
              </w:rPr>
              <w:fldChar w:fldCharType="separate"/>
            </w:r>
            <w:r w:rsidR="000F2545">
              <w:rPr>
                <w:rFonts w:ascii="楷体" w:hAnsi="楷体" w:cs="楷体" w:hint="eastAsia"/>
                <w:sz w:val="28"/>
                <w:szCs w:val="28"/>
              </w:rPr>
              <w:t>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3612" w:history="1">
            <w:r w:rsidR="000F2545">
              <w:rPr>
                <w:rFonts w:ascii="楷体" w:hAnsi="楷体" w:cs="楷体" w:hint="eastAsia"/>
                <w:sz w:val="28"/>
                <w:szCs w:val="28"/>
              </w:rPr>
              <w:t>二、房地产估价机构</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_Toc3612 </w:instrText>
            </w:r>
            <w:r>
              <w:rPr>
                <w:rFonts w:ascii="楷体" w:hAnsi="楷体" w:cs="楷体" w:hint="eastAsia"/>
                <w:sz w:val="28"/>
                <w:szCs w:val="28"/>
              </w:rPr>
              <w:fldChar w:fldCharType="separate"/>
            </w:r>
            <w:r w:rsidR="000F2545">
              <w:rPr>
                <w:rFonts w:ascii="楷体" w:hAnsi="楷体" w:cs="楷体" w:hint="eastAsia"/>
                <w:sz w:val="28"/>
                <w:szCs w:val="28"/>
              </w:rPr>
              <w:t>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5339" w:history="1">
            <w:r w:rsidR="000F2545">
              <w:rPr>
                <w:rFonts w:ascii="楷体" w:hAnsi="楷体" w:cs="楷体" w:hint="eastAsia"/>
                <w:sz w:val="28"/>
                <w:szCs w:val="28"/>
              </w:rPr>
              <w:t>三、估价目的</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_Toc25339 </w:instrText>
            </w:r>
            <w:r>
              <w:rPr>
                <w:rFonts w:ascii="楷体" w:hAnsi="楷体" w:cs="楷体" w:hint="eastAsia"/>
                <w:sz w:val="28"/>
                <w:szCs w:val="28"/>
              </w:rPr>
              <w:fldChar w:fldCharType="separate"/>
            </w:r>
            <w:r w:rsidR="000F2545">
              <w:rPr>
                <w:rFonts w:ascii="楷体" w:hAnsi="楷体" w:cs="楷体" w:hint="eastAsia"/>
                <w:sz w:val="28"/>
                <w:szCs w:val="28"/>
              </w:rPr>
              <w:t>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6892" w:history="1">
            <w:r w:rsidR="000F2545">
              <w:rPr>
                <w:rFonts w:ascii="楷体" w:hAnsi="楷体" w:cs="楷体" w:hint="eastAsia"/>
                <w:sz w:val="28"/>
                <w:szCs w:val="28"/>
              </w:rPr>
              <w:t>四、估价对象</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_Toc26892 </w:instrText>
            </w:r>
            <w:r>
              <w:rPr>
                <w:rFonts w:ascii="楷体" w:hAnsi="楷体" w:cs="楷体" w:hint="eastAsia"/>
                <w:sz w:val="28"/>
                <w:szCs w:val="28"/>
              </w:rPr>
              <w:fldChar w:fldCharType="separate"/>
            </w:r>
            <w:r w:rsidR="000F2545">
              <w:rPr>
                <w:rFonts w:ascii="楷体" w:hAnsi="楷体" w:cs="楷体" w:hint="eastAsia"/>
                <w:sz w:val="28"/>
                <w:szCs w:val="28"/>
              </w:rPr>
              <w:t>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14512" w:history="1">
            <w:r w:rsidR="000F2545">
              <w:rPr>
                <w:rFonts w:ascii="楷体" w:hAnsi="楷体" w:cs="楷体" w:hint="eastAsia"/>
                <w:sz w:val="28"/>
                <w:szCs w:val="28"/>
              </w:rPr>
              <w:t>五、价值时点</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_Toc14512 </w:instrText>
            </w:r>
            <w:r>
              <w:rPr>
                <w:rFonts w:ascii="楷体" w:hAnsi="楷体" w:cs="楷体" w:hint="eastAsia"/>
                <w:sz w:val="28"/>
                <w:szCs w:val="28"/>
              </w:rPr>
              <w:fldChar w:fldCharType="separate"/>
            </w:r>
            <w:r w:rsidR="000F2545">
              <w:rPr>
                <w:rFonts w:ascii="楷体" w:hAnsi="楷体" w:cs="楷体" w:hint="eastAsia"/>
                <w:sz w:val="28"/>
                <w:szCs w:val="28"/>
              </w:rPr>
              <w:t>9</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32275" w:history="1">
            <w:r w:rsidR="000F2545">
              <w:rPr>
                <w:rFonts w:ascii="楷体" w:hAnsi="楷体" w:cs="楷体" w:hint="eastAsia"/>
                <w:sz w:val="28"/>
                <w:szCs w:val="28"/>
              </w:rPr>
              <w:t>六、价值类型</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_Toc32275 </w:instrText>
            </w:r>
            <w:r>
              <w:rPr>
                <w:rFonts w:ascii="楷体" w:hAnsi="楷体" w:cs="楷体" w:hint="eastAsia"/>
                <w:sz w:val="28"/>
                <w:szCs w:val="28"/>
              </w:rPr>
              <w:fldChar w:fldCharType="separate"/>
            </w:r>
            <w:r w:rsidR="000F2545">
              <w:rPr>
                <w:rFonts w:ascii="楷体" w:hAnsi="楷体" w:cs="楷体" w:hint="eastAsia"/>
                <w:sz w:val="28"/>
                <w:szCs w:val="28"/>
              </w:rPr>
              <w:t>9</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14677" w:history="1">
            <w:r w:rsidR="000F2545">
              <w:rPr>
                <w:rFonts w:ascii="楷体" w:hAnsi="楷体" w:cs="楷体" w:hint="eastAsia"/>
                <w:sz w:val="28"/>
                <w:szCs w:val="28"/>
              </w:rPr>
              <w:t>七、估价原则</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_Toc14677 </w:instrText>
            </w:r>
            <w:r>
              <w:rPr>
                <w:rFonts w:ascii="楷体" w:hAnsi="楷体" w:cs="楷体" w:hint="eastAsia"/>
                <w:sz w:val="28"/>
                <w:szCs w:val="28"/>
              </w:rPr>
              <w:fldChar w:fldCharType="separate"/>
            </w:r>
            <w:r w:rsidR="000F2545">
              <w:rPr>
                <w:rFonts w:ascii="楷体" w:hAnsi="楷体" w:cs="楷体" w:hint="eastAsia"/>
                <w:sz w:val="28"/>
                <w:szCs w:val="28"/>
              </w:rPr>
              <w:t>9</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3485" w:history="1">
            <w:r w:rsidR="000F2545">
              <w:rPr>
                <w:rFonts w:ascii="楷体" w:hAnsi="楷体" w:cs="楷体" w:hint="eastAsia"/>
                <w:sz w:val="28"/>
                <w:szCs w:val="28"/>
              </w:rPr>
              <w:t>八、估价依据</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_Toc23485 </w:instrText>
            </w:r>
            <w:r>
              <w:rPr>
                <w:rFonts w:ascii="楷体" w:hAnsi="楷体" w:cs="楷体" w:hint="eastAsia"/>
                <w:sz w:val="28"/>
                <w:szCs w:val="28"/>
              </w:rPr>
              <w:fldChar w:fldCharType="separate"/>
            </w:r>
            <w:r w:rsidR="000F2545">
              <w:rPr>
                <w:rFonts w:ascii="楷体" w:hAnsi="楷体" w:cs="楷体" w:hint="eastAsia"/>
                <w:sz w:val="28"/>
                <w:szCs w:val="28"/>
              </w:rPr>
              <w:t>10</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1672" w:history="1">
            <w:r w:rsidR="000F2545">
              <w:rPr>
                <w:rFonts w:ascii="楷体" w:hAnsi="楷体" w:cs="楷体" w:hint="eastAsia"/>
                <w:sz w:val="28"/>
                <w:szCs w:val="28"/>
              </w:rPr>
              <w:t>九、估价方法</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_Toc21672 </w:instrText>
            </w:r>
            <w:r>
              <w:rPr>
                <w:rFonts w:ascii="楷体" w:hAnsi="楷体" w:cs="楷体" w:hint="eastAsia"/>
                <w:sz w:val="28"/>
                <w:szCs w:val="28"/>
              </w:rPr>
              <w:fldChar w:fldCharType="separate"/>
            </w:r>
            <w:r w:rsidR="000F2545">
              <w:rPr>
                <w:rFonts w:ascii="楷体" w:hAnsi="楷体" w:cs="楷体" w:hint="eastAsia"/>
                <w:sz w:val="28"/>
                <w:szCs w:val="28"/>
              </w:rPr>
              <w:t>12</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7098" w:history="1">
            <w:r w:rsidR="000F2545">
              <w:rPr>
                <w:rFonts w:ascii="楷体" w:hAnsi="楷体" w:cs="楷体" w:hint="eastAsia"/>
                <w:sz w:val="28"/>
                <w:szCs w:val="28"/>
              </w:rPr>
              <w:t>十、估价结果</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_Toc27098 </w:instrText>
            </w:r>
            <w:r>
              <w:rPr>
                <w:rFonts w:ascii="楷体" w:hAnsi="楷体" w:cs="楷体" w:hint="eastAsia"/>
                <w:sz w:val="28"/>
                <w:szCs w:val="28"/>
              </w:rPr>
              <w:fldChar w:fldCharType="separate"/>
            </w:r>
            <w:r w:rsidR="000F2545">
              <w:rPr>
                <w:rFonts w:ascii="楷体" w:hAnsi="楷体" w:cs="楷体" w:hint="eastAsia"/>
                <w:sz w:val="28"/>
                <w:szCs w:val="28"/>
              </w:rPr>
              <w:t>13</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7064" w:history="1">
            <w:r w:rsidR="000F2545">
              <w:rPr>
                <w:rFonts w:ascii="楷体" w:hAnsi="楷体" w:cs="楷体" w:hint="eastAsia"/>
                <w:sz w:val="28"/>
                <w:szCs w:val="28"/>
              </w:rPr>
              <w:t>十一、注册房地产估价师</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_Toc7064 </w:instrText>
            </w:r>
            <w:r>
              <w:rPr>
                <w:rFonts w:ascii="楷体" w:hAnsi="楷体" w:cs="楷体" w:hint="eastAsia"/>
                <w:sz w:val="28"/>
                <w:szCs w:val="28"/>
              </w:rPr>
              <w:fldChar w:fldCharType="separate"/>
            </w:r>
            <w:r w:rsidR="000F2545">
              <w:rPr>
                <w:rFonts w:ascii="楷体" w:hAnsi="楷体" w:cs="楷体" w:hint="eastAsia"/>
                <w:sz w:val="28"/>
                <w:szCs w:val="28"/>
              </w:rPr>
              <w:t>15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7944" w:history="1">
            <w:r w:rsidR="000F2545">
              <w:rPr>
                <w:rFonts w:ascii="楷体" w:hAnsi="楷体" w:cs="楷体" w:hint="eastAsia"/>
                <w:sz w:val="28"/>
                <w:szCs w:val="28"/>
              </w:rPr>
              <w:t>十二、实地查勘期</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_Toc7944 </w:instrText>
            </w:r>
            <w:r>
              <w:rPr>
                <w:rFonts w:ascii="楷体" w:hAnsi="楷体" w:cs="楷体" w:hint="eastAsia"/>
                <w:sz w:val="28"/>
                <w:szCs w:val="28"/>
              </w:rPr>
              <w:fldChar w:fldCharType="separate"/>
            </w:r>
            <w:r w:rsidR="000F2545">
              <w:rPr>
                <w:rFonts w:ascii="楷体" w:hAnsi="楷体" w:cs="楷体" w:hint="eastAsia"/>
                <w:sz w:val="28"/>
                <w:szCs w:val="28"/>
              </w:rPr>
              <w:t>15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15337" w:history="1">
            <w:r w:rsidR="000F2545">
              <w:rPr>
                <w:rFonts w:ascii="楷体" w:hAnsi="楷体" w:cs="楷体" w:hint="eastAsia"/>
                <w:sz w:val="28"/>
                <w:szCs w:val="28"/>
              </w:rPr>
              <w:t>十三、估价作业日期</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w:instrText>
            </w:r>
            <w:r w:rsidR="000F2545">
              <w:rPr>
                <w:rFonts w:ascii="楷体" w:hAnsi="楷体" w:cs="楷体" w:hint="eastAsia"/>
                <w:sz w:val="28"/>
                <w:szCs w:val="28"/>
              </w:rPr>
              <w:instrText xml:space="preserve">PAGEREF _Toc15337 </w:instrText>
            </w:r>
            <w:r>
              <w:rPr>
                <w:rFonts w:ascii="楷体" w:hAnsi="楷体" w:cs="楷体" w:hint="eastAsia"/>
                <w:sz w:val="28"/>
                <w:szCs w:val="28"/>
              </w:rPr>
              <w:fldChar w:fldCharType="separate"/>
            </w:r>
            <w:r w:rsidR="000F2545">
              <w:rPr>
                <w:rFonts w:ascii="楷体" w:hAnsi="楷体" w:cs="楷体" w:hint="eastAsia"/>
                <w:sz w:val="28"/>
                <w:szCs w:val="28"/>
              </w:rPr>
              <w:t>15</w:t>
            </w:r>
            <w:r>
              <w:rPr>
                <w:rFonts w:ascii="楷体" w:hAnsi="楷体" w:cs="楷体" w:hint="eastAsia"/>
                <w:sz w:val="28"/>
                <w:szCs w:val="28"/>
              </w:rPr>
              <w:fldChar w:fldCharType="end"/>
            </w:r>
          </w:hyperlink>
        </w:p>
        <w:p w:rsidR="008A54E3" w:rsidRDefault="008A54E3">
          <w:pPr>
            <w:pStyle w:val="21"/>
            <w:tabs>
              <w:tab w:val="right" w:leader="dot" w:pos="8408"/>
            </w:tabs>
            <w:spacing w:line="630" w:lineRule="exact"/>
            <w:rPr>
              <w:rFonts w:ascii="楷体" w:hAnsi="楷体" w:cs="楷体"/>
              <w:sz w:val="28"/>
              <w:szCs w:val="28"/>
            </w:rPr>
          </w:pPr>
          <w:hyperlink w:anchor="_Toc23590" w:history="1">
            <w:r w:rsidR="000F2545">
              <w:rPr>
                <w:rFonts w:ascii="楷体" w:hAnsi="楷体" w:cs="楷体" w:hint="eastAsia"/>
                <w:sz w:val="28"/>
                <w:szCs w:val="28"/>
              </w:rPr>
              <w:t>十四、估价报告的</w:t>
            </w:r>
            <w:r w:rsidR="000F2545">
              <w:rPr>
                <w:rFonts w:ascii="楷体" w:hAnsi="楷体" w:cs="楷体" w:hint="eastAsia"/>
                <w:sz w:val="28"/>
                <w:szCs w:val="28"/>
              </w:rPr>
              <w:t>使用期限</w:t>
            </w:r>
            <w:r w:rsidR="000F2545">
              <w:rPr>
                <w:rFonts w:ascii="楷体" w:hAnsi="楷体" w:cs="楷体" w:hint="eastAsia"/>
                <w:sz w:val="28"/>
                <w:szCs w:val="28"/>
              </w:rPr>
              <w:tab/>
            </w:r>
            <w:r>
              <w:rPr>
                <w:rFonts w:ascii="楷体" w:hAnsi="楷体" w:cs="楷体" w:hint="eastAsia"/>
                <w:sz w:val="28"/>
                <w:szCs w:val="28"/>
              </w:rPr>
              <w:fldChar w:fldCharType="begin"/>
            </w:r>
            <w:r w:rsidR="000F2545">
              <w:rPr>
                <w:rFonts w:ascii="楷体" w:hAnsi="楷体" w:cs="楷体" w:hint="eastAsia"/>
                <w:sz w:val="28"/>
                <w:szCs w:val="28"/>
              </w:rPr>
              <w:instrText xml:space="preserve"> PAGEREF _Toc23590 </w:instrText>
            </w:r>
            <w:r>
              <w:rPr>
                <w:rFonts w:ascii="楷体" w:hAnsi="楷体" w:cs="楷体" w:hint="eastAsia"/>
                <w:sz w:val="28"/>
                <w:szCs w:val="28"/>
              </w:rPr>
              <w:fldChar w:fldCharType="separate"/>
            </w:r>
            <w:r w:rsidR="000F2545">
              <w:rPr>
                <w:rFonts w:ascii="楷体" w:hAnsi="楷体" w:cs="楷体" w:hint="eastAsia"/>
                <w:sz w:val="28"/>
                <w:szCs w:val="28"/>
              </w:rPr>
              <w:t>15</w:t>
            </w:r>
            <w:r>
              <w:rPr>
                <w:rFonts w:ascii="楷体" w:hAnsi="楷体" w:cs="楷体" w:hint="eastAsia"/>
                <w:sz w:val="28"/>
                <w:szCs w:val="28"/>
              </w:rPr>
              <w:fldChar w:fldCharType="end"/>
            </w:r>
          </w:hyperlink>
        </w:p>
        <w:p w:rsidR="008A54E3" w:rsidRDefault="008A54E3">
          <w:pPr>
            <w:pStyle w:val="10"/>
            <w:tabs>
              <w:tab w:val="right" w:leader="dot" w:pos="8408"/>
            </w:tabs>
            <w:spacing w:line="630" w:lineRule="exact"/>
            <w:rPr>
              <w:rFonts w:ascii="楷体" w:hAnsi="楷体" w:cs="楷体"/>
              <w:szCs w:val="28"/>
            </w:rPr>
          </w:pPr>
          <w:hyperlink w:anchor="_Toc4481" w:history="1">
            <w:r w:rsidR="000F2545">
              <w:rPr>
                <w:rFonts w:ascii="楷体" w:hAnsi="楷体" w:cs="楷体" w:hint="eastAsia"/>
                <w:szCs w:val="28"/>
              </w:rPr>
              <w:t>附</w:t>
            </w:r>
            <w:r w:rsidR="000F2545">
              <w:rPr>
                <w:rFonts w:ascii="楷体" w:hAnsi="楷体" w:cs="楷体" w:hint="eastAsia"/>
                <w:szCs w:val="28"/>
              </w:rPr>
              <w:t xml:space="preserve">  </w:t>
            </w:r>
            <w:r w:rsidR="000F2545">
              <w:rPr>
                <w:rFonts w:ascii="楷体" w:hAnsi="楷体" w:cs="楷体" w:hint="eastAsia"/>
                <w:szCs w:val="28"/>
              </w:rPr>
              <w:t>件</w:t>
            </w:r>
            <w:r w:rsidR="000F2545">
              <w:rPr>
                <w:rFonts w:ascii="楷体" w:hAnsi="楷体" w:cs="楷体" w:hint="eastAsia"/>
                <w:szCs w:val="28"/>
              </w:rPr>
              <w:tab/>
            </w:r>
            <w:r>
              <w:rPr>
                <w:rFonts w:ascii="楷体" w:hAnsi="楷体" w:cs="楷体" w:hint="eastAsia"/>
                <w:szCs w:val="28"/>
              </w:rPr>
              <w:fldChar w:fldCharType="begin"/>
            </w:r>
            <w:r w:rsidR="000F2545">
              <w:rPr>
                <w:rFonts w:ascii="楷体" w:hAnsi="楷体" w:cs="楷体" w:hint="eastAsia"/>
                <w:szCs w:val="28"/>
              </w:rPr>
              <w:instrText xml:space="preserve"> PAGEREF _Toc4481 </w:instrText>
            </w:r>
            <w:r>
              <w:rPr>
                <w:rFonts w:ascii="楷体" w:hAnsi="楷体" w:cs="楷体" w:hint="eastAsia"/>
                <w:szCs w:val="28"/>
              </w:rPr>
              <w:fldChar w:fldCharType="separate"/>
            </w:r>
            <w:r w:rsidR="000F2545">
              <w:rPr>
                <w:rFonts w:ascii="楷体" w:hAnsi="楷体" w:cs="楷体" w:hint="eastAsia"/>
                <w:szCs w:val="28"/>
              </w:rPr>
              <w:t>16</w:t>
            </w:r>
            <w:r>
              <w:rPr>
                <w:rFonts w:ascii="楷体" w:hAnsi="楷体" w:cs="楷体" w:hint="eastAsia"/>
                <w:szCs w:val="28"/>
              </w:rPr>
              <w:fldChar w:fldCharType="end"/>
            </w:r>
          </w:hyperlink>
        </w:p>
        <w:p w:rsidR="008A54E3" w:rsidRDefault="008A54E3">
          <w:pPr>
            <w:numPr>
              <w:ilvl w:val="0"/>
              <w:numId w:val="1"/>
            </w:numPr>
            <w:spacing w:line="630" w:lineRule="exact"/>
            <w:rPr>
              <w:rFonts w:ascii="楷体" w:eastAsia="楷体" w:hAnsi="楷体"/>
              <w:sz w:val="28"/>
              <w:szCs w:val="28"/>
            </w:rPr>
          </w:pPr>
          <w:r>
            <w:rPr>
              <w:rFonts w:ascii="楷体" w:eastAsia="楷体" w:hAnsi="楷体" w:cs="楷体" w:hint="eastAsia"/>
              <w:color w:val="000000" w:themeColor="text1"/>
              <w:spacing w:val="20"/>
              <w:sz w:val="28"/>
              <w:szCs w:val="28"/>
            </w:rPr>
            <w:fldChar w:fldCharType="end"/>
          </w:r>
          <w:r w:rsidR="000F2545">
            <w:rPr>
              <w:rFonts w:ascii="楷体" w:eastAsia="楷体" w:hAnsi="楷体" w:cs="楷体" w:hint="eastAsia"/>
              <w:color w:val="000000"/>
              <w:sz w:val="28"/>
              <w:szCs w:val="28"/>
            </w:rPr>
            <w:t>《委托书》</w:t>
          </w:r>
          <w:r w:rsidR="000F2545">
            <w:rPr>
              <w:rFonts w:ascii="楷体" w:eastAsia="楷体" w:hAnsi="楷体" w:hint="eastAsia"/>
              <w:sz w:val="28"/>
              <w:szCs w:val="28"/>
            </w:rPr>
            <w:t>复印件</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szCs w:val="28"/>
            </w:rPr>
            <w:t>估价对象位置图</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szCs w:val="28"/>
            </w:rPr>
            <w:t>估价对象实景照片</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rPr>
            <w:lastRenderedPageBreak/>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 w:eastAsia="楷体" w:hAnsi="楷体" w:hint="eastAsia"/>
              <w:sz w:val="28"/>
              <w:szCs w:val="28"/>
            </w:rPr>
            <w:t>复印件</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szCs w:val="28"/>
            </w:rPr>
            <w:t>估价机构营业执照</w:t>
          </w:r>
          <w:r>
            <w:rPr>
              <w:rFonts w:ascii="楷体" w:eastAsia="楷体" w:hAnsi="楷体" w:hint="eastAsia"/>
              <w:sz w:val="28"/>
              <w:szCs w:val="28"/>
            </w:rPr>
            <w:t>影</w:t>
          </w:r>
          <w:r>
            <w:rPr>
              <w:rFonts w:ascii="楷体" w:eastAsia="楷体" w:hAnsi="楷体" w:hint="eastAsia"/>
              <w:sz w:val="28"/>
              <w:szCs w:val="28"/>
            </w:rPr>
            <w:t>印件</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szCs w:val="28"/>
            </w:rPr>
            <w:t>估价机构备案证书</w:t>
          </w:r>
          <w:r>
            <w:rPr>
              <w:rFonts w:ascii="楷体" w:eastAsia="楷体" w:hAnsi="楷体" w:hint="eastAsia"/>
              <w:sz w:val="28"/>
              <w:szCs w:val="28"/>
            </w:rPr>
            <w:t>影</w:t>
          </w:r>
          <w:r>
            <w:rPr>
              <w:rFonts w:ascii="楷体" w:eastAsia="楷体" w:hAnsi="楷体" w:hint="eastAsia"/>
              <w:sz w:val="28"/>
              <w:szCs w:val="28"/>
            </w:rPr>
            <w:t>印件</w:t>
          </w:r>
        </w:p>
        <w:p w:rsidR="008A54E3" w:rsidRDefault="000F2545">
          <w:pPr>
            <w:numPr>
              <w:ilvl w:val="0"/>
              <w:numId w:val="1"/>
            </w:numPr>
            <w:spacing w:line="630" w:lineRule="exact"/>
            <w:rPr>
              <w:rFonts w:ascii="楷体" w:eastAsia="楷体" w:hAnsi="楷体"/>
              <w:sz w:val="28"/>
              <w:szCs w:val="28"/>
            </w:rPr>
          </w:pPr>
          <w:r>
            <w:rPr>
              <w:rFonts w:ascii="楷体" w:eastAsia="楷体" w:hAnsi="楷体" w:hint="eastAsia"/>
              <w:sz w:val="28"/>
              <w:szCs w:val="28"/>
            </w:rPr>
            <w:t>房地产估价师注册证</w:t>
          </w:r>
          <w:r>
            <w:rPr>
              <w:rFonts w:ascii="楷体" w:eastAsia="楷体" w:hAnsi="楷体" w:hint="eastAsia"/>
              <w:sz w:val="28"/>
              <w:szCs w:val="28"/>
            </w:rPr>
            <w:t>影</w:t>
          </w:r>
          <w:r>
            <w:rPr>
              <w:rFonts w:ascii="楷体" w:eastAsia="楷体" w:hAnsi="楷体" w:hint="eastAsia"/>
              <w:sz w:val="28"/>
              <w:szCs w:val="28"/>
            </w:rPr>
            <w:t>印件</w:t>
          </w:r>
        </w:p>
        <w:p w:rsidR="008A54E3" w:rsidRDefault="008A54E3">
          <w:pPr>
            <w:pStyle w:val="30"/>
            <w:tabs>
              <w:tab w:val="right" w:leader="dot" w:pos="8504"/>
            </w:tabs>
            <w:spacing w:line="630" w:lineRule="exact"/>
            <w:ind w:leftChars="0" w:left="0"/>
            <w:jc w:val="left"/>
            <w:outlineLvl w:val="0"/>
            <w:rPr>
              <w:rFonts w:ascii="楷体" w:hAnsi="楷体" w:cs="楷体"/>
              <w:color w:val="000000" w:themeColor="text1"/>
              <w:spacing w:val="20"/>
              <w:sz w:val="28"/>
              <w:szCs w:val="28"/>
            </w:rPr>
            <w:sectPr w:rsidR="008A54E3">
              <w:headerReference w:type="default" r:id="rId8"/>
              <w:footerReference w:type="default" r:id="rId9"/>
              <w:pgSz w:w="11906" w:h="16838"/>
              <w:pgMar w:top="1276" w:right="1701" w:bottom="1276" w:left="1797" w:header="907" w:footer="992" w:gutter="0"/>
              <w:pgNumType w:start="1"/>
              <w:cols w:space="0"/>
            </w:sectPr>
          </w:pPr>
        </w:p>
      </w:sdtContent>
    </w:sdt>
    <w:p w:rsidR="008A54E3" w:rsidRDefault="000F2545" w:rsidP="0090314D">
      <w:pPr>
        <w:pStyle w:val="1"/>
        <w:spacing w:beforeLines="100" w:afterLines="50" w:line="630" w:lineRule="exact"/>
        <w:rPr>
          <w:rFonts w:ascii="黑体" w:eastAsia="黑体" w:hAnsi="黑体" w:cs="黑体"/>
          <w:color w:val="000000" w:themeColor="text1"/>
          <w:szCs w:val="32"/>
        </w:rPr>
      </w:pPr>
      <w:bookmarkStart w:id="13" w:name="_Toc5981"/>
      <w:bookmarkStart w:id="14" w:name="_Toc4397"/>
      <w:bookmarkStart w:id="15" w:name="_Toc24170"/>
      <w:r>
        <w:rPr>
          <w:rFonts w:ascii="黑体" w:eastAsia="黑体" w:hAnsi="黑体" w:cs="黑体" w:hint="eastAsia"/>
          <w:color w:val="000000" w:themeColor="text1"/>
          <w:szCs w:val="32"/>
        </w:rPr>
        <w:lastRenderedPageBreak/>
        <w:t>注册房地产估价师声明</w:t>
      </w:r>
      <w:bookmarkEnd w:id="13"/>
      <w:bookmarkEnd w:id="14"/>
      <w:bookmarkEnd w:id="15"/>
    </w:p>
    <w:p w:rsidR="008A54E3" w:rsidRDefault="000F2545">
      <w:pPr>
        <w:spacing w:line="630" w:lineRule="exac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我们郑重声明：</w:t>
      </w:r>
    </w:p>
    <w:p w:rsidR="008A54E3" w:rsidRDefault="000F2545">
      <w:pPr>
        <w:numPr>
          <w:ilvl w:val="0"/>
          <w:numId w:val="2"/>
        </w:numPr>
        <w:spacing w:line="630" w:lineRule="exact"/>
        <w:ind w:firstLineChars="200" w:firstLine="560"/>
        <w:rPr>
          <w:rFonts w:ascii="楷体" w:eastAsia="楷体" w:hAnsi="楷体"/>
          <w:sz w:val="28"/>
        </w:rPr>
      </w:pPr>
      <w:bookmarkStart w:id="16" w:name="_Toc14494"/>
      <w:r>
        <w:rPr>
          <w:rFonts w:ascii="楷体" w:eastAsia="楷体" w:hAnsi="楷体" w:hint="eastAsia"/>
          <w:sz w:val="28"/>
        </w:rPr>
        <w:t>注册房地产估价师在本估价报告中对事实的说明是真实的和准确的，没有虚假记载、误导性陈述和重大遗漏。</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本估价报告中的分析、意见和结论是注册房地产估价师独立、客观、公正的专业分析、意见和结论，但受到本估价报告中已说明的假设和限制条件的限制。</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注册房地产估价师与估价报告中的估价对象没有现实或潜在的利益，与估价委托人及估价利害关系人没有利害关系，也对估价对象、估价委托人及估价利害关系人没有偏见。</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我们依照中华人民共和国国家标准《房地产估价规范》</w:t>
      </w:r>
      <w:r>
        <w:rPr>
          <w:rFonts w:ascii="楷体" w:eastAsia="楷体" w:hAnsi="楷体" w:hint="eastAsia"/>
          <w:sz w:val="28"/>
        </w:rPr>
        <w:t>（</w:t>
      </w:r>
      <w:r>
        <w:rPr>
          <w:rFonts w:ascii="楷体" w:eastAsia="楷体" w:hAnsi="楷体" w:hint="eastAsia"/>
          <w:sz w:val="28"/>
        </w:rPr>
        <w:t>GB/T 50291-2015</w:t>
      </w:r>
      <w:r>
        <w:rPr>
          <w:rFonts w:ascii="楷体" w:eastAsia="楷体" w:hAnsi="楷体" w:hint="eastAsia"/>
          <w:sz w:val="28"/>
        </w:rPr>
        <w:t>）、</w:t>
      </w:r>
      <w:r>
        <w:rPr>
          <w:rFonts w:ascii="楷体" w:eastAsia="楷体" w:hAnsi="楷体" w:hint="eastAsia"/>
          <w:sz w:val="28"/>
        </w:rPr>
        <w:t>《房地产估价基本术语标准》</w:t>
      </w:r>
      <w:r>
        <w:rPr>
          <w:rFonts w:ascii="楷体" w:eastAsia="楷体" w:hAnsi="楷体" w:hint="eastAsia"/>
          <w:sz w:val="28"/>
        </w:rPr>
        <w:t>（</w:t>
      </w:r>
      <w:r>
        <w:rPr>
          <w:rFonts w:ascii="楷体" w:eastAsia="楷体" w:hAnsi="楷体" w:hint="eastAsia"/>
          <w:sz w:val="28"/>
        </w:rPr>
        <w:t>GB/T 50889-2013</w:t>
      </w:r>
      <w:r>
        <w:rPr>
          <w:rFonts w:ascii="楷体" w:eastAsia="楷体" w:hAnsi="楷体" w:hint="eastAsia"/>
          <w:sz w:val="28"/>
        </w:rPr>
        <w:t>）</w:t>
      </w:r>
      <w:r>
        <w:rPr>
          <w:rFonts w:ascii="楷体" w:eastAsia="楷体" w:hAnsi="楷体" w:hint="eastAsia"/>
          <w:sz w:val="28"/>
        </w:rPr>
        <w:t>及《涉执房地产处置司法评估指导意见（试行）》（中房学</w:t>
      </w:r>
      <w:r>
        <w:rPr>
          <w:rFonts w:ascii="楷体" w:eastAsia="楷体" w:hAnsi="楷体" w:hint="eastAsia"/>
          <w:sz w:val="28"/>
        </w:rPr>
        <w:t>[2021]37</w:t>
      </w:r>
      <w:r>
        <w:rPr>
          <w:rFonts w:ascii="楷体" w:eastAsia="楷体" w:hAnsi="楷体" w:hint="eastAsia"/>
          <w:sz w:val="28"/>
        </w:rPr>
        <w:t>号）</w:t>
      </w:r>
      <w:r>
        <w:rPr>
          <w:rFonts w:ascii="楷体" w:eastAsia="楷体" w:hAnsi="楷体" w:hint="eastAsia"/>
          <w:sz w:val="28"/>
        </w:rPr>
        <w:t>进行</w:t>
      </w:r>
      <w:r>
        <w:rPr>
          <w:rFonts w:ascii="楷体" w:eastAsia="楷体" w:hAnsi="楷体" w:hint="eastAsia"/>
          <w:sz w:val="28"/>
        </w:rPr>
        <w:t>分析</w:t>
      </w:r>
      <w:r>
        <w:rPr>
          <w:rFonts w:ascii="楷体" w:eastAsia="楷体" w:hAnsi="楷体" w:hint="eastAsia"/>
          <w:sz w:val="28"/>
        </w:rPr>
        <w:t>,</w:t>
      </w:r>
      <w:r>
        <w:rPr>
          <w:rFonts w:ascii="楷体" w:eastAsia="楷体" w:hAnsi="楷体" w:hint="eastAsia"/>
          <w:sz w:val="28"/>
        </w:rPr>
        <w:t>形成意见和结论</w:t>
      </w:r>
      <w:r>
        <w:rPr>
          <w:rFonts w:ascii="楷体" w:eastAsia="楷体" w:hAnsi="楷体" w:hint="eastAsia"/>
          <w:sz w:val="28"/>
        </w:rPr>
        <w:t>,</w:t>
      </w:r>
      <w:r>
        <w:rPr>
          <w:rFonts w:ascii="楷体" w:eastAsia="楷体" w:hAnsi="楷体" w:hint="eastAsia"/>
          <w:sz w:val="28"/>
        </w:rPr>
        <w:t>撰写估价报告。</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注册房地产估价师</w:t>
      </w:r>
      <w:r>
        <w:rPr>
          <w:rFonts w:ascii="楷体" w:eastAsia="楷体" w:hAnsi="楷体" w:hint="eastAsia"/>
          <w:sz w:val="28"/>
        </w:rPr>
        <w:t>沈鑫</w:t>
      </w:r>
      <w:r>
        <w:rPr>
          <w:rFonts w:ascii="楷体" w:eastAsia="楷体" w:hAnsi="楷体" w:hint="eastAsia"/>
          <w:sz w:val="28"/>
        </w:rPr>
        <w:t>已于</w:t>
      </w:r>
      <w:r>
        <w:rPr>
          <w:rFonts w:ascii="楷体" w:eastAsia="楷体" w:hAnsi="楷体" w:hint="eastAsia"/>
          <w:sz w:val="28"/>
        </w:rPr>
        <w:t>二Ο二二年十月二十六日</w:t>
      </w:r>
      <w:r>
        <w:rPr>
          <w:rFonts w:ascii="楷体" w:eastAsia="楷体" w:hAnsi="楷体" w:hint="eastAsia"/>
          <w:sz w:val="28"/>
        </w:rPr>
        <w:t>对本估价报告中的估价对象进行了实地查勘。</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没有外部专家和单位对本报告提供重要专业帮助。</w:t>
      </w:r>
    </w:p>
    <w:p w:rsidR="008A54E3" w:rsidRDefault="000F2545">
      <w:pPr>
        <w:numPr>
          <w:ilvl w:val="0"/>
          <w:numId w:val="2"/>
        </w:numPr>
        <w:spacing w:line="630" w:lineRule="exact"/>
        <w:ind w:firstLineChars="200" w:firstLine="560"/>
        <w:rPr>
          <w:rFonts w:ascii="楷体" w:eastAsia="楷体" w:hAnsi="楷体"/>
          <w:sz w:val="28"/>
        </w:rPr>
      </w:pPr>
      <w:r>
        <w:rPr>
          <w:rFonts w:ascii="楷体" w:eastAsia="楷体" w:hAnsi="楷体" w:hint="eastAsia"/>
          <w:sz w:val="28"/>
        </w:rPr>
        <w:t>本估价报告由杭州天平房地产评估有限公司负责解释。</w:t>
      </w:r>
    </w:p>
    <w:p w:rsidR="008A54E3" w:rsidRDefault="000F2545" w:rsidP="0090314D">
      <w:pPr>
        <w:pStyle w:val="1"/>
        <w:spacing w:beforeLines="50" w:afterLines="50" w:line="630" w:lineRule="exact"/>
        <w:rPr>
          <w:rFonts w:ascii="黑体" w:eastAsia="黑体" w:hAnsi="黑体" w:cs="黑体"/>
          <w:color w:val="000000" w:themeColor="text1"/>
          <w:szCs w:val="32"/>
        </w:rPr>
      </w:pPr>
      <w:r>
        <w:rPr>
          <w:rFonts w:ascii="楷体" w:eastAsia="楷体" w:hAnsi="楷体" w:cs="楷体" w:hint="eastAsia"/>
          <w:color w:val="000000" w:themeColor="text1"/>
        </w:rPr>
        <w:br w:type="page"/>
      </w:r>
      <w:bookmarkStart w:id="17" w:name="_Toc13041"/>
      <w:bookmarkStart w:id="18" w:name="_Toc2702"/>
      <w:bookmarkStart w:id="19" w:name="_Toc25102"/>
      <w:r>
        <w:rPr>
          <w:rFonts w:ascii="黑体" w:eastAsia="黑体" w:hAnsi="黑体" w:cs="黑体" w:hint="eastAsia"/>
          <w:color w:val="000000" w:themeColor="text1"/>
          <w:szCs w:val="32"/>
        </w:rPr>
        <w:lastRenderedPageBreak/>
        <w:t>估价假设和限制条件</w:t>
      </w:r>
      <w:bookmarkEnd w:id="16"/>
      <w:bookmarkEnd w:id="17"/>
      <w:bookmarkEnd w:id="18"/>
      <w:bookmarkEnd w:id="19"/>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20" w:name="_Toc30421"/>
      <w:bookmarkStart w:id="21" w:name="_Toc22254"/>
      <w:r>
        <w:rPr>
          <w:rFonts w:ascii="楷体" w:eastAsia="楷体" w:hAnsi="楷体" w:cs="楷体" w:hint="eastAsia"/>
          <w:b/>
          <w:color w:val="000000" w:themeColor="text1"/>
          <w:sz w:val="28"/>
          <w:szCs w:val="28"/>
        </w:rPr>
        <w:t>一、一般假设</w:t>
      </w:r>
      <w:bookmarkEnd w:id="20"/>
      <w:bookmarkEnd w:id="21"/>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估价对象在价值时点的房地产市场为公开、平等、自愿的交易市场，即能满足以下条件：</w:t>
      </w:r>
      <w:r>
        <w:rPr>
          <w:rFonts w:ascii="楷体" w:eastAsia="楷体" w:hAnsi="楷体" w:cs="楷体" w:hint="eastAsia"/>
          <w:color w:val="000000" w:themeColor="text1"/>
          <w:sz w:val="28"/>
          <w:szCs w:val="28"/>
        </w:rPr>
        <w:t>1</w:t>
      </w:r>
      <w:r>
        <w:rPr>
          <w:rFonts w:ascii="楷体" w:eastAsia="楷体" w:hAnsi="楷体" w:cs="楷体" w:hint="eastAsia"/>
          <w:color w:val="000000" w:themeColor="text1"/>
          <w:sz w:val="28"/>
          <w:szCs w:val="28"/>
        </w:rPr>
        <w:t>、交易双方自愿地进行交易；</w:t>
      </w:r>
      <w:r>
        <w:rPr>
          <w:rFonts w:ascii="楷体" w:eastAsia="楷体" w:hAnsi="楷体" w:cs="楷体" w:hint="eastAsia"/>
          <w:color w:val="000000" w:themeColor="text1"/>
          <w:sz w:val="28"/>
          <w:szCs w:val="28"/>
        </w:rPr>
        <w:t>2</w:t>
      </w:r>
      <w:r>
        <w:rPr>
          <w:rFonts w:ascii="楷体" w:eastAsia="楷体" w:hAnsi="楷体" w:cs="楷体" w:hint="eastAsia"/>
          <w:color w:val="000000" w:themeColor="text1"/>
          <w:sz w:val="28"/>
          <w:szCs w:val="28"/>
        </w:rPr>
        <w:t>、交易双方处于利己动机进行交易；</w:t>
      </w:r>
      <w:r>
        <w:rPr>
          <w:rFonts w:ascii="楷体" w:eastAsia="楷体" w:hAnsi="楷体" w:cs="楷体" w:hint="eastAsia"/>
          <w:color w:val="000000" w:themeColor="text1"/>
          <w:sz w:val="28"/>
          <w:szCs w:val="28"/>
        </w:rPr>
        <w:t>3</w:t>
      </w:r>
      <w:r>
        <w:rPr>
          <w:rFonts w:ascii="楷体" w:eastAsia="楷体" w:hAnsi="楷体" w:cs="楷体" w:hint="eastAsia"/>
          <w:color w:val="000000" w:themeColor="text1"/>
          <w:sz w:val="28"/>
          <w:szCs w:val="28"/>
        </w:rPr>
        <w:t>、交易双方精明、谨慎行事，并了解交易对象、知晓市场行情；</w:t>
      </w:r>
      <w:r>
        <w:rPr>
          <w:rFonts w:ascii="楷体" w:eastAsia="楷体" w:hAnsi="楷体" w:cs="楷体" w:hint="eastAsia"/>
          <w:color w:val="000000" w:themeColor="text1"/>
          <w:sz w:val="28"/>
          <w:szCs w:val="28"/>
        </w:rPr>
        <w:t>4</w:t>
      </w:r>
      <w:r>
        <w:rPr>
          <w:rFonts w:ascii="楷体" w:eastAsia="楷体" w:hAnsi="楷体" w:cs="楷体" w:hint="eastAsia"/>
          <w:color w:val="000000" w:themeColor="text1"/>
          <w:sz w:val="28"/>
          <w:szCs w:val="28"/>
        </w:rPr>
        <w:t>、交易双方有较充裕的时间进行交易；</w:t>
      </w:r>
      <w:r>
        <w:rPr>
          <w:rFonts w:ascii="楷体" w:eastAsia="楷体" w:hAnsi="楷体" w:cs="楷体" w:hint="eastAsia"/>
          <w:color w:val="000000" w:themeColor="text1"/>
          <w:sz w:val="28"/>
          <w:szCs w:val="28"/>
        </w:rPr>
        <w:t>5</w:t>
      </w:r>
      <w:r>
        <w:rPr>
          <w:rFonts w:ascii="楷体" w:eastAsia="楷体" w:hAnsi="楷体" w:cs="楷体" w:hint="eastAsia"/>
          <w:color w:val="000000" w:themeColor="text1"/>
          <w:sz w:val="28"/>
          <w:szCs w:val="28"/>
        </w:rPr>
        <w:t>、不存在买者因特殊兴趣而给予附加出价。</w:t>
      </w:r>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 w:eastAsia="楷体" w:hAnsi="楷体" w:hint="eastAsia"/>
          <w:sz w:val="28"/>
        </w:rPr>
        <w:t>杭州市规划和自然资源局临安分局</w:t>
      </w:r>
      <w:r>
        <w:rPr>
          <w:rFonts w:ascii="楷体" w:eastAsia="楷体" w:hAnsi="楷体" w:cs="楷体" w:hint="eastAsia"/>
          <w:color w:val="000000" w:themeColor="text1"/>
          <w:sz w:val="28"/>
          <w:szCs w:val="28"/>
        </w:rPr>
        <w:t>提供了估价对象的</w:t>
      </w: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 w:eastAsia="楷体" w:hAnsi="楷体" w:cs="楷体" w:hint="eastAsia"/>
          <w:color w:val="000000" w:themeColor="text1"/>
          <w:sz w:val="28"/>
          <w:szCs w:val="28"/>
        </w:rPr>
        <w:t>等资料</w:t>
      </w:r>
      <w:r>
        <w:rPr>
          <w:rFonts w:ascii="楷体" w:eastAsia="楷体" w:hAnsi="楷体" w:cs="楷体" w:hint="eastAsia"/>
          <w:color w:val="000000" w:themeColor="text1"/>
          <w:sz w:val="28"/>
          <w:szCs w:val="28"/>
        </w:rPr>
        <w:t>，</w:t>
      </w:r>
      <w:r>
        <w:rPr>
          <w:rFonts w:ascii="楷体" w:eastAsia="楷体" w:hAnsi="楷体" w:cs="楷体" w:hint="eastAsia"/>
          <w:color w:val="000000" w:themeColor="text1"/>
          <w:sz w:val="28"/>
          <w:szCs w:val="28"/>
        </w:rPr>
        <w:t>我们进行了认真的核对，在无理由怀疑其合法性、真实性、准确性和完整性的情况下，假定</w:t>
      </w:r>
      <w:r>
        <w:rPr>
          <w:rFonts w:ascii="楷体" w:eastAsia="楷体" w:hAnsi="楷体" w:cs="楷体" w:hint="eastAsia"/>
          <w:color w:val="000000" w:themeColor="text1"/>
          <w:sz w:val="28"/>
          <w:szCs w:val="28"/>
        </w:rPr>
        <w:t>该</w:t>
      </w:r>
      <w:r>
        <w:rPr>
          <w:rFonts w:ascii="楷体" w:eastAsia="楷体" w:hAnsi="楷体" w:cs="楷体" w:hint="eastAsia"/>
          <w:color w:val="000000" w:themeColor="text1"/>
          <w:sz w:val="28"/>
          <w:szCs w:val="28"/>
        </w:rPr>
        <w:t>资料合法、真实、准确、完整。</w:t>
      </w:r>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_GB2312" w:eastAsia="楷体_GB2312" w:hAnsi="宋体" w:hint="eastAsia"/>
          <w:sz w:val="28"/>
          <w:szCs w:val="28"/>
        </w:rPr>
        <w:t>注册房地产估价师实地查勘时，对房屋质量</w:t>
      </w:r>
      <w:r>
        <w:rPr>
          <w:rFonts w:ascii="楷体_GB2312" w:eastAsia="楷体_GB2312" w:hAnsi="宋体" w:hint="eastAsia"/>
          <w:sz w:val="28"/>
          <w:szCs w:val="28"/>
        </w:rPr>
        <w:t>安全、环境污染等影响估价对象价值或价格的重大因素给予了关注，但由于受到专业的限制，注册房地产估价师未对其做建筑物基础、房屋结构上的测量和实验。在无理由怀疑估价对象存在安全隐患且无相应的专业机构进行鉴定、检测的情况下，本次估价假设其无建筑物基础、结构等方面的重大质量问题，不存在影响估价对象价值或价格的房屋安全、环境污染等重大不利因素。</w:t>
      </w:r>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注册房地产估价师未对房屋建筑面积进行专业测量，经实地查勘，估价对象房屋建筑面积</w:t>
      </w:r>
      <w:r>
        <w:rPr>
          <w:rFonts w:ascii="楷体" w:eastAsia="楷体" w:hAnsi="楷体" w:cs="楷体" w:hint="eastAsia"/>
          <w:color w:val="000000" w:themeColor="text1"/>
          <w:sz w:val="28"/>
          <w:szCs w:val="28"/>
        </w:rPr>
        <w:t>与</w:t>
      </w: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 w:eastAsia="楷体" w:hAnsi="楷体" w:cs="楷体" w:hint="eastAsia"/>
          <w:color w:val="000000" w:themeColor="text1"/>
          <w:sz w:val="28"/>
          <w:szCs w:val="28"/>
        </w:rPr>
        <w:t>记载建筑面积</w:t>
      </w:r>
      <w:r>
        <w:rPr>
          <w:rFonts w:ascii="楷体" w:eastAsia="楷体" w:hAnsi="楷体" w:cs="楷体" w:hint="eastAsia"/>
          <w:color w:val="000000" w:themeColor="text1"/>
          <w:sz w:val="28"/>
          <w:szCs w:val="28"/>
        </w:rPr>
        <w:t>大体相当</w:t>
      </w:r>
      <w:r>
        <w:rPr>
          <w:rFonts w:ascii="楷体" w:eastAsia="楷体" w:hAnsi="楷体" w:cs="楷体" w:hint="eastAsia"/>
          <w:color w:val="000000" w:themeColor="text1"/>
          <w:sz w:val="28"/>
          <w:szCs w:val="28"/>
        </w:rPr>
        <w:t>。</w:t>
      </w:r>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任何有关估价对象的运作方式、程序符合国家、地方的有关</w:t>
      </w:r>
      <w:r>
        <w:rPr>
          <w:rFonts w:ascii="楷体" w:eastAsia="楷体" w:hAnsi="楷体" w:cs="楷体" w:hint="eastAsia"/>
          <w:color w:val="000000" w:themeColor="text1"/>
          <w:sz w:val="28"/>
          <w:szCs w:val="28"/>
        </w:rPr>
        <w:lastRenderedPageBreak/>
        <w:t>法律、法规、文件、政策等，特别是符合建设、规划、房地产主管部门所颁布的法律、法规、文件、政策等，不存在也不涉及任何法律纠纷及权属争议、不受任何权利限制、可以在公开市场上合法地进行转让为假定前提。</w:t>
      </w:r>
    </w:p>
    <w:p w:rsidR="008A54E3" w:rsidRDefault="000F2545">
      <w:pPr>
        <w:numPr>
          <w:ilvl w:val="0"/>
          <w:numId w:val="3"/>
        </w:numPr>
        <w:spacing w:line="630" w:lineRule="exact"/>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估价对象应享有公共部位的通行权及共用设施的使用权。</w:t>
      </w:r>
      <w:r>
        <w:rPr>
          <w:rFonts w:ascii="楷体" w:eastAsia="楷体" w:hAnsi="楷体" w:cs="楷体" w:hint="eastAsia"/>
          <w:color w:val="000000" w:themeColor="text1"/>
          <w:sz w:val="28"/>
          <w:szCs w:val="28"/>
        </w:rPr>
        <w:t xml:space="preserve"> </w:t>
      </w:r>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22" w:name="_Toc10440"/>
      <w:bookmarkStart w:id="23" w:name="_Toc32696"/>
      <w:r>
        <w:rPr>
          <w:rFonts w:ascii="楷体" w:eastAsia="楷体" w:hAnsi="楷体" w:cs="楷体" w:hint="eastAsia"/>
          <w:b/>
          <w:color w:val="000000" w:themeColor="text1"/>
          <w:sz w:val="28"/>
          <w:szCs w:val="28"/>
        </w:rPr>
        <w:t>二、未定事项假设：</w:t>
      </w:r>
      <w:bookmarkEnd w:id="22"/>
      <w:bookmarkEnd w:id="23"/>
    </w:p>
    <w:p w:rsidR="008A54E3" w:rsidRDefault="000F2545">
      <w:pPr>
        <w:spacing w:line="630" w:lineRule="exact"/>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本报告中无未定事项假设。</w:t>
      </w:r>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24" w:name="_Toc29869"/>
      <w:bookmarkStart w:id="25" w:name="_Toc11451"/>
      <w:r>
        <w:rPr>
          <w:rFonts w:ascii="楷体" w:eastAsia="楷体" w:hAnsi="楷体" w:cs="楷体" w:hint="eastAsia"/>
          <w:b/>
          <w:color w:val="000000" w:themeColor="text1"/>
          <w:sz w:val="28"/>
          <w:szCs w:val="28"/>
        </w:rPr>
        <w:t>三、背离事实假设</w:t>
      </w:r>
      <w:bookmarkEnd w:id="24"/>
      <w:bookmarkEnd w:id="25"/>
    </w:p>
    <w:p w:rsidR="008A54E3" w:rsidRDefault="000F2545">
      <w:pPr>
        <w:spacing w:line="630" w:lineRule="exact"/>
        <w:ind w:firstLineChars="200" w:firstLine="560"/>
        <w:outlineLvl w:val="0"/>
        <w:rPr>
          <w:rFonts w:ascii="楷体" w:eastAsia="楷体" w:hAnsi="楷体"/>
          <w:sz w:val="28"/>
        </w:rPr>
      </w:pPr>
      <w:bookmarkStart w:id="26" w:name="_Toc26995"/>
      <w:bookmarkStart w:id="27" w:name="_Toc2916"/>
      <w:r>
        <w:rPr>
          <w:rFonts w:ascii="楷体" w:eastAsia="楷体" w:hAnsi="楷体" w:hint="eastAsia"/>
          <w:sz w:val="28"/>
        </w:rPr>
        <w:t>根据《</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》记载，至价值时点，估价对象</w:t>
      </w:r>
      <w:r>
        <w:rPr>
          <w:rFonts w:ascii="楷体" w:eastAsia="楷体" w:hAnsi="楷体" w:hint="eastAsia"/>
          <w:sz w:val="28"/>
        </w:rPr>
        <w:t>已被司法机关查封，</w:t>
      </w:r>
      <w:r>
        <w:rPr>
          <w:rFonts w:ascii="楷体" w:eastAsia="楷体" w:hAnsi="楷体" w:hint="eastAsia"/>
          <w:sz w:val="28"/>
        </w:rPr>
        <w:t>根据估价目的，本次估价不考虑估价对象</w:t>
      </w:r>
      <w:r>
        <w:rPr>
          <w:rFonts w:ascii="楷体" w:eastAsia="楷体" w:hAnsi="楷体" w:hint="eastAsia"/>
          <w:sz w:val="28"/>
        </w:rPr>
        <w:t>查封</w:t>
      </w:r>
      <w:r>
        <w:rPr>
          <w:rFonts w:ascii="楷体" w:eastAsia="楷体" w:hAnsi="楷体" w:hint="eastAsia"/>
          <w:sz w:val="28"/>
        </w:rPr>
        <w:t>状况对房地产市场价值的影响。</w:t>
      </w:r>
      <w:bookmarkEnd w:id="26"/>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28" w:name="_Toc20824"/>
      <w:r>
        <w:rPr>
          <w:rFonts w:ascii="楷体" w:eastAsia="楷体" w:hAnsi="楷体" w:cs="楷体" w:hint="eastAsia"/>
          <w:b/>
          <w:color w:val="000000" w:themeColor="text1"/>
          <w:sz w:val="28"/>
          <w:szCs w:val="28"/>
        </w:rPr>
        <w:t>四、不相一致假设</w:t>
      </w:r>
      <w:bookmarkEnd w:id="27"/>
      <w:bookmarkEnd w:id="28"/>
    </w:p>
    <w:p w:rsidR="008A54E3" w:rsidRDefault="000F2545">
      <w:pPr>
        <w:spacing w:line="630" w:lineRule="exact"/>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根据《临安区不动产权属信息查询记录》房屋信息中记载不动产坐落锦城街道紫景苑北半地下层（</w:t>
      </w:r>
      <w:r>
        <w:rPr>
          <w:rFonts w:ascii="楷体" w:eastAsia="楷体" w:hAnsi="楷体" w:cs="楷体" w:hint="eastAsia"/>
          <w:color w:val="000000" w:themeColor="text1"/>
          <w:sz w:val="28"/>
          <w:szCs w:val="28"/>
        </w:rPr>
        <w:t>1</w:t>
      </w:r>
      <w:r>
        <w:rPr>
          <w:rFonts w:ascii="楷体" w:eastAsia="楷体" w:hAnsi="楷体" w:cs="楷体" w:hint="eastAsia"/>
          <w:color w:val="000000" w:themeColor="text1"/>
          <w:sz w:val="28"/>
          <w:szCs w:val="28"/>
        </w:rPr>
        <w:t>幢</w:t>
      </w:r>
      <w:r>
        <w:rPr>
          <w:rFonts w:ascii="楷体" w:eastAsia="楷体" w:hAnsi="楷体" w:cs="楷体" w:hint="eastAsia"/>
          <w:color w:val="000000" w:themeColor="text1"/>
          <w:sz w:val="28"/>
          <w:szCs w:val="28"/>
        </w:rPr>
        <w:t>-113</w:t>
      </w:r>
      <w:r>
        <w:rPr>
          <w:rFonts w:ascii="楷体" w:eastAsia="楷体" w:hAnsi="楷体" w:cs="楷体" w:hint="eastAsia"/>
          <w:color w:val="000000" w:themeColor="text1"/>
          <w:sz w:val="28"/>
          <w:szCs w:val="28"/>
        </w:rPr>
        <w:t>），根据《临安区不动产权属信息查询记录》土地信息中记载不动产坐落锦城街道紫景苑</w:t>
      </w:r>
      <w:r>
        <w:rPr>
          <w:rFonts w:ascii="楷体" w:eastAsia="楷体" w:hAnsi="楷体" w:cs="楷体" w:hint="eastAsia"/>
          <w:color w:val="000000" w:themeColor="text1"/>
          <w:sz w:val="28"/>
          <w:szCs w:val="28"/>
        </w:rPr>
        <w:t>3-6</w:t>
      </w:r>
      <w:r>
        <w:rPr>
          <w:rFonts w:ascii="楷体" w:eastAsia="楷体" w:hAnsi="楷体" w:cs="楷体" w:hint="eastAsia"/>
          <w:color w:val="000000" w:themeColor="text1"/>
          <w:sz w:val="28"/>
          <w:szCs w:val="28"/>
        </w:rPr>
        <w:t>幢</w:t>
      </w:r>
      <w:r>
        <w:rPr>
          <w:rFonts w:ascii="楷体" w:eastAsia="楷体" w:hAnsi="楷体" w:cs="楷体" w:hint="eastAsia"/>
          <w:color w:val="000000" w:themeColor="text1"/>
          <w:sz w:val="28"/>
          <w:szCs w:val="28"/>
        </w:rPr>
        <w:t>113</w:t>
      </w:r>
      <w:r>
        <w:rPr>
          <w:rFonts w:ascii="楷体" w:eastAsia="楷体" w:hAnsi="楷体" w:cs="楷体" w:hint="eastAsia"/>
          <w:color w:val="000000" w:themeColor="text1"/>
          <w:sz w:val="28"/>
          <w:szCs w:val="28"/>
        </w:rPr>
        <w:t>号车库，经现场查勘，估价对象位于紫景苑</w:t>
      </w:r>
      <w:r>
        <w:rPr>
          <w:rFonts w:ascii="楷体" w:eastAsia="楷体" w:hAnsi="楷体" w:cs="楷体" w:hint="eastAsia"/>
          <w:color w:val="000000" w:themeColor="text1"/>
          <w:sz w:val="28"/>
          <w:szCs w:val="28"/>
        </w:rPr>
        <w:t>3-6</w:t>
      </w:r>
      <w:r>
        <w:rPr>
          <w:rFonts w:ascii="楷体" w:eastAsia="楷体" w:hAnsi="楷体" w:cs="楷体" w:hint="eastAsia"/>
          <w:color w:val="000000" w:themeColor="text1"/>
          <w:sz w:val="28"/>
          <w:szCs w:val="28"/>
        </w:rPr>
        <w:t>幢之间地下室出入口由西往东第</w:t>
      </w:r>
      <w:r>
        <w:rPr>
          <w:rFonts w:ascii="楷体" w:eastAsia="楷体" w:hAnsi="楷体" w:cs="楷体" w:hint="eastAsia"/>
          <w:color w:val="000000" w:themeColor="text1"/>
          <w:sz w:val="28"/>
          <w:szCs w:val="28"/>
        </w:rPr>
        <w:t>5</w:t>
      </w:r>
      <w:r>
        <w:rPr>
          <w:rFonts w:ascii="楷体" w:eastAsia="楷体" w:hAnsi="楷体" w:cs="楷体" w:hint="eastAsia"/>
          <w:color w:val="000000" w:themeColor="text1"/>
          <w:sz w:val="28"/>
          <w:szCs w:val="28"/>
        </w:rPr>
        <w:t>间（以房产分层分户平面图为准），提请报告使用人注意</w:t>
      </w:r>
      <w:r>
        <w:rPr>
          <w:rFonts w:ascii="楷体" w:eastAsia="楷体" w:hAnsi="楷体" w:cs="楷体" w:hint="eastAsia"/>
          <w:color w:val="000000" w:themeColor="text1"/>
          <w:sz w:val="28"/>
          <w:szCs w:val="28"/>
        </w:rPr>
        <w:t>。</w:t>
      </w:r>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29" w:name="_Toc749"/>
      <w:bookmarkStart w:id="30" w:name="_Toc14640"/>
      <w:r>
        <w:rPr>
          <w:rFonts w:ascii="楷体" w:eastAsia="楷体" w:hAnsi="楷体" w:cs="楷体" w:hint="eastAsia"/>
          <w:b/>
          <w:color w:val="000000" w:themeColor="text1"/>
          <w:sz w:val="28"/>
          <w:szCs w:val="28"/>
        </w:rPr>
        <w:t>五、依据不足假设</w:t>
      </w:r>
      <w:bookmarkEnd w:id="29"/>
      <w:bookmarkEnd w:id="30"/>
    </w:p>
    <w:p w:rsidR="008A54E3" w:rsidRDefault="000F2545">
      <w:pPr>
        <w:spacing w:line="630" w:lineRule="exact"/>
        <w:ind w:firstLineChars="200" w:firstLine="560"/>
        <w:rPr>
          <w:rFonts w:ascii="楷体" w:eastAsia="楷体" w:hAnsi="楷体" w:cs="楷体"/>
          <w:color w:val="000000" w:themeColor="text1"/>
          <w:sz w:val="28"/>
          <w:szCs w:val="28"/>
        </w:rPr>
      </w:pPr>
      <w:r>
        <w:rPr>
          <w:rFonts w:ascii="楷体" w:eastAsia="楷体" w:hAnsi="楷体" w:cs="楷体" w:hint="eastAsia"/>
          <w:color w:val="000000" w:themeColor="text1"/>
          <w:sz w:val="28"/>
          <w:szCs w:val="28"/>
        </w:rPr>
        <w:t>本报告中无依据不足假设。</w:t>
      </w:r>
    </w:p>
    <w:p w:rsidR="008A54E3" w:rsidRDefault="000F2545">
      <w:pPr>
        <w:spacing w:line="630" w:lineRule="exact"/>
        <w:ind w:firstLineChars="200" w:firstLine="562"/>
        <w:outlineLvl w:val="0"/>
        <w:rPr>
          <w:rFonts w:ascii="楷体" w:eastAsia="楷体" w:hAnsi="楷体" w:cs="楷体"/>
          <w:b/>
          <w:color w:val="000000" w:themeColor="text1"/>
          <w:sz w:val="28"/>
          <w:szCs w:val="28"/>
        </w:rPr>
      </w:pPr>
      <w:bookmarkStart w:id="31" w:name="_Toc8679"/>
      <w:bookmarkStart w:id="32" w:name="_Toc6291"/>
      <w:r>
        <w:rPr>
          <w:rFonts w:ascii="楷体" w:eastAsia="楷体" w:hAnsi="楷体" w:cs="楷体" w:hint="eastAsia"/>
          <w:b/>
          <w:color w:val="000000" w:themeColor="text1"/>
          <w:sz w:val="28"/>
          <w:szCs w:val="28"/>
        </w:rPr>
        <w:t>六、</w:t>
      </w:r>
      <w:bookmarkEnd w:id="31"/>
      <w:r>
        <w:rPr>
          <w:rFonts w:ascii="楷体" w:eastAsia="楷体" w:hAnsi="楷体" w:cs="楷体" w:hint="eastAsia"/>
          <w:b/>
          <w:bCs/>
          <w:sz w:val="28"/>
          <w:szCs w:val="28"/>
        </w:rPr>
        <w:t>估价报告使用限制</w:t>
      </w:r>
      <w:bookmarkEnd w:id="32"/>
      <w:r>
        <w:rPr>
          <w:rFonts w:ascii="楷体" w:eastAsia="楷体" w:hAnsi="楷体" w:cs="楷体" w:hint="eastAsia"/>
          <w:b/>
          <w:bCs/>
          <w:sz w:val="28"/>
          <w:szCs w:val="28"/>
        </w:rPr>
        <w:t>和特殊事项说明</w:t>
      </w:r>
    </w:p>
    <w:p w:rsidR="008A54E3" w:rsidRDefault="000F2545">
      <w:pPr>
        <w:numPr>
          <w:ilvl w:val="0"/>
          <w:numId w:val="4"/>
        </w:numPr>
        <w:spacing w:line="630" w:lineRule="exact"/>
        <w:rPr>
          <w:rFonts w:ascii="楷体" w:eastAsia="楷体" w:hAnsi="楷体" w:cs="楷体"/>
          <w:color w:val="000000"/>
          <w:sz w:val="28"/>
          <w:szCs w:val="28"/>
        </w:rPr>
      </w:pPr>
      <w:bookmarkStart w:id="33" w:name="_Toc17727"/>
      <w:bookmarkStart w:id="34" w:name="_Toc243366087"/>
      <w:r>
        <w:rPr>
          <w:rFonts w:ascii="楷体" w:eastAsia="楷体" w:hAnsi="楷体"/>
          <w:sz w:val="28"/>
        </w:rPr>
        <w:t>本估价</w:t>
      </w:r>
      <w:r>
        <w:rPr>
          <w:rFonts w:ascii="楷体" w:eastAsia="楷体" w:hAnsi="楷体" w:hint="eastAsia"/>
          <w:sz w:val="28"/>
        </w:rPr>
        <w:t>报告</w:t>
      </w:r>
      <w:r>
        <w:rPr>
          <w:rFonts w:ascii="楷体" w:eastAsia="楷体" w:hAnsi="楷体"/>
          <w:sz w:val="28"/>
        </w:rPr>
        <w:t>仅</w:t>
      </w:r>
      <w:r>
        <w:rPr>
          <w:rFonts w:ascii="楷体" w:eastAsia="楷体" w:hAnsi="楷体" w:hint="eastAsia"/>
          <w:sz w:val="28"/>
        </w:rPr>
        <w:t>为人民法院确定财产处置参考价提供参考依据</w:t>
      </w:r>
      <w:r>
        <w:rPr>
          <w:rFonts w:ascii="楷体" w:eastAsia="楷体" w:hAnsi="楷体"/>
          <w:sz w:val="28"/>
        </w:rPr>
        <w:t>，</w:t>
      </w:r>
      <w:r>
        <w:rPr>
          <w:rFonts w:ascii="楷体" w:eastAsia="楷体" w:hAnsi="楷体" w:hint="eastAsia"/>
          <w:sz w:val="28"/>
        </w:rPr>
        <w:lastRenderedPageBreak/>
        <w:t>如</w:t>
      </w:r>
      <w:r>
        <w:rPr>
          <w:rFonts w:ascii="楷体" w:eastAsia="楷体" w:hAnsi="楷体"/>
          <w:sz w:val="28"/>
        </w:rPr>
        <w:t>超出此范围</w:t>
      </w:r>
      <w:r>
        <w:rPr>
          <w:rFonts w:ascii="楷体" w:eastAsia="楷体" w:hAnsi="楷体" w:hint="eastAsia"/>
          <w:sz w:val="28"/>
        </w:rPr>
        <w:t>则估价结果</w:t>
      </w:r>
      <w:r>
        <w:rPr>
          <w:rFonts w:ascii="楷体" w:eastAsia="楷体" w:hAnsi="楷体"/>
          <w:sz w:val="28"/>
        </w:rPr>
        <w:t>无效，本</w:t>
      </w:r>
      <w:r>
        <w:rPr>
          <w:rFonts w:ascii="楷体" w:eastAsia="楷体" w:hAnsi="楷体" w:hint="eastAsia"/>
          <w:sz w:val="28"/>
        </w:rPr>
        <w:t>估价</w:t>
      </w:r>
      <w:r>
        <w:rPr>
          <w:rFonts w:ascii="楷体" w:eastAsia="楷体" w:hAnsi="楷体"/>
          <w:sz w:val="28"/>
        </w:rPr>
        <w:t>机构不负</w:t>
      </w:r>
      <w:r>
        <w:rPr>
          <w:rFonts w:ascii="楷体" w:eastAsia="楷体" w:hAnsi="楷体" w:hint="eastAsia"/>
          <w:sz w:val="28"/>
        </w:rPr>
        <w:t>相应的</w:t>
      </w:r>
      <w:r>
        <w:rPr>
          <w:rFonts w:ascii="楷体" w:eastAsia="楷体" w:hAnsi="楷体"/>
          <w:sz w:val="28"/>
        </w:rPr>
        <w:t>法律责任。</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本估价报告仅对估价对象房地产的</w:t>
      </w:r>
      <w:r>
        <w:rPr>
          <w:rFonts w:ascii="楷体" w:eastAsia="楷体" w:hAnsi="楷体" w:cs="楷体" w:hint="eastAsia"/>
          <w:color w:val="000000"/>
          <w:sz w:val="28"/>
          <w:szCs w:val="28"/>
        </w:rPr>
        <w:t>市场</w:t>
      </w:r>
      <w:r>
        <w:rPr>
          <w:rFonts w:ascii="楷体" w:eastAsia="楷体" w:hAnsi="楷体" w:cs="楷体" w:hint="eastAsia"/>
          <w:color w:val="000000"/>
          <w:sz w:val="28"/>
          <w:szCs w:val="28"/>
        </w:rPr>
        <w:t>价值做出合理估测，不作为其权属方面确认的依据，有关权属界定以有</w:t>
      </w:r>
      <w:r>
        <w:rPr>
          <w:rFonts w:ascii="楷体" w:eastAsia="楷体" w:hAnsi="楷体" w:cs="楷体" w:hint="eastAsia"/>
          <w:color w:val="000000"/>
          <w:sz w:val="28"/>
          <w:szCs w:val="28"/>
        </w:rPr>
        <w:t>权</w:t>
      </w:r>
      <w:r>
        <w:rPr>
          <w:rFonts w:ascii="楷体" w:eastAsia="楷体" w:hAnsi="楷体" w:cs="楷体" w:hint="eastAsia"/>
          <w:color w:val="000000"/>
          <w:sz w:val="28"/>
          <w:szCs w:val="28"/>
        </w:rPr>
        <w:t>部门认定为准。</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本估价报告必须完整使用方为有效，对仅使用本报告中部分内容导致的损失本公司不负任何责任。</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本报告</w:t>
      </w:r>
      <w:r>
        <w:rPr>
          <w:rFonts w:ascii="楷体" w:eastAsia="楷体" w:hAnsi="楷体" w:cs="楷体" w:hint="eastAsia"/>
          <w:color w:val="000000"/>
          <w:sz w:val="28"/>
          <w:szCs w:val="28"/>
        </w:rPr>
        <w:t>须在估价报告</w:t>
      </w:r>
      <w:r>
        <w:rPr>
          <w:rFonts w:ascii="楷体" w:eastAsia="楷体" w:hAnsi="楷体" w:cs="楷体" w:hint="eastAsia"/>
          <w:color w:val="000000"/>
          <w:sz w:val="28"/>
          <w:szCs w:val="28"/>
        </w:rPr>
        <w:t>使用期限</w:t>
      </w:r>
      <w:r>
        <w:rPr>
          <w:rFonts w:ascii="楷体" w:eastAsia="楷体" w:hAnsi="楷体" w:cs="楷体" w:hint="eastAsia"/>
          <w:color w:val="000000"/>
          <w:sz w:val="28"/>
          <w:szCs w:val="28"/>
        </w:rPr>
        <w:t>内使用。本报告使用期限为</w:t>
      </w:r>
      <w:r>
        <w:rPr>
          <w:rFonts w:ascii="楷体" w:eastAsia="楷体" w:hAnsi="楷体" w:cs="楷体" w:hint="eastAsia"/>
          <w:color w:val="000000"/>
          <w:sz w:val="28"/>
          <w:szCs w:val="28"/>
        </w:rPr>
        <w:t>壹年（自</w:t>
      </w:r>
      <w:r>
        <w:rPr>
          <w:rFonts w:eastAsia="楷体" w:hint="eastAsia"/>
          <w:sz w:val="28"/>
        </w:rPr>
        <w:t>二Ο二二年十一月九日</w:t>
      </w:r>
      <w:r>
        <w:rPr>
          <w:rFonts w:ascii="楷体" w:eastAsia="楷体" w:hAnsi="楷体" w:cs="楷体" w:hint="eastAsia"/>
          <w:color w:val="000000"/>
          <w:sz w:val="28"/>
          <w:szCs w:val="28"/>
        </w:rPr>
        <w:t>至</w:t>
      </w:r>
      <w:r>
        <w:rPr>
          <w:rFonts w:eastAsia="楷体" w:hint="eastAsia"/>
          <w:sz w:val="28"/>
        </w:rPr>
        <w:t>二Ο二三年十一月八日</w:t>
      </w:r>
      <w:r>
        <w:rPr>
          <w:rFonts w:ascii="楷体" w:eastAsia="楷体" w:hAnsi="楷体" w:cs="楷体" w:hint="eastAsia"/>
          <w:color w:val="000000"/>
          <w:sz w:val="28"/>
          <w:szCs w:val="28"/>
        </w:rPr>
        <w:t>止）。</w:t>
      </w:r>
      <w:r>
        <w:rPr>
          <w:rFonts w:ascii="楷体" w:eastAsia="楷体" w:hAnsi="楷体"/>
          <w:sz w:val="28"/>
        </w:rPr>
        <w:t>在</w:t>
      </w:r>
      <w:r>
        <w:rPr>
          <w:rFonts w:ascii="楷体" w:eastAsia="楷体" w:hAnsi="楷体" w:hint="eastAsia"/>
          <w:sz w:val="28"/>
        </w:rPr>
        <w:t>估价报告使用期限内、估价结果未使用前</w:t>
      </w:r>
      <w:r>
        <w:rPr>
          <w:rFonts w:ascii="楷体" w:eastAsia="楷体" w:hAnsi="楷体"/>
          <w:sz w:val="28"/>
        </w:rPr>
        <w:t>，如果房地产的城市功能规划、宏观经济政策、市场发展预期等发生重大变化，对房地产</w:t>
      </w:r>
      <w:r>
        <w:rPr>
          <w:rFonts w:ascii="楷体" w:eastAsia="楷体" w:hAnsi="楷体" w:hint="eastAsia"/>
          <w:sz w:val="28"/>
        </w:rPr>
        <w:t>市场</w:t>
      </w:r>
      <w:r>
        <w:rPr>
          <w:rFonts w:ascii="楷体" w:eastAsia="楷体" w:hAnsi="楷体"/>
          <w:sz w:val="28"/>
        </w:rPr>
        <w:t>价值产生明显影响时，应重新进行估价。</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本估价报告估价结果在满足全部假设与限制条件下成立。</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对于</w:t>
      </w:r>
      <w:r>
        <w:rPr>
          <w:rFonts w:ascii="楷体" w:eastAsia="楷体" w:hAnsi="楷体" w:cs="楷体" w:hint="eastAsia"/>
          <w:color w:val="000000"/>
          <w:sz w:val="28"/>
          <w:szCs w:val="28"/>
        </w:rPr>
        <w:t>本次</w:t>
      </w:r>
      <w:r>
        <w:rPr>
          <w:rFonts w:ascii="楷体" w:eastAsia="楷体" w:hAnsi="楷体" w:cs="楷体" w:hint="eastAsia"/>
          <w:color w:val="000000"/>
          <w:sz w:val="28"/>
          <w:szCs w:val="28"/>
        </w:rPr>
        <w:t>交易</w:t>
      </w:r>
      <w:r>
        <w:rPr>
          <w:rFonts w:ascii="楷体" w:eastAsia="楷体" w:hAnsi="楷体" w:cs="楷体" w:hint="eastAsia"/>
          <w:color w:val="000000"/>
          <w:sz w:val="28"/>
          <w:szCs w:val="28"/>
        </w:rPr>
        <w:t>卖</w:t>
      </w:r>
      <w:r>
        <w:rPr>
          <w:rFonts w:ascii="楷体" w:eastAsia="楷体" w:hAnsi="楷体" w:cs="楷体" w:hint="eastAsia"/>
          <w:color w:val="000000"/>
          <w:sz w:val="28"/>
          <w:szCs w:val="28"/>
        </w:rPr>
        <w:t>、</w:t>
      </w:r>
      <w:r>
        <w:rPr>
          <w:rFonts w:ascii="楷体" w:eastAsia="楷体" w:hAnsi="楷体" w:cs="楷体" w:hint="eastAsia"/>
          <w:color w:val="000000"/>
          <w:sz w:val="28"/>
          <w:szCs w:val="28"/>
        </w:rPr>
        <w:t>买方应负担的税费具体涉及税种及计算方法如下：</w:t>
      </w:r>
    </w:p>
    <w:tbl>
      <w:tblPr>
        <w:tblW w:w="4781" w:type="pct"/>
        <w:jc w:val="center"/>
        <w:tblCellMar>
          <w:left w:w="0" w:type="dxa"/>
          <w:right w:w="0" w:type="dxa"/>
        </w:tblCellMar>
        <w:tblLook w:val="04A0"/>
      </w:tblPr>
      <w:tblGrid>
        <w:gridCol w:w="1021"/>
        <w:gridCol w:w="1221"/>
        <w:gridCol w:w="5817"/>
      </w:tblGrid>
      <w:tr w:rsidR="008A54E3">
        <w:trPr>
          <w:trHeight w:val="340"/>
          <w:jc w:val="center"/>
        </w:trPr>
        <w:tc>
          <w:tcPr>
            <w:tcW w:w="632"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8A54E3">
            <w:pPr>
              <w:widowControl/>
              <w:jc w:val="center"/>
              <w:textAlignment w:val="center"/>
              <w:rPr>
                <w:rFonts w:ascii="楷体" w:eastAsia="楷体" w:hAnsi="楷体" w:cs="楷体"/>
                <w:color w:val="000000"/>
                <w:sz w:val="20"/>
                <w:szCs w:val="20"/>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税费种类</w:t>
            </w:r>
          </w:p>
        </w:tc>
        <w:tc>
          <w:tcPr>
            <w:tcW w:w="361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税率及计算方法</w:t>
            </w:r>
          </w:p>
        </w:tc>
      </w:tr>
      <w:tr w:rsidR="008A54E3">
        <w:trPr>
          <w:trHeight w:val="340"/>
          <w:jc w:val="center"/>
        </w:trPr>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kern w:val="0"/>
                <w:sz w:val="20"/>
                <w:szCs w:val="20"/>
                <w:lang/>
              </w:rPr>
            </w:pPr>
            <w:r>
              <w:rPr>
                <w:rFonts w:ascii="楷体" w:eastAsia="楷体" w:hAnsi="楷体" w:cs="楷体" w:hint="eastAsia"/>
                <w:color w:val="000000"/>
                <w:kern w:val="0"/>
                <w:sz w:val="20"/>
                <w:szCs w:val="20"/>
                <w:lang/>
              </w:rPr>
              <w:t>卖方</w:t>
            </w:r>
          </w:p>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应缴纳税费</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增值税及附加</w:t>
            </w:r>
          </w:p>
        </w:tc>
        <w:tc>
          <w:tcPr>
            <w:tcW w:w="361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差额</w:t>
            </w:r>
            <w:r>
              <w:rPr>
                <w:rStyle w:val="font11"/>
                <w:rFonts w:ascii="楷体" w:eastAsia="楷体" w:hAnsi="楷体" w:cs="楷体"/>
                <w:sz w:val="20"/>
                <w:szCs w:val="20"/>
                <w:lang/>
              </w:rPr>
              <w:t>×</w:t>
            </w:r>
            <w:r>
              <w:rPr>
                <w:rStyle w:val="font21"/>
                <w:b w:val="0"/>
                <w:sz w:val="20"/>
                <w:szCs w:val="20"/>
                <w:lang/>
              </w:rPr>
              <w:t>5.3%</w:t>
            </w:r>
          </w:p>
        </w:tc>
      </w:tr>
      <w:tr w:rsidR="008A54E3">
        <w:trPr>
          <w:trHeight w:val="340"/>
          <w:jc w:val="center"/>
        </w:trPr>
        <w:tc>
          <w:tcPr>
            <w:tcW w:w="632" w:type="pct"/>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8A54E3">
            <w:pPr>
              <w:jc w:val="center"/>
              <w:rPr>
                <w:rFonts w:ascii="楷体" w:eastAsia="楷体" w:hAnsi="楷体" w:cs="楷体"/>
                <w:color w:val="000000"/>
                <w:sz w:val="20"/>
                <w:szCs w:val="20"/>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jc w:val="center"/>
              <w:rPr>
                <w:rFonts w:ascii="楷体" w:eastAsia="楷体" w:hAnsi="楷体" w:cs="楷体"/>
                <w:color w:val="000000"/>
                <w:sz w:val="20"/>
                <w:szCs w:val="20"/>
              </w:rPr>
            </w:pPr>
            <w:r>
              <w:rPr>
                <w:rFonts w:ascii="楷体" w:eastAsia="楷体" w:hAnsi="楷体" w:cs="楷体" w:hint="eastAsia"/>
                <w:color w:val="000000"/>
                <w:kern w:val="0"/>
                <w:sz w:val="20"/>
                <w:szCs w:val="20"/>
                <w:lang/>
              </w:rPr>
              <w:t>个人所得税</w:t>
            </w:r>
          </w:p>
        </w:tc>
        <w:tc>
          <w:tcPr>
            <w:tcW w:w="361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成交价格</w:t>
            </w:r>
            <w:r>
              <w:rPr>
                <w:rStyle w:val="font11"/>
                <w:rFonts w:ascii="楷体" w:eastAsia="楷体" w:hAnsi="楷体" w:cs="楷体"/>
                <w:sz w:val="20"/>
                <w:szCs w:val="20"/>
                <w:lang/>
              </w:rPr>
              <w:t>×</w:t>
            </w:r>
            <w:r>
              <w:rPr>
                <w:rStyle w:val="font21"/>
                <w:b w:val="0"/>
                <w:sz w:val="20"/>
                <w:szCs w:val="20"/>
                <w:lang/>
              </w:rPr>
              <w:t>1%</w:t>
            </w:r>
          </w:p>
        </w:tc>
      </w:tr>
      <w:tr w:rsidR="008A54E3">
        <w:trPr>
          <w:trHeight w:val="340"/>
          <w:jc w:val="center"/>
        </w:trPr>
        <w:tc>
          <w:tcPr>
            <w:tcW w:w="632" w:type="pct"/>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8A54E3">
            <w:pPr>
              <w:jc w:val="center"/>
              <w:rPr>
                <w:rFonts w:ascii="楷体" w:eastAsia="楷体" w:hAnsi="楷体" w:cs="楷体"/>
                <w:color w:val="000000"/>
                <w:sz w:val="20"/>
                <w:szCs w:val="20"/>
              </w:rPr>
            </w:pPr>
          </w:p>
        </w:tc>
        <w:tc>
          <w:tcPr>
            <w:tcW w:w="756" w:type="pct"/>
            <w:tcBorders>
              <w:top w:val="single" w:sz="4" w:space="0" w:color="000000"/>
              <w:left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jc w:val="center"/>
              <w:rPr>
                <w:rFonts w:ascii="楷体" w:eastAsia="楷体" w:hAnsi="楷体" w:cs="楷体"/>
                <w:color w:val="000000"/>
                <w:sz w:val="20"/>
                <w:szCs w:val="20"/>
              </w:rPr>
            </w:pPr>
            <w:r>
              <w:rPr>
                <w:rFonts w:ascii="楷体" w:eastAsia="楷体" w:hAnsi="楷体" w:cs="楷体" w:hint="eastAsia"/>
                <w:color w:val="000000"/>
                <w:sz w:val="20"/>
                <w:szCs w:val="20"/>
              </w:rPr>
              <w:t>土地增值税</w:t>
            </w:r>
          </w:p>
        </w:tc>
        <w:tc>
          <w:tcPr>
            <w:tcW w:w="361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成交价格</w:t>
            </w:r>
            <w:r>
              <w:rPr>
                <w:rStyle w:val="font11"/>
                <w:rFonts w:ascii="楷体" w:eastAsia="楷体" w:hAnsi="楷体" w:cs="楷体"/>
                <w:sz w:val="20"/>
                <w:szCs w:val="20"/>
                <w:lang/>
              </w:rPr>
              <w:t>×</w:t>
            </w:r>
            <w:r>
              <w:rPr>
                <w:rStyle w:val="font21"/>
                <w:b w:val="0"/>
                <w:sz w:val="20"/>
                <w:szCs w:val="20"/>
                <w:lang/>
              </w:rPr>
              <w:t>0.5%</w:t>
            </w:r>
          </w:p>
        </w:tc>
      </w:tr>
      <w:tr w:rsidR="008A54E3">
        <w:trPr>
          <w:trHeight w:val="340"/>
          <w:jc w:val="center"/>
        </w:trPr>
        <w:tc>
          <w:tcPr>
            <w:tcW w:w="632" w:type="pct"/>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8A54E3">
            <w:pPr>
              <w:jc w:val="center"/>
              <w:rPr>
                <w:rFonts w:ascii="楷体" w:eastAsia="楷体" w:hAnsi="楷体" w:cs="楷体"/>
                <w:color w:val="000000"/>
                <w:sz w:val="20"/>
                <w:szCs w:val="20"/>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jc w:val="center"/>
              <w:rPr>
                <w:rFonts w:ascii="楷体" w:eastAsia="楷体" w:hAnsi="楷体" w:cs="楷体"/>
                <w:color w:val="000000"/>
                <w:sz w:val="20"/>
                <w:szCs w:val="20"/>
              </w:rPr>
            </w:pPr>
            <w:r>
              <w:rPr>
                <w:rFonts w:ascii="楷体" w:eastAsia="楷体" w:hAnsi="楷体" w:cs="楷体" w:hint="eastAsia"/>
                <w:color w:val="000000"/>
                <w:sz w:val="20"/>
                <w:szCs w:val="20"/>
              </w:rPr>
              <w:t>印花税</w:t>
            </w:r>
          </w:p>
        </w:tc>
        <w:tc>
          <w:tcPr>
            <w:tcW w:w="361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成交价格</w:t>
            </w:r>
            <w:r>
              <w:rPr>
                <w:rStyle w:val="font11"/>
                <w:rFonts w:ascii="楷体" w:eastAsia="楷体" w:hAnsi="楷体" w:cs="楷体"/>
                <w:sz w:val="20"/>
                <w:szCs w:val="20"/>
                <w:lang/>
              </w:rPr>
              <w:t>×</w:t>
            </w:r>
            <w:r>
              <w:rPr>
                <w:rStyle w:val="font21"/>
                <w:b w:val="0"/>
                <w:sz w:val="20"/>
                <w:szCs w:val="20"/>
                <w:lang/>
              </w:rPr>
              <w:t>0.25%</w:t>
            </w:r>
          </w:p>
        </w:tc>
      </w:tr>
      <w:tr w:rsidR="008A54E3">
        <w:trPr>
          <w:trHeight w:val="340"/>
          <w:jc w:val="center"/>
        </w:trPr>
        <w:tc>
          <w:tcPr>
            <w:tcW w:w="632"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kern w:val="0"/>
                <w:sz w:val="20"/>
                <w:szCs w:val="20"/>
                <w:lang/>
              </w:rPr>
            </w:pPr>
            <w:r>
              <w:rPr>
                <w:rFonts w:ascii="楷体" w:eastAsia="楷体" w:hAnsi="楷体" w:cs="楷体" w:hint="eastAsia"/>
                <w:color w:val="000000"/>
                <w:kern w:val="0"/>
                <w:sz w:val="20"/>
                <w:szCs w:val="20"/>
                <w:lang/>
              </w:rPr>
              <w:t>买方</w:t>
            </w:r>
          </w:p>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应缴纳税费</w:t>
            </w: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契税</w:t>
            </w:r>
          </w:p>
        </w:tc>
        <w:tc>
          <w:tcPr>
            <w:tcW w:w="3610"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成交价格</w:t>
            </w:r>
            <w:r>
              <w:rPr>
                <w:rStyle w:val="font11"/>
                <w:rFonts w:ascii="楷体" w:eastAsia="楷体" w:hAnsi="楷体" w:cs="楷体"/>
                <w:sz w:val="20"/>
                <w:szCs w:val="20"/>
                <w:lang/>
              </w:rPr>
              <w:t>×</w:t>
            </w:r>
            <w:r>
              <w:rPr>
                <w:rStyle w:val="font21"/>
                <w:b w:val="0"/>
                <w:sz w:val="20"/>
                <w:szCs w:val="20"/>
                <w:lang/>
              </w:rPr>
              <w:t>3%</w:t>
            </w:r>
          </w:p>
        </w:tc>
      </w:tr>
      <w:tr w:rsidR="008A54E3">
        <w:trPr>
          <w:trHeight w:val="340"/>
          <w:jc w:val="center"/>
        </w:trPr>
        <w:tc>
          <w:tcPr>
            <w:tcW w:w="632" w:type="pct"/>
            <w:vMerge/>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8A54E3">
            <w:pPr>
              <w:jc w:val="center"/>
              <w:rPr>
                <w:rFonts w:ascii="楷体" w:eastAsia="楷体" w:hAnsi="楷体" w:cs="楷体"/>
                <w:color w:val="000000"/>
                <w:sz w:val="20"/>
                <w:szCs w:val="20"/>
              </w:rPr>
            </w:pPr>
          </w:p>
        </w:tc>
        <w:tc>
          <w:tcPr>
            <w:tcW w:w="756" w:type="pct"/>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jc w:val="center"/>
              <w:rPr>
                <w:rFonts w:ascii="楷体" w:eastAsia="楷体" w:hAnsi="楷体" w:cs="楷体"/>
                <w:color w:val="000000"/>
                <w:sz w:val="20"/>
                <w:szCs w:val="20"/>
              </w:rPr>
            </w:pPr>
            <w:r>
              <w:rPr>
                <w:rFonts w:ascii="楷体" w:eastAsia="楷体" w:hAnsi="楷体" w:cs="楷体" w:hint="eastAsia"/>
                <w:color w:val="000000"/>
                <w:sz w:val="20"/>
                <w:szCs w:val="20"/>
              </w:rPr>
              <w:t>印花税</w:t>
            </w:r>
          </w:p>
        </w:tc>
        <w:tc>
          <w:tcPr>
            <w:tcW w:w="3610" w:type="pct"/>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sz w:val="20"/>
                <w:szCs w:val="20"/>
              </w:rPr>
            </w:pPr>
            <w:r>
              <w:rPr>
                <w:rFonts w:ascii="楷体" w:eastAsia="楷体" w:hAnsi="楷体" w:cs="楷体" w:hint="eastAsia"/>
                <w:color w:val="000000"/>
                <w:kern w:val="0"/>
                <w:sz w:val="20"/>
                <w:szCs w:val="20"/>
                <w:lang/>
              </w:rPr>
              <w:t>成交价格</w:t>
            </w:r>
            <w:r>
              <w:rPr>
                <w:rStyle w:val="font11"/>
                <w:rFonts w:ascii="楷体" w:eastAsia="楷体" w:hAnsi="楷体" w:cs="楷体"/>
                <w:sz w:val="20"/>
                <w:szCs w:val="20"/>
                <w:lang/>
              </w:rPr>
              <w:t>×</w:t>
            </w:r>
            <w:r>
              <w:rPr>
                <w:rStyle w:val="font21"/>
                <w:b w:val="0"/>
                <w:sz w:val="20"/>
                <w:szCs w:val="20"/>
                <w:lang/>
              </w:rPr>
              <w:t>0.25%</w:t>
            </w:r>
          </w:p>
        </w:tc>
      </w:tr>
      <w:tr w:rsidR="008A54E3">
        <w:trPr>
          <w:trHeight w:val="340"/>
          <w:jc w:val="center"/>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8A54E3" w:rsidRDefault="000F2545">
            <w:pPr>
              <w:widowControl/>
              <w:jc w:val="center"/>
              <w:textAlignment w:val="center"/>
              <w:rPr>
                <w:rFonts w:ascii="楷体" w:eastAsia="楷体" w:hAnsi="楷体" w:cs="楷体"/>
                <w:color w:val="000000"/>
                <w:kern w:val="0"/>
                <w:sz w:val="20"/>
                <w:szCs w:val="20"/>
                <w:lang/>
              </w:rPr>
            </w:pPr>
            <w:r>
              <w:rPr>
                <w:rFonts w:ascii="楷体" w:eastAsia="楷体" w:hAnsi="楷体" w:cs="楷体" w:hint="eastAsia"/>
                <w:color w:val="000000"/>
                <w:kern w:val="0"/>
                <w:sz w:val="20"/>
                <w:szCs w:val="20"/>
                <w:lang/>
              </w:rPr>
              <w:t>备注：仅供参考，具体税费数额以税务部门实际计算为准。</w:t>
            </w:r>
          </w:p>
        </w:tc>
      </w:tr>
    </w:tbl>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至价值时点，估价对象存在物业费欠费情况，但欠费金额不明确。经向紫景苑物业管理处咨询，物业费收费标准为</w:t>
      </w:r>
      <w:r>
        <w:rPr>
          <w:rFonts w:ascii="楷体" w:eastAsia="楷体" w:hAnsi="楷体" w:cs="楷体" w:hint="eastAsia"/>
          <w:color w:val="000000"/>
          <w:sz w:val="28"/>
          <w:szCs w:val="28"/>
        </w:rPr>
        <w:t>0.7</w:t>
      </w:r>
      <w:r>
        <w:rPr>
          <w:rFonts w:ascii="楷体" w:eastAsia="楷体" w:hAnsi="楷体" w:cs="楷体" w:hint="eastAsia"/>
          <w:color w:val="000000"/>
          <w:sz w:val="28"/>
          <w:szCs w:val="28"/>
        </w:rPr>
        <w:t>元</w:t>
      </w:r>
      <w:r>
        <w:rPr>
          <w:rFonts w:ascii="楷体" w:eastAsia="楷体" w:hAnsi="楷体" w:cs="楷体" w:hint="eastAsia"/>
          <w:color w:val="000000"/>
          <w:sz w:val="28"/>
          <w:szCs w:val="28"/>
        </w:rPr>
        <w:t>/m</w:t>
      </w:r>
      <w:r>
        <w:rPr>
          <w:rFonts w:ascii="楷体" w:eastAsia="楷体" w:hAnsi="楷体" w:cs="楷体" w:hint="eastAsia"/>
          <w:color w:val="000000"/>
          <w:sz w:val="28"/>
          <w:szCs w:val="28"/>
          <w:vertAlign w:val="superscript"/>
        </w:rPr>
        <w:t>2</w:t>
      </w:r>
      <w:r>
        <w:rPr>
          <w:rFonts w:ascii="楷体" w:eastAsia="楷体" w:hAnsi="楷体" w:cs="楷体" w:hint="eastAsia"/>
          <w:color w:val="000000"/>
          <w:sz w:val="28"/>
          <w:szCs w:val="28"/>
        </w:rPr>
        <w:t>·日，最终物业费欠费金额以物业管理处核算为准，本次估价不考虑物业费欠费情况对房地产价值的影响。</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本估价报告须经本公司盖章及注册房地产估价师签字盖章后方</w:t>
      </w:r>
      <w:r>
        <w:rPr>
          <w:rFonts w:ascii="楷体" w:eastAsia="楷体" w:hAnsi="楷体" w:cs="楷体" w:hint="eastAsia"/>
          <w:color w:val="000000"/>
          <w:sz w:val="28"/>
          <w:szCs w:val="28"/>
        </w:rPr>
        <w:lastRenderedPageBreak/>
        <w:t>为有效，否则，本估价报告的全部或部分复印件均无效。</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中数据全部采用电算化连续计算得出，由于在报告中计算的数据均按四舍五入保留两位小数或取整，因此，可能会出现个别等式左右不完全相等的情况，但不影响评估结论的准确性；本次估价报告估价结果以总价为准。</w:t>
      </w:r>
    </w:p>
    <w:p w:rsidR="008A54E3" w:rsidRDefault="000F2545">
      <w:pPr>
        <w:numPr>
          <w:ilvl w:val="0"/>
          <w:numId w:val="4"/>
        </w:numPr>
        <w:spacing w:line="630" w:lineRule="exact"/>
        <w:rPr>
          <w:rFonts w:ascii="楷体" w:eastAsia="楷体" w:hAnsi="楷体" w:cs="楷体"/>
          <w:color w:val="000000"/>
          <w:sz w:val="28"/>
          <w:szCs w:val="28"/>
        </w:rPr>
      </w:pPr>
      <w:r>
        <w:rPr>
          <w:rFonts w:ascii="楷体" w:eastAsia="楷体" w:hAnsi="楷体" w:cs="楷体" w:hint="eastAsia"/>
          <w:color w:val="000000"/>
          <w:sz w:val="28"/>
          <w:szCs w:val="28"/>
        </w:rPr>
        <w:t>本估价报告的内容及评估价值等事宜，由本公司负责解释。</w:t>
      </w:r>
    </w:p>
    <w:p w:rsidR="008A54E3" w:rsidRDefault="008A54E3">
      <w:pPr>
        <w:spacing w:line="630" w:lineRule="exact"/>
        <w:ind w:firstLineChars="200" w:firstLine="560"/>
        <w:rPr>
          <w:rFonts w:ascii="楷体" w:eastAsia="楷体" w:hAnsi="楷体" w:cs="楷体"/>
          <w:color w:val="000000" w:themeColor="text1"/>
          <w:sz w:val="28"/>
        </w:rPr>
        <w:sectPr w:rsidR="008A54E3">
          <w:footerReference w:type="default" r:id="rId10"/>
          <w:pgSz w:w="11906" w:h="16838"/>
          <w:pgMar w:top="1276" w:right="1701" w:bottom="1276" w:left="1797" w:header="907" w:footer="992" w:gutter="0"/>
          <w:pgNumType w:start="1"/>
          <w:cols w:space="0"/>
        </w:sectPr>
      </w:pPr>
    </w:p>
    <w:p w:rsidR="008A54E3" w:rsidRDefault="000F2545">
      <w:pPr>
        <w:pStyle w:val="1"/>
        <w:spacing w:before="100" w:after="10" w:line="630" w:lineRule="exact"/>
        <w:rPr>
          <w:rFonts w:ascii="黑体" w:eastAsia="黑体" w:hAnsi="黑体" w:cs="黑体"/>
        </w:rPr>
      </w:pPr>
      <w:bookmarkStart w:id="35" w:name="_Toc24475"/>
      <w:bookmarkStart w:id="36" w:name="_Toc7440"/>
      <w:bookmarkStart w:id="37" w:name="_Toc26082"/>
      <w:r>
        <w:rPr>
          <w:rFonts w:ascii="黑体" w:eastAsia="黑体" w:hAnsi="黑体" w:cs="黑体" w:hint="eastAsia"/>
        </w:rPr>
        <w:lastRenderedPageBreak/>
        <w:t>估价结果报告</w:t>
      </w:r>
      <w:bookmarkEnd w:id="33"/>
      <w:bookmarkEnd w:id="34"/>
      <w:bookmarkEnd w:id="35"/>
      <w:bookmarkEnd w:id="36"/>
      <w:bookmarkEnd w:id="37"/>
    </w:p>
    <w:p w:rsidR="008A54E3" w:rsidRDefault="000F2545" w:rsidP="0090314D">
      <w:pPr>
        <w:pStyle w:val="2"/>
        <w:numPr>
          <w:ilvl w:val="0"/>
          <w:numId w:val="5"/>
        </w:numPr>
        <w:spacing w:beforeLines="50" w:afterLines="50" w:line="630" w:lineRule="exact"/>
        <w:ind w:left="720"/>
        <w:jc w:val="both"/>
      </w:pPr>
      <w:bookmarkStart w:id="38" w:name="_Toc451175947"/>
      <w:bookmarkStart w:id="39" w:name="_Toc19702"/>
      <w:bookmarkStart w:id="40" w:name="_Toc15674"/>
      <w:bookmarkStart w:id="41" w:name="_Toc27359"/>
      <w:bookmarkStart w:id="42" w:name="_Toc404781976"/>
      <w:bookmarkStart w:id="43" w:name="_Toc19004"/>
      <w:r>
        <w:rPr>
          <w:rFonts w:hint="eastAsia"/>
        </w:rPr>
        <w:t>估价委托人</w:t>
      </w:r>
      <w:bookmarkEnd w:id="38"/>
      <w:bookmarkEnd w:id="39"/>
      <w:bookmarkEnd w:id="40"/>
      <w:bookmarkEnd w:id="41"/>
    </w:p>
    <w:p w:rsidR="008A54E3" w:rsidRDefault="000F2545">
      <w:pPr>
        <w:spacing w:line="630" w:lineRule="exact"/>
        <w:ind w:left="570"/>
        <w:rPr>
          <w:rFonts w:ascii="楷体" w:eastAsia="楷体" w:hAnsi="楷体"/>
          <w:sz w:val="28"/>
          <w:szCs w:val="28"/>
        </w:rPr>
      </w:pPr>
      <w:r>
        <w:rPr>
          <w:rFonts w:eastAsia="楷体" w:hint="eastAsia"/>
          <w:b/>
          <w:bCs/>
          <w:sz w:val="28"/>
        </w:rPr>
        <w:t>名称</w:t>
      </w:r>
      <w:r>
        <w:rPr>
          <w:rFonts w:eastAsia="楷体" w:hint="eastAsia"/>
          <w:sz w:val="28"/>
        </w:rPr>
        <w:t>：</w:t>
      </w:r>
      <w:r>
        <w:rPr>
          <w:rFonts w:ascii="楷体" w:eastAsia="楷体" w:hAnsi="楷体" w:hint="eastAsia"/>
          <w:sz w:val="28"/>
          <w:szCs w:val="28"/>
        </w:rPr>
        <w:t>杭州市</w:t>
      </w:r>
      <w:r>
        <w:rPr>
          <w:rFonts w:ascii="楷体" w:eastAsia="楷体" w:hAnsi="楷体" w:hint="eastAsia"/>
          <w:sz w:val="28"/>
          <w:szCs w:val="28"/>
        </w:rPr>
        <w:t>临安区</w:t>
      </w:r>
      <w:r>
        <w:rPr>
          <w:rFonts w:ascii="楷体" w:eastAsia="楷体" w:hAnsi="楷体" w:hint="eastAsia"/>
          <w:sz w:val="28"/>
          <w:szCs w:val="28"/>
        </w:rPr>
        <w:t>人民法院</w:t>
      </w:r>
    </w:p>
    <w:p w:rsidR="008A54E3" w:rsidRDefault="000F2545">
      <w:pPr>
        <w:spacing w:line="630" w:lineRule="exact"/>
        <w:ind w:left="570"/>
        <w:rPr>
          <w:rFonts w:eastAsia="楷体"/>
          <w:b/>
          <w:bCs/>
          <w:sz w:val="28"/>
        </w:rPr>
      </w:pPr>
      <w:r>
        <w:rPr>
          <w:rFonts w:eastAsia="楷体" w:hint="eastAsia"/>
          <w:b/>
          <w:bCs/>
          <w:sz w:val="28"/>
        </w:rPr>
        <w:t>地址：</w:t>
      </w:r>
      <w:r>
        <w:rPr>
          <w:rFonts w:ascii="楷体" w:eastAsia="楷体" w:hAnsi="楷体" w:hint="eastAsia"/>
          <w:sz w:val="28"/>
          <w:szCs w:val="28"/>
        </w:rPr>
        <w:t>杭州市临安区锦城街道钱王大街</w:t>
      </w:r>
      <w:r>
        <w:rPr>
          <w:rFonts w:ascii="楷体" w:eastAsia="楷体" w:hAnsi="楷体" w:hint="eastAsia"/>
          <w:sz w:val="28"/>
          <w:szCs w:val="28"/>
        </w:rPr>
        <w:t>958</w:t>
      </w:r>
      <w:r>
        <w:rPr>
          <w:rFonts w:ascii="楷体" w:eastAsia="楷体" w:hAnsi="楷体" w:hint="eastAsia"/>
          <w:sz w:val="28"/>
          <w:szCs w:val="28"/>
        </w:rPr>
        <w:t>号</w:t>
      </w:r>
    </w:p>
    <w:p w:rsidR="008A54E3" w:rsidRDefault="000F2545" w:rsidP="0090314D">
      <w:pPr>
        <w:pStyle w:val="2"/>
        <w:numPr>
          <w:ilvl w:val="0"/>
          <w:numId w:val="5"/>
        </w:numPr>
        <w:spacing w:beforeLines="50" w:afterLines="50" w:line="630" w:lineRule="exact"/>
        <w:ind w:left="720"/>
      </w:pPr>
      <w:bookmarkStart w:id="44" w:name="_Toc4727"/>
      <w:bookmarkStart w:id="45" w:name="_Toc3612"/>
      <w:bookmarkStart w:id="46" w:name="_Toc17397"/>
      <w:bookmarkStart w:id="47" w:name="_Toc451175948"/>
      <w:r>
        <w:rPr>
          <w:rFonts w:hint="eastAsia"/>
        </w:rPr>
        <w:t>房地产估价机构</w:t>
      </w:r>
      <w:bookmarkEnd w:id="44"/>
      <w:bookmarkEnd w:id="45"/>
      <w:bookmarkEnd w:id="46"/>
      <w:bookmarkEnd w:id="47"/>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估价机构名称：</w:t>
      </w:r>
      <w:r>
        <w:rPr>
          <w:rFonts w:eastAsia="楷体" w:hint="eastAsia"/>
          <w:sz w:val="28"/>
        </w:rPr>
        <w:t>杭州天平房地产评估有限公司</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法定代表人：</w:t>
      </w:r>
      <w:r>
        <w:rPr>
          <w:rFonts w:eastAsia="楷体" w:hint="eastAsia"/>
          <w:sz w:val="28"/>
        </w:rPr>
        <w:t>杨甦</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住所：</w:t>
      </w:r>
      <w:r>
        <w:rPr>
          <w:rFonts w:eastAsia="楷体" w:hint="eastAsia"/>
          <w:sz w:val="28"/>
        </w:rPr>
        <w:t>浙江省</w:t>
      </w:r>
      <w:r>
        <w:rPr>
          <w:rFonts w:ascii="楷体" w:eastAsia="楷体" w:hAnsi="楷体" w:hint="eastAsia"/>
          <w:sz w:val="28"/>
        </w:rPr>
        <w:t>杭州市下城区凤起商务大厦</w:t>
      </w:r>
      <w:r>
        <w:rPr>
          <w:rFonts w:ascii="楷体" w:eastAsia="楷体" w:hAnsi="楷体" w:hint="eastAsia"/>
          <w:sz w:val="28"/>
        </w:rPr>
        <w:t>2319</w:t>
      </w:r>
      <w:r>
        <w:rPr>
          <w:rFonts w:ascii="楷体" w:eastAsia="楷体" w:hAnsi="楷体" w:hint="eastAsia"/>
          <w:sz w:val="28"/>
        </w:rPr>
        <w:t>室</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备案等级：</w:t>
      </w:r>
      <w:r>
        <w:rPr>
          <w:rFonts w:ascii="楷体" w:eastAsia="楷体" w:hAnsi="楷体" w:cs="楷体" w:hint="eastAsia"/>
          <w:sz w:val="28"/>
        </w:rPr>
        <w:t>壹级</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bCs/>
          <w:sz w:val="28"/>
        </w:rPr>
        <w:t>资信等级</w:t>
      </w:r>
      <w:r>
        <w:rPr>
          <w:rFonts w:ascii="楷体" w:eastAsia="楷体" w:hAnsi="楷体" w:cs="楷体" w:hint="eastAsia"/>
          <w:b/>
          <w:bCs/>
          <w:sz w:val="28"/>
        </w:rPr>
        <w:t>：</w:t>
      </w:r>
      <w:r>
        <w:rPr>
          <w:rFonts w:ascii="楷体" w:eastAsia="楷体" w:hAnsi="楷体" w:cs="楷体" w:hint="eastAsia"/>
          <w:sz w:val="28"/>
        </w:rPr>
        <w:t>AAA</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备案证书编号：</w:t>
      </w:r>
      <w:r>
        <w:rPr>
          <w:rFonts w:eastAsia="楷体" w:hint="eastAsia"/>
          <w:sz w:val="28"/>
        </w:rPr>
        <w:t>浙建房估证字</w:t>
      </w:r>
      <w:r>
        <w:rPr>
          <w:rFonts w:eastAsia="楷体" w:hint="eastAsia"/>
          <w:sz w:val="28"/>
        </w:rPr>
        <w:t>[</w:t>
      </w:r>
      <w:r>
        <w:rPr>
          <w:rFonts w:ascii="楷体" w:eastAsia="楷体" w:hAnsi="楷体" w:hint="eastAsia"/>
          <w:sz w:val="28"/>
        </w:rPr>
        <w:t>2010</w:t>
      </w:r>
      <w:r>
        <w:rPr>
          <w:rFonts w:eastAsia="楷体" w:hint="eastAsia"/>
          <w:sz w:val="28"/>
        </w:rPr>
        <w:t>]</w:t>
      </w:r>
      <w:r>
        <w:rPr>
          <w:rFonts w:ascii="楷体" w:eastAsia="楷体" w:hAnsi="楷体" w:hint="eastAsia"/>
          <w:sz w:val="28"/>
        </w:rPr>
        <w:t>020</w:t>
      </w:r>
      <w:r>
        <w:rPr>
          <w:rFonts w:eastAsia="楷体" w:hint="eastAsia"/>
          <w:sz w:val="28"/>
        </w:rPr>
        <w:t>号</w:t>
      </w:r>
    </w:p>
    <w:p w:rsidR="008A54E3" w:rsidRDefault="000F2545">
      <w:pPr>
        <w:spacing w:line="630" w:lineRule="exact"/>
        <w:ind w:firstLineChars="200" w:firstLine="562"/>
        <w:rPr>
          <w:rFonts w:ascii="楷体" w:eastAsia="楷体" w:hAnsi="楷体" w:cs="楷体"/>
          <w:sz w:val="28"/>
        </w:rPr>
      </w:pPr>
      <w:r>
        <w:rPr>
          <w:rFonts w:ascii="楷体" w:eastAsia="楷体" w:hAnsi="楷体" w:cs="楷体" w:hint="eastAsia"/>
          <w:b/>
          <w:sz w:val="28"/>
        </w:rPr>
        <w:t>联系电话：</w:t>
      </w:r>
      <w:r>
        <w:rPr>
          <w:rFonts w:ascii="楷体" w:eastAsia="楷体" w:hAnsi="楷体" w:hint="eastAsia"/>
          <w:sz w:val="28"/>
        </w:rPr>
        <w:t>0571</w:t>
      </w:r>
      <w:r>
        <w:rPr>
          <w:rFonts w:ascii="楷体" w:eastAsia="楷体" w:hAnsi="楷体" w:hint="eastAsia"/>
          <w:sz w:val="28"/>
        </w:rPr>
        <w:t>－</w:t>
      </w:r>
      <w:r>
        <w:rPr>
          <w:rFonts w:ascii="楷体" w:eastAsia="楷体" w:hAnsi="楷体" w:hint="eastAsia"/>
          <w:sz w:val="28"/>
        </w:rPr>
        <w:t>87293537</w:t>
      </w:r>
    </w:p>
    <w:p w:rsidR="008A54E3" w:rsidRDefault="000F2545" w:rsidP="0090314D">
      <w:pPr>
        <w:pStyle w:val="2"/>
        <w:numPr>
          <w:ilvl w:val="0"/>
          <w:numId w:val="5"/>
        </w:numPr>
        <w:spacing w:beforeLines="50" w:afterLines="50" w:line="630" w:lineRule="exact"/>
        <w:ind w:left="720"/>
      </w:pPr>
      <w:bookmarkStart w:id="48" w:name="_Toc21527"/>
      <w:bookmarkStart w:id="49" w:name="_Toc13731"/>
      <w:bookmarkStart w:id="50" w:name="_Toc451175949"/>
      <w:bookmarkStart w:id="51" w:name="_Toc25339"/>
      <w:r>
        <w:rPr>
          <w:rFonts w:hint="eastAsia"/>
        </w:rPr>
        <w:t>估价目的</w:t>
      </w:r>
      <w:bookmarkEnd w:id="48"/>
      <w:bookmarkEnd w:id="49"/>
      <w:bookmarkEnd w:id="50"/>
      <w:bookmarkEnd w:id="51"/>
    </w:p>
    <w:p w:rsidR="008A54E3" w:rsidRDefault="000F2545">
      <w:pPr>
        <w:spacing w:line="630" w:lineRule="exact"/>
        <w:ind w:firstLineChars="200" w:firstLine="560"/>
        <w:rPr>
          <w:rFonts w:ascii="楷体" w:eastAsia="楷体" w:hAnsi="楷体"/>
          <w:sz w:val="28"/>
        </w:rPr>
      </w:pPr>
      <w:r>
        <w:rPr>
          <w:rFonts w:ascii="楷体" w:eastAsia="楷体" w:hAnsi="楷体" w:hint="eastAsia"/>
          <w:sz w:val="28"/>
        </w:rPr>
        <w:t>为人民法院确定财产处置参考价提供参考依据。</w:t>
      </w:r>
    </w:p>
    <w:p w:rsidR="008A54E3" w:rsidRDefault="000F2545" w:rsidP="0090314D">
      <w:pPr>
        <w:pStyle w:val="2"/>
        <w:numPr>
          <w:ilvl w:val="0"/>
          <w:numId w:val="5"/>
        </w:numPr>
        <w:spacing w:beforeLines="50" w:afterLines="50" w:line="630" w:lineRule="exact"/>
        <w:ind w:left="720"/>
      </w:pPr>
      <w:bookmarkStart w:id="52" w:name="_Toc23526"/>
      <w:bookmarkStart w:id="53" w:name="_Toc26820"/>
      <w:bookmarkStart w:id="54" w:name="_Toc26892"/>
      <w:bookmarkStart w:id="55" w:name="_Toc451175950"/>
      <w:r>
        <w:rPr>
          <w:rFonts w:hint="eastAsia"/>
        </w:rPr>
        <w:t>估价对象</w:t>
      </w:r>
      <w:bookmarkEnd w:id="52"/>
      <w:bookmarkEnd w:id="53"/>
      <w:bookmarkEnd w:id="54"/>
      <w:bookmarkEnd w:id="55"/>
    </w:p>
    <w:p w:rsidR="008A54E3" w:rsidRDefault="000F2545">
      <w:pPr>
        <w:autoSpaceDE w:val="0"/>
        <w:spacing w:line="630" w:lineRule="exact"/>
        <w:ind w:firstLineChars="200" w:firstLine="560"/>
        <w:jc w:val="left"/>
        <w:textAlignment w:val="bottom"/>
        <w:rPr>
          <w:rFonts w:ascii="楷体" w:eastAsia="楷体" w:hAnsi="楷体" w:cs="楷体"/>
          <w:sz w:val="28"/>
        </w:rPr>
      </w:pPr>
      <w:bookmarkStart w:id="56" w:name="_Toc18298"/>
      <w:bookmarkStart w:id="57" w:name="_Toc4405"/>
      <w:r>
        <w:rPr>
          <w:rFonts w:ascii="楷体" w:eastAsia="楷体" w:hAnsi="楷体" w:cs="楷体" w:hint="eastAsia"/>
          <w:sz w:val="28"/>
        </w:rPr>
        <w:t>（一）估价对象界定</w:t>
      </w:r>
      <w:bookmarkEnd w:id="56"/>
      <w:bookmarkEnd w:id="57"/>
    </w:p>
    <w:p w:rsidR="008A54E3" w:rsidRDefault="000F2545">
      <w:pPr>
        <w:spacing w:line="630" w:lineRule="exact"/>
        <w:ind w:firstLineChars="200" w:firstLine="560"/>
        <w:rPr>
          <w:rFonts w:ascii="楷体_GB2312" w:eastAsia="楷体" w:hAnsi="宋体"/>
          <w:sz w:val="28"/>
          <w:szCs w:val="28"/>
        </w:rPr>
      </w:pPr>
      <w:bookmarkStart w:id="58" w:name="_Toc27062"/>
      <w:r>
        <w:rPr>
          <w:rFonts w:eastAsia="楷体" w:hint="eastAsia"/>
          <w:sz w:val="28"/>
        </w:rPr>
        <w:t>估价对象位</w:t>
      </w:r>
      <w:r>
        <w:rPr>
          <w:rFonts w:ascii="楷体" w:eastAsia="楷体" w:hAnsi="楷体" w:cs="楷体" w:hint="eastAsia"/>
          <w:sz w:val="28"/>
        </w:rPr>
        <w:t>于</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w:t>
      </w:r>
      <w:r>
        <w:rPr>
          <w:rFonts w:ascii="楷体" w:eastAsia="楷体" w:hAnsi="楷体" w:cs="楷体" w:hint="eastAsia"/>
          <w:sz w:val="28"/>
        </w:rPr>
        <w:t>，房屋建筑面积</w:t>
      </w:r>
      <w:r>
        <w:rPr>
          <w:rFonts w:ascii="楷体" w:eastAsia="楷体" w:hAnsi="楷体" w:cs="楷体" w:hint="eastAsia"/>
          <w:sz w:val="28"/>
        </w:rPr>
        <w:t>31.01</w:t>
      </w:r>
      <w:r>
        <w:rPr>
          <w:rFonts w:ascii="楷体" w:eastAsia="楷体" w:hAnsi="楷体" w:cs="楷体" w:hint="eastAsia"/>
          <w:sz w:val="28"/>
        </w:rPr>
        <w:t>平方米</w:t>
      </w:r>
      <w:r>
        <w:rPr>
          <w:rFonts w:ascii="楷体" w:eastAsia="楷体" w:hAnsi="楷体" w:cs="楷体" w:hint="eastAsia"/>
          <w:sz w:val="28"/>
        </w:rPr>
        <w:t>，</w:t>
      </w:r>
      <w:r>
        <w:rPr>
          <w:rFonts w:ascii="楷体" w:eastAsia="楷体" w:hAnsi="楷体" w:cs="楷体" w:hint="eastAsia"/>
          <w:sz w:val="28"/>
        </w:rPr>
        <w:t>土地使用权</w:t>
      </w:r>
      <w:r>
        <w:rPr>
          <w:rFonts w:ascii="楷体" w:eastAsia="楷体" w:hAnsi="楷体" w:cs="楷体" w:hint="eastAsia"/>
          <w:sz w:val="28"/>
        </w:rPr>
        <w:t>面积</w:t>
      </w:r>
      <w:r>
        <w:rPr>
          <w:rFonts w:ascii="楷体" w:eastAsia="楷体" w:hAnsi="楷体" w:cs="楷体" w:hint="eastAsia"/>
          <w:sz w:val="28"/>
        </w:rPr>
        <w:t>11.07</w:t>
      </w:r>
      <w:r>
        <w:rPr>
          <w:rFonts w:ascii="楷体" w:eastAsia="楷体" w:hAnsi="楷体" w:cs="楷体" w:hint="eastAsia"/>
          <w:sz w:val="28"/>
        </w:rPr>
        <w:t>平方米</w:t>
      </w:r>
      <w:r>
        <w:rPr>
          <w:rFonts w:ascii="楷体" w:eastAsia="楷体" w:hAnsi="楷体" w:cs="楷体" w:hint="eastAsia"/>
          <w:sz w:val="28"/>
        </w:rPr>
        <w:t>。估价对象范围</w:t>
      </w:r>
      <w:r>
        <w:rPr>
          <w:rFonts w:eastAsia="楷体" w:hint="eastAsia"/>
          <w:sz w:val="28"/>
        </w:rPr>
        <w:t>包含估价对象房屋所有权、国有土地使用权</w:t>
      </w:r>
      <w:r>
        <w:rPr>
          <w:rFonts w:eastAsia="楷体" w:hint="eastAsia"/>
          <w:sz w:val="28"/>
        </w:rPr>
        <w:t>及</w:t>
      </w:r>
      <w:r>
        <w:rPr>
          <w:rFonts w:eastAsia="楷体" w:hint="eastAsia"/>
          <w:sz w:val="28"/>
        </w:rPr>
        <w:t>室内</w:t>
      </w:r>
      <w:r>
        <w:rPr>
          <w:rFonts w:eastAsia="楷体" w:hint="eastAsia"/>
          <w:sz w:val="28"/>
        </w:rPr>
        <w:t>固定</w:t>
      </w:r>
      <w:r>
        <w:rPr>
          <w:rFonts w:eastAsia="楷体" w:hint="eastAsia"/>
          <w:sz w:val="28"/>
        </w:rPr>
        <w:t>装修</w:t>
      </w:r>
      <w:r>
        <w:rPr>
          <w:rFonts w:eastAsia="楷体" w:hint="eastAsia"/>
          <w:sz w:val="28"/>
        </w:rPr>
        <w:t>，</w:t>
      </w:r>
      <w:r>
        <w:rPr>
          <w:rFonts w:eastAsia="楷体" w:hint="eastAsia"/>
          <w:sz w:val="28"/>
        </w:rPr>
        <w:t>不包含室内动产、</w:t>
      </w:r>
      <w:r>
        <w:rPr>
          <w:rFonts w:eastAsia="楷体" w:hint="eastAsia"/>
          <w:sz w:val="28"/>
        </w:rPr>
        <w:t>债权债务、特许经营</w:t>
      </w:r>
      <w:r>
        <w:rPr>
          <w:rFonts w:eastAsia="楷体" w:hint="eastAsia"/>
          <w:sz w:val="28"/>
        </w:rPr>
        <w:t>权</w:t>
      </w:r>
      <w:r>
        <w:rPr>
          <w:rFonts w:eastAsia="楷体" w:hint="eastAsia"/>
          <w:sz w:val="28"/>
        </w:rPr>
        <w:t>等其他财产权利</w:t>
      </w:r>
      <w:r>
        <w:rPr>
          <w:rFonts w:ascii="楷体" w:eastAsia="楷体" w:hAnsi="楷体" w:hint="eastAsia"/>
          <w:sz w:val="28"/>
        </w:rPr>
        <w:t>。</w:t>
      </w:r>
    </w:p>
    <w:p w:rsidR="008A54E3" w:rsidRDefault="000F2545">
      <w:pPr>
        <w:autoSpaceDE w:val="0"/>
        <w:spacing w:line="630" w:lineRule="exact"/>
        <w:ind w:firstLineChars="200" w:firstLine="560"/>
        <w:jc w:val="left"/>
        <w:textAlignment w:val="bottom"/>
        <w:rPr>
          <w:rFonts w:ascii="楷体" w:eastAsia="楷体" w:hAnsi="楷体"/>
          <w:sz w:val="28"/>
        </w:rPr>
      </w:pPr>
      <w:bookmarkStart w:id="59" w:name="_Toc7744"/>
      <w:r>
        <w:rPr>
          <w:rFonts w:ascii="楷体" w:eastAsia="楷体" w:hAnsi="楷体" w:hint="eastAsia"/>
          <w:sz w:val="28"/>
        </w:rPr>
        <w:lastRenderedPageBreak/>
        <w:t>（二）</w:t>
      </w:r>
      <w:r>
        <w:rPr>
          <w:rFonts w:ascii="楷体" w:eastAsia="楷体" w:hAnsi="楷体" w:hint="eastAsia"/>
          <w:sz w:val="28"/>
        </w:rPr>
        <w:t>房地产</w:t>
      </w:r>
      <w:r>
        <w:rPr>
          <w:rFonts w:ascii="楷体" w:eastAsia="楷体" w:hAnsi="楷体" w:hint="eastAsia"/>
          <w:sz w:val="28"/>
        </w:rPr>
        <w:t>权利状况</w:t>
      </w:r>
      <w:bookmarkEnd w:id="58"/>
      <w:bookmarkEnd w:id="59"/>
    </w:p>
    <w:p w:rsidR="008A54E3" w:rsidRDefault="000F2545">
      <w:pPr>
        <w:autoSpaceDE w:val="0"/>
        <w:spacing w:line="630" w:lineRule="exact"/>
        <w:ind w:firstLineChars="200" w:firstLine="560"/>
        <w:jc w:val="left"/>
        <w:textAlignment w:val="bottom"/>
        <w:rPr>
          <w:rFonts w:ascii="楷体" w:eastAsia="楷体" w:hAnsi="楷体"/>
          <w:sz w:val="28"/>
        </w:rPr>
      </w:pPr>
      <w:r>
        <w:rPr>
          <w:rFonts w:ascii="楷体" w:eastAsia="楷体" w:hAnsi="楷体" w:hint="eastAsia"/>
          <w:sz w:val="28"/>
        </w:rPr>
        <w:t>1</w:t>
      </w:r>
      <w:r>
        <w:rPr>
          <w:rFonts w:ascii="楷体" w:eastAsia="楷体" w:hAnsi="楷体" w:hint="eastAsia"/>
          <w:sz w:val="28"/>
        </w:rPr>
        <w:t>、房地产</w:t>
      </w:r>
      <w:r>
        <w:rPr>
          <w:rFonts w:ascii="楷体" w:eastAsia="楷体" w:hAnsi="楷体" w:hint="eastAsia"/>
          <w:sz w:val="28"/>
        </w:rPr>
        <w:t>权利状况</w:t>
      </w:r>
    </w:p>
    <w:p w:rsidR="008A54E3" w:rsidRDefault="000F2545">
      <w:pPr>
        <w:autoSpaceDE w:val="0"/>
        <w:spacing w:line="630" w:lineRule="exact"/>
        <w:ind w:firstLineChars="200" w:firstLine="560"/>
        <w:jc w:val="left"/>
        <w:textAlignment w:val="bottom"/>
        <w:outlineLvl w:val="1"/>
        <w:rPr>
          <w:rFonts w:ascii="楷体_GB2312" w:eastAsia="楷体" w:hAnsi="宋体"/>
          <w:sz w:val="28"/>
          <w:szCs w:val="28"/>
        </w:rPr>
      </w:pPr>
      <w:bookmarkStart w:id="60" w:name="_Toc22249"/>
      <w:r>
        <w:rPr>
          <w:rFonts w:ascii="楷体_GB2312" w:eastAsia="楷体" w:hAnsi="宋体" w:hint="eastAsia"/>
          <w:sz w:val="28"/>
          <w:szCs w:val="28"/>
        </w:rPr>
        <w:t>根据</w:t>
      </w: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_GB2312" w:eastAsia="楷体" w:hAnsi="宋体" w:hint="eastAsia"/>
          <w:sz w:val="28"/>
          <w:szCs w:val="28"/>
        </w:rPr>
        <w:t>记载，估价对象权利人为</w:t>
      </w:r>
      <w:r>
        <w:rPr>
          <w:rFonts w:ascii="楷体_GB2312" w:eastAsia="楷体" w:hAnsi="宋体" w:hint="eastAsia"/>
          <w:sz w:val="28"/>
          <w:szCs w:val="28"/>
        </w:rPr>
        <w:t>徐海军</w:t>
      </w:r>
      <w:r>
        <w:rPr>
          <w:rFonts w:ascii="楷体_GB2312" w:eastAsia="楷体" w:hAnsi="宋体" w:hint="eastAsia"/>
          <w:sz w:val="28"/>
          <w:szCs w:val="28"/>
        </w:rPr>
        <w:t>，权证号（证明号）为</w:t>
      </w:r>
      <w:r>
        <w:rPr>
          <w:rFonts w:ascii="楷体_GB2312" w:eastAsia="楷体" w:hAnsi="宋体" w:hint="eastAsia"/>
          <w:sz w:val="28"/>
          <w:szCs w:val="28"/>
        </w:rPr>
        <w:t>临国用</w:t>
      </w:r>
      <w:r>
        <w:rPr>
          <w:rFonts w:ascii="楷体_GB2312" w:eastAsia="楷体" w:hAnsi="宋体" w:hint="eastAsia"/>
          <w:sz w:val="28"/>
          <w:szCs w:val="28"/>
        </w:rPr>
        <w:t>2006</w:t>
      </w:r>
      <w:r>
        <w:rPr>
          <w:rFonts w:ascii="楷体_GB2312" w:eastAsia="楷体" w:hAnsi="宋体" w:hint="eastAsia"/>
          <w:sz w:val="28"/>
          <w:szCs w:val="28"/>
        </w:rPr>
        <w:t>字第</w:t>
      </w:r>
      <w:r>
        <w:rPr>
          <w:rFonts w:ascii="楷体_GB2312" w:eastAsia="楷体" w:hAnsi="宋体" w:hint="eastAsia"/>
          <w:sz w:val="28"/>
          <w:szCs w:val="28"/>
        </w:rPr>
        <w:t>015020</w:t>
      </w:r>
      <w:r>
        <w:rPr>
          <w:rFonts w:ascii="楷体_GB2312" w:eastAsia="楷体" w:hAnsi="宋体" w:hint="eastAsia"/>
          <w:sz w:val="28"/>
          <w:szCs w:val="28"/>
        </w:rPr>
        <w:t>号</w:t>
      </w:r>
      <w:r>
        <w:rPr>
          <w:rFonts w:ascii="楷体_GB2312" w:eastAsia="楷体" w:hAnsi="宋体" w:hint="eastAsia"/>
          <w:sz w:val="28"/>
          <w:szCs w:val="28"/>
        </w:rPr>
        <w:t>/</w:t>
      </w:r>
      <w:r>
        <w:rPr>
          <w:rFonts w:ascii="楷体_GB2312" w:eastAsia="楷体" w:hAnsi="宋体" w:hint="eastAsia"/>
          <w:sz w:val="28"/>
          <w:szCs w:val="28"/>
        </w:rPr>
        <w:t>临房权证锦城商字第</w:t>
      </w:r>
      <w:r>
        <w:rPr>
          <w:rFonts w:ascii="楷体_GB2312" w:eastAsia="楷体" w:hAnsi="宋体" w:hint="eastAsia"/>
          <w:sz w:val="28"/>
          <w:szCs w:val="28"/>
        </w:rPr>
        <w:t>0000213</w:t>
      </w:r>
      <w:r>
        <w:rPr>
          <w:rFonts w:ascii="楷体_GB2312" w:eastAsia="楷体" w:hAnsi="宋体" w:hint="eastAsia"/>
          <w:sz w:val="28"/>
          <w:szCs w:val="28"/>
        </w:rPr>
        <w:t>号</w:t>
      </w:r>
      <w:r>
        <w:rPr>
          <w:rFonts w:ascii="楷体_GB2312" w:eastAsia="楷体" w:hAnsi="宋体" w:hint="eastAsia"/>
          <w:sz w:val="28"/>
          <w:szCs w:val="28"/>
        </w:rPr>
        <w:t>，坐落为</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w:t>
      </w:r>
      <w:r>
        <w:rPr>
          <w:rFonts w:ascii="楷体_GB2312" w:eastAsia="楷体" w:hAnsi="宋体" w:hint="eastAsia"/>
          <w:sz w:val="28"/>
          <w:szCs w:val="28"/>
        </w:rPr>
        <w:t>，</w:t>
      </w:r>
      <w:r>
        <w:rPr>
          <w:rFonts w:ascii="楷体_GB2312" w:eastAsia="楷体" w:hAnsi="宋体" w:hint="eastAsia"/>
          <w:sz w:val="28"/>
          <w:szCs w:val="28"/>
        </w:rPr>
        <w:t>用途为住宅用地</w:t>
      </w:r>
      <w:r>
        <w:rPr>
          <w:rFonts w:ascii="楷体_GB2312" w:eastAsia="楷体" w:hAnsi="宋体" w:hint="eastAsia"/>
          <w:sz w:val="28"/>
          <w:szCs w:val="28"/>
        </w:rPr>
        <w:t>/</w:t>
      </w:r>
      <w:r>
        <w:rPr>
          <w:rFonts w:ascii="楷体_GB2312" w:eastAsia="楷体" w:hAnsi="宋体" w:hint="eastAsia"/>
          <w:sz w:val="28"/>
          <w:szCs w:val="28"/>
        </w:rPr>
        <w:t>其他（非住宅），</w:t>
      </w:r>
      <w:r>
        <w:rPr>
          <w:rFonts w:ascii="楷体_GB2312" w:eastAsia="楷体" w:hAnsi="宋体" w:hint="eastAsia"/>
          <w:sz w:val="28"/>
          <w:szCs w:val="28"/>
        </w:rPr>
        <w:t>权利类型为国有建设用地使用权</w:t>
      </w:r>
      <w:r>
        <w:rPr>
          <w:rFonts w:ascii="楷体_GB2312" w:eastAsia="楷体" w:hAnsi="宋体" w:hint="eastAsia"/>
          <w:sz w:val="28"/>
          <w:szCs w:val="28"/>
        </w:rPr>
        <w:t>/</w:t>
      </w:r>
      <w:r>
        <w:rPr>
          <w:rFonts w:ascii="楷体_GB2312" w:eastAsia="楷体" w:hAnsi="宋体" w:hint="eastAsia"/>
          <w:sz w:val="28"/>
          <w:szCs w:val="28"/>
        </w:rPr>
        <w:t>房屋（构筑物）</w:t>
      </w:r>
      <w:r>
        <w:rPr>
          <w:rFonts w:ascii="楷体_GB2312" w:eastAsia="楷体" w:hAnsi="宋体" w:hint="eastAsia"/>
          <w:sz w:val="28"/>
          <w:szCs w:val="28"/>
        </w:rPr>
        <w:t>所</w:t>
      </w:r>
      <w:r>
        <w:rPr>
          <w:rFonts w:ascii="楷体_GB2312" w:eastAsia="楷体" w:hAnsi="宋体" w:hint="eastAsia"/>
          <w:sz w:val="28"/>
          <w:szCs w:val="28"/>
        </w:rPr>
        <w:t>用权，权利性质为出让</w:t>
      </w:r>
      <w:r>
        <w:rPr>
          <w:rFonts w:ascii="楷体_GB2312" w:eastAsia="楷体" w:hAnsi="宋体" w:hint="eastAsia"/>
          <w:sz w:val="28"/>
          <w:szCs w:val="28"/>
        </w:rPr>
        <w:t>/</w:t>
      </w:r>
      <w:r>
        <w:rPr>
          <w:rFonts w:ascii="楷体_GB2312" w:eastAsia="楷体" w:hAnsi="宋体" w:hint="eastAsia"/>
          <w:sz w:val="28"/>
          <w:szCs w:val="28"/>
        </w:rPr>
        <w:t>存量房产，共有情况为</w:t>
      </w:r>
      <w:r>
        <w:rPr>
          <w:rFonts w:ascii="楷体_GB2312" w:eastAsia="楷体" w:hAnsi="宋体" w:hint="eastAsia"/>
          <w:sz w:val="28"/>
          <w:szCs w:val="28"/>
        </w:rPr>
        <w:t>单独拥有</w:t>
      </w:r>
      <w:r>
        <w:rPr>
          <w:rFonts w:ascii="楷体_GB2312" w:eastAsia="楷体" w:hAnsi="宋体" w:hint="eastAsia"/>
          <w:sz w:val="28"/>
          <w:szCs w:val="28"/>
        </w:rPr>
        <w:t>，房屋建筑面积</w:t>
      </w:r>
      <w:r>
        <w:rPr>
          <w:rFonts w:ascii="楷体_GB2312" w:eastAsia="楷体" w:hAnsi="宋体" w:hint="eastAsia"/>
          <w:sz w:val="28"/>
          <w:szCs w:val="28"/>
        </w:rPr>
        <w:t>31.01</w:t>
      </w:r>
      <w:r>
        <w:rPr>
          <w:rFonts w:ascii="楷体_GB2312" w:eastAsia="楷体" w:hAnsi="宋体" w:hint="eastAsia"/>
          <w:sz w:val="28"/>
          <w:szCs w:val="28"/>
        </w:rPr>
        <w:t>平方米</w:t>
      </w:r>
      <w:r>
        <w:rPr>
          <w:rFonts w:ascii="楷体_GB2312" w:eastAsia="楷体" w:hAnsi="宋体" w:hint="eastAsia"/>
          <w:sz w:val="28"/>
          <w:szCs w:val="28"/>
        </w:rPr>
        <w:t>，土地使用权面积</w:t>
      </w:r>
      <w:r>
        <w:rPr>
          <w:rFonts w:ascii="楷体_GB2312" w:eastAsia="楷体" w:hAnsi="宋体" w:hint="eastAsia"/>
          <w:sz w:val="28"/>
          <w:szCs w:val="28"/>
        </w:rPr>
        <w:t>11.07</w:t>
      </w:r>
      <w:r>
        <w:rPr>
          <w:rFonts w:ascii="楷体_GB2312" w:eastAsia="楷体" w:hAnsi="宋体" w:hint="eastAsia"/>
          <w:sz w:val="28"/>
          <w:szCs w:val="28"/>
        </w:rPr>
        <w:t>平方米</w:t>
      </w:r>
      <w:r>
        <w:rPr>
          <w:rFonts w:ascii="楷体_GB2312" w:eastAsia="楷体" w:hAnsi="宋体" w:hint="eastAsia"/>
          <w:sz w:val="28"/>
          <w:szCs w:val="28"/>
        </w:rPr>
        <w:t>，使用期限至</w:t>
      </w:r>
      <w:r>
        <w:rPr>
          <w:rFonts w:ascii="楷体_GB2312" w:eastAsia="楷体" w:hAnsi="宋体" w:hint="eastAsia"/>
          <w:sz w:val="28"/>
          <w:szCs w:val="28"/>
        </w:rPr>
        <w:t>20</w:t>
      </w:r>
      <w:r>
        <w:rPr>
          <w:rFonts w:ascii="楷体_GB2312" w:eastAsia="楷体" w:hAnsi="宋体" w:hint="eastAsia"/>
          <w:sz w:val="28"/>
          <w:szCs w:val="28"/>
        </w:rPr>
        <w:t>73</w:t>
      </w:r>
      <w:r>
        <w:rPr>
          <w:rFonts w:ascii="楷体_GB2312" w:eastAsia="楷体" w:hAnsi="宋体" w:hint="eastAsia"/>
          <w:sz w:val="28"/>
          <w:szCs w:val="28"/>
        </w:rPr>
        <w:t>年</w:t>
      </w:r>
      <w:r>
        <w:rPr>
          <w:rFonts w:ascii="楷体_GB2312" w:eastAsia="楷体" w:hAnsi="宋体" w:hint="eastAsia"/>
          <w:sz w:val="28"/>
          <w:szCs w:val="28"/>
        </w:rPr>
        <w:t>1</w:t>
      </w:r>
      <w:r>
        <w:rPr>
          <w:rFonts w:ascii="楷体_GB2312" w:eastAsia="楷体" w:hAnsi="宋体" w:hint="eastAsia"/>
          <w:sz w:val="28"/>
          <w:szCs w:val="28"/>
        </w:rPr>
        <w:t>月</w:t>
      </w:r>
      <w:r>
        <w:rPr>
          <w:rFonts w:ascii="楷体_GB2312" w:eastAsia="楷体" w:hAnsi="宋体" w:hint="eastAsia"/>
          <w:sz w:val="28"/>
          <w:szCs w:val="28"/>
        </w:rPr>
        <w:t>19</w:t>
      </w:r>
      <w:r>
        <w:rPr>
          <w:rFonts w:ascii="楷体_GB2312" w:eastAsia="楷体" w:hAnsi="宋体" w:hint="eastAsia"/>
          <w:sz w:val="28"/>
          <w:szCs w:val="28"/>
        </w:rPr>
        <w:t>日。限制信息：房产：有查封，</w:t>
      </w:r>
      <w:r>
        <w:rPr>
          <w:rFonts w:ascii="楷体_GB2312" w:eastAsia="楷体" w:hAnsi="宋体" w:hint="eastAsia"/>
          <w:sz w:val="28"/>
          <w:szCs w:val="28"/>
        </w:rPr>
        <w:t>无</w:t>
      </w:r>
      <w:r>
        <w:rPr>
          <w:rFonts w:ascii="楷体_GB2312" w:eastAsia="楷体" w:hAnsi="宋体" w:hint="eastAsia"/>
          <w:sz w:val="28"/>
          <w:szCs w:val="28"/>
        </w:rPr>
        <w:t>抵押</w:t>
      </w:r>
      <w:r>
        <w:rPr>
          <w:rFonts w:ascii="楷体_GB2312" w:eastAsia="楷体" w:hAnsi="宋体" w:hint="eastAsia"/>
          <w:sz w:val="28"/>
          <w:szCs w:val="28"/>
        </w:rPr>
        <w:t>；</w:t>
      </w:r>
      <w:r>
        <w:rPr>
          <w:rFonts w:ascii="楷体_GB2312" w:eastAsia="楷体" w:hAnsi="宋体" w:hint="eastAsia"/>
          <w:sz w:val="28"/>
          <w:szCs w:val="28"/>
        </w:rPr>
        <w:t>宗地</w:t>
      </w:r>
      <w:r>
        <w:rPr>
          <w:rFonts w:ascii="楷体_GB2312" w:eastAsia="楷体" w:hAnsi="宋体" w:hint="eastAsia"/>
          <w:sz w:val="28"/>
          <w:szCs w:val="28"/>
        </w:rPr>
        <w:t>:</w:t>
      </w:r>
      <w:r>
        <w:rPr>
          <w:rFonts w:ascii="楷体_GB2312" w:eastAsia="楷体" w:hAnsi="宋体" w:hint="eastAsia"/>
          <w:sz w:val="28"/>
          <w:szCs w:val="28"/>
        </w:rPr>
        <w:t>有</w:t>
      </w:r>
      <w:r>
        <w:rPr>
          <w:rFonts w:ascii="楷体_GB2312" w:eastAsia="楷体" w:hAnsi="宋体" w:hint="eastAsia"/>
          <w:sz w:val="28"/>
          <w:szCs w:val="28"/>
        </w:rPr>
        <w:t>查封，</w:t>
      </w:r>
      <w:r>
        <w:rPr>
          <w:rFonts w:ascii="楷体_GB2312" w:eastAsia="楷体" w:hAnsi="宋体" w:hint="eastAsia"/>
          <w:sz w:val="28"/>
          <w:szCs w:val="28"/>
        </w:rPr>
        <w:t>无</w:t>
      </w:r>
      <w:r>
        <w:rPr>
          <w:rFonts w:ascii="楷体_GB2312" w:eastAsia="楷体" w:hAnsi="宋体" w:hint="eastAsia"/>
          <w:sz w:val="28"/>
          <w:szCs w:val="28"/>
        </w:rPr>
        <w:t>抵押。权利状态为现状。</w:t>
      </w:r>
    </w:p>
    <w:p w:rsidR="008A54E3" w:rsidRDefault="000F2545">
      <w:pPr>
        <w:autoSpaceDE w:val="0"/>
        <w:spacing w:line="630" w:lineRule="exact"/>
        <w:ind w:firstLineChars="200" w:firstLine="560"/>
        <w:jc w:val="left"/>
        <w:textAlignment w:val="bottom"/>
        <w:outlineLvl w:val="1"/>
        <w:rPr>
          <w:rFonts w:ascii="楷体_GB2312" w:eastAsia="楷体" w:hAnsi="宋体"/>
          <w:sz w:val="28"/>
          <w:szCs w:val="28"/>
        </w:rPr>
      </w:pPr>
      <w:r>
        <w:rPr>
          <w:rFonts w:ascii="楷体_GB2312" w:eastAsia="楷体" w:hAnsi="宋体" w:hint="eastAsia"/>
          <w:sz w:val="28"/>
          <w:szCs w:val="28"/>
        </w:rPr>
        <w:t>2</w:t>
      </w:r>
      <w:r>
        <w:rPr>
          <w:rFonts w:ascii="楷体_GB2312" w:eastAsia="楷体" w:hAnsi="宋体" w:hint="eastAsia"/>
          <w:sz w:val="28"/>
          <w:szCs w:val="28"/>
        </w:rPr>
        <w:t>、</w:t>
      </w:r>
      <w:bookmarkStart w:id="61" w:name="_Toc14320"/>
      <w:r>
        <w:rPr>
          <w:rFonts w:ascii="楷体_GB2312" w:eastAsia="楷体" w:hAnsi="宋体" w:hint="eastAsia"/>
          <w:sz w:val="28"/>
          <w:szCs w:val="28"/>
        </w:rPr>
        <w:t>房地产查封状况</w:t>
      </w:r>
    </w:p>
    <w:p w:rsidR="008A54E3" w:rsidRDefault="000F2545">
      <w:pPr>
        <w:autoSpaceDE w:val="0"/>
        <w:spacing w:line="630" w:lineRule="exact"/>
        <w:ind w:firstLineChars="200" w:firstLine="560"/>
        <w:jc w:val="left"/>
        <w:textAlignment w:val="bottom"/>
        <w:outlineLvl w:val="1"/>
        <w:rPr>
          <w:rFonts w:ascii="楷体_GB2312" w:eastAsia="楷体" w:hAnsi="宋体"/>
          <w:sz w:val="28"/>
          <w:szCs w:val="28"/>
        </w:rPr>
      </w:pPr>
      <w:r>
        <w:rPr>
          <w:rFonts w:ascii="楷体_GB2312" w:eastAsia="楷体" w:hAnsi="宋体" w:hint="eastAsia"/>
          <w:sz w:val="28"/>
          <w:szCs w:val="28"/>
        </w:rPr>
        <w:t>根据</w:t>
      </w: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_GB2312" w:eastAsia="楷体" w:hAnsi="宋体" w:hint="eastAsia"/>
          <w:sz w:val="28"/>
          <w:szCs w:val="28"/>
        </w:rPr>
        <w:t>记载，至价值时点，估价对象</w:t>
      </w:r>
      <w:r>
        <w:rPr>
          <w:rFonts w:ascii="楷体_GB2312" w:eastAsia="楷体" w:hAnsi="宋体" w:hint="eastAsia"/>
          <w:sz w:val="28"/>
          <w:szCs w:val="28"/>
        </w:rPr>
        <w:t>存在查封状况，轮候查封，查封文号为（</w:t>
      </w:r>
      <w:r>
        <w:rPr>
          <w:rFonts w:ascii="楷体_GB2312" w:eastAsia="楷体" w:hAnsi="宋体" w:hint="eastAsia"/>
          <w:sz w:val="28"/>
          <w:szCs w:val="28"/>
        </w:rPr>
        <w:t>2021</w:t>
      </w:r>
      <w:r>
        <w:rPr>
          <w:rFonts w:ascii="楷体_GB2312" w:eastAsia="楷体" w:hAnsi="宋体" w:hint="eastAsia"/>
          <w:sz w:val="28"/>
          <w:szCs w:val="28"/>
        </w:rPr>
        <w:t>）浙</w:t>
      </w:r>
      <w:r>
        <w:rPr>
          <w:rFonts w:ascii="楷体_GB2312" w:eastAsia="楷体" w:hAnsi="宋体" w:hint="eastAsia"/>
          <w:sz w:val="28"/>
          <w:szCs w:val="28"/>
        </w:rPr>
        <w:t>0102</w:t>
      </w:r>
      <w:r>
        <w:rPr>
          <w:rFonts w:ascii="楷体_GB2312" w:eastAsia="楷体" w:hAnsi="宋体" w:hint="eastAsia"/>
          <w:sz w:val="28"/>
          <w:szCs w:val="28"/>
        </w:rPr>
        <w:t>执</w:t>
      </w:r>
      <w:r>
        <w:rPr>
          <w:rFonts w:ascii="楷体_GB2312" w:eastAsia="楷体" w:hAnsi="宋体" w:hint="eastAsia"/>
          <w:sz w:val="28"/>
          <w:szCs w:val="28"/>
        </w:rPr>
        <w:t>1369</w:t>
      </w:r>
      <w:r>
        <w:rPr>
          <w:rFonts w:ascii="楷体_GB2312" w:eastAsia="楷体" w:hAnsi="宋体" w:hint="eastAsia"/>
          <w:sz w:val="28"/>
          <w:szCs w:val="28"/>
        </w:rPr>
        <w:t>号，查封机关为临安区人民法院，查封期限为</w:t>
      </w:r>
      <w:r>
        <w:rPr>
          <w:rFonts w:ascii="楷体_GB2312" w:eastAsia="楷体" w:hAnsi="宋体" w:hint="eastAsia"/>
          <w:sz w:val="28"/>
          <w:szCs w:val="28"/>
        </w:rPr>
        <w:t>2021</w:t>
      </w:r>
      <w:r>
        <w:rPr>
          <w:rFonts w:ascii="楷体_GB2312" w:eastAsia="楷体" w:hAnsi="宋体" w:hint="eastAsia"/>
          <w:sz w:val="28"/>
          <w:szCs w:val="28"/>
        </w:rPr>
        <w:t>年</w:t>
      </w:r>
      <w:r>
        <w:rPr>
          <w:rFonts w:ascii="楷体_GB2312" w:eastAsia="楷体" w:hAnsi="宋体" w:hint="eastAsia"/>
          <w:sz w:val="28"/>
          <w:szCs w:val="28"/>
        </w:rPr>
        <w:t>4</w:t>
      </w:r>
      <w:r>
        <w:rPr>
          <w:rFonts w:ascii="楷体_GB2312" w:eastAsia="楷体" w:hAnsi="宋体" w:hint="eastAsia"/>
          <w:sz w:val="28"/>
          <w:szCs w:val="28"/>
        </w:rPr>
        <w:t>月</w:t>
      </w:r>
      <w:r>
        <w:rPr>
          <w:rFonts w:ascii="楷体_GB2312" w:eastAsia="楷体" w:hAnsi="宋体" w:hint="eastAsia"/>
          <w:sz w:val="28"/>
          <w:szCs w:val="28"/>
        </w:rPr>
        <w:t>20</w:t>
      </w:r>
      <w:r>
        <w:rPr>
          <w:rFonts w:ascii="楷体_GB2312" w:eastAsia="楷体" w:hAnsi="宋体" w:hint="eastAsia"/>
          <w:sz w:val="28"/>
          <w:szCs w:val="28"/>
        </w:rPr>
        <w:t>日起</w:t>
      </w:r>
      <w:r>
        <w:rPr>
          <w:rFonts w:ascii="楷体_GB2312" w:eastAsia="楷体" w:hAnsi="宋体" w:hint="eastAsia"/>
          <w:sz w:val="28"/>
          <w:szCs w:val="28"/>
        </w:rPr>
        <w:t>2024</w:t>
      </w:r>
      <w:r>
        <w:rPr>
          <w:rFonts w:ascii="楷体_GB2312" w:eastAsia="楷体" w:hAnsi="宋体" w:hint="eastAsia"/>
          <w:sz w:val="28"/>
          <w:szCs w:val="28"/>
        </w:rPr>
        <w:t>年</w:t>
      </w:r>
      <w:r>
        <w:rPr>
          <w:rFonts w:ascii="楷体_GB2312" w:eastAsia="楷体" w:hAnsi="宋体" w:hint="eastAsia"/>
          <w:sz w:val="28"/>
          <w:szCs w:val="28"/>
        </w:rPr>
        <w:t>4</w:t>
      </w:r>
      <w:r>
        <w:rPr>
          <w:rFonts w:ascii="楷体_GB2312" w:eastAsia="楷体" w:hAnsi="宋体" w:hint="eastAsia"/>
          <w:sz w:val="28"/>
          <w:szCs w:val="28"/>
        </w:rPr>
        <w:t>月</w:t>
      </w:r>
      <w:r>
        <w:rPr>
          <w:rFonts w:ascii="楷体_GB2312" w:eastAsia="楷体" w:hAnsi="宋体" w:hint="eastAsia"/>
          <w:sz w:val="28"/>
          <w:szCs w:val="28"/>
        </w:rPr>
        <w:t>19</w:t>
      </w:r>
      <w:r>
        <w:rPr>
          <w:rFonts w:ascii="楷体_GB2312" w:eastAsia="楷体" w:hAnsi="宋体" w:hint="eastAsia"/>
          <w:sz w:val="28"/>
          <w:szCs w:val="28"/>
        </w:rPr>
        <w:t>日止。</w:t>
      </w:r>
    </w:p>
    <w:p w:rsidR="008A54E3" w:rsidRDefault="000F2545">
      <w:pPr>
        <w:autoSpaceDE w:val="0"/>
        <w:spacing w:line="630" w:lineRule="exact"/>
        <w:ind w:firstLineChars="200" w:firstLine="560"/>
        <w:jc w:val="left"/>
        <w:textAlignment w:val="bottom"/>
        <w:rPr>
          <w:rFonts w:ascii="楷体" w:eastAsia="楷体" w:hAnsi="楷体"/>
          <w:sz w:val="28"/>
        </w:rPr>
      </w:pPr>
      <w:r>
        <w:rPr>
          <w:rFonts w:ascii="楷体" w:eastAsia="楷体" w:hAnsi="楷体" w:hint="eastAsia"/>
          <w:sz w:val="28"/>
        </w:rPr>
        <w:t>（三）房地产实物状况</w:t>
      </w:r>
      <w:bookmarkEnd w:id="60"/>
      <w:bookmarkEnd w:id="61"/>
    </w:p>
    <w:p w:rsidR="008A54E3" w:rsidRDefault="000F2545">
      <w:pPr>
        <w:autoSpaceDE w:val="0"/>
        <w:spacing w:line="630" w:lineRule="exact"/>
        <w:ind w:firstLineChars="200" w:firstLine="560"/>
        <w:jc w:val="left"/>
        <w:textAlignment w:val="bottom"/>
        <w:rPr>
          <w:rFonts w:ascii="楷体" w:eastAsia="楷体" w:hAnsi="楷体"/>
          <w:sz w:val="28"/>
        </w:rPr>
      </w:pPr>
      <w:r>
        <w:rPr>
          <w:rFonts w:ascii="楷体" w:eastAsia="楷体" w:hAnsi="楷体" w:hint="eastAsia"/>
          <w:sz w:val="28"/>
        </w:rPr>
        <w:t>1</w:t>
      </w:r>
      <w:r>
        <w:rPr>
          <w:rFonts w:ascii="楷体" w:eastAsia="楷体" w:hAnsi="楷体" w:hint="eastAsia"/>
          <w:sz w:val="28"/>
        </w:rPr>
        <w:t>、土地实物状况</w:t>
      </w:r>
    </w:p>
    <w:p w:rsidR="008A54E3" w:rsidRDefault="000F2545">
      <w:pPr>
        <w:spacing w:line="630" w:lineRule="exact"/>
        <w:ind w:firstLineChars="200" w:firstLine="560"/>
        <w:jc w:val="left"/>
        <w:rPr>
          <w:rFonts w:ascii="楷体" w:eastAsia="楷体" w:hAnsi="楷体"/>
          <w:sz w:val="28"/>
        </w:rPr>
      </w:pPr>
      <w:r>
        <w:rPr>
          <w:rFonts w:eastAsia="楷体" w:hint="eastAsia"/>
          <w:sz w:val="28"/>
        </w:rPr>
        <w:t>估价对象</w:t>
      </w:r>
      <w:r>
        <w:rPr>
          <w:rFonts w:eastAsia="楷体" w:hint="eastAsia"/>
          <w:sz w:val="28"/>
        </w:rPr>
        <w:t>土</w:t>
      </w:r>
      <w:r>
        <w:rPr>
          <w:rFonts w:eastAsia="楷体" w:hint="eastAsia"/>
          <w:sz w:val="28"/>
        </w:rPr>
        <w:t>地座落于</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w:t>
      </w:r>
      <w:r>
        <w:rPr>
          <w:rFonts w:eastAsia="楷体" w:hint="eastAsia"/>
          <w:sz w:val="28"/>
        </w:rPr>
        <w:t>土地使用权</w:t>
      </w:r>
      <w:r>
        <w:rPr>
          <w:rFonts w:ascii="楷体" w:eastAsia="楷体" w:hAnsi="楷体" w:cs="楷体" w:hint="eastAsia"/>
          <w:sz w:val="28"/>
        </w:rPr>
        <w:t>面积</w:t>
      </w:r>
      <w:r>
        <w:rPr>
          <w:rFonts w:ascii="楷体" w:eastAsia="楷体" w:hAnsi="楷体" w:cs="楷体" w:hint="eastAsia"/>
          <w:sz w:val="28"/>
        </w:rPr>
        <w:t>11.07</w:t>
      </w:r>
      <w:r>
        <w:rPr>
          <w:rFonts w:ascii="楷体" w:eastAsia="楷体" w:hAnsi="楷体" w:cs="楷体" w:hint="eastAsia"/>
          <w:sz w:val="28"/>
        </w:rPr>
        <w:t>平方米</w:t>
      </w:r>
      <w:r>
        <w:rPr>
          <w:rFonts w:eastAsia="楷体" w:hint="eastAsia"/>
          <w:sz w:val="28"/>
        </w:rPr>
        <w:t>，估价对象所在宗</w:t>
      </w:r>
      <w:r>
        <w:rPr>
          <w:rFonts w:eastAsia="楷体" w:hint="eastAsia"/>
          <w:sz w:val="28"/>
        </w:rPr>
        <w:t>地</w:t>
      </w:r>
      <w:r>
        <w:rPr>
          <w:rFonts w:eastAsia="楷体" w:hint="eastAsia"/>
          <w:sz w:val="28"/>
        </w:rPr>
        <w:t>东至阳光苑小区，南至钱王街，西至南苑小区，北邻城中街</w:t>
      </w:r>
      <w:r>
        <w:rPr>
          <w:rFonts w:eastAsia="楷体" w:hint="eastAsia"/>
          <w:sz w:val="28"/>
        </w:rPr>
        <w:t>，</w:t>
      </w:r>
      <w:r>
        <w:rPr>
          <w:rFonts w:eastAsia="楷体" w:hint="eastAsia"/>
          <w:sz w:val="28"/>
        </w:rPr>
        <w:t>所在</w:t>
      </w:r>
      <w:r>
        <w:rPr>
          <w:rFonts w:eastAsia="楷体" w:hint="eastAsia"/>
          <w:sz w:val="28"/>
        </w:rPr>
        <w:t>宗地形状</w:t>
      </w:r>
      <w:r>
        <w:rPr>
          <w:rFonts w:eastAsia="楷体" w:hint="eastAsia"/>
          <w:sz w:val="28"/>
        </w:rPr>
        <w:t>较</w:t>
      </w:r>
      <w:r>
        <w:rPr>
          <w:rFonts w:eastAsia="楷体" w:hint="eastAsia"/>
          <w:sz w:val="28"/>
        </w:rPr>
        <w:t>规则，所属区域地形</w:t>
      </w:r>
      <w:r>
        <w:rPr>
          <w:rFonts w:eastAsia="楷体" w:hint="eastAsia"/>
          <w:sz w:val="28"/>
        </w:rPr>
        <w:t>平坦，</w:t>
      </w:r>
      <w:r>
        <w:rPr>
          <w:rFonts w:eastAsia="楷体" w:hint="eastAsia"/>
          <w:sz w:val="28"/>
        </w:rPr>
        <w:t>地势</w:t>
      </w:r>
      <w:r>
        <w:rPr>
          <w:rFonts w:eastAsia="楷体" w:hint="eastAsia"/>
          <w:sz w:val="28"/>
        </w:rPr>
        <w:t>与周边基本持平</w:t>
      </w:r>
      <w:r>
        <w:rPr>
          <w:rFonts w:eastAsia="楷体" w:hint="eastAsia"/>
          <w:sz w:val="28"/>
        </w:rPr>
        <w:t>，地基承载力较好，水文地质条件较好，基础设施较完善，城市规划限制条件较少，利用</w:t>
      </w:r>
      <w:r>
        <w:rPr>
          <w:rFonts w:eastAsia="楷体" w:hint="eastAsia"/>
          <w:sz w:val="28"/>
        </w:rPr>
        <w:lastRenderedPageBreak/>
        <w:t>状况较好</w:t>
      </w:r>
      <w:r>
        <w:rPr>
          <w:rFonts w:ascii="楷体" w:eastAsia="楷体" w:hAnsi="楷体" w:hint="eastAsia"/>
          <w:sz w:val="28"/>
        </w:rPr>
        <w:t>。</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2</w:t>
      </w:r>
      <w:r>
        <w:rPr>
          <w:rFonts w:ascii="楷体_GB2312" w:eastAsia="楷体" w:hAnsi="宋体" w:hint="eastAsia"/>
          <w:sz w:val="28"/>
          <w:szCs w:val="28"/>
        </w:rPr>
        <w:t>、建筑物实物状况</w:t>
      </w:r>
    </w:p>
    <w:p w:rsidR="008A54E3" w:rsidRDefault="000F2545">
      <w:pPr>
        <w:pStyle w:val="af4"/>
        <w:snapToGrid w:val="0"/>
        <w:spacing w:line="630" w:lineRule="exact"/>
        <w:ind w:firstLine="560"/>
        <w:jc w:val="left"/>
        <w:rPr>
          <w:rFonts w:ascii="楷体" w:eastAsia="楷体" w:hAnsi="楷体"/>
          <w:w w:val="95"/>
          <w:sz w:val="28"/>
        </w:rPr>
      </w:pPr>
      <w:bookmarkStart w:id="62" w:name="_Toc24922"/>
      <w:r>
        <w:rPr>
          <w:rFonts w:ascii="楷体" w:eastAsia="楷体" w:hAnsi="楷体" w:hint="eastAsia"/>
          <w:sz w:val="28"/>
        </w:rPr>
        <w:t>估价对象座落于</w:t>
      </w:r>
      <w:r>
        <w:rPr>
          <w:rFonts w:ascii="楷体" w:eastAsia="楷体" w:hAnsi="楷体" w:hint="eastAsia"/>
          <w:spacing w:val="-6"/>
          <w:sz w:val="28"/>
          <w:szCs w:val="28"/>
        </w:rPr>
        <w:t>杭州市临安区锦城街道紫景苑北半地下层（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w:t>
      </w:r>
      <w:r>
        <w:rPr>
          <w:rFonts w:ascii="楷体" w:eastAsia="楷体" w:hAnsi="楷体" w:hint="eastAsia"/>
          <w:sz w:val="28"/>
        </w:rPr>
        <w:t>，</w:t>
      </w:r>
      <w:r>
        <w:rPr>
          <w:rFonts w:ascii="楷体" w:eastAsia="楷体" w:hAnsi="楷体" w:hint="eastAsia"/>
          <w:sz w:val="28"/>
        </w:rPr>
        <w:t>估价对象位于</w:t>
      </w:r>
      <w:r>
        <w:rPr>
          <w:rFonts w:ascii="楷体" w:eastAsia="楷体" w:hAnsi="楷体" w:hint="eastAsia"/>
          <w:sz w:val="28"/>
        </w:rPr>
        <w:t>-1</w:t>
      </w:r>
      <w:r>
        <w:rPr>
          <w:rFonts w:ascii="楷体" w:eastAsia="楷体" w:hAnsi="楷体" w:hint="eastAsia"/>
          <w:sz w:val="28"/>
        </w:rPr>
        <w:t>层</w:t>
      </w:r>
      <w:r>
        <w:rPr>
          <w:rFonts w:ascii="楷体" w:eastAsia="楷体" w:hAnsi="楷体" w:hint="eastAsia"/>
          <w:sz w:val="28"/>
        </w:rPr>
        <w:t>，</w:t>
      </w:r>
      <w:r>
        <w:rPr>
          <w:rFonts w:ascii="楷体" w:eastAsia="楷体" w:hAnsi="楷体" w:hint="eastAsia"/>
          <w:sz w:val="28"/>
        </w:rPr>
        <w:t>实际位于</w:t>
      </w:r>
      <w:r>
        <w:rPr>
          <w:rFonts w:ascii="楷体" w:eastAsia="楷体" w:hAnsi="楷体" w:hint="eastAsia"/>
          <w:sz w:val="28"/>
        </w:rPr>
        <w:t>3</w:t>
      </w:r>
      <w:r>
        <w:rPr>
          <w:rFonts w:ascii="楷体" w:eastAsia="楷体" w:hAnsi="楷体" w:hint="eastAsia"/>
          <w:sz w:val="28"/>
        </w:rPr>
        <w:t>幢</w:t>
      </w:r>
      <w:r>
        <w:rPr>
          <w:rFonts w:ascii="楷体" w:eastAsia="楷体" w:hAnsi="楷体" w:hint="eastAsia"/>
          <w:sz w:val="28"/>
        </w:rPr>
        <w:t>-6</w:t>
      </w:r>
      <w:r>
        <w:rPr>
          <w:rFonts w:ascii="楷体" w:eastAsia="楷体" w:hAnsi="楷体" w:hint="eastAsia"/>
          <w:sz w:val="28"/>
        </w:rPr>
        <w:t>幢之间半地下层入口由西往东第五间。估价对象</w:t>
      </w:r>
      <w:r>
        <w:rPr>
          <w:rFonts w:ascii="楷体" w:eastAsia="楷体" w:hAnsi="楷体" w:hint="eastAsia"/>
          <w:sz w:val="28"/>
        </w:rPr>
        <w:t>房屋建筑面积</w:t>
      </w:r>
      <w:r>
        <w:rPr>
          <w:rFonts w:ascii="楷体" w:eastAsia="楷体" w:hAnsi="楷体" w:hint="eastAsia"/>
          <w:sz w:val="28"/>
        </w:rPr>
        <w:t>31.01</w:t>
      </w:r>
      <w:r>
        <w:rPr>
          <w:rFonts w:ascii="楷体" w:eastAsia="楷体" w:hAnsi="楷体" w:hint="eastAsia"/>
          <w:sz w:val="28"/>
        </w:rPr>
        <w:t>平方米</w:t>
      </w:r>
      <w:r>
        <w:rPr>
          <w:rFonts w:ascii="楷体" w:eastAsia="楷体" w:hAnsi="楷体" w:hint="eastAsia"/>
          <w:sz w:val="28"/>
        </w:rPr>
        <w:t>，</w:t>
      </w:r>
      <w:r>
        <w:rPr>
          <w:rFonts w:ascii="楷体" w:eastAsia="楷体" w:hAnsi="楷体" w:hint="eastAsia"/>
          <w:sz w:val="28"/>
        </w:rPr>
        <w:t>室内进深约</w:t>
      </w:r>
      <w:r>
        <w:rPr>
          <w:rFonts w:ascii="楷体" w:eastAsia="楷体" w:hAnsi="楷体" w:hint="eastAsia"/>
          <w:sz w:val="28"/>
        </w:rPr>
        <w:t>5.7</w:t>
      </w:r>
      <w:r>
        <w:rPr>
          <w:rFonts w:ascii="楷体" w:eastAsia="楷体" w:hAnsi="楷体" w:hint="eastAsia"/>
          <w:sz w:val="28"/>
        </w:rPr>
        <w:t>米，开间宽度约</w:t>
      </w:r>
      <w:r>
        <w:rPr>
          <w:rFonts w:ascii="楷体" w:eastAsia="楷体" w:hAnsi="楷体" w:hint="eastAsia"/>
          <w:sz w:val="28"/>
        </w:rPr>
        <w:t>3.2</w:t>
      </w:r>
      <w:r>
        <w:rPr>
          <w:rFonts w:ascii="楷体" w:eastAsia="楷体" w:hAnsi="楷体" w:hint="eastAsia"/>
          <w:sz w:val="28"/>
        </w:rPr>
        <w:t>米，净高约</w:t>
      </w:r>
      <w:r>
        <w:rPr>
          <w:rFonts w:ascii="楷体" w:eastAsia="楷体" w:hAnsi="楷体" w:hint="eastAsia"/>
          <w:sz w:val="28"/>
        </w:rPr>
        <w:t>3.2</w:t>
      </w:r>
      <w:r>
        <w:rPr>
          <w:rFonts w:ascii="楷体" w:eastAsia="楷体" w:hAnsi="楷体" w:hint="eastAsia"/>
          <w:sz w:val="28"/>
        </w:rPr>
        <w:t>米。</w:t>
      </w:r>
      <w:r>
        <w:rPr>
          <w:rFonts w:ascii="楷体" w:eastAsia="楷体" w:hAnsi="楷体" w:hint="eastAsia"/>
          <w:sz w:val="28"/>
        </w:rPr>
        <w:t>室内装修状况：</w:t>
      </w:r>
      <w:r>
        <w:rPr>
          <w:rFonts w:ascii="楷体" w:eastAsia="楷体" w:hAnsi="楷体" w:hint="eastAsia"/>
          <w:sz w:val="28"/>
        </w:rPr>
        <w:t>地面为水泥地面，墙面、顶面为涂料</w:t>
      </w:r>
      <w:r>
        <w:rPr>
          <w:rFonts w:ascii="楷体" w:eastAsia="楷体" w:hAnsi="楷体" w:hint="eastAsia"/>
          <w:sz w:val="28"/>
        </w:rPr>
        <w:t>。</w:t>
      </w:r>
      <w:r>
        <w:rPr>
          <w:rFonts w:ascii="楷体" w:eastAsia="楷体" w:hAnsi="楷体" w:hint="eastAsia"/>
          <w:w w:val="95"/>
          <w:sz w:val="28"/>
        </w:rPr>
        <w:t>估价对象所在房屋</w:t>
      </w:r>
      <w:r>
        <w:rPr>
          <w:rFonts w:ascii="楷体" w:eastAsia="楷体" w:hAnsi="楷体" w:hint="eastAsia"/>
          <w:w w:val="95"/>
          <w:sz w:val="28"/>
        </w:rPr>
        <w:t>安装卷帘门，室内安装照明灯具</w:t>
      </w:r>
      <w:r>
        <w:rPr>
          <w:rFonts w:ascii="楷体" w:eastAsia="楷体" w:hAnsi="楷体" w:hint="eastAsia"/>
          <w:w w:val="95"/>
          <w:sz w:val="28"/>
        </w:rPr>
        <w:t>，整体使用维护状况</w:t>
      </w:r>
      <w:r>
        <w:rPr>
          <w:rFonts w:ascii="楷体" w:eastAsia="楷体" w:hAnsi="楷体" w:hint="eastAsia"/>
          <w:w w:val="95"/>
          <w:sz w:val="28"/>
        </w:rPr>
        <w:t>较</w:t>
      </w:r>
      <w:r>
        <w:rPr>
          <w:rFonts w:ascii="楷体" w:eastAsia="楷体" w:hAnsi="楷体" w:hint="eastAsia"/>
          <w:w w:val="95"/>
          <w:sz w:val="28"/>
        </w:rPr>
        <w:t>好，属完好房。</w:t>
      </w:r>
    </w:p>
    <w:p w:rsidR="008A54E3" w:rsidRDefault="000F2545">
      <w:pPr>
        <w:numPr>
          <w:ilvl w:val="0"/>
          <w:numId w:val="6"/>
        </w:numPr>
        <w:autoSpaceDE w:val="0"/>
        <w:spacing w:line="630" w:lineRule="exact"/>
        <w:ind w:firstLine="561"/>
        <w:jc w:val="left"/>
        <w:textAlignment w:val="bottom"/>
        <w:rPr>
          <w:rFonts w:ascii="楷体_GB2312" w:eastAsia="楷体" w:hAnsi="宋体"/>
          <w:sz w:val="28"/>
          <w:szCs w:val="28"/>
        </w:rPr>
      </w:pPr>
      <w:bookmarkStart w:id="63" w:name="_Toc29769"/>
      <w:r>
        <w:rPr>
          <w:rFonts w:ascii="楷体_GB2312" w:eastAsia="楷体" w:hAnsi="宋体" w:hint="eastAsia"/>
          <w:sz w:val="28"/>
          <w:szCs w:val="28"/>
        </w:rPr>
        <w:t>区位状况</w:t>
      </w:r>
      <w:bookmarkEnd w:id="62"/>
      <w:bookmarkEnd w:id="63"/>
    </w:p>
    <w:p w:rsidR="008A54E3" w:rsidRDefault="000F2545">
      <w:pPr>
        <w:autoSpaceDE w:val="0"/>
        <w:spacing w:line="630" w:lineRule="exact"/>
        <w:ind w:firstLineChars="200" w:firstLine="560"/>
        <w:jc w:val="left"/>
        <w:textAlignment w:val="bottom"/>
        <w:rPr>
          <w:rFonts w:ascii="楷体" w:eastAsia="楷体" w:hAnsi="楷体" w:cs="楷体"/>
          <w:sz w:val="28"/>
        </w:rPr>
      </w:pPr>
      <w:r>
        <w:rPr>
          <w:rFonts w:ascii="楷体" w:eastAsia="楷体" w:hAnsi="楷体" w:cs="楷体" w:hint="eastAsia"/>
          <w:sz w:val="28"/>
        </w:rPr>
        <w:t>杭州市位于浙江省北部，总面积</w:t>
      </w:r>
      <w:r>
        <w:rPr>
          <w:rFonts w:ascii="楷体" w:eastAsia="楷体" w:hAnsi="楷体" w:cs="楷体" w:hint="eastAsia"/>
          <w:sz w:val="28"/>
        </w:rPr>
        <w:t>16596</w:t>
      </w:r>
      <w:r>
        <w:rPr>
          <w:rFonts w:ascii="楷体" w:eastAsia="楷体" w:hAnsi="楷体" w:cs="楷体" w:hint="eastAsia"/>
          <w:sz w:val="28"/>
        </w:rPr>
        <w:t>平方千米，辖上城、拱墅、西湖、滨江、萧山、余杭、临平、钱塘、富阳及临安</w:t>
      </w:r>
      <w:r>
        <w:rPr>
          <w:rFonts w:ascii="楷体" w:eastAsia="楷体" w:hAnsi="楷体" w:cs="楷体" w:hint="eastAsia"/>
          <w:sz w:val="28"/>
        </w:rPr>
        <w:t>10</w:t>
      </w:r>
      <w:r>
        <w:rPr>
          <w:rFonts w:ascii="楷体" w:eastAsia="楷体" w:hAnsi="楷体" w:cs="楷体" w:hint="eastAsia"/>
          <w:sz w:val="28"/>
        </w:rPr>
        <w:t>个市辖区，桐庐、淳安</w:t>
      </w:r>
      <w:r>
        <w:rPr>
          <w:rFonts w:ascii="楷体" w:eastAsia="楷体" w:hAnsi="楷体" w:cs="楷体" w:hint="eastAsia"/>
          <w:sz w:val="28"/>
        </w:rPr>
        <w:t>2</w:t>
      </w:r>
      <w:r>
        <w:rPr>
          <w:rFonts w:ascii="楷体" w:eastAsia="楷体" w:hAnsi="楷体" w:cs="楷体" w:hint="eastAsia"/>
          <w:sz w:val="28"/>
        </w:rPr>
        <w:t>个县和建德</w:t>
      </w:r>
      <w:r>
        <w:rPr>
          <w:rFonts w:ascii="楷体" w:eastAsia="楷体" w:hAnsi="楷体" w:cs="楷体" w:hint="eastAsia"/>
          <w:sz w:val="28"/>
        </w:rPr>
        <w:t>1</w:t>
      </w:r>
      <w:r>
        <w:rPr>
          <w:rFonts w:ascii="楷体" w:eastAsia="楷体" w:hAnsi="楷体" w:cs="楷体" w:hint="eastAsia"/>
          <w:sz w:val="28"/>
        </w:rPr>
        <w:t>个县级市。</w:t>
      </w:r>
    </w:p>
    <w:p w:rsidR="008A54E3" w:rsidRDefault="000F2545">
      <w:pPr>
        <w:autoSpaceDE w:val="0"/>
        <w:spacing w:line="660" w:lineRule="exact"/>
        <w:ind w:firstLineChars="200" w:firstLine="560"/>
        <w:jc w:val="left"/>
        <w:textAlignment w:val="bottom"/>
        <w:rPr>
          <w:rFonts w:ascii="楷体" w:eastAsia="楷体" w:hAnsi="楷体" w:cs="楷体"/>
          <w:sz w:val="28"/>
        </w:rPr>
      </w:pPr>
      <w:r>
        <w:rPr>
          <w:rFonts w:ascii="楷体" w:eastAsia="楷体" w:hAnsi="楷体" w:cs="楷体" w:hint="eastAsia"/>
          <w:sz w:val="28"/>
        </w:rPr>
        <w:t>临安区是杭州市辖区，位于浙江省杭州市西部。地处浙江省西北部天目山区，东邻余杭区，南连富阳区和桐庐县、淳安县，西接安徽省歙县，北接安吉县及安徽省绩溪县、宁国市。临安区境东西宽约</w:t>
      </w:r>
      <w:r>
        <w:rPr>
          <w:rFonts w:ascii="楷体" w:eastAsia="楷体" w:hAnsi="楷体" w:cs="楷体" w:hint="eastAsia"/>
          <w:sz w:val="28"/>
        </w:rPr>
        <w:t>100</w:t>
      </w:r>
      <w:r>
        <w:rPr>
          <w:rFonts w:ascii="楷体" w:eastAsia="楷体" w:hAnsi="楷体" w:cs="楷体" w:hint="eastAsia"/>
          <w:sz w:val="28"/>
        </w:rPr>
        <w:t>千米，南北长约</w:t>
      </w:r>
      <w:r>
        <w:rPr>
          <w:rFonts w:ascii="楷体" w:eastAsia="楷体" w:hAnsi="楷体" w:cs="楷体" w:hint="eastAsia"/>
          <w:sz w:val="28"/>
        </w:rPr>
        <w:t>50</w:t>
      </w:r>
      <w:r>
        <w:rPr>
          <w:rFonts w:ascii="楷体" w:eastAsia="楷体" w:hAnsi="楷体" w:cs="楷体" w:hint="eastAsia"/>
          <w:sz w:val="28"/>
        </w:rPr>
        <w:t>千米，总面积</w:t>
      </w:r>
      <w:r>
        <w:rPr>
          <w:rFonts w:ascii="楷体" w:eastAsia="楷体" w:hAnsi="楷体" w:cs="楷体" w:hint="eastAsia"/>
          <w:sz w:val="28"/>
        </w:rPr>
        <w:t>3118.77</w:t>
      </w:r>
      <w:r>
        <w:rPr>
          <w:rFonts w:ascii="楷体" w:eastAsia="楷体" w:hAnsi="楷体" w:cs="楷体" w:hint="eastAsia"/>
          <w:sz w:val="28"/>
        </w:rPr>
        <w:t>平方千米；辖</w:t>
      </w:r>
      <w:r>
        <w:rPr>
          <w:rFonts w:ascii="楷体" w:eastAsia="楷体" w:hAnsi="楷体" w:cs="楷体" w:hint="eastAsia"/>
          <w:sz w:val="28"/>
        </w:rPr>
        <w:t>5</w:t>
      </w:r>
      <w:r>
        <w:rPr>
          <w:rFonts w:ascii="楷体" w:eastAsia="楷体" w:hAnsi="楷体" w:cs="楷体" w:hint="eastAsia"/>
          <w:sz w:val="28"/>
        </w:rPr>
        <w:t>个街道</w:t>
      </w:r>
      <w:r>
        <w:rPr>
          <w:rFonts w:ascii="楷体" w:eastAsia="楷体" w:hAnsi="楷体" w:cs="楷体" w:hint="eastAsia"/>
          <w:sz w:val="28"/>
        </w:rPr>
        <w:t>13</w:t>
      </w:r>
      <w:r>
        <w:rPr>
          <w:rFonts w:ascii="楷体" w:eastAsia="楷体" w:hAnsi="楷体" w:cs="楷体" w:hint="eastAsia"/>
          <w:sz w:val="28"/>
        </w:rPr>
        <w:t>个乡镇</w:t>
      </w:r>
      <w:r>
        <w:rPr>
          <w:rFonts w:ascii="楷体" w:eastAsia="楷体" w:hAnsi="楷体" w:cs="楷体" w:hint="eastAsia"/>
          <w:sz w:val="28"/>
        </w:rPr>
        <w:t>298</w:t>
      </w:r>
      <w:r>
        <w:rPr>
          <w:rFonts w:ascii="楷体" w:eastAsia="楷体" w:hAnsi="楷体" w:cs="楷体" w:hint="eastAsia"/>
          <w:sz w:val="28"/>
        </w:rPr>
        <w:t>个行政村。区人民政府设在锦城街道。</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1.</w:t>
      </w:r>
      <w:r>
        <w:rPr>
          <w:rFonts w:ascii="楷体_GB2312" w:eastAsia="楷体" w:hAnsi="宋体" w:hint="eastAsia"/>
          <w:sz w:val="28"/>
          <w:szCs w:val="28"/>
        </w:rPr>
        <w:t>位置状况</w:t>
      </w:r>
    </w:p>
    <w:p w:rsidR="008A54E3" w:rsidRDefault="000F2545">
      <w:pPr>
        <w:spacing w:line="630" w:lineRule="exact"/>
        <w:ind w:firstLineChars="200" w:firstLine="560"/>
        <w:rPr>
          <w:rFonts w:ascii="宋体" w:eastAsia="楷体" w:hAnsi="宋体"/>
          <w:sz w:val="28"/>
        </w:rPr>
      </w:pPr>
      <w:r>
        <w:rPr>
          <w:rFonts w:ascii="楷体_GB2312" w:eastAsia="楷体" w:hAnsi="宋体" w:hint="eastAsia"/>
          <w:sz w:val="28"/>
          <w:szCs w:val="28"/>
        </w:rPr>
        <w:t>估价对象坐落于</w:t>
      </w:r>
      <w:r>
        <w:rPr>
          <w:rFonts w:ascii="楷体" w:eastAsia="楷体" w:hAnsi="楷体" w:hint="eastAsia"/>
          <w:spacing w:val="-6"/>
          <w:sz w:val="28"/>
          <w:szCs w:val="28"/>
        </w:rPr>
        <w:t>杭州市临安区锦城街道</w:t>
      </w:r>
      <w:r>
        <w:rPr>
          <w:rFonts w:ascii="楷体" w:eastAsia="楷体" w:hAnsi="楷体" w:hint="eastAsia"/>
          <w:spacing w:val="-6"/>
          <w:sz w:val="28"/>
          <w:szCs w:val="28"/>
        </w:rPr>
        <w:t>紫景苑北半地下层（</w:t>
      </w:r>
      <w:r>
        <w:rPr>
          <w:rFonts w:ascii="楷体" w:eastAsia="楷体" w:hAnsi="楷体" w:hint="eastAsia"/>
          <w:spacing w:val="-6"/>
          <w:sz w:val="28"/>
          <w:szCs w:val="28"/>
        </w:rPr>
        <w:t>1</w:t>
      </w:r>
      <w:r>
        <w:rPr>
          <w:rFonts w:ascii="楷体" w:eastAsia="楷体" w:hAnsi="楷体" w:hint="eastAsia"/>
          <w:spacing w:val="-6"/>
          <w:sz w:val="28"/>
          <w:szCs w:val="28"/>
        </w:rPr>
        <w:t>幢</w:t>
      </w:r>
      <w:r>
        <w:rPr>
          <w:rFonts w:ascii="楷体" w:eastAsia="楷体" w:hAnsi="楷体" w:hint="eastAsia"/>
          <w:spacing w:val="-6"/>
          <w:sz w:val="28"/>
          <w:szCs w:val="28"/>
        </w:rPr>
        <w:t>-113</w:t>
      </w:r>
      <w:r>
        <w:rPr>
          <w:rFonts w:ascii="楷体" w:eastAsia="楷体" w:hAnsi="楷体" w:hint="eastAsia"/>
          <w:spacing w:val="-6"/>
          <w:sz w:val="28"/>
          <w:szCs w:val="28"/>
        </w:rPr>
        <w:t>）</w:t>
      </w:r>
      <w:r>
        <w:rPr>
          <w:rFonts w:ascii="楷体_GB2312" w:eastAsia="楷体" w:hAnsi="宋体" w:hint="eastAsia"/>
          <w:sz w:val="28"/>
          <w:szCs w:val="28"/>
        </w:rPr>
        <w:t>，</w:t>
      </w:r>
      <w:r>
        <w:rPr>
          <w:rFonts w:ascii="楷体_GB2312" w:eastAsia="楷体" w:hAnsi="宋体" w:hint="eastAsia"/>
          <w:sz w:val="28"/>
          <w:szCs w:val="28"/>
        </w:rPr>
        <w:t>位于</w:t>
      </w:r>
      <w:r>
        <w:rPr>
          <w:rFonts w:ascii="楷体_GB2312" w:eastAsia="楷体" w:hAnsi="宋体" w:hint="eastAsia"/>
          <w:sz w:val="28"/>
          <w:szCs w:val="28"/>
        </w:rPr>
        <w:t>钱王街北</w:t>
      </w:r>
      <w:r>
        <w:rPr>
          <w:rFonts w:ascii="楷体_GB2312" w:eastAsia="楷体" w:hAnsi="宋体" w:hint="eastAsia"/>
          <w:sz w:val="28"/>
          <w:szCs w:val="28"/>
        </w:rPr>
        <w:t>侧</w:t>
      </w:r>
      <w:r>
        <w:rPr>
          <w:rFonts w:ascii="楷体_GB2312" w:eastAsia="楷体" w:hAnsi="宋体" w:hint="eastAsia"/>
          <w:sz w:val="28"/>
          <w:szCs w:val="28"/>
        </w:rPr>
        <w:t>，</w:t>
      </w:r>
      <w:r>
        <w:rPr>
          <w:rFonts w:ascii="楷体_GB2312" w:eastAsia="楷体" w:hAnsi="宋体" w:hint="eastAsia"/>
          <w:sz w:val="28"/>
          <w:szCs w:val="28"/>
        </w:rPr>
        <w:t>距临安人民广场行车距离约</w:t>
      </w:r>
      <w:r>
        <w:rPr>
          <w:rFonts w:ascii="楷体_GB2312" w:eastAsia="楷体" w:hAnsi="宋体" w:hint="eastAsia"/>
          <w:sz w:val="28"/>
          <w:szCs w:val="28"/>
        </w:rPr>
        <w:t>1.5</w:t>
      </w:r>
      <w:r>
        <w:rPr>
          <w:rFonts w:ascii="楷体_GB2312" w:eastAsia="楷体" w:hAnsi="宋体" w:hint="eastAsia"/>
          <w:sz w:val="28"/>
          <w:szCs w:val="28"/>
        </w:rPr>
        <w:t>公里，</w:t>
      </w:r>
      <w:r>
        <w:rPr>
          <w:rFonts w:ascii="楷体_GB2312" w:eastAsia="楷体" w:hAnsi="宋体" w:hint="eastAsia"/>
          <w:sz w:val="28"/>
          <w:szCs w:val="28"/>
        </w:rPr>
        <w:t>距临安区政府行车距离约</w:t>
      </w:r>
      <w:r>
        <w:rPr>
          <w:rFonts w:ascii="楷体_GB2312" w:eastAsia="楷体" w:hAnsi="宋体" w:hint="eastAsia"/>
          <w:sz w:val="28"/>
          <w:szCs w:val="28"/>
        </w:rPr>
        <w:t>2</w:t>
      </w:r>
      <w:r>
        <w:rPr>
          <w:rFonts w:ascii="楷体_GB2312" w:eastAsia="楷体" w:hAnsi="宋体" w:hint="eastAsia"/>
          <w:sz w:val="28"/>
          <w:szCs w:val="28"/>
        </w:rPr>
        <w:t>公里。</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2.</w:t>
      </w:r>
      <w:r>
        <w:rPr>
          <w:rFonts w:ascii="楷体_GB2312" w:eastAsia="楷体" w:hAnsi="宋体" w:hint="eastAsia"/>
          <w:sz w:val="28"/>
          <w:szCs w:val="28"/>
        </w:rPr>
        <w:t>交通状况</w:t>
      </w:r>
    </w:p>
    <w:p w:rsidR="008A54E3" w:rsidRDefault="000F2545">
      <w:pPr>
        <w:spacing w:line="660" w:lineRule="exact"/>
        <w:ind w:firstLineChars="200" w:firstLine="560"/>
        <w:rPr>
          <w:rFonts w:ascii="楷体" w:eastAsia="楷体" w:hAnsi="楷体"/>
          <w:sz w:val="28"/>
        </w:rPr>
      </w:pPr>
      <w:r>
        <w:rPr>
          <w:rFonts w:ascii="楷体" w:eastAsia="楷体" w:hAnsi="楷体" w:hint="eastAsia"/>
          <w:sz w:val="28"/>
        </w:rPr>
        <w:lastRenderedPageBreak/>
        <w:t>估价对象</w:t>
      </w:r>
      <w:r>
        <w:rPr>
          <w:rFonts w:ascii="楷体" w:eastAsia="楷体" w:hAnsi="楷体" w:hint="eastAsia"/>
          <w:sz w:val="28"/>
        </w:rPr>
        <w:t>附近有</w:t>
      </w:r>
      <w:r>
        <w:rPr>
          <w:rFonts w:ascii="楷体" w:eastAsia="楷体" w:hAnsi="楷体" w:hint="eastAsia"/>
          <w:sz w:val="28"/>
        </w:rPr>
        <w:t>钱王街</w:t>
      </w:r>
      <w:r>
        <w:rPr>
          <w:rFonts w:ascii="楷体" w:eastAsia="楷体" w:hAnsi="楷体" w:hint="eastAsia"/>
          <w:sz w:val="28"/>
        </w:rPr>
        <w:t>、</w:t>
      </w:r>
      <w:r>
        <w:rPr>
          <w:rFonts w:ascii="楷体" w:eastAsia="楷体" w:hAnsi="楷体" w:hint="eastAsia"/>
          <w:sz w:val="28"/>
        </w:rPr>
        <w:t>城中街、临天路</w:t>
      </w:r>
      <w:r>
        <w:rPr>
          <w:rFonts w:ascii="楷体" w:eastAsia="楷体" w:hAnsi="楷体" w:hint="eastAsia"/>
          <w:sz w:val="28"/>
        </w:rPr>
        <w:t>城市主次道路。估价对象所在区域附近有</w:t>
      </w:r>
      <w:r>
        <w:rPr>
          <w:rFonts w:ascii="楷体" w:eastAsia="楷体" w:hAnsi="楷体" w:hint="eastAsia"/>
          <w:sz w:val="28"/>
        </w:rPr>
        <w:t>803</w:t>
      </w:r>
      <w:r>
        <w:rPr>
          <w:rFonts w:ascii="楷体" w:eastAsia="楷体" w:hAnsi="楷体" w:hint="eastAsia"/>
          <w:sz w:val="28"/>
        </w:rPr>
        <w:t>路、</w:t>
      </w:r>
      <w:r>
        <w:rPr>
          <w:rFonts w:ascii="楷体" w:eastAsia="楷体" w:hAnsi="楷体" w:hint="eastAsia"/>
          <w:sz w:val="28"/>
        </w:rPr>
        <w:t>805</w:t>
      </w:r>
      <w:r>
        <w:rPr>
          <w:rFonts w:ascii="楷体" w:eastAsia="楷体" w:hAnsi="楷体" w:hint="eastAsia"/>
          <w:sz w:val="28"/>
        </w:rPr>
        <w:t>路、</w:t>
      </w:r>
      <w:r>
        <w:rPr>
          <w:rFonts w:ascii="楷体" w:eastAsia="楷体" w:hAnsi="楷体" w:hint="eastAsia"/>
          <w:sz w:val="28"/>
        </w:rPr>
        <w:t>809</w:t>
      </w:r>
      <w:r>
        <w:rPr>
          <w:rFonts w:ascii="楷体" w:eastAsia="楷体" w:hAnsi="楷体" w:hint="eastAsia"/>
          <w:sz w:val="28"/>
        </w:rPr>
        <w:t>路、</w:t>
      </w:r>
      <w:r>
        <w:rPr>
          <w:rFonts w:ascii="楷体" w:eastAsia="楷体" w:hAnsi="楷体" w:hint="eastAsia"/>
          <w:sz w:val="28"/>
        </w:rPr>
        <w:t>811</w:t>
      </w:r>
      <w:r>
        <w:rPr>
          <w:rFonts w:ascii="楷体" w:eastAsia="楷体" w:hAnsi="楷体" w:hint="eastAsia"/>
          <w:sz w:val="28"/>
        </w:rPr>
        <w:t>路、</w:t>
      </w:r>
      <w:r>
        <w:rPr>
          <w:rFonts w:ascii="楷体" w:eastAsia="楷体" w:hAnsi="楷体" w:hint="eastAsia"/>
          <w:sz w:val="28"/>
        </w:rPr>
        <w:t>812</w:t>
      </w:r>
      <w:r>
        <w:rPr>
          <w:rFonts w:ascii="楷体" w:eastAsia="楷体" w:hAnsi="楷体" w:hint="eastAsia"/>
          <w:sz w:val="28"/>
        </w:rPr>
        <w:t>路、</w:t>
      </w:r>
      <w:r>
        <w:rPr>
          <w:rFonts w:ascii="楷体" w:eastAsia="楷体" w:hAnsi="楷体" w:hint="eastAsia"/>
          <w:sz w:val="28"/>
        </w:rPr>
        <w:t>817</w:t>
      </w:r>
      <w:r>
        <w:rPr>
          <w:rFonts w:ascii="楷体" w:eastAsia="楷体" w:hAnsi="楷体" w:hint="eastAsia"/>
          <w:sz w:val="28"/>
        </w:rPr>
        <w:t>路</w:t>
      </w:r>
      <w:r>
        <w:rPr>
          <w:rFonts w:ascii="楷体" w:eastAsia="楷体" w:hAnsi="楷体" w:hint="eastAsia"/>
          <w:sz w:val="28"/>
        </w:rPr>
        <w:t>等</w:t>
      </w:r>
      <w:r>
        <w:rPr>
          <w:rFonts w:ascii="楷体" w:eastAsia="楷体" w:hAnsi="楷体" w:hint="eastAsia"/>
          <w:sz w:val="28"/>
        </w:rPr>
        <w:t>多条公交线路设有停靠站点</w:t>
      </w:r>
      <w:r>
        <w:rPr>
          <w:rFonts w:ascii="楷体" w:eastAsia="楷体" w:hAnsi="楷体" w:hint="eastAsia"/>
          <w:sz w:val="28"/>
        </w:rPr>
        <w:t>，</w:t>
      </w:r>
      <w:r>
        <w:rPr>
          <w:rFonts w:ascii="楷体" w:eastAsia="楷体" w:hAnsi="楷体" w:hint="eastAsia"/>
          <w:sz w:val="28"/>
        </w:rPr>
        <w:t>公共交通</w:t>
      </w:r>
      <w:r>
        <w:rPr>
          <w:rFonts w:ascii="楷体" w:eastAsia="楷体" w:hAnsi="楷体" w:hint="eastAsia"/>
          <w:sz w:val="28"/>
        </w:rPr>
        <w:t>较便利</w:t>
      </w:r>
      <w:r>
        <w:rPr>
          <w:rFonts w:ascii="楷体" w:eastAsia="楷体" w:hAnsi="楷体" w:hint="eastAsia"/>
          <w:sz w:val="28"/>
        </w:rPr>
        <w:t>；</w:t>
      </w:r>
      <w:r>
        <w:rPr>
          <w:rFonts w:ascii="楷体" w:eastAsia="楷体" w:hAnsi="楷体" w:hint="eastAsia"/>
          <w:sz w:val="28"/>
        </w:rPr>
        <w:t>估价对象所在小区停车较为便利</w:t>
      </w:r>
      <w:r>
        <w:rPr>
          <w:rFonts w:ascii="楷体" w:eastAsia="楷体" w:hAnsi="楷体" w:hint="eastAsia"/>
          <w:sz w:val="28"/>
        </w:rPr>
        <w:t>，</w:t>
      </w:r>
      <w:r>
        <w:rPr>
          <w:rFonts w:ascii="楷体" w:eastAsia="楷体" w:hAnsi="楷体" w:hint="eastAsia"/>
          <w:sz w:val="28"/>
        </w:rPr>
        <w:t>周边交通管制状况较少。</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3.</w:t>
      </w:r>
      <w:r>
        <w:rPr>
          <w:rFonts w:ascii="楷体_GB2312" w:eastAsia="楷体" w:hAnsi="宋体" w:hint="eastAsia"/>
          <w:sz w:val="28"/>
          <w:szCs w:val="28"/>
        </w:rPr>
        <w:t>基础配套设施</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估价对象所在区域具备了以通路、通上水、通下水、通电、通讯、通燃气及场地平整、地上有建筑物为主的“六通一平”基础设施条件，基础配套设施齐全。</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4.</w:t>
      </w:r>
      <w:r>
        <w:rPr>
          <w:rFonts w:ascii="楷体_GB2312" w:eastAsia="楷体" w:hAnsi="宋体" w:hint="eastAsia"/>
          <w:sz w:val="28"/>
          <w:szCs w:val="28"/>
        </w:rPr>
        <w:t>公共服务设施</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估价对象所在区域附近有</w:t>
      </w:r>
      <w:r>
        <w:rPr>
          <w:rFonts w:ascii="楷体_GB2312" w:eastAsia="楷体" w:hAnsi="宋体" w:hint="eastAsia"/>
          <w:sz w:val="28"/>
          <w:szCs w:val="28"/>
        </w:rPr>
        <w:t>新民</w:t>
      </w:r>
      <w:r>
        <w:rPr>
          <w:rFonts w:ascii="楷体_GB2312" w:eastAsia="楷体" w:hAnsi="宋体" w:hint="eastAsia"/>
          <w:sz w:val="28"/>
          <w:szCs w:val="28"/>
        </w:rPr>
        <w:t>幼儿园、</w:t>
      </w:r>
      <w:r>
        <w:rPr>
          <w:rFonts w:ascii="楷体_GB2312" w:eastAsia="楷体" w:hAnsi="宋体" w:hint="eastAsia"/>
          <w:sz w:val="28"/>
          <w:szCs w:val="28"/>
        </w:rPr>
        <w:t>江南幼儿园</w:t>
      </w:r>
      <w:r>
        <w:rPr>
          <w:rFonts w:ascii="楷体_GB2312" w:eastAsia="楷体" w:hAnsi="宋体" w:hint="eastAsia"/>
          <w:sz w:val="28"/>
          <w:szCs w:val="28"/>
        </w:rPr>
        <w:t>幼儿园、临安石镜小学、</w:t>
      </w:r>
      <w:r>
        <w:rPr>
          <w:rFonts w:ascii="楷体_GB2312" w:eastAsia="楷体" w:hAnsi="宋体" w:hint="eastAsia"/>
          <w:sz w:val="28"/>
          <w:szCs w:val="28"/>
        </w:rPr>
        <w:t>临安衣锦</w:t>
      </w:r>
      <w:r>
        <w:rPr>
          <w:rFonts w:ascii="楷体_GB2312" w:eastAsia="楷体" w:hAnsi="宋体" w:hint="eastAsia"/>
          <w:sz w:val="28"/>
          <w:szCs w:val="28"/>
        </w:rPr>
        <w:t>小学、临安</w:t>
      </w:r>
      <w:r>
        <w:rPr>
          <w:rFonts w:ascii="楷体_GB2312" w:eastAsia="楷体" w:hAnsi="宋体" w:hint="eastAsia"/>
          <w:sz w:val="28"/>
          <w:szCs w:val="28"/>
        </w:rPr>
        <w:t>人民医院</w:t>
      </w:r>
      <w:r>
        <w:rPr>
          <w:rFonts w:ascii="楷体_GB2312" w:eastAsia="楷体" w:hAnsi="宋体" w:hint="eastAsia"/>
          <w:sz w:val="28"/>
          <w:szCs w:val="28"/>
        </w:rPr>
        <w:t>、</w:t>
      </w:r>
      <w:r>
        <w:rPr>
          <w:rFonts w:ascii="楷体_GB2312" w:eastAsia="楷体" w:hAnsi="宋体" w:hint="eastAsia"/>
          <w:sz w:val="28"/>
          <w:szCs w:val="28"/>
        </w:rPr>
        <w:t>临安锦城中医医院</w:t>
      </w:r>
      <w:r>
        <w:rPr>
          <w:rFonts w:ascii="楷体_GB2312" w:eastAsia="楷体" w:hAnsi="宋体" w:hint="eastAsia"/>
          <w:sz w:val="28"/>
          <w:szCs w:val="28"/>
        </w:rPr>
        <w:t>、</w:t>
      </w:r>
      <w:r>
        <w:rPr>
          <w:rFonts w:ascii="楷体_GB2312" w:eastAsia="楷体" w:hAnsi="宋体" w:hint="eastAsia"/>
          <w:sz w:val="28"/>
          <w:szCs w:val="28"/>
        </w:rPr>
        <w:t>临安人民广场</w:t>
      </w:r>
      <w:r>
        <w:rPr>
          <w:rFonts w:ascii="楷体_GB2312" w:eastAsia="楷体" w:hAnsi="宋体" w:hint="eastAsia"/>
          <w:sz w:val="28"/>
          <w:szCs w:val="28"/>
        </w:rPr>
        <w:t>等公共服务配套设施，公共服务设施配套完善。</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5.</w:t>
      </w:r>
      <w:r>
        <w:rPr>
          <w:rFonts w:ascii="楷体_GB2312" w:eastAsia="楷体" w:hAnsi="宋体" w:hint="eastAsia"/>
          <w:sz w:val="28"/>
          <w:szCs w:val="28"/>
        </w:rPr>
        <w:t>居住氛围及商业繁华程度</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估价对象附近有</w:t>
      </w:r>
      <w:r>
        <w:rPr>
          <w:rFonts w:ascii="楷体_GB2312" w:eastAsia="楷体" w:hAnsi="宋体" w:hint="eastAsia"/>
          <w:sz w:val="28"/>
          <w:szCs w:val="28"/>
        </w:rPr>
        <w:t>南苑小区、阳光苑、汇锦苑、华锦公寓、枫林晓城</w:t>
      </w:r>
      <w:r>
        <w:rPr>
          <w:rFonts w:ascii="楷体_GB2312" w:eastAsia="楷体" w:hAnsi="宋体" w:hint="eastAsia"/>
          <w:sz w:val="28"/>
          <w:szCs w:val="28"/>
        </w:rPr>
        <w:t>等住宅小区，居住氛围</w:t>
      </w:r>
      <w:r>
        <w:rPr>
          <w:rFonts w:ascii="楷体_GB2312" w:eastAsia="楷体" w:hAnsi="宋体" w:hint="eastAsia"/>
          <w:sz w:val="28"/>
          <w:szCs w:val="28"/>
        </w:rPr>
        <w:t>较</w:t>
      </w:r>
      <w:r>
        <w:rPr>
          <w:rFonts w:ascii="楷体_GB2312" w:eastAsia="楷体" w:hAnsi="宋体" w:hint="eastAsia"/>
          <w:sz w:val="28"/>
          <w:szCs w:val="28"/>
        </w:rPr>
        <w:t>浓厚。</w:t>
      </w:r>
      <w:r>
        <w:rPr>
          <w:rFonts w:ascii="楷体_GB2312" w:eastAsia="楷体" w:hAnsi="宋体" w:hint="eastAsia"/>
          <w:sz w:val="28"/>
          <w:szCs w:val="28"/>
        </w:rPr>
        <w:t>估价对象所在小区周边有中国建设银行、中国民生银行、中国工商银行、上海浦东发展银行、交通银行等银行网点。</w:t>
      </w:r>
      <w:r>
        <w:rPr>
          <w:rFonts w:ascii="楷体_GB2312" w:eastAsia="楷体" w:hAnsi="宋体" w:hint="eastAsia"/>
          <w:sz w:val="28"/>
          <w:szCs w:val="28"/>
        </w:rPr>
        <w:t>估价对象</w:t>
      </w:r>
      <w:r>
        <w:rPr>
          <w:rFonts w:ascii="楷体_GB2312" w:eastAsia="楷体" w:hAnsi="宋体" w:hint="eastAsia"/>
          <w:sz w:val="28"/>
          <w:szCs w:val="28"/>
        </w:rPr>
        <w:t>所在小区</w:t>
      </w:r>
      <w:r>
        <w:rPr>
          <w:rFonts w:ascii="楷体_GB2312" w:eastAsia="楷体" w:hAnsi="宋体" w:hint="eastAsia"/>
          <w:sz w:val="28"/>
          <w:szCs w:val="28"/>
        </w:rPr>
        <w:t>附近有</w:t>
      </w:r>
      <w:r>
        <w:rPr>
          <w:rFonts w:ascii="楷体_GB2312" w:eastAsia="楷体" w:hAnsi="宋体" w:hint="eastAsia"/>
          <w:sz w:val="28"/>
          <w:szCs w:val="28"/>
        </w:rPr>
        <w:t>天华世纪城</w:t>
      </w:r>
      <w:r>
        <w:rPr>
          <w:rFonts w:ascii="楷体_GB2312" w:eastAsia="楷体" w:hAnsi="宋体" w:hint="eastAsia"/>
          <w:sz w:val="28"/>
          <w:szCs w:val="28"/>
        </w:rPr>
        <w:t>H86</w:t>
      </w:r>
      <w:r>
        <w:rPr>
          <w:rFonts w:ascii="楷体_GB2312" w:eastAsia="楷体" w:hAnsi="宋体" w:hint="eastAsia"/>
          <w:sz w:val="28"/>
          <w:szCs w:val="28"/>
        </w:rPr>
        <w:t>购物中心</w:t>
      </w:r>
      <w:r>
        <w:rPr>
          <w:rFonts w:ascii="楷体_GB2312" w:eastAsia="楷体" w:hAnsi="宋体" w:hint="eastAsia"/>
          <w:sz w:val="28"/>
          <w:szCs w:val="28"/>
        </w:rPr>
        <w:t>、</w:t>
      </w:r>
      <w:r>
        <w:rPr>
          <w:rFonts w:ascii="楷体_GB2312" w:eastAsia="楷体" w:hAnsi="宋体" w:hint="eastAsia"/>
          <w:sz w:val="28"/>
          <w:szCs w:val="28"/>
        </w:rPr>
        <w:t>锦城新天地购物广场、联华购物广场、永辉超市</w:t>
      </w:r>
      <w:r>
        <w:rPr>
          <w:rFonts w:ascii="楷体_GB2312" w:eastAsia="楷体" w:hAnsi="宋体" w:hint="eastAsia"/>
          <w:sz w:val="28"/>
          <w:szCs w:val="28"/>
        </w:rPr>
        <w:t>等</w:t>
      </w:r>
      <w:r>
        <w:rPr>
          <w:rFonts w:ascii="楷体_GB2312" w:eastAsia="楷体" w:hAnsi="宋体" w:hint="eastAsia"/>
          <w:sz w:val="28"/>
          <w:szCs w:val="28"/>
        </w:rPr>
        <w:t>商业购物场所</w:t>
      </w:r>
      <w:r>
        <w:rPr>
          <w:rFonts w:ascii="楷体_GB2312" w:eastAsia="楷体" w:hAnsi="宋体" w:hint="eastAsia"/>
          <w:sz w:val="28"/>
          <w:szCs w:val="28"/>
        </w:rPr>
        <w:t>，商业氛围</w:t>
      </w:r>
      <w:r>
        <w:rPr>
          <w:rFonts w:ascii="楷体_GB2312" w:eastAsia="楷体" w:hAnsi="宋体" w:hint="eastAsia"/>
          <w:sz w:val="28"/>
          <w:szCs w:val="28"/>
        </w:rPr>
        <w:t>较浓厚</w:t>
      </w:r>
      <w:r>
        <w:rPr>
          <w:rFonts w:ascii="楷体_GB2312" w:eastAsia="楷体" w:hAnsi="宋体" w:hint="eastAsia"/>
          <w:sz w:val="28"/>
          <w:szCs w:val="28"/>
        </w:rPr>
        <w:t>。</w:t>
      </w:r>
    </w:p>
    <w:p w:rsidR="008A54E3" w:rsidRDefault="000F2545">
      <w:pPr>
        <w:autoSpaceDE w:val="0"/>
        <w:spacing w:line="630" w:lineRule="exact"/>
        <w:ind w:firstLineChars="200" w:firstLine="560"/>
        <w:jc w:val="left"/>
        <w:textAlignment w:val="bottom"/>
        <w:rPr>
          <w:rFonts w:ascii="楷体_GB2312" w:eastAsia="楷体" w:hAnsi="宋体"/>
          <w:sz w:val="28"/>
          <w:szCs w:val="28"/>
        </w:rPr>
      </w:pPr>
      <w:r>
        <w:rPr>
          <w:rFonts w:ascii="楷体_GB2312" w:eastAsia="楷体" w:hAnsi="宋体" w:hint="eastAsia"/>
          <w:sz w:val="28"/>
          <w:szCs w:val="28"/>
        </w:rPr>
        <w:t>6.</w:t>
      </w:r>
      <w:r>
        <w:rPr>
          <w:rFonts w:ascii="楷体_GB2312" w:eastAsia="楷体" w:hAnsi="宋体" w:hint="eastAsia"/>
          <w:sz w:val="28"/>
          <w:szCs w:val="28"/>
        </w:rPr>
        <w:t>环境状况</w:t>
      </w:r>
    </w:p>
    <w:p w:rsidR="008A54E3" w:rsidRDefault="000F2545">
      <w:pPr>
        <w:pStyle w:val="af4"/>
        <w:autoSpaceDE w:val="0"/>
        <w:spacing w:line="630" w:lineRule="exact"/>
        <w:ind w:firstLineChars="150"/>
        <w:jc w:val="left"/>
        <w:textAlignment w:val="bottom"/>
        <w:rPr>
          <w:rFonts w:ascii="楷体" w:eastAsia="楷体" w:hAnsi="楷体" w:cs="楷体"/>
          <w:sz w:val="28"/>
        </w:rPr>
      </w:pPr>
      <w:bookmarkStart w:id="64" w:name="_Toc4218"/>
      <w:bookmarkStart w:id="65" w:name="_Toc451175951"/>
      <w:bookmarkStart w:id="66" w:name="_Toc11822"/>
      <w:r>
        <w:rPr>
          <w:rFonts w:ascii="楷体_GB2312" w:eastAsia="楷体" w:hAnsi="宋体" w:hint="eastAsia"/>
          <w:sz w:val="28"/>
          <w:szCs w:val="28"/>
        </w:rPr>
        <w:t>估价对象所在区域整体环境较好，自然环境较好；所在区域治安状况较好，人文环境较好。</w:t>
      </w:r>
    </w:p>
    <w:p w:rsidR="008A54E3" w:rsidRDefault="000F2545" w:rsidP="0090314D">
      <w:pPr>
        <w:pStyle w:val="2"/>
        <w:numPr>
          <w:ilvl w:val="0"/>
          <w:numId w:val="5"/>
        </w:numPr>
        <w:spacing w:beforeLines="50" w:afterLines="50" w:line="630" w:lineRule="exact"/>
        <w:ind w:left="720"/>
      </w:pPr>
      <w:bookmarkStart w:id="67" w:name="_Toc14512"/>
      <w:r>
        <w:rPr>
          <w:rFonts w:hint="eastAsia"/>
        </w:rPr>
        <w:lastRenderedPageBreak/>
        <w:t>价值时点</w:t>
      </w:r>
      <w:bookmarkEnd w:id="64"/>
      <w:bookmarkEnd w:id="65"/>
      <w:bookmarkEnd w:id="66"/>
      <w:bookmarkEnd w:id="67"/>
    </w:p>
    <w:p w:rsidR="008A54E3" w:rsidRDefault="000F2545">
      <w:pPr>
        <w:adjustRightInd w:val="0"/>
        <w:snapToGrid w:val="0"/>
        <w:spacing w:line="630" w:lineRule="exact"/>
        <w:ind w:left="573"/>
        <w:rPr>
          <w:rFonts w:eastAsia="楷体"/>
          <w:sz w:val="28"/>
        </w:rPr>
      </w:pPr>
      <w:r>
        <w:rPr>
          <w:rFonts w:eastAsia="楷体" w:hint="eastAsia"/>
          <w:sz w:val="28"/>
        </w:rPr>
        <w:t>二Ο二二年十月二十六日</w:t>
      </w:r>
      <w:r>
        <w:rPr>
          <w:rFonts w:eastAsia="楷体" w:hint="eastAsia"/>
          <w:sz w:val="28"/>
        </w:rPr>
        <w:t>（实地查勘之日）。</w:t>
      </w:r>
    </w:p>
    <w:p w:rsidR="008A54E3" w:rsidRDefault="008A54E3"/>
    <w:p w:rsidR="008A54E3" w:rsidRDefault="000F2545" w:rsidP="0090314D">
      <w:pPr>
        <w:pStyle w:val="2"/>
        <w:numPr>
          <w:ilvl w:val="0"/>
          <w:numId w:val="5"/>
        </w:numPr>
        <w:spacing w:beforeLines="50" w:afterLines="50" w:line="630" w:lineRule="exact"/>
        <w:ind w:left="720"/>
      </w:pPr>
      <w:bookmarkStart w:id="68" w:name="_Toc32275"/>
      <w:bookmarkStart w:id="69" w:name="_Toc7054"/>
      <w:bookmarkStart w:id="70" w:name="_Toc451175952"/>
      <w:bookmarkStart w:id="71" w:name="_Toc14483"/>
      <w:r>
        <w:rPr>
          <w:rFonts w:hint="eastAsia"/>
        </w:rPr>
        <w:t>价值类型</w:t>
      </w:r>
      <w:bookmarkEnd w:id="68"/>
      <w:bookmarkEnd w:id="69"/>
      <w:bookmarkEnd w:id="70"/>
      <w:bookmarkEnd w:id="71"/>
    </w:p>
    <w:p w:rsidR="008A54E3" w:rsidRDefault="000F2545">
      <w:pPr>
        <w:pStyle w:val="af4"/>
        <w:spacing w:line="630" w:lineRule="exact"/>
        <w:ind w:firstLine="560"/>
      </w:pPr>
      <w:bookmarkStart w:id="72" w:name="_Toc31480"/>
      <w:bookmarkStart w:id="73" w:name="_Toc451175953"/>
      <w:bookmarkStart w:id="74" w:name="_Toc712"/>
      <w:r>
        <w:rPr>
          <w:rFonts w:ascii="宋体" w:eastAsia="楷体" w:hint="eastAsia"/>
          <w:sz w:val="28"/>
        </w:rPr>
        <w:t>房地产市场价值是在公开市场上最可能形成的价格，公开市场指在该市场上交易双方进行交易的目的在于最大限度地追求经济效益，并掌握必要</w:t>
      </w:r>
      <w:r>
        <w:rPr>
          <w:rFonts w:ascii="宋体" w:eastAsia="楷体" w:hint="eastAsia"/>
          <w:sz w:val="28"/>
        </w:rPr>
        <w:t>的市场信息，有较充裕的时间进行交易，对交易对象具有必要的专业知识，交易条件公开并不具有排它性。</w:t>
      </w:r>
    </w:p>
    <w:p w:rsidR="008A54E3" w:rsidRDefault="000F2545" w:rsidP="0090314D">
      <w:pPr>
        <w:pStyle w:val="2"/>
        <w:numPr>
          <w:ilvl w:val="0"/>
          <w:numId w:val="5"/>
        </w:numPr>
        <w:spacing w:beforeLines="50" w:afterLines="50" w:line="630" w:lineRule="exact"/>
        <w:ind w:left="720"/>
      </w:pPr>
      <w:bookmarkStart w:id="75" w:name="_Toc14677"/>
      <w:r>
        <w:rPr>
          <w:rFonts w:hint="eastAsia"/>
        </w:rPr>
        <w:t>估价原则</w:t>
      </w:r>
      <w:bookmarkEnd w:id="72"/>
      <w:bookmarkEnd w:id="73"/>
      <w:bookmarkEnd w:id="74"/>
      <w:bookmarkEnd w:id="75"/>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本次估价遵循独立、客观、公正原则，合法原则，价值时点原则，替代原则，最高最佳利用原则等估价原则。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（一）客观、独立、公正原则：要求站在中立的立场上，实事求是、公平正直地评估出对各方估价利害关系人均是公平合理的价值或价格的原则。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（二）合法原则：要求估价结果是在依法判定的估价对象状况下的价值或价格的原则。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（三）价值时点原则：要求估价结果是在根据估价目的确定的某一特定时间的价值或价格的原则。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（四）替代原则：要求估价结果与估价对象的类似房地产在同等条件下的价值或价格偏差在合理范围内的原则。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t>（五）最高最佳利用原则：要求估价结果是在估价对象最高最佳利用状况下的价值或价格的原则。</w:t>
      </w:r>
    </w:p>
    <w:p w:rsidR="008A54E3" w:rsidRDefault="000F2545">
      <w:pPr>
        <w:spacing w:line="630" w:lineRule="exact"/>
        <w:ind w:firstLineChars="200" w:firstLine="560"/>
        <w:rPr>
          <w:rFonts w:ascii="楷体" w:eastAsia="楷体" w:hAnsi="楷体" w:cs="楷体"/>
          <w:sz w:val="28"/>
        </w:rPr>
      </w:pPr>
      <w:r>
        <w:rPr>
          <w:rFonts w:ascii="楷体" w:eastAsia="楷体" w:hAnsi="楷体" w:cs="楷体" w:hint="eastAsia"/>
          <w:sz w:val="28"/>
        </w:rPr>
        <w:lastRenderedPageBreak/>
        <w:t>最高最佳利用：房地产在法律上允许、技术上可能、财务上可行并使价值最大的合理、可能的利用，包括最佳的用途、规模、档次等。</w:t>
      </w:r>
    </w:p>
    <w:p w:rsidR="008A54E3" w:rsidRDefault="000F2545" w:rsidP="0090314D">
      <w:pPr>
        <w:pStyle w:val="2"/>
        <w:numPr>
          <w:ilvl w:val="0"/>
          <w:numId w:val="5"/>
        </w:numPr>
        <w:spacing w:beforeLines="50" w:afterLines="50" w:line="630" w:lineRule="exact"/>
        <w:ind w:left="720"/>
      </w:pPr>
      <w:bookmarkStart w:id="76" w:name="_Toc23485"/>
      <w:bookmarkStart w:id="77" w:name="_Toc451175954"/>
      <w:bookmarkStart w:id="78" w:name="_Toc7979"/>
      <w:bookmarkStart w:id="79" w:name="_Toc18042"/>
      <w:r>
        <w:rPr>
          <w:rFonts w:hint="eastAsia"/>
        </w:rPr>
        <w:t>估价依据</w:t>
      </w:r>
      <w:bookmarkEnd w:id="76"/>
      <w:bookmarkEnd w:id="77"/>
      <w:bookmarkEnd w:id="78"/>
      <w:bookmarkEnd w:id="79"/>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《中华人民共和国民法典》（</w:t>
      </w:r>
      <w:r>
        <w:rPr>
          <w:rFonts w:ascii="楷体" w:eastAsia="楷体" w:hAnsi="楷体" w:cs="楷体" w:hint="eastAsia"/>
          <w:sz w:val="28"/>
        </w:rPr>
        <w:t>2020</w:t>
      </w:r>
      <w:r>
        <w:rPr>
          <w:rFonts w:ascii="楷体" w:eastAsia="楷体" w:hAnsi="楷体" w:cs="楷体" w:hint="eastAsia"/>
          <w:sz w:val="28"/>
        </w:rPr>
        <w:t>年</w:t>
      </w:r>
      <w:r>
        <w:rPr>
          <w:rFonts w:ascii="楷体" w:eastAsia="楷体" w:hAnsi="楷体" w:cs="楷体" w:hint="eastAsia"/>
          <w:sz w:val="28"/>
        </w:rPr>
        <w:t>5</w:t>
      </w:r>
      <w:r>
        <w:rPr>
          <w:rFonts w:ascii="楷体" w:eastAsia="楷体" w:hAnsi="楷体" w:cs="楷体" w:hint="eastAsia"/>
          <w:sz w:val="28"/>
        </w:rPr>
        <w:t>月</w:t>
      </w:r>
      <w:r>
        <w:rPr>
          <w:rFonts w:ascii="楷体" w:eastAsia="楷体" w:hAnsi="楷体" w:cs="楷体" w:hint="eastAsia"/>
          <w:sz w:val="28"/>
        </w:rPr>
        <w:t>28</w:t>
      </w:r>
      <w:r>
        <w:rPr>
          <w:rFonts w:ascii="楷体" w:eastAsia="楷体" w:hAnsi="楷体" w:cs="楷体" w:hint="eastAsia"/>
          <w:sz w:val="28"/>
        </w:rPr>
        <w:t>日第十三届全国人民代表大会第三次会议通过）；</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《中华人民共和国城市房地产管理法》（</w:t>
      </w:r>
      <w:r>
        <w:rPr>
          <w:rFonts w:ascii="楷体" w:eastAsia="楷体" w:hAnsi="楷体" w:cs="楷体" w:hint="eastAsia"/>
          <w:sz w:val="28"/>
        </w:rPr>
        <w:t>2019</w:t>
      </w:r>
      <w:r>
        <w:rPr>
          <w:rFonts w:ascii="楷体" w:eastAsia="楷体" w:hAnsi="楷体" w:cs="楷体" w:hint="eastAsia"/>
          <w:sz w:val="28"/>
        </w:rPr>
        <w:t>年</w:t>
      </w:r>
      <w:r>
        <w:rPr>
          <w:rFonts w:ascii="楷体" w:eastAsia="楷体" w:hAnsi="楷体" w:cs="楷体" w:hint="eastAsia"/>
          <w:sz w:val="28"/>
        </w:rPr>
        <w:t>8</w:t>
      </w:r>
      <w:r>
        <w:rPr>
          <w:rFonts w:ascii="楷体" w:eastAsia="楷体" w:hAnsi="楷体" w:cs="楷体" w:hint="eastAsia"/>
          <w:sz w:val="28"/>
        </w:rPr>
        <w:t>月</w:t>
      </w:r>
      <w:r>
        <w:rPr>
          <w:rFonts w:ascii="楷体" w:eastAsia="楷体" w:hAnsi="楷体" w:cs="楷体" w:hint="eastAsia"/>
          <w:sz w:val="28"/>
        </w:rPr>
        <w:t>26</w:t>
      </w:r>
      <w:r>
        <w:rPr>
          <w:rFonts w:ascii="楷体" w:eastAsia="楷体" w:hAnsi="楷体" w:cs="楷体" w:hint="eastAsia"/>
          <w:sz w:val="28"/>
        </w:rPr>
        <w:t>日第十三届全国人民代表大会常务委员会第十二次会议《</w:t>
      </w:r>
      <w:r>
        <w:rPr>
          <w:rFonts w:ascii="楷体" w:eastAsia="楷体" w:hAnsi="楷体" w:cs="楷体" w:hint="eastAsia"/>
          <w:sz w:val="28"/>
        </w:rPr>
        <w:t>关于修改</w:t>
      </w:r>
      <w:r>
        <w:rPr>
          <w:rFonts w:ascii="楷体" w:eastAsia="楷体" w:hAnsi="楷体" w:cs="楷体" w:hint="eastAsia"/>
          <w:sz w:val="28"/>
        </w:rPr>
        <w:t>&lt;</w:t>
      </w:r>
      <w:r>
        <w:rPr>
          <w:rFonts w:ascii="楷体" w:eastAsia="楷体" w:hAnsi="楷体" w:cs="楷体" w:hint="eastAsia"/>
          <w:sz w:val="28"/>
        </w:rPr>
        <w:t>中华人民共和国土地管理法</w:t>
      </w:r>
      <w:r>
        <w:rPr>
          <w:rFonts w:ascii="楷体" w:eastAsia="楷体" w:hAnsi="楷体" w:cs="楷体" w:hint="eastAsia"/>
          <w:sz w:val="28"/>
        </w:rPr>
        <w:t>&gt;</w:t>
      </w:r>
      <w:r>
        <w:rPr>
          <w:rFonts w:ascii="楷体" w:eastAsia="楷体" w:hAnsi="楷体" w:cs="楷体" w:hint="eastAsia"/>
          <w:sz w:val="28"/>
        </w:rPr>
        <w:t>、</w:t>
      </w:r>
      <w:r>
        <w:rPr>
          <w:rFonts w:ascii="楷体" w:eastAsia="楷体" w:hAnsi="楷体" w:cs="楷体" w:hint="eastAsia"/>
          <w:sz w:val="28"/>
        </w:rPr>
        <w:t>&lt;</w:t>
      </w:r>
      <w:r>
        <w:rPr>
          <w:rFonts w:ascii="楷体" w:eastAsia="楷体" w:hAnsi="楷体" w:cs="楷体" w:hint="eastAsia"/>
          <w:sz w:val="28"/>
        </w:rPr>
        <w:t>中华人民共和国城市房地产管理法</w:t>
      </w:r>
      <w:r>
        <w:rPr>
          <w:rFonts w:ascii="楷体" w:eastAsia="楷体" w:hAnsi="楷体" w:cs="楷体" w:hint="eastAsia"/>
          <w:sz w:val="28"/>
        </w:rPr>
        <w:t>&gt;</w:t>
      </w:r>
      <w:r>
        <w:rPr>
          <w:rFonts w:ascii="楷体" w:eastAsia="楷体" w:hAnsi="楷体" w:cs="楷体" w:hint="eastAsia"/>
          <w:sz w:val="28"/>
        </w:rPr>
        <w:t>的决定》第三次修正）；</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《中华人民共和国土地管理法》（</w:t>
      </w:r>
      <w:r>
        <w:rPr>
          <w:rFonts w:ascii="楷体" w:eastAsia="楷体" w:hAnsi="楷体" w:cs="楷体" w:hint="eastAsia"/>
          <w:sz w:val="28"/>
        </w:rPr>
        <w:t>2019</w:t>
      </w:r>
      <w:r>
        <w:rPr>
          <w:rFonts w:ascii="楷体" w:eastAsia="楷体" w:hAnsi="楷体" w:cs="楷体" w:hint="eastAsia"/>
          <w:sz w:val="28"/>
        </w:rPr>
        <w:t>年</w:t>
      </w:r>
      <w:r>
        <w:rPr>
          <w:rFonts w:ascii="楷体" w:eastAsia="楷体" w:hAnsi="楷体" w:cs="楷体" w:hint="eastAsia"/>
          <w:sz w:val="28"/>
        </w:rPr>
        <w:t>8</w:t>
      </w:r>
      <w:r>
        <w:rPr>
          <w:rFonts w:ascii="楷体" w:eastAsia="楷体" w:hAnsi="楷体" w:cs="楷体" w:hint="eastAsia"/>
          <w:sz w:val="28"/>
        </w:rPr>
        <w:t>月</w:t>
      </w:r>
      <w:r>
        <w:rPr>
          <w:rFonts w:ascii="楷体" w:eastAsia="楷体" w:hAnsi="楷体" w:cs="楷体" w:hint="eastAsia"/>
          <w:sz w:val="28"/>
        </w:rPr>
        <w:t>26</w:t>
      </w:r>
      <w:r>
        <w:rPr>
          <w:rFonts w:ascii="楷体" w:eastAsia="楷体" w:hAnsi="楷体" w:cs="楷体" w:hint="eastAsia"/>
          <w:sz w:val="28"/>
        </w:rPr>
        <w:t>日第十三届全国人民代表大会常务委员会第十二次会议《关于修改</w:t>
      </w:r>
      <w:r>
        <w:rPr>
          <w:rFonts w:ascii="楷体" w:eastAsia="楷体" w:hAnsi="楷体" w:cs="楷体" w:hint="eastAsia"/>
          <w:sz w:val="28"/>
        </w:rPr>
        <w:t>&lt;</w:t>
      </w:r>
      <w:r>
        <w:rPr>
          <w:rFonts w:ascii="楷体" w:eastAsia="楷体" w:hAnsi="楷体" w:cs="楷体" w:hint="eastAsia"/>
          <w:sz w:val="28"/>
        </w:rPr>
        <w:t>中华人民共和国土地管理法</w:t>
      </w:r>
      <w:r>
        <w:rPr>
          <w:rFonts w:ascii="楷体" w:eastAsia="楷体" w:hAnsi="楷体" w:cs="楷体" w:hint="eastAsia"/>
          <w:sz w:val="28"/>
        </w:rPr>
        <w:t>&gt;</w:t>
      </w:r>
      <w:r>
        <w:rPr>
          <w:rFonts w:ascii="楷体" w:eastAsia="楷体" w:hAnsi="楷体" w:cs="楷体" w:hint="eastAsia"/>
          <w:sz w:val="28"/>
        </w:rPr>
        <w:t>、</w:t>
      </w:r>
      <w:r>
        <w:rPr>
          <w:rFonts w:ascii="楷体" w:eastAsia="楷体" w:hAnsi="楷体" w:cs="楷体" w:hint="eastAsia"/>
          <w:sz w:val="28"/>
        </w:rPr>
        <w:t>&lt;</w:t>
      </w:r>
      <w:r>
        <w:rPr>
          <w:rFonts w:ascii="楷体" w:eastAsia="楷体" w:hAnsi="楷体" w:cs="楷体" w:hint="eastAsia"/>
          <w:sz w:val="28"/>
        </w:rPr>
        <w:t>中华人民共和国城市房地产管理法</w:t>
      </w:r>
      <w:r>
        <w:rPr>
          <w:rFonts w:ascii="楷体" w:eastAsia="楷体" w:hAnsi="楷体" w:cs="楷体" w:hint="eastAsia"/>
          <w:sz w:val="28"/>
        </w:rPr>
        <w:t>&gt;</w:t>
      </w:r>
      <w:r>
        <w:rPr>
          <w:rFonts w:ascii="楷体" w:eastAsia="楷体" w:hAnsi="楷体" w:cs="楷体" w:hint="eastAsia"/>
          <w:sz w:val="28"/>
        </w:rPr>
        <w:t>的决定》第三次修正）；</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《中华人民共和国资产评估法》（</w:t>
      </w:r>
      <w:r>
        <w:rPr>
          <w:rFonts w:ascii="楷体" w:eastAsia="楷体" w:hAnsi="楷体" w:cs="楷体" w:hint="eastAsia"/>
          <w:sz w:val="28"/>
        </w:rPr>
        <w:t>2016</w:t>
      </w:r>
      <w:r>
        <w:rPr>
          <w:rFonts w:ascii="楷体" w:eastAsia="楷体" w:hAnsi="楷体" w:cs="楷体" w:hint="eastAsia"/>
          <w:sz w:val="28"/>
        </w:rPr>
        <w:t>年</w:t>
      </w:r>
      <w:r>
        <w:rPr>
          <w:rFonts w:ascii="楷体" w:eastAsia="楷体" w:hAnsi="楷体" w:cs="楷体" w:hint="eastAsia"/>
          <w:sz w:val="28"/>
        </w:rPr>
        <w:t>7</w:t>
      </w:r>
      <w:r>
        <w:rPr>
          <w:rFonts w:ascii="楷体" w:eastAsia="楷体" w:hAnsi="楷体" w:cs="楷体" w:hint="eastAsia"/>
          <w:sz w:val="28"/>
        </w:rPr>
        <w:t>月</w:t>
      </w:r>
      <w:r>
        <w:rPr>
          <w:rFonts w:ascii="楷体" w:eastAsia="楷体" w:hAnsi="楷体" w:cs="楷体" w:hint="eastAsia"/>
          <w:sz w:val="28"/>
        </w:rPr>
        <w:t>2</w:t>
      </w:r>
      <w:r>
        <w:rPr>
          <w:rFonts w:ascii="楷体" w:eastAsia="楷体" w:hAnsi="楷体" w:cs="楷体" w:hint="eastAsia"/>
          <w:sz w:val="28"/>
        </w:rPr>
        <w:t>日中华人民共和国主席令第</w:t>
      </w:r>
      <w:r>
        <w:rPr>
          <w:rFonts w:ascii="楷体" w:eastAsia="楷体" w:hAnsi="楷体" w:cs="楷体" w:hint="eastAsia"/>
          <w:sz w:val="28"/>
        </w:rPr>
        <w:t>46</w:t>
      </w:r>
      <w:r>
        <w:rPr>
          <w:rFonts w:ascii="楷体" w:eastAsia="楷体" w:hAnsi="楷体" w:cs="楷体" w:hint="eastAsia"/>
          <w:sz w:val="28"/>
        </w:rPr>
        <w:t>号公布）；</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bookmarkStart w:id="80" w:name="_Toc451175955"/>
      <w:bookmarkStart w:id="81" w:name="_Toc24098"/>
      <w:bookmarkStart w:id="82" w:name="_Toc14584"/>
      <w:r>
        <w:rPr>
          <w:rFonts w:ascii="楷体" w:eastAsia="楷体" w:hAnsi="楷体" w:cs="楷体" w:hint="eastAsia"/>
          <w:sz w:val="28"/>
        </w:rPr>
        <w:t>《中华人民共和国土地管理法实施条例</w:t>
      </w:r>
      <w:r>
        <w:rPr>
          <w:rFonts w:ascii="楷体" w:eastAsia="楷体" w:hAnsi="楷体" w:cs="楷体" w:hint="eastAsia"/>
          <w:sz w:val="28"/>
        </w:rPr>
        <w:t xml:space="preserve"> </w:t>
      </w:r>
      <w:r>
        <w:rPr>
          <w:rFonts w:ascii="楷体" w:eastAsia="楷体" w:hAnsi="楷体" w:cs="楷体" w:hint="eastAsia"/>
          <w:sz w:val="28"/>
        </w:rPr>
        <w:t>》（</w:t>
      </w:r>
      <w:r>
        <w:rPr>
          <w:rFonts w:ascii="楷体" w:eastAsia="楷体" w:hAnsi="楷体" w:cs="楷体" w:hint="eastAsia"/>
          <w:sz w:val="28"/>
        </w:rPr>
        <w:t>2021</w:t>
      </w:r>
      <w:r>
        <w:rPr>
          <w:rFonts w:ascii="楷体" w:eastAsia="楷体" w:hAnsi="楷体" w:cs="楷体" w:hint="eastAsia"/>
          <w:sz w:val="28"/>
        </w:rPr>
        <w:t>年</w:t>
      </w:r>
      <w:r>
        <w:rPr>
          <w:rFonts w:ascii="楷体" w:eastAsia="楷体" w:hAnsi="楷体" w:cs="楷体" w:hint="eastAsia"/>
          <w:sz w:val="28"/>
        </w:rPr>
        <w:t>4</w:t>
      </w:r>
      <w:r>
        <w:rPr>
          <w:rFonts w:ascii="楷体" w:eastAsia="楷体" w:hAnsi="楷体" w:cs="楷体" w:hint="eastAsia"/>
          <w:sz w:val="28"/>
        </w:rPr>
        <w:t>月</w:t>
      </w:r>
      <w:r>
        <w:rPr>
          <w:rFonts w:ascii="楷体" w:eastAsia="楷体" w:hAnsi="楷体" w:cs="楷体" w:hint="eastAsia"/>
          <w:sz w:val="28"/>
        </w:rPr>
        <w:t>21</w:t>
      </w:r>
      <w:r>
        <w:rPr>
          <w:rFonts w:ascii="楷体" w:eastAsia="楷体" w:hAnsi="楷体" w:cs="楷体" w:hint="eastAsia"/>
          <w:sz w:val="28"/>
        </w:rPr>
        <w:t>日国务院第</w:t>
      </w:r>
      <w:r>
        <w:rPr>
          <w:rFonts w:ascii="楷体" w:eastAsia="楷体" w:hAnsi="楷体" w:cs="楷体" w:hint="eastAsia"/>
          <w:sz w:val="28"/>
        </w:rPr>
        <w:t>132</w:t>
      </w:r>
      <w:r>
        <w:rPr>
          <w:rFonts w:ascii="楷体" w:eastAsia="楷体" w:hAnsi="楷体" w:cs="楷体" w:hint="eastAsia"/>
          <w:sz w:val="28"/>
        </w:rPr>
        <w:t>次常务会议修订通过，自</w:t>
      </w:r>
      <w:r>
        <w:rPr>
          <w:rFonts w:ascii="楷体" w:eastAsia="楷体" w:hAnsi="楷体" w:cs="楷体" w:hint="eastAsia"/>
          <w:sz w:val="28"/>
        </w:rPr>
        <w:t>2021</w:t>
      </w:r>
      <w:r>
        <w:rPr>
          <w:rFonts w:ascii="楷体" w:eastAsia="楷体" w:hAnsi="楷体" w:cs="楷体" w:hint="eastAsia"/>
          <w:sz w:val="28"/>
        </w:rPr>
        <w:t>年</w:t>
      </w:r>
      <w:r>
        <w:rPr>
          <w:rFonts w:ascii="楷体" w:eastAsia="楷体" w:hAnsi="楷体" w:cs="楷体" w:hint="eastAsia"/>
          <w:sz w:val="28"/>
        </w:rPr>
        <w:t>9</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日起施行）；</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《不动产登</w:t>
      </w:r>
      <w:r>
        <w:rPr>
          <w:rFonts w:ascii="楷体" w:eastAsia="楷体" w:hAnsi="楷体" w:cs="楷体" w:hint="eastAsia"/>
          <w:sz w:val="28"/>
        </w:rPr>
        <w:t>记暂行条例》（</w:t>
      </w:r>
      <w:r>
        <w:rPr>
          <w:rFonts w:ascii="楷体" w:eastAsia="楷体" w:hAnsi="楷体" w:cs="楷体" w:hint="eastAsia"/>
          <w:sz w:val="28"/>
        </w:rPr>
        <w:t>2014</w:t>
      </w:r>
      <w:r>
        <w:rPr>
          <w:rFonts w:ascii="楷体" w:eastAsia="楷体" w:hAnsi="楷体" w:cs="楷体" w:hint="eastAsia"/>
          <w:sz w:val="28"/>
        </w:rPr>
        <w:t>年</w:t>
      </w:r>
      <w:r>
        <w:rPr>
          <w:rFonts w:ascii="楷体" w:eastAsia="楷体" w:hAnsi="楷体" w:cs="楷体" w:hint="eastAsia"/>
          <w:sz w:val="28"/>
        </w:rPr>
        <w:t>11</w:t>
      </w:r>
      <w:r>
        <w:rPr>
          <w:rFonts w:ascii="楷体" w:eastAsia="楷体" w:hAnsi="楷体" w:cs="楷体" w:hint="eastAsia"/>
          <w:sz w:val="28"/>
        </w:rPr>
        <w:t>月</w:t>
      </w:r>
      <w:r>
        <w:rPr>
          <w:rFonts w:ascii="楷体" w:eastAsia="楷体" w:hAnsi="楷体" w:cs="楷体" w:hint="eastAsia"/>
          <w:sz w:val="28"/>
        </w:rPr>
        <w:t>24</w:t>
      </w:r>
      <w:r>
        <w:rPr>
          <w:rFonts w:ascii="楷体" w:eastAsia="楷体" w:hAnsi="楷体" w:cs="楷体" w:hint="eastAsia"/>
          <w:sz w:val="28"/>
        </w:rPr>
        <w:t>日中国人民共和国国务院令第</w:t>
      </w:r>
      <w:r>
        <w:rPr>
          <w:rFonts w:ascii="楷体" w:eastAsia="楷体" w:hAnsi="楷体" w:cs="楷体" w:hint="eastAsia"/>
          <w:sz w:val="28"/>
        </w:rPr>
        <w:t>656</w:t>
      </w:r>
      <w:r>
        <w:rPr>
          <w:rFonts w:ascii="楷体" w:eastAsia="楷体" w:hAnsi="楷体" w:cs="楷体" w:hint="eastAsia"/>
          <w:sz w:val="28"/>
        </w:rPr>
        <w:t>号发布）</w:t>
      </w:r>
      <w:r>
        <w:rPr>
          <w:rFonts w:ascii="楷体" w:eastAsia="楷体" w:hAnsi="楷体" w:cs="楷体" w:hint="eastAsia"/>
          <w:sz w:val="28"/>
        </w:rPr>
        <w:t>;</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《房地产估价规范》</w:t>
      </w:r>
      <w:r>
        <w:rPr>
          <w:rFonts w:ascii="楷体" w:eastAsia="楷体" w:hAnsi="楷体" w:cs="楷体" w:hint="eastAsia"/>
          <w:sz w:val="28"/>
        </w:rPr>
        <w:t>GB/T50291-2015</w:t>
      </w:r>
      <w:r>
        <w:rPr>
          <w:rFonts w:ascii="楷体" w:eastAsia="楷体" w:hAnsi="楷体" w:cs="楷体" w:hint="eastAsia"/>
          <w:sz w:val="28"/>
        </w:rPr>
        <w:t>（</w:t>
      </w:r>
      <w:r>
        <w:rPr>
          <w:rFonts w:ascii="楷体" w:eastAsia="楷体" w:hAnsi="楷体" w:cs="楷体" w:hint="eastAsia"/>
          <w:sz w:val="28"/>
        </w:rPr>
        <w:t>2015</w:t>
      </w:r>
      <w:r>
        <w:rPr>
          <w:rFonts w:ascii="楷体" w:eastAsia="楷体" w:hAnsi="楷体" w:cs="楷体" w:hint="eastAsia"/>
          <w:sz w:val="28"/>
        </w:rPr>
        <w:t>年</w:t>
      </w:r>
      <w:r>
        <w:rPr>
          <w:rFonts w:ascii="楷体" w:eastAsia="楷体" w:hAnsi="楷体" w:cs="楷体" w:hint="eastAsia"/>
          <w:sz w:val="28"/>
        </w:rPr>
        <w:t>4</w:t>
      </w:r>
      <w:r>
        <w:rPr>
          <w:rFonts w:ascii="楷体" w:eastAsia="楷体" w:hAnsi="楷体" w:cs="楷体" w:hint="eastAsia"/>
          <w:sz w:val="28"/>
        </w:rPr>
        <w:t>月</w:t>
      </w:r>
      <w:r>
        <w:rPr>
          <w:rFonts w:ascii="楷体" w:eastAsia="楷体" w:hAnsi="楷体" w:cs="楷体" w:hint="eastAsia"/>
          <w:sz w:val="28"/>
        </w:rPr>
        <w:t>8</w:t>
      </w:r>
      <w:r>
        <w:rPr>
          <w:rFonts w:ascii="楷体" w:eastAsia="楷体" w:hAnsi="楷体" w:cs="楷体" w:hint="eastAsia"/>
          <w:sz w:val="28"/>
        </w:rPr>
        <w:t>日发布，</w:t>
      </w:r>
      <w:r>
        <w:rPr>
          <w:rFonts w:ascii="楷体" w:eastAsia="楷体" w:hAnsi="楷体" w:cs="楷体" w:hint="eastAsia"/>
          <w:sz w:val="28"/>
        </w:rPr>
        <w:t>2015</w:t>
      </w:r>
      <w:r>
        <w:rPr>
          <w:rFonts w:ascii="楷体" w:eastAsia="楷体" w:hAnsi="楷体" w:cs="楷体" w:hint="eastAsia"/>
          <w:sz w:val="28"/>
        </w:rPr>
        <w:t>年</w:t>
      </w:r>
      <w:r>
        <w:rPr>
          <w:rFonts w:ascii="楷体" w:eastAsia="楷体" w:hAnsi="楷体" w:cs="楷体" w:hint="eastAsia"/>
          <w:sz w:val="28"/>
        </w:rPr>
        <w:t>12</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日实施）；</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《房地产估价基本术语标准》</w:t>
      </w:r>
      <w:r>
        <w:rPr>
          <w:rFonts w:ascii="楷体" w:eastAsia="楷体" w:hAnsi="楷体" w:cs="楷体" w:hint="eastAsia"/>
          <w:sz w:val="28"/>
        </w:rPr>
        <w:t>GB/T50899-2013</w:t>
      </w:r>
      <w:r>
        <w:rPr>
          <w:rFonts w:ascii="楷体" w:eastAsia="楷体" w:hAnsi="楷体" w:cs="楷体" w:hint="eastAsia"/>
          <w:sz w:val="28"/>
        </w:rPr>
        <w:t>（</w:t>
      </w:r>
      <w:r>
        <w:rPr>
          <w:rFonts w:ascii="楷体" w:eastAsia="楷体" w:hAnsi="楷体" w:cs="楷体" w:hint="eastAsia"/>
          <w:sz w:val="28"/>
        </w:rPr>
        <w:t>2013</w:t>
      </w:r>
      <w:r>
        <w:rPr>
          <w:rFonts w:ascii="楷体" w:eastAsia="楷体" w:hAnsi="楷体" w:cs="楷体" w:hint="eastAsia"/>
          <w:sz w:val="28"/>
        </w:rPr>
        <w:t>年</w:t>
      </w:r>
      <w:r>
        <w:rPr>
          <w:rFonts w:ascii="楷体" w:eastAsia="楷体" w:hAnsi="楷体" w:cs="楷体" w:hint="eastAsia"/>
          <w:sz w:val="28"/>
        </w:rPr>
        <w:t>6</w:t>
      </w:r>
      <w:r>
        <w:rPr>
          <w:rFonts w:ascii="楷体" w:eastAsia="楷体" w:hAnsi="楷体" w:cs="楷体" w:hint="eastAsia"/>
          <w:sz w:val="28"/>
        </w:rPr>
        <w:lastRenderedPageBreak/>
        <w:t>月</w:t>
      </w:r>
      <w:r>
        <w:rPr>
          <w:rFonts w:ascii="楷体" w:eastAsia="楷体" w:hAnsi="楷体" w:cs="楷体" w:hint="eastAsia"/>
          <w:sz w:val="28"/>
        </w:rPr>
        <w:t>26</w:t>
      </w:r>
      <w:r>
        <w:rPr>
          <w:rFonts w:ascii="楷体" w:eastAsia="楷体" w:hAnsi="楷体" w:cs="楷体" w:hint="eastAsia"/>
          <w:sz w:val="28"/>
        </w:rPr>
        <w:t>日发布，</w:t>
      </w:r>
      <w:r>
        <w:rPr>
          <w:rFonts w:ascii="楷体" w:eastAsia="楷体" w:hAnsi="楷体" w:cs="楷体" w:hint="eastAsia"/>
          <w:sz w:val="28"/>
        </w:rPr>
        <w:t>2014</w:t>
      </w:r>
      <w:r>
        <w:rPr>
          <w:rFonts w:ascii="楷体" w:eastAsia="楷体" w:hAnsi="楷体" w:cs="楷体" w:hint="eastAsia"/>
          <w:sz w:val="28"/>
        </w:rPr>
        <w:t>年</w:t>
      </w:r>
      <w:r>
        <w:rPr>
          <w:rFonts w:ascii="楷体" w:eastAsia="楷体" w:hAnsi="楷体" w:cs="楷体" w:hint="eastAsia"/>
          <w:sz w:val="28"/>
        </w:rPr>
        <w:t>2</w:t>
      </w:r>
      <w:r>
        <w:rPr>
          <w:rFonts w:ascii="楷体" w:eastAsia="楷体" w:hAnsi="楷体" w:cs="楷体" w:hint="eastAsia"/>
          <w:sz w:val="28"/>
        </w:rPr>
        <w:t>月</w:t>
      </w:r>
      <w:r>
        <w:rPr>
          <w:rFonts w:ascii="楷体" w:eastAsia="楷体" w:hAnsi="楷体" w:cs="楷体" w:hint="eastAsia"/>
          <w:sz w:val="28"/>
        </w:rPr>
        <w:t>1</w:t>
      </w:r>
      <w:r>
        <w:rPr>
          <w:rFonts w:ascii="楷体" w:eastAsia="楷体" w:hAnsi="楷体" w:cs="楷体" w:hint="eastAsia"/>
          <w:sz w:val="28"/>
        </w:rPr>
        <w:t>日实施）；</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w:t>
      </w:r>
      <w:r>
        <w:rPr>
          <w:rFonts w:ascii="楷体" w:eastAsia="楷体" w:hAnsi="楷体" w:cs="楷体" w:hint="eastAsia"/>
          <w:sz w:val="28"/>
        </w:rPr>
        <w:t>司法鉴定程序通则</w:t>
      </w:r>
      <w:r>
        <w:rPr>
          <w:rFonts w:ascii="楷体" w:eastAsia="楷体" w:hAnsi="楷体" w:cs="楷体" w:hint="eastAsia"/>
          <w:sz w:val="28"/>
        </w:rPr>
        <w:t>》（</w:t>
      </w:r>
      <w:r>
        <w:rPr>
          <w:rFonts w:ascii="楷体" w:eastAsia="楷体" w:hAnsi="楷体" w:cs="楷体" w:hint="eastAsia"/>
          <w:sz w:val="28"/>
        </w:rPr>
        <w:t>司法部令第</w:t>
      </w:r>
      <w:r>
        <w:rPr>
          <w:rFonts w:ascii="楷体" w:eastAsia="楷体" w:hAnsi="楷体" w:cs="楷体" w:hint="eastAsia"/>
          <w:sz w:val="28"/>
        </w:rPr>
        <w:t>132</w:t>
      </w:r>
      <w:r>
        <w:rPr>
          <w:rFonts w:ascii="楷体" w:eastAsia="楷体" w:hAnsi="楷体" w:cs="楷体" w:hint="eastAsia"/>
          <w:sz w:val="28"/>
        </w:rPr>
        <w:t>号</w:t>
      </w:r>
      <w:r>
        <w:rPr>
          <w:rFonts w:ascii="楷体" w:eastAsia="楷体" w:hAnsi="楷体" w:cs="楷体" w:hint="eastAsia"/>
          <w:sz w:val="28"/>
        </w:rPr>
        <w:t>）；</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《最高人民法院关于人民法院确定财产处置参考价若干问题的规定》（法释［</w:t>
      </w:r>
      <w:r>
        <w:rPr>
          <w:rFonts w:ascii="楷体" w:eastAsia="楷体" w:hAnsi="楷体" w:cs="楷体" w:hint="eastAsia"/>
          <w:sz w:val="28"/>
        </w:rPr>
        <w:t>2018</w:t>
      </w:r>
      <w:r>
        <w:rPr>
          <w:rFonts w:ascii="楷体" w:eastAsia="楷体" w:hAnsi="楷体" w:cs="楷体" w:hint="eastAsia"/>
          <w:sz w:val="28"/>
        </w:rPr>
        <w:t>］</w:t>
      </w:r>
      <w:r>
        <w:rPr>
          <w:rFonts w:ascii="楷体" w:eastAsia="楷体" w:hAnsi="楷体" w:cs="楷体" w:hint="eastAsia"/>
          <w:sz w:val="28"/>
        </w:rPr>
        <w:t>15</w:t>
      </w:r>
      <w:r>
        <w:rPr>
          <w:rFonts w:ascii="楷体" w:eastAsia="楷体" w:hAnsi="楷体" w:cs="楷体" w:hint="eastAsia"/>
          <w:sz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《人民法院委托评估工作规范》（法办［</w:t>
      </w:r>
      <w:r>
        <w:rPr>
          <w:rFonts w:ascii="楷体" w:eastAsia="楷体" w:hAnsi="楷体" w:cs="楷体" w:hint="eastAsia"/>
          <w:sz w:val="28"/>
        </w:rPr>
        <w:t>2018</w:t>
      </w:r>
      <w:r>
        <w:rPr>
          <w:rFonts w:ascii="楷体" w:eastAsia="楷体" w:hAnsi="楷体" w:cs="楷体" w:hint="eastAsia"/>
          <w:sz w:val="28"/>
        </w:rPr>
        <w:t>］</w:t>
      </w:r>
      <w:r>
        <w:rPr>
          <w:rFonts w:ascii="楷体" w:eastAsia="楷体" w:hAnsi="楷体" w:cs="楷体" w:hint="eastAsia"/>
          <w:sz w:val="28"/>
        </w:rPr>
        <w:t>273</w:t>
      </w:r>
      <w:r>
        <w:rPr>
          <w:rFonts w:ascii="楷体" w:eastAsia="楷体" w:hAnsi="楷体" w:cs="楷体" w:hint="eastAsia"/>
          <w:sz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szCs w:val="28"/>
        </w:rPr>
      </w:pPr>
      <w:r>
        <w:rPr>
          <w:rFonts w:ascii="楷体" w:eastAsia="楷体" w:hAnsi="楷体" w:cs="楷体" w:hint="eastAsia"/>
          <w:sz w:val="28"/>
        </w:rPr>
        <w:t>《涉</w:t>
      </w:r>
      <w:r>
        <w:rPr>
          <w:rFonts w:ascii="楷体" w:eastAsia="楷体" w:hAnsi="楷体" w:cs="楷体" w:hint="eastAsia"/>
          <w:sz w:val="28"/>
          <w:szCs w:val="28"/>
        </w:rPr>
        <w:t>执房地产处置司法评估指</w:t>
      </w:r>
      <w:r>
        <w:rPr>
          <w:rFonts w:ascii="楷体" w:eastAsia="楷体" w:hAnsi="楷体" w:cs="楷体" w:hint="eastAsia"/>
          <w:sz w:val="28"/>
          <w:szCs w:val="28"/>
        </w:rPr>
        <w:t>导意见（试行）》</w:t>
      </w:r>
      <w:r>
        <w:rPr>
          <w:rFonts w:ascii="楷体" w:eastAsia="楷体" w:hAnsi="楷体" w:cs="楷体" w:hint="eastAsia"/>
          <w:sz w:val="28"/>
          <w:szCs w:val="28"/>
        </w:rPr>
        <w:t>（</w:t>
      </w:r>
      <w:r>
        <w:rPr>
          <w:rFonts w:ascii="楷体" w:eastAsia="楷体" w:hAnsi="楷体" w:cs="楷体" w:hint="eastAsia"/>
          <w:sz w:val="28"/>
          <w:szCs w:val="28"/>
        </w:rPr>
        <w:t>中房学〔</w:t>
      </w:r>
      <w:r>
        <w:rPr>
          <w:rFonts w:ascii="楷体" w:eastAsia="楷体" w:hAnsi="楷体" w:cs="楷体" w:hint="eastAsia"/>
          <w:sz w:val="28"/>
          <w:szCs w:val="28"/>
        </w:rPr>
        <w:t>2021</w:t>
      </w:r>
      <w:r>
        <w:rPr>
          <w:rFonts w:ascii="楷体" w:eastAsia="楷体" w:hAnsi="楷体" w:cs="楷体" w:hint="eastAsia"/>
          <w:sz w:val="28"/>
          <w:szCs w:val="28"/>
        </w:rPr>
        <w:t>〕</w:t>
      </w:r>
      <w:r>
        <w:rPr>
          <w:rFonts w:ascii="楷体" w:eastAsia="楷体" w:hAnsi="楷体" w:cs="楷体" w:hint="eastAsia"/>
          <w:sz w:val="28"/>
          <w:szCs w:val="28"/>
        </w:rPr>
        <w:t>37</w:t>
      </w:r>
      <w:r>
        <w:rPr>
          <w:rFonts w:ascii="楷体" w:eastAsia="楷体" w:hAnsi="楷体" w:cs="楷体" w:hint="eastAsia"/>
          <w:sz w:val="28"/>
          <w:szCs w:val="28"/>
        </w:rPr>
        <w:t>号</w:t>
      </w:r>
      <w:r>
        <w:rPr>
          <w:rFonts w:ascii="楷体" w:eastAsia="楷体" w:hAnsi="楷体" w:cs="楷体" w:hint="eastAsia"/>
          <w:sz w:val="28"/>
          <w:szCs w:val="28"/>
        </w:rPr>
        <w:t>）</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szCs w:val="28"/>
        </w:rPr>
      </w:pPr>
      <w:r>
        <w:rPr>
          <w:rFonts w:ascii="楷体" w:eastAsia="楷体" w:hAnsi="楷体" w:cs="楷体" w:hint="eastAsia"/>
          <w:sz w:val="28"/>
          <w:szCs w:val="28"/>
        </w:rPr>
        <w:t>《浙江省房地产司法评估指导意见（试行）》（浙估协［</w:t>
      </w:r>
      <w:r>
        <w:rPr>
          <w:rFonts w:ascii="楷体" w:eastAsia="楷体" w:hAnsi="楷体" w:cs="楷体" w:hint="eastAsia"/>
          <w:sz w:val="28"/>
          <w:szCs w:val="28"/>
        </w:rPr>
        <w:t>2021</w:t>
      </w:r>
      <w:r>
        <w:rPr>
          <w:rFonts w:ascii="楷体" w:eastAsia="楷体" w:hAnsi="楷体" w:cs="楷体" w:hint="eastAsia"/>
          <w:sz w:val="28"/>
          <w:szCs w:val="28"/>
        </w:rPr>
        <w:t>］</w:t>
      </w:r>
      <w:r>
        <w:rPr>
          <w:rFonts w:ascii="楷体" w:eastAsia="楷体" w:hAnsi="楷体" w:cs="楷体" w:hint="eastAsia"/>
          <w:sz w:val="28"/>
          <w:szCs w:val="28"/>
        </w:rPr>
        <w:t>3</w:t>
      </w:r>
      <w:r>
        <w:rPr>
          <w:rFonts w:ascii="楷体" w:eastAsia="楷体" w:hAnsi="楷体" w:cs="楷体" w:hint="eastAsia"/>
          <w:sz w:val="28"/>
          <w:szCs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《浙江省高级人民法院执行局关于规范不动产网络司法拍卖、变卖工作指引》（浙高法</w:t>
      </w:r>
      <w:r>
        <w:rPr>
          <w:rFonts w:ascii="楷体" w:eastAsia="楷体" w:hAnsi="楷体" w:cs="楷体" w:hint="eastAsia"/>
          <w:sz w:val="28"/>
        </w:rPr>
        <w:t>执</w:t>
      </w:r>
      <w:r>
        <w:rPr>
          <w:rFonts w:ascii="楷体" w:eastAsia="楷体" w:hAnsi="楷体" w:cs="楷体" w:hint="eastAsia"/>
          <w:sz w:val="28"/>
        </w:rPr>
        <w:t>[2020]6</w:t>
      </w:r>
      <w:r>
        <w:rPr>
          <w:rFonts w:ascii="楷体" w:eastAsia="楷体" w:hAnsi="楷体" w:cs="楷体" w:hint="eastAsia"/>
          <w:sz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《房屋完损等级评定标准（试行）》（</w:t>
      </w:r>
      <w:r>
        <w:rPr>
          <w:rFonts w:ascii="楷体" w:eastAsia="楷体" w:hAnsi="楷体" w:cs="楷体" w:hint="eastAsia"/>
          <w:sz w:val="28"/>
        </w:rPr>
        <w:t>1984</w:t>
      </w:r>
      <w:r>
        <w:rPr>
          <w:rFonts w:ascii="楷体" w:eastAsia="楷体" w:hAnsi="楷体" w:cs="楷体" w:hint="eastAsia"/>
          <w:sz w:val="28"/>
        </w:rPr>
        <w:t>年</w:t>
      </w:r>
      <w:r>
        <w:rPr>
          <w:rFonts w:ascii="楷体" w:eastAsia="楷体" w:hAnsi="楷体" w:cs="楷体" w:hint="eastAsia"/>
          <w:sz w:val="28"/>
        </w:rPr>
        <w:t xml:space="preserve"> </w:t>
      </w:r>
      <w:r>
        <w:rPr>
          <w:rFonts w:ascii="楷体" w:eastAsia="楷体" w:hAnsi="楷体" w:cs="楷体" w:hint="eastAsia"/>
          <w:sz w:val="28"/>
        </w:rPr>
        <w:t>城住字</w:t>
      </w:r>
      <w:r>
        <w:rPr>
          <w:rFonts w:ascii="楷体" w:eastAsia="楷体" w:hAnsi="楷体" w:cs="楷体" w:hint="eastAsia"/>
          <w:sz w:val="28"/>
        </w:rPr>
        <w:t>[1984]</w:t>
      </w:r>
      <w:r>
        <w:rPr>
          <w:rFonts w:ascii="楷体" w:eastAsia="楷体" w:hAnsi="楷体" w:cs="楷体" w:hint="eastAsia"/>
          <w:sz w:val="28"/>
        </w:rPr>
        <w:t>第</w:t>
      </w:r>
      <w:r>
        <w:rPr>
          <w:rFonts w:ascii="楷体" w:eastAsia="楷体" w:hAnsi="楷体" w:cs="楷体" w:hint="eastAsia"/>
          <w:sz w:val="28"/>
        </w:rPr>
        <w:t>678</w:t>
      </w:r>
      <w:r>
        <w:rPr>
          <w:rFonts w:ascii="楷体" w:eastAsia="楷体" w:hAnsi="楷体" w:cs="楷体" w:hint="eastAsia"/>
          <w:sz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《关于全面推开营业税改征增值税试点的通知》（</w:t>
      </w:r>
      <w:r>
        <w:rPr>
          <w:rFonts w:ascii="楷体" w:eastAsia="楷体" w:hAnsi="楷体" w:cs="楷体" w:hint="eastAsia"/>
          <w:sz w:val="28"/>
        </w:rPr>
        <w:t>2016</w:t>
      </w:r>
      <w:r>
        <w:rPr>
          <w:rFonts w:ascii="楷体" w:eastAsia="楷体" w:hAnsi="楷体" w:cs="楷体" w:hint="eastAsia"/>
          <w:sz w:val="28"/>
        </w:rPr>
        <w:t>年</w:t>
      </w:r>
      <w:r>
        <w:rPr>
          <w:rFonts w:ascii="楷体" w:eastAsia="楷体" w:hAnsi="楷体" w:cs="楷体" w:hint="eastAsia"/>
          <w:sz w:val="28"/>
        </w:rPr>
        <w:t>3</w:t>
      </w:r>
      <w:r>
        <w:rPr>
          <w:rFonts w:ascii="楷体" w:eastAsia="楷体" w:hAnsi="楷体" w:cs="楷体" w:hint="eastAsia"/>
          <w:sz w:val="28"/>
        </w:rPr>
        <w:t>月</w:t>
      </w:r>
      <w:r>
        <w:rPr>
          <w:rFonts w:ascii="楷体" w:eastAsia="楷体" w:hAnsi="楷体" w:cs="楷体" w:hint="eastAsia"/>
          <w:sz w:val="28"/>
        </w:rPr>
        <w:t>23</w:t>
      </w:r>
      <w:r>
        <w:rPr>
          <w:rFonts w:ascii="楷体" w:eastAsia="楷体" w:hAnsi="楷体" w:cs="楷体" w:hint="eastAsia"/>
          <w:sz w:val="28"/>
        </w:rPr>
        <w:t>日中国财政部和国家税务总局联合发布的财税</w:t>
      </w:r>
      <w:r>
        <w:rPr>
          <w:rFonts w:ascii="楷体" w:eastAsia="楷体" w:hAnsi="楷体" w:cs="楷体" w:hint="eastAsia"/>
          <w:sz w:val="28"/>
        </w:rPr>
        <w:t>[2016]36</w:t>
      </w:r>
      <w:r>
        <w:rPr>
          <w:rFonts w:ascii="楷体" w:eastAsia="楷体" w:hAnsi="楷体" w:cs="楷体" w:hint="eastAsia"/>
          <w:sz w:val="28"/>
        </w:rPr>
        <w:t>号）；</w:t>
      </w:r>
    </w:p>
    <w:p w:rsidR="008A54E3" w:rsidRDefault="000F2545">
      <w:pPr>
        <w:numPr>
          <w:ilvl w:val="0"/>
          <w:numId w:val="7"/>
        </w:numPr>
        <w:autoSpaceDE w:val="0"/>
        <w:adjustRightInd w:val="0"/>
        <w:snapToGrid w:val="0"/>
        <w:spacing w:line="630" w:lineRule="exact"/>
        <w:textAlignment w:val="bottom"/>
        <w:rPr>
          <w:rFonts w:ascii="楷体" w:eastAsia="楷体" w:hAnsi="楷体" w:cs="楷体"/>
          <w:sz w:val="28"/>
        </w:rPr>
      </w:pPr>
      <w:r>
        <w:rPr>
          <w:rFonts w:ascii="楷体" w:eastAsia="楷体" w:hAnsi="楷体" w:cs="楷体" w:hint="eastAsia"/>
          <w:sz w:val="28"/>
        </w:rPr>
        <w:t>《关于营改增后契税、房产税、土地增值税、个人所得税计税依据问题的通知》（</w:t>
      </w:r>
      <w:r>
        <w:rPr>
          <w:rFonts w:ascii="楷体" w:eastAsia="楷体" w:hAnsi="楷体" w:cs="楷体" w:hint="eastAsia"/>
          <w:sz w:val="28"/>
        </w:rPr>
        <w:t>2016</w:t>
      </w:r>
      <w:r>
        <w:rPr>
          <w:rFonts w:ascii="楷体" w:eastAsia="楷体" w:hAnsi="楷体" w:cs="楷体" w:hint="eastAsia"/>
          <w:sz w:val="28"/>
        </w:rPr>
        <w:t>年</w:t>
      </w:r>
      <w:r>
        <w:rPr>
          <w:rFonts w:ascii="楷体" w:eastAsia="楷体" w:hAnsi="楷体" w:cs="楷体" w:hint="eastAsia"/>
          <w:sz w:val="28"/>
        </w:rPr>
        <w:t>4</w:t>
      </w:r>
      <w:r>
        <w:rPr>
          <w:rFonts w:ascii="楷体" w:eastAsia="楷体" w:hAnsi="楷体" w:cs="楷体" w:hint="eastAsia"/>
          <w:sz w:val="28"/>
        </w:rPr>
        <w:t>月</w:t>
      </w:r>
      <w:r>
        <w:rPr>
          <w:rFonts w:ascii="楷体" w:eastAsia="楷体" w:hAnsi="楷体" w:cs="楷体" w:hint="eastAsia"/>
          <w:sz w:val="28"/>
        </w:rPr>
        <w:t>25</w:t>
      </w:r>
      <w:r>
        <w:rPr>
          <w:rFonts w:ascii="楷体" w:eastAsia="楷体" w:hAnsi="楷体" w:cs="楷体" w:hint="eastAsia"/>
          <w:sz w:val="28"/>
        </w:rPr>
        <w:t>日</w:t>
      </w:r>
      <w:r>
        <w:rPr>
          <w:rFonts w:ascii="楷体" w:eastAsia="楷体" w:hAnsi="楷体" w:cs="楷体" w:hint="eastAsia"/>
          <w:sz w:val="28"/>
        </w:rPr>
        <w:t xml:space="preserve"> </w:t>
      </w:r>
      <w:r>
        <w:rPr>
          <w:rFonts w:ascii="楷体" w:eastAsia="楷体" w:hAnsi="楷体" w:cs="楷体" w:hint="eastAsia"/>
          <w:sz w:val="28"/>
        </w:rPr>
        <w:t>由中国财政部和国家税务总局联合发布的财税</w:t>
      </w:r>
      <w:r>
        <w:rPr>
          <w:rFonts w:ascii="楷体" w:eastAsia="楷体" w:hAnsi="楷体" w:cs="楷体" w:hint="eastAsia"/>
          <w:sz w:val="28"/>
        </w:rPr>
        <w:t>[2016]43</w:t>
      </w:r>
      <w:r>
        <w:rPr>
          <w:rFonts w:ascii="楷体" w:eastAsia="楷体" w:hAnsi="楷体" w:cs="楷体" w:hint="eastAsia"/>
          <w:sz w:val="28"/>
        </w:rPr>
        <w:t>号）；</w:t>
      </w:r>
    </w:p>
    <w:p w:rsidR="008A54E3" w:rsidRDefault="000F2545">
      <w:pPr>
        <w:numPr>
          <w:ilvl w:val="0"/>
          <w:numId w:val="7"/>
        </w:numPr>
        <w:adjustRightInd w:val="0"/>
        <w:snapToGrid w:val="0"/>
        <w:spacing w:line="630" w:lineRule="exact"/>
        <w:rPr>
          <w:rFonts w:ascii="楷体" w:eastAsia="楷体" w:hAnsi="楷体"/>
          <w:sz w:val="28"/>
        </w:rPr>
      </w:pPr>
      <w:r>
        <w:rPr>
          <w:rFonts w:ascii="楷体" w:eastAsia="楷体" w:hAnsi="楷体" w:cs="楷体" w:hint="eastAsia"/>
          <w:color w:val="000000"/>
          <w:sz w:val="28"/>
          <w:szCs w:val="28"/>
        </w:rPr>
        <w:t>（</w:t>
      </w:r>
      <w:r>
        <w:rPr>
          <w:rFonts w:ascii="楷体" w:eastAsia="楷体" w:hAnsi="楷体" w:cs="楷体" w:hint="eastAsia"/>
          <w:color w:val="000000"/>
          <w:sz w:val="28"/>
          <w:szCs w:val="28"/>
        </w:rPr>
        <w:t>2021</w:t>
      </w:r>
      <w:r>
        <w:rPr>
          <w:rFonts w:ascii="楷体" w:eastAsia="楷体" w:hAnsi="楷体" w:cs="楷体" w:hint="eastAsia"/>
          <w:color w:val="000000"/>
          <w:sz w:val="28"/>
          <w:szCs w:val="28"/>
        </w:rPr>
        <w:t>）浙</w:t>
      </w:r>
      <w:r>
        <w:rPr>
          <w:rFonts w:ascii="楷体" w:eastAsia="楷体" w:hAnsi="楷体" w:cs="楷体" w:hint="eastAsia"/>
          <w:color w:val="000000"/>
          <w:sz w:val="28"/>
          <w:szCs w:val="28"/>
        </w:rPr>
        <w:t xml:space="preserve"> 0112</w:t>
      </w:r>
      <w:r>
        <w:rPr>
          <w:rFonts w:ascii="楷体" w:eastAsia="楷体" w:hAnsi="楷体" w:cs="楷体" w:hint="eastAsia"/>
          <w:color w:val="000000"/>
          <w:sz w:val="28"/>
          <w:szCs w:val="28"/>
        </w:rPr>
        <w:t>执</w:t>
      </w:r>
      <w:r>
        <w:rPr>
          <w:rFonts w:ascii="楷体" w:eastAsia="楷体" w:hAnsi="楷体" w:cs="楷体" w:hint="eastAsia"/>
          <w:color w:val="000000"/>
          <w:sz w:val="28"/>
          <w:szCs w:val="28"/>
        </w:rPr>
        <w:t>1369</w:t>
      </w:r>
      <w:r>
        <w:rPr>
          <w:rFonts w:ascii="楷体" w:eastAsia="楷体" w:hAnsi="楷体" w:cs="楷体" w:hint="eastAsia"/>
          <w:color w:val="000000"/>
          <w:sz w:val="28"/>
          <w:szCs w:val="28"/>
        </w:rPr>
        <w:t>号</w:t>
      </w:r>
      <w:r>
        <w:rPr>
          <w:rFonts w:ascii="楷体" w:eastAsia="楷体" w:hAnsi="楷体" w:hint="eastAsia"/>
          <w:sz w:val="28"/>
        </w:rPr>
        <w:t>《委托书》；</w:t>
      </w:r>
    </w:p>
    <w:p w:rsidR="008A54E3" w:rsidRDefault="000F2545">
      <w:pPr>
        <w:numPr>
          <w:ilvl w:val="0"/>
          <w:numId w:val="7"/>
        </w:numPr>
        <w:adjustRightInd w:val="0"/>
        <w:snapToGrid w:val="0"/>
        <w:spacing w:line="630" w:lineRule="exact"/>
        <w:rPr>
          <w:rFonts w:ascii="楷体" w:eastAsia="楷体" w:hAnsi="楷体"/>
          <w:sz w:val="28"/>
        </w:rPr>
      </w:pP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 w:eastAsia="楷体" w:hAnsi="楷体" w:hint="eastAsia"/>
          <w:sz w:val="28"/>
        </w:rPr>
        <w:t>复印件</w:t>
      </w:r>
      <w:r>
        <w:rPr>
          <w:rFonts w:ascii="楷体" w:eastAsia="楷体" w:hAnsi="楷体" w:hint="eastAsia"/>
          <w:sz w:val="28"/>
        </w:rPr>
        <w:t>；</w:t>
      </w:r>
      <w:bookmarkStart w:id="83" w:name="_GoBack"/>
      <w:bookmarkEnd w:id="83"/>
    </w:p>
    <w:p w:rsidR="008A54E3" w:rsidRDefault="000F2545">
      <w:pPr>
        <w:numPr>
          <w:ilvl w:val="0"/>
          <w:numId w:val="7"/>
        </w:numPr>
        <w:autoSpaceDE w:val="0"/>
        <w:adjustRightInd w:val="0"/>
        <w:snapToGrid w:val="0"/>
        <w:spacing w:line="630" w:lineRule="exact"/>
        <w:textAlignment w:val="bottom"/>
        <w:rPr>
          <w:rFonts w:ascii="楷体" w:eastAsia="楷体" w:hAnsi="楷体"/>
          <w:w w:val="90"/>
          <w:sz w:val="28"/>
          <w:szCs w:val="22"/>
        </w:rPr>
      </w:pPr>
      <w:r>
        <w:rPr>
          <w:rFonts w:ascii="楷体" w:eastAsia="楷体" w:hAnsi="楷体" w:hint="eastAsia"/>
          <w:w w:val="90"/>
          <w:sz w:val="28"/>
          <w:szCs w:val="22"/>
        </w:rPr>
        <w:t>本公司注册房地产估价师现场查勘、掌握和搜集的有关资</w:t>
      </w:r>
      <w:r>
        <w:rPr>
          <w:rFonts w:ascii="楷体" w:eastAsia="楷体" w:hAnsi="楷体" w:hint="eastAsia"/>
          <w:w w:val="90"/>
          <w:sz w:val="28"/>
          <w:szCs w:val="22"/>
        </w:rPr>
        <w:t>料</w:t>
      </w:r>
      <w:r>
        <w:rPr>
          <w:rFonts w:ascii="楷体" w:eastAsia="楷体" w:hAnsi="楷体" w:hint="eastAsia"/>
          <w:w w:val="90"/>
          <w:sz w:val="28"/>
          <w:szCs w:val="22"/>
        </w:rPr>
        <w:t>。</w:t>
      </w:r>
    </w:p>
    <w:p w:rsidR="008A54E3" w:rsidRDefault="000F2545" w:rsidP="0090314D">
      <w:pPr>
        <w:pStyle w:val="2"/>
        <w:spacing w:beforeLines="50" w:afterLines="50" w:line="630" w:lineRule="exact"/>
        <w:rPr>
          <w:b w:val="0"/>
        </w:rPr>
      </w:pPr>
      <w:bookmarkStart w:id="84" w:name="_Toc21672"/>
      <w:r>
        <w:rPr>
          <w:rFonts w:hint="eastAsia"/>
          <w:bCs w:val="0"/>
        </w:rPr>
        <w:lastRenderedPageBreak/>
        <w:t>九、</w:t>
      </w:r>
      <w:r>
        <w:rPr>
          <w:rFonts w:hint="eastAsia"/>
          <w:bCs w:val="0"/>
        </w:rPr>
        <w:t>估价方法</w:t>
      </w:r>
      <w:bookmarkEnd w:id="80"/>
      <w:bookmarkEnd w:id="81"/>
      <w:bookmarkEnd w:id="82"/>
      <w:bookmarkEnd w:id="84"/>
    </w:p>
    <w:p w:rsidR="008A54E3" w:rsidRDefault="000F2545">
      <w:pPr>
        <w:spacing w:line="630" w:lineRule="exact"/>
        <w:ind w:firstLineChars="200" w:firstLine="560"/>
        <w:rPr>
          <w:rFonts w:ascii="楷体" w:eastAsia="楷体" w:hAnsi="楷体" w:cs="楷体"/>
          <w:sz w:val="28"/>
        </w:rPr>
      </w:pPr>
      <w:bookmarkStart w:id="85" w:name="_Toc29555"/>
      <w:bookmarkStart w:id="86" w:name="_Toc17836"/>
      <w:r>
        <w:rPr>
          <w:rFonts w:ascii="楷体" w:eastAsia="楷体" w:hAnsi="楷体" w:cs="楷体" w:hint="eastAsia"/>
          <w:sz w:val="28"/>
        </w:rPr>
        <w:t>（一）估价方法选择</w:t>
      </w:r>
      <w:bookmarkEnd w:id="85"/>
      <w:bookmarkEnd w:id="86"/>
    </w:p>
    <w:p w:rsidR="008A54E3" w:rsidRDefault="000F2545">
      <w:pPr>
        <w:autoSpaceDE w:val="0"/>
        <w:spacing w:line="630" w:lineRule="exact"/>
        <w:ind w:firstLineChars="200" w:firstLine="560"/>
        <w:textAlignment w:val="bottom"/>
        <w:rPr>
          <w:rFonts w:ascii="楷体" w:eastAsia="楷体" w:hAnsi="楷体"/>
          <w:sz w:val="28"/>
        </w:rPr>
      </w:pPr>
      <w:r>
        <w:rPr>
          <w:rFonts w:ascii="楷体" w:eastAsia="楷体" w:hAnsi="楷体" w:hint="eastAsia"/>
          <w:sz w:val="28"/>
        </w:rPr>
        <w:t>依照国家行业标准《房地产估价规范》，通常的估价方法有比较法、收益法、假设开发法、成本法等。其中估价对象的同类房地产有较多交易的，应选用比较法；估价对象或其同类房地产通常有租金等经济收益的，应选用收益法；估价对象可假定为独立的开发建设项目进行重新开发建设的宜选用成本法；估价对象具有开发或再开发潜力且开发完成后的价值可采用成本法以外的方法测算的，应选用假设开发法。</w:t>
      </w:r>
    </w:p>
    <w:p w:rsidR="008A54E3" w:rsidRDefault="000F2545">
      <w:pPr>
        <w:autoSpaceDE w:val="0"/>
        <w:spacing w:line="630" w:lineRule="exact"/>
        <w:ind w:firstLineChars="200" w:firstLine="560"/>
        <w:textAlignment w:val="bottom"/>
        <w:rPr>
          <w:rFonts w:ascii="楷体" w:eastAsia="楷体" w:hAnsi="楷体"/>
          <w:sz w:val="28"/>
        </w:rPr>
      </w:pPr>
      <w:bookmarkStart w:id="87" w:name="_Toc3616"/>
      <w:bookmarkStart w:id="88" w:name="_Toc451175956"/>
      <w:r>
        <w:rPr>
          <w:rFonts w:ascii="楷体" w:eastAsia="楷体" w:hAnsi="楷体" w:hint="eastAsia"/>
          <w:sz w:val="28"/>
        </w:rPr>
        <w:t>根据估价委托人提供的资料及注册房地产估价师实地查勘、市场调查和了解的政策、规划等有关资料，在遵循估价原则的基础上，深入细致地分析了估价对象的特点和实</w:t>
      </w:r>
      <w:r>
        <w:rPr>
          <w:rFonts w:ascii="楷体" w:eastAsia="楷体" w:hAnsi="楷体" w:hint="eastAsia"/>
          <w:sz w:val="28"/>
        </w:rPr>
        <w:t>际状况，采用比较法</w:t>
      </w:r>
      <w:r>
        <w:rPr>
          <w:rFonts w:ascii="楷体" w:eastAsia="楷体" w:hAnsi="楷体" w:hint="eastAsia"/>
          <w:sz w:val="28"/>
        </w:rPr>
        <w:t>和收益法</w:t>
      </w:r>
      <w:r>
        <w:rPr>
          <w:rFonts w:ascii="楷体" w:eastAsia="楷体" w:hAnsi="楷体" w:hint="eastAsia"/>
          <w:sz w:val="28"/>
        </w:rPr>
        <w:t>进行测算分析确定本次估价结果。</w:t>
      </w:r>
    </w:p>
    <w:p w:rsidR="008A54E3" w:rsidRDefault="000F2545">
      <w:pPr>
        <w:spacing w:line="630" w:lineRule="exact"/>
        <w:ind w:firstLineChars="200" w:firstLine="560"/>
        <w:rPr>
          <w:rFonts w:ascii="楷体" w:eastAsia="楷体" w:hAnsi="楷体"/>
          <w:sz w:val="28"/>
          <w:szCs w:val="28"/>
        </w:rPr>
      </w:pPr>
      <w:r>
        <w:rPr>
          <w:rFonts w:ascii="楷体" w:eastAsia="楷体" w:hAnsi="楷体" w:hint="eastAsia"/>
          <w:sz w:val="28"/>
          <w:szCs w:val="28"/>
        </w:rPr>
        <w:t>估价对象所在</w:t>
      </w:r>
      <w:r>
        <w:rPr>
          <w:rFonts w:ascii="楷体" w:eastAsia="楷体" w:hint="eastAsia"/>
          <w:sz w:val="28"/>
          <w:szCs w:val="28"/>
        </w:rPr>
        <w:t>区域</w:t>
      </w:r>
      <w:r>
        <w:rPr>
          <w:rFonts w:ascii="楷体" w:eastAsia="楷体" w:hint="eastAsia"/>
          <w:sz w:val="28"/>
          <w:szCs w:val="28"/>
        </w:rPr>
        <w:t>住宅</w:t>
      </w:r>
      <w:r>
        <w:rPr>
          <w:rFonts w:ascii="楷体" w:eastAsia="楷体" w:hAnsi="楷体" w:hint="eastAsia"/>
          <w:sz w:val="28"/>
          <w:szCs w:val="28"/>
        </w:rPr>
        <w:t>配套车库</w:t>
      </w:r>
      <w:r>
        <w:rPr>
          <w:rFonts w:ascii="楷体" w:eastAsia="楷体" w:hint="eastAsia"/>
          <w:sz w:val="28"/>
          <w:szCs w:val="28"/>
        </w:rPr>
        <w:t>类</w:t>
      </w:r>
      <w:r>
        <w:rPr>
          <w:rFonts w:ascii="楷体" w:eastAsia="楷体" w:hAnsi="楷体" w:hint="eastAsia"/>
          <w:sz w:val="28"/>
          <w:szCs w:val="28"/>
        </w:rPr>
        <w:t>房地产市场较活跃，交易量较大，较易取得交易案例，符合比较法的应用条件，因此可采用比较法作为估价方法；</w:t>
      </w:r>
    </w:p>
    <w:p w:rsidR="008A54E3" w:rsidRDefault="000F2545">
      <w:pPr>
        <w:spacing w:line="630" w:lineRule="exact"/>
        <w:ind w:firstLineChars="200" w:firstLine="560"/>
        <w:rPr>
          <w:rFonts w:ascii="楷体" w:eastAsia="楷体" w:hAnsi="楷体"/>
          <w:sz w:val="28"/>
          <w:szCs w:val="28"/>
        </w:rPr>
      </w:pPr>
      <w:r>
        <w:rPr>
          <w:rFonts w:ascii="楷体" w:eastAsia="楷体" w:hAnsi="楷体" w:hint="eastAsia"/>
          <w:sz w:val="28"/>
          <w:szCs w:val="28"/>
        </w:rPr>
        <w:t>估价对象</w:t>
      </w:r>
      <w:r>
        <w:rPr>
          <w:rFonts w:ascii="楷体" w:eastAsia="楷体" w:hAnsi="楷体" w:hint="eastAsia"/>
          <w:sz w:val="28"/>
          <w:szCs w:val="28"/>
        </w:rPr>
        <w:t>为住宅</w:t>
      </w:r>
      <w:r>
        <w:rPr>
          <w:rFonts w:ascii="楷体" w:eastAsia="楷体" w:hAnsi="楷体" w:hint="eastAsia"/>
          <w:sz w:val="28"/>
          <w:szCs w:val="28"/>
        </w:rPr>
        <w:t>配套车库</w:t>
      </w:r>
      <w:r>
        <w:rPr>
          <w:rFonts w:ascii="楷体" w:eastAsia="楷体" w:hAnsi="楷体" w:hint="eastAsia"/>
          <w:sz w:val="28"/>
          <w:szCs w:val="28"/>
        </w:rPr>
        <w:t>房地产</w:t>
      </w:r>
      <w:r>
        <w:rPr>
          <w:rFonts w:ascii="楷体" w:eastAsia="楷体" w:hAnsi="楷体" w:hint="eastAsia"/>
          <w:sz w:val="28"/>
          <w:szCs w:val="28"/>
        </w:rPr>
        <w:t>，具有现实和潜在收益，可以根据周边类似房地产的收益价格进行相应调整，得出估价对象对应的客观收益，符合收益法的应用条件，可采用收益法作为估价方法；</w:t>
      </w:r>
    </w:p>
    <w:p w:rsidR="008A54E3" w:rsidRDefault="000F2545">
      <w:pPr>
        <w:spacing w:line="630" w:lineRule="exact"/>
        <w:ind w:firstLineChars="200" w:firstLine="560"/>
        <w:rPr>
          <w:rFonts w:ascii="楷体" w:eastAsia="楷体" w:hAnsi="楷体"/>
          <w:sz w:val="28"/>
          <w:szCs w:val="28"/>
        </w:rPr>
      </w:pPr>
      <w:r>
        <w:rPr>
          <w:rFonts w:ascii="楷体" w:eastAsia="楷体" w:hAnsi="楷体" w:hint="eastAsia"/>
          <w:sz w:val="28"/>
          <w:szCs w:val="28"/>
        </w:rPr>
        <w:t>估价对象为住宅</w:t>
      </w:r>
      <w:r>
        <w:rPr>
          <w:rFonts w:ascii="楷体" w:eastAsia="楷体" w:hAnsi="楷体" w:hint="eastAsia"/>
          <w:sz w:val="28"/>
          <w:szCs w:val="28"/>
        </w:rPr>
        <w:t>配套车库</w:t>
      </w:r>
      <w:r>
        <w:rPr>
          <w:rFonts w:ascii="楷体" w:eastAsia="楷体" w:hAnsi="楷体" w:hint="eastAsia"/>
          <w:sz w:val="28"/>
          <w:szCs w:val="28"/>
        </w:rPr>
        <w:t>房地产，其市场价值受区域经济发展状况、市场供需状况、公共配套</w:t>
      </w:r>
      <w:r>
        <w:rPr>
          <w:rFonts w:ascii="楷体" w:eastAsia="楷体" w:hAnsi="楷体" w:hint="eastAsia"/>
          <w:sz w:val="28"/>
          <w:szCs w:val="28"/>
        </w:rPr>
        <w:t>、</w:t>
      </w:r>
      <w:r>
        <w:rPr>
          <w:rFonts w:ascii="楷体" w:eastAsia="楷体" w:hAnsi="楷体" w:hint="eastAsia"/>
          <w:sz w:val="28"/>
          <w:szCs w:val="28"/>
        </w:rPr>
        <w:t>物业管理</w:t>
      </w:r>
      <w:r>
        <w:rPr>
          <w:rFonts w:ascii="楷体" w:eastAsia="楷体" w:hAnsi="楷体" w:hint="eastAsia"/>
          <w:sz w:val="28"/>
          <w:szCs w:val="28"/>
        </w:rPr>
        <w:t>等非成本因素影响较大，与其直接成本关联性较弱，其成本价值不能客观反映其市场价值，因此</w:t>
      </w:r>
      <w:r>
        <w:rPr>
          <w:rFonts w:ascii="楷体" w:eastAsia="楷体" w:hAnsi="楷体" w:hint="eastAsia"/>
          <w:sz w:val="28"/>
          <w:szCs w:val="28"/>
        </w:rPr>
        <w:lastRenderedPageBreak/>
        <w:t>不宜采用成本法</w:t>
      </w:r>
      <w:r>
        <w:rPr>
          <w:rFonts w:ascii="楷体" w:eastAsia="楷体" w:hAnsi="楷体" w:hint="eastAsia"/>
          <w:sz w:val="28"/>
          <w:szCs w:val="28"/>
        </w:rPr>
        <w:t>对估价对象房地产市场价值</w:t>
      </w:r>
      <w:r>
        <w:rPr>
          <w:rFonts w:ascii="楷体" w:eastAsia="楷体" w:hAnsi="楷体" w:hint="eastAsia"/>
          <w:sz w:val="28"/>
          <w:szCs w:val="28"/>
        </w:rPr>
        <w:t>进行估价</w:t>
      </w:r>
      <w:r>
        <w:rPr>
          <w:rFonts w:ascii="楷体" w:eastAsia="楷体" w:hAnsi="楷体" w:hint="eastAsia"/>
          <w:sz w:val="28"/>
          <w:szCs w:val="28"/>
        </w:rPr>
        <w:t>。</w:t>
      </w:r>
    </w:p>
    <w:p w:rsidR="008A54E3" w:rsidRDefault="000F2545">
      <w:pPr>
        <w:spacing w:line="630" w:lineRule="exact"/>
        <w:ind w:firstLineChars="200" w:firstLine="560"/>
        <w:rPr>
          <w:rFonts w:ascii="楷体" w:eastAsia="楷体" w:hAnsi="楷体"/>
          <w:sz w:val="28"/>
          <w:szCs w:val="28"/>
        </w:rPr>
      </w:pPr>
      <w:r>
        <w:rPr>
          <w:rFonts w:ascii="楷体" w:eastAsia="楷体" w:hAnsi="楷体" w:hint="eastAsia"/>
          <w:sz w:val="28"/>
          <w:szCs w:val="28"/>
        </w:rPr>
        <w:t>估价对象为住宅</w:t>
      </w:r>
      <w:r>
        <w:rPr>
          <w:rFonts w:ascii="楷体" w:eastAsia="楷体" w:hAnsi="楷体" w:hint="eastAsia"/>
          <w:sz w:val="28"/>
          <w:szCs w:val="28"/>
        </w:rPr>
        <w:t>配套车库</w:t>
      </w:r>
      <w:r>
        <w:rPr>
          <w:rFonts w:ascii="楷体" w:eastAsia="楷体" w:hAnsi="楷体" w:hint="eastAsia"/>
          <w:sz w:val="28"/>
          <w:szCs w:val="28"/>
        </w:rPr>
        <w:t>房地产，目前已建成并处于正常使用状态，就目前状态，处于最佳使用，</w:t>
      </w:r>
      <w:r>
        <w:rPr>
          <w:rFonts w:ascii="楷体" w:eastAsia="楷体" w:hAnsi="楷体" w:hint="eastAsia"/>
          <w:sz w:val="28"/>
          <w:szCs w:val="28"/>
        </w:rPr>
        <w:t>重新开发不经济也不合理</w:t>
      </w:r>
      <w:r>
        <w:rPr>
          <w:rFonts w:ascii="楷体" w:eastAsia="楷体" w:hAnsi="楷体" w:hint="eastAsia"/>
          <w:sz w:val="28"/>
          <w:szCs w:val="28"/>
        </w:rPr>
        <w:t>，故不适合采用假设开发法进行估价。</w:t>
      </w:r>
    </w:p>
    <w:p w:rsidR="008A54E3" w:rsidRDefault="000F2545">
      <w:pPr>
        <w:pStyle w:val="20"/>
        <w:topLinePunct/>
        <w:adjustRightInd/>
        <w:spacing w:line="630" w:lineRule="exact"/>
        <w:rPr>
          <w:rFonts w:ascii="楷体" w:eastAsia="楷体" w:hAnsi="楷体"/>
          <w:szCs w:val="28"/>
        </w:rPr>
      </w:pPr>
      <w:bookmarkStart w:id="89" w:name="_Toc15520"/>
      <w:r>
        <w:rPr>
          <w:rFonts w:ascii="楷体" w:eastAsia="楷体" w:hAnsi="楷体" w:hint="eastAsia"/>
          <w:szCs w:val="28"/>
        </w:rPr>
        <w:t>（二）估价方法定义</w:t>
      </w:r>
      <w:bookmarkEnd w:id="87"/>
      <w:bookmarkEnd w:id="89"/>
    </w:p>
    <w:p w:rsidR="008A54E3" w:rsidRDefault="000F2545">
      <w:pPr>
        <w:pStyle w:val="20"/>
        <w:numPr>
          <w:ilvl w:val="0"/>
          <w:numId w:val="8"/>
        </w:numPr>
        <w:topLinePunct/>
        <w:adjustRightInd/>
        <w:spacing w:line="630" w:lineRule="exact"/>
        <w:ind w:firstLine="560"/>
        <w:rPr>
          <w:rFonts w:ascii="楷体" w:eastAsia="楷体" w:hAnsi="楷体"/>
          <w:szCs w:val="28"/>
        </w:rPr>
      </w:pPr>
      <w:bookmarkStart w:id="90" w:name="_Toc5498"/>
      <w:bookmarkStart w:id="91" w:name="_Toc27570"/>
      <w:bookmarkStart w:id="92" w:name="_Toc27098"/>
      <w:r>
        <w:rPr>
          <w:rFonts w:ascii="楷体" w:eastAsia="楷体" w:hAnsi="楷体" w:hint="eastAsia"/>
          <w:szCs w:val="28"/>
        </w:rPr>
        <w:t>比较法</w:t>
      </w:r>
    </w:p>
    <w:p w:rsidR="008A54E3" w:rsidRDefault="000F2545">
      <w:pPr>
        <w:tabs>
          <w:tab w:val="left" w:pos="720"/>
        </w:tabs>
        <w:spacing w:line="630" w:lineRule="exact"/>
        <w:ind w:firstLineChars="200" w:firstLine="560"/>
        <w:rPr>
          <w:rFonts w:ascii="楷体" w:eastAsia="楷体" w:hAnsi="楷体"/>
          <w:sz w:val="28"/>
          <w:szCs w:val="28"/>
        </w:rPr>
      </w:pPr>
      <w:r>
        <w:rPr>
          <w:rFonts w:ascii="楷体" w:eastAsia="楷体" w:hAnsi="楷体" w:hint="eastAsia"/>
          <w:sz w:val="28"/>
          <w:szCs w:val="28"/>
        </w:rPr>
        <w:t>所谓比较法是将估价对象与在价值时点近期有过交易的类似房地产进行比较，对这些类似房地产的已知价格作适当的修正，以此估算估价对象的客观合理价格或价值的方法。比较法的理论基础为替代原理。其基本计算公式如下：</w:t>
      </w:r>
    </w:p>
    <w:p w:rsidR="008A54E3" w:rsidRDefault="000F2545">
      <w:pPr>
        <w:spacing w:line="630" w:lineRule="exact"/>
        <w:ind w:firstLineChars="200" w:firstLine="560"/>
        <w:rPr>
          <w:rFonts w:ascii="楷体" w:eastAsia="楷体" w:hAnsi="楷体"/>
          <w:sz w:val="28"/>
          <w:szCs w:val="28"/>
        </w:rPr>
      </w:pPr>
      <w:r>
        <w:rPr>
          <w:rFonts w:ascii="楷体" w:eastAsia="楷体" w:hAnsi="楷体" w:hint="eastAsia"/>
          <w:sz w:val="28"/>
          <w:szCs w:val="28"/>
        </w:rPr>
        <w:t>房地</w:t>
      </w:r>
      <w:r>
        <w:rPr>
          <w:rFonts w:ascii="楷体" w:eastAsia="楷体" w:hAnsi="楷体" w:hint="eastAsia"/>
          <w:sz w:val="28"/>
          <w:szCs w:val="28"/>
        </w:rPr>
        <w:t>产价值</w:t>
      </w:r>
      <w:r>
        <w:rPr>
          <w:rFonts w:ascii="楷体" w:eastAsia="楷体" w:hAnsi="楷体" w:hint="eastAsia"/>
          <w:sz w:val="28"/>
          <w:szCs w:val="28"/>
        </w:rPr>
        <w:t>=</w:t>
      </w:r>
      <w:r>
        <w:rPr>
          <w:rFonts w:ascii="楷体" w:eastAsia="楷体" w:hAnsi="楷体" w:hint="eastAsia"/>
          <w:sz w:val="28"/>
          <w:szCs w:val="28"/>
        </w:rPr>
        <w:t>可比实例成交价格×交易情况修正系数×市场状况调整系数×房地产状况调整系数。</w:t>
      </w:r>
    </w:p>
    <w:p w:rsidR="008A54E3" w:rsidRDefault="000F2545">
      <w:pPr>
        <w:pStyle w:val="20"/>
        <w:topLinePunct/>
        <w:adjustRightInd/>
        <w:spacing w:line="630" w:lineRule="exact"/>
        <w:ind w:leftChars="200" w:left="420" w:firstLineChars="100" w:firstLine="280"/>
        <w:rPr>
          <w:rFonts w:ascii="楷体" w:eastAsia="楷体" w:hAnsi="楷体"/>
          <w:kern w:val="2"/>
          <w:szCs w:val="28"/>
        </w:rPr>
      </w:pPr>
      <w:r>
        <w:rPr>
          <w:rFonts w:ascii="楷体" w:eastAsia="楷体" w:hAnsi="楷体" w:hint="eastAsia"/>
          <w:kern w:val="2"/>
          <w:szCs w:val="28"/>
        </w:rPr>
        <w:t>2.</w:t>
      </w:r>
      <w:r>
        <w:rPr>
          <w:rFonts w:ascii="楷体" w:eastAsia="楷体" w:hAnsi="楷体" w:hint="eastAsia"/>
          <w:kern w:val="2"/>
          <w:szCs w:val="28"/>
        </w:rPr>
        <w:t>收益法</w:t>
      </w:r>
    </w:p>
    <w:p w:rsidR="008A54E3" w:rsidRDefault="000F2545">
      <w:pPr>
        <w:widowControl/>
        <w:autoSpaceDE w:val="0"/>
        <w:autoSpaceDN w:val="0"/>
        <w:spacing w:line="630" w:lineRule="exact"/>
        <w:ind w:right="57" w:firstLineChars="200" w:firstLine="560"/>
        <w:textAlignment w:val="bottom"/>
        <w:rPr>
          <w:rFonts w:ascii="楷体" w:eastAsia="楷体" w:hAnsi="楷体"/>
          <w:sz w:val="28"/>
          <w:szCs w:val="28"/>
        </w:rPr>
      </w:pPr>
      <w:r>
        <w:rPr>
          <w:rFonts w:ascii="楷体" w:eastAsia="楷体" w:hAnsi="楷体" w:hint="eastAsia"/>
          <w:sz w:val="28"/>
          <w:szCs w:val="28"/>
        </w:rPr>
        <w:t>收益法是预</w:t>
      </w:r>
      <w:r>
        <w:rPr>
          <w:rFonts w:ascii="楷体" w:eastAsia="楷体" w:hAnsi="楷体" w:hint="eastAsia"/>
          <w:sz w:val="28"/>
          <w:szCs w:val="28"/>
        </w:rPr>
        <w:t>侧</w:t>
      </w:r>
      <w:r>
        <w:rPr>
          <w:rFonts w:ascii="楷体" w:eastAsia="楷体" w:hAnsi="楷体" w:hint="eastAsia"/>
          <w:sz w:val="28"/>
          <w:szCs w:val="28"/>
        </w:rPr>
        <w:t>估价对象未来的正常净收益，选用适当的报酬率将其折现到价值时点后累加，以此估算估价对象的客观合理价格或价值的方法。</w:t>
      </w:r>
    </w:p>
    <w:p w:rsidR="008A54E3" w:rsidRDefault="000F2545">
      <w:pPr>
        <w:widowControl/>
        <w:autoSpaceDE w:val="0"/>
        <w:autoSpaceDN w:val="0"/>
        <w:spacing w:line="630" w:lineRule="exact"/>
        <w:ind w:right="57" w:firstLineChars="200" w:firstLine="560"/>
        <w:textAlignment w:val="bottom"/>
        <w:rPr>
          <w:rFonts w:ascii="楷体" w:eastAsia="楷体" w:hAnsi="楷体"/>
          <w:sz w:val="28"/>
          <w:szCs w:val="28"/>
        </w:rPr>
      </w:pPr>
      <w:r>
        <w:rPr>
          <w:rFonts w:ascii="楷体" w:eastAsia="楷体" w:hAnsi="楷体" w:hint="eastAsia"/>
          <w:sz w:val="28"/>
          <w:szCs w:val="28"/>
        </w:rPr>
        <w:t>根据《房地产估价规范》</w:t>
      </w:r>
      <w:r>
        <w:rPr>
          <w:rFonts w:ascii="楷体" w:eastAsia="楷体" w:hAnsi="楷体" w:hint="eastAsia"/>
          <w:sz w:val="28"/>
          <w:szCs w:val="28"/>
        </w:rPr>
        <w:t>4.3.2</w:t>
      </w:r>
      <w:r>
        <w:rPr>
          <w:rFonts w:ascii="楷体" w:eastAsia="楷体" w:hAnsi="楷体" w:hint="eastAsia"/>
          <w:sz w:val="28"/>
          <w:szCs w:val="28"/>
        </w:rPr>
        <w:t>条款内容“报酬资本化法估价时，应区分全剩余寿命模式和持有加转售模式。当收益期较长，难以预测该期限内各年净收益时，宜选用持有加转售模式”。本次估价选用持有加转售模式，拟采用如下计算公式：</w:t>
      </w:r>
      <w:r w:rsidR="008A54E3" w:rsidRPr="008A54E3">
        <w:rPr>
          <w:rFonts w:ascii="楷体" w:eastAsia="楷体" w:hAnsi="楷体"/>
          <w:position w:val="-22"/>
          <w:sz w:val="28"/>
          <w:szCs w:val="28"/>
        </w:rPr>
        <w:object w:dxaOrig="1819"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6.75pt" o:ole="">
            <v:imagedata r:id="rId11" o:title=""/>
            <o:lock v:ext="edit" aspectratio="f"/>
          </v:shape>
          <o:OLEObject Type="Embed" ProgID="Equation.3" ShapeID="_x0000_i1025" DrawAspect="Content" ObjectID="_1731398827" r:id="rId12"/>
        </w:object>
      </w:r>
    </w:p>
    <w:p w:rsidR="008A54E3" w:rsidRDefault="000F2545">
      <w:pPr>
        <w:widowControl/>
        <w:autoSpaceDE w:val="0"/>
        <w:autoSpaceDN w:val="0"/>
        <w:spacing w:line="630" w:lineRule="exact"/>
        <w:ind w:leftChars="200" w:left="420" w:right="57"/>
        <w:textAlignment w:val="bottom"/>
        <w:rPr>
          <w:rFonts w:ascii="楷体" w:eastAsia="楷体" w:hAnsi="楷体"/>
          <w:sz w:val="28"/>
          <w:szCs w:val="28"/>
        </w:rPr>
      </w:pPr>
      <w:r>
        <w:rPr>
          <w:rFonts w:ascii="楷体" w:eastAsia="楷体" w:hAnsi="楷体" w:hint="eastAsia"/>
          <w:sz w:val="28"/>
          <w:szCs w:val="28"/>
        </w:rPr>
        <w:t>式中：</w:t>
      </w:r>
      <w:r>
        <w:rPr>
          <w:rFonts w:ascii="楷体" w:eastAsia="楷体" w:hAnsi="楷体" w:hint="eastAsia"/>
          <w:sz w:val="28"/>
          <w:szCs w:val="28"/>
        </w:rPr>
        <w:t>V</w:t>
      </w:r>
      <w:r>
        <w:rPr>
          <w:rFonts w:ascii="楷体" w:eastAsia="楷体" w:hAnsi="楷体" w:hint="eastAsia"/>
          <w:sz w:val="28"/>
          <w:szCs w:val="28"/>
        </w:rPr>
        <w:t>—房地产现值；</w:t>
      </w:r>
    </w:p>
    <w:p w:rsidR="008A54E3" w:rsidRDefault="000F2545">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Pr>
          <w:rFonts w:ascii="楷体" w:eastAsia="楷体" w:hAnsi="楷体" w:hint="eastAsia"/>
          <w:sz w:val="28"/>
          <w:szCs w:val="28"/>
        </w:rPr>
        <w:t>t</w:t>
      </w:r>
      <w:r>
        <w:rPr>
          <w:rFonts w:ascii="楷体" w:eastAsia="楷体" w:hAnsi="楷体" w:hint="eastAsia"/>
          <w:sz w:val="28"/>
          <w:szCs w:val="28"/>
        </w:rPr>
        <w:t>—持有期；</w:t>
      </w:r>
    </w:p>
    <w:p w:rsidR="008A54E3" w:rsidRDefault="000F2545">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Pr>
          <w:rFonts w:ascii="楷体" w:eastAsia="楷体" w:hAnsi="楷体"/>
          <w:sz w:val="28"/>
          <w:szCs w:val="28"/>
        </w:rPr>
        <w:lastRenderedPageBreak/>
        <w:t>A</w:t>
      </w:r>
      <w:r>
        <w:rPr>
          <w:rFonts w:ascii="楷体" w:eastAsia="楷体" w:hAnsi="楷体"/>
          <w:sz w:val="28"/>
          <w:szCs w:val="28"/>
          <w:vertAlign w:val="subscript"/>
        </w:rPr>
        <w:t>n</w:t>
      </w:r>
      <w:r>
        <w:rPr>
          <w:rFonts w:ascii="楷体" w:eastAsia="楷体" w:hAnsi="楷体" w:hint="eastAsia"/>
          <w:sz w:val="28"/>
          <w:szCs w:val="28"/>
        </w:rPr>
        <w:t>—期间收益；</w:t>
      </w:r>
    </w:p>
    <w:p w:rsidR="008A54E3" w:rsidRDefault="000F2545">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Pr>
          <w:rFonts w:ascii="楷体" w:eastAsia="楷体" w:hAnsi="楷体"/>
          <w:sz w:val="28"/>
          <w:szCs w:val="28"/>
        </w:rPr>
        <w:t>V</w:t>
      </w:r>
      <w:r>
        <w:rPr>
          <w:rFonts w:ascii="楷体" w:eastAsia="楷体" w:hAnsi="楷体"/>
          <w:sz w:val="28"/>
          <w:szCs w:val="28"/>
          <w:vertAlign w:val="subscript"/>
        </w:rPr>
        <w:t>t</w:t>
      </w:r>
      <w:r>
        <w:rPr>
          <w:rFonts w:ascii="楷体" w:eastAsia="楷体" w:hAnsi="楷体" w:hint="eastAsia"/>
          <w:sz w:val="28"/>
          <w:szCs w:val="28"/>
        </w:rPr>
        <w:t>—期未转售收益；</w:t>
      </w:r>
    </w:p>
    <w:p w:rsidR="008A54E3" w:rsidRDefault="008A54E3">
      <w:pPr>
        <w:widowControl/>
        <w:autoSpaceDE w:val="0"/>
        <w:autoSpaceDN w:val="0"/>
        <w:spacing w:line="630" w:lineRule="exact"/>
        <w:ind w:leftChars="200" w:left="420" w:right="57" w:firstLineChars="305" w:firstLine="854"/>
        <w:textAlignment w:val="bottom"/>
        <w:rPr>
          <w:rFonts w:ascii="楷体" w:eastAsia="楷体" w:hAnsi="楷体"/>
          <w:sz w:val="28"/>
          <w:szCs w:val="28"/>
        </w:rPr>
      </w:pPr>
      <w:r w:rsidRPr="008A54E3">
        <w:rPr>
          <w:rFonts w:ascii="楷体" w:eastAsia="楷体" w:hAnsi="楷体"/>
          <w:sz w:val="28"/>
          <w:szCs w:val="28"/>
        </w:rPr>
        <w:object w:dxaOrig="139" w:dyaOrig="259">
          <v:shape id="_x0000_i1026" type="#_x0000_t75" style="width:6.75pt;height:12.75pt" o:ole="">
            <v:imagedata r:id="rId13" o:title=""/>
          </v:shape>
          <o:OLEObject Type="Embed" ProgID="Equation.3" ShapeID="_x0000_i1026" DrawAspect="Content" ObjectID="_1731398828" r:id="rId14"/>
        </w:object>
      </w:r>
      <w:r w:rsidR="000F2545">
        <w:rPr>
          <w:rFonts w:ascii="楷体" w:eastAsia="楷体" w:hAnsi="楷体" w:hint="eastAsia"/>
          <w:sz w:val="28"/>
          <w:szCs w:val="28"/>
        </w:rPr>
        <w:t>—持有期报酬率、期未报酬率。</w:t>
      </w:r>
    </w:p>
    <w:p w:rsidR="008A54E3" w:rsidRDefault="000F2545">
      <w:pPr>
        <w:pStyle w:val="2"/>
        <w:spacing w:line="630" w:lineRule="exact"/>
      </w:pPr>
      <w:r>
        <w:rPr>
          <w:rFonts w:hint="eastAsia"/>
        </w:rPr>
        <w:t>十、</w:t>
      </w:r>
      <w:r>
        <w:rPr>
          <w:rFonts w:hint="eastAsia"/>
        </w:rPr>
        <w:t>估价结果</w:t>
      </w:r>
      <w:bookmarkEnd w:id="88"/>
      <w:bookmarkEnd w:id="90"/>
      <w:bookmarkEnd w:id="91"/>
      <w:bookmarkEnd w:id="92"/>
    </w:p>
    <w:p w:rsidR="008A54E3" w:rsidRDefault="000F2545">
      <w:pPr>
        <w:spacing w:line="630" w:lineRule="exact"/>
        <w:ind w:firstLineChars="200" w:firstLine="560"/>
        <w:rPr>
          <w:rFonts w:ascii="楷体" w:eastAsia="楷体" w:hAnsi="楷体"/>
          <w:b/>
          <w:sz w:val="28"/>
        </w:rPr>
      </w:pPr>
      <w:bookmarkStart w:id="93" w:name="_Toc451175957"/>
      <w:bookmarkStart w:id="94" w:name="_Toc28138"/>
      <w:bookmarkStart w:id="95" w:name="_Toc11288"/>
      <w:r>
        <w:rPr>
          <w:rFonts w:ascii="楷体" w:eastAsia="楷体" w:hAnsi="楷体" w:cs="楷体" w:hint="eastAsia"/>
          <w:color w:val="000000" w:themeColor="text1"/>
          <w:sz w:val="28"/>
          <w:szCs w:val="28"/>
        </w:rPr>
        <w:t>注册房地估价师根据估价目的，经过实地查勘和市场调查，按照严谨的估价程序，遵循估价原则，运用了比较法</w:t>
      </w:r>
      <w:r>
        <w:rPr>
          <w:rFonts w:ascii="楷体" w:eastAsia="楷体" w:hAnsi="楷体" w:cs="楷体" w:hint="eastAsia"/>
          <w:color w:val="000000" w:themeColor="text1"/>
          <w:sz w:val="28"/>
          <w:szCs w:val="28"/>
        </w:rPr>
        <w:t>和收益法</w:t>
      </w:r>
      <w:r>
        <w:rPr>
          <w:rFonts w:ascii="楷体" w:eastAsia="楷体" w:hAnsi="楷体" w:cs="楷体" w:hint="eastAsia"/>
          <w:color w:val="000000" w:themeColor="text1"/>
          <w:sz w:val="28"/>
          <w:szCs w:val="28"/>
        </w:rPr>
        <w:t>进行了专业分析、测算和判断，确定估价对象在价值时点</w:t>
      </w:r>
      <w:r>
        <w:rPr>
          <w:rFonts w:ascii="楷体" w:eastAsia="楷体" w:hAnsi="楷体" w:cs="楷体" w:hint="eastAsia"/>
          <w:color w:val="000000" w:themeColor="text1"/>
          <w:sz w:val="28"/>
          <w:szCs w:val="28"/>
        </w:rPr>
        <w:t>二Ο二二年十月二十六日</w:t>
      </w:r>
      <w:r>
        <w:rPr>
          <w:rFonts w:ascii="楷体" w:eastAsia="楷体" w:hAnsi="楷体" w:cs="楷体" w:hint="eastAsia"/>
          <w:color w:val="000000" w:themeColor="text1"/>
          <w:sz w:val="28"/>
          <w:szCs w:val="28"/>
        </w:rPr>
        <w:t>（实地查勘</w:t>
      </w:r>
      <w:r>
        <w:rPr>
          <w:rFonts w:ascii="楷体" w:eastAsia="楷体" w:hAnsi="楷体" w:cs="楷体" w:hint="eastAsia"/>
          <w:color w:val="000000" w:themeColor="text1"/>
          <w:sz w:val="28"/>
          <w:szCs w:val="28"/>
        </w:rPr>
        <w:t>之</w:t>
      </w:r>
      <w:r>
        <w:rPr>
          <w:rFonts w:ascii="楷体" w:eastAsia="楷体" w:hAnsi="楷体" w:cs="楷体" w:hint="eastAsia"/>
          <w:color w:val="000000" w:themeColor="text1"/>
          <w:sz w:val="28"/>
          <w:szCs w:val="28"/>
        </w:rPr>
        <w:t>日）的市场价值</w:t>
      </w:r>
      <w:r>
        <w:rPr>
          <w:rFonts w:ascii="楷体" w:eastAsia="楷体" w:hAnsi="楷体" w:cs="楷体" w:hint="eastAsia"/>
          <w:color w:val="000000" w:themeColor="text1"/>
          <w:sz w:val="28"/>
          <w:szCs w:val="28"/>
        </w:rPr>
        <w:t>取整</w:t>
      </w:r>
      <w:r>
        <w:rPr>
          <w:rFonts w:ascii="楷体" w:eastAsia="楷体" w:hAnsi="楷体" w:cs="楷体" w:hint="eastAsia"/>
          <w:color w:val="000000" w:themeColor="text1"/>
          <w:sz w:val="28"/>
          <w:szCs w:val="28"/>
        </w:rPr>
        <w:t>为</w:t>
      </w:r>
      <w:r>
        <w:rPr>
          <w:rFonts w:ascii="楷体" w:eastAsia="楷体" w:hAnsi="楷体" w:hint="eastAsia"/>
          <w:b/>
          <w:sz w:val="28"/>
        </w:rPr>
        <w:t>人民币</w:t>
      </w:r>
      <w:r>
        <w:rPr>
          <w:rFonts w:ascii="楷体" w:eastAsia="楷体" w:hAnsi="楷体" w:hint="eastAsia"/>
          <w:b/>
          <w:sz w:val="28"/>
        </w:rPr>
        <w:t>21</w:t>
      </w:r>
      <w:r>
        <w:rPr>
          <w:rFonts w:ascii="楷体" w:eastAsia="楷体" w:hAnsi="楷体" w:hint="eastAsia"/>
          <w:b/>
          <w:sz w:val="28"/>
        </w:rPr>
        <w:t>万元整，大写为人民币</w:t>
      </w:r>
      <w:r w:rsidR="008A54E3">
        <w:rPr>
          <w:rFonts w:ascii="楷体" w:eastAsia="楷体" w:hAnsi="楷体" w:hint="eastAsia"/>
          <w:b/>
          <w:sz w:val="28"/>
        </w:rPr>
        <w:fldChar w:fldCharType="begin"/>
      </w:r>
      <w:r>
        <w:rPr>
          <w:rFonts w:ascii="楷体" w:eastAsia="楷体" w:hAnsi="楷体" w:hint="eastAsia"/>
          <w:b/>
          <w:sz w:val="28"/>
        </w:rPr>
        <w:instrText xml:space="preserve"> = 210000 \* CHINESENUM2 \* MERGEFORMAT </w:instrText>
      </w:r>
      <w:r w:rsidR="008A54E3">
        <w:rPr>
          <w:rFonts w:ascii="楷体" w:eastAsia="楷体" w:hAnsi="楷体" w:hint="eastAsia"/>
          <w:b/>
          <w:sz w:val="28"/>
        </w:rPr>
        <w:fldChar w:fldCharType="separate"/>
      </w:r>
      <w:r>
        <w:rPr>
          <w:rFonts w:ascii="楷体" w:eastAsia="楷体" w:hAnsi="楷体" w:hint="eastAsia"/>
          <w:b/>
          <w:sz w:val="28"/>
        </w:rPr>
        <w:t>贰拾壹万</w:t>
      </w:r>
      <w:r w:rsidR="008A54E3">
        <w:rPr>
          <w:rFonts w:ascii="楷体" w:eastAsia="楷体" w:hAnsi="楷体" w:hint="eastAsia"/>
          <w:b/>
          <w:sz w:val="28"/>
        </w:rPr>
        <w:fldChar w:fldCharType="end"/>
      </w:r>
      <w:r>
        <w:rPr>
          <w:rFonts w:ascii="楷体" w:eastAsia="楷体" w:hAnsi="楷体" w:hint="eastAsia"/>
          <w:b/>
          <w:sz w:val="28"/>
        </w:rPr>
        <w:t>元整。</w:t>
      </w:r>
    </w:p>
    <w:p w:rsidR="008A54E3" w:rsidRDefault="000F2545" w:rsidP="0090314D">
      <w:pPr>
        <w:pStyle w:val="2"/>
        <w:spacing w:beforeLines="50" w:afterLines="50" w:line="630" w:lineRule="exact"/>
      </w:pPr>
      <w:bookmarkStart w:id="96" w:name="_Toc7064"/>
      <w:r>
        <w:rPr>
          <w:rFonts w:hint="eastAsia"/>
        </w:rPr>
        <w:t>十一、</w:t>
      </w:r>
      <w:r>
        <w:rPr>
          <w:rFonts w:hint="eastAsia"/>
        </w:rPr>
        <w:t>注册房地产估价师</w:t>
      </w:r>
      <w:bookmarkEnd w:id="93"/>
      <w:bookmarkEnd w:id="94"/>
      <w:bookmarkEnd w:id="95"/>
      <w:bookmarkEnd w:id="96"/>
    </w:p>
    <w:tbl>
      <w:tblPr>
        <w:tblW w:w="8720" w:type="dxa"/>
        <w:jc w:val="center"/>
        <w:tblLayout w:type="fixed"/>
        <w:tblLook w:val="04A0"/>
      </w:tblPr>
      <w:tblGrid>
        <w:gridCol w:w="1449"/>
        <w:gridCol w:w="1921"/>
        <w:gridCol w:w="2708"/>
        <w:gridCol w:w="2642"/>
      </w:tblGrid>
      <w:tr w:rsidR="008A54E3">
        <w:trPr>
          <w:trHeight w:val="811"/>
          <w:jc w:val="center"/>
        </w:trPr>
        <w:tc>
          <w:tcPr>
            <w:tcW w:w="1449"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姓</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名</w:t>
            </w:r>
          </w:p>
        </w:tc>
        <w:tc>
          <w:tcPr>
            <w:tcW w:w="1921"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注册证书号</w:t>
            </w:r>
          </w:p>
        </w:tc>
        <w:tc>
          <w:tcPr>
            <w:tcW w:w="2708"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 xml:space="preserve"> </w:t>
            </w:r>
            <w:r>
              <w:rPr>
                <w:rFonts w:ascii="楷体" w:eastAsia="楷体" w:hAnsi="楷体" w:cs="宋体" w:hint="eastAsia"/>
                <w:kern w:val="0"/>
                <w:sz w:val="28"/>
                <w:szCs w:val="28"/>
              </w:rPr>
              <w:t>签</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章</w:t>
            </w:r>
          </w:p>
        </w:tc>
        <w:tc>
          <w:tcPr>
            <w:tcW w:w="2642"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日期</w:t>
            </w:r>
          </w:p>
        </w:tc>
      </w:tr>
      <w:tr w:rsidR="008A54E3">
        <w:trPr>
          <w:trHeight w:val="1125"/>
          <w:jc w:val="center"/>
        </w:trPr>
        <w:tc>
          <w:tcPr>
            <w:tcW w:w="1449" w:type="dxa"/>
            <w:vAlign w:val="center"/>
          </w:tcPr>
          <w:p w:rsidR="008A54E3" w:rsidRDefault="000F2545">
            <w:pPr>
              <w:widowControl/>
              <w:ind w:firstLineChars="78" w:firstLine="218"/>
              <w:rPr>
                <w:rFonts w:ascii="楷体" w:eastAsia="楷体" w:hAnsi="楷体" w:cs="宋体"/>
                <w:kern w:val="0"/>
                <w:sz w:val="28"/>
                <w:szCs w:val="28"/>
              </w:rPr>
            </w:pPr>
            <w:r>
              <w:rPr>
                <w:rFonts w:ascii="楷体" w:eastAsia="楷体" w:hAnsi="楷体" w:cs="宋体" w:hint="eastAsia"/>
                <w:kern w:val="0"/>
                <w:sz w:val="28"/>
                <w:szCs w:val="28"/>
              </w:rPr>
              <w:t>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鑫</w:t>
            </w:r>
          </w:p>
        </w:tc>
        <w:tc>
          <w:tcPr>
            <w:tcW w:w="1921"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3320160126</w:t>
            </w:r>
          </w:p>
        </w:tc>
        <w:tc>
          <w:tcPr>
            <w:tcW w:w="2708" w:type="dxa"/>
            <w:vAlign w:val="center"/>
          </w:tcPr>
          <w:p w:rsidR="008A54E3" w:rsidRDefault="008A54E3">
            <w:pPr>
              <w:widowControl/>
              <w:jc w:val="center"/>
              <w:rPr>
                <w:rFonts w:ascii="楷体" w:eastAsia="楷体" w:hAnsi="楷体" w:cs="宋体"/>
                <w:kern w:val="0"/>
                <w:sz w:val="28"/>
                <w:szCs w:val="28"/>
              </w:rPr>
            </w:pPr>
          </w:p>
        </w:tc>
        <w:tc>
          <w:tcPr>
            <w:tcW w:w="2642"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p>
        </w:tc>
      </w:tr>
      <w:tr w:rsidR="008A54E3">
        <w:trPr>
          <w:trHeight w:val="1125"/>
          <w:jc w:val="center"/>
        </w:trPr>
        <w:tc>
          <w:tcPr>
            <w:tcW w:w="1449" w:type="dxa"/>
            <w:vAlign w:val="center"/>
          </w:tcPr>
          <w:p w:rsidR="008A54E3" w:rsidRDefault="000F2545">
            <w:pPr>
              <w:widowControl/>
              <w:jc w:val="center"/>
              <w:rPr>
                <w:rFonts w:ascii="楷体" w:eastAsia="楷体" w:hAnsi="楷体" w:cs="宋体"/>
                <w:kern w:val="0"/>
                <w:sz w:val="28"/>
                <w:szCs w:val="28"/>
              </w:rPr>
            </w:pPr>
            <w:r>
              <w:rPr>
                <w:rFonts w:eastAsia="楷体" w:hint="eastAsia"/>
                <w:sz w:val="28"/>
              </w:rPr>
              <w:t>郑</w:t>
            </w:r>
            <w:r>
              <w:rPr>
                <w:rFonts w:eastAsia="楷体" w:hint="eastAsia"/>
                <w:sz w:val="28"/>
              </w:rPr>
              <w:t xml:space="preserve">  </w:t>
            </w:r>
            <w:r>
              <w:rPr>
                <w:rFonts w:eastAsia="楷体" w:hint="eastAsia"/>
                <w:sz w:val="28"/>
              </w:rPr>
              <w:t>玺</w:t>
            </w:r>
          </w:p>
        </w:tc>
        <w:tc>
          <w:tcPr>
            <w:tcW w:w="1921" w:type="dxa"/>
            <w:vAlign w:val="center"/>
          </w:tcPr>
          <w:p w:rsidR="008A54E3" w:rsidRDefault="000F2545">
            <w:pPr>
              <w:widowControl/>
              <w:jc w:val="center"/>
              <w:rPr>
                <w:rFonts w:ascii="楷体" w:eastAsia="楷体" w:hAnsi="楷体" w:cs="宋体"/>
                <w:kern w:val="0"/>
                <w:sz w:val="28"/>
                <w:szCs w:val="28"/>
              </w:rPr>
            </w:pPr>
            <w:r>
              <w:rPr>
                <w:rFonts w:ascii="楷体" w:eastAsia="楷体" w:hAnsi="楷体" w:hint="eastAsia"/>
                <w:sz w:val="28"/>
              </w:rPr>
              <w:t>3320130035</w:t>
            </w:r>
          </w:p>
        </w:tc>
        <w:tc>
          <w:tcPr>
            <w:tcW w:w="2708" w:type="dxa"/>
            <w:vAlign w:val="center"/>
          </w:tcPr>
          <w:p w:rsidR="008A54E3" w:rsidRDefault="008A54E3">
            <w:pPr>
              <w:widowControl/>
              <w:jc w:val="center"/>
              <w:rPr>
                <w:rFonts w:ascii="楷体" w:eastAsia="楷体" w:hAnsi="楷体" w:cs="宋体"/>
                <w:kern w:val="0"/>
                <w:sz w:val="28"/>
                <w:szCs w:val="28"/>
              </w:rPr>
            </w:pPr>
          </w:p>
        </w:tc>
        <w:tc>
          <w:tcPr>
            <w:tcW w:w="2642" w:type="dxa"/>
            <w:vAlign w:val="center"/>
          </w:tcPr>
          <w:p w:rsidR="008A54E3" w:rsidRDefault="000F2545">
            <w:pPr>
              <w:widowControl/>
              <w:jc w:val="center"/>
              <w:rPr>
                <w:rFonts w:ascii="楷体" w:eastAsia="楷体" w:hAnsi="楷体" w:cs="宋体"/>
                <w:kern w:val="0"/>
                <w:sz w:val="28"/>
                <w:szCs w:val="28"/>
              </w:rPr>
            </w:pPr>
            <w:r>
              <w:rPr>
                <w:rFonts w:ascii="楷体" w:eastAsia="楷体" w:hAnsi="楷体" w:cs="宋体" w:hint="eastAsia"/>
                <w:kern w:val="0"/>
                <w:sz w:val="28"/>
                <w:szCs w:val="28"/>
              </w:rPr>
              <w:t>年</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月</w:t>
            </w:r>
            <w:r>
              <w:rPr>
                <w:rFonts w:ascii="楷体" w:eastAsia="楷体" w:hAnsi="楷体" w:cs="宋体" w:hint="eastAsia"/>
                <w:kern w:val="0"/>
                <w:sz w:val="28"/>
                <w:szCs w:val="28"/>
              </w:rPr>
              <w:t xml:space="preserve">  </w:t>
            </w:r>
            <w:r>
              <w:rPr>
                <w:rFonts w:ascii="楷体" w:eastAsia="楷体" w:hAnsi="楷体" w:cs="宋体" w:hint="eastAsia"/>
                <w:kern w:val="0"/>
                <w:sz w:val="28"/>
                <w:szCs w:val="28"/>
              </w:rPr>
              <w:t>日</w:t>
            </w:r>
          </w:p>
        </w:tc>
      </w:tr>
    </w:tbl>
    <w:p w:rsidR="008A54E3" w:rsidRDefault="000F2545" w:rsidP="0090314D">
      <w:pPr>
        <w:pStyle w:val="2"/>
        <w:spacing w:beforeLines="50" w:afterLines="50" w:line="630" w:lineRule="exact"/>
      </w:pPr>
      <w:bookmarkStart w:id="97" w:name="_Toc15258"/>
      <w:bookmarkStart w:id="98" w:name="_Toc6047"/>
      <w:bookmarkStart w:id="99" w:name="_Toc451175958"/>
      <w:bookmarkStart w:id="100" w:name="_Toc7944"/>
      <w:r>
        <w:rPr>
          <w:rFonts w:hint="eastAsia"/>
        </w:rPr>
        <w:t>十二、</w:t>
      </w:r>
      <w:r>
        <w:rPr>
          <w:rFonts w:hint="eastAsia"/>
        </w:rPr>
        <w:t>实地查勘期</w:t>
      </w:r>
      <w:bookmarkEnd w:id="97"/>
      <w:bookmarkEnd w:id="98"/>
      <w:bookmarkEnd w:id="99"/>
      <w:bookmarkEnd w:id="100"/>
    </w:p>
    <w:p w:rsidR="008A54E3" w:rsidRDefault="000F2545">
      <w:pPr>
        <w:spacing w:line="630" w:lineRule="exact"/>
        <w:ind w:firstLine="560"/>
        <w:rPr>
          <w:rFonts w:ascii="楷体" w:eastAsia="楷体" w:hAnsi="楷体" w:cs="楷体"/>
          <w:color w:val="000000" w:themeColor="text1"/>
          <w:sz w:val="28"/>
        </w:rPr>
      </w:pPr>
      <w:r>
        <w:rPr>
          <w:rFonts w:ascii="楷体" w:eastAsia="楷体" w:hAnsi="楷体" w:cs="楷体" w:hint="eastAsia"/>
          <w:color w:val="000000" w:themeColor="text1"/>
          <w:sz w:val="28"/>
          <w:szCs w:val="28"/>
        </w:rPr>
        <w:t>二Ο二二年十月二十六日</w:t>
      </w:r>
      <w:r>
        <w:rPr>
          <w:rFonts w:eastAsia="楷体" w:hint="eastAsia"/>
          <w:sz w:val="28"/>
        </w:rPr>
        <w:t>至</w:t>
      </w:r>
      <w:r>
        <w:rPr>
          <w:rFonts w:ascii="楷体" w:eastAsia="楷体" w:hAnsi="楷体" w:cs="楷体" w:hint="eastAsia"/>
          <w:color w:val="000000" w:themeColor="text1"/>
          <w:sz w:val="28"/>
          <w:szCs w:val="28"/>
        </w:rPr>
        <w:t>二Ο二二年十月二十六日</w:t>
      </w:r>
      <w:r>
        <w:rPr>
          <w:rFonts w:eastAsia="楷体" w:hint="eastAsia"/>
          <w:sz w:val="28"/>
        </w:rPr>
        <w:t>。</w:t>
      </w:r>
    </w:p>
    <w:p w:rsidR="008A54E3" w:rsidRDefault="000F2545" w:rsidP="0090314D">
      <w:pPr>
        <w:pStyle w:val="2"/>
        <w:spacing w:beforeLines="50" w:afterLines="50" w:line="630" w:lineRule="exact"/>
      </w:pPr>
      <w:bookmarkStart w:id="101" w:name="_Toc13857"/>
      <w:bookmarkStart w:id="102" w:name="_Toc15337"/>
      <w:bookmarkStart w:id="103" w:name="_Toc19365"/>
      <w:bookmarkStart w:id="104" w:name="_Toc451175959"/>
      <w:r>
        <w:rPr>
          <w:rFonts w:hint="eastAsia"/>
        </w:rPr>
        <w:t>十三、</w:t>
      </w:r>
      <w:r>
        <w:rPr>
          <w:rFonts w:hint="eastAsia"/>
        </w:rPr>
        <w:t>估价作业日期</w:t>
      </w:r>
      <w:bookmarkEnd w:id="101"/>
      <w:bookmarkEnd w:id="102"/>
      <w:bookmarkEnd w:id="103"/>
      <w:bookmarkEnd w:id="104"/>
    </w:p>
    <w:p w:rsidR="008A54E3" w:rsidRDefault="000F2545">
      <w:pPr>
        <w:spacing w:line="630" w:lineRule="exact"/>
        <w:ind w:firstLine="560"/>
        <w:rPr>
          <w:rFonts w:ascii="楷体" w:eastAsia="楷体" w:hAnsi="楷体" w:cs="楷体"/>
          <w:color w:val="000000" w:themeColor="text1"/>
          <w:sz w:val="28"/>
        </w:rPr>
      </w:pPr>
      <w:r>
        <w:rPr>
          <w:rFonts w:ascii="楷体" w:eastAsia="楷体" w:hAnsi="楷体" w:cs="楷体" w:hint="eastAsia"/>
          <w:color w:val="000000" w:themeColor="text1"/>
          <w:sz w:val="28"/>
          <w:szCs w:val="28"/>
        </w:rPr>
        <w:t>二Ο二</w:t>
      </w:r>
      <w:r>
        <w:rPr>
          <w:rFonts w:ascii="楷体" w:eastAsia="楷体" w:hAnsi="楷体" w:cs="楷体" w:hint="eastAsia"/>
          <w:color w:val="000000" w:themeColor="text1"/>
          <w:sz w:val="28"/>
          <w:szCs w:val="28"/>
        </w:rPr>
        <w:t>二</w:t>
      </w:r>
      <w:r>
        <w:rPr>
          <w:rFonts w:ascii="楷体" w:eastAsia="楷体" w:hAnsi="楷体" w:cs="楷体" w:hint="eastAsia"/>
          <w:color w:val="000000" w:themeColor="text1"/>
          <w:sz w:val="28"/>
          <w:szCs w:val="28"/>
        </w:rPr>
        <w:t>年</w:t>
      </w:r>
      <w:r>
        <w:rPr>
          <w:rFonts w:ascii="楷体" w:eastAsia="楷体" w:hAnsi="楷体" w:cs="楷体" w:hint="eastAsia"/>
          <w:color w:val="000000" w:themeColor="text1"/>
          <w:sz w:val="28"/>
          <w:szCs w:val="28"/>
        </w:rPr>
        <w:t>三</w:t>
      </w:r>
      <w:r>
        <w:rPr>
          <w:rFonts w:ascii="楷体" w:eastAsia="楷体" w:hAnsi="楷体" w:cs="楷体" w:hint="eastAsia"/>
          <w:color w:val="000000" w:themeColor="text1"/>
          <w:sz w:val="28"/>
          <w:szCs w:val="28"/>
        </w:rPr>
        <w:t>月</w:t>
      </w:r>
      <w:r>
        <w:rPr>
          <w:rFonts w:ascii="楷体" w:eastAsia="楷体" w:hAnsi="楷体" w:cs="楷体" w:hint="eastAsia"/>
          <w:color w:val="000000" w:themeColor="text1"/>
          <w:sz w:val="28"/>
          <w:szCs w:val="28"/>
        </w:rPr>
        <w:t>二十五</w:t>
      </w:r>
      <w:r>
        <w:rPr>
          <w:rFonts w:ascii="楷体" w:eastAsia="楷体" w:hAnsi="楷体" w:cs="楷体" w:hint="eastAsia"/>
          <w:color w:val="000000" w:themeColor="text1"/>
          <w:sz w:val="28"/>
          <w:szCs w:val="28"/>
        </w:rPr>
        <w:t>日</w:t>
      </w:r>
      <w:r>
        <w:rPr>
          <w:rFonts w:eastAsia="楷体" w:hint="eastAsia"/>
          <w:sz w:val="28"/>
        </w:rPr>
        <w:t>至</w:t>
      </w:r>
      <w:r>
        <w:rPr>
          <w:rFonts w:ascii="楷体" w:eastAsia="楷体" w:hAnsi="楷体" w:cs="楷体" w:hint="eastAsia"/>
          <w:color w:val="000000"/>
          <w:sz w:val="28"/>
          <w:szCs w:val="28"/>
        </w:rPr>
        <w:t>二Ο二二年十一月九日</w:t>
      </w:r>
      <w:r>
        <w:rPr>
          <w:rFonts w:ascii="楷体" w:eastAsia="楷体" w:hAnsi="楷体" w:cs="楷体" w:hint="eastAsia"/>
          <w:color w:val="000000" w:themeColor="text1"/>
          <w:sz w:val="28"/>
        </w:rPr>
        <w:t>。</w:t>
      </w:r>
    </w:p>
    <w:p w:rsidR="008A54E3" w:rsidRDefault="000F2545" w:rsidP="0090314D">
      <w:pPr>
        <w:pStyle w:val="2"/>
        <w:spacing w:beforeLines="50" w:afterLines="50" w:line="630" w:lineRule="exact"/>
      </w:pPr>
      <w:bookmarkStart w:id="105" w:name="_Toc23590"/>
      <w:bookmarkStart w:id="106" w:name="_Toc10668"/>
      <w:bookmarkStart w:id="107" w:name="_Toc3517"/>
      <w:bookmarkStart w:id="108" w:name="_Toc451175960"/>
      <w:r>
        <w:rPr>
          <w:rFonts w:hint="eastAsia"/>
        </w:rPr>
        <w:t>十四、</w:t>
      </w:r>
      <w:r>
        <w:rPr>
          <w:rFonts w:hint="eastAsia"/>
        </w:rPr>
        <w:t>估价报告的</w:t>
      </w:r>
      <w:bookmarkEnd w:id="105"/>
      <w:bookmarkEnd w:id="106"/>
      <w:bookmarkEnd w:id="107"/>
      <w:bookmarkEnd w:id="108"/>
      <w:r>
        <w:rPr>
          <w:rFonts w:hint="eastAsia"/>
        </w:rPr>
        <w:t>使用期限</w:t>
      </w:r>
    </w:p>
    <w:p w:rsidR="008A54E3" w:rsidRDefault="000F2545" w:rsidP="0090314D">
      <w:pPr>
        <w:spacing w:line="630" w:lineRule="exact"/>
        <w:ind w:firstLineChars="202" w:firstLine="566"/>
        <w:rPr>
          <w:rFonts w:ascii="楷体" w:eastAsia="楷体" w:hAnsi="楷体" w:cs="楷体"/>
          <w:color w:val="000000" w:themeColor="text1"/>
          <w:sz w:val="28"/>
        </w:rPr>
      </w:pPr>
      <w:r>
        <w:rPr>
          <w:rFonts w:eastAsia="楷体" w:hint="eastAsia"/>
          <w:bCs/>
          <w:sz w:val="28"/>
        </w:rPr>
        <w:t>本估价报告的</w:t>
      </w:r>
      <w:r>
        <w:rPr>
          <w:rFonts w:eastAsia="楷体" w:hint="eastAsia"/>
          <w:bCs/>
          <w:sz w:val="28"/>
        </w:rPr>
        <w:t>使用期限</w:t>
      </w:r>
      <w:r>
        <w:rPr>
          <w:rFonts w:eastAsia="楷体" w:hint="eastAsia"/>
          <w:bCs/>
          <w:sz w:val="28"/>
        </w:rPr>
        <w:t>为</w:t>
      </w:r>
      <w:r>
        <w:rPr>
          <w:rFonts w:eastAsia="楷体" w:hint="eastAsia"/>
          <w:sz w:val="28"/>
        </w:rPr>
        <w:t>壹年（</w:t>
      </w:r>
      <w:r>
        <w:rPr>
          <w:rFonts w:ascii="楷体" w:eastAsia="楷体" w:hAnsi="楷体" w:cs="楷体" w:hint="eastAsia"/>
          <w:color w:val="000000"/>
          <w:sz w:val="28"/>
          <w:szCs w:val="28"/>
        </w:rPr>
        <w:t>自</w:t>
      </w:r>
      <w:r>
        <w:rPr>
          <w:rFonts w:ascii="楷体" w:eastAsia="楷体" w:hAnsi="楷体" w:cs="楷体" w:hint="eastAsia"/>
          <w:color w:val="000000"/>
          <w:sz w:val="28"/>
          <w:szCs w:val="28"/>
        </w:rPr>
        <w:t>二Ο二二年十一月九日</w:t>
      </w:r>
      <w:r>
        <w:rPr>
          <w:rFonts w:ascii="楷体" w:eastAsia="楷体" w:hAnsi="楷体" w:cs="楷体" w:hint="eastAsia"/>
          <w:color w:val="000000"/>
          <w:sz w:val="28"/>
          <w:szCs w:val="28"/>
        </w:rPr>
        <w:t>至</w:t>
      </w:r>
      <w:r>
        <w:rPr>
          <w:rFonts w:ascii="楷体" w:eastAsia="楷体" w:hAnsi="楷体" w:cs="楷体" w:hint="eastAsia"/>
          <w:color w:val="000000"/>
          <w:sz w:val="28"/>
          <w:szCs w:val="28"/>
        </w:rPr>
        <w:t>二Ο</w:t>
      </w:r>
      <w:r>
        <w:rPr>
          <w:rFonts w:ascii="楷体" w:eastAsia="楷体" w:hAnsi="楷体" w:cs="楷体" w:hint="eastAsia"/>
          <w:color w:val="000000"/>
          <w:sz w:val="28"/>
          <w:szCs w:val="28"/>
        </w:rPr>
        <w:lastRenderedPageBreak/>
        <w:t>二三年十一月八日</w:t>
      </w:r>
      <w:r>
        <w:rPr>
          <w:rFonts w:ascii="楷体" w:eastAsia="楷体" w:hAnsi="楷体" w:cs="楷体" w:hint="eastAsia"/>
          <w:color w:val="000000"/>
          <w:sz w:val="28"/>
          <w:szCs w:val="28"/>
        </w:rPr>
        <w:t>止</w:t>
      </w:r>
      <w:r>
        <w:rPr>
          <w:rFonts w:eastAsia="楷体" w:hint="eastAsia"/>
          <w:sz w:val="28"/>
        </w:rPr>
        <w:t>）。</w:t>
      </w:r>
    </w:p>
    <w:bookmarkEnd w:id="42"/>
    <w:bookmarkEnd w:id="43"/>
    <w:p w:rsidR="008A54E3" w:rsidRDefault="000F2545">
      <w:pPr>
        <w:numPr>
          <w:ilvl w:val="0"/>
          <w:numId w:val="9"/>
        </w:numPr>
        <w:spacing w:line="630" w:lineRule="exact"/>
        <w:jc w:val="left"/>
        <w:rPr>
          <w:rFonts w:ascii="楷体" w:eastAsia="楷体" w:hAnsi="楷体" w:cs="楷体"/>
          <w:color w:val="000000" w:themeColor="text1"/>
        </w:rPr>
      </w:pPr>
      <w:r>
        <w:rPr>
          <w:rFonts w:ascii="楷体" w:eastAsia="楷体" w:hAnsi="楷体" w:cs="楷体" w:hint="eastAsia"/>
          <w:color w:val="000000" w:themeColor="text1"/>
        </w:rPr>
        <w:br w:type="page"/>
      </w:r>
      <w:bookmarkEnd w:id="4"/>
      <w:bookmarkEnd w:id="5"/>
      <w:bookmarkEnd w:id="6"/>
      <w:bookmarkEnd w:id="7"/>
      <w:bookmarkEnd w:id="8"/>
    </w:p>
    <w:p w:rsidR="008A54E3" w:rsidRDefault="000F2545" w:rsidP="0090314D">
      <w:pPr>
        <w:pStyle w:val="1"/>
        <w:spacing w:beforeLines="100" w:afterLines="50" w:line="630" w:lineRule="exact"/>
        <w:rPr>
          <w:rFonts w:ascii="方正黑体简体" w:eastAsia="方正黑体简体" w:hAnsi="方正黑体简体" w:cs="方正黑体简体"/>
        </w:rPr>
      </w:pPr>
      <w:bookmarkStart w:id="109" w:name="_Toc4481"/>
      <w:bookmarkStart w:id="110" w:name="_Toc12592"/>
      <w:bookmarkStart w:id="111" w:name="_Toc30530"/>
      <w:bookmarkStart w:id="112" w:name="_Toc10184"/>
      <w:bookmarkEnd w:id="3"/>
      <w:bookmarkEnd w:id="9"/>
      <w:bookmarkEnd w:id="10"/>
      <w:r>
        <w:rPr>
          <w:rFonts w:ascii="方正黑体简体" w:eastAsia="方正黑体简体" w:hAnsi="方正黑体简体" w:cs="方正黑体简体" w:hint="eastAsia"/>
        </w:rPr>
        <w:lastRenderedPageBreak/>
        <w:t>附</w:t>
      </w:r>
      <w:r>
        <w:rPr>
          <w:rFonts w:ascii="方正黑体简体" w:eastAsia="方正黑体简体" w:hAnsi="方正黑体简体" w:cs="方正黑体简体" w:hint="eastAsia"/>
        </w:rPr>
        <w:t xml:space="preserve">  </w:t>
      </w:r>
      <w:r>
        <w:rPr>
          <w:rFonts w:ascii="方正黑体简体" w:eastAsia="方正黑体简体" w:hAnsi="方正黑体简体" w:cs="方正黑体简体" w:hint="eastAsia"/>
        </w:rPr>
        <w:t>件</w:t>
      </w:r>
      <w:bookmarkEnd w:id="109"/>
      <w:bookmarkEnd w:id="110"/>
      <w:bookmarkEnd w:id="111"/>
    </w:p>
    <w:bookmarkEnd w:id="112"/>
    <w:p w:rsidR="008A54E3" w:rsidRDefault="000F2545">
      <w:pPr>
        <w:numPr>
          <w:ilvl w:val="0"/>
          <w:numId w:val="10"/>
        </w:numPr>
        <w:spacing w:line="630" w:lineRule="exact"/>
        <w:rPr>
          <w:rFonts w:ascii="楷体" w:eastAsia="楷体" w:hAnsi="楷体"/>
          <w:sz w:val="28"/>
          <w:szCs w:val="28"/>
        </w:rPr>
      </w:pPr>
      <w:r>
        <w:rPr>
          <w:rFonts w:ascii="楷体" w:eastAsia="楷体" w:hAnsi="楷体" w:cs="楷体" w:hint="eastAsia"/>
          <w:color w:val="000000"/>
          <w:sz w:val="28"/>
          <w:szCs w:val="28"/>
        </w:rPr>
        <w:t>《委托书》</w:t>
      </w:r>
      <w:r>
        <w:rPr>
          <w:rFonts w:ascii="楷体" w:eastAsia="楷体" w:hAnsi="楷体" w:hint="eastAsia"/>
          <w:sz w:val="28"/>
          <w:szCs w:val="28"/>
        </w:rPr>
        <w:t>复印件</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szCs w:val="28"/>
        </w:rPr>
        <w:t>估价对象位置图</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szCs w:val="28"/>
        </w:rPr>
        <w:t>估价对象实景照片</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rPr>
        <w:t>《</w:t>
      </w:r>
      <w:r>
        <w:rPr>
          <w:rFonts w:ascii="楷体" w:eastAsia="楷体" w:hAnsi="楷体" w:hint="eastAsia"/>
          <w:sz w:val="28"/>
          <w:szCs w:val="28"/>
        </w:rPr>
        <w:t>临安区</w:t>
      </w:r>
      <w:r>
        <w:rPr>
          <w:rFonts w:ascii="楷体" w:eastAsia="楷体" w:hAnsi="楷体" w:hint="eastAsia"/>
          <w:sz w:val="28"/>
          <w:szCs w:val="28"/>
        </w:rPr>
        <w:t>不动产</w:t>
      </w:r>
      <w:r>
        <w:rPr>
          <w:rFonts w:ascii="楷体" w:eastAsia="楷体" w:hAnsi="楷体" w:hint="eastAsia"/>
          <w:sz w:val="28"/>
          <w:szCs w:val="28"/>
        </w:rPr>
        <w:t>权属</w:t>
      </w:r>
      <w:r>
        <w:rPr>
          <w:rFonts w:ascii="楷体" w:eastAsia="楷体" w:hAnsi="楷体" w:hint="eastAsia"/>
          <w:sz w:val="28"/>
          <w:szCs w:val="28"/>
        </w:rPr>
        <w:t>信息查询记录</w:t>
      </w:r>
      <w:r>
        <w:rPr>
          <w:rFonts w:ascii="楷体" w:eastAsia="楷体" w:hAnsi="楷体" w:hint="eastAsia"/>
          <w:sz w:val="28"/>
        </w:rPr>
        <w:t>》</w:t>
      </w:r>
      <w:r>
        <w:rPr>
          <w:rFonts w:ascii="楷体" w:eastAsia="楷体" w:hAnsi="楷体" w:hint="eastAsia"/>
          <w:sz w:val="28"/>
          <w:szCs w:val="28"/>
        </w:rPr>
        <w:t>复印件</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szCs w:val="28"/>
        </w:rPr>
        <w:t>估价机构营业执照</w:t>
      </w:r>
      <w:r>
        <w:rPr>
          <w:rFonts w:ascii="楷体" w:eastAsia="楷体" w:hAnsi="楷体" w:hint="eastAsia"/>
          <w:sz w:val="28"/>
          <w:szCs w:val="28"/>
        </w:rPr>
        <w:t>影</w:t>
      </w:r>
      <w:r>
        <w:rPr>
          <w:rFonts w:ascii="楷体" w:eastAsia="楷体" w:hAnsi="楷体" w:hint="eastAsia"/>
          <w:sz w:val="28"/>
          <w:szCs w:val="28"/>
        </w:rPr>
        <w:t>印件</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szCs w:val="28"/>
        </w:rPr>
        <w:t>估价机构备案证书</w:t>
      </w:r>
      <w:r>
        <w:rPr>
          <w:rFonts w:ascii="楷体" w:eastAsia="楷体" w:hAnsi="楷体" w:hint="eastAsia"/>
          <w:sz w:val="28"/>
          <w:szCs w:val="28"/>
        </w:rPr>
        <w:t>影</w:t>
      </w:r>
      <w:r>
        <w:rPr>
          <w:rFonts w:ascii="楷体" w:eastAsia="楷体" w:hAnsi="楷体" w:hint="eastAsia"/>
          <w:sz w:val="28"/>
          <w:szCs w:val="28"/>
        </w:rPr>
        <w:t>印件</w:t>
      </w:r>
    </w:p>
    <w:p w:rsidR="008A54E3" w:rsidRDefault="000F2545">
      <w:pPr>
        <w:numPr>
          <w:ilvl w:val="0"/>
          <w:numId w:val="10"/>
        </w:numPr>
        <w:spacing w:line="630" w:lineRule="exact"/>
        <w:rPr>
          <w:rFonts w:ascii="楷体" w:eastAsia="楷体" w:hAnsi="楷体"/>
          <w:sz w:val="28"/>
          <w:szCs w:val="28"/>
        </w:rPr>
      </w:pPr>
      <w:r>
        <w:rPr>
          <w:rFonts w:ascii="楷体" w:eastAsia="楷体" w:hAnsi="楷体" w:hint="eastAsia"/>
          <w:sz w:val="28"/>
          <w:szCs w:val="28"/>
        </w:rPr>
        <w:t>房地产估价师注册证书</w:t>
      </w:r>
      <w:r>
        <w:rPr>
          <w:rFonts w:ascii="楷体" w:eastAsia="楷体" w:hAnsi="楷体" w:hint="eastAsia"/>
          <w:sz w:val="28"/>
          <w:szCs w:val="28"/>
        </w:rPr>
        <w:t>影</w:t>
      </w:r>
      <w:r>
        <w:rPr>
          <w:rFonts w:ascii="楷体" w:eastAsia="楷体" w:hAnsi="楷体" w:hint="eastAsia"/>
          <w:sz w:val="28"/>
          <w:szCs w:val="28"/>
        </w:rPr>
        <w:t>印件</w:t>
      </w:r>
    </w:p>
    <w:p w:rsidR="008A54E3" w:rsidRDefault="008A54E3">
      <w:pPr>
        <w:spacing w:line="630" w:lineRule="exact"/>
        <w:ind w:left="420"/>
      </w:pPr>
    </w:p>
    <w:p w:rsidR="008A54E3" w:rsidRDefault="008A54E3">
      <w:pPr>
        <w:pStyle w:val="30"/>
        <w:tabs>
          <w:tab w:val="right" w:leader="dot" w:pos="8504"/>
        </w:tabs>
        <w:spacing w:line="630" w:lineRule="exact"/>
        <w:ind w:leftChars="0" w:left="420"/>
        <w:outlineLvl w:val="0"/>
        <w:rPr>
          <w:rFonts w:ascii="楷体" w:hAnsi="楷体" w:cs="楷体"/>
          <w:color w:val="000000" w:themeColor="text1"/>
          <w:spacing w:val="20"/>
          <w:sz w:val="28"/>
          <w:szCs w:val="28"/>
        </w:rPr>
      </w:pPr>
    </w:p>
    <w:sectPr w:rsidR="008A54E3" w:rsidSect="008A54E3">
      <w:headerReference w:type="default" r:id="rId15"/>
      <w:footerReference w:type="default" r:id="rId16"/>
      <w:pgSz w:w="11906" w:h="16838"/>
      <w:pgMar w:top="1276" w:right="1701" w:bottom="1276" w:left="1797" w:header="907" w:footer="1134"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545" w:rsidRDefault="000F2545" w:rsidP="008A54E3">
      <w:pPr>
        <w:ind w:firstLine="480"/>
      </w:pPr>
      <w:r>
        <w:separator/>
      </w:r>
    </w:p>
  </w:endnote>
  <w:endnote w:type="continuationSeparator" w:id="1">
    <w:p w:rsidR="000F2545" w:rsidRDefault="000F2545" w:rsidP="008A54E3">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仿宋_GB2312">
    <w:altName w:val="仿宋"/>
    <w:charset w:val="86"/>
    <w:family w:val="modern"/>
    <w:pitch w:val="default"/>
    <w:sig w:usb0="00000000" w:usb1="0000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黑体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3" w:rsidRDefault="008A54E3">
    <w:pPr>
      <w:pStyle w:val="a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3" w:rsidRDefault="000F2545">
    <w:pPr>
      <w:pStyle w:val="a8"/>
      <w:jc w:val="center"/>
    </w:pPr>
    <w:r>
      <w:t xml:space="preserve">- </w:t>
    </w:r>
    <w:r w:rsidR="008A54E3">
      <w:fldChar w:fldCharType="begin"/>
    </w:r>
    <w:r>
      <w:instrText xml:space="preserve"> PAGE </w:instrText>
    </w:r>
    <w:r w:rsidR="008A54E3">
      <w:fldChar w:fldCharType="separate"/>
    </w:r>
    <w:r w:rsidR="0090314D">
      <w:rPr>
        <w:noProof/>
      </w:rPr>
      <w:t>5</w:t>
    </w:r>
    <w:r w:rsidR="008A54E3">
      <w:fldChar w:fldCharType="end"/>
    </w: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3" w:rsidRDefault="000F2545">
    <w:pPr>
      <w:pStyle w:val="a8"/>
      <w:jc w:val="center"/>
    </w:pPr>
    <w:r>
      <w:t xml:space="preserve">- </w:t>
    </w:r>
    <w:r w:rsidR="008A54E3">
      <w:fldChar w:fldCharType="begin"/>
    </w:r>
    <w:r>
      <w:instrText xml:space="preserve"> PAGE </w:instrText>
    </w:r>
    <w:r w:rsidR="008A54E3">
      <w:fldChar w:fldCharType="separate"/>
    </w:r>
    <w:r w:rsidR="0090314D">
      <w:rPr>
        <w:noProof/>
      </w:rPr>
      <w:t>17</w:t>
    </w:r>
    <w:r w:rsidR="008A54E3">
      <w:fldChar w:fldCharType="end"/>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545" w:rsidRDefault="000F2545" w:rsidP="008A54E3">
      <w:pPr>
        <w:ind w:firstLine="480"/>
      </w:pPr>
      <w:r>
        <w:separator/>
      </w:r>
    </w:p>
  </w:footnote>
  <w:footnote w:type="continuationSeparator" w:id="1">
    <w:p w:rsidR="000F2545" w:rsidRDefault="000F2545" w:rsidP="008A54E3">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3" w:rsidRDefault="000F2545">
    <w:pPr>
      <w:pStyle w:val="a9"/>
      <w:jc w:val="distribute"/>
      <w:rPr>
        <w:rFonts w:ascii="楷体" w:eastAsia="楷体" w:hAnsi="楷体" w:cs="楷体"/>
        <w:szCs w:val="18"/>
      </w:rPr>
    </w:pPr>
    <w:r>
      <w:rPr>
        <w:rFonts w:ascii="楷体" w:eastAsia="楷体" w:hAnsi="楷体" w:cs="楷体" w:hint="eastAsia"/>
        <w:szCs w:val="18"/>
      </w:rPr>
      <w:t>杭州天平房地产评估有限公司</w:t>
    </w:r>
    <w:r>
      <w:rPr>
        <w:rFonts w:ascii="楷体" w:eastAsia="楷体" w:hAnsi="楷体" w:cs="楷体" w:hint="eastAsia"/>
        <w:szCs w:val="18"/>
      </w:rPr>
      <w:t xml:space="preserve">                                                     </w:t>
    </w:r>
    <w:r>
      <w:rPr>
        <w:rFonts w:ascii="楷体" w:eastAsia="楷体" w:hAnsi="楷体" w:cs="楷体" w:hint="eastAsia"/>
        <w:szCs w:val="18"/>
      </w:rPr>
      <w:t>房地产估价报告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4E3" w:rsidRDefault="000F2545">
    <w:pPr>
      <w:pStyle w:val="a9"/>
      <w:jc w:val="distribute"/>
      <w:rPr>
        <w:rFonts w:ascii="楷体" w:eastAsia="楷体" w:hAnsi="楷体" w:cs="楷体"/>
        <w:szCs w:val="18"/>
      </w:rPr>
    </w:pPr>
    <w:r>
      <w:rPr>
        <w:rFonts w:ascii="楷体" w:eastAsia="楷体" w:hAnsi="楷体" w:cs="楷体" w:hint="eastAsia"/>
        <w:szCs w:val="18"/>
      </w:rPr>
      <w:t>杭州天平房地产评估有限公司</w:t>
    </w:r>
    <w:r>
      <w:rPr>
        <w:rFonts w:ascii="楷体" w:eastAsia="楷体" w:hAnsi="楷体" w:cs="楷体" w:hint="eastAsia"/>
        <w:szCs w:val="18"/>
      </w:rPr>
      <w:t xml:space="preserve">                                                  </w:t>
    </w:r>
    <w:r>
      <w:rPr>
        <w:rFonts w:ascii="楷体" w:eastAsia="楷体" w:hAnsi="楷体" w:cs="楷体" w:hint="eastAsia"/>
        <w:szCs w:val="18"/>
      </w:rPr>
      <w:t>房地产估价报告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E0C6605"/>
    <w:multiLevelType w:val="singleLevel"/>
    <w:tmpl w:val="AE0C6605"/>
    <w:lvl w:ilvl="0">
      <w:start w:val="4"/>
      <w:numFmt w:val="chineseCounting"/>
      <w:suff w:val="nothing"/>
      <w:lvlText w:val="（%1）"/>
      <w:lvlJc w:val="left"/>
      <w:rPr>
        <w:rFonts w:hint="eastAsia"/>
      </w:rPr>
    </w:lvl>
  </w:abstractNum>
  <w:abstractNum w:abstractNumId="1">
    <w:nsid w:val="B820B62C"/>
    <w:multiLevelType w:val="singleLevel"/>
    <w:tmpl w:val="B820B62C"/>
    <w:lvl w:ilvl="0">
      <w:start w:val="1"/>
      <w:numFmt w:val="chineseCounting"/>
      <w:suff w:val="nothing"/>
      <w:lvlText w:val="%1、"/>
      <w:lvlJc w:val="left"/>
      <w:pPr>
        <w:ind w:left="0" w:firstLine="420"/>
      </w:pPr>
      <w:rPr>
        <w:rFonts w:hint="eastAsia"/>
      </w:rPr>
    </w:lvl>
  </w:abstractNum>
  <w:abstractNum w:abstractNumId="2">
    <w:nsid w:val="D2A4A9E6"/>
    <w:multiLevelType w:val="singleLevel"/>
    <w:tmpl w:val="D2A4A9E6"/>
    <w:lvl w:ilvl="0">
      <w:start w:val="1"/>
      <w:numFmt w:val="chineseCounting"/>
      <w:suff w:val="nothing"/>
      <w:lvlText w:val="%1、"/>
      <w:lvlJc w:val="left"/>
      <w:pPr>
        <w:ind w:left="0" w:firstLine="420"/>
      </w:pPr>
      <w:rPr>
        <w:rFonts w:hint="eastAsia"/>
      </w:rPr>
    </w:lvl>
  </w:abstractNum>
  <w:abstractNum w:abstractNumId="3">
    <w:nsid w:val="E5C82F5D"/>
    <w:multiLevelType w:val="singleLevel"/>
    <w:tmpl w:val="E5C82F5D"/>
    <w:lvl w:ilvl="0">
      <w:start w:val="1"/>
      <w:numFmt w:val="chineseCounting"/>
      <w:suff w:val="nothing"/>
      <w:lvlText w:val="（%1）"/>
      <w:lvlJc w:val="left"/>
      <w:pPr>
        <w:ind w:left="0" w:firstLine="420"/>
      </w:pPr>
      <w:rPr>
        <w:rFonts w:hint="eastAsia"/>
        <w:sz w:val="28"/>
        <w:szCs w:val="28"/>
      </w:rPr>
    </w:lvl>
  </w:abstractNum>
  <w:abstractNum w:abstractNumId="4">
    <w:nsid w:val="0000000E"/>
    <w:multiLevelType w:val="multilevel"/>
    <w:tmpl w:val="0000000E"/>
    <w:lvl w:ilvl="0">
      <w:start w:val="1"/>
      <w:numFmt w:val="japaneseCounting"/>
      <w:lvlText w:val="%1、"/>
      <w:lvlJc w:val="left"/>
      <w:pPr>
        <w:ind w:left="1146"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045B923"/>
    <w:multiLevelType w:val="singleLevel"/>
    <w:tmpl w:val="3045B923"/>
    <w:lvl w:ilvl="0">
      <w:start w:val="1"/>
      <w:numFmt w:val="decimal"/>
      <w:suff w:val="nothing"/>
      <w:lvlText w:val="%1．"/>
      <w:lvlJc w:val="left"/>
      <w:pPr>
        <w:ind w:left="0" w:firstLine="400"/>
      </w:pPr>
      <w:rPr>
        <w:rFonts w:hint="default"/>
      </w:rPr>
    </w:lvl>
  </w:abstractNum>
  <w:abstractNum w:abstractNumId="6">
    <w:nsid w:val="70BD8361"/>
    <w:multiLevelType w:val="singleLevel"/>
    <w:tmpl w:val="70BD8361"/>
    <w:lvl w:ilvl="0">
      <w:start w:val="1"/>
      <w:numFmt w:val="chineseCounting"/>
      <w:suff w:val="nothing"/>
      <w:lvlText w:val="（%1）"/>
      <w:lvlJc w:val="left"/>
      <w:pPr>
        <w:ind w:left="-420" w:firstLine="420"/>
      </w:pPr>
      <w:rPr>
        <w:rFonts w:hint="eastAsia"/>
      </w:rPr>
    </w:lvl>
  </w:abstractNum>
  <w:abstractNum w:abstractNumId="7">
    <w:nsid w:val="72221524"/>
    <w:multiLevelType w:val="singleLevel"/>
    <w:tmpl w:val="72221524"/>
    <w:lvl w:ilvl="0">
      <w:start w:val="1"/>
      <w:numFmt w:val="chineseCounting"/>
      <w:suff w:val="nothing"/>
      <w:lvlText w:val="（%1）"/>
      <w:lvlJc w:val="left"/>
      <w:pPr>
        <w:ind w:left="0" w:firstLine="420"/>
      </w:pPr>
      <w:rPr>
        <w:rFonts w:hint="eastAsia"/>
      </w:rPr>
    </w:lvl>
  </w:abstractNum>
  <w:abstractNum w:abstractNumId="8">
    <w:nsid w:val="79595DDC"/>
    <w:multiLevelType w:val="singleLevel"/>
    <w:tmpl w:val="79595DDC"/>
    <w:lvl w:ilvl="0">
      <w:start w:val="1"/>
      <w:numFmt w:val="chineseCounting"/>
      <w:suff w:val="nothing"/>
      <w:lvlText w:val="（%1）"/>
      <w:lvlJc w:val="left"/>
      <w:pPr>
        <w:ind w:left="0" w:firstLine="420"/>
      </w:pPr>
      <w:rPr>
        <w:rFonts w:hint="eastAsia"/>
      </w:rPr>
    </w:lvl>
  </w:abstractNum>
  <w:abstractNum w:abstractNumId="9">
    <w:nsid w:val="7DC26D32"/>
    <w:multiLevelType w:val="singleLevel"/>
    <w:tmpl w:val="7DC26D32"/>
    <w:lvl w:ilvl="0">
      <w:start w:val="1"/>
      <w:numFmt w:val="chineseCounting"/>
      <w:suff w:val="nothing"/>
      <w:lvlText w:val="%1、"/>
      <w:lvlJc w:val="left"/>
      <w:pPr>
        <w:ind w:left="0" w:firstLine="420"/>
      </w:pPr>
      <w:rPr>
        <w:rFonts w:hint="eastAsia"/>
      </w:rPr>
    </w:lvl>
  </w:abstractNum>
  <w:num w:numId="1">
    <w:abstractNumId w:val="2"/>
  </w:num>
  <w:num w:numId="2">
    <w:abstractNumId w:val="9"/>
  </w:num>
  <w:num w:numId="3">
    <w:abstractNumId w:val="8"/>
  </w:num>
  <w:num w:numId="4">
    <w:abstractNumId w:val="6"/>
  </w:num>
  <w:num w:numId="5">
    <w:abstractNumId w:val="4"/>
  </w:num>
  <w:num w:numId="6">
    <w:abstractNumId w:val="0"/>
  </w:num>
  <w:num w:numId="7">
    <w:abstractNumId w:val="7"/>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docVars>
    <w:docVar w:name="commondata" w:val="eyJoZGlkIjoiYjNmODQyYzVkN2M4MTI2MDUwOTg4YTE4N2VlOWMyNjIifQ=="/>
  </w:docVars>
  <w:rsids>
    <w:rsidRoot w:val="00172A27"/>
    <w:rsid w:val="00032689"/>
    <w:rsid w:val="00032891"/>
    <w:rsid w:val="00036622"/>
    <w:rsid w:val="0004724B"/>
    <w:rsid w:val="00074044"/>
    <w:rsid w:val="00077899"/>
    <w:rsid w:val="000974FF"/>
    <w:rsid w:val="000A431A"/>
    <w:rsid w:val="000A547A"/>
    <w:rsid w:val="000A7D6A"/>
    <w:rsid w:val="000B7587"/>
    <w:rsid w:val="000C5000"/>
    <w:rsid w:val="000C61EF"/>
    <w:rsid w:val="000D63A2"/>
    <w:rsid w:val="000F2545"/>
    <w:rsid w:val="000F60FD"/>
    <w:rsid w:val="000F6C03"/>
    <w:rsid w:val="0011776A"/>
    <w:rsid w:val="00141373"/>
    <w:rsid w:val="00146B4B"/>
    <w:rsid w:val="00155D1A"/>
    <w:rsid w:val="00167200"/>
    <w:rsid w:val="00172A27"/>
    <w:rsid w:val="00191F4C"/>
    <w:rsid w:val="001957B0"/>
    <w:rsid w:val="00196D29"/>
    <w:rsid w:val="001A0170"/>
    <w:rsid w:val="001A0228"/>
    <w:rsid w:val="001A7A45"/>
    <w:rsid w:val="001B02D6"/>
    <w:rsid w:val="001B4EF3"/>
    <w:rsid w:val="001C1D31"/>
    <w:rsid w:val="001C40D0"/>
    <w:rsid w:val="001E1ED6"/>
    <w:rsid w:val="001E406C"/>
    <w:rsid w:val="001F1CFF"/>
    <w:rsid w:val="00225195"/>
    <w:rsid w:val="00225A4B"/>
    <w:rsid w:val="00237B07"/>
    <w:rsid w:val="00243A20"/>
    <w:rsid w:val="00245C0D"/>
    <w:rsid w:val="00252461"/>
    <w:rsid w:val="002531DB"/>
    <w:rsid w:val="002558ED"/>
    <w:rsid w:val="0026319A"/>
    <w:rsid w:val="002772F0"/>
    <w:rsid w:val="00277C7F"/>
    <w:rsid w:val="002806D6"/>
    <w:rsid w:val="00283622"/>
    <w:rsid w:val="00286FA1"/>
    <w:rsid w:val="00287AAD"/>
    <w:rsid w:val="002B3074"/>
    <w:rsid w:val="002C1E9B"/>
    <w:rsid w:val="002C3290"/>
    <w:rsid w:val="002E025A"/>
    <w:rsid w:val="002E048A"/>
    <w:rsid w:val="002E2DFD"/>
    <w:rsid w:val="002F6BE1"/>
    <w:rsid w:val="00301E33"/>
    <w:rsid w:val="0030794D"/>
    <w:rsid w:val="00315FDC"/>
    <w:rsid w:val="00326F16"/>
    <w:rsid w:val="00332BB1"/>
    <w:rsid w:val="00332EBD"/>
    <w:rsid w:val="00341783"/>
    <w:rsid w:val="00347190"/>
    <w:rsid w:val="00351C99"/>
    <w:rsid w:val="00363606"/>
    <w:rsid w:val="0036695A"/>
    <w:rsid w:val="003837E5"/>
    <w:rsid w:val="00391F5C"/>
    <w:rsid w:val="00395049"/>
    <w:rsid w:val="003962A4"/>
    <w:rsid w:val="003A28D5"/>
    <w:rsid w:val="003A6E79"/>
    <w:rsid w:val="003C0793"/>
    <w:rsid w:val="003D2CEC"/>
    <w:rsid w:val="003D732D"/>
    <w:rsid w:val="003E06BF"/>
    <w:rsid w:val="003E3476"/>
    <w:rsid w:val="003F1115"/>
    <w:rsid w:val="00425640"/>
    <w:rsid w:val="004258AC"/>
    <w:rsid w:val="00430423"/>
    <w:rsid w:val="004407A2"/>
    <w:rsid w:val="00440FF0"/>
    <w:rsid w:val="0044382C"/>
    <w:rsid w:val="004456E3"/>
    <w:rsid w:val="00452147"/>
    <w:rsid w:val="004607F5"/>
    <w:rsid w:val="00461F57"/>
    <w:rsid w:val="004654DD"/>
    <w:rsid w:val="00472909"/>
    <w:rsid w:val="00485D0E"/>
    <w:rsid w:val="00486617"/>
    <w:rsid w:val="00487756"/>
    <w:rsid w:val="0049217D"/>
    <w:rsid w:val="00495178"/>
    <w:rsid w:val="004A46AC"/>
    <w:rsid w:val="004A65A5"/>
    <w:rsid w:val="004B5332"/>
    <w:rsid w:val="004C7D4E"/>
    <w:rsid w:val="004D038C"/>
    <w:rsid w:val="004D1FAD"/>
    <w:rsid w:val="004D42BE"/>
    <w:rsid w:val="004E616D"/>
    <w:rsid w:val="00503539"/>
    <w:rsid w:val="00516974"/>
    <w:rsid w:val="00517AC0"/>
    <w:rsid w:val="00517AD2"/>
    <w:rsid w:val="00542750"/>
    <w:rsid w:val="005427F0"/>
    <w:rsid w:val="0054719D"/>
    <w:rsid w:val="00561476"/>
    <w:rsid w:val="00561990"/>
    <w:rsid w:val="00562089"/>
    <w:rsid w:val="00563CA1"/>
    <w:rsid w:val="00570521"/>
    <w:rsid w:val="00574B1A"/>
    <w:rsid w:val="00580A59"/>
    <w:rsid w:val="0058166A"/>
    <w:rsid w:val="005A4227"/>
    <w:rsid w:val="005A722E"/>
    <w:rsid w:val="005B5BC4"/>
    <w:rsid w:val="005D6CAC"/>
    <w:rsid w:val="005E3CB3"/>
    <w:rsid w:val="005E47DD"/>
    <w:rsid w:val="005F18E1"/>
    <w:rsid w:val="005F1B9D"/>
    <w:rsid w:val="005F34FA"/>
    <w:rsid w:val="005F6F2B"/>
    <w:rsid w:val="00603A97"/>
    <w:rsid w:val="0062278C"/>
    <w:rsid w:val="00640532"/>
    <w:rsid w:val="00641ABC"/>
    <w:rsid w:val="006431A1"/>
    <w:rsid w:val="00644F9B"/>
    <w:rsid w:val="00652B56"/>
    <w:rsid w:val="006548A9"/>
    <w:rsid w:val="006665FE"/>
    <w:rsid w:val="00673CA5"/>
    <w:rsid w:val="00677F52"/>
    <w:rsid w:val="006962C3"/>
    <w:rsid w:val="00696ADF"/>
    <w:rsid w:val="006A657E"/>
    <w:rsid w:val="006B003D"/>
    <w:rsid w:val="006B0B2C"/>
    <w:rsid w:val="006B4532"/>
    <w:rsid w:val="006B6287"/>
    <w:rsid w:val="00700476"/>
    <w:rsid w:val="00711681"/>
    <w:rsid w:val="00712350"/>
    <w:rsid w:val="007258D9"/>
    <w:rsid w:val="00731AEF"/>
    <w:rsid w:val="00734393"/>
    <w:rsid w:val="0073661F"/>
    <w:rsid w:val="007452D7"/>
    <w:rsid w:val="00746E68"/>
    <w:rsid w:val="007511C0"/>
    <w:rsid w:val="007547F5"/>
    <w:rsid w:val="00774C92"/>
    <w:rsid w:val="007779AB"/>
    <w:rsid w:val="007839E9"/>
    <w:rsid w:val="00785333"/>
    <w:rsid w:val="007879BC"/>
    <w:rsid w:val="00795204"/>
    <w:rsid w:val="007A67B3"/>
    <w:rsid w:val="007B3577"/>
    <w:rsid w:val="007C0197"/>
    <w:rsid w:val="007D69DD"/>
    <w:rsid w:val="007E2964"/>
    <w:rsid w:val="007E78C2"/>
    <w:rsid w:val="008059E4"/>
    <w:rsid w:val="008258E6"/>
    <w:rsid w:val="008278F4"/>
    <w:rsid w:val="00863A4B"/>
    <w:rsid w:val="008705E3"/>
    <w:rsid w:val="008726E9"/>
    <w:rsid w:val="0088470D"/>
    <w:rsid w:val="00890EA3"/>
    <w:rsid w:val="008937B7"/>
    <w:rsid w:val="008A54E3"/>
    <w:rsid w:val="008F7747"/>
    <w:rsid w:val="0090314D"/>
    <w:rsid w:val="0091458D"/>
    <w:rsid w:val="0091770F"/>
    <w:rsid w:val="00920402"/>
    <w:rsid w:val="00922BCD"/>
    <w:rsid w:val="00925096"/>
    <w:rsid w:val="00937023"/>
    <w:rsid w:val="009405E2"/>
    <w:rsid w:val="009448C7"/>
    <w:rsid w:val="00951C61"/>
    <w:rsid w:val="00952CA0"/>
    <w:rsid w:val="00976276"/>
    <w:rsid w:val="0098093C"/>
    <w:rsid w:val="009A1F1C"/>
    <w:rsid w:val="009B2E32"/>
    <w:rsid w:val="009C33F5"/>
    <w:rsid w:val="009C41DD"/>
    <w:rsid w:val="009C7C97"/>
    <w:rsid w:val="009D5D28"/>
    <w:rsid w:val="009E6285"/>
    <w:rsid w:val="009F7FCC"/>
    <w:rsid w:val="00A27E69"/>
    <w:rsid w:val="00A47FC2"/>
    <w:rsid w:val="00A53392"/>
    <w:rsid w:val="00A54A49"/>
    <w:rsid w:val="00A62353"/>
    <w:rsid w:val="00A67BB9"/>
    <w:rsid w:val="00A7425F"/>
    <w:rsid w:val="00A85CBD"/>
    <w:rsid w:val="00A93F04"/>
    <w:rsid w:val="00A9525A"/>
    <w:rsid w:val="00A977D0"/>
    <w:rsid w:val="00AA2F54"/>
    <w:rsid w:val="00AA78B6"/>
    <w:rsid w:val="00AB3B02"/>
    <w:rsid w:val="00AC373E"/>
    <w:rsid w:val="00AD1391"/>
    <w:rsid w:val="00AD71A4"/>
    <w:rsid w:val="00AD78E6"/>
    <w:rsid w:val="00AF50D3"/>
    <w:rsid w:val="00B03BE7"/>
    <w:rsid w:val="00B10D7C"/>
    <w:rsid w:val="00B12374"/>
    <w:rsid w:val="00B21BAC"/>
    <w:rsid w:val="00B30ACB"/>
    <w:rsid w:val="00B31C61"/>
    <w:rsid w:val="00B3497B"/>
    <w:rsid w:val="00B4044E"/>
    <w:rsid w:val="00B5005C"/>
    <w:rsid w:val="00B6174D"/>
    <w:rsid w:val="00B67438"/>
    <w:rsid w:val="00B83AD4"/>
    <w:rsid w:val="00B845B1"/>
    <w:rsid w:val="00B92B45"/>
    <w:rsid w:val="00B935E9"/>
    <w:rsid w:val="00B9717F"/>
    <w:rsid w:val="00BB206B"/>
    <w:rsid w:val="00BB213C"/>
    <w:rsid w:val="00BB2D38"/>
    <w:rsid w:val="00BB3F55"/>
    <w:rsid w:val="00BC09B8"/>
    <w:rsid w:val="00BD25D4"/>
    <w:rsid w:val="00BD3907"/>
    <w:rsid w:val="00BE0848"/>
    <w:rsid w:val="00BE55A0"/>
    <w:rsid w:val="00BE76A7"/>
    <w:rsid w:val="00BF01B9"/>
    <w:rsid w:val="00C01B42"/>
    <w:rsid w:val="00C2061A"/>
    <w:rsid w:val="00C26808"/>
    <w:rsid w:val="00C26BD0"/>
    <w:rsid w:val="00C30720"/>
    <w:rsid w:val="00C3154A"/>
    <w:rsid w:val="00C37BDE"/>
    <w:rsid w:val="00C56528"/>
    <w:rsid w:val="00C6662F"/>
    <w:rsid w:val="00C671D9"/>
    <w:rsid w:val="00C70638"/>
    <w:rsid w:val="00C83CD2"/>
    <w:rsid w:val="00C91E80"/>
    <w:rsid w:val="00C9504E"/>
    <w:rsid w:val="00C955B7"/>
    <w:rsid w:val="00CA043A"/>
    <w:rsid w:val="00CA5488"/>
    <w:rsid w:val="00CA5D49"/>
    <w:rsid w:val="00CA7A35"/>
    <w:rsid w:val="00CB1E82"/>
    <w:rsid w:val="00CD3FA8"/>
    <w:rsid w:val="00CE0E1A"/>
    <w:rsid w:val="00CE133F"/>
    <w:rsid w:val="00CE546A"/>
    <w:rsid w:val="00CF49B4"/>
    <w:rsid w:val="00D02A5E"/>
    <w:rsid w:val="00D121DF"/>
    <w:rsid w:val="00D1455A"/>
    <w:rsid w:val="00D154FC"/>
    <w:rsid w:val="00D17548"/>
    <w:rsid w:val="00D216B9"/>
    <w:rsid w:val="00D2178D"/>
    <w:rsid w:val="00D3672B"/>
    <w:rsid w:val="00D40F31"/>
    <w:rsid w:val="00D44310"/>
    <w:rsid w:val="00D5061E"/>
    <w:rsid w:val="00D92899"/>
    <w:rsid w:val="00D953BD"/>
    <w:rsid w:val="00DA1431"/>
    <w:rsid w:val="00DB24CD"/>
    <w:rsid w:val="00DB28EF"/>
    <w:rsid w:val="00DD449D"/>
    <w:rsid w:val="00DF1EFD"/>
    <w:rsid w:val="00DF7AB7"/>
    <w:rsid w:val="00E154E9"/>
    <w:rsid w:val="00E26626"/>
    <w:rsid w:val="00E352BE"/>
    <w:rsid w:val="00E40679"/>
    <w:rsid w:val="00E51144"/>
    <w:rsid w:val="00E55C78"/>
    <w:rsid w:val="00E57152"/>
    <w:rsid w:val="00E627C0"/>
    <w:rsid w:val="00E71CD8"/>
    <w:rsid w:val="00E82CD3"/>
    <w:rsid w:val="00E83DF0"/>
    <w:rsid w:val="00EB11D7"/>
    <w:rsid w:val="00EB16B7"/>
    <w:rsid w:val="00EB5A22"/>
    <w:rsid w:val="00EC5404"/>
    <w:rsid w:val="00EC75D2"/>
    <w:rsid w:val="00ED46CA"/>
    <w:rsid w:val="00EE21B1"/>
    <w:rsid w:val="00EE52DB"/>
    <w:rsid w:val="00EE5C52"/>
    <w:rsid w:val="00EE6F57"/>
    <w:rsid w:val="00EF0A23"/>
    <w:rsid w:val="00EF0D3B"/>
    <w:rsid w:val="00EF758C"/>
    <w:rsid w:val="00F03D2A"/>
    <w:rsid w:val="00F349D6"/>
    <w:rsid w:val="00F44564"/>
    <w:rsid w:val="00F553CE"/>
    <w:rsid w:val="00F55612"/>
    <w:rsid w:val="00F611DD"/>
    <w:rsid w:val="00F64116"/>
    <w:rsid w:val="00F67A24"/>
    <w:rsid w:val="00F7063F"/>
    <w:rsid w:val="00F719D7"/>
    <w:rsid w:val="00F81598"/>
    <w:rsid w:val="00F84593"/>
    <w:rsid w:val="00F9223A"/>
    <w:rsid w:val="00FA04B3"/>
    <w:rsid w:val="00FB2829"/>
    <w:rsid w:val="00FB7457"/>
    <w:rsid w:val="00FC3235"/>
    <w:rsid w:val="00FC73DB"/>
    <w:rsid w:val="00FD3363"/>
    <w:rsid w:val="00FE0C71"/>
    <w:rsid w:val="00FE4064"/>
    <w:rsid w:val="00FE4417"/>
    <w:rsid w:val="00FF3BD5"/>
    <w:rsid w:val="01131A32"/>
    <w:rsid w:val="011A0835"/>
    <w:rsid w:val="011B1E20"/>
    <w:rsid w:val="01323B09"/>
    <w:rsid w:val="013E1580"/>
    <w:rsid w:val="015138CE"/>
    <w:rsid w:val="01586B7D"/>
    <w:rsid w:val="015B2E64"/>
    <w:rsid w:val="016A2761"/>
    <w:rsid w:val="016E6950"/>
    <w:rsid w:val="0171336B"/>
    <w:rsid w:val="01796792"/>
    <w:rsid w:val="017D284D"/>
    <w:rsid w:val="01827C5D"/>
    <w:rsid w:val="01986206"/>
    <w:rsid w:val="01A875DD"/>
    <w:rsid w:val="01CC5E26"/>
    <w:rsid w:val="01CD6344"/>
    <w:rsid w:val="01DA3F15"/>
    <w:rsid w:val="01E6767F"/>
    <w:rsid w:val="01F03469"/>
    <w:rsid w:val="01FB273B"/>
    <w:rsid w:val="02000787"/>
    <w:rsid w:val="02092BC2"/>
    <w:rsid w:val="021F2D2B"/>
    <w:rsid w:val="023E0EA5"/>
    <w:rsid w:val="023E6032"/>
    <w:rsid w:val="024C1960"/>
    <w:rsid w:val="0261791C"/>
    <w:rsid w:val="02741FDC"/>
    <w:rsid w:val="027470FC"/>
    <w:rsid w:val="02753E85"/>
    <w:rsid w:val="02973006"/>
    <w:rsid w:val="029D3935"/>
    <w:rsid w:val="02AC64E3"/>
    <w:rsid w:val="02B775C6"/>
    <w:rsid w:val="02BD4086"/>
    <w:rsid w:val="02C71646"/>
    <w:rsid w:val="02CB2AAF"/>
    <w:rsid w:val="02D3267B"/>
    <w:rsid w:val="02DA0756"/>
    <w:rsid w:val="02EA30E4"/>
    <w:rsid w:val="02EB6CE4"/>
    <w:rsid w:val="02FE6D1A"/>
    <w:rsid w:val="030574F1"/>
    <w:rsid w:val="030821FD"/>
    <w:rsid w:val="03091E03"/>
    <w:rsid w:val="03185CC8"/>
    <w:rsid w:val="032453D3"/>
    <w:rsid w:val="032A3240"/>
    <w:rsid w:val="03301D99"/>
    <w:rsid w:val="033C30A2"/>
    <w:rsid w:val="034616F4"/>
    <w:rsid w:val="03516745"/>
    <w:rsid w:val="0357726E"/>
    <w:rsid w:val="0365456D"/>
    <w:rsid w:val="036B2B35"/>
    <w:rsid w:val="03707FB3"/>
    <w:rsid w:val="03743EE2"/>
    <w:rsid w:val="037C4B2A"/>
    <w:rsid w:val="037D4AC6"/>
    <w:rsid w:val="03AB3A21"/>
    <w:rsid w:val="03BD7D9D"/>
    <w:rsid w:val="03C3740D"/>
    <w:rsid w:val="03CA5D0F"/>
    <w:rsid w:val="03D751FE"/>
    <w:rsid w:val="03E40D89"/>
    <w:rsid w:val="03E7366A"/>
    <w:rsid w:val="03FC65D9"/>
    <w:rsid w:val="03FD065F"/>
    <w:rsid w:val="0402181A"/>
    <w:rsid w:val="040915A2"/>
    <w:rsid w:val="040C1734"/>
    <w:rsid w:val="04137FBF"/>
    <w:rsid w:val="0428312E"/>
    <w:rsid w:val="0440610F"/>
    <w:rsid w:val="045628DA"/>
    <w:rsid w:val="046244DB"/>
    <w:rsid w:val="047D240A"/>
    <w:rsid w:val="04987F71"/>
    <w:rsid w:val="049F78F0"/>
    <w:rsid w:val="04AF0445"/>
    <w:rsid w:val="04BA6D95"/>
    <w:rsid w:val="04E11812"/>
    <w:rsid w:val="04E706B7"/>
    <w:rsid w:val="04F04DFC"/>
    <w:rsid w:val="05034C1D"/>
    <w:rsid w:val="05103A0F"/>
    <w:rsid w:val="0519465C"/>
    <w:rsid w:val="05287D8F"/>
    <w:rsid w:val="052A17B5"/>
    <w:rsid w:val="052A1FC3"/>
    <w:rsid w:val="052F0286"/>
    <w:rsid w:val="0534588F"/>
    <w:rsid w:val="053825B2"/>
    <w:rsid w:val="054D15B2"/>
    <w:rsid w:val="054F684A"/>
    <w:rsid w:val="05525D18"/>
    <w:rsid w:val="056703FD"/>
    <w:rsid w:val="05723C7C"/>
    <w:rsid w:val="05834EC2"/>
    <w:rsid w:val="05856CF0"/>
    <w:rsid w:val="059310C4"/>
    <w:rsid w:val="059B00A7"/>
    <w:rsid w:val="059D3E1F"/>
    <w:rsid w:val="05BE190C"/>
    <w:rsid w:val="05BE7E99"/>
    <w:rsid w:val="05C24107"/>
    <w:rsid w:val="05C41C64"/>
    <w:rsid w:val="05CD30E0"/>
    <w:rsid w:val="05D07C16"/>
    <w:rsid w:val="05D92F35"/>
    <w:rsid w:val="05ED208F"/>
    <w:rsid w:val="05F34BA3"/>
    <w:rsid w:val="05F85E55"/>
    <w:rsid w:val="05FD1E26"/>
    <w:rsid w:val="05FF1146"/>
    <w:rsid w:val="06114212"/>
    <w:rsid w:val="06125D57"/>
    <w:rsid w:val="062F26A8"/>
    <w:rsid w:val="06334840"/>
    <w:rsid w:val="064F2C3F"/>
    <w:rsid w:val="06594DA3"/>
    <w:rsid w:val="065A53FC"/>
    <w:rsid w:val="065E2393"/>
    <w:rsid w:val="065F10D4"/>
    <w:rsid w:val="066626FE"/>
    <w:rsid w:val="0676175A"/>
    <w:rsid w:val="06775207"/>
    <w:rsid w:val="06776577"/>
    <w:rsid w:val="067B40DF"/>
    <w:rsid w:val="06876005"/>
    <w:rsid w:val="06A116ED"/>
    <w:rsid w:val="06A353E0"/>
    <w:rsid w:val="06AA3AB5"/>
    <w:rsid w:val="06B87D95"/>
    <w:rsid w:val="06BB2606"/>
    <w:rsid w:val="06C06D04"/>
    <w:rsid w:val="06CA5301"/>
    <w:rsid w:val="06DA24AC"/>
    <w:rsid w:val="06F03A87"/>
    <w:rsid w:val="07277241"/>
    <w:rsid w:val="07325D7A"/>
    <w:rsid w:val="073F5CE6"/>
    <w:rsid w:val="074314BE"/>
    <w:rsid w:val="07477221"/>
    <w:rsid w:val="074A13E0"/>
    <w:rsid w:val="075638FD"/>
    <w:rsid w:val="07572194"/>
    <w:rsid w:val="075A6E36"/>
    <w:rsid w:val="0769262D"/>
    <w:rsid w:val="07871351"/>
    <w:rsid w:val="07876DA3"/>
    <w:rsid w:val="0788435E"/>
    <w:rsid w:val="07897DED"/>
    <w:rsid w:val="078F795C"/>
    <w:rsid w:val="07A37B12"/>
    <w:rsid w:val="07C76C14"/>
    <w:rsid w:val="07CE4A3B"/>
    <w:rsid w:val="07DC28A3"/>
    <w:rsid w:val="07ED3609"/>
    <w:rsid w:val="07F9615A"/>
    <w:rsid w:val="08024301"/>
    <w:rsid w:val="081608A9"/>
    <w:rsid w:val="08202DBC"/>
    <w:rsid w:val="08366821"/>
    <w:rsid w:val="083D65F0"/>
    <w:rsid w:val="08550ABF"/>
    <w:rsid w:val="0858484E"/>
    <w:rsid w:val="086041FB"/>
    <w:rsid w:val="08673234"/>
    <w:rsid w:val="086E5D05"/>
    <w:rsid w:val="088A35DE"/>
    <w:rsid w:val="088F539A"/>
    <w:rsid w:val="08955281"/>
    <w:rsid w:val="089A73E5"/>
    <w:rsid w:val="089D7C92"/>
    <w:rsid w:val="08A8125F"/>
    <w:rsid w:val="08AE41FE"/>
    <w:rsid w:val="08C83301"/>
    <w:rsid w:val="08D441B9"/>
    <w:rsid w:val="08D73321"/>
    <w:rsid w:val="08DD78CB"/>
    <w:rsid w:val="08DF3617"/>
    <w:rsid w:val="08EC10BC"/>
    <w:rsid w:val="08F051D6"/>
    <w:rsid w:val="08FE0277"/>
    <w:rsid w:val="09172A0D"/>
    <w:rsid w:val="092159E2"/>
    <w:rsid w:val="092B5722"/>
    <w:rsid w:val="092D66BF"/>
    <w:rsid w:val="09380071"/>
    <w:rsid w:val="0953627B"/>
    <w:rsid w:val="0957037C"/>
    <w:rsid w:val="0967273B"/>
    <w:rsid w:val="097431D5"/>
    <w:rsid w:val="09851417"/>
    <w:rsid w:val="09883595"/>
    <w:rsid w:val="0989518D"/>
    <w:rsid w:val="09955A35"/>
    <w:rsid w:val="09956C8E"/>
    <w:rsid w:val="09A86E49"/>
    <w:rsid w:val="09B20A08"/>
    <w:rsid w:val="09B21137"/>
    <w:rsid w:val="09CD0497"/>
    <w:rsid w:val="09E32519"/>
    <w:rsid w:val="09E45BDF"/>
    <w:rsid w:val="0A195DC3"/>
    <w:rsid w:val="0A211A52"/>
    <w:rsid w:val="0A231FA1"/>
    <w:rsid w:val="0A2C1662"/>
    <w:rsid w:val="0A500431"/>
    <w:rsid w:val="0A550CA1"/>
    <w:rsid w:val="0A6939AD"/>
    <w:rsid w:val="0A7077BF"/>
    <w:rsid w:val="0A76027A"/>
    <w:rsid w:val="0A764B67"/>
    <w:rsid w:val="0A8161CC"/>
    <w:rsid w:val="0A8828B9"/>
    <w:rsid w:val="0A900771"/>
    <w:rsid w:val="0A960758"/>
    <w:rsid w:val="0AA90BF2"/>
    <w:rsid w:val="0AB275CF"/>
    <w:rsid w:val="0ABB2680"/>
    <w:rsid w:val="0ABC73BE"/>
    <w:rsid w:val="0AC16AED"/>
    <w:rsid w:val="0AC54FD2"/>
    <w:rsid w:val="0ACA00B8"/>
    <w:rsid w:val="0ACF709A"/>
    <w:rsid w:val="0AD15725"/>
    <w:rsid w:val="0AE16B37"/>
    <w:rsid w:val="0AF002A3"/>
    <w:rsid w:val="0B1D2F63"/>
    <w:rsid w:val="0B253338"/>
    <w:rsid w:val="0B347AF6"/>
    <w:rsid w:val="0B416A16"/>
    <w:rsid w:val="0B4B19E9"/>
    <w:rsid w:val="0B4E5290"/>
    <w:rsid w:val="0B5F0EB8"/>
    <w:rsid w:val="0B6C7020"/>
    <w:rsid w:val="0B702A15"/>
    <w:rsid w:val="0B771030"/>
    <w:rsid w:val="0B80779A"/>
    <w:rsid w:val="0BA7604B"/>
    <w:rsid w:val="0BAA670C"/>
    <w:rsid w:val="0BAC78D5"/>
    <w:rsid w:val="0BB570C5"/>
    <w:rsid w:val="0BBC48D3"/>
    <w:rsid w:val="0BC72462"/>
    <w:rsid w:val="0BD975EB"/>
    <w:rsid w:val="0BED6619"/>
    <w:rsid w:val="0BF35BA6"/>
    <w:rsid w:val="0BFD5AB5"/>
    <w:rsid w:val="0BFE313E"/>
    <w:rsid w:val="0C04503A"/>
    <w:rsid w:val="0C0F4280"/>
    <w:rsid w:val="0C0F64D5"/>
    <w:rsid w:val="0C251A9C"/>
    <w:rsid w:val="0C343E5A"/>
    <w:rsid w:val="0C444C60"/>
    <w:rsid w:val="0C4515BE"/>
    <w:rsid w:val="0C5067FE"/>
    <w:rsid w:val="0C55468D"/>
    <w:rsid w:val="0C5D4C36"/>
    <w:rsid w:val="0C615A92"/>
    <w:rsid w:val="0C805EFF"/>
    <w:rsid w:val="0C827C85"/>
    <w:rsid w:val="0C850EEA"/>
    <w:rsid w:val="0C851EA4"/>
    <w:rsid w:val="0C977B80"/>
    <w:rsid w:val="0C9D4611"/>
    <w:rsid w:val="0CA26468"/>
    <w:rsid w:val="0CA41A11"/>
    <w:rsid w:val="0CCE1990"/>
    <w:rsid w:val="0CDD5B88"/>
    <w:rsid w:val="0CDE7FF1"/>
    <w:rsid w:val="0CEA5E4B"/>
    <w:rsid w:val="0D077B9B"/>
    <w:rsid w:val="0D0C5DFA"/>
    <w:rsid w:val="0D1A0A03"/>
    <w:rsid w:val="0D1A2290"/>
    <w:rsid w:val="0D231F32"/>
    <w:rsid w:val="0D24150A"/>
    <w:rsid w:val="0D292FA3"/>
    <w:rsid w:val="0D2E1312"/>
    <w:rsid w:val="0D335B19"/>
    <w:rsid w:val="0D514B9B"/>
    <w:rsid w:val="0D5D4B5F"/>
    <w:rsid w:val="0D6F2E1D"/>
    <w:rsid w:val="0D7000B9"/>
    <w:rsid w:val="0D77410B"/>
    <w:rsid w:val="0D780DBC"/>
    <w:rsid w:val="0D9B6D57"/>
    <w:rsid w:val="0DA44D31"/>
    <w:rsid w:val="0DC86AF8"/>
    <w:rsid w:val="0DCE7B97"/>
    <w:rsid w:val="0DDF1BE8"/>
    <w:rsid w:val="0DEF71E2"/>
    <w:rsid w:val="0E010B65"/>
    <w:rsid w:val="0E112FF6"/>
    <w:rsid w:val="0E141872"/>
    <w:rsid w:val="0E1C05B2"/>
    <w:rsid w:val="0E2774A7"/>
    <w:rsid w:val="0E2C0370"/>
    <w:rsid w:val="0E2D4544"/>
    <w:rsid w:val="0E3254A9"/>
    <w:rsid w:val="0E335BA6"/>
    <w:rsid w:val="0E4B0886"/>
    <w:rsid w:val="0E5F5066"/>
    <w:rsid w:val="0E653F8C"/>
    <w:rsid w:val="0E8D73D5"/>
    <w:rsid w:val="0E8E2099"/>
    <w:rsid w:val="0E9225C9"/>
    <w:rsid w:val="0E965E43"/>
    <w:rsid w:val="0E9735AA"/>
    <w:rsid w:val="0E9B3B85"/>
    <w:rsid w:val="0EBE186B"/>
    <w:rsid w:val="0ED00C0F"/>
    <w:rsid w:val="0ED5370C"/>
    <w:rsid w:val="0EE33613"/>
    <w:rsid w:val="0EEC0BBF"/>
    <w:rsid w:val="0EF249A8"/>
    <w:rsid w:val="0EF33696"/>
    <w:rsid w:val="0EF43256"/>
    <w:rsid w:val="0F0339B3"/>
    <w:rsid w:val="0F0A18D6"/>
    <w:rsid w:val="0F0A3B56"/>
    <w:rsid w:val="0F0F39CD"/>
    <w:rsid w:val="0F1470DF"/>
    <w:rsid w:val="0F244062"/>
    <w:rsid w:val="0F2C5412"/>
    <w:rsid w:val="0F423C90"/>
    <w:rsid w:val="0F4F3C7B"/>
    <w:rsid w:val="0F654466"/>
    <w:rsid w:val="0F7778AF"/>
    <w:rsid w:val="0F925C4D"/>
    <w:rsid w:val="0FA94400"/>
    <w:rsid w:val="0FB02211"/>
    <w:rsid w:val="0FB26719"/>
    <w:rsid w:val="0FB37482"/>
    <w:rsid w:val="0FBF1CE2"/>
    <w:rsid w:val="0FD53E86"/>
    <w:rsid w:val="0FE013D7"/>
    <w:rsid w:val="0FE05FFF"/>
    <w:rsid w:val="0FE32E12"/>
    <w:rsid w:val="0FEE0542"/>
    <w:rsid w:val="0FFB716C"/>
    <w:rsid w:val="10031799"/>
    <w:rsid w:val="100928A7"/>
    <w:rsid w:val="100D0566"/>
    <w:rsid w:val="10136650"/>
    <w:rsid w:val="101766EF"/>
    <w:rsid w:val="101C1F4D"/>
    <w:rsid w:val="101E3A06"/>
    <w:rsid w:val="10202AD6"/>
    <w:rsid w:val="102B0279"/>
    <w:rsid w:val="102D753F"/>
    <w:rsid w:val="103617AF"/>
    <w:rsid w:val="108814FD"/>
    <w:rsid w:val="108B1368"/>
    <w:rsid w:val="10A21FC5"/>
    <w:rsid w:val="10A54FD3"/>
    <w:rsid w:val="10A650A0"/>
    <w:rsid w:val="10B24403"/>
    <w:rsid w:val="10BD7019"/>
    <w:rsid w:val="10C42B3E"/>
    <w:rsid w:val="10CE375D"/>
    <w:rsid w:val="10F32869"/>
    <w:rsid w:val="11044FC7"/>
    <w:rsid w:val="110527E5"/>
    <w:rsid w:val="112E44A5"/>
    <w:rsid w:val="11444655"/>
    <w:rsid w:val="11492DE0"/>
    <w:rsid w:val="114A6CDB"/>
    <w:rsid w:val="114E4B23"/>
    <w:rsid w:val="11657718"/>
    <w:rsid w:val="116C0AA4"/>
    <w:rsid w:val="118227DF"/>
    <w:rsid w:val="118E227B"/>
    <w:rsid w:val="11921EA0"/>
    <w:rsid w:val="119F419B"/>
    <w:rsid w:val="11AA3CF7"/>
    <w:rsid w:val="11AB3B00"/>
    <w:rsid w:val="11B20ED2"/>
    <w:rsid w:val="11B7720B"/>
    <w:rsid w:val="11C05070"/>
    <w:rsid w:val="11CA3C61"/>
    <w:rsid w:val="11D237A6"/>
    <w:rsid w:val="11D51EDB"/>
    <w:rsid w:val="11D57124"/>
    <w:rsid w:val="11DF6239"/>
    <w:rsid w:val="11F12EFC"/>
    <w:rsid w:val="11F4424F"/>
    <w:rsid w:val="12050AF2"/>
    <w:rsid w:val="1208585F"/>
    <w:rsid w:val="120D1BAF"/>
    <w:rsid w:val="121713E6"/>
    <w:rsid w:val="121E5148"/>
    <w:rsid w:val="121F7E41"/>
    <w:rsid w:val="12227BB1"/>
    <w:rsid w:val="12235046"/>
    <w:rsid w:val="122E5C82"/>
    <w:rsid w:val="12361A43"/>
    <w:rsid w:val="1242045B"/>
    <w:rsid w:val="12490E8B"/>
    <w:rsid w:val="12617F82"/>
    <w:rsid w:val="126C6986"/>
    <w:rsid w:val="127D3116"/>
    <w:rsid w:val="12873776"/>
    <w:rsid w:val="12994089"/>
    <w:rsid w:val="129B5E9B"/>
    <w:rsid w:val="12AA72E3"/>
    <w:rsid w:val="12AC24D6"/>
    <w:rsid w:val="12B6732D"/>
    <w:rsid w:val="12B678AF"/>
    <w:rsid w:val="12BA6EBC"/>
    <w:rsid w:val="12BE2595"/>
    <w:rsid w:val="12D563F1"/>
    <w:rsid w:val="12D954AA"/>
    <w:rsid w:val="12E54297"/>
    <w:rsid w:val="130C3D33"/>
    <w:rsid w:val="130F0201"/>
    <w:rsid w:val="13110E99"/>
    <w:rsid w:val="1315338A"/>
    <w:rsid w:val="13167A74"/>
    <w:rsid w:val="1355468A"/>
    <w:rsid w:val="135D51B9"/>
    <w:rsid w:val="13795601"/>
    <w:rsid w:val="137F1C0E"/>
    <w:rsid w:val="139173E1"/>
    <w:rsid w:val="13973053"/>
    <w:rsid w:val="13C17083"/>
    <w:rsid w:val="13C938D7"/>
    <w:rsid w:val="13CE64C8"/>
    <w:rsid w:val="13E420D1"/>
    <w:rsid w:val="1402733B"/>
    <w:rsid w:val="141126D1"/>
    <w:rsid w:val="142975DB"/>
    <w:rsid w:val="142D1A1B"/>
    <w:rsid w:val="1430370A"/>
    <w:rsid w:val="14335A79"/>
    <w:rsid w:val="14397A6A"/>
    <w:rsid w:val="144776E7"/>
    <w:rsid w:val="14490944"/>
    <w:rsid w:val="144C6FC7"/>
    <w:rsid w:val="14535AF7"/>
    <w:rsid w:val="14920D8C"/>
    <w:rsid w:val="1499259A"/>
    <w:rsid w:val="149D2E3A"/>
    <w:rsid w:val="14B13CE5"/>
    <w:rsid w:val="14C2630C"/>
    <w:rsid w:val="14CE4728"/>
    <w:rsid w:val="14D06719"/>
    <w:rsid w:val="14D073D9"/>
    <w:rsid w:val="14D43A70"/>
    <w:rsid w:val="14D7226C"/>
    <w:rsid w:val="14D87CC6"/>
    <w:rsid w:val="14EE45A0"/>
    <w:rsid w:val="14F21926"/>
    <w:rsid w:val="14FB4173"/>
    <w:rsid w:val="15001723"/>
    <w:rsid w:val="15281730"/>
    <w:rsid w:val="152C487D"/>
    <w:rsid w:val="153348C4"/>
    <w:rsid w:val="15367BBB"/>
    <w:rsid w:val="15476F29"/>
    <w:rsid w:val="15514E5A"/>
    <w:rsid w:val="155A29DF"/>
    <w:rsid w:val="156B7B78"/>
    <w:rsid w:val="1573554C"/>
    <w:rsid w:val="157B47EE"/>
    <w:rsid w:val="157B607D"/>
    <w:rsid w:val="158908E2"/>
    <w:rsid w:val="15AB661B"/>
    <w:rsid w:val="15B5629D"/>
    <w:rsid w:val="15B57927"/>
    <w:rsid w:val="15C56DEE"/>
    <w:rsid w:val="15E72B7C"/>
    <w:rsid w:val="16033142"/>
    <w:rsid w:val="16277771"/>
    <w:rsid w:val="163C57D0"/>
    <w:rsid w:val="163E7524"/>
    <w:rsid w:val="164C3390"/>
    <w:rsid w:val="165C1A47"/>
    <w:rsid w:val="166172A0"/>
    <w:rsid w:val="16913B34"/>
    <w:rsid w:val="16983DAC"/>
    <w:rsid w:val="16C543C5"/>
    <w:rsid w:val="16D26A63"/>
    <w:rsid w:val="16D66719"/>
    <w:rsid w:val="16EC6C3B"/>
    <w:rsid w:val="16F86CF6"/>
    <w:rsid w:val="17155AED"/>
    <w:rsid w:val="17174E15"/>
    <w:rsid w:val="17187CDF"/>
    <w:rsid w:val="171D6791"/>
    <w:rsid w:val="17204247"/>
    <w:rsid w:val="1737153C"/>
    <w:rsid w:val="17385718"/>
    <w:rsid w:val="173B6502"/>
    <w:rsid w:val="17401F45"/>
    <w:rsid w:val="174B4F71"/>
    <w:rsid w:val="17537A06"/>
    <w:rsid w:val="17705037"/>
    <w:rsid w:val="177176AD"/>
    <w:rsid w:val="177E4F0D"/>
    <w:rsid w:val="17805515"/>
    <w:rsid w:val="178B57D4"/>
    <w:rsid w:val="179B4C68"/>
    <w:rsid w:val="17AD32EE"/>
    <w:rsid w:val="17AD7EE0"/>
    <w:rsid w:val="17B13FF9"/>
    <w:rsid w:val="17B26290"/>
    <w:rsid w:val="17BC0000"/>
    <w:rsid w:val="17BD7529"/>
    <w:rsid w:val="17D773F7"/>
    <w:rsid w:val="17DC54BB"/>
    <w:rsid w:val="17E104EE"/>
    <w:rsid w:val="17E72C09"/>
    <w:rsid w:val="17ED5094"/>
    <w:rsid w:val="17EF10D7"/>
    <w:rsid w:val="17FC0ACC"/>
    <w:rsid w:val="180625B1"/>
    <w:rsid w:val="1807129E"/>
    <w:rsid w:val="18251D49"/>
    <w:rsid w:val="18282DD3"/>
    <w:rsid w:val="182D69AD"/>
    <w:rsid w:val="18386669"/>
    <w:rsid w:val="183B1275"/>
    <w:rsid w:val="1845427A"/>
    <w:rsid w:val="1860166E"/>
    <w:rsid w:val="18643F78"/>
    <w:rsid w:val="186B60FA"/>
    <w:rsid w:val="187A7987"/>
    <w:rsid w:val="188470C9"/>
    <w:rsid w:val="188A331D"/>
    <w:rsid w:val="188F3B64"/>
    <w:rsid w:val="18A47843"/>
    <w:rsid w:val="18B072B4"/>
    <w:rsid w:val="18BC6DCF"/>
    <w:rsid w:val="18CD55E7"/>
    <w:rsid w:val="18D30E6E"/>
    <w:rsid w:val="18D568BE"/>
    <w:rsid w:val="18E117C4"/>
    <w:rsid w:val="19132DBC"/>
    <w:rsid w:val="19231F84"/>
    <w:rsid w:val="193B416C"/>
    <w:rsid w:val="19462CB4"/>
    <w:rsid w:val="196E22DF"/>
    <w:rsid w:val="196F34AA"/>
    <w:rsid w:val="196F4E94"/>
    <w:rsid w:val="198E1DE3"/>
    <w:rsid w:val="19906F63"/>
    <w:rsid w:val="199C11B2"/>
    <w:rsid w:val="19A02AD7"/>
    <w:rsid w:val="19A6768F"/>
    <w:rsid w:val="19A95372"/>
    <w:rsid w:val="19C57860"/>
    <w:rsid w:val="19C71E29"/>
    <w:rsid w:val="19C75FCD"/>
    <w:rsid w:val="19C833DC"/>
    <w:rsid w:val="19D0657E"/>
    <w:rsid w:val="19DA36E0"/>
    <w:rsid w:val="19DD315C"/>
    <w:rsid w:val="19DE2288"/>
    <w:rsid w:val="19E26F6A"/>
    <w:rsid w:val="19E31D9D"/>
    <w:rsid w:val="19E804D0"/>
    <w:rsid w:val="19EC69D4"/>
    <w:rsid w:val="19F14504"/>
    <w:rsid w:val="19F25C88"/>
    <w:rsid w:val="19FD0DC9"/>
    <w:rsid w:val="1A081318"/>
    <w:rsid w:val="1A127499"/>
    <w:rsid w:val="1A1E07D1"/>
    <w:rsid w:val="1A1E677A"/>
    <w:rsid w:val="1A2B7F77"/>
    <w:rsid w:val="1A473A0A"/>
    <w:rsid w:val="1A5C6CAC"/>
    <w:rsid w:val="1A756AA6"/>
    <w:rsid w:val="1A7900E8"/>
    <w:rsid w:val="1A7A5B4E"/>
    <w:rsid w:val="1A804120"/>
    <w:rsid w:val="1A8176F6"/>
    <w:rsid w:val="1A9C0403"/>
    <w:rsid w:val="1AAC2CBB"/>
    <w:rsid w:val="1AAE05B6"/>
    <w:rsid w:val="1AB82D84"/>
    <w:rsid w:val="1ABC0D01"/>
    <w:rsid w:val="1ABE5DBB"/>
    <w:rsid w:val="1AD95915"/>
    <w:rsid w:val="1AE63612"/>
    <w:rsid w:val="1AF94CC0"/>
    <w:rsid w:val="1B0433E1"/>
    <w:rsid w:val="1B0E4F84"/>
    <w:rsid w:val="1B141447"/>
    <w:rsid w:val="1B217324"/>
    <w:rsid w:val="1B267A54"/>
    <w:rsid w:val="1B4D47CC"/>
    <w:rsid w:val="1B5D7B73"/>
    <w:rsid w:val="1B5F6296"/>
    <w:rsid w:val="1B601E5F"/>
    <w:rsid w:val="1B6F35D2"/>
    <w:rsid w:val="1B7316B6"/>
    <w:rsid w:val="1B79518D"/>
    <w:rsid w:val="1B7951CF"/>
    <w:rsid w:val="1B9F77CF"/>
    <w:rsid w:val="1BA03FAD"/>
    <w:rsid w:val="1BAD0EC9"/>
    <w:rsid w:val="1BB203BE"/>
    <w:rsid w:val="1BC3580A"/>
    <w:rsid w:val="1BC73C92"/>
    <w:rsid w:val="1BC84091"/>
    <w:rsid w:val="1BD81AE5"/>
    <w:rsid w:val="1BE85BF2"/>
    <w:rsid w:val="1BF510BE"/>
    <w:rsid w:val="1BF5197B"/>
    <w:rsid w:val="1C0A2394"/>
    <w:rsid w:val="1C161CA6"/>
    <w:rsid w:val="1C172B3C"/>
    <w:rsid w:val="1C370501"/>
    <w:rsid w:val="1C502905"/>
    <w:rsid w:val="1C514422"/>
    <w:rsid w:val="1C7551F6"/>
    <w:rsid w:val="1C811901"/>
    <w:rsid w:val="1C9545B0"/>
    <w:rsid w:val="1CA82357"/>
    <w:rsid w:val="1CAB6F69"/>
    <w:rsid w:val="1CAE5ECD"/>
    <w:rsid w:val="1CB850A1"/>
    <w:rsid w:val="1CC3484D"/>
    <w:rsid w:val="1CC35955"/>
    <w:rsid w:val="1CD767C0"/>
    <w:rsid w:val="1CD86535"/>
    <w:rsid w:val="1CDE1AC7"/>
    <w:rsid w:val="1CE20E98"/>
    <w:rsid w:val="1CE356DD"/>
    <w:rsid w:val="1CF01EEC"/>
    <w:rsid w:val="1CFF632B"/>
    <w:rsid w:val="1D047D6B"/>
    <w:rsid w:val="1D245DC7"/>
    <w:rsid w:val="1D2B5C05"/>
    <w:rsid w:val="1D39508E"/>
    <w:rsid w:val="1D4B3D03"/>
    <w:rsid w:val="1D4D5A93"/>
    <w:rsid w:val="1D4E5D5F"/>
    <w:rsid w:val="1D754932"/>
    <w:rsid w:val="1D792AFB"/>
    <w:rsid w:val="1D980F2A"/>
    <w:rsid w:val="1D993179"/>
    <w:rsid w:val="1DAB755C"/>
    <w:rsid w:val="1DB70EB9"/>
    <w:rsid w:val="1DCA41AE"/>
    <w:rsid w:val="1DCB52F0"/>
    <w:rsid w:val="1DD5026B"/>
    <w:rsid w:val="1DD63321"/>
    <w:rsid w:val="1DEA34E1"/>
    <w:rsid w:val="1DED1FEA"/>
    <w:rsid w:val="1DF81D7F"/>
    <w:rsid w:val="1E0561EB"/>
    <w:rsid w:val="1E06195E"/>
    <w:rsid w:val="1E0B2298"/>
    <w:rsid w:val="1E1A4A4A"/>
    <w:rsid w:val="1E1E2588"/>
    <w:rsid w:val="1E1E44BB"/>
    <w:rsid w:val="1E2B31E1"/>
    <w:rsid w:val="1E31338C"/>
    <w:rsid w:val="1E3455D9"/>
    <w:rsid w:val="1E3608F1"/>
    <w:rsid w:val="1E3A7241"/>
    <w:rsid w:val="1E4503E2"/>
    <w:rsid w:val="1E464AB1"/>
    <w:rsid w:val="1E487D98"/>
    <w:rsid w:val="1E4A0464"/>
    <w:rsid w:val="1E4B1042"/>
    <w:rsid w:val="1E5966FD"/>
    <w:rsid w:val="1E5C5A8A"/>
    <w:rsid w:val="1E635735"/>
    <w:rsid w:val="1E674934"/>
    <w:rsid w:val="1E6A6DE0"/>
    <w:rsid w:val="1E6C0347"/>
    <w:rsid w:val="1E806DE2"/>
    <w:rsid w:val="1E8C4488"/>
    <w:rsid w:val="1E9342BA"/>
    <w:rsid w:val="1E9B3EFB"/>
    <w:rsid w:val="1E9E668F"/>
    <w:rsid w:val="1EC02A3C"/>
    <w:rsid w:val="1EC46171"/>
    <w:rsid w:val="1ECE533F"/>
    <w:rsid w:val="1EDB6B41"/>
    <w:rsid w:val="1EF64365"/>
    <w:rsid w:val="1EF71194"/>
    <w:rsid w:val="1EF925B4"/>
    <w:rsid w:val="1EFA1543"/>
    <w:rsid w:val="1F082CE5"/>
    <w:rsid w:val="1F204EA9"/>
    <w:rsid w:val="1F3C6A6F"/>
    <w:rsid w:val="1F3F2BD4"/>
    <w:rsid w:val="1F476D3D"/>
    <w:rsid w:val="1F4E656C"/>
    <w:rsid w:val="1F5F7113"/>
    <w:rsid w:val="1F7A2683"/>
    <w:rsid w:val="1F8C6A0D"/>
    <w:rsid w:val="1F8D0609"/>
    <w:rsid w:val="1F9A0C53"/>
    <w:rsid w:val="1FB90E64"/>
    <w:rsid w:val="1FBD6041"/>
    <w:rsid w:val="1FC15CA9"/>
    <w:rsid w:val="1FC16199"/>
    <w:rsid w:val="1FE05C80"/>
    <w:rsid w:val="1FEC732D"/>
    <w:rsid w:val="20033F7F"/>
    <w:rsid w:val="20044E12"/>
    <w:rsid w:val="2007713A"/>
    <w:rsid w:val="201E5C4D"/>
    <w:rsid w:val="202672B7"/>
    <w:rsid w:val="202F348A"/>
    <w:rsid w:val="203533B3"/>
    <w:rsid w:val="203D7B4E"/>
    <w:rsid w:val="203F395C"/>
    <w:rsid w:val="204235E3"/>
    <w:rsid w:val="2046367C"/>
    <w:rsid w:val="204A0167"/>
    <w:rsid w:val="204E054D"/>
    <w:rsid w:val="205B6824"/>
    <w:rsid w:val="205E222D"/>
    <w:rsid w:val="206041D8"/>
    <w:rsid w:val="20667676"/>
    <w:rsid w:val="206C32B9"/>
    <w:rsid w:val="20941DE2"/>
    <w:rsid w:val="20B7758F"/>
    <w:rsid w:val="20BE4E13"/>
    <w:rsid w:val="20DB1F23"/>
    <w:rsid w:val="20E22222"/>
    <w:rsid w:val="20EB5FA4"/>
    <w:rsid w:val="2113617E"/>
    <w:rsid w:val="21192430"/>
    <w:rsid w:val="21325907"/>
    <w:rsid w:val="21350F58"/>
    <w:rsid w:val="21361BE1"/>
    <w:rsid w:val="214037C6"/>
    <w:rsid w:val="214A61D0"/>
    <w:rsid w:val="214E2256"/>
    <w:rsid w:val="216D4EBB"/>
    <w:rsid w:val="216E61B7"/>
    <w:rsid w:val="216F58F9"/>
    <w:rsid w:val="218D02BC"/>
    <w:rsid w:val="21955A8E"/>
    <w:rsid w:val="21961C88"/>
    <w:rsid w:val="21A33CC7"/>
    <w:rsid w:val="21B34242"/>
    <w:rsid w:val="21D270F2"/>
    <w:rsid w:val="21D42297"/>
    <w:rsid w:val="21E656DA"/>
    <w:rsid w:val="21EA5EBF"/>
    <w:rsid w:val="21EF1F36"/>
    <w:rsid w:val="22106188"/>
    <w:rsid w:val="221C6196"/>
    <w:rsid w:val="22257A7E"/>
    <w:rsid w:val="22441326"/>
    <w:rsid w:val="22630AFE"/>
    <w:rsid w:val="226C6A41"/>
    <w:rsid w:val="22872552"/>
    <w:rsid w:val="228E09B7"/>
    <w:rsid w:val="22A92A14"/>
    <w:rsid w:val="22A93ACD"/>
    <w:rsid w:val="22B92A81"/>
    <w:rsid w:val="22BB3DB0"/>
    <w:rsid w:val="22C0252C"/>
    <w:rsid w:val="22E51FCF"/>
    <w:rsid w:val="22F27CEF"/>
    <w:rsid w:val="22F47007"/>
    <w:rsid w:val="22F605C2"/>
    <w:rsid w:val="230A0591"/>
    <w:rsid w:val="232A365C"/>
    <w:rsid w:val="23371709"/>
    <w:rsid w:val="233B1D5C"/>
    <w:rsid w:val="233F582B"/>
    <w:rsid w:val="234D67AA"/>
    <w:rsid w:val="23514956"/>
    <w:rsid w:val="235266BE"/>
    <w:rsid w:val="235419B3"/>
    <w:rsid w:val="235F7E04"/>
    <w:rsid w:val="236B7609"/>
    <w:rsid w:val="23701FEC"/>
    <w:rsid w:val="238C4CE2"/>
    <w:rsid w:val="23A93A90"/>
    <w:rsid w:val="23B452A1"/>
    <w:rsid w:val="23BF3BC5"/>
    <w:rsid w:val="23BF6944"/>
    <w:rsid w:val="23C130E3"/>
    <w:rsid w:val="23D6232B"/>
    <w:rsid w:val="23D6451A"/>
    <w:rsid w:val="23D93C86"/>
    <w:rsid w:val="23E6478B"/>
    <w:rsid w:val="24065080"/>
    <w:rsid w:val="240C3097"/>
    <w:rsid w:val="240D76D8"/>
    <w:rsid w:val="240E5957"/>
    <w:rsid w:val="24305AB5"/>
    <w:rsid w:val="24356CB2"/>
    <w:rsid w:val="243B1909"/>
    <w:rsid w:val="243C6142"/>
    <w:rsid w:val="24617540"/>
    <w:rsid w:val="246760DF"/>
    <w:rsid w:val="246F34D3"/>
    <w:rsid w:val="247455AC"/>
    <w:rsid w:val="247918A8"/>
    <w:rsid w:val="24AD09E6"/>
    <w:rsid w:val="24B016C9"/>
    <w:rsid w:val="24B804C8"/>
    <w:rsid w:val="24BE7009"/>
    <w:rsid w:val="24C50845"/>
    <w:rsid w:val="24D05CB7"/>
    <w:rsid w:val="24D35C48"/>
    <w:rsid w:val="24E17E30"/>
    <w:rsid w:val="24E6364B"/>
    <w:rsid w:val="24EA2CA5"/>
    <w:rsid w:val="24EA6467"/>
    <w:rsid w:val="24F13D32"/>
    <w:rsid w:val="24FD5703"/>
    <w:rsid w:val="25004A9A"/>
    <w:rsid w:val="250A1DDA"/>
    <w:rsid w:val="250A5FE8"/>
    <w:rsid w:val="251731AF"/>
    <w:rsid w:val="251A3587"/>
    <w:rsid w:val="251D0771"/>
    <w:rsid w:val="252647A9"/>
    <w:rsid w:val="25292703"/>
    <w:rsid w:val="252C1978"/>
    <w:rsid w:val="25326053"/>
    <w:rsid w:val="25331CB9"/>
    <w:rsid w:val="253554FF"/>
    <w:rsid w:val="253604AE"/>
    <w:rsid w:val="25467268"/>
    <w:rsid w:val="2552044A"/>
    <w:rsid w:val="25591B78"/>
    <w:rsid w:val="255C2793"/>
    <w:rsid w:val="25690CB9"/>
    <w:rsid w:val="258B6D6F"/>
    <w:rsid w:val="258D16A1"/>
    <w:rsid w:val="25A262B6"/>
    <w:rsid w:val="25A47CD0"/>
    <w:rsid w:val="25A54BB6"/>
    <w:rsid w:val="25BB17B6"/>
    <w:rsid w:val="25C90DA6"/>
    <w:rsid w:val="25DA1CE8"/>
    <w:rsid w:val="25F53321"/>
    <w:rsid w:val="25F9101A"/>
    <w:rsid w:val="25FF6E63"/>
    <w:rsid w:val="26207A88"/>
    <w:rsid w:val="26353F04"/>
    <w:rsid w:val="26432452"/>
    <w:rsid w:val="265F75D8"/>
    <w:rsid w:val="26647C45"/>
    <w:rsid w:val="26890700"/>
    <w:rsid w:val="26910426"/>
    <w:rsid w:val="26920F16"/>
    <w:rsid w:val="269B4CA6"/>
    <w:rsid w:val="26AF0400"/>
    <w:rsid w:val="26BB0FB5"/>
    <w:rsid w:val="26BC45E7"/>
    <w:rsid w:val="26C61C98"/>
    <w:rsid w:val="26CC3869"/>
    <w:rsid w:val="26D62EF0"/>
    <w:rsid w:val="26E8081A"/>
    <w:rsid w:val="26EA17E5"/>
    <w:rsid w:val="26EA65A5"/>
    <w:rsid w:val="272012FE"/>
    <w:rsid w:val="272327ED"/>
    <w:rsid w:val="272467C0"/>
    <w:rsid w:val="27250A22"/>
    <w:rsid w:val="273A7D75"/>
    <w:rsid w:val="274A5031"/>
    <w:rsid w:val="275346EB"/>
    <w:rsid w:val="27534701"/>
    <w:rsid w:val="27544493"/>
    <w:rsid w:val="27582595"/>
    <w:rsid w:val="27655331"/>
    <w:rsid w:val="27896154"/>
    <w:rsid w:val="27BB5CF6"/>
    <w:rsid w:val="27CC3A3C"/>
    <w:rsid w:val="27CE52EC"/>
    <w:rsid w:val="27DB21EA"/>
    <w:rsid w:val="27DD178B"/>
    <w:rsid w:val="27E21865"/>
    <w:rsid w:val="27E868C0"/>
    <w:rsid w:val="27F131E8"/>
    <w:rsid w:val="27F51441"/>
    <w:rsid w:val="281A560D"/>
    <w:rsid w:val="28490CC5"/>
    <w:rsid w:val="28573958"/>
    <w:rsid w:val="28645A64"/>
    <w:rsid w:val="286F7347"/>
    <w:rsid w:val="287F659F"/>
    <w:rsid w:val="289D3BDA"/>
    <w:rsid w:val="289E7ABE"/>
    <w:rsid w:val="28A075FF"/>
    <w:rsid w:val="28B068FD"/>
    <w:rsid w:val="28BE54F1"/>
    <w:rsid w:val="28D370DE"/>
    <w:rsid w:val="28EE49B4"/>
    <w:rsid w:val="28F16672"/>
    <w:rsid w:val="28FB30F3"/>
    <w:rsid w:val="29043DD3"/>
    <w:rsid w:val="290576ED"/>
    <w:rsid w:val="29082F2F"/>
    <w:rsid w:val="291C6D5D"/>
    <w:rsid w:val="292F30AE"/>
    <w:rsid w:val="293173F2"/>
    <w:rsid w:val="29337FF9"/>
    <w:rsid w:val="2938694B"/>
    <w:rsid w:val="293A38E9"/>
    <w:rsid w:val="294C0340"/>
    <w:rsid w:val="295264B1"/>
    <w:rsid w:val="296B7439"/>
    <w:rsid w:val="296C2E69"/>
    <w:rsid w:val="297E3EB6"/>
    <w:rsid w:val="29825FDF"/>
    <w:rsid w:val="29960882"/>
    <w:rsid w:val="2999193A"/>
    <w:rsid w:val="299A6CEC"/>
    <w:rsid w:val="299D58EC"/>
    <w:rsid w:val="29A50FFD"/>
    <w:rsid w:val="29A66B20"/>
    <w:rsid w:val="29A924E3"/>
    <w:rsid w:val="29BE18F5"/>
    <w:rsid w:val="29BF2E0B"/>
    <w:rsid w:val="29D13391"/>
    <w:rsid w:val="29E75019"/>
    <w:rsid w:val="29EC6648"/>
    <w:rsid w:val="29FB6949"/>
    <w:rsid w:val="29FD4FED"/>
    <w:rsid w:val="2A012E3B"/>
    <w:rsid w:val="2A0D2C2B"/>
    <w:rsid w:val="2A2F54C5"/>
    <w:rsid w:val="2A38053E"/>
    <w:rsid w:val="2A3B1AFB"/>
    <w:rsid w:val="2A3F4BF5"/>
    <w:rsid w:val="2A526D76"/>
    <w:rsid w:val="2A5D1316"/>
    <w:rsid w:val="2A623794"/>
    <w:rsid w:val="2A712F55"/>
    <w:rsid w:val="2A727FB3"/>
    <w:rsid w:val="2A76060F"/>
    <w:rsid w:val="2A770777"/>
    <w:rsid w:val="2A9632EB"/>
    <w:rsid w:val="2A9E4FF8"/>
    <w:rsid w:val="2ABB4965"/>
    <w:rsid w:val="2AC867BD"/>
    <w:rsid w:val="2ACB3597"/>
    <w:rsid w:val="2AF1525E"/>
    <w:rsid w:val="2AF22B98"/>
    <w:rsid w:val="2B0739A7"/>
    <w:rsid w:val="2B0E3049"/>
    <w:rsid w:val="2B177920"/>
    <w:rsid w:val="2B356445"/>
    <w:rsid w:val="2B444FDC"/>
    <w:rsid w:val="2B6C319F"/>
    <w:rsid w:val="2B7A30F5"/>
    <w:rsid w:val="2B7C3418"/>
    <w:rsid w:val="2B833A94"/>
    <w:rsid w:val="2B8E3094"/>
    <w:rsid w:val="2B921F24"/>
    <w:rsid w:val="2B970DE0"/>
    <w:rsid w:val="2B9E382A"/>
    <w:rsid w:val="2B9F0EF5"/>
    <w:rsid w:val="2BA62F9F"/>
    <w:rsid w:val="2BA8556C"/>
    <w:rsid w:val="2BAB72C3"/>
    <w:rsid w:val="2BAE50A7"/>
    <w:rsid w:val="2BB61BD0"/>
    <w:rsid w:val="2BBC643D"/>
    <w:rsid w:val="2BC75161"/>
    <w:rsid w:val="2BEF05B2"/>
    <w:rsid w:val="2BF942AA"/>
    <w:rsid w:val="2C2A0B96"/>
    <w:rsid w:val="2C3464EA"/>
    <w:rsid w:val="2C372417"/>
    <w:rsid w:val="2C553E10"/>
    <w:rsid w:val="2C58247C"/>
    <w:rsid w:val="2C63006B"/>
    <w:rsid w:val="2C844B41"/>
    <w:rsid w:val="2C8F0C17"/>
    <w:rsid w:val="2C9B7D55"/>
    <w:rsid w:val="2C9F34F2"/>
    <w:rsid w:val="2CA40F2B"/>
    <w:rsid w:val="2CB5010E"/>
    <w:rsid w:val="2CCA6FAF"/>
    <w:rsid w:val="2CCD0B9B"/>
    <w:rsid w:val="2CCE304A"/>
    <w:rsid w:val="2CCF5514"/>
    <w:rsid w:val="2CD90005"/>
    <w:rsid w:val="2CFF3923"/>
    <w:rsid w:val="2D1A0A24"/>
    <w:rsid w:val="2D252A00"/>
    <w:rsid w:val="2D271208"/>
    <w:rsid w:val="2D5B0571"/>
    <w:rsid w:val="2D5C1104"/>
    <w:rsid w:val="2D691AD9"/>
    <w:rsid w:val="2D7B3CD6"/>
    <w:rsid w:val="2D7C79D6"/>
    <w:rsid w:val="2D8309E4"/>
    <w:rsid w:val="2D846B02"/>
    <w:rsid w:val="2D8E0D80"/>
    <w:rsid w:val="2D913DED"/>
    <w:rsid w:val="2D940CF3"/>
    <w:rsid w:val="2D950B93"/>
    <w:rsid w:val="2D9A3D17"/>
    <w:rsid w:val="2D9E24B8"/>
    <w:rsid w:val="2DA24672"/>
    <w:rsid w:val="2DA853C9"/>
    <w:rsid w:val="2DAF53B9"/>
    <w:rsid w:val="2DB2776C"/>
    <w:rsid w:val="2DB322EF"/>
    <w:rsid w:val="2DBF6779"/>
    <w:rsid w:val="2DC255E4"/>
    <w:rsid w:val="2DDA521F"/>
    <w:rsid w:val="2DDE6C74"/>
    <w:rsid w:val="2DFA4621"/>
    <w:rsid w:val="2E06706D"/>
    <w:rsid w:val="2E1135A2"/>
    <w:rsid w:val="2E1319CF"/>
    <w:rsid w:val="2E1A0080"/>
    <w:rsid w:val="2E1C3FC2"/>
    <w:rsid w:val="2E3B39E0"/>
    <w:rsid w:val="2E3F5D9E"/>
    <w:rsid w:val="2E497DF1"/>
    <w:rsid w:val="2E4D7F55"/>
    <w:rsid w:val="2E956FF8"/>
    <w:rsid w:val="2E977130"/>
    <w:rsid w:val="2E9D27E3"/>
    <w:rsid w:val="2EA465DC"/>
    <w:rsid w:val="2EBD2130"/>
    <w:rsid w:val="2ED215E3"/>
    <w:rsid w:val="2ED34C33"/>
    <w:rsid w:val="2ED76F45"/>
    <w:rsid w:val="2EDE35B0"/>
    <w:rsid w:val="2EE62234"/>
    <w:rsid w:val="2EEA10A6"/>
    <w:rsid w:val="2EFD4EC1"/>
    <w:rsid w:val="2F1B7921"/>
    <w:rsid w:val="2F2B7FC7"/>
    <w:rsid w:val="2F393F98"/>
    <w:rsid w:val="2F3A232A"/>
    <w:rsid w:val="2F3B667F"/>
    <w:rsid w:val="2F466A48"/>
    <w:rsid w:val="2F4E1C30"/>
    <w:rsid w:val="2F4F212E"/>
    <w:rsid w:val="2F546447"/>
    <w:rsid w:val="2F5D6D83"/>
    <w:rsid w:val="2F6739CC"/>
    <w:rsid w:val="2F6B12B2"/>
    <w:rsid w:val="2F830AEE"/>
    <w:rsid w:val="2F8C1696"/>
    <w:rsid w:val="2F9173B4"/>
    <w:rsid w:val="2F9E6EAD"/>
    <w:rsid w:val="2FA93803"/>
    <w:rsid w:val="2FAD77C4"/>
    <w:rsid w:val="2FB433BB"/>
    <w:rsid w:val="2FB71108"/>
    <w:rsid w:val="2FC13AEA"/>
    <w:rsid w:val="2FCF2BED"/>
    <w:rsid w:val="2FDD1767"/>
    <w:rsid w:val="2FF87D20"/>
    <w:rsid w:val="3010513A"/>
    <w:rsid w:val="302E350E"/>
    <w:rsid w:val="30631B49"/>
    <w:rsid w:val="307100A3"/>
    <w:rsid w:val="307860AD"/>
    <w:rsid w:val="307E6CCC"/>
    <w:rsid w:val="308E2433"/>
    <w:rsid w:val="30931113"/>
    <w:rsid w:val="309832E2"/>
    <w:rsid w:val="309D6868"/>
    <w:rsid w:val="30A605F5"/>
    <w:rsid w:val="30A71077"/>
    <w:rsid w:val="30A83EF5"/>
    <w:rsid w:val="30AE27DA"/>
    <w:rsid w:val="30BE628B"/>
    <w:rsid w:val="30DA5027"/>
    <w:rsid w:val="30E272BA"/>
    <w:rsid w:val="30E86FE1"/>
    <w:rsid w:val="30EC43E1"/>
    <w:rsid w:val="31025737"/>
    <w:rsid w:val="31104375"/>
    <w:rsid w:val="31141F11"/>
    <w:rsid w:val="311B6B87"/>
    <w:rsid w:val="31205617"/>
    <w:rsid w:val="3127372E"/>
    <w:rsid w:val="31335D5C"/>
    <w:rsid w:val="31412BCC"/>
    <w:rsid w:val="3153501A"/>
    <w:rsid w:val="315E75B6"/>
    <w:rsid w:val="316C5B47"/>
    <w:rsid w:val="316D7761"/>
    <w:rsid w:val="317E57EB"/>
    <w:rsid w:val="31A139BC"/>
    <w:rsid w:val="31AA504A"/>
    <w:rsid w:val="31B378B4"/>
    <w:rsid w:val="31C538A8"/>
    <w:rsid w:val="31D90F51"/>
    <w:rsid w:val="31DD64C8"/>
    <w:rsid w:val="31DE710A"/>
    <w:rsid w:val="31E038D6"/>
    <w:rsid w:val="31E47BCF"/>
    <w:rsid w:val="31E61329"/>
    <w:rsid w:val="31E944BB"/>
    <w:rsid w:val="31EC6A1C"/>
    <w:rsid w:val="31EE06B6"/>
    <w:rsid w:val="31F1550F"/>
    <w:rsid w:val="31F82558"/>
    <w:rsid w:val="32025AFB"/>
    <w:rsid w:val="32032D95"/>
    <w:rsid w:val="32050A2D"/>
    <w:rsid w:val="32066E34"/>
    <w:rsid w:val="321A0D7A"/>
    <w:rsid w:val="322040CC"/>
    <w:rsid w:val="322A6170"/>
    <w:rsid w:val="32422609"/>
    <w:rsid w:val="32485FBE"/>
    <w:rsid w:val="32585E12"/>
    <w:rsid w:val="325C381C"/>
    <w:rsid w:val="325D57AE"/>
    <w:rsid w:val="327007E8"/>
    <w:rsid w:val="32851872"/>
    <w:rsid w:val="32890D78"/>
    <w:rsid w:val="328F162C"/>
    <w:rsid w:val="329A3BF6"/>
    <w:rsid w:val="32A01C3C"/>
    <w:rsid w:val="32A16555"/>
    <w:rsid w:val="32A52BE2"/>
    <w:rsid w:val="32A619BE"/>
    <w:rsid w:val="32B26E10"/>
    <w:rsid w:val="32BF69AB"/>
    <w:rsid w:val="32C31F0A"/>
    <w:rsid w:val="32C430E7"/>
    <w:rsid w:val="32CB54C5"/>
    <w:rsid w:val="32D6557C"/>
    <w:rsid w:val="32D90D4F"/>
    <w:rsid w:val="32DA195F"/>
    <w:rsid w:val="32DD2D7E"/>
    <w:rsid w:val="32E4281F"/>
    <w:rsid w:val="32E72A14"/>
    <w:rsid w:val="32EA289B"/>
    <w:rsid w:val="32EB0993"/>
    <w:rsid w:val="32ED3B2B"/>
    <w:rsid w:val="32EF7E1C"/>
    <w:rsid w:val="32F053C8"/>
    <w:rsid w:val="32F81814"/>
    <w:rsid w:val="32F81988"/>
    <w:rsid w:val="32FA05E8"/>
    <w:rsid w:val="33011F9F"/>
    <w:rsid w:val="330148CA"/>
    <w:rsid w:val="33032C6C"/>
    <w:rsid w:val="33040F8B"/>
    <w:rsid w:val="331729C2"/>
    <w:rsid w:val="33182F84"/>
    <w:rsid w:val="331D4A88"/>
    <w:rsid w:val="332F523C"/>
    <w:rsid w:val="333900D3"/>
    <w:rsid w:val="333B5094"/>
    <w:rsid w:val="333C0EF1"/>
    <w:rsid w:val="33421C25"/>
    <w:rsid w:val="334D114A"/>
    <w:rsid w:val="335C04D1"/>
    <w:rsid w:val="33615BDC"/>
    <w:rsid w:val="3376143E"/>
    <w:rsid w:val="33A72C4E"/>
    <w:rsid w:val="33B015C6"/>
    <w:rsid w:val="33B27BDD"/>
    <w:rsid w:val="33B92BAD"/>
    <w:rsid w:val="33D5031D"/>
    <w:rsid w:val="33E05E48"/>
    <w:rsid w:val="33E6043F"/>
    <w:rsid w:val="33EB51C2"/>
    <w:rsid w:val="33EF2F24"/>
    <w:rsid w:val="33F076BF"/>
    <w:rsid w:val="33F512E2"/>
    <w:rsid w:val="33FA4C57"/>
    <w:rsid w:val="33FD7727"/>
    <w:rsid w:val="33FF2390"/>
    <w:rsid w:val="34142C4F"/>
    <w:rsid w:val="34185A64"/>
    <w:rsid w:val="341F672C"/>
    <w:rsid w:val="342A40E0"/>
    <w:rsid w:val="34312FEC"/>
    <w:rsid w:val="34350B30"/>
    <w:rsid w:val="34573D30"/>
    <w:rsid w:val="345E3491"/>
    <w:rsid w:val="34603692"/>
    <w:rsid w:val="347C5DAE"/>
    <w:rsid w:val="3481524F"/>
    <w:rsid w:val="3498075E"/>
    <w:rsid w:val="349B3FE0"/>
    <w:rsid w:val="349F3B13"/>
    <w:rsid w:val="34AF19B9"/>
    <w:rsid w:val="34B01294"/>
    <w:rsid w:val="34B162E0"/>
    <w:rsid w:val="34BA1467"/>
    <w:rsid w:val="34D571E2"/>
    <w:rsid w:val="34D903F5"/>
    <w:rsid w:val="34F24F46"/>
    <w:rsid w:val="34F33A7D"/>
    <w:rsid w:val="34F428FD"/>
    <w:rsid w:val="35004125"/>
    <w:rsid w:val="351C4115"/>
    <w:rsid w:val="35295ECF"/>
    <w:rsid w:val="35334600"/>
    <w:rsid w:val="35626C87"/>
    <w:rsid w:val="35650454"/>
    <w:rsid w:val="3569377D"/>
    <w:rsid w:val="35707D1F"/>
    <w:rsid w:val="35883257"/>
    <w:rsid w:val="3594492B"/>
    <w:rsid w:val="35981879"/>
    <w:rsid w:val="359B4A17"/>
    <w:rsid w:val="35A20C52"/>
    <w:rsid w:val="35A95DEE"/>
    <w:rsid w:val="35AD5AEB"/>
    <w:rsid w:val="35AE3538"/>
    <w:rsid w:val="35B3758E"/>
    <w:rsid w:val="35BD65A6"/>
    <w:rsid w:val="35C458A5"/>
    <w:rsid w:val="35DD1E4F"/>
    <w:rsid w:val="35E225D0"/>
    <w:rsid w:val="360908C5"/>
    <w:rsid w:val="360B63A0"/>
    <w:rsid w:val="361004C9"/>
    <w:rsid w:val="3618394C"/>
    <w:rsid w:val="362C76BB"/>
    <w:rsid w:val="36477D59"/>
    <w:rsid w:val="365332C5"/>
    <w:rsid w:val="36690512"/>
    <w:rsid w:val="366E4D55"/>
    <w:rsid w:val="36730100"/>
    <w:rsid w:val="36807448"/>
    <w:rsid w:val="36990146"/>
    <w:rsid w:val="36994708"/>
    <w:rsid w:val="36B410AB"/>
    <w:rsid w:val="36B9317E"/>
    <w:rsid w:val="36BA00E3"/>
    <w:rsid w:val="36BA0582"/>
    <w:rsid w:val="36DF4707"/>
    <w:rsid w:val="36E622BF"/>
    <w:rsid w:val="36F817EA"/>
    <w:rsid w:val="370700E6"/>
    <w:rsid w:val="37082843"/>
    <w:rsid w:val="370E620C"/>
    <w:rsid w:val="37204160"/>
    <w:rsid w:val="37220771"/>
    <w:rsid w:val="372B5309"/>
    <w:rsid w:val="37400834"/>
    <w:rsid w:val="3741516F"/>
    <w:rsid w:val="374F05B0"/>
    <w:rsid w:val="375D13C6"/>
    <w:rsid w:val="375D3D2E"/>
    <w:rsid w:val="376019D3"/>
    <w:rsid w:val="37635EAB"/>
    <w:rsid w:val="37854C46"/>
    <w:rsid w:val="37883E07"/>
    <w:rsid w:val="37895EEC"/>
    <w:rsid w:val="378F306A"/>
    <w:rsid w:val="378F4B98"/>
    <w:rsid w:val="37943EA2"/>
    <w:rsid w:val="37A5188E"/>
    <w:rsid w:val="37A96603"/>
    <w:rsid w:val="37AD12B8"/>
    <w:rsid w:val="37B11A0A"/>
    <w:rsid w:val="37B92F56"/>
    <w:rsid w:val="37BB2B88"/>
    <w:rsid w:val="37E0504F"/>
    <w:rsid w:val="37EB016A"/>
    <w:rsid w:val="37EB7B2F"/>
    <w:rsid w:val="3801126E"/>
    <w:rsid w:val="381640C7"/>
    <w:rsid w:val="381E5E4A"/>
    <w:rsid w:val="38264B61"/>
    <w:rsid w:val="38266AD2"/>
    <w:rsid w:val="382B0EE3"/>
    <w:rsid w:val="384169B8"/>
    <w:rsid w:val="3855771C"/>
    <w:rsid w:val="38684D60"/>
    <w:rsid w:val="38A109B2"/>
    <w:rsid w:val="38A67B67"/>
    <w:rsid w:val="38A717F3"/>
    <w:rsid w:val="38A95B2F"/>
    <w:rsid w:val="38BF3269"/>
    <w:rsid w:val="38E708A3"/>
    <w:rsid w:val="38E8320B"/>
    <w:rsid w:val="38EB7E96"/>
    <w:rsid w:val="392003AA"/>
    <w:rsid w:val="392E230B"/>
    <w:rsid w:val="394319DD"/>
    <w:rsid w:val="394B6AC2"/>
    <w:rsid w:val="395202D0"/>
    <w:rsid w:val="395B4E7C"/>
    <w:rsid w:val="3960605C"/>
    <w:rsid w:val="39625A82"/>
    <w:rsid w:val="396A6F0D"/>
    <w:rsid w:val="399F4CE5"/>
    <w:rsid w:val="39AB25F5"/>
    <w:rsid w:val="39B4599B"/>
    <w:rsid w:val="39B83559"/>
    <w:rsid w:val="39D63BA2"/>
    <w:rsid w:val="39D92970"/>
    <w:rsid w:val="39DD7B40"/>
    <w:rsid w:val="39E91581"/>
    <w:rsid w:val="39EE2C4B"/>
    <w:rsid w:val="3A0E7EDB"/>
    <w:rsid w:val="3A154FB9"/>
    <w:rsid w:val="3A1C1C45"/>
    <w:rsid w:val="3A277E5F"/>
    <w:rsid w:val="3A362693"/>
    <w:rsid w:val="3A3E5578"/>
    <w:rsid w:val="3A435D72"/>
    <w:rsid w:val="3A4B779C"/>
    <w:rsid w:val="3A582122"/>
    <w:rsid w:val="3A6E781D"/>
    <w:rsid w:val="3A737138"/>
    <w:rsid w:val="3A880F57"/>
    <w:rsid w:val="3A8B6CF7"/>
    <w:rsid w:val="3A9043EA"/>
    <w:rsid w:val="3A967793"/>
    <w:rsid w:val="3A9721AC"/>
    <w:rsid w:val="3AA706E2"/>
    <w:rsid w:val="3AAC782D"/>
    <w:rsid w:val="3AAF226F"/>
    <w:rsid w:val="3AB3071C"/>
    <w:rsid w:val="3AB7508C"/>
    <w:rsid w:val="3AC03AFF"/>
    <w:rsid w:val="3AD352A3"/>
    <w:rsid w:val="3ADB2E2C"/>
    <w:rsid w:val="3AE80E56"/>
    <w:rsid w:val="3AF47CD8"/>
    <w:rsid w:val="3AFB75CB"/>
    <w:rsid w:val="3B000B78"/>
    <w:rsid w:val="3B0B0079"/>
    <w:rsid w:val="3B1333D8"/>
    <w:rsid w:val="3B2E099E"/>
    <w:rsid w:val="3B387E49"/>
    <w:rsid w:val="3B537BBF"/>
    <w:rsid w:val="3B5D5D03"/>
    <w:rsid w:val="3B660234"/>
    <w:rsid w:val="3B6F74D8"/>
    <w:rsid w:val="3B831F4C"/>
    <w:rsid w:val="3B8476E2"/>
    <w:rsid w:val="3B933BB1"/>
    <w:rsid w:val="3B984165"/>
    <w:rsid w:val="3BA77552"/>
    <w:rsid w:val="3BB533A9"/>
    <w:rsid w:val="3BBD2DAB"/>
    <w:rsid w:val="3BBD7979"/>
    <w:rsid w:val="3BC40DB4"/>
    <w:rsid w:val="3BC4119F"/>
    <w:rsid w:val="3BD64539"/>
    <w:rsid w:val="3BD7741E"/>
    <w:rsid w:val="3BE73FD0"/>
    <w:rsid w:val="3C032FAA"/>
    <w:rsid w:val="3C0975D7"/>
    <w:rsid w:val="3C0A0E48"/>
    <w:rsid w:val="3C28373B"/>
    <w:rsid w:val="3C2C63AD"/>
    <w:rsid w:val="3C2E2F99"/>
    <w:rsid w:val="3C39400C"/>
    <w:rsid w:val="3C3B0AE0"/>
    <w:rsid w:val="3C401B17"/>
    <w:rsid w:val="3C4F45B9"/>
    <w:rsid w:val="3C551D8D"/>
    <w:rsid w:val="3C692E7C"/>
    <w:rsid w:val="3C746980"/>
    <w:rsid w:val="3C7D49BA"/>
    <w:rsid w:val="3C7F268E"/>
    <w:rsid w:val="3C7F5A59"/>
    <w:rsid w:val="3C9079CC"/>
    <w:rsid w:val="3C9B4135"/>
    <w:rsid w:val="3C9D3306"/>
    <w:rsid w:val="3CB12314"/>
    <w:rsid w:val="3CB71A58"/>
    <w:rsid w:val="3D023B3C"/>
    <w:rsid w:val="3D0732DC"/>
    <w:rsid w:val="3D185252"/>
    <w:rsid w:val="3D24777C"/>
    <w:rsid w:val="3D271B04"/>
    <w:rsid w:val="3D283BC5"/>
    <w:rsid w:val="3D314A9E"/>
    <w:rsid w:val="3D324393"/>
    <w:rsid w:val="3D347C66"/>
    <w:rsid w:val="3D3C24D0"/>
    <w:rsid w:val="3D4245F4"/>
    <w:rsid w:val="3D433842"/>
    <w:rsid w:val="3D720F07"/>
    <w:rsid w:val="3D823B1E"/>
    <w:rsid w:val="3D973BEB"/>
    <w:rsid w:val="3D9D0A9C"/>
    <w:rsid w:val="3DC57103"/>
    <w:rsid w:val="3DC62FD5"/>
    <w:rsid w:val="3DD46EF7"/>
    <w:rsid w:val="3DF3557F"/>
    <w:rsid w:val="3DFB4C6F"/>
    <w:rsid w:val="3E171CB9"/>
    <w:rsid w:val="3E1A3557"/>
    <w:rsid w:val="3E1E22BC"/>
    <w:rsid w:val="3E266C8B"/>
    <w:rsid w:val="3E2760D3"/>
    <w:rsid w:val="3E385A78"/>
    <w:rsid w:val="3E385C0D"/>
    <w:rsid w:val="3E416D36"/>
    <w:rsid w:val="3E463BB8"/>
    <w:rsid w:val="3E510229"/>
    <w:rsid w:val="3E51125F"/>
    <w:rsid w:val="3E5B2F1D"/>
    <w:rsid w:val="3E6857C4"/>
    <w:rsid w:val="3E69698F"/>
    <w:rsid w:val="3E765260"/>
    <w:rsid w:val="3E8A2015"/>
    <w:rsid w:val="3E8B00EF"/>
    <w:rsid w:val="3E9A1458"/>
    <w:rsid w:val="3E9E26AF"/>
    <w:rsid w:val="3EA25CFF"/>
    <w:rsid w:val="3EB72C67"/>
    <w:rsid w:val="3EBA1B25"/>
    <w:rsid w:val="3EBB12DE"/>
    <w:rsid w:val="3ECB10CF"/>
    <w:rsid w:val="3ECB7799"/>
    <w:rsid w:val="3ECC795F"/>
    <w:rsid w:val="3ED22EBA"/>
    <w:rsid w:val="3EE1021C"/>
    <w:rsid w:val="3EE63AE9"/>
    <w:rsid w:val="3EE65CBF"/>
    <w:rsid w:val="3F15090F"/>
    <w:rsid w:val="3F532150"/>
    <w:rsid w:val="3F543ABA"/>
    <w:rsid w:val="3F5711F2"/>
    <w:rsid w:val="3F635B6B"/>
    <w:rsid w:val="3F6C1982"/>
    <w:rsid w:val="3F95686E"/>
    <w:rsid w:val="3F9828FD"/>
    <w:rsid w:val="3FBC7210"/>
    <w:rsid w:val="3FBF3AA2"/>
    <w:rsid w:val="3FC23C92"/>
    <w:rsid w:val="3FDD116B"/>
    <w:rsid w:val="3FF13922"/>
    <w:rsid w:val="3FFC5BC4"/>
    <w:rsid w:val="400E3515"/>
    <w:rsid w:val="400E7532"/>
    <w:rsid w:val="401C73E9"/>
    <w:rsid w:val="40267D8E"/>
    <w:rsid w:val="402C3DD7"/>
    <w:rsid w:val="40382BCC"/>
    <w:rsid w:val="403B0B1D"/>
    <w:rsid w:val="40474EE4"/>
    <w:rsid w:val="4067744E"/>
    <w:rsid w:val="406B08AA"/>
    <w:rsid w:val="4079565C"/>
    <w:rsid w:val="407A0614"/>
    <w:rsid w:val="407D70E7"/>
    <w:rsid w:val="40841DB0"/>
    <w:rsid w:val="40945E2B"/>
    <w:rsid w:val="409B1752"/>
    <w:rsid w:val="40A47BC2"/>
    <w:rsid w:val="40A74787"/>
    <w:rsid w:val="40B64E3E"/>
    <w:rsid w:val="40CD32BC"/>
    <w:rsid w:val="40D10751"/>
    <w:rsid w:val="40D35BD4"/>
    <w:rsid w:val="40E631BD"/>
    <w:rsid w:val="40F11CD0"/>
    <w:rsid w:val="40F969FC"/>
    <w:rsid w:val="41027943"/>
    <w:rsid w:val="41084A3F"/>
    <w:rsid w:val="411C44CB"/>
    <w:rsid w:val="4121353A"/>
    <w:rsid w:val="412D4F08"/>
    <w:rsid w:val="41341585"/>
    <w:rsid w:val="414337A0"/>
    <w:rsid w:val="414A346E"/>
    <w:rsid w:val="416B4744"/>
    <w:rsid w:val="416B585C"/>
    <w:rsid w:val="417219C0"/>
    <w:rsid w:val="417F220B"/>
    <w:rsid w:val="419339CE"/>
    <w:rsid w:val="4198236F"/>
    <w:rsid w:val="41A2536B"/>
    <w:rsid w:val="41A427A3"/>
    <w:rsid w:val="41B621CF"/>
    <w:rsid w:val="41B77634"/>
    <w:rsid w:val="41D733E5"/>
    <w:rsid w:val="41DA6B97"/>
    <w:rsid w:val="41E01632"/>
    <w:rsid w:val="41E35B57"/>
    <w:rsid w:val="41EE5246"/>
    <w:rsid w:val="41FC3205"/>
    <w:rsid w:val="420C6FB2"/>
    <w:rsid w:val="42132DC6"/>
    <w:rsid w:val="4216331A"/>
    <w:rsid w:val="423D2C52"/>
    <w:rsid w:val="424D5404"/>
    <w:rsid w:val="424E6925"/>
    <w:rsid w:val="425075AF"/>
    <w:rsid w:val="42577226"/>
    <w:rsid w:val="425B469E"/>
    <w:rsid w:val="4267386E"/>
    <w:rsid w:val="42716F5E"/>
    <w:rsid w:val="42757283"/>
    <w:rsid w:val="42770F78"/>
    <w:rsid w:val="42806BEC"/>
    <w:rsid w:val="4282085A"/>
    <w:rsid w:val="429D49DE"/>
    <w:rsid w:val="42BE4F76"/>
    <w:rsid w:val="42C11252"/>
    <w:rsid w:val="42CB4C5F"/>
    <w:rsid w:val="42D519AC"/>
    <w:rsid w:val="42DC78A2"/>
    <w:rsid w:val="42E845AD"/>
    <w:rsid w:val="42F449F9"/>
    <w:rsid w:val="4303205F"/>
    <w:rsid w:val="43115DD3"/>
    <w:rsid w:val="433B1FA6"/>
    <w:rsid w:val="434066A2"/>
    <w:rsid w:val="434250DE"/>
    <w:rsid w:val="43625E59"/>
    <w:rsid w:val="43653C98"/>
    <w:rsid w:val="438C0A54"/>
    <w:rsid w:val="43A375CE"/>
    <w:rsid w:val="43A530FE"/>
    <w:rsid w:val="43B01757"/>
    <w:rsid w:val="43B836AA"/>
    <w:rsid w:val="43CB164D"/>
    <w:rsid w:val="43CF7427"/>
    <w:rsid w:val="43D46D36"/>
    <w:rsid w:val="43DD0912"/>
    <w:rsid w:val="43DD2DB9"/>
    <w:rsid w:val="43E91F20"/>
    <w:rsid w:val="43F25407"/>
    <w:rsid w:val="43FA34D8"/>
    <w:rsid w:val="440617F2"/>
    <w:rsid w:val="441F2CE6"/>
    <w:rsid w:val="4420334A"/>
    <w:rsid w:val="44315157"/>
    <w:rsid w:val="444303A9"/>
    <w:rsid w:val="446B5263"/>
    <w:rsid w:val="446D03BF"/>
    <w:rsid w:val="448805B9"/>
    <w:rsid w:val="448F475A"/>
    <w:rsid w:val="44950494"/>
    <w:rsid w:val="449546F2"/>
    <w:rsid w:val="44AC25F1"/>
    <w:rsid w:val="44B861B7"/>
    <w:rsid w:val="44BA370D"/>
    <w:rsid w:val="44BD2AEA"/>
    <w:rsid w:val="44BE3408"/>
    <w:rsid w:val="44CA1984"/>
    <w:rsid w:val="44D11071"/>
    <w:rsid w:val="44D6598F"/>
    <w:rsid w:val="44E11D77"/>
    <w:rsid w:val="450A18EB"/>
    <w:rsid w:val="450D750F"/>
    <w:rsid w:val="451D201E"/>
    <w:rsid w:val="45252F61"/>
    <w:rsid w:val="45260D46"/>
    <w:rsid w:val="45403199"/>
    <w:rsid w:val="45434942"/>
    <w:rsid w:val="455A6C52"/>
    <w:rsid w:val="45641915"/>
    <w:rsid w:val="45645A62"/>
    <w:rsid w:val="45684BA8"/>
    <w:rsid w:val="458D6027"/>
    <w:rsid w:val="45917F4C"/>
    <w:rsid w:val="45935AEF"/>
    <w:rsid w:val="45A9189F"/>
    <w:rsid w:val="45AB0F84"/>
    <w:rsid w:val="45AC0B73"/>
    <w:rsid w:val="45C55A0E"/>
    <w:rsid w:val="45D73973"/>
    <w:rsid w:val="45E97EC0"/>
    <w:rsid w:val="45EA48A0"/>
    <w:rsid w:val="45F2245D"/>
    <w:rsid w:val="45F2569D"/>
    <w:rsid w:val="45FC54AE"/>
    <w:rsid w:val="4631666F"/>
    <w:rsid w:val="46390881"/>
    <w:rsid w:val="46435311"/>
    <w:rsid w:val="46540AFF"/>
    <w:rsid w:val="465950BA"/>
    <w:rsid w:val="467B0053"/>
    <w:rsid w:val="468A6331"/>
    <w:rsid w:val="469D1267"/>
    <w:rsid w:val="46AE3B1E"/>
    <w:rsid w:val="46B12CDB"/>
    <w:rsid w:val="46B91F26"/>
    <w:rsid w:val="46BF773B"/>
    <w:rsid w:val="46F03EF8"/>
    <w:rsid w:val="46F21CD1"/>
    <w:rsid w:val="470000E2"/>
    <w:rsid w:val="47016A25"/>
    <w:rsid w:val="47076C06"/>
    <w:rsid w:val="471054F8"/>
    <w:rsid w:val="47137788"/>
    <w:rsid w:val="4715276D"/>
    <w:rsid w:val="47256125"/>
    <w:rsid w:val="472D1847"/>
    <w:rsid w:val="474E29C8"/>
    <w:rsid w:val="475F2963"/>
    <w:rsid w:val="475F4743"/>
    <w:rsid w:val="476513C5"/>
    <w:rsid w:val="478D5986"/>
    <w:rsid w:val="4791705C"/>
    <w:rsid w:val="47935219"/>
    <w:rsid w:val="479B2F25"/>
    <w:rsid w:val="47B21FD0"/>
    <w:rsid w:val="47C9673C"/>
    <w:rsid w:val="47CC1D1C"/>
    <w:rsid w:val="47DA19E2"/>
    <w:rsid w:val="47EF13CA"/>
    <w:rsid w:val="48014065"/>
    <w:rsid w:val="48087DA8"/>
    <w:rsid w:val="480A1F47"/>
    <w:rsid w:val="4826468A"/>
    <w:rsid w:val="48632B3C"/>
    <w:rsid w:val="486E2F78"/>
    <w:rsid w:val="4875501E"/>
    <w:rsid w:val="487E35D4"/>
    <w:rsid w:val="489302A3"/>
    <w:rsid w:val="48931799"/>
    <w:rsid w:val="48943F06"/>
    <w:rsid w:val="4896447E"/>
    <w:rsid w:val="48A04A19"/>
    <w:rsid w:val="48AC1F5E"/>
    <w:rsid w:val="48AC61D8"/>
    <w:rsid w:val="48B16848"/>
    <w:rsid w:val="48BC2B40"/>
    <w:rsid w:val="48BF71D5"/>
    <w:rsid w:val="48C1701C"/>
    <w:rsid w:val="48C9510E"/>
    <w:rsid w:val="48D12A65"/>
    <w:rsid w:val="48E74B46"/>
    <w:rsid w:val="48EE2F0A"/>
    <w:rsid w:val="48F34DFF"/>
    <w:rsid w:val="49091D14"/>
    <w:rsid w:val="491221FA"/>
    <w:rsid w:val="491633B3"/>
    <w:rsid w:val="49332B9D"/>
    <w:rsid w:val="494628C4"/>
    <w:rsid w:val="49570150"/>
    <w:rsid w:val="495930FA"/>
    <w:rsid w:val="49626727"/>
    <w:rsid w:val="498A2D93"/>
    <w:rsid w:val="498A448F"/>
    <w:rsid w:val="49950EDE"/>
    <w:rsid w:val="499819EF"/>
    <w:rsid w:val="49986FEF"/>
    <w:rsid w:val="49AC1B59"/>
    <w:rsid w:val="49AC750C"/>
    <w:rsid w:val="49B503C3"/>
    <w:rsid w:val="49C50D39"/>
    <w:rsid w:val="49FE0C57"/>
    <w:rsid w:val="4A0714CC"/>
    <w:rsid w:val="4A0C47F4"/>
    <w:rsid w:val="4A334FAF"/>
    <w:rsid w:val="4A4315DF"/>
    <w:rsid w:val="4A7776F8"/>
    <w:rsid w:val="4A992887"/>
    <w:rsid w:val="4AA82E5E"/>
    <w:rsid w:val="4ABA5543"/>
    <w:rsid w:val="4AC54C7C"/>
    <w:rsid w:val="4AD53FD3"/>
    <w:rsid w:val="4AF0448B"/>
    <w:rsid w:val="4AFD68DA"/>
    <w:rsid w:val="4B056E95"/>
    <w:rsid w:val="4B0C3A0B"/>
    <w:rsid w:val="4B117A90"/>
    <w:rsid w:val="4B213D10"/>
    <w:rsid w:val="4B2C42C5"/>
    <w:rsid w:val="4B315A3D"/>
    <w:rsid w:val="4B3A6678"/>
    <w:rsid w:val="4B3F30FC"/>
    <w:rsid w:val="4B4822FD"/>
    <w:rsid w:val="4B5848EA"/>
    <w:rsid w:val="4B5E25E2"/>
    <w:rsid w:val="4B9628E3"/>
    <w:rsid w:val="4BB041E9"/>
    <w:rsid w:val="4BB9526D"/>
    <w:rsid w:val="4BBC3E95"/>
    <w:rsid w:val="4BC720A4"/>
    <w:rsid w:val="4BE14337"/>
    <w:rsid w:val="4BF449EC"/>
    <w:rsid w:val="4BF75249"/>
    <w:rsid w:val="4C090704"/>
    <w:rsid w:val="4C0E0AB4"/>
    <w:rsid w:val="4C1638B2"/>
    <w:rsid w:val="4C226146"/>
    <w:rsid w:val="4C367327"/>
    <w:rsid w:val="4C516BFB"/>
    <w:rsid w:val="4C542DFD"/>
    <w:rsid w:val="4C5436A5"/>
    <w:rsid w:val="4C5619FF"/>
    <w:rsid w:val="4C67797F"/>
    <w:rsid w:val="4C764662"/>
    <w:rsid w:val="4C76670D"/>
    <w:rsid w:val="4C7E005A"/>
    <w:rsid w:val="4C895F48"/>
    <w:rsid w:val="4C912D49"/>
    <w:rsid w:val="4C95161A"/>
    <w:rsid w:val="4C9F0E0B"/>
    <w:rsid w:val="4CAB57AF"/>
    <w:rsid w:val="4CAF5F29"/>
    <w:rsid w:val="4CB27E71"/>
    <w:rsid w:val="4CB40AE3"/>
    <w:rsid w:val="4CB86D2D"/>
    <w:rsid w:val="4CBA21C2"/>
    <w:rsid w:val="4CC44A76"/>
    <w:rsid w:val="4CCA47D5"/>
    <w:rsid w:val="4CCE01CA"/>
    <w:rsid w:val="4CCE2F02"/>
    <w:rsid w:val="4CD82952"/>
    <w:rsid w:val="4CDB3FD7"/>
    <w:rsid w:val="4CDD1C5C"/>
    <w:rsid w:val="4CE44A86"/>
    <w:rsid w:val="4D107BF0"/>
    <w:rsid w:val="4D126EC4"/>
    <w:rsid w:val="4D302450"/>
    <w:rsid w:val="4D4960F4"/>
    <w:rsid w:val="4D4F05D7"/>
    <w:rsid w:val="4D546FF4"/>
    <w:rsid w:val="4D955825"/>
    <w:rsid w:val="4D9B0A85"/>
    <w:rsid w:val="4D9D2EFA"/>
    <w:rsid w:val="4DAF0678"/>
    <w:rsid w:val="4DB03590"/>
    <w:rsid w:val="4DC46B33"/>
    <w:rsid w:val="4DD102A7"/>
    <w:rsid w:val="4DD667A6"/>
    <w:rsid w:val="4DDC0BD4"/>
    <w:rsid w:val="4DE569EA"/>
    <w:rsid w:val="4DEC3178"/>
    <w:rsid w:val="4DF4339B"/>
    <w:rsid w:val="4E004E38"/>
    <w:rsid w:val="4E1A3C03"/>
    <w:rsid w:val="4E4438F9"/>
    <w:rsid w:val="4E595C86"/>
    <w:rsid w:val="4E5B5607"/>
    <w:rsid w:val="4E7E5239"/>
    <w:rsid w:val="4E86609F"/>
    <w:rsid w:val="4E881B78"/>
    <w:rsid w:val="4EC479DE"/>
    <w:rsid w:val="4ECA642D"/>
    <w:rsid w:val="4ECE0172"/>
    <w:rsid w:val="4ECE619C"/>
    <w:rsid w:val="4EF03AAD"/>
    <w:rsid w:val="4EFE18D7"/>
    <w:rsid w:val="4F0530A4"/>
    <w:rsid w:val="4F06429E"/>
    <w:rsid w:val="4F0F7AE3"/>
    <w:rsid w:val="4F2A1B27"/>
    <w:rsid w:val="4F79555A"/>
    <w:rsid w:val="4F945D57"/>
    <w:rsid w:val="4FA726D6"/>
    <w:rsid w:val="4FB1074F"/>
    <w:rsid w:val="4FB77C42"/>
    <w:rsid w:val="4FC3400F"/>
    <w:rsid w:val="4FD04826"/>
    <w:rsid w:val="4FD34568"/>
    <w:rsid w:val="4FD9398C"/>
    <w:rsid w:val="4FDF1B12"/>
    <w:rsid w:val="4FE145CA"/>
    <w:rsid w:val="4FFB1F0F"/>
    <w:rsid w:val="50081DCD"/>
    <w:rsid w:val="50147E37"/>
    <w:rsid w:val="50170ED2"/>
    <w:rsid w:val="50283985"/>
    <w:rsid w:val="502E389E"/>
    <w:rsid w:val="50327F4C"/>
    <w:rsid w:val="503475A8"/>
    <w:rsid w:val="504222B0"/>
    <w:rsid w:val="50486CBC"/>
    <w:rsid w:val="508D202F"/>
    <w:rsid w:val="50926F63"/>
    <w:rsid w:val="50997655"/>
    <w:rsid w:val="509D6C84"/>
    <w:rsid w:val="50AC20FC"/>
    <w:rsid w:val="50AF48E4"/>
    <w:rsid w:val="50C86BB3"/>
    <w:rsid w:val="50CC72DC"/>
    <w:rsid w:val="50CD4DA0"/>
    <w:rsid w:val="50CF7FD4"/>
    <w:rsid w:val="50E042B2"/>
    <w:rsid w:val="50E83EC0"/>
    <w:rsid w:val="50EF0BD8"/>
    <w:rsid w:val="51074095"/>
    <w:rsid w:val="51275051"/>
    <w:rsid w:val="51301AA0"/>
    <w:rsid w:val="51330ED4"/>
    <w:rsid w:val="513F2F29"/>
    <w:rsid w:val="51401B45"/>
    <w:rsid w:val="5147342C"/>
    <w:rsid w:val="5148408F"/>
    <w:rsid w:val="514D36C2"/>
    <w:rsid w:val="514E2D70"/>
    <w:rsid w:val="515521F6"/>
    <w:rsid w:val="516079C7"/>
    <w:rsid w:val="51666995"/>
    <w:rsid w:val="51953B7F"/>
    <w:rsid w:val="51A24AB0"/>
    <w:rsid w:val="51AC1F48"/>
    <w:rsid w:val="51B06F09"/>
    <w:rsid w:val="51B379E7"/>
    <w:rsid w:val="51B729CF"/>
    <w:rsid w:val="51B9499D"/>
    <w:rsid w:val="51D813C6"/>
    <w:rsid w:val="51DA6E2E"/>
    <w:rsid w:val="51DF12B5"/>
    <w:rsid w:val="51DF2E74"/>
    <w:rsid w:val="51F34082"/>
    <w:rsid w:val="51FB7581"/>
    <w:rsid w:val="51FC4E00"/>
    <w:rsid w:val="51FF49CE"/>
    <w:rsid w:val="5205351E"/>
    <w:rsid w:val="522D6AD6"/>
    <w:rsid w:val="523A5957"/>
    <w:rsid w:val="52414F51"/>
    <w:rsid w:val="525C6A9F"/>
    <w:rsid w:val="52645DAA"/>
    <w:rsid w:val="527903F5"/>
    <w:rsid w:val="528A1A0D"/>
    <w:rsid w:val="52916F45"/>
    <w:rsid w:val="529A15E0"/>
    <w:rsid w:val="529A7116"/>
    <w:rsid w:val="52A4077C"/>
    <w:rsid w:val="52AB2578"/>
    <w:rsid w:val="52AC662D"/>
    <w:rsid w:val="52B50779"/>
    <w:rsid w:val="52B52CD8"/>
    <w:rsid w:val="52DE24C5"/>
    <w:rsid w:val="52E11901"/>
    <w:rsid w:val="52E6098B"/>
    <w:rsid w:val="52E86A8A"/>
    <w:rsid w:val="52EA51A3"/>
    <w:rsid w:val="52F262C0"/>
    <w:rsid w:val="52F479D5"/>
    <w:rsid w:val="52F66CEB"/>
    <w:rsid w:val="52FB0724"/>
    <w:rsid w:val="52FB1AC6"/>
    <w:rsid w:val="52FD77D9"/>
    <w:rsid w:val="530A479A"/>
    <w:rsid w:val="530E3C15"/>
    <w:rsid w:val="531664D8"/>
    <w:rsid w:val="531E7977"/>
    <w:rsid w:val="53473DF9"/>
    <w:rsid w:val="534D4F99"/>
    <w:rsid w:val="535673AF"/>
    <w:rsid w:val="536058A5"/>
    <w:rsid w:val="5370427D"/>
    <w:rsid w:val="537C5558"/>
    <w:rsid w:val="53881649"/>
    <w:rsid w:val="538D5288"/>
    <w:rsid w:val="53942C51"/>
    <w:rsid w:val="539774F6"/>
    <w:rsid w:val="539C2B80"/>
    <w:rsid w:val="53BD156D"/>
    <w:rsid w:val="53C3205B"/>
    <w:rsid w:val="53D65ED8"/>
    <w:rsid w:val="53D8262B"/>
    <w:rsid w:val="53EA1820"/>
    <w:rsid w:val="53EC4BF7"/>
    <w:rsid w:val="53F526C5"/>
    <w:rsid w:val="53FA4FDF"/>
    <w:rsid w:val="53FF6164"/>
    <w:rsid w:val="540B7B86"/>
    <w:rsid w:val="541175C6"/>
    <w:rsid w:val="542841C7"/>
    <w:rsid w:val="54291570"/>
    <w:rsid w:val="542A6069"/>
    <w:rsid w:val="542B3836"/>
    <w:rsid w:val="542B5FE8"/>
    <w:rsid w:val="542F19AB"/>
    <w:rsid w:val="543729F0"/>
    <w:rsid w:val="54385976"/>
    <w:rsid w:val="5446381C"/>
    <w:rsid w:val="54464093"/>
    <w:rsid w:val="544D38E7"/>
    <w:rsid w:val="545719A0"/>
    <w:rsid w:val="546C468E"/>
    <w:rsid w:val="546F1DF9"/>
    <w:rsid w:val="54713687"/>
    <w:rsid w:val="54903FE8"/>
    <w:rsid w:val="54950281"/>
    <w:rsid w:val="549A39C0"/>
    <w:rsid w:val="54A41EF9"/>
    <w:rsid w:val="54AE6D86"/>
    <w:rsid w:val="54B46162"/>
    <w:rsid w:val="54CB396C"/>
    <w:rsid w:val="54D1521F"/>
    <w:rsid w:val="54E811E0"/>
    <w:rsid w:val="54FB2D2D"/>
    <w:rsid w:val="54FE1D62"/>
    <w:rsid w:val="55000368"/>
    <w:rsid w:val="550A641A"/>
    <w:rsid w:val="550A73AA"/>
    <w:rsid w:val="550C3845"/>
    <w:rsid w:val="550E679E"/>
    <w:rsid w:val="550F558A"/>
    <w:rsid w:val="55102589"/>
    <w:rsid w:val="55134DDA"/>
    <w:rsid w:val="55141AD3"/>
    <w:rsid w:val="55210310"/>
    <w:rsid w:val="55226F86"/>
    <w:rsid w:val="552448E0"/>
    <w:rsid w:val="55620F19"/>
    <w:rsid w:val="557F0DD7"/>
    <w:rsid w:val="55956798"/>
    <w:rsid w:val="55957627"/>
    <w:rsid w:val="55967510"/>
    <w:rsid w:val="55A446C3"/>
    <w:rsid w:val="55B01FC3"/>
    <w:rsid w:val="55C008C7"/>
    <w:rsid w:val="55C3517F"/>
    <w:rsid w:val="55CA03CC"/>
    <w:rsid w:val="55D37A3B"/>
    <w:rsid w:val="55D80F38"/>
    <w:rsid w:val="55E320D6"/>
    <w:rsid w:val="55EB5E0E"/>
    <w:rsid w:val="55EC3634"/>
    <w:rsid w:val="55F35DEB"/>
    <w:rsid w:val="55F422A4"/>
    <w:rsid w:val="55FE2599"/>
    <w:rsid w:val="56040233"/>
    <w:rsid w:val="5607555D"/>
    <w:rsid w:val="56245862"/>
    <w:rsid w:val="5629579B"/>
    <w:rsid w:val="562D652D"/>
    <w:rsid w:val="563229FE"/>
    <w:rsid w:val="563666D0"/>
    <w:rsid w:val="56370685"/>
    <w:rsid w:val="56376A98"/>
    <w:rsid w:val="563E0E00"/>
    <w:rsid w:val="563F50BF"/>
    <w:rsid w:val="56414DEA"/>
    <w:rsid w:val="5650598B"/>
    <w:rsid w:val="565900E5"/>
    <w:rsid w:val="56711776"/>
    <w:rsid w:val="56814911"/>
    <w:rsid w:val="568B68BC"/>
    <w:rsid w:val="569F43FD"/>
    <w:rsid w:val="56A16B9C"/>
    <w:rsid w:val="56A634DF"/>
    <w:rsid w:val="56AA3C60"/>
    <w:rsid w:val="56D87A3B"/>
    <w:rsid w:val="56E05184"/>
    <w:rsid w:val="56E630EB"/>
    <w:rsid w:val="56F50FA1"/>
    <w:rsid w:val="570E531D"/>
    <w:rsid w:val="571268D2"/>
    <w:rsid w:val="571406EC"/>
    <w:rsid w:val="57233FFC"/>
    <w:rsid w:val="5737262D"/>
    <w:rsid w:val="573B06DA"/>
    <w:rsid w:val="574A6914"/>
    <w:rsid w:val="57673DE2"/>
    <w:rsid w:val="57904574"/>
    <w:rsid w:val="57B7309F"/>
    <w:rsid w:val="57BB2D10"/>
    <w:rsid w:val="57C256B2"/>
    <w:rsid w:val="57CE5874"/>
    <w:rsid w:val="57D82895"/>
    <w:rsid w:val="580066E7"/>
    <w:rsid w:val="58234BF3"/>
    <w:rsid w:val="58267E98"/>
    <w:rsid w:val="582B3634"/>
    <w:rsid w:val="585F4B85"/>
    <w:rsid w:val="586A172B"/>
    <w:rsid w:val="58721E8E"/>
    <w:rsid w:val="587E1000"/>
    <w:rsid w:val="58832DC3"/>
    <w:rsid w:val="58871A1F"/>
    <w:rsid w:val="58896C82"/>
    <w:rsid w:val="58925AF5"/>
    <w:rsid w:val="58B45955"/>
    <w:rsid w:val="58B757C7"/>
    <w:rsid w:val="58C6127B"/>
    <w:rsid w:val="58CB0564"/>
    <w:rsid w:val="58D06389"/>
    <w:rsid w:val="58E07BF8"/>
    <w:rsid w:val="58E42079"/>
    <w:rsid w:val="58E4362B"/>
    <w:rsid w:val="58EC444F"/>
    <w:rsid w:val="58F12FEA"/>
    <w:rsid w:val="58FB2964"/>
    <w:rsid w:val="58FC4A8A"/>
    <w:rsid w:val="59080ACC"/>
    <w:rsid w:val="59151477"/>
    <w:rsid w:val="59184673"/>
    <w:rsid w:val="59245CFC"/>
    <w:rsid w:val="592542F6"/>
    <w:rsid w:val="59264E05"/>
    <w:rsid w:val="59277B98"/>
    <w:rsid w:val="592B5B5A"/>
    <w:rsid w:val="594C6690"/>
    <w:rsid w:val="594E4ABA"/>
    <w:rsid w:val="595729F3"/>
    <w:rsid w:val="598037EF"/>
    <w:rsid w:val="59824464"/>
    <w:rsid w:val="599503B0"/>
    <w:rsid w:val="59A8517E"/>
    <w:rsid w:val="59AD0583"/>
    <w:rsid w:val="59C85971"/>
    <w:rsid w:val="59CC1D54"/>
    <w:rsid w:val="59DF79C5"/>
    <w:rsid w:val="59E14ACA"/>
    <w:rsid w:val="59F40308"/>
    <w:rsid w:val="59F45A8E"/>
    <w:rsid w:val="59FA18BA"/>
    <w:rsid w:val="5A076157"/>
    <w:rsid w:val="5A0D04C7"/>
    <w:rsid w:val="5A151D3C"/>
    <w:rsid w:val="5A1B3E65"/>
    <w:rsid w:val="5A2566CC"/>
    <w:rsid w:val="5A355077"/>
    <w:rsid w:val="5A406E1A"/>
    <w:rsid w:val="5A410C63"/>
    <w:rsid w:val="5A4C73C8"/>
    <w:rsid w:val="5A4E7F1E"/>
    <w:rsid w:val="5A53127A"/>
    <w:rsid w:val="5A5C3925"/>
    <w:rsid w:val="5A644349"/>
    <w:rsid w:val="5A8A78DC"/>
    <w:rsid w:val="5A997FDD"/>
    <w:rsid w:val="5AAB1868"/>
    <w:rsid w:val="5AB26F57"/>
    <w:rsid w:val="5AC254DD"/>
    <w:rsid w:val="5AC41023"/>
    <w:rsid w:val="5AD3590E"/>
    <w:rsid w:val="5AE676A7"/>
    <w:rsid w:val="5AFE65E2"/>
    <w:rsid w:val="5B110484"/>
    <w:rsid w:val="5B1146F6"/>
    <w:rsid w:val="5B1771DA"/>
    <w:rsid w:val="5B3F0F34"/>
    <w:rsid w:val="5B5B09CD"/>
    <w:rsid w:val="5B5C2300"/>
    <w:rsid w:val="5B634300"/>
    <w:rsid w:val="5B6D264F"/>
    <w:rsid w:val="5B722DA8"/>
    <w:rsid w:val="5B781E23"/>
    <w:rsid w:val="5B825016"/>
    <w:rsid w:val="5B833730"/>
    <w:rsid w:val="5B9153D6"/>
    <w:rsid w:val="5B9767CE"/>
    <w:rsid w:val="5B9F4F4B"/>
    <w:rsid w:val="5BA5639A"/>
    <w:rsid w:val="5BB23813"/>
    <w:rsid w:val="5BB40E80"/>
    <w:rsid w:val="5BBC4FC5"/>
    <w:rsid w:val="5BC103D1"/>
    <w:rsid w:val="5BDC7911"/>
    <w:rsid w:val="5BDF659D"/>
    <w:rsid w:val="5BEF690A"/>
    <w:rsid w:val="5C072AC2"/>
    <w:rsid w:val="5C120134"/>
    <w:rsid w:val="5C1D455F"/>
    <w:rsid w:val="5C254B31"/>
    <w:rsid w:val="5C2E1C71"/>
    <w:rsid w:val="5C302BD2"/>
    <w:rsid w:val="5C317A2C"/>
    <w:rsid w:val="5C3573F5"/>
    <w:rsid w:val="5C3631A2"/>
    <w:rsid w:val="5C487B8B"/>
    <w:rsid w:val="5C4F4145"/>
    <w:rsid w:val="5C513BBE"/>
    <w:rsid w:val="5C5C0287"/>
    <w:rsid w:val="5C656AB6"/>
    <w:rsid w:val="5C6E2876"/>
    <w:rsid w:val="5C794D0F"/>
    <w:rsid w:val="5C7E1583"/>
    <w:rsid w:val="5C890CB0"/>
    <w:rsid w:val="5C8A19D4"/>
    <w:rsid w:val="5C912127"/>
    <w:rsid w:val="5C990085"/>
    <w:rsid w:val="5CA44044"/>
    <w:rsid w:val="5CA63ECF"/>
    <w:rsid w:val="5CB702A9"/>
    <w:rsid w:val="5CD62033"/>
    <w:rsid w:val="5D0E0221"/>
    <w:rsid w:val="5D17644F"/>
    <w:rsid w:val="5D1B5326"/>
    <w:rsid w:val="5D1B6DC0"/>
    <w:rsid w:val="5D1F673B"/>
    <w:rsid w:val="5D262A99"/>
    <w:rsid w:val="5D461951"/>
    <w:rsid w:val="5D581C70"/>
    <w:rsid w:val="5D583BED"/>
    <w:rsid w:val="5D5918D1"/>
    <w:rsid w:val="5D5F5F9F"/>
    <w:rsid w:val="5D6B1CC0"/>
    <w:rsid w:val="5D7A3DF2"/>
    <w:rsid w:val="5D7C32DD"/>
    <w:rsid w:val="5D9924A6"/>
    <w:rsid w:val="5D9A106F"/>
    <w:rsid w:val="5D9C1821"/>
    <w:rsid w:val="5D9E2C70"/>
    <w:rsid w:val="5D9F69F0"/>
    <w:rsid w:val="5DA12EF6"/>
    <w:rsid w:val="5DB403DA"/>
    <w:rsid w:val="5DC1780C"/>
    <w:rsid w:val="5DC5598B"/>
    <w:rsid w:val="5DCC3602"/>
    <w:rsid w:val="5DE458A7"/>
    <w:rsid w:val="5DFA65CB"/>
    <w:rsid w:val="5DFD13A8"/>
    <w:rsid w:val="5E001E6D"/>
    <w:rsid w:val="5E0B2B47"/>
    <w:rsid w:val="5E170D56"/>
    <w:rsid w:val="5E312D94"/>
    <w:rsid w:val="5E334255"/>
    <w:rsid w:val="5E7E1DDC"/>
    <w:rsid w:val="5E886789"/>
    <w:rsid w:val="5E97479C"/>
    <w:rsid w:val="5E993A8C"/>
    <w:rsid w:val="5E9A00DF"/>
    <w:rsid w:val="5EC442F5"/>
    <w:rsid w:val="5EC56094"/>
    <w:rsid w:val="5EC848DC"/>
    <w:rsid w:val="5EC94A86"/>
    <w:rsid w:val="5ECB647C"/>
    <w:rsid w:val="5ED75D25"/>
    <w:rsid w:val="5EE076AA"/>
    <w:rsid w:val="5EE40D51"/>
    <w:rsid w:val="5EE914C3"/>
    <w:rsid w:val="5EF83694"/>
    <w:rsid w:val="5EFC69FB"/>
    <w:rsid w:val="5F0F25AB"/>
    <w:rsid w:val="5F1150AB"/>
    <w:rsid w:val="5F1C7711"/>
    <w:rsid w:val="5F2175CE"/>
    <w:rsid w:val="5F230FA0"/>
    <w:rsid w:val="5F42360F"/>
    <w:rsid w:val="5F857C60"/>
    <w:rsid w:val="5F9B6D48"/>
    <w:rsid w:val="5FA7437B"/>
    <w:rsid w:val="5FD92CB5"/>
    <w:rsid w:val="5FEB5CC5"/>
    <w:rsid w:val="5FFA27D6"/>
    <w:rsid w:val="600532C8"/>
    <w:rsid w:val="60136FBF"/>
    <w:rsid w:val="601436DA"/>
    <w:rsid w:val="60180B6B"/>
    <w:rsid w:val="601A105C"/>
    <w:rsid w:val="6020439A"/>
    <w:rsid w:val="604520E7"/>
    <w:rsid w:val="604629AF"/>
    <w:rsid w:val="605F7185"/>
    <w:rsid w:val="607432D5"/>
    <w:rsid w:val="607F7A0B"/>
    <w:rsid w:val="608D0820"/>
    <w:rsid w:val="6091234D"/>
    <w:rsid w:val="609537B1"/>
    <w:rsid w:val="60982CBC"/>
    <w:rsid w:val="60AE2340"/>
    <w:rsid w:val="60AF3990"/>
    <w:rsid w:val="60B80B5C"/>
    <w:rsid w:val="60B875A4"/>
    <w:rsid w:val="60D109ED"/>
    <w:rsid w:val="60D63538"/>
    <w:rsid w:val="60D96BD7"/>
    <w:rsid w:val="60DC31C4"/>
    <w:rsid w:val="60E81616"/>
    <w:rsid w:val="610D5126"/>
    <w:rsid w:val="611046CB"/>
    <w:rsid w:val="61146A09"/>
    <w:rsid w:val="611F52BF"/>
    <w:rsid w:val="612C6F7A"/>
    <w:rsid w:val="61322BFF"/>
    <w:rsid w:val="61356887"/>
    <w:rsid w:val="613A5C2E"/>
    <w:rsid w:val="614D6CCB"/>
    <w:rsid w:val="615343C6"/>
    <w:rsid w:val="616235C9"/>
    <w:rsid w:val="616946D9"/>
    <w:rsid w:val="61707B35"/>
    <w:rsid w:val="61773EEB"/>
    <w:rsid w:val="618C5232"/>
    <w:rsid w:val="61943C95"/>
    <w:rsid w:val="61973749"/>
    <w:rsid w:val="619D1E38"/>
    <w:rsid w:val="619F4CAF"/>
    <w:rsid w:val="61AA3A4B"/>
    <w:rsid w:val="61D90AAC"/>
    <w:rsid w:val="61DB1857"/>
    <w:rsid w:val="62072FE3"/>
    <w:rsid w:val="621002DB"/>
    <w:rsid w:val="621E262A"/>
    <w:rsid w:val="62283F17"/>
    <w:rsid w:val="623474C0"/>
    <w:rsid w:val="62372A47"/>
    <w:rsid w:val="624E3DA8"/>
    <w:rsid w:val="626A7C77"/>
    <w:rsid w:val="62724D47"/>
    <w:rsid w:val="62791D4B"/>
    <w:rsid w:val="628801E0"/>
    <w:rsid w:val="62A17511"/>
    <w:rsid w:val="62A97CD6"/>
    <w:rsid w:val="62AD50A7"/>
    <w:rsid w:val="62B81204"/>
    <w:rsid w:val="62B972FD"/>
    <w:rsid w:val="62CE4F38"/>
    <w:rsid w:val="62DF4F0B"/>
    <w:rsid w:val="62E749AA"/>
    <w:rsid w:val="62E82422"/>
    <w:rsid w:val="62F55830"/>
    <w:rsid w:val="62F6764C"/>
    <w:rsid w:val="62FC189B"/>
    <w:rsid w:val="62FF2A4C"/>
    <w:rsid w:val="630132FB"/>
    <w:rsid w:val="63107A1B"/>
    <w:rsid w:val="6315298D"/>
    <w:rsid w:val="631E4341"/>
    <w:rsid w:val="63221593"/>
    <w:rsid w:val="63316161"/>
    <w:rsid w:val="63547CFB"/>
    <w:rsid w:val="63552F6B"/>
    <w:rsid w:val="635A193F"/>
    <w:rsid w:val="638D7EB0"/>
    <w:rsid w:val="639C2195"/>
    <w:rsid w:val="63CF1A59"/>
    <w:rsid w:val="63DC53E7"/>
    <w:rsid w:val="63DF5923"/>
    <w:rsid w:val="63F603BA"/>
    <w:rsid w:val="63FA5093"/>
    <w:rsid w:val="64077497"/>
    <w:rsid w:val="640913C5"/>
    <w:rsid w:val="640B4D94"/>
    <w:rsid w:val="64303700"/>
    <w:rsid w:val="64476BA1"/>
    <w:rsid w:val="64706B0B"/>
    <w:rsid w:val="64723FA1"/>
    <w:rsid w:val="64777C5D"/>
    <w:rsid w:val="64834AC0"/>
    <w:rsid w:val="64840BC5"/>
    <w:rsid w:val="64936F01"/>
    <w:rsid w:val="64997164"/>
    <w:rsid w:val="64A45274"/>
    <w:rsid w:val="64A51691"/>
    <w:rsid w:val="64B87F2A"/>
    <w:rsid w:val="64C11A95"/>
    <w:rsid w:val="64CA66CA"/>
    <w:rsid w:val="64F602E0"/>
    <w:rsid w:val="64F91EF5"/>
    <w:rsid w:val="65033D16"/>
    <w:rsid w:val="65051BD5"/>
    <w:rsid w:val="65191BE8"/>
    <w:rsid w:val="651F2D61"/>
    <w:rsid w:val="652007E3"/>
    <w:rsid w:val="65390198"/>
    <w:rsid w:val="654051CF"/>
    <w:rsid w:val="654962DD"/>
    <w:rsid w:val="65542B6A"/>
    <w:rsid w:val="655561C9"/>
    <w:rsid w:val="65665E86"/>
    <w:rsid w:val="656B3961"/>
    <w:rsid w:val="657C0319"/>
    <w:rsid w:val="65841133"/>
    <w:rsid w:val="658D1136"/>
    <w:rsid w:val="658D5441"/>
    <w:rsid w:val="65977DED"/>
    <w:rsid w:val="65A17839"/>
    <w:rsid w:val="65AB7E8F"/>
    <w:rsid w:val="65E5264A"/>
    <w:rsid w:val="65F06F93"/>
    <w:rsid w:val="65FA0150"/>
    <w:rsid w:val="65FF6A0B"/>
    <w:rsid w:val="66016BCE"/>
    <w:rsid w:val="66031C0C"/>
    <w:rsid w:val="66093404"/>
    <w:rsid w:val="661C08C9"/>
    <w:rsid w:val="66345ED5"/>
    <w:rsid w:val="66417885"/>
    <w:rsid w:val="66455775"/>
    <w:rsid w:val="6650130D"/>
    <w:rsid w:val="669267A0"/>
    <w:rsid w:val="669D7F96"/>
    <w:rsid w:val="66A07FA0"/>
    <w:rsid w:val="66A23F66"/>
    <w:rsid w:val="66A62A49"/>
    <w:rsid w:val="66B6197A"/>
    <w:rsid w:val="66B81701"/>
    <w:rsid w:val="66BC5DF7"/>
    <w:rsid w:val="66C1124E"/>
    <w:rsid w:val="66D02AD5"/>
    <w:rsid w:val="66D3683E"/>
    <w:rsid w:val="66D55C4F"/>
    <w:rsid w:val="66DA1C58"/>
    <w:rsid w:val="66DB1226"/>
    <w:rsid w:val="66EF7C9D"/>
    <w:rsid w:val="66FB10D8"/>
    <w:rsid w:val="67093572"/>
    <w:rsid w:val="670D57A8"/>
    <w:rsid w:val="671E506C"/>
    <w:rsid w:val="67300A65"/>
    <w:rsid w:val="673244E6"/>
    <w:rsid w:val="67324EA4"/>
    <w:rsid w:val="67367DE4"/>
    <w:rsid w:val="67597B75"/>
    <w:rsid w:val="676775EA"/>
    <w:rsid w:val="677D0501"/>
    <w:rsid w:val="67AA4964"/>
    <w:rsid w:val="67B37821"/>
    <w:rsid w:val="67BB0A3A"/>
    <w:rsid w:val="67C17FC6"/>
    <w:rsid w:val="67CC6DC1"/>
    <w:rsid w:val="67D85FCB"/>
    <w:rsid w:val="67E33780"/>
    <w:rsid w:val="67E96929"/>
    <w:rsid w:val="67EB3B32"/>
    <w:rsid w:val="6812382B"/>
    <w:rsid w:val="682C160E"/>
    <w:rsid w:val="683F42E1"/>
    <w:rsid w:val="684616EA"/>
    <w:rsid w:val="68470E3F"/>
    <w:rsid w:val="68613B23"/>
    <w:rsid w:val="686C3018"/>
    <w:rsid w:val="687E527D"/>
    <w:rsid w:val="6883228D"/>
    <w:rsid w:val="688B49B7"/>
    <w:rsid w:val="68912487"/>
    <w:rsid w:val="689126F1"/>
    <w:rsid w:val="68925E8B"/>
    <w:rsid w:val="68AD3132"/>
    <w:rsid w:val="68BD0429"/>
    <w:rsid w:val="68BD25AC"/>
    <w:rsid w:val="68CD2B97"/>
    <w:rsid w:val="68DC3034"/>
    <w:rsid w:val="68DF055F"/>
    <w:rsid w:val="68E77B92"/>
    <w:rsid w:val="68F11244"/>
    <w:rsid w:val="6902027F"/>
    <w:rsid w:val="690B6A69"/>
    <w:rsid w:val="6915312D"/>
    <w:rsid w:val="6916610C"/>
    <w:rsid w:val="691A321C"/>
    <w:rsid w:val="69205FE2"/>
    <w:rsid w:val="69233E67"/>
    <w:rsid w:val="69243400"/>
    <w:rsid w:val="692B0D4C"/>
    <w:rsid w:val="693251B9"/>
    <w:rsid w:val="69362DAC"/>
    <w:rsid w:val="694F2C16"/>
    <w:rsid w:val="69553ADC"/>
    <w:rsid w:val="695E79A3"/>
    <w:rsid w:val="695F6B6D"/>
    <w:rsid w:val="69606FA8"/>
    <w:rsid w:val="696462D8"/>
    <w:rsid w:val="697604D9"/>
    <w:rsid w:val="697D20D0"/>
    <w:rsid w:val="6992698A"/>
    <w:rsid w:val="69931C83"/>
    <w:rsid w:val="69962DC6"/>
    <w:rsid w:val="69A0794A"/>
    <w:rsid w:val="69A95707"/>
    <w:rsid w:val="69CC118F"/>
    <w:rsid w:val="69F753E9"/>
    <w:rsid w:val="6A1D4D2A"/>
    <w:rsid w:val="6A476664"/>
    <w:rsid w:val="6A582E6E"/>
    <w:rsid w:val="6A5B2D03"/>
    <w:rsid w:val="6A6D7968"/>
    <w:rsid w:val="6A825EEF"/>
    <w:rsid w:val="6A8B63AB"/>
    <w:rsid w:val="6A8E534F"/>
    <w:rsid w:val="6A92080D"/>
    <w:rsid w:val="6AA0452A"/>
    <w:rsid w:val="6AA1457D"/>
    <w:rsid w:val="6AB42284"/>
    <w:rsid w:val="6AB43643"/>
    <w:rsid w:val="6AB8343E"/>
    <w:rsid w:val="6AB95345"/>
    <w:rsid w:val="6ABA142F"/>
    <w:rsid w:val="6ACB3994"/>
    <w:rsid w:val="6AD44BA5"/>
    <w:rsid w:val="6AD67EBB"/>
    <w:rsid w:val="6AD81268"/>
    <w:rsid w:val="6AE01913"/>
    <w:rsid w:val="6AEA3A0D"/>
    <w:rsid w:val="6AED294A"/>
    <w:rsid w:val="6AF630F6"/>
    <w:rsid w:val="6AF96574"/>
    <w:rsid w:val="6B126644"/>
    <w:rsid w:val="6B30219C"/>
    <w:rsid w:val="6B3C4F97"/>
    <w:rsid w:val="6B531E21"/>
    <w:rsid w:val="6B5415A7"/>
    <w:rsid w:val="6B6B0C9C"/>
    <w:rsid w:val="6B7251A0"/>
    <w:rsid w:val="6B795BBC"/>
    <w:rsid w:val="6B825D3B"/>
    <w:rsid w:val="6B875DDC"/>
    <w:rsid w:val="6BA33513"/>
    <w:rsid w:val="6BAD488D"/>
    <w:rsid w:val="6BB83730"/>
    <w:rsid w:val="6BB976DA"/>
    <w:rsid w:val="6BC74EEB"/>
    <w:rsid w:val="6BC77E6E"/>
    <w:rsid w:val="6BCA5958"/>
    <w:rsid w:val="6BD94617"/>
    <w:rsid w:val="6BEA5426"/>
    <w:rsid w:val="6BEF307E"/>
    <w:rsid w:val="6BF126D2"/>
    <w:rsid w:val="6BF7770E"/>
    <w:rsid w:val="6C0A2147"/>
    <w:rsid w:val="6C1275AF"/>
    <w:rsid w:val="6C2B6FFB"/>
    <w:rsid w:val="6C3068FC"/>
    <w:rsid w:val="6C3F6612"/>
    <w:rsid w:val="6C436973"/>
    <w:rsid w:val="6C49338A"/>
    <w:rsid w:val="6C4B640F"/>
    <w:rsid w:val="6C505AFC"/>
    <w:rsid w:val="6C590D74"/>
    <w:rsid w:val="6C5B2EB0"/>
    <w:rsid w:val="6C5C701A"/>
    <w:rsid w:val="6C875D2A"/>
    <w:rsid w:val="6C8E4ED4"/>
    <w:rsid w:val="6C9261BE"/>
    <w:rsid w:val="6CAD47FC"/>
    <w:rsid w:val="6CB10559"/>
    <w:rsid w:val="6CB6024D"/>
    <w:rsid w:val="6CBB3BC4"/>
    <w:rsid w:val="6CBE5226"/>
    <w:rsid w:val="6CC61D04"/>
    <w:rsid w:val="6CC92D2D"/>
    <w:rsid w:val="6CD534B2"/>
    <w:rsid w:val="6CD764FA"/>
    <w:rsid w:val="6CEC3297"/>
    <w:rsid w:val="6CEF078A"/>
    <w:rsid w:val="6D022C97"/>
    <w:rsid w:val="6D0E3150"/>
    <w:rsid w:val="6D172D14"/>
    <w:rsid w:val="6D2B47C4"/>
    <w:rsid w:val="6D651E04"/>
    <w:rsid w:val="6D6B1F42"/>
    <w:rsid w:val="6D702704"/>
    <w:rsid w:val="6D702DF8"/>
    <w:rsid w:val="6D7169AC"/>
    <w:rsid w:val="6D742A96"/>
    <w:rsid w:val="6D7E0B30"/>
    <w:rsid w:val="6D881EB0"/>
    <w:rsid w:val="6D94161E"/>
    <w:rsid w:val="6DA8501D"/>
    <w:rsid w:val="6DA952A3"/>
    <w:rsid w:val="6DAB1A4F"/>
    <w:rsid w:val="6DAC1E42"/>
    <w:rsid w:val="6DB4084B"/>
    <w:rsid w:val="6DB52389"/>
    <w:rsid w:val="6DC67B25"/>
    <w:rsid w:val="6DC84691"/>
    <w:rsid w:val="6DD37EAB"/>
    <w:rsid w:val="6DD96970"/>
    <w:rsid w:val="6DDF5EBE"/>
    <w:rsid w:val="6DE35A17"/>
    <w:rsid w:val="6DF175B9"/>
    <w:rsid w:val="6DF5597A"/>
    <w:rsid w:val="6E051D29"/>
    <w:rsid w:val="6E0764F5"/>
    <w:rsid w:val="6E091D92"/>
    <w:rsid w:val="6E0F034C"/>
    <w:rsid w:val="6E142F6F"/>
    <w:rsid w:val="6E160D96"/>
    <w:rsid w:val="6E2144F9"/>
    <w:rsid w:val="6E216A22"/>
    <w:rsid w:val="6E251123"/>
    <w:rsid w:val="6E28024E"/>
    <w:rsid w:val="6E380D0F"/>
    <w:rsid w:val="6E395F0F"/>
    <w:rsid w:val="6E3B2E01"/>
    <w:rsid w:val="6E3F2896"/>
    <w:rsid w:val="6E636422"/>
    <w:rsid w:val="6E7538EA"/>
    <w:rsid w:val="6E7D390D"/>
    <w:rsid w:val="6E9315D8"/>
    <w:rsid w:val="6E955BEB"/>
    <w:rsid w:val="6E963EFC"/>
    <w:rsid w:val="6E9D5C12"/>
    <w:rsid w:val="6EA7743E"/>
    <w:rsid w:val="6EB432E2"/>
    <w:rsid w:val="6EB851AF"/>
    <w:rsid w:val="6EC47CFD"/>
    <w:rsid w:val="6EC52DE9"/>
    <w:rsid w:val="6ECA6C5B"/>
    <w:rsid w:val="6EE30BE6"/>
    <w:rsid w:val="6EE51F6E"/>
    <w:rsid w:val="6EE74164"/>
    <w:rsid w:val="6F006D7B"/>
    <w:rsid w:val="6F170463"/>
    <w:rsid w:val="6F1D2311"/>
    <w:rsid w:val="6F291F74"/>
    <w:rsid w:val="6F360931"/>
    <w:rsid w:val="6F435E7A"/>
    <w:rsid w:val="6F68581D"/>
    <w:rsid w:val="6F696073"/>
    <w:rsid w:val="6F771A6A"/>
    <w:rsid w:val="6F8215E9"/>
    <w:rsid w:val="6F8D7626"/>
    <w:rsid w:val="6F904395"/>
    <w:rsid w:val="6FAD1D96"/>
    <w:rsid w:val="6FC745FF"/>
    <w:rsid w:val="6FDE4155"/>
    <w:rsid w:val="6FE22DF6"/>
    <w:rsid w:val="70077C2D"/>
    <w:rsid w:val="70255578"/>
    <w:rsid w:val="702A32AC"/>
    <w:rsid w:val="70335130"/>
    <w:rsid w:val="703A7077"/>
    <w:rsid w:val="704044A3"/>
    <w:rsid w:val="704D6320"/>
    <w:rsid w:val="70573C18"/>
    <w:rsid w:val="705F4C76"/>
    <w:rsid w:val="705F6CD6"/>
    <w:rsid w:val="70711485"/>
    <w:rsid w:val="70760E52"/>
    <w:rsid w:val="707C17AA"/>
    <w:rsid w:val="70836E86"/>
    <w:rsid w:val="708F4D67"/>
    <w:rsid w:val="709543D1"/>
    <w:rsid w:val="709906E7"/>
    <w:rsid w:val="70B00877"/>
    <w:rsid w:val="70CD2E7C"/>
    <w:rsid w:val="70D025D6"/>
    <w:rsid w:val="70D76213"/>
    <w:rsid w:val="70D94FC5"/>
    <w:rsid w:val="70DD3DED"/>
    <w:rsid w:val="7113780F"/>
    <w:rsid w:val="711966C9"/>
    <w:rsid w:val="71245578"/>
    <w:rsid w:val="71292890"/>
    <w:rsid w:val="712E3BB1"/>
    <w:rsid w:val="714029B7"/>
    <w:rsid w:val="71471D0F"/>
    <w:rsid w:val="714F440D"/>
    <w:rsid w:val="71581745"/>
    <w:rsid w:val="71607CFA"/>
    <w:rsid w:val="7184414C"/>
    <w:rsid w:val="71944A8A"/>
    <w:rsid w:val="719A10DB"/>
    <w:rsid w:val="71AD5746"/>
    <w:rsid w:val="71AE3080"/>
    <w:rsid w:val="71B74E6A"/>
    <w:rsid w:val="71BF54D0"/>
    <w:rsid w:val="71CD6D2B"/>
    <w:rsid w:val="71D55D7F"/>
    <w:rsid w:val="71D762FC"/>
    <w:rsid w:val="71D948A7"/>
    <w:rsid w:val="71E267A5"/>
    <w:rsid w:val="720F1979"/>
    <w:rsid w:val="721A55C2"/>
    <w:rsid w:val="72207D57"/>
    <w:rsid w:val="72335479"/>
    <w:rsid w:val="72401026"/>
    <w:rsid w:val="725E29CE"/>
    <w:rsid w:val="725F172B"/>
    <w:rsid w:val="72874E47"/>
    <w:rsid w:val="7287796A"/>
    <w:rsid w:val="7292003E"/>
    <w:rsid w:val="72974D26"/>
    <w:rsid w:val="729E30D7"/>
    <w:rsid w:val="72A11576"/>
    <w:rsid w:val="72B20BED"/>
    <w:rsid w:val="72C03590"/>
    <w:rsid w:val="72CB0BF0"/>
    <w:rsid w:val="72DF209E"/>
    <w:rsid w:val="72E31257"/>
    <w:rsid w:val="72E314B6"/>
    <w:rsid w:val="73336003"/>
    <w:rsid w:val="73347CB8"/>
    <w:rsid w:val="73363593"/>
    <w:rsid w:val="733E53B8"/>
    <w:rsid w:val="735253F6"/>
    <w:rsid w:val="73596161"/>
    <w:rsid w:val="736B748E"/>
    <w:rsid w:val="73755885"/>
    <w:rsid w:val="737E64C9"/>
    <w:rsid w:val="73822A1E"/>
    <w:rsid w:val="73916C83"/>
    <w:rsid w:val="73B12DF9"/>
    <w:rsid w:val="73C43300"/>
    <w:rsid w:val="73CC4F69"/>
    <w:rsid w:val="73D36A94"/>
    <w:rsid w:val="73D4334F"/>
    <w:rsid w:val="74130EBF"/>
    <w:rsid w:val="741473C6"/>
    <w:rsid w:val="74162223"/>
    <w:rsid w:val="74192335"/>
    <w:rsid w:val="741A19F8"/>
    <w:rsid w:val="741B401E"/>
    <w:rsid w:val="7433399C"/>
    <w:rsid w:val="74384838"/>
    <w:rsid w:val="74417080"/>
    <w:rsid w:val="74491ACC"/>
    <w:rsid w:val="74567B70"/>
    <w:rsid w:val="747E5AA3"/>
    <w:rsid w:val="747F20D7"/>
    <w:rsid w:val="74A279CE"/>
    <w:rsid w:val="74BE5062"/>
    <w:rsid w:val="74C42CB5"/>
    <w:rsid w:val="74C6310B"/>
    <w:rsid w:val="74C9373B"/>
    <w:rsid w:val="74CB5A00"/>
    <w:rsid w:val="74D05396"/>
    <w:rsid w:val="74D42B3D"/>
    <w:rsid w:val="74E26107"/>
    <w:rsid w:val="74EC3E5E"/>
    <w:rsid w:val="74ED55D4"/>
    <w:rsid w:val="74F47B8E"/>
    <w:rsid w:val="74F5223B"/>
    <w:rsid w:val="75073F81"/>
    <w:rsid w:val="75164628"/>
    <w:rsid w:val="75197C32"/>
    <w:rsid w:val="75311268"/>
    <w:rsid w:val="75351105"/>
    <w:rsid w:val="75377F70"/>
    <w:rsid w:val="75482DC8"/>
    <w:rsid w:val="75500BC7"/>
    <w:rsid w:val="755771B8"/>
    <w:rsid w:val="75601CC4"/>
    <w:rsid w:val="756A0AC4"/>
    <w:rsid w:val="757A3E91"/>
    <w:rsid w:val="75A61023"/>
    <w:rsid w:val="75B04508"/>
    <w:rsid w:val="75B312C6"/>
    <w:rsid w:val="75CA00CE"/>
    <w:rsid w:val="75DE1A46"/>
    <w:rsid w:val="75E84ACB"/>
    <w:rsid w:val="75F77FBF"/>
    <w:rsid w:val="75F869B9"/>
    <w:rsid w:val="7606703F"/>
    <w:rsid w:val="760A297B"/>
    <w:rsid w:val="761473F0"/>
    <w:rsid w:val="76206ED0"/>
    <w:rsid w:val="7620778A"/>
    <w:rsid w:val="763847AA"/>
    <w:rsid w:val="763A4508"/>
    <w:rsid w:val="76437C51"/>
    <w:rsid w:val="764D5D92"/>
    <w:rsid w:val="764D5DEF"/>
    <w:rsid w:val="765B57C1"/>
    <w:rsid w:val="7660547F"/>
    <w:rsid w:val="76620EE2"/>
    <w:rsid w:val="7662676C"/>
    <w:rsid w:val="76644DE4"/>
    <w:rsid w:val="766A73EE"/>
    <w:rsid w:val="767E4FFC"/>
    <w:rsid w:val="767F101F"/>
    <w:rsid w:val="76821984"/>
    <w:rsid w:val="769A5A66"/>
    <w:rsid w:val="76A14F02"/>
    <w:rsid w:val="76AB78E3"/>
    <w:rsid w:val="76BD38F2"/>
    <w:rsid w:val="76C21E71"/>
    <w:rsid w:val="76D96ED2"/>
    <w:rsid w:val="76DF4EAE"/>
    <w:rsid w:val="77077040"/>
    <w:rsid w:val="77112194"/>
    <w:rsid w:val="771352E9"/>
    <w:rsid w:val="771D120E"/>
    <w:rsid w:val="771D50DB"/>
    <w:rsid w:val="771E2FF4"/>
    <w:rsid w:val="7720249B"/>
    <w:rsid w:val="772334BE"/>
    <w:rsid w:val="772351FD"/>
    <w:rsid w:val="77302CCE"/>
    <w:rsid w:val="773802B5"/>
    <w:rsid w:val="77440460"/>
    <w:rsid w:val="77486FB6"/>
    <w:rsid w:val="775B3E89"/>
    <w:rsid w:val="777973AA"/>
    <w:rsid w:val="777A1768"/>
    <w:rsid w:val="777E3D7E"/>
    <w:rsid w:val="77923EE7"/>
    <w:rsid w:val="77990BB5"/>
    <w:rsid w:val="77B71AD2"/>
    <w:rsid w:val="77B724BE"/>
    <w:rsid w:val="77BD4B5C"/>
    <w:rsid w:val="77D04199"/>
    <w:rsid w:val="77DA7ECE"/>
    <w:rsid w:val="77F10ED8"/>
    <w:rsid w:val="78043043"/>
    <w:rsid w:val="78070F55"/>
    <w:rsid w:val="780D1602"/>
    <w:rsid w:val="783748C4"/>
    <w:rsid w:val="7843380A"/>
    <w:rsid w:val="78663866"/>
    <w:rsid w:val="787419D8"/>
    <w:rsid w:val="789C2CEA"/>
    <w:rsid w:val="78A85264"/>
    <w:rsid w:val="78A94579"/>
    <w:rsid w:val="78C74670"/>
    <w:rsid w:val="78D36201"/>
    <w:rsid w:val="78D8063B"/>
    <w:rsid w:val="78D86DC8"/>
    <w:rsid w:val="78E260F3"/>
    <w:rsid w:val="78E66C94"/>
    <w:rsid w:val="78F60999"/>
    <w:rsid w:val="79137E81"/>
    <w:rsid w:val="791421F7"/>
    <w:rsid w:val="79201D19"/>
    <w:rsid w:val="79332981"/>
    <w:rsid w:val="794A2FAA"/>
    <w:rsid w:val="79684A8E"/>
    <w:rsid w:val="79692BFC"/>
    <w:rsid w:val="79780809"/>
    <w:rsid w:val="79793DF9"/>
    <w:rsid w:val="797D4A21"/>
    <w:rsid w:val="79A1449A"/>
    <w:rsid w:val="79A37BC9"/>
    <w:rsid w:val="79B04496"/>
    <w:rsid w:val="79B14867"/>
    <w:rsid w:val="79B23B36"/>
    <w:rsid w:val="79C575E8"/>
    <w:rsid w:val="79D623FE"/>
    <w:rsid w:val="79E51C40"/>
    <w:rsid w:val="79E67899"/>
    <w:rsid w:val="79F968DE"/>
    <w:rsid w:val="79FD24CC"/>
    <w:rsid w:val="7A010B4C"/>
    <w:rsid w:val="7A031DBF"/>
    <w:rsid w:val="7A050B4B"/>
    <w:rsid w:val="7A2C5C0B"/>
    <w:rsid w:val="7A2D46C5"/>
    <w:rsid w:val="7A3074A9"/>
    <w:rsid w:val="7A344287"/>
    <w:rsid w:val="7A39124E"/>
    <w:rsid w:val="7A5212F0"/>
    <w:rsid w:val="7A555119"/>
    <w:rsid w:val="7A6D1D3E"/>
    <w:rsid w:val="7A7372C2"/>
    <w:rsid w:val="7A821A6C"/>
    <w:rsid w:val="7A85304F"/>
    <w:rsid w:val="7A8D5301"/>
    <w:rsid w:val="7A957873"/>
    <w:rsid w:val="7AAB03ED"/>
    <w:rsid w:val="7AB03A59"/>
    <w:rsid w:val="7ABE2599"/>
    <w:rsid w:val="7AC13A9A"/>
    <w:rsid w:val="7AC9705C"/>
    <w:rsid w:val="7ACF0844"/>
    <w:rsid w:val="7ACF123F"/>
    <w:rsid w:val="7AD532FF"/>
    <w:rsid w:val="7AEE277D"/>
    <w:rsid w:val="7B0A2B92"/>
    <w:rsid w:val="7B177BD0"/>
    <w:rsid w:val="7B2200AC"/>
    <w:rsid w:val="7B42141C"/>
    <w:rsid w:val="7B4527D5"/>
    <w:rsid w:val="7B5274A0"/>
    <w:rsid w:val="7B57627D"/>
    <w:rsid w:val="7B617589"/>
    <w:rsid w:val="7B6A7AB6"/>
    <w:rsid w:val="7BA76DD6"/>
    <w:rsid w:val="7BB574DF"/>
    <w:rsid w:val="7BBD68AF"/>
    <w:rsid w:val="7BCA3DF4"/>
    <w:rsid w:val="7BCF4C73"/>
    <w:rsid w:val="7BD858DD"/>
    <w:rsid w:val="7BD957C1"/>
    <w:rsid w:val="7BDE4FE7"/>
    <w:rsid w:val="7BEA54E6"/>
    <w:rsid w:val="7C1B4341"/>
    <w:rsid w:val="7C256E3D"/>
    <w:rsid w:val="7C257EBD"/>
    <w:rsid w:val="7C4250E9"/>
    <w:rsid w:val="7C607016"/>
    <w:rsid w:val="7C88770D"/>
    <w:rsid w:val="7C9B6905"/>
    <w:rsid w:val="7C9E7AE6"/>
    <w:rsid w:val="7CA95865"/>
    <w:rsid w:val="7CBF7ACA"/>
    <w:rsid w:val="7CD47394"/>
    <w:rsid w:val="7CDF1421"/>
    <w:rsid w:val="7D075792"/>
    <w:rsid w:val="7D0C7450"/>
    <w:rsid w:val="7D1246D8"/>
    <w:rsid w:val="7D1527D6"/>
    <w:rsid w:val="7D187ED8"/>
    <w:rsid w:val="7D2318F5"/>
    <w:rsid w:val="7D241DFD"/>
    <w:rsid w:val="7D290D4F"/>
    <w:rsid w:val="7D296E76"/>
    <w:rsid w:val="7D363B60"/>
    <w:rsid w:val="7D3A0C2D"/>
    <w:rsid w:val="7D3F3CFF"/>
    <w:rsid w:val="7D463816"/>
    <w:rsid w:val="7D5D0AA6"/>
    <w:rsid w:val="7D740AFF"/>
    <w:rsid w:val="7D76359E"/>
    <w:rsid w:val="7D77341F"/>
    <w:rsid w:val="7D8F219D"/>
    <w:rsid w:val="7D930DD2"/>
    <w:rsid w:val="7DA00109"/>
    <w:rsid w:val="7DA621C5"/>
    <w:rsid w:val="7DB10A06"/>
    <w:rsid w:val="7DB25AB8"/>
    <w:rsid w:val="7DB37CED"/>
    <w:rsid w:val="7DBD1026"/>
    <w:rsid w:val="7DDA16E8"/>
    <w:rsid w:val="7DE30B33"/>
    <w:rsid w:val="7DF97B9D"/>
    <w:rsid w:val="7E030EF4"/>
    <w:rsid w:val="7E032299"/>
    <w:rsid w:val="7E090698"/>
    <w:rsid w:val="7E0D2215"/>
    <w:rsid w:val="7E134DFD"/>
    <w:rsid w:val="7E201258"/>
    <w:rsid w:val="7E217C07"/>
    <w:rsid w:val="7E244E49"/>
    <w:rsid w:val="7E2654AB"/>
    <w:rsid w:val="7E2F6BAF"/>
    <w:rsid w:val="7E48058B"/>
    <w:rsid w:val="7E5A0F76"/>
    <w:rsid w:val="7E5A482C"/>
    <w:rsid w:val="7E6D3CA4"/>
    <w:rsid w:val="7E6F544B"/>
    <w:rsid w:val="7E6F5FC7"/>
    <w:rsid w:val="7E726542"/>
    <w:rsid w:val="7E734AFF"/>
    <w:rsid w:val="7E756213"/>
    <w:rsid w:val="7E7A671A"/>
    <w:rsid w:val="7E991ABC"/>
    <w:rsid w:val="7E9B412C"/>
    <w:rsid w:val="7E9D773F"/>
    <w:rsid w:val="7EAC2A13"/>
    <w:rsid w:val="7EB52AD0"/>
    <w:rsid w:val="7EC05D3A"/>
    <w:rsid w:val="7ED20D09"/>
    <w:rsid w:val="7ED54AA7"/>
    <w:rsid w:val="7ED93DEE"/>
    <w:rsid w:val="7EE53746"/>
    <w:rsid w:val="7EE910D2"/>
    <w:rsid w:val="7EF060C6"/>
    <w:rsid w:val="7EF7492C"/>
    <w:rsid w:val="7F034A50"/>
    <w:rsid w:val="7F040AFA"/>
    <w:rsid w:val="7F0642B9"/>
    <w:rsid w:val="7F1E01F3"/>
    <w:rsid w:val="7F252AD1"/>
    <w:rsid w:val="7F2F1C47"/>
    <w:rsid w:val="7F3735C5"/>
    <w:rsid w:val="7F3D38F3"/>
    <w:rsid w:val="7F553914"/>
    <w:rsid w:val="7F580CE2"/>
    <w:rsid w:val="7F6C6974"/>
    <w:rsid w:val="7F6C7FA9"/>
    <w:rsid w:val="7F791EFB"/>
    <w:rsid w:val="7F973191"/>
    <w:rsid w:val="7F9E07A2"/>
    <w:rsid w:val="7FA75648"/>
    <w:rsid w:val="7FAA68A9"/>
    <w:rsid w:val="7FB64187"/>
    <w:rsid w:val="7FBA7FA5"/>
    <w:rsid w:val="7FBB1896"/>
    <w:rsid w:val="7FBE18EB"/>
    <w:rsid w:val="7FD11914"/>
    <w:rsid w:val="7FD652BE"/>
    <w:rsid w:val="7FD76F90"/>
    <w:rsid w:val="7FE24C39"/>
    <w:rsid w:val="7FEB5C5E"/>
    <w:rsid w:val="7FF04C83"/>
    <w:rsid w:val="7FF95FE7"/>
    <w:rsid w:val="7FFF6E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Followed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unhideWhenUsed="1" w:qFormat="1"/>
    <w:lsdException w:name="Table Theme" w:semiHidden="1" w:uiPriority="99" w:unhideWhenUsed="1"/>
    <w:lsdException w:name="Placeholder Text" w:uiPriority="99" w:unhideWhenUsed="1"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54E3"/>
    <w:pPr>
      <w:widowControl w:val="0"/>
      <w:jc w:val="both"/>
    </w:pPr>
    <w:rPr>
      <w:kern w:val="2"/>
      <w:sz w:val="21"/>
      <w:szCs w:val="24"/>
    </w:rPr>
  </w:style>
  <w:style w:type="paragraph" w:styleId="1">
    <w:name w:val="heading 1"/>
    <w:basedOn w:val="a"/>
    <w:next w:val="a"/>
    <w:link w:val="1Char"/>
    <w:qFormat/>
    <w:rsid w:val="008A54E3"/>
    <w:pPr>
      <w:keepNext/>
      <w:keepLines/>
      <w:spacing w:before="300" w:after="30" w:line="360" w:lineRule="auto"/>
      <w:jc w:val="center"/>
      <w:outlineLvl w:val="0"/>
    </w:pPr>
    <w:rPr>
      <w:b/>
      <w:bCs/>
      <w:kern w:val="44"/>
      <w:sz w:val="32"/>
      <w:szCs w:val="44"/>
    </w:rPr>
  </w:style>
  <w:style w:type="paragraph" w:styleId="2">
    <w:name w:val="heading 2"/>
    <w:basedOn w:val="a"/>
    <w:next w:val="a"/>
    <w:qFormat/>
    <w:rsid w:val="008A54E3"/>
    <w:pPr>
      <w:keepNext/>
      <w:keepLines/>
      <w:snapToGrid w:val="0"/>
      <w:spacing w:line="360" w:lineRule="auto"/>
      <w:jc w:val="left"/>
      <w:outlineLvl w:val="1"/>
    </w:pPr>
    <w:rPr>
      <w:rFonts w:ascii="Arial" w:eastAsia="楷体" w:hAnsi="Arial"/>
      <w:b/>
      <w:bCs/>
      <w:sz w:val="30"/>
      <w:szCs w:val="32"/>
    </w:rPr>
  </w:style>
  <w:style w:type="paragraph" w:styleId="3">
    <w:name w:val="heading 3"/>
    <w:basedOn w:val="a"/>
    <w:next w:val="a"/>
    <w:unhideWhenUsed/>
    <w:qFormat/>
    <w:rsid w:val="008A54E3"/>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8A54E3"/>
    <w:rPr>
      <w:rFonts w:ascii="宋体"/>
      <w:sz w:val="18"/>
      <w:szCs w:val="18"/>
    </w:rPr>
  </w:style>
  <w:style w:type="paragraph" w:styleId="a4">
    <w:name w:val="annotation text"/>
    <w:basedOn w:val="a"/>
    <w:link w:val="Char0"/>
    <w:qFormat/>
    <w:rsid w:val="008A54E3"/>
    <w:pPr>
      <w:jc w:val="left"/>
    </w:pPr>
  </w:style>
  <w:style w:type="paragraph" w:styleId="a5">
    <w:name w:val="Body Text Indent"/>
    <w:basedOn w:val="a"/>
    <w:qFormat/>
    <w:rsid w:val="008A54E3"/>
    <w:pPr>
      <w:ind w:firstLine="360"/>
    </w:pPr>
    <w:rPr>
      <w:szCs w:val="20"/>
    </w:rPr>
  </w:style>
  <w:style w:type="paragraph" w:styleId="30">
    <w:name w:val="toc 3"/>
    <w:basedOn w:val="a"/>
    <w:next w:val="a"/>
    <w:uiPriority w:val="39"/>
    <w:qFormat/>
    <w:rsid w:val="008A54E3"/>
    <w:pPr>
      <w:ind w:leftChars="400" w:left="840"/>
    </w:pPr>
    <w:rPr>
      <w:rFonts w:eastAsia="楷体"/>
    </w:rPr>
  </w:style>
  <w:style w:type="paragraph" w:styleId="a6">
    <w:name w:val="Date"/>
    <w:basedOn w:val="a"/>
    <w:next w:val="a"/>
    <w:qFormat/>
    <w:rsid w:val="008A54E3"/>
    <w:pPr>
      <w:ind w:leftChars="2500" w:left="100"/>
    </w:pPr>
  </w:style>
  <w:style w:type="paragraph" w:styleId="20">
    <w:name w:val="Body Text Indent 2"/>
    <w:basedOn w:val="a"/>
    <w:qFormat/>
    <w:rsid w:val="008A54E3"/>
    <w:pPr>
      <w:adjustRightInd w:val="0"/>
      <w:spacing w:line="360" w:lineRule="auto"/>
      <w:ind w:firstLineChars="200" w:firstLine="560"/>
      <w:jc w:val="left"/>
      <w:textAlignment w:val="baseline"/>
    </w:pPr>
    <w:rPr>
      <w:rFonts w:ascii="楷体_GB2312" w:eastAsia="楷体_GB2312" w:hAnsi="宋体"/>
      <w:kern w:val="0"/>
      <w:sz w:val="28"/>
      <w:szCs w:val="20"/>
    </w:rPr>
  </w:style>
  <w:style w:type="paragraph" w:styleId="a7">
    <w:name w:val="Balloon Text"/>
    <w:basedOn w:val="a"/>
    <w:semiHidden/>
    <w:qFormat/>
    <w:rsid w:val="008A54E3"/>
    <w:rPr>
      <w:sz w:val="18"/>
      <w:szCs w:val="18"/>
    </w:rPr>
  </w:style>
  <w:style w:type="paragraph" w:styleId="a8">
    <w:name w:val="footer"/>
    <w:basedOn w:val="a"/>
    <w:qFormat/>
    <w:rsid w:val="008A54E3"/>
    <w:pPr>
      <w:tabs>
        <w:tab w:val="center" w:pos="4153"/>
        <w:tab w:val="right" w:pos="8306"/>
      </w:tabs>
      <w:adjustRightInd w:val="0"/>
      <w:snapToGrid w:val="0"/>
      <w:jc w:val="left"/>
      <w:textAlignment w:val="baseline"/>
    </w:pPr>
    <w:rPr>
      <w:kern w:val="0"/>
      <w:sz w:val="18"/>
      <w:szCs w:val="20"/>
    </w:rPr>
  </w:style>
  <w:style w:type="paragraph" w:styleId="a9">
    <w:name w:val="header"/>
    <w:basedOn w:val="a"/>
    <w:qFormat/>
    <w:rsid w:val="008A54E3"/>
    <w:pPr>
      <w:pBdr>
        <w:bottom w:val="single" w:sz="6" w:space="1" w:color="auto"/>
      </w:pBdr>
      <w:tabs>
        <w:tab w:val="center" w:pos="4153"/>
        <w:tab w:val="right" w:pos="8306"/>
      </w:tabs>
      <w:adjustRightInd w:val="0"/>
      <w:snapToGrid w:val="0"/>
      <w:jc w:val="center"/>
      <w:textAlignment w:val="baseline"/>
    </w:pPr>
    <w:rPr>
      <w:kern w:val="0"/>
      <w:sz w:val="18"/>
      <w:szCs w:val="20"/>
    </w:rPr>
  </w:style>
  <w:style w:type="paragraph" w:styleId="10">
    <w:name w:val="toc 1"/>
    <w:basedOn w:val="a"/>
    <w:next w:val="a"/>
    <w:uiPriority w:val="39"/>
    <w:qFormat/>
    <w:rsid w:val="008A54E3"/>
    <w:pPr>
      <w:jc w:val="distribute"/>
    </w:pPr>
    <w:rPr>
      <w:rFonts w:ascii="仿宋_GB2312" w:eastAsia="楷体" w:hAnsi="宋体"/>
      <w:spacing w:val="36"/>
      <w:sz w:val="28"/>
    </w:rPr>
  </w:style>
  <w:style w:type="paragraph" w:styleId="31">
    <w:name w:val="Body Text Indent 3"/>
    <w:basedOn w:val="a"/>
    <w:qFormat/>
    <w:rsid w:val="008A54E3"/>
    <w:pPr>
      <w:adjustRightInd w:val="0"/>
      <w:spacing w:line="360" w:lineRule="auto"/>
      <w:ind w:firstLineChars="200" w:firstLine="560"/>
      <w:textAlignment w:val="baseline"/>
    </w:pPr>
    <w:rPr>
      <w:rFonts w:ascii="仿宋_GB2312" w:eastAsia="仿宋_GB2312" w:hAnsi="宋体"/>
      <w:kern w:val="0"/>
      <w:sz w:val="28"/>
      <w:szCs w:val="20"/>
    </w:rPr>
  </w:style>
  <w:style w:type="paragraph" w:styleId="21">
    <w:name w:val="toc 2"/>
    <w:basedOn w:val="a"/>
    <w:next w:val="a"/>
    <w:uiPriority w:val="39"/>
    <w:qFormat/>
    <w:rsid w:val="008A54E3"/>
    <w:rPr>
      <w:rFonts w:eastAsia="楷体"/>
    </w:rPr>
  </w:style>
  <w:style w:type="paragraph" w:styleId="aa">
    <w:name w:val="Normal (Web)"/>
    <w:basedOn w:val="a"/>
    <w:uiPriority w:val="99"/>
    <w:qFormat/>
    <w:rsid w:val="008A54E3"/>
    <w:pPr>
      <w:spacing w:before="100" w:beforeAutospacing="1" w:after="100" w:afterAutospacing="1"/>
      <w:jc w:val="left"/>
    </w:pPr>
    <w:rPr>
      <w:kern w:val="0"/>
      <w:sz w:val="24"/>
    </w:rPr>
  </w:style>
  <w:style w:type="paragraph" w:styleId="ab">
    <w:name w:val="annotation subject"/>
    <w:basedOn w:val="a4"/>
    <w:next w:val="a4"/>
    <w:link w:val="Char1"/>
    <w:qFormat/>
    <w:rsid w:val="008A54E3"/>
    <w:rPr>
      <w:b/>
      <w:bCs/>
    </w:rPr>
  </w:style>
  <w:style w:type="table" w:styleId="ac">
    <w:name w:val="Table Grid"/>
    <w:basedOn w:val="a1"/>
    <w:uiPriority w:val="99"/>
    <w:unhideWhenUsed/>
    <w:qFormat/>
    <w:rsid w:val="008A54E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sid w:val="008A54E3"/>
    <w:rPr>
      <w:b/>
      <w:bCs/>
    </w:rPr>
  </w:style>
  <w:style w:type="character" w:styleId="ae">
    <w:name w:val="page number"/>
    <w:basedOn w:val="a0"/>
    <w:qFormat/>
    <w:rsid w:val="008A54E3"/>
  </w:style>
  <w:style w:type="character" w:styleId="af">
    <w:name w:val="FollowedHyperlink"/>
    <w:qFormat/>
    <w:rsid w:val="008A54E3"/>
    <w:rPr>
      <w:color w:val="012E22"/>
      <w:u w:val="none"/>
    </w:rPr>
  </w:style>
  <w:style w:type="character" w:styleId="af0">
    <w:name w:val="Hyperlink"/>
    <w:uiPriority w:val="99"/>
    <w:qFormat/>
    <w:rsid w:val="008A54E3"/>
    <w:rPr>
      <w:color w:val="012E22"/>
      <w:u w:val="none"/>
    </w:rPr>
  </w:style>
  <w:style w:type="character" w:styleId="af1">
    <w:name w:val="annotation reference"/>
    <w:basedOn w:val="a0"/>
    <w:qFormat/>
    <w:rsid w:val="008A54E3"/>
    <w:rPr>
      <w:sz w:val="21"/>
      <w:szCs w:val="21"/>
    </w:rPr>
  </w:style>
  <w:style w:type="character" w:customStyle="1" w:styleId="1Char">
    <w:name w:val="标题 1 Char"/>
    <w:link w:val="1"/>
    <w:qFormat/>
    <w:rsid w:val="008A54E3"/>
    <w:rPr>
      <w:rFonts w:eastAsia="宋体"/>
      <w:b/>
      <w:bCs/>
      <w:kern w:val="44"/>
      <w:sz w:val="32"/>
      <w:szCs w:val="44"/>
    </w:rPr>
  </w:style>
  <w:style w:type="paragraph" w:customStyle="1" w:styleId="af2">
    <w:name w:val="报告模板"/>
    <w:basedOn w:val="Firstline2ch1"/>
    <w:qFormat/>
    <w:rsid w:val="008A54E3"/>
    <w:pPr>
      <w:spacing w:line="560" w:lineRule="exact"/>
      <w:ind w:firstLine="560"/>
      <w:jc w:val="left"/>
    </w:pPr>
    <w:rPr>
      <w:rFonts w:hAnsi="仿宋_GB2312" w:cs="宋体"/>
      <w:szCs w:val="20"/>
    </w:rPr>
  </w:style>
  <w:style w:type="paragraph" w:customStyle="1" w:styleId="Firstline2ch1">
    <w:name w:val="龙泰正文 + First line:  2 ch1"/>
    <w:basedOn w:val="af3"/>
    <w:qFormat/>
    <w:rsid w:val="008A54E3"/>
    <w:pPr>
      <w:ind w:firstLine="600"/>
    </w:pPr>
  </w:style>
  <w:style w:type="paragraph" w:customStyle="1" w:styleId="af3">
    <w:name w:val="龙泰正文"/>
    <w:basedOn w:val="a"/>
    <w:qFormat/>
    <w:rsid w:val="008A54E3"/>
    <w:pPr>
      <w:autoSpaceDE w:val="0"/>
      <w:autoSpaceDN w:val="0"/>
      <w:spacing w:line="360" w:lineRule="auto"/>
      <w:ind w:firstLineChars="200" w:firstLine="200"/>
    </w:pPr>
    <w:rPr>
      <w:rFonts w:ascii="仿宋_GB2312" w:eastAsia="仿宋_GB2312" w:hAnsi="Arial"/>
      <w:szCs w:val="28"/>
    </w:rPr>
  </w:style>
  <w:style w:type="character" w:customStyle="1" w:styleId="Char">
    <w:name w:val="文档结构图 Char"/>
    <w:link w:val="a3"/>
    <w:qFormat/>
    <w:rsid w:val="008A54E3"/>
    <w:rPr>
      <w:rFonts w:ascii="宋体"/>
      <w:kern w:val="2"/>
      <w:sz w:val="18"/>
      <w:szCs w:val="18"/>
    </w:rPr>
  </w:style>
  <w:style w:type="character" w:customStyle="1" w:styleId="font11">
    <w:name w:val="font11"/>
    <w:basedOn w:val="a0"/>
    <w:qFormat/>
    <w:rsid w:val="008A54E3"/>
    <w:rPr>
      <w:rFonts w:ascii="宋体" w:eastAsia="宋体" w:hAnsi="宋体" w:cs="宋体" w:hint="eastAsia"/>
      <w:color w:val="000000"/>
      <w:sz w:val="24"/>
      <w:szCs w:val="24"/>
      <w:u w:val="none"/>
    </w:rPr>
  </w:style>
  <w:style w:type="character" w:customStyle="1" w:styleId="client1">
    <w:name w:val="client1"/>
    <w:basedOn w:val="a0"/>
    <w:qFormat/>
    <w:rsid w:val="008A54E3"/>
  </w:style>
  <w:style w:type="character" w:customStyle="1" w:styleId="r">
    <w:name w:val="r_价值类型"/>
    <w:basedOn w:val="a0"/>
    <w:qFormat/>
    <w:rsid w:val="008A54E3"/>
  </w:style>
  <w:style w:type="character" w:customStyle="1" w:styleId="s">
    <w:name w:val="s_土地证号"/>
    <w:basedOn w:val="a0"/>
    <w:qFormat/>
    <w:rsid w:val="008A54E3"/>
  </w:style>
  <w:style w:type="character" w:customStyle="1" w:styleId="font01">
    <w:name w:val="font01"/>
    <w:basedOn w:val="a0"/>
    <w:qFormat/>
    <w:rsid w:val="008A54E3"/>
    <w:rPr>
      <w:rFonts w:ascii="宋体" w:eastAsia="宋体" w:hAnsi="宋体" w:cs="宋体" w:hint="eastAsia"/>
      <w:color w:val="000000"/>
      <w:sz w:val="21"/>
      <w:szCs w:val="21"/>
      <w:u w:val="none"/>
    </w:rPr>
  </w:style>
  <w:style w:type="character" w:customStyle="1" w:styleId="r0">
    <w:name w:val="r_报告编号"/>
    <w:basedOn w:val="a0"/>
    <w:qFormat/>
    <w:rsid w:val="008A54E3"/>
  </w:style>
  <w:style w:type="character" w:customStyle="1" w:styleId="r1">
    <w:name w:val="r_结束日期(长)"/>
    <w:basedOn w:val="a0"/>
    <w:qFormat/>
    <w:rsid w:val="008A54E3"/>
  </w:style>
  <w:style w:type="character" w:customStyle="1" w:styleId="s0">
    <w:name w:val="s_地址"/>
    <w:basedOn w:val="a0"/>
    <w:qFormat/>
    <w:rsid w:val="008A54E3"/>
  </w:style>
  <w:style w:type="character" w:customStyle="1" w:styleId="s1">
    <w:name w:val="s_权利人"/>
    <w:basedOn w:val="a0"/>
    <w:qFormat/>
    <w:rsid w:val="008A54E3"/>
  </w:style>
  <w:style w:type="character" w:customStyle="1" w:styleId="15">
    <w:name w:val="15"/>
    <w:qFormat/>
    <w:rsid w:val="008A54E3"/>
    <w:rPr>
      <w:rFonts w:ascii="Verdana" w:eastAsia="Times New Roman" w:hAnsi="Verdana" w:cs="Verdana" w:hint="default"/>
      <w:sz w:val="20"/>
      <w:szCs w:val="20"/>
    </w:rPr>
  </w:style>
  <w:style w:type="character" w:customStyle="1" w:styleId="100">
    <w:name w:val="10"/>
    <w:qFormat/>
    <w:rsid w:val="008A54E3"/>
    <w:rPr>
      <w:rFonts w:ascii="Verdana" w:eastAsia="Times New Roman" w:hAnsi="Verdana" w:cs="Verdana" w:hint="default"/>
      <w:sz w:val="20"/>
      <w:szCs w:val="20"/>
    </w:rPr>
  </w:style>
  <w:style w:type="character" w:customStyle="1" w:styleId="Char0">
    <w:name w:val="批注文字 Char"/>
    <w:basedOn w:val="a0"/>
    <w:link w:val="a4"/>
    <w:qFormat/>
    <w:rsid w:val="008A54E3"/>
    <w:rPr>
      <w:kern w:val="2"/>
      <w:sz w:val="21"/>
      <w:szCs w:val="24"/>
    </w:rPr>
  </w:style>
  <w:style w:type="character" w:customStyle="1" w:styleId="Char1">
    <w:name w:val="批注主题 Char"/>
    <w:basedOn w:val="Char0"/>
    <w:link w:val="ab"/>
    <w:qFormat/>
    <w:rsid w:val="008A54E3"/>
    <w:rPr>
      <w:b/>
      <w:bCs/>
      <w:kern w:val="2"/>
      <w:sz w:val="21"/>
      <w:szCs w:val="24"/>
    </w:rPr>
  </w:style>
  <w:style w:type="paragraph" w:styleId="af4">
    <w:name w:val="List Paragraph"/>
    <w:basedOn w:val="a"/>
    <w:uiPriority w:val="34"/>
    <w:qFormat/>
    <w:rsid w:val="008A54E3"/>
    <w:pPr>
      <w:ind w:firstLineChars="200" w:firstLine="420"/>
    </w:pPr>
    <w:rPr>
      <w:rFonts w:ascii="Calibri" w:hAnsi="Calibri"/>
      <w:szCs w:val="22"/>
    </w:rPr>
  </w:style>
  <w:style w:type="character" w:styleId="af5">
    <w:name w:val="Placeholder Text"/>
    <w:basedOn w:val="a0"/>
    <w:uiPriority w:val="99"/>
    <w:unhideWhenUsed/>
    <w:qFormat/>
    <w:rsid w:val="008A54E3"/>
    <w:rPr>
      <w:color w:val="808080"/>
    </w:rPr>
  </w:style>
  <w:style w:type="character" w:customStyle="1" w:styleId="font21">
    <w:name w:val="font21"/>
    <w:basedOn w:val="a0"/>
    <w:qFormat/>
    <w:rsid w:val="008A54E3"/>
    <w:rPr>
      <w:rFonts w:ascii="楷体" w:eastAsia="楷体" w:hAnsi="楷体" w:cs="楷体" w:hint="eastAsia"/>
      <w:b/>
      <w:color w:val="000000"/>
      <w:sz w:val="24"/>
      <w:szCs w:val="24"/>
      <w:u w:val="none"/>
    </w:rPr>
  </w:style>
  <w:style w:type="character" w:customStyle="1" w:styleId="font41">
    <w:name w:val="font41"/>
    <w:basedOn w:val="a0"/>
    <w:qFormat/>
    <w:rsid w:val="008A54E3"/>
    <w:rPr>
      <w:rFonts w:ascii="楷体" w:eastAsia="楷体" w:hAnsi="楷体" w:cs="楷体" w:hint="eastAsia"/>
      <w:b/>
      <w:color w:val="000000"/>
      <w:sz w:val="24"/>
      <w:szCs w:val="24"/>
      <w:u w:val="none"/>
    </w:rPr>
  </w:style>
  <w:style w:type="character" w:customStyle="1" w:styleId="font31">
    <w:name w:val="font31"/>
    <w:basedOn w:val="a0"/>
    <w:qFormat/>
    <w:rsid w:val="008A54E3"/>
    <w:rPr>
      <w:rFonts w:ascii="楷体" w:eastAsia="楷体" w:hAnsi="楷体" w:cs="楷体" w:hint="eastAsia"/>
      <w:b/>
      <w:color w:val="000000"/>
      <w:sz w:val="24"/>
      <w:szCs w:val="24"/>
      <w:u w:val="none"/>
    </w:rPr>
  </w:style>
  <w:style w:type="character" w:customStyle="1" w:styleId="font51">
    <w:name w:val="font51"/>
    <w:basedOn w:val="a0"/>
    <w:qFormat/>
    <w:rsid w:val="008A54E3"/>
    <w:rPr>
      <w:rFonts w:ascii="楷体" w:eastAsia="楷体" w:hAnsi="楷体" w:cs="楷体" w:hint="eastAsia"/>
      <w:b/>
      <w:color w:val="000000"/>
      <w:sz w:val="24"/>
      <w:szCs w:val="24"/>
      <w:u w:val="none"/>
    </w:rPr>
  </w:style>
  <w:style w:type="paragraph" w:customStyle="1" w:styleId="WPSOffice2">
    <w:name w:val="WPSOffice手动目录 2"/>
    <w:qFormat/>
    <w:rsid w:val="008A54E3"/>
    <w:pPr>
      <w:ind w:leftChars="200" w:left="200"/>
    </w:pPr>
    <w:rPr>
      <w:rFonts w:ascii="Calibri" w:hAnsi="Calibri"/>
    </w:rPr>
  </w:style>
  <w:style w:type="paragraph" w:customStyle="1" w:styleId="WPSOffice1">
    <w:name w:val="WPSOffice手动目录 1"/>
    <w:qFormat/>
    <w:rsid w:val="008A54E3"/>
    <w:rPr>
      <w:rFonts w:ascii="Calibri" w:hAnsi="Calibr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419FB-F1FC-4F70-B364-CE958C6AC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1439</Words>
  <Characters>8204</Characters>
  <Application>Microsoft Office Word</Application>
  <DocSecurity>0</DocSecurity>
  <Lines>68</Lines>
  <Paragraphs>19</Paragraphs>
  <ScaleCrop>false</ScaleCrop>
  <Company>天平评估</Company>
  <LinksUpToDate>false</LinksUpToDate>
  <CharactersWithSpaces>9624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估价结果报告</dc:title>
  <dc:creator>秦振贤</dc:creator>
  <cp:lastModifiedBy>NTKO</cp:lastModifiedBy>
  <cp:revision>84</cp:revision>
  <cp:lastPrinted>2022-03-28T03:46:00Z</cp:lastPrinted>
  <dcterms:created xsi:type="dcterms:W3CDTF">2018-04-02T03:35:00Z</dcterms:created>
  <dcterms:modified xsi:type="dcterms:W3CDTF">2022-12-01T03:20:00Z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1DA31387B9704B6CBC3F5FAA1FF9CE81</vt:lpwstr>
  </property>
</Properties>
</file>