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E3" w:rsidRDefault="00E85AC9">
      <w:pPr>
        <w:autoSpaceDE w:val="0"/>
        <w:autoSpaceDN w:val="0"/>
        <w:adjustRightInd w:val="0"/>
        <w:spacing w:line="600" w:lineRule="exact"/>
        <w:rPr>
          <w:rFonts w:ascii="宋体" w:eastAsia="宋体" w:hAnsi="宋体" w:cs="宋体"/>
          <w:szCs w:val="21"/>
        </w:rPr>
      </w:pPr>
      <w:r>
        <w:rPr>
          <w:rFonts w:ascii="宋体" w:eastAsia="宋体" w:hAnsi="宋体" w:cs="宋体" w:hint="eastAsia"/>
          <w:szCs w:val="21"/>
        </w:rPr>
        <w:t>本报告依据中国资产评估准则</w:t>
      </w:r>
    </w:p>
    <w:p w:rsidR="00A32AE3" w:rsidRDefault="00E85AC9">
      <w:pPr>
        <w:autoSpaceDE w:val="0"/>
        <w:autoSpaceDN w:val="0"/>
        <w:spacing w:line="276" w:lineRule="auto"/>
        <w:rPr>
          <w:rFonts w:ascii="宋体" w:eastAsia="宋体" w:hAnsi="宋体" w:cs="宋体"/>
          <w:szCs w:val="21"/>
        </w:rPr>
      </w:pPr>
      <w:r>
        <w:rPr>
          <w:rFonts w:ascii="宋体" w:eastAsia="宋体" w:hAnsi="宋体" w:cs="宋体" w:hint="eastAsia"/>
          <w:szCs w:val="21"/>
        </w:rPr>
        <w:t>人民法院委托财产处置评估指导意见编制</w:t>
      </w:r>
    </w:p>
    <w:p w:rsidR="00A32AE3" w:rsidRDefault="00A32AE3">
      <w:pPr>
        <w:autoSpaceDE w:val="0"/>
        <w:autoSpaceDN w:val="0"/>
        <w:adjustRightInd w:val="0"/>
        <w:spacing w:line="600" w:lineRule="exact"/>
        <w:rPr>
          <w:rFonts w:ascii="宋体" w:eastAsia="宋体" w:hAnsi="宋体" w:cs="宋体"/>
        </w:rPr>
      </w:pPr>
    </w:p>
    <w:p w:rsidR="00A32AE3" w:rsidRDefault="00A32AE3">
      <w:pPr>
        <w:rPr>
          <w:rFonts w:ascii="宋体" w:eastAsia="宋体" w:hAnsi="宋体" w:cs="宋体"/>
          <w:b/>
          <w:bCs/>
          <w:sz w:val="24"/>
        </w:rPr>
      </w:pPr>
    </w:p>
    <w:p w:rsidR="00A32AE3" w:rsidRDefault="00A32AE3">
      <w:pPr>
        <w:spacing w:line="360" w:lineRule="auto"/>
        <w:rPr>
          <w:rFonts w:ascii="宋体" w:eastAsia="宋体" w:hAnsi="宋体" w:cs="宋体"/>
          <w:b/>
          <w:bCs/>
          <w:sz w:val="24"/>
        </w:rPr>
      </w:pPr>
    </w:p>
    <w:p w:rsidR="00A32AE3" w:rsidRDefault="00A32AE3">
      <w:pPr>
        <w:spacing w:line="360" w:lineRule="auto"/>
        <w:ind w:rightChars="-1" w:right="-2" w:firstLineChars="200" w:firstLine="723"/>
        <w:jc w:val="center"/>
        <w:rPr>
          <w:rFonts w:ascii="宋体" w:eastAsia="宋体" w:hAnsi="宋体" w:cs="宋体"/>
          <w:b/>
          <w:sz w:val="36"/>
          <w:szCs w:val="36"/>
        </w:rPr>
      </w:pPr>
    </w:p>
    <w:p w:rsidR="00A32AE3" w:rsidRDefault="00E85AC9">
      <w:pPr>
        <w:spacing w:line="360" w:lineRule="auto"/>
        <w:ind w:rightChars="-1" w:right="-2"/>
        <w:jc w:val="center"/>
        <w:rPr>
          <w:rFonts w:ascii="宋体" w:eastAsia="宋体" w:hAnsi="宋体" w:cs="宋体"/>
          <w:b/>
          <w:sz w:val="32"/>
          <w:szCs w:val="32"/>
        </w:rPr>
      </w:pPr>
      <w:bookmarkStart w:id="0" w:name="_Hlk93491395"/>
      <w:r>
        <w:rPr>
          <w:rFonts w:ascii="宋体" w:eastAsia="宋体" w:hAnsi="宋体" w:cs="宋体" w:hint="eastAsia"/>
          <w:b/>
          <w:sz w:val="32"/>
          <w:szCs w:val="32"/>
        </w:rPr>
        <w:t>杭州市富阳区人民法院拟财产处置涉及的</w:t>
      </w:r>
    </w:p>
    <w:p w:rsidR="00A32AE3" w:rsidRDefault="00E85AC9">
      <w:pPr>
        <w:spacing w:line="360" w:lineRule="auto"/>
        <w:ind w:rightChars="-1" w:right="-2"/>
        <w:jc w:val="center"/>
        <w:rPr>
          <w:rFonts w:ascii="宋体" w:eastAsia="宋体" w:hAnsi="宋体" w:cs="宋体"/>
          <w:b/>
          <w:sz w:val="32"/>
          <w:szCs w:val="32"/>
        </w:rPr>
      </w:pPr>
      <w:r>
        <w:rPr>
          <w:rFonts w:ascii="宋体" w:eastAsia="宋体" w:hAnsi="宋体" w:cs="宋体" w:hint="eastAsia"/>
          <w:b/>
          <w:sz w:val="32"/>
          <w:szCs w:val="32"/>
        </w:rPr>
        <w:t>俞朝阳所有的位于杭州市滨江区钱塘春晓花园12幢2单元1102室住宅房地产、室内装修及家具家电市场价值</w:t>
      </w:r>
    </w:p>
    <w:p w:rsidR="00A32AE3" w:rsidRDefault="00E85AC9">
      <w:pPr>
        <w:spacing w:line="360" w:lineRule="auto"/>
        <w:ind w:rightChars="-1" w:right="-2"/>
        <w:jc w:val="center"/>
        <w:rPr>
          <w:rFonts w:ascii="宋体" w:eastAsia="宋体" w:hAnsi="宋体" w:cs="宋体"/>
          <w:b/>
          <w:sz w:val="32"/>
          <w:szCs w:val="32"/>
        </w:rPr>
      </w:pPr>
      <w:r>
        <w:rPr>
          <w:rFonts w:ascii="宋体" w:eastAsia="宋体" w:hAnsi="宋体" w:cs="宋体" w:hint="eastAsia"/>
          <w:b/>
          <w:sz w:val="32"/>
          <w:szCs w:val="32"/>
        </w:rPr>
        <w:t>司法评估项目</w:t>
      </w:r>
    </w:p>
    <w:bookmarkEnd w:id="0"/>
    <w:p w:rsidR="00A32AE3" w:rsidRDefault="00E85AC9">
      <w:pPr>
        <w:pStyle w:val="Default"/>
        <w:tabs>
          <w:tab w:val="center" w:pos="4153"/>
          <w:tab w:val="right" w:pos="8306"/>
        </w:tabs>
        <w:spacing w:line="360" w:lineRule="auto"/>
        <w:rPr>
          <w:rFonts w:hAnsi="宋体"/>
          <w:sz w:val="48"/>
          <w:szCs w:val="48"/>
        </w:rPr>
      </w:pPr>
      <w:r>
        <w:rPr>
          <w:rFonts w:hAnsi="宋体" w:hint="eastAsia"/>
          <w:b/>
          <w:sz w:val="48"/>
          <w:szCs w:val="48"/>
        </w:rPr>
        <w:tab/>
        <w:t>资产评估报告</w:t>
      </w:r>
      <w:r>
        <w:rPr>
          <w:rFonts w:hAnsi="宋体" w:hint="eastAsia"/>
          <w:b/>
          <w:sz w:val="48"/>
          <w:szCs w:val="48"/>
        </w:rPr>
        <w:tab/>
      </w:r>
    </w:p>
    <w:p w:rsidR="00A32AE3" w:rsidRDefault="0091166E">
      <w:pPr>
        <w:spacing w:line="360" w:lineRule="auto"/>
        <w:jc w:val="center"/>
        <w:rPr>
          <w:rFonts w:ascii="宋体" w:eastAsia="宋体" w:hAnsi="宋体" w:cs="宋体"/>
          <w:color w:val="000000"/>
          <w:sz w:val="24"/>
        </w:rPr>
      </w:pPr>
      <w:r w:rsidRPr="0091166E">
        <w:rPr>
          <w:rFonts w:ascii="宋体" w:eastAsia="宋体" w:hAnsi="宋体" w:cs="宋体" w:hint="eastAsia"/>
          <w:color w:val="000000"/>
          <w:sz w:val="24"/>
        </w:rPr>
        <w:t>富资评字【2022】SF第0074号</w:t>
      </w:r>
    </w:p>
    <w:p w:rsidR="00A32AE3" w:rsidRDefault="00E85AC9">
      <w:pPr>
        <w:spacing w:line="360" w:lineRule="auto"/>
        <w:jc w:val="center"/>
        <w:rPr>
          <w:rFonts w:ascii="宋体" w:eastAsia="宋体" w:hAnsi="宋体" w:cs="宋体"/>
          <w:color w:val="000000"/>
          <w:sz w:val="24"/>
        </w:rPr>
      </w:pPr>
      <w:r>
        <w:rPr>
          <w:rFonts w:ascii="宋体" w:eastAsia="宋体" w:hAnsi="宋体" w:cs="宋体" w:hint="eastAsia"/>
          <w:color w:val="000000"/>
          <w:sz w:val="24"/>
        </w:rPr>
        <w:t>（第一册 共一册）</w:t>
      </w:r>
    </w:p>
    <w:p w:rsidR="00A32AE3" w:rsidRDefault="00A32AE3">
      <w:pPr>
        <w:spacing w:beforeLines="50" w:before="156" w:line="480" w:lineRule="auto"/>
        <w:jc w:val="center"/>
        <w:rPr>
          <w:rFonts w:ascii="宋体" w:eastAsia="宋体" w:hAnsi="宋体" w:cs="宋体"/>
          <w:b/>
          <w:bCs/>
          <w:sz w:val="44"/>
          <w:szCs w:val="44"/>
        </w:rPr>
      </w:pPr>
    </w:p>
    <w:p w:rsidR="00A32AE3" w:rsidRDefault="00A32AE3">
      <w:pPr>
        <w:jc w:val="center"/>
        <w:rPr>
          <w:rFonts w:ascii="宋体" w:eastAsia="宋体" w:hAnsi="宋体" w:cs="宋体"/>
          <w:b/>
          <w:bCs/>
          <w:sz w:val="44"/>
          <w:szCs w:val="44"/>
        </w:rPr>
      </w:pPr>
    </w:p>
    <w:p w:rsidR="00A32AE3" w:rsidRDefault="00A32AE3">
      <w:pPr>
        <w:jc w:val="center"/>
        <w:rPr>
          <w:rFonts w:ascii="宋体" w:eastAsia="宋体" w:hAnsi="宋体" w:cs="宋体"/>
          <w:b/>
          <w:bCs/>
          <w:sz w:val="44"/>
          <w:szCs w:val="44"/>
        </w:rPr>
      </w:pPr>
    </w:p>
    <w:p w:rsidR="00A32AE3" w:rsidRDefault="00A32AE3">
      <w:pPr>
        <w:rPr>
          <w:rFonts w:ascii="宋体" w:eastAsia="宋体" w:hAnsi="宋体" w:cs="宋体"/>
          <w:b/>
          <w:bCs/>
          <w:sz w:val="44"/>
          <w:szCs w:val="44"/>
        </w:rPr>
      </w:pPr>
    </w:p>
    <w:p w:rsidR="00A32AE3" w:rsidRDefault="00A32AE3">
      <w:pPr>
        <w:jc w:val="center"/>
        <w:rPr>
          <w:rFonts w:ascii="宋体" w:eastAsia="宋体" w:hAnsi="宋体" w:cs="宋体"/>
          <w:b/>
          <w:bCs/>
          <w:sz w:val="44"/>
          <w:szCs w:val="44"/>
        </w:rPr>
      </w:pPr>
    </w:p>
    <w:p w:rsidR="00A32AE3" w:rsidRDefault="00A32AE3">
      <w:pPr>
        <w:jc w:val="center"/>
        <w:rPr>
          <w:rFonts w:ascii="宋体" w:eastAsia="宋体" w:hAnsi="宋体" w:cs="宋体"/>
          <w:b/>
          <w:bCs/>
          <w:sz w:val="44"/>
          <w:szCs w:val="44"/>
        </w:rPr>
      </w:pPr>
    </w:p>
    <w:p w:rsidR="00A32AE3" w:rsidRDefault="00A32AE3">
      <w:pPr>
        <w:rPr>
          <w:rFonts w:ascii="宋体" w:eastAsia="宋体" w:hAnsi="宋体" w:cs="宋体"/>
          <w:b/>
          <w:bCs/>
          <w:sz w:val="32"/>
          <w:szCs w:val="32"/>
        </w:rPr>
      </w:pPr>
    </w:p>
    <w:p w:rsidR="00A32AE3" w:rsidRDefault="00E85AC9">
      <w:pPr>
        <w:spacing w:line="56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杭州富诚资产评估有限公司</w:t>
      </w:r>
    </w:p>
    <w:p w:rsidR="00A32AE3" w:rsidRDefault="00E85AC9">
      <w:pPr>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二〇二二年十月二十日</w:t>
      </w:r>
    </w:p>
    <w:p w:rsidR="00A32AE3" w:rsidRDefault="00A32AE3">
      <w:pPr>
        <w:pStyle w:val="Default"/>
      </w:pPr>
    </w:p>
    <w:p w:rsidR="00A32AE3" w:rsidRDefault="00A32AE3">
      <w:pPr>
        <w:pStyle w:val="Default"/>
        <w:rPr>
          <w:rFonts w:hAnsi="宋体"/>
        </w:rPr>
      </w:pPr>
    </w:p>
    <w:p w:rsidR="00A32AE3" w:rsidRDefault="00A32AE3">
      <w:pPr>
        <w:pStyle w:val="Default"/>
        <w:rPr>
          <w:rFonts w:hAnsi="宋体"/>
        </w:rPr>
      </w:pPr>
    </w:p>
    <w:p w:rsidR="00A32AE3" w:rsidRDefault="00A32AE3">
      <w:pPr>
        <w:pStyle w:val="Style2"/>
        <w:jc w:val="both"/>
        <w:rPr>
          <w:rFonts w:ascii="宋体" w:hAnsi="宋体" w:cs="宋体"/>
          <w:color w:val="000000"/>
          <w:sz w:val="44"/>
          <w:szCs w:val="44"/>
        </w:rPr>
        <w:sectPr w:rsidR="00A32AE3">
          <w:headerReference w:type="default" r:id="rId9"/>
          <w:footerReference w:type="default" r:id="rId10"/>
          <w:pgSz w:w="11906" w:h="16838"/>
          <w:pgMar w:top="1440" w:right="1800" w:bottom="1440" w:left="1800" w:header="851" w:footer="992" w:gutter="0"/>
          <w:pgNumType w:start="1"/>
          <w:cols w:space="425"/>
          <w:titlePg/>
          <w:docGrid w:type="lines" w:linePitch="312"/>
        </w:sectPr>
      </w:pPr>
    </w:p>
    <w:sdt>
      <w:sdtPr>
        <w:rPr>
          <w:rFonts w:asciiTheme="minorHAnsi" w:eastAsiaTheme="minorEastAsia" w:hAnsiTheme="minorHAnsi" w:cstheme="minorBidi"/>
          <w:color w:val="auto"/>
          <w:sz w:val="20"/>
          <w:szCs w:val="20"/>
          <w:lang w:val="zh-CN"/>
        </w:rPr>
        <w:id w:val="1610243765"/>
        <w:docPartObj>
          <w:docPartGallery w:val="Table of Contents"/>
          <w:docPartUnique/>
        </w:docPartObj>
      </w:sdtPr>
      <w:sdtEndPr>
        <w:rPr>
          <w:b/>
          <w:bCs/>
        </w:rPr>
      </w:sdtEndPr>
      <w:sdtContent>
        <w:p w:rsidR="00A32AE3" w:rsidRDefault="00E85AC9">
          <w:pPr>
            <w:pStyle w:val="TOC1"/>
            <w:jc w:val="center"/>
            <w:rPr>
              <w:color w:val="auto"/>
            </w:rPr>
          </w:pPr>
          <w:r>
            <w:rPr>
              <w:color w:val="auto"/>
              <w:lang w:val="zh-CN"/>
            </w:rPr>
            <w:t>目录</w:t>
          </w:r>
        </w:p>
        <w:p w:rsidR="00A32AE3" w:rsidRDefault="00E85AC9">
          <w:pPr>
            <w:pStyle w:val="WPSOffice1"/>
            <w:tabs>
              <w:tab w:val="right" w:leader="dot" w:pos="8306"/>
            </w:tabs>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TOC \o "1-3" \h \z \u </w:instrText>
          </w:r>
          <w:r>
            <w:rPr>
              <w:rFonts w:ascii="宋体" w:eastAsia="宋体" w:hAnsi="宋体" w:cs="宋体"/>
              <w:sz w:val="28"/>
              <w:szCs w:val="28"/>
            </w:rPr>
            <w:fldChar w:fldCharType="separate"/>
          </w:r>
          <w:hyperlink w:anchor="_Toc117164020" w:history="1">
            <w:r>
              <w:rPr>
                <w:sz w:val="28"/>
                <w:szCs w:val="28"/>
              </w:rPr>
              <w:t>声</w:t>
            </w:r>
            <w:r>
              <w:rPr>
                <w:sz w:val="28"/>
                <w:szCs w:val="28"/>
              </w:rPr>
              <w:t xml:space="preserve"> </w:t>
            </w:r>
            <w:r>
              <w:rPr>
                <w:sz w:val="28"/>
                <w:szCs w:val="28"/>
              </w:rPr>
              <w:t>明</w:t>
            </w:r>
            <w:r>
              <w:rPr>
                <w:rFonts w:ascii="宋体" w:eastAsia="宋体" w:hAnsi="宋体" w:cs="宋体"/>
                <w:sz w:val="28"/>
                <w:szCs w:val="28"/>
              </w:rPr>
              <w:tab/>
            </w:r>
            <w:r>
              <w:rPr>
                <w:rFonts w:ascii="宋体" w:eastAsia="宋体" w:hAnsi="宋体" w:cs="宋体"/>
                <w:sz w:val="28"/>
                <w:szCs w:val="28"/>
              </w:rPr>
              <w:fldChar w:fldCharType="begin"/>
            </w:r>
            <w:r>
              <w:rPr>
                <w:rFonts w:ascii="宋体" w:eastAsia="宋体" w:hAnsi="宋体" w:cs="宋体"/>
                <w:sz w:val="28"/>
                <w:szCs w:val="28"/>
              </w:rPr>
              <w:instrText xml:space="preserve"> PAGEREF _Toc117164020 \h </w:instrText>
            </w:r>
            <w:r>
              <w:rPr>
                <w:rFonts w:ascii="宋体" w:eastAsia="宋体" w:hAnsi="宋体" w:cs="宋体"/>
                <w:sz w:val="28"/>
                <w:szCs w:val="28"/>
              </w:rPr>
            </w:r>
            <w:r>
              <w:rPr>
                <w:rFonts w:ascii="宋体" w:eastAsia="宋体" w:hAnsi="宋体" w:cs="宋体"/>
                <w:sz w:val="28"/>
                <w:szCs w:val="28"/>
              </w:rPr>
              <w:fldChar w:fldCharType="separate"/>
            </w:r>
            <w:r w:rsidR="009C4FAB">
              <w:rPr>
                <w:rFonts w:ascii="宋体" w:eastAsia="宋体" w:hAnsi="宋体" w:cs="宋体"/>
                <w:noProof/>
                <w:sz w:val="28"/>
                <w:szCs w:val="28"/>
              </w:rPr>
              <w:t>3</w:t>
            </w:r>
            <w:r>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22" w:history="1">
            <w:r w:rsidR="00E85AC9">
              <w:rPr>
                <w:sz w:val="28"/>
                <w:szCs w:val="28"/>
              </w:rPr>
              <w:t>摘</w:t>
            </w:r>
            <w:r w:rsidR="00E85AC9">
              <w:rPr>
                <w:sz w:val="28"/>
                <w:szCs w:val="28"/>
              </w:rPr>
              <w:t xml:space="preserve"> </w:t>
            </w:r>
            <w:r w:rsidR="00E85AC9">
              <w:rPr>
                <w:sz w:val="28"/>
                <w:szCs w:val="28"/>
              </w:rPr>
              <w:t>要</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_Toc117164022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4</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24" w:history="1">
            <w:r w:rsidR="00E85AC9">
              <w:rPr>
                <w:sz w:val="28"/>
                <w:szCs w:val="28"/>
              </w:rPr>
              <w:t>正</w:t>
            </w:r>
            <w:r w:rsidR="00E85AC9">
              <w:rPr>
                <w:sz w:val="28"/>
                <w:szCs w:val="28"/>
              </w:rPr>
              <w:t xml:space="preserve">  </w:t>
            </w:r>
            <w:r w:rsidR="00E85AC9">
              <w:rPr>
                <w:sz w:val="28"/>
                <w:szCs w:val="28"/>
              </w:rPr>
              <w:t>文</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_Toc117164024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6</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25" w:history="1">
            <w:r w:rsidR="00E85AC9">
              <w:rPr>
                <w:sz w:val="28"/>
                <w:szCs w:val="28"/>
              </w:rPr>
              <w:t>一、委托人、产权持有人和资产评估委托合同约定的其他资产评估报告使用人</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_Toc117164025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6</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26" w:history="1">
            <w:r w:rsidR="00E85AC9">
              <w:rPr>
                <w:sz w:val="28"/>
                <w:szCs w:val="28"/>
              </w:rPr>
              <w:t>二、评估目的</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_Toc117164026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7</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27" w:history="1">
            <w:r w:rsidR="00E85AC9">
              <w:rPr>
                <w:sz w:val="28"/>
                <w:szCs w:val="28"/>
              </w:rPr>
              <w:t>三、评估对象及范围</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_Toc117164027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7</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28" w:history="1">
            <w:r w:rsidR="00E85AC9">
              <w:rPr>
                <w:sz w:val="28"/>
                <w:szCs w:val="28"/>
              </w:rPr>
              <w:t>四、价值类型</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_Toc117164028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9</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29" w:history="1">
            <w:r w:rsidR="00E85AC9">
              <w:rPr>
                <w:sz w:val="28"/>
                <w:szCs w:val="28"/>
              </w:rPr>
              <w:t>五、评估基准日</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_Toc117164029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9</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30" w:history="1">
            <w:r w:rsidR="00E85AC9">
              <w:rPr>
                <w:sz w:val="28"/>
                <w:szCs w:val="28"/>
              </w:rPr>
              <w:t>六、评估假设</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_Toc117164030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9</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31" w:history="1">
            <w:r w:rsidR="00E85AC9">
              <w:rPr>
                <w:sz w:val="28"/>
                <w:szCs w:val="28"/>
              </w:rPr>
              <w:t>七、评估依据</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_Toc117164031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10</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33" w:history="1">
            <w:r w:rsidR="00E85AC9">
              <w:rPr>
                <w:sz w:val="28"/>
                <w:szCs w:val="28"/>
              </w:rPr>
              <w:t>八、评估方法</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_Toc117164033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12</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34" w:history="1">
            <w:r w:rsidR="00E85AC9">
              <w:rPr>
                <w:sz w:val="28"/>
                <w:szCs w:val="28"/>
              </w:rPr>
              <w:t>九、评估过程</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_Toc117164034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13</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35" w:history="1">
            <w:r w:rsidR="00E85AC9">
              <w:rPr>
                <w:sz w:val="28"/>
                <w:szCs w:val="28"/>
              </w:rPr>
              <w:t>十、评估结论</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_Toc117164035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15</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36" w:history="1">
            <w:r w:rsidR="00E85AC9">
              <w:rPr>
                <w:sz w:val="28"/>
                <w:szCs w:val="28"/>
              </w:rPr>
              <w:t>十一、特别事项说明</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_Toc117164036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15</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37" w:history="1">
            <w:r w:rsidR="00E85AC9">
              <w:rPr>
                <w:sz w:val="28"/>
                <w:szCs w:val="28"/>
              </w:rPr>
              <w:t>十二、评估报告使用限制说明</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_Toc117164037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16</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48" w:history="1">
            <w:r w:rsidR="00E85AC9">
              <w:rPr>
                <w:sz w:val="28"/>
                <w:szCs w:val="28"/>
              </w:rPr>
              <w:t>十三、评估报告日</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_Toc117164048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17</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48" w:history="1">
            <w:r w:rsidR="00E85AC9">
              <w:rPr>
                <w:sz w:val="28"/>
                <w:szCs w:val="28"/>
              </w:rPr>
              <w:t>十四、</w:t>
            </w:r>
            <w:r w:rsidR="00E85AC9">
              <w:rPr>
                <w:rFonts w:hint="eastAsia"/>
                <w:sz w:val="28"/>
                <w:szCs w:val="28"/>
              </w:rPr>
              <w:t>资产评估专业人员签名和资产评估机构印章</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_Toc117164048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17</w:t>
            </w:r>
            <w:r w:rsidR="00E85AC9">
              <w:rPr>
                <w:rFonts w:ascii="宋体" w:eastAsia="宋体" w:hAnsi="宋体" w:cs="宋体"/>
                <w:sz w:val="28"/>
                <w:szCs w:val="28"/>
              </w:rPr>
              <w:fldChar w:fldCharType="end"/>
            </w:r>
          </w:hyperlink>
        </w:p>
        <w:p w:rsidR="00A32AE3" w:rsidRDefault="00E36EF0">
          <w:pPr>
            <w:pStyle w:val="WPSOffice1"/>
            <w:tabs>
              <w:tab w:val="right" w:leader="dot" w:pos="8306"/>
            </w:tabs>
            <w:rPr>
              <w:rFonts w:ascii="宋体" w:eastAsia="宋体" w:hAnsi="宋体" w:cs="宋体"/>
              <w:sz w:val="28"/>
              <w:szCs w:val="28"/>
            </w:rPr>
          </w:pPr>
          <w:hyperlink w:anchor="_Toc117164050" w:history="1">
            <w:r w:rsidR="00E85AC9">
              <w:rPr>
                <w:sz w:val="28"/>
                <w:szCs w:val="28"/>
              </w:rPr>
              <w:t>备查文件目录</w:t>
            </w:r>
            <w:r w:rsidR="00E85AC9">
              <w:rPr>
                <w:rFonts w:ascii="宋体" w:eastAsia="宋体" w:hAnsi="宋体" w:cs="宋体"/>
                <w:sz w:val="28"/>
                <w:szCs w:val="28"/>
              </w:rPr>
              <w:tab/>
            </w:r>
            <w:r w:rsidR="00E85AC9">
              <w:rPr>
                <w:rFonts w:ascii="宋体" w:eastAsia="宋体" w:hAnsi="宋体" w:cs="宋体"/>
                <w:sz w:val="28"/>
                <w:szCs w:val="28"/>
              </w:rPr>
              <w:fldChar w:fldCharType="begin"/>
            </w:r>
            <w:r w:rsidR="00E85AC9">
              <w:rPr>
                <w:rFonts w:ascii="宋体" w:eastAsia="宋体" w:hAnsi="宋体" w:cs="宋体"/>
                <w:sz w:val="28"/>
                <w:szCs w:val="28"/>
              </w:rPr>
              <w:instrText xml:space="preserve"> PAGEREF _Toc117164050 \h </w:instrText>
            </w:r>
            <w:r w:rsidR="00E85AC9">
              <w:rPr>
                <w:rFonts w:ascii="宋体" w:eastAsia="宋体" w:hAnsi="宋体" w:cs="宋体"/>
                <w:sz w:val="28"/>
                <w:szCs w:val="28"/>
              </w:rPr>
            </w:r>
            <w:r w:rsidR="00E85AC9">
              <w:rPr>
                <w:rFonts w:ascii="宋体" w:eastAsia="宋体" w:hAnsi="宋体" w:cs="宋体"/>
                <w:sz w:val="28"/>
                <w:szCs w:val="28"/>
              </w:rPr>
              <w:fldChar w:fldCharType="separate"/>
            </w:r>
            <w:r w:rsidR="009C4FAB">
              <w:rPr>
                <w:rFonts w:ascii="宋体" w:eastAsia="宋体" w:hAnsi="宋体" w:cs="宋体"/>
                <w:noProof/>
                <w:sz w:val="28"/>
                <w:szCs w:val="28"/>
              </w:rPr>
              <w:t>18</w:t>
            </w:r>
            <w:r w:rsidR="00E85AC9">
              <w:rPr>
                <w:rFonts w:ascii="宋体" w:eastAsia="宋体" w:hAnsi="宋体" w:cs="宋体"/>
                <w:sz w:val="28"/>
                <w:szCs w:val="28"/>
              </w:rPr>
              <w:fldChar w:fldCharType="end"/>
            </w:r>
          </w:hyperlink>
        </w:p>
        <w:p w:rsidR="00A32AE3" w:rsidRDefault="00E85AC9">
          <w:pPr>
            <w:pStyle w:val="WPSOffice1"/>
            <w:tabs>
              <w:tab w:val="right" w:leader="dot" w:pos="8306"/>
            </w:tabs>
          </w:pPr>
          <w:r>
            <w:rPr>
              <w:rFonts w:ascii="宋体" w:eastAsia="宋体" w:hAnsi="宋体" w:cs="宋体"/>
              <w:sz w:val="28"/>
              <w:szCs w:val="28"/>
            </w:rPr>
            <w:fldChar w:fldCharType="end"/>
          </w:r>
        </w:p>
      </w:sdtContent>
    </w:sdt>
    <w:p w:rsidR="00A32AE3" w:rsidRDefault="00A32AE3">
      <w:pPr>
        <w:widowControl/>
        <w:jc w:val="left"/>
        <w:rPr>
          <w:rFonts w:ascii="宋体" w:eastAsia="宋体" w:hAnsi="宋体" w:cs="宋体"/>
          <w:b/>
          <w:sz w:val="44"/>
          <w:szCs w:val="44"/>
        </w:rPr>
      </w:pPr>
    </w:p>
    <w:p w:rsidR="00A32AE3" w:rsidRDefault="00E85AC9">
      <w:pPr>
        <w:pStyle w:val="af"/>
        <w:rPr>
          <w:rFonts w:ascii="宋体" w:eastAsia="宋体" w:hAnsi="宋体" w:cs="宋体"/>
          <w:szCs w:val="28"/>
        </w:rPr>
      </w:pPr>
      <w:bookmarkStart w:id="1" w:name="_Toc117164020"/>
      <w:r>
        <w:rPr>
          <w:rFonts w:ascii="宋体" w:eastAsia="宋体" w:hAnsi="宋体" w:cs="宋体" w:hint="eastAsia"/>
          <w:bCs w:val="0"/>
          <w:sz w:val="44"/>
          <w:szCs w:val="44"/>
        </w:rPr>
        <w:lastRenderedPageBreak/>
        <w:t>声   明</w:t>
      </w:r>
      <w:bookmarkEnd w:id="1"/>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本资产评估报告依据财政部发布的资产评估基本准则和中国资产评估协会发布的资产评估执业准则和职业道德准则编制。</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师不承担责任。</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本资产评估报告仅供委托人、资产评估委托合同中约定的其他资产评估报告使用人和法律、行政法规规定的资产评估报告使用人使用；除此之外，其他任何机构和个人不能成为资产评估报告的使用人。</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本资产评估机构及资产评估师提示资产评估报告使用人应当正确理解评估结论， 评估结论不等同于评估对象可实现价格，评估结论不应当被认为是对评估对象可实现价格的保证。</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本资产评估机构及资产评估师遵守法律、行政法规和资产评估准则，坚持独立、客观和公正的原则，并对所出具的资产评估报告依法承担责任。</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评估对象涉及的资产清单由委托人、产权持有人申报并经其采用签名、盖章或法律允许的其他方式确认；委托人和其他相关当事人依法对其提供资料的真实性、完整性、合法性负责。</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本资产评估机构及资产评估师与资产评估报告中的评估对象没有现存或者预期的利益关系；与相关当事方没有现存或者预期的利益关系，对相关当事方不存在偏见。</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资产评估师经对评估报告中的评估对象及其所涉及资产进行现场调查；已经对评估对象及其所涉及资产的法律权属状况给予必要的关注，对评估对象及其所涉及资产的法律权属资料进行了查验，并对已经发现的问题进行了如实披露，并且已提请委托人及相关当事方完善产权以满足出具评估报告的要求。</w:t>
      </w:r>
    </w:p>
    <w:p w:rsidR="00A32AE3" w:rsidRDefault="00E85AC9">
      <w:pPr>
        <w:numPr>
          <w:ilvl w:val="0"/>
          <w:numId w:val="2"/>
        </w:numPr>
        <w:spacing w:line="360" w:lineRule="auto"/>
        <w:ind w:leftChars="-200" w:left="-420" w:rightChars="-200" w:right="-420" w:firstLineChars="200" w:firstLine="480"/>
        <w:rPr>
          <w:rFonts w:ascii="宋体" w:eastAsia="宋体" w:hAnsi="宋体" w:cs="宋体"/>
          <w:color w:val="000000"/>
          <w:sz w:val="24"/>
        </w:rPr>
      </w:pPr>
      <w:r>
        <w:rPr>
          <w:rFonts w:ascii="宋体" w:eastAsia="宋体" w:hAnsi="宋体" w:cs="宋体" w:hint="eastAsia"/>
          <w:color w:val="000000"/>
          <w:sz w:val="24"/>
        </w:rPr>
        <w:t xml:space="preserve">本资产评估机构出具的资产评估报告中的分析、判断和结果受评估报告中假设和限定条件的限制，资产评估报告使用人应当充分考虑评估报告中载明的假设、限定条件、特别事项说明及其对评估结论的影响。 </w:t>
      </w:r>
      <w:r>
        <w:rPr>
          <w:rFonts w:ascii="宋体" w:eastAsia="宋体" w:hAnsi="宋体" w:cs="宋体" w:hint="eastAsia"/>
        </w:rPr>
        <w:t xml:space="preserve">   </w:t>
      </w:r>
    </w:p>
    <w:p w:rsidR="00A32AE3" w:rsidRDefault="00E85AC9">
      <w:pPr>
        <w:pStyle w:val="Default"/>
        <w:spacing w:line="360" w:lineRule="auto"/>
        <w:ind w:leftChars="-200" w:left="-420" w:rightChars="-200" w:right="-420" w:firstLineChars="200" w:firstLine="480"/>
        <w:rPr>
          <w:rFonts w:hAnsi="宋体"/>
        </w:rPr>
      </w:pPr>
      <w:r>
        <w:rPr>
          <w:rFonts w:hAnsi="宋体" w:hint="eastAsia"/>
        </w:rPr>
        <w:t xml:space="preserve"> 十、本资产评估报告是根据人民法院及相关当事人提供的资料和信息出具，资料和信息的真实性、完整性、合法性对评估结论构成影响，依据同一标的资产的其他资料或者信息可能得出与本报告不一致的评估结论。</w:t>
      </w:r>
    </w:p>
    <w:p w:rsidR="00A32AE3" w:rsidRDefault="00E85AC9">
      <w:pPr>
        <w:spacing w:line="360" w:lineRule="auto"/>
        <w:ind w:rightChars="-1" w:right="-2"/>
        <w:jc w:val="center"/>
        <w:rPr>
          <w:rFonts w:ascii="宋体" w:eastAsia="宋体" w:hAnsi="宋体" w:cs="宋体"/>
          <w:b/>
          <w:sz w:val="32"/>
          <w:szCs w:val="32"/>
        </w:rPr>
      </w:pPr>
      <w:r>
        <w:rPr>
          <w:rFonts w:ascii="宋体" w:eastAsia="宋体" w:hAnsi="宋体" w:cs="宋体" w:hint="eastAsia"/>
          <w:b/>
          <w:sz w:val="32"/>
          <w:szCs w:val="32"/>
        </w:rPr>
        <w:lastRenderedPageBreak/>
        <w:t>杭州市富阳区人民法院拟财产处置涉及的</w:t>
      </w:r>
    </w:p>
    <w:p w:rsidR="00A32AE3" w:rsidRDefault="00E85AC9">
      <w:pPr>
        <w:spacing w:line="360" w:lineRule="auto"/>
        <w:ind w:rightChars="-1" w:right="-2"/>
        <w:jc w:val="center"/>
        <w:rPr>
          <w:rFonts w:ascii="宋体" w:eastAsia="宋体" w:hAnsi="宋体" w:cs="宋体"/>
          <w:b/>
          <w:sz w:val="28"/>
          <w:szCs w:val="28"/>
        </w:rPr>
      </w:pPr>
      <w:r>
        <w:rPr>
          <w:rFonts w:ascii="宋体" w:eastAsia="宋体" w:hAnsi="宋体" w:cs="宋体" w:hint="eastAsia"/>
          <w:b/>
          <w:sz w:val="32"/>
          <w:szCs w:val="32"/>
        </w:rPr>
        <w:t>俞朝阳所有的位于杭州市滨江区钱塘春晓花园12幢2单元1102室住宅房地产、室内装修及家具家电市场价值</w:t>
      </w:r>
    </w:p>
    <w:p w:rsidR="00A32AE3" w:rsidRDefault="00E85AC9">
      <w:pPr>
        <w:pStyle w:val="af"/>
        <w:spacing w:before="0" w:after="0" w:line="360" w:lineRule="auto"/>
        <w:rPr>
          <w:rFonts w:ascii="宋体" w:eastAsia="宋体" w:hAnsi="宋体" w:cs="宋体"/>
          <w:bCs w:val="0"/>
          <w:color w:val="000000"/>
          <w:sz w:val="36"/>
          <w:szCs w:val="36"/>
        </w:rPr>
      </w:pPr>
      <w:bookmarkStart w:id="2" w:name="_Toc117164021"/>
      <w:r>
        <w:rPr>
          <w:rFonts w:ascii="宋体" w:eastAsia="宋体" w:hAnsi="宋体" w:cs="宋体" w:hint="eastAsia"/>
          <w:bCs w:val="0"/>
          <w:color w:val="000000"/>
          <w:sz w:val="36"/>
          <w:szCs w:val="36"/>
        </w:rPr>
        <w:t>资产评估报告</w:t>
      </w:r>
      <w:bookmarkEnd w:id="2"/>
    </w:p>
    <w:p w:rsidR="0091166E" w:rsidRDefault="0091166E">
      <w:pPr>
        <w:pStyle w:val="af"/>
        <w:spacing w:before="0" w:after="0" w:line="360" w:lineRule="auto"/>
        <w:rPr>
          <w:rFonts w:ascii="宋体" w:eastAsia="宋体" w:hAnsi="宋体" w:cs="宋体"/>
          <w:bCs w:val="0"/>
          <w:color w:val="000000"/>
          <w:sz w:val="24"/>
          <w:szCs w:val="24"/>
        </w:rPr>
      </w:pPr>
      <w:bookmarkStart w:id="3" w:name="_Toc117164022"/>
      <w:bookmarkStart w:id="4" w:name="_Toc37185836"/>
      <w:r w:rsidRPr="0091166E">
        <w:rPr>
          <w:rFonts w:ascii="宋体" w:eastAsia="宋体" w:hAnsi="宋体" w:cs="宋体" w:hint="eastAsia"/>
          <w:bCs w:val="0"/>
          <w:color w:val="000000"/>
          <w:sz w:val="24"/>
          <w:szCs w:val="24"/>
        </w:rPr>
        <w:t>富资评字【2022】SF第0074号</w:t>
      </w:r>
    </w:p>
    <w:p w:rsidR="00A32AE3" w:rsidRDefault="00E85AC9">
      <w:pPr>
        <w:pStyle w:val="af"/>
        <w:spacing w:before="0" w:after="0" w:line="360" w:lineRule="auto"/>
        <w:rPr>
          <w:rFonts w:ascii="宋体" w:eastAsia="宋体" w:hAnsi="宋体" w:cs="宋体"/>
          <w:color w:val="000000"/>
        </w:rPr>
      </w:pPr>
      <w:r>
        <w:rPr>
          <w:rFonts w:ascii="宋体" w:eastAsia="宋体" w:hAnsi="宋体" w:cs="宋体" w:hint="eastAsia"/>
        </w:rPr>
        <w:t>摘 要</w:t>
      </w:r>
      <w:bookmarkEnd w:id="3"/>
      <w:bookmarkEnd w:id="4"/>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杭州富诚资产评估有限公司接受杭州市富阳区人民法院的委托，根据法律、行政法规和资产评估准则的规定，坚持独立、客观和公正的原则，采用市场法、成本法，</w:t>
      </w:r>
      <w:r>
        <w:rPr>
          <w:rFonts w:ascii="宋体" w:eastAsia="宋体" w:hAnsi="宋体" w:cs="宋体" w:hint="eastAsia"/>
          <w:color w:val="000000"/>
          <w:sz w:val="24"/>
        </w:rPr>
        <w:t>对被执行人俞朝阳申请司法确认调解</w:t>
      </w:r>
      <w:r w:rsidR="00B5278D">
        <w:rPr>
          <w:rFonts w:ascii="宋体" w:eastAsia="宋体" w:hAnsi="宋体" w:cs="宋体" w:hint="eastAsia"/>
          <w:color w:val="000000"/>
          <w:sz w:val="24"/>
        </w:rPr>
        <w:t>协议</w:t>
      </w:r>
      <w:r>
        <w:rPr>
          <w:rFonts w:ascii="宋体" w:eastAsia="宋体" w:hAnsi="宋体" w:cs="宋体" w:hint="eastAsia"/>
          <w:color w:val="000000"/>
          <w:sz w:val="24"/>
        </w:rPr>
        <w:t>一案中涉及的俞朝阳所有的</w:t>
      </w:r>
      <w:r>
        <w:rPr>
          <w:rFonts w:ascii="宋体" w:eastAsia="宋体" w:hAnsi="宋体" w:cs="宋体" w:hint="eastAsia"/>
          <w:sz w:val="24"/>
        </w:rPr>
        <w:t>房地产、室内装修及家具家电</w:t>
      </w:r>
      <w:r>
        <w:rPr>
          <w:rFonts w:ascii="宋体" w:eastAsia="宋体" w:hAnsi="宋体" w:cs="宋体" w:hint="eastAsia"/>
          <w:color w:val="000000"/>
          <w:sz w:val="24"/>
        </w:rPr>
        <w:t>进行评估</w:t>
      </w:r>
      <w:r>
        <w:rPr>
          <w:rFonts w:ascii="宋体" w:eastAsia="宋体" w:hAnsi="宋体" w:cs="宋体" w:hint="eastAsia"/>
          <w:sz w:val="24"/>
        </w:rPr>
        <w:t>。本公司评估人员按照必要的评估程序，对委托评估的资产实施了实地查勘、市场调查，根据《资产评估准则》及相关专业规范性文件发表价值意见。</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我们认为，除本报告所载明的特别事项说明外，在符合评估基准日、评估假设等限制条件下，本报告所载评估结论对委托评估的资产在2022年10月17日所表现的市场价值作出了恰当的反映。现将评估报告摘要如下：</w:t>
      </w:r>
    </w:p>
    <w:p w:rsidR="00A32AE3" w:rsidRDefault="00E85AC9">
      <w:pPr>
        <w:pStyle w:val="a6"/>
        <w:numPr>
          <w:ilvl w:val="0"/>
          <w:numId w:val="3"/>
        </w:numPr>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评估目的：</w:t>
      </w:r>
      <w:r w:rsidR="00B5278D">
        <w:rPr>
          <w:rFonts w:ascii="宋体" w:eastAsia="宋体" w:hAnsi="宋体" w:cs="宋体" w:hint="eastAsia"/>
          <w:sz w:val="24"/>
        </w:rPr>
        <w:t>因执行（2022）浙0111执1399号申请执行人杭州富阳民间融资服务中心有限公司与被执行人俞朝阳申请司法确认调解协议一案，对案件中涉及的位于杭州市滨江区钱塘春晓花园12幢2单元1102室住宅房地产、室内装修及家具家电的市场价值进行评估。本次评估目的是为人民法院确定财产处置参考价提供服务</w:t>
      </w:r>
      <w:r>
        <w:rPr>
          <w:rFonts w:ascii="宋体" w:eastAsia="宋体" w:hAnsi="宋体" w:cs="宋体" w:hint="eastAsia"/>
          <w:color w:val="000000"/>
          <w:sz w:val="24"/>
        </w:rPr>
        <w:t>。</w:t>
      </w:r>
    </w:p>
    <w:p w:rsidR="00A32AE3" w:rsidRDefault="00E85AC9">
      <w:pPr>
        <w:pStyle w:val="a6"/>
        <w:numPr>
          <w:ilvl w:val="0"/>
          <w:numId w:val="3"/>
        </w:numPr>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对象及范围：评估对象是俞朝阳所有的杭州市滨江区钱塘春晓花园12幢2单元1102室住宅房地产、室内装修及家具家电的市场价值。评估范围为俞朝阳所有的杭州市滨江区钱塘春晓花园12幢2单元1102室住宅房地产、室内装修及家具家电，总建筑面积为138.75㎡。</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三、价值类型：市场价值</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四、评估基准日：2022年10月17日</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五、评估方法：市场法、成本法</w:t>
      </w:r>
    </w:p>
    <w:p w:rsidR="00A32AE3" w:rsidRDefault="00E85AC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六、评估结论：</w:t>
      </w:r>
      <w:bookmarkStart w:id="5" w:name="_Hlk93586035"/>
      <w:r>
        <w:rPr>
          <w:rFonts w:ascii="宋体" w:eastAsia="宋体" w:hAnsi="宋体" w:cs="宋体" w:hint="eastAsia"/>
          <w:sz w:val="24"/>
        </w:rPr>
        <w:t>经实施评估程序后，在评估基准日2022年10月17日，在</w:t>
      </w:r>
      <w:r>
        <w:rPr>
          <w:rFonts w:ascii="宋体" w:eastAsia="宋体" w:hAnsi="宋体" w:cs="宋体" w:hint="eastAsia"/>
          <w:sz w:val="24"/>
        </w:rPr>
        <w:lastRenderedPageBreak/>
        <w:t>本报告所揭示的假设前提条件基础上，委评资产的评估价值为</w:t>
      </w:r>
      <w:bookmarkStart w:id="6" w:name="_GoBack"/>
      <w:r w:rsidR="00160B7E">
        <w:rPr>
          <w:rFonts w:ascii="宋体" w:eastAsia="宋体" w:hAnsi="宋体" w:cs="宋体" w:hint="eastAsia"/>
          <w:sz w:val="24"/>
        </w:rPr>
        <w:t>6,318,100.00</w:t>
      </w:r>
      <w:bookmarkEnd w:id="6"/>
      <w:r>
        <w:rPr>
          <w:rFonts w:ascii="宋体" w:eastAsia="宋体" w:hAnsi="宋体" w:cs="宋体" w:hint="eastAsia"/>
          <w:sz w:val="24"/>
        </w:rPr>
        <w:t>元（大写人民币</w:t>
      </w:r>
      <w:r w:rsidR="00160B7E">
        <w:rPr>
          <w:rFonts w:ascii="宋体" w:eastAsia="宋体" w:hAnsi="宋体" w:cs="宋体" w:hint="eastAsia"/>
          <w:sz w:val="24"/>
        </w:rPr>
        <w:t>陆佰叁拾壹万捌仟壹佰</w:t>
      </w:r>
      <w:r>
        <w:rPr>
          <w:rFonts w:ascii="宋体" w:eastAsia="宋体" w:hAnsi="宋体" w:cs="宋体" w:hint="eastAsia"/>
          <w:sz w:val="24"/>
        </w:rPr>
        <w:t>元整）</w:t>
      </w:r>
      <w:bookmarkEnd w:id="5"/>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本报告书评估结论的有效期限为壹年，自评估基准日2022年10月17日起2023年10月16日止，只有当评估基准日与经济行为实现日期不超过一年时，才可以使用本评估报告，超过期限，需重新确定评估结论。</w:t>
      </w:r>
    </w:p>
    <w:p w:rsidR="00A32AE3" w:rsidRDefault="00E85AC9">
      <w:pPr>
        <w:spacing w:line="360" w:lineRule="auto"/>
        <w:ind w:firstLineChars="200" w:firstLine="480"/>
      </w:pPr>
      <w:r>
        <w:rPr>
          <w:rFonts w:ascii="宋体" w:eastAsia="宋体" w:hAnsi="宋体" w:cs="宋体" w:hint="eastAsia"/>
          <w:sz w:val="24"/>
        </w:rPr>
        <w:t xml:space="preserve">七、对评估结果产生影响的特别事项：在使用本评估结论时，提请评估报告使用人关注报告正文中的评估假设和限制条件、特别事项说明及其对评估结论的影响，并在使用本报告时给与充分考虑。 </w:t>
      </w:r>
    </w:p>
    <w:p w:rsidR="00A32AE3" w:rsidRDefault="00E85AC9">
      <w:pPr>
        <w:pStyle w:val="Default"/>
        <w:spacing w:line="360" w:lineRule="auto"/>
        <w:ind w:firstLineChars="200" w:firstLine="602"/>
        <w:rPr>
          <w:rFonts w:hAnsi="宋体"/>
          <w:b/>
          <w:sz w:val="28"/>
          <w:szCs w:val="28"/>
        </w:rPr>
      </w:pPr>
      <w:r>
        <w:rPr>
          <w:rFonts w:hAnsi="宋体" w:hint="eastAsia"/>
          <w:b/>
          <w:bCs/>
          <w:sz w:val="30"/>
          <w:szCs w:val="30"/>
        </w:rPr>
        <w:t>以上摘自评估报告正文，欲了解本评估项目的详细情况和合理理解评估结论，应当阅读评估报告正文，</w:t>
      </w:r>
      <w:r>
        <w:rPr>
          <w:rFonts w:hAnsi="宋体" w:hint="eastAsia"/>
          <w:b/>
          <w:bCs/>
          <w:sz w:val="30"/>
          <w:szCs w:val="30"/>
          <w:shd w:val="clear" w:color="auto" w:fill="FFFFFF"/>
        </w:rPr>
        <w:t>同时提请资产评估报告使用人关注资产评估报告中的评估假设、限制使用条件以及特别事项说明。</w:t>
      </w:r>
      <w:r>
        <w:rPr>
          <w:rFonts w:hAnsi="宋体"/>
          <w:b/>
          <w:sz w:val="28"/>
          <w:szCs w:val="28"/>
        </w:rPr>
        <w:br w:type="page"/>
      </w:r>
    </w:p>
    <w:p w:rsidR="00A32AE3" w:rsidRDefault="00E85AC9">
      <w:pPr>
        <w:spacing w:line="360" w:lineRule="auto"/>
        <w:ind w:rightChars="-1" w:right="-2"/>
        <w:jc w:val="center"/>
        <w:rPr>
          <w:rFonts w:ascii="宋体" w:eastAsia="宋体" w:hAnsi="宋体" w:cs="宋体"/>
          <w:b/>
          <w:sz w:val="32"/>
          <w:szCs w:val="32"/>
        </w:rPr>
      </w:pPr>
      <w:r>
        <w:rPr>
          <w:rFonts w:ascii="宋体" w:eastAsia="宋体" w:hAnsi="宋体" w:cs="宋体" w:hint="eastAsia"/>
          <w:b/>
          <w:sz w:val="32"/>
          <w:szCs w:val="32"/>
        </w:rPr>
        <w:lastRenderedPageBreak/>
        <w:t>杭州市富阳区人民法院拟财产处置涉及的</w:t>
      </w:r>
    </w:p>
    <w:p w:rsidR="00A32AE3" w:rsidRDefault="00E85AC9">
      <w:pPr>
        <w:spacing w:line="360" w:lineRule="auto"/>
        <w:ind w:rightChars="-1" w:right="-2"/>
        <w:jc w:val="center"/>
        <w:rPr>
          <w:rFonts w:ascii="宋体" w:eastAsia="宋体" w:hAnsi="宋体" w:cs="宋体"/>
          <w:b/>
          <w:sz w:val="28"/>
          <w:szCs w:val="28"/>
        </w:rPr>
      </w:pPr>
      <w:r>
        <w:rPr>
          <w:rFonts w:ascii="宋体" w:eastAsia="宋体" w:hAnsi="宋体" w:cs="宋体" w:hint="eastAsia"/>
          <w:b/>
          <w:sz w:val="32"/>
          <w:szCs w:val="32"/>
        </w:rPr>
        <w:t>俞朝阳所有的位于杭州市滨江区钱塘春晓花园12幢2单元1102室住宅房地产、室内装修及家具家电市场价值</w:t>
      </w:r>
    </w:p>
    <w:p w:rsidR="00A32AE3" w:rsidRDefault="00E85AC9">
      <w:pPr>
        <w:pStyle w:val="af"/>
        <w:spacing w:before="0" w:after="0" w:line="360" w:lineRule="auto"/>
        <w:rPr>
          <w:rFonts w:ascii="宋体" w:eastAsia="宋体" w:hAnsi="宋体" w:cs="宋体"/>
          <w:bCs w:val="0"/>
          <w:color w:val="000000"/>
          <w:sz w:val="36"/>
          <w:szCs w:val="36"/>
        </w:rPr>
      </w:pPr>
      <w:bookmarkStart w:id="7" w:name="_Toc117164023"/>
      <w:r>
        <w:rPr>
          <w:rFonts w:ascii="宋体" w:eastAsia="宋体" w:hAnsi="宋体" w:cs="宋体" w:hint="eastAsia"/>
          <w:bCs w:val="0"/>
          <w:color w:val="000000"/>
          <w:sz w:val="36"/>
          <w:szCs w:val="36"/>
        </w:rPr>
        <w:t>资产评估报告</w:t>
      </w:r>
      <w:bookmarkEnd w:id="7"/>
    </w:p>
    <w:p w:rsidR="00A32AE3" w:rsidRPr="0091166E" w:rsidRDefault="0091166E" w:rsidP="0091166E">
      <w:pPr>
        <w:spacing w:line="360" w:lineRule="auto"/>
        <w:jc w:val="center"/>
        <w:rPr>
          <w:rFonts w:ascii="宋体" w:eastAsia="宋体" w:hAnsi="宋体" w:cs="宋体"/>
          <w:b/>
          <w:color w:val="000000"/>
          <w:sz w:val="24"/>
        </w:rPr>
      </w:pPr>
      <w:bookmarkStart w:id="8" w:name="_Toc37185837"/>
      <w:r w:rsidRPr="0091166E">
        <w:rPr>
          <w:rFonts w:ascii="宋体" w:eastAsia="宋体" w:hAnsi="宋体" w:cs="宋体" w:hint="eastAsia"/>
          <w:b/>
          <w:color w:val="000000"/>
          <w:sz w:val="24"/>
        </w:rPr>
        <w:t>富资评字【2022】SF第0074号</w:t>
      </w:r>
    </w:p>
    <w:p w:rsidR="00A32AE3" w:rsidRDefault="00E85AC9">
      <w:pPr>
        <w:pStyle w:val="af"/>
        <w:spacing w:before="0" w:after="0" w:line="360" w:lineRule="auto"/>
        <w:rPr>
          <w:rFonts w:ascii="宋体" w:eastAsia="宋体" w:hAnsi="宋体" w:cs="宋体"/>
        </w:rPr>
      </w:pPr>
      <w:bookmarkStart w:id="9" w:name="_Toc117164024"/>
      <w:r>
        <w:rPr>
          <w:rFonts w:ascii="宋体" w:eastAsia="宋体" w:hAnsi="宋体" w:cs="宋体" w:hint="eastAsia"/>
        </w:rPr>
        <w:t>正  文</w:t>
      </w:r>
      <w:bookmarkEnd w:id="8"/>
      <w:bookmarkEnd w:id="9"/>
    </w:p>
    <w:p w:rsidR="00A32AE3" w:rsidRDefault="00E85AC9">
      <w:pPr>
        <w:spacing w:line="360" w:lineRule="auto"/>
        <w:rPr>
          <w:rFonts w:ascii="宋体" w:eastAsia="宋体" w:hAnsi="宋体" w:cs="宋体"/>
          <w:sz w:val="24"/>
        </w:rPr>
      </w:pPr>
      <w:r>
        <w:rPr>
          <w:rFonts w:ascii="宋体" w:eastAsia="宋体" w:hAnsi="宋体" w:cs="宋体" w:hint="eastAsia"/>
          <w:sz w:val="24"/>
        </w:rPr>
        <w:t>杭州市富阳区人民法院：</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杭州富诚资产评估有限公司接受贵单位的委托，根据国家有关资产评估的规定，本着客观、独立、公正的原则，采用公认的资产评估方法，对被执行人俞朝阳申请司法确认调解</w:t>
      </w:r>
      <w:r w:rsidR="00B5278D">
        <w:rPr>
          <w:rFonts w:ascii="宋体" w:eastAsia="宋体" w:hAnsi="宋体" w:cs="宋体" w:hint="eastAsia"/>
          <w:color w:val="000000"/>
          <w:sz w:val="24"/>
        </w:rPr>
        <w:t>协议</w:t>
      </w:r>
      <w:r>
        <w:rPr>
          <w:rFonts w:ascii="宋体" w:eastAsia="宋体" w:hAnsi="宋体" w:cs="宋体" w:hint="eastAsia"/>
          <w:sz w:val="24"/>
        </w:rPr>
        <w:t>一案中涉及</w:t>
      </w:r>
      <w:r>
        <w:rPr>
          <w:rFonts w:ascii="宋体" w:eastAsia="宋体" w:hAnsi="宋体" w:cs="宋体" w:hint="eastAsia"/>
          <w:color w:val="000000"/>
          <w:sz w:val="24"/>
        </w:rPr>
        <w:t>被执行人俞朝阳所有的</w:t>
      </w:r>
      <w:r>
        <w:rPr>
          <w:rFonts w:ascii="宋体" w:eastAsia="宋体" w:hAnsi="宋体" w:cs="宋体" w:hint="eastAsia"/>
          <w:sz w:val="24"/>
        </w:rPr>
        <w:t>房地产、室内装修及家具家电市场价值进行评估。本公司评估人员按照必要的评估程序，对委托评估的资产实施了实地查勘、市场调查。本公司在此基础上根据《资产评估准则》及相关专业规范性文件发表价值意见。</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我们认为，除本报告所载明的特别事项说明外，在符合评估基准日、评估假设等限制条件下，本报告所载评估结论对委托评估的资产在2022年10月17日所表现的市场价值作出了恰当的反映。现将资产评估情况及评估结果报告如下：</w:t>
      </w:r>
    </w:p>
    <w:p w:rsidR="00A32AE3" w:rsidRDefault="00E85AC9">
      <w:pPr>
        <w:pStyle w:val="1"/>
        <w:keepLines/>
        <w:numPr>
          <w:ilvl w:val="0"/>
          <w:numId w:val="0"/>
        </w:numPr>
        <w:autoSpaceDE/>
        <w:autoSpaceDN/>
        <w:adjustRightInd/>
        <w:spacing w:line="360" w:lineRule="auto"/>
        <w:ind w:right="0"/>
        <w:jc w:val="both"/>
        <w:textAlignment w:val="auto"/>
        <w:rPr>
          <w:rFonts w:ascii="宋体" w:eastAsia="宋体" w:hAnsi="宋体" w:cs="宋体"/>
          <w:b/>
          <w:bCs/>
          <w:color w:val="000000"/>
          <w:sz w:val="24"/>
          <w:szCs w:val="24"/>
        </w:rPr>
      </w:pPr>
      <w:bookmarkStart w:id="10" w:name="_Toc37185838"/>
      <w:bookmarkStart w:id="11" w:name="_Toc117164025"/>
      <w:bookmarkStart w:id="12" w:name="_Toc498855171_WPSOffice_Level1"/>
      <w:bookmarkStart w:id="13" w:name="_Toc37165316"/>
      <w:r>
        <w:rPr>
          <w:rFonts w:ascii="宋体" w:eastAsia="宋体" w:hAnsi="宋体" w:cs="宋体" w:hint="eastAsia"/>
          <w:b/>
          <w:bCs/>
          <w:color w:val="000000"/>
          <w:sz w:val="24"/>
          <w:szCs w:val="24"/>
        </w:rPr>
        <w:t>一、委托人、产权持有人和资产评估委托合同约定的其他资产评估报告使用人</w:t>
      </w:r>
      <w:bookmarkEnd w:id="10"/>
      <w:bookmarkEnd w:id="11"/>
      <w:bookmarkEnd w:id="12"/>
      <w:bookmarkEnd w:id="13"/>
    </w:p>
    <w:p w:rsidR="00A32AE3" w:rsidRDefault="00E85AC9">
      <w:pPr>
        <w:spacing w:line="360" w:lineRule="auto"/>
        <w:ind w:leftChars="200" w:left="420"/>
        <w:rPr>
          <w:rFonts w:ascii="宋体" w:eastAsia="宋体" w:hAnsi="宋体" w:cs="宋体"/>
          <w:sz w:val="24"/>
        </w:rPr>
      </w:pPr>
      <w:r>
        <w:rPr>
          <w:rFonts w:ascii="宋体" w:eastAsia="宋体" w:hAnsi="宋体" w:cs="宋体" w:hint="eastAsia"/>
          <w:sz w:val="24"/>
        </w:rPr>
        <w:t>（一）委托人基本概况</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名称：杭州市富阳区人民法院；</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注册地址：杭州市富阳区文居街282号；</w:t>
      </w:r>
    </w:p>
    <w:p w:rsidR="00A32AE3" w:rsidRDefault="00E85AC9">
      <w:pPr>
        <w:pStyle w:val="Default"/>
        <w:spacing w:line="360" w:lineRule="auto"/>
        <w:ind w:firstLine="480"/>
        <w:rPr>
          <w:rFonts w:hAnsi="宋体"/>
        </w:rPr>
      </w:pPr>
      <w:r>
        <w:rPr>
          <w:rFonts w:hAnsi="宋体" w:hint="eastAsia"/>
        </w:rPr>
        <w:t>类型：机关单位；</w:t>
      </w:r>
    </w:p>
    <w:p w:rsidR="00A32AE3" w:rsidRDefault="00E85AC9">
      <w:pPr>
        <w:pStyle w:val="Default"/>
        <w:spacing w:line="360" w:lineRule="auto"/>
        <w:ind w:firstLine="480"/>
        <w:rPr>
          <w:rFonts w:hAnsi="宋体"/>
        </w:rPr>
      </w:pPr>
      <w:r>
        <w:rPr>
          <w:rFonts w:hAnsi="宋体" w:hint="eastAsia"/>
        </w:rPr>
        <w:t>法定代表人：赵平。</w:t>
      </w:r>
    </w:p>
    <w:p w:rsidR="00A32AE3" w:rsidRDefault="00E85AC9">
      <w:pPr>
        <w:spacing w:line="360" w:lineRule="auto"/>
        <w:ind w:leftChars="200" w:left="420"/>
        <w:rPr>
          <w:rFonts w:ascii="宋体" w:eastAsia="宋体" w:hAnsi="宋体" w:cs="宋体"/>
          <w:sz w:val="24"/>
        </w:rPr>
      </w:pPr>
      <w:r>
        <w:rPr>
          <w:rFonts w:ascii="宋体" w:eastAsia="宋体" w:hAnsi="宋体" w:cs="宋体" w:hint="eastAsia"/>
          <w:sz w:val="24"/>
        </w:rPr>
        <w:t>（二）产权持有人概况</w:t>
      </w:r>
    </w:p>
    <w:p w:rsidR="00A32AE3" w:rsidRDefault="00E85AC9">
      <w:pPr>
        <w:tabs>
          <w:tab w:val="left" w:pos="1080"/>
        </w:tabs>
        <w:spacing w:line="360" w:lineRule="auto"/>
        <w:ind w:firstLineChars="200" w:firstLine="480"/>
        <w:rPr>
          <w:rFonts w:ascii="宋体" w:eastAsia="宋体" w:hAnsi="宋体" w:cs="宋体"/>
          <w:sz w:val="24"/>
        </w:rPr>
      </w:pPr>
      <w:r>
        <w:rPr>
          <w:rFonts w:ascii="宋体" w:eastAsia="宋体" w:hAnsi="宋体" w:cs="宋体" w:hint="eastAsia"/>
          <w:sz w:val="24"/>
        </w:rPr>
        <w:t>自然人：俞朝阳</w:t>
      </w:r>
    </w:p>
    <w:p w:rsidR="00A32AE3" w:rsidRDefault="00E85AC9">
      <w:pPr>
        <w:spacing w:line="360" w:lineRule="auto"/>
        <w:ind w:leftChars="200" w:left="420"/>
        <w:rPr>
          <w:rFonts w:ascii="宋体" w:eastAsia="宋体" w:hAnsi="宋体" w:cs="宋体"/>
          <w:sz w:val="24"/>
        </w:rPr>
      </w:pPr>
      <w:r>
        <w:rPr>
          <w:rFonts w:ascii="宋体" w:eastAsia="宋体" w:hAnsi="宋体" w:cs="宋体" w:hint="eastAsia"/>
          <w:sz w:val="24"/>
        </w:rPr>
        <w:t>（三）委托人、产权持有人关系</w:t>
      </w:r>
    </w:p>
    <w:p w:rsidR="00A32AE3" w:rsidRDefault="00E85AC9">
      <w:pPr>
        <w:pStyle w:val="Default"/>
        <w:spacing w:line="360" w:lineRule="auto"/>
        <w:rPr>
          <w:rFonts w:hAnsi="宋体"/>
        </w:rPr>
      </w:pPr>
      <w:r>
        <w:rPr>
          <w:rFonts w:hAnsi="宋体" w:hint="eastAsia"/>
        </w:rPr>
        <w:t xml:space="preserve">    委托人与产权持有人的关系为资产处置的权利主体与被执行人。</w:t>
      </w:r>
    </w:p>
    <w:p w:rsidR="00A32AE3" w:rsidRDefault="00E85AC9">
      <w:pPr>
        <w:tabs>
          <w:tab w:val="left" w:pos="720"/>
        </w:tabs>
        <w:spacing w:line="360" w:lineRule="auto"/>
        <w:ind w:leftChars="200" w:left="420"/>
        <w:rPr>
          <w:rFonts w:ascii="宋体" w:eastAsia="宋体" w:hAnsi="宋体" w:cs="宋体"/>
          <w:sz w:val="24"/>
        </w:rPr>
      </w:pPr>
      <w:r>
        <w:rPr>
          <w:rFonts w:ascii="宋体" w:eastAsia="宋体" w:hAnsi="宋体" w:cs="宋体" w:hint="eastAsia"/>
          <w:sz w:val="24"/>
        </w:rPr>
        <w:t>（四</w:t>
      </w:r>
      <w:r>
        <w:rPr>
          <w:rFonts w:ascii="宋体" w:eastAsia="宋体" w:hAnsi="宋体" w:cs="宋体" w:hint="eastAsia"/>
          <w:sz w:val="24"/>
          <w:lang w:eastAsia="zh-Hans"/>
        </w:rPr>
        <w:t>）</w:t>
      </w:r>
      <w:r>
        <w:rPr>
          <w:rFonts w:ascii="宋体" w:eastAsia="宋体" w:hAnsi="宋体" w:cs="宋体" w:hint="eastAsia"/>
          <w:sz w:val="24"/>
        </w:rPr>
        <w:t>资产评估委托合同约定的其他资产评估报告使用人</w:t>
      </w:r>
    </w:p>
    <w:p w:rsidR="00A32AE3" w:rsidRDefault="00E85AC9">
      <w:pPr>
        <w:tabs>
          <w:tab w:val="left" w:pos="720"/>
        </w:tabs>
        <w:spacing w:line="360" w:lineRule="auto"/>
        <w:ind w:firstLineChars="200" w:firstLine="480"/>
        <w:rPr>
          <w:rFonts w:ascii="宋体" w:eastAsia="宋体" w:hAnsi="宋体" w:cs="宋体"/>
          <w:sz w:val="24"/>
        </w:rPr>
      </w:pPr>
      <w:r>
        <w:rPr>
          <w:rFonts w:ascii="宋体" w:eastAsia="宋体" w:hAnsi="宋体" w:cs="宋体" w:hint="eastAsia"/>
          <w:sz w:val="24"/>
        </w:rPr>
        <w:t>本资产评估报告的使用人包括委托人和资产评估委托合同约定的其他资产</w:t>
      </w:r>
      <w:r>
        <w:rPr>
          <w:rFonts w:ascii="宋体" w:eastAsia="宋体" w:hAnsi="宋体" w:cs="宋体" w:hint="eastAsia"/>
          <w:sz w:val="24"/>
        </w:rPr>
        <w:lastRenderedPageBreak/>
        <w:t>评估报告使用人。</w:t>
      </w:r>
    </w:p>
    <w:p w:rsidR="00A32AE3" w:rsidRDefault="00E85AC9">
      <w:pPr>
        <w:tabs>
          <w:tab w:val="left" w:pos="540"/>
        </w:tabs>
        <w:spacing w:line="360" w:lineRule="auto"/>
        <w:outlineLvl w:val="0"/>
        <w:rPr>
          <w:rFonts w:ascii="宋体" w:eastAsia="宋体" w:hAnsi="宋体" w:cs="宋体"/>
          <w:b/>
          <w:sz w:val="24"/>
        </w:rPr>
      </w:pPr>
      <w:bookmarkStart w:id="14" w:name="_Toc275872920"/>
      <w:bookmarkStart w:id="15" w:name="_Toc482701109_WPSOffice_Level1"/>
      <w:bookmarkStart w:id="16" w:name="_Toc117164026"/>
      <w:bookmarkStart w:id="17" w:name="_Toc37185839"/>
      <w:r>
        <w:rPr>
          <w:rFonts w:ascii="宋体" w:eastAsia="宋体" w:hAnsi="宋体" w:cs="宋体" w:hint="eastAsia"/>
          <w:b/>
          <w:sz w:val="24"/>
          <w:lang w:eastAsia="zh-Hans"/>
        </w:rPr>
        <w:t>二、</w:t>
      </w:r>
      <w:r>
        <w:rPr>
          <w:rFonts w:ascii="宋体" w:eastAsia="宋体" w:hAnsi="宋体" w:cs="宋体" w:hint="eastAsia"/>
          <w:b/>
          <w:sz w:val="24"/>
        </w:rPr>
        <w:t>评估目的</w:t>
      </w:r>
      <w:bookmarkEnd w:id="14"/>
      <w:bookmarkEnd w:id="15"/>
      <w:bookmarkEnd w:id="16"/>
      <w:bookmarkEnd w:id="17"/>
    </w:p>
    <w:p w:rsidR="00A32AE3" w:rsidRDefault="00E85AC9">
      <w:pPr>
        <w:pStyle w:val="a6"/>
        <w:adjustRightInd w:val="0"/>
        <w:snapToGrid w:val="0"/>
        <w:spacing w:after="0" w:line="360" w:lineRule="auto"/>
        <w:ind w:firstLineChars="200" w:firstLine="480"/>
        <w:rPr>
          <w:rFonts w:ascii="宋体" w:eastAsia="宋体" w:hAnsi="宋体" w:cs="宋体"/>
          <w:sz w:val="24"/>
        </w:rPr>
      </w:pPr>
      <w:bookmarkStart w:id="18" w:name="_Hlk93491997"/>
      <w:r>
        <w:rPr>
          <w:rFonts w:ascii="宋体" w:eastAsia="宋体" w:hAnsi="宋体" w:cs="宋体" w:hint="eastAsia"/>
          <w:sz w:val="24"/>
        </w:rPr>
        <w:t>因执行（2022）浙0111执1399号</w:t>
      </w:r>
      <w:r w:rsidR="00B5278D">
        <w:rPr>
          <w:rFonts w:ascii="宋体" w:eastAsia="宋体" w:hAnsi="宋体" w:cs="宋体" w:hint="eastAsia"/>
          <w:sz w:val="24"/>
        </w:rPr>
        <w:t>申请执行人杭州富阳民间融资服务中心有限公司与</w:t>
      </w:r>
      <w:r>
        <w:rPr>
          <w:rFonts w:ascii="宋体" w:eastAsia="宋体" w:hAnsi="宋体" w:cs="宋体" w:hint="eastAsia"/>
          <w:sz w:val="24"/>
        </w:rPr>
        <w:t>被执行人俞朝阳申请司法确认调解</w:t>
      </w:r>
      <w:r w:rsidR="00B5278D">
        <w:rPr>
          <w:rFonts w:ascii="宋体" w:eastAsia="宋体" w:hAnsi="宋体" w:cs="宋体" w:hint="eastAsia"/>
          <w:sz w:val="24"/>
        </w:rPr>
        <w:t>协议</w:t>
      </w:r>
      <w:r>
        <w:rPr>
          <w:rFonts w:ascii="宋体" w:eastAsia="宋体" w:hAnsi="宋体" w:cs="宋体" w:hint="eastAsia"/>
          <w:sz w:val="24"/>
        </w:rPr>
        <w:t>一案，对案件中涉及的位于杭州市滨江区钱塘春晓花园12幢2单元1102室住宅房地产、室内装修及家具家电的市场价值进行评估。本次评估目的是为人民法院确定财产处置参考价提供服务</w:t>
      </w:r>
      <w:r>
        <w:rPr>
          <w:rFonts w:ascii="宋体" w:eastAsia="宋体" w:hAnsi="宋体" w:cs="宋体" w:hint="eastAsia"/>
          <w:color w:val="000000"/>
          <w:sz w:val="24"/>
        </w:rPr>
        <w:t>。</w:t>
      </w:r>
    </w:p>
    <w:p w:rsidR="00A32AE3" w:rsidRDefault="00E85AC9">
      <w:pPr>
        <w:pStyle w:val="a6"/>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本次经济行为依据为杭州市富阳区人民法院提供的（2022）杭富法委评字第123号《司法评估委托书》。</w:t>
      </w:r>
    </w:p>
    <w:p w:rsidR="00A32AE3" w:rsidRDefault="00E85AC9">
      <w:pPr>
        <w:tabs>
          <w:tab w:val="left" w:pos="540"/>
        </w:tabs>
        <w:spacing w:line="360" w:lineRule="auto"/>
        <w:outlineLvl w:val="0"/>
        <w:rPr>
          <w:rFonts w:ascii="宋体" w:eastAsia="宋体" w:hAnsi="宋体" w:cs="宋体"/>
          <w:b/>
          <w:sz w:val="24"/>
        </w:rPr>
      </w:pPr>
      <w:bookmarkStart w:id="19" w:name="_Toc275872921"/>
      <w:bookmarkStart w:id="20" w:name="_Toc37185840"/>
      <w:bookmarkStart w:id="21" w:name="_Toc1711804244_WPSOffice_Level1"/>
      <w:bookmarkStart w:id="22" w:name="_Toc117164027"/>
      <w:bookmarkEnd w:id="18"/>
      <w:r>
        <w:rPr>
          <w:rFonts w:ascii="宋体" w:eastAsia="宋体" w:hAnsi="宋体" w:cs="宋体" w:hint="eastAsia"/>
          <w:b/>
          <w:sz w:val="24"/>
          <w:lang w:eastAsia="zh-Hans"/>
        </w:rPr>
        <w:t>三、</w:t>
      </w:r>
      <w:r>
        <w:rPr>
          <w:rFonts w:ascii="宋体" w:eastAsia="宋体" w:hAnsi="宋体" w:cs="宋体" w:hint="eastAsia"/>
          <w:b/>
          <w:sz w:val="24"/>
        </w:rPr>
        <w:t>评估对象及</w:t>
      </w:r>
      <w:bookmarkEnd w:id="19"/>
      <w:r>
        <w:rPr>
          <w:rFonts w:ascii="宋体" w:eastAsia="宋体" w:hAnsi="宋体" w:cs="宋体" w:hint="eastAsia"/>
          <w:b/>
          <w:sz w:val="24"/>
        </w:rPr>
        <w:t>范围</w:t>
      </w:r>
      <w:bookmarkEnd w:id="20"/>
      <w:bookmarkEnd w:id="21"/>
      <w:bookmarkEnd w:id="22"/>
    </w:p>
    <w:p w:rsidR="00A32AE3" w:rsidRDefault="00E85AC9">
      <w:pPr>
        <w:pStyle w:val="a6"/>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评估对象是俞朝阳所有的杭州市滨江区钱塘春晓花园12幢2单元1102室住宅房地产、室内装修及家具家电的市场价值。</w:t>
      </w:r>
    </w:p>
    <w:p w:rsidR="00A32AE3" w:rsidRDefault="00E85AC9">
      <w:pPr>
        <w:pStyle w:val="a6"/>
        <w:adjustRightInd w:val="0"/>
        <w:snapToGrid w:val="0"/>
        <w:spacing w:after="0" w:line="360" w:lineRule="auto"/>
        <w:ind w:firstLineChars="200" w:firstLine="480"/>
        <w:rPr>
          <w:rFonts w:ascii="宋体" w:eastAsia="宋体" w:hAnsi="宋体" w:cs="宋体"/>
          <w:sz w:val="24"/>
        </w:rPr>
      </w:pPr>
      <w:r>
        <w:rPr>
          <w:rFonts w:ascii="宋体" w:eastAsia="宋体" w:hAnsi="宋体" w:cs="宋体" w:hint="eastAsia"/>
          <w:sz w:val="24"/>
        </w:rPr>
        <w:t>评估范围为俞朝阳所有的杭州市滨江区钱塘春晓花园12幢2单元1102室住宅房地产、室内装修及家具家电，主要资产的概况：</w:t>
      </w:r>
      <w:bookmarkStart w:id="23" w:name="OLE_LINK1"/>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1、房地产权属状况</w:t>
      </w:r>
    </w:p>
    <w:tbl>
      <w:tblPr>
        <w:tblStyle w:val="af2"/>
        <w:tblW w:w="9901" w:type="dxa"/>
        <w:jc w:val="center"/>
        <w:tblLook w:val="04A0" w:firstRow="1" w:lastRow="0" w:firstColumn="1" w:lastColumn="0" w:noHBand="0" w:noVBand="1"/>
      </w:tblPr>
      <w:tblGrid>
        <w:gridCol w:w="3060"/>
        <w:gridCol w:w="3309"/>
        <w:gridCol w:w="3532"/>
      </w:tblGrid>
      <w:tr w:rsidR="00A32AE3">
        <w:trPr>
          <w:trHeight w:val="553"/>
          <w:jc w:val="center"/>
        </w:trPr>
        <w:tc>
          <w:tcPr>
            <w:tcW w:w="3060" w:type="dxa"/>
            <w:vMerge w:val="restart"/>
          </w:tcPr>
          <w:p w:rsidR="00A32AE3" w:rsidRDefault="00E85AC9">
            <w:pPr>
              <w:spacing w:line="720" w:lineRule="auto"/>
              <w:jc w:val="center"/>
              <w:rPr>
                <w:rFonts w:ascii="Times New Roman" w:eastAsia="宋体" w:hAnsi="Times New Roman" w:cs="Times New Roman"/>
                <w:sz w:val="24"/>
              </w:rPr>
            </w:pPr>
            <w:r>
              <w:rPr>
                <w:rFonts w:ascii="Times New Roman" w:eastAsia="宋体" w:hAnsi="Times New Roman" w:cs="Times New Roman"/>
                <w:sz w:val="24"/>
              </w:rPr>
              <w:t>项目</w:t>
            </w:r>
          </w:p>
        </w:tc>
        <w:tc>
          <w:tcPr>
            <w:tcW w:w="6841" w:type="dxa"/>
            <w:gridSpan w:val="2"/>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内容</w:t>
            </w:r>
          </w:p>
        </w:tc>
      </w:tr>
      <w:tr w:rsidR="00A32AE3">
        <w:trPr>
          <w:trHeight w:val="389"/>
          <w:jc w:val="center"/>
        </w:trPr>
        <w:tc>
          <w:tcPr>
            <w:tcW w:w="3060" w:type="dxa"/>
            <w:vMerge/>
          </w:tcPr>
          <w:p w:rsidR="00A32AE3" w:rsidRDefault="00A32AE3">
            <w:pPr>
              <w:spacing w:line="360" w:lineRule="auto"/>
              <w:jc w:val="center"/>
            </w:pPr>
          </w:p>
        </w:tc>
        <w:tc>
          <w:tcPr>
            <w:tcW w:w="3309" w:type="dxa"/>
          </w:tcPr>
          <w:p w:rsidR="00A32AE3" w:rsidRDefault="00E85AC9">
            <w:pPr>
              <w:spacing w:line="360" w:lineRule="auto"/>
              <w:jc w:val="center"/>
            </w:pPr>
            <w:r>
              <w:rPr>
                <w:rFonts w:ascii="Times New Roman" w:eastAsia="宋体" w:hAnsi="Times New Roman" w:cs="Times New Roman" w:hint="eastAsia"/>
                <w:sz w:val="24"/>
              </w:rPr>
              <w:t>房产</w:t>
            </w:r>
          </w:p>
        </w:tc>
        <w:tc>
          <w:tcPr>
            <w:tcW w:w="3532"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土地</w:t>
            </w:r>
          </w:p>
        </w:tc>
      </w:tr>
      <w:tr w:rsidR="00A32AE3">
        <w:trPr>
          <w:trHeight w:val="553"/>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权利人</w:t>
            </w:r>
          </w:p>
        </w:tc>
        <w:tc>
          <w:tcPr>
            <w:tcW w:w="6841" w:type="dxa"/>
            <w:gridSpan w:val="2"/>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俞朝阳</w:t>
            </w:r>
          </w:p>
        </w:tc>
      </w:tr>
      <w:tr w:rsidR="00A32AE3">
        <w:trPr>
          <w:trHeight w:val="553"/>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坐落</w:t>
            </w:r>
          </w:p>
        </w:tc>
        <w:tc>
          <w:tcPr>
            <w:tcW w:w="6841" w:type="dxa"/>
            <w:gridSpan w:val="2"/>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杭州市滨江区钱塘春晓花园</w:t>
            </w:r>
            <w:r>
              <w:rPr>
                <w:rFonts w:ascii="Times New Roman" w:eastAsia="宋体" w:hAnsi="Times New Roman" w:cs="Times New Roman" w:hint="eastAsia"/>
                <w:sz w:val="24"/>
              </w:rPr>
              <w:t>1</w:t>
            </w:r>
            <w:r>
              <w:rPr>
                <w:rFonts w:ascii="Times New Roman" w:eastAsia="宋体" w:hAnsi="Times New Roman" w:cs="Times New Roman"/>
                <w:sz w:val="24"/>
              </w:rPr>
              <w:t>2</w:t>
            </w:r>
            <w:r>
              <w:rPr>
                <w:rFonts w:ascii="Times New Roman" w:eastAsia="宋体" w:hAnsi="Times New Roman" w:cs="Times New Roman" w:hint="eastAsia"/>
                <w:sz w:val="24"/>
              </w:rPr>
              <w:t>幢</w:t>
            </w:r>
            <w:r>
              <w:rPr>
                <w:rFonts w:ascii="Times New Roman" w:eastAsia="宋体" w:hAnsi="Times New Roman" w:cs="Times New Roman" w:hint="eastAsia"/>
                <w:sz w:val="24"/>
              </w:rPr>
              <w:t>2</w:t>
            </w:r>
            <w:r>
              <w:rPr>
                <w:rFonts w:ascii="Times New Roman" w:eastAsia="宋体" w:hAnsi="Times New Roman" w:cs="Times New Roman" w:hint="eastAsia"/>
                <w:sz w:val="24"/>
              </w:rPr>
              <w:t>单元</w:t>
            </w:r>
            <w:r>
              <w:rPr>
                <w:rFonts w:ascii="Times New Roman" w:eastAsia="宋体" w:hAnsi="Times New Roman" w:cs="Times New Roman" w:hint="eastAsia"/>
                <w:sz w:val="24"/>
              </w:rPr>
              <w:t>1</w:t>
            </w:r>
            <w:r>
              <w:rPr>
                <w:rFonts w:ascii="Times New Roman" w:eastAsia="宋体" w:hAnsi="Times New Roman" w:cs="Times New Roman"/>
                <w:sz w:val="24"/>
              </w:rPr>
              <w:t>102</w:t>
            </w:r>
            <w:r>
              <w:rPr>
                <w:rFonts w:ascii="Times New Roman" w:eastAsia="宋体" w:hAnsi="Times New Roman" w:cs="Times New Roman" w:hint="eastAsia"/>
                <w:sz w:val="24"/>
              </w:rPr>
              <w:t>室</w:t>
            </w:r>
          </w:p>
        </w:tc>
      </w:tr>
      <w:tr w:rsidR="00A32AE3">
        <w:trPr>
          <w:trHeight w:val="553"/>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证载面积</w:t>
            </w:r>
            <w:r>
              <w:rPr>
                <w:rFonts w:ascii="Times New Roman" w:eastAsia="宋体" w:hAnsi="Times New Roman" w:cs="Times New Roman" w:hint="eastAsia"/>
                <w:sz w:val="24"/>
              </w:rPr>
              <w:t>合计</w:t>
            </w:r>
            <w:r>
              <w:rPr>
                <w:rFonts w:ascii="Times New Roman" w:eastAsia="宋体" w:hAnsi="Times New Roman" w:cs="Times New Roman"/>
                <w:sz w:val="24"/>
              </w:rPr>
              <w:t>（㎡）</w:t>
            </w:r>
          </w:p>
        </w:tc>
        <w:tc>
          <w:tcPr>
            <w:tcW w:w="3309"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138.75</w:t>
            </w:r>
          </w:p>
        </w:tc>
        <w:tc>
          <w:tcPr>
            <w:tcW w:w="3532"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11.2</w:t>
            </w:r>
          </w:p>
        </w:tc>
      </w:tr>
      <w:tr w:rsidR="00A32AE3">
        <w:trPr>
          <w:trHeight w:val="730"/>
          <w:jc w:val="center"/>
        </w:trPr>
        <w:tc>
          <w:tcPr>
            <w:tcW w:w="3060" w:type="dxa"/>
          </w:tcPr>
          <w:p w:rsidR="00A32AE3" w:rsidRDefault="00E85AC9">
            <w:pPr>
              <w:spacing w:line="480" w:lineRule="auto"/>
              <w:jc w:val="center"/>
              <w:rPr>
                <w:rFonts w:ascii="Times New Roman" w:eastAsia="宋体" w:hAnsi="Times New Roman" w:cs="Times New Roman"/>
                <w:sz w:val="24"/>
              </w:rPr>
            </w:pPr>
            <w:r>
              <w:rPr>
                <w:rFonts w:ascii="Times New Roman" w:eastAsia="宋体" w:hAnsi="Times New Roman" w:cs="Times New Roman" w:hint="eastAsia"/>
                <w:sz w:val="24"/>
              </w:rPr>
              <w:t>权证号</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（证明号）</w:t>
            </w:r>
          </w:p>
        </w:tc>
        <w:tc>
          <w:tcPr>
            <w:tcW w:w="6841" w:type="dxa"/>
            <w:gridSpan w:val="2"/>
          </w:tcPr>
          <w:p w:rsidR="00A32AE3" w:rsidRDefault="00E85AC9">
            <w:pPr>
              <w:pStyle w:val="Default"/>
              <w:spacing w:line="480" w:lineRule="auto"/>
              <w:jc w:val="center"/>
              <w:rPr>
                <w:rFonts w:ascii="Times New Roman" w:cs="Times New Roman"/>
                <w:color w:val="auto"/>
                <w:kern w:val="2"/>
              </w:rPr>
            </w:pPr>
            <w:r>
              <w:rPr>
                <w:rFonts w:ascii="Times New Roman" w:cs="Times New Roman" w:hint="eastAsia"/>
                <w:color w:val="auto"/>
                <w:kern w:val="2"/>
              </w:rPr>
              <w:t>杭房权证高新移字第</w:t>
            </w:r>
            <w:r>
              <w:rPr>
                <w:rFonts w:ascii="Times New Roman" w:cs="Times New Roman" w:hint="eastAsia"/>
                <w:color w:val="auto"/>
                <w:kern w:val="2"/>
              </w:rPr>
              <w:t>0</w:t>
            </w:r>
            <w:r>
              <w:rPr>
                <w:rFonts w:ascii="Times New Roman" w:cs="Times New Roman"/>
                <w:color w:val="auto"/>
                <w:kern w:val="2"/>
              </w:rPr>
              <w:t>6014663</w:t>
            </w:r>
            <w:r>
              <w:rPr>
                <w:rFonts w:ascii="Times New Roman" w:cs="Times New Roman" w:hint="eastAsia"/>
                <w:color w:val="auto"/>
                <w:kern w:val="2"/>
              </w:rPr>
              <w:t>号</w:t>
            </w:r>
          </w:p>
        </w:tc>
      </w:tr>
      <w:tr w:rsidR="00A32AE3">
        <w:trPr>
          <w:trHeight w:val="630"/>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权利类型</w:t>
            </w:r>
          </w:p>
        </w:tc>
        <w:tc>
          <w:tcPr>
            <w:tcW w:w="3309"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房屋（构筑物）所有权</w:t>
            </w:r>
          </w:p>
        </w:tc>
        <w:tc>
          <w:tcPr>
            <w:tcW w:w="3532"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国有建设用地使用权</w:t>
            </w:r>
          </w:p>
        </w:tc>
      </w:tr>
      <w:tr w:rsidR="00A32AE3">
        <w:trPr>
          <w:trHeight w:val="525"/>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权利性质</w:t>
            </w:r>
          </w:p>
        </w:tc>
        <w:tc>
          <w:tcPr>
            <w:tcW w:w="3309"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存量房产</w:t>
            </w:r>
          </w:p>
        </w:tc>
        <w:tc>
          <w:tcPr>
            <w:tcW w:w="3532"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国有出让</w:t>
            </w:r>
          </w:p>
        </w:tc>
      </w:tr>
      <w:tr w:rsidR="00A32AE3">
        <w:trPr>
          <w:trHeight w:val="561"/>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用途</w:t>
            </w:r>
          </w:p>
        </w:tc>
        <w:tc>
          <w:tcPr>
            <w:tcW w:w="3309"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住宅</w:t>
            </w:r>
          </w:p>
        </w:tc>
        <w:tc>
          <w:tcPr>
            <w:tcW w:w="3532"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城镇住宅用地</w:t>
            </w:r>
          </w:p>
        </w:tc>
      </w:tr>
      <w:tr w:rsidR="00A32AE3">
        <w:trPr>
          <w:trHeight w:val="427"/>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共有情况</w:t>
            </w:r>
          </w:p>
        </w:tc>
        <w:tc>
          <w:tcPr>
            <w:tcW w:w="6841" w:type="dxa"/>
            <w:gridSpan w:val="2"/>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单独所有</w:t>
            </w:r>
          </w:p>
        </w:tc>
      </w:tr>
      <w:tr w:rsidR="00A32AE3">
        <w:trPr>
          <w:trHeight w:val="553"/>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登记日期</w:t>
            </w:r>
          </w:p>
        </w:tc>
        <w:tc>
          <w:tcPr>
            <w:tcW w:w="6841" w:type="dxa"/>
            <w:gridSpan w:val="2"/>
          </w:tcPr>
          <w:p w:rsidR="00A32AE3" w:rsidRDefault="00E85AC9">
            <w:pPr>
              <w:spacing w:line="360" w:lineRule="auto"/>
              <w:jc w:val="center"/>
              <w:rPr>
                <w:rFonts w:ascii="Times New Roman" w:eastAsia="宋体" w:hAnsi="Times New Roman" w:cs="Times New Roman"/>
                <w:sz w:val="24"/>
              </w:rPr>
            </w:pPr>
            <w:r>
              <w:rPr>
                <w:rFonts w:ascii="宋体" w:eastAsia="宋体" w:hAnsi="宋体" w:cs="宋体" w:hint="eastAsia"/>
                <w:sz w:val="24"/>
              </w:rPr>
              <w:t>20</w:t>
            </w:r>
            <w:r>
              <w:rPr>
                <w:rFonts w:ascii="宋体" w:eastAsia="宋体" w:hAnsi="宋体" w:cs="宋体"/>
                <w:sz w:val="24"/>
              </w:rPr>
              <w:t>06</w:t>
            </w:r>
            <w:r>
              <w:rPr>
                <w:rFonts w:ascii="宋体" w:eastAsia="宋体" w:hAnsi="宋体" w:cs="宋体" w:hint="eastAsia"/>
                <w:sz w:val="24"/>
              </w:rPr>
              <w:t>年</w:t>
            </w:r>
            <w:r>
              <w:rPr>
                <w:rFonts w:ascii="宋体" w:eastAsia="宋体" w:hAnsi="宋体" w:cs="宋体"/>
                <w:sz w:val="24"/>
              </w:rPr>
              <w:t>10</w:t>
            </w:r>
            <w:r>
              <w:rPr>
                <w:rFonts w:ascii="宋体" w:eastAsia="宋体" w:hAnsi="宋体" w:cs="宋体" w:hint="eastAsia"/>
                <w:sz w:val="24"/>
              </w:rPr>
              <w:t>月</w:t>
            </w:r>
            <w:r>
              <w:rPr>
                <w:rFonts w:ascii="宋体" w:eastAsia="宋体" w:hAnsi="宋体" w:cs="宋体"/>
                <w:sz w:val="24"/>
              </w:rPr>
              <w:t>17</w:t>
            </w:r>
            <w:r>
              <w:rPr>
                <w:rFonts w:ascii="宋体" w:eastAsia="宋体" w:hAnsi="宋体" w:cs="宋体" w:hint="eastAsia"/>
                <w:sz w:val="24"/>
              </w:rPr>
              <w:t>日</w:t>
            </w:r>
          </w:p>
        </w:tc>
      </w:tr>
      <w:tr w:rsidR="00A32AE3">
        <w:trPr>
          <w:trHeight w:val="553"/>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权利状况</w:t>
            </w:r>
          </w:p>
        </w:tc>
        <w:tc>
          <w:tcPr>
            <w:tcW w:w="6841" w:type="dxa"/>
            <w:gridSpan w:val="2"/>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现状</w:t>
            </w:r>
          </w:p>
        </w:tc>
      </w:tr>
      <w:tr w:rsidR="00A32AE3">
        <w:trPr>
          <w:trHeight w:val="553"/>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使用期限</w:t>
            </w:r>
          </w:p>
        </w:tc>
        <w:tc>
          <w:tcPr>
            <w:tcW w:w="6841" w:type="dxa"/>
            <w:gridSpan w:val="2"/>
          </w:tcPr>
          <w:p w:rsidR="00A32AE3" w:rsidRDefault="00E85AC9">
            <w:pPr>
              <w:spacing w:line="360" w:lineRule="auto"/>
              <w:jc w:val="center"/>
              <w:rPr>
                <w:rFonts w:ascii="Times New Roman" w:eastAsia="宋体" w:hAnsi="Times New Roman" w:cs="Times New Roman"/>
                <w:sz w:val="24"/>
              </w:rPr>
            </w:pPr>
            <w:r>
              <w:rPr>
                <w:rFonts w:ascii="宋体" w:eastAsia="宋体" w:hAnsi="宋体" w:cs="宋体" w:hint="eastAsia"/>
                <w:sz w:val="24"/>
              </w:rPr>
              <w:t>至20</w:t>
            </w:r>
            <w:r>
              <w:rPr>
                <w:rFonts w:ascii="宋体" w:eastAsia="宋体" w:hAnsi="宋体" w:cs="宋体"/>
                <w:sz w:val="24"/>
              </w:rPr>
              <w:t>72</w:t>
            </w:r>
            <w:r>
              <w:rPr>
                <w:rFonts w:ascii="宋体" w:eastAsia="宋体" w:hAnsi="宋体" w:cs="宋体" w:hint="eastAsia"/>
                <w:sz w:val="24"/>
              </w:rPr>
              <w:t>年</w:t>
            </w:r>
            <w:r>
              <w:rPr>
                <w:rFonts w:ascii="宋体" w:eastAsia="宋体" w:hAnsi="宋体" w:cs="宋体"/>
                <w:sz w:val="24"/>
              </w:rPr>
              <w:t>07</w:t>
            </w:r>
            <w:r>
              <w:rPr>
                <w:rFonts w:ascii="宋体" w:eastAsia="宋体" w:hAnsi="宋体" w:cs="宋体" w:hint="eastAsia"/>
                <w:sz w:val="24"/>
              </w:rPr>
              <w:t>月</w:t>
            </w:r>
            <w:r>
              <w:rPr>
                <w:rFonts w:ascii="宋体" w:eastAsia="宋体" w:hAnsi="宋体" w:cs="宋体"/>
                <w:sz w:val="24"/>
              </w:rPr>
              <w:t>02</w:t>
            </w:r>
            <w:r>
              <w:rPr>
                <w:rFonts w:ascii="宋体" w:eastAsia="宋体" w:hAnsi="宋体" w:cs="宋体" w:hint="eastAsia"/>
                <w:sz w:val="24"/>
              </w:rPr>
              <w:t>日</w:t>
            </w:r>
          </w:p>
        </w:tc>
      </w:tr>
      <w:tr w:rsidR="00A32AE3">
        <w:trPr>
          <w:trHeight w:val="553"/>
          <w:jc w:val="center"/>
        </w:trPr>
        <w:tc>
          <w:tcPr>
            <w:tcW w:w="3060"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lastRenderedPageBreak/>
              <w:t>附记</w:t>
            </w:r>
          </w:p>
        </w:tc>
        <w:tc>
          <w:tcPr>
            <w:tcW w:w="6841" w:type="dxa"/>
            <w:gridSpan w:val="2"/>
          </w:tcPr>
          <w:p w:rsidR="00A32AE3" w:rsidRDefault="00E85AC9">
            <w:pPr>
              <w:spacing w:line="360" w:lineRule="auto"/>
              <w:jc w:val="center"/>
              <w:rPr>
                <w:rFonts w:ascii="宋体" w:eastAsia="宋体" w:hAnsi="宋体" w:cs="宋体"/>
                <w:sz w:val="24"/>
              </w:rPr>
            </w:pPr>
            <w:r>
              <w:rPr>
                <w:rFonts w:ascii="宋体" w:eastAsia="宋体" w:hAnsi="宋体" w:cs="宋体" w:hint="eastAsia"/>
                <w:sz w:val="24"/>
              </w:rPr>
              <w:t>/</w:t>
            </w:r>
          </w:p>
        </w:tc>
      </w:tr>
    </w:tbl>
    <w:p w:rsidR="00A32AE3" w:rsidRDefault="00A32AE3">
      <w:pPr>
        <w:pStyle w:val="Default"/>
        <w:jc w:val="center"/>
      </w:pPr>
    </w:p>
    <w:tbl>
      <w:tblPr>
        <w:tblStyle w:val="af2"/>
        <w:tblW w:w="9911" w:type="dxa"/>
        <w:jc w:val="center"/>
        <w:tblLook w:val="04A0" w:firstRow="1" w:lastRow="0" w:firstColumn="1" w:lastColumn="0" w:noHBand="0" w:noVBand="1"/>
      </w:tblPr>
      <w:tblGrid>
        <w:gridCol w:w="1238"/>
        <w:gridCol w:w="1444"/>
        <w:gridCol w:w="2516"/>
        <w:gridCol w:w="2126"/>
        <w:gridCol w:w="2587"/>
      </w:tblGrid>
      <w:tr w:rsidR="00A32AE3">
        <w:trPr>
          <w:trHeight w:val="460"/>
          <w:jc w:val="center"/>
        </w:trPr>
        <w:tc>
          <w:tcPr>
            <w:tcW w:w="1238"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项目</w:t>
            </w:r>
          </w:p>
        </w:tc>
        <w:tc>
          <w:tcPr>
            <w:tcW w:w="8673" w:type="dxa"/>
            <w:gridSpan w:val="4"/>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内容</w:t>
            </w:r>
          </w:p>
        </w:tc>
      </w:tr>
      <w:tr w:rsidR="00A32AE3">
        <w:trPr>
          <w:trHeight w:val="460"/>
          <w:jc w:val="center"/>
        </w:trPr>
        <w:tc>
          <w:tcPr>
            <w:tcW w:w="1238"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限制信息</w:t>
            </w:r>
          </w:p>
        </w:tc>
        <w:tc>
          <w:tcPr>
            <w:tcW w:w="8673" w:type="dxa"/>
            <w:gridSpan w:val="4"/>
          </w:tcPr>
          <w:p w:rsidR="00A32AE3" w:rsidRDefault="00E85AC9">
            <w:pPr>
              <w:spacing w:line="360" w:lineRule="auto"/>
              <w:jc w:val="center"/>
              <w:rPr>
                <w:rFonts w:ascii="Times New Roman" w:eastAsia="宋体" w:hAnsi="Times New Roman" w:cs="Times New Roman"/>
                <w:sz w:val="24"/>
              </w:rPr>
            </w:pPr>
            <w:r>
              <w:rPr>
                <w:rFonts w:ascii="宋体" w:eastAsia="宋体" w:hAnsi="宋体" w:cs="宋体" w:hint="eastAsia"/>
                <w:sz w:val="24"/>
              </w:rPr>
              <w:t>房产:有查封，有抵押，宗地：有查封，有抵押</w:t>
            </w:r>
          </w:p>
        </w:tc>
      </w:tr>
      <w:tr w:rsidR="00A32AE3">
        <w:trPr>
          <w:trHeight w:val="460"/>
          <w:jc w:val="center"/>
        </w:trPr>
        <w:tc>
          <w:tcPr>
            <w:tcW w:w="1238" w:type="dxa"/>
            <w:vMerge w:val="restart"/>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抵押状况</w:t>
            </w:r>
          </w:p>
        </w:tc>
        <w:tc>
          <w:tcPr>
            <w:tcW w:w="1444" w:type="dxa"/>
          </w:tcPr>
          <w:p w:rsidR="00A32AE3" w:rsidRDefault="00E85AC9">
            <w:pPr>
              <w:spacing w:line="840" w:lineRule="auto"/>
              <w:jc w:val="center"/>
              <w:rPr>
                <w:sz w:val="24"/>
              </w:rPr>
            </w:pPr>
            <w:r>
              <w:rPr>
                <w:rFonts w:ascii="Times New Roman" w:eastAsia="宋体" w:hAnsi="Times New Roman" w:cs="宋体" w:hint="eastAsia"/>
                <w:sz w:val="24"/>
                <w:lang w:bidi="ar"/>
              </w:rPr>
              <w:t>抵押权人</w:t>
            </w:r>
          </w:p>
        </w:tc>
        <w:tc>
          <w:tcPr>
            <w:tcW w:w="2516" w:type="dxa"/>
          </w:tcPr>
          <w:p w:rsidR="00A32AE3" w:rsidRDefault="00E85AC9">
            <w:pPr>
              <w:spacing w:line="360" w:lineRule="auto"/>
              <w:jc w:val="center"/>
              <w:rPr>
                <w:sz w:val="24"/>
              </w:rPr>
            </w:pPr>
            <w:r>
              <w:rPr>
                <w:rFonts w:hint="eastAsia"/>
                <w:sz w:val="24"/>
              </w:rPr>
              <w:t>杭州富阳民间融资服务中心有限公司</w:t>
            </w:r>
          </w:p>
        </w:tc>
        <w:tc>
          <w:tcPr>
            <w:tcW w:w="2126" w:type="dxa"/>
          </w:tcPr>
          <w:p w:rsidR="00A32AE3" w:rsidRDefault="00E85AC9">
            <w:pPr>
              <w:spacing w:line="840" w:lineRule="auto"/>
              <w:jc w:val="center"/>
              <w:rPr>
                <w:sz w:val="24"/>
              </w:rPr>
            </w:pPr>
            <w:r>
              <w:rPr>
                <w:rFonts w:ascii="Times New Roman" w:eastAsia="宋体" w:hAnsi="Times New Roman" w:cs="宋体" w:hint="eastAsia"/>
                <w:sz w:val="24"/>
                <w:lang w:bidi="ar"/>
              </w:rPr>
              <w:t>登记证号</w:t>
            </w:r>
          </w:p>
        </w:tc>
        <w:tc>
          <w:tcPr>
            <w:tcW w:w="2587" w:type="dxa"/>
          </w:tcPr>
          <w:p w:rsidR="00A32AE3" w:rsidRDefault="00E85AC9">
            <w:pPr>
              <w:spacing w:line="360" w:lineRule="auto"/>
              <w:jc w:val="center"/>
              <w:rPr>
                <w:rFonts w:ascii="宋体" w:eastAsia="宋体" w:hAnsi="宋体" w:cs="宋体"/>
                <w:sz w:val="24"/>
                <w:lang w:bidi="ar"/>
              </w:rPr>
            </w:pPr>
            <w:r>
              <w:rPr>
                <w:rFonts w:ascii="宋体" w:eastAsia="宋体" w:hAnsi="宋体" w:cs="宋体" w:hint="eastAsia"/>
                <w:sz w:val="24"/>
                <w:lang w:bidi="ar"/>
              </w:rPr>
              <w:t>浙（202</w:t>
            </w:r>
            <w:r>
              <w:rPr>
                <w:rFonts w:ascii="宋体" w:eastAsia="宋体" w:hAnsi="宋体" w:cs="宋体"/>
                <w:sz w:val="24"/>
                <w:lang w:bidi="ar"/>
              </w:rPr>
              <w:t>1</w:t>
            </w:r>
            <w:r>
              <w:rPr>
                <w:rFonts w:ascii="宋体" w:eastAsia="宋体" w:hAnsi="宋体" w:cs="宋体" w:hint="eastAsia"/>
                <w:sz w:val="24"/>
                <w:lang w:bidi="ar"/>
              </w:rPr>
              <w:t>）杭州市不动产证明第</w:t>
            </w:r>
            <w:r>
              <w:rPr>
                <w:rFonts w:ascii="宋体" w:eastAsia="宋体" w:hAnsi="宋体" w:cs="宋体"/>
                <w:sz w:val="24"/>
                <w:lang w:bidi="ar"/>
              </w:rPr>
              <w:t>0114524</w:t>
            </w:r>
            <w:r>
              <w:rPr>
                <w:rFonts w:ascii="宋体" w:eastAsia="宋体" w:hAnsi="宋体" w:cs="宋体" w:hint="eastAsia"/>
                <w:sz w:val="24"/>
                <w:lang w:bidi="ar"/>
              </w:rPr>
              <w:t>号</w:t>
            </w:r>
          </w:p>
        </w:tc>
      </w:tr>
      <w:tr w:rsidR="00A32AE3">
        <w:trPr>
          <w:trHeight w:val="460"/>
          <w:jc w:val="center"/>
        </w:trPr>
        <w:tc>
          <w:tcPr>
            <w:tcW w:w="1238" w:type="dxa"/>
            <w:vMerge/>
          </w:tcPr>
          <w:p w:rsidR="00A32AE3" w:rsidRDefault="00A32AE3">
            <w:pPr>
              <w:spacing w:line="360" w:lineRule="auto"/>
              <w:jc w:val="center"/>
              <w:rPr>
                <w:rFonts w:ascii="Times New Roman" w:eastAsia="宋体" w:hAnsi="Times New Roman" w:cs="Times New Roman"/>
                <w:sz w:val="24"/>
              </w:rPr>
            </w:pPr>
          </w:p>
        </w:tc>
        <w:tc>
          <w:tcPr>
            <w:tcW w:w="1444" w:type="dxa"/>
          </w:tcPr>
          <w:p w:rsidR="00A32AE3" w:rsidRDefault="00E85AC9">
            <w:pPr>
              <w:spacing w:line="360" w:lineRule="auto"/>
              <w:jc w:val="center"/>
              <w:rPr>
                <w:sz w:val="24"/>
              </w:rPr>
            </w:pPr>
            <w:r>
              <w:rPr>
                <w:rFonts w:ascii="Times New Roman" w:eastAsia="宋体" w:hAnsi="Times New Roman" w:cs="宋体" w:hint="eastAsia"/>
                <w:sz w:val="24"/>
                <w:lang w:bidi="ar"/>
              </w:rPr>
              <w:t>抵押方式</w:t>
            </w:r>
          </w:p>
        </w:tc>
        <w:tc>
          <w:tcPr>
            <w:tcW w:w="2516" w:type="dxa"/>
          </w:tcPr>
          <w:p w:rsidR="00A32AE3" w:rsidRDefault="00E85AC9">
            <w:pPr>
              <w:spacing w:line="360" w:lineRule="auto"/>
              <w:jc w:val="center"/>
              <w:rPr>
                <w:sz w:val="24"/>
              </w:rPr>
            </w:pPr>
            <w:r>
              <w:rPr>
                <w:rFonts w:ascii="Times New Roman" w:eastAsia="宋体" w:hAnsi="Times New Roman" w:cs="宋体" w:hint="eastAsia"/>
                <w:sz w:val="24"/>
                <w:lang w:bidi="ar"/>
              </w:rPr>
              <w:t>最高额抵押</w:t>
            </w:r>
          </w:p>
        </w:tc>
        <w:tc>
          <w:tcPr>
            <w:tcW w:w="2126" w:type="dxa"/>
          </w:tcPr>
          <w:p w:rsidR="00A32AE3" w:rsidRDefault="00E85AC9">
            <w:pPr>
              <w:spacing w:line="360" w:lineRule="auto"/>
              <w:jc w:val="center"/>
              <w:rPr>
                <w:sz w:val="24"/>
              </w:rPr>
            </w:pPr>
            <w:r>
              <w:rPr>
                <w:rFonts w:ascii="Times New Roman" w:eastAsia="宋体" w:hAnsi="Times New Roman" w:cs="宋体" w:hint="eastAsia"/>
                <w:sz w:val="24"/>
                <w:lang w:bidi="ar"/>
              </w:rPr>
              <w:t>债权数额</w:t>
            </w:r>
          </w:p>
        </w:tc>
        <w:tc>
          <w:tcPr>
            <w:tcW w:w="2587" w:type="dxa"/>
          </w:tcPr>
          <w:p w:rsidR="00A32AE3" w:rsidRDefault="00E85AC9">
            <w:pPr>
              <w:spacing w:line="360" w:lineRule="auto"/>
              <w:jc w:val="center"/>
              <w:rPr>
                <w:sz w:val="24"/>
              </w:rPr>
            </w:pPr>
            <w:r>
              <w:rPr>
                <w:rFonts w:ascii="Times New Roman" w:eastAsia="宋体" w:hAnsi="Times New Roman" w:cs="Times New Roman"/>
                <w:sz w:val="24"/>
                <w:lang w:bidi="ar"/>
              </w:rPr>
              <w:t>850</w:t>
            </w:r>
            <w:r>
              <w:rPr>
                <w:rFonts w:ascii="Times New Roman" w:eastAsia="宋体" w:hAnsi="Times New Roman" w:cs="宋体" w:hint="eastAsia"/>
                <w:sz w:val="24"/>
                <w:lang w:bidi="ar"/>
              </w:rPr>
              <w:t>万元</w:t>
            </w:r>
          </w:p>
        </w:tc>
      </w:tr>
      <w:tr w:rsidR="00A32AE3">
        <w:trPr>
          <w:trHeight w:val="460"/>
          <w:jc w:val="center"/>
        </w:trPr>
        <w:tc>
          <w:tcPr>
            <w:tcW w:w="1238" w:type="dxa"/>
            <w:vMerge/>
          </w:tcPr>
          <w:p w:rsidR="00A32AE3" w:rsidRDefault="00A32AE3">
            <w:pPr>
              <w:spacing w:line="360" w:lineRule="auto"/>
              <w:jc w:val="center"/>
              <w:rPr>
                <w:rFonts w:ascii="Times New Roman" w:eastAsia="宋体" w:hAnsi="Times New Roman" w:cs="Times New Roman"/>
                <w:sz w:val="24"/>
              </w:rPr>
            </w:pPr>
          </w:p>
        </w:tc>
        <w:tc>
          <w:tcPr>
            <w:tcW w:w="1444" w:type="dxa"/>
          </w:tcPr>
          <w:p w:rsidR="00A32AE3" w:rsidRDefault="00E85AC9">
            <w:pPr>
              <w:spacing w:line="720" w:lineRule="auto"/>
              <w:jc w:val="center"/>
              <w:rPr>
                <w:sz w:val="24"/>
              </w:rPr>
            </w:pPr>
            <w:r>
              <w:rPr>
                <w:rFonts w:ascii="Times New Roman" w:eastAsia="宋体" w:hAnsi="Times New Roman" w:cs="宋体" w:hint="eastAsia"/>
                <w:sz w:val="24"/>
                <w:lang w:bidi="ar"/>
              </w:rPr>
              <w:t>登记日期</w:t>
            </w:r>
          </w:p>
        </w:tc>
        <w:tc>
          <w:tcPr>
            <w:tcW w:w="2516" w:type="dxa"/>
          </w:tcPr>
          <w:p w:rsidR="00A32AE3" w:rsidRDefault="00E85AC9">
            <w:pPr>
              <w:spacing w:line="720" w:lineRule="auto"/>
              <w:jc w:val="center"/>
              <w:rPr>
                <w:sz w:val="24"/>
              </w:rPr>
            </w:pPr>
            <w:r>
              <w:rPr>
                <w:rFonts w:ascii="宋体" w:eastAsia="宋体" w:hAnsi="宋体" w:cs="宋体" w:hint="eastAsia"/>
                <w:sz w:val="24"/>
                <w:lang w:bidi="ar"/>
              </w:rPr>
              <w:t>202</w:t>
            </w:r>
            <w:r>
              <w:rPr>
                <w:rFonts w:ascii="宋体" w:eastAsia="宋体" w:hAnsi="宋体" w:cs="宋体"/>
                <w:sz w:val="24"/>
                <w:lang w:bidi="ar"/>
              </w:rPr>
              <w:t>1</w:t>
            </w:r>
            <w:r>
              <w:rPr>
                <w:rFonts w:ascii="宋体" w:eastAsia="宋体" w:hAnsi="宋体" w:cs="宋体" w:hint="eastAsia"/>
                <w:sz w:val="24"/>
                <w:lang w:bidi="ar"/>
              </w:rPr>
              <w:t>年07月1</w:t>
            </w:r>
            <w:r>
              <w:rPr>
                <w:rFonts w:ascii="宋体" w:eastAsia="宋体" w:hAnsi="宋体" w:cs="宋体"/>
                <w:sz w:val="24"/>
                <w:lang w:bidi="ar"/>
              </w:rPr>
              <w:t>2</w:t>
            </w:r>
            <w:r>
              <w:rPr>
                <w:rFonts w:ascii="宋体" w:eastAsia="宋体" w:hAnsi="宋体" w:cs="宋体" w:hint="eastAsia"/>
                <w:sz w:val="24"/>
                <w:lang w:bidi="ar"/>
              </w:rPr>
              <w:t>日</w:t>
            </w:r>
          </w:p>
        </w:tc>
        <w:tc>
          <w:tcPr>
            <w:tcW w:w="2126" w:type="dxa"/>
          </w:tcPr>
          <w:p w:rsidR="00A32AE3" w:rsidRDefault="00E85AC9">
            <w:pPr>
              <w:spacing w:line="360" w:lineRule="auto"/>
              <w:jc w:val="center"/>
              <w:rPr>
                <w:sz w:val="24"/>
              </w:rPr>
            </w:pPr>
            <w:r>
              <w:rPr>
                <w:rFonts w:ascii="Times New Roman" w:eastAsia="宋体" w:hAnsi="Times New Roman" w:cs="宋体" w:hint="eastAsia"/>
                <w:sz w:val="24"/>
                <w:lang w:bidi="ar"/>
              </w:rPr>
              <w:t>债权履行期限（债权确定期限）</w:t>
            </w:r>
          </w:p>
        </w:tc>
        <w:tc>
          <w:tcPr>
            <w:tcW w:w="2587" w:type="dxa"/>
          </w:tcPr>
          <w:p w:rsidR="00A32AE3" w:rsidRDefault="00E85AC9">
            <w:pPr>
              <w:spacing w:line="360" w:lineRule="auto"/>
              <w:jc w:val="center"/>
              <w:rPr>
                <w:sz w:val="24"/>
              </w:rPr>
            </w:pPr>
            <w:r>
              <w:rPr>
                <w:rFonts w:ascii="宋体" w:eastAsia="宋体" w:hAnsi="宋体" w:cs="宋体" w:hint="eastAsia"/>
                <w:sz w:val="24"/>
                <w:lang w:bidi="ar"/>
              </w:rPr>
              <w:t>202</w:t>
            </w:r>
            <w:r>
              <w:rPr>
                <w:rFonts w:ascii="宋体" w:eastAsia="宋体" w:hAnsi="宋体" w:cs="宋体"/>
                <w:sz w:val="24"/>
                <w:lang w:bidi="ar"/>
              </w:rPr>
              <w:t>1</w:t>
            </w:r>
            <w:r>
              <w:rPr>
                <w:rFonts w:ascii="宋体" w:eastAsia="宋体" w:hAnsi="宋体" w:cs="宋体" w:hint="eastAsia"/>
                <w:sz w:val="24"/>
                <w:lang w:bidi="ar"/>
              </w:rPr>
              <w:t>年07月</w:t>
            </w:r>
            <w:r>
              <w:rPr>
                <w:rFonts w:ascii="宋体" w:eastAsia="宋体" w:hAnsi="宋体" w:cs="宋体"/>
                <w:sz w:val="24"/>
                <w:lang w:bidi="ar"/>
              </w:rPr>
              <w:t>12</w:t>
            </w:r>
            <w:r>
              <w:rPr>
                <w:rFonts w:ascii="宋体" w:eastAsia="宋体" w:hAnsi="宋体" w:cs="宋体" w:hint="eastAsia"/>
                <w:sz w:val="24"/>
                <w:lang w:bidi="ar"/>
              </w:rPr>
              <w:t>日起2023年07月1</w:t>
            </w:r>
            <w:r>
              <w:rPr>
                <w:rFonts w:ascii="宋体" w:eastAsia="宋体" w:hAnsi="宋体" w:cs="宋体"/>
                <w:sz w:val="24"/>
                <w:lang w:bidi="ar"/>
              </w:rPr>
              <w:t>1</w:t>
            </w:r>
            <w:r>
              <w:rPr>
                <w:rFonts w:ascii="宋体" w:eastAsia="宋体" w:hAnsi="宋体" w:cs="宋体" w:hint="eastAsia"/>
                <w:sz w:val="24"/>
                <w:lang w:bidi="ar"/>
              </w:rPr>
              <w:t>日止</w:t>
            </w:r>
          </w:p>
        </w:tc>
      </w:tr>
      <w:tr w:rsidR="00A32AE3">
        <w:trPr>
          <w:trHeight w:val="460"/>
          <w:jc w:val="center"/>
        </w:trPr>
        <w:tc>
          <w:tcPr>
            <w:tcW w:w="1238" w:type="dxa"/>
            <w:vMerge/>
          </w:tcPr>
          <w:p w:rsidR="00A32AE3" w:rsidRDefault="00A32AE3">
            <w:pPr>
              <w:spacing w:line="360" w:lineRule="auto"/>
              <w:jc w:val="center"/>
              <w:rPr>
                <w:rFonts w:ascii="Times New Roman" w:eastAsia="宋体" w:hAnsi="Times New Roman" w:cs="Times New Roman"/>
                <w:sz w:val="24"/>
              </w:rPr>
            </w:pPr>
          </w:p>
        </w:tc>
        <w:tc>
          <w:tcPr>
            <w:tcW w:w="1444"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附记</w:t>
            </w:r>
          </w:p>
        </w:tc>
        <w:tc>
          <w:tcPr>
            <w:tcW w:w="7229" w:type="dxa"/>
            <w:gridSpan w:val="3"/>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存在禁止或限制转让抵押不动产的约定担保范围依据抵押合同约定</w:t>
            </w:r>
          </w:p>
        </w:tc>
      </w:tr>
      <w:tr w:rsidR="00A32AE3">
        <w:trPr>
          <w:trHeight w:val="460"/>
          <w:jc w:val="center"/>
        </w:trPr>
        <w:tc>
          <w:tcPr>
            <w:tcW w:w="1238" w:type="dxa"/>
            <w:vMerge w:val="restart"/>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抵押状况</w:t>
            </w:r>
          </w:p>
        </w:tc>
        <w:tc>
          <w:tcPr>
            <w:tcW w:w="1444" w:type="dxa"/>
          </w:tcPr>
          <w:p w:rsidR="00A32AE3" w:rsidRDefault="00E85AC9">
            <w:pPr>
              <w:spacing w:line="840" w:lineRule="auto"/>
              <w:jc w:val="center"/>
              <w:rPr>
                <w:sz w:val="24"/>
              </w:rPr>
            </w:pPr>
            <w:r>
              <w:rPr>
                <w:rFonts w:ascii="Times New Roman" w:eastAsia="宋体" w:hAnsi="Times New Roman" w:cs="宋体" w:hint="eastAsia"/>
                <w:sz w:val="24"/>
                <w:lang w:bidi="ar"/>
              </w:rPr>
              <w:t>抵押权人</w:t>
            </w:r>
          </w:p>
        </w:tc>
        <w:tc>
          <w:tcPr>
            <w:tcW w:w="2516" w:type="dxa"/>
          </w:tcPr>
          <w:p w:rsidR="00A32AE3" w:rsidRDefault="00E85AC9" w:rsidP="00B5278D">
            <w:pPr>
              <w:spacing w:line="840" w:lineRule="auto"/>
              <w:jc w:val="center"/>
              <w:rPr>
                <w:sz w:val="24"/>
              </w:rPr>
            </w:pPr>
            <w:r w:rsidRPr="00B5278D">
              <w:rPr>
                <w:rFonts w:ascii="Times New Roman" w:eastAsia="宋体" w:hAnsi="Times New Roman" w:cs="宋体" w:hint="eastAsia"/>
                <w:sz w:val="24"/>
                <w:lang w:bidi="ar"/>
              </w:rPr>
              <w:t>徐燕</w:t>
            </w:r>
          </w:p>
        </w:tc>
        <w:tc>
          <w:tcPr>
            <w:tcW w:w="2126" w:type="dxa"/>
          </w:tcPr>
          <w:p w:rsidR="00A32AE3" w:rsidRDefault="00E85AC9">
            <w:pPr>
              <w:spacing w:line="840" w:lineRule="auto"/>
              <w:jc w:val="center"/>
              <w:rPr>
                <w:sz w:val="24"/>
              </w:rPr>
            </w:pPr>
            <w:r>
              <w:rPr>
                <w:rFonts w:ascii="Times New Roman" w:eastAsia="宋体" w:hAnsi="Times New Roman" w:cs="宋体" w:hint="eastAsia"/>
                <w:sz w:val="24"/>
                <w:lang w:bidi="ar"/>
              </w:rPr>
              <w:t>登记证号</w:t>
            </w:r>
          </w:p>
        </w:tc>
        <w:tc>
          <w:tcPr>
            <w:tcW w:w="2587" w:type="dxa"/>
          </w:tcPr>
          <w:p w:rsidR="00A32AE3" w:rsidRDefault="00E85AC9">
            <w:pPr>
              <w:spacing w:line="360" w:lineRule="auto"/>
              <w:jc w:val="center"/>
              <w:rPr>
                <w:sz w:val="24"/>
              </w:rPr>
            </w:pPr>
            <w:r>
              <w:rPr>
                <w:rFonts w:ascii="宋体" w:eastAsia="宋体" w:hAnsi="宋体" w:cs="宋体" w:hint="eastAsia"/>
                <w:sz w:val="24"/>
                <w:lang w:bidi="ar"/>
              </w:rPr>
              <w:t>浙（202</w:t>
            </w:r>
            <w:r>
              <w:rPr>
                <w:rFonts w:ascii="宋体" w:eastAsia="宋体" w:hAnsi="宋体" w:cs="宋体"/>
                <w:sz w:val="24"/>
                <w:lang w:bidi="ar"/>
              </w:rPr>
              <w:t>1</w:t>
            </w:r>
            <w:r>
              <w:rPr>
                <w:rFonts w:ascii="宋体" w:eastAsia="宋体" w:hAnsi="宋体" w:cs="宋体" w:hint="eastAsia"/>
                <w:sz w:val="24"/>
                <w:lang w:bidi="ar"/>
              </w:rPr>
              <w:t>）杭州市不动产证明第</w:t>
            </w:r>
            <w:r>
              <w:rPr>
                <w:rFonts w:ascii="宋体" w:eastAsia="宋体" w:hAnsi="宋体" w:cs="宋体"/>
                <w:sz w:val="24"/>
                <w:lang w:bidi="ar"/>
              </w:rPr>
              <w:t>0115862</w:t>
            </w:r>
            <w:r>
              <w:rPr>
                <w:rFonts w:ascii="宋体" w:eastAsia="宋体" w:hAnsi="宋体" w:cs="宋体" w:hint="eastAsia"/>
                <w:sz w:val="24"/>
                <w:lang w:bidi="ar"/>
              </w:rPr>
              <w:t>号</w:t>
            </w:r>
          </w:p>
        </w:tc>
      </w:tr>
      <w:tr w:rsidR="00A32AE3">
        <w:trPr>
          <w:trHeight w:val="460"/>
          <w:jc w:val="center"/>
        </w:trPr>
        <w:tc>
          <w:tcPr>
            <w:tcW w:w="1238" w:type="dxa"/>
            <w:vMerge/>
          </w:tcPr>
          <w:p w:rsidR="00A32AE3" w:rsidRDefault="00A32AE3">
            <w:pPr>
              <w:spacing w:line="360" w:lineRule="auto"/>
              <w:jc w:val="center"/>
              <w:rPr>
                <w:rFonts w:ascii="Times New Roman" w:eastAsia="宋体" w:hAnsi="Times New Roman" w:cs="Times New Roman"/>
                <w:sz w:val="24"/>
              </w:rPr>
            </w:pPr>
          </w:p>
        </w:tc>
        <w:tc>
          <w:tcPr>
            <w:tcW w:w="1444" w:type="dxa"/>
          </w:tcPr>
          <w:p w:rsidR="00A32AE3" w:rsidRDefault="00E85AC9">
            <w:pPr>
              <w:spacing w:line="360" w:lineRule="auto"/>
              <w:jc w:val="center"/>
              <w:rPr>
                <w:sz w:val="24"/>
              </w:rPr>
            </w:pPr>
            <w:r>
              <w:rPr>
                <w:rFonts w:ascii="Times New Roman" w:eastAsia="宋体" w:hAnsi="Times New Roman" w:cs="宋体" w:hint="eastAsia"/>
                <w:sz w:val="24"/>
                <w:lang w:bidi="ar"/>
              </w:rPr>
              <w:t>抵押方式</w:t>
            </w:r>
          </w:p>
        </w:tc>
        <w:tc>
          <w:tcPr>
            <w:tcW w:w="2516" w:type="dxa"/>
          </w:tcPr>
          <w:p w:rsidR="00A32AE3" w:rsidRDefault="00E85AC9">
            <w:pPr>
              <w:spacing w:line="360" w:lineRule="auto"/>
              <w:jc w:val="center"/>
              <w:rPr>
                <w:sz w:val="24"/>
              </w:rPr>
            </w:pPr>
            <w:r>
              <w:rPr>
                <w:rFonts w:hint="eastAsia"/>
                <w:sz w:val="24"/>
              </w:rPr>
              <w:t>一般抵押</w:t>
            </w:r>
          </w:p>
        </w:tc>
        <w:tc>
          <w:tcPr>
            <w:tcW w:w="2126" w:type="dxa"/>
          </w:tcPr>
          <w:p w:rsidR="00A32AE3" w:rsidRDefault="00E85AC9">
            <w:pPr>
              <w:spacing w:line="360" w:lineRule="auto"/>
              <w:jc w:val="center"/>
              <w:rPr>
                <w:sz w:val="24"/>
              </w:rPr>
            </w:pPr>
            <w:r>
              <w:rPr>
                <w:rFonts w:ascii="Times New Roman" w:eastAsia="宋体" w:hAnsi="Times New Roman" w:cs="宋体" w:hint="eastAsia"/>
                <w:sz w:val="24"/>
                <w:lang w:bidi="ar"/>
              </w:rPr>
              <w:t>债权数额</w:t>
            </w:r>
          </w:p>
        </w:tc>
        <w:tc>
          <w:tcPr>
            <w:tcW w:w="2587" w:type="dxa"/>
          </w:tcPr>
          <w:p w:rsidR="00A32AE3" w:rsidRDefault="00E85AC9">
            <w:pPr>
              <w:spacing w:line="360" w:lineRule="auto"/>
              <w:jc w:val="center"/>
              <w:rPr>
                <w:sz w:val="24"/>
              </w:rPr>
            </w:pPr>
            <w:r>
              <w:rPr>
                <w:rFonts w:ascii="Times New Roman" w:eastAsia="宋体" w:hAnsi="Times New Roman" w:cs="Times New Roman"/>
                <w:sz w:val="24"/>
                <w:lang w:bidi="ar"/>
              </w:rPr>
              <w:t>50</w:t>
            </w:r>
            <w:r>
              <w:rPr>
                <w:rFonts w:ascii="Times New Roman" w:eastAsia="宋体" w:hAnsi="Times New Roman" w:cs="宋体" w:hint="eastAsia"/>
                <w:sz w:val="24"/>
                <w:lang w:bidi="ar"/>
              </w:rPr>
              <w:t>万元</w:t>
            </w:r>
          </w:p>
        </w:tc>
      </w:tr>
      <w:tr w:rsidR="00A32AE3">
        <w:trPr>
          <w:trHeight w:val="460"/>
          <w:jc w:val="center"/>
        </w:trPr>
        <w:tc>
          <w:tcPr>
            <w:tcW w:w="1238" w:type="dxa"/>
            <w:vMerge/>
          </w:tcPr>
          <w:p w:rsidR="00A32AE3" w:rsidRDefault="00A32AE3">
            <w:pPr>
              <w:spacing w:line="360" w:lineRule="auto"/>
              <w:jc w:val="center"/>
              <w:rPr>
                <w:rFonts w:ascii="Times New Roman" w:eastAsia="宋体" w:hAnsi="Times New Roman" w:cs="Times New Roman"/>
                <w:sz w:val="24"/>
              </w:rPr>
            </w:pPr>
          </w:p>
        </w:tc>
        <w:tc>
          <w:tcPr>
            <w:tcW w:w="1444" w:type="dxa"/>
          </w:tcPr>
          <w:p w:rsidR="00A32AE3" w:rsidRDefault="00E85AC9">
            <w:pPr>
              <w:spacing w:line="720" w:lineRule="auto"/>
              <w:jc w:val="center"/>
              <w:rPr>
                <w:sz w:val="24"/>
              </w:rPr>
            </w:pPr>
            <w:r>
              <w:rPr>
                <w:rFonts w:ascii="Times New Roman" w:eastAsia="宋体" w:hAnsi="Times New Roman" w:cs="宋体" w:hint="eastAsia"/>
                <w:sz w:val="24"/>
                <w:lang w:bidi="ar"/>
              </w:rPr>
              <w:t>登记日期</w:t>
            </w:r>
          </w:p>
        </w:tc>
        <w:tc>
          <w:tcPr>
            <w:tcW w:w="2516" w:type="dxa"/>
          </w:tcPr>
          <w:p w:rsidR="00A32AE3" w:rsidRDefault="00E85AC9">
            <w:pPr>
              <w:spacing w:line="720" w:lineRule="auto"/>
              <w:jc w:val="center"/>
              <w:rPr>
                <w:sz w:val="24"/>
              </w:rPr>
            </w:pPr>
            <w:r>
              <w:rPr>
                <w:rFonts w:ascii="宋体" w:eastAsia="宋体" w:hAnsi="宋体" w:cs="宋体" w:hint="eastAsia"/>
                <w:sz w:val="24"/>
                <w:lang w:bidi="ar"/>
              </w:rPr>
              <w:t>202</w:t>
            </w:r>
            <w:r>
              <w:rPr>
                <w:rFonts w:ascii="宋体" w:eastAsia="宋体" w:hAnsi="宋体" w:cs="宋体"/>
                <w:sz w:val="24"/>
                <w:lang w:bidi="ar"/>
              </w:rPr>
              <w:t>1</w:t>
            </w:r>
            <w:r>
              <w:rPr>
                <w:rFonts w:ascii="宋体" w:eastAsia="宋体" w:hAnsi="宋体" w:cs="宋体" w:hint="eastAsia"/>
                <w:sz w:val="24"/>
                <w:lang w:bidi="ar"/>
              </w:rPr>
              <w:t>年07月</w:t>
            </w:r>
            <w:r>
              <w:rPr>
                <w:rFonts w:ascii="宋体" w:eastAsia="宋体" w:hAnsi="宋体" w:cs="宋体"/>
                <w:sz w:val="24"/>
                <w:lang w:bidi="ar"/>
              </w:rPr>
              <w:t>14</w:t>
            </w:r>
            <w:r>
              <w:rPr>
                <w:rFonts w:ascii="宋体" w:eastAsia="宋体" w:hAnsi="宋体" w:cs="宋体" w:hint="eastAsia"/>
                <w:sz w:val="24"/>
                <w:lang w:bidi="ar"/>
              </w:rPr>
              <w:t>日</w:t>
            </w:r>
          </w:p>
        </w:tc>
        <w:tc>
          <w:tcPr>
            <w:tcW w:w="2126" w:type="dxa"/>
          </w:tcPr>
          <w:p w:rsidR="00A32AE3" w:rsidRDefault="00E85AC9">
            <w:pPr>
              <w:spacing w:line="360" w:lineRule="auto"/>
              <w:jc w:val="center"/>
              <w:rPr>
                <w:sz w:val="24"/>
              </w:rPr>
            </w:pPr>
            <w:r>
              <w:rPr>
                <w:rFonts w:ascii="Times New Roman" w:eastAsia="宋体" w:hAnsi="Times New Roman" w:cs="宋体" w:hint="eastAsia"/>
                <w:sz w:val="24"/>
                <w:lang w:bidi="ar"/>
              </w:rPr>
              <w:t>债权履行期限（债权确定期限）</w:t>
            </w:r>
          </w:p>
        </w:tc>
        <w:tc>
          <w:tcPr>
            <w:tcW w:w="2587" w:type="dxa"/>
          </w:tcPr>
          <w:p w:rsidR="00A32AE3" w:rsidRDefault="00E85AC9">
            <w:pPr>
              <w:spacing w:line="360" w:lineRule="auto"/>
              <w:jc w:val="center"/>
              <w:rPr>
                <w:sz w:val="24"/>
              </w:rPr>
            </w:pPr>
            <w:r>
              <w:rPr>
                <w:rFonts w:ascii="宋体" w:eastAsia="宋体" w:hAnsi="宋体" w:cs="宋体" w:hint="eastAsia"/>
                <w:sz w:val="24"/>
                <w:lang w:bidi="ar"/>
              </w:rPr>
              <w:t>202</w:t>
            </w:r>
            <w:r>
              <w:rPr>
                <w:rFonts w:ascii="宋体" w:eastAsia="宋体" w:hAnsi="宋体" w:cs="宋体"/>
                <w:sz w:val="24"/>
                <w:lang w:bidi="ar"/>
              </w:rPr>
              <w:t>1</w:t>
            </w:r>
            <w:r>
              <w:rPr>
                <w:rFonts w:ascii="宋体" w:eastAsia="宋体" w:hAnsi="宋体" w:cs="宋体" w:hint="eastAsia"/>
                <w:sz w:val="24"/>
                <w:lang w:bidi="ar"/>
              </w:rPr>
              <w:t>年07月</w:t>
            </w:r>
            <w:r>
              <w:rPr>
                <w:rFonts w:ascii="宋体" w:eastAsia="宋体" w:hAnsi="宋体" w:cs="宋体"/>
                <w:sz w:val="24"/>
                <w:lang w:bidi="ar"/>
              </w:rPr>
              <w:t>14</w:t>
            </w:r>
            <w:r>
              <w:rPr>
                <w:rFonts w:ascii="宋体" w:eastAsia="宋体" w:hAnsi="宋体" w:cs="宋体" w:hint="eastAsia"/>
                <w:sz w:val="24"/>
                <w:lang w:bidi="ar"/>
              </w:rPr>
              <w:t>日起202</w:t>
            </w:r>
            <w:r>
              <w:rPr>
                <w:rFonts w:ascii="宋体" w:eastAsia="宋体" w:hAnsi="宋体" w:cs="宋体"/>
                <w:sz w:val="24"/>
                <w:lang w:bidi="ar"/>
              </w:rPr>
              <w:t>2</w:t>
            </w:r>
            <w:r>
              <w:rPr>
                <w:rFonts w:ascii="宋体" w:eastAsia="宋体" w:hAnsi="宋体" w:cs="宋体" w:hint="eastAsia"/>
                <w:sz w:val="24"/>
                <w:lang w:bidi="ar"/>
              </w:rPr>
              <w:t>年0</w:t>
            </w:r>
            <w:r>
              <w:rPr>
                <w:rFonts w:ascii="宋体" w:eastAsia="宋体" w:hAnsi="宋体" w:cs="宋体"/>
                <w:sz w:val="24"/>
                <w:lang w:bidi="ar"/>
              </w:rPr>
              <w:t>1</w:t>
            </w:r>
            <w:r>
              <w:rPr>
                <w:rFonts w:ascii="宋体" w:eastAsia="宋体" w:hAnsi="宋体" w:cs="宋体" w:hint="eastAsia"/>
                <w:sz w:val="24"/>
                <w:lang w:bidi="ar"/>
              </w:rPr>
              <w:t>月1</w:t>
            </w:r>
            <w:r>
              <w:rPr>
                <w:rFonts w:ascii="宋体" w:eastAsia="宋体" w:hAnsi="宋体" w:cs="宋体"/>
                <w:sz w:val="24"/>
                <w:lang w:bidi="ar"/>
              </w:rPr>
              <w:t>3</w:t>
            </w:r>
            <w:r>
              <w:rPr>
                <w:rFonts w:ascii="宋体" w:eastAsia="宋体" w:hAnsi="宋体" w:cs="宋体" w:hint="eastAsia"/>
                <w:sz w:val="24"/>
                <w:lang w:bidi="ar"/>
              </w:rPr>
              <w:t>日止</w:t>
            </w:r>
          </w:p>
        </w:tc>
      </w:tr>
      <w:tr w:rsidR="00A32AE3">
        <w:trPr>
          <w:trHeight w:val="460"/>
          <w:jc w:val="center"/>
        </w:trPr>
        <w:tc>
          <w:tcPr>
            <w:tcW w:w="1238" w:type="dxa"/>
            <w:vMerge/>
          </w:tcPr>
          <w:p w:rsidR="00A32AE3" w:rsidRDefault="00A32AE3">
            <w:pPr>
              <w:spacing w:line="360" w:lineRule="auto"/>
              <w:jc w:val="center"/>
              <w:rPr>
                <w:rFonts w:ascii="Times New Roman" w:eastAsia="宋体" w:hAnsi="Times New Roman" w:cs="Times New Roman"/>
                <w:sz w:val="24"/>
              </w:rPr>
            </w:pPr>
          </w:p>
        </w:tc>
        <w:tc>
          <w:tcPr>
            <w:tcW w:w="1444"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附记</w:t>
            </w:r>
          </w:p>
        </w:tc>
        <w:tc>
          <w:tcPr>
            <w:tcW w:w="7229" w:type="dxa"/>
            <w:gridSpan w:val="3"/>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存在禁止或限制转让抵押不动产的约定担保范围依据抵押合同约定</w:t>
            </w:r>
          </w:p>
        </w:tc>
      </w:tr>
      <w:tr w:rsidR="00A32AE3">
        <w:trPr>
          <w:trHeight w:val="460"/>
          <w:jc w:val="center"/>
        </w:trPr>
        <w:tc>
          <w:tcPr>
            <w:tcW w:w="1238"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查封状况</w:t>
            </w:r>
          </w:p>
        </w:tc>
        <w:tc>
          <w:tcPr>
            <w:tcW w:w="8673" w:type="dxa"/>
            <w:gridSpan w:val="4"/>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hint="eastAsia"/>
                <w:sz w:val="24"/>
              </w:rPr>
              <w:t>查封状况较多，详情见附件：杭州市不动产登记信息查询记录</w:t>
            </w:r>
          </w:p>
        </w:tc>
      </w:tr>
      <w:tr w:rsidR="00A32AE3">
        <w:trPr>
          <w:trHeight w:val="480"/>
          <w:jc w:val="center"/>
        </w:trPr>
        <w:tc>
          <w:tcPr>
            <w:tcW w:w="1238" w:type="dxa"/>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异议状况</w:t>
            </w:r>
          </w:p>
        </w:tc>
        <w:tc>
          <w:tcPr>
            <w:tcW w:w="8673" w:type="dxa"/>
            <w:gridSpan w:val="4"/>
          </w:tcPr>
          <w:p w:rsidR="00A32AE3" w:rsidRDefault="00E85AC9">
            <w:pPr>
              <w:spacing w:line="360" w:lineRule="auto"/>
              <w:jc w:val="center"/>
              <w:rPr>
                <w:rFonts w:ascii="Times New Roman" w:eastAsia="宋体" w:hAnsi="Times New Roman" w:cs="Times New Roman"/>
                <w:sz w:val="24"/>
              </w:rPr>
            </w:pPr>
            <w:r>
              <w:rPr>
                <w:rFonts w:ascii="Times New Roman" w:eastAsia="宋体" w:hAnsi="Times New Roman" w:cs="Times New Roman"/>
                <w:sz w:val="24"/>
              </w:rPr>
              <w:t>无</w:t>
            </w:r>
          </w:p>
        </w:tc>
      </w:tr>
    </w:tbl>
    <w:bookmarkEnd w:id="23"/>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2、房地产实物状况</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（1）土地实物状况描述分析</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评估对象位于杭州市滨江区钱塘春晓花园，土地使用权面积</w:t>
      </w:r>
      <w:r>
        <w:rPr>
          <w:rFonts w:ascii="宋体" w:eastAsia="宋体" w:hAnsi="宋体" w:cs="宋体"/>
          <w:sz w:val="24"/>
        </w:rPr>
        <w:t>11.2</w:t>
      </w:r>
      <w:r>
        <w:rPr>
          <w:rFonts w:ascii="宋体" w:eastAsia="宋体" w:hAnsi="宋体" w:cs="宋体" w:hint="eastAsia"/>
          <w:sz w:val="24"/>
        </w:rPr>
        <w:t>平方米。土地四至：东至江陵路，南至月明路，西至春晓路，北至江南大道。土地形状较为规则，地质状况良好，地基承载性较好，土地平整，地势平坦。基础设施完备程度为五通一平，水、电、供排水接入市政管网。</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（2）建筑物实物状况描述分析</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评估对象位于</w:t>
      </w:r>
      <w:r>
        <w:rPr>
          <w:rFonts w:ascii="Times New Roman" w:eastAsia="宋体" w:hAnsi="Times New Roman" w:cs="Times New Roman" w:hint="eastAsia"/>
          <w:sz w:val="24"/>
        </w:rPr>
        <w:t>杭州市滨江区钱塘春晓花园</w:t>
      </w:r>
      <w:r>
        <w:rPr>
          <w:rFonts w:ascii="Times New Roman" w:eastAsia="宋体" w:hAnsi="Times New Roman" w:cs="Times New Roman" w:hint="eastAsia"/>
          <w:sz w:val="24"/>
        </w:rPr>
        <w:t>1</w:t>
      </w:r>
      <w:r>
        <w:rPr>
          <w:rFonts w:ascii="Times New Roman" w:eastAsia="宋体" w:hAnsi="Times New Roman" w:cs="Times New Roman"/>
          <w:sz w:val="24"/>
        </w:rPr>
        <w:t>2</w:t>
      </w:r>
      <w:r>
        <w:rPr>
          <w:rFonts w:ascii="Times New Roman" w:eastAsia="宋体" w:hAnsi="Times New Roman" w:cs="Times New Roman" w:hint="eastAsia"/>
          <w:sz w:val="24"/>
        </w:rPr>
        <w:t>幢</w:t>
      </w:r>
      <w:r>
        <w:rPr>
          <w:rFonts w:ascii="Times New Roman" w:eastAsia="宋体" w:hAnsi="Times New Roman" w:cs="Times New Roman" w:hint="eastAsia"/>
          <w:sz w:val="24"/>
        </w:rPr>
        <w:t>2</w:t>
      </w:r>
      <w:r>
        <w:rPr>
          <w:rFonts w:ascii="Times New Roman" w:eastAsia="宋体" w:hAnsi="Times New Roman" w:cs="Times New Roman" w:hint="eastAsia"/>
          <w:sz w:val="24"/>
        </w:rPr>
        <w:t>单元</w:t>
      </w:r>
      <w:r>
        <w:rPr>
          <w:rFonts w:ascii="Times New Roman" w:eastAsia="宋体" w:hAnsi="Times New Roman" w:cs="Times New Roman" w:hint="eastAsia"/>
          <w:sz w:val="24"/>
        </w:rPr>
        <w:t>1</w:t>
      </w:r>
      <w:r>
        <w:rPr>
          <w:rFonts w:ascii="Times New Roman" w:eastAsia="宋体" w:hAnsi="Times New Roman" w:cs="Times New Roman"/>
          <w:sz w:val="24"/>
        </w:rPr>
        <w:t>102</w:t>
      </w:r>
      <w:r>
        <w:rPr>
          <w:rFonts w:ascii="Times New Roman" w:eastAsia="宋体" w:hAnsi="Times New Roman" w:cs="Times New Roman" w:hint="eastAsia"/>
          <w:sz w:val="24"/>
        </w:rPr>
        <w:t>室</w:t>
      </w:r>
      <w:r>
        <w:rPr>
          <w:rFonts w:ascii="宋体" w:eastAsia="宋体" w:hAnsi="宋体" w:cs="宋体" w:hint="eastAsia"/>
          <w:sz w:val="24"/>
        </w:rPr>
        <w:t>，根据评估对象产权信息，建筑面积为</w:t>
      </w:r>
      <w:r>
        <w:rPr>
          <w:rFonts w:ascii="宋体" w:eastAsia="宋体" w:hAnsi="宋体" w:cs="宋体"/>
          <w:sz w:val="24"/>
        </w:rPr>
        <w:t>138.75</w:t>
      </w:r>
      <w:r>
        <w:rPr>
          <w:rFonts w:ascii="宋体" w:eastAsia="宋体" w:hAnsi="宋体" w:cs="宋体" w:hint="eastAsia"/>
          <w:sz w:val="24"/>
        </w:rPr>
        <w:t>平方米，位于</w:t>
      </w:r>
      <w:r>
        <w:rPr>
          <w:rFonts w:ascii="宋体" w:eastAsia="宋体" w:hAnsi="宋体" w:cs="宋体"/>
          <w:sz w:val="24"/>
        </w:rPr>
        <w:t>11</w:t>
      </w:r>
      <w:r>
        <w:rPr>
          <w:rFonts w:ascii="宋体" w:eastAsia="宋体" w:hAnsi="宋体" w:cs="宋体" w:hint="eastAsia"/>
          <w:sz w:val="24"/>
        </w:rPr>
        <w:t>层。评估范围内房地产为钢筋混凝土结构，成新一般，装修情况为基本装修，维护情况一般</w:t>
      </w:r>
      <w:bookmarkStart w:id="24" w:name="_Hlk94096246"/>
      <w:r>
        <w:rPr>
          <w:rFonts w:ascii="宋体" w:eastAsia="宋体" w:hAnsi="宋体" w:cs="宋体" w:hint="eastAsia"/>
          <w:sz w:val="24"/>
        </w:rPr>
        <w:t>，用途</w:t>
      </w:r>
      <w:bookmarkEnd w:id="24"/>
      <w:r>
        <w:rPr>
          <w:rFonts w:ascii="宋体" w:eastAsia="宋体" w:hAnsi="宋体" w:cs="宋体" w:hint="eastAsia"/>
          <w:sz w:val="24"/>
        </w:rPr>
        <w:t>为住宅，截至评估基准日，房屋为空置状态。建筑物建筑质量较好，保养和使用情况为完好，</w:t>
      </w:r>
      <w:r>
        <w:rPr>
          <w:rFonts w:ascii="宋体" w:eastAsia="宋体" w:hAnsi="宋体" w:cs="宋体" w:hint="eastAsia"/>
          <w:sz w:val="24"/>
        </w:rPr>
        <w:lastRenderedPageBreak/>
        <w:t>房屋完损等级为完好房。</w:t>
      </w:r>
    </w:p>
    <w:p w:rsidR="00A32AE3" w:rsidRDefault="00E85AC9">
      <w:pPr>
        <w:spacing w:line="360" w:lineRule="auto"/>
        <w:ind w:firstLineChars="200" w:firstLine="480"/>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 xml:space="preserve">、房地产区位状况  </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评估对象位于</w:t>
      </w:r>
      <w:r>
        <w:rPr>
          <w:rFonts w:ascii="Times New Roman" w:eastAsia="宋体" w:hAnsi="Times New Roman" w:cs="Times New Roman" w:hint="eastAsia"/>
          <w:sz w:val="24"/>
        </w:rPr>
        <w:t>杭州市滨江区钱塘春晓花园</w:t>
      </w:r>
      <w:r>
        <w:rPr>
          <w:rFonts w:ascii="Times New Roman" w:eastAsia="宋体" w:hAnsi="Times New Roman" w:cs="Times New Roman" w:hint="eastAsia"/>
          <w:sz w:val="24"/>
        </w:rPr>
        <w:t>1</w:t>
      </w:r>
      <w:r>
        <w:rPr>
          <w:rFonts w:ascii="Times New Roman" w:eastAsia="宋体" w:hAnsi="Times New Roman" w:cs="Times New Roman"/>
          <w:sz w:val="24"/>
        </w:rPr>
        <w:t>2</w:t>
      </w:r>
      <w:r>
        <w:rPr>
          <w:rFonts w:ascii="Times New Roman" w:eastAsia="宋体" w:hAnsi="Times New Roman" w:cs="Times New Roman" w:hint="eastAsia"/>
          <w:sz w:val="24"/>
        </w:rPr>
        <w:t>幢</w:t>
      </w:r>
      <w:r>
        <w:rPr>
          <w:rFonts w:ascii="Times New Roman" w:eastAsia="宋体" w:hAnsi="Times New Roman" w:cs="Times New Roman" w:hint="eastAsia"/>
          <w:sz w:val="24"/>
        </w:rPr>
        <w:t>2</w:t>
      </w:r>
      <w:r>
        <w:rPr>
          <w:rFonts w:ascii="Times New Roman" w:eastAsia="宋体" w:hAnsi="Times New Roman" w:cs="Times New Roman" w:hint="eastAsia"/>
          <w:sz w:val="24"/>
        </w:rPr>
        <w:t>单元</w:t>
      </w:r>
      <w:r>
        <w:rPr>
          <w:rFonts w:ascii="Times New Roman" w:eastAsia="宋体" w:hAnsi="Times New Roman" w:cs="Times New Roman" w:hint="eastAsia"/>
          <w:sz w:val="24"/>
        </w:rPr>
        <w:t>1</w:t>
      </w:r>
      <w:r>
        <w:rPr>
          <w:rFonts w:ascii="Times New Roman" w:eastAsia="宋体" w:hAnsi="Times New Roman" w:cs="Times New Roman"/>
          <w:sz w:val="24"/>
        </w:rPr>
        <w:t>102</w:t>
      </w:r>
      <w:r>
        <w:rPr>
          <w:rFonts w:ascii="Times New Roman" w:eastAsia="宋体" w:hAnsi="Times New Roman" w:cs="Times New Roman" w:hint="eastAsia"/>
          <w:sz w:val="24"/>
        </w:rPr>
        <w:t>室</w:t>
      </w:r>
      <w:r>
        <w:rPr>
          <w:rFonts w:ascii="宋体" w:eastAsia="宋体" w:hAnsi="宋体" w:cs="宋体" w:hint="eastAsia"/>
          <w:sz w:val="24"/>
        </w:rPr>
        <w:t>，土地使用权面积</w:t>
      </w:r>
      <w:r>
        <w:rPr>
          <w:rFonts w:ascii="宋体" w:eastAsia="宋体" w:hAnsi="宋体" w:cs="宋体"/>
          <w:sz w:val="24"/>
        </w:rPr>
        <w:t>11.2</w:t>
      </w:r>
      <w:r>
        <w:rPr>
          <w:rFonts w:ascii="宋体" w:eastAsia="宋体" w:hAnsi="宋体" w:cs="宋体" w:hint="eastAsia"/>
          <w:sz w:val="24"/>
        </w:rPr>
        <w:t>平方米。土地四至：东至江陵路，南至月明路，西至春晓路，北至江南大道。交通较便捷，有多路公交车，有地铁1号线、2号线，区域联内联外交通便捷，可通达各交通要道；周边银行有台州银行、中国农商银行等，生活配套设施较完善。</w:t>
      </w:r>
    </w:p>
    <w:p w:rsidR="00A32AE3" w:rsidRDefault="00E85AC9">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上述评估对象和评估范围与委托评估时确定的评估对象和评估范围一致。</w:t>
      </w:r>
    </w:p>
    <w:p w:rsidR="00A32AE3" w:rsidRDefault="00E85AC9">
      <w:pPr>
        <w:tabs>
          <w:tab w:val="left" w:pos="540"/>
        </w:tabs>
        <w:spacing w:line="360" w:lineRule="auto"/>
        <w:outlineLvl w:val="0"/>
        <w:rPr>
          <w:rFonts w:ascii="宋体" w:eastAsia="宋体" w:hAnsi="宋体" w:cs="宋体"/>
          <w:b/>
          <w:sz w:val="24"/>
        </w:rPr>
      </w:pPr>
      <w:bookmarkStart w:id="25" w:name="_Toc37185841"/>
      <w:bookmarkStart w:id="26" w:name="_Toc275872922"/>
      <w:bookmarkStart w:id="27" w:name="_Toc455510049_WPSOffice_Level1"/>
      <w:bookmarkStart w:id="28" w:name="_Toc117164028"/>
      <w:r>
        <w:rPr>
          <w:rFonts w:ascii="宋体" w:eastAsia="宋体" w:hAnsi="宋体" w:cs="宋体" w:hint="eastAsia"/>
          <w:b/>
          <w:sz w:val="24"/>
          <w:lang w:eastAsia="zh-Hans"/>
        </w:rPr>
        <w:t>四、</w:t>
      </w:r>
      <w:r>
        <w:rPr>
          <w:rFonts w:ascii="宋体" w:eastAsia="宋体" w:hAnsi="宋体" w:cs="宋体" w:hint="eastAsia"/>
          <w:b/>
          <w:sz w:val="24"/>
        </w:rPr>
        <w:t>价值类型</w:t>
      </w:r>
      <w:bookmarkEnd w:id="25"/>
      <w:bookmarkEnd w:id="26"/>
      <w:bookmarkEnd w:id="27"/>
      <w:bookmarkEnd w:id="28"/>
    </w:p>
    <w:p w:rsidR="00A32AE3" w:rsidRDefault="00E85AC9">
      <w:pPr>
        <w:spacing w:line="360" w:lineRule="auto"/>
        <w:ind w:firstLineChars="200" w:firstLine="480"/>
        <w:rPr>
          <w:rFonts w:ascii="宋体" w:eastAsia="宋体" w:hAnsi="宋体" w:cs="宋体"/>
          <w:sz w:val="24"/>
        </w:rPr>
      </w:pPr>
      <w:bookmarkStart w:id="29" w:name="_Toc275872923"/>
      <w:r>
        <w:rPr>
          <w:rFonts w:ascii="宋体" w:eastAsia="宋体" w:hAnsi="宋体" w:cs="宋体" w:hint="eastAsia"/>
          <w:sz w:val="24"/>
        </w:rPr>
        <w:t>资产评估价值类型包括市场价值和市场价值以外的价值（投资价值、在用价值、清算价值、残余价值等）两种类型。经评估人员与委托人充分沟通后，根据本次评估目的、市场条件及评估对象自身条件等因素，最终选定市场价值作为本评估报告的评估结论的价值类型。</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市场价值是指自愿买方和自愿卖方，在各自理性行事且未受任何强迫的情况下，评估对象在评估基准日进行正常公平交易的价值估计数额。</w:t>
      </w:r>
    </w:p>
    <w:p w:rsidR="00A32AE3" w:rsidRDefault="00E85AC9">
      <w:pPr>
        <w:tabs>
          <w:tab w:val="left" w:pos="540"/>
        </w:tabs>
        <w:spacing w:line="360" w:lineRule="auto"/>
        <w:outlineLvl w:val="0"/>
        <w:rPr>
          <w:rFonts w:ascii="宋体" w:eastAsia="宋体" w:hAnsi="宋体" w:cs="宋体"/>
          <w:b/>
          <w:sz w:val="24"/>
        </w:rPr>
      </w:pPr>
      <w:bookmarkStart w:id="30" w:name="_Toc37185842"/>
      <w:bookmarkStart w:id="31" w:name="_Toc2125675635_WPSOffice_Level1"/>
      <w:bookmarkStart w:id="32" w:name="_Toc117164029"/>
      <w:r>
        <w:rPr>
          <w:rFonts w:ascii="宋体" w:eastAsia="宋体" w:hAnsi="宋体" w:cs="宋体" w:hint="eastAsia"/>
          <w:b/>
          <w:sz w:val="24"/>
          <w:lang w:eastAsia="zh-Hans"/>
        </w:rPr>
        <w:t>五、</w:t>
      </w:r>
      <w:r>
        <w:rPr>
          <w:rFonts w:ascii="宋体" w:eastAsia="宋体" w:hAnsi="宋体" w:cs="宋体" w:hint="eastAsia"/>
          <w:b/>
          <w:sz w:val="24"/>
        </w:rPr>
        <w:t>评估基准日</w:t>
      </w:r>
      <w:bookmarkEnd w:id="29"/>
      <w:bookmarkEnd w:id="30"/>
      <w:bookmarkEnd w:id="31"/>
      <w:bookmarkEnd w:id="32"/>
    </w:p>
    <w:p w:rsidR="00A32AE3" w:rsidRDefault="00E85AC9">
      <w:pPr>
        <w:spacing w:line="360" w:lineRule="auto"/>
        <w:ind w:leftChars="-2" w:left="-4" w:firstLineChars="200" w:firstLine="480"/>
        <w:rPr>
          <w:rFonts w:ascii="宋体" w:eastAsia="宋体" w:hAnsi="宋体" w:cs="宋体"/>
          <w:sz w:val="24"/>
        </w:rPr>
      </w:pPr>
      <w:r>
        <w:rPr>
          <w:rFonts w:ascii="宋体" w:eastAsia="宋体" w:hAnsi="宋体" w:cs="宋体" w:hint="eastAsia"/>
          <w:sz w:val="24"/>
        </w:rPr>
        <w:t>本次资产评估的基准日为2022年10月17日。</w:t>
      </w:r>
    </w:p>
    <w:p w:rsidR="00A32AE3" w:rsidRDefault="00E85AC9">
      <w:pPr>
        <w:spacing w:line="360" w:lineRule="auto"/>
        <w:ind w:leftChars="-2" w:left="-4" w:firstLineChars="200" w:firstLine="480"/>
        <w:rPr>
          <w:rFonts w:ascii="宋体" w:eastAsia="宋体" w:hAnsi="宋体" w:cs="宋体"/>
          <w:sz w:val="24"/>
        </w:rPr>
      </w:pPr>
      <w:r>
        <w:rPr>
          <w:rFonts w:ascii="宋体" w:eastAsia="宋体" w:hAnsi="宋体" w:cs="宋体" w:hint="eastAsia"/>
          <w:sz w:val="24"/>
        </w:rPr>
        <w:t>选取上述日期为评估基准日的理由是:</w:t>
      </w:r>
    </w:p>
    <w:p w:rsidR="00A32AE3" w:rsidRDefault="00E85AC9">
      <w:pPr>
        <w:spacing w:line="360" w:lineRule="auto"/>
        <w:ind w:leftChars="-2" w:left="-4" w:firstLineChars="200" w:firstLine="480"/>
        <w:rPr>
          <w:rFonts w:ascii="宋体" w:eastAsia="宋体" w:hAnsi="宋体" w:cs="宋体"/>
          <w:sz w:val="24"/>
        </w:rPr>
      </w:pPr>
      <w:r>
        <w:rPr>
          <w:rFonts w:ascii="宋体" w:eastAsia="宋体" w:hAnsi="宋体" w:cs="宋体" w:hint="eastAsia"/>
          <w:sz w:val="24"/>
        </w:rPr>
        <w:t>根据评估目的由委托人确定评估基准日。主要考虑使评估基准日尽可能与评估目的实现日接近，使评估结论较合理地为评估目的服务。</w:t>
      </w:r>
    </w:p>
    <w:p w:rsidR="00A32AE3" w:rsidRDefault="00E85AC9">
      <w:pPr>
        <w:tabs>
          <w:tab w:val="left" w:pos="540"/>
        </w:tabs>
        <w:spacing w:line="360" w:lineRule="auto"/>
        <w:outlineLvl w:val="0"/>
        <w:rPr>
          <w:rFonts w:ascii="宋体" w:eastAsia="宋体" w:hAnsi="宋体" w:cs="宋体"/>
          <w:b/>
          <w:sz w:val="24"/>
        </w:rPr>
      </w:pPr>
      <w:bookmarkStart w:id="33" w:name="_Toc117164030"/>
      <w:bookmarkStart w:id="34" w:name="_Toc37185843"/>
      <w:bookmarkStart w:id="35" w:name="_Toc692445953_WPSOffice_Level1"/>
      <w:r>
        <w:rPr>
          <w:rFonts w:ascii="宋体" w:eastAsia="宋体" w:hAnsi="宋体" w:cs="宋体" w:hint="eastAsia"/>
          <w:b/>
          <w:sz w:val="24"/>
          <w:lang w:eastAsia="zh-Hans"/>
        </w:rPr>
        <w:t>六、</w:t>
      </w:r>
      <w:r>
        <w:rPr>
          <w:rFonts w:ascii="宋体" w:eastAsia="宋体" w:hAnsi="宋体" w:cs="宋体" w:hint="eastAsia"/>
          <w:b/>
          <w:sz w:val="24"/>
        </w:rPr>
        <w:t>评估假设</w:t>
      </w:r>
      <w:bookmarkEnd w:id="33"/>
      <w:bookmarkEnd w:id="34"/>
      <w:bookmarkEnd w:id="35"/>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(一)基础性假设</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1、交易假设:假设评估对象处于交易过程中，评估师根据评估对象的交易条件等模拟市场进行评估，评估结果是对评估对象最可能达成交易价格的估计。</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2、公开市场假设: 假设评估对象及其所涉及资产是在公开市场上进行交易的，在该市场上，买者与卖者的地位平等，彼此都有获取足够市场信息的机会和时间，买卖双方的交易行为都是在自愿的、理智的、非强制条件下进行的。</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3、持续使用假设:假设在评估目的经济行为实现后，评估对象及其所涉及的资产将按其评估基准日的用途与使用方式在原址持续使用。</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(二)宏观经济环境假设</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1、国家现行的经济政策方针无重大变化;</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2、在评估结论有效期内银行信贷利率、汇率、税率无重大变化;</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3、评估对象所在地区的社会经济环境无重大变化。</w:t>
      </w:r>
    </w:p>
    <w:p w:rsidR="00A32AE3" w:rsidRDefault="00E85AC9">
      <w:pPr>
        <w:tabs>
          <w:tab w:val="left" w:pos="945"/>
        </w:tabs>
        <w:adjustRightInd w:val="0"/>
        <w:snapToGrid w:val="0"/>
        <w:spacing w:line="360" w:lineRule="auto"/>
        <w:ind w:firstLineChars="100" w:firstLine="240"/>
        <w:rPr>
          <w:rFonts w:ascii="宋体" w:eastAsia="宋体" w:hAnsi="宋体" w:cs="宋体"/>
          <w:sz w:val="24"/>
        </w:rPr>
      </w:pPr>
      <w:r>
        <w:rPr>
          <w:rFonts w:ascii="宋体" w:eastAsia="宋体" w:hAnsi="宋体" w:cs="宋体" w:hint="eastAsia"/>
          <w:sz w:val="24"/>
        </w:rPr>
        <w:t xml:space="preserve">  (三)评估对象于评估基准日状态假设</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1、除评估师所知范围之外，假设评估对象及其所涉及资产的购置、取得或开发过程均符合国家有关法律、法规规定。</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2、除评估师所知范围之外，假设评估对象及其所涉及资产均无附带影响其价格的权利瑕疵、负债和限制，假设评估对象及其所涉及资产之价款、税费、各种应付款项均已付清。</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3、 除评估师所知范围之外，假设评估对象及其所涉及其他的有形资产无影响其持续使用的重大故障，该资产中不存在对其价值有不利影响的有害物质，该资产所在地无危险物及其他有害环境条件对该等资产价值产生不利影响。</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(四)限制性假设</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1、本资产评估报告假设由委托人提供的法律文件等评估相关资料均真实可信。我们亦不承担与评估对象涉及资产产权有关的任何法律事宜。</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2、除非另有说明，本资产评估报告假设通过可见实体外表对评估范围内有形资 产视察的现场调查结果，与其实际经济使用寿命基本相符。本次评估未对该等资产的结构、装修等进行专项技术检测。</w:t>
      </w:r>
    </w:p>
    <w:p w:rsidR="00A32AE3" w:rsidRDefault="00E85AC9">
      <w:pPr>
        <w:tabs>
          <w:tab w:val="left" w:pos="945"/>
        </w:tabs>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本评估报告评估结论在上述假设条件下在评估基准日时成立，当上述假设条件发生较大变化时，签字资产评估师及本评估机构将不承担由于假设条件改变而推导出不同评估结论的责任。</w:t>
      </w:r>
    </w:p>
    <w:p w:rsidR="00A32AE3" w:rsidRDefault="00E85AC9">
      <w:pPr>
        <w:tabs>
          <w:tab w:val="left" w:pos="540"/>
        </w:tabs>
        <w:spacing w:line="360" w:lineRule="auto"/>
        <w:outlineLvl w:val="0"/>
        <w:rPr>
          <w:rFonts w:ascii="宋体" w:eastAsia="宋体" w:hAnsi="宋体" w:cs="宋体"/>
          <w:sz w:val="24"/>
        </w:rPr>
      </w:pPr>
      <w:bookmarkStart w:id="36" w:name="_Toc725248978_WPSOffice_Level1"/>
      <w:bookmarkStart w:id="37" w:name="_Toc117164031"/>
      <w:bookmarkStart w:id="38" w:name="_Toc37185844"/>
      <w:r>
        <w:rPr>
          <w:rFonts w:ascii="宋体" w:eastAsia="宋体" w:hAnsi="宋体" w:cs="宋体" w:hint="eastAsia"/>
          <w:b/>
          <w:sz w:val="24"/>
          <w:lang w:eastAsia="zh-Hans"/>
        </w:rPr>
        <w:t>七、</w:t>
      </w:r>
      <w:r>
        <w:rPr>
          <w:rFonts w:ascii="宋体" w:eastAsia="宋体" w:hAnsi="宋体" w:cs="宋体" w:hint="eastAsia"/>
          <w:b/>
          <w:sz w:val="24"/>
        </w:rPr>
        <w:t>评估依据</w:t>
      </w:r>
      <w:bookmarkEnd w:id="36"/>
      <w:bookmarkEnd w:id="37"/>
      <w:bookmarkEnd w:id="38"/>
    </w:p>
    <w:p w:rsidR="00A32AE3" w:rsidRDefault="00E85AC9">
      <w:pPr>
        <w:tabs>
          <w:tab w:val="left" w:pos="540"/>
        </w:tabs>
        <w:adjustRightInd w:val="0"/>
        <w:spacing w:line="360" w:lineRule="auto"/>
        <w:ind w:firstLineChars="200" w:firstLine="480"/>
        <w:outlineLvl w:val="0"/>
        <w:rPr>
          <w:rFonts w:ascii="宋体" w:eastAsia="宋体" w:hAnsi="宋体" w:cs="宋体"/>
          <w:sz w:val="24"/>
        </w:rPr>
      </w:pPr>
      <w:bookmarkStart w:id="39" w:name="_Toc117164032"/>
      <w:r>
        <w:rPr>
          <w:rFonts w:ascii="宋体" w:eastAsia="宋体" w:hAnsi="宋体" w:cs="宋体" w:hint="eastAsia"/>
          <w:sz w:val="24"/>
        </w:rPr>
        <w:t>（一）行为依据</w:t>
      </w:r>
      <w:bookmarkEnd w:id="39"/>
    </w:p>
    <w:p w:rsidR="00A32AE3" w:rsidRDefault="00E85AC9">
      <w:pPr>
        <w:adjustRightInd w:val="0"/>
        <w:spacing w:line="360" w:lineRule="auto"/>
        <w:ind w:firstLineChars="200" w:firstLine="480"/>
        <w:rPr>
          <w:rFonts w:ascii="宋体" w:eastAsia="宋体" w:hAnsi="宋体" w:cs="宋体"/>
          <w:color w:val="000000"/>
          <w:sz w:val="24"/>
        </w:rPr>
      </w:pPr>
      <w:r>
        <w:rPr>
          <w:rFonts w:ascii="宋体" w:eastAsia="宋体" w:hAnsi="宋体" w:cs="宋体" w:hint="eastAsia"/>
          <w:sz w:val="24"/>
        </w:rPr>
        <w:t>杭州市富阳区人民法院（2022）杭富法委评字第123号《司法评估委托书》。</w:t>
      </w:r>
    </w:p>
    <w:p w:rsidR="00A32AE3" w:rsidRDefault="00E85AC9">
      <w:pPr>
        <w:tabs>
          <w:tab w:val="left" w:pos="0"/>
        </w:tabs>
        <w:adjustRightInd w:val="0"/>
        <w:spacing w:line="360" w:lineRule="auto"/>
        <w:ind w:firstLineChars="200" w:firstLine="480"/>
        <w:rPr>
          <w:rFonts w:ascii="宋体" w:eastAsia="宋体" w:hAnsi="宋体" w:cs="宋体"/>
          <w:sz w:val="24"/>
        </w:rPr>
      </w:pPr>
      <w:r>
        <w:rPr>
          <w:rFonts w:ascii="宋体" w:eastAsia="宋体" w:hAnsi="宋体" w:cs="宋体" w:hint="eastAsia"/>
          <w:sz w:val="24"/>
        </w:rPr>
        <w:t>（二）法律法规依据</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1、《中华人民共和国资产评估法》（2016年7月2日全国人大常委会发布）；</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2、《中华人民共和国拍卖法》（2015年4月24日第十二届全国人大常委会第十次会议修正）；</w:t>
      </w:r>
    </w:p>
    <w:p w:rsidR="00A32AE3" w:rsidRDefault="00E85AC9">
      <w:pPr>
        <w:adjustRightInd w:val="0"/>
        <w:spacing w:line="360" w:lineRule="auto"/>
        <w:ind w:firstLineChars="200" w:firstLine="480"/>
        <w:jc w:val="left"/>
        <w:rPr>
          <w:rFonts w:ascii="宋体" w:eastAsia="宋体" w:hAnsi="宋体" w:cs="宋体"/>
        </w:rPr>
      </w:pPr>
      <w:r>
        <w:rPr>
          <w:rFonts w:ascii="宋体" w:eastAsia="宋体" w:hAnsi="宋体" w:cs="宋体" w:hint="eastAsia"/>
          <w:sz w:val="24"/>
        </w:rPr>
        <w:t>3、《中华人民共和国民法典》（2020年5月28日第十三届全国人大常委会三次会议表决通过）；</w:t>
      </w:r>
    </w:p>
    <w:p w:rsidR="00A32AE3" w:rsidRDefault="00E85AC9">
      <w:pPr>
        <w:pStyle w:val="Default"/>
        <w:ind w:firstLine="480"/>
        <w:rPr>
          <w:rFonts w:hAnsi="宋体"/>
        </w:rPr>
      </w:pPr>
      <w:r>
        <w:rPr>
          <w:rFonts w:hAnsi="宋体" w:hint="eastAsia"/>
        </w:rPr>
        <w:lastRenderedPageBreak/>
        <w:t>4、《中华人民共和国增值税暂行条例》（2017年11月19日国务院令第691号公布）；</w:t>
      </w:r>
    </w:p>
    <w:p w:rsidR="00A32AE3" w:rsidRDefault="00E85AC9">
      <w:pPr>
        <w:pStyle w:val="Default"/>
        <w:spacing w:line="360" w:lineRule="auto"/>
        <w:ind w:firstLine="482"/>
        <w:rPr>
          <w:rFonts w:hAnsi="宋体"/>
        </w:rPr>
      </w:pPr>
      <w:r>
        <w:rPr>
          <w:rFonts w:hAnsi="宋体" w:hint="eastAsia"/>
        </w:rPr>
        <w:t>5、《司法鉴定程序通则》（2016年5月1日，司法部令第132号）；</w:t>
      </w:r>
    </w:p>
    <w:p w:rsidR="00A32AE3" w:rsidRDefault="00E85AC9">
      <w:pPr>
        <w:pStyle w:val="Default"/>
        <w:spacing w:line="360" w:lineRule="auto"/>
        <w:ind w:firstLine="482"/>
        <w:rPr>
          <w:rFonts w:hAnsi="宋体"/>
        </w:rPr>
      </w:pPr>
      <w:r>
        <w:rPr>
          <w:rFonts w:hAnsi="宋体" w:hint="eastAsia"/>
        </w:rPr>
        <w:t>6、《浙江省人民法院实施〈人民法院对外委托司法鉴定管理规定〉细则》（浙高法[2010]299号）；</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7、《最高人民法院关于人民法院确定财产处置参考价若干问题的规定》（2018年6月4日最高人民法院审判委员会第1741次会议通过）；</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8、《资产评估行业财政监督管理办法》（2017年4月21日中华人民共和国财政部令第86号）；</w:t>
      </w:r>
    </w:p>
    <w:p w:rsidR="00A32AE3" w:rsidRDefault="00E85AC9">
      <w:pPr>
        <w:pStyle w:val="Default"/>
        <w:spacing w:line="360" w:lineRule="auto"/>
        <w:ind w:firstLineChars="200" w:firstLine="480"/>
        <w:rPr>
          <w:rFonts w:hAnsi="宋体"/>
          <w:color w:val="auto"/>
          <w:kern w:val="2"/>
        </w:rPr>
      </w:pPr>
      <w:r>
        <w:rPr>
          <w:rFonts w:hAnsi="宋体" w:hint="eastAsia"/>
        </w:rPr>
        <w:t>9、</w:t>
      </w:r>
      <w:r>
        <w:rPr>
          <w:rFonts w:hAnsi="宋体" w:hint="eastAsia"/>
          <w:color w:val="auto"/>
          <w:kern w:val="2"/>
        </w:rPr>
        <w:t>《中华人民共和国城市房地产管理法》（2019年8月26日第十三届全国人民代表大会常务委员会第十二次会议）；</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10、国家有关部门颁布的其他相关的法律、法规及规章。</w:t>
      </w:r>
    </w:p>
    <w:p w:rsidR="00A32AE3" w:rsidRDefault="00E85AC9">
      <w:pPr>
        <w:adjustRightIn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kern w:val="0"/>
          <w:sz w:val="24"/>
        </w:rPr>
        <w:t>（三）评估准则依据</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1、《资产评估基本准则》（财资[2017]43号）；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2、《资产评估职业道德准则》（中评协[2017]30号）；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3、《资产评估执业准则——资产评估程序》（中评协[2018]36号）；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4、《资产评估执业准则——不动产》（中评协[2017]38号）；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5、《资产评估执业准则——资产评估报告》（中评协[2018]35号）；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6、《资产评估执业准则——资产评估委托合同》（中评协[2017]33号）；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7、《资产评估执业准则——资产评估档案》（中评协[2018]37号）；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8、《资产评估对象法律权属指导意见》（中评协[2017]48号）；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9、《资产评估机构业务质量控制指南》（中评协[2017]46号）；</w:t>
      </w:r>
    </w:p>
    <w:p w:rsidR="00A32AE3" w:rsidRDefault="00E85AC9">
      <w:pPr>
        <w:tabs>
          <w:tab w:val="left" w:pos="1069"/>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10、《资产评估价值类型指导意见》（中评协[2017]47号）；</w:t>
      </w:r>
    </w:p>
    <w:p w:rsidR="00A32AE3" w:rsidRDefault="00E85AC9">
      <w:pPr>
        <w:tabs>
          <w:tab w:val="left" w:pos="1069"/>
        </w:tabs>
        <w:spacing w:line="360" w:lineRule="auto"/>
        <w:ind w:firstLineChars="200" w:firstLine="480"/>
        <w:rPr>
          <w:rFonts w:ascii="宋体" w:eastAsia="宋体" w:hAnsi="宋体" w:cs="宋体"/>
        </w:rPr>
      </w:pPr>
      <w:r>
        <w:rPr>
          <w:rFonts w:ascii="宋体" w:eastAsia="宋体" w:hAnsi="宋体" w:cs="宋体" w:hint="eastAsia"/>
          <w:color w:val="000000"/>
          <w:sz w:val="24"/>
        </w:rPr>
        <w:t>11、《人民法院委托司法相关财产处置资产评估指导意见》（中评协[2019]14号）；</w:t>
      </w:r>
    </w:p>
    <w:p w:rsidR="00A32AE3" w:rsidRDefault="00E85AC9">
      <w:pPr>
        <w:pStyle w:val="Default"/>
        <w:spacing w:line="360" w:lineRule="auto"/>
        <w:ind w:firstLineChars="200" w:firstLine="480"/>
        <w:rPr>
          <w:rFonts w:hAnsi="宋体"/>
        </w:rPr>
      </w:pPr>
      <w:r>
        <w:rPr>
          <w:rFonts w:hAnsi="宋体" w:hint="eastAsia"/>
        </w:rPr>
        <w:t>12、《资产评估执业准则——评估方法》（中评协[2019]35号）；</w:t>
      </w:r>
    </w:p>
    <w:p w:rsidR="00A32AE3" w:rsidRDefault="00E85AC9">
      <w:pPr>
        <w:pStyle w:val="Default"/>
        <w:spacing w:line="360" w:lineRule="auto"/>
        <w:ind w:firstLineChars="200" w:firstLine="480"/>
        <w:rPr>
          <w:rFonts w:hAnsi="宋体"/>
        </w:rPr>
      </w:pPr>
      <w:r>
        <w:rPr>
          <w:rFonts w:hAnsi="宋体" w:hint="eastAsia"/>
        </w:rPr>
        <w:t>13、《房地产估价规范》（国家标准GB/T50291-2015）。</w:t>
      </w:r>
    </w:p>
    <w:p w:rsidR="00A32AE3" w:rsidRDefault="00E85AC9">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lang w:eastAsia="zh-Hans"/>
        </w:rPr>
        <w:t>四）</w:t>
      </w:r>
      <w:r>
        <w:rPr>
          <w:rFonts w:ascii="宋体" w:eastAsia="宋体" w:hAnsi="宋体" w:cs="宋体" w:hint="eastAsia"/>
          <w:sz w:val="24"/>
        </w:rPr>
        <w:t>产权依据</w:t>
      </w:r>
    </w:p>
    <w:p w:rsidR="00A32AE3" w:rsidRDefault="00E85AC9">
      <w:pPr>
        <w:numPr>
          <w:ilvl w:val="0"/>
          <w:numId w:val="4"/>
        </w:numPr>
        <w:spacing w:line="360" w:lineRule="auto"/>
        <w:ind w:firstLineChars="200" w:firstLine="480"/>
        <w:rPr>
          <w:rFonts w:ascii="宋体" w:eastAsia="宋体" w:hAnsi="宋体" w:cs="宋体"/>
          <w:sz w:val="24"/>
        </w:rPr>
      </w:pPr>
      <w:r>
        <w:rPr>
          <w:rFonts w:ascii="宋体" w:eastAsia="宋体" w:hAnsi="宋体" w:cs="宋体" w:hint="eastAsia"/>
          <w:sz w:val="24"/>
        </w:rPr>
        <w:t>委托人提供的相关资料；</w:t>
      </w:r>
    </w:p>
    <w:p w:rsidR="00A32AE3" w:rsidRDefault="00E85AC9">
      <w:pPr>
        <w:pStyle w:val="ae"/>
        <w:widowControl/>
        <w:numPr>
          <w:ilvl w:val="0"/>
          <w:numId w:val="4"/>
        </w:numPr>
        <w:spacing w:before="0" w:beforeAutospacing="0" w:after="0" w:afterAutospacing="0" w:line="360" w:lineRule="auto"/>
        <w:ind w:firstLineChars="200" w:firstLine="480"/>
        <w:jc w:val="both"/>
        <w:rPr>
          <w:rFonts w:ascii="宋体" w:eastAsia="宋体" w:hAnsi="宋体" w:cs="宋体"/>
        </w:rPr>
      </w:pPr>
      <w:r>
        <w:rPr>
          <w:rFonts w:ascii="宋体" w:eastAsia="宋体" w:hAnsi="宋体" w:cs="宋体" w:hint="eastAsia"/>
        </w:rPr>
        <w:t>杭州市富阳区人民法院《司法评估委托书》；</w:t>
      </w:r>
    </w:p>
    <w:p w:rsidR="00A32AE3" w:rsidRDefault="00E85AC9">
      <w:pPr>
        <w:pStyle w:val="ae"/>
        <w:widowControl/>
        <w:numPr>
          <w:ilvl w:val="0"/>
          <w:numId w:val="4"/>
        </w:numPr>
        <w:spacing w:before="0" w:beforeAutospacing="0" w:after="0" w:afterAutospacing="0" w:line="360" w:lineRule="auto"/>
        <w:ind w:firstLineChars="200" w:firstLine="480"/>
        <w:jc w:val="both"/>
        <w:rPr>
          <w:rFonts w:ascii="宋体" w:eastAsia="宋体" w:hAnsi="宋体" w:cs="宋体"/>
        </w:rPr>
      </w:pPr>
      <w:r>
        <w:rPr>
          <w:rFonts w:ascii="宋体" w:eastAsia="宋体" w:hAnsi="宋体" w:cs="宋体" w:hint="eastAsia"/>
        </w:rPr>
        <w:lastRenderedPageBreak/>
        <w:t>评估人员现场勘查的相关资料；</w:t>
      </w:r>
    </w:p>
    <w:p w:rsidR="00A32AE3" w:rsidRDefault="00E85AC9">
      <w:pPr>
        <w:pStyle w:val="ae"/>
        <w:widowControl/>
        <w:spacing w:before="0" w:beforeAutospacing="0" w:after="0" w:afterAutospacing="0" w:line="360" w:lineRule="auto"/>
        <w:ind w:firstLineChars="200" w:firstLine="480"/>
        <w:jc w:val="both"/>
        <w:rPr>
          <w:rFonts w:ascii="宋体" w:eastAsia="宋体" w:hAnsi="宋体" w:cs="宋体"/>
        </w:rPr>
      </w:pPr>
      <w:r>
        <w:rPr>
          <w:rFonts w:ascii="宋体" w:eastAsia="宋体" w:hAnsi="宋体" w:cs="宋体" w:hint="eastAsia"/>
          <w:shd w:val="clear" w:color="auto" w:fill="FFFFFF"/>
        </w:rPr>
        <w:t>4、</w:t>
      </w:r>
      <w:r>
        <w:rPr>
          <w:rFonts w:ascii="宋体" w:eastAsia="宋体" w:hAnsi="宋体" w:cs="宋体" w:hint="eastAsia"/>
        </w:rPr>
        <w:t>杭州市不动产权属信息查询记录；</w:t>
      </w:r>
    </w:p>
    <w:p w:rsidR="00A32AE3" w:rsidRDefault="00E85AC9">
      <w:pPr>
        <w:tabs>
          <w:tab w:val="left" w:pos="0"/>
        </w:tabs>
        <w:spacing w:line="360" w:lineRule="auto"/>
        <w:ind w:firstLineChars="200" w:firstLine="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lang w:eastAsia="zh-Hans"/>
        </w:rPr>
        <w:t>五）</w:t>
      </w:r>
      <w:r>
        <w:rPr>
          <w:rFonts w:ascii="宋体" w:eastAsia="宋体" w:hAnsi="宋体" w:cs="宋体" w:hint="eastAsia"/>
          <w:sz w:val="24"/>
        </w:rPr>
        <w:t>取价依据</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1、委托评估资产的有关资产市场价格信息；</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2、评估人员现场勘察记录及收集的其他相关估价信息资料；</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3、国家有关部门颁布的统计资料和技术标准资料，以及本公司评估专业技术人员现场勘察和市场调查所取得的资料；</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4、有关建材市场价格信息；</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5、其他资料。</w:t>
      </w:r>
    </w:p>
    <w:p w:rsidR="00A32AE3" w:rsidRDefault="00E85AC9">
      <w:pPr>
        <w:tabs>
          <w:tab w:val="left" w:pos="540"/>
        </w:tabs>
        <w:spacing w:line="360" w:lineRule="auto"/>
        <w:outlineLvl w:val="0"/>
        <w:rPr>
          <w:rFonts w:ascii="宋体" w:eastAsia="宋体" w:hAnsi="宋体" w:cs="宋体"/>
          <w:sz w:val="24"/>
        </w:rPr>
      </w:pPr>
      <w:bookmarkStart w:id="40" w:name="_Toc117164033"/>
      <w:bookmarkStart w:id="41" w:name="_Toc142392874_WPSOffice_Level1"/>
      <w:r>
        <w:rPr>
          <w:rFonts w:ascii="宋体" w:eastAsia="宋体" w:hAnsi="宋体" w:cs="宋体" w:hint="eastAsia"/>
          <w:b/>
          <w:sz w:val="24"/>
          <w:lang w:eastAsia="zh-Hans"/>
        </w:rPr>
        <w:t>八、</w:t>
      </w:r>
      <w:bookmarkStart w:id="42" w:name="_Hlk94096399"/>
      <w:r>
        <w:rPr>
          <w:rFonts w:ascii="宋体" w:eastAsia="宋体" w:hAnsi="宋体" w:cs="宋体" w:hint="eastAsia"/>
          <w:b/>
          <w:sz w:val="24"/>
        </w:rPr>
        <w:t>评估方法</w:t>
      </w:r>
      <w:bookmarkEnd w:id="40"/>
      <w:bookmarkEnd w:id="41"/>
      <w:bookmarkEnd w:id="42"/>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（一）评估方法的介绍：</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按照《资产评估基本准则》，评估需根据评估目的、价值类型、资料收集情况等相关条件，恰当选择一种或多种资产评估方法。价值评估通常采用的评估方法有市场法、收益法和成本法。</w:t>
      </w:r>
      <w:bookmarkStart w:id="43" w:name="_Toc417635592"/>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资产评估中的收益法，是指将预期收益资本化或者折现，确定评估对象价值的评估方法。收益法常用的具体方法包括股利折现法和现金流量折现法。</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资产评估中的市场法，是指将评估对象与可比上市公司或者可比交易案例进行比较，确定评估对象价值的评估方法。市场法常用的两种具体方法是上市公司比较法和交易案例比较法。</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资产评估中的成本法，是指按照重建或者重置被评估资产的思路，将评估对象的重建或者重置成本作为确定资产价值的基础，扣除相关贬值，以此确定资产价值的评估方法的总称。</w:t>
      </w:r>
    </w:p>
    <w:p w:rsidR="00A32AE3" w:rsidRDefault="00E85AC9">
      <w:pPr>
        <w:spacing w:line="360" w:lineRule="auto"/>
        <w:ind w:firstLineChars="200" w:firstLine="480"/>
        <w:rPr>
          <w:rFonts w:ascii="宋体" w:eastAsia="宋体" w:hAnsi="宋体" w:cs="宋体"/>
        </w:rPr>
      </w:pPr>
      <w:r>
        <w:rPr>
          <w:rFonts w:ascii="宋体" w:eastAsia="宋体" w:hAnsi="宋体" w:cs="宋体" w:hint="eastAsia"/>
          <w:sz w:val="24"/>
        </w:rPr>
        <w:t>（二）房屋建筑物评估方法的选择：</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由于评估对象所在区域住宅目前租金水平相对较低，通过调查得到的租金资料计算的收益价格与评估对象的实际价值差别较大，故收益法不适宜评估对象的评估；而成本法仅仅是从房地产开发投入的客观成本角度测算房地产价值，实际投入的多少与房地产的市场价格之间有较大的差异，成本法不能确切反映房地产的市场价格，故成本法不适宜评估对象的评估；评估对象所在</w:t>
      </w:r>
      <w:r w:rsidR="0010267C">
        <w:rPr>
          <w:rFonts w:ascii="宋体" w:eastAsia="宋体" w:hAnsi="宋体" w:cs="宋体" w:hint="eastAsia"/>
          <w:sz w:val="24"/>
        </w:rPr>
        <w:t>地区</w:t>
      </w:r>
      <w:r>
        <w:rPr>
          <w:rFonts w:ascii="宋体" w:eastAsia="宋体" w:hAnsi="宋体" w:cs="宋体" w:hint="eastAsia"/>
          <w:sz w:val="24"/>
        </w:rPr>
        <w:t>周边房地产市场较活跃，价值时点近期有一定量的类似房地产的交易，故可选用市场法进行测</w:t>
      </w:r>
      <w:r>
        <w:rPr>
          <w:rFonts w:ascii="宋体" w:eastAsia="宋体" w:hAnsi="宋体" w:cs="宋体" w:hint="eastAsia"/>
          <w:sz w:val="24"/>
        </w:rPr>
        <w:lastRenderedPageBreak/>
        <w:t>算。</w:t>
      </w:r>
    </w:p>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bookmarkStart w:id="44" w:name="_Toc417635589"/>
      <w:bookmarkEnd w:id="43"/>
      <w:bookmarkEnd w:id="44"/>
      <w:r>
        <w:rPr>
          <w:rFonts w:ascii="宋体" w:eastAsia="宋体" w:hAnsi="宋体" w:cs="宋体" w:hint="eastAsia"/>
          <w:color w:val="000000"/>
          <w:sz w:val="24"/>
        </w:rPr>
        <w:t>市场法是将评估对象与在评估时点的近期发生过交易的类似交易案例进行比较，对各个因素进行指数量化，通过指数对比调整，得出评估对象市场价值的方法。评估人员分析了评估对象的特点和实际状况，并研究了委托人提供的资料，结合实地查勘和市场调研的结果，由于评估对象周边同类物业二级市场交易较为活跃，在市场上有可供参照的交易案例，故确定房地产采用市场法评估。其计算公式为：</w:t>
      </w:r>
    </w:p>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bookmarkStart w:id="45" w:name="_Hlk93493965"/>
      <w:r>
        <w:rPr>
          <w:rFonts w:ascii="宋体" w:eastAsia="宋体" w:hAnsi="宋体" w:cs="宋体" w:hint="eastAsia"/>
          <w:color w:val="000000"/>
          <w:sz w:val="24"/>
        </w:rPr>
        <w:t>V=VB×A×B×C×D×E</w:t>
      </w:r>
    </w:p>
    <w:bookmarkEnd w:id="45"/>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 xml:space="preserve">式中： V：待估房屋价值 </w:t>
      </w:r>
    </w:p>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 xml:space="preserve">VB：比较案例价格 </w:t>
      </w:r>
    </w:p>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 xml:space="preserve">A：待估房屋交易情况指数/比较案例交易情况指数 </w:t>
      </w:r>
    </w:p>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B：待估房屋期日价格指数/比较案例期日价格指数</w:t>
      </w:r>
    </w:p>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 xml:space="preserve">C：待估房屋区域因素条件指数/比较案例区域因素条件指数 </w:t>
      </w:r>
    </w:p>
    <w:p w:rsidR="00A32AE3" w:rsidRDefault="00E85AC9">
      <w:pPr>
        <w:overflowPunct w:val="0"/>
        <w:adjustRightInd w:val="0"/>
        <w:snapToGrid w:val="0"/>
        <w:spacing w:line="360" w:lineRule="auto"/>
        <w:ind w:firstLineChars="200" w:firstLine="480"/>
        <w:rPr>
          <w:rFonts w:ascii="宋体" w:eastAsia="宋体" w:hAnsi="宋体" w:cs="宋体"/>
          <w:kern w:val="0"/>
          <w:sz w:val="24"/>
        </w:rPr>
      </w:pPr>
      <w:r>
        <w:rPr>
          <w:rFonts w:ascii="宋体" w:eastAsia="宋体" w:hAnsi="宋体" w:cs="宋体" w:hint="eastAsia"/>
          <w:color w:val="000000"/>
          <w:sz w:val="24"/>
        </w:rPr>
        <w:t>D：待估房屋实物因素条件指数/比较案例实物因素条</w:t>
      </w:r>
      <w:r>
        <w:rPr>
          <w:rFonts w:ascii="宋体" w:eastAsia="宋体" w:hAnsi="宋体" w:cs="宋体" w:hint="eastAsia"/>
          <w:kern w:val="0"/>
          <w:sz w:val="24"/>
        </w:rPr>
        <w:t>件指数</w:t>
      </w:r>
    </w:p>
    <w:p w:rsidR="00A32AE3" w:rsidRDefault="00E85AC9">
      <w:pPr>
        <w:autoSpaceDE w:val="0"/>
        <w:autoSpaceDN w:val="0"/>
        <w:adjustRightInd w:val="0"/>
        <w:jc w:val="left"/>
        <w:rPr>
          <w:rFonts w:ascii="宋体" w:eastAsia="宋体" w:hAnsi="宋体" w:cs="宋体"/>
          <w:color w:val="000000"/>
          <w:kern w:val="0"/>
          <w:sz w:val="24"/>
        </w:rPr>
      </w:pPr>
      <w:r>
        <w:rPr>
          <w:rFonts w:ascii="宋体" w:eastAsia="宋体" w:hAnsi="宋体" w:cs="宋体" w:hint="eastAsia"/>
          <w:color w:val="000000"/>
          <w:kern w:val="0"/>
          <w:sz w:val="24"/>
        </w:rPr>
        <w:t xml:space="preserve">    E：待估房屋权益因素条件指数/比较案例权益因素条件指数</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根据上述评估方法评估，得出房地产评估价值。</w:t>
      </w:r>
    </w:p>
    <w:p w:rsidR="00A32AE3" w:rsidRDefault="00E85AC9">
      <w:pPr>
        <w:spacing w:line="360" w:lineRule="auto"/>
        <w:ind w:firstLineChars="200" w:firstLine="480"/>
        <w:rPr>
          <w:rFonts w:ascii="宋体" w:eastAsia="宋体" w:hAnsi="宋体" w:cs="宋体"/>
        </w:rPr>
      </w:pPr>
      <w:r>
        <w:rPr>
          <w:rFonts w:ascii="宋体" w:eastAsia="宋体" w:hAnsi="宋体" w:cs="宋体" w:hint="eastAsia"/>
          <w:sz w:val="24"/>
        </w:rPr>
        <w:t>（三）室内装修、家具家电评估方法的选择：</w:t>
      </w:r>
    </w:p>
    <w:p w:rsidR="00A32AE3" w:rsidRDefault="00E85AC9">
      <w:pPr>
        <w:overflowPunct w:val="0"/>
        <w:adjustRightInd w:val="0"/>
        <w:snapToGrid w:val="0"/>
        <w:spacing w:line="360" w:lineRule="auto"/>
        <w:ind w:firstLineChars="200" w:firstLine="480"/>
        <w:rPr>
          <w:rFonts w:ascii="Times New Roman" w:hAnsi="Times New Roman" w:cs="Times New Roman"/>
          <w:color w:val="000000"/>
          <w:sz w:val="24"/>
        </w:rPr>
      </w:pPr>
      <w:r>
        <w:rPr>
          <w:rFonts w:ascii="Times New Roman" w:hAnsi="Times New Roman" w:cs="Times New Roman"/>
          <w:color w:val="000000"/>
          <w:sz w:val="24"/>
        </w:rPr>
        <w:t>根据委托人的要求，需将室内装修</w:t>
      </w:r>
      <w:r>
        <w:rPr>
          <w:rFonts w:ascii="宋体" w:eastAsia="宋体" w:hAnsi="宋体" w:cs="宋体" w:hint="eastAsia"/>
          <w:sz w:val="24"/>
        </w:rPr>
        <w:t>、家具家电</w:t>
      </w:r>
      <w:r>
        <w:rPr>
          <w:rFonts w:ascii="Times New Roman" w:hAnsi="Times New Roman" w:cs="Times New Roman"/>
          <w:color w:val="000000"/>
          <w:sz w:val="24"/>
        </w:rPr>
        <w:t>的价值在房地产价值之外单独评估。</w:t>
      </w:r>
    </w:p>
    <w:p w:rsidR="00A32AE3" w:rsidRDefault="00E85AC9">
      <w:pPr>
        <w:overflowPunct w:val="0"/>
        <w:adjustRightInd w:val="0"/>
        <w:snapToGrid w:val="0"/>
        <w:spacing w:line="360" w:lineRule="auto"/>
        <w:ind w:firstLineChars="200" w:firstLine="480"/>
        <w:rPr>
          <w:rFonts w:ascii="Times New Roman" w:hAnsi="Times New Roman" w:cs="Times New Roman"/>
          <w:color w:val="000000"/>
          <w:sz w:val="24"/>
        </w:rPr>
      </w:pPr>
      <w:r>
        <w:rPr>
          <w:rFonts w:ascii="Times New Roman" w:hAnsi="Times New Roman" w:cs="Times New Roman"/>
          <w:color w:val="000000"/>
          <w:sz w:val="24"/>
        </w:rPr>
        <w:t>由于室内装修</w:t>
      </w:r>
      <w:r>
        <w:rPr>
          <w:rFonts w:ascii="宋体" w:eastAsia="宋体" w:hAnsi="宋体" w:cs="宋体" w:hint="eastAsia"/>
          <w:sz w:val="24"/>
        </w:rPr>
        <w:t>、家具家电</w:t>
      </w:r>
      <w:r>
        <w:rPr>
          <w:rFonts w:ascii="Times New Roman" w:hAnsi="Times New Roman" w:cs="Times New Roman"/>
          <w:color w:val="000000"/>
          <w:sz w:val="24"/>
        </w:rPr>
        <w:t>在二手市场上难以找寻到相关类似的可比交易案例，故不适宜采用市场法进行评估；且室内装修无法脱离</w:t>
      </w:r>
      <w:r>
        <w:rPr>
          <w:rFonts w:ascii="Times New Roman" w:hAnsi="Times New Roman" w:cs="Times New Roman" w:hint="eastAsia"/>
          <w:color w:val="000000"/>
          <w:sz w:val="24"/>
        </w:rPr>
        <w:t>房地产</w:t>
      </w:r>
      <w:r>
        <w:rPr>
          <w:rFonts w:ascii="Times New Roman" w:hAnsi="Times New Roman" w:cs="Times New Roman"/>
          <w:color w:val="000000"/>
          <w:sz w:val="24"/>
        </w:rPr>
        <w:t>单独产生收益，</w:t>
      </w:r>
      <w:r>
        <w:rPr>
          <w:rFonts w:ascii="Times New Roman" w:hAnsi="Times New Roman" w:cs="Times New Roman" w:hint="eastAsia"/>
          <w:color w:val="000000"/>
          <w:sz w:val="24"/>
        </w:rPr>
        <w:t>也未能单独产生收益，</w:t>
      </w:r>
      <w:r>
        <w:rPr>
          <w:rFonts w:ascii="Times New Roman" w:hAnsi="Times New Roman" w:cs="Times New Roman"/>
          <w:color w:val="000000"/>
          <w:sz w:val="24"/>
        </w:rPr>
        <w:t>故不适宜采用收益法进行评估。评估人员结合评估目的、价值类型等因素，最终采用成本法对室内装修</w:t>
      </w:r>
      <w:r>
        <w:rPr>
          <w:rFonts w:ascii="宋体" w:eastAsia="宋体" w:hAnsi="宋体" w:cs="宋体" w:hint="eastAsia"/>
          <w:sz w:val="24"/>
        </w:rPr>
        <w:t>、家具家电</w:t>
      </w:r>
      <w:r>
        <w:rPr>
          <w:rFonts w:ascii="Times New Roman" w:hAnsi="Times New Roman" w:cs="Times New Roman"/>
          <w:color w:val="000000"/>
          <w:sz w:val="24"/>
        </w:rPr>
        <w:t>价值进行评估。</w:t>
      </w:r>
    </w:p>
    <w:p w:rsidR="00A32AE3" w:rsidRDefault="00E85AC9">
      <w:pPr>
        <w:overflowPunct w:val="0"/>
        <w:adjustRightInd w:val="0"/>
        <w:snapToGrid w:val="0"/>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重置成本法也称成本法，是指在资产评估时按被评估资产的现时重置成本扣除其各项损耗来确定被评估资产价值的方法。</w:t>
      </w:r>
    </w:p>
    <w:p w:rsidR="00A32AE3" w:rsidRDefault="00E85AC9">
      <w:pPr>
        <w:overflowPunct w:val="0"/>
        <w:adjustRightInd w:val="0"/>
        <w:snapToGrid w:val="0"/>
        <w:spacing w:line="360" w:lineRule="auto"/>
        <w:ind w:firstLineChars="200" w:firstLine="480"/>
        <w:rPr>
          <w:rFonts w:ascii="宋体" w:eastAsia="宋体" w:hAnsi="宋体" w:cs="宋体"/>
        </w:rPr>
      </w:pPr>
      <w:r>
        <w:rPr>
          <w:rFonts w:ascii="宋体" w:eastAsia="宋体" w:hAnsi="宋体" w:cs="宋体" w:hint="eastAsia"/>
          <w:color w:val="000000"/>
          <w:sz w:val="24"/>
        </w:rPr>
        <w:t>重置成本法，就是在现实条件下重新购置或建造一个全新状态的评估对象，所需的</w:t>
      </w:r>
      <w:hyperlink r:id="rId11" w:tgtFrame="https://baike.so.com/doc/_blank" w:history="1">
        <w:r>
          <w:rPr>
            <w:rFonts w:ascii="宋体" w:eastAsia="宋体" w:hAnsi="宋体" w:cs="宋体" w:hint="eastAsia"/>
            <w:color w:val="000000"/>
            <w:sz w:val="24"/>
          </w:rPr>
          <w:t>全部成本</w:t>
        </w:r>
      </w:hyperlink>
      <w:r>
        <w:rPr>
          <w:rFonts w:ascii="宋体" w:eastAsia="宋体" w:hAnsi="宋体" w:cs="宋体" w:hint="eastAsia"/>
          <w:color w:val="000000"/>
          <w:sz w:val="24"/>
        </w:rPr>
        <w:t xml:space="preserve">减去评估对象的实体性陈旧贬值、功能性陈旧贬值和经济性陈旧贬值后的差额，以其作为评估对象现实价值的一种评估方法。    </w:t>
      </w:r>
    </w:p>
    <w:p w:rsidR="00A32AE3" w:rsidRDefault="00E85AC9">
      <w:pPr>
        <w:overflowPunct w:val="0"/>
        <w:adjustRightInd w:val="0"/>
        <w:snapToGrid w:val="0"/>
        <w:spacing w:line="360" w:lineRule="auto"/>
        <w:ind w:firstLineChars="200" w:firstLine="480"/>
        <w:rPr>
          <w:rFonts w:ascii="Times New Roman" w:hAnsi="Times New Roman" w:cs="Times New Roman"/>
          <w:color w:val="000000"/>
          <w:sz w:val="24"/>
        </w:rPr>
      </w:pPr>
      <w:r>
        <w:rPr>
          <w:rFonts w:ascii="宋体" w:eastAsia="宋体" w:hAnsi="宋体" w:cs="宋体" w:hint="eastAsia"/>
          <w:sz w:val="24"/>
        </w:rPr>
        <w:t>装修、家具家电评估值=数量×重置单价×成新率</w:t>
      </w:r>
    </w:p>
    <w:p w:rsidR="00A32AE3" w:rsidRDefault="00E85AC9">
      <w:pPr>
        <w:tabs>
          <w:tab w:val="left" w:pos="540"/>
        </w:tabs>
        <w:spacing w:line="360" w:lineRule="auto"/>
        <w:ind w:firstLineChars="200" w:firstLine="482"/>
        <w:outlineLvl w:val="0"/>
        <w:rPr>
          <w:rFonts w:ascii="宋体" w:eastAsia="宋体" w:hAnsi="宋体" w:cs="宋体"/>
          <w:b/>
          <w:sz w:val="24"/>
        </w:rPr>
      </w:pPr>
      <w:bookmarkStart w:id="46" w:name="_Toc900250560_WPSOffice_Level1"/>
      <w:bookmarkStart w:id="47" w:name="_Toc117164034"/>
      <w:r>
        <w:rPr>
          <w:rFonts w:ascii="宋体" w:eastAsia="宋体" w:hAnsi="宋体" w:cs="宋体" w:hint="eastAsia"/>
          <w:b/>
          <w:sz w:val="24"/>
          <w:lang w:eastAsia="zh-Hans"/>
        </w:rPr>
        <w:t>九、</w:t>
      </w:r>
      <w:r>
        <w:rPr>
          <w:rFonts w:ascii="宋体" w:eastAsia="宋体" w:hAnsi="宋体" w:cs="宋体" w:hint="eastAsia"/>
          <w:b/>
          <w:sz w:val="24"/>
        </w:rPr>
        <w:t>评估过程</w:t>
      </w:r>
      <w:bookmarkEnd w:id="46"/>
      <w:bookmarkEnd w:id="47"/>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lastRenderedPageBreak/>
        <w:t>整个评估工作分</w:t>
      </w:r>
      <w:r>
        <w:rPr>
          <w:rFonts w:ascii="宋体" w:eastAsia="宋体" w:hAnsi="宋体" w:cs="宋体" w:hint="eastAsia"/>
          <w:color w:val="000000"/>
          <w:sz w:val="24"/>
        </w:rPr>
        <w:t>五</w:t>
      </w:r>
      <w:r>
        <w:rPr>
          <w:rFonts w:ascii="宋体" w:eastAsia="宋体" w:hAnsi="宋体" w:cs="宋体" w:hint="eastAsia"/>
          <w:color w:val="000000"/>
          <w:sz w:val="24"/>
          <w:lang w:val="zh-CN"/>
        </w:rPr>
        <w:t>个阶段进行：</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（一）接受委托阶段</w:t>
      </w:r>
    </w:p>
    <w:p w:rsidR="00A32AE3" w:rsidRDefault="00E85AC9">
      <w:pPr>
        <w:tabs>
          <w:tab w:val="left" w:pos="0"/>
          <w:tab w:val="left" w:pos="1211"/>
        </w:tabs>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明确评估业务基本事项，了解项目的委托人、产权持有人和委托人以外的其他资产评估报告使用人、评估目的、评估对象和评估范围、价值类型、评估基准日、资产评估报告使用范围、资产评估报告提交期限及方式、评估服务费及支付方式以及委托人、其他相关当事人与资产评估机构及其资产评估专业人员工作配合和协助等需要明确的重要事项；</w:t>
      </w:r>
    </w:p>
    <w:p w:rsidR="00A32AE3" w:rsidRDefault="00E85AC9">
      <w:pPr>
        <w:tabs>
          <w:tab w:val="left" w:pos="0"/>
          <w:tab w:val="left" w:pos="1211"/>
        </w:tabs>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2、接受杭州市富阳区人民法院的</w:t>
      </w:r>
      <w:r>
        <w:rPr>
          <w:rFonts w:ascii="宋体" w:eastAsia="宋体" w:hAnsi="宋体" w:cs="宋体" w:hint="eastAsia"/>
          <w:sz w:val="24"/>
        </w:rPr>
        <w:t>出具的《司法评估委托书》</w:t>
      </w:r>
      <w:r>
        <w:rPr>
          <w:rFonts w:ascii="宋体" w:eastAsia="宋体" w:hAnsi="宋体" w:cs="宋体" w:hint="eastAsia"/>
          <w:color w:val="000000"/>
          <w:sz w:val="24"/>
        </w:rPr>
        <w:t>；</w:t>
      </w:r>
    </w:p>
    <w:p w:rsidR="00A32AE3" w:rsidRDefault="00E85AC9">
      <w:pPr>
        <w:tabs>
          <w:tab w:val="left" w:pos="0"/>
          <w:tab w:val="left" w:pos="1211"/>
        </w:tabs>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3、制定资产评估工作计划；</w:t>
      </w:r>
    </w:p>
    <w:p w:rsidR="00A32AE3" w:rsidRDefault="00E85AC9">
      <w:pPr>
        <w:tabs>
          <w:tab w:val="left" w:pos="0"/>
          <w:tab w:val="left" w:pos="1211"/>
        </w:tabs>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4、组成项目小组，并对项目组成员进行培训。</w:t>
      </w:r>
    </w:p>
    <w:p w:rsidR="00A32AE3" w:rsidRDefault="00E85AC9">
      <w:pPr>
        <w:tabs>
          <w:tab w:val="left" w:pos="1211"/>
        </w:tabs>
        <w:spacing w:line="360" w:lineRule="auto"/>
        <w:rPr>
          <w:rFonts w:ascii="宋体" w:eastAsia="宋体" w:hAnsi="宋体" w:cs="宋体"/>
          <w:color w:val="000000"/>
          <w:sz w:val="24"/>
        </w:rPr>
      </w:pPr>
      <w:r>
        <w:rPr>
          <w:rFonts w:ascii="宋体" w:eastAsia="宋体" w:hAnsi="宋体" w:cs="宋体" w:hint="eastAsia"/>
          <w:color w:val="000000"/>
          <w:sz w:val="24"/>
        </w:rPr>
        <w:t>（二）资产核实阶段</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1、根据评估工作的需要，向杭州市富阳区人民法院提供资产评估清单表样，并协助其进行资产清查工作；</w:t>
      </w:r>
    </w:p>
    <w:p w:rsidR="00A32AE3" w:rsidRDefault="00E85AC9">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2、了解产权持有人基本情况及委评资产状况，并收集相关资料；</w:t>
      </w:r>
    </w:p>
    <w:p w:rsidR="00A32AE3" w:rsidRDefault="00E85AC9">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3、审查核对杭州市富阳区人民法院提供的资产评估清单和相关资料；</w:t>
      </w:r>
    </w:p>
    <w:p w:rsidR="00A32AE3" w:rsidRDefault="00E85AC9">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4、根据资产评估申报表的内容进行现场核实和勘察；</w:t>
      </w:r>
    </w:p>
    <w:p w:rsidR="00A32AE3" w:rsidRDefault="00E85AC9">
      <w:pPr>
        <w:spacing w:line="360" w:lineRule="auto"/>
        <w:ind w:leftChars="200" w:left="420"/>
        <w:rPr>
          <w:rFonts w:ascii="宋体" w:eastAsia="宋体" w:hAnsi="宋体" w:cs="宋体"/>
          <w:color w:val="000000"/>
          <w:sz w:val="24"/>
        </w:rPr>
      </w:pPr>
      <w:r>
        <w:rPr>
          <w:rFonts w:ascii="宋体" w:eastAsia="宋体" w:hAnsi="宋体" w:cs="宋体" w:hint="eastAsia"/>
          <w:color w:val="000000"/>
          <w:sz w:val="24"/>
        </w:rPr>
        <w:t>5、收集并查验资产评估所需的其他相关资料。</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（三）评定估算阶段</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1、根据委评资产的实际状况和特点，制订具体评估方法；</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2、开展市场调研、询价工作；</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3、对委评资产进行评估，测算其评估价值；</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4、分析并汇总分项资产的评估结果，汇集评估底稿；</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5、撰写评估报告、评估说明，编制评估明细表。</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（四）出具报告阶段</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1、征求有关各方意见；</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2、内部进行复核程序，验证评估结果；</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3、评估结果的分析调整和评估报告的完善；</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4、正式出具资产评估报告。</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（五）整理归集评估档案</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lastRenderedPageBreak/>
        <w:t>在出具资产评估报告后，评估人员按照资产评估基本准则和资产评估执业准则规范整理归集评估档案。</w:t>
      </w:r>
    </w:p>
    <w:p w:rsidR="00A32AE3" w:rsidRDefault="00E85AC9">
      <w:pPr>
        <w:tabs>
          <w:tab w:val="left" w:pos="540"/>
        </w:tabs>
        <w:spacing w:line="360" w:lineRule="auto"/>
        <w:outlineLvl w:val="0"/>
        <w:rPr>
          <w:rFonts w:ascii="宋体" w:eastAsia="宋体" w:hAnsi="宋体" w:cs="宋体"/>
          <w:b/>
          <w:sz w:val="24"/>
        </w:rPr>
      </w:pPr>
      <w:bookmarkStart w:id="48" w:name="_Toc1488868805_WPSOffice_Level1"/>
      <w:bookmarkStart w:id="49" w:name="_Toc275872929"/>
      <w:bookmarkStart w:id="50" w:name="_Toc117164035"/>
      <w:bookmarkStart w:id="51" w:name="_Toc37185847"/>
      <w:r>
        <w:rPr>
          <w:rFonts w:ascii="宋体" w:eastAsia="宋体" w:hAnsi="宋体" w:cs="宋体" w:hint="eastAsia"/>
          <w:b/>
          <w:sz w:val="24"/>
          <w:lang w:eastAsia="zh-Hans"/>
        </w:rPr>
        <w:t>十、</w:t>
      </w:r>
      <w:r>
        <w:rPr>
          <w:rFonts w:ascii="宋体" w:eastAsia="宋体" w:hAnsi="宋体" w:cs="宋体" w:hint="eastAsia"/>
          <w:b/>
          <w:sz w:val="24"/>
        </w:rPr>
        <w:t>评估结论</w:t>
      </w:r>
      <w:bookmarkEnd w:id="48"/>
      <w:bookmarkEnd w:id="49"/>
      <w:bookmarkEnd w:id="50"/>
      <w:bookmarkEnd w:id="51"/>
    </w:p>
    <w:p w:rsidR="00A32AE3" w:rsidRDefault="00E85AC9">
      <w:pPr>
        <w:adjustRightInd w:val="0"/>
        <w:snapToGrid w:val="0"/>
        <w:spacing w:line="360" w:lineRule="auto"/>
        <w:ind w:firstLineChars="200" w:firstLine="480"/>
        <w:rPr>
          <w:rFonts w:ascii="宋体" w:hAnsi="宋体" w:cs="宋体"/>
          <w:sz w:val="24"/>
        </w:rPr>
      </w:pPr>
      <w:bookmarkStart w:id="52" w:name="_Toc275872930"/>
      <w:r>
        <w:rPr>
          <w:rFonts w:ascii="宋体" w:eastAsia="宋体" w:hAnsi="宋体" w:cs="宋体" w:hint="eastAsia"/>
          <w:sz w:val="24"/>
        </w:rPr>
        <w:t>经实施评估程序后，在评估基准日2022年10月17日，在本报告所揭示的假设前提条件基础上，委评资产的评估价值为</w:t>
      </w:r>
      <w:r w:rsidR="00160B7E">
        <w:rPr>
          <w:rFonts w:ascii="宋体" w:eastAsia="宋体" w:hAnsi="宋体" w:cs="宋体" w:hint="eastAsia"/>
          <w:sz w:val="24"/>
        </w:rPr>
        <w:t>6,318,100.00</w:t>
      </w:r>
      <w:r>
        <w:rPr>
          <w:rFonts w:ascii="宋体" w:eastAsia="宋体" w:hAnsi="宋体" w:cs="宋体" w:hint="eastAsia"/>
          <w:sz w:val="24"/>
        </w:rPr>
        <w:t>元（大写人民币</w:t>
      </w:r>
      <w:r w:rsidR="00160B7E">
        <w:rPr>
          <w:rFonts w:ascii="宋体" w:eastAsia="宋体" w:hAnsi="宋体" w:cs="宋体" w:hint="eastAsia"/>
          <w:sz w:val="24"/>
        </w:rPr>
        <w:t>陆佰叁拾壹万捌仟壹佰</w:t>
      </w:r>
      <w:r>
        <w:rPr>
          <w:rFonts w:ascii="宋体" w:eastAsia="宋体" w:hAnsi="宋体" w:cs="宋体" w:hint="eastAsia"/>
          <w:sz w:val="24"/>
        </w:rPr>
        <w:t>元整），具体明细如下：</w:t>
      </w:r>
    </w:p>
    <w:p w:rsidR="00A32AE3" w:rsidRDefault="00E85AC9">
      <w:pPr>
        <w:pStyle w:val="Default"/>
        <w:jc w:val="right"/>
        <w:rPr>
          <w:rFonts w:hAnsi="宋体"/>
        </w:rPr>
      </w:pPr>
      <w:r>
        <w:rPr>
          <w:rFonts w:hAnsi="宋体" w:hint="eastAsia"/>
        </w:rPr>
        <w:t>金额单位：人民币元</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254"/>
        <w:gridCol w:w="1007"/>
        <w:gridCol w:w="1134"/>
        <w:gridCol w:w="1726"/>
        <w:gridCol w:w="1250"/>
        <w:gridCol w:w="1571"/>
      </w:tblGrid>
      <w:tr w:rsidR="00A32AE3">
        <w:trPr>
          <w:trHeight w:val="312"/>
          <w:jc w:val="center"/>
        </w:trPr>
        <w:tc>
          <w:tcPr>
            <w:tcW w:w="637" w:type="dxa"/>
            <w:vMerge w:val="restart"/>
            <w:shd w:val="clear" w:color="auto" w:fill="auto"/>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2254" w:type="dxa"/>
            <w:vMerge w:val="restart"/>
            <w:shd w:val="clear" w:color="auto" w:fill="auto"/>
            <w:noWrap/>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kern w:val="0"/>
                <w:sz w:val="20"/>
                <w:szCs w:val="20"/>
              </w:rPr>
              <w:t>名称</w:t>
            </w:r>
          </w:p>
        </w:tc>
        <w:tc>
          <w:tcPr>
            <w:tcW w:w="1007" w:type="dxa"/>
            <w:vMerge w:val="restart"/>
            <w:shd w:val="clear" w:color="auto" w:fill="auto"/>
            <w:noWrap/>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kern w:val="0"/>
                <w:sz w:val="20"/>
                <w:szCs w:val="20"/>
              </w:rPr>
              <w:t>单位</w:t>
            </w:r>
          </w:p>
        </w:tc>
        <w:tc>
          <w:tcPr>
            <w:tcW w:w="1134" w:type="dxa"/>
            <w:vMerge w:val="restart"/>
            <w:shd w:val="clear" w:color="auto" w:fill="auto"/>
            <w:noWrap/>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kern w:val="0"/>
                <w:sz w:val="20"/>
                <w:szCs w:val="20"/>
              </w:rPr>
              <w:t>数量</w:t>
            </w:r>
          </w:p>
        </w:tc>
        <w:tc>
          <w:tcPr>
            <w:tcW w:w="1726" w:type="dxa"/>
            <w:vMerge w:val="restart"/>
            <w:shd w:val="clear" w:color="auto" w:fill="auto"/>
            <w:noWrap/>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kern w:val="0"/>
                <w:sz w:val="20"/>
                <w:szCs w:val="20"/>
              </w:rPr>
              <w:t>评估单价（元/㎡）</w:t>
            </w:r>
          </w:p>
        </w:tc>
        <w:tc>
          <w:tcPr>
            <w:tcW w:w="1250" w:type="dxa"/>
            <w:vMerge w:val="restart"/>
            <w:shd w:val="clear" w:color="auto" w:fill="auto"/>
            <w:noWrap/>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kern w:val="0"/>
                <w:sz w:val="20"/>
                <w:szCs w:val="20"/>
              </w:rPr>
              <w:t>重置价值</w:t>
            </w:r>
          </w:p>
        </w:tc>
        <w:tc>
          <w:tcPr>
            <w:tcW w:w="1571" w:type="dxa"/>
            <w:vMerge w:val="restart"/>
            <w:shd w:val="clear" w:color="auto" w:fill="auto"/>
            <w:noWrap/>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kern w:val="0"/>
                <w:sz w:val="20"/>
                <w:szCs w:val="20"/>
              </w:rPr>
              <w:t>评估价值</w:t>
            </w:r>
          </w:p>
        </w:tc>
      </w:tr>
      <w:tr w:rsidR="00A32AE3">
        <w:trPr>
          <w:trHeight w:val="312"/>
          <w:jc w:val="center"/>
        </w:trPr>
        <w:tc>
          <w:tcPr>
            <w:tcW w:w="637" w:type="dxa"/>
            <w:vMerge/>
            <w:vAlign w:val="center"/>
          </w:tcPr>
          <w:p w:rsidR="00A32AE3" w:rsidRDefault="00A32AE3">
            <w:pPr>
              <w:widowControl/>
              <w:jc w:val="left"/>
              <w:rPr>
                <w:rFonts w:ascii="宋体" w:eastAsia="宋体" w:hAnsi="宋体" w:cs="宋体"/>
                <w:kern w:val="0"/>
                <w:sz w:val="20"/>
                <w:szCs w:val="20"/>
              </w:rPr>
            </w:pPr>
          </w:p>
        </w:tc>
        <w:tc>
          <w:tcPr>
            <w:tcW w:w="2254" w:type="dxa"/>
            <w:vMerge/>
            <w:vAlign w:val="center"/>
          </w:tcPr>
          <w:p w:rsidR="00A32AE3" w:rsidRDefault="00A32AE3">
            <w:pPr>
              <w:widowControl/>
              <w:jc w:val="left"/>
              <w:rPr>
                <w:rFonts w:ascii="宋体" w:eastAsia="宋体" w:hAnsi="宋体" w:cs="宋体"/>
                <w:kern w:val="0"/>
                <w:sz w:val="20"/>
                <w:szCs w:val="20"/>
              </w:rPr>
            </w:pPr>
          </w:p>
        </w:tc>
        <w:tc>
          <w:tcPr>
            <w:tcW w:w="1007" w:type="dxa"/>
            <w:vMerge/>
            <w:vAlign w:val="center"/>
          </w:tcPr>
          <w:p w:rsidR="00A32AE3" w:rsidRDefault="00A32AE3">
            <w:pPr>
              <w:widowControl/>
              <w:jc w:val="left"/>
              <w:rPr>
                <w:rFonts w:ascii="宋体" w:eastAsia="宋体" w:hAnsi="宋体" w:cs="宋体"/>
                <w:kern w:val="0"/>
                <w:sz w:val="20"/>
                <w:szCs w:val="20"/>
              </w:rPr>
            </w:pPr>
          </w:p>
        </w:tc>
        <w:tc>
          <w:tcPr>
            <w:tcW w:w="1134" w:type="dxa"/>
            <w:vMerge/>
            <w:vAlign w:val="center"/>
          </w:tcPr>
          <w:p w:rsidR="00A32AE3" w:rsidRDefault="00A32AE3">
            <w:pPr>
              <w:widowControl/>
              <w:jc w:val="left"/>
              <w:rPr>
                <w:rFonts w:ascii="宋体" w:eastAsia="宋体" w:hAnsi="宋体" w:cs="宋体"/>
                <w:kern w:val="0"/>
                <w:sz w:val="20"/>
                <w:szCs w:val="20"/>
              </w:rPr>
            </w:pPr>
          </w:p>
        </w:tc>
        <w:tc>
          <w:tcPr>
            <w:tcW w:w="1726" w:type="dxa"/>
            <w:vMerge/>
            <w:vAlign w:val="center"/>
          </w:tcPr>
          <w:p w:rsidR="00A32AE3" w:rsidRDefault="00A32AE3">
            <w:pPr>
              <w:widowControl/>
              <w:jc w:val="left"/>
              <w:rPr>
                <w:rFonts w:ascii="宋体" w:eastAsia="宋体" w:hAnsi="宋体" w:cs="宋体"/>
                <w:kern w:val="0"/>
                <w:sz w:val="20"/>
                <w:szCs w:val="20"/>
              </w:rPr>
            </w:pPr>
          </w:p>
        </w:tc>
        <w:tc>
          <w:tcPr>
            <w:tcW w:w="1250" w:type="dxa"/>
            <w:vMerge/>
            <w:vAlign w:val="center"/>
          </w:tcPr>
          <w:p w:rsidR="00A32AE3" w:rsidRDefault="00A32AE3">
            <w:pPr>
              <w:widowControl/>
              <w:jc w:val="left"/>
              <w:rPr>
                <w:rFonts w:ascii="宋体" w:eastAsia="宋体" w:hAnsi="宋体" w:cs="宋体"/>
                <w:kern w:val="0"/>
                <w:sz w:val="20"/>
                <w:szCs w:val="20"/>
              </w:rPr>
            </w:pPr>
          </w:p>
        </w:tc>
        <w:tc>
          <w:tcPr>
            <w:tcW w:w="1571" w:type="dxa"/>
            <w:vMerge/>
            <w:vAlign w:val="center"/>
          </w:tcPr>
          <w:p w:rsidR="00A32AE3" w:rsidRDefault="00A32AE3">
            <w:pPr>
              <w:widowControl/>
              <w:jc w:val="left"/>
              <w:rPr>
                <w:rFonts w:ascii="宋体" w:eastAsia="宋体" w:hAnsi="宋体" w:cs="宋体"/>
                <w:kern w:val="0"/>
                <w:sz w:val="20"/>
                <w:szCs w:val="20"/>
              </w:rPr>
            </w:pPr>
          </w:p>
        </w:tc>
      </w:tr>
      <w:tr w:rsidR="0095099B" w:rsidTr="00CA7EA0">
        <w:trPr>
          <w:trHeight w:val="766"/>
          <w:jc w:val="center"/>
        </w:trPr>
        <w:tc>
          <w:tcPr>
            <w:tcW w:w="637" w:type="dxa"/>
            <w:shd w:val="clear" w:color="auto" w:fill="auto"/>
            <w:noWrap/>
            <w:vAlign w:val="center"/>
          </w:tcPr>
          <w:p w:rsidR="0095099B" w:rsidRDefault="0095099B" w:rsidP="0095099B">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254" w:type="dxa"/>
            <w:shd w:val="clear" w:color="auto" w:fill="auto"/>
          </w:tcPr>
          <w:p w:rsidR="0095099B" w:rsidRPr="00C56DAE" w:rsidRDefault="0095099B" w:rsidP="0095099B">
            <w:r w:rsidRPr="00C56DAE">
              <w:rPr>
                <w:rFonts w:hint="eastAsia"/>
              </w:rPr>
              <w:t>杭州市滨江区钱塘春晓花园</w:t>
            </w:r>
            <w:r w:rsidRPr="00C56DAE">
              <w:rPr>
                <w:rFonts w:hint="eastAsia"/>
              </w:rPr>
              <w:t>12</w:t>
            </w:r>
            <w:r w:rsidRPr="00C56DAE">
              <w:rPr>
                <w:rFonts w:hint="eastAsia"/>
              </w:rPr>
              <w:t>幢</w:t>
            </w:r>
            <w:r w:rsidRPr="00C56DAE">
              <w:rPr>
                <w:rFonts w:hint="eastAsia"/>
              </w:rPr>
              <w:t>2</w:t>
            </w:r>
            <w:r w:rsidRPr="00C56DAE">
              <w:rPr>
                <w:rFonts w:hint="eastAsia"/>
              </w:rPr>
              <w:t>单元</w:t>
            </w:r>
            <w:r w:rsidRPr="00C56DAE">
              <w:rPr>
                <w:rFonts w:hint="eastAsia"/>
              </w:rPr>
              <w:t>1102</w:t>
            </w:r>
            <w:r w:rsidRPr="00C56DAE">
              <w:rPr>
                <w:rFonts w:hint="eastAsia"/>
              </w:rPr>
              <w:t>室</w:t>
            </w:r>
          </w:p>
        </w:tc>
        <w:tc>
          <w:tcPr>
            <w:tcW w:w="1007" w:type="dxa"/>
            <w:shd w:val="clear" w:color="auto" w:fill="auto"/>
            <w:vAlign w:val="center"/>
          </w:tcPr>
          <w:p w:rsidR="0095099B" w:rsidRDefault="0095099B" w:rsidP="0095099B">
            <w:pPr>
              <w:widowControl/>
              <w:jc w:val="center"/>
              <w:rPr>
                <w:rFonts w:ascii="宋体" w:eastAsia="宋体" w:hAnsi="宋体" w:cs="宋体"/>
                <w:kern w:val="0"/>
                <w:sz w:val="20"/>
                <w:szCs w:val="20"/>
              </w:rPr>
            </w:pPr>
            <w:r>
              <w:rPr>
                <w:rFonts w:ascii="宋体" w:eastAsia="宋体" w:hAnsi="宋体" w:cs="宋体" w:hint="eastAsia"/>
                <w:kern w:val="0"/>
                <w:sz w:val="20"/>
                <w:szCs w:val="20"/>
              </w:rPr>
              <w:t>平方米</w:t>
            </w:r>
          </w:p>
        </w:tc>
        <w:tc>
          <w:tcPr>
            <w:tcW w:w="1134" w:type="dxa"/>
            <w:shd w:val="clear" w:color="auto" w:fill="auto"/>
            <w:vAlign w:val="center"/>
          </w:tcPr>
          <w:p w:rsidR="0095099B" w:rsidRDefault="0095099B" w:rsidP="0095099B">
            <w:pPr>
              <w:widowControl/>
              <w:jc w:val="center"/>
              <w:rPr>
                <w:rFonts w:ascii="宋体" w:eastAsia="宋体" w:hAnsi="宋体" w:cs="宋体"/>
                <w:kern w:val="0"/>
                <w:sz w:val="20"/>
                <w:szCs w:val="20"/>
              </w:rPr>
            </w:pPr>
            <w:r>
              <w:rPr>
                <w:rFonts w:ascii="宋体" w:eastAsia="宋体" w:hAnsi="宋体" w:cs="宋体" w:hint="eastAsia"/>
                <w:kern w:val="0"/>
                <w:sz w:val="20"/>
                <w:szCs w:val="20"/>
              </w:rPr>
              <w:t>138.75</w:t>
            </w:r>
          </w:p>
        </w:tc>
        <w:tc>
          <w:tcPr>
            <w:tcW w:w="1726" w:type="dxa"/>
            <w:shd w:val="clear" w:color="auto" w:fill="auto"/>
            <w:vAlign w:val="center"/>
          </w:tcPr>
          <w:p w:rsidR="0095099B" w:rsidRDefault="003D3D3B" w:rsidP="00160B7E">
            <w:pPr>
              <w:widowControl/>
              <w:jc w:val="center"/>
              <w:rPr>
                <w:rFonts w:ascii="宋体" w:eastAsia="宋体" w:hAnsi="宋体" w:cs="宋体"/>
                <w:color w:val="000000"/>
                <w:kern w:val="0"/>
                <w:sz w:val="20"/>
                <w:szCs w:val="20"/>
              </w:rPr>
            </w:pPr>
            <w:r w:rsidRPr="003D3D3B">
              <w:rPr>
                <w:rFonts w:ascii="宋体" w:eastAsia="宋体" w:hAnsi="宋体" w:cs="宋体"/>
                <w:color w:val="000000"/>
                <w:kern w:val="0"/>
                <w:sz w:val="20"/>
                <w:szCs w:val="20"/>
              </w:rPr>
              <w:t>45,0</w:t>
            </w:r>
            <w:r w:rsidR="00160B7E">
              <w:rPr>
                <w:rFonts w:ascii="宋体" w:eastAsia="宋体" w:hAnsi="宋体" w:cs="宋体"/>
                <w:color w:val="000000"/>
                <w:kern w:val="0"/>
                <w:sz w:val="20"/>
                <w:szCs w:val="20"/>
              </w:rPr>
              <w:t>00</w:t>
            </w:r>
            <w:r w:rsidRPr="003D3D3B">
              <w:rPr>
                <w:rFonts w:ascii="宋体" w:eastAsia="宋体" w:hAnsi="宋体" w:cs="宋体"/>
                <w:color w:val="000000"/>
                <w:kern w:val="0"/>
                <w:sz w:val="20"/>
                <w:szCs w:val="20"/>
              </w:rPr>
              <w:t>.00</w:t>
            </w:r>
          </w:p>
        </w:tc>
        <w:tc>
          <w:tcPr>
            <w:tcW w:w="1250" w:type="dxa"/>
            <w:shd w:val="clear" w:color="auto" w:fill="auto"/>
            <w:vAlign w:val="center"/>
          </w:tcPr>
          <w:p w:rsidR="0095099B" w:rsidRDefault="0095099B" w:rsidP="0095099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571" w:type="dxa"/>
            <w:shd w:val="clear" w:color="auto" w:fill="auto"/>
            <w:vAlign w:val="center"/>
          </w:tcPr>
          <w:p w:rsidR="0095099B" w:rsidRDefault="00160B7E" w:rsidP="0095099B">
            <w:pPr>
              <w:widowControl/>
              <w:jc w:val="center"/>
              <w:rPr>
                <w:rFonts w:ascii="宋体" w:eastAsia="宋体" w:hAnsi="宋体" w:cs="宋体"/>
                <w:color w:val="000000"/>
                <w:kern w:val="0"/>
                <w:sz w:val="20"/>
                <w:szCs w:val="20"/>
              </w:rPr>
            </w:pPr>
            <w:r w:rsidRPr="00160B7E">
              <w:rPr>
                <w:rFonts w:ascii="宋体" w:eastAsia="宋体" w:hAnsi="宋体" w:cs="宋体"/>
                <w:color w:val="000000"/>
                <w:kern w:val="0"/>
                <w:sz w:val="20"/>
                <w:szCs w:val="20"/>
              </w:rPr>
              <w:t xml:space="preserve">6,243,800.00 </w:t>
            </w:r>
            <w:r w:rsidR="003D3D3B" w:rsidRPr="003D3D3B">
              <w:rPr>
                <w:rFonts w:ascii="宋体" w:eastAsia="宋体" w:hAnsi="宋体" w:cs="宋体"/>
                <w:color w:val="000000"/>
                <w:kern w:val="0"/>
                <w:sz w:val="20"/>
                <w:szCs w:val="20"/>
              </w:rPr>
              <w:t xml:space="preserve"> </w:t>
            </w:r>
            <w:r w:rsidR="005E52FB" w:rsidRPr="005E52FB">
              <w:rPr>
                <w:rFonts w:ascii="宋体" w:eastAsia="宋体" w:hAnsi="宋体" w:cs="宋体"/>
                <w:color w:val="000000"/>
                <w:kern w:val="0"/>
                <w:sz w:val="20"/>
                <w:szCs w:val="20"/>
              </w:rPr>
              <w:t xml:space="preserve"> </w:t>
            </w:r>
            <w:r w:rsidR="0095099B">
              <w:rPr>
                <w:rFonts w:ascii="宋体" w:eastAsia="宋体" w:hAnsi="宋体" w:cs="宋体" w:hint="eastAsia"/>
                <w:color w:val="000000"/>
                <w:kern w:val="0"/>
                <w:sz w:val="20"/>
                <w:szCs w:val="20"/>
              </w:rPr>
              <w:t xml:space="preserve"> </w:t>
            </w:r>
          </w:p>
        </w:tc>
      </w:tr>
      <w:tr w:rsidR="005E52FB" w:rsidTr="00433D0E">
        <w:trPr>
          <w:trHeight w:val="330"/>
          <w:jc w:val="center"/>
        </w:trPr>
        <w:tc>
          <w:tcPr>
            <w:tcW w:w="637" w:type="dxa"/>
            <w:shd w:val="clear" w:color="auto" w:fill="auto"/>
            <w:noWrap/>
            <w:vAlign w:val="center"/>
          </w:tcPr>
          <w:p w:rsidR="005E52FB" w:rsidRDefault="005E52FB" w:rsidP="005E52FB">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2254" w:type="dxa"/>
            <w:shd w:val="clear" w:color="auto" w:fill="auto"/>
          </w:tcPr>
          <w:p w:rsidR="005E52FB" w:rsidRPr="00C56DAE" w:rsidRDefault="005E52FB" w:rsidP="005E52FB">
            <w:r w:rsidRPr="00C56DAE">
              <w:rPr>
                <w:rFonts w:hint="eastAsia"/>
              </w:rPr>
              <w:t>杭州市滨江区钱塘春晓花园</w:t>
            </w:r>
            <w:r w:rsidRPr="00C56DAE">
              <w:rPr>
                <w:rFonts w:hint="eastAsia"/>
              </w:rPr>
              <w:t>12</w:t>
            </w:r>
            <w:r w:rsidRPr="00C56DAE">
              <w:rPr>
                <w:rFonts w:hint="eastAsia"/>
              </w:rPr>
              <w:t>幢</w:t>
            </w:r>
            <w:r w:rsidRPr="00C56DAE">
              <w:rPr>
                <w:rFonts w:hint="eastAsia"/>
              </w:rPr>
              <w:t>2</w:t>
            </w:r>
            <w:r w:rsidRPr="00C56DAE">
              <w:rPr>
                <w:rFonts w:hint="eastAsia"/>
              </w:rPr>
              <w:t>单元</w:t>
            </w:r>
            <w:r w:rsidRPr="00C56DAE">
              <w:rPr>
                <w:rFonts w:hint="eastAsia"/>
              </w:rPr>
              <w:t>1102</w:t>
            </w:r>
            <w:r w:rsidRPr="00C56DAE">
              <w:rPr>
                <w:rFonts w:hint="eastAsia"/>
              </w:rPr>
              <w:t>室室内装修</w:t>
            </w:r>
          </w:p>
        </w:tc>
        <w:tc>
          <w:tcPr>
            <w:tcW w:w="1007" w:type="dxa"/>
            <w:shd w:val="clear" w:color="auto" w:fill="auto"/>
            <w:vAlign w:val="center"/>
          </w:tcPr>
          <w:p w:rsidR="005E52FB" w:rsidRDefault="005E52FB" w:rsidP="005E52F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w:t>
            </w:r>
          </w:p>
        </w:tc>
        <w:tc>
          <w:tcPr>
            <w:tcW w:w="1134" w:type="dxa"/>
            <w:shd w:val="clear" w:color="auto" w:fill="auto"/>
            <w:vAlign w:val="center"/>
          </w:tcPr>
          <w:p w:rsidR="005E52FB" w:rsidRDefault="005E52FB" w:rsidP="005E52F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1.00 </w:t>
            </w:r>
          </w:p>
        </w:tc>
        <w:tc>
          <w:tcPr>
            <w:tcW w:w="1726" w:type="dxa"/>
            <w:shd w:val="clear" w:color="auto" w:fill="auto"/>
            <w:vAlign w:val="center"/>
          </w:tcPr>
          <w:p w:rsidR="005E52FB" w:rsidRDefault="005E52FB" w:rsidP="005E52F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50" w:type="dxa"/>
            <w:shd w:val="clear" w:color="auto" w:fill="auto"/>
            <w:noWrap/>
          </w:tcPr>
          <w:p w:rsidR="005E52FB" w:rsidRDefault="005E52FB" w:rsidP="005E52FB">
            <w:pPr>
              <w:widowControl/>
              <w:jc w:val="center"/>
              <w:rPr>
                <w:rFonts w:ascii="宋体" w:eastAsia="宋体" w:hAnsi="宋体" w:cs="宋体"/>
                <w:color w:val="000000"/>
                <w:kern w:val="0"/>
                <w:sz w:val="20"/>
                <w:szCs w:val="20"/>
              </w:rPr>
            </w:pPr>
          </w:p>
          <w:p w:rsidR="005E52FB" w:rsidRPr="005E52FB" w:rsidRDefault="005E52FB" w:rsidP="005E52FB">
            <w:pPr>
              <w:widowControl/>
              <w:jc w:val="center"/>
              <w:rPr>
                <w:rFonts w:ascii="宋体" w:eastAsia="宋体" w:hAnsi="宋体" w:cs="宋体"/>
                <w:color w:val="000000"/>
                <w:kern w:val="0"/>
                <w:sz w:val="20"/>
                <w:szCs w:val="20"/>
              </w:rPr>
            </w:pPr>
            <w:r w:rsidRPr="005E52FB">
              <w:rPr>
                <w:rFonts w:ascii="宋体" w:eastAsia="宋体" w:hAnsi="宋体" w:cs="宋体"/>
                <w:color w:val="000000"/>
                <w:kern w:val="0"/>
                <w:sz w:val="20"/>
                <w:szCs w:val="20"/>
              </w:rPr>
              <w:t xml:space="preserve">90,700.00 </w:t>
            </w:r>
          </w:p>
        </w:tc>
        <w:tc>
          <w:tcPr>
            <w:tcW w:w="1571" w:type="dxa"/>
            <w:shd w:val="clear" w:color="auto" w:fill="auto"/>
          </w:tcPr>
          <w:p w:rsidR="005E52FB" w:rsidRDefault="005E52FB" w:rsidP="005E52FB">
            <w:pPr>
              <w:widowControl/>
              <w:jc w:val="center"/>
              <w:rPr>
                <w:rFonts w:ascii="宋体" w:eastAsia="宋体" w:hAnsi="宋体" w:cs="宋体"/>
                <w:color w:val="000000"/>
                <w:kern w:val="0"/>
                <w:sz w:val="20"/>
                <w:szCs w:val="20"/>
              </w:rPr>
            </w:pPr>
          </w:p>
          <w:p w:rsidR="005E52FB" w:rsidRPr="005E52FB" w:rsidRDefault="005E52FB" w:rsidP="005E52FB">
            <w:pPr>
              <w:widowControl/>
              <w:jc w:val="center"/>
              <w:rPr>
                <w:rFonts w:ascii="宋体" w:eastAsia="宋体" w:hAnsi="宋体" w:cs="宋体"/>
                <w:color w:val="000000"/>
                <w:kern w:val="0"/>
                <w:sz w:val="20"/>
                <w:szCs w:val="20"/>
              </w:rPr>
            </w:pPr>
            <w:r w:rsidRPr="005E52FB">
              <w:rPr>
                <w:rFonts w:ascii="宋体" w:eastAsia="宋体" w:hAnsi="宋体" w:cs="宋体"/>
                <w:color w:val="000000"/>
                <w:kern w:val="0"/>
                <w:sz w:val="20"/>
                <w:szCs w:val="20"/>
              </w:rPr>
              <w:t xml:space="preserve">68,700.00 </w:t>
            </w:r>
          </w:p>
        </w:tc>
      </w:tr>
      <w:tr w:rsidR="0095099B" w:rsidTr="00CA7EA0">
        <w:trPr>
          <w:trHeight w:val="330"/>
          <w:jc w:val="center"/>
        </w:trPr>
        <w:tc>
          <w:tcPr>
            <w:tcW w:w="637" w:type="dxa"/>
            <w:shd w:val="clear" w:color="auto" w:fill="auto"/>
            <w:noWrap/>
            <w:vAlign w:val="center"/>
          </w:tcPr>
          <w:p w:rsidR="0095099B" w:rsidRDefault="0095099B" w:rsidP="0095099B">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2254" w:type="dxa"/>
            <w:shd w:val="clear" w:color="auto" w:fill="auto"/>
          </w:tcPr>
          <w:p w:rsidR="0095099B" w:rsidRDefault="0095099B" w:rsidP="0095099B">
            <w:r w:rsidRPr="00C56DAE">
              <w:rPr>
                <w:rFonts w:hint="eastAsia"/>
              </w:rPr>
              <w:t>杭州市滨江区钱塘春晓花园</w:t>
            </w:r>
            <w:r w:rsidRPr="00C56DAE">
              <w:rPr>
                <w:rFonts w:hint="eastAsia"/>
              </w:rPr>
              <w:t>12</w:t>
            </w:r>
            <w:r w:rsidRPr="00C56DAE">
              <w:rPr>
                <w:rFonts w:hint="eastAsia"/>
              </w:rPr>
              <w:t>幢</w:t>
            </w:r>
            <w:r w:rsidRPr="00C56DAE">
              <w:rPr>
                <w:rFonts w:hint="eastAsia"/>
              </w:rPr>
              <w:t>2</w:t>
            </w:r>
            <w:r w:rsidRPr="00C56DAE">
              <w:rPr>
                <w:rFonts w:hint="eastAsia"/>
              </w:rPr>
              <w:t>单元</w:t>
            </w:r>
            <w:r w:rsidRPr="00C56DAE">
              <w:rPr>
                <w:rFonts w:hint="eastAsia"/>
              </w:rPr>
              <w:t>1102</w:t>
            </w:r>
            <w:r w:rsidRPr="00C56DAE">
              <w:rPr>
                <w:rFonts w:hint="eastAsia"/>
              </w:rPr>
              <w:t>室家具</w:t>
            </w:r>
            <w:r>
              <w:rPr>
                <w:rFonts w:hint="eastAsia"/>
              </w:rPr>
              <w:t>家电</w:t>
            </w:r>
          </w:p>
        </w:tc>
        <w:tc>
          <w:tcPr>
            <w:tcW w:w="1007" w:type="dxa"/>
            <w:shd w:val="clear" w:color="auto" w:fill="auto"/>
            <w:vAlign w:val="center"/>
          </w:tcPr>
          <w:p w:rsidR="0095099B" w:rsidRDefault="0095099B" w:rsidP="0095099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w:t>
            </w:r>
          </w:p>
        </w:tc>
        <w:tc>
          <w:tcPr>
            <w:tcW w:w="1134" w:type="dxa"/>
            <w:shd w:val="clear" w:color="auto" w:fill="auto"/>
            <w:vAlign w:val="center"/>
          </w:tcPr>
          <w:p w:rsidR="0095099B" w:rsidRDefault="0095099B" w:rsidP="0095099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1.00 </w:t>
            </w:r>
          </w:p>
        </w:tc>
        <w:tc>
          <w:tcPr>
            <w:tcW w:w="1726" w:type="dxa"/>
            <w:shd w:val="clear" w:color="auto" w:fill="auto"/>
            <w:vAlign w:val="center"/>
          </w:tcPr>
          <w:p w:rsidR="0095099B" w:rsidRDefault="0095099B" w:rsidP="0095099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50" w:type="dxa"/>
            <w:shd w:val="clear" w:color="auto" w:fill="auto"/>
            <w:noWrap/>
            <w:vAlign w:val="center"/>
          </w:tcPr>
          <w:p w:rsidR="0095099B" w:rsidRDefault="0095099B" w:rsidP="0095099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8,300.00 </w:t>
            </w:r>
          </w:p>
        </w:tc>
        <w:tc>
          <w:tcPr>
            <w:tcW w:w="1571" w:type="dxa"/>
            <w:shd w:val="clear" w:color="auto" w:fill="auto"/>
            <w:noWrap/>
            <w:vAlign w:val="center"/>
          </w:tcPr>
          <w:p w:rsidR="0095099B" w:rsidRDefault="0095099B" w:rsidP="0095099B">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5,600.00 </w:t>
            </w:r>
          </w:p>
        </w:tc>
      </w:tr>
      <w:tr w:rsidR="00A32AE3">
        <w:trPr>
          <w:trHeight w:val="623"/>
          <w:jc w:val="center"/>
        </w:trPr>
        <w:tc>
          <w:tcPr>
            <w:tcW w:w="5032" w:type="dxa"/>
            <w:gridSpan w:val="4"/>
            <w:shd w:val="clear" w:color="auto" w:fill="auto"/>
            <w:noWrap/>
            <w:vAlign w:val="center"/>
          </w:tcPr>
          <w:p w:rsidR="00A32AE3" w:rsidRDefault="00E85AC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合计</w:t>
            </w:r>
          </w:p>
        </w:tc>
        <w:tc>
          <w:tcPr>
            <w:tcW w:w="1726" w:type="dxa"/>
            <w:shd w:val="clear" w:color="auto" w:fill="auto"/>
            <w:vAlign w:val="center"/>
          </w:tcPr>
          <w:p w:rsidR="00A32AE3" w:rsidRDefault="00E85AC9">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1250" w:type="dxa"/>
            <w:shd w:val="clear" w:color="auto" w:fill="auto"/>
            <w:noWrap/>
            <w:vAlign w:val="center"/>
          </w:tcPr>
          <w:p w:rsidR="00A32AE3" w:rsidRDefault="00E85AC9">
            <w:pPr>
              <w:widowControl/>
              <w:jc w:val="center"/>
              <w:rPr>
                <w:rFonts w:ascii="宋体" w:eastAsia="宋体" w:hAnsi="宋体" w:cs="宋体"/>
                <w:kern w:val="0"/>
                <w:sz w:val="20"/>
                <w:szCs w:val="20"/>
              </w:rPr>
            </w:pPr>
            <w:r>
              <w:rPr>
                <w:rFonts w:ascii="宋体" w:eastAsia="宋体" w:hAnsi="宋体" w:cs="宋体" w:hint="eastAsia"/>
                <w:color w:val="000000"/>
                <w:kern w:val="0"/>
                <w:sz w:val="20"/>
                <w:szCs w:val="20"/>
              </w:rPr>
              <w:t>/</w:t>
            </w:r>
          </w:p>
        </w:tc>
        <w:tc>
          <w:tcPr>
            <w:tcW w:w="1571" w:type="dxa"/>
            <w:shd w:val="clear" w:color="auto" w:fill="auto"/>
            <w:noWrap/>
            <w:vAlign w:val="center"/>
          </w:tcPr>
          <w:p w:rsidR="00A32AE3" w:rsidRDefault="00160B7E">
            <w:pPr>
              <w:widowControl/>
              <w:jc w:val="center"/>
              <w:rPr>
                <w:rFonts w:ascii="宋体" w:eastAsia="宋体" w:hAnsi="宋体" w:cs="宋体"/>
                <w:kern w:val="0"/>
                <w:sz w:val="20"/>
                <w:szCs w:val="20"/>
              </w:rPr>
            </w:pPr>
            <w:r>
              <w:rPr>
                <w:rFonts w:ascii="宋体" w:eastAsia="宋体" w:hAnsi="宋体" w:cs="宋体"/>
                <w:kern w:val="0"/>
                <w:sz w:val="20"/>
                <w:szCs w:val="20"/>
              </w:rPr>
              <w:t>6,318,100.00</w:t>
            </w:r>
          </w:p>
        </w:tc>
      </w:tr>
    </w:tbl>
    <w:p w:rsidR="00A32AE3" w:rsidRDefault="00E85AC9">
      <w:pPr>
        <w:tabs>
          <w:tab w:val="left" w:pos="840"/>
        </w:tabs>
        <w:spacing w:line="360" w:lineRule="auto"/>
        <w:ind w:firstLineChars="200" w:firstLine="480"/>
        <w:rPr>
          <w:rFonts w:ascii="宋体" w:eastAsia="宋体" w:hAnsi="宋体" w:cs="宋体"/>
          <w:sz w:val="24"/>
        </w:rPr>
      </w:pPr>
      <w:r>
        <w:rPr>
          <w:rFonts w:ascii="宋体" w:eastAsia="宋体" w:hAnsi="宋体" w:cs="宋体" w:hint="eastAsia"/>
          <w:sz w:val="24"/>
        </w:rPr>
        <w:t>评估结论的详细情况见评估明细表。</w:t>
      </w:r>
    </w:p>
    <w:p w:rsidR="00A32AE3" w:rsidRDefault="00E85AC9">
      <w:pPr>
        <w:tabs>
          <w:tab w:val="left" w:pos="540"/>
        </w:tabs>
        <w:spacing w:line="360" w:lineRule="auto"/>
        <w:outlineLvl w:val="0"/>
        <w:rPr>
          <w:rFonts w:ascii="宋体" w:eastAsia="宋体" w:hAnsi="宋体" w:cs="宋体"/>
          <w:sz w:val="24"/>
        </w:rPr>
      </w:pPr>
      <w:bookmarkStart w:id="53" w:name="_Toc938550791_WPSOffice_Level1"/>
      <w:bookmarkStart w:id="54" w:name="_Toc37185848"/>
      <w:bookmarkStart w:id="55" w:name="_Toc117164036"/>
      <w:r>
        <w:rPr>
          <w:rFonts w:ascii="宋体" w:eastAsia="宋体" w:hAnsi="宋体" w:cs="宋体" w:hint="eastAsia"/>
          <w:b/>
          <w:sz w:val="24"/>
          <w:lang w:eastAsia="zh-Hans"/>
        </w:rPr>
        <w:t>十一、</w:t>
      </w:r>
      <w:r>
        <w:rPr>
          <w:rFonts w:ascii="宋体" w:eastAsia="宋体" w:hAnsi="宋体" w:cs="宋体" w:hint="eastAsia"/>
          <w:b/>
          <w:sz w:val="24"/>
        </w:rPr>
        <w:t>特别事项说明</w:t>
      </w:r>
      <w:bookmarkEnd w:id="52"/>
      <w:bookmarkEnd w:id="53"/>
      <w:bookmarkEnd w:id="54"/>
      <w:bookmarkEnd w:id="55"/>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以下为在评估过程中已发现可能影响评估结论但非评估人员执业水平和能力所能评定估算的有关事项(包括但不限于以下)：</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（一）未决事项、法律纠纷等不确定因素</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本报告未发现未决事项、法律纠纷等不确定因素。</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（二）重大期后事项</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期后事项是指评估基准日之后出具评估报告之前发生的重大事项。</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本报告无重大期后事项。</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（三）其他需要说明的事项</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rPr>
        <w:t>1、</w:t>
      </w:r>
      <w:r>
        <w:rPr>
          <w:rFonts w:ascii="宋体" w:eastAsia="宋体" w:hAnsi="宋体" w:cs="宋体" w:hint="eastAsia"/>
          <w:color w:val="000000"/>
          <w:sz w:val="24"/>
          <w:lang w:val="zh-CN"/>
        </w:rPr>
        <w:t>评估师和评估机构的法律责任是对本报告所述评估目的下的资产价值量做出专业判断，并不涉及到评估师和评估机构对该项评估目的所对应的经济行为做出任何判断。</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2、 评估报告中涉及的有关权属证明文件及相关资料由委托人提供，委托人</w:t>
      </w:r>
      <w:r>
        <w:rPr>
          <w:rFonts w:ascii="宋体" w:eastAsia="宋体" w:hAnsi="宋体" w:cs="宋体" w:hint="eastAsia"/>
          <w:color w:val="000000"/>
          <w:sz w:val="24"/>
          <w:lang w:val="zh-CN"/>
        </w:rPr>
        <w:lastRenderedPageBreak/>
        <w:t>对其真实性、合法性承担法律责任。</w:t>
      </w:r>
    </w:p>
    <w:p w:rsidR="00A32AE3" w:rsidRDefault="00E85AC9">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color w:val="000000"/>
          <w:sz w:val="24"/>
        </w:rPr>
        <w:t>3、</w:t>
      </w:r>
      <w:r>
        <w:rPr>
          <w:rFonts w:ascii="宋体" w:eastAsia="宋体" w:hAnsi="宋体" w:cs="宋体" w:hint="eastAsia"/>
          <w:sz w:val="24"/>
        </w:rPr>
        <w:t>本次评估，评估专业人员在假定委托人提供的有关资料是真实、有效的前提下，通过现场勘查对委评资产在基准日的结构等物理现状进行判断，未对其结构等物理状况做专项技术检测。</w:t>
      </w:r>
    </w:p>
    <w:p w:rsidR="00A32AE3" w:rsidRDefault="00E85AC9">
      <w:pPr>
        <w:spacing w:line="360" w:lineRule="auto"/>
        <w:ind w:firstLineChars="200" w:firstLine="480"/>
        <w:rPr>
          <w:rFonts w:ascii="宋体" w:eastAsia="宋体" w:hAnsi="宋体" w:cs="宋体"/>
          <w:sz w:val="24"/>
        </w:rPr>
      </w:pPr>
      <w:r>
        <w:rPr>
          <w:rFonts w:ascii="宋体" w:eastAsia="宋体" w:hAnsi="宋体" w:cs="宋体" w:hint="eastAsia"/>
          <w:sz w:val="24"/>
        </w:rPr>
        <w:t>4、未考虑评估费、拍卖费、诉讼费、律师费以及交易税费等财产处置费用对评估结论的影响。</w:t>
      </w:r>
    </w:p>
    <w:p w:rsidR="00A32AE3" w:rsidRDefault="00E85AC9">
      <w:pPr>
        <w:pStyle w:val="Default"/>
        <w:spacing w:line="360" w:lineRule="auto"/>
        <w:ind w:firstLineChars="200" w:firstLine="480"/>
        <w:rPr>
          <w:rFonts w:hAnsi="宋体"/>
        </w:rPr>
      </w:pPr>
      <w:r>
        <w:rPr>
          <w:rFonts w:hAnsi="宋体" w:hint="eastAsia"/>
        </w:rPr>
        <w:t>5、未考虑查封、设立担保物权和其他优先受偿权对其价值的任何影响。</w:t>
      </w:r>
    </w:p>
    <w:p w:rsidR="00A32AE3" w:rsidRDefault="00E85AC9">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6、截至评估基准日，评估对象处于空置状态。</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rPr>
        <w:t>7、</w:t>
      </w:r>
      <w:r>
        <w:rPr>
          <w:rFonts w:ascii="宋体" w:eastAsia="宋体" w:hAnsi="宋体" w:cs="宋体" w:hint="eastAsia"/>
          <w:color w:val="000000"/>
          <w:sz w:val="24"/>
          <w:lang w:val="zh-CN"/>
        </w:rPr>
        <w:t>在评估基准日以后的有效期内，如果资产数量及作价标准发生变化时，应按以下原则处理：</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w:t>
      </w:r>
      <w:r>
        <w:rPr>
          <w:rFonts w:ascii="宋体" w:eastAsia="宋体" w:hAnsi="宋体" w:cs="宋体" w:hint="eastAsia"/>
          <w:color w:val="000000"/>
          <w:sz w:val="24"/>
        </w:rPr>
        <w:t>1）</w:t>
      </w:r>
      <w:r>
        <w:rPr>
          <w:rFonts w:ascii="宋体" w:eastAsia="宋体" w:hAnsi="宋体" w:cs="宋体" w:hint="eastAsia"/>
          <w:color w:val="000000"/>
          <w:sz w:val="24"/>
          <w:lang w:val="zh-CN"/>
        </w:rPr>
        <w:t>当资产数量发生变化时，应根据原评估方法对资产数额进行相应调整；</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w:t>
      </w:r>
      <w:r>
        <w:rPr>
          <w:rFonts w:ascii="宋体" w:eastAsia="宋体" w:hAnsi="宋体" w:cs="宋体" w:hint="eastAsia"/>
          <w:color w:val="000000"/>
          <w:sz w:val="24"/>
        </w:rPr>
        <w:t>2）</w:t>
      </w:r>
      <w:r>
        <w:rPr>
          <w:rFonts w:ascii="宋体" w:eastAsia="宋体" w:hAnsi="宋体" w:cs="宋体" w:hint="eastAsia"/>
          <w:color w:val="000000"/>
          <w:sz w:val="24"/>
          <w:lang w:val="zh-CN"/>
        </w:rPr>
        <w:t>当资产价格标准发生变化、且对资产评估结果产生明显影响时，委托人应及时聘请有资格的资产评估机构重新确定评估价值；</w:t>
      </w:r>
    </w:p>
    <w:p w:rsidR="00A32AE3" w:rsidRDefault="00E85AC9">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w:t>
      </w:r>
      <w:r>
        <w:rPr>
          <w:rFonts w:ascii="宋体" w:eastAsia="宋体" w:hAnsi="宋体" w:cs="宋体" w:hint="eastAsia"/>
          <w:color w:val="000000"/>
          <w:sz w:val="24"/>
        </w:rPr>
        <w:t>3）</w:t>
      </w:r>
      <w:r>
        <w:rPr>
          <w:rFonts w:ascii="宋体" w:eastAsia="宋体" w:hAnsi="宋体" w:cs="宋体" w:hint="eastAsia"/>
          <w:color w:val="000000"/>
          <w:sz w:val="24"/>
          <w:lang w:val="zh-CN"/>
        </w:rPr>
        <w:t>对评估基准日后，资产数量、价格标准的变化，委托人在资产实际作价时应给予充分考虑，进行相应调整。</w:t>
      </w:r>
    </w:p>
    <w:p w:rsidR="003D3D3B" w:rsidRDefault="003D3D3B">
      <w:pPr>
        <w:spacing w:line="360" w:lineRule="auto"/>
        <w:ind w:firstLineChars="200" w:firstLine="480"/>
        <w:rPr>
          <w:rFonts w:ascii="宋体" w:eastAsia="宋体" w:hAnsi="宋体" w:cs="宋体"/>
          <w:color w:val="000000"/>
          <w:sz w:val="24"/>
          <w:lang w:val="zh-CN"/>
        </w:rPr>
      </w:pPr>
      <w:r>
        <w:rPr>
          <w:rFonts w:ascii="宋体" w:eastAsia="宋体" w:hAnsi="宋体" w:cs="宋体" w:hint="eastAsia"/>
          <w:color w:val="000000"/>
          <w:sz w:val="24"/>
          <w:lang w:val="zh-CN"/>
        </w:rPr>
        <w:t>8、未与被执行人取得联系，现场勘查由评估人员进行。</w:t>
      </w:r>
    </w:p>
    <w:p w:rsidR="00A32AE3" w:rsidRDefault="00E85AC9">
      <w:pPr>
        <w:spacing w:line="360" w:lineRule="auto"/>
        <w:jc w:val="center"/>
        <w:rPr>
          <w:rFonts w:ascii="宋体" w:eastAsia="宋体" w:hAnsi="宋体" w:cs="宋体"/>
          <w:b/>
          <w:i/>
          <w:sz w:val="28"/>
          <w:szCs w:val="28"/>
        </w:rPr>
      </w:pPr>
      <w:r>
        <w:rPr>
          <w:rFonts w:ascii="宋体" w:eastAsia="宋体" w:hAnsi="宋体" w:cs="宋体" w:hint="eastAsia"/>
          <w:b/>
          <w:i/>
          <w:sz w:val="28"/>
          <w:szCs w:val="28"/>
        </w:rPr>
        <w:t>评估报告使用者应注意以上的特别事项对评估结论所产生的影响。</w:t>
      </w:r>
    </w:p>
    <w:p w:rsidR="00A32AE3" w:rsidRDefault="00E85AC9">
      <w:pPr>
        <w:tabs>
          <w:tab w:val="left" w:pos="540"/>
        </w:tabs>
        <w:spacing w:line="360" w:lineRule="auto"/>
        <w:outlineLvl w:val="0"/>
        <w:rPr>
          <w:rFonts w:ascii="宋体" w:eastAsia="宋体" w:hAnsi="宋体" w:cs="宋体"/>
          <w:b/>
          <w:sz w:val="24"/>
        </w:rPr>
      </w:pPr>
      <w:bookmarkStart w:id="56" w:name="_Toc955757122_WPSOffice_Level1"/>
      <w:bookmarkStart w:id="57" w:name="_Toc37185849"/>
      <w:bookmarkStart w:id="58" w:name="_Toc275872931"/>
      <w:bookmarkStart w:id="59" w:name="_Toc117164037"/>
      <w:r>
        <w:rPr>
          <w:rFonts w:ascii="宋体" w:eastAsia="宋体" w:hAnsi="宋体" w:cs="宋体" w:hint="eastAsia"/>
          <w:b/>
          <w:sz w:val="24"/>
          <w:lang w:eastAsia="zh-Hans"/>
        </w:rPr>
        <w:t>十二、</w:t>
      </w:r>
      <w:r>
        <w:rPr>
          <w:rFonts w:ascii="宋体" w:eastAsia="宋体" w:hAnsi="宋体" w:cs="宋体" w:hint="eastAsia"/>
          <w:b/>
          <w:sz w:val="24"/>
        </w:rPr>
        <w:t>评估报告使用限制说明</w:t>
      </w:r>
      <w:bookmarkEnd w:id="56"/>
      <w:bookmarkEnd w:id="57"/>
      <w:bookmarkEnd w:id="58"/>
      <w:bookmarkEnd w:id="59"/>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0" w:name="_Toc117164038"/>
      <w:r>
        <w:rPr>
          <w:rFonts w:ascii="宋体" w:eastAsia="宋体" w:hAnsi="宋体" w:cs="宋体" w:hint="eastAsia"/>
          <w:bCs/>
          <w:sz w:val="24"/>
        </w:rPr>
        <w:t>（一）评估报告仅用于评估报告载明的评估目的和用途；</w:t>
      </w:r>
      <w:bookmarkEnd w:id="60"/>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1" w:name="_Toc117164039"/>
      <w:r>
        <w:rPr>
          <w:rFonts w:ascii="宋体" w:eastAsia="宋体" w:hAnsi="宋体" w:cs="宋体" w:hint="eastAsia"/>
          <w:bCs/>
          <w:sz w:val="24"/>
        </w:rPr>
        <w:t>（二）评估报告只能由评估报告载明的评估报告使用者使用；</w:t>
      </w:r>
      <w:bookmarkEnd w:id="61"/>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2" w:name="_Toc117164040"/>
      <w:r>
        <w:rPr>
          <w:rFonts w:ascii="宋体" w:eastAsia="宋体" w:hAnsi="宋体" w:cs="宋体" w:hint="eastAsia"/>
          <w:bCs/>
          <w:sz w:val="24"/>
        </w:rPr>
        <w:t>（三）评估报告未经核准或者备案，评估结论不得被使用；</w:t>
      </w:r>
      <w:bookmarkEnd w:id="62"/>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3" w:name="_Toc117164041"/>
      <w:r>
        <w:rPr>
          <w:rFonts w:ascii="宋体" w:eastAsia="宋体" w:hAnsi="宋体" w:cs="宋体" w:hint="eastAsia"/>
          <w:bCs/>
          <w:sz w:val="24"/>
        </w:rPr>
        <w:t>（四）委托人或其他资产评估报告使用人未按法律法规及资产评估报告载明的使用范围使用资产评估报告的，资产评估机构及其资产评估师不承担责任；</w:t>
      </w:r>
      <w:bookmarkEnd w:id="63"/>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4" w:name="_Toc117164042"/>
      <w:r>
        <w:rPr>
          <w:rFonts w:ascii="宋体" w:eastAsia="宋体" w:hAnsi="宋体" w:cs="宋体" w:hint="eastAsia"/>
          <w:bCs/>
          <w:sz w:val="24"/>
        </w:rPr>
        <w:t>（五）资产评估报告使用人应当正确理解评估结论，评估结论不等同于评估对象可实现价格，评估结论不应当被认为是对评估对象可实现价格的保证；</w:t>
      </w:r>
      <w:bookmarkEnd w:id="64"/>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5" w:name="_Toc117164043"/>
      <w:r>
        <w:rPr>
          <w:rFonts w:ascii="宋体" w:eastAsia="宋体" w:hAnsi="宋体" w:cs="宋体" w:hint="eastAsia"/>
          <w:bCs/>
          <w:sz w:val="24"/>
        </w:rPr>
        <w:t>（六）未征得杭州富诚资产评估有限公司的同意，评估报告的内容不得被摘抄、引用或披露于公开媒体，法律、法规规定以及相关当事方另有约定的除外；</w:t>
      </w:r>
      <w:bookmarkEnd w:id="65"/>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6" w:name="_Toc117164044"/>
      <w:r>
        <w:rPr>
          <w:rFonts w:ascii="宋体" w:eastAsia="宋体" w:hAnsi="宋体" w:cs="宋体" w:hint="eastAsia"/>
          <w:bCs/>
          <w:sz w:val="24"/>
        </w:rPr>
        <w:t>（七）评估报告及评估结论的使用有效期。本报告书评估结论的有效期限为壹年，自评估基准日2022年10月17日起2023年10月16日止，当评估目的在</w:t>
      </w:r>
      <w:r>
        <w:rPr>
          <w:rFonts w:ascii="宋体" w:eastAsia="宋体" w:hAnsi="宋体" w:cs="宋体" w:hint="eastAsia"/>
          <w:bCs/>
          <w:sz w:val="24"/>
        </w:rPr>
        <w:lastRenderedPageBreak/>
        <w:t>有效期内实现时，以评估结论作为资产作价的依据，超过期限，需重新确定评估结论；</w:t>
      </w:r>
      <w:bookmarkEnd w:id="66"/>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7" w:name="_Toc117164045"/>
      <w:r>
        <w:rPr>
          <w:rFonts w:ascii="宋体" w:eastAsia="宋体" w:hAnsi="宋体" w:cs="宋体" w:hint="eastAsia"/>
          <w:bCs/>
          <w:sz w:val="24"/>
        </w:rPr>
        <w:t>（八）本评估报告在评估机构签字盖章后，具有法律效力；</w:t>
      </w:r>
      <w:bookmarkEnd w:id="67"/>
    </w:p>
    <w:p w:rsidR="00A32AE3" w:rsidRDefault="00E85AC9">
      <w:pPr>
        <w:tabs>
          <w:tab w:val="left" w:pos="540"/>
        </w:tabs>
        <w:adjustRightInd w:val="0"/>
        <w:spacing w:line="360" w:lineRule="auto"/>
        <w:ind w:firstLineChars="200" w:firstLine="480"/>
        <w:outlineLvl w:val="0"/>
        <w:rPr>
          <w:rFonts w:ascii="宋体" w:eastAsia="宋体" w:hAnsi="宋体" w:cs="宋体"/>
          <w:bCs/>
          <w:sz w:val="24"/>
        </w:rPr>
      </w:pPr>
      <w:bookmarkStart w:id="68" w:name="_Toc117164046"/>
      <w:r>
        <w:rPr>
          <w:rFonts w:ascii="宋体" w:eastAsia="宋体" w:hAnsi="宋体" w:cs="宋体" w:hint="eastAsia"/>
          <w:bCs/>
          <w:sz w:val="24"/>
        </w:rPr>
        <w:t>（九）本报告书的评估结论仅供委托人为本次评估目的使用，报告书的使用</w:t>
      </w:r>
      <w:bookmarkEnd w:id="68"/>
    </w:p>
    <w:p w:rsidR="00A32AE3" w:rsidRDefault="00E85AC9">
      <w:pPr>
        <w:tabs>
          <w:tab w:val="left" w:pos="540"/>
        </w:tabs>
        <w:adjustRightInd w:val="0"/>
        <w:spacing w:line="360" w:lineRule="auto"/>
        <w:outlineLvl w:val="0"/>
        <w:rPr>
          <w:rFonts w:ascii="宋体" w:eastAsia="宋体" w:hAnsi="宋体" w:cs="宋体"/>
          <w:bCs/>
          <w:sz w:val="24"/>
        </w:rPr>
      </w:pPr>
      <w:bookmarkStart w:id="69" w:name="_Toc117164047"/>
      <w:r>
        <w:rPr>
          <w:rFonts w:ascii="宋体" w:eastAsia="宋体" w:hAnsi="宋体" w:cs="宋体" w:hint="eastAsia"/>
          <w:bCs/>
          <w:sz w:val="24"/>
        </w:rPr>
        <w:t>权归委托人所有，未经委托人许可，我公司不能随意向他人公开。</w:t>
      </w:r>
      <w:bookmarkEnd w:id="69"/>
    </w:p>
    <w:p w:rsidR="00A32AE3" w:rsidRDefault="00E85AC9">
      <w:pPr>
        <w:tabs>
          <w:tab w:val="left" w:pos="540"/>
        </w:tabs>
        <w:spacing w:line="360" w:lineRule="auto"/>
        <w:outlineLvl w:val="0"/>
        <w:rPr>
          <w:rFonts w:ascii="宋体" w:eastAsia="宋体" w:hAnsi="宋体" w:cs="宋体"/>
          <w:b/>
          <w:sz w:val="24"/>
        </w:rPr>
      </w:pPr>
      <w:bookmarkStart w:id="70" w:name="_Toc275872932"/>
      <w:bookmarkStart w:id="71" w:name="_Toc117164048"/>
      <w:bookmarkStart w:id="72" w:name="_Toc232269894_WPSOffice_Level1"/>
      <w:bookmarkStart w:id="73" w:name="_Toc222741556"/>
      <w:bookmarkStart w:id="74" w:name="_Toc37185850"/>
      <w:bookmarkStart w:id="75" w:name="_Toc530303619"/>
      <w:bookmarkStart w:id="76" w:name="_Toc105580759"/>
      <w:r>
        <w:rPr>
          <w:rFonts w:ascii="宋体" w:eastAsia="宋体" w:hAnsi="宋体" w:cs="宋体" w:hint="eastAsia"/>
          <w:b/>
          <w:sz w:val="24"/>
          <w:lang w:eastAsia="zh-Hans"/>
        </w:rPr>
        <w:t>十三、</w:t>
      </w:r>
      <w:r>
        <w:rPr>
          <w:rFonts w:ascii="宋体" w:eastAsia="宋体" w:hAnsi="宋体" w:cs="宋体" w:hint="eastAsia"/>
          <w:b/>
          <w:sz w:val="24"/>
        </w:rPr>
        <w:t>评估报告日</w:t>
      </w:r>
      <w:bookmarkEnd w:id="70"/>
      <w:bookmarkEnd w:id="71"/>
      <w:bookmarkEnd w:id="72"/>
      <w:bookmarkEnd w:id="73"/>
      <w:bookmarkEnd w:id="74"/>
      <w:bookmarkEnd w:id="75"/>
      <w:bookmarkEnd w:id="76"/>
    </w:p>
    <w:p w:rsidR="00A32AE3" w:rsidRDefault="00E85AC9">
      <w:pPr>
        <w:tabs>
          <w:tab w:val="left" w:pos="540"/>
        </w:tabs>
        <w:spacing w:line="360" w:lineRule="auto"/>
        <w:ind w:firstLineChars="200" w:firstLine="480"/>
        <w:outlineLvl w:val="0"/>
        <w:rPr>
          <w:rFonts w:ascii="宋体" w:eastAsia="宋体" w:hAnsi="宋体" w:cs="宋体"/>
          <w:b/>
          <w:bCs/>
          <w:sz w:val="24"/>
        </w:rPr>
      </w:pPr>
      <w:bookmarkStart w:id="77" w:name="_Toc4697077"/>
      <w:bookmarkStart w:id="78" w:name="_Toc37185651"/>
      <w:bookmarkStart w:id="79" w:name="_Toc37185851"/>
      <w:bookmarkStart w:id="80" w:name="_Toc4697049"/>
      <w:bookmarkStart w:id="81" w:name="_Toc117164049"/>
      <w:r>
        <w:rPr>
          <w:rFonts w:ascii="宋体" w:eastAsia="宋体" w:hAnsi="宋体" w:cs="宋体" w:hint="eastAsia"/>
          <w:sz w:val="24"/>
          <w:lang w:eastAsia="zh-Hans"/>
        </w:rPr>
        <w:t>本</w:t>
      </w:r>
      <w:r>
        <w:rPr>
          <w:rFonts w:ascii="宋体" w:eastAsia="宋体" w:hAnsi="宋体" w:cs="宋体" w:hint="eastAsia"/>
          <w:sz w:val="24"/>
        </w:rPr>
        <w:t>评估报告的</w:t>
      </w:r>
      <w:r>
        <w:rPr>
          <w:rFonts w:ascii="宋体" w:eastAsia="宋体" w:hAnsi="宋体" w:cs="宋体" w:hint="eastAsia"/>
          <w:sz w:val="24"/>
          <w:lang w:eastAsia="zh-Hans"/>
        </w:rPr>
        <w:t>报告日为</w:t>
      </w:r>
      <w:r>
        <w:rPr>
          <w:rFonts w:ascii="宋体" w:eastAsia="宋体" w:hAnsi="宋体" w:cs="宋体" w:hint="eastAsia"/>
          <w:sz w:val="24"/>
        </w:rPr>
        <w:t>：</w:t>
      </w:r>
      <w:bookmarkEnd w:id="77"/>
      <w:bookmarkEnd w:id="78"/>
      <w:bookmarkEnd w:id="79"/>
      <w:bookmarkEnd w:id="80"/>
      <w:r>
        <w:rPr>
          <w:rFonts w:ascii="宋体" w:eastAsia="宋体" w:hAnsi="宋体" w:cs="宋体" w:hint="eastAsia"/>
          <w:sz w:val="24"/>
        </w:rPr>
        <w:t>二〇二二年十月二十日。</w:t>
      </w:r>
      <w:bookmarkStart w:id="82" w:name="_Toc1782321859_WPSOffice_Level1"/>
      <w:bookmarkEnd w:id="81"/>
    </w:p>
    <w:p w:rsidR="00A32AE3" w:rsidRDefault="00E85AC9">
      <w:pPr>
        <w:spacing w:line="360" w:lineRule="auto"/>
        <w:rPr>
          <w:rFonts w:ascii="宋体" w:eastAsia="宋体" w:hAnsi="宋体" w:cs="宋体"/>
          <w:sz w:val="24"/>
        </w:rPr>
      </w:pPr>
      <w:r>
        <w:rPr>
          <w:rFonts w:ascii="宋体" w:eastAsia="宋体" w:hAnsi="宋体" w:cs="宋体" w:hint="eastAsia"/>
          <w:b/>
          <w:bCs/>
          <w:sz w:val="24"/>
        </w:rPr>
        <w:t>十四、 资产评估专业人员签名和资产评估机构印章</w:t>
      </w:r>
      <w:bookmarkEnd w:id="82"/>
    </w:p>
    <w:p w:rsidR="00A32AE3" w:rsidRDefault="00A32AE3">
      <w:pPr>
        <w:pStyle w:val="Default"/>
        <w:rPr>
          <w:rFonts w:hAnsi="宋体"/>
        </w:rPr>
      </w:pPr>
    </w:p>
    <w:p w:rsidR="00A32AE3" w:rsidRDefault="00E85AC9">
      <w:pPr>
        <w:spacing w:line="360" w:lineRule="auto"/>
        <w:rPr>
          <w:rFonts w:ascii="宋体" w:eastAsia="宋体" w:hAnsi="宋体" w:cs="宋体"/>
          <w:sz w:val="24"/>
        </w:rPr>
      </w:pPr>
      <w:r>
        <w:rPr>
          <w:rFonts w:ascii="宋体" w:eastAsia="宋体" w:hAnsi="宋体" w:cs="宋体" w:hint="eastAsia"/>
          <w:sz w:val="24"/>
        </w:rPr>
        <w:t>杭州富诚资产评估有限公司              资产评估师：</w:t>
      </w:r>
    </w:p>
    <w:p w:rsidR="00A32AE3" w:rsidRDefault="00A32AE3">
      <w:pPr>
        <w:spacing w:line="360" w:lineRule="auto"/>
        <w:ind w:firstLineChars="200" w:firstLine="480"/>
        <w:rPr>
          <w:rFonts w:ascii="宋体" w:eastAsia="宋体" w:hAnsi="宋体" w:cs="宋体"/>
          <w:sz w:val="24"/>
        </w:rPr>
      </w:pPr>
    </w:p>
    <w:p w:rsidR="00A32AE3" w:rsidRDefault="00A32AE3">
      <w:pPr>
        <w:pStyle w:val="Default"/>
        <w:rPr>
          <w:rFonts w:hAnsi="宋体"/>
        </w:rPr>
      </w:pPr>
    </w:p>
    <w:p w:rsidR="00A32AE3" w:rsidRDefault="00E85AC9">
      <w:pPr>
        <w:pStyle w:val="a3"/>
        <w:spacing w:line="360" w:lineRule="auto"/>
        <w:ind w:firstLineChars="1912" w:firstLine="4589"/>
        <w:rPr>
          <w:rFonts w:ascii="宋体" w:eastAsia="宋体" w:hAnsi="宋体" w:cs="宋体"/>
          <w:sz w:val="24"/>
          <w:szCs w:val="24"/>
        </w:rPr>
      </w:pPr>
      <w:r>
        <w:rPr>
          <w:rFonts w:ascii="宋体" w:eastAsia="宋体" w:hAnsi="宋体" w:cs="宋体" w:hint="eastAsia"/>
          <w:sz w:val="24"/>
          <w:szCs w:val="24"/>
        </w:rPr>
        <w:t xml:space="preserve">资产评估师：  </w:t>
      </w:r>
    </w:p>
    <w:p w:rsidR="00A32AE3" w:rsidRDefault="00A32AE3">
      <w:pPr>
        <w:pStyle w:val="a3"/>
        <w:spacing w:line="360" w:lineRule="auto"/>
        <w:ind w:firstLineChars="1912" w:firstLine="4589"/>
        <w:rPr>
          <w:rFonts w:ascii="宋体" w:eastAsia="宋体" w:hAnsi="宋体" w:cs="宋体"/>
          <w:sz w:val="24"/>
        </w:rPr>
      </w:pPr>
    </w:p>
    <w:p w:rsidR="00A32AE3" w:rsidRDefault="00A32AE3">
      <w:pPr>
        <w:spacing w:line="360" w:lineRule="auto"/>
        <w:ind w:firstLine="510"/>
        <w:rPr>
          <w:rFonts w:ascii="宋体" w:eastAsia="宋体" w:hAnsi="宋体" w:cs="宋体"/>
          <w:sz w:val="24"/>
        </w:rPr>
      </w:pPr>
    </w:p>
    <w:p w:rsidR="00A32AE3" w:rsidRDefault="00E85AC9">
      <w:pPr>
        <w:spacing w:line="360" w:lineRule="auto"/>
        <w:ind w:firstLine="510"/>
        <w:rPr>
          <w:rFonts w:hAnsi="宋体"/>
          <w:sz w:val="44"/>
          <w:szCs w:val="44"/>
        </w:rPr>
      </w:pPr>
      <w:r>
        <w:rPr>
          <w:rFonts w:ascii="宋体" w:eastAsia="宋体" w:hAnsi="宋体" w:cs="宋体" w:hint="eastAsia"/>
          <w:sz w:val="24"/>
        </w:rPr>
        <w:t>浙江</w:t>
      </w:r>
      <w:r>
        <w:rPr>
          <w:rFonts w:ascii="微软雅黑" w:eastAsia="微软雅黑" w:hAnsi="微软雅黑" w:cs="微软雅黑" w:hint="eastAsia"/>
          <w:sz w:val="24"/>
        </w:rPr>
        <w:t>・</w:t>
      </w:r>
      <w:r>
        <w:rPr>
          <w:rFonts w:ascii="宋体" w:eastAsia="宋体" w:hAnsi="宋体" w:cs="宋体" w:hint="eastAsia"/>
          <w:sz w:val="24"/>
        </w:rPr>
        <w:t>杭州</w:t>
      </w:r>
      <w:bookmarkStart w:id="83" w:name="_Toc530299041"/>
      <w:bookmarkStart w:id="84" w:name="_Toc530303620"/>
      <w:r>
        <w:rPr>
          <w:rFonts w:ascii="宋体" w:eastAsia="宋体" w:hAnsi="宋体" w:cs="宋体" w:hint="eastAsia"/>
          <w:sz w:val="24"/>
        </w:rPr>
        <w:t xml:space="preserve">  </w:t>
      </w:r>
      <w:bookmarkEnd w:id="83"/>
      <w:bookmarkEnd w:id="84"/>
      <w:r>
        <w:rPr>
          <w:rFonts w:ascii="宋体" w:eastAsia="宋体" w:hAnsi="宋体" w:cs="宋体" w:hint="eastAsia"/>
          <w:sz w:val="24"/>
        </w:rPr>
        <w:t xml:space="preserve">                           </w:t>
      </w:r>
      <w:bookmarkStart w:id="85" w:name="_Toc234092210_WPSOffice_Level1"/>
      <w:bookmarkStart w:id="86" w:name="_Toc37185852"/>
      <w:r>
        <w:rPr>
          <w:rFonts w:ascii="宋体" w:eastAsia="宋体" w:hAnsi="宋体" w:cs="宋体" w:hint="eastAsia"/>
          <w:sz w:val="24"/>
        </w:rPr>
        <w:t>二〇二二年十月二十日</w:t>
      </w:r>
    </w:p>
    <w:p w:rsidR="00A32AE3" w:rsidRDefault="00E85AC9">
      <w:pPr>
        <w:widowControl/>
        <w:jc w:val="left"/>
        <w:rPr>
          <w:rFonts w:ascii="宋体" w:eastAsia="宋体" w:hAnsi="宋体" w:cs="宋体"/>
          <w:b/>
          <w:bCs/>
          <w:sz w:val="44"/>
          <w:szCs w:val="44"/>
        </w:rPr>
      </w:pPr>
      <w:r>
        <w:rPr>
          <w:rFonts w:ascii="宋体" w:eastAsia="宋体" w:hAnsi="宋体" w:cs="宋体"/>
          <w:sz w:val="44"/>
          <w:szCs w:val="44"/>
        </w:rPr>
        <w:br w:type="page"/>
      </w:r>
    </w:p>
    <w:p w:rsidR="00A32AE3" w:rsidRDefault="00E85AC9">
      <w:pPr>
        <w:pStyle w:val="af"/>
        <w:rPr>
          <w:rFonts w:ascii="宋体" w:eastAsia="宋体" w:hAnsi="宋体" w:cs="宋体"/>
          <w:sz w:val="44"/>
          <w:szCs w:val="44"/>
        </w:rPr>
      </w:pPr>
      <w:bookmarkStart w:id="87" w:name="_Toc117164050"/>
      <w:r>
        <w:rPr>
          <w:rFonts w:ascii="宋体" w:eastAsia="宋体" w:hAnsi="宋体" w:cs="宋体" w:hint="eastAsia"/>
          <w:sz w:val="44"/>
          <w:szCs w:val="44"/>
        </w:rPr>
        <w:lastRenderedPageBreak/>
        <w:t>备查文件目录</w:t>
      </w:r>
      <w:bookmarkEnd w:id="85"/>
      <w:bookmarkEnd w:id="86"/>
      <w:bookmarkEnd w:id="87"/>
    </w:p>
    <w:p w:rsidR="00A32AE3" w:rsidRDefault="00A32AE3">
      <w:pPr>
        <w:tabs>
          <w:tab w:val="left" w:pos="540"/>
        </w:tabs>
        <w:spacing w:beforeLines="50" w:before="156" w:line="360" w:lineRule="auto"/>
        <w:jc w:val="center"/>
        <w:outlineLvl w:val="0"/>
        <w:rPr>
          <w:rFonts w:ascii="宋体" w:eastAsia="宋体" w:hAnsi="宋体" w:cs="宋体"/>
          <w:b/>
          <w:sz w:val="44"/>
          <w:szCs w:val="44"/>
        </w:rPr>
      </w:pPr>
    </w:p>
    <w:p w:rsidR="00A32AE3" w:rsidRDefault="00E85AC9">
      <w:pPr>
        <w:tabs>
          <w:tab w:val="left" w:pos="900"/>
        </w:tabs>
        <w:spacing w:line="360" w:lineRule="auto"/>
        <w:ind w:left="750"/>
        <w:rPr>
          <w:rFonts w:ascii="宋体" w:eastAsia="宋体" w:hAnsi="宋体" w:cs="宋体"/>
          <w:color w:val="000000"/>
          <w:w w:val="90"/>
          <w:sz w:val="28"/>
          <w:szCs w:val="28"/>
        </w:rPr>
      </w:pPr>
      <w:bookmarkStart w:id="88" w:name="_Toc197732166_WPSOffice_Level1"/>
      <w:r>
        <w:rPr>
          <w:rFonts w:ascii="宋体" w:eastAsia="宋体" w:hAnsi="宋体" w:cs="宋体" w:hint="eastAsia"/>
          <w:color w:val="000000"/>
          <w:w w:val="90"/>
          <w:sz w:val="28"/>
          <w:szCs w:val="28"/>
        </w:rPr>
        <w:t>1、资产评估汇总表及明细表</w:t>
      </w:r>
      <w:bookmarkEnd w:id="88"/>
    </w:p>
    <w:p w:rsidR="00A32AE3" w:rsidRDefault="00E85AC9">
      <w:pPr>
        <w:tabs>
          <w:tab w:val="left" w:pos="900"/>
        </w:tabs>
        <w:spacing w:line="360" w:lineRule="auto"/>
        <w:ind w:left="750"/>
        <w:jc w:val="left"/>
        <w:rPr>
          <w:rFonts w:ascii="宋体" w:eastAsia="宋体" w:hAnsi="宋体" w:cs="宋体"/>
          <w:color w:val="000000"/>
          <w:w w:val="90"/>
          <w:sz w:val="28"/>
          <w:szCs w:val="28"/>
        </w:rPr>
      </w:pPr>
      <w:bookmarkStart w:id="89" w:name="_Toc1127312053_WPSOffice_Level1"/>
      <w:r>
        <w:rPr>
          <w:rFonts w:ascii="宋体" w:eastAsia="宋体" w:hAnsi="宋体" w:cs="宋体" w:hint="eastAsia"/>
          <w:color w:val="000000"/>
          <w:w w:val="90"/>
          <w:sz w:val="28"/>
          <w:szCs w:val="28"/>
        </w:rPr>
        <w:t>2、</w:t>
      </w:r>
      <w:bookmarkEnd w:id="89"/>
      <w:r>
        <w:rPr>
          <w:rFonts w:ascii="宋体" w:eastAsia="宋体" w:hAnsi="宋体" w:cs="宋体" w:hint="eastAsia"/>
          <w:color w:val="000000"/>
          <w:w w:val="90"/>
          <w:sz w:val="28"/>
          <w:szCs w:val="28"/>
        </w:rPr>
        <w:t>司法评估委托书</w:t>
      </w:r>
    </w:p>
    <w:p w:rsidR="00A32AE3" w:rsidRDefault="00E85AC9">
      <w:pPr>
        <w:tabs>
          <w:tab w:val="left" w:pos="900"/>
        </w:tabs>
        <w:spacing w:line="360" w:lineRule="auto"/>
        <w:ind w:left="750"/>
        <w:rPr>
          <w:rFonts w:ascii="宋体" w:eastAsia="宋体" w:hAnsi="宋体" w:cs="宋体"/>
          <w:color w:val="000000"/>
          <w:w w:val="90"/>
          <w:sz w:val="28"/>
          <w:szCs w:val="28"/>
        </w:rPr>
      </w:pPr>
      <w:bookmarkStart w:id="90" w:name="_Toc45976280_WPSOffice_Level1"/>
      <w:r>
        <w:rPr>
          <w:rFonts w:ascii="宋体" w:eastAsia="宋体" w:hAnsi="宋体" w:cs="宋体" w:hint="eastAsia"/>
          <w:color w:val="000000"/>
          <w:w w:val="90"/>
          <w:sz w:val="28"/>
          <w:szCs w:val="28"/>
        </w:rPr>
        <w:t>3、资产评估对象权属资料</w:t>
      </w:r>
      <w:bookmarkEnd w:id="90"/>
    </w:p>
    <w:p w:rsidR="00A32AE3" w:rsidRDefault="00E85AC9">
      <w:pPr>
        <w:tabs>
          <w:tab w:val="left" w:pos="900"/>
        </w:tabs>
        <w:spacing w:line="360" w:lineRule="auto"/>
        <w:ind w:left="750"/>
        <w:rPr>
          <w:rFonts w:ascii="宋体" w:eastAsia="宋体" w:hAnsi="宋体" w:cs="宋体"/>
          <w:color w:val="000000"/>
          <w:w w:val="90"/>
          <w:sz w:val="28"/>
          <w:szCs w:val="28"/>
        </w:rPr>
      </w:pPr>
      <w:bookmarkStart w:id="91" w:name="_Toc1776708687_WPSOffice_Level1"/>
      <w:r>
        <w:rPr>
          <w:rFonts w:ascii="宋体" w:eastAsia="宋体" w:hAnsi="宋体" w:cs="宋体" w:hint="eastAsia"/>
          <w:color w:val="000000"/>
          <w:w w:val="90"/>
          <w:sz w:val="28"/>
          <w:szCs w:val="28"/>
        </w:rPr>
        <w:t>4、资产评估对象部分实景照片</w:t>
      </w:r>
      <w:bookmarkEnd w:id="91"/>
    </w:p>
    <w:p w:rsidR="00A32AE3" w:rsidRDefault="00E85AC9">
      <w:pPr>
        <w:tabs>
          <w:tab w:val="left" w:pos="900"/>
        </w:tabs>
        <w:spacing w:line="360" w:lineRule="auto"/>
        <w:ind w:left="750"/>
        <w:rPr>
          <w:rFonts w:ascii="宋体" w:eastAsia="宋体" w:hAnsi="宋体" w:cs="宋体"/>
          <w:color w:val="000000"/>
          <w:w w:val="90"/>
          <w:sz w:val="28"/>
          <w:szCs w:val="28"/>
        </w:rPr>
      </w:pPr>
      <w:bookmarkStart w:id="92" w:name="_Toc1852696553_WPSOffice_Level1"/>
      <w:r>
        <w:rPr>
          <w:rFonts w:ascii="宋体" w:eastAsia="宋体" w:hAnsi="宋体" w:cs="宋体" w:hint="eastAsia"/>
          <w:color w:val="000000"/>
          <w:w w:val="90"/>
          <w:sz w:val="28"/>
          <w:szCs w:val="28"/>
        </w:rPr>
        <w:t>5、资产评估师承诺函</w:t>
      </w:r>
      <w:bookmarkEnd w:id="92"/>
    </w:p>
    <w:p w:rsidR="00A32AE3" w:rsidRDefault="00E85AC9">
      <w:pPr>
        <w:tabs>
          <w:tab w:val="left" w:pos="900"/>
        </w:tabs>
        <w:spacing w:line="360" w:lineRule="auto"/>
        <w:ind w:left="750"/>
        <w:rPr>
          <w:rFonts w:ascii="宋体" w:eastAsia="宋体" w:hAnsi="宋体" w:cs="宋体"/>
          <w:color w:val="000000"/>
          <w:w w:val="90"/>
          <w:sz w:val="28"/>
          <w:szCs w:val="28"/>
        </w:rPr>
      </w:pPr>
      <w:bookmarkStart w:id="93" w:name="_Toc1905568418_WPSOffice_Level1"/>
      <w:r>
        <w:rPr>
          <w:rFonts w:ascii="宋体" w:eastAsia="宋体" w:hAnsi="宋体" w:cs="宋体" w:hint="eastAsia"/>
          <w:color w:val="000000"/>
          <w:w w:val="90"/>
          <w:sz w:val="28"/>
          <w:szCs w:val="28"/>
        </w:rPr>
        <w:t>6、资产评估人员资格证书复印件</w:t>
      </w:r>
      <w:bookmarkEnd w:id="93"/>
    </w:p>
    <w:p w:rsidR="00A32AE3" w:rsidRDefault="00E85AC9">
      <w:pPr>
        <w:tabs>
          <w:tab w:val="left" w:pos="900"/>
        </w:tabs>
        <w:spacing w:line="360" w:lineRule="auto"/>
        <w:ind w:left="750"/>
        <w:rPr>
          <w:rFonts w:ascii="宋体" w:eastAsia="宋体" w:hAnsi="宋体" w:cs="宋体"/>
          <w:color w:val="000000"/>
          <w:w w:val="90"/>
          <w:sz w:val="28"/>
          <w:szCs w:val="28"/>
        </w:rPr>
      </w:pPr>
      <w:bookmarkStart w:id="94" w:name="_Toc1464773615_WPSOffice_Level1"/>
      <w:r>
        <w:rPr>
          <w:rFonts w:ascii="宋体" w:eastAsia="宋体" w:hAnsi="宋体" w:cs="宋体" w:hint="eastAsia"/>
          <w:color w:val="000000"/>
          <w:w w:val="90"/>
          <w:sz w:val="28"/>
          <w:szCs w:val="28"/>
        </w:rPr>
        <w:t>7、资产评估机构营业执照复印件</w:t>
      </w:r>
      <w:bookmarkEnd w:id="94"/>
    </w:p>
    <w:p w:rsidR="00A32AE3" w:rsidRDefault="00E85AC9">
      <w:pPr>
        <w:tabs>
          <w:tab w:val="left" w:pos="900"/>
        </w:tabs>
        <w:spacing w:line="360" w:lineRule="auto"/>
        <w:ind w:left="750"/>
        <w:jc w:val="left"/>
        <w:rPr>
          <w:rFonts w:ascii="黑体" w:eastAsia="黑体" w:hAnsi="Times New Roman" w:cs="黑体"/>
          <w:bCs/>
          <w:sz w:val="44"/>
          <w:lang w:bidi="ar"/>
        </w:rPr>
      </w:pPr>
      <w:bookmarkStart w:id="95" w:name="_Toc1845101744_WPSOffice_Level1"/>
      <w:r>
        <w:rPr>
          <w:rFonts w:ascii="宋体" w:eastAsia="宋体" w:hAnsi="宋体" w:cs="宋体" w:hint="eastAsia"/>
          <w:color w:val="000000"/>
          <w:w w:val="90"/>
          <w:sz w:val="28"/>
          <w:szCs w:val="28"/>
        </w:rPr>
        <w:t>8、资产评估机构备案公告复印件</w:t>
      </w:r>
      <w:bookmarkEnd w:id="95"/>
      <w:r>
        <w:rPr>
          <w:rFonts w:ascii="黑体" w:eastAsia="黑体" w:hAnsi="Times New Roman" w:cs="黑体"/>
          <w:bCs/>
          <w:sz w:val="44"/>
          <w:lang w:bidi="ar"/>
        </w:rPr>
        <w:br w:type="page"/>
      </w:r>
    </w:p>
    <w:p w:rsidR="00A32AE3" w:rsidRDefault="00E85AC9">
      <w:pPr>
        <w:spacing w:line="360" w:lineRule="auto"/>
        <w:jc w:val="center"/>
        <w:rPr>
          <w:rFonts w:ascii="黑体" w:eastAsia="黑体" w:hAnsi="Times New Roman" w:cs="黑体"/>
          <w:bCs/>
          <w:sz w:val="44"/>
        </w:rPr>
      </w:pPr>
      <w:r>
        <w:rPr>
          <w:rFonts w:ascii="黑体" w:eastAsia="黑体" w:hAnsi="Times New Roman" w:cs="黑体" w:hint="eastAsia"/>
          <w:bCs/>
          <w:sz w:val="44"/>
          <w:lang w:bidi="ar"/>
        </w:rPr>
        <w:lastRenderedPageBreak/>
        <w:t>资产评估机构及评估师承诺函</w:t>
      </w:r>
    </w:p>
    <w:p w:rsidR="00A32AE3" w:rsidRDefault="00A32AE3">
      <w:pPr>
        <w:spacing w:line="360" w:lineRule="auto"/>
        <w:rPr>
          <w:sz w:val="28"/>
          <w:u w:val="single"/>
        </w:rPr>
      </w:pPr>
    </w:p>
    <w:p w:rsidR="00A32AE3" w:rsidRDefault="00E85AC9">
      <w:pPr>
        <w:spacing w:line="360" w:lineRule="auto"/>
        <w:rPr>
          <w:sz w:val="28"/>
          <w:szCs w:val="28"/>
        </w:rPr>
      </w:pPr>
      <w:r>
        <w:rPr>
          <w:rFonts w:ascii="Times New Roman" w:eastAsia="宋体" w:hAnsi="Times New Roman" w:cs="宋体" w:hint="eastAsia"/>
          <w:sz w:val="28"/>
          <w:szCs w:val="28"/>
          <w:lang w:bidi="ar"/>
        </w:rPr>
        <w:t>杭州市富阳区人民法院：</w:t>
      </w:r>
    </w:p>
    <w:p w:rsidR="00A32AE3" w:rsidRDefault="00E85AC9">
      <w:pPr>
        <w:spacing w:line="360" w:lineRule="auto"/>
        <w:ind w:firstLineChars="200" w:firstLine="560"/>
        <w:rPr>
          <w:rFonts w:ascii="黑体" w:eastAsia="黑体" w:hAnsi="Times New Roman" w:cs="黑体"/>
          <w:sz w:val="28"/>
          <w:szCs w:val="28"/>
        </w:rPr>
      </w:pPr>
      <w:bookmarkStart w:id="96" w:name="_Toc12449567"/>
      <w:r>
        <w:rPr>
          <w:rFonts w:ascii="Times New Roman" w:eastAsia="宋体" w:hAnsi="Times New Roman" w:cs="宋体" w:hint="eastAsia"/>
          <w:sz w:val="28"/>
          <w:szCs w:val="28"/>
          <w:lang w:bidi="ar"/>
        </w:rPr>
        <w:t>我们接受贵单位的委托，依据（</w:t>
      </w:r>
      <w:r>
        <w:rPr>
          <w:rFonts w:ascii="Times New Roman" w:eastAsia="宋体" w:hAnsi="Times New Roman" w:cs="Times New Roman"/>
          <w:sz w:val="28"/>
          <w:szCs w:val="28"/>
          <w:lang w:bidi="ar"/>
        </w:rPr>
        <w:t>2022</w:t>
      </w:r>
      <w:r>
        <w:rPr>
          <w:rFonts w:ascii="Times New Roman" w:eastAsia="宋体" w:hAnsi="Times New Roman" w:cs="宋体" w:hint="eastAsia"/>
          <w:sz w:val="28"/>
          <w:szCs w:val="28"/>
          <w:lang w:bidi="ar"/>
        </w:rPr>
        <w:t>）杭富法委评字第</w:t>
      </w:r>
      <w:r>
        <w:rPr>
          <w:rFonts w:ascii="Times New Roman" w:eastAsia="宋体" w:hAnsi="Times New Roman" w:cs="宋体" w:hint="eastAsia"/>
          <w:sz w:val="28"/>
          <w:szCs w:val="28"/>
          <w:lang w:bidi="ar"/>
        </w:rPr>
        <w:t>123</w:t>
      </w:r>
      <w:r>
        <w:rPr>
          <w:rFonts w:ascii="Times New Roman" w:eastAsia="宋体" w:hAnsi="Times New Roman" w:cs="宋体" w:hint="eastAsia"/>
          <w:sz w:val="28"/>
          <w:szCs w:val="28"/>
          <w:lang w:bidi="ar"/>
        </w:rPr>
        <w:t>号委托书，对涉案资产进行了认真的清查、核实、评定估算，并形成了资产评估报告书，在假设条件成立的情况下，我们对资产评估结果承诺如下，并承担相应的法律责任：</w:t>
      </w:r>
      <w:bookmarkEnd w:id="96"/>
    </w:p>
    <w:p w:rsidR="00A32AE3" w:rsidRDefault="00E85AC9">
      <w:pPr>
        <w:spacing w:line="360" w:lineRule="auto"/>
        <w:rPr>
          <w:sz w:val="28"/>
          <w:szCs w:val="28"/>
        </w:rPr>
      </w:pPr>
      <w:r>
        <w:rPr>
          <w:rFonts w:ascii="Times New Roman" w:eastAsia="宋体" w:hAnsi="Times New Roman" w:cs="Times New Roman"/>
          <w:sz w:val="28"/>
          <w:szCs w:val="28"/>
          <w:lang w:bidi="ar"/>
        </w:rPr>
        <w:t xml:space="preserve">     1</w:t>
      </w:r>
      <w:r>
        <w:rPr>
          <w:rFonts w:ascii="Times New Roman" w:eastAsia="宋体" w:hAnsi="Times New Roman" w:cs="宋体" w:hint="eastAsia"/>
          <w:sz w:val="28"/>
          <w:szCs w:val="28"/>
          <w:lang w:bidi="ar"/>
        </w:rPr>
        <w:t>、资产评估范围与经济行为所涉及的资产范围一致，未重未漏；</w:t>
      </w:r>
    </w:p>
    <w:p w:rsidR="00A32AE3" w:rsidRDefault="00E85AC9">
      <w:pPr>
        <w:spacing w:line="360" w:lineRule="auto"/>
        <w:rPr>
          <w:sz w:val="28"/>
          <w:szCs w:val="28"/>
        </w:rPr>
      </w:pPr>
      <w:r>
        <w:rPr>
          <w:rFonts w:ascii="Times New Roman" w:eastAsia="宋体" w:hAnsi="Times New Roman" w:cs="Times New Roman"/>
          <w:sz w:val="28"/>
          <w:szCs w:val="28"/>
          <w:lang w:bidi="ar"/>
        </w:rPr>
        <w:t xml:space="preserve">     2</w:t>
      </w:r>
      <w:r>
        <w:rPr>
          <w:rFonts w:ascii="Times New Roman" w:eastAsia="宋体" w:hAnsi="Times New Roman" w:cs="宋体" w:hint="eastAsia"/>
          <w:sz w:val="28"/>
          <w:szCs w:val="28"/>
          <w:lang w:bidi="ar"/>
        </w:rPr>
        <w:t>、对涉及评估的资产进行了合理的抽查、核实；</w:t>
      </w:r>
    </w:p>
    <w:p w:rsidR="00A32AE3" w:rsidRDefault="00E85AC9">
      <w:pPr>
        <w:spacing w:line="360" w:lineRule="auto"/>
        <w:rPr>
          <w:sz w:val="28"/>
          <w:szCs w:val="28"/>
        </w:rPr>
      </w:pPr>
      <w:r>
        <w:rPr>
          <w:rFonts w:ascii="Times New Roman" w:eastAsia="宋体" w:hAnsi="Times New Roman" w:cs="Times New Roman"/>
          <w:sz w:val="28"/>
          <w:szCs w:val="28"/>
          <w:lang w:bidi="ar"/>
        </w:rPr>
        <w:t xml:space="preserve">     3</w:t>
      </w:r>
      <w:r>
        <w:rPr>
          <w:rFonts w:ascii="Times New Roman" w:eastAsia="宋体" w:hAnsi="Times New Roman" w:cs="宋体" w:hint="eastAsia"/>
          <w:sz w:val="28"/>
          <w:szCs w:val="28"/>
          <w:lang w:bidi="ar"/>
        </w:rPr>
        <w:t>、评估方法选用恰当，选用的参照数据、数据可靠；</w:t>
      </w:r>
    </w:p>
    <w:p w:rsidR="00A32AE3" w:rsidRDefault="00E85AC9">
      <w:pPr>
        <w:spacing w:line="360" w:lineRule="auto"/>
        <w:rPr>
          <w:sz w:val="28"/>
          <w:szCs w:val="28"/>
        </w:rPr>
      </w:pPr>
      <w:r>
        <w:rPr>
          <w:rFonts w:ascii="Times New Roman" w:eastAsia="宋体" w:hAnsi="Times New Roman" w:cs="Times New Roman"/>
          <w:sz w:val="28"/>
          <w:szCs w:val="28"/>
          <w:lang w:bidi="ar"/>
        </w:rPr>
        <w:t xml:space="preserve">     4</w:t>
      </w:r>
      <w:r>
        <w:rPr>
          <w:rFonts w:ascii="Times New Roman" w:eastAsia="宋体" w:hAnsi="Times New Roman" w:cs="宋体" w:hint="eastAsia"/>
          <w:sz w:val="28"/>
          <w:szCs w:val="28"/>
          <w:lang w:bidi="ar"/>
        </w:rPr>
        <w:t>、影响资产评估价值的因素考虑周全；</w:t>
      </w:r>
    </w:p>
    <w:p w:rsidR="00A32AE3" w:rsidRDefault="00E85AC9">
      <w:pPr>
        <w:spacing w:line="360" w:lineRule="auto"/>
        <w:rPr>
          <w:sz w:val="28"/>
          <w:szCs w:val="28"/>
        </w:rPr>
      </w:pPr>
      <w:r>
        <w:rPr>
          <w:rFonts w:ascii="Times New Roman" w:eastAsia="宋体" w:hAnsi="Times New Roman" w:cs="Times New Roman"/>
          <w:sz w:val="28"/>
          <w:szCs w:val="28"/>
          <w:lang w:bidi="ar"/>
        </w:rPr>
        <w:t xml:space="preserve">     5</w:t>
      </w:r>
      <w:r>
        <w:rPr>
          <w:rFonts w:ascii="Times New Roman" w:eastAsia="宋体" w:hAnsi="Times New Roman" w:cs="宋体" w:hint="eastAsia"/>
          <w:sz w:val="28"/>
          <w:szCs w:val="28"/>
          <w:lang w:bidi="ar"/>
        </w:rPr>
        <w:t>、资产评估结果客观、公允；</w:t>
      </w:r>
    </w:p>
    <w:p w:rsidR="00A32AE3" w:rsidRDefault="00E85AC9">
      <w:pPr>
        <w:spacing w:line="360" w:lineRule="auto"/>
        <w:rPr>
          <w:rFonts w:ascii="宋体" w:eastAsia="宋体" w:hAnsi="宋体" w:cs="宋体"/>
          <w:sz w:val="28"/>
        </w:rPr>
      </w:pPr>
      <w:r>
        <w:rPr>
          <w:rFonts w:ascii="Times New Roman" w:eastAsia="宋体" w:hAnsi="Times New Roman" w:cs="Times New Roman"/>
          <w:sz w:val="28"/>
          <w:szCs w:val="28"/>
          <w:lang w:bidi="ar"/>
        </w:rPr>
        <w:t xml:space="preserve">     6</w:t>
      </w:r>
      <w:r>
        <w:rPr>
          <w:rFonts w:ascii="Times New Roman" w:eastAsia="宋体" w:hAnsi="Times New Roman" w:cs="宋体" w:hint="eastAsia"/>
          <w:sz w:val="28"/>
          <w:szCs w:val="28"/>
          <w:lang w:bidi="ar"/>
        </w:rPr>
        <w:t>、评估工作未受任何人为干预并独立进行。</w:t>
      </w:r>
    </w:p>
    <w:p w:rsidR="00A32AE3" w:rsidRDefault="00A32AE3">
      <w:pPr>
        <w:spacing w:line="360" w:lineRule="auto"/>
        <w:rPr>
          <w:rFonts w:ascii="宋体" w:eastAsia="宋体" w:hAnsi="宋体" w:cs="宋体"/>
          <w:sz w:val="28"/>
        </w:rPr>
      </w:pPr>
    </w:p>
    <w:p w:rsidR="00A32AE3" w:rsidRDefault="00E85AC9">
      <w:pPr>
        <w:spacing w:line="360" w:lineRule="auto"/>
        <w:rPr>
          <w:rFonts w:ascii="宋体" w:eastAsia="宋体" w:hAnsi="宋体" w:cs="宋体"/>
          <w:sz w:val="28"/>
        </w:rPr>
      </w:pPr>
      <w:r>
        <w:rPr>
          <w:rFonts w:ascii="宋体" w:eastAsia="宋体" w:hAnsi="宋体" w:cs="宋体" w:hint="eastAsia"/>
          <w:sz w:val="28"/>
          <w:lang w:bidi="ar"/>
        </w:rPr>
        <w:t xml:space="preserve">杭州富诚资产评估有限公司               资产评估师： </w:t>
      </w:r>
    </w:p>
    <w:p w:rsidR="00A32AE3" w:rsidRDefault="00A32AE3">
      <w:pPr>
        <w:spacing w:line="360" w:lineRule="auto"/>
        <w:rPr>
          <w:rFonts w:ascii="宋体" w:eastAsia="宋体" w:hAnsi="宋体" w:cs="宋体"/>
          <w:sz w:val="28"/>
        </w:rPr>
      </w:pPr>
    </w:p>
    <w:p w:rsidR="00A32AE3" w:rsidRDefault="00A32AE3">
      <w:pPr>
        <w:pStyle w:val="ae"/>
        <w:autoSpaceDE w:val="0"/>
        <w:autoSpaceDN w:val="0"/>
        <w:adjustRightInd w:val="0"/>
        <w:spacing w:before="0" w:beforeAutospacing="0" w:after="0" w:afterAutospacing="0" w:line="360" w:lineRule="auto"/>
      </w:pPr>
    </w:p>
    <w:p w:rsidR="00A32AE3" w:rsidRDefault="00E85AC9">
      <w:pPr>
        <w:spacing w:line="360" w:lineRule="auto"/>
        <w:ind w:firstLineChars="300" w:firstLine="840"/>
        <w:rPr>
          <w:rFonts w:ascii="宋体" w:eastAsia="宋体" w:hAnsi="宋体" w:cs="宋体"/>
          <w:sz w:val="28"/>
        </w:rPr>
      </w:pPr>
      <w:r>
        <w:rPr>
          <w:rFonts w:ascii="宋体" w:eastAsia="宋体" w:hAnsi="宋体" w:cs="宋体" w:hint="eastAsia"/>
          <w:sz w:val="28"/>
          <w:lang w:bidi="ar"/>
        </w:rPr>
        <w:t xml:space="preserve">中国·杭州                       资产评估师： </w:t>
      </w:r>
    </w:p>
    <w:p w:rsidR="00A32AE3" w:rsidRDefault="00E85AC9">
      <w:pPr>
        <w:spacing w:line="360" w:lineRule="auto"/>
        <w:rPr>
          <w:rFonts w:ascii="宋体" w:eastAsia="宋体" w:hAnsi="宋体" w:cs="宋体"/>
          <w:sz w:val="28"/>
        </w:rPr>
      </w:pPr>
      <w:r>
        <w:rPr>
          <w:rFonts w:ascii="宋体" w:eastAsia="宋体" w:hAnsi="宋体" w:cs="宋体" w:hint="eastAsia"/>
          <w:sz w:val="28"/>
          <w:lang w:bidi="ar"/>
        </w:rPr>
        <w:t xml:space="preserve">    </w:t>
      </w:r>
    </w:p>
    <w:p w:rsidR="00A32AE3" w:rsidRDefault="00E85AC9">
      <w:pPr>
        <w:spacing w:line="360" w:lineRule="auto"/>
        <w:rPr>
          <w:rFonts w:ascii="宋体" w:eastAsia="宋体" w:hAnsi="宋体" w:cs="宋体"/>
          <w:sz w:val="28"/>
        </w:rPr>
      </w:pPr>
      <w:r>
        <w:rPr>
          <w:rFonts w:ascii="宋体" w:eastAsia="宋体" w:hAnsi="宋体" w:cs="宋体" w:hint="eastAsia"/>
          <w:sz w:val="28"/>
          <w:lang w:bidi="ar"/>
        </w:rPr>
        <w:t xml:space="preserve">           </w:t>
      </w:r>
    </w:p>
    <w:p w:rsidR="00A32AE3" w:rsidRDefault="00E85AC9">
      <w:pPr>
        <w:spacing w:line="360" w:lineRule="auto"/>
        <w:jc w:val="right"/>
        <w:rPr>
          <w:rFonts w:hAnsi="宋体"/>
          <w:vanish/>
          <w:spacing w:val="6"/>
          <w:sz w:val="28"/>
        </w:rPr>
      </w:pPr>
      <w:r>
        <w:rPr>
          <w:rFonts w:ascii="宋体" w:eastAsia="宋体" w:hAnsi="宋体" w:cs="宋体" w:hint="eastAsia"/>
          <w:sz w:val="28"/>
          <w:lang w:bidi="ar"/>
        </w:rPr>
        <w:t xml:space="preserve">                                     日期：2022年10月</w:t>
      </w:r>
      <w:r>
        <w:rPr>
          <w:rFonts w:ascii="宋体" w:eastAsia="宋体" w:hAnsi="宋体" w:cs="宋体"/>
          <w:sz w:val="28"/>
          <w:lang w:bidi="ar"/>
        </w:rPr>
        <w:t>20</w:t>
      </w:r>
      <w:r>
        <w:rPr>
          <w:rFonts w:ascii="宋体" w:eastAsia="宋体" w:hAnsi="宋体" w:cs="宋体" w:hint="eastAsia"/>
          <w:sz w:val="28"/>
          <w:lang w:bidi="ar"/>
        </w:rPr>
        <w:t>日</w:t>
      </w:r>
    </w:p>
    <w:sectPr w:rsidR="00A32AE3">
      <w:footerReference w:type="default" r:id="rId12"/>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F0" w:rsidRDefault="00E36EF0">
      <w:r>
        <w:separator/>
      </w:r>
    </w:p>
  </w:endnote>
  <w:endnote w:type="continuationSeparator" w:id="0">
    <w:p w:rsidR="00E36EF0" w:rsidRDefault="00E3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体">
    <w:altName w:val="宋体"/>
    <w:charset w:val="86"/>
    <w:family w:val="roman"/>
    <w:pitch w:val="default"/>
  </w:font>
  <w:font w:name="DejaVu Sans">
    <w:altName w:val="Times New Roman"/>
    <w:charset w:val="00"/>
    <w:family w:val="roman"/>
    <w:pitch w:val="default"/>
    <w:sig w:usb0="00000000" w:usb1="0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Helvetica Neue">
    <w:altName w:val="Times New Roman"/>
    <w:charset w:val="00"/>
    <w:family w:val="auto"/>
    <w:pitch w:val="default"/>
    <w:sig w:usb0="00000000" w:usb1="00000000" w:usb2="00000010" w:usb3="00000000" w:csb0="00000000"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E3" w:rsidRDefault="00E85AC9">
    <w:pPr>
      <w:pStyle w:val="ab"/>
      <w:pBdr>
        <w:top w:val="single" w:sz="4" w:space="0" w:color="auto"/>
      </w:pBdr>
      <w:rPr>
        <w:sz w:val="21"/>
        <w:szCs w:val="21"/>
      </w:rPr>
    </w:pPr>
    <w:r>
      <w:rPr>
        <w:sz w:val="21"/>
        <w:szCs w:val="21"/>
      </w:rPr>
      <w:t>杭州富诚资产评估有限公司</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E3" w:rsidRDefault="00E85AC9">
    <w:pPr>
      <w:pStyle w:val="ab"/>
      <w:pBdr>
        <w:top w:val="single" w:sz="4" w:space="0" w:color="auto"/>
      </w:pBd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2AE3" w:rsidRDefault="00E85AC9">
                          <w:pPr>
                            <w:pStyle w:val="ab"/>
                          </w:pPr>
                          <w:r>
                            <w:fldChar w:fldCharType="begin"/>
                          </w:r>
                          <w:r>
                            <w:instrText xml:space="preserve"> PAGE  \* MERGEFORMAT </w:instrText>
                          </w:r>
                          <w:r>
                            <w:fldChar w:fldCharType="separate"/>
                          </w:r>
                          <w:r w:rsidR="009C4FAB">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32AE3" w:rsidRDefault="00E85AC9">
                    <w:pPr>
                      <w:pStyle w:val="ab"/>
                    </w:pPr>
                    <w:r>
                      <w:fldChar w:fldCharType="begin"/>
                    </w:r>
                    <w:r>
                      <w:instrText xml:space="preserve"> PAGE  \* MERGEFORMAT </w:instrText>
                    </w:r>
                    <w:r>
                      <w:fldChar w:fldCharType="separate"/>
                    </w:r>
                    <w:r w:rsidR="009C4FAB">
                      <w:rPr>
                        <w:noProof/>
                      </w:rPr>
                      <w:t>4</w:t>
                    </w:r>
                    <w:r>
                      <w:fldChar w:fldCharType="end"/>
                    </w:r>
                  </w:p>
                </w:txbxContent>
              </v:textbox>
              <w10:wrap anchorx="margin"/>
            </v:shape>
          </w:pict>
        </mc:Fallback>
      </mc:AlternateContent>
    </w:r>
    <w:r>
      <w:rPr>
        <w:sz w:val="21"/>
        <w:szCs w:val="21"/>
      </w:rPr>
      <w:t>杭州富诚资产评估有限公司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F0" w:rsidRDefault="00E36EF0">
      <w:r>
        <w:separator/>
      </w:r>
    </w:p>
  </w:footnote>
  <w:footnote w:type="continuationSeparator" w:id="0">
    <w:p w:rsidR="00E36EF0" w:rsidRDefault="00E3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E3" w:rsidRDefault="00E85AC9">
    <w:pPr>
      <w:pStyle w:val="ad"/>
      <w:pBdr>
        <w:bottom w:val="single" w:sz="4" w:space="1" w:color="auto"/>
      </w:pBdr>
    </w:pPr>
    <w:r>
      <w:rPr>
        <w:rFonts w:hint="eastAsia"/>
      </w:rPr>
      <w:t>杭州市富阳区人民法院拟财产处置涉及的俞朝阳所有的位于杭州市滨江区钱塘春晓花园</w:t>
    </w:r>
    <w:r>
      <w:rPr>
        <w:rFonts w:hint="eastAsia"/>
      </w:rPr>
      <w:t>12</w:t>
    </w:r>
    <w:r>
      <w:rPr>
        <w:rFonts w:hint="eastAsia"/>
      </w:rPr>
      <w:t>幢</w:t>
    </w:r>
    <w:r>
      <w:rPr>
        <w:rFonts w:hint="eastAsia"/>
      </w:rPr>
      <w:t>2</w:t>
    </w:r>
    <w:r>
      <w:rPr>
        <w:rFonts w:hint="eastAsia"/>
      </w:rPr>
      <w:t>单元</w:t>
    </w:r>
    <w:r>
      <w:rPr>
        <w:rFonts w:hint="eastAsia"/>
      </w:rPr>
      <w:t>1102</w:t>
    </w:r>
    <w:r>
      <w:rPr>
        <w:rFonts w:hint="eastAsia"/>
      </w:rPr>
      <w:t>室住宅房地产、室内装修及家具家电市场价值司法评估项目</w:t>
    </w:r>
    <w:r>
      <w:rPr>
        <w:rFonts w:hint="eastAsia"/>
      </w:rPr>
      <w:t xml:space="preserve">                 </w:t>
    </w:r>
    <w:r>
      <w:t xml:space="preserve">            </w:t>
    </w:r>
    <w:r>
      <w:rPr>
        <w:rFonts w:hint="eastAsia"/>
      </w:rPr>
      <w:t>资产评估报告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10B61D"/>
    <w:multiLevelType w:val="singleLevel"/>
    <w:tmpl w:val="CD10B61D"/>
    <w:lvl w:ilvl="0">
      <w:start w:val="1"/>
      <w:numFmt w:val="chineseCounting"/>
      <w:suff w:val="nothing"/>
      <w:lvlText w:val="%1、"/>
      <w:lvlJc w:val="left"/>
      <w:rPr>
        <w:rFonts w:hint="eastAsia"/>
      </w:rPr>
    </w:lvl>
  </w:abstractNum>
  <w:abstractNum w:abstractNumId="1" w15:restartNumberingAfterBreak="0">
    <w:nsid w:val="0000000B"/>
    <w:multiLevelType w:val="singleLevel"/>
    <w:tmpl w:val="0000000B"/>
    <w:lvl w:ilvl="0">
      <w:start w:val="6"/>
      <w:numFmt w:val="upperLetter"/>
      <w:pStyle w:val="1"/>
      <w:lvlText w:val="%1、 "/>
      <w:legacy w:legacy="1" w:legacySpace="0" w:legacyIndent="552"/>
      <w:lvlJc w:val="left"/>
      <w:pPr>
        <w:ind w:left="1812" w:hanging="552"/>
      </w:pPr>
      <w:rPr>
        <w:rFonts w:ascii="仿宋_GB2312" w:eastAsia="仿宋_GB2312" w:hint="eastAsia"/>
        <w:b w:val="0"/>
        <w:i w:val="0"/>
        <w:sz w:val="28"/>
        <w:u w:val="none"/>
      </w:rPr>
    </w:lvl>
  </w:abstractNum>
  <w:abstractNum w:abstractNumId="2" w15:restartNumberingAfterBreak="0">
    <w:nsid w:val="5EA230F2"/>
    <w:multiLevelType w:val="singleLevel"/>
    <w:tmpl w:val="5EA230F2"/>
    <w:lvl w:ilvl="0">
      <w:start w:val="1"/>
      <w:numFmt w:val="chineseCounting"/>
      <w:suff w:val="nothing"/>
      <w:lvlText w:val="%1、"/>
      <w:lvlJc w:val="left"/>
    </w:lvl>
  </w:abstractNum>
  <w:abstractNum w:abstractNumId="3" w15:restartNumberingAfterBreak="0">
    <w:nsid w:val="5EA625E3"/>
    <w:multiLevelType w:val="singleLevel"/>
    <w:tmpl w:val="5EA625E3"/>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NmI0MjFjZThhNjhhZjQyMzc5Njc3Y2VhNjc0MWQifQ=="/>
  </w:docVars>
  <w:rsids>
    <w:rsidRoot w:val="D7FB192B"/>
    <w:rsid w:val="D7FB192B"/>
    <w:rsid w:val="0000578D"/>
    <w:rsid w:val="00051B0C"/>
    <w:rsid w:val="00057D6F"/>
    <w:rsid w:val="00090557"/>
    <w:rsid w:val="000A002F"/>
    <w:rsid w:val="000C4F9F"/>
    <w:rsid w:val="000C780F"/>
    <w:rsid w:val="000E25A2"/>
    <w:rsid w:val="0010267C"/>
    <w:rsid w:val="0013240D"/>
    <w:rsid w:val="00134C42"/>
    <w:rsid w:val="00150A47"/>
    <w:rsid w:val="00160B7E"/>
    <w:rsid w:val="001C0B99"/>
    <w:rsid w:val="001C6A74"/>
    <w:rsid w:val="001F3BC4"/>
    <w:rsid w:val="00211EF8"/>
    <w:rsid w:val="00212EFB"/>
    <w:rsid w:val="00224FBE"/>
    <w:rsid w:val="00254550"/>
    <w:rsid w:val="002759CC"/>
    <w:rsid w:val="00290ABF"/>
    <w:rsid w:val="002959F9"/>
    <w:rsid w:val="002F1D16"/>
    <w:rsid w:val="002F4C1A"/>
    <w:rsid w:val="00305BF3"/>
    <w:rsid w:val="00357999"/>
    <w:rsid w:val="00377DAA"/>
    <w:rsid w:val="003A51CB"/>
    <w:rsid w:val="003B0CF5"/>
    <w:rsid w:val="003D3D3B"/>
    <w:rsid w:val="003D72BA"/>
    <w:rsid w:val="004165B4"/>
    <w:rsid w:val="00451831"/>
    <w:rsid w:val="0047760F"/>
    <w:rsid w:val="0048696E"/>
    <w:rsid w:val="004E2BBD"/>
    <w:rsid w:val="005010AF"/>
    <w:rsid w:val="0055416C"/>
    <w:rsid w:val="005617D8"/>
    <w:rsid w:val="0056619A"/>
    <w:rsid w:val="00597264"/>
    <w:rsid w:val="00597CD8"/>
    <w:rsid w:val="005D49AF"/>
    <w:rsid w:val="005E20BD"/>
    <w:rsid w:val="005E52FB"/>
    <w:rsid w:val="00615998"/>
    <w:rsid w:val="00683F9B"/>
    <w:rsid w:val="00687C05"/>
    <w:rsid w:val="00782971"/>
    <w:rsid w:val="00783BD8"/>
    <w:rsid w:val="00787E75"/>
    <w:rsid w:val="00794039"/>
    <w:rsid w:val="007A303B"/>
    <w:rsid w:val="00812229"/>
    <w:rsid w:val="00821A2C"/>
    <w:rsid w:val="00831C34"/>
    <w:rsid w:val="008C290C"/>
    <w:rsid w:val="008E6903"/>
    <w:rsid w:val="008F6EB3"/>
    <w:rsid w:val="0091166E"/>
    <w:rsid w:val="0095099B"/>
    <w:rsid w:val="00971FEB"/>
    <w:rsid w:val="0099369D"/>
    <w:rsid w:val="009C4FAB"/>
    <w:rsid w:val="00A023FF"/>
    <w:rsid w:val="00A11914"/>
    <w:rsid w:val="00A20B6F"/>
    <w:rsid w:val="00A32AE3"/>
    <w:rsid w:val="00A40069"/>
    <w:rsid w:val="00A95C1B"/>
    <w:rsid w:val="00AA56E6"/>
    <w:rsid w:val="00AB1BE6"/>
    <w:rsid w:val="00AB768F"/>
    <w:rsid w:val="00AB7B66"/>
    <w:rsid w:val="00AD6F30"/>
    <w:rsid w:val="00AF7C62"/>
    <w:rsid w:val="00B06A12"/>
    <w:rsid w:val="00B501D5"/>
    <w:rsid w:val="00B5278D"/>
    <w:rsid w:val="00B662A9"/>
    <w:rsid w:val="00B83EDC"/>
    <w:rsid w:val="00BD29F3"/>
    <w:rsid w:val="00BE392B"/>
    <w:rsid w:val="00BF1B48"/>
    <w:rsid w:val="00BF79F2"/>
    <w:rsid w:val="00C1541C"/>
    <w:rsid w:val="00C317D3"/>
    <w:rsid w:val="00C44176"/>
    <w:rsid w:val="00C56F52"/>
    <w:rsid w:val="00CD149A"/>
    <w:rsid w:val="00CD1799"/>
    <w:rsid w:val="00CD28E3"/>
    <w:rsid w:val="00CE0042"/>
    <w:rsid w:val="00D127D5"/>
    <w:rsid w:val="00D17953"/>
    <w:rsid w:val="00D63113"/>
    <w:rsid w:val="00D8406F"/>
    <w:rsid w:val="00D93513"/>
    <w:rsid w:val="00DA0FB7"/>
    <w:rsid w:val="00DD4D5D"/>
    <w:rsid w:val="00DD52E6"/>
    <w:rsid w:val="00DE628B"/>
    <w:rsid w:val="00E0234E"/>
    <w:rsid w:val="00E31E0A"/>
    <w:rsid w:val="00E330FD"/>
    <w:rsid w:val="00E36EF0"/>
    <w:rsid w:val="00E53ED5"/>
    <w:rsid w:val="00E716BC"/>
    <w:rsid w:val="00E85AC9"/>
    <w:rsid w:val="00E9181D"/>
    <w:rsid w:val="00EE47E3"/>
    <w:rsid w:val="00F163BA"/>
    <w:rsid w:val="00F34DC7"/>
    <w:rsid w:val="00FC6D4F"/>
    <w:rsid w:val="00FE2606"/>
    <w:rsid w:val="00FF061D"/>
    <w:rsid w:val="0106464C"/>
    <w:rsid w:val="013A1571"/>
    <w:rsid w:val="01512BE9"/>
    <w:rsid w:val="016D2CC6"/>
    <w:rsid w:val="01773D40"/>
    <w:rsid w:val="017C5973"/>
    <w:rsid w:val="019244F4"/>
    <w:rsid w:val="01987245"/>
    <w:rsid w:val="019A00CD"/>
    <w:rsid w:val="021A68F9"/>
    <w:rsid w:val="0224184B"/>
    <w:rsid w:val="022E01C2"/>
    <w:rsid w:val="02852B41"/>
    <w:rsid w:val="028D0A46"/>
    <w:rsid w:val="02AF6EE5"/>
    <w:rsid w:val="030D1CFA"/>
    <w:rsid w:val="031C2553"/>
    <w:rsid w:val="037B54CB"/>
    <w:rsid w:val="039B5ABB"/>
    <w:rsid w:val="03BA4C2C"/>
    <w:rsid w:val="03F01A4A"/>
    <w:rsid w:val="040D423D"/>
    <w:rsid w:val="0434075E"/>
    <w:rsid w:val="04446F77"/>
    <w:rsid w:val="045F10E3"/>
    <w:rsid w:val="04A50AB3"/>
    <w:rsid w:val="04C7100A"/>
    <w:rsid w:val="05465C7D"/>
    <w:rsid w:val="055A51F9"/>
    <w:rsid w:val="05B41F39"/>
    <w:rsid w:val="05C6353D"/>
    <w:rsid w:val="05CA6960"/>
    <w:rsid w:val="06032205"/>
    <w:rsid w:val="062235DD"/>
    <w:rsid w:val="0636739F"/>
    <w:rsid w:val="064B334A"/>
    <w:rsid w:val="06590BF0"/>
    <w:rsid w:val="06680FFF"/>
    <w:rsid w:val="0689426A"/>
    <w:rsid w:val="0696473D"/>
    <w:rsid w:val="07202B9B"/>
    <w:rsid w:val="074739BD"/>
    <w:rsid w:val="077B65D0"/>
    <w:rsid w:val="07B4505B"/>
    <w:rsid w:val="082743FB"/>
    <w:rsid w:val="084A21A0"/>
    <w:rsid w:val="086D7661"/>
    <w:rsid w:val="08B22395"/>
    <w:rsid w:val="08B7643D"/>
    <w:rsid w:val="08CD7531"/>
    <w:rsid w:val="0905484C"/>
    <w:rsid w:val="090D29A8"/>
    <w:rsid w:val="090E20CB"/>
    <w:rsid w:val="097525CD"/>
    <w:rsid w:val="0A3D2C6F"/>
    <w:rsid w:val="0A4838C3"/>
    <w:rsid w:val="0AD3711C"/>
    <w:rsid w:val="0B04224A"/>
    <w:rsid w:val="0B231D14"/>
    <w:rsid w:val="0B337557"/>
    <w:rsid w:val="0B3A0842"/>
    <w:rsid w:val="0B55696F"/>
    <w:rsid w:val="0B68056A"/>
    <w:rsid w:val="0BBE36E2"/>
    <w:rsid w:val="0BC236CD"/>
    <w:rsid w:val="0BF16788"/>
    <w:rsid w:val="0C8312E9"/>
    <w:rsid w:val="0CC74A49"/>
    <w:rsid w:val="0CF33496"/>
    <w:rsid w:val="0D0066BE"/>
    <w:rsid w:val="0D023D59"/>
    <w:rsid w:val="0D024F41"/>
    <w:rsid w:val="0D03583D"/>
    <w:rsid w:val="0D5D2AD5"/>
    <w:rsid w:val="0DC2766E"/>
    <w:rsid w:val="0DC50156"/>
    <w:rsid w:val="0DC56830"/>
    <w:rsid w:val="0DF055B3"/>
    <w:rsid w:val="0DF84A63"/>
    <w:rsid w:val="0DF95F7F"/>
    <w:rsid w:val="0E1A2709"/>
    <w:rsid w:val="0E1F4C4D"/>
    <w:rsid w:val="0E29720B"/>
    <w:rsid w:val="0E306947"/>
    <w:rsid w:val="0EA213B4"/>
    <w:rsid w:val="0EE21243"/>
    <w:rsid w:val="0F067F6D"/>
    <w:rsid w:val="0F2F04BA"/>
    <w:rsid w:val="0F615B83"/>
    <w:rsid w:val="0F8E66B9"/>
    <w:rsid w:val="0FAD2763"/>
    <w:rsid w:val="0FD24BED"/>
    <w:rsid w:val="0FF8381F"/>
    <w:rsid w:val="105B5D6F"/>
    <w:rsid w:val="106D0C78"/>
    <w:rsid w:val="1106711E"/>
    <w:rsid w:val="116B67B5"/>
    <w:rsid w:val="11BB562D"/>
    <w:rsid w:val="12254F66"/>
    <w:rsid w:val="122B037F"/>
    <w:rsid w:val="127D17EB"/>
    <w:rsid w:val="129338C1"/>
    <w:rsid w:val="12AC21BF"/>
    <w:rsid w:val="12C10A21"/>
    <w:rsid w:val="12DA189D"/>
    <w:rsid w:val="12E91805"/>
    <w:rsid w:val="13A719DF"/>
    <w:rsid w:val="13BD2104"/>
    <w:rsid w:val="13E92F25"/>
    <w:rsid w:val="13F22C77"/>
    <w:rsid w:val="14304097"/>
    <w:rsid w:val="145F0C2D"/>
    <w:rsid w:val="14617BB5"/>
    <w:rsid w:val="1476458A"/>
    <w:rsid w:val="14C6122A"/>
    <w:rsid w:val="15012AD2"/>
    <w:rsid w:val="15896627"/>
    <w:rsid w:val="168535B5"/>
    <w:rsid w:val="16AB496B"/>
    <w:rsid w:val="16F267BB"/>
    <w:rsid w:val="16FE170C"/>
    <w:rsid w:val="171C750D"/>
    <w:rsid w:val="17372457"/>
    <w:rsid w:val="1747512F"/>
    <w:rsid w:val="17550B15"/>
    <w:rsid w:val="17625B02"/>
    <w:rsid w:val="17625E7C"/>
    <w:rsid w:val="178047A5"/>
    <w:rsid w:val="179E4544"/>
    <w:rsid w:val="17B10265"/>
    <w:rsid w:val="180B072F"/>
    <w:rsid w:val="180C0990"/>
    <w:rsid w:val="18321074"/>
    <w:rsid w:val="185B5B18"/>
    <w:rsid w:val="18BE4977"/>
    <w:rsid w:val="18C04C00"/>
    <w:rsid w:val="18C2449F"/>
    <w:rsid w:val="18CD45C3"/>
    <w:rsid w:val="18E633FA"/>
    <w:rsid w:val="19600858"/>
    <w:rsid w:val="19863D32"/>
    <w:rsid w:val="1A815800"/>
    <w:rsid w:val="1AE4424B"/>
    <w:rsid w:val="1B102A7F"/>
    <w:rsid w:val="1B2507BA"/>
    <w:rsid w:val="1B713A58"/>
    <w:rsid w:val="1BBC205B"/>
    <w:rsid w:val="1BE3046D"/>
    <w:rsid w:val="1C016F32"/>
    <w:rsid w:val="1C234B14"/>
    <w:rsid w:val="1C4079B2"/>
    <w:rsid w:val="1C697521"/>
    <w:rsid w:val="1C6E4AA6"/>
    <w:rsid w:val="1C8D6016"/>
    <w:rsid w:val="1CB93919"/>
    <w:rsid w:val="1CE963AA"/>
    <w:rsid w:val="1D0205B4"/>
    <w:rsid w:val="1D0401EB"/>
    <w:rsid w:val="1D1F6D67"/>
    <w:rsid w:val="1D32104F"/>
    <w:rsid w:val="1DB52284"/>
    <w:rsid w:val="1DC92C2C"/>
    <w:rsid w:val="1E4E40D8"/>
    <w:rsid w:val="1EB00FD2"/>
    <w:rsid w:val="1F3D288C"/>
    <w:rsid w:val="1F9957B9"/>
    <w:rsid w:val="200A38CA"/>
    <w:rsid w:val="20120316"/>
    <w:rsid w:val="20290A40"/>
    <w:rsid w:val="20447098"/>
    <w:rsid w:val="206877A5"/>
    <w:rsid w:val="206A49DB"/>
    <w:rsid w:val="209B179A"/>
    <w:rsid w:val="20C21C18"/>
    <w:rsid w:val="211272BB"/>
    <w:rsid w:val="21395994"/>
    <w:rsid w:val="2154594E"/>
    <w:rsid w:val="21C154A8"/>
    <w:rsid w:val="22095471"/>
    <w:rsid w:val="221977B9"/>
    <w:rsid w:val="221F4C91"/>
    <w:rsid w:val="226C3577"/>
    <w:rsid w:val="22883309"/>
    <w:rsid w:val="22925F36"/>
    <w:rsid w:val="22A27024"/>
    <w:rsid w:val="22A85759"/>
    <w:rsid w:val="22E20688"/>
    <w:rsid w:val="22E7350C"/>
    <w:rsid w:val="2359001E"/>
    <w:rsid w:val="242A2C87"/>
    <w:rsid w:val="2491243D"/>
    <w:rsid w:val="24D838D4"/>
    <w:rsid w:val="24EA3088"/>
    <w:rsid w:val="25544AB2"/>
    <w:rsid w:val="25563E3A"/>
    <w:rsid w:val="2567772D"/>
    <w:rsid w:val="25743899"/>
    <w:rsid w:val="25CA694D"/>
    <w:rsid w:val="26370BF7"/>
    <w:rsid w:val="266D4C69"/>
    <w:rsid w:val="268B3F4E"/>
    <w:rsid w:val="26957637"/>
    <w:rsid w:val="26A81CA1"/>
    <w:rsid w:val="26F85860"/>
    <w:rsid w:val="270B3A39"/>
    <w:rsid w:val="27630423"/>
    <w:rsid w:val="276B1318"/>
    <w:rsid w:val="277C2603"/>
    <w:rsid w:val="28190666"/>
    <w:rsid w:val="283B361B"/>
    <w:rsid w:val="284E24FB"/>
    <w:rsid w:val="288B1059"/>
    <w:rsid w:val="28F02E78"/>
    <w:rsid w:val="2A744169"/>
    <w:rsid w:val="2ADE20DA"/>
    <w:rsid w:val="2AEE2579"/>
    <w:rsid w:val="2AF3371C"/>
    <w:rsid w:val="2AF74218"/>
    <w:rsid w:val="2B314FDA"/>
    <w:rsid w:val="2B3E094E"/>
    <w:rsid w:val="2B5F4D79"/>
    <w:rsid w:val="2B8E4F46"/>
    <w:rsid w:val="2C027443"/>
    <w:rsid w:val="2C2B6413"/>
    <w:rsid w:val="2C547BD4"/>
    <w:rsid w:val="2C5713C2"/>
    <w:rsid w:val="2CB84FCE"/>
    <w:rsid w:val="2CBC4F76"/>
    <w:rsid w:val="2CE8470A"/>
    <w:rsid w:val="2CEE3C8A"/>
    <w:rsid w:val="2CF93DEB"/>
    <w:rsid w:val="2D406CBA"/>
    <w:rsid w:val="2D9143A6"/>
    <w:rsid w:val="2D9817F4"/>
    <w:rsid w:val="2E8F625F"/>
    <w:rsid w:val="2ECB2D2C"/>
    <w:rsid w:val="2ECD0019"/>
    <w:rsid w:val="2EE2756C"/>
    <w:rsid w:val="2EE82491"/>
    <w:rsid w:val="2F3D4C43"/>
    <w:rsid w:val="30131319"/>
    <w:rsid w:val="302B55A8"/>
    <w:rsid w:val="302F36E7"/>
    <w:rsid w:val="305C077F"/>
    <w:rsid w:val="306F0B05"/>
    <w:rsid w:val="30701104"/>
    <w:rsid w:val="30800CCB"/>
    <w:rsid w:val="30AF20CD"/>
    <w:rsid w:val="30CA4B57"/>
    <w:rsid w:val="30E918A4"/>
    <w:rsid w:val="315B6409"/>
    <w:rsid w:val="317776FC"/>
    <w:rsid w:val="319B58C5"/>
    <w:rsid w:val="31AA68B4"/>
    <w:rsid w:val="31CC50BA"/>
    <w:rsid w:val="31DB5AB3"/>
    <w:rsid w:val="320B147C"/>
    <w:rsid w:val="3218420C"/>
    <w:rsid w:val="32470B0E"/>
    <w:rsid w:val="3276035D"/>
    <w:rsid w:val="32A4066D"/>
    <w:rsid w:val="32A44762"/>
    <w:rsid w:val="32B63E95"/>
    <w:rsid w:val="32BA25CF"/>
    <w:rsid w:val="32C63D3D"/>
    <w:rsid w:val="32D6319D"/>
    <w:rsid w:val="33296443"/>
    <w:rsid w:val="333152B1"/>
    <w:rsid w:val="33367504"/>
    <w:rsid w:val="333B6843"/>
    <w:rsid w:val="33744B9C"/>
    <w:rsid w:val="338F3996"/>
    <w:rsid w:val="339C4C67"/>
    <w:rsid w:val="33C42631"/>
    <w:rsid w:val="33EF1FF3"/>
    <w:rsid w:val="33F446F4"/>
    <w:rsid w:val="33F96ACA"/>
    <w:rsid w:val="3485287F"/>
    <w:rsid w:val="34917F85"/>
    <w:rsid w:val="34C268C5"/>
    <w:rsid w:val="34DE7871"/>
    <w:rsid w:val="34FA3BF3"/>
    <w:rsid w:val="350D72ED"/>
    <w:rsid w:val="351F7AFD"/>
    <w:rsid w:val="3529264C"/>
    <w:rsid w:val="35B5112C"/>
    <w:rsid w:val="35CD6AD9"/>
    <w:rsid w:val="35F83F56"/>
    <w:rsid w:val="36441BEE"/>
    <w:rsid w:val="366507C0"/>
    <w:rsid w:val="36801361"/>
    <w:rsid w:val="36FD5323"/>
    <w:rsid w:val="370C62E5"/>
    <w:rsid w:val="378656CC"/>
    <w:rsid w:val="378C4D4E"/>
    <w:rsid w:val="37980C20"/>
    <w:rsid w:val="379C06E7"/>
    <w:rsid w:val="37AE54B1"/>
    <w:rsid w:val="37CA4776"/>
    <w:rsid w:val="37D61063"/>
    <w:rsid w:val="38461876"/>
    <w:rsid w:val="388F3365"/>
    <w:rsid w:val="38915C76"/>
    <w:rsid w:val="38D004F4"/>
    <w:rsid w:val="39353FF7"/>
    <w:rsid w:val="39761CB6"/>
    <w:rsid w:val="39E8699D"/>
    <w:rsid w:val="39EC7204"/>
    <w:rsid w:val="3A6366DE"/>
    <w:rsid w:val="3B57537C"/>
    <w:rsid w:val="3B8051A7"/>
    <w:rsid w:val="3BCD168D"/>
    <w:rsid w:val="3BE556AF"/>
    <w:rsid w:val="3BEA0439"/>
    <w:rsid w:val="3C094524"/>
    <w:rsid w:val="3C7B62FF"/>
    <w:rsid w:val="3CB75A06"/>
    <w:rsid w:val="3CF40024"/>
    <w:rsid w:val="3CF55B44"/>
    <w:rsid w:val="3DD14280"/>
    <w:rsid w:val="3DDB3DAB"/>
    <w:rsid w:val="3DF07218"/>
    <w:rsid w:val="3DFB4605"/>
    <w:rsid w:val="3E871E0D"/>
    <w:rsid w:val="3F3073CA"/>
    <w:rsid w:val="3FAC39B0"/>
    <w:rsid w:val="3FDB0AC5"/>
    <w:rsid w:val="40294794"/>
    <w:rsid w:val="402C5193"/>
    <w:rsid w:val="403232BF"/>
    <w:rsid w:val="406556DD"/>
    <w:rsid w:val="410A0F95"/>
    <w:rsid w:val="412E1D2A"/>
    <w:rsid w:val="413D4D74"/>
    <w:rsid w:val="4150545A"/>
    <w:rsid w:val="41BC1080"/>
    <w:rsid w:val="41D30FA4"/>
    <w:rsid w:val="41E14844"/>
    <w:rsid w:val="421B5948"/>
    <w:rsid w:val="42327C8E"/>
    <w:rsid w:val="424429BC"/>
    <w:rsid w:val="42D23EC5"/>
    <w:rsid w:val="42D461C1"/>
    <w:rsid w:val="42EE53E5"/>
    <w:rsid w:val="4331666D"/>
    <w:rsid w:val="434150E2"/>
    <w:rsid w:val="439A2962"/>
    <w:rsid w:val="43BF0F58"/>
    <w:rsid w:val="43E053E0"/>
    <w:rsid w:val="44353A8E"/>
    <w:rsid w:val="448C0A09"/>
    <w:rsid w:val="448F0E66"/>
    <w:rsid w:val="44916FB5"/>
    <w:rsid w:val="449E4C2F"/>
    <w:rsid w:val="44B1118C"/>
    <w:rsid w:val="44C946A0"/>
    <w:rsid w:val="44D70430"/>
    <w:rsid w:val="454B27E6"/>
    <w:rsid w:val="45815036"/>
    <w:rsid w:val="45DE3962"/>
    <w:rsid w:val="45DF27CC"/>
    <w:rsid w:val="46243CB2"/>
    <w:rsid w:val="46B27B1F"/>
    <w:rsid w:val="46FA1722"/>
    <w:rsid w:val="471B2D25"/>
    <w:rsid w:val="476734FD"/>
    <w:rsid w:val="47B7A9D9"/>
    <w:rsid w:val="47DB03E8"/>
    <w:rsid w:val="47E30BEF"/>
    <w:rsid w:val="482D6FDC"/>
    <w:rsid w:val="48801A9B"/>
    <w:rsid w:val="488E3760"/>
    <w:rsid w:val="491F7173"/>
    <w:rsid w:val="4921579A"/>
    <w:rsid w:val="49323174"/>
    <w:rsid w:val="496C10E7"/>
    <w:rsid w:val="4A691401"/>
    <w:rsid w:val="4A98079C"/>
    <w:rsid w:val="4A9C6C86"/>
    <w:rsid w:val="4A9E768B"/>
    <w:rsid w:val="4AF23067"/>
    <w:rsid w:val="4B5868B9"/>
    <w:rsid w:val="4B880BEC"/>
    <w:rsid w:val="4BBF1B49"/>
    <w:rsid w:val="4C2475CA"/>
    <w:rsid w:val="4C3E53A8"/>
    <w:rsid w:val="4C8D34BC"/>
    <w:rsid w:val="4D2C0595"/>
    <w:rsid w:val="4D2E19F5"/>
    <w:rsid w:val="4D48321A"/>
    <w:rsid w:val="4D545B8B"/>
    <w:rsid w:val="4D7F4CE0"/>
    <w:rsid w:val="4D9C7CC1"/>
    <w:rsid w:val="4DA42D6F"/>
    <w:rsid w:val="4DB4746A"/>
    <w:rsid w:val="4DF94417"/>
    <w:rsid w:val="4E4A4A72"/>
    <w:rsid w:val="50624B42"/>
    <w:rsid w:val="50943276"/>
    <w:rsid w:val="509A0908"/>
    <w:rsid w:val="50A14D40"/>
    <w:rsid w:val="50C13896"/>
    <w:rsid w:val="50EE5A4F"/>
    <w:rsid w:val="50F1569F"/>
    <w:rsid w:val="50FE2B43"/>
    <w:rsid w:val="51123E15"/>
    <w:rsid w:val="513717D3"/>
    <w:rsid w:val="51DA4853"/>
    <w:rsid w:val="51F2795F"/>
    <w:rsid w:val="524C6761"/>
    <w:rsid w:val="52B101E2"/>
    <w:rsid w:val="52EC169D"/>
    <w:rsid w:val="52FE4928"/>
    <w:rsid w:val="536A5B12"/>
    <w:rsid w:val="53A3335E"/>
    <w:rsid w:val="53E63BA6"/>
    <w:rsid w:val="53F03F18"/>
    <w:rsid w:val="543B6C99"/>
    <w:rsid w:val="544E66F5"/>
    <w:rsid w:val="549F2468"/>
    <w:rsid w:val="55256612"/>
    <w:rsid w:val="55381A23"/>
    <w:rsid w:val="55655A8A"/>
    <w:rsid w:val="55717E7C"/>
    <w:rsid w:val="55B72A90"/>
    <w:rsid w:val="55C80355"/>
    <w:rsid w:val="56375EDF"/>
    <w:rsid w:val="563C6DC4"/>
    <w:rsid w:val="566058B2"/>
    <w:rsid w:val="567F4F7E"/>
    <w:rsid w:val="573C0FC8"/>
    <w:rsid w:val="576D5612"/>
    <w:rsid w:val="5781070B"/>
    <w:rsid w:val="57F458A1"/>
    <w:rsid w:val="589D4D6D"/>
    <w:rsid w:val="592D0598"/>
    <w:rsid w:val="59407EBE"/>
    <w:rsid w:val="598368A3"/>
    <w:rsid w:val="59914757"/>
    <w:rsid w:val="59993841"/>
    <w:rsid w:val="59EE1E41"/>
    <w:rsid w:val="59F42065"/>
    <w:rsid w:val="5A09432A"/>
    <w:rsid w:val="5A7534F5"/>
    <w:rsid w:val="5A9508EE"/>
    <w:rsid w:val="5A9C5B68"/>
    <w:rsid w:val="5AC52911"/>
    <w:rsid w:val="5B12125B"/>
    <w:rsid w:val="5B66215D"/>
    <w:rsid w:val="5B922B81"/>
    <w:rsid w:val="5BA06D51"/>
    <w:rsid w:val="5C1B73EB"/>
    <w:rsid w:val="5C5C61F3"/>
    <w:rsid w:val="5C654F17"/>
    <w:rsid w:val="5C7E4021"/>
    <w:rsid w:val="5C9214CB"/>
    <w:rsid w:val="5CB4787F"/>
    <w:rsid w:val="5CF8791C"/>
    <w:rsid w:val="5D0B1D75"/>
    <w:rsid w:val="5D280D95"/>
    <w:rsid w:val="5D3D1B00"/>
    <w:rsid w:val="5D5C1C11"/>
    <w:rsid w:val="5D5F468B"/>
    <w:rsid w:val="5D786CFE"/>
    <w:rsid w:val="5D7B27BE"/>
    <w:rsid w:val="5DB93C6D"/>
    <w:rsid w:val="5E035C0E"/>
    <w:rsid w:val="5E836C4D"/>
    <w:rsid w:val="5EBE461E"/>
    <w:rsid w:val="5EBF6BE8"/>
    <w:rsid w:val="5EDF0C56"/>
    <w:rsid w:val="5EE30824"/>
    <w:rsid w:val="5F047CD6"/>
    <w:rsid w:val="5F051193"/>
    <w:rsid w:val="5F661E0C"/>
    <w:rsid w:val="5F683325"/>
    <w:rsid w:val="5F8D45C0"/>
    <w:rsid w:val="5FE41504"/>
    <w:rsid w:val="5FED1DAD"/>
    <w:rsid w:val="60036491"/>
    <w:rsid w:val="601D2EC6"/>
    <w:rsid w:val="603A3756"/>
    <w:rsid w:val="609E3CF8"/>
    <w:rsid w:val="60A264F2"/>
    <w:rsid w:val="60A34233"/>
    <w:rsid w:val="60DF146D"/>
    <w:rsid w:val="60E953A3"/>
    <w:rsid w:val="60ED76A9"/>
    <w:rsid w:val="60EE7BB6"/>
    <w:rsid w:val="6135783D"/>
    <w:rsid w:val="617216AF"/>
    <w:rsid w:val="61972646"/>
    <w:rsid w:val="619E3B67"/>
    <w:rsid w:val="61E77707"/>
    <w:rsid w:val="61FB44C5"/>
    <w:rsid w:val="62162436"/>
    <w:rsid w:val="624B1D0A"/>
    <w:rsid w:val="626940EA"/>
    <w:rsid w:val="62966D01"/>
    <w:rsid w:val="62A46F1A"/>
    <w:rsid w:val="62A828E9"/>
    <w:rsid w:val="62B363AF"/>
    <w:rsid w:val="62FF6ADA"/>
    <w:rsid w:val="637F12D7"/>
    <w:rsid w:val="63A45F6C"/>
    <w:rsid w:val="63AE4223"/>
    <w:rsid w:val="63B92C94"/>
    <w:rsid w:val="63C613AF"/>
    <w:rsid w:val="63D90BE8"/>
    <w:rsid w:val="63F33BC2"/>
    <w:rsid w:val="640826E4"/>
    <w:rsid w:val="64241384"/>
    <w:rsid w:val="64334010"/>
    <w:rsid w:val="64514552"/>
    <w:rsid w:val="64A81A58"/>
    <w:rsid w:val="64CE2219"/>
    <w:rsid w:val="64D82D6C"/>
    <w:rsid w:val="64DC62EF"/>
    <w:rsid w:val="650A1380"/>
    <w:rsid w:val="655A7ACF"/>
    <w:rsid w:val="656B1BD6"/>
    <w:rsid w:val="65AD73C0"/>
    <w:rsid w:val="65B611ED"/>
    <w:rsid w:val="65B72D51"/>
    <w:rsid w:val="6624169D"/>
    <w:rsid w:val="664A347E"/>
    <w:rsid w:val="664D392A"/>
    <w:rsid w:val="66C8077F"/>
    <w:rsid w:val="66C82E92"/>
    <w:rsid w:val="66F20DB6"/>
    <w:rsid w:val="67370BDC"/>
    <w:rsid w:val="67444BFA"/>
    <w:rsid w:val="67B37C4A"/>
    <w:rsid w:val="6800763D"/>
    <w:rsid w:val="681D56FB"/>
    <w:rsid w:val="682B479B"/>
    <w:rsid w:val="687259F8"/>
    <w:rsid w:val="68902444"/>
    <w:rsid w:val="68F0361B"/>
    <w:rsid w:val="69104C1D"/>
    <w:rsid w:val="69250337"/>
    <w:rsid w:val="6943123A"/>
    <w:rsid w:val="69492603"/>
    <w:rsid w:val="6957280E"/>
    <w:rsid w:val="696741E0"/>
    <w:rsid w:val="69B913D2"/>
    <w:rsid w:val="69D54080"/>
    <w:rsid w:val="6A045B47"/>
    <w:rsid w:val="6A4F400D"/>
    <w:rsid w:val="6A8864E3"/>
    <w:rsid w:val="6A9A1A96"/>
    <w:rsid w:val="6A9B6291"/>
    <w:rsid w:val="6AA74716"/>
    <w:rsid w:val="6AD711E3"/>
    <w:rsid w:val="6BF571E0"/>
    <w:rsid w:val="6BF9633B"/>
    <w:rsid w:val="6C137C75"/>
    <w:rsid w:val="6C203D75"/>
    <w:rsid w:val="6C2412AB"/>
    <w:rsid w:val="6CD57ABD"/>
    <w:rsid w:val="6CEB63DC"/>
    <w:rsid w:val="6D282B87"/>
    <w:rsid w:val="6D892450"/>
    <w:rsid w:val="6DAE571E"/>
    <w:rsid w:val="6DDF4F5E"/>
    <w:rsid w:val="6E077A51"/>
    <w:rsid w:val="6E0D1E4C"/>
    <w:rsid w:val="6E326CA2"/>
    <w:rsid w:val="6EA55B2A"/>
    <w:rsid w:val="6EE16DFC"/>
    <w:rsid w:val="6EE4639C"/>
    <w:rsid w:val="6F370FC4"/>
    <w:rsid w:val="6F510F15"/>
    <w:rsid w:val="6F5778B8"/>
    <w:rsid w:val="6F6A3147"/>
    <w:rsid w:val="6FCA5905"/>
    <w:rsid w:val="6FD41F04"/>
    <w:rsid w:val="700D146B"/>
    <w:rsid w:val="70161521"/>
    <w:rsid w:val="709F0CC5"/>
    <w:rsid w:val="71194E20"/>
    <w:rsid w:val="71205B10"/>
    <w:rsid w:val="7146475A"/>
    <w:rsid w:val="716D2E22"/>
    <w:rsid w:val="71FE798C"/>
    <w:rsid w:val="72434D5D"/>
    <w:rsid w:val="72523709"/>
    <w:rsid w:val="72535C26"/>
    <w:rsid w:val="728C4004"/>
    <w:rsid w:val="7341481D"/>
    <w:rsid w:val="734A0B54"/>
    <w:rsid w:val="735917F0"/>
    <w:rsid w:val="73A75F11"/>
    <w:rsid w:val="73C5252D"/>
    <w:rsid w:val="73CE4CA1"/>
    <w:rsid w:val="73F751C6"/>
    <w:rsid w:val="73FE08B5"/>
    <w:rsid w:val="7429507D"/>
    <w:rsid w:val="74881F85"/>
    <w:rsid w:val="74F5191F"/>
    <w:rsid w:val="752779FF"/>
    <w:rsid w:val="757D5FBC"/>
    <w:rsid w:val="75A37E64"/>
    <w:rsid w:val="75A61A6F"/>
    <w:rsid w:val="75EB25B5"/>
    <w:rsid w:val="763F5E52"/>
    <w:rsid w:val="76774425"/>
    <w:rsid w:val="768A67C8"/>
    <w:rsid w:val="76A21CC8"/>
    <w:rsid w:val="76C878A0"/>
    <w:rsid w:val="76CC4B49"/>
    <w:rsid w:val="76CE4925"/>
    <w:rsid w:val="76F53E21"/>
    <w:rsid w:val="76F82097"/>
    <w:rsid w:val="77694495"/>
    <w:rsid w:val="776944C2"/>
    <w:rsid w:val="77885561"/>
    <w:rsid w:val="78C31B1A"/>
    <w:rsid w:val="78CC0E8B"/>
    <w:rsid w:val="78DA4B49"/>
    <w:rsid w:val="790E092A"/>
    <w:rsid w:val="792D3C84"/>
    <w:rsid w:val="79345A4C"/>
    <w:rsid w:val="79363BF4"/>
    <w:rsid w:val="79A323B5"/>
    <w:rsid w:val="79A431E5"/>
    <w:rsid w:val="79AB1E0F"/>
    <w:rsid w:val="79FA5EE8"/>
    <w:rsid w:val="7A5D252C"/>
    <w:rsid w:val="7A650012"/>
    <w:rsid w:val="7AE6600B"/>
    <w:rsid w:val="7B4C0F01"/>
    <w:rsid w:val="7B4D03D9"/>
    <w:rsid w:val="7BD209FE"/>
    <w:rsid w:val="7BE37E82"/>
    <w:rsid w:val="7BFC00ED"/>
    <w:rsid w:val="7C134B67"/>
    <w:rsid w:val="7C49283E"/>
    <w:rsid w:val="7CE57BE4"/>
    <w:rsid w:val="7CF027C3"/>
    <w:rsid w:val="7D133473"/>
    <w:rsid w:val="7D1D1609"/>
    <w:rsid w:val="7D1E7A04"/>
    <w:rsid w:val="7D31799A"/>
    <w:rsid w:val="7D490128"/>
    <w:rsid w:val="7D741ACF"/>
    <w:rsid w:val="7D767639"/>
    <w:rsid w:val="7DA214AB"/>
    <w:rsid w:val="7DA46D63"/>
    <w:rsid w:val="7DD37A85"/>
    <w:rsid w:val="7DE33FF1"/>
    <w:rsid w:val="7DF76841"/>
    <w:rsid w:val="7E5A18F3"/>
    <w:rsid w:val="7E8437DF"/>
    <w:rsid w:val="7EAD4824"/>
    <w:rsid w:val="7F1729BC"/>
    <w:rsid w:val="7F4734A5"/>
    <w:rsid w:val="7F823A23"/>
    <w:rsid w:val="7F8E5310"/>
    <w:rsid w:val="7FD4034D"/>
    <w:rsid w:val="7FD57821"/>
    <w:rsid w:val="7FD92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C8013-3BFA-4C7A-9119-E5983BD1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toc 3" w:uiPriority="39" w:unhideWhenUsed="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w:qFormat="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numPr>
        <w:numId w:val="1"/>
      </w:numPr>
      <w:autoSpaceDE w:val="0"/>
      <w:autoSpaceDN w:val="0"/>
      <w:adjustRightInd w:val="0"/>
      <w:spacing w:line="312" w:lineRule="atLeast"/>
      <w:ind w:right="-113"/>
      <w:jc w:val="left"/>
      <w:textAlignment w:val="bottom"/>
      <w:outlineLvl w:val="0"/>
    </w:pPr>
    <w:rPr>
      <w:rFonts w:ascii="仿宋体" w:eastAsia="仿宋体"/>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napToGrid w:val="0"/>
      <w:spacing w:line="300" w:lineRule="auto"/>
      <w:ind w:firstLine="556"/>
    </w:pPr>
    <w:rPr>
      <w:rFonts w:ascii="仿宋_GB2312" w:eastAsia="仿宋_GB2312"/>
      <w:sz w:val="28"/>
      <w:szCs w:val="20"/>
    </w:rPr>
  </w:style>
  <w:style w:type="paragraph" w:styleId="a4">
    <w:name w:val="annotation text"/>
    <w:basedOn w:val="a"/>
    <w:link w:val="a5"/>
    <w:qFormat/>
    <w:pPr>
      <w:jc w:val="left"/>
    </w:pPr>
  </w:style>
  <w:style w:type="paragraph" w:styleId="a6">
    <w:name w:val="Body Text"/>
    <w:basedOn w:val="a"/>
    <w:qFormat/>
    <w:pPr>
      <w:spacing w:after="120"/>
    </w:pPr>
  </w:style>
  <w:style w:type="paragraph" w:styleId="3">
    <w:name w:val="toc 3"/>
    <w:basedOn w:val="a"/>
    <w:next w:val="a"/>
    <w:uiPriority w:val="39"/>
    <w:unhideWhenUsed/>
    <w:pPr>
      <w:widowControl/>
      <w:spacing w:after="100" w:line="259" w:lineRule="auto"/>
      <w:ind w:left="440"/>
      <w:jc w:val="left"/>
    </w:pPr>
    <w:rPr>
      <w:rFonts w:cs="Times New Roman"/>
      <w:kern w:val="0"/>
      <w:sz w:val="22"/>
      <w:szCs w:val="22"/>
    </w:rPr>
  </w:style>
  <w:style w:type="paragraph" w:styleId="a7">
    <w:name w:val="Date"/>
    <w:basedOn w:val="a"/>
    <w:next w:val="a"/>
    <w:link w:val="a8"/>
    <w:qFormat/>
    <w:pPr>
      <w:ind w:leftChars="2500" w:left="100"/>
    </w:pPr>
  </w:style>
  <w:style w:type="paragraph" w:styleId="a9">
    <w:name w:val="Balloon Text"/>
    <w:basedOn w:val="a"/>
    <w:link w:val="aa"/>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10">
    <w:name w:val="toc 1"/>
    <w:basedOn w:val="a"/>
    <w:next w:val="a"/>
    <w:uiPriority w:val="39"/>
    <w:qFormat/>
  </w:style>
  <w:style w:type="paragraph" w:styleId="2">
    <w:name w:val="toc 2"/>
    <w:basedOn w:val="a"/>
    <w:next w:val="a"/>
    <w:uiPriority w:val="39"/>
    <w:unhideWhenUsed/>
    <w:qFormat/>
    <w:pPr>
      <w:widowControl/>
      <w:spacing w:after="100" w:line="259" w:lineRule="auto"/>
      <w:ind w:left="220"/>
      <w:jc w:val="left"/>
    </w:pPr>
    <w:rPr>
      <w:rFonts w:cs="Times New Roman"/>
      <w:kern w:val="0"/>
      <w:sz w:val="22"/>
      <w:szCs w:val="22"/>
    </w:rPr>
  </w:style>
  <w:style w:type="paragraph" w:styleId="ae">
    <w:name w:val="Normal (Web)"/>
    <w:basedOn w:val="a"/>
    <w:qFormat/>
    <w:pPr>
      <w:spacing w:before="100" w:beforeAutospacing="1" w:after="100" w:afterAutospacing="1"/>
      <w:jc w:val="left"/>
    </w:pPr>
    <w:rPr>
      <w:rFonts w:cs="Times New Roman"/>
      <w:kern w:val="0"/>
      <w:sz w:val="24"/>
    </w:rPr>
  </w:style>
  <w:style w:type="paragraph" w:styleId="af">
    <w:name w:val="Title"/>
    <w:basedOn w:val="a"/>
    <w:next w:val="a"/>
    <w:qFormat/>
    <w:pPr>
      <w:spacing w:before="240" w:after="60"/>
      <w:jc w:val="center"/>
      <w:outlineLvl w:val="0"/>
    </w:pPr>
    <w:rPr>
      <w:rFonts w:ascii="Cambria" w:hAnsi="Cambria" w:cs="Times New Roman"/>
      <w:b/>
      <w:bCs/>
      <w:sz w:val="32"/>
      <w:szCs w:val="32"/>
    </w:rPr>
  </w:style>
  <w:style w:type="paragraph" w:styleId="af0">
    <w:name w:val="annotation subject"/>
    <w:basedOn w:val="a4"/>
    <w:next w:val="a4"/>
    <w:link w:val="af1"/>
    <w:qFormat/>
    <w:rPr>
      <w:b/>
      <w:bCs/>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uiPriority w:val="99"/>
    <w:qFormat/>
    <w:rPr>
      <w:color w:val="0000FF"/>
      <w:u w:val="single"/>
    </w:rPr>
  </w:style>
  <w:style w:type="character" w:styleId="af4">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Style2">
    <w:name w:val="_Style 2"/>
    <w:basedOn w:val="1"/>
    <w:next w:val="a"/>
    <w:uiPriority w:val="39"/>
    <w:unhideWhenUsed/>
    <w:qFormat/>
    <w:pPr>
      <w:keepLines/>
      <w:widowControl/>
      <w:numPr>
        <w:numId w:val="0"/>
      </w:numPr>
      <w:autoSpaceDE/>
      <w:autoSpaceDN/>
      <w:adjustRightInd/>
      <w:spacing w:before="480" w:line="276" w:lineRule="auto"/>
      <w:ind w:right="0"/>
      <w:textAlignment w:val="auto"/>
      <w:outlineLvl w:val="9"/>
    </w:pPr>
    <w:rPr>
      <w:rFonts w:ascii="Cambria" w:eastAsia="宋体" w:hAnsi="Cambria" w:cs="Times New Roman"/>
      <w:b/>
      <w:bCs/>
      <w:color w:val="365F91"/>
      <w:szCs w:val="28"/>
    </w:rPr>
  </w:style>
  <w:style w:type="paragraph" w:customStyle="1" w:styleId="31">
    <w:name w:val="正文文本 31"/>
    <w:basedOn w:val="a"/>
    <w:qFormat/>
    <w:pPr>
      <w:spacing w:line="360" w:lineRule="auto"/>
    </w:pPr>
    <w:rPr>
      <w:rFonts w:ascii="宋体" w:hint="eastAsia"/>
      <w:b/>
      <w:sz w:val="28"/>
    </w:rPr>
  </w:style>
  <w:style w:type="paragraph" w:customStyle="1" w:styleId="WPSOffice1">
    <w:name w:val="WPSOffice手动目录 1"/>
    <w:qFormat/>
    <w:rPr>
      <w:rFonts w:asciiTheme="minorHAnsi" w:eastAsiaTheme="minorEastAsia" w:hAnsiTheme="minorHAnsi" w:cstheme="minorBidi"/>
    </w:rPr>
  </w:style>
  <w:style w:type="character" w:customStyle="1" w:styleId="a5">
    <w:name w:val="批注文字 字符"/>
    <w:basedOn w:val="a0"/>
    <w:link w:val="a4"/>
    <w:qFormat/>
    <w:rPr>
      <w:rFonts w:asciiTheme="minorHAnsi" w:eastAsiaTheme="minorEastAsia" w:hAnsiTheme="minorHAnsi" w:cstheme="minorBidi"/>
      <w:kern w:val="2"/>
      <w:sz w:val="21"/>
      <w:szCs w:val="24"/>
    </w:rPr>
  </w:style>
  <w:style w:type="character" w:customStyle="1" w:styleId="af1">
    <w:name w:val="批注主题 字符"/>
    <w:basedOn w:val="a5"/>
    <w:link w:val="af0"/>
    <w:qFormat/>
    <w:rPr>
      <w:rFonts w:asciiTheme="minorHAnsi" w:eastAsiaTheme="minorEastAsia" w:hAnsiTheme="minorHAnsi" w:cstheme="minorBidi"/>
      <w:b/>
      <w:bCs/>
      <w:kern w:val="2"/>
      <w:sz w:val="21"/>
      <w:szCs w:val="24"/>
    </w:rPr>
  </w:style>
  <w:style w:type="character" w:customStyle="1" w:styleId="a8">
    <w:name w:val="日期 字符"/>
    <w:basedOn w:val="a0"/>
    <w:link w:val="a7"/>
    <w:qFormat/>
    <w:rPr>
      <w:rFonts w:asciiTheme="minorHAnsi" w:eastAsiaTheme="minorEastAsia" w:hAnsiTheme="minorHAnsi" w:cstheme="minorBidi"/>
      <w:kern w:val="2"/>
      <w:sz w:val="21"/>
      <w:szCs w:val="24"/>
    </w:rPr>
  </w:style>
  <w:style w:type="paragraph" w:customStyle="1" w:styleId="zw">
    <w:name w:val="zw"/>
    <w:basedOn w:val="a"/>
    <w:qFormat/>
    <w:pPr>
      <w:adjustRightInd w:val="0"/>
      <w:spacing w:line="360" w:lineRule="auto"/>
      <w:ind w:firstLine="482"/>
      <w:textAlignment w:val="baseline"/>
    </w:pPr>
    <w:rPr>
      <w:rFonts w:ascii="Arial Narrow" w:eastAsia="楷体_GB2312" w:hAnsi="Arial Narrow"/>
      <w:sz w:val="24"/>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character" w:customStyle="1" w:styleId="aa">
    <w:name w:val="批注框文本 字符"/>
    <w:basedOn w:val="a0"/>
    <w:link w:val="a9"/>
    <w:qFormat/>
    <w:rPr>
      <w:rFonts w:asciiTheme="minorHAnsi" w:eastAsiaTheme="minorEastAsia" w:hAnsiTheme="minorHAnsi" w:cstheme="minorBidi"/>
      <w:kern w:val="2"/>
      <w:sz w:val="18"/>
      <w:szCs w:val="18"/>
    </w:rPr>
  </w:style>
  <w:style w:type="character" w:customStyle="1" w:styleId="ac">
    <w:name w:val="页脚 字符"/>
    <w:basedOn w:val="a0"/>
    <w:link w:val="ab"/>
    <w:qFormat/>
    <w:rPr>
      <w:kern w:val="2"/>
      <w:sz w:val="18"/>
      <w:szCs w:val="18"/>
    </w:rPr>
  </w:style>
  <w:style w:type="paragraph" w:customStyle="1" w:styleId="TOC1">
    <w:name w:val="TOC 标题1"/>
    <w:basedOn w:val="1"/>
    <w:next w:val="a"/>
    <w:uiPriority w:val="39"/>
    <w:unhideWhenUsed/>
    <w:qFormat/>
    <w:pPr>
      <w:keepLines/>
      <w:widowControl/>
      <w:numPr>
        <w:numId w:val="0"/>
      </w:numPr>
      <w:autoSpaceDE/>
      <w:autoSpaceDN/>
      <w:adjustRightInd/>
      <w:spacing w:before="240" w:line="259" w:lineRule="auto"/>
      <w:ind w:right="0"/>
      <w:textAlignment w:val="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1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655950-694333.htm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CD6D7-2146-4425-9983-CDC81DBC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1848</Words>
  <Characters>10537</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朱家凯</cp:lastModifiedBy>
  <cp:revision>47</cp:revision>
  <cp:lastPrinted>2022-10-24T02:49:00Z</cp:lastPrinted>
  <dcterms:created xsi:type="dcterms:W3CDTF">2020-10-21T01:53:00Z</dcterms:created>
  <dcterms:modified xsi:type="dcterms:W3CDTF">2022-10-24T02:50:00Z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FA775A37DB7C410EAFD1325B2F6A32DB</vt:lpwstr>
  </property>
  <property fmtid="{D5CDD505-2E9C-101B-9397-08002B2CF9AE}" pid="4" name="commondata">
    <vt:lpwstr>eyJoZGlkIjoiMmZhZGVjZmVlM2M1MmU0ODYwZTY0NDE0YjdiMTI2ZDYifQ==</vt:lpwstr>
  </property>
</Properties>
</file>