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CBB" w:rsidRDefault="00A37CBB">
      <w:pPr>
        <w:pStyle w:val="1"/>
        <w:spacing w:line="360" w:lineRule="auto"/>
        <w:rPr>
          <w:rFonts w:eastAsia="楷体_GB2312"/>
          <w:spacing w:val="0"/>
          <w:kern w:val="2"/>
          <w:sz w:val="52"/>
          <w:szCs w:val="52"/>
        </w:rPr>
      </w:pPr>
      <w:bookmarkStart w:id="0" w:name="_Toc166894318"/>
      <w:bookmarkStart w:id="1" w:name="_Toc213473257"/>
      <w:bookmarkStart w:id="2" w:name="OLE_LINK3"/>
      <w:bookmarkStart w:id="3" w:name="_Toc166894319"/>
      <w:bookmarkStart w:id="4" w:name="_Toc213473258"/>
    </w:p>
    <w:p w:rsidR="00A37CBB" w:rsidRDefault="00A37CBB">
      <w:pPr>
        <w:pStyle w:val="1"/>
        <w:spacing w:line="360" w:lineRule="auto"/>
        <w:jc w:val="both"/>
        <w:rPr>
          <w:rFonts w:eastAsia="楷体_GB2312"/>
          <w:spacing w:val="0"/>
          <w:kern w:val="2"/>
          <w:sz w:val="52"/>
          <w:szCs w:val="52"/>
        </w:rPr>
      </w:pPr>
    </w:p>
    <w:p w:rsidR="00A37CBB" w:rsidRDefault="00D21007">
      <w:pPr>
        <w:pStyle w:val="1"/>
        <w:spacing w:line="360" w:lineRule="auto"/>
        <w:rPr>
          <w:rFonts w:eastAsia="仿宋" w:hAnsi="仿宋"/>
          <w:sz w:val="52"/>
          <w:szCs w:val="52"/>
        </w:rPr>
      </w:pPr>
      <w:r>
        <w:rPr>
          <w:rFonts w:eastAsia="楷体_GB2312"/>
          <w:spacing w:val="0"/>
          <w:kern w:val="2"/>
          <w:sz w:val="52"/>
          <w:szCs w:val="52"/>
        </w:rPr>
        <w:t>房地产估价报告</w:t>
      </w:r>
    </w:p>
    <w:p w:rsidR="00A37CBB" w:rsidRDefault="00A37CBB">
      <w:pPr>
        <w:rPr>
          <w:rFonts w:ascii="仿宋" w:eastAsia="仿宋" w:hAnsi="仿宋" w:cs="仿宋"/>
          <w:b/>
          <w:sz w:val="32"/>
          <w:szCs w:val="32"/>
        </w:rPr>
      </w:pPr>
    </w:p>
    <w:p w:rsidR="00A37CBB" w:rsidRDefault="00A37CBB">
      <w:pPr>
        <w:rPr>
          <w:rFonts w:ascii="仿宋" w:eastAsia="仿宋" w:hAnsi="仿宋" w:cs="仿宋"/>
          <w:b/>
          <w:sz w:val="32"/>
          <w:szCs w:val="32"/>
        </w:rPr>
      </w:pPr>
    </w:p>
    <w:p w:rsidR="00A37CBB" w:rsidRDefault="00D21007" w:rsidP="008D2AB0">
      <w:pPr>
        <w:pStyle w:val="a0"/>
        <w:spacing w:line="456" w:lineRule="auto"/>
        <w:ind w:leftChars="-100" w:left="1949" w:rightChars="-236" w:right="-566" w:hangingChars="684" w:hanging="2189"/>
        <w:rPr>
          <w:rFonts w:ascii="仿宋" w:eastAsia="仿宋" w:hAnsi="仿宋" w:cs="仿宋"/>
          <w:bCs/>
          <w:sz w:val="32"/>
          <w:szCs w:val="32"/>
        </w:rPr>
      </w:pPr>
      <w:r>
        <w:rPr>
          <w:rFonts w:ascii="仿宋" w:eastAsia="仿宋" w:hAnsi="仿宋" w:cs="仿宋" w:hint="eastAsia"/>
          <w:bCs/>
          <w:sz w:val="32"/>
          <w:szCs w:val="32"/>
        </w:rPr>
        <w:t>估价项目名称：江西省大余县人民法院委托的赖兵生拥有的位于赣州市大余县新城镇赤石乡分水坳村下田心营业/住宅用途房地产市场价值评估报告</w:t>
      </w:r>
    </w:p>
    <w:p w:rsidR="00A37CBB" w:rsidRDefault="00D21007">
      <w:pPr>
        <w:pStyle w:val="a0"/>
        <w:spacing w:line="456" w:lineRule="auto"/>
        <w:ind w:leftChars="-100" w:left="1632" w:rightChars="-236" w:right="-566" w:hangingChars="585" w:hanging="1872"/>
        <w:rPr>
          <w:rFonts w:ascii="仿宋" w:eastAsia="仿宋" w:hAnsi="仿宋" w:cs="仿宋"/>
          <w:bCs/>
          <w:sz w:val="32"/>
          <w:szCs w:val="32"/>
        </w:rPr>
      </w:pPr>
      <w:r>
        <w:rPr>
          <w:rFonts w:ascii="仿宋" w:eastAsia="仿宋" w:hAnsi="仿宋" w:cs="仿宋" w:hint="eastAsia"/>
          <w:bCs/>
          <w:sz w:val="32"/>
          <w:szCs w:val="32"/>
        </w:rPr>
        <w:t>估价委托人：江西省大余县人民法院</w:t>
      </w:r>
    </w:p>
    <w:p w:rsidR="00A37CBB" w:rsidRDefault="00D21007">
      <w:pPr>
        <w:pStyle w:val="a0"/>
        <w:spacing w:line="456" w:lineRule="auto"/>
        <w:ind w:leftChars="-100" w:left="1632" w:rightChars="-236" w:right="-566" w:hangingChars="585" w:hanging="1872"/>
        <w:rPr>
          <w:rFonts w:ascii="仿宋" w:eastAsia="仿宋" w:hAnsi="仿宋" w:cs="仿宋"/>
          <w:bCs/>
          <w:sz w:val="32"/>
          <w:szCs w:val="32"/>
        </w:rPr>
      </w:pPr>
      <w:r>
        <w:rPr>
          <w:rFonts w:ascii="仿宋" w:eastAsia="仿宋" w:hAnsi="仿宋" w:cs="仿宋" w:hint="eastAsia"/>
          <w:bCs/>
          <w:sz w:val="32"/>
          <w:szCs w:val="32"/>
        </w:rPr>
        <w:t>房地产估价机构：江西寰宇房地产土地资产评估有限公司</w:t>
      </w:r>
    </w:p>
    <w:p w:rsidR="00A37CBB" w:rsidRDefault="00D21007">
      <w:pPr>
        <w:pStyle w:val="a0"/>
        <w:spacing w:line="456" w:lineRule="auto"/>
        <w:ind w:leftChars="-100" w:left="1632" w:rightChars="-236" w:right="-566" w:hangingChars="585" w:hanging="1872"/>
        <w:rPr>
          <w:rFonts w:ascii="仿宋" w:eastAsia="仿宋" w:hAnsi="仿宋" w:cs="仿宋"/>
          <w:bCs/>
          <w:sz w:val="32"/>
          <w:szCs w:val="32"/>
        </w:rPr>
      </w:pPr>
      <w:r>
        <w:rPr>
          <w:rFonts w:ascii="仿宋" w:eastAsia="仿宋" w:hAnsi="仿宋" w:cs="仿宋" w:hint="eastAsia"/>
          <w:bCs/>
          <w:sz w:val="32"/>
          <w:szCs w:val="32"/>
        </w:rPr>
        <w:t>注册房地产估价师：邓斌平   注册号：3620070029</w:t>
      </w:r>
    </w:p>
    <w:p w:rsidR="00A37CBB" w:rsidRDefault="00D21007">
      <w:pPr>
        <w:pStyle w:val="a0"/>
        <w:spacing w:line="456" w:lineRule="auto"/>
        <w:ind w:leftChars="-100" w:left="1632" w:rightChars="-236" w:right="-566" w:hangingChars="585" w:hanging="1872"/>
        <w:rPr>
          <w:rFonts w:ascii="仿宋" w:eastAsia="仿宋" w:hAnsi="仿宋" w:cs="仿宋"/>
          <w:bCs/>
          <w:sz w:val="32"/>
          <w:szCs w:val="32"/>
        </w:rPr>
      </w:pPr>
      <w:r>
        <w:rPr>
          <w:rFonts w:ascii="仿宋" w:eastAsia="仿宋" w:hAnsi="仿宋" w:cs="仿宋" w:hint="eastAsia"/>
          <w:bCs/>
          <w:sz w:val="32"/>
          <w:szCs w:val="32"/>
        </w:rPr>
        <w:t>注册房地产估价师：黄印   注册号：3620180026</w:t>
      </w:r>
    </w:p>
    <w:p w:rsidR="00A37CBB" w:rsidRDefault="00D21007">
      <w:pPr>
        <w:pStyle w:val="a0"/>
        <w:spacing w:line="456" w:lineRule="auto"/>
        <w:ind w:leftChars="-100" w:left="1632" w:rightChars="-236" w:right="-566" w:hangingChars="585" w:hanging="1872"/>
        <w:rPr>
          <w:rFonts w:ascii="仿宋" w:eastAsia="仿宋" w:hAnsi="仿宋" w:cs="仿宋"/>
          <w:bCs/>
          <w:sz w:val="32"/>
          <w:szCs w:val="32"/>
        </w:rPr>
      </w:pPr>
      <w:r>
        <w:rPr>
          <w:rFonts w:ascii="仿宋" w:eastAsia="仿宋" w:hAnsi="仿宋" w:cs="仿宋" w:hint="eastAsia"/>
          <w:bCs/>
          <w:sz w:val="32"/>
          <w:szCs w:val="32"/>
        </w:rPr>
        <w:t>价值时点：2021年05月07日</w:t>
      </w:r>
    </w:p>
    <w:p w:rsidR="00A37CBB" w:rsidRDefault="00D21007">
      <w:pPr>
        <w:pStyle w:val="a0"/>
        <w:spacing w:line="456" w:lineRule="auto"/>
        <w:ind w:leftChars="-100" w:left="1632" w:rightChars="-236" w:right="-566" w:hangingChars="585" w:hanging="1872"/>
        <w:rPr>
          <w:rFonts w:ascii="仿宋" w:eastAsia="仿宋" w:hAnsi="仿宋" w:cs="仿宋"/>
          <w:bCs/>
          <w:sz w:val="32"/>
          <w:szCs w:val="32"/>
        </w:rPr>
      </w:pPr>
      <w:r>
        <w:rPr>
          <w:rFonts w:ascii="仿宋" w:eastAsia="仿宋" w:hAnsi="仿宋" w:cs="仿宋" w:hint="eastAsia"/>
          <w:bCs/>
          <w:sz w:val="32"/>
          <w:szCs w:val="32"/>
        </w:rPr>
        <w:t>估价报告出具日期：2021年05月11日</w:t>
      </w:r>
    </w:p>
    <w:p w:rsidR="00A37CBB" w:rsidRDefault="00D21007">
      <w:pPr>
        <w:pStyle w:val="a0"/>
        <w:spacing w:line="456" w:lineRule="auto"/>
        <w:ind w:leftChars="-100" w:left="1632" w:rightChars="-236" w:right="-566" w:hangingChars="585" w:hanging="1872"/>
        <w:rPr>
          <w:rFonts w:ascii="仿宋" w:eastAsia="仿宋" w:hAnsi="仿宋" w:cs="仿宋"/>
          <w:bCs/>
          <w:sz w:val="32"/>
          <w:szCs w:val="32"/>
        </w:rPr>
        <w:sectPr w:rsidR="00A37CBB">
          <w:headerReference w:type="even" r:id="rId9"/>
          <w:headerReference w:type="default" r:id="rId10"/>
          <w:footerReference w:type="even" r:id="rId11"/>
          <w:footerReference w:type="default" r:id="rId12"/>
          <w:headerReference w:type="first" r:id="rId13"/>
          <w:footerReference w:type="first" r:id="rId14"/>
          <w:pgSz w:w="11907" w:h="16840"/>
          <w:pgMar w:top="1440" w:right="1797" w:bottom="1440" w:left="1797" w:header="851" w:footer="992" w:gutter="0"/>
          <w:pgNumType w:start="0"/>
          <w:cols w:space="425"/>
          <w:titlePg/>
          <w:docGrid w:type="linesAndChars" w:linePitch="326"/>
        </w:sectPr>
      </w:pPr>
      <w:r>
        <w:rPr>
          <w:rFonts w:ascii="仿宋" w:eastAsia="仿宋" w:hAnsi="仿宋" w:cs="仿宋" w:hint="eastAsia"/>
          <w:bCs/>
          <w:sz w:val="32"/>
          <w:szCs w:val="32"/>
        </w:rPr>
        <w:t>估价报告编号：赣寰宇（2021）估字第F51359号</w:t>
      </w:r>
    </w:p>
    <w:p w:rsidR="00A37CBB" w:rsidRDefault="00D21007">
      <w:pPr>
        <w:pStyle w:val="2"/>
        <w:spacing w:before="0" w:after="0" w:line="360" w:lineRule="auto"/>
        <w:rPr>
          <w:rFonts w:ascii="仿宋" w:eastAsia="仿宋" w:hAnsi="仿宋"/>
          <w:sz w:val="28"/>
        </w:rPr>
      </w:pPr>
      <w:bookmarkStart w:id="5" w:name="_Toc1758"/>
      <w:r>
        <w:rPr>
          <w:rFonts w:ascii="仿宋" w:eastAsia="仿宋" w:hAnsi="仿宋"/>
          <w:bCs/>
        </w:rPr>
        <w:lastRenderedPageBreak/>
        <w:t>致估价委托人函</w:t>
      </w:r>
      <w:bookmarkEnd w:id="0"/>
      <w:bookmarkEnd w:id="1"/>
      <w:bookmarkEnd w:id="5"/>
    </w:p>
    <w:p w:rsidR="00A37CBB" w:rsidRDefault="00D21007">
      <w:pPr>
        <w:pStyle w:val="a9"/>
        <w:spacing w:line="480" w:lineRule="exact"/>
        <w:rPr>
          <w:rFonts w:ascii="仿宋" w:eastAsia="仿宋" w:hAnsi="仿宋"/>
          <w:sz w:val="28"/>
          <w:szCs w:val="22"/>
        </w:rPr>
      </w:pPr>
      <w:r>
        <w:rPr>
          <w:rFonts w:ascii="仿宋" w:eastAsia="仿宋" w:hAnsi="仿宋" w:hint="eastAsia"/>
          <w:sz w:val="28"/>
          <w:szCs w:val="22"/>
        </w:rPr>
        <w:t>江西省大余县人民法院：</w:t>
      </w:r>
    </w:p>
    <w:p w:rsidR="00A37CBB" w:rsidRDefault="00D21007">
      <w:pPr>
        <w:spacing w:line="480" w:lineRule="exact"/>
        <w:ind w:firstLineChars="200" w:firstLine="560"/>
        <w:rPr>
          <w:rFonts w:eastAsia="仿宋"/>
          <w:sz w:val="28"/>
          <w:szCs w:val="22"/>
        </w:rPr>
      </w:pPr>
      <w:r>
        <w:rPr>
          <w:rFonts w:eastAsia="仿宋"/>
          <w:sz w:val="28"/>
        </w:rPr>
        <w:t>受贵</w:t>
      </w:r>
      <w:r>
        <w:rPr>
          <w:rFonts w:eastAsia="仿宋" w:hint="eastAsia"/>
          <w:sz w:val="28"/>
        </w:rPr>
        <w:t>院</w:t>
      </w:r>
      <w:r>
        <w:rPr>
          <w:rFonts w:eastAsia="仿宋"/>
          <w:sz w:val="28"/>
        </w:rPr>
        <w:t>委托，我</w:t>
      </w:r>
      <w:r>
        <w:rPr>
          <w:rFonts w:eastAsia="仿宋" w:hint="eastAsia"/>
          <w:sz w:val="28"/>
        </w:rPr>
        <w:t>公</w:t>
      </w:r>
      <w:r>
        <w:rPr>
          <w:rFonts w:eastAsia="仿宋"/>
          <w:sz w:val="28"/>
        </w:rPr>
        <w:t>司</w:t>
      </w:r>
      <w:r>
        <w:rPr>
          <w:rFonts w:eastAsia="仿宋" w:hint="eastAsia"/>
          <w:sz w:val="28"/>
        </w:rPr>
        <w:t>派专业房地产</w:t>
      </w:r>
      <w:r>
        <w:rPr>
          <w:rFonts w:eastAsia="仿宋"/>
          <w:sz w:val="28"/>
        </w:rPr>
        <w:t>人员</w:t>
      </w:r>
      <w:r>
        <w:rPr>
          <w:rFonts w:eastAsia="仿宋" w:hint="eastAsia"/>
          <w:sz w:val="28"/>
        </w:rPr>
        <w:t>对</w:t>
      </w:r>
      <w:r>
        <w:rPr>
          <w:rFonts w:eastAsia="仿宋" w:hint="eastAsia"/>
          <w:sz w:val="28"/>
          <w:szCs w:val="22"/>
        </w:rPr>
        <w:t>申请执行人赵愈昌等人与被执行人赖兵生民间借贷纠纷等案【案号：</w:t>
      </w:r>
      <w:r>
        <w:rPr>
          <w:rFonts w:ascii="仿宋" w:eastAsia="仿宋" w:hAnsi="仿宋" w:cs="仿宋" w:hint="eastAsia"/>
          <w:sz w:val="28"/>
          <w:szCs w:val="28"/>
        </w:rPr>
        <w:t>（2016）赣0723执725号</w:t>
      </w:r>
      <w:r>
        <w:rPr>
          <w:rFonts w:eastAsia="仿宋" w:hint="eastAsia"/>
          <w:sz w:val="28"/>
          <w:szCs w:val="22"/>
        </w:rPr>
        <w:t>】涉及的房地产进行了评估</w:t>
      </w:r>
      <w:r>
        <w:rPr>
          <w:rFonts w:eastAsia="仿宋"/>
          <w:sz w:val="28"/>
        </w:rPr>
        <w:t>，估价目的</w:t>
      </w:r>
      <w:r>
        <w:rPr>
          <w:rFonts w:eastAsia="仿宋" w:hint="eastAsia"/>
          <w:sz w:val="28"/>
        </w:rPr>
        <w:t>是</w:t>
      </w:r>
      <w:r>
        <w:rPr>
          <w:rFonts w:eastAsia="仿宋"/>
          <w:sz w:val="28"/>
        </w:rPr>
        <w:t>为人民法院确定财产处置参考价提供参考依据</w:t>
      </w:r>
      <w:r>
        <w:rPr>
          <w:rFonts w:eastAsia="仿宋"/>
          <w:sz w:val="28"/>
          <w:szCs w:val="28"/>
        </w:rPr>
        <w:t>。</w:t>
      </w:r>
    </w:p>
    <w:p w:rsidR="00A37CBB" w:rsidRDefault="00D21007">
      <w:pPr>
        <w:spacing w:line="480" w:lineRule="exact"/>
        <w:ind w:firstLineChars="200" w:firstLine="480"/>
        <w:rPr>
          <w:b/>
          <w:bCs/>
          <w:kern w:val="0"/>
          <w:sz w:val="28"/>
          <w:szCs w:val="28"/>
          <w:vertAlign w:val="superscript"/>
        </w:rPr>
      </w:pPr>
      <w:r>
        <w:rPr>
          <w:noProof/>
        </w:rPr>
        <w:drawing>
          <wp:anchor distT="0" distB="0" distL="0" distR="0" simplePos="0" relativeHeight="251662336" behindDoc="1" locked="0" layoutInCell="1" allowOverlap="1">
            <wp:simplePos x="0" y="0"/>
            <wp:positionH relativeFrom="page">
              <wp:posOffset>4824730</wp:posOffset>
            </wp:positionH>
            <wp:positionV relativeFrom="paragraph">
              <wp:posOffset>1307465</wp:posOffset>
            </wp:positionV>
            <wp:extent cx="1699260" cy="1671955"/>
            <wp:effectExtent l="0" t="0" r="15240" b="4445"/>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pic:cNvPicPr>
                      <a:picLocks noChangeAspect="1"/>
                    </pic:cNvPicPr>
                  </pic:nvPicPr>
                  <pic:blipFill>
                    <a:blip r:embed="rId15" cstate="print"/>
                    <a:stretch>
                      <a:fillRect/>
                    </a:stretch>
                  </pic:blipFill>
                  <pic:spPr>
                    <a:xfrm>
                      <a:off x="0" y="0"/>
                      <a:ext cx="1699260" cy="1671955"/>
                    </a:xfrm>
                    <a:prstGeom prst="rect">
                      <a:avLst/>
                    </a:prstGeom>
                  </pic:spPr>
                </pic:pic>
              </a:graphicData>
            </a:graphic>
          </wp:anchor>
        </w:drawing>
      </w:r>
      <w:r>
        <w:rPr>
          <w:rFonts w:eastAsia="仿宋" w:hint="eastAsia"/>
          <w:sz w:val="28"/>
          <w:szCs w:val="22"/>
        </w:rPr>
        <w:t>根据《中华人民共和国城市房地产管理法》、《中华人民共和国资产评估法》、《最高人民法院关于人民法院确定财产处置参考价若干问题的规定》、《人民法院委托评估工作规范》等法律法规，以及《房地产估价规范》、《房地产估价基本术语标准》等标准规范，</w:t>
      </w:r>
      <w:r>
        <w:rPr>
          <w:rFonts w:eastAsia="仿宋"/>
          <w:sz w:val="28"/>
          <w:szCs w:val="22"/>
        </w:rPr>
        <w:t>注册房地产估价师根据估价目的，遵循估价原则，按照估价程序，选用适宜的估价方法，并在综合分析影响估价对象房地产价值因素的基础上，经过综合测算，最终确定估价对象于价值时点</w:t>
      </w:r>
      <w:r>
        <w:rPr>
          <w:rFonts w:eastAsia="仿宋" w:hint="eastAsia"/>
          <w:sz w:val="28"/>
          <w:szCs w:val="22"/>
        </w:rPr>
        <w:t>2021</w:t>
      </w:r>
      <w:r>
        <w:rPr>
          <w:rFonts w:eastAsia="仿宋" w:hint="eastAsia"/>
          <w:sz w:val="28"/>
          <w:szCs w:val="22"/>
        </w:rPr>
        <w:t>年</w:t>
      </w:r>
      <w:r>
        <w:rPr>
          <w:rFonts w:eastAsia="仿宋" w:hint="eastAsia"/>
          <w:sz w:val="28"/>
          <w:szCs w:val="22"/>
        </w:rPr>
        <w:t>05</w:t>
      </w:r>
      <w:r>
        <w:rPr>
          <w:rFonts w:eastAsia="仿宋" w:hint="eastAsia"/>
          <w:sz w:val="28"/>
          <w:szCs w:val="22"/>
        </w:rPr>
        <w:t>月</w:t>
      </w:r>
      <w:r>
        <w:rPr>
          <w:rFonts w:eastAsia="仿宋" w:hint="eastAsia"/>
          <w:sz w:val="28"/>
          <w:szCs w:val="22"/>
        </w:rPr>
        <w:t>07</w:t>
      </w:r>
      <w:r>
        <w:rPr>
          <w:rFonts w:eastAsia="仿宋" w:hint="eastAsia"/>
          <w:sz w:val="28"/>
          <w:szCs w:val="22"/>
        </w:rPr>
        <w:t>日</w:t>
      </w:r>
      <w:r>
        <w:rPr>
          <w:rFonts w:eastAsia="仿宋"/>
          <w:sz w:val="28"/>
          <w:szCs w:val="22"/>
        </w:rPr>
        <w:t>的房地产市场价值为</w:t>
      </w:r>
      <w:r>
        <w:rPr>
          <w:rFonts w:eastAsia="仿宋" w:hint="eastAsia"/>
          <w:b/>
          <w:bCs/>
          <w:sz w:val="28"/>
          <w:szCs w:val="22"/>
        </w:rPr>
        <w:t>¥55.38</w:t>
      </w:r>
      <w:r>
        <w:rPr>
          <w:rFonts w:eastAsia="仿宋"/>
          <w:sz w:val="28"/>
          <w:szCs w:val="22"/>
        </w:rPr>
        <w:t>万元，大写人民币</w:t>
      </w:r>
      <w:r>
        <w:rPr>
          <w:rFonts w:eastAsia="仿宋" w:hint="eastAsia"/>
          <w:sz w:val="28"/>
          <w:szCs w:val="22"/>
        </w:rPr>
        <w:t>：</w:t>
      </w:r>
      <w:r>
        <w:rPr>
          <w:rFonts w:eastAsia="仿宋" w:hint="eastAsia"/>
          <w:b/>
          <w:bCs/>
          <w:sz w:val="28"/>
          <w:szCs w:val="22"/>
        </w:rPr>
        <w:t>伍拾伍万叁仟捌佰</w:t>
      </w:r>
      <w:r>
        <w:rPr>
          <w:rFonts w:eastAsia="仿宋"/>
          <w:sz w:val="28"/>
          <w:szCs w:val="22"/>
        </w:rPr>
        <w:t>元整。（具体详见</w:t>
      </w:r>
      <w:bookmarkEnd w:id="2"/>
      <w:r>
        <w:rPr>
          <w:rFonts w:eastAsia="仿宋" w:hint="eastAsia"/>
          <w:sz w:val="28"/>
          <w:szCs w:val="22"/>
        </w:rPr>
        <w:t>注：</w:t>
      </w:r>
      <w:r>
        <w:rPr>
          <w:rFonts w:eastAsia="仿宋"/>
          <w:sz w:val="28"/>
          <w:szCs w:val="22"/>
        </w:rPr>
        <w:t>《估价结果一览表》）。</w:t>
      </w:r>
    </w:p>
    <w:tbl>
      <w:tblPr>
        <w:tblpPr w:leftFromText="180" w:rightFromText="180" w:vertAnchor="text" w:horzAnchor="page" w:tblpXSpec="center" w:tblpY="264"/>
        <w:tblOverlap w:val="never"/>
        <w:tblW w:w="10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4"/>
        <w:gridCol w:w="1010"/>
        <w:gridCol w:w="1310"/>
        <w:gridCol w:w="770"/>
        <w:gridCol w:w="720"/>
        <w:gridCol w:w="814"/>
        <w:gridCol w:w="981"/>
        <w:gridCol w:w="1153"/>
        <w:gridCol w:w="1074"/>
        <w:gridCol w:w="1153"/>
      </w:tblGrid>
      <w:tr w:rsidR="00A37CBB">
        <w:trPr>
          <w:cantSplit/>
          <w:trHeight w:val="593"/>
          <w:jc w:val="center"/>
        </w:trPr>
        <w:tc>
          <w:tcPr>
            <w:tcW w:w="1654" w:type="dxa"/>
            <w:vAlign w:val="center"/>
          </w:tcPr>
          <w:p w:rsidR="00A37CBB" w:rsidRDefault="00D21007">
            <w:pPr>
              <w:pStyle w:val="a9"/>
              <w:spacing w:line="280" w:lineRule="exact"/>
              <w:jc w:val="center"/>
              <w:rPr>
                <w:rFonts w:ascii="仿宋" w:eastAsia="仿宋" w:hAnsi="仿宋" w:cs="仿宋"/>
                <w:b/>
                <w:sz w:val="21"/>
                <w:szCs w:val="21"/>
              </w:rPr>
            </w:pPr>
            <w:r>
              <w:rPr>
                <w:rFonts w:ascii="Times New Roman" w:hAnsi="Times New Roman" w:hint="eastAsia"/>
                <w:b/>
                <w:bCs/>
                <w:sz w:val="18"/>
                <w:szCs w:val="18"/>
              </w:rPr>
              <w:t>《房屋所有权证》证号</w:t>
            </w:r>
          </w:p>
        </w:tc>
        <w:tc>
          <w:tcPr>
            <w:tcW w:w="1010" w:type="dxa"/>
            <w:vAlign w:val="center"/>
          </w:tcPr>
          <w:p w:rsidR="00A37CBB" w:rsidRDefault="00D21007">
            <w:pPr>
              <w:pStyle w:val="a9"/>
              <w:spacing w:line="280" w:lineRule="exact"/>
              <w:jc w:val="center"/>
              <w:rPr>
                <w:rFonts w:ascii="仿宋" w:eastAsia="仿宋" w:hAnsi="仿宋" w:cs="仿宋"/>
                <w:b/>
                <w:sz w:val="21"/>
                <w:szCs w:val="21"/>
              </w:rPr>
            </w:pPr>
            <w:r>
              <w:rPr>
                <w:rFonts w:ascii="仿宋" w:eastAsia="仿宋" w:hAnsi="仿宋" w:cs="仿宋" w:hint="eastAsia"/>
                <w:b/>
                <w:sz w:val="21"/>
                <w:szCs w:val="21"/>
              </w:rPr>
              <w:t>权利人</w:t>
            </w:r>
          </w:p>
        </w:tc>
        <w:tc>
          <w:tcPr>
            <w:tcW w:w="1310" w:type="dxa"/>
            <w:vAlign w:val="center"/>
          </w:tcPr>
          <w:p w:rsidR="00A37CBB" w:rsidRDefault="00D21007">
            <w:pPr>
              <w:pStyle w:val="a9"/>
              <w:spacing w:line="280" w:lineRule="exact"/>
              <w:jc w:val="center"/>
              <w:rPr>
                <w:rFonts w:ascii="仿宋" w:eastAsia="仿宋" w:hAnsi="仿宋" w:cs="仿宋"/>
                <w:sz w:val="21"/>
                <w:szCs w:val="21"/>
              </w:rPr>
            </w:pPr>
            <w:r>
              <w:rPr>
                <w:rFonts w:ascii="仿宋" w:eastAsia="仿宋" w:hAnsi="仿宋" w:cs="仿宋" w:hint="eastAsia"/>
                <w:b/>
                <w:sz w:val="21"/>
                <w:szCs w:val="21"/>
              </w:rPr>
              <w:t>坐落</w:t>
            </w:r>
          </w:p>
        </w:tc>
        <w:tc>
          <w:tcPr>
            <w:tcW w:w="770" w:type="dxa"/>
            <w:vAlign w:val="center"/>
          </w:tcPr>
          <w:p w:rsidR="00A37CBB" w:rsidRDefault="00D21007">
            <w:pPr>
              <w:pStyle w:val="a9"/>
              <w:spacing w:line="280" w:lineRule="exact"/>
              <w:jc w:val="center"/>
              <w:rPr>
                <w:rFonts w:ascii="仿宋" w:eastAsia="仿宋" w:hAnsi="仿宋" w:cs="仿宋"/>
                <w:b/>
                <w:sz w:val="21"/>
                <w:szCs w:val="21"/>
              </w:rPr>
            </w:pPr>
            <w:r>
              <w:rPr>
                <w:rFonts w:ascii="仿宋" w:eastAsia="仿宋" w:hAnsi="仿宋" w:cs="仿宋" w:hint="eastAsia"/>
                <w:b/>
                <w:sz w:val="21"/>
                <w:szCs w:val="21"/>
              </w:rPr>
              <w:t>用途</w:t>
            </w:r>
          </w:p>
        </w:tc>
        <w:tc>
          <w:tcPr>
            <w:tcW w:w="720" w:type="dxa"/>
            <w:vAlign w:val="center"/>
          </w:tcPr>
          <w:p w:rsidR="00A37CBB" w:rsidRDefault="00D21007">
            <w:pPr>
              <w:pStyle w:val="a9"/>
              <w:spacing w:line="280" w:lineRule="exact"/>
              <w:jc w:val="center"/>
              <w:rPr>
                <w:rFonts w:ascii="仿宋" w:eastAsia="仿宋" w:hAnsi="仿宋" w:cs="仿宋"/>
                <w:b/>
                <w:sz w:val="21"/>
                <w:szCs w:val="21"/>
              </w:rPr>
            </w:pPr>
            <w:r>
              <w:rPr>
                <w:rFonts w:ascii="仿宋" w:eastAsia="仿宋" w:hAnsi="仿宋" w:cs="仿宋" w:hint="eastAsia"/>
                <w:b/>
                <w:sz w:val="21"/>
                <w:szCs w:val="21"/>
              </w:rPr>
              <w:t>房屋结构</w:t>
            </w:r>
          </w:p>
        </w:tc>
        <w:tc>
          <w:tcPr>
            <w:tcW w:w="814" w:type="dxa"/>
            <w:vAlign w:val="center"/>
          </w:tcPr>
          <w:p w:rsidR="00A37CBB" w:rsidRDefault="00D21007">
            <w:pPr>
              <w:spacing w:line="280" w:lineRule="exact"/>
              <w:jc w:val="center"/>
              <w:rPr>
                <w:rFonts w:ascii="仿宋" w:eastAsia="仿宋" w:hAnsi="仿宋" w:cs="仿宋"/>
                <w:b/>
                <w:sz w:val="21"/>
                <w:szCs w:val="21"/>
              </w:rPr>
            </w:pPr>
            <w:r>
              <w:rPr>
                <w:rFonts w:ascii="仿宋" w:eastAsia="仿宋" w:hAnsi="仿宋" w:cs="仿宋" w:hint="eastAsia"/>
                <w:b/>
                <w:sz w:val="21"/>
                <w:szCs w:val="21"/>
              </w:rPr>
              <w:t>建筑年代</w:t>
            </w:r>
          </w:p>
        </w:tc>
        <w:tc>
          <w:tcPr>
            <w:tcW w:w="981" w:type="dxa"/>
            <w:vAlign w:val="center"/>
          </w:tcPr>
          <w:p w:rsidR="00A37CBB" w:rsidRDefault="00D21007">
            <w:pPr>
              <w:spacing w:line="280" w:lineRule="exact"/>
              <w:jc w:val="center"/>
              <w:rPr>
                <w:rFonts w:ascii="仿宋" w:eastAsia="仿宋" w:hAnsi="仿宋" w:cs="仿宋"/>
                <w:b/>
                <w:sz w:val="21"/>
                <w:szCs w:val="21"/>
              </w:rPr>
            </w:pPr>
            <w:r>
              <w:rPr>
                <w:rFonts w:ascii="仿宋" w:eastAsia="仿宋" w:hAnsi="仿宋" w:cs="仿宋" w:hint="eastAsia"/>
                <w:b/>
                <w:sz w:val="21"/>
                <w:szCs w:val="21"/>
              </w:rPr>
              <w:t>评估层/总层数</w:t>
            </w:r>
          </w:p>
        </w:tc>
        <w:tc>
          <w:tcPr>
            <w:tcW w:w="1153" w:type="dxa"/>
            <w:vAlign w:val="center"/>
          </w:tcPr>
          <w:p w:rsidR="00A37CBB" w:rsidRDefault="00D21007">
            <w:pPr>
              <w:widowControl/>
              <w:spacing w:line="280" w:lineRule="exact"/>
              <w:jc w:val="center"/>
              <w:rPr>
                <w:rFonts w:ascii="仿宋" w:eastAsia="仿宋" w:hAnsi="仿宋" w:cs="仿宋"/>
                <w:b/>
                <w:sz w:val="21"/>
                <w:szCs w:val="21"/>
              </w:rPr>
            </w:pPr>
            <w:r>
              <w:rPr>
                <w:rFonts w:ascii="仿宋" w:eastAsia="仿宋" w:hAnsi="仿宋" w:cs="仿宋" w:hint="eastAsia"/>
                <w:b/>
                <w:sz w:val="21"/>
                <w:szCs w:val="21"/>
              </w:rPr>
              <w:t>建筑面积（㎡）</w:t>
            </w:r>
          </w:p>
        </w:tc>
        <w:tc>
          <w:tcPr>
            <w:tcW w:w="1074" w:type="dxa"/>
            <w:vAlign w:val="center"/>
          </w:tcPr>
          <w:p w:rsidR="00A37CBB" w:rsidRDefault="00D21007">
            <w:pPr>
              <w:widowControl/>
              <w:spacing w:line="280" w:lineRule="exact"/>
              <w:jc w:val="center"/>
              <w:rPr>
                <w:rFonts w:ascii="仿宋" w:eastAsia="仿宋" w:hAnsi="仿宋" w:cs="仿宋"/>
                <w:b/>
                <w:sz w:val="21"/>
                <w:szCs w:val="21"/>
              </w:rPr>
            </w:pPr>
            <w:r>
              <w:rPr>
                <w:rFonts w:ascii="仿宋" w:eastAsia="仿宋" w:hAnsi="仿宋" w:cs="仿宋" w:hint="eastAsia"/>
                <w:b/>
                <w:sz w:val="21"/>
                <w:szCs w:val="21"/>
              </w:rPr>
              <w:t>评估单价</w:t>
            </w:r>
          </w:p>
          <w:p w:rsidR="00A37CBB" w:rsidRDefault="00D21007">
            <w:pPr>
              <w:widowControl/>
              <w:spacing w:line="280" w:lineRule="exact"/>
              <w:jc w:val="center"/>
              <w:rPr>
                <w:rFonts w:ascii="仿宋" w:eastAsia="仿宋" w:hAnsi="仿宋" w:cs="仿宋"/>
                <w:b/>
                <w:sz w:val="21"/>
                <w:szCs w:val="21"/>
              </w:rPr>
            </w:pPr>
            <w:r>
              <w:rPr>
                <w:rFonts w:ascii="仿宋" w:eastAsia="仿宋" w:hAnsi="仿宋" w:cs="仿宋" w:hint="eastAsia"/>
                <w:b/>
                <w:sz w:val="21"/>
                <w:szCs w:val="21"/>
              </w:rPr>
              <w:t>（元/㎡）</w:t>
            </w:r>
          </w:p>
        </w:tc>
        <w:tc>
          <w:tcPr>
            <w:tcW w:w="1153" w:type="dxa"/>
            <w:vAlign w:val="center"/>
          </w:tcPr>
          <w:p w:rsidR="00A37CBB" w:rsidRDefault="00D21007">
            <w:pPr>
              <w:widowControl/>
              <w:spacing w:line="280" w:lineRule="exact"/>
              <w:jc w:val="center"/>
              <w:rPr>
                <w:rFonts w:ascii="仿宋" w:eastAsia="仿宋" w:hAnsi="仿宋" w:cs="仿宋"/>
                <w:b/>
                <w:sz w:val="21"/>
                <w:szCs w:val="21"/>
              </w:rPr>
            </w:pPr>
            <w:r>
              <w:rPr>
                <w:rFonts w:ascii="仿宋" w:eastAsia="仿宋" w:hAnsi="仿宋" w:cs="仿宋" w:hint="eastAsia"/>
                <w:b/>
                <w:sz w:val="21"/>
                <w:szCs w:val="21"/>
              </w:rPr>
              <w:t>评估总价</w:t>
            </w:r>
          </w:p>
          <w:p w:rsidR="00A37CBB" w:rsidRDefault="00D21007">
            <w:pPr>
              <w:widowControl/>
              <w:spacing w:line="280" w:lineRule="exact"/>
              <w:jc w:val="center"/>
              <w:rPr>
                <w:rFonts w:ascii="仿宋" w:eastAsia="仿宋" w:hAnsi="仿宋" w:cs="仿宋"/>
                <w:b/>
                <w:sz w:val="21"/>
                <w:szCs w:val="21"/>
              </w:rPr>
            </w:pPr>
            <w:r>
              <w:rPr>
                <w:rFonts w:ascii="仿宋" w:eastAsia="仿宋" w:hAnsi="仿宋" w:cs="仿宋" w:hint="eastAsia"/>
                <w:b/>
                <w:sz w:val="21"/>
                <w:szCs w:val="21"/>
              </w:rPr>
              <w:t>（万元）</w:t>
            </w:r>
          </w:p>
        </w:tc>
      </w:tr>
      <w:tr w:rsidR="00A37CBB">
        <w:trPr>
          <w:cantSplit/>
          <w:trHeight w:val="426"/>
          <w:jc w:val="center"/>
        </w:trPr>
        <w:tc>
          <w:tcPr>
            <w:tcW w:w="1654" w:type="dxa"/>
            <w:vAlign w:val="center"/>
          </w:tcPr>
          <w:p w:rsidR="00A37CBB" w:rsidRDefault="00D21007">
            <w:pPr>
              <w:pStyle w:val="a9"/>
              <w:spacing w:line="280" w:lineRule="exact"/>
              <w:jc w:val="center"/>
              <w:rPr>
                <w:rFonts w:ascii="仿宋" w:eastAsia="仿宋" w:hAnsi="仿宋" w:cs="仿宋"/>
                <w:sz w:val="21"/>
                <w:szCs w:val="21"/>
              </w:rPr>
            </w:pPr>
            <w:r>
              <w:rPr>
                <w:rFonts w:ascii="仿宋" w:eastAsia="仿宋" w:hAnsi="仿宋" w:cs="仿宋" w:hint="eastAsia"/>
                <w:sz w:val="21"/>
                <w:szCs w:val="21"/>
              </w:rPr>
              <w:t>房权证余房私字第002751号</w:t>
            </w:r>
          </w:p>
        </w:tc>
        <w:tc>
          <w:tcPr>
            <w:tcW w:w="1010" w:type="dxa"/>
            <w:vAlign w:val="center"/>
          </w:tcPr>
          <w:p w:rsidR="00A37CBB" w:rsidRDefault="00D21007">
            <w:pPr>
              <w:pStyle w:val="a9"/>
              <w:spacing w:line="280" w:lineRule="exact"/>
              <w:jc w:val="center"/>
              <w:rPr>
                <w:rFonts w:ascii="仿宋" w:eastAsia="仿宋" w:hAnsi="仿宋" w:cs="仿宋"/>
                <w:sz w:val="21"/>
                <w:szCs w:val="21"/>
              </w:rPr>
            </w:pPr>
            <w:r>
              <w:rPr>
                <w:rFonts w:ascii="仿宋" w:eastAsia="仿宋" w:hAnsi="仿宋" w:cs="仿宋" w:hint="eastAsia"/>
                <w:sz w:val="21"/>
                <w:szCs w:val="21"/>
              </w:rPr>
              <w:t>赖兵生</w:t>
            </w:r>
          </w:p>
        </w:tc>
        <w:tc>
          <w:tcPr>
            <w:tcW w:w="1310" w:type="dxa"/>
            <w:vAlign w:val="center"/>
          </w:tcPr>
          <w:p w:rsidR="00A37CBB" w:rsidRDefault="00D21007">
            <w:pPr>
              <w:pStyle w:val="a9"/>
              <w:spacing w:line="280" w:lineRule="exact"/>
              <w:jc w:val="center"/>
              <w:rPr>
                <w:rFonts w:ascii="仿宋" w:eastAsia="仿宋" w:hAnsi="仿宋" w:cs="仿宋"/>
                <w:sz w:val="21"/>
                <w:szCs w:val="21"/>
              </w:rPr>
            </w:pPr>
            <w:r>
              <w:rPr>
                <w:rFonts w:ascii="仿宋" w:eastAsia="仿宋" w:hAnsi="仿宋" w:cs="仿宋" w:hint="eastAsia"/>
                <w:sz w:val="21"/>
                <w:szCs w:val="21"/>
              </w:rPr>
              <w:t>新城镇赤石乡分水坳村下田心</w:t>
            </w:r>
          </w:p>
        </w:tc>
        <w:tc>
          <w:tcPr>
            <w:tcW w:w="770" w:type="dxa"/>
            <w:vAlign w:val="center"/>
          </w:tcPr>
          <w:p w:rsidR="00A37CBB" w:rsidRDefault="00D21007">
            <w:pPr>
              <w:spacing w:line="280" w:lineRule="exact"/>
              <w:jc w:val="center"/>
              <w:rPr>
                <w:rFonts w:ascii="仿宋" w:eastAsia="仿宋" w:hAnsi="仿宋" w:cs="仿宋"/>
                <w:sz w:val="21"/>
                <w:szCs w:val="21"/>
              </w:rPr>
            </w:pPr>
            <w:r>
              <w:rPr>
                <w:rFonts w:ascii="仿宋" w:eastAsia="仿宋" w:hAnsi="仿宋" w:cs="仿宋" w:hint="eastAsia"/>
                <w:sz w:val="21"/>
                <w:szCs w:val="21"/>
              </w:rPr>
              <w:t>营业/住宅</w:t>
            </w:r>
          </w:p>
        </w:tc>
        <w:tc>
          <w:tcPr>
            <w:tcW w:w="720" w:type="dxa"/>
            <w:vAlign w:val="center"/>
          </w:tcPr>
          <w:p w:rsidR="00A37CBB" w:rsidRDefault="00D21007">
            <w:pPr>
              <w:spacing w:line="280" w:lineRule="exact"/>
              <w:jc w:val="center"/>
              <w:rPr>
                <w:rFonts w:ascii="仿宋" w:eastAsia="仿宋" w:hAnsi="仿宋" w:cs="仿宋"/>
                <w:sz w:val="21"/>
                <w:szCs w:val="21"/>
              </w:rPr>
            </w:pPr>
            <w:r>
              <w:rPr>
                <w:rFonts w:ascii="仿宋" w:eastAsia="仿宋" w:hAnsi="仿宋" w:cs="仿宋" w:hint="eastAsia"/>
                <w:sz w:val="21"/>
                <w:szCs w:val="21"/>
              </w:rPr>
              <w:t>砖混</w:t>
            </w:r>
          </w:p>
        </w:tc>
        <w:tc>
          <w:tcPr>
            <w:tcW w:w="814" w:type="dxa"/>
            <w:vAlign w:val="center"/>
          </w:tcPr>
          <w:p w:rsidR="00A37CBB" w:rsidRDefault="00D21007">
            <w:pPr>
              <w:spacing w:line="280" w:lineRule="exact"/>
              <w:jc w:val="center"/>
              <w:rPr>
                <w:rFonts w:ascii="仿宋" w:eastAsia="仿宋" w:hAnsi="仿宋" w:cs="仿宋"/>
                <w:sz w:val="21"/>
                <w:szCs w:val="21"/>
              </w:rPr>
            </w:pPr>
            <w:r>
              <w:rPr>
                <w:rFonts w:ascii="仿宋" w:eastAsia="仿宋" w:hAnsi="仿宋" w:cs="仿宋" w:hint="eastAsia"/>
                <w:sz w:val="21"/>
                <w:szCs w:val="21"/>
              </w:rPr>
              <w:t>1996年</w:t>
            </w:r>
          </w:p>
        </w:tc>
        <w:tc>
          <w:tcPr>
            <w:tcW w:w="981" w:type="dxa"/>
            <w:vAlign w:val="center"/>
          </w:tcPr>
          <w:p w:rsidR="00A37CBB" w:rsidRDefault="00D21007">
            <w:pPr>
              <w:spacing w:line="280" w:lineRule="exact"/>
              <w:jc w:val="center"/>
              <w:rPr>
                <w:rFonts w:ascii="仿宋" w:eastAsia="仿宋" w:hAnsi="仿宋" w:cs="仿宋"/>
                <w:sz w:val="21"/>
                <w:szCs w:val="21"/>
              </w:rPr>
            </w:pPr>
            <w:r>
              <w:rPr>
                <w:rFonts w:ascii="仿宋" w:eastAsia="仿宋" w:hAnsi="仿宋" w:cs="仿宋" w:hint="eastAsia"/>
                <w:sz w:val="21"/>
                <w:szCs w:val="21"/>
              </w:rPr>
              <w:t>1/3</w:t>
            </w:r>
          </w:p>
        </w:tc>
        <w:tc>
          <w:tcPr>
            <w:tcW w:w="1153" w:type="dxa"/>
            <w:vAlign w:val="center"/>
          </w:tcPr>
          <w:p w:rsidR="00A37CBB" w:rsidRDefault="00D21007">
            <w:pPr>
              <w:spacing w:line="280" w:lineRule="exact"/>
              <w:jc w:val="center"/>
              <w:rPr>
                <w:rFonts w:ascii="仿宋" w:eastAsia="仿宋" w:hAnsi="仿宋" w:cs="仿宋"/>
                <w:sz w:val="21"/>
                <w:szCs w:val="21"/>
              </w:rPr>
            </w:pPr>
            <w:r>
              <w:rPr>
                <w:rFonts w:ascii="仿宋" w:eastAsia="仿宋" w:hAnsi="仿宋" w:cs="仿宋" w:hint="eastAsia"/>
                <w:sz w:val="21"/>
                <w:szCs w:val="21"/>
              </w:rPr>
              <w:t>158.14</w:t>
            </w:r>
          </w:p>
        </w:tc>
        <w:tc>
          <w:tcPr>
            <w:tcW w:w="1074" w:type="dxa"/>
            <w:vAlign w:val="center"/>
          </w:tcPr>
          <w:p w:rsidR="00A37CBB" w:rsidRDefault="00D21007">
            <w:pPr>
              <w:spacing w:line="280" w:lineRule="exact"/>
              <w:jc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3502</w:t>
            </w:r>
          </w:p>
        </w:tc>
        <w:tc>
          <w:tcPr>
            <w:tcW w:w="1153" w:type="dxa"/>
            <w:vAlign w:val="center"/>
          </w:tcPr>
          <w:p w:rsidR="00A37CBB" w:rsidRDefault="00D21007">
            <w:pPr>
              <w:spacing w:line="280" w:lineRule="exact"/>
              <w:jc w:val="center"/>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55.38</w:t>
            </w:r>
          </w:p>
        </w:tc>
      </w:tr>
    </w:tbl>
    <w:p w:rsidR="00A37CBB" w:rsidRDefault="00D21007">
      <w:pPr>
        <w:spacing w:line="480" w:lineRule="exact"/>
        <w:ind w:firstLine="556"/>
        <w:rPr>
          <w:rFonts w:eastAsia="仿宋"/>
          <w:sz w:val="28"/>
          <w:szCs w:val="22"/>
        </w:rPr>
      </w:pPr>
      <w:r>
        <w:rPr>
          <w:rFonts w:eastAsia="仿宋" w:hint="eastAsia"/>
          <w:sz w:val="28"/>
          <w:szCs w:val="22"/>
        </w:rPr>
        <w:t>1</w:t>
      </w:r>
      <w:r>
        <w:rPr>
          <w:rFonts w:eastAsia="仿宋" w:hint="eastAsia"/>
          <w:sz w:val="28"/>
          <w:szCs w:val="22"/>
        </w:rPr>
        <w:t>、本估价报告仅限于江西省大余县人民法院审理申请执行人赵愈昌等人与被执行人赖兵生民间借贷纠纷等案【案号：（</w:t>
      </w:r>
      <w:r>
        <w:rPr>
          <w:rFonts w:eastAsia="仿宋" w:hint="eastAsia"/>
          <w:sz w:val="28"/>
          <w:szCs w:val="22"/>
        </w:rPr>
        <w:t>2016</w:t>
      </w:r>
      <w:r>
        <w:rPr>
          <w:rFonts w:eastAsia="仿宋" w:hint="eastAsia"/>
          <w:sz w:val="28"/>
          <w:szCs w:val="22"/>
        </w:rPr>
        <w:t>）赣</w:t>
      </w:r>
      <w:r>
        <w:rPr>
          <w:rFonts w:eastAsia="仿宋" w:hint="eastAsia"/>
          <w:sz w:val="28"/>
          <w:szCs w:val="22"/>
        </w:rPr>
        <w:t>0723</w:t>
      </w:r>
      <w:r>
        <w:rPr>
          <w:rFonts w:eastAsia="仿宋" w:hint="eastAsia"/>
          <w:sz w:val="28"/>
          <w:szCs w:val="22"/>
        </w:rPr>
        <w:t>执</w:t>
      </w:r>
      <w:r>
        <w:rPr>
          <w:rFonts w:eastAsia="仿宋" w:hint="eastAsia"/>
          <w:sz w:val="28"/>
          <w:szCs w:val="22"/>
        </w:rPr>
        <w:t>725</w:t>
      </w:r>
      <w:r>
        <w:rPr>
          <w:rFonts w:eastAsia="仿宋" w:hint="eastAsia"/>
          <w:sz w:val="28"/>
          <w:szCs w:val="22"/>
        </w:rPr>
        <w:t>号】使用，不作他用。</w:t>
      </w:r>
    </w:p>
    <w:p w:rsidR="00A37CBB" w:rsidRDefault="00D21007">
      <w:pPr>
        <w:spacing w:line="480" w:lineRule="exact"/>
        <w:ind w:firstLine="556"/>
        <w:rPr>
          <w:rFonts w:eastAsia="仿宋"/>
          <w:sz w:val="28"/>
          <w:szCs w:val="22"/>
        </w:rPr>
      </w:pPr>
      <w:r>
        <w:rPr>
          <w:rFonts w:eastAsia="仿宋" w:hint="eastAsia"/>
          <w:sz w:val="28"/>
          <w:szCs w:val="22"/>
        </w:rPr>
        <w:t>2</w:t>
      </w:r>
      <w:r>
        <w:rPr>
          <w:rFonts w:eastAsia="仿宋" w:hint="eastAsia"/>
          <w:sz w:val="28"/>
          <w:szCs w:val="22"/>
        </w:rPr>
        <w:t>、估价结果未扣除处置时应交纳的拍卖费、契税、土地增值税、交易手续费、评估费、发证费等应缴纳的税费。</w:t>
      </w:r>
    </w:p>
    <w:p w:rsidR="00A37CBB" w:rsidRDefault="00D21007">
      <w:pPr>
        <w:spacing w:line="480" w:lineRule="exact"/>
        <w:ind w:firstLine="556"/>
        <w:rPr>
          <w:rFonts w:eastAsia="仿宋"/>
          <w:sz w:val="28"/>
          <w:szCs w:val="22"/>
        </w:rPr>
      </w:pPr>
      <w:r>
        <w:rPr>
          <w:rFonts w:eastAsia="仿宋" w:hint="eastAsia"/>
          <w:sz w:val="28"/>
          <w:szCs w:val="22"/>
        </w:rPr>
        <w:t>3</w:t>
      </w:r>
      <w:r>
        <w:rPr>
          <w:rFonts w:eastAsia="仿宋" w:hint="eastAsia"/>
          <w:sz w:val="28"/>
          <w:szCs w:val="22"/>
        </w:rPr>
        <w:t>、本次估价结果已考虑估价对象房屋室内不可拆除的装修价值（例如：地砖、墙砖、乳胶漆、木地板、吊顶等），但未考虑房屋室内可移动设施、家具等用品的价值。</w:t>
      </w:r>
    </w:p>
    <w:p w:rsidR="00A37CBB" w:rsidRDefault="00D21007">
      <w:pPr>
        <w:spacing w:line="480" w:lineRule="exact"/>
        <w:ind w:firstLine="556"/>
        <w:rPr>
          <w:rFonts w:eastAsia="仿宋"/>
          <w:sz w:val="28"/>
          <w:szCs w:val="22"/>
        </w:rPr>
      </w:pPr>
      <w:r>
        <w:rPr>
          <w:rFonts w:eastAsia="仿宋" w:hint="eastAsia"/>
          <w:sz w:val="28"/>
          <w:szCs w:val="22"/>
        </w:rPr>
        <w:t>4</w:t>
      </w:r>
      <w:r>
        <w:rPr>
          <w:rFonts w:eastAsia="仿宋" w:hint="eastAsia"/>
          <w:sz w:val="28"/>
          <w:szCs w:val="22"/>
        </w:rPr>
        <w:t>、至价值时点，估价对象已被法院查封。本次评估目的为市场</w:t>
      </w:r>
      <w:r>
        <w:rPr>
          <w:rFonts w:eastAsia="仿宋" w:hint="eastAsia"/>
          <w:sz w:val="28"/>
          <w:szCs w:val="22"/>
        </w:rPr>
        <w:lastRenderedPageBreak/>
        <w:t>价值评估，不考虑抵押权和租赁权对评估价值的影响。</w:t>
      </w:r>
    </w:p>
    <w:p w:rsidR="00A37CBB" w:rsidRDefault="00D21007">
      <w:pPr>
        <w:spacing w:line="480" w:lineRule="exact"/>
        <w:ind w:firstLine="556"/>
        <w:rPr>
          <w:rFonts w:eastAsia="仿宋"/>
          <w:sz w:val="28"/>
          <w:szCs w:val="22"/>
        </w:rPr>
      </w:pPr>
      <w:r>
        <w:rPr>
          <w:rFonts w:eastAsia="仿宋" w:hint="eastAsia"/>
          <w:sz w:val="28"/>
          <w:szCs w:val="22"/>
        </w:rPr>
        <w:t>5</w:t>
      </w:r>
      <w:r>
        <w:rPr>
          <w:rFonts w:eastAsia="仿宋" w:hint="eastAsia"/>
          <w:sz w:val="28"/>
          <w:szCs w:val="22"/>
        </w:rPr>
        <w:t>、本估价报告的全文为一个不可分割的整体，报告使用者请详细查阅本报告的估价师声明、估价的假设与限制条件、房地产估价结果报告，以对本报告有一个全面正确的了解。</w:t>
      </w:r>
    </w:p>
    <w:p w:rsidR="00A37CBB" w:rsidRDefault="00D21007">
      <w:pPr>
        <w:spacing w:line="480" w:lineRule="exact"/>
        <w:ind w:firstLineChars="300" w:firstLine="840"/>
        <w:rPr>
          <w:rFonts w:eastAsia="仿宋"/>
          <w:sz w:val="28"/>
          <w:szCs w:val="22"/>
        </w:rPr>
      </w:pPr>
      <w:r>
        <w:rPr>
          <w:rFonts w:eastAsia="仿宋" w:hint="eastAsia"/>
          <w:sz w:val="28"/>
          <w:szCs w:val="22"/>
        </w:rPr>
        <w:t>特此函告。</w:t>
      </w:r>
    </w:p>
    <w:p w:rsidR="00A37CBB" w:rsidRDefault="00D21007">
      <w:pPr>
        <w:pStyle w:val="a0"/>
        <w:spacing w:line="480" w:lineRule="exact"/>
        <w:ind w:right="560" w:firstLineChars="734" w:firstLine="2055"/>
        <w:rPr>
          <w:rFonts w:ascii="仿宋" w:eastAsia="仿宋" w:hAnsi="仿宋"/>
          <w:szCs w:val="28"/>
        </w:rPr>
      </w:pPr>
      <w:r>
        <w:rPr>
          <w:noProof/>
        </w:rPr>
        <w:drawing>
          <wp:anchor distT="0" distB="0" distL="0" distR="0" simplePos="0" relativeHeight="251663360" behindDoc="1" locked="0" layoutInCell="1" allowOverlap="1">
            <wp:simplePos x="0" y="0"/>
            <wp:positionH relativeFrom="page">
              <wp:posOffset>4510405</wp:posOffset>
            </wp:positionH>
            <wp:positionV relativeFrom="paragraph">
              <wp:posOffset>295275</wp:posOffset>
            </wp:positionV>
            <wp:extent cx="1699260" cy="1671955"/>
            <wp:effectExtent l="0" t="0" r="15240" b="4445"/>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pic:cNvPicPr>
                  </pic:nvPicPr>
                  <pic:blipFill>
                    <a:blip r:embed="rId15" cstate="print"/>
                    <a:stretch>
                      <a:fillRect/>
                    </a:stretch>
                  </pic:blipFill>
                  <pic:spPr>
                    <a:xfrm>
                      <a:off x="0" y="0"/>
                      <a:ext cx="1699260" cy="1671955"/>
                    </a:xfrm>
                    <a:prstGeom prst="rect">
                      <a:avLst/>
                    </a:prstGeom>
                  </pic:spPr>
                </pic:pic>
              </a:graphicData>
            </a:graphic>
          </wp:anchor>
        </w:drawing>
      </w:r>
      <w:r>
        <w:rPr>
          <w:rFonts w:eastAsia="仿宋" w:hAnsi="仿宋" w:hint="eastAsia"/>
          <w:noProof/>
          <w:color w:val="000000" w:themeColor="text1"/>
          <w:szCs w:val="22"/>
        </w:rPr>
        <w:drawing>
          <wp:anchor distT="0" distB="0" distL="114300" distR="114300" simplePos="0" relativeHeight="251661312" behindDoc="1" locked="0" layoutInCell="1" allowOverlap="1">
            <wp:simplePos x="0" y="0"/>
            <wp:positionH relativeFrom="column">
              <wp:posOffset>2556510</wp:posOffset>
            </wp:positionH>
            <wp:positionV relativeFrom="paragraph">
              <wp:posOffset>1905</wp:posOffset>
            </wp:positionV>
            <wp:extent cx="756285" cy="739775"/>
            <wp:effectExtent l="0" t="0" r="5715" b="3175"/>
            <wp:wrapNone/>
            <wp:docPr id="1" name="图片 1" descr="655b2df1e8c9e86542b4f947a01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55b2df1e8c9e86542b4f947a014386"/>
                    <pic:cNvPicPr>
                      <a:picLocks noChangeAspect="1"/>
                    </pic:cNvPicPr>
                  </pic:nvPicPr>
                  <pic:blipFill>
                    <a:blip r:embed="rId16"/>
                    <a:stretch>
                      <a:fillRect/>
                    </a:stretch>
                  </pic:blipFill>
                  <pic:spPr>
                    <a:xfrm>
                      <a:off x="0" y="0"/>
                      <a:ext cx="756285" cy="739775"/>
                    </a:xfrm>
                    <a:prstGeom prst="rect">
                      <a:avLst/>
                    </a:prstGeom>
                  </pic:spPr>
                </pic:pic>
              </a:graphicData>
            </a:graphic>
          </wp:anchor>
        </w:drawing>
      </w:r>
    </w:p>
    <w:p w:rsidR="00A37CBB" w:rsidRDefault="00D21007">
      <w:pPr>
        <w:pStyle w:val="a0"/>
        <w:spacing w:line="480" w:lineRule="exact"/>
        <w:ind w:right="560"/>
        <w:rPr>
          <w:rFonts w:ascii="仿宋" w:eastAsia="仿宋" w:hAnsi="仿宋"/>
          <w:szCs w:val="28"/>
        </w:rPr>
      </w:pPr>
      <w:r>
        <w:rPr>
          <w:rFonts w:ascii="仿宋_GB2312" w:eastAsia="仿宋_GB2312" w:hAnsi="宋体" w:hint="eastAsia"/>
          <w:szCs w:val="28"/>
        </w:rPr>
        <w:t>估价机构法定代表人签章</w:t>
      </w:r>
      <w:r>
        <w:rPr>
          <w:rFonts w:ascii="仿宋" w:eastAsia="仿宋" w:hAnsi="仿宋"/>
          <w:szCs w:val="28"/>
        </w:rPr>
        <w:t>：</w:t>
      </w:r>
      <w:r>
        <w:rPr>
          <w:rFonts w:ascii="仿宋" w:eastAsia="仿宋" w:hAnsi="仿宋"/>
          <w:szCs w:val="28"/>
        </w:rPr>
        <w:tab/>
      </w:r>
    </w:p>
    <w:p w:rsidR="00A37CBB" w:rsidRDefault="00A37CBB" w:rsidP="008D2AB0">
      <w:pPr>
        <w:pStyle w:val="a0"/>
        <w:spacing w:line="480" w:lineRule="exact"/>
        <w:ind w:firstLineChars="1002" w:firstLine="2806"/>
        <w:jc w:val="center"/>
        <w:rPr>
          <w:rFonts w:ascii="仿宋" w:eastAsia="仿宋" w:hAnsi="仿宋"/>
          <w:szCs w:val="28"/>
        </w:rPr>
      </w:pPr>
    </w:p>
    <w:p w:rsidR="00A37CBB" w:rsidRDefault="00D21007" w:rsidP="008D2AB0">
      <w:pPr>
        <w:pStyle w:val="a0"/>
        <w:spacing w:line="480" w:lineRule="exact"/>
        <w:ind w:firstLineChars="1002" w:firstLine="2806"/>
        <w:jc w:val="center"/>
        <w:rPr>
          <w:rFonts w:ascii="仿宋" w:eastAsia="仿宋" w:hAnsi="仿宋"/>
          <w:szCs w:val="28"/>
        </w:rPr>
      </w:pPr>
      <w:r>
        <w:rPr>
          <w:rFonts w:ascii="仿宋" w:eastAsia="仿宋" w:hAnsi="仿宋" w:hint="eastAsia"/>
          <w:szCs w:val="28"/>
        </w:rPr>
        <w:t xml:space="preserve"> 江西寰宇房地产土地资产评估有限公司</w:t>
      </w:r>
    </w:p>
    <w:bookmarkEnd w:id="3"/>
    <w:bookmarkEnd w:id="4"/>
    <w:p w:rsidR="00A37CBB" w:rsidRDefault="00D21007">
      <w:pPr>
        <w:pStyle w:val="a0"/>
        <w:spacing w:line="480" w:lineRule="exact"/>
        <w:ind w:right="840" w:firstLine="0"/>
        <w:jc w:val="right"/>
        <w:rPr>
          <w:rFonts w:ascii="仿宋" w:eastAsia="仿宋" w:hAnsi="仿宋"/>
          <w:szCs w:val="28"/>
        </w:rPr>
      </w:pPr>
      <w:r>
        <w:rPr>
          <w:rFonts w:ascii="仿宋" w:eastAsia="仿宋" w:hAnsi="仿宋" w:hint="eastAsia"/>
          <w:szCs w:val="28"/>
        </w:rPr>
        <w:t>2021年05月11日</w:t>
      </w:r>
    </w:p>
    <w:p w:rsidR="00A37CBB" w:rsidRDefault="00A37CBB">
      <w:pPr>
        <w:spacing w:line="480" w:lineRule="exact"/>
        <w:rPr>
          <w:rFonts w:ascii="仿宋" w:eastAsia="仿宋" w:hAnsi="仿宋"/>
          <w:bCs/>
          <w:sz w:val="21"/>
          <w:szCs w:val="21"/>
        </w:rPr>
        <w:sectPr w:rsidR="00A37CBB">
          <w:headerReference w:type="default" r:id="rId17"/>
          <w:footerReference w:type="default" r:id="rId18"/>
          <w:pgSz w:w="11907" w:h="16840"/>
          <w:pgMar w:top="1440" w:right="1797" w:bottom="1440" w:left="1797" w:header="851" w:footer="992" w:gutter="0"/>
          <w:cols w:space="0"/>
          <w:docGrid w:type="lines" w:linePitch="326"/>
        </w:sectPr>
      </w:pPr>
    </w:p>
    <w:p w:rsidR="00A37CBB" w:rsidRDefault="00D21007">
      <w:pPr>
        <w:pStyle w:val="2"/>
        <w:spacing w:before="0" w:after="0" w:line="720" w:lineRule="auto"/>
        <w:rPr>
          <w:rFonts w:ascii="仿宋" w:eastAsia="仿宋" w:hAnsi="仿宋"/>
          <w:bCs/>
        </w:rPr>
      </w:pPr>
      <w:bookmarkStart w:id="6" w:name="_Toc1151"/>
      <w:r>
        <w:rPr>
          <w:rFonts w:ascii="仿宋" w:eastAsia="仿宋" w:hAnsi="仿宋"/>
          <w:bCs/>
        </w:rPr>
        <w:lastRenderedPageBreak/>
        <w:t>目录</w:t>
      </w:r>
      <w:bookmarkEnd w:id="6"/>
    </w:p>
    <w:p w:rsidR="00A37CBB" w:rsidRDefault="00A37CBB">
      <w:pPr>
        <w:pStyle w:val="21"/>
        <w:tabs>
          <w:tab w:val="right" w:leader="dot" w:pos="8313"/>
        </w:tabs>
      </w:pPr>
      <w:r w:rsidRPr="00A37CBB">
        <w:rPr>
          <w:rStyle w:val="af7"/>
          <w:color w:val="auto"/>
        </w:rPr>
        <w:fldChar w:fldCharType="begin"/>
      </w:r>
      <w:r w:rsidR="00D21007">
        <w:rPr>
          <w:rStyle w:val="af7"/>
          <w:rFonts w:ascii="仿宋" w:eastAsia="仿宋" w:hAnsi="仿宋"/>
          <w:color w:val="auto"/>
          <w:szCs w:val="24"/>
        </w:rPr>
        <w:instrText xml:space="preserve"> TOC \o "2-3" \h \z \u </w:instrText>
      </w:r>
      <w:r w:rsidRPr="00A37CBB">
        <w:rPr>
          <w:rStyle w:val="af7"/>
          <w:color w:val="auto"/>
        </w:rPr>
        <w:fldChar w:fldCharType="separate"/>
      </w:r>
      <w:hyperlink w:anchor="_Toc1758" w:history="1">
        <w:r w:rsidR="00D21007">
          <w:rPr>
            <w:rFonts w:ascii="仿宋" w:eastAsia="仿宋" w:hAnsi="仿宋"/>
            <w:bCs/>
          </w:rPr>
          <w:t>致估价委托人函</w:t>
        </w:r>
        <w:r w:rsidR="00D21007">
          <w:tab/>
        </w:r>
        <w:r>
          <w:fldChar w:fldCharType="begin"/>
        </w:r>
        <w:r w:rsidR="00D21007">
          <w:instrText xml:space="preserve"> PAGEREF _Toc1758 </w:instrText>
        </w:r>
        <w:r>
          <w:fldChar w:fldCharType="separate"/>
        </w:r>
        <w:r w:rsidR="00D21007">
          <w:rPr>
            <w:noProof/>
          </w:rPr>
          <w:t>1</w:t>
        </w:r>
        <w:r>
          <w:fldChar w:fldCharType="end"/>
        </w:r>
      </w:hyperlink>
    </w:p>
    <w:p w:rsidR="00A37CBB" w:rsidRDefault="00A37CBB">
      <w:pPr>
        <w:pStyle w:val="21"/>
        <w:tabs>
          <w:tab w:val="right" w:leader="dot" w:pos="8313"/>
        </w:tabs>
      </w:pPr>
      <w:hyperlink w:anchor="_Toc1151" w:history="1">
        <w:r w:rsidR="00D21007">
          <w:rPr>
            <w:rFonts w:ascii="仿宋" w:eastAsia="仿宋" w:hAnsi="仿宋"/>
            <w:bCs/>
          </w:rPr>
          <w:t>目录</w:t>
        </w:r>
        <w:r w:rsidR="00D21007">
          <w:tab/>
        </w:r>
        <w:r w:rsidR="00D21007">
          <w:rPr>
            <w:rFonts w:hint="eastAsia"/>
          </w:rPr>
          <w:t>3</w:t>
        </w:r>
      </w:hyperlink>
    </w:p>
    <w:p w:rsidR="00A37CBB" w:rsidRDefault="00A37CBB">
      <w:pPr>
        <w:pStyle w:val="21"/>
        <w:tabs>
          <w:tab w:val="right" w:leader="dot" w:pos="8313"/>
        </w:tabs>
      </w:pPr>
      <w:hyperlink w:anchor="_Toc11699" w:history="1">
        <w:r w:rsidR="00D21007">
          <w:rPr>
            <w:rFonts w:ascii="仿宋" w:eastAsia="仿宋" w:hAnsi="仿宋"/>
            <w:bCs/>
          </w:rPr>
          <w:t>估价师声明</w:t>
        </w:r>
        <w:r w:rsidR="00D21007">
          <w:tab/>
        </w:r>
        <w:r w:rsidR="00D21007">
          <w:rPr>
            <w:rFonts w:hint="eastAsia"/>
          </w:rPr>
          <w:t>4</w:t>
        </w:r>
      </w:hyperlink>
    </w:p>
    <w:p w:rsidR="00A37CBB" w:rsidRDefault="00A37CBB">
      <w:pPr>
        <w:pStyle w:val="21"/>
        <w:tabs>
          <w:tab w:val="right" w:leader="dot" w:pos="8313"/>
        </w:tabs>
      </w:pPr>
      <w:hyperlink w:anchor="_Toc22591" w:history="1">
        <w:r w:rsidR="00D21007">
          <w:rPr>
            <w:rFonts w:ascii="仿宋" w:eastAsia="仿宋" w:hAnsi="仿宋"/>
            <w:bCs/>
          </w:rPr>
          <w:t>估价假设和限制条件</w:t>
        </w:r>
        <w:r w:rsidR="00D21007">
          <w:tab/>
        </w:r>
        <w:r w:rsidR="00D21007">
          <w:rPr>
            <w:rFonts w:hint="eastAsia"/>
          </w:rPr>
          <w:t>5</w:t>
        </w:r>
      </w:hyperlink>
    </w:p>
    <w:p w:rsidR="00A37CBB" w:rsidRDefault="00A37CBB">
      <w:pPr>
        <w:pStyle w:val="21"/>
        <w:tabs>
          <w:tab w:val="right" w:leader="dot" w:pos="8313"/>
        </w:tabs>
        <w:spacing w:line="480" w:lineRule="exact"/>
      </w:pPr>
      <w:hyperlink w:anchor="_Toc214" w:history="1">
        <w:r w:rsidR="00D21007">
          <w:rPr>
            <w:rFonts w:ascii="仿宋" w:eastAsia="仿宋" w:hAnsi="仿宋" w:hint="eastAsia"/>
          </w:rPr>
          <w:t>房地产</w:t>
        </w:r>
        <w:r w:rsidR="00D21007">
          <w:rPr>
            <w:rFonts w:ascii="仿宋" w:eastAsia="仿宋" w:hAnsi="仿宋"/>
            <w:bCs/>
          </w:rPr>
          <w:t>估价结果报告</w:t>
        </w:r>
        <w:r w:rsidR="00D21007">
          <w:tab/>
        </w:r>
        <w:r w:rsidR="00D21007">
          <w:rPr>
            <w:rFonts w:hint="eastAsia"/>
          </w:rPr>
          <w:t>7</w:t>
        </w:r>
      </w:hyperlink>
    </w:p>
    <w:p w:rsidR="00A37CBB" w:rsidRDefault="00A37CBB">
      <w:pPr>
        <w:pStyle w:val="30"/>
        <w:tabs>
          <w:tab w:val="clear" w:pos="8303"/>
          <w:tab w:val="right" w:leader="dot" w:pos="8313"/>
        </w:tabs>
      </w:pPr>
      <w:hyperlink w:anchor="_Toc32335" w:history="1">
        <w:r w:rsidR="00D21007">
          <w:rPr>
            <w:rFonts w:ascii="仿宋" w:eastAsia="仿宋" w:hAnsi="仿宋"/>
            <w:bCs/>
          </w:rPr>
          <w:t>一、估价委托人</w:t>
        </w:r>
        <w:r w:rsidR="00D21007">
          <w:tab/>
        </w:r>
        <w:r w:rsidR="00D21007">
          <w:rPr>
            <w:rFonts w:hint="eastAsia"/>
          </w:rPr>
          <w:t>7</w:t>
        </w:r>
      </w:hyperlink>
    </w:p>
    <w:p w:rsidR="00A37CBB" w:rsidRDefault="00A37CBB">
      <w:pPr>
        <w:pStyle w:val="30"/>
        <w:tabs>
          <w:tab w:val="clear" w:pos="8303"/>
          <w:tab w:val="right" w:leader="dot" w:pos="8313"/>
        </w:tabs>
        <w:spacing w:line="480" w:lineRule="exact"/>
      </w:pPr>
      <w:hyperlink w:anchor="_Toc4186" w:history="1">
        <w:r w:rsidR="00D21007">
          <w:rPr>
            <w:rFonts w:ascii="仿宋" w:eastAsia="仿宋" w:hAnsi="仿宋"/>
            <w:bCs/>
          </w:rPr>
          <w:t>二、</w:t>
        </w:r>
        <w:r w:rsidR="00D21007">
          <w:rPr>
            <w:rFonts w:ascii="仿宋" w:eastAsia="仿宋" w:hAnsi="仿宋" w:hint="eastAsia"/>
            <w:bCs/>
          </w:rPr>
          <w:t>房地产</w:t>
        </w:r>
        <w:r w:rsidR="00D21007">
          <w:rPr>
            <w:rFonts w:ascii="仿宋" w:eastAsia="仿宋" w:hAnsi="仿宋"/>
            <w:bCs/>
          </w:rPr>
          <w:t>估价机构</w:t>
        </w:r>
        <w:r w:rsidR="00D21007">
          <w:tab/>
        </w:r>
        <w:r w:rsidR="00D21007">
          <w:rPr>
            <w:rFonts w:hint="eastAsia"/>
          </w:rPr>
          <w:t>7</w:t>
        </w:r>
      </w:hyperlink>
    </w:p>
    <w:p w:rsidR="00A37CBB" w:rsidRDefault="00A37CBB">
      <w:pPr>
        <w:pStyle w:val="30"/>
        <w:tabs>
          <w:tab w:val="clear" w:pos="8303"/>
          <w:tab w:val="right" w:leader="dot" w:pos="8313"/>
        </w:tabs>
      </w:pPr>
      <w:hyperlink w:anchor="_Toc10824" w:history="1">
        <w:r w:rsidR="00D21007">
          <w:rPr>
            <w:rFonts w:ascii="仿宋" w:eastAsia="仿宋" w:hAnsi="仿宋"/>
            <w:bCs/>
          </w:rPr>
          <w:t>三、估价目的</w:t>
        </w:r>
        <w:r w:rsidR="00D21007">
          <w:tab/>
        </w:r>
        <w:r w:rsidR="00D21007">
          <w:rPr>
            <w:rFonts w:hint="eastAsia"/>
          </w:rPr>
          <w:t>7</w:t>
        </w:r>
      </w:hyperlink>
    </w:p>
    <w:p w:rsidR="00A37CBB" w:rsidRDefault="00A37CBB">
      <w:pPr>
        <w:pStyle w:val="30"/>
        <w:tabs>
          <w:tab w:val="clear" w:pos="8303"/>
          <w:tab w:val="right" w:leader="dot" w:pos="8313"/>
        </w:tabs>
      </w:pPr>
      <w:hyperlink w:anchor="_Toc24060" w:history="1">
        <w:r w:rsidR="00D21007">
          <w:rPr>
            <w:rFonts w:ascii="仿宋" w:eastAsia="仿宋" w:hAnsi="仿宋"/>
            <w:bCs/>
          </w:rPr>
          <w:t>四、估价对象</w:t>
        </w:r>
        <w:r w:rsidR="00D21007">
          <w:tab/>
        </w:r>
        <w:r w:rsidR="00D21007">
          <w:rPr>
            <w:rFonts w:hint="eastAsia"/>
          </w:rPr>
          <w:t>7</w:t>
        </w:r>
      </w:hyperlink>
    </w:p>
    <w:p w:rsidR="00A37CBB" w:rsidRDefault="00A37CBB">
      <w:pPr>
        <w:pStyle w:val="30"/>
        <w:tabs>
          <w:tab w:val="clear" w:pos="8303"/>
          <w:tab w:val="right" w:leader="dot" w:pos="8313"/>
        </w:tabs>
      </w:pPr>
      <w:hyperlink w:anchor="_Toc10582" w:history="1">
        <w:r w:rsidR="00D21007">
          <w:rPr>
            <w:rFonts w:ascii="仿宋" w:eastAsia="仿宋" w:hAnsi="仿宋"/>
            <w:bCs/>
          </w:rPr>
          <w:t>五、价值时点</w:t>
        </w:r>
        <w:r w:rsidR="00D21007">
          <w:tab/>
        </w:r>
        <w:r w:rsidR="00D21007">
          <w:rPr>
            <w:rFonts w:hint="eastAsia"/>
          </w:rPr>
          <w:t>8</w:t>
        </w:r>
      </w:hyperlink>
    </w:p>
    <w:p w:rsidR="00A37CBB" w:rsidRDefault="00A37CBB">
      <w:pPr>
        <w:pStyle w:val="30"/>
        <w:tabs>
          <w:tab w:val="clear" w:pos="8303"/>
          <w:tab w:val="right" w:leader="dot" w:pos="8313"/>
        </w:tabs>
      </w:pPr>
      <w:hyperlink w:anchor="_Toc4887" w:history="1">
        <w:r w:rsidR="00D21007">
          <w:rPr>
            <w:rFonts w:ascii="仿宋" w:eastAsia="仿宋" w:hAnsi="仿宋"/>
            <w:bCs/>
          </w:rPr>
          <w:t>六、价值类型</w:t>
        </w:r>
        <w:r w:rsidR="00D21007">
          <w:tab/>
        </w:r>
        <w:r w:rsidR="00D21007">
          <w:rPr>
            <w:rFonts w:hint="eastAsia"/>
          </w:rPr>
          <w:t>8</w:t>
        </w:r>
      </w:hyperlink>
    </w:p>
    <w:p w:rsidR="00A37CBB" w:rsidRDefault="00A37CBB">
      <w:pPr>
        <w:pStyle w:val="30"/>
        <w:tabs>
          <w:tab w:val="clear" w:pos="8303"/>
          <w:tab w:val="right" w:leader="dot" w:pos="8313"/>
        </w:tabs>
        <w:rPr>
          <w:rFonts w:eastAsia="仿宋"/>
        </w:rPr>
      </w:pPr>
      <w:hyperlink w:anchor="_Toc13529" w:history="1">
        <w:r w:rsidR="00D21007">
          <w:rPr>
            <w:rFonts w:ascii="仿宋" w:eastAsia="仿宋" w:hAnsi="仿宋" w:hint="eastAsia"/>
            <w:bCs/>
          </w:rPr>
          <w:t>七</w:t>
        </w:r>
        <w:r w:rsidR="00D21007">
          <w:rPr>
            <w:rFonts w:ascii="仿宋" w:eastAsia="仿宋" w:hAnsi="仿宋"/>
            <w:bCs/>
          </w:rPr>
          <w:t>、估价原则</w:t>
        </w:r>
        <w:r w:rsidR="00D21007">
          <w:tab/>
        </w:r>
        <w:r w:rsidR="00D21007">
          <w:rPr>
            <w:rFonts w:hint="eastAsia"/>
          </w:rPr>
          <w:t>9</w:t>
        </w:r>
      </w:hyperlink>
    </w:p>
    <w:p w:rsidR="00A37CBB" w:rsidRDefault="00A37CBB">
      <w:pPr>
        <w:pStyle w:val="30"/>
        <w:tabs>
          <w:tab w:val="clear" w:pos="8303"/>
          <w:tab w:val="right" w:leader="dot" w:pos="8313"/>
        </w:tabs>
        <w:rPr>
          <w:rFonts w:eastAsia="仿宋"/>
        </w:rPr>
      </w:pPr>
      <w:hyperlink w:anchor="_Toc11055" w:history="1">
        <w:r w:rsidR="00D21007">
          <w:rPr>
            <w:rFonts w:ascii="仿宋" w:eastAsia="仿宋" w:hAnsi="仿宋" w:hint="eastAsia"/>
            <w:bCs/>
          </w:rPr>
          <w:t>八</w:t>
        </w:r>
        <w:r w:rsidR="00D21007">
          <w:rPr>
            <w:rFonts w:ascii="仿宋" w:eastAsia="仿宋" w:hAnsi="仿宋"/>
            <w:bCs/>
          </w:rPr>
          <w:t>、估价依据</w:t>
        </w:r>
        <w:r w:rsidR="00D21007">
          <w:tab/>
        </w:r>
        <w:r w:rsidR="00D21007">
          <w:rPr>
            <w:rFonts w:hint="eastAsia"/>
          </w:rPr>
          <w:t>9</w:t>
        </w:r>
      </w:hyperlink>
    </w:p>
    <w:p w:rsidR="00A37CBB" w:rsidRDefault="00A37CBB">
      <w:pPr>
        <w:pStyle w:val="30"/>
        <w:tabs>
          <w:tab w:val="clear" w:pos="8303"/>
          <w:tab w:val="right" w:leader="dot" w:pos="8313"/>
        </w:tabs>
        <w:rPr>
          <w:rFonts w:eastAsia="仿宋"/>
        </w:rPr>
      </w:pPr>
      <w:hyperlink w:anchor="_Toc2888" w:history="1">
        <w:r w:rsidR="00D21007">
          <w:rPr>
            <w:rFonts w:ascii="仿宋" w:eastAsia="仿宋" w:hAnsi="仿宋"/>
            <w:bCs/>
          </w:rPr>
          <w:t>九、估价方法</w:t>
        </w:r>
        <w:r w:rsidR="00D21007">
          <w:tab/>
        </w:r>
        <w:r w:rsidR="00D21007">
          <w:rPr>
            <w:rFonts w:hint="eastAsia"/>
          </w:rPr>
          <w:t>1</w:t>
        </w:r>
      </w:hyperlink>
      <w:r w:rsidR="00D21007">
        <w:rPr>
          <w:rFonts w:ascii="仿宋" w:eastAsia="仿宋" w:hAnsi="仿宋" w:hint="eastAsia"/>
          <w:szCs w:val="24"/>
        </w:rPr>
        <w:t>1</w:t>
      </w:r>
    </w:p>
    <w:p w:rsidR="00A37CBB" w:rsidRDefault="00A37CBB">
      <w:pPr>
        <w:pStyle w:val="30"/>
        <w:tabs>
          <w:tab w:val="clear" w:pos="8303"/>
          <w:tab w:val="right" w:leader="dot" w:pos="8313"/>
        </w:tabs>
        <w:rPr>
          <w:rFonts w:eastAsia="仿宋"/>
        </w:rPr>
      </w:pPr>
      <w:hyperlink w:anchor="_Toc24543" w:history="1">
        <w:r w:rsidR="00D21007">
          <w:rPr>
            <w:rFonts w:ascii="仿宋" w:eastAsia="仿宋" w:hAnsi="仿宋"/>
            <w:bCs/>
          </w:rPr>
          <w:t>十、估价结果</w:t>
        </w:r>
        <w:r w:rsidR="00D21007">
          <w:tab/>
        </w:r>
        <w:r w:rsidR="00D21007">
          <w:rPr>
            <w:rFonts w:hint="eastAsia"/>
          </w:rPr>
          <w:t>1</w:t>
        </w:r>
      </w:hyperlink>
      <w:r w:rsidR="00D21007">
        <w:rPr>
          <w:rFonts w:ascii="仿宋" w:eastAsia="仿宋" w:hAnsi="仿宋" w:hint="eastAsia"/>
          <w:szCs w:val="24"/>
        </w:rPr>
        <w:t>2</w:t>
      </w:r>
    </w:p>
    <w:p w:rsidR="00A37CBB" w:rsidRDefault="00A37CBB">
      <w:pPr>
        <w:pStyle w:val="30"/>
        <w:tabs>
          <w:tab w:val="clear" w:pos="8303"/>
          <w:tab w:val="right" w:leader="dot" w:pos="8313"/>
        </w:tabs>
        <w:rPr>
          <w:rFonts w:eastAsia="仿宋"/>
        </w:rPr>
      </w:pPr>
      <w:hyperlink w:anchor="_Toc2275" w:history="1">
        <w:r w:rsidR="00D21007">
          <w:rPr>
            <w:rFonts w:ascii="仿宋" w:eastAsia="仿宋" w:hAnsi="仿宋"/>
            <w:bCs/>
            <w:szCs w:val="22"/>
          </w:rPr>
          <w:t>十一、</w:t>
        </w:r>
        <w:r w:rsidR="00D21007">
          <w:rPr>
            <w:rFonts w:ascii="仿宋" w:eastAsia="仿宋" w:hAnsi="仿宋" w:hint="eastAsia"/>
            <w:bCs/>
            <w:szCs w:val="22"/>
          </w:rPr>
          <w:t>注册房地产估价师</w:t>
        </w:r>
        <w:r w:rsidR="00D21007">
          <w:tab/>
        </w:r>
        <w:r w:rsidR="00D21007">
          <w:rPr>
            <w:rFonts w:hint="eastAsia"/>
          </w:rPr>
          <w:t>1</w:t>
        </w:r>
      </w:hyperlink>
      <w:r w:rsidR="00D21007">
        <w:rPr>
          <w:rFonts w:ascii="仿宋" w:eastAsia="仿宋" w:hAnsi="仿宋" w:hint="eastAsia"/>
          <w:szCs w:val="24"/>
        </w:rPr>
        <w:t>2</w:t>
      </w:r>
    </w:p>
    <w:p w:rsidR="00A37CBB" w:rsidRDefault="00A37CBB">
      <w:pPr>
        <w:pStyle w:val="30"/>
        <w:tabs>
          <w:tab w:val="clear" w:pos="8303"/>
          <w:tab w:val="right" w:leader="dot" w:pos="8313"/>
        </w:tabs>
        <w:rPr>
          <w:rFonts w:eastAsia="仿宋"/>
        </w:rPr>
      </w:pPr>
      <w:hyperlink w:anchor="_Toc18735" w:history="1">
        <w:r w:rsidR="00D21007">
          <w:rPr>
            <w:rFonts w:ascii="仿宋" w:eastAsia="仿宋" w:hAnsi="仿宋"/>
            <w:bCs/>
          </w:rPr>
          <w:t>十二、</w:t>
        </w:r>
        <w:r w:rsidR="00D21007">
          <w:rPr>
            <w:rFonts w:ascii="仿宋" w:eastAsia="仿宋" w:hAnsi="仿宋" w:hint="eastAsia"/>
            <w:bCs/>
          </w:rPr>
          <w:t>实地查勘日期</w:t>
        </w:r>
        <w:r w:rsidR="00D21007">
          <w:tab/>
        </w:r>
        <w:r w:rsidR="00D21007">
          <w:rPr>
            <w:rFonts w:hint="eastAsia"/>
          </w:rPr>
          <w:t>1</w:t>
        </w:r>
      </w:hyperlink>
      <w:r w:rsidR="00D21007">
        <w:rPr>
          <w:rFonts w:ascii="仿宋" w:eastAsia="仿宋" w:hAnsi="仿宋" w:hint="eastAsia"/>
          <w:szCs w:val="24"/>
        </w:rPr>
        <w:t>2</w:t>
      </w:r>
    </w:p>
    <w:p w:rsidR="00A37CBB" w:rsidRDefault="00A37CBB">
      <w:pPr>
        <w:pStyle w:val="30"/>
        <w:tabs>
          <w:tab w:val="clear" w:pos="8303"/>
          <w:tab w:val="right" w:leader="dot" w:pos="8313"/>
        </w:tabs>
        <w:rPr>
          <w:rFonts w:eastAsia="仿宋"/>
        </w:rPr>
      </w:pPr>
      <w:hyperlink w:anchor="_Toc1843" w:history="1">
        <w:r w:rsidR="00D21007">
          <w:rPr>
            <w:rFonts w:ascii="仿宋" w:eastAsia="仿宋" w:hAnsi="仿宋"/>
            <w:bCs/>
          </w:rPr>
          <w:t>十三、估价作业日期</w:t>
        </w:r>
        <w:r w:rsidR="00D21007">
          <w:tab/>
        </w:r>
        <w:r w:rsidR="00D21007">
          <w:rPr>
            <w:rFonts w:hint="eastAsia"/>
          </w:rPr>
          <w:t>1</w:t>
        </w:r>
      </w:hyperlink>
      <w:r w:rsidR="00D21007">
        <w:rPr>
          <w:rFonts w:ascii="仿宋" w:eastAsia="仿宋" w:hAnsi="仿宋" w:hint="eastAsia"/>
          <w:szCs w:val="24"/>
        </w:rPr>
        <w:t>2</w:t>
      </w:r>
    </w:p>
    <w:p w:rsidR="00A37CBB" w:rsidRDefault="00A37CBB">
      <w:pPr>
        <w:pStyle w:val="21"/>
        <w:tabs>
          <w:tab w:val="right" w:leader="dot" w:pos="8313"/>
        </w:tabs>
        <w:rPr>
          <w:rFonts w:eastAsia="仿宋"/>
        </w:rPr>
      </w:pPr>
      <w:hyperlink w:anchor="_Toc32156" w:history="1">
        <w:r w:rsidR="00D21007">
          <w:rPr>
            <w:rFonts w:ascii="仿宋" w:eastAsia="仿宋" w:hAnsi="仿宋"/>
            <w:bCs/>
          </w:rPr>
          <w:t>估价技术报告</w:t>
        </w:r>
        <w:r w:rsidR="00D21007">
          <w:tab/>
        </w:r>
        <w:r w:rsidR="00D21007">
          <w:rPr>
            <w:rFonts w:hint="eastAsia"/>
          </w:rPr>
          <w:t>1</w:t>
        </w:r>
      </w:hyperlink>
      <w:r w:rsidR="00D21007">
        <w:rPr>
          <w:rFonts w:ascii="仿宋" w:eastAsia="仿宋" w:hAnsi="仿宋" w:hint="eastAsia"/>
          <w:szCs w:val="24"/>
        </w:rPr>
        <w:t>3</w:t>
      </w:r>
    </w:p>
    <w:p w:rsidR="00A37CBB" w:rsidRDefault="00A37CBB">
      <w:pPr>
        <w:pStyle w:val="30"/>
        <w:tabs>
          <w:tab w:val="clear" w:pos="8303"/>
          <w:tab w:val="right" w:leader="dot" w:pos="8313"/>
        </w:tabs>
        <w:rPr>
          <w:rFonts w:eastAsia="仿宋"/>
        </w:rPr>
      </w:pPr>
      <w:hyperlink w:anchor="_Toc16759" w:history="1">
        <w:r w:rsidR="00D21007">
          <w:rPr>
            <w:rFonts w:eastAsia="仿宋" w:hAnsi="仿宋" w:hint="eastAsia"/>
            <w:bCs/>
            <w:szCs w:val="22"/>
          </w:rPr>
          <w:t>一、</w:t>
        </w:r>
        <w:r w:rsidR="00D21007">
          <w:rPr>
            <w:rFonts w:eastAsia="仿宋" w:hAnsi="仿宋" w:hint="eastAsia"/>
            <w:bCs/>
            <w:szCs w:val="22"/>
          </w:rPr>
          <w:t xml:space="preserve"> </w:t>
        </w:r>
        <w:r w:rsidR="00D21007">
          <w:rPr>
            <w:rFonts w:eastAsia="仿宋" w:hAnsi="仿宋"/>
            <w:bCs/>
            <w:szCs w:val="22"/>
          </w:rPr>
          <w:t>房地产状况分析</w:t>
        </w:r>
        <w:r w:rsidR="00D21007">
          <w:tab/>
        </w:r>
        <w:r w:rsidR="00D21007">
          <w:rPr>
            <w:rFonts w:hint="eastAsia"/>
          </w:rPr>
          <w:t>1</w:t>
        </w:r>
      </w:hyperlink>
      <w:r w:rsidR="00D21007">
        <w:rPr>
          <w:rFonts w:ascii="仿宋" w:eastAsia="仿宋" w:hAnsi="仿宋" w:hint="eastAsia"/>
          <w:szCs w:val="24"/>
        </w:rPr>
        <w:t>3</w:t>
      </w:r>
    </w:p>
    <w:p w:rsidR="00A37CBB" w:rsidRDefault="00A37CBB">
      <w:pPr>
        <w:pStyle w:val="30"/>
        <w:tabs>
          <w:tab w:val="clear" w:pos="8303"/>
          <w:tab w:val="right" w:leader="dot" w:pos="8313"/>
        </w:tabs>
        <w:rPr>
          <w:rFonts w:eastAsia="仿宋"/>
        </w:rPr>
      </w:pPr>
      <w:hyperlink w:anchor="_Toc5973" w:history="1">
        <w:r w:rsidR="00D21007">
          <w:rPr>
            <w:rFonts w:ascii="仿宋" w:eastAsia="仿宋" w:hAnsi="仿宋" w:hint="eastAsia"/>
            <w:bCs/>
          </w:rPr>
          <w:t>二</w:t>
        </w:r>
        <w:r w:rsidR="00D21007">
          <w:rPr>
            <w:rFonts w:ascii="仿宋" w:eastAsia="仿宋" w:hAnsi="仿宋"/>
            <w:bCs/>
          </w:rPr>
          <w:t>、市场背景描述与分析</w:t>
        </w:r>
        <w:r w:rsidR="00D21007">
          <w:tab/>
        </w:r>
        <w:r w:rsidR="00D21007">
          <w:rPr>
            <w:rFonts w:hint="eastAsia"/>
          </w:rPr>
          <w:t>1</w:t>
        </w:r>
      </w:hyperlink>
      <w:r w:rsidR="00D21007">
        <w:rPr>
          <w:rFonts w:ascii="仿宋" w:eastAsia="仿宋" w:hAnsi="仿宋" w:hint="eastAsia"/>
          <w:szCs w:val="24"/>
        </w:rPr>
        <w:t>5</w:t>
      </w:r>
    </w:p>
    <w:p w:rsidR="00A37CBB" w:rsidRDefault="00A37CBB">
      <w:pPr>
        <w:pStyle w:val="30"/>
        <w:tabs>
          <w:tab w:val="clear" w:pos="8303"/>
          <w:tab w:val="right" w:leader="dot" w:pos="8313"/>
        </w:tabs>
        <w:rPr>
          <w:rFonts w:eastAsia="仿宋"/>
        </w:rPr>
      </w:pPr>
      <w:hyperlink w:anchor="_Toc11615" w:history="1">
        <w:r w:rsidR="00D21007">
          <w:rPr>
            <w:rFonts w:ascii="仿宋" w:eastAsia="仿宋" w:hAnsi="仿宋" w:hint="eastAsia"/>
          </w:rPr>
          <w:t>三</w:t>
        </w:r>
        <w:r w:rsidR="00D21007">
          <w:rPr>
            <w:rFonts w:ascii="仿宋" w:eastAsia="仿宋" w:hAnsi="仿宋"/>
          </w:rPr>
          <w:t>、最高最佳利用分析</w:t>
        </w:r>
        <w:r w:rsidR="00D21007">
          <w:tab/>
        </w:r>
        <w:r w:rsidR="00D21007">
          <w:rPr>
            <w:rFonts w:hint="eastAsia"/>
          </w:rPr>
          <w:t>1</w:t>
        </w:r>
      </w:hyperlink>
      <w:r w:rsidR="00D21007">
        <w:rPr>
          <w:rFonts w:ascii="仿宋" w:eastAsia="仿宋" w:hAnsi="仿宋" w:hint="eastAsia"/>
          <w:szCs w:val="24"/>
        </w:rPr>
        <w:t>8</w:t>
      </w:r>
    </w:p>
    <w:p w:rsidR="00A37CBB" w:rsidRDefault="00A37CBB">
      <w:pPr>
        <w:pStyle w:val="30"/>
        <w:tabs>
          <w:tab w:val="clear" w:pos="8303"/>
          <w:tab w:val="right" w:leader="dot" w:pos="8313"/>
        </w:tabs>
        <w:rPr>
          <w:rFonts w:eastAsia="仿宋"/>
        </w:rPr>
      </w:pPr>
      <w:hyperlink w:anchor="_Toc28799" w:history="1">
        <w:r w:rsidR="00D21007">
          <w:rPr>
            <w:rFonts w:ascii="仿宋" w:eastAsia="仿宋" w:hAnsi="仿宋" w:hint="eastAsia"/>
            <w:szCs w:val="22"/>
          </w:rPr>
          <w:t>四、估价方法适用性分析</w:t>
        </w:r>
        <w:r w:rsidR="00D21007">
          <w:tab/>
        </w:r>
        <w:r w:rsidR="00D21007">
          <w:rPr>
            <w:rFonts w:hint="eastAsia"/>
          </w:rPr>
          <w:t>1</w:t>
        </w:r>
      </w:hyperlink>
      <w:r w:rsidR="00D21007">
        <w:rPr>
          <w:rFonts w:ascii="仿宋" w:eastAsia="仿宋" w:hAnsi="仿宋" w:hint="eastAsia"/>
          <w:szCs w:val="24"/>
        </w:rPr>
        <w:t>9</w:t>
      </w:r>
    </w:p>
    <w:p w:rsidR="00A37CBB" w:rsidRDefault="00A37CBB">
      <w:pPr>
        <w:pStyle w:val="30"/>
        <w:tabs>
          <w:tab w:val="clear" w:pos="8303"/>
          <w:tab w:val="right" w:leader="dot" w:pos="8313"/>
        </w:tabs>
        <w:rPr>
          <w:rFonts w:eastAsia="仿宋"/>
        </w:rPr>
      </w:pPr>
      <w:hyperlink w:anchor="_Toc29391" w:history="1">
        <w:r w:rsidR="00D21007">
          <w:rPr>
            <w:rFonts w:ascii="仿宋" w:eastAsia="仿宋" w:hAnsi="仿宋" w:hint="eastAsia"/>
          </w:rPr>
          <w:t>五</w:t>
        </w:r>
        <w:r w:rsidR="00D21007">
          <w:rPr>
            <w:rFonts w:ascii="仿宋" w:eastAsia="仿宋" w:hAnsi="仿宋"/>
          </w:rPr>
          <w:t>、估价测算过程</w:t>
        </w:r>
        <w:r w:rsidR="00D21007">
          <w:tab/>
        </w:r>
        <w:r w:rsidR="00D21007">
          <w:rPr>
            <w:rFonts w:hint="eastAsia"/>
          </w:rPr>
          <w:t>2</w:t>
        </w:r>
      </w:hyperlink>
      <w:r w:rsidR="00D21007">
        <w:rPr>
          <w:rFonts w:ascii="仿宋" w:eastAsia="仿宋" w:hAnsi="仿宋" w:hint="eastAsia"/>
          <w:szCs w:val="24"/>
        </w:rPr>
        <w:t>0</w:t>
      </w:r>
    </w:p>
    <w:p w:rsidR="00A37CBB" w:rsidRDefault="00A37CBB">
      <w:pPr>
        <w:pStyle w:val="21"/>
        <w:tabs>
          <w:tab w:val="right" w:leader="dot" w:pos="8313"/>
        </w:tabs>
        <w:rPr>
          <w:rFonts w:eastAsia="仿宋"/>
        </w:rPr>
      </w:pPr>
      <w:hyperlink w:anchor="_Toc13953" w:history="1">
        <w:r w:rsidR="00D21007">
          <w:rPr>
            <w:rFonts w:ascii="仿宋" w:eastAsia="仿宋" w:hAnsi="仿宋"/>
            <w:bCs/>
            <w:szCs w:val="36"/>
          </w:rPr>
          <w:t>附件</w:t>
        </w:r>
        <w:r w:rsidR="00D21007">
          <w:tab/>
        </w:r>
        <w:r w:rsidR="00D21007">
          <w:rPr>
            <w:rFonts w:hint="eastAsia"/>
          </w:rPr>
          <w:t>2</w:t>
        </w:r>
      </w:hyperlink>
      <w:r w:rsidR="00D21007">
        <w:rPr>
          <w:rFonts w:ascii="仿宋" w:eastAsia="仿宋" w:hAnsi="仿宋" w:hint="eastAsia"/>
          <w:szCs w:val="24"/>
        </w:rPr>
        <w:t>5</w:t>
      </w:r>
    </w:p>
    <w:p w:rsidR="00A37CBB" w:rsidRDefault="00A37CBB">
      <w:pPr>
        <w:pStyle w:val="a0"/>
        <w:rPr>
          <w:rFonts w:ascii="仿宋" w:eastAsia="仿宋" w:hAnsi="仿宋"/>
        </w:rPr>
      </w:pPr>
      <w:r>
        <w:rPr>
          <w:rFonts w:ascii="仿宋" w:eastAsia="仿宋" w:hAnsi="仿宋"/>
          <w:szCs w:val="24"/>
        </w:rPr>
        <w:fldChar w:fldCharType="end"/>
      </w:r>
    </w:p>
    <w:p w:rsidR="00A37CBB" w:rsidRDefault="00A37CBB">
      <w:pPr>
        <w:pStyle w:val="2"/>
        <w:spacing w:before="0" w:after="0" w:line="720" w:lineRule="auto"/>
        <w:rPr>
          <w:rFonts w:ascii="仿宋" w:eastAsia="仿宋" w:hAnsi="仿宋"/>
          <w:bCs/>
        </w:rPr>
        <w:sectPr w:rsidR="00A37CBB">
          <w:pgSz w:w="11907" w:h="16840"/>
          <w:pgMar w:top="1440" w:right="1797" w:bottom="1440" w:left="1797" w:header="851" w:footer="992" w:gutter="0"/>
          <w:cols w:space="425"/>
          <w:docGrid w:type="lines" w:linePitch="326"/>
        </w:sectPr>
      </w:pPr>
      <w:bookmarkStart w:id="7" w:name="_Toc437526973"/>
      <w:bookmarkStart w:id="8" w:name="_Toc213473259"/>
      <w:bookmarkStart w:id="9" w:name="_Toc469641709"/>
      <w:bookmarkStart w:id="10" w:name="_Toc119160797"/>
    </w:p>
    <w:p w:rsidR="00A37CBB" w:rsidRDefault="00D21007">
      <w:pPr>
        <w:pStyle w:val="2"/>
        <w:spacing w:before="0" w:after="0" w:line="720" w:lineRule="auto"/>
        <w:rPr>
          <w:rFonts w:ascii="仿宋" w:eastAsia="仿宋" w:hAnsi="仿宋"/>
          <w:szCs w:val="36"/>
        </w:rPr>
      </w:pPr>
      <w:bookmarkStart w:id="11" w:name="_Toc11699"/>
      <w:r>
        <w:rPr>
          <w:rFonts w:ascii="仿宋" w:eastAsia="仿宋" w:hAnsi="仿宋"/>
          <w:bCs/>
        </w:rPr>
        <w:lastRenderedPageBreak/>
        <w:t>估价师声明</w:t>
      </w:r>
      <w:bookmarkEnd w:id="7"/>
      <w:bookmarkEnd w:id="11"/>
    </w:p>
    <w:p w:rsidR="00A37CBB" w:rsidRDefault="00D21007">
      <w:pPr>
        <w:pStyle w:val="a0"/>
        <w:spacing w:line="480" w:lineRule="exact"/>
        <w:ind w:firstLine="0"/>
        <w:rPr>
          <w:rFonts w:ascii="仿宋" w:eastAsia="仿宋" w:hAnsi="仿宋"/>
          <w:b/>
          <w:szCs w:val="28"/>
        </w:rPr>
      </w:pPr>
      <w:r>
        <w:rPr>
          <w:rFonts w:ascii="仿宋" w:eastAsia="仿宋" w:hAnsi="仿宋"/>
          <w:b/>
          <w:szCs w:val="28"/>
        </w:rPr>
        <w:t>我们郑重声明：</w:t>
      </w:r>
    </w:p>
    <w:p w:rsidR="00A37CBB" w:rsidRDefault="00D21007">
      <w:pPr>
        <w:pStyle w:val="a0"/>
        <w:spacing w:line="480" w:lineRule="exact"/>
        <w:ind w:firstLineChars="200" w:firstLine="560"/>
        <w:rPr>
          <w:rFonts w:ascii="仿宋" w:eastAsia="仿宋" w:hAnsi="仿宋"/>
          <w:szCs w:val="28"/>
        </w:rPr>
      </w:pPr>
      <w:r>
        <w:rPr>
          <w:rFonts w:ascii="仿宋" w:eastAsia="仿宋" w:hAnsi="仿宋"/>
          <w:szCs w:val="28"/>
        </w:rPr>
        <w:t>1、</w:t>
      </w:r>
      <w:r>
        <w:rPr>
          <w:rFonts w:ascii="仿宋" w:eastAsia="仿宋" w:hAnsi="仿宋" w:hint="eastAsia"/>
          <w:szCs w:val="28"/>
        </w:rPr>
        <w:t>我们在</w:t>
      </w:r>
      <w:r>
        <w:rPr>
          <w:rFonts w:ascii="仿宋" w:eastAsia="仿宋" w:hAnsi="仿宋"/>
          <w:szCs w:val="28"/>
        </w:rPr>
        <w:t>估价报告中</w:t>
      </w:r>
      <w:r>
        <w:rPr>
          <w:rFonts w:ascii="仿宋" w:eastAsia="仿宋" w:hAnsi="仿宋" w:hint="eastAsia"/>
          <w:szCs w:val="28"/>
        </w:rPr>
        <w:t>对</w:t>
      </w:r>
      <w:r>
        <w:rPr>
          <w:rFonts w:ascii="仿宋" w:eastAsia="仿宋" w:hAnsi="仿宋"/>
          <w:szCs w:val="28"/>
        </w:rPr>
        <w:t>事实</w:t>
      </w:r>
      <w:r>
        <w:rPr>
          <w:rFonts w:ascii="仿宋" w:eastAsia="仿宋" w:hAnsi="仿宋" w:hint="eastAsia"/>
          <w:szCs w:val="28"/>
        </w:rPr>
        <w:t>的说明</w:t>
      </w:r>
      <w:r>
        <w:rPr>
          <w:rFonts w:ascii="仿宋" w:eastAsia="仿宋" w:hAnsi="仿宋"/>
          <w:szCs w:val="28"/>
        </w:rPr>
        <w:t>是真实和准确的</w:t>
      </w:r>
      <w:r>
        <w:rPr>
          <w:rFonts w:ascii="仿宋" w:eastAsia="仿宋" w:hAnsi="仿宋" w:hint="eastAsia"/>
          <w:szCs w:val="28"/>
        </w:rPr>
        <w:t>，没有虚假记载、误导性陈述和重大遗漏</w:t>
      </w:r>
      <w:r>
        <w:rPr>
          <w:rFonts w:ascii="仿宋" w:eastAsia="仿宋" w:hAnsi="仿宋"/>
          <w:szCs w:val="28"/>
        </w:rPr>
        <w:t>。</w:t>
      </w:r>
    </w:p>
    <w:p w:rsidR="00A37CBB" w:rsidRDefault="00D21007">
      <w:pPr>
        <w:pStyle w:val="a0"/>
        <w:spacing w:line="480" w:lineRule="exact"/>
        <w:ind w:firstLineChars="200" w:firstLine="560"/>
        <w:rPr>
          <w:rFonts w:ascii="仿宋" w:eastAsia="仿宋" w:hAnsi="仿宋"/>
          <w:szCs w:val="28"/>
        </w:rPr>
      </w:pPr>
      <w:r>
        <w:rPr>
          <w:rFonts w:ascii="仿宋" w:eastAsia="仿宋" w:hAnsi="仿宋"/>
          <w:szCs w:val="28"/>
        </w:rPr>
        <w:t>2、估价报告中的分析、意见和结论是</w:t>
      </w:r>
      <w:r>
        <w:rPr>
          <w:rFonts w:ascii="仿宋" w:eastAsia="仿宋" w:hAnsi="仿宋" w:hint="eastAsia"/>
          <w:szCs w:val="28"/>
        </w:rPr>
        <w:t>我们</w:t>
      </w:r>
      <w:r>
        <w:rPr>
          <w:rFonts w:ascii="仿宋" w:eastAsia="仿宋" w:hAnsi="仿宋"/>
          <w:szCs w:val="28"/>
        </w:rPr>
        <w:t>独立、客观、公正的专业分析、意见和结论，但受到估价报告中已说明的</w:t>
      </w:r>
      <w:r>
        <w:rPr>
          <w:rFonts w:ascii="仿宋" w:eastAsia="仿宋" w:hAnsi="仿宋" w:hint="eastAsia"/>
          <w:szCs w:val="28"/>
        </w:rPr>
        <w:t>估价</w:t>
      </w:r>
      <w:r>
        <w:rPr>
          <w:rFonts w:ascii="仿宋" w:eastAsia="仿宋" w:hAnsi="仿宋"/>
          <w:szCs w:val="28"/>
        </w:rPr>
        <w:t>假设和限制条件的限制。</w:t>
      </w:r>
    </w:p>
    <w:p w:rsidR="00A37CBB" w:rsidRDefault="00D21007">
      <w:pPr>
        <w:pStyle w:val="a0"/>
        <w:spacing w:line="480" w:lineRule="exact"/>
        <w:ind w:firstLineChars="200" w:firstLine="560"/>
        <w:rPr>
          <w:rFonts w:ascii="仿宋" w:eastAsia="仿宋" w:hAnsi="仿宋"/>
          <w:szCs w:val="28"/>
        </w:rPr>
      </w:pPr>
      <w:r>
        <w:rPr>
          <w:rFonts w:ascii="仿宋" w:eastAsia="仿宋" w:hAnsi="仿宋"/>
          <w:szCs w:val="28"/>
        </w:rPr>
        <w:t>3、</w:t>
      </w:r>
      <w:r>
        <w:rPr>
          <w:rFonts w:ascii="仿宋" w:eastAsia="仿宋" w:hAnsi="仿宋" w:hint="eastAsia"/>
          <w:szCs w:val="28"/>
        </w:rPr>
        <w:t>我们</w:t>
      </w:r>
      <w:r>
        <w:rPr>
          <w:rFonts w:ascii="仿宋" w:eastAsia="仿宋" w:hAnsi="仿宋"/>
          <w:szCs w:val="28"/>
        </w:rPr>
        <w:t>与估价报告中的估价对象没有</w:t>
      </w:r>
      <w:r>
        <w:rPr>
          <w:rFonts w:ascii="仿宋" w:eastAsia="仿宋" w:hAnsi="仿宋" w:hint="eastAsia"/>
          <w:szCs w:val="28"/>
        </w:rPr>
        <w:t>现实或潜在的利益，与估价委托人及估价</w:t>
      </w:r>
      <w:r>
        <w:rPr>
          <w:rFonts w:ascii="仿宋" w:eastAsia="仿宋" w:hAnsi="仿宋"/>
          <w:szCs w:val="28"/>
        </w:rPr>
        <w:t>利害关系</w:t>
      </w:r>
      <w:r>
        <w:rPr>
          <w:rFonts w:ascii="仿宋" w:eastAsia="仿宋" w:hAnsi="仿宋" w:hint="eastAsia"/>
          <w:szCs w:val="28"/>
        </w:rPr>
        <w:t>人没有利害关系</w:t>
      </w:r>
      <w:r>
        <w:rPr>
          <w:rFonts w:ascii="仿宋" w:eastAsia="仿宋" w:hAnsi="仿宋"/>
          <w:szCs w:val="28"/>
        </w:rPr>
        <w:t>，也</w:t>
      </w:r>
      <w:r>
        <w:rPr>
          <w:rFonts w:ascii="仿宋" w:eastAsia="仿宋" w:hAnsi="仿宋" w:hint="eastAsia"/>
          <w:szCs w:val="28"/>
        </w:rPr>
        <w:t>对估价对象、估价委托人及估价</w:t>
      </w:r>
      <w:r>
        <w:rPr>
          <w:rFonts w:ascii="仿宋" w:eastAsia="仿宋" w:hAnsi="仿宋"/>
          <w:szCs w:val="28"/>
        </w:rPr>
        <w:t>利害关系</w:t>
      </w:r>
      <w:r>
        <w:rPr>
          <w:rFonts w:ascii="仿宋" w:eastAsia="仿宋" w:hAnsi="仿宋" w:hint="eastAsia"/>
          <w:szCs w:val="28"/>
        </w:rPr>
        <w:t>人没有偏见</w:t>
      </w:r>
      <w:r>
        <w:rPr>
          <w:rFonts w:ascii="仿宋" w:eastAsia="仿宋" w:hAnsi="仿宋"/>
          <w:szCs w:val="28"/>
        </w:rPr>
        <w:t>。</w:t>
      </w:r>
    </w:p>
    <w:p w:rsidR="00A37CBB" w:rsidRDefault="00D21007">
      <w:pPr>
        <w:pStyle w:val="a0"/>
        <w:spacing w:line="480" w:lineRule="exact"/>
        <w:ind w:firstLineChars="200" w:firstLine="560"/>
        <w:rPr>
          <w:rFonts w:ascii="仿宋" w:eastAsia="仿宋" w:hAnsi="仿宋"/>
          <w:szCs w:val="28"/>
        </w:rPr>
      </w:pPr>
      <w:r>
        <w:rPr>
          <w:rFonts w:ascii="仿宋" w:eastAsia="仿宋" w:hAnsi="仿宋"/>
          <w:szCs w:val="28"/>
        </w:rPr>
        <w:t>4、</w:t>
      </w:r>
      <w:r>
        <w:rPr>
          <w:rFonts w:ascii="仿宋" w:eastAsia="仿宋" w:hAnsi="仿宋" w:hint="eastAsia"/>
          <w:szCs w:val="28"/>
        </w:rPr>
        <w:t>我们是按照</w:t>
      </w:r>
      <w:r>
        <w:rPr>
          <w:rFonts w:ascii="仿宋" w:eastAsia="仿宋" w:hAnsi="仿宋"/>
          <w:szCs w:val="28"/>
        </w:rPr>
        <w:t>《房地产估价规范》</w:t>
      </w:r>
      <w:r>
        <w:rPr>
          <w:rFonts w:ascii="仿宋" w:eastAsia="仿宋" w:hAnsi="仿宋" w:hint="eastAsia"/>
          <w:szCs w:val="28"/>
        </w:rPr>
        <w:t>（</w:t>
      </w:r>
      <w:r>
        <w:rPr>
          <w:rFonts w:ascii="仿宋" w:eastAsia="仿宋" w:hAnsi="仿宋"/>
          <w:szCs w:val="28"/>
        </w:rPr>
        <w:t>GB/T 50291</w:t>
      </w:r>
      <w:r>
        <w:rPr>
          <w:rFonts w:ascii="仿宋" w:eastAsia="仿宋" w:hAnsi="仿宋" w:hint="eastAsia"/>
          <w:szCs w:val="28"/>
        </w:rPr>
        <w:t>-</w:t>
      </w:r>
      <w:r>
        <w:rPr>
          <w:rFonts w:ascii="仿宋" w:eastAsia="仿宋" w:hAnsi="仿宋"/>
          <w:szCs w:val="28"/>
        </w:rPr>
        <w:t>2015</w:t>
      </w:r>
      <w:r>
        <w:rPr>
          <w:rFonts w:ascii="仿宋" w:eastAsia="仿宋" w:hAnsi="仿宋" w:hint="eastAsia"/>
          <w:szCs w:val="28"/>
        </w:rPr>
        <w:t>）、《房地产估价基本术语标准》（</w:t>
      </w:r>
      <w:r>
        <w:rPr>
          <w:rFonts w:ascii="仿宋" w:eastAsia="仿宋" w:hAnsi="仿宋"/>
          <w:szCs w:val="28"/>
        </w:rPr>
        <w:t>GB/T 50</w:t>
      </w:r>
      <w:r>
        <w:rPr>
          <w:rFonts w:ascii="仿宋" w:eastAsia="仿宋" w:hAnsi="仿宋" w:hint="eastAsia"/>
          <w:szCs w:val="28"/>
        </w:rPr>
        <w:t>899-</w:t>
      </w:r>
      <w:r>
        <w:rPr>
          <w:rFonts w:ascii="仿宋" w:eastAsia="仿宋" w:hAnsi="仿宋"/>
          <w:szCs w:val="28"/>
        </w:rPr>
        <w:t>201</w:t>
      </w:r>
      <w:r>
        <w:rPr>
          <w:rFonts w:ascii="仿宋" w:eastAsia="仿宋" w:hAnsi="仿宋" w:hint="eastAsia"/>
          <w:szCs w:val="28"/>
        </w:rPr>
        <w:t>3）、</w:t>
      </w:r>
      <w:r>
        <w:rPr>
          <w:rFonts w:ascii="仿宋" w:eastAsia="仿宋" w:hAnsi="仿宋" w:hint="eastAsia"/>
        </w:rPr>
        <w:t>《最高人民法院关于人民法院委托评估拍卖和变卖工作的若干规定》</w:t>
      </w:r>
      <w:r>
        <w:rPr>
          <w:rFonts w:ascii="仿宋" w:eastAsia="仿宋" w:hAnsi="仿宋" w:hint="eastAsia"/>
          <w:szCs w:val="28"/>
        </w:rPr>
        <w:t>等有关房地产估价标准的规定</w:t>
      </w:r>
      <w:r>
        <w:rPr>
          <w:rFonts w:ascii="仿宋" w:eastAsia="仿宋" w:hAnsi="仿宋"/>
          <w:szCs w:val="28"/>
        </w:rPr>
        <w:t>进行</w:t>
      </w:r>
      <w:r>
        <w:rPr>
          <w:rFonts w:ascii="仿宋" w:eastAsia="仿宋" w:hAnsi="仿宋" w:hint="eastAsia"/>
          <w:szCs w:val="28"/>
        </w:rPr>
        <w:t>估价工作，撰写估价报告</w:t>
      </w:r>
      <w:r>
        <w:rPr>
          <w:rFonts w:ascii="仿宋" w:eastAsia="仿宋" w:hAnsi="仿宋"/>
          <w:szCs w:val="28"/>
        </w:rPr>
        <w:t>。</w:t>
      </w:r>
    </w:p>
    <w:p w:rsidR="00A37CBB" w:rsidRDefault="00D21007">
      <w:pPr>
        <w:pStyle w:val="a0"/>
        <w:spacing w:line="480" w:lineRule="exact"/>
        <w:ind w:firstLineChars="200" w:firstLine="560"/>
        <w:rPr>
          <w:rFonts w:eastAsia="仿宋"/>
          <w:szCs w:val="28"/>
        </w:rPr>
      </w:pPr>
      <w:r>
        <w:rPr>
          <w:rFonts w:eastAsia="仿宋_GB2312" w:hint="eastAsia"/>
          <w:szCs w:val="28"/>
        </w:rPr>
        <w:t>5</w:t>
      </w:r>
      <w:r>
        <w:rPr>
          <w:rFonts w:eastAsia="仿宋_GB2312" w:hint="eastAsia"/>
          <w:szCs w:val="28"/>
        </w:rPr>
        <w:t>、参加本次估价的注册房地产估价师承诺对其估价职业道德、专业胜任能力和勤勉尽职尽责。</w:t>
      </w:r>
    </w:p>
    <w:p w:rsidR="00A37CBB" w:rsidRDefault="00D21007">
      <w:pPr>
        <w:pStyle w:val="a0"/>
        <w:spacing w:line="480" w:lineRule="exact"/>
        <w:ind w:firstLineChars="200" w:firstLine="562"/>
        <w:rPr>
          <w:rFonts w:eastAsia="仿宋"/>
          <w:szCs w:val="28"/>
        </w:rPr>
      </w:pPr>
      <w:r>
        <w:rPr>
          <w:rFonts w:ascii="仿宋" w:eastAsia="仿宋" w:hAnsi="仿宋" w:hint="eastAsia"/>
          <w:b/>
          <w:bCs/>
        </w:rPr>
        <w:t>注册房地产估价师</w:t>
      </w:r>
      <w:bookmarkStart w:id="12" w:name="_Toc437526974"/>
      <w:bookmarkStart w:id="13" w:name="_Toc469641710"/>
      <w:bookmarkEnd w:id="8"/>
      <w:bookmarkEnd w:id="9"/>
      <w:bookmarkEnd w:id="10"/>
    </w:p>
    <w:tbl>
      <w:tblPr>
        <w:tblW w:w="89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tblPr>
      <w:tblGrid>
        <w:gridCol w:w="1629"/>
        <w:gridCol w:w="2335"/>
        <w:gridCol w:w="1948"/>
        <w:gridCol w:w="3048"/>
      </w:tblGrid>
      <w:tr w:rsidR="00A37CBB">
        <w:trPr>
          <w:trHeight w:val="938"/>
        </w:trPr>
        <w:tc>
          <w:tcPr>
            <w:tcW w:w="1629" w:type="dxa"/>
            <w:shd w:val="clear" w:color="auto" w:fill="auto"/>
            <w:tcMar>
              <w:top w:w="72" w:type="dxa"/>
              <w:left w:w="144" w:type="dxa"/>
              <w:bottom w:w="72" w:type="dxa"/>
              <w:right w:w="144" w:type="dxa"/>
            </w:tcMar>
            <w:vAlign w:val="center"/>
          </w:tcPr>
          <w:p w:rsidR="00A37CBB" w:rsidRDefault="00D21007">
            <w:pPr>
              <w:widowControl/>
              <w:kinsoku w:val="0"/>
              <w:overflowPunct w:val="0"/>
              <w:spacing w:line="265" w:lineRule="atLeast"/>
              <w:jc w:val="center"/>
              <w:textAlignment w:val="baseline"/>
              <w:rPr>
                <w:rFonts w:eastAsia="仿宋"/>
                <w:color w:val="000000" w:themeColor="text1"/>
                <w:sz w:val="28"/>
              </w:rPr>
            </w:pPr>
            <w:bookmarkStart w:id="14" w:name="_Toc29219"/>
            <w:bookmarkStart w:id="15" w:name="_Toc22591"/>
            <w:r>
              <w:rPr>
                <w:rFonts w:eastAsia="仿宋" w:hAnsi="仿宋"/>
                <w:color w:val="000000" w:themeColor="text1"/>
                <w:sz w:val="28"/>
              </w:rPr>
              <w:t>姓名</w:t>
            </w:r>
          </w:p>
        </w:tc>
        <w:tc>
          <w:tcPr>
            <w:tcW w:w="2335" w:type="dxa"/>
            <w:shd w:val="clear" w:color="auto" w:fill="auto"/>
            <w:tcMar>
              <w:top w:w="72" w:type="dxa"/>
              <w:left w:w="144" w:type="dxa"/>
              <w:bottom w:w="72" w:type="dxa"/>
              <w:right w:w="144" w:type="dxa"/>
            </w:tcMar>
            <w:vAlign w:val="center"/>
          </w:tcPr>
          <w:p w:rsidR="00A37CBB" w:rsidRDefault="00D21007">
            <w:pPr>
              <w:widowControl/>
              <w:kinsoku w:val="0"/>
              <w:overflowPunct w:val="0"/>
              <w:spacing w:line="265" w:lineRule="atLeast"/>
              <w:jc w:val="center"/>
              <w:textAlignment w:val="baseline"/>
              <w:rPr>
                <w:rFonts w:eastAsia="仿宋"/>
                <w:color w:val="000000" w:themeColor="text1"/>
                <w:sz w:val="28"/>
              </w:rPr>
            </w:pPr>
            <w:r>
              <w:rPr>
                <w:rFonts w:eastAsia="仿宋" w:hAnsi="仿宋"/>
                <w:color w:val="000000" w:themeColor="text1"/>
                <w:sz w:val="28"/>
              </w:rPr>
              <w:t>注册号</w:t>
            </w:r>
          </w:p>
        </w:tc>
        <w:tc>
          <w:tcPr>
            <w:tcW w:w="1948" w:type="dxa"/>
            <w:shd w:val="clear" w:color="auto" w:fill="auto"/>
            <w:tcMar>
              <w:top w:w="72" w:type="dxa"/>
              <w:left w:w="144" w:type="dxa"/>
              <w:bottom w:w="72" w:type="dxa"/>
              <w:right w:w="144" w:type="dxa"/>
            </w:tcMar>
            <w:vAlign w:val="center"/>
          </w:tcPr>
          <w:p w:rsidR="00A37CBB" w:rsidRDefault="00D21007">
            <w:pPr>
              <w:widowControl/>
              <w:kinsoku w:val="0"/>
              <w:overflowPunct w:val="0"/>
              <w:spacing w:line="265" w:lineRule="atLeast"/>
              <w:jc w:val="center"/>
              <w:textAlignment w:val="baseline"/>
              <w:rPr>
                <w:rFonts w:eastAsia="仿宋"/>
                <w:color w:val="000000" w:themeColor="text1"/>
                <w:sz w:val="28"/>
              </w:rPr>
            </w:pPr>
            <w:r>
              <w:rPr>
                <w:rFonts w:eastAsia="仿宋" w:hAnsi="仿宋"/>
                <w:color w:val="000000" w:themeColor="text1"/>
                <w:sz w:val="28"/>
              </w:rPr>
              <w:t>签名</w:t>
            </w:r>
          </w:p>
        </w:tc>
        <w:tc>
          <w:tcPr>
            <w:tcW w:w="3048" w:type="dxa"/>
            <w:shd w:val="clear" w:color="auto" w:fill="auto"/>
            <w:tcMar>
              <w:top w:w="72" w:type="dxa"/>
              <w:left w:w="144" w:type="dxa"/>
              <w:bottom w:w="72" w:type="dxa"/>
              <w:right w:w="144" w:type="dxa"/>
            </w:tcMar>
            <w:vAlign w:val="center"/>
          </w:tcPr>
          <w:p w:rsidR="00A37CBB" w:rsidRDefault="00D21007">
            <w:pPr>
              <w:widowControl/>
              <w:kinsoku w:val="0"/>
              <w:overflowPunct w:val="0"/>
              <w:spacing w:line="265" w:lineRule="atLeast"/>
              <w:jc w:val="center"/>
              <w:textAlignment w:val="baseline"/>
              <w:rPr>
                <w:rFonts w:eastAsia="仿宋"/>
                <w:color w:val="000000" w:themeColor="text1"/>
                <w:sz w:val="28"/>
              </w:rPr>
            </w:pPr>
            <w:r>
              <w:rPr>
                <w:rFonts w:eastAsia="仿宋" w:hAnsi="仿宋"/>
                <w:color w:val="000000" w:themeColor="text1"/>
                <w:sz w:val="28"/>
              </w:rPr>
              <w:t>签名日期</w:t>
            </w:r>
          </w:p>
        </w:tc>
      </w:tr>
      <w:tr w:rsidR="00A37CBB">
        <w:trPr>
          <w:trHeight w:val="1425"/>
        </w:trPr>
        <w:tc>
          <w:tcPr>
            <w:tcW w:w="1629" w:type="dxa"/>
            <w:shd w:val="clear" w:color="auto" w:fill="auto"/>
            <w:tcMar>
              <w:top w:w="72" w:type="dxa"/>
              <w:left w:w="144" w:type="dxa"/>
              <w:bottom w:w="72" w:type="dxa"/>
              <w:right w:w="144" w:type="dxa"/>
            </w:tcMar>
            <w:vAlign w:val="center"/>
          </w:tcPr>
          <w:p w:rsidR="00A37CBB" w:rsidRDefault="00D21007">
            <w:pPr>
              <w:widowControl/>
              <w:spacing w:line="240" w:lineRule="auto"/>
              <w:jc w:val="center"/>
              <w:rPr>
                <w:rFonts w:eastAsia="仿宋" w:hAnsi="仿宋"/>
                <w:color w:val="000000" w:themeColor="text1"/>
                <w:sz w:val="28"/>
                <w:szCs w:val="28"/>
              </w:rPr>
            </w:pPr>
            <w:r>
              <w:rPr>
                <w:rFonts w:eastAsia="仿宋" w:hAnsi="仿宋" w:hint="eastAsia"/>
                <w:color w:val="000000" w:themeColor="text1"/>
                <w:sz w:val="28"/>
                <w:szCs w:val="28"/>
              </w:rPr>
              <w:t>邓斌平</w:t>
            </w:r>
          </w:p>
        </w:tc>
        <w:tc>
          <w:tcPr>
            <w:tcW w:w="2335" w:type="dxa"/>
            <w:shd w:val="clear" w:color="auto" w:fill="auto"/>
            <w:tcMar>
              <w:top w:w="72" w:type="dxa"/>
              <w:left w:w="144" w:type="dxa"/>
              <w:bottom w:w="72" w:type="dxa"/>
              <w:right w:w="144" w:type="dxa"/>
            </w:tcMar>
            <w:vAlign w:val="center"/>
          </w:tcPr>
          <w:p w:rsidR="00A37CBB" w:rsidRDefault="00D21007">
            <w:pPr>
              <w:widowControl/>
              <w:spacing w:line="240" w:lineRule="auto"/>
              <w:jc w:val="center"/>
              <w:rPr>
                <w:rFonts w:eastAsia="仿宋"/>
                <w:color w:val="000000" w:themeColor="text1"/>
                <w:sz w:val="28"/>
                <w:szCs w:val="28"/>
              </w:rPr>
            </w:pPr>
            <w:r>
              <w:rPr>
                <w:rFonts w:eastAsia="仿宋" w:hint="eastAsia"/>
                <w:noProof/>
                <w:sz w:val="28"/>
                <w:szCs w:val="28"/>
              </w:rPr>
              <w:drawing>
                <wp:inline distT="0" distB="0" distL="114300" distR="114300">
                  <wp:extent cx="903605" cy="857885"/>
                  <wp:effectExtent l="0" t="0" r="10795" b="18415"/>
                  <wp:docPr id="47" name="图片 47" descr="72a7beaeb474233612c0539b0e35b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72a7beaeb474233612c0539b0e35b3d"/>
                          <pic:cNvPicPr>
                            <a:picLocks noChangeAspect="1"/>
                          </pic:cNvPicPr>
                        </pic:nvPicPr>
                        <pic:blipFill>
                          <a:blip r:embed="rId19" cstate="print"/>
                          <a:stretch>
                            <a:fillRect/>
                          </a:stretch>
                        </pic:blipFill>
                        <pic:spPr>
                          <a:xfrm>
                            <a:off x="0" y="0"/>
                            <a:ext cx="903605" cy="857885"/>
                          </a:xfrm>
                          <a:prstGeom prst="rect">
                            <a:avLst/>
                          </a:prstGeom>
                        </pic:spPr>
                      </pic:pic>
                    </a:graphicData>
                  </a:graphic>
                </wp:inline>
              </w:drawing>
            </w:r>
          </w:p>
        </w:tc>
        <w:tc>
          <w:tcPr>
            <w:tcW w:w="1948" w:type="dxa"/>
            <w:shd w:val="clear" w:color="auto" w:fill="auto"/>
            <w:tcMar>
              <w:top w:w="72" w:type="dxa"/>
              <w:left w:w="144" w:type="dxa"/>
              <w:bottom w:w="72" w:type="dxa"/>
              <w:right w:w="144" w:type="dxa"/>
            </w:tcMar>
            <w:vAlign w:val="center"/>
          </w:tcPr>
          <w:p w:rsidR="00A37CBB" w:rsidRDefault="00D21007">
            <w:pPr>
              <w:widowControl/>
              <w:spacing w:line="240" w:lineRule="auto"/>
              <w:jc w:val="center"/>
              <w:rPr>
                <w:rFonts w:eastAsia="仿宋"/>
                <w:color w:val="000000" w:themeColor="text1"/>
                <w:sz w:val="28"/>
              </w:rPr>
            </w:pPr>
            <w:r>
              <w:rPr>
                <w:rFonts w:eastAsia="仿宋" w:hint="eastAsia"/>
                <w:noProof/>
                <w:sz w:val="28"/>
              </w:rPr>
              <w:drawing>
                <wp:inline distT="0" distB="0" distL="114300" distR="114300">
                  <wp:extent cx="875030" cy="679450"/>
                  <wp:effectExtent l="0" t="0" r="0" b="0"/>
                  <wp:docPr id="48" name="图片 48" descr="1d320a0514b7dec7dabcf62c3d23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d320a0514b7dec7dabcf62c3d2386a"/>
                          <pic:cNvPicPr>
                            <a:picLocks noChangeAspect="1"/>
                          </pic:cNvPicPr>
                        </pic:nvPicPr>
                        <pic:blipFill>
                          <a:blip r:embed="rId20"/>
                          <a:stretch>
                            <a:fillRect/>
                          </a:stretch>
                        </pic:blipFill>
                        <pic:spPr>
                          <a:xfrm>
                            <a:off x="0" y="0"/>
                            <a:ext cx="875030" cy="679450"/>
                          </a:xfrm>
                          <a:prstGeom prst="rect">
                            <a:avLst/>
                          </a:prstGeom>
                        </pic:spPr>
                      </pic:pic>
                    </a:graphicData>
                  </a:graphic>
                </wp:inline>
              </w:drawing>
            </w:r>
          </w:p>
        </w:tc>
        <w:tc>
          <w:tcPr>
            <w:tcW w:w="3048" w:type="dxa"/>
            <w:shd w:val="clear" w:color="auto" w:fill="auto"/>
            <w:tcMar>
              <w:top w:w="72" w:type="dxa"/>
              <w:left w:w="144" w:type="dxa"/>
              <w:bottom w:w="72" w:type="dxa"/>
              <w:right w:w="144" w:type="dxa"/>
            </w:tcMar>
            <w:vAlign w:val="center"/>
          </w:tcPr>
          <w:p w:rsidR="00A37CBB" w:rsidRDefault="00D21007">
            <w:pPr>
              <w:widowControl/>
              <w:kinsoku w:val="0"/>
              <w:overflowPunct w:val="0"/>
              <w:spacing w:line="240" w:lineRule="auto"/>
              <w:jc w:val="center"/>
              <w:textAlignment w:val="baseline"/>
              <w:rPr>
                <w:rFonts w:eastAsia="仿宋"/>
                <w:color w:val="000000" w:themeColor="text1"/>
                <w:sz w:val="28"/>
              </w:rPr>
            </w:pPr>
            <w:r>
              <w:rPr>
                <w:rFonts w:eastAsia="仿宋" w:hint="eastAsia"/>
                <w:color w:val="000000" w:themeColor="text1"/>
                <w:sz w:val="28"/>
                <w:szCs w:val="28"/>
              </w:rPr>
              <w:t>2021</w:t>
            </w:r>
            <w:r>
              <w:rPr>
                <w:rFonts w:eastAsia="仿宋" w:hint="eastAsia"/>
                <w:color w:val="000000" w:themeColor="text1"/>
                <w:sz w:val="28"/>
                <w:szCs w:val="28"/>
              </w:rPr>
              <w:t>年</w:t>
            </w:r>
            <w:r>
              <w:rPr>
                <w:rFonts w:eastAsia="仿宋" w:hint="eastAsia"/>
                <w:color w:val="000000" w:themeColor="text1"/>
                <w:sz w:val="28"/>
                <w:szCs w:val="28"/>
              </w:rPr>
              <w:t>05</w:t>
            </w:r>
            <w:r>
              <w:rPr>
                <w:rFonts w:eastAsia="仿宋" w:hint="eastAsia"/>
                <w:color w:val="000000" w:themeColor="text1"/>
                <w:sz w:val="28"/>
                <w:szCs w:val="28"/>
              </w:rPr>
              <w:t>月</w:t>
            </w:r>
            <w:r>
              <w:rPr>
                <w:rFonts w:eastAsia="仿宋" w:hint="eastAsia"/>
                <w:color w:val="000000" w:themeColor="text1"/>
                <w:sz w:val="28"/>
                <w:szCs w:val="28"/>
              </w:rPr>
              <w:t>11</w:t>
            </w:r>
            <w:r>
              <w:rPr>
                <w:rFonts w:eastAsia="仿宋" w:hint="eastAsia"/>
                <w:color w:val="000000" w:themeColor="text1"/>
                <w:sz w:val="28"/>
                <w:szCs w:val="28"/>
              </w:rPr>
              <w:t>日</w:t>
            </w:r>
          </w:p>
        </w:tc>
      </w:tr>
      <w:tr w:rsidR="00A37CBB">
        <w:trPr>
          <w:trHeight w:val="1723"/>
        </w:trPr>
        <w:tc>
          <w:tcPr>
            <w:tcW w:w="1629" w:type="dxa"/>
            <w:shd w:val="clear" w:color="auto" w:fill="auto"/>
            <w:tcMar>
              <w:top w:w="72" w:type="dxa"/>
              <w:left w:w="144" w:type="dxa"/>
              <w:bottom w:w="72" w:type="dxa"/>
              <w:right w:w="144" w:type="dxa"/>
            </w:tcMar>
            <w:vAlign w:val="center"/>
          </w:tcPr>
          <w:p w:rsidR="00A37CBB" w:rsidRDefault="00D21007">
            <w:pPr>
              <w:widowControl/>
              <w:spacing w:line="240" w:lineRule="auto"/>
              <w:jc w:val="center"/>
              <w:rPr>
                <w:rFonts w:eastAsia="仿宋"/>
                <w:color w:val="000000" w:themeColor="text1"/>
                <w:sz w:val="28"/>
                <w:szCs w:val="28"/>
              </w:rPr>
            </w:pPr>
            <w:r>
              <w:rPr>
                <w:rFonts w:eastAsia="仿宋" w:hAnsi="仿宋" w:hint="eastAsia"/>
                <w:color w:val="000000" w:themeColor="text1"/>
                <w:sz w:val="28"/>
                <w:szCs w:val="28"/>
              </w:rPr>
              <w:t>黄</w:t>
            </w:r>
            <w:r>
              <w:rPr>
                <w:rFonts w:eastAsia="仿宋" w:hAnsi="仿宋" w:hint="eastAsia"/>
                <w:color w:val="000000" w:themeColor="text1"/>
                <w:sz w:val="28"/>
                <w:szCs w:val="28"/>
              </w:rPr>
              <w:t xml:space="preserve">  </w:t>
            </w:r>
            <w:r>
              <w:rPr>
                <w:rFonts w:eastAsia="仿宋" w:hAnsi="仿宋" w:hint="eastAsia"/>
                <w:color w:val="000000" w:themeColor="text1"/>
                <w:sz w:val="28"/>
                <w:szCs w:val="28"/>
              </w:rPr>
              <w:t>印</w:t>
            </w:r>
          </w:p>
        </w:tc>
        <w:tc>
          <w:tcPr>
            <w:tcW w:w="2335" w:type="dxa"/>
            <w:shd w:val="clear" w:color="auto" w:fill="auto"/>
            <w:tcMar>
              <w:top w:w="72" w:type="dxa"/>
              <w:left w:w="144" w:type="dxa"/>
              <w:bottom w:w="72" w:type="dxa"/>
              <w:right w:w="144" w:type="dxa"/>
            </w:tcMar>
            <w:vAlign w:val="center"/>
          </w:tcPr>
          <w:p w:rsidR="00A37CBB" w:rsidRDefault="00D21007">
            <w:pPr>
              <w:widowControl/>
              <w:spacing w:line="240" w:lineRule="auto"/>
              <w:jc w:val="center"/>
              <w:rPr>
                <w:rFonts w:eastAsia="仿宋"/>
                <w:color w:val="000000" w:themeColor="text1"/>
                <w:sz w:val="28"/>
                <w:szCs w:val="28"/>
              </w:rPr>
            </w:pPr>
            <w:r>
              <w:rPr>
                <w:rFonts w:eastAsia="仿宋" w:hint="eastAsia"/>
                <w:noProof/>
                <w:sz w:val="28"/>
                <w:szCs w:val="28"/>
              </w:rPr>
              <w:drawing>
                <wp:inline distT="0" distB="0" distL="114300" distR="114300">
                  <wp:extent cx="904875" cy="866775"/>
                  <wp:effectExtent l="0" t="0" r="9525" b="9525"/>
                  <wp:docPr id="49" name="图片 49" descr="34d3ac2de928b0fadbe5240f3ada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34d3ac2de928b0fadbe5240f3ada038"/>
                          <pic:cNvPicPr>
                            <a:picLocks noChangeAspect="1"/>
                          </pic:cNvPicPr>
                        </pic:nvPicPr>
                        <pic:blipFill>
                          <a:blip r:embed="rId21"/>
                          <a:stretch>
                            <a:fillRect/>
                          </a:stretch>
                        </pic:blipFill>
                        <pic:spPr>
                          <a:xfrm>
                            <a:off x="0" y="0"/>
                            <a:ext cx="904875" cy="866775"/>
                          </a:xfrm>
                          <a:prstGeom prst="rect">
                            <a:avLst/>
                          </a:prstGeom>
                        </pic:spPr>
                      </pic:pic>
                    </a:graphicData>
                  </a:graphic>
                </wp:inline>
              </w:drawing>
            </w:r>
          </w:p>
        </w:tc>
        <w:tc>
          <w:tcPr>
            <w:tcW w:w="1948" w:type="dxa"/>
            <w:shd w:val="clear" w:color="auto" w:fill="auto"/>
            <w:tcMar>
              <w:top w:w="72" w:type="dxa"/>
              <w:left w:w="144" w:type="dxa"/>
              <w:bottom w:w="72" w:type="dxa"/>
              <w:right w:w="144" w:type="dxa"/>
            </w:tcMar>
            <w:vAlign w:val="center"/>
          </w:tcPr>
          <w:p w:rsidR="00A37CBB" w:rsidRDefault="00D21007">
            <w:pPr>
              <w:widowControl/>
              <w:spacing w:line="240" w:lineRule="auto"/>
              <w:jc w:val="center"/>
              <w:rPr>
                <w:rFonts w:eastAsia="仿宋"/>
                <w:color w:val="000000" w:themeColor="text1"/>
                <w:sz w:val="28"/>
              </w:rPr>
            </w:pPr>
            <w:r>
              <w:rPr>
                <w:rFonts w:eastAsia="仿宋" w:hint="eastAsia"/>
                <w:noProof/>
                <w:sz w:val="28"/>
              </w:rPr>
              <w:drawing>
                <wp:inline distT="0" distB="0" distL="114300" distR="114300">
                  <wp:extent cx="876300" cy="495300"/>
                  <wp:effectExtent l="0" t="0" r="0" b="0"/>
                  <wp:docPr id="50" name="图片 50" descr="c639f58ab8d87e105cf859ab191c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639f58ab8d87e105cf859ab191cfa4"/>
                          <pic:cNvPicPr>
                            <a:picLocks noChangeAspect="1"/>
                          </pic:cNvPicPr>
                        </pic:nvPicPr>
                        <pic:blipFill>
                          <a:blip r:embed="rId22"/>
                          <a:stretch>
                            <a:fillRect/>
                          </a:stretch>
                        </pic:blipFill>
                        <pic:spPr>
                          <a:xfrm>
                            <a:off x="0" y="0"/>
                            <a:ext cx="876300" cy="495300"/>
                          </a:xfrm>
                          <a:prstGeom prst="rect">
                            <a:avLst/>
                          </a:prstGeom>
                        </pic:spPr>
                      </pic:pic>
                    </a:graphicData>
                  </a:graphic>
                </wp:inline>
              </w:drawing>
            </w:r>
          </w:p>
        </w:tc>
        <w:tc>
          <w:tcPr>
            <w:tcW w:w="3048" w:type="dxa"/>
            <w:shd w:val="clear" w:color="auto" w:fill="auto"/>
            <w:tcMar>
              <w:top w:w="72" w:type="dxa"/>
              <w:left w:w="144" w:type="dxa"/>
              <w:bottom w:w="72" w:type="dxa"/>
              <w:right w:w="144" w:type="dxa"/>
            </w:tcMar>
            <w:vAlign w:val="center"/>
          </w:tcPr>
          <w:p w:rsidR="00A37CBB" w:rsidRDefault="00D21007">
            <w:pPr>
              <w:widowControl/>
              <w:kinsoku w:val="0"/>
              <w:overflowPunct w:val="0"/>
              <w:spacing w:line="240" w:lineRule="auto"/>
              <w:jc w:val="center"/>
              <w:textAlignment w:val="baseline"/>
              <w:rPr>
                <w:rFonts w:eastAsia="仿宋"/>
                <w:color w:val="000000" w:themeColor="text1"/>
                <w:sz w:val="28"/>
              </w:rPr>
            </w:pPr>
            <w:r>
              <w:rPr>
                <w:rFonts w:eastAsia="仿宋" w:hint="eastAsia"/>
                <w:color w:val="000000" w:themeColor="text1"/>
                <w:sz w:val="28"/>
                <w:szCs w:val="28"/>
              </w:rPr>
              <w:t>2021</w:t>
            </w:r>
            <w:r>
              <w:rPr>
                <w:rFonts w:eastAsia="仿宋" w:hint="eastAsia"/>
                <w:color w:val="000000" w:themeColor="text1"/>
                <w:sz w:val="28"/>
                <w:szCs w:val="28"/>
              </w:rPr>
              <w:t>年</w:t>
            </w:r>
            <w:r>
              <w:rPr>
                <w:rFonts w:eastAsia="仿宋" w:hint="eastAsia"/>
                <w:color w:val="000000" w:themeColor="text1"/>
                <w:sz w:val="28"/>
                <w:szCs w:val="28"/>
              </w:rPr>
              <w:t>05</w:t>
            </w:r>
            <w:r>
              <w:rPr>
                <w:rFonts w:eastAsia="仿宋" w:hint="eastAsia"/>
                <w:color w:val="000000" w:themeColor="text1"/>
                <w:sz w:val="28"/>
                <w:szCs w:val="28"/>
              </w:rPr>
              <w:t>月</w:t>
            </w:r>
            <w:r>
              <w:rPr>
                <w:rFonts w:eastAsia="仿宋" w:hint="eastAsia"/>
                <w:color w:val="000000" w:themeColor="text1"/>
                <w:sz w:val="28"/>
                <w:szCs w:val="28"/>
              </w:rPr>
              <w:t>11</w:t>
            </w:r>
            <w:r>
              <w:rPr>
                <w:rFonts w:eastAsia="仿宋" w:hint="eastAsia"/>
                <w:color w:val="000000" w:themeColor="text1"/>
                <w:sz w:val="28"/>
                <w:szCs w:val="28"/>
              </w:rPr>
              <w:t>日</w:t>
            </w:r>
          </w:p>
        </w:tc>
      </w:tr>
    </w:tbl>
    <w:bookmarkEnd w:id="14"/>
    <w:p w:rsidR="00A37CBB" w:rsidRDefault="00D21007">
      <w:pPr>
        <w:pStyle w:val="2"/>
        <w:spacing w:before="0" w:after="0" w:line="480" w:lineRule="exact"/>
        <w:ind w:firstLineChars="600" w:firstLine="2408"/>
        <w:jc w:val="both"/>
        <w:rPr>
          <w:rFonts w:ascii="仿宋" w:eastAsia="仿宋" w:hAnsi="仿宋"/>
          <w:bCs/>
        </w:rPr>
      </w:pPr>
      <w:r>
        <w:rPr>
          <w:rFonts w:ascii="仿宋" w:eastAsia="仿宋" w:hAnsi="仿宋"/>
          <w:bCs/>
        </w:rPr>
        <w:lastRenderedPageBreak/>
        <w:t>估价假设和限制条件</w:t>
      </w:r>
      <w:bookmarkEnd w:id="12"/>
      <w:bookmarkEnd w:id="15"/>
    </w:p>
    <w:p w:rsidR="00A37CBB" w:rsidRDefault="00D21007">
      <w:pPr>
        <w:spacing w:line="480" w:lineRule="exact"/>
        <w:ind w:firstLineChars="200" w:firstLine="562"/>
        <w:rPr>
          <w:rFonts w:ascii="仿宋_GB2312" w:hAnsi="Arial" w:cs="Arial"/>
          <w:b/>
          <w:sz w:val="28"/>
          <w:szCs w:val="28"/>
        </w:rPr>
      </w:pPr>
      <w:r>
        <w:rPr>
          <w:rFonts w:ascii="仿宋_GB2312" w:hAnsi="Arial" w:cs="Arial" w:hint="eastAsia"/>
          <w:b/>
          <w:sz w:val="28"/>
          <w:szCs w:val="28"/>
        </w:rPr>
        <w:t>一、估价假设</w:t>
      </w:r>
    </w:p>
    <w:p w:rsidR="00A37CBB" w:rsidRDefault="00D21007">
      <w:pPr>
        <w:adjustRightInd w:val="0"/>
        <w:snapToGrid w:val="0"/>
        <w:spacing w:line="480" w:lineRule="exact"/>
        <w:ind w:firstLineChars="200" w:firstLine="560"/>
        <w:rPr>
          <w:rFonts w:ascii="仿宋" w:eastAsia="仿宋" w:hAnsi="仿宋"/>
          <w:sz w:val="28"/>
        </w:rPr>
      </w:pPr>
      <w:r>
        <w:rPr>
          <w:rFonts w:ascii="仿宋" w:eastAsia="仿宋" w:hAnsi="仿宋"/>
          <w:sz w:val="28"/>
        </w:rPr>
        <w:t>1、</w:t>
      </w:r>
      <w:r>
        <w:rPr>
          <w:rFonts w:ascii="仿宋" w:eastAsia="仿宋" w:hAnsi="仿宋" w:hint="eastAsia"/>
          <w:sz w:val="28"/>
        </w:rPr>
        <w:t>一般假设：</w:t>
      </w:r>
    </w:p>
    <w:p w:rsidR="00A37CBB" w:rsidRDefault="00D21007">
      <w:pPr>
        <w:adjustRightInd w:val="0"/>
        <w:snapToGrid w:val="0"/>
        <w:spacing w:line="480" w:lineRule="exact"/>
        <w:ind w:firstLineChars="200" w:firstLine="560"/>
        <w:rPr>
          <w:rFonts w:ascii="仿宋" w:eastAsia="仿宋" w:hAnsi="仿宋"/>
          <w:sz w:val="28"/>
        </w:rPr>
      </w:pPr>
      <w:r>
        <w:rPr>
          <w:rFonts w:ascii="仿宋" w:eastAsia="仿宋" w:hAnsi="仿宋" w:hint="eastAsia"/>
          <w:sz w:val="28"/>
        </w:rPr>
        <w:t>（1）</w:t>
      </w:r>
      <w:r>
        <w:rPr>
          <w:rFonts w:ascii="仿宋" w:eastAsia="仿宋" w:hAnsi="仿宋"/>
          <w:sz w:val="28"/>
        </w:rPr>
        <w:t>本次估价</w:t>
      </w:r>
      <w:r>
        <w:rPr>
          <w:rFonts w:ascii="仿宋" w:eastAsia="仿宋" w:hAnsi="仿宋" w:hint="eastAsia"/>
          <w:sz w:val="28"/>
        </w:rPr>
        <w:t>对象提供了</w:t>
      </w:r>
      <w:r>
        <w:rPr>
          <w:rFonts w:ascii="仿宋" w:eastAsia="仿宋" w:hAnsi="仿宋" w:hint="eastAsia"/>
          <w:sz w:val="28"/>
          <w:szCs w:val="28"/>
        </w:rPr>
        <w:t>《房屋所有权证》</w:t>
      </w:r>
      <w:r>
        <w:rPr>
          <w:rFonts w:ascii="仿宋" w:eastAsia="仿宋" w:hAnsi="仿宋" w:hint="eastAsia"/>
          <w:sz w:val="28"/>
        </w:rPr>
        <w:t>复印件，注册房地产估价师对委托方所提供的资料进行了检査但未予以核实，本次估价假定委托方所提供的资料</w:t>
      </w:r>
      <w:r>
        <w:rPr>
          <w:rFonts w:ascii="仿宋" w:eastAsia="仿宋" w:hAnsi="仿宋"/>
          <w:sz w:val="28"/>
        </w:rPr>
        <w:t>是</w:t>
      </w:r>
      <w:r>
        <w:rPr>
          <w:rFonts w:ascii="仿宋" w:eastAsia="仿宋" w:hAnsi="仿宋" w:hint="eastAsia"/>
          <w:sz w:val="28"/>
        </w:rPr>
        <w:t>合法、真实、准确和完整的。</w:t>
      </w:r>
    </w:p>
    <w:p w:rsidR="00A37CBB" w:rsidRDefault="00D21007">
      <w:pPr>
        <w:tabs>
          <w:tab w:val="left" w:pos="630"/>
          <w:tab w:val="left" w:pos="840"/>
        </w:tabs>
        <w:spacing w:line="480" w:lineRule="exact"/>
        <w:ind w:firstLineChars="200" w:firstLine="560"/>
        <w:rPr>
          <w:rFonts w:ascii="仿宋" w:eastAsia="仿宋" w:hAnsi="仿宋"/>
          <w:sz w:val="28"/>
        </w:rPr>
      </w:pPr>
      <w:r>
        <w:rPr>
          <w:rFonts w:ascii="仿宋" w:eastAsia="仿宋" w:hAnsi="仿宋" w:hint="eastAsia"/>
          <w:sz w:val="28"/>
        </w:rPr>
        <w:t>（2）市场供应关系、市场结构保持稳定、未发生重大变化或实质性改变。</w:t>
      </w:r>
    </w:p>
    <w:p w:rsidR="00A37CBB" w:rsidRDefault="00D21007">
      <w:pPr>
        <w:tabs>
          <w:tab w:val="left" w:pos="630"/>
          <w:tab w:val="left" w:pos="840"/>
        </w:tabs>
        <w:spacing w:line="480" w:lineRule="exact"/>
        <w:ind w:firstLineChars="200" w:firstLine="560"/>
        <w:rPr>
          <w:rFonts w:ascii="仿宋" w:eastAsia="仿宋" w:hAnsi="仿宋"/>
          <w:sz w:val="28"/>
        </w:rPr>
      </w:pPr>
      <w:r>
        <w:rPr>
          <w:rFonts w:ascii="仿宋" w:eastAsia="仿宋" w:hAnsi="仿宋" w:hint="eastAsia"/>
          <w:sz w:val="28"/>
        </w:rPr>
        <w:t>（3）本次估价对房屋安全、环境污染等影响估价对象价值或价格的重大因素给予了关注，注册房地产估价师无理由怀疑本次估价对象存在安全隐患且没有经相应的专业机构进行鉴定、检测，本次估价假定估价对象房屋安全性、环境污染等指标在合理范围内。</w:t>
      </w:r>
    </w:p>
    <w:p w:rsidR="00A37CBB" w:rsidRDefault="00D21007">
      <w:pPr>
        <w:spacing w:line="480" w:lineRule="exact"/>
        <w:ind w:firstLineChars="200" w:firstLine="560"/>
        <w:rPr>
          <w:rFonts w:ascii="仿宋_GB2312" w:hAnsi="Arial" w:cs="Arial"/>
          <w:sz w:val="28"/>
          <w:szCs w:val="28"/>
        </w:rPr>
      </w:pPr>
      <w:r>
        <w:rPr>
          <w:rFonts w:ascii="仿宋" w:eastAsia="仿宋" w:hAnsi="仿宋" w:hint="eastAsia"/>
          <w:sz w:val="28"/>
        </w:rPr>
        <w:t>（4）估</w:t>
      </w:r>
      <w:r>
        <w:rPr>
          <w:rFonts w:ascii="仿宋_GB2312" w:hAnsi="Arial" w:cs="Arial" w:hint="eastAsia"/>
          <w:sz w:val="28"/>
          <w:szCs w:val="28"/>
        </w:rPr>
        <w:t>价对象在价值时点的房地产市场为公开、平等、自愿的市场，即自愿的买卖双方、交易双方无任何利害关系，交易的目的是追求各自利益的最大化；交易双方了解交易对象、知晓市场行情；交易双方有较充裕的时间进行交易；不存在特殊买者的附加出价。</w:t>
      </w:r>
    </w:p>
    <w:p w:rsidR="00A37CBB" w:rsidRDefault="00D21007">
      <w:pPr>
        <w:spacing w:line="480" w:lineRule="exact"/>
        <w:ind w:firstLineChars="200" w:firstLine="560"/>
        <w:rPr>
          <w:rFonts w:ascii="仿宋" w:eastAsia="仿宋" w:hAnsi="仿宋"/>
          <w:sz w:val="28"/>
        </w:rPr>
      </w:pPr>
      <w:r>
        <w:rPr>
          <w:rFonts w:ascii="仿宋_GB2312" w:hAnsi="Arial" w:cs="Arial" w:hint="eastAsia"/>
          <w:sz w:val="28"/>
          <w:szCs w:val="28"/>
        </w:rPr>
        <w:t>（5）本次估价价值时点为2021年05月07日，实地查勘日期为2021年05月07日，价值时点与实地查勘日期一致，特此提醒</w:t>
      </w:r>
      <w:r>
        <w:rPr>
          <w:rFonts w:ascii="仿宋" w:eastAsia="仿宋" w:hAnsi="仿宋" w:hint="eastAsia"/>
          <w:sz w:val="28"/>
        </w:rPr>
        <w:t>。</w:t>
      </w:r>
    </w:p>
    <w:p w:rsidR="00A37CBB" w:rsidRDefault="00D21007">
      <w:pPr>
        <w:spacing w:line="480" w:lineRule="exact"/>
        <w:ind w:firstLineChars="200" w:firstLine="560"/>
        <w:rPr>
          <w:rFonts w:ascii="仿宋_GB2312" w:hAnsi="Arial" w:cs="Arial"/>
          <w:sz w:val="28"/>
          <w:szCs w:val="28"/>
        </w:rPr>
      </w:pPr>
      <w:r>
        <w:rPr>
          <w:rFonts w:ascii="仿宋" w:eastAsia="仿宋" w:hAnsi="仿宋" w:hint="eastAsia"/>
          <w:sz w:val="28"/>
        </w:rPr>
        <w:t>2</w:t>
      </w:r>
      <w:r>
        <w:rPr>
          <w:rFonts w:ascii="仿宋_GB2312" w:hAnsi="Arial" w:cs="Arial" w:hint="eastAsia"/>
          <w:sz w:val="28"/>
          <w:szCs w:val="28"/>
        </w:rPr>
        <w:t>、未定事项假设：本次估价不存在未定事项假设。</w:t>
      </w:r>
    </w:p>
    <w:p w:rsidR="00A37CBB" w:rsidRDefault="00D21007">
      <w:pPr>
        <w:spacing w:line="480" w:lineRule="exact"/>
        <w:ind w:firstLineChars="200" w:firstLine="560"/>
        <w:rPr>
          <w:rFonts w:ascii="仿宋" w:eastAsia="仿宋" w:hAnsi="仿宋"/>
          <w:sz w:val="28"/>
        </w:rPr>
      </w:pPr>
      <w:r>
        <w:rPr>
          <w:rFonts w:ascii="仿宋_GB2312" w:hAnsi="Arial" w:cs="Arial" w:hint="eastAsia"/>
          <w:sz w:val="28"/>
          <w:szCs w:val="28"/>
        </w:rPr>
        <w:t>3、背离事实假设：本次估价目的是为司法诉讼执行程序中的拍卖或变卖提供房地产市场价值参考，在房地产司法鉴定估价中，不考虑拍卖财产上原有的担保物权、其他优先受偿权及查封因数，因原有的担保物权及其他优先受偿权因拍卖而消效，查封因拍卖而解除，本次评估不考虑估价对象的他项权利状况对其价值的影响。</w:t>
      </w:r>
    </w:p>
    <w:p w:rsidR="00A37CBB" w:rsidRDefault="00D21007">
      <w:pPr>
        <w:adjustRightInd w:val="0"/>
        <w:snapToGrid w:val="0"/>
        <w:spacing w:line="480" w:lineRule="exact"/>
        <w:ind w:firstLineChars="200" w:firstLine="560"/>
        <w:rPr>
          <w:rFonts w:ascii="仿宋_GB2312" w:hAnsi="Arial" w:cs="Arial"/>
          <w:sz w:val="28"/>
          <w:szCs w:val="28"/>
        </w:rPr>
      </w:pPr>
      <w:r>
        <w:rPr>
          <w:rFonts w:ascii="仿宋" w:eastAsia="仿宋" w:hAnsi="仿宋" w:hint="eastAsia"/>
          <w:sz w:val="28"/>
        </w:rPr>
        <w:t>4、不相一致假设：</w:t>
      </w:r>
      <w:r>
        <w:rPr>
          <w:rFonts w:ascii="仿宋_GB2312" w:hAnsi="Arial" w:cs="Arial" w:hint="eastAsia"/>
          <w:sz w:val="28"/>
          <w:szCs w:val="28"/>
        </w:rPr>
        <w:t>本次估价委托人提供的《房屋所有权证》中登载的房屋总楼层为1层，经相关估价专业人员现场勘查及了解，得知本次估价对象该房屋后有续建，实际总楼层为3层，根据本次估价目的，本次估价仅评估《房屋所有权证》中记载158.14㎡进行评估，</w:t>
      </w:r>
      <w:r>
        <w:rPr>
          <w:rFonts w:ascii="仿宋_GB2312" w:hAnsi="Arial" w:cs="Arial" w:hint="eastAsia"/>
          <w:sz w:val="28"/>
          <w:szCs w:val="28"/>
        </w:rPr>
        <w:lastRenderedPageBreak/>
        <w:t>续建面积不计入评估价值中。若与实际不符，须对本次评估结果作出相应调整。</w:t>
      </w:r>
    </w:p>
    <w:p w:rsidR="00A37CBB" w:rsidRDefault="00D21007">
      <w:pPr>
        <w:adjustRightInd w:val="0"/>
        <w:snapToGrid w:val="0"/>
        <w:spacing w:line="480" w:lineRule="exact"/>
        <w:ind w:firstLineChars="200" w:firstLine="560"/>
        <w:rPr>
          <w:rFonts w:ascii="仿宋_GB2312" w:hAnsi="Arial" w:cs="Arial"/>
          <w:b/>
          <w:sz w:val="28"/>
          <w:szCs w:val="28"/>
        </w:rPr>
      </w:pPr>
      <w:r>
        <w:rPr>
          <w:rFonts w:eastAsia="仿宋"/>
          <w:sz w:val="28"/>
        </w:rPr>
        <w:t>5</w:t>
      </w:r>
      <w:r>
        <w:rPr>
          <w:rFonts w:eastAsia="仿宋" w:hAnsi="仿宋"/>
          <w:sz w:val="28"/>
        </w:rPr>
        <w:t>、依据不足假设：</w:t>
      </w:r>
      <w:r>
        <w:rPr>
          <w:rFonts w:ascii="仿宋_GB2312" w:hAnsi="Arial" w:cs="Arial" w:hint="eastAsia"/>
          <w:sz w:val="28"/>
          <w:szCs w:val="28"/>
        </w:rPr>
        <w:t>至价值时点，估价委托人未能提供委估对象的《国有土地使用证》，而估价委托人提供的委估对象的《房屋所有权证 》亦未登记土地使用状况详情，根据此次估价目的，故设定估价对象占用范围内土地性质为出让，委估对象的土地用途为住宅用地</w:t>
      </w:r>
      <w:r>
        <w:rPr>
          <w:rFonts w:ascii="仿宋_GB2312" w:hAnsi="Arial" w:cs="Arial" w:hint="eastAsia"/>
          <w:b/>
          <w:sz w:val="28"/>
          <w:szCs w:val="28"/>
        </w:rPr>
        <w:t>二、报告使用限制</w:t>
      </w:r>
    </w:p>
    <w:p w:rsidR="00A37CBB" w:rsidRDefault="00D21007" w:rsidP="008D2AB0">
      <w:pPr>
        <w:spacing w:line="480" w:lineRule="exact"/>
        <w:ind w:firstLineChars="202" w:firstLine="566"/>
        <w:rPr>
          <w:rFonts w:ascii="仿宋_GB2312" w:hAnsi="Arial" w:cs="Arial"/>
          <w:sz w:val="28"/>
          <w:szCs w:val="28"/>
        </w:rPr>
      </w:pPr>
      <w:r>
        <w:rPr>
          <w:rFonts w:ascii="仿宋_GB2312" w:hAnsi="Arial" w:cs="Arial" w:hint="eastAsia"/>
          <w:sz w:val="28"/>
          <w:szCs w:val="28"/>
        </w:rPr>
        <w:t>1、本报告结果仅在本报告说明的估价目的下使用，不得做其他用途。</w:t>
      </w:r>
    </w:p>
    <w:p w:rsidR="00A37CBB" w:rsidRDefault="00D21007" w:rsidP="008D2AB0">
      <w:pPr>
        <w:spacing w:line="480" w:lineRule="exact"/>
        <w:ind w:firstLineChars="202" w:firstLine="566"/>
        <w:rPr>
          <w:rFonts w:ascii="仿宋_GB2312" w:hAnsi="Arial" w:cs="Arial"/>
          <w:sz w:val="28"/>
          <w:szCs w:val="28"/>
        </w:rPr>
      </w:pPr>
      <w:r>
        <w:rPr>
          <w:rFonts w:ascii="仿宋_GB2312" w:hAnsi="Arial" w:cs="Arial" w:hint="eastAsia"/>
          <w:sz w:val="28"/>
          <w:szCs w:val="28"/>
        </w:rPr>
        <w:t>2、本报告使用者为本次估价委托人，或为估价委托合同中约定的其他报告使用者和国家法律、法规规定的报告使用者。其他任何机构或个人在未经本机构及本次估价委托人许可，不能因得到估价报告而成为估价报告使用者。</w:t>
      </w:r>
    </w:p>
    <w:p w:rsidR="00A37CBB" w:rsidRDefault="00D21007" w:rsidP="008D2AB0">
      <w:pPr>
        <w:spacing w:line="480" w:lineRule="exact"/>
        <w:ind w:firstLineChars="202" w:firstLine="566"/>
        <w:rPr>
          <w:rFonts w:ascii="仿宋_GB2312" w:hAnsi="Arial" w:cs="Arial"/>
          <w:sz w:val="28"/>
          <w:szCs w:val="28"/>
        </w:rPr>
      </w:pPr>
      <w:r>
        <w:rPr>
          <w:rFonts w:ascii="仿宋_GB2312" w:hAnsi="Arial" w:cs="Arial" w:hint="eastAsia"/>
          <w:sz w:val="28"/>
          <w:szCs w:val="28"/>
        </w:rPr>
        <w:t>3、本报告中所展示的地图、平面图及证件仅是为形象直观地讨论问题，不能作为测量成果以用作他用，也不允许把它们与本报告分开来单独使用。本报告不可作为任何形式的产权证明文件。</w:t>
      </w:r>
    </w:p>
    <w:p w:rsidR="00A37CBB" w:rsidRDefault="00D21007" w:rsidP="008D2AB0">
      <w:pPr>
        <w:spacing w:line="480" w:lineRule="exact"/>
        <w:ind w:firstLineChars="202" w:firstLine="566"/>
        <w:rPr>
          <w:rFonts w:ascii="仿宋_GB2312" w:hAnsi="Arial" w:cs="Arial"/>
          <w:sz w:val="28"/>
          <w:szCs w:val="28"/>
        </w:rPr>
      </w:pPr>
      <w:r>
        <w:rPr>
          <w:rFonts w:ascii="仿宋_GB2312" w:hAnsi="Arial" w:cs="Arial" w:hint="eastAsia"/>
          <w:sz w:val="28"/>
          <w:szCs w:val="28"/>
        </w:rPr>
        <w:t>4、未经估价机构书面同意，本估价报告的全部或部分及任何参考资料均不允许在任何公开发表的文件、通告或声明中引用，亦不得以其他任何方式公开发表。</w:t>
      </w:r>
    </w:p>
    <w:p w:rsidR="00A37CBB" w:rsidRDefault="00D21007" w:rsidP="008D2AB0">
      <w:pPr>
        <w:spacing w:line="480" w:lineRule="exact"/>
        <w:ind w:firstLineChars="202" w:firstLine="566"/>
        <w:rPr>
          <w:rFonts w:ascii="仿宋_GB2312" w:hAnsi="Arial" w:cs="Arial"/>
          <w:sz w:val="28"/>
          <w:szCs w:val="28"/>
        </w:rPr>
      </w:pPr>
      <w:r>
        <w:rPr>
          <w:rFonts w:ascii="仿宋_GB2312" w:hAnsi="Arial" w:cs="Arial" w:hint="eastAsia"/>
          <w:sz w:val="28"/>
          <w:szCs w:val="28"/>
        </w:rPr>
        <w:t>5、凡因估价委托人使用估价报告不当而引起的后果，估价机构及估价人员不承担相应的责任。</w:t>
      </w:r>
    </w:p>
    <w:p w:rsidR="00A37CBB" w:rsidRDefault="00D21007">
      <w:pPr>
        <w:tabs>
          <w:tab w:val="left" w:pos="630"/>
          <w:tab w:val="left" w:pos="840"/>
        </w:tabs>
        <w:spacing w:line="480" w:lineRule="exact"/>
        <w:ind w:firstLineChars="200" w:firstLine="560"/>
        <w:rPr>
          <w:rFonts w:ascii="仿宋_GB2312" w:hAnsi="Arial" w:cs="Arial"/>
          <w:sz w:val="28"/>
          <w:szCs w:val="28"/>
        </w:rPr>
      </w:pPr>
      <w:r>
        <w:rPr>
          <w:rFonts w:ascii="仿宋_GB2312" w:hAnsi="Arial" w:cs="Arial" w:hint="eastAsia"/>
          <w:sz w:val="28"/>
          <w:szCs w:val="28"/>
        </w:rPr>
        <w:t>6、本报告使用期限为一年（自本报告出具之日起计算）。超过报告使用期限使用本报告的，相关责任由报告使用者承担。</w:t>
      </w:r>
    </w:p>
    <w:p w:rsidR="00A37CBB" w:rsidRDefault="00D21007">
      <w:pPr>
        <w:tabs>
          <w:tab w:val="left" w:pos="630"/>
          <w:tab w:val="left" w:pos="840"/>
        </w:tabs>
        <w:spacing w:line="480" w:lineRule="exact"/>
        <w:ind w:firstLineChars="200" w:firstLine="560"/>
        <w:rPr>
          <w:sz w:val="28"/>
        </w:rPr>
      </w:pPr>
      <w:r>
        <w:rPr>
          <w:rFonts w:ascii="仿宋_GB2312" w:hAnsi="宋体" w:hint="eastAsia"/>
          <w:sz w:val="28"/>
        </w:rPr>
        <w:t>7、本估价报告需经本公司盖章及至少两名专职注册房地产估价师签字盖章后有效，否则，本估价报告的全部或部分复印件均无效。</w:t>
      </w:r>
    </w:p>
    <w:p w:rsidR="00A37CBB" w:rsidRDefault="00D21007">
      <w:pPr>
        <w:pStyle w:val="2"/>
        <w:spacing w:before="0" w:after="0" w:line="480" w:lineRule="exact"/>
        <w:rPr>
          <w:rFonts w:ascii="仿宋" w:eastAsia="仿宋" w:hAnsi="仿宋"/>
          <w:b w:val="0"/>
        </w:rPr>
      </w:pPr>
      <w:r>
        <w:rPr>
          <w:rFonts w:ascii="仿宋" w:eastAsia="仿宋" w:hAnsi="仿宋"/>
          <w:b w:val="0"/>
        </w:rPr>
        <w:br w:type="page"/>
      </w:r>
      <w:bookmarkStart w:id="16" w:name="_Toc119160798"/>
      <w:bookmarkStart w:id="17" w:name="_Toc213473260"/>
    </w:p>
    <w:p w:rsidR="00A37CBB" w:rsidRDefault="00D21007">
      <w:pPr>
        <w:pStyle w:val="2"/>
        <w:spacing w:before="0" w:after="0" w:line="480" w:lineRule="exact"/>
        <w:rPr>
          <w:rFonts w:ascii="仿宋" w:eastAsia="仿宋" w:hAnsi="仿宋"/>
          <w:bCs/>
        </w:rPr>
      </w:pPr>
      <w:bookmarkStart w:id="18" w:name="_Toc214"/>
      <w:r>
        <w:rPr>
          <w:rFonts w:ascii="仿宋" w:eastAsia="仿宋" w:hAnsi="仿宋" w:hint="eastAsia"/>
        </w:rPr>
        <w:lastRenderedPageBreak/>
        <w:t>房地产</w:t>
      </w:r>
      <w:r>
        <w:rPr>
          <w:rFonts w:ascii="仿宋" w:eastAsia="仿宋" w:hAnsi="仿宋"/>
          <w:bCs/>
        </w:rPr>
        <w:t>估价结果报告</w:t>
      </w:r>
      <w:bookmarkEnd w:id="13"/>
      <w:bookmarkEnd w:id="16"/>
      <w:bookmarkEnd w:id="17"/>
      <w:bookmarkEnd w:id="18"/>
    </w:p>
    <w:p w:rsidR="00A37CBB" w:rsidRDefault="00D21007">
      <w:pPr>
        <w:pStyle w:val="a0"/>
        <w:spacing w:line="480" w:lineRule="exact"/>
        <w:ind w:firstLine="0"/>
        <w:outlineLvl w:val="2"/>
        <w:rPr>
          <w:rFonts w:ascii="仿宋" w:eastAsia="仿宋" w:hAnsi="仿宋"/>
          <w:b/>
          <w:bCs/>
        </w:rPr>
      </w:pPr>
      <w:bookmarkStart w:id="19" w:name="_Toc32335"/>
      <w:r>
        <w:rPr>
          <w:rFonts w:ascii="仿宋" w:eastAsia="仿宋" w:hAnsi="仿宋"/>
          <w:b/>
          <w:bCs/>
        </w:rPr>
        <w:t>一、估价委托人</w:t>
      </w:r>
      <w:bookmarkEnd w:id="19"/>
    </w:p>
    <w:p w:rsidR="00A37CBB" w:rsidRDefault="00D21007">
      <w:pPr>
        <w:pStyle w:val="a9"/>
        <w:spacing w:line="480" w:lineRule="exact"/>
        <w:ind w:firstLineChars="200" w:firstLine="560"/>
        <w:rPr>
          <w:rFonts w:ascii="仿宋" w:eastAsia="仿宋" w:hAnsi="仿宋"/>
          <w:sz w:val="28"/>
        </w:rPr>
      </w:pPr>
      <w:r>
        <w:rPr>
          <w:rFonts w:ascii="仿宋" w:eastAsia="仿宋" w:hAnsi="仿宋" w:hint="eastAsia"/>
          <w:sz w:val="28"/>
        </w:rPr>
        <w:t>名称</w:t>
      </w:r>
      <w:r>
        <w:rPr>
          <w:rFonts w:ascii="仿宋" w:eastAsia="仿宋" w:hAnsi="仿宋"/>
          <w:sz w:val="28"/>
        </w:rPr>
        <w:t>：</w:t>
      </w:r>
      <w:r>
        <w:rPr>
          <w:rFonts w:ascii="仿宋" w:eastAsia="仿宋" w:hAnsi="仿宋" w:hint="eastAsia"/>
          <w:sz w:val="28"/>
        </w:rPr>
        <w:t>江西省大余县人民法院</w:t>
      </w:r>
    </w:p>
    <w:p w:rsidR="00A37CBB" w:rsidRDefault="00D21007">
      <w:pPr>
        <w:pStyle w:val="a0"/>
        <w:spacing w:line="480" w:lineRule="exact"/>
        <w:ind w:firstLine="0"/>
        <w:outlineLvl w:val="2"/>
        <w:rPr>
          <w:rFonts w:ascii="仿宋" w:eastAsia="仿宋" w:hAnsi="仿宋"/>
          <w:b/>
          <w:bCs/>
        </w:rPr>
      </w:pPr>
      <w:bookmarkStart w:id="20" w:name="_Toc4186"/>
      <w:r>
        <w:rPr>
          <w:rFonts w:ascii="仿宋" w:eastAsia="仿宋" w:hAnsi="仿宋"/>
          <w:b/>
          <w:bCs/>
        </w:rPr>
        <w:t>二、</w:t>
      </w:r>
      <w:r>
        <w:rPr>
          <w:rFonts w:ascii="仿宋" w:eastAsia="仿宋" w:hAnsi="仿宋" w:hint="eastAsia"/>
          <w:b/>
          <w:bCs/>
        </w:rPr>
        <w:t>房地产</w:t>
      </w:r>
      <w:r>
        <w:rPr>
          <w:rFonts w:ascii="仿宋" w:eastAsia="仿宋" w:hAnsi="仿宋"/>
          <w:b/>
          <w:bCs/>
        </w:rPr>
        <w:t>估价机构</w:t>
      </w:r>
      <w:bookmarkEnd w:id="20"/>
    </w:p>
    <w:p w:rsidR="00A37CBB" w:rsidRDefault="00D21007">
      <w:pPr>
        <w:spacing w:line="480" w:lineRule="exact"/>
        <w:ind w:firstLine="532"/>
        <w:rPr>
          <w:color w:val="000000"/>
          <w:sz w:val="28"/>
          <w:szCs w:val="28"/>
        </w:rPr>
      </w:pPr>
      <w:bookmarkStart w:id="21" w:name="OLE_LINK4"/>
      <w:bookmarkStart w:id="22" w:name="OLE_LINK5"/>
      <w:r>
        <w:rPr>
          <w:color w:val="000000"/>
          <w:sz w:val="28"/>
          <w:szCs w:val="28"/>
        </w:rPr>
        <w:t>估价机构：江西寰宇房地产土地</w:t>
      </w:r>
      <w:r>
        <w:rPr>
          <w:rFonts w:hint="eastAsia"/>
          <w:color w:val="000000"/>
          <w:sz w:val="28"/>
          <w:szCs w:val="28"/>
        </w:rPr>
        <w:t>资产</w:t>
      </w:r>
      <w:r>
        <w:rPr>
          <w:color w:val="000000"/>
          <w:sz w:val="28"/>
          <w:szCs w:val="28"/>
        </w:rPr>
        <w:t>评估有限公司</w:t>
      </w:r>
    </w:p>
    <w:p w:rsidR="00A37CBB" w:rsidRDefault="00D21007">
      <w:pPr>
        <w:spacing w:line="480" w:lineRule="exact"/>
        <w:ind w:firstLine="532"/>
        <w:rPr>
          <w:rFonts w:ascii="仿宋" w:eastAsia="仿宋" w:hAnsi="仿宋"/>
          <w:sz w:val="28"/>
          <w:szCs w:val="22"/>
        </w:rPr>
      </w:pPr>
      <w:r>
        <w:rPr>
          <w:color w:val="000000"/>
          <w:sz w:val="28"/>
          <w:szCs w:val="28"/>
        </w:rPr>
        <w:t>住</w:t>
      </w:r>
      <w:r>
        <w:rPr>
          <w:color w:val="000000"/>
          <w:sz w:val="28"/>
          <w:szCs w:val="28"/>
        </w:rPr>
        <w:t xml:space="preserve">    </w:t>
      </w:r>
      <w:r>
        <w:rPr>
          <w:color w:val="000000"/>
          <w:sz w:val="28"/>
          <w:szCs w:val="28"/>
        </w:rPr>
        <w:t>所：</w:t>
      </w:r>
      <w:r>
        <w:rPr>
          <w:rFonts w:ascii="仿宋" w:eastAsia="仿宋" w:hAnsi="仿宋" w:hint="eastAsia"/>
          <w:sz w:val="28"/>
          <w:szCs w:val="22"/>
        </w:rPr>
        <w:t>江西省南昌市高新开发区火炬大道138号</w:t>
      </w:r>
    </w:p>
    <w:p w:rsidR="00A37CBB" w:rsidRDefault="00D21007">
      <w:pPr>
        <w:spacing w:line="480" w:lineRule="exact"/>
        <w:ind w:firstLine="532"/>
        <w:rPr>
          <w:color w:val="000000"/>
          <w:sz w:val="28"/>
          <w:szCs w:val="28"/>
        </w:rPr>
      </w:pPr>
      <w:r>
        <w:rPr>
          <w:color w:val="000000"/>
          <w:sz w:val="28"/>
          <w:szCs w:val="28"/>
        </w:rPr>
        <w:t>法定代表人：</w:t>
      </w:r>
      <w:r>
        <w:rPr>
          <w:rFonts w:hint="eastAsia"/>
          <w:color w:val="000000"/>
          <w:sz w:val="28"/>
          <w:szCs w:val="28"/>
        </w:rPr>
        <w:t>赵爽</w:t>
      </w:r>
    </w:p>
    <w:p w:rsidR="00A37CBB" w:rsidRDefault="00D21007">
      <w:pPr>
        <w:spacing w:line="480" w:lineRule="exact"/>
        <w:ind w:firstLine="532"/>
        <w:rPr>
          <w:color w:val="000000"/>
          <w:sz w:val="28"/>
          <w:szCs w:val="28"/>
        </w:rPr>
      </w:pPr>
      <w:r>
        <w:rPr>
          <w:color w:val="000000"/>
          <w:sz w:val="28"/>
          <w:szCs w:val="28"/>
        </w:rPr>
        <w:t>估价机构资质级别：壹级</w:t>
      </w:r>
    </w:p>
    <w:p w:rsidR="00A37CBB" w:rsidRDefault="00D21007">
      <w:pPr>
        <w:spacing w:line="480" w:lineRule="exact"/>
        <w:ind w:firstLine="532"/>
        <w:rPr>
          <w:color w:val="000000"/>
          <w:sz w:val="28"/>
          <w:szCs w:val="28"/>
        </w:rPr>
      </w:pPr>
      <w:r>
        <w:rPr>
          <w:color w:val="000000"/>
          <w:sz w:val="28"/>
          <w:szCs w:val="28"/>
        </w:rPr>
        <w:t>资格证书号：赣建房评字</w:t>
      </w:r>
      <w:r>
        <w:rPr>
          <w:color w:val="000000"/>
          <w:sz w:val="28"/>
          <w:szCs w:val="28"/>
        </w:rPr>
        <w:t>124</w:t>
      </w:r>
      <w:r>
        <w:rPr>
          <w:color w:val="000000"/>
          <w:sz w:val="28"/>
          <w:szCs w:val="28"/>
        </w:rPr>
        <w:t>号</w:t>
      </w:r>
    </w:p>
    <w:p w:rsidR="00A37CBB" w:rsidRDefault="00D21007">
      <w:pPr>
        <w:spacing w:line="480" w:lineRule="exact"/>
        <w:ind w:firstLine="532"/>
        <w:rPr>
          <w:color w:val="000000"/>
          <w:sz w:val="28"/>
          <w:szCs w:val="28"/>
        </w:rPr>
      </w:pPr>
      <w:r>
        <w:rPr>
          <w:color w:val="000000"/>
          <w:sz w:val="28"/>
          <w:szCs w:val="28"/>
        </w:rPr>
        <w:t>联系电话：</w:t>
      </w:r>
      <w:r>
        <w:rPr>
          <w:color w:val="000000"/>
          <w:sz w:val="28"/>
          <w:szCs w:val="28"/>
        </w:rPr>
        <w:t>0791-83888360</w:t>
      </w:r>
    </w:p>
    <w:p w:rsidR="00A37CBB" w:rsidRDefault="00D21007">
      <w:pPr>
        <w:pStyle w:val="a0"/>
        <w:spacing w:line="480" w:lineRule="exact"/>
        <w:ind w:firstLine="0"/>
        <w:outlineLvl w:val="2"/>
        <w:rPr>
          <w:rFonts w:ascii="仿宋" w:eastAsia="仿宋" w:hAnsi="仿宋"/>
          <w:b/>
          <w:bCs/>
        </w:rPr>
      </w:pPr>
      <w:bookmarkStart w:id="23" w:name="_Toc10824"/>
      <w:r>
        <w:rPr>
          <w:rFonts w:ascii="仿宋" w:eastAsia="仿宋" w:hAnsi="仿宋"/>
          <w:b/>
          <w:bCs/>
        </w:rPr>
        <w:t>三、估价目的</w:t>
      </w:r>
      <w:bookmarkEnd w:id="23"/>
    </w:p>
    <w:bookmarkEnd w:id="21"/>
    <w:bookmarkEnd w:id="22"/>
    <w:p w:rsidR="00A37CBB" w:rsidRDefault="00D21007">
      <w:pPr>
        <w:spacing w:line="480" w:lineRule="exact"/>
        <w:ind w:firstLineChars="200" w:firstLine="560"/>
        <w:rPr>
          <w:rFonts w:ascii="仿宋" w:eastAsia="仿宋" w:hAnsi="仿宋"/>
          <w:sz w:val="28"/>
        </w:rPr>
      </w:pPr>
      <w:r>
        <w:rPr>
          <w:rFonts w:eastAsia="仿宋"/>
          <w:sz w:val="28"/>
        </w:rPr>
        <w:t>为人民法院确定财产处置参考价提供参考依据</w:t>
      </w:r>
      <w:r>
        <w:rPr>
          <w:rFonts w:eastAsia="仿宋"/>
          <w:sz w:val="28"/>
          <w:szCs w:val="28"/>
        </w:rPr>
        <w:t>。</w:t>
      </w:r>
    </w:p>
    <w:p w:rsidR="00A37CBB" w:rsidRDefault="00D21007">
      <w:pPr>
        <w:pStyle w:val="a0"/>
        <w:spacing w:line="480" w:lineRule="exact"/>
        <w:ind w:firstLine="0"/>
        <w:outlineLvl w:val="2"/>
        <w:rPr>
          <w:rFonts w:ascii="仿宋" w:eastAsia="仿宋" w:hAnsi="仿宋"/>
          <w:b/>
          <w:bCs/>
        </w:rPr>
      </w:pPr>
      <w:bookmarkStart w:id="24" w:name="_Toc24060"/>
      <w:r>
        <w:rPr>
          <w:rFonts w:ascii="仿宋" w:eastAsia="仿宋" w:hAnsi="仿宋"/>
          <w:b/>
          <w:bCs/>
        </w:rPr>
        <w:t>四、估价对象</w:t>
      </w:r>
      <w:bookmarkEnd w:id="24"/>
    </w:p>
    <w:p w:rsidR="00A37CBB" w:rsidRDefault="00D21007">
      <w:pPr>
        <w:pStyle w:val="a9"/>
        <w:spacing w:line="480" w:lineRule="exact"/>
        <w:ind w:firstLine="555"/>
        <w:rPr>
          <w:rFonts w:ascii="仿宋" w:eastAsia="仿宋" w:hAnsi="仿宋"/>
          <w:bCs/>
          <w:sz w:val="28"/>
        </w:rPr>
      </w:pPr>
      <w:r>
        <w:rPr>
          <w:rFonts w:ascii="仿宋" w:eastAsia="仿宋" w:hAnsi="仿宋" w:hint="eastAsia"/>
          <w:sz w:val="28"/>
        </w:rPr>
        <w:t>估价对象位于赣州市大余县新城镇赤石乡分水坳村下田心，本次估价</w:t>
      </w:r>
      <w:r>
        <w:rPr>
          <w:rFonts w:ascii="仿宋" w:eastAsia="仿宋" w:hAnsi="仿宋" w:hint="eastAsia"/>
          <w:bCs/>
          <w:sz w:val="28"/>
        </w:rPr>
        <w:t>包含建筑物及国有土地使用权市场价值。其实物状况及权益状况如下：</w:t>
      </w:r>
    </w:p>
    <w:p w:rsidR="00A37CBB" w:rsidRDefault="00D21007">
      <w:pPr>
        <w:pStyle w:val="a9"/>
        <w:spacing w:line="480" w:lineRule="exact"/>
        <w:ind w:firstLine="555"/>
        <w:rPr>
          <w:rFonts w:ascii="仿宋" w:eastAsia="仿宋" w:hAnsi="仿宋"/>
          <w:bCs/>
          <w:sz w:val="28"/>
        </w:rPr>
      </w:pPr>
      <w:r>
        <w:rPr>
          <w:rFonts w:ascii="仿宋" w:eastAsia="仿宋" w:hAnsi="仿宋" w:hint="eastAsia"/>
          <w:bCs/>
          <w:sz w:val="28"/>
        </w:rPr>
        <w:t>1、实物状况：</w:t>
      </w:r>
    </w:p>
    <w:p w:rsidR="00A37CBB" w:rsidRDefault="00D21007">
      <w:pPr>
        <w:pStyle w:val="a0"/>
        <w:overflowPunct w:val="0"/>
        <w:autoSpaceDE w:val="0"/>
        <w:autoSpaceDN w:val="0"/>
        <w:adjustRightInd w:val="0"/>
        <w:spacing w:line="480" w:lineRule="exact"/>
        <w:ind w:firstLineChars="200" w:firstLine="560"/>
        <w:contextualSpacing/>
        <w:textAlignment w:val="baseline"/>
        <w:rPr>
          <w:rFonts w:eastAsia="仿宋_GB2312"/>
        </w:rPr>
      </w:pPr>
      <w:r>
        <w:rPr>
          <w:rFonts w:ascii="仿宋_GB2312" w:hAnsi="宋体" w:cs="仿宋_GB2312" w:hint="eastAsia"/>
          <w:szCs w:val="28"/>
        </w:rPr>
        <w:t>（</w:t>
      </w:r>
      <w:r>
        <w:rPr>
          <w:rFonts w:ascii="仿宋_GB2312" w:hAnsi="宋体" w:cs="仿宋_GB2312" w:hint="eastAsia"/>
          <w:szCs w:val="28"/>
        </w:rPr>
        <w:t>1</w:t>
      </w:r>
      <w:r>
        <w:rPr>
          <w:rFonts w:ascii="仿宋_GB2312" w:hAnsi="宋体" w:cs="仿宋_GB2312" w:hint="eastAsia"/>
          <w:szCs w:val="28"/>
        </w:rPr>
        <w:t>）</w:t>
      </w:r>
      <w:r>
        <w:rPr>
          <w:rFonts w:eastAsia="仿宋_GB2312"/>
        </w:rPr>
        <w:t>土地实物状况描述与分析</w:t>
      </w:r>
    </w:p>
    <w:p w:rsidR="00A37CBB" w:rsidRDefault="00D21007">
      <w:pPr>
        <w:pStyle w:val="a0"/>
        <w:overflowPunct w:val="0"/>
        <w:autoSpaceDE w:val="0"/>
        <w:autoSpaceDN w:val="0"/>
        <w:adjustRightInd w:val="0"/>
        <w:spacing w:line="480" w:lineRule="exact"/>
        <w:ind w:firstLineChars="200" w:firstLine="544"/>
        <w:textAlignment w:val="baseline"/>
        <w:rPr>
          <w:rFonts w:ascii="仿宋" w:eastAsia="仿宋" w:hAnsi="仿宋"/>
          <w:kern w:val="2"/>
          <w:szCs w:val="22"/>
        </w:rPr>
      </w:pPr>
      <w:r>
        <w:rPr>
          <w:rFonts w:eastAsia="仿宋_GB2312" w:hint="eastAsia"/>
          <w:color w:val="000000"/>
          <w:spacing w:val="-4"/>
          <w:szCs w:val="28"/>
        </w:rPr>
        <w:t>估</w:t>
      </w:r>
      <w:r>
        <w:rPr>
          <w:rFonts w:ascii="仿宋" w:eastAsia="仿宋" w:hAnsi="仿宋" w:hint="eastAsia"/>
          <w:kern w:val="2"/>
          <w:szCs w:val="22"/>
        </w:rPr>
        <w:t>价对象所处宗地位于赣州市大余县新城镇赤石乡分水坳村下田心,</w:t>
      </w:r>
      <w:r>
        <w:rPr>
          <w:rFonts w:eastAsia="仿宋_GB2312" w:hint="eastAsia"/>
          <w:color w:val="000000"/>
          <w:spacing w:val="-4"/>
          <w:szCs w:val="28"/>
        </w:rPr>
        <w:t>宗地地势平坦，形状较规则。实际开发程度为宗地外“五通”（通路、通电、供水、排水、通讯），宗地内“五通”（通路、通电、供水、排水、通讯）及场地平整。</w:t>
      </w:r>
    </w:p>
    <w:p w:rsidR="00A37CBB" w:rsidRDefault="00D21007">
      <w:pPr>
        <w:pStyle w:val="a0"/>
        <w:overflowPunct w:val="0"/>
        <w:autoSpaceDE w:val="0"/>
        <w:autoSpaceDN w:val="0"/>
        <w:adjustRightInd w:val="0"/>
        <w:spacing w:line="480" w:lineRule="exact"/>
        <w:ind w:firstLineChars="200" w:firstLine="560"/>
        <w:textAlignment w:val="baseline"/>
        <w:rPr>
          <w:rFonts w:eastAsia="仿宋_GB2312"/>
          <w:szCs w:val="22"/>
        </w:rPr>
      </w:pPr>
      <w:r>
        <w:rPr>
          <w:rFonts w:eastAsia="仿宋_GB2312" w:hint="eastAsia"/>
          <w:szCs w:val="22"/>
        </w:rPr>
        <w:t>（</w:t>
      </w:r>
      <w:r>
        <w:rPr>
          <w:rFonts w:eastAsia="仿宋_GB2312" w:hint="eastAsia"/>
          <w:szCs w:val="22"/>
        </w:rPr>
        <w:t>2</w:t>
      </w:r>
      <w:r>
        <w:rPr>
          <w:rFonts w:eastAsia="仿宋_GB2312" w:hint="eastAsia"/>
          <w:szCs w:val="22"/>
        </w:rPr>
        <w:t>）</w:t>
      </w:r>
      <w:r>
        <w:rPr>
          <w:rFonts w:eastAsia="仿宋_GB2312"/>
          <w:szCs w:val="22"/>
        </w:rPr>
        <w:t>建筑物实物状况描述与分析</w:t>
      </w:r>
    </w:p>
    <w:p w:rsidR="00A37CBB" w:rsidRDefault="00D21007">
      <w:pPr>
        <w:pStyle w:val="a0"/>
        <w:overflowPunct w:val="0"/>
        <w:autoSpaceDE w:val="0"/>
        <w:autoSpaceDN w:val="0"/>
        <w:adjustRightInd w:val="0"/>
        <w:spacing w:line="480" w:lineRule="exact"/>
        <w:ind w:firstLineChars="200" w:firstLine="560"/>
        <w:textAlignment w:val="baseline"/>
        <w:rPr>
          <w:szCs w:val="28"/>
        </w:rPr>
      </w:pPr>
      <w:r>
        <w:rPr>
          <w:rFonts w:eastAsia="仿宋_GB2312" w:hint="eastAsia"/>
          <w:szCs w:val="22"/>
        </w:rPr>
        <w:t>估价对象位于赣州市大余县新城镇赤石乡分水坳村下田心，砖混结构，建筑年代为</w:t>
      </w:r>
      <w:r>
        <w:rPr>
          <w:rFonts w:eastAsia="仿宋_GB2312" w:hint="eastAsia"/>
          <w:szCs w:val="22"/>
        </w:rPr>
        <w:t>1996</w:t>
      </w:r>
      <w:r>
        <w:rPr>
          <w:rFonts w:eastAsia="仿宋_GB2312" w:hint="eastAsia"/>
          <w:szCs w:val="22"/>
        </w:rPr>
        <w:t>年，建筑总楼层为</w:t>
      </w:r>
      <w:r>
        <w:rPr>
          <w:rFonts w:eastAsia="仿宋_GB2312" w:hint="eastAsia"/>
          <w:szCs w:val="22"/>
        </w:rPr>
        <w:t>3</w:t>
      </w:r>
      <w:r>
        <w:rPr>
          <w:rFonts w:eastAsia="仿宋_GB2312" w:hint="eastAsia"/>
          <w:szCs w:val="22"/>
        </w:rPr>
        <w:t>层，估价对象营业</w:t>
      </w:r>
      <w:r>
        <w:rPr>
          <w:rFonts w:eastAsia="仿宋_GB2312" w:hint="eastAsia"/>
          <w:szCs w:val="22"/>
        </w:rPr>
        <w:t>/</w:t>
      </w:r>
      <w:r>
        <w:rPr>
          <w:rFonts w:eastAsia="仿宋_GB2312" w:hint="eastAsia"/>
          <w:szCs w:val="22"/>
        </w:rPr>
        <w:t>住宅位于第</w:t>
      </w:r>
      <w:r>
        <w:rPr>
          <w:rFonts w:eastAsia="仿宋_GB2312" w:hint="eastAsia"/>
          <w:szCs w:val="22"/>
        </w:rPr>
        <w:t>1</w:t>
      </w:r>
      <w:r>
        <w:rPr>
          <w:rFonts w:eastAsia="仿宋_GB2312" w:hint="eastAsia"/>
          <w:szCs w:val="22"/>
        </w:rPr>
        <w:t>层，营业</w:t>
      </w:r>
      <w:r>
        <w:rPr>
          <w:rFonts w:eastAsia="仿宋_GB2312" w:hint="eastAsia"/>
          <w:szCs w:val="22"/>
        </w:rPr>
        <w:t>/</w:t>
      </w:r>
      <w:r>
        <w:rPr>
          <w:rFonts w:eastAsia="仿宋_GB2312" w:hint="eastAsia"/>
          <w:szCs w:val="22"/>
        </w:rPr>
        <w:t>住宅建筑面积为</w:t>
      </w:r>
      <w:r>
        <w:rPr>
          <w:rFonts w:eastAsia="仿宋_GB2312" w:hint="eastAsia"/>
          <w:szCs w:val="22"/>
        </w:rPr>
        <w:t>158.14</w:t>
      </w:r>
      <w:r>
        <w:rPr>
          <w:rFonts w:eastAsia="仿宋_GB2312" w:hint="eastAsia"/>
          <w:szCs w:val="22"/>
        </w:rPr>
        <w:t>㎡，估价对象简单装修；地面铺设地砖，墙面为乳胶漆。具体详见《估价对象现状照片》；</w:t>
      </w:r>
    </w:p>
    <w:p w:rsidR="00A37CBB" w:rsidRDefault="00D21007">
      <w:pPr>
        <w:spacing w:line="480" w:lineRule="exact"/>
        <w:rPr>
          <w:rFonts w:ascii="仿宋_GB2312" w:hAnsi="宋体"/>
          <w:sz w:val="28"/>
          <w:szCs w:val="28"/>
        </w:rPr>
      </w:pPr>
      <w:r>
        <w:rPr>
          <w:rFonts w:ascii="仿宋_GB2312" w:hAnsi="宋体" w:hint="eastAsia"/>
          <w:sz w:val="28"/>
          <w:szCs w:val="28"/>
        </w:rPr>
        <w:t>2、权益状况</w:t>
      </w:r>
    </w:p>
    <w:p w:rsidR="00A37CBB" w:rsidRDefault="00D21007">
      <w:pPr>
        <w:spacing w:line="480" w:lineRule="exact"/>
        <w:ind w:firstLineChars="200" w:firstLine="560"/>
        <w:rPr>
          <w:rFonts w:hAnsi="仿宋_GB2312"/>
          <w:sz w:val="28"/>
          <w:szCs w:val="28"/>
        </w:rPr>
      </w:pPr>
      <w:r>
        <w:rPr>
          <w:rFonts w:hAnsi="仿宋_GB2312" w:hint="eastAsia"/>
          <w:bCs/>
          <w:sz w:val="28"/>
          <w:szCs w:val="28"/>
        </w:rPr>
        <w:lastRenderedPageBreak/>
        <w:t>1</w:t>
      </w:r>
      <w:r>
        <w:rPr>
          <w:rFonts w:hAnsi="仿宋_GB2312" w:hint="eastAsia"/>
          <w:bCs/>
          <w:sz w:val="28"/>
          <w:szCs w:val="28"/>
        </w:rPr>
        <w:t>）根据估价委托方提供的《房屋所有权证》记载，</w:t>
      </w:r>
      <w:r>
        <w:rPr>
          <w:rFonts w:hAnsi="仿宋_GB2312" w:hint="eastAsia"/>
          <w:sz w:val="28"/>
          <w:szCs w:val="28"/>
        </w:rPr>
        <w:t>房屋权益状况如下：</w:t>
      </w:r>
    </w:p>
    <w:tbl>
      <w:tblPr>
        <w:tblW w:w="82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1630"/>
        <w:gridCol w:w="960"/>
        <w:gridCol w:w="1290"/>
        <w:gridCol w:w="770"/>
        <w:gridCol w:w="692"/>
        <w:gridCol w:w="1077"/>
        <w:gridCol w:w="807"/>
        <w:gridCol w:w="1073"/>
      </w:tblGrid>
      <w:tr w:rsidR="00A37CBB">
        <w:trPr>
          <w:trHeight w:val="589"/>
          <w:jc w:val="center"/>
        </w:trPr>
        <w:tc>
          <w:tcPr>
            <w:tcW w:w="1630" w:type="dxa"/>
            <w:vAlign w:val="center"/>
          </w:tcPr>
          <w:p w:rsidR="00A37CBB" w:rsidRDefault="00D21007">
            <w:pPr>
              <w:pStyle w:val="a9"/>
              <w:spacing w:line="280" w:lineRule="exact"/>
              <w:jc w:val="center"/>
              <w:rPr>
                <w:rFonts w:ascii="仿宋" w:eastAsia="仿宋" w:hAnsi="仿宋" w:cs="仿宋"/>
                <w:b/>
                <w:sz w:val="21"/>
                <w:szCs w:val="21"/>
              </w:rPr>
            </w:pPr>
            <w:r>
              <w:rPr>
                <w:rFonts w:ascii="Times New Roman" w:hAnsi="Times New Roman" w:hint="eastAsia"/>
                <w:b/>
                <w:bCs/>
                <w:sz w:val="18"/>
                <w:szCs w:val="18"/>
              </w:rPr>
              <w:t>《房屋所有权证》证号</w:t>
            </w:r>
          </w:p>
        </w:tc>
        <w:tc>
          <w:tcPr>
            <w:tcW w:w="960" w:type="dxa"/>
            <w:vAlign w:val="center"/>
          </w:tcPr>
          <w:p w:rsidR="00A37CBB" w:rsidRDefault="00D21007">
            <w:pPr>
              <w:widowControl/>
              <w:spacing w:line="280" w:lineRule="exact"/>
              <w:jc w:val="center"/>
              <w:rPr>
                <w:rFonts w:ascii="仿宋_GB2312" w:hAnsi="仿宋_GB2312" w:cs="仿宋_GB2312"/>
                <w:b/>
                <w:kern w:val="0"/>
                <w:sz w:val="21"/>
                <w:szCs w:val="21"/>
              </w:rPr>
            </w:pPr>
            <w:r>
              <w:rPr>
                <w:rFonts w:ascii="仿宋_GB2312" w:hAnsi="仿宋_GB2312" w:cs="仿宋_GB2312" w:hint="eastAsia"/>
                <w:b/>
                <w:kern w:val="0"/>
                <w:sz w:val="21"/>
                <w:szCs w:val="21"/>
              </w:rPr>
              <w:t>权利人</w:t>
            </w:r>
          </w:p>
        </w:tc>
        <w:tc>
          <w:tcPr>
            <w:tcW w:w="1290" w:type="dxa"/>
            <w:vAlign w:val="center"/>
          </w:tcPr>
          <w:p w:rsidR="00A37CBB" w:rsidRDefault="00D21007">
            <w:pPr>
              <w:widowControl/>
              <w:spacing w:line="280" w:lineRule="exact"/>
              <w:jc w:val="center"/>
              <w:rPr>
                <w:rFonts w:ascii="仿宋_GB2312" w:hAnsi="仿宋_GB2312" w:cs="仿宋_GB2312"/>
                <w:b/>
                <w:kern w:val="0"/>
                <w:sz w:val="21"/>
                <w:szCs w:val="21"/>
              </w:rPr>
            </w:pPr>
            <w:r>
              <w:rPr>
                <w:rFonts w:ascii="仿宋_GB2312" w:hAnsi="仿宋_GB2312" w:cs="仿宋_GB2312" w:hint="eastAsia"/>
                <w:b/>
                <w:kern w:val="0"/>
                <w:sz w:val="21"/>
                <w:szCs w:val="21"/>
              </w:rPr>
              <w:t>坐落</w:t>
            </w:r>
          </w:p>
        </w:tc>
        <w:tc>
          <w:tcPr>
            <w:tcW w:w="770" w:type="dxa"/>
            <w:vAlign w:val="center"/>
          </w:tcPr>
          <w:p w:rsidR="00A37CBB" w:rsidRDefault="00D21007">
            <w:pPr>
              <w:widowControl/>
              <w:spacing w:line="280" w:lineRule="exact"/>
              <w:jc w:val="center"/>
              <w:rPr>
                <w:rFonts w:ascii="仿宋" w:eastAsia="仿宋" w:hAnsi="仿宋" w:cs="仿宋"/>
                <w:b/>
                <w:bCs/>
                <w:kern w:val="0"/>
                <w:sz w:val="21"/>
                <w:szCs w:val="21"/>
              </w:rPr>
            </w:pPr>
            <w:r>
              <w:rPr>
                <w:rFonts w:ascii="仿宋" w:eastAsia="仿宋" w:hAnsi="仿宋" w:cs="仿宋" w:hint="eastAsia"/>
                <w:b/>
                <w:bCs/>
                <w:kern w:val="0"/>
                <w:sz w:val="21"/>
                <w:szCs w:val="21"/>
              </w:rPr>
              <w:t>用途</w:t>
            </w:r>
          </w:p>
        </w:tc>
        <w:tc>
          <w:tcPr>
            <w:tcW w:w="692" w:type="dxa"/>
            <w:vAlign w:val="center"/>
          </w:tcPr>
          <w:p w:rsidR="00A37CBB" w:rsidRDefault="00D21007">
            <w:pPr>
              <w:widowControl/>
              <w:spacing w:line="280" w:lineRule="exact"/>
              <w:jc w:val="center"/>
              <w:rPr>
                <w:rFonts w:ascii="仿宋" w:eastAsia="仿宋" w:hAnsi="仿宋" w:cs="仿宋"/>
                <w:b/>
                <w:bCs/>
                <w:kern w:val="0"/>
                <w:sz w:val="21"/>
                <w:szCs w:val="21"/>
              </w:rPr>
            </w:pPr>
            <w:r>
              <w:rPr>
                <w:rFonts w:ascii="仿宋" w:eastAsia="仿宋" w:hAnsi="仿宋" w:cs="仿宋" w:hint="eastAsia"/>
                <w:b/>
                <w:bCs/>
                <w:kern w:val="0"/>
                <w:sz w:val="21"/>
                <w:szCs w:val="21"/>
              </w:rPr>
              <w:t>建筑年代</w:t>
            </w:r>
          </w:p>
        </w:tc>
        <w:tc>
          <w:tcPr>
            <w:tcW w:w="1077" w:type="dxa"/>
            <w:vAlign w:val="center"/>
          </w:tcPr>
          <w:p w:rsidR="00A37CBB" w:rsidRDefault="00D21007">
            <w:pPr>
              <w:widowControl/>
              <w:spacing w:line="280" w:lineRule="exact"/>
              <w:jc w:val="center"/>
              <w:rPr>
                <w:rFonts w:ascii="仿宋_GB2312" w:hAnsi="仿宋_GB2312" w:cs="仿宋_GB2312"/>
                <w:b/>
                <w:kern w:val="0"/>
                <w:sz w:val="21"/>
                <w:szCs w:val="21"/>
              </w:rPr>
            </w:pPr>
            <w:r>
              <w:rPr>
                <w:rFonts w:ascii="仿宋" w:eastAsia="仿宋" w:hAnsi="仿宋" w:cs="仿宋" w:hint="eastAsia"/>
                <w:b/>
                <w:bCs/>
                <w:kern w:val="0"/>
                <w:sz w:val="21"/>
                <w:szCs w:val="21"/>
              </w:rPr>
              <w:t>评估层/总楼层</w:t>
            </w:r>
          </w:p>
        </w:tc>
        <w:tc>
          <w:tcPr>
            <w:tcW w:w="807" w:type="dxa"/>
            <w:vAlign w:val="center"/>
          </w:tcPr>
          <w:p w:rsidR="00A37CBB" w:rsidRDefault="00D21007">
            <w:pPr>
              <w:widowControl/>
              <w:spacing w:line="280" w:lineRule="exact"/>
              <w:jc w:val="center"/>
              <w:rPr>
                <w:rFonts w:ascii="仿宋_GB2312" w:hAnsi="仿宋_GB2312" w:cs="仿宋_GB2312"/>
                <w:b/>
                <w:kern w:val="0"/>
                <w:sz w:val="21"/>
                <w:szCs w:val="21"/>
              </w:rPr>
            </w:pPr>
            <w:r>
              <w:rPr>
                <w:rFonts w:ascii="仿宋_GB2312" w:hAnsi="仿宋_GB2312" w:cs="仿宋_GB2312" w:hint="eastAsia"/>
                <w:b/>
                <w:kern w:val="0"/>
                <w:sz w:val="21"/>
                <w:szCs w:val="21"/>
              </w:rPr>
              <w:t>建筑</w:t>
            </w:r>
          </w:p>
          <w:p w:rsidR="00A37CBB" w:rsidRDefault="00D21007">
            <w:pPr>
              <w:widowControl/>
              <w:spacing w:line="280" w:lineRule="exact"/>
              <w:jc w:val="center"/>
              <w:rPr>
                <w:rFonts w:ascii="仿宋_GB2312" w:hAnsi="仿宋_GB2312" w:cs="仿宋_GB2312"/>
                <w:b/>
                <w:kern w:val="0"/>
                <w:sz w:val="21"/>
                <w:szCs w:val="21"/>
              </w:rPr>
            </w:pPr>
            <w:r>
              <w:rPr>
                <w:rFonts w:ascii="仿宋_GB2312" w:hAnsi="仿宋_GB2312" w:cs="仿宋_GB2312" w:hint="eastAsia"/>
                <w:b/>
                <w:kern w:val="0"/>
                <w:sz w:val="21"/>
                <w:szCs w:val="21"/>
              </w:rPr>
              <w:t>结构</w:t>
            </w:r>
          </w:p>
        </w:tc>
        <w:tc>
          <w:tcPr>
            <w:tcW w:w="1073" w:type="dxa"/>
            <w:vAlign w:val="center"/>
          </w:tcPr>
          <w:p w:rsidR="00A37CBB" w:rsidRDefault="00D21007">
            <w:pPr>
              <w:widowControl/>
              <w:spacing w:line="280" w:lineRule="exact"/>
              <w:jc w:val="center"/>
              <w:rPr>
                <w:rFonts w:ascii="仿宋_GB2312" w:hAnsi="仿宋_GB2312" w:cs="仿宋_GB2312"/>
                <w:b/>
                <w:kern w:val="0"/>
                <w:sz w:val="21"/>
                <w:szCs w:val="21"/>
              </w:rPr>
            </w:pPr>
            <w:r>
              <w:rPr>
                <w:rFonts w:ascii="仿宋_GB2312" w:hAnsi="仿宋_GB2312" w:cs="仿宋_GB2312" w:hint="eastAsia"/>
                <w:b/>
                <w:kern w:val="0"/>
                <w:sz w:val="21"/>
                <w:szCs w:val="21"/>
              </w:rPr>
              <w:t>建筑面积（㎡）</w:t>
            </w:r>
          </w:p>
        </w:tc>
      </w:tr>
      <w:tr w:rsidR="00A37CBB">
        <w:trPr>
          <w:trHeight w:val="831"/>
          <w:jc w:val="center"/>
        </w:trPr>
        <w:tc>
          <w:tcPr>
            <w:tcW w:w="1630" w:type="dxa"/>
            <w:shd w:val="clear" w:color="auto" w:fill="auto"/>
            <w:vAlign w:val="center"/>
          </w:tcPr>
          <w:p w:rsidR="00A37CBB" w:rsidRDefault="00D21007">
            <w:pPr>
              <w:pStyle w:val="a9"/>
              <w:spacing w:line="280" w:lineRule="exact"/>
              <w:jc w:val="center"/>
              <w:rPr>
                <w:rFonts w:ascii="仿宋" w:eastAsia="仿宋" w:hAnsi="仿宋" w:cs="仿宋"/>
                <w:sz w:val="21"/>
                <w:szCs w:val="21"/>
              </w:rPr>
            </w:pPr>
            <w:r>
              <w:rPr>
                <w:rFonts w:ascii="仿宋" w:eastAsia="仿宋" w:hAnsi="仿宋" w:cs="仿宋" w:hint="eastAsia"/>
                <w:sz w:val="21"/>
                <w:szCs w:val="21"/>
              </w:rPr>
              <w:t>房权证余房私字第002751号</w:t>
            </w:r>
          </w:p>
        </w:tc>
        <w:tc>
          <w:tcPr>
            <w:tcW w:w="960" w:type="dxa"/>
            <w:shd w:val="clear" w:color="auto" w:fill="auto"/>
            <w:vAlign w:val="center"/>
          </w:tcPr>
          <w:p w:rsidR="00A37CBB" w:rsidRDefault="00D21007">
            <w:pPr>
              <w:pStyle w:val="a9"/>
              <w:spacing w:line="280" w:lineRule="exact"/>
              <w:jc w:val="center"/>
              <w:rPr>
                <w:rFonts w:ascii="仿宋" w:eastAsia="仿宋" w:hAnsi="仿宋" w:cs="仿宋"/>
                <w:sz w:val="21"/>
                <w:szCs w:val="21"/>
              </w:rPr>
            </w:pPr>
            <w:r>
              <w:rPr>
                <w:rFonts w:ascii="仿宋" w:eastAsia="仿宋" w:hAnsi="仿宋" w:cs="仿宋" w:hint="eastAsia"/>
                <w:sz w:val="21"/>
                <w:szCs w:val="21"/>
              </w:rPr>
              <w:t>赖兵生</w:t>
            </w:r>
          </w:p>
        </w:tc>
        <w:tc>
          <w:tcPr>
            <w:tcW w:w="1290" w:type="dxa"/>
            <w:shd w:val="clear" w:color="auto" w:fill="auto"/>
            <w:vAlign w:val="center"/>
          </w:tcPr>
          <w:p w:rsidR="00A37CBB" w:rsidRDefault="00D21007">
            <w:pPr>
              <w:widowControl/>
              <w:spacing w:line="280" w:lineRule="exact"/>
              <w:jc w:val="center"/>
              <w:rPr>
                <w:rFonts w:ascii="仿宋_GB2312" w:hAnsi="仿宋_GB2312" w:cs="仿宋_GB2312"/>
                <w:kern w:val="0"/>
                <w:sz w:val="21"/>
                <w:szCs w:val="21"/>
              </w:rPr>
            </w:pPr>
            <w:r>
              <w:rPr>
                <w:rFonts w:ascii="仿宋_GB2312" w:hAnsi="仿宋_GB2312" w:cs="仿宋_GB2312" w:hint="eastAsia"/>
                <w:kern w:val="0"/>
                <w:sz w:val="21"/>
                <w:szCs w:val="21"/>
              </w:rPr>
              <w:t>新城镇赤石乡分水坳村下田心</w:t>
            </w:r>
          </w:p>
        </w:tc>
        <w:tc>
          <w:tcPr>
            <w:tcW w:w="770" w:type="dxa"/>
            <w:shd w:val="clear" w:color="auto" w:fill="auto"/>
            <w:vAlign w:val="center"/>
          </w:tcPr>
          <w:p w:rsidR="00A37CBB" w:rsidRDefault="00D21007">
            <w:pPr>
              <w:spacing w:line="280" w:lineRule="exact"/>
              <w:jc w:val="center"/>
              <w:rPr>
                <w:rFonts w:ascii="仿宋" w:eastAsia="仿宋" w:hAnsi="仿宋" w:cs="仿宋"/>
                <w:sz w:val="21"/>
                <w:szCs w:val="21"/>
              </w:rPr>
            </w:pPr>
            <w:r>
              <w:rPr>
                <w:rFonts w:ascii="仿宋" w:eastAsia="仿宋" w:hAnsi="仿宋" w:cs="仿宋" w:hint="eastAsia"/>
                <w:sz w:val="21"/>
                <w:szCs w:val="21"/>
              </w:rPr>
              <w:t>营业/住宅</w:t>
            </w:r>
          </w:p>
        </w:tc>
        <w:tc>
          <w:tcPr>
            <w:tcW w:w="692" w:type="dxa"/>
            <w:shd w:val="clear" w:color="auto" w:fill="auto"/>
            <w:vAlign w:val="center"/>
          </w:tcPr>
          <w:p w:rsidR="00A37CBB" w:rsidRDefault="00D21007">
            <w:pPr>
              <w:spacing w:line="280" w:lineRule="exact"/>
              <w:jc w:val="center"/>
              <w:rPr>
                <w:rFonts w:ascii="仿宋" w:eastAsia="仿宋" w:hAnsi="仿宋" w:cs="仿宋"/>
                <w:sz w:val="21"/>
                <w:szCs w:val="21"/>
              </w:rPr>
            </w:pPr>
            <w:r>
              <w:rPr>
                <w:rFonts w:ascii="仿宋" w:eastAsia="仿宋" w:hAnsi="仿宋" w:cs="仿宋" w:hint="eastAsia"/>
                <w:sz w:val="21"/>
                <w:szCs w:val="21"/>
              </w:rPr>
              <w:t>1996年</w:t>
            </w:r>
          </w:p>
        </w:tc>
        <w:tc>
          <w:tcPr>
            <w:tcW w:w="1077" w:type="dxa"/>
            <w:shd w:val="clear" w:color="auto" w:fill="auto"/>
            <w:vAlign w:val="center"/>
          </w:tcPr>
          <w:p w:rsidR="00A37CBB" w:rsidRDefault="00D21007">
            <w:pPr>
              <w:spacing w:line="280" w:lineRule="exact"/>
              <w:jc w:val="center"/>
              <w:rPr>
                <w:rFonts w:ascii="仿宋_GB2312" w:hAnsi="仿宋_GB2312" w:cs="仿宋_GB2312"/>
                <w:kern w:val="0"/>
                <w:sz w:val="21"/>
                <w:szCs w:val="21"/>
              </w:rPr>
            </w:pPr>
            <w:r>
              <w:rPr>
                <w:rFonts w:ascii="仿宋" w:eastAsia="仿宋" w:hAnsi="仿宋" w:cs="仿宋" w:hint="eastAsia"/>
                <w:sz w:val="21"/>
                <w:szCs w:val="21"/>
              </w:rPr>
              <w:t>1/3</w:t>
            </w:r>
          </w:p>
        </w:tc>
        <w:tc>
          <w:tcPr>
            <w:tcW w:w="807" w:type="dxa"/>
            <w:shd w:val="clear" w:color="auto" w:fill="auto"/>
            <w:vAlign w:val="center"/>
          </w:tcPr>
          <w:p w:rsidR="00A37CBB" w:rsidRDefault="00D21007">
            <w:pPr>
              <w:widowControl/>
              <w:spacing w:line="280" w:lineRule="exact"/>
              <w:jc w:val="center"/>
              <w:rPr>
                <w:rFonts w:ascii="仿宋_GB2312" w:hAnsi="仿宋_GB2312" w:cs="仿宋_GB2312"/>
                <w:kern w:val="0"/>
                <w:sz w:val="21"/>
                <w:szCs w:val="21"/>
              </w:rPr>
            </w:pPr>
            <w:r>
              <w:rPr>
                <w:rFonts w:ascii="仿宋" w:eastAsia="仿宋" w:hAnsi="仿宋" w:cs="仿宋" w:hint="eastAsia"/>
                <w:sz w:val="21"/>
                <w:szCs w:val="21"/>
              </w:rPr>
              <w:t>砖混</w:t>
            </w:r>
          </w:p>
        </w:tc>
        <w:tc>
          <w:tcPr>
            <w:tcW w:w="1073" w:type="dxa"/>
            <w:shd w:val="clear" w:color="auto" w:fill="auto"/>
            <w:vAlign w:val="center"/>
          </w:tcPr>
          <w:p w:rsidR="00A37CBB" w:rsidRDefault="00D21007">
            <w:pPr>
              <w:spacing w:line="280" w:lineRule="exact"/>
              <w:jc w:val="center"/>
              <w:rPr>
                <w:rFonts w:ascii="仿宋_GB2312" w:hAnsi="仿宋_GB2312" w:cs="仿宋_GB2312"/>
                <w:sz w:val="21"/>
                <w:szCs w:val="21"/>
              </w:rPr>
            </w:pPr>
            <w:r>
              <w:rPr>
                <w:rFonts w:ascii="仿宋" w:eastAsia="仿宋" w:hAnsi="仿宋" w:cs="仿宋" w:hint="eastAsia"/>
                <w:sz w:val="21"/>
                <w:szCs w:val="21"/>
              </w:rPr>
              <w:t>158.14</w:t>
            </w:r>
          </w:p>
        </w:tc>
      </w:tr>
    </w:tbl>
    <w:p w:rsidR="00A37CBB" w:rsidRDefault="00D21007">
      <w:pPr>
        <w:pStyle w:val="a0"/>
        <w:overflowPunct w:val="0"/>
        <w:autoSpaceDE w:val="0"/>
        <w:autoSpaceDN w:val="0"/>
        <w:adjustRightInd w:val="0"/>
        <w:spacing w:line="480" w:lineRule="exact"/>
        <w:ind w:firstLineChars="200" w:firstLine="560"/>
        <w:textAlignment w:val="baseline"/>
        <w:rPr>
          <w:rFonts w:eastAsia="仿宋_GB2312"/>
        </w:rPr>
      </w:pPr>
      <w:bookmarkStart w:id="25" w:name="_Toc10582"/>
      <w:r>
        <w:rPr>
          <w:rFonts w:eastAsia="仿宋_GB2312" w:hint="eastAsia"/>
        </w:rPr>
        <w:t>2</w:t>
      </w:r>
      <w:r>
        <w:rPr>
          <w:rFonts w:eastAsia="仿宋_GB2312" w:hint="eastAsia"/>
        </w:rPr>
        <w:t>）</w:t>
      </w:r>
      <w:r>
        <w:rPr>
          <w:rFonts w:eastAsia="仿宋_GB2312"/>
        </w:rPr>
        <w:t>他项权状况</w:t>
      </w:r>
    </w:p>
    <w:p w:rsidR="00A37CBB" w:rsidRDefault="00D21007">
      <w:pPr>
        <w:spacing w:line="480" w:lineRule="exact"/>
        <w:ind w:firstLineChars="200" w:firstLine="560"/>
        <w:rPr>
          <w:color w:val="000000"/>
          <w:sz w:val="28"/>
        </w:rPr>
      </w:pPr>
      <w:r>
        <w:rPr>
          <w:rFonts w:eastAsia="仿宋" w:hint="eastAsia"/>
          <w:sz w:val="28"/>
          <w:szCs w:val="22"/>
        </w:rPr>
        <w:t>本次评估目的为市场价值评估，不考虑抵押权和租赁权对评估价值的影响。</w:t>
      </w:r>
    </w:p>
    <w:p w:rsidR="00A37CBB" w:rsidRDefault="00D21007">
      <w:pPr>
        <w:pStyle w:val="a0"/>
        <w:spacing w:line="480" w:lineRule="exact"/>
        <w:ind w:firstLine="0"/>
        <w:outlineLvl w:val="2"/>
        <w:rPr>
          <w:rFonts w:ascii="仿宋" w:eastAsia="仿宋" w:hAnsi="仿宋"/>
          <w:b/>
          <w:bCs/>
        </w:rPr>
      </w:pPr>
      <w:r>
        <w:rPr>
          <w:rFonts w:ascii="仿宋" w:eastAsia="仿宋" w:hAnsi="仿宋"/>
          <w:b/>
          <w:bCs/>
        </w:rPr>
        <w:t>五、价值时点</w:t>
      </w:r>
      <w:bookmarkEnd w:id="25"/>
    </w:p>
    <w:p w:rsidR="00A37CBB" w:rsidRDefault="00D21007">
      <w:pPr>
        <w:pStyle w:val="aa"/>
        <w:spacing w:line="4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经与估价委托人沟通，确定本次评估的价值时点为现场查勘日，即2021年05月07日。</w:t>
      </w:r>
    </w:p>
    <w:p w:rsidR="00A37CBB" w:rsidRDefault="00D21007">
      <w:pPr>
        <w:pStyle w:val="a0"/>
        <w:spacing w:line="480" w:lineRule="exact"/>
        <w:ind w:firstLine="0"/>
        <w:outlineLvl w:val="2"/>
        <w:rPr>
          <w:rFonts w:ascii="仿宋" w:eastAsia="仿宋" w:hAnsi="仿宋"/>
          <w:b/>
          <w:bCs/>
        </w:rPr>
      </w:pPr>
      <w:bookmarkStart w:id="26" w:name="_Toc4887"/>
      <w:bookmarkStart w:id="27" w:name="_Toc437526981"/>
      <w:r>
        <w:rPr>
          <w:rFonts w:ascii="仿宋" w:eastAsia="仿宋" w:hAnsi="仿宋"/>
          <w:b/>
          <w:bCs/>
        </w:rPr>
        <w:t>六、价值类型</w:t>
      </w:r>
      <w:bookmarkEnd w:id="26"/>
      <w:bookmarkEnd w:id="27"/>
    </w:p>
    <w:p w:rsidR="00A37CBB" w:rsidRDefault="00D21007">
      <w:pPr>
        <w:spacing w:line="480" w:lineRule="exact"/>
        <w:ind w:firstLineChars="200" w:firstLine="560"/>
        <w:rPr>
          <w:kern w:val="0"/>
          <w:sz w:val="28"/>
          <w:szCs w:val="22"/>
        </w:rPr>
      </w:pPr>
      <w:r>
        <w:rPr>
          <w:rFonts w:hint="eastAsia"/>
          <w:kern w:val="0"/>
          <w:sz w:val="28"/>
          <w:szCs w:val="22"/>
        </w:rPr>
        <w:t>（一</w:t>
      </w:r>
      <w:r>
        <w:rPr>
          <w:rFonts w:hint="eastAsia"/>
          <w:kern w:val="0"/>
          <w:sz w:val="28"/>
          <w:szCs w:val="22"/>
        </w:rPr>
        <w:t>)</w:t>
      </w:r>
      <w:r>
        <w:rPr>
          <w:rFonts w:hint="eastAsia"/>
          <w:kern w:val="0"/>
          <w:sz w:val="28"/>
          <w:szCs w:val="22"/>
        </w:rPr>
        <w:t>价值标准：本次估价采用的价值标准为房地产市场价值，不考虑房地产拍卖（变卖）成交后的税费及税费的转移负担。</w:t>
      </w:r>
    </w:p>
    <w:p w:rsidR="00A37CBB" w:rsidRDefault="00D21007">
      <w:pPr>
        <w:spacing w:line="480" w:lineRule="exact"/>
        <w:ind w:firstLineChars="200" w:firstLine="560"/>
        <w:rPr>
          <w:kern w:val="0"/>
          <w:sz w:val="28"/>
          <w:szCs w:val="22"/>
        </w:rPr>
      </w:pPr>
      <w:r>
        <w:rPr>
          <w:rFonts w:hint="eastAsia"/>
          <w:kern w:val="0"/>
          <w:sz w:val="28"/>
          <w:szCs w:val="22"/>
        </w:rPr>
        <w:t>(</w:t>
      </w:r>
      <w:r>
        <w:rPr>
          <w:rFonts w:hint="eastAsia"/>
          <w:kern w:val="0"/>
          <w:sz w:val="28"/>
          <w:szCs w:val="22"/>
        </w:rPr>
        <w:t>二）价值内涵：本报告价值内涵为满足本估价报告“估价假设与限制条件”，遵循客观、独立、公开、合法原则，以证载用途，在价值时点</w:t>
      </w:r>
      <w:r>
        <w:rPr>
          <w:rFonts w:hint="eastAsia"/>
          <w:kern w:val="0"/>
          <w:sz w:val="28"/>
          <w:szCs w:val="22"/>
        </w:rPr>
        <w:t>2021</w:t>
      </w:r>
      <w:r>
        <w:rPr>
          <w:rFonts w:hint="eastAsia"/>
          <w:kern w:val="0"/>
          <w:sz w:val="28"/>
          <w:szCs w:val="22"/>
        </w:rPr>
        <w:t>年</w:t>
      </w:r>
      <w:r>
        <w:rPr>
          <w:rFonts w:hint="eastAsia"/>
          <w:kern w:val="0"/>
          <w:sz w:val="28"/>
          <w:szCs w:val="22"/>
        </w:rPr>
        <w:t>05</w:t>
      </w:r>
      <w:r>
        <w:rPr>
          <w:rFonts w:hint="eastAsia"/>
          <w:kern w:val="0"/>
          <w:sz w:val="28"/>
          <w:szCs w:val="22"/>
        </w:rPr>
        <w:t>月</w:t>
      </w:r>
      <w:r>
        <w:rPr>
          <w:rFonts w:hint="eastAsia"/>
          <w:kern w:val="0"/>
          <w:sz w:val="28"/>
          <w:szCs w:val="22"/>
        </w:rPr>
        <w:t>07</w:t>
      </w:r>
      <w:r>
        <w:rPr>
          <w:rFonts w:hint="eastAsia"/>
          <w:kern w:val="0"/>
          <w:sz w:val="28"/>
          <w:szCs w:val="22"/>
        </w:rPr>
        <w:t>日于规划条件下的市场价值，该价值内涵还包括：</w:t>
      </w:r>
    </w:p>
    <w:p w:rsidR="00A37CBB" w:rsidRDefault="00D21007">
      <w:pPr>
        <w:spacing w:line="480" w:lineRule="exact"/>
        <w:ind w:firstLineChars="200" w:firstLine="560"/>
        <w:rPr>
          <w:kern w:val="0"/>
          <w:sz w:val="28"/>
          <w:szCs w:val="22"/>
        </w:rPr>
      </w:pPr>
      <w:r>
        <w:rPr>
          <w:rFonts w:hint="eastAsia"/>
          <w:kern w:val="0"/>
          <w:sz w:val="28"/>
          <w:szCs w:val="22"/>
        </w:rPr>
        <w:t>1</w:t>
      </w:r>
      <w:r>
        <w:rPr>
          <w:rFonts w:hint="eastAsia"/>
          <w:kern w:val="0"/>
          <w:sz w:val="28"/>
          <w:szCs w:val="22"/>
        </w:rPr>
        <w:t>、本次估价财产范围为估价对象的房屋、占有相应土地使用权和必要的设备设施，以及按二手房交易市场通常应包含的装饰装修价值，不包括动产，以及债权债务、特许经营权等其他财产或权益。</w:t>
      </w:r>
    </w:p>
    <w:p w:rsidR="00A37CBB" w:rsidRDefault="00D21007">
      <w:pPr>
        <w:spacing w:line="480" w:lineRule="exact"/>
        <w:ind w:firstLineChars="200" w:firstLine="560"/>
        <w:rPr>
          <w:kern w:val="0"/>
          <w:sz w:val="28"/>
          <w:szCs w:val="22"/>
        </w:rPr>
      </w:pPr>
      <w:r>
        <w:rPr>
          <w:rFonts w:hint="eastAsia"/>
          <w:kern w:val="0"/>
          <w:sz w:val="28"/>
          <w:szCs w:val="22"/>
        </w:rPr>
        <w:t>2</w:t>
      </w:r>
      <w:r>
        <w:rPr>
          <w:rFonts w:hint="eastAsia"/>
          <w:kern w:val="0"/>
          <w:sz w:val="28"/>
          <w:szCs w:val="22"/>
        </w:rPr>
        <w:t>、本次估价未考虑抵押、担保、租赁、典权、地役权、查封等他项权利限制、未来市场价值变化风险、特殊交易方式、不可抗力、短期强制处分等因素影响。</w:t>
      </w:r>
    </w:p>
    <w:p w:rsidR="00A37CBB" w:rsidRDefault="00D21007">
      <w:pPr>
        <w:spacing w:line="480" w:lineRule="exact"/>
        <w:ind w:firstLineChars="200" w:firstLine="560"/>
        <w:rPr>
          <w:kern w:val="0"/>
          <w:sz w:val="28"/>
          <w:szCs w:val="22"/>
        </w:rPr>
      </w:pPr>
      <w:r>
        <w:rPr>
          <w:rFonts w:hint="eastAsia"/>
          <w:kern w:val="0"/>
          <w:sz w:val="28"/>
          <w:szCs w:val="22"/>
        </w:rPr>
        <w:t>3</w:t>
      </w:r>
      <w:r>
        <w:rPr>
          <w:rFonts w:hint="eastAsia"/>
          <w:kern w:val="0"/>
          <w:sz w:val="28"/>
          <w:szCs w:val="22"/>
        </w:rPr>
        <w:t>、币种：人民币。</w:t>
      </w:r>
    </w:p>
    <w:p w:rsidR="00A37CBB" w:rsidRDefault="00D21007">
      <w:pPr>
        <w:pStyle w:val="a0"/>
        <w:spacing w:line="480" w:lineRule="exact"/>
        <w:ind w:firstLine="0"/>
        <w:outlineLvl w:val="2"/>
        <w:rPr>
          <w:rFonts w:ascii="仿宋" w:eastAsia="仿宋" w:hAnsi="仿宋"/>
          <w:b/>
          <w:bCs/>
        </w:rPr>
      </w:pPr>
      <w:bookmarkStart w:id="28" w:name="_Toc13529"/>
      <w:bookmarkStart w:id="29" w:name="_Toc437526982"/>
      <w:r>
        <w:rPr>
          <w:rFonts w:ascii="仿宋" w:eastAsia="仿宋" w:hAnsi="仿宋" w:hint="eastAsia"/>
          <w:b/>
          <w:bCs/>
        </w:rPr>
        <w:t>七</w:t>
      </w:r>
      <w:r>
        <w:rPr>
          <w:rFonts w:ascii="仿宋" w:eastAsia="仿宋" w:hAnsi="仿宋"/>
          <w:b/>
          <w:bCs/>
        </w:rPr>
        <w:t>、估价原则</w:t>
      </w:r>
      <w:bookmarkEnd w:id="28"/>
      <w:bookmarkEnd w:id="29"/>
    </w:p>
    <w:p w:rsidR="00A37CBB" w:rsidRDefault="00D21007">
      <w:pPr>
        <w:spacing w:line="480" w:lineRule="exact"/>
        <w:ind w:firstLineChars="200" w:firstLine="560"/>
        <w:rPr>
          <w:kern w:val="0"/>
          <w:sz w:val="28"/>
          <w:szCs w:val="22"/>
        </w:rPr>
      </w:pPr>
      <w:bookmarkStart w:id="30" w:name="_Toc437526983"/>
      <w:r>
        <w:rPr>
          <w:rFonts w:hint="eastAsia"/>
          <w:kern w:val="0"/>
          <w:sz w:val="28"/>
          <w:szCs w:val="22"/>
        </w:rPr>
        <w:t>我们在估价时遵循了以下原则：</w:t>
      </w:r>
    </w:p>
    <w:p w:rsidR="00A37CBB" w:rsidRDefault="00D21007">
      <w:pPr>
        <w:spacing w:line="480" w:lineRule="exact"/>
        <w:ind w:firstLineChars="200" w:firstLine="560"/>
        <w:rPr>
          <w:kern w:val="0"/>
          <w:sz w:val="28"/>
          <w:szCs w:val="22"/>
        </w:rPr>
      </w:pPr>
      <w:r>
        <w:rPr>
          <w:rFonts w:hint="eastAsia"/>
          <w:kern w:val="0"/>
          <w:sz w:val="28"/>
          <w:szCs w:val="22"/>
        </w:rPr>
        <w:t>1</w:t>
      </w:r>
      <w:r>
        <w:rPr>
          <w:rFonts w:hint="eastAsia"/>
          <w:kern w:val="0"/>
          <w:sz w:val="28"/>
          <w:szCs w:val="22"/>
        </w:rPr>
        <w:t>、独立、客观、公正原则：要求注册房地产估价师和房地产估</w:t>
      </w:r>
      <w:r>
        <w:rPr>
          <w:rFonts w:hint="eastAsia"/>
          <w:kern w:val="0"/>
          <w:sz w:val="28"/>
          <w:szCs w:val="22"/>
        </w:rPr>
        <w:lastRenderedPageBreak/>
        <w:t>价机构应站在中立的立场上，实事求是、公平正直地评估出对各方估价利害关系人均是公平合理的价值。</w:t>
      </w:r>
    </w:p>
    <w:p w:rsidR="00A37CBB" w:rsidRDefault="00D21007">
      <w:pPr>
        <w:spacing w:line="480" w:lineRule="exact"/>
        <w:ind w:firstLineChars="200" w:firstLine="560"/>
        <w:rPr>
          <w:kern w:val="0"/>
          <w:sz w:val="28"/>
          <w:szCs w:val="22"/>
        </w:rPr>
      </w:pPr>
      <w:r>
        <w:rPr>
          <w:rFonts w:hint="eastAsia"/>
          <w:kern w:val="0"/>
          <w:sz w:val="28"/>
          <w:szCs w:val="22"/>
        </w:rPr>
        <w:t>2</w:t>
      </w:r>
      <w:r>
        <w:rPr>
          <w:rFonts w:hint="eastAsia"/>
          <w:kern w:val="0"/>
          <w:sz w:val="28"/>
          <w:szCs w:val="22"/>
        </w:rPr>
        <w:t>、合法原则：要求注册房地产估价师应以估价对象的合法使用、合法处分为前提估价。</w:t>
      </w:r>
    </w:p>
    <w:p w:rsidR="00A37CBB" w:rsidRDefault="00D21007">
      <w:pPr>
        <w:spacing w:line="480" w:lineRule="exact"/>
        <w:ind w:firstLineChars="200" w:firstLine="560"/>
        <w:rPr>
          <w:kern w:val="0"/>
          <w:sz w:val="28"/>
          <w:szCs w:val="22"/>
        </w:rPr>
      </w:pPr>
      <w:r>
        <w:rPr>
          <w:rFonts w:hint="eastAsia"/>
          <w:kern w:val="0"/>
          <w:sz w:val="28"/>
          <w:szCs w:val="22"/>
        </w:rPr>
        <w:t>3</w:t>
      </w:r>
      <w:r>
        <w:rPr>
          <w:rFonts w:hint="eastAsia"/>
          <w:kern w:val="0"/>
          <w:sz w:val="28"/>
          <w:szCs w:val="22"/>
        </w:rPr>
        <w:t>、最高最佳使用原则：要求注册房地产估价师应以估价对象的最高最佳使用为前提估价。</w:t>
      </w:r>
    </w:p>
    <w:p w:rsidR="00A37CBB" w:rsidRDefault="00D21007">
      <w:pPr>
        <w:spacing w:line="480" w:lineRule="exact"/>
        <w:ind w:firstLineChars="200" w:firstLine="560"/>
        <w:rPr>
          <w:kern w:val="0"/>
          <w:sz w:val="28"/>
          <w:szCs w:val="22"/>
        </w:rPr>
      </w:pPr>
      <w:r>
        <w:rPr>
          <w:rFonts w:hint="eastAsia"/>
          <w:kern w:val="0"/>
          <w:sz w:val="28"/>
          <w:szCs w:val="22"/>
        </w:rPr>
        <w:t>4</w:t>
      </w:r>
      <w:r>
        <w:rPr>
          <w:rFonts w:hint="eastAsia"/>
          <w:kern w:val="0"/>
          <w:sz w:val="28"/>
          <w:szCs w:val="22"/>
        </w:rPr>
        <w:t>、替代原则：要求估价结果不得明显偏离类似房地产在同等条件下的正常价格。</w:t>
      </w:r>
    </w:p>
    <w:p w:rsidR="00A37CBB" w:rsidRDefault="00D21007">
      <w:pPr>
        <w:spacing w:line="480" w:lineRule="exact"/>
        <w:ind w:firstLineChars="200" w:firstLine="560"/>
        <w:rPr>
          <w:kern w:val="0"/>
          <w:sz w:val="28"/>
          <w:szCs w:val="22"/>
        </w:rPr>
      </w:pPr>
      <w:r>
        <w:rPr>
          <w:rFonts w:hint="eastAsia"/>
          <w:kern w:val="0"/>
          <w:sz w:val="28"/>
          <w:szCs w:val="22"/>
        </w:rPr>
        <w:t>5</w:t>
      </w:r>
      <w:r>
        <w:rPr>
          <w:rFonts w:hint="eastAsia"/>
          <w:kern w:val="0"/>
          <w:sz w:val="28"/>
          <w:szCs w:val="22"/>
        </w:rPr>
        <w:t>、价值时点原则：要求估价结果应是估价对象在价值时点的客观合理价格或价值。</w:t>
      </w:r>
    </w:p>
    <w:p w:rsidR="00A37CBB" w:rsidRDefault="00D21007">
      <w:pPr>
        <w:pStyle w:val="a0"/>
        <w:spacing w:line="480" w:lineRule="exact"/>
        <w:ind w:firstLine="0"/>
        <w:outlineLvl w:val="2"/>
        <w:rPr>
          <w:rFonts w:ascii="仿宋" w:eastAsia="仿宋" w:hAnsi="仿宋"/>
          <w:b/>
          <w:bCs/>
        </w:rPr>
      </w:pPr>
      <w:bookmarkStart w:id="31" w:name="_Toc11055"/>
      <w:r>
        <w:rPr>
          <w:rFonts w:ascii="仿宋" w:eastAsia="仿宋" w:hAnsi="仿宋" w:hint="eastAsia"/>
          <w:b/>
          <w:bCs/>
        </w:rPr>
        <w:t>八</w:t>
      </w:r>
      <w:r>
        <w:rPr>
          <w:rFonts w:ascii="仿宋" w:eastAsia="仿宋" w:hAnsi="仿宋"/>
          <w:b/>
          <w:bCs/>
        </w:rPr>
        <w:t>、估价依据</w:t>
      </w:r>
      <w:bookmarkEnd w:id="30"/>
      <w:bookmarkEnd w:id="31"/>
    </w:p>
    <w:p w:rsidR="00A37CBB" w:rsidRDefault="00D21007">
      <w:pPr>
        <w:spacing w:line="480" w:lineRule="exact"/>
        <w:ind w:firstLineChars="200" w:firstLine="560"/>
        <w:rPr>
          <w:kern w:val="0"/>
          <w:sz w:val="28"/>
          <w:szCs w:val="22"/>
        </w:rPr>
      </w:pPr>
      <w:r>
        <w:rPr>
          <w:rFonts w:hint="eastAsia"/>
          <w:kern w:val="0"/>
          <w:sz w:val="28"/>
          <w:szCs w:val="22"/>
        </w:rPr>
        <w:t>(</w:t>
      </w:r>
      <w:r>
        <w:rPr>
          <w:rFonts w:hint="eastAsia"/>
          <w:kern w:val="0"/>
          <w:sz w:val="28"/>
          <w:szCs w:val="22"/>
        </w:rPr>
        <w:t>一</w:t>
      </w:r>
      <w:r>
        <w:rPr>
          <w:rFonts w:hint="eastAsia"/>
          <w:kern w:val="0"/>
          <w:sz w:val="28"/>
          <w:szCs w:val="22"/>
        </w:rPr>
        <w:t>)</w:t>
      </w:r>
      <w:r>
        <w:rPr>
          <w:rFonts w:hint="eastAsia"/>
          <w:kern w:val="0"/>
          <w:sz w:val="28"/>
          <w:szCs w:val="22"/>
        </w:rPr>
        <w:t>国家有关部门颁布的法律法规及相关文件</w:t>
      </w:r>
    </w:p>
    <w:p w:rsidR="00A37CBB" w:rsidRDefault="00D21007">
      <w:pPr>
        <w:spacing w:line="480" w:lineRule="exact"/>
        <w:ind w:firstLineChars="200" w:firstLine="560"/>
        <w:rPr>
          <w:kern w:val="0"/>
          <w:sz w:val="28"/>
          <w:szCs w:val="22"/>
        </w:rPr>
      </w:pPr>
      <w:r>
        <w:rPr>
          <w:rFonts w:hint="eastAsia"/>
          <w:kern w:val="0"/>
          <w:sz w:val="28"/>
          <w:szCs w:val="22"/>
        </w:rPr>
        <w:t>1.</w:t>
      </w:r>
      <w:r>
        <w:rPr>
          <w:rFonts w:hint="eastAsia"/>
          <w:kern w:val="0"/>
          <w:sz w:val="28"/>
          <w:szCs w:val="22"/>
        </w:rPr>
        <w:t>《中华人民共和国民法典》</w:t>
      </w:r>
      <w:r>
        <w:rPr>
          <w:rFonts w:hint="eastAsia"/>
          <w:kern w:val="0"/>
          <w:sz w:val="28"/>
          <w:szCs w:val="22"/>
        </w:rPr>
        <w:t>2020</w:t>
      </w:r>
      <w:r>
        <w:rPr>
          <w:rFonts w:hint="eastAsia"/>
          <w:kern w:val="0"/>
          <w:sz w:val="28"/>
          <w:szCs w:val="22"/>
        </w:rPr>
        <w:t>年</w:t>
      </w:r>
      <w:r>
        <w:rPr>
          <w:rFonts w:hint="eastAsia"/>
          <w:kern w:val="0"/>
          <w:sz w:val="28"/>
          <w:szCs w:val="22"/>
        </w:rPr>
        <w:t>5</w:t>
      </w:r>
      <w:r>
        <w:rPr>
          <w:rFonts w:hint="eastAsia"/>
          <w:kern w:val="0"/>
          <w:sz w:val="28"/>
          <w:szCs w:val="22"/>
        </w:rPr>
        <w:t>月</w:t>
      </w:r>
      <w:r>
        <w:rPr>
          <w:rFonts w:hint="eastAsia"/>
          <w:kern w:val="0"/>
          <w:sz w:val="28"/>
          <w:szCs w:val="22"/>
        </w:rPr>
        <w:t>28</w:t>
      </w:r>
      <w:r>
        <w:rPr>
          <w:rFonts w:hint="eastAsia"/>
          <w:kern w:val="0"/>
          <w:sz w:val="28"/>
          <w:szCs w:val="22"/>
        </w:rPr>
        <w:t>日，十三届全国人大三次会议表决通过，自</w:t>
      </w:r>
      <w:r>
        <w:rPr>
          <w:rFonts w:hint="eastAsia"/>
          <w:kern w:val="0"/>
          <w:sz w:val="28"/>
          <w:szCs w:val="22"/>
        </w:rPr>
        <w:t>2021</w:t>
      </w:r>
      <w:r>
        <w:rPr>
          <w:rFonts w:hint="eastAsia"/>
          <w:kern w:val="0"/>
          <w:sz w:val="28"/>
          <w:szCs w:val="22"/>
        </w:rPr>
        <w:t>年</w:t>
      </w:r>
      <w:r>
        <w:rPr>
          <w:rFonts w:hint="eastAsia"/>
          <w:kern w:val="0"/>
          <w:sz w:val="28"/>
          <w:szCs w:val="22"/>
        </w:rPr>
        <w:t>1</w:t>
      </w:r>
      <w:r>
        <w:rPr>
          <w:rFonts w:hint="eastAsia"/>
          <w:kern w:val="0"/>
          <w:sz w:val="28"/>
          <w:szCs w:val="22"/>
        </w:rPr>
        <w:t>月</w:t>
      </w:r>
      <w:r>
        <w:rPr>
          <w:rFonts w:hint="eastAsia"/>
          <w:kern w:val="0"/>
          <w:sz w:val="28"/>
          <w:szCs w:val="22"/>
        </w:rPr>
        <w:t>1</w:t>
      </w:r>
      <w:r>
        <w:rPr>
          <w:rFonts w:hint="eastAsia"/>
          <w:kern w:val="0"/>
          <w:sz w:val="28"/>
          <w:szCs w:val="22"/>
        </w:rPr>
        <w:t>日起施行；</w:t>
      </w:r>
    </w:p>
    <w:p w:rsidR="00A37CBB" w:rsidRDefault="00D21007">
      <w:pPr>
        <w:spacing w:line="480" w:lineRule="exact"/>
        <w:ind w:firstLineChars="200" w:firstLine="560"/>
        <w:rPr>
          <w:kern w:val="0"/>
          <w:sz w:val="28"/>
          <w:szCs w:val="22"/>
        </w:rPr>
      </w:pPr>
      <w:r>
        <w:rPr>
          <w:rFonts w:hint="eastAsia"/>
          <w:kern w:val="0"/>
          <w:sz w:val="28"/>
          <w:szCs w:val="22"/>
        </w:rPr>
        <w:t>2.</w:t>
      </w:r>
      <w:r>
        <w:rPr>
          <w:rFonts w:hint="eastAsia"/>
          <w:kern w:val="0"/>
          <w:sz w:val="28"/>
          <w:szCs w:val="22"/>
        </w:rPr>
        <w:t>《中华人民共和国城市房地产管理法》（</w:t>
      </w:r>
      <w:r>
        <w:rPr>
          <w:rFonts w:hint="eastAsia"/>
          <w:kern w:val="0"/>
          <w:sz w:val="28"/>
          <w:szCs w:val="22"/>
        </w:rPr>
        <w:t>2019</w:t>
      </w:r>
      <w:r>
        <w:rPr>
          <w:rFonts w:hint="eastAsia"/>
          <w:kern w:val="0"/>
          <w:sz w:val="28"/>
          <w:szCs w:val="22"/>
        </w:rPr>
        <w:t>年</w:t>
      </w:r>
      <w:r>
        <w:rPr>
          <w:rFonts w:hint="eastAsia"/>
          <w:kern w:val="0"/>
          <w:sz w:val="28"/>
          <w:szCs w:val="22"/>
        </w:rPr>
        <w:t>8</w:t>
      </w:r>
      <w:r>
        <w:rPr>
          <w:rFonts w:hint="eastAsia"/>
          <w:kern w:val="0"/>
          <w:sz w:val="28"/>
          <w:szCs w:val="22"/>
        </w:rPr>
        <w:t>月</w:t>
      </w:r>
      <w:r>
        <w:rPr>
          <w:rFonts w:hint="eastAsia"/>
          <w:kern w:val="0"/>
          <w:sz w:val="28"/>
          <w:szCs w:val="22"/>
        </w:rPr>
        <w:t>26</w:t>
      </w:r>
      <w:r>
        <w:rPr>
          <w:rFonts w:hint="eastAsia"/>
          <w:kern w:val="0"/>
          <w:sz w:val="28"/>
          <w:szCs w:val="22"/>
        </w:rPr>
        <w:t>日，十三届全国人大常委会第十二次会议表决通过关于修改土地管理法、城市房地产管理法的决定。本决定自</w:t>
      </w:r>
      <w:r>
        <w:rPr>
          <w:rFonts w:hint="eastAsia"/>
          <w:kern w:val="0"/>
          <w:sz w:val="28"/>
          <w:szCs w:val="22"/>
        </w:rPr>
        <w:t>2020</w:t>
      </w:r>
      <w:r>
        <w:rPr>
          <w:rFonts w:hint="eastAsia"/>
          <w:kern w:val="0"/>
          <w:sz w:val="28"/>
          <w:szCs w:val="22"/>
        </w:rPr>
        <w:t>年</w:t>
      </w:r>
      <w:r>
        <w:rPr>
          <w:rFonts w:hint="eastAsia"/>
          <w:kern w:val="0"/>
          <w:sz w:val="28"/>
          <w:szCs w:val="22"/>
        </w:rPr>
        <w:t>1</w:t>
      </w:r>
      <w:r>
        <w:rPr>
          <w:rFonts w:hint="eastAsia"/>
          <w:kern w:val="0"/>
          <w:sz w:val="28"/>
          <w:szCs w:val="22"/>
        </w:rPr>
        <w:t>月</w:t>
      </w:r>
      <w:r>
        <w:rPr>
          <w:rFonts w:hint="eastAsia"/>
          <w:kern w:val="0"/>
          <w:sz w:val="28"/>
          <w:szCs w:val="22"/>
        </w:rPr>
        <w:t>1</w:t>
      </w:r>
      <w:r>
        <w:rPr>
          <w:rFonts w:hint="eastAsia"/>
          <w:kern w:val="0"/>
          <w:sz w:val="28"/>
          <w:szCs w:val="22"/>
        </w:rPr>
        <w:t>日起施行）；</w:t>
      </w:r>
    </w:p>
    <w:p w:rsidR="00A37CBB" w:rsidRDefault="00D21007">
      <w:pPr>
        <w:spacing w:line="480" w:lineRule="exact"/>
        <w:ind w:firstLineChars="200" w:firstLine="560"/>
        <w:rPr>
          <w:kern w:val="0"/>
          <w:sz w:val="28"/>
          <w:szCs w:val="22"/>
        </w:rPr>
      </w:pPr>
      <w:r>
        <w:rPr>
          <w:rFonts w:hint="eastAsia"/>
          <w:kern w:val="0"/>
          <w:sz w:val="28"/>
          <w:szCs w:val="22"/>
        </w:rPr>
        <w:t>3.</w:t>
      </w:r>
      <w:r>
        <w:rPr>
          <w:rFonts w:hint="eastAsia"/>
          <w:kern w:val="0"/>
          <w:sz w:val="28"/>
          <w:szCs w:val="22"/>
        </w:rPr>
        <w:t>《中华人民共和国土地管理法》（</w:t>
      </w:r>
      <w:r>
        <w:rPr>
          <w:rFonts w:hint="eastAsia"/>
          <w:kern w:val="0"/>
          <w:sz w:val="28"/>
          <w:szCs w:val="22"/>
        </w:rPr>
        <w:t>2019</w:t>
      </w:r>
      <w:r>
        <w:rPr>
          <w:rFonts w:hint="eastAsia"/>
          <w:kern w:val="0"/>
          <w:sz w:val="28"/>
          <w:szCs w:val="22"/>
        </w:rPr>
        <w:t>年</w:t>
      </w:r>
      <w:r>
        <w:rPr>
          <w:rFonts w:hint="eastAsia"/>
          <w:kern w:val="0"/>
          <w:sz w:val="28"/>
          <w:szCs w:val="22"/>
        </w:rPr>
        <w:t>8</w:t>
      </w:r>
      <w:r>
        <w:rPr>
          <w:rFonts w:hint="eastAsia"/>
          <w:kern w:val="0"/>
          <w:sz w:val="28"/>
          <w:szCs w:val="22"/>
        </w:rPr>
        <w:t>月</w:t>
      </w:r>
      <w:r>
        <w:rPr>
          <w:rFonts w:hint="eastAsia"/>
          <w:kern w:val="0"/>
          <w:sz w:val="28"/>
          <w:szCs w:val="22"/>
        </w:rPr>
        <w:t>26</w:t>
      </w:r>
      <w:r>
        <w:rPr>
          <w:rFonts w:hint="eastAsia"/>
          <w:kern w:val="0"/>
          <w:sz w:val="28"/>
          <w:szCs w:val="22"/>
        </w:rPr>
        <w:t>日，十三届全国人大常委会第十二次会议表决通过关于修改土地管理法、城市房地产管理法的决定。本决定自</w:t>
      </w:r>
      <w:r>
        <w:rPr>
          <w:rFonts w:hint="eastAsia"/>
          <w:kern w:val="0"/>
          <w:sz w:val="28"/>
          <w:szCs w:val="22"/>
        </w:rPr>
        <w:t>2020</w:t>
      </w:r>
      <w:r>
        <w:rPr>
          <w:rFonts w:hint="eastAsia"/>
          <w:kern w:val="0"/>
          <w:sz w:val="28"/>
          <w:szCs w:val="22"/>
        </w:rPr>
        <w:t>年</w:t>
      </w:r>
      <w:r>
        <w:rPr>
          <w:rFonts w:hint="eastAsia"/>
          <w:kern w:val="0"/>
          <w:sz w:val="28"/>
          <w:szCs w:val="22"/>
        </w:rPr>
        <w:t>1</w:t>
      </w:r>
      <w:r>
        <w:rPr>
          <w:rFonts w:hint="eastAsia"/>
          <w:kern w:val="0"/>
          <w:sz w:val="28"/>
          <w:szCs w:val="22"/>
        </w:rPr>
        <w:t>月</w:t>
      </w:r>
      <w:r>
        <w:rPr>
          <w:rFonts w:hint="eastAsia"/>
          <w:kern w:val="0"/>
          <w:sz w:val="28"/>
          <w:szCs w:val="22"/>
        </w:rPr>
        <w:t>1</w:t>
      </w:r>
      <w:r>
        <w:rPr>
          <w:rFonts w:hint="eastAsia"/>
          <w:kern w:val="0"/>
          <w:sz w:val="28"/>
          <w:szCs w:val="22"/>
        </w:rPr>
        <w:t>日起施行）；</w:t>
      </w:r>
    </w:p>
    <w:p w:rsidR="00A37CBB" w:rsidRDefault="00D21007">
      <w:pPr>
        <w:spacing w:line="480" w:lineRule="exact"/>
        <w:ind w:firstLineChars="200" w:firstLine="560"/>
        <w:rPr>
          <w:kern w:val="0"/>
          <w:sz w:val="28"/>
          <w:szCs w:val="22"/>
        </w:rPr>
      </w:pPr>
      <w:r>
        <w:rPr>
          <w:rFonts w:hint="eastAsia"/>
          <w:kern w:val="0"/>
          <w:sz w:val="28"/>
          <w:szCs w:val="22"/>
        </w:rPr>
        <w:t>4.</w:t>
      </w:r>
      <w:r>
        <w:rPr>
          <w:rFonts w:hint="eastAsia"/>
          <w:kern w:val="0"/>
          <w:sz w:val="28"/>
          <w:szCs w:val="22"/>
        </w:rPr>
        <w:t>《中华人民共和国资产评估法》（</w:t>
      </w:r>
      <w:r>
        <w:rPr>
          <w:rFonts w:hint="eastAsia"/>
          <w:kern w:val="0"/>
          <w:sz w:val="28"/>
          <w:szCs w:val="22"/>
        </w:rPr>
        <w:t>2016</w:t>
      </w:r>
      <w:r>
        <w:rPr>
          <w:rFonts w:hint="eastAsia"/>
          <w:kern w:val="0"/>
          <w:sz w:val="28"/>
          <w:szCs w:val="22"/>
        </w:rPr>
        <w:t>年</w:t>
      </w:r>
      <w:r>
        <w:rPr>
          <w:rFonts w:hint="eastAsia"/>
          <w:kern w:val="0"/>
          <w:sz w:val="28"/>
          <w:szCs w:val="22"/>
        </w:rPr>
        <w:t>7</w:t>
      </w:r>
      <w:r>
        <w:rPr>
          <w:rFonts w:hint="eastAsia"/>
          <w:kern w:val="0"/>
          <w:sz w:val="28"/>
          <w:szCs w:val="22"/>
        </w:rPr>
        <w:t>月</w:t>
      </w:r>
      <w:r>
        <w:rPr>
          <w:rFonts w:hint="eastAsia"/>
          <w:kern w:val="0"/>
          <w:sz w:val="28"/>
          <w:szCs w:val="22"/>
        </w:rPr>
        <w:t>2</w:t>
      </w:r>
      <w:r>
        <w:rPr>
          <w:rFonts w:hint="eastAsia"/>
          <w:kern w:val="0"/>
          <w:sz w:val="28"/>
          <w:szCs w:val="22"/>
        </w:rPr>
        <w:t>日中华人民共和国第十二届全国人民代表大会常务委员会第二十一次会议通过，自</w:t>
      </w:r>
      <w:r>
        <w:rPr>
          <w:rFonts w:hint="eastAsia"/>
          <w:kern w:val="0"/>
          <w:sz w:val="28"/>
          <w:szCs w:val="22"/>
        </w:rPr>
        <w:t>2016</w:t>
      </w:r>
      <w:r>
        <w:rPr>
          <w:rFonts w:hint="eastAsia"/>
          <w:kern w:val="0"/>
          <w:sz w:val="28"/>
          <w:szCs w:val="22"/>
        </w:rPr>
        <w:t>年</w:t>
      </w:r>
      <w:r>
        <w:rPr>
          <w:rFonts w:hint="eastAsia"/>
          <w:kern w:val="0"/>
          <w:sz w:val="28"/>
          <w:szCs w:val="22"/>
        </w:rPr>
        <w:t>12</w:t>
      </w:r>
      <w:r>
        <w:rPr>
          <w:rFonts w:hint="eastAsia"/>
          <w:kern w:val="0"/>
          <w:sz w:val="28"/>
          <w:szCs w:val="22"/>
        </w:rPr>
        <w:t>月</w:t>
      </w:r>
      <w:r>
        <w:rPr>
          <w:rFonts w:hint="eastAsia"/>
          <w:kern w:val="0"/>
          <w:sz w:val="28"/>
          <w:szCs w:val="22"/>
        </w:rPr>
        <w:t>1</w:t>
      </w:r>
      <w:r>
        <w:rPr>
          <w:rFonts w:hint="eastAsia"/>
          <w:kern w:val="0"/>
          <w:sz w:val="28"/>
          <w:szCs w:val="22"/>
        </w:rPr>
        <w:t>日起施行）</w:t>
      </w:r>
    </w:p>
    <w:p w:rsidR="00A37CBB" w:rsidRDefault="00D21007">
      <w:pPr>
        <w:spacing w:line="480" w:lineRule="exact"/>
        <w:ind w:firstLineChars="200" w:firstLine="560"/>
        <w:rPr>
          <w:kern w:val="0"/>
          <w:sz w:val="28"/>
          <w:szCs w:val="22"/>
        </w:rPr>
      </w:pPr>
      <w:r>
        <w:rPr>
          <w:rFonts w:hint="eastAsia"/>
          <w:kern w:val="0"/>
          <w:sz w:val="28"/>
          <w:szCs w:val="22"/>
        </w:rPr>
        <w:t>5.</w:t>
      </w:r>
      <w:r>
        <w:rPr>
          <w:rFonts w:hint="eastAsia"/>
          <w:kern w:val="0"/>
          <w:sz w:val="28"/>
          <w:szCs w:val="22"/>
        </w:rPr>
        <w:t>《关于全面推开营业税改征增值税试点的通知》财税〔</w:t>
      </w:r>
      <w:r>
        <w:rPr>
          <w:rFonts w:hint="eastAsia"/>
          <w:kern w:val="0"/>
          <w:sz w:val="28"/>
          <w:szCs w:val="22"/>
        </w:rPr>
        <w:t>2016</w:t>
      </w:r>
      <w:r>
        <w:rPr>
          <w:rFonts w:hint="eastAsia"/>
          <w:kern w:val="0"/>
          <w:sz w:val="28"/>
          <w:szCs w:val="22"/>
        </w:rPr>
        <w:t>〕</w:t>
      </w:r>
      <w:r>
        <w:rPr>
          <w:rFonts w:hint="eastAsia"/>
          <w:kern w:val="0"/>
          <w:sz w:val="28"/>
          <w:szCs w:val="22"/>
        </w:rPr>
        <w:t>36</w:t>
      </w:r>
      <w:r>
        <w:rPr>
          <w:rFonts w:hint="eastAsia"/>
          <w:kern w:val="0"/>
          <w:sz w:val="28"/>
          <w:szCs w:val="22"/>
        </w:rPr>
        <w:t>号。</w:t>
      </w:r>
    </w:p>
    <w:p w:rsidR="00A37CBB" w:rsidRDefault="00D21007">
      <w:pPr>
        <w:spacing w:line="480" w:lineRule="exact"/>
        <w:ind w:firstLineChars="200" w:firstLine="560"/>
        <w:rPr>
          <w:kern w:val="0"/>
          <w:sz w:val="28"/>
          <w:szCs w:val="22"/>
        </w:rPr>
      </w:pPr>
      <w:r>
        <w:rPr>
          <w:rFonts w:hint="eastAsia"/>
          <w:kern w:val="0"/>
          <w:sz w:val="28"/>
          <w:szCs w:val="22"/>
        </w:rPr>
        <w:t>6.</w:t>
      </w:r>
      <w:r>
        <w:rPr>
          <w:rFonts w:hint="eastAsia"/>
          <w:kern w:val="0"/>
          <w:sz w:val="28"/>
          <w:szCs w:val="22"/>
        </w:rPr>
        <w:t>《中华人民共和国土地管理法实施条例》（</w:t>
      </w:r>
      <w:r>
        <w:rPr>
          <w:rFonts w:hint="eastAsia"/>
          <w:kern w:val="0"/>
          <w:sz w:val="28"/>
          <w:szCs w:val="22"/>
        </w:rPr>
        <w:t>1998</w:t>
      </w:r>
      <w:r>
        <w:rPr>
          <w:rFonts w:hint="eastAsia"/>
          <w:kern w:val="0"/>
          <w:sz w:val="28"/>
          <w:szCs w:val="22"/>
        </w:rPr>
        <w:t>年</w:t>
      </w:r>
      <w:r>
        <w:rPr>
          <w:rFonts w:hint="eastAsia"/>
          <w:kern w:val="0"/>
          <w:sz w:val="28"/>
          <w:szCs w:val="22"/>
        </w:rPr>
        <w:t>12</w:t>
      </w:r>
      <w:r>
        <w:rPr>
          <w:rFonts w:hint="eastAsia"/>
          <w:kern w:val="0"/>
          <w:sz w:val="28"/>
          <w:szCs w:val="22"/>
        </w:rPr>
        <w:t>月</w:t>
      </w:r>
      <w:r>
        <w:rPr>
          <w:rFonts w:hint="eastAsia"/>
          <w:kern w:val="0"/>
          <w:sz w:val="28"/>
          <w:szCs w:val="22"/>
        </w:rPr>
        <w:t>27</w:t>
      </w:r>
      <w:r>
        <w:rPr>
          <w:rFonts w:hint="eastAsia"/>
          <w:kern w:val="0"/>
          <w:sz w:val="28"/>
          <w:szCs w:val="22"/>
        </w:rPr>
        <w:t>日国务院令第</w:t>
      </w:r>
      <w:r>
        <w:rPr>
          <w:rFonts w:hint="eastAsia"/>
          <w:kern w:val="0"/>
          <w:sz w:val="28"/>
          <w:szCs w:val="22"/>
        </w:rPr>
        <w:t>256</w:t>
      </w:r>
      <w:r>
        <w:rPr>
          <w:rFonts w:hint="eastAsia"/>
          <w:kern w:val="0"/>
          <w:sz w:val="28"/>
          <w:szCs w:val="22"/>
        </w:rPr>
        <w:t>号，</w:t>
      </w:r>
      <w:r>
        <w:rPr>
          <w:rFonts w:hint="eastAsia"/>
          <w:kern w:val="0"/>
          <w:sz w:val="28"/>
          <w:szCs w:val="22"/>
        </w:rPr>
        <w:t>1999</w:t>
      </w:r>
      <w:r>
        <w:rPr>
          <w:rFonts w:hint="eastAsia"/>
          <w:kern w:val="0"/>
          <w:sz w:val="28"/>
          <w:szCs w:val="22"/>
        </w:rPr>
        <w:t>年</w:t>
      </w:r>
      <w:r>
        <w:rPr>
          <w:rFonts w:hint="eastAsia"/>
          <w:kern w:val="0"/>
          <w:sz w:val="28"/>
          <w:szCs w:val="22"/>
        </w:rPr>
        <w:t>1</w:t>
      </w:r>
      <w:r>
        <w:rPr>
          <w:rFonts w:hint="eastAsia"/>
          <w:kern w:val="0"/>
          <w:sz w:val="28"/>
          <w:szCs w:val="22"/>
        </w:rPr>
        <w:t>月</w:t>
      </w:r>
      <w:r>
        <w:rPr>
          <w:rFonts w:hint="eastAsia"/>
          <w:kern w:val="0"/>
          <w:sz w:val="28"/>
          <w:szCs w:val="22"/>
        </w:rPr>
        <w:t>1</w:t>
      </w:r>
      <w:r>
        <w:rPr>
          <w:rFonts w:hint="eastAsia"/>
          <w:kern w:val="0"/>
          <w:sz w:val="28"/>
          <w:szCs w:val="22"/>
        </w:rPr>
        <w:t>日施行，根据</w:t>
      </w:r>
      <w:r>
        <w:rPr>
          <w:rFonts w:hint="eastAsia"/>
          <w:kern w:val="0"/>
          <w:sz w:val="28"/>
          <w:szCs w:val="22"/>
        </w:rPr>
        <w:t>2011</w:t>
      </w:r>
      <w:r>
        <w:rPr>
          <w:rFonts w:hint="eastAsia"/>
          <w:kern w:val="0"/>
          <w:sz w:val="28"/>
          <w:szCs w:val="22"/>
        </w:rPr>
        <w:t>年</w:t>
      </w:r>
      <w:r>
        <w:rPr>
          <w:rFonts w:hint="eastAsia"/>
          <w:kern w:val="0"/>
          <w:sz w:val="28"/>
          <w:szCs w:val="22"/>
        </w:rPr>
        <w:t>5</w:t>
      </w:r>
      <w:r>
        <w:rPr>
          <w:rFonts w:hint="eastAsia"/>
          <w:kern w:val="0"/>
          <w:sz w:val="28"/>
          <w:szCs w:val="22"/>
        </w:rPr>
        <w:t>月</w:t>
      </w:r>
      <w:r>
        <w:rPr>
          <w:rFonts w:hint="eastAsia"/>
          <w:kern w:val="0"/>
          <w:sz w:val="28"/>
          <w:szCs w:val="22"/>
        </w:rPr>
        <w:t>23</w:t>
      </w:r>
      <w:r>
        <w:rPr>
          <w:rFonts w:hint="eastAsia"/>
          <w:kern w:val="0"/>
          <w:sz w:val="28"/>
          <w:szCs w:val="22"/>
        </w:rPr>
        <w:t>日国务院令第</w:t>
      </w:r>
      <w:r>
        <w:rPr>
          <w:rFonts w:hint="eastAsia"/>
          <w:kern w:val="0"/>
          <w:sz w:val="28"/>
          <w:szCs w:val="22"/>
        </w:rPr>
        <w:t>588</w:t>
      </w:r>
      <w:r>
        <w:rPr>
          <w:rFonts w:hint="eastAsia"/>
          <w:kern w:val="0"/>
          <w:sz w:val="28"/>
          <w:szCs w:val="22"/>
        </w:rPr>
        <w:t>号《国务院关于废止部分行政法规的决定》修正）；</w:t>
      </w:r>
    </w:p>
    <w:p w:rsidR="00A37CBB" w:rsidRDefault="00D21007">
      <w:pPr>
        <w:spacing w:line="480" w:lineRule="exact"/>
        <w:ind w:firstLineChars="200" w:firstLine="560"/>
        <w:rPr>
          <w:kern w:val="0"/>
          <w:sz w:val="28"/>
          <w:szCs w:val="22"/>
        </w:rPr>
      </w:pPr>
      <w:r>
        <w:rPr>
          <w:rFonts w:hint="eastAsia"/>
          <w:kern w:val="0"/>
          <w:sz w:val="28"/>
          <w:szCs w:val="22"/>
        </w:rPr>
        <w:lastRenderedPageBreak/>
        <w:t>7.</w:t>
      </w:r>
      <w:r>
        <w:rPr>
          <w:rFonts w:hint="eastAsia"/>
          <w:kern w:val="0"/>
          <w:sz w:val="28"/>
          <w:szCs w:val="22"/>
        </w:rPr>
        <w:t>《中华人民共和国民事诉讼法》（</w:t>
      </w:r>
      <w:r>
        <w:rPr>
          <w:rFonts w:hint="eastAsia"/>
          <w:kern w:val="0"/>
          <w:sz w:val="28"/>
          <w:szCs w:val="22"/>
        </w:rPr>
        <w:t>1991</w:t>
      </w:r>
      <w:r>
        <w:rPr>
          <w:rFonts w:hint="eastAsia"/>
          <w:kern w:val="0"/>
          <w:sz w:val="28"/>
          <w:szCs w:val="22"/>
        </w:rPr>
        <w:t>年</w:t>
      </w:r>
      <w:r>
        <w:rPr>
          <w:rFonts w:hint="eastAsia"/>
          <w:kern w:val="0"/>
          <w:sz w:val="28"/>
          <w:szCs w:val="22"/>
        </w:rPr>
        <w:t>4</w:t>
      </w:r>
      <w:r>
        <w:rPr>
          <w:rFonts w:hint="eastAsia"/>
          <w:kern w:val="0"/>
          <w:sz w:val="28"/>
          <w:szCs w:val="22"/>
        </w:rPr>
        <w:t>月</w:t>
      </w:r>
      <w:r>
        <w:rPr>
          <w:rFonts w:hint="eastAsia"/>
          <w:kern w:val="0"/>
          <w:sz w:val="28"/>
          <w:szCs w:val="22"/>
        </w:rPr>
        <w:t>9</w:t>
      </w:r>
      <w:r>
        <w:rPr>
          <w:rFonts w:hint="eastAsia"/>
          <w:kern w:val="0"/>
          <w:sz w:val="28"/>
          <w:szCs w:val="22"/>
        </w:rPr>
        <w:t>日第七届全国人民代表大会第四次会议通过，自公布之日起施行）；</w:t>
      </w:r>
    </w:p>
    <w:p w:rsidR="00A37CBB" w:rsidRDefault="00D21007">
      <w:pPr>
        <w:spacing w:line="480" w:lineRule="exact"/>
        <w:ind w:firstLineChars="200" w:firstLine="560"/>
        <w:rPr>
          <w:kern w:val="0"/>
          <w:sz w:val="28"/>
          <w:szCs w:val="22"/>
        </w:rPr>
      </w:pPr>
      <w:r>
        <w:rPr>
          <w:rFonts w:hint="eastAsia"/>
          <w:kern w:val="0"/>
          <w:sz w:val="28"/>
          <w:szCs w:val="22"/>
        </w:rPr>
        <w:t>8.</w:t>
      </w:r>
      <w:r>
        <w:rPr>
          <w:rFonts w:hint="eastAsia"/>
          <w:kern w:val="0"/>
          <w:sz w:val="28"/>
          <w:szCs w:val="22"/>
        </w:rPr>
        <w:t>《中华人民共和国城乡规划法》（</w:t>
      </w:r>
      <w:r>
        <w:rPr>
          <w:rFonts w:hint="eastAsia"/>
          <w:kern w:val="0"/>
          <w:sz w:val="28"/>
          <w:szCs w:val="22"/>
        </w:rPr>
        <w:t>2007</w:t>
      </w:r>
      <w:r>
        <w:rPr>
          <w:rFonts w:hint="eastAsia"/>
          <w:kern w:val="0"/>
          <w:sz w:val="28"/>
          <w:szCs w:val="22"/>
        </w:rPr>
        <w:t>年</w:t>
      </w:r>
      <w:r>
        <w:rPr>
          <w:rFonts w:hint="eastAsia"/>
          <w:kern w:val="0"/>
          <w:sz w:val="28"/>
          <w:szCs w:val="22"/>
        </w:rPr>
        <w:t>10</w:t>
      </w:r>
      <w:r>
        <w:rPr>
          <w:rFonts w:hint="eastAsia"/>
          <w:kern w:val="0"/>
          <w:sz w:val="28"/>
          <w:szCs w:val="22"/>
        </w:rPr>
        <w:t>月</w:t>
      </w:r>
      <w:r>
        <w:rPr>
          <w:rFonts w:hint="eastAsia"/>
          <w:kern w:val="0"/>
          <w:sz w:val="28"/>
          <w:szCs w:val="22"/>
        </w:rPr>
        <w:t>28</w:t>
      </w:r>
      <w:r>
        <w:rPr>
          <w:rFonts w:hint="eastAsia"/>
          <w:kern w:val="0"/>
          <w:sz w:val="28"/>
          <w:szCs w:val="22"/>
        </w:rPr>
        <w:t>日中华人民共和国主席令第</w:t>
      </w:r>
      <w:r>
        <w:rPr>
          <w:rFonts w:hint="eastAsia"/>
          <w:kern w:val="0"/>
          <w:sz w:val="28"/>
          <w:szCs w:val="22"/>
        </w:rPr>
        <w:t>74</w:t>
      </w:r>
      <w:r>
        <w:rPr>
          <w:rFonts w:hint="eastAsia"/>
          <w:kern w:val="0"/>
          <w:sz w:val="28"/>
          <w:szCs w:val="22"/>
        </w:rPr>
        <w:t>号公布，</w:t>
      </w:r>
      <w:r>
        <w:rPr>
          <w:rFonts w:hint="eastAsia"/>
          <w:kern w:val="0"/>
          <w:sz w:val="28"/>
          <w:szCs w:val="22"/>
        </w:rPr>
        <w:t>2008</w:t>
      </w:r>
      <w:r>
        <w:rPr>
          <w:rFonts w:hint="eastAsia"/>
          <w:kern w:val="0"/>
          <w:sz w:val="28"/>
          <w:szCs w:val="22"/>
        </w:rPr>
        <w:t>年</w:t>
      </w:r>
      <w:r>
        <w:rPr>
          <w:rFonts w:hint="eastAsia"/>
          <w:kern w:val="0"/>
          <w:sz w:val="28"/>
          <w:szCs w:val="22"/>
        </w:rPr>
        <w:t>1</w:t>
      </w:r>
      <w:r>
        <w:rPr>
          <w:rFonts w:hint="eastAsia"/>
          <w:kern w:val="0"/>
          <w:sz w:val="28"/>
          <w:szCs w:val="22"/>
        </w:rPr>
        <w:t>月</w:t>
      </w:r>
      <w:r>
        <w:rPr>
          <w:rFonts w:hint="eastAsia"/>
          <w:kern w:val="0"/>
          <w:sz w:val="28"/>
          <w:szCs w:val="22"/>
        </w:rPr>
        <w:t>1</w:t>
      </w:r>
      <w:r>
        <w:rPr>
          <w:rFonts w:hint="eastAsia"/>
          <w:kern w:val="0"/>
          <w:sz w:val="28"/>
          <w:szCs w:val="22"/>
        </w:rPr>
        <w:t>日施行）；</w:t>
      </w:r>
    </w:p>
    <w:p w:rsidR="00A37CBB" w:rsidRDefault="00D21007">
      <w:pPr>
        <w:spacing w:line="480" w:lineRule="exact"/>
        <w:ind w:firstLineChars="200" w:firstLine="560"/>
        <w:rPr>
          <w:kern w:val="0"/>
          <w:sz w:val="28"/>
          <w:szCs w:val="22"/>
        </w:rPr>
      </w:pPr>
      <w:r>
        <w:rPr>
          <w:rFonts w:hint="eastAsia"/>
          <w:kern w:val="0"/>
          <w:sz w:val="28"/>
          <w:szCs w:val="22"/>
        </w:rPr>
        <w:t>9.</w:t>
      </w:r>
      <w:r>
        <w:rPr>
          <w:rFonts w:hint="eastAsia"/>
          <w:kern w:val="0"/>
          <w:sz w:val="28"/>
          <w:szCs w:val="22"/>
        </w:rPr>
        <w:t>《中华人民共和国城镇国有土地使用权出让和转让暂行条例》（</w:t>
      </w:r>
      <w:r>
        <w:rPr>
          <w:rFonts w:hint="eastAsia"/>
          <w:kern w:val="0"/>
          <w:sz w:val="28"/>
          <w:szCs w:val="22"/>
        </w:rPr>
        <w:t>1990</w:t>
      </w:r>
      <w:r>
        <w:rPr>
          <w:rFonts w:hint="eastAsia"/>
          <w:kern w:val="0"/>
          <w:sz w:val="28"/>
          <w:szCs w:val="22"/>
        </w:rPr>
        <w:t>年</w:t>
      </w:r>
      <w:r>
        <w:rPr>
          <w:rFonts w:hint="eastAsia"/>
          <w:kern w:val="0"/>
          <w:sz w:val="28"/>
          <w:szCs w:val="22"/>
        </w:rPr>
        <w:t>5</w:t>
      </w:r>
      <w:r>
        <w:rPr>
          <w:rFonts w:hint="eastAsia"/>
          <w:kern w:val="0"/>
          <w:sz w:val="28"/>
          <w:szCs w:val="22"/>
        </w:rPr>
        <w:t>月</w:t>
      </w:r>
      <w:r>
        <w:rPr>
          <w:rFonts w:hint="eastAsia"/>
          <w:kern w:val="0"/>
          <w:sz w:val="28"/>
          <w:szCs w:val="22"/>
        </w:rPr>
        <w:t>19</w:t>
      </w:r>
      <w:r>
        <w:rPr>
          <w:rFonts w:hint="eastAsia"/>
          <w:kern w:val="0"/>
          <w:sz w:val="28"/>
          <w:szCs w:val="22"/>
        </w:rPr>
        <w:t>日中华人民共和国国务院令第</w:t>
      </w:r>
      <w:r>
        <w:rPr>
          <w:rFonts w:hint="eastAsia"/>
          <w:kern w:val="0"/>
          <w:sz w:val="28"/>
          <w:szCs w:val="22"/>
        </w:rPr>
        <w:t>55</w:t>
      </w:r>
      <w:r>
        <w:rPr>
          <w:rFonts w:hint="eastAsia"/>
          <w:kern w:val="0"/>
          <w:sz w:val="28"/>
          <w:szCs w:val="22"/>
        </w:rPr>
        <w:t>号发布，</w:t>
      </w:r>
      <w:r>
        <w:rPr>
          <w:rFonts w:hint="eastAsia"/>
          <w:kern w:val="0"/>
          <w:sz w:val="28"/>
          <w:szCs w:val="22"/>
        </w:rPr>
        <w:t>2010</w:t>
      </w:r>
      <w:r>
        <w:rPr>
          <w:rFonts w:hint="eastAsia"/>
          <w:kern w:val="0"/>
          <w:sz w:val="28"/>
          <w:szCs w:val="22"/>
        </w:rPr>
        <w:t>年</w:t>
      </w:r>
      <w:r>
        <w:rPr>
          <w:rFonts w:hint="eastAsia"/>
          <w:kern w:val="0"/>
          <w:sz w:val="28"/>
          <w:szCs w:val="22"/>
        </w:rPr>
        <w:t>5</w:t>
      </w:r>
      <w:r>
        <w:rPr>
          <w:rFonts w:hint="eastAsia"/>
          <w:kern w:val="0"/>
          <w:sz w:val="28"/>
          <w:szCs w:val="22"/>
        </w:rPr>
        <w:t>月</w:t>
      </w:r>
      <w:r>
        <w:rPr>
          <w:rFonts w:hint="eastAsia"/>
          <w:kern w:val="0"/>
          <w:sz w:val="28"/>
          <w:szCs w:val="22"/>
        </w:rPr>
        <w:t>19</w:t>
      </w:r>
      <w:r>
        <w:rPr>
          <w:rFonts w:hint="eastAsia"/>
          <w:kern w:val="0"/>
          <w:sz w:val="28"/>
          <w:szCs w:val="22"/>
        </w:rPr>
        <w:t>日起施行）；</w:t>
      </w:r>
    </w:p>
    <w:p w:rsidR="00A37CBB" w:rsidRDefault="00D21007">
      <w:pPr>
        <w:spacing w:line="480" w:lineRule="exact"/>
        <w:ind w:firstLineChars="200" w:firstLine="560"/>
        <w:rPr>
          <w:kern w:val="0"/>
          <w:sz w:val="28"/>
          <w:szCs w:val="22"/>
        </w:rPr>
      </w:pPr>
      <w:r>
        <w:rPr>
          <w:rFonts w:hint="eastAsia"/>
          <w:kern w:val="0"/>
          <w:sz w:val="28"/>
          <w:szCs w:val="22"/>
        </w:rPr>
        <w:t>10.</w:t>
      </w:r>
      <w:r>
        <w:rPr>
          <w:rFonts w:hint="eastAsia"/>
          <w:kern w:val="0"/>
          <w:sz w:val="28"/>
          <w:szCs w:val="22"/>
        </w:rPr>
        <w:t>《最高人民法院关于人民法院确定财产处置参考价若干问题的规定》（法释〔</w:t>
      </w:r>
      <w:r>
        <w:rPr>
          <w:rFonts w:hint="eastAsia"/>
          <w:kern w:val="0"/>
          <w:sz w:val="28"/>
          <w:szCs w:val="22"/>
        </w:rPr>
        <w:t>2018</w:t>
      </w:r>
      <w:r>
        <w:rPr>
          <w:rFonts w:hint="eastAsia"/>
          <w:kern w:val="0"/>
          <w:sz w:val="28"/>
          <w:szCs w:val="22"/>
        </w:rPr>
        <w:t>〕</w:t>
      </w:r>
      <w:r>
        <w:rPr>
          <w:rFonts w:hint="eastAsia"/>
          <w:kern w:val="0"/>
          <w:sz w:val="28"/>
          <w:szCs w:val="22"/>
        </w:rPr>
        <w:t>15</w:t>
      </w:r>
      <w:r>
        <w:rPr>
          <w:rFonts w:hint="eastAsia"/>
          <w:kern w:val="0"/>
          <w:sz w:val="28"/>
          <w:szCs w:val="22"/>
        </w:rPr>
        <w:t>号，</w:t>
      </w:r>
      <w:r>
        <w:rPr>
          <w:rFonts w:hint="eastAsia"/>
          <w:kern w:val="0"/>
          <w:sz w:val="28"/>
          <w:szCs w:val="22"/>
        </w:rPr>
        <w:t>2018</w:t>
      </w:r>
      <w:r>
        <w:rPr>
          <w:rFonts w:hint="eastAsia"/>
          <w:kern w:val="0"/>
          <w:sz w:val="28"/>
          <w:szCs w:val="22"/>
        </w:rPr>
        <w:t>年</w:t>
      </w:r>
      <w:r>
        <w:rPr>
          <w:rFonts w:hint="eastAsia"/>
          <w:kern w:val="0"/>
          <w:sz w:val="28"/>
          <w:szCs w:val="22"/>
        </w:rPr>
        <w:t>9</w:t>
      </w:r>
      <w:r>
        <w:rPr>
          <w:rFonts w:hint="eastAsia"/>
          <w:kern w:val="0"/>
          <w:sz w:val="28"/>
          <w:szCs w:val="22"/>
        </w:rPr>
        <w:t>月</w:t>
      </w:r>
      <w:r>
        <w:rPr>
          <w:rFonts w:hint="eastAsia"/>
          <w:kern w:val="0"/>
          <w:sz w:val="28"/>
          <w:szCs w:val="22"/>
        </w:rPr>
        <w:t>1</w:t>
      </w:r>
      <w:r>
        <w:rPr>
          <w:rFonts w:hint="eastAsia"/>
          <w:kern w:val="0"/>
          <w:sz w:val="28"/>
          <w:szCs w:val="22"/>
        </w:rPr>
        <w:t>日起施行</w:t>
      </w:r>
      <w:r>
        <w:rPr>
          <w:rFonts w:hint="eastAsia"/>
          <w:kern w:val="0"/>
          <w:sz w:val="28"/>
          <w:szCs w:val="22"/>
        </w:rPr>
        <w:t>)</w:t>
      </w:r>
      <w:r>
        <w:rPr>
          <w:rFonts w:hint="eastAsia"/>
          <w:kern w:val="0"/>
          <w:sz w:val="28"/>
          <w:szCs w:val="22"/>
        </w:rPr>
        <w:t>；</w:t>
      </w:r>
    </w:p>
    <w:p w:rsidR="00A37CBB" w:rsidRDefault="00D21007">
      <w:pPr>
        <w:spacing w:line="480" w:lineRule="exact"/>
        <w:ind w:firstLineChars="200" w:firstLine="560"/>
        <w:rPr>
          <w:kern w:val="0"/>
          <w:sz w:val="28"/>
          <w:szCs w:val="22"/>
        </w:rPr>
      </w:pPr>
      <w:r>
        <w:rPr>
          <w:rFonts w:hint="eastAsia"/>
          <w:kern w:val="0"/>
          <w:sz w:val="28"/>
          <w:szCs w:val="22"/>
        </w:rPr>
        <w:t>11.</w:t>
      </w:r>
      <w:r>
        <w:rPr>
          <w:rFonts w:hint="eastAsia"/>
          <w:kern w:val="0"/>
          <w:sz w:val="28"/>
          <w:szCs w:val="22"/>
        </w:rPr>
        <w:t>《司法鉴定程序通则》（</w:t>
      </w:r>
      <w:r>
        <w:rPr>
          <w:rFonts w:hint="eastAsia"/>
          <w:kern w:val="0"/>
          <w:sz w:val="28"/>
          <w:szCs w:val="22"/>
        </w:rPr>
        <w:t>2015</w:t>
      </w:r>
      <w:r>
        <w:rPr>
          <w:rFonts w:hint="eastAsia"/>
          <w:kern w:val="0"/>
          <w:sz w:val="28"/>
          <w:szCs w:val="22"/>
        </w:rPr>
        <w:t>年</w:t>
      </w:r>
      <w:r>
        <w:rPr>
          <w:rFonts w:hint="eastAsia"/>
          <w:kern w:val="0"/>
          <w:sz w:val="28"/>
          <w:szCs w:val="22"/>
        </w:rPr>
        <w:t>12</w:t>
      </w:r>
      <w:r>
        <w:rPr>
          <w:rFonts w:hint="eastAsia"/>
          <w:kern w:val="0"/>
          <w:sz w:val="28"/>
          <w:szCs w:val="22"/>
        </w:rPr>
        <w:t>月</w:t>
      </w:r>
      <w:r>
        <w:rPr>
          <w:rFonts w:hint="eastAsia"/>
          <w:kern w:val="0"/>
          <w:sz w:val="28"/>
          <w:szCs w:val="22"/>
        </w:rPr>
        <w:t>24</w:t>
      </w:r>
      <w:r>
        <w:rPr>
          <w:rFonts w:hint="eastAsia"/>
          <w:kern w:val="0"/>
          <w:sz w:val="28"/>
          <w:szCs w:val="22"/>
        </w:rPr>
        <w:t>日司法部部务会议修订通过，</w:t>
      </w:r>
      <w:r>
        <w:rPr>
          <w:rFonts w:hint="eastAsia"/>
          <w:kern w:val="0"/>
          <w:sz w:val="28"/>
          <w:szCs w:val="22"/>
        </w:rPr>
        <w:t>2016</w:t>
      </w:r>
      <w:r>
        <w:rPr>
          <w:rFonts w:hint="eastAsia"/>
          <w:kern w:val="0"/>
          <w:sz w:val="28"/>
          <w:szCs w:val="22"/>
        </w:rPr>
        <w:t>年</w:t>
      </w:r>
      <w:r>
        <w:rPr>
          <w:rFonts w:hint="eastAsia"/>
          <w:kern w:val="0"/>
          <w:sz w:val="28"/>
          <w:szCs w:val="22"/>
        </w:rPr>
        <w:t>3</w:t>
      </w:r>
      <w:r>
        <w:rPr>
          <w:rFonts w:hint="eastAsia"/>
          <w:kern w:val="0"/>
          <w:sz w:val="28"/>
          <w:szCs w:val="22"/>
        </w:rPr>
        <w:t>月</w:t>
      </w:r>
      <w:r>
        <w:rPr>
          <w:rFonts w:hint="eastAsia"/>
          <w:kern w:val="0"/>
          <w:sz w:val="28"/>
          <w:szCs w:val="22"/>
        </w:rPr>
        <w:t>2</w:t>
      </w:r>
      <w:r>
        <w:rPr>
          <w:rFonts w:hint="eastAsia"/>
          <w:kern w:val="0"/>
          <w:sz w:val="28"/>
          <w:szCs w:val="22"/>
        </w:rPr>
        <w:t>日中华人民共和国司法部令第</w:t>
      </w:r>
      <w:r>
        <w:rPr>
          <w:rFonts w:hint="eastAsia"/>
          <w:kern w:val="0"/>
          <w:sz w:val="28"/>
          <w:szCs w:val="22"/>
        </w:rPr>
        <w:t>132</w:t>
      </w:r>
      <w:r>
        <w:rPr>
          <w:rFonts w:hint="eastAsia"/>
          <w:kern w:val="0"/>
          <w:sz w:val="28"/>
          <w:szCs w:val="22"/>
        </w:rPr>
        <w:t>号发布。自</w:t>
      </w:r>
      <w:r>
        <w:rPr>
          <w:rFonts w:hint="eastAsia"/>
          <w:kern w:val="0"/>
          <w:sz w:val="28"/>
          <w:szCs w:val="22"/>
        </w:rPr>
        <w:t>2016</w:t>
      </w:r>
      <w:r>
        <w:rPr>
          <w:rFonts w:hint="eastAsia"/>
          <w:kern w:val="0"/>
          <w:sz w:val="28"/>
          <w:szCs w:val="22"/>
        </w:rPr>
        <w:t>年</w:t>
      </w:r>
      <w:r>
        <w:rPr>
          <w:rFonts w:hint="eastAsia"/>
          <w:kern w:val="0"/>
          <w:sz w:val="28"/>
          <w:szCs w:val="22"/>
        </w:rPr>
        <w:t>5</w:t>
      </w:r>
      <w:r>
        <w:rPr>
          <w:rFonts w:hint="eastAsia"/>
          <w:kern w:val="0"/>
          <w:sz w:val="28"/>
          <w:szCs w:val="22"/>
        </w:rPr>
        <w:t>月</w:t>
      </w:r>
      <w:r>
        <w:rPr>
          <w:rFonts w:hint="eastAsia"/>
          <w:kern w:val="0"/>
          <w:sz w:val="28"/>
          <w:szCs w:val="22"/>
        </w:rPr>
        <w:t>1</w:t>
      </w:r>
      <w:r>
        <w:rPr>
          <w:rFonts w:hint="eastAsia"/>
          <w:kern w:val="0"/>
          <w:sz w:val="28"/>
          <w:szCs w:val="22"/>
        </w:rPr>
        <w:t>日起施行）。</w:t>
      </w:r>
    </w:p>
    <w:p w:rsidR="00A37CBB" w:rsidRDefault="00D21007">
      <w:pPr>
        <w:spacing w:line="480" w:lineRule="exact"/>
        <w:ind w:firstLineChars="200" w:firstLine="560"/>
        <w:rPr>
          <w:kern w:val="0"/>
          <w:sz w:val="28"/>
          <w:szCs w:val="22"/>
        </w:rPr>
      </w:pPr>
      <w:r>
        <w:rPr>
          <w:rFonts w:hint="eastAsia"/>
          <w:kern w:val="0"/>
          <w:sz w:val="28"/>
          <w:szCs w:val="22"/>
        </w:rPr>
        <w:t>12.</w:t>
      </w:r>
      <w:r>
        <w:rPr>
          <w:rFonts w:hint="eastAsia"/>
          <w:kern w:val="0"/>
          <w:sz w:val="28"/>
          <w:szCs w:val="22"/>
        </w:rPr>
        <w:t>《人民法院委托评估工作规范》（法办〔</w:t>
      </w:r>
      <w:r>
        <w:rPr>
          <w:rFonts w:hint="eastAsia"/>
          <w:kern w:val="0"/>
          <w:sz w:val="28"/>
          <w:szCs w:val="22"/>
        </w:rPr>
        <w:t>2018</w:t>
      </w:r>
      <w:r>
        <w:rPr>
          <w:rFonts w:hint="eastAsia"/>
          <w:kern w:val="0"/>
          <w:sz w:val="28"/>
          <w:szCs w:val="22"/>
        </w:rPr>
        <w:t>〕</w:t>
      </w:r>
      <w:r>
        <w:rPr>
          <w:rFonts w:hint="eastAsia"/>
          <w:kern w:val="0"/>
          <w:sz w:val="28"/>
          <w:szCs w:val="22"/>
        </w:rPr>
        <w:t>273</w:t>
      </w:r>
      <w:r>
        <w:rPr>
          <w:rFonts w:hint="eastAsia"/>
          <w:kern w:val="0"/>
          <w:sz w:val="28"/>
          <w:szCs w:val="22"/>
        </w:rPr>
        <w:t>号，</w:t>
      </w:r>
      <w:r>
        <w:rPr>
          <w:rFonts w:hint="eastAsia"/>
          <w:kern w:val="0"/>
          <w:sz w:val="28"/>
          <w:szCs w:val="22"/>
        </w:rPr>
        <w:t>2018</w:t>
      </w:r>
      <w:r>
        <w:rPr>
          <w:rFonts w:hint="eastAsia"/>
          <w:kern w:val="0"/>
          <w:sz w:val="28"/>
          <w:szCs w:val="22"/>
        </w:rPr>
        <w:t>年</w:t>
      </w:r>
      <w:r>
        <w:rPr>
          <w:rFonts w:hint="eastAsia"/>
          <w:kern w:val="0"/>
          <w:sz w:val="28"/>
          <w:szCs w:val="22"/>
        </w:rPr>
        <w:t>12</w:t>
      </w:r>
      <w:r>
        <w:rPr>
          <w:rFonts w:hint="eastAsia"/>
          <w:kern w:val="0"/>
          <w:sz w:val="28"/>
          <w:szCs w:val="22"/>
        </w:rPr>
        <w:t>月</w:t>
      </w:r>
      <w:r>
        <w:rPr>
          <w:rFonts w:hint="eastAsia"/>
          <w:kern w:val="0"/>
          <w:sz w:val="28"/>
          <w:szCs w:val="22"/>
        </w:rPr>
        <w:t>28</w:t>
      </w:r>
      <w:r>
        <w:rPr>
          <w:rFonts w:hint="eastAsia"/>
          <w:kern w:val="0"/>
          <w:sz w:val="28"/>
          <w:szCs w:val="22"/>
        </w:rPr>
        <w:t>日印发）。</w:t>
      </w:r>
    </w:p>
    <w:p w:rsidR="00A37CBB" w:rsidRDefault="00D21007">
      <w:pPr>
        <w:spacing w:line="480" w:lineRule="exact"/>
        <w:ind w:firstLineChars="200" w:firstLine="560"/>
        <w:rPr>
          <w:kern w:val="0"/>
          <w:sz w:val="28"/>
          <w:szCs w:val="22"/>
        </w:rPr>
      </w:pPr>
      <w:r>
        <w:rPr>
          <w:rFonts w:hint="eastAsia"/>
          <w:kern w:val="0"/>
          <w:sz w:val="28"/>
          <w:szCs w:val="22"/>
        </w:rPr>
        <w:t>(</w:t>
      </w:r>
      <w:r>
        <w:rPr>
          <w:rFonts w:hint="eastAsia"/>
          <w:kern w:val="0"/>
          <w:sz w:val="28"/>
          <w:szCs w:val="22"/>
        </w:rPr>
        <w:t>二</w:t>
      </w:r>
      <w:r>
        <w:rPr>
          <w:rFonts w:hint="eastAsia"/>
          <w:kern w:val="0"/>
          <w:sz w:val="28"/>
          <w:szCs w:val="22"/>
        </w:rPr>
        <w:t>)</w:t>
      </w:r>
      <w:r>
        <w:rPr>
          <w:rFonts w:hint="eastAsia"/>
          <w:kern w:val="0"/>
          <w:sz w:val="28"/>
          <w:szCs w:val="22"/>
        </w:rPr>
        <w:t>本次估价依据的技术规程</w:t>
      </w:r>
    </w:p>
    <w:p w:rsidR="00A37CBB" w:rsidRDefault="00D21007">
      <w:pPr>
        <w:spacing w:line="480" w:lineRule="exact"/>
        <w:ind w:firstLineChars="200" w:firstLine="560"/>
        <w:rPr>
          <w:kern w:val="0"/>
          <w:sz w:val="28"/>
          <w:szCs w:val="22"/>
        </w:rPr>
      </w:pPr>
      <w:r>
        <w:rPr>
          <w:rFonts w:hint="eastAsia"/>
          <w:kern w:val="0"/>
          <w:sz w:val="28"/>
          <w:szCs w:val="22"/>
        </w:rPr>
        <w:t>1.</w:t>
      </w:r>
      <w:r>
        <w:rPr>
          <w:rFonts w:hint="eastAsia"/>
          <w:kern w:val="0"/>
          <w:sz w:val="28"/>
          <w:szCs w:val="22"/>
        </w:rPr>
        <w:t>《房地产估价规范》（</w:t>
      </w:r>
      <w:r>
        <w:rPr>
          <w:rFonts w:hint="eastAsia"/>
          <w:kern w:val="0"/>
          <w:sz w:val="28"/>
          <w:szCs w:val="22"/>
        </w:rPr>
        <w:t>GB/T50291-2015</w:t>
      </w:r>
      <w:r>
        <w:rPr>
          <w:rFonts w:hint="eastAsia"/>
          <w:kern w:val="0"/>
          <w:sz w:val="28"/>
          <w:szCs w:val="22"/>
        </w:rPr>
        <w:t>）；</w:t>
      </w:r>
    </w:p>
    <w:p w:rsidR="00A37CBB" w:rsidRDefault="00D21007">
      <w:pPr>
        <w:spacing w:line="480" w:lineRule="exact"/>
        <w:ind w:firstLineChars="200" w:firstLine="560"/>
        <w:rPr>
          <w:kern w:val="0"/>
          <w:sz w:val="28"/>
          <w:szCs w:val="22"/>
        </w:rPr>
      </w:pPr>
      <w:r>
        <w:rPr>
          <w:rFonts w:hint="eastAsia"/>
          <w:kern w:val="0"/>
          <w:sz w:val="28"/>
          <w:szCs w:val="22"/>
        </w:rPr>
        <w:t>2.</w:t>
      </w:r>
      <w:r>
        <w:rPr>
          <w:rFonts w:hint="eastAsia"/>
          <w:kern w:val="0"/>
          <w:sz w:val="28"/>
          <w:szCs w:val="22"/>
        </w:rPr>
        <w:t>《房地产估价基本术语标准》（</w:t>
      </w:r>
      <w:r>
        <w:rPr>
          <w:rFonts w:hint="eastAsia"/>
          <w:kern w:val="0"/>
          <w:sz w:val="28"/>
          <w:szCs w:val="22"/>
        </w:rPr>
        <w:t>GB/T50899-2013</w:t>
      </w:r>
      <w:r>
        <w:rPr>
          <w:rFonts w:hint="eastAsia"/>
          <w:kern w:val="0"/>
          <w:sz w:val="28"/>
          <w:szCs w:val="22"/>
        </w:rPr>
        <w:t>）；</w:t>
      </w:r>
    </w:p>
    <w:p w:rsidR="00A37CBB" w:rsidRDefault="00D21007">
      <w:pPr>
        <w:spacing w:line="480" w:lineRule="exact"/>
        <w:ind w:firstLineChars="200" w:firstLine="560"/>
        <w:rPr>
          <w:kern w:val="0"/>
          <w:sz w:val="28"/>
          <w:szCs w:val="22"/>
        </w:rPr>
      </w:pPr>
      <w:r>
        <w:rPr>
          <w:rFonts w:hint="eastAsia"/>
          <w:kern w:val="0"/>
          <w:sz w:val="28"/>
          <w:szCs w:val="22"/>
        </w:rPr>
        <w:t>3.</w:t>
      </w:r>
      <w:r>
        <w:rPr>
          <w:rFonts w:hint="eastAsia"/>
          <w:kern w:val="0"/>
          <w:sz w:val="28"/>
          <w:szCs w:val="22"/>
        </w:rPr>
        <w:t>《房地产抵押估价指导意见》（建住房</w:t>
      </w:r>
      <w:r>
        <w:rPr>
          <w:rFonts w:hint="eastAsia"/>
          <w:kern w:val="0"/>
          <w:sz w:val="28"/>
          <w:szCs w:val="22"/>
        </w:rPr>
        <w:t>[2006]8</w:t>
      </w:r>
      <w:r>
        <w:rPr>
          <w:rFonts w:hint="eastAsia"/>
          <w:kern w:val="0"/>
          <w:sz w:val="28"/>
          <w:szCs w:val="22"/>
        </w:rPr>
        <w:t>号）；</w:t>
      </w:r>
    </w:p>
    <w:p w:rsidR="00A37CBB" w:rsidRDefault="00D21007">
      <w:pPr>
        <w:spacing w:line="480" w:lineRule="exact"/>
        <w:ind w:firstLineChars="200" w:firstLine="560"/>
        <w:rPr>
          <w:kern w:val="0"/>
          <w:sz w:val="28"/>
          <w:szCs w:val="22"/>
        </w:rPr>
      </w:pPr>
      <w:r>
        <w:rPr>
          <w:rFonts w:hint="eastAsia"/>
          <w:kern w:val="0"/>
          <w:sz w:val="28"/>
          <w:szCs w:val="22"/>
        </w:rPr>
        <w:t>4.</w:t>
      </w:r>
      <w:r>
        <w:rPr>
          <w:rFonts w:hint="eastAsia"/>
          <w:kern w:val="0"/>
          <w:sz w:val="28"/>
          <w:szCs w:val="22"/>
        </w:rPr>
        <w:t>《房屋完损等级评定标准》（城住字</w:t>
      </w:r>
      <w:r>
        <w:rPr>
          <w:rFonts w:hint="eastAsia"/>
          <w:kern w:val="0"/>
          <w:sz w:val="28"/>
          <w:szCs w:val="22"/>
        </w:rPr>
        <w:t>[1984]</w:t>
      </w:r>
      <w:r>
        <w:rPr>
          <w:rFonts w:hint="eastAsia"/>
          <w:kern w:val="0"/>
          <w:sz w:val="28"/>
          <w:szCs w:val="22"/>
        </w:rPr>
        <w:t>第</w:t>
      </w:r>
      <w:r>
        <w:rPr>
          <w:rFonts w:hint="eastAsia"/>
          <w:kern w:val="0"/>
          <w:sz w:val="28"/>
          <w:szCs w:val="22"/>
        </w:rPr>
        <w:t>678</w:t>
      </w:r>
      <w:r>
        <w:rPr>
          <w:rFonts w:hint="eastAsia"/>
          <w:kern w:val="0"/>
          <w:sz w:val="28"/>
          <w:szCs w:val="22"/>
        </w:rPr>
        <w:t>号）；</w:t>
      </w:r>
    </w:p>
    <w:p w:rsidR="00A37CBB" w:rsidRDefault="00D21007">
      <w:pPr>
        <w:spacing w:line="480" w:lineRule="exact"/>
        <w:ind w:firstLineChars="200" w:firstLine="560"/>
        <w:rPr>
          <w:kern w:val="0"/>
          <w:sz w:val="28"/>
          <w:szCs w:val="22"/>
        </w:rPr>
      </w:pPr>
      <w:r>
        <w:rPr>
          <w:rFonts w:hint="eastAsia"/>
          <w:kern w:val="0"/>
          <w:sz w:val="28"/>
          <w:szCs w:val="22"/>
        </w:rPr>
        <w:t>（三）委托人提供的有关资料</w:t>
      </w:r>
    </w:p>
    <w:p w:rsidR="00A37CBB" w:rsidRDefault="00D21007">
      <w:pPr>
        <w:spacing w:line="480" w:lineRule="exact"/>
        <w:ind w:firstLineChars="200" w:firstLine="560"/>
        <w:rPr>
          <w:kern w:val="0"/>
          <w:sz w:val="28"/>
          <w:szCs w:val="22"/>
        </w:rPr>
      </w:pPr>
      <w:r>
        <w:rPr>
          <w:rFonts w:hint="eastAsia"/>
          <w:kern w:val="0"/>
          <w:sz w:val="28"/>
          <w:szCs w:val="22"/>
        </w:rPr>
        <w:t>1.</w:t>
      </w:r>
      <w:r>
        <w:rPr>
          <w:rFonts w:hint="eastAsia"/>
          <w:kern w:val="0"/>
          <w:sz w:val="28"/>
          <w:szCs w:val="22"/>
        </w:rPr>
        <w:t>《房屋所有权证》复印件；</w:t>
      </w:r>
    </w:p>
    <w:p w:rsidR="00A37CBB" w:rsidRDefault="00D21007">
      <w:pPr>
        <w:spacing w:line="480" w:lineRule="exact"/>
        <w:ind w:firstLineChars="200" w:firstLine="560"/>
        <w:rPr>
          <w:kern w:val="0"/>
          <w:sz w:val="28"/>
          <w:szCs w:val="22"/>
        </w:rPr>
      </w:pPr>
      <w:r>
        <w:rPr>
          <w:rFonts w:hint="eastAsia"/>
          <w:kern w:val="0"/>
          <w:sz w:val="28"/>
          <w:szCs w:val="22"/>
        </w:rPr>
        <w:t>2.</w:t>
      </w:r>
      <w:r>
        <w:rPr>
          <w:rFonts w:hint="eastAsia"/>
          <w:kern w:val="0"/>
          <w:sz w:val="28"/>
          <w:szCs w:val="22"/>
        </w:rPr>
        <w:t>《江西省大余县人民法院价格评估委托书》；</w:t>
      </w:r>
    </w:p>
    <w:p w:rsidR="00A37CBB" w:rsidRDefault="00D21007">
      <w:pPr>
        <w:spacing w:line="480" w:lineRule="exact"/>
        <w:ind w:firstLineChars="200" w:firstLine="560"/>
        <w:rPr>
          <w:kern w:val="0"/>
          <w:sz w:val="28"/>
          <w:szCs w:val="22"/>
        </w:rPr>
      </w:pPr>
      <w:r>
        <w:rPr>
          <w:rFonts w:hint="eastAsia"/>
          <w:kern w:val="0"/>
          <w:sz w:val="28"/>
          <w:szCs w:val="22"/>
        </w:rPr>
        <w:t>3.</w:t>
      </w:r>
      <w:r>
        <w:rPr>
          <w:rFonts w:hint="eastAsia"/>
          <w:kern w:val="0"/>
          <w:sz w:val="28"/>
          <w:szCs w:val="22"/>
        </w:rPr>
        <w:t>估价对象其他产权资料。</w:t>
      </w:r>
    </w:p>
    <w:p w:rsidR="00A37CBB" w:rsidRDefault="00D21007">
      <w:pPr>
        <w:spacing w:line="480" w:lineRule="exact"/>
        <w:ind w:firstLineChars="200" w:firstLine="560"/>
        <w:rPr>
          <w:kern w:val="0"/>
          <w:sz w:val="28"/>
          <w:szCs w:val="22"/>
        </w:rPr>
      </w:pPr>
      <w:r>
        <w:rPr>
          <w:rFonts w:hint="eastAsia"/>
          <w:kern w:val="0"/>
          <w:sz w:val="28"/>
          <w:szCs w:val="22"/>
        </w:rPr>
        <w:t>（四）估价机构掌握的有关资料</w:t>
      </w:r>
    </w:p>
    <w:p w:rsidR="00A37CBB" w:rsidRDefault="00D21007">
      <w:pPr>
        <w:spacing w:line="480" w:lineRule="exact"/>
        <w:ind w:firstLineChars="200" w:firstLine="560"/>
        <w:rPr>
          <w:kern w:val="0"/>
          <w:sz w:val="28"/>
          <w:szCs w:val="22"/>
        </w:rPr>
      </w:pPr>
      <w:r>
        <w:rPr>
          <w:rFonts w:hint="eastAsia"/>
          <w:kern w:val="0"/>
          <w:sz w:val="28"/>
          <w:szCs w:val="22"/>
        </w:rPr>
        <w:t>1.</w:t>
      </w:r>
      <w:r>
        <w:rPr>
          <w:rFonts w:hint="eastAsia"/>
          <w:kern w:val="0"/>
          <w:sz w:val="28"/>
          <w:szCs w:val="22"/>
        </w:rPr>
        <w:t>估价对象所在地自然条件、社会经济条件、行政区划人口等方面的基本情况资料；</w:t>
      </w:r>
    </w:p>
    <w:p w:rsidR="00A37CBB" w:rsidRDefault="00D21007">
      <w:pPr>
        <w:spacing w:line="480" w:lineRule="exact"/>
        <w:ind w:firstLineChars="200" w:firstLine="560"/>
        <w:rPr>
          <w:kern w:val="0"/>
          <w:sz w:val="28"/>
          <w:szCs w:val="22"/>
        </w:rPr>
      </w:pPr>
      <w:r>
        <w:rPr>
          <w:rFonts w:hint="eastAsia"/>
          <w:kern w:val="0"/>
          <w:sz w:val="28"/>
          <w:szCs w:val="22"/>
        </w:rPr>
        <w:t>2.</w:t>
      </w:r>
      <w:r>
        <w:rPr>
          <w:rFonts w:hint="eastAsia"/>
          <w:kern w:val="0"/>
          <w:sz w:val="28"/>
          <w:szCs w:val="22"/>
        </w:rPr>
        <w:t>估价对象所在地统计资料；</w:t>
      </w:r>
    </w:p>
    <w:p w:rsidR="00A37CBB" w:rsidRDefault="00D21007">
      <w:pPr>
        <w:spacing w:line="480" w:lineRule="exact"/>
        <w:ind w:firstLineChars="200" w:firstLine="560"/>
        <w:rPr>
          <w:kern w:val="0"/>
          <w:sz w:val="28"/>
          <w:szCs w:val="22"/>
        </w:rPr>
      </w:pPr>
      <w:r>
        <w:rPr>
          <w:rFonts w:hint="eastAsia"/>
          <w:kern w:val="0"/>
          <w:sz w:val="28"/>
          <w:szCs w:val="22"/>
        </w:rPr>
        <w:t>3.</w:t>
      </w:r>
      <w:r>
        <w:rPr>
          <w:rFonts w:hint="eastAsia"/>
          <w:kern w:val="0"/>
          <w:sz w:val="28"/>
          <w:szCs w:val="22"/>
        </w:rPr>
        <w:t>估价对象所在地城市规划资料；</w:t>
      </w:r>
    </w:p>
    <w:p w:rsidR="00A37CBB" w:rsidRDefault="00D21007">
      <w:pPr>
        <w:spacing w:line="480" w:lineRule="exact"/>
        <w:ind w:firstLineChars="200" w:firstLine="560"/>
        <w:rPr>
          <w:kern w:val="0"/>
          <w:sz w:val="28"/>
          <w:szCs w:val="22"/>
        </w:rPr>
      </w:pPr>
      <w:r>
        <w:rPr>
          <w:rFonts w:hint="eastAsia"/>
          <w:kern w:val="0"/>
          <w:sz w:val="28"/>
          <w:szCs w:val="22"/>
        </w:rPr>
        <w:lastRenderedPageBreak/>
        <w:t>4.</w:t>
      </w:r>
      <w:r>
        <w:rPr>
          <w:rFonts w:hint="eastAsia"/>
          <w:kern w:val="0"/>
          <w:sz w:val="28"/>
          <w:szCs w:val="22"/>
        </w:rPr>
        <w:t>估价对象所在地城市基础设施基本情况资料；</w:t>
      </w:r>
    </w:p>
    <w:p w:rsidR="00A37CBB" w:rsidRDefault="00D21007">
      <w:pPr>
        <w:spacing w:line="480" w:lineRule="exact"/>
        <w:ind w:firstLineChars="200" w:firstLine="560"/>
        <w:rPr>
          <w:kern w:val="0"/>
          <w:sz w:val="28"/>
          <w:szCs w:val="22"/>
        </w:rPr>
      </w:pPr>
      <w:r>
        <w:rPr>
          <w:rFonts w:hint="eastAsia"/>
          <w:kern w:val="0"/>
          <w:sz w:val="28"/>
          <w:szCs w:val="22"/>
        </w:rPr>
        <w:t>（五）注册房地产估价师实际勘察、调查所获取的资料</w:t>
      </w:r>
    </w:p>
    <w:p w:rsidR="00A37CBB" w:rsidRDefault="00D21007">
      <w:pPr>
        <w:spacing w:line="480" w:lineRule="exact"/>
        <w:ind w:firstLineChars="200" w:firstLine="560"/>
        <w:rPr>
          <w:kern w:val="0"/>
          <w:sz w:val="28"/>
          <w:szCs w:val="22"/>
        </w:rPr>
      </w:pPr>
      <w:r>
        <w:rPr>
          <w:rFonts w:hint="eastAsia"/>
          <w:kern w:val="0"/>
          <w:sz w:val="28"/>
          <w:szCs w:val="22"/>
        </w:rPr>
        <w:t>1.</w:t>
      </w:r>
      <w:r>
        <w:rPr>
          <w:rFonts w:hint="eastAsia"/>
          <w:kern w:val="0"/>
          <w:sz w:val="28"/>
          <w:szCs w:val="22"/>
        </w:rPr>
        <w:t>注册房地产估价师实地踏勘和调查收集的有关估价对象权属、基础设施、宗地条件方面的资料</w:t>
      </w:r>
      <w:r>
        <w:rPr>
          <w:rFonts w:hint="eastAsia"/>
          <w:kern w:val="0"/>
          <w:sz w:val="28"/>
          <w:szCs w:val="22"/>
        </w:rPr>
        <w:t>;</w:t>
      </w:r>
    </w:p>
    <w:p w:rsidR="00A37CBB" w:rsidRDefault="00D21007">
      <w:pPr>
        <w:spacing w:line="480" w:lineRule="exact"/>
        <w:ind w:firstLineChars="200" w:firstLine="560"/>
        <w:rPr>
          <w:kern w:val="0"/>
          <w:sz w:val="28"/>
          <w:szCs w:val="22"/>
        </w:rPr>
      </w:pPr>
      <w:r>
        <w:rPr>
          <w:rFonts w:hint="eastAsia"/>
          <w:kern w:val="0"/>
          <w:sz w:val="28"/>
          <w:szCs w:val="22"/>
        </w:rPr>
        <w:t>2.</w:t>
      </w:r>
      <w:r>
        <w:rPr>
          <w:rFonts w:hint="eastAsia"/>
          <w:kern w:val="0"/>
          <w:sz w:val="28"/>
          <w:szCs w:val="22"/>
        </w:rPr>
        <w:t>注册房地产估价师实地踏勘和调查收集的有关估价对象建筑物状况资料</w:t>
      </w:r>
      <w:r>
        <w:rPr>
          <w:rFonts w:hint="eastAsia"/>
          <w:kern w:val="0"/>
          <w:sz w:val="28"/>
          <w:szCs w:val="22"/>
        </w:rPr>
        <w:t>;</w:t>
      </w:r>
    </w:p>
    <w:p w:rsidR="00A37CBB" w:rsidRDefault="00D21007">
      <w:pPr>
        <w:spacing w:line="480" w:lineRule="exact"/>
        <w:ind w:firstLineChars="200" w:firstLine="560"/>
        <w:rPr>
          <w:kern w:val="0"/>
          <w:sz w:val="28"/>
          <w:szCs w:val="22"/>
        </w:rPr>
      </w:pPr>
      <w:r>
        <w:rPr>
          <w:rFonts w:hint="eastAsia"/>
          <w:kern w:val="0"/>
          <w:sz w:val="28"/>
          <w:szCs w:val="22"/>
        </w:rPr>
        <w:t>3.</w:t>
      </w:r>
      <w:r>
        <w:rPr>
          <w:rFonts w:hint="eastAsia"/>
          <w:kern w:val="0"/>
          <w:sz w:val="28"/>
          <w:szCs w:val="22"/>
        </w:rPr>
        <w:t>估价对象所在地土地出让转让、土地市场供需状况、商品房买卖、租赁等土地房产交易的市场资料</w:t>
      </w:r>
      <w:r>
        <w:rPr>
          <w:rFonts w:hint="eastAsia"/>
          <w:kern w:val="0"/>
          <w:sz w:val="28"/>
          <w:szCs w:val="22"/>
        </w:rPr>
        <w:t>;</w:t>
      </w:r>
    </w:p>
    <w:p w:rsidR="00A37CBB" w:rsidRDefault="00D21007">
      <w:pPr>
        <w:spacing w:line="480" w:lineRule="exact"/>
        <w:ind w:firstLineChars="200" w:firstLine="560"/>
        <w:rPr>
          <w:kern w:val="0"/>
          <w:sz w:val="28"/>
          <w:szCs w:val="22"/>
        </w:rPr>
      </w:pPr>
      <w:r>
        <w:rPr>
          <w:rFonts w:hint="eastAsia"/>
          <w:kern w:val="0"/>
          <w:sz w:val="28"/>
          <w:szCs w:val="22"/>
        </w:rPr>
        <w:t>4.</w:t>
      </w:r>
      <w:r>
        <w:rPr>
          <w:rFonts w:hint="eastAsia"/>
          <w:kern w:val="0"/>
          <w:sz w:val="28"/>
          <w:szCs w:val="22"/>
        </w:rPr>
        <w:t>注册房地产估价师实地拍摄的有关估价对象现状的照片。</w:t>
      </w:r>
    </w:p>
    <w:p w:rsidR="00A37CBB" w:rsidRDefault="00D21007">
      <w:pPr>
        <w:pStyle w:val="a9"/>
        <w:spacing w:line="480" w:lineRule="exact"/>
        <w:outlineLvl w:val="2"/>
        <w:rPr>
          <w:rFonts w:ascii="仿宋" w:eastAsia="仿宋" w:hAnsi="仿宋"/>
          <w:b/>
          <w:bCs/>
          <w:sz w:val="28"/>
        </w:rPr>
      </w:pPr>
      <w:bookmarkStart w:id="32" w:name="_Toc7776"/>
      <w:bookmarkStart w:id="33" w:name="_Toc2888"/>
      <w:r>
        <w:rPr>
          <w:rFonts w:ascii="仿宋" w:eastAsia="仿宋" w:hAnsi="仿宋"/>
          <w:b/>
          <w:bCs/>
          <w:sz w:val="28"/>
        </w:rPr>
        <w:t>九、估价方法</w:t>
      </w:r>
      <w:bookmarkEnd w:id="32"/>
      <w:bookmarkEnd w:id="33"/>
    </w:p>
    <w:p w:rsidR="00A37CBB" w:rsidRDefault="00D21007">
      <w:pPr>
        <w:spacing w:line="480" w:lineRule="exact"/>
        <w:ind w:firstLineChars="200" w:firstLine="560"/>
        <w:rPr>
          <w:kern w:val="0"/>
          <w:sz w:val="28"/>
          <w:szCs w:val="22"/>
        </w:rPr>
      </w:pPr>
      <w:r>
        <w:rPr>
          <w:rFonts w:hint="eastAsia"/>
          <w:kern w:val="0"/>
          <w:sz w:val="28"/>
          <w:szCs w:val="22"/>
        </w:rPr>
        <w:t>1</w:t>
      </w:r>
      <w:r>
        <w:rPr>
          <w:rFonts w:hint="eastAsia"/>
          <w:kern w:val="0"/>
          <w:sz w:val="28"/>
          <w:szCs w:val="22"/>
        </w:rPr>
        <w:t>、估价方法的选择：</w:t>
      </w:r>
    </w:p>
    <w:p w:rsidR="00A37CBB" w:rsidRDefault="00D21007">
      <w:pPr>
        <w:spacing w:line="480" w:lineRule="exact"/>
        <w:ind w:firstLineChars="200" w:firstLine="560"/>
        <w:rPr>
          <w:kern w:val="0"/>
          <w:sz w:val="28"/>
          <w:szCs w:val="22"/>
        </w:rPr>
      </w:pPr>
      <w:r>
        <w:rPr>
          <w:rFonts w:hint="eastAsia"/>
          <w:kern w:val="0"/>
          <w:sz w:val="28"/>
          <w:szCs w:val="22"/>
        </w:rPr>
        <w:t>根据《房地产估价规范》（</w:t>
      </w:r>
      <w:r>
        <w:rPr>
          <w:rFonts w:hint="eastAsia"/>
          <w:kern w:val="0"/>
          <w:sz w:val="28"/>
          <w:szCs w:val="22"/>
        </w:rPr>
        <w:t>GB/T50291-2015</w:t>
      </w:r>
      <w:r>
        <w:rPr>
          <w:rFonts w:hint="eastAsia"/>
          <w:kern w:val="0"/>
          <w:sz w:val="28"/>
          <w:szCs w:val="22"/>
        </w:rPr>
        <w:t>），通行的估价方法有比较法、收益法、成本法、假设开发法等。</w:t>
      </w:r>
    </w:p>
    <w:p w:rsidR="00A37CBB" w:rsidRDefault="00D21007">
      <w:pPr>
        <w:spacing w:line="480" w:lineRule="exact"/>
        <w:ind w:firstLineChars="200" w:firstLine="560"/>
        <w:rPr>
          <w:kern w:val="0"/>
          <w:sz w:val="28"/>
          <w:szCs w:val="22"/>
        </w:rPr>
      </w:pPr>
      <w:r>
        <w:rPr>
          <w:rFonts w:hint="eastAsia"/>
          <w:kern w:val="0"/>
          <w:sz w:val="28"/>
          <w:szCs w:val="22"/>
        </w:rPr>
        <w:t>估价人员细致地分析了估价对象的特点和实际状况，并研究了估价委托人提供及估价方所掌握的资料后，确定采用比较法作为测算方法，确定待估房地产的价值。理由如下：</w:t>
      </w:r>
    </w:p>
    <w:p w:rsidR="00A37CBB" w:rsidRDefault="00D21007">
      <w:pPr>
        <w:spacing w:line="480" w:lineRule="exact"/>
        <w:ind w:firstLineChars="200" w:firstLine="560"/>
        <w:rPr>
          <w:kern w:val="0"/>
          <w:sz w:val="28"/>
          <w:szCs w:val="22"/>
        </w:rPr>
      </w:pPr>
      <w:r>
        <w:rPr>
          <w:rFonts w:hint="eastAsia"/>
          <w:kern w:val="0"/>
          <w:sz w:val="28"/>
          <w:szCs w:val="22"/>
        </w:rPr>
        <w:t>（</w:t>
      </w:r>
      <w:r>
        <w:rPr>
          <w:rFonts w:hint="eastAsia"/>
          <w:kern w:val="0"/>
          <w:sz w:val="28"/>
          <w:szCs w:val="22"/>
        </w:rPr>
        <w:t>1</w:t>
      </w:r>
      <w:r>
        <w:rPr>
          <w:rFonts w:hint="eastAsia"/>
          <w:kern w:val="0"/>
          <w:sz w:val="28"/>
          <w:szCs w:val="22"/>
        </w:rPr>
        <w:t>）选用方法的理由</w:t>
      </w:r>
    </w:p>
    <w:p w:rsidR="00A37CBB" w:rsidRDefault="00D21007">
      <w:pPr>
        <w:spacing w:line="480" w:lineRule="exact"/>
        <w:ind w:firstLineChars="200" w:firstLine="560"/>
        <w:rPr>
          <w:kern w:val="0"/>
          <w:sz w:val="28"/>
          <w:szCs w:val="22"/>
        </w:rPr>
      </w:pPr>
      <w:r>
        <w:rPr>
          <w:rFonts w:hint="eastAsia"/>
          <w:kern w:val="0"/>
          <w:sz w:val="28"/>
          <w:szCs w:val="22"/>
        </w:rPr>
        <w:t>估价对象所在区域近期内同类型房屋交易案例较丰富，故本次评估可选用比较法进行测算。</w:t>
      </w:r>
    </w:p>
    <w:p w:rsidR="00A37CBB" w:rsidRDefault="00D21007">
      <w:pPr>
        <w:spacing w:line="480" w:lineRule="exact"/>
        <w:ind w:firstLineChars="200" w:firstLine="560"/>
        <w:rPr>
          <w:kern w:val="0"/>
          <w:sz w:val="28"/>
          <w:szCs w:val="22"/>
        </w:rPr>
      </w:pPr>
      <w:r>
        <w:rPr>
          <w:rFonts w:hint="eastAsia"/>
          <w:kern w:val="0"/>
          <w:sz w:val="28"/>
          <w:szCs w:val="22"/>
        </w:rPr>
        <w:t>（</w:t>
      </w:r>
      <w:r>
        <w:rPr>
          <w:rFonts w:hint="eastAsia"/>
          <w:kern w:val="0"/>
          <w:sz w:val="28"/>
          <w:szCs w:val="22"/>
        </w:rPr>
        <w:t>2</w:t>
      </w:r>
      <w:r>
        <w:rPr>
          <w:rFonts w:hint="eastAsia"/>
          <w:kern w:val="0"/>
          <w:sz w:val="28"/>
          <w:szCs w:val="22"/>
        </w:rPr>
        <w:t>）未选用方法的理由</w:t>
      </w:r>
    </w:p>
    <w:p w:rsidR="00A37CBB" w:rsidRDefault="00D21007">
      <w:pPr>
        <w:spacing w:line="480" w:lineRule="exact"/>
        <w:ind w:firstLineChars="200" w:firstLine="560"/>
        <w:rPr>
          <w:kern w:val="0"/>
          <w:sz w:val="28"/>
          <w:szCs w:val="22"/>
        </w:rPr>
      </w:pPr>
      <w:r>
        <w:rPr>
          <w:rFonts w:hint="eastAsia"/>
          <w:kern w:val="0"/>
          <w:sz w:val="28"/>
          <w:szCs w:val="22"/>
        </w:rPr>
        <w:t>1</w:t>
      </w:r>
      <w:r>
        <w:rPr>
          <w:rFonts w:hint="eastAsia"/>
          <w:kern w:val="0"/>
          <w:sz w:val="28"/>
          <w:szCs w:val="22"/>
        </w:rPr>
        <w:t>）估价对象为营业</w:t>
      </w:r>
      <w:r>
        <w:rPr>
          <w:rFonts w:hint="eastAsia"/>
          <w:kern w:val="0"/>
          <w:sz w:val="28"/>
          <w:szCs w:val="22"/>
        </w:rPr>
        <w:t>/</w:t>
      </w:r>
      <w:r>
        <w:rPr>
          <w:rFonts w:hint="eastAsia"/>
          <w:kern w:val="0"/>
          <w:sz w:val="28"/>
          <w:szCs w:val="22"/>
        </w:rPr>
        <w:t>住宅用房，采用成本法进行评估会一定程度上低估估价对象的价值，故不宜选用成本法进行估算。</w:t>
      </w:r>
    </w:p>
    <w:p w:rsidR="00A37CBB" w:rsidRDefault="00D21007">
      <w:pPr>
        <w:spacing w:line="480" w:lineRule="exact"/>
        <w:ind w:firstLineChars="200" w:firstLine="560"/>
        <w:rPr>
          <w:kern w:val="0"/>
          <w:sz w:val="28"/>
          <w:szCs w:val="22"/>
        </w:rPr>
      </w:pPr>
      <w:r>
        <w:rPr>
          <w:rFonts w:hint="eastAsia"/>
          <w:kern w:val="0"/>
          <w:sz w:val="28"/>
          <w:szCs w:val="22"/>
        </w:rPr>
        <w:t>2</w:t>
      </w:r>
      <w:r>
        <w:rPr>
          <w:rFonts w:hint="eastAsia"/>
          <w:kern w:val="0"/>
          <w:sz w:val="28"/>
          <w:szCs w:val="22"/>
        </w:rPr>
        <w:t>）估价对象为已开发完成房地产，再投资开发潜力不高，故不宜选用假设开发法进行估算。</w:t>
      </w:r>
    </w:p>
    <w:p w:rsidR="00A37CBB" w:rsidRDefault="00D21007">
      <w:pPr>
        <w:spacing w:line="480" w:lineRule="exact"/>
        <w:ind w:firstLineChars="200" w:firstLine="560"/>
        <w:rPr>
          <w:kern w:val="0"/>
          <w:sz w:val="28"/>
          <w:szCs w:val="22"/>
        </w:rPr>
      </w:pPr>
      <w:r>
        <w:rPr>
          <w:rFonts w:hint="eastAsia"/>
          <w:kern w:val="0"/>
          <w:sz w:val="28"/>
          <w:szCs w:val="22"/>
        </w:rPr>
        <w:t>3</w:t>
      </w:r>
      <w:r>
        <w:rPr>
          <w:rFonts w:hint="eastAsia"/>
          <w:kern w:val="0"/>
          <w:sz w:val="28"/>
          <w:szCs w:val="22"/>
        </w:rPr>
        <w:t>）估价对象登记用途为营业</w:t>
      </w:r>
      <w:r>
        <w:rPr>
          <w:rFonts w:hint="eastAsia"/>
          <w:kern w:val="0"/>
          <w:sz w:val="28"/>
          <w:szCs w:val="22"/>
        </w:rPr>
        <w:t>/</w:t>
      </w:r>
      <w:r>
        <w:rPr>
          <w:rFonts w:hint="eastAsia"/>
          <w:kern w:val="0"/>
          <w:sz w:val="28"/>
          <w:szCs w:val="22"/>
        </w:rPr>
        <w:t>住宅，无现实收益，且未来收益也不易于准确量化，考虑到评估的可操作性，故本次评估不采用收益法。</w:t>
      </w:r>
    </w:p>
    <w:p w:rsidR="00A37CBB" w:rsidRDefault="00D21007">
      <w:pPr>
        <w:spacing w:line="480" w:lineRule="exact"/>
        <w:ind w:firstLineChars="200" w:firstLine="560"/>
        <w:rPr>
          <w:kern w:val="0"/>
          <w:sz w:val="28"/>
          <w:szCs w:val="22"/>
        </w:rPr>
      </w:pPr>
      <w:r>
        <w:rPr>
          <w:rFonts w:hint="eastAsia"/>
          <w:kern w:val="0"/>
          <w:sz w:val="28"/>
          <w:szCs w:val="22"/>
        </w:rPr>
        <w:t>3</w:t>
      </w:r>
      <w:r>
        <w:rPr>
          <w:rFonts w:hint="eastAsia"/>
          <w:kern w:val="0"/>
          <w:sz w:val="28"/>
          <w:szCs w:val="22"/>
        </w:rPr>
        <w:t>、选用估价方法简介</w:t>
      </w:r>
    </w:p>
    <w:p w:rsidR="00A37CBB" w:rsidRDefault="00D21007">
      <w:pPr>
        <w:spacing w:line="480" w:lineRule="exact"/>
        <w:ind w:firstLineChars="200" w:firstLine="560"/>
        <w:rPr>
          <w:kern w:val="0"/>
          <w:sz w:val="28"/>
          <w:szCs w:val="22"/>
        </w:rPr>
      </w:pPr>
      <w:r>
        <w:rPr>
          <w:rFonts w:hint="eastAsia"/>
          <w:kern w:val="0"/>
          <w:sz w:val="28"/>
          <w:szCs w:val="22"/>
        </w:rPr>
        <w:t>比较法是将估价对象与价值时点有过交易的类似房地产进行比</w:t>
      </w:r>
      <w:r>
        <w:rPr>
          <w:rFonts w:hint="eastAsia"/>
          <w:kern w:val="0"/>
          <w:sz w:val="28"/>
          <w:szCs w:val="22"/>
        </w:rPr>
        <w:lastRenderedPageBreak/>
        <w:t>较，对于这些类似房地产的已知价格作适当的修正，以此估算对象的客观合理价格或价值的方法。</w:t>
      </w:r>
    </w:p>
    <w:p w:rsidR="00A37CBB" w:rsidRDefault="00D21007">
      <w:pPr>
        <w:spacing w:line="480" w:lineRule="exact"/>
        <w:ind w:firstLineChars="200" w:firstLine="560"/>
        <w:rPr>
          <w:kern w:val="0"/>
          <w:sz w:val="28"/>
          <w:szCs w:val="22"/>
        </w:rPr>
      </w:pPr>
      <w:r>
        <w:rPr>
          <w:rFonts w:hint="eastAsia"/>
          <w:kern w:val="0"/>
          <w:sz w:val="28"/>
          <w:szCs w:val="22"/>
        </w:rPr>
        <w:t>比较法公式：</w:t>
      </w:r>
    </w:p>
    <w:p w:rsidR="00A37CBB" w:rsidRDefault="00D21007">
      <w:pPr>
        <w:spacing w:line="480" w:lineRule="exact"/>
        <w:ind w:firstLineChars="200" w:firstLine="560"/>
        <w:rPr>
          <w:kern w:val="0"/>
          <w:sz w:val="28"/>
          <w:szCs w:val="22"/>
        </w:rPr>
      </w:pPr>
      <w:r>
        <w:rPr>
          <w:rFonts w:hint="eastAsia"/>
          <w:kern w:val="0"/>
          <w:sz w:val="28"/>
          <w:szCs w:val="22"/>
        </w:rPr>
        <w:t>估价对象比准价格</w:t>
      </w:r>
      <w:r>
        <w:rPr>
          <w:rFonts w:hint="eastAsia"/>
          <w:kern w:val="0"/>
          <w:sz w:val="28"/>
          <w:szCs w:val="22"/>
        </w:rPr>
        <w:t>=</w:t>
      </w:r>
      <w:r>
        <w:rPr>
          <w:rFonts w:hint="eastAsia"/>
          <w:kern w:val="0"/>
          <w:sz w:val="28"/>
          <w:szCs w:val="22"/>
        </w:rPr>
        <w:t>可比实例价格×交易日期修正×交易情况修正×房地产状况调整。</w:t>
      </w:r>
    </w:p>
    <w:p w:rsidR="00A37CBB" w:rsidRDefault="00D21007">
      <w:pPr>
        <w:pStyle w:val="a0"/>
        <w:spacing w:line="480" w:lineRule="exact"/>
        <w:ind w:firstLineChars="200" w:firstLine="562"/>
        <w:outlineLvl w:val="2"/>
        <w:rPr>
          <w:rFonts w:eastAsia="仿宋_GB2312"/>
          <w:b/>
          <w:bCs/>
          <w:szCs w:val="22"/>
        </w:rPr>
      </w:pPr>
      <w:bookmarkStart w:id="34" w:name="_Toc24543"/>
      <w:r>
        <w:rPr>
          <w:rFonts w:eastAsia="仿宋_GB2312" w:hint="eastAsia"/>
          <w:b/>
          <w:bCs/>
          <w:szCs w:val="22"/>
        </w:rPr>
        <w:t>十、估价结果</w:t>
      </w:r>
      <w:bookmarkEnd w:id="34"/>
    </w:p>
    <w:p w:rsidR="00A37CBB" w:rsidRDefault="00D21007">
      <w:pPr>
        <w:spacing w:line="480" w:lineRule="exact"/>
        <w:ind w:firstLine="556"/>
        <w:rPr>
          <w:kern w:val="0"/>
          <w:sz w:val="28"/>
          <w:szCs w:val="22"/>
        </w:rPr>
      </w:pPr>
      <w:r>
        <w:rPr>
          <w:noProof/>
        </w:rPr>
        <w:drawing>
          <wp:anchor distT="0" distB="0" distL="0" distR="0" simplePos="0" relativeHeight="251664384" behindDoc="1" locked="0" layoutInCell="1" allowOverlap="1">
            <wp:simplePos x="0" y="0"/>
            <wp:positionH relativeFrom="page">
              <wp:posOffset>1487805</wp:posOffset>
            </wp:positionH>
            <wp:positionV relativeFrom="paragraph">
              <wp:posOffset>339725</wp:posOffset>
            </wp:positionV>
            <wp:extent cx="1699260" cy="1671955"/>
            <wp:effectExtent l="0" t="0" r="15240" b="4445"/>
            <wp:wrapNone/>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a:picLocks noChangeAspect="1"/>
                    </pic:cNvPicPr>
                  </pic:nvPicPr>
                  <pic:blipFill>
                    <a:blip r:embed="rId15" cstate="print"/>
                    <a:stretch>
                      <a:fillRect/>
                    </a:stretch>
                  </pic:blipFill>
                  <pic:spPr>
                    <a:xfrm>
                      <a:off x="0" y="0"/>
                      <a:ext cx="1699260" cy="1671955"/>
                    </a:xfrm>
                    <a:prstGeom prst="rect">
                      <a:avLst/>
                    </a:prstGeom>
                  </pic:spPr>
                </pic:pic>
              </a:graphicData>
            </a:graphic>
          </wp:anchor>
        </w:drawing>
      </w:r>
      <w:r>
        <w:rPr>
          <w:rFonts w:hint="eastAsia"/>
          <w:kern w:val="0"/>
          <w:sz w:val="28"/>
          <w:szCs w:val="22"/>
        </w:rPr>
        <w:t>估价人员在认真分析估价委托人提供的资料，以及注册房地产估价师现场查勘和市场调查取得资料的基础上，对影响估价对象房地产价值的因素进行了综合分析，采用比较法测算，确定估价对象在价值时点</w:t>
      </w:r>
      <w:r>
        <w:rPr>
          <w:rFonts w:hint="eastAsia"/>
          <w:kern w:val="0"/>
          <w:sz w:val="28"/>
          <w:szCs w:val="22"/>
        </w:rPr>
        <w:t>2021</w:t>
      </w:r>
      <w:r>
        <w:rPr>
          <w:rFonts w:hint="eastAsia"/>
          <w:kern w:val="0"/>
          <w:sz w:val="28"/>
          <w:szCs w:val="22"/>
        </w:rPr>
        <w:t>年</w:t>
      </w:r>
      <w:r>
        <w:rPr>
          <w:rFonts w:hint="eastAsia"/>
          <w:kern w:val="0"/>
          <w:sz w:val="28"/>
          <w:szCs w:val="22"/>
        </w:rPr>
        <w:t>05</w:t>
      </w:r>
      <w:r>
        <w:rPr>
          <w:rFonts w:hint="eastAsia"/>
          <w:kern w:val="0"/>
          <w:sz w:val="28"/>
          <w:szCs w:val="22"/>
        </w:rPr>
        <w:t>月</w:t>
      </w:r>
      <w:r>
        <w:rPr>
          <w:rFonts w:hint="eastAsia"/>
          <w:kern w:val="0"/>
          <w:sz w:val="28"/>
          <w:szCs w:val="22"/>
        </w:rPr>
        <w:t>07</w:t>
      </w:r>
      <w:r>
        <w:rPr>
          <w:rFonts w:hint="eastAsia"/>
          <w:kern w:val="0"/>
          <w:sz w:val="28"/>
          <w:szCs w:val="22"/>
        </w:rPr>
        <w:t>日的房地产市场价值为</w:t>
      </w:r>
      <w:r>
        <w:rPr>
          <w:rFonts w:hint="eastAsia"/>
          <w:b/>
          <w:bCs/>
          <w:kern w:val="0"/>
          <w:sz w:val="28"/>
          <w:szCs w:val="22"/>
        </w:rPr>
        <w:t>¥55.38</w:t>
      </w:r>
      <w:r>
        <w:rPr>
          <w:rFonts w:hint="eastAsia"/>
          <w:kern w:val="0"/>
          <w:sz w:val="28"/>
          <w:szCs w:val="22"/>
        </w:rPr>
        <w:t>万元，大写人民币：</w:t>
      </w:r>
      <w:r>
        <w:rPr>
          <w:rFonts w:hint="eastAsia"/>
          <w:b/>
          <w:bCs/>
          <w:kern w:val="0"/>
          <w:sz w:val="28"/>
          <w:szCs w:val="22"/>
        </w:rPr>
        <w:t>伍拾伍万叁仟捌佰</w:t>
      </w:r>
      <w:r>
        <w:rPr>
          <w:rFonts w:hint="eastAsia"/>
          <w:kern w:val="0"/>
          <w:sz w:val="28"/>
          <w:szCs w:val="22"/>
        </w:rPr>
        <w:t>元整。（具体详见《估价结果一览表》）。</w:t>
      </w:r>
      <w:bookmarkStart w:id="35" w:name="_Toc437526986"/>
    </w:p>
    <w:p w:rsidR="00A37CBB" w:rsidRDefault="00D21007">
      <w:pPr>
        <w:pStyle w:val="a0"/>
        <w:spacing w:line="480" w:lineRule="exact"/>
        <w:ind w:firstLine="0"/>
        <w:outlineLvl w:val="2"/>
        <w:rPr>
          <w:rFonts w:eastAsia="仿宋_GB2312"/>
          <w:b/>
          <w:bCs/>
          <w:szCs w:val="22"/>
        </w:rPr>
      </w:pPr>
      <w:bookmarkStart w:id="36" w:name="_Toc2275"/>
      <w:r>
        <w:rPr>
          <w:rFonts w:eastAsia="仿宋_GB2312" w:hint="eastAsia"/>
          <w:b/>
          <w:bCs/>
          <w:szCs w:val="22"/>
        </w:rPr>
        <w:t>十一、注册房地产估价师</w:t>
      </w:r>
      <w:bookmarkEnd w:id="35"/>
      <w:bookmarkEnd w:id="36"/>
    </w:p>
    <w:tbl>
      <w:tblPr>
        <w:tblW w:w="896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tblPr>
      <w:tblGrid>
        <w:gridCol w:w="1629"/>
        <w:gridCol w:w="2335"/>
        <w:gridCol w:w="1948"/>
        <w:gridCol w:w="3048"/>
      </w:tblGrid>
      <w:tr w:rsidR="00A37CBB">
        <w:trPr>
          <w:trHeight w:val="131"/>
        </w:trPr>
        <w:tc>
          <w:tcPr>
            <w:tcW w:w="1629" w:type="dxa"/>
            <w:shd w:val="clear" w:color="auto" w:fill="auto"/>
            <w:tcMar>
              <w:top w:w="72" w:type="dxa"/>
              <w:left w:w="144" w:type="dxa"/>
              <w:bottom w:w="72" w:type="dxa"/>
              <w:right w:w="144" w:type="dxa"/>
            </w:tcMar>
            <w:vAlign w:val="center"/>
          </w:tcPr>
          <w:p w:rsidR="00A37CBB" w:rsidRDefault="00D21007">
            <w:pPr>
              <w:widowControl/>
              <w:kinsoku w:val="0"/>
              <w:overflowPunct w:val="0"/>
              <w:spacing w:line="265" w:lineRule="atLeast"/>
              <w:jc w:val="center"/>
              <w:textAlignment w:val="baseline"/>
              <w:rPr>
                <w:rFonts w:eastAsia="仿宋"/>
                <w:color w:val="000000" w:themeColor="text1"/>
                <w:sz w:val="28"/>
              </w:rPr>
            </w:pPr>
            <w:bookmarkStart w:id="37" w:name="_Toc18735"/>
            <w:r>
              <w:rPr>
                <w:rFonts w:eastAsia="仿宋" w:hAnsi="仿宋"/>
                <w:color w:val="000000" w:themeColor="text1"/>
                <w:sz w:val="28"/>
              </w:rPr>
              <w:t>姓名</w:t>
            </w:r>
          </w:p>
        </w:tc>
        <w:tc>
          <w:tcPr>
            <w:tcW w:w="2335" w:type="dxa"/>
            <w:shd w:val="clear" w:color="auto" w:fill="auto"/>
            <w:tcMar>
              <w:top w:w="72" w:type="dxa"/>
              <w:left w:w="144" w:type="dxa"/>
              <w:bottom w:w="72" w:type="dxa"/>
              <w:right w:w="144" w:type="dxa"/>
            </w:tcMar>
            <w:vAlign w:val="center"/>
          </w:tcPr>
          <w:p w:rsidR="00A37CBB" w:rsidRDefault="00D21007">
            <w:pPr>
              <w:widowControl/>
              <w:kinsoku w:val="0"/>
              <w:overflowPunct w:val="0"/>
              <w:spacing w:line="265" w:lineRule="atLeast"/>
              <w:jc w:val="center"/>
              <w:textAlignment w:val="baseline"/>
              <w:rPr>
                <w:rFonts w:eastAsia="仿宋"/>
                <w:color w:val="000000" w:themeColor="text1"/>
                <w:sz w:val="28"/>
              </w:rPr>
            </w:pPr>
            <w:r>
              <w:rPr>
                <w:rFonts w:eastAsia="仿宋" w:hAnsi="仿宋"/>
                <w:color w:val="000000" w:themeColor="text1"/>
                <w:sz w:val="28"/>
              </w:rPr>
              <w:t>注册号</w:t>
            </w:r>
          </w:p>
        </w:tc>
        <w:tc>
          <w:tcPr>
            <w:tcW w:w="1948" w:type="dxa"/>
            <w:shd w:val="clear" w:color="auto" w:fill="auto"/>
            <w:tcMar>
              <w:top w:w="72" w:type="dxa"/>
              <w:left w:w="144" w:type="dxa"/>
              <w:bottom w:w="72" w:type="dxa"/>
              <w:right w:w="144" w:type="dxa"/>
            </w:tcMar>
            <w:vAlign w:val="center"/>
          </w:tcPr>
          <w:p w:rsidR="00A37CBB" w:rsidRDefault="00D21007">
            <w:pPr>
              <w:widowControl/>
              <w:kinsoku w:val="0"/>
              <w:overflowPunct w:val="0"/>
              <w:spacing w:line="265" w:lineRule="atLeast"/>
              <w:jc w:val="center"/>
              <w:textAlignment w:val="baseline"/>
              <w:rPr>
                <w:rFonts w:eastAsia="仿宋"/>
                <w:color w:val="000000" w:themeColor="text1"/>
                <w:sz w:val="28"/>
              </w:rPr>
            </w:pPr>
            <w:r>
              <w:rPr>
                <w:rFonts w:eastAsia="仿宋" w:hAnsi="仿宋"/>
                <w:color w:val="000000" w:themeColor="text1"/>
                <w:sz w:val="28"/>
              </w:rPr>
              <w:t>签名</w:t>
            </w:r>
          </w:p>
        </w:tc>
        <w:tc>
          <w:tcPr>
            <w:tcW w:w="3048" w:type="dxa"/>
            <w:shd w:val="clear" w:color="auto" w:fill="auto"/>
            <w:tcMar>
              <w:top w:w="72" w:type="dxa"/>
              <w:left w:w="144" w:type="dxa"/>
              <w:bottom w:w="72" w:type="dxa"/>
              <w:right w:w="144" w:type="dxa"/>
            </w:tcMar>
            <w:vAlign w:val="center"/>
          </w:tcPr>
          <w:p w:rsidR="00A37CBB" w:rsidRDefault="00D21007">
            <w:pPr>
              <w:widowControl/>
              <w:kinsoku w:val="0"/>
              <w:overflowPunct w:val="0"/>
              <w:spacing w:line="265" w:lineRule="atLeast"/>
              <w:jc w:val="center"/>
              <w:textAlignment w:val="baseline"/>
              <w:rPr>
                <w:rFonts w:eastAsia="仿宋"/>
                <w:color w:val="000000" w:themeColor="text1"/>
                <w:sz w:val="28"/>
              </w:rPr>
            </w:pPr>
            <w:r>
              <w:rPr>
                <w:rFonts w:eastAsia="仿宋" w:hAnsi="仿宋"/>
                <w:color w:val="000000" w:themeColor="text1"/>
                <w:sz w:val="28"/>
              </w:rPr>
              <w:t>签名日期</w:t>
            </w:r>
          </w:p>
        </w:tc>
      </w:tr>
      <w:tr w:rsidR="00A37CBB">
        <w:trPr>
          <w:trHeight w:val="1425"/>
        </w:trPr>
        <w:tc>
          <w:tcPr>
            <w:tcW w:w="1629" w:type="dxa"/>
            <w:shd w:val="clear" w:color="auto" w:fill="auto"/>
            <w:tcMar>
              <w:top w:w="72" w:type="dxa"/>
              <w:left w:w="144" w:type="dxa"/>
              <w:bottom w:w="72" w:type="dxa"/>
              <w:right w:w="144" w:type="dxa"/>
            </w:tcMar>
            <w:vAlign w:val="center"/>
          </w:tcPr>
          <w:p w:rsidR="00A37CBB" w:rsidRDefault="00D21007">
            <w:pPr>
              <w:widowControl/>
              <w:spacing w:line="240" w:lineRule="auto"/>
              <w:jc w:val="center"/>
              <w:rPr>
                <w:rFonts w:eastAsia="仿宋" w:hAnsi="仿宋"/>
                <w:color w:val="000000" w:themeColor="text1"/>
                <w:sz w:val="28"/>
                <w:szCs w:val="28"/>
              </w:rPr>
            </w:pPr>
            <w:r>
              <w:rPr>
                <w:rFonts w:eastAsia="仿宋" w:hAnsi="仿宋" w:hint="eastAsia"/>
                <w:color w:val="000000" w:themeColor="text1"/>
                <w:sz w:val="28"/>
                <w:szCs w:val="28"/>
              </w:rPr>
              <w:t>邓斌平</w:t>
            </w:r>
          </w:p>
        </w:tc>
        <w:tc>
          <w:tcPr>
            <w:tcW w:w="2335" w:type="dxa"/>
            <w:shd w:val="clear" w:color="auto" w:fill="auto"/>
            <w:tcMar>
              <w:top w:w="72" w:type="dxa"/>
              <w:left w:w="144" w:type="dxa"/>
              <w:bottom w:w="72" w:type="dxa"/>
              <w:right w:w="144" w:type="dxa"/>
            </w:tcMar>
            <w:vAlign w:val="center"/>
          </w:tcPr>
          <w:p w:rsidR="00A37CBB" w:rsidRDefault="00D21007">
            <w:pPr>
              <w:widowControl/>
              <w:spacing w:line="240" w:lineRule="auto"/>
              <w:jc w:val="center"/>
              <w:rPr>
                <w:rFonts w:eastAsia="仿宋"/>
                <w:color w:val="000000" w:themeColor="text1"/>
                <w:sz w:val="28"/>
                <w:szCs w:val="28"/>
              </w:rPr>
            </w:pPr>
            <w:r>
              <w:rPr>
                <w:rFonts w:eastAsia="仿宋" w:hint="eastAsia"/>
                <w:noProof/>
                <w:sz w:val="28"/>
                <w:szCs w:val="28"/>
              </w:rPr>
              <w:drawing>
                <wp:inline distT="0" distB="0" distL="114300" distR="114300">
                  <wp:extent cx="903605" cy="857885"/>
                  <wp:effectExtent l="0" t="0" r="10795" b="18415"/>
                  <wp:docPr id="51" name="图片 51" descr="72a7beaeb474233612c0539b0e35b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72a7beaeb474233612c0539b0e35b3d"/>
                          <pic:cNvPicPr>
                            <a:picLocks noChangeAspect="1"/>
                          </pic:cNvPicPr>
                        </pic:nvPicPr>
                        <pic:blipFill>
                          <a:blip r:embed="rId19" cstate="print"/>
                          <a:stretch>
                            <a:fillRect/>
                          </a:stretch>
                        </pic:blipFill>
                        <pic:spPr>
                          <a:xfrm>
                            <a:off x="0" y="0"/>
                            <a:ext cx="903605" cy="857885"/>
                          </a:xfrm>
                          <a:prstGeom prst="rect">
                            <a:avLst/>
                          </a:prstGeom>
                        </pic:spPr>
                      </pic:pic>
                    </a:graphicData>
                  </a:graphic>
                </wp:inline>
              </w:drawing>
            </w:r>
          </w:p>
        </w:tc>
        <w:tc>
          <w:tcPr>
            <w:tcW w:w="1948" w:type="dxa"/>
            <w:shd w:val="clear" w:color="auto" w:fill="auto"/>
            <w:tcMar>
              <w:top w:w="72" w:type="dxa"/>
              <w:left w:w="144" w:type="dxa"/>
              <w:bottom w:w="72" w:type="dxa"/>
              <w:right w:w="144" w:type="dxa"/>
            </w:tcMar>
            <w:vAlign w:val="center"/>
          </w:tcPr>
          <w:p w:rsidR="00A37CBB" w:rsidRDefault="00D21007">
            <w:pPr>
              <w:widowControl/>
              <w:spacing w:line="240" w:lineRule="auto"/>
              <w:jc w:val="center"/>
              <w:rPr>
                <w:rFonts w:eastAsia="仿宋"/>
                <w:color w:val="000000" w:themeColor="text1"/>
                <w:sz w:val="28"/>
              </w:rPr>
            </w:pPr>
            <w:r>
              <w:rPr>
                <w:rFonts w:eastAsia="仿宋" w:hint="eastAsia"/>
                <w:noProof/>
                <w:sz w:val="28"/>
              </w:rPr>
              <w:drawing>
                <wp:inline distT="0" distB="0" distL="114300" distR="114300">
                  <wp:extent cx="875030" cy="679450"/>
                  <wp:effectExtent l="0" t="0" r="0" b="0"/>
                  <wp:docPr id="52" name="图片 52" descr="1d320a0514b7dec7dabcf62c3d23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d320a0514b7dec7dabcf62c3d2386a"/>
                          <pic:cNvPicPr>
                            <a:picLocks noChangeAspect="1"/>
                          </pic:cNvPicPr>
                        </pic:nvPicPr>
                        <pic:blipFill>
                          <a:blip r:embed="rId20"/>
                          <a:stretch>
                            <a:fillRect/>
                          </a:stretch>
                        </pic:blipFill>
                        <pic:spPr>
                          <a:xfrm>
                            <a:off x="0" y="0"/>
                            <a:ext cx="875030" cy="679450"/>
                          </a:xfrm>
                          <a:prstGeom prst="rect">
                            <a:avLst/>
                          </a:prstGeom>
                        </pic:spPr>
                      </pic:pic>
                    </a:graphicData>
                  </a:graphic>
                </wp:inline>
              </w:drawing>
            </w:r>
          </w:p>
        </w:tc>
        <w:tc>
          <w:tcPr>
            <w:tcW w:w="3048" w:type="dxa"/>
            <w:shd w:val="clear" w:color="auto" w:fill="auto"/>
            <w:tcMar>
              <w:top w:w="72" w:type="dxa"/>
              <w:left w:w="144" w:type="dxa"/>
              <w:bottom w:w="72" w:type="dxa"/>
              <w:right w:w="144" w:type="dxa"/>
            </w:tcMar>
            <w:vAlign w:val="center"/>
          </w:tcPr>
          <w:p w:rsidR="00A37CBB" w:rsidRDefault="00D21007">
            <w:pPr>
              <w:widowControl/>
              <w:kinsoku w:val="0"/>
              <w:overflowPunct w:val="0"/>
              <w:spacing w:line="240" w:lineRule="auto"/>
              <w:jc w:val="center"/>
              <w:textAlignment w:val="baseline"/>
              <w:rPr>
                <w:rFonts w:eastAsia="仿宋"/>
                <w:color w:val="000000" w:themeColor="text1"/>
                <w:sz w:val="28"/>
              </w:rPr>
            </w:pPr>
            <w:r>
              <w:rPr>
                <w:rFonts w:eastAsia="仿宋" w:hint="eastAsia"/>
                <w:color w:val="000000" w:themeColor="text1"/>
                <w:sz w:val="28"/>
                <w:szCs w:val="28"/>
              </w:rPr>
              <w:t>2021</w:t>
            </w:r>
            <w:r>
              <w:rPr>
                <w:rFonts w:eastAsia="仿宋" w:hint="eastAsia"/>
                <w:color w:val="000000" w:themeColor="text1"/>
                <w:sz w:val="28"/>
                <w:szCs w:val="28"/>
              </w:rPr>
              <w:t>年</w:t>
            </w:r>
            <w:r>
              <w:rPr>
                <w:rFonts w:eastAsia="仿宋" w:hint="eastAsia"/>
                <w:color w:val="000000" w:themeColor="text1"/>
                <w:sz w:val="28"/>
                <w:szCs w:val="28"/>
              </w:rPr>
              <w:t>05</w:t>
            </w:r>
            <w:r>
              <w:rPr>
                <w:rFonts w:eastAsia="仿宋" w:hint="eastAsia"/>
                <w:color w:val="000000" w:themeColor="text1"/>
                <w:sz w:val="28"/>
                <w:szCs w:val="28"/>
              </w:rPr>
              <w:t>月</w:t>
            </w:r>
            <w:r>
              <w:rPr>
                <w:rFonts w:eastAsia="仿宋" w:hint="eastAsia"/>
                <w:color w:val="000000" w:themeColor="text1"/>
                <w:sz w:val="28"/>
                <w:szCs w:val="28"/>
              </w:rPr>
              <w:t>11</w:t>
            </w:r>
            <w:r>
              <w:rPr>
                <w:rFonts w:eastAsia="仿宋" w:hint="eastAsia"/>
                <w:color w:val="000000" w:themeColor="text1"/>
                <w:sz w:val="28"/>
                <w:szCs w:val="28"/>
              </w:rPr>
              <w:t>日</w:t>
            </w:r>
          </w:p>
        </w:tc>
      </w:tr>
      <w:tr w:rsidR="00A37CBB">
        <w:trPr>
          <w:trHeight w:val="1723"/>
        </w:trPr>
        <w:tc>
          <w:tcPr>
            <w:tcW w:w="1629" w:type="dxa"/>
            <w:shd w:val="clear" w:color="auto" w:fill="auto"/>
            <w:tcMar>
              <w:top w:w="72" w:type="dxa"/>
              <w:left w:w="144" w:type="dxa"/>
              <w:bottom w:w="72" w:type="dxa"/>
              <w:right w:w="144" w:type="dxa"/>
            </w:tcMar>
            <w:vAlign w:val="center"/>
          </w:tcPr>
          <w:p w:rsidR="00A37CBB" w:rsidRDefault="00D21007">
            <w:pPr>
              <w:widowControl/>
              <w:spacing w:line="240" w:lineRule="auto"/>
              <w:jc w:val="center"/>
              <w:rPr>
                <w:rFonts w:eastAsia="仿宋"/>
                <w:color w:val="000000" w:themeColor="text1"/>
                <w:sz w:val="28"/>
                <w:szCs w:val="28"/>
              </w:rPr>
            </w:pPr>
            <w:r>
              <w:rPr>
                <w:rFonts w:eastAsia="仿宋" w:hAnsi="仿宋" w:hint="eastAsia"/>
                <w:color w:val="000000" w:themeColor="text1"/>
                <w:sz w:val="28"/>
                <w:szCs w:val="28"/>
              </w:rPr>
              <w:t>黄</w:t>
            </w:r>
            <w:r>
              <w:rPr>
                <w:rFonts w:eastAsia="仿宋" w:hAnsi="仿宋" w:hint="eastAsia"/>
                <w:color w:val="000000" w:themeColor="text1"/>
                <w:sz w:val="28"/>
                <w:szCs w:val="28"/>
              </w:rPr>
              <w:t xml:space="preserve">  </w:t>
            </w:r>
            <w:r>
              <w:rPr>
                <w:rFonts w:eastAsia="仿宋" w:hAnsi="仿宋" w:hint="eastAsia"/>
                <w:color w:val="000000" w:themeColor="text1"/>
                <w:sz w:val="28"/>
                <w:szCs w:val="28"/>
              </w:rPr>
              <w:t>印</w:t>
            </w:r>
          </w:p>
        </w:tc>
        <w:tc>
          <w:tcPr>
            <w:tcW w:w="2335" w:type="dxa"/>
            <w:shd w:val="clear" w:color="auto" w:fill="auto"/>
            <w:tcMar>
              <w:top w:w="72" w:type="dxa"/>
              <w:left w:w="144" w:type="dxa"/>
              <w:bottom w:w="72" w:type="dxa"/>
              <w:right w:w="144" w:type="dxa"/>
            </w:tcMar>
            <w:vAlign w:val="center"/>
          </w:tcPr>
          <w:p w:rsidR="00A37CBB" w:rsidRDefault="00D21007">
            <w:pPr>
              <w:widowControl/>
              <w:spacing w:line="240" w:lineRule="auto"/>
              <w:jc w:val="center"/>
              <w:rPr>
                <w:rFonts w:eastAsia="仿宋"/>
                <w:color w:val="000000" w:themeColor="text1"/>
                <w:sz w:val="28"/>
                <w:szCs w:val="28"/>
              </w:rPr>
            </w:pPr>
            <w:r>
              <w:rPr>
                <w:rFonts w:eastAsia="仿宋" w:hint="eastAsia"/>
                <w:noProof/>
                <w:sz w:val="28"/>
                <w:szCs w:val="28"/>
              </w:rPr>
              <w:drawing>
                <wp:inline distT="0" distB="0" distL="114300" distR="114300">
                  <wp:extent cx="904875" cy="866775"/>
                  <wp:effectExtent l="0" t="0" r="9525" b="9525"/>
                  <wp:docPr id="53" name="图片 53" descr="34d3ac2de928b0fadbe5240f3ada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34d3ac2de928b0fadbe5240f3ada038"/>
                          <pic:cNvPicPr>
                            <a:picLocks noChangeAspect="1"/>
                          </pic:cNvPicPr>
                        </pic:nvPicPr>
                        <pic:blipFill>
                          <a:blip r:embed="rId21"/>
                          <a:stretch>
                            <a:fillRect/>
                          </a:stretch>
                        </pic:blipFill>
                        <pic:spPr>
                          <a:xfrm>
                            <a:off x="0" y="0"/>
                            <a:ext cx="904875" cy="866775"/>
                          </a:xfrm>
                          <a:prstGeom prst="rect">
                            <a:avLst/>
                          </a:prstGeom>
                        </pic:spPr>
                      </pic:pic>
                    </a:graphicData>
                  </a:graphic>
                </wp:inline>
              </w:drawing>
            </w:r>
          </w:p>
        </w:tc>
        <w:tc>
          <w:tcPr>
            <w:tcW w:w="1948" w:type="dxa"/>
            <w:shd w:val="clear" w:color="auto" w:fill="auto"/>
            <w:tcMar>
              <w:top w:w="72" w:type="dxa"/>
              <w:left w:w="144" w:type="dxa"/>
              <w:bottom w:w="72" w:type="dxa"/>
              <w:right w:w="144" w:type="dxa"/>
            </w:tcMar>
            <w:vAlign w:val="center"/>
          </w:tcPr>
          <w:p w:rsidR="00A37CBB" w:rsidRDefault="00D21007">
            <w:pPr>
              <w:widowControl/>
              <w:spacing w:line="240" w:lineRule="auto"/>
              <w:jc w:val="center"/>
              <w:rPr>
                <w:rFonts w:eastAsia="仿宋"/>
                <w:color w:val="000000" w:themeColor="text1"/>
                <w:sz w:val="28"/>
              </w:rPr>
            </w:pPr>
            <w:r>
              <w:rPr>
                <w:rFonts w:eastAsia="仿宋" w:hint="eastAsia"/>
                <w:noProof/>
                <w:sz w:val="28"/>
              </w:rPr>
              <w:drawing>
                <wp:inline distT="0" distB="0" distL="114300" distR="114300">
                  <wp:extent cx="876300" cy="495300"/>
                  <wp:effectExtent l="0" t="0" r="0" b="0"/>
                  <wp:docPr id="54" name="图片 54" descr="c639f58ab8d87e105cf859ab191c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639f58ab8d87e105cf859ab191cfa4"/>
                          <pic:cNvPicPr>
                            <a:picLocks noChangeAspect="1"/>
                          </pic:cNvPicPr>
                        </pic:nvPicPr>
                        <pic:blipFill>
                          <a:blip r:embed="rId22"/>
                          <a:stretch>
                            <a:fillRect/>
                          </a:stretch>
                        </pic:blipFill>
                        <pic:spPr>
                          <a:xfrm>
                            <a:off x="0" y="0"/>
                            <a:ext cx="876300" cy="495300"/>
                          </a:xfrm>
                          <a:prstGeom prst="rect">
                            <a:avLst/>
                          </a:prstGeom>
                        </pic:spPr>
                      </pic:pic>
                    </a:graphicData>
                  </a:graphic>
                </wp:inline>
              </w:drawing>
            </w:r>
          </w:p>
        </w:tc>
        <w:tc>
          <w:tcPr>
            <w:tcW w:w="3048" w:type="dxa"/>
            <w:shd w:val="clear" w:color="auto" w:fill="auto"/>
            <w:tcMar>
              <w:top w:w="72" w:type="dxa"/>
              <w:left w:w="144" w:type="dxa"/>
              <w:bottom w:w="72" w:type="dxa"/>
              <w:right w:w="144" w:type="dxa"/>
            </w:tcMar>
            <w:vAlign w:val="center"/>
          </w:tcPr>
          <w:p w:rsidR="00A37CBB" w:rsidRDefault="00D21007">
            <w:pPr>
              <w:widowControl/>
              <w:kinsoku w:val="0"/>
              <w:overflowPunct w:val="0"/>
              <w:spacing w:line="240" w:lineRule="auto"/>
              <w:jc w:val="center"/>
              <w:textAlignment w:val="baseline"/>
              <w:rPr>
                <w:rFonts w:eastAsia="仿宋"/>
                <w:color w:val="000000" w:themeColor="text1"/>
                <w:sz w:val="28"/>
              </w:rPr>
            </w:pPr>
            <w:r>
              <w:rPr>
                <w:rFonts w:eastAsia="仿宋" w:hint="eastAsia"/>
                <w:color w:val="000000" w:themeColor="text1"/>
                <w:sz w:val="28"/>
                <w:szCs w:val="28"/>
              </w:rPr>
              <w:t>2021</w:t>
            </w:r>
            <w:r>
              <w:rPr>
                <w:rFonts w:eastAsia="仿宋" w:hint="eastAsia"/>
                <w:color w:val="000000" w:themeColor="text1"/>
                <w:sz w:val="28"/>
                <w:szCs w:val="28"/>
              </w:rPr>
              <w:t>年</w:t>
            </w:r>
            <w:r>
              <w:rPr>
                <w:rFonts w:eastAsia="仿宋" w:hint="eastAsia"/>
                <w:color w:val="000000" w:themeColor="text1"/>
                <w:sz w:val="28"/>
                <w:szCs w:val="28"/>
              </w:rPr>
              <w:t>05</w:t>
            </w:r>
            <w:r>
              <w:rPr>
                <w:rFonts w:eastAsia="仿宋" w:hint="eastAsia"/>
                <w:color w:val="000000" w:themeColor="text1"/>
                <w:sz w:val="28"/>
                <w:szCs w:val="28"/>
              </w:rPr>
              <w:t>月</w:t>
            </w:r>
            <w:r>
              <w:rPr>
                <w:rFonts w:eastAsia="仿宋" w:hint="eastAsia"/>
                <w:color w:val="000000" w:themeColor="text1"/>
                <w:sz w:val="28"/>
                <w:szCs w:val="28"/>
              </w:rPr>
              <w:t>11</w:t>
            </w:r>
            <w:r>
              <w:rPr>
                <w:rFonts w:eastAsia="仿宋" w:hint="eastAsia"/>
                <w:color w:val="000000" w:themeColor="text1"/>
                <w:sz w:val="28"/>
                <w:szCs w:val="28"/>
              </w:rPr>
              <w:t>日</w:t>
            </w:r>
          </w:p>
        </w:tc>
      </w:tr>
    </w:tbl>
    <w:p w:rsidR="00A37CBB" w:rsidRDefault="00D21007">
      <w:pPr>
        <w:pStyle w:val="a0"/>
        <w:spacing w:line="480" w:lineRule="exact"/>
        <w:ind w:firstLine="0"/>
        <w:outlineLvl w:val="2"/>
        <w:rPr>
          <w:rFonts w:ascii="仿宋" w:eastAsia="仿宋" w:hAnsi="仿宋"/>
          <w:b/>
          <w:bCs/>
        </w:rPr>
      </w:pPr>
      <w:r>
        <w:rPr>
          <w:rFonts w:ascii="仿宋" w:eastAsia="仿宋" w:hAnsi="仿宋"/>
          <w:b/>
          <w:bCs/>
        </w:rPr>
        <w:t>十二、</w:t>
      </w:r>
      <w:r>
        <w:rPr>
          <w:rFonts w:ascii="仿宋" w:eastAsia="仿宋" w:hAnsi="仿宋" w:hint="eastAsia"/>
          <w:b/>
          <w:bCs/>
        </w:rPr>
        <w:t>实地查勘日期</w:t>
      </w:r>
      <w:bookmarkEnd w:id="37"/>
    </w:p>
    <w:p w:rsidR="00A37CBB" w:rsidRDefault="00D21007">
      <w:pPr>
        <w:pStyle w:val="a0"/>
        <w:spacing w:line="480" w:lineRule="exact"/>
        <w:ind w:firstLineChars="200" w:firstLine="560"/>
        <w:rPr>
          <w:rFonts w:ascii="仿宋" w:eastAsia="仿宋" w:hAnsi="仿宋"/>
        </w:rPr>
      </w:pPr>
      <w:r>
        <w:rPr>
          <w:rFonts w:ascii="仿宋" w:eastAsia="仿宋" w:hAnsi="仿宋" w:hint="eastAsia"/>
        </w:rPr>
        <w:t>2021年05月07日</w:t>
      </w:r>
    </w:p>
    <w:p w:rsidR="00A37CBB" w:rsidRDefault="00D21007">
      <w:pPr>
        <w:pStyle w:val="a0"/>
        <w:spacing w:line="480" w:lineRule="exact"/>
        <w:ind w:firstLine="0"/>
        <w:outlineLvl w:val="2"/>
        <w:rPr>
          <w:rFonts w:ascii="仿宋" w:eastAsia="仿宋" w:hAnsi="仿宋"/>
          <w:b/>
          <w:bCs/>
        </w:rPr>
      </w:pPr>
      <w:bookmarkStart w:id="38" w:name="_Toc1843"/>
      <w:r>
        <w:rPr>
          <w:rFonts w:ascii="仿宋" w:eastAsia="仿宋" w:hAnsi="仿宋"/>
          <w:b/>
          <w:bCs/>
        </w:rPr>
        <w:t>十三、估价作业日期</w:t>
      </w:r>
      <w:bookmarkEnd w:id="38"/>
    </w:p>
    <w:p w:rsidR="00A37CBB" w:rsidRDefault="00D21007">
      <w:pPr>
        <w:pStyle w:val="a0"/>
        <w:spacing w:line="480" w:lineRule="exact"/>
        <w:ind w:firstLineChars="200" w:firstLine="560"/>
        <w:rPr>
          <w:rFonts w:ascii="仿宋" w:eastAsia="仿宋" w:hAnsi="仿宋"/>
        </w:rPr>
      </w:pPr>
      <w:r>
        <w:rPr>
          <w:rFonts w:ascii="仿宋" w:eastAsia="仿宋" w:hAnsi="仿宋" w:hint="eastAsia"/>
        </w:rPr>
        <w:t>2021年05月07日</w:t>
      </w:r>
      <w:r>
        <w:rPr>
          <w:rFonts w:ascii="仿宋" w:eastAsia="仿宋" w:hAnsi="仿宋"/>
        </w:rPr>
        <w:t>至</w:t>
      </w:r>
      <w:bookmarkStart w:id="39" w:name="_Toc469826793"/>
      <w:bookmarkStart w:id="40" w:name="_Toc119160799"/>
      <w:bookmarkStart w:id="41" w:name="_Toc7343633"/>
      <w:bookmarkStart w:id="42" w:name="_Toc391884264"/>
      <w:bookmarkStart w:id="43" w:name="_Toc240707870"/>
      <w:bookmarkStart w:id="44" w:name="_Toc213473261"/>
      <w:bookmarkStart w:id="45" w:name="_Toc469641711"/>
      <w:r>
        <w:rPr>
          <w:rFonts w:ascii="仿宋" w:eastAsia="仿宋" w:hAnsi="仿宋" w:hint="eastAsia"/>
        </w:rPr>
        <w:t>2021年05月11日</w:t>
      </w:r>
    </w:p>
    <w:p w:rsidR="00A37CBB" w:rsidRDefault="00A37CBB">
      <w:pPr>
        <w:pStyle w:val="2"/>
        <w:spacing w:before="0" w:after="0" w:line="480" w:lineRule="exact"/>
        <w:ind w:firstLineChars="850" w:firstLine="3412"/>
        <w:jc w:val="both"/>
        <w:rPr>
          <w:rFonts w:ascii="仿宋" w:eastAsia="仿宋" w:hAnsi="仿宋"/>
          <w:bCs/>
          <w:szCs w:val="36"/>
        </w:rPr>
        <w:sectPr w:rsidR="00A37CBB">
          <w:pgSz w:w="11907" w:h="16840"/>
          <w:pgMar w:top="1440" w:right="1797" w:bottom="1440" w:left="1797" w:header="851" w:footer="992" w:gutter="0"/>
          <w:cols w:space="425"/>
          <w:docGrid w:type="lines" w:linePitch="326"/>
        </w:sectPr>
      </w:pPr>
      <w:bookmarkStart w:id="46" w:name="_Toc437526990"/>
    </w:p>
    <w:p w:rsidR="00A37CBB" w:rsidRDefault="00D21007">
      <w:pPr>
        <w:pStyle w:val="2"/>
        <w:spacing w:before="0" w:after="0" w:line="480" w:lineRule="exact"/>
        <w:rPr>
          <w:rFonts w:ascii="仿宋" w:eastAsia="仿宋" w:hAnsi="仿宋"/>
          <w:bCs/>
        </w:rPr>
      </w:pPr>
      <w:bookmarkStart w:id="47" w:name="_Toc442100613"/>
      <w:bookmarkStart w:id="48" w:name="_Toc32156"/>
      <w:bookmarkEnd w:id="46"/>
      <w:r>
        <w:rPr>
          <w:rFonts w:ascii="仿宋" w:eastAsia="仿宋" w:hAnsi="仿宋"/>
          <w:bCs/>
        </w:rPr>
        <w:lastRenderedPageBreak/>
        <w:t>估价技术报告</w:t>
      </w:r>
      <w:bookmarkStart w:id="49" w:name="_Toc442100614"/>
      <w:bookmarkStart w:id="50" w:name="_Toc240707871"/>
      <w:bookmarkStart w:id="51" w:name="_Toc391884265"/>
      <w:bookmarkEnd w:id="39"/>
      <w:bookmarkEnd w:id="40"/>
      <w:bookmarkEnd w:id="41"/>
      <w:bookmarkEnd w:id="42"/>
      <w:bookmarkEnd w:id="43"/>
      <w:bookmarkEnd w:id="44"/>
      <w:bookmarkEnd w:id="45"/>
      <w:bookmarkEnd w:id="47"/>
      <w:bookmarkEnd w:id="48"/>
    </w:p>
    <w:p w:rsidR="00A37CBB" w:rsidRDefault="00D21007">
      <w:pPr>
        <w:pStyle w:val="a0"/>
        <w:numPr>
          <w:ilvl w:val="0"/>
          <w:numId w:val="1"/>
        </w:numPr>
        <w:spacing w:line="480" w:lineRule="exact"/>
        <w:ind w:firstLine="0"/>
        <w:jc w:val="left"/>
        <w:outlineLvl w:val="2"/>
        <w:rPr>
          <w:rFonts w:eastAsia="仿宋" w:hAnsi="仿宋"/>
          <w:b/>
          <w:bCs/>
          <w:szCs w:val="22"/>
        </w:rPr>
      </w:pPr>
      <w:bookmarkStart w:id="52" w:name="_Toc20584"/>
      <w:bookmarkStart w:id="53" w:name="_Toc240707872"/>
      <w:bookmarkStart w:id="54" w:name="_Toc391884266"/>
      <w:bookmarkStart w:id="55" w:name="_Toc442100616"/>
      <w:bookmarkEnd w:id="49"/>
      <w:bookmarkEnd w:id="50"/>
      <w:bookmarkEnd w:id="51"/>
      <w:r>
        <w:rPr>
          <w:rFonts w:eastAsia="仿宋" w:hAnsi="仿宋"/>
          <w:b/>
          <w:bCs/>
          <w:szCs w:val="22"/>
        </w:rPr>
        <w:t>房地产状况分析</w:t>
      </w:r>
      <w:bookmarkEnd w:id="52"/>
    </w:p>
    <w:p w:rsidR="00A37CBB" w:rsidRDefault="00D21007">
      <w:pPr>
        <w:pStyle w:val="a9"/>
        <w:spacing w:line="480" w:lineRule="exact"/>
        <w:ind w:firstLine="555"/>
        <w:rPr>
          <w:rFonts w:ascii="仿宋" w:eastAsia="仿宋" w:hAnsi="仿宋"/>
          <w:sz w:val="28"/>
          <w:szCs w:val="22"/>
        </w:rPr>
      </w:pPr>
      <w:r>
        <w:rPr>
          <w:rFonts w:ascii="仿宋" w:eastAsia="仿宋" w:hAnsi="仿宋" w:hint="eastAsia"/>
          <w:sz w:val="28"/>
          <w:szCs w:val="22"/>
        </w:rPr>
        <w:t>1、估价对象区域状况分析</w:t>
      </w:r>
    </w:p>
    <w:p w:rsidR="00A37CBB" w:rsidRDefault="00D21007">
      <w:pPr>
        <w:spacing w:line="480" w:lineRule="exact"/>
        <w:ind w:firstLineChars="200" w:firstLine="560"/>
        <w:rPr>
          <w:rFonts w:ascii="仿宋_GB2312" w:hAnsi="宋体"/>
          <w:sz w:val="28"/>
          <w:szCs w:val="28"/>
        </w:rPr>
      </w:pPr>
      <w:r>
        <w:rPr>
          <w:rFonts w:ascii="仿宋" w:eastAsia="仿宋" w:hAnsi="仿宋" w:cs="仿宋" w:hint="eastAsia"/>
          <w:sz w:val="28"/>
          <w:szCs w:val="28"/>
        </w:rPr>
        <w:t>估价对象位于赣州市大余县新城镇赤石乡分水坳村下田心，</w:t>
      </w:r>
      <w:r>
        <w:rPr>
          <w:rFonts w:ascii="仿宋_GB2312" w:hAnsi="宋体" w:hint="eastAsia"/>
          <w:sz w:val="28"/>
          <w:szCs w:val="28"/>
        </w:rPr>
        <w:t>处于赣州市大余县，位置状况优。</w:t>
      </w:r>
    </w:p>
    <w:p w:rsidR="00A37CBB" w:rsidRDefault="00D21007">
      <w:pPr>
        <w:spacing w:line="480" w:lineRule="exact"/>
        <w:ind w:firstLineChars="200" w:firstLine="560"/>
        <w:rPr>
          <w:sz w:val="28"/>
          <w:szCs w:val="28"/>
        </w:rPr>
      </w:pPr>
      <w:r>
        <w:rPr>
          <w:sz w:val="28"/>
          <w:szCs w:val="28"/>
        </w:rPr>
        <w:t>（</w:t>
      </w:r>
      <w:r>
        <w:rPr>
          <w:sz w:val="28"/>
          <w:szCs w:val="28"/>
        </w:rPr>
        <w:t>2</w:t>
      </w:r>
      <w:r>
        <w:rPr>
          <w:sz w:val="28"/>
          <w:szCs w:val="28"/>
        </w:rPr>
        <w:t>）交通状况</w:t>
      </w:r>
    </w:p>
    <w:p w:rsidR="00A37CBB" w:rsidRDefault="00D21007">
      <w:pPr>
        <w:spacing w:line="480" w:lineRule="exact"/>
        <w:ind w:firstLineChars="200" w:firstLine="560"/>
        <w:rPr>
          <w:sz w:val="28"/>
          <w:szCs w:val="28"/>
        </w:rPr>
      </w:pPr>
      <w:r>
        <w:rPr>
          <w:sz w:val="28"/>
          <w:szCs w:val="28"/>
        </w:rPr>
        <w:t>附近有多路公交车，交通便利。</w:t>
      </w:r>
    </w:p>
    <w:p w:rsidR="00A37CBB" w:rsidRDefault="00D21007">
      <w:pPr>
        <w:spacing w:line="480" w:lineRule="exact"/>
        <w:ind w:firstLineChars="200" w:firstLine="560"/>
        <w:rPr>
          <w:sz w:val="28"/>
          <w:szCs w:val="28"/>
        </w:rPr>
      </w:pPr>
      <w:r>
        <w:rPr>
          <w:sz w:val="28"/>
          <w:szCs w:val="28"/>
        </w:rPr>
        <w:t>（</w:t>
      </w:r>
      <w:r>
        <w:rPr>
          <w:sz w:val="28"/>
          <w:szCs w:val="28"/>
        </w:rPr>
        <w:t>3</w:t>
      </w:r>
      <w:r>
        <w:rPr>
          <w:sz w:val="28"/>
          <w:szCs w:val="28"/>
        </w:rPr>
        <w:t>）环境状况</w:t>
      </w:r>
    </w:p>
    <w:p w:rsidR="00A37CBB" w:rsidRDefault="00D21007">
      <w:pPr>
        <w:spacing w:line="480" w:lineRule="exact"/>
        <w:ind w:firstLineChars="200" w:firstLine="560"/>
        <w:rPr>
          <w:sz w:val="28"/>
          <w:szCs w:val="28"/>
        </w:rPr>
      </w:pPr>
      <w:r>
        <w:rPr>
          <w:sz w:val="28"/>
          <w:szCs w:val="28"/>
        </w:rPr>
        <w:t>大余县位于江西省西南端，</w:t>
      </w:r>
      <w:hyperlink r:id="rId23" w:tgtFrame="https://baike.so.com/doc/_blank" w:history="1">
        <w:r>
          <w:rPr>
            <w:sz w:val="28"/>
            <w:szCs w:val="28"/>
          </w:rPr>
          <w:t>赣州市</w:t>
        </w:r>
      </w:hyperlink>
      <w:r>
        <w:rPr>
          <w:sz w:val="28"/>
          <w:szCs w:val="28"/>
        </w:rPr>
        <w:t>西南部，章江上游，庾岭北麓，介于东经</w:t>
      </w:r>
      <w:r>
        <w:rPr>
          <w:sz w:val="28"/>
          <w:szCs w:val="28"/>
        </w:rPr>
        <w:t>114°~114°44′</w:t>
      </w:r>
      <w:r>
        <w:rPr>
          <w:sz w:val="28"/>
          <w:szCs w:val="28"/>
        </w:rPr>
        <w:t>、北纬</w:t>
      </w:r>
      <w:r>
        <w:rPr>
          <w:sz w:val="28"/>
          <w:szCs w:val="28"/>
        </w:rPr>
        <w:t>25°15′~25°37′</w:t>
      </w:r>
      <w:r>
        <w:rPr>
          <w:sz w:val="28"/>
          <w:szCs w:val="28"/>
        </w:rPr>
        <w:t>之间。东北与南康区相连，东南与</w:t>
      </w:r>
      <w:hyperlink r:id="rId24" w:tgtFrame="https://baike.so.com/doc/_blank" w:history="1">
        <w:r>
          <w:rPr>
            <w:sz w:val="28"/>
            <w:szCs w:val="28"/>
          </w:rPr>
          <w:t>信丰县</w:t>
        </w:r>
      </w:hyperlink>
      <w:r>
        <w:rPr>
          <w:sz w:val="28"/>
          <w:szCs w:val="28"/>
        </w:rPr>
        <w:t>交壤，西北与崇义县毗邻，南与</w:t>
      </w:r>
      <w:hyperlink r:id="rId25" w:tgtFrame="https://baike.so.com/doc/_blank" w:history="1">
        <w:r>
          <w:rPr>
            <w:sz w:val="28"/>
            <w:szCs w:val="28"/>
          </w:rPr>
          <w:t>广东省</w:t>
        </w:r>
      </w:hyperlink>
      <w:r>
        <w:rPr>
          <w:sz w:val="28"/>
          <w:szCs w:val="28"/>
        </w:rPr>
        <w:t>南雄市襟连，西界广东省仁化县。</w:t>
      </w:r>
      <w:hyperlink r:id="rId26" w:tgtFrame="https://baike.so.com/doc/_blank" w:history="1">
        <w:r>
          <w:rPr>
            <w:sz w:val="28"/>
            <w:szCs w:val="28"/>
          </w:rPr>
          <w:t>323</w:t>
        </w:r>
        <w:r>
          <w:rPr>
            <w:sz w:val="28"/>
            <w:szCs w:val="28"/>
          </w:rPr>
          <w:t>国道</w:t>
        </w:r>
      </w:hyperlink>
      <w:r>
        <w:rPr>
          <w:sz w:val="28"/>
          <w:szCs w:val="28"/>
        </w:rPr>
        <w:t>、</w:t>
      </w:r>
      <w:hyperlink r:id="rId27" w:tgtFrame="https://baike.so.com/doc/_blank" w:history="1">
        <w:r>
          <w:rPr>
            <w:sz w:val="28"/>
            <w:szCs w:val="28"/>
          </w:rPr>
          <w:t>赣韶高速公路</w:t>
        </w:r>
      </w:hyperlink>
      <w:r>
        <w:rPr>
          <w:sz w:val="28"/>
          <w:szCs w:val="28"/>
        </w:rPr>
        <w:t>和</w:t>
      </w:r>
      <w:hyperlink r:id="rId28" w:tgtFrame="https://baike.so.com/doc/_blank" w:history="1">
        <w:r>
          <w:rPr>
            <w:sz w:val="28"/>
            <w:szCs w:val="28"/>
          </w:rPr>
          <w:t>赣韶铁路</w:t>
        </w:r>
      </w:hyperlink>
      <w:r>
        <w:rPr>
          <w:sz w:val="28"/>
          <w:szCs w:val="28"/>
        </w:rPr>
        <w:t>(</w:t>
      </w:r>
      <w:r>
        <w:rPr>
          <w:sz w:val="28"/>
          <w:szCs w:val="28"/>
        </w:rPr>
        <w:t>在建</w:t>
      </w:r>
      <w:r>
        <w:rPr>
          <w:sz w:val="28"/>
          <w:szCs w:val="28"/>
        </w:rPr>
        <w:t>)</w:t>
      </w:r>
      <w:r>
        <w:rPr>
          <w:sz w:val="28"/>
          <w:szCs w:val="28"/>
        </w:rPr>
        <w:t>纵贯县境。国土面积</w:t>
      </w:r>
      <w:r>
        <w:rPr>
          <w:sz w:val="28"/>
          <w:szCs w:val="28"/>
        </w:rPr>
        <w:t>1368</w:t>
      </w:r>
      <w:r>
        <w:rPr>
          <w:sz w:val="28"/>
          <w:szCs w:val="28"/>
        </w:rPr>
        <w:t>平方公里，辖</w:t>
      </w:r>
      <w:r>
        <w:rPr>
          <w:sz w:val="28"/>
          <w:szCs w:val="28"/>
        </w:rPr>
        <w:t>11</w:t>
      </w:r>
      <w:r>
        <w:rPr>
          <w:sz w:val="28"/>
          <w:szCs w:val="28"/>
        </w:rPr>
        <w:t>个乡镇、</w:t>
      </w:r>
      <w:r>
        <w:rPr>
          <w:sz w:val="28"/>
          <w:szCs w:val="28"/>
        </w:rPr>
        <w:t>105</w:t>
      </w:r>
      <w:r>
        <w:rPr>
          <w:sz w:val="28"/>
          <w:szCs w:val="28"/>
        </w:rPr>
        <w:t>个行政村、</w:t>
      </w:r>
      <w:r>
        <w:rPr>
          <w:sz w:val="28"/>
          <w:szCs w:val="28"/>
        </w:rPr>
        <w:t>13</w:t>
      </w:r>
      <w:r>
        <w:rPr>
          <w:sz w:val="28"/>
          <w:szCs w:val="28"/>
        </w:rPr>
        <w:t>个社区，总人口</w:t>
      </w:r>
      <w:r>
        <w:rPr>
          <w:sz w:val="28"/>
          <w:szCs w:val="28"/>
        </w:rPr>
        <w:t>31</w:t>
      </w:r>
      <w:r>
        <w:rPr>
          <w:sz w:val="28"/>
          <w:szCs w:val="28"/>
        </w:rPr>
        <w:t>万。</w:t>
      </w:r>
    </w:p>
    <w:p w:rsidR="00A37CBB" w:rsidRDefault="00D21007">
      <w:pPr>
        <w:spacing w:line="480" w:lineRule="exact"/>
        <w:ind w:firstLineChars="200" w:firstLine="560"/>
        <w:rPr>
          <w:sz w:val="28"/>
          <w:szCs w:val="28"/>
        </w:rPr>
      </w:pPr>
      <w:r>
        <w:rPr>
          <w:sz w:val="28"/>
          <w:szCs w:val="28"/>
        </w:rPr>
        <w:t>（</w:t>
      </w:r>
      <w:r>
        <w:rPr>
          <w:sz w:val="28"/>
          <w:szCs w:val="28"/>
        </w:rPr>
        <w:t>4</w:t>
      </w:r>
      <w:r>
        <w:rPr>
          <w:sz w:val="28"/>
          <w:szCs w:val="28"/>
        </w:rPr>
        <w:t>）外部配套设施状况</w:t>
      </w:r>
    </w:p>
    <w:p w:rsidR="00A37CBB" w:rsidRDefault="00D21007">
      <w:pPr>
        <w:spacing w:line="480" w:lineRule="exact"/>
        <w:ind w:firstLineChars="200" w:firstLine="560"/>
        <w:rPr>
          <w:sz w:val="28"/>
          <w:szCs w:val="28"/>
        </w:rPr>
      </w:pPr>
      <w:r>
        <w:rPr>
          <w:sz w:val="28"/>
          <w:szCs w:val="28"/>
        </w:rPr>
        <w:t>2014</w:t>
      </w:r>
      <w:r>
        <w:rPr>
          <w:sz w:val="28"/>
          <w:szCs w:val="28"/>
        </w:rPr>
        <w:t>全年地区生产总值</w:t>
      </w:r>
      <w:r>
        <w:rPr>
          <w:sz w:val="28"/>
          <w:szCs w:val="28"/>
        </w:rPr>
        <w:t>(GDP) 861213</w:t>
      </w:r>
      <w:r>
        <w:rPr>
          <w:sz w:val="28"/>
          <w:szCs w:val="28"/>
        </w:rPr>
        <w:t>万元，按可比价格计算，比上年增长</w:t>
      </w:r>
      <w:r>
        <w:rPr>
          <w:sz w:val="28"/>
          <w:szCs w:val="28"/>
        </w:rPr>
        <w:t>8.8%</w:t>
      </w:r>
      <w:r>
        <w:rPr>
          <w:sz w:val="28"/>
          <w:szCs w:val="28"/>
        </w:rPr>
        <w:t>。其中，第一产业增加值</w:t>
      </w:r>
      <w:r>
        <w:rPr>
          <w:sz w:val="28"/>
          <w:szCs w:val="28"/>
        </w:rPr>
        <w:t>112934</w:t>
      </w:r>
      <w:r>
        <w:rPr>
          <w:sz w:val="28"/>
          <w:szCs w:val="28"/>
        </w:rPr>
        <w:t>万元，增长</w:t>
      </w:r>
      <w:r>
        <w:rPr>
          <w:sz w:val="28"/>
          <w:szCs w:val="28"/>
        </w:rPr>
        <w:t>4.6%</w:t>
      </w:r>
      <w:r>
        <w:rPr>
          <w:sz w:val="28"/>
          <w:szCs w:val="28"/>
        </w:rPr>
        <w:t>；第二产业增加值</w:t>
      </w:r>
      <w:r>
        <w:rPr>
          <w:sz w:val="28"/>
          <w:szCs w:val="28"/>
        </w:rPr>
        <w:t>448343</w:t>
      </w:r>
      <w:r>
        <w:rPr>
          <w:sz w:val="28"/>
          <w:szCs w:val="28"/>
        </w:rPr>
        <w:t>万元，增长</w:t>
      </w:r>
      <w:r>
        <w:rPr>
          <w:sz w:val="28"/>
          <w:szCs w:val="28"/>
        </w:rPr>
        <w:t>10.4%</w:t>
      </w:r>
      <w:r>
        <w:rPr>
          <w:sz w:val="28"/>
          <w:szCs w:val="28"/>
        </w:rPr>
        <w:t>；第三产业增加值</w:t>
      </w:r>
      <w:r>
        <w:rPr>
          <w:sz w:val="28"/>
          <w:szCs w:val="28"/>
        </w:rPr>
        <w:t>299936</w:t>
      </w:r>
      <w:r>
        <w:rPr>
          <w:sz w:val="28"/>
          <w:szCs w:val="28"/>
        </w:rPr>
        <w:t>万元，增长</w:t>
      </w:r>
      <w:r>
        <w:rPr>
          <w:sz w:val="28"/>
          <w:szCs w:val="28"/>
        </w:rPr>
        <w:t>7.9%</w:t>
      </w:r>
      <w:r>
        <w:rPr>
          <w:sz w:val="28"/>
          <w:szCs w:val="28"/>
        </w:rPr>
        <w:t>。人均生产总值</w:t>
      </w:r>
      <w:r>
        <w:rPr>
          <w:sz w:val="28"/>
          <w:szCs w:val="28"/>
        </w:rPr>
        <w:t>29447</w:t>
      </w:r>
      <w:r>
        <w:rPr>
          <w:sz w:val="28"/>
          <w:szCs w:val="28"/>
        </w:rPr>
        <w:t>元，增长</w:t>
      </w:r>
      <w:r>
        <w:rPr>
          <w:sz w:val="28"/>
          <w:szCs w:val="28"/>
        </w:rPr>
        <w:t>8.5%</w:t>
      </w:r>
      <w:r>
        <w:rPr>
          <w:sz w:val="28"/>
          <w:szCs w:val="28"/>
        </w:rPr>
        <w:t>。产业结构进一步调整，一、二、三产业增加值占地区生产总值的比重由上年的</w:t>
      </w:r>
      <w:r>
        <w:rPr>
          <w:sz w:val="28"/>
          <w:szCs w:val="28"/>
        </w:rPr>
        <w:t>14:51.8:34.2</w:t>
      </w:r>
      <w:r>
        <w:rPr>
          <w:sz w:val="28"/>
          <w:szCs w:val="28"/>
        </w:rPr>
        <w:t>调整为</w:t>
      </w:r>
      <w:r>
        <w:rPr>
          <w:sz w:val="28"/>
          <w:szCs w:val="28"/>
        </w:rPr>
        <w:t>13.1:52.1:34.8</w:t>
      </w:r>
      <w:r>
        <w:rPr>
          <w:sz w:val="28"/>
          <w:szCs w:val="28"/>
        </w:rPr>
        <w:t>。非公有制经济快速发展，实现增加值</w:t>
      </w:r>
      <w:r>
        <w:rPr>
          <w:sz w:val="28"/>
          <w:szCs w:val="28"/>
        </w:rPr>
        <w:t>579249</w:t>
      </w:r>
      <w:r>
        <w:rPr>
          <w:sz w:val="28"/>
          <w:szCs w:val="28"/>
        </w:rPr>
        <w:t>万元，增长</w:t>
      </w:r>
      <w:r>
        <w:rPr>
          <w:sz w:val="28"/>
          <w:szCs w:val="28"/>
        </w:rPr>
        <w:t>8.9%</w:t>
      </w:r>
      <w:r>
        <w:rPr>
          <w:sz w:val="28"/>
          <w:szCs w:val="28"/>
        </w:rPr>
        <w:t>，占</w:t>
      </w:r>
      <w:r>
        <w:rPr>
          <w:sz w:val="28"/>
          <w:szCs w:val="28"/>
        </w:rPr>
        <w:t>GDP</w:t>
      </w:r>
      <w:r>
        <w:rPr>
          <w:sz w:val="28"/>
          <w:szCs w:val="28"/>
        </w:rPr>
        <w:t>的比重</w:t>
      </w:r>
      <w:r>
        <w:rPr>
          <w:sz w:val="28"/>
          <w:szCs w:val="28"/>
        </w:rPr>
        <w:t>67.3%</w:t>
      </w:r>
      <w:r>
        <w:rPr>
          <w:sz w:val="28"/>
          <w:szCs w:val="28"/>
        </w:rPr>
        <w:t>。</w:t>
      </w:r>
    </w:p>
    <w:p w:rsidR="00A37CBB" w:rsidRDefault="00D21007">
      <w:pPr>
        <w:spacing w:line="480" w:lineRule="exact"/>
        <w:ind w:firstLineChars="200" w:firstLine="560"/>
        <w:rPr>
          <w:sz w:val="28"/>
          <w:szCs w:val="28"/>
        </w:rPr>
      </w:pPr>
      <w:r>
        <w:rPr>
          <w:sz w:val="28"/>
          <w:szCs w:val="28"/>
        </w:rPr>
        <w:t>2017</w:t>
      </w:r>
      <w:r>
        <w:rPr>
          <w:sz w:val="28"/>
          <w:szCs w:val="28"/>
        </w:rPr>
        <w:t>年，实现生产总值</w:t>
      </w:r>
      <w:r>
        <w:rPr>
          <w:sz w:val="28"/>
          <w:szCs w:val="28"/>
        </w:rPr>
        <w:t>112.88</w:t>
      </w:r>
      <w:r>
        <w:rPr>
          <w:sz w:val="28"/>
          <w:szCs w:val="28"/>
        </w:rPr>
        <w:t>亿元，增长</w:t>
      </w:r>
      <w:r>
        <w:rPr>
          <w:sz w:val="28"/>
          <w:szCs w:val="28"/>
        </w:rPr>
        <w:t>9%</w:t>
      </w:r>
      <w:r>
        <w:rPr>
          <w:sz w:val="28"/>
          <w:szCs w:val="28"/>
        </w:rPr>
        <w:t>；财政总收入</w:t>
      </w:r>
      <w:r>
        <w:rPr>
          <w:sz w:val="28"/>
          <w:szCs w:val="28"/>
        </w:rPr>
        <w:t>12.41</w:t>
      </w:r>
      <w:r>
        <w:rPr>
          <w:sz w:val="28"/>
          <w:szCs w:val="28"/>
        </w:rPr>
        <w:t>亿元，增长</w:t>
      </w:r>
      <w:r>
        <w:rPr>
          <w:sz w:val="28"/>
          <w:szCs w:val="28"/>
        </w:rPr>
        <w:t>12.6%</w:t>
      </w:r>
      <w:r>
        <w:rPr>
          <w:sz w:val="28"/>
          <w:szCs w:val="28"/>
        </w:rPr>
        <w:t>，其中一般公共预算收入</w:t>
      </w:r>
      <w:r>
        <w:rPr>
          <w:sz w:val="28"/>
          <w:szCs w:val="28"/>
        </w:rPr>
        <w:t>7.87</w:t>
      </w:r>
      <w:r>
        <w:rPr>
          <w:sz w:val="28"/>
          <w:szCs w:val="28"/>
        </w:rPr>
        <w:t>亿元，税占比同比提高</w:t>
      </w:r>
      <w:r>
        <w:rPr>
          <w:sz w:val="28"/>
          <w:szCs w:val="28"/>
        </w:rPr>
        <w:t>12.5</w:t>
      </w:r>
      <w:r>
        <w:rPr>
          <w:sz w:val="28"/>
          <w:szCs w:val="28"/>
        </w:rPr>
        <w:t>个百分点；</w:t>
      </w:r>
      <w:r>
        <w:rPr>
          <w:sz w:val="28"/>
          <w:szCs w:val="28"/>
        </w:rPr>
        <w:t>500</w:t>
      </w:r>
      <w:r>
        <w:rPr>
          <w:sz w:val="28"/>
          <w:szCs w:val="28"/>
        </w:rPr>
        <w:t>万元以上固定资产投资</w:t>
      </w:r>
      <w:r>
        <w:rPr>
          <w:sz w:val="28"/>
          <w:szCs w:val="28"/>
        </w:rPr>
        <w:t>113.53</w:t>
      </w:r>
      <w:r>
        <w:rPr>
          <w:sz w:val="28"/>
          <w:szCs w:val="28"/>
        </w:rPr>
        <w:t>亿元，增长</w:t>
      </w:r>
      <w:r>
        <w:rPr>
          <w:sz w:val="28"/>
          <w:szCs w:val="28"/>
        </w:rPr>
        <w:t>13%</w:t>
      </w:r>
      <w:r>
        <w:rPr>
          <w:sz w:val="28"/>
          <w:szCs w:val="28"/>
        </w:rPr>
        <w:t>；社会消费品零售总额</w:t>
      </w:r>
      <w:r>
        <w:rPr>
          <w:sz w:val="28"/>
          <w:szCs w:val="28"/>
        </w:rPr>
        <w:t>30.76</w:t>
      </w:r>
      <w:r>
        <w:rPr>
          <w:sz w:val="28"/>
          <w:szCs w:val="28"/>
        </w:rPr>
        <w:t>亿元，增长</w:t>
      </w:r>
      <w:r>
        <w:rPr>
          <w:sz w:val="28"/>
          <w:szCs w:val="28"/>
        </w:rPr>
        <w:t>11.2%</w:t>
      </w:r>
      <w:r>
        <w:rPr>
          <w:sz w:val="28"/>
          <w:szCs w:val="28"/>
        </w:rPr>
        <w:t>；城乡居民人均可支配收入分别达</w:t>
      </w:r>
      <w:r>
        <w:rPr>
          <w:sz w:val="28"/>
          <w:szCs w:val="28"/>
        </w:rPr>
        <w:t>26110</w:t>
      </w:r>
      <w:r>
        <w:rPr>
          <w:sz w:val="28"/>
          <w:szCs w:val="28"/>
        </w:rPr>
        <w:t>元、</w:t>
      </w:r>
      <w:r>
        <w:rPr>
          <w:sz w:val="28"/>
          <w:szCs w:val="28"/>
        </w:rPr>
        <w:t>10657</w:t>
      </w:r>
      <w:r>
        <w:rPr>
          <w:sz w:val="28"/>
          <w:szCs w:val="28"/>
        </w:rPr>
        <w:t>元，分别增长</w:t>
      </w:r>
      <w:r>
        <w:rPr>
          <w:sz w:val="28"/>
          <w:szCs w:val="28"/>
        </w:rPr>
        <w:t>9%</w:t>
      </w:r>
      <w:r>
        <w:rPr>
          <w:sz w:val="28"/>
          <w:szCs w:val="28"/>
        </w:rPr>
        <w:t>、</w:t>
      </w:r>
      <w:r>
        <w:rPr>
          <w:sz w:val="28"/>
          <w:szCs w:val="28"/>
        </w:rPr>
        <w:t>10.3%</w:t>
      </w:r>
      <w:r>
        <w:rPr>
          <w:sz w:val="28"/>
          <w:szCs w:val="28"/>
        </w:rPr>
        <w:t>。</w:t>
      </w:r>
    </w:p>
    <w:p w:rsidR="00A37CBB" w:rsidRDefault="00D21007">
      <w:pPr>
        <w:spacing w:line="480" w:lineRule="exact"/>
        <w:ind w:firstLineChars="200" w:firstLine="562"/>
        <w:rPr>
          <w:rFonts w:ascii="仿宋" w:eastAsia="仿宋" w:hAnsi="仿宋"/>
          <w:b/>
          <w:sz w:val="28"/>
          <w:szCs w:val="28"/>
        </w:rPr>
      </w:pPr>
      <w:r>
        <w:rPr>
          <w:b/>
          <w:sz w:val="28"/>
          <w:szCs w:val="28"/>
        </w:rPr>
        <w:t>综上所述，估价对象所处区域</w:t>
      </w:r>
      <w:r>
        <w:rPr>
          <w:rFonts w:hint="eastAsia"/>
          <w:b/>
          <w:sz w:val="28"/>
          <w:szCs w:val="28"/>
        </w:rPr>
        <w:t>赣州市大余县</w:t>
      </w:r>
      <w:r>
        <w:rPr>
          <w:b/>
          <w:sz w:val="28"/>
          <w:szCs w:val="28"/>
        </w:rPr>
        <w:t>，交通便利、配套设</w:t>
      </w:r>
      <w:r>
        <w:rPr>
          <w:b/>
          <w:sz w:val="28"/>
          <w:szCs w:val="28"/>
        </w:rPr>
        <w:lastRenderedPageBreak/>
        <w:t>施齐全，环境状况优良，利于房地产的增值保值。</w:t>
      </w:r>
    </w:p>
    <w:p w:rsidR="00A37CBB" w:rsidRDefault="00D21007">
      <w:pPr>
        <w:pStyle w:val="a9"/>
        <w:spacing w:line="480" w:lineRule="exact"/>
        <w:ind w:firstLine="555"/>
        <w:rPr>
          <w:rFonts w:ascii="仿宋" w:eastAsia="仿宋" w:hAnsi="仿宋"/>
          <w:bCs/>
          <w:sz w:val="28"/>
          <w:szCs w:val="22"/>
        </w:rPr>
      </w:pPr>
      <w:r>
        <w:rPr>
          <w:rFonts w:ascii="仿宋" w:eastAsia="仿宋" w:hAnsi="仿宋" w:hint="eastAsia"/>
          <w:bCs/>
          <w:sz w:val="28"/>
          <w:szCs w:val="22"/>
        </w:rPr>
        <w:t>2、实物状况描述与分析</w:t>
      </w:r>
    </w:p>
    <w:p w:rsidR="00A37CBB" w:rsidRDefault="00D21007">
      <w:pPr>
        <w:pStyle w:val="a9"/>
        <w:spacing w:line="480" w:lineRule="exact"/>
        <w:ind w:firstLine="555"/>
        <w:rPr>
          <w:rFonts w:ascii="仿宋" w:eastAsia="仿宋" w:hAnsi="仿宋"/>
          <w:bCs/>
          <w:sz w:val="28"/>
        </w:rPr>
      </w:pPr>
      <w:r>
        <w:rPr>
          <w:rFonts w:ascii="仿宋" w:eastAsia="仿宋" w:hAnsi="仿宋" w:hint="eastAsia"/>
          <w:sz w:val="28"/>
        </w:rPr>
        <w:t>估价对象位于赣州市大余县新城镇赤石乡分水坳村下田心，本次估价</w:t>
      </w:r>
      <w:r>
        <w:rPr>
          <w:rFonts w:ascii="仿宋" w:eastAsia="仿宋" w:hAnsi="仿宋" w:hint="eastAsia"/>
          <w:bCs/>
          <w:sz w:val="28"/>
        </w:rPr>
        <w:t>包含建筑物及国有土地使用权市场价值。其实物状况及权益状况如下：</w:t>
      </w:r>
    </w:p>
    <w:p w:rsidR="00A37CBB" w:rsidRDefault="00D21007">
      <w:pPr>
        <w:pStyle w:val="a0"/>
        <w:overflowPunct w:val="0"/>
        <w:autoSpaceDE w:val="0"/>
        <w:autoSpaceDN w:val="0"/>
        <w:adjustRightInd w:val="0"/>
        <w:spacing w:line="480" w:lineRule="exact"/>
        <w:ind w:firstLineChars="200" w:firstLine="560"/>
        <w:contextualSpacing/>
        <w:textAlignment w:val="baseline"/>
        <w:rPr>
          <w:rFonts w:eastAsia="仿宋_GB2312"/>
        </w:rPr>
      </w:pPr>
      <w:bookmarkStart w:id="56" w:name="_Toc5973"/>
      <w:bookmarkStart w:id="57" w:name="_Toc391884268"/>
      <w:bookmarkStart w:id="58" w:name="_Toc442100617"/>
      <w:bookmarkStart w:id="59" w:name="_Toc240707873"/>
      <w:bookmarkStart w:id="60" w:name="_Toc237779105"/>
      <w:bookmarkEnd w:id="53"/>
      <w:bookmarkEnd w:id="54"/>
      <w:bookmarkEnd w:id="55"/>
      <w:r>
        <w:rPr>
          <w:rFonts w:ascii="仿宋_GB2312" w:hAnsi="宋体" w:cs="仿宋_GB2312" w:hint="eastAsia"/>
          <w:szCs w:val="28"/>
        </w:rPr>
        <w:t>（</w:t>
      </w:r>
      <w:r>
        <w:rPr>
          <w:rFonts w:ascii="仿宋_GB2312" w:hAnsi="宋体" w:cs="仿宋_GB2312" w:hint="eastAsia"/>
          <w:szCs w:val="28"/>
        </w:rPr>
        <w:t>1</w:t>
      </w:r>
      <w:r>
        <w:rPr>
          <w:rFonts w:ascii="仿宋_GB2312" w:hAnsi="宋体" w:cs="仿宋_GB2312" w:hint="eastAsia"/>
          <w:szCs w:val="28"/>
        </w:rPr>
        <w:t>）</w:t>
      </w:r>
      <w:r>
        <w:rPr>
          <w:rFonts w:eastAsia="仿宋_GB2312"/>
        </w:rPr>
        <w:t>土地实物状况描述与分析</w:t>
      </w:r>
    </w:p>
    <w:p w:rsidR="00A37CBB" w:rsidRDefault="00D21007">
      <w:pPr>
        <w:pStyle w:val="a0"/>
        <w:overflowPunct w:val="0"/>
        <w:autoSpaceDE w:val="0"/>
        <w:autoSpaceDN w:val="0"/>
        <w:adjustRightInd w:val="0"/>
        <w:spacing w:line="480" w:lineRule="exact"/>
        <w:ind w:firstLineChars="200" w:firstLine="544"/>
        <w:textAlignment w:val="baseline"/>
        <w:rPr>
          <w:rFonts w:ascii="仿宋" w:eastAsia="仿宋" w:hAnsi="仿宋"/>
          <w:kern w:val="2"/>
          <w:szCs w:val="22"/>
        </w:rPr>
      </w:pPr>
      <w:r>
        <w:rPr>
          <w:rFonts w:eastAsia="仿宋_GB2312" w:hint="eastAsia"/>
          <w:color w:val="000000"/>
          <w:spacing w:val="-4"/>
          <w:szCs w:val="28"/>
        </w:rPr>
        <w:t>估</w:t>
      </w:r>
      <w:r>
        <w:rPr>
          <w:rFonts w:ascii="仿宋" w:eastAsia="仿宋" w:hAnsi="仿宋" w:hint="eastAsia"/>
          <w:kern w:val="2"/>
          <w:szCs w:val="22"/>
        </w:rPr>
        <w:t>价对象所处宗地位于赣州市大余县新城镇赤石乡分水坳村下田心,</w:t>
      </w:r>
      <w:r>
        <w:rPr>
          <w:rFonts w:eastAsia="仿宋_GB2312" w:hint="eastAsia"/>
          <w:color w:val="000000"/>
          <w:spacing w:val="-4"/>
          <w:szCs w:val="28"/>
        </w:rPr>
        <w:t>宗地地势平坦，形状较规则。实际开发程度为宗地外“五通”（通路、通电、供水、排水、通讯），宗地内“五通”（通路、通电、供水、排水、通讯）及场地平整。</w:t>
      </w:r>
    </w:p>
    <w:p w:rsidR="00A37CBB" w:rsidRDefault="00D21007">
      <w:pPr>
        <w:pStyle w:val="a0"/>
        <w:overflowPunct w:val="0"/>
        <w:autoSpaceDE w:val="0"/>
        <w:autoSpaceDN w:val="0"/>
        <w:adjustRightInd w:val="0"/>
        <w:spacing w:line="480" w:lineRule="exact"/>
        <w:ind w:firstLineChars="200" w:firstLine="560"/>
        <w:textAlignment w:val="baseline"/>
        <w:rPr>
          <w:rFonts w:eastAsia="仿宋_GB2312"/>
          <w:szCs w:val="22"/>
        </w:rPr>
      </w:pPr>
      <w:r>
        <w:rPr>
          <w:rFonts w:eastAsia="仿宋_GB2312" w:hint="eastAsia"/>
          <w:szCs w:val="22"/>
        </w:rPr>
        <w:t>（</w:t>
      </w:r>
      <w:r>
        <w:rPr>
          <w:rFonts w:eastAsia="仿宋_GB2312" w:hint="eastAsia"/>
          <w:szCs w:val="22"/>
        </w:rPr>
        <w:t>2</w:t>
      </w:r>
      <w:r>
        <w:rPr>
          <w:rFonts w:eastAsia="仿宋_GB2312" w:hint="eastAsia"/>
          <w:szCs w:val="22"/>
        </w:rPr>
        <w:t>）</w:t>
      </w:r>
      <w:r>
        <w:rPr>
          <w:rFonts w:eastAsia="仿宋_GB2312"/>
          <w:szCs w:val="22"/>
        </w:rPr>
        <w:t>建筑物实物状况描述与分析</w:t>
      </w:r>
    </w:p>
    <w:p w:rsidR="00A37CBB" w:rsidRDefault="00D21007">
      <w:pPr>
        <w:pStyle w:val="a0"/>
        <w:overflowPunct w:val="0"/>
        <w:autoSpaceDE w:val="0"/>
        <w:autoSpaceDN w:val="0"/>
        <w:adjustRightInd w:val="0"/>
        <w:spacing w:line="480" w:lineRule="exact"/>
        <w:ind w:firstLineChars="200" w:firstLine="560"/>
        <w:textAlignment w:val="baseline"/>
        <w:rPr>
          <w:szCs w:val="28"/>
        </w:rPr>
      </w:pPr>
      <w:r>
        <w:rPr>
          <w:rFonts w:eastAsia="仿宋_GB2312" w:hint="eastAsia"/>
          <w:szCs w:val="22"/>
        </w:rPr>
        <w:t>估价对象位于赣州市大余县新城镇赤石乡分水坳村下田心，砖混结构，建筑年代为</w:t>
      </w:r>
      <w:r>
        <w:rPr>
          <w:rFonts w:eastAsia="仿宋_GB2312" w:hint="eastAsia"/>
          <w:szCs w:val="22"/>
        </w:rPr>
        <w:t>1996</w:t>
      </w:r>
      <w:r>
        <w:rPr>
          <w:rFonts w:eastAsia="仿宋_GB2312" w:hint="eastAsia"/>
          <w:szCs w:val="22"/>
        </w:rPr>
        <w:t>年，建筑总楼层为</w:t>
      </w:r>
      <w:r>
        <w:rPr>
          <w:rFonts w:eastAsia="仿宋_GB2312" w:hint="eastAsia"/>
          <w:szCs w:val="22"/>
        </w:rPr>
        <w:t>3</w:t>
      </w:r>
      <w:r>
        <w:rPr>
          <w:rFonts w:eastAsia="仿宋_GB2312" w:hint="eastAsia"/>
          <w:szCs w:val="22"/>
        </w:rPr>
        <w:t>层，估价对象营业</w:t>
      </w:r>
      <w:r>
        <w:rPr>
          <w:rFonts w:eastAsia="仿宋_GB2312" w:hint="eastAsia"/>
          <w:szCs w:val="22"/>
        </w:rPr>
        <w:t>/</w:t>
      </w:r>
      <w:r>
        <w:rPr>
          <w:rFonts w:eastAsia="仿宋_GB2312" w:hint="eastAsia"/>
          <w:szCs w:val="22"/>
        </w:rPr>
        <w:t>住宅位于第</w:t>
      </w:r>
      <w:r>
        <w:rPr>
          <w:rFonts w:eastAsia="仿宋_GB2312" w:hint="eastAsia"/>
          <w:szCs w:val="22"/>
        </w:rPr>
        <w:t>1</w:t>
      </w:r>
      <w:r>
        <w:rPr>
          <w:rFonts w:eastAsia="仿宋_GB2312" w:hint="eastAsia"/>
          <w:szCs w:val="22"/>
        </w:rPr>
        <w:t>层，营业</w:t>
      </w:r>
      <w:r>
        <w:rPr>
          <w:rFonts w:eastAsia="仿宋_GB2312" w:hint="eastAsia"/>
          <w:szCs w:val="22"/>
        </w:rPr>
        <w:t>/</w:t>
      </w:r>
      <w:r>
        <w:rPr>
          <w:rFonts w:eastAsia="仿宋_GB2312" w:hint="eastAsia"/>
          <w:szCs w:val="22"/>
        </w:rPr>
        <w:t>住宅建筑面积为</w:t>
      </w:r>
      <w:r>
        <w:rPr>
          <w:rFonts w:eastAsia="仿宋_GB2312" w:hint="eastAsia"/>
          <w:szCs w:val="22"/>
        </w:rPr>
        <w:t>158.14</w:t>
      </w:r>
      <w:r>
        <w:rPr>
          <w:rFonts w:eastAsia="仿宋_GB2312" w:hint="eastAsia"/>
          <w:szCs w:val="22"/>
        </w:rPr>
        <w:t>㎡，估价对象简单装修；地面铺设地砖，墙面为乳胶漆。具体详见《估价对象现状照片》；</w:t>
      </w:r>
    </w:p>
    <w:p w:rsidR="00A37CBB" w:rsidRDefault="00D21007">
      <w:pPr>
        <w:spacing w:line="480" w:lineRule="exact"/>
        <w:rPr>
          <w:rFonts w:ascii="仿宋_GB2312" w:hAnsi="宋体"/>
          <w:sz w:val="28"/>
          <w:szCs w:val="28"/>
        </w:rPr>
      </w:pPr>
      <w:r>
        <w:rPr>
          <w:rFonts w:ascii="仿宋_GB2312" w:hAnsi="宋体" w:hint="eastAsia"/>
          <w:sz w:val="28"/>
          <w:szCs w:val="28"/>
        </w:rPr>
        <w:t>2、权益状况</w:t>
      </w:r>
    </w:p>
    <w:p w:rsidR="00A37CBB" w:rsidRDefault="00D21007">
      <w:pPr>
        <w:spacing w:line="480" w:lineRule="exact"/>
        <w:ind w:firstLineChars="200" w:firstLine="560"/>
        <w:rPr>
          <w:rFonts w:hAnsi="仿宋_GB2312"/>
          <w:sz w:val="28"/>
          <w:szCs w:val="28"/>
        </w:rPr>
      </w:pPr>
      <w:r>
        <w:rPr>
          <w:rFonts w:hAnsi="仿宋_GB2312" w:hint="eastAsia"/>
          <w:bCs/>
          <w:sz w:val="28"/>
          <w:szCs w:val="28"/>
        </w:rPr>
        <w:t>1</w:t>
      </w:r>
      <w:r>
        <w:rPr>
          <w:rFonts w:hAnsi="仿宋_GB2312" w:hint="eastAsia"/>
          <w:bCs/>
          <w:sz w:val="28"/>
          <w:szCs w:val="28"/>
        </w:rPr>
        <w:t>）根据估价委托方提供的《房屋所有权证》记载，</w:t>
      </w:r>
      <w:r>
        <w:rPr>
          <w:rFonts w:hAnsi="仿宋_GB2312" w:hint="eastAsia"/>
          <w:sz w:val="28"/>
          <w:szCs w:val="28"/>
        </w:rPr>
        <w:t>房屋权益状况如下：</w:t>
      </w:r>
    </w:p>
    <w:tbl>
      <w:tblPr>
        <w:tblW w:w="82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1630"/>
        <w:gridCol w:w="960"/>
        <w:gridCol w:w="1290"/>
        <w:gridCol w:w="770"/>
        <w:gridCol w:w="692"/>
        <w:gridCol w:w="1077"/>
        <w:gridCol w:w="807"/>
        <w:gridCol w:w="1073"/>
      </w:tblGrid>
      <w:tr w:rsidR="00A37CBB">
        <w:trPr>
          <w:trHeight w:val="589"/>
          <w:jc w:val="center"/>
        </w:trPr>
        <w:tc>
          <w:tcPr>
            <w:tcW w:w="1630" w:type="dxa"/>
            <w:vAlign w:val="center"/>
          </w:tcPr>
          <w:p w:rsidR="00A37CBB" w:rsidRDefault="00D21007">
            <w:pPr>
              <w:pStyle w:val="a9"/>
              <w:spacing w:line="280" w:lineRule="exact"/>
              <w:jc w:val="center"/>
              <w:rPr>
                <w:rFonts w:ascii="仿宋" w:eastAsia="仿宋" w:hAnsi="仿宋" w:cs="仿宋"/>
                <w:b/>
                <w:sz w:val="21"/>
                <w:szCs w:val="21"/>
              </w:rPr>
            </w:pPr>
            <w:r>
              <w:rPr>
                <w:rFonts w:ascii="Times New Roman" w:hAnsi="Times New Roman" w:hint="eastAsia"/>
                <w:b/>
                <w:bCs/>
                <w:sz w:val="18"/>
                <w:szCs w:val="18"/>
              </w:rPr>
              <w:t>《房屋所有权证》证号</w:t>
            </w:r>
          </w:p>
        </w:tc>
        <w:tc>
          <w:tcPr>
            <w:tcW w:w="960" w:type="dxa"/>
            <w:vAlign w:val="center"/>
          </w:tcPr>
          <w:p w:rsidR="00A37CBB" w:rsidRDefault="00D21007">
            <w:pPr>
              <w:widowControl/>
              <w:spacing w:line="280" w:lineRule="exact"/>
              <w:jc w:val="center"/>
              <w:rPr>
                <w:rFonts w:ascii="仿宋_GB2312" w:hAnsi="仿宋_GB2312" w:cs="仿宋_GB2312"/>
                <w:b/>
                <w:kern w:val="0"/>
                <w:sz w:val="21"/>
                <w:szCs w:val="21"/>
              </w:rPr>
            </w:pPr>
            <w:r>
              <w:rPr>
                <w:rFonts w:ascii="仿宋_GB2312" w:hAnsi="仿宋_GB2312" w:cs="仿宋_GB2312" w:hint="eastAsia"/>
                <w:b/>
                <w:kern w:val="0"/>
                <w:sz w:val="21"/>
                <w:szCs w:val="21"/>
              </w:rPr>
              <w:t>权利人</w:t>
            </w:r>
          </w:p>
        </w:tc>
        <w:tc>
          <w:tcPr>
            <w:tcW w:w="1290" w:type="dxa"/>
            <w:vAlign w:val="center"/>
          </w:tcPr>
          <w:p w:rsidR="00A37CBB" w:rsidRDefault="00D21007">
            <w:pPr>
              <w:widowControl/>
              <w:spacing w:line="280" w:lineRule="exact"/>
              <w:jc w:val="center"/>
              <w:rPr>
                <w:rFonts w:ascii="仿宋_GB2312" w:hAnsi="仿宋_GB2312" w:cs="仿宋_GB2312"/>
                <w:b/>
                <w:kern w:val="0"/>
                <w:sz w:val="21"/>
                <w:szCs w:val="21"/>
              </w:rPr>
            </w:pPr>
            <w:r>
              <w:rPr>
                <w:rFonts w:ascii="仿宋_GB2312" w:hAnsi="仿宋_GB2312" w:cs="仿宋_GB2312" w:hint="eastAsia"/>
                <w:b/>
                <w:kern w:val="0"/>
                <w:sz w:val="21"/>
                <w:szCs w:val="21"/>
              </w:rPr>
              <w:t>坐落</w:t>
            </w:r>
          </w:p>
        </w:tc>
        <w:tc>
          <w:tcPr>
            <w:tcW w:w="770" w:type="dxa"/>
            <w:vAlign w:val="center"/>
          </w:tcPr>
          <w:p w:rsidR="00A37CBB" w:rsidRDefault="00D21007">
            <w:pPr>
              <w:widowControl/>
              <w:spacing w:line="280" w:lineRule="exact"/>
              <w:jc w:val="center"/>
              <w:rPr>
                <w:rFonts w:ascii="仿宋" w:eastAsia="仿宋" w:hAnsi="仿宋" w:cs="仿宋"/>
                <w:b/>
                <w:bCs/>
                <w:kern w:val="0"/>
                <w:sz w:val="21"/>
                <w:szCs w:val="21"/>
              </w:rPr>
            </w:pPr>
            <w:r>
              <w:rPr>
                <w:rFonts w:ascii="仿宋" w:eastAsia="仿宋" w:hAnsi="仿宋" w:cs="仿宋" w:hint="eastAsia"/>
                <w:b/>
                <w:bCs/>
                <w:kern w:val="0"/>
                <w:sz w:val="21"/>
                <w:szCs w:val="21"/>
              </w:rPr>
              <w:t>用途</w:t>
            </w:r>
          </w:p>
        </w:tc>
        <w:tc>
          <w:tcPr>
            <w:tcW w:w="692" w:type="dxa"/>
            <w:vAlign w:val="center"/>
          </w:tcPr>
          <w:p w:rsidR="00A37CBB" w:rsidRDefault="00D21007">
            <w:pPr>
              <w:widowControl/>
              <w:spacing w:line="280" w:lineRule="exact"/>
              <w:jc w:val="center"/>
              <w:rPr>
                <w:rFonts w:ascii="仿宋" w:eastAsia="仿宋" w:hAnsi="仿宋" w:cs="仿宋"/>
                <w:b/>
                <w:bCs/>
                <w:kern w:val="0"/>
                <w:sz w:val="21"/>
                <w:szCs w:val="21"/>
              </w:rPr>
            </w:pPr>
            <w:r>
              <w:rPr>
                <w:rFonts w:ascii="仿宋" w:eastAsia="仿宋" w:hAnsi="仿宋" w:cs="仿宋" w:hint="eastAsia"/>
                <w:b/>
                <w:bCs/>
                <w:kern w:val="0"/>
                <w:sz w:val="21"/>
                <w:szCs w:val="21"/>
              </w:rPr>
              <w:t>建筑年代</w:t>
            </w:r>
          </w:p>
        </w:tc>
        <w:tc>
          <w:tcPr>
            <w:tcW w:w="1077" w:type="dxa"/>
            <w:vAlign w:val="center"/>
          </w:tcPr>
          <w:p w:rsidR="00A37CBB" w:rsidRDefault="00D21007">
            <w:pPr>
              <w:widowControl/>
              <w:spacing w:line="280" w:lineRule="exact"/>
              <w:jc w:val="center"/>
              <w:rPr>
                <w:rFonts w:ascii="仿宋_GB2312" w:hAnsi="仿宋_GB2312" w:cs="仿宋_GB2312"/>
                <w:b/>
                <w:kern w:val="0"/>
                <w:sz w:val="21"/>
                <w:szCs w:val="21"/>
              </w:rPr>
            </w:pPr>
            <w:r>
              <w:rPr>
                <w:rFonts w:ascii="仿宋" w:eastAsia="仿宋" w:hAnsi="仿宋" w:cs="仿宋" w:hint="eastAsia"/>
                <w:b/>
                <w:bCs/>
                <w:kern w:val="0"/>
                <w:sz w:val="21"/>
                <w:szCs w:val="21"/>
              </w:rPr>
              <w:t>评估层/总楼层</w:t>
            </w:r>
          </w:p>
        </w:tc>
        <w:tc>
          <w:tcPr>
            <w:tcW w:w="807" w:type="dxa"/>
            <w:vAlign w:val="center"/>
          </w:tcPr>
          <w:p w:rsidR="00A37CBB" w:rsidRDefault="00D21007">
            <w:pPr>
              <w:widowControl/>
              <w:spacing w:line="280" w:lineRule="exact"/>
              <w:jc w:val="center"/>
              <w:rPr>
                <w:rFonts w:ascii="仿宋_GB2312" w:hAnsi="仿宋_GB2312" w:cs="仿宋_GB2312"/>
                <w:b/>
                <w:kern w:val="0"/>
                <w:sz w:val="21"/>
                <w:szCs w:val="21"/>
              </w:rPr>
            </w:pPr>
            <w:r>
              <w:rPr>
                <w:rFonts w:ascii="仿宋_GB2312" w:hAnsi="仿宋_GB2312" w:cs="仿宋_GB2312" w:hint="eastAsia"/>
                <w:b/>
                <w:kern w:val="0"/>
                <w:sz w:val="21"/>
                <w:szCs w:val="21"/>
              </w:rPr>
              <w:t>建筑</w:t>
            </w:r>
          </w:p>
          <w:p w:rsidR="00A37CBB" w:rsidRDefault="00D21007">
            <w:pPr>
              <w:widowControl/>
              <w:spacing w:line="280" w:lineRule="exact"/>
              <w:jc w:val="center"/>
              <w:rPr>
                <w:rFonts w:ascii="仿宋_GB2312" w:hAnsi="仿宋_GB2312" w:cs="仿宋_GB2312"/>
                <w:b/>
                <w:kern w:val="0"/>
                <w:sz w:val="21"/>
                <w:szCs w:val="21"/>
              </w:rPr>
            </w:pPr>
            <w:r>
              <w:rPr>
                <w:rFonts w:ascii="仿宋_GB2312" w:hAnsi="仿宋_GB2312" w:cs="仿宋_GB2312" w:hint="eastAsia"/>
                <w:b/>
                <w:kern w:val="0"/>
                <w:sz w:val="21"/>
                <w:szCs w:val="21"/>
              </w:rPr>
              <w:t>结构</w:t>
            </w:r>
          </w:p>
        </w:tc>
        <w:tc>
          <w:tcPr>
            <w:tcW w:w="1073" w:type="dxa"/>
            <w:vAlign w:val="center"/>
          </w:tcPr>
          <w:p w:rsidR="00A37CBB" w:rsidRDefault="00D21007">
            <w:pPr>
              <w:widowControl/>
              <w:spacing w:line="280" w:lineRule="exact"/>
              <w:jc w:val="center"/>
              <w:rPr>
                <w:rFonts w:ascii="仿宋_GB2312" w:hAnsi="仿宋_GB2312" w:cs="仿宋_GB2312"/>
                <w:b/>
                <w:kern w:val="0"/>
                <w:sz w:val="21"/>
                <w:szCs w:val="21"/>
              </w:rPr>
            </w:pPr>
            <w:r>
              <w:rPr>
                <w:rFonts w:ascii="仿宋_GB2312" w:hAnsi="仿宋_GB2312" w:cs="仿宋_GB2312" w:hint="eastAsia"/>
                <w:b/>
                <w:kern w:val="0"/>
                <w:sz w:val="21"/>
                <w:szCs w:val="21"/>
              </w:rPr>
              <w:t>建筑面积（㎡）</w:t>
            </w:r>
          </w:p>
        </w:tc>
      </w:tr>
      <w:tr w:rsidR="00A37CBB">
        <w:trPr>
          <w:trHeight w:val="831"/>
          <w:jc w:val="center"/>
        </w:trPr>
        <w:tc>
          <w:tcPr>
            <w:tcW w:w="1630" w:type="dxa"/>
            <w:shd w:val="clear" w:color="auto" w:fill="auto"/>
            <w:vAlign w:val="center"/>
          </w:tcPr>
          <w:p w:rsidR="00A37CBB" w:rsidRDefault="00D21007">
            <w:pPr>
              <w:pStyle w:val="a9"/>
              <w:spacing w:line="280" w:lineRule="exact"/>
              <w:jc w:val="center"/>
              <w:rPr>
                <w:rFonts w:ascii="仿宋" w:eastAsia="仿宋" w:hAnsi="仿宋" w:cs="仿宋"/>
                <w:sz w:val="21"/>
                <w:szCs w:val="21"/>
              </w:rPr>
            </w:pPr>
            <w:r>
              <w:rPr>
                <w:rFonts w:ascii="仿宋" w:eastAsia="仿宋" w:hAnsi="仿宋" w:cs="仿宋" w:hint="eastAsia"/>
                <w:sz w:val="21"/>
                <w:szCs w:val="21"/>
              </w:rPr>
              <w:t>房权证余房私字第002751号</w:t>
            </w:r>
          </w:p>
        </w:tc>
        <w:tc>
          <w:tcPr>
            <w:tcW w:w="960" w:type="dxa"/>
            <w:shd w:val="clear" w:color="auto" w:fill="auto"/>
            <w:vAlign w:val="center"/>
          </w:tcPr>
          <w:p w:rsidR="00A37CBB" w:rsidRDefault="00D21007">
            <w:pPr>
              <w:pStyle w:val="a9"/>
              <w:spacing w:line="280" w:lineRule="exact"/>
              <w:jc w:val="center"/>
              <w:rPr>
                <w:rFonts w:ascii="仿宋" w:eastAsia="仿宋" w:hAnsi="仿宋" w:cs="仿宋"/>
                <w:sz w:val="21"/>
                <w:szCs w:val="21"/>
              </w:rPr>
            </w:pPr>
            <w:r>
              <w:rPr>
                <w:rFonts w:ascii="仿宋" w:eastAsia="仿宋" w:hAnsi="仿宋" w:cs="仿宋" w:hint="eastAsia"/>
                <w:sz w:val="21"/>
                <w:szCs w:val="21"/>
              </w:rPr>
              <w:t>赖兵生</w:t>
            </w:r>
          </w:p>
        </w:tc>
        <w:tc>
          <w:tcPr>
            <w:tcW w:w="1290" w:type="dxa"/>
            <w:shd w:val="clear" w:color="auto" w:fill="auto"/>
            <w:vAlign w:val="center"/>
          </w:tcPr>
          <w:p w:rsidR="00A37CBB" w:rsidRDefault="00D21007">
            <w:pPr>
              <w:widowControl/>
              <w:spacing w:line="280" w:lineRule="exact"/>
              <w:jc w:val="center"/>
              <w:rPr>
                <w:rFonts w:ascii="仿宋_GB2312" w:hAnsi="仿宋_GB2312" w:cs="仿宋_GB2312"/>
                <w:kern w:val="0"/>
                <w:sz w:val="21"/>
                <w:szCs w:val="21"/>
              </w:rPr>
            </w:pPr>
            <w:r>
              <w:rPr>
                <w:rFonts w:ascii="仿宋_GB2312" w:hAnsi="仿宋_GB2312" w:cs="仿宋_GB2312" w:hint="eastAsia"/>
                <w:kern w:val="0"/>
                <w:sz w:val="21"/>
                <w:szCs w:val="21"/>
              </w:rPr>
              <w:t>新城镇赤石乡分水坳村下田心</w:t>
            </w:r>
          </w:p>
        </w:tc>
        <w:tc>
          <w:tcPr>
            <w:tcW w:w="770" w:type="dxa"/>
            <w:shd w:val="clear" w:color="auto" w:fill="auto"/>
            <w:vAlign w:val="center"/>
          </w:tcPr>
          <w:p w:rsidR="00A37CBB" w:rsidRDefault="00D21007">
            <w:pPr>
              <w:spacing w:line="280" w:lineRule="exact"/>
              <w:jc w:val="center"/>
              <w:rPr>
                <w:rFonts w:ascii="仿宋" w:eastAsia="仿宋" w:hAnsi="仿宋" w:cs="仿宋"/>
                <w:sz w:val="21"/>
                <w:szCs w:val="21"/>
              </w:rPr>
            </w:pPr>
            <w:r>
              <w:rPr>
                <w:rFonts w:ascii="仿宋" w:eastAsia="仿宋" w:hAnsi="仿宋" w:cs="仿宋" w:hint="eastAsia"/>
                <w:sz w:val="21"/>
                <w:szCs w:val="21"/>
              </w:rPr>
              <w:t>营业/住宅</w:t>
            </w:r>
          </w:p>
        </w:tc>
        <w:tc>
          <w:tcPr>
            <w:tcW w:w="692" w:type="dxa"/>
            <w:shd w:val="clear" w:color="auto" w:fill="auto"/>
            <w:vAlign w:val="center"/>
          </w:tcPr>
          <w:p w:rsidR="00A37CBB" w:rsidRDefault="00D21007">
            <w:pPr>
              <w:spacing w:line="280" w:lineRule="exact"/>
              <w:jc w:val="center"/>
              <w:rPr>
                <w:rFonts w:ascii="仿宋" w:eastAsia="仿宋" w:hAnsi="仿宋" w:cs="仿宋"/>
                <w:sz w:val="21"/>
                <w:szCs w:val="21"/>
              </w:rPr>
            </w:pPr>
            <w:r>
              <w:rPr>
                <w:rFonts w:ascii="仿宋" w:eastAsia="仿宋" w:hAnsi="仿宋" w:cs="仿宋" w:hint="eastAsia"/>
                <w:sz w:val="21"/>
                <w:szCs w:val="21"/>
              </w:rPr>
              <w:t>1996年</w:t>
            </w:r>
          </w:p>
        </w:tc>
        <w:tc>
          <w:tcPr>
            <w:tcW w:w="1077" w:type="dxa"/>
            <w:shd w:val="clear" w:color="auto" w:fill="auto"/>
            <w:vAlign w:val="center"/>
          </w:tcPr>
          <w:p w:rsidR="00A37CBB" w:rsidRDefault="00D21007">
            <w:pPr>
              <w:spacing w:line="280" w:lineRule="exact"/>
              <w:jc w:val="center"/>
              <w:rPr>
                <w:rFonts w:ascii="仿宋_GB2312" w:hAnsi="仿宋_GB2312" w:cs="仿宋_GB2312"/>
                <w:kern w:val="0"/>
                <w:sz w:val="21"/>
                <w:szCs w:val="21"/>
              </w:rPr>
            </w:pPr>
            <w:r>
              <w:rPr>
                <w:rFonts w:ascii="仿宋" w:eastAsia="仿宋" w:hAnsi="仿宋" w:cs="仿宋" w:hint="eastAsia"/>
                <w:sz w:val="21"/>
                <w:szCs w:val="21"/>
              </w:rPr>
              <w:t>1/3</w:t>
            </w:r>
          </w:p>
        </w:tc>
        <w:tc>
          <w:tcPr>
            <w:tcW w:w="807" w:type="dxa"/>
            <w:shd w:val="clear" w:color="auto" w:fill="auto"/>
            <w:vAlign w:val="center"/>
          </w:tcPr>
          <w:p w:rsidR="00A37CBB" w:rsidRDefault="00D21007">
            <w:pPr>
              <w:widowControl/>
              <w:spacing w:line="280" w:lineRule="exact"/>
              <w:jc w:val="center"/>
              <w:rPr>
                <w:rFonts w:ascii="仿宋_GB2312" w:hAnsi="仿宋_GB2312" w:cs="仿宋_GB2312"/>
                <w:kern w:val="0"/>
                <w:sz w:val="21"/>
                <w:szCs w:val="21"/>
              </w:rPr>
            </w:pPr>
            <w:r>
              <w:rPr>
                <w:rFonts w:ascii="仿宋" w:eastAsia="仿宋" w:hAnsi="仿宋" w:cs="仿宋" w:hint="eastAsia"/>
                <w:sz w:val="21"/>
                <w:szCs w:val="21"/>
              </w:rPr>
              <w:t>砖混</w:t>
            </w:r>
          </w:p>
        </w:tc>
        <w:tc>
          <w:tcPr>
            <w:tcW w:w="1073" w:type="dxa"/>
            <w:shd w:val="clear" w:color="auto" w:fill="auto"/>
            <w:vAlign w:val="center"/>
          </w:tcPr>
          <w:p w:rsidR="00A37CBB" w:rsidRDefault="00D21007">
            <w:pPr>
              <w:spacing w:line="280" w:lineRule="exact"/>
              <w:jc w:val="center"/>
              <w:rPr>
                <w:rFonts w:ascii="仿宋_GB2312" w:hAnsi="仿宋_GB2312" w:cs="仿宋_GB2312"/>
                <w:sz w:val="21"/>
                <w:szCs w:val="21"/>
              </w:rPr>
            </w:pPr>
            <w:r>
              <w:rPr>
                <w:rFonts w:ascii="仿宋" w:eastAsia="仿宋" w:hAnsi="仿宋" w:cs="仿宋" w:hint="eastAsia"/>
                <w:sz w:val="21"/>
                <w:szCs w:val="21"/>
              </w:rPr>
              <w:t>158.14</w:t>
            </w:r>
          </w:p>
        </w:tc>
      </w:tr>
    </w:tbl>
    <w:p w:rsidR="00A37CBB" w:rsidRDefault="00D21007">
      <w:pPr>
        <w:pStyle w:val="a0"/>
        <w:overflowPunct w:val="0"/>
        <w:autoSpaceDE w:val="0"/>
        <w:autoSpaceDN w:val="0"/>
        <w:adjustRightInd w:val="0"/>
        <w:spacing w:line="480" w:lineRule="exact"/>
        <w:ind w:firstLineChars="200" w:firstLine="560"/>
        <w:textAlignment w:val="baseline"/>
        <w:rPr>
          <w:rFonts w:eastAsia="仿宋_GB2312"/>
        </w:rPr>
      </w:pPr>
      <w:r>
        <w:rPr>
          <w:rFonts w:eastAsia="仿宋_GB2312" w:hint="eastAsia"/>
        </w:rPr>
        <w:t>2</w:t>
      </w:r>
      <w:r>
        <w:rPr>
          <w:rFonts w:eastAsia="仿宋_GB2312" w:hint="eastAsia"/>
        </w:rPr>
        <w:t>）</w:t>
      </w:r>
      <w:r>
        <w:rPr>
          <w:rFonts w:eastAsia="仿宋_GB2312"/>
        </w:rPr>
        <w:t>他项权状况</w:t>
      </w:r>
    </w:p>
    <w:p w:rsidR="00A37CBB" w:rsidRDefault="00D21007">
      <w:pPr>
        <w:spacing w:line="480" w:lineRule="exact"/>
        <w:ind w:firstLineChars="200" w:firstLine="560"/>
        <w:rPr>
          <w:color w:val="000000"/>
          <w:sz w:val="28"/>
        </w:rPr>
      </w:pPr>
      <w:r>
        <w:rPr>
          <w:rFonts w:eastAsia="仿宋" w:hint="eastAsia"/>
          <w:sz w:val="28"/>
          <w:szCs w:val="22"/>
        </w:rPr>
        <w:t>本次评估目的为市场价值评估，不考虑抵押权和租赁权对评估价值的影响。</w:t>
      </w:r>
    </w:p>
    <w:p w:rsidR="00A37CBB" w:rsidRDefault="00D21007">
      <w:pPr>
        <w:pStyle w:val="a0"/>
        <w:spacing w:line="480" w:lineRule="exact"/>
        <w:ind w:firstLine="0"/>
        <w:outlineLvl w:val="2"/>
        <w:rPr>
          <w:rFonts w:ascii="仿宋" w:eastAsia="仿宋" w:hAnsi="仿宋"/>
          <w:b/>
          <w:bCs/>
        </w:rPr>
      </w:pPr>
      <w:r>
        <w:rPr>
          <w:rFonts w:ascii="仿宋" w:eastAsia="仿宋" w:hAnsi="仿宋" w:hint="eastAsia"/>
          <w:b/>
          <w:bCs/>
        </w:rPr>
        <w:t>二</w:t>
      </w:r>
      <w:r>
        <w:rPr>
          <w:rFonts w:ascii="仿宋" w:eastAsia="仿宋" w:hAnsi="仿宋"/>
          <w:b/>
          <w:bCs/>
        </w:rPr>
        <w:t>、市场背景描述与分析</w:t>
      </w:r>
      <w:bookmarkEnd w:id="56"/>
      <w:bookmarkEnd w:id="57"/>
      <w:bookmarkEnd w:id="58"/>
      <w:bookmarkEnd w:id="59"/>
      <w:bookmarkEnd w:id="60"/>
    </w:p>
    <w:p w:rsidR="00A37CBB" w:rsidRDefault="00D21007">
      <w:pPr>
        <w:spacing w:line="480" w:lineRule="exact"/>
        <w:ind w:firstLineChars="200" w:firstLine="522"/>
        <w:rPr>
          <w:rFonts w:ascii="仿宋" w:eastAsia="仿宋" w:hAnsi="仿宋" w:cs="仿宋"/>
          <w:b/>
          <w:sz w:val="26"/>
          <w:szCs w:val="26"/>
        </w:rPr>
      </w:pPr>
      <w:bookmarkStart w:id="61" w:name="_Toc391884269"/>
      <w:bookmarkStart w:id="62" w:name="_Toc11615"/>
      <w:bookmarkStart w:id="63" w:name="_Toc442100618"/>
      <w:bookmarkStart w:id="64" w:name="_Toc240707874"/>
      <w:r>
        <w:rPr>
          <w:rFonts w:ascii="仿宋" w:eastAsia="仿宋" w:hAnsi="仿宋" w:cs="仿宋" w:hint="eastAsia"/>
          <w:b/>
          <w:sz w:val="26"/>
          <w:szCs w:val="26"/>
        </w:rPr>
        <w:t>土地供应情况：</w:t>
      </w:r>
    </w:p>
    <w:p w:rsidR="00A37CBB" w:rsidRDefault="00D21007">
      <w:pPr>
        <w:pStyle w:val="a0"/>
        <w:spacing w:line="480" w:lineRule="exact"/>
        <w:ind w:firstLineChars="200" w:firstLine="560"/>
        <w:outlineLvl w:val="2"/>
        <w:rPr>
          <w:rFonts w:ascii="仿宋" w:eastAsia="仿宋" w:hAnsi="仿宋" w:cs="仿宋"/>
          <w:color w:val="000000"/>
          <w:szCs w:val="28"/>
        </w:rPr>
      </w:pPr>
      <w:r>
        <w:rPr>
          <w:rFonts w:ascii="仿宋" w:eastAsia="仿宋" w:hAnsi="仿宋" w:cs="仿宋" w:hint="eastAsia"/>
          <w:color w:val="000000"/>
          <w:szCs w:val="28"/>
        </w:rPr>
        <w:t>据统计，2020年中心城区国有建设用地计划供应总量27713亩（对列入国家、省重大线性工程项目，经有批准权的人民政府批准后</w:t>
      </w:r>
      <w:r>
        <w:rPr>
          <w:rFonts w:ascii="仿宋" w:eastAsia="仿宋" w:hAnsi="仿宋" w:cs="仿宋" w:hint="eastAsia"/>
          <w:color w:val="000000"/>
          <w:szCs w:val="28"/>
        </w:rPr>
        <w:lastRenderedPageBreak/>
        <w:t>可先行动工建设，待达到供地条件后全部保障予以供地，不列入指标控制）。为落实节约集约用地，加快批而未用土地处置进度，鼓励和引导利用存量建设用地，新增建设用地规模与2008-2019年已批准存量建设用地规模比例控制在1:9左右。</w:t>
      </w:r>
    </w:p>
    <w:p w:rsidR="00A37CBB" w:rsidRDefault="00D21007">
      <w:pPr>
        <w:pStyle w:val="a0"/>
        <w:spacing w:line="480" w:lineRule="exact"/>
        <w:ind w:firstLine="0"/>
        <w:outlineLvl w:val="2"/>
        <w:rPr>
          <w:rFonts w:ascii="仿宋" w:eastAsia="仿宋" w:hAnsi="仿宋" w:cs="仿宋"/>
          <w:color w:val="000000"/>
          <w:szCs w:val="28"/>
        </w:rPr>
      </w:pPr>
      <w:r>
        <w:rPr>
          <w:rFonts w:ascii="仿宋" w:eastAsia="仿宋" w:hAnsi="仿宋" w:cs="仿宋" w:hint="eastAsia"/>
          <w:color w:val="000000"/>
          <w:szCs w:val="28"/>
        </w:rPr>
        <w:t xml:space="preserve">　　赣州上半年地区生产总值（GDP）1655.39亿元，比上年同期增加50.22亿元。按可比价计算，同比增长1.8%，分别高于全国、全省3.4、0.9个百分点。其中，二季度增长5.6%，比一季度加快8.1个百分点。三次产业全部实现正增长。</w:t>
      </w:r>
    </w:p>
    <w:p w:rsidR="00A37CBB" w:rsidRDefault="00D21007">
      <w:pPr>
        <w:pStyle w:val="a0"/>
        <w:spacing w:line="480" w:lineRule="exact"/>
        <w:outlineLvl w:val="2"/>
        <w:rPr>
          <w:rFonts w:ascii="仿宋" w:eastAsia="仿宋" w:hAnsi="仿宋" w:cs="仿宋"/>
          <w:color w:val="000000"/>
          <w:szCs w:val="28"/>
        </w:rPr>
      </w:pPr>
      <w:r>
        <w:rPr>
          <w:rFonts w:ascii="仿宋" w:eastAsia="仿宋" w:hAnsi="仿宋" w:cs="仿宋" w:hint="eastAsia"/>
          <w:color w:val="000000"/>
          <w:szCs w:val="28"/>
        </w:rPr>
        <w:t>第一产业增加值131.25亿元，同比增长1.4%，分别比全国（0.9%）、全省（1.1%）高0.5、0.3个百分点。其中，二季度单季增长2.5%，比一季度加快2.1个百分点。</w:t>
      </w:r>
    </w:p>
    <w:p w:rsidR="00A37CBB" w:rsidRDefault="00D21007">
      <w:pPr>
        <w:pStyle w:val="a0"/>
        <w:spacing w:line="480" w:lineRule="exact"/>
        <w:ind w:firstLineChars="200" w:firstLine="560"/>
        <w:outlineLvl w:val="2"/>
        <w:rPr>
          <w:rFonts w:ascii="仿宋" w:eastAsia="仿宋" w:hAnsi="仿宋" w:cs="仿宋"/>
          <w:color w:val="000000"/>
          <w:szCs w:val="28"/>
        </w:rPr>
      </w:pPr>
      <w:r>
        <w:rPr>
          <w:rFonts w:ascii="仿宋" w:eastAsia="仿宋" w:hAnsi="仿宋" w:cs="仿宋" w:hint="eastAsia"/>
          <w:color w:val="000000"/>
          <w:szCs w:val="28"/>
        </w:rPr>
        <w:t>第二产业增加值655.88亿元，同比增长0.9%，分别比全国（-1.9%）、全省（0.4%）高2.8、0.5个百分点。其中，二季度单季增长6.8%，比一季度加快13.5个百分点。</w:t>
      </w:r>
    </w:p>
    <w:p w:rsidR="00A37CBB" w:rsidRDefault="00D21007">
      <w:pPr>
        <w:pStyle w:val="a0"/>
        <w:spacing w:line="480" w:lineRule="exact"/>
        <w:ind w:firstLineChars="200" w:firstLine="560"/>
        <w:outlineLvl w:val="2"/>
        <w:rPr>
          <w:rFonts w:ascii="仿宋" w:eastAsia="仿宋" w:hAnsi="仿宋" w:cs="仿宋"/>
          <w:color w:val="000000"/>
          <w:szCs w:val="28"/>
        </w:rPr>
      </w:pPr>
      <w:r>
        <w:rPr>
          <w:rFonts w:ascii="仿宋" w:eastAsia="仿宋" w:hAnsi="仿宋" w:cs="仿宋" w:hint="eastAsia"/>
          <w:color w:val="000000"/>
          <w:szCs w:val="28"/>
        </w:rPr>
        <w:t>第三产业增加值878.26亿元，同比增长2.7%，分别比全国（-1.6%）、全省（1.4%）高4.3、1.3个百分点。其中，二季度单季增长4.7%，比一季度加快4.1个百分点。</w:t>
      </w:r>
    </w:p>
    <w:p w:rsidR="00A37CBB" w:rsidRDefault="00D21007">
      <w:pPr>
        <w:pStyle w:val="a0"/>
        <w:spacing w:line="480" w:lineRule="exact"/>
        <w:ind w:firstLine="0"/>
        <w:outlineLvl w:val="2"/>
        <w:rPr>
          <w:rFonts w:ascii="仿宋" w:eastAsia="仿宋" w:hAnsi="仿宋" w:cs="仿宋"/>
          <w:color w:val="000000"/>
          <w:szCs w:val="28"/>
        </w:rPr>
      </w:pPr>
      <w:r>
        <w:rPr>
          <w:rFonts w:ascii="仿宋" w:eastAsia="仿宋" w:hAnsi="仿宋" w:cs="仿宋" w:hint="eastAsia"/>
          <w:color w:val="000000"/>
          <w:szCs w:val="28"/>
        </w:rPr>
        <w:t>房地产开发情况：</w:t>
      </w:r>
    </w:p>
    <w:p w:rsidR="00A37CBB" w:rsidRDefault="00D21007">
      <w:pPr>
        <w:pStyle w:val="a0"/>
        <w:spacing w:line="480" w:lineRule="exact"/>
        <w:ind w:firstLineChars="200" w:firstLine="560"/>
        <w:outlineLvl w:val="2"/>
        <w:rPr>
          <w:rFonts w:ascii="仿宋" w:eastAsia="仿宋" w:hAnsi="仿宋" w:cs="仿宋"/>
          <w:color w:val="000000"/>
          <w:szCs w:val="28"/>
        </w:rPr>
      </w:pPr>
      <w:r>
        <w:rPr>
          <w:rFonts w:ascii="仿宋" w:eastAsia="仿宋" w:hAnsi="仿宋" w:cs="仿宋" w:hint="eastAsia"/>
          <w:color w:val="000000"/>
          <w:szCs w:val="28"/>
        </w:rPr>
        <w:t>初步统计，2020年前三季度，赣州中心城区共成交新房住宅12617套，成交面积1536919.63㎡，成交均价10128元/㎡。虽然与去年同期相比，成交量有所下降。但2020年第一季度遭遇“黑天鹅”事件影响，成交惨淡，最终能翻盘逆转实属不易，可见楼市恢复之神速。</w:t>
      </w:r>
    </w:p>
    <w:p w:rsidR="00A37CBB" w:rsidRDefault="00D21007">
      <w:pPr>
        <w:pStyle w:val="a0"/>
        <w:spacing w:line="480" w:lineRule="exact"/>
        <w:ind w:firstLineChars="200" w:firstLine="560"/>
        <w:outlineLvl w:val="2"/>
        <w:rPr>
          <w:rFonts w:ascii="仿宋" w:eastAsia="仿宋" w:hAnsi="仿宋" w:cs="仿宋"/>
          <w:color w:val="000000"/>
          <w:szCs w:val="28"/>
        </w:rPr>
      </w:pPr>
      <w:r>
        <w:rPr>
          <w:rFonts w:ascii="仿宋" w:eastAsia="仿宋" w:hAnsi="仿宋" w:cs="仿宋" w:hint="eastAsia"/>
          <w:color w:val="000000"/>
          <w:szCs w:val="28"/>
        </w:rPr>
        <w:t>从月成交可以看出，今年4月之后数据一直居于高位，哪怕是传统的7、8月淡季也创下了全年新高的佳绩。2020年前三季度新房，共12617套住宅成交，平均每月约1402套房子完成交易。</w:t>
      </w:r>
    </w:p>
    <w:p w:rsidR="00A37CBB" w:rsidRDefault="00D21007">
      <w:pPr>
        <w:pStyle w:val="a0"/>
        <w:spacing w:line="480" w:lineRule="exact"/>
        <w:ind w:firstLine="0"/>
        <w:outlineLvl w:val="2"/>
        <w:rPr>
          <w:rFonts w:ascii="仿宋" w:eastAsia="仿宋" w:hAnsi="仿宋" w:cs="仿宋"/>
          <w:color w:val="000000"/>
          <w:szCs w:val="28"/>
        </w:rPr>
      </w:pPr>
      <w:r>
        <w:rPr>
          <w:rFonts w:ascii="仿宋" w:eastAsia="仿宋" w:hAnsi="仿宋" w:cs="仿宋" w:hint="eastAsia"/>
          <w:color w:val="000000"/>
          <w:szCs w:val="28"/>
        </w:rPr>
        <w:t>棚户区改造计划：</w:t>
      </w:r>
    </w:p>
    <w:p w:rsidR="00A37CBB" w:rsidRDefault="00D21007">
      <w:pPr>
        <w:pStyle w:val="a0"/>
        <w:spacing w:line="480" w:lineRule="exact"/>
        <w:ind w:firstLineChars="200" w:firstLine="560"/>
        <w:outlineLvl w:val="2"/>
        <w:rPr>
          <w:rFonts w:ascii="仿宋" w:eastAsia="仿宋" w:hAnsi="仿宋" w:cs="仿宋"/>
          <w:color w:val="000000"/>
          <w:szCs w:val="28"/>
        </w:rPr>
      </w:pPr>
      <w:r>
        <w:rPr>
          <w:rFonts w:ascii="仿宋" w:eastAsia="仿宋" w:hAnsi="仿宋" w:cs="仿宋" w:hint="eastAsia"/>
          <w:color w:val="000000"/>
          <w:szCs w:val="28"/>
        </w:rPr>
        <w:t>完成2020年城市棚户区改造1.2万户、基本建成4268套。加快</w:t>
      </w:r>
      <w:r>
        <w:rPr>
          <w:rFonts w:ascii="仿宋" w:eastAsia="仿宋" w:hAnsi="仿宋" w:cs="仿宋" w:hint="eastAsia"/>
          <w:color w:val="000000"/>
          <w:szCs w:val="28"/>
        </w:rPr>
        <w:lastRenderedPageBreak/>
        <w:t>棚改返迁安置房建设，2017年前在建棚改返迁安置房全部竣工并交付使用。〔责任单位：市住建局、市自然资源局、市城管局、市财政局、市发改委、赣州城投集团、赣州市政公用集团，各县（市、区）人民政府〕加快推进人才住房建设。新开工（筹集）24893套，加快推进已建成商住配套人才住房的装修及交付，谋划启动配建人才住房的申请、摇号、配租工作。〔责任单位：市住建局、市自然资源局、市城管局、市财政局、市发改委、赣州城投集团、赣州市政公用集团，各县（市、区）人民政府〕着力完善住房保障体系。加大公租房保障力度，6月底前各地出台公共租赁住房租赁补贴政策，做到应保尽保。全面完成8074户城镇住房困难家庭租赁补贴年度发放任务。列入国家计划的公租房新建项目3255套（其中2019年2755套、2020年500套）尽快开工。探索住房保障领域诚信制度，加快推进全市住房保障信息化系统建设。加快推进保障房小区智能化建设，9月底前市本级及各地至少建设一个智能化示范小区。〔责任单位：市住建局、市自然资源局、市城管局、市财政局、市发改委、市民政局、市大数据管理局、赣州城投集团、赣州市政公用集团，各县（市、区）人民政府〕</w:t>
      </w:r>
    </w:p>
    <w:p w:rsidR="00A37CBB" w:rsidRDefault="00D21007">
      <w:pPr>
        <w:pStyle w:val="a0"/>
        <w:spacing w:line="480" w:lineRule="exact"/>
        <w:ind w:firstLine="0"/>
        <w:outlineLvl w:val="2"/>
        <w:rPr>
          <w:rFonts w:ascii="仿宋" w:eastAsia="仿宋" w:hAnsi="仿宋" w:cs="仿宋"/>
          <w:color w:val="000000"/>
          <w:szCs w:val="28"/>
        </w:rPr>
      </w:pPr>
      <w:r>
        <w:rPr>
          <w:rFonts w:ascii="仿宋" w:eastAsia="仿宋" w:hAnsi="仿宋" w:cs="仿宋" w:hint="eastAsia"/>
          <w:color w:val="000000"/>
          <w:szCs w:val="28"/>
        </w:rPr>
        <w:t>加强房地产市场调控。落实好有效应对疫情的政策举措，推动建筑业和房地产业全面复工向高质量复产转变。围绕“三稳”目标，全面压实各县（市、区）政府主体责任，制定“一城一策”工作方案，丰富调控政策“工具箱”，健全房地产市场平稳健康发展长效机制。〔责任单位：市住建局、市自然资源局、市住房公积金管理中心、市金融办，各县（市、区）人民政府〕。</w:t>
      </w:r>
    </w:p>
    <w:p w:rsidR="00A37CBB" w:rsidRDefault="00D21007">
      <w:pPr>
        <w:pStyle w:val="a0"/>
        <w:spacing w:line="480" w:lineRule="exact"/>
        <w:ind w:firstLine="0"/>
        <w:outlineLvl w:val="2"/>
        <w:rPr>
          <w:rFonts w:ascii="仿宋" w:eastAsia="仿宋" w:hAnsi="仿宋"/>
          <w:b/>
        </w:rPr>
      </w:pPr>
      <w:r>
        <w:rPr>
          <w:rFonts w:ascii="仿宋" w:eastAsia="仿宋" w:hAnsi="仿宋" w:hint="eastAsia"/>
          <w:b/>
        </w:rPr>
        <w:t>三</w:t>
      </w:r>
      <w:r>
        <w:rPr>
          <w:rFonts w:ascii="仿宋" w:eastAsia="仿宋" w:hAnsi="仿宋"/>
          <w:b/>
        </w:rPr>
        <w:t>、最高最佳利用分析</w:t>
      </w:r>
      <w:bookmarkEnd w:id="61"/>
      <w:bookmarkEnd w:id="62"/>
      <w:bookmarkEnd w:id="63"/>
      <w:bookmarkEnd w:id="64"/>
    </w:p>
    <w:p w:rsidR="00A37CBB" w:rsidRDefault="00D21007">
      <w:pPr>
        <w:spacing w:line="480" w:lineRule="exact"/>
        <w:ind w:firstLineChars="200" w:firstLine="560"/>
        <w:rPr>
          <w:sz w:val="28"/>
        </w:rPr>
      </w:pPr>
      <w:bookmarkStart w:id="65" w:name="_Toc391884270"/>
      <w:bookmarkStart w:id="66" w:name="_Toc240707875"/>
      <w:r>
        <w:rPr>
          <w:rFonts w:hint="eastAsia"/>
          <w:sz w:val="28"/>
        </w:rPr>
        <w:t>房地产估价应以房地产的最高最佳利用为前提。所谓最高最佳利用，是指法律上允许、技术上可能、财务上可行，经过充分合理的论证，能使估价对象的价值达到最大的一种最可能的使用。最高最佳利用分析真正体现了估价的客观性。衡量、判断估价对象房地产是否处于最高最佳利用方式，主要考虑以下方面：</w:t>
      </w:r>
    </w:p>
    <w:p w:rsidR="00A37CBB" w:rsidRDefault="00D21007">
      <w:pPr>
        <w:spacing w:line="480" w:lineRule="exact"/>
        <w:ind w:firstLineChars="200" w:firstLine="560"/>
        <w:rPr>
          <w:sz w:val="28"/>
        </w:rPr>
      </w:pPr>
      <w:r>
        <w:rPr>
          <w:rFonts w:hint="eastAsia"/>
          <w:sz w:val="28"/>
        </w:rPr>
        <w:lastRenderedPageBreak/>
        <w:t>1</w:t>
      </w:r>
      <w:r>
        <w:rPr>
          <w:rFonts w:hint="eastAsia"/>
          <w:sz w:val="28"/>
        </w:rPr>
        <w:t>、法律上的许可性：即在法律（规划及相关政策法规）许可的前提下，不受估价对象现时使用状况的限制，而依照法律、法规、规划发展的方向等，按照其法律许可的最优的使用方式进行估价。</w:t>
      </w:r>
    </w:p>
    <w:p w:rsidR="00A37CBB" w:rsidRDefault="00D21007">
      <w:pPr>
        <w:spacing w:line="480" w:lineRule="exact"/>
        <w:ind w:firstLineChars="200" w:firstLine="560"/>
        <w:rPr>
          <w:sz w:val="28"/>
        </w:rPr>
      </w:pPr>
      <w:r>
        <w:rPr>
          <w:rFonts w:hint="eastAsia"/>
          <w:sz w:val="28"/>
        </w:rPr>
        <w:t>2</w:t>
      </w:r>
      <w:r>
        <w:rPr>
          <w:rFonts w:hint="eastAsia"/>
          <w:sz w:val="28"/>
        </w:rPr>
        <w:t>、技术上的可能性，即不能把技术上（建筑材料性能、施工技术手段等）无法达到的使用方式作为最高最佳利用。要在技术可能的前提下确定最高最佳利用方式进行估价。</w:t>
      </w:r>
    </w:p>
    <w:p w:rsidR="00A37CBB" w:rsidRDefault="00D21007">
      <w:pPr>
        <w:spacing w:line="480" w:lineRule="exact"/>
        <w:ind w:firstLineChars="200" w:firstLine="560"/>
        <w:rPr>
          <w:rFonts w:ascii="仿宋_GB2312"/>
          <w:sz w:val="28"/>
        </w:rPr>
      </w:pPr>
      <w:r>
        <w:rPr>
          <w:rFonts w:hint="eastAsia"/>
          <w:sz w:val="28"/>
        </w:rPr>
        <w:t>3</w:t>
      </w:r>
      <w:r>
        <w:rPr>
          <w:rFonts w:hint="eastAsia"/>
          <w:sz w:val="28"/>
        </w:rPr>
        <w:t>、经济上的可行性</w:t>
      </w:r>
      <w:r>
        <w:rPr>
          <w:rFonts w:ascii="仿宋_GB2312" w:hint="eastAsia"/>
          <w:sz w:val="28"/>
        </w:rPr>
        <w:t>，即对于法律上允许、技术上可能的每一种使用方式，还要进行经济可行性检验。</w:t>
      </w:r>
    </w:p>
    <w:p w:rsidR="00A37CBB" w:rsidRDefault="00D21007">
      <w:pPr>
        <w:spacing w:line="480" w:lineRule="exact"/>
        <w:ind w:firstLineChars="200" w:firstLine="560"/>
        <w:rPr>
          <w:rFonts w:ascii="仿宋_GB2312"/>
          <w:sz w:val="28"/>
        </w:rPr>
      </w:pPr>
      <w:r>
        <w:rPr>
          <w:rFonts w:ascii="仿宋_GB2312" w:hint="eastAsia"/>
          <w:sz w:val="28"/>
        </w:rPr>
        <w:t>4、价值是否最大：即在所有具有经济可行性的使用方式中，能使估价对象的价值达到最大的使用方式，才是最高最佳的使用方式。</w:t>
      </w:r>
    </w:p>
    <w:p w:rsidR="00A37CBB" w:rsidRDefault="00D21007">
      <w:pPr>
        <w:spacing w:line="480" w:lineRule="exact"/>
        <w:ind w:firstLineChars="200" w:firstLine="560"/>
        <w:rPr>
          <w:rFonts w:ascii="仿宋_GB2312"/>
          <w:sz w:val="28"/>
        </w:rPr>
      </w:pPr>
      <w:r>
        <w:rPr>
          <w:rFonts w:ascii="仿宋_GB2312" w:hint="eastAsia"/>
          <w:sz w:val="28"/>
        </w:rPr>
        <w:t>5、土地与建筑物的均衡性，即以房地产内部构成要素的组合是否均衡来判断其是否处于最高最佳利用方式，也就是说，估价时把建筑物与土地区位是否相匹配、是否具有投资集约度的因素考虑进去。</w:t>
      </w:r>
    </w:p>
    <w:p w:rsidR="00A37CBB" w:rsidRDefault="00D21007">
      <w:pPr>
        <w:spacing w:line="480" w:lineRule="exact"/>
        <w:ind w:firstLineChars="200" w:firstLine="560"/>
        <w:rPr>
          <w:rFonts w:ascii="仿宋_GB2312"/>
          <w:sz w:val="28"/>
        </w:rPr>
      </w:pPr>
      <w:r>
        <w:rPr>
          <w:rFonts w:ascii="仿宋_GB2312" w:hint="eastAsia"/>
          <w:sz w:val="28"/>
        </w:rPr>
        <w:t>6、房地产与周围环境的协调性：即以房地产与外部环境是否均衡或协调来判断其是否处于最高最佳利用方式，也就是说，估价时按房地产与其周围环境相协调能获得大量外部经济效益的最佳用途进行估价。</w:t>
      </w:r>
    </w:p>
    <w:p w:rsidR="00A37CBB" w:rsidRDefault="00D21007">
      <w:pPr>
        <w:pStyle w:val="a9"/>
        <w:spacing w:line="480" w:lineRule="exact"/>
        <w:ind w:left="-27" w:firstLine="555"/>
        <w:rPr>
          <w:rFonts w:ascii="Times New Roman" w:hAnsi="Times New Roman"/>
          <w:sz w:val="28"/>
        </w:rPr>
      </w:pPr>
      <w:r>
        <w:rPr>
          <w:rFonts w:ascii="仿宋_GB2312" w:hint="eastAsia"/>
          <w:sz w:val="28"/>
        </w:rPr>
        <w:t>在合法前提下的最高最佳利用是使房地产获利最大的利用方式。鉴于估价对象是符合城市规划并取得了合法的产权证件的房地产，根据现状及远景规划分析，由于待估房地产法定规划用途为营业/住宅用途房地产，实际用途为营业/住宅，实际使用过程中土地与建筑物的均衡性较好，房地产与周围环境的协调性也较优，分析认定本报告中估价对象的现状使用为最高最佳利用。</w:t>
      </w:r>
    </w:p>
    <w:p w:rsidR="00A37CBB" w:rsidRDefault="00D21007">
      <w:pPr>
        <w:pStyle w:val="a0"/>
        <w:spacing w:line="480" w:lineRule="exact"/>
        <w:ind w:firstLine="0"/>
        <w:outlineLvl w:val="2"/>
        <w:rPr>
          <w:rFonts w:ascii="仿宋" w:eastAsia="仿宋" w:hAnsi="仿宋"/>
          <w:b/>
          <w:szCs w:val="22"/>
        </w:rPr>
      </w:pPr>
      <w:bookmarkStart w:id="67" w:name="_Toc24391"/>
      <w:bookmarkStart w:id="68" w:name="_Toc28799"/>
      <w:bookmarkStart w:id="69" w:name="_Toc442100619"/>
      <w:bookmarkStart w:id="70" w:name="_Toc240707876"/>
      <w:bookmarkStart w:id="71" w:name="_Toc442100620"/>
      <w:bookmarkStart w:id="72" w:name="_Toc391884271"/>
      <w:bookmarkEnd w:id="65"/>
      <w:bookmarkEnd w:id="66"/>
      <w:r>
        <w:rPr>
          <w:rFonts w:ascii="仿宋" w:eastAsia="仿宋" w:hAnsi="仿宋" w:hint="eastAsia"/>
          <w:b/>
          <w:szCs w:val="22"/>
        </w:rPr>
        <w:t>四、估价方法适用性分析</w:t>
      </w:r>
      <w:bookmarkEnd w:id="67"/>
      <w:bookmarkEnd w:id="68"/>
      <w:bookmarkEnd w:id="69"/>
    </w:p>
    <w:p w:rsidR="00A37CBB" w:rsidRDefault="00D21007">
      <w:pPr>
        <w:spacing w:line="480" w:lineRule="exact"/>
        <w:ind w:firstLineChars="200" w:firstLine="560"/>
        <w:rPr>
          <w:rFonts w:ascii="仿宋" w:eastAsia="仿宋" w:hAnsi="仿宋"/>
          <w:sz w:val="28"/>
          <w:szCs w:val="28"/>
        </w:rPr>
      </w:pPr>
      <w:bookmarkStart w:id="73" w:name="_Toc6848"/>
      <w:bookmarkStart w:id="74" w:name="_Toc391884272"/>
      <w:bookmarkStart w:id="75" w:name="_Toc240707877"/>
      <w:bookmarkEnd w:id="70"/>
      <w:bookmarkEnd w:id="71"/>
      <w:bookmarkEnd w:id="72"/>
      <w:r>
        <w:rPr>
          <w:rFonts w:ascii="仿宋" w:eastAsia="仿宋" w:hAnsi="仿宋" w:hint="eastAsia"/>
          <w:sz w:val="28"/>
          <w:szCs w:val="28"/>
        </w:rPr>
        <w:t>1、估价方法的选择：</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根据《房地产估价规范》（GB/T50291-2015），通行的估价方法有比较法、收益法、成本法、假设开发法等。</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估价人员细致地分析了估价对象的特点和实际状况，并研究了估</w:t>
      </w:r>
      <w:r>
        <w:rPr>
          <w:rFonts w:ascii="仿宋_GB2312" w:hAnsi="宋体" w:hint="eastAsia"/>
          <w:sz w:val="28"/>
          <w:szCs w:val="28"/>
        </w:rPr>
        <w:lastRenderedPageBreak/>
        <w:t>价委托人提供及估价方所掌握的资料后，确定采用比较法作为测算方法，确定待估房地产的价值。理由如下：</w:t>
      </w:r>
    </w:p>
    <w:p w:rsidR="00A37CBB" w:rsidRDefault="00D21007">
      <w:pPr>
        <w:spacing w:line="480" w:lineRule="exact"/>
        <w:ind w:firstLineChars="200" w:firstLine="536"/>
        <w:rPr>
          <w:rFonts w:ascii="仿宋_GB2312" w:hAnsi="宋体"/>
          <w:spacing w:val="-6"/>
          <w:sz w:val="28"/>
          <w:szCs w:val="28"/>
        </w:rPr>
      </w:pPr>
      <w:r>
        <w:rPr>
          <w:rFonts w:ascii="仿宋_GB2312" w:hAnsi="宋体" w:hint="eastAsia"/>
          <w:spacing w:val="-6"/>
          <w:sz w:val="28"/>
          <w:szCs w:val="28"/>
        </w:rPr>
        <w:t>（1）选用方法的理由</w:t>
      </w:r>
    </w:p>
    <w:p w:rsidR="00A37CBB" w:rsidRDefault="00D21007">
      <w:pPr>
        <w:spacing w:line="480" w:lineRule="exact"/>
        <w:ind w:firstLineChars="200" w:firstLine="536"/>
        <w:rPr>
          <w:rFonts w:ascii="仿宋_GB2312" w:hAnsi="宋体"/>
          <w:sz w:val="28"/>
          <w:szCs w:val="28"/>
        </w:rPr>
      </w:pPr>
      <w:r>
        <w:rPr>
          <w:rFonts w:ascii="仿宋_GB2312" w:hAnsi="宋体" w:hint="eastAsia"/>
          <w:spacing w:val="-6"/>
          <w:sz w:val="28"/>
          <w:szCs w:val="28"/>
        </w:rPr>
        <w:t>估价对象</w:t>
      </w:r>
      <w:r>
        <w:rPr>
          <w:rFonts w:ascii="仿宋_GB2312" w:hAnsi="宋体" w:hint="eastAsia"/>
          <w:sz w:val="28"/>
          <w:szCs w:val="28"/>
        </w:rPr>
        <w:t>所在区域近期内同类型房屋交易案例较丰富，故本次评估可选用比较法进行测算。</w:t>
      </w:r>
    </w:p>
    <w:p w:rsidR="00A37CBB" w:rsidRDefault="00D21007">
      <w:pPr>
        <w:spacing w:line="480" w:lineRule="exact"/>
        <w:ind w:firstLineChars="200" w:firstLine="536"/>
        <w:rPr>
          <w:rFonts w:ascii="仿宋_GB2312" w:hAnsi="宋体"/>
          <w:spacing w:val="-6"/>
          <w:sz w:val="28"/>
          <w:szCs w:val="28"/>
        </w:rPr>
      </w:pPr>
      <w:r>
        <w:rPr>
          <w:rFonts w:ascii="仿宋_GB2312" w:hAnsi="宋体" w:hint="eastAsia"/>
          <w:spacing w:val="-6"/>
          <w:sz w:val="28"/>
          <w:szCs w:val="28"/>
        </w:rPr>
        <w:t>（2）未选用方法的理由</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1）估价对象为营业/住宅用房，采用成本法进行评估会一定程度上低估估价对象的价值，故不宜选用成本法进行估算</w:t>
      </w:r>
      <w:r>
        <w:rPr>
          <w:rFonts w:hint="eastAsia"/>
        </w:rPr>
        <w:t>。</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2）估价对象为已开发完成房地产，再投资开发潜力不高，故不宜选用假设开发法进行估算。</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3）估价对象登记用途为</w:t>
      </w:r>
      <w:r>
        <w:rPr>
          <w:rFonts w:ascii="仿宋_GB2312" w:hAnsi="宋体" w:hint="eastAsia"/>
          <w:spacing w:val="-6"/>
          <w:sz w:val="28"/>
          <w:szCs w:val="28"/>
        </w:rPr>
        <w:t>营业/住宅</w:t>
      </w:r>
      <w:r>
        <w:rPr>
          <w:rFonts w:ascii="仿宋_GB2312" w:hAnsi="宋体" w:hint="eastAsia"/>
          <w:sz w:val="28"/>
          <w:szCs w:val="28"/>
        </w:rPr>
        <w:t>，无现实收益，且未来收益也不易于准确量化，考虑到评估的可操作性，故本次评估不采用收益法。</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3、选用估价方法简介</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比较法是将估价对象与价值时点有过交易的类似房地产进行比较，对于这些类似房地产的已知价格作适当的修正，以此估算对象的客观合理价格或价值的方法。</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比较法公式：</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估价对象比准价格=可比实例价格×交易日期修正×交易情况修正×房地产状况调整。</w:t>
      </w:r>
    </w:p>
    <w:p w:rsidR="00A37CBB" w:rsidRDefault="00D21007">
      <w:pPr>
        <w:pStyle w:val="a0"/>
        <w:spacing w:line="480" w:lineRule="exact"/>
        <w:outlineLvl w:val="2"/>
        <w:rPr>
          <w:rFonts w:ascii="仿宋" w:eastAsia="仿宋" w:hAnsi="仿宋"/>
          <w:b/>
        </w:rPr>
      </w:pPr>
      <w:bookmarkStart w:id="76" w:name="_Toc29391"/>
      <w:r>
        <w:rPr>
          <w:rFonts w:ascii="仿宋" w:eastAsia="仿宋" w:hAnsi="仿宋" w:hint="eastAsia"/>
          <w:b/>
        </w:rPr>
        <w:t>五</w:t>
      </w:r>
      <w:r>
        <w:rPr>
          <w:rFonts w:ascii="仿宋" w:eastAsia="仿宋" w:hAnsi="仿宋"/>
          <w:b/>
        </w:rPr>
        <w:t>、估价测算过程</w:t>
      </w:r>
      <w:bookmarkEnd w:id="73"/>
      <w:bookmarkEnd w:id="76"/>
    </w:p>
    <w:bookmarkEnd w:id="74"/>
    <w:bookmarkEnd w:id="75"/>
    <w:p w:rsidR="00A37CBB" w:rsidRDefault="00D21007">
      <w:pPr>
        <w:spacing w:line="480" w:lineRule="exact"/>
        <w:ind w:firstLineChars="200" w:firstLine="562"/>
        <w:rPr>
          <w:rFonts w:ascii="仿宋_GB2312" w:hAnsi="宋体"/>
          <w:b/>
          <w:sz w:val="28"/>
          <w:szCs w:val="28"/>
        </w:rPr>
      </w:pPr>
      <w:r>
        <w:rPr>
          <w:rFonts w:ascii="仿宋_GB2312" w:hAnsi="宋体" w:hint="eastAsia"/>
          <w:b/>
          <w:sz w:val="28"/>
          <w:szCs w:val="28"/>
        </w:rPr>
        <w:t>1、选择可比实例</w:t>
      </w:r>
    </w:p>
    <w:p w:rsidR="00A37CBB" w:rsidRDefault="00D21007" w:rsidP="008D2AB0">
      <w:pPr>
        <w:spacing w:line="480" w:lineRule="exact"/>
        <w:ind w:firstLineChars="182" w:firstLine="510"/>
        <w:rPr>
          <w:rFonts w:ascii="仿宋_GB2312" w:hAnsi="仿宋" w:cs="仿宋_GB2312"/>
          <w:sz w:val="28"/>
          <w:szCs w:val="28"/>
        </w:rPr>
      </w:pPr>
      <w:r>
        <w:rPr>
          <w:rFonts w:ascii="仿宋_GB2312" w:hAnsi="宋体" w:hint="eastAsia"/>
          <w:sz w:val="28"/>
          <w:szCs w:val="28"/>
        </w:rPr>
        <w:t>在估价对象类似地区存在与估价对象相类似的房地产交易实例，经过认真分析，反复筛选，</w:t>
      </w:r>
      <w:r>
        <w:rPr>
          <w:rFonts w:ascii="仿宋_GB2312" w:hAnsi="仿宋" w:cs="仿宋_GB2312" w:hint="eastAsia"/>
          <w:sz w:val="28"/>
          <w:szCs w:val="28"/>
        </w:rPr>
        <w:t>选择了以下三个比较交易案例</w:t>
      </w:r>
    </w:p>
    <w:p w:rsidR="00A37CBB" w:rsidRDefault="00D21007">
      <w:pPr>
        <w:tabs>
          <w:tab w:val="left" w:pos="546"/>
        </w:tabs>
        <w:spacing w:line="480" w:lineRule="exact"/>
        <w:ind w:firstLine="546"/>
        <w:jc w:val="center"/>
        <w:rPr>
          <w:rFonts w:ascii="仿宋_GB2312" w:hAnsi="仿宋" w:cs="仿宋_GB2312"/>
          <w:b/>
          <w:szCs w:val="24"/>
          <w:u w:val="dotted"/>
        </w:rPr>
      </w:pPr>
      <w:r>
        <w:rPr>
          <w:rFonts w:ascii="仿宋_GB2312" w:hAnsi="仿宋" w:cs="仿宋_GB2312" w:hint="eastAsia"/>
          <w:b/>
          <w:szCs w:val="24"/>
          <w:u w:val="dotted"/>
        </w:rPr>
        <w:t>物业可比交易实例资料</w:t>
      </w:r>
    </w:p>
    <w:tbl>
      <w:tblPr>
        <w:tblW w:w="834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583"/>
        <w:gridCol w:w="2009"/>
        <w:gridCol w:w="2490"/>
        <w:gridCol w:w="2263"/>
      </w:tblGrid>
      <w:tr w:rsidR="00A37CBB">
        <w:trPr>
          <w:trHeight w:val="280"/>
          <w:jc w:val="center"/>
        </w:trPr>
        <w:tc>
          <w:tcPr>
            <w:tcW w:w="1583" w:type="dxa"/>
            <w:vMerge w:val="restart"/>
            <w:tcBorders>
              <w:top w:val="double" w:sz="4" w:space="0" w:color="auto"/>
              <w:left w:val="double" w:sz="4" w:space="0" w:color="auto"/>
              <w:bottom w:val="single" w:sz="6" w:space="0" w:color="auto"/>
              <w:right w:val="single" w:sz="6" w:space="0" w:color="auto"/>
            </w:tcBorders>
            <w:vAlign w:val="center"/>
          </w:tcPr>
          <w:p w:rsidR="00A37CBB" w:rsidRDefault="00D21007">
            <w:pPr>
              <w:tabs>
                <w:tab w:val="left" w:pos="546"/>
              </w:tabs>
              <w:spacing w:line="280" w:lineRule="exact"/>
              <w:jc w:val="center"/>
              <w:rPr>
                <w:rFonts w:ascii="仿宋_GB2312" w:hAnsi="仿宋" w:cs="仿宋_GB2312"/>
                <w:b/>
                <w:szCs w:val="21"/>
              </w:rPr>
            </w:pPr>
            <w:r>
              <w:rPr>
                <w:rFonts w:ascii="仿宋_GB2312" w:hAnsi="仿宋" w:cs="仿宋_GB2312" w:hint="eastAsia"/>
                <w:b/>
                <w:szCs w:val="21"/>
              </w:rPr>
              <w:t>实例名称</w:t>
            </w:r>
          </w:p>
        </w:tc>
        <w:tc>
          <w:tcPr>
            <w:tcW w:w="2009" w:type="dxa"/>
            <w:tcBorders>
              <w:top w:val="double" w:sz="4" w:space="0" w:color="auto"/>
              <w:left w:val="single" w:sz="6" w:space="0" w:color="auto"/>
              <w:bottom w:val="single" w:sz="6" w:space="0" w:color="auto"/>
              <w:right w:val="single" w:sz="6" w:space="0" w:color="auto"/>
            </w:tcBorders>
            <w:vAlign w:val="center"/>
          </w:tcPr>
          <w:p w:rsidR="00A37CBB" w:rsidRDefault="00D21007">
            <w:pPr>
              <w:spacing w:line="280" w:lineRule="exact"/>
              <w:jc w:val="center"/>
              <w:rPr>
                <w:rFonts w:ascii="仿宋_GB2312" w:hAnsi="仿宋" w:cs="仿宋_GB2312"/>
                <w:b/>
                <w:szCs w:val="21"/>
              </w:rPr>
            </w:pPr>
            <w:r>
              <w:rPr>
                <w:rFonts w:ascii="仿宋_GB2312" w:hAnsi="仿宋" w:cs="仿宋_GB2312" w:hint="eastAsia"/>
                <w:b/>
                <w:szCs w:val="21"/>
              </w:rPr>
              <w:t>实例A</w:t>
            </w:r>
          </w:p>
        </w:tc>
        <w:tc>
          <w:tcPr>
            <w:tcW w:w="2490" w:type="dxa"/>
            <w:tcBorders>
              <w:top w:val="double" w:sz="4" w:space="0" w:color="auto"/>
              <w:left w:val="single" w:sz="6" w:space="0" w:color="auto"/>
              <w:bottom w:val="single" w:sz="6" w:space="0" w:color="auto"/>
              <w:right w:val="single" w:sz="6" w:space="0" w:color="auto"/>
            </w:tcBorders>
            <w:vAlign w:val="center"/>
          </w:tcPr>
          <w:p w:rsidR="00A37CBB" w:rsidRDefault="00D21007">
            <w:pPr>
              <w:tabs>
                <w:tab w:val="left" w:pos="546"/>
              </w:tabs>
              <w:spacing w:line="280" w:lineRule="exact"/>
              <w:jc w:val="center"/>
              <w:rPr>
                <w:rFonts w:ascii="仿宋_GB2312" w:cs="仿宋_GB2312"/>
              </w:rPr>
            </w:pPr>
            <w:r>
              <w:rPr>
                <w:rFonts w:ascii="仿宋_GB2312" w:hAnsi="仿宋" w:cs="仿宋_GB2312" w:hint="eastAsia"/>
                <w:b/>
                <w:szCs w:val="21"/>
              </w:rPr>
              <w:t>实例B</w:t>
            </w:r>
          </w:p>
        </w:tc>
        <w:tc>
          <w:tcPr>
            <w:tcW w:w="2263" w:type="dxa"/>
            <w:tcBorders>
              <w:top w:val="double" w:sz="4" w:space="0" w:color="auto"/>
              <w:left w:val="single" w:sz="6" w:space="0" w:color="auto"/>
              <w:bottom w:val="single" w:sz="6" w:space="0" w:color="auto"/>
              <w:right w:val="double" w:sz="4" w:space="0" w:color="auto"/>
            </w:tcBorders>
            <w:vAlign w:val="center"/>
          </w:tcPr>
          <w:p w:rsidR="00A37CBB" w:rsidRDefault="00D21007">
            <w:pPr>
              <w:spacing w:line="280" w:lineRule="exact"/>
              <w:jc w:val="center"/>
              <w:rPr>
                <w:rFonts w:ascii="仿宋_GB2312" w:cs="仿宋_GB2312"/>
              </w:rPr>
            </w:pPr>
            <w:r>
              <w:rPr>
                <w:rFonts w:ascii="仿宋_GB2312" w:hAnsi="仿宋" w:cs="仿宋_GB2312" w:hint="eastAsia"/>
                <w:b/>
                <w:szCs w:val="21"/>
              </w:rPr>
              <w:t>实例C</w:t>
            </w:r>
          </w:p>
        </w:tc>
      </w:tr>
      <w:tr w:rsidR="00A37CBB">
        <w:trPr>
          <w:trHeight w:val="398"/>
          <w:jc w:val="center"/>
        </w:trPr>
        <w:tc>
          <w:tcPr>
            <w:tcW w:w="1583" w:type="dxa"/>
            <w:vMerge/>
            <w:tcBorders>
              <w:top w:val="double" w:sz="4" w:space="0" w:color="auto"/>
              <w:left w:val="double" w:sz="4" w:space="0" w:color="auto"/>
              <w:bottom w:val="single" w:sz="6" w:space="0" w:color="auto"/>
              <w:right w:val="single" w:sz="6" w:space="0" w:color="auto"/>
            </w:tcBorders>
            <w:vAlign w:val="center"/>
          </w:tcPr>
          <w:p w:rsidR="00A37CBB" w:rsidRDefault="00A37CBB">
            <w:pPr>
              <w:spacing w:line="280" w:lineRule="exact"/>
              <w:jc w:val="center"/>
              <w:rPr>
                <w:rFonts w:ascii="仿宋_GB2312"/>
                <w:sz w:val="20"/>
              </w:rPr>
            </w:pPr>
          </w:p>
        </w:tc>
        <w:tc>
          <w:tcPr>
            <w:tcW w:w="2009" w:type="dxa"/>
            <w:tcBorders>
              <w:top w:val="single" w:sz="6" w:space="0" w:color="auto"/>
              <w:left w:val="single" w:sz="6" w:space="0" w:color="auto"/>
              <w:bottom w:val="single" w:sz="6" w:space="0" w:color="auto"/>
              <w:right w:val="single" w:sz="6" w:space="0" w:color="auto"/>
            </w:tcBorders>
            <w:vAlign w:val="center"/>
          </w:tcPr>
          <w:p w:rsidR="00A37CBB" w:rsidRDefault="00D21007">
            <w:pPr>
              <w:widowControl/>
              <w:jc w:val="center"/>
              <w:textAlignment w:val="center"/>
              <w:rPr>
                <w:rFonts w:ascii="仿宋_GB2312" w:hAnsi="宋体" w:cs="仿宋_GB2312"/>
                <w:color w:val="000000"/>
                <w:kern w:val="0"/>
                <w:sz w:val="20"/>
                <w:lang/>
              </w:rPr>
            </w:pPr>
            <w:r>
              <w:rPr>
                <w:rFonts w:ascii="仿宋_GB2312" w:hAnsi="宋体" w:cs="仿宋_GB2312" w:hint="eastAsia"/>
                <w:color w:val="000000"/>
                <w:kern w:val="0"/>
                <w:sz w:val="20"/>
                <w:lang/>
              </w:rPr>
              <w:t>新城镇</w:t>
            </w:r>
          </w:p>
        </w:tc>
        <w:tc>
          <w:tcPr>
            <w:tcW w:w="2490" w:type="dxa"/>
            <w:tcBorders>
              <w:top w:val="single" w:sz="6" w:space="0" w:color="auto"/>
              <w:left w:val="single" w:sz="6" w:space="0" w:color="auto"/>
              <w:bottom w:val="single" w:sz="6" w:space="0" w:color="auto"/>
              <w:right w:val="single" w:sz="6" w:space="0" w:color="auto"/>
            </w:tcBorders>
            <w:vAlign w:val="center"/>
          </w:tcPr>
          <w:p w:rsidR="00A37CBB" w:rsidRDefault="00D21007">
            <w:pPr>
              <w:widowControl/>
              <w:jc w:val="center"/>
              <w:textAlignment w:val="center"/>
              <w:rPr>
                <w:rFonts w:ascii="仿宋_GB2312" w:hAnsi="宋体" w:cs="仿宋_GB2312"/>
                <w:color w:val="000000"/>
                <w:kern w:val="0"/>
                <w:sz w:val="20"/>
                <w:lang/>
              </w:rPr>
            </w:pPr>
            <w:r>
              <w:rPr>
                <w:rFonts w:ascii="仿宋_GB2312" w:hAnsi="宋体" w:cs="仿宋_GB2312" w:hint="eastAsia"/>
                <w:color w:val="000000"/>
                <w:kern w:val="0"/>
                <w:sz w:val="20"/>
                <w:lang/>
              </w:rPr>
              <w:t>新城镇</w:t>
            </w:r>
          </w:p>
        </w:tc>
        <w:tc>
          <w:tcPr>
            <w:tcW w:w="2263" w:type="dxa"/>
            <w:tcBorders>
              <w:top w:val="single" w:sz="6" w:space="0" w:color="auto"/>
              <w:left w:val="single" w:sz="6" w:space="0" w:color="auto"/>
              <w:bottom w:val="single" w:sz="6" w:space="0" w:color="auto"/>
              <w:right w:val="double" w:sz="4" w:space="0" w:color="auto"/>
            </w:tcBorders>
            <w:vAlign w:val="center"/>
          </w:tcPr>
          <w:p w:rsidR="00A37CBB" w:rsidRDefault="00D21007">
            <w:pPr>
              <w:widowControl/>
              <w:jc w:val="center"/>
              <w:textAlignment w:val="center"/>
              <w:rPr>
                <w:rFonts w:ascii="仿宋_GB2312" w:hAnsi="宋体" w:cs="仿宋_GB2312"/>
                <w:color w:val="000000"/>
                <w:kern w:val="0"/>
                <w:sz w:val="20"/>
                <w:lang/>
              </w:rPr>
            </w:pPr>
            <w:r>
              <w:rPr>
                <w:rFonts w:ascii="仿宋_GB2312" w:hAnsi="宋体" w:cs="仿宋_GB2312" w:hint="eastAsia"/>
                <w:color w:val="000000"/>
                <w:kern w:val="0"/>
                <w:sz w:val="20"/>
                <w:lang/>
              </w:rPr>
              <w:t>新城镇</w:t>
            </w:r>
          </w:p>
        </w:tc>
      </w:tr>
      <w:tr w:rsidR="00A37CBB">
        <w:trPr>
          <w:trHeight w:val="238"/>
          <w:jc w:val="center"/>
        </w:trPr>
        <w:tc>
          <w:tcPr>
            <w:tcW w:w="1583" w:type="dxa"/>
            <w:tcBorders>
              <w:top w:val="single" w:sz="6" w:space="0" w:color="auto"/>
              <w:left w:val="double" w:sz="4" w:space="0" w:color="auto"/>
              <w:bottom w:val="single" w:sz="6" w:space="0" w:color="auto"/>
              <w:right w:val="single" w:sz="6" w:space="0" w:color="auto"/>
            </w:tcBorders>
            <w:vAlign w:val="center"/>
          </w:tcPr>
          <w:p w:rsidR="00A37CBB" w:rsidRDefault="00D21007">
            <w:pPr>
              <w:tabs>
                <w:tab w:val="left" w:pos="546"/>
              </w:tabs>
              <w:spacing w:line="280" w:lineRule="exact"/>
              <w:jc w:val="center"/>
              <w:rPr>
                <w:rFonts w:ascii="仿宋_GB2312" w:hAnsi="仿宋" w:cs="仿宋_GB2312"/>
                <w:b/>
                <w:szCs w:val="21"/>
              </w:rPr>
            </w:pPr>
            <w:r>
              <w:rPr>
                <w:rFonts w:ascii="仿宋_GB2312" w:hAnsi="仿宋" w:cs="仿宋_GB2312" w:hint="eastAsia"/>
                <w:b/>
                <w:szCs w:val="21"/>
              </w:rPr>
              <w:t>项目位置</w:t>
            </w:r>
          </w:p>
        </w:tc>
        <w:tc>
          <w:tcPr>
            <w:tcW w:w="2009" w:type="dxa"/>
            <w:tcBorders>
              <w:top w:val="single" w:sz="6" w:space="0" w:color="auto"/>
              <w:left w:val="single" w:sz="6" w:space="0" w:color="auto"/>
              <w:bottom w:val="single" w:sz="6" w:space="0" w:color="auto"/>
              <w:right w:val="single" w:sz="6" w:space="0" w:color="auto"/>
            </w:tcBorders>
            <w:vAlign w:val="center"/>
          </w:tcPr>
          <w:p w:rsidR="00A37CBB" w:rsidRDefault="00D21007">
            <w:pPr>
              <w:widowControl/>
              <w:jc w:val="center"/>
              <w:textAlignment w:val="center"/>
              <w:rPr>
                <w:rFonts w:ascii="仿宋_GB2312" w:hAnsi="宋体" w:cs="仿宋_GB2312"/>
                <w:color w:val="000000"/>
                <w:kern w:val="0"/>
                <w:sz w:val="20"/>
                <w:lang/>
              </w:rPr>
            </w:pPr>
            <w:r>
              <w:rPr>
                <w:rFonts w:ascii="仿宋_GB2312" w:hAnsi="宋体" w:cs="仿宋_GB2312" w:hint="eastAsia"/>
                <w:color w:val="000000"/>
                <w:kern w:val="0"/>
                <w:sz w:val="20"/>
                <w:lang/>
              </w:rPr>
              <w:t>大余县</w:t>
            </w:r>
          </w:p>
        </w:tc>
        <w:tc>
          <w:tcPr>
            <w:tcW w:w="2490" w:type="dxa"/>
            <w:tcBorders>
              <w:top w:val="single" w:sz="6" w:space="0" w:color="auto"/>
              <w:left w:val="single" w:sz="6" w:space="0" w:color="auto"/>
              <w:bottom w:val="single" w:sz="6" w:space="0" w:color="auto"/>
              <w:right w:val="single" w:sz="6" w:space="0" w:color="auto"/>
            </w:tcBorders>
            <w:vAlign w:val="center"/>
          </w:tcPr>
          <w:p w:rsidR="00A37CBB" w:rsidRDefault="00D21007">
            <w:pPr>
              <w:widowControl/>
              <w:jc w:val="center"/>
              <w:textAlignment w:val="center"/>
              <w:rPr>
                <w:rFonts w:ascii="仿宋_GB2312" w:hAnsi="宋体" w:cs="仿宋_GB2312"/>
                <w:color w:val="000000"/>
                <w:kern w:val="0"/>
                <w:sz w:val="20"/>
                <w:lang/>
              </w:rPr>
            </w:pPr>
            <w:r>
              <w:rPr>
                <w:rFonts w:ascii="仿宋_GB2312" w:hAnsi="宋体" w:cs="仿宋_GB2312" w:hint="eastAsia"/>
                <w:color w:val="000000"/>
                <w:kern w:val="0"/>
                <w:sz w:val="20"/>
                <w:lang/>
              </w:rPr>
              <w:t>大余县</w:t>
            </w:r>
          </w:p>
        </w:tc>
        <w:tc>
          <w:tcPr>
            <w:tcW w:w="2263" w:type="dxa"/>
            <w:tcBorders>
              <w:top w:val="single" w:sz="6" w:space="0" w:color="auto"/>
              <w:left w:val="single" w:sz="6" w:space="0" w:color="auto"/>
              <w:bottom w:val="single" w:sz="6" w:space="0" w:color="auto"/>
              <w:right w:val="double" w:sz="4" w:space="0" w:color="auto"/>
            </w:tcBorders>
            <w:vAlign w:val="center"/>
          </w:tcPr>
          <w:p w:rsidR="00A37CBB" w:rsidRDefault="00D21007">
            <w:pPr>
              <w:widowControl/>
              <w:jc w:val="center"/>
              <w:textAlignment w:val="center"/>
              <w:rPr>
                <w:rFonts w:ascii="仿宋_GB2312" w:hAnsi="宋体" w:cs="仿宋_GB2312"/>
                <w:color w:val="000000"/>
                <w:kern w:val="0"/>
                <w:sz w:val="20"/>
                <w:lang/>
              </w:rPr>
            </w:pPr>
            <w:r>
              <w:rPr>
                <w:rFonts w:ascii="仿宋_GB2312" w:hAnsi="宋体" w:cs="仿宋_GB2312" w:hint="eastAsia"/>
                <w:color w:val="000000"/>
                <w:kern w:val="0"/>
                <w:sz w:val="20"/>
                <w:lang/>
              </w:rPr>
              <w:t>大余县</w:t>
            </w:r>
          </w:p>
        </w:tc>
      </w:tr>
      <w:tr w:rsidR="00A37CBB">
        <w:trPr>
          <w:trHeight w:val="279"/>
          <w:jc w:val="center"/>
        </w:trPr>
        <w:tc>
          <w:tcPr>
            <w:tcW w:w="1583" w:type="dxa"/>
            <w:tcBorders>
              <w:top w:val="single" w:sz="6" w:space="0" w:color="auto"/>
              <w:left w:val="double" w:sz="4" w:space="0" w:color="auto"/>
              <w:bottom w:val="single" w:sz="6" w:space="0" w:color="auto"/>
              <w:right w:val="single" w:sz="6" w:space="0" w:color="auto"/>
            </w:tcBorders>
            <w:vAlign w:val="center"/>
          </w:tcPr>
          <w:p w:rsidR="00A37CBB" w:rsidRDefault="00D21007">
            <w:pPr>
              <w:tabs>
                <w:tab w:val="left" w:pos="546"/>
              </w:tabs>
              <w:spacing w:line="280" w:lineRule="exact"/>
              <w:jc w:val="center"/>
              <w:rPr>
                <w:rFonts w:ascii="仿宋_GB2312" w:hAnsi="仿宋" w:cs="仿宋_GB2312"/>
                <w:b/>
                <w:szCs w:val="21"/>
              </w:rPr>
            </w:pPr>
            <w:r>
              <w:rPr>
                <w:rFonts w:ascii="仿宋_GB2312" w:hAnsi="仿宋" w:cs="仿宋_GB2312" w:hint="eastAsia"/>
                <w:b/>
                <w:szCs w:val="21"/>
              </w:rPr>
              <w:t>均价（元/㎡）</w:t>
            </w:r>
          </w:p>
        </w:tc>
        <w:tc>
          <w:tcPr>
            <w:tcW w:w="2009" w:type="dxa"/>
            <w:tcBorders>
              <w:top w:val="single" w:sz="6" w:space="0" w:color="auto"/>
              <w:left w:val="single" w:sz="6" w:space="0" w:color="auto"/>
              <w:bottom w:val="single" w:sz="6" w:space="0" w:color="auto"/>
              <w:right w:val="single" w:sz="6" w:space="0" w:color="auto"/>
            </w:tcBorders>
            <w:vAlign w:val="center"/>
          </w:tcPr>
          <w:p w:rsidR="00A37CBB" w:rsidRDefault="00D21007">
            <w:pPr>
              <w:widowControl/>
              <w:jc w:val="center"/>
              <w:textAlignment w:val="center"/>
              <w:rPr>
                <w:rFonts w:ascii="仿宋_GB2312" w:hAnsi="宋体" w:cs="仿宋_GB2312"/>
                <w:color w:val="000000"/>
                <w:kern w:val="0"/>
                <w:sz w:val="20"/>
                <w:lang/>
              </w:rPr>
            </w:pPr>
            <w:r>
              <w:rPr>
                <w:rFonts w:ascii="仿宋_GB2312" w:hAnsi="宋体" w:cs="仿宋_GB2312" w:hint="eastAsia"/>
                <w:color w:val="000000"/>
                <w:kern w:val="0"/>
                <w:sz w:val="20"/>
                <w:lang/>
              </w:rPr>
              <w:t>3,525</w:t>
            </w:r>
          </w:p>
        </w:tc>
        <w:tc>
          <w:tcPr>
            <w:tcW w:w="2490" w:type="dxa"/>
            <w:tcBorders>
              <w:top w:val="single" w:sz="6" w:space="0" w:color="auto"/>
              <w:left w:val="single" w:sz="6" w:space="0" w:color="auto"/>
              <w:bottom w:val="single" w:sz="6" w:space="0" w:color="auto"/>
              <w:right w:val="single" w:sz="6" w:space="0" w:color="auto"/>
            </w:tcBorders>
            <w:vAlign w:val="center"/>
          </w:tcPr>
          <w:p w:rsidR="00A37CBB" w:rsidRDefault="00D21007">
            <w:pPr>
              <w:widowControl/>
              <w:jc w:val="center"/>
              <w:textAlignment w:val="center"/>
              <w:rPr>
                <w:rFonts w:ascii="仿宋_GB2312" w:hAnsi="宋体" w:cs="仿宋_GB2312"/>
                <w:color w:val="000000"/>
                <w:kern w:val="0"/>
                <w:sz w:val="20"/>
                <w:lang/>
              </w:rPr>
            </w:pPr>
            <w:r>
              <w:rPr>
                <w:rFonts w:ascii="仿宋_GB2312" w:hAnsi="宋体" w:cs="仿宋_GB2312" w:hint="eastAsia"/>
                <w:color w:val="000000"/>
                <w:kern w:val="0"/>
                <w:sz w:val="20"/>
                <w:lang/>
              </w:rPr>
              <w:t>3,510</w:t>
            </w:r>
          </w:p>
        </w:tc>
        <w:tc>
          <w:tcPr>
            <w:tcW w:w="2263" w:type="dxa"/>
            <w:tcBorders>
              <w:top w:val="single" w:sz="6" w:space="0" w:color="auto"/>
              <w:left w:val="single" w:sz="6" w:space="0" w:color="auto"/>
              <w:bottom w:val="single" w:sz="6" w:space="0" w:color="auto"/>
              <w:right w:val="double" w:sz="4" w:space="0" w:color="auto"/>
            </w:tcBorders>
            <w:vAlign w:val="center"/>
          </w:tcPr>
          <w:p w:rsidR="00A37CBB" w:rsidRDefault="00D21007">
            <w:pPr>
              <w:widowControl/>
              <w:jc w:val="center"/>
              <w:textAlignment w:val="center"/>
              <w:rPr>
                <w:rFonts w:ascii="仿宋_GB2312" w:hAnsi="宋体" w:cs="仿宋_GB2312"/>
                <w:color w:val="000000"/>
                <w:kern w:val="0"/>
                <w:sz w:val="20"/>
                <w:lang/>
              </w:rPr>
            </w:pPr>
            <w:r>
              <w:rPr>
                <w:rFonts w:ascii="仿宋_GB2312" w:hAnsi="宋体" w:cs="仿宋_GB2312" w:hint="eastAsia"/>
                <w:color w:val="000000"/>
                <w:kern w:val="0"/>
                <w:sz w:val="20"/>
                <w:lang/>
              </w:rPr>
              <w:t>3,470</w:t>
            </w:r>
          </w:p>
        </w:tc>
      </w:tr>
      <w:tr w:rsidR="00A37CBB">
        <w:trPr>
          <w:trHeight w:val="90"/>
          <w:jc w:val="center"/>
        </w:trPr>
        <w:tc>
          <w:tcPr>
            <w:tcW w:w="1583" w:type="dxa"/>
            <w:tcBorders>
              <w:top w:val="single" w:sz="6" w:space="0" w:color="auto"/>
              <w:left w:val="double" w:sz="4" w:space="0" w:color="auto"/>
              <w:bottom w:val="single" w:sz="6" w:space="0" w:color="auto"/>
              <w:right w:val="single" w:sz="6" w:space="0" w:color="auto"/>
            </w:tcBorders>
            <w:vAlign w:val="center"/>
          </w:tcPr>
          <w:p w:rsidR="00A37CBB" w:rsidRDefault="00D21007">
            <w:pPr>
              <w:tabs>
                <w:tab w:val="left" w:pos="546"/>
              </w:tabs>
              <w:spacing w:line="280" w:lineRule="exact"/>
              <w:jc w:val="center"/>
              <w:rPr>
                <w:rFonts w:ascii="仿宋_GB2312" w:hAnsi="仿宋" w:cs="仿宋_GB2312"/>
                <w:b/>
                <w:szCs w:val="21"/>
              </w:rPr>
            </w:pPr>
            <w:r>
              <w:rPr>
                <w:rFonts w:ascii="仿宋_GB2312" w:hAnsi="仿宋" w:cs="仿宋_GB2312" w:hint="eastAsia"/>
                <w:b/>
                <w:szCs w:val="21"/>
              </w:rPr>
              <w:t>用途</w:t>
            </w:r>
          </w:p>
        </w:tc>
        <w:tc>
          <w:tcPr>
            <w:tcW w:w="2009" w:type="dxa"/>
            <w:tcBorders>
              <w:top w:val="single" w:sz="6" w:space="0" w:color="auto"/>
              <w:left w:val="single" w:sz="6" w:space="0" w:color="auto"/>
              <w:bottom w:val="single" w:sz="6" w:space="0" w:color="auto"/>
              <w:right w:val="single" w:sz="6" w:space="0" w:color="auto"/>
            </w:tcBorders>
            <w:vAlign w:val="center"/>
          </w:tcPr>
          <w:p w:rsidR="00A37CBB" w:rsidRDefault="00D21007">
            <w:pPr>
              <w:widowControl/>
              <w:jc w:val="center"/>
              <w:textAlignment w:val="center"/>
              <w:rPr>
                <w:rFonts w:ascii="仿宋_GB2312" w:hAnsi="宋体" w:cs="仿宋_GB2312"/>
                <w:color w:val="000000"/>
                <w:kern w:val="0"/>
                <w:sz w:val="20"/>
                <w:lang/>
              </w:rPr>
            </w:pPr>
            <w:r>
              <w:rPr>
                <w:rFonts w:ascii="仿宋_GB2312" w:hAnsi="宋体" w:cs="仿宋_GB2312" w:hint="eastAsia"/>
                <w:color w:val="000000"/>
                <w:kern w:val="0"/>
                <w:sz w:val="20"/>
                <w:lang/>
              </w:rPr>
              <w:t>营业/住宅</w:t>
            </w:r>
          </w:p>
        </w:tc>
        <w:tc>
          <w:tcPr>
            <w:tcW w:w="2490" w:type="dxa"/>
            <w:tcBorders>
              <w:top w:val="single" w:sz="6" w:space="0" w:color="auto"/>
              <w:left w:val="single" w:sz="6" w:space="0" w:color="auto"/>
              <w:bottom w:val="single" w:sz="6" w:space="0" w:color="auto"/>
              <w:right w:val="single" w:sz="6" w:space="0" w:color="auto"/>
            </w:tcBorders>
            <w:vAlign w:val="center"/>
          </w:tcPr>
          <w:p w:rsidR="00A37CBB" w:rsidRDefault="00D21007">
            <w:pPr>
              <w:widowControl/>
              <w:jc w:val="center"/>
              <w:textAlignment w:val="center"/>
              <w:rPr>
                <w:rFonts w:ascii="仿宋_GB2312" w:hAnsi="宋体" w:cs="仿宋_GB2312"/>
                <w:color w:val="000000"/>
                <w:kern w:val="0"/>
                <w:sz w:val="20"/>
                <w:lang/>
              </w:rPr>
            </w:pPr>
            <w:r>
              <w:rPr>
                <w:rFonts w:ascii="仿宋_GB2312" w:hAnsi="宋体" w:cs="仿宋_GB2312" w:hint="eastAsia"/>
                <w:color w:val="000000"/>
                <w:kern w:val="0"/>
                <w:sz w:val="20"/>
                <w:lang/>
              </w:rPr>
              <w:t>营业/住宅</w:t>
            </w:r>
          </w:p>
        </w:tc>
        <w:tc>
          <w:tcPr>
            <w:tcW w:w="2263" w:type="dxa"/>
            <w:tcBorders>
              <w:top w:val="single" w:sz="6" w:space="0" w:color="auto"/>
              <w:left w:val="single" w:sz="6" w:space="0" w:color="auto"/>
              <w:bottom w:val="single" w:sz="6" w:space="0" w:color="auto"/>
              <w:right w:val="double" w:sz="4" w:space="0" w:color="auto"/>
            </w:tcBorders>
            <w:vAlign w:val="center"/>
          </w:tcPr>
          <w:p w:rsidR="00A37CBB" w:rsidRDefault="00D21007">
            <w:pPr>
              <w:widowControl/>
              <w:jc w:val="center"/>
              <w:textAlignment w:val="center"/>
              <w:rPr>
                <w:rFonts w:ascii="仿宋_GB2312" w:hAnsi="宋体" w:cs="仿宋_GB2312"/>
                <w:color w:val="000000"/>
                <w:kern w:val="0"/>
                <w:sz w:val="20"/>
                <w:lang/>
              </w:rPr>
            </w:pPr>
            <w:r>
              <w:rPr>
                <w:rFonts w:ascii="仿宋_GB2312" w:hAnsi="宋体" w:cs="仿宋_GB2312" w:hint="eastAsia"/>
                <w:color w:val="000000"/>
                <w:kern w:val="0"/>
                <w:sz w:val="20"/>
                <w:lang/>
              </w:rPr>
              <w:t>营业/住宅</w:t>
            </w:r>
          </w:p>
        </w:tc>
      </w:tr>
      <w:tr w:rsidR="00A37CBB">
        <w:trPr>
          <w:trHeight w:val="389"/>
          <w:jc w:val="center"/>
        </w:trPr>
        <w:tc>
          <w:tcPr>
            <w:tcW w:w="1583" w:type="dxa"/>
            <w:tcBorders>
              <w:top w:val="single" w:sz="6" w:space="0" w:color="auto"/>
              <w:left w:val="double" w:sz="4" w:space="0" w:color="auto"/>
              <w:bottom w:val="single" w:sz="6" w:space="0" w:color="auto"/>
              <w:right w:val="single" w:sz="6" w:space="0" w:color="auto"/>
            </w:tcBorders>
            <w:vAlign w:val="center"/>
          </w:tcPr>
          <w:p w:rsidR="00A37CBB" w:rsidRDefault="00D21007">
            <w:pPr>
              <w:tabs>
                <w:tab w:val="left" w:pos="546"/>
              </w:tabs>
              <w:spacing w:line="280" w:lineRule="exact"/>
              <w:jc w:val="center"/>
              <w:rPr>
                <w:rFonts w:ascii="仿宋_GB2312" w:hAnsi="仿宋" w:cs="仿宋_GB2312"/>
                <w:b/>
                <w:szCs w:val="21"/>
              </w:rPr>
            </w:pPr>
            <w:r>
              <w:rPr>
                <w:rFonts w:ascii="仿宋_GB2312" w:hAnsi="仿宋" w:cs="仿宋_GB2312" w:hint="eastAsia"/>
                <w:b/>
                <w:szCs w:val="21"/>
              </w:rPr>
              <w:lastRenderedPageBreak/>
              <w:t>结构</w:t>
            </w:r>
          </w:p>
        </w:tc>
        <w:tc>
          <w:tcPr>
            <w:tcW w:w="2009" w:type="dxa"/>
            <w:tcBorders>
              <w:top w:val="single" w:sz="6" w:space="0" w:color="auto"/>
              <w:left w:val="single" w:sz="6" w:space="0" w:color="auto"/>
              <w:bottom w:val="single" w:sz="6" w:space="0" w:color="auto"/>
              <w:right w:val="single" w:sz="6" w:space="0" w:color="auto"/>
            </w:tcBorders>
            <w:vAlign w:val="center"/>
          </w:tcPr>
          <w:p w:rsidR="00A37CBB" w:rsidRDefault="00D21007">
            <w:pPr>
              <w:widowControl/>
              <w:jc w:val="center"/>
              <w:textAlignment w:val="center"/>
              <w:rPr>
                <w:rFonts w:ascii="仿宋_GB2312" w:hAnsi="宋体" w:cs="仿宋_GB2312"/>
                <w:color w:val="000000"/>
                <w:kern w:val="0"/>
                <w:sz w:val="20"/>
                <w:lang/>
              </w:rPr>
            </w:pPr>
            <w:r>
              <w:rPr>
                <w:rFonts w:ascii="仿宋_GB2312" w:hAnsi="宋体" w:cs="仿宋_GB2312" w:hint="eastAsia"/>
                <w:color w:val="000000"/>
                <w:kern w:val="0"/>
                <w:sz w:val="20"/>
                <w:lang/>
              </w:rPr>
              <w:t>砖混</w:t>
            </w:r>
          </w:p>
        </w:tc>
        <w:tc>
          <w:tcPr>
            <w:tcW w:w="2490" w:type="dxa"/>
            <w:tcBorders>
              <w:top w:val="single" w:sz="6" w:space="0" w:color="auto"/>
              <w:left w:val="single" w:sz="6" w:space="0" w:color="auto"/>
              <w:bottom w:val="single" w:sz="6" w:space="0" w:color="auto"/>
              <w:right w:val="single" w:sz="6" w:space="0" w:color="auto"/>
            </w:tcBorders>
            <w:vAlign w:val="center"/>
          </w:tcPr>
          <w:p w:rsidR="00A37CBB" w:rsidRDefault="00D21007">
            <w:pPr>
              <w:widowControl/>
              <w:jc w:val="center"/>
              <w:textAlignment w:val="center"/>
              <w:rPr>
                <w:rFonts w:ascii="仿宋_GB2312" w:hAnsi="宋体" w:cs="仿宋_GB2312"/>
                <w:color w:val="000000"/>
                <w:kern w:val="0"/>
                <w:sz w:val="20"/>
                <w:lang/>
              </w:rPr>
            </w:pPr>
            <w:r>
              <w:rPr>
                <w:rFonts w:ascii="仿宋_GB2312" w:hAnsi="宋体" w:cs="仿宋_GB2312" w:hint="eastAsia"/>
                <w:color w:val="000000"/>
                <w:kern w:val="0"/>
                <w:sz w:val="20"/>
                <w:lang/>
              </w:rPr>
              <w:t>砖混</w:t>
            </w:r>
          </w:p>
        </w:tc>
        <w:tc>
          <w:tcPr>
            <w:tcW w:w="2263" w:type="dxa"/>
            <w:tcBorders>
              <w:top w:val="single" w:sz="6" w:space="0" w:color="auto"/>
              <w:left w:val="single" w:sz="6" w:space="0" w:color="auto"/>
              <w:bottom w:val="single" w:sz="6" w:space="0" w:color="auto"/>
              <w:right w:val="double" w:sz="4" w:space="0" w:color="auto"/>
            </w:tcBorders>
            <w:vAlign w:val="center"/>
          </w:tcPr>
          <w:p w:rsidR="00A37CBB" w:rsidRDefault="00D21007">
            <w:pPr>
              <w:widowControl/>
              <w:jc w:val="center"/>
              <w:textAlignment w:val="center"/>
              <w:rPr>
                <w:rFonts w:ascii="仿宋_GB2312" w:hAnsi="宋体" w:cs="仿宋_GB2312"/>
                <w:color w:val="000000"/>
                <w:kern w:val="0"/>
                <w:sz w:val="20"/>
                <w:lang/>
              </w:rPr>
            </w:pPr>
            <w:r>
              <w:rPr>
                <w:rFonts w:ascii="仿宋_GB2312" w:hAnsi="宋体" w:cs="仿宋_GB2312" w:hint="eastAsia"/>
                <w:color w:val="000000"/>
                <w:kern w:val="0"/>
                <w:sz w:val="20"/>
                <w:lang/>
              </w:rPr>
              <w:t>砖混</w:t>
            </w:r>
          </w:p>
        </w:tc>
      </w:tr>
      <w:tr w:rsidR="00A37CBB">
        <w:trPr>
          <w:trHeight w:val="415"/>
          <w:jc w:val="center"/>
        </w:trPr>
        <w:tc>
          <w:tcPr>
            <w:tcW w:w="1583" w:type="dxa"/>
            <w:tcBorders>
              <w:top w:val="single" w:sz="6" w:space="0" w:color="auto"/>
              <w:left w:val="double" w:sz="4" w:space="0" w:color="auto"/>
              <w:bottom w:val="single" w:sz="6" w:space="0" w:color="auto"/>
              <w:right w:val="single" w:sz="6" w:space="0" w:color="auto"/>
            </w:tcBorders>
            <w:vAlign w:val="center"/>
          </w:tcPr>
          <w:p w:rsidR="00A37CBB" w:rsidRDefault="00D21007">
            <w:pPr>
              <w:tabs>
                <w:tab w:val="left" w:pos="546"/>
              </w:tabs>
              <w:spacing w:line="280" w:lineRule="exact"/>
              <w:jc w:val="center"/>
              <w:rPr>
                <w:rFonts w:ascii="仿宋_GB2312" w:hAnsi="仿宋" w:cs="仿宋_GB2312"/>
                <w:b/>
                <w:szCs w:val="21"/>
              </w:rPr>
            </w:pPr>
            <w:r>
              <w:rPr>
                <w:rFonts w:ascii="仿宋_GB2312" w:hAnsi="仿宋" w:cs="仿宋_GB2312" w:hint="eastAsia"/>
                <w:b/>
                <w:szCs w:val="21"/>
              </w:rPr>
              <w:t>装修状况</w:t>
            </w:r>
          </w:p>
        </w:tc>
        <w:tc>
          <w:tcPr>
            <w:tcW w:w="2009" w:type="dxa"/>
            <w:tcBorders>
              <w:top w:val="single" w:sz="6" w:space="0" w:color="auto"/>
              <w:left w:val="single" w:sz="6" w:space="0" w:color="auto"/>
              <w:bottom w:val="single" w:sz="6" w:space="0" w:color="auto"/>
              <w:right w:val="single" w:sz="6" w:space="0" w:color="auto"/>
            </w:tcBorders>
            <w:vAlign w:val="center"/>
          </w:tcPr>
          <w:p w:rsidR="00A37CBB" w:rsidRDefault="00D21007">
            <w:pPr>
              <w:widowControl/>
              <w:jc w:val="center"/>
              <w:textAlignment w:val="center"/>
              <w:rPr>
                <w:rFonts w:ascii="仿宋_GB2312" w:hAnsi="宋体" w:cs="仿宋_GB2312"/>
                <w:color w:val="000000"/>
                <w:kern w:val="0"/>
                <w:sz w:val="20"/>
                <w:lang/>
              </w:rPr>
            </w:pPr>
            <w:r>
              <w:rPr>
                <w:rFonts w:ascii="仿宋_GB2312" w:hAnsi="宋体" w:cs="仿宋_GB2312"/>
                <w:color w:val="000000"/>
                <w:kern w:val="0"/>
                <w:sz w:val="20"/>
                <w:lang/>
              </w:rPr>
              <w:t>简单装修</w:t>
            </w:r>
          </w:p>
        </w:tc>
        <w:tc>
          <w:tcPr>
            <w:tcW w:w="2490" w:type="dxa"/>
            <w:tcBorders>
              <w:top w:val="single" w:sz="6" w:space="0" w:color="auto"/>
              <w:left w:val="single" w:sz="6" w:space="0" w:color="auto"/>
              <w:bottom w:val="single" w:sz="6" w:space="0" w:color="auto"/>
              <w:right w:val="single" w:sz="6" w:space="0" w:color="auto"/>
            </w:tcBorders>
            <w:vAlign w:val="center"/>
          </w:tcPr>
          <w:p w:rsidR="00A37CBB" w:rsidRDefault="00D21007">
            <w:pPr>
              <w:widowControl/>
              <w:jc w:val="center"/>
              <w:textAlignment w:val="center"/>
              <w:rPr>
                <w:rFonts w:ascii="仿宋_GB2312" w:hAnsi="宋体" w:cs="仿宋_GB2312"/>
                <w:color w:val="000000"/>
                <w:kern w:val="0"/>
                <w:sz w:val="20"/>
                <w:lang/>
              </w:rPr>
            </w:pPr>
            <w:r>
              <w:rPr>
                <w:rFonts w:ascii="仿宋_GB2312" w:hAnsi="宋体" w:cs="仿宋_GB2312"/>
                <w:color w:val="000000"/>
                <w:kern w:val="0"/>
                <w:sz w:val="20"/>
                <w:lang/>
              </w:rPr>
              <w:t>中档装修</w:t>
            </w:r>
          </w:p>
        </w:tc>
        <w:tc>
          <w:tcPr>
            <w:tcW w:w="2263" w:type="dxa"/>
            <w:tcBorders>
              <w:top w:val="single" w:sz="6" w:space="0" w:color="auto"/>
              <w:left w:val="single" w:sz="6" w:space="0" w:color="auto"/>
              <w:bottom w:val="single" w:sz="6" w:space="0" w:color="auto"/>
              <w:right w:val="double" w:sz="4" w:space="0" w:color="auto"/>
            </w:tcBorders>
            <w:vAlign w:val="center"/>
          </w:tcPr>
          <w:p w:rsidR="00A37CBB" w:rsidRDefault="00D21007">
            <w:pPr>
              <w:widowControl/>
              <w:jc w:val="center"/>
              <w:textAlignment w:val="center"/>
              <w:rPr>
                <w:rFonts w:ascii="仿宋_GB2312" w:hAnsi="宋体" w:cs="仿宋_GB2312"/>
                <w:color w:val="000000"/>
                <w:kern w:val="0"/>
                <w:sz w:val="20"/>
                <w:lang/>
              </w:rPr>
            </w:pPr>
            <w:r>
              <w:rPr>
                <w:rFonts w:ascii="仿宋_GB2312" w:hAnsi="宋体" w:cs="仿宋_GB2312"/>
                <w:color w:val="000000"/>
                <w:kern w:val="0"/>
                <w:sz w:val="20"/>
                <w:lang/>
              </w:rPr>
              <w:t>简单装修</w:t>
            </w:r>
          </w:p>
        </w:tc>
      </w:tr>
      <w:tr w:rsidR="00A37CBB">
        <w:trPr>
          <w:trHeight w:val="305"/>
          <w:jc w:val="center"/>
        </w:trPr>
        <w:tc>
          <w:tcPr>
            <w:tcW w:w="1583" w:type="dxa"/>
            <w:tcBorders>
              <w:top w:val="single" w:sz="6" w:space="0" w:color="auto"/>
              <w:left w:val="double" w:sz="4" w:space="0" w:color="auto"/>
              <w:bottom w:val="double" w:sz="4" w:space="0" w:color="auto"/>
              <w:right w:val="single" w:sz="6" w:space="0" w:color="auto"/>
            </w:tcBorders>
            <w:vAlign w:val="center"/>
          </w:tcPr>
          <w:p w:rsidR="00A37CBB" w:rsidRDefault="00D21007">
            <w:pPr>
              <w:tabs>
                <w:tab w:val="left" w:pos="546"/>
              </w:tabs>
              <w:spacing w:line="280" w:lineRule="exact"/>
              <w:jc w:val="center"/>
              <w:rPr>
                <w:rFonts w:ascii="仿宋_GB2312" w:hAnsi="仿宋" w:cs="仿宋_GB2312"/>
                <w:b/>
                <w:szCs w:val="21"/>
              </w:rPr>
            </w:pPr>
            <w:r>
              <w:rPr>
                <w:rFonts w:ascii="仿宋_GB2312" w:hAnsi="仿宋" w:cs="仿宋_GB2312" w:hint="eastAsia"/>
                <w:b/>
                <w:szCs w:val="21"/>
              </w:rPr>
              <w:t>成交日期</w:t>
            </w:r>
          </w:p>
        </w:tc>
        <w:tc>
          <w:tcPr>
            <w:tcW w:w="2009" w:type="dxa"/>
            <w:tcBorders>
              <w:top w:val="single" w:sz="6" w:space="0" w:color="auto"/>
              <w:left w:val="single" w:sz="6" w:space="0" w:color="auto"/>
              <w:bottom w:val="double" w:sz="4" w:space="0" w:color="auto"/>
              <w:right w:val="single" w:sz="6" w:space="0" w:color="auto"/>
            </w:tcBorders>
            <w:vAlign w:val="center"/>
          </w:tcPr>
          <w:p w:rsidR="00A37CBB" w:rsidRDefault="00D21007">
            <w:pPr>
              <w:widowControl/>
              <w:jc w:val="center"/>
              <w:textAlignment w:val="center"/>
              <w:rPr>
                <w:rFonts w:ascii="仿宋_GB2312" w:hAnsi="宋体" w:cs="仿宋_GB2312"/>
                <w:color w:val="000000"/>
                <w:kern w:val="0"/>
                <w:sz w:val="20"/>
                <w:lang/>
              </w:rPr>
            </w:pPr>
            <w:r>
              <w:rPr>
                <w:rFonts w:ascii="仿宋_GB2312" w:hAnsi="宋体" w:cs="仿宋_GB2312"/>
                <w:color w:val="000000"/>
                <w:kern w:val="0"/>
                <w:sz w:val="20"/>
                <w:lang/>
              </w:rPr>
              <w:t>202</w:t>
            </w:r>
            <w:r>
              <w:rPr>
                <w:rFonts w:ascii="仿宋_GB2312" w:hAnsi="宋体" w:cs="仿宋_GB2312" w:hint="eastAsia"/>
                <w:color w:val="000000"/>
                <w:kern w:val="0"/>
                <w:sz w:val="20"/>
                <w:lang/>
              </w:rPr>
              <w:t>1</w:t>
            </w:r>
            <w:r>
              <w:rPr>
                <w:rFonts w:ascii="仿宋_GB2312" w:hAnsi="宋体" w:cs="仿宋_GB2312"/>
                <w:color w:val="000000"/>
                <w:kern w:val="0"/>
                <w:sz w:val="20"/>
                <w:lang/>
              </w:rPr>
              <w:t>-</w:t>
            </w:r>
            <w:r>
              <w:rPr>
                <w:rFonts w:ascii="仿宋_GB2312" w:hAnsi="宋体" w:cs="仿宋_GB2312" w:hint="eastAsia"/>
                <w:color w:val="000000"/>
                <w:kern w:val="0"/>
                <w:sz w:val="20"/>
                <w:lang/>
              </w:rPr>
              <w:t>02</w:t>
            </w:r>
            <w:r>
              <w:rPr>
                <w:rFonts w:ascii="仿宋_GB2312" w:hAnsi="宋体" w:cs="仿宋_GB2312"/>
                <w:color w:val="000000"/>
                <w:kern w:val="0"/>
                <w:sz w:val="20"/>
                <w:lang/>
              </w:rPr>
              <w:t>月</w:t>
            </w:r>
          </w:p>
        </w:tc>
        <w:tc>
          <w:tcPr>
            <w:tcW w:w="2490" w:type="dxa"/>
            <w:tcBorders>
              <w:top w:val="single" w:sz="6" w:space="0" w:color="auto"/>
              <w:left w:val="single" w:sz="6" w:space="0" w:color="auto"/>
              <w:bottom w:val="double" w:sz="4" w:space="0" w:color="auto"/>
              <w:right w:val="single" w:sz="6" w:space="0" w:color="auto"/>
            </w:tcBorders>
            <w:vAlign w:val="center"/>
          </w:tcPr>
          <w:p w:rsidR="00A37CBB" w:rsidRDefault="00D21007">
            <w:pPr>
              <w:widowControl/>
              <w:jc w:val="center"/>
              <w:textAlignment w:val="center"/>
              <w:rPr>
                <w:rFonts w:ascii="仿宋_GB2312" w:hAnsi="宋体" w:cs="仿宋_GB2312"/>
                <w:color w:val="000000"/>
                <w:kern w:val="0"/>
                <w:sz w:val="20"/>
                <w:lang/>
              </w:rPr>
            </w:pPr>
            <w:r>
              <w:rPr>
                <w:rFonts w:ascii="仿宋_GB2312" w:hAnsi="宋体" w:cs="仿宋_GB2312"/>
                <w:color w:val="000000"/>
                <w:kern w:val="0"/>
                <w:sz w:val="20"/>
                <w:lang/>
              </w:rPr>
              <w:t>202</w:t>
            </w:r>
            <w:r>
              <w:rPr>
                <w:rFonts w:ascii="仿宋_GB2312" w:hAnsi="宋体" w:cs="仿宋_GB2312" w:hint="eastAsia"/>
                <w:color w:val="000000"/>
                <w:kern w:val="0"/>
                <w:sz w:val="20"/>
                <w:lang/>
              </w:rPr>
              <w:t>1</w:t>
            </w:r>
            <w:r>
              <w:rPr>
                <w:rFonts w:ascii="仿宋_GB2312" w:hAnsi="宋体" w:cs="仿宋_GB2312"/>
                <w:color w:val="000000"/>
                <w:kern w:val="0"/>
                <w:sz w:val="20"/>
                <w:lang/>
              </w:rPr>
              <w:t>-</w:t>
            </w:r>
            <w:r>
              <w:rPr>
                <w:rFonts w:ascii="仿宋_GB2312" w:hAnsi="宋体" w:cs="仿宋_GB2312" w:hint="eastAsia"/>
                <w:color w:val="000000"/>
                <w:kern w:val="0"/>
                <w:sz w:val="20"/>
                <w:lang/>
              </w:rPr>
              <w:t>02</w:t>
            </w:r>
            <w:r>
              <w:rPr>
                <w:rFonts w:ascii="仿宋_GB2312" w:hAnsi="宋体" w:cs="仿宋_GB2312"/>
                <w:color w:val="000000"/>
                <w:kern w:val="0"/>
                <w:sz w:val="20"/>
                <w:lang/>
              </w:rPr>
              <w:t>月</w:t>
            </w:r>
          </w:p>
        </w:tc>
        <w:tc>
          <w:tcPr>
            <w:tcW w:w="2263" w:type="dxa"/>
            <w:tcBorders>
              <w:top w:val="single" w:sz="6" w:space="0" w:color="auto"/>
              <w:left w:val="single" w:sz="6" w:space="0" w:color="auto"/>
              <w:bottom w:val="double" w:sz="4" w:space="0" w:color="auto"/>
              <w:right w:val="double" w:sz="4" w:space="0" w:color="auto"/>
            </w:tcBorders>
            <w:vAlign w:val="center"/>
          </w:tcPr>
          <w:p w:rsidR="00A37CBB" w:rsidRDefault="00D21007">
            <w:pPr>
              <w:widowControl/>
              <w:jc w:val="center"/>
              <w:textAlignment w:val="center"/>
              <w:rPr>
                <w:rFonts w:ascii="仿宋_GB2312" w:hAnsi="宋体" w:cs="仿宋_GB2312"/>
                <w:color w:val="000000"/>
                <w:kern w:val="0"/>
                <w:sz w:val="20"/>
                <w:lang/>
              </w:rPr>
            </w:pPr>
            <w:r>
              <w:rPr>
                <w:rFonts w:ascii="仿宋_GB2312" w:hAnsi="宋体" w:cs="仿宋_GB2312"/>
                <w:color w:val="000000"/>
                <w:kern w:val="0"/>
                <w:sz w:val="20"/>
                <w:lang/>
              </w:rPr>
              <w:t>202</w:t>
            </w:r>
            <w:r>
              <w:rPr>
                <w:rFonts w:ascii="仿宋_GB2312" w:hAnsi="宋体" w:cs="仿宋_GB2312" w:hint="eastAsia"/>
                <w:color w:val="000000"/>
                <w:kern w:val="0"/>
                <w:sz w:val="20"/>
                <w:lang/>
              </w:rPr>
              <w:t>1</w:t>
            </w:r>
            <w:r>
              <w:rPr>
                <w:rFonts w:ascii="仿宋_GB2312" w:hAnsi="宋体" w:cs="仿宋_GB2312"/>
                <w:color w:val="000000"/>
                <w:kern w:val="0"/>
                <w:sz w:val="20"/>
                <w:lang/>
              </w:rPr>
              <w:t>-</w:t>
            </w:r>
            <w:r>
              <w:rPr>
                <w:rFonts w:ascii="仿宋_GB2312" w:hAnsi="宋体" w:cs="仿宋_GB2312" w:hint="eastAsia"/>
                <w:color w:val="000000"/>
                <w:kern w:val="0"/>
                <w:sz w:val="20"/>
                <w:lang/>
              </w:rPr>
              <w:t>02</w:t>
            </w:r>
            <w:r>
              <w:rPr>
                <w:rFonts w:ascii="仿宋_GB2312" w:hAnsi="宋体" w:cs="仿宋_GB2312"/>
                <w:color w:val="000000"/>
                <w:kern w:val="0"/>
                <w:sz w:val="20"/>
                <w:lang/>
              </w:rPr>
              <w:t>月</w:t>
            </w:r>
          </w:p>
        </w:tc>
      </w:tr>
    </w:tbl>
    <w:p w:rsidR="00A37CBB" w:rsidRDefault="00D21007">
      <w:pPr>
        <w:tabs>
          <w:tab w:val="left" w:pos="3060"/>
        </w:tabs>
        <w:spacing w:line="480" w:lineRule="exact"/>
        <w:ind w:firstLineChars="200" w:firstLine="562"/>
        <w:rPr>
          <w:rFonts w:ascii="仿宋_GB2312" w:hAnsi="宋体"/>
          <w:b/>
          <w:bCs/>
          <w:sz w:val="28"/>
          <w:szCs w:val="28"/>
        </w:rPr>
      </w:pPr>
      <w:r>
        <w:rPr>
          <w:rFonts w:ascii="仿宋_GB2312" w:hAnsi="宋体" w:hint="eastAsia"/>
          <w:b/>
          <w:bCs/>
          <w:sz w:val="28"/>
          <w:szCs w:val="28"/>
        </w:rPr>
        <w:t>2、比较因素条件说明</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根据估价对象与可比实例的比较因素，编制比较因素条件说明表：</w:t>
      </w:r>
    </w:p>
    <w:p w:rsidR="00A37CBB" w:rsidRDefault="00D21007">
      <w:pPr>
        <w:spacing w:line="480" w:lineRule="exact"/>
        <w:ind w:firstLineChars="200" w:firstLine="562"/>
        <w:jc w:val="center"/>
        <w:rPr>
          <w:rFonts w:ascii="仿宋_GB2312" w:hAnsi="宋体"/>
          <w:b/>
          <w:sz w:val="28"/>
          <w:szCs w:val="28"/>
        </w:rPr>
      </w:pPr>
      <w:r>
        <w:rPr>
          <w:rFonts w:ascii="仿宋_GB2312" w:hAnsi="宋体" w:hint="eastAsia"/>
          <w:b/>
          <w:sz w:val="28"/>
          <w:szCs w:val="28"/>
        </w:rPr>
        <w:t>比较因素条件说明表</w:t>
      </w:r>
    </w:p>
    <w:tbl>
      <w:tblPr>
        <w:tblW w:w="852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72"/>
        <w:gridCol w:w="934"/>
        <w:gridCol w:w="1496"/>
        <w:gridCol w:w="1355"/>
        <w:gridCol w:w="1355"/>
        <w:gridCol w:w="1355"/>
        <w:gridCol w:w="1355"/>
      </w:tblGrid>
      <w:tr w:rsidR="00A37CBB">
        <w:trPr>
          <w:trHeight w:val="678"/>
        </w:trPr>
        <w:tc>
          <w:tcPr>
            <w:tcW w:w="3102" w:type="dxa"/>
            <w:gridSpan w:val="3"/>
            <w:tcBorders>
              <w:tl2br w:val="single" w:sz="4" w:space="0" w:color="auto"/>
            </w:tcBorders>
            <w:vAlign w:val="center"/>
          </w:tcPr>
          <w:p w:rsidR="00A37CBB" w:rsidRDefault="00D21007">
            <w:pPr>
              <w:widowControl/>
              <w:spacing w:line="280" w:lineRule="exact"/>
              <w:jc w:val="center"/>
              <w:rPr>
                <w:rFonts w:ascii="仿宋_GB2312" w:hAnsi="宋体" w:cs="宋体"/>
                <w:b/>
                <w:bCs/>
                <w:color w:val="000000"/>
                <w:kern w:val="0"/>
                <w:sz w:val="20"/>
              </w:rPr>
            </w:pPr>
            <w:r>
              <w:rPr>
                <w:rFonts w:ascii="仿宋_GB2312" w:hAnsi="宋体" w:cs="宋体" w:hint="eastAsia"/>
                <w:b/>
                <w:bCs/>
                <w:color w:val="000000"/>
                <w:kern w:val="0"/>
                <w:sz w:val="20"/>
              </w:rPr>
              <w:t>可比实例</w:t>
            </w:r>
          </w:p>
          <w:p w:rsidR="00A37CBB" w:rsidRDefault="00D21007">
            <w:pPr>
              <w:spacing w:line="280" w:lineRule="exact"/>
              <w:jc w:val="center"/>
              <w:rPr>
                <w:rFonts w:ascii="仿宋_GB2312" w:hAnsi="宋体" w:cs="宋体"/>
                <w:b/>
                <w:bCs/>
                <w:color w:val="000000"/>
                <w:kern w:val="0"/>
                <w:sz w:val="20"/>
              </w:rPr>
            </w:pPr>
            <w:r>
              <w:rPr>
                <w:rFonts w:ascii="仿宋_GB2312" w:hAnsi="宋体" w:cs="宋体" w:hint="eastAsia"/>
                <w:b/>
                <w:bCs/>
                <w:color w:val="000000"/>
                <w:kern w:val="0"/>
                <w:sz w:val="20"/>
              </w:rPr>
              <w:t>比较因素</w:t>
            </w:r>
          </w:p>
        </w:tc>
        <w:tc>
          <w:tcPr>
            <w:tcW w:w="1355" w:type="dxa"/>
            <w:vAlign w:val="center"/>
          </w:tcPr>
          <w:p w:rsidR="00A37CBB" w:rsidRDefault="00D21007">
            <w:pPr>
              <w:widowControl/>
              <w:spacing w:line="280" w:lineRule="exact"/>
              <w:jc w:val="center"/>
              <w:rPr>
                <w:rFonts w:ascii="仿宋_GB2312" w:hAnsi="宋体" w:cs="宋体"/>
                <w:b/>
                <w:bCs/>
                <w:color w:val="000000"/>
                <w:kern w:val="0"/>
                <w:sz w:val="20"/>
              </w:rPr>
            </w:pPr>
            <w:r>
              <w:rPr>
                <w:rFonts w:ascii="仿宋_GB2312" w:hAnsi="宋体" w:cs="宋体" w:hint="eastAsia"/>
                <w:b/>
                <w:bCs/>
                <w:color w:val="000000"/>
                <w:kern w:val="0"/>
                <w:sz w:val="20"/>
              </w:rPr>
              <w:t>委估物业</w:t>
            </w:r>
          </w:p>
        </w:tc>
        <w:tc>
          <w:tcPr>
            <w:tcW w:w="1355" w:type="dxa"/>
            <w:vAlign w:val="center"/>
          </w:tcPr>
          <w:p w:rsidR="00A37CBB" w:rsidRDefault="00D21007">
            <w:pPr>
              <w:widowControl/>
              <w:spacing w:line="280" w:lineRule="exact"/>
              <w:jc w:val="center"/>
              <w:rPr>
                <w:rFonts w:ascii="仿宋_GB2312" w:hAnsi="宋体" w:cs="宋体"/>
                <w:b/>
                <w:bCs/>
                <w:color w:val="000000"/>
                <w:kern w:val="0"/>
                <w:sz w:val="20"/>
              </w:rPr>
            </w:pPr>
            <w:r>
              <w:rPr>
                <w:rFonts w:ascii="仿宋_GB2312" w:hAnsi="宋体" w:cs="宋体" w:hint="eastAsia"/>
                <w:b/>
                <w:bCs/>
                <w:color w:val="000000"/>
                <w:kern w:val="0"/>
                <w:sz w:val="20"/>
              </w:rPr>
              <w:t>可比实例A</w:t>
            </w:r>
          </w:p>
        </w:tc>
        <w:tc>
          <w:tcPr>
            <w:tcW w:w="1355" w:type="dxa"/>
            <w:vAlign w:val="center"/>
          </w:tcPr>
          <w:p w:rsidR="00A37CBB" w:rsidRDefault="00D21007">
            <w:pPr>
              <w:widowControl/>
              <w:spacing w:line="280" w:lineRule="exact"/>
              <w:jc w:val="center"/>
              <w:rPr>
                <w:rFonts w:ascii="仿宋_GB2312" w:hAnsi="宋体" w:cs="宋体"/>
                <w:b/>
                <w:bCs/>
                <w:color w:val="000000"/>
                <w:kern w:val="0"/>
                <w:sz w:val="20"/>
              </w:rPr>
            </w:pPr>
            <w:r>
              <w:rPr>
                <w:rFonts w:ascii="仿宋_GB2312" w:hAnsi="宋体" w:cs="宋体" w:hint="eastAsia"/>
                <w:b/>
                <w:bCs/>
                <w:color w:val="000000"/>
                <w:kern w:val="0"/>
                <w:sz w:val="20"/>
              </w:rPr>
              <w:t>可比实例B</w:t>
            </w:r>
          </w:p>
        </w:tc>
        <w:tc>
          <w:tcPr>
            <w:tcW w:w="1355" w:type="dxa"/>
            <w:vAlign w:val="center"/>
          </w:tcPr>
          <w:p w:rsidR="00A37CBB" w:rsidRDefault="00D21007">
            <w:pPr>
              <w:widowControl/>
              <w:spacing w:line="280" w:lineRule="exact"/>
              <w:jc w:val="center"/>
              <w:rPr>
                <w:rFonts w:ascii="仿宋_GB2312" w:hAnsi="宋体" w:cs="宋体"/>
                <w:b/>
                <w:bCs/>
                <w:color w:val="000000"/>
                <w:kern w:val="0"/>
                <w:sz w:val="20"/>
              </w:rPr>
            </w:pPr>
            <w:r>
              <w:rPr>
                <w:rFonts w:ascii="仿宋_GB2312" w:hAnsi="宋体" w:cs="宋体" w:hint="eastAsia"/>
                <w:b/>
                <w:bCs/>
                <w:color w:val="000000"/>
                <w:kern w:val="0"/>
                <w:sz w:val="20"/>
              </w:rPr>
              <w:t>可比实例C</w:t>
            </w:r>
          </w:p>
        </w:tc>
      </w:tr>
      <w:tr w:rsidR="00A37CBB">
        <w:trPr>
          <w:trHeight w:val="318"/>
        </w:trPr>
        <w:tc>
          <w:tcPr>
            <w:tcW w:w="3102" w:type="dxa"/>
            <w:gridSpan w:val="3"/>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成交单价（元/</w:t>
            </w:r>
            <w:r>
              <w:rPr>
                <w:rFonts w:ascii="宋体" w:hAnsi="宋体" w:cs="宋体" w:hint="eastAsia"/>
                <w:color w:val="000000"/>
                <w:kern w:val="0"/>
                <w:sz w:val="20"/>
              </w:rPr>
              <w:t>㎡</w:t>
            </w:r>
            <w:r>
              <w:rPr>
                <w:rFonts w:ascii="仿宋_GB2312" w:hAnsi="仿宋_GB2312" w:cs="仿宋_GB2312" w:hint="eastAsia"/>
                <w:color w:val="000000"/>
                <w:kern w:val="0"/>
                <w:sz w:val="20"/>
              </w:rPr>
              <w:t>）</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3,525</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3,510</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3,470</w:t>
            </w:r>
          </w:p>
        </w:tc>
      </w:tr>
      <w:tr w:rsidR="00A37CBB">
        <w:trPr>
          <w:trHeight w:val="318"/>
        </w:trPr>
        <w:tc>
          <w:tcPr>
            <w:tcW w:w="3102" w:type="dxa"/>
            <w:gridSpan w:val="3"/>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交易日期</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价值时点</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仿宋_GB2312"/>
                <w:color w:val="000000"/>
                <w:kern w:val="0"/>
                <w:sz w:val="20"/>
                <w:lang/>
              </w:rPr>
              <w:t>202</w:t>
            </w:r>
            <w:r>
              <w:rPr>
                <w:rFonts w:ascii="仿宋_GB2312" w:hAnsi="宋体" w:cs="仿宋_GB2312" w:hint="eastAsia"/>
                <w:color w:val="000000"/>
                <w:kern w:val="0"/>
                <w:sz w:val="20"/>
                <w:lang/>
              </w:rPr>
              <w:t>1</w:t>
            </w:r>
            <w:r>
              <w:rPr>
                <w:rFonts w:ascii="仿宋_GB2312" w:hAnsi="宋体" w:cs="仿宋_GB2312"/>
                <w:color w:val="000000"/>
                <w:kern w:val="0"/>
                <w:sz w:val="20"/>
                <w:lang/>
              </w:rPr>
              <w:t>-</w:t>
            </w:r>
            <w:r>
              <w:rPr>
                <w:rFonts w:ascii="仿宋_GB2312" w:hAnsi="宋体" w:cs="仿宋_GB2312" w:hint="eastAsia"/>
                <w:color w:val="000000"/>
                <w:kern w:val="0"/>
                <w:sz w:val="20"/>
                <w:lang/>
              </w:rPr>
              <w:t>02</w:t>
            </w:r>
            <w:r>
              <w:rPr>
                <w:rFonts w:ascii="仿宋_GB2312" w:hAnsi="宋体" w:cs="仿宋_GB2312"/>
                <w:color w:val="000000"/>
                <w:kern w:val="0"/>
                <w:sz w:val="20"/>
                <w:lang/>
              </w:rPr>
              <w:t>月</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仿宋_GB2312"/>
                <w:color w:val="000000"/>
                <w:kern w:val="0"/>
                <w:sz w:val="20"/>
                <w:lang/>
              </w:rPr>
              <w:t>202</w:t>
            </w:r>
            <w:r>
              <w:rPr>
                <w:rFonts w:ascii="仿宋_GB2312" w:hAnsi="宋体" w:cs="仿宋_GB2312" w:hint="eastAsia"/>
                <w:color w:val="000000"/>
                <w:kern w:val="0"/>
                <w:sz w:val="20"/>
                <w:lang/>
              </w:rPr>
              <w:t>1</w:t>
            </w:r>
            <w:r>
              <w:rPr>
                <w:rFonts w:ascii="仿宋_GB2312" w:hAnsi="宋体" w:cs="仿宋_GB2312"/>
                <w:color w:val="000000"/>
                <w:kern w:val="0"/>
                <w:sz w:val="20"/>
                <w:lang/>
              </w:rPr>
              <w:t>-</w:t>
            </w:r>
            <w:r>
              <w:rPr>
                <w:rFonts w:ascii="仿宋_GB2312" w:hAnsi="宋体" w:cs="仿宋_GB2312" w:hint="eastAsia"/>
                <w:color w:val="000000"/>
                <w:kern w:val="0"/>
                <w:sz w:val="20"/>
                <w:lang/>
              </w:rPr>
              <w:t>02</w:t>
            </w:r>
            <w:r>
              <w:rPr>
                <w:rFonts w:ascii="仿宋_GB2312" w:hAnsi="宋体" w:cs="仿宋_GB2312"/>
                <w:color w:val="000000"/>
                <w:kern w:val="0"/>
                <w:sz w:val="20"/>
                <w:lang/>
              </w:rPr>
              <w:t>月</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仿宋_GB2312"/>
                <w:color w:val="000000"/>
                <w:kern w:val="0"/>
                <w:sz w:val="20"/>
                <w:lang/>
              </w:rPr>
              <w:t>202</w:t>
            </w:r>
            <w:r>
              <w:rPr>
                <w:rFonts w:ascii="仿宋_GB2312" w:hAnsi="宋体" w:cs="仿宋_GB2312" w:hint="eastAsia"/>
                <w:color w:val="000000"/>
                <w:kern w:val="0"/>
                <w:sz w:val="20"/>
                <w:lang/>
              </w:rPr>
              <w:t>1</w:t>
            </w:r>
            <w:r>
              <w:rPr>
                <w:rFonts w:ascii="仿宋_GB2312" w:hAnsi="宋体" w:cs="仿宋_GB2312"/>
                <w:color w:val="000000"/>
                <w:kern w:val="0"/>
                <w:sz w:val="20"/>
                <w:lang/>
              </w:rPr>
              <w:t>-</w:t>
            </w:r>
            <w:r>
              <w:rPr>
                <w:rFonts w:ascii="仿宋_GB2312" w:hAnsi="宋体" w:cs="仿宋_GB2312" w:hint="eastAsia"/>
                <w:color w:val="000000"/>
                <w:kern w:val="0"/>
                <w:sz w:val="20"/>
                <w:lang/>
              </w:rPr>
              <w:t>02</w:t>
            </w:r>
            <w:r>
              <w:rPr>
                <w:rFonts w:ascii="仿宋_GB2312" w:hAnsi="宋体" w:cs="仿宋_GB2312"/>
                <w:color w:val="000000"/>
                <w:kern w:val="0"/>
                <w:sz w:val="20"/>
                <w:lang/>
              </w:rPr>
              <w:t>月</w:t>
            </w:r>
          </w:p>
        </w:tc>
      </w:tr>
      <w:tr w:rsidR="00A37CBB">
        <w:trPr>
          <w:trHeight w:val="318"/>
        </w:trPr>
        <w:tc>
          <w:tcPr>
            <w:tcW w:w="3102" w:type="dxa"/>
            <w:gridSpan w:val="3"/>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交易情况</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正常</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正常</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正常</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正常</w:t>
            </w:r>
          </w:p>
        </w:tc>
      </w:tr>
      <w:tr w:rsidR="00A37CBB">
        <w:trPr>
          <w:trHeight w:val="360"/>
        </w:trPr>
        <w:tc>
          <w:tcPr>
            <w:tcW w:w="672" w:type="dxa"/>
            <w:vMerge w:val="restart"/>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房地产状况调整</w:t>
            </w:r>
          </w:p>
        </w:tc>
        <w:tc>
          <w:tcPr>
            <w:tcW w:w="934" w:type="dxa"/>
            <w:vMerge w:val="restart"/>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权益状况调整</w:t>
            </w:r>
          </w:p>
        </w:tc>
        <w:tc>
          <w:tcPr>
            <w:tcW w:w="1496"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房屋用途</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仿宋_GB2312" w:hint="eastAsia"/>
                <w:color w:val="000000"/>
                <w:kern w:val="0"/>
                <w:sz w:val="20"/>
                <w:lang/>
              </w:rPr>
              <w:t>营业/住宅</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仿宋_GB2312" w:hint="eastAsia"/>
                <w:color w:val="000000"/>
                <w:kern w:val="0"/>
                <w:sz w:val="20"/>
                <w:lang/>
              </w:rPr>
              <w:t>营业/住宅</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仿宋_GB2312" w:hint="eastAsia"/>
                <w:color w:val="000000"/>
                <w:kern w:val="0"/>
                <w:sz w:val="20"/>
                <w:lang/>
              </w:rPr>
              <w:t>营业/住宅</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仿宋_GB2312" w:hint="eastAsia"/>
                <w:color w:val="000000"/>
                <w:kern w:val="0"/>
                <w:sz w:val="20"/>
                <w:lang/>
              </w:rPr>
              <w:t>营业/住宅</w:t>
            </w:r>
          </w:p>
        </w:tc>
      </w:tr>
      <w:tr w:rsidR="00A37CBB">
        <w:trPr>
          <w:trHeight w:val="90"/>
        </w:trPr>
        <w:tc>
          <w:tcPr>
            <w:tcW w:w="672"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934"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1496"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他项权利</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无</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无</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无</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无</w:t>
            </w:r>
          </w:p>
        </w:tc>
      </w:tr>
      <w:tr w:rsidR="00A37CBB">
        <w:trPr>
          <w:trHeight w:val="360"/>
        </w:trPr>
        <w:tc>
          <w:tcPr>
            <w:tcW w:w="672"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934" w:type="dxa"/>
            <w:vMerge w:val="restart"/>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区位状况调整</w:t>
            </w:r>
          </w:p>
        </w:tc>
        <w:tc>
          <w:tcPr>
            <w:tcW w:w="1496"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位置优劣度</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优</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优</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优</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优</w:t>
            </w:r>
          </w:p>
        </w:tc>
      </w:tr>
      <w:tr w:rsidR="00A37CBB">
        <w:trPr>
          <w:trHeight w:val="360"/>
        </w:trPr>
        <w:tc>
          <w:tcPr>
            <w:tcW w:w="672"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934"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1496"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居住氛围</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优</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优</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优</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优</w:t>
            </w:r>
          </w:p>
        </w:tc>
      </w:tr>
      <w:tr w:rsidR="00A37CBB">
        <w:trPr>
          <w:trHeight w:val="425"/>
        </w:trPr>
        <w:tc>
          <w:tcPr>
            <w:tcW w:w="672"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934"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1496"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环境质量</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优</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优</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优</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优</w:t>
            </w:r>
          </w:p>
        </w:tc>
      </w:tr>
      <w:tr w:rsidR="00A37CBB">
        <w:trPr>
          <w:trHeight w:val="360"/>
        </w:trPr>
        <w:tc>
          <w:tcPr>
            <w:tcW w:w="672"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934"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1496"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交通便捷度</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便捷</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便捷</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便捷</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便捷</w:t>
            </w:r>
          </w:p>
        </w:tc>
      </w:tr>
      <w:tr w:rsidR="00A37CBB">
        <w:trPr>
          <w:trHeight w:val="360"/>
        </w:trPr>
        <w:tc>
          <w:tcPr>
            <w:tcW w:w="672"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934"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1496"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外部配套设施完善度</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完善</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完善</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完善</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完善</w:t>
            </w:r>
          </w:p>
        </w:tc>
      </w:tr>
      <w:tr w:rsidR="00A37CBB">
        <w:trPr>
          <w:trHeight w:val="360"/>
        </w:trPr>
        <w:tc>
          <w:tcPr>
            <w:tcW w:w="672"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934"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1496"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学区</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不在市重点学校</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不在市重点学校</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不在市重点学校</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不在市重点学校</w:t>
            </w:r>
          </w:p>
        </w:tc>
      </w:tr>
      <w:tr w:rsidR="00A37CBB">
        <w:trPr>
          <w:trHeight w:val="360"/>
        </w:trPr>
        <w:tc>
          <w:tcPr>
            <w:tcW w:w="672"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934"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1496"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景观</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好</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好</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好</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好</w:t>
            </w:r>
          </w:p>
        </w:tc>
      </w:tr>
      <w:tr w:rsidR="00A37CBB">
        <w:trPr>
          <w:trHeight w:val="360"/>
        </w:trPr>
        <w:tc>
          <w:tcPr>
            <w:tcW w:w="672"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934"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1496"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所在楼层</w:t>
            </w:r>
          </w:p>
        </w:tc>
        <w:tc>
          <w:tcPr>
            <w:tcW w:w="1355" w:type="dxa"/>
            <w:vAlign w:val="center"/>
          </w:tcPr>
          <w:p w:rsidR="00A37CBB" w:rsidRDefault="00D21007">
            <w:pPr>
              <w:widowControl/>
              <w:jc w:val="center"/>
              <w:textAlignment w:val="center"/>
              <w:rPr>
                <w:rFonts w:ascii="仿宋_GB2312" w:hAnsi="宋体" w:cs="宋体"/>
                <w:color w:val="000000"/>
                <w:kern w:val="0"/>
                <w:sz w:val="20"/>
                <w:szCs w:val="22"/>
              </w:rPr>
            </w:pPr>
            <w:r>
              <w:rPr>
                <w:rFonts w:ascii="仿宋_GB2312" w:hAnsi="宋体" w:cs="仿宋_GB2312"/>
                <w:color w:val="000000"/>
                <w:kern w:val="0"/>
                <w:sz w:val="20"/>
                <w:lang/>
              </w:rPr>
              <w:t>较好</w:t>
            </w:r>
          </w:p>
        </w:tc>
        <w:tc>
          <w:tcPr>
            <w:tcW w:w="1355" w:type="dxa"/>
            <w:vAlign w:val="center"/>
          </w:tcPr>
          <w:p w:rsidR="00A37CBB" w:rsidRDefault="00D21007">
            <w:pPr>
              <w:widowControl/>
              <w:jc w:val="center"/>
              <w:textAlignment w:val="center"/>
              <w:rPr>
                <w:rFonts w:ascii="仿宋_GB2312" w:hAnsi="宋体" w:cs="宋体"/>
                <w:color w:val="000000"/>
                <w:kern w:val="0"/>
                <w:sz w:val="20"/>
                <w:szCs w:val="22"/>
              </w:rPr>
            </w:pPr>
            <w:r>
              <w:rPr>
                <w:rFonts w:ascii="仿宋_GB2312" w:hAnsi="宋体" w:cs="仿宋_GB2312"/>
                <w:color w:val="000000"/>
                <w:kern w:val="0"/>
                <w:sz w:val="20"/>
                <w:lang/>
              </w:rPr>
              <w:t>较好</w:t>
            </w:r>
          </w:p>
        </w:tc>
        <w:tc>
          <w:tcPr>
            <w:tcW w:w="1355" w:type="dxa"/>
            <w:vAlign w:val="center"/>
          </w:tcPr>
          <w:p w:rsidR="00A37CBB" w:rsidRDefault="00D21007">
            <w:pPr>
              <w:widowControl/>
              <w:jc w:val="center"/>
              <w:textAlignment w:val="center"/>
              <w:rPr>
                <w:rFonts w:ascii="仿宋_GB2312" w:hAnsi="宋体" w:cs="宋体"/>
                <w:color w:val="000000"/>
                <w:kern w:val="0"/>
                <w:sz w:val="20"/>
                <w:szCs w:val="22"/>
              </w:rPr>
            </w:pPr>
            <w:r>
              <w:rPr>
                <w:rFonts w:ascii="仿宋_GB2312" w:hAnsi="宋体" w:cs="仿宋_GB2312"/>
                <w:color w:val="000000"/>
                <w:kern w:val="0"/>
                <w:sz w:val="20"/>
                <w:lang/>
              </w:rPr>
              <w:t>较好</w:t>
            </w:r>
          </w:p>
        </w:tc>
        <w:tc>
          <w:tcPr>
            <w:tcW w:w="1355" w:type="dxa"/>
            <w:vAlign w:val="center"/>
          </w:tcPr>
          <w:p w:rsidR="00A37CBB" w:rsidRDefault="00D21007">
            <w:pPr>
              <w:widowControl/>
              <w:jc w:val="center"/>
              <w:textAlignment w:val="center"/>
              <w:rPr>
                <w:rFonts w:ascii="仿宋_GB2312" w:hAnsi="宋体" w:cs="宋体"/>
                <w:color w:val="000000"/>
                <w:kern w:val="0"/>
                <w:sz w:val="20"/>
                <w:szCs w:val="22"/>
              </w:rPr>
            </w:pPr>
            <w:r>
              <w:rPr>
                <w:rFonts w:ascii="仿宋_GB2312" w:hAnsi="宋体" w:cs="仿宋_GB2312"/>
                <w:color w:val="000000"/>
                <w:kern w:val="0"/>
                <w:sz w:val="20"/>
                <w:lang/>
              </w:rPr>
              <w:t>较好</w:t>
            </w:r>
          </w:p>
        </w:tc>
      </w:tr>
      <w:tr w:rsidR="00A37CBB">
        <w:trPr>
          <w:trHeight w:val="360"/>
        </w:trPr>
        <w:tc>
          <w:tcPr>
            <w:tcW w:w="672"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934" w:type="dxa"/>
            <w:vMerge w:val="restart"/>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实物状况调整</w:t>
            </w:r>
          </w:p>
        </w:tc>
        <w:tc>
          <w:tcPr>
            <w:tcW w:w="1496"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建筑结构</w:t>
            </w:r>
          </w:p>
        </w:tc>
        <w:tc>
          <w:tcPr>
            <w:tcW w:w="1355" w:type="dxa"/>
            <w:vAlign w:val="center"/>
          </w:tcPr>
          <w:p w:rsidR="00A37CBB" w:rsidRDefault="00D21007">
            <w:pPr>
              <w:widowControl/>
              <w:jc w:val="center"/>
              <w:textAlignment w:val="center"/>
              <w:rPr>
                <w:rFonts w:ascii="仿宋_GB2312" w:hAnsi="宋体" w:cs="宋体"/>
                <w:color w:val="000000"/>
                <w:kern w:val="0"/>
                <w:sz w:val="20"/>
                <w:szCs w:val="22"/>
              </w:rPr>
            </w:pPr>
            <w:r>
              <w:rPr>
                <w:rFonts w:ascii="仿宋_GB2312" w:hAnsi="宋体" w:cs="仿宋_GB2312" w:hint="eastAsia"/>
                <w:color w:val="000000"/>
                <w:kern w:val="0"/>
                <w:sz w:val="20"/>
                <w:lang/>
              </w:rPr>
              <w:t>砖混</w:t>
            </w:r>
          </w:p>
        </w:tc>
        <w:tc>
          <w:tcPr>
            <w:tcW w:w="1355" w:type="dxa"/>
            <w:vAlign w:val="center"/>
          </w:tcPr>
          <w:p w:rsidR="00A37CBB" w:rsidRDefault="00D21007">
            <w:pPr>
              <w:widowControl/>
              <w:jc w:val="center"/>
              <w:textAlignment w:val="center"/>
              <w:rPr>
                <w:rFonts w:ascii="仿宋_GB2312" w:hAnsi="宋体" w:cs="宋体"/>
                <w:color w:val="000000"/>
                <w:kern w:val="0"/>
                <w:sz w:val="20"/>
                <w:szCs w:val="22"/>
              </w:rPr>
            </w:pPr>
            <w:r>
              <w:rPr>
                <w:rFonts w:ascii="仿宋_GB2312" w:hAnsi="宋体" w:cs="仿宋_GB2312" w:hint="eastAsia"/>
                <w:color w:val="000000"/>
                <w:kern w:val="0"/>
                <w:sz w:val="20"/>
                <w:lang/>
              </w:rPr>
              <w:t>砖混</w:t>
            </w:r>
          </w:p>
        </w:tc>
        <w:tc>
          <w:tcPr>
            <w:tcW w:w="1355" w:type="dxa"/>
            <w:vAlign w:val="center"/>
          </w:tcPr>
          <w:p w:rsidR="00A37CBB" w:rsidRDefault="00D21007">
            <w:pPr>
              <w:widowControl/>
              <w:jc w:val="center"/>
              <w:textAlignment w:val="center"/>
              <w:rPr>
                <w:rFonts w:ascii="仿宋_GB2312" w:hAnsi="宋体" w:cs="宋体"/>
                <w:color w:val="000000"/>
                <w:kern w:val="0"/>
                <w:sz w:val="20"/>
                <w:szCs w:val="22"/>
              </w:rPr>
            </w:pPr>
            <w:r>
              <w:rPr>
                <w:rFonts w:ascii="仿宋_GB2312" w:hAnsi="宋体" w:cs="仿宋_GB2312" w:hint="eastAsia"/>
                <w:color w:val="000000"/>
                <w:kern w:val="0"/>
                <w:sz w:val="20"/>
                <w:lang/>
              </w:rPr>
              <w:t>砖混</w:t>
            </w:r>
          </w:p>
        </w:tc>
        <w:tc>
          <w:tcPr>
            <w:tcW w:w="1355" w:type="dxa"/>
            <w:vAlign w:val="center"/>
          </w:tcPr>
          <w:p w:rsidR="00A37CBB" w:rsidRDefault="00D21007">
            <w:pPr>
              <w:widowControl/>
              <w:jc w:val="center"/>
              <w:textAlignment w:val="center"/>
              <w:rPr>
                <w:rFonts w:ascii="仿宋_GB2312" w:hAnsi="宋体" w:cs="宋体"/>
                <w:color w:val="000000"/>
                <w:kern w:val="0"/>
                <w:sz w:val="20"/>
                <w:szCs w:val="22"/>
              </w:rPr>
            </w:pPr>
            <w:r>
              <w:rPr>
                <w:rFonts w:ascii="仿宋_GB2312" w:hAnsi="宋体" w:cs="仿宋_GB2312" w:hint="eastAsia"/>
                <w:color w:val="000000"/>
                <w:kern w:val="0"/>
                <w:sz w:val="20"/>
                <w:lang/>
              </w:rPr>
              <w:t>砖混</w:t>
            </w:r>
          </w:p>
        </w:tc>
      </w:tr>
      <w:tr w:rsidR="00A37CBB">
        <w:trPr>
          <w:trHeight w:val="90"/>
        </w:trPr>
        <w:tc>
          <w:tcPr>
            <w:tcW w:w="672"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934"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1496"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规模（建筑面积）</w:t>
            </w:r>
          </w:p>
        </w:tc>
        <w:tc>
          <w:tcPr>
            <w:tcW w:w="1355" w:type="dxa"/>
            <w:vAlign w:val="center"/>
          </w:tcPr>
          <w:p w:rsidR="00A37CBB" w:rsidRDefault="00D21007">
            <w:pPr>
              <w:widowControl/>
              <w:jc w:val="center"/>
              <w:textAlignment w:val="center"/>
              <w:rPr>
                <w:rFonts w:ascii="仿宋_GB2312" w:hAnsi="宋体" w:cs="宋体"/>
                <w:color w:val="000000"/>
                <w:kern w:val="0"/>
                <w:sz w:val="20"/>
                <w:szCs w:val="22"/>
              </w:rPr>
            </w:pPr>
            <w:r>
              <w:rPr>
                <w:rFonts w:ascii="仿宋_GB2312" w:hAnsi="宋体" w:cs="仿宋_GB2312"/>
                <w:color w:val="000000"/>
                <w:kern w:val="0"/>
                <w:sz w:val="20"/>
                <w:lang/>
              </w:rPr>
              <w:t>适中</w:t>
            </w:r>
          </w:p>
        </w:tc>
        <w:tc>
          <w:tcPr>
            <w:tcW w:w="1355" w:type="dxa"/>
            <w:vAlign w:val="center"/>
          </w:tcPr>
          <w:p w:rsidR="00A37CBB" w:rsidRDefault="00D21007">
            <w:pPr>
              <w:widowControl/>
              <w:jc w:val="center"/>
              <w:textAlignment w:val="center"/>
              <w:rPr>
                <w:rFonts w:ascii="仿宋_GB2312" w:hAnsi="宋体" w:cs="宋体"/>
                <w:color w:val="000000"/>
                <w:kern w:val="0"/>
                <w:sz w:val="20"/>
                <w:szCs w:val="22"/>
              </w:rPr>
            </w:pPr>
            <w:r>
              <w:rPr>
                <w:rFonts w:ascii="仿宋_GB2312" w:hAnsi="宋体" w:cs="仿宋_GB2312"/>
                <w:color w:val="000000"/>
                <w:kern w:val="0"/>
                <w:sz w:val="20"/>
                <w:lang/>
              </w:rPr>
              <w:t>适中</w:t>
            </w:r>
          </w:p>
        </w:tc>
        <w:tc>
          <w:tcPr>
            <w:tcW w:w="1355" w:type="dxa"/>
            <w:vAlign w:val="center"/>
          </w:tcPr>
          <w:p w:rsidR="00A37CBB" w:rsidRDefault="00D21007">
            <w:pPr>
              <w:widowControl/>
              <w:jc w:val="center"/>
              <w:textAlignment w:val="center"/>
              <w:rPr>
                <w:rFonts w:ascii="仿宋_GB2312" w:hAnsi="宋体" w:cs="宋体"/>
                <w:color w:val="000000"/>
                <w:kern w:val="0"/>
                <w:sz w:val="20"/>
                <w:szCs w:val="22"/>
              </w:rPr>
            </w:pPr>
            <w:r>
              <w:rPr>
                <w:rFonts w:ascii="仿宋_GB2312" w:hAnsi="宋体" w:cs="仿宋_GB2312"/>
                <w:color w:val="000000"/>
                <w:kern w:val="0"/>
                <w:sz w:val="20"/>
                <w:lang/>
              </w:rPr>
              <w:t>适中</w:t>
            </w:r>
          </w:p>
        </w:tc>
        <w:tc>
          <w:tcPr>
            <w:tcW w:w="1355" w:type="dxa"/>
            <w:vAlign w:val="center"/>
          </w:tcPr>
          <w:p w:rsidR="00A37CBB" w:rsidRDefault="00D21007">
            <w:pPr>
              <w:widowControl/>
              <w:jc w:val="center"/>
              <w:textAlignment w:val="center"/>
              <w:rPr>
                <w:rFonts w:ascii="仿宋_GB2312" w:hAnsi="宋体" w:cs="宋体"/>
                <w:color w:val="000000"/>
                <w:kern w:val="0"/>
                <w:sz w:val="20"/>
                <w:szCs w:val="22"/>
              </w:rPr>
            </w:pPr>
            <w:r>
              <w:rPr>
                <w:rFonts w:ascii="仿宋_GB2312" w:hAnsi="宋体" w:cs="仿宋_GB2312"/>
                <w:color w:val="000000"/>
                <w:kern w:val="0"/>
                <w:sz w:val="20"/>
                <w:lang/>
              </w:rPr>
              <w:t>适中</w:t>
            </w:r>
          </w:p>
        </w:tc>
      </w:tr>
      <w:tr w:rsidR="00A37CBB">
        <w:trPr>
          <w:trHeight w:val="360"/>
        </w:trPr>
        <w:tc>
          <w:tcPr>
            <w:tcW w:w="672"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934"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1496"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装修情况</w:t>
            </w:r>
          </w:p>
        </w:tc>
        <w:tc>
          <w:tcPr>
            <w:tcW w:w="1355" w:type="dxa"/>
            <w:vAlign w:val="center"/>
          </w:tcPr>
          <w:p w:rsidR="00A37CBB" w:rsidRDefault="00D21007">
            <w:pPr>
              <w:widowControl/>
              <w:jc w:val="center"/>
              <w:textAlignment w:val="center"/>
              <w:rPr>
                <w:rFonts w:ascii="仿宋_GB2312" w:hAnsi="宋体" w:cs="宋体"/>
                <w:color w:val="000000"/>
                <w:kern w:val="0"/>
                <w:sz w:val="20"/>
                <w:szCs w:val="22"/>
              </w:rPr>
            </w:pPr>
            <w:r>
              <w:rPr>
                <w:rFonts w:ascii="仿宋_GB2312" w:hAnsi="宋体" w:cs="仿宋_GB2312"/>
                <w:color w:val="000000"/>
                <w:kern w:val="0"/>
                <w:sz w:val="20"/>
                <w:lang/>
              </w:rPr>
              <w:t>简单装修</w:t>
            </w:r>
          </w:p>
        </w:tc>
        <w:tc>
          <w:tcPr>
            <w:tcW w:w="1355" w:type="dxa"/>
            <w:vAlign w:val="center"/>
          </w:tcPr>
          <w:p w:rsidR="00A37CBB" w:rsidRDefault="00D21007">
            <w:pPr>
              <w:widowControl/>
              <w:jc w:val="center"/>
              <w:textAlignment w:val="center"/>
              <w:rPr>
                <w:rFonts w:ascii="仿宋_GB2312" w:hAnsi="宋体" w:cs="宋体"/>
                <w:color w:val="000000"/>
                <w:kern w:val="0"/>
                <w:sz w:val="20"/>
                <w:szCs w:val="22"/>
              </w:rPr>
            </w:pPr>
            <w:r>
              <w:rPr>
                <w:rFonts w:ascii="仿宋_GB2312" w:hAnsi="宋体" w:cs="仿宋_GB2312"/>
                <w:color w:val="000000"/>
                <w:kern w:val="0"/>
                <w:sz w:val="20"/>
                <w:lang/>
              </w:rPr>
              <w:t>简单装修</w:t>
            </w:r>
          </w:p>
        </w:tc>
        <w:tc>
          <w:tcPr>
            <w:tcW w:w="1355" w:type="dxa"/>
            <w:vAlign w:val="center"/>
          </w:tcPr>
          <w:p w:rsidR="00A37CBB" w:rsidRDefault="00D21007">
            <w:pPr>
              <w:widowControl/>
              <w:jc w:val="center"/>
              <w:textAlignment w:val="center"/>
              <w:rPr>
                <w:rFonts w:ascii="仿宋_GB2312" w:hAnsi="宋体" w:cs="宋体"/>
                <w:color w:val="000000"/>
                <w:kern w:val="0"/>
                <w:sz w:val="20"/>
                <w:szCs w:val="22"/>
              </w:rPr>
            </w:pPr>
            <w:r>
              <w:rPr>
                <w:rFonts w:ascii="仿宋_GB2312" w:hAnsi="宋体" w:cs="仿宋_GB2312"/>
                <w:color w:val="000000"/>
                <w:kern w:val="0"/>
                <w:sz w:val="20"/>
                <w:lang/>
              </w:rPr>
              <w:t>简单装修</w:t>
            </w:r>
          </w:p>
        </w:tc>
        <w:tc>
          <w:tcPr>
            <w:tcW w:w="1355" w:type="dxa"/>
            <w:vAlign w:val="center"/>
          </w:tcPr>
          <w:p w:rsidR="00A37CBB" w:rsidRDefault="00D21007">
            <w:pPr>
              <w:widowControl/>
              <w:jc w:val="center"/>
              <w:textAlignment w:val="center"/>
              <w:rPr>
                <w:rFonts w:ascii="仿宋_GB2312" w:hAnsi="宋体" w:cs="宋体"/>
                <w:color w:val="000000"/>
                <w:kern w:val="0"/>
                <w:sz w:val="20"/>
                <w:szCs w:val="22"/>
              </w:rPr>
            </w:pPr>
            <w:r>
              <w:rPr>
                <w:rFonts w:ascii="仿宋_GB2312" w:hAnsi="宋体" w:cs="仿宋_GB2312"/>
                <w:color w:val="000000"/>
                <w:kern w:val="0"/>
                <w:sz w:val="20"/>
                <w:lang/>
              </w:rPr>
              <w:t>简单装修</w:t>
            </w:r>
          </w:p>
        </w:tc>
      </w:tr>
      <w:tr w:rsidR="00A37CBB">
        <w:trPr>
          <w:trHeight w:val="360"/>
        </w:trPr>
        <w:tc>
          <w:tcPr>
            <w:tcW w:w="672"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934"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1496"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新旧程度</w:t>
            </w:r>
          </w:p>
        </w:tc>
        <w:tc>
          <w:tcPr>
            <w:tcW w:w="1355" w:type="dxa"/>
            <w:vAlign w:val="center"/>
          </w:tcPr>
          <w:p w:rsidR="00A37CBB" w:rsidRDefault="00D21007">
            <w:pPr>
              <w:widowControl/>
              <w:jc w:val="center"/>
              <w:textAlignment w:val="center"/>
              <w:rPr>
                <w:rFonts w:ascii="仿宋_GB2312" w:hAnsi="宋体" w:cs="宋体"/>
                <w:color w:val="000000"/>
                <w:kern w:val="0"/>
                <w:sz w:val="20"/>
                <w:szCs w:val="22"/>
              </w:rPr>
            </w:pPr>
            <w:r>
              <w:rPr>
                <w:rFonts w:ascii="仿宋_GB2312" w:hAnsi="宋体" w:cs="仿宋_GB2312" w:hint="eastAsia"/>
                <w:color w:val="000000"/>
                <w:kern w:val="0"/>
                <w:sz w:val="20"/>
                <w:lang/>
              </w:rPr>
              <w:t>七</w:t>
            </w:r>
            <w:r>
              <w:rPr>
                <w:rFonts w:ascii="仿宋_GB2312" w:hAnsi="宋体" w:cs="仿宋_GB2312"/>
                <w:color w:val="000000"/>
                <w:kern w:val="0"/>
                <w:sz w:val="20"/>
                <w:lang/>
              </w:rPr>
              <w:t>成新</w:t>
            </w:r>
          </w:p>
        </w:tc>
        <w:tc>
          <w:tcPr>
            <w:tcW w:w="1355" w:type="dxa"/>
            <w:vAlign w:val="center"/>
          </w:tcPr>
          <w:p w:rsidR="00A37CBB" w:rsidRDefault="00D21007">
            <w:pPr>
              <w:widowControl/>
              <w:jc w:val="center"/>
              <w:textAlignment w:val="center"/>
              <w:rPr>
                <w:rFonts w:ascii="仿宋_GB2312" w:hAnsi="宋体" w:cs="宋体"/>
                <w:color w:val="000000"/>
                <w:kern w:val="0"/>
                <w:sz w:val="20"/>
                <w:szCs w:val="22"/>
              </w:rPr>
            </w:pPr>
            <w:r>
              <w:rPr>
                <w:rFonts w:ascii="仿宋_GB2312" w:hAnsi="宋体" w:cs="仿宋_GB2312" w:hint="eastAsia"/>
                <w:color w:val="000000"/>
                <w:kern w:val="0"/>
                <w:sz w:val="20"/>
                <w:lang/>
              </w:rPr>
              <w:t>七</w:t>
            </w:r>
            <w:r>
              <w:rPr>
                <w:rFonts w:ascii="仿宋_GB2312" w:hAnsi="宋体" w:cs="仿宋_GB2312"/>
                <w:color w:val="000000"/>
                <w:kern w:val="0"/>
                <w:sz w:val="20"/>
                <w:lang/>
              </w:rPr>
              <w:t>成新</w:t>
            </w:r>
          </w:p>
        </w:tc>
        <w:tc>
          <w:tcPr>
            <w:tcW w:w="1355" w:type="dxa"/>
            <w:vAlign w:val="center"/>
          </w:tcPr>
          <w:p w:rsidR="00A37CBB" w:rsidRDefault="00D21007">
            <w:pPr>
              <w:widowControl/>
              <w:jc w:val="center"/>
              <w:textAlignment w:val="center"/>
              <w:rPr>
                <w:rFonts w:ascii="仿宋_GB2312" w:hAnsi="宋体" w:cs="宋体"/>
                <w:color w:val="000000"/>
                <w:kern w:val="0"/>
                <w:sz w:val="20"/>
                <w:szCs w:val="22"/>
              </w:rPr>
            </w:pPr>
            <w:r>
              <w:rPr>
                <w:rFonts w:ascii="仿宋_GB2312" w:hAnsi="宋体" w:cs="仿宋_GB2312" w:hint="eastAsia"/>
                <w:color w:val="000000"/>
                <w:kern w:val="0"/>
                <w:sz w:val="20"/>
                <w:lang/>
              </w:rPr>
              <w:t>七</w:t>
            </w:r>
            <w:r>
              <w:rPr>
                <w:rFonts w:ascii="仿宋_GB2312" w:hAnsi="宋体" w:cs="仿宋_GB2312"/>
                <w:color w:val="000000"/>
                <w:kern w:val="0"/>
                <w:sz w:val="20"/>
                <w:lang/>
              </w:rPr>
              <w:t>成新</w:t>
            </w:r>
          </w:p>
        </w:tc>
        <w:tc>
          <w:tcPr>
            <w:tcW w:w="1355" w:type="dxa"/>
            <w:vAlign w:val="center"/>
          </w:tcPr>
          <w:p w:rsidR="00A37CBB" w:rsidRDefault="00D21007">
            <w:pPr>
              <w:widowControl/>
              <w:jc w:val="center"/>
              <w:textAlignment w:val="center"/>
              <w:rPr>
                <w:rFonts w:ascii="仿宋_GB2312" w:hAnsi="宋体" w:cs="宋体"/>
                <w:color w:val="000000"/>
                <w:kern w:val="0"/>
                <w:sz w:val="20"/>
                <w:szCs w:val="22"/>
              </w:rPr>
            </w:pPr>
            <w:r>
              <w:rPr>
                <w:rFonts w:ascii="仿宋_GB2312" w:hAnsi="宋体" w:cs="仿宋_GB2312" w:hint="eastAsia"/>
                <w:color w:val="000000"/>
                <w:kern w:val="0"/>
                <w:sz w:val="20"/>
                <w:lang/>
              </w:rPr>
              <w:t>七</w:t>
            </w:r>
            <w:r>
              <w:rPr>
                <w:rFonts w:ascii="仿宋_GB2312" w:hAnsi="宋体" w:cs="仿宋_GB2312"/>
                <w:color w:val="000000"/>
                <w:kern w:val="0"/>
                <w:sz w:val="20"/>
                <w:lang/>
              </w:rPr>
              <w:t>成新</w:t>
            </w:r>
          </w:p>
        </w:tc>
      </w:tr>
      <w:tr w:rsidR="00A37CBB">
        <w:trPr>
          <w:trHeight w:val="360"/>
        </w:trPr>
        <w:tc>
          <w:tcPr>
            <w:tcW w:w="672"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934"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1496"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朝向</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南北</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南北</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南北</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南北</w:t>
            </w:r>
          </w:p>
        </w:tc>
      </w:tr>
      <w:tr w:rsidR="00A37CBB">
        <w:trPr>
          <w:trHeight w:val="360"/>
        </w:trPr>
        <w:tc>
          <w:tcPr>
            <w:tcW w:w="672"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934"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1496"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层高</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标准层高</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标准层高</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标准层高</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标准层高</w:t>
            </w:r>
          </w:p>
        </w:tc>
      </w:tr>
      <w:tr w:rsidR="00A37CBB">
        <w:trPr>
          <w:trHeight w:val="360"/>
        </w:trPr>
        <w:tc>
          <w:tcPr>
            <w:tcW w:w="672"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934"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1496"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物业管理</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较好</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较好</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较好</w:t>
            </w:r>
          </w:p>
        </w:tc>
        <w:tc>
          <w:tcPr>
            <w:tcW w:w="135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较好</w:t>
            </w:r>
          </w:p>
        </w:tc>
      </w:tr>
    </w:tbl>
    <w:p w:rsidR="00A37CBB" w:rsidRDefault="00D21007">
      <w:pPr>
        <w:tabs>
          <w:tab w:val="left" w:pos="3060"/>
        </w:tabs>
        <w:spacing w:line="480" w:lineRule="exact"/>
        <w:ind w:firstLineChars="200" w:firstLine="562"/>
        <w:rPr>
          <w:rFonts w:ascii="仿宋_GB2312" w:hAnsi="宋体"/>
          <w:b/>
          <w:bCs/>
          <w:sz w:val="28"/>
          <w:szCs w:val="28"/>
        </w:rPr>
      </w:pPr>
      <w:r>
        <w:rPr>
          <w:rFonts w:ascii="仿宋_GB2312" w:hAnsi="宋体" w:hint="eastAsia"/>
          <w:b/>
          <w:bCs/>
          <w:sz w:val="28"/>
          <w:szCs w:val="28"/>
        </w:rPr>
        <w:t>3、确定比较因素条件指数</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（1）交易情况修正</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如果可比实例的交易价格不是正常的，则应将其修正为正常的，</w:t>
      </w:r>
      <w:r>
        <w:rPr>
          <w:rFonts w:ascii="仿宋_GB2312" w:hAnsi="宋体" w:hint="eastAsia"/>
          <w:sz w:val="28"/>
          <w:szCs w:val="28"/>
        </w:rPr>
        <w:lastRenderedPageBreak/>
        <w:t>如此才能将其作为估价对象的价格。</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不正常的交易指以下几种情况：</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（1）有利害关系人之间的交易</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（2）急于出售或急于购买的交易</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（3）交易双方或某一方对市场行情缺乏了解的交易</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（4）交易双方或某一方有特别动机或偏好的交易</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（5）特殊交易方式的交易</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（6）交易税费非正常负担的交易</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（7）相邻房地产合并的交易</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（8）受债权债务关系影响的交易</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与估价对象相比，可比实例A、B、C均不存在上述特殊交易情况，为正常交易。</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（2）交易日期调整</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将可比实例在其成交日期时的价格调整为在价值时点时的价格，如此才能将其作为估价对象的价格。</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根据此次估价目的，选取可比实例A、B、C交易发生时间与估价对象价值时点较近，且近期估价对象区域房价变化幅度较小，故在此项不做调整。</w:t>
      </w:r>
    </w:p>
    <w:p w:rsidR="00A37CBB" w:rsidRDefault="00D21007">
      <w:pPr>
        <w:spacing w:line="480" w:lineRule="exact"/>
        <w:ind w:firstLineChars="200" w:firstLine="560"/>
        <w:rPr>
          <w:rFonts w:ascii="仿宋_GB2312" w:hAnsi="宋体"/>
          <w:sz w:val="28"/>
          <w:szCs w:val="28"/>
        </w:rPr>
      </w:pPr>
      <w:r>
        <w:rPr>
          <w:rFonts w:ascii="仿宋_GB2312" w:hAnsi="宋体" w:hint="eastAsia"/>
          <w:sz w:val="28"/>
          <w:szCs w:val="28"/>
        </w:rPr>
        <w:t>（3）房地产状况调整</w:t>
      </w:r>
    </w:p>
    <w:p w:rsidR="00A37CBB" w:rsidRDefault="00D21007">
      <w:pPr>
        <w:numPr>
          <w:ilvl w:val="0"/>
          <w:numId w:val="2"/>
        </w:numPr>
        <w:tabs>
          <w:tab w:val="left" w:pos="3023"/>
        </w:tabs>
        <w:adjustRightInd w:val="0"/>
        <w:snapToGrid w:val="0"/>
        <w:spacing w:line="480" w:lineRule="exact"/>
        <w:ind w:left="0" w:firstLine="720"/>
        <w:rPr>
          <w:rFonts w:ascii="仿宋_GB2312" w:hAnsi="仿宋_GB2312" w:cs="仿宋_GB2312"/>
          <w:color w:val="000000"/>
          <w:sz w:val="28"/>
          <w:szCs w:val="28"/>
        </w:rPr>
      </w:pPr>
      <w:r>
        <w:rPr>
          <w:rFonts w:ascii="仿宋_GB2312" w:hAnsi="仿宋_GB2312" w:cs="仿宋_GB2312" w:hint="eastAsia"/>
          <w:color w:val="000000"/>
          <w:sz w:val="28"/>
          <w:szCs w:val="28"/>
        </w:rPr>
        <w:t>权益状况</w:t>
      </w:r>
    </w:p>
    <w:p w:rsidR="00A37CBB" w:rsidRDefault="00D21007">
      <w:pPr>
        <w:adjustRightInd w:val="0"/>
        <w:snapToGrid w:val="0"/>
        <w:spacing w:line="480" w:lineRule="exact"/>
        <w:ind w:firstLineChars="200" w:firstLine="560"/>
        <w:rPr>
          <w:rFonts w:ascii="仿宋_GB2312" w:hAnsi="仿宋_GB2312" w:cs="仿宋_GB2312"/>
          <w:color w:val="000000"/>
          <w:sz w:val="28"/>
          <w:szCs w:val="28"/>
        </w:rPr>
      </w:pPr>
      <w:r>
        <w:rPr>
          <w:rFonts w:ascii="仿宋_GB2312" w:hAnsi="仿宋_GB2312" w:cs="仿宋_GB2312" w:hint="eastAsia"/>
          <w:color w:val="000000"/>
          <w:sz w:val="28"/>
          <w:szCs w:val="28"/>
        </w:rPr>
        <w:t>（1）房屋用途：估价对象与可比实例的房屋用途均为营业/住宅，故估价对象和交易实例的交易情况指数均为100。</w:t>
      </w:r>
    </w:p>
    <w:p w:rsidR="00A37CBB" w:rsidRDefault="00D21007">
      <w:pPr>
        <w:adjustRightInd w:val="0"/>
        <w:snapToGrid w:val="0"/>
        <w:spacing w:line="480" w:lineRule="exact"/>
        <w:ind w:firstLineChars="200" w:firstLine="560"/>
        <w:rPr>
          <w:rFonts w:ascii="仿宋_GB2312" w:hAnsi="仿宋_GB2312" w:cs="仿宋_GB2312"/>
          <w:color w:val="000000"/>
          <w:sz w:val="28"/>
          <w:szCs w:val="28"/>
        </w:rPr>
      </w:pPr>
      <w:r>
        <w:rPr>
          <w:rFonts w:ascii="仿宋_GB2312" w:hAnsi="仿宋_GB2312" w:cs="仿宋_GB2312" w:hint="eastAsia"/>
          <w:color w:val="000000"/>
          <w:sz w:val="28"/>
          <w:szCs w:val="28"/>
        </w:rPr>
        <w:t>（2）他项权利：估价对象与可比实例A、B、C均无他项权利，故估价对象和交易实例的交易情况指数均为100。</w:t>
      </w:r>
    </w:p>
    <w:p w:rsidR="00A37CBB" w:rsidRDefault="00D21007">
      <w:pPr>
        <w:numPr>
          <w:ilvl w:val="0"/>
          <w:numId w:val="2"/>
        </w:numPr>
        <w:tabs>
          <w:tab w:val="left" w:pos="3023"/>
        </w:tabs>
        <w:adjustRightInd w:val="0"/>
        <w:snapToGrid w:val="0"/>
        <w:spacing w:line="480" w:lineRule="exact"/>
        <w:ind w:left="0" w:firstLine="720"/>
        <w:rPr>
          <w:rFonts w:ascii="仿宋_GB2312" w:hAnsi="仿宋_GB2312" w:cs="仿宋_GB2312"/>
          <w:color w:val="000000"/>
          <w:sz w:val="28"/>
          <w:szCs w:val="28"/>
        </w:rPr>
      </w:pPr>
      <w:r>
        <w:rPr>
          <w:rFonts w:ascii="仿宋_GB2312" w:hAnsi="仿宋_GB2312" w:cs="仿宋_GB2312" w:hint="eastAsia"/>
          <w:color w:val="000000"/>
          <w:sz w:val="28"/>
          <w:szCs w:val="28"/>
        </w:rPr>
        <w:t>区位状况</w:t>
      </w:r>
    </w:p>
    <w:p w:rsidR="00A37CBB" w:rsidRDefault="00D21007">
      <w:pPr>
        <w:adjustRightInd w:val="0"/>
        <w:snapToGrid w:val="0"/>
        <w:spacing w:line="480" w:lineRule="exact"/>
        <w:ind w:firstLineChars="200" w:firstLine="560"/>
        <w:rPr>
          <w:rFonts w:ascii="仿宋_GB2312" w:hAnsi="宋体"/>
          <w:sz w:val="28"/>
          <w:szCs w:val="28"/>
        </w:rPr>
      </w:pPr>
      <w:r>
        <w:rPr>
          <w:rFonts w:ascii="仿宋_GB2312" w:hAnsi="宋体" w:hint="eastAsia"/>
          <w:sz w:val="28"/>
          <w:szCs w:val="28"/>
        </w:rPr>
        <w:t>（1）位置优劣度：根据估价对象所处地段，分为优、较优、一般、较差、差五个等级，以估价对象为100，每增加或减少一个级别，指数向上或向下修正2。</w:t>
      </w:r>
    </w:p>
    <w:p w:rsidR="00A37CBB" w:rsidRDefault="00D21007">
      <w:pPr>
        <w:tabs>
          <w:tab w:val="left" w:pos="3023"/>
        </w:tabs>
        <w:adjustRightInd w:val="0"/>
        <w:snapToGrid w:val="0"/>
        <w:spacing w:line="480" w:lineRule="exact"/>
        <w:ind w:firstLineChars="200" w:firstLine="560"/>
        <w:rPr>
          <w:rFonts w:ascii="仿宋_GB2312" w:hAnsi="宋体"/>
          <w:sz w:val="28"/>
          <w:szCs w:val="28"/>
        </w:rPr>
      </w:pPr>
      <w:r>
        <w:rPr>
          <w:rFonts w:ascii="仿宋_GB2312" w:hAnsi="宋体" w:hint="eastAsia"/>
          <w:sz w:val="28"/>
          <w:szCs w:val="28"/>
        </w:rPr>
        <w:lastRenderedPageBreak/>
        <w:t>（2）居住氛围：根据项目所在区位的居住环境、市政环境等，居住人口素质等分为优、较优、一般、较差、差五个等级，以估价对象为100，每增加或减少一个级别，指数向上或向下修正2。</w:t>
      </w:r>
    </w:p>
    <w:p w:rsidR="00A37CBB" w:rsidRDefault="00D21007">
      <w:pPr>
        <w:tabs>
          <w:tab w:val="left" w:pos="3023"/>
        </w:tabs>
        <w:adjustRightInd w:val="0"/>
        <w:snapToGrid w:val="0"/>
        <w:spacing w:line="480" w:lineRule="exact"/>
        <w:ind w:firstLineChars="200" w:firstLine="560"/>
        <w:rPr>
          <w:rFonts w:ascii="仿宋_GB2312" w:hAnsi="宋体"/>
          <w:sz w:val="28"/>
          <w:szCs w:val="28"/>
        </w:rPr>
      </w:pPr>
      <w:r>
        <w:rPr>
          <w:rFonts w:ascii="仿宋_GB2312" w:hAnsi="宋体" w:hint="eastAsia"/>
          <w:sz w:val="28"/>
          <w:szCs w:val="28"/>
        </w:rPr>
        <w:t>（3）环境质量：根据项目位置所在区域的自然资源、空气质量、噪声、污染情况，分为优、较优、一般、较差、差五个等级，以估价对象为100，每上升或下降一个等级，指数向上或向下修正1。</w:t>
      </w:r>
    </w:p>
    <w:p w:rsidR="00A37CBB" w:rsidRDefault="00D21007">
      <w:pPr>
        <w:adjustRightInd w:val="0"/>
        <w:snapToGrid w:val="0"/>
        <w:spacing w:line="480" w:lineRule="exact"/>
        <w:ind w:firstLineChars="200" w:firstLine="560"/>
        <w:rPr>
          <w:rFonts w:ascii="仿宋_GB2312" w:hAnsi="宋体"/>
          <w:sz w:val="28"/>
          <w:szCs w:val="28"/>
        </w:rPr>
      </w:pPr>
      <w:r>
        <w:rPr>
          <w:rFonts w:ascii="仿宋_GB2312" w:hAnsi="宋体" w:hint="eastAsia"/>
          <w:sz w:val="28"/>
          <w:szCs w:val="28"/>
        </w:rPr>
        <w:t>（4）交通便捷度：根据估价对象所在区域路网密度、路面宽度、道路质量、及道路畅通程度、公交路线多少，是否有地铁站点，距离车站、港口码头和口岸的距离等情况，分为便捷、较便捷、不便捷三个等级，以估价对象为100，每上升或下降一个等级，指数向上或向下修正3。</w:t>
      </w:r>
    </w:p>
    <w:p w:rsidR="00A37CBB" w:rsidRDefault="00D21007">
      <w:pPr>
        <w:tabs>
          <w:tab w:val="left" w:pos="3023"/>
        </w:tabs>
        <w:adjustRightInd w:val="0"/>
        <w:snapToGrid w:val="0"/>
        <w:spacing w:line="480" w:lineRule="exact"/>
        <w:ind w:firstLineChars="200" w:firstLine="560"/>
        <w:rPr>
          <w:rFonts w:ascii="仿宋_GB2312" w:hAnsi="宋体"/>
          <w:sz w:val="28"/>
          <w:szCs w:val="28"/>
        </w:rPr>
      </w:pPr>
      <w:r>
        <w:rPr>
          <w:rFonts w:ascii="仿宋_GB2312" w:hAnsi="宋体" w:hint="eastAsia"/>
          <w:sz w:val="28"/>
          <w:szCs w:val="28"/>
        </w:rPr>
        <w:t>（5）外部配套设施完善程度：包括基础设施和公共服务设施，分为完善、一般、不完善三个等级，以估价对象为100，每上升或下降一个等级，指数向上或向下修正1。</w:t>
      </w:r>
    </w:p>
    <w:p w:rsidR="00A37CBB" w:rsidRDefault="00D21007">
      <w:pPr>
        <w:tabs>
          <w:tab w:val="left" w:pos="3023"/>
        </w:tabs>
        <w:adjustRightInd w:val="0"/>
        <w:snapToGrid w:val="0"/>
        <w:spacing w:line="480" w:lineRule="exact"/>
        <w:ind w:firstLineChars="200" w:firstLine="560"/>
        <w:rPr>
          <w:rFonts w:ascii="仿宋_GB2312" w:hAnsi="宋体"/>
          <w:sz w:val="28"/>
          <w:szCs w:val="28"/>
        </w:rPr>
      </w:pPr>
      <w:r>
        <w:rPr>
          <w:rFonts w:ascii="仿宋_GB2312" w:hAnsi="宋体" w:hint="eastAsia"/>
          <w:sz w:val="28"/>
          <w:szCs w:val="28"/>
        </w:rPr>
        <w:t>（6）学区：分为幼儿园、小学或初中在市县重点学区、不在市县重点学区两个等级，以估价对象学区状况为基准（100%），相差一个等级，比较案例价格修正2；</w:t>
      </w:r>
    </w:p>
    <w:p w:rsidR="00A37CBB" w:rsidRDefault="00D21007">
      <w:pPr>
        <w:tabs>
          <w:tab w:val="left" w:pos="3023"/>
        </w:tabs>
        <w:adjustRightInd w:val="0"/>
        <w:snapToGrid w:val="0"/>
        <w:spacing w:line="480" w:lineRule="exact"/>
        <w:ind w:firstLineChars="200" w:firstLine="560"/>
        <w:rPr>
          <w:rFonts w:ascii="仿宋_GB2312" w:hAnsi="宋体"/>
          <w:sz w:val="28"/>
          <w:szCs w:val="28"/>
        </w:rPr>
      </w:pPr>
      <w:r>
        <w:rPr>
          <w:rFonts w:ascii="仿宋_GB2312" w:hAnsi="宋体" w:hint="eastAsia"/>
          <w:sz w:val="28"/>
          <w:szCs w:val="28"/>
        </w:rPr>
        <w:t>（7）景观：分好、较好、一般、较差、差五个等级，以估价对象景观状况为基准（100%），相差一个等级，比较案例价格修正3；</w:t>
      </w:r>
    </w:p>
    <w:p w:rsidR="00A37CBB" w:rsidRDefault="00D21007">
      <w:pPr>
        <w:adjustRightInd w:val="0"/>
        <w:snapToGrid w:val="0"/>
        <w:spacing w:line="480" w:lineRule="exact"/>
        <w:ind w:firstLineChars="200" w:firstLine="560"/>
        <w:rPr>
          <w:rFonts w:ascii="仿宋_GB2312" w:hAnsi="仿宋_GB2312" w:cs="仿宋_GB2312"/>
          <w:color w:val="000000"/>
          <w:sz w:val="28"/>
          <w:szCs w:val="28"/>
        </w:rPr>
      </w:pPr>
      <w:r>
        <w:rPr>
          <w:rFonts w:ascii="仿宋_GB2312" w:hAnsi="宋体" w:hint="eastAsia"/>
          <w:sz w:val="28"/>
          <w:szCs w:val="28"/>
        </w:rPr>
        <w:t>（8）</w:t>
      </w:r>
      <w:r>
        <w:rPr>
          <w:rFonts w:ascii="仿宋_GB2312" w:hAnsi="仿宋_GB2312" w:cs="仿宋_GB2312" w:hint="eastAsia"/>
          <w:color w:val="000000"/>
          <w:sz w:val="28"/>
          <w:szCs w:val="28"/>
        </w:rPr>
        <w:t>所在楼层：分为好、较好、一般、较差、差五个等级，以估价对象为100，每上升或下降一个等级，指数向上或向下修正1。</w:t>
      </w:r>
    </w:p>
    <w:p w:rsidR="00A37CBB" w:rsidRDefault="00D21007">
      <w:pPr>
        <w:numPr>
          <w:ilvl w:val="0"/>
          <w:numId w:val="2"/>
        </w:numPr>
        <w:tabs>
          <w:tab w:val="left" w:pos="3023"/>
        </w:tabs>
        <w:adjustRightInd w:val="0"/>
        <w:snapToGrid w:val="0"/>
        <w:spacing w:line="480" w:lineRule="exact"/>
        <w:ind w:left="0" w:firstLine="720"/>
        <w:rPr>
          <w:rFonts w:ascii="仿宋_GB2312" w:hAnsi="仿宋_GB2312" w:cs="仿宋_GB2312"/>
          <w:color w:val="000000"/>
          <w:sz w:val="28"/>
          <w:szCs w:val="28"/>
        </w:rPr>
      </w:pPr>
      <w:r>
        <w:rPr>
          <w:rFonts w:ascii="仿宋_GB2312" w:hAnsi="仿宋_GB2312" w:cs="仿宋_GB2312" w:hint="eastAsia"/>
          <w:color w:val="000000"/>
          <w:sz w:val="28"/>
          <w:szCs w:val="28"/>
        </w:rPr>
        <w:t>实物状况</w:t>
      </w:r>
    </w:p>
    <w:p w:rsidR="00A37CBB" w:rsidRDefault="00D21007">
      <w:pPr>
        <w:tabs>
          <w:tab w:val="left" w:pos="3023"/>
        </w:tabs>
        <w:adjustRightInd w:val="0"/>
        <w:snapToGrid w:val="0"/>
        <w:spacing w:line="480" w:lineRule="exact"/>
        <w:ind w:firstLineChars="200" w:firstLine="560"/>
        <w:rPr>
          <w:rFonts w:ascii="仿宋_GB2312" w:hAnsi="宋体"/>
          <w:sz w:val="28"/>
          <w:szCs w:val="28"/>
        </w:rPr>
      </w:pPr>
      <w:r>
        <w:rPr>
          <w:rFonts w:ascii="仿宋_GB2312" w:hAnsi="宋体" w:hint="eastAsia"/>
          <w:sz w:val="28"/>
          <w:szCs w:val="28"/>
        </w:rPr>
        <w:t>（1）建筑结构：分框架（钢混）、混合（砖混）、砖木三个档次，以估价对象为100，每上升或下降一个等级，指数向上或向下修正1。</w:t>
      </w:r>
    </w:p>
    <w:p w:rsidR="00A37CBB" w:rsidRDefault="00D21007">
      <w:pPr>
        <w:adjustRightInd w:val="0"/>
        <w:snapToGrid w:val="0"/>
        <w:spacing w:line="480" w:lineRule="exact"/>
        <w:ind w:firstLineChars="200" w:firstLine="560"/>
        <w:rPr>
          <w:rFonts w:ascii="仿宋_GB2312" w:hAnsi="仿宋_GB2312" w:cs="仿宋_GB2312"/>
          <w:color w:val="000000"/>
          <w:sz w:val="28"/>
          <w:szCs w:val="28"/>
        </w:rPr>
      </w:pPr>
      <w:r>
        <w:rPr>
          <w:rFonts w:ascii="仿宋_GB2312" w:hAnsi="宋体" w:hint="eastAsia"/>
          <w:sz w:val="28"/>
          <w:szCs w:val="28"/>
        </w:rPr>
        <w:t>（2）</w:t>
      </w:r>
      <w:r>
        <w:rPr>
          <w:rFonts w:ascii="仿宋_GB2312" w:hAnsi="仿宋_GB2312" w:cs="仿宋_GB2312" w:hint="eastAsia"/>
          <w:color w:val="000000"/>
          <w:sz w:val="28"/>
          <w:szCs w:val="28"/>
        </w:rPr>
        <w:t>规模（建筑面积）：分为适中、偏大或偏小、过大或过小三个等级，以估价对象为100，每上升或下降一个等级，指数向上或向下修正1。</w:t>
      </w:r>
    </w:p>
    <w:p w:rsidR="00A37CBB" w:rsidRDefault="00D21007">
      <w:pPr>
        <w:adjustRightInd w:val="0"/>
        <w:snapToGrid w:val="0"/>
        <w:spacing w:line="480" w:lineRule="exact"/>
        <w:ind w:firstLineChars="200" w:firstLine="560"/>
        <w:rPr>
          <w:rFonts w:ascii="仿宋_GB2312" w:hAnsi="仿宋_GB2312" w:cs="仿宋_GB2312"/>
          <w:color w:val="000000"/>
          <w:sz w:val="28"/>
          <w:szCs w:val="28"/>
        </w:rPr>
      </w:pPr>
      <w:r>
        <w:rPr>
          <w:rFonts w:ascii="仿宋_GB2312" w:hAnsi="宋体" w:hint="eastAsia"/>
          <w:sz w:val="28"/>
          <w:szCs w:val="28"/>
        </w:rPr>
        <w:lastRenderedPageBreak/>
        <w:t>（3）</w:t>
      </w:r>
      <w:r>
        <w:rPr>
          <w:rFonts w:ascii="仿宋_GB2312" w:hAnsi="仿宋_GB2312" w:cs="仿宋_GB2312" w:hint="eastAsia"/>
          <w:color w:val="000000"/>
          <w:sz w:val="28"/>
          <w:szCs w:val="28"/>
        </w:rPr>
        <w:t>装修情况：分为高档、中高档、中档、简单、毛坯装修五个等级，以估价对象为100，每上升或下降一个等级，指数向上或向下修正1。</w:t>
      </w:r>
    </w:p>
    <w:p w:rsidR="00A37CBB" w:rsidRDefault="00D21007">
      <w:pPr>
        <w:adjustRightInd w:val="0"/>
        <w:snapToGrid w:val="0"/>
        <w:spacing w:line="480" w:lineRule="exact"/>
        <w:ind w:firstLineChars="200" w:firstLine="560"/>
        <w:rPr>
          <w:rFonts w:ascii="仿宋_GB2312" w:hAnsi="仿宋_GB2312" w:cs="仿宋_GB2312"/>
          <w:color w:val="000000"/>
          <w:sz w:val="28"/>
          <w:szCs w:val="28"/>
        </w:rPr>
      </w:pPr>
      <w:r>
        <w:rPr>
          <w:rFonts w:ascii="仿宋_GB2312" w:hAnsi="宋体" w:hint="eastAsia"/>
          <w:sz w:val="28"/>
          <w:szCs w:val="28"/>
        </w:rPr>
        <w:t>（4）</w:t>
      </w:r>
      <w:r>
        <w:rPr>
          <w:rFonts w:ascii="仿宋_GB2312" w:hAnsi="仿宋_GB2312" w:cs="仿宋_GB2312" w:hint="eastAsia"/>
          <w:color w:val="000000"/>
          <w:sz w:val="28"/>
          <w:szCs w:val="28"/>
        </w:rPr>
        <w:t>新旧程度：以估价对象为100，每增加或减收单位成新度，指数向上或向下修正2。</w:t>
      </w:r>
    </w:p>
    <w:p w:rsidR="00A37CBB" w:rsidRDefault="00D21007">
      <w:pPr>
        <w:adjustRightInd w:val="0"/>
        <w:snapToGrid w:val="0"/>
        <w:spacing w:line="480" w:lineRule="exact"/>
        <w:ind w:firstLineChars="200" w:firstLine="560"/>
        <w:rPr>
          <w:rFonts w:ascii="仿宋_GB2312" w:hAnsi="仿宋_GB2312" w:cs="仿宋_GB2312"/>
          <w:color w:val="000000"/>
          <w:sz w:val="28"/>
          <w:szCs w:val="28"/>
        </w:rPr>
      </w:pPr>
      <w:r>
        <w:rPr>
          <w:rFonts w:ascii="仿宋_GB2312" w:hAnsi="宋体" w:hint="eastAsia"/>
          <w:sz w:val="28"/>
          <w:szCs w:val="28"/>
        </w:rPr>
        <w:t>（5）</w:t>
      </w:r>
      <w:r>
        <w:rPr>
          <w:rFonts w:ascii="仿宋_GB2312" w:hAnsi="仿宋_GB2312" w:cs="仿宋_GB2312" w:hint="eastAsia"/>
          <w:color w:val="000000"/>
          <w:sz w:val="28"/>
          <w:szCs w:val="28"/>
        </w:rPr>
        <w:t>朝向：分为南北、东南、东、西南、东西、西、西北、北八个等级，以估价对象为100，每上升或下降一个等级，指数向上或向下修正3。</w:t>
      </w:r>
    </w:p>
    <w:p w:rsidR="00A37CBB" w:rsidRDefault="00D21007">
      <w:pPr>
        <w:adjustRightInd w:val="0"/>
        <w:snapToGrid w:val="0"/>
        <w:spacing w:line="480" w:lineRule="exact"/>
        <w:ind w:firstLineChars="200" w:firstLine="560"/>
        <w:rPr>
          <w:rFonts w:ascii="仿宋_GB2312" w:hAnsi="仿宋_GB2312" w:cs="仿宋_GB2312"/>
          <w:color w:val="000000"/>
          <w:sz w:val="28"/>
          <w:szCs w:val="28"/>
        </w:rPr>
      </w:pPr>
      <w:r>
        <w:rPr>
          <w:rFonts w:ascii="仿宋_GB2312" w:hAnsi="宋体" w:hint="eastAsia"/>
          <w:sz w:val="28"/>
          <w:szCs w:val="28"/>
        </w:rPr>
        <w:t>（6）</w:t>
      </w:r>
      <w:r>
        <w:rPr>
          <w:rFonts w:ascii="仿宋_GB2312" w:hAnsi="仿宋_GB2312" w:cs="仿宋_GB2312" w:hint="eastAsia"/>
          <w:color w:val="000000"/>
          <w:sz w:val="28"/>
          <w:szCs w:val="28"/>
        </w:rPr>
        <w:t>层高：分为挑高、标准层高、低于标准层高三个等级以估价对象为100，每上升或下降一个等级，指数向上或向下修正1。</w:t>
      </w:r>
    </w:p>
    <w:p w:rsidR="00A37CBB" w:rsidRDefault="00D21007">
      <w:pPr>
        <w:adjustRightInd w:val="0"/>
        <w:snapToGrid w:val="0"/>
        <w:spacing w:line="480" w:lineRule="exact"/>
        <w:ind w:firstLineChars="200" w:firstLine="560"/>
        <w:rPr>
          <w:rFonts w:ascii="仿宋_GB2312" w:hAnsi="仿宋_GB2312" w:cs="仿宋_GB2312"/>
          <w:color w:val="000000"/>
          <w:sz w:val="28"/>
          <w:szCs w:val="28"/>
        </w:rPr>
      </w:pPr>
      <w:r>
        <w:rPr>
          <w:rFonts w:ascii="仿宋_GB2312" w:hAnsi="宋体" w:hint="eastAsia"/>
          <w:sz w:val="28"/>
          <w:szCs w:val="28"/>
        </w:rPr>
        <w:t>（7）</w:t>
      </w:r>
      <w:r>
        <w:rPr>
          <w:rFonts w:ascii="仿宋_GB2312" w:hAnsi="仿宋_GB2312" w:cs="仿宋_GB2312" w:hint="eastAsia"/>
          <w:color w:val="000000"/>
          <w:sz w:val="28"/>
          <w:szCs w:val="28"/>
        </w:rPr>
        <w:t>物业管理水平：分为优、良好、一般、较差、差五个等级，以估价对象为100，每上升或下降一个等级，指数向上或向下修正1。</w:t>
      </w:r>
    </w:p>
    <w:p w:rsidR="00A37CBB" w:rsidRDefault="00D21007">
      <w:pPr>
        <w:adjustRightInd w:val="0"/>
        <w:snapToGrid w:val="0"/>
        <w:spacing w:line="480" w:lineRule="exact"/>
        <w:ind w:firstLineChars="200" w:firstLine="562"/>
        <w:rPr>
          <w:rFonts w:ascii="仿宋_GB2312" w:hAnsi="宋体"/>
          <w:b/>
          <w:sz w:val="28"/>
          <w:szCs w:val="28"/>
        </w:rPr>
      </w:pPr>
      <w:r>
        <w:rPr>
          <w:rFonts w:ascii="仿宋_GB2312" w:hAnsi="宋体" w:hint="eastAsia"/>
          <w:b/>
          <w:sz w:val="28"/>
          <w:szCs w:val="28"/>
        </w:rPr>
        <w:t>4、计算比准价格</w:t>
      </w:r>
    </w:p>
    <w:p w:rsidR="00A37CBB" w:rsidRDefault="00D21007">
      <w:pPr>
        <w:spacing w:line="480" w:lineRule="exact"/>
        <w:jc w:val="center"/>
        <w:rPr>
          <w:rFonts w:ascii="仿宋_GB2312" w:hAnsi="宋体"/>
          <w:b/>
        </w:rPr>
      </w:pPr>
      <w:r>
        <w:rPr>
          <w:rFonts w:ascii="仿宋_GB2312" w:hAnsi="宋体" w:hint="eastAsia"/>
          <w:b/>
        </w:rPr>
        <w:t>比准价值测算表</w:t>
      </w:r>
    </w:p>
    <w:tbl>
      <w:tblPr>
        <w:tblW w:w="851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08"/>
        <w:gridCol w:w="878"/>
        <w:gridCol w:w="2028"/>
        <w:gridCol w:w="606"/>
        <w:gridCol w:w="401"/>
        <w:gridCol w:w="651"/>
        <w:gridCol w:w="605"/>
        <w:gridCol w:w="295"/>
        <w:gridCol w:w="740"/>
        <w:gridCol w:w="691"/>
        <w:gridCol w:w="321"/>
        <w:gridCol w:w="692"/>
      </w:tblGrid>
      <w:tr w:rsidR="00A37CBB">
        <w:trPr>
          <w:trHeight w:val="318"/>
          <w:jc w:val="center"/>
        </w:trPr>
        <w:tc>
          <w:tcPr>
            <w:tcW w:w="3514" w:type="dxa"/>
            <w:gridSpan w:val="3"/>
            <w:vMerge w:val="restart"/>
            <w:tcBorders>
              <w:tl2br w:val="single" w:sz="4" w:space="0" w:color="000000"/>
            </w:tcBorders>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可比实例</w:t>
            </w:r>
          </w:p>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比较因素</w:t>
            </w:r>
          </w:p>
        </w:tc>
        <w:tc>
          <w:tcPr>
            <w:tcW w:w="5002" w:type="dxa"/>
            <w:gridSpan w:val="9"/>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委估房屋价格修正</w:t>
            </w:r>
          </w:p>
        </w:tc>
      </w:tr>
      <w:tr w:rsidR="00A37CBB">
        <w:trPr>
          <w:trHeight w:val="318"/>
          <w:jc w:val="center"/>
        </w:trPr>
        <w:tc>
          <w:tcPr>
            <w:tcW w:w="3514" w:type="dxa"/>
            <w:gridSpan w:val="3"/>
            <w:vMerge/>
            <w:vAlign w:val="center"/>
          </w:tcPr>
          <w:p w:rsidR="00A37CBB" w:rsidRDefault="00A37CBB">
            <w:pPr>
              <w:widowControl/>
              <w:spacing w:line="280" w:lineRule="exact"/>
              <w:jc w:val="center"/>
              <w:rPr>
                <w:rFonts w:ascii="仿宋_GB2312" w:hAnsi="宋体" w:cs="宋体"/>
                <w:color w:val="000000"/>
                <w:kern w:val="0"/>
                <w:sz w:val="20"/>
              </w:rPr>
            </w:pPr>
          </w:p>
        </w:tc>
        <w:tc>
          <w:tcPr>
            <w:tcW w:w="1658" w:type="dxa"/>
            <w:gridSpan w:val="3"/>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实例A</w:t>
            </w:r>
          </w:p>
        </w:tc>
        <w:tc>
          <w:tcPr>
            <w:tcW w:w="1640" w:type="dxa"/>
            <w:gridSpan w:val="3"/>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实例B</w:t>
            </w:r>
          </w:p>
        </w:tc>
        <w:tc>
          <w:tcPr>
            <w:tcW w:w="1704" w:type="dxa"/>
            <w:gridSpan w:val="3"/>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实例C</w:t>
            </w:r>
          </w:p>
        </w:tc>
      </w:tr>
      <w:tr w:rsidR="00A37CBB">
        <w:trPr>
          <w:trHeight w:val="307"/>
          <w:jc w:val="center"/>
        </w:trPr>
        <w:tc>
          <w:tcPr>
            <w:tcW w:w="3514" w:type="dxa"/>
            <w:gridSpan w:val="3"/>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成交单价（元/</w:t>
            </w:r>
            <w:r>
              <w:rPr>
                <w:rFonts w:ascii="宋体" w:hAnsi="宋体" w:cs="宋体" w:hint="eastAsia"/>
                <w:color w:val="000000"/>
                <w:kern w:val="0"/>
                <w:sz w:val="20"/>
              </w:rPr>
              <w:t>㎡</w:t>
            </w:r>
            <w:r>
              <w:rPr>
                <w:rFonts w:ascii="仿宋_GB2312" w:hAnsi="仿宋_GB2312" w:cs="仿宋_GB2312" w:hint="eastAsia"/>
                <w:color w:val="000000"/>
                <w:kern w:val="0"/>
                <w:sz w:val="20"/>
              </w:rPr>
              <w:t>）</w:t>
            </w:r>
          </w:p>
        </w:tc>
        <w:tc>
          <w:tcPr>
            <w:tcW w:w="1658" w:type="dxa"/>
            <w:gridSpan w:val="3"/>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3,525</w:t>
            </w:r>
          </w:p>
        </w:tc>
        <w:tc>
          <w:tcPr>
            <w:tcW w:w="1640" w:type="dxa"/>
            <w:gridSpan w:val="3"/>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3,510</w:t>
            </w:r>
          </w:p>
        </w:tc>
        <w:tc>
          <w:tcPr>
            <w:tcW w:w="1704" w:type="dxa"/>
            <w:gridSpan w:val="3"/>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3,470</w:t>
            </w:r>
          </w:p>
        </w:tc>
      </w:tr>
      <w:tr w:rsidR="00A37CBB">
        <w:trPr>
          <w:trHeight w:val="318"/>
          <w:jc w:val="center"/>
        </w:trPr>
        <w:tc>
          <w:tcPr>
            <w:tcW w:w="3514" w:type="dxa"/>
            <w:gridSpan w:val="3"/>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交易情况</w:t>
            </w:r>
          </w:p>
        </w:tc>
        <w:tc>
          <w:tcPr>
            <w:tcW w:w="606"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40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5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0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29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740"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9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32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92"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r>
      <w:tr w:rsidR="00A37CBB">
        <w:trPr>
          <w:trHeight w:val="318"/>
          <w:jc w:val="center"/>
        </w:trPr>
        <w:tc>
          <w:tcPr>
            <w:tcW w:w="3514" w:type="dxa"/>
            <w:gridSpan w:val="3"/>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交易期日</w:t>
            </w:r>
          </w:p>
        </w:tc>
        <w:tc>
          <w:tcPr>
            <w:tcW w:w="606"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40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5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0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29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740"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9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32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92"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r>
      <w:tr w:rsidR="00A37CBB">
        <w:trPr>
          <w:trHeight w:val="360"/>
          <w:jc w:val="center"/>
        </w:trPr>
        <w:tc>
          <w:tcPr>
            <w:tcW w:w="608" w:type="dxa"/>
            <w:vMerge w:val="restart"/>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房地产状况调整</w:t>
            </w:r>
          </w:p>
        </w:tc>
        <w:tc>
          <w:tcPr>
            <w:tcW w:w="878" w:type="dxa"/>
            <w:vMerge w:val="restart"/>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权益状况调整</w:t>
            </w:r>
          </w:p>
        </w:tc>
        <w:tc>
          <w:tcPr>
            <w:tcW w:w="2028"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房屋用途</w:t>
            </w:r>
          </w:p>
        </w:tc>
        <w:tc>
          <w:tcPr>
            <w:tcW w:w="606"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40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5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0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29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740"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9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32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92"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r>
      <w:tr w:rsidR="00A37CBB">
        <w:trPr>
          <w:trHeight w:val="344"/>
          <w:jc w:val="center"/>
        </w:trPr>
        <w:tc>
          <w:tcPr>
            <w:tcW w:w="60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87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2028"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他项权利</w:t>
            </w:r>
          </w:p>
        </w:tc>
        <w:tc>
          <w:tcPr>
            <w:tcW w:w="606"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40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5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0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29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740"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9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32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92"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r>
      <w:tr w:rsidR="00A37CBB">
        <w:trPr>
          <w:trHeight w:val="360"/>
          <w:jc w:val="center"/>
        </w:trPr>
        <w:tc>
          <w:tcPr>
            <w:tcW w:w="60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878" w:type="dxa"/>
            <w:vMerge w:val="restart"/>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区位状况调整</w:t>
            </w:r>
          </w:p>
        </w:tc>
        <w:tc>
          <w:tcPr>
            <w:tcW w:w="2028"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位置优劣度</w:t>
            </w:r>
          </w:p>
        </w:tc>
        <w:tc>
          <w:tcPr>
            <w:tcW w:w="606"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40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5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0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29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740"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9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32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92"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r>
      <w:tr w:rsidR="00A37CBB">
        <w:trPr>
          <w:trHeight w:val="360"/>
          <w:jc w:val="center"/>
        </w:trPr>
        <w:tc>
          <w:tcPr>
            <w:tcW w:w="60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87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2028"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居住氛围</w:t>
            </w:r>
          </w:p>
        </w:tc>
        <w:tc>
          <w:tcPr>
            <w:tcW w:w="606"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40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5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0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29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740"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9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32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92"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r>
      <w:tr w:rsidR="00A37CBB">
        <w:trPr>
          <w:trHeight w:val="360"/>
          <w:jc w:val="center"/>
        </w:trPr>
        <w:tc>
          <w:tcPr>
            <w:tcW w:w="60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87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2028"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环境质量</w:t>
            </w:r>
          </w:p>
        </w:tc>
        <w:tc>
          <w:tcPr>
            <w:tcW w:w="606"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40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5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0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29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740"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9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32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92"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r>
      <w:tr w:rsidR="00A37CBB">
        <w:trPr>
          <w:trHeight w:val="360"/>
          <w:jc w:val="center"/>
        </w:trPr>
        <w:tc>
          <w:tcPr>
            <w:tcW w:w="60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87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2028"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交通便捷度</w:t>
            </w:r>
          </w:p>
        </w:tc>
        <w:tc>
          <w:tcPr>
            <w:tcW w:w="606"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40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5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0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29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740"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9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32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92"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r>
      <w:tr w:rsidR="00A37CBB">
        <w:trPr>
          <w:trHeight w:val="424"/>
          <w:jc w:val="center"/>
        </w:trPr>
        <w:tc>
          <w:tcPr>
            <w:tcW w:w="60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87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2028"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外部配套设施完善度</w:t>
            </w:r>
          </w:p>
        </w:tc>
        <w:tc>
          <w:tcPr>
            <w:tcW w:w="606"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40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5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0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29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740"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9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32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92"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r>
      <w:tr w:rsidR="00A37CBB">
        <w:trPr>
          <w:trHeight w:val="360"/>
          <w:jc w:val="center"/>
        </w:trPr>
        <w:tc>
          <w:tcPr>
            <w:tcW w:w="60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87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2028"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学区</w:t>
            </w:r>
          </w:p>
        </w:tc>
        <w:tc>
          <w:tcPr>
            <w:tcW w:w="606"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40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5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0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29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740"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9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32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92"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r>
      <w:tr w:rsidR="00A37CBB">
        <w:trPr>
          <w:trHeight w:val="360"/>
          <w:jc w:val="center"/>
        </w:trPr>
        <w:tc>
          <w:tcPr>
            <w:tcW w:w="60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87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2028"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景观</w:t>
            </w:r>
          </w:p>
        </w:tc>
        <w:tc>
          <w:tcPr>
            <w:tcW w:w="606"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40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5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0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29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740"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9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32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92"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r>
      <w:tr w:rsidR="00A37CBB">
        <w:trPr>
          <w:trHeight w:val="360"/>
          <w:jc w:val="center"/>
        </w:trPr>
        <w:tc>
          <w:tcPr>
            <w:tcW w:w="60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87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2028"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所在楼层</w:t>
            </w:r>
          </w:p>
        </w:tc>
        <w:tc>
          <w:tcPr>
            <w:tcW w:w="606"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40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5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0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29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740"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9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32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92"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r>
      <w:tr w:rsidR="00A37CBB">
        <w:trPr>
          <w:trHeight w:val="360"/>
          <w:jc w:val="center"/>
        </w:trPr>
        <w:tc>
          <w:tcPr>
            <w:tcW w:w="60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878" w:type="dxa"/>
            <w:vMerge w:val="restart"/>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实物状况调整</w:t>
            </w:r>
          </w:p>
        </w:tc>
        <w:tc>
          <w:tcPr>
            <w:tcW w:w="2028"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建筑结构</w:t>
            </w:r>
          </w:p>
        </w:tc>
        <w:tc>
          <w:tcPr>
            <w:tcW w:w="606"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40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5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0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29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740"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9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32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92"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r>
      <w:tr w:rsidR="00A37CBB">
        <w:trPr>
          <w:trHeight w:val="360"/>
          <w:jc w:val="center"/>
        </w:trPr>
        <w:tc>
          <w:tcPr>
            <w:tcW w:w="60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87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2028"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规模（建筑面积）</w:t>
            </w:r>
          </w:p>
        </w:tc>
        <w:tc>
          <w:tcPr>
            <w:tcW w:w="606"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40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5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0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29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740"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9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32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92"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r>
      <w:tr w:rsidR="00A37CBB">
        <w:trPr>
          <w:trHeight w:val="360"/>
          <w:jc w:val="center"/>
        </w:trPr>
        <w:tc>
          <w:tcPr>
            <w:tcW w:w="60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87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2028"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装修情况</w:t>
            </w:r>
          </w:p>
        </w:tc>
        <w:tc>
          <w:tcPr>
            <w:tcW w:w="606"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40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5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0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29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740"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9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32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92"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r>
      <w:tr w:rsidR="00A37CBB">
        <w:trPr>
          <w:trHeight w:val="360"/>
          <w:jc w:val="center"/>
        </w:trPr>
        <w:tc>
          <w:tcPr>
            <w:tcW w:w="60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87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2028"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新旧程度</w:t>
            </w:r>
          </w:p>
        </w:tc>
        <w:tc>
          <w:tcPr>
            <w:tcW w:w="606"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40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5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0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29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740"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9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32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92"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r>
      <w:tr w:rsidR="00A37CBB">
        <w:trPr>
          <w:trHeight w:val="360"/>
          <w:jc w:val="center"/>
        </w:trPr>
        <w:tc>
          <w:tcPr>
            <w:tcW w:w="60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87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2028"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朝向</w:t>
            </w:r>
          </w:p>
        </w:tc>
        <w:tc>
          <w:tcPr>
            <w:tcW w:w="606"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40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5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0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29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740"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9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32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92"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r>
      <w:tr w:rsidR="00A37CBB">
        <w:trPr>
          <w:trHeight w:val="360"/>
          <w:jc w:val="center"/>
        </w:trPr>
        <w:tc>
          <w:tcPr>
            <w:tcW w:w="60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87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2028"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层高</w:t>
            </w:r>
          </w:p>
        </w:tc>
        <w:tc>
          <w:tcPr>
            <w:tcW w:w="606"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40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5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0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29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740"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9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32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92"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r>
      <w:tr w:rsidR="00A37CBB">
        <w:trPr>
          <w:trHeight w:val="360"/>
          <w:jc w:val="center"/>
        </w:trPr>
        <w:tc>
          <w:tcPr>
            <w:tcW w:w="60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878" w:type="dxa"/>
            <w:vMerge/>
            <w:vAlign w:val="center"/>
          </w:tcPr>
          <w:p w:rsidR="00A37CBB" w:rsidRDefault="00A37CBB">
            <w:pPr>
              <w:widowControl/>
              <w:spacing w:line="280" w:lineRule="exact"/>
              <w:jc w:val="center"/>
              <w:rPr>
                <w:rFonts w:ascii="仿宋_GB2312" w:hAnsi="宋体" w:cs="宋体"/>
                <w:color w:val="000000"/>
                <w:kern w:val="0"/>
                <w:sz w:val="20"/>
              </w:rPr>
            </w:pPr>
          </w:p>
        </w:tc>
        <w:tc>
          <w:tcPr>
            <w:tcW w:w="2028" w:type="dxa"/>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物业管理</w:t>
            </w:r>
          </w:p>
        </w:tc>
        <w:tc>
          <w:tcPr>
            <w:tcW w:w="606"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40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5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0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295"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740"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69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c>
          <w:tcPr>
            <w:tcW w:w="321"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w:t>
            </w:r>
          </w:p>
        </w:tc>
        <w:tc>
          <w:tcPr>
            <w:tcW w:w="692" w:type="dxa"/>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100</w:t>
            </w:r>
          </w:p>
        </w:tc>
      </w:tr>
      <w:tr w:rsidR="00A37CBB">
        <w:trPr>
          <w:trHeight w:val="318"/>
          <w:jc w:val="center"/>
        </w:trPr>
        <w:tc>
          <w:tcPr>
            <w:tcW w:w="3514" w:type="dxa"/>
            <w:gridSpan w:val="3"/>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比准修正系数</w:t>
            </w:r>
          </w:p>
        </w:tc>
        <w:tc>
          <w:tcPr>
            <w:tcW w:w="1658" w:type="dxa"/>
            <w:gridSpan w:val="3"/>
            <w:vAlign w:val="bottom"/>
          </w:tcPr>
          <w:p w:rsidR="00A37CBB" w:rsidRDefault="00D21007">
            <w:pPr>
              <w:widowControl/>
              <w:jc w:val="center"/>
              <w:textAlignment w:val="bottom"/>
              <w:rPr>
                <w:rFonts w:ascii="仿宋_GB2312" w:hAnsi="宋体" w:cs="宋体"/>
                <w:color w:val="000000"/>
                <w:kern w:val="0"/>
                <w:sz w:val="20"/>
                <w:szCs w:val="22"/>
              </w:rPr>
            </w:pPr>
            <w:r>
              <w:rPr>
                <w:rFonts w:ascii="仿宋_GB2312" w:hAnsi="宋体" w:cs="仿宋_GB2312"/>
                <w:color w:val="000000"/>
                <w:kern w:val="0"/>
                <w:sz w:val="20"/>
                <w:lang/>
              </w:rPr>
              <w:t>1.00</w:t>
            </w:r>
          </w:p>
        </w:tc>
        <w:tc>
          <w:tcPr>
            <w:tcW w:w="1640" w:type="dxa"/>
            <w:gridSpan w:val="3"/>
            <w:vAlign w:val="bottom"/>
          </w:tcPr>
          <w:p w:rsidR="00A37CBB" w:rsidRDefault="00D21007">
            <w:pPr>
              <w:widowControl/>
              <w:jc w:val="center"/>
              <w:textAlignment w:val="bottom"/>
              <w:rPr>
                <w:rFonts w:ascii="仿宋_GB2312" w:hAnsi="宋体" w:cs="宋体"/>
                <w:color w:val="000000"/>
                <w:kern w:val="0"/>
                <w:sz w:val="20"/>
                <w:szCs w:val="22"/>
              </w:rPr>
            </w:pPr>
            <w:r>
              <w:rPr>
                <w:rFonts w:ascii="仿宋_GB2312" w:hAnsi="宋体" w:cs="仿宋_GB2312"/>
                <w:color w:val="000000"/>
                <w:kern w:val="0"/>
                <w:sz w:val="20"/>
                <w:lang/>
              </w:rPr>
              <w:t>1.00</w:t>
            </w:r>
          </w:p>
        </w:tc>
        <w:tc>
          <w:tcPr>
            <w:tcW w:w="1704" w:type="dxa"/>
            <w:gridSpan w:val="3"/>
            <w:vAlign w:val="bottom"/>
          </w:tcPr>
          <w:p w:rsidR="00A37CBB" w:rsidRDefault="00D21007">
            <w:pPr>
              <w:widowControl/>
              <w:jc w:val="center"/>
              <w:textAlignment w:val="bottom"/>
              <w:rPr>
                <w:rFonts w:ascii="仿宋_GB2312" w:hAnsi="宋体" w:cs="宋体"/>
                <w:color w:val="000000"/>
                <w:kern w:val="0"/>
                <w:sz w:val="20"/>
                <w:szCs w:val="22"/>
              </w:rPr>
            </w:pPr>
            <w:r>
              <w:rPr>
                <w:rFonts w:ascii="仿宋_GB2312" w:hAnsi="宋体" w:cs="仿宋_GB2312"/>
                <w:color w:val="000000"/>
                <w:kern w:val="0"/>
                <w:sz w:val="20"/>
                <w:lang/>
              </w:rPr>
              <w:t>1.00</w:t>
            </w:r>
          </w:p>
        </w:tc>
      </w:tr>
      <w:tr w:rsidR="00A37CBB">
        <w:trPr>
          <w:trHeight w:val="318"/>
          <w:jc w:val="center"/>
        </w:trPr>
        <w:tc>
          <w:tcPr>
            <w:tcW w:w="3514" w:type="dxa"/>
            <w:gridSpan w:val="3"/>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修正后单价（元/㎡）</w:t>
            </w:r>
          </w:p>
        </w:tc>
        <w:tc>
          <w:tcPr>
            <w:tcW w:w="1658" w:type="dxa"/>
            <w:gridSpan w:val="3"/>
            <w:vAlign w:val="bottom"/>
          </w:tcPr>
          <w:p w:rsidR="00A37CBB" w:rsidRDefault="00D21007">
            <w:pPr>
              <w:widowControl/>
              <w:jc w:val="center"/>
              <w:textAlignment w:val="bottom"/>
              <w:rPr>
                <w:rFonts w:ascii="仿宋_GB2312" w:hAnsi="宋体" w:cs="宋体"/>
                <w:color w:val="000000"/>
                <w:kern w:val="0"/>
                <w:sz w:val="20"/>
                <w:szCs w:val="22"/>
              </w:rPr>
            </w:pPr>
            <w:r>
              <w:rPr>
                <w:rFonts w:ascii="仿宋_GB2312" w:hAnsi="宋体" w:cs="仿宋_GB2312" w:hint="eastAsia"/>
                <w:color w:val="000000"/>
                <w:kern w:val="0"/>
                <w:sz w:val="20"/>
                <w:lang/>
              </w:rPr>
              <w:t>3,525</w:t>
            </w:r>
          </w:p>
        </w:tc>
        <w:tc>
          <w:tcPr>
            <w:tcW w:w="1640" w:type="dxa"/>
            <w:gridSpan w:val="3"/>
            <w:vAlign w:val="bottom"/>
          </w:tcPr>
          <w:p w:rsidR="00A37CBB" w:rsidRDefault="00D21007">
            <w:pPr>
              <w:widowControl/>
              <w:jc w:val="center"/>
              <w:textAlignment w:val="bottom"/>
              <w:rPr>
                <w:rFonts w:ascii="仿宋_GB2312" w:hAnsi="宋体" w:cs="宋体"/>
                <w:color w:val="000000"/>
                <w:kern w:val="0"/>
                <w:sz w:val="20"/>
                <w:szCs w:val="22"/>
              </w:rPr>
            </w:pPr>
            <w:r>
              <w:rPr>
                <w:rFonts w:ascii="仿宋_GB2312" w:hAnsi="宋体" w:cs="仿宋_GB2312" w:hint="eastAsia"/>
                <w:color w:val="000000"/>
                <w:kern w:val="0"/>
                <w:sz w:val="20"/>
                <w:lang/>
              </w:rPr>
              <w:t>3,510</w:t>
            </w:r>
          </w:p>
        </w:tc>
        <w:tc>
          <w:tcPr>
            <w:tcW w:w="1704" w:type="dxa"/>
            <w:gridSpan w:val="3"/>
            <w:vAlign w:val="bottom"/>
          </w:tcPr>
          <w:p w:rsidR="00A37CBB" w:rsidRDefault="00D21007">
            <w:pPr>
              <w:widowControl/>
              <w:jc w:val="center"/>
              <w:textAlignment w:val="bottom"/>
              <w:rPr>
                <w:rFonts w:ascii="仿宋_GB2312" w:hAnsi="宋体" w:cs="宋体"/>
                <w:color w:val="000000"/>
                <w:kern w:val="0"/>
                <w:sz w:val="20"/>
                <w:szCs w:val="22"/>
              </w:rPr>
            </w:pPr>
            <w:r>
              <w:rPr>
                <w:rFonts w:ascii="仿宋_GB2312" w:hAnsi="宋体" w:cs="仿宋_GB2312" w:hint="eastAsia"/>
                <w:color w:val="000000"/>
                <w:kern w:val="0"/>
                <w:sz w:val="20"/>
                <w:lang/>
              </w:rPr>
              <w:t>3,470</w:t>
            </w:r>
          </w:p>
        </w:tc>
      </w:tr>
      <w:tr w:rsidR="00A37CBB">
        <w:trPr>
          <w:trHeight w:val="318"/>
          <w:jc w:val="center"/>
        </w:trPr>
        <w:tc>
          <w:tcPr>
            <w:tcW w:w="3514" w:type="dxa"/>
            <w:gridSpan w:val="3"/>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比较实例权重</w:t>
            </w:r>
          </w:p>
        </w:tc>
        <w:tc>
          <w:tcPr>
            <w:tcW w:w="1658" w:type="dxa"/>
            <w:gridSpan w:val="3"/>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1/3</w:t>
            </w:r>
          </w:p>
        </w:tc>
        <w:tc>
          <w:tcPr>
            <w:tcW w:w="1640" w:type="dxa"/>
            <w:gridSpan w:val="3"/>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1/3</w:t>
            </w:r>
          </w:p>
        </w:tc>
        <w:tc>
          <w:tcPr>
            <w:tcW w:w="1704" w:type="dxa"/>
            <w:gridSpan w:val="3"/>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1/3</w:t>
            </w:r>
          </w:p>
        </w:tc>
      </w:tr>
      <w:tr w:rsidR="00A37CBB">
        <w:trPr>
          <w:trHeight w:val="349"/>
          <w:jc w:val="center"/>
        </w:trPr>
        <w:tc>
          <w:tcPr>
            <w:tcW w:w="3514" w:type="dxa"/>
            <w:gridSpan w:val="3"/>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比准价格（元/</w:t>
            </w:r>
            <w:r>
              <w:rPr>
                <w:rFonts w:ascii="宋体" w:hAnsi="宋体" w:cs="宋体" w:hint="eastAsia"/>
                <w:color w:val="000000"/>
                <w:kern w:val="0"/>
                <w:sz w:val="20"/>
              </w:rPr>
              <w:t>㎡</w:t>
            </w:r>
            <w:r>
              <w:rPr>
                <w:rFonts w:ascii="仿宋_GB2312" w:hAnsi="仿宋_GB2312" w:cs="仿宋_GB2312" w:hint="eastAsia"/>
                <w:color w:val="000000"/>
                <w:kern w:val="0"/>
                <w:sz w:val="20"/>
              </w:rPr>
              <w:t>）</w:t>
            </w:r>
          </w:p>
        </w:tc>
        <w:tc>
          <w:tcPr>
            <w:tcW w:w="5002" w:type="dxa"/>
            <w:gridSpan w:val="9"/>
            <w:vAlign w:val="bottom"/>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3,502</w:t>
            </w:r>
            <w:bookmarkStart w:id="77" w:name="_GoBack"/>
            <w:bookmarkEnd w:id="77"/>
          </w:p>
        </w:tc>
      </w:tr>
      <w:tr w:rsidR="00A37CBB">
        <w:trPr>
          <w:trHeight w:val="318"/>
          <w:jc w:val="center"/>
        </w:trPr>
        <w:tc>
          <w:tcPr>
            <w:tcW w:w="3514" w:type="dxa"/>
            <w:gridSpan w:val="3"/>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建筑面积（</w:t>
            </w:r>
            <w:r>
              <w:rPr>
                <w:rFonts w:ascii="宋体" w:hAnsi="宋体" w:cs="宋体" w:hint="eastAsia"/>
                <w:color w:val="000000"/>
                <w:kern w:val="0"/>
                <w:sz w:val="20"/>
              </w:rPr>
              <w:t>㎡</w:t>
            </w:r>
            <w:r>
              <w:rPr>
                <w:rFonts w:ascii="仿宋_GB2312" w:hAnsi="宋体" w:cs="宋体" w:hint="eastAsia"/>
                <w:color w:val="000000"/>
                <w:kern w:val="0"/>
                <w:sz w:val="20"/>
              </w:rPr>
              <w:t>）</w:t>
            </w:r>
          </w:p>
        </w:tc>
        <w:tc>
          <w:tcPr>
            <w:tcW w:w="5002" w:type="dxa"/>
            <w:gridSpan w:val="9"/>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color w:val="000000"/>
                <w:kern w:val="0"/>
                <w:sz w:val="20"/>
                <w:szCs w:val="22"/>
              </w:rPr>
              <w:t>158.14</w:t>
            </w:r>
          </w:p>
        </w:tc>
      </w:tr>
      <w:tr w:rsidR="00A37CBB">
        <w:trPr>
          <w:trHeight w:val="318"/>
          <w:jc w:val="center"/>
        </w:trPr>
        <w:tc>
          <w:tcPr>
            <w:tcW w:w="3514" w:type="dxa"/>
            <w:gridSpan w:val="3"/>
            <w:vAlign w:val="center"/>
          </w:tcPr>
          <w:p w:rsidR="00A37CBB" w:rsidRDefault="00D21007">
            <w:pPr>
              <w:widowControl/>
              <w:spacing w:line="280" w:lineRule="exact"/>
              <w:jc w:val="center"/>
              <w:rPr>
                <w:rFonts w:ascii="仿宋_GB2312" w:hAnsi="宋体" w:cs="宋体"/>
                <w:color w:val="000000"/>
                <w:kern w:val="0"/>
                <w:sz w:val="20"/>
              </w:rPr>
            </w:pPr>
            <w:r>
              <w:rPr>
                <w:rFonts w:ascii="仿宋_GB2312" w:hAnsi="宋体" w:cs="宋体" w:hint="eastAsia"/>
                <w:color w:val="000000"/>
                <w:kern w:val="0"/>
                <w:sz w:val="20"/>
              </w:rPr>
              <w:t>评估价值（万元）</w:t>
            </w:r>
          </w:p>
        </w:tc>
        <w:tc>
          <w:tcPr>
            <w:tcW w:w="5002" w:type="dxa"/>
            <w:gridSpan w:val="9"/>
            <w:vAlign w:val="center"/>
          </w:tcPr>
          <w:p w:rsidR="00A37CBB" w:rsidRDefault="00D21007">
            <w:pPr>
              <w:widowControl/>
              <w:spacing w:line="280" w:lineRule="exact"/>
              <w:jc w:val="center"/>
              <w:rPr>
                <w:rFonts w:ascii="仿宋_GB2312" w:hAnsi="宋体" w:cs="宋体"/>
                <w:color w:val="000000"/>
                <w:kern w:val="0"/>
                <w:sz w:val="20"/>
                <w:szCs w:val="22"/>
              </w:rPr>
            </w:pPr>
            <w:r>
              <w:rPr>
                <w:rFonts w:ascii="仿宋_GB2312" w:hAnsi="宋体" w:cs="宋体" w:hint="eastAsia"/>
                <w:color w:val="000000"/>
                <w:kern w:val="0"/>
                <w:sz w:val="20"/>
                <w:szCs w:val="22"/>
              </w:rPr>
              <w:t xml:space="preserve">55.38 </w:t>
            </w:r>
          </w:p>
        </w:tc>
      </w:tr>
    </w:tbl>
    <w:p w:rsidR="00A37CBB" w:rsidRDefault="00D21007">
      <w:pPr>
        <w:pStyle w:val="a0"/>
        <w:spacing w:line="480" w:lineRule="exact"/>
        <w:ind w:firstLine="0"/>
        <w:outlineLvl w:val="2"/>
        <w:rPr>
          <w:rFonts w:ascii="仿宋_GB2312" w:hAnsi="宋体"/>
          <w:szCs w:val="28"/>
        </w:rPr>
      </w:pPr>
      <w:r>
        <w:rPr>
          <w:rFonts w:eastAsia="仿宋_GB2312" w:hint="eastAsia"/>
          <w:b/>
          <w:bCs/>
          <w:szCs w:val="22"/>
        </w:rPr>
        <w:t>七、估价结果</w:t>
      </w:r>
    </w:p>
    <w:p w:rsidR="00A37CBB" w:rsidRDefault="00D21007">
      <w:pPr>
        <w:spacing w:line="480" w:lineRule="exact"/>
        <w:ind w:firstLine="555"/>
      </w:pPr>
      <w:r>
        <w:rPr>
          <w:noProof/>
        </w:rPr>
        <w:drawing>
          <wp:anchor distT="0" distB="0" distL="0" distR="0" simplePos="0" relativeHeight="251665408" behindDoc="1" locked="0" layoutInCell="1" allowOverlap="1">
            <wp:simplePos x="0" y="0"/>
            <wp:positionH relativeFrom="page">
              <wp:posOffset>3316605</wp:posOffset>
            </wp:positionH>
            <wp:positionV relativeFrom="paragraph">
              <wp:posOffset>413385</wp:posOffset>
            </wp:positionV>
            <wp:extent cx="1699260" cy="1671955"/>
            <wp:effectExtent l="0" t="0" r="15240" b="4445"/>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pic:cNvPicPr>
                      <a:picLocks noChangeAspect="1"/>
                    </pic:cNvPicPr>
                  </pic:nvPicPr>
                  <pic:blipFill>
                    <a:blip r:embed="rId15" cstate="print"/>
                    <a:stretch>
                      <a:fillRect/>
                    </a:stretch>
                  </pic:blipFill>
                  <pic:spPr>
                    <a:xfrm>
                      <a:off x="0" y="0"/>
                      <a:ext cx="1699260" cy="1671955"/>
                    </a:xfrm>
                    <a:prstGeom prst="rect">
                      <a:avLst/>
                    </a:prstGeom>
                  </pic:spPr>
                </pic:pic>
              </a:graphicData>
            </a:graphic>
          </wp:anchor>
        </w:drawing>
      </w:r>
      <w:r>
        <w:rPr>
          <w:rFonts w:ascii="仿宋_GB2312" w:hAnsi="宋体" w:hint="eastAsia"/>
          <w:sz w:val="28"/>
          <w:szCs w:val="28"/>
        </w:rPr>
        <w:t>估价人员根据估价目的，遵循估价原则，根据市场调查，在认真分析所掌握资料与影响估价对象价值诸因素的基础上，结合估价对象的个别因素和使用现状，采用科学的估价方法进行分析、测算和判断，最终确定估价对象于价值时点</w:t>
      </w:r>
      <w:r>
        <w:rPr>
          <w:rFonts w:ascii="仿宋" w:eastAsia="仿宋" w:hAnsi="仿宋" w:hint="eastAsia"/>
          <w:sz w:val="28"/>
        </w:rPr>
        <w:t>2021年05月07日的房地产市场价值</w:t>
      </w:r>
      <w:r>
        <w:rPr>
          <w:rFonts w:ascii="仿宋" w:eastAsia="仿宋" w:hAnsi="仿宋"/>
          <w:sz w:val="28"/>
        </w:rPr>
        <w:t>为</w:t>
      </w:r>
      <w:r>
        <w:rPr>
          <w:rFonts w:ascii="仿宋" w:eastAsia="仿宋" w:hAnsi="仿宋" w:hint="eastAsia"/>
          <w:b/>
          <w:bCs/>
          <w:sz w:val="28"/>
          <w:szCs w:val="22"/>
        </w:rPr>
        <w:t>¥55.38</w:t>
      </w:r>
      <w:r>
        <w:rPr>
          <w:rFonts w:ascii="仿宋" w:eastAsia="仿宋" w:hAnsi="仿宋" w:hint="eastAsia"/>
          <w:b/>
          <w:bCs/>
          <w:sz w:val="28"/>
        </w:rPr>
        <w:t>万元</w:t>
      </w:r>
      <w:r>
        <w:rPr>
          <w:rFonts w:ascii="仿宋" w:eastAsia="仿宋" w:hAnsi="仿宋"/>
          <w:sz w:val="28"/>
        </w:rPr>
        <w:t>，大写人民币</w:t>
      </w:r>
      <w:r>
        <w:rPr>
          <w:rFonts w:ascii="仿宋" w:eastAsia="仿宋" w:hAnsi="仿宋" w:hint="eastAsia"/>
          <w:sz w:val="28"/>
        </w:rPr>
        <w:t>：</w:t>
      </w:r>
      <w:r>
        <w:rPr>
          <w:rFonts w:ascii="仿宋" w:eastAsia="仿宋" w:hAnsi="仿宋" w:hint="eastAsia"/>
          <w:b/>
          <w:bCs/>
          <w:sz w:val="28"/>
          <w:szCs w:val="22"/>
        </w:rPr>
        <w:t>伍拾伍万叁仟捌佰</w:t>
      </w:r>
      <w:r>
        <w:rPr>
          <w:rFonts w:ascii="仿宋" w:eastAsia="仿宋" w:hAnsi="仿宋" w:hint="eastAsia"/>
          <w:sz w:val="28"/>
        </w:rPr>
        <w:t>元整</w:t>
      </w:r>
      <w:r>
        <w:rPr>
          <w:rFonts w:ascii="仿宋" w:eastAsia="仿宋" w:hAnsi="仿宋" w:hint="eastAsia"/>
          <w:sz w:val="28"/>
          <w:szCs w:val="28"/>
        </w:rPr>
        <w:t>。</w:t>
      </w:r>
    </w:p>
    <w:p w:rsidR="00A37CBB" w:rsidRDefault="00A37CBB"/>
    <w:p w:rsidR="00A37CBB" w:rsidRDefault="00A37CBB"/>
    <w:p w:rsidR="00A37CBB" w:rsidRDefault="00A37CBB">
      <w:pPr>
        <w:pStyle w:val="1"/>
      </w:pPr>
    </w:p>
    <w:p w:rsidR="00A37CBB" w:rsidRDefault="00A37CBB"/>
    <w:p w:rsidR="00A37CBB" w:rsidRDefault="00A37CBB"/>
    <w:p w:rsidR="00A37CBB" w:rsidRDefault="00A37CBB"/>
    <w:p w:rsidR="00A37CBB" w:rsidRDefault="00A37CBB"/>
    <w:p w:rsidR="00A37CBB" w:rsidRDefault="00A37CBB"/>
    <w:p w:rsidR="00A37CBB" w:rsidRDefault="00A37CBB"/>
    <w:p w:rsidR="00A37CBB" w:rsidRDefault="00A37CBB"/>
    <w:p w:rsidR="00A37CBB" w:rsidRDefault="00A37CBB"/>
    <w:p w:rsidR="00A37CBB" w:rsidRDefault="00A37CBB"/>
    <w:p w:rsidR="00A37CBB" w:rsidRDefault="00A37CBB"/>
    <w:p w:rsidR="00A37CBB" w:rsidRDefault="00D21007">
      <w:pPr>
        <w:pStyle w:val="1"/>
        <w:rPr>
          <w:rFonts w:ascii="仿宋" w:eastAsia="仿宋" w:hAnsi="仿宋" w:cs="仿宋"/>
        </w:rPr>
      </w:pPr>
      <w:r>
        <w:rPr>
          <w:rFonts w:ascii="仿宋" w:eastAsia="仿宋" w:hAnsi="仿宋" w:cs="仿宋" w:hint="eastAsia"/>
        </w:rPr>
        <w:lastRenderedPageBreak/>
        <w:t>附件</w:t>
      </w:r>
    </w:p>
    <w:p w:rsidR="00A37CBB" w:rsidRDefault="00D21007">
      <w:pPr>
        <w:ind w:leftChars="232" w:left="557" w:firstLineChars="350" w:firstLine="980"/>
        <w:rPr>
          <w:rFonts w:ascii="仿宋" w:eastAsia="仿宋" w:hAnsi="仿宋"/>
          <w:sz w:val="28"/>
          <w:szCs w:val="28"/>
        </w:rPr>
      </w:pPr>
      <w:r>
        <w:rPr>
          <w:rFonts w:ascii="仿宋" w:eastAsia="仿宋" w:hAnsi="仿宋"/>
          <w:sz w:val="28"/>
          <w:szCs w:val="28"/>
        </w:rPr>
        <w:t>1. 估价对象位置图</w:t>
      </w:r>
    </w:p>
    <w:p w:rsidR="00A37CBB" w:rsidRDefault="00D21007">
      <w:pPr>
        <w:ind w:leftChars="232" w:left="557" w:firstLineChars="350" w:firstLine="980"/>
        <w:rPr>
          <w:rFonts w:ascii="仿宋" w:eastAsia="仿宋" w:hAnsi="仿宋"/>
          <w:sz w:val="28"/>
          <w:szCs w:val="28"/>
        </w:rPr>
      </w:pPr>
      <w:r>
        <w:rPr>
          <w:rFonts w:ascii="仿宋" w:eastAsia="仿宋" w:hAnsi="仿宋" w:hint="eastAsia"/>
          <w:sz w:val="28"/>
          <w:szCs w:val="28"/>
        </w:rPr>
        <w:t xml:space="preserve">2. </w:t>
      </w:r>
      <w:r>
        <w:rPr>
          <w:rFonts w:ascii="仿宋" w:eastAsia="仿宋" w:hAnsi="仿宋"/>
          <w:sz w:val="28"/>
          <w:szCs w:val="28"/>
        </w:rPr>
        <w:t>估价对象</w:t>
      </w:r>
      <w:r>
        <w:rPr>
          <w:rFonts w:ascii="仿宋" w:eastAsia="仿宋" w:hAnsi="仿宋" w:hint="eastAsia"/>
          <w:sz w:val="28"/>
          <w:szCs w:val="28"/>
        </w:rPr>
        <w:t>现状</w:t>
      </w:r>
      <w:r>
        <w:rPr>
          <w:rFonts w:ascii="仿宋" w:eastAsia="仿宋" w:hAnsi="仿宋"/>
          <w:sz w:val="28"/>
          <w:szCs w:val="28"/>
        </w:rPr>
        <w:t>照片</w:t>
      </w:r>
    </w:p>
    <w:p w:rsidR="00A37CBB" w:rsidRDefault="00D21007">
      <w:pPr>
        <w:ind w:leftChars="580" w:left="1392" w:firstLineChars="50" w:firstLine="140"/>
        <w:rPr>
          <w:rFonts w:ascii="仿宋" w:eastAsia="仿宋" w:hAnsi="仿宋"/>
          <w:sz w:val="28"/>
          <w:szCs w:val="28"/>
        </w:rPr>
      </w:pPr>
      <w:r>
        <w:rPr>
          <w:rFonts w:ascii="仿宋" w:eastAsia="仿宋" w:hAnsi="仿宋" w:hint="eastAsia"/>
          <w:sz w:val="28"/>
          <w:szCs w:val="28"/>
        </w:rPr>
        <w:t>3</w:t>
      </w:r>
      <w:r>
        <w:rPr>
          <w:rFonts w:ascii="仿宋" w:eastAsia="仿宋" w:hAnsi="仿宋"/>
          <w:sz w:val="28"/>
          <w:szCs w:val="28"/>
        </w:rPr>
        <w:t>.</w:t>
      </w:r>
      <w:r>
        <w:rPr>
          <w:rFonts w:ascii="仿宋" w:eastAsia="仿宋" w:hAnsi="仿宋" w:hint="eastAsia"/>
          <w:sz w:val="28"/>
          <w:szCs w:val="28"/>
        </w:rPr>
        <w:t>《江西省大余县人民法院价格评估委托书》复印件</w:t>
      </w:r>
    </w:p>
    <w:p w:rsidR="00A37CBB" w:rsidRDefault="00D21007">
      <w:pPr>
        <w:ind w:leftChars="580" w:left="1392" w:firstLineChars="50" w:firstLine="140"/>
        <w:rPr>
          <w:rFonts w:ascii="仿宋" w:eastAsia="仿宋" w:hAnsi="仿宋"/>
          <w:sz w:val="28"/>
          <w:szCs w:val="28"/>
        </w:rPr>
      </w:pPr>
      <w:r>
        <w:rPr>
          <w:rFonts w:ascii="仿宋" w:eastAsia="仿宋" w:hAnsi="仿宋" w:hint="eastAsia"/>
          <w:sz w:val="28"/>
          <w:szCs w:val="28"/>
        </w:rPr>
        <w:t>4.《房屋所有权证》复印件</w:t>
      </w:r>
    </w:p>
    <w:p w:rsidR="00A37CBB" w:rsidRDefault="00D21007">
      <w:pPr>
        <w:ind w:leftChars="232" w:left="557" w:firstLineChars="350" w:firstLine="980"/>
        <w:rPr>
          <w:rFonts w:ascii="仿宋" w:eastAsia="仿宋" w:hAnsi="仿宋"/>
          <w:sz w:val="28"/>
          <w:szCs w:val="28"/>
        </w:rPr>
      </w:pPr>
      <w:r>
        <w:rPr>
          <w:rFonts w:ascii="仿宋" w:eastAsia="仿宋" w:hAnsi="仿宋" w:hint="eastAsia"/>
          <w:sz w:val="28"/>
          <w:szCs w:val="28"/>
        </w:rPr>
        <w:t>5</w:t>
      </w:r>
      <w:r>
        <w:rPr>
          <w:rFonts w:ascii="仿宋" w:eastAsia="仿宋" w:hAnsi="仿宋"/>
          <w:sz w:val="28"/>
          <w:szCs w:val="28"/>
        </w:rPr>
        <w:t>. 估价机构营业执照复印件</w:t>
      </w:r>
    </w:p>
    <w:p w:rsidR="00A37CBB" w:rsidRDefault="00D21007">
      <w:pPr>
        <w:ind w:leftChars="232" w:left="557" w:firstLineChars="350" w:firstLine="980"/>
        <w:rPr>
          <w:rFonts w:ascii="仿宋" w:eastAsia="仿宋" w:hAnsi="仿宋"/>
          <w:sz w:val="28"/>
          <w:szCs w:val="28"/>
        </w:rPr>
      </w:pPr>
      <w:r>
        <w:rPr>
          <w:rFonts w:ascii="仿宋" w:eastAsia="仿宋" w:hAnsi="仿宋" w:hint="eastAsia"/>
          <w:sz w:val="28"/>
          <w:szCs w:val="28"/>
        </w:rPr>
        <w:t>6</w:t>
      </w:r>
      <w:r>
        <w:rPr>
          <w:rFonts w:ascii="仿宋" w:eastAsia="仿宋" w:hAnsi="仿宋"/>
          <w:sz w:val="28"/>
          <w:szCs w:val="28"/>
        </w:rPr>
        <w:t>. 估价机构资格证书复印件</w:t>
      </w:r>
    </w:p>
    <w:p w:rsidR="00A37CBB" w:rsidRDefault="00D21007">
      <w:pPr>
        <w:ind w:leftChars="232" w:left="557" w:firstLineChars="350" w:firstLine="980"/>
        <w:rPr>
          <w:rFonts w:ascii="仿宋" w:eastAsia="仿宋" w:hAnsi="仿宋"/>
          <w:sz w:val="28"/>
          <w:szCs w:val="28"/>
        </w:rPr>
      </w:pPr>
      <w:r>
        <w:rPr>
          <w:rFonts w:ascii="仿宋" w:eastAsia="仿宋" w:hAnsi="仿宋" w:hint="eastAsia"/>
          <w:sz w:val="28"/>
          <w:szCs w:val="28"/>
        </w:rPr>
        <w:t>7</w:t>
      </w:r>
      <w:r>
        <w:rPr>
          <w:rFonts w:ascii="仿宋" w:eastAsia="仿宋" w:hAnsi="仿宋"/>
          <w:sz w:val="28"/>
          <w:szCs w:val="28"/>
        </w:rPr>
        <w:t>. 估价师资格证书复印件</w:t>
      </w:r>
    </w:p>
    <w:p w:rsidR="00A37CBB" w:rsidRDefault="00A37CBB">
      <w:pPr>
        <w:pStyle w:val="a0"/>
        <w:rPr>
          <w:rFonts w:ascii="仿宋" w:eastAsia="仿宋" w:hAnsi="仿宋"/>
          <w:b/>
          <w:bCs/>
          <w:spacing w:val="20"/>
          <w:kern w:val="2"/>
          <w:sz w:val="36"/>
        </w:rPr>
      </w:pPr>
    </w:p>
    <w:p w:rsidR="00A37CBB" w:rsidRDefault="00A37CBB">
      <w:pPr>
        <w:pStyle w:val="a0"/>
        <w:rPr>
          <w:rFonts w:ascii="仿宋" w:eastAsia="仿宋" w:hAnsi="仿宋"/>
          <w:b/>
          <w:bCs/>
          <w:spacing w:val="20"/>
          <w:kern w:val="2"/>
          <w:sz w:val="36"/>
        </w:rPr>
      </w:pPr>
    </w:p>
    <w:p w:rsidR="00A37CBB" w:rsidRDefault="00A37CBB">
      <w:pPr>
        <w:pStyle w:val="a0"/>
        <w:rPr>
          <w:rFonts w:ascii="仿宋" w:eastAsia="仿宋" w:hAnsi="仿宋"/>
          <w:b/>
          <w:bCs/>
          <w:spacing w:val="20"/>
          <w:kern w:val="2"/>
          <w:sz w:val="36"/>
        </w:rPr>
      </w:pPr>
    </w:p>
    <w:p w:rsidR="00A37CBB" w:rsidRDefault="00A37CBB">
      <w:pPr>
        <w:pStyle w:val="a0"/>
        <w:rPr>
          <w:rFonts w:ascii="仿宋" w:eastAsia="仿宋" w:hAnsi="仿宋"/>
          <w:b/>
          <w:bCs/>
          <w:spacing w:val="20"/>
          <w:kern w:val="2"/>
          <w:sz w:val="36"/>
        </w:rPr>
      </w:pPr>
    </w:p>
    <w:p w:rsidR="00A37CBB" w:rsidRDefault="00A37CBB">
      <w:pPr>
        <w:pStyle w:val="a0"/>
        <w:rPr>
          <w:rFonts w:ascii="仿宋" w:eastAsia="仿宋" w:hAnsi="仿宋"/>
          <w:b/>
          <w:bCs/>
          <w:spacing w:val="20"/>
          <w:kern w:val="2"/>
          <w:sz w:val="36"/>
        </w:rPr>
      </w:pPr>
    </w:p>
    <w:p w:rsidR="00A37CBB" w:rsidRDefault="00A37CBB">
      <w:pPr>
        <w:pStyle w:val="a0"/>
        <w:rPr>
          <w:rFonts w:ascii="仿宋" w:eastAsia="仿宋" w:hAnsi="仿宋"/>
          <w:b/>
          <w:bCs/>
          <w:spacing w:val="20"/>
          <w:kern w:val="2"/>
          <w:sz w:val="36"/>
        </w:rPr>
      </w:pPr>
    </w:p>
    <w:p w:rsidR="00A37CBB" w:rsidRDefault="00A37CBB">
      <w:pPr>
        <w:pStyle w:val="a0"/>
        <w:rPr>
          <w:rFonts w:ascii="仿宋" w:eastAsia="仿宋" w:hAnsi="仿宋"/>
          <w:b/>
          <w:bCs/>
          <w:spacing w:val="20"/>
          <w:kern w:val="2"/>
          <w:sz w:val="36"/>
        </w:rPr>
      </w:pPr>
    </w:p>
    <w:p w:rsidR="00A37CBB" w:rsidRDefault="00A37CBB">
      <w:pPr>
        <w:pStyle w:val="a0"/>
        <w:rPr>
          <w:rFonts w:ascii="仿宋" w:eastAsia="仿宋" w:hAnsi="仿宋"/>
          <w:b/>
          <w:bCs/>
          <w:spacing w:val="20"/>
          <w:kern w:val="2"/>
          <w:sz w:val="36"/>
        </w:rPr>
      </w:pPr>
    </w:p>
    <w:p w:rsidR="00A37CBB" w:rsidRDefault="00A37CBB">
      <w:pPr>
        <w:pStyle w:val="a0"/>
        <w:rPr>
          <w:rFonts w:ascii="仿宋" w:eastAsia="仿宋" w:hAnsi="仿宋"/>
          <w:b/>
          <w:bCs/>
          <w:spacing w:val="20"/>
          <w:kern w:val="2"/>
          <w:sz w:val="36"/>
        </w:rPr>
      </w:pPr>
    </w:p>
    <w:p w:rsidR="00A37CBB" w:rsidRDefault="00A37CBB">
      <w:pPr>
        <w:pStyle w:val="a0"/>
        <w:rPr>
          <w:rFonts w:ascii="仿宋" w:eastAsia="仿宋" w:hAnsi="仿宋"/>
          <w:b/>
          <w:bCs/>
          <w:spacing w:val="20"/>
          <w:kern w:val="2"/>
          <w:sz w:val="36"/>
        </w:rPr>
      </w:pPr>
    </w:p>
    <w:p w:rsidR="00A37CBB" w:rsidRDefault="00A37CBB">
      <w:pPr>
        <w:pStyle w:val="a0"/>
        <w:rPr>
          <w:rFonts w:ascii="仿宋" w:eastAsia="仿宋" w:hAnsi="仿宋"/>
          <w:b/>
          <w:bCs/>
          <w:spacing w:val="20"/>
          <w:kern w:val="2"/>
          <w:sz w:val="36"/>
        </w:rPr>
      </w:pPr>
    </w:p>
    <w:p w:rsidR="00A37CBB" w:rsidRDefault="00A37CBB">
      <w:pPr>
        <w:rPr>
          <w:b/>
          <w:bCs/>
          <w:sz w:val="28"/>
          <w:szCs w:val="28"/>
        </w:rPr>
      </w:pPr>
    </w:p>
    <w:p w:rsidR="00A37CBB" w:rsidRDefault="00D21007">
      <w:pPr>
        <w:ind w:firstLineChars="1100" w:firstLine="3092"/>
        <w:rPr>
          <w:b/>
          <w:bCs/>
          <w:sz w:val="28"/>
          <w:szCs w:val="28"/>
        </w:rPr>
      </w:pPr>
      <w:r>
        <w:rPr>
          <w:rFonts w:hint="eastAsia"/>
          <w:b/>
          <w:bCs/>
          <w:sz w:val="28"/>
          <w:szCs w:val="28"/>
        </w:rPr>
        <w:t>估价对象位置图</w:t>
      </w:r>
    </w:p>
    <w:p w:rsidR="00A37CBB" w:rsidRDefault="00A37CBB">
      <w:pPr>
        <w:widowControl/>
        <w:spacing w:line="240" w:lineRule="auto"/>
        <w:jc w:val="left"/>
      </w:pPr>
      <w: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margin-left:198.15pt;margin-top:112.05pt;width:97.05pt;height:31.95pt;z-index:251659264" o:gfxdata="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LgZwA2gAAAAsBAAAPAAAAAAAA&#10;AAEAIAAAACIAAABkcnMvZG93bnJldi54bWxQSwECFAAUAAAACACHTuJAcjB9q0kCAAC2BAAADgAA&#10;AAAAAAABACAAAAApAQAAZHJzL2Uyb0RvYy54bWxQSwUGAAAAAAYABgBZAQAA5AUAAAAA&#10;" adj="1168,32011,14400">
            <v:textbox>
              <w:txbxContent>
                <w:p w:rsidR="00D21007" w:rsidRDefault="00D21007">
                  <w:r>
                    <w:rPr>
                      <w:rFonts w:hint="eastAsia"/>
                    </w:rPr>
                    <w:t>估价对象位置</w:t>
                  </w:r>
                </w:p>
              </w:txbxContent>
            </v:textbox>
          </v:shape>
        </w:pict>
      </w:r>
      <w:r w:rsidR="00D21007">
        <w:rPr>
          <w:noProof/>
        </w:rPr>
        <w:drawing>
          <wp:inline distT="0" distB="0" distL="114300" distR="114300">
            <wp:extent cx="5272405" cy="3492500"/>
            <wp:effectExtent l="0" t="0" r="4445" b="12700"/>
            <wp:docPr id="6" name="图片 6" descr="微信图片_2021051011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510111231"/>
                    <pic:cNvPicPr>
                      <a:picLocks noChangeAspect="1"/>
                    </pic:cNvPicPr>
                  </pic:nvPicPr>
                  <pic:blipFill>
                    <a:blip r:embed="rId29"/>
                    <a:stretch>
                      <a:fillRect/>
                    </a:stretch>
                  </pic:blipFill>
                  <pic:spPr>
                    <a:xfrm>
                      <a:off x="0" y="0"/>
                      <a:ext cx="5272405" cy="3492500"/>
                    </a:xfrm>
                    <a:prstGeom prst="rect">
                      <a:avLst/>
                    </a:prstGeom>
                  </pic:spPr>
                </pic:pic>
              </a:graphicData>
            </a:graphic>
          </wp:inline>
        </w:drawing>
      </w:r>
    </w:p>
    <w:p w:rsidR="00A37CBB" w:rsidRDefault="00A37CBB">
      <w:pPr>
        <w:widowControl/>
        <w:spacing w:line="240" w:lineRule="auto"/>
        <w:jc w:val="left"/>
      </w:pPr>
    </w:p>
    <w:p w:rsidR="00A37CBB" w:rsidRDefault="00A37CBB">
      <w:pPr>
        <w:widowControl/>
        <w:spacing w:line="240" w:lineRule="auto"/>
        <w:jc w:val="left"/>
      </w:pPr>
    </w:p>
    <w:p w:rsidR="00A37CBB" w:rsidRDefault="00A37CBB">
      <w:pPr>
        <w:widowControl/>
        <w:spacing w:line="240" w:lineRule="auto"/>
        <w:jc w:val="left"/>
      </w:pPr>
    </w:p>
    <w:p w:rsidR="00A37CBB" w:rsidRDefault="00A37CBB">
      <w:pPr>
        <w:widowControl/>
        <w:spacing w:line="240" w:lineRule="auto"/>
        <w:jc w:val="left"/>
      </w:pPr>
    </w:p>
    <w:p w:rsidR="00A37CBB" w:rsidRDefault="00A37CBB">
      <w:pPr>
        <w:widowControl/>
        <w:spacing w:line="240" w:lineRule="auto"/>
        <w:jc w:val="left"/>
      </w:pPr>
    </w:p>
    <w:p w:rsidR="00A37CBB" w:rsidRDefault="00A37CBB">
      <w:pPr>
        <w:widowControl/>
        <w:spacing w:line="240" w:lineRule="auto"/>
        <w:jc w:val="left"/>
      </w:pPr>
    </w:p>
    <w:p w:rsidR="00A37CBB" w:rsidRDefault="00A37CBB">
      <w:pPr>
        <w:widowControl/>
        <w:spacing w:line="240" w:lineRule="auto"/>
        <w:jc w:val="left"/>
      </w:pPr>
    </w:p>
    <w:p w:rsidR="00A37CBB" w:rsidRDefault="00A37CBB">
      <w:pPr>
        <w:widowControl/>
        <w:spacing w:line="240" w:lineRule="auto"/>
        <w:jc w:val="left"/>
      </w:pPr>
    </w:p>
    <w:p w:rsidR="00A37CBB" w:rsidRDefault="00A37CBB">
      <w:pPr>
        <w:widowControl/>
        <w:spacing w:line="240" w:lineRule="auto"/>
        <w:jc w:val="left"/>
      </w:pPr>
    </w:p>
    <w:p w:rsidR="00A37CBB" w:rsidRDefault="00A37CBB">
      <w:pPr>
        <w:widowControl/>
        <w:spacing w:line="240" w:lineRule="auto"/>
        <w:jc w:val="left"/>
      </w:pPr>
    </w:p>
    <w:p w:rsidR="00A37CBB" w:rsidRDefault="00A37CBB">
      <w:pPr>
        <w:widowControl/>
        <w:spacing w:line="240" w:lineRule="auto"/>
        <w:jc w:val="left"/>
      </w:pPr>
    </w:p>
    <w:p w:rsidR="00A37CBB" w:rsidRDefault="00A37CBB">
      <w:pPr>
        <w:widowControl/>
        <w:spacing w:line="240" w:lineRule="auto"/>
        <w:jc w:val="left"/>
      </w:pPr>
    </w:p>
    <w:p w:rsidR="00A37CBB" w:rsidRDefault="00A37CBB">
      <w:pPr>
        <w:rPr>
          <w:b/>
          <w:bCs/>
          <w:sz w:val="28"/>
          <w:szCs w:val="28"/>
        </w:rPr>
      </w:pPr>
    </w:p>
    <w:p w:rsidR="00A37CBB" w:rsidRDefault="00A37CBB">
      <w:pPr>
        <w:rPr>
          <w:b/>
          <w:bCs/>
          <w:sz w:val="28"/>
          <w:szCs w:val="28"/>
        </w:rPr>
      </w:pPr>
    </w:p>
    <w:p w:rsidR="00A37CBB" w:rsidRDefault="00A37CBB">
      <w:pPr>
        <w:ind w:firstLineChars="1000" w:firstLine="2811"/>
        <w:rPr>
          <w:b/>
          <w:bCs/>
          <w:sz w:val="28"/>
          <w:szCs w:val="28"/>
        </w:rPr>
      </w:pPr>
    </w:p>
    <w:p w:rsidR="00A37CBB" w:rsidRDefault="00A37CBB">
      <w:pPr>
        <w:ind w:firstLineChars="1000" w:firstLine="2811"/>
        <w:rPr>
          <w:b/>
          <w:bCs/>
          <w:sz w:val="28"/>
          <w:szCs w:val="28"/>
        </w:rPr>
      </w:pPr>
    </w:p>
    <w:p w:rsidR="00A37CBB" w:rsidRDefault="00A37CBB">
      <w:pPr>
        <w:ind w:firstLineChars="1000" w:firstLine="2811"/>
        <w:rPr>
          <w:b/>
          <w:bCs/>
          <w:sz w:val="28"/>
          <w:szCs w:val="28"/>
        </w:rPr>
      </w:pPr>
    </w:p>
    <w:p w:rsidR="00A37CBB" w:rsidRDefault="00A37CBB">
      <w:pPr>
        <w:ind w:firstLineChars="1000" w:firstLine="2811"/>
        <w:rPr>
          <w:b/>
          <w:bCs/>
          <w:sz w:val="28"/>
          <w:szCs w:val="28"/>
        </w:rPr>
      </w:pPr>
    </w:p>
    <w:p w:rsidR="00A37CBB" w:rsidRDefault="00A37CBB">
      <w:pPr>
        <w:rPr>
          <w:b/>
          <w:bCs/>
          <w:sz w:val="28"/>
          <w:szCs w:val="28"/>
        </w:rPr>
      </w:pPr>
    </w:p>
    <w:p w:rsidR="00A37CBB" w:rsidRDefault="00A37CBB">
      <w:pPr>
        <w:rPr>
          <w:b/>
          <w:bCs/>
          <w:sz w:val="28"/>
          <w:szCs w:val="28"/>
        </w:rPr>
      </w:pPr>
    </w:p>
    <w:p w:rsidR="00A37CBB" w:rsidRDefault="008D2AB0">
      <w:pPr>
        <w:ind w:firstLineChars="1000" w:firstLine="2811"/>
        <w:rPr>
          <w:b/>
          <w:bCs/>
          <w:sz w:val="28"/>
          <w:szCs w:val="28"/>
        </w:rPr>
      </w:pPr>
      <w:r>
        <w:rPr>
          <w:rFonts w:hint="eastAsia"/>
          <w:b/>
          <w:bCs/>
          <w:noProof/>
          <w:sz w:val="28"/>
          <w:szCs w:val="28"/>
        </w:rPr>
        <w:lastRenderedPageBreak/>
        <w:drawing>
          <wp:anchor distT="0" distB="0" distL="114300" distR="114300" simplePos="0" relativeHeight="251667456" behindDoc="0" locked="0" layoutInCell="1" allowOverlap="1">
            <wp:simplePos x="0" y="0"/>
            <wp:positionH relativeFrom="column">
              <wp:posOffset>319881</wp:posOffset>
            </wp:positionH>
            <wp:positionV relativeFrom="paragraph">
              <wp:posOffset>169706</wp:posOffset>
            </wp:positionV>
            <wp:extent cx="1918654" cy="2565400"/>
            <wp:effectExtent l="342900" t="0" r="329246" b="0"/>
            <wp:wrapNone/>
            <wp:docPr id="10" name="图片 10" descr="微信图片_2021051011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510111231"/>
                    <pic:cNvPicPr>
                      <a:picLocks noChangeAspect="1"/>
                    </pic:cNvPicPr>
                  </pic:nvPicPr>
                  <pic:blipFill>
                    <a:blip r:embed="rId30"/>
                    <a:stretch>
                      <a:fillRect/>
                    </a:stretch>
                  </pic:blipFill>
                  <pic:spPr>
                    <a:xfrm rot="5400000">
                      <a:off x="0" y="0"/>
                      <a:ext cx="1918654" cy="2565400"/>
                    </a:xfrm>
                    <a:prstGeom prst="rect">
                      <a:avLst/>
                    </a:prstGeom>
                  </pic:spPr>
                </pic:pic>
              </a:graphicData>
            </a:graphic>
          </wp:anchor>
        </w:drawing>
      </w:r>
      <w:r w:rsidR="00D21007">
        <w:rPr>
          <w:rFonts w:hint="eastAsia"/>
          <w:b/>
          <w:bCs/>
          <w:sz w:val="28"/>
          <w:szCs w:val="28"/>
        </w:rPr>
        <w:t>估价对象现状照片</w:t>
      </w:r>
    </w:p>
    <w:tbl>
      <w:tblPr>
        <w:tblStyle w:val="af1"/>
        <w:tblW w:w="0" w:type="auto"/>
        <w:tblLook w:val="04A0"/>
      </w:tblPr>
      <w:tblGrid>
        <w:gridCol w:w="4264"/>
        <w:gridCol w:w="4265"/>
      </w:tblGrid>
      <w:tr w:rsidR="00A37CBB" w:rsidTr="008D2AB0">
        <w:trPr>
          <w:trHeight w:val="3246"/>
        </w:trPr>
        <w:tc>
          <w:tcPr>
            <w:tcW w:w="4264" w:type="dxa"/>
          </w:tcPr>
          <w:p w:rsidR="00A37CBB" w:rsidRDefault="00A37CBB">
            <w:pPr>
              <w:jc w:val="center"/>
              <w:rPr>
                <w:b/>
                <w:bCs/>
                <w:sz w:val="44"/>
                <w:szCs w:val="44"/>
              </w:rPr>
            </w:pPr>
          </w:p>
        </w:tc>
        <w:tc>
          <w:tcPr>
            <w:tcW w:w="4265" w:type="dxa"/>
          </w:tcPr>
          <w:p w:rsidR="00A37CBB" w:rsidRDefault="00D21007">
            <w:pPr>
              <w:jc w:val="center"/>
              <w:rPr>
                <w:b/>
                <w:bCs/>
                <w:sz w:val="44"/>
                <w:szCs w:val="44"/>
              </w:rPr>
            </w:pPr>
            <w:r>
              <w:rPr>
                <w:rFonts w:hint="eastAsia"/>
                <w:b/>
                <w:bCs/>
                <w:noProof/>
                <w:sz w:val="44"/>
                <w:szCs w:val="44"/>
              </w:rPr>
              <w:drawing>
                <wp:anchor distT="0" distB="0" distL="114300" distR="114300" simplePos="0" relativeHeight="251666432" behindDoc="0" locked="0" layoutInCell="1" allowOverlap="1">
                  <wp:simplePos x="0" y="0"/>
                  <wp:positionH relativeFrom="column">
                    <wp:posOffset>-635</wp:posOffset>
                  </wp:positionH>
                  <wp:positionV relativeFrom="paragraph">
                    <wp:posOffset>73660</wp:posOffset>
                  </wp:positionV>
                  <wp:extent cx="2560320" cy="1920240"/>
                  <wp:effectExtent l="19050" t="0" r="0" b="0"/>
                  <wp:wrapNone/>
                  <wp:docPr id="11" name="图片 11" descr="微信图片_2021051011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5101112311"/>
                          <pic:cNvPicPr>
                            <a:picLocks noChangeAspect="1"/>
                          </pic:cNvPicPr>
                        </pic:nvPicPr>
                        <pic:blipFill>
                          <a:blip r:embed="rId31"/>
                          <a:stretch>
                            <a:fillRect/>
                          </a:stretch>
                        </pic:blipFill>
                        <pic:spPr>
                          <a:xfrm>
                            <a:off x="0" y="0"/>
                            <a:ext cx="2560320" cy="1920240"/>
                          </a:xfrm>
                          <a:prstGeom prst="rect">
                            <a:avLst/>
                          </a:prstGeom>
                        </pic:spPr>
                      </pic:pic>
                    </a:graphicData>
                  </a:graphic>
                </wp:anchor>
              </w:drawing>
            </w:r>
          </w:p>
        </w:tc>
      </w:tr>
      <w:tr w:rsidR="00A37CBB">
        <w:tc>
          <w:tcPr>
            <w:tcW w:w="4264" w:type="dxa"/>
          </w:tcPr>
          <w:p w:rsidR="00A37CBB" w:rsidRDefault="00D21007">
            <w:pPr>
              <w:jc w:val="center"/>
              <w:rPr>
                <w:b/>
                <w:bCs/>
                <w:sz w:val="44"/>
                <w:szCs w:val="44"/>
              </w:rPr>
            </w:pPr>
            <w:r>
              <w:rPr>
                <w:rFonts w:hint="eastAsia"/>
                <w:b/>
                <w:bCs/>
                <w:noProof/>
                <w:sz w:val="44"/>
                <w:szCs w:val="44"/>
              </w:rPr>
              <w:drawing>
                <wp:inline distT="0" distB="0" distL="114300" distR="114300">
                  <wp:extent cx="2560320" cy="1920240"/>
                  <wp:effectExtent l="0" t="0" r="11430" b="3810"/>
                  <wp:docPr id="12" name="图片 12" descr="微信图片_20210510111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05101112312"/>
                          <pic:cNvPicPr>
                            <a:picLocks noChangeAspect="1"/>
                          </pic:cNvPicPr>
                        </pic:nvPicPr>
                        <pic:blipFill>
                          <a:blip r:embed="rId32"/>
                          <a:stretch>
                            <a:fillRect/>
                          </a:stretch>
                        </pic:blipFill>
                        <pic:spPr>
                          <a:xfrm>
                            <a:off x="0" y="0"/>
                            <a:ext cx="2560320" cy="1920240"/>
                          </a:xfrm>
                          <a:prstGeom prst="rect">
                            <a:avLst/>
                          </a:prstGeom>
                        </pic:spPr>
                      </pic:pic>
                    </a:graphicData>
                  </a:graphic>
                </wp:inline>
              </w:drawing>
            </w:r>
          </w:p>
        </w:tc>
        <w:tc>
          <w:tcPr>
            <w:tcW w:w="4265" w:type="dxa"/>
          </w:tcPr>
          <w:p w:rsidR="00A37CBB" w:rsidRDefault="00D21007">
            <w:pPr>
              <w:rPr>
                <w:b/>
                <w:bCs/>
                <w:sz w:val="44"/>
                <w:szCs w:val="44"/>
              </w:rPr>
            </w:pPr>
            <w:r>
              <w:rPr>
                <w:rFonts w:hint="eastAsia"/>
                <w:b/>
                <w:bCs/>
                <w:noProof/>
                <w:sz w:val="44"/>
                <w:szCs w:val="44"/>
              </w:rPr>
              <w:drawing>
                <wp:inline distT="0" distB="0" distL="114300" distR="114300">
                  <wp:extent cx="2560320" cy="1920240"/>
                  <wp:effectExtent l="0" t="0" r="11430" b="3810"/>
                  <wp:docPr id="14" name="图片 14" descr="微信图片_20210510111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5101112313"/>
                          <pic:cNvPicPr>
                            <a:picLocks noChangeAspect="1"/>
                          </pic:cNvPicPr>
                        </pic:nvPicPr>
                        <pic:blipFill>
                          <a:blip r:embed="rId33"/>
                          <a:stretch>
                            <a:fillRect/>
                          </a:stretch>
                        </pic:blipFill>
                        <pic:spPr>
                          <a:xfrm>
                            <a:off x="0" y="0"/>
                            <a:ext cx="2560320" cy="1920240"/>
                          </a:xfrm>
                          <a:prstGeom prst="rect">
                            <a:avLst/>
                          </a:prstGeom>
                        </pic:spPr>
                      </pic:pic>
                    </a:graphicData>
                  </a:graphic>
                </wp:inline>
              </w:drawing>
            </w:r>
          </w:p>
        </w:tc>
      </w:tr>
      <w:tr w:rsidR="00A37CBB">
        <w:tc>
          <w:tcPr>
            <w:tcW w:w="4264" w:type="dxa"/>
          </w:tcPr>
          <w:p w:rsidR="00A37CBB" w:rsidRDefault="00D21007">
            <w:pPr>
              <w:jc w:val="center"/>
              <w:rPr>
                <w:b/>
                <w:bCs/>
                <w:sz w:val="44"/>
                <w:szCs w:val="44"/>
              </w:rPr>
            </w:pPr>
            <w:r>
              <w:rPr>
                <w:rFonts w:hint="eastAsia"/>
                <w:b/>
                <w:bCs/>
                <w:noProof/>
                <w:sz w:val="44"/>
                <w:szCs w:val="44"/>
              </w:rPr>
              <w:drawing>
                <wp:inline distT="0" distB="0" distL="114300" distR="114300">
                  <wp:extent cx="2560320" cy="1920240"/>
                  <wp:effectExtent l="0" t="0" r="11430" b="3810"/>
                  <wp:docPr id="15" name="图片 15" descr="微信图片_20210510111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5101112314"/>
                          <pic:cNvPicPr>
                            <a:picLocks noChangeAspect="1"/>
                          </pic:cNvPicPr>
                        </pic:nvPicPr>
                        <pic:blipFill>
                          <a:blip r:embed="rId34"/>
                          <a:stretch>
                            <a:fillRect/>
                          </a:stretch>
                        </pic:blipFill>
                        <pic:spPr>
                          <a:xfrm>
                            <a:off x="0" y="0"/>
                            <a:ext cx="2560320" cy="1920240"/>
                          </a:xfrm>
                          <a:prstGeom prst="rect">
                            <a:avLst/>
                          </a:prstGeom>
                        </pic:spPr>
                      </pic:pic>
                    </a:graphicData>
                  </a:graphic>
                </wp:inline>
              </w:drawing>
            </w:r>
          </w:p>
        </w:tc>
        <w:tc>
          <w:tcPr>
            <w:tcW w:w="4265" w:type="dxa"/>
          </w:tcPr>
          <w:p w:rsidR="00A37CBB" w:rsidRDefault="00D21007">
            <w:pPr>
              <w:jc w:val="center"/>
              <w:rPr>
                <w:b/>
                <w:bCs/>
                <w:sz w:val="44"/>
                <w:szCs w:val="44"/>
              </w:rPr>
            </w:pPr>
            <w:r>
              <w:rPr>
                <w:rFonts w:hint="eastAsia"/>
                <w:b/>
                <w:bCs/>
                <w:noProof/>
                <w:sz w:val="44"/>
                <w:szCs w:val="44"/>
              </w:rPr>
              <w:drawing>
                <wp:inline distT="0" distB="0" distL="114300" distR="114300">
                  <wp:extent cx="2560320" cy="1920240"/>
                  <wp:effectExtent l="0" t="0" r="11430" b="3810"/>
                  <wp:docPr id="16" name="图片 16" descr="微信图片_2021051011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105101112315"/>
                          <pic:cNvPicPr>
                            <a:picLocks noChangeAspect="1"/>
                          </pic:cNvPicPr>
                        </pic:nvPicPr>
                        <pic:blipFill>
                          <a:blip r:embed="rId35" cstate="print"/>
                          <a:stretch>
                            <a:fillRect/>
                          </a:stretch>
                        </pic:blipFill>
                        <pic:spPr>
                          <a:xfrm>
                            <a:off x="0" y="0"/>
                            <a:ext cx="2560320" cy="1920240"/>
                          </a:xfrm>
                          <a:prstGeom prst="rect">
                            <a:avLst/>
                          </a:prstGeom>
                        </pic:spPr>
                      </pic:pic>
                    </a:graphicData>
                  </a:graphic>
                </wp:inline>
              </w:drawing>
            </w:r>
          </w:p>
        </w:tc>
      </w:tr>
      <w:tr w:rsidR="00A37CBB">
        <w:tc>
          <w:tcPr>
            <w:tcW w:w="4264" w:type="dxa"/>
          </w:tcPr>
          <w:p w:rsidR="00A37CBB" w:rsidRDefault="00D21007">
            <w:pPr>
              <w:jc w:val="center"/>
              <w:rPr>
                <w:b/>
                <w:bCs/>
                <w:sz w:val="44"/>
                <w:szCs w:val="44"/>
              </w:rPr>
            </w:pPr>
            <w:r>
              <w:rPr>
                <w:rFonts w:hint="eastAsia"/>
                <w:b/>
                <w:bCs/>
                <w:noProof/>
                <w:sz w:val="44"/>
                <w:szCs w:val="44"/>
              </w:rPr>
              <w:lastRenderedPageBreak/>
              <w:drawing>
                <wp:inline distT="0" distB="0" distL="114300" distR="114300">
                  <wp:extent cx="2560320" cy="1920240"/>
                  <wp:effectExtent l="0" t="0" r="11430" b="3810"/>
                  <wp:docPr id="17" name="图片 17" descr="微信图片_20210510111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5101112316"/>
                          <pic:cNvPicPr>
                            <a:picLocks noChangeAspect="1"/>
                          </pic:cNvPicPr>
                        </pic:nvPicPr>
                        <pic:blipFill>
                          <a:blip r:embed="rId36"/>
                          <a:stretch>
                            <a:fillRect/>
                          </a:stretch>
                        </pic:blipFill>
                        <pic:spPr>
                          <a:xfrm>
                            <a:off x="0" y="0"/>
                            <a:ext cx="2560320" cy="1920240"/>
                          </a:xfrm>
                          <a:prstGeom prst="rect">
                            <a:avLst/>
                          </a:prstGeom>
                        </pic:spPr>
                      </pic:pic>
                    </a:graphicData>
                  </a:graphic>
                </wp:inline>
              </w:drawing>
            </w:r>
          </w:p>
        </w:tc>
        <w:tc>
          <w:tcPr>
            <w:tcW w:w="4265" w:type="dxa"/>
          </w:tcPr>
          <w:p w:rsidR="00A37CBB" w:rsidRDefault="00D21007">
            <w:pPr>
              <w:jc w:val="center"/>
              <w:rPr>
                <w:b/>
                <w:bCs/>
                <w:sz w:val="44"/>
                <w:szCs w:val="44"/>
              </w:rPr>
            </w:pPr>
            <w:r>
              <w:rPr>
                <w:rFonts w:hint="eastAsia"/>
                <w:b/>
                <w:bCs/>
                <w:noProof/>
                <w:sz w:val="44"/>
                <w:szCs w:val="44"/>
              </w:rPr>
              <w:drawing>
                <wp:inline distT="0" distB="0" distL="114300" distR="114300">
                  <wp:extent cx="2560320" cy="1920240"/>
                  <wp:effectExtent l="0" t="0" r="11430" b="3810"/>
                  <wp:docPr id="18" name="图片 18" descr="微信图片_20210510111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05101112318"/>
                          <pic:cNvPicPr>
                            <a:picLocks noChangeAspect="1"/>
                          </pic:cNvPicPr>
                        </pic:nvPicPr>
                        <pic:blipFill>
                          <a:blip r:embed="rId37"/>
                          <a:stretch>
                            <a:fillRect/>
                          </a:stretch>
                        </pic:blipFill>
                        <pic:spPr>
                          <a:xfrm>
                            <a:off x="0" y="0"/>
                            <a:ext cx="2560320" cy="1920240"/>
                          </a:xfrm>
                          <a:prstGeom prst="rect">
                            <a:avLst/>
                          </a:prstGeom>
                        </pic:spPr>
                      </pic:pic>
                    </a:graphicData>
                  </a:graphic>
                </wp:inline>
              </w:drawing>
            </w:r>
          </w:p>
        </w:tc>
      </w:tr>
      <w:tr w:rsidR="00A37CBB">
        <w:tc>
          <w:tcPr>
            <w:tcW w:w="4264" w:type="dxa"/>
          </w:tcPr>
          <w:p w:rsidR="00A37CBB" w:rsidRDefault="00C12334">
            <w:pPr>
              <w:jc w:val="center"/>
              <w:rPr>
                <w:b/>
                <w:bCs/>
                <w:sz w:val="44"/>
                <w:szCs w:val="44"/>
              </w:rPr>
            </w:pPr>
            <w:r w:rsidRPr="00C12334">
              <w:rPr>
                <w:rFonts w:hint="eastAsia"/>
                <w:b/>
                <w:bCs/>
                <w:sz w:val="44"/>
                <w:szCs w:val="44"/>
              </w:rPr>
              <w:drawing>
                <wp:anchor distT="0" distB="0" distL="114300" distR="114300" simplePos="0" relativeHeight="251669504" behindDoc="0" locked="0" layoutInCell="1" allowOverlap="1">
                  <wp:simplePos x="0" y="0"/>
                  <wp:positionH relativeFrom="column">
                    <wp:posOffset>313055</wp:posOffset>
                  </wp:positionH>
                  <wp:positionV relativeFrom="paragraph">
                    <wp:posOffset>-236220</wp:posOffset>
                  </wp:positionV>
                  <wp:extent cx="1922780" cy="2533650"/>
                  <wp:effectExtent l="323850" t="0" r="306070" b="0"/>
                  <wp:wrapNone/>
                  <wp:docPr id="22" name="图片 19" descr="微信图片_20210510111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05101112317"/>
                          <pic:cNvPicPr>
                            <a:picLocks noChangeAspect="1"/>
                          </pic:cNvPicPr>
                        </pic:nvPicPr>
                        <pic:blipFill>
                          <a:blip r:embed="rId38"/>
                          <a:stretch>
                            <a:fillRect/>
                          </a:stretch>
                        </pic:blipFill>
                        <pic:spPr>
                          <a:xfrm rot="5400000">
                            <a:off x="0" y="0"/>
                            <a:ext cx="1922780" cy="2533650"/>
                          </a:xfrm>
                          <a:prstGeom prst="rect">
                            <a:avLst/>
                          </a:prstGeom>
                        </pic:spPr>
                      </pic:pic>
                    </a:graphicData>
                  </a:graphic>
                </wp:anchor>
              </w:drawing>
            </w:r>
          </w:p>
        </w:tc>
        <w:tc>
          <w:tcPr>
            <w:tcW w:w="4265" w:type="dxa"/>
          </w:tcPr>
          <w:p w:rsidR="00A37CBB" w:rsidRDefault="00D21007">
            <w:pPr>
              <w:jc w:val="center"/>
              <w:rPr>
                <w:b/>
                <w:bCs/>
                <w:sz w:val="44"/>
                <w:szCs w:val="44"/>
              </w:rPr>
            </w:pPr>
            <w:r>
              <w:rPr>
                <w:rFonts w:hint="eastAsia"/>
                <w:b/>
                <w:bCs/>
                <w:noProof/>
                <w:sz w:val="44"/>
                <w:szCs w:val="44"/>
              </w:rPr>
              <w:drawing>
                <wp:inline distT="0" distB="0" distL="114300" distR="114300">
                  <wp:extent cx="2560320" cy="1920240"/>
                  <wp:effectExtent l="0" t="0" r="11430" b="3810"/>
                  <wp:docPr id="20" name="图片 20" descr="微信图片_20210510111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05101112315"/>
                          <pic:cNvPicPr>
                            <a:picLocks noChangeAspect="1"/>
                          </pic:cNvPicPr>
                        </pic:nvPicPr>
                        <pic:blipFill>
                          <a:blip r:embed="rId35" cstate="print"/>
                          <a:stretch>
                            <a:fillRect/>
                          </a:stretch>
                        </pic:blipFill>
                        <pic:spPr>
                          <a:xfrm>
                            <a:off x="0" y="0"/>
                            <a:ext cx="2560320" cy="1920240"/>
                          </a:xfrm>
                          <a:prstGeom prst="rect">
                            <a:avLst/>
                          </a:prstGeom>
                        </pic:spPr>
                      </pic:pic>
                    </a:graphicData>
                  </a:graphic>
                </wp:inline>
              </w:drawing>
            </w:r>
          </w:p>
        </w:tc>
      </w:tr>
    </w:tbl>
    <w:p w:rsidR="00A37CBB" w:rsidRDefault="00A37CBB">
      <w:pPr>
        <w:tabs>
          <w:tab w:val="left" w:pos="2841"/>
        </w:tabs>
        <w:jc w:val="left"/>
      </w:pPr>
    </w:p>
    <w:sectPr w:rsidR="00A37CBB" w:rsidSect="00A37CBB">
      <w:pgSz w:w="11907" w:h="16840"/>
      <w:pgMar w:top="1440" w:right="1797" w:bottom="1440" w:left="1797" w:header="851" w:footer="992" w:gutter="0"/>
      <w:cols w:space="0"/>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72F2" w:rsidRDefault="002D72F2">
      <w:pPr>
        <w:spacing w:line="240" w:lineRule="auto"/>
      </w:pPr>
      <w:r>
        <w:separator/>
      </w:r>
    </w:p>
  </w:endnote>
  <w:endnote w:type="continuationSeparator" w:id="1">
    <w:p w:rsidR="002D72F2" w:rsidRDefault="002D72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华文细黑">
    <w:altName w:val="微软雅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007" w:rsidRDefault="00D21007">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007" w:rsidRDefault="00D21007">
    <w:pPr>
      <w:pStyle w:val="ac"/>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007" w:rsidRDefault="00D21007">
    <w:pPr>
      <w:pStyle w:val="ac"/>
      <w:jc w:val="center"/>
    </w:pPr>
  </w:p>
  <w:p w:rsidR="00D21007" w:rsidRDefault="00D21007">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007" w:rsidRDefault="00D21007">
    <w:pPr>
      <w:pStyle w:val="ac"/>
      <w:pBdr>
        <w:top w:val="none" w:sz="0" w:space="1" w:color="auto"/>
        <w:left w:val="none" w:sz="0" w:space="4" w:color="auto"/>
        <w:bottom w:val="single" w:sz="4" w:space="1" w:color="auto"/>
        <w:right w:val="none" w:sz="0" w:space="4" w:color="auto"/>
      </w:pBdr>
      <w:jc w:val="both"/>
      <w:rPr>
        <w:rFonts w:ascii="新宋体" w:eastAsia="新宋体" w:hAnsi="新宋体" w:cs="新宋体"/>
        <w:szCs w:val="18"/>
      </w:rPr>
    </w:pPr>
  </w:p>
  <w:p w:rsidR="00D21007" w:rsidRDefault="00D21007">
    <w:pPr>
      <w:pStyle w:val="ac"/>
      <w:jc w:val="both"/>
    </w:pPr>
    <w:r>
      <w:rPr>
        <w:rFonts w:hint="eastAsia"/>
      </w:rPr>
      <w:t>电话：</w:t>
    </w:r>
    <w:r>
      <w:rPr>
        <w:rFonts w:hint="eastAsia"/>
      </w:rPr>
      <w:t xml:space="preserve"> 0797-8163855</w:t>
    </w:r>
    <w:r>
      <w:rPr>
        <w:rFonts w:hint="eastAsia"/>
      </w:rPr>
      <w:t>地址：江西省南昌市东湖区象山北路</w:t>
    </w:r>
    <w:r>
      <w:rPr>
        <w:rFonts w:hint="eastAsia"/>
      </w:rPr>
      <w:t>129</w:t>
    </w:r>
    <w:r>
      <w:rPr>
        <w:rFonts w:hint="eastAsia"/>
      </w:rPr>
      <w:t>号七层</w:t>
    </w:r>
    <w:r>
      <w:pict>
        <v:shapetype id="_x0000_t202" coordsize="21600,21600" o:spt="202" path="m,l,21600r21600,l21600,xe">
          <v:stroke joinstyle="miter"/>
          <v:path gradientshapeok="t" o:connecttype="rect"/>
        </v:shapetype>
        <v:shape id="文本框 24" o:spid="_x0000_s2049" type="#_x0000_t202" style="position:absolute;left:0;text-align:left;margin-left:-3.95pt;margin-top:0;width:36.05pt;height:14pt;z-index:251660288;mso-wrap-style:none;mso-position-horizontal:right;mso-position-horizontal-relative:margin;mso-position-vertical-relative:text" o:gfxdata="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XQyE90gAAAAMBAAAPAAAAAAAAAAEAIAAAACIAAABkcnMvZG93bnJldi54&#10;bWxQSwECFAAUAAAACACHTuJA6//q7TkCAABjBAAADgAAAAAAAAABACAAAAAhAQAAZHJzL2Uyb0Rv&#10;Yy54bWxQSwUGAAAAAAYABgBZAQAAzAUAAAAA&#10;" filled="f" stroked="f" strokeweight=".5pt">
          <v:textbox style="mso-fit-shape-to-text:t" inset="0,0,0,0">
            <w:txbxContent>
              <w:p w:rsidR="00D21007" w:rsidRDefault="00D21007">
                <w:pPr>
                  <w:pStyle w:val="ac"/>
                </w:pPr>
                <w:r>
                  <w:rPr>
                    <w:rFonts w:hint="eastAsia"/>
                  </w:rPr>
                  <w:t>第</w:t>
                </w:r>
                <w:r>
                  <w:rPr>
                    <w:rFonts w:hint="eastAsia"/>
                  </w:rPr>
                  <w:t xml:space="preserve"> </w:t>
                </w:r>
                <w:fldSimple w:instr=" PAGE  \* MERGEFORMAT ">
                  <w:r w:rsidR="00BD2629">
                    <w:rPr>
                      <w:noProof/>
                    </w:rPr>
                    <w:t>25</w:t>
                  </w:r>
                </w:fldSimple>
                <w:r>
                  <w:rPr>
                    <w:rFonts w:hint="eastAsia"/>
                  </w:rPr>
                  <w:t xml:space="preserve"> </w:t>
                </w:r>
                <w:r>
                  <w:rPr>
                    <w:rFonts w:hint="eastAsia"/>
                  </w:rP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72F2" w:rsidRDefault="002D72F2">
      <w:pPr>
        <w:spacing w:line="240" w:lineRule="auto"/>
      </w:pPr>
      <w:r>
        <w:separator/>
      </w:r>
    </w:p>
  </w:footnote>
  <w:footnote w:type="continuationSeparator" w:id="1">
    <w:p w:rsidR="002D72F2" w:rsidRDefault="002D72F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007" w:rsidRDefault="00D21007">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007" w:rsidRDefault="00D21007">
    <w:pPr>
      <w:pStyle w:val="ad"/>
      <w:jc w:val="both"/>
      <w:rPr>
        <w:sz w:val="21"/>
      </w:rPr>
    </w:pPr>
    <w:r>
      <w:rPr>
        <w:rFonts w:hint="eastAsia"/>
        <w:noProof/>
        <w:sz w:val="21"/>
        <w:szCs w:val="21"/>
      </w:rPr>
      <w:drawing>
        <wp:inline distT="0" distB="0" distL="0" distR="0">
          <wp:extent cx="381000" cy="371475"/>
          <wp:effectExtent l="0" t="0" r="0" b="9525"/>
          <wp:docPr id="3" name="图片 3"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截图未命名"/>
                  <pic:cNvPicPr>
                    <a:picLocks noChangeAspect="1" noChangeArrowheads="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81000" cy="371475"/>
                  </a:xfrm>
                  <a:prstGeom prst="rect">
                    <a:avLst/>
                  </a:prstGeom>
                  <a:noFill/>
                  <a:ln>
                    <a:noFill/>
                  </a:ln>
                </pic:spPr>
              </pic:pic>
            </a:graphicData>
          </a:graphic>
        </wp:inline>
      </w:drawing>
    </w:r>
    <w:r>
      <w:rPr>
        <w:rFonts w:hint="eastAsia"/>
        <w:szCs w:val="18"/>
      </w:rPr>
      <w:t>江西省寰宇房地产土地评估有限公司房地产估价报告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007" w:rsidRDefault="00D21007">
    <w:pPr>
      <w:pStyle w:val="ad"/>
      <w:pBdr>
        <w:bottom w:val="single" w:sz="4" w:space="1" w:color="auto"/>
      </w:pBdr>
      <w:spacing w:line="240" w:lineRule="auto"/>
      <w:jc w:val="left"/>
    </w:pPr>
    <w:r>
      <w:rPr>
        <w:rFonts w:hint="eastAsia"/>
        <w:noProof/>
      </w:rPr>
      <w:drawing>
        <wp:inline distT="0" distB="0" distL="114300" distR="114300">
          <wp:extent cx="1513205" cy="353060"/>
          <wp:effectExtent l="0" t="0" r="10795" b="8890"/>
          <wp:docPr id="2" name="图片 3" descr="RIEVV@8PS3U}97UL_(09X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RIEVV@8PS3U}97UL_(09XYX"/>
                  <pic:cNvPicPr>
                    <a:picLocks noChangeAspect="1"/>
                  </pic:cNvPicPr>
                </pic:nvPicPr>
                <pic:blipFill>
                  <a:blip r:embed="rId1"/>
                  <a:srcRect r="-1103" b="7179"/>
                  <a:stretch>
                    <a:fillRect/>
                  </a:stretch>
                </pic:blipFill>
                <pic:spPr>
                  <a:xfrm>
                    <a:off x="0" y="0"/>
                    <a:ext cx="1513205" cy="353060"/>
                  </a:xfrm>
                  <a:prstGeom prst="rect">
                    <a:avLst/>
                  </a:prstGeom>
                  <a:noFill/>
                  <a:ln w="9525">
                    <a:noFill/>
                  </a:ln>
                </pic:spPr>
              </pic:pic>
            </a:graphicData>
          </a:graphic>
        </wp:inline>
      </w:drawing>
    </w:r>
    <w:r>
      <w:rPr>
        <w:rFonts w:hint="eastAsia"/>
      </w:rPr>
      <w:tab/>
    </w:r>
    <w:r>
      <w:rPr>
        <w:rFonts w:hint="eastAsia"/>
        <w:sz w:val="21"/>
        <w:szCs w:val="21"/>
      </w:rPr>
      <w:t xml:space="preserve">       </w:t>
    </w:r>
    <w:r>
      <w:rPr>
        <w:rFonts w:hint="eastAsia"/>
        <w:sz w:val="21"/>
        <w:szCs w:val="21"/>
      </w:rPr>
      <w:t>江西寰宇房地产土地资产评估有限公司</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007" w:rsidRDefault="00D21007">
    <w:pPr>
      <w:pStyle w:val="ad"/>
      <w:pBdr>
        <w:bottom w:val="single" w:sz="4" w:space="1" w:color="auto"/>
      </w:pBdr>
      <w:spacing w:line="240" w:lineRule="auto"/>
      <w:jc w:val="left"/>
    </w:pPr>
    <w:r>
      <w:rPr>
        <w:rFonts w:hint="eastAsia"/>
        <w:noProof/>
      </w:rPr>
      <w:drawing>
        <wp:inline distT="0" distB="0" distL="114300" distR="114300">
          <wp:extent cx="1513205" cy="353060"/>
          <wp:effectExtent l="0" t="0" r="10795" b="8890"/>
          <wp:docPr id="13" name="图片 5" descr="RIEVV@8PS3U}97UL_(09X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RIEVV@8PS3U}97UL_(09XYX"/>
                  <pic:cNvPicPr>
                    <a:picLocks noChangeAspect="1"/>
                  </pic:cNvPicPr>
                </pic:nvPicPr>
                <pic:blipFill>
                  <a:blip r:embed="rId1"/>
                  <a:srcRect r="-1103" b="7179"/>
                  <a:stretch>
                    <a:fillRect/>
                  </a:stretch>
                </pic:blipFill>
                <pic:spPr>
                  <a:xfrm>
                    <a:off x="0" y="0"/>
                    <a:ext cx="1513205" cy="353060"/>
                  </a:xfrm>
                  <a:prstGeom prst="rect">
                    <a:avLst/>
                  </a:prstGeom>
                  <a:noFill/>
                  <a:ln w="9525">
                    <a:noFill/>
                  </a:ln>
                </pic:spPr>
              </pic:pic>
            </a:graphicData>
          </a:graphic>
        </wp:inline>
      </w:drawing>
    </w:r>
    <w:r>
      <w:rPr>
        <w:rFonts w:hint="eastAsia"/>
      </w:rPr>
      <w:tab/>
    </w:r>
    <w:r>
      <w:rPr>
        <w:rFonts w:hint="eastAsia"/>
        <w:sz w:val="21"/>
        <w:szCs w:val="21"/>
      </w:rPr>
      <w:t xml:space="preserve">        </w:t>
    </w:r>
    <w:r>
      <w:rPr>
        <w:rFonts w:hint="eastAsia"/>
        <w:sz w:val="21"/>
        <w:szCs w:val="21"/>
      </w:rPr>
      <w:t>江西寰宇房地产土地资产评估有限公司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B627178"/>
    <w:multiLevelType w:val="singleLevel"/>
    <w:tmpl w:val="DB627178"/>
    <w:lvl w:ilvl="0">
      <w:start w:val="1"/>
      <w:numFmt w:val="chineseCounting"/>
      <w:suff w:val="nothing"/>
      <w:lvlText w:val="%1、"/>
      <w:lvlJc w:val="left"/>
      <w:rPr>
        <w:rFonts w:hint="eastAsia"/>
      </w:rPr>
    </w:lvl>
  </w:abstractNum>
  <w:abstractNum w:abstractNumId="1">
    <w:nsid w:val="1022179F"/>
    <w:multiLevelType w:val="multilevel"/>
    <w:tmpl w:val="1022179F"/>
    <w:lvl w:ilvl="0">
      <w:start w:val="1"/>
      <w:numFmt w:val="bullet"/>
      <w:lvlText w:val=""/>
      <w:lvlJc w:val="left"/>
      <w:pPr>
        <w:tabs>
          <w:tab w:val="left" w:pos="980"/>
        </w:tabs>
        <w:ind w:left="980" w:hanging="420"/>
      </w:pPr>
      <w:rPr>
        <w:rFonts w:ascii="Wingdings" w:hAnsi="Wingdings" w:hint="default"/>
      </w:rPr>
    </w:lvl>
    <w:lvl w:ilvl="1">
      <w:start w:val="1"/>
      <w:numFmt w:val="bullet"/>
      <w:lvlText w:val=""/>
      <w:lvlJc w:val="left"/>
      <w:pPr>
        <w:tabs>
          <w:tab w:val="left" w:pos="1400"/>
        </w:tabs>
        <w:ind w:left="1400" w:hanging="420"/>
      </w:pPr>
      <w:rPr>
        <w:rFonts w:ascii="Wingdings" w:hAnsi="Wingdings" w:hint="default"/>
      </w:rPr>
    </w:lvl>
    <w:lvl w:ilvl="2">
      <w:start w:val="1"/>
      <w:numFmt w:val="bullet"/>
      <w:lvlText w:val=""/>
      <w:lvlJc w:val="left"/>
      <w:pPr>
        <w:tabs>
          <w:tab w:val="left" w:pos="1820"/>
        </w:tabs>
        <w:ind w:left="1820" w:hanging="420"/>
      </w:pPr>
      <w:rPr>
        <w:rFonts w:ascii="Wingdings" w:hAnsi="Wingdings" w:hint="default"/>
      </w:rPr>
    </w:lvl>
    <w:lvl w:ilvl="3">
      <w:start w:val="1"/>
      <w:numFmt w:val="bullet"/>
      <w:lvlText w:val=""/>
      <w:lvlJc w:val="left"/>
      <w:pPr>
        <w:tabs>
          <w:tab w:val="left" w:pos="2240"/>
        </w:tabs>
        <w:ind w:left="2240" w:hanging="420"/>
      </w:pPr>
      <w:rPr>
        <w:rFonts w:ascii="Wingdings" w:hAnsi="Wingdings" w:hint="default"/>
      </w:rPr>
    </w:lvl>
    <w:lvl w:ilvl="4">
      <w:start w:val="1"/>
      <w:numFmt w:val="bullet"/>
      <w:lvlText w:val=""/>
      <w:lvlJc w:val="left"/>
      <w:pPr>
        <w:tabs>
          <w:tab w:val="left" w:pos="2660"/>
        </w:tabs>
        <w:ind w:left="2660" w:hanging="420"/>
      </w:pPr>
      <w:rPr>
        <w:rFonts w:ascii="Wingdings" w:hAnsi="Wingdings" w:hint="default"/>
      </w:rPr>
    </w:lvl>
    <w:lvl w:ilvl="5">
      <w:start w:val="1"/>
      <w:numFmt w:val="bullet"/>
      <w:lvlText w:val=""/>
      <w:lvlJc w:val="left"/>
      <w:pPr>
        <w:tabs>
          <w:tab w:val="left" w:pos="3080"/>
        </w:tabs>
        <w:ind w:left="3080" w:hanging="420"/>
      </w:pPr>
      <w:rPr>
        <w:rFonts w:ascii="Wingdings" w:hAnsi="Wingdings" w:hint="default"/>
      </w:rPr>
    </w:lvl>
    <w:lvl w:ilvl="6">
      <w:start w:val="1"/>
      <w:numFmt w:val="bullet"/>
      <w:lvlText w:val=""/>
      <w:lvlJc w:val="left"/>
      <w:pPr>
        <w:tabs>
          <w:tab w:val="left" w:pos="3500"/>
        </w:tabs>
        <w:ind w:left="3500" w:hanging="420"/>
      </w:pPr>
      <w:rPr>
        <w:rFonts w:ascii="Wingdings" w:hAnsi="Wingdings" w:hint="default"/>
      </w:rPr>
    </w:lvl>
    <w:lvl w:ilvl="7">
      <w:start w:val="1"/>
      <w:numFmt w:val="bullet"/>
      <w:lvlText w:val=""/>
      <w:lvlJc w:val="left"/>
      <w:pPr>
        <w:tabs>
          <w:tab w:val="left" w:pos="3920"/>
        </w:tabs>
        <w:ind w:left="3920" w:hanging="420"/>
      </w:pPr>
      <w:rPr>
        <w:rFonts w:ascii="Wingdings" w:hAnsi="Wingdings" w:hint="default"/>
      </w:rPr>
    </w:lvl>
    <w:lvl w:ilvl="8">
      <w:start w:val="1"/>
      <w:numFmt w:val="bullet"/>
      <w:lvlText w:val=""/>
      <w:lvlJc w:val="left"/>
      <w:pPr>
        <w:tabs>
          <w:tab w:val="left" w:pos="4340"/>
        </w:tabs>
        <w:ind w:left="434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420"/>
  <w:drawingGridHorizontalSpacing w:val="120"/>
  <w:drawingGridVerticalSpacing w:val="163"/>
  <w:noPunctuationKerning/>
  <w:characterSpacingControl w:val="compressPunctuation"/>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6335CE"/>
    <w:rsid w:val="00002490"/>
    <w:rsid w:val="00003E4E"/>
    <w:rsid w:val="00007BE5"/>
    <w:rsid w:val="00010DBC"/>
    <w:rsid w:val="00010DD2"/>
    <w:rsid w:val="00021559"/>
    <w:rsid w:val="00021BA7"/>
    <w:rsid w:val="00022A1D"/>
    <w:rsid w:val="00023EFB"/>
    <w:rsid w:val="00030DA1"/>
    <w:rsid w:val="000326DA"/>
    <w:rsid w:val="00035456"/>
    <w:rsid w:val="000430FF"/>
    <w:rsid w:val="0004749D"/>
    <w:rsid w:val="00055CE0"/>
    <w:rsid w:val="0005707A"/>
    <w:rsid w:val="0006353D"/>
    <w:rsid w:val="00063708"/>
    <w:rsid w:val="00067928"/>
    <w:rsid w:val="00074E8F"/>
    <w:rsid w:val="00083E89"/>
    <w:rsid w:val="000860CA"/>
    <w:rsid w:val="000861EF"/>
    <w:rsid w:val="00087550"/>
    <w:rsid w:val="00091868"/>
    <w:rsid w:val="00094EFF"/>
    <w:rsid w:val="000A1D48"/>
    <w:rsid w:val="000A201D"/>
    <w:rsid w:val="000A22E3"/>
    <w:rsid w:val="000A38CA"/>
    <w:rsid w:val="000B22E9"/>
    <w:rsid w:val="000B4B85"/>
    <w:rsid w:val="000B4E18"/>
    <w:rsid w:val="000B78D0"/>
    <w:rsid w:val="000C0F07"/>
    <w:rsid w:val="000C75DB"/>
    <w:rsid w:val="000D2842"/>
    <w:rsid w:val="000D5A1A"/>
    <w:rsid w:val="000D6A34"/>
    <w:rsid w:val="000E0F53"/>
    <w:rsid w:val="000E38CE"/>
    <w:rsid w:val="000F1FA7"/>
    <w:rsid w:val="00102719"/>
    <w:rsid w:val="001039BF"/>
    <w:rsid w:val="001076FC"/>
    <w:rsid w:val="00110D1B"/>
    <w:rsid w:val="0011124E"/>
    <w:rsid w:val="00111B36"/>
    <w:rsid w:val="00113E5D"/>
    <w:rsid w:val="00114607"/>
    <w:rsid w:val="00114773"/>
    <w:rsid w:val="00115E04"/>
    <w:rsid w:val="00121B21"/>
    <w:rsid w:val="001229EB"/>
    <w:rsid w:val="00122B5A"/>
    <w:rsid w:val="001233E8"/>
    <w:rsid w:val="00127EA8"/>
    <w:rsid w:val="00134110"/>
    <w:rsid w:val="0013527C"/>
    <w:rsid w:val="00135CDC"/>
    <w:rsid w:val="00136DA3"/>
    <w:rsid w:val="0014433F"/>
    <w:rsid w:val="0014441A"/>
    <w:rsid w:val="00145E8C"/>
    <w:rsid w:val="001469C1"/>
    <w:rsid w:val="00147A1D"/>
    <w:rsid w:val="00147F2C"/>
    <w:rsid w:val="0016651B"/>
    <w:rsid w:val="0016673D"/>
    <w:rsid w:val="00167A26"/>
    <w:rsid w:val="00170ACD"/>
    <w:rsid w:val="00171F7E"/>
    <w:rsid w:val="00176456"/>
    <w:rsid w:val="001914DF"/>
    <w:rsid w:val="00192829"/>
    <w:rsid w:val="001945D7"/>
    <w:rsid w:val="0019481A"/>
    <w:rsid w:val="001A2329"/>
    <w:rsid w:val="001A401C"/>
    <w:rsid w:val="001A5811"/>
    <w:rsid w:val="001B025E"/>
    <w:rsid w:val="001B266F"/>
    <w:rsid w:val="001B335D"/>
    <w:rsid w:val="001C0ABC"/>
    <w:rsid w:val="001C0BBD"/>
    <w:rsid w:val="001C32AB"/>
    <w:rsid w:val="001C36BA"/>
    <w:rsid w:val="001C638E"/>
    <w:rsid w:val="001C6E1C"/>
    <w:rsid w:val="001D5CC5"/>
    <w:rsid w:val="001D751C"/>
    <w:rsid w:val="001E3334"/>
    <w:rsid w:val="001E68F0"/>
    <w:rsid w:val="001E6E27"/>
    <w:rsid w:val="001F66BD"/>
    <w:rsid w:val="0020363A"/>
    <w:rsid w:val="002047D9"/>
    <w:rsid w:val="00204826"/>
    <w:rsid w:val="00206831"/>
    <w:rsid w:val="002101EB"/>
    <w:rsid w:val="002104D7"/>
    <w:rsid w:val="002118D2"/>
    <w:rsid w:val="002159C9"/>
    <w:rsid w:val="00216947"/>
    <w:rsid w:val="00216A4A"/>
    <w:rsid w:val="00217596"/>
    <w:rsid w:val="0022282E"/>
    <w:rsid w:val="00224270"/>
    <w:rsid w:val="0023060B"/>
    <w:rsid w:val="0023395C"/>
    <w:rsid w:val="00242596"/>
    <w:rsid w:val="00260AB6"/>
    <w:rsid w:val="00264F8A"/>
    <w:rsid w:val="00267057"/>
    <w:rsid w:val="0027610B"/>
    <w:rsid w:val="00286294"/>
    <w:rsid w:val="002A21ED"/>
    <w:rsid w:val="002A5328"/>
    <w:rsid w:val="002A5DBB"/>
    <w:rsid w:val="002A6086"/>
    <w:rsid w:val="002C0095"/>
    <w:rsid w:val="002C0408"/>
    <w:rsid w:val="002C4633"/>
    <w:rsid w:val="002C5300"/>
    <w:rsid w:val="002C7D4E"/>
    <w:rsid w:val="002D01E1"/>
    <w:rsid w:val="002D082F"/>
    <w:rsid w:val="002D72F2"/>
    <w:rsid w:val="002E0121"/>
    <w:rsid w:val="002E173D"/>
    <w:rsid w:val="002E1B9A"/>
    <w:rsid w:val="002E3CA8"/>
    <w:rsid w:val="002E47C9"/>
    <w:rsid w:val="002E56C0"/>
    <w:rsid w:val="002F3F56"/>
    <w:rsid w:val="002F5A08"/>
    <w:rsid w:val="002F5F72"/>
    <w:rsid w:val="00300FC6"/>
    <w:rsid w:val="003019D6"/>
    <w:rsid w:val="00301B8C"/>
    <w:rsid w:val="00302A73"/>
    <w:rsid w:val="003052E1"/>
    <w:rsid w:val="0030566D"/>
    <w:rsid w:val="00305C6F"/>
    <w:rsid w:val="00310830"/>
    <w:rsid w:val="00310AE8"/>
    <w:rsid w:val="00317DBB"/>
    <w:rsid w:val="00320996"/>
    <w:rsid w:val="0032527D"/>
    <w:rsid w:val="00327B4D"/>
    <w:rsid w:val="00331BF9"/>
    <w:rsid w:val="00340326"/>
    <w:rsid w:val="00347A52"/>
    <w:rsid w:val="0035014D"/>
    <w:rsid w:val="00350695"/>
    <w:rsid w:val="00354F88"/>
    <w:rsid w:val="003550B6"/>
    <w:rsid w:val="00360928"/>
    <w:rsid w:val="003678B6"/>
    <w:rsid w:val="00367EE0"/>
    <w:rsid w:val="00370157"/>
    <w:rsid w:val="00370596"/>
    <w:rsid w:val="00370609"/>
    <w:rsid w:val="0037088D"/>
    <w:rsid w:val="00377D11"/>
    <w:rsid w:val="00380034"/>
    <w:rsid w:val="0038797E"/>
    <w:rsid w:val="003906BA"/>
    <w:rsid w:val="0039186D"/>
    <w:rsid w:val="00391C54"/>
    <w:rsid w:val="003963E5"/>
    <w:rsid w:val="003972D6"/>
    <w:rsid w:val="003A551D"/>
    <w:rsid w:val="003A6D98"/>
    <w:rsid w:val="003B4879"/>
    <w:rsid w:val="003B4A1C"/>
    <w:rsid w:val="003C5254"/>
    <w:rsid w:val="003C6CCF"/>
    <w:rsid w:val="003E2941"/>
    <w:rsid w:val="003E2F4E"/>
    <w:rsid w:val="003E379A"/>
    <w:rsid w:val="003E6F28"/>
    <w:rsid w:val="003E755B"/>
    <w:rsid w:val="003F05D0"/>
    <w:rsid w:val="003F58F1"/>
    <w:rsid w:val="003F6B50"/>
    <w:rsid w:val="003F745D"/>
    <w:rsid w:val="004019EF"/>
    <w:rsid w:val="00401CE8"/>
    <w:rsid w:val="00403D58"/>
    <w:rsid w:val="0041166A"/>
    <w:rsid w:val="00412AE1"/>
    <w:rsid w:val="00416441"/>
    <w:rsid w:val="00421441"/>
    <w:rsid w:val="0042371F"/>
    <w:rsid w:val="00427987"/>
    <w:rsid w:val="00435C50"/>
    <w:rsid w:val="00440A75"/>
    <w:rsid w:val="004508A7"/>
    <w:rsid w:val="004516B4"/>
    <w:rsid w:val="00451D04"/>
    <w:rsid w:val="004521F0"/>
    <w:rsid w:val="00452D71"/>
    <w:rsid w:val="00461C3D"/>
    <w:rsid w:val="0046447D"/>
    <w:rsid w:val="004657C6"/>
    <w:rsid w:val="00470296"/>
    <w:rsid w:val="00473585"/>
    <w:rsid w:val="00477756"/>
    <w:rsid w:val="00487FA2"/>
    <w:rsid w:val="00490876"/>
    <w:rsid w:val="004936DC"/>
    <w:rsid w:val="004952E7"/>
    <w:rsid w:val="004969C4"/>
    <w:rsid w:val="004A4DD3"/>
    <w:rsid w:val="004A569B"/>
    <w:rsid w:val="004A5B6C"/>
    <w:rsid w:val="004A61AE"/>
    <w:rsid w:val="004A710A"/>
    <w:rsid w:val="004B16E1"/>
    <w:rsid w:val="004B42B3"/>
    <w:rsid w:val="004B5B07"/>
    <w:rsid w:val="004C15C2"/>
    <w:rsid w:val="004C1BB4"/>
    <w:rsid w:val="004C4C52"/>
    <w:rsid w:val="004D018A"/>
    <w:rsid w:val="004D7955"/>
    <w:rsid w:val="004E41DA"/>
    <w:rsid w:val="004E4988"/>
    <w:rsid w:val="004E59B7"/>
    <w:rsid w:val="004E74BC"/>
    <w:rsid w:val="004F003B"/>
    <w:rsid w:val="004F0868"/>
    <w:rsid w:val="004F110E"/>
    <w:rsid w:val="004F2343"/>
    <w:rsid w:val="00500113"/>
    <w:rsid w:val="00500B23"/>
    <w:rsid w:val="00501D69"/>
    <w:rsid w:val="00502D30"/>
    <w:rsid w:val="005050D7"/>
    <w:rsid w:val="00507F76"/>
    <w:rsid w:val="00510C64"/>
    <w:rsid w:val="005124AE"/>
    <w:rsid w:val="00514102"/>
    <w:rsid w:val="00514D12"/>
    <w:rsid w:val="00514FF5"/>
    <w:rsid w:val="0051596D"/>
    <w:rsid w:val="00516762"/>
    <w:rsid w:val="00520CBE"/>
    <w:rsid w:val="00521FA7"/>
    <w:rsid w:val="00535920"/>
    <w:rsid w:val="00541B50"/>
    <w:rsid w:val="00542941"/>
    <w:rsid w:val="00545F19"/>
    <w:rsid w:val="0055301F"/>
    <w:rsid w:val="005658E1"/>
    <w:rsid w:val="00565C0C"/>
    <w:rsid w:val="005672BF"/>
    <w:rsid w:val="005674A8"/>
    <w:rsid w:val="0057166A"/>
    <w:rsid w:val="00572137"/>
    <w:rsid w:val="0057485F"/>
    <w:rsid w:val="00584FAC"/>
    <w:rsid w:val="00587BE9"/>
    <w:rsid w:val="00587F94"/>
    <w:rsid w:val="00596052"/>
    <w:rsid w:val="00596F07"/>
    <w:rsid w:val="00597B9A"/>
    <w:rsid w:val="005A4CD6"/>
    <w:rsid w:val="005A7914"/>
    <w:rsid w:val="005B1104"/>
    <w:rsid w:val="005B5D04"/>
    <w:rsid w:val="005C05DB"/>
    <w:rsid w:val="005C4102"/>
    <w:rsid w:val="005C68BB"/>
    <w:rsid w:val="005D0D40"/>
    <w:rsid w:val="005D4670"/>
    <w:rsid w:val="005D6049"/>
    <w:rsid w:val="005E08A7"/>
    <w:rsid w:val="005E3784"/>
    <w:rsid w:val="005F44D2"/>
    <w:rsid w:val="005F4E9E"/>
    <w:rsid w:val="005F7384"/>
    <w:rsid w:val="00605440"/>
    <w:rsid w:val="00611828"/>
    <w:rsid w:val="00612540"/>
    <w:rsid w:val="006144F2"/>
    <w:rsid w:val="00621C9B"/>
    <w:rsid w:val="00622D72"/>
    <w:rsid w:val="00624234"/>
    <w:rsid w:val="00625123"/>
    <w:rsid w:val="0063058D"/>
    <w:rsid w:val="006307FB"/>
    <w:rsid w:val="006317FE"/>
    <w:rsid w:val="006335CE"/>
    <w:rsid w:val="006340E1"/>
    <w:rsid w:val="00647C83"/>
    <w:rsid w:val="00650951"/>
    <w:rsid w:val="00650DC3"/>
    <w:rsid w:val="00653F32"/>
    <w:rsid w:val="006610F9"/>
    <w:rsid w:val="006626D7"/>
    <w:rsid w:val="00662D24"/>
    <w:rsid w:val="006634EC"/>
    <w:rsid w:val="00665539"/>
    <w:rsid w:val="00666D60"/>
    <w:rsid w:val="006722DD"/>
    <w:rsid w:val="0067293E"/>
    <w:rsid w:val="00673479"/>
    <w:rsid w:val="00674FDA"/>
    <w:rsid w:val="00680528"/>
    <w:rsid w:val="00694806"/>
    <w:rsid w:val="006950A7"/>
    <w:rsid w:val="006973B6"/>
    <w:rsid w:val="006A2C3A"/>
    <w:rsid w:val="006A3BC8"/>
    <w:rsid w:val="006A5255"/>
    <w:rsid w:val="006B0CF2"/>
    <w:rsid w:val="006B1E2D"/>
    <w:rsid w:val="006B3E56"/>
    <w:rsid w:val="006B41E1"/>
    <w:rsid w:val="006B4F4E"/>
    <w:rsid w:val="006C3226"/>
    <w:rsid w:val="006C6555"/>
    <w:rsid w:val="006C6E81"/>
    <w:rsid w:val="006C7B2A"/>
    <w:rsid w:val="006D2479"/>
    <w:rsid w:val="006D2A15"/>
    <w:rsid w:val="006D381E"/>
    <w:rsid w:val="006D4C20"/>
    <w:rsid w:val="006D4F93"/>
    <w:rsid w:val="006D55F6"/>
    <w:rsid w:val="006D6FB0"/>
    <w:rsid w:val="006E08FB"/>
    <w:rsid w:val="006E227D"/>
    <w:rsid w:val="006E25EF"/>
    <w:rsid w:val="006E41A9"/>
    <w:rsid w:val="006E61FD"/>
    <w:rsid w:val="006F2084"/>
    <w:rsid w:val="006F7753"/>
    <w:rsid w:val="00700ABC"/>
    <w:rsid w:val="0070591F"/>
    <w:rsid w:val="007105C6"/>
    <w:rsid w:val="007142D3"/>
    <w:rsid w:val="007150E7"/>
    <w:rsid w:val="00715AFF"/>
    <w:rsid w:val="00716E3A"/>
    <w:rsid w:val="0072654A"/>
    <w:rsid w:val="0073010B"/>
    <w:rsid w:val="007340D5"/>
    <w:rsid w:val="00734979"/>
    <w:rsid w:val="007371CA"/>
    <w:rsid w:val="00740362"/>
    <w:rsid w:val="00743F61"/>
    <w:rsid w:val="00744B56"/>
    <w:rsid w:val="0075026C"/>
    <w:rsid w:val="00753DE9"/>
    <w:rsid w:val="00754ED3"/>
    <w:rsid w:val="00757C66"/>
    <w:rsid w:val="007654BC"/>
    <w:rsid w:val="00771AB0"/>
    <w:rsid w:val="00776115"/>
    <w:rsid w:val="00776D38"/>
    <w:rsid w:val="00780E24"/>
    <w:rsid w:val="007824F3"/>
    <w:rsid w:val="00797647"/>
    <w:rsid w:val="007A1F22"/>
    <w:rsid w:val="007A58E5"/>
    <w:rsid w:val="007A7F82"/>
    <w:rsid w:val="007B37CD"/>
    <w:rsid w:val="007B5FF8"/>
    <w:rsid w:val="007C0949"/>
    <w:rsid w:val="007C2F8F"/>
    <w:rsid w:val="007C30C4"/>
    <w:rsid w:val="007D05F9"/>
    <w:rsid w:val="007D376B"/>
    <w:rsid w:val="007D3D07"/>
    <w:rsid w:val="007D4E69"/>
    <w:rsid w:val="007D7EA8"/>
    <w:rsid w:val="007E0A2E"/>
    <w:rsid w:val="007E2124"/>
    <w:rsid w:val="007F1CF4"/>
    <w:rsid w:val="007F44FB"/>
    <w:rsid w:val="0080308F"/>
    <w:rsid w:val="00804332"/>
    <w:rsid w:val="00804D5F"/>
    <w:rsid w:val="00806912"/>
    <w:rsid w:val="00807354"/>
    <w:rsid w:val="00817B2A"/>
    <w:rsid w:val="00820959"/>
    <w:rsid w:val="00821126"/>
    <w:rsid w:val="00822A36"/>
    <w:rsid w:val="00824074"/>
    <w:rsid w:val="0082591A"/>
    <w:rsid w:val="0083698B"/>
    <w:rsid w:val="00840E1F"/>
    <w:rsid w:val="00841803"/>
    <w:rsid w:val="00844555"/>
    <w:rsid w:val="00851492"/>
    <w:rsid w:val="008610E7"/>
    <w:rsid w:val="00861A7E"/>
    <w:rsid w:val="00870221"/>
    <w:rsid w:val="0087258D"/>
    <w:rsid w:val="008726B0"/>
    <w:rsid w:val="00876499"/>
    <w:rsid w:val="0087660D"/>
    <w:rsid w:val="0087756B"/>
    <w:rsid w:val="0088318D"/>
    <w:rsid w:val="00883A2F"/>
    <w:rsid w:val="0088721A"/>
    <w:rsid w:val="00890E55"/>
    <w:rsid w:val="00891E05"/>
    <w:rsid w:val="0089311E"/>
    <w:rsid w:val="00894022"/>
    <w:rsid w:val="008A0499"/>
    <w:rsid w:val="008A6B69"/>
    <w:rsid w:val="008B05E8"/>
    <w:rsid w:val="008B0F68"/>
    <w:rsid w:val="008B3FAA"/>
    <w:rsid w:val="008B613E"/>
    <w:rsid w:val="008B7AE6"/>
    <w:rsid w:val="008C16B1"/>
    <w:rsid w:val="008C2C18"/>
    <w:rsid w:val="008C4582"/>
    <w:rsid w:val="008C7861"/>
    <w:rsid w:val="008D2AB0"/>
    <w:rsid w:val="008D4A80"/>
    <w:rsid w:val="008D623B"/>
    <w:rsid w:val="008D7639"/>
    <w:rsid w:val="008D7EF3"/>
    <w:rsid w:val="008F3F90"/>
    <w:rsid w:val="009001ED"/>
    <w:rsid w:val="00905F72"/>
    <w:rsid w:val="009104C2"/>
    <w:rsid w:val="009105B0"/>
    <w:rsid w:val="00910920"/>
    <w:rsid w:val="00911E24"/>
    <w:rsid w:val="009141E5"/>
    <w:rsid w:val="00917750"/>
    <w:rsid w:val="00921829"/>
    <w:rsid w:val="0092510D"/>
    <w:rsid w:val="00931050"/>
    <w:rsid w:val="00931136"/>
    <w:rsid w:val="009401E6"/>
    <w:rsid w:val="0094183E"/>
    <w:rsid w:val="00944458"/>
    <w:rsid w:val="00945F8D"/>
    <w:rsid w:val="00951549"/>
    <w:rsid w:val="00955BB8"/>
    <w:rsid w:val="0095629E"/>
    <w:rsid w:val="00957497"/>
    <w:rsid w:val="00970630"/>
    <w:rsid w:val="00986E3A"/>
    <w:rsid w:val="009900DD"/>
    <w:rsid w:val="00990999"/>
    <w:rsid w:val="00990F6E"/>
    <w:rsid w:val="0099106E"/>
    <w:rsid w:val="0099230D"/>
    <w:rsid w:val="009923C4"/>
    <w:rsid w:val="009951F0"/>
    <w:rsid w:val="00996840"/>
    <w:rsid w:val="009A0B92"/>
    <w:rsid w:val="009A2BAA"/>
    <w:rsid w:val="009B0EED"/>
    <w:rsid w:val="009B34B3"/>
    <w:rsid w:val="009B48B2"/>
    <w:rsid w:val="009B6AE8"/>
    <w:rsid w:val="009B7199"/>
    <w:rsid w:val="009C2450"/>
    <w:rsid w:val="009C3843"/>
    <w:rsid w:val="009C466B"/>
    <w:rsid w:val="009D4398"/>
    <w:rsid w:val="009D7391"/>
    <w:rsid w:val="009D7D82"/>
    <w:rsid w:val="009E0169"/>
    <w:rsid w:val="009E06B8"/>
    <w:rsid w:val="009E2733"/>
    <w:rsid w:val="009E4349"/>
    <w:rsid w:val="009E48AD"/>
    <w:rsid w:val="009E5811"/>
    <w:rsid w:val="009E6E35"/>
    <w:rsid w:val="009F43EF"/>
    <w:rsid w:val="009F4E6A"/>
    <w:rsid w:val="009F5F99"/>
    <w:rsid w:val="00A001C6"/>
    <w:rsid w:val="00A0495A"/>
    <w:rsid w:val="00A05D50"/>
    <w:rsid w:val="00A10622"/>
    <w:rsid w:val="00A2342D"/>
    <w:rsid w:val="00A2368E"/>
    <w:rsid w:val="00A2429C"/>
    <w:rsid w:val="00A24B05"/>
    <w:rsid w:val="00A257A9"/>
    <w:rsid w:val="00A27838"/>
    <w:rsid w:val="00A322B2"/>
    <w:rsid w:val="00A322F8"/>
    <w:rsid w:val="00A330FA"/>
    <w:rsid w:val="00A33920"/>
    <w:rsid w:val="00A37CBB"/>
    <w:rsid w:val="00A4039F"/>
    <w:rsid w:val="00A4139F"/>
    <w:rsid w:val="00A41A9C"/>
    <w:rsid w:val="00A45DC3"/>
    <w:rsid w:val="00A51FAA"/>
    <w:rsid w:val="00A53B80"/>
    <w:rsid w:val="00A53C2E"/>
    <w:rsid w:val="00A54CB8"/>
    <w:rsid w:val="00A57C05"/>
    <w:rsid w:val="00A60B5E"/>
    <w:rsid w:val="00A659EE"/>
    <w:rsid w:val="00A662DC"/>
    <w:rsid w:val="00A70333"/>
    <w:rsid w:val="00A70A35"/>
    <w:rsid w:val="00A7140E"/>
    <w:rsid w:val="00A769DE"/>
    <w:rsid w:val="00A77CCB"/>
    <w:rsid w:val="00A80E4A"/>
    <w:rsid w:val="00A828AD"/>
    <w:rsid w:val="00A83486"/>
    <w:rsid w:val="00A860C5"/>
    <w:rsid w:val="00A86105"/>
    <w:rsid w:val="00A86875"/>
    <w:rsid w:val="00A971D3"/>
    <w:rsid w:val="00AA0264"/>
    <w:rsid w:val="00AA0B89"/>
    <w:rsid w:val="00AA1628"/>
    <w:rsid w:val="00AA2823"/>
    <w:rsid w:val="00AA2D6B"/>
    <w:rsid w:val="00AA3B8D"/>
    <w:rsid w:val="00AA6729"/>
    <w:rsid w:val="00AB26CF"/>
    <w:rsid w:val="00AB2A25"/>
    <w:rsid w:val="00AB423D"/>
    <w:rsid w:val="00AB62AF"/>
    <w:rsid w:val="00AB79CF"/>
    <w:rsid w:val="00AC0CE4"/>
    <w:rsid w:val="00AC21CC"/>
    <w:rsid w:val="00AC550D"/>
    <w:rsid w:val="00AC6A9B"/>
    <w:rsid w:val="00AD10B7"/>
    <w:rsid w:val="00AD1819"/>
    <w:rsid w:val="00AD5D4C"/>
    <w:rsid w:val="00AD6F34"/>
    <w:rsid w:val="00AE21CC"/>
    <w:rsid w:val="00AE2543"/>
    <w:rsid w:val="00AE6945"/>
    <w:rsid w:val="00AF2A4F"/>
    <w:rsid w:val="00AF30C8"/>
    <w:rsid w:val="00AF53DE"/>
    <w:rsid w:val="00AF5ED4"/>
    <w:rsid w:val="00AF6798"/>
    <w:rsid w:val="00AF7141"/>
    <w:rsid w:val="00AF7A63"/>
    <w:rsid w:val="00B0225F"/>
    <w:rsid w:val="00B071DA"/>
    <w:rsid w:val="00B143C4"/>
    <w:rsid w:val="00B146D3"/>
    <w:rsid w:val="00B14C7E"/>
    <w:rsid w:val="00B14F32"/>
    <w:rsid w:val="00B1539E"/>
    <w:rsid w:val="00B2084F"/>
    <w:rsid w:val="00B21172"/>
    <w:rsid w:val="00B21E21"/>
    <w:rsid w:val="00B22E17"/>
    <w:rsid w:val="00B23A90"/>
    <w:rsid w:val="00B25B77"/>
    <w:rsid w:val="00B2627E"/>
    <w:rsid w:val="00B264CC"/>
    <w:rsid w:val="00B358F3"/>
    <w:rsid w:val="00B5062A"/>
    <w:rsid w:val="00B52EED"/>
    <w:rsid w:val="00B531DD"/>
    <w:rsid w:val="00B54602"/>
    <w:rsid w:val="00B5571F"/>
    <w:rsid w:val="00B579F7"/>
    <w:rsid w:val="00B63136"/>
    <w:rsid w:val="00B634DC"/>
    <w:rsid w:val="00B71A0A"/>
    <w:rsid w:val="00B833F9"/>
    <w:rsid w:val="00B85206"/>
    <w:rsid w:val="00B85C26"/>
    <w:rsid w:val="00B87A1C"/>
    <w:rsid w:val="00B91861"/>
    <w:rsid w:val="00B923B7"/>
    <w:rsid w:val="00B951D1"/>
    <w:rsid w:val="00BA0C50"/>
    <w:rsid w:val="00BA1B6C"/>
    <w:rsid w:val="00BA495F"/>
    <w:rsid w:val="00BA6E5A"/>
    <w:rsid w:val="00BB61B9"/>
    <w:rsid w:val="00BB6ABE"/>
    <w:rsid w:val="00BC0235"/>
    <w:rsid w:val="00BC164F"/>
    <w:rsid w:val="00BD0215"/>
    <w:rsid w:val="00BD1CA0"/>
    <w:rsid w:val="00BD2629"/>
    <w:rsid w:val="00BD75F4"/>
    <w:rsid w:val="00BE317B"/>
    <w:rsid w:val="00BF39C7"/>
    <w:rsid w:val="00C03548"/>
    <w:rsid w:val="00C04348"/>
    <w:rsid w:val="00C12334"/>
    <w:rsid w:val="00C203D0"/>
    <w:rsid w:val="00C20572"/>
    <w:rsid w:val="00C227AF"/>
    <w:rsid w:val="00C24809"/>
    <w:rsid w:val="00C26301"/>
    <w:rsid w:val="00C33852"/>
    <w:rsid w:val="00C361A7"/>
    <w:rsid w:val="00C42D51"/>
    <w:rsid w:val="00C54BE7"/>
    <w:rsid w:val="00C54ECA"/>
    <w:rsid w:val="00C558D0"/>
    <w:rsid w:val="00C5723B"/>
    <w:rsid w:val="00C57497"/>
    <w:rsid w:val="00C60B87"/>
    <w:rsid w:val="00C629AA"/>
    <w:rsid w:val="00C63C1F"/>
    <w:rsid w:val="00C66136"/>
    <w:rsid w:val="00C742C5"/>
    <w:rsid w:val="00C801EC"/>
    <w:rsid w:val="00C82E27"/>
    <w:rsid w:val="00C842F5"/>
    <w:rsid w:val="00C844C0"/>
    <w:rsid w:val="00C945D9"/>
    <w:rsid w:val="00C9583D"/>
    <w:rsid w:val="00CA0751"/>
    <w:rsid w:val="00CA4965"/>
    <w:rsid w:val="00CA6258"/>
    <w:rsid w:val="00CB2604"/>
    <w:rsid w:val="00CB7B7D"/>
    <w:rsid w:val="00CD0E98"/>
    <w:rsid w:val="00CD21B4"/>
    <w:rsid w:val="00CD6D35"/>
    <w:rsid w:val="00CD799E"/>
    <w:rsid w:val="00CE0A9B"/>
    <w:rsid w:val="00CE1FB8"/>
    <w:rsid w:val="00CE49B4"/>
    <w:rsid w:val="00CE501F"/>
    <w:rsid w:val="00D04A23"/>
    <w:rsid w:val="00D05486"/>
    <w:rsid w:val="00D11202"/>
    <w:rsid w:val="00D119D6"/>
    <w:rsid w:val="00D11AEA"/>
    <w:rsid w:val="00D13001"/>
    <w:rsid w:val="00D142E7"/>
    <w:rsid w:val="00D1762A"/>
    <w:rsid w:val="00D20A2A"/>
    <w:rsid w:val="00D21007"/>
    <w:rsid w:val="00D21429"/>
    <w:rsid w:val="00D2592A"/>
    <w:rsid w:val="00D32104"/>
    <w:rsid w:val="00D35033"/>
    <w:rsid w:val="00D35577"/>
    <w:rsid w:val="00D43BA0"/>
    <w:rsid w:val="00D44A45"/>
    <w:rsid w:val="00D50585"/>
    <w:rsid w:val="00D55009"/>
    <w:rsid w:val="00D57EA3"/>
    <w:rsid w:val="00D60B37"/>
    <w:rsid w:val="00D63E91"/>
    <w:rsid w:val="00D664E8"/>
    <w:rsid w:val="00D66FE8"/>
    <w:rsid w:val="00D679A6"/>
    <w:rsid w:val="00D71593"/>
    <w:rsid w:val="00D72085"/>
    <w:rsid w:val="00D721C9"/>
    <w:rsid w:val="00D73687"/>
    <w:rsid w:val="00D77481"/>
    <w:rsid w:val="00D817A8"/>
    <w:rsid w:val="00D872E3"/>
    <w:rsid w:val="00D9143B"/>
    <w:rsid w:val="00D91859"/>
    <w:rsid w:val="00D922A8"/>
    <w:rsid w:val="00D93B76"/>
    <w:rsid w:val="00D94B2E"/>
    <w:rsid w:val="00D953F7"/>
    <w:rsid w:val="00DA0ECD"/>
    <w:rsid w:val="00DA48FF"/>
    <w:rsid w:val="00DA7D72"/>
    <w:rsid w:val="00DB0DBF"/>
    <w:rsid w:val="00DC0C1D"/>
    <w:rsid w:val="00DC1BF9"/>
    <w:rsid w:val="00DC2023"/>
    <w:rsid w:val="00DC2EF7"/>
    <w:rsid w:val="00DC5FF4"/>
    <w:rsid w:val="00DC79C9"/>
    <w:rsid w:val="00DD041F"/>
    <w:rsid w:val="00DD067E"/>
    <w:rsid w:val="00DE0D6E"/>
    <w:rsid w:val="00DE113A"/>
    <w:rsid w:val="00DE2EBA"/>
    <w:rsid w:val="00DE65D0"/>
    <w:rsid w:val="00DE6670"/>
    <w:rsid w:val="00DF121D"/>
    <w:rsid w:val="00DF199B"/>
    <w:rsid w:val="00DF1B19"/>
    <w:rsid w:val="00DF1CE2"/>
    <w:rsid w:val="00DF5499"/>
    <w:rsid w:val="00DF58F3"/>
    <w:rsid w:val="00DF7145"/>
    <w:rsid w:val="00E0441A"/>
    <w:rsid w:val="00E0601E"/>
    <w:rsid w:val="00E10FCE"/>
    <w:rsid w:val="00E13A87"/>
    <w:rsid w:val="00E14082"/>
    <w:rsid w:val="00E14BB1"/>
    <w:rsid w:val="00E204B1"/>
    <w:rsid w:val="00E24662"/>
    <w:rsid w:val="00E2727A"/>
    <w:rsid w:val="00E37D1F"/>
    <w:rsid w:val="00E46408"/>
    <w:rsid w:val="00E4656B"/>
    <w:rsid w:val="00E509E7"/>
    <w:rsid w:val="00E525E6"/>
    <w:rsid w:val="00E561BA"/>
    <w:rsid w:val="00E62440"/>
    <w:rsid w:val="00E64644"/>
    <w:rsid w:val="00E73BF6"/>
    <w:rsid w:val="00E73C4D"/>
    <w:rsid w:val="00E7625C"/>
    <w:rsid w:val="00E77F9C"/>
    <w:rsid w:val="00E813DD"/>
    <w:rsid w:val="00E83AF8"/>
    <w:rsid w:val="00E85C42"/>
    <w:rsid w:val="00E905D5"/>
    <w:rsid w:val="00E90DB7"/>
    <w:rsid w:val="00E94217"/>
    <w:rsid w:val="00E97D5A"/>
    <w:rsid w:val="00EB06FA"/>
    <w:rsid w:val="00EB4EED"/>
    <w:rsid w:val="00EB7597"/>
    <w:rsid w:val="00EC0982"/>
    <w:rsid w:val="00EC2DC8"/>
    <w:rsid w:val="00EC38A4"/>
    <w:rsid w:val="00EC392A"/>
    <w:rsid w:val="00EC47AF"/>
    <w:rsid w:val="00EC581B"/>
    <w:rsid w:val="00ED7A0A"/>
    <w:rsid w:val="00EE19DC"/>
    <w:rsid w:val="00EE3545"/>
    <w:rsid w:val="00EE4025"/>
    <w:rsid w:val="00EE68A6"/>
    <w:rsid w:val="00EF3F60"/>
    <w:rsid w:val="00EF72C2"/>
    <w:rsid w:val="00EF744C"/>
    <w:rsid w:val="00F00E8F"/>
    <w:rsid w:val="00F02432"/>
    <w:rsid w:val="00F03C39"/>
    <w:rsid w:val="00F0405B"/>
    <w:rsid w:val="00F041CE"/>
    <w:rsid w:val="00F06743"/>
    <w:rsid w:val="00F100D6"/>
    <w:rsid w:val="00F124B4"/>
    <w:rsid w:val="00F131A7"/>
    <w:rsid w:val="00F156FA"/>
    <w:rsid w:val="00F15D9C"/>
    <w:rsid w:val="00F27871"/>
    <w:rsid w:val="00F40678"/>
    <w:rsid w:val="00F40DAA"/>
    <w:rsid w:val="00F41A59"/>
    <w:rsid w:val="00F44362"/>
    <w:rsid w:val="00F47BAD"/>
    <w:rsid w:val="00F55F8B"/>
    <w:rsid w:val="00F60314"/>
    <w:rsid w:val="00F6602B"/>
    <w:rsid w:val="00F70EC3"/>
    <w:rsid w:val="00F72B42"/>
    <w:rsid w:val="00F77799"/>
    <w:rsid w:val="00F86787"/>
    <w:rsid w:val="00F90F8F"/>
    <w:rsid w:val="00F914C1"/>
    <w:rsid w:val="00F92423"/>
    <w:rsid w:val="00F95521"/>
    <w:rsid w:val="00F95C9F"/>
    <w:rsid w:val="00F96DB8"/>
    <w:rsid w:val="00FA5961"/>
    <w:rsid w:val="00FA621C"/>
    <w:rsid w:val="00FA7380"/>
    <w:rsid w:val="00FA760F"/>
    <w:rsid w:val="00FB0BD8"/>
    <w:rsid w:val="00FB383C"/>
    <w:rsid w:val="00FB635F"/>
    <w:rsid w:val="00FC0EB9"/>
    <w:rsid w:val="00FC458A"/>
    <w:rsid w:val="00FC5008"/>
    <w:rsid w:val="00FC5C94"/>
    <w:rsid w:val="00FD2191"/>
    <w:rsid w:val="00FD78F5"/>
    <w:rsid w:val="00FD7AC8"/>
    <w:rsid w:val="00FE0F2C"/>
    <w:rsid w:val="00FE51A8"/>
    <w:rsid w:val="00FF1418"/>
    <w:rsid w:val="00FF3932"/>
    <w:rsid w:val="00FF7382"/>
    <w:rsid w:val="01104379"/>
    <w:rsid w:val="017D24E7"/>
    <w:rsid w:val="01C93924"/>
    <w:rsid w:val="020977BD"/>
    <w:rsid w:val="022A367E"/>
    <w:rsid w:val="025274A6"/>
    <w:rsid w:val="02D97932"/>
    <w:rsid w:val="02FA334B"/>
    <w:rsid w:val="02FE303C"/>
    <w:rsid w:val="030B5698"/>
    <w:rsid w:val="033E5019"/>
    <w:rsid w:val="03554CA0"/>
    <w:rsid w:val="035C2072"/>
    <w:rsid w:val="03953BB3"/>
    <w:rsid w:val="03B02BA6"/>
    <w:rsid w:val="04142C09"/>
    <w:rsid w:val="04211283"/>
    <w:rsid w:val="04364095"/>
    <w:rsid w:val="043E3331"/>
    <w:rsid w:val="046A4D9C"/>
    <w:rsid w:val="0472403B"/>
    <w:rsid w:val="04854572"/>
    <w:rsid w:val="04AB7450"/>
    <w:rsid w:val="04D1612B"/>
    <w:rsid w:val="04E45096"/>
    <w:rsid w:val="05020F16"/>
    <w:rsid w:val="05174902"/>
    <w:rsid w:val="057C6FB6"/>
    <w:rsid w:val="05871812"/>
    <w:rsid w:val="059B1668"/>
    <w:rsid w:val="05F80829"/>
    <w:rsid w:val="06221A10"/>
    <w:rsid w:val="06A34B0A"/>
    <w:rsid w:val="06E50054"/>
    <w:rsid w:val="072F7853"/>
    <w:rsid w:val="075561FD"/>
    <w:rsid w:val="078A791D"/>
    <w:rsid w:val="07D111B3"/>
    <w:rsid w:val="08111C75"/>
    <w:rsid w:val="08582265"/>
    <w:rsid w:val="08593679"/>
    <w:rsid w:val="08884E7A"/>
    <w:rsid w:val="088B7D58"/>
    <w:rsid w:val="08C349A1"/>
    <w:rsid w:val="08EB3591"/>
    <w:rsid w:val="091077A1"/>
    <w:rsid w:val="099B4888"/>
    <w:rsid w:val="09B20A6B"/>
    <w:rsid w:val="09FD0617"/>
    <w:rsid w:val="0A077D7D"/>
    <w:rsid w:val="0A21416A"/>
    <w:rsid w:val="0A8D26B6"/>
    <w:rsid w:val="0AFC363F"/>
    <w:rsid w:val="0B8B4DE0"/>
    <w:rsid w:val="0CE56FC3"/>
    <w:rsid w:val="0D2715C2"/>
    <w:rsid w:val="0D35094C"/>
    <w:rsid w:val="0D5C2E4A"/>
    <w:rsid w:val="0D902FD7"/>
    <w:rsid w:val="0D9952B6"/>
    <w:rsid w:val="0DE24473"/>
    <w:rsid w:val="0E3F2FE4"/>
    <w:rsid w:val="0E991406"/>
    <w:rsid w:val="0EF155A5"/>
    <w:rsid w:val="0F0C48FF"/>
    <w:rsid w:val="0F101EC1"/>
    <w:rsid w:val="0FD43307"/>
    <w:rsid w:val="0FFA0ECF"/>
    <w:rsid w:val="100056CE"/>
    <w:rsid w:val="10370B9F"/>
    <w:rsid w:val="10946105"/>
    <w:rsid w:val="10B12199"/>
    <w:rsid w:val="111D1BD7"/>
    <w:rsid w:val="113A0E55"/>
    <w:rsid w:val="1165309D"/>
    <w:rsid w:val="11932412"/>
    <w:rsid w:val="11970A12"/>
    <w:rsid w:val="123C75C2"/>
    <w:rsid w:val="12B1009A"/>
    <w:rsid w:val="13506956"/>
    <w:rsid w:val="13762AD6"/>
    <w:rsid w:val="1390114F"/>
    <w:rsid w:val="13BA5886"/>
    <w:rsid w:val="13C46740"/>
    <w:rsid w:val="13D95226"/>
    <w:rsid w:val="13E57192"/>
    <w:rsid w:val="146D22B4"/>
    <w:rsid w:val="146E2EC2"/>
    <w:rsid w:val="14720345"/>
    <w:rsid w:val="15634019"/>
    <w:rsid w:val="15D7596F"/>
    <w:rsid w:val="166A308F"/>
    <w:rsid w:val="16B73A89"/>
    <w:rsid w:val="17213ECA"/>
    <w:rsid w:val="17677CF2"/>
    <w:rsid w:val="177A49E9"/>
    <w:rsid w:val="182D4334"/>
    <w:rsid w:val="18591101"/>
    <w:rsid w:val="18ED0FFF"/>
    <w:rsid w:val="19021586"/>
    <w:rsid w:val="19265266"/>
    <w:rsid w:val="19383530"/>
    <w:rsid w:val="1A270E8E"/>
    <w:rsid w:val="1A482FEC"/>
    <w:rsid w:val="1A5E6B80"/>
    <w:rsid w:val="1AA03398"/>
    <w:rsid w:val="1B211B8B"/>
    <w:rsid w:val="1B286752"/>
    <w:rsid w:val="1B8D3E2A"/>
    <w:rsid w:val="1BC50DBD"/>
    <w:rsid w:val="1BCE1184"/>
    <w:rsid w:val="1BF91BF2"/>
    <w:rsid w:val="1CDF755C"/>
    <w:rsid w:val="1CF94444"/>
    <w:rsid w:val="1D1A477E"/>
    <w:rsid w:val="1D356504"/>
    <w:rsid w:val="1D740F85"/>
    <w:rsid w:val="1D756AF7"/>
    <w:rsid w:val="1DCC1305"/>
    <w:rsid w:val="1DFD4D72"/>
    <w:rsid w:val="1E7B6108"/>
    <w:rsid w:val="1EE87C4A"/>
    <w:rsid w:val="1F1368B1"/>
    <w:rsid w:val="1F490BD0"/>
    <w:rsid w:val="1F8940C0"/>
    <w:rsid w:val="1FC46820"/>
    <w:rsid w:val="203F5FDE"/>
    <w:rsid w:val="207A3DCD"/>
    <w:rsid w:val="207C4517"/>
    <w:rsid w:val="209340B1"/>
    <w:rsid w:val="20A352EE"/>
    <w:rsid w:val="20EC0580"/>
    <w:rsid w:val="20F27F64"/>
    <w:rsid w:val="2123575D"/>
    <w:rsid w:val="21675AA9"/>
    <w:rsid w:val="21891B92"/>
    <w:rsid w:val="21C118A9"/>
    <w:rsid w:val="21D04EFA"/>
    <w:rsid w:val="21E9654E"/>
    <w:rsid w:val="22193F66"/>
    <w:rsid w:val="224A5F8E"/>
    <w:rsid w:val="2274002B"/>
    <w:rsid w:val="22901012"/>
    <w:rsid w:val="229F426D"/>
    <w:rsid w:val="22C74978"/>
    <w:rsid w:val="22DA3C8F"/>
    <w:rsid w:val="22DD2309"/>
    <w:rsid w:val="23337335"/>
    <w:rsid w:val="23451A93"/>
    <w:rsid w:val="234922BE"/>
    <w:rsid w:val="236F3A5D"/>
    <w:rsid w:val="2462471A"/>
    <w:rsid w:val="24D76F0E"/>
    <w:rsid w:val="2539309D"/>
    <w:rsid w:val="253A356C"/>
    <w:rsid w:val="25AE1575"/>
    <w:rsid w:val="26005A5C"/>
    <w:rsid w:val="262B5A00"/>
    <w:rsid w:val="263444D5"/>
    <w:rsid w:val="263456DD"/>
    <w:rsid w:val="26503ADE"/>
    <w:rsid w:val="26B55BBB"/>
    <w:rsid w:val="26ED0CD7"/>
    <w:rsid w:val="26F940E4"/>
    <w:rsid w:val="272B616F"/>
    <w:rsid w:val="27D26809"/>
    <w:rsid w:val="27E60375"/>
    <w:rsid w:val="289D78C2"/>
    <w:rsid w:val="28EE15A5"/>
    <w:rsid w:val="28EF6D4E"/>
    <w:rsid w:val="299C4B35"/>
    <w:rsid w:val="29B3023E"/>
    <w:rsid w:val="29DE25C5"/>
    <w:rsid w:val="2AA404F3"/>
    <w:rsid w:val="2ACD4CF6"/>
    <w:rsid w:val="2B367D2F"/>
    <w:rsid w:val="2B3968F0"/>
    <w:rsid w:val="2B920B34"/>
    <w:rsid w:val="2BAE34C3"/>
    <w:rsid w:val="2BB838DB"/>
    <w:rsid w:val="2BDC0C17"/>
    <w:rsid w:val="2BE26A7F"/>
    <w:rsid w:val="2BEC6249"/>
    <w:rsid w:val="2BED04FA"/>
    <w:rsid w:val="2C251026"/>
    <w:rsid w:val="2C347F0F"/>
    <w:rsid w:val="2C4A49D8"/>
    <w:rsid w:val="2CD42286"/>
    <w:rsid w:val="2CDA0CB6"/>
    <w:rsid w:val="2CF44D79"/>
    <w:rsid w:val="2D316D63"/>
    <w:rsid w:val="2D36485A"/>
    <w:rsid w:val="2D5347EA"/>
    <w:rsid w:val="2D620E38"/>
    <w:rsid w:val="2D642688"/>
    <w:rsid w:val="2D7C7CF4"/>
    <w:rsid w:val="2D897879"/>
    <w:rsid w:val="2DBC39FD"/>
    <w:rsid w:val="2DDA7FC0"/>
    <w:rsid w:val="2DFD7CA4"/>
    <w:rsid w:val="2E491730"/>
    <w:rsid w:val="2E865DCA"/>
    <w:rsid w:val="2EA73EA1"/>
    <w:rsid w:val="2ECB03FE"/>
    <w:rsid w:val="2F3133D2"/>
    <w:rsid w:val="2F5340EA"/>
    <w:rsid w:val="2FA10CD6"/>
    <w:rsid w:val="2FF13735"/>
    <w:rsid w:val="30664316"/>
    <w:rsid w:val="30C33340"/>
    <w:rsid w:val="30EA77FB"/>
    <w:rsid w:val="31197453"/>
    <w:rsid w:val="311B1356"/>
    <w:rsid w:val="31457A93"/>
    <w:rsid w:val="315517AB"/>
    <w:rsid w:val="31662BCB"/>
    <w:rsid w:val="31814FE9"/>
    <w:rsid w:val="31C16E39"/>
    <w:rsid w:val="31E25BB4"/>
    <w:rsid w:val="321A6E7D"/>
    <w:rsid w:val="327C6640"/>
    <w:rsid w:val="32EF51CC"/>
    <w:rsid w:val="32F9442A"/>
    <w:rsid w:val="33097F2A"/>
    <w:rsid w:val="33441551"/>
    <w:rsid w:val="3353243E"/>
    <w:rsid w:val="33654338"/>
    <w:rsid w:val="336A19B6"/>
    <w:rsid w:val="33C950B0"/>
    <w:rsid w:val="33E828CB"/>
    <w:rsid w:val="33FF7F10"/>
    <w:rsid w:val="342C3F32"/>
    <w:rsid w:val="34A97268"/>
    <w:rsid w:val="34EA31E6"/>
    <w:rsid w:val="350F6423"/>
    <w:rsid w:val="355E3A0E"/>
    <w:rsid w:val="3561644C"/>
    <w:rsid w:val="357D4B20"/>
    <w:rsid w:val="35ED30F8"/>
    <w:rsid w:val="35F13532"/>
    <w:rsid w:val="368359B1"/>
    <w:rsid w:val="36910BF5"/>
    <w:rsid w:val="36A9040F"/>
    <w:rsid w:val="36DE74A9"/>
    <w:rsid w:val="36F61909"/>
    <w:rsid w:val="371E2AB9"/>
    <w:rsid w:val="37C83D0E"/>
    <w:rsid w:val="38007279"/>
    <w:rsid w:val="38062302"/>
    <w:rsid w:val="38480073"/>
    <w:rsid w:val="387A4874"/>
    <w:rsid w:val="38D77247"/>
    <w:rsid w:val="394A0557"/>
    <w:rsid w:val="397E0FAD"/>
    <w:rsid w:val="39B9615E"/>
    <w:rsid w:val="39FD5597"/>
    <w:rsid w:val="3A08268A"/>
    <w:rsid w:val="3A0F5542"/>
    <w:rsid w:val="3A107BEB"/>
    <w:rsid w:val="3A244B3F"/>
    <w:rsid w:val="3A73621F"/>
    <w:rsid w:val="3A826CAF"/>
    <w:rsid w:val="3AD13575"/>
    <w:rsid w:val="3AF6532F"/>
    <w:rsid w:val="3B206C1B"/>
    <w:rsid w:val="3B380F4A"/>
    <w:rsid w:val="3BEA58B6"/>
    <w:rsid w:val="3C0D60B5"/>
    <w:rsid w:val="3C745865"/>
    <w:rsid w:val="3CA41CE4"/>
    <w:rsid w:val="3CC403F4"/>
    <w:rsid w:val="3CE72D40"/>
    <w:rsid w:val="3D0A06B9"/>
    <w:rsid w:val="3D686FDA"/>
    <w:rsid w:val="3D7A13E6"/>
    <w:rsid w:val="3DAB6DC9"/>
    <w:rsid w:val="3DD418ED"/>
    <w:rsid w:val="3DE93C81"/>
    <w:rsid w:val="3EF237CF"/>
    <w:rsid w:val="3F1F73B9"/>
    <w:rsid w:val="3F234BE3"/>
    <w:rsid w:val="3F47761A"/>
    <w:rsid w:val="402D3E61"/>
    <w:rsid w:val="40674E8D"/>
    <w:rsid w:val="40695451"/>
    <w:rsid w:val="40DA163C"/>
    <w:rsid w:val="41440BD9"/>
    <w:rsid w:val="4145582A"/>
    <w:rsid w:val="41736AD0"/>
    <w:rsid w:val="41D04D8C"/>
    <w:rsid w:val="41F30D48"/>
    <w:rsid w:val="423D4A75"/>
    <w:rsid w:val="42542847"/>
    <w:rsid w:val="42661BE8"/>
    <w:rsid w:val="42AE792B"/>
    <w:rsid w:val="42D01B58"/>
    <w:rsid w:val="42D34BA5"/>
    <w:rsid w:val="43400BBE"/>
    <w:rsid w:val="43985F73"/>
    <w:rsid w:val="43D30704"/>
    <w:rsid w:val="43E474D1"/>
    <w:rsid w:val="442676FC"/>
    <w:rsid w:val="450204EA"/>
    <w:rsid w:val="45133DBF"/>
    <w:rsid w:val="4554013F"/>
    <w:rsid w:val="45A17C49"/>
    <w:rsid w:val="45AA7A07"/>
    <w:rsid w:val="461E641C"/>
    <w:rsid w:val="46263107"/>
    <w:rsid w:val="46621AD7"/>
    <w:rsid w:val="46734F20"/>
    <w:rsid w:val="46977B1E"/>
    <w:rsid w:val="469F3C5B"/>
    <w:rsid w:val="46BA5526"/>
    <w:rsid w:val="46BE667B"/>
    <w:rsid w:val="46F554CE"/>
    <w:rsid w:val="46F74401"/>
    <w:rsid w:val="472136BB"/>
    <w:rsid w:val="478B5CB7"/>
    <w:rsid w:val="47B05EFC"/>
    <w:rsid w:val="47F733AE"/>
    <w:rsid w:val="48016040"/>
    <w:rsid w:val="48533308"/>
    <w:rsid w:val="485941FC"/>
    <w:rsid w:val="48940305"/>
    <w:rsid w:val="48A87F0C"/>
    <w:rsid w:val="490C3B03"/>
    <w:rsid w:val="49233CF0"/>
    <w:rsid w:val="492E2A72"/>
    <w:rsid w:val="494C3EE6"/>
    <w:rsid w:val="497178B6"/>
    <w:rsid w:val="49865504"/>
    <w:rsid w:val="49A6621D"/>
    <w:rsid w:val="49E6464D"/>
    <w:rsid w:val="4A2451EC"/>
    <w:rsid w:val="4A811798"/>
    <w:rsid w:val="4A8F763F"/>
    <w:rsid w:val="4AF859B2"/>
    <w:rsid w:val="4B0874AD"/>
    <w:rsid w:val="4B0E345C"/>
    <w:rsid w:val="4B3B33AC"/>
    <w:rsid w:val="4B743BE2"/>
    <w:rsid w:val="4B8B0E94"/>
    <w:rsid w:val="4BB365A6"/>
    <w:rsid w:val="4BB43099"/>
    <w:rsid w:val="4BE9527A"/>
    <w:rsid w:val="4C172C76"/>
    <w:rsid w:val="4C705795"/>
    <w:rsid w:val="4C74780D"/>
    <w:rsid w:val="4CC31672"/>
    <w:rsid w:val="4D737D68"/>
    <w:rsid w:val="4DCD1169"/>
    <w:rsid w:val="4E201C6B"/>
    <w:rsid w:val="4E3866E7"/>
    <w:rsid w:val="4E7141BA"/>
    <w:rsid w:val="4EB216C6"/>
    <w:rsid w:val="4F331236"/>
    <w:rsid w:val="4F6108D7"/>
    <w:rsid w:val="4F8064A7"/>
    <w:rsid w:val="4FD44992"/>
    <w:rsid w:val="503C42BE"/>
    <w:rsid w:val="50994A0F"/>
    <w:rsid w:val="50BE71AD"/>
    <w:rsid w:val="50FD21FE"/>
    <w:rsid w:val="51210CE5"/>
    <w:rsid w:val="51971BA0"/>
    <w:rsid w:val="51B569A5"/>
    <w:rsid w:val="51E960B4"/>
    <w:rsid w:val="52177962"/>
    <w:rsid w:val="52454D6B"/>
    <w:rsid w:val="526428EC"/>
    <w:rsid w:val="528701FC"/>
    <w:rsid w:val="52DC0605"/>
    <w:rsid w:val="52FD6A39"/>
    <w:rsid w:val="5351490D"/>
    <w:rsid w:val="5367572A"/>
    <w:rsid w:val="53A11FCC"/>
    <w:rsid w:val="53B54F1A"/>
    <w:rsid w:val="53BE3A61"/>
    <w:rsid w:val="53D963DA"/>
    <w:rsid w:val="540922B5"/>
    <w:rsid w:val="54274F8C"/>
    <w:rsid w:val="54315135"/>
    <w:rsid w:val="54466F58"/>
    <w:rsid w:val="545D2D2C"/>
    <w:rsid w:val="54865B46"/>
    <w:rsid w:val="54AB0562"/>
    <w:rsid w:val="54D51BE8"/>
    <w:rsid w:val="553F1C44"/>
    <w:rsid w:val="55763A4C"/>
    <w:rsid w:val="55AA162F"/>
    <w:rsid w:val="561538D2"/>
    <w:rsid w:val="564B40EB"/>
    <w:rsid w:val="566429EF"/>
    <w:rsid w:val="567E6E2E"/>
    <w:rsid w:val="56E35DFC"/>
    <w:rsid w:val="571472B9"/>
    <w:rsid w:val="57636950"/>
    <w:rsid w:val="57713DE2"/>
    <w:rsid w:val="577355BF"/>
    <w:rsid w:val="57996FA8"/>
    <w:rsid w:val="587A7E5E"/>
    <w:rsid w:val="5882123F"/>
    <w:rsid w:val="58A45036"/>
    <w:rsid w:val="59060AFA"/>
    <w:rsid w:val="594A0A6E"/>
    <w:rsid w:val="59652EC9"/>
    <w:rsid w:val="59666590"/>
    <w:rsid w:val="59A4730F"/>
    <w:rsid w:val="59CD4F2E"/>
    <w:rsid w:val="59CE05DC"/>
    <w:rsid w:val="5A780F98"/>
    <w:rsid w:val="5A7F2BCA"/>
    <w:rsid w:val="5AAA5560"/>
    <w:rsid w:val="5AB60CFF"/>
    <w:rsid w:val="5B404397"/>
    <w:rsid w:val="5B461F83"/>
    <w:rsid w:val="5B7F4FD2"/>
    <w:rsid w:val="5B8A79C8"/>
    <w:rsid w:val="5B9E4815"/>
    <w:rsid w:val="5BE55434"/>
    <w:rsid w:val="5C933805"/>
    <w:rsid w:val="5CF92880"/>
    <w:rsid w:val="5CFD78F9"/>
    <w:rsid w:val="5D145B9F"/>
    <w:rsid w:val="5E771BF1"/>
    <w:rsid w:val="5E7B4FDE"/>
    <w:rsid w:val="5EA025CC"/>
    <w:rsid w:val="5EA579A1"/>
    <w:rsid w:val="5EAA301C"/>
    <w:rsid w:val="5F092B4D"/>
    <w:rsid w:val="5F2851A0"/>
    <w:rsid w:val="5F9D7C62"/>
    <w:rsid w:val="5FE25007"/>
    <w:rsid w:val="5FE51F03"/>
    <w:rsid w:val="60F002B2"/>
    <w:rsid w:val="615E74F1"/>
    <w:rsid w:val="61AC282A"/>
    <w:rsid w:val="61C16911"/>
    <w:rsid w:val="6218316F"/>
    <w:rsid w:val="623A14D2"/>
    <w:rsid w:val="624907E8"/>
    <w:rsid w:val="62B6148C"/>
    <w:rsid w:val="62E36F3A"/>
    <w:rsid w:val="636C1CE9"/>
    <w:rsid w:val="63A873A5"/>
    <w:rsid w:val="63AF3BB8"/>
    <w:rsid w:val="641575BC"/>
    <w:rsid w:val="64C00383"/>
    <w:rsid w:val="65151A0D"/>
    <w:rsid w:val="65755A47"/>
    <w:rsid w:val="658E5A27"/>
    <w:rsid w:val="65931376"/>
    <w:rsid w:val="65A47B7A"/>
    <w:rsid w:val="65E6220C"/>
    <w:rsid w:val="661522F6"/>
    <w:rsid w:val="66300DA5"/>
    <w:rsid w:val="66BA023A"/>
    <w:rsid w:val="66D31235"/>
    <w:rsid w:val="66DF34CE"/>
    <w:rsid w:val="66FC4601"/>
    <w:rsid w:val="672E09C3"/>
    <w:rsid w:val="676351DE"/>
    <w:rsid w:val="6769095F"/>
    <w:rsid w:val="67A2231F"/>
    <w:rsid w:val="67E24D11"/>
    <w:rsid w:val="67FE6914"/>
    <w:rsid w:val="687E4072"/>
    <w:rsid w:val="688A1903"/>
    <w:rsid w:val="68A1023F"/>
    <w:rsid w:val="690409F9"/>
    <w:rsid w:val="692E56F6"/>
    <w:rsid w:val="693A53E0"/>
    <w:rsid w:val="694E30EB"/>
    <w:rsid w:val="699574E7"/>
    <w:rsid w:val="69A02A9E"/>
    <w:rsid w:val="69D72B72"/>
    <w:rsid w:val="69E1251F"/>
    <w:rsid w:val="6A721A1C"/>
    <w:rsid w:val="6A886198"/>
    <w:rsid w:val="6AA20AE0"/>
    <w:rsid w:val="6AEF4D91"/>
    <w:rsid w:val="6AFE250B"/>
    <w:rsid w:val="6B3B2160"/>
    <w:rsid w:val="6B6623BD"/>
    <w:rsid w:val="6B7017EF"/>
    <w:rsid w:val="6BA855DA"/>
    <w:rsid w:val="6C204384"/>
    <w:rsid w:val="6C6943AF"/>
    <w:rsid w:val="6C780332"/>
    <w:rsid w:val="6C7D0193"/>
    <w:rsid w:val="6D2302C9"/>
    <w:rsid w:val="6E1307F1"/>
    <w:rsid w:val="6E325523"/>
    <w:rsid w:val="6EA92EDB"/>
    <w:rsid w:val="6EAA3D6E"/>
    <w:rsid w:val="6F012FFF"/>
    <w:rsid w:val="6F1006DC"/>
    <w:rsid w:val="6F26378A"/>
    <w:rsid w:val="6F670E68"/>
    <w:rsid w:val="70484F40"/>
    <w:rsid w:val="70592FC4"/>
    <w:rsid w:val="7147003A"/>
    <w:rsid w:val="71F85D00"/>
    <w:rsid w:val="724B01FF"/>
    <w:rsid w:val="728770F7"/>
    <w:rsid w:val="73112D3A"/>
    <w:rsid w:val="733E711F"/>
    <w:rsid w:val="73721E8D"/>
    <w:rsid w:val="73E76C6C"/>
    <w:rsid w:val="742C0E6C"/>
    <w:rsid w:val="746D3CB8"/>
    <w:rsid w:val="7474081B"/>
    <w:rsid w:val="74B32FC0"/>
    <w:rsid w:val="753E6A9B"/>
    <w:rsid w:val="75725A44"/>
    <w:rsid w:val="758A597C"/>
    <w:rsid w:val="75C77E00"/>
    <w:rsid w:val="76317379"/>
    <w:rsid w:val="76A825AE"/>
    <w:rsid w:val="77A62A69"/>
    <w:rsid w:val="782C47B1"/>
    <w:rsid w:val="78360DA0"/>
    <w:rsid w:val="78AF2488"/>
    <w:rsid w:val="791673B3"/>
    <w:rsid w:val="79491584"/>
    <w:rsid w:val="79535F08"/>
    <w:rsid w:val="79852184"/>
    <w:rsid w:val="79F81031"/>
    <w:rsid w:val="7A942600"/>
    <w:rsid w:val="7AB42D08"/>
    <w:rsid w:val="7AD33C9B"/>
    <w:rsid w:val="7ADA0A1E"/>
    <w:rsid w:val="7AEF3675"/>
    <w:rsid w:val="7B5A54CE"/>
    <w:rsid w:val="7B6E2F20"/>
    <w:rsid w:val="7B942FCF"/>
    <w:rsid w:val="7BB57433"/>
    <w:rsid w:val="7BD744A3"/>
    <w:rsid w:val="7BF27439"/>
    <w:rsid w:val="7C3A7BC3"/>
    <w:rsid w:val="7C9B6C57"/>
    <w:rsid w:val="7CAC0E28"/>
    <w:rsid w:val="7CB1358B"/>
    <w:rsid w:val="7CD577EF"/>
    <w:rsid w:val="7DDC7675"/>
    <w:rsid w:val="7DEA3828"/>
    <w:rsid w:val="7E125CC4"/>
    <w:rsid w:val="7E875FBF"/>
    <w:rsid w:val="7F4A1DCA"/>
    <w:rsid w:val="7F5D2B51"/>
    <w:rsid w:val="7F6350CE"/>
    <w:rsid w:val="7F733770"/>
    <w:rsid w:val="7F783BBC"/>
    <w:rsid w:val="7F7851C7"/>
    <w:rsid w:val="7FAC03F2"/>
    <w:rsid w:val="7FC0441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rules v:ext="edit">
        <o:r id="V:Rule1" type="callout" idref="#自选图形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qFormat="1"/>
    <w:lsdException w:name="toc 2" w:semiHidden="0" w:uiPriority="39" w:qFormat="1"/>
    <w:lsdException w:name="toc 3" w:semiHidden="0"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semiHidden="0" w:uiPriority="0" w:qFormat="1"/>
    <w:lsdException w:name="footnote text" w:uiPriority="0" w:qFormat="1"/>
    <w:lsdException w:name="annotation text" w:uiPriority="0" w:qFormat="1"/>
    <w:lsdException w:name="header" w:semiHidden="0" w:qFormat="1"/>
    <w:lsdException w:name="footer" w:semiHidden="0" w:qFormat="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iPriority="0" w:qFormat="1"/>
    <w:lsdException w:name="annotation reference" w:uiPriority="0" w:qFormat="1"/>
    <w:lsdException w:name="line number" w:semiHidden="0" w:uiPriority="0" w:qFormat="1"/>
    <w:lsdException w:name="page number" w:semiHidden="0" w:uiPriority="0" w:qFormat="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unhideWhenUsed="1" w:qFormat="1"/>
    <w:lsdException w:name="Body Text" w:semiHidden="0" w:unhideWhenUsed="1" w:qFormat="1"/>
    <w:lsdException w:name="Body Text Indent" w:semiHidden="0"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semiHidden="0" w:uiPriority="0" w:qFormat="1"/>
    <w:lsdException w:name="Date" w:semiHidden="0" w:uiPriority="0" w:qFormat="1"/>
    <w:lsdException w:name="Body Text First Indent" w:unhideWhenUsed="1"/>
    <w:lsdException w:name="Body Text First Indent 2" w:unhideWhenUsed="1"/>
    <w:lsdException w:name="Note Heading" w:unhideWhenUsed="1"/>
    <w:lsdException w:name="Body Text 2" w:semiHidden="0" w:uiPriority="0" w:qFormat="1"/>
    <w:lsdException w:name="Body Text 3" w:unhideWhenUsed="1"/>
    <w:lsdException w:name="Body Text Indent 2" w:semiHidden="0" w:uiPriority="0" w:qFormat="1"/>
    <w:lsdException w:name="Body Text Indent 3" w:semiHidden="0" w:uiPriority="0" w:qFormat="1"/>
    <w:lsdException w:name="Block Text" w:unhideWhenUsed="1"/>
    <w:lsdException w:name="Hyperlink" w:semiHidden="0" w:qFormat="1"/>
    <w:lsdException w:name="FollowedHyperlink" w:semiHidden="0" w:unhideWhenUsed="1" w:qFormat="1"/>
    <w:lsdException w:name="Strong" w:semiHidden="0" w:uiPriority="0" w:qFormat="1"/>
    <w:lsdException w:name="Emphasis" w:semiHidden="0" w:uiPriority="20" w:qFormat="1"/>
    <w:lsdException w:name="Document Map" w:uiPriority="0" w:qFormat="1"/>
    <w:lsdException w:name="Plain Text" w:semiHidden="0" w:uiPriority="0" w:qFormat="1"/>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qFormat="1"/>
    <w:lsdException w:name="annotation subject" w:uiPriority="0" w:qFormat="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qFormat="1"/>
    <w:lsdException w:name="Table Grid" w:semiHidden="0" w:uiPriority="0" w:qFormat="1"/>
    <w:lsdException w:name="Table Theme" w:unhideWhenUsed="1"/>
    <w:lsdException w:name="Placeholder Text" w:unhideWhenUsed="1"/>
    <w:lsdException w:name="No Spacing" w:unhideWhenUsed="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nhideWhenUsed="1"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A37CBB"/>
    <w:pPr>
      <w:widowControl w:val="0"/>
      <w:spacing w:line="288" w:lineRule="auto"/>
      <w:jc w:val="both"/>
    </w:pPr>
    <w:rPr>
      <w:rFonts w:eastAsia="仿宋_GB2312"/>
      <w:kern w:val="2"/>
      <w:sz w:val="24"/>
    </w:rPr>
  </w:style>
  <w:style w:type="paragraph" w:styleId="1">
    <w:name w:val="heading 1"/>
    <w:basedOn w:val="a"/>
    <w:next w:val="a"/>
    <w:link w:val="1Char"/>
    <w:qFormat/>
    <w:rsid w:val="00A37CBB"/>
    <w:pPr>
      <w:keepNext/>
      <w:keepLines/>
      <w:spacing w:before="340" w:after="330" w:line="578" w:lineRule="auto"/>
      <w:jc w:val="center"/>
      <w:outlineLvl w:val="0"/>
    </w:pPr>
    <w:rPr>
      <w:rFonts w:eastAsia="宋体"/>
      <w:b/>
      <w:spacing w:val="40"/>
      <w:kern w:val="44"/>
      <w:sz w:val="44"/>
    </w:rPr>
  </w:style>
  <w:style w:type="paragraph" w:styleId="2">
    <w:name w:val="heading 2"/>
    <w:basedOn w:val="a"/>
    <w:next w:val="a0"/>
    <w:link w:val="2Char"/>
    <w:qFormat/>
    <w:rsid w:val="00A37CBB"/>
    <w:pPr>
      <w:keepNext/>
      <w:keepLines/>
      <w:spacing w:before="260" w:after="260" w:line="415" w:lineRule="auto"/>
      <w:jc w:val="center"/>
      <w:outlineLvl w:val="1"/>
    </w:pPr>
    <w:rPr>
      <w:rFonts w:ascii="Arial" w:eastAsia="宋体" w:hAnsi="Arial"/>
      <w:b/>
      <w:spacing w:val="20"/>
      <w:sz w:val="36"/>
    </w:rPr>
  </w:style>
  <w:style w:type="paragraph" w:styleId="3">
    <w:name w:val="heading 3"/>
    <w:basedOn w:val="a"/>
    <w:next w:val="a0"/>
    <w:link w:val="3Char"/>
    <w:qFormat/>
    <w:rsid w:val="00A37CBB"/>
    <w:pPr>
      <w:keepNext/>
      <w:keepLines/>
      <w:spacing w:before="260" w:after="260" w:line="415" w:lineRule="auto"/>
      <w:jc w:val="center"/>
      <w:outlineLvl w:val="2"/>
    </w:pPr>
    <w:rPr>
      <w:rFonts w:eastAsia="宋体"/>
      <w:b/>
      <w:spacing w:val="50"/>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A37CBB"/>
    <w:pPr>
      <w:snapToGrid w:val="0"/>
      <w:spacing w:line="360" w:lineRule="auto"/>
      <w:ind w:firstLine="567"/>
    </w:pPr>
    <w:rPr>
      <w:rFonts w:eastAsia="宋体"/>
      <w:kern w:val="0"/>
      <w:sz w:val="28"/>
    </w:rPr>
  </w:style>
  <w:style w:type="paragraph" w:styleId="7">
    <w:name w:val="toc 7"/>
    <w:basedOn w:val="a"/>
    <w:next w:val="a"/>
    <w:semiHidden/>
    <w:qFormat/>
    <w:rsid w:val="00A37CBB"/>
    <w:pPr>
      <w:ind w:left="2520"/>
    </w:pPr>
  </w:style>
  <w:style w:type="paragraph" w:styleId="a4">
    <w:name w:val="Document Map"/>
    <w:basedOn w:val="a"/>
    <w:link w:val="Char0"/>
    <w:semiHidden/>
    <w:qFormat/>
    <w:rsid w:val="00A37CBB"/>
    <w:pPr>
      <w:shd w:val="clear" w:color="auto" w:fill="000080"/>
    </w:pPr>
  </w:style>
  <w:style w:type="paragraph" w:styleId="a5">
    <w:name w:val="annotation text"/>
    <w:basedOn w:val="a"/>
    <w:link w:val="Char1"/>
    <w:semiHidden/>
    <w:qFormat/>
    <w:rsid w:val="00A37CBB"/>
    <w:pPr>
      <w:jc w:val="left"/>
    </w:pPr>
  </w:style>
  <w:style w:type="paragraph" w:styleId="a6">
    <w:name w:val="Salutation"/>
    <w:basedOn w:val="a"/>
    <w:next w:val="a"/>
    <w:link w:val="Char2"/>
    <w:qFormat/>
    <w:rsid w:val="00A37CBB"/>
    <w:pPr>
      <w:widowControl/>
      <w:spacing w:line="240" w:lineRule="auto"/>
      <w:jc w:val="left"/>
    </w:pPr>
    <w:rPr>
      <w:rFonts w:eastAsia="宋体"/>
      <w:kern w:val="0"/>
      <w:sz w:val="28"/>
    </w:rPr>
  </w:style>
  <w:style w:type="paragraph" w:styleId="a7">
    <w:name w:val="Body Text"/>
    <w:basedOn w:val="a"/>
    <w:uiPriority w:val="99"/>
    <w:unhideWhenUsed/>
    <w:qFormat/>
    <w:rsid w:val="00A37CBB"/>
    <w:pPr>
      <w:tabs>
        <w:tab w:val="left" w:pos="5775"/>
      </w:tabs>
      <w:spacing w:line="360" w:lineRule="auto"/>
    </w:pPr>
    <w:rPr>
      <w:rFonts w:ascii="仿宋_GB2312"/>
      <w:sz w:val="36"/>
    </w:rPr>
  </w:style>
  <w:style w:type="paragraph" w:styleId="a8">
    <w:name w:val="Body Text Indent"/>
    <w:basedOn w:val="a"/>
    <w:link w:val="Char3"/>
    <w:qFormat/>
    <w:rsid w:val="00A37CBB"/>
    <w:pPr>
      <w:ind w:left="360" w:firstLine="540"/>
    </w:pPr>
    <w:rPr>
      <w:rFonts w:ascii="楷体_GB2312" w:eastAsia="楷体_GB2312"/>
      <w:sz w:val="44"/>
    </w:rPr>
  </w:style>
  <w:style w:type="paragraph" w:styleId="5">
    <w:name w:val="toc 5"/>
    <w:basedOn w:val="a"/>
    <w:next w:val="a"/>
    <w:semiHidden/>
    <w:qFormat/>
    <w:rsid w:val="00A37CBB"/>
    <w:pPr>
      <w:ind w:left="1680"/>
    </w:pPr>
  </w:style>
  <w:style w:type="paragraph" w:styleId="30">
    <w:name w:val="toc 3"/>
    <w:basedOn w:val="a"/>
    <w:next w:val="a"/>
    <w:uiPriority w:val="39"/>
    <w:qFormat/>
    <w:rsid w:val="00A37CBB"/>
    <w:pPr>
      <w:tabs>
        <w:tab w:val="right" w:leader="dot" w:pos="8303"/>
      </w:tabs>
      <w:ind w:leftChars="200" w:left="480"/>
    </w:pPr>
  </w:style>
  <w:style w:type="paragraph" w:styleId="a9">
    <w:name w:val="Plain Text"/>
    <w:basedOn w:val="a"/>
    <w:link w:val="Char4"/>
    <w:qFormat/>
    <w:rsid w:val="00A37CBB"/>
    <w:rPr>
      <w:rFonts w:ascii="宋体" w:hAnsi="Courier New"/>
    </w:rPr>
  </w:style>
  <w:style w:type="paragraph" w:styleId="8">
    <w:name w:val="toc 8"/>
    <w:basedOn w:val="a"/>
    <w:next w:val="a"/>
    <w:semiHidden/>
    <w:qFormat/>
    <w:rsid w:val="00A37CBB"/>
    <w:pPr>
      <w:ind w:left="2940"/>
    </w:pPr>
  </w:style>
  <w:style w:type="paragraph" w:styleId="aa">
    <w:name w:val="Date"/>
    <w:basedOn w:val="a"/>
    <w:next w:val="a"/>
    <w:link w:val="Char5"/>
    <w:qFormat/>
    <w:rsid w:val="00A37CBB"/>
    <w:pPr>
      <w:spacing w:line="240" w:lineRule="auto"/>
    </w:pPr>
    <w:rPr>
      <w:rFonts w:eastAsia="宋体"/>
    </w:rPr>
  </w:style>
  <w:style w:type="paragraph" w:styleId="20">
    <w:name w:val="Body Text Indent 2"/>
    <w:basedOn w:val="a"/>
    <w:link w:val="2Char0"/>
    <w:qFormat/>
    <w:rsid w:val="00A37CBB"/>
    <w:pPr>
      <w:ind w:firstLine="570"/>
    </w:pPr>
    <w:rPr>
      <w:rFonts w:ascii="楷体_GB2312" w:eastAsia="楷体_GB2312"/>
      <w:sz w:val="28"/>
    </w:rPr>
  </w:style>
  <w:style w:type="paragraph" w:styleId="ab">
    <w:name w:val="Balloon Text"/>
    <w:basedOn w:val="a"/>
    <w:link w:val="Char6"/>
    <w:semiHidden/>
    <w:qFormat/>
    <w:rsid w:val="00A37CBB"/>
    <w:rPr>
      <w:sz w:val="18"/>
      <w:szCs w:val="18"/>
    </w:rPr>
  </w:style>
  <w:style w:type="paragraph" w:styleId="ac">
    <w:name w:val="footer"/>
    <w:basedOn w:val="a"/>
    <w:link w:val="Char7"/>
    <w:uiPriority w:val="99"/>
    <w:qFormat/>
    <w:rsid w:val="00A37CBB"/>
    <w:pPr>
      <w:tabs>
        <w:tab w:val="center" w:pos="4153"/>
        <w:tab w:val="right" w:pos="8306"/>
      </w:tabs>
      <w:snapToGrid w:val="0"/>
      <w:jc w:val="left"/>
    </w:pPr>
    <w:rPr>
      <w:sz w:val="18"/>
    </w:rPr>
  </w:style>
  <w:style w:type="paragraph" w:styleId="ad">
    <w:name w:val="header"/>
    <w:basedOn w:val="a"/>
    <w:link w:val="Char8"/>
    <w:uiPriority w:val="99"/>
    <w:qFormat/>
    <w:rsid w:val="00A37CBB"/>
    <w:pPr>
      <w:pBdr>
        <w:bottom w:val="single" w:sz="6" w:space="1" w:color="auto"/>
      </w:pBdr>
      <w:tabs>
        <w:tab w:val="center" w:pos="4153"/>
        <w:tab w:val="right" w:pos="8306"/>
      </w:tabs>
      <w:snapToGrid w:val="0"/>
      <w:jc w:val="center"/>
    </w:pPr>
    <w:rPr>
      <w:sz w:val="18"/>
    </w:rPr>
  </w:style>
  <w:style w:type="paragraph" w:styleId="10">
    <w:name w:val="toc 1"/>
    <w:basedOn w:val="a"/>
    <w:next w:val="a"/>
    <w:uiPriority w:val="39"/>
    <w:qFormat/>
    <w:rsid w:val="00A37CBB"/>
    <w:pPr>
      <w:ind w:firstLine="567"/>
    </w:pPr>
    <w:rPr>
      <w:rFonts w:eastAsia="宋体"/>
      <w:spacing w:val="10"/>
      <w:sz w:val="28"/>
    </w:rPr>
  </w:style>
  <w:style w:type="paragraph" w:styleId="4">
    <w:name w:val="toc 4"/>
    <w:basedOn w:val="a"/>
    <w:next w:val="a"/>
    <w:semiHidden/>
    <w:qFormat/>
    <w:rsid w:val="00A37CBB"/>
    <w:pPr>
      <w:ind w:left="1260"/>
    </w:pPr>
  </w:style>
  <w:style w:type="paragraph" w:styleId="ae">
    <w:name w:val="footnote text"/>
    <w:basedOn w:val="a"/>
    <w:link w:val="Char9"/>
    <w:semiHidden/>
    <w:qFormat/>
    <w:rsid w:val="00A37CBB"/>
    <w:pPr>
      <w:snapToGrid w:val="0"/>
      <w:jc w:val="left"/>
    </w:pPr>
    <w:rPr>
      <w:sz w:val="18"/>
    </w:rPr>
  </w:style>
  <w:style w:type="paragraph" w:styleId="6">
    <w:name w:val="toc 6"/>
    <w:basedOn w:val="a"/>
    <w:next w:val="a"/>
    <w:semiHidden/>
    <w:qFormat/>
    <w:rsid w:val="00A37CBB"/>
    <w:pPr>
      <w:ind w:left="2100"/>
    </w:pPr>
  </w:style>
  <w:style w:type="paragraph" w:styleId="31">
    <w:name w:val="Body Text Indent 3"/>
    <w:basedOn w:val="a"/>
    <w:link w:val="3Char0"/>
    <w:qFormat/>
    <w:rsid w:val="00A37CBB"/>
    <w:pPr>
      <w:spacing w:line="480" w:lineRule="exact"/>
      <w:ind w:firstLineChars="200" w:firstLine="560"/>
    </w:pPr>
    <w:rPr>
      <w:rFonts w:ascii="宋体" w:eastAsia="宋体" w:hAnsi="宋体"/>
      <w:sz w:val="28"/>
    </w:rPr>
  </w:style>
  <w:style w:type="paragraph" w:styleId="21">
    <w:name w:val="toc 2"/>
    <w:basedOn w:val="a"/>
    <w:next w:val="a"/>
    <w:uiPriority w:val="39"/>
    <w:qFormat/>
    <w:rsid w:val="00A37CBB"/>
    <w:pPr>
      <w:ind w:left="420"/>
    </w:pPr>
  </w:style>
  <w:style w:type="paragraph" w:styleId="9">
    <w:name w:val="toc 9"/>
    <w:basedOn w:val="a"/>
    <w:next w:val="a"/>
    <w:semiHidden/>
    <w:qFormat/>
    <w:rsid w:val="00A37CBB"/>
    <w:pPr>
      <w:ind w:left="3360"/>
    </w:pPr>
  </w:style>
  <w:style w:type="paragraph" w:styleId="22">
    <w:name w:val="Body Text 2"/>
    <w:basedOn w:val="a"/>
    <w:link w:val="2Char1"/>
    <w:qFormat/>
    <w:rsid w:val="00A37CBB"/>
    <w:pPr>
      <w:adjustRightInd w:val="0"/>
      <w:snapToGrid w:val="0"/>
      <w:spacing w:line="240" w:lineRule="auto"/>
      <w:jc w:val="center"/>
    </w:pPr>
    <w:rPr>
      <w:spacing w:val="-8"/>
      <w:sz w:val="21"/>
    </w:rPr>
  </w:style>
  <w:style w:type="paragraph" w:styleId="af">
    <w:name w:val="Normal (Web)"/>
    <w:basedOn w:val="a"/>
    <w:uiPriority w:val="99"/>
    <w:qFormat/>
    <w:rsid w:val="00A37CBB"/>
    <w:pPr>
      <w:widowControl/>
      <w:spacing w:before="100" w:beforeAutospacing="1" w:after="100" w:afterAutospacing="1" w:line="240" w:lineRule="auto"/>
      <w:jc w:val="left"/>
    </w:pPr>
    <w:rPr>
      <w:rFonts w:ascii="宋体" w:eastAsia="宋体" w:hAnsi="宋体" w:cs="宋体"/>
      <w:kern w:val="0"/>
      <w:szCs w:val="24"/>
    </w:rPr>
  </w:style>
  <w:style w:type="paragraph" w:styleId="af0">
    <w:name w:val="annotation subject"/>
    <w:basedOn w:val="a5"/>
    <w:next w:val="a5"/>
    <w:link w:val="Chara"/>
    <w:semiHidden/>
    <w:qFormat/>
    <w:rsid w:val="00A37CBB"/>
    <w:rPr>
      <w:b/>
      <w:bCs/>
    </w:rPr>
  </w:style>
  <w:style w:type="table" w:styleId="af1">
    <w:name w:val="Table Grid"/>
    <w:basedOn w:val="a2"/>
    <w:qFormat/>
    <w:rsid w:val="00A37CBB"/>
    <w:pPr>
      <w:widowControl w:val="0"/>
      <w:spacing w:line="288"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qFormat/>
    <w:rsid w:val="00A37CBB"/>
    <w:rPr>
      <w:b/>
      <w:bCs/>
    </w:rPr>
  </w:style>
  <w:style w:type="character" w:styleId="af3">
    <w:name w:val="page number"/>
    <w:basedOn w:val="a1"/>
    <w:qFormat/>
    <w:rsid w:val="00A37CBB"/>
  </w:style>
  <w:style w:type="character" w:styleId="af4">
    <w:name w:val="FollowedHyperlink"/>
    <w:basedOn w:val="a1"/>
    <w:uiPriority w:val="99"/>
    <w:unhideWhenUsed/>
    <w:qFormat/>
    <w:rsid w:val="00A37CBB"/>
    <w:rPr>
      <w:color w:val="800080"/>
      <w:u w:val="single"/>
    </w:rPr>
  </w:style>
  <w:style w:type="character" w:styleId="af5">
    <w:name w:val="Emphasis"/>
    <w:uiPriority w:val="20"/>
    <w:qFormat/>
    <w:rsid w:val="00A37CBB"/>
    <w:rPr>
      <w:color w:val="CC0000"/>
    </w:rPr>
  </w:style>
  <w:style w:type="character" w:styleId="af6">
    <w:name w:val="line number"/>
    <w:basedOn w:val="a1"/>
    <w:qFormat/>
    <w:rsid w:val="00A37CBB"/>
  </w:style>
  <w:style w:type="character" w:styleId="af7">
    <w:name w:val="Hyperlink"/>
    <w:uiPriority w:val="99"/>
    <w:qFormat/>
    <w:rsid w:val="00A37CBB"/>
    <w:rPr>
      <w:color w:val="0000FF"/>
      <w:u w:val="single"/>
    </w:rPr>
  </w:style>
  <w:style w:type="character" w:styleId="af8">
    <w:name w:val="annotation reference"/>
    <w:semiHidden/>
    <w:qFormat/>
    <w:rsid w:val="00A37CBB"/>
    <w:rPr>
      <w:sz w:val="21"/>
      <w:szCs w:val="21"/>
    </w:rPr>
  </w:style>
  <w:style w:type="character" w:styleId="af9">
    <w:name w:val="footnote reference"/>
    <w:semiHidden/>
    <w:qFormat/>
    <w:rsid w:val="00A37CBB"/>
    <w:rPr>
      <w:vertAlign w:val="superscript"/>
    </w:rPr>
  </w:style>
  <w:style w:type="paragraph" w:customStyle="1" w:styleId="Charb">
    <w:name w:val="Char"/>
    <w:basedOn w:val="a"/>
    <w:qFormat/>
    <w:rsid w:val="00A37CBB"/>
    <w:pPr>
      <w:snapToGrid w:val="0"/>
      <w:spacing w:line="360" w:lineRule="auto"/>
      <w:ind w:firstLineChars="200" w:firstLine="200"/>
    </w:pPr>
    <w:rPr>
      <w:szCs w:val="24"/>
    </w:rPr>
  </w:style>
  <w:style w:type="paragraph" w:customStyle="1" w:styleId="Char10">
    <w:name w:val="Char1"/>
    <w:basedOn w:val="a"/>
    <w:qFormat/>
    <w:rsid w:val="00A37CBB"/>
    <w:pPr>
      <w:spacing w:line="240" w:lineRule="auto"/>
    </w:pPr>
    <w:rPr>
      <w:rFonts w:ascii="Tahoma" w:eastAsia="宋体" w:hAnsi="Tahoma"/>
    </w:rPr>
  </w:style>
  <w:style w:type="character" w:customStyle="1" w:styleId="1Char">
    <w:name w:val="标题 1 Char"/>
    <w:basedOn w:val="a1"/>
    <w:link w:val="1"/>
    <w:qFormat/>
    <w:rsid w:val="00A37CBB"/>
    <w:rPr>
      <w:rFonts w:ascii="Times New Roman" w:eastAsia="宋体" w:hAnsi="Times New Roman" w:cs="Times New Roman"/>
      <w:b/>
      <w:spacing w:val="40"/>
      <w:kern w:val="44"/>
      <w:sz w:val="44"/>
      <w:szCs w:val="20"/>
    </w:rPr>
  </w:style>
  <w:style w:type="character" w:customStyle="1" w:styleId="2Char">
    <w:name w:val="标题 2 Char"/>
    <w:basedOn w:val="a1"/>
    <w:link w:val="2"/>
    <w:qFormat/>
    <w:rsid w:val="00A37CBB"/>
    <w:rPr>
      <w:rFonts w:ascii="Arial" w:eastAsia="宋体" w:hAnsi="Arial" w:cs="Times New Roman"/>
      <w:b/>
      <w:spacing w:val="20"/>
      <w:sz w:val="36"/>
      <w:szCs w:val="20"/>
    </w:rPr>
  </w:style>
  <w:style w:type="character" w:customStyle="1" w:styleId="3Char">
    <w:name w:val="标题 3 Char"/>
    <w:basedOn w:val="a1"/>
    <w:link w:val="3"/>
    <w:qFormat/>
    <w:rsid w:val="00A37CBB"/>
    <w:rPr>
      <w:rFonts w:ascii="Times New Roman" w:eastAsia="宋体" w:hAnsi="Times New Roman" w:cs="Times New Roman"/>
      <w:b/>
      <w:spacing w:val="50"/>
      <w:sz w:val="32"/>
      <w:szCs w:val="20"/>
    </w:rPr>
  </w:style>
  <w:style w:type="character" w:customStyle="1" w:styleId="Char8">
    <w:name w:val="页眉 Char"/>
    <w:basedOn w:val="a1"/>
    <w:link w:val="ad"/>
    <w:uiPriority w:val="99"/>
    <w:qFormat/>
    <w:rsid w:val="00A37CBB"/>
    <w:rPr>
      <w:rFonts w:ascii="Times New Roman" w:eastAsia="仿宋_GB2312" w:hAnsi="Times New Roman" w:cs="Times New Roman"/>
      <w:sz w:val="18"/>
      <w:szCs w:val="20"/>
    </w:rPr>
  </w:style>
  <w:style w:type="character" w:customStyle="1" w:styleId="Char7">
    <w:name w:val="页脚 Char"/>
    <w:basedOn w:val="a1"/>
    <w:link w:val="ac"/>
    <w:uiPriority w:val="99"/>
    <w:qFormat/>
    <w:rsid w:val="00A37CBB"/>
    <w:rPr>
      <w:rFonts w:ascii="Times New Roman" w:eastAsia="仿宋_GB2312" w:hAnsi="Times New Roman" w:cs="Times New Roman"/>
      <w:sz w:val="18"/>
      <w:szCs w:val="20"/>
    </w:rPr>
  </w:style>
  <w:style w:type="character" w:customStyle="1" w:styleId="Char9">
    <w:name w:val="脚注文本 Char"/>
    <w:basedOn w:val="a1"/>
    <w:link w:val="ae"/>
    <w:semiHidden/>
    <w:qFormat/>
    <w:rsid w:val="00A37CBB"/>
    <w:rPr>
      <w:rFonts w:ascii="Times New Roman" w:eastAsia="仿宋_GB2312" w:hAnsi="Times New Roman" w:cs="Times New Roman"/>
      <w:sz w:val="18"/>
      <w:szCs w:val="20"/>
    </w:rPr>
  </w:style>
  <w:style w:type="character" w:customStyle="1" w:styleId="Char3">
    <w:name w:val="正文文本缩进 Char"/>
    <w:basedOn w:val="a1"/>
    <w:link w:val="a8"/>
    <w:qFormat/>
    <w:rsid w:val="00A37CBB"/>
    <w:rPr>
      <w:rFonts w:ascii="楷体_GB2312" w:eastAsia="楷体_GB2312" w:hAnsi="Times New Roman" w:cs="Times New Roman"/>
      <w:sz w:val="44"/>
      <w:szCs w:val="20"/>
    </w:rPr>
  </w:style>
  <w:style w:type="character" w:customStyle="1" w:styleId="2Char0">
    <w:name w:val="正文文本缩进 2 Char"/>
    <w:basedOn w:val="a1"/>
    <w:link w:val="20"/>
    <w:qFormat/>
    <w:rsid w:val="00A37CBB"/>
    <w:rPr>
      <w:rFonts w:ascii="楷体_GB2312" w:eastAsia="楷体_GB2312" w:hAnsi="Times New Roman" w:cs="Times New Roman"/>
      <w:sz w:val="28"/>
      <w:szCs w:val="20"/>
    </w:rPr>
  </w:style>
  <w:style w:type="character" w:customStyle="1" w:styleId="Char4">
    <w:name w:val="纯文本 Char"/>
    <w:basedOn w:val="a1"/>
    <w:link w:val="a9"/>
    <w:qFormat/>
    <w:rsid w:val="00A37CBB"/>
    <w:rPr>
      <w:rFonts w:ascii="宋体" w:eastAsia="仿宋_GB2312" w:hAnsi="Courier New" w:cs="Times New Roman"/>
      <w:sz w:val="24"/>
      <w:szCs w:val="20"/>
    </w:rPr>
  </w:style>
  <w:style w:type="character" w:customStyle="1" w:styleId="3Char0">
    <w:name w:val="正文文本缩进 3 Char"/>
    <w:basedOn w:val="a1"/>
    <w:link w:val="31"/>
    <w:qFormat/>
    <w:rsid w:val="00A37CBB"/>
    <w:rPr>
      <w:rFonts w:ascii="宋体" w:eastAsia="宋体" w:hAnsi="宋体" w:cs="Times New Roman"/>
      <w:sz w:val="28"/>
      <w:szCs w:val="20"/>
    </w:rPr>
  </w:style>
  <w:style w:type="character" w:customStyle="1" w:styleId="Char5">
    <w:name w:val="日期 Char"/>
    <w:basedOn w:val="a1"/>
    <w:link w:val="aa"/>
    <w:qFormat/>
    <w:rsid w:val="00A37CBB"/>
    <w:rPr>
      <w:rFonts w:ascii="Times New Roman" w:eastAsia="宋体" w:hAnsi="Times New Roman" w:cs="Times New Roman"/>
      <w:sz w:val="24"/>
      <w:szCs w:val="20"/>
    </w:rPr>
  </w:style>
  <w:style w:type="character" w:customStyle="1" w:styleId="ninetext1">
    <w:name w:val="ninetext1"/>
    <w:qFormat/>
    <w:rsid w:val="00A37CBB"/>
    <w:rPr>
      <w:sz w:val="18"/>
      <w:szCs w:val="18"/>
    </w:rPr>
  </w:style>
  <w:style w:type="character" w:customStyle="1" w:styleId="Char6">
    <w:name w:val="批注框文本 Char"/>
    <w:basedOn w:val="a1"/>
    <w:link w:val="ab"/>
    <w:semiHidden/>
    <w:qFormat/>
    <w:rsid w:val="00A37CBB"/>
    <w:rPr>
      <w:rFonts w:ascii="Times New Roman" w:eastAsia="仿宋_GB2312" w:hAnsi="Times New Roman" w:cs="Times New Roman"/>
      <w:sz w:val="18"/>
      <w:szCs w:val="18"/>
    </w:rPr>
  </w:style>
  <w:style w:type="character" w:customStyle="1" w:styleId="2Char1">
    <w:name w:val="正文文本 2 Char"/>
    <w:basedOn w:val="a1"/>
    <w:link w:val="22"/>
    <w:qFormat/>
    <w:rsid w:val="00A37CBB"/>
    <w:rPr>
      <w:rFonts w:ascii="Times New Roman" w:eastAsia="仿宋_GB2312" w:hAnsi="Times New Roman" w:cs="Times New Roman"/>
      <w:spacing w:val="-8"/>
      <w:szCs w:val="20"/>
    </w:rPr>
  </w:style>
  <w:style w:type="character" w:customStyle="1" w:styleId="Charc">
    <w:name w:val="正文（首行缩进两字） Char"/>
    <w:qFormat/>
    <w:rsid w:val="00A37CBB"/>
    <w:rPr>
      <w:rFonts w:eastAsia="宋体"/>
      <w:kern w:val="2"/>
      <w:sz w:val="28"/>
      <w:lang w:val="en-US" w:eastAsia="zh-CN" w:bidi="ar-SA"/>
    </w:rPr>
  </w:style>
  <w:style w:type="paragraph" w:customStyle="1" w:styleId="11">
    <w:name w:val="1"/>
    <w:basedOn w:val="a"/>
    <w:next w:val="a0"/>
    <w:qFormat/>
    <w:rsid w:val="00A37CBB"/>
    <w:pPr>
      <w:snapToGrid w:val="0"/>
      <w:spacing w:line="360" w:lineRule="auto"/>
      <w:ind w:firstLine="567"/>
    </w:pPr>
    <w:rPr>
      <w:rFonts w:eastAsia="宋体"/>
      <w:sz w:val="28"/>
    </w:rPr>
  </w:style>
  <w:style w:type="character" w:customStyle="1" w:styleId="Char">
    <w:name w:val="正文缩进 Char"/>
    <w:link w:val="a0"/>
    <w:qFormat/>
    <w:rsid w:val="00A37CBB"/>
    <w:rPr>
      <w:rFonts w:ascii="Times New Roman" w:eastAsia="宋体" w:hAnsi="Times New Roman" w:cs="Times New Roman"/>
      <w:sz w:val="28"/>
      <w:szCs w:val="20"/>
    </w:rPr>
  </w:style>
  <w:style w:type="paragraph" w:customStyle="1" w:styleId="xl30">
    <w:name w:val="xl30"/>
    <w:basedOn w:val="a"/>
    <w:qFormat/>
    <w:rsid w:val="00A37CBB"/>
    <w:pPr>
      <w:widowControl/>
      <w:spacing w:before="100" w:beforeAutospacing="1" w:after="100" w:afterAutospacing="1" w:line="240" w:lineRule="auto"/>
      <w:jc w:val="center"/>
      <w:textAlignment w:val="center"/>
    </w:pPr>
    <w:rPr>
      <w:rFonts w:ascii="宋体" w:eastAsia="宋体" w:hAnsi="宋体"/>
      <w:kern w:val="0"/>
      <w:szCs w:val="24"/>
    </w:rPr>
  </w:style>
  <w:style w:type="paragraph" w:customStyle="1" w:styleId="12">
    <w:name w:val="列出段落1"/>
    <w:basedOn w:val="a"/>
    <w:uiPriority w:val="34"/>
    <w:qFormat/>
    <w:rsid w:val="00A37CBB"/>
    <w:pPr>
      <w:spacing w:line="360" w:lineRule="auto"/>
      <w:ind w:firstLineChars="200" w:firstLine="420"/>
    </w:pPr>
    <w:rPr>
      <w:rFonts w:ascii="Calibri" w:eastAsia="宋体" w:hAnsi="Calibri" w:cs="Calibri"/>
      <w:sz w:val="21"/>
      <w:szCs w:val="21"/>
    </w:rPr>
  </w:style>
  <w:style w:type="character" w:customStyle="1" w:styleId="Char0">
    <w:name w:val="文档结构图 Char"/>
    <w:basedOn w:val="a1"/>
    <w:link w:val="a4"/>
    <w:semiHidden/>
    <w:qFormat/>
    <w:rsid w:val="00A37CBB"/>
    <w:rPr>
      <w:rFonts w:ascii="Times New Roman" w:eastAsia="仿宋_GB2312" w:hAnsi="Times New Roman" w:cs="Times New Roman"/>
      <w:sz w:val="24"/>
      <w:szCs w:val="20"/>
      <w:shd w:val="clear" w:color="auto" w:fill="000080"/>
    </w:rPr>
  </w:style>
  <w:style w:type="paragraph" w:customStyle="1" w:styleId="Default">
    <w:name w:val="Default"/>
    <w:qFormat/>
    <w:rsid w:val="00A37CBB"/>
    <w:pPr>
      <w:widowControl w:val="0"/>
      <w:autoSpaceDE w:val="0"/>
      <w:autoSpaceDN w:val="0"/>
      <w:adjustRightInd w:val="0"/>
    </w:pPr>
    <w:rPr>
      <w:rFonts w:ascii="华文细黑" w:eastAsia="华文细黑" w:cs="华文细黑"/>
      <w:color w:val="000000"/>
      <w:sz w:val="24"/>
      <w:szCs w:val="24"/>
    </w:rPr>
  </w:style>
  <w:style w:type="character" w:customStyle="1" w:styleId="CharChar1">
    <w:name w:val="Char Char1"/>
    <w:qFormat/>
    <w:rsid w:val="00A37CBB"/>
    <w:rPr>
      <w:rFonts w:ascii="宋体" w:eastAsia="宋体"/>
      <w:sz w:val="21"/>
      <w:lang w:val="en-US" w:eastAsia="zh-CN" w:bidi="ar-SA"/>
    </w:rPr>
  </w:style>
  <w:style w:type="character" w:customStyle="1" w:styleId="Char30">
    <w:name w:val="正文（首行缩进两字） Char3"/>
    <w:qFormat/>
    <w:rsid w:val="00A37CBB"/>
    <w:rPr>
      <w:rFonts w:eastAsia="宋体"/>
      <w:kern w:val="2"/>
      <w:sz w:val="28"/>
      <w:lang w:val="en-US" w:eastAsia="zh-CN" w:bidi="ar-SA"/>
    </w:rPr>
  </w:style>
  <w:style w:type="character" w:customStyle="1" w:styleId="CharChar">
    <w:name w:val="普通文字 Char Char"/>
    <w:qFormat/>
    <w:rsid w:val="00A37CBB"/>
    <w:rPr>
      <w:rFonts w:ascii="宋体" w:eastAsia="仿宋_GB2312" w:hAnsi="Courier New"/>
      <w:kern w:val="2"/>
      <w:sz w:val="24"/>
      <w:lang w:val="en-US" w:eastAsia="zh-CN" w:bidi="ar-SA"/>
    </w:rPr>
  </w:style>
  <w:style w:type="character" w:customStyle="1" w:styleId="Char1">
    <w:name w:val="批注文字 Char"/>
    <w:basedOn w:val="a1"/>
    <w:link w:val="a5"/>
    <w:semiHidden/>
    <w:qFormat/>
    <w:rsid w:val="00A37CBB"/>
    <w:rPr>
      <w:rFonts w:ascii="Times New Roman" w:eastAsia="仿宋_GB2312" w:hAnsi="Times New Roman" w:cs="Times New Roman"/>
      <w:sz w:val="24"/>
      <w:szCs w:val="20"/>
    </w:rPr>
  </w:style>
  <w:style w:type="character" w:customStyle="1" w:styleId="Chara">
    <w:name w:val="批注主题 Char"/>
    <w:basedOn w:val="Char1"/>
    <w:link w:val="af0"/>
    <w:semiHidden/>
    <w:qFormat/>
    <w:rsid w:val="00A37CBB"/>
    <w:rPr>
      <w:rFonts w:ascii="Times New Roman" w:eastAsia="仿宋_GB2312" w:hAnsi="Times New Roman" w:cs="Times New Roman"/>
      <w:b/>
      <w:bCs/>
      <w:sz w:val="24"/>
      <w:szCs w:val="20"/>
    </w:rPr>
  </w:style>
  <w:style w:type="character" w:customStyle="1" w:styleId="apple-style-span">
    <w:name w:val="apple-style-span"/>
    <w:basedOn w:val="a1"/>
    <w:qFormat/>
    <w:rsid w:val="00A37CBB"/>
  </w:style>
  <w:style w:type="character" w:customStyle="1" w:styleId="Char2">
    <w:name w:val="称呼 Char"/>
    <w:basedOn w:val="a1"/>
    <w:link w:val="a6"/>
    <w:qFormat/>
    <w:rsid w:val="00A37CBB"/>
    <w:rPr>
      <w:rFonts w:ascii="Times New Roman" w:eastAsia="宋体" w:hAnsi="Times New Roman" w:cs="Times New Roman"/>
      <w:kern w:val="0"/>
      <w:sz w:val="28"/>
      <w:szCs w:val="20"/>
    </w:rPr>
  </w:style>
  <w:style w:type="paragraph" w:customStyle="1" w:styleId="Style30">
    <w:name w:val="_Style 30"/>
    <w:basedOn w:val="a"/>
    <w:qFormat/>
    <w:rsid w:val="00A37CBB"/>
    <w:pPr>
      <w:spacing w:line="240" w:lineRule="auto"/>
    </w:pPr>
  </w:style>
  <w:style w:type="paragraph" w:customStyle="1" w:styleId="clear">
    <w:name w:val="clear"/>
    <w:basedOn w:val="a"/>
    <w:qFormat/>
    <w:rsid w:val="00A37CBB"/>
    <w:pPr>
      <w:widowControl/>
      <w:spacing w:before="100" w:beforeAutospacing="1" w:after="100" w:afterAutospacing="1" w:line="240" w:lineRule="auto"/>
      <w:jc w:val="left"/>
    </w:pPr>
    <w:rPr>
      <w:rFonts w:ascii="宋体" w:eastAsia="宋体" w:hAnsi="宋体" w:cs="宋体"/>
      <w:kern w:val="0"/>
      <w:szCs w:val="24"/>
    </w:rPr>
  </w:style>
  <w:style w:type="paragraph" w:customStyle="1" w:styleId="summary-title">
    <w:name w:val="summary-title"/>
    <w:basedOn w:val="a"/>
    <w:qFormat/>
    <w:rsid w:val="00A37CBB"/>
    <w:pPr>
      <w:widowControl/>
      <w:spacing w:before="100" w:beforeAutospacing="1" w:after="100" w:afterAutospacing="1" w:line="240" w:lineRule="auto"/>
      <w:jc w:val="left"/>
    </w:pPr>
    <w:rPr>
      <w:rFonts w:ascii="宋体" w:eastAsia="宋体" w:hAnsi="宋体" w:cs="宋体"/>
      <w:kern w:val="0"/>
      <w:szCs w:val="24"/>
    </w:rPr>
  </w:style>
  <w:style w:type="character" w:customStyle="1" w:styleId="bg-span2">
    <w:name w:val="bg-span2"/>
    <w:basedOn w:val="a1"/>
    <w:qFormat/>
    <w:rsid w:val="00A37CBB"/>
  </w:style>
  <w:style w:type="character" w:customStyle="1" w:styleId="fc-gray1">
    <w:name w:val="fc-gray1"/>
    <w:basedOn w:val="a1"/>
    <w:qFormat/>
    <w:rsid w:val="00A37CBB"/>
    <w:rPr>
      <w:color w:val="707070"/>
    </w:rPr>
  </w:style>
  <w:style w:type="character" w:customStyle="1" w:styleId="around-other">
    <w:name w:val="around-other"/>
    <w:basedOn w:val="a1"/>
    <w:qFormat/>
    <w:rsid w:val="00A37CBB"/>
  </w:style>
  <w:style w:type="character" w:customStyle="1" w:styleId="addr-area3">
    <w:name w:val="addr-area3"/>
    <w:basedOn w:val="a1"/>
    <w:qFormat/>
    <w:rsid w:val="00A37CBB"/>
  </w:style>
  <w:style w:type="character" w:customStyle="1" w:styleId="contact-col2">
    <w:name w:val="contact-col2"/>
    <w:basedOn w:val="a1"/>
    <w:qFormat/>
    <w:rsid w:val="00A37CBB"/>
    <w:rPr>
      <w:color w:val="707070"/>
    </w:rPr>
  </w:style>
  <w:style w:type="character" w:customStyle="1" w:styleId="talkbtn">
    <w:name w:val="talkbtn"/>
    <w:basedOn w:val="a1"/>
    <w:qFormat/>
    <w:rsid w:val="00A37CBB"/>
  </w:style>
  <w:style w:type="character" w:customStyle="1" w:styleId="f20">
    <w:name w:val="f20"/>
    <w:basedOn w:val="a1"/>
    <w:qFormat/>
    <w:rsid w:val="00A37CBB"/>
  </w:style>
  <w:style w:type="character" w:customStyle="1" w:styleId="fb">
    <w:name w:val="fb"/>
    <w:basedOn w:val="a1"/>
    <w:qFormat/>
    <w:rsid w:val="00A37CBB"/>
  </w:style>
  <w:style w:type="character" w:customStyle="1" w:styleId="blue">
    <w:name w:val="blue"/>
    <w:basedOn w:val="a1"/>
    <w:qFormat/>
    <w:rsid w:val="00A37CBB"/>
  </w:style>
  <w:style w:type="character" w:customStyle="1" w:styleId="yh">
    <w:name w:val="yh"/>
    <w:basedOn w:val="a1"/>
    <w:qFormat/>
    <w:rsid w:val="00A37CBB"/>
  </w:style>
  <w:style w:type="character" w:customStyle="1" w:styleId="red">
    <w:name w:val="red"/>
    <w:basedOn w:val="a1"/>
    <w:qFormat/>
    <w:rsid w:val="00A37CBB"/>
  </w:style>
  <w:style w:type="character" w:customStyle="1" w:styleId="apple-converted-space">
    <w:name w:val="apple-converted-space"/>
    <w:basedOn w:val="a1"/>
    <w:qFormat/>
    <w:rsid w:val="00A37CBB"/>
  </w:style>
  <w:style w:type="character" w:customStyle="1" w:styleId="fs12">
    <w:name w:val="fs12"/>
    <w:basedOn w:val="a1"/>
    <w:qFormat/>
    <w:rsid w:val="00A37CBB"/>
  </w:style>
  <w:style w:type="character" w:customStyle="1" w:styleId="fc-gray">
    <w:name w:val="fc-gray"/>
    <w:basedOn w:val="a1"/>
    <w:qFormat/>
    <w:rsid w:val="00A37CBB"/>
  </w:style>
  <w:style w:type="character" w:customStyle="1" w:styleId="contact-col">
    <w:name w:val="contact-col"/>
    <w:basedOn w:val="a1"/>
    <w:qFormat/>
    <w:rsid w:val="00A37CBB"/>
  </w:style>
  <w:style w:type="character" w:customStyle="1" w:styleId="bg-span1">
    <w:name w:val="bg-span1"/>
    <w:basedOn w:val="a1"/>
    <w:qFormat/>
    <w:rsid w:val="00A37CBB"/>
  </w:style>
  <w:style w:type="character" w:customStyle="1" w:styleId="ico-equip-items3">
    <w:name w:val="ico-equip-items3"/>
    <w:basedOn w:val="a1"/>
    <w:qFormat/>
    <w:rsid w:val="00A37CBB"/>
    <w:rPr>
      <w:sz w:val="21"/>
      <w:szCs w:val="21"/>
    </w:rPr>
  </w:style>
  <w:style w:type="character" w:customStyle="1" w:styleId="phone1">
    <w:name w:val="phone1"/>
    <w:basedOn w:val="a1"/>
    <w:qFormat/>
    <w:rsid w:val="00A37CBB"/>
    <w:rPr>
      <w:b/>
      <w:bCs/>
      <w:color w:val="FF0508"/>
      <w:sz w:val="30"/>
      <w:szCs w:val="30"/>
    </w:rPr>
  </w:style>
  <w:style w:type="character" w:customStyle="1" w:styleId="belong3">
    <w:name w:val="belong3"/>
    <w:basedOn w:val="a1"/>
    <w:qFormat/>
    <w:rsid w:val="00A37CBB"/>
    <w:rPr>
      <w:color w:val="585858"/>
      <w:sz w:val="18"/>
      <w:szCs w:val="18"/>
    </w:rPr>
  </w:style>
  <w:style w:type="character" w:customStyle="1" w:styleId="f121">
    <w:name w:val="f121"/>
    <w:basedOn w:val="a1"/>
    <w:qFormat/>
    <w:rsid w:val="00A37CBB"/>
    <w:rPr>
      <w:sz w:val="18"/>
      <w:szCs w:val="18"/>
    </w:rPr>
  </w:style>
  <w:style w:type="character" w:customStyle="1" w:styleId="msonormal0">
    <w:name w:val="msonormal"/>
    <w:basedOn w:val="a1"/>
    <w:qFormat/>
    <w:rsid w:val="00A37CBB"/>
  </w:style>
  <w:style w:type="paragraph" w:customStyle="1" w:styleId="Firstline2ch1After12ptFirstline4ch1">
    <w:name w:val="龙泰正文 + First line:  2 ch1 + After:  12 pt First line:  4 ch1"/>
    <w:basedOn w:val="a"/>
    <w:uiPriority w:val="99"/>
    <w:qFormat/>
    <w:rsid w:val="00A37CBB"/>
    <w:pPr>
      <w:autoSpaceDE w:val="0"/>
      <w:autoSpaceDN w:val="0"/>
      <w:spacing w:line="560" w:lineRule="exact"/>
      <w:ind w:firstLineChars="200" w:firstLine="560"/>
    </w:pPr>
    <w:rPr>
      <w:rFonts w:ascii="仿宋_GB2312" w:hAnsi="仿宋_GB2312" w:cs="仿宋_GB2312"/>
      <w:sz w:val="21"/>
    </w:rPr>
  </w:style>
  <w:style w:type="paragraph" w:customStyle="1" w:styleId="23">
    <w:name w:val="列出段落2"/>
    <w:basedOn w:val="a"/>
    <w:uiPriority w:val="99"/>
    <w:unhideWhenUsed/>
    <w:qFormat/>
    <w:rsid w:val="00A37CBB"/>
    <w:pPr>
      <w:ind w:firstLineChars="200" w:firstLine="420"/>
    </w:pPr>
  </w:style>
  <w:style w:type="paragraph" w:customStyle="1" w:styleId="70">
    <w:name w:val="样式7"/>
    <w:basedOn w:val="a"/>
    <w:qFormat/>
    <w:rsid w:val="00A37CBB"/>
    <w:pPr>
      <w:spacing w:line="360" w:lineRule="auto"/>
      <w:ind w:firstLine="567"/>
    </w:pPr>
    <w:rPr>
      <w:rFonts w:ascii="仿宋_GB2312"/>
      <w:sz w:val="28"/>
    </w:rPr>
  </w:style>
  <w:style w:type="paragraph" w:customStyle="1" w:styleId="font5">
    <w:name w:val="font5"/>
    <w:basedOn w:val="a"/>
    <w:qFormat/>
    <w:rsid w:val="00A37CBB"/>
    <w:pPr>
      <w:widowControl/>
      <w:spacing w:before="100" w:beforeAutospacing="1" w:after="100" w:afterAutospacing="1" w:line="240" w:lineRule="auto"/>
      <w:jc w:val="left"/>
    </w:pPr>
    <w:rPr>
      <w:rFonts w:ascii="宋体" w:eastAsia="宋体" w:hAnsi="宋体" w:cs="宋体"/>
      <w:kern w:val="0"/>
      <w:sz w:val="18"/>
      <w:szCs w:val="18"/>
    </w:rPr>
  </w:style>
  <w:style w:type="paragraph" w:customStyle="1" w:styleId="font6">
    <w:name w:val="font6"/>
    <w:basedOn w:val="a"/>
    <w:qFormat/>
    <w:rsid w:val="00A37CBB"/>
    <w:pPr>
      <w:widowControl/>
      <w:spacing w:before="100" w:beforeAutospacing="1" w:after="100" w:afterAutospacing="1" w:line="240" w:lineRule="auto"/>
      <w:jc w:val="left"/>
    </w:pPr>
    <w:rPr>
      <w:rFonts w:ascii="宋体" w:eastAsia="宋体" w:hAnsi="宋体" w:cs="宋体"/>
      <w:color w:val="000000"/>
      <w:kern w:val="0"/>
      <w:sz w:val="28"/>
      <w:szCs w:val="28"/>
    </w:rPr>
  </w:style>
  <w:style w:type="paragraph" w:customStyle="1" w:styleId="font7">
    <w:name w:val="font7"/>
    <w:basedOn w:val="a"/>
    <w:qFormat/>
    <w:rsid w:val="00A37CBB"/>
    <w:pPr>
      <w:widowControl/>
      <w:spacing w:before="100" w:beforeAutospacing="1" w:after="100" w:afterAutospacing="1" w:line="240" w:lineRule="auto"/>
      <w:jc w:val="left"/>
    </w:pPr>
    <w:rPr>
      <w:rFonts w:ascii="Calibri" w:eastAsia="宋体" w:hAnsi="Calibri" w:cs="Calibri"/>
      <w:color w:val="000000"/>
      <w:kern w:val="0"/>
      <w:sz w:val="28"/>
      <w:szCs w:val="28"/>
    </w:rPr>
  </w:style>
  <w:style w:type="paragraph" w:customStyle="1" w:styleId="xl63">
    <w:name w:val="xl63"/>
    <w:basedOn w:val="a"/>
    <w:qFormat/>
    <w:rsid w:val="00A37CB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8"/>
      <w:szCs w:val="28"/>
    </w:rPr>
  </w:style>
  <w:style w:type="paragraph" w:customStyle="1" w:styleId="xl64">
    <w:name w:val="xl64"/>
    <w:basedOn w:val="a"/>
    <w:qFormat/>
    <w:rsid w:val="00A37CB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8"/>
      <w:szCs w:val="28"/>
    </w:rPr>
  </w:style>
  <w:style w:type="paragraph" w:customStyle="1" w:styleId="xl65">
    <w:name w:val="xl65"/>
    <w:basedOn w:val="a"/>
    <w:qFormat/>
    <w:rsid w:val="00A37CBB"/>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Cs w:val="24"/>
    </w:rPr>
  </w:style>
  <w:style w:type="paragraph" w:customStyle="1" w:styleId="xl66">
    <w:name w:val="xl66"/>
    <w:basedOn w:val="a"/>
    <w:qFormat/>
    <w:rsid w:val="00A37CBB"/>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宋体" w:eastAsia="宋体" w:hAnsi="宋体" w:cs="宋体"/>
      <w:kern w:val="0"/>
      <w:sz w:val="28"/>
      <w:szCs w:val="28"/>
    </w:rPr>
  </w:style>
  <w:style w:type="paragraph" w:customStyle="1" w:styleId="xl67">
    <w:name w:val="xl67"/>
    <w:basedOn w:val="a"/>
    <w:qFormat/>
    <w:rsid w:val="00A37CBB"/>
    <w:pPr>
      <w:widowControl/>
      <w:pBdr>
        <w:bottom w:val="single" w:sz="4" w:space="0" w:color="auto"/>
      </w:pBdr>
      <w:spacing w:before="100" w:beforeAutospacing="1" w:after="100" w:afterAutospacing="1" w:line="240" w:lineRule="auto"/>
      <w:jc w:val="center"/>
    </w:pPr>
    <w:rPr>
      <w:rFonts w:ascii="宋体" w:eastAsia="宋体" w:hAnsi="宋体" w:cs="宋体"/>
      <w:kern w:val="0"/>
      <w:sz w:val="36"/>
      <w:szCs w:val="36"/>
    </w:rPr>
  </w:style>
  <w:style w:type="character" w:customStyle="1" w:styleId="font41">
    <w:name w:val="font41"/>
    <w:basedOn w:val="a1"/>
    <w:qFormat/>
    <w:rsid w:val="00A37CBB"/>
    <w:rPr>
      <w:rFonts w:ascii="仿宋" w:eastAsia="仿宋" w:hAnsi="仿宋" w:cs="仿宋" w:hint="eastAsia"/>
      <w:color w:val="333333"/>
      <w:sz w:val="21"/>
      <w:szCs w:val="21"/>
      <w:u w:val="none"/>
    </w:rPr>
  </w:style>
  <w:style w:type="character" w:customStyle="1" w:styleId="font51">
    <w:name w:val="font51"/>
    <w:basedOn w:val="a1"/>
    <w:qFormat/>
    <w:rsid w:val="00A37CBB"/>
    <w:rPr>
      <w:rFonts w:ascii="仿宋" w:eastAsia="仿宋" w:hAnsi="仿宋" w:cs="仿宋" w:hint="eastAsia"/>
      <w:color w:val="000000"/>
      <w:sz w:val="21"/>
      <w:szCs w:val="21"/>
      <w:u w:val="none"/>
    </w:rPr>
  </w:style>
  <w:style w:type="character" w:customStyle="1" w:styleId="font21">
    <w:name w:val="font21"/>
    <w:basedOn w:val="a1"/>
    <w:qFormat/>
    <w:rsid w:val="00A37CBB"/>
    <w:rPr>
      <w:rFonts w:ascii="仿宋" w:eastAsia="仿宋" w:hAnsi="仿宋" w:cs="仿宋" w:hint="eastAsia"/>
      <w:color w:val="000000"/>
      <w:sz w:val="21"/>
      <w:szCs w:val="21"/>
      <w:u w:val="none"/>
      <w:vertAlign w:val="superscript"/>
    </w:rPr>
  </w:style>
  <w:style w:type="paragraph" w:customStyle="1" w:styleId="32">
    <w:name w:val="列出段落3"/>
    <w:basedOn w:val="a"/>
    <w:uiPriority w:val="99"/>
    <w:unhideWhenUsed/>
    <w:qFormat/>
    <w:rsid w:val="00A37CBB"/>
    <w:pPr>
      <w:ind w:firstLineChars="200" w:firstLine="420"/>
    </w:pPr>
  </w:style>
  <w:style w:type="character" w:customStyle="1" w:styleId="font31">
    <w:name w:val="font31"/>
    <w:basedOn w:val="a1"/>
    <w:qFormat/>
    <w:rsid w:val="00A37CBB"/>
    <w:rPr>
      <w:rFonts w:ascii="宋体" w:eastAsia="宋体" w:hAnsi="宋体" w:cs="宋体" w:hint="eastAsia"/>
      <w:color w:val="333333"/>
      <w:sz w:val="21"/>
      <w:szCs w:val="21"/>
      <w:u w:val="none"/>
    </w:rPr>
  </w:style>
  <w:style w:type="character" w:customStyle="1" w:styleId="font11">
    <w:name w:val="font11"/>
    <w:basedOn w:val="a1"/>
    <w:qFormat/>
    <w:rsid w:val="00A37CBB"/>
    <w:rPr>
      <w:rFonts w:ascii="宋体" w:eastAsia="宋体" w:hAnsi="宋体" w:cs="宋体" w:hint="eastAsia"/>
      <w:color w:val="000000"/>
      <w:sz w:val="21"/>
      <w:szCs w:val="21"/>
      <w:u w:val="none"/>
    </w:rPr>
  </w:style>
  <w:style w:type="character" w:customStyle="1" w:styleId="font01">
    <w:name w:val="font01"/>
    <w:basedOn w:val="a1"/>
    <w:qFormat/>
    <w:rsid w:val="00A37CBB"/>
    <w:rPr>
      <w:rFonts w:ascii="宋体" w:eastAsia="宋体" w:hAnsi="宋体" w:cs="宋体" w:hint="eastAsia"/>
      <w:color w:val="000000"/>
      <w:sz w:val="21"/>
      <w:szCs w:val="21"/>
      <w:u w:val="none"/>
      <w:vertAlign w:val="superscript"/>
    </w:rPr>
  </w:style>
  <w:style w:type="paragraph" w:customStyle="1" w:styleId="13">
    <w:name w:val="修订1"/>
    <w:hidden/>
    <w:uiPriority w:val="99"/>
    <w:unhideWhenUsed/>
    <w:qFormat/>
    <w:rsid w:val="00A37CBB"/>
    <w:rPr>
      <w:rFonts w:eastAsia="仿宋_GB2312"/>
      <w:kern w:val="2"/>
      <w:sz w:val="24"/>
    </w:rPr>
  </w:style>
  <w:style w:type="paragraph" w:styleId="afa">
    <w:name w:val="List Paragraph"/>
    <w:basedOn w:val="a"/>
    <w:uiPriority w:val="99"/>
    <w:unhideWhenUsed/>
    <w:qFormat/>
    <w:rsid w:val="00A37CBB"/>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https://baike.so.com/doc/6744112-6958651.html"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s://baike.so.com/doc/2671265-2820914.html" TargetMode="External"/><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baike.so.com/doc/1256933-1329309.html" TargetMode="Externa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baike.so.com/doc/3631974-3817930.html" TargetMode="External"/><Relationship Id="rId28" Type="http://schemas.openxmlformats.org/officeDocument/2006/relationships/hyperlink" Target="https://baike.so.com/doc/5749490-5962248.html" TargetMode="External"/><Relationship Id="rId36" Type="http://schemas.openxmlformats.org/officeDocument/2006/relationships/image" Target="media/image16.jpe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yperlink" Target="https://baike.so.com/doc/7856929-8131024.html" TargetMode="External"/><Relationship Id="rId30" Type="http://schemas.openxmlformats.org/officeDocument/2006/relationships/image" Target="media/image10.jpeg"/><Relationship Id="rId35"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72F697F-0120-4BDA-9102-83BE201FD8E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Pages>
  <Words>2352</Words>
  <Characters>13411</Characters>
  <Application>Microsoft Office Word</Application>
  <DocSecurity>0</DocSecurity>
  <Lines>111</Lines>
  <Paragraphs>31</Paragraphs>
  <ScaleCrop>false</ScaleCrop>
  <Company>china</Company>
  <LinksUpToDate>false</LinksUpToDate>
  <CharactersWithSpaces>15732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黄家胜</dc:creator>
  <cp:lastModifiedBy>金城房产</cp:lastModifiedBy>
  <cp:revision>16</cp:revision>
  <cp:lastPrinted>2021-05-12T07:17:00Z</cp:lastPrinted>
  <dcterms:created xsi:type="dcterms:W3CDTF">2018-12-11T03:06:00Z</dcterms:created>
  <dcterms:modified xsi:type="dcterms:W3CDTF">2021-05-12T07:35:00Z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2AC00ED2DBC24BDDA1B7150F4ED39104</vt:lpwstr>
  </property>
</Properties>
</file>