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eastAsia="宋体" w:cs="宋体"/>
          <w:b/>
          <w:sz w:val="56"/>
          <w:szCs w:val="56"/>
        </w:rPr>
      </w:pPr>
      <w:bookmarkStart w:id="0" w:name="_Toc13744"/>
      <w:bookmarkStart w:id="1" w:name="_Toc29413"/>
      <w:bookmarkStart w:id="2" w:name="_Toc386011000"/>
      <w:bookmarkStart w:id="3" w:name="_Toc4967"/>
      <w:bookmarkStart w:id="4" w:name="_Toc457460265"/>
      <w:bookmarkStart w:id="5" w:name="_Toc4218"/>
    </w:p>
    <w:p>
      <w:pPr>
        <w:jc w:val="center"/>
        <w:rPr>
          <w:rFonts w:hint="eastAsia" w:ascii="宋体" w:hAnsi="宋体" w:eastAsia="宋体" w:cs="宋体"/>
          <w:b/>
          <w:sz w:val="56"/>
          <w:szCs w:val="56"/>
        </w:rPr>
      </w:pPr>
      <w:r>
        <w:rPr>
          <w:rFonts w:hint="eastAsia" w:ascii="华文中宋" w:hAnsi="华文中宋" w:eastAsia="华文中宋" w:cs="华文中宋"/>
          <w:b/>
          <w:sz w:val="56"/>
          <w:szCs w:val="56"/>
        </w:rPr>
        <w:t>涉执房地产处置司法估价报告</w:t>
      </w: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jc w:val="center"/>
        <w:rPr>
          <w:rFonts w:hint="eastAsia" w:ascii="仿宋" w:hAnsi="仿宋" w:eastAsia="仿宋" w:cs="仿宋"/>
          <w:b/>
          <w:sz w:val="52"/>
          <w:szCs w:val="52"/>
        </w:rPr>
      </w:pPr>
    </w:p>
    <w:p>
      <w:pPr>
        <w:spacing w:before="312" w:beforeLines="100"/>
        <w:jc w:val="left"/>
        <w:rPr>
          <w:rFonts w:hint="eastAsia" w:ascii="仿宋" w:hAnsi="仿宋" w:eastAsia="仿宋" w:cs="仿宋"/>
          <w:b w:val="0"/>
          <w:bCs/>
          <w:color w:val="000000"/>
          <w:sz w:val="28"/>
          <w:szCs w:val="28"/>
          <w:lang w:eastAsia="zh-CN"/>
        </w:rPr>
      </w:pPr>
      <w:r>
        <w:rPr>
          <w:rFonts w:hint="eastAsia" w:ascii="仿宋" w:hAnsi="仿宋" w:eastAsia="仿宋" w:cs="仿宋"/>
          <w:b/>
          <w:sz w:val="28"/>
          <w:szCs w:val="28"/>
        </w:rPr>
        <w:t>估价报告编号：</w:t>
      </w:r>
      <w:r>
        <w:rPr>
          <w:rFonts w:hint="eastAsia" w:ascii="仿宋" w:hAnsi="仿宋" w:eastAsia="仿宋" w:cs="仿宋"/>
          <w:b w:val="0"/>
          <w:bCs/>
          <w:sz w:val="28"/>
          <w:szCs w:val="28"/>
          <w:lang w:eastAsia="zh-CN"/>
        </w:rPr>
        <w:t>黔昊远房估字（2022）11005号</w:t>
      </w:r>
    </w:p>
    <w:p>
      <w:pPr>
        <w:spacing w:before="312" w:beforeLines="100"/>
        <w:ind w:left="1940" w:hanging="1940" w:hangingChars="690"/>
        <w:jc w:val="left"/>
        <w:rPr>
          <w:rFonts w:hint="default" w:ascii="Times New Roman" w:hAnsi="Times New Roman" w:eastAsia="仿宋" w:cs="Times New Roman"/>
          <w:b/>
          <w:sz w:val="28"/>
          <w:szCs w:val="28"/>
        </w:rPr>
      </w:pPr>
      <w:r>
        <w:rPr>
          <w:rFonts w:hint="eastAsia" w:ascii="仿宋" w:hAnsi="仿宋" w:eastAsia="仿宋" w:cs="仿宋"/>
          <w:b/>
          <w:sz w:val="28"/>
          <w:szCs w:val="28"/>
        </w:rPr>
        <w:t>估价项目名称：</w:t>
      </w:r>
      <w:r>
        <w:rPr>
          <w:rFonts w:hint="eastAsia" w:eastAsia="仿宋" w:cs="Times New Roman"/>
          <w:b w:val="0"/>
          <w:bCs/>
          <w:sz w:val="28"/>
          <w:szCs w:val="28"/>
          <w:lang w:val="en-US" w:eastAsia="zh-CN"/>
        </w:rPr>
        <w:t>贵州大沙河旅游产业（集团）股份有限公司开发建设的</w:t>
      </w:r>
      <w:r>
        <w:rPr>
          <w:rFonts w:hint="eastAsia" w:ascii="Times New Roman" w:hAnsi="Times New Roman" w:eastAsia="仿宋" w:cs="Times New Roman"/>
          <w:b w:val="0"/>
          <w:bCs/>
          <w:sz w:val="28"/>
          <w:szCs w:val="28"/>
          <w:lang w:val="en-US" w:eastAsia="zh-CN"/>
        </w:rPr>
        <w:t>位于</w:t>
      </w:r>
      <w:r>
        <w:rPr>
          <w:rFonts w:hint="eastAsia" w:eastAsia="仿宋" w:cs="Times New Roman"/>
          <w:b w:val="0"/>
          <w:bCs/>
          <w:sz w:val="28"/>
          <w:szCs w:val="28"/>
          <w:lang w:eastAsia="zh-CN"/>
        </w:rPr>
        <w:t>遵义市道真仡佬族苗族自治县大磏镇文家坝村（中国傩城洋房）共计</w:t>
      </w:r>
      <w:r>
        <w:rPr>
          <w:rFonts w:hint="eastAsia" w:eastAsia="仿宋" w:cs="Times New Roman"/>
          <w:b w:val="0"/>
          <w:bCs/>
          <w:sz w:val="28"/>
          <w:szCs w:val="28"/>
          <w:lang w:val="en-US" w:eastAsia="zh-CN"/>
        </w:rPr>
        <w:t>141套住宅用房</w:t>
      </w:r>
      <w:r>
        <w:rPr>
          <w:rFonts w:hint="default" w:ascii="Times New Roman" w:hAnsi="Times New Roman" w:eastAsia="仿宋" w:cs="Times New Roman"/>
          <w:b w:val="0"/>
          <w:bCs/>
          <w:sz w:val="28"/>
          <w:szCs w:val="28"/>
          <w:lang w:val="en-US" w:eastAsia="zh-CN"/>
        </w:rPr>
        <w:t>房地产市场价值评估</w:t>
      </w:r>
    </w:p>
    <w:p>
      <w:pPr>
        <w:spacing w:before="312" w:beforeLines="100"/>
        <w:jc w:val="left"/>
        <w:rPr>
          <w:rFonts w:hint="eastAsia" w:ascii="仿宋" w:hAnsi="仿宋" w:eastAsia="仿宋" w:cs="仿宋"/>
          <w:b/>
          <w:sz w:val="28"/>
          <w:szCs w:val="28"/>
          <w:lang w:val="en-US" w:eastAsia="zh-CN"/>
        </w:rPr>
      </w:pPr>
      <w:r>
        <w:rPr>
          <w:rFonts w:hint="eastAsia" w:ascii="仿宋" w:hAnsi="仿宋" w:eastAsia="仿宋" w:cs="仿宋"/>
          <w:b/>
          <w:sz w:val="28"/>
          <w:szCs w:val="28"/>
        </w:rPr>
        <w:t>估价委托</w:t>
      </w:r>
      <w:r>
        <w:rPr>
          <w:rFonts w:hint="eastAsia" w:ascii="仿宋" w:hAnsi="仿宋" w:eastAsia="仿宋" w:cs="仿宋"/>
          <w:b/>
          <w:sz w:val="28"/>
          <w:szCs w:val="28"/>
          <w:lang w:val="en-US" w:eastAsia="zh-CN"/>
        </w:rPr>
        <w:t>人</w:t>
      </w:r>
      <w:r>
        <w:rPr>
          <w:rFonts w:hint="eastAsia" w:ascii="仿宋" w:hAnsi="仿宋" w:eastAsia="仿宋" w:cs="仿宋"/>
          <w:b/>
          <w:sz w:val="28"/>
          <w:szCs w:val="28"/>
        </w:rPr>
        <w:t>：</w:t>
      </w:r>
      <w:r>
        <w:rPr>
          <w:rFonts w:hint="eastAsia" w:ascii="仿宋" w:hAnsi="仿宋" w:eastAsia="仿宋" w:cs="仿宋"/>
          <w:b w:val="0"/>
          <w:bCs/>
          <w:sz w:val="28"/>
          <w:szCs w:val="28"/>
          <w:lang w:val="en-US" w:eastAsia="zh-CN"/>
        </w:rPr>
        <w:t>贵州省遵义市中级人民法院</w:t>
      </w:r>
    </w:p>
    <w:p>
      <w:pPr>
        <w:spacing w:before="312" w:beforeLines="100"/>
        <w:jc w:val="left"/>
        <w:rPr>
          <w:rFonts w:hint="eastAsia" w:ascii="仿宋" w:hAnsi="仿宋" w:eastAsia="仿宋" w:cs="仿宋"/>
          <w:b/>
          <w:sz w:val="28"/>
          <w:szCs w:val="28"/>
        </w:rPr>
      </w:pPr>
      <w:r>
        <w:rPr>
          <w:rFonts w:hint="eastAsia" w:ascii="仿宋" w:hAnsi="仿宋" w:eastAsia="仿宋" w:cs="仿宋"/>
          <w:b/>
          <w:sz w:val="28"/>
          <w:szCs w:val="28"/>
        </w:rPr>
        <w:t>房地产估价机构：</w:t>
      </w:r>
      <w:r>
        <w:rPr>
          <w:rFonts w:hint="eastAsia" w:ascii="仿宋" w:hAnsi="仿宋" w:eastAsia="仿宋" w:cs="仿宋"/>
          <w:b w:val="0"/>
          <w:bCs/>
          <w:sz w:val="28"/>
          <w:szCs w:val="28"/>
        </w:rPr>
        <w:t>贵州昊远房地产土地评估有限公司</w:t>
      </w:r>
    </w:p>
    <w:p>
      <w:pPr>
        <w:spacing w:before="312" w:beforeLines="100"/>
        <w:jc w:val="left"/>
        <w:rPr>
          <w:rFonts w:hint="eastAsia" w:ascii="仿宋" w:hAnsi="仿宋" w:eastAsia="仿宋" w:cs="仿宋"/>
          <w:b w:val="0"/>
          <w:bCs/>
          <w:sz w:val="28"/>
          <w:szCs w:val="28"/>
        </w:rPr>
      </w:pPr>
      <w:r>
        <w:rPr>
          <w:rFonts w:hint="eastAsia" w:ascii="仿宋" w:hAnsi="仿宋" w:eastAsia="仿宋" w:cs="仿宋"/>
          <w:b/>
          <w:sz w:val="28"/>
          <w:szCs w:val="28"/>
        </w:rPr>
        <w:t>注册房地产估价师：</w:t>
      </w:r>
      <w:r>
        <w:rPr>
          <w:rFonts w:hint="eastAsia" w:ascii="仿宋" w:hAnsi="仿宋" w:eastAsia="仿宋" w:cs="仿宋"/>
          <w:b w:val="0"/>
          <w:bCs/>
          <w:sz w:val="28"/>
          <w:szCs w:val="28"/>
          <w:lang w:val="en-US" w:eastAsia="zh-CN"/>
        </w:rPr>
        <w:t>覃  剑（注册号：</w:t>
      </w:r>
      <w:r>
        <w:rPr>
          <w:rFonts w:hint="eastAsia" w:eastAsia="仿宋_GB2312"/>
          <w:b w:val="0"/>
          <w:bCs/>
          <w:color w:val="000000"/>
          <w:sz w:val="28"/>
          <w:szCs w:val="28"/>
          <w:lang w:val="en-US" w:eastAsia="zh-CN"/>
        </w:rPr>
        <w:t>5220040052</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lang w:eastAsia="zh-CN"/>
        </w:rPr>
        <w:t>杨青钢</w:t>
      </w:r>
      <w:r>
        <w:rPr>
          <w:rFonts w:hint="eastAsia" w:ascii="仿宋" w:hAnsi="仿宋" w:eastAsia="仿宋" w:cs="仿宋"/>
          <w:b w:val="0"/>
          <w:bCs/>
          <w:sz w:val="28"/>
          <w:szCs w:val="28"/>
          <w:lang w:val="en-US" w:eastAsia="zh-CN"/>
        </w:rPr>
        <w:t>（注册号：</w:t>
      </w:r>
      <w:r>
        <w:rPr>
          <w:rFonts w:hint="eastAsia" w:eastAsia="仿宋_GB2312"/>
          <w:b w:val="0"/>
          <w:bCs/>
          <w:color w:val="000000"/>
          <w:sz w:val="28"/>
          <w:szCs w:val="28"/>
          <w:lang w:val="en-US" w:eastAsia="zh-CN"/>
        </w:rPr>
        <w:t>5220200026</w:t>
      </w:r>
      <w:r>
        <w:rPr>
          <w:rFonts w:hint="eastAsia" w:ascii="仿宋" w:hAnsi="仿宋" w:eastAsia="仿宋" w:cs="仿宋"/>
          <w:b w:val="0"/>
          <w:bCs/>
          <w:sz w:val="28"/>
          <w:szCs w:val="28"/>
          <w:lang w:val="en-US" w:eastAsia="zh-CN"/>
        </w:rPr>
        <w:t>）</w:t>
      </w:r>
    </w:p>
    <w:p>
      <w:pPr>
        <w:spacing w:before="312" w:beforeLines="100"/>
        <w:jc w:val="left"/>
        <w:rPr>
          <w:rFonts w:hint="eastAsia" w:eastAsia="仿宋_GB2312"/>
          <w:b/>
          <w:bCs/>
          <w:color w:val="000000"/>
          <w:sz w:val="26"/>
          <w:szCs w:val="26"/>
          <w:lang w:val="en-US" w:eastAsia="zh-CN"/>
        </w:rPr>
      </w:pPr>
      <w:r>
        <w:rPr>
          <w:rFonts w:hint="eastAsia" w:ascii="仿宋" w:hAnsi="仿宋" w:eastAsia="仿宋" w:cs="仿宋"/>
          <w:b/>
          <w:sz w:val="28"/>
          <w:szCs w:val="28"/>
        </w:rPr>
        <w:t>估价报告出具日期：</w:t>
      </w:r>
      <w:r>
        <w:rPr>
          <w:rFonts w:hint="eastAsia" w:eastAsia="仿宋_GB2312"/>
          <w:b w:val="0"/>
          <w:bCs w:val="0"/>
          <w:color w:val="000000"/>
          <w:sz w:val="28"/>
          <w:szCs w:val="28"/>
          <w:lang w:val="en-US" w:eastAsia="zh-CN"/>
        </w:rPr>
        <w:t>2022年11月04日</w:t>
      </w:r>
    </w:p>
    <w:p>
      <w:pPr>
        <w:jc w:val="center"/>
        <w:rPr>
          <w:rFonts w:hint="eastAsia" w:ascii="仿宋" w:hAnsi="仿宋" w:eastAsia="仿宋" w:cs="仿宋"/>
          <w:b/>
          <w:sz w:val="28"/>
          <w:szCs w:val="28"/>
        </w:rPr>
      </w:pPr>
    </w:p>
    <w:p>
      <w:pPr>
        <w:spacing w:line="360" w:lineRule="auto"/>
        <w:jc w:val="left"/>
        <w:rPr>
          <w:rFonts w:hint="eastAsia" w:ascii="仿宋" w:hAnsi="仿宋" w:eastAsia="仿宋" w:cs="仿宋"/>
          <w:b/>
          <w:sz w:val="28"/>
          <w:szCs w:val="28"/>
        </w:rPr>
        <w:sectPr>
          <w:headerReference r:id="rId3" w:type="default"/>
          <w:footerReference r:id="rId4" w:type="default"/>
          <w:endnotePr>
            <w:numFmt w:val="decimal"/>
          </w:endnotePr>
          <w:pgSz w:w="11906" w:h="16838"/>
          <w:pgMar w:top="1440" w:right="1080" w:bottom="1440" w:left="1080" w:header="851" w:footer="992" w:gutter="0"/>
          <w:pgNumType w:fmt="decimal" w:chapStyle="1" w:chapSep="hyphen"/>
          <w:cols w:space="720" w:num="1"/>
          <w:docGrid w:type="lines" w:linePitch="312" w:charSpace="0"/>
        </w:sectPr>
      </w:pPr>
    </w:p>
    <w:p>
      <w:pPr>
        <w:jc w:val="center"/>
        <w:rPr>
          <w:rFonts w:hint="eastAsia" w:ascii="仿宋" w:hAnsi="仿宋" w:eastAsia="仿宋" w:cs="仿宋"/>
          <w:b/>
          <w:sz w:val="52"/>
          <w:szCs w:val="52"/>
        </w:rPr>
      </w:pPr>
      <w:r>
        <w:rPr>
          <w:rFonts w:hint="eastAsia" w:ascii="仿宋" w:hAnsi="仿宋" w:eastAsia="仿宋" w:cs="仿宋"/>
          <w:b/>
          <w:sz w:val="52"/>
          <w:szCs w:val="52"/>
        </w:rPr>
        <w:t>致估价委托</w:t>
      </w:r>
      <w:r>
        <w:rPr>
          <w:rFonts w:hint="eastAsia" w:ascii="仿宋" w:hAnsi="仿宋" w:eastAsia="仿宋" w:cs="仿宋"/>
          <w:b/>
          <w:sz w:val="52"/>
          <w:szCs w:val="52"/>
          <w:lang w:val="en-US" w:eastAsia="zh-CN"/>
        </w:rPr>
        <w:t>人</w:t>
      </w:r>
      <w:r>
        <w:rPr>
          <w:rFonts w:hint="eastAsia" w:ascii="仿宋" w:hAnsi="仿宋" w:eastAsia="仿宋" w:cs="仿宋"/>
          <w:b/>
          <w:sz w:val="52"/>
          <w:szCs w:val="52"/>
        </w:rPr>
        <w:t>函</w:t>
      </w:r>
    </w:p>
    <w:p>
      <w:pPr>
        <w:keepNext w:val="0"/>
        <w:keepLines w:val="0"/>
        <w:pageBreakBefore w:val="0"/>
        <w:widowControl w:val="0"/>
        <w:kinsoku/>
        <w:wordWrap/>
        <w:overflowPunct/>
        <w:topLinePunct w:val="0"/>
        <w:autoSpaceDE/>
        <w:autoSpaceDN/>
        <w:bidi w:val="0"/>
        <w:adjustRightInd/>
        <w:snapToGrid/>
        <w:spacing w:before="312" w:beforeLines="100" w:line="460" w:lineRule="exact"/>
        <w:jc w:val="left"/>
        <w:textAlignment w:val="auto"/>
        <w:rPr>
          <w:rFonts w:hint="eastAsia" w:ascii="仿宋" w:hAnsi="仿宋" w:eastAsia="仿宋" w:cs="仿宋"/>
          <w:bCs/>
          <w:color w:val="0000FF"/>
          <w:sz w:val="24"/>
        </w:rPr>
      </w:pPr>
      <w:r>
        <w:rPr>
          <w:rFonts w:hint="eastAsia" w:ascii="仿宋" w:hAnsi="仿宋" w:eastAsia="仿宋" w:cs="仿宋"/>
          <w:b/>
          <w:sz w:val="28"/>
          <w:szCs w:val="28"/>
          <w:lang w:val="en-US" w:eastAsia="zh-CN"/>
        </w:rPr>
        <w:t>贵州省遵义市中级人民法院</w:t>
      </w:r>
      <w:r>
        <w:rPr>
          <w:rFonts w:hint="eastAsia" w:ascii="仿宋" w:hAnsi="仿宋" w:eastAsia="仿宋" w:cs="仿宋"/>
          <w:b/>
          <w:sz w:val="28"/>
          <w:szCs w:val="28"/>
        </w:rPr>
        <w:t>：</w:t>
      </w:r>
      <w:r>
        <w:rPr>
          <w:rFonts w:hint="eastAsia" w:ascii="仿宋" w:hAnsi="仿宋" w:eastAsia="仿宋" w:cs="仿宋"/>
          <w:bCs/>
          <w:color w:val="0000FF"/>
          <w:sz w:val="24"/>
        </w:rPr>
        <w:t xml:space="preserve">  </w:t>
      </w:r>
    </w:p>
    <w:p>
      <w:pPr>
        <w:keepNext w:val="0"/>
        <w:keepLines w:val="0"/>
        <w:pageBreakBefore w:val="0"/>
        <w:widowControl w:val="0"/>
        <w:kinsoku/>
        <w:wordWrap/>
        <w:overflowPunct/>
        <w:topLinePunct w:val="0"/>
        <w:autoSpaceDE/>
        <w:autoSpaceDN/>
        <w:bidi w:val="0"/>
        <w:adjustRightInd/>
        <w:snapToGrid/>
        <w:spacing w:before="312" w:beforeLines="100" w:line="440" w:lineRule="exact"/>
        <w:ind w:right="168" w:rightChars="80" w:firstLine="520" w:firstLineChars="200"/>
        <w:jc w:val="left"/>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受贵院的委托，我公司对贵院委托的位于遵义市道真仡佬族苗族自治县大磏镇文家坝村（中国傩城洋房）共141套住宅用房房地产（建设单位为：贵州大沙河旅游产业（集团）股份有限公司，建筑面积合计15650.68平方米，建筑面积详见评估结果明细表）进行估价；</w:t>
      </w: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color w:val="000000"/>
          <w:sz w:val="26"/>
          <w:szCs w:val="26"/>
          <w:lang w:val="en-US" w:eastAsia="zh-CN"/>
        </w:rPr>
        <w:t>；估价目的是为人民法院确定财产处置参考价提供参考依据而评估房地产市场价值；</w:t>
      </w:r>
      <w:r>
        <w:rPr>
          <w:rFonts w:hint="eastAsia" w:eastAsia="仿宋_GB2312"/>
          <w:color w:val="000000"/>
          <w:sz w:val="26"/>
          <w:szCs w:val="26"/>
        </w:rPr>
        <w:t>价值时点</w:t>
      </w:r>
      <w:r>
        <w:rPr>
          <w:rFonts w:hint="eastAsia" w:eastAsia="仿宋_GB2312"/>
          <w:color w:val="000000"/>
          <w:sz w:val="26"/>
          <w:szCs w:val="26"/>
          <w:lang w:val="en-US" w:eastAsia="zh-CN"/>
        </w:rPr>
        <w:t>为2022年04月24日。</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themeColor="text1"/>
          <w:sz w:val="26"/>
          <w:szCs w:val="26"/>
          <w:lang w:val="en-US" w:eastAsia="zh-CN"/>
          <w14:textFill>
            <w14:solidFill>
              <w14:schemeClr w14:val="tx1"/>
            </w14:solidFill>
          </w14:textFill>
        </w:rPr>
      </w:pPr>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r>
        <w:rPr>
          <w:rFonts w:eastAsia="仿宋_GB2312"/>
          <w:color w:val="auto"/>
          <w:sz w:val="26"/>
          <w:szCs w:val="26"/>
        </w:rPr>
        <w:t>运</w:t>
      </w:r>
      <w:r>
        <w:rPr>
          <w:rFonts w:hint="eastAsia" w:eastAsia="仿宋_GB2312"/>
          <w:color w:val="auto"/>
          <w:sz w:val="26"/>
          <w:szCs w:val="26"/>
          <w:lang w:val="en-US" w:eastAsia="zh-CN"/>
        </w:rPr>
        <w:t>用比较法</w:t>
      </w:r>
      <w:r>
        <w:rPr>
          <w:rFonts w:eastAsia="仿宋_GB2312"/>
          <w:color w:val="auto"/>
          <w:sz w:val="26"/>
          <w:szCs w:val="26"/>
        </w:rPr>
        <w:t>对估价对</w:t>
      </w:r>
      <w:r>
        <w:rPr>
          <w:rFonts w:eastAsia="仿宋_GB2312"/>
          <w:sz w:val="26"/>
          <w:szCs w:val="26"/>
        </w:rPr>
        <w:t>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并结合估价经验和对影响价值因素的分析，在满足本次估价的假设和限制条件下，确定估价对象于价值时点2022年04月24日的市场价值合计为</w:t>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人民币</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90038400 \* CHINESENUM4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88503200 \* CHINESENUM2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捌仟捌佰伍拾万叁仟贰佰</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元整</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w:t>
      </w:r>
      <w:r>
        <w:rPr>
          <w:rFonts w:hint="eastAsia" w:eastAsia="仿宋_GB2312" w:cs="Times New Roman"/>
          <w:b/>
          <w:bCs/>
          <w:color w:val="000000" w:themeColor="text1"/>
          <w:sz w:val="26"/>
          <w:szCs w:val="26"/>
          <w:lang w:val="en-US" w:eastAsia="zh-CN"/>
          <w14:textFill>
            <w14:solidFill>
              <w14:schemeClr w14:val="tx1"/>
            </w14:solidFill>
          </w14:textFill>
        </w:rPr>
        <w:t>8850.32</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万元）</w:t>
      </w:r>
      <w:r>
        <w:rPr>
          <w:rFonts w:hint="eastAsia" w:eastAsia="仿宋_GB2312"/>
          <w:color w:val="000000" w:themeColor="text1"/>
          <w:sz w:val="26"/>
          <w:szCs w:val="26"/>
          <w:lang w:val="en-US" w:eastAsia="zh-CN"/>
          <w14:textFill>
            <w14:solidFill>
              <w14:schemeClr w14:val="tx1"/>
            </w14:solidFill>
          </w14:textFill>
        </w:rPr>
        <w:t>。详见下表：</w:t>
      </w:r>
    </w:p>
    <w:tbl>
      <w:tblPr>
        <w:tblStyle w:val="23"/>
        <w:tblW w:w="96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530"/>
        <w:gridCol w:w="2032"/>
        <w:gridCol w:w="960"/>
        <w:gridCol w:w="660"/>
        <w:gridCol w:w="1119"/>
        <w:gridCol w:w="867"/>
        <w:gridCol w:w="1112"/>
        <w:gridCol w:w="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96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36"/>
                <w:szCs w:val="36"/>
                <w:u w:val="none"/>
                <w:lang w:val="en-US" w:eastAsia="zh-CN" w:bidi="ar"/>
              </w:rPr>
              <w:t>评估结果明细表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建设单位</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坐落</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房号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用途</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建筑面积（㎡）</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评估单价（元/㎡）</w:t>
            </w:r>
          </w:p>
        </w:tc>
        <w:tc>
          <w:tcPr>
            <w:tcW w:w="111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评估价值（万元）</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52.30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65.45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5875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53.39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5875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66.82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62.41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52.30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62.41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86.03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49.51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84.46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48.12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51.77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65.45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87.28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49.72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62.58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86.03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49.01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61.78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51.96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51.96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51.96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86.72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49.91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62.82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85.49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49.20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107.76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62.02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83.92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64.54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60.78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64.38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60.43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57.05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48.29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68.86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64.64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69.41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69.56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68.86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57.43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131.72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75.04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71.71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117.41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117.41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62.10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62.10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57.42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57.42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84.46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48.12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60.82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48.60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96.09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54.74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69.59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58.68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60.99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105.97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60.37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96.09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55.30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65.33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46.84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58.68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57.26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105.97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56.67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65.33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87.98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50.12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65.33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46.84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58.68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107.76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5875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63.31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jc w:val="center"/>
        </w:trPr>
        <w:tc>
          <w:tcPr>
            <w:tcW w:w="2226"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合计</w:t>
            </w:r>
          </w:p>
        </w:tc>
        <w:tc>
          <w:tcPr>
            <w:tcW w:w="20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c>
          <w:tcPr>
            <w:tcW w:w="960"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c>
          <w:tcPr>
            <w:tcW w:w="660"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c>
          <w:tcPr>
            <w:tcW w:w="111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15650.68</w:t>
            </w:r>
          </w:p>
        </w:tc>
        <w:tc>
          <w:tcPr>
            <w:tcW w:w="867"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b/>
                <w:bCs/>
                <w:i w:val="0"/>
                <w:iCs w:val="0"/>
                <w:color w:val="000000"/>
                <w:kern w:val="0"/>
                <w:sz w:val="22"/>
                <w:szCs w:val="22"/>
                <w:u w:val="none"/>
                <w:lang w:val="en-US" w:eastAsia="zh-CN" w:bidi="ar"/>
              </w:rPr>
            </w:pPr>
            <w:r>
              <w:rPr>
                <w:rFonts w:hint="default" w:ascii="Times New Roman" w:hAnsi="Times New Roman" w:eastAsia="仿宋" w:cs="Times New Roman"/>
                <w:i w:val="0"/>
                <w:iCs w:val="0"/>
                <w:color w:val="000000"/>
                <w:sz w:val="22"/>
                <w:szCs w:val="22"/>
                <w:u w:val="none"/>
                <w:lang w:val="en-US" w:eastAsia="zh-CN"/>
              </w:rPr>
              <w:t>/</w:t>
            </w:r>
          </w:p>
        </w:tc>
        <w:tc>
          <w:tcPr>
            <w:tcW w:w="1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2"/>
                <w:szCs w:val="22"/>
                <w:u w:val="none"/>
                <w:lang w:val="en-US" w:eastAsia="zh-CN" w:bidi="ar"/>
              </w:rPr>
            </w:pPr>
            <w:r>
              <w:rPr>
                <w:rFonts w:hint="eastAsia" w:ascii="Times New Roman" w:hAnsi="Times New Roman" w:eastAsia="仿宋" w:cs="Times New Roman"/>
                <w:b/>
                <w:bCs/>
                <w:i w:val="0"/>
                <w:iCs w:val="0"/>
                <w:color w:val="000000"/>
                <w:kern w:val="0"/>
                <w:sz w:val="22"/>
                <w:szCs w:val="22"/>
                <w:u w:val="none"/>
                <w:lang w:val="en-US" w:eastAsia="zh-CN" w:bidi="ar"/>
              </w:rPr>
              <w:t xml:space="preserve">8850.32 </w:t>
            </w:r>
          </w:p>
        </w:tc>
        <w:tc>
          <w:tcPr>
            <w:tcW w:w="690" w:type="dxa"/>
            <w:tcBorders>
              <w:top w:val="nil"/>
              <w:left w:val="single" w:color="000000" w:sz="4" w:space="0"/>
              <w:bottom w:val="single" w:color="000000" w:sz="4" w:space="0"/>
              <w:right w:val="single" w:color="000000" w:sz="4" w:space="0"/>
            </w:tcBorders>
            <w:shd w:val="clear" w:color="auto" w:fill="auto"/>
            <w:vAlign w:val="center"/>
          </w:tcPr>
          <w:p>
            <w:pPr>
              <w:ind w:firstLine="220" w:firstLineChars="100"/>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482" w:firstLineChars="200"/>
        <w:jc w:val="left"/>
        <w:textAlignment w:val="auto"/>
        <w:outlineLvl w:val="9"/>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1、因财产拍卖（或者变卖）日期与价值时点不一致，估价对象状况或者房地产市场状况的变化会对估价结果产生影响；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default" w:ascii="仿宋" w:hAnsi="仿宋" w:eastAsia="仿宋" w:cs="仿宋"/>
          <w:b/>
          <w:bCs w:val="0"/>
          <w:sz w:val="24"/>
          <w:szCs w:val="24"/>
          <w:lang w:val="en-US" w:eastAsia="zh-CN"/>
        </w:rPr>
        <w:t>2</w:t>
      </w:r>
      <w:r>
        <w:rPr>
          <w:rFonts w:hint="eastAsia" w:ascii="仿宋" w:hAnsi="仿宋" w:eastAsia="仿宋" w:cs="仿宋"/>
          <w:b/>
          <w:bCs w:val="0"/>
          <w:sz w:val="24"/>
          <w:szCs w:val="24"/>
          <w:lang w:val="en-US" w:eastAsia="zh-CN"/>
        </w:rPr>
        <w:t>、在估价结果有效期内，估价对象状况或者房地产市场发生明显变化的，估价结果应当进行相应调整；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3、委托人或者估价报告使用人应当按照法律规定和估价报告载明的使用范围使用估价报告，违反该规定使用估价报告的，房地产估价机构和注册房地产估价师依法不承担责任；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default"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t>4、估价结果不等于估价对象处置可实现的成交价，不应被认为是估价对象处置成交价的保证；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val="0"/>
          <w:sz w:val="24"/>
          <w:szCs w:val="24"/>
          <w:lang w:val="en-US" w:eastAsia="zh-CN"/>
        </w:rPr>
        <w:t>5、本机构提醒报告使用方在使用本估价结论时，应认真阅读本报告书全文，提请关注本报告各种假设和限制条件等对该估价结果的影响。</w:t>
      </w: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贵州昊远房地产土地评估有限公司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法定代表人：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sz w:val="28"/>
          <w:szCs w:val="28"/>
          <w:lang w:eastAsia="zh-CN"/>
        </w:rPr>
      </w:pPr>
      <w:r>
        <w:rPr>
          <w:rFonts w:hint="eastAsia" w:ascii="仿宋" w:hAnsi="仿宋" w:eastAsia="仿宋" w:cs="仿宋"/>
          <w:b/>
          <w:bCs/>
          <w:sz w:val="28"/>
          <w:szCs w:val="28"/>
          <w:lang w:val="en-US" w:eastAsia="zh-CN"/>
        </w:rPr>
        <w:t xml:space="preserve">                        二〇二二年十一月四日</w:t>
      </w:r>
    </w:p>
    <w:p>
      <w:pPr>
        <w:jc w:val="center"/>
        <w:rPr>
          <w:rFonts w:hint="eastAsia" w:ascii="仿宋" w:hAnsi="仿宋" w:eastAsia="仿宋" w:cs="仿宋"/>
          <w:b/>
          <w:sz w:val="28"/>
          <w:szCs w:val="28"/>
        </w:rPr>
        <w:sectPr>
          <w:endnotePr>
            <w:numFmt w:val="decimal"/>
          </w:endnotePr>
          <w:pgSz w:w="11906" w:h="16838"/>
          <w:pgMar w:top="1440" w:right="1080" w:bottom="1440" w:left="1080" w:header="851" w:footer="992" w:gutter="0"/>
          <w:pgNumType w:fmt="decimal" w:chapStyle="1" w:chapSep="hyphen"/>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 w:hAnsi="仿宋" w:eastAsia="仿宋" w:cs="仿宋"/>
          <w:b/>
          <w:bCs/>
          <w:kern w:val="0"/>
          <w:sz w:val="52"/>
          <w:szCs w:val="52"/>
        </w:rPr>
      </w:pPr>
      <w:r>
        <w:rPr>
          <w:rFonts w:hint="eastAsia" w:ascii="仿宋" w:hAnsi="仿宋" w:eastAsia="仿宋" w:cs="仿宋"/>
          <w:b/>
          <w:bCs/>
          <w:kern w:val="0"/>
          <w:sz w:val="52"/>
          <w:szCs w:val="52"/>
        </w:rPr>
        <w:t>目   录</w:t>
      </w:r>
    </w:p>
    <w:p>
      <w:pPr>
        <w:pStyle w:val="16"/>
        <w:pageBreakBefore w:val="0"/>
        <w:widowControl w:val="0"/>
        <w:tabs>
          <w:tab w:val="right" w:leader="dot" w:pos="9746"/>
        </w:tabs>
        <w:kinsoku/>
        <w:wordWrap/>
        <w:overflowPunct/>
        <w:topLinePunct w:val="0"/>
        <w:autoSpaceDE/>
        <w:autoSpaceDN/>
        <w:bidi w:val="0"/>
        <w:adjustRightInd/>
        <w:snapToGrid/>
        <w:spacing w:line="660" w:lineRule="exact"/>
        <w:textAlignment w:val="auto"/>
      </w:pPr>
      <w:bookmarkStart w:id="6" w:name="_Toc286074107"/>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_Toc9889 </w:instrText>
      </w:r>
      <w:r>
        <w:rPr>
          <w:rFonts w:hint="eastAsia" w:ascii="仿宋" w:hAnsi="仿宋" w:eastAsia="仿宋" w:cs="仿宋"/>
          <w:szCs w:val="24"/>
        </w:rPr>
        <w:fldChar w:fldCharType="separate"/>
      </w:r>
      <w:r>
        <w:rPr>
          <w:rFonts w:hint="eastAsia" w:ascii="仿宋" w:hAnsi="仿宋" w:eastAsia="仿宋" w:cs="仿宋"/>
          <w:bCs/>
          <w:kern w:val="0"/>
          <w:szCs w:val="52"/>
        </w:rPr>
        <w:t>估价师声明</w:t>
      </w:r>
      <w:r>
        <w:tab/>
      </w:r>
      <w:r>
        <w:fldChar w:fldCharType="begin"/>
      </w:r>
      <w:r>
        <w:instrText xml:space="preserve"> PAGEREF _Toc9889 \h </w:instrText>
      </w:r>
      <w:r>
        <w:fldChar w:fldCharType="separate"/>
      </w:r>
      <w:r>
        <w:t>2</w:t>
      </w:r>
      <w:r>
        <w:fldChar w:fldCharType="end"/>
      </w:r>
      <w:r>
        <w:rPr>
          <w:rFonts w:hint="eastAsia" w:ascii="仿宋" w:hAnsi="仿宋" w:eastAsia="仿宋" w:cs="仿宋"/>
          <w:szCs w:val="24"/>
        </w:rPr>
        <w:fldChar w:fldCharType="end"/>
      </w:r>
    </w:p>
    <w:p>
      <w:pPr>
        <w:pStyle w:val="16"/>
        <w:pageBreakBefore w:val="0"/>
        <w:widowControl w:val="0"/>
        <w:tabs>
          <w:tab w:val="right" w:leader="dot" w:pos="9746"/>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_Toc2550 </w:instrText>
      </w:r>
      <w:r>
        <w:rPr>
          <w:rFonts w:hint="eastAsia" w:ascii="仿宋" w:hAnsi="仿宋" w:eastAsia="仿宋" w:cs="仿宋"/>
          <w:szCs w:val="24"/>
        </w:rPr>
        <w:fldChar w:fldCharType="separate"/>
      </w:r>
      <w:r>
        <w:rPr>
          <w:rFonts w:hint="eastAsia" w:ascii="仿宋" w:hAnsi="仿宋" w:eastAsia="仿宋" w:cs="仿宋"/>
          <w:bCs/>
          <w:kern w:val="0"/>
          <w:szCs w:val="52"/>
        </w:rPr>
        <w:t>估价的假设和限制条件</w:t>
      </w:r>
      <w:r>
        <w:tab/>
      </w:r>
      <w:r>
        <w:fldChar w:fldCharType="begin"/>
      </w:r>
      <w:r>
        <w:instrText xml:space="preserve"> PAGEREF _Toc2550 \h </w:instrText>
      </w:r>
      <w:r>
        <w:fldChar w:fldCharType="separate"/>
      </w:r>
      <w:r>
        <w:t>3</w:t>
      </w:r>
      <w:r>
        <w:fldChar w:fldCharType="end"/>
      </w:r>
      <w:r>
        <w:rPr>
          <w:rFonts w:hint="eastAsia" w:ascii="仿宋" w:hAnsi="仿宋" w:eastAsia="仿宋" w:cs="仿宋"/>
          <w:szCs w:val="24"/>
        </w:rPr>
        <w:fldChar w:fldCharType="end"/>
      </w:r>
    </w:p>
    <w:p>
      <w:pPr>
        <w:pStyle w:val="16"/>
        <w:pageBreakBefore w:val="0"/>
        <w:widowControl w:val="0"/>
        <w:tabs>
          <w:tab w:val="right" w:leader="dot" w:pos="9746"/>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_Toc10394 </w:instrText>
      </w:r>
      <w:r>
        <w:rPr>
          <w:rFonts w:hint="eastAsia" w:ascii="仿宋" w:hAnsi="仿宋" w:eastAsia="仿宋" w:cs="仿宋"/>
          <w:szCs w:val="24"/>
        </w:rPr>
        <w:fldChar w:fldCharType="separate"/>
      </w:r>
      <w:r>
        <w:rPr>
          <w:rFonts w:hint="eastAsia" w:ascii="仿宋" w:hAnsi="仿宋" w:eastAsia="仿宋" w:cs="仿宋"/>
          <w:bCs/>
          <w:kern w:val="0"/>
          <w:szCs w:val="52"/>
        </w:rPr>
        <w:t>估价结果报告</w:t>
      </w:r>
      <w:r>
        <w:tab/>
      </w:r>
      <w:r>
        <w:fldChar w:fldCharType="begin"/>
      </w:r>
      <w:r>
        <w:instrText xml:space="preserve"> PAGEREF _Toc10394 \h </w:instrText>
      </w:r>
      <w:r>
        <w:fldChar w:fldCharType="separate"/>
      </w:r>
      <w:r>
        <w:t>5</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_Toc22771 </w:instrText>
      </w:r>
      <w:r>
        <w:rPr>
          <w:rFonts w:hint="eastAsia" w:ascii="仿宋" w:hAnsi="仿宋" w:eastAsia="仿宋" w:cs="仿宋"/>
          <w:szCs w:val="24"/>
        </w:rPr>
        <w:fldChar w:fldCharType="separate"/>
      </w:r>
      <w:r>
        <w:rPr>
          <w:rFonts w:hint="eastAsia" w:ascii="仿宋" w:hAnsi="仿宋" w:eastAsia="仿宋" w:cs="仿宋"/>
          <w:kern w:val="0"/>
          <w:szCs w:val="32"/>
        </w:rPr>
        <w:t>一、估价委托方</w:t>
      </w:r>
      <w:r>
        <w:tab/>
      </w:r>
      <w:r>
        <w:fldChar w:fldCharType="begin"/>
      </w:r>
      <w:r>
        <w:instrText xml:space="preserve"> PAGEREF _Toc22771 \h </w:instrText>
      </w:r>
      <w:r>
        <w:fldChar w:fldCharType="separate"/>
      </w:r>
      <w:r>
        <w:t>5</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_Toc12425 </w:instrText>
      </w:r>
      <w:r>
        <w:rPr>
          <w:rFonts w:hint="eastAsia" w:ascii="仿宋" w:hAnsi="仿宋" w:eastAsia="仿宋" w:cs="仿宋"/>
          <w:szCs w:val="24"/>
        </w:rPr>
        <w:fldChar w:fldCharType="separate"/>
      </w:r>
      <w:r>
        <w:rPr>
          <w:rFonts w:hint="eastAsia" w:ascii="仿宋" w:hAnsi="仿宋" w:eastAsia="仿宋" w:cs="仿宋"/>
          <w:bCs/>
          <w:kern w:val="0"/>
          <w:szCs w:val="32"/>
        </w:rPr>
        <w:t>二、房地产估价机构</w:t>
      </w:r>
      <w:r>
        <w:tab/>
      </w:r>
      <w:r>
        <w:fldChar w:fldCharType="begin"/>
      </w:r>
      <w:r>
        <w:instrText xml:space="preserve"> PAGEREF _Toc12425 \h </w:instrText>
      </w:r>
      <w:r>
        <w:fldChar w:fldCharType="separate"/>
      </w:r>
      <w:r>
        <w:t>5</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_Toc1938 </w:instrText>
      </w:r>
      <w:r>
        <w:rPr>
          <w:rFonts w:hint="eastAsia" w:ascii="仿宋" w:hAnsi="仿宋" w:eastAsia="仿宋" w:cs="仿宋"/>
          <w:szCs w:val="24"/>
        </w:rPr>
        <w:fldChar w:fldCharType="separate"/>
      </w:r>
      <w:r>
        <w:rPr>
          <w:rFonts w:hint="eastAsia" w:ascii="仿宋" w:hAnsi="仿宋" w:eastAsia="仿宋" w:cs="仿宋"/>
          <w:bCs/>
          <w:kern w:val="0"/>
          <w:szCs w:val="32"/>
        </w:rPr>
        <w:t>三、估价目的</w:t>
      </w:r>
      <w:r>
        <w:tab/>
      </w:r>
      <w:r>
        <w:fldChar w:fldCharType="begin"/>
      </w:r>
      <w:r>
        <w:instrText xml:space="preserve"> PAGEREF _Toc1938 \h </w:instrText>
      </w:r>
      <w:r>
        <w:fldChar w:fldCharType="separate"/>
      </w:r>
      <w:r>
        <w:t>5</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_Toc25099 </w:instrText>
      </w:r>
      <w:r>
        <w:rPr>
          <w:rFonts w:hint="eastAsia" w:ascii="仿宋" w:hAnsi="仿宋" w:eastAsia="仿宋" w:cs="仿宋"/>
          <w:szCs w:val="24"/>
        </w:rPr>
        <w:fldChar w:fldCharType="separate"/>
      </w:r>
      <w:r>
        <w:rPr>
          <w:rFonts w:hint="eastAsia" w:ascii="仿宋" w:hAnsi="仿宋" w:eastAsia="仿宋" w:cs="仿宋"/>
          <w:bCs/>
          <w:kern w:val="0"/>
          <w:szCs w:val="32"/>
        </w:rPr>
        <w:t>四、估价对象</w:t>
      </w:r>
      <w:r>
        <w:tab/>
      </w:r>
      <w:r>
        <w:fldChar w:fldCharType="begin"/>
      </w:r>
      <w:r>
        <w:instrText xml:space="preserve"> PAGEREF _Toc25099 \h </w:instrText>
      </w:r>
      <w:r>
        <w:fldChar w:fldCharType="separate"/>
      </w:r>
      <w:r>
        <w:t>5</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_Toc2325 </w:instrText>
      </w:r>
      <w:r>
        <w:rPr>
          <w:rFonts w:hint="eastAsia" w:ascii="仿宋" w:hAnsi="仿宋" w:eastAsia="仿宋" w:cs="仿宋"/>
          <w:szCs w:val="24"/>
        </w:rPr>
        <w:fldChar w:fldCharType="separate"/>
      </w:r>
      <w:r>
        <w:rPr>
          <w:rFonts w:hint="eastAsia" w:ascii="仿宋" w:hAnsi="仿宋" w:eastAsia="仿宋" w:cs="仿宋"/>
          <w:bCs/>
          <w:kern w:val="0"/>
          <w:szCs w:val="32"/>
        </w:rPr>
        <w:t>五、 价值时点</w:t>
      </w:r>
      <w:bookmarkStart w:id="96" w:name="_GoBack"/>
      <w:bookmarkEnd w:id="96"/>
      <w:r>
        <w:tab/>
      </w:r>
      <w:r>
        <w:fldChar w:fldCharType="begin"/>
      </w:r>
      <w:r>
        <w:instrText xml:space="preserve"> PAGEREF _Toc2325 \h </w:instrText>
      </w:r>
      <w:r>
        <w:fldChar w:fldCharType="separate"/>
      </w:r>
      <w:r>
        <w:t>18</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_Toc12550 </w:instrText>
      </w:r>
      <w:r>
        <w:rPr>
          <w:rFonts w:hint="eastAsia" w:ascii="仿宋" w:hAnsi="仿宋" w:eastAsia="仿宋" w:cs="仿宋"/>
          <w:szCs w:val="24"/>
        </w:rPr>
        <w:fldChar w:fldCharType="separate"/>
      </w:r>
      <w:r>
        <w:rPr>
          <w:rFonts w:hint="eastAsia" w:ascii="仿宋" w:hAnsi="仿宋" w:eastAsia="仿宋" w:cs="仿宋"/>
          <w:bCs/>
          <w:kern w:val="0"/>
          <w:szCs w:val="32"/>
        </w:rPr>
        <w:t>六、价值类型</w:t>
      </w:r>
      <w:r>
        <w:tab/>
      </w:r>
      <w:r>
        <w:fldChar w:fldCharType="begin"/>
      </w:r>
      <w:r>
        <w:instrText xml:space="preserve"> PAGEREF _Toc12550 \h </w:instrText>
      </w:r>
      <w:r>
        <w:fldChar w:fldCharType="separate"/>
      </w:r>
      <w:r>
        <w:t>18</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_Toc24755 </w:instrText>
      </w:r>
      <w:r>
        <w:rPr>
          <w:rFonts w:hint="eastAsia" w:ascii="仿宋" w:hAnsi="仿宋" w:eastAsia="仿宋" w:cs="仿宋"/>
          <w:szCs w:val="24"/>
        </w:rPr>
        <w:fldChar w:fldCharType="separate"/>
      </w:r>
      <w:r>
        <w:rPr>
          <w:rFonts w:hint="eastAsia" w:ascii="仿宋" w:hAnsi="仿宋" w:eastAsia="仿宋" w:cs="仿宋"/>
          <w:bCs/>
          <w:kern w:val="0"/>
          <w:szCs w:val="32"/>
        </w:rPr>
        <w:t>七、估价原则</w:t>
      </w:r>
      <w:r>
        <w:tab/>
      </w:r>
      <w:r>
        <w:fldChar w:fldCharType="begin"/>
      </w:r>
      <w:r>
        <w:instrText xml:space="preserve"> PAGEREF _Toc24755 \h </w:instrText>
      </w:r>
      <w:r>
        <w:fldChar w:fldCharType="separate"/>
      </w:r>
      <w:r>
        <w:t>18</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_Toc7963 </w:instrText>
      </w:r>
      <w:r>
        <w:rPr>
          <w:rFonts w:hint="eastAsia" w:ascii="仿宋" w:hAnsi="仿宋" w:eastAsia="仿宋" w:cs="仿宋"/>
          <w:szCs w:val="24"/>
        </w:rPr>
        <w:fldChar w:fldCharType="separate"/>
      </w:r>
      <w:r>
        <w:rPr>
          <w:rFonts w:hint="eastAsia" w:ascii="仿宋" w:hAnsi="仿宋" w:eastAsia="仿宋" w:cs="仿宋"/>
          <w:bCs/>
          <w:kern w:val="0"/>
          <w:szCs w:val="32"/>
        </w:rPr>
        <w:t>八、估价依据</w:t>
      </w:r>
      <w:r>
        <w:tab/>
      </w:r>
      <w:r>
        <w:fldChar w:fldCharType="begin"/>
      </w:r>
      <w:r>
        <w:instrText xml:space="preserve"> PAGEREF _Toc7963 \h </w:instrText>
      </w:r>
      <w:r>
        <w:fldChar w:fldCharType="separate"/>
      </w:r>
      <w:r>
        <w:t>19</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_Toc28613 </w:instrText>
      </w:r>
      <w:r>
        <w:rPr>
          <w:rFonts w:hint="eastAsia" w:ascii="仿宋" w:hAnsi="仿宋" w:eastAsia="仿宋" w:cs="仿宋"/>
          <w:szCs w:val="24"/>
        </w:rPr>
        <w:fldChar w:fldCharType="separate"/>
      </w:r>
      <w:r>
        <w:rPr>
          <w:rFonts w:hint="eastAsia" w:ascii="仿宋" w:hAnsi="仿宋" w:eastAsia="仿宋" w:cs="仿宋"/>
          <w:bCs/>
          <w:kern w:val="0"/>
          <w:szCs w:val="32"/>
        </w:rPr>
        <w:t>九、估价方法</w:t>
      </w:r>
      <w:r>
        <w:tab/>
      </w:r>
      <w:r>
        <w:fldChar w:fldCharType="begin"/>
      </w:r>
      <w:r>
        <w:instrText xml:space="preserve"> PAGEREF _Toc28613 \h </w:instrText>
      </w:r>
      <w:r>
        <w:fldChar w:fldCharType="separate"/>
      </w:r>
      <w:r>
        <w:t>20</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_Toc15761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w:t>
      </w:r>
      <w:r>
        <w:rPr>
          <w:rFonts w:hint="eastAsia" w:ascii="仿宋" w:hAnsi="仿宋" w:eastAsia="仿宋" w:cs="仿宋"/>
          <w:bCs/>
          <w:kern w:val="0"/>
          <w:szCs w:val="32"/>
        </w:rPr>
        <w:t>估价结果</w:t>
      </w:r>
      <w:r>
        <w:tab/>
      </w:r>
      <w:r>
        <w:fldChar w:fldCharType="begin"/>
      </w:r>
      <w:r>
        <w:instrText xml:space="preserve"> PAGEREF _Toc15761 \h </w:instrText>
      </w:r>
      <w:r>
        <w:fldChar w:fldCharType="separate"/>
      </w:r>
      <w:r>
        <w:t>22</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_Toc10882 </w:instrText>
      </w:r>
      <w:r>
        <w:rPr>
          <w:rFonts w:hint="eastAsia" w:ascii="仿宋" w:hAnsi="仿宋" w:eastAsia="仿宋" w:cs="仿宋"/>
          <w:szCs w:val="24"/>
        </w:rPr>
        <w:fldChar w:fldCharType="separate"/>
      </w:r>
      <w:r>
        <w:rPr>
          <w:rFonts w:hint="eastAsia" w:ascii="仿宋" w:hAnsi="仿宋" w:eastAsia="仿宋" w:cs="仿宋"/>
          <w:bCs/>
          <w:kern w:val="0"/>
          <w:szCs w:val="32"/>
          <w:lang w:val="en-US" w:eastAsia="zh-CN"/>
        </w:rPr>
        <w:t>十一、</w:t>
      </w:r>
      <w:r>
        <w:rPr>
          <w:rFonts w:hint="eastAsia" w:ascii="仿宋" w:hAnsi="仿宋" w:eastAsia="仿宋" w:cs="仿宋"/>
          <w:kern w:val="0"/>
        </w:rPr>
        <w:t>注册房地产估价师</w:t>
      </w:r>
      <w:r>
        <w:tab/>
      </w:r>
      <w:r>
        <w:fldChar w:fldCharType="begin"/>
      </w:r>
      <w:r>
        <w:instrText xml:space="preserve"> PAGEREF _Toc10882 \h </w:instrText>
      </w:r>
      <w:r>
        <w:fldChar w:fldCharType="separate"/>
      </w:r>
      <w:r>
        <w:t>32</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_Toc24484 </w:instrText>
      </w:r>
      <w:r>
        <w:rPr>
          <w:rFonts w:hint="eastAsia" w:ascii="仿宋" w:hAnsi="仿宋" w:eastAsia="仿宋" w:cs="仿宋"/>
          <w:szCs w:val="24"/>
        </w:rPr>
        <w:fldChar w:fldCharType="separate"/>
      </w:r>
      <w:r>
        <w:rPr>
          <w:rFonts w:hint="eastAsia" w:ascii="仿宋" w:hAnsi="仿宋" w:eastAsia="仿宋" w:cs="仿宋"/>
          <w:bCs/>
          <w:kern w:val="0"/>
        </w:rPr>
        <w:t>十二、实地查勘期</w:t>
      </w:r>
      <w:r>
        <w:tab/>
      </w:r>
      <w:r>
        <w:fldChar w:fldCharType="begin"/>
      </w:r>
      <w:r>
        <w:instrText xml:space="preserve"> PAGEREF _Toc24484 \h </w:instrText>
      </w:r>
      <w:r>
        <w:fldChar w:fldCharType="separate"/>
      </w:r>
      <w:r>
        <w:t>32</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_Toc3977 </w:instrText>
      </w:r>
      <w:r>
        <w:rPr>
          <w:rFonts w:hint="eastAsia" w:ascii="仿宋" w:hAnsi="仿宋" w:eastAsia="仿宋" w:cs="仿宋"/>
          <w:szCs w:val="24"/>
        </w:rPr>
        <w:fldChar w:fldCharType="separate"/>
      </w:r>
      <w:r>
        <w:rPr>
          <w:rFonts w:hint="eastAsia" w:ascii="仿宋" w:hAnsi="仿宋" w:eastAsia="仿宋" w:cs="仿宋"/>
          <w:bCs/>
          <w:kern w:val="0"/>
        </w:rPr>
        <w:t>十三、估价作业日期</w:t>
      </w:r>
      <w:r>
        <w:tab/>
      </w:r>
      <w:r>
        <w:fldChar w:fldCharType="begin"/>
      </w:r>
      <w:r>
        <w:instrText xml:space="preserve"> PAGEREF _Toc3977 \h </w:instrText>
      </w:r>
      <w:r>
        <w:fldChar w:fldCharType="separate"/>
      </w:r>
      <w:r>
        <w:t>32</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_Toc2156 </w:instrText>
      </w:r>
      <w:r>
        <w:rPr>
          <w:rFonts w:hint="eastAsia" w:ascii="仿宋" w:hAnsi="仿宋" w:eastAsia="仿宋" w:cs="仿宋"/>
          <w:szCs w:val="24"/>
        </w:rPr>
        <w:fldChar w:fldCharType="separate"/>
      </w:r>
      <w:r>
        <w:rPr>
          <w:rFonts w:hint="eastAsia" w:ascii="仿宋" w:hAnsi="仿宋" w:eastAsia="仿宋" w:cs="仿宋"/>
          <w:bCs/>
          <w:kern w:val="0"/>
        </w:rPr>
        <w:t>十</w:t>
      </w:r>
      <w:r>
        <w:rPr>
          <w:rFonts w:hint="eastAsia" w:ascii="仿宋" w:hAnsi="仿宋" w:eastAsia="仿宋" w:cs="仿宋"/>
          <w:bCs/>
          <w:kern w:val="0"/>
          <w:lang w:val="en-US" w:eastAsia="zh-CN"/>
        </w:rPr>
        <w:t>四</w:t>
      </w:r>
      <w:r>
        <w:rPr>
          <w:rFonts w:hint="eastAsia" w:ascii="仿宋" w:hAnsi="仿宋" w:eastAsia="仿宋" w:cs="仿宋"/>
          <w:bCs/>
          <w:kern w:val="0"/>
        </w:rPr>
        <w:t>、估价报告应用的有效期</w:t>
      </w:r>
      <w:r>
        <w:tab/>
      </w:r>
      <w:r>
        <w:fldChar w:fldCharType="begin"/>
      </w:r>
      <w:r>
        <w:instrText xml:space="preserve"> PAGEREF _Toc2156 \h </w:instrText>
      </w:r>
      <w:r>
        <w:fldChar w:fldCharType="separate"/>
      </w:r>
      <w:r>
        <w:t>32</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_Toc24772 </w:instrText>
      </w:r>
      <w:r>
        <w:rPr>
          <w:rFonts w:hint="eastAsia" w:ascii="仿宋" w:hAnsi="仿宋" w:eastAsia="仿宋" w:cs="仿宋"/>
          <w:szCs w:val="24"/>
        </w:rPr>
        <w:fldChar w:fldCharType="separate"/>
      </w:r>
      <w:r>
        <w:rPr>
          <w:rFonts w:hint="eastAsia" w:ascii="仿宋" w:hAnsi="仿宋" w:eastAsia="仿宋" w:cs="仿宋"/>
          <w:bCs/>
          <w:kern w:val="0"/>
        </w:rPr>
        <w:t>十五、其它需要特别说明的事项</w:t>
      </w:r>
      <w:r>
        <w:tab/>
      </w:r>
      <w:r>
        <w:fldChar w:fldCharType="begin"/>
      </w:r>
      <w:r>
        <w:instrText xml:space="preserve"> PAGEREF _Toc24772 \h </w:instrText>
      </w:r>
      <w:r>
        <w:fldChar w:fldCharType="separate"/>
      </w:r>
      <w:r>
        <w:t>33</w:t>
      </w:r>
      <w:r>
        <w:fldChar w:fldCharType="end"/>
      </w:r>
      <w:r>
        <w:rPr>
          <w:rFonts w:hint="eastAsia" w:ascii="仿宋" w:hAnsi="仿宋" w:eastAsia="仿宋" w:cs="仿宋"/>
          <w:szCs w:val="24"/>
        </w:rPr>
        <w:fldChar w:fldCharType="end"/>
      </w:r>
    </w:p>
    <w:p>
      <w:pPr>
        <w:pStyle w:val="19"/>
        <w:pageBreakBefore w:val="0"/>
        <w:widowControl w:val="0"/>
        <w:tabs>
          <w:tab w:val="right" w:leader="dot" w:pos="9746"/>
          <w:tab w:val="clear" w:pos="9890"/>
        </w:tabs>
        <w:kinsoku/>
        <w:wordWrap/>
        <w:overflowPunct/>
        <w:topLinePunct w:val="0"/>
        <w:autoSpaceDE/>
        <w:autoSpaceDN/>
        <w:bidi w:val="0"/>
        <w:adjustRightInd/>
        <w:snapToGrid/>
        <w:spacing w:line="660" w:lineRule="exact"/>
        <w:textAlignment w:val="auto"/>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_Toc14501 </w:instrText>
      </w:r>
      <w:r>
        <w:rPr>
          <w:rFonts w:hint="eastAsia" w:ascii="仿宋" w:hAnsi="仿宋" w:eastAsia="仿宋" w:cs="仿宋"/>
          <w:szCs w:val="24"/>
        </w:rPr>
        <w:fldChar w:fldCharType="separate"/>
      </w:r>
      <w:r>
        <w:rPr>
          <w:rFonts w:hint="eastAsia" w:ascii="仿宋" w:hAnsi="仿宋" w:eastAsia="仿宋" w:cs="仿宋"/>
          <w:bCs/>
          <w:kern w:val="0"/>
          <w:szCs w:val="44"/>
        </w:rPr>
        <w:t>附     件</w:t>
      </w:r>
      <w:r>
        <w:tab/>
      </w:r>
      <w:r>
        <w:fldChar w:fldCharType="begin"/>
      </w:r>
      <w:r>
        <w:instrText xml:space="preserve"> PAGEREF _Toc14501 \h </w:instrText>
      </w:r>
      <w:r>
        <w:fldChar w:fldCharType="separate"/>
      </w:r>
      <w:r>
        <w:t>34</w:t>
      </w:r>
      <w:r>
        <w:fldChar w:fldCharType="end"/>
      </w:r>
      <w:r>
        <w:rPr>
          <w:rFonts w:hint="eastAsia" w:ascii="仿宋" w:hAnsi="仿宋" w:eastAsia="仿宋" w:cs="仿宋"/>
          <w:szCs w:val="24"/>
        </w:rPr>
        <w:fldChar w:fldCharType="end"/>
      </w:r>
    </w:p>
    <w:p>
      <w:pPr>
        <w:pStyle w:val="2"/>
        <w:pageBreakBefore w:val="0"/>
        <w:widowControl w:val="0"/>
        <w:kinsoku/>
        <w:wordWrap/>
        <w:overflowPunct/>
        <w:topLinePunct w:val="0"/>
        <w:autoSpaceDE/>
        <w:autoSpaceDN/>
        <w:bidi w:val="0"/>
        <w:adjustRightInd/>
        <w:snapToGrid/>
        <w:spacing w:before="0" w:after="0" w:line="660" w:lineRule="exact"/>
        <w:jc w:val="center"/>
        <w:textAlignment w:val="auto"/>
        <w:rPr>
          <w:rFonts w:hint="eastAsia" w:ascii="仿宋" w:hAnsi="仿宋" w:eastAsia="仿宋" w:cs="仿宋"/>
          <w:b/>
          <w:bCs/>
          <w:kern w:val="0"/>
          <w:sz w:val="52"/>
          <w:szCs w:val="52"/>
        </w:rPr>
      </w:pPr>
      <w:r>
        <w:rPr>
          <w:rFonts w:hint="eastAsia" w:ascii="仿宋" w:hAnsi="仿宋" w:eastAsia="仿宋" w:cs="仿宋"/>
          <w:szCs w:val="24"/>
        </w:rPr>
        <w:fldChar w:fldCharType="end"/>
      </w:r>
      <w:bookmarkEnd w:id="6"/>
      <w:bookmarkStart w:id="7" w:name="_Toc4143"/>
      <w:bookmarkStart w:id="8" w:name="_Toc9889"/>
      <w:r>
        <w:rPr>
          <w:rFonts w:hint="eastAsia" w:ascii="仿宋" w:hAnsi="仿宋" w:eastAsia="仿宋" w:cs="仿宋"/>
          <w:b/>
          <w:bCs/>
          <w:kern w:val="0"/>
          <w:sz w:val="52"/>
          <w:szCs w:val="52"/>
        </w:rPr>
        <w:t>估价师声明</w:t>
      </w:r>
      <w:bookmarkEnd w:id="7"/>
      <w:bookmarkEnd w:id="8"/>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所有参加估价的注册房地产估价师郑重申明：</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一、注册房地产估价师在执行估价业务中，严格遵循相关法律法规和估价规范对注册房地产估价师的估价职业道德要求。</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 xml:space="preserve">二、注册房地产估价师具备估价业务所需的专业胜任能力。 </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三、注册房地产估价师估价业务中勤勉尽责，搜集合法、真实、准确、完整的估价所需资料，对搜集的估价所需资料进行检查，并对估价对象进行实地查勘。</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四、注册房地产估价师在估价报告中对事实的说明是真实和准确的，没有虚假记载、误导性陈述和重大遗漏。</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五、估价报告中的分析、意见和结论是注册房地产估价师独立、客观、公正的专业分析、意见和结论，但受到估价报告中已说明的估价假设和限制条件的限制。</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六、注册房地产估价师与估价报告中的估价对象没有现实或潜在的利益，与估价委托方及估价利害关系人没有利害关系，也对估价对象、估价委托方及估价利害关系人没有偏见。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七、注册房地产估价师是按照《房地产估价规范》GB/T50291-2015、《房地产估价基本术语标准》GB/T50899—2013、等房地产估价标准的规定进行估价工作，撰写估价报告。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八、本估价报告没有专业帮助、未依据相关专业意见。</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p>
    <w:tbl>
      <w:tblPr>
        <w:tblStyle w:val="23"/>
        <w:tblW w:w="0" w:type="auto"/>
        <w:jc w:val="center"/>
        <w:tblLayout w:type="fixed"/>
        <w:tblCellMar>
          <w:top w:w="0" w:type="dxa"/>
          <w:left w:w="108" w:type="dxa"/>
          <w:bottom w:w="0" w:type="dxa"/>
          <w:right w:w="108" w:type="dxa"/>
        </w:tblCellMar>
      </w:tblPr>
      <w:tblGrid>
        <w:gridCol w:w="2720"/>
        <w:gridCol w:w="2655"/>
        <w:gridCol w:w="3605"/>
      </w:tblGrid>
      <w:tr>
        <w:tblPrEx>
          <w:tblCellMar>
            <w:top w:w="0" w:type="dxa"/>
            <w:left w:w="108" w:type="dxa"/>
            <w:bottom w:w="0" w:type="dxa"/>
            <w:right w:w="108" w:type="dxa"/>
          </w:tblCellMar>
        </w:tblPrEx>
        <w:trPr>
          <w:trHeight w:val="768" w:hRule="atLeast"/>
          <w:jc w:val="center"/>
        </w:trPr>
        <w:tc>
          <w:tcPr>
            <w:tcW w:w="272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   名</w:t>
            </w:r>
          </w:p>
        </w:tc>
        <w:tc>
          <w:tcPr>
            <w:tcW w:w="26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60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7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26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60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7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265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60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bl>
    <w:p>
      <w:pPr>
        <w:overflowPunct w:val="0"/>
        <w:topLinePunct/>
        <w:adjustRightInd w:val="0"/>
        <w:snapToGrid w:val="0"/>
        <w:spacing w:line="300" w:lineRule="auto"/>
        <w:ind w:firstLine="560" w:firstLineChars="200"/>
        <w:jc w:val="left"/>
        <w:rPr>
          <w:rFonts w:hint="eastAsia" w:ascii="仿宋" w:hAnsi="仿宋" w:eastAsia="仿宋" w:cs="仿宋"/>
          <w:bCs/>
          <w:sz w:val="28"/>
        </w:rPr>
      </w:pPr>
      <w:r>
        <w:rPr>
          <w:rFonts w:hint="eastAsia" w:ascii="仿宋" w:hAnsi="仿宋" w:eastAsia="仿宋" w:cs="仿宋"/>
          <w:bCs/>
          <w:sz w:val="28"/>
        </w:rPr>
        <w:t xml:space="preserve">    </w:t>
      </w: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overflowPunct w:val="0"/>
        <w:topLinePunct/>
        <w:adjustRightInd w:val="0"/>
        <w:snapToGrid w:val="0"/>
        <w:spacing w:line="300" w:lineRule="auto"/>
        <w:jc w:val="both"/>
        <w:rPr>
          <w:rFonts w:hint="eastAsia" w:ascii="仿宋" w:hAnsi="仿宋" w:eastAsia="仿宋" w:cs="仿宋"/>
          <w:color w:val="000000"/>
          <w:kern w:val="0"/>
          <w:sz w:val="28"/>
          <w:szCs w:val="28"/>
        </w:rPr>
      </w:pPr>
    </w:p>
    <w:p>
      <w:pPr>
        <w:pStyle w:val="2"/>
        <w:spacing w:before="0" w:after="0"/>
        <w:jc w:val="center"/>
        <w:rPr>
          <w:rFonts w:hint="eastAsia" w:ascii="仿宋" w:hAnsi="仿宋" w:eastAsia="仿宋" w:cs="仿宋"/>
          <w:b/>
          <w:bCs/>
          <w:kern w:val="0"/>
          <w:sz w:val="52"/>
          <w:szCs w:val="52"/>
        </w:rPr>
      </w:pPr>
      <w:bookmarkStart w:id="9" w:name="_Toc826"/>
      <w:bookmarkStart w:id="10" w:name="_Toc461005127"/>
      <w:bookmarkStart w:id="11" w:name="_Toc14175"/>
      <w:bookmarkStart w:id="12" w:name="_Toc2550"/>
      <w:bookmarkStart w:id="13" w:name="_Toc522795031"/>
      <w:r>
        <w:rPr>
          <w:rFonts w:hint="eastAsia" w:ascii="仿宋" w:hAnsi="仿宋" w:eastAsia="仿宋" w:cs="仿宋"/>
          <w:b/>
          <w:bCs/>
          <w:kern w:val="0"/>
          <w:sz w:val="52"/>
          <w:szCs w:val="52"/>
        </w:rPr>
        <w:t>估价的假设和限制条件</w:t>
      </w:r>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一、一般性假设</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（一）假设估价对象能够持续正常使用；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注册房地产估价师对估价所依据的估价对象的权属、面积、用途等资料进行了检查，无理由怀疑其合法性、真实性、准确性和完整性且未予以核实，假定估价对象的权属、面积、用途等资料是合法、真实、准确和完整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（三）注册房地产估价师对房屋安全、环境污染等影响估价对象价值或价格的重大因素给予了关注，无理由怀疑估价对象存在安全隐患且无相应的专业机构进行鉴定、检测，假定估价对象不存在房屋安全隐患。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（四）公开市场假设。公开市场是形成市场价格的市场，市场价格是在价值时点预期能够成交的正常价格。它们依据了如下假设：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1、交易双方是自愿地进行交易的；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2、交易双方是出于利己动机进行交易的；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3、买卖双方的交易行为都是精明和谨慎的；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4、交易双方有较充裕的时间进行交易；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5、在此周期内，市场状况和价格水平是静止不动的；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6、不考虑特殊买家的附加出价，也未考虑国家宏观经济政策发生变化以及遇有自然力和其他不可抗力对资产价格的影响。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7、当前述条件情况发生变动时，估价结果一般会失效。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五）委托人未能提供估价对象的《房屋所有权证》或《不动产权证》（房屋），估价对象的权属、建筑面积、用途等，是根据委托方提供的《不动产权证》（土地）、《中国傩城洋房清单》、《建设用地规划许可证》、《建筑工程施工许可证》、《商品房预售许可证》及实际利用状况所确定，若估价对象的实际面积、用途等与相关产权管理部门最终核定的不一致，应以相关产权部门核定的为准，并相应的调整评估价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default" w:eastAsia="仿宋_GB2312"/>
          <w:color w:val="auto"/>
          <w:sz w:val="26"/>
          <w:szCs w:val="26"/>
          <w:lang w:val="en-US" w:eastAsia="zh-CN"/>
        </w:rPr>
      </w:pPr>
      <w:r>
        <w:rPr>
          <w:rFonts w:hint="eastAsia" w:eastAsia="仿宋_GB2312"/>
          <w:color w:val="auto"/>
          <w:sz w:val="26"/>
          <w:szCs w:val="26"/>
          <w:lang w:val="en-US" w:eastAsia="zh-CN"/>
        </w:rPr>
        <w:t>（六）根据估价委托人提供的《贵州省遵义市中级人民法院委托书》，本次评估包含室内装修价值，且装修费用由建设单位承担。</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outlineLvl w:val="9"/>
        <w:rPr>
          <w:rFonts w:hint="eastAsia" w:ascii="仿宋" w:hAnsi="仿宋" w:eastAsia="仿宋" w:cs="仿宋"/>
          <w:b/>
          <w:bCs/>
          <w:color w:val="000000"/>
          <w:sz w:val="28"/>
          <w:szCs w:val="28"/>
        </w:rPr>
      </w:pPr>
      <w:bookmarkStart w:id="14" w:name="_Toc522795032"/>
      <w:r>
        <w:rPr>
          <w:rFonts w:hint="eastAsia" w:ascii="仿宋" w:hAnsi="仿宋" w:eastAsia="仿宋" w:cs="仿宋"/>
          <w:b/>
          <w:bCs/>
          <w:color w:val="000000"/>
          <w:sz w:val="28"/>
          <w:szCs w:val="28"/>
        </w:rPr>
        <w:t>二、未定事项假设</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无未定事项假设。</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outlineLvl w:val="9"/>
        <w:rPr>
          <w:rFonts w:hint="eastAsia" w:ascii="仿宋" w:hAnsi="仿宋" w:eastAsia="仿宋" w:cs="仿宋"/>
          <w:b/>
          <w:bCs/>
          <w:color w:val="000000"/>
          <w:sz w:val="28"/>
          <w:szCs w:val="28"/>
          <w:lang w:val="en-US" w:eastAsia="zh-CN"/>
        </w:rPr>
      </w:pPr>
      <w:bookmarkStart w:id="15" w:name="_Toc522795033"/>
      <w:r>
        <w:rPr>
          <w:rFonts w:hint="eastAsia" w:ascii="仿宋" w:hAnsi="仿宋" w:eastAsia="仿宋" w:cs="仿宋"/>
          <w:b/>
          <w:bCs/>
          <w:color w:val="000000"/>
          <w:sz w:val="28"/>
          <w:szCs w:val="28"/>
        </w:rPr>
        <w:t>三、背离事实假设</w:t>
      </w:r>
      <w:bookmarkEnd w:id="15"/>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根据《房地产估价规范》(GB/T50291-2015)5.4.2.2条规定，结合本次估价目的是为人民法院确定财产处置参考价提供参考依据而评估房地产市场价值，故不考虑估价对象可能存在的抵押、查封、欠款等事项的影响。</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rPr>
      </w:pPr>
      <w:bookmarkStart w:id="16" w:name="_Toc522795034"/>
      <w:r>
        <w:rPr>
          <w:rFonts w:hint="eastAsia" w:ascii="仿宋" w:hAnsi="仿宋" w:eastAsia="仿宋" w:cs="仿宋"/>
          <w:b/>
          <w:bCs/>
          <w:color w:val="000000"/>
          <w:sz w:val="28"/>
          <w:szCs w:val="28"/>
        </w:rPr>
        <w:t>四、不相一致假设</w:t>
      </w:r>
      <w:bookmarkEnd w:id="16"/>
    </w:p>
    <w:p>
      <w:pPr>
        <w:keepNext w:val="0"/>
        <w:keepLines w:val="0"/>
        <w:pageBreakBefore w:val="0"/>
        <w:widowControl w:val="0"/>
        <w:kinsoku/>
        <w:wordWrap/>
        <w:overflowPunct/>
        <w:topLinePunct w:val="0"/>
        <w:autoSpaceDE/>
        <w:autoSpaceDN/>
        <w:bidi w:val="0"/>
        <w:adjustRightInd/>
        <w:snapToGrid/>
        <w:spacing w:line="420" w:lineRule="exact"/>
        <w:ind w:firstLine="520" w:firstLineChars="200"/>
        <w:textAlignment w:val="auto"/>
        <w:outlineLvl w:val="9"/>
        <w:rPr>
          <w:rFonts w:hint="eastAsia" w:eastAsia="仿宋_GB2312"/>
          <w:color w:val="auto"/>
          <w:sz w:val="26"/>
          <w:szCs w:val="26"/>
          <w:lang w:val="en-US" w:eastAsia="zh-CN"/>
        </w:rPr>
      </w:pPr>
      <w:bookmarkStart w:id="17" w:name="_Toc522795035"/>
      <w:r>
        <w:rPr>
          <w:rFonts w:hint="eastAsia" w:eastAsia="仿宋_GB2312"/>
          <w:color w:val="auto"/>
          <w:sz w:val="26"/>
          <w:szCs w:val="26"/>
          <w:lang w:val="en-US" w:eastAsia="zh-CN"/>
        </w:rPr>
        <w:t>无不相一致假设。</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textAlignment w:val="auto"/>
        <w:outlineLvl w:val="9"/>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五、依据不足假设</w:t>
      </w:r>
      <w:bookmarkEnd w:id="17"/>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bookmarkStart w:id="18" w:name="_Toc522795036"/>
      <w:r>
        <w:rPr>
          <w:rFonts w:hint="eastAsia" w:eastAsia="仿宋_GB2312"/>
          <w:color w:val="auto"/>
          <w:sz w:val="26"/>
          <w:szCs w:val="26"/>
          <w:lang w:val="en-US" w:eastAsia="zh-CN"/>
        </w:rPr>
        <w:t>无依据不足假设。</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六、估价报告使用限制</w:t>
      </w:r>
      <w:bookmarkEnd w:id="18"/>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（一）本估价报告及估价结果仅用于报告载明之估价目的使用，不得用于报告载明估价目的之外的用途使用。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非为法律、行政法规的需要，报告及附件的全部或部分内容不得向委托方和评估审查部门以外的单位和个人提供，未经委托单位许可，不得见诸于公开媒体、复制或引证。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因使用不当产生的后果，与本估价机构及注册房地产估价师无关。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（二）本估价报告有效期限为一年，从估价报告出具日期之日起计算，估价目的在报告有效期内实现的，可以本估价报告及估价结果作参考。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估价目的在报告有限期之后实现的，不能以本估价报告及估价结果作参考，应重新进行估价。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价值时点后估价报告有效期以内若估价对象数量或价格水平发生重大变化，对估价结果产生明显影响时，委托方或相关当事方应及时聘请估价机构重新确定估价结果。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估价报告使用者包括委托方、估价目的涉及的估价报告使用者以及国家法律法规明确的估价报告使用者。除国家法律、法规另有规定外，任何未经估价机构和委托方确认的机构或个人不能由于得到估价报告成为估价报告使用者。</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outlineLvl w:val="9"/>
        <w:rPr>
          <w:rFonts w:hint="eastAsia" w:ascii="仿宋" w:hAnsi="仿宋" w:eastAsia="仿宋" w:cs="仿宋"/>
          <w:b/>
          <w:bCs/>
          <w:sz w:val="28"/>
          <w:szCs w:val="28"/>
          <w:lang w:val="en-US" w:eastAsia="zh-CN"/>
        </w:rPr>
      </w:pPr>
      <w:bookmarkStart w:id="19" w:name="_Toc522795037"/>
      <w:r>
        <w:rPr>
          <w:rFonts w:hint="eastAsia" w:ascii="仿宋" w:hAnsi="仿宋" w:eastAsia="仿宋" w:cs="仿宋"/>
          <w:b/>
          <w:bCs/>
          <w:sz w:val="28"/>
          <w:szCs w:val="28"/>
          <w:lang w:val="en-US" w:eastAsia="zh-CN"/>
        </w:rPr>
        <w:t>七、使用估价报告和估价结果时需要注意的其他事项</w:t>
      </w:r>
      <w:bookmarkEnd w:id="19"/>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（一）本估价报告提供的估价结果是在假设和限制条件及特殊说明事项下于价值时点的公开市场价格（包含建筑物应分摊的土地使用权价值）。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（二）本估价报告的估价目的为委托方案件执行提供价值参考依据，报告形成的估价结果，仅供相关方参考。相关数额由相关双方根据市场风险、兑现难易和政府有关税费缴纳规定等情况确定。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三）本公司注册房地产估价师已对本估价报告中的估价对象进行了实地查勘，但仅限于对估价对象建筑外观及目前使用状况。我们不承担对估价对象建筑结构、质量进行调查、核实的责任，也不承担对被遮盖、未暴露及难以接触到的部分进行检视的责任。</w:t>
      </w:r>
    </w:p>
    <w:p>
      <w:pPr>
        <w:rPr>
          <w:rFonts w:hint="eastAsia"/>
        </w:rPr>
      </w:pPr>
      <w:bookmarkStart w:id="20" w:name="_Toc286074109"/>
      <w:bookmarkStart w:id="21" w:name="_Toc522795038"/>
    </w:p>
    <w:p>
      <w:pPr>
        <w:pStyle w:val="2"/>
        <w:pageBreakBefore w:val="0"/>
        <w:kinsoku/>
        <w:wordWrap/>
        <w:overflowPunct/>
        <w:topLinePunct w:val="0"/>
        <w:autoSpaceDE/>
        <w:autoSpaceDN/>
        <w:bidi w:val="0"/>
        <w:adjustRightInd/>
        <w:snapToGrid/>
        <w:spacing w:before="0" w:after="0" w:line="500" w:lineRule="exact"/>
        <w:jc w:val="center"/>
        <w:textAlignment w:val="auto"/>
        <w:rPr>
          <w:rFonts w:hint="eastAsia" w:ascii="仿宋" w:hAnsi="仿宋" w:eastAsia="仿宋" w:cs="仿宋"/>
          <w:b/>
          <w:bCs/>
          <w:kern w:val="0"/>
          <w:sz w:val="52"/>
          <w:szCs w:val="52"/>
        </w:rPr>
      </w:pPr>
      <w:bookmarkStart w:id="22" w:name="_Toc25223"/>
      <w:bookmarkStart w:id="23" w:name="_Toc16839"/>
    </w:p>
    <w:p>
      <w:pPr>
        <w:pStyle w:val="2"/>
        <w:pageBreakBefore w:val="0"/>
        <w:kinsoku/>
        <w:wordWrap/>
        <w:overflowPunct/>
        <w:topLinePunct w:val="0"/>
        <w:autoSpaceDE/>
        <w:autoSpaceDN/>
        <w:bidi w:val="0"/>
        <w:adjustRightInd/>
        <w:snapToGrid/>
        <w:spacing w:before="0" w:after="0" w:line="500" w:lineRule="exact"/>
        <w:jc w:val="center"/>
        <w:textAlignment w:val="auto"/>
        <w:rPr>
          <w:rFonts w:hint="eastAsia" w:ascii="仿宋" w:hAnsi="仿宋" w:eastAsia="仿宋" w:cs="仿宋"/>
          <w:b/>
          <w:bCs/>
          <w:kern w:val="0"/>
          <w:sz w:val="52"/>
          <w:szCs w:val="52"/>
        </w:rPr>
      </w:pPr>
      <w:bookmarkStart w:id="24" w:name="_Toc10394"/>
      <w:r>
        <w:rPr>
          <w:rFonts w:hint="eastAsia" w:ascii="仿宋" w:hAnsi="仿宋" w:eastAsia="仿宋" w:cs="仿宋"/>
          <w:b/>
          <w:bCs/>
          <w:kern w:val="0"/>
          <w:sz w:val="52"/>
          <w:szCs w:val="52"/>
        </w:rPr>
        <w:t>估价结果报告</w:t>
      </w:r>
      <w:bookmarkEnd w:id="20"/>
      <w:bookmarkEnd w:id="21"/>
      <w:bookmarkEnd w:id="22"/>
      <w:bookmarkEnd w:id="23"/>
      <w:bookmarkEnd w:id="24"/>
    </w:p>
    <w:p>
      <w:pPr>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Cs w:val="21"/>
          <w:lang w:eastAsia="zh-CN"/>
        </w:rPr>
      </w:pPr>
      <w:r>
        <w:rPr>
          <w:rFonts w:hint="eastAsia" w:ascii="仿宋" w:hAnsi="仿宋" w:eastAsia="仿宋" w:cs="仿宋"/>
          <w:b/>
          <w:bCs/>
          <w:szCs w:val="21"/>
          <w:lang w:eastAsia="zh-CN"/>
        </w:rPr>
        <w:t>黔昊远房估字（2022）11005号</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kern w:val="0"/>
          <w:sz w:val="32"/>
          <w:szCs w:val="32"/>
        </w:rPr>
      </w:pPr>
      <w:bookmarkStart w:id="25" w:name="_Toc286074110"/>
      <w:bookmarkStart w:id="26" w:name="_Toc522795039"/>
      <w:bookmarkStart w:id="27" w:name="_Toc2652"/>
      <w:bookmarkStart w:id="28" w:name="_Toc2672"/>
      <w:bookmarkStart w:id="29" w:name="_Toc22771"/>
      <w:r>
        <w:rPr>
          <w:rFonts w:hint="eastAsia" w:ascii="仿宋" w:hAnsi="仿宋" w:eastAsia="仿宋" w:cs="仿宋"/>
          <w:kern w:val="0"/>
          <w:sz w:val="32"/>
          <w:szCs w:val="32"/>
        </w:rPr>
        <w:t>一、估价委托</w:t>
      </w:r>
      <w:bookmarkEnd w:id="25"/>
      <w:r>
        <w:rPr>
          <w:rFonts w:hint="eastAsia" w:ascii="仿宋" w:hAnsi="仿宋" w:eastAsia="仿宋" w:cs="仿宋"/>
          <w:kern w:val="0"/>
          <w:sz w:val="32"/>
          <w:szCs w:val="32"/>
        </w:rPr>
        <w:t>方</w:t>
      </w:r>
      <w:bookmarkEnd w:id="26"/>
      <w:bookmarkEnd w:id="27"/>
      <w:bookmarkEnd w:id="28"/>
      <w:bookmarkEnd w:id="29"/>
    </w:p>
    <w:p>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单位名称：贵州省遵义市中级人民法院</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承办人：邓雪梅</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联系人：唐坤霞                               联系电话：27637142</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地  址：遵义市汇川区汇川大道中段</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0" w:name="_Toc549"/>
      <w:bookmarkStart w:id="31" w:name="_Toc522795040"/>
      <w:bookmarkStart w:id="32" w:name="_Toc19705"/>
      <w:bookmarkStart w:id="33" w:name="_Toc12425"/>
      <w:r>
        <w:rPr>
          <w:rFonts w:hint="eastAsia" w:ascii="仿宋" w:hAnsi="仿宋" w:eastAsia="仿宋" w:cs="仿宋"/>
          <w:b/>
          <w:bCs/>
          <w:kern w:val="0"/>
          <w:sz w:val="32"/>
          <w:szCs w:val="32"/>
        </w:rPr>
        <w:t>二、房地产估价机构</w:t>
      </w:r>
      <w:bookmarkEnd w:id="30"/>
      <w:bookmarkEnd w:id="31"/>
      <w:bookmarkEnd w:id="32"/>
      <w:bookmarkEnd w:id="33"/>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名      称：贵州昊远房地产土地评估有限公司</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住      所：贵阳市云岩区新添大道南段金耀华庭商住楼1单元7层6号</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法定代表人：覃剑</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统一社会信用代码：915201030590702657</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经 营 范 围：房地产评估，宗地地价评估，地价咨询(涉及许可证的凭证经营)</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房地产估价机构备案等级：贰级</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房地产估价机构备案证书编号：筑房评估字：A2013013</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4" w:name="_Toc19298"/>
      <w:bookmarkStart w:id="35" w:name="_Toc522795041"/>
      <w:bookmarkStart w:id="36" w:name="_Toc29573"/>
      <w:bookmarkStart w:id="37" w:name="_Toc1938"/>
      <w:r>
        <w:rPr>
          <w:rFonts w:hint="eastAsia" w:ascii="仿宋" w:hAnsi="仿宋" w:eastAsia="仿宋" w:cs="仿宋"/>
          <w:b/>
          <w:bCs/>
          <w:kern w:val="0"/>
          <w:sz w:val="32"/>
          <w:szCs w:val="32"/>
        </w:rPr>
        <w:t>三、估价目的</w:t>
      </w:r>
      <w:bookmarkEnd w:id="34"/>
      <w:bookmarkEnd w:id="35"/>
      <w:bookmarkEnd w:id="36"/>
      <w:bookmarkEnd w:id="37"/>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本次估价目的是为人民法院确定财产处置参考价提供参考依据而评估房地产市场价值。</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38" w:name="_Toc286074112"/>
      <w:bookmarkStart w:id="39" w:name="_Toc11853"/>
      <w:bookmarkStart w:id="40" w:name="_Toc7831"/>
      <w:bookmarkStart w:id="41" w:name="_Toc522795042"/>
      <w:bookmarkStart w:id="42" w:name="_Toc25099"/>
      <w:r>
        <w:rPr>
          <w:rFonts w:hint="eastAsia" w:ascii="仿宋" w:hAnsi="仿宋" w:eastAsia="仿宋" w:cs="仿宋"/>
          <w:b/>
          <w:bCs/>
          <w:kern w:val="0"/>
          <w:sz w:val="32"/>
          <w:szCs w:val="32"/>
        </w:rPr>
        <w:t>四、</w:t>
      </w:r>
      <w:bookmarkEnd w:id="38"/>
      <w:r>
        <w:rPr>
          <w:rFonts w:hint="eastAsia" w:ascii="仿宋" w:hAnsi="仿宋" w:eastAsia="仿宋" w:cs="仿宋"/>
          <w:b/>
          <w:bCs/>
          <w:kern w:val="0"/>
          <w:sz w:val="32"/>
          <w:szCs w:val="32"/>
        </w:rPr>
        <w:t>估价对象</w:t>
      </w:r>
      <w:bookmarkEnd w:id="39"/>
      <w:bookmarkEnd w:id="40"/>
      <w:bookmarkEnd w:id="41"/>
      <w:bookmarkEnd w:id="42"/>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eastAsia="仿宋_GB2312"/>
          <w:sz w:val="26"/>
          <w:szCs w:val="26"/>
        </w:rPr>
      </w:pPr>
      <w:bookmarkStart w:id="43" w:name="_Toc286074113"/>
      <w:r>
        <w:rPr>
          <w:rFonts w:hint="eastAsia" w:ascii="仿宋" w:hAnsi="仿宋" w:eastAsia="仿宋" w:cs="仿宋"/>
          <w:sz w:val="28"/>
          <w:szCs w:val="28"/>
        </w:rPr>
        <w:t>（一）估价对象范围及用途</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sz w:val="26"/>
          <w:szCs w:val="26"/>
        </w:rPr>
      </w:pPr>
      <w:r>
        <w:rPr>
          <w:rFonts w:hint="eastAsia" w:eastAsia="仿宋_GB2312"/>
          <w:color w:val="000000"/>
          <w:sz w:val="26"/>
          <w:szCs w:val="26"/>
          <w:lang w:val="en-US" w:eastAsia="zh-CN"/>
        </w:rPr>
        <w:t>估价对象：位于遵义市道真仡佬族苗族自治县大磏镇文家坝村（中国傩城洋房）住宅用房房地产，建筑面积合计为15650.68平方米，用途为：成套住宅，建设单位：贵州大沙河旅游产业（集团）股份有限公司；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eastAsia="zh-CN"/>
        </w:rPr>
      </w:pPr>
      <w:r>
        <w:rPr>
          <w:rFonts w:hint="eastAsia" w:eastAsia="仿宋_GB2312"/>
          <w:sz w:val="26"/>
          <w:szCs w:val="26"/>
        </w:rPr>
        <w:t>本次估</w:t>
      </w:r>
      <w:r>
        <w:rPr>
          <w:rFonts w:hint="eastAsia" w:eastAsia="仿宋_GB2312"/>
          <w:sz w:val="26"/>
          <w:szCs w:val="26"/>
          <w:lang w:val="en-US" w:eastAsia="zh-CN"/>
        </w:rPr>
        <w:t>价</w:t>
      </w:r>
      <w:r>
        <w:rPr>
          <w:rFonts w:hint="eastAsia" w:eastAsia="仿宋_GB2312"/>
          <w:sz w:val="26"/>
          <w:szCs w:val="26"/>
        </w:rPr>
        <w:t>包含房屋价值、相应分摊的土地使用权价值、不可分离的设施设备及装修价值</w:t>
      </w:r>
      <w:r>
        <w:rPr>
          <w:rFonts w:hint="eastAsia" w:eastAsia="仿宋_GB2312"/>
          <w:color w:val="000000"/>
          <w:sz w:val="26"/>
          <w:szCs w:val="26"/>
          <w:lang w:eastAsia="zh-CN"/>
        </w:rPr>
        <w:t>，</w:t>
      </w:r>
      <w:r>
        <w:rPr>
          <w:rFonts w:hint="eastAsia" w:eastAsia="仿宋_GB2312"/>
          <w:sz w:val="26"/>
          <w:szCs w:val="26"/>
        </w:rPr>
        <w:t>但不包括室内可移动物品、设备等动产以及估价对象所涉及的债权债务等其他财产或权益</w:t>
      </w:r>
      <w:r>
        <w:rPr>
          <w:rFonts w:hint="eastAsia" w:eastAsia="仿宋_GB2312"/>
          <w:sz w:val="26"/>
          <w:szCs w:val="26"/>
          <w:lang w:eastAsia="zh-CN"/>
        </w:rPr>
        <w:t>，</w:t>
      </w:r>
      <w:r>
        <w:rPr>
          <w:rFonts w:hint="eastAsia" w:eastAsia="仿宋_GB2312"/>
          <w:sz w:val="26"/>
          <w:szCs w:val="26"/>
          <w:lang w:val="en-US" w:eastAsia="zh-CN"/>
        </w:rPr>
        <w:t>具体评估范围见下表：</w:t>
      </w:r>
    </w:p>
    <w:tbl>
      <w:tblPr>
        <w:tblStyle w:val="23"/>
        <w:tblW w:w="89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3"/>
        <w:gridCol w:w="1645"/>
        <w:gridCol w:w="2655"/>
        <w:gridCol w:w="1016"/>
        <w:gridCol w:w="646"/>
        <w:gridCol w:w="1275"/>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建设单位</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坐落</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房号</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用途</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权利类型</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建筑面积（㎡）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17-1-4-1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17-1-5-1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17-1-6-1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20-2-5-2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133</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21-1-3-1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21-1-3-2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136</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137</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21-2-1-2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138</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21-2-2-1</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139</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21-2-4-2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27-1-6-2</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国有建设用地使用权/房屋所有权</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2280"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2676"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7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48"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284" w:type="dxa"/>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1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15650.68</w:t>
            </w:r>
          </w:p>
        </w:tc>
      </w:tr>
    </w:tbl>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rPr>
        <w:t>（二）估价对象权益状况</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1、估价委托人提供了估价对象的《不动产权证》（土地）、《建设用地规划许可证》、《建筑工程施工许可证》、《商品房预售许可证》；</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（1）不动产权证号（土地）：黔（2018）道真县不动产权第0001253号、0001254号、0001255号、0001256号、0001257号</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（2）座落：遵义市道真县大矸（磏）镇文家坝村仡佬树</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（3）权利类型：国有建设用地使用权/房屋（构筑物）所有权</w:t>
      </w:r>
    </w:p>
    <w:p>
      <w:pPr>
        <w:numPr>
          <w:ilvl w:val="0"/>
          <w:numId w:val="0"/>
        </w:numPr>
        <w:adjustRightInd w:val="0"/>
        <w:snapToGrid w:val="0"/>
        <w:spacing w:line="440" w:lineRule="exact"/>
        <w:ind w:firstLine="520" w:firstLineChars="200"/>
        <w:rPr>
          <w:rFonts w:hint="eastAsia" w:eastAsia="仿宋_GB2312"/>
          <w:color w:val="auto"/>
          <w:sz w:val="26"/>
          <w:szCs w:val="26"/>
          <w:lang w:val="en-US" w:eastAsia="zh-CN"/>
        </w:rPr>
      </w:pPr>
      <w:r>
        <w:rPr>
          <w:rFonts w:hint="eastAsia" w:eastAsia="仿宋_GB2312"/>
          <w:color w:val="auto"/>
          <w:sz w:val="26"/>
          <w:szCs w:val="26"/>
          <w:lang w:val="en-US" w:eastAsia="zh-CN"/>
        </w:rPr>
        <w:t>（4）权利性质：国有土地/出让</w:t>
      </w:r>
    </w:p>
    <w:p>
      <w:pPr>
        <w:numPr>
          <w:ilvl w:val="0"/>
          <w:numId w:val="0"/>
        </w:numPr>
        <w:adjustRightInd w:val="0"/>
        <w:snapToGrid w:val="0"/>
        <w:spacing w:line="440" w:lineRule="exact"/>
        <w:ind w:firstLine="520" w:firstLineChars="200"/>
        <w:rPr>
          <w:rFonts w:hint="eastAsia" w:eastAsia="仿宋_GB2312"/>
          <w:color w:val="auto"/>
          <w:sz w:val="26"/>
          <w:szCs w:val="26"/>
          <w:lang w:val="en-US" w:eastAsia="zh-CN"/>
        </w:rPr>
      </w:pPr>
      <w:r>
        <w:rPr>
          <w:rFonts w:hint="eastAsia" w:eastAsia="仿宋_GB2312"/>
          <w:color w:val="auto"/>
          <w:sz w:val="26"/>
          <w:szCs w:val="26"/>
          <w:lang w:val="en-US" w:eastAsia="zh-CN"/>
        </w:rPr>
        <w:t>（5）用途：商服用地/住宅用地</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（6）权利人：贵州大沙河旅游产业（集团）股份有限公司</w:t>
      </w:r>
    </w:p>
    <w:p>
      <w:pPr>
        <w:numPr>
          <w:ilvl w:val="0"/>
          <w:numId w:val="0"/>
        </w:numPr>
        <w:adjustRightInd w:val="0"/>
        <w:snapToGrid w:val="0"/>
        <w:spacing w:line="440" w:lineRule="exact"/>
        <w:ind w:firstLine="520" w:firstLineChars="200"/>
        <w:rPr>
          <w:rFonts w:hint="eastAsia" w:eastAsia="仿宋_GB2312"/>
          <w:color w:val="auto"/>
          <w:sz w:val="26"/>
          <w:szCs w:val="26"/>
          <w:lang w:val="en-US" w:eastAsia="zh-CN"/>
        </w:rPr>
      </w:pPr>
      <w:r>
        <w:rPr>
          <w:rFonts w:hint="eastAsia" w:eastAsia="仿宋_GB2312"/>
          <w:color w:val="auto"/>
          <w:sz w:val="26"/>
          <w:szCs w:val="26"/>
          <w:lang w:val="en-US" w:eastAsia="zh-CN"/>
        </w:rPr>
        <w:t>（7）建设单位：贵州大沙河旅游产业（集团）股份有限公司</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（8）土地使用期限：商服用地2055-10-19，住宅用地2085-10-19</w:t>
      </w:r>
    </w:p>
    <w:p>
      <w:pPr>
        <w:numPr>
          <w:ilvl w:val="0"/>
          <w:numId w:val="0"/>
        </w:numPr>
        <w:adjustRightInd w:val="0"/>
        <w:snapToGrid w:val="0"/>
        <w:spacing w:line="440" w:lineRule="exact"/>
        <w:ind w:firstLine="520" w:firstLineChars="200"/>
        <w:rPr>
          <w:rFonts w:hint="eastAsia" w:eastAsia="仿宋_GB2312"/>
          <w:color w:val="auto"/>
          <w:sz w:val="26"/>
          <w:szCs w:val="26"/>
          <w:lang w:val="en-US" w:eastAsia="zh-CN"/>
        </w:rPr>
      </w:pPr>
      <w:r>
        <w:rPr>
          <w:rFonts w:hint="eastAsia" w:eastAsia="仿宋_GB2312"/>
          <w:color w:val="auto"/>
          <w:sz w:val="26"/>
          <w:szCs w:val="26"/>
          <w:lang w:val="en-US" w:eastAsia="zh-CN"/>
        </w:rPr>
        <w:t>2、抵押信息</w:t>
      </w:r>
    </w:p>
    <w:p>
      <w:pPr>
        <w:numPr>
          <w:ilvl w:val="0"/>
          <w:numId w:val="0"/>
        </w:numPr>
        <w:adjustRightInd w:val="0"/>
        <w:snapToGrid w:val="0"/>
        <w:spacing w:line="440" w:lineRule="exact"/>
        <w:ind w:firstLine="520" w:firstLineChars="200"/>
        <w:rPr>
          <w:rFonts w:hint="default" w:eastAsia="仿宋_GB2312"/>
          <w:color w:val="auto"/>
          <w:sz w:val="26"/>
          <w:szCs w:val="26"/>
          <w:lang w:val="en-US" w:eastAsia="zh-CN"/>
        </w:rPr>
      </w:pPr>
      <w:r>
        <w:rPr>
          <w:rFonts w:hint="eastAsia" w:eastAsia="仿宋_GB2312"/>
          <w:color w:val="auto"/>
          <w:sz w:val="26"/>
          <w:szCs w:val="26"/>
          <w:lang w:val="en-US" w:eastAsia="zh-CN"/>
        </w:rPr>
        <w:t>估价委托人提供的《中国傩城洋房清单》记载部分房产已抵押（洋见附件《中国傩城洋房清单》）。</w:t>
      </w:r>
    </w:p>
    <w:p>
      <w:pPr>
        <w:numPr>
          <w:ilvl w:val="0"/>
          <w:numId w:val="0"/>
        </w:numPr>
        <w:adjustRightInd w:val="0"/>
        <w:snapToGrid w:val="0"/>
        <w:spacing w:line="440" w:lineRule="exact"/>
        <w:ind w:firstLine="520" w:firstLineChars="200"/>
        <w:rPr>
          <w:rFonts w:hint="eastAsia" w:eastAsia="仿宋_GB2312"/>
          <w:color w:val="auto"/>
          <w:sz w:val="26"/>
          <w:szCs w:val="26"/>
          <w:lang w:val="en-US" w:eastAsia="zh-CN"/>
        </w:rPr>
      </w:pPr>
      <w:r>
        <w:rPr>
          <w:rFonts w:hint="eastAsia" w:eastAsia="仿宋_GB2312"/>
          <w:color w:val="auto"/>
          <w:sz w:val="26"/>
          <w:szCs w:val="26"/>
          <w:lang w:val="en-US" w:eastAsia="zh-CN"/>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三</w:t>
      </w:r>
      <w:r>
        <w:rPr>
          <w:rFonts w:hint="eastAsia" w:ascii="仿宋" w:hAnsi="仿宋" w:eastAsia="仿宋" w:cs="仿宋"/>
          <w:sz w:val="28"/>
          <w:szCs w:val="28"/>
          <w:lang w:eastAsia="zh-CN"/>
        </w:rPr>
        <w:t>）</w:t>
      </w:r>
      <w:r>
        <w:rPr>
          <w:rFonts w:hint="eastAsia" w:ascii="仿宋" w:hAnsi="仿宋" w:eastAsia="仿宋" w:cs="仿宋"/>
          <w:sz w:val="28"/>
          <w:szCs w:val="28"/>
        </w:rPr>
        <w:t>估价对象实物状况</w:t>
      </w:r>
    </w:p>
    <w:p>
      <w:pPr>
        <w:numPr>
          <w:ilvl w:val="0"/>
          <w:numId w:val="0"/>
        </w:numPr>
        <w:adjustRightInd w:val="0"/>
        <w:snapToGrid w:val="0"/>
        <w:spacing w:line="440" w:lineRule="exact"/>
        <w:ind w:firstLine="520" w:firstLineChars="200"/>
        <w:rPr>
          <w:rFonts w:hint="eastAsia" w:ascii="仿宋" w:hAnsi="仿宋" w:eastAsia="仿宋" w:cs="仿宋"/>
          <w:b/>
          <w:bCs/>
          <w:color w:val="auto"/>
          <w:kern w:val="2"/>
          <w:sz w:val="28"/>
          <w:szCs w:val="28"/>
          <w:lang w:val="en-US" w:eastAsia="zh-CN" w:bidi="ar-SA"/>
        </w:rPr>
      </w:pPr>
      <w:r>
        <w:rPr>
          <w:rFonts w:hint="default" w:ascii="Times New Roman" w:hAnsi="Times New Roman" w:eastAsia="仿宋_GB2312" w:cs="Times New Roman"/>
          <w:color w:val="auto"/>
          <w:sz w:val="26"/>
          <w:szCs w:val="26"/>
          <w:lang w:val="en-US" w:eastAsia="zh-CN"/>
        </w:rPr>
        <w:t>估价对象基本情况：估价对象</w:t>
      </w:r>
      <w:r>
        <w:rPr>
          <w:rFonts w:hint="eastAsia" w:ascii="Times New Roman" w:hAnsi="Times New Roman" w:eastAsia="仿宋_GB2312" w:cs="Times New Roman"/>
          <w:color w:val="auto"/>
          <w:sz w:val="26"/>
          <w:szCs w:val="26"/>
          <w:lang w:val="en-US" w:eastAsia="zh-CN"/>
        </w:rPr>
        <w:t>位于</w:t>
      </w:r>
      <w:r>
        <w:rPr>
          <w:rFonts w:hint="eastAsia" w:eastAsia="仿宋_GB2312" w:cs="Times New Roman"/>
          <w:color w:val="auto"/>
          <w:sz w:val="26"/>
          <w:szCs w:val="26"/>
          <w:lang w:val="en-US" w:eastAsia="zh-CN"/>
        </w:rPr>
        <w:t>遵义市道真仡佬族苗族自治县大磏镇文家坝村（中国傩城洋房），</w:t>
      </w:r>
      <w:r>
        <w:rPr>
          <w:rFonts w:hint="eastAsia" w:ascii="Times New Roman" w:hAnsi="Times New Roman" w:eastAsia="仿宋_GB2312" w:cs="Times New Roman"/>
          <w:color w:val="auto"/>
          <w:sz w:val="26"/>
          <w:szCs w:val="26"/>
          <w:lang w:val="en-US" w:eastAsia="zh-CN"/>
        </w:rPr>
        <w:t>估价对象</w:t>
      </w:r>
      <w:r>
        <w:rPr>
          <w:rFonts w:hint="eastAsia" w:eastAsia="仿宋_GB2312" w:cs="Times New Roman"/>
          <w:color w:val="auto"/>
          <w:sz w:val="26"/>
          <w:szCs w:val="26"/>
          <w:lang w:val="en-US" w:eastAsia="zh-CN"/>
        </w:rPr>
        <w:t>外观设计为洋房，中高层建筑物，设计用途为住宅用房；估价</w:t>
      </w:r>
      <w:r>
        <w:rPr>
          <w:rFonts w:hint="eastAsia" w:eastAsia="仿宋_GB2312" w:cs="Times New Roman"/>
          <w:color w:val="000000" w:themeColor="text1"/>
          <w:sz w:val="26"/>
          <w:szCs w:val="26"/>
          <w:lang w:val="en-US" w:eastAsia="zh-CN"/>
          <w14:textFill>
            <w14:solidFill>
              <w14:schemeClr w14:val="tx1"/>
            </w14:solidFill>
          </w14:textFill>
        </w:rPr>
        <w:t>对象约</w:t>
      </w:r>
      <w:r>
        <w:rPr>
          <w:rFonts w:hint="eastAsia" w:ascii="Times New Roman" w:hAnsi="Times New Roman" w:eastAsia="仿宋_GB2312" w:cs="Times New Roman"/>
          <w:color w:val="000000" w:themeColor="text1"/>
          <w:sz w:val="26"/>
          <w:szCs w:val="26"/>
          <w:lang w:val="en-US" w:eastAsia="zh-CN"/>
          <w14:textFill>
            <w14:solidFill>
              <w14:schemeClr w14:val="tx1"/>
            </w14:solidFill>
          </w14:textFill>
        </w:rPr>
        <w:t>建于</w:t>
      </w:r>
      <w:r>
        <w:rPr>
          <w:rFonts w:hint="eastAsia" w:eastAsia="仿宋_GB2312" w:cs="Times New Roman"/>
          <w:color w:val="000000" w:themeColor="text1"/>
          <w:sz w:val="26"/>
          <w:szCs w:val="26"/>
          <w:lang w:val="en-US" w:eastAsia="zh-CN"/>
          <w14:textFill>
            <w14:solidFill>
              <w14:schemeClr w14:val="tx1"/>
            </w14:solidFill>
          </w14:textFill>
        </w:rPr>
        <w:t>2016年</w:t>
      </w:r>
      <w:r>
        <w:rPr>
          <w:rFonts w:hint="eastAsia" w:ascii="Times New Roman" w:hAnsi="Times New Roman" w:eastAsia="仿宋_GB2312" w:cs="Times New Roman"/>
          <w:color w:val="000000" w:themeColor="text1"/>
          <w:sz w:val="26"/>
          <w:szCs w:val="26"/>
          <w:lang w:val="en-US" w:eastAsia="zh-CN"/>
          <w14:textFill>
            <w14:solidFill>
              <w14:schemeClr w14:val="tx1"/>
            </w14:solidFill>
          </w14:textFill>
        </w:rPr>
        <w:t>，外</w:t>
      </w:r>
      <w:r>
        <w:rPr>
          <w:rFonts w:hint="eastAsia" w:ascii="Times New Roman" w:hAnsi="Times New Roman" w:eastAsia="仿宋_GB2312" w:cs="Times New Roman"/>
          <w:color w:val="auto"/>
          <w:sz w:val="26"/>
          <w:szCs w:val="26"/>
          <w:lang w:val="en-US" w:eastAsia="zh-CN"/>
        </w:rPr>
        <w:t>观形象新颖；</w:t>
      </w:r>
      <w:r>
        <w:rPr>
          <w:rFonts w:hint="default" w:ascii="Times New Roman" w:hAnsi="Times New Roman" w:eastAsia="仿宋_GB2312" w:cs="Times New Roman"/>
          <w:color w:val="auto"/>
          <w:sz w:val="26"/>
          <w:szCs w:val="26"/>
          <w:lang w:val="en-US" w:eastAsia="zh-CN"/>
        </w:rPr>
        <w:t>水、电</w:t>
      </w:r>
      <w:r>
        <w:rPr>
          <w:rFonts w:hint="eastAsia" w:ascii="Times New Roman" w:hAnsi="Times New Roman" w:eastAsia="仿宋_GB2312" w:cs="Times New Roman"/>
          <w:color w:val="auto"/>
          <w:sz w:val="26"/>
          <w:szCs w:val="26"/>
          <w:lang w:val="en-US" w:eastAsia="zh-CN"/>
        </w:rPr>
        <w:t>、</w:t>
      </w:r>
      <w:r>
        <w:rPr>
          <w:rFonts w:hint="eastAsia" w:eastAsia="仿宋_GB2312"/>
          <w:color w:val="auto"/>
          <w:sz w:val="26"/>
          <w:szCs w:val="26"/>
          <w:lang w:val="en-US" w:eastAsia="zh-CN"/>
        </w:rPr>
        <w:t>消防</w:t>
      </w:r>
      <w:r>
        <w:rPr>
          <w:rFonts w:hint="eastAsia" w:ascii="Times New Roman" w:hAnsi="Times New Roman" w:eastAsia="仿宋_GB2312" w:cs="Times New Roman"/>
          <w:color w:val="auto"/>
          <w:sz w:val="26"/>
          <w:szCs w:val="26"/>
          <w:lang w:val="en-US" w:eastAsia="zh-CN"/>
        </w:rPr>
        <w:t>；</w:t>
      </w:r>
      <w:r>
        <w:rPr>
          <w:rFonts w:hint="default" w:ascii="Times New Roman" w:hAnsi="Times New Roman" w:eastAsia="仿宋_GB2312" w:cs="Times New Roman"/>
          <w:color w:val="auto"/>
          <w:sz w:val="26"/>
          <w:szCs w:val="26"/>
          <w:lang w:val="en-US" w:eastAsia="zh-CN"/>
        </w:rPr>
        <w:t>周围道路硬化及绿化</w:t>
      </w:r>
      <w:r>
        <w:rPr>
          <w:rFonts w:hint="eastAsia" w:ascii="Times New Roman" w:hAnsi="Times New Roman" w:eastAsia="仿宋_GB2312" w:cs="Times New Roman"/>
          <w:color w:val="auto"/>
          <w:sz w:val="26"/>
          <w:szCs w:val="26"/>
          <w:lang w:val="en-US" w:eastAsia="zh-CN"/>
        </w:rPr>
        <w:t>环境</w:t>
      </w:r>
      <w:r>
        <w:rPr>
          <w:rFonts w:hint="eastAsia" w:eastAsia="仿宋_GB2312" w:cs="Times New Roman"/>
          <w:color w:val="auto"/>
          <w:sz w:val="26"/>
          <w:szCs w:val="26"/>
          <w:lang w:val="en-US" w:eastAsia="zh-CN"/>
        </w:rPr>
        <w:t>较好</w:t>
      </w:r>
      <w:r>
        <w:rPr>
          <w:rFonts w:hint="default" w:ascii="Times New Roman" w:hAnsi="Times New Roman" w:eastAsia="仿宋_GB2312" w:cs="Times New Roman"/>
          <w:color w:val="auto"/>
          <w:sz w:val="26"/>
          <w:szCs w:val="26"/>
          <w:lang w:val="en-US" w:eastAsia="zh-CN"/>
        </w:rPr>
        <w:t>；</w:t>
      </w:r>
      <w:r>
        <w:rPr>
          <w:rFonts w:hint="eastAsia" w:ascii="Times New Roman" w:hAnsi="Times New Roman" w:eastAsia="仿宋_GB2312" w:cs="Times New Roman"/>
          <w:color w:val="auto"/>
          <w:sz w:val="26"/>
          <w:szCs w:val="26"/>
          <w:lang w:val="en-US" w:eastAsia="zh-CN"/>
        </w:rPr>
        <w:t>周围基础设施以及物业管理水平一般</w:t>
      </w:r>
      <w:r>
        <w:rPr>
          <w:rFonts w:hint="default" w:ascii="Times New Roman" w:hAnsi="Times New Roman" w:eastAsia="仿宋_GB2312" w:cs="Times New Roman"/>
          <w:color w:val="auto"/>
          <w:sz w:val="26"/>
          <w:szCs w:val="26"/>
          <w:lang w:val="en-US" w:eastAsia="zh-CN"/>
        </w:rPr>
        <w:t>。</w:t>
      </w:r>
    </w:p>
    <w:p>
      <w:pPr>
        <w:numPr>
          <w:ilvl w:val="0"/>
          <w:numId w:val="0"/>
        </w:numPr>
        <w:adjustRightInd w:val="0"/>
        <w:snapToGrid w:val="0"/>
        <w:spacing w:line="440" w:lineRule="exact"/>
        <w:ind w:firstLine="562" w:firstLineChars="200"/>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1估价对象土地使用权实体状况</w:t>
      </w:r>
    </w:p>
    <w:p>
      <w:pPr>
        <w:numPr>
          <w:ilvl w:val="0"/>
          <w:numId w:val="0"/>
        </w:numPr>
        <w:adjustRightInd w:val="0"/>
        <w:snapToGrid w:val="0"/>
        <w:spacing w:line="440" w:lineRule="exact"/>
        <w:ind w:firstLine="520" w:firstLineChars="200"/>
        <w:rPr>
          <w:rFonts w:hint="default" w:eastAsia="仿宋_GB2312" w:cs="Times New Roman"/>
          <w:color w:val="000000"/>
          <w:sz w:val="26"/>
          <w:szCs w:val="26"/>
          <w:lang w:val="en-US" w:eastAsia="zh-CN"/>
        </w:rPr>
      </w:pPr>
      <w:r>
        <w:rPr>
          <w:rFonts w:hint="eastAsia" w:eastAsia="仿宋_GB2312"/>
          <w:color w:val="000000"/>
          <w:sz w:val="26"/>
          <w:szCs w:val="26"/>
          <w:lang w:val="en-US" w:eastAsia="zh-CN"/>
        </w:rPr>
        <w:t>1.1名称：</w:t>
      </w:r>
      <w:r>
        <w:rPr>
          <w:rFonts w:hint="eastAsia" w:eastAsia="仿宋_GB2312" w:cs="Times New Roman"/>
          <w:color w:val="000000"/>
          <w:sz w:val="26"/>
          <w:szCs w:val="26"/>
          <w:lang w:val="en-US" w:eastAsia="zh-CN"/>
        </w:rPr>
        <w:t>遵义市道真仡佬族苗族自治县大磏镇文家坝村（中国傩城洋房）。</w:t>
      </w:r>
    </w:p>
    <w:p>
      <w:pPr>
        <w:numPr>
          <w:ilvl w:val="0"/>
          <w:numId w:val="0"/>
        </w:numPr>
        <w:adjustRightInd w:val="0"/>
        <w:snapToGrid w:val="0"/>
        <w:spacing w:line="440" w:lineRule="exact"/>
        <w:ind w:firstLine="520" w:firstLineChars="200"/>
        <w:rPr>
          <w:rFonts w:hint="default" w:eastAsia="仿宋_GB2312" w:cs="Times New Roman"/>
          <w:color w:val="000000"/>
          <w:sz w:val="26"/>
          <w:szCs w:val="26"/>
          <w:lang w:val="en-US" w:eastAsia="zh-CN"/>
        </w:rPr>
      </w:pPr>
      <w:r>
        <w:rPr>
          <w:rFonts w:hint="eastAsia" w:eastAsia="仿宋_GB2312" w:cs="Times New Roman"/>
          <w:color w:val="000000"/>
          <w:sz w:val="26"/>
          <w:szCs w:val="26"/>
          <w:lang w:val="en-US" w:eastAsia="zh-CN"/>
        </w:rPr>
        <w:t>1.2四至及临街状况：遵义市道真仡佬族苗族自治县大磏镇文家坝村（中国傩城洋房）项目，估价对象项目地处中国傩城景区内，估价对象四至临景区内道路及景观。</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1.3用途：住宅用地、商服用地</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1.4形状：较规则</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1.5地形地势：地势较平坦</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1.6地质：地基承载力一般，地质条件一般</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1.7土壤：无污染</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1.8土地开发程度：土地开发程度为“五通一平”（通路、通上水、通下水、通电、通讯、土地平整）</w:t>
      </w:r>
    </w:p>
    <w:p>
      <w:pPr>
        <w:numPr>
          <w:ilvl w:val="0"/>
          <w:numId w:val="0"/>
        </w:numPr>
        <w:adjustRightInd w:val="0"/>
        <w:snapToGrid w:val="0"/>
        <w:spacing w:line="440" w:lineRule="exact"/>
        <w:ind w:firstLine="562" w:firstLineChars="200"/>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2估价对象建筑物实物状况</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2.1名称：</w:t>
      </w:r>
      <w:r>
        <w:rPr>
          <w:rFonts w:hint="eastAsia" w:eastAsia="仿宋_GB2312" w:cs="Times New Roman"/>
          <w:color w:val="000000"/>
          <w:sz w:val="26"/>
          <w:szCs w:val="26"/>
          <w:lang w:val="en-US" w:eastAsia="zh-CN"/>
        </w:rPr>
        <w:t>遵义市道真仡佬族苗族自治县大磏镇文家坝村（中国傩城洋房）</w:t>
      </w:r>
      <w:r>
        <w:rPr>
          <w:rFonts w:hint="eastAsia" w:ascii="Times New Roman" w:hAnsi="Times New Roman" w:eastAsia="仿宋_GB2312" w:cs="Times New Roman"/>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2.2建筑规模：建筑面积合计15650.68平方米（详细面积见附件</w:t>
      </w:r>
      <w:r>
        <w:rPr>
          <w:rFonts w:hint="eastAsia" w:eastAsia="仿宋_GB2312"/>
          <w:color w:val="auto"/>
          <w:sz w:val="26"/>
          <w:szCs w:val="26"/>
          <w:lang w:val="en-US" w:eastAsia="zh-CN"/>
        </w:rPr>
        <w:t>《中国傩城洋房清单》）</w:t>
      </w:r>
      <w:r>
        <w:rPr>
          <w:rFonts w:hint="eastAsia" w:eastAsia="仿宋_GB2312"/>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s="Times New Roman"/>
          <w:color w:val="000000"/>
          <w:sz w:val="26"/>
          <w:szCs w:val="26"/>
          <w:lang w:val="en-US" w:eastAsia="zh-CN"/>
        </w:rPr>
      </w:pPr>
      <w:r>
        <w:rPr>
          <w:rFonts w:hint="eastAsia" w:eastAsia="仿宋_GB2312"/>
          <w:color w:val="000000"/>
          <w:sz w:val="26"/>
          <w:szCs w:val="26"/>
          <w:lang w:val="en-US" w:eastAsia="zh-CN"/>
        </w:rPr>
        <w:t>2.3层数：</w:t>
      </w:r>
      <w:r>
        <w:rPr>
          <w:rFonts w:hint="eastAsia" w:eastAsia="仿宋_GB2312" w:cs="Times New Roman"/>
          <w:color w:val="000000"/>
          <w:sz w:val="26"/>
          <w:szCs w:val="26"/>
          <w:lang w:val="en-US" w:eastAsia="zh-CN"/>
        </w:rPr>
        <w:t>估价对象为中高层建筑，所处各楼栋的层数不同</w:t>
      </w:r>
      <w:r>
        <w:rPr>
          <w:rFonts w:hint="eastAsia" w:eastAsia="仿宋_GB2312"/>
          <w:color w:val="000000"/>
          <w:sz w:val="26"/>
          <w:szCs w:val="26"/>
          <w:lang w:val="en-US" w:eastAsia="zh-CN"/>
        </w:rPr>
        <w:t>（详见附件</w:t>
      </w:r>
      <w:r>
        <w:rPr>
          <w:rFonts w:hint="eastAsia" w:eastAsia="仿宋_GB2312"/>
          <w:color w:val="auto"/>
          <w:sz w:val="26"/>
          <w:szCs w:val="26"/>
          <w:lang w:val="en-US" w:eastAsia="zh-CN"/>
        </w:rPr>
        <w:t>《中国傩城洋房清单》）</w:t>
      </w:r>
      <w:r>
        <w:rPr>
          <w:rFonts w:hint="eastAsia" w:eastAsia="仿宋_GB2312" w:cs="Times New Roman"/>
          <w:color w:val="000000"/>
          <w:sz w:val="26"/>
          <w:szCs w:val="26"/>
          <w:lang w:val="en-US" w:eastAsia="zh-CN"/>
        </w:rPr>
        <w:t>。</w:t>
      </w:r>
    </w:p>
    <w:p>
      <w:pPr>
        <w:numPr>
          <w:ilvl w:val="0"/>
          <w:numId w:val="0"/>
        </w:numPr>
        <w:adjustRightInd w:val="0"/>
        <w:snapToGrid w:val="0"/>
        <w:spacing w:line="440" w:lineRule="exact"/>
        <w:ind w:firstLine="520" w:firstLineChars="200"/>
        <w:rPr>
          <w:rFonts w:hint="default"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2.4建筑结构：框混结构。</w:t>
      </w:r>
    </w:p>
    <w:p>
      <w:pPr>
        <w:numPr>
          <w:ilvl w:val="0"/>
          <w:numId w:val="0"/>
        </w:numPr>
        <w:adjustRightInd w:val="0"/>
        <w:snapToGrid w:val="0"/>
        <w:spacing w:line="440" w:lineRule="exact"/>
        <w:ind w:firstLine="520" w:firstLineChars="200"/>
        <w:rPr>
          <w:rFonts w:hint="default"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2.5层高：层高约3米。</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2.6空间布局：平面布局，整体使用。</w:t>
      </w:r>
    </w:p>
    <w:p>
      <w:pPr>
        <w:numPr>
          <w:ilvl w:val="0"/>
          <w:numId w:val="0"/>
        </w:numPr>
        <w:adjustRightInd w:val="0"/>
        <w:snapToGrid w:val="0"/>
        <w:spacing w:line="440" w:lineRule="exact"/>
        <w:ind w:firstLine="520" w:firstLineChars="200"/>
        <w:rPr>
          <w:rFonts w:hint="eastAsia" w:eastAsia="仿宋_GB2312" w:cs="Times New Roman"/>
          <w:color w:val="auto"/>
          <w:sz w:val="26"/>
          <w:szCs w:val="26"/>
          <w:lang w:val="en-US" w:eastAsia="zh-CN"/>
        </w:rPr>
      </w:pPr>
      <w:r>
        <w:rPr>
          <w:rFonts w:hint="eastAsia" w:eastAsia="仿宋_GB2312"/>
          <w:color w:val="000000" w:themeColor="text1"/>
          <w:sz w:val="26"/>
          <w:szCs w:val="26"/>
          <w:lang w:val="en-US" w:eastAsia="zh-CN"/>
          <w14:textFill>
            <w14:solidFill>
              <w14:schemeClr w14:val="tx1"/>
            </w14:solidFill>
          </w14:textFill>
        </w:rPr>
        <w:t>2.7装饰装修：</w:t>
      </w:r>
      <w:r>
        <w:rPr>
          <w:rFonts w:hint="eastAsia" w:ascii="Times New Roman" w:hAnsi="Times New Roman" w:eastAsia="仿宋_GB2312" w:cs="Times New Roman"/>
          <w:color w:val="000000" w:themeColor="text1"/>
          <w:sz w:val="26"/>
          <w:szCs w:val="26"/>
          <w:lang w:val="en-US" w:eastAsia="zh-CN"/>
          <w14:textFill>
            <w14:solidFill>
              <w14:schemeClr w14:val="tx1"/>
            </w14:solidFill>
          </w14:textFill>
        </w:rPr>
        <w:t>估价对象外墙</w:t>
      </w:r>
      <w:r>
        <w:rPr>
          <w:rFonts w:hint="eastAsia" w:eastAsia="仿宋_GB2312" w:cs="Times New Roman"/>
          <w:color w:val="auto"/>
          <w:sz w:val="26"/>
          <w:szCs w:val="26"/>
          <w:lang w:val="en-US" w:eastAsia="zh-CN"/>
        </w:rPr>
        <w:t>贴墙砖粉刷及墙砖饰面</w:t>
      </w:r>
      <w:r>
        <w:rPr>
          <w:rFonts w:hint="eastAsia" w:ascii="Times New Roman" w:hAnsi="Times New Roman" w:eastAsia="仿宋_GB2312" w:cs="Times New Roman"/>
          <w:color w:val="auto"/>
          <w:sz w:val="26"/>
          <w:szCs w:val="26"/>
          <w:lang w:val="en-US" w:eastAsia="zh-CN"/>
        </w:rPr>
        <w:t>；</w:t>
      </w:r>
      <w:r>
        <w:rPr>
          <w:rFonts w:hint="eastAsia" w:eastAsia="仿宋_GB2312" w:cs="Times New Roman"/>
          <w:color w:val="auto"/>
          <w:sz w:val="26"/>
          <w:szCs w:val="26"/>
          <w:lang w:val="en-US" w:eastAsia="zh-CN"/>
        </w:rPr>
        <w:t>估价对象室内部分未装修，为毛坯房；部分处于装修中（装修的进度详见附件《太阳湖花园洋房装修质量交接验收表》及户型图、《洋房装修清理汇总表》；已装修完成部分室内客厅地面铺地砖，墙面刷乳胶漆，顶棚石膏层板灯光吊顶；卧室地面铺木质地板，墙面刷乳胶漆，石膏板吊顶；厨房、卫生间地面及墙面贴砖至顶，顶棚铝扣板吊顶，整体为精装修；</w:t>
      </w:r>
    </w:p>
    <w:p>
      <w:pPr>
        <w:numPr>
          <w:ilvl w:val="0"/>
          <w:numId w:val="0"/>
        </w:numPr>
        <w:adjustRightInd w:val="0"/>
        <w:snapToGrid w:val="0"/>
        <w:spacing w:line="440" w:lineRule="exact"/>
        <w:ind w:firstLine="520" w:firstLineChars="200"/>
        <w:rPr>
          <w:rFonts w:hint="default" w:ascii="Times New Roman" w:hAnsi="Times New Roman" w:eastAsia="仿宋_GB2312" w:cs="Times New Roman"/>
          <w:color w:val="auto"/>
          <w:sz w:val="26"/>
          <w:szCs w:val="26"/>
          <w:lang w:val="en-US" w:eastAsia="zh-CN"/>
        </w:rPr>
      </w:pPr>
      <w:r>
        <w:rPr>
          <w:rFonts w:hint="eastAsia" w:eastAsia="仿宋_GB2312" w:cs="Times New Roman"/>
          <w:color w:val="auto"/>
          <w:sz w:val="26"/>
          <w:szCs w:val="26"/>
          <w:lang w:val="en-US" w:eastAsia="zh-CN"/>
        </w:rPr>
        <w:t>具体装修状况详见附件《洋房装修清理汇总表》。</w:t>
      </w:r>
    </w:p>
    <w:p>
      <w:pPr>
        <w:numPr>
          <w:ilvl w:val="0"/>
          <w:numId w:val="0"/>
        </w:numPr>
        <w:adjustRightInd w:val="0"/>
        <w:snapToGrid w:val="0"/>
        <w:spacing w:line="440" w:lineRule="exact"/>
        <w:ind w:firstLine="520" w:firstLineChars="200"/>
        <w:rPr>
          <w:rFonts w:hint="default" w:eastAsia="仿宋_GB2312"/>
          <w:color w:val="0000FF"/>
          <w:sz w:val="26"/>
          <w:szCs w:val="26"/>
          <w:lang w:val="en-US" w:eastAsia="zh-CN"/>
        </w:rPr>
      </w:pPr>
      <w:r>
        <w:rPr>
          <w:rFonts w:hint="eastAsia" w:eastAsia="仿宋_GB2312"/>
          <w:color w:val="000000"/>
          <w:sz w:val="26"/>
          <w:szCs w:val="26"/>
          <w:lang w:val="en-US" w:eastAsia="zh-CN"/>
        </w:rPr>
        <w:t>2.8设施设备；估价对象水、电、消防。</w:t>
      </w:r>
    </w:p>
    <w:p>
      <w:pPr>
        <w:numPr>
          <w:ilvl w:val="0"/>
          <w:numId w:val="0"/>
        </w:numPr>
        <w:adjustRightInd w:val="0"/>
        <w:snapToGrid w:val="0"/>
        <w:spacing w:line="440" w:lineRule="exact"/>
        <w:ind w:firstLine="520" w:firstLineChars="200"/>
        <w:rPr>
          <w:rFonts w:hint="default" w:eastAsia="仿宋_GB2312"/>
          <w:color w:val="000000"/>
          <w:sz w:val="26"/>
          <w:szCs w:val="26"/>
          <w:lang w:val="en-US" w:eastAsia="zh-CN"/>
        </w:rPr>
      </w:pPr>
      <w:r>
        <w:rPr>
          <w:rFonts w:hint="eastAsia" w:eastAsia="仿宋_GB2312"/>
          <w:color w:val="000000"/>
          <w:sz w:val="26"/>
          <w:szCs w:val="26"/>
          <w:lang w:val="en-US" w:eastAsia="zh-CN"/>
        </w:rPr>
        <w:t>2.9物业管理：物业管理一般。</w:t>
      </w:r>
    </w:p>
    <w:p>
      <w:pPr>
        <w:numPr>
          <w:ilvl w:val="0"/>
          <w:numId w:val="0"/>
        </w:numPr>
        <w:adjustRightInd w:val="0"/>
        <w:snapToGrid w:val="0"/>
        <w:spacing w:line="440" w:lineRule="exact"/>
        <w:ind w:firstLine="520" w:firstLineChars="200"/>
        <w:rPr>
          <w:rFonts w:hint="default" w:eastAsia="仿宋_GB2312"/>
          <w:color w:val="000000" w:themeColor="text1"/>
          <w:sz w:val="26"/>
          <w:szCs w:val="26"/>
          <w:lang w:val="en-US" w:eastAsia="zh-CN"/>
          <w14:textFill>
            <w14:solidFill>
              <w14:schemeClr w14:val="tx1"/>
            </w14:solidFill>
          </w14:textFill>
        </w:rPr>
      </w:pPr>
      <w:r>
        <w:rPr>
          <w:rFonts w:hint="eastAsia" w:eastAsia="仿宋_GB2312"/>
          <w:color w:val="000000"/>
          <w:sz w:val="26"/>
          <w:szCs w:val="26"/>
          <w:lang w:val="en-US" w:eastAsia="zh-CN"/>
        </w:rPr>
        <w:t>3.0维护及完损状况：房屋地基稳固，基础完好；无墙体开裂，地面凸起、凹陷，门窗破损等现象；外观成新状况较优，维护情况较优，现场</w:t>
      </w:r>
      <w:r>
        <w:rPr>
          <w:rFonts w:hint="eastAsia" w:eastAsia="仿宋_GB2312"/>
          <w:color w:val="000000" w:themeColor="text1"/>
          <w:sz w:val="26"/>
          <w:szCs w:val="26"/>
          <w:lang w:val="en-US" w:eastAsia="zh-CN"/>
          <w14:textFill>
            <w14:solidFill>
              <w14:schemeClr w14:val="tx1"/>
            </w14:solidFill>
          </w14:textFill>
        </w:rPr>
        <w:t>勘查为九成新。</w:t>
      </w:r>
    </w:p>
    <w:p>
      <w:pPr>
        <w:pStyle w:val="4"/>
        <w:keepNext/>
        <w:keepLines/>
        <w:pageBreakBefore w:val="0"/>
        <w:widowControl w:val="0"/>
        <w:kinsoku/>
        <w:wordWrap/>
        <w:overflowPunct/>
        <w:topLinePunct w:val="0"/>
        <w:autoSpaceDE/>
        <w:autoSpaceDN/>
        <w:bidi w:val="0"/>
        <w:adjustRightInd/>
        <w:snapToGrid/>
        <w:spacing w:before="157" w:beforeLines="50" w:beforeAutospacing="0" w:after="157" w:afterLines="50" w:afterAutospacing="0" w:line="440" w:lineRule="exact"/>
        <w:ind w:firstLine="562" w:firstLineChars="200"/>
        <w:textAlignment w:val="auto"/>
        <w:outlineLvl w:val="2"/>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四</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估价对象区位状况</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4.1位置状况：估价对象位于</w:t>
      </w:r>
      <w:r>
        <w:rPr>
          <w:rFonts w:hint="eastAsia" w:eastAsia="仿宋_GB2312" w:cs="Times New Roman"/>
          <w:color w:val="000000"/>
          <w:sz w:val="26"/>
          <w:szCs w:val="26"/>
          <w:lang w:val="en-US" w:eastAsia="zh-CN"/>
        </w:rPr>
        <w:t>遵义市道真仡佬族苗族自治县大磏镇文家坝村（中国傩城洋房）</w:t>
      </w:r>
      <w:r>
        <w:rPr>
          <w:rFonts w:hint="eastAsia" w:eastAsia="仿宋_GB2312"/>
          <w:color w:val="000000"/>
          <w:sz w:val="26"/>
          <w:szCs w:val="26"/>
          <w:lang w:val="en-US" w:eastAsia="zh-CN"/>
        </w:rPr>
        <w:t>，与所在区域内商场、医院、学校、银行等重要设施服务半径稍远；</w:t>
      </w:r>
    </w:p>
    <w:p>
      <w:pPr>
        <w:numPr>
          <w:ilvl w:val="0"/>
          <w:numId w:val="0"/>
        </w:numPr>
        <w:adjustRightInd w:val="0"/>
        <w:snapToGrid w:val="0"/>
        <w:spacing w:line="440" w:lineRule="exact"/>
        <w:ind w:firstLine="520" w:firstLineChars="200"/>
        <w:rPr>
          <w:rFonts w:hint="eastAsia"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4.2交通状况：估价对象所在位置外联道路有银百高速、243国道，道路状况较优，通达度较优；</w:t>
      </w:r>
    </w:p>
    <w:p>
      <w:pPr>
        <w:numPr>
          <w:ilvl w:val="0"/>
          <w:numId w:val="0"/>
        </w:numPr>
        <w:adjustRightInd w:val="0"/>
        <w:snapToGrid w:val="0"/>
        <w:spacing w:line="440" w:lineRule="exact"/>
        <w:ind w:firstLine="520" w:firstLineChars="200"/>
        <w:rPr>
          <w:rFonts w:hint="eastAsia" w:eastAsia="仿宋_GB2312"/>
          <w:color w:val="000000" w:themeColor="text1"/>
          <w:sz w:val="26"/>
          <w:szCs w:val="26"/>
          <w:lang w:val="en-US" w:eastAsia="zh-CN"/>
          <w14:textFill>
            <w14:solidFill>
              <w14:schemeClr w14:val="tx1"/>
            </w14:solidFill>
          </w14:textFill>
        </w:rPr>
      </w:pPr>
      <w:r>
        <w:rPr>
          <w:rFonts w:hint="eastAsia" w:eastAsia="仿宋_GB2312"/>
          <w:color w:val="000000"/>
          <w:sz w:val="26"/>
          <w:szCs w:val="26"/>
          <w:lang w:val="en-US" w:eastAsia="zh-CN"/>
        </w:rPr>
        <w:t>4.3出行可利用交通工具：附近有公交线路，道真11路，</w:t>
      </w:r>
      <w:r>
        <w:rPr>
          <w:rFonts w:hint="eastAsia" w:eastAsia="仿宋_GB2312"/>
          <w:color w:val="000000" w:themeColor="text1"/>
          <w:sz w:val="26"/>
          <w:szCs w:val="26"/>
          <w:lang w:val="en-US" w:eastAsia="zh-CN"/>
          <w14:textFill>
            <w14:solidFill>
              <w14:schemeClr w14:val="tx1"/>
            </w14:solidFill>
          </w14:textFill>
        </w:rPr>
        <w:t>有城市出租车、大巴途径周边区域；</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4.4环境状况：周边自然环境较好，空气噪声污染较好，治安状况一般，人文环境较好，区域内有公园、休闲广场、景区内外有零售购物场所、酒店等；</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4.5外部配套设施状况：估价对象所在区域道路、给排水、电力、电讯等基础设施较完备，周边金融机构：距贵州农信银行约1公里；教育机构</w:t>
      </w:r>
      <w:r>
        <w:rPr>
          <w:rFonts w:hint="eastAsia" w:eastAsia="仿宋_GB2312"/>
          <w:color w:val="000000" w:themeColor="text1"/>
          <w:sz w:val="26"/>
          <w:szCs w:val="26"/>
          <w:lang w:val="en-US" w:eastAsia="zh-CN"/>
          <w14:textFill>
            <w14:solidFill>
              <w14:schemeClr w14:val="tx1"/>
            </w14:solidFill>
          </w14:textFill>
        </w:rPr>
        <w:t>：距大磏中学约8公里；医疗机构：距大磏镇医院约8公里；距区域内金融机构、教育机构、医疗机</w:t>
      </w:r>
      <w:r>
        <w:rPr>
          <w:rFonts w:hint="eastAsia" w:eastAsia="仿宋_GB2312"/>
          <w:color w:val="000000"/>
          <w:sz w:val="26"/>
          <w:szCs w:val="26"/>
          <w:lang w:val="en-US" w:eastAsia="zh-CN"/>
        </w:rPr>
        <w:t>构、行政事业机构较远；</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4.6区位状况优劣度分析：估价对象所在区域基础设施及公共设施完善程度一般，繁华度一般，周边自然环境较好，空气噪声污染较好，人文环境较好，交通便捷度一般，区位状况较好。</w:t>
      </w:r>
    </w:p>
    <w:p>
      <w:pPr>
        <w:pStyle w:val="3"/>
        <w:keepNext/>
        <w:keepLines/>
        <w:pageBreakBefore w:val="0"/>
        <w:widowControl w:val="0"/>
        <w:numPr>
          <w:ilvl w:val="0"/>
          <w:numId w:val="1"/>
        </w:numPr>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44" w:name="_Toc6225"/>
      <w:bookmarkStart w:id="45" w:name="_Toc522795047"/>
      <w:bookmarkStart w:id="46" w:name="_Toc17838"/>
      <w:bookmarkStart w:id="47" w:name="_Toc2325"/>
      <w:r>
        <w:rPr>
          <w:rFonts w:hint="eastAsia" w:ascii="仿宋" w:hAnsi="仿宋" w:eastAsia="仿宋" w:cs="仿宋"/>
          <w:b/>
          <w:bCs/>
          <w:kern w:val="0"/>
          <w:sz w:val="32"/>
          <w:szCs w:val="32"/>
        </w:rPr>
        <w:t>价值时点</w:t>
      </w:r>
      <w:bookmarkEnd w:id="44"/>
      <w:bookmarkEnd w:id="45"/>
      <w:bookmarkEnd w:id="46"/>
      <w:bookmarkEnd w:id="47"/>
    </w:p>
    <w:p>
      <w:pPr>
        <w:pageBreakBefore w:val="0"/>
        <w:widowControl w:val="0"/>
        <w:numPr>
          <w:ilvl w:val="0"/>
          <w:numId w:val="0"/>
        </w:numPr>
        <w:kinsoku/>
        <w:wordWrap/>
        <w:overflowPunct/>
        <w:topLinePunct w:val="0"/>
        <w:autoSpaceDE/>
        <w:autoSpaceDN/>
        <w:bidi w:val="0"/>
        <w:adjustRightInd w:val="0"/>
        <w:snapToGrid w:val="0"/>
        <w:spacing w:line="44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本次价值时点为2022年04月24日，</w:t>
      </w:r>
      <w:r>
        <w:rPr>
          <w:rFonts w:hint="eastAsia" w:eastAsia="仿宋_GB2312"/>
          <w:color w:val="auto"/>
          <w:sz w:val="26"/>
          <w:szCs w:val="26"/>
          <w:lang w:val="en-US" w:eastAsia="zh-CN"/>
        </w:rPr>
        <w:t>为完成估价对象实地查勘之日</w:t>
      </w:r>
      <w:r>
        <w:rPr>
          <w:rFonts w:hint="eastAsia" w:eastAsia="仿宋_GB2312"/>
          <w:color w:val="000000"/>
          <w:sz w:val="26"/>
          <w:szCs w:val="26"/>
          <w:lang w:val="en-US" w:eastAsia="zh-CN"/>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40" w:lineRule="exact"/>
        <w:ind w:firstLine="643" w:firstLineChars="200"/>
        <w:textAlignment w:val="auto"/>
        <w:outlineLvl w:val="1"/>
        <w:rPr>
          <w:rFonts w:hint="eastAsia" w:ascii="仿宋" w:hAnsi="仿宋" w:eastAsia="仿宋" w:cs="仿宋"/>
          <w:b/>
          <w:bCs/>
          <w:kern w:val="0"/>
          <w:sz w:val="32"/>
          <w:szCs w:val="32"/>
        </w:rPr>
      </w:pPr>
      <w:bookmarkStart w:id="48" w:name="_Toc522795048"/>
      <w:bookmarkStart w:id="49" w:name="_Toc30187"/>
      <w:bookmarkStart w:id="50" w:name="_Toc2610"/>
      <w:bookmarkStart w:id="51" w:name="_Toc12550"/>
      <w:r>
        <w:rPr>
          <w:rFonts w:hint="eastAsia" w:ascii="仿宋" w:hAnsi="仿宋" w:eastAsia="仿宋" w:cs="仿宋"/>
          <w:b/>
          <w:bCs/>
          <w:kern w:val="0"/>
          <w:sz w:val="32"/>
          <w:szCs w:val="32"/>
        </w:rPr>
        <w:t>六、价值类型</w:t>
      </w:r>
      <w:bookmarkEnd w:id="43"/>
      <w:bookmarkEnd w:id="48"/>
      <w:bookmarkEnd w:id="49"/>
      <w:bookmarkEnd w:id="50"/>
      <w:bookmarkEnd w:id="51"/>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本报告估价结果是反映估价对象在价值时点的公开</w:t>
      </w:r>
      <w:bookmarkStart w:id="52" w:name="OLE_LINK6"/>
      <w:r>
        <w:rPr>
          <w:rFonts w:hint="eastAsia" w:eastAsia="仿宋_GB2312"/>
          <w:color w:val="000000"/>
          <w:sz w:val="26"/>
          <w:szCs w:val="26"/>
          <w:lang w:val="en-US" w:eastAsia="zh-CN"/>
        </w:rPr>
        <w:t>市场价值</w:t>
      </w:r>
      <w:bookmarkEnd w:id="52"/>
      <w:r>
        <w:rPr>
          <w:rFonts w:hint="eastAsia" w:eastAsia="仿宋_GB2312"/>
          <w:color w:val="000000"/>
          <w:sz w:val="26"/>
          <w:szCs w:val="26"/>
          <w:lang w:val="en-US" w:eastAsia="zh-CN"/>
        </w:rPr>
        <w:t>（包含应分摊的土地使用权价格）。</w:t>
      </w:r>
    </w:p>
    <w:p>
      <w:pPr>
        <w:numPr>
          <w:ilvl w:val="0"/>
          <w:numId w:val="0"/>
        </w:numPr>
        <w:adjustRightInd w:val="0"/>
        <w:snapToGrid w:val="0"/>
        <w:spacing w:line="440" w:lineRule="exact"/>
        <w:ind w:firstLine="520" w:firstLineChars="200"/>
        <w:rPr>
          <w:rFonts w:hint="eastAsia" w:eastAsia="仿宋_GB2312"/>
          <w:color w:val="000000"/>
          <w:sz w:val="26"/>
          <w:szCs w:val="26"/>
          <w:lang w:val="en-US" w:eastAsia="zh-CN"/>
        </w:rPr>
      </w:pPr>
      <w:r>
        <w:rPr>
          <w:rFonts w:hint="eastAsia" w:eastAsia="仿宋_GB2312"/>
          <w:color w:val="000000"/>
          <w:sz w:val="26"/>
          <w:szCs w:val="26"/>
          <w:lang w:val="en-US" w:eastAsia="zh-CN"/>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643" w:firstLineChars="200"/>
        <w:textAlignment w:val="auto"/>
        <w:outlineLvl w:val="1"/>
        <w:rPr>
          <w:rFonts w:hint="eastAsia" w:ascii="仿宋" w:hAnsi="仿宋" w:eastAsia="仿宋" w:cs="仿宋"/>
          <w:b/>
          <w:bCs/>
          <w:kern w:val="0"/>
          <w:sz w:val="32"/>
          <w:szCs w:val="32"/>
        </w:rPr>
      </w:pPr>
      <w:bookmarkStart w:id="53" w:name="_Toc522795049"/>
      <w:bookmarkStart w:id="54" w:name="_Toc14138"/>
      <w:bookmarkStart w:id="55" w:name="_Toc20067"/>
      <w:bookmarkStart w:id="56" w:name="_Toc24755"/>
      <w:r>
        <w:rPr>
          <w:rFonts w:hint="eastAsia" w:ascii="仿宋" w:hAnsi="仿宋" w:eastAsia="仿宋" w:cs="仿宋"/>
          <w:b/>
          <w:bCs/>
          <w:kern w:val="0"/>
          <w:sz w:val="32"/>
          <w:szCs w:val="32"/>
        </w:rPr>
        <w:t>七、估价原则</w:t>
      </w:r>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bookmarkStart w:id="57" w:name="_Toc286074115"/>
      <w:r>
        <w:rPr>
          <w:rFonts w:eastAsia="仿宋_GB2312"/>
          <w:sz w:val="26"/>
          <w:szCs w:val="26"/>
        </w:rPr>
        <w:t>本次估价遵循了独立、客观、公正原则、合法原则、最高最佳使用原则、替代原则、价值时点原则。</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kern w:val="0"/>
          <w:sz w:val="26"/>
          <w:szCs w:val="26"/>
        </w:rPr>
      </w:pPr>
      <w:r>
        <w:rPr>
          <w:rFonts w:hint="eastAsia" w:eastAsia="仿宋_GB2312"/>
          <w:kern w:val="0"/>
          <w:sz w:val="26"/>
          <w:szCs w:val="26"/>
        </w:rPr>
        <w:t>1、</w:t>
      </w:r>
      <w:r>
        <w:rPr>
          <w:rFonts w:eastAsia="仿宋_GB2312"/>
          <w:sz w:val="26"/>
          <w:szCs w:val="26"/>
        </w:rPr>
        <w:t>独立、客观、公正原则：</w:t>
      </w:r>
      <w:r>
        <w:rPr>
          <w:rFonts w:hint="eastAsia" w:eastAsia="仿宋_GB2312"/>
          <w:sz w:val="26"/>
          <w:szCs w:val="26"/>
        </w:rPr>
        <w:t>要求站在中立的立场上，实事求是、公平正直地评估出对各方估价利害关系人均是公平合理的价值或价格的原则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eastAsia="仿宋_GB2312"/>
          <w:sz w:val="26"/>
          <w:szCs w:val="26"/>
        </w:rPr>
      </w:pPr>
      <w:r>
        <w:rPr>
          <w:rFonts w:hint="eastAsia" w:eastAsia="仿宋_GB2312"/>
          <w:kern w:val="0"/>
          <w:sz w:val="26"/>
          <w:szCs w:val="26"/>
        </w:rPr>
        <w:t>2、</w:t>
      </w:r>
      <w:r>
        <w:rPr>
          <w:rFonts w:eastAsia="仿宋_GB2312"/>
          <w:sz w:val="26"/>
          <w:szCs w:val="26"/>
        </w:rPr>
        <w:t>合法原则：</w:t>
      </w:r>
      <w:r>
        <w:rPr>
          <w:rFonts w:hint="eastAsia" w:eastAsia="仿宋_GB2312"/>
          <w:sz w:val="26"/>
          <w:szCs w:val="26"/>
        </w:rPr>
        <w:t>要求估价结果是在依法判定的估价对象状况下的价值或价格的原则</w:t>
      </w:r>
      <w:r>
        <w:rPr>
          <w:rFonts w:eastAsia="仿宋_GB2312"/>
          <w:sz w:val="26"/>
          <w:szCs w:val="26"/>
        </w:rPr>
        <w:t>。</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textAlignment w:val="auto"/>
        <w:rPr>
          <w:rFonts w:hint="eastAsia" w:eastAsia="仿宋_GB2312"/>
          <w:sz w:val="26"/>
          <w:szCs w:val="26"/>
        </w:rPr>
      </w:pPr>
      <w:r>
        <w:rPr>
          <w:rFonts w:hint="eastAsia" w:eastAsia="仿宋_GB2312"/>
          <w:kern w:val="0"/>
          <w:sz w:val="26"/>
          <w:szCs w:val="26"/>
        </w:rPr>
        <w:t>3、</w:t>
      </w:r>
      <w:r>
        <w:rPr>
          <w:rFonts w:hint="eastAsia" w:eastAsia="仿宋_GB2312"/>
          <w:sz w:val="26"/>
          <w:szCs w:val="26"/>
        </w:rPr>
        <w:t>价值时点原则</w:t>
      </w:r>
      <w:r>
        <w:rPr>
          <w:rFonts w:eastAsia="仿宋_GB2312"/>
          <w:sz w:val="26"/>
          <w:szCs w:val="26"/>
        </w:rPr>
        <w:t>：</w:t>
      </w:r>
      <w:r>
        <w:rPr>
          <w:rFonts w:hint="eastAsia" w:eastAsia="仿宋_GB2312"/>
          <w:sz w:val="26"/>
          <w:szCs w:val="26"/>
        </w:rPr>
        <w:t>要求估价结果是在根据估价目的确定的某一特定时间的价值或价格的原则</w:t>
      </w:r>
      <w:r>
        <w:rPr>
          <w:rFonts w:eastAsia="仿宋_GB2312"/>
          <w:sz w:val="26"/>
          <w:szCs w:val="26"/>
        </w:rPr>
        <w:t>。</w:t>
      </w:r>
    </w:p>
    <w:p>
      <w:pPr>
        <w:spacing w:line="440" w:lineRule="exact"/>
        <w:ind w:firstLine="520" w:firstLineChars="200"/>
        <w:rPr>
          <w:rFonts w:hint="eastAsia" w:eastAsia="仿宋_GB2312"/>
          <w:sz w:val="26"/>
          <w:szCs w:val="26"/>
        </w:rPr>
      </w:pPr>
      <w:r>
        <w:rPr>
          <w:rFonts w:hint="eastAsia" w:eastAsia="仿宋_GB2312"/>
          <w:sz w:val="26"/>
          <w:szCs w:val="26"/>
        </w:rPr>
        <w:t>4、</w:t>
      </w:r>
      <w:r>
        <w:rPr>
          <w:rFonts w:eastAsia="仿宋_GB2312"/>
          <w:sz w:val="26"/>
          <w:szCs w:val="26"/>
        </w:rPr>
        <w:t>替代原则：</w:t>
      </w:r>
      <w:r>
        <w:rPr>
          <w:rFonts w:hint="eastAsia" w:eastAsia="仿宋_GB2312"/>
          <w:sz w:val="26"/>
          <w:szCs w:val="26"/>
        </w:rPr>
        <w:t>要求估价结果与估价对象的类似房地产在同等条件下的价值或价格偏差在合理范围内的原则。</w:t>
      </w:r>
    </w:p>
    <w:p>
      <w:pPr>
        <w:spacing w:line="440" w:lineRule="exact"/>
        <w:ind w:firstLine="520" w:firstLineChars="200"/>
        <w:rPr>
          <w:rFonts w:hint="eastAsia" w:eastAsia="仿宋_GB2312"/>
          <w:color w:val="000000"/>
          <w:sz w:val="26"/>
          <w:szCs w:val="26"/>
          <w:lang w:val="en-US" w:eastAsia="zh-CN"/>
        </w:rPr>
      </w:pPr>
      <w:r>
        <w:rPr>
          <w:rFonts w:hint="eastAsia" w:eastAsia="仿宋_GB2312"/>
          <w:sz w:val="26"/>
          <w:szCs w:val="26"/>
        </w:rPr>
        <w:t>5、</w:t>
      </w:r>
      <w:r>
        <w:rPr>
          <w:rFonts w:eastAsia="仿宋_GB2312"/>
          <w:sz w:val="26"/>
          <w:szCs w:val="26"/>
        </w:rPr>
        <w:t>最高最佳使用原则：</w:t>
      </w:r>
      <w:r>
        <w:rPr>
          <w:rFonts w:hint="eastAsia" w:eastAsia="仿宋_GB2312"/>
          <w:sz w:val="26"/>
          <w:szCs w:val="26"/>
        </w:rPr>
        <w:t>要求估价结果是在估价对象最高最佳利用状况下的价值或价格的原则；最高最佳利用：房地产在法律上允许、技术上可能、财务上可行并使价值最大的合理、可能的利用，包括最佳的用途、规模、档次等</w:t>
      </w:r>
      <w:r>
        <w:rPr>
          <w:rFonts w:eastAsia="仿宋_GB2312"/>
          <w:sz w:val="26"/>
          <w:szCs w:val="26"/>
        </w:rPr>
        <w:t>。</w:t>
      </w:r>
    </w:p>
    <w:p>
      <w:pPr>
        <w:pStyle w:val="3"/>
        <w:keepNext/>
        <w:keepLines/>
        <w:pageBreakBefore w:val="0"/>
        <w:widowControl w:val="0"/>
        <w:kinsoku/>
        <w:wordWrap/>
        <w:overflowPunct/>
        <w:topLinePunct w:val="0"/>
        <w:autoSpaceDE/>
        <w:autoSpaceDN/>
        <w:bidi w:val="0"/>
        <w:adjustRightInd/>
        <w:snapToGrid/>
        <w:spacing w:before="156" w:beforeLines="50" w:after="156" w:afterLines="50" w:line="560" w:lineRule="exact"/>
        <w:ind w:firstLine="643" w:firstLineChars="200"/>
        <w:textAlignment w:val="auto"/>
        <w:outlineLvl w:val="1"/>
        <w:rPr>
          <w:rFonts w:hint="eastAsia" w:ascii="仿宋" w:hAnsi="仿宋" w:eastAsia="仿宋" w:cs="仿宋"/>
          <w:b/>
          <w:bCs/>
          <w:kern w:val="0"/>
          <w:sz w:val="32"/>
          <w:szCs w:val="32"/>
        </w:rPr>
      </w:pPr>
      <w:bookmarkStart w:id="58" w:name="_Toc2198"/>
      <w:bookmarkStart w:id="59" w:name="_Toc25752"/>
      <w:bookmarkStart w:id="60" w:name="_Toc522795050"/>
      <w:bookmarkStart w:id="61" w:name="_Toc7963"/>
      <w:r>
        <w:rPr>
          <w:rFonts w:hint="eastAsia" w:ascii="仿宋" w:hAnsi="仿宋" w:eastAsia="仿宋" w:cs="仿宋"/>
          <w:b/>
          <w:bCs/>
          <w:kern w:val="0"/>
          <w:sz w:val="32"/>
          <w:szCs w:val="32"/>
        </w:rPr>
        <w:t>八、估价依据</w:t>
      </w:r>
      <w:bookmarkEnd w:id="57"/>
      <w:bookmarkEnd w:id="58"/>
      <w:bookmarkEnd w:id="59"/>
      <w:bookmarkEnd w:id="60"/>
      <w:bookmarkEnd w:id="61"/>
    </w:p>
    <w:p>
      <w:pPr>
        <w:pStyle w:val="10"/>
        <w:spacing w:line="440" w:lineRule="exact"/>
        <w:ind w:left="0" w:firstLine="520" w:firstLineChars="200"/>
        <w:rPr>
          <w:rFonts w:hint="eastAsia" w:eastAsia="仿宋_GB2312"/>
          <w:color w:val="auto"/>
          <w:kern w:val="2"/>
          <w:sz w:val="26"/>
          <w:szCs w:val="26"/>
          <w:lang w:val="en-US" w:eastAsia="zh-CN" w:bidi="ar-SA"/>
        </w:rPr>
      </w:pPr>
      <w:bookmarkStart w:id="62" w:name="_Toc286074116"/>
      <w:r>
        <w:rPr>
          <w:rFonts w:hint="eastAsia" w:eastAsia="仿宋_GB2312"/>
          <w:color w:val="auto"/>
          <w:kern w:val="2"/>
          <w:sz w:val="26"/>
          <w:szCs w:val="26"/>
          <w:lang w:val="en-US" w:eastAsia="zh-CN" w:bidi="ar-SA"/>
        </w:rPr>
        <w:t>（一）本次估价所依据的有关法律、法规和部门规章</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1、《中华人民共和国资产评估法》【主席令第46号】（2016年7月2日第十二届全国人民代表大会第二十一次会议通过，自2016年12月1日起实施）；</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ascii="Times New Roman" w:hAnsi="Times New Roman" w:eastAsia="仿宋_GB2312" w:cs="Times New Roman"/>
          <w:color w:val="auto"/>
          <w:kern w:val="2"/>
          <w:sz w:val="26"/>
          <w:szCs w:val="26"/>
          <w:lang w:val="en-US" w:eastAsia="zh-CN" w:bidi="ar-SA"/>
        </w:rPr>
      </w:pPr>
      <w:r>
        <w:rPr>
          <w:rFonts w:hint="eastAsia" w:eastAsia="仿宋_GB2312"/>
          <w:color w:val="auto"/>
          <w:kern w:val="2"/>
          <w:sz w:val="26"/>
          <w:szCs w:val="26"/>
          <w:lang w:val="en-US" w:eastAsia="zh-CN" w:bidi="ar-SA"/>
        </w:rPr>
        <w:t>2、</w:t>
      </w:r>
      <w:r>
        <w:rPr>
          <w:rFonts w:hint="eastAsia" w:eastAsia="仿宋_GB2312"/>
          <w:color w:val="000000"/>
          <w:kern w:val="2"/>
          <w:sz w:val="26"/>
          <w:szCs w:val="26"/>
          <w:lang w:val="en-US" w:eastAsia="zh-CN" w:bidi="ar-SA"/>
        </w:rPr>
        <w:t>《中华</w:t>
      </w:r>
      <w:r>
        <w:rPr>
          <w:rFonts w:hint="eastAsia" w:eastAsia="仿宋_GB2312"/>
          <w:color w:val="auto"/>
          <w:kern w:val="2"/>
          <w:sz w:val="26"/>
          <w:szCs w:val="26"/>
          <w:lang w:val="en-US" w:eastAsia="zh-CN" w:bidi="ar-SA"/>
        </w:rPr>
        <w:t>人民共和国民法典》（2020年5月28日第十三届全国人民代表大会第</w:t>
      </w:r>
      <w:r>
        <w:rPr>
          <w:rFonts w:hint="eastAsia" w:ascii="Times New Roman" w:hAnsi="Times New Roman" w:eastAsia="仿宋_GB2312" w:cs="Times New Roman"/>
          <w:color w:val="auto"/>
          <w:kern w:val="2"/>
          <w:sz w:val="26"/>
          <w:szCs w:val="26"/>
          <w:lang w:val="en-US" w:eastAsia="zh-CN" w:bidi="ar-SA"/>
        </w:rPr>
        <w:t>三次会议通过，自2021年1月1日起实施）；</w:t>
      </w:r>
    </w:p>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18"/>
        <w:jc w:val="left"/>
        <w:textAlignment w:val="auto"/>
        <w:rPr>
          <w:rFonts w:hint="eastAsia" w:ascii="Times New Roman" w:hAnsi="Times New Roman" w:eastAsia="仿宋_GB2312" w:cs="Times New Roman"/>
          <w:color w:val="auto"/>
          <w:kern w:val="2"/>
          <w:sz w:val="26"/>
          <w:szCs w:val="26"/>
          <w:lang w:val="en-US" w:eastAsia="zh-CN" w:bidi="ar-SA"/>
        </w:rPr>
      </w:pPr>
      <w:r>
        <w:rPr>
          <w:rFonts w:hint="eastAsia" w:ascii="Times New Roman" w:hAnsi="Times New Roman" w:eastAsia="仿宋_GB2312" w:cs="Times New Roman"/>
          <w:color w:val="auto"/>
          <w:kern w:val="2"/>
          <w:sz w:val="26"/>
          <w:szCs w:val="26"/>
          <w:lang w:val="en-US" w:eastAsia="zh-CN" w:bidi="ar-SA"/>
        </w:rPr>
        <w:t>3、全国人民代表大会常务委员会关于修改《中华人民共和国城市房地产管理法》的决定【中华人民共和国主席令第</w:t>
      </w:r>
      <w:r>
        <w:rPr>
          <w:rFonts w:hint="default" w:ascii="Times New Roman" w:hAnsi="Times New Roman" w:eastAsia="仿宋_GB2312" w:cs="Times New Roman"/>
          <w:color w:val="auto"/>
          <w:kern w:val="2"/>
          <w:sz w:val="26"/>
          <w:szCs w:val="26"/>
          <w:lang w:val="en-US" w:eastAsia="zh-CN" w:bidi="ar-SA"/>
        </w:rPr>
        <w:t>32号</w:t>
      </w:r>
      <w:r>
        <w:rPr>
          <w:rFonts w:hint="eastAsia" w:ascii="Times New Roman" w:hAnsi="Times New Roman" w:eastAsia="仿宋_GB2312" w:cs="Times New Roman"/>
          <w:color w:val="auto"/>
          <w:kern w:val="2"/>
          <w:sz w:val="26"/>
          <w:szCs w:val="26"/>
          <w:lang w:val="en-US" w:eastAsia="zh-CN" w:bidi="ar-SA"/>
        </w:rPr>
        <w:t>】</w:t>
      </w:r>
      <w:r>
        <w:rPr>
          <w:rFonts w:hint="eastAsia" w:eastAsia="仿宋_GB2312" w:cs="Times New Roman"/>
          <w:color w:val="auto"/>
          <w:kern w:val="2"/>
          <w:sz w:val="26"/>
          <w:szCs w:val="26"/>
          <w:lang w:val="en-US" w:eastAsia="zh-CN" w:bidi="ar-SA"/>
        </w:rPr>
        <w:t>，</w:t>
      </w:r>
      <w:r>
        <w:rPr>
          <w:rFonts w:hint="eastAsia" w:ascii="Times New Roman" w:hAnsi="Times New Roman" w:eastAsia="仿宋_GB2312" w:cs="Times New Roman"/>
          <w:color w:val="auto"/>
          <w:kern w:val="2"/>
          <w:sz w:val="26"/>
          <w:szCs w:val="26"/>
          <w:lang w:val="en-US" w:eastAsia="zh-CN" w:bidi="ar-SA"/>
        </w:rPr>
        <w:t>1994年</w:t>
      </w:r>
      <w:r>
        <w:rPr>
          <w:rFonts w:hint="default" w:ascii="Times New Roman" w:hAnsi="Times New Roman" w:eastAsia="仿宋_GB2312" w:cs="Times New Roman"/>
          <w:color w:val="auto"/>
          <w:kern w:val="2"/>
          <w:sz w:val="26"/>
          <w:szCs w:val="26"/>
          <w:lang w:val="en-US" w:eastAsia="zh-CN" w:bidi="ar-SA"/>
        </w:rPr>
        <w:t>7月5日第八届全国人大常委会第八次会议通过。根据2007年8月30日第十届全国人大常委会第二十九次会议《关于修改〈中华人民共和国城市房地产管理法〉的决定》第一次修正。根据2009年8月27日第十一届全国人大常委会第十次会议《关于修改部分法律的决定》第二次修正。根据2019年8月26日第十三届全国人大常委会第十二次会议《关于修改〈中华人民共和国土地管理法〉、〈中华人民共和国城市房地产管理法〉的决定》第三次修正）</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ascii="Times New Roman" w:hAnsi="Times New Roman" w:eastAsia="仿宋_GB2312" w:cs="Times New Roman"/>
          <w:color w:val="auto"/>
          <w:kern w:val="2"/>
          <w:sz w:val="26"/>
          <w:szCs w:val="26"/>
          <w:lang w:val="en-US" w:eastAsia="zh-CN" w:bidi="ar-SA"/>
        </w:rPr>
        <w:t>4、《中华人民共和国土地管理法》【</w:t>
      </w:r>
      <w:r>
        <w:rPr>
          <w:rFonts w:hint="default" w:ascii="Times New Roman" w:hAnsi="Times New Roman" w:eastAsia="仿宋_GB2312" w:cs="Times New Roman"/>
          <w:color w:val="auto"/>
          <w:kern w:val="2"/>
          <w:sz w:val="26"/>
          <w:szCs w:val="26"/>
          <w:lang w:val="en-US" w:eastAsia="zh-CN" w:bidi="ar-SA"/>
        </w:rPr>
        <w:t>中华人民共和国主席令</w:t>
      </w:r>
      <w:r>
        <w:rPr>
          <w:rFonts w:hint="eastAsia" w:ascii="Times New Roman" w:hAnsi="Times New Roman" w:eastAsia="仿宋_GB2312" w:cs="Times New Roman"/>
          <w:color w:val="auto"/>
          <w:kern w:val="2"/>
          <w:sz w:val="26"/>
          <w:szCs w:val="26"/>
          <w:lang w:val="en-US" w:eastAsia="zh-CN" w:bidi="ar-SA"/>
        </w:rPr>
        <w:t>41号】</w:t>
      </w:r>
      <w:r>
        <w:rPr>
          <w:rFonts w:hint="eastAsia" w:eastAsia="仿宋_GB2312" w:cs="Times New Roman"/>
          <w:color w:val="auto"/>
          <w:kern w:val="2"/>
          <w:sz w:val="26"/>
          <w:szCs w:val="26"/>
          <w:lang w:val="en-US" w:eastAsia="zh-CN" w:bidi="ar-SA"/>
        </w:rPr>
        <w:t>，</w:t>
      </w:r>
      <w:r>
        <w:rPr>
          <w:rFonts w:hint="default" w:ascii="Times New Roman" w:hAnsi="Times New Roman" w:eastAsia="仿宋_GB2312" w:cs="Times New Roman"/>
          <w:color w:val="auto"/>
          <w:kern w:val="2"/>
          <w:sz w:val="26"/>
          <w:szCs w:val="26"/>
          <w:lang w:val="en-US" w:eastAsia="zh-CN" w:bidi="ar-SA"/>
        </w:rPr>
        <w:t>1986年6月25日第六届</w:t>
      </w:r>
      <w:r>
        <w:rPr>
          <w:rFonts w:hint="default" w:ascii="Times New Roman" w:hAnsi="Times New Roman" w:eastAsia="仿宋_GB2312" w:cs="Times New Roman"/>
          <w:color w:val="auto"/>
          <w:kern w:val="2"/>
          <w:sz w:val="26"/>
          <w:szCs w:val="26"/>
          <w:lang w:val="en-US" w:eastAsia="zh-CN" w:bidi="ar-SA"/>
        </w:rPr>
        <w:fldChar w:fldCharType="begin"/>
      </w:r>
      <w:r>
        <w:rPr>
          <w:rFonts w:hint="default" w:ascii="Times New Roman" w:hAnsi="Times New Roman" w:eastAsia="仿宋_GB2312" w:cs="Times New Roman"/>
          <w:color w:val="auto"/>
          <w:kern w:val="2"/>
          <w:sz w:val="26"/>
          <w:szCs w:val="26"/>
          <w:lang w:val="en-US" w:eastAsia="zh-CN" w:bidi="ar-SA"/>
        </w:rPr>
        <w:instrText xml:space="preserve"> HYPERLINK "https://baike.so.com/doc/5354341-5589805.html" \t "https://baike.so.com/doc/_blank" </w:instrText>
      </w:r>
      <w:r>
        <w:rPr>
          <w:rFonts w:hint="default" w:ascii="Times New Roman" w:hAnsi="Times New Roman" w:eastAsia="仿宋_GB2312" w:cs="Times New Roman"/>
          <w:color w:val="auto"/>
          <w:kern w:val="2"/>
          <w:sz w:val="26"/>
          <w:szCs w:val="26"/>
          <w:lang w:val="en-US" w:eastAsia="zh-CN" w:bidi="ar-SA"/>
        </w:rPr>
        <w:fldChar w:fldCharType="separate"/>
      </w:r>
      <w:r>
        <w:rPr>
          <w:rFonts w:hint="default" w:ascii="Times New Roman" w:hAnsi="Times New Roman" w:eastAsia="仿宋_GB2312" w:cs="Times New Roman"/>
          <w:color w:val="auto"/>
          <w:kern w:val="2"/>
          <w:sz w:val="26"/>
          <w:szCs w:val="26"/>
          <w:lang w:val="en-US" w:eastAsia="zh-CN" w:bidi="ar-SA"/>
        </w:rPr>
        <w:t>全国人民代表大会常务委员会</w:t>
      </w:r>
      <w:r>
        <w:rPr>
          <w:rFonts w:hint="default" w:ascii="Times New Roman" w:hAnsi="Times New Roman" w:eastAsia="仿宋_GB2312" w:cs="Times New Roman"/>
          <w:color w:val="auto"/>
          <w:kern w:val="2"/>
          <w:sz w:val="26"/>
          <w:szCs w:val="26"/>
          <w:lang w:val="en-US" w:eastAsia="zh-CN" w:bidi="ar-SA"/>
        </w:rPr>
        <w:fldChar w:fldCharType="end"/>
      </w:r>
      <w:r>
        <w:rPr>
          <w:rFonts w:hint="default" w:ascii="Times New Roman" w:hAnsi="Times New Roman" w:eastAsia="仿宋_GB2312" w:cs="Times New Roman"/>
          <w:color w:val="auto"/>
          <w:kern w:val="2"/>
          <w:sz w:val="26"/>
          <w:szCs w:val="26"/>
          <w:lang w:val="en-US" w:eastAsia="zh-CN" w:bidi="ar-SA"/>
        </w:rPr>
        <w:t>第十六次会议通过，根据1988年12月29日第七届全国人民代表大会常务委员会第五次会议《关于修改〈中华人民共和国土地管理法〉的决定》第一次修正，1998年8月29日第九届全国人民代表大会常务委员会第四次会议修订，根据2004年8月28日第十届全国人民代表大会常务委员会第十一次会议《关于修改〈中华人民共和国土地管理法〉的决定》第二次修正，根据2019年8</w:t>
      </w:r>
      <w:r>
        <w:rPr>
          <w:rFonts w:hint="default" w:eastAsia="仿宋_GB2312"/>
          <w:color w:val="auto"/>
          <w:kern w:val="2"/>
          <w:sz w:val="26"/>
          <w:szCs w:val="26"/>
          <w:lang w:val="en-US" w:eastAsia="zh-CN" w:bidi="ar-SA"/>
        </w:rPr>
        <w:t>月26日第十三届全国人民代表大会常务委员会第十二次会议《关于修改〈中华人民共和国土地管理法〉、〈中华人民共和国城市房地产管理法〉的决定》第三次修正</w:t>
      </w:r>
      <w:r>
        <w:rPr>
          <w:rFonts w:hint="eastAsia" w:eastAsia="仿宋_GB2312"/>
          <w:color w:val="auto"/>
          <w:kern w:val="2"/>
          <w:sz w:val="26"/>
          <w:szCs w:val="26"/>
          <w:lang w:val="en-US" w:eastAsia="zh-CN" w:bidi="ar-SA"/>
        </w:rPr>
        <w:t>；</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5、《最高人民法院关于人民法院确定财产处置参考价若干问题的规定 》（法释〔2018〕15号）；</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6、《人民法院委托评估工作规范》（法办[</w:t>
      </w:r>
      <w:r>
        <w:rPr>
          <w:rFonts w:hint="default" w:eastAsia="仿宋_GB2312"/>
          <w:color w:val="auto"/>
          <w:kern w:val="2"/>
          <w:sz w:val="26"/>
          <w:szCs w:val="26"/>
          <w:lang w:val="en-US" w:eastAsia="zh-CN" w:bidi="ar-SA"/>
        </w:rPr>
        <w:t>2018]273</w:t>
      </w:r>
      <w:r>
        <w:rPr>
          <w:rFonts w:hint="eastAsia" w:eastAsia="仿宋_GB2312"/>
          <w:color w:val="auto"/>
          <w:kern w:val="2"/>
          <w:sz w:val="26"/>
          <w:szCs w:val="26"/>
          <w:lang w:val="en-US" w:eastAsia="zh-CN" w:bidi="ar-SA"/>
        </w:rPr>
        <w:t>号）；</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7、法释〔2004〕16号《最高人民法院关于人民法院民事执行中拍卖、变卖财产的规定》（于2004年10月26日由最高人民法院审判委员会第1330次会议通过，自2005年1月1日起施行）；</w:t>
      </w:r>
    </w:p>
    <w:p>
      <w:pPr>
        <w:keepNext w:val="0"/>
        <w:keepLines w:val="0"/>
        <w:pageBreakBefore w:val="0"/>
        <w:widowControl w:val="0"/>
        <w:kinsoku/>
        <w:wordWrap/>
        <w:overflowPunct/>
        <w:topLinePunct w:val="0"/>
        <w:autoSpaceDE/>
        <w:autoSpaceDN/>
        <w:bidi w:val="0"/>
        <w:adjustRightInd/>
        <w:snapToGrid/>
        <w:spacing w:line="440" w:lineRule="exact"/>
        <w:ind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8、法办发〔2007〕5号《最高人民法院对外委托鉴定、评估、拍卖等工作管理规定》（2007年8月23日公布，自2007年9月1日起施行）；</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9、法释〔2009〕16号《最高人民法院关于人民法院委托评估、拍卖和变卖工作的若干规定》（于2009年8月24日由最高人民法院审判委员会第1472次会议通过，自2009年11月20日起施行）；</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10、《涉执房地产处置司法评估指导意见（试行）》的通知（中房学〔2021〕37号），2021年8月18日；</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default" w:eastAsia="仿宋_GB2312"/>
          <w:color w:val="auto"/>
          <w:kern w:val="2"/>
          <w:sz w:val="26"/>
          <w:szCs w:val="26"/>
          <w:lang w:val="en-US" w:eastAsia="zh-CN" w:bidi="ar-SA"/>
        </w:rPr>
      </w:pPr>
      <w:r>
        <w:rPr>
          <w:rFonts w:hint="eastAsia" w:eastAsia="仿宋_GB2312"/>
          <w:color w:val="auto"/>
          <w:kern w:val="2"/>
          <w:sz w:val="26"/>
          <w:szCs w:val="26"/>
          <w:lang w:val="en-US" w:eastAsia="zh-CN" w:bidi="ar-SA"/>
        </w:rPr>
        <w:t>11、《中华人民共和国增值税暂行条例》（2017年11月19日公布）；</w:t>
      </w:r>
    </w:p>
    <w:p>
      <w:pPr>
        <w:pStyle w:val="10"/>
        <w:keepNext w:val="0"/>
        <w:keepLines w:val="0"/>
        <w:pageBreakBefore w:val="0"/>
        <w:kinsoku/>
        <w:wordWrap/>
        <w:overflowPunct/>
        <w:topLinePunct w:val="0"/>
        <w:autoSpaceDE/>
        <w:autoSpaceDN/>
        <w:bidi w:val="0"/>
        <w:adjustRightInd/>
        <w:snapToGrid/>
        <w:spacing w:line="44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12、国务院、建设部、贵州省人民政府及有关部门颁布的有关政策、法规文件。</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（二）本次估价采用的技术规程</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1、中华人民共和国国家标准《房地产估价规范》（GB/T50291-2015）；</w:t>
      </w:r>
    </w:p>
    <w:p>
      <w:pPr>
        <w:pStyle w:val="10"/>
        <w:spacing w:line="440" w:lineRule="exact"/>
        <w:ind w:left="0" w:firstLine="520" w:firstLineChars="200"/>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2、《房地产估价基本术语标准》(GB/T50899-2013)；</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（三）估价委托人提供的有关资料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auto"/>
          <w:kern w:val="2"/>
          <w:sz w:val="26"/>
          <w:szCs w:val="26"/>
          <w:lang w:val="en-US" w:eastAsia="zh-CN" w:bidi="ar-SA"/>
        </w:rPr>
      </w:pPr>
      <w:r>
        <w:rPr>
          <w:rFonts w:hint="eastAsia" w:eastAsia="仿宋_GB2312"/>
          <w:color w:val="auto"/>
          <w:kern w:val="2"/>
          <w:sz w:val="26"/>
          <w:szCs w:val="26"/>
          <w:lang w:val="en-US" w:eastAsia="zh-CN" w:bidi="ar-SA"/>
        </w:rPr>
        <w:t>1、《贵州省遵义市中级人民法院委托书》及</w:t>
      </w:r>
      <w:r>
        <w:rPr>
          <w:rFonts w:hint="eastAsia" w:eastAsia="仿宋_GB2312"/>
          <w:color w:val="auto"/>
          <w:sz w:val="26"/>
          <w:szCs w:val="26"/>
          <w:lang w:val="en-US" w:eastAsia="zh-CN"/>
        </w:rPr>
        <w:t>《中国傩城洋房清单》</w:t>
      </w:r>
      <w:r>
        <w:rPr>
          <w:rFonts w:hint="eastAsia" w:eastAsia="仿宋_GB2312"/>
          <w:color w:val="auto"/>
          <w:kern w:val="2"/>
          <w:sz w:val="26"/>
          <w:szCs w:val="26"/>
          <w:lang w:val="en-US" w:eastAsia="zh-CN" w:bidi="ar-SA"/>
        </w:rPr>
        <w:t>；</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default"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kern w:val="2"/>
          <w:sz w:val="26"/>
          <w:szCs w:val="26"/>
          <w:lang w:val="en-US" w:eastAsia="zh-CN" w:bidi="ar-SA"/>
          <w14:textFill>
            <w14:solidFill>
              <w14:schemeClr w14:val="tx1"/>
            </w14:solidFill>
          </w14:textFill>
        </w:rPr>
        <w:t>2、</w:t>
      </w:r>
      <w:r>
        <w:rPr>
          <w:rFonts w:hint="eastAsia" w:eastAsia="仿宋_GB2312"/>
          <w:color w:val="000000" w:themeColor="text1"/>
          <w:sz w:val="26"/>
          <w:szCs w:val="26"/>
          <w:lang w:val="en-US" w:eastAsia="zh-CN"/>
          <w14:textFill>
            <w14:solidFill>
              <w14:schemeClr w14:val="tx1"/>
            </w14:solidFill>
          </w14:textFill>
        </w:rPr>
        <w:t>《不动产权证》（土地）、《建设用地规划许可证》、《建筑工程施工许可证》、《商品房预售许可证》（复印件）、《太阳湖花园洋房装修质量交接验收表》及户型图；</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（四）估价机构和估价人员所搜集掌握的有关资料</w:t>
      </w:r>
    </w:p>
    <w:p>
      <w:pPr>
        <w:pStyle w:val="10"/>
        <w:pageBreakBefore w:val="0"/>
        <w:widowControl w:val="0"/>
        <w:kinsoku/>
        <w:wordWrap/>
        <w:overflowPunct/>
        <w:topLinePunct w:val="0"/>
        <w:autoSpaceDE/>
        <w:autoSpaceDN/>
        <w:bidi w:val="0"/>
        <w:spacing w:line="420" w:lineRule="exact"/>
        <w:ind w:left="0" w:firstLine="520" w:firstLineChars="200"/>
        <w:textAlignment w:val="auto"/>
        <w:rPr>
          <w:rFonts w:hint="eastAsia"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1、现场调查资料；</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auto"/>
          <w:kern w:val="2"/>
          <w:sz w:val="26"/>
          <w:szCs w:val="26"/>
          <w:lang w:val="en-US" w:eastAsia="zh-CN" w:bidi="ar-SA"/>
        </w:rPr>
        <w:t>2、当地房地产市场行情；</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20" w:lineRule="exact"/>
        <w:ind w:firstLine="643" w:firstLineChars="200"/>
        <w:textAlignment w:val="auto"/>
        <w:outlineLvl w:val="1"/>
        <w:rPr>
          <w:rFonts w:hint="eastAsia" w:ascii="仿宋" w:hAnsi="仿宋" w:eastAsia="仿宋" w:cs="仿宋"/>
          <w:b/>
          <w:bCs/>
          <w:kern w:val="0"/>
          <w:sz w:val="32"/>
          <w:szCs w:val="32"/>
        </w:rPr>
      </w:pPr>
      <w:bookmarkStart w:id="63" w:name="_Toc29338"/>
      <w:bookmarkStart w:id="64" w:name="_Toc522795051"/>
      <w:bookmarkStart w:id="65" w:name="_Toc10447"/>
      <w:bookmarkStart w:id="66" w:name="_Toc28613"/>
      <w:r>
        <w:rPr>
          <w:rFonts w:hint="eastAsia" w:ascii="仿宋" w:hAnsi="仿宋" w:eastAsia="仿宋" w:cs="仿宋"/>
          <w:b/>
          <w:bCs/>
          <w:kern w:val="0"/>
          <w:sz w:val="32"/>
          <w:szCs w:val="32"/>
        </w:rPr>
        <w:t>九、估价方法</w:t>
      </w:r>
      <w:bookmarkEnd w:id="62"/>
      <w:bookmarkEnd w:id="63"/>
      <w:bookmarkEnd w:id="64"/>
      <w:bookmarkEnd w:id="65"/>
      <w:bookmarkEnd w:id="66"/>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bookmarkStart w:id="67" w:name="_Toc522795052"/>
      <w:r>
        <w:rPr>
          <w:rFonts w:hint="eastAsia" w:eastAsia="仿宋_GB2312"/>
          <w:color w:val="auto"/>
          <w:sz w:val="26"/>
          <w:szCs w:val="26"/>
          <w:lang w:val="en-US" w:eastAsia="zh-CN"/>
        </w:rPr>
        <w:t>(一)估价方法适用性分析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根据《房地产估价规范》，选用估价方法时，应根据估价对象及其所在的房地产市场状况等客观条件，对收益法、收益法、成本法、假设开发法等估价方法进行适用性分析。</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比较法适用于房地产市场成熟，近期同类房地产交易案例较多的估价；收益法适用于有收益或潜在收益的房地产估价；成本法适用于房地产市场不成熟或市场依据不充分而不适宜采用收益法、收益法及假设开发法的房地产估价；假设开发法适用于具有投资开发或再开发潜力的房地产的估价。</w:t>
      </w:r>
    </w:p>
    <w:p>
      <w:pPr>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（二）估价方法的选择</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1、理论上不适用的估价方法：估价对象为住宅用途房地产，根据房地产估价规范理论上不适合采用假设开发法，因为现状为正在使用且短期内重新开发或改扩建增加价值的可能性不大，故不适合采用假设开发法进行评估；</w:t>
      </w:r>
    </w:p>
    <w:p>
      <w:pPr>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themeColor="text1"/>
          <w:sz w:val="26"/>
          <w:szCs w:val="26"/>
          <w:lang w:val="en-US" w:eastAsia="zh-CN"/>
          <w14:textFill>
            <w14:solidFill>
              <w14:schemeClr w14:val="tx1"/>
            </w14:solidFill>
          </w14:textFill>
        </w:rPr>
      </w:pPr>
      <w:r>
        <w:rPr>
          <w:rFonts w:hint="eastAsia" w:eastAsia="仿宋_GB2312"/>
          <w:color w:val="000000" w:themeColor="text1"/>
          <w:sz w:val="26"/>
          <w:szCs w:val="26"/>
          <w:lang w:val="en-US" w:eastAsia="zh-CN"/>
          <w14:textFill>
            <w14:solidFill>
              <w14:schemeClr w14:val="tx1"/>
            </w14:solidFill>
          </w14:textFill>
        </w:rPr>
        <w:t>2、理论上适用，但客观条件不具备的估价方法：估价对象</w:t>
      </w:r>
      <w:r>
        <w:rPr>
          <w:rFonts w:hint="eastAsia" w:eastAsia="仿宋_GB2312"/>
          <w:color w:val="000000"/>
          <w:sz w:val="26"/>
          <w:szCs w:val="26"/>
          <w:lang w:val="en-US" w:eastAsia="zh-CN"/>
        </w:rPr>
        <w:t>为正常使用的住宅用途房地产，为一整幢建筑物的一部分，其土地成本不易分摊；又</w:t>
      </w:r>
      <w:r>
        <w:rPr>
          <w:rFonts w:hint="eastAsia" w:eastAsia="仿宋_GB2312"/>
          <w:color w:val="000000" w:themeColor="text1"/>
          <w:sz w:val="26"/>
          <w:szCs w:val="26"/>
          <w:lang w:val="en-US" w:eastAsia="zh-CN"/>
          <w14:textFill>
            <w14:solidFill>
              <w14:schemeClr w14:val="tx1"/>
            </w14:solidFill>
          </w14:textFill>
        </w:rPr>
        <w:t>因估价对象位于旅游景点区域内，周边自然景观、生态环境、绿化环境均较好，其区位状况较好，而选用成本法测算时无法考虑区位效应、旅游景点所带来附加值的影响，测算结果不能客观、合理反映估价对象的市场价值；因此不适合使用成本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3、理论上适用，但客观条件不具备的估价方法：估价对象为住宅用途房地产，虽然可以出租取得收益，但周边类似物业租金案例较少，租金交易市场不活跃，无法客观反映当前的市场价值，因此未能选用收益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4、适用的估价方法：比较法适用于区域内同类房地产市场交易案例较多，交易较为频繁的估价方法，估价对象为住宅用途房地产，在同区域、同类的房地产市场过去有交易案例，且能修正为正常的交易价格，故可采用比较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000000"/>
          <w:sz w:val="26"/>
          <w:szCs w:val="26"/>
          <w:lang w:val="en-US" w:eastAsia="zh-CN"/>
        </w:rPr>
        <w:t>综上所述，估价人员在认真分析所掌握的资料并对邻近类似房地产进行实地查看调查后，根据估价对象的特点及本次估价目的，遵照国家有关法律、法规、估价技术标准，对估价对象采用比较法进行评估。</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auto"/>
          <w:sz w:val="26"/>
          <w:szCs w:val="26"/>
          <w:lang w:val="en-US" w:eastAsia="zh-CN"/>
        </w:rPr>
      </w:pPr>
      <w:r>
        <w:rPr>
          <w:rFonts w:hint="eastAsia" w:eastAsia="仿宋_GB2312"/>
          <w:color w:val="auto"/>
          <w:sz w:val="26"/>
          <w:szCs w:val="26"/>
          <w:lang w:val="en-US" w:eastAsia="zh-CN"/>
        </w:rPr>
        <w:t>（三）估价方法简介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比较法，是指将估价对象与在价值时点近期有过交易的类似房地产进行比较，对这些类似房地产的已知价格作适当的修正，以此估算估价对象的客观合理价格或价值的方法。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房地产价值＝可比实例成交价格×交易情况修正系数×市场状况调整系数×房地产状况调整系数。</w:t>
      </w:r>
    </w:p>
    <w:p>
      <w:pPr>
        <w:pStyle w:val="3"/>
        <w:keepNext/>
        <w:keepLines/>
        <w:pageBreakBefore w:val="0"/>
        <w:widowControl w:val="0"/>
        <w:kinsoku/>
        <w:wordWrap/>
        <w:overflowPunct/>
        <w:topLinePunct w:val="0"/>
        <w:autoSpaceDE/>
        <w:autoSpaceDN/>
        <w:bidi w:val="0"/>
        <w:adjustRightInd/>
        <w:snapToGrid/>
        <w:spacing w:before="156" w:beforeLines="50" w:after="156" w:afterLines="50" w:line="400" w:lineRule="exact"/>
        <w:ind w:firstLine="643" w:firstLineChars="200"/>
        <w:textAlignment w:val="auto"/>
        <w:outlineLvl w:val="1"/>
        <w:rPr>
          <w:rFonts w:hint="eastAsia" w:ascii="仿宋" w:hAnsi="仿宋" w:eastAsia="仿宋" w:cs="仿宋"/>
          <w:b/>
          <w:bCs/>
          <w:kern w:val="0"/>
          <w:sz w:val="32"/>
          <w:szCs w:val="32"/>
        </w:rPr>
      </w:pPr>
      <w:bookmarkStart w:id="68" w:name="_Toc22166"/>
      <w:bookmarkStart w:id="69" w:name="_Toc9208"/>
      <w:bookmarkStart w:id="70" w:name="_Toc15761"/>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rPr>
        <w:t>估价结果</w:t>
      </w:r>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outlineLvl w:val="9"/>
        <w:rPr>
          <w:rFonts w:hint="eastAsia" w:eastAsia="仿宋_GB2312"/>
          <w:color w:val="000000" w:themeColor="text1"/>
          <w:sz w:val="26"/>
          <w:szCs w:val="26"/>
          <w:lang w:val="en-US" w:eastAsia="zh-CN"/>
          <w14:textFill>
            <w14:solidFill>
              <w14:schemeClr w14:val="tx1"/>
            </w14:solidFill>
          </w14:textFill>
        </w:rPr>
      </w:pPr>
      <w:bookmarkStart w:id="71" w:name="_Toc286074118"/>
      <w:r>
        <w:rPr>
          <w:rFonts w:eastAsia="仿宋_GB2312"/>
          <w:sz w:val="26"/>
          <w:szCs w:val="26"/>
        </w:rPr>
        <w:t>估价人员根据估价目的，经过市场调查和实地查勘，依据《房地产估价规范》</w:t>
      </w:r>
      <w:r>
        <w:rPr>
          <w:rFonts w:hint="eastAsia" w:eastAsia="仿宋_GB2312"/>
          <w:sz w:val="26"/>
          <w:szCs w:val="26"/>
        </w:rPr>
        <w:t>（GB/T 50291—2015）</w:t>
      </w:r>
      <w:r>
        <w:rPr>
          <w:rFonts w:eastAsia="仿宋_GB2312"/>
          <w:sz w:val="26"/>
          <w:szCs w:val="26"/>
        </w:rPr>
        <w:t>、</w:t>
      </w:r>
      <w:r>
        <w:rPr>
          <w:rFonts w:hint="eastAsia" w:eastAsia="仿宋_GB2312"/>
          <w:sz w:val="26"/>
          <w:szCs w:val="26"/>
        </w:rPr>
        <w:t>《房地产估价基本术语标准》（GB/T 50899—2013）、</w:t>
      </w:r>
      <w:r>
        <w:rPr>
          <w:rFonts w:eastAsia="仿宋_GB2312"/>
          <w:sz w:val="26"/>
          <w:szCs w:val="26"/>
        </w:rPr>
        <w:t>《最高人民法院关于人民法院确定财产处置参考价若干问题的规定 》（法释〔2018〕15号）及其他相关法律法规</w:t>
      </w:r>
      <w:r>
        <w:rPr>
          <w:rFonts w:hint="eastAsia" w:eastAsia="仿宋_GB2312"/>
          <w:sz w:val="26"/>
          <w:szCs w:val="26"/>
          <w:lang w:eastAsia="zh-CN"/>
        </w:rPr>
        <w:t>，</w:t>
      </w:r>
      <w:r>
        <w:rPr>
          <w:rFonts w:hint="eastAsia" w:eastAsia="仿宋_GB2312"/>
          <w:color w:val="000000"/>
          <w:sz w:val="26"/>
          <w:szCs w:val="26"/>
          <w:lang w:val="en-US" w:eastAsia="zh-CN"/>
        </w:rPr>
        <w:t>遵循估价原则，履行必要的估价程序，</w:t>
      </w:r>
      <w:bookmarkStart w:id="72" w:name="_Toc25738"/>
      <w:bookmarkStart w:id="73" w:name="_Toc28975"/>
      <w:r>
        <w:rPr>
          <w:rFonts w:eastAsia="仿宋_GB2312"/>
          <w:sz w:val="26"/>
          <w:szCs w:val="26"/>
        </w:rPr>
        <w:t>运</w:t>
      </w:r>
      <w:r>
        <w:rPr>
          <w:rFonts w:hint="eastAsia" w:eastAsia="仿宋_GB2312"/>
          <w:color w:val="000000"/>
          <w:sz w:val="26"/>
          <w:szCs w:val="26"/>
          <w:lang w:val="en-US" w:eastAsia="zh-CN"/>
        </w:rPr>
        <w:t>用比较法</w:t>
      </w:r>
      <w:r>
        <w:rPr>
          <w:rFonts w:eastAsia="仿宋_GB2312"/>
          <w:sz w:val="26"/>
          <w:szCs w:val="26"/>
        </w:rPr>
        <w:t>对估价对象的市场价值进行测算</w:t>
      </w:r>
      <w:r>
        <w:rPr>
          <w:rFonts w:hint="eastAsia" w:eastAsia="仿宋_GB2312"/>
          <w:sz w:val="26"/>
          <w:szCs w:val="26"/>
          <w:lang w:eastAsia="zh-CN"/>
        </w:rPr>
        <w:t>，</w:t>
      </w:r>
      <w:r>
        <w:rPr>
          <w:rFonts w:hint="eastAsia" w:eastAsia="仿宋_GB2312"/>
          <w:color w:val="000000"/>
          <w:sz w:val="26"/>
          <w:szCs w:val="26"/>
          <w:lang w:val="en-US" w:eastAsia="zh-CN"/>
        </w:rPr>
        <w:t>并结合估价经验和对影响价值因素的分析，在满足本次估价的假设和限制条件下，确定估价对象于价值时点2022年04月24日的市场价值合计为</w:t>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人民币</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90038400 \* CHINESENUM4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begin"/>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instrText xml:space="preserve"> = 88503200 \* CHINESENUM2 \* MERGEFORMAT </w:instrTex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separate"/>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捌仟捌佰伍拾万叁仟贰佰</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default" w:ascii="Times New Roman" w:hAnsi="Times New Roman" w:eastAsia="仿宋_GB2312" w:cs="Times New Roman"/>
          <w:b/>
          <w:bCs/>
          <w:color w:val="000000" w:themeColor="text1"/>
          <w:sz w:val="26"/>
          <w:szCs w:val="26"/>
          <w:lang w:val="en-US" w:eastAsia="zh-CN"/>
          <w14:textFill>
            <w14:solidFill>
              <w14:schemeClr w14:val="tx1"/>
            </w14:solidFill>
          </w14:textFill>
        </w:rPr>
        <w:t>元整</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fldChar w:fldCharType="end"/>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w:t>
      </w:r>
      <w:r>
        <w:rPr>
          <w:rFonts w:hint="eastAsia" w:eastAsia="仿宋_GB2312" w:cs="Times New Roman"/>
          <w:b/>
          <w:bCs/>
          <w:color w:val="000000" w:themeColor="text1"/>
          <w:sz w:val="26"/>
          <w:szCs w:val="26"/>
          <w:lang w:val="en-US" w:eastAsia="zh-CN"/>
          <w14:textFill>
            <w14:solidFill>
              <w14:schemeClr w14:val="tx1"/>
            </w14:solidFill>
          </w14:textFill>
        </w:rPr>
        <w:t>8850.32</w:t>
      </w:r>
      <w:r>
        <w:rPr>
          <w:rFonts w:hint="eastAsia" w:ascii="Times New Roman" w:hAnsi="Times New Roman" w:eastAsia="仿宋_GB2312" w:cs="Times New Roman"/>
          <w:b/>
          <w:bCs/>
          <w:color w:val="000000" w:themeColor="text1"/>
          <w:sz w:val="26"/>
          <w:szCs w:val="26"/>
          <w:lang w:val="en-US" w:eastAsia="zh-CN"/>
          <w14:textFill>
            <w14:solidFill>
              <w14:schemeClr w14:val="tx1"/>
            </w14:solidFill>
          </w14:textFill>
        </w:rPr>
        <w:t>万元）</w:t>
      </w:r>
      <w:r>
        <w:rPr>
          <w:rFonts w:hint="eastAsia" w:eastAsia="仿宋_GB2312"/>
          <w:color w:val="000000" w:themeColor="text1"/>
          <w:sz w:val="26"/>
          <w:szCs w:val="26"/>
          <w:lang w:val="en-US" w:eastAsia="zh-CN"/>
          <w14:textFill>
            <w14:solidFill>
              <w14:schemeClr w14:val="tx1"/>
            </w14:solidFill>
          </w14:textFill>
        </w:rPr>
        <w:t>。详见下表：</w:t>
      </w:r>
    </w:p>
    <w:tbl>
      <w:tblPr>
        <w:tblStyle w:val="23"/>
        <w:tblW w:w="96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530"/>
        <w:gridCol w:w="2032"/>
        <w:gridCol w:w="960"/>
        <w:gridCol w:w="660"/>
        <w:gridCol w:w="1119"/>
        <w:gridCol w:w="867"/>
        <w:gridCol w:w="1112"/>
        <w:gridCol w:w="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96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36"/>
                <w:szCs w:val="36"/>
                <w:u w:val="none"/>
                <w:lang w:val="en-US" w:eastAsia="zh-CN" w:bidi="ar"/>
              </w:rPr>
              <w:t>评估结果明细表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建设单位</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坐落</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房号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用途</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建筑面积（㎡）</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评估单价（元/㎡）</w:t>
            </w:r>
          </w:p>
        </w:tc>
        <w:tc>
          <w:tcPr>
            <w:tcW w:w="111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评估价值（万元）</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52.30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65.45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5875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53.39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5875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66.82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62.41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52.30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62.41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86.03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49.51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84.46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48.12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51.77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65.45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87.28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49.72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62.58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86.03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49.01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108.45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61.78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51.96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51.96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51.96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86.72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49.91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62.82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85.49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49.20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107.76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62.02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83.92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65.03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64.54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60.78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64.38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60.43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106.68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57.05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90.29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48.29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68.86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61.18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64.64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14-2-6-2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69.41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69.56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68.86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122.51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70.50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110.85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57.43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16-2-6-2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61.80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131.72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75.04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17-1-4-1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76.39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134.08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71.71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17-1-5-1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117.41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117.41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17-1-6-1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62.10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62.10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57.42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107.37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57.42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84.46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48.12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60.82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90.87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48.60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18-2-3-1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64.79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96.09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54.74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69.59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58.68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60.99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20-1-5-2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105.97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60.37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96.09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55.30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65.33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46.84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58.68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107.06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57.26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105.97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56.67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65.33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49.89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63.15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21-1-3-1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87.98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50.12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21-1-3-2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21-1-4-2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5697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62.73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137</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122.15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65.33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87.58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46.84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21-2-2-2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109.73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58.68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21-2-4-2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5348</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58.89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毛坯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贵州大沙河旅游产业（集团）股份有限公司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遵义市道真仡佬族苗族自治县大磏镇文家坝村（中国傩城洋房）</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27-1-6-2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成套住宅</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107.76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5875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63.31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装修完成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jc w:val="center"/>
        </w:trPr>
        <w:tc>
          <w:tcPr>
            <w:tcW w:w="2226"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合计</w:t>
            </w:r>
          </w:p>
        </w:tc>
        <w:tc>
          <w:tcPr>
            <w:tcW w:w="20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c>
          <w:tcPr>
            <w:tcW w:w="960"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c>
          <w:tcPr>
            <w:tcW w:w="660"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c>
          <w:tcPr>
            <w:tcW w:w="111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default" w:ascii="Times New Roman" w:hAnsi="Times New Roman" w:eastAsia="仿宋" w:cs="Times New Roman"/>
                <w:b/>
                <w:bCs/>
                <w:i w:val="0"/>
                <w:iCs w:val="0"/>
                <w:color w:val="000000"/>
                <w:kern w:val="0"/>
                <w:sz w:val="22"/>
                <w:szCs w:val="22"/>
                <w:u w:val="none"/>
                <w:lang w:val="en-US" w:eastAsia="zh-CN" w:bidi="ar"/>
              </w:rPr>
              <w:t>15650.68</w:t>
            </w:r>
          </w:p>
        </w:tc>
        <w:tc>
          <w:tcPr>
            <w:tcW w:w="867"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c>
          <w:tcPr>
            <w:tcW w:w="111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eastAsia" w:ascii="Times New Roman" w:hAnsi="Times New Roman" w:eastAsia="仿宋" w:cs="Times New Roman"/>
                <w:b/>
                <w:bCs/>
                <w:i w:val="0"/>
                <w:iCs w:val="0"/>
                <w:color w:val="000000"/>
                <w:kern w:val="0"/>
                <w:sz w:val="22"/>
                <w:szCs w:val="22"/>
                <w:u w:val="none"/>
                <w:lang w:val="en-US" w:eastAsia="zh-CN" w:bidi="ar"/>
              </w:rPr>
              <w:t xml:space="preserve">8850.32 </w:t>
            </w:r>
          </w:p>
        </w:tc>
        <w:tc>
          <w:tcPr>
            <w:tcW w:w="690" w:type="dxa"/>
            <w:tcBorders>
              <w:top w:val="nil"/>
              <w:left w:val="single" w:color="000000" w:sz="4" w:space="0"/>
              <w:bottom w:val="single" w:color="000000" w:sz="4" w:space="0"/>
              <w:right w:val="single" w:color="000000" w:sz="4" w:space="0"/>
            </w:tcBorders>
            <w:shd w:val="clear" w:color="auto" w:fill="auto"/>
            <w:vAlign w:val="center"/>
          </w:tcPr>
          <w:p>
            <w:pPr>
              <w:ind w:firstLine="220" w:firstLineChars="100"/>
              <w:rPr>
                <w:rFonts w:hint="default" w:ascii="Times New Roman" w:hAnsi="Times New Roman" w:eastAsia="仿宋" w:cs="Times New Roman"/>
                <w:i w:val="0"/>
                <w:iCs w:val="0"/>
                <w:color w:val="000000"/>
                <w:sz w:val="22"/>
                <w:szCs w:val="22"/>
                <w:u w:val="none"/>
                <w:lang w:val="en-US" w:eastAsia="zh-CN"/>
              </w:rPr>
            </w:pPr>
            <w:r>
              <w:rPr>
                <w:rFonts w:hint="default" w:ascii="Times New Roman" w:hAnsi="Times New Roman" w:eastAsia="仿宋" w:cs="Times New Roman"/>
                <w:i w:val="0"/>
                <w:iCs w:val="0"/>
                <w:color w:val="000000"/>
                <w:sz w:val="22"/>
                <w:szCs w:val="22"/>
                <w:u w:val="none"/>
                <w:lang w:val="en-US" w:eastAsia="zh-CN"/>
              </w:rPr>
              <w:t>/</w:t>
            </w:r>
          </w:p>
        </w:tc>
      </w:tr>
    </w:tbl>
    <w:p>
      <w:pPr>
        <w:pStyle w:val="3"/>
        <w:keepNext/>
        <w:keepLines/>
        <w:pageBreakBefore w:val="0"/>
        <w:widowControl w:val="0"/>
        <w:kinsoku/>
        <w:wordWrap/>
        <w:overflowPunct/>
        <w:topLinePunct w:val="0"/>
        <w:autoSpaceDE/>
        <w:autoSpaceDN/>
        <w:bidi w:val="0"/>
        <w:adjustRightInd/>
        <w:snapToGrid/>
        <w:spacing w:before="156" w:beforeLines="50" w:after="156" w:afterLines="50" w:line="360" w:lineRule="auto"/>
        <w:ind w:firstLine="321" w:firstLineChars="100"/>
        <w:textAlignment w:val="auto"/>
        <w:outlineLvl w:val="1"/>
        <w:rPr>
          <w:rFonts w:hint="eastAsia" w:ascii="仿宋" w:hAnsi="仿宋" w:eastAsia="仿宋" w:cs="仿宋"/>
          <w:kern w:val="0"/>
        </w:rPr>
      </w:pPr>
      <w:bookmarkStart w:id="74" w:name="_Toc10882"/>
      <w:r>
        <w:rPr>
          <w:rFonts w:hint="eastAsia" w:ascii="仿宋" w:hAnsi="仿宋" w:eastAsia="仿宋" w:cs="仿宋"/>
          <w:b/>
          <w:bCs/>
          <w:kern w:val="0"/>
          <w:sz w:val="32"/>
          <w:szCs w:val="32"/>
          <w:lang w:val="en-US" w:eastAsia="zh-CN"/>
        </w:rPr>
        <w:t>十一、</w:t>
      </w:r>
      <w:r>
        <w:rPr>
          <w:rFonts w:hint="eastAsia" w:ascii="仿宋" w:hAnsi="仿宋" w:eastAsia="仿宋" w:cs="仿宋"/>
          <w:kern w:val="0"/>
        </w:rPr>
        <w:t>注册房地产估价师</w:t>
      </w:r>
      <w:bookmarkEnd w:id="71"/>
      <w:bookmarkEnd w:id="72"/>
      <w:bookmarkEnd w:id="73"/>
      <w:bookmarkEnd w:id="74"/>
    </w:p>
    <w:tbl>
      <w:tblPr>
        <w:tblStyle w:val="23"/>
        <w:tblW w:w="0" w:type="auto"/>
        <w:jc w:val="center"/>
        <w:tblLayout w:type="fixed"/>
        <w:tblCellMar>
          <w:top w:w="0" w:type="dxa"/>
          <w:left w:w="108" w:type="dxa"/>
          <w:bottom w:w="0" w:type="dxa"/>
          <w:right w:w="108" w:type="dxa"/>
        </w:tblCellMar>
      </w:tblPr>
      <w:tblGrid>
        <w:gridCol w:w="2984"/>
        <w:gridCol w:w="2775"/>
        <w:gridCol w:w="3660"/>
      </w:tblGrid>
      <w:tr>
        <w:tblPrEx>
          <w:tblCellMar>
            <w:top w:w="0" w:type="dxa"/>
            <w:left w:w="108" w:type="dxa"/>
            <w:bottom w:w="0" w:type="dxa"/>
            <w:right w:w="108" w:type="dxa"/>
          </w:tblCellMar>
        </w:tblPrEx>
        <w:trPr>
          <w:trHeight w:val="768" w:hRule="atLeast"/>
          <w:jc w:val="center"/>
        </w:trPr>
        <w:tc>
          <w:tcPr>
            <w:tcW w:w="298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bookmarkStart w:id="75" w:name="_Toc522795054"/>
            <w:bookmarkStart w:id="76" w:name="_Toc286074119"/>
            <w:r>
              <w:rPr>
                <w:rFonts w:hint="eastAsia" w:ascii="仿宋" w:hAnsi="仿宋" w:eastAsia="仿宋" w:cs="仿宋"/>
                <w:color w:val="000000"/>
                <w:kern w:val="0"/>
                <w:sz w:val="28"/>
                <w:szCs w:val="28"/>
              </w:rPr>
              <w:t>姓   名</w:t>
            </w:r>
          </w:p>
        </w:tc>
        <w:tc>
          <w:tcPr>
            <w:tcW w:w="27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注册号</w:t>
            </w:r>
          </w:p>
        </w:tc>
        <w:tc>
          <w:tcPr>
            <w:tcW w:w="366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签名</w:t>
            </w:r>
          </w:p>
        </w:tc>
      </w:tr>
      <w:tr>
        <w:tblPrEx>
          <w:tblCellMar>
            <w:top w:w="0" w:type="dxa"/>
            <w:left w:w="108" w:type="dxa"/>
            <w:bottom w:w="0" w:type="dxa"/>
            <w:right w:w="108" w:type="dxa"/>
          </w:tblCellMar>
        </w:tblPrEx>
        <w:trPr>
          <w:trHeight w:val="768" w:hRule="atLeast"/>
          <w:jc w:val="center"/>
        </w:trPr>
        <w:tc>
          <w:tcPr>
            <w:tcW w:w="298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覃  剑</w:t>
            </w:r>
          </w:p>
        </w:tc>
        <w:tc>
          <w:tcPr>
            <w:tcW w:w="277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rPr>
              <w:t>5220040052</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tr>
        <w:tblPrEx>
          <w:tblCellMar>
            <w:top w:w="0" w:type="dxa"/>
            <w:left w:w="108" w:type="dxa"/>
            <w:bottom w:w="0" w:type="dxa"/>
            <w:right w:w="108" w:type="dxa"/>
          </w:tblCellMar>
        </w:tblPrEx>
        <w:trPr>
          <w:trHeight w:val="814" w:hRule="atLeast"/>
          <w:jc w:val="center"/>
        </w:trPr>
        <w:tc>
          <w:tcPr>
            <w:tcW w:w="298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bCs/>
                <w:sz w:val="28"/>
                <w:lang w:val="en-US" w:eastAsia="zh-CN"/>
              </w:rPr>
              <w:t>杨青钢</w:t>
            </w:r>
          </w:p>
        </w:tc>
        <w:tc>
          <w:tcPr>
            <w:tcW w:w="277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8"/>
                <w:szCs w:val="28"/>
                <w:lang w:eastAsia="zh-CN"/>
              </w:rPr>
            </w:pPr>
            <w:r>
              <w:rPr>
                <w:rFonts w:hint="eastAsia" w:ascii="仿宋" w:hAnsi="仿宋" w:eastAsia="仿宋" w:cs="仿宋"/>
                <w:bCs/>
                <w:sz w:val="28"/>
                <w:lang w:eastAsia="zh-CN"/>
              </w:rPr>
              <w:t>5220200026</w:t>
            </w:r>
          </w:p>
        </w:tc>
        <w:tc>
          <w:tcPr>
            <w:tcW w:w="3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rPr>
              <w:t>　</w:t>
            </w:r>
          </w:p>
        </w:tc>
      </w:tr>
      <w:bookmarkEnd w:id="75"/>
      <w:bookmarkEnd w:id="76"/>
    </w:tbl>
    <w:p>
      <w:pPr>
        <w:pStyle w:val="3"/>
        <w:keepNext/>
        <w:keepLines/>
        <w:pageBreakBefore w:val="0"/>
        <w:widowControl w:val="0"/>
        <w:kinsoku/>
        <w:wordWrap/>
        <w:overflowPunct/>
        <w:topLinePunct w:val="0"/>
        <w:autoSpaceDE/>
        <w:autoSpaceDN/>
        <w:bidi w:val="0"/>
        <w:adjustRightInd/>
        <w:snapToGrid/>
        <w:spacing w:before="156" w:beforeLines="50" w:after="156" w:afterLines="50" w:line="380" w:lineRule="exact"/>
        <w:ind w:firstLine="643" w:firstLineChars="200"/>
        <w:textAlignment w:val="auto"/>
        <w:outlineLvl w:val="1"/>
        <w:rPr>
          <w:rFonts w:hint="eastAsia" w:ascii="仿宋" w:hAnsi="仿宋" w:eastAsia="仿宋" w:cs="仿宋"/>
          <w:b/>
          <w:bCs/>
          <w:kern w:val="0"/>
        </w:rPr>
      </w:pPr>
      <w:bookmarkStart w:id="77" w:name="_Toc31746"/>
      <w:bookmarkStart w:id="78" w:name="_Toc461005140"/>
      <w:bookmarkStart w:id="79" w:name="_Toc15366"/>
      <w:bookmarkStart w:id="80" w:name="_Toc24484"/>
      <w:bookmarkStart w:id="81" w:name="_Toc286074121"/>
      <w:bookmarkStart w:id="82" w:name="_Toc522795056"/>
      <w:r>
        <w:rPr>
          <w:rFonts w:hint="eastAsia" w:ascii="仿宋" w:hAnsi="仿宋" w:eastAsia="仿宋" w:cs="仿宋"/>
          <w:b/>
          <w:bCs/>
          <w:kern w:val="0"/>
        </w:rPr>
        <w:t>十二、实地查勘期</w:t>
      </w:r>
      <w:bookmarkEnd w:id="77"/>
      <w:bookmarkEnd w:id="78"/>
      <w:bookmarkEnd w:id="79"/>
      <w:bookmarkEnd w:id="80"/>
    </w:p>
    <w:p>
      <w:pPr>
        <w:pageBreakBefore w:val="0"/>
        <w:widowControl w:val="0"/>
        <w:numPr>
          <w:ilvl w:val="0"/>
          <w:numId w:val="0"/>
        </w:numPr>
        <w:kinsoku/>
        <w:wordWrap/>
        <w:overflowPunct/>
        <w:topLinePunct w:val="0"/>
        <w:autoSpaceDE/>
        <w:autoSpaceDN/>
        <w:bidi w:val="0"/>
        <w:adjustRightInd w:val="0"/>
        <w:snapToGrid w:val="0"/>
        <w:spacing w:line="38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本次实地勘查日期是2022年04月24日。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80" w:lineRule="exact"/>
        <w:ind w:firstLine="643" w:firstLineChars="200"/>
        <w:textAlignment w:val="auto"/>
        <w:outlineLvl w:val="1"/>
        <w:rPr>
          <w:rFonts w:hint="eastAsia" w:ascii="仿宋" w:hAnsi="仿宋" w:eastAsia="仿宋" w:cs="仿宋"/>
          <w:b/>
          <w:bCs/>
          <w:kern w:val="0"/>
        </w:rPr>
      </w:pPr>
      <w:bookmarkStart w:id="83" w:name="_Toc25734"/>
      <w:bookmarkStart w:id="84" w:name="_Toc461005141"/>
      <w:bookmarkStart w:id="85" w:name="_Toc14408"/>
      <w:bookmarkStart w:id="86" w:name="_Toc3977"/>
      <w:r>
        <w:rPr>
          <w:rFonts w:hint="eastAsia" w:ascii="仿宋" w:hAnsi="仿宋" w:eastAsia="仿宋" w:cs="仿宋"/>
          <w:b/>
          <w:bCs/>
          <w:kern w:val="0"/>
        </w:rPr>
        <w:t>十三、估价作业日期</w:t>
      </w:r>
      <w:bookmarkEnd w:id="83"/>
      <w:bookmarkEnd w:id="84"/>
      <w:bookmarkEnd w:id="85"/>
      <w:bookmarkEnd w:id="86"/>
    </w:p>
    <w:p>
      <w:pPr>
        <w:keepNext w:val="0"/>
        <w:keepLines w:val="0"/>
        <w:pageBreakBefore w:val="0"/>
        <w:widowControl w:val="0"/>
        <w:kinsoku/>
        <w:wordWrap/>
        <w:overflowPunct/>
        <w:topLinePunct w:val="0"/>
        <w:autoSpaceDE/>
        <w:autoSpaceDN/>
        <w:bidi w:val="0"/>
        <w:adjustRightInd/>
        <w:snapToGrid/>
        <w:spacing w:line="380" w:lineRule="exact"/>
        <w:ind w:firstLine="520" w:firstLineChars="200"/>
        <w:textAlignment w:val="auto"/>
        <w:outlineLvl w:val="9"/>
        <w:rPr>
          <w:rFonts w:hint="eastAsia" w:ascii="仿宋" w:hAnsi="仿宋" w:eastAsia="仿宋" w:cs="仿宋"/>
          <w:color w:val="auto"/>
          <w:sz w:val="28"/>
          <w:szCs w:val="28"/>
        </w:rPr>
      </w:pPr>
      <w:r>
        <w:rPr>
          <w:rFonts w:hint="eastAsia" w:eastAsia="仿宋_GB2312"/>
          <w:color w:val="000000"/>
          <w:sz w:val="26"/>
          <w:szCs w:val="26"/>
          <w:lang w:val="en-US" w:eastAsia="zh-CN"/>
        </w:rPr>
        <w:t>本次估价的作业日期是2022年04月24日至2022年11月04日。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80" w:lineRule="exact"/>
        <w:ind w:firstLine="643" w:firstLineChars="200"/>
        <w:textAlignment w:val="auto"/>
        <w:outlineLvl w:val="1"/>
        <w:rPr>
          <w:rFonts w:hint="eastAsia" w:ascii="仿宋" w:hAnsi="仿宋" w:eastAsia="仿宋" w:cs="仿宋"/>
          <w:b/>
          <w:bCs/>
          <w:kern w:val="0"/>
        </w:rPr>
      </w:pPr>
      <w:bookmarkStart w:id="87" w:name="_Toc26401"/>
      <w:bookmarkStart w:id="88" w:name="_Toc12004"/>
      <w:bookmarkStart w:id="89" w:name="_Toc2156"/>
      <w:r>
        <w:rPr>
          <w:rFonts w:hint="eastAsia" w:ascii="仿宋" w:hAnsi="仿宋" w:eastAsia="仿宋" w:cs="仿宋"/>
          <w:b/>
          <w:bCs/>
          <w:kern w:val="0"/>
        </w:rPr>
        <w:t>十</w:t>
      </w:r>
      <w:r>
        <w:rPr>
          <w:rFonts w:hint="eastAsia" w:ascii="仿宋" w:hAnsi="仿宋" w:eastAsia="仿宋" w:cs="仿宋"/>
          <w:b/>
          <w:bCs/>
          <w:kern w:val="0"/>
          <w:lang w:val="en-US" w:eastAsia="zh-CN"/>
        </w:rPr>
        <w:t>四</w:t>
      </w:r>
      <w:r>
        <w:rPr>
          <w:rFonts w:hint="eastAsia" w:ascii="仿宋" w:hAnsi="仿宋" w:eastAsia="仿宋" w:cs="仿宋"/>
          <w:b/>
          <w:bCs/>
          <w:kern w:val="0"/>
        </w:rPr>
        <w:t>、估价报告</w:t>
      </w:r>
      <w:bookmarkEnd w:id="81"/>
      <w:r>
        <w:rPr>
          <w:rFonts w:hint="eastAsia" w:ascii="仿宋" w:hAnsi="仿宋" w:eastAsia="仿宋" w:cs="仿宋"/>
          <w:b/>
          <w:bCs/>
          <w:kern w:val="0"/>
        </w:rPr>
        <w:t>应用的有效期</w:t>
      </w:r>
      <w:bookmarkEnd w:id="82"/>
      <w:bookmarkEnd w:id="87"/>
      <w:bookmarkEnd w:id="88"/>
      <w:bookmarkEnd w:id="89"/>
    </w:p>
    <w:p>
      <w:pPr>
        <w:pageBreakBefore w:val="0"/>
        <w:widowControl w:val="0"/>
        <w:numPr>
          <w:ilvl w:val="0"/>
          <w:numId w:val="0"/>
        </w:numPr>
        <w:kinsoku/>
        <w:wordWrap/>
        <w:overflowPunct/>
        <w:topLinePunct w:val="0"/>
        <w:autoSpaceDE/>
        <w:autoSpaceDN/>
        <w:bidi w:val="0"/>
        <w:adjustRightInd w:val="0"/>
        <w:snapToGrid w:val="0"/>
        <w:spacing w:line="38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本估价报告有效期限为一年，从估价报告出具日期之日起计算，即：2022年11月04日至2023年05月19日。</w:t>
      </w:r>
    </w:p>
    <w:p>
      <w:pPr>
        <w:pStyle w:val="3"/>
        <w:keepNext/>
        <w:keepLines/>
        <w:pageBreakBefore w:val="0"/>
        <w:widowControl w:val="0"/>
        <w:kinsoku/>
        <w:wordWrap/>
        <w:overflowPunct/>
        <w:topLinePunct w:val="0"/>
        <w:autoSpaceDE/>
        <w:autoSpaceDN/>
        <w:bidi w:val="0"/>
        <w:adjustRightInd/>
        <w:snapToGrid/>
        <w:spacing w:before="156" w:beforeLines="50" w:after="156" w:afterLines="50" w:line="380" w:lineRule="exact"/>
        <w:ind w:firstLine="643" w:firstLineChars="200"/>
        <w:textAlignment w:val="auto"/>
        <w:outlineLvl w:val="1"/>
        <w:rPr>
          <w:rFonts w:hint="eastAsia" w:ascii="仿宋" w:hAnsi="仿宋" w:eastAsia="仿宋" w:cs="仿宋"/>
          <w:b/>
          <w:bCs/>
          <w:kern w:val="0"/>
        </w:rPr>
      </w:pPr>
      <w:bookmarkStart w:id="90" w:name="_Toc20985"/>
      <w:bookmarkStart w:id="91" w:name="_Toc451421812"/>
      <w:bookmarkStart w:id="92" w:name="_Toc489"/>
      <w:bookmarkStart w:id="93" w:name="_Toc24772"/>
      <w:r>
        <w:rPr>
          <w:rFonts w:hint="eastAsia" w:ascii="仿宋" w:hAnsi="仿宋" w:eastAsia="仿宋" w:cs="仿宋"/>
          <w:b/>
          <w:bCs/>
          <w:kern w:val="0"/>
        </w:rPr>
        <w:t>十五、其它需要特别说明的事项</w:t>
      </w:r>
      <w:bookmarkEnd w:id="90"/>
      <w:bookmarkEnd w:id="91"/>
      <w:bookmarkEnd w:id="92"/>
      <w:bookmarkEnd w:id="93"/>
    </w:p>
    <w:p>
      <w:pPr>
        <w:keepNext w:val="0"/>
        <w:keepLines w:val="0"/>
        <w:pageBreakBefore w:val="0"/>
        <w:widowControl w:val="0"/>
        <w:numPr>
          <w:ilvl w:val="0"/>
          <w:numId w:val="0"/>
        </w:numPr>
        <w:kinsoku/>
        <w:wordWrap/>
        <w:overflowPunct/>
        <w:topLinePunct w:val="0"/>
        <w:autoSpaceDE/>
        <w:autoSpaceDN/>
        <w:bidi w:val="0"/>
        <w:adjustRightInd w:val="0"/>
        <w:snapToGrid w:val="0"/>
        <w:spacing w:line="38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1、本报告结果及附件仅供委托方用于估价目的所载明的用途，不对其它用途负责，不能作为估价对象权属界定的依据。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eastAsia" w:eastAsia="仿宋_GB2312"/>
          <w:color w:val="000000"/>
          <w:sz w:val="26"/>
          <w:szCs w:val="26"/>
          <w:lang w:val="en-US" w:eastAsia="zh-CN"/>
        </w:rPr>
      </w:pPr>
      <w:r>
        <w:rPr>
          <w:rFonts w:hint="eastAsia" w:eastAsia="仿宋_GB2312"/>
          <w:color w:val="000000"/>
          <w:sz w:val="26"/>
          <w:szCs w:val="26"/>
          <w:lang w:val="en-US" w:eastAsia="zh-CN"/>
        </w:rPr>
        <w:t>2、报告中提示的估价对象的市场价值是专业人员在一系列假设条件下模拟市场交易得出的价值结果，而交易价格往往受到交易时种种条件的限制，实际交易的情形也极难于与价值时点的假设条件保持一致，因此，估价结果仅供估价委托人参考，而不是对价格实现的一种保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firstLine="520" w:firstLineChars="200"/>
        <w:textAlignment w:val="auto"/>
        <w:rPr>
          <w:rFonts w:hint="default" w:eastAsia="仿宋_GB2312"/>
          <w:color w:val="000000"/>
          <w:sz w:val="26"/>
          <w:szCs w:val="26"/>
          <w:lang w:val="en-US" w:eastAsia="zh-CN"/>
        </w:rPr>
      </w:pPr>
      <w:r>
        <w:rPr>
          <w:rFonts w:hint="eastAsia" w:eastAsia="仿宋_GB2312"/>
          <w:color w:val="000000"/>
          <w:sz w:val="26"/>
          <w:szCs w:val="26"/>
          <w:lang w:val="en-US" w:eastAsia="zh-CN"/>
        </w:rPr>
        <w:t>3、现场勘查时，由于部分房屋出入门未能打开，估价人员无法进入室内勘查，室内的装修状况，是根据委托人提供的《洋房装修清理汇总表》中记载的装修状况进行评估的。</w:t>
      </w:r>
    </w:p>
    <w:p>
      <w:pPr>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贵州昊远房地产土地评估有限公司</w:t>
      </w:r>
    </w:p>
    <w:p>
      <w:pPr>
        <w:jc w:val="right"/>
        <w:rPr>
          <w:rFonts w:hint="eastAsia" w:ascii="仿宋" w:hAnsi="仿宋" w:eastAsia="仿宋" w:cs="仿宋"/>
          <w:b/>
          <w:bCs/>
          <w:kern w:val="0"/>
          <w:sz w:val="44"/>
          <w:szCs w:val="44"/>
        </w:rPr>
      </w:pPr>
      <w:r>
        <w:rPr>
          <w:rFonts w:hint="eastAsia" w:ascii="仿宋" w:hAnsi="仿宋" w:eastAsia="仿宋" w:cs="仿宋"/>
          <w:b/>
          <w:bCs/>
          <w:sz w:val="28"/>
          <w:szCs w:val="28"/>
          <w:lang w:val="en-US" w:eastAsia="zh-CN"/>
        </w:rPr>
        <w:t>二〇二二年十一月四日</w:t>
      </w:r>
    </w:p>
    <w:bookmarkEnd w:id="0"/>
    <w:bookmarkEnd w:id="1"/>
    <w:bookmarkEnd w:id="2"/>
    <w:bookmarkEnd w:id="3"/>
    <w:bookmarkEnd w:id="4"/>
    <w:bookmarkEnd w:id="5"/>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bookmarkStart w:id="94" w:name="_Toc17670"/>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rPr>
          <w:rFonts w:hint="eastAsia" w:ascii="仿宋" w:hAnsi="仿宋" w:eastAsia="仿宋" w:cs="仿宋"/>
          <w:b/>
          <w:bCs/>
          <w:kern w:val="0"/>
          <w:sz w:val="44"/>
          <w:szCs w:val="44"/>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both"/>
        <w:textAlignment w:val="auto"/>
        <w:outlineLvl w:val="1"/>
        <w:rPr>
          <w:rFonts w:hint="eastAsia" w:ascii="仿宋" w:hAnsi="仿宋" w:eastAsia="仿宋" w:cs="仿宋"/>
          <w:b/>
          <w:bCs/>
          <w:kern w:val="0"/>
          <w:sz w:val="44"/>
          <w:szCs w:val="44"/>
        </w:rPr>
      </w:pPr>
    </w:p>
    <w:p>
      <w:pPr>
        <w:rPr>
          <w:rFonts w:hint="eastAsia"/>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p>
    <w:p>
      <w:pPr>
        <w:rPr>
          <w:rFonts w:hint="eastAsia"/>
        </w:rPr>
      </w:pPr>
    </w:p>
    <w:p>
      <w:pPr>
        <w:pStyle w:val="3"/>
        <w:keepNext/>
        <w:keepLines/>
        <w:pageBreakBefore w:val="0"/>
        <w:widowControl w:val="0"/>
        <w:kinsoku/>
        <w:wordWrap/>
        <w:overflowPunct/>
        <w:topLinePunct w:val="0"/>
        <w:autoSpaceDE/>
        <w:autoSpaceDN/>
        <w:bidi w:val="0"/>
        <w:adjustRightInd/>
        <w:snapToGrid/>
        <w:spacing w:before="156" w:beforeLines="50" w:after="156" w:afterLines="50" w:line="413" w:lineRule="auto"/>
        <w:jc w:val="center"/>
        <w:textAlignment w:val="auto"/>
        <w:outlineLvl w:val="1"/>
        <w:rPr>
          <w:rFonts w:hint="eastAsia" w:ascii="仿宋" w:hAnsi="仿宋" w:eastAsia="仿宋" w:cs="仿宋"/>
          <w:b/>
          <w:bCs/>
          <w:kern w:val="0"/>
          <w:sz w:val="44"/>
          <w:szCs w:val="44"/>
        </w:rPr>
      </w:pPr>
      <w:bookmarkStart w:id="95" w:name="_Toc14501"/>
      <w:r>
        <w:rPr>
          <w:rFonts w:hint="eastAsia" w:ascii="仿宋" w:hAnsi="仿宋" w:eastAsia="仿宋" w:cs="仿宋"/>
          <w:b/>
          <w:bCs/>
          <w:kern w:val="0"/>
          <w:sz w:val="44"/>
          <w:szCs w:val="44"/>
        </w:rPr>
        <w:t>附     件</w:t>
      </w:r>
      <w:bookmarkEnd w:id="94"/>
      <w:bookmarkEnd w:id="95"/>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color w:val="auto"/>
          <w:sz w:val="28"/>
          <w:szCs w:val="28"/>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一、估价对象现状照片及位置图</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二、《贵州省遵义市中级人民法院委托书》及《中国傩城洋房清单》复印件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三、《不动产权证》（土地）复印件</w:t>
      </w:r>
    </w:p>
    <w:p>
      <w:pPr>
        <w:keepNext w:val="0"/>
        <w:keepLines w:val="0"/>
        <w:pageBreakBefore w:val="0"/>
        <w:widowControl w:val="0"/>
        <w:kinsoku/>
        <w:wordWrap/>
        <w:overflowPunct/>
        <w:topLinePunct w:val="0"/>
        <w:autoSpaceDE/>
        <w:autoSpaceDN/>
        <w:bidi w:val="0"/>
        <w:adjustRightInd/>
        <w:snapToGrid/>
        <w:spacing w:line="680" w:lineRule="exact"/>
        <w:ind w:left="1399" w:leftChars="266" w:hanging="840" w:hangingChars="300"/>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四、《洋房装修清理汇总表》及《太阳湖花园洋房装修质量交接验收表》及户型图</w:t>
      </w:r>
      <w:r>
        <w:rPr>
          <w:rFonts w:hint="eastAsia" w:ascii="仿宋" w:hAnsi="仿宋" w:eastAsia="仿宋" w:cs="仿宋"/>
          <w:color w:val="auto"/>
          <w:sz w:val="28"/>
          <w:szCs w:val="28"/>
          <w:lang w:val="en-US" w:eastAsia="zh-CN"/>
        </w:rPr>
        <w:t>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五、《建设用地规划许可证》复印件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六、《建筑工程施工许可证》复印件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七、《商品房预售许可证》复印件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八、估价机构营业执照复印件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九、估价机构房地产估价备案证书复印件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十、房地产估价师注册证书复印件</w:t>
      </w: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3360" w:firstLineChars="1200"/>
        <w:textAlignment w:val="auto"/>
        <w:outlineLvl w:val="9"/>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3360" w:firstLineChars="1200"/>
        <w:textAlignment w:val="auto"/>
        <w:outlineLvl w:val="9"/>
        <w:rPr>
          <w:rFonts w:hint="eastAsia" w:ascii="仿宋" w:hAnsi="仿宋" w:eastAsia="仿宋" w:cs="仿宋"/>
          <w:sz w:val="28"/>
          <w:szCs w:val="28"/>
          <w:lang w:val="en-US" w:eastAsia="zh-CN"/>
        </w:rPr>
        <w:sectPr>
          <w:headerReference r:id="rId5" w:type="default"/>
          <w:footerReference r:id="rId6" w:type="default"/>
          <w:endnotePr>
            <w:numFmt w:val="decimal"/>
          </w:endnotePr>
          <w:pgSz w:w="11906" w:h="16838"/>
          <w:pgMar w:top="1440" w:right="1080" w:bottom="1440" w:left="1080" w:header="851" w:footer="992" w:gutter="0"/>
          <w:pgNumType w:fmt="decimal" w:start="1" w:chapStyle="1" w:chapSep="hyphen"/>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80" w:lineRule="exact"/>
        <w:ind w:firstLine="3360" w:firstLineChars="1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估价对象现状照片</w:t>
      </w: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22245" cy="3075940"/>
                  <wp:effectExtent l="0" t="0" r="1905" b="10160"/>
                  <wp:docPr id="25" name="图片 25" descr="C:/Users/thtfpc/AppData/Local/Temp/picturecompress_202208091447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thtfpc/AppData/Local/Temp/picturecompress_20220809144704/output_1.jpgoutput_1"/>
                          <pic:cNvPicPr>
                            <a:picLocks noChangeAspect="1"/>
                          </pic:cNvPicPr>
                        </pic:nvPicPr>
                        <pic:blipFill>
                          <a:blip r:embed="rId10"/>
                          <a:srcRect/>
                          <a:stretch>
                            <a:fillRect/>
                          </a:stretch>
                        </pic:blipFill>
                        <pic:spPr>
                          <a:xfrm>
                            <a:off x="0" y="0"/>
                            <a:ext cx="2722245" cy="307594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59075" cy="2863850"/>
                  <wp:effectExtent l="0" t="0" r="3175" b="12700"/>
                  <wp:docPr id="54" name="图片 54" descr="C:/Users/thtfpc/AppData/Local/Temp/picturecompress_20220809144704/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thtfpc/AppData/Local/Temp/picturecompress_20220809144704/output_2.jpgoutput_2"/>
                          <pic:cNvPicPr>
                            <a:picLocks noChangeAspect="1"/>
                          </pic:cNvPicPr>
                        </pic:nvPicPr>
                        <pic:blipFill>
                          <a:blip r:embed="rId11"/>
                          <a:stretch>
                            <a:fillRect/>
                          </a:stretch>
                        </pic:blipFill>
                        <pic:spPr>
                          <a:xfrm>
                            <a:off x="0" y="0"/>
                            <a:ext cx="2759075" cy="2863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56840" cy="2901950"/>
                  <wp:effectExtent l="0" t="0" r="10160" b="12700"/>
                  <wp:docPr id="29" name="图片 29" descr="C:/Users/thtfpc/AppData/Local/Temp/picturecompress_20220809144704/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thtfpc/AppData/Local/Temp/picturecompress_20220809144704/output_3.jpgoutput_3"/>
                          <pic:cNvPicPr>
                            <a:picLocks noChangeAspect="1"/>
                          </pic:cNvPicPr>
                        </pic:nvPicPr>
                        <pic:blipFill>
                          <a:blip r:embed="rId12"/>
                          <a:srcRect/>
                          <a:stretch>
                            <a:fillRect/>
                          </a:stretch>
                        </pic:blipFill>
                        <pic:spPr>
                          <a:xfrm>
                            <a:off x="0" y="0"/>
                            <a:ext cx="2656840" cy="290195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425700" cy="2926080"/>
                  <wp:effectExtent l="0" t="0" r="12700" b="7620"/>
                  <wp:docPr id="31" name="图片 31" descr="C:/Users/thtfpc/AppData/Local/Temp/picturecompress_20220809144704/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htfpc/AppData/Local/Temp/picturecompress_20220809144704/output_4.jpgoutput_4"/>
                          <pic:cNvPicPr>
                            <a:picLocks noChangeAspect="1"/>
                          </pic:cNvPicPr>
                        </pic:nvPicPr>
                        <pic:blipFill>
                          <a:blip r:embed="rId13"/>
                          <a:srcRect/>
                          <a:stretch>
                            <a:fillRect/>
                          </a:stretch>
                        </pic:blipFill>
                        <pic:spPr>
                          <a:xfrm>
                            <a:off x="0" y="0"/>
                            <a:ext cx="2425700" cy="292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471420" cy="3168650"/>
                  <wp:effectExtent l="0" t="0" r="5080" b="12700"/>
                  <wp:docPr id="32" name="图片 32" descr="C:/Users/thtfpc/AppData/Local/Temp/picturecompress_20220809144704/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thtfpc/AppData/Local/Temp/picturecompress_20220809144704/output_5.jpgoutput_5"/>
                          <pic:cNvPicPr>
                            <a:picLocks noChangeAspect="1"/>
                          </pic:cNvPicPr>
                        </pic:nvPicPr>
                        <pic:blipFill>
                          <a:blip r:embed="rId14"/>
                          <a:srcRect/>
                          <a:stretch>
                            <a:fillRect/>
                          </a:stretch>
                        </pic:blipFill>
                        <pic:spPr>
                          <a:xfrm>
                            <a:off x="0" y="0"/>
                            <a:ext cx="2471420" cy="316865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11755" cy="3183890"/>
                  <wp:effectExtent l="0" t="0" r="17145" b="16510"/>
                  <wp:docPr id="33" name="图片 33" descr="C:/Users/thtfpc/AppData/Local/Temp/picturecompress_20220809144704/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thtfpc/AppData/Local/Temp/picturecompress_20220809144704/output_6.jpgoutput_6"/>
                          <pic:cNvPicPr>
                            <a:picLocks noChangeAspect="1"/>
                          </pic:cNvPicPr>
                        </pic:nvPicPr>
                        <pic:blipFill>
                          <a:blip r:embed="rId15"/>
                          <a:srcRect/>
                          <a:stretch>
                            <a:fillRect/>
                          </a:stretch>
                        </pic:blipFill>
                        <pic:spPr>
                          <a:xfrm>
                            <a:off x="0" y="0"/>
                            <a:ext cx="2611755" cy="3183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531745" cy="3424555"/>
                  <wp:effectExtent l="0" t="0" r="1905" b="4445"/>
                  <wp:docPr id="34" name="图片 34" descr="C:/Users/thtfpc/AppData/Local/Temp/picturecompress_20220809144704/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thtfpc/AppData/Local/Temp/picturecompress_20220809144704/output_7.jpgoutput_7"/>
                          <pic:cNvPicPr>
                            <a:picLocks noChangeAspect="1"/>
                          </pic:cNvPicPr>
                        </pic:nvPicPr>
                        <pic:blipFill>
                          <a:blip r:embed="rId16"/>
                          <a:srcRect/>
                          <a:stretch>
                            <a:fillRect/>
                          </a:stretch>
                        </pic:blipFill>
                        <pic:spPr>
                          <a:xfrm>
                            <a:off x="0" y="0"/>
                            <a:ext cx="2531745" cy="342455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52395" cy="3315335"/>
                  <wp:effectExtent l="0" t="0" r="14605" b="18415"/>
                  <wp:docPr id="35" name="图片 35" descr="C:/Users/thtfpc/AppData/Local/Temp/picturecompress_20220809144704/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thtfpc/AppData/Local/Temp/picturecompress_20220809144704/output_8.jpgoutput_8"/>
                          <pic:cNvPicPr>
                            <a:picLocks noChangeAspect="1"/>
                          </pic:cNvPicPr>
                        </pic:nvPicPr>
                        <pic:blipFill>
                          <a:blip r:embed="rId17"/>
                          <a:srcRect/>
                          <a:stretch>
                            <a:fillRect/>
                          </a:stretch>
                        </pic:blipFill>
                        <pic:spPr>
                          <a:xfrm>
                            <a:off x="0" y="0"/>
                            <a:ext cx="2652395" cy="3315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523490" cy="2816225"/>
                  <wp:effectExtent l="0" t="0" r="10160" b="3175"/>
                  <wp:docPr id="36" name="图片 36" descr="C:/Users/thtfpc/AppData/Local/Temp/picturecompress_20220809144704/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thtfpc/AppData/Local/Temp/picturecompress_20220809144704/output_9.jpgoutput_9"/>
                          <pic:cNvPicPr>
                            <a:picLocks noChangeAspect="1"/>
                          </pic:cNvPicPr>
                        </pic:nvPicPr>
                        <pic:blipFill>
                          <a:blip r:embed="rId18"/>
                          <a:srcRect/>
                          <a:stretch>
                            <a:fillRect/>
                          </a:stretch>
                        </pic:blipFill>
                        <pic:spPr>
                          <a:xfrm>
                            <a:off x="0" y="0"/>
                            <a:ext cx="2523490" cy="281622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525395" cy="2849245"/>
                  <wp:effectExtent l="0" t="0" r="8255" b="8255"/>
                  <wp:docPr id="37" name="图片 37" descr="C:/Users/thtfpc/AppData/Local/Temp/picturecompress_20220809144704/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thtfpc/AppData/Local/Temp/picturecompress_20220809144704/output_10.jpgoutput_10"/>
                          <pic:cNvPicPr>
                            <a:picLocks noChangeAspect="1"/>
                          </pic:cNvPicPr>
                        </pic:nvPicPr>
                        <pic:blipFill>
                          <a:blip r:embed="rId19"/>
                          <a:srcRect/>
                          <a:stretch>
                            <a:fillRect/>
                          </a:stretch>
                        </pic:blipFill>
                        <pic:spPr>
                          <a:xfrm>
                            <a:off x="0" y="0"/>
                            <a:ext cx="2525395" cy="2849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00020" cy="2916555"/>
                  <wp:effectExtent l="0" t="0" r="5080" b="17145"/>
                  <wp:docPr id="38" name="图片 38" descr="C:/Users/thtfpc/AppData/Local/Temp/picturecompress_20220809144704/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thtfpc/AppData/Local/Temp/picturecompress_20220809144704/output_11.jpgoutput_11"/>
                          <pic:cNvPicPr>
                            <a:picLocks noChangeAspect="1"/>
                          </pic:cNvPicPr>
                        </pic:nvPicPr>
                        <pic:blipFill>
                          <a:blip r:embed="rId20"/>
                          <a:srcRect/>
                          <a:stretch>
                            <a:fillRect/>
                          </a:stretch>
                        </pic:blipFill>
                        <pic:spPr>
                          <a:xfrm>
                            <a:off x="0" y="0"/>
                            <a:ext cx="2700020" cy="291655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582545" cy="3281680"/>
                  <wp:effectExtent l="0" t="0" r="8255" b="13970"/>
                  <wp:docPr id="39" name="图片 39" descr="C:/Users/thtfpc/AppData/Local/Temp/picturecompress_20220809144704/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thtfpc/AppData/Local/Temp/picturecompress_20220809144704/output_12.jpgoutput_12"/>
                          <pic:cNvPicPr>
                            <a:picLocks noChangeAspect="1"/>
                          </pic:cNvPicPr>
                        </pic:nvPicPr>
                        <pic:blipFill>
                          <a:blip r:embed="rId21"/>
                          <a:srcRect/>
                          <a:stretch>
                            <a:fillRect/>
                          </a:stretch>
                        </pic:blipFill>
                        <pic:spPr>
                          <a:xfrm>
                            <a:off x="0" y="0"/>
                            <a:ext cx="2582545" cy="32816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8"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68270" cy="2738755"/>
                  <wp:effectExtent l="0" t="0" r="17780" b="4445"/>
                  <wp:docPr id="40" name="图片 40" descr="C:/Users/thtfpc/AppData/Local/Temp/picturecompress_20220809144704/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thtfpc/AppData/Local/Temp/picturecompress_20220809144704/output_13.jpgoutput_13"/>
                          <pic:cNvPicPr>
                            <a:picLocks noChangeAspect="1"/>
                          </pic:cNvPicPr>
                        </pic:nvPicPr>
                        <pic:blipFill>
                          <a:blip r:embed="rId22"/>
                          <a:srcRect/>
                          <a:stretch>
                            <a:fillRect/>
                          </a:stretch>
                        </pic:blipFill>
                        <pic:spPr>
                          <a:xfrm>
                            <a:off x="0" y="0"/>
                            <a:ext cx="2668270" cy="273875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19705" cy="2806065"/>
                  <wp:effectExtent l="0" t="0" r="4445" b="13335"/>
                  <wp:docPr id="41" name="图片 41" descr="C:/Users/thtfpc/AppData/Local/Temp/picturecompress_20220809144704/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thtfpc/AppData/Local/Temp/picturecompress_20220809144704/output_14.jpgoutput_14"/>
                          <pic:cNvPicPr>
                            <a:picLocks noChangeAspect="1"/>
                          </pic:cNvPicPr>
                        </pic:nvPicPr>
                        <pic:blipFill>
                          <a:blip r:embed="rId23"/>
                          <a:srcRect/>
                          <a:stretch>
                            <a:fillRect/>
                          </a:stretch>
                        </pic:blipFill>
                        <pic:spPr>
                          <a:xfrm>
                            <a:off x="0" y="0"/>
                            <a:ext cx="2719705" cy="280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54935" cy="3189605"/>
                  <wp:effectExtent l="0" t="0" r="12065" b="10795"/>
                  <wp:docPr id="42" name="图片 42" descr="C:/Users/thtfpc/AppData/Local/Temp/picturecompress_20220809144704/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thtfpc/AppData/Local/Temp/picturecompress_20220809144704/output_15.jpgoutput_15"/>
                          <pic:cNvPicPr>
                            <a:picLocks noChangeAspect="1"/>
                          </pic:cNvPicPr>
                        </pic:nvPicPr>
                        <pic:blipFill>
                          <a:blip r:embed="rId24"/>
                          <a:srcRect/>
                          <a:stretch>
                            <a:fillRect/>
                          </a:stretch>
                        </pic:blipFill>
                        <pic:spPr>
                          <a:xfrm>
                            <a:off x="0" y="0"/>
                            <a:ext cx="2654935" cy="318960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549525" cy="3232785"/>
                  <wp:effectExtent l="0" t="0" r="3175" b="5715"/>
                  <wp:docPr id="43" name="图片 43" descr="C:/Users/thtfpc/AppData/Local/Temp/picturecompress_20220809144704/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thtfpc/AppData/Local/Temp/picturecompress_20220809144704/output_16.jpgoutput_16"/>
                          <pic:cNvPicPr>
                            <a:picLocks noChangeAspect="1"/>
                          </pic:cNvPicPr>
                        </pic:nvPicPr>
                        <pic:blipFill>
                          <a:blip r:embed="rId25"/>
                          <a:srcRect/>
                          <a:stretch>
                            <a:fillRect/>
                          </a:stretch>
                        </pic:blipFill>
                        <pic:spPr>
                          <a:xfrm>
                            <a:off x="0" y="0"/>
                            <a:ext cx="2549525" cy="3232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6"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405380" cy="3143885"/>
                  <wp:effectExtent l="0" t="0" r="13970" b="18415"/>
                  <wp:docPr id="44" name="图片 44" descr="C:/Users/thtfpc/AppData/Local/Temp/picturecompress_20220809144704/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thtfpc/AppData/Local/Temp/picturecompress_20220809144704/output_17.jpgoutput_17"/>
                          <pic:cNvPicPr>
                            <a:picLocks noChangeAspect="1"/>
                          </pic:cNvPicPr>
                        </pic:nvPicPr>
                        <pic:blipFill>
                          <a:blip r:embed="rId26"/>
                          <a:srcRect/>
                          <a:stretch>
                            <a:fillRect/>
                          </a:stretch>
                        </pic:blipFill>
                        <pic:spPr>
                          <a:xfrm>
                            <a:off x="0" y="0"/>
                            <a:ext cx="2405380" cy="314388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00350" cy="3056255"/>
                  <wp:effectExtent l="0" t="0" r="0" b="10795"/>
                  <wp:docPr id="45" name="图片 45" descr="C:/Users/thtfpc/AppData/Local/Temp/picturecompress_20220809144704/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thtfpc/AppData/Local/Temp/picturecompress_20220809144704/output_18.jpgoutput_18"/>
                          <pic:cNvPicPr>
                            <a:picLocks noChangeAspect="1"/>
                          </pic:cNvPicPr>
                        </pic:nvPicPr>
                        <pic:blipFill>
                          <a:blip r:embed="rId27"/>
                          <a:srcRect/>
                          <a:stretch>
                            <a:fillRect/>
                          </a:stretch>
                        </pic:blipFill>
                        <pic:spPr>
                          <a:xfrm>
                            <a:off x="0" y="0"/>
                            <a:ext cx="2800350" cy="3056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03195" cy="3401695"/>
                  <wp:effectExtent l="0" t="0" r="1905" b="8255"/>
                  <wp:docPr id="46" name="图片 46" descr="C:/Users/thtfpc/AppData/Local/Temp/picturecompress_20220809144704/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thtfpc/AppData/Local/Temp/picturecompress_20220809144704/output_19.jpgoutput_19"/>
                          <pic:cNvPicPr>
                            <a:picLocks noChangeAspect="1"/>
                          </pic:cNvPicPr>
                        </pic:nvPicPr>
                        <pic:blipFill>
                          <a:blip r:embed="rId28"/>
                          <a:srcRect/>
                          <a:stretch>
                            <a:fillRect/>
                          </a:stretch>
                        </pic:blipFill>
                        <pic:spPr>
                          <a:xfrm>
                            <a:off x="0" y="0"/>
                            <a:ext cx="2703195" cy="340169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567940" cy="3345815"/>
                  <wp:effectExtent l="0" t="0" r="3810" b="6985"/>
                  <wp:docPr id="47" name="图片 47" descr="C:/Users/thtfpc/AppData/Local/Temp/picturecompress_20220809144704/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thtfpc/AppData/Local/Temp/picturecompress_20220809144704/output_20.jpgoutput_20"/>
                          <pic:cNvPicPr>
                            <a:picLocks noChangeAspect="1"/>
                          </pic:cNvPicPr>
                        </pic:nvPicPr>
                        <pic:blipFill>
                          <a:blip r:embed="rId29"/>
                          <a:srcRect/>
                          <a:stretch>
                            <a:fillRect/>
                          </a:stretch>
                        </pic:blipFill>
                        <pic:spPr>
                          <a:xfrm>
                            <a:off x="0" y="0"/>
                            <a:ext cx="2567940" cy="3345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09215" cy="3373755"/>
                  <wp:effectExtent l="0" t="0" r="635" b="17145"/>
                  <wp:docPr id="65" name="图片 65" descr="C:/Users/thtfpc/AppData/Local/Temp/picturecompress_20220809144704/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thtfpc/AppData/Local/Temp/picturecompress_20220809144704/output_21.jpgoutput_21"/>
                          <pic:cNvPicPr>
                            <a:picLocks noChangeAspect="1"/>
                          </pic:cNvPicPr>
                        </pic:nvPicPr>
                        <pic:blipFill>
                          <a:blip r:embed="rId30"/>
                          <a:srcRect/>
                          <a:stretch>
                            <a:fillRect/>
                          </a:stretch>
                        </pic:blipFill>
                        <pic:spPr>
                          <a:xfrm>
                            <a:off x="0" y="0"/>
                            <a:ext cx="2609215" cy="337375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06040" cy="3420745"/>
                  <wp:effectExtent l="0" t="0" r="3810" b="8255"/>
                  <wp:docPr id="66" name="图片 66" descr="C:/Users/thtfpc/AppData/Local/Temp/picturecompress_20220809144704/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thtfpc/AppData/Local/Temp/picturecompress_20220809144704/output_22.jpgoutput_22"/>
                          <pic:cNvPicPr>
                            <a:picLocks noChangeAspect="1"/>
                          </pic:cNvPicPr>
                        </pic:nvPicPr>
                        <pic:blipFill>
                          <a:blip r:embed="rId31"/>
                          <a:srcRect/>
                          <a:stretch>
                            <a:fillRect/>
                          </a:stretch>
                        </pic:blipFill>
                        <pic:spPr>
                          <a:xfrm>
                            <a:off x="0" y="0"/>
                            <a:ext cx="2606040" cy="3420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95270" cy="3265805"/>
                  <wp:effectExtent l="0" t="0" r="5080" b="10795"/>
                  <wp:docPr id="67" name="图片 67" descr="C:/Users/thtfpc/AppData/Local/Temp/picturecompress_20220809144704/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thtfpc/AppData/Local/Temp/picturecompress_20220809144704/output_23.jpgoutput_23"/>
                          <pic:cNvPicPr>
                            <a:picLocks noChangeAspect="1"/>
                          </pic:cNvPicPr>
                        </pic:nvPicPr>
                        <pic:blipFill>
                          <a:blip r:embed="rId32"/>
                          <a:srcRect/>
                          <a:stretch>
                            <a:fillRect/>
                          </a:stretch>
                        </pic:blipFill>
                        <pic:spPr>
                          <a:xfrm>
                            <a:off x="0" y="0"/>
                            <a:ext cx="2795270" cy="326580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39390" cy="3228340"/>
                  <wp:effectExtent l="0" t="0" r="3810" b="10160"/>
                  <wp:docPr id="68" name="图片 68" descr="C:/Users/thtfpc/AppData/Local/Temp/picturecompress_20220809144704/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thtfpc/AppData/Local/Temp/picturecompress_20220809144704/output_24.jpgoutput_24"/>
                          <pic:cNvPicPr>
                            <a:picLocks noChangeAspect="1"/>
                          </pic:cNvPicPr>
                        </pic:nvPicPr>
                        <pic:blipFill>
                          <a:blip r:embed="rId33"/>
                          <a:srcRect/>
                          <a:stretch>
                            <a:fillRect/>
                          </a:stretch>
                        </pic:blipFill>
                        <pic:spPr>
                          <a:xfrm>
                            <a:off x="0" y="0"/>
                            <a:ext cx="2739390" cy="322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71775" cy="2688590"/>
                  <wp:effectExtent l="0" t="0" r="9525" b="16510"/>
                  <wp:docPr id="56" name="图片 56" descr="C:/Users/thtfpc/AppData/Local/Temp/picturecompress_20220809144704/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thtfpc/AppData/Local/Temp/picturecompress_20220809144704/output_25.jpgoutput_25"/>
                          <pic:cNvPicPr>
                            <a:picLocks noChangeAspect="1"/>
                          </pic:cNvPicPr>
                        </pic:nvPicPr>
                        <pic:blipFill>
                          <a:blip r:embed="rId34"/>
                          <a:stretch>
                            <a:fillRect/>
                          </a:stretch>
                        </pic:blipFill>
                        <pic:spPr>
                          <a:xfrm>
                            <a:off x="0" y="0"/>
                            <a:ext cx="2771775" cy="268859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43530" cy="2820035"/>
                  <wp:effectExtent l="0" t="0" r="13970" b="18415"/>
                  <wp:docPr id="57" name="图片 57" descr="C:/Users/thtfpc/AppData/Local/Temp/picturecompress_20220809144704/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thtfpc/AppData/Local/Temp/picturecompress_20220809144704/output_26.jpgoutput_26"/>
                          <pic:cNvPicPr>
                            <a:picLocks noChangeAspect="1"/>
                          </pic:cNvPicPr>
                        </pic:nvPicPr>
                        <pic:blipFill>
                          <a:blip r:embed="rId35"/>
                          <a:stretch>
                            <a:fillRect/>
                          </a:stretch>
                        </pic:blipFill>
                        <pic:spPr>
                          <a:xfrm>
                            <a:off x="0" y="0"/>
                            <a:ext cx="2843530" cy="2820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2927350"/>
                  <wp:effectExtent l="0" t="0" r="7620" b="6350"/>
                  <wp:docPr id="58" name="图片 58" descr="C:/Users/thtfpc/AppData/Local/Temp/picturecompress_20220809144704/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thtfpc/AppData/Local/Temp/picturecompress_20220809144704/output_27.jpgoutput_27"/>
                          <pic:cNvPicPr>
                            <a:picLocks noChangeAspect="1"/>
                          </pic:cNvPicPr>
                        </pic:nvPicPr>
                        <pic:blipFill>
                          <a:blip r:embed="rId36"/>
                          <a:stretch>
                            <a:fillRect/>
                          </a:stretch>
                        </pic:blipFill>
                        <pic:spPr>
                          <a:xfrm>
                            <a:off x="0" y="0"/>
                            <a:ext cx="2830830" cy="292735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104515"/>
                  <wp:effectExtent l="0" t="0" r="14605" b="635"/>
                  <wp:docPr id="59" name="图片 59" descr="C:/Users/thtfpc/AppData/Local/Temp/picturecompress_20220809144704/output_28.jp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thtfpc/AppData/Local/Temp/picturecompress_20220809144704/output_28.jpgoutput_28"/>
                          <pic:cNvPicPr>
                            <a:picLocks noChangeAspect="1"/>
                          </pic:cNvPicPr>
                        </pic:nvPicPr>
                        <pic:blipFill>
                          <a:blip r:embed="rId37"/>
                          <a:stretch>
                            <a:fillRect/>
                          </a:stretch>
                        </pic:blipFill>
                        <pic:spPr>
                          <a:xfrm>
                            <a:off x="0" y="0"/>
                            <a:ext cx="2995295" cy="3104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204210"/>
                  <wp:effectExtent l="0" t="0" r="7620" b="15240"/>
                  <wp:docPr id="60" name="图片 60" descr="C:/Users/thtfpc/AppData/Local/Temp/picturecompress_20220809144704/output_29.jp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thtfpc/AppData/Local/Temp/picturecompress_20220809144704/output_29.jpgoutput_29"/>
                          <pic:cNvPicPr>
                            <a:picLocks noChangeAspect="1"/>
                          </pic:cNvPicPr>
                        </pic:nvPicPr>
                        <pic:blipFill>
                          <a:blip r:embed="rId38"/>
                          <a:stretch>
                            <a:fillRect/>
                          </a:stretch>
                        </pic:blipFill>
                        <pic:spPr>
                          <a:xfrm>
                            <a:off x="0" y="0"/>
                            <a:ext cx="2830830" cy="320421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3161665"/>
                  <wp:effectExtent l="0" t="0" r="14605" b="635"/>
                  <wp:docPr id="61" name="图片 61" descr="C:/Users/thtfpc/AppData/Local/Temp/picturecompress_20220809144704/output_30.jp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thtfpc/AppData/Local/Temp/picturecompress_20220809144704/output_30.jpgoutput_30"/>
                          <pic:cNvPicPr>
                            <a:picLocks noChangeAspect="1"/>
                          </pic:cNvPicPr>
                        </pic:nvPicPr>
                        <pic:blipFill>
                          <a:blip r:embed="rId39"/>
                          <a:stretch>
                            <a:fillRect/>
                          </a:stretch>
                        </pic:blipFill>
                        <pic:spPr>
                          <a:xfrm>
                            <a:off x="0" y="0"/>
                            <a:ext cx="2995295" cy="3161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042285"/>
                  <wp:effectExtent l="0" t="0" r="7620" b="5715"/>
                  <wp:docPr id="62" name="图片 62" descr="C:/Users/thtfpc/AppData/Local/Temp/picturecompress_20220809144704/output_31.jp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thtfpc/AppData/Local/Temp/picturecompress_20220809144704/output_31.jpgoutput_31"/>
                          <pic:cNvPicPr>
                            <a:picLocks noChangeAspect="1"/>
                          </pic:cNvPicPr>
                        </pic:nvPicPr>
                        <pic:blipFill>
                          <a:blip r:embed="rId40"/>
                          <a:stretch>
                            <a:fillRect/>
                          </a:stretch>
                        </pic:blipFill>
                        <pic:spPr>
                          <a:xfrm>
                            <a:off x="0" y="0"/>
                            <a:ext cx="2830830" cy="304228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795905" cy="2866390"/>
                  <wp:effectExtent l="0" t="0" r="4445" b="10160"/>
                  <wp:docPr id="63" name="图片 63" descr="C:/Users/thtfpc/AppData/Local/Temp/picturecompress_20220809144704/output_32.jp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thtfpc/AppData/Local/Temp/picturecompress_20220809144704/output_32.jpgoutput_32"/>
                          <pic:cNvPicPr>
                            <a:picLocks noChangeAspect="1"/>
                          </pic:cNvPicPr>
                        </pic:nvPicPr>
                        <pic:blipFill>
                          <a:blip r:embed="rId41"/>
                          <a:stretch>
                            <a:fillRect/>
                          </a:stretch>
                        </pic:blipFill>
                        <pic:spPr>
                          <a:xfrm>
                            <a:off x="0" y="0"/>
                            <a:ext cx="2795905" cy="2866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090545"/>
                  <wp:effectExtent l="0" t="0" r="7620" b="14605"/>
                  <wp:docPr id="64" name="图片 64" descr="C:/Users/thtfpc/AppData/Local/Temp/picturecompress_20220809144704/output_33.jp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thtfpc/AppData/Local/Temp/picturecompress_20220809144704/output_33.jpgoutput_33"/>
                          <pic:cNvPicPr>
                            <a:picLocks noChangeAspect="1"/>
                          </pic:cNvPicPr>
                        </pic:nvPicPr>
                        <pic:blipFill>
                          <a:blip r:embed="rId42"/>
                          <a:stretch>
                            <a:fillRect/>
                          </a:stretch>
                        </pic:blipFill>
                        <pic:spPr>
                          <a:xfrm>
                            <a:off x="0" y="0"/>
                            <a:ext cx="2830830" cy="309054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28620" cy="2952115"/>
                  <wp:effectExtent l="0" t="0" r="5080" b="635"/>
                  <wp:docPr id="77" name="图片 77" descr="C:/Users/thtfpc/AppData/Local/Temp/picturecompress_20220809144704/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thtfpc/AppData/Local/Temp/picturecompress_20220809144704/output_34.jpgoutput_34"/>
                          <pic:cNvPicPr>
                            <a:picLocks noChangeAspect="1"/>
                          </pic:cNvPicPr>
                        </pic:nvPicPr>
                        <pic:blipFill>
                          <a:blip r:embed="rId43"/>
                          <a:stretch>
                            <a:fillRect/>
                          </a:stretch>
                        </pic:blipFill>
                        <pic:spPr>
                          <a:xfrm>
                            <a:off x="0" y="0"/>
                            <a:ext cx="2928620" cy="2952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792730" cy="3166110"/>
                  <wp:effectExtent l="0" t="0" r="7620" b="15240"/>
                  <wp:docPr id="78" name="图片 78" descr="C:/Users/thtfpc/AppData/Local/Temp/picturecompress_20220809144704/output_35.jp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thtfpc/AppData/Local/Temp/picturecompress_20220809144704/output_35.jpgoutput_35"/>
                          <pic:cNvPicPr>
                            <a:picLocks noChangeAspect="1"/>
                          </pic:cNvPicPr>
                        </pic:nvPicPr>
                        <pic:blipFill>
                          <a:blip r:embed="rId44"/>
                          <a:stretch>
                            <a:fillRect/>
                          </a:stretch>
                        </pic:blipFill>
                        <pic:spPr>
                          <a:xfrm>
                            <a:off x="0" y="0"/>
                            <a:ext cx="2792730" cy="316611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28620" cy="3037840"/>
                  <wp:effectExtent l="0" t="0" r="5080" b="10160"/>
                  <wp:docPr id="79" name="图片 79" descr="C:/Users/thtfpc/AppData/Local/Temp/picturecompress_20220809144704/output_36.jp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thtfpc/AppData/Local/Temp/picturecompress_20220809144704/output_36.jpgoutput_36"/>
                          <pic:cNvPicPr>
                            <a:picLocks noChangeAspect="1"/>
                          </pic:cNvPicPr>
                        </pic:nvPicPr>
                        <pic:blipFill>
                          <a:blip r:embed="rId45"/>
                          <a:stretch>
                            <a:fillRect/>
                          </a:stretch>
                        </pic:blipFill>
                        <pic:spPr>
                          <a:xfrm>
                            <a:off x="0" y="0"/>
                            <a:ext cx="2928620" cy="3037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7"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213100"/>
                  <wp:effectExtent l="0" t="0" r="7620" b="6350"/>
                  <wp:docPr id="82" name="图片 82" descr="C:/Users/thtfpc/AppData/Local/Temp/picturecompress_20220809144704/output_37.jp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thtfpc/AppData/Local/Temp/picturecompress_20220809144704/output_37.jpgoutput_37"/>
                          <pic:cNvPicPr>
                            <a:picLocks noChangeAspect="1"/>
                          </pic:cNvPicPr>
                        </pic:nvPicPr>
                        <pic:blipFill>
                          <a:blip r:embed="rId46"/>
                          <a:stretch>
                            <a:fillRect/>
                          </a:stretch>
                        </pic:blipFill>
                        <pic:spPr>
                          <a:xfrm>
                            <a:off x="0" y="0"/>
                            <a:ext cx="2830830" cy="321310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824480" cy="3315335"/>
                  <wp:effectExtent l="0" t="0" r="13970" b="18415"/>
                  <wp:docPr id="84" name="图片 84" descr="C:/Users/thtfpc/AppData/Local/Temp/picturecompress_20220809144704/output_38.jp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thtfpc/AppData/Local/Temp/picturecompress_20220809144704/output_38.jpgoutput_38"/>
                          <pic:cNvPicPr>
                            <a:picLocks noChangeAspect="1"/>
                          </pic:cNvPicPr>
                        </pic:nvPicPr>
                        <pic:blipFill>
                          <a:blip r:embed="rId47"/>
                          <a:stretch>
                            <a:fillRect/>
                          </a:stretch>
                        </pic:blipFill>
                        <pic:spPr>
                          <a:xfrm>
                            <a:off x="0" y="0"/>
                            <a:ext cx="2824480" cy="3315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7"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656840" cy="2901950"/>
                  <wp:effectExtent l="0" t="0" r="10160" b="12700"/>
                  <wp:docPr id="15" name="图片 15" descr="C:/Users/thtfpc/AppData/Local/Temp/picturecompress_20220809144704/output_39.jp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htfpc/AppData/Local/Temp/picturecompress_20220809144704/output_39.jpgoutput_39"/>
                          <pic:cNvPicPr>
                            <a:picLocks noChangeAspect="1"/>
                          </pic:cNvPicPr>
                        </pic:nvPicPr>
                        <pic:blipFill>
                          <a:blip r:embed="rId12"/>
                          <a:srcRect/>
                          <a:stretch>
                            <a:fillRect/>
                          </a:stretch>
                        </pic:blipFill>
                        <pic:spPr>
                          <a:xfrm>
                            <a:off x="0" y="0"/>
                            <a:ext cx="2656840" cy="290195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425700" cy="2926080"/>
                  <wp:effectExtent l="0" t="0" r="12700" b="7620"/>
                  <wp:docPr id="17" name="图片 17" descr="C:/Users/thtfpc/AppData/Local/Temp/picturecompress_20220809144704/output_40.jp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htfpc/AppData/Local/Temp/picturecompress_20220809144704/output_40.jpgoutput_40"/>
                          <pic:cNvPicPr>
                            <a:picLocks noChangeAspect="1"/>
                          </pic:cNvPicPr>
                        </pic:nvPicPr>
                        <pic:blipFill>
                          <a:blip r:embed="rId13"/>
                          <a:srcRect/>
                          <a:stretch>
                            <a:fillRect/>
                          </a:stretch>
                        </pic:blipFill>
                        <pic:spPr>
                          <a:xfrm>
                            <a:off x="0" y="0"/>
                            <a:ext cx="2425700" cy="2926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830830" cy="3042285"/>
                  <wp:effectExtent l="0" t="0" r="7620" b="5715"/>
                  <wp:docPr id="85" name="图片 85" descr="C:/Users/thtfpc/AppData/Local/Temp/picturecompress_20220809144704/output_41.jpgoutput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thtfpc/AppData/Local/Temp/picturecompress_20220809144704/output_41.jpgoutput_41"/>
                          <pic:cNvPicPr>
                            <a:picLocks noChangeAspect="1"/>
                          </pic:cNvPicPr>
                        </pic:nvPicPr>
                        <pic:blipFill>
                          <a:blip r:embed="rId48"/>
                          <a:stretch>
                            <a:fillRect/>
                          </a:stretch>
                        </pic:blipFill>
                        <pic:spPr>
                          <a:xfrm>
                            <a:off x="0" y="0"/>
                            <a:ext cx="2830830" cy="3042285"/>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995295" cy="2981325"/>
                  <wp:effectExtent l="0" t="0" r="14605" b="9525"/>
                  <wp:docPr id="87" name="图片 87" descr="C:/Users/thtfpc/AppData/Local/Temp/picturecompress_20220809144704/output_42.jpgoutput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thtfpc/AppData/Local/Temp/picturecompress_20220809144704/output_42.jpgoutput_42"/>
                          <pic:cNvPicPr>
                            <a:picLocks noChangeAspect="1"/>
                          </pic:cNvPicPr>
                        </pic:nvPicPr>
                        <pic:blipFill>
                          <a:blip r:embed="rId49"/>
                          <a:stretch>
                            <a:fillRect/>
                          </a:stretch>
                        </pic:blipFill>
                        <pic:spPr>
                          <a:xfrm>
                            <a:off x="0" y="0"/>
                            <a:ext cx="2995295" cy="2981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588895" cy="3251200"/>
                  <wp:effectExtent l="0" t="0" r="1905" b="6350"/>
                  <wp:docPr id="71" name="图片 71" descr="C:/Users/thtfpc/AppData/Local/Temp/picturecompress_20220809144704/output_43.jpgoutput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thtfpc/AppData/Local/Temp/picturecompress_20220809144704/output_43.jpgoutput_43"/>
                          <pic:cNvPicPr>
                            <a:picLocks noChangeAspect="1"/>
                          </pic:cNvPicPr>
                        </pic:nvPicPr>
                        <pic:blipFill>
                          <a:blip r:embed="rId50"/>
                          <a:srcRect/>
                          <a:stretch>
                            <a:fillRect/>
                          </a:stretch>
                        </pic:blipFill>
                        <pic:spPr>
                          <a:xfrm>
                            <a:off x="0" y="0"/>
                            <a:ext cx="2588895" cy="3251200"/>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14930" cy="3064510"/>
                  <wp:effectExtent l="0" t="0" r="13970" b="2540"/>
                  <wp:docPr id="72" name="图片 72" descr="C:/Users/thtfpc/AppData/Local/Temp/picturecompress_20220809144704/output_44.jpgoutput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thtfpc/AppData/Local/Temp/picturecompress_20220809144704/output_44.jpgoutput_44"/>
                          <pic:cNvPicPr>
                            <a:picLocks noChangeAspect="1"/>
                          </pic:cNvPicPr>
                        </pic:nvPicPr>
                        <pic:blipFill>
                          <a:blip r:embed="rId51"/>
                          <a:srcRect/>
                          <a:stretch>
                            <a:fillRect/>
                          </a:stretch>
                        </pic:blipFill>
                        <pic:spPr>
                          <a:xfrm>
                            <a:off x="0" y="0"/>
                            <a:ext cx="2614930" cy="30645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tbl>
      <w:tblPr>
        <w:tblStyle w:val="23"/>
        <w:tblpPr w:leftFromText="180" w:rightFromText="180" w:vertAnchor="text" w:horzAnchor="page" w:tblpX="1294" w:tblpY="252"/>
        <w:tblOverlap w:val="never"/>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3"/>
        <w:gridCol w:w="4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4" w:hRule="atLeast"/>
        </w:trPr>
        <w:tc>
          <w:tcPr>
            <w:tcW w:w="4683" w:type="dxa"/>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485390" cy="3025140"/>
                  <wp:effectExtent l="0" t="0" r="10160" b="3810"/>
                  <wp:docPr id="73" name="图片 73" descr="C:/Users/thtfpc/AppData/Local/Temp/picturecompress_20220809144704/output_45.jpgoutpu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thtfpc/AppData/Local/Temp/picturecompress_20220809144704/output_45.jpgoutput_45"/>
                          <pic:cNvPicPr>
                            <a:picLocks noChangeAspect="1"/>
                          </pic:cNvPicPr>
                        </pic:nvPicPr>
                        <pic:blipFill>
                          <a:blip r:embed="rId52"/>
                          <a:srcRect/>
                          <a:stretch>
                            <a:fillRect/>
                          </a:stretch>
                        </pic:blipFill>
                        <pic:spPr>
                          <a:xfrm>
                            <a:off x="0" y="0"/>
                            <a:ext cx="2485390" cy="3025140"/>
                          </a:xfrm>
                          <a:prstGeom prst="rect">
                            <a:avLst/>
                          </a:prstGeom>
                        </pic:spPr>
                      </pic:pic>
                    </a:graphicData>
                  </a:graphic>
                </wp:inline>
              </w:drawing>
            </w:r>
          </w:p>
        </w:tc>
        <w:tc>
          <w:tcPr>
            <w:tcW w:w="4976" w:type="dxa"/>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475865" cy="3011170"/>
                  <wp:effectExtent l="0" t="0" r="635" b="17780"/>
                  <wp:docPr id="74" name="图片 74" descr="C:/Users/thtfpc/AppData/Local/Temp/picturecompress_20220809144704/output_46.jp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thtfpc/AppData/Local/Temp/picturecompress_20220809144704/output_46.jpgoutput_46"/>
                          <pic:cNvPicPr>
                            <a:picLocks noChangeAspect="1"/>
                          </pic:cNvPicPr>
                        </pic:nvPicPr>
                        <pic:blipFill>
                          <a:blip r:embed="rId53"/>
                          <a:srcRect/>
                          <a:stretch>
                            <a:fillRect/>
                          </a:stretch>
                        </pic:blipFill>
                        <pic:spPr>
                          <a:xfrm>
                            <a:off x="0" y="0"/>
                            <a:ext cx="2475865" cy="30111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683" w:type="dxa"/>
            <w:tcBorders>
              <w:top w:val="nil"/>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nil"/>
            </w:tcBorders>
            <w:noWrap w:val="0"/>
            <w:vAlign w:val="center"/>
          </w:tcPr>
          <w:p>
            <w:pPr>
              <w:jc w:val="center"/>
              <w:rPr>
                <w:rFonts w:hint="eastAsia" w:ascii="楷体" w:hAnsi="楷体" w:eastAsia="楷体"/>
              </w:rPr>
            </w:pPr>
            <w:r>
              <w:rPr>
                <w:rFonts w:hint="eastAsia" w:ascii="楷体" w:hAnsi="楷体" w:eastAsia="楷体"/>
                <w:lang w:val="en-US" w:eastAsia="zh-CN"/>
              </w:rPr>
              <w:t>估价对象照片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2" w:hRule="atLeast"/>
        </w:trPr>
        <w:tc>
          <w:tcPr>
            <w:tcW w:w="4683" w:type="dxa"/>
            <w:tcBorders>
              <w:top w:val="nil"/>
            </w:tcBorders>
            <w:noWrap w:val="0"/>
            <w:vAlign w:val="center"/>
          </w:tcPr>
          <w:p>
            <w:pPr>
              <w:jc w:val="center"/>
              <w:rPr>
                <w:rFonts w:hint="eastAsia" w:ascii="楷体" w:hAnsi="楷体" w:eastAsia="楷体"/>
                <w:lang w:eastAsia="zh-CN"/>
              </w:rPr>
            </w:pPr>
            <w:r>
              <w:rPr>
                <w:rFonts w:hint="eastAsia" w:ascii="楷体" w:hAnsi="楷体" w:eastAsia="楷体"/>
                <w:lang w:eastAsia="zh-CN"/>
              </w:rPr>
              <w:drawing>
                <wp:inline distT="0" distB="0" distL="114300" distR="114300">
                  <wp:extent cx="2577465" cy="3267075"/>
                  <wp:effectExtent l="0" t="0" r="13335" b="9525"/>
                  <wp:docPr id="75" name="图片 75" descr="C:/Users/thtfpc/AppData/Local/Temp/picturecompress_20220809144704/output_47.jpgoutput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thtfpc/AppData/Local/Temp/picturecompress_20220809144704/output_47.jpgoutput_47"/>
                          <pic:cNvPicPr>
                            <a:picLocks noChangeAspect="1"/>
                          </pic:cNvPicPr>
                        </pic:nvPicPr>
                        <pic:blipFill>
                          <a:blip r:embed="rId54"/>
                          <a:srcRect/>
                          <a:stretch>
                            <a:fillRect/>
                          </a:stretch>
                        </pic:blipFill>
                        <pic:spPr>
                          <a:xfrm>
                            <a:off x="0" y="0"/>
                            <a:ext cx="2577465" cy="3267075"/>
                          </a:xfrm>
                          <a:prstGeom prst="rect">
                            <a:avLst/>
                          </a:prstGeom>
                        </pic:spPr>
                      </pic:pic>
                    </a:graphicData>
                  </a:graphic>
                </wp:inline>
              </w:drawing>
            </w:r>
          </w:p>
        </w:tc>
        <w:tc>
          <w:tcPr>
            <w:tcW w:w="4976" w:type="dxa"/>
            <w:tcBorders>
              <w:top w:val="nil"/>
            </w:tcBorders>
            <w:noWrap w:val="0"/>
            <w:vAlign w:val="center"/>
          </w:tcPr>
          <w:p>
            <w:pPr>
              <w:jc w:val="center"/>
              <w:rPr>
                <w:rFonts w:hint="eastAsia" w:ascii="楷体" w:hAnsi="楷体" w:eastAsia="楷体"/>
                <w:b/>
                <w:lang w:eastAsia="zh-CN"/>
              </w:rPr>
            </w:pPr>
            <w:r>
              <w:rPr>
                <w:rFonts w:hint="eastAsia" w:ascii="楷体" w:hAnsi="楷体" w:eastAsia="楷体"/>
                <w:b/>
                <w:lang w:eastAsia="zh-CN"/>
              </w:rPr>
              <w:drawing>
                <wp:inline distT="0" distB="0" distL="114300" distR="114300">
                  <wp:extent cx="2615565" cy="3138805"/>
                  <wp:effectExtent l="0" t="0" r="13335" b="4445"/>
                  <wp:docPr id="76" name="图片 76" descr="C:/Users/thtfpc/AppData/Local/Temp/picturecompress_20220809144704/output_48.jpgoutput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thtfpc/AppData/Local/Temp/picturecompress_20220809144704/output_48.jpgoutput_48"/>
                          <pic:cNvPicPr>
                            <a:picLocks noChangeAspect="1"/>
                          </pic:cNvPicPr>
                        </pic:nvPicPr>
                        <pic:blipFill>
                          <a:blip r:embed="rId55"/>
                          <a:srcRect/>
                          <a:stretch>
                            <a:fillRect/>
                          </a:stretch>
                        </pic:blipFill>
                        <pic:spPr>
                          <a:xfrm>
                            <a:off x="0" y="0"/>
                            <a:ext cx="2615565" cy="3138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683" w:type="dxa"/>
            <w:tcBorders>
              <w:top w:val="single" w:color="auto" w:sz="4" w:space="0"/>
            </w:tcBorders>
            <w:noWrap w:val="0"/>
            <w:vAlign w:val="center"/>
          </w:tcPr>
          <w:p>
            <w:pPr>
              <w:jc w:val="center"/>
              <w:rPr>
                <w:rFonts w:hint="default" w:ascii="楷体" w:hAnsi="楷体" w:eastAsia="楷体"/>
                <w:lang w:val="en-US" w:eastAsia="zh-CN"/>
              </w:rPr>
            </w:pPr>
            <w:r>
              <w:rPr>
                <w:rFonts w:hint="eastAsia" w:ascii="楷体" w:hAnsi="楷体" w:eastAsia="楷体"/>
                <w:lang w:val="en-US" w:eastAsia="zh-CN"/>
              </w:rPr>
              <w:t>估价对象照片</w:t>
            </w:r>
          </w:p>
        </w:tc>
        <w:tc>
          <w:tcPr>
            <w:tcW w:w="4976" w:type="dxa"/>
            <w:tcBorders>
              <w:top w:val="single" w:color="auto" w:sz="4" w:space="0"/>
            </w:tcBorders>
            <w:noWrap w:val="0"/>
            <w:vAlign w:val="center"/>
          </w:tcPr>
          <w:p>
            <w:pPr>
              <w:jc w:val="center"/>
              <w:rPr>
                <w:rFonts w:hint="default" w:ascii="楷体" w:hAnsi="楷体" w:eastAsia="楷体"/>
                <w:lang w:val="en-US"/>
              </w:rPr>
            </w:pPr>
            <w:r>
              <w:rPr>
                <w:rFonts w:hint="eastAsia" w:ascii="楷体" w:hAnsi="楷体" w:eastAsia="楷体"/>
                <w:lang w:val="en-US" w:eastAsia="zh-CN"/>
              </w:rPr>
              <w:t>估价对象照片</w:t>
            </w:r>
          </w:p>
        </w:tc>
      </w:tr>
    </w:tbl>
    <w:p>
      <w:pPr>
        <w:keepNext w:val="0"/>
        <w:keepLines w:val="0"/>
        <w:pageBreakBefore w:val="0"/>
        <w:widowControl w:val="0"/>
        <w:kinsoku/>
        <w:wordWrap/>
        <w:overflowPunct/>
        <w:topLinePunct w:val="0"/>
        <w:autoSpaceDE/>
        <w:autoSpaceDN/>
        <w:bidi w:val="0"/>
        <w:adjustRightInd/>
        <w:snapToGrid/>
        <w:spacing w:line="680" w:lineRule="exact"/>
        <w:ind w:firstLine="560" w:firstLineChars="200"/>
        <w:textAlignment w:val="auto"/>
        <w:outlineLvl w:val="9"/>
        <w:rPr>
          <w:rFonts w:hint="eastAsia" w:ascii="楷体" w:hAnsi="楷体" w:eastAsia="楷体" w:cs="楷体"/>
          <w:sz w:val="28"/>
          <w:szCs w:val="28"/>
          <w:lang w:val="en-US" w:eastAsia="zh-CN"/>
        </w:rPr>
      </w:pPr>
    </w:p>
    <w:p>
      <w:pP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br w:type="page"/>
      </w:r>
    </w:p>
    <w:p>
      <w:pPr>
        <w:jc w:val="center"/>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估价对象位置图</w:t>
      </w:r>
    </w:p>
    <w:p>
      <w:pPr>
        <w:jc w:val="center"/>
        <w:rPr>
          <w:rFonts w:hint="eastAsia" w:ascii="仿宋" w:hAnsi="仿宋" w:eastAsia="仿宋" w:cs="仿宋"/>
          <w:b/>
          <w:bCs/>
          <w:color w:val="000000"/>
          <w:kern w:val="0"/>
          <w:sz w:val="28"/>
          <w:szCs w:val="28"/>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3084195</wp:posOffset>
                </wp:positionH>
                <wp:positionV relativeFrom="paragraph">
                  <wp:posOffset>3230880</wp:posOffset>
                </wp:positionV>
                <wp:extent cx="429260" cy="4344035"/>
                <wp:effectExtent l="43180" t="0" r="15240" b="14605"/>
                <wp:wrapNone/>
                <wp:docPr id="18" name="直线 35"/>
                <wp:cNvGraphicFramePr/>
                <a:graphic xmlns:a="http://schemas.openxmlformats.org/drawingml/2006/main">
                  <a:graphicData uri="http://schemas.microsoft.com/office/word/2010/wordprocessingShape">
                    <wps:wsp>
                      <wps:cNvCnPr/>
                      <wps:spPr>
                        <a:xfrm flipH="1" flipV="1">
                          <a:off x="0" y="0"/>
                          <a:ext cx="429260" cy="43440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直线 35" o:spid="_x0000_s1026" o:spt="20" style="position:absolute;left:0pt;flip:x y;margin-left:242.85pt;margin-top:254.4pt;height:342.05pt;width:33.8pt;z-index:251660288;mso-width-relative:page;mso-height-relative:page;" filled="f" stroked="t" coordsize="21600,21600" o:gfxdata="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wOtbNoAAAAMAQAADwAAAAAAAAABACAAAAAiAAAAZHJz&#10;L2Rvd25yZXYueG1sUEsBAhQAFAAAAAgAh07iQMxK5b4CAgAA+AMAAA4AAAAAAAAAAQAgAAAAKQEA&#10;AGRycy9lMm9Eb2MueG1sUEsFBgAAAAAGAAYAWQEAAJ0FAAAAAA==&#10;">
                <v:fill on="f" focussize="0,0"/>
                <v:stroke weight="1.25pt" color="#000000" joinstyle="round" endarrow="open"/>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2900045</wp:posOffset>
                </wp:positionH>
                <wp:positionV relativeFrom="paragraph">
                  <wp:posOffset>2926080</wp:posOffset>
                </wp:positionV>
                <wp:extent cx="338455" cy="247015"/>
                <wp:effectExtent l="7620" t="7620" r="19685" b="19685"/>
                <wp:wrapNone/>
                <wp:docPr id="19" name="椭圆 36"/>
                <wp:cNvGraphicFramePr/>
                <a:graphic xmlns:a="http://schemas.openxmlformats.org/drawingml/2006/main">
                  <a:graphicData uri="http://schemas.microsoft.com/office/word/2010/wordprocessingShape">
                    <wps:wsp>
                      <wps:cNvSpPr/>
                      <wps:spPr>
                        <a:xfrm flipV="1">
                          <a:off x="0" y="0"/>
                          <a:ext cx="338455" cy="247015"/>
                        </a:xfrm>
                        <a:prstGeom prst="ellipse">
                          <a:avLst/>
                        </a:prstGeom>
                        <a:solidFill>
                          <a:srgbClr val="000000"/>
                        </a:solidFill>
                        <a:ln w="15875" cap="flat" cmpd="sng">
                          <a:solidFill>
                            <a:srgbClr val="000000"/>
                          </a:solidFill>
                          <a:prstDash val="solid"/>
                          <a:headEnd type="none" w="med" len="med"/>
                          <a:tailEnd type="none" w="med" len="med"/>
                        </a:ln>
                      </wps:spPr>
                      <wps:txbx>
                        <w:txbxContent>
                          <w:p/>
                        </w:txbxContent>
                      </wps:txbx>
                      <wps:bodyPr wrap="square" upright="1"/>
                    </wps:wsp>
                  </a:graphicData>
                </a:graphic>
              </wp:anchor>
            </w:drawing>
          </mc:Choice>
          <mc:Fallback>
            <w:pict>
              <v:shape id="椭圆 36" o:spid="_x0000_s1026" o:spt="3" type="#_x0000_t3" style="position:absolute;left:0pt;flip:y;margin-left:228.35pt;margin-top:230.4pt;height:19.45pt;width:26.65pt;z-index:251659264;mso-width-relative:page;mso-height-relative:page;" fillcolor="#000000" filled="t" stroked="t" coordsize="21600,21600" o:gfxdata="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99Bv1wAAAAsBAAAPAAAAAAAAAAEAIAAAACIA&#10;AABkcnMvZG93bnJldi54bWxQSwECFAAUAAAACACHTuJAJn/EqgoCAAA8BAAADgAAAAAAAAABACAA&#10;AAAmAQAAZHJzL2Uyb0RvYy54bWxQSwUGAAAAAAYABgBZAQAAogUAAAAA&#10;">
                <v:fill on="t" focussize="0,0"/>
                <v:stroke weight="1.25pt" color="#000000" joinstyle="round"/>
                <v:imagedata o:title=""/>
                <o:lock v:ext="edit" aspectratio="f"/>
                <v:textbox>
                  <w:txbxContent>
                    <w:p/>
                  </w:txbxContent>
                </v:textbox>
              </v:shape>
            </w:pict>
          </mc:Fallback>
        </mc:AlternateContent>
      </w:r>
      <w:r>
        <w:rPr>
          <w:rFonts w:hint="eastAsia" w:ascii="仿宋" w:hAnsi="仿宋" w:eastAsia="仿宋" w:cs="仿宋"/>
          <w:b/>
          <w:bCs/>
          <w:color w:val="000000"/>
          <w:kern w:val="0"/>
          <w:sz w:val="28"/>
          <w:szCs w:val="28"/>
          <w:lang w:val="en-US" w:eastAsia="zh-CN"/>
        </w:rPr>
        <w:drawing>
          <wp:inline distT="0" distB="0" distL="114300" distR="114300">
            <wp:extent cx="4224020" cy="7115810"/>
            <wp:effectExtent l="0" t="0" r="5080" b="8890"/>
            <wp:docPr id="81" name="图片 81" descr="C:/Users/thtfpc/AppData/Local/Temp/picturecompress_20220809144704/output_49.jpgoutput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thtfpc/AppData/Local/Temp/picturecompress_20220809144704/output_49.jpgoutput_49"/>
                    <pic:cNvPicPr>
                      <a:picLocks noChangeAspect="1"/>
                    </pic:cNvPicPr>
                  </pic:nvPicPr>
                  <pic:blipFill>
                    <a:blip r:embed="rId56"/>
                    <a:srcRect/>
                    <a:stretch>
                      <a:fillRect/>
                    </a:stretch>
                  </pic:blipFill>
                  <pic:spPr>
                    <a:xfrm>
                      <a:off x="0" y="0"/>
                      <a:ext cx="4224020" cy="7115810"/>
                    </a:xfrm>
                    <a:prstGeom prst="rect">
                      <a:avLst/>
                    </a:prstGeom>
                  </pic:spPr>
                </pic:pic>
              </a:graphicData>
            </a:graphic>
          </wp:inline>
        </w:drawing>
      </w:r>
    </w:p>
    <w:p>
      <w:pPr>
        <w:jc w:val="center"/>
        <w:rPr>
          <w:rFonts w:hint="eastAsia" w:ascii="仿宋" w:hAnsi="仿宋" w:eastAsia="仿宋" w:cs="仿宋"/>
          <w:b/>
          <w:bCs/>
          <w:color w:val="000000"/>
          <w:kern w:val="0"/>
          <w:sz w:val="28"/>
          <w:szCs w:val="28"/>
          <w:lang w:val="en-US" w:eastAsia="zh-CN"/>
        </w:rPr>
      </w:pPr>
    </w:p>
    <w:p>
      <w:pPr>
        <w:jc w:val="center"/>
        <w:rPr>
          <w:rFonts w:hint="eastAsia" w:ascii="仿宋_GB2312" w:eastAsia="仿宋_GB2312"/>
          <w:sz w:val="28"/>
          <w:szCs w:val="28"/>
        </w:rPr>
      </w:pPr>
      <w:r>
        <w:rPr>
          <w:rFonts w:hint="eastAsia" w:ascii="仿宋_GB2312" w:eastAsia="仿宋_GB2312"/>
          <w:sz w:val="28"/>
          <w:szCs w:val="28"/>
        </w:rPr>
        <w:t>估价对象所在位置</w:t>
      </w:r>
    </w:p>
    <w:p>
      <w:pPr>
        <w:keepNext w:val="0"/>
        <w:keepLines w:val="0"/>
        <w:pageBreakBefore w:val="0"/>
        <w:widowControl w:val="0"/>
        <w:kinsoku/>
        <w:wordWrap/>
        <w:overflowPunct/>
        <w:topLinePunct w:val="0"/>
        <w:autoSpaceDE/>
        <w:autoSpaceDN/>
        <w:bidi w:val="0"/>
        <w:adjustRightInd/>
        <w:snapToGrid/>
        <w:spacing w:line="680" w:lineRule="exact"/>
        <w:textAlignment w:val="auto"/>
        <w:outlineLvl w:val="9"/>
        <w:rPr>
          <w:rFonts w:hint="eastAsia" w:ascii="楷体" w:hAnsi="楷体" w:eastAsia="楷体" w:cs="楷体"/>
          <w:sz w:val="28"/>
          <w:szCs w:val="28"/>
          <w:lang w:val="en-US" w:eastAsia="zh-CN"/>
        </w:rPr>
      </w:pPr>
    </w:p>
    <w:sectPr>
      <w:headerReference r:id="rId7" w:type="default"/>
      <w:footerReference r:id="rId8" w:type="default"/>
      <w:endnotePr>
        <w:numFmt w:val="decimal"/>
      </w:endnotePr>
      <w:pgSz w:w="11906" w:h="16838"/>
      <w:pgMar w:top="1440" w:right="1080" w:bottom="1440" w:left="1080" w:header="851" w:footer="992" w:gutter="0"/>
      <w:pgNumType w:fmt="decimal" w:chapStyle="1" w:chapSep="hyphen"/>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57835" cy="147955"/>
              <wp:effectExtent l="0" t="0" r="0" b="0"/>
              <wp:wrapNone/>
              <wp:docPr id="90" name="文本框 7"/>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w="15875">
                        <a:noFill/>
                      </a:ln>
                    </wps:spPr>
                    <wps:txbx>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14</w:t>
                          </w:r>
                          <w:r>
                            <w:rPr>
                              <w:rFonts w:hint="eastAsia"/>
                              <w:sz w:val="18"/>
                            </w:rPr>
                            <w:fldChar w:fldCharType="end"/>
                          </w:r>
                          <w:r>
                            <w:rPr>
                              <w:rFonts w:hint="eastAsia"/>
                              <w:sz w:val="18"/>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1.65pt;width:36.05pt;mso-position-horizontal:center;mso-position-horizontal-relative:margin;mso-wrap-style:none;z-index:251663360;mso-width-relative:page;mso-height-relative:page;" filled="f" stroked="f" coordsize="21600,21600" o:gfxdata="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46jWdUAAAADAQAADwAAAAAAAAABACAA&#10;AAAiAAAAZHJzL2Rvd25yZXYueG1sUEsBAhQAFAAAAAgAh07iQBgSvIHXAQAAogMAAA4AAAAAAAAA&#10;AQAgAAAAJAEAAGRycy9lMm9Eb2MueG1sUEsFBgAAAAAGAAYAWQEAAG0FAAAAAA==&#10;">
              <v:fill on="f" focussize="0,0"/>
              <v:stroke on="f" weight="1.25pt"/>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14</w:t>
                    </w:r>
                    <w:r>
                      <w:rPr>
                        <w:rFonts w:hint="eastAsia"/>
                        <w:sz w:val="18"/>
                      </w:rPr>
                      <w:fldChar w:fldCharType="end"/>
                    </w:r>
                    <w:r>
                      <w:rPr>
                        <w:rFonts w:hint="eastAsia"/>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第 </w:t>
                          </w:r>
                          <w:r>
                            <w:fldChar w:fldCharType="begin"/>
                          </w:r>
                          <w:r>
                            <w:instrText xml:space="preserve"> PAGE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14"/>
                    </w:pPr>
                    <w:r>
                      <w:t xml:space="preserve">第 </w:t>
                    </w:r>
                    <w:r>
                      <w:fldChar w:fldCharType="begin"/>
                    </w:r>
                    <w:r>
                      <w:instrText xml:space="preserve"> PAGE  \* MERGEFORMAT </w:instrText>
                    </w:r>
                    <w:r>
                      <w:fldChar w:fldCharType="separate"/>
                    </w:r>
                    <w:r>
                      <w:t>47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103" o:spid="_x0000_s4103" o:spt="136" type="#_x0000_t136" style="position:absolute;left:0pt;margin-left:-31.55pt;margin-top:265.35pt;height:152.85pt;width:536.25pt;mso-position-horizontal-relative:margin;mso-position-vertical-relative:margin;rotation:-2949120f;z-index:-251655168;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_x0000_s4104" o:spid="_x0000_s4104" o:spt="136" type="#_x0000_t136" style="position:absolute;left:0pt;height:135.55pt;width:415.3pt;mso-position-horizontal:center;mso-position-horizontal-relative:margin;mso-position-vertical:center;mso-position-vertical-relative:margin;z-index:-251654144;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16"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097" o:spid="_x0000_s4097" o:spt="136" type="#_x0000_t136" style="position:absolute;left:0pt;margin-left:-31.55pt;margin-top:265.35pt;height:152.85pt;width:536.25pt;mso-position-horizontal-relative:margin;mso-position-vertical-relative:margin;rotation:-2949120f;z-index:-251657216;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PowerPlusWaterMarkObject18075" o:spid="_x0000_s4098" o:spt="136" type="#_x0000_t136" style="position:absolute;left:0pt;height:135.55pt;width:415.3pt;mso-position-horizontal:center;mso-position-horizontal-relative:margin;mso-position-vertical:center;mso-position-vertical-relative:margin;z-index:-251656192;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21"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rPr>
    </w:pPr>
    <w:r>
      <w:rPr>
        <w:sz w:val="18"/>
      </w:rPr>
      <w:pict>
        <v:shape id="_x0000_s4105" o:spid="_x0000_s4105" o:spt="136" type="#_x0000_t136" style="position:absolute;left:0pt;margin-left:-31.55pt;margin-top:265.35pt;height:152.85pt;width:536.25pt;mso-position-horizontal-relative:margin;mso-position-vertical-relative:margin;rotation:-2949120f;z-index:-251654144;mso-width-relative:page;mso-height-relative:page;" fillcolor="#C0C0C0" filled="t" stroked="f" coordsize="21600,21600" adj="10800">
          <v:path/>
          <v:fill on="t" opacity="32112f" focussize="0,0"/>
          <v:stroke on="f"/>
          <v:imagedata o:title=""/>
          <o:lock v:ext="edit" aspectratio="t"/>
          <v:textpath on="t" fitshape="t" fitpath="t" trim="t" xscale="f" string="昊远评估" style="font-family:楷体;font-size:36pt;v-same-letter-heights:f;v-text-align:center;"/>
        </v:shape>
      </w:pict>
    </w:r>
    <w:r>
      <w:rPr>
        <w:sz w:val="18"/>
      </w:rPr>
      <w:pict>
        <v:shape id="_x0000_s4106" o:spid="_x0000_s4106" o:spt="136" type="#_x0000_t136" style="position:absolute;left:0pt;height:135.55pt;width:415.3pt;mso-position-horizontal:center;mso-position-horizontal-relative:margin;mso-position-vertical:center;mso-position-vertical-relative:margin;z-index:-251653120;mso-width-relative:page;mso-height-relative:page;" fillcolor="#C0C0C0" filled="t" stroked="f" coordsize="21600,21600" adj="10800">
          <v:path/>
          <v:fill on="t" opacity="0f" focussize="0,0"/>
          <v:stroke on="f"/>
          <v:imagedata o:title=""/>
          <o:lock v:ext="edit" aspectratio="t"/>
          <v:textpath on="t" fitshape="t" fitpath="t" trim="t" xscale="f" string="严禁复制" style="font-family:微软雅黑;font-size:36pt;v-same-letter-heights:f;v-text-align:center;"/>
        </v:shape>
      </w:pict>
    </w:r>
    <w:r>
      <w:rPr>
        <w:rFonts w:hint="eastAsia" w:ascii="楷体" w:hAnsi="楷体" w:eastAsia="楷体" w:cs="楷体"/>
      </w:rPr>
      <w:drawing>
        <wp:inline distT="0" distB="0" distL="114300" distR="114300">
          <wp:extent cx="287020" cy="287020"/>
          <wp:effectExtent l="0" t="0" r="17780" b="17780"/>
          <wp:docPr id="4"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hint="eastAsia" w:ascii="宋体" w:hAnsi="宋体" w:eastAsia="宋体" w:cs="宋体"/>
        <w:b/>
        <w:bCs/>
        <w:sz w:val="36"/>
        <w:szCs w:val="36"/>
      </w:rPr>
      <w:t>贵州昊远房地产土地评估有限公司房地产估价报告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CC788E"/>
    <w:multiLevelType w:val="singleLevel"/>
    <w:tmpl w:val="CDCC788E"/>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endnotePr>
    <w:numFmt w:val="decimal"/>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ZWE2ZjY1YjQzYjBiYjIwYjI2NWU0ZGI0MGE1ZDAifQ=="/>
  </w:docVars>
  <w:rsids>
    <w:rsidRoot w:val="00D16785"/>
    <w:rsid w:val="00001314"/>
    <w:rsid w:val="000054AC"/>
    <w:rsid w:val="00011D71"/>
    <w:rsid w:val="000133BC"/>
    <w:rsid w:val="0002501F"/>
    <w:rsid w:val="00027245"/>
    <w:rsid w:val="00032B13"/>
    <w:rsid w:val="00037C47"/>
    <w:rsid w:val="000405B0"/>
    <w:rsid w:val="000477AB"/>
    <w:rsid w:val="00054007"/>
    <w:rsid w:val="0005680F"/>
    <w:rsid w:val="00056F13"/>
    <w:rsid w:val="00057532"/>
    <w:rsid w:val="000625EE"/>
    <w:rsid w:val="0006407F"/>
    <w:rsid w:val="00070C6F"/>
    <w:rsid w:val="00072E7E"/>
    <w:rsid w:val="00080F9A"/>
    <w:rsid w:val="000812F8"/>
    <w:rsid w:val="000818E1"/>
    <w:rsid w:val="00086367"/>
    <w:rsid w:val="000937A5"/>
    <w:rsid w:val="000A561B"/>
    <w:rsid w:val="000A7259"/>
    <w:rsid w:val="000B4494"/>
    <w:rsid w:val="000C4ABC"/>
    <w:rsid w:val="000D0309"/>
    <w:rsid w:val="000D104B"/>
    <w:rsid w:val="000E27AD"/>
    <w:rsid w:val="000E4B62"/>
    <w:rsid w:val="000E547C"/>
    <w:rsid w:val="000E7CBA"/>
    <w:rsid w:val="000F118D"/>
    <w:rsid w:val="000F154F"/>
    <w:rsid w:val="000F276D"/>
    <w:rsid w:val="000F2B44"/>
    <w:rsid w:val="000F4C8A"/>
    <w:rsid w:val="00101D24"/>
    <w:rsid w:val="00110750"/>
    <w:rsid w:val="00110B93"/>
    <w:rsid w:val="00117143"/>
    <w:rsid w:val="0011719F"/>
    <w:rsid w:val="00117E23"/>
    <w:rsid w:val="001235FA"/>
    <w:rsid w:val="001251AF"/>
    <w:rsid w:val="001261CA"/>
    <w:rsid w:val="00127090"/>
    <w:rsid w:val="00127643"/>
    <w:rsid w:val="0013305A"/>
    <w:rsid w:val="0013768A"/>
    <w:rsid w:val="00141C6A"/>
    <w:rsid w:val="00150639"/>
    <w:rsid w:val="001510D4"/>
    <w:rsid w:val="001545E0"/>
    <w:rsid w:val="00155998"/>
    <w:rsid w:val="00157448"/>
    <w:rsid w:val="00162158"/>
    <w:rsid w:val="0016497E"/>
    <w:rsid w:val="00172A51"/>
    <w:rsid w:val="001746ED"/>
    <w:rsid w:val="00174DCD"/>
    <w:rsid w:val="001752F5"/>
    <w:rsid w:val="001760D3"/>
    <w:rsid w:val="0017690A"/>
    <w:rsid w:val="00181633"/>
    <w:rsid w:val="00182FB0"/>
    <w:rsid w:val="00184906"/>
    <w:rsid w:val="0018638F"/>
    <w:rsid w:val="00186D90"/>
    <w:rsid w:val="0019158A"/>
    <w:rsid w:val="001932E1"/>
    <w:rsid w:val="001A05D7"/>
    <w:rsid w:val="001A0603"/>
    <w:rsid w:val="001A4C5D"/>
    <w:rsid w:val="001A6146"/>
    <w:rsid w:val="001A66F4"/>
    <w:rsid w:val="001A6E8F"/>
    <w:rsid w:val="001B02C3"/>
    <w:rsid w:val="001B7D68"/>
    <w:rsid w:val="001C27ED"/>
    <w:rsid w:val="001C2CAB"/>
    <w:rsid w:val="001C3DF5"/>
    <w:rsid w:val="001C4459"/>
    <w:rsid w:val="001C6F9E"/>
    <w:rsid w:val="001D0E59"/>
    <w:rsid w:val="001D4993"/>
    <w:rsid w:val="001D52EB"/>
    <w:rsid w:val="001F18F7"/>
    <w:rsid w:val="002010ED"/>
    <w:rsid w:val="00205644"/>
    <w:rsid w:val="0020600C"/>
    <w:rsid w:val="00212CE0"/>
    <w:rsid w:val="00216511"/>
    <w:rsid w:val="0022408B"/>
    <w:rsid w:val="00224439"/>
    <w:rsid w:val="0023095D"/>
    <w:rsid w:val="00235B9E"/>
    <w:rsid w:val="00242DBB"/>
    <w:rsid w:val="0024491F"/>
    <w:rsid w:val="0025255F"/>
    <w:rsid w:val="00254C01"/>
    <w:rsid w:val="0026049A"/>
    <w:rsid w:val="00273598"/>
    <w:rsid w:val="00277123"/>
    <w:rsid w:val="00277556"/>
    <w:rsid w:val="00282BE3"/>
    <w:rsid w:val="0028357B"/>
    <w:rsid w:val="00284589"/>
    <w:rsid w:val="00293653"/>
    <w:rsid w:val="002A0859"/>
    <w:rsid w:val="002B5ABB"/>
    <w:rsid w:val="002C0551"/>
    <w:rsid w:val="002C3093"/>
    <w:rsid w:val="002D05FB"/>
    <w:rsid w:val="002D2198"/>
    <w:rsid w:val="002D3ECD"/>
    <w:rsid w:val="002D3EE9"/>
    <w:rsid w:val="002D6883"/>
    <w:rsid w:val="002E4381"/>
    <w:rsid w:val="002E479C"/>
    <w:rsid w:val="002E6F62"/>
    <w:rsid w:val="002E71EF"/>
    <w:rsid w:val="002E7FC1"/>
    <w:rsid w:val="002F1EAE"/>
    <w:rsid w:val="00306298"/>
    <w:rsid w:val="00311B2F"/>
    <w:rsid w:val="00331F97"/>
    <w:rsid w:val="00350509"/>
    <w:rsid w:val="003562A0"/>
    <w:rsid w:val="003569E4"/>
    <w:rsid w:val="00361CA9"/>
    <w:rsid w:val="003729B9"/>
    <w:rsid w:val="00372A5F"/>
    <w:rsid w:val="00373AE8"/>
    <w:rsid w:val="0037795B"/>
    <w:rsid w:val="0038039F"/>
    <w:rsid w:val="003832B8"/>
    <w:rsid w:val="003864E8"/>
    <w:rsid w:val="00391AF0"/>
    <w:rsid w:val="00395E12"/>
    <w:rsid w:val="003A4F70"/>
    <w:rsid w:val="003A796F"/>
    <w:rsid w:val="003B1853"/>
    <w:rsid w:val="003B2DFB"/>
    <w:rsid w:val="003B4FE6"/>
    <w:rsid w:val="003B6DCE"/>
    <w:rsid w:val="003C5064"/>
    <w:rsid w:val="003D57AF"/>
    <w:rsid w:val="003D637B"/>
    <w:rsid w:val="003D7B2B"/>
    <w:rsid w:val="003E0379"/>
    <w:rsid w:val="003E03A4"/>
    <w:rsid w:val="003E0AC3"/>
    <w:rsid w:val="003E24DE"/>
    <w:rsid w:val="003F5181"/>
    <w:rsid w:val="00410697"/>
    <w:rsid w:val="00412092"/>
    <w:rsid w:val="00426631"/>
    <w:rsid w:val="004339DB"/>
    <w:rsid w:val="00434B99"/>
    <w:rsid w:val="0043639B"/>
    <w:rsid w:val="004371DC"/>
    <w:rsid w:val="00437302"/>
    <w:rsid w:val="00437475"/>
    <w:rsid w:val="004409D5"/>
    <w:rsid w:val="0044199E"/>
    <w:rsid w:val="004439BF"/>
    <w:rsid w:val="004439D7"/>
    <w:rsid w:val="0045022E"/>
    <w:rsid w:val="00460AF9"/>
    <w:rsid w:val="00461B4A"/>
    <w:rsid w:val="00463BA0"/>
    <w:rsid w:val="00464BE7"/>
    <w:rsid w:val="00466FD9"/>
    <w:rsid w:val="00467327"/>
    <w:rsid w:val="00475BEE"/>
    <w:rsid w:val="0048149C"/>
    <w:rsid w:val="004875CE"/>
    <w:rsid w:val="00497E18"/>
    <w:rsid w:val="004A1012"/>
    <w:rsid w:val="004A25A1"/>
    <w:rsid w:val="004A3A18"/>
    <w:rsid w:val="004A4241"/>
    <w:rsid w:val="004A445E"/>
    <w:rsid w:val="004B6781"/>
    <w:rsid w:val="004B6838"/>
    <w:rsid w:val="004B6C13"/>
    <w:rsid w:val="004C0B70"/>
    <w:rsid w:val="004C703C"/>
    <w:rsid w:val="004C78E6"/>
    <w:rsid w:val="004D7090"/>
    <w:rsid w:val="004E18BE"/>
    <w:rsid w:val="004E3A3C"/>
    <w:rsid w:val="004F22E6"/>
    <w:rsid w:val="004F3531"/>
    <w:rsid w:val="004F3F58"/>
    <w:rsid w:val="004F438B"/>
    <w:rsid w:val="004F529C"/>
    <w:rsid w:val="004F5AB6"/>
    <w:rsid w:val="00505EFC"/>
    <w:rsid w:val="00512545"/>
    <w:rsid w:val="00512F7A"/>
    <w:rsid w:val="00517E18"/>
    <w:rsid w:val="0052380E"/>
    <w:rsid w:val="0052698D"/>
    <w:rsid w:val="00526D19"/>
    <w:rsid w:val="00531AC3"/>
    <w:rsid w:val="00531ACB"/>
    <w:rsid w:val="00541E05"/>
    <w:rsid w:val="00543327"/>
    <w:rsid w:val="00543396"/>
    <w:rsid w:val="0055059D"/>
    <w:rsid w:val="0055627E"/>
    <w:rsid w:val="005577FD"/>
    <w:rsid w:val="00562F85"/>
    <w:rsid w:val="00565B34"/>
    <w:rsid w:val="00570555"/>
    <w:rsid w:val="00574319"/>
    <w:rsid w:val="00583081"/>
    <w:rsid w:val="00593F44"/>
    <w:rsid w:val="0059666E"/>
    <w:rsid w:val="005A003B"/>
    <w:rsid w:val="005A0C71"/>
    <w:rsid w:val="005A1D4B"/>
    <w:rsid w:val="005A68AB"/>
    <w:rsid w:val="005B0F20"/>
    <w:rsid w:val="005B5048"/>
    <w:rsid w:val="005B69B2"/>
    <w:rsid w:val="005B7B10"/>
    <w:rsid w:val="005C267C"/>
    <w:rsid w:val="005D0E34"/>
    <w:rsid w:val="005D5268"/>
    <w:rsid w:val="005D5BF9"/>
    <w:rsid w:val="005E0677"/>
    <w:rsid w:val="005E2964"/>
    <w:rsid w:val="005E379F"/>
    <w:rsid w:val="005E7947"/>
    <w:rsid w:val="005F14ED"/>
    <w:rsid w:val="005F3CB9"/>
    <w:rsid w:val="005F56B5"/>
    <w:rsid w:val="00600C34"/>
    <w:rsid w:val="00605E94"/>
    <w:rsid w:val="00606209"/>
    <w:rsid w:val="00607FEB"/>
    <w:rsid w:val="00610F05"/>
    <w:rsid w:val="00614FD5"/>
    <w:rsid w:val="00620B5B"/>
    <w:rsid w:val="0062312A"/>
    <w:rsid w:val="00623B5A"/>
    <w:rsid w:val="006240AC"/>
    <w:rsid w:val="0062444F"/>
    <w:rsid w:val="006253C9"/>
    <w:rsid w:val="0062702C"/>
    <w:rsid w:val="00627B48"/>
    <w:rsid w:val="0063184C"/>
    <w:rsid w:val="0064316D"/>
    <w:rsid w:val="00644347"/>
    <w:rsid w:val="0064663D"/>
    <w:rsid w:val="00650720"/>
    <w:rsid w:val="00651778"/>
    <w:rsid w:val="00653162"/>
    <w:rsid w:val="00657BCA"/>
    <w:rsid w:val="006616DE"/>
    <w:rsid w:val="00662466"/>
    <w:rsid w:val="00662CD7"/>
    <w:rsid w:val="00664DB0"/>
    <w:rsid w:val="00666437"/>
    <w:rsid w:val="006671B9"/>
    <w:rsid w:val="00671791"/>
    <w:rsid w:val="00671BA5"/>
    <w:rsid w:val="006738A3"/>
    <w:rsid w:val="00680E2C"/>
    <w:rsid w:val="006810F9"/>
    <w:rsid w:val="0068621D"/>
    <w:rsid w:val="006943AC"/>
    <w:rsid w:val="00694E04"/>
    <w:rsid w:val="006A3184"/>
    <w:rsid w:val="006A3A42"/>
    <w:rsid w:val="006A5B79"/>
    <w:rsid w:val="006A5D9D"/>
    <w:rsid w:val="006A630B"/>
    <w:rsid w:val="006A715D"/>
    <w:rsid w:val="006B2957"/>
    <w:rsid w:val="006B3292"/>
    <w:rsid w:val="006B4356"/>
    <w:rsid w:val="006B4F60"/>
    <w:rsid w:val="006B617F"/>
    <w:rsid w:val="006B7F87"/>
    <w:rsid w:val="006C0D75"/>
    <w:rsid w:val="006C150E"/>
    <w:rsid w:val="006C4A14"/>
    <w:rsid w:val="006C6EA5"/>
    <w:rsid w:val="006C7E53"/>
    <w:rsid w:val="006D32EC"/>
    <w:rsid w:val="006D4539"/>
    <w:rsid w:val="006D776E"/>
    <w:rsid w:val="006E7C19"/>
    <w:rsid w:val="006F24FB"/>
    <w:rsid w:val="006F2B18"/>
    <w:rsid w:val="006F505E"/>
    <w:rsid w:val="006F5720"/>
    <w:rsid w:val="006F6076"/>
    <w:rsid w:val="006F659A"/>
    <w:rsid w:val="006F6D22"/>
    <w:rsid w:val="006F745F"/>
    <w:rsid w:val="006F772C"/>
    <w:rsid w:val="00701DA4"/>
    <w:rsid w:val="00715129"/>
    <w:rsid w:val="00724088"/>
    <w:rsid w:val="00724322"/>
    <w:rsid w:val="007244B6"/>
    <w:rsid w:val="00726DC8"/>
    <w:rsid w:val="007318D7"/>
    <w:rsid w:val="00732584"/>
    <w:rsid w:val="00732CD0"/>
    <w:rsid w:val="00733BF1"/>
    <w:rsid w:val="00735B55"/>
    <w:rsid w:val="007377B7"/>
    <w:rsid w:val="007433E3"/>
    <w:rsid w:val="00746F63"/>
    <w:rsid w:val="007470CC"/>
    <w:rsid w:val="007522C8"/>
    <w:rsid w:val="0075262A"/>
    <w:rsid w:val="0075326F"/>
    <w:rsid w:val="00757B3C"/>
    <w:rsid w:val="00760517"/>
    <w:rsid w:val="00762A88"/>
    <w:rsid w:val="0076659B"/>
    <w:rsid w:val="007747FE"/>
    <w:rsid w:val="0077631C"/>
    <w:rsid w:val="007838D5"/>
    <w:rsid w:val="00790159"/>
    <w:rsid w:val="00790AFB"/>
    <w:rsid w:val="007942ED"/>
    <w:rsid w:val="00797189"/>
    <w:rsid w:val="007A57D1"/>
    <w:rsid w:val="007B0873"/>
    <w:rsid w:val="007B0D2A"/>
    <w:rsid w:val="007B1EB6"/>
    <w:rsid w:val="007B4929"/>
    <w:rsid w:val="007B70D5"/>
    <w:rsid w:val="007C2891"/>
    <w:rsid w:val="007C3AB5"/>
    <w:rsid w:val="007C46B3"/>
    <w:rsid w:val="007D257F"/>
    <w:rsid w:val="007D282A"/>
    <w:rsid w:val="007D73CC"/>
    <w:rsid w:val="007E21BC"/>
    <w:rsid w:val="007F081A"/>
    <w:rsid w:val="007F0B5F"/>
    <w:rsid w:val="007F1807"/>
    <w:rsid w:val="008003A8"/>
    <w:rsid w:val="0080367F"/>
    <w:rsid w:val="00803BBC"/>
    <w:rsid w:val="00805043"/>
    <w:rsid w:val="00810056"/>
    <w:rsid w:val="0081056B"/>
    <w:rsid w:val="008110B7"/>
    <w:rsid w:val="00812712"/>
    <w:rsid w:val="0081562D"/>
    <w:rsid w:val="0081601F"/>
    <w:rsid w:val="00822525"/>
    <w:rsid w:val="00822CF6"/>
    <w:rsid w:val="008230E3"/>
    <w:rsid w:val="008249CA"/>
    <w:rsid w:val="008254CF"/>
    <w:rsid w:val="008274AB"/>
    <w:rsid w:val="008333DE"/>
    <w:rsid w:val="00840268"/>
    <w:rsid w:val="00840CFF"/>
    <w:rsid w:val="00845EE4"/>
    <w:rsid w:val="00847384"/>
    <w:rsid w:val="00856AFB"/>
    <w:rsid w:val="00856B42"/>
    <w:rsid w:val="00861785"/>
    <w:rsid w:val="00862566"/>
    <w:rsid w:val="00864CE7"/>
    <w:rsid w:val="00871EB2"/>
    <w:rsid w:val="00872EC0"/>
    <w:rsid w:val="00873937"/>
    <w:rsid w:val="00873DA5"/>
    <w:rsid w:val="00875B3B"/>
    <w:rsid w:val="00881008"/>
    <w:rsid w:val="00886289"/>
    <w:rsid w:val="00886C70"/>
    <w:rsid w:val="0089170A"/>
    <w:rsid w:val="008921BE"/>
    <w:rsid w:val="00893B47"/>
    <w:rsid w:val="00893EE0"/>
    <w:rsid w:val="008943C6"/>
    <w:rsid w:val="008A1F91"/>
    <w:rsid w:val="008A3B7F"/>
    <w:rsid w:val="008A4DE2"/>
    <w:rsid w:val="008A5B79"/>
    <w:rsid w:val="008A67DC"/>
    <w:rsid w:val="008A710A"/>
    <w:rsid w:val="008B6401"/>
    <w:rsid w:val="008C5A67"/>
    <w:rsid w:val="008D33E3"/>
    <w:rsid w:val="008D7063"/>
    <w:rsid w:val="008D7F2C"/>
    <w:rsid w:val="008E1490"/>
    <w:rsid w:val="008E2988"/>
    <w:rsid w:val="008F1609"/>
    <w:rsid w:val="008F179A"/>
    <w:rsid w:val="008F254A"/>
    <w:rsid w:val="008F40B1"/>
    <w:rsid w:val="0090093C"/>
    <w:rsid w:val="009100A6"/>
    <w:rsid w:val="00911EF7"/>
    <w:rsid w:val="00916171"/>
    <w:rsid w:val="009242DE"/>
    <w:rsid w:val="00924A6A"/>
    <w:rsid w:val="0093208E"/>
    <w:rsid w:val="00935C50"/>
    <w:rsid w:val="009367A3"/>
    <w:rsid w:val="00936899"/>
    <w:rsid w:val="00936A89"/>
    <w:rsid w:val="009409CB"/>
    <w:rsid w:val="009427BD"/>
    <w:rsid w:val="00942BEC"/>
    <w:rsid w:val="009444BE"/>
    <w:rsid w:val="009449F2"/>
    <w:rsid w:val="00950BBB"/>
    <w:rsid w:val="00954FD6"/>
    <w:rsid w:val="009557FA"/>
    <w:rsid w:val="0095763B"/>
    <w:rsid w:val="00957C61"/>
    <w:rsid w:val="00961411"/>
    <w:rsid w:val="009639D5"/>
    <w:rsid w:val="009746F1"/>
    <w:rsid w:val="0097623E"/>
    <w:rsid w:val="00983384"/>
    <w:rsid w:val="00986E96"/>
    <w:rsid w:val="0099170E"/>
    <w:rsid w:val="0099397D"/>
    <w:rsid w:val="009A0D2F"/>
    <w:rsid w:val="009A3D28"/>
    <w:rsid w:val="009A58A5"/>
    <w:rsid w:val="009A594C"/>
    <w:rsid w:val="009B03F0"/>
    <w:rsid w:val="009B3394"/>
    <w:rsid w:val="009C4C01"/>
    <w:rsid w:val="009C7529"/>
    <w:rsid w:val="009D286C"/>
    <w:rsid w:val="009E0263"/>
    <w:rsid w:val="009F4684"/>
    <w:rsid w:val="009F6CA3"/>
    <w:rsid w:val="00A01AB8"/>
    <w:rsid w:val="00A023F2"/>
    <w:rsid w:val="00A04E62"/>
    <w:rsid w:val="00A1006E"/>
    <w:rsid w:val="00A11B85"/>
    <w:rsid w:val="00A1445C"/>
    <w:rsid w:val="00A17B76"/>
    <w:rsid w:val="00A21B39"/>
    <w:rsid w:val="00A258DB"/>
    <w:rsid w:val="00A27F38"/>
    <w:rsid w:val="00A31ECD"/>
    <w:rsid w:val="00A321AD"/>
    <w:rsid w:val="00A4049C"/>
    <w:rsid w:val="00A46F92"/>
    <w:rsid w:val="00A47FE6"/>
    <w:rsid w:val="00A519A1"/>
    <w:rsid w:val="00A61795"/>
    <w:rsid w:val="00A62CDF"/>
    <w:rsid w:val="00A63BD1"/>
    <w:rsid w:val="00A70971"/>
    <w:rsid w:val="00A752F4"/>
    <w:rsid w:val="00A76DE1"/>
    <w:rsid w:val="00A81F1A"/>
    <w:rsid w:val="00A82595"/>
    <w:rsid w:val="00A828CD"/>
    <w:rsid w:val="00A95732"/>
    <w:rsid w:val="00A978FB"/>
    <w:rsid w:val="00AA3208"/>
    <w:rsid w:val="00AA45F9"/>
    <w:rsid w:val="00AA5502"/>
    <w:rsid w:val="00AB0F1F"/>
    <w:rsid w:val="00AB32F8"/>
    <w:rsid w:val="00AB3C38"/>
    <w:rsid w:val="00AB5E10"/>
    <w:rsid w:val="00AB6882"/>
    <w:rsid w:val="00AD2047"/>
    <w:rsid w:val="00AD5DB4"/>
    <w:rsid w:val="00AD6DB9"/>
    <w:rsid w:val="00AE0D78"/>
    <w:rsid w:val="00AE77BE"/>
    <w:rsid w:val="00AF0112"/>
    <w:rsid w:val="00AF1B95"/>
    <w:rsid w:val="00AF285E"/>
    <w:rsid w:val="00AF3F96"/>
    <w:rsid w:val="00AF4DEB"/>
    <w:rsid w:val="00B05FE4"/>
    <w:rsid w:val="00B06056"/>
    <w:rsid w:val="00B0658E"/>
    <w:rsid w:val="00B1070B"/>
    <w:rsid w:val="00B11A49"/>
    <w:rsid w:val="00B1449C"/>
    <w:rsid w:val="00B146D5"/>
    <w:rsid w:val="00B15FF8"/>
    <w:rsid w:val="00B163B8"/>
    <w:rsid w:val="00B24404"/>
    <w:rsid w:val="00B25C3B"/>
    <w:rsid w:val="00B277CF"/>
    <w:rsid w:val="00B33FB9"/>
    <w:rsid w:val="00B36A5D"/>
    <w:rsid w:val="00B401D3"/>
    <w:rsid w:val="00B40C7D"/>
    <w:rsid w:val="00B46F22"/>
    <w:rsid w:val="00B4771C"/>
    <w:rsid w:val="00B51EE2"/>
    <w:rsid w:val="00B537CD"/>
    <w:rsid w:val="00B5612B"/>
    <w:rsid w:val="00B57DA9"/>
    <w:rsid w:val="00B617B4"/>
    <w:rsid w:val="00B61958"/>
    <w:rsid w:val="00B6306D"/>
    <w:rsid w:val="00B72B0D"/>
    <w:rsid w:val="00B82834"/>
    <w:rsid w:val="00B90155"/>
    <w:rsid w:val="00B92FB1"/>
    <w:rsid w:val="00B954A2"/>
    <w:rsid w:val="00BA2F86"/>
    <w:rsid w:val="00BA32E8"/>
    <w:rsid w:val="00BA57A4"/>
    <w:rsid w:val="00BB1109"/>
    <w:rsid w:val="00BB1F4E"/>
    <w:rsid w:val="00BC252E"/>
    <w:rsid w:val="00BC3171"/>
    <w:rsid w:val="00BC3F70"/>
    <w:rsid w:val="00BD001A"/>
    <w:rsid w:val="00BD0CF2"/>
    <w:rsid w:val="00BD1173"/>
    <w:rsid w:val="00BD153C"/>
    <w:rsid w:val="00BD1F0A"/>
    <w:rsid w:val="00BD2847"/>
    <w:rsid w:val="00BD4582"/>
    <w:rsid w:val="00BD6BAD"/>
    <w:rsid w:val="00BD7571"/>
    <w:rsid w:val="00BE0712"/>
    <w:rsid w:val="00BE4F5B"/>
    <w:rsid w:val="00BE4FE3"/>
    <w:rsid w:val="00BE59B1"/>
    <w:rsid w:val="00BE5DB5"/>
    <w:rsid w:val="00BE60C1"/>
    <w:rsid w:val="00BE6FAB"/>
    <w:rsid w:val="00BF0901"/>
    <w:rsid w:val="00BF59E6"/>
    <w:rsid w:val="00BF6546"/>
    <w:rsid w:val="00C039CA"/>
    <w:rsid w:val="00C03E46"/>
    <w:rsid w:val="00C044B6"/>
    <w:rsid w:val="00C07CC4"/>
    <w:rsid w:val="00C14E7C"/>
    <w:rsid w:val="00C333E8"/>
    <w:rsid w:val="00C345C7"/>
    <w:rsid w:val="00C35A0E"/>
    <w:rsid w:val="00C37355"/>
    <w:rsid w:val="00C41DB4"/>
    <w:rsid w:val="00C46135"/>
    <w:rsid w:val="00C50590"/>
    <w:rsid w:val="00C510AE"/>
    <w:rsid w:val="00C5498C"/>
    <w:rsid w:val="00C54C9A"/>
    <w:rsid w:val="00C55683"/>
    <w:rsid w:val="00C564FB"/>
    <w:rsid w:val="00C56A06"/>
    <w:rsid w:val="00C61963"/>
    <w:rsid w:val="00C64F7D"/>
    <w:rsid w:val="00C66FA8"/>
    <w:rsid w:val="00C70190"/>
    <w:rsid w:val="00C70CBB"/>
    <w:rsid w:val="00C76623"/>
    <w:rsid w:val="00C81D06"/>
    <w:rsid w:val="00C81D3C"/>
    <w:rsid w:val="00C820DE"/>
    <w:rsid w:val="00C82ABE"/>
    <w:rsid w:val="00C86391"/>
    <w:rsid w:val="00C93FBD"/>
    <w:rsid w:val="00C944F0"/>
    <w:rsid w:val="00C9769D"/>
    <w:rsid w:val="00CA57C4"/>
    <w:rsid w:val="00CA6424"/>
    <w:rsid w:val="00CA6D4D"/>
    <w:rsid w:val="00CB1408"/>
    <w:rsid w:val="00CB1629"/>
    <w:rsid w:val="00CB1C4D"/>
    <w:rsid w:val="00CC2A8A"/>
    <w:rsid w:val="00CD1AF1"/>
    <w:rsid w:val="00CD27DA"/>
    <w:rsid w:val="00CD35DA"/>
    <w:rsid w:val="00CE1391"/>
    <w:rsid w:val="00CE2985"/>
    <w:rsid w:val="00CE68D9"/>
    <w:rsid w:val="00CF0EB8"/>
    <w:rsid w:val="00CF0F69"/>
    <w:rsid w:val="00CF1D8C"/>
    <w:rsid w:val="00D02553"/>
    <w:rsid w:val="00D12CBE"/>
    <w:rsid w:val="00D1410C"/>
    <w:rsid w:val="00D160DD"/>
    <w:rsid w:val="00D16785"/>
    <w:rsid w:val="00D327D9"/>
    <w:rsid w:val="00D32A8F"/>
    <w:rsid w:val="00D3413C"/>
    <w:rsid w:val="00D34C86"/>
    <w:rsid w:val="00D4016F"/>
    <w:rsid w:val="00D41546"/>
    <w:rsid w:val="00D43731"/>
    <w:rsid w:val="00D438BF"/>
    <w:rsid w:val="00D449DF"/>
    <w:rsid w:val="00D47842"/>
    <w:rsid w:val="00D60F43"/>
    <w:rsid w:val="00D61011"/>
    <w:rsid w:val="00D708EF"/>
    <w:rsid w:val="00D71CCE"/>
    <w:rsid w:val="00D71FC1"/>
    <w:rsid w:val="00D72448"/>
    <w:rsid w:val="00D8156B"/>
    <w:rsid w:val="00D8381B"/>
    <w:rsid w:val="00D85843"/>
    <w:rsid w:val="00D86420"/>
    <w:rsid w:val="00DA08AD"/>
    <w:rsid w:val="00DA0EFF"/>
    <w:rsid w:val="00DB2441"/>
    <w:rsid w:val="00DB640B"/>
    <w:rsid w:val="00DB7E71"/>
    <w:rsid w:val="00DC00C6"/>
    <w:rsid w:val="00DC3584"/>
    <w:rsid w:val="00DE1BD3"/>
    <w:rsid w:val="00DE1FF1"/>
    <w:rsid w:val="00DE7705"/>
    <w:rsid w:val="00DF369B"/>
    <w:rsid w:val="00DF71C0"/>
    <w:rsid w:val="00E07FE4"/>
    <w:rsid w:val="00E10D0A"/>
    <w:rsid w:val="00E12BD9"/>
    <w:rsid w:val="00E1749F"/>
    <w:rsid w:val="00E21602"/>
    <w:rsid w:val="00E21A3E"/>
    <w:rsid w:val="00E24F7F"/>
    <w:rsid w:val="00E25AB7"/>
    <w:rsid w:val="00E3037E"/>
    <w:rsid w:val="00E31B6F"/>
    <w:rsid w:val="00E36992"/>
    <w:rsid w:val="00E410A0"/>
    <w:rsid w:val="00E45C57"/>
    <w:rsid w:val="00E47F9D"/>
    <w:rsid w:val="00E5648E"/>
    <w:rsid w:val="00E603A5"/>
    <w:rsid w:val="00E624EB"/>
    <w:rsid w:val="00E64A3A"/>
    <w:rsid w:val="00E6598F"/>
    <w:rsid w:val="00E86BF7"/>
    <w:rsid w:val="00E87A7C"/>
    <w:rsid w:val="00E90DB2"/>
    <w:rsid w:val="00E92020"/>
    <w:rsid w:val="00E94434"/>
    <w:rsid w:val="00EA091D"/>
    <w:rsid w:val="00EA19B4"/>
    <w:rsid w:val="00EA777F"/>
    <w:rsid w:val="00EB2C6F"/>
    <w:rsid w:val="00EB3AE5"/>
    <w:rsid w:val="00EB3C46"/>
    <w:rsid w:val="00EB72D8"/>
    <w:rsid w:val="00EB73DB"/>
    <w:rsid w:val="00EC65DD"/>
    <w:rsid w:val="00ED1F4E"/>
    <w:rsid w:val="00ED2150"/>
    <w:rsid w:val="00ED30DF"/>
    <w:rsid w:val="00ED6372"/>
    <w:rsid w:val="00EE4BC6"/>
    <w:rsid w:val="00EE56BD"/>
    <w:rsid w:val="00EE75D7"/>
    <w:rsid w:val="00EF3C9D"/>
    <w:rsid w:val="00F013F6"/>
    <w:rsid w:val="00F06334"/>
    <w:rsid w:val="00F24AF9"/>
    <w:rsid w:val="00F27D0E"/>
    <w:rsid w:val="00F33756"/>
    <w:rsid w:val="00F34C6B"/>
    <w:rsid w:val="00F36F51"/>
    <w:rsid w:val="00F4120C"/>
    <w:rsid w:val="00F42C94"/>
    <w:rsid w:val="00F43627"/>
    <w:rsid w:val="00F50362"/>
    <w:rsid w:val="00F5175A"/>
    <w:rsid w:val="00F5645A"/>
    <w:rsid w:val="00F56DA4"/>
    <w:rsid w:val="00F619A3"/>
    <w:rsid w:val="00F63969"/>
    <w:rsid w:val="00F700B1"/>
    <w:rsid w:val="00F7028A"/>
    <w:rsid w:val="00F70E89"/>
    <w:rsid w:val="00F75A1C"/>
    <w:rsid w:val="00F769D4"/>
    <w:rsid w:val="00F82929"/>
    <w:rsid w:val="00F84821"/>
    <w:rsid w:val="00F91D2D"/>
    <w:rsid w:val="00F92844"/>
    <w:rsid w:val="00F96F76"/>
    <w:rsid w:val="00FA0E2D"/>
    <w:rsid w:val="00FA4F63"/>
    <w:rsid w:val="00FA617A"/>
    <w:rsid w:val="00FA637D"/>
    <w:rsid w:val="00FA6717"/>
    <w:rsid w:val="00FB4AB1"/>
    <w:rsid w:val="00FB58FF"/>
    <w:rsid w:val="00FB6D72"/>
    <w:rsid w:val="00FC1C50"/>
    <w:rsid w:val="00FD7A82"/>
    <w:rsid w:val="00FE0066"/>
    <w:rsid w:val="00FE1553"/>
    <w:rsid w:val="00FE2F66"/>
    <w:rsid w:val="00FE474F"/>
    <w:rsid w:val="00FE4BDD"/>
    <w:rsid w:val="00FF3BD7"/>
    <w:rsid w:val="00FF566F"/>
    <w:rsid w:val="00FF60FA"/>
    <w:rsid w:val="00FF6E0B"/>
    <w:rsid w:val="0115131B"/>
    <w:rsid w:val="01393B71"/>
    <w:rsid w:val="01451970"/>
    <w:rsid w:val="014D58C2"/>
    <w:rsid w:val="0159332C"/>
    <w:rsid w:val="01813AAA"/>
    <w:rsid w:val="019649D3"/>
    <w:rsid w:val="01B81F98"/>
    <w:rsid w:val="01D82193"/>
    <w:rsid w:val="023B604C"/>
    <w:rsid w:val="024B59EF"/>
    <w:rsid w:val="025B0F77"/>
    <w:rsid w:val="026B583F"/>
    <w:rsid w:val="02770B3C"/>
    <w:rsid w:val="028739E5"/>
    <w:rsid w:val="028C3ABD"/>
    <w:rsid w:val="034172A0"/>
    <w:rsid w:val="034B31FD"/>
    <w:rsid w:val="03862C38"/>
    <w:rsid w:val="038E36B4"/>
    <w:rsid w:val="03B1218E"/>
    <w:rsid w:val="04144EF7"/>
    <w:rsid w:val="041B7772"/>
    <w:rsid w:val="044B17E7"/>
    <w:rsid w:val="04734E01"/>
    <w:rsid w:val="048B7513"/>
    <w:rsid w:val="04952CB3"/>
    <w:rsid w:val="04F2372E"/>
    <w:rsid w:val="052C7305"/>
    <w:rsid w:val="053C2829"/>
    <w:rsid w:val="05740722"/>
    <w:rsid w:val="05B568E2"/>
    <w:rsid w:val="060A449F"/>
    <w:rsid w:val="064C5F5A"/>
    <w:rsid w:val="065A1F87"/>
    <w:rsid w:val="06A13635"/>
    <w:rsid w:val="06BA346B"/>
    <w:rsid w:val="06F21F49"/>
    <w:rsid w:val="070C60B7"/>
    <w:rsid w:val="071B201C"/>
    <w:rsid w:val="07244646"/>
    <w:rsid w:val="07362BEF"/>
    <w:rsid w:val="07601CD7"/>
    <w:rsid w:val="078F26D1"/>
    <w:rsid w:val="07904AA3"/>
    <w:rsid w:val="07AD68D1"/>
    <w:rsid w:val="07CC7DE6"/>
    <w:rsid w:val="0848689E"/>
    <w:rsid w:val="08870650"/>
    <w:rsid w:val="088965EF"/>
    <w:rsid w:val="088C503A"/>
    <w:rsid w:val="08B4188C"/>
    <w:rsid w:val="08CB2ADD"/>
    <w:rsid w:val="08CE008F"/>
    <w:rsid w:val="092A33AA"/>
    <w:rsid w:val="092D4C97"/>
    <w:rsid w:val="09346B93"/>
    <w:rsid w:val="09577ADE"/>
    <w:rsid w:val="09CD4512"/>
    <w:rsid w:val="0A017571"/>
    <w:rsid w:val="0A14374B"/>
    <w:rsid w:val="0A661610"/>
    <w:rsid w:val="0A826D5D"/>
    <w:rsid w:val="0A875395"/>
    <w:rsid w:val="0A9009E6"/>
    <w:rsid w:val="0AFB0037"/>
    <w:rsid w:val="0B1157F3"/>
    <w:rsid w:val="0B50064E"/>
    <w:rsid w:val="0B5E759C"/>
    <w:rsid w:val="0BED1444"/>
    <w:rsid w:val="0C4F5947"/>
    <w:rsid w:val="0CA91733"/>
    <w:rsid w:val="0CCD4B8E"/>
    <w:rsid w:val="0D452C96"/>
    <w:rsid w:val="0D4773B6"/>
    <w:rsid w:val="0D626BAE"/>
    <w:rsid w:val="0D6860CB"/>
    <w:rsid w:val="0D8E15C1"/>
    <w:rsid w:val="0DA82032"/>
    <w:rsid w:val="0DAF33A8"/>
    <w:rsid w:val="0DF04D08"/>
    <w:rsid w:val="0E01162D"/>
    <w:rsid w:val="0E3A4ED3"/>
    <w:rsid w:val="0E623A90"/>
    <w:rsid w:val="0E72755E"/>
    <w:rsid w:val="0E8B05DA"/>
    <w:rsid w:val="0EB119A7"/>
    <w:rsid w:val="0ECA2587"/>
    <w:rsid w:val="0EF82DCB"/>
    <w:rsid w:val="0F1512DF"/>
    <w:rsid w:val="0F226E34"/>
    <w:rsid w:val="0F256317"/>
    <w:rsid w:val="0F31706E"/>
    <w:rsid w:val="0F352D45"/>
    <w:rsid w:val="0F9018B7"/>
    <w:rsid w:val="0FC0315E"/>
    <w:rsid w:val="0FDB7B77"/>
    <w:rsid w:val="0FE05625"/>
    <w:rsid w:val="0FFE1AF1"/>
    <w:rsid w:val="10A51964"/>
    <w:rsid w:val="10CF2E2E"/>
    <w:rsid w:val="10E80264"/>
    <w:rsid w:val="10EA0DF2"/>
    <w:rsid w:val="10FC45FF"/>
    <w:rsid w:val="112047F6"/>
    <w:rsid w:val="11542028"/>
    <w:rsid w:val="11E070B4"/>
    <w:rsid w:val="11EE45FC"/>
    <w:rsid w:val="11F13A77"/>
    <w:rsid w:val="120E38D2"/>
    <w:rsid w:val="123840C9"/>
    <w:rsid w:val="124C5059"/>
    <w:rsid w:val="1294187C"/>
    <w:rsid w:val="129C2797"/>
    <w:rsid w:val="12B66128"/>
    <w:rsid w:val="12B83F1E"/>
    <w:rsid w:val="12D27BEC"/>
    <w:rsid w:val="13254F30"/>
    <w:rsid w:val="13514766"/>
    <w:rsid w:val="136D599B"/>
    <w:rsid w:val="139F1C36"/>
    <w:rsid w:val="13C847C3"/>
    <w:rsid w:val="13CB6984"/>
    <w:rsid w:val="143F51D0"/>
    <w:rsid w:val="144633BC"/>
    <w:rsid w:val="14613B33"/>
    <w:rsid w:val="148C5809"/>
    <w:rsid w:val="149E4757"/>
    <w:rsid w:val="14BD37FB"/>
    <w:rsid w:val="155B190B"/>
    <w:rsid w:val="15BF7D50"/>
    <w:rsid w:val="15DA1D43"/>
    <w:rsid w:val="15F916EF"/>
    <w:rsid w:val="160B4677"/>
    <w:rsid w:val="162829A0"/>
    <w:rsid w:val="163D21EC"/>
    <w:rsid w:val="16832508"/>
    <w:rsid w:val="16D50A48"/>
    <w:rsid w:val="1704143E"/>
    <w:rsid w:val="17A72E68"/>
    <w:rsid w:val="17BA0B08"/>
    <w:rsid w:val="17C92071"/>
    <w:rsid w:val="17ED2531"/>
    <w:rsid w:val="18104A18"/>
    <w:rsid w:val="18185F71"/>
    <w:rsid w:val="188F546D"/>
    <w:rsid w:val="18B5230D"/>
    <w:rsid w:val="18C7151D"/>
    <w:rsid w:val="19175CFE"/>
    <w:rsid w:val="191C4A58"/>
    <w:rsid w:val="1943210F"/>
    <w:rsid w:val="196D25FA"/>
    <w:rsid w:val="198F2FD2"/>
    <w:rsid w:val="19A2603D"/>
    <w:rsid w:val="19B57547"/>
    <w:rsid w:val="19B90A13"/>
    <w:rsid w:val="19DE2470"/>
    <w:rsid w:val="19E27E66"/>
    <w:rsid w:val="19ED6B46"/>
    <w:rsid w:val="1A6B762A"/>
    <w:rsid w:val="1A917D47"/>
    <w:rsid w:val="1ABC3C5A"/>
    <w:rsid w:val="1AC50A58"/>
    <w:rsid w:val="1B245A93"/>
    <w:rsid w:val="1B2653EF"/>
    <w:rsid w:val="1B385B8A"/>
    <w:rsid w:val="1B642683"/>
    <w:rsid w:val="1B9E1DD0"/>
    <w:rsid w:val="1BE45BB3"/>
    <w:rsid w:val="1C311E08"/>
    <w:rsid w:val="1C321825"/>
    <w:rsid w:val="1C4A069C"/>
    <w:rsid w:val="1C7B6309"/>
    <w:rsid w:val="1C887521"/>
    <w:rsid w:val="1C9261C5"/>
    <w:rsid w:val="1CDF5A48"/>
    <w:rsid w:val="1CE9117E"/>
    <w:rsid w:val="1CF139D8"/>
    <w:rsid w:val="1CFA2A91"/>
    <w:rsid w:val="1CFD0A7C"/>
    <w:rsid w:val="1CFE51AF"/>
    <w:rsid w:val="1D132CA0"/>
    <w:rsid w:val="1D39162D"/>
    <w:rsid w:val="1D6E3522"/>
    <w:rsid w:val="1DC64F19"/>
    <w:rsid w:val="1DFF7DDB"/>
    <w:rsid w:val="1E037A41"/>
    <w:rsid w:val="1E1E082B"/>
    <w:rsid w:val="1E526437"/>
    <w:rsid w:val="1E5610F0"/>
    <w:rsid w:val="1E6860FF"/>
    <w:rsid w:val="1E766728"/>
    <w:rsid w:val="1E8D40EC"/>
    <w:rsid w:val="1E9909AA"/>
    <w:rsid w:val="1EB03B3B"/>
    <w:rsid w:val="1ECC5E73"/>
    <w:rsid w:val="1F56289E"/>
    <w:rsid w:val="1F606764"/>
    <w:rsid w:val="1F884B54"/>
    <w:rsid w:val="1F8C78AB"/>
    <w:rsid w:val="1FBE4D2D"/>
    <w:rsid w:val="1FC97167"/>
    <w:rsid w:val="1FD10D03"/>
    <w:rsid w:val="1FE01D12"/>
    <w:rsid w:val="1FE55B40"/>
    <w:rsid w:val="1FEB2C88"/>
    <w:rsid w:val="200333AE"/>
    <w:rsid w:val="20381819"/>
    <w:rsid w:val="20411FCE"/>
    <w:rsid w:val="20414CA1"/>
    <w:rsid w:val="20475D93"/>
    <w:rsid w:val="20AB3983"/>
    <w:rsid w:val="20CD7A3D"/>
    <w:rsid w:val="20D85CA1"/>
    <w:rsid w:val="212539AB"/>
    <w:rsid w:val="214D5C56"/>
    <w:rsid w:val="217E7D47"/>
    <w:rsid w:val="218F5BBA"/>
    <w:rsid w:val="21CE6BFC"/>
    <w:rsid w:val="22243595"/>
    <w:rsid w:val="22BF5778"/>
    <w:rsid w:val="22DA6D63"/>
    <w:rsid w:val="22F95C5D"/>
    <w:rsid w:val="23145A01"/>
    <w:rsid w:val="234A19DF"/>
    <w:rsid w:val="23C7793E"/>
    <w:rsid w:val="23C90742"/>
    <w:rsid w:val="24405175"/>
    <w:rsid w:val="24476679"/>
    <w:rsid w:val="24607BD2"/>
    <w:rsid w:val="247D1A44"/>
    <w:rsid w:val="248A6F0B"/>
    <w:rsid w:val="249B4189"/>
    <w:rsid w:val="24D1264B"/>
    <w:rsid w:val="24D50BFC"/>
    <w:rsid w:val="24FA1742"/>
    <w:rsid w:val="25175258"/>
    <w:rsid w:val="251D24AC"/>
    <w:rsid w:val="255652B4"/>
    <w:rsid w:val="257D3351"/>
    <w:rsid w:val="25974067"/>
    <w:rsid w:val="25F03271"/>
    <w:rsid w:val="25F84015"/>
    <w:rsid w:val="262F3A3E"/>
    <w:rsid w:val="26526135"/>
    <w:rsid w:val="26723EA0"/>
    <w:rsid w:val="26AE5C66"/>
    <w:rsid w:val="26C848AF"/>
    <w:rsid w:val="26D31172"/>
    <w:rsid w:val="27062977"/>
    <w:rsid w:val="27571C87"/>
    <w:rsid w:val="276B1E8B"/>
    <w:rsid w:val="277108CB"/>
    <w:rsid w:val="27813637"/>
    <w:rsid w:val="27844867"/>
    <w:rsid w:val="27892169"/>
    <w:rsid w:val="27920855"/>
    <w:rsid w:val="27B4132B"/>
    <w:rsid w:val="28157C40"/>
    <w:rsid w:val="281B5375"/>
    <w:rsid w:val="2824542C"/>
    <w:rsid w:val="28372084"/>
    <w:rsid w:val="28622E06"/>
    <w:rsid w:val="286B2565"/>
    <w:rsid w:val="2879779E"/>
    <w:rsid w:val="287C6C3A"/>
    <w:rsid w:val="28886D57"/>
    <w:rsid w:val="28A705B3"/>
    <w:rsid w:val="28CA5658"/>
    <w:rsid w:val="29130A27"/>
    <w:rsid w:val="29210099"/>
    <w:rsid w:val="29220923"/>
    <w:rsid w:val="29485363"/>
    <w:rsid w:val="294D0D20"/>
    <w:rsid w:val="295C5ABC"/>
    <w:rsid w:val="29A10357"/>
    <w:rsid w:val="29D51866"/>
    <w:rsid w:val="29DD674E"/>
    <w:rsid w:val="29EB6CDD"/>
    <w:rsid w:val="29EE7698"/>
    <w:rsid w:val="29EF250D"/>
    <w:rsid w:val="29F42CFB"/>
    <w:rsid w:val="2A0862E6"/>
    <w:rsid w:val="2A470FAA"/>
    <w:rsid w:val="2A874242"/>
    <w:rsid w:val="2A901110"/>
    <w:rsid w:val="2AD91F18"/>
    <w:rsid w:val="2AF25235"/>
    <w:rsid w:val="2AF376AF"/>
    <w:rsid w:val="2B21574D"/>
    <w:rsid w:val="2B216D66"/>
    <w:rsid w:val="2B330C07"/>
    <w:rsid w:val="2B4443B7"/>
    <w:rsid w:val="2B8C7347"/>
    <w:rsid w:val="2B946EED"/>
    <w:rsid w:val="2BB136A6"/>
    <w:rsid w:val="2BC82084"/>
    <w:rsid w:val="2BD86057"/>
    <w:rsid w:val="2C073947"/>
    <w:rsid w:val="2C4F343B"/>
    <w:rsid w:val="2C67792A"/>
    <w:rsid w:val="2CB32213"/>
    <w:rsid w:val="2CB54ADF"/>
    <w:rsid w:val="2CB80CCC"/>
    <w:rsid w:val="2CD51023"/>
    <w:rsid w:val="2CF310AD"/>
    <w:rsid w:val="2D040DC1"/>
    <w:rsid w:val="2D281A9A"/>
    <w:rsid w:val="2D5013D0"/>
    <w:rsid w:val="2D6512CA"/>
    <w:rsid w:val="2E1D72D7"/>
    <w:rsid w:val="2E2C3D01"/>
    <w:rsid w:val="2E525A73"/>
    <w:rsid w:val="2EA64454"/>
    <w:rsid w:val="2ECF58EF"/>
    <w:rsid w:val="2ED607E7"/>
    <w:rsid w:val="2EF44867"/>
    <w:rsid w:val="2EF6166D"/>
    <w:rsid w:val="2F7C4D40"/>
    <w:rsid w:val="2F9C6A30"/>
    <w:rsid w:val="2FC82575"/>
    <w:rsid w:val="300D47EE"/>
    <w:rsid w:val="302B173A"/>
    <w:rsid w:val="302E220D"/>
    <w:rsid w:val="306B7794"/>
    <w:rsid w:val="30A10FF6"/>
    <w:rsid w:val="30BA5AC0"/>
    <w:rsid w:val="30E60283"/>
    <w:rsid w:val="30EA0F4A"/>
    <w:rsid w:val="310D3CC2"/>
    <w:rsid w:val="313913A9"/>
    <w:rsid w:val="31746C95"/>
    <w:rsid w:val="3176757A"/>
    <w:rsid w:val="318F5DEE"/>
    <w:rsid w:val="31E15046"/>
    <w:rsid w:val="31E1598D"/>
    <w:rsid w:val="32100829"/>
    <w:rsid w:val="32196698"/>
    <w:rsid w:val="32405F03"/>
    <w:rsid w:val="32716071"/>
    <w:rsid w:val="32C33527"/>
    <w:rsid w:val="32C67A65"/>
    <w:rsid w:val="32CD2A23"/>
    <w:rsid w:val="33106965"/>
    <w:rsid w:val="336269FF"/>
    <w:rsid w:val="33A65DCF"/>
    <w:rsid w:val="33AE2461"/>
    <w:rsid w:val="33BE5150"/>
    <w:rsid w:val="33E763F3"/>
    <w:rsid w:val="3412053D"/>
    <w:rsid w:val="34482C95"/>
    <w:rsid w:val="346678A3"/>
    <w:rsid w:val="348C1FF6"/>
    <w:rsid w:val="34A6204C"/>
    <w:rsid w:val="34AF1930"/>
    <w:rsid w:val="34CC6012"/>
    <w:rsid w:val="34E168DE"/>
    <w:rsid w:val="35306661"/>
    <w:rsid w:val="356D7C7D"/>
    <w:rsid w:val="35E05AAE"/>
    <w:rsid w:val="35E303D7"/>
    <w:rsid w:val="360959BC"/>
    <w:rsid w:val="36634751"/>
    <w:rsid w:val="36A43530"/>
    <w:rsid w:val="36C66276"/>
    <w:rsid w:val="36D63D7C"/>
    <w:rsid w:val="36DC31ED"/>
    <w:rsid w:val="36E36896"/>
    <w:rsid w:val="36E73971"/>
    <w:rsid w:val="36E972ED"/>
    <w:rsid w:val="37442F41"/>
    <w:rsid w:val="37493F6A"/>
    <w:rsid w:val="3791079A"/>
    <w:rsid w:val="37D748F2"/>
    <w:rsid w:val="382F54A4"/>
    <w:rsid w:val="383E027C"/>
    <w:rsid w:val="384B5EED"/>
    <w:rsid w:val="38621CD0"/>
    <w:rsid w:val="387A1725"/>
    <w:rsid w:val="388C4040"/>
    <w:rsid w:val="388F36C6"/>
    <w:rsid w:val="38923051"/>
    <w:rsid w:val="389C44C3"/>
    <w:rsid w:val="38A1711E"/>
    <w:rsid w:val="38B274D8"/>
    <w:rsid w:val="38B54060"/>
    <w:rsid w:val="38BB74A5"/>
    <w:rsid w:val="38C57299"/>
    <w:rsid w:val="38ED6BC0"/>
    <w:rsid w:val="39B70744"/>
    <w:rsid w:val="39F23E80"/>
    <w:rsid w:val="39F30C61"/>
    <w:rsid w:val="3A041B49"/>
    <w:rsid w:val="3A0F55A5"/>
    <w:rsid w:val="3A4F097E"/>
    <w:rsid w:val="3A7B1CFB"/>
    <w:rsid w:val="3A873175"/>
    <w:rsid w:val="3A8C65F2"/>
    <w:rsid w:val="3A9A338F"/>
    <w:rsid w:val="3AF23B2F"/>
    <w:rsid w:val="3B037B06"/>
    <w:rsid w:val="3B144472"/>
    <w:rsid w:val="3B517BFC"/>
    <w:rsid w:val="3B5B6AE1"/>
    <w:rsid w:val="3B622A0E"/>
    <w:rsid w:val="3B6A7FB0"/>
    <w:rsid w:val="3B8C7056"/>
    <w:rsid w:val="3B922130"/>
    <w:rsid w:val="3C10747F"/>
    <w:rsid w:val="3C744FEC"/>
    <w:rsid w:val="3C9B0CF0"/>
    <w:rsid w:val="3C9B6998"/>
    <w:rsid w:val="3D3217C4"/>
    <w:rsid w:val="3D565E19"/>
    <w:rsid w:val="3D634E6F"/>
    <w:rsid w:val="3D78440A"/>
    <w:rsid w:val="3D8E4EAA"/>
    <w:rsid w:val="3D912FAC"/>
    <w:rsid w:val="3DF022DD"/>
    <w:rsid w:val="3E3B7740"/>
    <w:rsid w:val="3E766BEA"/>
    <w:rsid w:val="3E8E17EB"/>
    <w:rsid w:val="3E9952A1"/>
    <w:rsid w:val="3EAE620B"/>
    <w:rsid w:val="3F007DB2"/>
    <w:rsid w:val="3F050B2F"/>
    <w:rsid w:val="3F384209"/>
    <w:rsid w:val="3F4970F3"/>
    <w:rsid w:val="3F4F67B1"/>
    <w:rsid w:val="3F6C7B7F"/>
    <w:rsid w:val="3F9D2BB8"/>
    <w:rsid w:val="3FB64604"/>
    <w:rsid w:val="3FBF609A"/>
    <w:rsid w:val="3FC10F40"/>
    <w:rsid w:val="3FD85092"/>
    <w:rsid w:val="3FE57A00"/>
    <w:rsid w:val="40072154"/>
    <w:rsid w:val="400B27A9"/>
    <w:rsid w:val="40622D52"/>
    <w:rsid w:val="40735A5A"/>
    <w:rsid w:val="40751F09"/>
    <w:rsid w:val="40EB749F"/>
    <w:rsid w:val="40F433E9"/>
    <w:rsid w:val="4120496E"/>
    <w:rsid w:val="4125590F"/>
    <w:rsid w:val="414C4489"/>
    <w:rsid w:val="418B713B"/>
    <w:rsid w:val="419F64A4"/>
    <w:rsid w:val="41E03B8B"/>
    <w:rsid w:val="41EF444F"/>
    <w:rsid w:val="420B4BF7"/>
    <w:rsid w:val="42894D66"/>
    <w:rsid w:val="429669DA"/>
    <w:rsid w:val="42BC2C5E"/>
    <w:rsid w:val="42C63105"/>
    <w:rsid w:val="42D6387C"/>
    <w:rsid w:val="42EE75EE"/>
    <w:rsid w:val="43AD6043"/>
    <w:rsid w:val="43BD7FAA"/>
    <w:rsid w:val="44451492"/>
    <w:rsid w:val="44762741"/>
    <w:rsid w:val="44E93695"/>
    <w:rsid w:val="450B1B80"/>
    <w:rsid w:val="453E5D70"/>
    <w:rsid w:val="4541013D"/>
    <w:rsid w:val="458D615F"/>
    <w:rsid w:val="459F3A4A"/>
    <w:rsid w:val="45CF6EAA"/>
    <w:rsid w:val="45E05A77"/>
    <w:rsid w:val="461131A2"/>
    <w:rsid w:val="473501ED"/>
    <w:rsid w:val="473B28B7"/>
    <w:rsid w:val="47623F9D"/>
    <w:rsid w:val="476C5FC3"/>
    <w:rsid w:val="477F61B7"/>
    <w:rsid w:val="478A61EF"/>
    <w:rsid w:val="47970092"/>
    <w:rsid w:val="47D241C3"/>
    <w:rsid w:val="4824501D"/>
    <w:rsid w:val="48653CF8"/>
    <w:rsid w:val="488B2F1F"/>
    <w:rsid w:val="48A2108A"/>
    <w:rsid w:val="48CC5108"/>
    <w:rsid w:val="48CF5A98"/>
    <w:rsid w:val="48FD337D"/>
    <w:rsid w:val="49354868"/>
    <w:rsid w:val="499C7FD1"/>
    <w:rsid w:val="4A655AF5"/>
    <w:rsid w:val="4A692455"/>
    <w:rsid w:val="4AB673B1"/>
    <w:rsid w:val="4AD928D8"/>
    <w:rsid w:val="4ADD3489"/>
    <w:rsid w:val="4B5235B5"/>
    <w:rsid w:val="4B84043E"/>
    <w:rsid w:val="4B941D86"/>
    <w:rsid w:val="4BA10349"/>
    <w:rsid w:val="4BA24089"/>
    <w:rsid w:val="4BDF4747"/>
    <w:rsid w:val="4C037D97"/>
    <w:rsid w:val="4CA94164"/>
    <w:rsid w:val="4CAE1D99"/>
    <w:rsid w:val="4CC343EB"/>
    <w:rsid w:val="4D7953E7"/>
    <w:rsid w:val="4D903C41"/>
    <w:rsid w:val="4DA46DA9"/>
    <w:rsid w:val="4DC76A97"/>
    <w:rsid w:val="4E990870"/>
    <w:rsid w:val="4E9A2DF5"/>
    <w:rsid w:val="4EA12DFD"/>
    <w:rsid w:val="4EA166BA"/>
    <w:rsid w:val="4EC35483"/>
    <w:rsid w:val="4ED6006A"/>
    <w:rsid w:val="4F16188A"/>
    <w:rsid w:val="4F184C3D"/>
    <w:rsid w:val="4F452E1D"/>
    <w:rsid w:val="4F4A3053"/>
    <w:rsid w:val="4F576C2C"/>
    <w:rsid w:val="4F5F0EA0"/>
    <w:rsid w:val="4F907069"/>
    <w:rsid w:val="4FCD241A"/>
    <w:rsid w:val="4FE97E3B"/>
    <w:rsid w:val="501F3220"/>
    <w:rsid w:val="50206A85"/>
    <w:rsid w:val="502A7555"/>
    <w:rsid w:val="50866A4B"/>
    <w:rsid w:val="50BB4459"/>
    <w:rsid w:val="50FD3C07"/>
    <w:rsid w:val="511740CA"/>
    <w:rsid w:val="51F35963"/>
    <w:rsid w:val="52193066"/>
    <w:rsid w:val="522254E6"/>
    <w:rsid w:val="52382EED"/>
    <w:rsid w:val="526A2E49"/>
    <w:rsid w:val="52725003"/>
    <w:rsid w:val="52766651"/>
    <w:rsid w:val="529334A7"/>
    <w:rsid w:val="52D07A71"/>
    <w:rsid w:val="52E275C2"/>
    <w:rsid w:val="52E30664"/>
    <w:rsid w:val="533943B2"/>
    <w:rsid w:val="53811452"/>
    <w:rsid w:val="539A08F8"/>
    <w:rsid w:val="53E41FF1"/>
    <w:rsid w:val="53F779B6"/>
    <w:rsid w:val="54192FA1"/>
    <w:rsid w:val="546F7693"/>
    <w:rsid w:val="54721C30"/>
    <w:rsid w:val="547649B7"/>
    <w:rsid w:val="548C13AB"/>
    <w:rsid w:val="54D166AD"/>
    <w:rsid w:val="54E7739C"/>
    <w:rsid w:val="551A1F2C"/>
    <w:rsid w:val="551F3ADD"/>
    <w:rsid w:val="55751470"/>
    <w:rsid w:val="55AF464C"/>
    <w:rsid w:val="55C26DB0"/>
    <w:rsid w:val="55E07638"/>
    <w:rsid w:val="55E66DDB"/>
    <w:rsid w:val="560C2A07"/>
    <w:rsid w:val="563077C6"/>
    <w:rsid w:val="563A251E"/>
    <w:rsid w:val="5651378C"/>
    <w:rsid w:val="565C1F74"/>
    <w:rsid w:val="567B6358"/>
    <w:rsid w:val="56CD0356"/>
    <w:rsid w:val="573E2C8E"/>
    <w:rsid w:val="57464959"/>
    <w:rsid w:val="575D6DFA"/>
    <w:rsid w:val="57966590"/>
    <w:rsid w:val="57A80F1F"/>
    <w:rsid w:val="57C250CD"/>
    <w:rsid w:val="57D17353"/>
    <w:rsid w:val="57EB47D7"/>
    <w:rsid w:val="58940EA6"/>
    <w:rsid w:val="58A745BD"/>
    <w:rsid w:val="58FC17D8"/>
    <w:rsid w:val="59390453"/>
    <w:rsid w:val="59412F93"/>
    <w:rsid w:val="596A753E"/>
    <w:rsid w:val="59836980"/>
    <w:rsid w:val="598D717D"/>
    <w:rsid w:val="59DB34A5"/>
    <w:rsid w:val="59F20C97"/>
    <w:rsid w:val="5A1A62BA"/>
    <w:rsid w:val="5A202D14"/>
    <w:rsid w:val="5A5E6FEE"/>
    <w:rsid w:val="5A780E60"/>
    <w:rsid w:val="5AB67BC0"/>
    <w:rsid w:val="5ABD25F5"/>
    <w:rsid w:val="5AC47F38"/>
    <w:rsid w:val="5AE3482C"/>
    <w:rsid w:val="5B110410"/>
    <w:rsid w:val="5B8D6933"/>
    <w:rsid w:val="5BAD5DB5"/>
    <w:rsid w:val="5BB44C0B"/>
    <w:rsid w:val="5C33638D"/>
    <w:rsid w:val="5C4464A4"/>
    <w:rsid w:val="5C666FAF"/>
    <w:rsid w:val="5C713B9F"/>
    <w:rsid w:val="5C945C92"/>
    <w:rsid w:val="5C96417D"/>
    <w:rsid w:val="5CA8352B"/>
    <w:rsid w:val="5CAA121A"/>
    <w:rsid w:val="5CB467A5"/>
    <w:rsid w:val="5CC16747"/>
    <w:rsid w:val="5CD17B32"/>
    <w:rsid w:val="5CED7F03"/>
    <w:rsid w:val="5D4E0D63"/>
    <w:rsid w:val="5D9064E3"/>
    <w:rsid w:val="5DA1314A"/>
    <w:rsid w:val="5DCC18DD"/>
    <w:rsid w:val="5E3B0298"/>
    <w:rsid w:val="5E547B2C"/>
    <w:rsid w:val="5F006B77"/>
    <w:rsid w:val="5F0D17D1"/>
    <w:rsid w:val="5F122B0D"/>
    <w:rsid w:val="5F3673C4"/>
    <w:rsid w:val="5F4D5752"/>
    <w:rsid w:val="5F711E6C"/>
    <w:rsid w:val="5F9E2966"/>
    <w:rsid w:val="5FA117C6"/>
    <w:rsid w:val="5FC75223"/>
    <w:rsid w:val="5FCC0E64"/>
    <w:rsid w:val="5FCC2EBA"/>
    <w:rsid w:val="5FDF588C"/>
    <w:rsid w:val="5FE404A3"/>
    <w:rsid w:val="601A2EBA"/>
    <w:rsid w:val="603D58F4"/>
    <w:rsid w:val="60644EBB"/>
    <w:rsid w:val="6072616B"/>
    <w:rsid w:val="60893661"/>
    <w:rsid w:val="609453AD"/>
    <w:rsid w:val="60CB4552"/>
    <w:rsid w:val="60E52D9E"/>
    <w:rsid w:val="60EE376F"/>
    <w:rsid w:val="6118431B"/>
    <w:rsid w:val="611C3B9A"/>
    <w:rsid w:val="613B6DE6"/>
    <w:rsid w:val="6176003A"/>
    <w:rsid w:val="617C7665"/>
    <w:rsid w:val="61A2606A"/>
    <w:rsid w:val="61EA3517"/>
    <w:rsid w:val="61F34E34"/>
    <w:rsid w:val="61FB0E28"/>
    <w:rsid w:val="625859ED"/>
    <w:rsid w:val="63091660"/>
    <w:rsid w:val="630D6C77"/>
    <w:rsid w:val="637F0CC9"/>
    <w:rsid w:val="639D432A"/>
    <w:rsid w:val="63AA00CE"/>
    <w:rsid w:val="63AC1A31"/>
    <w:rsid w:val="64637862"/>
    <w:rsid w:val="647743EC"/>
    <w:rsid w:val="64931174"/>
    <w:rsid w:val="64982879"/>
    <w:rsid w:val="64D0514B"/>
    <w:rsid w:val="64D61CC2"/>
    <w:rsid w:val="64F81356"/>
    <w:rsid w:val="65090347"/>
    <w:rsid w:val="65116D11"/>
    <w:rsid w:val="65143E54"/>
    <w:rsid w:val="651B0FA8"/>
    <w:rsid w:val="651B7001"/>
    <w:rsid w:val="651E0213"/>
    <w:rsid w:val="6538132E"/>
    <w:rsid w:val="654229A8"/>
    <w:rsid w:val="65577B31"/>
    <w:rsid w:val="65D228A5"/>
    <w:rsid w:val="65D8322D"/>
    <w:rsid w:val="661F281A"/>
    <w:rsid w:val="665F0915"/>
    <w:rsid w:val="669811DF"/>
    <w:rsid w:val="669B03C2"/>
    <w:rsid w:val="669E20D0"/>
    <w:rsid w:val="66AB21A4"/>
    <w:rsid w:val="66D478D1"/>
    <w:rsid w:val="670A7CEA"/>
    <w:rsid w:val="672B33F4"/>
    <w:rsid w:val="672F7A3B"/>
    <w:rsid w:val="6765510A"/>
    <w:rsid w:val="676807F4"/>
    <w:rsid w:val="677700BB"/>
    <w:rsid w:val="67900CA7"/>
    <w:rsid w:val="67916247"/>
    <w:rsid w:val="679166C8"/>
    <w:rsid w:val="67B92AF5"/>
    <w:rsid w:val="67F764AE"/>
    <w:rsid w:val="6808075C"/>
    <w:rsid w:val="685D6012"/>
    <w:rsid w:val="68BE4EAA"/>
    <w:rsid w:val="68BF7818"/>
    <w:rsid w:val="68E43F16"/>
    <w:rsid w:val="69192C19"/>
    <w:rsid w:val="69224D70"/>
    <w:rsid w:val="69763FA3"/>
    <w:rsid w:val="697C3AD9"/>
    <w:rsid w:val="69DB133C"/>
    <w:rsid w:val="6A2E778E"/>
    <w:rsid w:val="6A396658"/>
    <w:rsid w:val="6A7E5DCC"/>
    <w:rsid w:val="6AA449A0"/>
    <w:rsid w:val="6ADC5EB8"/>
    <w:rsid w:val="6BB822C0"/>
    <w:rsid w:val="6BEC234B"/>
    <w:rsid w:val="6BF24D4D"/>
    <w:rsid w:val="6C060192"/>
    <w:rsid w:val="6C0A4383"/>
    <w:rsid w:val="6C286326"/>
    <w:rsid w:val="6D0903F9"/>
    <w:rsid w:val="6D657763"/>
    <w:rsid w:val="6D970019"/>
    <w:rsid w:val="6DCC7B1B"/>
    <w:rsid w:val="6DDC138F"/>
    <w:rsid w:val="6DDD105B"/>
    <w:rsid w:val="6DDF4F64"/>
    <w:rsid w:val="6DE547A4"/>
    <w:rsid w:val="6DED2DB3"/>
    <w:rsid w:val="6E116410"/>
    <w:rsid w:val="6E272B41"/>
    <w:rsid w:val="6E540848"/>
    <w:rsid w:val="6E743A34"/>
    <w:rsid w:val="6E762F66"/>
    <w:rsid w:val="6EDA75F6"/>
    <w:rsid w:val="6F345300"/>
    <w:rsid w:val="6F376CB0"/>
    <w:rsid w:val="6F3B13A9"/>
    <w:rsid w:val="6F58017B"/>
    <w:rsid w:val="6F8C55C2"/>
    <w:rsid w:val="70133765"/>
    <w:rsid w:val="707C4C46"/>
    <w:rsid w:val="708719FA"/>
    <w:rsid w:val="70AB511A"/>
    <w:rsid w:val="70B5611C"/>
    <w:rsid w:val="71382996"/>
    <w:rsid w:val="717D50F2"/>
    <w:rsid w:val="71EC2DF4"/>
    <w:rsid w:val="71F010C5"/>
    <w:rsid w:val="71F80774"/>
    <w:rsid w:val="722605DA"/>
    <w:rsid w:val="72346B14"/>
    <w:rsid w:val="723B732C"/>
    <w:rsid w:val="72456A8C"/>
    <w:rsid w:val="724645D5"/>
    <w:rsid w:val="7257481F"/>
    <w:rsid w:val="726222EF"/>
    <w:rsid w:val="72645038"/>
    <w:rsid w:val="727F150A"/>
    <w:rsid w:val="72AA268A"/>
    <w:rsid w:val="72BB2028"/>
    <w:rsid w:val="72BD4453"/>
    <w:rsid w:val="72E24FC8"/>
    <w:rsid w:val="72E43286"/>
    <w:rsid w:val="72F9784C"/>
    <w:rsid w:val="734C2308"/>
    <w:rsid w:val="736035B8"/>
    <w:rsid w:val="73A86BFD"/>
    <w:rsid w:val="73C6039E"/>
    <w:rsid w:val="73CC2843"/>
    <w:rsid w:val="74465535"/>
    <w:rsid w:val="74C13C71"/>
    <w:rsid w:val="750003AD"/>
    <w:rsid w:val="75051E92"/>
    <w:rsid w:val="751B5276"/>
    <w:rsid w:val="751F6CE6"/>
    <w:rsid w:val="754360E2"/>
    <w:rsid w:val="75455030"/>
    <w:rsid w:val="757B0BF0"/>
    <w:rsid w:val="7585471D"/>
    <w:rsid w:val="75B67DE5"/>
    <w:rsid w:val="75EE293E"/>
    <w:rsid w:val="75F20FBA"/>
    <w:rsid w:val="761D362F"/>
    <w:rsid w:val="76546942"/>
    <w:rsid w:val="765D5115"/>
    <w:rsid w:val="768A2321"/>
    <w:rsid w:val="76906275"/>
    <w:rsid w:val="76C10112"/>
    <w:rsid w:val="76EB40B7"/>
    <w:rsid w:val="76FF7967"/>
    <w:rsid w:val="774D4842"/>
    <w:rsid w:val="776C0423"/>
    <w:rsid w:val="776C7498"/>
    <w:rsid w:val="77814A0A"/>
    <w:rsid w:val="77A31806"/>
    <w:rsid w:val="77F175D1"/>
    <w:rsid w:val="780249E8"/>
    <w:rsid w:val="78104FA2"/>
    <w:rsid w:val="78256105"/>
    <w:rsid w:val="78542E38"/>
    <w:rsid w:val="787142DD"/>
    <w:rsid w:val="78985F3D"/>
    <w:rsid w:val="79004A91"/>
    <w:rsid w:val="79325F08"/>
    <w:rsid w:val="79BC0A44"/>
    <w:rsid w:val="79EA549E"/>
    <w:rsid w:val="79EC31CA"/>
    <w:rsid w:val="79F605B8"/>
    <w:rsid w:val="79F61EB2"/>
    <w:rsid w:val="7A0E76C4"/>
    <w:rsid w:val="7A115B00"/>
    <w:rsid w:val="7A350B7E"/>
    <w:rsid w:val="7A5A4D3B"/>
    <w:rsid w:val="7A737AD4"/>
    <w:rsid w:val="7A7C2D1A"/>
    <w:rsid w:val="7A964349"/>
    <w:rsid w:val="7AC450B7"/>
    <w:rsid w:val="7ADB720F"/>
    <w:rsid w:val="7B141557"/>
    <w:rsid w:val="7B5C27F8"/>
    <w:rsid w:val="7B790DE1"/>
    <w:rsid w:val="7BB35E60"/>
    <w:rsid w:val="7C2C2D2D"/>
    <w:rsid w:val="7C816BF4"/>
    <w:rsid w:val="7CCC1ED0"/>
    <w:rsid w:val="7D276F00"/>
    <w:rsid w:val="7D7C58C3"/>
    <w:rsid w:val="7D894643"/>
    <w:rsid w:val="7DB976CA"/>
    <w:rsid w:val="7DE94AE5"/>
    <w:rsid w:val="7DF44DB3"/>
    <w:rsid w:val="7E080A34"/>
    <w:rsid w:val="7E271FAB"/>
    <w:rsid w:val="7E3B567F"/>
    <w:rsid w:val="7EC17485"/>
    <w:rsid w:val="7EFF4A83"/>
    <w:rsid w:val="7F210833"/>
    <w:rsid w:val="7F4027DF"/>
    <w:rsid w:val="7F9775B9"/>
    <w:rsid w:val="7FA94856"/>
    <w:rsid w:val="7FB12A57"/>
    <w:rsid w:val="7FC4122B"/>
    <w:rsid w:val="7FCD5D98"/>
    <w:rsid w:val="7FD472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567"/>
    </w:pPr>
    <w:rPr>
      <w:sz w:val="28"/>
    </w:rPr>
  </w:style>
  <w:style w:type="paragraph" w:styleId="7">
    <w:name w:val="annotation text"/>
    <w:basedOn w:val="1"/>
    <w:link w:val="38"/>
    <w:qFormat/>
    <w:uiPriority w:val="0"/>
    <w:pPr>
      <w:jc w:val="left"/>
    </w:pPr>
  </w:style>
  <w:style w:type="paragraph" w:styleId="8">
    <w:name w:val="Salutation"/>
    <w:basedOn w:val="1"/>
    <w:next w:val="1"/>
    <w:link w:val="47"/>
    <w:qFormat/>
    <w:uiPriority w:val="0"/>
    <w:rPr>
      <w:rFonts w:ascii="仿宋_GB2312" w:eastAsia="仿宋_GB2312"/>
      <w:sz w:val="28"/>
      <w:szCs w:val="28"/>
    </w:rPr>
  </w:style>
  <w:style w:type="paragraph" w:styleId="9">
    <w:name w:val="Body Text"/>
    <w:basedOn w:val="1"/>
    <w:qFormat/>
    <w:uiPriority w:val="0"/>
    <w:rPr>
      <w:rFonts w:hint="eastAsia" w:ascii="仿宋_GB2312" w:eastAsia="仿宋_GB2312"/>
      <w:sz w:val="28"/>
      <w:szCs w:val="20"/>
    </w:rPr>
  </w:style>
  <w:style w:type="paragraph" w:styleId="10">
    <w:name w:val="Body Text Indent"/>
    <w:basedOn w:val="1"/>
    <w:qFormat/>
    <w:uiPriority w:val="0"/>
    <w:pPr>
      <w:ind w:left="1050"/>
    </w:pPr>
    <w:rPr>
      <w:szCs w:val="20"/>
    </w:rPr>
  </w:style>
  <w:style w:type="paragraph" w:styleId="11">
    <w:name w:val="Plain Text"/>
    <w:basedOn w:val="1"/>
    <w:qFormat/>
    <w:uiPriority w:val="0"/>
    <w:rPr>
      <w:rFonts w:ascii="宋体" w:hAnsi="Courier New"/>
      <w:sz w:val="21"/>
    </w:rPr>
  </w:style>
  <w:style w:type="paragraph" w:styleId="12">
    <w:name w:val="Date"/>
    <w:basedOn w:val="1"/>
    <w:next w:val="1"/>
    <w:qFormat/>
    <w:uiPriority w:val="0"/>
    <w:pPr>
      <w:ind w:left="100" w:leftChars="25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Subtitle"/>
    <w:basedOn w:val="1"/>
    <w:next w:val="1"/>
    <w:qFormat/>
    <w:uiPriority w:val="0"/>
    <w:pPr>
      <w:spacing w:before="240" w:beforeLines="0" w:after="60" w:afterLines="0" w:line="312" w:lineRule="auto"/>
      <w:jc w:val="center"/>
      <w:outlineLvl w:val="1"/>
    </w:pPr>
    <w:rPr>
      <w:rFonts w:ascii="Cambria" w:hAnsi="Cambria" w:eastAsia="宋体" w:cs="Times New Roman"/>
      <w:b/>
      <w:bCs/>
      <w:kern w:val="28"/>
      <w:sz w:val="32"/>
      <w:szCs w:val="32"/>
    </w:rPr>
  </w:style>
  <w:style w:type="paragraph" w:styleId="18">
    <w:name w:val="footnote text"/>
    <w:basedOn w:val="1"/>
    <w:link w:val="35"/>
    <w:qFormat/>
    <w:uiPriority w:val="0"/>
    <w:pPr>
      <w:snapToGrid w:val="0"/>
      <w:jc w:val="left"/>
    </w:pPr>
    <w:rPr>
      <w:sz w:val="18"/>
      <w:szCs w:val="18"/>
    </w:rPr>
  </w:style>
  <w:style w:type="paragraph" w:styleId="19">
    <w:name w:val="toc 2"/>
    <w:basedOn w:val="1"/>
    <w:next w:val="1"/>
    <w:qFormat/>
    <w:uiPriority w:val="39"/>
    <w:pPr>
      <w:tabs>
        <w:tab w:val="right" w:leader="dot" w:pos="9890"/>
      </w:tabs>
      <w:spacing w:line="360" w:lineRule="auto"/>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18"/>
      <w:szCs w:val="18"/>
    </w:rPr>
  </w:style>
  <w:style w:type="paragraph" w:styleId="2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2">
    <w:name w:val="annotation subject"/>
    <w:basedOn w:val="7"/>
    <w:next w:val="7"/>
    <w:link w:val="45"/>
    <w:qFormat/>
    <w:uiPriority w:val="0"/>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99"/>
    <w:rPr>
      <w:color w:val="0000FF"/>
      <w:u w:val="single"/>
    </w:rPr>
  </w:style>
  <w:style w:type="character" w:styleId="28">
    <w:name w:val="annotation reference"/>
    <w:qFormat/>
    <w:uiPriority w:val="0"/>
    <w:rPr>
      <w:sz w:val="21"/>
      <w:szCs w:val="21"/>
    </w:rPr>
  </w:style>
  <w:style w:type="character" w:styleId="29">
    <w:name w:val="footnote reference"/>
    <w:qFormat/>
    <w:uiPriority w:val="0"/>
    <w:rPr>
      <w:vertAlign w:val="superscript"/>
    </w:rPr>
  </w:style>
  <w:style w:type="paragraph" w:customStyle="1" w:styleId="30">
    <w:name w:val="报告正文 Char Char Char"/>
    <w:basedOn w:val="1"/>
    <w:qFormat/>
    <w:uiPriority w:val="0"/>
    <w:pPr>
      <w:adjustRightInd w:val="0"/>
      <w:snapToGrid w:val="0"/>
      <w:spacing w:line="336" w:lineRule="auto"/>
      <w:ind w:left="2603"/>
    </w:pPr>
    <w:rPr>
      <w:rFonts w:ascii="华文细黑" w:eastAsia="华文细黑" w:cs="宋体"/>
      <w:sz w:val="22"/>
      <w:szCs w:val="20"/>
    </w:rPr>
  </w:style>
  <w:style w:type="paragraph" w:customStyle="1" w:styleId="31">
    <w:name w:val="先河正文"/>
    <w:basedOn w:val="1"/>
    <w:qFormat/>
    <w:uiPriority w:val="0"/>
    <w:pPr>
      <w:ind w:firstLine="550" w:firstLineChars="200"/>
    </w:pPr>
    <w:rPr>
      <w:sz w:val="28"/>
      <w:lang w:bidi="he-IL"/>
    </w:rPr>
  </w:style>
  <w:style w:type="paragraph" w:customStyle="1" w:styleId="32">
    <w:name w:val="列出段落1"/>
    <w:basedOn w:val="1"/>
    <w:qFormat/>
    <w:uiPriority w:val="34"/>
    <w:pPr>
      <w:ind w:firstLine="420" w:firstLineChars="200"/>
    </w:pPr>
    <w:rPr>
      <w:rFonts w:ascii="Calibri" w:hAnsi="Calibri" w:eastAsia="宋体" w:cs="Times New Roman"/>
      <w:szCs w:val="22"/>
    </w:rPr>
  </w:style>
  <w:style w:type="paragraph" w:customStyle="1" w:styleId="33">
    <w:name w:val="zw"/>
    <w:basedOn w:val="1"/>
    <w:qFormat/>
    <w:uiPriority w:val="0"/>
    <w:pPr>
      <w:autoSpaceDE w:val="0"/>
      <w:autoSpaceDN w:val="0"/>
      <w:adjustRightInd w:val="0"/>
      <w:spacing w:line="360" w:lineRule="auto"/>
      <w:ind w:firstLine="482"/>
      <w:textAlignment w:val="bottom"/>
    </w:pPr>
    <w:rPr>
      <w:rFonts w:ascii="Arial Narrow" w:hAnsi="Arial Narrow" w:eastAsia="仿宋_GB2312"/>
      <w:kern w:val="0"/>
      <w:sz w:val="24"/>
      <w:szCs w:val="20"/>
    </w:rPr>
  </w:style>
  <w:style w:type="character" w:customStyle="1" w:styleId="34">
    <w:name w:val="font21"/>
    <w:qFormat/>
    <w:uiPriority w:val="0"/>
    <w:rPr>
      <w:rFonts w:hint="eastAsia" w:ascii="宋体" w:hAnsi="宋体" w:eastAsia="宋体" w:cs="宋体"/>
      <w:color w:val="000000"/>
      <w:sz w:val="22"/>
      <w:szCs w:val="22"/>
      <w:u w:val="none"/>
    </w:rPr>
  </w:style>
  <w:style w:type="character" w:customStyle="1" w:styleId="35">
    <w:name w:val="脚注文本 字符"/>
    <w:link w:val="18"/>
    <w:qFormat/>
    <w:uiPriority w:val="0"/>
    <w:rPr>
      <w:kern w:val="2"/>
      <w:sz w:val="18"/>
      <w:szCs w:val="18"/>
    </w:rPr>
  </w:style>
  <w:style w:type="character" w:customStyle="1" w:styleId="36">
    <w:name w:val="font71"/>
    <w:qFormat/>
    <w:uiPriority w:val="0"/>
    <w:rPr>
      <w:rFonts w:hint="eastAsia" w:ascii="宋体" w:hAnsi="宋体" w:eastAsia="宋体" w:cs="宋体"/>
      <w:color w:val="000000"/>
      <w:sz w:val="24"/>
      <w:szCs w:val="24"/>
      <w:u w:val="none"/>
    </w:rPr>
  </w:style>
  <w:style w:type="character" w:customStyle="1" w:styleId="37">
    <w:name w:val="font11"/>
    <w:basedOn w:val="25"/>
    <w:qFormat/>
    <w:uiPriority w:val="0"/>
    <w:rPr>
      <w:rFonts w:hint="eastAsia" w:ascii="仿宋" w:hAnsi="仿宋" w:eastAsia="仿宋" w:cs="仿宋"/>
      <w:color w:val="000000"/>
      <w:sz w:val="24"/>
      <w:szCs w:val="24"/>
      <w:u w:val="none"/>
      <w:vertAlign w:val="superscript"/>
    </w:rPr>
  </w:style>
  <w:style w:type="character" w:customStyle="1" w:styleId="38">
    <w:name w:val="批注文字 字符"/>
    <w:link w:val="7"/>
    <w:qFormat/>
    <w:uiPriority w:val="0"/>
    <w:rPr>
      <w:kern w:val="2"/>
      <w:sz w:val="21"/>
      <w:szCs w:val="24"/>
    </w:rPr>
  </w:style>
  <w:style w:type="character" w:customStyle="1" w:styleId="39">
    <w:name w:val="font41"/>
    <w:qFormat/>
    <w:uiPriority w:val="0"/>
    <w:rPr>
      <w:rFonts w:hint="default" w:ascii="Times New Roman" w:hAnsi="Times New Roman" w:cs="Times New Roman"/>
      <w:color w:val="000000"/>
      <w:sz w:val="22"/>
      <w:szCs w:val="22"/>
      <w:u w:val="none"/>
    </w:rPr>
  </w:style>
  <w:style w:type="character" w:customStyle="1" w:styleId="40">
    <w:name w:val="font51"/>
    <w:basedOn w:val="25"/>
    <w:qFormat/>
    <w:uiPriority w:val="0"/>
    <w:rPr>
      <w:rFonts w:hint="eastAsia" w:ascii="仿宋" w:hAnsi="仿宋" w:eastAsia="仿宋" w:cs="仿宋"/>
      <w:color w:val="000000"/>
      <w:sz w:val="24"/>
      <w:szCs w:val="24"/>
      <w:u w:val="none"/>
    </w:rPr>
  </w:style>
  <w:style w:type="character" w:customStyle="1" w:styleId="41">
    <w:name w:val="font131"/>
    <w:qFormat/>
    <w:uiPriority w:val="0"/>
    <w:rPr>
      <w:rFonts w:hint="default" w:ascii="Times New Roman" w:hAnsi="Times New Roman" w:cs="Times New Roman"/>
      <w:color w:val="000000"/>
      <w:sz w:val="22"/>
      <w:szCs w:val="22"/>
      <w:u w:val="none"/>
    </w:rPr>
  </w:style>
  <w:style w:type="character" w:customStyle="1" w:styleId="42">
    <w:name w:val="font81"/>
    <w:qFormat/>
    <w:uiPriority w:val="0"/>
    <w:rPr>
      <w:rFonts w:hint="default" w:ascii="Times New Roman" w:hAnsi="Times New Roman" w:cs="Times New Roman"/>
      <w:color w:val="000000"/>
      <w:sz w:val="24"/>
      <w:szCs w:val="24"/>
      <w:u w:val="none"/>
    </w:rPr>
  </w:style>
  <w:style w:type="character" w:customStyle="1" w:styleId="43">
    <w:name w:val="font31"/>
    <w:qFormat/>
    <w:uiPriority w:val="0"/>
    <w:rPr>
      <w:rFonts w:hint="default" w:ascii="Times New Roman" w:hAnsi="Times New Roman" w:cs="Times New Roman"/>
      <w:color w:val="000000"/>
      <w:sz w:val="24"/>
      <w:szCs w:val="24"/>
      <w:u w:val="none"/>
    </w:rPr>
  </w:style>
  <w:style w:type="character" w:customStyle="1" w:styleId="44">
    <w:name w:val="font61"/>
    <w:qFormat/>
    <w:uiPriority w:val="0"/>
    <w:rPr>
      <w:rFonts w:hint="eastAsia" w:ascii="黑体" w:hAnsi="宋体" w:eastAsia="黑体" w:cs="黑体"/>
      <w:color w:val="000000"/>
      <w:sz w:val="40"/>
      <w:szCs w:val="40"/>
      <w:u w:val="none"/>
    </w:rPr>
  </w:style>
  <w:style w:type="character" w:customStyle="1" w:styleId="45">
    <w:name w:val="批注主题 字符"/>
    <w:link w:val="22"/>
    <w:qFormat/>
    <w:uiPriority w:val="0"/>
    <w:rPr>
      <w:b/>
      <w:bCs/>
      <w:kern w:val="2"/>
      <w:sz w:val="21"/>
      <w:szCs w:val="24"/>
    </w:rPr>
  </w:style>
  <w:style w:type="character" w:customStyle="1" w:styleId="46">
    <w:name w:val="font01"/>
    <w:basedOn w:val="25"/>
    <w:qFormat/>
    <w:uiPriority w:val="0"/>
    <w:rPr>
      <w:rFonts w:hint="eastAsia" w:ascii="楷体" w:hAnsi="楷体" w:eastAsia="楷体" w:cs="楷体"/>
      <w:color w:val="000000"/>
      <w:sz w:val="20"/>
      <w:szCs w:val="20"/>
      <w:u w:val="none"/>
      <w:vertAlign w:val="superscript"/>
    </w:rPr>
  </w:style>
  <w:style w:type="character" w:customStyle="1" w:styleId="47">
    <w:name w:val="称呼 字符"/>
    <w:link w:val="8"/>
    <w:qFormat/>
    <w:uiPriority w:val="0"/>
    <w:rPr>
      <w:rFonts w:ascii="仿宋_GB2312" w:eastAsia="仿宋_GB2312"/>
      <w:kern w:val="2"/>
      <w:sz w:val="28"/>
      <w:szCs w:val="28"/>
      <w:lang w:bidi="ar-SA"/>
    </w:rPr>
  </w:style>
  <w:style w:type="character" w:customStyle="1" w:styleId="48">
    <w:name w:val="font91"/>
    <w:basedOn w:val="25"/>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2.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103"/>
    <customShpInfo spid="_x0000_s4104"/>
    <customShpInfo spid="_x0000_s4097"/>
    <customShpInfo spid="_x0000_s4098"/>
    <customShpInfo spid="_x0000_s1026" textRotate="1"/>
    <customShpInfo spid="_x0000_s4105"/>
    <customShpInfo spid="_x0000_s410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41850</Words>
  <Characters>49678</Characters>
  <Lines>49</Lines>
  <Paragraphs>13</Paragraphs>
  <TotalTime>1</TotalTime>
  <ScaleCrop>false</ScaleCrop>
  <LinksUpToDate>false</LinksUpToDate>
  <CharactersWithSpaces>50283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2014-04-24T09:17:00Z</dcterms:created>
  <dc:creator>雨林木风</dc:creator>
  <cp:lastModifiedBy>〃o渐℡</cp:lastModifiedBy>
  <cp:lastPrinted>2022-10-16T08:02:00Z</cp:lastPrinted>
  <dcterms:modified xsi:type="dcterms:W3CDTF">2022-11-04T08:42:34Z</dcterms:modified>
  <dc:title>中国注册资产评估师声明</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505B46DC30AF402DAD33591BA624F3CC</vt:lpwstr>
  </property>
</Properties>
</file>