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00" w:lineRule="exact"/>
        <w:jc w:val="center"/>
        <w:rPr>
          <w:rFonts w:ascii="Times New Roman" w:hAnsi="Times New Roman" w:eastAsia="宋体"/>
          <w:sz w:val="28"/>
          <w:szCs w:val="28"/>
        </w:rPr>
      </w:pPr>
    </w:p>
    <w:p>
      <w:pPr>
        <w:spacing w:line="500" w:lineRule="exact"/>
        <w:jc w:val="center"/>
        <w:rPr>
          <w:rFonts w:ascii="Times New Roman" w:hAnsi="Times New Roman" w:eastAsia="宋体"/>
          <w:sz w:val="28"/>
          <w:szCs w:val="28"/>
        </w:rPr>
      </w:pPr>
    </w:p>
    <w:p>
      <w:pPr>
        <w:spacing w:line="500" w:lineRule="exact"/>
        <w:jc w:val="center"/>
        <w:rPr>
          <w:rFonts w:ascii="Times New Roman" w:hAnsi="Times New Roman" w:eastAsia="宋体"/>
          <w:sz w:val="28"/>
          <w:szCs w:val="28"/>
        </w:rPr>
      </w:pPr>
    </w:p>
    <w:p>
      <w:pPr>
        <w:spacing w:line="500" w:lineRule="exact"/>
        <w:jc w:val="center"/>
        <w:rPr>
          <w:rFonts w:ascii="Times New Roman" w:hAnsi="Times New Roman" w:eastAsia="宋体"/>
          <w:b/>
          <w:sz w:val="48"/>
          <w:szCs w:val="48"/>
        </w:rPr>
      </w:pPr>
      <w:r>
        <w:rPr>
          <w:rFonts w:ascii="Times New Roman" w:hAnsi="Times New Roman" w:eastAsia="宋体"/>
          <w:b/>
          <w:sz w:val="48"/>
          <w:szCs w:val="48"/>
        </w:rPr>
        <w:t>涉执房地产处置司法评估报告</w:t>
      </w:r>
    </w:p>
    <w:p>
      <w:pPr>
        <w:spacing w:line="500" w:lineRule="exact"/>
        <w:rPr>
          <w:rFonts w:ascii="Times New Roman" w:hAnsi="Times New Roman" w:eastAsia="宋体"/>
          <w:kern w:val="0"/>
          <w:sz w:val="24"/>
        </w:rPr>
      </w:pPr>
      <w:r>
        <w:rPr>
          <w:rFonts w:ascii="Times New Roman" w:hAnsi="Times New Roman" w:eastAsia="宋体"/>
          <w:sz w:val="32"/>
          <w:szCs w:val="32"/>
        </w:rPr>
        <w:t xml:space="preserve">                              </w:t>
      </w:r>
      <w:r>
        <w:rPr>
          <w:rFonts w:ascii="Times New Roman" w:hAnsi="Times New Roman" w:eastAsia="宋体"/>
          <w:kern w:val="0"/>
          <w:sz w:val="24"/>
        </w:rPr>
        <w:t xml:space="preserve"> </w:t>
      </w: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p>
      <w:pPr>
        <w:spacing w:line="500" w:lineRule="exact"/>
        <w:rPr>
          <w:rFonts w:ascii="Times New Roman" w:hAnsi="Times New Roman" w:eastAsia="宋体"/>
          <w:kern w:val="0"/>
          <w:sz w:val="24"/>
        </w:rPr>
      </w:pPr>
    </w:p>
    <w:tbl>
      <w:tblPr>
        <w:tblStyle w:val="20"/>
        <w:tblW w:w="5000" w:type="pct"/>
        <w:tblInd w:w="0" w:type="dxa"/>
        <w:tblLayout w:type="fixed"/>
        <w:tblCellMar>
          <w:top w:w="0" w:type="dxa"/>
          <w:left w:w="108" w:type="dxa"/>
          <w:bottom w:w="0" w:type="dxa"/>
          <w:right w:w="108" w:type="dxa"/>
        </w:tblCellMar>
      </w:tblPr>
      <w:tblGrid>
        <w:gridCol w:w="3825"/>
        <w:gridCol w:w="6028"/>
      </w:tblGrid>
      <w:tr>
        <w:tblPrEx>
          <w:tblCellMar>
            <w:top w:w="0" w:type="dxa"/>
            <w:left w:w="108" w:type="dxa"/>
            <w:bottom w:w="0" w:type="dxa"/>
            <w:right w:w="108" w:type="dxa"/>
          </w:tblCellMar>
        </w:tblPrEx>
        <w:tc>
          <w:tcPr>
            <w:tcW w:w="1941" w:type="pct"/>
          </w:tcPr>
          <w:p>
            <w:pPr>
              <w:tabs>
                <w:tab w:val="left" w:pos="540"/>
              </w:tabs>
              <w:spacing w:line="600" w:lineRule="exact"/>
              <w:rPr>
                <w:rFonts w:ascii="Times New Roman" w:hAnsi="Times New Roman" w:eastAsia="宋体"/>
                <w:sz w:val="28"/>
                <w:szCs w:val="28"/>
              </w:rPr>
            </w:pPr>
            <w:r>
              <w:rPr>
                <w:rFonts w:ascii="Times New Roman" w:hAnsi="Times New Roman" w:eastAsia="宋体"/>
                <w:b/>
                <w:spacing w:val="107"/>
                <w:kern w:val="0"/>
                <w:sz w:val="32"/>
                <w:szCs w:val="32"/>
                <w:fitText w:val="3531" w:id="-2044467710"/>
              </w:rPr>
              <w:t>估价项目名称</w:t>
            </w:r>
            <w:r>
              <w:rPr>
                <w:rFonts w:ascii="Times New Roman" w:hAnsi="Times New Roman" w:eastAsia="宋体"/>
                <w:b/>
                <w:spacing w:val="3"/>
                <w:kern w:val="0"/>
                <w:sz w:val="32"/>
                <w:szCs w:val="32"/>
                <w:fitText w:val="3531" w:id="-2044467710"/>
              </w:rPr>
              <w:t>：</w:t>
            </w:r>
            <w:r>
              <w:rPr>
                <w:rFonts w:ascii="Times New Roman" w:hAnsi="Times New Roman" w:eastAsia="宋体"/>
                <w:sz w:val="28"/>
                <w:szCs w:val="28"/>
              </w:rPr>
              <w:t xml:space="preserve"> </w:t>
            </w:r>
          </w:p>
        </w:tc>
        <w:tc>
          <w:tcPr>
            <w:tcW w:w="3058" w:type="pct"/>
          </w:tcPr>
          <w:p>
            <w:pPr>
              <w:tabs>
                <w:tab w:val="left" w:pos="540"/>
              </w:tabs>
              <w:spacing w:line="600" w:lineRule="exact"/>
              <w:rPr>
                <w:rFonts w:ascii="Times New Roman" w:hAnsi="Times New Roman" w:eastAsia="宋体"/>
                <w:b/>
                <w:sz w:val="32"/>
                <w:szCs w:val="32"/>
              </w:rPr>
            </w:pPr>
            <w:r>
              <w:rPr>
                <w:rFonts w:ascii="Times New Roman" w:hAnsi="Times New Roman" w:eastAsia="宋体"/>
                <w:sz w:val="32"/>
                <w:szCs w:val="32"/>
              </w:rPr>
              <w:t>贵州省贵阳市云岩区市北路148号保利•云山国际10号</w:t>
            </w:r>
            <w:r>
              <w:rPr>
                <w:rFonts w:hint="eastAsia"/>
                <w:sz w:val="32"/>
                <w:szCs w:val="32"/>
                <w:lang w:val="en-US" w:eastAsia="zh-CN"/>
              </w:rPr>
              <w:t>楼</w:t>
            </w:r>
            <w:r>
              <w:rPr>
                <w:rFonts w:ascii="Times New Roman" w:hAnsi="Times New Roman" w:eastAsia="宋体"/>
                <w:sz w:val="32"/>
                <w:szCs w:val="32"/>
              </w:rPr>
              <w:t>2单元21层5号住宅房地产的市场价值评估</w:t>
            </w:r>
          </w:p>
        </w:tc>
      </w:tr>
      <w:tr>
        <w:tblPrEx>
          <w:tblCellMar>
            <w:top w:w="0" w:type="dxa"/>
            <w:left w:w="108" w:type="dxa"/>
            <w:bottom w:w="0" w:type="dxa"/>
            <w:right w:w="108" w:type="dxa"/>
          </w:tblCellMar>
        </w:tblPrEx>
        <w:tc>
          <w:tcPr>
            <w:tcW w:w="1941" w:type="pct"/>
          </w:tcPr>
          <w:p>
            <w:pPr>
              <w:tabs>
                <w:tab w:val="left" w:pos="540"/>
              </w:tabs>
              <w:spacing w:line="600" w:lineRule="exact"/>
              <w:rPr>
                <w:rFonts w:ascii="Times New Roman" w:hAnsi="Times New Roman" w:eastAsia="宋体"/>
                <w:sz w:val="32"/>
                <w:szCs w:val="32"/>
              </w:rPr>
            </w:pPr>
            <w:r>
              <w:rPr>
                <w:rFonts w:ascii="Times New Roman" w:hAnsi="Times New Roman" w:eastAsia="宋体"/>
                <w:b/>
                <w:spacing w:val="161"/>
                <w:kern w:val="0"/>
                <w:sz w:val="32"/>
                <w:szCs w:val="32"/>
                <w:fitText w:val="3531" w:id="-2044467710"/>
              </w:rPr>
              <w:t>估价委托人</w:t>
            </w:r>
            <w:r>
              <w:rPr>
                <w:rFonts w:ascii="Times New Roman" w:hAnsi="Times New Roman" w:eastAsia="宋体"/>
                <w:b/>
                <w:spacing w:val="0"/>
                <w:kern w:val="0"/>
                <w:sz w:val="32"/>
                <w:szCs w:val="32"/>
                <w:fitText w:val="3531" w:id="-2044467710"/>
              </w:rPr>
              <w:t>：</w:t>
            </w:r>
          </w:p>
        </w:tc>
        <w:tc>
          <w:tcPr>
            <w:tcW w:w="3058" w:type="pct"/>
          </w:tcPr>
          <w:p>
            <w:pPr>
              <w:tabs>
                <w:tab w:val="left" w:pos="540"/>
                <w:tab w:val="left" w:pos="2880"/>
              </w:tabs>
              <w:spacing w:line="600" w:lineRule="exact"/>
              <w:jc w:val="left"/>
              <w:rPr>
                <w:rFonts w:ascii="Times New Roman" w:hAnsi="Times New Roman" w:eastAsia="宋体"/>
                <w:sz w:val="32"/>
                <w:szCs w:val="32"/>
              </w:rPr>
            </w:pPr>
            <w:r>
              <w:rPr>
                <w:rFonts w:ascii="Times New Roman" w:hAnsi="Times New Roman" w:eastAsia="宋体"/>
                <w:sz w:val="32"/>
                <w:szCs w:val="32"/>
              </w:rPr>
              <w:t>清镇市人民法院</w:t>
            </w:r>
          </w:p>
        </w:tc>
      </w:tr>
      <w:tr>
        <w:tblPrEx>
          <w:tblCellMar>
            <w:top w:w="0" w:type="dxa"/>
            <w:left w:w="108" w:type="dxa"/>
            <w:bottom w:w="0" w:type="dxa"/>
            <w:right w:w="108" w:type="dxa"/>
          </w:tblCellMar>
        </w:tblPrEx>
        <w:trPr>
          <w:trHeight w:val="617" w:hRule="atLeast"/>
        </w:trPr>
        <w:tc>
          <w:tcPr>
            <w:tcW w:w="1941" w:type="pct"/>
          </w:tcPr>
          <w:p>
            <w:pPr>
              <w:tabs>
                <w:tab w:val="left" w:pos="540"/>
              </w:tabs>
              <w:spacing w:line="600" w:lineRule="exact"/>
              <w:rPr>
                <w:rFonts w:ascii="Times New Roman" w:hAnsi="Times New Roman" w:eastAsia="宋体"/>
                <w:b/>
                <w:sz w:val="32"/>
                <w:szCs w:val="32"/>
              </w:rPr>
            </w:pPr>
            <w:r>
              <w:rPr>
                <w:rFonts w:ascii="Times New Roman" w:hAnsi="Times New Roman" w:eastAsia="宋体"/>
                <w:b/>
                <w:spacing w:val="69"/>
                <w:kern w:val="0"/>
                <w:sz w:val="32"/>
                <w:szCs w:val="32"/>
                <w:fitText w:val="3531" w:id="-2044467710"/>
              </w:rPr>
              <w:t>房地产估价机构</w:t>
            </w:r>
            <w:r>
              <w:rPr>
                <w:rFonts w:ascii="Times New Roman" w:hAnsi="Times New Roman" w:eastAsia="宋体"/>
                <w:b/>
                <w:spacing w:val="2"/>
                <w:kern w:val="0"/>
                <w:sz w:val="32"/>
                <w:szCs w:val="32"/>
                <w:fitText w:val="3531" w:id="-2044467710"/>
              </w:rPr>
              <w:t>：</w:t>
            </w:r>
          </w:p>
        </w:tc>
        <w:tc>
          <w:tcPr>
            <w:tcW w:w="3058" w:type="pct"/>
          </w:tcPr>
          <w:p>
            <w:pPr>
              <w:tabs>
                <w:tab w:val="left" w:pos="540"/>
              </w:tabs>
              <w:spacing w:line="600" w:lineRule="exact"/>
              <w:jc w:val="left"/>
              <w:rPr>
                <w:rFonts w:ascii="Times New Roman" w:hAnsi="Times New Roman" w:eastAsia="宋体"/>
                <w:b/>
                <w:sz w:val="32"/>
                <w:szCs w:val="32"/>
              </w:rPr>
            </w:pPr>
            <w:r>
              <w:rPr>
                <w:rFonts w:ascii="Times New Roman" w:hAnsi="Times New Roman" w:eastAsia="宋体"/>
                <w:sz w:val="32"/>
                <w:szCs w:val="32"/>
              </w:rPr>
              <w:t>贵州桑立房地产资产评估有限公司</w:t>
            </w:r>
          </w:p>
        </w:tc>
      </w:tr>
      <w:tr>
        <w:tblPrEx>
          <w:tblCellMar>
            <w:top w:w="0" w:type="dxa"/>
            <w:left w:w="108" w:type="dxa"/>
            <w:bottom w:w="0" w:type="dxa"/>
            <w:right w:w="108" w:type="dxa"/>
          </w:tblCellMar>
        </w:tblPrEx>
        <w:tc>
          <w:tcPr>
            <w:tcW w:w="1941" w:type="pct"/>
          </w:tcPr>
          <w:p>
            <w:pPr>
              <w:tabs>
                <w:tab w:val="left" w:pos="540"/>
              </w:tabs>
              <w:spacing w:line="600" w:lineRule="exact"/>
              <w:rPr>
                <w:rFonts w:ascii="Times New Roman" w:hAnsi="Times New Roman" w:eastAsia="宋体"/>
                <w:sz w:val="32"/>
                <w:szCs w:val="32"/>
              </w:rPr>
            </w:pPr>
            <w:r>
              <w:rPr>
                <w:rFonts w:ascii="Times New Roman" w:hAnsi="Times New Roman" w:eastAsia="宋体"/>
                <w:b/>
                <w:spacing w:val="40"/>
                <w:kern w:val="0"/>
                <w:sz w:val="32"/>
                <w:szCs w:val="32"/>
                <w:fitText w:val="3531" w:id="-2044467710"/>
              </w:rPr>
              <w:t>注册房地产估价师</w:t>
            </w:r>
            <w:r>
              <w:rPr>
                <w:rFonts w:ascii="Times New Roman" w:hAnsi="Times New Roman" w:eastAsia="宋体"/>
                <w:b/>
                <w:spacing w:val="5"/>
                <w:kern w:val="0"/>
                <w:sz w:val="32"/>
                <w:szCs w:val="32"/>
                <w:fitText w:val="3531" w:id="-2044467710"/>
              </w:rPr>
              <w:t>：</w:t>
            </w:r>
          </w:p>
        </w:tc>
        <w:tc>
          <w:tcPr>
            <w:tcW w:w="3058" w:type="pct"/>
          </w:tcPr>
          <w:p>
            <w:pPr>
              <w:tabs>
                <w:tab w:val="left" w:pos="540"/>
              </w:tabs>
              <w:spacing w:line="600" w:lineRule="exact"/>
              <w:jc w:val="left"/>
              <w:rPr>
                <w:rFonts w:ascii="Times New Roman" w:hAnsi="Times New Roman" w:eastAsia="宋体"/>
                <w:color w:val="000000"/>
                <w:sz w:val="32"/>
                <w:szCs w:val="32"/>
              </w:rPr>
            </w:pPr>
            <w:r>
              <w:rPr>
                <w:rFonts w:ascii="Times New Roman" w:hAnsi="Times New Roman" w:eastAsia="宋体"/>
                <w:color w:val="000000"/>
                <w:sz w:val="32"/>
                <w:szCs w:val="32"/>
              </w:rPr>
              <w:t>苟恩奎（注册号：5220120009）</w:t>
            </w:r>
          </w:p>
          <w:p>
            <w:pPr>
              <w:tabs>
                <w:tab w:val="left" w:pos="540"/>
              </w:tabs>
              <w:spacing w:line="600" w:lineRule="exact"/>
              <w:jc w:val="left"/>
              <w:rPr>
                <w:rFonts w:ascii="Times New Roman" w:hAnsi="Times New Roman" w:eastAsia="宋体"/>
                <w:b/>
                <w:i/>
                <w:iCs/>
                <w:color w:val="C00000"/>
                <w:spacing w:val="14"/>
                <w:sz w:val="24"/>
              </w:rPr>
            </w:pPr>
            <w:r>
              <w:rPr>
                <w:rFonts w:ascii="Times New Roman" w:hAnsi="Times New Roman" w:eastAsia="宋体"/>
                <w:color w:val="000000"/>
                <w:sz w:val="32"/>
                <w:szCs w:val="32"/>
              </w:rPr>
              <w:t>綦伶俐（注册号：5220200070）</w:t>
            </w:r>
          </w:p>
        </w:tc>
      </w:tr>
      <w:tr>
        <w:tblPrEx>
          <w:tblCellMar>
            <w:top w:w="0" w:type="dxa"/>
            <w:left w:w="108" w:type="dxa"/>
            <w:bottom w:w="0" w:type="dxa"/>
            <w:right w:w="108" w:type="dxa"/>
          </w:tblCellMar>
        </w:tblPrEx>
        <w:tc>
          <w:tcPr>
            <w:tcW w:w="1941" w:type="pct"/>
          </w:tcPr>
          <w:p>
            <w:pPr>
              <w:tabs>
                <w:tab w:val="left" w:pos="540"/>
              </w:tabs>
              <w:spacing w:line="600" w:lineRule="exact"/>
              <w:rPr>
                <w:rFonts w:ascii="Times New Roman" w:hAnsi="Times New Roman" w:eastAsia="宋体"/>
                <w:b/>
                <w:sz w:val="32"/>
                <w:szCs w:val="32"/>
              </w:rPr>
            </w:pPr>
            <w:r>
              <w:rPr>
                <w:rFonts w:ascii="Times New Roman" w:hAnsi="Times New Roman" w:eastAsia="宋体"/>
                <w:b/>
                <w:spacing w:val="40"/>
                <w:kern w:val="0"/>
                <w:sz w:val="32"/>
                <w:szCs w:val="32"/>
                <w:fitText w:val="3531" w:id="-2044467710"/>
              </w:rPr>
              <w:t>估价报告出具日期</w:t>
            </w:r>
            <w:r>
              <w:rPr>
                <w:rFonts w:ascii="Times New Roman" w:hAnsi="Times New Roman" w:eastAsia="宋体"/>
                <w:b/>
                <w:spacing w:val="5"/>
                <w:kern w:val="0"/>
                <w:sz w:val="32"/>
                <w:szCs w:val="32"/>
                <w:fitText w:val="3531" w:id="-2044467710"/>
              </w:rPr>
              <w:t>：</w:t>
            </w:r>
            <w:r>
              <w:rPr>
                <w:rFonts w:ascii="Times New Roman" w:hAnsi="Times New Roman" w:eastAsia="宋体"/>
                <w:sz w:val="32"/>
                <w:szCs w:val="32"/>
              </w:rPr>
              <w:t xml:space="preserve"> </w:t>
            </w:r>
          </w:p>
        </w:tc>
        <w:tc>
          <w:tcPr>
            <w:tcW w:w="3058" w:type="pct"/>
          </w:tcPr>
          <w:p>
            <w:pPr>
              <w:tabs>
                <w:tab w:val="left" w:pos="540"/>
              </w:tabs>
              <w:spacing w:line="600" w:lineRule="exact"/>
              <w:jc w:val="left"/>
              <w:rPr>
                <w:rFonts w:ascii="Times New Roman" w:hAnsi="Times New Roman" w:eastAsia="宋体"/>
                <w:sz w:val="32"/>
                <w:szCs w:val="32"/>
              </w:rPr>
            </w:pPr>
            <w:r>
              <w:rPr>
                <w:rFonts w:ascii="Times New Roman" w:hAnsi="Times New Roman" w:eastAsia="宋体"/>
                <w:sz w:val="32"/>
                <w:szCs w:val="32"/>
              </w:rPr>
              <w:t>二〇二一年七月二十三日</w:t>
            </w:r>
          </w:p>
        </w:tc>
      </w:tr>
      <w:tr>
        <w:tblPrEx>
          <w:tblCellMar>
            <w:top w:w="0" w:type="dxa"/>
            <w:left w:w="108" w:type="dxa"/>
            <w:bottom w:w="0" w:type="dxa"/>
            <w:right w:w="108" w:type="dxa"/>
          </w:tblCellMar>
        </w:tblPrEx>
        <w:tc>
          <w:tcPr>
            <w:tcW w:w="1941" w:type="pct"/>
          </w:tcPr>
          <w:p>
            <w:pPr>
              <w:tabs>
                <w:tab w:val="left" w:pos="540"/>
              </w:tabs>
              <w:spacing w:line="600" w:lineRule="exact"/>
              <w:rPr>
                <w:rFonts w:ascii="Times New Roman" w:hAnsi="Times New Roman" w:eastAsia="宋体"/>
                <w:sz w:val="32"/>
                <w:szCs w:val="32"/>
              </w:rPr>
            </w:pPr>
            <w:r>
              <w:rPr>
                <w:rFonts w:ascii="Times New Roman" w:hAnsi="Times New Roman" w:eastAsia="宋体"/>
                <w:b/>
                <w:spacing w:val="107"/>
                <w:kern w:val="0"/>
                <w:sz w:val="32"/>
                <w:szCs w:val="32"/>
                <w:fitText w:val="3531" w:id="-2044467710"/>
              </w:rPr>
              <w:t>估价报告编号</w:t>
            </w:r>
            <w:r>
              <w:rPr>
                <w:rFonts w:ascii="Times New Roman" w:hAnsi="Times New Roman" w:eastAsia="宋体"/>
                <w:b/>
                <w:spacing w:val="3"/>
                <w:kern w:val="0"/>
                <w:sz w:val="32"/>
                <w:szCs w:val="32"/>
                <w:fitText w:val="3531" w:id="-2044467710"/>
              </w:rPr>
              <w:t>：</w:t>
            </w:r>
          </w:p>
        </w:tc>
        <w:tc>
          <w:tcPr>
            <w:tcW w:w="3058" w:type="pct"/>
          </w:tcPr>
          <w:p>
            <w:pPr>
              <w:tabs>
                <w:tab w:val="left" w:pos="540"/>
                <w:tab w:val="left" w:pos="2520"/>
              </w:tabs>
              <w:spacing w:line="500" w:lineRule="exact"/>
              <w:jc w:val="left"/>
              <w:rPr>
                <w:rFonts w:ascii="Times New Roman" w:hAnsi="Times New Roman" w:eastAsia="宋体"/>
                <w:b/>
                <w:sz w:val="32"/>
                <w:szCs w:val="32"/>
              </w:rPr>
            </w:pPr>
            <w:r>
              <w:rPr>
                <w:rFonts w:ascii="Times New Roman" w:hAnsi="Times New Roman" w:eastAsia="宋体"/>
                <w:spacing w:val="24"/>
                <w:kern w:val="10"/>
                <w:sz w:val="32"/>
                <w:szCs w:val="32"/>
              </w:rPr>
              <w:t>黔桑立房鉴字【2021】第0706号</w:t>
            </w:r>
          </w:p>
        </w:tc>
      </w:tr>
    </w:tbl>
    <w:p>
      <w:pPr>
        <w:tabs>
          <w:tab w:val="center" w:pos="4818"/>
          <w:tab w:val="left" w:pos="7350"/>
          <w:tab w:val="left" w:pos="8190"/>
          <w:tab w:val="left" w:pos="8820"/>
        </w:tabs>
        <w:spacing w:before="468" w:beforeLines="150" w:line="500" w:lineRule="exact"/>
        <w:jc w:val="left"/>
        <w:outlineLvl w:val="0"/>
        <w:rPr>
          <w:rFonts w:ascii="Times New Roman" w:hAnsi="Times New Roman" w:eastAsia="宋体"/>
          <w:b/>
          <w:sz w:val="44"/>
          <w:szCs w:val="44"/>
        </w:rPr>
      </w:pPr>
      <w:bookmarkStart w:id="0" w:name="_Toc396396766"/>
      <w:bookmarkStart w:id="1" w:name="_Toc432490535"/>
      <w:bookmarkStart w:id="2" w:name="_Toc65065885"/>
      <w:bookmarkStart w:id="3" w:name="_Toc432574962"/>
      <w:bookmarkStart w:id="4" w:name="_Toc47874168"/>
      <w:r>
        <w:rPr>
          <w:rFonts w:ascii="Times New Roman" w:hAnsi="Times New Roman" w:eastAsia="宋体"/>
          <w:b/>
          <w:sz w:val="44"/>
          <w:szCs w:val="44"/>
        </w:rPr>
        <w:tab/>
      </w:r>
      <w:r>
        <w:rPr>
          <w:rFonts w:ascii="Times New Roman" w:hAnsi="Times New Roman" w:eastAsia="宋体"/>
          <w:b/>
          <w:sz w:val="44"/>
          <w:szCs w:val="44"/>
        </w:rPr>
        <w:t>致估价委托人函</w:t>
      </w:r>
      <w:bookmarkEnd w:id="0"/>
      <w:bookmarkEnd w:id="1"/>
      <w:bookmarkEnd w:id="2"/>
      <w:bookmarkEnd w:id="3"/>
      <w:bookmarkEnd w:id="4"/>
      <w:r>
        <w:rPr>
          <w:rFonts w:ascii="Times New Roman" w:hAnsi="Times New Roman" w:eastAsia="宋体"/>
          <w:b/>
          <w:sz w:val="44"/>
          <w:szCs w:val="44"/>
        </w:rPr>
        <w:tab/>
      </w:r>
      <w:r>
        <w:rPr>
          <w:rFonts w:ascii="Times New Roman" w:hAnsi="Times New Roman" w:eastAsia="宋体"/>
          <w:b/>
          <w:sz w:val="44"/>
          <w:szCs w:val="44"/>
        </w:rPr>
        <w:tab/>
      </w:r>
      <w:r>
        <w:rPr>
          <w:rFonts w:ascii="Times New Roman" w:hAnsi="Times New Roman" w:eastAsia="宋体"/>
          <w:b/>
          <w:sz w:val="44"/>
          <w:szCs w:val="44"/>
        </w:rPr>
        <w:tab/>
      </w:r>
    </w:p>
    <w:p>
      <w:pPr>
        <w:spacing w:line="500" w:lineRule="exact"/>
        <w:rPr>
          <w:rFonts w:ascii="Times New Roman" w:hAnsi="Times New Roman" w:eastAsia="宋体"/>
          <w:sz w:val="28"/>
          <w:szCs w:val="28"/>
        </w:rPr>
      </w:pPr>
      <w:r>
        <w:rPr>
          <w:rFonts w:ascii="Times New Roman" w:hAnsi="Times New Roman" w:eastAsia="宋体"/>
          <w:sz w:val="28"/>
          <w:szCs w:val="28"/>
        </w:rPr>
        <w:t>清镇市人民法院：</w:t>
      </w:r>
    </w:p>
    <w:p>
      <w:pPr>
        <w:spacing w:line="500" w:lineRule="exact"/>
        <w:ind w:firstLine="560" w:firstLineChars="200"/>
        <w:rPr>
          <w:rFonts w:ascii="Times New Roman" w:hAnsi="Times New Roman" w:eastAsia="宋体"/>
          <w:i/>
          <w:iCs/>
          <w:color w:val="C00000"/>
          <w:sz w:val="28"/>
          <w:szCs w:val="28"/>
        </w:rPr>
      </w:pPr>
      <w:r>
        <w:rPr>
          <w:rFonts w:ascii="Times New Roman" w:hAnsi="Times New Roman" w:eastAsia="宋体"/>
          <w:sz w:val="28"/>
          <w:szCs w:val="28"/>
        </w:rPr>
        <w:t>受贵院委托，贵院在执行贵阳市清镇黔中泉小额贷款股份有限公司与杨智辉借款合同纠纷一案中，需对位于贵州省贵阳市云岩区市北路148号保利•云山国际10号</w:t>
      </w:r>
      <w:r>
        <w:rPr>
          <w:rFonts w:hint="eastAsia"/>
          <w:sz w:val="28"/>
          <w:szCs w:val="28"/>
          <w:lang w:val="en-US" w:eastAsia="zh-CN"/>
        </w:rPr>
        <w:t>楼</w:t>
      </w:r>
      <w:r>
        <w:rPr>
          <w:rFonts w:ascii="Times New Roman" w:hAnsi="Times New Roman" w:eastAsia="宋体"/>
          <w:sz w:val="28"/>
          <w:szCs w:val="28"/>
        </w:rPr>
        <w:t>2单元21层5号住宅房地产的市场价值进行评估，现将有关内容报告如下：</w:t>
      </w:r>
    </w:p>
    <w:p>
      <w:pPr>
        <w:tabs>
          <w:tab w:val="left" w:pos="210"/>
          <w:tab w:val="left" w:pos="630"/>
        </w:tabs>
        <w:spacing w:line="460" w:lineRule="exact"/>
        <w:ind w:left="-4" w:leftChars="-2" w:firstLine="560" w:firstLineChars="200"/>
        <w:jc w:val="left"/>
        <w:outlineLvl w:val="1"/>
        <w:rPr>
          <w:rFonts w:ascii="Times New Roman" w:hAnsi="Times New Roman" w:eastAsia="宋体"/>
          <w:b/>
          <w:bCs/>
          <w:sz w:val="28"/>
          <w:szCs w:val="28"/>
        </w:rPr>
      </w:pPr>
      <w:bookmarkStart w:id="5" w:name="_Toc47874169"/>
      <w:bookmarkStart w:id="6" w:name="_Toc65065886"/>
      <w:r>
        <w:rPr>
          <w:rFonts w:ascii="Times New Roman" w:hAnsi="Times New Roman" w:eastAsia="宋体"/>
          <w:b/>
          <w:bCs/>
          <w:sz w:val="28"/>
          <w:szCs w:val="28"/>
        </w:rPr>
        <w:t>一、估价目的</w:t>
      </w:r>
      <w:bookmarkEnd w:id="5"/>
      <w:bookmarkEnd w:id="6"/>
    </w:p>
    <w:p>
      <w:pPr>
        <w:tabs>
          <w:tab w:val="left" w:pos="210"/>
          <w:tab w:val="left" w:pos="630"/>
        </w:tabs>
        <w:spacing w:line="460" w:lineRule="exact"/>
        <w:ind w:left="-4" w:leftChars="-2" w:firstLine="560" w:firstLineChars="200"/>
        <w:jc w:val="left"/>
        <w:rPr>
          <w:rFonts w:ascii="Times New Roman" w:hAnsi="Times New Roman" w:eastAsia="宋体"/>
          <w:bCs/>
          <w:sz w:val="28"/>
          <w:szCs w:val="28"/>
        </w:rPr>
      </w:pPr>
      <w:r>
        <w:rPr>
          <w:rFonts w:ascii="Times New Roman" w:hAnsi="Times New Roman" w:eastAsia="宋体"/>
          <w:sz w:val="28"/>
          <w:szCs w:val="28"/>
        </w:rPr>
        <w:t>为人民法院确定财产处置参考价提供参考依据。</w:t>
      </w:r>
    </w:p>
    <w:p>
      <w:pPr>
        <w:tabs>
          <w:tab w:val="left" w:pos="210"/>
          <w:tab w:val="left" w:pos="630"/>
        </w:tabs>
        <w:spacing w:line="460" w:lineRule="exact"/>
        <w:ind w:firstLine="560" w:firstLineChars="200"/>
        <w:jc w:val="left"/>
        <w:outlineLvl w:val="1"/>
        <w:rPr>
          <w:rFonts w:ascii="Times New Roman" w:hAnsi="Times New Roman" w:eastAsia="宋体"/>
          <w:b/>
          <w:bCs/>
          <w:sz w:val="28"/>
          <w:szCs w:val="28"/>
        </w:rPr>
      </w:pPr>
      <w:bookmarkStart w:id="7" w:name="_Toc65065887"/>
      <w:bookmarkStart w:id="8" w:name="_Toc47874170"/>
      <w:r>
        <w:rPr>
          <w:rFonts w:ascii="Times New Roman" w:hAnsi="Times New Roman" w:eastAsia="宋体"/>
          <w:b/>
          <w:bCs/>
          <w:sz w:val="28"/>
          <w:szCs w:val="28"/>
        </w:rPr>
        <w:t>二、估价对象</w:t>
      </w:r>
      <w:bookmarkEnd w:id="7"/>
      <w:bookmarkEnd w:id="8"/>
    </w:p>
    <w:tbl>
      <w:tblPr>
        <w:tblStyle w:val="20"/>
        <w:tblpPr w:leftFromText="180" w:rightFromText="180" w:vertAnchor="text" w:tblpY="1"/>
        <w:tblOverlap w:val="never"/>
        <w:tblW w:w="0" w:type="dxa"/>
        <w:tblInd w:w="0" w:type="dxa"/>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Layout w:type="autofit"/>
        <w:tblCellMar>
          <w:top w:w="0" w:type="dxa"/>
          <w:left w:w="108" w:type="dxa"/>
          <w:bottom w:w="0" w:type="dxa"/>
          <w:right w:w="108" w:type="dxa"/>
        </w:tblCellMar>
      </w:tblPr>
      <w:tblGrid>
        <w:gridCol w:w="4776"/>
      </w:tblGrid>
      <w:tr>
        <w:tblPrEx>
          <w:tblBorders>
            <w:top w:val="dashSmallGap" w:color="auto" w:sz="4" w:space="0"/>
            <w:left w:val="dashSmallGap" w:color="auto" w:sz="4" w:space="0"/>
            <w:bottom w:val="dashSmallGap" w:color="auto" w:sz="4" w:space="0"/>
            <w:right w:val="dashSmallGap" w:color="auto" w:sz="4"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4535" w:type="dxa"/>
          </w:tcPr>
          <w:p>
            <w:pPr>
              <w:rPr>
                <w:rFonts w:ascii="Times New Roman" w:hAnsi="Times New Roman" w:eastAsia="宋体"/>
                <w:sz w:val="28"/>
                <w:szCs w:val="28"/>
              </w:rPr>
            </w:pPr>
            <w:r>
              <w:rPr>
                <w:rFonts w:ascii="Times New Roman" w:hAnsi="Times New Roman" w:eastAsia="宋体"/>
                <w:sz w:val="28"/>
                <w:szCs w:val="28"/>
              </w:rPr>
              <mc:AlternateContent>
                <mc:Choice Requires="wpg">
                  <w:drawing>
                    <wp:anchor distT="0" distB="0" distL="114300" distR="114300" simplePos="0" relativeHeight="251659264" behindDoc="0" locked="0" layoutInCell="1" allowOverlap="1">
                      <wp:simplePos x="0" y="0"/>
                      <wp:positionH relativeFrom="column">
                        <wp:posOffset>1020445</wp:posOffset>
                      </wp:positionH>
                      <wp:positionV relativeFrom="paragraph">
                        <wp:posOffset>558800</wp:posOffset>
                      </wp:positionV>
                      <wp:extent cx="792480" cy="640080"/>
                      <wp:effectExtent l="0" t="0" r="26670" b="26670"/>
                      <wp:wrapNone/>
                      <wp:docPr id="36" name="组合 256"/>
                      <wp:cNvGraphicFramePr/>
                      <a:graphic xmlns:a="http://schemas.openxmlformats.org/drawingml/2006/main">
                        <a:graphicData uri="http://schemas.microsoft.com/office/word/2010/wordprocessingGroup">
                          <wpg:wgp>
                            <wpg:cNvGrpSpPr/>
                            <wpg:grpSpPr>
                              <a:xfrm>
                                <a:off x="0" y="0"/>
                                <a:ext cx="792480" cy="640080"/>
                                <a:chOff x="5452" y="6650"/>
                                <a:chExt cx="1248" cy="1008"/>
                              </a:xfrm>
                            </wpg:grpSpPr>
                            <wps:wsp>
                              <wps:cNvPr id="37" name="自选图形 254"/>
                              <wps:cNvSpPr>
                                <a:spLocks noChangeArrowheads="1"/>
                              </wps:cNvSpPr>
                              <wps:spPr bwMode="auto">
                                <a:xfrm>
                                  <a:off x="5452" y="6650"/>
                                  <a:ext cx="1248" cy="506"/>
                                </a:xfrm>
                                <a:prstGeom prst="wedgeRectCallout">
                                  <a:avLst>
                                    <a:gd name="adj1" fmla="val -35898"/>
                                    <a:gd name="adj2" fmla="val 113634"/>
                                  </a:avLst>
                                </a:prstGeom>
                                <a:solidFill>
                                  <a:srgbClr val="FFFFFF"/>
                                </a:solidFill>
                                <a:ln w="9525">
                                  <a:solidFill>
                                    <a:srgbClr val="2F5496"/>
                                  </a:solidFill>
                                  <a:miter lim="800000"/>
                                </a:ln>
                              </wps:spPr>
                              <wps:txbx>
                                <w:txbxContent>
                                  <w:p>
                                    <w:pPr>
                                      <w:rPr>
                                        <w:b/>
                                        <w:bCs/>
                                        <w:color w:val="FF0000"/>
                                      </w:rPr>
                                    </w:pPr>
                                    <w:r>
                                      <w:rPr>
                                        <w:rFonts w:hint="eastAsia"/>
                                        <w:b/>
                                        <w:bCs/>
                                        <w:color w:val="FF0000"/>
                                      </w:rPr>
                                      <w:t>估价对象</w:t>
                                    </w:r>
                                  </w:p>
                                </w:txbxContent>
                              </wps:txbx>
                              <wps:bodyPr rot="0" vert="horz" wrap="square" lIns="91440" tIns="45720" rIns="91440" bIns="45720" anchor="t" anchorCtr="0" upright="1">
                                <a:noAutofit/>
                              </wps:bodyPr>
                            </wps:wsp>
                            <wps:wsp>
                              <wps:cNvPr id="38" name="椭圆 255"/>
                              <wps:cNvSpPr>
                                <a:spLocks noChangeArrowheads="1"/>
                              </wps:cNvSpPr>
                              <wps:spPr bwMode="auto">
                                <a:xfrm>
                                  <a:off x="5554" y="7502"/>
                                  <a:ext cx="156" cy="156"/>
                                </a:xfrm>
                                <a:prstGeom prst="ellipse">
                                  <a:avLst/>
                                </a:prstGeom>
                                <a:solidFill>
                                  <a:srgbClr val="FF0000"/>
                                </a:solidFill>
                                <a:ln w="9525">
                                  <a:solidFill>
                                    <a:srgbClr val="2F5496"/>
                                  </a:solidFill>
                                  <a:round/>
                                </a:ln>
                              </wps:spPr>
                              <wps:bodyPr rot="0" vert="horz" wrap="square" lIns="91440" tIns="45720" rIns="91440" bIns="45720" anchor="t" anchorCtr="0" upright="1">
                                <a:noAutofit/>
                              </wps:bodyPr>
                            </wps:wsp>
                          </wpg:wgp>
                        </a:graphicData>
                      </a:graphic>
                    </wp:anchor>
                  </w:drawing>
                </mc:Choice>
                <mc:Fallback>
                  <w:pict>
                    <v:group id="组合 256" o:spid="_x0000_s1026" o:spt="203" style="position:absolute;left:0pt;margin-left:80.35pt;margin-top:44pt;height:50.4pt;width:62.4pt;z-index:251659264;mso-width-relative:page;mso-height-relative:page;" coordorigin="5452,6650" coordsize="1248,1008" o:gfxdata="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W8NfdgAAAAKAQAADwAAAAAAAAABACAAAAAiAAAAZHJzL2Rvd25yZXYueG1sUEsBAhQAFAAA&#10;AAgAh07iQJ7H7cJFAwAAnQgAAA4AAAAAAAAAAQAgAAAAJwEAAGRycy9lMm9Eb2MueG1sUEsFBgAA&#10;AAAGAAYAWQEAAN4GAAAAAA==&#10;">
                      <o:lock v:ext="edit" aspectratio="f"/>
                      <v:shape id="自选图形 254" o:spid="_x0000_s1026" o:spt="61" type="#_x0000_t61" style="position:absolute;left:5452;top:6650;height:506;width:1248;" fillcolor="#FFFFFF" filled="t" stroked="t" coordsize="21600,21600" o:gfxdata="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I5J74A&#10;AADbAAAADwAAAAAAAAABACAAAAAiAAAAZHJzL2Rvd25yZXYueG1sUEsBAhQAFAAAAAgAh07iQDMv&#10;BZ47AAAAOQAAABAAAAAAAAAAAQAgAAAADQEAAGRycy9zaGFwZXhtbC54bWxQSwUGAAAAAAYABgBb&#10;AQAAtwMAAAAA&#10;" adj="3046,35345">
                        <v:fill on="t" focussize="0,0"/>
                        <v:stroke color="#2F5496" miterlimit="8" joinstyle="miter"/>
                        <v:imagedata o:title=""/>
                        <o:lock v:ext="edit" aspectratio="f"/>
                        <v:textbox>
                          <w:txbxContent>
                            <w:p>
                              <w:pPr>
                                <w:rPr>
                                  <w:b/>
                                  <w:bCs/>
                                  <w:color w:val="FF0000"/>
                                </w:rPr>
                              </w:pPr>
                              <w:r>
                                <w:rPr>
                                  <w:rFonts w:hint="eastAsia"/>
                                  <w:b/>
                                  <w:bCs/>
                                  <w:color w:val="FF0000"/>
                                </w:rPr>
                                <w:t>估价对象</w:t>
                              </w:r>
                            </w:p>
                          </w:txbxContent>
                        </v:textbox>
                      </v:shape>
                      <v:shape id="椭圆 255" o:spid="_x0000_s1026" o:spt="3" type="#_x0000_t3" style="position:absolute;left:5554;top:7502;height:156;width:156;" fillcolor="#FF0000" filled="t" stroked="t" coordsize="21600,21600" o:gfxdata="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tDr4A&#10;AADbAAAADwAAAAAAAAABACAAAAAiAAAAZHJzL2Rvd25yZXYueG1sUEsBAhQAFAAAAAgAh07iQDMv&#10;BZ47AAAAOQAAABAAAAAAAAAAAQAgAAAADQEAAGRycy9zaGFwZXhtbC54bWxQSwUGAAAAAAYABgBb&#10;AQAAtwMAAAAA&#10;">
                        <v:fill on="t" focussize="0,0"/>
                        <v:stroke color="#2F5496" joinstyle="round"/>
                        <v:imagedata o:title=""/>
                        <o:lock v:ext="edit" aspectratio="f"/>
                      </v:shape>
                    </v:group>
                  </w:pict>
                </mc:Fallback>
              </mc:AlternateContent>
            </w:r>
            <w:r>
              <w:rPr>
                <w:rFonts w:ascii="Times New Roman" w:hAnsi="Times New Roman" w:eastAsia="宋体"/>
              </w:rPr>
              <w:drawing>
                <wp:inline distT="0" distB="0" distL="0" distR="0">
                  <wp:extent cx="2886075" cy="232156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886075" cy="2321560"/>
                          </a:xfrm>
                          <a:prstGeom prst="rect">
                            <a:avLst/>
                          </a:prstGeom>
                        </pic:spPr>
                      </pic:pic>
                    </a:graphicData>
                  </a:graphic>
                </wp:inline>
              </w:drawing>
            </w:r>
          </w:p>
        </w:tc>
      </w:tr>
    </w:tbl>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根据委托人提供的《委托书》【（2021）黔0181执759号】</w:t>
      </w:r>
      <w:r>
        <w:rPr>
          <w:rFonts w:hint="eastAsia" w:ascii="Times New Roman" w:hAnsi="Times New Roman" w:eastAsia="宋体"/>
          <w:sz w:val="28"/>
          <w:szCs w:val="28"/>
        </w:rPr>
        <w:t>、《贵州省清镇市人民法院移送委托评估函(补充说明)》</w:t>
      </w:r>
      <w:r>
        <w:rPr>
          <w:rFonts w:ascii="Times New Roman" w:hAnsi="Times New Roman" w:eastAsia="宋体"/>
          <w:sz w:val="28"/>
          <w:szCs w:val="28"/>
        </w:rPr>
        <w:t>【（2021）黔0181执759号</w:t>
      </w:r>
      <w:r>
        <w:rPr>
          <w:rFonts w:hint="eastAsia" w:ascii="Times New Roman" w:hAnsi="Times New Roman" w:eastAsia="宋体"/>
          <w:sz w:val="28"/>
          <w:szCs w:val="28"/>
        </w:rPr>
        <w:t>之一</w:t>
      </w:r>
      <w:r>
        <w:rPr>
          <w:rFonts w:ascii="Times New Roman" w:hAnsi="Times New Roman" w:eastAsia="宋体"/>
          <w:sz w:val="28"/>
          <w:szCs w:val="28"/>
        </w:rPr>
        <w:t>】、《房地产权结果信息一览表》</w:t>
      </w:r>
      <w:r>
        <w:rPr>
          <w:rFonts w:hint="eastAsia" w:ascii="Times New Roman" w:hAnsi="Times New Roman" w:eastAsia="宋体"/>
          <w:sz w:val="28"/>
          <w:szCs w:val="28"/>
        </w:rPr>
        <w:t>等</w:t>
      </w:r>
      <w:r>
        <w:rPr>
          <w:rFonts w:ascii="Times New Roman" w:hAnsi="Times New Roman" w:eastAsia="宋体"/>
          <w:sz w:val="28"/>
          <w:szCs w:val="28"/>
        </w:rPr>
        <w:t>其他相关资料复印件，确定估价对象为贵州省贵阳市云岩区市北路148号保利•云山国际10号</w:t>
      </w:r>
      <w:r>
        <w:rPr>
          <w:rFonts w:hint="eastAsia"/>
          <w:sz w:val="28"/>
          <w:szCs w:val="28"/>
          <w:lang w:val="en-US" w:eastAsia="zh-CN"/>
        </w:rPr>
        <w:t>楼</w:t>
      </w:r>
      <w:r>
        <w:rPr>
          <w:rFonts w:ascii="Times New Roman" w:hAnsi="Times New Roman" w:eastAsia="宋体"/>
          <w:sz w:val="28"/>
          <w:szCs w:val="28"/>
        </w:rPr>
        <w:t>2单元21层5号</w:t>
      </w:r>
      <w:r>
        <w:rPr>
          <w:rFonts w:hint="eastAsia" w:ascii="Times New Roman" w:hAnsi="Times New Roman" w:eastAsia="宋体"/>
          <w:sz w:val="28"/>
          <w:szCs w:val="28"/>
        </w:rPr>
        <w:t>一</w:t>
      </w:r>
      <w:r>
        <w:rPr>
          <w:rFonts w:ascii="Times New Roman" w:hAnsi="Times New Roman" w:eastAsia="宋体"/>
          <w:sz w:val="28"/>
          <w:szCs w:val="28"/>
        </w:rPr>
        <w:t>套住宅房地产（估价对象位置见</w:t>
      </w:r>
      <w:r>
        <w:rPr>
          <w:rFonts w:hint="eastAsia" w:ascii="Times New Roman" w:hAnsi="Times New Roman" w:eastAsia="宋体"/>
          <w:sz w:val="28"/>
          <w:szCs w:val="28"/>
        </w:rPr>
        <w:t>上</w:t>
      </w:r>
      <w:r>
        <w:rPr>
          <w:rFonts w:ascii="Times New Roman" w:hAnsi="Times New Roman" w:eastAsia="宋体"/>
          <w:sz w:val="28"/>
          <w:szCs w:val="28"/>
        </w:rPr>
        <w:t>图），评估范围包括建筑物及其分摊的国有建设用地使用权</w:t>
      </w:r>
      <w:r>
        <w:rPr>
          <w:rFonts w:hint="eastAsia" w:ascii="Times New Roman" w:hAnsi="Times New Roman" w:eastAsia="宋体"/>
          <w:sz w:val="28"/>
          <w:szCs w:val="28"/>
        </w:rPr>
        <w:t>，</w:t>
      </w:r>
      <w:r>
        <w:rPr>
          <w:rFonts w:ascii="Times New Roman" w:hAnsi="Times New Roman" w:eastAsia="宋体"/>
          <w:sz w:val="28"/>
          <w:szCs w:val="28"/>
        </w:rPr>
        <w:t>室内固定装修</w:t>
      </w:r>
      <w:r>
        <w:rPr>
          <w:rFonts w:hint="eastAsia" w:ascii="Times New Roman" w:hAnsi="Times New Roman" w:eastAsia="宋体"/>
          <w:sz w:val="28"/>
          <w:szCs w:val="28"/>
        </w:rPr>
        <w:t>，</w:t>
      </w:r>
      <w:r>
        <w:rPr>
          <w:rFonts w:ascii="Times New Roman" w:hAnsi="Times New Roman" w:eastAsia="宋体"/>
          <w:sz w:val="28"/>
          <w:szCs w:val="28"/>
        </w:rPr>
        <w:t>室内</w:t>
      </w:r>
      <w:r>
        <w:rPr>
          <w:rFonts w:hint="eastAsia" w:ascii="Times New Roman" w:hAnsi="Times New Roman" w:eastAsia="宋体"/>
          <w:sz w:val="28"/>
          <w:szCs w:val="28"/>
        </w:rPr>
        <w:t>家具、家电等</w:t>
      </w:r>
      <w:r>
        <w:rPr>
          <w:rFonts w:ascii="Times New Roman" w:hAnsi="Times New Roman" w:eastAsia="宋体"/>
          <w:sz w:val="28"/>
          <w:szCs w:val="28"/>
        </w:rPr>
        <w:t>动产</w:t>
      </w:r>
      <w:r>
        <w:rPr>
          <w:rFonts w:hint="eastAsia" w:ascii="Times New Roman" w:hAnsi="Times New Roman" w:eastAsia="宋体"/>
          <w:sz w:val="28"/>
          <w:szCs w:val="28"/>
        </w:rPr>
        <w:t>，</w:t>
      </w:r>
      <w:r>
        <w:rPr>
          <w:rFonts w:ascii="Times New Roman" w:hAnsi="Times New Roman" w:eastAsia="宋体"/>
          <w:sz w:val="28"/>
          <w:szCs w:val="28"/>
        </w:rPr>
        <w:t>公共配套设施，不包括债权债务等其他财产或权益。</w:t>
      </w:r>
    </w:p>
    <w:p>
      <w:pPr>
        <w:spacing w:line="500" w:lineRule="exact"/>
        <w:ind w:firstLine="560" w:firstLineChars="200"/>
        <w:rPr>
          <w:rFonts w:ascii="Times New Roman" w:hAnsi="Times New Roman" w:eastAsia="宋体"/>
          <w:i/>
          <w:iCs/>
          <w:color w:val="C00000"/>
          <w:sz w:val="28"/>
          <w:szCs w:val="28"/>
        </w:rPr>
      </w:pPr>
      <w:r>
        <w:rPr>
          <w:rFonts w:ascii="Times New Roman" w:hAnsi="Times New Roman" w:eastAsia="宋体"/>
          <w:sz w:val="28"/>
          <w:szCs w:val="28"/>
        </w:rPr>
        <w:t>根据估价对象的《房地产权结果信息一览表》复印件，估价对象基本状况如下：</w:t>
      </w:r>
      <w:r>
        <w:rPr>
          <w:rFonts w:ascii="Times New Roman" w:hAnsi="Times New Roman" w:eastAsia="宋体"/>
          <w:i/>
          <w:iCs/>
          <w:color w:val="C00000"/>
          <w:sz w:val="28"/>
          <w:szCs w:val="28"/>
        </w:rPr>
        <w:t xml:space="preserve"> </w:t>
      </w:r>
    </w:p>
    <w:tbl>
      <w:tblPr>
        <w:tblStyle w:val="20"/>
        <w:tblW w:w="5000" w:type="pct"/>
        <w:tblInd w:w="0" w:type="dxa"/>
        <w:tblLayout w:type="autofit"/>
        <w:tblCellMar>
          <w:top w:w="0" w:type="dxa"/>
          <w:left w:w="108" w:type="dxa"/>
          <w:bottom w:w="0" w:type="dxa"/>
          <w:right w:w="108" w:type="dxa"/>
        </w:tblCellMar>
      </w:tblPr>
      <w:tblGrid>
        <w:gridCol w:w="2686"/>
        <w:gridCol w:w="2146"/>
        <w:gridCol w:w="3078"/>
        <w:gridCol w:w="1929"/>
        <w:gridCol w:w="14"/>
      </w:tblGrid>
      <w:tr>
        <w:tblPrEx>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不动产单元号</w:t>
            </w:r>
          </w:p>
        </w:tc>
        <w:tc>
          <w:tcPr>
            <w:tcW w:w="3637" w:type="pct"/>
            <w:gridSpan w:val="4"/>
            <w:tcBorders>
              <w:top w:val="single" w:color="auto" w:sz="4" w:space="0"/>
              <w:left w:val="nil"/>
              <w:bottom w:val="single" w:color="auto" w:sz="4" w:space="0"/>
              <w:right w:val="single" w:color="000000"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520103005001GB00001F00050567</w:t>
            </w:r>
          </w:p>
        </w:tc>
      </w:tr>
      <w:tr>
        <w:tblPrEx>
          <w:tblCellMar>
            <w:top w:w="0" w:type="dxa"/>
            <w:left w:w="108" w:type="dxa"/>
            <w:bottom w:w="0" w:type="dxa"/>
            <w:right w:w="108" w:type="dxa"/>
          </w:tblCellMar>
        </w:tblPrEx>
        <w:trPr>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不动产证书号</w:t>
            </w:r>
          </w:p>
        </w:tc>
        <w:tc>
          <w:tcPr>
            <w:tcW w:w="3637" w:type="pct"/>
            <w:gridSpan w:val="4"/>
            <w:tcBorders>
              <w:top w:val="single" w:color="auto" w:sz="4" w:space="0"/>
              <w:left w:val="nil"/>
              <w:bottom w:val="single" w:color="auto" w:sz="4" w:space="0"/>
              <w:right w:val="single" w:color="000000"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黔（2018）云岩区不动产权第0082388号</w:t>
            </w:r>
          </w:p>
        </w:tc>
      </w:tr>
      <w:tr>
        <w:tblPrEx>
          <w:tblCellMar>
            <w:top w:w="0" w:type="dxa"/>
            <w:left w:w="108" w:type="dxa"/>
            <w:bottom w:w="0" w:type="dxa"/>
            <w:right w:w="108" w:type="dxa"/>
          </w:tblCellMar>
        </w:tblPrEx>
        <w:trPr>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坐落</w:t>
            </w:r>
          </w:p>
        </w:tc>
        <w:tc>
          <w:tcPr>
            <w:tcW w:w="3637" w:type="pct"/>
            <w:gridSpan w:val="4"/>
            <w:tcBorders>
              <w:top w:val="single" w:color="auto" w:sz="4" w:space="0"/>
              <w:left w:val="nil"/>
              <w:bottom w:val="single" w:color="auto" w:sz="4" w:space="0"/>
              <w:right w:val="single" w:color="000000"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云岩区市北路148号保利•云山国际10号</w:t>
            </w:r>
            <w:r>
              <w:rPr>
                <w:rFonts w:hint="eastAsia"/>
                <w:kern w:val="0"/>
                <w:szCs w:val="21"/>
                <w:lang w:val="en-US" w:eastAsia="zh-CN"/>
              </w:rPr>
              <w:t>楼</w:t>
            </w:r>
            <w:r>
              <w:rPr>
                <w:rFonts w:ascii="Times New Roman" w:hAnsi="Times New Roman" w:eastAsia="宋体"/>
                <w:kern w:val="0"/>
                <w:szCs w:val="21"/>
              </w:rPr>
              <w:t>2单元21层5号</w:t>
            </w:r>
          </w:p>
        </w:tc>
      </w:tr>
      <w:tr>
        <w:tblPrEx>
          <w:tblCellMar>
            <w:top w:w="0" w:type="dxa"/>
            <w:left w:w="108" w:type="dxa"/>
            <w:bottom w:w="0" w:type="dxa"/>
            <w:right w:w="108" w:type="dxa"/>
          </w:tblCellMar>
        </w:tblPrEx>
        <w:trPr>
          <w:gridAfter w:val="1"/>
          <w:wAfter w:w="7" w:type="pct"/>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权利人名称</w:t>
            </w:r>
          </w:p>
        </w:tc>
        <w:tc>
          <w:tcPr>
            <w:tcW w:w="108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杨智辉</w:t>
            </w:r>
          </w:p>
        </w:tc>
        <w:tc>
          <w:tcPr>
            <w:tcW w:w="1562"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共有方式</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单独所有</w:t>
            </w:r>
          </w:p>
        </w:tc>
      </w:tr>
      <w:tr>
        <w:tblPrEx>
          <w:tblCellMar>
            <w:top w:w="0" w:type="dxa"/>
            <w:left w:w="108" w:type="dxa"/>
            <w:bottom w:w="0" w:type="dxa"/>
            <w:right w:w="108" w:type="dxa"/>
          </w:tblCellMar>
        </w:tblPrEx>
        <w:trPr>
          <w:gridAfter w:val="1"/>
          <w:wAfter w:w="7" w:type="pct"/>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房屋性质</w:t>
            </w:r>
          </w:p>
        </w:tc>
        <w:tc>
          <w:tcPr>
            <w:tcW w:w="108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其他</w:t>
            </w:r>
          </w:p>
        </w:tc>
        <w:tc>
          <w:tcPr>
            <w:tcW w:w="1562"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竣工时间</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此项未登记</w:t>
            </w:r>
          </w:p>
        </w:tc>
      </w:tr>
      <w:tr>
        <w:tblPrEx>
          <w:tblCellMar>
            <w:top w:w="0" w:type="dxa"/>
            <w:left w:w="108" w:type="dxa"/>
            <w:bottom w:w="0" w:type="dxa"/>
            <w:right w:w="108" w:type="dxa"/>
          </w:tblCellMar>
        </w:tblPrEx>
        <w:trPr>
          <w:gridAfter w:val="1"/>
          <w:wAfter w:w="7" w:type="pct"/>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建筑面积（㎡）</w:t>
            </w:r>
          </w:p>
        </w:tc>
        <w:tc>
          <w:tcPr>
            <w:tcW w:w="108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108.97</w:t>
            </w:r>
          </w:p>
        </w:tc>
        <w:tc>
          <w:tcPr>
            <w:tcW w:w="1562"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规划用途</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其他</w:t>
            </w:r>
          </w:p>
        </w:tc>
      </w:tr>
      <w:tr>
        <w:tblPrEx>
          <w:tblCellMar>
            <w:top w:w="0" w:type="dxa"/>
            <w:left w:w="108" w:type="dxa"/>
            <w:bottom w:w="0" w:type="dxa"/>
            <w:right w:w="108" w:type="dxa"/>
          </w:tblCellMar>
        </w:tblPrEx>
        <w:trPr>
          <w:gridAfter w:val="1"/>
          <w:wAfter w:w="7" w:type="pct"/>
          <w:trHeight w:val="340" w:hRule="atLeast"/>
        </w:trPr>
        <w:tc>
          <w:tcPr>
            <w:tcW w:w="1363" w:type="pct"/>
            <w:tcBorders>
              <w:top w:val="nil"/>
              <w:left w:val="single" w:color="auto" w:sz="4" w:space="0"/>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土地使用起始时间</w:t>
            </w:r>
          </w:p>
        </w:tc>
        <w:tc>
          <w:tcPr>
            <w:tcW w:w="108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2008/5/24</w:t>
            </w:r>
          </w:p>
        </w:tc>
        <w:tc>
          <w:tcPr>
            <w:tcW w:w="1562"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土地使用结束时间</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Times New Roman" w:hAnsi="Times New Roman" w:eastAsia="宋体"/>
                <w:kern w:val="0"/>
                <w:szCs w:val="21"/>
              </w:rPr>
            </w:pPr>
            <w:r>
              <w:rPr>
                <w:rFonts w:ascii="Times New Roman" w:hAnsi="Times New Roman" w:eastAsia="宋体"/>
                <w:kern w:val="0"/>
                <w:szCs w:val="21"/>
              </w:rPr>
              <w:t>2078/5/24</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宋体"/>
          <w:sz w:val="28"/>
          <w:szCs w:val="28"/>
        </w:rPr>
      </w:pPr>
      <w:r>
        <w:rPr>
          <w:rFonts w:ascii="Times New Roman" w:hAnsi="Times New Roman" w:eastAsia="宋体"/>
          <w:sz w:val="28"/>
          <w:szCs w:val="28"/>
        </w:rPr>
        <w:t>经现场查看，估价对象位于贵州省贵阳市云岩区市北路148号保利•云山国际10号</w:t>
      </w:r>
      <w:r>
        <w:rPr>
          <w:rFonts w:hint="eastAsia"/>
          <w:sz w:val="28"/>
          <w:szCs w:val="28"/>
          <w:lang w:val="en-US" w:eastAsia="zh-CN"/>
        </w:rPr>
        <w:t>楼</w:t>
      </w:r>
      <w:r>
        <w:rPr>
          <w:rFonts w:ascii="Times New Roman" w:hAnsi="Times New Roman" w:eastAsia="宋体"/>
          <w:sz w:val="28"/>
          <w:szCs w:val="28"/>
        </w:rPr>
        <w:t>2单元21层5号。其户型为3室2厅2卫，客厅</w:t>
      </w:r>
      <w:r>
        <w:rPr>
          <w:rFonts w:hint="eastAsia" w:ascii="Times New Roman" w:hAnsi="Times New Roman" w:eastAsia="宋体"/>
          <w:sz w:val="28"/>
          <w:szCs w:val="28"/>
        </w:rPr>
        <w:t>、</w:t>
      </w:r>
      <w:r>
        <w:rPr>
          <w:rFonts w:ascii="Times New Roman" w:hAnsi="Times New Roman" w:eastAsia="宋体"/>
          <w:sz w:val="28"/>
          <w:szCs w:val="28"/>
        </w:rPr>
        <w:t>主卧采光面</w:t>
      </w:r>
      <w:r>
        <w:rPr>
          <w:rFonts w:hint="eastAsia" w:ascii="Times New Roman" w:hAnsi="Times New Roman" w:eastAsia="宋体"/>
          <w:sz w:val="28"/>
          <w:szCs w:val="28"/>
        </w:rPr>
        <w:t>均</w:t>
      </w:r>
      <w:r>
        <w:rPr>
          <w:rFonts w:ascii="Times New Roman" w:hAnsi="Times New Roman" w:eastAsia="宋体"/>
          <w:sz w:val="28"/>
          <w:szCs w:val="28"/>
        </w:rPr>
        <w:t>朝东，室内净层高约2.7米，建筑面积108.97平方米，目前为权利人自用居住。所在楼栋为10号楼</w:t>
      </w:r>
      <w:r>
        <w:rPr>
          <w:rFonts w:hint="eastAsia" w:ascii="Times New Roman" w:hAnsi="Times New Roman" w:eastAsia="宋体"/>
          <w:sz w:val="28"/>
          <w:szCs w:val="28"/>
        </w:rPr>
        <w:t>，</w:t>
      </w:r>
      <w:r>
        <w:rPr>
          <w:rFonts w:ascii="Times New Roman" w:hAnsi="Times New Roman" w:eastAsia="宋体"/>
          <w:sz w:val="28"/>
          <w:szCs w:val="28"/>
        </w:rPr>
        <w:t>该楼栋共-2+34层（地下</w:t>
      </w:r>
      <w:r>
        <w:rPr>
          <w:rFonts w:hint="eastAsia" w:ascii="Times New Roman" w:hAnsi="Times New Roman" w:eastAsia="宋体"/>
          <w:sz w:val="28"/>
          <w:szCs w:val="28"/>
        </w:rPr>
        <w:t>1、2层</w:t>
      </w:r>
      <w:r>
        <w:rPr>
          <w:rFonts w:ascii="Times New Roman" w:hAnsi="Times New Roman" w:eastAsia="宋体"/>
          <w:sz w:val="28"/>
          <w:szCs w:val="28"/>
        </w:rPr>
        <w:t>为停车场，地上34层为住宅）。框架结构，经调查该楼栋于2013年末建成。建筑外立面为涂料，安铝合金窗；楼梯间水泥清光地面，内墙及天棚刮瓷粉；电梯</w:t>
      </w:r>
      <w:r>
        <w:rPr>
          <w:rFonts w:hint="eastAsia" w:ascii="Times New Roman" w:hAnsi="Times New Roman" w:eastAsia="宋体"/>
          <w:sz w:val="28"/>
          <w:szCs w:val="28"/>
        </w:rPr>
        <w:t>间（</w:t>
      </w:r>
      <w:r>
        <w:rPr>
          <w:rFonts w:ascii="Times New Roman" w:hAnsi="Times New Roman" w:eastAsia="宋体"/>
          <w:sz w:val="28"/>
          <w:szCs w:val="28"/>
        </w:rPr>
        <w:t>2梯6户</w:t>
      </w:r>
      <w:r>
        <w:rPr>
          <w:rFonts w:hint="eastAsia" w:ascii="Times New Roman" w:hAnsi="Times New Roman" w:eastAsia="宋体"/>
          <w:sz w:val="28"/>
          <w:szCs w:val="28"/>
        </w:rPr>
        <w:t>）</w:t>
      </w:r>
      <w:r>
        <w:rPr>
          <w:rFonts w:ascii="Times New Roman" w:hAnsi="Times New Roman" w:eastAsia="宋体"/>
          <w:sz w:val="28"/>
          <w:szCs w:val="28"/>
        </w:rPr>
        <w:t>通道地面铺贴陶瓷地砖，内墙贴墙砖，天棚刮瓷粉。所在小区通路、通电、通上水、通下水、通讯、通气。</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宋体"/>
          <w:sz w:val="28"/>
          <w:szCs w:val="28"/>
        </w:rPr>
      </w:pPr>
      <w:r>
        <w:rPr>
          <w:rFonts w:ascii="Times New Roman" w:hAnsi="Times New Roman" w:eastAsia="宋体"/>
          <w:sz w:val="28"/>
          <w:szCs w:val="28"/>
        </w:rPr>
        <w:t>其室内固定装修为：入户安装防盗门，房间内为木质套装门；地面：客厅、厨房、卫生间铺贴陶瓷地砖，房间铺木地板；墙面：厨房与卫生间铺贴墙砖，其余房间为瓷粉乳胶漆；顶面：厨房、卫生间为铝扣板集成吊顶，其余房间为瓷粉乳胶漆，装饰石膏阴角线。室内安装固定物情况：厨房：灶台（橱柜）1组、吊柜1个、抽油烟机1套；玄关：壁柜1个；客厅：木柜1个；主卧：衣柜1个，次卧（1间）衣柜1个；卫生间：均安装抽水马桶、洗手盆、花洒各1套及洗浴间玻璃隔断。室内水电管线暗敷，室内固定装修成新度一般。</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宋体"/>
          <w:sz w:val="28"/>
          <w:szCs w:val="28"/>
        </w:rPr>
      </w:pPr>
      <w:r>
        <w:rPr>
          <w:rFonts w:ascii="Times New Roman" w:hAnsi="Times New Roman" w:eastAsia="宋体"/>
          <w:sz w:val="28"/>
          <w:szCs w:val="28"/>
        </w:rPr>
        <w:t>室内动产情况：根据估价人员现场清查整理，经委托人代表、财产权利人共同签字确认，室内动产具体如下：</w:t>
      </w:r>
    </w:p>
    <w:tbl>
      <w:tblPr>
        <w:tblStyle w:val="20"/>
        <w:tblW w:w="5000" w:type="pct"/>
        <w:tblInd w:w="0" w:type="dxa"/>
        <w:tblLayout w:type="autofit"/>
        <w:tblCellMar>
          <w:top w:w="0" w:type="dxa"/>
          <w:left w:w="108" w:type="dxa"/>
          <w:bottom w:w="0" w:type="dxa"/>
          <w:right w:w="108" w:type="dxa"/>
        </w:tblCellMar>
      </w:tblPr>
      <w:tblGrid>
        <w:gridCol w:w="1030"/>
        <w:gridCol w:w="1532"/>
        <w:gridCol w:w="2164"/>
        <w:gridCol w:w="1029"/>
        <w:gridCol w:w="1029"/>
        <w:gridCol w:w="2038"/>
        <w:gridCol w:w="1031"/>
      </w:tblGrid>
      <w:tr>
        <w:tblPrEx>
          <w:tblCellMar>
            <w:top w:w="0" w:type="dxa"/>
            <w:left w:w="108" w:type="dxa"/>
            <w:bottom w:w="0" w:type="dxa"/>
            <w:right w:w="108" w:type="dxa"/>
          </w:tblCellMar>
        </w:tblPrEx>
        <w:trPr>
          <w:trHeight w:val="340" w:hRule="atLeast"/>
        </w:trPr>
        <w:tc>
          <w:tcPr>
            <w:tcW w:w="5000" w:type="pct"/>
            <w:gridSpan w:val="7"/>
            <w:tcBorders>
              <w:top w:val="nil"/>
              <w:left w:val="nil"/>
              <w:bottom w:val="nil"/>
              <w:right w:val="nil"/>
            </w:tcBorders>
            <w:shd w:val="clear" w:color="auto" w:fill="auto"/>
            <w:noWrap/>
            <w:vAlign w:val="bottom"/>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室内动产清单</w:t>
            </w:r>
          </w:p>
        </w:tc>
      </w:tr>
      <w:tr>
        <w:tblPrEx>
          <w:tblCellMar>
            <w:top w:w="0" w:type="dxa"/>
            <w:left w:w="108" w:type="dxa"/>
            <w:bottom w:w="0" w:type="dxa"/>
            <w:right w:w="108" w:type="dxa"/>
          </w:tblCellMar>
        </w:tblPrEx>
        <w:trPr>
          <w:trHeight w:val="340" w:hRule="atLeast"/>
        </w:trPr>
        <w:tc>
          <w:tcPr>
            <w:tcW w:w="52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序号</w:t>
            </w:r>
          </w:p>
        </w:tc>
        <w:tc>
          <w:tcPr>
            <w:tcW w:w="7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名称</w:t>
            </w:r>
          </w:p>
        </w:tc>
        <w:tc>
          <w:tcPr>
            <w:tcW w:w="109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规格型号</w:t>
            </w:r>
          </w:p>
        </w:tc>
        <w:tc>
          <w:tcPr>
            <w:tcW w:w="52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单位</w:t>
            </w:r>
          </w:p>
        </w:tc>
        <w:tc>
          <w:tcPr>
            <w:tcW w:w="52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数量</w:t>
            </w:r>
          </w:p>
        </w:tc>
        <w:tc>
          <w:tcPr>
            <w:tcW w:w="103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存放房间</w:t>
            </w:r>
          </w:p>
        </w:tc>
        <w:tc>
          <w:tcPr>
            <w:tcW w:w="52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备注</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冰箱</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xml:space="preserve">厨房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2</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餐桌</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套</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餐厅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3</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电子琴</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儿童</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4</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布沙发</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2+3</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套</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5</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暖火炉</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6</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电视机</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52寸</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7</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饮水机</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8</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电视柜</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个</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客厅</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9</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梳妆柜</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个</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主卧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10</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茶几</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个</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主卧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11</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木床</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张</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主卧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12</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木床</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中</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张</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次卧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13</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木床</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儿童双层</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张</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次卧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14</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书柜</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个</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次卧</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15</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热水器</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个</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生活阳台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r>
        <w:tblPrEx>
          <w:tblCellMar>
            <w:top w:w="0" w:type="dxa"/>
            <w:left w:w="108" w:type="dxa"/>
            <w:bottom w:w="0" w:type="dxa"/>
            <w:right w:w="108" w:type="dxa"/>
          </w:tblCellMar>
        </w:tblPrEx>
        <w:trPr>
          <w:trHeight w:val="340" w:hRule="atLeast"/>
        </w:trPr>
        <w:tc>
          <w:tcPr>
            <w:tcW w:w="52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16</w:t>
            </w:r>
          </w:p>
        </w:tc>
        <w:tc>
          <w:tcPr>
            <w:tcW w:w="77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洗衣机</w:t>
            </w:r>
          </w:p>
        </w:tc>
        <w:tc>
          <w:tcPr>
            <w:tcW w:w="1098"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海尔6.0L</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1</w:t>
            </w:r>
          </w:p>
        </w:tc>
        <w:tc>
          <w:tcPr>
            <w:tcW w:w="103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生活阳台</w:t>
            </w:r>
          </w:p>
        </w:tc>
        <w:tc>
          <w:tcPr>
            <w:tcW w:w="52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kern w:val="0"/>
                <w:sz w:val="21"/>
                <w:szCs w:val="21"/>
              </w:rPr>
            </w:pPr>
            <w:r>
              <w:rPr>
                <w:rFonts w:ascii="Times New Roman" w:hAnsi="Times New Roman" w:eastAsia="宋体"/>
                <w:kern w:val="0"/>
                <w:sz w:val="21"/>
                <w:szCs w:val="21"/>
              </w:rPr>
              <w:t>　</w:t>
            </w:r>
          </w:p>
        </w:tc>
      </w:tr>
    </w:tbl>
    <w:p>
      <w:pPr>
        <w:tabs>
          <w:tab w:val="left" w:pos="210"/>
          <w:tab w:val="left" w:pos="630"/>
        </w:tabs>
        <w:spacing w:line="460" w:lineRule="exact"/>
        <w:ind w:firstLine="560" w:firstLineChars="200"/>
        <w:jc w:val="left"/>
        <w:outlineLvl w:val="1"/>
        <w:rPr>
          <w:rFonts w:ascii="Times New Roman" w:hAnsi="Times New Roman" w:eastAsia="宋体"/>
          <w:b/>
          <w:bCs/>
          <w:sz w:val="28"/>
          <w:szCs w:val="28"/>
        </w:rPr>
      </w:pPr>
      <w:bookmarkStart w:id="9" w:name="_Toc65065888"/>
      <w:bookmarkStart w:id="10" w:name="_Toc47874171"/>
      <w:r>
        <w:rPr>
          <w:rFonts w:ascii="Times New Roman" w:hAnsi="Times New Roman" w:eastAsia="宋体"/>
          <w:b/>
          <w:bCs/>
          <w:sz w:val="28"/>
          <w:szCs w:val="28"/>
        </w:rPr>
        <w:t>三、价值时点</w:t>
      </w:r>
      <w:bookmarkEnd w:id="9"/>
      <w:bookmarkEnd w:id="10"/>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宋体"/>
          <w:bCs/>
          <w:sz w:val="28"/>
          <w:szCs w:val="28"/>
        </w:rPr>
      </w:pPr>
      <w:r>
        <w:rPr>
          <w:rFonts w:ascii="Times New Roman" w:hAnsi="Times New Roman" w:eastAsia="宋体"/>
          <w:sz w:val="28"/>
          <w:szCs w:val="28"/>
        </w:rPr>
        <w:t>委托人提供的《委托书》【（2021）黔0181执759号】未载明价值时点，结合</w:t>
      </w:r>
      <w:r>
        <w:rPr>
          <w:rFonts w:ascii="Times New Roman" w:hAnsi="Times New Roman" w:eastAsia="宋体"/>
          <w:bCs/>
          <w:sz w:val="28"/>
          <w:szCs w:val="28"/>
        </w:rPr>
        <w:t>《房地产估价规范》</w:t>
      </w:r>
      <w:r>
        <w:rPr>
          <w:rFonts w:ascii="Times New Roman" w:hAnsi="Times New Roman" w:eastAsia="宋体"/>
          <w:sz w:val="28"/>
          <w:szCs w:val="28"/>
        </w:rPr>
        <w:t>【GB/T50291-2015】，确定以现场查看时间2021年06月29日为价值时点。</w:t>
      </w:r>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jc w:val="left"/>
        <w:textAlignment w:val="auto"/>
        <w:outlineLvl w:val="1"/>
        <w:rPr>
          <w:rFonts w:ascii="Times New Roman" w:hAnsi="Times New Roman" w:eastAsia="宋体"/>
          <w:b/>
          <w:bCs/>
          <w:sz w:val="28"/>
          <w:szCs w:val="28"/>
        </w:rPr>
      </w:pPr>
      <w:bookmarkStart w:id="11" w:name="_Toc65065889"/>
      <w:bookmarkStart w:id="12" w:name="_Toc47874172"/>
      <w:r>
        <w:rPr>
          <w:rFonts w:ascii="Times New Roman" w:hAnsi="Times New Roman" w:eastAsia="宋体"/>
          <w:b/>
          <w:bCs/>
          <w:sz w:val="28"/>
          <w:szCs w:val="28"/>
        </w:rPr>
        <w:t>四、价值类型</w:t>
      </w:r>
      <w:bookmarkEnd w:id="11"/>
      <w:bookmarkEnd w:id="12"/>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宋体"/>
          <w:bCs/>
          <w:sz w:val="28"/>
          <w:szCs w:val="28"/>
        </w:rPr>
      </w:pPr>
      <w:r>
        <w:rPr>
          <w:rFonts w:ascii="Times New Roman" w:hAnsi="Times New Roman" w:eastAsia="宋体"/>
          <w:sz w:val="28"/>
          <w:szCs w:val="28"/>
        </w:rPr>
        <w:t>根据委托人提供的《委托书》【（2021）黔0181执759号】，结合</w:t>
      </w:r>
      <w:r>
        <w:rPr>
          <w:rFonts w:ascii="Times New Roman" w:hAnsi="Times New Roman" w:eastAsia="宋体"/>
          <w:bCs/>
          <w:sz w:val="28"/>
          <w:szCs w:val="28"/>
        </w:rPr>
        <w:t>《房地产估价规范》</w:t>
      </w:r>
      <w:r>
        <w:rPr>
          <w:rFonts w:ascii="Times New Roman" w:hAnsi="Times New Roman" w:eastAsia="宋体"/>
          <w:sz w:val="28"/>
          <w:szCs w:val="28"/>
        </w:rPr>
        <w:t>【GB/T50291-2015】，确定本次估价采用的价值类型为市场价值。</w:t>
      </w:r>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jc w:val="left"/>
        <w:textAlignment w:val="auto"/>
        <w:outlineLvl w:val="1"/>
        <w:rPr>
          <w:rFonts w:ascii="Times New Roman" w:hAnsi="Times New Roman" w:eastAsia="宋体"/>
          <w:b/>
          <w:bCs/>
          <w:sz w:val="28"/>
          <w:szCs w:val="28"/>
        </w:rPr>
      </w:pPr>
      <w:bookmarkStart w:id="13" w:name="_Toc65065890"/>
      <w:bookmarkStart w:id="14" w:name="_Toc47874173"/>
      <w:r>
        <w:rPr>
          <w:rFonts w:ascii="Times New Roman" w:hAnsi="Times New Roman" w:eastAsia="宋体"/>
          <w:b/>
          <w:bCs/>
          <w:sz w:val="28"/>
          <w:szCs w:val="28"/>
        </w:rPr>
        <w:t>五、估价方法</w:t>
      </w:r>
      <w:bookmarkEnd w:id="13"/>
      <w:bookmarkEnd w:id="14"/>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left="-4" w:leftChars="-2" w:firstLine="560" w:firstLineChars="200"/>
        <w:jc w:val="left"/>
        <w:textAlignment w:val="auto"/>
        <w:rPr>
          <w:rFonts w:ascii="Times New Roman" w:hAnsi="Times New Roman" w:eastAsia="宋体"/>
          <w:bCs/>
          <w:sz w:val="28"/>
          <w:szCs w:val="28"/>
        </w:rPr>
      </w:pPr>
      <w:r>
        <w:rPr>
          <w:rFonts w:ascii="Times New Roman" w:hAnsi="Times New Roman" w:eastAsia="宋体"/>
          <w:bCs/>
          <w:sz w:val="28"/>
          <w:szCs w:val="28"/>
        </w:rPr>
        <w:t>本次评估</w:t>
      </w:r>
      <w:r>
        <w:rPr>
          <w:rFonts w:hint="eastAsia" w:ascii="Times New Roman" w:hAnsi="Times New Roman" w:eastAsia="宋体"/>
          <w:bCs/>
          <w:sz w:val="28"/>
          <w:szCs w:val="28"/>
        </w:rPr>
        <w:t>房地产</w:t>
      </w:r>
      <w:r>
        <w:rPr>
          <w:rFonts w:ascii="Times New Roman" w:hAnsi="Times New Roman" w:eastAsia="宋体"/>
          <w:sz w:val="28"/>
          <w:szCs w:val="28"/>
        </w:rPr>
        <w:t>采用比较法、收益法，</w:t>
      </w:r>
      <w:r>
        <w:rPr>
          <w:rFonts w:hint="eastAsia" w:ascii="Times New Roman" w:hAnsi="Times New Roman" w:eastAsia="宋体"/>
          <w:sz w:val="28"/>
          <w:szCs w:val="28"/>
        </w:rPr>
        <w:t>室内动产采用</w:t>
      </w:r>
      <w:r>
        <w:rPr>
          <w:rFonts w:ascii="Times New Roman" w:hAnsi="Times New Roman" w:eastAsia="宋体"/>
          <w:sz w:val="28"/>
          <w:szCs w:val="28"/>
        </w:rPr>
        <w:t>成本法。</w:t>
      </w:r>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jc w:val="left"/>
        <w:textAlignment w:val="auto"/>
        <w:outlineLvl w:val="1"/>
        <w:rPr>
          <w:rFonts w:ascii="Times New Roman" w:hAnsi="Times New Roman" w:eastAsia="宋体"/>
          <w:b/>
          <w:bCs/>
          <w:color w:val="000000"/>
          <w:sz w:val="28"/>
          <w:szCs w:val="28"/>
        </w:rPr>
      </w:pPr>
      <w:bookmarkStart w:id="15" w:name="_Toc65065891"/>
      <w:bookmarkStart w:id="16" w:name="_Toc47874174"/>
      <w:r>
        <w:rPr>
          <w:rFonts w:ascii="Times New Roman" w:hAnsi="Times New Roman" w:eastAsia="宋体"/>
          <w:b/>
          <w:bCs/>
          <w:color w:val="000000"/>
          <w:sz w:val="28"/>
          <w:szCs w:val="28"/>
        </w:rPr>
        <w:t>六、估价结果</w:t>
      </w:r>
      <w:bookmarkEnd w:id="15"/>
      <w:bookmarkEnd w:id="16"/>
    </w:p>
    <w:p>
      <w:pPr>
        <w:keepNext w:val="0"/>
        <w:keepLines w:val="0"/>
        <w:pageBreakBefore w:val="0"/>
        <w:widowControl w:val="0"/>
        <w:tabs>
          <w:tab w:val="left" w:pos="210"/>
          <w:tab w:val="left" w:pos="630"/>
        </w:tabs>
        <w:kinsoku/>
        <w:wordWrap/>
        <w:overflowPunct/>
        <w:topLinePunct w:val="0"/>
        <w:autoSpaceDE/>
        <w:autoSpaceDN/>
        <w:bidi w:val="0"/>
        <w:adjustRightInd/>
        <w:snapToGrid/>
        <w:spacing w:line="480" w:lineRule="exact"/>
        <w:ind w:firstLine="560" w:firstLineChars="200"/>
        <w:jc w:val="left"/>
        <w:textAlignment w:val="auto"/>
        <w:rPr>
          <w:rFonts w:ascii="Times New Roman" w:hAnsi="Times New Roman" w:eastAsia="宋体"/>
          <w:sz w:val="28"/>
          <w:szCs w:val="28"/>
        </w:rPr>
      </w:pPr>
      <w:bookmarkStart w:id="17" w:name="_Toc65065892"/>
      <w:bookmarkStart w:id="18" w:name="_Toc47874175"/>
      <w:r>
        <w:rPr>
          <w:rFonts w:ascii="Times New Roman" w:hAnsi="Times New Roman" w:eastAsia="宋体"/>
          <w:sz w:val="28"/>
          <w:szCs w:val="28"/>
        </w:rPr>
        <w:t>经过实地查勘和市场调查，结合估价目的、估价委托人提供的资料和陈述的有关估价对象情况，遵照法律法规和技术标准，遵循公认的估价原则，按照估价程序，在充分考虑影响估价对象该类房地产价值的各项因素综合分析的基础上，并满足本次评估的假设和限制条件下，估价对象于价值时点的市场价值为人民币</w:t>
      </w:r>
      <w:bookmarkStart w:id="19" w:name="_Hlk76648119"/>
      <w:r>
        <w:rPr>
          <w:rFonts w:ascii="Times New Roman" w:hAnsi="Times New Roman" w:eastAsia="宋体"/>
          <w:b/>
          <w:bCs/>
          <w:sz w:val="28"/>
          <w:szCs w:val="28"/>
        </w:rPr>
        <w:t>大写（取整）</w:t>
      </w:r>
      <w:r>
        <w:rPr>
          <w:rFonts w:hint="eastAsia"/>
          <w:b/>
          <w:bCs/>
          <w:sz w:val="28"/>
          <w:szCs w:val="28"/>
          <w:lang w:eastAsia="zh-CN"/>
        </w:rPr>
        <w:t>壹佰壹拾肆万陆仟零捌拾叁</w:t>
      </w:r>
      <w:r>
        <w:rPr>
          <w:rFonts w:ascii="Times New Roman" w:hAnsi="Times New Roman" w:eastAsia="宋体"/>
          <w:sz w:val="28"/>
          <w:szCs w:val="28"/>
        </w:rPr>
        <w:t>元整</w:t>
      </w:r>
      <w:r>
        <w:rPr>
          <w:rFonts w:ascii="Times New Roman" w:hAnsi="Times New Roman" w:eastAsia="宋体"/>
          <w:b/>
          <w:bCs/>
          <w:sz w:val="28"/>
          <w:szCs w:val="28"/>
        </w:rPr>
        <w:t>(</w:t>
      </w:r>
      <w:r>
        <w:rPr>
          <w:rFonts w:ascii="Times New Roman" w:hAnsi="Times New Roman" w:eastAsia="宋体"/>
          <w:b/>
          <w:bCs/>
          <w:sz w:val="28"/>
          <w:szCs w:val="28"/>
        </w:rPr>
        <w:fldChar w:fldCharType="begin"/>
      </w:r>
      <w:r>
        <w:rPr>
          <w:rFonts w:ascii="Times New Roman" w:hAnsi="Times New Roman" w:eastAsia="宋体"/>
          <w:b/>
          <w:bCs/>
          <w:sz w:val="28"/>
          <w:szCs w:val="28"/>
        </w:rPr>
        <w:instrText xml:space="preserve"> =382,253.00 \# "￥#,##0.00;(￥#,##0.00)" </w:instrText>
      </w:r>
      <w:r>
        <w:rPr>
          <w:rFonts w:ascii="Times New Roman" w:hAnsi="Times New Roman" w:eastAsia="宋体"/>
          <w:b/>
          <w:bCs/>
          <w:sz w:val="28"/>
          <w:szCs w:val="28"/>
        </w:rPr>
        <w:fldChar w:fldCharType="separate"/>
      </w:r>
      <w:r>
        <w:rPr>
          <w:rFonts w:ascii="Times New Roman" w:hAnsi="Times New Roman" w:eastAsia="宋体"/>
          <w:b/>
          <w:bCs/>
          <w:sz w:val="28"/>
          <w:szCs w:val="28"/>
        </w:rPr>
        <w:t>￥</w:t>
      </w:r>
      <w:r>
        <w:rPr>
          <w:rFonts w:hint="eastAsia"/>
          <w:b/>
          <w:bCs/>
          <w:sz w:val="28"/>
          <w:szCs w:val="28"/>
          <w:lang w:eastAsia="zh-CN"/>
        </w:rPr>
        <w:t>1,146,083.00</w:t>
      </w:r>
      <w:r>
        <w:rPr>
          <w:rFonts w:ascii="Times New Roman" w:hAnsi="Times New Roman" w:eastAsia="宋体"/>
          <w:b/>
          <w:bCs/>
          <w:sz w:val="28"/>
          <w:szCs w:val="28"/>
        </w:rPr>
        <w:fldChar w:fldCharType="end"/>
      </w:r>
      <w:r>
        <w:rPr>
          <w:rFonts w:ascii="Times New Roman" w:hAnsi="Times New Roman" w:eastAsia="宋体"/>
          <w:b/>
          <w:bCs/>
          <w:sz w:val="28"/>
          <w:szCs w:val="28"/>
        </w:rPr>
        <w:t>)。</w:t>
      </w:r>
      <w:r>
        <w:rPr>
          <w:rFonts w:ascii="Times New Roman" w:hAnsi="Times New Roman" w:eastAsia="宋体"/>
          <w:sz w:val="28"/>
          <w:szCs w:val="28"/>
        </w:rPr>
        <w:t>详见下表：</w:t>
      </w:r>
    </w:p>
    <w:tbl>
      <w:tblPr>
        <w:tblStyle w:val="20"/>
        <w:tblW w:w="9640" w:type="dxa"/>
        <w:tblInd w:w="0" w:type="dxa"/>
        <w:tblLayout w:type="autofit"/>
        <w:tblCellMar>
          <w:top w:w="0" w:type="dxa"/>
          <w:left w:w="108" w:type="dxa"/>
          <w:bottom w:w="0" w:type="dxa"/>
          <w:right w:w="108" w:type="dxa"/>
        </w:tblCellMar>
      </w:tblPr>
      <w:tblGrid>
        <w:gridCol w:w="426"/>
        <w:gridCol w:w="1944"/>
        <w:gridCol w:w="741"/>
        <w:gridCol w:w="1505"/>
        <w:gridCol w:w="988"/>
        <w:gridCol w:w="567"/>
        <w:gridCol w:w="921"/>
        <w:gridCol w:w="1201"/>
        <w:gridCol w:w="1319"/>
        <w:gridCol w:w="28"/>
      </w:tblGrid>
      <w:tr>
        <w:tblPrEx>
          <w:tblCellMar>
            <w:top w:w="0" w:type="dxa"/>
            <w:left w:w="108" w:type="dxa"/>
            <w:bottom w:w="0" w:type="dxa"/>
            <w:right w:w="108" w:type="dxa"/>
          </w:tblCellMar>
        </w:tblPrEx>
        <w:trPr>
          <w:trHeight w:val="340" w:hRule="atLeast"/>
        </w:trPr>
        <w:tc>
          <w:tcPr>
            <w:tcW w:w="9640" w:type="dxa"/>
            <w:gridSpan w:val="10"/>
            <w:tcBorders>
              <w:top w:val="nil"/>
              <w:left w:val="nil"/>
              <w:bottom w:val="nil"/>
              <w:right w:val="nil"/>
            </w:tcBorders>
            <w:shd w:val="clear" w:color="auto" w:fill="auto"/>
            <w:vAlign w:val="center"/>
          </w:tcPr>
          <w:p>
            <w:pPr>
              <w:widowControl/>
              <w:jc w:val="center"/>
              <w:rPr>
                <w:rFonts w:ascii="Times New Roman" w:hAnsi="Times New Roman" w:eastAsia="宋体"/>
                <w:b/>
                <w:bCs/>
                <w:color w:val="000000"/>
                <w:kern w:val="0"/>
                <w:szCs w:val="21"/>
              </w:rPr>
            </w:pPr>
            <w:r>
              <w:rPr>
                <w:rFonts w:ascii="Times New Roman" w:hAnsi="Times New Roman" w:eastAsia="宋体"/>
                <w:b/>
                <w:bCs/>
                <w:color w:val="000000"/>
                <w:kern w:val="0"/>
                <w:szCs w:val="21"/>
              </w:rPr>
              <w:t>评估结果汇总表</w:t>
            </w:r>
          </w:p>
        </w:tc>
      </w:tr>
      <w:tr>
        <w:tblPrEx>
          <w:tblCellMar>
            <w:top w:w="0" w:type="dxa"/>
            <w:left w:w="108" w:type="dxa"/>
            <w:bottom w:w="0" w:type="dxa"/>
            <w:right w:w="108" w:type="dxa"/>
          </w:tblCellMar>
        </w:tblPrEx>
        <w:trPr>
          <w:trHeight w:val="340" w:hRule="atLeast"/>
        </w:trPr>
        <w:tc>
          <w:tcPr>
            <w:tcW w:w="9640" w:type="dxa"/>
            <w:gridSpan w:val="10"/>
            <w:tcBorders>
              <w:top w:val="nil"/>
              <w:left w:val="nil"/>
              <w:bottom w:val="single" w:color="auto" w:sz="4" w:space="0"/>
              <w:right w:val="nil"/>
            </w:tcBorders>
            <w:shd w:val="clear" w:color="auto" w:fill="auto"/>
            <w:vAlign w:val="center"/>
          </w:tcPr>
          <w:p>
            <w:pPr>
              <w:widowControl/>
              <w:jc w:val="right"/>
              <w:rPr>
                <w:rFonts w:ascii="Times New Roman" w:hAnsi="Times New Roman" w:eastAsia="宋体"/>
                <w:color w:val="000000"/>
                <w:kern w:val="0"/>
                <w:szCs w:val="21"/>
              </w:rPr>
            </w:pPr>
            <w:r>
              <w:rPr>
                <w:rFonts w:ascii="Times New Roman" w:hAnsi="Times New Roman" w:eastAsia="宋体"/>
                <w:color w:val="000000"/>
                <w:kern w:val="0"/>
                <w:szCs w:val="21"/>
              </w:rPr>
              <w:t>金额单位：人民币元</w:t>
            </w:r>
          </w:p>
        </w:tc>
      </w:tr>
      <w:tr>
        <w:tblPrEx>
          <w:tblCellMar>
            <w:top w:w="0" w:type="dxa"/>
            <w:left w:w="108" w:type="dxa"/>
            <w:bottom w:w="0" w:type="dxa"/>
            <w:right w:w="108" w:type="dxa"/>
          </w:tblCellMar>
        </w:tblPrEx>
        <w:trPr>
          <w:gridAfter w:val="1"/>
          <w:wAfter w:w="28" w:type="dxa"/>
          <w:trHeight w:val="340" w:hRule="atLeast"/>
        </w:trPr>
        <w:tc>
          <w:tcPr>
            <w:tcW w:w="42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项目</w:t>
            </w:r>
          </w:p>
        </w:tc>
        <w:tc>
          <w:tcPr>
            <w:tcW w:w="19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估价对象</w:t>
            </w:r>
          </w:p>
        </w:tc>
        <w:tc>
          <w:tcPr>
            <w:tcW w:w="7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权利人</w:t>
            </w:r>
          </w:p>
        </w:tc>
        <w:tc>
          <w:tcPr>
            <w:tcW w:w="151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不动产权证书号</w:t>
            </w:r>
          </w:p>
        </w:tc>
        <w:tc>
          <w:tcPr>
            <w:tcW w:w="9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所在层数</w:t>
            </w:r>
            <w:r>
              <w:rPr>
                <w:rFonts w:ascii="Times New Roman" w:hAnsi="Times New Roman" w:eastAsia="宋体"/>
                <w:kern w:val="0"/>
                <w:szCs w:val="21"/>
              </w:rPr>
              <w:t>/总层数</w:t>
            </w:r>
          </w:p>
        </w:tc>
        <w:tc>
          <w:tcPr>
            <w:tcW w:w="57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用途</w:t>
            </w:r>
          </w:p>
        </w:tc>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建筑面积（㎡）</w:t>
            </w:r>
          </w:p>
        </w:tc>
        <w:tc>
          <w:tcPr>
            <w:tcW w:w="25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评估值</w:t>
            </w:r>
          </w:p>
        </w:tc>
      </w:tr>
      <w:tr>
        <w:tblPrEx>
          <w:tblCellMar>
            <w:top w:w="0" w:type="dxa"/>
            <w:left w:w="108" w:type="dxa"/>
            <w:bottom w:w="0" w:type="dxa"/>
            <w:right w:w="108" w:type="dxa"/>
          </w:tblCellMar>
        </w:tblPrEx>
        <w:trPr>
          <w:gridAfter w:val="1"/>
          <w:wAfter w:w="28" w:type="dxa"/>
          <w:trHeight w:val="340"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98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5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91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92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单 价</w:t>
            </w:r>
          </w:p>
          <w:p>
            <w:pPr>
              <w:widowControl/>
              <w:jc w:val="center"/>
              <w:rPr>
                <w:rFonts w:ascii="Times New Roman" w:hAnsi="Times New Roman" w:eastAsia="宋体"/>
                <w:color w:val="000000"/>
                <w:kern w:val="0"/>
                <w:szCs w:val="21"/>
              </w:rPr>
            </w:pPr>
            <w:r>
              <w:rPr>
                <w:rFonts w:hint="eastAsia" w:ascii="Times New Roman" w:hAnsi="Times New Roman" w:eastAsia="宋体"/>
                <w:color w:val="000000"/>
                <w:kern w:val="0"/>
                <w:szCs w:val="21"/>
              </w:rPr>
              <w:t>(</w:t>
            </w:r>
            <w:r>
              <w:rPr>
                <w:rFonts w:ascii="Times New Roman" w:hAnsi="Times New Roman" w:eastAsia="宋体"/>
                <w:color w:val="000000"/>
                <w:kern w:val="0"/>
                <w:szCs w:val="21"/>
              </w:rPr>
              <w:t>元/㎡</w:t>
            </w:r>
            <w:r>
              <w:rPr>
                <w:rFonts w:hint="eastAsia" w:ascii="Times New Roman" w:hAnsi="Times New Roman" w:eastAsia="宋体"/>
                <w:color w:val="000000"/>
                <w:kern w:val="0"/>
                <w:szCs w:val="21"/>
              </w:rPr>
              <w:t>)</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总  价</w:t>
            </w:r>
          </w:p>
          <w:p>
            <w:pPr>
              <w:widowControl/>
              <w:jc w:val="center"/>
              <w:rPr>
                <w:rFonts w:ascii="Times New Roman" w:hAnsi="Times New Roman" w:eastAsia="宋体"/>
                <w:color w:val="000000"/>
                <w:kern w:val="0"/>
                <w:szCs w:val="21"/>
              </w:rPr>
            </w:pPr>
            <w:r>
              <w:rPr>
                <w:rFonts w:hint="eastAsia" w:ascii="Times New Roman" w:hAnsi="Times New Roman" w:eastAsia="宋体"/>
                <w:color w:val="000000"/>
                <w:kern w:val="0"/>
                <w:szCs w:val="21"/>
              </w:rPr>
              <w:t>(元</w:t>
            </w:r>
            <w:r>
              <w:rPr>
                <w:rFonts w:ascii="Times New Roman" w:hAnsi="Times New Roman" w:eastAsia="宋体"/>
                <w:color w:val="000000"/>
                <w:kern w:val="0"/>
                <w:szCs w:val="21"/>
              </w:rPr>
              <w:t>)</w:t>
            </w:r>
          </w:p>
        </w:tc>
      </w:tr>
      <w:tr>
        <w:tblPrEx>
          <w:tblCellMar>
            <w:top w:w="0" w:type="dxa"/>
            <w:left w:w="108" w:type="dxa"/>
            <w:bottom w:w="0" w:type="dxa"/>
            <w:right w:w="108" w:type="dxa"/>
          </w:tblCellMar>
        </w:tblPrEx>
        <w:trPr>
          <w:gridAfter w:val="1"/>
          <w:wAfter w:w="28" w:type="dxa"/>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1</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云岩区市北路148号保利•云山国际10号楼2单元21层5号房地产</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杨智辉</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黔（2018）云岩区不动产权第0082388号</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21/-2+34</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住宅</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108.97</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10,431.00</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1,136,666.00</w:t>
            </w:r>
          </w:p>
        </w:tc>
      </w:tr>
      <w:tr>
        <w:tblPrEx>
          <w:tblCellMar>
            <w:top w:w="0" w:type="dxa"/>
            <w:left w:w="108" w:type="dxa"/>
            <w:bottom w:w="0" w:type="dxa"/>
            <w:right w:w="108" w:type="dxa"/>
          </w:tblCellMar>
        </w:tblPrEx>
        <w:trPr>
          <w:gridAfter w:val="1"/>
          <w:wAfter w:w="28" w:type="dxa"/>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2</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室内动产</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宋体"/>
                <w:kern w:val="0"/>
                <w:szCs w:val="21"/>
                <w:lang w:eastAsia="zh-CN"/>
              </w:rPr>
            </w:pPr>
            <w:r>
              <w:rPr>
                <w:rFonts w:hint="eastAsia"/>
                <w:kern w:val="0"/>
                <w:szCs w:val="21"/>
                <w:lang w:eastAsia="zh-CN"/>
              </w:rPr>
              <w:t>9,417.00</w:t>
            </w:r>
          </w:p>
        </w:tc>
      </w:tr>
      <w:tr>
        <w:tblPrEx>
          <w:tblCellMar>
            <w:top w:w="0" w:type="dxa"/>
            <w:left w:w="108" w:type="dxa"/>
            <w:bottom w:w="0" w:type="dxa"/>
            <w:right w:w="108" w:type="dxa"/>
          </w:tblCellMar>
        </w:tblPrEx>
        <w:trPr>
          <w:gridAfter w:val="1"/>
          <w:wAfter w:w="28" w:type="dxa"/>
          <w:trHeight w:val="340" w:hRule="atLeast"/>
        </w:trPr>
        <w:tc>
          <w:tcPr>
            <w:tcW w:w="241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b/>
                <w:bCs/>
                <w:color w:val="000000"/>
                <w:kern w:val="0"/>
                <w:szCs w:val="21"/>
              </w:rPr>
            </w:pPr>
            <w:r>
              <w:rPr>
                <w:rFonts w:ascii="Times New Roman" w:hAnsi="Times New Roman" w:eastAsia="宋体"/>
                <w:b/>
                <w:bCs/>
                <w:color w:val="000000"/>
                <w:kern w:val="0"/>
                <w:szCs w:val="21"/>
              </w:rPr>
              <w:t>合   计</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宋体"/>
                <w:b/>
                <w:bCs/>
                <w:kern w:val="0"/>
                <w:szCs w:val="21"/>
                <w:lang w:eastAsia="zh-CN"/>
              </w:rPr>
            </w:pPr>
            <w:r>
              <w:rPr>
                <w:rFonts w:hint="eastAsia"/>
                <w:b/>
                <w:bCs/>
                <w:kern w:val="0"/>
                <w:szCs w:val="21"/>
                <w:lang w:eastAsia="zh-CN"/>
              </w:rPr>
              <w:t>1,146,083.00</w:t>
            </w:r>
          </w:p>
        </w:tc>
      </w:tr>
    </w:tbl>
    <w:p>
      <w:pPr>
        <w:tabs>
          <w:tab w:val="left" w:pos="210"/>
          <w:tab w:val="left" w:pos="630"/>
        </w:tabs>
        <w:spacing w:line="52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其中，室内动产评估结果详细情况下表：</w:t>
      </w:r>
    </w:p>
    <w:tbl>
      <w:tblPr>
        <w:tblStyle w:val="20"/>
        <w:tblW w:w="9498" w:type="dxa"/>
        <w:tblInd w:w="0" w:type="dxa"/>
        <w:tblLayout w:type="fixed"/>
        <w:tblCellMar>
          <w:top w:w="0" w:type="dxa"/>
          <w:left w:w="108" w:type="dxa"/>
          <w:bottom w:w="0" w:type="dxa"/>
          <w:right w:w="108" w:type="dxa"/>
        </w:tblCellMar>
      </w:tblPr>
      <w:tblGrid>
        <w:gridCol w:w="774"/>
        <w:gridCol w:w="1353"/>
        <w:gridCol w:w="1627"/>
        <w:gridCol w:w="774"/>
        <w:gridCol w:w="774"/>
        <w:gridCol w:w="1360"/>
        <w:gridCol w:w="1702"/>
        <w:gridCol w:w="1134"/>
      </w:tblGrid>
      <w:tr>
        <w:tblPrEx>
          <w:tblCellMar>
            <w:top w:w="0" w:type="dxa"/>
            <w:left w:w="108" w:type="dxa"/>
            <w:bottom w:w="0" w:type="dxa"/>
            <w:right w:w="108" w:type="dxa"/>
          </w:tblCellMar>
        </w:tblPrEx>
        <w:trPr>
          <w:trHeight w:val="340" w:hRule="atLeast"/>
        </w:trPr>
        <w:tc>
          <w:tcPr>
            <w:tcW w:w="9498" w:type="dxa"/>
            <w:gridSpan w:val="8"/>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室内动产评估结果明细表</w:t>
            </w:r>
          </w:p>
        </w:tc>
      </w:tr>
      <w:tr>
        <w:tblPrEx>
          <w:tblCellMar>
            <w:top w:w="0" w:type="dxa"/>
            <w:left w:w="108" w:type="dxa"/>
            <w:bottom w:w="0" w:type="dxa"/>
            <w:right w:w="108" w:type="dxa"/>
          </w:tblCellMar>
        </w:tblPrEx>
        <w:trPr>
          <w:trHeight w:val="340" w:hRule="atLeast"/>
        </w:trPr>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1353"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1627"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4196" w:type="dxa"/>
            <w:gridSpan w:val="3"/>
            <w:tcBorders>
              <w:top w:val="nil"/>
              <w:left w:val="nil"/>
              <w:bottom w:val="single" w:color="auto" w:sz="4" w:space="0"/>
              <w:right w:val="nil"/>
            </w:tcBorders>
            <w:shd w:val="clear" w:color="auto" w:fill="auto"/>
            <w:noWrap/>
            <w:vAlign w:val="bottom"/>
          </w:tcPr>
          <w:p>
            <w:pPr>
              <w:widowControl/>
              <w:spacing w:line="280" w:lineRule="atLeast"/>
              <w:jc w:val="right"/>
              <w:rPr>
                <w:rFonts w:ascii="Times New Roman" w:hAnsi="Times New Roman" w:eastAsia="宋体"/>
                <w:kern w:val="0"/>
                <w:szCs w:val="21"/>
              </w:rPr>
            </w:pPr>
            <w:r>
              <w:rPr>
                <w:rFonts w:ascii="Times New Roman" w:hAnsi="Times New Roman" w:eastAsia="宋体"/>
                <w:kern w:val="0"/>
                <w:szCs w:val="21"/>
              </w:rPr>
              <w:t>金额单位：人民币元</w:t>
            </w:r>
          </w:p>
        </w:tc>
      </w:tr>
      <w:tr>
        <w:tblPrEx>
          <w:tblCellMar>
            <w:top w:w="0" w:type="dxa"/>
            <w:left w:w="108" w:type="dxa"/>
            <w:bottom w:w="0" w:type="dxa"/>
            <w:right w:w="108" w:type="dxa"/>
          </w:tblCellMar>
        </w:tblPrEx>
        <w:trPr>
          <w:trHeight w:val="340" w:hRule="atLeast"/>
        </w:trPr>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序号</w:t>
            </w:r>
          </w:p>
        </w:tc>
        <w:tc>
          <w:tcPr>
            <w:tcW w:w="135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名  称</w:t>
            </w:r>
          </w:p>
        </w:tc>
        <w:tc>
          <w:tcPr>
            <w:tcW w:w="162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规格型号</w:t>
            </w:r>
          </w:p>
        </w:tc>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单位</w:t>
            </w:r>
          </w:p>
        </w:tc>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数量</w:t>
            </w:r>
          </w:p>
        </w:tc>
        <w:tc>
          <w:tcPr>
            <w:tcW w:w="3062" w:type="dxa"/>
            <w:gridSpan w:val="2"/>
            <w:tcBorders>
              <w:top w:val="single" w:color="auto" w:sz="4" w:space="0"/>
              <w:left w:val="nil"/>
              <w:bottom w:val="single" w:color="auto" w:sz="4" w:space="0"/>
              <w:right w:val="nil"/>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评估价值</w:t>
            </w:r>
          </w:p>
        </w:tc>
        <w:tc>
          <w:tcPr>
            <w:tcW w:w="113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备注</w:t>
            </w:r>
          </w:p>
        </w:tc>
      </w:tr>
      <w:tr>
        <w:tblPrEx>
          <w:tblCellMar>
            <w:top w:w="0" w:type="dxa"/>
            <w:left w:w="108" w:type="dxa"/>
            <w:bottom w:w="0" w:type="dxa"/>
            <w:right w:w="108" w:type="dxa"/>
          </w:tblCellMar>
        </w:tblPrEx>
        <w:trPr>
          <w:trHeight w:val="340" w:hRule="atLeast"/>
        </w:trPr>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35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627"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评估单价</w:t>
            </w:r>
          </w:p>
        </w:tc>
        <w:tc>
          <w:tcPr>
            <w:tcW w:w="1702"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评估总价</w:t>
            </w:r>
          </w:p>
        </w:tc>
        <w:tc>
          <w:tcPr>
            <w:tcW w:w="1134" w:type="dxa"/>
            <w:vMerge w:val="continue"/>
            <w:tcBorders>
              <w:top w:val="nil"/>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冰箱</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3,539.00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3,539.00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2</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餐桌</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套</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344.00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344.00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3</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电子琴</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儿童</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53.00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53.00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4</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布沙发</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2+3</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套</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324.00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324.00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5</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暖火炉</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600.00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600.00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6</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电视机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52寸</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1,541.00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1,541.00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7</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饮水机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81.00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81.00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8</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电视柜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227.00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227.00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9</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梳妆柜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83.00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83.00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10</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茶几</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92.00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92.00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11</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大</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614.00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614.00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12</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中</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550.00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550.00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13</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儿童双层</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370.00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370.00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14</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书柜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199.00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199.00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15</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热水器</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280.00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280.00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16</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洗衣机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海尔6.0L</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520.00 </w:t>
            </w:r>
          </w:p>
        </w:tc>
        <w:tc>
          <w:tcPr>
            <w:tcW w:w="170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520.00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40" w:hRule="atLeast"/>
        </w:trPr>
        <w:tc>
          <w:tcPr>
            <w:tcW w:w="4528" w:type="dxa"/>
            <w:gridSpan w:val="4"/>
            <w:tcBorders>
              <w:top w:val="single" w:color="auto" w:sz="4" w:space="0"/>
              <w:left w:val="single" w:color="auto" w:sz="4" w:space="0"/>
              <w:bottom w:val="single" w:color="auto" w:sz="4" w:space="0"/>
              <w:right w:val="single" w:color="000000" w:sz="4" w:space="0"/>
            </w:tcBorders>
            <w:shd w:val="clear" w:color="auto" w:fill="auto"/>
            <w:noWrap/>
            <w:vAlign w:val="bottom"/>
          </w:tcPr>
          <w:p>
            <w:pPr>
              <w:widowControl/>
              <w:spacing w:line="280" w:lineRule="atLeast"/>
              <w:jc w:val="center"/>
              <w:rPr>
                <w:rFonts w:ascii="Times New Roman" w:hAnsi="Times New Roman" w:eastAsia="宋体"/>
                <w:b/>
                <w:bCs/>
                <w:kern w:val="0"/>
                <w:szCs w:val="21"/>
              </w:rPr>
            </w:pPr>
            <w:r>
              <w:rPr>
                <w:rFonts w:ascii="Times New Roman" w:hAnsi="Times New Roman" w:eastAsia="宋体"/>
                <w:b/>
                <w:bCs/>
                <w:kern w:val="0"/>
                <w:szCs w:val="21"/>
              </w:rPr>
              <w:t>合    计</w:t>
            </w:r>
          </w:p>
        </w:tc>
        <w:tc>
          <w:tcPr>
            <w:tcW w:w="774" w:type="dxa"/>
            <w:tcBorders>
              <w:top w:val="nil"/>
              <w:left w:val="nil"/>
              <w:bottom w:val="single" w:color="auto" w:sz="4" w:space="0"/>
              <w:right w:val="single" w:color="auto" w:sz="4" w:space="0"/>
            </w:tcBorders>
            <w:shd w:val="clear" w:color="auto" w:fill="auto"/>
            <w:noWrap/>
            <w:vAlign w:val="bottom"/>
          </w:tcPr>
          <w:p>
            <w:pPr>
              <w:widowControl/>
              <w:spacing w:line="280" w:lineRule="atLeast"/>
              <w:jc w:val="left"/>
              <w:rPr>
                <w:rFonts w:ascii="Times New Roman" w:hAnsi="Times New Roman" w:eastAsia="宋体"/>
                <w:b/>
                <w:bCs/>
                <w:kern w:val="0"/>
                <w:szCs w:val="21"/>
              </w:rPr>
            </w:pPr>
            <w:r>
              <w:rPr>
                <w:rFonts w:ascii="Times New Roman" w:hAnsi="Times New Roman" w:eastAsia="宋体"/>
                <w:b/>
                <w:bCs/>
                <w:kern w:val="0"/>
                <w:szCs w:val="21"/>
              </w:rPr>
              <w:t>　</w:t>
            </w:r>
          </w:p>
        </w:tc>
        <w:tc>
          <w:tcPr>
            <w:tcW w:w="1360" w:type="dxa"/>
            <w:tcBorders>
              <w:top w:val="nil"/>
              <w:left w:val="nil"/>
              <w:bottom w:val="single" w:color="auto" w:sz="4" w:space="0"/>
              <w:right w:val="single" w:color="auto" w:sz="4" w:space="0"/>
            </w:tcBorders>
            <w:shd w:val="clear" w:color="auto" w:fill="auto"/>
            <w:noWrap/>
            <w:vAlign w:val="bottom"/>
          </w:tcPr>
          <w:p>
            <w:pPr>
              <w:rPr>
                <w:rFonts w:hint="default" w:ascii="Times New Roman" w:hAnsi="Times New Roman" w:eastAsia="宋体" w:cs="Times New Roman"/>
                <w:b w:val="0"/>
                <w:bCs w:val="0"/>
                <w:kern w:val="0"/>
                <w:sz w:val="21"/>
                <w:szCs w:val="21"/>
              </w:rPr>
            </w:pPr>
          </w:p>
        </w:tc>
        <w:tc>
          <w:tcPr>
            <w:tcW w:w="1702"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right"/>
              <w:textAlignment w:val="bottom"/>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9,417.00 </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280" w:lineRule="atLeast"/>
              <w:jc w:val="left"/>
              <w:rPr>
                <w:rFonts w:ascii="Times New Roman" w:hAnsi="Times New Roman" w:eastAsia="宋体"/>
                <w:b/>
                <w:bCs/>
                <w:kern w:val="0"/>
                <w:szCs w:val="21"/>
              </w:rPr>
            </w:pPr>
            <w:r>
              <w:rPr>
                <w:rFonts w:ascii="Times New Roman" w:hAnsi="Times New Roman" w:eastAsia="宋体"/>
                <w:b/>
                <w:bCs/>
                <w:kern w:val="0"/>
                <w:szCs w:val="21"/>
              </w:rPr>
              <w:t>　</w:t>
            </w:r>
          </w:p>
        </w:tc>
      </w:tr>
      <w:bookmarkEnd w:id="19"/>
    </w:tbl>
    <w:p>
      <w:pPr>
        <w:tabs>
          <w:tab w:val="left" w:pos="210"/>
          <w:tab w:val="left" w:pos="630"/>
        </w:tabs>
        <w:spacing w:line="480" w:lineRule="exact"/>
        <w:ind w:firstLine="560" w:firstLineChars="200"/>
        <w:jc w:val="left"/>
        <w:rPr>
          <w:rFonts w:ascii="Times New Roman" w:hAnsi="Times New Roman" w:eastAsia="宋体"/>
          <w:b/>
          <w:bCs/>
          <w:sz w:val="28"/>
        </w:rPr>
      </w:pPr>
      <w:r>
        <w:rPr>
          <w:rFonts w:ascii="Times New Roman" w:hAnsi="Times New Roman" w:eastAsia="宋体"/>
          <w:b/>
          <w:bCs/>
          <w:sz w:val="28"/>
        </w:rPr>
        <w:t>七、特别提示</w:t>
      </w:r>
      <w:bookmarkEnd w:id="17"/>
      <w:bookmarkEnd w:id="18"/>
    </w:p>
    <w:p>
      <w:pPr>
        <w:pStyle w:val="10"/>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460" w:lineRule="exact"/>
        <w:ind w:left="0" w:firstLine="709"/>
        <w:textAlignment w:val="auto"/>
        <w:rPr>
          <w:rFonts w:ascii="Times New Roman" w:hAnsi="Times New Roman" w:eastAsia="宋体"/>
          <w:bCs/>
          <w:sz w:val="28"/>
        </w:rPr>
      </w:pPr>
      <w:r>
        <w:rPr>
          <w:rFonts w:ascii="Times New Roman" w:hAnsi="Times New Roman" w:eastAsia="宋体"/>
          <w:bCs/>
          <w:sz w:val="28"/>
        </w:rPr>
        <w:t>根据《最高人民法院关于人民法院确定财产处置参考价若干问题的规定》【2018年9月1日实施】第二十二条，当事人或其他利害关系人认为评估报告有下列情形之一：</w:t>
      </w:r>
      <w:r>
        <w:rPr>
          <w:rFonts w:ascii="Times New Roman" w:hAnsi="Times New Roman" w:eastAsia="宋体"/>
          <w:kern w:val="0"/>
          <w:sz w:val="28"/>
          <w:szCs w:val="28"/>
        </w:rPr>
        <w:t>（一）财产基本信息错误；（二）超出财产范围或者遗漏财产；（三）评估机构或者评估人员不具备相应评估资质；（四）评估程序严重违法</w:t>
      </w:r>
      <w:r>
        <w:rPr>
          <w:rFonts w:ascii="Times New Roman" w:hAnsi="Times New Roman" w:eastAsia="宋体"/>
          <w:bCs/>
          <w:sz w:val="28"/>
        </w:rPr>
        <w:t>；当事人在收到评估报告之日起五日</w:t>
      </w:r>
      <w:r>
        <w:rPr>
          <w:rFonts w:ascii="Times New Roman" w:hAnsi="Times New Roman" w:eastAsia="宋体"/>
          <w:bCs/>
          <w:color w:val="000000" w:themeColor="text1"/>
          <w:sz w:val="28"/>
          <w14:textFill>
            <w14:solidFill>
              <w14:schemeClr w14:val="tx1"/>
            </w14:solidFill>
          </w14:textFill>
        </w:rPr>
        <w:t>内通过</w:t>
      </w:r>
      <w:r>
        <w:rPr>
          <w:rFonts w:ascii="Times New Roman" w:hAnsi="Times New Roman" w:eastAsia="宋体"/>
          <w:color w:val="000000" w:themeColor="text1"/>
          <w:sz w:val="28"/>
          <w:szCs w:val="28"/>
          <w14:textFill>
            <w14:solidFill>
              <w14:schemeClr w14:val="tx1"/>
            </w14:solidFill>
          </w14:textFill>
        </w:rPr>
        <w:t>清镇市人民法院</w:t>
      </w:r>
      <w:r>
        <w:rPr>
          <w:rFonts w:ascii="Times New Roman" w:hAnsi="Times New Roman" w:eastAsia="宋体"/>
          <w:bCs/>
          <w:color w:val="000000" w:themeColor="text1"/>
          <w:sz w:val="28"/>
          <w14:textFill>
            <w14:solidFill>
              <w14:schemeClr w14:val="tx1"/>
            </w14:solidFill>
          </w14:textFill>
        </w:rPr>
        <w:t>向我</w:t>
      </w:r>
      <w:r>
        <w:rPr>
          <w:rFonts w:ascii="Times New Roman" w:hAnsi="Times New Roman" w:eastAsia="宋体"/>
          <w:bCs/>
          <w:sz w:val="28"/>
        </w:rPr>
        <w:t>公司提出书面异议。</w:t>
      </w:r>
    </w:p>
    <w:p>
      <w:pPr>
        <w:pStyle w:val="10"/>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460" w:lineRule="exact"/>
        <w:ind w:left="0" w:firstLine="709"/>
        <w:textAlignment w:val="auto"/>
        <w:rPr>
          <w:rFonts w:ascii="Times New Roman" w:hAnsi="Times New Roman" w:eastAsia="宋体"/>
          <w:bCs/>
          <w:sz w:val="28"/>
        </w:rPr>
      </w:pPr>
      <w:r>
        <w:rPr>
          <w:rFonts w:ascii="Times New Roman" w:hAnsi="Times New Roman" w:eastAsia="宋体"/>
          <w:bCs/>
          <w:sz w:val="28"/>
        </w:rPr>
        <w:t>本次估价现场实地查看工作：记录表由我公司注册房地产估价师綦伶俐填写，签字人员为委托人代表、权利人以及我公司注册房地产估价师苟恩奎、綦伶俐。</w:t>
      </w:r>
    </w:p>
    <w:p>
      <w:pPr>
        <w:pStyle w:val="10"/>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460" w:lineRule="exact"/>
        <w:ind w:left="0" w:firstLine="709"/>
        <w:textAlignment w:val="auto"/>
        <w:rPr>
          <w:rFonts w:ascii="Times New Roman" w:hAnsi="Times New Roman" w:eastAsia="宋体"/>
          <w:bCs/>
          <w:sz w:val="28"/>
        </w:rPr>
      </w:pPr>
      <w:r>
        <w:rPr>
          <w:rFonts w:ascii="Times New Roman" w:hAnsi="Times New Roman" w:eastAsia="宋体"/>
          <w:b/>
          <w:bCs/>
          <w:sz w:val="28"/>
          <w:szCs w:val="28"/>
        </w:rPr>
        <w:t>经估价人员向估价对象所在小区物业管理公司进行了解，据物业管理工作人员口头介绍，估价对象截止到2021年6月底，拖欠物业费4,027.59元，本次估价结果未扣除该款项，提请委托人关注该事项。</w:t>
      </w:r>
    </w:p>
    <w:p>
      <w:pPr>
        <w:pStyle w:val="10"/>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460" w:lineRule="exact"/>
        <w:ind w:left="0" w:firstLine="709"/>
        <w:textAlignment w:val="auto"/>
        <w:rPr>
          <w:rFonts w:ascii="Times New Roman" w:hAnsi="Times New Roman" w:eastAsia="宋体"/>
          <w:bCs/>
          <w:sz w:val="28"/>
        </w:rPr>
      </w:pPr>
      <w:r>
        <w:rPr>
          <w:rFonts w:ascii="Times New Roman" w:hAnsi="Times New Roman" w:eastAsia="宋体"/>
          <w:bCs/>
          <w:sz w:val="28"/>
        </w:rPr>
        <w:t>估价结果不含增值税，同时不考虑评估费、拍卖费、诉讼费、律师费等财产处置费用对评估结果的影响。</w:t>
      </w:r>
    </w:p>
    <w:p>
      <w:pPr>
        <w:pStyle w:val="10"/>
        <w:keepNext w:val="0"/>
        <w:keepLines w:val="0"/>
        <w:pageBreakBefore w:val="0"/>
        <w:widowControl w:val="0"/>
        <w:numPr>
          <w:ilvl w:val="0"/>
          <w:numId w:val="1"/>
        </w:numPr>
        <w:tabs>
          <w:tab w:val="left" w:pos="210"/>
        </w:tabs>
        <w:kinsoku/>
        <w:wordWrap/>
        <w:overflowPunct/>
        <w:topLinePunct w:val="0"/>
        <w:autoSpaceDE/>
        <w:autoSpaceDN/>
        <w:bidi w:val="0"/>
        <w:adjustRightInd/>
        <w:snapToGrid/>
        <w:spacing w:line="460" w:lineRule="exact"/>
        <w:ind w:left="0" w:firstLine="709"/>
        <w:textAlignment w:val="auto"/>
        <w:rPr>
          <w:rFonts w:ascii="Times New Roman" w:hAnsi="Times New Roman" w:eastAsia="宋体"/>
          <w:bCs/>
          <w:sz w:val="28"/>
        </w:rPr>
      </w:pPr>
      <w:r>
        <w:rPr>
          <w:rFonts w:ascii="Times New Roman" w:hAnsi="Times New Roman" w:eastAsia="宋体"/>
          <w:bCs/>
          <w:sz w:val="28"/>
        </w:rPr>
        <w:t>评估结果不等于评估对象处置可实现的成交价，不应被认为是对评估对象处置成交价的保证。</w:t>
      </w:r>
    </w:p>
    <w:p>
      <w:pPr>
        <w:pStyle w:val="10"/>
        <w:tabs>
          <w:tab w:val="left" w:pos="210"/>
        </w:tabs>
        <w:spacing w:line="720" w:lineRule="auto"/>
        <w:ind w:firstLine="2380" w:firstLineChars="850"/>
        <w:rPr>
          <w:rFonts w:ascii="Times New Roman" w:hAnsi="Times New Roman" w:eastAsia="宋体"/>
          <w:bCs/>
          <w:sz w:val="28"/>
        </w:rPr>
      </w:pPr>
      <w:r>
        <w:rPr>
          <w:rFonts w:ascii="Times New Roman" w:hAnsi="Times New Roman" w:eastAsia="宋体"/>
          <w:bCs/>
          <w:sz w:val="28"/>
        </w:rPr>
        <w:t>此函</w:t>
      </w:r>
    </w:p>
    <w:p>
      <w:pPr>
        <w:spacing w:line="500" w:lineRule="exact"/>
        <w:rPr>
          <w:rFonts w:ascii="Times New Roman" w:hAnsi="Times New Roman" w:eastAsia="宋体"/>
          <w:sz w:val="28"/>
          <w:szCs w:val="28"/>
        </w:rPr>
      </w:pPr>
      <w:r>
        <w:rPr>
          <w:rFonts w:ascii="Times New Roman" w:hAnsi="Times New Roman" w:eastAsia="宋体"/>
          <w:sz w:val="28"/>
          <w:szCs w:val="28"/>
        </w:rPr>
        <w:t xml:space="preserve">                                   法定代表人：</w:t>
      </w:r>
    </w:p>
    <w:p>
      <w:pPr>
        <w:tabs>
          <w:tab w:val="left" w:pos="1498"/>
        </w:tabs>
        <w:spacing w:line="500" w:lineRule="exact"/>
        <w:ind w:firstLine="4900" w:firstLineChars="1750"/>
        <w:rPr>
          <w:rFonts w:ascii="Times New Roman" w:hAnsi="Times New Roman" w:eastAsia="宋体"/>
          <w:sz w:val="28"/>
          <w:szCs w:val="28"/>
        </w:rPr>
      </w:pPr>
      <w:r>
        <w:rPr>
          <w:rFonts w:ascii="Times New Roman" w:hAnsi="Times New Roman" w:eastAsia="宋体"/>
          <w:sz w:val="28"/>
          <w:szCs w:val="28"/>
        </w:rPr>
        <w:t xml:space="preserve">贵州桑立房地产资产评估有限公司 </w:t>
      </w:r>
    </w:p>
    <w:p>
      <w:pPr>
        <w:tabs>
          <w:tab w:val="left" w:pos="1498"/>
        </w:tabs>
        <w:spacing w:line="500" w:lineRule="exact"/>
        <w:ind w:firstLine="4900" w:firstLineChars="1750"/>
        <w:jc w:val="left"/>
        <w:rPr>
          <w:rFonts w:ascii="Times New Roman" w:hAnsi="Times New Roman" w:eastAsia="宋体"/>
          <w:sz w:val="28"/>
          <w:szCs w:val="28"/>
        </w:rPr>
      </w:pPr>
      <w:r>
        <w:rPr>
          <w:rFonts w:ascii="Times New Roman" w:hAnsi="Times New Roman" w:eastAsia="宋体"/>
          <w:sz w:val="28"/>
          <w:szCs w:val="28"/>
        </w:rPr>
        <w:t>二〇二一年七月二十三日</w:t>
      </w:r>
    </w:p>
    <w:p>
      <w:pPr>
        <w:pStyle w:val="10"/>
        <w:tabs>
          <w:tab w:val="left" w:pos="210"/>
        </w:tabs>
        <w:spacing w:line="720" w:lineRule="auto"/>
        <w:jc w:val="center"/>
        <w:rPr>
          <w:rFonts w:ascii="Times New Roman" w:hAnsi="Times New Roman" w:eastAsia="宋体"/>
          <w:b/>
          <w:color w:val="000000"/>
          <w:sz w:val="32"/>
          <w:szCs w:val="32"/>
        </w:rPr>
      </w:pPr>
      <w:r>
        <w:rPr>
          <w:rFonts w:ascii="Times New Roman" w:hAnsi="Times New Roman" w:eastAsia="宋体"/>
          <w:b/>
          <w:color w:val="000000"/>
          <w:sz w:val="32"/>
          <w:szCs w:val="32"/>
        </w:rPr>
        <w:br w:type="page"/>
      </w:r>
      <w:r>
        <w:rPr>
          <w:rFonts w:ascii="Times New Roman" w:hAnsi="Times New Roman" w:eastAsia="宋体"/>
          <w:b/>
          <w:color w:val="000000"/>
          <w:sz w:val="32"/>
          <w:szCs w:val="32"/>
        </w:rPr>
        <w:t>估价对象照片</w:t>
      </w:r>
    </w:p>
    <w:tbl>
      <w:tblPr>
        <w:tblStyle w:val="20"/>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2500" w:type="pct"/>
            <w:vAlign w:val="center"/>
          </w:tcPr>
          <w:p>
            <w:pPr>
              <w:widowControl/>
              <w:jc w:val="center"/>
              <w:rPr>
                <w:rFonts w:ascii="Times New Roman" w:hAnsi="Times New Roman" w:eastAsia="宋体"/>
                <w:kern w:val="0"/>
                <w:sz w:val="24"/>
              </w:rPr>
            </w:pPr>
            <w:r>
              <w:rPr>
                <w:rFonts w:ascii="Times New Roman" w:hAnsi="Times New Roman" w:eastAsia="宋体"/>
              </w:rPr>
              <w:drawing>
                <wp:inline distT="0" distB="0" distL="0" distR="0">
                  <wp:extent cx="2879725"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c>
          <w:tcPr>
            <w:tcW w:w="2500" w:type="pct"/>
            <w:vAlign w:val="center"/>
          </w:tcPr>
          <w:p>
            <w:pPr>
              <w:widowControl/>
              <w:jc w:val="left"/>
              <w:rPr>
                <w:rFonts w:ascii="Times New Roman" w:hAnsi="Times New Roman" w:eastAsia="宋体"/>
                <w:kern w:val="0"/>
                <w:sz w:val="24"/>
              </w:rPr>
            </w:pPr>
            <w:r>
              <w:rPr>
                <w:rFonts w:ascii="Times New Roman" w:hAnsi="Times New Roman" w:eastAsia="宋体"/>
              </w:rPr>
              <w:drawing>
                <wp:inline distT="0" distB="0" distL="0" distR="0">
                  <wp:extent cx="2879725" cy="2159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500" w:type="pct"/>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小区入口</w:t>
            </w:r>
          </w:p>
        </w:tc>
        <w:tc>
          <w:tcPr>
            <w:tcW w:w="2500" w:type="pct"/>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楼栋外观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879725" cy="21596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879725" cy="2159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客厅</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主卧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879725" cy="21596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879725" cy="2159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次卧1</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次卧2</w:t>
            </w:r>
          </w:p>
        </w:tc>
      </w:tr>
    </w:tbl>
    <w:p>
      <w:pPr>
        <w:rPr>
          <w:rFonts w:ascii="Times New Roman" w:hAnsi="Times New Roman" w:eastAsia="宋体"/>
        </w:rPr>
      </w:pPr>
    </w:p>
    <w:p>
      <w:pPr>
        <w:widowControl/>
        <w:jc w:val="left"/>
        <w:rPr>
          <w:rFonts w:ascii="Times New Roman" w:hAnsi="Times New Roman" w:eastAsia="宋体"/>
        </w:rPr>
      </w:pPr>
      <w:r>
        <w:rPr>
          <w:rFonts w:ascii="Times New Roman" w:hAnsi="Times New Roman" w:eastAsia="宋体"/>
        </w:rPr>
        <w:br w:type="page"/>
      </w:r>
    </w:p>
    <w:p>
      <w:pPr>
        <w:rPr>
          <w:rFonts w:ascii="Times New Roman" w:hAnsi="Times New Roman" w:eastAsia="宋体"/>
        </w:rPr>
      </w:pPr>
    </w:p>
    <w:tbl>
      <w:tblPr>
        <w:tblStyle w:val="20"/>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879725" cy="2159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79900" cy="216000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1619885" cy="21596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20042"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厨房</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399665" cy="179959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99917" cy="180000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1350010" cy="179959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0035"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动产-冰箱</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动产-热水器、洗衣机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399665" cy="179959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99917" cy="1800000"/>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399665" cy="179959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99917"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动产-电视机、电视柜</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动产-暖火炉、沙发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495550" cy="18713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01095" cy="1875887"/>
                          </a:xfrm>
                          <a:prstGeom prst="rect">
                            <a:avLst/>
                          </a:prstGeom>
                          <a:noFill/>
                          <a:ln>
                            <a:noFill/>
                          </a:ln>
                        </pic:spPr>
                      </pic:pic>
                    </a:graphicData>
                  </a:graphic>
                </wp:inline>
              </w:drawing>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rPr>
              <w:drawing>
                <wp:inline distT="0" distB="0" distL="0" distR="0">
                  <wp:extent cx="2495550" cy="18713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05465" cy="1879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动产-餐桌</w:t>
            </w:r>
          </w:p>
        </w:tc>
        <w:tc>
          <w:tcPr>
            <w:tcW w:w="250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Cs/>
                <w:color w:val="000000"/>
                <w:kern w:val="0"/>
                <w:sz w:val="15"/>
                <w:szCs w:val="15"/>
              </w:rPr>
            </w:pPr>
            <w:r>
              <w:rPr>
                <w:rFonts w:ascii="Times New Roman" w:hAnsi="Times New Roman" w:eastAsia="宋体"/>
                <w:bCs/>
                <w:color w:val="000000"/>
                <w:kern w:val="0"/>
                <w:sz w:val="15"/>
                <w:szCs w:val="15"/>
              </w:rPr>
              <w:t>估价人员现场查看</w:t>
            </w:r>
          </w:p>
        </w:tc>
      </w:tr>
    </w:tbl>
    <w:p>
      <w:pPr>
        <w:spacing w:before="156" w:beforeLines="50"/>
        <w:jc w:val="center"/>
        <w:outlineLvl w:val="0"/>
        <w:rPr>
          <w:rFonts w:ascii="Times New Roman" w:hAnsi="Times New Roman" w:eastAsia="宋体"/>
        </w:rPr>
      </w:pPr>
      <w:r>
        <w:rPr>
          <w:rFonts w:ascii="Times New Roman" w:hAnsi="Times New Roman" w:eastAsia="宋体"/>
          <w:kern w:val="0"/>
          <w:sz w:val="28"/>
          <w:szCs w:val="28"/>
        </w:rPr>
        <w:br w:type="page"/>
      </w:r>
      <w:bookmarkStart w:id="20" w:name="_Toc65065893"/>
      <w:r>
        <w:rPr>
          <w:rFonts w:ascii="Times New Roman" w:hAnsi="Times New Roman" w:eastAsia="宋体"/>
          <w:b/>
          <w:sz w:val="44"/>
          <w:szCs w:val="44"/>
        </w:rPr>
        <w:t>目  录</w:t>
      </w:r>
      <w:bookmarkEnd w:id="20"/>
      <w:r>
        <w:rPr>
          <w:rFonts w:ascii="Times New Roman" w:hAnsi="Times New Roman" w:eastAsia="宋体"/>
          <w:b/>
          <w:sz w:val="28"/>
          <w:szCs w:val="28"/>
        </w:rPr>
        <w:fldChar w:fldCharType="begin"/>
      </w:r>
      <w:r>
        <w:rPr>
          <w:rFonts w:ascii="Times New Roman" w:hAnsi="Times New Roman" w:eastAsia="宋体"/>
          <w:b/>
          <w:sz w:val="28"/>
          <w:szCs w:val="28"/>
        </w:rPr>
        <w:instrText xml:space="preserve"> TOC \o "1-3" \h \z \u </w:instrText>
      </w:r>
      <w:r>
        <w:rPr>
          <w:rFonts w:ascii="Times New Roman" w:hAnsi="Times New Roman" w:eastAsia="宋体"/>
          <w:b/>
          <w:sz w:val="28"/>
          <w:szCs w:val="28"/>
        </w:rPr>
        <w:fldChar w:fldCharType="separate"/>
      </w:r>
    </w:p>
    <w:p>
      <w:pPr>
        <w:pStyle w:val="16"/>
        <w:rPr>
          <w:rFonts w:ascii="Times New Roman" w:hAnsi="Times New Roman" w:eastAsia="宋体"/>
          <w:b/>
          <w:bCs/>
          <w:color w:val="000000"/>
          <w:sz w:val="28"/>
          <w:szCs w:val="28"/>
        </w:rPr>
      </w:pPr>
      <w:r>
        <w:rPr>
          <w:rStyle w:val="27"/>
          <w:rFonts w:ascii="Times New Roman" w:hAnsi="Times New Roman" w:eastAsia="宋体"/>
          <w:b/>
          <w:bCs/>
          <w:color w:val="000000"/>
          <w:sz w:val="28"/>
          <w:szCs w:val="28"/>
        </w:rPr>
        <w:t>一、</w:t>
      </w:r>
      <w:r>
        <w:rPr>
          <w:rFonts w:ascii="Times New Roman" w:hAnsi="Times New Roman" w:eastAsia="宋体"/>
        </w:rPr>
        <w:fldChar w:fldCharType="begin"/>
      </w:r>
      <w:r>
        <w:rPr>
          <w:rFonts w:ascii="Times New Roman" w:hAnsi="Times New Roman" w:eastAsia="宋体"/>
        </w:rPr>
        <w:instrText xml:space="preserve"> HYPERLINK \l "_Toc65065894" </w:instrText>
      </w:r>
      <w:r>
        <w:rPr>
          <w:rFonts w:ascii="Times New Roman" w:hAnsi="Times New Roman" w:eastAsia="宋体"/>
        </w:rPr>
        <w:fldChar w:fldCharType="separate"/>
      </w:r>
      <w:r>
        <w:rPr>
          <w:rStyle w:val="27"/>
          <w:rFonts w:ascii="Times New Roman" w:hAnsi="Times New Roman" w:eastAsia="宋体"/>
          <w:b/>
          <w:bCs/>
          <w:color w:val="000000"/>
          <w:sz w:val="28"/>
          <w:szCs w:val="28"/>
        </w:rPr>
        <w:t>注册房地产估价师声明</w:t>
      </w:r>
      <w:r>
        <w:rPr>
          <w:rFonts w:ascii="Times New Roman" w:hAnsi="Times New Roman" w:eastAsia="宋体"/>
          <w:b/>
          <w:bCs/>
          <w:color w:val="000000"/>
          <w:sz w:val="28"/>
          <w:szCs w:val="28"/>
        </w:rPr>
        <w:tab/>
      </w:r>
      <w:r>
        <w:rPr>
          <w:rFonts w:ascii="Times New Roman" w:hAnsi="Times New Roman" w:eastAsia="宋体"/>
          <w:b/>
          <w:bCs/>
          <w:color w:val="000000"/>
          <w:sz w:val="28"/>
          <w:szCs w:val="28"/>
        </w:rPr>
        <w:fldChar w:fldCharType="begin"/>
      </w:r>
      <w:r>
        <w:rPr>
          <w:rFonts w:ascii="Times New Roman" w:hAnsi="Times New Roman" w:eastAsia="宋体"/>
          <w:b/>
          <w:bCs/>
          <w:color w:val="000000"/>
          <w:sz w:val="28"/>
          <w:szCs w:val="28"/>
        </w:rPr>
        <w:instrText xml:space="preserve"> PAGEREF _Toc65065894 \h </w:instrText>
      </w:r>
      <w:r>
        <w:rPr>
          <w:rFonts w:ascii="Times New Roman" w:hAnsi="Times New Roman" w:eastAsia="宋体"/>
          <w:b/>
          <w:bCs/>
          <w:color w:val="000000"/>
          <w:sz w:val="28"/>
          <w:szCs w:val="28"/>
        </w:rPr>
        <w:fldChar w:fldCharType="separate"/>
      </w:r>
      <w:r>
        <w:rPr>
          <w:rFonts w:ascii="Times New Roman" w:hAnsi="Times New Roman" w:eastAsia="宋体"/>
          <w:b/>
          <w:bCs/>
          <w:color w:val="000000"/>
          <w:sz w:val="28"/>
          <w:szCs w:val="28"/>
        </w:rPr>
        <w:t>8</w:t>
      </w:r>
      <w:r>
        <w:rPr>
          <w:rFonts w:ascii="Times New Roman" w:hAnsi="Times New Roman" w:eastAsia="宋体"/>
          <w:b/>
          <w:bCs/>
          <w:color w:val="000000"/>
          <w:sz w:val="28"/>
          <w:szCs w:val="28"/>
        </w:rPr>
        <w:fldChar w:fldCharType="end"/>
      </w:r>
      <w:r>
        <w:rPr>
          <w:rFonts w:ascii="Times New Roman" w:hAnsi="Times New Roman" w:eastAsia="宋体"/>
          <w:b/>
          <w:bCs/>
          <w:color w:val="000000"/>
          <w:sz w:val="28"/>
          <w:szCs w:val="28"/>
        </w:rPr>
        <w:fldChar w:fldCharType="end"/>
      </w:r>
    </w:p>
    <w:p>
      <w:pPr>
        <w:pStyle w:val="16"/>
        <w:rPr>
          <w:rFonts w:ascii="Times New Roman" w:hAnsi="Times New Roman" w:eastAsia="宋体"/>
          <w:b/>
          <w:bCs/>
          <w:color w:val="000000"/>
          <w:sz w:val="28"/>
          <w:szCs w:val="28"/>
        </w:rPr>
      </w:pPr>
      <w:r>
        <w:rPr>
          <w:rStyle w:val="27"/>
          <w:rFonts w:ascii="Times New Roman" w:hAnsi="Times New Roman" w:eastAsia="宋体"/>
          <w:b/>
          <w:bCs/>
          <w:color w:val="000000"/>
          <w:sz w:val="28"/>
          <w:szCs w:val="28"/>
        </w:rPr>
        <w:t>二、</w:t>
      </w:r>
      <w:r>
        <w:rPr>
          <w:rFonts w:ascii="Times New Roman" w:hAnsi="Times New Roman" w:eastAsia="宋体"/>
        </w:rPr>
        <w:fldChar w:fldCharType="begin"/>
      </w:r>
      <w:r>
        <w:rPr>
          <w:rFonts w:ascii="Times New Roman" w:hAnsi="Times New Roman" w:eastAsia="宋体"/>
        </w:rPr>
        <w:instrText xml:space="preserve"> HYPERLINK \l "_Toc65065895" </w:instrText>
      </w:r>
      <w:r>
        <w:rPr>
          <w:rFonts w:ascii="Times New Roman" w:hAnsi="Times New Roman" w:eastAsia="宋体"/>
        </w:rPr>
        <w:fldChar w:fldCharType="separate"/>
      </w:r>
      <w:r>
        <w:rPr>
          <w:rStyle w:val="27"/>
          <w:rFonts w:ascii="Times New Roman" w:hAnsi="Times New Roman" w:eastAsia="宋体"/>
          <w:b/>
          <w:bCs/>
          <w:color w:val="000000"/>
          <w:sz w:val="28"/>
          <w:szCs w:val="28"/>
        </w:rPr>
        <w:t>估价的假设和限制条件</w:t>
      </w:r>
      <w:r>
        <w:rPr>
          <w:rFonts w:ascii="Times New Roman" w:hAnsi="Times New Roman" w:eastAsia="宋体"/>
          <w:b/>
          <w:bCs/>
          <w:color w:val="000000"/>
          <w:sz w:val="28"/>
          <w:szCs w:val="28"/>
        </w:rPr>
        <w:tab/>
      </w:r>
      <w:r>
        <w:rPr>
          <w:rFonts w:ascii="Times New Roman" w:hAnsi="Times New Roman" w:eastAsia="宋体"/>
          <w:b/>
          <w:bCs/>
          <w:color w:val="000000"/>
          <w:sz w:val="28"/>
          <w:szCs w:val="28"/>
        </w:rPr>
        <w:fldChar w:fldCharType="begin"/>
      </w:r>
      <w:r>
        <w:rPr>
          <w:rFonts w:ascii="Times New Roman" w:hAnsi="Times New Roman" w:eastAsia="宋体"/>
          <w:b/>
          <w:bCs/>
          <w:color w:val="000000"/>
          <w:sz w:val="28"/>
          <w:szCs w:val="28"/>
        </w:rPr>
        <w:instrText xml:space="preserve"> PAGEREF _Toc65065895 \h </w:instrText>
      </w:r>
      <w:r>
        <w:rPr>
          <w:rFonts w:ascii="Times New Roman" w:hAnsi="Times New Roman" w:eastAsia="宋体"/>
          <w:b/>
          <w:bCs/>
          <w:color w:val="000000"/>
          <w:sz w:val="28"/>
          <w:szCs w:val="28"/>
        </w:rPr>
        <w:fldChar w:fldCharType="separate"/>
      </w:r>
      <w:r>
        <w:rPr>
          <w:rFonts w:ascii="Times New Roman" w:hAnsi="Times New Roman" w:eastAsia="宋体"/>
          <w:b/>
          <w:bCs/>
          <w:color w:val="000000"/>
          <w:sz w:val="28"/>
          <w:szCs w:val="28"/>
        </w:rPr>
        <w:t>9</w:t>
      </w:r>
      <w:r>
        <w:rPr>
          <w:rFonts w:ascii="Times New Roman" w:hAnsi="Times New Roman" w:eastAsia="宋体"/>
          <w:b/>
          <w:bCs/>
          <w:color w:val="000000"/>
          <w:sz w:val="28"/>
          <w:szCs w:val="28"/>
        </w:rPr>
        <w:fldChar w:fldCharType="end"/>
      </w:r>
      <w:r>
        <w:rPr>
          <w:rFonts w:ascii="Times New Roman" w:hAnsi="Times New Roman" w:eastAsia="宋体"/>
          <w:b/>
          <w:bCs/>
          <w:color w:val="000000"/>
          <w:sz w:val="28"/>
          <w:szCs w:val="28"/>
        </w:rPr>
        <w:fldChar w:fldCharType="end"/>
      </w:r>
    </w:p>
    <w:p>
      <w:pPr>
        <w:pStyle w:val="16"/>
        <w:rPr>
          <w:rFonts w:ascii="Times New Roman" w:hAnsi="Times New Roman" w:eastAsia="宋体"/>
          <w:b/>
          <w:bCs/>
          <w:color w:val="000000"/>
          <w:sz w:val="28"/>
          <w:szCs w:val="28"/>
        </w:rPr>
      </w:pPr>
      <w:r>
        <w:rPr>
          <w:rStyle w:val="27"/>
          <w:rFonts w:ascii="Times New Roman" w:hAnsi="Times New Roman" w:eastAsia="宋体"/>
          <w:b/>
          <w:bCs/>
          <w:color w:val="000000"/>
          <w:sz w:val="28"/>
          <w:szCs w:val="28"/>
        </w:rPr>
        <w:t>三、</w:t>
      </w:r>
      <w:r>
        <w:rPr>
          <w:rFonts w:ascii="Times New Roman" w:hAnsi="Times New Roman" w:eastAsia="宋体"/>
        </w:rPr>
        <w:fldChar w:fldCharType="begin"/>
      </w:r>
      <w:r>
        <w:rPr>
          <w:rFonts w:ascii="Times New Roman" w:hAnsi="Times New Roman" w:eastAsia="宋体"/>
        </w:rPr>
        <w:instrText xml:space="preserve"> HYPERLINK \l "_Toc65065902" </w:instrText>
      </w:r>
      <w:r>
        <w:rPr>
          <w:rFonts w:ascii="Times New Roman" w:hAnsi="Times New Roman" w:eastAsia="宋体"/>
        </w:rPr>
        <w:fldChar w:fldCharType="separate"/>
      </w:r>
      <w:r>
        <w:rPr>
          <w:rStyle w:val="27"/>
          <w:rFonts w:ascii="Times New Roman" w:hAnsi="Times New Roman" w:eastAsia="宋体"/>
          <w:b/>
          <w:bCs/>
          <w:color w:val="000000"/>
          <w:sz w:val="28"/>
          <w:szCs w:val="28"/>
        </w:rPr>
        <w:t>房地产估价结果报告</w:t>
      </w:r>
      <w:r>
        <w:rPr>
          <w:rFonts w:ascii="Times New Roman" w:hAnsi="Times New Roman" w:eastAsia="宋体"/>
          <w:b/>
          <w:bCs/>
          <w:color w:val="000000"/>
          <w:sz w:val="28"/>
          <w:szCs w:val="28"/>
        </w:rPr>
        <w:tab/>
      </w:r>
      <w:r>
        <w:rPr>
          <w:rFonts w:ascii="Times New Roman" w:hAnsi="Times New Roman" w:eastAsia="宋体"/>
          <w:b/>
          <w:bCs/>
          <w:color w:val="000000"/>
          <w:sz w:val="28"/>
          <w:szCs w:val="28"/>
        </w:rPr>
        <w:fldChar w:fldCharType="begin"/>
      </w:r>
      <w:r>
        <w:rPr>
          <w:rFonts w:ascii="Times New Roman" w:hAnsi="Times New Roman" w:eastAsia="宋体"/>
          <w:b/>
          <w:bCs/>
          <w:color w:val="000000"/>
          <w:sz w:val="28"/>
          <w:szCs w:val="28"/>
        </w:rPr>
        <w:instrText xml:space="preserve"> PAGEREF _Toc65065902 \h </w:instrText>
      </w:r>
      <w:r>
        <w:rPr>
          <w:rFonts w:ascii="Times New Roman" w:hAnsi="Times New Roman" w:eastAsia="宋体"/>
          <w:b/>
          <w:bCs/>
          <w:color w:val="000000"/>
          <w:sz w:val="28"/>
          <w:szCs w:val="28"/>
        </w:rPr>
        <w:fldChar w:fldCharType="separate"/>
      </w:r>
      <w:r>
        <w:rPr>
          <w:rFonts w:ascii="Times New Roman" w:hAnsi="Times New Roman" w:eastAsia="宋体"/>
          <w:b/>
          <w:bCs/>
          <w:color w:val="000000"/>
          <w:sz w:val="28"/>
          <w:szCs w:val="28"/>
        </w:rPr>
        <w:t>12</w:t>
      </w:r>
      <w:r>
        <w:rPr>
          <w:rFonts w:ascii="Times New Roman" w:hAnsi="Times New Roman" w:eastAsia="宋体"/>
          <w:b/>
          <w:bCs/>
          <w:color w:val="000000"/>
          <w:sz w:val="28"/>
          <w:szCs w:val="28"/>
        </w:rPr>
        <w:fldChar w:fldCharType="end"/>
      </w:r>
      <w:r>
        <w:rPr>
          <w:rFonts w:ascii="Times New Roman" w:hAnsi="Times New Roman" w:eastAsia="宋体"/>
          <w:b/>
          <w:bCs/>
          <w:color w:val="000000"/>
          <w:sz w:val="28"/>
          <w:szCs w:val="28"/>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"_Toc65065903" </w:instrText>
      </w:r>
      <w:r>
        <w:rPr>
          <w:rFonts w:ascii="Times New Roman" w:hAnsi="Times New Roman" w:eastAsia="宋体"/>
        </w:rPr>
        <w:fldChar w:fldCharType="separate"/>
      </w:r>
      <w:r>
        <w:rPr>
          <w:rStyle w:val="27"/>
          <w:rFonts w:ascii="Times New Roman" w:hAnsi="Times New Roman" w:eastAsia="宋体"/>
        </w:rPr>
        <w:t>1、 估价委托人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_Toc65065903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"_Toc65065904" </w:instrText>
      </w:r>
      <w:r>
        <w:rPr>
          <w:rFonts w:ascii="Times New Roman" w:hAnsi="Times New Roman" w:eastAsia="宋体"/>
        </w:rPr>
        <w:fldChar w:fldCharType="separate"/>
      </w:r>
      <w:r>
        <w:rPr>
          <w:rStyle w:val="27"/>
          <w:rFonts w:ascii="Times New Roman" w:hAnsi="Times New Roman" w:eastAsia="宋体"/>
        </w:rPr>
        <w:t>2、 房地产估价机构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_Toc65065904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"_Toc65065905" </w:instrText>
      </w:r>
      <w:r>
        <w:rPr>
          <w:rFonts w:ascii="Times New Roman" w:hAnsi="Times New Roman" w:eastAsia="宋体"/>
        </w:rPr>
        <w:fldChar w:fldCharType="separate"/>
      </w:r>
      <w:r>
        <w:rPr>
          <w:rStyle w:val="27"/>
          <w:rFonts w:ascii="Times New Roman" w:hAnsi="Times New Roman" w:eastAsia="宋体"/>
        </w:rPr>
        <w:t>3、 估价目的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_Toc65065905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"_Toc65065906" </w:instrText>
      </w:r>
      <w:r>
        <w:rPr>
          <w:rFonts w:ascii="Times New Roman" w:hAnsi="Times New Roman" w:eastAsia="宋体"/>
        </w:rPr>
        <w:fldChar w:fldCharType="separate"/>
      </w:r>
      <w:r>
        <w:rPr>
          <w:rStyle w:val="27"/>
          <w:rFonts w:ascii="Times New Roman" w:hAnsi="Times New Roman" w:eastAsia="宋体"/>
        </w:rPr>
        <w:t>4、 估价对象</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_Toc65065906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"_Toc65065912" </w:instrText>
      </w:r>
      <w:r>
        <w:rPr>
          <w:rFonts w:ascii="Times New Roman" w:hAnsi="Times New Roman" w:eastAsia="宋体"/>
        </w:rPr>
        <w:fldChar w:fldCharType="separate"/>
      </w:r>
      <w:r>
        <w:rPr>
          <w:rStyle w:val="27"/>
          <w:rFonts w:ascii="Times New Roman" w:hAnsi="Times New Roman" w:eastAsia="宋体"/>
        </w:rPr>
        <w:t>5、 价值时点</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_Toc65065912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"_Toc65065913" </w:instrText>
      </w:r>
      <w:r>
        <w:rPr>
          <w:rFonts w:ascii="Times New Roman" w:hAnsi="Times New Roman" w:eastAsia="宋体"/>
        </w:rPr>
        <w:fldChar w:fldCharType="separate"/>
      </w:r>
      <w:r>
        <w:rPr>
          <w:rStyle w:val="27"/>
          <w:rFonts w:ascii="Times New Roman" w:hAnsi="Times New Roman" w:eastAsia="宋体"/>
        </w:rPr>
        <w:t>6、 价值类型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_Toc65065913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"_Toc65065914" </w:instrText>
      </w:r>
      <w:r>
        <w:rPr>
          <w:rFonts w:ascii="Times New Roman" w:hAnsi="Times New Roman" w:eastAsia="宋体"/>
        </w:rPr>
        <w:fldChar w:fldCharType="separate"/>
      </w:r>
      <w:r>
        <w:rPr>
          <w:rStyle w:val="27"/>
          <w:rFonts w:ascii="Times New Roman" w:hAnsi="Times New Roman" w:eastAsia="宋体"/>
        </w:rPr>
        <w:t>7、 估价原则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_Toc65065914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"_Toc65065915" </w:instrText>
      </w:r>
      <w:r>
        <w:rPr>
          <w:rFonts w:ascii="Times New Roman" w:hAnsi="Times New Roman" w:eastAsia="宋体"/>
        </w:rPr>
        <w:fldChar w:fldCharType="separate"/>
      </w:r>
      <w:r>
        <w:rPr>
          <w:rStyle w:val="27"/>
          <w:rFonts w:ascii="Times New Roman" w:hAnsi="Times New Roman" w:eastAsia="宋体"/>
        </w:rPr>
        <w:t>8、 估价依据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_Toc65065915 \h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"_Toc65065920" </w:instrText>
      </w:r>
      <w:r>
        <w:rPr>
          <w:rFonts w:ascii="Times New Roman" w:hAnsi="Times New Roman" w:eastAsia="宋体"/>
        </w:rPr>
        <w:fldChar w:fldCharType="separate"/>
      </w:r>
      <w:r>
        <w:rPr>
          <w:rStyle w:val="27"/>
          <w:rFonts w:ascii="Times New Roman" w:hAnsi="Times New Roman" w:eastAsia="宋体"/>
        </w:rPr>
        <w:t>9、 估价方法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_Toc65065920 \h </w:instrText>
      </w:r>
      <w:r>
        <w:rPr>
          <w:rFonts w:ascii="Times New Roman" w:hAnsi="Times New Roman" w:eastAsia="宋体"/>
        </w:rPr>
        <w:fldChar w:fldCharType="separate"/>
      </w:r>
      <w:r>
        <w:rPr>
          <w:rFonts w:ascii="Times New Roman" w:hAnsi="Times New Roman" w:eastAsia="宋体"/>
        </w:rPr>
        <w:t>18</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"_Toc65065921" </w:instrText>
      </w:r>
      <w:r>
        <w:rPr>
          <w:rFonts w:ascii="Times New Roman" w:hAnsi="Times New Roman" w:eastAsia="宋体"/>
        </w:rPr>
        <w:fldChar w:fldCharType="separate"/>
      </w:r>
      <w:r>
        <w:rPr>
          <w:rStyle w:val="27"/>
          <w:rFonts w:ascii="Times New Roman" w:hAnsi="Times New Roman" w:eastAsia="宋体"/>
        </w:rPr>
        <w:t>10、 估价结果</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_Toc65065921 \h </w:instrText>
      </w:r>
      <w:r>
        <w:rPr>
          <w:rFonts w:ascii="Times New Roman" w:hAnsi="Times New Roman" w:eastAsia="宋体"/>
        </w:rPr>
        <w:fldChar w:fldCharType="separate"/>
      </w:r>
      <w:r>
        <w:rPr>
          <w:rFonts w:ascii="Times New Roman" w:hAnsi="Times New Roman" w:eastAsia="宋体"/>
        </w:rPr>
        <w:t>21</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"_Toc65065922" </w:instrText>
      </w:r>
      <w:r>
        <w:rPr>
          <w:rFonts w:ascii="Times New Roman" w:hAnsi="Times New Roman" w:eastAsia="宋体"/>
        </w:rPr>
        <w:fldChar w:fldCharType="separate"/>
      </w:r>
      <w:r>
        <w:rPr>
          <w:rStyle w:val="27"/>
          <w:rFonts w:ascii="Times New Roman" w:hAnsi="Times New Roman" w:eastAsia="宋体"/>
        </w:rPr>
        <w:t>11、 注册房地产估价师</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_Toc65065922 \h </w:instrText>
      </w:r>
      <w:r>
        <w:rPr>
          <w:rFonts w:ascii="Times New Roman" w:hAnsi="Times New Roman" w:eastAsia="宋体"/>
        </w:rPr>
        <w:fldChar w:fldCharType="separate"/>
      </w:r>
      <w:r>
        <w:rPr>
          <w:rFonts w:ascii="Times New Roman" w:hAnsi="Times New Roman" w:eastAsia="宋体"/>
        </w:rPr>
        <w:t>21</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"_Toc65065923" </w:instrText>
      </w:r>
      <w:r>
        <w:rPr>
          <w:rFonts w:ascii="Times New Roman" w:hAnsi="Times New Roman" w:eastAsia="宋体"/>
        </w:rPr>
        <w:fldChar w:fldCharType="separate"/>
      </w:r>
      <w:r>
        <w:rPr>
          <w:rStyle w:val="27"/>
          <w:rFonts w:ascii="Times New Roman" w:hAnsi="Times New Roman" w:eastAsia="宋体"/>
        </w:rPr>
        <w:t>12、 实地查勘期</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_Toc65065923 \h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"_Toc65065924" </w:instrText>
      </w:r>
      <w:r>
        <w:rPr>
          <w:rFonts w:ascii="Times New Roman" w:hAnsi="Times New Roman" w:eastAsia="宋体"/>
        </w:rPr>
        <w:fldChar w:fldCharType="separate"/>
      </w:r>
      <w:r>
        <w:rPr>
          <w:rStyle w:val="27"/>
          <w:rFonts w:ascii="Times New Roman" w:hAnsi="Times New Roman" w:eastAsia="宋体"/>
        </w:rPr>
        <w:t>13、 估价作业期</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_Toc65065924 \h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rPr>
        <w:fldChar w:fldCharType="end"/>
      </w:r>
    </w:p>
    <w:p>
      <w:pPr>
        <w:pStyle w:val="17"/>
        <w:spacing w:line="500" w:lineRule="exact"/>
        <w:ind w:firstLine="480" w:firstLineChars="200"/>
        <w:rPr>
          <w:rFonts w:ascii="Times New Roman" w:hAnsi="Times New Roman" w:eastAsia="宋体"/>
          <w:sz w:val="21"/>
          <w:szCs w:val="22"/>
        </w:rPr>
      </w:pPr>
      <w:r>
        <w:rPr>
          <w:rFonts w:ascii="Times New Roman" w:hAnsi="Times New Roman" w:eastAsia="宋体"/>
        </w:rPr>
        <w:fldChar w:fldCharType="begin"/>
      </w:r>
      <w:r>
        <w:rPr>
          <w:rFonts w:ascii="Times New Roman" w:hAnsi="Times New Roman" w:eastAsia="宋体"/>
        </w:rPr>
        <w:instrText xml:space="preserve"> HYPERLINK \l "_Toc65065925" </w:instrText>
      </w:r>
      <w:r>
        <w:rPr>
          <w:rFonts w:ascii="Times New Roman" w:hAnsi="Times New Roman" w:eastAsia="宋体"/>
        </w:rPr>
        <w:fldChar w:fldCharType="separate"/>
      </w:r>
      <w:r>
        <w:rPr>
          <w:rStyle w:val="27"/>
          <w:rFonts w:ascii="Times New Roman" w:hAnsi="Times New Roman" w:eastAsia="宋体"/>
        </w:rPr>
        <w:t>14、 估价报告应用的有效期</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_Toc65065925 \h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rPr>
        <w:fldChar w:fldCharType="end"/>
      </w:r>
    </w:p>
    <w:p>
      <w:pPr>
        <w:pStyle w:val="10"/>
        <w:tabs>
          <w:tab w:val="left" w:pos="210"/>
        </w:tabs>
        <w:spacing w:line="500" w:lineRule="exact"/>
        <w:rPr>
          <w:rFonts w:ascii="Times New Roman" w:hAnsi="Times New Roman" w:eastAsia="宋体"/>
          <w:b/>
          <w:sz w:val="28"/>
        </w:rPr>
      </w:pPr>
      <w:r>
        <w:rPr>
          <w:rFonts w:ascii="Times New Roman" w:hAnsi="Times New Roman" w:eastAsia="宋体"/>
          <w:b/>
          <w:sz w:val="28"/>
          <w:szCs w:val="28"/>
        </w:rPr>
        <w:fldChar w:fldCharType="end"/>
      </w:r>
      <w:r>
        <w:rPr>
          <w:rFonts w:ascii="Times New Roman" w:hAnsi="Times New Roman" w:eastAsia="宋体"/>
          <w:b/>
          <w:sz w:val="28"/>
          <w:szCs w:val="28"/>
        </w:rPr>
        <w:t>四、附件</w:t>
      </w:r>
    </w:p>
    <w:p>
      <w:pPr>
        <w:numPr>
          <w:ilvl w:val="0"/>
          <w:numId w:val="2"/>
        </w:numPr>
        <w:adjustRightInd w:val="0"/>
        <w:snapToGrid w:val="0"/>
        <w:spacing w:line="500" w:lineRule="exact"/>
        <w:rPr>
          <w:rFonts w:ascii="Times New Roman" w:hAnsi="Times New Roman" w:eastAsia="宋体"/>
          <w:sz w:val="24"/>
        </w:rPr>
      </w:pPr>
      <w:r>
        <w:rPr>
          <w:rFonts w:ascii="Times New Roman" w:hAnsi="Times New Roman" w:eastAsia="宋体"/>
          <w:sz w:val="24"/>
        </w:rPr>
        <w:t>清镇市人民法院《委托书》【（2021）黔0181执759号】；</w:t>
      </w:r>
    </w:p>
    <w:p>
      <w:pPr>
        <w:numPr>
          <w:ilvl w:val="0"/>
          <w:numId w:val="2"/>
        </w:numPr>
        <w:adjustRightInd w:val="0"/>
        <w:snapToGrid w:val="0"/>
        <w:spacing w:line="500" w:lineRule="exact"/>
        <w:rPr>
          <w:rFonts w:ascii="Times New Roman" w:hAnsi="Times New Roman" w:eastAsia="宋体"/>
          <w:sz w:val="24"/>
        </w:rPr>
      </w:pPr>
      <w:r>
        <w:rPr>
          <w:rFonts w:hint="eastAsia" w:ascii="Times New Roman" w:hAnsi="Times New Roman" w:eastAsia="宋体"/>
          <w:sz w:val="24"/>
        </w:rPr>
        <w:t>《贵州省清镇市人民法院移送委托评估函(补充说明)》【（2021）黔0181执759号之一】；</w:t>
      </w:r>
    </w:p>
    <w:p>
      <w:pPr>
        <w:numPr>
          <w:ilvl w:val="0"/>
          <w:numId w:val="2"/>
        </w:numPr>
        <w:adjustRightInd w:val="0"/>
        <w:snapToGrid w:val="0"/>
        <w:spacing w:line="500" w:lineRule="exact"/>
        <w:rPr>
          <w:rFonts w:ascii="Times New Roman" w:hAnsi="Times New Roman" w:eastAsia="宋体"/>
          <w:sz w:val="24"/>
        </w:rPr>
      </w:pPr>
      <w:r>
        <w:rPr>
          <w:rFonts w:ascii="Times New Roman" w:hAnsi="Times New Roman" w:eastAsia="宋体"/>
          <w:sz w:val="24"/>
        </w:rPr>
        <w:t>《房地产权结果信息一览表》；</w:t>
      </w:r>
    </w:p>
    <w:p>
      <w:pPr>
        <w:numPr>
          <w:ilvl w:val="0"/>
          <w:numId w:val="2"/>
        </w:numPr>
        <w:adjustRightInd w:val="0"/>
        <w:snapToGrid w:val="0"/>
        <w:spacing w:line="500" w:lineRule="exact"/>
        <w:rPr>
          <w:rFonts w:ascii="Times New Roman" w:hAnsi="Times New Roman" w:eastAsia="宋体"/>
          <w:sz w:val="24"/>
        </w:rPr>
      </w:pPr>
      <w:r>
        <w:rPr>
          <w:rFonts w:ascii="Times New Roman" w:hAnsi="Times New Roman" w:eastAsia="宋体"/>
          <w:sz w:val="24"/>
        </w:rPr>
        <w:t>房地产估价机构营业执照和估价资质证书；</w:t>
      </w:r>
    </w:p>
    <w:p>
      <w:pPr>
        <w:numPr>
          <w:ilvl w:val="0"/>
          <w:numId w:val="2"/>
        </w:numPr>
        <w:adjustRightInd w:val="0"/>
        <w:snapToGrid w:val="0"/>
        <w:spacing w:line="500" w:lineRule="exact"/>
        <w:rPr>
          <w:rFonts w:ascii="Times New Roman" w:hAnsi="Times New Roman" w:eastAsia="宋体"/>
          <w:sz w:val="24"/>
        </w:rPr>
      </w:pPr>
      <w:r>
        <w:rPr>
          <w:rFonts w:ascii="Times New Roman" w:hAnsi="Times New Roman" w:eastAsia="宋体"/>
          <w:sz w:val="24"/>
        </w:rPr>
        <w:t>注册房地产估价师资质证书。</w:t>
      </w:r>
    </w:p>
    <w:p>
      <w:pPr>
        <w:adjustRightInd w:val="0"/>
        <w:snapToGrid w:val="0"/>
        <w:spacing w:line="500" w:lineRule="exact"/>
        <w:rPr>
          <w:rFonts w:ascii="Times New Roman" w:hAnsi="Times New Roman" w:eastAsia="宋体"/>
          <w:sz w:val="24"/>
        </w:rPr>
      </w:pPr>
    </w:p>
    <w:p>
      <w:pPr>
        <w:spacing w:before="312" w:beforeLines="100" w:line="500" w:lineRule="exact"/>
        <w:jc w:val="center"/>
        <w:outlineLvl w:val="0"/>
        <w:rPr>
          <w:rFonts w:ascii="Times New Roman" w:hAnsi="Times New Roman" w:eastAsia="宋体"/>
        </w:rPr>
      </w:pPr>
      <w:bookmarkStart w:id="21" w:name="_Toc46417155"/>
      <w:bookmarkStart w:id="22" w:name="_Toc472961337"/>
      <w:bookmarkStart w:id="23" w:name="_Toc396396767"/>
      <w:bookmarkStart w:id="24" w:name="_Toc476489034"/>
      <w:bookmarkStart w:id="25" w:name="_Toc497752860"/>
      <w:bookmarkStart w:id="26" w:name="_Toc445892274"/>
      <w:bookmarkStart w:id="27" w:name="_Toc4179"/>
      <w:bookmarkStart w:id="28" w:name="_Toc432574963"/>
      <w:bookmarkStart w:id="29" w:name="_Toc468882202"/>
      <w:bookmarkStart w:id="30" w:name="_Toc432490536"/>
      <w:bookmarkStart w:id="31" w:name="_Toc47874176"/>
      <w:bookmarkStart w:id="32" w:name="_Toc445891401"/>
      <w:r>
        <w:rPr>
          <w:rFonts w:ascii="Times New Roman" w:hAnsi="Times New Roman" w:eastAsia="宋体"/>
        </w:rPr>
        <w:br w:type="page"/>
      </w:r>
      <w:bookmarkStart w:id="33" w:name="_Toc65065894"/>
      <w:r>
        <w:rPr>
          <w:rFonts w:ascii="Times New Roman" w:hAnsi="Times New Roman" w:eastAsia="宋体"/>
          <w:b/>
          <w:sz w:val="44"/>
          <w:szCs w:val="44"/>
        </w:rPr>
        <w:t>注册房地产估价师声明</w:t>
      </w:r>
      <w:bookmarkEnd w:id="21"/>
      <w:bookmarkEnd w:id="22"/>
      <w:bookmarkEnd w:id="23"/>
      <w:bookmarkEnd w:id="24"/>
      <w:bookmarkEnd w:id="25"/>
      <w:bookmarkEnd w:id="26"/>
      <w:bookmarkEnd w:id="27"/>
      <w:bookmarkEnd w:id="28"/>
      <w:bookmarkEnd w:id="29"/>
      <w:bookmarkEnd w:id="30"/>
      <w:bookmarkEnd w:id="31"/>
      <w:bookmarkEnd w:id="32"/>
      <w:bookmarkEnd w:id="33"/>
    </w:p>
    <w:p>
      <w:pPr>
        <w:spacing w:line="500" w:lineRule="exact"/>
        <w:rPr>
          <w:rFonts w:ascii="Times New Roman" w:hAnsi="Times New Roman" w:eastAsia="宋体"/>
          <w:b/>
          <w:sz w:val="28"/>
          <w:szCs w:val="28"/>
        </w:rPr>
      </w:pPr>
      <w:r>
        <w:rPr>
          <w:rFonts w:ascii="Times New Roman" w:hAnsi="Times New Roman" w:eastAsia="宋体"/>
          <w:b/>
          <w:sz w:val="28"/>
          <w:szCs w:val="28"/>
        </w:rPr>
        <w:t>我们根据自己的专业知识和职业道德，在此郑重声明：</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我们在本估价报告中陈述的事实是真实的和准确的，没有虚假记载、误导性陈述和重大遗漏。</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本估价报告中的分析、意见和结论是我们独立、客观、公正的专业分析、意见和结论，但受到本估价报告中已说明的估价假设和限制条件的限制。</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我们与本估价报告中的估价对象没有现实和潜在的利益，与估价委托人及估价利害关系人没有利害关系，也对估价对象、估价委托人及估价利害关系人没有偏见。</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我们依照中华人民共和国国家标准《房地产估价规范》【国标GB/T 50291-2015】和《房地产估价基本术语标准》【GB/T 50899-2013】进行分析，形成意见和结论，撰写本估价报告。</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我公司注册房地产估价师</w:t>
      </w:r>
      <w:r>
        <w:rPr>
          <w:rFonts w:ascii="Times New Roman" w:hAnsi="Times New Roman" w:eastAsia="宋体"/>
          <w:bCs/>
          <w:sz w:val="28"/>
        </w:rPr>
        <w:t>苟恩奎、綦伶俐</w:t>
      </w:r>
      <w:r>
        <w:rPr>
          <w:rFonts w:ascii="Times New Roman" w:hAnsi="Times New Roman" w:eastAsia="宋体"/>
          <w:sz w:val="28"/>
          <w:szCs w:val="28"/>
        </w:rPr>
        <w:t>已于</w:t>
      </w:r>
      <w:r>
        <w:rPr>
          <w:rFonts w:ascii="Times New Roman" w:hAnsi="Times New Roman" w:eastAsia="宋体"/>
          <w:b/>
          <w:bCs/>
          <w:sz w:val="28"/>
          <w:szCs w:val="28"/>
        </w:rPr>
        <w:t>2021年06月29日</w:t>
      </w:r>
      <w:r>
        <w:rPr>
          <w:rFonts w:ascii="Times New Roman" w:hAnsi="Times New Roman" w:eastAsia="宋体"/>
          <w:sz w:val="28"/>
          <w:szCs w:val="28"/>
        </w:rPr>
        <w:t>对本估价报告中的估价对象进行了实地查看，估价人员对估价对象的查看限于估价对象的外观和使用状况，估价人员不承担对估价对象建筑结构质量进行调查的责任，也不承担对其他被遮盖未暴露及难于接触到的部分进行查看的责任。</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没有人对本估价报告提供了重要专业帮助。</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本报告估价结果仅作为委托人在本次估价目的下使用，不得做其他用途。未经本估价机构书面同意，本报告的全部或任何一部分均不得向委托人、报告使用者、报告审查部门以外的单位和个人提供，也不得以任何形式公开发表。</w:t>
      </w:r>
    </w:p>
    <w:p>
      <w:pPr>
        <w:numPr>
          <w:ilvl w:val="0"/>
          <w:numId w:val="3"/>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参与本次估价的工作人员</w:t>
      </w:r>
    </w:p>
    <w:tbl>
      <w:tblPr>
        <w:tblStyle w:val="20"/>
        <w:tblW w:w="0" w:type="auto"/>
        <w:tblInd w:w="95" w:type="dxa"/>
        <w:tblLayout w:type="fixed"/>
        <w:tblCellMar>
          <w:top w:w="0" w:type="dxa"/>
          <w:left w:w="108" w:type="dxa"/>
          <w:bottom w:w="0" w:type="dxa"/>
          <w:right w:w="108" w:type="dxa"/>
        </w:tblCellMar>
      </w:tblPr>
      <w:tblGrid>
        <w:gridCol w:w="2140"/>
        <w:gridCol w:w="2409"/>
        <w:gridCol w:w="2408"/>
        <w:gridCol w:w="2554"/>
      </w:tblGrid>
      <w:tr>
        <w:tblPrEx>
          <w:tblCellMar>
            <w:top w:w="0" w:type="dxa"/>
            <w:left w:w="108" w:type="dxa"/>
            <w:bottom w:w="0" w:type="dxa"/>
            <w:right w:w="108" w:type="dxa"/>
          </w:tblCellMar>
        </w:tblPrEx>
        <w:trPr>
          <w:trHeight w:val="600" w:hRule="atLeast"/>
        </w:trPr>
        <w:tc>
          <w:tcPr>
            <w:tcW w:w="9511" w:type="dxa"/>
            <w:gridSpan w:val="4"/>
            <w:tcBorders>
              <w:top w:val="nil"/>
              <w:left w:val="nil"/>
              <w:bottom w:val="nil"/>
              <w:right w:val="nil"/>
            </w:tcBorders>
            <w:noWrap/>
            <w:vAlign w:val="center"/>
          </w:tcPr>
          <w:p>
            <w:pPr>
              <w:widowControl/>
              <w:jc w:val="center"/>
              <w:rPr>
                <w:rFonts w:ascii="Times New Roman" w:hAnsi="Times New Roman" w:eastAsia="宋体"/>
                <w:b/>
                <w:bCs/>
                <w:kern w:val="0"/>
                <w:sz w:val="28"/>
                <w:szCs w:val="28"/>
              </w:rPr>
            </w:pPr>
            <w:bookmarkStart w:id="34" w:name="_Toc432490537"/>
            <w:bookmarkStart w:id="35" w:name="_Toc396396768"/>
            <w:bookmarkStart w:id="36" w:name="_Toc432574964"/>
            <w:r>
              <w:rPr>
                <w:rFonts w:ascii="Times New Roman" w:hAnsi="Times New Roman" w:eastAsia="宋体"/>
                <w:b/>
                <w:bCs/>
                <w:kern w:val="0"/>
                <w:sz w:val="28"/>
                <w:szCs w:val="28"/>
              </w:rPr>
              <w:t>参加估价的注册房地产估价师</w:t>
            </w:r>
          </w:p>
        </w:tc>
      </w:tr>
      <w:tr>
        <w:tblPrEx>
          <w:tblCellMar>
            <w:top w:w="0" w:type="dxa"/>
            <w:left w:w="108" w:type="dxa"/>
            <w:bottom w:w="0" w:type="dxa"/>
            <w:right w:w="108" w:type="dxa"/>
          </w:tblCellMar>
        </w:tblPrEx>
        <w:trPr>
          <w:trHeight w:val="600" w:hRule="atLeast"/>
        </w:trPr>
        <w:tc>
          <w:tcPr>
            <w:tcW w:w="21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姓  名</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注册号</w:t>
            </w:r>
          </w:p>
        </w:tc>
        <w:tc>
          <w:tcPr>
            <w:tcW w:w="240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签  名</w:t>
            </w:r>
          </w:p>
        </w:tc>
        <w:tc>
          <w:tcPr>
            <w:tcW w:w="255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签名日期</w:t>
            </w:r>
          </w:p>
        </w:tc>
      </w:tr>
      <w:tr>
        <w:tblPrEx>
          <w:tblCellMar>
            <w:top w:w="0" w:type="dxa"/>
            <w:left w:w="108" w:type="dxa"/>
            <w:bottom w:w="0" w:type="dxa"/>
            <w:right w:w="108" w:type="dxa"/>
          </w:tblCellMar>
        </w:tblPrEx>
        <w:trPr>
          <w:trHeight w:val="600" w:hRule="atLeast"/>
        </w:trPr>
        <w:tc>
          <w:tcPr>
            <w:tcW w:w="214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苟恩奎</w:t>
            </w:r>
          </w:p>
        </w:tc>
        <w:tc>
          <w:tcPr>
            <w:tcW w:w="2409"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5220120009</w:t>
            </w:r>
          </w:p>
        </w:tc>
        <w:tc>
          <w:tcPr>
            <w:tcW w:w="2408"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　</w:t>
            </w:r>
          </w:p>
        </w:tc>
        <w:tc>
          <w:tcPr>
            <w:tcW w:w="255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2021年07月23日　</w:t>
            </w:r>
          </w:p>
        </w:tc>
      </w:tr>
      <w:tr>
        <w:tblPrEx>
          <w:tblCellMar>
            <w:top w:w="0" w:type="dxa"/>
            <w:left w:w="108" w:type="dxa"/>
            <w:bottom w:w="0" w:type="dxa"/>
            <w:right w:w="108" w:type="dxa"/>
          </w:tblCellMar>
        </w:tblPrEx>
        <w:trPr>
          <w:trHeight w:val="600" w:hRule="atLeast"/>
        </w:trPr>
        <w:tc>
          <w:tcPr>
            <w:tcW w:w="214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綦伶俐</w:t>
            </w:r>
          </w:p>
        </w:tc>
        <w:tc>
          <w:tcPr>
            <w:tcW w:w="2409"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5220200070</w:t>
            </w:r>
          </w:p>
        </w:tc>
        <w:tc>
          <w:tcPr>
            <w:tcW w:w="2408"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　</w:t>
            </w:r>
          </w:p>
        </w:tc>
        <w:tc>
          <w:tcPr>
            <w:tcW w:w="255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2021年07月23日</w:t>
            </w:r>
          </w:p>
        </w:tc>
      </w:tr>
    </w:tbl>
    <w:p>
      <w:pPr>
        <w:spacing w:before="312" w:beforeLines="100" w:line="500" w:lineRule="exact"/>
        <w:jc w:val="center"/>
        <w:outlineLvl w:val="0"/>
        <w:rPr>
          <w:rFonts w:ascii="Times New Roman" w:hAnsi="Times New Roman" w:eastAsia="宋体"/>
        </w:rPr>
      </w:pPr>
      <w:r>
        <w:rPr>
          <w:rFonts w:ascii="Times New Roman" w:hAnsi="Times New Roman" w:eastAsia="宋体"/>
        </w:rPr>
        <w:br w:type="page"/>
      </w:r>
      <w:bookmarkStart w:id="37" w:name="_Toc476489035"/>
      <w:bookmarkStart w:id="38" w:name="_Toc445892275"/>
      <w:bookmarkStart w:id="39" w:name="_Toc468882203"/>
      <w:bookmarkStart w:id="40" w:name="_Toc46417156"/>
      <w:bookmarkStart w:id="41" w:name="_Toc28525"/>
      <w:bookmarkStart w:id="42" w:name="_Toc497752861"/>
      <w:bookmarkStart w:id="43" w:name="_Toc472961338"/>
      <w:bookmarkStart w:id="44" w:name="_Toc445891402"/>
      <w:bookmarkStart w:id="45" w:name="_Toc65065895"/>
      <w:bookmarkStart w:id="46" w:name="_Toc47874177"/>
      <w:r>
        <w:rPr>
          <w:rFonts w:ascii="Times New Roman" w:hAnsi="Times New Roman" w:eastAsia="宋体"/>
          <w:b/>
          <w:sz w:val="44"/>
          <w:szCs w:val="44"/>
        </w:rPr>
        <w:t>估价的假设和限制条件</w:t>
      </w:r>
      <w:bookmarkEnd w:id="34"/>
      <w:bookmarkEnd w:id="35"/>
      <w:bookmarkEnd w:id="36"/>
      <w:bookmarkEnd w:id="37"/>
      <w:bookmarkEnd w:id="38"/>
      <w:bookmarkEnd w:id="39"/>
      <w:bookmarkEnd w:id="40"/>
      <w:bookmarkEnd w:id="41"/>
      <w:bookmarkEnd w:id="42"/>
      <w:bookmarkEnd w:id="43"/>
      <w:bookmarkEnd w:id="44"/>
      <w:bookmarkEnd w:id="45"/>
      <w:bookmarkEnd w:id="46"/>
    </w:p>
    <w:p>
      <w:pPr>
        <w:spacing w:line="480" w:lineRule="exact"/>
        <w:ind w:firstLine="560" w:firstLineChars="200"/>
        <w:outlineLvl w:val="1"/>
        <w:rPr>
          <w:rFonts w:ascii="Times New Roman" w:hAnsi="Times New Roman" w:eastAsia="宋体"/>
          <w:sz w:val="28"/>
          <w:szCs w:val="28"/>
        </w:rPr>
      </w:pPr>
      <w:bookmarkStart w:id="47" w:name="_Toc65065896"/>
      <w:bookmarkStart w:id="48" w:name="_Toc47874178"/>
      <w:r>
        <w:rPr>
          <w:rFonts w:ascii="Times New Roman" w:hAnsi="Times New Roman" w:eastAsia="宋体"/>
          <w:b/>
          <w:sz w:val="28"/>
          <w:szCs w:val="28"/>
        </w:rPr>
        <w:t>一、一般假设：</w:t>
      </w:r>
      <w:bookmarkEnd w:id="47"/>
      <w:bookmarkEnd w:id="48"/>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委托人提供了估价对象的《房地产权结果信息一览表》及其他相关资料复印件，我们认真核查了估价委托人提供的资料，在无理由怀疑其合法性、真实性、准确性和完整性的情况下，假定估价委托人提供的资料合法、真实、准确、完整。估价人员及估价机构不对上述资料的合法、真实、准确、完整性负责。</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本次估价以委托人提供的《房地产权结果信息一览表》及其他相关资料复印件所记载数据及内容为准进行相关说明和测算。</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我们已对房屋安全、环境污染等影响估价对象价值的重大因素给予了关注，在无理由怀疑估价对象存在安全隐患且无相应的专业机构进行鉴定、检测的情况下，假定估价对象房屋是安全的，在建筑物耐用年限内能正常使用。</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估价对象在价值时点的房地产市场为公开、平等、自愿的交易市场，即能满足以下条件：</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（1）交易双方自愿地进行交易；</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（2）交易双方处于利己动机进行交易；</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（3）交易双方精明、谨慎行事，并了解交易对象、知晓市场行情；</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（4）交易双方有较充裕的时间进行交易；</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（5）在此期间物业价值将保持稳定；</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（6）不存在买者因特殊兴趣而给予附加出价。</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本次估价交易税费负担方式按照法律法规规定，转让方和受让方各自负担。</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估价对象均应享有公共区域的通行权及水电等共用设施的使用权。</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本次评估采用收益法进行测算时，根据估价对象及其附近地区类似房地产的租金变化情况和对未来同类房地产市场分析，假定每年的报酬率是固定的，类似框架结构建筑物经济寿命年限为60年，经调查建筑物于2013年末建成，截止到价值时点，建筑物剩余经济耐用年限52.54年；根据委托人提供的《房地产权结果信息一览表》，所在宗地的土地使用权终止日期2078年05月24日，截止价值时点土地使用权剩余使用年限为56.97年。根据“孰短原则”确定收益年限为建筑物剩余经济耐用年限，即：52.54年。</w:t>
      </w:r>
    </w:p>
    <w:p>
      <w:pPr>
        <w:numPr>
          <w:ilvl w:val="0"/>
          <w:numId w:val="4"/>
        </w:numPr>
        <w:spacing w:line="500" w:lineRule="exact"/>
        <w:ind w:left="5" w:firstLine="415"/>
        <w:rPr>
          <w:rFonts w:ascii="Times New Roman" w:hAnsi="Times New Roman" w:eastAsia="宋体"/>
          <w:sz w:val="28"/>
          <w:szCs w:val="28"/>
        </w:rPr>
      </w:pPr>
      <w:r>
        <w:rPr>
          <w:rFonts w:ascii="Times New Roman" w:hAnsi="Times New Roman" w:eastAsia="宋体"/>
          <w:sz w:val="28"/>
          <w:szCs w:val="28"/>
        </w:rPr>
        <w:t>由于委托人提供的《委托书》【（2021）黔0181执759号】中未载明价值时点，则本次估价价值时点为实地查看之日，即2021年06月29日。本次估价以估价对象于价值时点的权益状况、区位状况及实物状况为估价前提。</w:t>
      </w:r>
    </w:p>
    <w:p>
      <w:pPr>
        <w:numPr>
          <w:ilvl w:val="0"/>
          <w:numId w:val="5"/>
        </w:numPr>
        <w:spacing w:line="500" w:lineRule="exact"/>
        <w:ind w:firstLine="560" w:firstLineChars="200"/>
        <w:outlineLvl w:val="1"/>
        <w:rPr>
          <w:rFonts w:ascii="Times New Roman" w:hAnsi="Times New Roman" w:eastAsia="宋体"/>
          <w:sz w:val="28"/>
          <w:szCs w:val="28"/>
        </w:rPr>
      </w:pPr>
      <w:bookmarkStart w:id="49" w:name="_Toc47874179"/>
      <w:bookmarkStart w:id="50" w:name="_Toc65065897"/>
      <w:r>
        <w:rPr>
          <w:rFonts w:ascii="Times New Roman" w:hAnsi="Times New Roman" w:eastAsia="宋体"/>
          <w:b/>
          <w:sz w:val="28"/>
          <w:szCs w:val="28"/>
        </w:rPr>
        <w:t>未定事项假设：</w:t>
      </w:r>
      <w:bookmarkEnd w:id="49"/>
      <w:bookmarkEnd w:id="50"/>
    </w:p>
    <w:p>
      <w:pPr>
        <w:pStyle w:val="80"/>
        <w:numPr>
          <w:ilvl w:val="0"/>
          <w:numId w:val="6"/>
        </w:numPr>
        <w:spacing w:line="500" w:lineRule="exact"/>
        <w:ind w:left="0" w:firstLine="560" w:firstLineChars="0"/>
        <w:rPr>
          <w:rFonts w:ascii="Times New Roman" w:hAnsi="Times New Roman" w:eastAsia="宋体"/>
          <w:sz w:val="28"/>
          <w:szCs w:val="28"/>
        </w:rPr>
      </w:pPr>
      <w:r>
        <w:rPr>
          <w:rFonts w:ascii="Times New Roman" w:hAnsi="Times New Roman" w:eastAsia="宋体"/>
          <w:sz w:val="28"/>
          <w:szCs w:val="28"/>
        </w:rPr>
        <w:t>根据委托人提供的估价对象相关资料，未载明估价对象的建成时间，通过估价人员现场调查，其所在楼栋建成年代为2013年末，本次估价假定估价对象建成年代为2013年末。</w:t>
      </w:r>
    </w:p>
    <w:p>
      <w:pPr>
        <w:pStyle w:val="80"/>
        <w:numPr>
          <w:ilvl w:val="0"/>
          <w:numId w:val="6"/>
        </w:numPr>
        <w:spacing w:line="500" w:lineRule="exact"/>
        <w:ind w:left="0" w:firstLine="560" w:firstLineChars="0"/>
        <w:rPr>
          <w:rFonts w:ascii="Times New Roman" w:hAnsi="Times New Roman" w:eastAsia="宋体"/>
          <w:color w:val="auto"/>
          <w:sz w:val="28"/>
          <w:szCs w:val="28"/>
        </w:rPr>
      </w:pPr>
      <w:r>
        <w:rPr>
          <w:rFonts w:ascii="Times New Roman" w:hAnsi="Times New Roman" w:eastAsia="宋体"/>
          <w:color w:val="auto"/>
          <w:sz w:val="28"/>
          <w:szCs w:val="28"/>
        </w:rPr>
        <w:t>根据委托人提供</w:t>
      </w:r>
      <w:r>
        <w:rPr>
          <w:rFonts w:hint="eastAsia"/>
          <w:color w:val="auto"/>
          <w:sz w:val="28"/>
          <w:szCs w:val="28"/>
          <w:lang w:val="en-US" w:eastAsia="zh-CN"/>
        </w:rPr>
        <w:t>的</w:t>
      </w:r>
      <w:r>
        <w:rPr>
          <w:rFonts w:ascii="Times New Roman" w:hAnsi="Times New Roman" w:eastAsia="宋体"/>
          <w:color w:val="auto"/>
          <w:sz w:val="28"/>
          <w:szCs w:val="28"/>
        </w:rPr>
        <w:t>《房地产权结果信息一览表》，本次估价假定估价对象所在宗地的土地使用权性质为出让，其土地用途为住宅。</w:t>
      </w:r>
    </w:p>
    <w:p>
      <w:pPr>
        <w:spacing w:line="500" w:lineRule="exact"/>
        <w:ind w:firstLine="560" w:firstLineChars="200"/>
        <w:outlineLvl w:val="1"/>
        <w:rPr>
          <w:rFonts w:ascii="Times New Roman" w:hAnsi="Times New Roman" w:eastAsia="宋体"/>
          <w:sz w:val="28"/>
          <w:szCs w:val="28"/>
        </w:rPr>
      </w:pPr>
      <w:bookmarkStart w:id="51" w:name="_Toc65065898"/>
      <w:bookmarkStart w:id="52" w:name="_Toc47874180"/>
      <w:r>
        <w:rPr>
          <w:rFonts w:ascii="Times New Roman" w:hAnsi="Times New Roman" w:eastAsia="宋体"/>
          <w:b/>
          <w:sz w:val="28"/>
          <w:szCs w:val="28"/>
        </w:rPr>
        <w:t>三、背离事实假设：</w:t>
      </w:r>
      <w:bookmarkEnd w:id="51"/>
      <w:bookmarkEnd w:id="52"/>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根据估价委托人提供资料，估价对可能存在抵押、查封等权利限制。依据《房地产估价规范》（GB/T 50291-2015）5.4.2规定，房地产司法拍卖估价中，不应包括拍卖房地产被查封及拍卖房地产上原有的担保物权和其他优先受偿权。故本次评估假定估价对象于价值时点无查封、无担保物权和其他优先受偿权。</w:t>
      </w:r>
    </w:p>
    <w:p>
      <w:pPr>
        <w:spacing w:line="500" w:lineRule="exact"/>
        <w:ind w:firstLine="560" w:firstLineChars="200"/>
        <w:outlineLvl w:val="1"/>
        <w:rPr>
          <w:rFonts w:ascii="Times New Roman" w:hAnsi="Times New Roman" w:eastAsia="宋体"/>
          <w:sz w:val="28"/>
          <w:szCs w:val="28"/>
        </w:rPr>
      </w:pPr>
      <w:bookmarkStart w:id="53" w:name="_Toc47874181"/>
      <w:bookmarkStart w:id="54" w:name="_Toc65065899"/>
      <w:r>
        <w:rPr>
          <w:rFonts w:ascii="Times New Roman" w:hAnsi="Times New Roman" w:eastAsia="宋体"/>
          <w:b/>
          <w:sz w:val="28"/>
          <w:szCs w:val="28"/>
        </w:rPr>
        <w:t>四、不相一致假设：</w:t>
      </w:r>
      <w:bookmarkEnd w:id="53"/>
      <w:bookmarkEnd w:id="54"/>
      <w:r>
        <w:rPr>
          <w:rFonts w:ascii="Times New Roman" w:hAnsi="Times New Roman" w:eastAsia="宋体"/>
          <w:sz w:val="28"/>
          <w:szCs w:val="28"/>
        </w:rPr>
        <w:t xml:space="preserve"> </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根据委托人提供的《房地产权结果信息一览表》显示，估价对象登记用途为其它；</w:t>
      </w:r>
      <w:r>
        <w:rPr>
          <w:rFonts w:hint="eastAsia" w:ascii="Times New Roman" w:hAnsi="Times New Roman" w:eastAsia="宋体"/>
          <w:sz w:val="28"/>
          <w:szCs w:val="28"/>
        </w:rPr>
        <w:t>现场查勘时，估价对象实际用途为住宅</w:t>
      </w:r>
      <w:r>
        <w:rPr>
          <w:rFonts w:ascii="Times New Roman" w:hAnsi="Times New Roman" w:eastAsia="宋体"/>
          <w:sz w:val="28"/>
          <w:szCs w:val="28"/>
        </w:rPr>
        <w:t>。依据《房地产估价规范》（GB/T 50291-2015）2.0.6，本次评估设定估价对象用途为</w:t>
      </w:r>
      <w:r>
        <w:rPr>
          <w:rFonts w:hint="eastAsia" w:ascii="Times New Roman" w:hAnsi="Times New Roman" w:eastAsia="宋体"/>
          <w:sz w:val="28"/>
          <w:szCs w:val="28"/>
        </w:rPr>
        <w:t>住宅用房</w:t>
      </w:r>
      <w:r>
        <w:rPr>
          <w:rFonts w:ascii="Times New Roman" w:hAnsi="Times New Roman" w:eastAsia="宋体"/>
          <w:sz w:val="28"/>
          <w:szCs w:val="28"/>
        </w:rPr>
        <w:t>。</w:t>
      </w:r>
    </w:p>
    <w:p>
      <w:pPr>
        <w:numPr>
          <w:ilvl w:val="0"/>
          <w:numId w:val="7"/>
        </w:numPr>
        <w:spacing w:line="500" w:lineRule="exact"/>
        <w:ind w:firstLine="560" w:firstLineChars="200"/>
        <w:outlineLvl w:val="1"/>
        <w:rPr>
          <w:rFonts w:ascii="Times New Roman" w:hAnsi="Times New Roman" w:eastAsia="宋体"/>
          <w:b/>
          <w:sz w:val="28"/>
          <w:szCs w:val="28"/>
        </w:rPr>
      </w:pPr>
      <w:bookmarkStart w:id="55" w:name="_Toc47874182"/>
      <w:bookmarkStart w:id="56" w:name="_Toc65065900"/>
      <w:r>
        <w:rPr>
          <w:rFonts w:ascii="Times New Roman" w:hAnsi="Times New Roman" w:eastAsia="宋体"/>
          <w:b/>
          <w:sz w:val="28"/>
          <w:szCs w:val="28"/>
        </w:rPr>
        <w:t>依据不足假设：</w:t>
      </w:r>
      <w:bookmarkEnd w:id="55"/>
      <w:bookmarkEnd w:id="56"/>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无依据不足假设。</w:t>
      </w:r>
    </w:p>
    <w:p>
      <w:pPr>
        <w:spacing w:line="500" w:lineRule="exact"/>
        <w:ind w:firstLine="560" w:firstLineChars="200"/>
        <w:outlineLvl w:val="1"/>
        <w:rPr>
          <w:rFonts w:ascii="Times New Roman" w:hAnsi="Times New Roman" w:eastAsia="宋体"/>
          <w:b/>
          <w:sz w:val="28"/>
          <w:szCs w:val="28"/>
        </w:rPr>
      </w:pPr>
      <w:bookmarkStart w:id="57" w:name="_Toc65065901"/>
      <w:bookmarkStart w:id="58" w:name="_Toc47874183"/>
      <w:r>
        <w:rPr>
          <w:rFonts w:ascii="Times New Roman" w:hAnsi="Times New Roman" w:eastAsia="宋体"/>
          <w:b/>
          <w:sz w:val="28"/>
          <w:szCs w:val="28"/>
        </w:rPr>
        <w:t>六、估价报告使用限制：</w:t>
      </w:r>
      <w:bookmarkEnd w:id="57"/>
      <w:bookmarkEnd w:id="58"/>
    </w:p>
    <w:p>
      <w:pPr>
        <w:numPr>
          <w:ilvl w:val="0"/>
          <w:numId w:val="8"/>
        </w:numPr>
        <w:spacing w:line="500" w:lineRule="exact"/>
        <w:ind w:left="6" w:firstLine="414"/>
        <w:rPr>
          <w:rFonts w:ascii="Times New Roman" w:hAnsi="Times New Roman" w:eastAsia="宋体"/>
          <w:sz w:val="28"/>
          <w:szCs w:val="28"/>
        </w:rPr>
      </w:pPr>
      <w:r>
        <w:rPr>
          <w:rFonts w:hint="eastAsia" w:ascii="Times New Roman" w:hAnsi="Times New Roman" w:eastAsia="宋体" w:cs="Arial Narrow"/>
          <w:sz w:val="28"/>
          <w:szCs w:val="28"/>
        </w:rPr>
        <w:t>本次估价对象室内家具家电数量由注册房地产估价师现场查看清点、并</w:t>
      </w:r>
      <w:r>
        <w:rPr>
          <w:rFonts w:ascii="Times New Roman" w:hAnsi="Times New Roman" w:eastAsia="宋体"/>
          <w:sz w:val="28"/>
          <w:szCs w:val="28"/>
        </w:rPr>
        <w:t>经委托人代表、财产权利人共同</w:t>
      </w:r>
      <w:r>
        <w:rPr>
          <w:rFonts w:hint="eastAsia" w:ascii="Times New Roman" w:hAnsi="Times New Roman" w:eastAsia="宋体" w:cs="Arial Narrow"/>
          <w:sz w:val="28"/>
          <w:szCs w:val="28"/>
        </w:rPr>
        <w:t>确定</w:t>
      </w:r>
      <w:r>
        <w:rPr>
          <w:rFonts w:hint="eastAsia" w:ascii="Times New Roman" w:hAnsi="Times New Roman" w:eastAsia="宋体"/>
          <w:sz w:val="28"/>
          <w:szCs w:val="28"/>
        </w:rPr>
        <w:t>。</w:t>
      </w:r>
      <w:r>
        <w:rPr>
          <w:rFonts w:ascii="Times New Roman" w:hAnsi="Times New Roman" w:eastAsia="宋体"/>
          <w:sz w:val="28"/>
        </w:rPr>
        <w:t>若</w:t>
      </w:r>
      <w:r>
        <w:rPr>
          <w:rFonts w:hint="eastAsia" w:ascii="Times New Roman" w:hAnsi="Times New Roman" w:eastAsia="宋体"/>
          <w:sz w:val="28"/>
        </w:rPr>
        <w:t>该部分</w:t>
      </w:r>
      <w:r>
        <w:rPr>
          <w:rFonts w:ascii="Times New Roman" w:hAnsi="Times New Roman" w:eastAsia="宋体"/>
          <w:sz w:val="28"/>
        </w:rPr>
        <w:t>相关</w:t>
      </w:r>
      <w:r>
        <w:rPr>
          <w:rFonts w:hint="eastAsia" w:ascii="Times New Roman" w:hAnsi="Times New Roman" w:eastAsia="宋体"/>
          <w:sz w:val="28"/>
        </w:rPr>
        <w:t>项目、数据</w:t>
      </w:r>
      <w:r>
        <w:rPr>
          <w:rFonts w:ascii="Times New Roman" w:hAnsi="Times New Roman" w:eastAsia="宋体"/>
          <w:sz w:val="28"/>
        </w:rPr>
        <w:t>发生变化，</w:t>
      </w:r>
      <w:r>
        <w:rPr>
          <w:rFonts w:hint="eastAsia" w:ascii="Times New Roman" w:hAnsi="Times New Roman" w:eastAsia="宋体"/>
          <w:sz w:val="28"/>
          <w:szCs w:val="28"/>
        </w:rPr>
        <w:t>我公司保留对家具家电部分的估价结果进行调整的权利。</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本估价报告及估价结果仅为本报告的估价目的服务，若改变估价目的及使用条件，需向本公司咨询后作必要调整甚至重新估价。</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的使用者为估价委托人和国家法律、法规规定的估价报告使用者。估价机构不承担上述以外的任何单位和个人对本估价报告书的全文或部分内容提出的任何责任。如报告使用不当引起的任何法律、民事责任等与评估机构无关，同时，评估机构保留追究因报告使用不当给评估机构造成损失的法律责任。</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本估价报告使用期限自估价报告出具之日起</w:t>
      </w:r>
      <w:r>
        <w:rPr>
          <w:rFonts w:ascii="Times New Roman" w:hAnsi="Times New Roman" w:eastAsia="宋体"/>
          <w:b/>
          <w:sz w:val="28"/>
          <w:szCs w:val="28"/>
        </w:rPr>
        <w:t>壹年</w:t>
      </w:r>
      <w:r>
        <w:rPr>
          <w:rFonts w:ascii="Times New Roman" w:hAnsi="Times New Roman" w:eastAsia="宋体"/>
          <w:sz w:val="28"/>
          <w:szCs w:val="28"/>
        </w:rPr>
        <w:t>，即</w:t>
      </w:r>
      <w:r>
        <w:rPr>
          <w:rFonts w:ascii="Times New Roman" w:hAnsi="Times New Roman" w:eastAsia="宋体"/>
          <w:b/>
          <w:sz w:val="28"/>
          <w:szCs w:val="28"/>
        </w:rPr>
        <w:t>自2021年07月23日至2022年07月22日止。</w:t>
      </w:r>
      <w:r>
        <w:rPr>
          <w:rFonts w:ascii="Times New Roman" w:hAnsi="Times New Roman" w:eastAsia="宋体"/>
          <w:sz w:val="28"/>
          <w:szCs w:val="28"/>
        </w:rPr>
        <w:t>若报告使用期限内，房地产市场或估价对象状况发生重大变化，估价结果需做相应调整或委托估价机构重新估价。</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的估价结果是在满足本报告的假设条件及价值内涵条件下的房地产市场价值，未考虑快速变现等处分方式带来的影响，若价值时点、建筑面积、权属状况、价值类型、实物状况、区位状况等影响房地产价值的因素发生变化，本估价报告中的估价结果必须进行相应的调整方能使用本估价报告。</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本报告未考虑国家经济政策等发生变化或其他不可抗力时对估价对象的价值影响。</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本估价报告分为“估价结果报告”和“估价技术报告”两部分。“估价结果报告”提供给估价委托人，“估价技术报告”根据有关规定由估价机构存档备查。</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未经估价机构书面同意，本估价报告的全部或部分及任何参考资料均不得向估价委托人、报告使用者、报告审查部门之外的单位和个人提供，亦不得以任何方式公开发表。</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本估价报告仅是在报告中说明的假设条件下对估价对象正常市场价值进行的合理估算，报告中对估价对象权属情况的披露不能作为对其权属确认的依据，估价对象权属界定以有权管理部门认定为准。</w:t>
      </w:r>
    </w:p>
    <w:p>
      <w:pPr>
        <w:numPr>
          <w:ilvl w:val="0"/>
          <w:numId w:val="8"/>
        </w:numPr>
        <w:spacing w:line="500" w:lineRule="exact"/>
        <w:ind w:left="6" w:firstLine="414"/>
        <w:rPr>
          <w:rFonts w:ascii="Times New Roman" w:hAnsi="Times New Roman" w:eastAsia="宋体"/>
          <w:sz w:val="28"/>
          <w:szCs w:val="28"/>
        </w:rPr>
      </w:pPr>
      <w:r>
        <w:rPr>
          <w:rFonts w:ascii="Times New Roman" w:hAnsi="Times New Roman" w:eastAsia="宋体"/>
          <w:sz w:val="28"/>
          <w:szCs w:val="28"/>
        </w:rPr>
        <w:t>本报告书由本评估机构加盖公章、法定代表人签名及注册房地产估价师签名后才具有法律效力，复印件不具有法律效力。</w:t>
      </w:r>
      <w:r>
        <w:rPr>
          <w:rFonts w:ascii="Times New Roman" w:hAnsi="Times New Roman" w:eastAsia="宋体"/>
          <w:sz w:val="18"/>
          <w:szCs w:val="18"/>
        </w:rPr>
        <w:br w:type="page"/>
      </w:r>
      <w:bookmarkStart w:id="59" w:name="_Toc432574965"/>
      <w:bookmarkStart w:id="60" w:name="_Toc396396769"/>
      <w:bookmarkStart w:id="61" w:name="_Toc476489036"/>
      <w:bookmarkStart w:id="62" w:name="_Toc445891403"/>
      <w:bookmarkStart w:id="63" w:name="_Toc468882204"/>
      <w:bookmarkStart w:id="64" w:name="_Toc432490538"/>
      <w:bookmarkStart w:id="65" w:name="_Toc497752862"/>
      <w:bookmarkStart w:id="66" w:name="_Toc472961339"/>
      <w:bookmarkStart w:id="67" w:name="_Toc445892276"/>
    </w:p>
    <w:p>
      <w:pPr>
        <w:pStyle w:val="2"/>
        <w:spacing w:before="156" w:beforeLines="50" w:after="156" w:afterLines="50"/>
        <w:rPr>
          <w:rFonts w:ascii="Times New Roman" w:hAnsi="Times New Roman" w:eastAsia="宋体"/>
        </w:rPr>
      </w:pPr>
      <w:bookmarkStart w:id="68" w:name="_Toc8539"/>
      <w:bookmarkStart w:id="69" w:name="_Toc46417157"/>
      <w:bookmarkStart w:id="70" w:name="_Toc65065902"/>
      <w:bookmarkStart w:id="71" w:name="_Toc47874184"/>
      <w:r>
        <w:rPr>
          <w:rFonts w:ascii="Times New Roman" w:hAnsi="Times New Roman" w:eastAsia="宋体"/>
        </w:rPr>
        <w:t>房地产估价结果报告</w:t>
      </w:r>
      <w:bookmarkEnd w:id="59"/>
      <w:bookmarkEnd w:id="60"/>
      <w:bookmarkEnd w:id="61"/>
      <w:bookmarkEnd w:id="62"/>
      <w:bookmarkEnd w:id="63"/>
      <w:bookmarkEnd w:id="64"/>
      <w:bookmarkEnd w:id="65"/>
      <w:bookmarkEnd w:id="66"/>
      <w:bookmarkEnd w:id="67"/>
      <w:bookmarkEnd w:id="68"/>
      <w:bookmarkEnd w:id="69"/>
      <w:bookmarkEnd w:id="70"/>
      <w:bookmarkEnd w:id="71"/>
    </w:p>
    <w:p>
      <w:pPr>
        <w:pStyle w:val="3"/>
        <w:numPr>
          <w:ilvl w:val="0"/>
          <w:numId w:val="9"/>
        </w:numPr>
        <w:spacing w:before="200" w:after="200" w:line="500" w:lineRule="exact"/>
        <w:rPr>
          <w:rFonts w:ascii="Times New Roman" w:hAnsi="Times New Roman" w:eastAsia="宋体"/>
          <w:b w:val="0"/>
          <w:sz w:val="28"/>
          <w:szCs w:val="28"/>
        </w:rPr>
      </w:pPr>
      <w:bookmarkStart w:id="72" w:name="_Toc239144235"/>
      <w:bookmarkStart w:id="73" w:name="_Toc396396770"/>
      <w:bookmarkStart w:id="74" w:name="_Toc497752863"/>
      <w:bookmarkStart w:id="75" w:name="_Toc476489037"/>
      <w:bookmarkStart w:id="76" w:name="_Toc432490539"/>
      <w:bookmarkStart w:id="77" w:name="_Toc472961340"/>
      <w:bookmarkStart w:id="78" w:name="_Toc445892277"/>
      <w:bookmarkStart w:id="79" w:name="_Toc46417158"/>
      <w:bookmarkStart w:id="80" w:name="_Toc65065903"/>
      <w:bookmarkStart w:id="81" w:name="_Toc432574966"/>
      <w:bookmarkStart w:id="82" w:name="_Toc445891404"/>
      <w:bookmarkStart w:id="83" w:name="_Toc468882205"/>
      <w:bookmarkStart w:id="84" w:name="_Toc207"/>
      <w:bookmarkStart w:id="85" w:name="_Toc47874185"/>
      <w:r>
        <w:rPr>
          <w:rFonts w:ascii="Times New Roman" w:hAnsi="Times New Roman" w:eastAsia="宋体"/>
        </w:rPr>
        <w:t>估价</w:t>
      </w:r>
      <w:bookmarkEnd w:id="72"/>
      <w:bookmarkEnd w:id="73"/>
      <w:r>
        <w:rPr>
          <w:rFonts w:ascii="Times New Roman" w:hAnsi="Times New Roman" w:eastAsia="宋体"/>
        </w:rPr>
        <w:t>委托人</w:t>
      </w:r>
      <w:bookmarkEnd w:id="74"/>
      <w:bookmarkEnd w:id="75"/>
      <w:bookmarkEnd w:id="76"/>
      <w:bookmarkEnd w:id="77"/>
      <w:bookmarkEnd w:id="78"/>
      <w:bookmarkEnd w:id="79"/>
      <w:bookmarkEnd w:id="80"/>
      <w:bookmarkEnd w:id="81"/>
      <w:bookmarkEnd w:id="82"/>
      <w:bookmarkEnd w:id="83"/>
      <w:bookmarkEnd w:id="84"/>
      <w:bookmarkEnd w:id="85"/>
      <w:r>
        <w:rPr>
          <w:rFonts w:ascii="Times New Roman" w:hAnsi="Times New Roman" w:eastAsia="宋体"/>
        </w:rPr>
        <w:t xml:space="preserve"> </w:t>
      </w:r>
    </w:p>
    <w:p>
      <w:pPr>
        <w:tabs>
          <w:tab w:val="left" w:pos="540"/>
          <w:tab w:val="left" w:pos="900"/>
          <w:tab w:val="left" w:pos="1260"/>
          <w:tab w:val="left" w:pos="1300"/>
          <w:tab w:val="left" w:pos="1430"/>
          <w:tab w:val="left" w:pos="1590"/>
        </w:tabs>
        <w:spacing w:line="540" w:lineRule="exact"/>
        <w:ind w:firstLine="560" w:firstLineChars="200"/>
        <w:jc w:val="left"/>
        <w:rPr>
          <w:rFonts w:ascii="Times New Roman" w:hAnsi="Times New Roman" w:eastAsia="宋体"/>
          <w:bCs/>
          <w:sz w:val="28"/>
          <w:szCs w:val="28"/>
        </w:rPr>
      </w:pPr>
      <w:r>
        <w:rPr>
          <w:rFonts w:ascii="Times New Roman" w:hAnsi="Times New Roman" w:eastAsia="宋体"/>
          <w:bCs/>
          <w:sz w:val="28"/>
          <w:szCs w:val="28"/>
        </w:rPr>
        <w:t>委  托  人：清镇市人民法院</w:t>
      </w:r>
    </w:p>
    <w:p>
      <w:pPr>
        <w:pStyle w:val="3"/>
        <w:numPr>
          <w:ilvl w:val="0"/>
          <w:numId w:val="9"/>
        </w:numPr>
        <w:spacing w:before="200" w:after="200" w:line="500" w:lineRule="exact"/>
        <w:rPr>
          <w:rFonts w:ascii="Times New Roman" w:hAnsi="Times New Roman" w:eastAsia="宋体"/>
        </w:rPr>
      </w:pPr>
      <w:bookmarkStart w:id="86" w:name="_Toc472961341"/>
      <w:bookmarkStart w:id="87" w:name="_Toc445892278"/>
      <w:bookmarkStart w:id="88" w:name="_Toc46417159"/>
      <w:bookmarkStart w:id="89" w:name="_Toc6637"/>
      <w:bookmarkStart w:id="90" w:name="_Toc65065904"/>
      <w:bookmarkStart w:id="91" w:name="_Toc432490540"/>
      <w:bookmarkStart w:id="92" w:name="_Toc476489038"/>
      <w:bookmarkStart w:id="93" w:name="_Toc432574967"/>
      <w:bookmarkStart w:id="94" w:name="_Toc47874186"/>
      <w:bookmarkStart w:id="95" w:name="_Toc468882206"/>
      <w:bookmarkStart w:id="96" w:name="_Toc497752864"/>
      <w:bookmarkStart w:id="97" w:name="_Toc445891405"/>
      <w:r>
        <w:rPr>
          <w:rFonts w:ascii="Times New Roman" w:hAnsi="Times New Roman" w:eastAsia="宋体"/>
        </w:rPr>
        <w:t>房地产估价机构</w:t>
      </w:r>
      <w:bookmarkEnd w:id="86"/>
      <w:bookmarkEnd w:id="87"/>
      <w:bookmarkEnd w:id="88"/>
      <w:bookmarkEnd w:id="89"/>
      <w:bookmarkEnd w:id="90"/>
      <w:bookmarkEnd w:id="91"/>
      <w:bookmarkEnd w:id="92"/>
      <w:bookmarkEnd w:id="93"/>
      <w:bookmarkEnd w:id="94"/>
      <w:bookmarkEnd w:id="95"/>
      <w:bookmarkEnd w:id="96"/>
      <w:bookmarkEnd w:id="97"/>
    </w:p>
    <w:p>
      <w:pPr>
        <w:tabs>
          <w:tab w:val="left" w:pos="540"/>
          <w:tab w:val="left" w:pos="900"/>
          <w:tab w:val="left" w:pos="1260"/>
          <w:tab w:val="left" w:pos="1300"/>
          <w:tab w:val="left" w:pos="1430"/>
          <w:tab w:val="left" w:pos="1590"/>
        </w:tabs>
        <w:spacing w:line="540" w:lineRule="exact"/>
        <w:ind w:firstLine="560" w:firstLineChars="200"/>
        <w:jc w:val="left"/>
        <w:rPr>
          <w:rFonts w:ascii="Times New Roman" w:hAnsi="Times New Roman" w:eastAsia="宋体"/>
          <w:bCs/>
          <w:sz w:val="28"/>
          <w:szCs w:val="28"/>
        </w:rPr>
      </w:pPr>
      <w:bookmarkStart w:id="98" w:name="_Toc239144237"/>
      <w:bookmarkStart w:id="99" w:name="_Toc396396772"/>
      <w:r>
        <w:rPr>
          <w:rFonts w:ascii="Times New Roman" w:hAnsi="Times New Roman" w:eastAsia="宋体"/>
          <w:bCs/>
          <w:sz w:val="28"/>
          <w:szCs w:val="28"/>
        </w:rPr>
        <w:t>估价机构名称：贵州桑立房地产资产评估有限公司</w:t>
      </w:r>
    </w:p>
    <w:p>
      <w:pPr>
        <w:tabs>
          <w:tab w:val="left" w:pos="900"/>
          <w:tab w:val="left" w:pos="1430"/>
          <w:tab w:val="left" w:pos="1590"/>
        </w:tabs>
        <w:spacing w:line="540" w:lineRule="exact"/>
        <w:ind w:left="2534" w:leftChars="267" w:hanging="1974" w:hangingChars="705"/>
        <w:jc w:val="left"/>
        <w:rPr>
          <w:rFonts w:ascii="Times New Roman" w:hAnsi="Times New Roman" w:eastAsia="宋体"/>
          <w:bCs/>
          <w:sz w:val="28"/>
          <w:szCs w:val="28"/>
        </w:rPr>
      </w:pPr>
      <w:r>
        <w:rPr>
          <w:rFonts w:ascii="Times New Roman" w:hAnsi="Times New Roman" w:eastAsia="宋体"/>
          <w:bCs/>
          <w:sz w:val="28"/>
          <w:szCs w:val="28"/>
        </w:rPr>
        <w:t>住        所：贵州省贵阳市南明区文昌南路79号文昌苑综合楼A栋12层5号</w:t>
      </w:r>
    </w:p>
    <w:p>
      <w:pPr>
        <w:tabs>
          <w:tab w:val="left" w:pos="900"/>
          <w:tab w:val="left" w:pos="1430"/>
          <w:tab w:val="left" w:pos="1590"/>
        </w:tabs>
        <w:spacing w:line="540" w:lineRule="exact"/>
        <w:ind w:left="2534" w:leftChars="267" w:hanging="1974" w:hangingChars="705"/>
        <w:jc w:val="left"/>
        <w:rPr>
          <w:rFonts w:ascii="Times New Roman" w:hAnsi="Times New Roman" w:eastAsia="宋体"/>
          <w:bCs/>
          <w:sz w:val="28"/>
          <w:szCs w:val="28"/>
        </w:rPr>
      </w:pPr>
      <w:r>
        <w:rPr>
          <w:rFonts w:ascii="Times New Roman" w:hAnsi="Times New Roman" w:eastAsia="宋体"/>
          <w:bCs/>
          <w:sz w:val="28"/>
          <w:szCs w:val="28"/>
        </w:rPr>
        <w:t>统一社会信用代码：91520115722108769G</w:t>
      </w:r>
    </w:p>
    <w:p>
      <w:pPr>
        <w:tabs>
          <w:tab w:val="left" w:pos="540"/>
          <w:tab w:val="left" w:pos="900"/>
          <w:tab w:val="left" w:pos="1260"/>
          <w:tab w:val="left" w:pos="1300"/>
          <w:tab w:val="left" w:pos="1430"/>
          <w:tab w:val="left" w:pos="1590"/>
        </w:tabs>
        <w:spacing w:line="540" w:lineRule="exact"/>
        <w:ind w:firstLine="560" w:firstLineChars="200"/>
        <w:jc w:val="left"/>
        <w:rPr>
          <w:rFonts w:ascii="Times New Roman" w:hAnsi="Times New Roman" w:eastAsia="宋体"/>
          <w:bCs/>
          <w:sz w:val="28"/>
          <w:szCs w:val="28"/>
        </w:rPr>
      </w:pPr>
      <w:r>
        <w:rPr>
          <w:rFonts w:ascii="Times New Roman" w:hAnsi="Times New Roman" w:eastAsia="宋体"/>
          <w:bCs/>
          <w:sz w:val="28"/>
          <w:szCs w:val="28"/>
        </w:rPr>
        <w:t>资质证书号：黔房评字0100802</w:t>
      </w:r>
    </w:p>
    <w:p>
      <w:pPr>
        <w:tabs>
          <w:tab w:val="left" w:pos="540"/>
          <w:tab w:val="left" w:pos="900"/>
          <w:tab w:val="left" w:pos="1260"/>
          <w:tab w:val="left" w:pos="1300"/>
          <w:tab w:val="left" w:pos="1430"/>
          <w:tab w:val="left" w:pos="1590"/>
        </w:tabs>
        <w:spacing w:line="540" w:lineRule="exact"/>
        <w:ind w:firstLine="560" w:firstLineChars="200"/>
        <w:jc w:val="left"/>
        <w:rPr>
          <w:rFonts w:ascii="Times New Roman" w:hAnsi="Times New Roman" w:eastAsia="宋体"/>
          <w:bCs/>
          <w:sz w:val="28"/>
          <w:szCs w:val="28"/>
        </w:rPr>
      </w:pPr>
      <w:r>
        <w:rPr>
          <w:rFonts w:ascii="Times New Roman" w:hAnsi="Times New Roman" w:eastAsia="宋体"/>
          <w:bCs/>
          <w:sz w:val="28"/>
          <w:szCs w:val="28"/>
        </w:rPr>
        <w:t xml:space="preserve">房地产估价资质级别：二级  </w:t>
      </w:r>
    </w:p>
    <w:p>
      <w:pPr>
        <w:tabs>
          <w:tab w:val="left" w:pos="540"/>
          <w:tab w:val="left" w:pos="900"/>
          <w:tab w:val="left" w:pos="1260"/>
          <w:tab w:val="left" w:pos="1300"/>
          <w:tab w:val="left" w:pos="1430"/>
          <w:tab w:val="left" w:pos="1590"/>
        </w:tabs>
        <w:spacing w:line="540" w:lineRule="exact"/>
        <w:ind w:firstLine="537" w:firstLineChars="192"/>
        <w:jc w:val="left"/>
        <w:rPr>
          <w:rFonts w:ascii="Times New Roman" w:hAnsi="Times New Roman" w:eastAsia="宋体"/>
          <w:bCs/>
          <w:sz w:val="28"/>
          <w:szCs w:val="28"/>
        </w:rPr>
      </w:pPr>
      <w:r>
        <w:rPr>
          <w:rFonts w:ascii="Times New Roman" w:hAnsi="Times New Roman" w:eastAsia="宋体"/>
          <w:bCs/>
          <w:sz w:val="28"/>
          <w:szCs w:val="28"/>
        </w:rPr>
        <w:t xml:space="preserve">法定代表人：简　晖          </w:t>
      </w:r>
    </w:p>
    <w:p>
      <w:pPr>
        <w:tabs>
          <w:tab w:val="left" w:pos="540"/>
          <w:tab w:val="left" w:pos="900"/>
          <w:tab w:val="left" w:pos="1260"/>
          <w:tab w:val="left" w:pos="1300"/>
          <w:tab w:val="left" w:pos="1430"/>
          <w:tab w:val="left" w:pos="1590"/>
        </w:tabs>
        <w:spacing w:line="540" w:lineRule="exact"/>
        <w:ind w:firstLine="537" w:firstLineChars="192"/>
        <w:jc w:val="left"/>
        <w:rPr>
          <w:rFonts w:ascii="Times New Roman" w:hAnsi="Times New Roman" w:eastAsia="宋体"/>
          <w:bCs/>
          <w:sz w:val="28"/>
          <w:szCs w:val="28"/>
        </w:rPr>
      </w:pPr>
      <w:r>
        <w:rPr>
          <w:rFonts w:ascii="Times New Roman" w:hAnsi="Times New Roman" w:eastAsia="宋体"/>
          <w:bCs/>
          <w:sz w:val="28"/>
          <w:szCs w:val="28"/>
        </w:rPr>
        <w:t xml:space="preserve">联  系  人：李  兵 </w:t>
      </w:r>
    </w:p>
    <w:p>
      <w:pPr>
        <w:tabs>
          <w:tab w:val="left" w:pos="540"/>
          <w:tab w:val="left" w:pos="900"/>
          <w:tab w:val="left" w:pos="1260"/>
          <w:tab w:val="left" w:pos="1300"/>
          <w:tab w:val="left" w:pos="1430"/>
          <w:tab w:val="left" w:pos="1590"/>
        </w:tabs>
        <w:spacing w:line="540" w:lineRule="exact"/>
        <w:ind w:firstLine="537" w:firstLineChars="192"/>
        <w:jc w:val="left"/>
        <w:rPr>
          <w:rFonts w:ascii="Times New Roman" w:hAnsi="Times New Roman" w:eastAsia="宋体"/>
          <w:bCs/>
          <w:sz w:val="28"/>
          <w:szCs w:val="28"/>
        </w:rPr>
      </w:pPr>
      <w:r>
        <w:rPr>
          <w:rFonts w:ascii="Times New Roman" w:hAnsi="Times New Roman" w:eastAsia="宋体"/>
          <w:bCs/>
          <w:sz w:val="28"/>
          <w:szCs w:val="28"/>
        </w:rPr>
        <w:t>联系电话：18085137774、0851-85556351</w:t>
      </w:r>
    </w:p>
    <w:p>
      <w:pPr>
        <w:pStyle w:val="3"/>
        <w:numPr>
          <w:ilvl w:val="0"/>
          <w:numId w:val="9"/>
        </w:numPr>
        <w:spacing w:before="200" w:after="200" w:line="500" w:lineRule="exact"/>
        <w:rPr>
          <w:rFonts w:ascii="Times New Roman" w:hAnsi="Times New Roman" w:eastAsia="宋体"/>
        </w:rPr>
      </w:pPr>
      <w:bookmarkStart w:id="100" w:name="_Toc497752865"/>
      <w:bookmarkStart w:id="101" w:name="_Toc47874187"/>
      <w:bookmarkStart w:id="102" w:name="_Toc472961342"/>
      <w:bookmarkStart w:id="103" w:name="_Toc468882207"/>
      <w:bookmarkStart w:id="104" w:name="_Toc46417160"/>
      <w:bookmarkStart w:id="105" w:name="_Toc8847"/>
      <w:bookmarkStart w:id="106" w:name="_Toc445891406"/>
      <w:bookmarkStart w:id="107" w:name="_Toc65065905"/>
      <w:bookmarkStart w:id="108" w:name="_Toc396396773"/>
      <w:bookmarkStart w:id="109" w:name="_Toc239144238"/>
      <w:bookmarkStart w:id="110" w:name="_Toc445892279"/>
      <w:bookmarkStart w:id="111" w:name="_Toc476489039"/>
      <w:bookmarkStart w:id="112" w:name="_Toc432490542"/>
      <w:bookmarkStart w:id="113" w:name="_Toc432574969"/>
      <w:bookmarkStart w:id="114" w:name="_Toc432574968"/>
      <w:bookmarkStart w:id="115" w:name="_Toc432490541"/>
      <w:r>
        <w:rPr>
          <w:rFonts w:ascii="Times New Roman" w:hAnsi="Times New Roman" w:eastAsia="宋体"/>
        </w:rPr>
        <w:t>估价目的</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tabs>
          <w:tab w:val="left" w:pos="210"/>
          <w:tab w:val="left" w:pos="630"/>
        </w:tabs>
        <w:spacing w:line="500" w:lineRule="exact"/>
        <w:ind w:left="-4" w:leftChars="-2" w:firstLine="560" w:firstLineChars="200"/>
        <w:jc w:val="left"/>
        <w:rPr>
          <w:rFonts w:ascii="Times New Roman" w:hAnsi="Times New Roman" w:eastAsia="宋体"/>
          <w:bCs/>
          <w:sz w:val="28"/>
          <w:szCs w:val="28"/>
        </w:rPr>
      </w:pPr>
      <w:bookmarkStart w:id="116" w:name="_Toc476489040"/>
      <w:bookmarkStart w:id="117" w:name="_Toc472961343"/>
      <w:bookmarkStart w:id="118" w:name="_Toc468882208"/>
      <w:bookmarkStart w:id="119" w:name="_Toc445892280"/>
      <w:bookmarkStart w:id="120" w:name="_Toc445891407"/>
      <w:bookmarkStart w:id="121" w:name="_Toc497752866"/>
      <w:r>
        <w:rPr>
          <w:rFonts w:ascii="Times New Roman" w:hAnsi="Times New Roman" w:eastAsia="宋体"/>
          <w:sz w:val="28"/>
          <w:szCs w:val="28"/>
        </w:rPr>
        <w:t>为人民法院确定财产处置参考价提供参考依据</w:t>
      </w:r>
      <w:r>
        <w:rPr>
          <w:rFonts w:ascii="Times New Roman" w:hAnsi="Times New Roman" w:eastAsia="宋体"/>
          <w:bCs/>
          <w:sz w:val="28"/>
          <w:szCs w:val="28"/>
        </w:rPr>
        <w:t>。</w:t>
      </w:r>
    </w:p>
    <w:bookmarkEnd w:id="98"/>
    <w:bookmarkEnd w:id="99"/>
    <w:bookmarkEnd w:id="114"/>
    <w:bookmarkEnd w:id="115"/>
    <w:bookmarkEnd w:id="116"/>
    <w:bookmarkEnd w:id="117"/>
    <w:bookmarkEnd w:id="118"/>
    <w:bookmarkEnd w:id="119"/>
    <w:bookmarkEnd w:id="120"/>
    <w:bookmarkEnd w:id="121"/>
    <w:p>
      <w:pPr>
        <w:pStyle w:val="3"/>
        <w:numPr>
          <w:ilvl w:val="0"/>
          <w:numId w:val="9"/>
        </w:numPr>
        <w:spacing w:before="200" w:after="200" w:line="500" w:lineRule="exact"/>
        <w:rPr>
          <w:rFonts w:ascii="Times New Roman" w:hAnsi="Times New Roman" w:eastAsia="宋体"/>
        </w:rPr>
      </w:pPr>
      <w:bookmarkStart w:id="122" w:name="_Toc23908"/>
      <w:bookmarkStart w:id="123" w:name="_Toc47874189"/>
      <w:bookmarkStart w:id="124" w:name="_Toc65065906"/>
      <w:bookmarkStart w:id="125" w:name="_Toc46417162"/>
      <w:bookmarkStart w:id="126" w:name="_Toc432490543"/>
      <w:bookmarkStart w:id="127" w:name="_Toc497752868"/>
      <w:bookmarkStart w:id="128" w:name="_Toc472961345"/>
      <w:bookmarkStart w:id="129" w:name="_Toc476489042"/>
      <w:bookmarkStart w:id="130" w:name="_Toc396396774"/>
      <w:bookmarkStart w:id="131" w:name="_Toc432574970"/>
      <w:bookmarkStart w:id="132" w:name="_Toc445892282"/>
      <w:bookmarkStart w:id="133" w:name="_Toc445891409"/>
      <w:bookmarkStart w:id="134" w:name="_Toc468882210"/>
      <w:bookmarkStart w:id="135" w:name="_Toc1488"/>
      <w:bookmarkStart w:id="136" w:name="_Toc396396776"/>
      <w:bookmarkStart w:id="137" w:name="_Toc239144240"/>
      <w:r>
        <w:rPr>
          <w:rFonts w:ascii="Times New Roman" w:hAnsi="Times New Roman" w:eastAsia="宋体"/>
        </w:rPr>
        <w:t>估价对象</w:t>
      </w:r>
      <w:bookmarkEnd w:id="122"/>
      <w:bookmarkEnd w:id="123"/>
      <w:bookmarkEnd w:id="124"/>
      <w:bookmarkEnd w:id="125"/>
    </w:p>
    <w:p>
      <w:pPr>
        <w:numPr>
          <w:ilvl w:val="0"/>
          <w:numId w:val="10"/>
        </w:numPr>
        <w:tabs>
          <w:tab w:val="left" w:pos="210"/>
          <w:tab w:val="left" w:pos="630"/>
        </w:tabs>
        <w:spacing w:line="500" w:lineRule="exact"/>
        <w:jc w:val="left"/>
        <w:outlineLvl w:val="2"/>
        <w:rPr>
          <w:rFonts w:ascii="Times New Roman" w:hAnsi="Times New Roman" w:eastAsia="宋体"/>
          <w:bCs/>
          <w:sz w:val="28"/>
          <w:szCs w:val="28"/>
        </w:rPr>
      </w:pPr>
      <w:bookmarkStart w:id="138" w:name="_Toc65065907"/>
      <w:bookmarkStart w:id="139" w:name="_Toc46417163"/>
      <w:bookmarkStart w:id="140" w:name="_Toc47874190"/>
      <w:bookmarkStart w:id="141" w:name="_Toc47699565"/>
      <w:r>
        <w:rPr>
          <w:rFonts w:ascii="Times New Roman" w:hAnsi="Times New Roman" w:eastAsia="宋体"/>
          <w:bCs/>
          <w:sz w:val="28"/>
          <w:szCs w:val="28"/>
        </w:rPr>
        <w:t>估价对象范围</w:t>
      </w:r>
      <w:bookmarkEnd w:id="138"/>
      <w:bookmarkEnd w:id="139"/>
      <w:bookmarkEnd w:id="140"/>
      <w:bookmarkEnd w:id="141"/>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根据委托人提供的《委托书》【（2021）黔0181执759号】、</w:t>
      </w:r>
      <w:r>
        <w:rPr>
          <w:rFonts w:hint="eastAsia" w:ascii="Times New Roman" w:hAnsi="Times New Roman" w:eastAsia="宋体"/>
          <w:sz w:val="28"/>
          <w:szCs w:val="28"/>
        </w:rPr>
        <w:t>《贵州省清镇市人民法院移送委托评估函(补充说明)》</w:t>
      </w:r>
      <w:r>
        <w:rPr>
          <w:rFonts w:ascii="Times New Roman" w:hAnsi="Times New Roman" w:eastAsia="宋体"/>
          <w:sz w:val="28"/>
          <w:szCs w:val="28"/>
        </w:rPr>
        <w:t>【（2021）黔0181执759号</w:t>
      </w:r>
      <w:r>
        <w:rPr>
          <w:rFonts w:hint="eastAsia" w:ascii="Times New Roman" w:hAnsi="Times New Roman" w:eastAsia="宋体"/>
          <w:sz w:val="28"/>
          <w:szCs w:val="28"/>
        </w:rPr>
        <w:t>之一</w:t>
      </w:r>
      <w:r>
        <w:rPr>
          <w:rFonts w:ascii="Times New Roman" w:hAnsi="Times New Roman" w:eastAsia="宋体"/>
          <w:sz w:val="28"/>
          <w:szCs w:val="28"/>
        </w:rPr>
        <w:t>】</w:t>
      </w:r>
      <w:r>
        <w:rPr>
          <w:rFonts w:hint="eastAsia" w:ascii="Times New Roman" w:hAnsi="Times New Roman" w:eastAsia="宋体"/>
          <w:sz w:val="28"/>
          <w:szCs w:val="28"/>
        </w:rPr>
        <w:t>、</w:t>
      </w:r>
      <w:r>
        <w:rPr>
          <w:rFonts w:ascii="Times New Roman" w:hAnsi="Times New Roman" w:eastAsia="宋体"/>
          <w:sz w:val="28"/>
          <w:szCs w:val="28"/>
        </w:rPr>
        <w:t>《房地产权结果信息一览表》</w:t>
      </w:r>
      <w:r>
        <w:rPr>
          <w:rFonts w:hint="eastAsia" w:ascii="Times New Roman" w:hAnsi="Times New Roman" w:eastAsia="宋体"/>
          <w:sz w:val="28"/>
          <w:szCs w:val="28"/>
        </w:rPr>
        <w:t>等</w:t>
      </w:r>
      <w:r>
        <w:rPr>
          <w:rFonts w:ascii="Times New Roman" w:hAnsi="Times New Roman" w:eastAsia="宋体"/>
          <w:sz w:val="28"/>
          <w:szCs w:val="28"/>
        </w:rPr>
        <w:t>其他相关资料复印件，确定估价对象为贵州省贵阳市云岩区市北路148号保利•云山国际10号</w:t>
      </w:r>
      <w:r>
        <w:rPr>
          <w:rFonts w:hint="eastAsia"/>
          <w:sz w:val="28"/>
          <w:szCs w:val="28"/>
          <w:lang w:val="en-US" w:eastAsia="zh-CN"/>
        </w:rPr>
        <w:t>楼</w:t>
      </w:r>
      <w:r>
        <w:rPr>
          <w:rFonts w:ascii="Times New Roman" w:hAnsi="Times New Roman" w:eastAsia="宋体"/>
          <w:sz w:val="28"/>
          <w:szCs w:val="28"/>
        </w:rPr>
        <w:t>2单元21层5号</w:t>
      </w:r>
      <w:r>
        <w:rPr>
          <w:rFonts w:hint="eastAsia" w:ascii="Times New Roman" w:hAnsi="Times New Roman" w:eastAsia="宋体"/>
          <w:sz w:val="28"/>
          <w:szCs w:val="28"/>
        </w:rPr>
        <w:t>一</w:t>
      </w:r>
      <w:r>
        <w:rPr>
          <w:rFonts w:ascii="Times New Roman" w:hAnsi="Times New Roman" w:eastAsia="宋体"/>
          <w:sz w:val="28"/>
          <w:szCs w:val="28"/>
        </w:rPr>
        <w:t>套住宅房地产，评估范围包括建筑物及其分摊的国有建设用地使用权</w:t>
      </w:r>
      <w:r>
        <w:rPr>
          <w:rFonts w:hint="eastAsia" w:ascii="Times New Roman" w:hAnsi="Times New Roman" w:eastAsia="宋体"/>
          <w:sz w:val="28"/>
          <w:szCs w:val="28"/>
        </w:rPr>
        <w:t>，</w:t>
      </w:r>
      <w:r>
        <w:rPr>
          <w:rFonts w:ascii="Times New Roman" w:hAnsi="Times New Roman" w:eastAsia="宋体"/>
          <w:sz w:val="28"/>
          <w:szCs w:val="28"/>
        </w:rPr>
        <w:t>室内固定装修</w:t>
      </w:r>
      <w:r>
        <w:rPr>
          <w:rFonts w:hint="eastAsia" w:ascii="Times New Roman" w:hAnsi="Times New Roman" w:eastAsia="宋体"/>
          <w:sz w:val="28"/>
          <w:szCs w:val="28"/>
        </w:rPr>
        <w:t>，</w:t>
      </w:r>
      <w:r>
        <w:rPr>
          <w:rFonts w:ascii="Times New Roman" w:hAnsi="Times New Roman" w:eastAsia="宋体"/>
          <w:sz w:val="28"/>
          <w:szCs w:val="28"/>
        </w:rPr>
        <w:t>室内</w:t>
      </w:r>
      <w:r>
        <w:rPr>
          <w:rFonts w:hint="eastAsia" w:ascii="Times New Roman" w:hAnsi="Times New Roman" w:eastAsia="宋体"/>
          <w:sz w:val="28"/>
          <w:szCs w:val="28"/>
        </w:rPr>
        <w:t>家具、家电等</w:t>
      </w:r>
      <w:r>
        <w:rPr>
          <w:rFonts w:ascii="Times New Roman" w:hAnsi="Times New Roman" w:eastAsia="宋体"/>
          <w:sz w:val="28"/>
          <w:szCs w:val="28"/>
        </w:rPr>
        <w:t>动产</w:t>
      </w:r>
      <w:r>
        <w:rPr>
          <w:rFonts w:hint="eastAsia" w:ascii="Times New Roman" w:hAnsi="Times New Roman" w:eastAsia="宋体"/>
          <w:sz w:val="28"/>
          <w:szCs w:val="28"/>
        </w:rPr>
        <w:t>，</w:t>
      </w:r>
      <w:r>
        <w:rPr>
          <w:rFonts w:ascii="Times New Roman" w:hAnsi="Times New Roman" w:eastAsia="宋体"/>
          <w:sz w:val="28"/>
          <w:szCs w:val="28"/>
        </w:rPr>
        <w:t>公共配套设施，不包括债权债务等其他财产或权益。</w:t>
      </w:r>
    </w:p>
    <w:p>
      <w:pPr>
        <w:numPr>
          <w:ilvl w:val="0"/>
          <w:numId w:val="10"/>
        </w:numPr>
        <w:tabs>
          <w:tab w:val="left" w:pos="210"/>
          <w:tab w:val="left" w:pos="630"/>
        </w:tabs>
        <w:spacing w:line="500" w:lineRule="exact"/>
        <w:jc w:val="left"/>
        <w:outlineLvl w:val="2"/>
        <w:rPr>
          <w:rFonts w:ascii="Times New Roman" w:hAnsi="Times New Roman" w:eastAsia="宋体"/>
          <w:bCs/>
          <w:sz w:val="28"/>
          <w:szCs w:val="28"/>
        </w:rPr>
      </w:pPr>
      <w:bookmarkStart w:id="142" w:name="_Toc46417164"/>
      <w:bookmarkStart w:id="143" w:name="_Toc47874191"/>
      <w:bookmarkStart w:id="144" w:name="_Toc65065908"/>
      <w:bookmarkStart w:id="145" w:name="_Toc47699566"/>
      <w:r>
        <w:rPr>
          <w:rFonts w:ascii="Times New Roman" w:hAnsi="Times New Roman" w:eastAsia="宋体"/>
          <w:bCs/>
          <w:sz w:val="28"/>
          <w:szCs w:val="28"/>
        </w:rPr>
        <w:t>估价对象权益状况</w:t>
      </w:r>
      <w:bookmarkEnd w:id="142"/>
      <w:bookmarkEnd w:id="143"/>
      <w:bookmarkEnd w:id="144"/>
      <w:bookmarkEnd w:id="145"/>
    </w:p>
    <w:p>
      <w:pPr>
        <w:spacing w:line="500" w:lineRule="exact"/>
        <w:ind w:left="556"/>
        <w:outlineLvl w:val="3"/>
        <w:rPr>
          <w:rFonts w:ascii="Times New Roman" w:hAnsi="Times New Roman" w:eastAsia="宋体"/>
          <w:sz w:val="28"/>
          <w:szCs w:val="28"/>
        </w:rPr>
      </w:pPr>
      <w:bookmarkStart w:id="146" w:name="_Toc46417165"/>
      <w:bookmarkStart w:id="147" w:name="_Toc47874192"/>
      <w:bookmarkStart w:id="148" w:name="_Toc47699567"/>
      <w:r>
        <w:rPr>
          <w:rFonts w:ascii="Times New Roman" w:hAnsi="Times New Roman" w:eastAsia="宋体"/>
          <w:sz w:val="28"/>
          <w:szCs w:val="28"/>
        </w:rPr>
        <w:t>1.房屋权属状况</w:t>
      </w:r>
      <w:bookmarkEnd w:id="146"/>
      <w:bookmarkEnd w:id="147"/>
      <w:bookmarkEnd w:id="148"/>
    </w:p>
    <w:p>
      <w:pPr>
        <w:spacing w:line="480" w:lineRule="exact"/>
        <w:ind w:firstLine="560" w:firstLineChars="200"/>
        <w:rPr>
          <w:rFonts w:ascii="Times New Roman" w:hAnsi="Times New Roman" w:eastAsia="宋体"/>
          <w:sz w:val="28"/>
          <w:szCs w:val="28"/>
        </w:rPr>
      </w:pPr>
      <w:r>
        <w:rPr>
          <w:rFonts w:ascii="Times New Roman" w:hAnsi="Times New Roman" w:eastAsia="宋体"/>
          <w:color w:val="000000"/>
          <w:sz w:val="28"/>
          <w:szCs w:val="28"/>
        </w:rPr>
        <w:t>根据</w:t>
      </w:r>
      <w:r>
        <w:rPr>
          <w:rFonts w:ascii="Times New Roman" w:hAnsi="Times New Roman" w:eastAsia="宋体"/>
          <w:sz w:val="28"/>
          <w:szCs w:val="28"/>
        </w:rPr>
        <w:t>《房地产权结果信息一览表》复印件，确定估价对象房屋所有权人为杨智辉所有，房屋用途为其他</w:t>
      </w:r>
      <w:r>
        <w:rPr>
          <w:rFonts w:hint="eastAsia" w:ascii="Times New Roman" w:hAnsi="Times New Roman" w:eastAsia="宋体"/>
          <w:sz w:val="28"/>
          <w:szCs w:val="28"/>
        </w:rPr>
        <w:t>(评估中设定为住宅</w:t>
      </w:r>
      <w:r>
        <w:rPr>
          <w:rFonts w:ascii="Times New Roman" w:hAnsi="Times New Roman" w:eastAsia="宋体"/>
          <w:sz w:val="28"/>
          <w:szCs w:val="28"/>
        </w:rPr>
        <w:t>)，建筑面积108.97平方米。</w:t>
      </w:r>
    </w:p>
    <w:p>
      <w:pPr>
        <w:spacing w:line="500" w:lineRule="exact"/>
        <w:ind w:left="556"/>
        <w:outlineLvl w:val="3"/>
        <w:rPr>
          <w:rFonts w:ascii="Times New Roman" w:hAnsi="Times New Roman" w:eastAsia="宋体"/>
          <w:sz w:val="28"/>
          <w:szCs w:val="28"/>
        </w:rPr>
      </w:pPr>
      <w:bookmarkStart w:id="149" w:name="_Toc47874193"/>
      <w:bookmarkStart w:id="150" w:name="_Toc46417166"/>
      <w:bookmarkStart w:id="151" w:name="_Toc47699568"/>
      <w:r>
        <w:rPr>
          <w:rFonts w:ascii="Times New Roman" w:hAnsi="Times New Roman" w:eastAsia="宋体"/>
          <w:sz w:val="28"/>
          <w:szCs w:val="28"/>
        </w:rPr>
        <w:t>2. 土地权属状况</w:t>
      </w:r>
      <w:bookmarkEnd w:id="149"/>
      <w:bookmarkEnd w:id="150"/>
      <w:bookmarkEnd w:id="151"/>
    </w:p>
    <w:p>
      <w:pPr>
        <w:spacing w:line="500" w:lineRule="exact"/>
        <w:ind w:left="560"/>
        <w:rPr>
          <w:rFonts w:ascii="Times New Roman" w:hAnsi="Times New Roman" w:eastAsia="宋体"/>
          <w:sz w:val="28"/>
          <w:szCs w:val="28"/>
        </w:rPr>
      </w:pPr>
      <w:r>
        <w:rPr>
          <w:rFonts w:ascii="Times New Roman" w:hAnsi="Times New Roman" w:eastAsia="宋体"/>
          <w:sz w:val="28"/>
          <w:szCs w:val="28"/>
        </w:rPr>
        <w:t>土地所有权属于国有。</w:t>
      </w:r>
    </w:p>
    <w:p>
      <w:pPr>
        <w:spacing w:line="500" w:lineRule="exact"/>
        <w:ind w:firstLine="560" w:firstLineChars="200"/>
        <w:rPr>
          <w:rFonts w:ascii="Times New Roman" w:hAnsi="Times New Roman" w:eastAsia="宋体"/>
          <w:color w:val="C00000"/>
          <w:sz w:val="28"/>
          <w:szCs w:val="28"/>
        </w:rPr>
      </w:pPr>
      <w:r>
        <w:rPr>
          <w:rFonts w:ascii="Times New Roman" w:hAnsi="Times New Roman" w:eastAsia="宋体"/>
          <w:sz w:val="28"/>
          <w:szCs w:val="28"/>
        </w:rPr>
        <w:t>根据委托人提供的《房地产权结果信</w:t>
      </w:r>
      <w:r>
        <w:rPr>
          <w:rFonts w:ascii="Times New Roman" w:hAnsi="Times New Roman" w:eastAsia="宋体"/>
          <w:color w:val="auto"/>
          <w:sz w:val="28"/>
          <w:szCs w:val="28"/>
        </w:rPr>
        <w:t>息一览表》，所在宗地的土地使用权终止日期2078年05月24日，截止价值时点土地剩余使用年期为56.97年。本次估价假定估价对象所在宗地的土地使用权性质为出让，其土地用途为住宅。</w:t>
      </w:r>
    </w:p>
    <w:p>
      <w:pPr>
        <w:spacing w:line="500" w:lineRule="exact"/>
        <w:ind w:left="556"/>
        <w:outlineLvl w:val="3"/>
        <w:rPr>
          <w:rFonts w:ascii="Times New Roman" w:hAnsi="Times New Roman" w:eastAsia="宋体"/>
          <w:sz w:val="28"/>
          <w:szCs w:val="28"/>
        </w:rPr>
      </w:pPr>
      <w:r>
        <w:rPr>
          <w:rFonts w:ascii="Times New Roman" w:hAnsi="Times New Roman" w:eastAsia="宋体"/>
          <w:sz w:val="28"/>
          <w:szCs w:val="28"/>
        </w:rPr>
        <w:t>3.其他权益状况</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根据估价委托人提供资料，估价对可能存在抵押、查封等权利限制。依据《房地产估价规范》（GB/T 50291-2015）5.4.2规定，房地产司法拍卖估价中，不应包括拍卖房地产被查封及拍卖房地产上原有的担保物权和其他优先受偿权。故本次评估假定估价对象于价值时点无查封、无担保物权和其他优先受偿权。</w:t>
      </w:r>
    </w:p>
    <w:p>
      <w:pPr>
        <w:numPr>
          <w:ilvl w:val="0"/>
          <w:numId w:val="10"/>
        </w:numPr>
        <w:tabs>
          <w:tab w:val="left" w:pos="210"/>
          <w:tab w:val="left" w:pos="630"/>
        </w:tabs>
        <w:spacing w:line="500" w:lineRule="exact"/>
        <w:jc w:val="left"/>
        <w:outlineLvl w:val="2"/>
        <w:rPr>
          <w:rFonts w:ascii="Times New Roman" w:hAnsi="Times New Roman" w:eastAsia="宋体"/>
          <w:bCs/>
          <w:sz w:val="28"/>
          <w:szCs w:val="28"/>
        </w:rPr>
      </w:pPr>
      <w:bookmarkStart w:id="152" w:name="_Toc46417167"/>
      <w:bookmarkStart w:id="153" w:name="_Toc65065909"/>
      <w:bookmarkStart w:id="154" w:name="_Toc47699569"/>
      <w:bookmarkStart w:id="155" w:name="_Toc47874194"/>
      <w:r>
        <w:rPr>
          <w:rFonts w:ascii="Times New Roman" w:hAnsi="Times New Roman" w:eastAsia="宋体"/>
          <w:bCs/>
          <w:sz w:val="28"/>
          <w:szCs w:val="28"/>
        </w:rPr>
        <w:t>估价对象土地基本状况</w:t>
      </w:r>
      <w:bookmarkEnd w:id="152"/>
      <w:bookmarkEnd w:id="153"/>
      <w:bookmarkEnd w:id="154"/>
      <w:bookmarkEnd w:id="155"/>
    </w:p>
    <w:p>
      <w:pPr>
        <w:spacing w:line="500" w:lineRule="exact"/>
        <w:ind w:firstLine="560" w:firstLineChars="200"/>
        <w:rPr>
          <w:rFonts w:ascii="Times New Roman" w:hAnsi="Times New Roman" w:eastAsia="宋体"/>
          <w:bCs/>
          <w:sz w:val="28"/>
          <w:szCs w:val="28"/>
        </w:rPr>
      </w:pPr>
      <w:r>
        <w:rPr>
          <w:rFonts w:ascii="Times New Roman" w:hAnsi="Times New Roman" w:eastAsia="宋体"/>
          <w:bCs/>
          <w:sz w:val="28"/>
          <w:szCs w:val="28"/>
        </w:rPr>
        <w:t>根据估价人员现场查看，估价对象土地基本情况如下：</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名称：位于贵州省贵阳市云岩区市北路148号保利•云山国际10号</w:t>
      </w:r>
      <w:r>
        <w:rPr>
          <w:rFonts w:hint="eastAsia"/>
          <w:sz w:val="28"/>
          <w:szCs w:val="28"/>
          <w:lang w:val="en-US" w:eastAsia="zh-CN"/>
        </w:rPr>
        <w:t>楼</w:t>
      </w:r>
      <w:r>
        <w:rPr>
          <w:rFonts w:ascii="Times New Roman" w:hAnsi="Times New Roman" w:eastAsia="宋体"/>
          <w:sz w:val="28"/>
          <w:szCs w:val="28"/>
        </w:rPr>
        <w:t>2单元21层5号住宅房地产分摊的土地使用权。</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四至：所在小区用地东</w:t>
      </w:r>
      <w:r>
        <w:rPr>
          <w:rFonts w:hint="eastAsia" w:ascii="Times New Roman" w:hAnsi="Times New Roman" w:eastAsia="宋体"/>
          <w:sz w:val="28"/>
          <w:szCs w:val="28"/>
        </w:rPr>
        <w:t>至</w:t>
      </w:r>
      <w:r>
        <w:rPr>
          <w:rFonts w:ascii="Times New Roman" w:hAnsi="Times New Roman" w:eastAsia="宋体"/>
          <w:sz w:val="28"/>
          <w:szCs w:val="28"/>
        </w:rPr>
        <w:t>其他用地，</w:t>
      </w:r>
      <w:r>
        <w:rPr>
          <w:rFonts w:hint="eastAsia"/>
          <w:sz w:val="28"/>
          <w:szCs w:val="28"/>
          <w:lang w:val="en-US" w:eastAsia="zh-CN"/>
        </w:rPr>
        <w:t>南</w:t>
      </w:r>
      <w:r>
        <w:rPr>
          <w:rFonts w:ascii="Times New Roman" w:hAnsi="Times New Roman" w:eastAsia="宋体"/>
          <w:sz w:val="28"/>
          <w:szCs w:val="28"/>
        </w:rPr>
        <w:t>至盐沙大道，西面、北面</w:t>
      </w:r>
      <w:r>
        <w:rPr>
          <w:rFonts w:hint="eastAsia" w:ascii="Times New Roman" w:hAnsi="Times New Roman" w:eastAsia="宋体"/>
          <w:sz w:val="28"/>
          <w:szCs w:val="28"/>
        </w:rPr>
        <w:t>至</w:t>
      </w:r>
      <w:r>
        <w:rPr>
          <w:rFonts w:ascii="Times New Roman" w:hAnsi="Times New Roman" w:eastAsia="宋体"/>
          <w:sz w:val="28"/>
          <w:szCs w:val="28"/>
        </w:rPr>
        <w:t>云山山体公园。</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共有宗地面积：不详。分摊的土地使用权面积：不详。</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形状：所在小区用地形状为不规则多边形，不影响建筑物修建及平面布局。</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地势：地势较为坡状，不影响建筑物修建。</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地质：土壤未受过污染，地质条件好，稳定性较强，可供建筑用地使用。</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土地开发程度：“六通”：通路、通电、通上水、通下水、通讯、通气。</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土地使用期限：终止日期为2078年05月24日，截止价值时点土地剩余使用年期为56.97年。</w:t>
      </w:r>
    </w:p>
    <w:p>
      <w:pPr>
        <w:numPr>
          <w:ilvl w:val="0"/>
          <w:numId w:val="11"/>
        </w:numPr>
        <w:tabs>
          <w:tab w:val="left" w:pos="993"/>
        </w:tabs>
        <w:spacing w:line="500" w:lineRule="exact"/>
        <w:ind w:left="0" w:firstLine="560" w:firstLineChars="200"/>
        <w:rPr>
          <w:rFonts w:ascii="Times New Roman" w:hAnsi="Times New Roman" w:eastAsia="宋体"/>
          <w:sz w:val="28"/>
          <w:szCs w:val="28"/>
        </w:rPr>
      </w:pPr>
      <w:r>
        <w:rPr>
          <w:rFonts w:ascii="Times New Roman" w:hAnsi="Times New Roman" w:eastAsia="宋体"/>
          <w:sz w:val="28"/>
          <w:szCs w:val="28"/>
        </w:rPr>
        <w:t>土地等级：根据《2019年贵阳市中心城区土地定级与基准地价更新实施细则》，其所在宗地处贵阳市住宅用地四级土地范围。</w:t>
      </w:r>
    </w:p>
    <w:p>
      <w:pPr>
        <w:numPr>
          <w:ilvl w:val="0"/>
          <w:numId w:val="10"/>
        </w:numPr>
        <w:tabs>
          <w:tab w:val="left" w:pos="210"/>
          <w:tab w:val="left" w:pos="630"/>
        </w:tabs>
        <w:spacing w:line="500" w:lineRule="exact"/>
        <w:jc w:val="left"/>
        <w:outlineLvl w:val="2"/>
        <w:rPr>
          <w:rFonts w:ascii="Times New Roman" w:hAnsi="Times New Roman" w:eastAsia="宋体"/>
          <w:bCs/>
          <w:sz w:val="28"/>
          <w:szCs w:val="28"/>
        </w:rPr>
      </w:pPr>
      <w:bookmarkStart w:id="156" w:name="_Toc46417168"/>
      <w:bookmarkStart w:id="157" w:name="_Toc47874195"/>
      <w:bookmarkStart w:id="158" w:name="_Toc47699570"/>
      <w:bookmarkStart w:id="159" w:name="_Toc65065910"/>
      <w:r>
        <w:rPr>
          <w:rFonts w:ascii="Times New Roman" w:hAnsi="Times New Roman" w:eastAsia="宋体"/>
          <w:bCs/>
          <w:sz w:val="28"/>
          <w:szCs w:val="28"/>
        </w:rPr>
        <w:t>估价对象实物状况</w:t>
      </w:r>
      <w:bookmarkEnd w:id="156"/>
      <w:bookmarkEnd w:id="157"/>
      <w:bookmarkEnd w:id="158"/>
      <w:bookmarkEnd w:id="159"/>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根据估价人员现场查看，估价对象实物状况（详见下表）：</w:t>
      </w:r>
    </w:p>
    <w:tbl>
      <w:tblPr>
        <w:tblStyle w:val="20"/>
        <w:tblW w:w="9781" w:type="dxa"/>
        <w:tblInd w:w="-5" w:type="dxa"/>
        <w:shd w:val="clear" w:color="auto" w:fill="FFFFFF" w:themeFill="background1"/>
        <w:tblLayout w:type="autofit"/>
        <w:tblCellMar>
          <w:top w:w="0" w:type="dxa"/>
          <w:left w:w="108" w:type="dxa"/>
          <w:bottom w:w="0" w:type="dxa"/>
          <w:right w:w="108" w:type="dxa"/>
        </w:tblCellMar>
      </w:tblPr>
      <w:tblGrid>
        <w:gridCol w:w="567"/>
        <w:gridCol w:w="1134"/>
        <w:gridCol w:w="1354"/>
        <w:gridCol w:w="1345"/>
        <w:gridCol w:w="11"/>
        <w:gridCol w:w="1685"/>
        <w:gridCol w:w="1417"/>
        <w:gridCol w:w="2268"/>
      </w:tblGrid>
      <w:tr>
        <w:tblPrEx>
          <w:shd w:val="clear" w:color="auto" w:fill="FFFFFF" w:themeFill="background1"/>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物业名称</w:t>
            </w:r>
          </w:p>
        </w:tc>
        <w:tc>
          <w:tcPr>
            <w:tcW w:w="1354" w:type="dxa"/>
            <w:tcBorders>
              <w:top w:val="single" w:color="auto" w:sz="4" w:space="0"/>
              <w:left w:val="nil"/>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保利•云山国际</w:t>
            </w:r>
          </w:p>
        </w:tc>
        <w:tc>
          <w:tcPr>
            <w:tcW w:w="1356" w:type="dxa"/>
            <w:gridSpan w:val="2"/>
            <w:tcBorders>
              <w:top w:val="single" w:color="auto" w:sz="4" w:space="0"/>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坐    落</w:t>
            </w:r>
          </w:p>
        </w:tc>
        <w:tc>
          <w:tcPr>
            <w:tcW w:w="5370" w:type="dxa"/>
            <w:gridSpan w:val="3"/>
            <w:tcBorders>
              <w:top w:val="single" w:color="auto" w:sz="4" w:space="0"/>
              <w:left w:val="single" w:color="auto" w:sz="4" w:space="0"/>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云岩区市北路148号保利•云山国际10号楼2单元21层5号</w:t>
            </w:r>
          </w:p>
        </w:tc>
      </w:tr>
      <w:tr>
        <w:tblPrEx>
          <w:shd w:val="clear" w:color="auto" w:fill="FFFFFF" w:themeFill="background1"/>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建筑结构</w:t>
            </w:r>
          </w:p>
        </w:tc>
        <w:tc>
          <w:tcPr>
            <w:tcW w:w="1354" w:type="dxa"/>
            <w:tcBorders>
              <w:top w:val="nil"/>
              <w:left w:val="nil"/>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框架结构</w:t>
            </w:r>
          </w:p>
        </w:tc>
        <w:tc>
          <w:tcPr>
            <w:tcW w:w="1356" w:type="dxa"/>
            <w:gridSpan w:val="2"/>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建成年代</w:t>
            </w:r>
          </w:p>
        </w:tc>
        <w:tc>
          <w:tcPr>
            <w:tcW w:w="1685" w:type="dxa"/>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2013年</w:t>
            </w:r>
          </w:p>
        </w:tc>
        <w:tc>
          <w:tcPr>
            <w:tcW w:w="1417"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成新率</w:t>
            </w:r>
          </w:p>
        </w:tc>
        <w:tc>
          <w:tcPr>
            <w:tcW w:w="2268"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八五成</w:t>
            </w:r>
          </w:p>
        </w:tc>
      </w:tr>
      <w:tr>
        <w:tblPrEx>
          <w:shd w:val="clear" w:color="auto" w:fill="FFFFFF" w:themeFill="background1"/>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楼龄</w:t>
            </w:r>
          </w:p>
        </w:tc>
        <w:tc>
          <w:tcPr>
            <w:tcW w:w="1354" w:type="dxa"/>
            <w:tcBorders>
              <w:top w:val="nil"/>
              <w:left w:val="nil"/>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8</w:t>
            </w:r>
          </w:p>
        </w:tc>
        <w:tc>
          <w:tcPr>
            <w:tcW w:w="1356" w:type="dxa"/>
            <w:gridSpan w:val="2"/>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户型</w:t>
            </w:r>
          </w:p>
        </w:tc>
        <w:tc>
          <w:tcPr>
            <w:tcW w:w="1685" w:type="dxa"/>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三室二厅一厨二卫</w:t>
            </w:r>
          </w:p>
        </w:tc>
        <w:tc>
          <w:tcPr>
            <w:tcW w:w="1417"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面积（m</w:t>
            </w:r>
            <w:r>
              <w:rPr>
                <w:rFonts w:ascii="Times New Roman" w:hAnsi="Times New Roman" w:eastAsia="宋体"/>
                <w:kern w:val="0"/>
                <w:szCs w:val="21"/>
                <w:vertAlign w:val="superscript"/>
              </w:rPr>
              <w:t>2</w:t>
            </w:r>
            <w:r>
              <w:rPr>
                <w:rFonts w:ascii="Times New Roman" w:hAnsi="Times New Roman" w:eastAsia="宋体"/>
                <w:kern w:val="0"/>
                <w:szCs w:val="21"/>
              </w:rPr>
              <w:t>）</w:t>
            </w:r>
          </w:p>
        </w:tc>
        <w:tc>
          <w:tcPr>
            <w:tcW w:w="2268"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108.97</w:t>
            </w:r>
          </w:p>
        </w:tc>
      </w:tr>
      <w:tr>
        <w:tblPrEx>
          <w:shd w:val="clear" w:color="auto" w:fill="FFFFFF" w:themeFill="background1"/>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总 楼 层</w:t>
            </w:r>
          </w:p>
        </w:tc>
        <w:tc>
          <w:tcPr>
            <w:tcW w:w="1354" w:type="dxa"/>
            <w:tcBorders>
              <w:top w:val="nil"/>
              <w:left w:val="nil"/>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（-2+34）层</w:t>
            </w:r>
          </w:p>
        </w:tc>
        <w:tc>
          <w:tcPr>
            <w:tcW w:w="1356" w:type="dxa"/>
            <w:gridSpan w:val="2"/>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所在楼层</w:t>
            </w:r>
          </w:p>
        </w:tc>
        <w:tc>
          <w:tcPr>
            <w:tcW w:w="1685" w:type="dxa"/>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21层</w:t>
            </w:r>
          </w:p>
        </w:tc>
        <w:tc>
          <w:tcPr>
            <w:tcW w:w="1417"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层  高</w:t>
            </w:r>
          </w:p>
        </w:tc>
        <w:tc>
          <w:tcPr>
            <w:tcW w:w="2268"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净高2.7米</w:t>
            </w:r>
          </w:p>
        </w:tc>
      </w:tr>
      <w:tr>
        <w:tblPrEx>
          <w:shd w:val="clear" w:color="auto" w:fill="FFFFFF" w:themeFill="background1"/>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通风采光</w:t>
            </w:r>
          </w:p>
        </w:tc>
        <w:tc>
          <w:tcPr>
            <w:tcW w:w="1354" w:type="dxa"/>
            <w:tcBorders>
              <w:top w:val="nil"/>
              <w:left w:val="nil"/>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较好</w:t>
            </w:r>
          </w:p>
        </w:tc>
        <w:tc>
          <w:tcPr>
            <w:tcW w:w="1356" w:type="dxa"/>
            <w:gridSpan w:val="2"/>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利用现状</w:t>
            </w:r>
          </w:p>
        </w:tc>
        <w:tc>
          <w:tcPr>
            <w:tcW w:w="1685" w:type="dxa"/>
            <w:tcBorders>
              <w:top w:val="nil"/>
              <w:left w:val="single" w:color="auto" w:sz="4" w:space="0"/>
              <w:bottom w:val="single" w:color="auto" w:sz="4" w:space="0"/>
              <w:right w:val="nil"/>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自用</w:t>
            </w:r>
          </w:p>
        </w:tc>
        <w:tc>
          <w:tcPr>
            <w:tcW w:w="1417"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维护保养</w:t>
            </w:r>
          </w:p>
        </w:tc>
        <w:tc>
          <w:tcPr>
            <w:tcW w:w="2268"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一般</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restart"/>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设备设施</w:t>
            </w:r>
          </w:p>
        </w:tc>
        <w:tc>
          <w:tcPr>
            <w:tcW w:w="1134" w:type="dxa"/>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垂直交通</w:t>
            </w:r>
          </w:p>
        </w:tc>
        <w:tc>
          <w:tcPr>
            <w:tcW w:w="2699" w:type="dxa"/>
            <w:gridSpan w:val="2"/>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电梯</w:t>
            </w:r>
            <w:r>
              <w:rPr>
                <w:rFonts w:hint="eastAsia" w:ascii="Times New Roman" w:hAnsi="Times New Roman" w:eastAsia="宋体"/>
                <w:kern w:val="0"/>
                <w:szCs w:val="21"/>
              </w:rPr>
              <w:t>(</w:t>
            </w:r>
            <w:r>
              <w:rPr>
                <w:rFonts w:ascii="Times New Roman" w:hAnsi="Times New Roman" w:eastAsia="宋体"/>
                <w:kern w:val="0"/>
                <w:szCs w:val="21"/>
              </w:rPr>
              <w:t>2</w:t>
            </w:r>
            <w:r>
              <w:rPr>
                <w:rFonts w:hint="eastAsia" w:ascii="Times New Roman" w:hAnsi="Times New Roman" w:eastAsia="宋体"/>
                <w:kern w:val="0"/>
                <w:szCs w:val="21"/>
              </w:rPr>
              <w:t>梯6户</w:t>
            </w:r>
            <w:r>
              <w:rPr>
                <w:rFonts w:ascii="Times New Roman" w:hAnsi="Times New Roman" w:eastAsia="宋体"/>
                <w:kern w:val="0"/>
                <w:szCs w:val="21"/>
              </w:rPr>
              <w:t>)</w:t>
            </w:r>
          </w:p>
        </w:tc>
        <w:tc>
          <w:tcPr>
            <w:tcW w:w="1696" w:type="dxa"/>
            <w:gridSpan w:val="2"/>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管    线</w:t>
            </w:r>
          </w:p>
        </w:tc>
        <w:tc>
          <w:tcPr>
            <w:tcW w:w="3685"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暗敷</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紧急出入口标识</w:t>
            </w:r>
          </w:p>
        </w:tc>
        <w:tc>
          <w:tcPr>
            <w:tcW w:w="2699" w:type="dxa"/>
            <w:gridSpan w:val="2"/>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w:t>
            </w:r>
          </w:p>
        </w:tc>
        <w:tc>
          <w:tcPr>
            <w:tcW w:w="1696" w:type="dxa"/>
            <w:gridSpan w:val="2"/>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基础设施</w:t>
            </w:r>
          </w:p>
        </w:tc>
        <w:tc>
          <w:tcPr>
            <w:tcW w:w="3685"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达到“六通”：通路、通电、通上水、通下水、通讯、通气</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安防系统</w:t>
            </w:r>
          </w:p>
        </w:tc>
        <w:tc>
          <w:tcPr>
            <w:tcW w:w="2699" w:type="dxa"/>
            <w:gridSpan w:val="2"/>
            <w:tcBorders>
              <w:top w:val="single" w:color="auto" w:sz="4" w:space="0"/>
              <w:left w:val="nil"/>
              <w:bottom w:val="single" w:color="auto"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消防栓，自动喷淋、烟感报警（完好）</w:t>
            </w:r>
          </w:p>
        </w:tc>
        <w:tc>
          <w:tcPr>
            <w:tcW w:w="1696" w:type="dxa"/>
            <w:gridSpan w:val="2"/>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车位配置</w:t>
            </w:r>
          </w:p>
        </w:tc>
        <w:tc>
          <w:tcPr>
            <w:tcW w:w="3685"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小区内有停车场，停车便利度一般。</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restart"/>
            <w:tcBorders>
              <w:top w:val="nil"/>
              <w:left w:val="single" w:color="auto" w:sz="4" w:space="0"/>
              <w:bottom w:val="nil"/>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室内外装修状况</w:t>
            </w:r>
          </w:p>
        </w:tc>
        <w:tc>
          <w:tcPr>
            <w:tcW w:w="11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楼梯间</w:t>
            </w:r>
          </w:p>
        </w:tc>
        <w:tc>
          <w:tcPr>
            <w:tcW w:w="8080" w:type="dxa"/>
            <w:gridSpan w:val="6"/>
            <w:tcBorders>
              <w:top w:val="single" w:color="auto" w:sz="4" w:space="0"/>
              <w:left w:val="nil"/>
              <w:bottom w:val="single" w:color="auto" w:sz="4" w:space="0"/>
              <w:right w:val="single" w:color="000000"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水泥清光地面，内墙、天棚刮瓷粉。</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电梯间</w:t>
            </w:r>
          </w:p>
        </w:tc>
        <w:tc>
          <w:tcPr>
            <w:tcW w:w="8080" w:type="dxa"/>
            <w:gridSpan w:val="6"/>
            <w:tcBorders>
              <w:top w:val="single" w:color="auto" w:sz="4" w:space="0"/>
              <w:left w:val="nil"/>
              <w:bottom w:val="single" w:color="auto" w:sz="4" w:space="0"/>
              <w:right w:val="single" w:color="000000"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2梯6户，电梯出口通道地面铺贴陶瓷地砖，内墙贴墙砖，天棚刮瓷粉。</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外    墙</w:t>
            </w:r>
          </w:p>
        </w:tc>
        <w:tc>
          <w:tcPr>
            <w:tcW w:w="8080" w:type="dxa"/>
            <w:gridSpan w:val="6"/>
            <w:tcBorders>
              <w:top w:val="single" w:color="auto" w:sz="4" w:space="0"/>
              <w:left w:val="nil"/>
              <w:bottom w:val="single" w:color="auto" w:sz="4" w:space="0"/>
              <w:right w:val="single" w:color="000000"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涂料</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vMerge w:val="restart"/>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室内装修</w:t>
            </w:r>
          </w:p>
        </w:tc>
        <w:tc>
          <w:tcPr>
            <w:tcW w:w="8080" w:type="dxa"/>
            <w:gridSpan w:val="6"/>
            <w:vMerge w:val="restart"/>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ind w:firstLine="420" w:firstLineChars="200"/>
              <w:rPr>
                <w:rFonts w:ascii="Times New Roman" w:hAnsi="Times New Roman" w:eastAsia="宋体"/>
                <w:kern w:val="0"/>
                <w:szCs w:val="21"/>
              </w:rPr>
            </w:pPr>
            <w:r>
              <w:rPr>
                <w:rFonts w:ascii="Times New Roman" w:hAnsi="Times New Roman" w:eastAsia="宋体"/>
                <w:kern w:val="0"/>
                <w:szCs w:val="21"/>
              </w:rPr>
              <w:t>房屋装修情况：入户安装防盗门，房间内为木质套装门；地面：客厅、厨房、卫生间铺贴陶瓷地砖，房间铺木地板；墙面：厨房与卫生间铺贴墙砖，其余房间为瓷粉乳胶漆；顶面：厨房、卫生间为铝扣板集成吊顶，其余房间为瓷粉乳胶漆，装饰石膏阴角线。室内安装固定物情况：厨房：灶台（橱柜）1组、吊柜1个、抽油烟机1套；玄关壁柜1个；客厅木柜1个；主卧衣柜1个，次卧（1间）衣柜1个；卫生间均安装抽水马桶、洗手盆、花洒各1套及洗浴间玻璃隔断。室内水电管线暗敷，室内固定装修成新度一般。</w:t>
            </w: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c>
          <w:tcPr>
            <w:tcW w:w="8080" w:type="dxa"/>
            <w:gridSpan w:val="6"/>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r>
      <w:tr>
        <w:tblPrEx>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c>
          <w:tcPr>
            <w:tcW w:w="8080" w:type="dxa"/>
            <w:gridSpan w:val="6"/>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c>
          <w:tcPr>
            <w:tcW w:w="8080" w:type="dxa"/>
            <w:gridSpan w:val="6"/>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r>
      <w:tr>
        <w:tblPrEx>
          <w:shd w:val="clear" w:color="auto" w:fill="FFFFFF" w:themeFill="background1"/>
          <w:tblCellMar>
            <w:top w:w="0" w:type="dxa"/>
            <w:left w:w="108" w:type="dxa"/>
            <w:bottom w:w="0" w:type="dxa"/>
            <w:right w:w="108" w:type="dxa"/>
          </w:tblCellMar>
        </w:tblPrEx>
        <w:trPr>
          <w:trHeight w:val="340" w:hRule="atLeast"/>
        </w:trPr>
        <w:tc>
          <w:tcPr>
            <w:tcW w:w="567" w:type="dxa"/>
            <w:vMerge w:val="continue"/>
            <w:tcBorders>
              <w:top w:val="nil"/>
              <w:left w:val="single" w:color="auto" w:sz="4" w:space="0"/>
              <w:bottom w:val="nil"/>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134" w:type="dxa"/>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c>
          <w:tcPr>
            <w:tcW w:w="8080" w:type="dxa"/>
            <w:gridSpan w:val="6"/>
            <w:vMerge w:val="continue"/>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pPr>
              <w:widowControl/>
              <w:jc w:val="left"/>
              <w:rPr>
                <w:rFonts w:ascii="Times New Roman" w:hAnsi="Times New Roman" w:eastAsia="宋体"/>
                <w:kern w:val="0"/>
                <w:szCs w:val="21"/>
              </w:rPr>
            </w:pPr>
          </w:p>
        </w:tc>
      </w:tr>
      <w:tr>
        <w:tblPrEx>
          <w:tblCellMar>
            <w:top w:w="0" w:type="dxa"/>
            <w:left w:w="108" w:type="dxa"/>
            <w:bottom w:w="0" w:type="dxa"/>
            <w:right w:w="108" w:type="dxa"/>
          </w:tblCellMar>
        </w:tblPrEx>
        <w:trPr>
          <w:trHeight w:val="340" w:hRule="atLeast"/>
        </w:trPr>
        <w:tc>
          <w:tcPr>
            <w:tcW w:w="1701" w:type="dxa"/>
            <w:gridSpan w:val="2"/>
            <w:tcBorders>
              <w:top w:val="single" w:color="auto" w:sz="4" w:space="0"/>
              <w:left w:val="single" w:color="auto" w:sz="4" w:space="0"/>
              <w:bottom w:val="single" w:color="auto" w:sz="4" w:space="0"/>
              <w:right w:val="single" w:color="000000"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物业管理</w:t>
            </w:r>
          </w:p>
        </w:tc>
        <w:tc>
          <w:tcPr>
            <w:tcW w:w="8080" w:type="dxa"/>
            <w:gridSpan w:val="6"/>
            <w:tcBorders>
              <w:top w:val="single" w:color="auto" w:sz="4" w:space="0"/>
              <w:left w:val="nil"/>
              <w:bottom w:val="single" w:color="auto" w:sz="4" w:space="0"/>
              <w:right w:val="single" w:color="000000"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有专业的物业进行管理</w:t>
            </w:r>
          </w:p>
        </w:tc>
      </w:tr>
    </w:tbl>
    <w:p>
      <w:pPr>
        <w:ind w:firstLine="560" w:firstLineChars="200"/>
        <w:rPr>
          <w:rFonts w:ascii="Times New Roman" w:hAnsi="Times New Roman" w:eastAsia="宋体"/>
          <w:sz w:val="28"/>
          <w:szCs w:val="28"/>
        </w:rPr>
      </w:pPr>
      <w:r>
        <w:rPr>
          <w:rFonts w:ascii="Times New Roman" w:hAnsi="Times New Roman" w:eastAsia="宋体"/>
          <w:sz w:val="28"/>
          <w:szCs w:val="28"/>
        </w:rPr>
        <w:t>估价对象户型示意图：</w:t>
      </w:r>
    </w:p>
    <w:p>
      <w:pPr>
        <w:jc w:val="center"/>
        <w:rPr>
          <w:rFonts w:ascii="Times New Roman" w:hAnsi="Times New Roman" w:eastAsia="宋体"/>
          <w:sz w:val="28"/>
          <w:szCs w:val="28"/>
        </w:rPr>
      </w:pPr>
      <w:r>
        <w:rPr>
          <w:rFonts w:ascii="Times New Roman" w:hAnsi="Times New Roman" w:eastAsia="宋体"/>
        </w:rPr>
        <w:drawing>
          <wp:inline distT="0" distB="0" distL="0" distR="0">
            <wp:extent cx="5095875" cy="3209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rcRect l="5138" t="13546" r="228"/>
                    <a:stretch>
                      <a:fillRect/>
                    </a:stretch>
                  </pic:blipFill>
                  <pic:spPr>
                    <a:xfrm>
                      <a:off x="0" y="0"/>
                      <a:ext cx="5113492" cy="3220603"/>
                    </a:xfrm>
                    <a:prstGeom prst="rect">
                      <a:avLst/>
                    </a:prstGeom>
                    <a:ln>
                      <a:noFill/>
                    </a:ln>
                  </pic:spPr>
                </pic:pic>
              </a:graphicData>
            </a:graphic>
          </wp:inline>
        </w:drawing>
      </w:r>
    </w:p>
    <w:p>
      <w:pPr>
        <w:numPr>
          <w:ilvl w:val="0"/>
          <w:numId w:val="10"/>
        </w:numPr>
        <w:tabs>
          <w:tab w:val="left" w:pos="210"/>
          <w:tab w:val="left" w:pos="630"/>
        </w:tabs>
        <w:spacing w:line="500" w:lineRule="exact"/>
        <w:jc w:val="left"/>
        <w:outlineLvl w:val="2"/>
        <w:rPr>
          <w:rFonts w:ascii="Times New Roman" w:hAnsi="Times New Roman" w:eastAsia="宋体"/>
          <w:bCs/>
          <w:sz w:val="28"/>
          <w:szCs w:val="28"/>
        </w:rPr>
      </w:pPr>
      <w:bookmarkStart w:id="160" w:name="_Toc46417169"/>
      <w:bookmarkStart w:id="161" w:name="_Toc47874196"/>
      <w:bookmarkStart w:id="162" w:name="_Toc47699571"/>
      <w:bookmarkStart w:id="163" w:name="_Toc65065911"/>
      <w:r>
        <w:rPr>
          <w:rFonts w:ascii="Times New Roman" w:hAnsi="Times New Roman" w:eastAsia="宋体"/>
          <w:bCs/>
          <w:sz w:val="28"/>
          <w:szCs w:val="28"/>
        </w:rPr>
        <w:t>估价对象区位状况</w:t>
      </w:r>
      <w:bookmarkEnd w:id="160"/>
      <w:bookmarkEnd w:id="161"/>
      <w:bookmarkEnd w:id="162"/>
      <w:bookmarkEnd w:id="163"/>
    </w:p>
    <w:p>
      <w:pPr>
        <w:spacing w:line="500" w:lineRule="exact"/>
        <w:ind w:firstLine="554" w:firstLineChars="198"/>
        <w:rPr>
          <w:rFonts w:ascii="Times New Roman" w:hAnsi="Times New Roman" w:eastAsia="宋体"/>
          <w:bCs/>
          <w:sz w:val="28"/>
          <w:szCs w:val="28"/>
        </w:rPr>
      </w:pPr>
      <w:r>
        <w:rPr>
          <w:rFonts w:ascii="Times New Roman" w:hAnsi="Times New Roman" w:eastAsia="宋体"/>
          <w:bCs/>
          <w:sz w:val="28"/>
          <w:szCs w:val="28"/>
        </w:rPr>
        <w:t>根据估价人员实地查勘，估价对象的区位状况详见下表：</w:t>
      </w:r>
    </w:p>
    <w:tbl>
      <w:tblPr>
        <w:tblStyle w:val="20"/>
        <w:tblW w:w="9639" w:type="dxa"/>
        <w:tblInd w:w="0" w:type="dxa"/>
        <w:shd w:val="clear" w:color="auto" w:fill="FFFFFF" w:themeFill="background1"/>
        <w:tblLayout w:type="autofit"/>
        <w:tblCellMar>
          <w:top w:w="0" w:type="dxa"/>
          <w:left w:w="108" w:type="dxa"/>
          <w:bottom w:w="0" w:type="dxa"/>
          <w:right w:w="108" w:type="dxa"/>
        </w:tblCellMar>
      </w:tblPr>
      <w:tblGrid>
        <w:gridCol w:w="709"/>
        <w:gridCol w:w="1843"/>
        <w:gridCol w:w="7087"/>
      </w:tblGrid>
      <w:tr>
        <w:tblPrEx>
          <w:tblCellMar>
            <w:top w:w="0" w:type="dxa"/>
            <w:left w:w="108" w:type="dxa"/>
            <w:bottom w:w="0" w:type="dxa"/>
            <w:right w:w="108" w:type="dxa"/>
          </w:tblCellMar>
        </w:tblPrEx>
        <w:trPr>
          <w:trHeight w:val="405" w:hRule="atLeast"/>
        </w:trPr>
        <w:tc>
          <w:tcPr>
            <w:tcW w:w="9639" w:type="dxa"/>
            <w:gridSpan w:val="3"/>
            <w:tcBorders>
              <w:top w:val="nil"/>
              <w:left w:val="nil"/>
              <w:bottom w:val="nil"/>
              <w:right w:val="nil"/>
            </w:tcBorders>
            <w:shd w:val="clear" w:color="auto" w:fill="FFFFFF" w:themeFill="background1"/>
            <w:noWrap/>
            <w:vAlign w:val="center"/>
          </w:tcPr>
          <w:p>
            <w:pPr>
              <w:widowControl/>
              <w:jc w:val="center"/>
              <w:rPr>
                <w:rFonts w:ascii="Times New Roman" w:hAnsi="Times New Roman" w:eastAsia="宋体"/>
                <w:b/>
                <w:bCs/>
                <w:kern w:val="0"/>
                <w:szCs w:val="21"/>
                <w:u w:val="single"/>
              </w:rPr>
            </w:pPr>
            <w:r>
              <w:rPr>
                <w:rFonts w:ascii="Times New Roman" w:hAnsi="Times New Roman" w:eastAsia="宋体"/>
                <w:b/>
                <w:bCs/>
                <w:kern w:val="0"/>
                <w:szCs w:val="21"/>
                <w:u w:val="single"/>
              </w:rPr>
              <w:t>估价对象区位状况</w:t>
            </w:r>
          </w:p>
        </w:tc>
      </w:tr>
      <w:tr>
        <w:tblPrEx>
          <w:shd w:val="clear" w:color="auto" w:fill="FFFFFF" w:themeFill="background1"/>
          <w:tblCellMar>
            <w:top w:w="0" w:type="dxa"/>
            <w:left w:w="108" w:type="dxa"/>
            <w:bottom w:w="0" w:type="dxa"/>
            <w:right w:w="108" w:type="dxa"/>
          </w:tblCellMar>
        </w:tblPrEx>
        <w:trPr>
          <w:trHeight w:val="433" w:hRule="atLeast"/>
        </w:trPr>
        <w:tc>
          <w:tcPr>
            <w:tcW w:w="70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位置状况</w:t>
            </w:r>
          </w:p>
        </w:tc>
        <w:tc>
          <w:tcPr>
            <w:tcW w:w="184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坐落</w:t>
            </w:r>
          </w:p>
        </w:tc>
        <w:tc>
          <w:tcPr>
            <w:tcW w:w="708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云岩区市北路148号保利•云山国际10号楼2单元21层5号</w:t>
            </w:r>
          </w:p>
        </w:tc>
      </w:tr>
      <w:tr>
        <w:tblPrEx>
          <w:shd w:val="clear" w:color="auto" w:fill="FFFFFF" w:themeFill="background1"/>
          <w:tblCellMar>
            <w:top w:w="0" w:type="dxa"/>
            <w:left w:w="108" w:type="dxa"/>
            <w:bottom w:w="0" w:type="dxa"/>
            <w:right w:w="108" w:type="dxa"/>
          </w:tblCellMar>
        </w:tblPrEx>
        <w:trPr>
          <w:trHeight w:val="270" w:hRule="atLeast"/>
        </w:trPr>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方位</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小关立交以西，盐沙大道以北。</w:t>
            </w:r>
          </w:p>
        </w:tc>
      </w:tr>
      <w:tr>
        <w:tblPrEx>
          <w:shd w:val="clear" w:color="auto" w:fill="FFFFFF" w:themeFill="background1"/>
          <w:tblCellMar>
            <w:top w:w="0" w:type="dxa"/>
            <w:left w:w="108" w:type="dxa"/>
            <w:bottom w:w="0" w:type="dxa"/>
            <w:right w:w="108" w:type="dxa"/>
          </w:tblCellMar>
        </w:tblPrEx>
        <w:trPr>
          <w:trHeight w:val="373" w:hRule="atLeast"/>
        </w:trPr>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与重要场所（设施）距离</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小区门口有贵阳市实验小学保利（云山分校），小区西侧与云山山体公园相邻，距贵州省财政学校直线距离约500米。距轻轨1号线南亚路站直线距离约500米。</w:t>
            </w:r>
          </w:p>
        </w:tc>
      </w:tr>
      <w:tr>
        <w:tblPrEx>
          <w:shd w:val="clear" w:color="auto" w:fill="FFFFFF" w:themeFill="background1"/>
          <w:tblCellMar>
            <w:top w:w="0" w:type="dxa"/>
            <w:left w:w="108" w:type="dxa"/>
            <w:bottom w:w="0" w:type="dxa"/>
            <w:right w:w="108" w:type="dxa"/>
          </w:tblCellMar>
        </w:tblPrEx>
        <w:trPr>
          <w:trHeight w:val="555" w:hRule="atLeast"/>
        </w:trPr>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所在楼层/总楼层</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21层/-2+34层</w:t>
            </w:r>
          </w:p>
        </w:tc>
      </w:tr>
      <w:tr>
        <w:tblPrEx>
          <w:shd w:val="clear" w:color="auto" w:fill="FFFFFF" w:themeFill="background1"/>
          <w:tblCellMar>
            <w:top w:w="0" w:type="dxa"/>
            <w:left w:w="108" w:type="dxa"/>
            <w:bottom w:w="0" w:type="dxa"/>
            <w:right w:w="108" w:type="dxa"/>
          </w:tblCellMar>
        </w:tblPrEx>
        <w:trPr>
          <w:trHeight w:val="373" w:hRule="atLeast"/>
        </w:trPr>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朝向</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客厅</w:t>
            </w:r>
            <w:r>
              <w:rPr>
                <w:rFonts w:hint="eastAsia" w:ascii="Times New Roman" w:hAnsi="Times New Roman" w:eastAsia="宋体"/>
                <w:kern w:val="0"/>
                <w:szCs w:val="21"/>
              </w:rPr>
              <w:t>、</w:t>
            </w:r>
            <w:r>
              <w:rPr>
                <w:rFonts w:ascii="Times New Roman" w:hAnsi="Times New Roman" w:eastAsia="宋体"/>
                <w:kern w:val="0"/>
                <w:szCs w:val="21"/>
              </w:rPr>
              <w:t>主卧采光面</w:t>
            </w:r>
            <w:r>
              <w:rPr>
                <w:rFonts w:hint="eastAsia" w:ascii="Times New Roman" w:hAnsi="Times New Roman" w:eastAsia="宋体"/>
                <w:kern w:val="0"/>
                <w:szCs w:val="21"/>
              </w:rPr>
              <w:t>均</w:t>
            </w:r>
            <w:r>
              <w:rPr>
                <w:rFonts w:ascii="Times New Roman" w:hAnsi="Times New Roman" w:eastAsia="宋体"/>
                <w:kern w:val="0"/>
                <w:szCs w:val="21"/>
              </w:rPr>
              <w:t>朝东。</w:t>
            </w:r>
          </w:p>
        </w:tc>
      </w:tr>
      <w:tr>
        <w:tblPrEx>
          <w:shd w:val="clear" w:color="auto" w:fill="FFFFFF" w:themeFill="background1"/>
          <w:tblCellMar>
            <w:top w:w="0" w:type="dxa"/>
            <w:left w:w="108" w:type="dxa"/>
            <w:bottom w:w="0" w:type="dxa"/>
            <w:right w:w="108" w:type="dxa"/>
          </w:tblCellMar>
        </w:tblPrEx>
        <w:trPr>
          <w:trHeight w:val="510" w:hRule="atLeast"/>
        </w:trPr>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临街（路）状况</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估价对象所在小区三面临路（东临黄河路，西临南二环，北临锦江路）</w:t>
            </w:r>
          </w:p>
        </w:tc>
      </w:tr>
      <w:tr>
        <w:tblPrEx>
          <w:shd w:val="clear" w:color="auto" w:fill="FFFFFF" w:themeFill="background1"/>
          <w:tblCellMar>
            <w:top w:w="0" w:type="dxa"/>
            <w:left w:w="108" w:type="dxa"/>
            <w:bottom w:w="0" w:type="dxa"/>
            <w:right w:w="108" w:type="dxa"/>
          </w:tblCellMar>
        </w:tblPrEx>
        <w:trPr>
          <w:trHeight w:val="376" w:hRule="atLeast"/>
        </w:trPr>
        <w:tc>
          <w:tcPr>
            <w:tcW w:w="709" w:type="dxa"/>
            <w:vMerge w:val="restart"/>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交通状况</w:t>
            </w: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道路状况</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所在小区三面临路，道路状况良好。</w:t>
            </w:r>
          </w:p>
        </w:tc>
      </w:tr>
      <w:tr>
        <w:tblPrEx>
          <w:tblCellMar>
            <w:top w:w="0" w:type="dxa"/>
            <w:left w:w="108" w:type="dxa"/>
            <w:bottom w:w="0" w:type="dxa"/>
            <w:right w:w="108" w:type="dxa"/>
          </w:tblCellMar>
        </w:tblPrEx>
        <w:trPr>
          <w:trHeight w:val="630"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出入可利用交通工具</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有15路、37路、48路、55路等公交车路线、轻轨1号线以及的士车。</w:t>
            </w:r>
          </w:p>
        </w:tc>
      </w:tr>
      <w:tr>
        <w:tblPrEx>
          <w:tblCellMar>
            <w:top w:w="0" w:type="dxa"/>
            <w:left w:w="108" w:type="dxa"/>
            <w:bottom w:w="0" w:type="dxa"/>
            <w:right w:w="108" w:type="dxa"/>
          </w:tblCellMar>
        </w:tblPrEx>
        <w:trPr>
          <w:trHeight w:val="281"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交通管制情况</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无</w:t>
            </w:r>
          </w:p>
        </w:tc>
      </w:tr>
      <w:tr>
        <w:tblPrEx>
          <w:tblCellMar>
            <w:top w:w="0" w:type="dxa"/>
            <w:left w:w="108" w:type="dxa"/>
            <w:bottom w:w="0" w:type="dxa"/>
            <w:right w:w="108" w:type="dxa"/>
          </w:tblCellMar>
        </w:tblPrEx>
        <w:trPr>
          <w:trHeight w:val="345"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停车方便程度</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小区内有停车场，停车便利度一般。</w:t>
            </w:r>
          </w:p>
        </w:tc>
      </w:tr>
      <w:tr>
        <w:tblPrEx>
          <w:tblCellMar>
            <w:top w:w="0" w:type="dxa"/>
            <w:left w:w="108" w:type="dxa"/>
            <w:bottom w:w="0" w:type="dxa"/>
            <w:right w:w="108" w:type="dxa"/>
          </w:tblCellMar>
        </w:tblPrEx>
        <w:trPr>
          <w:trHeight w:val="397" w:hRule="atLeast"/>
        </w:trPr>
        <w:tc>
          <w:tcPr>
            <w:tcW w:w="709" w:type="dxa"/>
            <w:vMerge w:val="restart"/>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环境状况</w:t>
            </w: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自然环境</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小区西侧与云山山体公园相邻，自然环境较好。</w:t>
            </w:r>
          </w:p>
        </w:tc>
      </w:tr>
      <w:tr>
        <w:tblPrEx>
          <w:tblCellMar>
            <w:top w:w="0" w:type="dxa"/>
            <w:left w:w="108" w:type="dxa"/>
            <w:bottom w:w="0" w:type="dxa"/>
            <w:right w:w="108" w:type="dxa"/>
          </w:tblCellMar>
        </w:tblPrEx>
        <w:trPr>
          <w:trHeight w:val="349"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人文环境</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地区声誉、居民特征、治安状况等人文环境一般。</w:t>
            </w:r>
          </w:p>
        </w:tc>
      </w:tr>
      <w:tr>
        <w:tblPrEx>
          <w:tblCellMar>
            <w:top w:w="0" w:type="dxa"/>
            <w:left w:w="108" w:type="dxa"/>
            <w:bottom w:w="0" w:type="dxa"/>
            <w:right w:w="108" w:type="dxa"/>
          </w:tblCellMar>
        </w:tblPrEx>
        <w:trPr>
          <w:trHeight w:val="273"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景观</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自然景观、小区景观。</w:t>
            </w:r>
          </w:p>
        </w:tc>
      </w:tr>
      <w:tr>
        <w:tblPrEx>
          <w:tblCellMar>
            <w:top w:w="0" w:type="dxa"/>
            <w:left w:w="108" w:type="dxa"/>
            <w:bottom w:w="0" w:type="dxa"/>
            <w:right w:w="108" w:type="dxa"/>
          </w:tblCellMar>
        </w:tblPrEx>
        <w:trPr>
          <w:trHeight w:val="615" w:hRule="atLeast"/>
        </w:trPr>
        <w:tc>
          <w:tcPr>
            <w:tcW w:w="709" w:type="dxa"/>
            <w:vMerge w:val="restart"/>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配套设施</w:t>
            </w: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基础设施</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估价对象所在区域通路、通电、通上水、通下水、通讯、通气；电、上水等，供给保证率较优，通讯、排水状况较好。</w:t>
            </w:r>
          </w:p>
        </w:tc>
      </w:tr>
      <w:tr>
        <w:tblPrEx>
          <w:tblCellMar>
            <w:top w:w="0" w:type="dxa"/>
            <w:left w:w="108" w:type="dxa"/>
            <w:bottom w:w="0" w:type="dxa"/>
            <w:right w:w="108" w:type="dxa"/>
          </w:tblCellMar>
        </w:tblPrEx>
        <w:trPr>
          <w:trHeight w:val="810" w:hRule="atLeast"/>
        </w:trPr>
        <w:tc>
          <w:tcPr>
            <w:tcW w:w="709" w:type="dxa"/>
            <w:vMerge w:val="continue"/>
            <w:tcBorders>
              <w:top w:val="nil"/>
              <w:left w:val="single" w:color="auto" w:sz="4" w:space="0"/>
              <w:bottom w:val="single" w:color="auto" w:sz="4" w:space="0"/>
              <w:right w:val="single" w:color="auto" w:sz="4" w:space="0"/>
            </w:tcBorders>
            <w:shd w:val="clear" w:color="auto" w:fill="FFFFFF" w:themeFill="background1"/>
            <w:vAlign w:val="center"/>
          </w:tcPr>
          <w:p>
            <w:pPr>
              <w:widowControl/>
              <w:jc w:val="left"/>
              <w:rPr>
                <w:rFonts w:ascii="Times New Roman" w:hAnsi="Times New Roman" w:eastAsia="宋体"/>
                <w:kern w:val="0"/>
                <w:szCs w:val="21"/>
              </w:rPr>
            </w:pPr>
          </w:p>
        </w:tc>
        <w:tc>
          <w:tcPr>
            <w:tcW w:w="1843"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公共服务设施</w:t>
            </w:r>
          </w:p>
        </w:tc>
        <w:tc>
          <w:tcPr>
            <w:tcW w:w="7087" w:type="dxa"/>
            <w:tcBorders>
              <w:top w:val="nil"/>
              <w:left w:val="nil"/>
              <w:bottom w:val="single" w:color="auto" w:sz="4" w:space="0"/>
              <w:right w:val="single" w:color="auto" w:sz="4" w:space="0"/>
            </w:tcBorders>
            <w:shd w:val="clear" w:color="auto" w:fill="FFFFFF" w:themeFill="background1"/>
            <w:vAlign w:val="center"/>
          </w:tcPr>
          <w:p>
            <w:pPr>
              <w:widowControl/>
              <w:rPr>
                <w:rFonts w:ascii="Times New Roman" w:hAnsi="Times New Roman" w:eastAsia="宋体"/>
                <w:kern w:val="0"/>
                <w:szCs w:val="21"/>
              </w:rPr>
            </w:pPr>
            <w:r>
              <w:rPr>
                <w:rFonts w:ascii="Times New Roman" w:hAnsi="Times New Roman" w:eastAsia="宋体"/>
                <w:kern w:val="0"/>
                <w:szCs w:val="21"/>
              </w:rPr>
              <w:t>估价对象所在位置附近有估价对象所在位置附近有所在小区门口有贵阳市实验小学保利（云山分校）。附近菜市场、超市等生活服务设施。</w:t>
            </w:r>
          </w:p>
        </w:tc>
      </w:tr>
    </w:tbl>
    <w:p>
      <w:pPr>
        <w:pStyle w:val="3"/>
        <w:numPr>
          <w:ilvl w:val="0"/>
          <w:numId w:val="9"/>
        </w:numPr>
        <w:spacing w:before="200" w:after="200" w:line="500" w:lineRule="exact"/>
        <w:rPr>
          <w:rFonts w:ascii="Times New Roman" w:hAnsi="Times New Roman" w:eastAsia="宋体"/>
        </w:rPr>
      </w:pPr>
      <w:bookmarkStart w:id="164" w:name="_Toc31910"/>
      <w:bookmarkStart w:id="165" w:name="_Toc432490544"/>
      <w:bookmarkStart w:id="166" w:name="_Toc432574971"/>
      <w:bookmarkStart w:id="167" w:name="_Toc47874188"/>
      <w:bookmarkStart w:id="168" w:name="_Toc468882209"/>
      <w:bookmarkStart w:id="169" w:name="_Toc65065912"/>
      <w:bookmarkStart w:id="170" w:name="_Toc472961344"/>
      <w:bookmarkStart w:id="171" w:name="_Toc445891408"/>
      <w:bookmarkStart w:id="172" w:name="_Toc476489041"/>
      <w:bookmarkStart w:id="173" w:name="_Toc396396775"/>
      <w:bookmarkStart w:id="174" w:name="_Toc46417161"/>
      <w:bookmarkStart w:id="175" w:name="_Toc497752867"/>
      <w:bookmarkStart w:id="176" w:name="_Toc445892281"/>
      <w:bookmarkStart w:id="177" w:name="_Toc239144239"/>
      <w:bookmarkStart w:id="178" w:name="_Toc46417170"/>
      <w:bookmarkStart w:id="179" w:name="_Toc47874197"/>
      <w:r>
        <w:rPr>
          <w:rFonts w:ascii="Times New Roman" w:hAnsi="Times New Roman" w:eastAsia="宋体"/>
        </w:rPr>
        <w:t>价值时点</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tabs>
          <w:tab w:val="left" w:pos="210"/>
          <w:tab w:val="left" w:pos="630"/>
        </w:tabs>
        <w:spacing w:line="480" w:lineRule="exact"/>
        <w:ind w:firstLine="560" w:firstLineChars="200"/>
        <w:rPr>
          <w:rFonts w:ascii="Times New Roman" w:hAnsi="Times New Roman" w:eastAsia="宋体"/>
          <w:bCs/>
          <w:sz w:val="28"/>
          <w:szCs w:val="28"/>
        </w:rPr>
      </w:pPr>
      <w:r>
        <w:rPr>
          <w:rFonts w:ascii="Times New Roman" w:hAnsi="Times New Roman" w:eastAsia="宋体"/>
          <w:sz w:val="28"/>
          <w:szCs w:val="28"/>
        </w:rPr>
        <w:t>委托人提供的《委托书》【（2021）黔0181执759号】未载明价值时点，结合</w:t>
      </w:r>
      <w:r>
        <w:rPr>
          <w:rFonts w:ascii="Times New Roman" w:hAnsi="Times New Roman" w:eastAsia="宋体"/>
          <w:bCs/>
          <w:sz w:val="28"/>
          <w:szCs w:val="28"/>
        </w:rPr>
        <w:t>《房地产估价规范》</w:t>
      </w:r>
      <w:r>
        <w:rPr>
          <w:rFonts w:ascii="Times New Roman" w:hAnsi="Times New Roman" w:eastAsia="宋体"/>
          <w:sz w:val="28"/>
          <w:szCs w:val="28"/>
        </w:rPr>
        <w:t>【GB/T50291-2015】，确定以现场查看时间2021年06月29日为价值时点。</w:t>
      </w:r>
    </w:p>
    <w:p>
      <w:pPr>
        <w:pStyle w:val="3"/>
        <w:numPr>
          <w:ilvl w:val="0"/>
          <w:numId w:val="9"/>
        </w:numPr>
        <w:spacing w:before="200" w:after="200" w:line="500" w:lineRule="exact"/>
        <w:rPr>
          <w:rFonts w:ascii="Times New Roman" w:hAnsi="Times New Roman" w:eastAsia="宋体"/>
        </w:rPr>
      </w:pPr>
      <w:bookmarkStart w:id="180" w:name="_Toc65065913"/>
      <w:r>
        <w:rPr>
          <w:rFonts w:ascii="Times New Roman" w:hAnsi="Times New Roman" w:eastAsia="宋体"/>
        </w:rPr>
        <w:t>价值类型</w:t>
      </w:r>
      <w:bookmarkEnd w:id="126"/>
      <w:bookmarkEnd w:id="127"/>
      <w:bookmarkEnd w:id="128"/>
      <w:bookmarkEnd w:id="129"/>
      <w:bookmarkEnd w:id="130"/>
      <w:bookmarkEnd w:id="131"/>
      <w:bookmarkEnd w:id="132"/>
      <w:bookmarkEnd w:id="133"/>
      <w:bookmarkEnd w:id="134"/>
      <w:bookmarkEnd w:id="135"/>
      <w:bookmarkEnd w:id="178"/>
      <w:bookmarkEnd w:id="179"/>
      <w:bookmarkEnd w:id="180"/>
    </w:p>
    <w:p>
      <w:pPr>
        <w:numPr>
          <w:ilvl w:val="0"/>
          <w:numId w:val="12"/>
        </w:numPr>
        <w:autoSpaceDN w:val="0"/>
        <w:spacing w:line="500" w:lineRule="exact"/>
        <w:jc w:val="left"/>
        <w:rPr>
          <w:rFonts w:ascii="Times New Roman" w:hAnsi="Times New Roman" w:eastAsia="宋体"/>
          <w:bCs/>
          <w:sz w:val="28"/>
          <w:szCs w:val="28"/>
        </w:rPr>
      </w:pPr>
      <w:r>
        <w:rPr>
          <w:rFonts w:ascii="Times New Roman" w:hAnsi="Times New Roman" w:eastAsia="宋体"/>
          <w:bCs/>
          <w:sz w:val="28"/>
          <w:szCs w:val="28"/>
        </w:rPr>
        <w:t>价值类型名称</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 xml:space="preserve">根据委托人提供的《委托书》【（2021）黔0181执759号】，结合《房地产估价规范》【GB/T50291-2015】，确定本次估价采用的价值类型为市场价值。 </w:t>
      </w:r>
    </w:p>
    <w:p>
      <w:pPr>
        <w:numPr>
          <w:ilvl w:val="0"/>
          <w:numId w:val="12"/>
        </w:numPr>
        <w:autoSpaceDN w:val="0"/>
        <w:spacing w:line="500" w:lineRule="exact"/>
        <w:jc w:val="left"/>
        <w:rPr>
          <w:rFonts w:ascii="Times New Roman" w:hAnsi="Times New Roman" w:eastAsia="宋体"/>
          <w:sz w:val="28"/>
          <w:szCs w:val="28"/>
        </w:rPr>
      </w:pPr>
      <w:r>
        <w:rPr>
          <w:rFonts w:ascii="Times New Roman" w:hAnsi="Times New Roman" w:eastAsia="宋体"/>
          <w:sz w:val="28"/>
          <w:szCs w:val="28"/>
        </w:rPr>
        <w:t>价值定义</w:t>
      </w:r>
    </w:p>
    <w:p>
      <w:pPr>
        <w:autoSpaceDN w:val="0"/>
        <w:spacing w:line="50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市场价值是估价对象经适当营销后，由熟悉情况、谨慎行事且不受强迫的交易双方，以公平交易方式在价值时点自愿进行交易的金额。</w:t>
      </w:r>
    </w:p>
    <w:p>
      <w:pPr>
        <w:numPr>
          <w:ilvl w:val="0"/>
          <w:numId w:val="12"/>
        </w:numPr>
        <w:autoSpaceDN w:val="0"/>
        <w:spacing w:line="500" w:lineRule="exact"/>
        <w:jc w:val="left"/>
        <w:rPr>
          <w:rFonts w:ascii="Times New Roman" w:hAnsi="Times New Roman" w:eastAsia="宋体"/>
          <w:sz w:val="28"/>
          <w:szCs w:val="28"/>
        </w:rPr>
      </w:pPr>
      <w:r>
        <w:rPr>
          <w:rFonts w:ascii="Times New Roman" w:hAnsi="Times New Roman" w:eastAsia="宋体"/>
          <w:sz w:val="28"/>
          <w:szCs w:val="28"/>
        </w:rPr>
        <w:t>价值内涵</w:t>
      </w:r>
    </w:p>
    <w:p>
      <w:pPr>
        <w:autoSpaceDN w:val="0"/>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估价对象在满足估价假设和限制条件下包括建筑物及其分摊的国有建设用地使用权</w:t>
      </w:r>
      <w:r>
        <w:rPr>
          <w:rFonts w:hint="eastAsia" w:ascii="Times New Roman" w:hAnsi="Times New Roman" w:eastAsia="宋体"/>
          <w:sz w:val="28"/>
          <w:szCs w:val="28"/>
        </w:rPr>
        <w:t>，</w:t>
      </w:r>
      <w:r>
        <w:rPr>
          <w:rFonts w:ascii="Times New Roman" w:hAnsi="Times New Roman" w:eastAsia="宋体"/>
          <w:sz w:val="28"/>
          <w:szCs w:val="28"/>
        </w:rPr>
        <w:t>室内固定装修</w:t>
      </w:r>
      <w:r>
        <w:rPr>
          <w:rFonts w:hint="eastAsia" w:ascii="Times New Roman" w:hAnsi="Times New Roman" w:eastAsia="宋体"/>
          <w:sz w:val="28"/>
          <w:szCs w:val="28"/>
        </w:rPr>
        <w:t>，</w:t>
      </w:r>
      <w:r>
        <w:rPr>
          <w:rFonts w:ascii="Times New Roman" w:hAnsi="Times New Roman" w:eastAsia="宋体"/>
          <w:sz w:val="28"/>
          <w:szCs w:val="28"/>
        </w:rPr>
        <w:t>室内</w:t>
      </w:r>
      <w:r>
        <w:rPr>
          <w:rFonts w:hint="eastAsia" w:ascii="Times New Roman" w:hAnsi="Times New Roman" w:eastAsia="宋体"/>
          <w:sz w:val="28"/>
          <w:szCs w:val="28"/>
        </w:rPr>
        <w:t>家具、家电等</w:t>
      </w:r>
      <w:r>
        <w:rPr>
          <w:rFonts w:ascii="Times New Roman" w:hAnsi="Times New Roman" w:eastAsia="宋体"/>
          <w:sz w:val="28"/>
          <w:szCs w:val="28"/>
        </w:rPr>
        <w:t>动产</w:t>
      </w:r>
      <w:r>
        <w:rPr>
          <w:rFonts w:hint="eastAsia" w:ascii="Times New Roman" w:hAnsi="Times New Roman" w:eastAsia="宋体"/>
          <w:sz w:val="28"/>
          <w:szCs w:val="28"/>
        </w:rPr>
        <w:t>，</w:t>
      </w:r>
      <w:r>
        <w:rPr>
          <w:rFonts w:ascii="Times New Roman" w:hAnsi="Times New Roman" w:eastAsia="宋体"/>
          <w:sz w:val="28"/>
          <w:szCs w:val="28"/>
        </w:rPr>
        <w:t>公共配套设施，不包括债权债务等其他财产或权益。</w:t>
      </w:r>
    </w:p>
    <w:p>
      <w:pPr>
        <w:autoSpaceDN w:val="0"/>
        <w:spacing w:line="500" w:lineRule="exact"/>
        <w:ind w:firstLine="560" w:firstLineChars="200"/>
        <w:jc w:val="left"/>
        <w:rPr>
          <w:rFonts w:ascii="Times New Roman" w:hAnsi="Times New Roman" w:eastAsia="宋体"/>
          <w:sz w:val="24"/>
        </w:rPr>
      </w:pPr>
      <w:r>
        <w:rPr>
          <w:rFonts w:ascii="Times New Roman" w:hAnsi="Times New Roman" w:eastAsia="宋体"/>
          <w:sz w:val="28"/>
          <w:szCs w:val="28"/>
        </w:rPr>
        <w:t>估价对象于价值时点不存在交易限制、交易双方各自依法承担应缴纳的税费、不考虑未来市场价值变化、特殊交易方式、强制处分、房地产被查封及其他法定优先受偿权等因素条件下的市场价值。</w:t>
      </w:r>
      <w:r>
        <w:rPr>
          <w:rFonts w:ascii="Times New Roman" w:hAnsi="Times New Roman" w:eastAsia="宋体"/>
          <w:sz w:val="24"/>
        </w:rPr>
        <w:t xml:space="preserve"> </w:t>
      </w:r>
    </w:p>
    <w:bookmarkEnd w:id="136"/>
    <w:bookmarkEnd w:id="137"/>
    <w:p>
      <w:pPr>
        <w:pStyle w:val="3"/>
        <w:numPr>
          <w:ilvl w:val="0"/>
          <w:numId w:val="9"/>
        </w:numPr>
        <w:spacing w:before="200" w:after="200" w:line="500" w:lineRule="exact"/>
        <w:rPr>
          <w:rFonts w:ascii="Times New Roman" w:hAnsi="Times New Roman" w:eastAsia="宋体"/>
        </w:rPr>
      </w:pPr>
      <w:bookmarkStart w:id="181" w:name="_Toc65065914"/>
      <w:bookmarkStart w:id="182" w:name="_Toc47874198"/>
      <w:bookmarkStart w:id="183" w:name="_Toc29426"/>
      <w:bookmarkStart w:id="184" w:name="_Toc46417171"/>
      <w:r>
        <w:rPr>
          <w:rFonts w:ascii="Times New Roman" w:hAnsi="Times New Roman" w:eastAsia="宋体"/>
        </w:rPr>
        <w:t>估价原则</w:t>
      </w:r>
      <w:bookmarkEnd w:id="181"/>
      <w:bookmarkEnd w:id="182"/>
      <w:bookmarkEnd w:id="183"/>
      <w:bookmarkEnd w:id="184"/>
    </w:p>
    <w:p>
      <w:pPr>
        <w:numPr>
          <w:ilvl w:val="0"/>
          <w:numId w:val="13"/>
        </w:numPr>
        <w:spacing w:line="500" w:lineRule="exact"/>
        <w:rPr>
          <w:rFonts w:ascii="Times New Roman" w:hAnsi="Times New Roman" w:eastAsia="宋体"/>
          <w:sz w:val="28"/>
          <w:szCs w:val="28"/>
        </w:rPr>
      </w:pPr>
      <w:r>
        <w:rPr>
          <w:rFonts w:ascii="Times New Roman" w:hAnsi="Times New Roman" w:eastAsia="宋体"/>
          <w:sz w:val="28"/>
          <w:szCs w:val="28"/>
        </w:rPr>
        <w:t>遵循独立、客观、公正原则</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独立、客观、公正原则是要求站在中立的立场上，事实就是、公平正直地评估出对各方估价利害关系人均是公平合理的价值或价格。本次估价注册房地产估价师和房地产估价机构与估价委托人及估价利害关系人没有利害关系，估价中没有受到任何单位任何人的影响，没有带着自己的情感、好恶和偏见，没有偏袒，实事求是，客观公正。</w:t>
      </w:r>
    </w:p>
    <w:p>
      <w:pPr>
        <w:numPr>
          <w:ilvl w:val="0"/>
          <w:numId w:val="13"/>
        </w:numPr>
        <w:spacing w:line="500" w:lineRule="exact"/>
        <w:rPr>
          <w:rFonts w:ascii="Times New Roman" w:hAnsi="Times New Roman" w:eastAsia="宋体"/>
          <w:sz w:val="28"/>
          <w:szCs w:val="28"/>
        </w:rPr>
      </w:pPr>
      <w:r>
        <w:rPr>
          <w:rFonts w:ascii="Times New Roman" w:hAnsi="Times New Roman" w:eastAsia="宋体"/>
          <w:sz w:val="28"/>
          <w:szCs w:val="28"/>
        </w:rPr>
        <w:t>遵循合法原则</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合法原则要求在依法判定的估价对象状况下的价值或价格。本次评估按估价对象的《房地产权结果信息一览表》复印件内容进行估价就是其合法性的体现。</w:t>
      </w:r>
    </w:p>
    <w:p>
      <w:pPr>
        <w:numPr>
          <w:ilvl w:val="0"/>
          <w:numId w:val="13"/>
        </w:numPr>
        <w:spacing w:line="500" w:lineRule="exact"/>
        <w:rPr>
          <w:rFonts w:ascii="Times New Roman" w:hAnsi="Times New Roman" w:eastAsia="宋体"/>
          <w:sz w:val="28"/>
          <w:szCs w:val="28"/>
        </w:rPr>
      </w:pPr>
      <w:r>
        <w:rPr>
          <w:rFonts w:ascii="Times New Roman" w:hAnsi="Times New Roman" w:eastAsia="宋体"/>
          <w:sz w:val="28"/>
          <w:szCs w:val="28"/>
        </w:rPr>
        <w:t>遵循价值时点原则</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估价结果应为在根据估价目的确定的某一特定时间的价值或价格。本次估价遵循价值时点原则，以2021年06月29日为价值时点，对估价对象市场价值进行评估。</w:t>
      </w:r>
    </w:p>
    <w:p>
      <w:pPr>
        <w:numPr>
          <w:ilvl w:val="0"/>
          <w:numId w:val="13"/>
        </w:numPr>
        <w:spacing w:line="500" w:lineRule="exact"/>
        <w:rPr>
          <w:rFonts w:ascii="Times New Roman" w:hAnsi="Times New Roman" w:eastAsia="宋体"/>
          <w:sz w:val="28"/>
          <w:szCs w:val="28"/>
        </w:rPr>
      </w:pPr>
      <w:r>
        <w:rPr>
          <w:rFonts w:ascii="Times New Roman" w:hAnsi="Times New Roman" w:eastAsia="宋体"/>
          <w:sz w:val="28"/>
          <w:szCs w:val="28"/>
        </w:rPr>
        <w:t>遵循替代原则</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估价结果应与估价对象的类似房地产在同等条件下的价值或价格偏差应在合理范围内。本次评估采用的比较法以及收益法中客观租金求取就是替代原则的具体体现。</w:t>
      </w:r>
    </w:p>
    <w:p>
      <w:pPr>
        <w:numPr>
          <w:ilvl w:val="0"/>
          <w:numId w:val="13"/>
        </w:numPr>
        <w:spacing w:line="500" w:lineRule="exact"/>
        <w:rPr>
          <w:rFonts w:ascii="Times New Roman" w:hAnsi="Times New Roman" w:eastAsia="宋体"/>
          <w:sz w:val="28"/>
          <w:szCs w:val="28"/>
        </w:rPr>
      </w:pPr>
      <w:r>
        <w:rPr>
          <w:rFonts w:ascii="Times New Roman" w:hAnsi="Times New Roman" w:eastAsia="宋体"/>
          <w:sz w:val="28"/>
          <w:szCs w:val="28"/>
        </w:rPr>
        <w:t>遵循最高最佳利用原则</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最高最佳利用原则要求估价结果是在估价对象最高最佳利用状况下的价值或价格。最高最佳利用是指法律上允许、技术上可能、财务上可行并使价值最大的合理、可能的利用。</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最高最佳利用是在法律法规、政策和出让合同等允许范围内，估价对象达到最佳集约度、最佳规模、最佳用途、最佳档次，在所有具有经济可行性的利用中，基于合法性原则能够使估价对象的利用最大化，即使用性质为住宅用房是估价对象符合条件下的最高最佳利用。</w:t>
      </w:r>
    </w:p>
    <w:p>
      <w:pPr>
        <w:pStyle w:val="3"/>
        <w:numPr>
          <w:ilvl w:val="0"/>
          <w:numId w:val="9"/>
        </w:numPr>
        <w:spacing w:before="200" w:after="200" w:line="500" w:lineRule="exact"/>
        <w:rPr>
          <w:rFonts w:ascii="Times New Roman" w:hAnsi="Times New Roman" w:eastAsia="宋体"/>
        </w:rPr>
      </w:pPr>
      <w:bookmarkStart w:id="185" w:name="_Toc65065915"/>
      <w:bookmarkStart w:id="186" w:name="_Toc6497"/>
      <w:bookmarkStart w:id="187" w:name="_Toc46417172"/>
      <w:bookmarkStart w:id="188" w:name="_Toc47874199"/>
      <w:r>
        <w:rPr>
          <w:rFonts w:ascii="Times New Roman" w:hAnsi="Times New Roman" w:eastAsia="宋体"/>
        </w:rPr>
        <w:t>估价依据</w:t>
      </w:r>
      <w:bookmarkEnd w:id="185"/>
      <w:bookmarkEnd w:id="186"/>
      <w:bookmarkEnd w:id="187"/>
      <w:bookmarkEnd w:id="188"/>
    </w:p>
    <w:p>
      <w:pPr>
        <w:numPr>
          <w:ilvl w:val="0"/>
          <w:numId w:val="14"/>
        </w:numPr>
        <w:spacing w:line="500" w:lineRule="exact"/>
        <w:outlineLvl w:val="2"/>
        <w:rPr>
          <w:rFonts w:ascii="Times New Roman" w:hAnsi="Times New Roman" w:eastAsia="宋体"/>
          <w:sz w:val="28"/>
          <w:szCs w:val="28"/>
        </w:rPr>
      </w:pPr>
      <w:bookmarkStart w:id="189" w:name="_Toc65065916"/>
      <w:bookmarkStart w:id="190" w:name="_Toc396396779"/>
      <w:bookmarkStart w:id="191" w:name="_Toc239144243"/>
      <w:r>
        <w:rPr>
          <w:rFonts w:ascii="Times New Roman" w:hAnsi="Times New Roman" w:eastAsia="宋体"/>
          <w:sz w:val="28"/>
          <w:szCs w:val="28"/>
        </w:rPr>
        <w:t>法律、法规及部门规章</w:t>
      </w:r>
      <w:bookmarkEnd w:id="189"/>
    </w:p>
    <w:p>
      <w:pPr>
        <w:numPr>
          <w:ilvl w:val="0"/>
          <w:numId w:val="15"/>
        </w:numPr>
        <w:tabs>
          <w:tab w:val="left" w:pos="851"/>
        </w:tabs>
        <w:spacing w:line="500" w:lineRule="exact"/>
        <w:ind w:left="0" w:firstLine="560"/>
        <w:jc w:val="left"/>
        <w:rPr>
          <w:rFonts w:ascii="Times New Roman" w:hAnsi="Times New Roman" w:eastAsia="宋体"/>
          <w:sz w:val="28"/>
          <w:szCs w:val="28"/>
        </w:rPr>
      </w:pPr>
      <w:r>
        <w:rPr>
          <w:rFonts w:ascii="Times New Roman" w:hAnsi="Times New Roman" w:eastAsia="宋体"/>
          <w:sz w:val="28"/>
          <w:szCs w:val="28"/>
        </w:rPr>
        <w:t>《资产评估法》【中华人民共和国主席令第46号，自2016年12月1日起施行】；</w:t>
      </w:r>
    </w:p>
    <w:p>
      <w:pPr>
        <w:numPr>
          <w:ilvl w:val="0"/>
          <w:numId w:val="15"/>
        </w:numPr>
        <w:tabs>
          <w:tab w:val="left" w:pos="851"/>
        </w:tabs>
        <w:spacing w:line="500" w:lineRule="exact"/>
        <w:ind w:left="0" w:firstLine="560"/>
        <w:rPr>
          <w:rFonts w:ascii="Times New Roman" w:hAnsi="Times New Roman" w:eastAsia="宋体"/>
          <w:sz w:val="28"/>
          <w:szCs w:val="28"/>
        </w:rPr>
      </w:pPr>
      <w:r>
        <w:rPr>
          <w:rFonts w:ascii="Times New Roman" w:hAnsi="Times New Roman" w:eastAsia="宋体"/>
          <w:sz w:val="28"/>
          <w:szCs w:val="28"/>
        </w:rPr>
        <w:t>《中华人民共和国民法典》【2020年5月28日第十三届全国人民代表大会第三次会议通过，自2021年1月1日起施行】；</w:t>
      </w:r>
    </w:p>
    <w:p>
      <w:pPr>
        <w:numPr>
          <w:ilvl w:val="0"/>
          <w:numId w:val="15"/>
        </w:numPr>
        <w:tabs>
          <w:tab w:val="left" w:pos="851"/>
        </w:tabs>
        <w:spacing w:line="500" w:lineRule="exact"/>
        <w:rPr>
          <w:rFonts w:ascii="Times New Roman" w:hAnsi="Times New Roman" w:eastAsia="宋体"/>
          <w:sz w:val="28"/>
          <w:szCs w:val="28"/>
        </w:rPr>
      </w:pPr>
      <w:r>
        <w:rPr>
          <w:rFonts w:ascii="Times New Roman" w:hAnsi="Times New Roman" w:eastAsia="宋体"/>
          <w:sz w:val="28"/>
          <w:szCs w:val="28"/>
        </w:rPr>
        <w:t>《司法鉴定程序通则》【司法部令第132号】；</w:t>
      </w:r>
    </w:p>
    <w:p>
      <w:pPr>
        <w:numPr>
          <w:ilvl w:val="0"/>
          <w:numId w:val="15"/>
        </w:numPr>
        <w:tabs>
          <w:tab w:val="left" w:pos="851"/>
        </w:tabs>
        <w:spacing w:line="500" w:lineRule="exact"/>
        <w:ind w:left="0" w:firstLine="560"/>
        <w:rPr>
          <w:rFonts w:ascii="Times New Roman" w:hAnsi="Times New Roman" w:eastAsia="宋体"/>
          <w:sz w:val="28"/>
          <w:szCs w:val="28"/>
        </w:rPr>
      </w:pPr>
      <w:r>
        <w:rPr>
          <w:rFonts w:ascii="Times New Roman" w:hAnsi="Times New Roman" w:eastAsia="宋体"/>
          <w:sz w:val="28"/>
          <w:szCs w:val="28"/>
        </w:rPr>
        <w:t>《中华人民共和国土地管理法》【中华人民共和国主席令第32号，2020年01月01日实施】；</w:t>
      </w:r>
    </w:p>
    <w:p>
      <w:pPr>
        <w:numPr>
          <w:ilvl w:val="0"/>
          <w:numId w:val="15"/>
        </w:numPr>
        <w:tabs>
          <w:tab w:val="left" w:pos="851"/>
        </w:tabs>
        <w:spacing w:line="500" w:lineRule="exact"/>
        <w:ind w:left="0" w:firstLine="560"/>
        <w:rPr>
          <w:rFonts w:ascii="Times New Roman" w:hAnsi="Times New Roman" w:eastAsia="宋体"/>
          <w:sz w:val="28"/>
          <w:szCs w:val="28"/>
        </w:rPr>
      </w:pPr>
      <w:r>
        <w:rPr>
          <w:rFonts w:ascii="Times New Roman" w:hAnsi="Times New Roman" w:eastAsia="宋体"/>
          <w:sz w:val="28"/>
          <w:szCs w:val="28"/>
        </w:rPr>
        <w:t>《中华人民共和国城市房地产管理法》【根据2019年8月26日第十三届全国人民代表大会常务委员会第十二次会议《关于修改〈中华人民共和国土地管理法〉、〈中华人民共和国城市房地产管理法〉的决定》第三次修正】；</w:t>
      </w:r>
    </w:p>
    <w:p>
      <w:pPr>
        <w:numPr>
          <w:ilvl w:val="0"/>
          <w:numId w:val="15"/>
        </w:numPr>
        <w:tabs>
          <w:tab w:val="left" w:pos="851"/>
        </w:tabs>
        <w:spacing w:line="500" w:lineRule="exact"/>
        <w:ind w:left="0" w:firstLine="560"/>
        <w:rPr>
          <w:rFonts w:ascii="Times New Roman" w:hAnsi="Times New Roman" w:eastAsia="宋体"/>
          <w:sz w:val="28"/>
          <w:szCs w:val="28"/>
        </w:rPr>
      </w:pPr>
      <w:r>
        <w:rPr>
          <w:rFonts w:ascii="Times New Roman" w:hAnsi="Times New Roman" w:eastAsia="宋体"/>
          <w:sz w:val="28"/>
          <w:szCs w:val="28"/>
        </w:rPr>
        <w:t>《中华人民共和国土地管理法实施条例》【国务院令第256号】；</w:t>
      </w:r>
    </w:p>
    <w:p>
      <w:pPr>
        <w:numPr>
          <w:ilvl w:val="0"/>
          <w:numId w:val="15"/>
        </w:numPr>
        <w:tabs>
          <w:tab w:val="left" w:pos="851"/>
        </w:tabs>
        <w:spacing w:line="500" w:lineRule="exact"/>
        <w:ind w:left="0" w:firstLine="560"/>
        <w:rPr>
          <w:rFonts w:ascii="Times New Roman" w:hAnsi="Times New Roman" w:eastAsia="宋体"/>
          <w:sz w:val="28"/>
          <w:szCs w:val="28"/>
        </w:rPr>
      </w:pPr>
      <w:r>
        <w:rPr>
          <w:rFonts w:ascii="Times New Roman" w:hAnsi="Times New Roman" w:eastAsia="宋体"/>
          <w:sz w:val="28"/>
          <w:szCs w:val="28"/>
        </w:rPr>
        <w:t>《最高人民法院关于人民法院委托评估拍卖工作的若干规定》【法释〔2011〕21号】；</w:t>
      </w:r>
    </w:p>
    <w:p>
      <w:pPr>
        <w:numPr>
          <w:ilvl w:val="0"/>
          <w:numId w:val="15"/>
        </w:numPr>
        <w:tabs>
          <w:tab w:val="left" w:pos="851"/>
        </w:tabs>
        <w:spacing w:line="500" w:lineRule="exact"/>
        <w:ind w:left="0" w:firstLine="426"/>
        <w:rPr>
          <w:rFonts w:ascii="Times New Roman" w:hAnsi="Times New Roman" w:eastAsia="宋体"/>
          <w:sz w:val="28"/>
          <w:szCs w:val="28"/>
        </w:rPr>
      </w:pPr>
      <w:r>
        <w:rPr>
          <w:rFonts w:ascii="Times New Roman" w:hAnsi="Times New Roman" w:eastAsia="宋体"/>
          <w:bCs/>
          <w:sz w:val="28"/>
        </w:rPr>
        <w:t>《最高人民法院关于人民法院确定财产处置参考价若干问题的规定》【法释〔2018〕15号，自2018年9月1日实施】</w:t>
      </w:r>
      <w:r>
        <w:rPr>
          <w:rFonts w:ascii="Times New Roman" w:hAnsi="Times New Roman" w:eastAsia="宋体"/>
          <w:sz w:val="28"/>
          <w:szCs w:val="28"/>
        </w:rPr>
        <w:t>；</w:t>
      </w:r>
    </w:p>
    <w:p>
      <w:pPr>
        <w:numPr>
          <w:ilvl w:val="0"/>
          <w:numId w:val="15"/>
        </w:numPr>
        <w:tabs>
          <w:tab w:val="left" w:pos="851"/>
        </w:tabs>
        <w:spacing w:line="500" w:lineRule="exact"/>
        <w:ind w:left="0" w:firstLine="426"/>
        <w:rPr>
          <w:rFonts w:ascii="Times New Roman" w:hAnsi="Times New Roman" w:eastAsia="宋体"/>
          <w:sz w:val="28"/>
          <w:szCs w:val="28"/>
        </w:rPr>
      </w:pPr>
      <w:r>
        <w:rPr>
          <w:rFonts w:ascii="Times New Roman" w:hAnsi="Times New Roman" w:eastAsia="宋体"/>
          <w:sz w:val="28"/>
          <w:szCs w:val="28"/>
        </w:rPr>
        <w:t>最高人民法院办公厅关于印发《人民法院委托评估工作规范》的通知【法办（2018）273号】；</w:t>
      </w:r>
    </w:p>
    <w:p>
      <w:pPr>
        <w:numPr>
          <w:ilvl w:val="0"/>
          <w:numId w:val="15"/>
        </w:numPr>
        <w:tabs>
          <w:tab w:val="left" w:pos="851"/>
        </w:tabs>
        <w:spacing w:line="500" w:lineRule="exact"/>
        <w:ind w:left="0" w:firstLine="426"/>
        <w:rPr>
          <w:rFonts w:ascii="Times New Roman" w:hAnsi="Times New Roman" w:eastAsia="宋体"/>
          <w:sz w:val="28"/>
          <w:szCs w:val="28"/>
        </w:rPr>
      </w:pPr>
      <w:r>
        <w:rPr>
          <w:rFonts w:ascii="Times New Roman" w:hAnsi="Times New Roman" w:eastAsia="宋体"/>
          <w:sz w:val="28"/>
          <w:szCs w:val="28"/>
        </w:rPr>
        <w:t>《贵州省城市基础设施配套费征收使用管理办法》。</w:t>
      </w:r>
    </w:p>
    <w:p>
      <w:pPr>
        <w:numPr>
          <w:ilvl w:val="0"/>
          <w:numId w:val="14"/>
        </w:numPr>
        <w:spacing w:line="500" w:lineRule="exact"/>
        <w:outlineLvl w:val="2"/>
        <w:rPr>
          <w:rFonts w:ascii="Times New Roman" w:hAnsi="Times New Roman" w:eastAsia="宋体"/>
          <w:sz w:val="28"/>
          <w:szCs w:val="28"/>
        </w:rPr>
      </w:pPr>
      <w:bookmarkStart w:id="192" w:name="_Toc65065917"/>
      <w:r>
        <w:rPr>
          <w:rFonts w:ascii="Times New Roman" w:hAnsi="Times New Roman" w:eastAsia="宋体"/>
          <w:sz w:val="28"/>
          <w:szCs w:val="28"/>
        </w:rPr>
        <w:t>技术规程</w:t>
      </w:r>
      <w:bookmarkEnd w:id="192"/>
    </w:p>
    <w:p>
      <w:pPr>
        <w:numPr>
          <w:ilvl w:val="0"/>
          <w:numId w:val="16"/>
        </w:numPr>
        <w:spacing w:line="500" w:lineRule="exact"/>
        <w:rPr>
          <w:rFonts w:ascii="Times New Roman" w:hAnsi="Times New Roman" w:eastAsia="宋体"/>
          <w:sz w:val="28"/>
          <w:szCs w:val="28"/>
        </w:rPr>
      </w:pPr>
      <w:r>
        <w:rPr>
          <w:rFonts w:ascii="Times New Roman" w:hAnsi="Times New Roman" w:eastAsia="宋体"/>
          <w:sz w:val="28"/>
          <w:szCs w:val="28"/>
        </w:rPr>
        <w:t>《房地产估价规范》【GB/T50291-2015】；</w:t>
      </w:r>
    </w:p>
    <w:p>
      <w:pPr>
        <w:numPr>
          <w:ilvl w:val="0"/>
          <w:numId w:val="16"/>
        </w:numPr>
        <w:spacing w:line="500" w:lineRule="exact"/>
        <w:rPr>
          <w:rFonts w:ascii="Times New Roman" w:hAnsi="Times New Roman" w:eastAsia="宋体"/>
          <w:sz w:val="28"/>
          <w:szCs w:val="28"/>
        </w:rPr>
      </w:pPr>
      <w:r>
        <w:rPr>
          <w:rFonts w:ascii="Times New Roman" w:hAnsi="Times New Roman" w:eastAsia="宋体"/>
          <w:sz w:val="28"/>
          <w:szCs w:val="28"/>
        </w:rPr>
        <w:t>《房地产估价基本术语标准》【GB/T50899-2013】。</w:t>
      </w:r>
    </w:p>
    <w:p>
      <w:pPr>
        <w:numPr>
          <w:ilvl w:val="0"/>
          <w:numId w:val="14"/>
        </w:numPr>
        <w:spacing w:line="500" w:lineRule="exact"/>
        <w:outlineLvl w:val="2"/>
        <w:rPr>
          <w:rFonts w:ascii="Times New Roman" w:hAnsi="Times New Roman" w:eastAsia="宋体"/>
          <w:sz w:val="28"/>
          <w:szCs w:val="28"/>
        </w:rPr>
      </w:pPr>
      <w:bookmarkStart w:id="193" w:name="_Toc65065918"/>
      <w:r>
        <w:rPr>
          <w:rFonts w:ascii="Times New Roman" w:hAnsi="Times New Roman" w:eastAsia="宋体"/>
          <w:sz w:val="28"/>
          <w:szCs w:val="28"/>
        </w:rPr>
        <w:t>委托人提供的资料</w:t>
      </w:r>
      <w:bookmarkEnd w:id="193"/>
    </w:p>
    <w:p>
      <w:pPr>
        <w:numPr>
          <w:ilvl w:val="0"/>
          <w:numId w:val="17"/>
        </w:numPr>
        <w:spacing w:line="500" w:lineRule="exact"/>
        <w:rPr>
          <w:rFonts w:ascii="Times New Roman" w:hAnsi="Times New Roman" w:eastAsia="宋体"/>
          <w:sz w:val="28"/>
          <w:szCs w:val="28"/>
        </w:rPr>
      </w:pPr>
      <w:r>
        <w:rPr>
          <w:rFonts w:ascii="Times New Roman" w:hAnsi="Times New Roman" w:eastAsia="宋体"/>
          <w:sz w:val="28"/>
          <w:szCs w:val="28"/>
        </w:rPr>
        <w:t>清镇市人民法院《委托书》【（2021）黔0181执759号】；</w:t>
      </w:r>
    </w:p>
    <w:p>
      <w:pPr>
        <w:numPr>
          <w:ilvl w:val="0"/>
          <w:numId w:val="17"/>
        </w:numPr>
        <w:spacing w:line="500" w:lineRule="exact"/>
        <w:ind w:left="0" w:firstLine="560" w:firstLineChars="200"/>
        <w:rPr>
          <w:rFonts w:ascii="Times New Roman" w:hAnsi="Times New Roman" w:eastAsia="宋体"/>
          <w:sz w:val="28"/>
          <w:szCs w:val="28"/>
        </w:rPr>
      </w:pPr>
      <w:r>
        <w:rPr>
          <w:rFonts w:hint="eastAsia" w:ascii="Times New Roman" w:hAnsi="Times New Roman" w:eastAsia="宋体"/>
          <w:sz w:val="28"/>
          <w:szCs w:val="28"/>
        </w:rPr>
        <w:t>《贵州省清镇市人民法院移送委托评估函(补充说明)》【（2021）黔0181执759号之一】；</w:t>
      </w:r>
    </w:p>
    <w:p>
      <w:pPr>
        <w:numPr>
          <w:ilvl w:val="0"/>
          <w:numId w:val="17"/>
        </w:numPr>
        <w:spacing w:line="500" w:lineRule="exact"/>
        <w:rPr>
          <w:rFonts w:ascii="Times New Roman" w:hAnsi="Times New Roman" w:eastAsia="宋体"/>
          <w:sz w:val="28"/>
          <w:szCs w:val="28"/>
        </w:rPr>
      </w:pPr>
      <w:r>
        <w:rPr>
          <w:rFonts w:ascii="Times New Roman" w:hAnsi="Times New Roman" w:eastAsia="宋体"/>
          <w:sz w:val="28"/>
          <w:szCs w:val="28"/>
        </w:rPr>
        <w:t>《房地产权结果信息一览表》。</w:t>
      </w:r>
    </w:p>
    <w:p>
      <w:pPr>
        <w:numPr>
          <w:ilvl w:val="0"/>
          <w:numId w:val="14"/>
        </w:numPr>
        <w:spacing w:line="500" w:lineRule="exact"/>
        <w:outlineLvl w:val="2"/>
        <w:rPr>
          <w:rFonts w:ascii="Times New Roman" w:hAnsi="Times New Roman" w:eastAsia="宋体"/>
          <w:sz w:val="28"/>
          <w:szCs w:val="28"/>
        </w:rPr>
      </w:pPr>
      <w:bookmarkStart w:id="194" w:name="_Toc65065919"/>
      <w:r>
        <w:rPr>
          <w:rFonts w:ascii="Times New Roman" w:hAnsi="Times New Roman" w:eastAsia="宋体"/>
          <w:sz w:val="28"/>
          <w:szCs w:val="28"/>
        </w:rPr>
        <w:t>估价机构和注册房地产估价师掌握和搜集的估价所需资料</w:t>
      </w:r>
      <w:bookmarkEnd w:id="194"/>
    </w:p>
    <w:p>
      <w:pPr>
        <w:numPr>
          <w:ilvl w:val="0"/>
          <w:numId w:val="18"/>
        </w:numPr>
        <w:spacing w:line="500" w:lineRule="exact"/>
        <w:ind w:left="0" w:firstLine="560"/>
        <w:rPr>
          <w:rFonts w:ascii="Times New Roman" w:hAnsi="Times New Roman" w:eastAsia="宋体"/>
          <w:sz w:val="28"/>
          <w:szCs w:val="28"/>
        </w:rPr>
      </w:pPr>
      <w:r>
        <w:rPr>
          <w:rFonts w:ascii="Times New Roman" w:hAnsi="Times New Roman" w:eastAsia="宋体"/>
          <w:sz w:val="28"/>
          <w:szCs w:val="28"/>
        </w:rPr>
        <w:t>《2019年贵阳市中心城区土地定级与基准地价更新实施细则》；</w:t>
      </w:r>
    </w:p>
    <w:p>
      <w:pPr>
        <w:numPr>
          <w:ilvl w:val="0"/>
          <w:numId w:val="18"/>
        </w:numPr>
        <w:spacing w:line="500" w:lineRule="exact"/>
        <w:rPr>
          <w:rFonts w:ascii="Times New Roman" w:hAnsi="Times New Roman" w:eastAsia="宋体"/>
          <w:sz w:val="28"/>
          <w:szCs w:val="28"/>
        </w:rPr>
      </w:pPr>
      <w:r>
        <w:rPr>
          <w:rFonts w:ascii="Times New Roman" w:hAnsi="Times New Roman" w:eastAsia="宋体"/>
          <w:sz w:val="28"/>
          <w:szCs w:val="28"/>
        </w:rPr>
        <w:t>估价人员实地查勘及估价机构和估价人员掌握的相关信息资料；</w:t>
      </w:r>
    </w:p>
    <w:p>
      <w:pPr>
        <w:numPr>
          <w:ilvl w:val="0"/>
          <w:numId w:val="18"/>
        </w:numPr>
        <w:spacing w:line="500" w:lineRule="exact"/>
        <w:ind w:left="0" w:firstLine="560"/>
        <w:rPr>
          <w:rFonts w:ascii="Times New Roman" w:hAnsi="Times New Roman" w:eastAsia="宋体"/>
          <w:sz w:val="28"/>
          <w:szCs w:val="28"/>
        </w:rPr>
      </w:pPr>
      <w:r>
        <w:rPr>
          <w:rFonts w:ascii="Times New Roman" w:hAnsi="Times New Roman" w:eastAsia="宋体"/>
          <w:sz w:val="28"/>
          <w:szCs w:val="28"/>
        </w:rPr>
        <w:t xml:space="preserve"> 估价对象所在区域的房地产市场状况、同类房地产市场交易等数据资料。</w:t>
      </w:r>
    </w:p>
    <w:bookmarkEnd w:id="190"/>
    <w:bookmarkEnd w:id="191"/>
    <w:p>
      <w:pPr>
        <w:pStyle w:val="3"/>
        <w:numPr>
          <w:ilvl w:val="0"/>
          <w:numId w:val="9"/>
        </w:numPr>
        <w:spacing w:before="200" w:after="200" w:line="500" w:lineRule="exact"/>
        <w:rPr>
          <w:rFonts w:ascii="Times New Roman" w:hAnsi="Times New Roman" w:eastAsia="宋体"/>
        </w:rPr>
      </w:pPr>
      <w:bookmarkStart w:id="195" w:name="_Toc445891412"/>
      <w:bookmarkStart w:id="196" w:name="_Toc472961348"/>
      <w:bookmarkStart w:id="197" w:name="_Toc46417173"/>
      <w:bookmarkStart w:id="198" w:name="_Toc65065920"/>
      <w:bookmarkStart w:id="199" w:name="_Toc1411"/>
      <w:bookmarkStart w:id="200" w:name="_Toc445892285"/>
      <w:bookmarkStart w:id="201" w:name="_Toc468882213"/>
      <w:bookmarkStart w:id="202" w:name="_Toc476489045"/>
      <w:bookmarkStart w:id="203" w:name="_Toc432490548"/>
      <w:bookmarkStart w:id="204" w:name="_Toc497752871"/>
      <w:bookmarkStart w:id="205" w:name="_Toc47874200"/>
      <w:bookmarkStart w:id="206" w:name="_Toc432574975"/>
      <w:bookmarkStart w:id="207" w:name="_Toc445891413"/>
      <w:bookmarkStart w:id="208" w:name="_Toc432574976"/>
      <w:bookmarkStart w:id="209" w:name="_Toc476489046"/>
      <w:bookmarkStart w:id="210" w:name="_Toc239144244"/>
      <w:bookmarkStart w:id="211" w:name="_Toc445892286"/>
      <w:bookmarkStart w:id="212" w:name="_Toc468882214"/>
      <w:bookmarkStart w:id="213" w:name="_Toc472961349"/>
      <w:bookmarkStart w:id="214" w:name="_Toc432490549"/>
      <w:bookmarkStart w:id="215" w:name="_Toc396396780"/>
      <w:bookmarkStart w:id="216" w:name="_Toc26622"/>
      <w:bookmarkStart w:id="217" w:name="_Toc46417174"/>
      <w:bookmarkStart w:id="218" w:name="_Toc47874201"/>
      <w:bookmarkStart w:id="219" w:name="_Toc497752872"/>
      <w:bookmarkStart w:id="220" w:name="_Toc229365839"/>
      <w:r>
        <w:rPr>
          <w:rFonts w:ascii="Times New Roman" w:hAnsi="Times New Roman" w:eastAsia="宋体"/>
        </w:rPr>
        <w:t>估价方法</w:t>
      </w:r>
      <w:bookmarkEnd w:id="195"/>
      <w:bookmarkEnd w:id="196"/>
      <w:bookmarkEnd w:id="197"/>
      <w:bookmarkEnd w:id="198"/>
      <w:bookmarkEnd w:id="199"/>
      <w:bookmarkEnd w:id="200"/>
      <w:bookmarkEnd w:id="201"/>
      <w:bookmarkEnd w:id="202"/>
      <w:bookmarkEnd w:id="203"/>
      <w:bookmarkEnd w:id="204"/>
      <w:bookmarkEnd w:id="205"/>
      <w:bookmarkEnd w:id="206"/>
    </w:p>
    <w:p>
      <w:pPr>
        <w:numPr>
          <w:ilvl w:val="0"/>
          <w:numId w:val="19"/>
        </w:numPr>
        <w:tabs>
          <w:tab w:val="left" w:pos="180"/>
        </w:tabs>
        <w:spacing w:line="500" w:lineRule="exact"/>
        <w:jc w:val="left"/>
        <w:rPr>
          <w:rFonts w:ascii="Times New Roman" w:hAnsi="Times New Roman" w:eastAsia="宋体"/>
          <w:sz w:val="28"/>
          <w:szCs w:val="28"/>
        </w:rPr>
      </w:pPr>
      <w:r>
        <w:rPr>
          <w:rFonts w:ascii="Times New Roman" w:hAnsi="Times New Roman" w:eastAsia="宋体"/>
          <w:sz w:val="28"/>
          <w:szCs w:val="28"/>
        </w:rPr>
        <w:t>选用估价方法的法律、法规或技术标准依据</w:t>
      </w:r>
    </w:p>
    <w:p>
      <w:pPr>
        <w:tabs>
          <w:tab w:val="left" w:pos="0"/>
        </w:tabs>
        <w:spacing w:line="50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根据《房地产估价规范》(GB/T50291-2015)第4.1.2条规定，房地产估价方法的选用应符合下列规定：</w:t>
      </w:r>
    </w:p>
    <w:p>
      <w:pPr>
        <w:numPr>
          <w:ilvl w:val="0"/>
          <w:numId w:val="20"/>
        </w:numPr>
        <w:tabs>
          <w:tab w:val="left" w:pos="180"/>
        </w:tabs>
        <w:spacing w:line="500" w:lineRule="exact"/>
        <w:ind w:left="0" w:firstLine="560"/>
        <w:jc w:val="left"/>
        <w:rPr>
          <w:rFonts w:ascii="Times New Roman" w:hAnsi="Times New Roman" w:eastAsia="宋体"/>
          <w:sz w:val="28"/>
          <w:szCs w:val="28"/>
        </w:rPr>
      </w:pPr>
      <w:r>
        <w:rPr>
          <w:rFonts w:ascii="Times New Roman" w:hAnsi="Times New Roman" w:eastAsia="宋体"/>
          <w:sz w:val="28"/>
          <w:szCs w:val="28"/>
        </w:rPr>
        <w:t>估价对象的同类房地产有较多交易的，应选用比较法。</w:t>
      </w:r>
    </w:p>
    <w:p>
      <w:pPr>
        <w:numPr>
          <w:ilvl w:val="0"/>
          <w:numId w:val="20"/>
        </w:numPr>
        <w:tabs>
          <w:tab w:val="left" w:pos="180"/>
        </w:tabs>
        <w:spacing w:line="500" w:lineRule="exact"/>
        <w:ind w:left="0" w:firstLine="560"/>
        <w:jc w:val="left"/>
        <w:rPr>
          <w:rFonts w:ascii="Times New Roman" w:hAnsi="Times New Roman" w:eastAsia="宋体"/>
          <w:sz w:val="28"/>
          <w:szCs w:val="28"/>
        </w:rPr>
      </w:pPr>
      <w:r>
        <w:rPr>
          <w:rFonts w:ascii="Times New Roman" w:hAnsi="Times New Roman" w:eastAsia="宋体"/>
          <w:sz w:val="28"/>
          <w:szCs w:val="28"/>
        </w:rPr>
        <w:t>估价对象或其同类房地产通常有租金等经济收入的，应选用收益法。</w:t>
      </w:r>
    </w:p>
    <w:p>
      <w:pPr>
        <w:numPr>
          <w:ilvl w:val="0"/>
          <w:numId w:val="20"/>
        </w:numPr>
        <w:tabs>
          <w:tab w:val="left" w:pos="180"/>
        </w:tabs>
        <w:spacing w:line="500" w:lineRule="exact"/>
        <w:ind w:left="0" w:firstLine="567"/>
        <w:jc w:val="left"/>
        <w:rPr>
          <w:rFonts w:ascii="Times New Roman" w:hAnsi="Times New Roman" w:eastAsia="宋体"/>
          <w:sz w:val="28"/>
          <w:szCs w:val="28"/>
        </w:rPr>
      </w:pPr>
      <w:r>
        <w:rPr>
          <w:rFonts w:ascii="Times New Roman" w:hAnsi="Times New Roman" w:eastAsia="宋体"/>
          <w:sz w:val="28"/>
          <w:szCs w:val="28"/>
        </w:rPr>
        <w:t>估价对象可假定为独立的开发建设项目进行重新开发建设的，宜选用成本法；当估价对象的同类房地产没有交易或交易很少，且估价对象或其同类房地产没有租金等经济收入时，应选用成本法。</w:t>
      </w:r>
    </w:p>
    <w:p>
      <w:pPr>
        <w:numPr>
          <w:ilvl w:val="0"/>
          <w:numId w:val="20"/>
        </w:numPr>
        <w:tabs>
          <w:tab w:val="left" w:pos="180"/>
        </w:tabs>
        <w:spacing w:line="500" w:lineRule="exact"/>
        <w:ind w:left="0" w:firstLine="567"/>
        <w:jc w:val="left"/>
        <w:rPr>
          <w:rFonts w:ascii="Times New Roman" w:hAnsi="Times New Roman" w:eastAsia="宋体"/>
          <w:sz w:val="28"/>
          <w:szCs w:val="28"/>
        </w:rPr>
      </w:pPr>
      <w:r>
        <w:rPr>
          <w:rFonts w:ascii="Times New Roman" w:hAnsi="Times New Roman" w:eastAsia="宋体"/>
          <w:sz w:val="28"/>
          <w:szCs w:val="28"/>
        </w:rPr>
        <w:t>估价对象具有开发或再开发潜力且开发完成后的价值可采用除成本法以外的方法测算的，应选用假设开发法。</w:t>
      </w:r>
    </w:p>
    <w:p>
      <w:pPr>
        <w:numPr>
          <w:ilvl w:val="0"/>
          <w:numId w:val="19"/>
        </w:numPr>
        <w:tabs>
          <w:tab w:val="left" w:pos="180"/>
        </w:tabs>
        <w:spacing w:line="500" w:lineRule="exact"/>
        <w:ind w:left="981"/>
        <w:jc w:val="left"/>
        <w:rPr>
          <w:rFonts w:ascii="Times New Roman" w:hAnsi="Times New Roman" w:eastAsia="宋体"/>
          <w:sz w:val="28"/>
          <w:szCs w:val="28"/>
        </w:rPr>
      </w:pPr>
      <w:r>
        <w:rPr>
          <w:rFonts w:ascii="Times New Roman" w:hAnsi="Times New Roman" w:eastAsia="宋体"/>
          <w:sz w:val="28"/>
          <w:szCs w:val="28"/>
        </w:rPr>
        <w:t>本次估价选用的方法及理由</w:t>
      </w:r>
    </w:p>
    <w:p>
      <w:pPr>
        <w:tabs>
          <w:tab w:val="left" w:pos="0"/>
        </w:tabs>
        <w:spacing w:line="50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A、房地产估价：</w:t>
      </w:r>
    </w:p>
    <w:p>
      <w:pPr>
        <w:numPr>
          <w:ilvl w:val="0"/>
          <w:numId w:val="21"/>
        </w:numPr>
        <w:tabs>
          <w:tab w:val="left" w:pos="180"/>
        </w:tabs>
        <w:spacing w:line="500" w:lineRule="exact"/>
        <w:ind w:left="0" w:firstLine="560" w:firstLineChars="200"/>
        <w:jc w:val="left"/>
        <w:rPr>
          <w:rFonts w:ascii="Times New Roman" w:hAnsi="Times New Roman" w:eastAsia="宋体"/>
          <w:sz w:val="28"/>
          <w:szCs w:val="28"/>
        </w:rPr>
      </w:pPr>
      <w:r>
        <w:rPr>
          <w:rFonts w:ascii="Times New Roman" w:hAnsi="Times New Roman" w:eastAsia="宋体"/>
          <w:sz w:val="28"/>
          <w:szCs w:val="28"/>
        </w:rPr>
        <w:t>比较法：估价对象的同类房地产有较多交易的，应选用比较法。根据估价人员调查，与估价对象类似房地产交易情况较多，交易案例易获取，故本次估价选用比较法。</w:t>
      </w:r>
    </w:p>
    <w:p>
      <w:pPr>
        <w:numPr>
          <w:ilvl w:val="0"/>
          <w:numId w:val="21"/>
        </w:numPr>
        <w:tabs>
          <w:tab w:val="left" w:pos="180"/>
        </w:tabs>
        <w:spacing w:line="500" w:lineRule="exact"/>
        <w:ind w:left="0" w:firstLine="560" w:firstLineChars="200"/>
        <w:jc w:val="left"/>
        <w:rPr>
          <w:rFonts w:ascii="Times New Roman" w:hAnsi="Times New Roman" w:eastAsia="宋体"/>
          <w:sz w:val="28"/>
          <w:szCs w:val="28"/>
        </w:rPr>
      </w:pPr>
      <w:r>
        <w:rPr>
          <w:rFonts w:ascii="Times New Roman" w:hAnsi="Times New Roman" w:eastAsia="宋体"/>
          <w:sz w:val="28"/>
          <w:szCs w:val="28"/>
        </w:rPr>
        <w:t>收益法：估价对象或其同类房地产通常有租金等经济收入的，应选用收益法。估价对象所在区域房地产租赁交易信息相对较多，租赁市场相对成熟，同一供需圈同类型房地产租赁案例较多，故本次估价选用收益法为进行估价。</w:t>
      </w:r>
    </w:p>
    <w:p>
      <w:pPr>
        <w:tabs>
          <w:tab w:val="left" w:pos="0"/>
        </w:tabs>
        <w:spacing w:line="50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B、室内动产估价：</w:t>
      </w:r>
    </w:p>
    <w:p>
      <w:pPr>
        <w:tabs>
          <w:tab w:val="left" w:pos="0"/>
        </w:tabs>
        <w:spacing w:line="50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成本法：对估价对象中的室内动产没有交易或交易很少，且估价对象或其同类财产没有租金等经济收入，应选用成本法对估价对象中的室内动产进行估价。</w:t>
      </w:r>
    </w:p>
    <w:p>
      <w:pPr>
        <w:numPr>
          <w:ilvl w:val="0"/>
          <w:numId w:val="19"/>
        </w:numPr>
        <w:tabs>
          <w:tab w:val="left" w:pos="180"/>
        </w:tabs>
        <w:spacing w:line="500" w:lineRule="exact"/>
        <w:jc w:val="left"/>
        <w:rPr>
          <w:rFonts w:ascii="Times New Roman" w:hAnsi="Times New Roman" w:eastAsia="宋体"/>
          <w:sz w:val="28"/>
          <w:szCs w:val="28"/>
        </w:rPr>
      </w:pPr>
      <w:r>
        <w:rPr>
          <w:rFonts w:ascii="Times New Roman" w:hAnsi="Times New Roman" w:eastAsia="宋体"/>
          <w:sz w:val="28"/>
          <w:szCs w:val="28"/>
        </w:rPr>
        <w:t>结合规定本次房地产估价适用但未选用的方法及理由</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1.成本法：理论上，成本法所采用的理论依据为生产费用价值论，即商品的价格是依据其生产所必要的费用而决定。房地产作为特殊的商品，其价格基于社会上的“生产费用”，类似于“替代原理”，从理论上可选。但从客观角度来看，首先，估价对象同一供应圈内的同类房地产有交易情况，且估价对象或其同类房地产有租金等经济收入；其次，随着房地产市场供给的变化，市场价值与其开发成本、利润率等关联性较弱，其房地产的“成本及利润”不能反映出房地产的现实市场价格。故不选用成本法。</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2.假设开发法：理论上，假设开发法依据预期收益原理，是求得估价对象后续开发完成后的必要支出及折现率或后续开发的必要支出及应得利润好开发完成后的价值，而估价对象为已建成房地产，从理论上不可。</w:t>
      </w:r>
    </w:p>
    <w:p>
      <w:pPr>
        <w:numPr>
          <w:ilvl w:val="0"/>
          <w:numId w:val="19"/>
        </w:numPr>
        <w:tabs>
          <w:tab w:val="left" w:pos="180"/>
        </w:tabs>
        <w:spacing w:line="500" w:lineRule="exact"/>
        <w:jc w:val="left"/>
        <w:rPr>
          <w:rFonts w:ascii="Times New Roman" w:hAnsi="Times New Roman" w:eastAsia="宋体"/>
          <w:sz w:val="28"/>
          <w:szCs w:val="28"/>
        </w:rPr>
      </w:pPr>
      <w:r>
        <w:rPr>
          <w:rFonts w:ascii="Times New Roman" w:hAnsi="Times New Roman" w:eastAsia="宋体"/>
          <w:sz w:val="28"/>
          <w:szCs w:val="28"/>
        </w:rPr>
        <w:t>估价方法定义</w:t>
      </w:r>
    </w:p>
    <w:p>
      <w:pPr>
        <w:numPr>
          <w:ilvl w:val="0"/>
          <w:numId w:val="22"/>
        </w:numPr>
        <w:tabs>
          <w:tab w:val="left" w:pos="180"/>
        </w:tabs>
        <w:spacing w:line="500" w:lineRule="exact"/>
        <w:ind w:left="0" w:firstLine="560"/>
        <w:jc w:val="left"/>
        <w:rPr>
          <w:rFonts w:ascii="Times New Roman" w:hAnsi="Times New Roman" w:eastAsia="宋体"/>
          <w:sz w:val="28"/>
          <w:szCs w:val="28"/>
        </w:rPr>
      </w:pPr>
      <w:r>
        <w:rPr>
          <w:rFonts w:hint="eastAsia" w:ascii="Times New Roman" w:hAnsi="Times New Roman" w:eastAsia="宋体"/>
          <w:sz w:val="28"/>
          <w:szCs w:val="28"/>
        </w:rPr>
        <w:t>房地产估价——</w:t>
      </w:r>
      <w:r>
        <w:rPr>
          <w:rFonts w:ascii="Times New Roman" w:hAnsi="Times New Roman" w:eastAsia="宋体"/>
          <w:sz w:val="28"/>
          <w:szCs w:val="28"/>
        </w:rPr>
        <w:t>比较法：选取一定数量的可比实例，将他们与估价对象进行比较，根据其间的差异对可比实例成交价格进行处理后得到估价对象价值或价格的方法。</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公式：P=P</w:t>
      </w:r>
      <w:r>
        <w:rPr>
          <w:rFonts w:ascii="Times New Roman" w:hAnsi="Times New Roman" w:eastAsia="宋体"/>
          <w:sz w:val="28"/>
          <w:szCs w:val="28"/>
          <w:vertAlign w:val="subscript"/>
        </w:rPr>
        <w:t>i</w:t>
      </w:r>
      <w:r>
        <w:rPr>
          <w:rFonts w:ascii="Times New Roman" w:hAnsi="Times New Roman" w:eastAsia="宋体"/>
          <w:sz w:val="28"/>
          <w:szCs w:val="28"/>
        </w:rPr>
        <w:t>×A×B×C</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式中：P ---被估价房地产估价价格</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P</w:t>
      </w:r>
      <w:r>
        <w:rPr>
          <w:rFonts w:ascii="Times New Roman" w:hAnsi="Times New Roman" w:eastAsia="宋体"/>
          <w:sz w:val="28"/>
          <w:szCs w:val="28"/>
          <w:vertAlign w:val="subscript"/>
        </w:rPr>
        <w:t>i</w:t>
      </w:r>
      <w:r>
        <w:rPr>
          <w:rFonts w:ascii="Times New Roman" w:hAnsi="Times New Roman" w:eastAsia="宋体"/>
          <w:sz w:val="28"/>
          <w:szCs w:val="28"/>
        </w:rPr>
        <w:t xml:space="preserve"> ---可比交易案例价格</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A ---交易情况修正系数</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B ---市场状况修正系数</w:t>
      </w:r>
    </w:p>
    <w:p>
      <w:pPr>
        <w:spacing w:line="500" w:lineRule="exact"/>
        <w:ind w:firstLine="560" w:firstLineChars="200"/>
        <w:rPr>
          <w:rFonts w:ascii="Times New Roman" w:hAnsi="Times New Roman" w:eastAsia="宋体"/>
          <w:sz w:val="28"/>
          <w:szCs w:val="28"/>
        </w:rPr>
      </w:pPr>
      <w:r>
        <w:rPr>
          <w:rFonts w:ascii="Times New Roman" w:hAnsi="Times New Roman" w:eastAsia="宋体"/>
          <w:sz w:val="28"/>
          <w:szCs w:val="28"/>
        </w:rPr>
        <w:t>C ---实物状况因素修正系数</w:t>
      </w:r>
    </w:p>
    <w:p>
      <w:pPr>
        <w:numPr>
          <w:ilvl w:val="0"/>
          <w:numId w:val="22"/>
        </w:numPr>
        <w:tabs>
          <w:tab w:val="left" w:pos="180"/>
        </w:tabs>
        <w:spacing w:line="500" w:lineRule="exact"/>
        <w:ind w:left="0" w:firstLine="560"/>
        <w:jc w:val="left"/>
        <w:rPr>
          <w:rFonts w:ascii="Times New Roman" w:hAnsi="Times New Roman" w:eastAsia="宋体"/>
          <w:sz w:val="28"/>
          <w:szCs w:val="28"/>
        </w:rPr>
      </w:pPr>
      <w:r>
        <w:rPr>
          <w:rFonts w:hint="eastAsia" w:ascii="Times New Roman" w:hAnsi="Times New Roman" w:eastAsia="宋体"/>
          <w:sz w:val="28"/>
          <w:szCs w:val="28"/>
        </w:rPr>
        <w:t>房地产估价——</w:t>
      </w:r>
      <w:r>
        <w:rPr>
          <w:rFonts w:ascii="Times New Roman" w:hAnsi="Times New Roman" w:eastAsia="宋体"/>
          <w:sz w:val="28"/>
          <w:szCs w:val="28"/>
        </w:rPr>
        <w:t>收益法：预测估价对象的未来收益，利用合适的报酬率或资本化率、收益乘数，将未来收益转换为价值得到估价对象价值或价格的方法。</w:t>
      </w:r>
    </w:p>
    <w:p>
      <w:pPr>
        <w:spacing w:line="500" w:lineRule="exact"/>
        <w:ind w:firstLine="560" w:firstLineChars="200"/>
        <w:rPr>
          <w:rFonts w:ascii="Times New Roman" w:hAnsi="Times New Roman" w:eastAsia="宋体"/>
          <w:sz w:val="28"/>
          <w:szCs w:val="28"/>
        </w:rPr>
      </w:pPr>
      <w:r>
        <w:rPr>
          <w:rFonts w:ascii="Times New Roman" w:hAnsi="Times New Roman" w:eastAsia="宋体"/>
          <w:color w:val="000000"/>
          <w:sz w:val="28"/>
          <w:szCs w:val="28"/>
        </w:rPr>
        <w:t>(1)报酬资本化法的基本公式为：</w:t>
      </w:r>
      <w:r>
        <w:rPr>
          <w:rFonts w:ascii="Times New Roman" w:hAnsi="Times New Roman" w:eastAsia="宋体"/>
          <w:sz w:val="28"/>
          <w:szCs w:val="28"/>
        </w:rPr>
        <w:t xml:space="preserve"> </w:t>
      </w:r>
    </w:p>
    <w:p>
      <w:pPr>
        <w:spacing w:line="840" w:lineRule="auto"/>
        <w:ind w:firstLine="560" w:firstLineChars="200"/>
        <w:rPr>
          <w:rFonts w:ascii="Times New Roman" w:hAnsi="Times New Roman" w:eastAsia="宋体"/>
          <w:color w:val="000000"/>
          <w:kern w:val="0"/>
          <w:sz w:val="28"/>
          <w:szCs w:val="28"/>
        </w:rPr>
      </w:pPr>
      <m:oMathPara>
        <m:oMath>
          <m:r>
            <m:rPr/>
            <w:rPr>
              <w:rFonts w:ascii="Cambria Math" w:hAnsi="Cambria Math" w:eastAsia="宋体"/>
              <w:color w:val="000000"/>
              <w:kern w:val="0"/>
              <w:sz w:val="28"/>
              <w:szCs w:val="28"/>
            </w:rPr>
            <m:t>V=</m:t>
          </m:r>
          <m:nary>
            <m:naryPr>
              <m:chr m:val="∑"/>
              <m:limLoc m:val="undOvr"/>
              <m:ctrlPr>
                <w:rPr>
                  <w:rFonts w:ascii="Cambria Math" w:hAnsi="Cambria Math" w:eastAsia="宋体"/>
                  <w:i/>
                  <w:color w:val="000000"/>
                  <w:kern w:val="0"/>
                  <w:sz w:val="28"/>
                  <w:szCs w:val="28"/>
                </w:rPr>
              </m:ctrlPr>
            </m:naryPr>
            <m:sub>
              <m:r>
                <m:rPr/>
                <w:rPr>
                  <w:rFonts w:ascii="Cambria Math" w:hAnsi="Cambria Math" w:eastAsia="宋体"/>
                  <w:color w:val="000000"/>
                  <w:kern w:val="0"/>
                  <w:sz w:val="28"/>
                  <w:szCs w:val="28"/>
                </w:rPr>
                <m:t>i</m:t>
              </m:r>
              <m:ctrlPr>
                <w:rPr>
                  <w:rFonts w:ascii="Cambria Math" w:hAnsi="Cambria Math" w:eastAsia="宋体"/>
                  <w:i/>
                  <w:color w:val="000000"/>
                  <w:kern w:val="0"/>
                  <w:sz w:val="28"/>
                  <w:szCs w:val="28"/>
                </w:rPr>
              </m:ctrlPr>
            </m:sub>
            <m:sup>
              <m:r>
                <m:rPr/>
                <w:rPr>
                  <w:rFonts w:ascii="Cambria Math" w:hAnsi="Cambria Math" w:eastAsia="宋体"/>
                  <w:color w:val="000000"/>
                  <w:kern w:val="0"/>
                  <w:sz w:val="28"/>
                  <w:szCs w:val="28"/>
                </w:rPr>
                <m:t>n</m:t>
              </m:r>
              <m:ctrlPr>
                <w:rPr>
                  <w:rFonts w:ascii="Cambria Math" w:hAnsi="Cambria Math" w:eastAsia="宋体"/>
                  <w:i/>
                  <w:color w:val="000000"/>
                  <w:kern w:val="0"/>
                  <w:sz w:val="28"/>
                  <w:szCs w:val="28"/>
                </w:rPr>
              </m:ctrlPr>
            </m:sup>
            <m:e>
              <m:f>
                <m:fPr>
                  <m:ctrlPr>
                    <w:rPr>
                      <w:rFonts w:ascii="Cambria Math" w:hAnsi="Cambria Math" w:eastAsia="宋体"/>
                      <w:i/>
                      <w:color w:val="000000"/>
                      <w:kern w:val="0"/>
                      <w:sz w:val="28"/>
                      <w:szCs w:val="28"/>
                    </w:rPr>
                  </m:ctrlPr>
                </m:fPr>
                <m:num>
                  <m:sSub>
                    <m:sSubPr>
                      <m:ctrlPr>
                        <w:rPr>
                          <w:rFonts w:ascii="Cambria Math" w:hAnsi="Cambria Math" w:eastAsia="宋体"/>
                          <w:i/>
                          <w:color w:val="000000"/>
                          <w:kern w:val="0"/>
                          <w:sz w:val="28"/>
                          <w:szCs w:val="28"/>
                        </w:rPr>
                      </m:ctrlPr>
                    </m:sSubPr>
                    <m:e>
                      <m:r>
                        <m:rPr/>
                        <w:rPr>
                          <w:rFonts w:ascii="Cambria Math" w:hAnsi="Cambria Math" w:eastAsia="宋体"/>
                          <w:color w:val="000000"/>
                          <w:kern w:val="0"/>
                          <w:sz w:val="28"/>
                          <w:szCs w:val="28"/>
                        </w:rPr>
                        <m:t>A</m:t>
                      </m:r>
                      <m:ctrlPr>
                        <w:rPr>
                          <w:rFonts w:ascii="Cambria Math" w:hAnsi="Cambria Math" w:eastAsia="宋体"/>
                          <w:i/>
                          <w:color w:val="000000"/>
                          <w:kern w:val="0"/>
                          <w:sz w:val="28"/>
                          <w:szCs w:val="28"/>
                        </w:rPr>
                      </m:ctrlPr>
                    </m:e>
                    <m:sub>
                      <m:r>
                        <m:rPr/>
                        <w:rPr>
                          <w:rFonts w:ascii="Cambria Math" w:hAnsi="Cambria Math" w:eastAsia="宋体"/>
                          <w:color w:val="000000"/>
                          <w:kern w:val="0"/>
                          <w:sz w:val="28"/>
                          <w:szCs w:val="28"/>
                        </w:rPr>
                        <m:t>i</m:t>
                      </m:r>
                      <m:ctrlPr>
                        <w:rPr>
                          <w:rFonts w:ascii="Cambria Math" w:hAnsi="Cambria Math" w:eastAsia="宋体"/>
                          <w:i/>
                          <w:color w:val="000000"/>
                          <w:kern w:val="0"/>
                          <w:sz w:val="28"/>
                          <w:szCs w:val="28"/>
                        </w:rPr>
                      </m:ctrlPr>
                    </m:sub>
                  </m:sSub>
                  <m:ctrlPr>
                    <w:rPr>
                      <w:rFonts w:ascii="Cambria Math" w:hAnsi="Cambria Math" w:eastAsia="宋体"/>
                      <w:i/>
                      <w:color w:val="000000"/>
                      <w:kern w:val="0"/>
                      <w:sz w:val="28"/>
                      <w:szCs w:val="28"/>
                    </w:rPr>
                  </m:ctrlPr>
                </m:num>
                <m:den>
                  <m:nary>
                    <m:naryPr>
                      <m:chr m:val="∏"/>
                      <m:limLoc m:val="undOvr"/>
                      <m:ctrlPr>
                        <w:rPr>
                          <w:rFonts w:ascii="Cambria Math" w:hAnsi="Cambria Math" w:eastAsia="宋体"/>
                          <w:i/>
                          <w:color w:val="000000"/>
                          <w:kern w:val="0"/>
                          <w:sz w:val="28"/>
                          <w:szCs w:val="28"/>
                        </w:rPr>
                      </m:ctrlPr>
                    </m:naryPr>
                    <m:sub>
                      <m:r>
                        <m:rPr/>
                        <w:rPr>
                          <w:rFonts w:ascii="Cambria Math" w:hAnsi="Cambria Math" w:eastAsia="宋体"/>
                          <w:color w:val="000000"/>
                          <w:kern w:val="0"/>
                          <w:sz w:val="28"/>
                          <w:szCs w:val="28"/>
                        </w:rPr>
                        <m:t>j</m:t>
                      </m:r>
                      <m:ctrlPr>
                        <w:rPr>
                          <w:rFonts w:ascii="Cambria Math" w:hAnsi="Cambria Math" w:eastAsia="宋体"/>
                          <w:i/>
                          <w:color w:val="000000"/>
                          <w:kern w:val="0"/>
                          <w:sz w:val="28"/>
                          <w:szCs w:val="28"/>
                        </w:rPr>
                      </m:ctrlPr>
                    </m:sub>
                    <m:sup>
                      <m:r>
                        <m:rPr/>
                        <w:rPr>
                          <w:rFonts w:ascii="Cambria Math" w:hAnsi="Cambria Math" w:eastAsia="宋体"/>
                          <w:color w:val="000000"/>
                          <w:kern w:val="0"/>
                          <w:sz w:val="28"/>
                          <w:szCs w:val="28"/>
                        </w:rPr>
                        <m:t>i</m:t>
                      </m:r>
                      <m:ctrlPr>
                        <w:rPr>
                          <w:rFonts w:ascii="Cambria Math" w:hAnsi="Cambria Math" w:eastAsia="宋体"/>
                          <w:i/>
                          <w:color w:val="000000"/>
                          <w:kern w:val="0"/>
                          <w:sz w:val="28"/>
                          <w:szCs w:val="28"/>
                        </w:rPr>
                      </m:ctrlPr>
                    </m:sup>
                    <m:e>
                      <m:r>
                        <m:rPr/>
                        <w:rPr>
                          <w:rFonts w:ascii="Cambria Math" w:hAnsi="Cambria Math" w:eastAsia="宋体"/>
                          <w:color w:val="000000"/>
                          <w:kern w:val="0"/>
                          <w:sz w:val="28"/>
                          <w:szCs w:val="28"/>
                        </w:rPr>
                        <m:t>(1+</m:t>
                      </m:r>
                      <m:sSub>
                        <m:sSubPr>
                          <m:ctrlPr>
                            <w:rPr>
                              <w:rFonts w:ascii="Cambria Math" w:hAnsi="Cambria Math" w:eastAsia="宋体"/>
                              <w:i/>
                              <w:color w:val="000000"/>
                              <w:kern w:val="0"/>
                              <w:sz w:val="28"/>
                              <w:szCs w:val="28"/>
                            </w:rPr>
                          </m:ctrlPr>
                        </m:sSubPr>
                        <m:e>
                          <m:r>
                            <m:rPr/>
                            <w:rPr>
                              <w:rFonts w:ascii="Cambria Math" w:hAnsi="Cambria Math" w:eastAsia="宋体"/>
                              <w:color w:val="000000"/>
                              <w:kern w:val="0"/>
                              <w:sz w:val="28"/>
                              <w:szCs w:val="28"/>
                            </w:rPr>
                            <m:t>Y</m:t>
                          </m:r>
                          <m:ctrlPr>
                            <w:rPr>
                              <w:rFonts w:ascii="Cambria Math" w:hAnsi="Cambria Math" w:eastAsia="宋体"/>
                              <w:i/>
                              <w:color w:val="000000"/>
                              <w:kern w:val="0"/>
                              <w:sz w:val="28"/>
                              <w:szCs w:val="28"/>
                            </w:rPr>
                          </m:ctrlPr>
                        </m:e>
                        <m:sub>
                          <m:r>
                            <m:rPr/>
                            <w:rPr>
                              <w:rFonts w:ascii="Cambria Math" w:hAnsi="Cambria Math" w:eastAsia="宋体"/>
                              <w:color w:val="000000"/>
                              <w:kern w:val="0"/>
                              <w:sz w:val="28"/>
                              <w:szCs w:val="28"/>
                            </w:rPr>
                            <m:t>j</m:t>
                          </m:r>
                          <m:ctrlPr>
                            <w:rPr>
                              <w:rFonts w:ascii="Cambria Math" w:hAnsi="Cambria Math" w:eastAsia="宋体"/>
                              <w:i/>
                              <w:color w:val="000000"/>
                              <w:kern w:val="0"/>
                              <w:sz w:val="28"/>
                              <w:szCs w:val="28"/>
                            </w:rPr>
                          </m:ctrlPr>
                        </m:sub>
                      </m:sSub>
                      <m:r>
                        <m:rPr/>
                        <w:rPr>
                          <w:rFonts w:ascii="Cambria Math" w:hAnsi="Cambria Math" w:eastAsia="宋体"/>
                          <w:color w:val="000000"/>
                          <w:kern w:val="0"/>
                          <w:sz w:val="28"/>
                          <w:szCs w:val="28"/>
                        </w:rPr>
                        <m:t>)</m:t>
                      </m:r>
                      <m:ctrlPr>
                        <w:rPr>
                          <w:rFonts w:ascii="Cambria Math" w:hAnsi="Cambria Math" w:eastAsia="宋体"/>
                          <w:i/>
                          <w:color w:val="000000"/>
                          <w:kern w:val="0"/>
                          <w:sz w:val="28"/>
                          <w:szCs w:val="28"/>
                        </w:rPr>
                      </m:ctrlPr>
                    </m:e>
                  </m:nary>
                  <m:ctrlPr>
                    <w:rPr>
                      <w:rFonts w:ascii="Cambria Math" w:hAnsi="Cambria Math" w:eastAsia="宋体"/>
                      <w:i/>
                      <w:color w:val="000000"/>
                      <w:kern w:val="0"/>
                      <w:sz w:val="28"/>
                      <w:szCs w:val="28"/>
                    </w:rPr>
                  </m:ctrlPr>
                </m:den>
              </m:f>
              <m:ctrlPr>
                <w:rPr>
                  <w:rFonts w:ascii="Cambria Math" w:hAnsi="Cambria Math" w:eastAsia="宋体"/>
                  <w:i/>
                  <w:color w:val="000000"/>
                  <w:kern w:val="0"/>
                  <w:sz w:val="28"/>
                  <w:szCs w:val="28"/>
                </w:rPr>
              </m:ctrlPr>
            </m:e>
          </m:nary>
        </m:oMath>
      </m:oMathPara>
    </w:p>
    <w:p>
      <w:pPr>
        <w:spacing w:line="500" w:lineRule="exact"/>
        <w:ind w:firstLine="560" w:firstLineChars="200"/>
        <w:rPr>
          <w:rFonts w:ascii="Times New Roman" w:hAnsi="Times New Roman" w:eastAsia="宋体"/>
          <w:sz w:val="28"/>
        </w:rPr>
      </w:pPr>
      <w:r>
        <w:rPr>
          <w:rFonts w:ascii="Times New Roman" w:hAnsi="Times New Roman" w:eastAsia="宋体"/>
          <w:sz w:val="28"/>
        </w:rPr>
        <w:t>式中：</w:t>
      </w:r>
      <w:bookmarkStart w:id="221" w:name="_Hlk65154008"/>
      <w:r>
        <w:rPr>
          <w:rFonts w:ascii="Times New Roman" w:hAnsi="Times New Roman" w:eastAsia="宋体"/>
          <w:sz w:val="28"/>
          <w:szCs w:val="28"/>
        </w:rPr>
        <w:t>A</w:t>
      </w:r>
      <w:r>
        <w:rPr>
          <w:rFonts w:ascii="Times New Roman" w:hAnsi="Times New Roman" w:eastAsia="宋体"/>
          <w:sz w:val="28"/>
          <w:szCs w:val="28"/>
          <w:vertAlign w:val="subscript"/>
        </w:rPr>
        <w:t>i</w:t>
      </w:r>
      <w:bookmarkEnd w:id="221"/>
      <w:r>
        <w:rPr>
          <w:rFonts w:ascii="Times New Roman" w:hAnsi="Times New Roman" w:eastAsia="宋体"/>
          <w:sz w:val="28"/>
        </w:rPr>
        <w:t>为未来各期的净收益；Y</w:t>
      </w:r>
      <w:r>
        <w:rPr>
          <w:rFonts w:ascii="Times New Roman" w:hAnsi="Times New Roman" w:eastAsia="宋体"/>
          <w:sz w:val="28"/>
          <w:szCs w:val="28"/>
          <w:vertAlign w:val="subscript"/>
        </w:rPr>
        <w:t>j</w:t>
      </w:r>
      <w:r>
        <w:rPr>
          <w:rFonts w:ascii="Times New Roman" w:hAnsi="Times New Roman" w:eastAsia="宋体"/>
          <w:sz w:val="28"/>
        </w:rPr>
        <w:t>为未来各期的报酬率； n为收益期限。</w:t>
      </w:r>
    </w:p>
    <w:p>
      <w:pPr>
        <w:spacing w:line="500" w:lineRule="exact"/>
        <w:ind w:firstLine="560" w:firstLineChars="200"/>
        <w:rPr>
          <w:rFonts w:ascii="Times New Roman" w:hAnsi="Times New Roman" w:eastAsia="宋体"/>
          <w:color w:val="000000"/>
          <w:sz w:val="28"/>
        </w:rPr>
      </w:pPr>
      <w:r>
        <w:rPr>
          <w:rFonts w:ascii="Times New Roman" w:hAnsi="Times New Roman" w:eastAsia="宋体"/>
          <w:color w:val="000000"/>
          <w:sz w:val="28"/>
        </w:rPr>
        <w:t>(2)直接资本化法为利用资本化率将未来收益转换为价值，其基本公式为：</w:t>
      </w:r>
    </w:p>
    <w:p>
      <w:pPr>
        <w:spacing w:line="500" w:lineRule="exact"/>
        <w:ind w:firstLine="560" w:firstLineChars="200"/>
        <w:rPr>
          <w:rFonts w:ascii="Times New Roman" w:hAnsi="Times New Roman" w:eastAsia="宋体"/>
          <w:color w:val="000000"/>
          <w:sz w:val="28"/>
        </w:rPr>
      </w:pPr>
      <w:r>
        <w:rPr>
          <w:rFonts w:ascii="Times New Roman" w:hAnsi="Times New Roman" w:eastAsia="宋体"/>
          <w:color w:val="000000"/>
          <w:sz w:val="28"/>
        </w:rPr>
        <w:t xml:space="preserve">V=NOI÷R  </w:t>
      </w:r>
    </w:p>
    <w:p>
      <w:pPr>
        <w:spacing w:line="500" w:lineRule="exact"/>
        <w:ind w:firstLine="560" w:firstLineChars="200"/>
        <w:rPr>
          <w:rFonts w:ascii="Times New Roman" w:hAnsi="Times New Roman" w:eastAsia="宋体"/>
          <w:color w:val="000000"/>
          <w:sz w:val="28"/>
        </w:rPr>
      </w:pPr>
      <w:r>
        <w:rPr>
          <w:rFonts w:ascii="Times New Roman" w:hAnsi="Times New Roman" w:eastAsia="宋体"/>
          <w:color w:val="000000"/>
          <w:sz w:val="28"/>
        </w:rPr>
        <w:t>式中：NOI为未来第1年净收益；R为资本化率。</w:t>
      </w:r>
    </w:p>
    <w:p>
      <w:pPr>
        <w:spacing w:line="500" w:lineRule="exact"/>
        <w:ind w:firstLine="560" w:firstLineChars="200"/>
        <w:rPr>
          <w:rFonts w:ascii="Times New Roman" w:hAnsi="Times New Roman" w:eastAsia="宋体"/>
          <w:color w:val="000000"/>
          <w:sz w:val="28"/>
        </w:rPr>
      </w:pPr>
      <w:r>
        <w:rPr>
          <w:rFonts w:ascii="Times New Roman" w:hAnsi="Times New Roman" w:eastAsia="宋体"/>
          <w:color w:val="000000"/>
          <w:sz w:val="28"/>
        </w:rPr>
        <w:t>或，房地产价值=年收益×收益乘数</w:t>
      </w:r>
    </w:p>
    <w:p>
      <w:pPr>
        <w:numPr>
          <w:ilvl w:val="0"/>
          <w:numId w:val="22"/>
        </w:numPr>
        <w:tabs>
          <w:tab w:val="left" w:pos="180"/>
        </w:tabs>
        <w:spacing w:line="500" w:lineRule="exact"/>
        <w:ind w:left="0" w:firstLine="560"/>
        <w:jc w:val="left"/>
        <w:rPr>
          <w:rFonts w:ascii="Times New Roman" w:hAnsi="Times New Roman" w:eastAsia="宋体"/>
          <w:sz w:val="28"/>
          <w:szCs w:val="28"/>
        </w:rPr>
      </w:pPr>
      <w:r>
        <w:rPr>
          <w:rFonts w:ascii="Times New Roman" w:hAnsi="Times New Roman" w:eastAsia="宋体"/>
          <w:sz w:val="28"/>
          <w:szCs w:val="28"/>
        </w:rPr>
        <w:t>室内动产估价</w:t>
      </w:r>
      <w:r>
        <w:rPr>
          <w:rFonts w:hint="eastAsia" w:ascii="Times New Roman" w:hAnsi="Times New Roman" w:eastAsia="宋体"/>
          <w:sz w:val="28"/>
          <w:szCs w:val="28"/>
        </w:rPr>
        <w:t>——</w:t>
      </w:r>
      <w:r>
        <w:rPr>
          <w:rFonts w:ascii="Times New Roman" w:hAnsi="Times New Roman" w:eastAsia="宋体"/>
          <w:sz w:val="28"/>
          <w:szCs w:val="28"/>
        </w:rPr>
        <w:t>成本法：测算估价对象在价值时点的重置成本或重建成本和折旧，将重置成本或重建成本减去折旧得到估价对象价值或价格的方法。成本法计算公式为：</w:t>
      </w:r>
    </w:p>
    <w:p>
      <w:pPr>
        <w:spacing w:line="500" w:lineRule="exact"/>
        <w:ind w:firstLine="560" w:firstLineChars="200"/>
        <w:rPr>
          <w:rFonts w:ascii="Times New Roman" w:hAnsi="Times New Roman" w:eastAsia="宋体"/>
          <w:color w:val="000000"/>
          <w:sz w:val="28"/>
        </w:rPr>
      </w:pPr>
      <w:r>
        <w:rPr>
          <w:rFonts w:ascii="Times New Roman" w:hAnsi="Times New Roman" w:eastAsia="宋体"/>
          <w:sz w:val="28"/>
          <w:szCs w:val="28"/>
        </w:rPr>
        <w:t>评估价值=重置成本×成新率</w:t>
      </w:r>
    </w:p>
    <w:p>
      <w:pPr>
        <w:numPr>
          <w:ilvl w:val="0"/>
          <w:numId w:val="19"/>
        </w:numPr>
        <w:tabs>
          <w:tab w:val="left" w:pos="180"/>
        </w:tabs>
        <w:spacing w:line="500" w:lineRule="exact"/>
        <w:jc w:val="left"/>
        <w:rPr>
          <w:rFonts w:ascii="Times New Roman" w:hAnsi="Times New Roman" w:eastAsia="宋体"/>
          <w:sz w:val="28"/>
          <w:szCs w:val="28"/>
        </w:rPr>
      </w:pPr>
      <w:r>
        <w:rPr>
          <w:rFonts w:ascii="Times New Roman" w:hAnsi="Times New Roman" w:eastAsia="宋体"/>
          <w:sz w:val="28"/>
          <w:szCs w:val="28"/>
        </w:rPr>
        <w:t>估价技术路线</w:t>
      </w:r>
    </w:p>
    <w:p>
      <w:pPr>
        <w:numPr>
          <w:ilvl w:val="0"/>
          <w:numId w:val="23"/>
        </w:numPr>
        <w:adjustRightInd w:val="0"/>
        <w:snapToGrid w:val="0"/>
        <w:spacing w:line="500" w:lineRule="exact"/>
        <w:ind w:left="0" w:firstLine="560" w:firstLineChars="200"/>
        <w:rPr>
          <w:rFonts w:ascii="Times New Roman" w:hAnsi="Times New Roman" w:eastAsia="宋体"/>
          <w:sz w:val="28"/>
        </w:rPr>
      </w:pPr>
      <w:r>
        <w:rPr>
          <w:rFonts w:hint="eastAsia" w:ascii="Times New Roman" w:hAnsi="Times New Roman" w:eastAsia="宋体"/>
          <w:sz w:val="28"/>
          <w:szCs w:val="28"/>
        </w:rPr>
        <w:t>房地产估价——</w:t>
      </w:r>
      <w:r>
        <w:rPr>
          <w:rFonts w:ascii="Times New Roman" w:hAnsi="Times New Roman" w:eastAsia="宋体"/>
          <w:sz w:val="28"/>
        </w:rPr>
        <w:t>比较法估价技术路线：(1)根据估价目的，在估价对象的同一供需圈内，选择与估价对象房地产相似、交易方式适合、成交日期与价值时点相近、成交价格尽量为正常价格的三个相类似的房地产作为可比实例；(2)建立比较基础；(3)进行交易情况修正、市场状况修正、区位状况修正、实物状况修正等调整；(4)最后采用算数平均值得出估价对象价值。</w:t>
      </w:r>
    </w:p>
    <w:p>
      <w:pPr>
        <w:numPr>
          <w:ilvl w:val="0"/>
          <w:numId w:val="23"/>
        </w:numPr>
        <w:adjustRightInd w:val="0"/>
        <w:snapToGrid w:val="0"/>
        <w:spacing w:line="500" w:lineRule="exact"/>
        <w:ind w:left="0" w:firstLine="560" w:firstLineChars="200"/>
        <w:rPr>
          <w:rFonts w:ascii="Times New Roman" w:hAnsi="Times New Roman" w:eastAsia="宋体"/>
          <w:sz w:val="28"/>
        </w:rPr>
      </w:pPr>
      <w:r>
        <w:rPr>
          <w:rFonts w:hint="eastAsia" w:ascii="Times New Roman" w:hAnsi="Times New Roman" w:eastAsia="宋体"/>
          <w:sz w:val="28"/>
          <w:szCs w:val="28"/>
        </w:rPr>
        <w:t>房地产估价——</w:t>
      </w:r>
      <w:r>
        <w:rPr>
          <w:rFonts w:ascii="Times New Roman" w:hAnsi="Times New Roman" w:eastAsia="宋体"/>
          <w:sz w:val="28"/>
        </w:rPr>
        <w:t>收益法估价技术路线：(1)选择具体估价方法，本次采用报酬资本化法的全剩余寿命模式；(2)根据市场调查，测算、预测未来收益，以及根据相关数据确定未来收益递增的比率及增长期限；(3)采用合适的方法，确定报酬率；(4)将上述测算分析的数值带入收益法测算公式，计算收益价值，得出估价结果。</w:t>
      </w:r>
    </w:p>
    <w:p>
      <w:pPr>
        <w:numPr>
          <w:ilvl w:val="0"/>
          <w:numId w:val="23"/>
        </w:numPr>
        <w:adjustRightInd w:val="0"/>
        <w:snapToGrid w:val="0"/>
        <w:spacing w:line="500" w:lineRule="exact"/>
        <w:ind w:left="0" w:firstLine="560" w:firstLineChars="200"/>
        <w:rPr>
          <w:rFonts w:ascii="Times New Roman" w:hAnsi="Times New Roman" w:eastAsia="宋体"/>
          <w:sz w:val="28"/>
        </w:rPr>
      </w:pPr>
      <w:r>
        <w:rPr>
          <w:rFonts w:ascii="Times New Roman" w:hAnsi="Times New Roman" w:eastAsia="宋体"/>
          <w:sz w:val="28"/>
          <w:szCs w:val="28"/>
        </w:rPr>
        <w:t>室内动产估价</w:t>
      </w:r>
      <w:r>
        <w:rPr>
          <w:rFonts w:hint="eastAsia" w:ascii="Times New Roman" w:hAnsi="Times New Roman" w:eastAsia="宋体"/>
          <w:sz w:val="28"/>
          <w:szCs w:val="28"/>
        </w:rPr>
        <w:t>——</w:t>
      </w:r>
      <w:r>
        <w:rPr>
          <w:rFonts w:ascii="Times New Roman" w:hAnsi="Times New Roman" w:eastAsia="宋体"/>
          <w:sz w:val="28"/>
          <w:szCs w:val="28"/>
        </w:rPr>
        <w:t>成本法估价技术路线：（1）选择具体估价路径；（2）测算重置成本；（4）测算折旧；（4）计算成本价值。</w:t>
      </w:r>
    </w:p>
    <w:p>
      <w:pPr>
        <w:pStyle w:val="3"/>
        <w:numPr>
          <w:ilvl w:val="0"/>
          <w:numId w:val="9"/>
        </w:numPr>
        <w:spacing w:before="200" w:after="200" w:line="500" w:lineRule="exact"/>
        <w:rPr>
          <w:rFonts w:ascii="Times New Roman" w:hAnsi="Times New Roman" w:eastAsia="宋体"/>
        </w:rPr>
      </w:pPr>
      <w:bookmarkStart w:id="222" w:name="_Toc65065921"/>
      <w:r>
        <w:rPr>
          <w:rFonts w:ascii="Times New Roman" w:hAnsi="Times New Roman" w:eastAsia="宋体"/>
        </w:rPr>
        <w:t>估价结果</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2"/>
    </w:p>
    <w:p>
      <w:pPr>
        <w:tabs>
          <w:tab w:val="left" w:pos="210"/>
          <w:tab w:val="left" w:pos="630"/>
        </w:tabs>
        <w:spacing w:line="500" w:lineRule="exact"/>
        <w:ind w:firstLine="560" w:firstLineChars="200"/>
        <w:jc w:val="left"/>
        <w:rPr>
          <w:rFonts w:ascii="Times New Roman" w:hAnsi="Times New Roman" w:eastAsia="宋体"/>
          <w:sz w:val="28"/>
          <w:szCs w:val="28"/>
        </w:rPr>
      </w:pPr>
      <w:bookmarkStart w:id="223" w:name="_Toc47874202"/>
      <w:bookmarkStart w:id="224" w:name="_Toc46417175"/>
      <w:bookmarkStart w:id="225" w:name="_Toc65065922"/>
      <w:r>
        <w:rPr>
          <w:rFonts w:ascii="Times New Roman" w:hAnsi="Times New Roman" w:eastAsia="宋体"/>
          <w:sz w:val="28"/>
          <w:szCs w:val="28"/>
        </w:rPr>
        <w:t>经过实地查勘和市场调查，结合估价目的、估价委托人提供的资料和陈述的有关估价对象情况，遵照法律法规和技术标准，遵循公认的估价原则，按照估价程序，在充分考虑影响估价对象该类房地产价值的各项因素综合分析的基础上，并满足本次评估的假设和限制条件下，估价对象于价值时点的市场价值为人民币</w:t>
      </w:r>
      <w:r>
        <w:rPr>
          <w:rFonts w:ascii="Times New Roman" w:hAnsi="Times New Roman" w:eastAsia="宋体"/>
          <w:b/>
          <w:bCs/>
          <w:sz w:val="28"/>
          <w:szCs w:val="28"/>
        </w:rPr>
        <w:t>大写（取整）</w:t>
      </w:r>
      <w:r>
        <w:rPr>
          <w:rFonts w:hint="eastAsia"/>
          <w:b/>
          <w:bCs/>
          <w:sz w:val="28"/>
          <w:szCs w:val="28"/>
          <w:lang w:eastAsia="zh-CN"/>
        </w:rPr>
        <w:t>壹佰壹拾肆万陆仟零捌拾叁</w:t>
      </w:r>
      <w:r>
        <w:rPr>
          <w:rFonts w:ascii="Times New Roman" w:hAnsi="Times New Roman" w:eastAsia="宋体"/>
          <w:sz w:val="28"/>
          <w:szCs w:val="28"/>
        </w:rPr>
        <w:t>元整</w:t>
      </w:r>
      <w:r>
        <w:rPr>
          <w:rFonts w:ascii="Times New Roman" w:hAnsi="Times New Roman" w:eastAsia="宋体"/>
          <w:b/>
          <w:bCs/>
          <w:sz w:val="28"/>
          <w:szCs w:val="28"/>
        </w:rPr>
        <w:t>(</w:t>
      </w:r>
      <w:r>
        <w:rPr>
          <w:rFonts w:ascii="Times New Roman" w:hAnsi="Times New Roman" w:eastAsia="宋体"/>
          <w:b/>
          <w:bCs/>
          <w:sz w:val="28"/>
          <w:szCs w:val="28"/>
        </w:rPr>
        <w:fldChar w:fldCharType="begin"/>
      </w:r>
      <w:r>
        <w:rPr>
          <w:rFonts w:ascii="Times New Roman" w:hAnsi="Times New Roman" w:eastAsia="宋体"/>
          <w:b/>
          <w:bCs/>
          <w:sz w:val="28"/>
          <w:szCs w:val="28"/>
        </w:rPr>
        <w:instrText xml:space="preserve"> =382,253.00 \# "￥#,##0.00;(￥#,##0.00)" </w:instrText>
      </w:r>
      <w:r>
        <w:rPr>
          <w:rFonts w:ascii="Times New Roman" w:hAnsi="Times New Roman" w:eastAsia="宋体"/>
          <w:b/>
          <w:bCs/>
          <w:sz w:val="28"/>
          <w:szCs w:val="28"/>
        </w:rPr>
        <w:fldChar w:fldCharType="separate"/>
      </w:r>
      <w:r>
        <w:rPr>
          <w:rFonts w:ascii="Times New Roman" w:hAnsi="Times New Roman" w:eastAsia="宋体"/>
          <w:b/>
          <w:bCs/>
          <w:sz w:val="28"/>
          <w:szCs w:val="28"/>
        </w:rPr>
        <w:t>￥</w:t>
      </w:r>
      <w:r>
        <w:rPr>
          <w:rFonts w:hint="eastAsia"/>
          <w:b/>
          <w:bCs/>
          <w:sz w:val="28"/>
          <w:szCs w:val="28"/>
          <w:lang w:eastAsia="zh-CN"/>
        </w:rPr>
        <w:t>1,146,083.00</w:t>
      </w:r>
      <w:r>
        <w:rPr>
          <w:rFonts w:ascii="Times New Roman" w:hAnsi="Times New Roman" w:eastAsia="宋体"/>
          <w:b/>
          <w:bCs/>
          <w:sz w:val="28"/>
          <w:szCs w:val="28"/>
        </w:rPr>
        <w:fldChar w:fldCharType="end"/>
      </w:r>
      <w:r>
        <w:rPr>
          <w:rFonts w:ascii="Times New Roman" w:hAnsi="Times New Roman" w:eastAsia="宋体"/>
          <w:b/>
          <w:bCs/>
          <w:sz w:val="28"/>
          <w:szCs w:val="28"/>
        </w:rPr>
        <w:t>)。</w:t>
      </w:r>
      <w:r>
        <w:rPr>
          <w:rFonts w:ascii="Times New Roman" w:hAnsi="Times New Roman" w:eastAsia="宋体"/>
          <w:sz w:val="28"/>
          <w:szCs w:val="28"/>
        </w:rPr>
        <w:t>详见下表：</w:t>
      </w:r>
    </w:p>
    <w:tbl>
      <w:tblPr>
        <w:tblStyle w:val="20"/>
        <w:tblW w:w="9640" w:type="dxa"/>
        <w:tblInd w:w="0" w:type="dxa"/>
        <w:tblLayout w:type="autofit"/>
        <w:tblCellMar>
          <w:top w:w="0" w:type="dxa"/>
          <w:left w:w="108" w:type="dxa"/>
          <w:bottom w:w="0" w:type="dxa"/>
          <w:right w:w="108" w:type="dxa"/>
        </w:tblCellMar>
      </w:tblPr>
      <w:tblGrid>
        <w:gridCol w:w="426"/>
        <w:gridCol w:w="1944"/>
        <w:gridCol w:w="741"/>
        <w:gridCol w:w="1505"/>
        <w:gridCol w:w="988"/>
        <w:gridCol w:w="567"/>
        <w:gridCol w:w="921"/>
        <w:gridCol w:w="1201"/>
        <w:gridCol w:w="1319"/>
        <w:gridCol w:w="28"/>
      </w:tblGrid>
      <w:tr>
        <w:tblPrEx>
          <w:tblCellMar>
            <w:top w:w="0" w:type="dxa"/>
            <w:left w:w="108" w:type="dxa"/>
            <w:bottom w:w="0" w:type="dxa"/>
            <w:right w:w="108" w:type="dxa"/>
          </w:tblCellMar>
        </w:tblPrEx>
        <w:trPr>
          <w:trHeight w:val="340" w:hRule="atLeast"/>
        </w:trPr>
        <w:tc>
          <w:tcPr>
            <w:tcW w:w="9640" w:type="dxa"/>
            <w:gridSpan w:val="10"/>
            <w:tcBorders>
              <w:top w:val="nil"/>
              <w:left w:val="nil"/>
              <w:bottom w:val="nil"/>
              <w:right w:val="nil"/>
            </w:tcBorders>
            <w:shd w:val="clear" w:color="auto" w:fill="auto"/>
            <w:vAlign w:val="center"/>
          </w:tcPr>
          <w:p>
            <w:pPr>
              <w:widowControl/>
              <w:jc w:val="center"/>
              <w:rPr>
                <w:rFonts w:ascii="Times New Roman" w:hAnsi="Times New Roman" w:eastAsia="宋体"/>
                <w:b/>
                <w:bCs/>
                <w:color w:val="000000"/>
                <w:kern w:val="0"/>
                <w:szCs w:val="21"/>
              </w:rPr>
            </w:pPr>
            <w:r>
              <w:rPr>
                <w:rFonts w:ascii="Times New Roman" w:hAnsi="Times New Roman" w:eastAsia="宋体"/>
                <w:b/>
                <w:bCs/>
                <w:color w:val="000000"/>
                <w:kern w:val="0"/>
                <w:szCs w:val="21"/>
              </w:rPr>
              <w:t>评估结果汇总表</w:t>
            </w:r>
          </w:p>
        </w:tc>
      </w:tr>
      <w:tr>
        <w:tblPrEx>
          <w:tblCellMar>
            <w:top w:w="0" w:type="dxa"/>
            <w:left w:w="108" w:type="dxa"/>
            <w:bottom w:w="0" w:type="dxa"/>
            <w:right w:w="108" w:type="dxa"/>
          </w:tblCellMar>
        </w:tblPrEx>
        <w:trPr>
          <w:trHeight w:val="340" w:hRule="atLeast"/>
        </w:trPr>
        <w:tc>
          <w:tcPr>
            <w:tcW w:w="9640" w:type="dxa"/>
            <w:gridSpan w:val="10"/>
            <w:tcBorders>
              <w:top w:val="nil"/>
              <w:left w:val="nil"/>
              <w:bottom w:val="single" w:color="auto" w:sz="4" w:space="0"/>
              <w:right w:val="nil"/>
            </w:tcBorders>
            <w:shd w:val="clear" w:color="auto" w:fill="auto"/>
            <w:vAlign w:val="center"/>
          </w:tcPr>
          <w:p>
            <w:pPr>
              <w:widowControl/>
              <w:jc w:val="right"/>
              <w:rPr>
                <w:rFonts w:ascii="Times New Roman" w:hAnsi="Times New Roman" w:eastAsia="宋体"/>
                <w:color w:val="000000"/>
                <w:kern w:val="0"/>
                <w:szCs w:val="21"/>
              </w:rPr>
            </w:pPr>
            <w:r>
              <w:rPr>
                <w:rFonts w:ascii="Times New Roman" w:hAnsi="Times New Roman" w:eastAsia="宋体"/>
                <w:color w:val="000000"/>
                <w:kern w:val="0"/>
                <w:szCs w:val="21"/>
              </w:rPr>
              <w:t>金额单位：人民币元</w:t>
            </w:r>
          </w:p>
        </w:tc>
      </w:tr>
      <w:tr>
        <w:trPr>
          <w:gridAfter w:val="1"/>
          <w:wAfter w:w="28" w:type="dxa"/>
          <w:trHeight w:val="340" w:hRule="atLeast"/>
        </w:trPr>
        <w:tc>
          <w:tcPr>
            <w:tcW w:w="42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项目</w:t>
            </w:r>
          </w:p>
        </w:tc>
        <w:tc>
          <w:tcPr>
            <w:tcW w:w="19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估价对象</w:t>
            </w:r>
          </w:p>
        </w:tc>
        <w:tc>
          <w:tcPr>
            <w:tcW w:w="7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权利人</w:t>
            </w:r>
          </w:p>
        </w:tc>
        <w:tc>
          <w:tcPr>
            <w:tcW w:w="151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不动产权证书号</w:t>
            </w:r>
          </w:p>
        </w:tc>
        <w:tc>
          <w:tcPr>
            <w:tcW w:w="9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所在层数</w:t>
            </w:r>
            <w:r>
              <w:rPr>
                <w:rFonts w:ascii="Times New Roman" w:hAnsi="Times New Roman" w:eastAsia="宋体"/>
                <w:kern w:val="0"/>
                <w:szCs w:val="21"/>
              </w:rPr>
              <w:t>/总层数</w:t>
            </w:r>
          </w:p>
        </w:tc>
        <w:tc>
          <w:tcPr>
            <w:tcW w:w="57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用途</w:t>
            </w:r>
          </w:p>
        </w:tc>
        <w:tc>
          <w:tcPr>
            <w:tcW w:w="9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建筑面积（㎡）</w:t>
            </w:r>
          </w:p>
        </w:tc>
        <w:tc>
          <w:tcPr>
            <w:tcW w:w="25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评估值</w:t>
            </w:r>
          </w:p>
        </w:tc>
      </w:tr>
      <w:tr>
        <w:tblPrEx>
          <w:tblCellMar>
            <w:top w:w="0" w:type="dxa"/>
            <w:left w:w="108" w:type="dxa"/>
            <w:bottom w:w="0" w:type="dxa"/>
            <w:right w:w="108" w:type="dxa"/>
          </w:tblCellMar>
        </w:tblPrEx>
        <w:trPr>
          <w:gridAfter w:val="1"/>
          <w:wAfter w:w="28" w:type="dxa"/>
          <w:trHeight w:val="340" w:hRule="atLeast"/>
        </w:trPr>
        <w:tc>
          <w:tcPr>
            <w:tcW w:w="42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98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5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91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57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92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olor w:val="000000"/>
                <w:kern w:val="0"/>
                <w:szCs w:val="21"/>
              </w:rPr>
            </w:pP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单 价</w:t>
            </w:r>
          </w:p>
          <w:p>
            <w:pPr>
              <w:widowControl/>
              <w:jc w:val="center"/>
              <w:rPr>
                <w:rFonts w:ascii="Times New Roman" w:hAnsi="Times New Roman" w:eastAsia="宋体"/>
                <w:color w:val="000000"/>
                <w:kern w:val="0"/>
                <w:szCs w:val="21"/>
              </w:rPr>
            </w:pPr>
            <w:r>
              <w:rPr>
                <w:rFonts w:hint="eastAsia" w:ascii="Times New Roman" w:hAnsi="Times New Roman" w:eastAsia="宋体"/>
                <w:color w:val="000000"/>
                <w:kern w:val="0"/>
                <w:szCs w:val="21"/>
              </w:rPr>
              <w:t>(</w:t>
            </w:r>
            <w:r>
              <w:rPr>
                <w:rFonts w:ascii="Times New Roman" w:hAnsi="Times New Roman" w:eastAsia="宋体"/>
                <w:color w:val="000000"/>
                <w:kern w:val="0"/>
                <w:szCs w:val="21"/>
              </w:rPr>
              <w:t>元/㎡</w:t>
            </w:r>
            <w:r>
              <w:rPr>
                <w:rFonts w:hint="eastAsia" w:ascii="Times New Roman" w:hAnsi="Times New Roman" w:eastAsia="宋体"/>
                <w:color w:val="000000"/>
                <w:kern w:val="0"/>
                <w:szCs w:val="21"/>
              </w:rPr>
              <w:t>)</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总  价</w:t>
            </w:r>
          </w:p>
          <w:p>
            <w:pPr>
              <w:widowControl/>
              <w:jc w:val="center"/>
              <w:rPr>
                <w:rFonts w:ascii="Times New Roman" w:hAnsi="Times New Roman" w:eastAsia="宋体"/>
                <w:color w:val="000000"/>
                <w:kern w:val="0"/>
                <w:szCs w:val="21"/>
              </w:rPr>
            </w:pPr>
            <w:r>
              <w:rPr>
                <w:rFonts w:hint="eastAsia" w:ascii="Times New Roman" w:hAnsi="Times New Roman" w:eastAsia="宋体"/>
                <w:color w:val="000000"/>
                <w:kern w:val="0"/>
                <w:szCs w:val="21"/>
              </w:rPr>
              <w:t>(元</w:t>
            </w:r>
            <w:r>
              <w:rPr>
                <w:rFonts w:ascii="Times New Roman" w:hAnsi="Times New Roman" w:eastAsia="宋体"/>
                <w:color w:val="000000"/>
                <w:kern w:val="0"/>
                <w:szCs w:val="21"/>
              </w:rPr>
              <w:t>)</w:t>
            </w:r>
          </w:p>
        </w:tc>
      </w:tr>
      <w:tr>
        <w:trPr>
          <w:gridAfter w:val="1"/>
          <w:wAfter w:w="28" w:type="dxa"/>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1</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云岩区市北路148号保利•云山国际10号楼2单元21层5号房地产</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杨智辉</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黔（2018）云岩区不动产权第0082388号</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21/-2+34</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住宅</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108.97</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10,431.00</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1,136,666.00</w:t>
            </w:r>
          </w:p>
        </w:tc>
      </w:tr>
      <w:tr>
        <w:tblPrEx>
          <w:tblCellMar>
            <w:top w:w="0" w:type="dxa"/>
            <w:left w:w="108" w:type="dxa"/>
            <w:bottom w:w="0" w:type="dxa"/>
            <w:right w:w="108" w:type="dxa"/>
          </w:tblCellMar>
        </w:tblPrEx>
        <w:trPr>
          <w:gridAfter w:val="1"/>
          <w:wAfter w:w="28" w:type="dxa"/>
          <w:trHeight w:val="34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olor w:val="000000"/>
                <w:kern w:val="0"/>
                <w:szCs w:val="21"/>
              </w:rPr>
            </w:pPr>
            <w:r>
              <w:rPr>
                <w:rFonts w:ascii="Times New Roman" w:hAnsi="Times New Roman" w:eastAsia="宋体"/>
                <w:color w:val="000000"/>
                <w:kern w:val="0"/>
                <w:szCs w:val="21"/>
              </w:rPr>
              <w:t>2</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室内动产</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kern w:val="0"/>
                <w:szCs w:val="21"/>
              </w:rPr>
            </w:pPr>
            <w:r>
              <w:rPr>
                <w:rFonts w:ascii="Times New Roman" w:hAnsi="Times New Roman" w:eastAsia="宋体"/>
                <w:kern w:val="0"/>
                <w:szCs w:val="21"/>
              </w:rPr>
              <w:t>　</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宋体"/>
                <w:kern w:val="0"/>
                <w:szCs w:val="21"/>
                <w:lang w:eastAsia="zh-CN"/>
              </w:rPr>
            </w:pPr>
            <w:r>
              <w:rPr>
                <w:rFonts w:hint="eastAsia"/>
                <w:kern w:val="0"/>
                <w:szCs w:val="21"/>
                <w:lang w:eastAsia="zh-CN"/>
              </w:rPr>
              <w:t>9,417.00</w:t>
            </w:r>
          </w:p>
        </w:tc>
      </w:tr>
      <w:tr>
        <w:tblPrEx>
          <w:tblCellMar>
            <w:top w:w="0" w:type="dxa"/>
            <w:left w:w="108" w:type="dxa"/>
            <w:bottom w:w="0" w:type="dxa"/>
            <w:right w:w="108" w:type="dxa"/>
          </w:tblCellMar>
        </w:tblPrEx>
        <w:trPr>
          <w:gridAfter w:val="1"/>
          <w:wAfter w:w="28" w:type="dxa"/>
          <w:trHeight w:val="340" w:hRule="atLeast"/>
        </w:trPr>
        <w:tc>
          <w:tcPr>
            <w:tcW w:w="241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b/>
                <w:bCs/>
                <w:color w:val="000000"/>
                <w:kern w:val="0"/>
                <w:szCs w:val="21"/>
              </w:rPr>
            </w:pPr>
            <w:r>
              <w:rPr>
                <w:rFonts w:ascii="Times New Roman" w:hAnsi="Times New Roman" w:eastAsia="宋体"/>
                <w:b/>
                <w:bCs/>
                <w:color w:val="000000"/>
                <w:kern w:val="0"/>
                <w:szCs w:val="21"/>
              </w:rPr>
              <w:t>合   计</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5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2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b/>
                <w:bCs/>
                <w:kern w:val="0"/>
                <w:szCs w:val="21"/>
              </w:rPr>
            </w:pPr>
            <w:r>
              <w:rPr>
                <w:rFonts w:ascii="Times New Roman" w:hAnsi="Times New Roman" w:eastAsia="宋体"/>
                <w:b/>
                <w:bCs/>
                <w:kern w:val="0"/>
                <w:szCs w:val="21"/>
              </w:rPr>
              <w:t>　</w:t>
            </w:r>
          </w:p>
        </w:tc>
        <w:tc>
          <w:tcPr>
            <w:tcW w:w="1319"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宋体"/>
                <w:b/>
                <w:bCs/>
                <w:kern w:val="0"/>
                <w:szCs w:val="21"/>
                <w:lang w:eastAsia="zh-CN"/>
              </w:rPr>
            </w:pPr>
            <w:r>
              <w:rPr>
                <w:rFonts w:hint="eastAsia"/>
                <w:b/>
                <w:bCs/>
                <w:kern w:val="0"/>
                <w:szCs w:val="21"/>
                <w:lang w:eastAsia="zh-CN"/>
              </w:rPr>
              <w:t>1,146,083.00</w:t>
            </w:r>
          </w:p>
        </w:tc>
      </w:tr>
    </w:tbl>
    <w:p>
      <w:pPr>
        <w:tabs>
          <w:tab w:val="left" w:pos="210"/>
          <w:tab w:val="left" w:pos="630"/>
        </w:tabs>
        <w:spacing w:line="520" w:lineRule="exact"/>
        <w:ind w:firstLine="560" w:firstLineChars="200"/>
        <w:jc w:val="left"/>
        <w:rPr>
          <w:rFonts w:ascii="Times New Roman" w:hAnsi="Times New Roman" w:eastAsia="宋体"/>
          <w:sz w:val="28"/>
          <w:szCs w:val="28"/>
        </w:rPr>
      </w:pPr>
      <w:r>
        <w:rPr>
          <w:rFonts w:ascii="Times New Roman" w:hAnsi="Times New Roman" w:eastAsia="宋体"/>
          <w:sz w:val="28"/>
          <w:szCs w:val="28"/>
        </w:rPr>
        <w:t>其中，室内动产评估结果详细情况下表：</w:t>
      </w:r>
    </w:p>
    <w:tbl>
      <w:tblPr>
        <w:tblStyle w:val="20"/>
        <w:tblW w:w="9498" w:type="dxa"/>
        <w:tblInd w:w="0" w:type="dxa"/>
        <w:tblLayout w:type="fixed"/>
        <w:tblCellMar>
          <w:top w:w="0" w:type="dxa"/>
          <w:left w:w="108" w:type="dxa"/>
          <w:bottom w:w="0" w:type="dxa"/>
          <w:right w:w="108" w:type="dxa"/>
        </w:tblCellMar>
      </w:tblPr>
      <w:tblGrid>
        <w:gridCol w:w="774"/>
        <w:gridCol w:w="1353"/>
        <w:gridCol w:w="1627"/>
        <w:gridCol w:w="774"/>
        <w:gridCol w:w="774"/>
        <w:gridCol w:w="1360"/>
        <w:gridCol w:w="15"/>
        <w:gridCol w:w="1687"/>
        <w:gridCol w:w="1134"/>
      </w:tblGrid>
      <w:tr>
        <w:tblPrEx>
          <w:tblCellMar>
            <w:top w:w="0" w:type="dxa"/>
            <w:left w:w="108" w:type="dxa"/>
            <w:bottom w:w="0" w:type="dxa"/>
            <w:right w:w="108" w:type="dxa"/>
          </w:tblCellMar>
        </w:tblPrEx>
        <w:trPr>
          <w:trHeight w:val="397" w:hRule="atLeast"/>
        </w:trPr>
        <w:tc>
          <w:tcPr>
            <w:tcW w:w="9498" w:type="dxa"/>
            <w:gridSpan w:val="9"/>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室内动产评估结果明细表</w:t>
            </w:r>
          </w:p>
        </w:tc>
      </w:tr>
      <w:tr>
        <w:tblPrEx>
          <w:tblCellMar>
            <w:top w:w="0" w:type="dxa"/>
            <w:left w:w="108" w:type="dxa"/>
            <w:bottom w:w="0" w:type="dxa"/>
            <w:right w:w="108" w:type="dxa"/>
          </w:tblCellMar>
        </w:tblPrEx>
        <w:trPr>
          <w:trHeight w:val="397" w:hRule="atLeast"/>
        </w:trPr>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1353"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1627"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774" w:type="dxa"/>
            <w:tcBorders>
              <w:top w:val="nil"/>
              <w:left w:val="nil"/>
              <w:bottom w:val="nil"/>
              <w:right w:val="nil"/>
            </w:tcBorders>
            <w:shd w:val="clear" w:color="auto" w:fill="auto"/>
            <w:noWrap/>
            <w:vAlign w:val="bottom"/>
          </w:tcPr>
          <w:p>
            <w:pPr>
              <w:widowControl/>
              <w:spacing w:line="280" w:lineRule="atLeast"/>
              <w:jc w:val="center"/>
              <w:rPr>
                <w:rFonts w:ascii="Times New Roman" w:hAnsi="Times New Roman" w:eastAsia="宋体"/>
                <w:kern w:val="0"/>
                <w:szCs w:val="21"/>
              </w:rPr>
            </w:pPr>
          </w:p>
        </w:tc>
        <w:tc>
          <w:tcPr>
            <w:tcW w:w="4196" w:type="dxa"/>
            <w:gridSpan w:val="4"/>
            <w:tcBorders>
              <w:top w:val="nil"/>
              <w:left w:val="nil"/>
              <w:bottom w:val="single" w:color="auto" w:sz="4" w:space="0"/>
              <w:right w:val="nil"/>
            </w:tcBorders>
            <w:shd w:val="clear" w:color="auto" w:fill="auto"/>
            <w:noWrap/>
            <w:vAlign w:val="bottom"/>
          </w:tcPr>
          <w:p>
            <w:pPr>
              <w:widowControl/>
              <w:spacing w:line="280" w:lineRule="atLeast"/>
              <w:jc w:val="right"/>
              <w:rPr>
                <w:rFonts w:ascii="Times New Roman" w:hAnsi="Times New Roman" w:eastAsia="宋体"/>
                <w:kern w:val="0"/>
                <w:szCs w:val="21"/>
              </w:rPr>
            </w:pPr>
            <w:r>
              <w:rPr>
                <w:rFonts w:ascii="Times New Roman" w:hAnsi="Times New Roman" w:eastAsia="宋体"/>
                <w:kern w:val="0"/>
                <w:szCs w:val="21"/>
              </w:rPr>
              <w:t>金额单位：人民币元</w:t>
            </w:r>
          </w:p>
        </w:tc>
      </w:tr>
      <w:tr>
        <w:tblPrEx>
          <w:tblCellMar>
            <w:top w:w="0" w:type="dxa"/>
            <w:left w:w="108" w:type="dxa"/>
            <w:bottom w:w="0" w:type="dxa"/>
            <w:right w:w="108" w:type="dxa"/>
          </w:tblCellMar>
        </w:tblPrEx>
        <w:trPr>
          <w:trHeight w:val="397" w:hRule="atLeast"/>
        </w:trPr>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序号</w:t>
            </w:r>
          </w:p>
        </w:tc>
        <w:tc>
          <w:tcPr>
            <w:tcW w:w="135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名  称</w:t>
            </w:r>
          </w:p>
        </w:tc>
        <w:tc>
          <w:tcPr>
            <w:tcW w:w="162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规格型号</w:t>
            </w:r>
          </w:p>
        </w:tc>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单位</w:t>
            </w:r>
          </w:p>
        </w:tc>
        <w:tc>
          <w:tcPr>
            <w:tcW w:w="77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数量</w:t>
            </w:r>
          </w:p>
        </w:tc>
        <w:tc>
          <w:tcPr>
            <w:tcW w:w="3062" w:type="dxa"/>
            <w:gridSpan w:val="3"/>
            <w:tcBorders>
              <w:top w:val="single" w:color="auto" w:sz="4" w:space="0"/>
              <w:left w:val="nil"/>
              <w:bottom w:val="single" w:color="auto" w:sz="4" w:space="0"/>
              <w:right w:val="nil"/>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评估价值</w:t>
            </w:r>
          </w:p>
        </w:tc>
        <w:tc>
          <w:tcPr>
            <w:tcW w:w="113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备注</w:t>
            </w:r>
          </w:p>
        </w:tc>
      </w:tr>
      <w:tr>
        <w:tblPrEx>
          <w:tblCellMar>
            <w:top w:w="0" w:type="dxa"/>
            <w:left w:w="108" w:type="dxa"/>
            <w:bottom w:w="0" w:type="dxa"/>
            <w:right w:w="108" w:type="dxa"/>
          </w:tblCellMar>
        </w:tblPrEx>
        <w:trPr>
          <w:trHeight w:val="397" w:hRule="atLeast"/>
        </w:trPr>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35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627"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774"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评估单价</w:t>
            </w:r>
          </w:p>
        </w:tc>
        <w:tc>
          <w:tcPr>
            <w:tcW w:w="1702" w:type="dxa"/>
            <w:gridSpan w:val="2"/>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评估总价</w:t>
            </w:r>
          </w:p>
        </w:tc>
        <w:tc>
          <w:tcPr>
            <w:tcW w:w="1134" w:type="dxa"/>
            <w:vMerge w:val="continue"/>
            <w:tcBorders>
              <w:top w:val="nil"/>
              <w:left w:val="single" w:color="auto" w:sz="4" w:space="0"/>
              <w:bottom w:val="single" w:color="000000" w:sz="4" w:space="0"/>
              <w:right w:val="single" w:color="auto" w:sz="4" w:space="0"/>
            </w:tcBorders>
            <w:vAlign w:val="center"/>
          </w:tcPr>
          <w:p>
            <w:pPr>
              <w:widowControl/>
              <w:spacing w:line="280" w:lineRule="atLeast"/>
              <w:jc w:val="left"/>
              <w:rPr>
                <w:rFonts w:ascii="Times New Roman" w:hAnsi="Times New Roman" w:eastAsia="宋体"/>
                <w:kern w:val="0"/>
                <w:szCs w:val="21"/>
              </w:rPr>
            </w:pP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冰箱</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3,539.00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3,539.00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2</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餐桌</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套</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344.00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3</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电子琴</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儿童</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53.00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53.00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4</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布沙发</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2+3</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套</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324.00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5</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暖火炉</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600.00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6</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电视机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52寸</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1,541.00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1,541.00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7</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饮水机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8</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电视柜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227.00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227.00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9</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梳妆柜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83.00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83.00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10</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茶几</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92.00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92.00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11</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大</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614.00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614.00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12</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中</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550.00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13</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木床</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儿童双层</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张</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370.00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370.00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14</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书柜</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199.00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199.00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15</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热水器</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个</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280.00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280.00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774" w:type="dxa"/>
            <w:tcBorders>
              <w:top w:val="nil"/>
              <w:left w:val="single" w:color="auto" w:sz="4" w:space="0"/>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16</w:t>
            </w:r>
          </w:p>
        </w:tc>
        <w:tc>
          <w:tcPr>
            <w:tcW w:w="1353"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洗衣机</w:t>
            </w:r>
          </w:p>
        </w:tc>
        <w:tc>
          <w:tcPr>
            <w:tcW w:w="1627"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海尔6.0L</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台</w:t>
            </w:r>
          </w:p>
        </w:tc>
        <w:tc>
          <w:tcPr>
            <w:tcW w:w="77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1</w:t>
            </w:r>
          </w:p>
        </w:tc>
        <w:tc>
          <w:tcPr>
            <w:tcW w:w="13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520.00 </w:t>
            </w:r>
          </w:p>
        </w:tc>
        <w:tc>
          <w:tcPr>
            <w:tcW w:w="1702"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520.00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80" w:lineRule="atLeast"/>
              <w:jc w:val="center"/>
              <w:rPr>
                <w:rFonts w:ascii="Times New Roman" w:hAnsi="Times New Roman" w:eastAsia="宋体"/>
                <w:kern w:val="0"/>
                <w:szCs w:val="21"/>
              </w:rPr>
            </w:pPr>
            <w:r>
              <w:rPr>
                <w:rFonts w:ascii="Times New Roman" w:hAnsi="Times New Roman" w:eastAsia="宋体"/>
                <w:kern w:val="0"/>
                <w:szCs w:val="21"/>
              </w:rPr>
              <w:t>　</w:t>
            </w:r>
          </w:p>
        </w:tc>
      </w:tr>
      <w:tr>
        <w:tblPrEx>
          <w:tblCellMar>
            <w:top w:w="0" w:type="dxa"/>
            <w:left w:w="108" w:type="dxa"/>
            <w:bottom w:w="0" w:type="dxa"/>
            <w:right w:w="108" w:type="dxa"/>
          </w:tblCellMar>
        </w:tblPrEx>
        <w:trPr>
          <w:trHeight w:val="397" w:hRule="atLeast"/>
        </w:trPr>
        <w:tc>
          <w:tcPr>
            <w:tcW w:w="4528" w:type="dxa"/>
            <w:gridSpan w:val="4"/>
            <w:tcBorders>
              <w:top w:val="single" w:color="auto" w:sz="4" w:space="0"/>
              <w:left w:val="single" w:color="auto" w:sz="4" w:space="0"/>
              <w:bottom w:val="single" w:color="auto" w:sz="4" w:space="0"/>
              <w:right w:val="single" w:color="000000" w:sz="4" w:space="0"/>
            </w:tcBorders>
            <w:shd w:val="clear" w:color="auto" w:fill="auto"/>
            <w:noWrap/>
            <w:vAlign w:val="bottom"/>
          </w:tcPr>
          <w:p>
            <w:pPr>
              <w:widowControl/>
              <w:spacing w:line="280" w:lineRule="atLeast"/>
              <w:jc w:val="center"/>
              <w:rPr>
                <w:rFonts w:ascii="Times New Roman" w:hAnsi="Times New Roman" w:eastAsia="宋体"/>
                <w:b/>
                <w:bCs/>
                <w:kern w:val="0"/>
                <w:szCs w:val="21"/>
              </w:rPr>
            </w:pPr>
            <w:r>
              <w:rPr>
                <w:rFonts w:ascii="Times New Roman" w:hAnsi="Times New Roman" w:eastAsia="宋体"/>
                <w:b/>
                <w:bCs/>
                <w:kern w:val="0"/>
                <w:szCs w:val="21"/>
              </w:rPr>
              <w:t>合    计</w:t>
            </w:r>
          </w:p>
        </w:tc>
        <w:tc>
          <w:tcPr>
            <w:tcW w:w="774" w:type="dxa"/>
            <w:tcBorders>
              <w:top w:val="nil"/>
              <w:left w:val="nil"/>
              <w:bottom w:val="single" w:color="auto" w:sz="4" w:space="0"/>
              <w:right w:val="single" w:color="auto" w:sz="4" w:space="0"/>
            </w:tcBorders>
            <w:shd w:val="clear" w:color="auto" w:fill="auto"/>
            <w:noWrap/>
            <w:vAlign w:val="bottom"/>
          </w:tcPr>
          <w:p>
            <w:pPr>
              <w:widowControl/>
              <w:spacing w:line="280" w:lineRule="atLeast"/>
              <w:jc w:val="left"/>
              <w:rPr>
                <w:rFonts w:ascii="Times New Roman" w:hAnsi="Times New Roman" w:eastAsia="宋体"/>
                <w:b/>
                <w:bCs/>
                <w:kern w:val="0"/>
                <w:szCs w:val="21"/>
              </w:rPr>
            </w:pPr>
            <w:r>
              <w:rPr>
                <w:rFonts w:ascii="Times New Roman" w:hAnsi="Times New Roman" w:eastAsia="宋体"/>
                <w:b/>
                <w:bCs/>
                <w:kern w:val="0"/>
                <w:szCs w:val="21"/>
              </w:rPr>
              <w:t>　</w:t>
            </w:r>
          </w:p>
        </w:tc>
        <w:tc>
          <w:tcPr>
            <w:tcW w:w="1375" w:type="dxa"/>
            <w:gridSpan w:val="2"/>
            <w:tcBorders>
              <w:top w:val="nil"/>
              <w:left w:val="nil"/>
              <w:bottom w:val="single" w:color="auto" w:sz="4" w:space="0"/>
              <w:right w:val="single" w:color="auto" w:sz="4" w:space="0"/>
            </w:tcBorders>
            <w:shd w:val="clear" w:color="auto" w:fill="auto"/>
            <w:noWrap/>
            <w:vAlign w:val="bottom"/>
          </w:tcPr>
          <w:p>
            <w:pPr>
              <w:widowControl/>
              <w:spacing w:line="280" w:lineRule="atLeast"/>
              <w:jc w:val="left"/>
              <w:rPr>
                <w:rFonts w:ascii="Times New Roman" w:hAnsi="Times New Roman" w:eastAsia="宋体"/>
                <w:b/>
                <w:bCs/>
                <w:kern w:val="0"/>
                <w:szCs w:val="21"/>
              </w:rPr>
            </w:pPr>
            <w:r>
              <w:rPr>
                <w:rFonts w:ascii="Times New Roman" w:hAnsi="Times New Roman" w:eastAsia="宋体"/>
                <w:b/>
                <w:bCs/>
                <w:kern w:val="0"/>
                <w:szCs w:val="21"/>
              </w:rPr>
              <w:t>　</w:t>
            </w:r>
          </w:p>
        </w:tc>
        <w:tc>
          <w:tcPr>
            <w:tcW w:w="1687" w:type="dxa"/>
            <w:tcBorders>
              <w:top w:val="nil"/>
              <w:left w:val="nil"/>
              <w:bottom w:val="single" w:color="auto" w:sz="4" w:space="0"/>
              <w:right w:val="single" w:color="auto" w:sz="4" w:space="0"/>
            </w:tcBorders>
            <w:shd w:val="clear" w:color="auto" w:fill="auto"/>
            <w:noWrap/>
            <w:vAlign w:val="bottom"/>
          </w:tcPr>
          <w:p>
            <w:pPr>
              <w:widowControl/>
              <w:spacing w:line="280" w:lineRule="atLeast"/>
              <w:jc w:val="right"/>
              <w:rPr>
                <w:rFonts w:ascii="Times New Roman" w:hAnsi="Times New Roman" w:eastAsia="宋体"/>
                <w:b/>
                <w:bCs/>
                <w:kern w:val="0"/>
                <w:szCs w:val="21"/>
              </w:rPr>
            </w:pPr>
            <w:r>
              <w:rPr>
                <w:rFonts w:hint="eastAsia"/>
                <w:b/>
                <w:bCs/>
                <w:kern w:val="0"/>
                <w:szCs w:val="21"/>
                <w:lang w:eastAsia="zh-CN"/>
              </w:rPr>
              <w:t>9,417.00</w:t>
            </w:r>
            <w:r>
              <w:rPr>
                <w:rFonts w:ascii="Times New Roman" w:hAnsi="Times New Roman" w:eastAsia="宋体"/>
                <w:b/>
                <w:bCs/>
                <w:kern w:val="0"/>
                <w:szCs w:val="21"/>
              </w:rPr>
              <w:t xml:space="preserve"> </w:t>
            </w:r>
          </w:p>
        </w:tc>
        <w:tc>
          <w:tcPr>
            <w:tcW w:w="1134" w:type="dxa"/>
            <w:tcBorders>
              <w:top w:val="nil"/>
              <w:left w:val="nil"/>
              <w:bottom w:val="single" w:color="auto" w:sz="4" w:space="0"/>
              <w:right w:val="single" w:color="auto" w:sz="4" w:space="0"/>
            </w:tcBorders>
            <w:shd w:val="clear" w:color="auto" w:fill="auto"/>
            <w:noWrap/>
            <w:vAlign w:val="bottom"/>
          </w:tcPr>
          <w:p>
            <w:pPr>
              <w:widowControl/>
              <w:spacing w:line="280" w:lineRule="atLeast"/>
              <w:jc w:val="left"/>
              <w:rPr>
                <w:rFonts w:ascii="Times New Roman" w:hAnsi="Times New Roman" w:eastAsia="宋体"/>
                <w:b/>
                <w:bCs/>
                <w:kern w:val="0"/>
                <w:szCs w:val="21"/>
              </w:rPr>
            </w:pPr>
            <w:r>
              <w:rPr>
                <w:rFonts w:ascii="Times New Roman" w:hAnsi="Times New Roman" w:eastAsia="宋体"/>
                <w:b/>
                <w:bCs/>
                <w:kern w:val="0"/>
                <w:szCs w:val="21"/>
              </w:rPr>
              <w:t>　</w:t>
            </w:r>
          </w:p>
        </w:tc>
      </w:tr>
    </w:tbl>
    <w:p>
      <w:pPr>
        <w:pStyle w:val="3"/>
        <w:numPr>
          <w:ilvl w:val="0"/>
          <w:numId w:val="9"/>
        </w:numPr>
        <w:spacing w:before="200" w:after="200" w:line="500" w:lineRule="exact"/>
        <w:rPr>
          <w:rFonts w:ascii="Times New Roman" w:hAnsi="Times New Roman" w:eastAsia="宋体"/>
        </w:rPr>
      </w:pPr>
      <w:r>
        <w:rPr>
          <w:rFonts w:ascii="Times New Roman" w:hAnsi="Times New Roman" w:eastAsia="宋体"/>
        </w:rPr>
        <w:t>注册房地产估价师</w:t>
      </w:r>
      <w:bookmarkEnd w:id="223"/>
      <w:bookmarkEnd w:id="224"/>
      <w:bookmarkEnd w:id="225"/>
    </w:p>
    <w:tbl>
      <w:tblPr>
        <w:tblStyle w:val="20"/>
        <w:tblW w:w="0" w:type="auto"/>
        <w:tblInd w:w="95" w:type="dxa"/>
        <w:tblLayout w:type="fixed"/>
        <w:tblCellMar>
          <w:top w:w="0" w:type="dxa"/>
          <w:left w:w="108" w:type="dxa"/>
          <w:bottom w:w="0" w:type="dxa"/>
          <w:right w:w="108" w:type="dxa"/>
        </w:tblCellMar>
      </w:tblPr>
      <w:tblGrid>
        <w:gridCol w:w="2140"/>
        <w:gridCol w:w="2409"/>
        <w:gridCol w:w="2408"/>
        <w:gridCol w:w="2554"/>
      </w:tblGrid>
      <w:tr>
        <w:tblPrEx>
          <w:tblCellMar>
            <w:top w:w="0" w:type="dxa"/>
            <w:left w:w="108" w:type="dxa"/>
            <w:bottom w:w="0" w:type="dxa"/>
            <w:right w:w="108" w:type="dxa"/>
          </w:tblCellMar>
        </w:tblPrEx>
        <w:trPr>
          <w:trHeight w:val="680" w:hRule="atLeast"/>
        </w:trPr>
        <w:tc>
          <w:tcPr>
            <w:tcW w:w="9511" w:type="dxa"/>
            <w:gridSpan w:val="4"/>
            <w:tcBorders>
              <w:top w:val="nil"/>
              <w:left w:val="nil"/>
              <w:bottom w:val="nil"/>
              <w:right w:val="nil"/>
            </w:tcBorders>
            <w:noWrap/>
            <w:vAlign w:val="center"/>
          </w:tcPr>
          <w:p>
            <w:pPr>
              <w:widowControl/>
              <w:jc w:val="center"/>
              <w:rPr>
                <w:rFonts w:ascii="Times New Roman" w:hAnsi="Times New Roman" w:eastAsia="宋体"/>
                <w:b/>
                <w:bCs/>
                <w:kern w:val="0"/>
                <w:sz w:val="28"/>
                <w:szCs w:val="28"/>
              </w:rPr>
            </w:pPr>
            <w:r>
              <w:rPr>
                <w:rFonts w:ascii="Times New Roman" w:hAnsi="Times New Roman" w:eastAsia="宋体"/>
                <w:b/>
                <w:bCs/>
                <w:kern w:val="0"/>
                <w:sz w:val="28"/>
                <w:szCs w:val="28"/>
              </w:rPr>
              <w:t>参加估价的注册房地产估价师</w:t>
            </w:r>
          </w:p>
        </w:tc>
      </w:tr>
      <w:tr>
        <w:tblPrEx>
          <w:tblCellMar>
            <w:top w:w="0" w:type="dxa"/>
            <w:left w:w="108" w:type="dxa"/>
            <w:bottom w:w="0" w:type="dxa"/>
            <w:right w:w="108" w:type="dxa"/>
          </w:tblCellMar>
        </w:tblPrEx>
        <w:trPr>
          <w:trHeight w:val="680" w:hRule="atLeast"/>
        </w:trPr>
        <w:tc>
          <w:tcPr>
            <w:tcW w:w="21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姓  名</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注册号</w:t>
            </w:r>
          </w:p>
        </w:tc>
        <w:tc>
          <w:tcPr>
            <w:tcW w:w="240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签  名</w:t>
            </w:r>
          </w:p>
        </w:tc>
        <w:tc>
          <w:tcPr>
            <w:tcW w:w="255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签名日期</w:t>
            </w:r>
          </w:p>
        </w:tc>
      </w:tr>
      <w:tr>
        <w:tblPrEx>
          <w:tblCellMar>
            <w:top w:w="0" w:type="dxa"/>
            <w:left w:w="108" w:type="dxa"/>
            <w:bottom w:w="0" w:type="dxa"/>
            <w:right w:w="108" w:type="dxa"/>
          </w:tblCellMar>
        </w:tblPrEx>
        <w:trPr>
          <w:trHeight w:val="680" w:hRule="atLeast"/>
        </w:trPr>
        <w:tc>
          <w:tcPr>
            <w:tcW w:w="214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苟恩奎</w:t>
            </w:r>
          </w:p>
        </w:tc>
        <w:tc>
          <w:tcPr>
            <w:tcW w:w="2409"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5220120009</w:t>
            </w:r>
          </w:p>
        </w:tc>
        <w:tc>
          <w:tcPr>
            <w:tcW w:w="2408"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　</w:t>
            </w:r>
          </w:p>
        </w:tc>
        <w:tc>
          <w:tcPr>
            <w:tcW w:w="255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2021年07月23日　</w:t>
            </w:r>
          </w:p>
        </w:tc>
      </w:tr>
      <w:tr>
        <w:tblPrEx>
          <w:tblCellMar>
            <w:top w:w="0" w:type="dxa"/>
            <w:left w:w="108" w:type="dxa"/>
            <w:bottom w:w="0" w:type="dxa"/>
            <w:right w:w="108" w:type="dxa"/>
          </w:tblCellMar>
        </w:tblPrEx>
        <w:trPr>
          <w:trHeight w:val="680" w:hRule="atLeast"/>
        </w:trPr>
        <w:tc>
          <w:tcPr>
            <w:tcW w:w="214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綦伶俐</w:t>
            </w:r>
          </w:p>
        </w:tc>
        <w:tc>
          <w:tcPr>
            <w:tcW w:w="2409"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5220200070</w:t>
            </w:r>
          </w:p>
        </w:tc>
        <w:tc>
          <w:tcPr>
            <w:tcW w:w="2408"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　</w:t>
            </w:r>
          </w:p>
        </w:tc>
        <w:tc>
          <w:tcPr>
            <w:tcW w:w="2554" w:type="dxa"/>
            <w:tcBorders>
              <w:top w:val="nil"/>
              <w:left w:val="nil"/>
              <w:bottom w:val="single" w:color="auto" w:sz="4" w:space="0"/>
              <w:right w:val="single" w:color="auto" w:sz="4" w:space="0"/>
            </w:tcBorders>
            <w:noWrap/>
            <w:vAlign w:val="center"/>
          </w:tcPr>
          <w:p>
            <w:pPr>
              <w:widowControl/>
              <w:jc w:val="center"/>
              <w:rPr>
                <w:rFonts w:ascii="Times New Roman" w:hAnsi="Times New Roman" w:eastAsia="宋体"/>
                <w:kern w:val="0"/>
                <w:sz w:val="28"/>
                <w:szCs w:val="28"/>
              </w:rPr>
            </w:pPr>
            <w:r>
              <w:rPr>
                <w:rFonts w:ascii="Times New Roman" w:hAnsi="Times New Roman" w:eastAsia="宋体"/>
                <w:kern w:val="0"/>
                <w:sz w:val="28"/>
                <w:szCs w:val="28"/>
              </w:rPr>
              <w:t>2021年07月23日</w:t>
            </w:r>
          </w:p>
        </w:tc>
      </w:tr>
    </w:tbl>
    <w:p>
      <w:pPr>
        <w:pStyle w:val="3"/>
        <w:numPr>
          <w:ilvl w:val="0"/>
          <w:numId w:val="9"/>
        </w:numPr>
        <w:spacing w:before="200" w:after="200" w:line="500" w:lineRule="exact"/>
        <w:rPr>
          <w:rFonts w:ascii="Times New Roman" w:hAnsi="Times New Roman" w:eastAsia="宋体"/>
        </w:rPr>
      </w:pPr>
      <w:bookmarkStart w:id="226" w:name="_Toc445892288"/>
      <w:bookmarkStart w:id="227" w:name="_Toc445891415"/>
      <w:bookmarkStart w:id="228" w:name="_Toc65065923"/>
      <w:bookmarkStart w:id="229" w:name="_Toc476489048"/>
      <w:bookmarkStart w:id="230" w:name="_Toc47874203"/>
      <w:bookmarkStart w:id="231" w:name="_Toc14995"/>
      <w:bookmarkStart w:id="232" w:name="_Toc468882216"/>
      <w:bookmarkStart w:id="233" w:name="_Toc46417176"/>
      <w:bookmarkStart w:id="234" w:name="_Toc497752874"/>
      <w:bookmarkStart w:id="235" w:name="_Toc472961351"/>
      <w:r>
        <w:rPr>
          <w:rFonts w:ascii="Times New Roman" w:hAnsi="Times New Roman" w:eastAsia="宋体"/>
        </w:rPr>
        <w:t>实地查勘期</w:t>
      </w:r>
      <w:bookmarkEnd w:id="226"/>
      <w:bookmarkEnd w:id="227"/>
      <w:bookmarkEnd w:id="228"/>
      <w:bookmarkEnd w:id="229"/>
      <w:bookmarkEnd w:id="230"/>
      <w:bookmarkEnd w:id="231"/>
      <w:bookmarkEnd w:id="232"/>
      <w:bookmarkEnd w:id="233"/>
      <w:bookmarkEnd w:id="234"/>
      <w:bookmarkEnd w:id="235"/>
      <w:bookmarkStart w:id="236" w:name="_Toc396396782"/>
      <w:bookmarkStart w:id="237" w:name="_Toc432490551"/>
      <w:bookmarkStart w:id="238" w:name="_Toc432574978"/>
    </w:p>
    <w:p>
      <w:pPr>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2021年06月29日</w:t>
      </w:r>
    </w:p>
    <w:p>
      <w:pPr>
        <w:pStyle w:val="3"/>
        <w:numPr>
          <w:ilvl w:val="0"/>
          <w:numId w:val="9"/>
        </w:numPr>
        <w:spacing w:before="200" w:after="200" w:line="500" w:lineRule="exact"/>
        <w:rPr>
          <w:rFonts w:ascii="Times New Roman" w:hAnsi="Times New Roman" w:eastAsia="宋体"/>
        </w:rPr>
      </w:pPr>
      <w:bookmarkStart w:id="239" w:name="_Toc476489049"/>
      <w:bookmarkStart w:id="240" w:name="_Toc46417177"/>
      <w:bookmarkStart w:id="241" w:name="_Toc445891416"/>
      <w:bookmarkStart w:id="242" w:name="_Toc445892289"/>
      <w:bookmarkStart w:id="243" w:name="_Toc47874204"/>
      <w:bookmarkStart w:id="244" w:name="_Toc16882"/>
      <w:bookmarkStart w:id="245" w:name="_Toc65065924"/>
      <w:bookmarkStart w:id="246" w:name="_Toc497752875"/>
      <w:bookmarkStart w:id="247" w:name="_Toc468882217"/>
      <w:bookmarkStart w:id="248" w:name="_Toc472961352"/>
      <w:r>
        <w:rPr>
          <w:rFonts w:ascii="Times New Roman" w:hAnsi="Times New Roman" w:eastAsia="宋体"/>
        </w:rPr>
        <w:t>估价作业期</w:t>
      </w:r>
      <w:bookmarkEnd w:id="236"/>
      <w:bookmarkEnd w:id="237"/>
      <w:bookmarkEnd w:id="238"/>
      <w:bookmarkEnd w:id="239"/>
      <w:bookmarkEnd w:id="240"/>
      <w:bookmarkEnd w:id="241"/>
      <w:bookmarkEnd w:id="242"/>
      <w:bookmarkEnd w:id="243"/>
      <w:bookmarkEnd w:id="244"/>
      <w:bookmarkEnd w:id="245"/>
      <w:bookmarkEnd w:id="246"/>
      <w:bookmarkEnd w:id="247"/>
      <w:bookmarkEnd w:id="248"/>
    </w:p>
    <w:p>
      <w:pPr>
        <w:spacing w:line="480" w:lineRule="exact"/>
        <w:ind w:firstLine="560" w:firstLineChars="200"/>
        <w:rPr>
          <w:rFonts w:ascii="Times New Roman" w:hAnsi="Times New Roman" w:eastAsia="宋体"/>
          <w:sz w:val="28"/>
          <w:szCs w:val="28"/>
        </w:rPr>
      </w:pPr>
      <w:r>
        <w:rPr>
          <w:rFonts w:hint="eastAsia" w:ascii="Times New Roman" w:hAnsi="Times New Roman" w:eastAsia="宋体"/>
          <w:sz w:val="28"/>
          <w:szCs w:val="28"/>
        </w:rPr>
        <w:t>(</w:t>
      </w:r>
      <w:r>
        <w:rPr>
          <w:rFonts w:ascii="Times New Roman" w:hAnsi="Times New Roman" w:eastAsia="宋体"/>
          <w:sz w:val="28"/>
          <w:szCs w:val="28"/>
        </w:rPr>
        <w:t>1)2021年06月16日</w:t>
      </w:r>
      <w:r>
        <w:rPr>
          <w:rFonts w:hint="eastAsia" w:ascii="Times New Roman" w:hAnsi="Times New Roman" w:eastAsia="宋体"/>
          <w:sz w:val="28"/>
          <w:szCs w:val="28"/>
        </w:rPr>
        <w:t>，</w:t>
      </w:r>
      <w:r>
        <w:rPr>
          <w:rFonts w:ascii="Times New Roman" w:hAnsi="Times New Roman" w:eastAsia="宋体"/>
          <w:sz w:val="28"/>
          <w:szCs w:val="28"/>
        </w:rPr>
        <w:t>受理估价委托</w:t>
      </w:r>
      <w:r>
        <w:rPr>
          <w:rFonts w:hint="eastAsia" w:ascii="Times New Roman" w:hAnsi="Times New Roman" w:eastAsia="宋体"/>
          <w:sz w:val="28"/>
          <w:szCs w:val="28"/>
        </w:rPr>
        <w:t>；</w:t>
      </w:r>
    </w:p>
    <w:p>
      <w:pPr>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(2)2021年06月29日</w:t>
      </w:r>
      <w:r>
        <w:rPr>
          <w:rFonts w:hint="eastAsia" w:ascii="Times New Roman" w:hAnsi="Times New Roman" w:eastAsia="宋体"/>
          <w:sz w:val="28"/>
          <w:szCs w:val="28"/>
        </w:rPr>
        <w:t>，</w:t>
      </w:r>
      <w:r>
        <w:rPr>
          <w:rFonts w:ascii="Times New Roman" w:hAnsi="Times New Roman" w:eastAsia="宋体"/>
          <w:sz w:val="28"/>
          <w:szCs w:val="28"/>
        </w:rPr>
        <w:t>进行现场查勘</w:t>
      </w:r>
      <w:r>
        <w:rPr>
          <w:rFonts w:hint="eastAsia" w:ascii="Times New Roman" w:hAnsi="Times New Roman" w:eastAsia="宋体"/>
          <w:sz w:val="28"/>
          <w:szCs w:val="28"/>
        </w:rPr>
        <w:t>；</w:t>
      </w:r>
    </w:p>
    <w:p>
      <w:pPr>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(3)2021年07月22日</w:t>
      </w:r>
      <w:r>
        <w:rPr>
          <w:rFonts w:hint="eastAsia" w:ascii="Times New Roman" w:hAnsi="Times New Roman" w:eastAsia="宋体"/>
          <w:sz w:val="28"/>
          <w:szCs w:val="28"/>
        </w:rPr>
        <w:t>，委托人提供《贵州省清镇市人民法院移送委托评估函(补充说明)》【（2021）黔0181执759号之一】；</w:t>
      </w:r>
    </w:p>
    <w:p>
      <w:pPr>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(4)2021年07月23日</w:t>
      </w:r>
      <w:r>
        <w:rPr>
          <w:rFonts w:hint="eastAsia" w:ascii="Times New Roman" w:hAnsi="Times New Roman" w:eastAsia="宋体"/>
          <w:sz w:val="28"/>
          <w:szCs w:val="28"/>
        </w:rPr>
        <w:t>，</w:t>
      </w:r>
      <w:r>
        <w:rPr>
          <w:rFonts w:ascii="Times New Roman" w:hAnsi="Times New Roman" w:eastAsia="宋体"/>
          <w:sz w:val="28"/>
          <w:szCs w:val="28"/>
        </w:rPr>
        <w:t>出具估价报告。</w:t>
      </w:r>
    </w:p>
    <w:p>
      <w:pPr>
        <w:pStyle w:val="3"/>
        <w:numPr>
          <w:ilvl w:val="0"/>
          <w:numId w:val="9"/>
        </w:numPr>
        <w:spacing w:before="200" w:after="200" w:line="500" w:lineRule="exact"/>
        <w:rPr>
          <w:rFonts w:ascii="Times New Roman" w:hAnsi="Times New Roman" w:eastAsia="宋体"/>
        </w:rPr>
      </w:pPr>
      <w:bookmarkStart w:id="249" w:name="_Toc46417178"/>
      <w:bookmarkStart w:id="250" w:name="_Toc432574979"/>
      <w:bookmarkStart w:id="251" w:name="_Toc432490552"/>
      <w:bookmarkStart w:id="252" w:name="_Toc476489050"/>
      <w:bookmarkStart w:id="253" w:name="_Toc65065925"/>
      <w:bookmarkStart w:id="254" w:name="_Toc445892290"/>
      <w:bookmarkStart w:id="255" w:name="_Toc497752876"/>
      <w:bookmarkStart w:id="256" w:name="_Toc472961353"/>
      <w:bookmarkStart w:id="257" w:name="_Toc468882218"/>
      <w:bookmarkStart w:id="258" w:name="_Toc396396783"/>
      <w:bookmarkStart w:id="259" w:name="_Toc445891417"/>
      <w:bookmarkStart w:id="260" w:name="_Toc47874205"/>
      <w:bookmarkStart w:id="261" w:name="_Toc2532"/>
      <w:r>
        <w:rPr>
          <w:rFonts w:ascii="Times New Roman" w:hAnsi="Times New Roman" w:eastAsia="宋体"/>
        </w:rPr>
        <w:t>估价报告应用的有效期</w:t>
      </w:r>
      <w:bookmarkEnd w:id="249"/>
      <w:bookmarkEnd w:id="250"/>
      <w:bookmarkEnd w:id="251"/>
      <w:bookmarkEnd w:id="252"/>
      <w:bookmarkEnd w:id="253"/>
      <w:bookmarkEnd w:id="254"/>
      <w:bookmarkEnd w:id="255"/>
      <w:bookmarkEnd w:id="256"/>
      <w:bookmarkEnd w:id="257"/>
      <w:bookmarkEnd w:id="258"/>
      <w:bookmarkEnd w:id="259"/>
      <w:bookmarkEnd w:id="260"/>
      <w:bookmarkEnd w:id="261"/>
    </w:p>
    <w:p>
      <w:pPr>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估价报告应用的有效期原则上为一年，自2021年07月23日至2022年07月22日止。</w:t>
      </w:r>
    </w:p>
    <w:p>
      <w:pPr>
        <w:tabs>
          <w:tab w:val="left" w:pos="525"/>
        </w:tabs>
        <w:spacing w:line="500" w:lineRule="exact"/>
        <w:ind w:firstLine="4760" w:firstLineChars="1700"/>
        <w:jc w:val="left"/>
        <w:rPr>
          <w:rFonts w:ascii="Times New Roman" w:hAnsi="Times New Roman" w:eastAsia="宋体"/>
          <w:sz w:val="28"/>
          <w:szCs w:val="28"/>
        </w:rPr>
      </w:pPr>
    </w:p>
    <w:p>
      <w:pPr>
        <w:tabs>
          <w:tab w:val="left" w:pos="525"/>
        </w:tabs>
        <w:spacing w:line="500" w:lineRule="exact"/>
        <w:ind w:firstLine="4760" w:firstLineChars="1700"/>
        <w:jc w:val="left"/>
        <w:rPr>
          <w:rFonts w:ascii="Times New Roman" w:hAnsi="Times New Roman" w:eastAsia="宋体"/>
          <w:sz w:val="28"/>
          <w:szCs w:val="28"/>
        </w:rPr>
      </w:pPr>
      <w:r>
        <w:rPr>
          <w:rFonts w:ascii="Times New Roman" w:hAnsi="Times New Roman" w:eastAsia="宋体"/>
          <w:sz w:val="28"/>
          <w:szCs w:val="28"/>
        </w:rPr>
        <w:t>贵州桑立房地产资产评估有限公司</w:t>
      </w:r>
    </w:p>
    <w:p>
      <w:pPr>
        <w:tabs>
          <w:tab w:val="left" w:pos="1498"/>
        </w:tabs>
        <w:spacing w:line="700" w:lineRule="exact"/>
        <w:ind w:firstLine="4900" w:firstLineChars="1750"/>
        <w:jc w:val="left"/>
        <w:rPr>
          <w:rFonts w:ascii="Times New Roman" w:hAnsi="Times New Roman" w:eastAsia="宋体"/>
          <w:sz w:val="28"/>
          <w:szCs w:val="28"/>
        </w:rPr>
      </w:pPr>
      <w:r>
        <w:rPr>
          <w:rFonts w:ascii="Times New Roman" w:hAnsi="Times New Roman" w:eastAsia="宋体"/>
          <w:sz w:val="28"/>
          <w:szCs w:val="28"/>
        </w:rPr>
        <w:t xml:space="preserve">   二〇二一年七月二十三日</w:t>
      </w:r>
    </w:p>
    <w:bookmarkEnd w:id="220"/>
    <w:p>
      <w:pPr>
        <w:rPr>
          <w:rFonts w:ascii="Times New Roman" w:hAnsi="Times New Roman" w:eastAsia="宋体"/>
          <w:b/>
          <w:sz w:val="24"/>
        </w:rPr>
      </w:pPr>
    </w:p>
    <w:sectPr>
      <w:headerReference r:id="rId4" w:type="first"/>
      <w:footerReference r:id="rId6" w:type="first"/>
      <w:headerReference r:id="rId3" w:type="default"/>
      <w:footerReference r:id="rId5" w:type="default"/>
      <w:pgSz w:w="11906" w:h="16838"/>
      <w:pgMar w:top="1134" w:right="851" w:bottom="1021" w:left="1418" w:header="851" w:footer="510"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b/>
      </w:rPr>
    </w:pPr>
    <w:r>
      <w:rPr>
        <w:b/>
      </w:rPr>
      <w:t xml:space="preserve">贵州桑立公司涉执房地产处置司法评估报告书                                  </w:t>
    </w:r>
    <w:r>
      <w:rPr>
        <w:b/>
        <w:color w:val="FF0000"/>
      </w:rPr>
      <w:t xml:space="preserve">  </w:t>
    </w:r>
    <w:r>
      <w:rPr>
        <w:b/>
      </w:rPr>
      <w:t xml:space="preserve"> 黔桑立房鉴字【2021】第0706号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b/>
        <w:color w:val="FF0000"/>
      </w:rPr>
    </w:pPr>
    <w:r>
      <w:rPr>
        <w:b/>
      </w:rPr>
      <w:t xml:space="preserve">贵州桑立公司涉执房地产处置司法评估报告书  </w:t>
    </w:r>
    <w:r>
      <w:rPr>
        <w:rFonts w:hint="eastAsia"/>
        <w:b/>
      </w:rPr>
      <w:t xml:space="preserve">                           </w:t>
    </w:r>
    <w:r>
      <w:rPr>
        <w:rFonts w:hint="eastAsia"/>
        <w:b/>
        <w:color w:val="000000" w:themeColor="text1"/>
        <w14:textFill>
          <w14:solidFill>
            <w14:schemeClr w14:val="tx1"/>
          </w14:solidFill>
        </w14:textFill>
      </w:rPr>
      <w:t xml:space="preserve">        黔桑立房鉴字【20</w:t>
    </w:r>
    <w:r>
      <w:rPr>
        <w:b/>
        <w:color w:val="000000" w:themeColor="text1"/>
        <w14:textFill>
          <w14:solidFill>
            <w14:schemeClr w14:val="tx1"/>
          </w14:solidFill>
        </w14:textFill>
      </w:rPr>
      <w:t>21</w:t>
    </w:r>
    <w:r>
      <w:rPr>
        <w:rFonts w:hint="eastAsia"/>
        <w:b/>
        <w:color w:val="000000" w:themeColor="text1"/>
        <w14:textFill>
          <w14:solidFill>
            <w14:schemeClr w14:val="tx1"/>
          </w14:solidFill>
        </w14:textFill>
      </w:rPr>
      <w:t>】第</w:t>
    </w:r>
    <w:r>
      <w:rPr>
        <w:b/>
        <w:color w:val="000000" w:themeColor="text1"/>
        <w14:textFill>
          <w14:solidFill>
            <w14:schemeClr w14:val="tx1"/>
          </w14:solidFill>
        </w14:textFill>
      </w:rPr>
      <w:t>0706</w:t>
    </w:r>
    <w:r>
      <w:rPr>
        <w:rFonts w:hint="eastAsia"/>
        <w:b/>
        <w:color w:val="000000" w:themeColor="text1"/>
        <w14:textFill>
          <w14:solidFill>
            <w14:schemeClr w14:val="tx1"/>
          </w14:solidFill>
        </w14:textFill>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B3597"/>
    <w:multiLevelType w:val="singleLevel"/>
    <w:tmpl w:val="9D0B3597"/>
    <w:lvl w:ilvl="0" w:tentative="0">
      <w:start w:val="2"/>
      <w:numFmt w:val="chineseCounting"/>
      <w:suff w:val="nothing"/>
      <w:lvlText w:val="%1、"/>
      <w:lvlJc w:val="left"/>
      <w:rPr>
        <w:rFonts w:hint="eastAsia"/>
      </w:rPr>
    </w:lvl>
  </w:abstractNum>
  <w:abstractNum w:abstractNumId="1">
    <w:nsid w:val="AE6CB8E9"/>
    <w:multiLevelType w:val="singleLevel"/>
    <w:tmpl w:val="AE6CB8E9"/>
    <w:lvl w:ilvl="0" w:tentative="0">
      <w:start w:val="5"/>
      <w:numFmt w:val="chineseCounting"/>
      <w:suff w:val="nothing"/>
      <w:lvlText w:val="%1、"/>
      <w:lvlJc w:val="left"/>
      <w:rPr>
        <w:rFonts w:hint="eastAsia"/>
      </w:rPr>
    </w:lvl>
  </w:abstractNum>
  <w:abstractNum w:abstractNumId="2">
    <w:nsid w:val="B8DF5CD7"/>
    <w:multiLevelType w:val="singleLevel"/>
    <w:tmpl w:val="B8DF5CD7"/>
    <w:lvl w:ilvl="0" w:tentative="0">
      <w:start w:val="1"/>
      <w:numFmt w:val="decimal"/>
      <w:lvlText w:val="%1."/>
      <w:lvlJc w:val="left"/>
      <w:pPr>
        <w:ind w:left="425" w:hanging="425"/>
      </w:pPr>
      <w:rPr>
        <w:rFonts w:hint="default"/>
      </w:rPr>
    </w:lvl>
  </w:abstractNum>
  <w:abstractNum w:abstractNumId="3">
    <w:nsid w:val="01B3535D"/>
    <w:multiLevelType w:val="multilevel"/>
    <w:tmpl w:val="01B3535D"/>
    <w:lvl w:ilvl="0" w:tentative="0">
      <w:start w:val="1"/>
      <w:numFmt w:val="chineseCountingThousand"/>
      <w:suff w:val="nothing"/>
      <w:lvlText w:val="%1、"/>
      <w:lvlJc w:val="left"/>
      <w:pPr>
        <w:ind w:left="1063" w:hanging="420"/>
      </w:pPr>
      <w:rPr>
        <w:rFonts w:hint="eastAsia"/>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4">
    <w:nsid w:val="097505AD"/>
    <w:multiLevelType w:val="multilevel"/>
    <w:tmpl w:val="097505AD"/>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A4CA122"/>
    <w:multiLevelType w:val="singleLevel"/>
    <w:tmpl w:val="0A4CA122"/>
    <w:lvl w:ilvl="0" w:tentative="0">
      <w:start w:val="1"/>
      <w:numFmt w:val="decimal"/>
      <w:lvlText w:val="%1."/>
      <w:lvlJc w:val="left"/>
      <w:pPr>
        <w:ind w:left="425" w:hanging="425"/>
      </w:pPr>
      <w:rPr>
        <w:rFonts w:hint="default"/>
      </w:rPr>
    </w:lvl>
  </w:abstractNum>
  <w:abstractNum w:abstractNumId="6">
    <w:nsid w:val="108438CF"/>
    <w:multiLevelType w:val="multilevel"/>
    <w:tmpl w:val="108438CF"/>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124C2974"/>
    <w:multiLevelType w:val="multilevel"/>
    <w:tmpl w:val="124C297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0A347EF"/>
    <w:multiLevelType w:val="multilevel"/>
    <w:tmpl w:val="20A347EF"/>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29BC5E49"/>
    <w:multiLevelType w:val="multilevel"/>
    <w:tmpl w:val="29BC5E49"/>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2D6A753F"/>
    <w:multiLevelType w:val="singleLevel"/>
    <w:tmpl w:val="2D6A753F"/>
    <w:lvl w:ilvl="0" w:tentative="0">
      <w:start w:val="1"/>
      <w:numFmt w:val="decimal"/>
      <w:lvlText w:val="%1."/>
      <w:lvlJc w:val="left"/>
      <w:pPr>
        <w:ind w:left="425" w:hanging="425"/>
      </w:pPr>
      <w:rPr>
        <w:rFonts w:hint="default"/>
      </w:rPr>
    </w:lvl>
  </w:abstractNum>
  <w:abstractNum w:abstractNumId="11">
    <w:nsid w:val="3A1F697F"/>
    <w:multiLevelType w:val="multilevel"/>
    <w:tmpl w:val="3A1F697F"/>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4C454B40"/>
    <w:multiLevelType w:val="multilevel"/>
    <w:tmpl w:val="4C454B4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E863380"/>
    <w:multiLevelType w:val="multilevel"/>
    <w:tmpl w:val="4E863380"/>
    <w:lvl w:ilvl="0" w:tentative="0">
      <w:start w:val="1"/>
      <w:numFmt w:val="chineseCountingThousand"/>
      <w:lvlText w:val="(%1)"/>
      <w:lvlJc w:val="left"/>
      <w:pPr>
        <w:ind w:left="976" w:hanging="420"/>
      </w:pPr>
    </w:lvl>
    <w:lvl w:ilvl="1" w:tentative="0">
      <w:start w:val="1"/>
      <w:numFmt w:val="lowerLetter"/>
      <w:lvlText w:val="%2)"/>
      <w:lvlJc w:val="left"/>
      <w:pPr>
        <w:ind w:left="1396" w:hanging="420"/>
      </w:pPr>
    </w:lvl>
    <w:lvl w:ilvl="2" w:tentative="0">
      <w:start w:val="1"/>
      <w:numFmt w:val="lowerRoman"/>
      <w:lvlText w:val="%3."/>
      <w:lvlJc w:val="right"/>
      <w:pPr>
        <w:ind w:left="1816" w:hanging="420"/>
      </w:pPr>
    </w:lvl>
    <w:lvl w:ilvl="3" w:tentative="0">
      <w:start w:val="1"/>
      <w:numFmt w:val="decimal"/>
      <w:lvlText w:val="%4."/>
      <w:lvlJc w:val="left"/>
      <w:pPr>
        <w:ind w:left="2236" w:hanging="420"/>
      </w:pPr>
    </w:lvl>
    <w:lvl w:ilvl="4" w:tentative="0">
      <w:start w:val="1"/>
      <w:numFmt w:val="lowerLetter"/>
      <w:lvlText w:val="%5)"/>
      <w:lvlJc w:val="left"/>
      <w:pPr>
        <w:ind w:left="2656" w:hanging="420"/>
      </w:pPr>
    </w:lvl>
    <w:lvl w:ilvl="5" w:tentative="0">
      <w:start w:val="1"/>
      <w:numFmt w:val="lowerRoman"/>
      <w:lvlText w:val="%6."/>
      <w:lvlJc w:val="right"/>
      <w:pPr>
        <w:ind w:left="3076" w:hanging="420"/>
      </w:pPr>
    </w:lvl>
    <w:lvl w:ilvl="6" w:tentative="0">
      <w:start w:val="1"/>
      <w:numFmt w:val="decimal"/>
      <w:lvlText w:val="%7."/>
      <w:lvlJc w:val="left"/>
      <w:pPr>
        <w:ind w:left="3496" w:hanging="420"/>
      </w:pPr>
    </w:lvl>
    <w:lvl w:ilvl="7" w:tentative="0">
      <w:start w:val="1"/>
      <w:numFmt w:val="lowerLetter"/>
      <w:lvlText w:val="%8)"/>
      <w:lvlJc w:val="left"/>
      <w:pPr>
        <w:ind w:left="3916" w:hanging="420"/>
      </w:pPr>
    </w:lvl>
    <w:lvl w:ilvl="8" w:tentative="0">
      <w:start w:val="1"/>
      <w:numFmt w:val="lowerRoman"/>
      <w:lvlText w:val="%9."/>
      <w:lvlJc w:val="right"/>
      <w:pPr>
        <w:ind w:left="4336" w:hanging="420"/>
      </w:pPr>
    </w:lvl>
  </w:abstractNum>
  <w:abstractNum w:abstractNumId="14">
    <w:nsid w:val="4F8E3FF8"/>
    <w:multiLevelType w:val="multilevel"/>
    <w:tmpl w:val="4F8E3FF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1002BE8"/>
    <w:multiLevelType w:val="multilevel"/>
    <w:tmpl w:val="51002BE8"/>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59C77822"/>
    <w:multiLevelType w:val="multilevel"/>
    <w:tmpl w:val="59C77822"/>
    <w:lvl w:ilvl="0" w:tentative="0">
      <w:start w:val="1"/>
      <w:numFmt w:val="chineseCountingThousand"/>
      <w:lvlText w:val="(%1)"/>
      <w:lvlJc w:val="left"/>
      <w:pPr>
        <w:ind w:left="976" w:hanging="420"/>
      </w:pPr>
    </w:lvl>
    <w:lvl w:ilvl="1" w:tentative="0">
      <w:start w:val="1"/>
      <w:numFmt w:val="lowerLetter"/>
      <w:lvlText w:val="%2)"/>
      <w:lvlJc w:val="left"/>
      <w:pPr>
        <w:ind w:left="1396" w:hanging="420"/>
      </w:pPr>
    </w:lvl>
    <w:lvl w:ilvl="2" w:tentative="0">
      <w:start w:val="1"/>
      <w:numFmt w:val="lowerRoman"/>
      <w:lvlText w:val="%3."/>
      <w:lvlJc w:val="right"/>
      <w:pPr>
        <w:ind w:left="1816" w:hanging="420"/>
      </w:pPr>
    </w:lvl>
    <w:lvl w:ilvl="3" w:tentative="0">
      <w:start w:val="1"/>
      <w:numFmt w:val="decimal"/>
      <w:lvlText w:val="%4."/>
      <w:lvlJc w:val="left"/>
      <w:pPr>
        <w:ind w:left="2236" w:hanging="420"/>
      </w:pPr>
    </w:lvl>
    <w:lvl w:ilvl="4" w:tentative="0">
      <w:start w:val="1"/>
      <w:numFmt w:val="lowerLetter"/>
      <w:lvlText w:val="%5)"/>
      <w:lvlJc w:val="left"/>
      <w:pPr>
        <w:ind w:left="2656" w:hanging="420"/>
      </w:pPr>
    </w:lvl>
    <w:lvl w:ilvl="5" w:tentative="0">
      <w:start w:val="1"/>
      <w:numFmt w:val="lowerRoman"/>
      <w:lvlText w:val="%6."/>
      <w:lvlJc w:val="right"/>
      <w:pPr>
        <w:ind w:left="3076" w:hanging="420"/>
      </w:pPr>
    </w:lvl>
    <w:lvl w:ilvl="6" w:tentative="0">
      <w:start w:val="1"/>
      <w:numFmt w:val="decimal"/>
      <w:lvlText w:val="%7."/>
      <w:lvlJc w:val="left"/>
      <w:pPr>
        <w:ind w:left="3496" w:hanging="420"/>
      </w:pPr>
    </w:lvl>
    <w:lvl w:ilvl="7" w:tentative="0">
      <w:start w:val="1"/>
      <w:numFmt w:val="lowerLetter"/>
      <w:lvlText w:val="%8)"/>
      <w:lvlJc w:val="left"/>
      <w:pPr>
        <w:ind w:left="3916" w:hanging="420"/>
      </w:pPr>
    </w:lvl>
    <w:lvl w:ilvl="8" w:tentative="0">
      <w:start w:val="1"/>
      <w:numFmt w:val="lowerRoman"/>
      <w:lvlText w:val="%9."/>
      <w:lvlJc w:val="right"/>
      <w:pPr>
        <w:ind w:left="4336" w:hanging="420"/>
      </w:pPr>
    </w:lvl>
  </w:abstractNum>
  <w:abstractNum w:abstractNumId="17">
    <w:nsid w:val="5A4E25BD"/>
    <w:multiLevelType w:val="multilevel"/>
    <w:tmpl w:val="5A4E25B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75A3798"/>
    <w:multiLevelType w:val="multilevel"/>
    <w:tmpl w:val="675A3798"/>
    <w:lvl w:ilvl="0" w:tentative="0">
      <w:start w:val="1"/>
      <w:numFmt w:val="chineseCountingThousand"/>
      <w:lvlText w:val="(%1)"/>
      <w:lvlJc w:val="left"/>
      <w:pPr>
        <w:ind w:left="976" w:hanging="420"/>
      </w:pPr>
    </w:lvl>
    <w:lvl w:ilvl="1" w:tentative="0">
      <w:start w:val="1"/>
      <w:numFmt w:val="lowerLetter"/>
      <w:lvlText w:val="%2)"/>
      <w:lvlJc w:val="left"/>
      <w:pPr>
        <w:ind w:left="1396" w:hanging="420"/>
      </w:pPr>
    </w:lvl>
    <w:lvl w:ilvl="2" w:tentative="0">
      <w:start w:val="1"/>
      <w:numFmt w:val="lowerRoman"/>
      <w:lvlText w:val="%3."/>
      <w:lvlJc w:val="right"/>
      <w:pPr>
        <w:ind w:left="1816" w:hanging="420"/>
      </w:pPr>
    </w:lvl>
    <w:lvl w:ilvl="3" w:tentative="0">
      <w:start w:val="1"/>
      <w:numFmt w:val="decimal"/>
      <w:lvlText w:val="%4."/>
      <w:lvlJc w:val="left"/>
      <w:pPr>
        <w:ind w:left="2236" w:hanging="420"/>
      </w:pPr>
    </w:lvl>
    <w:lvl w:ilvl="4" w:tentative="0">
      <w:start w:val="1"/>
      <w:numFmt w:val="lowerLetter"/>
      <w:lvlText w:val="%5)"/>
      <w:lvlJc w:val="left"/>
      <w:pPr>
        <w:ind w:left="2656" w:hanging="420"/>
      </w:pPr>
    </w:lvl>
    <w:lvl w:ilvl="5" w:tentative="0">
      <w:start w:val="1"/>
      <w:numFmt w:val="lowerRoman"/>
      <w:lvlText w:val="%6."/>
      <w:lvlJc w:val="right"/>
      <w:pPr>
        <w:ind w:left="3076" w:hanging="420"/>
      </w:pPr>
    </w:lvl>
    <w:lvl w:ilvl="6" w:tentative="0">
      <w:start w:val="1"/>
      <w:numFmt w:val="decimal"/>
      <w:lvlText w:val="%7."/>
      <w:lvlJc w:val="left"/>
      <w:pPr>
        <w:ind w:left="3496" w:hanging="420"/>
      </w:pPr>
    </w:lvl>
    <w:lvl w:ilvl="7" w:tentative="0">
      <w:start w:val="1"/>
      <w:numFmt w:val="lowerLetter"/>
      <w:lvlText w:val="%8)"/>
      <w:lvlJc w:val="left"/>
      <w:pPr>
        <w:ind w:left="3916" w:hanging="420"/>
      </w:pPr>
    </w:lvl>
    <w:lvl w:ilvl="8" w:tentative="0">
      <w:start w:val="1"/>
      <w:numFmt w:val="lowerRoman"/>
      <w:lvlText w:val="%9."/>
      <w:lvlJc w:val="right"/>
      <w:pPr>
        <w:ind w:left="4336" w:hanging="420"/>
      </w:pPr>
    </w:lvl>
  </w:abstractNum>
  <w:abstractNum w:abstractNumId="19">
    <w:nsid w:val="67E03E85"/>
    <w:multiLevelType w:val="multilevel"/>
    <w:tmpl w:val="67E03E85"/>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695242AB"/>
    <w:multiLevelType w:val="multilevel"/>
    <w:tmpl w:val="695242AB"/>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727F3B11"/>
    <w:multiLevelType w:val="multilevel"/>
    <w:tmpl w:val="727F3B11"/>
    <w:lvl w:ilvl="0" w:tentative="0">
      <w:start w:val="1"/>
      <w:numFmt w:val="chineseCountingThousand"/>
      <w:lvlText w:val="(%1)"/>
      <w:lvlJc w:val="left"/>
      <w:pPr>
        <w:ind w:left="976" w:hanging="420"/>
      </w:pPr>
    </w:lvl>
    <w:lvl w:ilvl="1" w:tentative="0">
      <w:start w:val="1"/>
      <w:numFmt w:val="lowerLetter"/>
      <w:lvlText w:val="%2)"/>
      <w:lvlJc w:val="left"/>
      <w:pPr>
        <w:ind w:left="1396" w:hanging="420"/>
      </w:pPr>
    </w:lvl>
    <w:lvl w:ilvl="2" w:tentative="0">
      <w:start w:val="1"/>
      <w:numFmt w:val="lowerRoman"/>
      <w:lvlText w:val="%3."/>
      <w:lvlJc w:val="right"/>
      <w:pPr>
        <w:ind w:left="1816" w:hanging="420"/>
      </w:pPr>
    </w:lvl>
    <w:lvl w:ilvl="3" w:tentative="0">
      <w:start w:val="1"/>
      <w:numFmt w:val="decimal"/>
      <w:lvlText w:val="%4."/>
      <w:lvlJc w:val="left"/>
      <w:pPr>
        <w:ind w:left="2236" w:hanging="420"/>
      </w:pPr>
    </w:lvl>
    <w:lvl w:ilvl="4" w:tentative="0">
      <w:start w:val="1"/>
      <w:numFmt w:val="lowerLetter"/>
      <w:lvlText w:val="%5)"/>
      <w:lvlJc w:val="left"/>
      <w:pPr>
        <w:ind w:left="2656" w:hanging="420"/>
      </w:pPr>
    </w:lvl>
    <w:lvl w:ilvl="5" w:tentative="0">
      <w:start w:val="1"/>
      <w:numFmt w:val="lowerRoman"/>
      <w:lvlText w:val="%6."/>
      <w:lvlJc w:val="right"/>
      <w:pPr>
        <w:ind w:left="3076" w:hanging="420"/>
      </w:pPr>
    </w:lvl>
    <w:lvl w:ilvl="6" w:tentative="0">
      <w:start w:val="1"/>
      <w:numFmt w:val="decimal"/>
      <w:lvlText w:val="%7."/>
      <w:lvlJc w:val="left"/>
      <w:pPr>
        <w:ind w:left="3496" w:hanging="420"/>
      </w:pPr>
    </w:lvl>
    <w:lvl w:ilvl="7" w:tentative="0">
      <w:start w:val="1"/>
      <w:numFmt w:val="lowerLetter"/>
      <w:lvlText w:val="%8)"/>
      <w:lvlJc w:val="left"/>
      <w:pPr>
        <w:ind w:left="3916" w:hanging="420"/>
      </w:pPr>
    </w:lvl>
    <w:lvl w:ilvl="8" w:tentative="0">
      <w:start w:val="1"/>
      <w:numFmt w:val="lowerRoman"/>
      <w:lvlText w:val="%9."/>
      <w:lvlJc w:val="right"/>
      <w:pPr>
        <w:ind w:left="4336" w:hanging="420"/>
      </w:pPr>
    </w:lvl>
  </w:abstractNum>
  <w:abstractNum w:abstractNumId="22">
    <w:nsid w:val="74680F87"/>
    <w:multiLevelType w:val="multilevel"/>
    <w:tmpl w:val="74680F87"/>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8"/>
  </w:num>
  <w:num w:numId="2">
    <w:abstractNumId w:val="7"/>
  </w:num>
  <w:num w:numId="3">
    <w:abstractNumId w:val="2"/>
  </w:num>
  <w:num w:numId="4">
    <w:abstractNumId w:val="5"/>
  </w:num>
  <w:num w:numId="5">
    <w:abstractNumId w:val="0"/>
  </w:num>
  <w:num w:numId="6">
    <w:abstractNumId w:val="20"/>
  </w:num>
  <w:num w:numId="7">
    <w:abstractNumId w:val="1"/>
  </w:num>
  <w:num w:numId="8">
    <w:abstractNumId w:val="10"/>
  </w:num>
  <w:num w:numId="9">
    <w:abstractNumId w:val="3"/>
  </w:num>
  <w:num w:numId="10">
    <w:abstractNumId w:val="13"/>
  </w:num>
  <w:num w:numId="11">
    <w:abstractNumId w:val="17"/>
  </w:num>
  <w:num w:numId="12">
    <w:abstractNumId w:val="21"/>
  </w:num>
  <w:num w:numId="13">
    <w:abstractNumId w:val="16"/>
  </w:num>
  <w:num w:numId="14">
    <w:abstractNumId w:val="18"/>
  </w:num>
  <w:num w:numId="15">
    <w:abstractNumId w:val="4"/>
  </w:num>
  <w:num w:numId="16">
    <w:abstractNumId w:val="11"/>
  </w:num>
  <w:num w:numId="17">
    <w:abstractNumId w:val="9"/>
  </w:num>
  <w:num w:numId="18">
    <w:abstractNumId w:val="22"/>
  </w:num>
  <w:num w:numId="19">
    <w:abstractNumId w:val="19"/>
  </w:num>
  <w:num w:numId="20">
    <w:abstractNumId w:val="6"/>
  </w:num>
  <w:num w:numId="21">
    <w:abstractNumId w:val="12"/>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zZTJjMWU4Y2RiNjBmOTRjOTYwZTgzYmM2Njc5NDAifQ=="/>
  </w:docVars>
  <w:rsids>
    <w:rsidRoot w:val="00172A27"/>
    <w:rsid w:val="000007F5"/>
    <w:rsid w:val="00000A72"/>
    <w:rsid w:val="00000EA2"/>
    <w:rsid w:val="0000176F"/>
    <w:rsid w:val="00001F63"/>
    <w:rsid w:val="00002845"/>
    <w:rsid w:val="00006573"/>
    <w:rsid w:val="00006A87"/>
    <w:rsid w:val="00006CFC"/>
    <w:rsid w:val="00007B1C"/>
    <w:rsid w:val="00010FAB"/>
    <w:rsid w:val="00012287"/>
    <w:rsid w:val="00013E8A"/>
    <w:rsid w:val="00014FD8"/>
    <w:rsid w:val="00015E39"/>
    <w:rsid w:val="00017F46"/>
    <w:rsid w:val="00020525"/>
    <w:rsid w:val="00022754"/>
    <w:rsid w:val="00023523"/>
    <w:rsid w:val="00023D84"/>
    <w:rsid w:val="000246A9"/>
    <w:rsid w:val="00024F40"/>
    <w:rsid w:val="000252FD"/>
    <w:rsid w:val="000256BA"/>
    <w:rsid w:val="00030414"/>
    <w:rsid w:val="00030A25"/>
    <w:rsid w:val="000328CD"/>
    <w:rsid w:val="000335F3"/>
    <w:rsid w:val="00033A2F"/>
    <w:rsid w:val="00033B7C"/>
    <w:rsid w:val="00036B04"/>
    <w:rsid w:val="00037CEC"/>
    <w:rsid w:val="0004066A"/>
    <w:rsid w:val="0004075D"/>
    <w:rsid w:val="00040E4F"/>
    <w:rsid w:val="00045563"/>
    <w:rsid w:val="00045A47"/>
    <w:rsid w:val="00045A95"/>
    <w:rsid w:val="00045BFE"/>
    <w:rsid w:val="000463BA"/>
    <w:rsid w:val="00046B9A"/>
    <w:rsid w:val="00047606"/>
    <w:rsid w:val="00047FFC"/>
    <w:rsid w:val="00050E50"/>
    <w:rsid w:val="000516BC"/>
    <w:rsid w:val="00051F81"/>
    <w:rsid w:val="0005200B"/>
    <w:rsid w:val="00052EB7"/>
    <w:rsid w:val="0005321E"/>
    <w:rsid w:val="00053341"/>
    <w:rsid w:val="000537E1"/>
    <w:rsid w:val="000546AA"/>
    <w:rsid w:val="00054781"/>
    <w:rsid w:val="00054D0F"/>
    <w:rsid w:val="00054F6E"/>
    <w:rsid w:val="00055444"/>
    <w:rsid w:val="00055488"/>
    <w:rsid w:val="000562CE"/>
    <w:rsid w:val="000565A7"/>
    <w:rsid w:val="00056AE3"/>
    <w:rsid w:val="00060532"/>
    <w:rsid w:val="00061079"/>
    <w:rsid w:val="00061331"/>
    <w:rsid w:val="000615CA"/>
    <w:rsid w:val="00061AF5"/>
    <w:rsid w:val="0006685F"/>
    <w:rsid w:val="000668C7"/>
    <w:rsid w:val="00066D37"/>
    <w:rsid w:val="00071D76"/>
    <w:rsid w:val="00072D3B"/>
    <w:rsid w:val="000730D4"/>
    <w:rsid w:val="00074193"/>
    <w:rsid w:val="0007475C"/>
    <w:rsid w:val="00074CC1"/>
    <w:rsid w:val="00074D60"/>
    <w:rsid w:val="00074EA6"/>
    <w:rsid w:val="00075761"/>
    <w:rsid w:val="00076323"/>
    <w:rsid w:val="00076380"/>
    <w:rsid w:val="000763BE"/>
    <w:rsid w:val="00076558"/>
    <w:rsid w:val="00076E56"/>
    <w:rsid w:val="00077DA9"/>
    <w:rsid w:val="00080304"/>
    <w:rsid w:val="00080886"/>
    <w:rsid w:val="000816BA"/>
    <w:rsid w:val="00081E42"/>
    <w:rsid w:val="00081E55"/>
    <w:rsid w:val="00082E87"/>
    <w:rsid w:val="00083211"/>
    <w:rsid w:val="00084001"/>
    <w:rsid w:val="0008456B"/>
    <w:rsid w:val="00085F96"/>
    <w:rsid w:val="0008601F"/>
    <w:rsid w:val="00086100"/>
    <w:rsid w:val="00086357"/>
    <w:rsid w:val="00086472"/>
    <w:rsid w:val="00087037"/>
    <w:rsid w:val="000877BD"/>
    <w:rsid w:val="000917F5"/>
    <w:rsid w:val="00091A7B"/>
    <w:rsid w:val="000923C3"/>
    <w:rsid w:val="0009376C"/>
    <w:rsid w:val="0009463B"/>
    <w:rsid w:val="00095530"/>
    <w:rsid w:val="0009558D"/>
    <w:rsid w:val="00096820"/>
    <w:rsid w:val="000973A2"/>
    <w:rsid w:val="00097901"/>
    <w:rsid w:val="000A0288"/>
    <w:rsid w:val="000A1687"/>
    <w:rsid w:val="000A1B84"/>
    <w:rsid w:val="000A1E7A"/>
    <w:rsid w:val="000A2ED6"/>
    <w:rsid w:val="000A3097"/>
    <w:rsid w:val="000A34C4"/>
    <w:rsid w:val="000A4584"/>
    <w:rsid w:val="000A6EF2"/>
    <w:rsid w:val="000A70F5"/>
    <w:rsid w:val="000A7188"/>
    <w:rsid w:val="000A79FA"/>
    <w:rsid w:val="000B0489"/>
    <w:rsid w:val="000B09D2"/>
    <w:rsid w:val="000B10C4"/>
    <w:rsid w:val="000B1F54"/>
    <w:rsid w:val="000B30EC"/>
    <w:rsid w:val="000B30ED"/>
    <w:rsid w:val="000B40C0"/>
    <w:rsid w:val="000B40F5"/>
    <w:rsid w:val="000B42C9"/>
    <w:rsid w:val="000B43D3"/>
    <w:rsid w:val="000B43E0"/>
    <w:rsid w:val="000B4E70"/>
    <w:rsid w:val="000B58E7"/>
    <w:rsid w:val="000B5D08"/>
    <w:rsid w:val="000B6607"/>
    <w:rsid w:val="000B6B1F"/>
    <w:rsid w:val="000C067B"/>
    <w:rsid w:val="000C0E40"/>
    <w:rsid w:val="000C1116"/>
    <w:rsid w:val="000C13F4"/>
    <w:rsid w:val="000C275C"/>
    <w:rsid w:val="000C2DBC"/>
    <w:rsid w:val="000C386E"/>
    <w:rsid w:val="000C39E0"/>
    <w:rsid w:val="000C4715"/>
    <w:rsid w:val="000C49BE"/>
    <w:rsid w:val="000C54FF"/>
    <w:rsid w:val="000C5BBB"/>
    <w:rsid w:val="000C7A54"/>
    <w:rsid w:val="000D0696"/>
    <w:rsid w:val="000D0862"/>
    <w:rsid w:val="000D0B10"/>
    <w:rsid w:val="000D0BC0"/>
    <w:rsid w:val="000D1FF8"/>
    <w:rsid w:val="000D3208"/>
    <w:rsid w:val="000D34B1"/>
    <w:rsid w:val="000D3F90"/>
    <w:rsid w:val="000D40DE"/>
    <w:rsid w:val="000D4BF7"/>
    <w:rsid w:val="000D4FD2"/>
    <w:rsid w:val="000D544B"/>
    <w:rsid w:val="000D7200"/>
    <w:rsid w:val="000D72E7"/>
    <w:rsid w:val="000D7827"/>
    <w:rsid w:val="000E0239"/>
    <w:rsid w:val="000E08FB"/>
    <w:rsid w:val="000E15BC"/>
    <w:rsid w:val="000E1A0A"/>
    <w:rsid w:val="000E1B1A"/>
    <w:rsid w:val="000E1B84"/>
    <w:rsid w:val="000E29FC"/>
    <w:rsid w:val="000E521A"/>
    <w:rsid w:val="000E5C45"/>
    <w:rsid w:val="000E5EB9"/>
    <w:rsid w:val="000E60AA"/>
    <w:rsid w:val="000F0AC4"/>
    <w:rsid w:val="000F1610"/>
    <w:rsid w:val="000F2624"/>
    <w:rsid w:val="000F2B67"/>
    <w:rsid w:val="000F30E5"/>
    <w:rsid w:val="000F656F"/>
    <w:rsid w:val="000F6F22"/>
    <w:rsid w:val="000F7234"/>
    <w:rsid w:val="001006C1"/>
    <w:rsid w:val="00100CF5"/>
    <w:rsid w:val="00101372"/>
    <w:rsid w:val="0010156F"/>
    <w:rsid w:val="00101D9E"/>
    <w:rsid w:val="001034BD"/>
    <w:rsid w:val="00103CFF"/>
    <w:rsid w:val="0010415E"/>
    <w:rsid w:val="00104E9D"/>
    <w:rsid w:val="00105945"/>
    <w:rsid w:val="00105F17"/>
    <w:rsid w:val="0010613F"/>
    <w:rsid w:val="00106541"/>
    <w:rsid w:val="0010719C"/>
    <w:rsid w:val="0010760C"/>
    <w:rsid w:val="00107919"/>
    <w:rsid w:val="00107E1F"/>
    <w:rsid w:val="001103E8"/>
    <w:rsid w:val="001110D7"/>
    <w:rsid w:val="00111147"/>
    <w:rsid w:val="0011193C"/>
    <w:rsid w:val="00112334"/>
    <w:rsid w:val="00112F8D"/>
    <w:rsid w:val="001130BE"/>
    <w:rsid w:val="0011315E"/>
    <w:rsid w:val="00113977"/>
    <w:rsid w:val="00113A18"/>
    <w:rsid w:val="00113DC1"/>
    <w:rsid w:val="0011490A"/>
    <w:rsid w:val="00117782"/>
    <w:rsid w:val="00120ED9"/>
    <w:rsid w:val="0012300E"/>
    <w:rsid w:val="00123501"/>
    <w:rsid w:val="00124688"/>
    <w:rsid w:val="0012575D"/>
    <w:rsid w:val="00126325"/>
    <w:rsid w:val="00126C13"/>
    <w:rsid w:val="00126C8B"/>
    <w:rsid w:val="00126CE8"/>
    <w:rsid w:val="001272C4"/>
    <w:rsid w:val="00127538"/>
    <w:rsid w:val="00127774"/>
    <w:rsid w:val="001303B8"/>
    <w:rsid w:val="001322C9"/>
    <w:rsid w:val="001322F5"/>
    <w:rsid w:val="00134B11"/>
    <w:rsid w:val="00135049"/>
    <w:rsid w:val="00135F0B"/>
    <w:rsid w:val="00137CA3"/>
    <w:rsid w:val="00137F02"/>
    <w:rsid w:val="00140329"/>
    <w:rsid w:val="00140338"/>
    <w:rsid w:val="00140395"/>
    <w:rsid w:val="001403C4"/>
    <w:rsid w:val="00141510"/>
    <w:rsid w:val="00141B7E"/>
    <w:rsid w:val="00141CDB"/>
    <w:rsid w:val="00141E3D"/>
    <w:rsid w:val="001420D2"/>
    <w:rsid w:val="001437CB"/>
    <w:rsid w:val="00143A6D"/>
    <w:rsid w:val="00143ADB"/>
    <w:rsid w:val="001444A5"/>
    <w:rsid w:val="0014563A"/>
    <w:rsid w:val="00146263"/>
    <w:rsid w:val="00146664"/>
    <w:rsid w:val="0014698F"/>
    <w:rsid w:val="00146BAF"/>
    <w:rsid w:val="00146F3E"/>
    <w:rsid w:val="00146FA5"/>
    <w:rsid w:val="00147779"/>
    <w:rsid w:val="00147E2E"/>
    <w:rsid w:val="0015003D"/>
    <w:rsid w:val="00150BF2"/>
    <w:rsid w:val="00151B0F"/>
    <w:rsid w:val="00151EC3"/>
    <w:rsid w:val="00152381"/>
    <w:rsid w:val="00152E91"/>
    <w:rsid w:val="00153016"/>
    <w:rsid w:val="0015326F"/>
    <w:rsid w:val="001532E5"/>
    <w:rsid w:val="00153EC1"/>
    <w:rsid w:val="00154965"/>
    <w:rsid w:val="00155032"/>
    <w:rsid w:val="0015517B"/>
    <w:rsid w:val="0015640B"/>
    <w:rsid w:val="0015724A"/>
    <w:rsid w:val="00160141"/>
    <w:rsid w:val="0016020A"/>
    <w:rsid w:val="00160538"/>
    <w:rsid w:val="001626CB"/>
    <w:rsid w:val="001636E0"/>
    <w:rsid w:val="00163A85"/>
    <w:rsid w:val="00164233"/>
    <w:rsid w:val="00164ACE"/>
    <w:rsid w:val="00164F3D"/>
    <w:rsid w:val="00165A25"/>
    <w:rsid w:val="00165B81"/>
    <w:rsid w:val="00165EAE"/>
    <w:rsid w:val="00166CD2"/>
    <w:rsid w:val="00166D77"/>
    <w:rsid w:val="001674F0"/>
    <w:rsid w:val="00167969"/>
    <w:rsid w:val="00170504"/>
    <w:rsid w:val="0017057A"/>
    <w:rsid w:val="00170FD2"/>
    <w:rsid w:val="0017108F"/>
    <w:rsid w:val="00172A27"/>
    <w:rsid w:val="00173264"/>
    <w:rsid w:val="00174AC5"/>
    <w:rsid w:val="00175038"/>
    <w:rsid w:val="00175881"/>
    <w:rsid w:val="00177663"/>
    <w:rsid w:val="0017787F"/>
    <w:rsid w:val="00181EE7"/>
    <w:rsid w:val="00182689"/>
    <w:rsid w:val="00183BD7"/>
    <w:rsid w:val="001855DB"/>
    <w:rsid w:val="001866A0"/>
    <w:rsid w:val="001866D6"/>
    <w:rsid w:val="001879CD"/>
    <w:rsid w:val="001903FC"/>
    <w:rsid w:val="00192341"/>
    <w:rsid w:val="00192A0C"/>
    <w:rsid w:val="0019323F"/>
    <w:rsid w:val="00193ADD"/>
    <w:rsid w:val="001954AE"/>
    <w:rsid w:val="001958B0"/>
    <w:rsid w:val="00195901"/>
    <w:rsid w:val="00195985"/>
    <w:rsid w:val="00195BCA"/>
    <w:rsid w:val="00196674"/>
    <w:rsid w:val="00196FDA"/>
    <w:rsid w:val="0019715B"/>
    <w:rsid w:val="0019718E"/>
    <w:rsid w:val="00197FC4"/>
    <w:rsid w:val="001A14A1"/>
    <w:rsid w:val="001A1E28"/>
    <w:rsid w:val="001A2E3F"/>
    <w:rsid w:val="001A3077"/>
    <w:rsid w:val="001A35C4"/>
    <w:rsid w:val="001A3BD3"/>
    <w:rsid w:val="001A49C8"/>
    <w:rsid w:val="001A4BF7"/>
    <w:rsid w:val="001A53C0"/>
    <w:rsid w:val="001A63D7"/>
    <w:rsid w:val="001A6622"/>
    <w:rsid w:val="001A68C1"/>
    <w:rsid w:val="001A7E8B"/>
    <w:rsid w:val="001B0C2A"/>
    <w:rsid w:val="001B0C78"/>
    <w:rsid w:val="001B26A9"/>
    <w:rsid w:val="001B375A"/>
    <w:rsid w:val="001B55B6"/>
    <w:rsid w:val="001B57ED"/>
    <w:rsid w:val="001B69C6"/>
    <w:rsid w:val="001C0094"/>
    <w:rsid w:val="001C0A5F"/>
    <w:rsid w:val="001C0AB6"/>
    <w:rsid w:val="001C0B35"/>
    <w:rsid w:val="001C1632"/>
    <w:rsid w:val="001C1A35"/>
    <w:rsid w:val="001C2928"/>
    <w:rsid w:val="001C2A52"/>
    <w:rsid w:val="001C316F"/>
    <w:rsid w:val="001C4B14"/>
    <w:rsid w:val="001C551E"/>
    <w:rsid w:val="001C7A71"/>
    <w:rsid w:val="001C7AE9"/>
    <w:rsid w:val="001D0271"/>
    <w:rsid w:val="001D02E1"/>
    <w:rsid w:val="001D16F9"/>
    <w:rsid w:val="001D1FBF"/>
    <w:rsid w:val="001D2108"/>
    <w:rsid w:val="001D29B9"/>
    <w:rsid w:val="001D2EF4"/>
    <w:rsid w:val="001D3A31"/>
    <w:rsid w:val="001D5686"/>
    <w:rsid w:val="001D66C9"/>
    <w:rsid w:val="001D6C43"/>
    <w:rsid w:val="001D758F"/>
    <w:rsid w:val="001D7CC4"/>
    <w:rsid w:val="001D7D9C"/>
    <w:rsid w:val="001D7FEB"/>
    <w:rsid w:val="001E01B8"/>
    <w:rsid w:val="001E0F76"/>
    <w:rsid w:val="001E29B3"/>
    <w:rsid w:val="001E2ABD"/>
    <w:rsid w:val="001E2CCA"/>
    <w:rsid w:val="001E3DC0"/>
    <w:rsid w:val="001E742B"/>
    <w:rsid w:val="001E75CC"/>
    <w:rsid w:val="001F05BA"/>
    <w:rsid w:val="001F0853"/>
    <w:rsid w:val="001F0A89"/>
    <w:rsid w:val="001F1108"/>
    <w:rsid w:val="001F126D"/>
    <w:rsid w:val="001F13CF"/>
    <w:rsid w:val="001F1826"/>
    <w:rsid w:val="001F1A16"/>
    <w:rsid w:val="001F21D4"/>
    <w:rsid w:val="001F3160"/>
    <w:rsid w:val="001F3F5F"/>
    <w:rsid w:val="001F4654"/>
    <w:rsid w:val="001F7132"/>
    <w:rsid w:val="00201CEE"/>
    <w:rsid w:val="00203EEA"/>
    <w:rsid w:val="0020425F"/>
    <w:rsid w:val="00204267"/>
    <w:rsid w:val="00204398"/>
    <w:rsid w:val="002049FE"/>
    <w:rsid w:val="00204C79"/>
    <w:rsid w:val="00204F1F"/>
    <w:rsid w:val="0020528B"/>
    <w:rsid w:val="00205A00"/>
    <w:rsid w:val="00205B0C"/>
    <w:rsid w:val="00206DCE"/>
    <w:rsid w:val="00207824"/>
    <w:rsid w:val="0021063F"/>
    <w:rsid w:val="00212151"/>
    <w:rsid w:val="00212B0B"/>
    <w:rsid w:val="00213DCD"/>
    <w:rsid w:val="00214A92"/>
    <w:rsid w:val="00214DDE"/>
    <w:rsid w:val="00215472"/>
    <w:rsid w:val="00216AA7"/>
    <w:rsid w:val="0022123A"/>
    <w:rsid w:val="0022354A"/>
    <w:rsid w:val="0022387F"/>
    <w:rsid w:val="0022390C"/>
    <w:rsid w:val="00223B85"/>
    <w:rsid w:val="00224054"/>
    <w:rsid w:val="002249FA"/>
    <w:rsid w:val="00224E56"/>
    <w:rsid w:val="002305F4"/>
    <w:rsid w:val="00230CD8"/>
    <w:rsid w:val="002313C6"/>
    <w:rsid w:val="00231EAF"/>
    <w:rsid w:val="00232A19"/>
    <w:rsid w:val="00234FAA"/>
    <w:rsid w:val="002351B0"/>
    <w:rsid w:val="00235357"/>
    <w:rsid w:val="002356B9"/>
    <w:rsid w:val="002363B2"/>
    <w:rsid w:val="00237F3F"/>
    <w:rsid w:val="002400F6"/>
    <w:rsid w:val="00240F86"/>
    <w:rsid w:val="002410EB"/>
    <w:rsid w:val="00241627"/>
    <w:rsid w:val="002416F9"/>
    <w:rsid w:val="002425CF"/>
    <w:rsid w:val="00243393"/>
    <w:rsid w:val="00243F73"/>
    <w:rsid w:val="002441FC"/>
    <w:rsid w:val="00244CDD"/>
    <w:rsid w:val="00244FAD"/>
    <w:rsid w:val="00245893"/>
    <w:rsid w:val="00245BE3"/>
    <w:rsid w:val="00245DB8"/>
    <w:rsid w:val="002470DB"/>
    <w:rsid w:val="0024765F"/>
    <w:rsid w:val="00247A9A"/>
    <w:rsid w:val="002508BE"/>
    <w:rsid w:val="0025228A"/>
    <w:rsid w:val="002545A9"/>
    <w:rsid w:val="002545B5"/>
    <w:rsid w:val="002547E1"/>
    <w:rsid w:val="0025580F"/>
    <w:rsid w:val="002563E4"/>
    <w:rsid w:val="00256501"/>
    <w:rsid w:val="00256B8D"/>
    <w:rsid w:val="00256F44"/>
    <w:rsid w:val="002575EA"/>
    <w:rsid w:val="0025764B"/>
    <w:rsid w:val="00257E2D"/>
    <w:rsid w:val="002603E5"/>
    <w:rsid w:val="0026042D"/>
    <w:rsid w:val="002623CF"/>
    <w:rsid w:val="00263799"/>
    <w:rsid w:val="00263DA3"/>
    <w:rsid w:val="0026412C"/>
    <w:rsid w:val="002643F3"/>
    <w:rsid w:val="0026459A"/>
    <w:rsid w:val="00264612"/>
    <w:rsid w:val="00264D7D"/>
    <w:rsid w:val="00265260"/>
    <w:rsid w:val="00266109"/>
    <w:rsid w:val="0026695C"/>
    <w:rsid w:val="002669E3"/>
    <w:rsid w:val="00266CE6"/>
    <w:rsid w:val="00266E29"/>
    <w:rsid w:val="00270257"/>
    <w:rsid w:val="00270524"/>
    <w:rsid w:val="00271D31"/>
    <w:rsid w:val="00272727"/>
    <w:rsid w:val="00272D69"/>
    <w:rsid w:val="00274558"/>
    <w:rsid w:val="002757BA"/>
    <w:rsid w:val="00275EBF"/>
    <w:rsid w:val="00276BD1"/>
    <w:rsid w:val="00276D1E"/>
    <w:rsid w:val="0027735C"/>
    <w:rsid w:val="002800CE"/>
    <w:rsid w:val="00281A0B"/>
    <w:rsid w:val="00281D22"/>
    <w:rsid w:val="002829BB"/>
    <w:rsid w:val="00282F5C"/>
    <w:rsid w:val="00285FFC"/>
    <w:rsid w:val="00286227"/>
    <w:rsid w:val="002865F0"/>
    <w:rsid w:val="00286903"/>
    <w:rsid w:val="0028740C"/>
    <w:rsid w:val="00287483"/>
    <w:rsid w:val="002877AC"/>
    <w:rsid w:val="00287DC0"/>
    <w:rsid w:val="002902F2"/>
    <w:rsid w:val="00291609"/>
    <w:rsid w:val="00291805"/>
    <w:rsid w:val="00291B6A"/>
    <w:rsid w:val="00292172"/>
    <w:rsid w:val="00292B9B"/>
    <w:rsid w:val="00292D6C"/>
    <w:rsid w:val="00293507"/>
    <w:rsid w:val="00294290"/>
    <w:rsid w:val="0029430C"/>
    <w:rsid w:val="00295541"/>
    <w:rsid w:val="00295977"/>
    <w:rsid w:val="002967BE"/>
    <w:rsid w:val="00296890"/>
    <w:rsid w:val="00297F6F"/>
    <w:rsid w:val="002A0054"/>
    <w:rsid w:val="002A0615"/>
    <w:rsid w:val="002A0DB5"/>
    <w:rsid w:val="002A1C84"/>
    <w:rsid w:val="002A3177"/>
    <w:rsid w:val="002A5B36"/>
    <w:rsid w:val="002A5BDB"/>
    <w:rsid w:val="002A5CE6"/>
    <w:rsid w:val="002A6226"/>
    <w:rsid w:val="002A6A7C"/>
    <w:rsid w:val="002A6FA1"/>
    <w:rsid w:val="002B088B"/>
    <w:rsid w:val="002B1637"/>
    <w:rsid w:val="002B1836"/>
    <w:rsid w:val="002B1EA5"/>
    <w:rsid w:val="002B1FA4"/>
    <w:rsid w:val="002B267D"/>
    <w:rsid w:val="002B326B"/>
    <w:rsid w:val="002B37FD"/>
    <w:rsid w:val="002B45F5"/>
    <w:rsid w:val="002B467C"/>
    <w:rsid w:val="002B49F8"/>
    <w:rsid w:val="002B6869"/>
    <w:rsid w:val="002B692C"/>
    <w:rsid w:val="002B6C88"/>
    <w:rsid w:val="002B6E0A"/>
    <w:rsid w:val="002C0626"/>
    <w:rsid w:val="002C0BDB"/>
    <w:rsid w:val="002C19CF"/>
    <w:rsid w:val="002C312C"/>
    <w:rsid w:val="002C3413"/>
    <w:rsid w:val="002C5278"/>
    <w:rsid w:val="002C5F5E"/>
    <w:rsid w:val="002C6DC0"/>
    <w:rsid w:val="002C7C40"/>
    <w:rsid w:val="002C7D22"/>
    <w:rsid w:val="002C7E35"/>
    <w:rsid w:val="002C7F0D"/>
    <w:rsid w:val="002D024C"/>
    <w:rsid w:val="002D08A4"/>
    <w:rsid w:val="002D0E3E"/>
    <w:rsid w:val="002D108B"/>
    <w:rsid w:val="002D1CCF"/>
    <w:rsid w:val="002D359E"/>
    <w:rsid w:val="002D3A82"/>
    <w:rsid w:val="002D3BEA"/>
    <w:rsid w:val="002D4399"/>
    <w:rsid w:val="002D49D1"/>
    <w:rsid w:val="002D4A1D"/>
    <w:rsid w:val="002D4C7A"/>
    <w:rsid w:val="002D4CFF"/>
    <w:rsid w:val="002D4DD3"/>
    <w:rsid w:val="002D5498"/>
    <w:rsid w:val="002D56D3"/>
    <w:rsid w:val="002D606B"/>
    <w:rsid w:val="002D6683"/>
    <w:rsid w:val="002D6A64"/>
    <w:rsid w:val="002D6CF1"/>
    <w:rsid w:val="002D761D"/>
    <w:rsid w:val="002D790C"/>
    <w:rsid w:val="002E0133"/>
    <w:rsid w:val="002E07E0"/>
    <w:rsid w:val="002E120B"/>
    <w:rsid w:val="002E1B94"/>
    <w:rsid w:val="002E269E"/>
    <w:rsid w:val="002E2AEC"/>
    <w:rsid w:val="002E353D"/>
    <w:rsid w:val="002E36D4"/>
    <w:rsid w:val="002E3E09"/>
    <w:rsid w:val="002E492C"/>
    <w:rsid w:val="002E595C"/>
    <w:rsid w:val="002E5B78"/>
    <w:rsid w:val="002E5E0C"/>
    <w:rsid w:val="002F0DB2"/>
    <w:rsid w:val="002F1A48"/>
    <w:rsid w:val="002F2106"/>
    <w:rsid w:val="002F3A18"/>
    <w:rsid w:val="002F4453"/>
    <w:rsid w:val="002F4CA7"/>
    <w:rsid w:val="002F4DCA"/>
    <w:rsid w:val="002F4E99"/>
    <w:rsid w:val="002F615D"/>
    <w:rsid w:val="002F6220"/>
    <w:rsid w:val="002F6466"/>
    <w:rsid w:val="002F70E6"/>
    <w:rsid w:val="002F7517"/>
    <w:rsid w:val="002F7EC8"/>
    <w:rsid w:val="00300A40"/>
    <w:rsid w:val="00303536"/>
    <w:rsid w:val="003045C8"/>
    <w:rsid w:val="00307194"/>
    <w:rsid w:val="003074BD"/>
    <w:rsid w:val="00307713"/>
    <w:rsid w:val="00310C17"/>
    <w:rsid w:val="00310F64"/>
    <w:rsid w:val="003137F9"/>
    <w:rsid w:val="00317313"/>
    <w:rsid w:val="0031789D"/>
    <w:rsid w:val="003179B5"/>
    <w:rsid w:val="003202A5"/>
    <w:rsid w:val="00321D61"/>
    <w:rsid w:val="00322552"/>
    <w:rsid w:val="00322C3E"/>
    <w:rsid w:val="00323378"/>
    <w:rsid w:val="0032349C"/>
    <w:rsid w:val="0032398E"/>
    <w:rsid w:val="00324696"/>
    <w:rsid w:val="003249D3"/>
    <w:rsid w:val="003251DB"/>
    <w:rsid w:val="003277F0"/>
    <w:rsid w:val="0032785E"/>
    <w:rsid w:val="00327882"/>
    <w:rsid w:val="00327E77"/>
    <w:rsid w:val="00330618"/>
    <w:rsid w:val="00330E24"/>
    <w:rsid w:val="00330F8B"/>
    <w:rsid w:val="00332062"/>
    <w:rsid w:val="00332F82"/>
    <w:rsid w:val="00333580"/>
    <w:rsid w:val="003350C1"/>
    <w:rsid w:val="003353E2"/>
    <w:rsid w:val="0033678A"/>
    <w:rsid w:val="00336B17"/>
    <w:rsid w:val="00336C9A"/>
    <w:rsid w:val="00336D60"/>
    <w:rsid w:val="003379E0"/>
    <w:rsid w:val="00340425"/>
    <w:rsid w:val="0034134A"/>
    <w:rsid w:val="00341FB0"/>
    <w:rsid w:val="003437A5"/>
    <w:rsid w:val="00347292"/>
    <w:rsid w:val="00347770"/>
    <w:rsid w:val="00347ECC"/>
    <w:rsid w:val="00350802"/>
    <w:rsid w:val="00350F76"/>
    <w:rsid w:val="00352461"/>
    <w:rsid w:val="00353CED"/>
    <w:rsid w:val="00354393"/>
    <w:rsid w:val="00354819"/>
    <w:rsid w:val="00354CB3"/>
    <w:rsid w:val="00354DBA"/>
    <w:rsid w:val="00355D0D"/>
    <w:rsid w:val="003566EC"/>
    <w:rsid w:val="00356C11"/>
    <w:rsid w:val="00356D1C"/>
    <w:rsid w:val="003570EF"/>
    <w:rsid w:val="0035726B"/>
    <w:rsid w:val="0035734C"/>
    <w:rsid w:val="00357FFA"/>
    <w:rsid w:val="00360FB5"/>
    <w:rsid w:val="00361CA0"/>
    <w:rsid w:val="003625D2"/>
    <w:rsid w:val="003628A6"/>
    <w:rsid w:val="003633C7"/>
    <w:rsid w:val="00363A3B"/>
    <w:rsid w:val="00363CA6"/>
    <w:rsid w:val="00364062"/>
    <w:rsid w:val="003643A0"/>
    <w:rsid w:val="00364BA6"/>
    <w:rsid w:val="00365162"/>
    <w:rsid w:val="00365F41"/>
    <w:rsid w:val="00367567"/>
    <w:rsid w:val="00370B3B"/>
    <w:rsid w:val="00370DD1"/>
    <w:rsid w:val="003712AD"/>
    <w:rsid w:val="00372AC9"/>
    <w:rsid w:val="00373CC3"/>
    <w:rsid w:val="00374565"/>
    <w:rsid w:val="003746CD"/>
    <w:rsid w:val="00375CCC"/>
    <w:rsid w:val="003761CB"/>
    <w:rsid w:val="00376244"/>
    <w:rsid w:val="00377461"/>
    <w:rsid w:val="003777DA"/>
    <w:rsid w:val="00377AE5"/>
    <w:rsid w:val="0038166E"/>
    <w:rsid w:val="003817C3"/>
    <w:rsid w:val="00381AE5"/>
    <w:rsid w:val="003821B6"/>
    <w:rsid w:val="00382C55"/>
    <w:rsid w:val="00384D23"/>
    <w:rsid w:val="00384DAD"/>
    <w:rsid w:val="00386B93"/>
    <w:rsid w:val="00386EE8"/>
    <w:rsid w:val="00390CF5"/>
    <w:rsid w:val="00391138"/>
    <w:rsid w:val="0039371C"/>
    <w:rsid w:val="00393ACC"/>
    <w:rsid w:val="0039590C"/>
    <w:rsid w:val="0039636E"/>
    <w:rsid w:val="00396CA5"/>
    <w:rsid w:val="003A2003"/>
    <w:rsid w:val="003A35F1"/>
    <w:rsid w:val="003A388E"/>
    <w:rsid w:val="003A3E9F"/>
    <w:rsid w:val="003A3F6D"/>
    <w:rsid w:val="003A437F"/>
    <w:rsid w:val="003A4887"/>
    <w:rsid w:val="003A4BB4"/>
    <w:rsid w:val="003A5A13"/>
    <w:rsid w:val="003A5EDE"/>
    <w:rsid w:val="003A6D97"/>
    <w:rsid w:val="003A72E0"/>
    <w:rsid w:val="003A735E"/>
    <w:rsid w:val="003A7984"/>
    <w:rsid w:val="003A7E2A"/>
    <w:rsid w:val="003A7E3B"/>
    <w:rsid w:val="003B0662"/>
    <w:rsid w:val="003B07BC"/>
    <w:rsid w:val="003B1BB3"/>
    <w:rsid w:val="003B1DA1"/>
    <w:rsid w:val="003B2F27"/>
    <w:rsid w:val="003B4AB2"/>
    <w:rsid w:val="003B4BAD"/>
    <w:rsid w:val="003B6CC2"/>
    <w:rsid w:val="003B7001"/>
    <w:rsid w:val="003B7B94"/>
    <w:rsid w:val="003C0B5A"/>
    <w:rsid w:val="003C0BB0"/>
    <w:rsid w:val="003C31F1"/>
    <w:rsid w:val="003C367F"/>
    <w:rsid w:val="003C37EE"/>
    <w:rsid w:val="003C3FE6"/>
    <w:rsid w:val="003C6891"/>
    <w:rsid w:val="003C6BEB"/>
    <w:rsid w:val="003C6D15"/>
    <w:rsid w:val="003D0657"/>
    <w:rsid w:val="003D0758"/>
    <w:rsid w:val="003D1383"/>
    <w:rsid w:val="003D13E0"/>
    <w:rsid w:val="003D22A3"/>
    <w:rsid w:val="003D296E"/>
    <w:rsid w:val="003D2E32"/>
    <w:rsid w:val="003D3336"/>
    <w:rsid w:val="003D4CA4"/>
    <w:rsid w:val="003D5200"/>
    <w:rsid w:val="003D6386"/>
    <w:rsid w:val="003D681A"/>
    <w:rsid w:val="003D7293"/>
    <w:rsid w:val="003D73FB"/>
    <w:rsid w:val="003E0AD6"/>
    <w:rsid w:val="003E0F2B"/>
    <w:rsid w:val="003E1156"/>
    <w:rsid w:val="003E15DD"/>
    <w:rsid w:val="003E1858"/>
    <w:rsid w:val="003E19BA"/>
    <w:rsid w:val="003E2854"/>
    <w:rsid w:val="003E3CAD"/>
    <w:rsid w:val="003E4621"/>
    <w:rsid w:val="003E53D7"/>
    <w:rsid w:val="003E57B9"/>
    <w:rsid w:val="003E661A"/>
    <w:rsid w:val="003E6D19"/>
    <w:rsid w:val="003E7FB9"/>
    <w:rsid w:val="003F0FCC"/>
    <w:rsid w:val="003F1075"/>
    <w:rsid w:val="003F1D75"/>
    <w:rsid w:val="003F2702"/>
    <w:rsid w:val="003F35FE"/>
    <w:rsid w:val="003F447D"/>
    <w:rsid w:val="003F4670"/>
    <w:rsid w:val="003F4C46"/>
    <w:rsid w:val="003F5581"/>
    <w:rsid w:val="003F64F8"/>
    <w:rsid w:val="003F7581"/>
    <w:rsid w:val="003F7BF1"/>
    <w:rsid w:val="004000DB"/>
    <w:rsid w:val="00400ED7"/>
    <w:rsid w:val="0040162C"/>
    <w:rsid w:val="00402525"/>
    <w:rsid w:val="00402947"/>
    <w:rsid w:val="00402B4C"/>
    <w:rsid w:val="004030B8"/>
    <w:rsid w:val="00403C78"/>
    <w:rsid w:val="00405224"/>
    <w:rsid w:val="00405282"/>
    <w:rsid w:val="0040620D"/>
    <w:rsid w:val="00406DDC"/>
    <w:rsid w:val="00407F17"/>
    <w:rsid w:val="00411001"/>
    <w:rsid w:val="0041186B"/>
    <w:rsid w:val="0041228F"/>
    <w:rsid w:val="004129A6"/>
    <w:rsid w:val="004133B2"/>
    <w:rsid w:val="00413709"/>
    <w:rsid w:val="00414B67"/>
    <w:rsid w:val="00415C98"/>
    <w:rsid w:val="00415FB8"/>
    <w:rsid w:val="004161B6"/>
    <w:rsid w:val="004161D9"/>
    <w:rsid w:val="00416FDB"/>
    <w:rsid w:val="00417DBE"/>
    <w:rsid w:val="0042004B"/>
    <w:rsid w:val="00421589"/>
    <w:rsid w:val="00422649"/>
    <w:rsid w:val="004226B9"/>
    <w:rsid w:val="00422786"/>
    <w:rsid w:val="00422C60"/>
    <w:rsid w:val="00423423"/>
    <w:rsid w:val="00424C51"/>
    <w:rsid w:val="00424F4A"/>
    <w:rsid w:val="00425191"/>
    <w:rsid w:val="004254E7"/>
    <w:rsid w:val="00425E81"/>
    <w:rsid w:val="00425EBE"/>
    <w:rsid w:val="00427500"/>
    <w:rsid w:val="004313E2"/>
    <w:rsid w:val="0043156B"/>
    <w:rsid w:val="00431F2A"/>
    <w:rsid w:val="004321BA"/>
    <w:rsid w:val="004328A5"/>
    <w:rsid w:val="00433387"/>
    <w:rsid w:val="0043359B"/>
    <w:rsid w:val="00435705"/>
    <w:rsid w:val="00436A06"/>
    <w:rsid w:val="0043724E"/>
    <w:rsid w:val="00440813"/>
    <w:rsid w:val="00440AE7"/>
    <w:rsid w:val="00442A23"/>
    <w:rsid w:val="00442A82"/>
    <w:rsid w:val="004435E7"/>
    <w:rsid w:val="00443729"/>
    <w:rsid w:val="004438E8"/>
    <w:rsid w:val="00444BAF"/>
    <w:rsid w:val="0044717F"/>
    <w:rsid w:val="004505AA"/>
    <w:rsid w:val="004509D7"/>
    <w:rsid w:val="004529E6"/>
    <w:rsid w:val="00454733"/>
    <w:rsid w:val="00455776"/>
    <w:rsid w:val="0045684D"/>
    <w:rsid w:val="0046022C"/>
    <w:rsid w:val="004604AB"/>
    <w:rsid w:val="004605F1"/>
    <w:rsid w:val="00460B1B"/>
    <w:rsid w:val="0046113B"/>
    <w:rsid w:val="00461F82"/>
    <w:rsid w:val="00462047"/>
    <w:rsid w:val="00465BFD"/>
    <w:rsid w:val="004664F6"/>
    <w:rsid w:val="00466FC6"/>
    <w:rsid w:val="004673AE"/>
    <w:rsid w:val="00467472"/>
    <w:rsid w:val="00467A58"/>
    <w:rsid w:val="0047058A"/>
    <w:rsid w:val="00470E02"/>
    <w:rsid w:val="00471710"/>
    <w:rsid w:val="00471EFB"/>
    <w:rsid w:val="0047315C"/>
    <w:rsid w:val="00474270"/>
    <w:rsid w:val="004749FF"/>
    <w:rsid w:val="00474E67"/>
    <w:rsid w:val="0047510C"/>
    <w:rsid w:val="00475C32"/>
    <w:rsid w:val="0047636E"/>
    <w:rsid w:val="00477BE9"/>
    <w:rsid w:val="004801AE"/>
    <w:rsid w:val="00480773"/>
    <w:rsid w:val="00480ADD"/>
    <w:rsid w:val="00481343"/>
    <w:rsid w:val="00482ABB"/>
    <w:rsid w:val="0048383B"/>
    <w:rsid w:val="00483FBF"/>
    <w:rsid w:val="004855F9"/>
    <w:rsid w:val="00485C02"/>
    <w:rsid w:val="00485F9B"/>
    <w:rsid w:val="00486D54"/>
    <w:rsid w:val="004875EC"/>
    <w:rsid w:val="00491C14"/>
    <w:rsid w:val="00492030"/>
    <w:rsid w:val="00492E1F"/>
    <w:rsid w:val="00492E66"/>
    <w:rsid w:val="004937E5"/>
    <w:rsid w:val="0049408D"/>
    <w:rsid w:val="0049492C"/>
    <w:rsid w:val="00494CF9"/>
    <w:rsid w:val="0049692A"/>
    <w:rsid w:val="004A0406"/>
    <w:rsid w:val="004A1709"/>
    <w:rsid w:val="004A1F91"/>
    <w:rsid w:val="004A29D4"/>
    <w:rsid w:val="004A2F03"/>
    <w:rsid w:val="004A2F39"/>
    <w:rsid w:val="004A3AE0"/>
    <w:rsid w:val="004B01D8"/>
    <w:rsid w:val="004B0A52"/>
    <w:rsid w:val="004B10BB"/>
    <w:rsid w:val="004B1B54"/>
    <w:rsid w:val="004B2089"/>
    <w:rsid w:val="004B27F6"/>
    <w:rsid w:val="004B3228"/>
    <w:rsid w:val="004B662F"/>
    <w:rsid w:val="004B6D6A"/>
    <w:rsid w:val="004C0924"/>
    <w:rsid w:val="004C1855"/>
    <w:rsid w:val="004C19C0"/>
    <w:rsid w:val="004C2794"/>
    <w:rsid w:val="004C28AD"/>
    <w:rsid w:val="004C3790"/>
    <w:rsid w:val="004C3904"/>
    <w:rsid w:val="004C4785"/>
    <w:rsid w:val="004C530B"/>
    <w:rsid w:val="004C541E"/>
    <w:rsid w:val="004C5ED3"/>
    <w:rsid w:val="004C7180"/>
    <w:rsid w:val="004D075D"/>
    <w:rsid w:val="004D207E"/>
    <w:rsid w:val="004D25DC"/>
    <w:rsid w:val="004D4879"/>
    <w:rsid w:val="004D4961"/>
    <w:rsid w:val="004D4AF4"/>
    <w:rsid w:val="004D4DFF"/>
    <w:rsid w:val="004D4E3A"/>
    <w:rsid w:val="004D5C0D"/>
    <w:rsid w:val="004D635F"/>
    <w:rsid w:val="004D71C8"/>
    <w:rsid w:val="004D7267"/>
    <w:rsid w:val="004D744C"/>
    <w:rsid w:val="004D7CCD"/>
    <w:rsid w:val="004E0F06"/>
    <w:rsid w:val="004E17E0"/>
    <w:rsid w:val="004E2C12"/>
    <w:rsid w:val="004E3557"/>
    <w:rsid w:val="004E40B5"/>
    <w:rsid w:val="004E4545"/>
    <w:rsid w:val="004E663F"/>
    <w:rsid w:val="004E6697"/>
    <w:rsid w:val="004E7B26"/>
    <w:rsid w:val="004F02EC"/>
    <w:rsid w:val="004F13BF"/>
    <w:rsid w:val="004F1870"/>
    <w:rsid w:val="004F33EE"/>
    <w:rsid w:val="004F3ADA"/>
    <w:rsid w:val="004F45A1"/>
    <w:rsid w:val="004F477D"/>
    <w:rsid w:val="004F5D56"/>
    <w:rsid w:val="004F6D68"/>
    <w:rsid w:val="00500000"/>
    <w:rsid w:val="00500AC6"/>
    <w:rsid w:val="005012CE"/>
    <w:rsid w:val="00501AEB"/>
    <w:rsid w:val="00501F01"/>
    <w:rsid w:val="00503125"/>
    <w:rsid w:val="00505821"/>
    <w:rsid w:val="00506E0E"/>
    <w:rsid w:val="005076EC"/>
    <w:rsid w:val="005104BE"/>
    <w:rsid w:val="005116DC"/>
    <w:rsid w:val="0051172E"/>
    <w:rsid w:val="00511B5C"/>
    <w:rsid w:val="00511BA7"/>
    <w:rsid w:val="00511E18"/>
    <w:rsid w:val="00511E39"/>
    <w:rsid w:val="0051298D"/>
    <w:rsid w:val="005132A1"/>
    <w:rsid w:val="00513330"/>
    <w:rsid w:val="00514126"/>
    <w:rsid w:val="005156E8"/>
    <w:rsid w:val="0051647D"/>
    <w:rsid w:val="005168C4"/>
    <w:rsid w:val="00516D8D"/>
    <w:rsid w:val="00521369"/>
    <w:rsid w:val="005217CC"/>
    <w:rsid w:val="0052214D"/>
    <w:rsid w:val="00522A97"/>
    <w:rsid w:val="00522DE1"/>
    <w:rsid w:val="00523D5F"/>
    <w:rsid w:val="00523F64"/>
    <w:rsid w:val="00524437"/>
    <w:rsid w:val="005248FA"/>
    <w:rsid w:val="005252CE"/>
    <w:rsid w:val="00525A1C"/>
    <w:rsid w:val="00525F09"/>
    <w:rsid w:val="0052629A"/>
    <w:rsid w:val="005279FD"/>
    <w:rsid w:val="0053017E"/>
    <w:rsid w:val="0053146A"/>
    <w:rsid w:val="00531809"/>
    <w:rsid w:val="00532391"/>
    <w:rsid w:val="005324A7"/>
    <w:rsid w:val="005328EC"/>
    <w:rsid w:val="00532B3B"/>
    <w:rsid w:val="00532D99"/>
    <w:rsid w:val="00533A72"/>
    <w:rsid w:val="005346B5"/>
    <w:rsid w:val="005350FA"/>
    <w:rsid w:val="00535422"/>
    <w:rsid w:val="005355BE"/>
    <w:rsid w:val="00536321"/>
    <w:rsid w:val="00536F9A"/>
    <w:rsid w:val="00537005"/>
    <w:rsid w:val="005376EE"/>
    <w:rsid w:val="00541608"/>
    <w:rsid w:val="00541682"/>
    <w:rsid w:val="0054393E"/>
    <w:rsid w:val="00544418"/>
    <w:rsid w:val="005445A6"/>
    <w:rsid w:val="005457E3"/>
    <w:rsid w:val="00545C08"/>
    <w:rsid w:val="00545C9B"/>
    <w:rsid w:val="005463BC"/>
    <w:rsid w:val="00546E26"/>
    <w:rsid w:val="00547723"/>
    <w:rsid w:val="00547B66"/>
    <w:rsid w:val="00551705"/>
    <w:rsid w:val="00553183"/>
    <w:rsid w:val="00553C1D"/>
    <w:rsid w:val="0055445D"/>
    <w:rsid w:val="0055466A"/>
    <w:rsid w:val="0055522E"/>
    <w:rsid w:val="00555B7A"/>
    <w:rsid w:val="0055791F"/>
    <w:rsid w:val="00557EE2"/>
    <w:rsid w:val="00557F9E"/>
    <w:rsid w:val="0056041A"/>
    <w:rsid w:val="00561E49"/>
    <w:rsid w:val="00562A1D"/>
    <w:rsid w:val="005670E6"/>
    <w:rsid w:val="00567CAD"/>
    <w:rsid w:val="00571BCF"/>
    <w:rsid w:val="005724B3"/>
    <w:rsid w:val="005727E1"/>
    <w:rsid w:val="005729F0"/>
    <w:rsid w:val="00573485"/>
    <w:rsid w:val="00574998"/>
    <w:rsid w:val="005755E8"/>
    <w:rsid w:val="00575B91"/>
    <w:rsid w:val="00575FB1"/>
    <w:rsid w:val="0057665B"/>
    <w:rsid w:val="005802CB"/>
    <w:rsid w:val="00580413"/>
    <w:rsid w:val="00583B63"/>
    <w:rsid w:val="00583CCC"/>
    <w:rsid w:val="005842DD"/>
    <w:rsid w:val="00584875"/>
    <w:rsid w:val="0058501A"/>
    <w:rsid w:val="005850B9"/>
    <w:rsid w:val="0058598E"/>
    <w:rsid w:val="00586144"/>
    <w:rsid w:val="00586E63"/>
    <w:rsid w:val="005875A7"/>
    <w:rsid w:val="005900E5"/>
    <w:rsid w:val="0059037D"/>
    <w:rsid w:val="00591BE9"/>
    <w:rsid w:val="00593499"/>
    <w:rsid w:val="00594B61"/>
    <w:rsid w:val="00596518"/>
    <w:rsid w:val="0059653D"/>
    <w:rsid w:val="00596F87"/>
    <w:rsid w:val="00597332"/>
    <w:rsid w:val="00597680"/>
    <w:rsid w:val="005977C8"/>
    <w:rsid w:val="00597E37"/>
    <w:rsid w:val="005A09E4"/>
    <w:rsid w:val="005A0CA5"/>
    <w:rsid w:val="005A1563"/>
    <w:rsid w:val="005A18EF"/>
    <w:rsid w:val="005A1D23"/>
    <w:rsid w:val="005A231D"/>
    <w:rsid w:val="005A23A8"/>
    <w:rsid w:val="005A28AD"/>
    <w:rsid w:val="005A310A"/>
    <w:rsid w:val="005A40A7"/>
    <w:rsid w:val="005A46E8"/>
    <w:rsid w:val="005A7179"/>
    <w:rsid w:val="005A74A6"/>
    <w:rsid w:val="005A7E4B"/>
    <w:rsid w:val="005B106D"/>
    <w:rsid w:val="005B1E07"/>
    <w:rsid w:val="005B2085"/>
    <w:rsid w:val="005B24BD"/>
    <w:rsid w:val="005B2960"/>
    <w:rsid w:val="005B30CE"/>
    <w:rsid w:val="005B5381"/>
    <w:rsid w:val="005B6431"/>
    <w:rsid w:val="005C076D"/>
    <w:rsid w:val="005C153B"/>
    <w:rsid w:val="005C327D"/>
    <w:rsid w:val="005C4D1D"/>
    <w:rsid w:val="005C51FB"/>
    <w:rsid w:val="005C54F3"/>
    <w:rsid w:val="005C56F0"/>
    <w:rsid w:val="005C5BE4"/>
    <w:rsid w:val="005C66F2"/>
    <w:rsid w:val="005D133B"/>
    <w:rsid w:val="005D17E4"/>
    <w:rsid w:val="005D2066"/>
    <w:rsid w:val="005D2673"/>
    <w:rsid w:val="005D37AD"/>
    <w:rsid w:val="005D389E"/>
    <w:rsid w:val="005D5963"/>
    <w:rsid w:val="005D640B"/>
    <w:rsid w:val="005D7F6A"/>
    <w:rsid w:val="005E092D"/>
    <w:rsid w:val="005E12A8"/>
    <w:rsid w:val="005E1461"/>
    <w:rsid w:val="005E18D0"/>
    <w:rsid w:val="005E2598"/>
    <w:rsid w:val="005E288A"/>
    <w:rsid w:val="005E3535"/>
    <w:rsid w:val="005E38BD"/>
    <w:rsid w:val="005E395D"/>
    <w:rsid w:val="005E3D58"/>
    <w:rsid w:val="005E3DE9"/>
    <w:rsid w:val="005E5781"/>
    <w:rsid w:val="005E5F17"/>
    <w:rsid w:val="005E6FDD"/>
    <w:rsid w:val="005F06ED"/>
    <w:rsid w:val="005F0BB5"/>
    <w:rsid w:val="005F1A17"/>
    <w:rsid w:val="005F1DB9"/>
    <w:rsid w:val="005F2B57"/>
    <w:rsid w:val="005F2EF8"/>
    <w:rsid w:val="005F3160"/>
    <w:rsid w:val="005F3376"/>
    <w:rsid w:val="005F3676"/>
    <w:rsid w:val="005F37BB"/>
    <w:rsid w:val="005F380F"/>
    <w:rsid w:val="005F4D19"/>
    <w:rsid w:val="005F5149"/>
    <w:rsid w:val="005F539D"/>
    <w:rsid w:val="005F5D83"/>
    <w:rsid w:val="00601569"/>
    <w:rsid w:val="00601CEF"/>
    <w:rsid w:val="00602A1B"/>
    <w:rsid w:val="00602A4D"/>
    <w:rsid w:val="00602F9F"/>
    <w:rsid w:val="0060386B"/>
    <w:rsid w:val="00603E00"/>
    <w:rsid w:val="0060430C"/>
    <w:rsid w:val="00604F23"/>
    <w:rsid w:val="00605B64"/>
    <w:rsid w:val="00606006"/>
    <w:rsid w:val="00606126"/>
    <w:rsid w:val="0060656F"/>
    <w:rsid w:val="00607397"/>
    <w:rsid w:val="00610011"/>
    <w:rsid w:val="00610860"/>
    <w:rsid w:val="006108A1"/>
    <w:rsid w:val="00610A82"/>
    <w:rsid w:val="00612F09"/>
    <w:rsid w:val="00613856"/>
    <w:rsid w:val="00614D73"/>
    <w:rsid w:val="0061611E"/>
    <w:rsid w:val="00616EA2"/>
    <w:rsid w:val="0062080F"/>
    <w:rsid w:val="00620AD0"/>
    <w:rsid w:val="00620B71"/>
    <w:rsid w:val="00621484"/>
    <w:rsid w:val="00621CA9"/>
    <w:rsid w:val="00622130"/>
    <w:rsid w:val="00623413"/>
    <w:rsid w:val="00624320"/>
    <w:rsid w:val="00624820"/>
    <w:rsid w:val="00624B97"/>
    <w:rsid w:val="006259F0"/>
    <w:rsid w:val="0062654B"/>
    <w:rsid w:val="00626E28"/>
    <w:rsid w:val="00626F68"/>
    <w:rsid w:val="00630F84"/>
    <w:rsid w:val="00631E03"/>
    <w:rsid w:val="00632715"/>
    <w:rsid w:val="00633665"/>
    <w:rsid w:val="006366FA"/>
    <w:rsid w:val="00637342"/>
    <w:rsid w:val="00641B47"/>
    <w:rsid w:val="00641B67"/>
    <w:rsid w:val="00641C53"/>
    <w:rsid w:val="006422F1"/>
    <w:rsid w:val="0064274B"/>
    <w:rsid w:val="006432B0"/>
    <w:rsid w:val="006440C5"/>
    <w:rsid w:val="00644329"/>
    <w:rsid w:val="006454CA"/>
    <w:rsid w:val="00645C81"/>
    <w:rsid w:val="006460F2"/>
    <w:rsid w:val="00646844"/>
    <w:rsid w:val="0064687B"/>
    <w:rsid w:val="00650605"/>
    <w:rsid w:val="006508BC"/>
    <w:rsid w:val="00650F6A"/>
    <w:rsid w:val="006511FD"/>
    <w:rsid w:val="00651713"/>
    <w:rsid w:val="00651FEC"/>
    <w:rsid w:val="00653F78"/>
    <w:rsid w:val="006548D2"/>
    <w:rsid w:val="00655FC5"/>
    <w:rsid w:val="0065716A"/>
    <w:rsid w:val="0065749F"/>
    <w:rsid w:val="00662309"/>
    <w:rsid w:val="006626E7"/>
    <w:rsid w:val="00662793"/>
    <w:rsid w:val="00662D0B"/>
    <w:rsid w:val="0066558B"/>
    <w:rsid w:val="006656CB"/>
    <w:rsid w:val="00665F65"/>
    <w:rsid w:val="006661AD"/>
    <w:rsid w:val="006665BE"/>
    <w:rsid w:val="00666A0D"/>
    <w:rsid w:val="00666D3F"/>
    <w:rsid w:val="0066798A"/>
    <w:rsid w:val="00667D1C"/>
    <w:rsid w:val="00667D6C"/>
    <w:rsid w:val="00670D3B"/>
    <w:rsid w:val="00672398"/>
    <w:rsid w:val="00672FE3"/>
    <w:rsid w:val="00674329"/>
    <w:rsid w:val="00674B02"/>
    <w:rsid w:val="00674F29"/>
    <w:rsid w:val="00674FD6"/>
    <w:rsid w:val="0067541A"/>
    <w:rsid w:val="006757B5"/>
    <w:rsid w:val="00675DC4"/>
    <w:rsid w:val="006778FA"/>
    <w:rsid w:val="006800F4"/>
    <w:rsid w:val="0068030A"/>
    <w:rsid w:val="00680F6A"/>
    <w:rsid w:val="0068226A"/>
    <w:rsid w:val="00682B4E"/>
    <w:rsid w:val="00682C49"/>
    <w:rsid w:val="006841DD"/>
    <w:rsid w:val="00684737"/>
    <w:rsid w:val="00684CC0"/>
    <w:rsid w:val="00685B0F"/>
    <w:rsid w:val="00687C42"/>
    <w:rsid w:val="006902DB"/>
    <w:rsid w:val="00690953"/>
    <w:rsid w:val="00690C72"/>
    <w:rsid w:val="00691513"/>
    <w:rsid w:val="006915B0"/>
    <w:rsid w:val="00691774"/>
    <w:rsid w:val="00692682"/>
    <w:rsid w:val="006929DF"/>
    <w:rsid w:val="00692EA2"/>
    <w:rsid w:val="00693A4F"/>
    <w:rsid w:val="00693F89"/>
    <w:rsid w:val="00694F32"/>
    <w:rsid w:val="00695474"/>
    <w:rsid w:val="0069655D"/>
    <w:rsid w:val="006970EA"/>
    <w:rsid w:val="00697E69"/>
    <w:rsid w:val="006A158A"/>
    <w:rsid w:val="006A15A0"/>
    <w:rsid w:val="006A2B08"/>
    <w:rsid w:val="006A3B00"/>
    <w:rsid w:val="006A3F3E"/>
    <w:rsid w:val="006A48F6"/>
    <w:rsid w:val="006A4BDC"/>
    <w:rsid w:val="006A4CA9"/>
    <w:rsid w:val="006A5378"/>
    <w:rsid w:val="006A553C"/>
    <w:rsid w:val="006A59E0"/>
    <w:rsid w:val="006A6657"/>
    <w:rsid w:val="006A6AA5"/>
    <w:rsid w:val="006A6E0F"/>
    <w:rsid w:val="006A700E"/>
    <w:rsid w:val="006A7F6E"/>
    <w:rsid w:val="006B16EA"/>
    <w:rsid w:val="006B194B"/>
    <w:rsid w:val="006B1C8B"/>
    <w:rsid w:val="006B1F1B"/>
    <w:rsid w:val="006B2765"/>
    <w:rsid w:val="006B2A66"/>
    <w:rsid w:val="006B304E"/>
    <w:rsid w:val="006B317C"/>
    <w:rsid w:val="006B350B"/>
    <w:rsid w:val="006B364F"/>
    <w:rsid w:val="006B4344"/>
    <w:rsid w:val="006B44A5"/>
    <w:rsid w:val="006B4940"/>
    <w:rsid w:val="006B4F15"/>
    <w:rsid w:val="006B516E"/>
    <w:rsid w:val="006B592C"/>
    <w:rsid w:val="006B660F"/>
    <w:rsid w:val="006B6C90"/>
    <w:rsid w:val="006B6CD5"/>
    <w:rsid w:val="006B703E"/>
    <w:rsid w:val="006B70CB"/>
    <w:rsid w:val="006B7118"/>
    <w:rsid w:val="006B742A"/>
    <w:rsid w:val="006B7612"/>
    <w:rsid w:val="006B7923"/>
    <w:rsid w:val="006C007E"/>
    <w:rsid w:val="006C034E"/>
    <w:rsid w:val="006C0C03"/>
    <w:rsid w:val="006C0C6D"/>
    <w:rsid w:val="006C0F44"/>
    <w:rsid w:val="006C189C"/>
    <w:rsid w:val="006C2D62"/>
    <w:rsid w:val="006C3029"/>
    <w:rsid w:val="006C3340"/>
    <w:rsid w:val="006C3546"/>
    <w:rsid w:val="006C3FBE"/>
    <w:rsid w:val="006C412A"/>
    <w:rsid w:val="006C4DDB"/>
    <w:rsid w:val="006C53BD"/>
    <w:rsid w:val="006C5B01"/>
    <w:rsid w:val="006C6CAE"/>
    <w:rsid w:val="006C7A11"/>
    <w:rsid w:val="006C7E0F"/>
    <w:rsid w:val="006D1176"/>
    <w:rsid w:val="006D2286"/>
    <w:rsid w:val="006D24AA"/>
    <w:rsid w:val="006D2639"/>
    <w:rsid w:val="006D2C13"/>
    <w:rsid w:val="006D4680"/>
    <w:rsid w:val="006D546B"/>
    <w:rsid w:val="006D56AB"/>
    <w:rsid w:val="006D5C77"/>
    <w:rsid w:val="006D6313"/>
    <w:rsid w:val="006D701A"/>
    <w:rsid w:val="006D752D"/>
    <w:rsid w:val="006D7E27"/>
    <w:rsid w:val="006E094D"/>
    <w:rsid w:val="006E19C0"/>
    <w:rsid w:val="006E1F4B"/>
    <w:rsid w:val="006E2780"/>
    <w:rsid w:val="006E288B"/>
    <w:rsid w:val="006E2B8D"/>
    <w:rsid w:val="006E3226"/>
    <w:rsid w:val="006E4C7A"/>
    <w:rsid w:val="006E4E5C"/>
    <w:rsid w:val="006E6147"/>
    <w:rsid w:val="006E6868"/>
    <w:rsid w:val="006E6DEE"/>
    <w:rsid w:val="006E7056"/>
    <w:rsid w:val="006E73DA"/>
    <w:rsid w:val="006E7925"/>
    <w:rsid w:val="006F01C2"/>
    <w:rsid w:val="006F1564"/>
    <w:rsid w:val="006F20DD"/>
    <w:rsid w:val="006F2588"/>
    <w:rsid w:val="006F2838"/>
    <w:rsid w:val="006F2D64"/>
    <w:rsid w:val="006F4302"/>
    <w:rsid w:val="006F4815"/>
    <w:rsid w:val="006F4DAF"/>
    <w:rsid w:val="006F51D9"/>
    <w:rsid w:val="006F6B4F"/>
    <w:rsid w:val="006F7340"/>
    <w:rsid w:val="006F7F4B"/>
    <w:rsid w:val="00701108"/>
    <w:rsid w:val="0070180D"/>
    <w:rsid w:val="00704ECF"/>
    <w:rsid w:val="00705357"/>
    <w:rsid w:val="007100EB"/>
    <w:rsid w:val="00710C10"/>
    <w:rsid w:val="00711B8A"/>
    <w:rsid w:val="007126E6"/>
    <w:rsid w:val="00713165"/>
    <w:rsid w:val="0071330A"/>
    <w:rsid w:val="00713345"/>
    <w:rsid w:val="00714DD8"/>
    <w:rsid w:val="00715074"/>
    <w:rsid w:val="007210E5"/>
    <w:rsid w:val="00721DDB"/>
    <w:rsid w:val="00721ECA"/>
    <w:rsid w:val="00721ED1"/>
    <w:rsid w:val="007235CD"/>
    <w:rsid w:val="007240D9"/>
    <w:rsid w:val="0072421E"/>
    <w:rsid w:val="00724A61"/>
    <w:rsid w:val="00725DB9"/>
    <w:rsid w:val="00725E05"/>
    <w:rsid w:val="00726527"/>
    <w:rsid w:val="007302DB"/>
    <w:rsid w:val="00730643"/>
    <w:rsid w:val="00731B6E"/>
    <w:rsid w:val="0073392F"/>
    <w:rsid w:val="007342DE"/>
    <w:rsid w:val="0073490D"/>
    <w:rsid w:val="007349D7"/>
    <w:rsid w:val="007358C0"/>
    <w:rsid w:val="00735B73"/>
    <w:rsid w:val="00736CC0"/>
    <w:rsid w:val="00737354"/>
    <w:rsid w:val="0073768D"/>
    <w:rsid w:val="00741B3C"/>
    <w:rsid w:val="00742357"/>
    <w:rsid w:val="0074295C"/>
    <w:rsid w:val="00742DD5"/>
    <w:rsid w:val="00742EB0"/>
    <w:rsid w:val="0074397F"/>
    <w:rsid w:val="00743BBB"/>
    <w:rsid w:val="00743F59"/>
    <w:rsid w:val="00745C5B"/>
    <w:rsid w:val="00745D49"/>
    <w:rsid w:val="0074627E"/>
    <w:rsid w:val="00747152"/>
    <w:rsid w:val="00747D4F"/>
    <w:rsid w:val="0075037D"/>
    <w:rsid w:val="007516D0"/>
    <w:rsid w:val="007527D8"/>
    <w:rsid w:val="00752A99"/>
    <w:rsid w:val="00752AFD"/>
    <w:rsid w:val="0075327D"/>
    <w:rsid w:val="00754B5E"/>
    <w:rsid w:val="00755041"/>
    <w:rsid w:val="0075546A"/>
    <w:rsid w:val="007555D3"/>
    <w:rsid w:val="00756402"/>
    <w:rsid w:val="00756793"/>
    <w:rsid w:val="00756B7E"/>
    <w:rsid w:val="00756FEF"/>
    <w:rsid w:val="00757812"/>
    <w:rsid w:val="00760997"/>
    <w:rsid w:val="00760A18"/>
    <w:rsid w:val="0076127F"/>
    <w:rsid w:val="0076143F"/>
    <w:rsid w:val="00762347"/>
    <w:rsid w:val="0076319D"/>
    <w:rsid w:val="007664F7"/>
    <w:rsid w:val="00766904"/>
    <w:rsid w:val="00766B58"/>
    <w:rsid w:val="00766B9C"/>
    <w:rsid w:val="007670D8"/>
    <w:rsid w:val="007675CD"/>
    <w:rsid w:val="00770AD4"/>
    <w:rsid w:val="00770C25"/>
    <w:rsid w:val="007717A7"/>
    <w:rsid w:val="007719AD"/>
    <w:rsid w:val="00771FCF"/>
    <w:rsid w:val="0077208E"/>
    <w:rsid w:val="00772399"/>
    <w:rsid w:val="0077250C"/>
    <w:rsid w:val="00772595"/>
    <w:rsid w:val="00773557"/>
    <w:rsid w:val="007736D1"/>
    <w:rsid w:val="00773F92"/>
    <w:rsid w:val="0077517F"/>
    <w:rsid w:val="00775A4B"/>
    <w:rsid w:val="0077689E"/>
    <w:rsid w:val="00777089"/>
    <w:rsid w:val="00777168"/>
    <w:rsid w:val="00777BFB"/>
    <w:rsid w:val="00777C79"/>
    <w:rsid w:val="00780AF0"/>
    <w:rsid w:val="00780CB9"/>
    <w:rsid w:val="00780D2E"/>
    <w:rsid w:val="00781A61"/>
    <w:rsid w:val="00782A69"/>
    <w:rsid w:val="00783306"/>
    <w:rsid w:val="00783423"/>
    <w:rsid w:val="00784034"/>
    <w:rsid w:val="00784204"/>
    <w:rsid w:val="007853EB"/>
    <w:rsid w:val="007877CC"/>
    <w:rsid w:val="00787A0F"/>
    <w:rsid w:val="007905CF"/>
    <w:rsid w:val="00790681"/>
    <w:rsid w:val="007911FF"/>
    <w:rsid w:val="00792389"/>
    <w:rsid w:val="00792E6B"/>
    <w:rsid w:val="00792E83"/>
    <w:rsid w:val="00793CFE"/>
    <w:rsid w:val="00793EE6"/>
    <w:rsid w:val="00794140"/>
    <w:rsid w:val="00794812"/>
    <w:rsid w:val="00794EA6"/>
    <w:rsid w:val="0079794E"/>
    <w:rsid w:val="00797DA9"/>
    <w:rsid w:val="007A00FE"/>
    <w:rsid w:val="007A109C"/>
    <w:rsid w:val="007A1A0A"/>
    <w:rsid w:val="007A1B97"/>
    <w:rsid w:val="007A259C"/>
    <w:rsid w:val="007A3EDF"/>
    <w:rsid w:val="007A51E6"/>
    <w:rsid w:val="007A5D9F"/>
    <w:rsid w:val="007B071B"/>
    <w:rsid w:val="007B1BB9"/>
    <w:rsid w:val="007B1D70"/>
    <w:rsid w:val="007B226B"/>
    <w:rsid w:val="007B29EF"/>
    <w:rsid w:val="007B35B1"/>
    <w:rsid w:val="007B39BA"/>
    <w:rsid w:val="007B3C36"/>
    <w:rsid w:val="007B4689"/>
    <w:rsid w:val="007B4FA7"/>
    <w:rsid w:val="007B53EA"/>
    <w:rsid w:val="007B5554"/>
    <w:rsid w:val="007B6525"/>
    <w:rsid w:val="007B652F"/>
    <w:rsid w:val="007B702E"/>
    <w:rsid w:val="007B7320"/>
    <w:rsid w:val="007C00CA"/>
    <w:rsid w:val="007C25A4"/>
    <w:rsid w:val="007C3482"/>
    <w:rsid w:val="007C4193"/>
    <w:rsid w:val="007C4F5B"/>
    <w:rsid w:val="007C5DEC"/>
    <w:rsid w:val="007C68F2"/>
    <w:rsid w:val="007C6B0D"/>
    <w:rsid w:val="007C76C8"/>
    <w:rsid w:val="007C792C"/>
    <w:rsid w:val="007D06EE"/>
    <w:rsid w:val="007D0EA3"/>
    <w:rsid w:val="007D19AA"/>
    <w:rsid w:val="007D220C"/>
    <w:rsid w:val="007D3F8A"/>
    <w:rsid w:val="007D5151"/>
    <w:rsid w:val="007D5DEE"/>
    <w:rsid w:val="007D6288"/>
    <w:rsid w:val="007D73F7"/>
    <w:rsid w:val="007E0279"/>
    <w:rsid w:val="007E14E3"/>
    <w:rsid w:val="007E2139"/>
    <w:rsid w:val="007E25FA"/>
    <w:rsid w:val="007E4EAB"/>
    <w:rsid w:val="007E510A"/>
    <w:rsid w:val="007E6097"/>
    <w:rsid w:val="007E68E6"/>
    <w:rsid w:val="007E6C5F"/>
    <w:rsid w:val="007F0EFC"/>
    <w:rsid w:val="007F0F5B"/>
    <w:rsid w:val="007F16D5"/>
    <w:rsid w:val="007F17C0"/>
    <w:rsid w:val="007F3D22"/>
    <w:rsid w:val="007F47B5"/>
    <w:rsid w:val="007F48FD"/>
    <w:rsid w:val="007F55E4"/>
    <w:rsid w:val="007F5801"/>
    <w:rsid w:val="007F5AA4"/>
    <w:rsid w:val="007F5DB9"/>
    <w:rsid w:val="007F7AE5"/>
    <w:rsid w:val="007F7F59"/>
    <w:rsid w:val="00800E1F"/>
    <w:rsid w:val="00801118"/>
    <w:rsid w:val="0080229D"/>
    <w:rsid w:val="00803298"/>
    <w:rsid w:val="00803D1A"/>
    <w:rsid w:val="0080417E"/>
    <w:rsid w:val="008042E0"/>
    <w:rsid w:val="0080456F"/>
    <w:rsid w:val="00804CE9"/>
    <w:rsid w:val="00805784"/>
    <w:rsid w:val="00805D99"/>
    <w:rsid w:val="0080641D"/>
    <w:rsid w:val="008066D9"/>
    <w:rsid w:val="00806A18"/>
    <w:rsid w:val="00806EBE"/>
    <w:rsid w:val="0080761C"/>
    <w:rsid w:val="00807E35"/>
    <w:rsid w:val="008100D4"/>
    <w:rsid w:val="008105DF"/>
    <w:rsid w:val="008107EA"/>
    <w:rsid w:val="00810B9C"/>
    <w:rsid w:val="00810D9F"/>
    <w:rsid w:val="00810E75"/>
    <w:rsid w:val="00811614"/>
    <w:rsid w:val="008116A8"/>
    <w:rsid w:val="00811B46"/>
    <w:rsid w:val="00811BEC"/>
    <w:rsid w:val="00812357"/>
    <w:rsid w:val="0081296E"/>
    <w:rsid w:val="00814797"/>
    <w:rsid w:val="00817CF5"/>
    <w:rsid w:val="00820A0B"/>
    <w:rsid w:val="00821324"/>
    <w:rsid w:val="008214D9"/>
    <w:rsid w:val="008229A6"/>
    <w:rsid w:val="00823685"/>
    <w:rsid w:val="008236F1"/>
    <w:rsid w:val="0082392B"/>
    <w:rsid w:val="00825603"/>
    <w:rsid w:val="008260CB"/>
    <w:rsid w:val="008261CD"/>
    <w:rsid w:val="00826AFB"/>
    <w:rsid w:val="00827804"/>
    <w:rsid w:val="00830B97"/>
    <w:rsid w:val="00832285"/>
    <w:rsid w:val="00832ABA"/>
    <w:rsid w:val="008332A7"/>
    <w:rsid w:val="00834526"/>
    <w:rsid w:val="00835E8A"/>
    <w:rsid w:val="008367F4"/>
    <w:rsid w:val="008369BA"/>
    <w:rsid w:val="00840643"/>
    <w:rsid w:val="00840AFC"/>
    <w:rsid w:val="008412D0"/>
    <w:rsid w:val="0084194F"/>
    <w:rsid w:val="00841F18"/>
    <w:rsid w:val="00842BF1"/>
    <w:rsid w:val="0084518F"/>
    <w:rsid w:val="00845CA8"/>
    <w:rsid w:val="008460C1"/>
    <w:rsid w:val="00847B52"/>
    <w:rsid w:val="00850D6C"/>
    <w:rsid w:val="00852492"/>
    <w:rsid w:val="00852B5D"/>
    <w:rsid w:val="00853A4D"/>
    <w:rsid w:val="00853CD9"/>
    <w:rsid w:val="008548CE"/>
    <w:rsid w:val="008554F4"/>
    <w:rsid w:val="00857601"/>
    <w:rsid w:val="00857E8C"/>
    <w:rsid w:val="008604F9"/>
    <w:rsid w:val="008605C9"/>
    <w:rsid w:val="00860B93"/>
    <w:rsid w:val="00860D3D"/>
    <w:rsid w:val="00861BAD"/>
    <w:rsid w:val="00862D49"/>
    <w:rsid w:val="00862EF0"/>
    <w:rsid w:val="00864412"/>
    <w:rsid w:val="00864AB5"/>
    <w:rsid w:val="00864B86"/>
    <w:rsid w:val="00865138"/>
    <w:rsid w:val="008665EF"/>
    <w:rsid w:val="00867AE1"/>
    <w:rsid w:val="00867CFA"/>
    <w:rsid w:val="00867D5D"/>
    <w:rsid w:val="00870202"/>
    <w:rsid w:val="008702E6"/>
    <w:rsid w:val="00870706"/>
    <w:rsid w:val="00871E8C"/>
    <w:rsid w:val="00871F2D"/>
    <w:rsid w:val="00871F8E"/>
    <w:rsid w:val="00872A57"/>
    <w:rsid w:val="0087363D"/>
    <w:rsid w:val="0087431D"/>
    <w:rsid w:val="008747FC"/>
    <w:rsid w:val="0087665E"/>
    <w:rsid w:val="008770B0"/>
    <w:rsid w:val="00880084"/>
    <w:rsid w:val="008801EE"/>
    <w:rsid w:val="00880461"/>
    <w:rsid w:val="00881EB9"/>
    <w:rsid w:val="0088214D"/>
    <w:rsid w:val="0088248E"/>
    <w:rsid w:val="00882C3B"/>
    <w:rsid w:val="00883BE5"/>
    <w:rsid w:val="00883FDF"/>
    <w:rsid w:val="00885030"/>
    <w:rsid w:val="0088569D"/>
    <w:rsid w:val="00885871"/>
    <w:rsid w:val="008859E9"/>
    <w:rsid w:val="00885E36"/>
    <w:rsid w:val="00887651"/>
    <w:rsid w:val="008878E2"/>
    <w:rsid w:val="008937D6"/>
    <w:rsid w:val="008945CD"/>
    <w:rsid w:val="008953A0"/>
    <w:rsid w:val="0089553D"/>
    <w:rsid w:val="0089559B"/>
    <w:rsid w:val="008959D5"/>
    <w:rsid w:val="00895C1C"/>
    <w:rsid w:val="00896090"/>
    <w:rsid w:val="008969BD"/>
    <w:rsid w:val="00896DF2"/>
    <w:rsid w:val="00897112"/>
    <w:rsid w:val="008A15BA"/>
    <w:rsid w:val="008A1EA6"/>
    <w:rsid w:val="008A3199"/>
    <w:rsid w:val="008A39CD"/>
    <w:rsid w:val="008A4182"/>
    <w:rsid w:val="008A42FD"/>
    <w:rsid w:val="008A4C64"/>
    <w:rsid w:val="008A4CF0"/>
    <w:rsid w:val="008A4F25"/>
    <w:rsid w:val="008A5E43"/>
    <w:rsid w:val="008A6551"/>
    <w:rsid w:val="008A6A36"/>
    <w:rsid w:val="008A71F7"/>
    <w:rsid w:val="008A771E"/>
    <w:rsid w:val="008B099A"/>
    <w:rsid w:val="008B1C45"/>
    <w:rsid w:val="008B1E68"/>
    <w:rsid w:val="008B224B"/>
    <w:rsid w:val="008B22A7"/>
    <w:rsid w:val="008B22E5"/>
    <w:rsid w:val="008B3221"/>
    <w:rsid w:val="008B3DEE"/>
    <w:rsid w:val="008B3F09"/>
    <w:rsid w:val="008B43DD"/>
    <w:rsid w:val="008B43FE"/>
    <w:rsid w:val="008B478C"/>
    <w:rsid w:val="008B521B"/>
    <w:rsid w:val="008B57CB"/>
    <w:rsid w:val="008B5BB4"/>
    <w:rsid w:val="008B6043"/>
    <w:rsid w:val="008B63DF"/>
    <w:rsid w:val="008B72C3"/>
    <w:rsid w:val="008B73FD"/>
    <w:rsid w:val="008B7DCB"/>
    <w:rsid w:val="008C0796"/>
    <w:rsid w:val="008C1755"/>
    <w:rsid w:val="008C1823"/>
    <w:rsid w:val="008C245E"/>
    <w:rsid w:val="008C4252"/>
    <w:rsid w:val="008C4B63"/>
    <w:rsid w:val="008C5272"/>
    <w:rsid w:val="008C52C0"/>
    <w:rsid w:val="008C5D02"/>
    <w:rsid w:val="008C5E4C"/>
    <w:rsid w:val="008C6092"/>
    <w:rsid w:val="008C61DD"/>
    <w:rsid w:val="008C666B"/>
    <w:rsid w:val="008C681A"/>
    <w:rsid w:val="008C6A4E"/>
    <w:rsid w:val="008C6B66"/>
    <w:rsid w:val="008C7DDC"/>
    <w:rsid w:val="008C7F9D"/>
    <w:rsid w:val="008D0939"/>
    <w:rsid w:val="008D0F34"/>
    <w:rsid w:val="008D2636"/>
    <w:rsid w:val="008D33FF"/>
    <w:rsid w:val="008D365D"/>
    <w:rsid w:val="008D3E55"/>
    <w:rsid w:val="008D4377"/>
    <w:rsid w:val="008D4798"/>
    <w:rsid w:val="008D496B"/>
    <w:rsid w:val="008D4E99"/>
    <w:rsid w:val="008D54D8"/>
    <w:rsid w:val="008D54E5"/>
    <w:rsid w:val="008D58C8"/>
    <w:rsid w:val="008D6BA9"/>
    <w:rsid w:val="008D6F62"/>
    <w:rsid w:val="008D77DF"/>
    <w:rsid w:val="008D7EEE"/>
    <w:rsid w:val="008E0685"/>
    <w:rsid w:val="008E0DD2"/>
    <w:rsid w:val="008E1F6D"/>
    <w:rsid w:val="008E238A"/>
    <w:rsid w:val="008E2B74"/>
    <w:rsid w:val="008E334E"/>
    <w:rsid w:val="008E35B6"/>
    <w:rsid w:val="008E3791"/>
    <w:rsid w:val="008E3941"/>
    <w:rsid w:val="008E39F3"/>
    <w:rsid w:val="008E4380"/>
    <w:rsid w:val="008E4B7C"/>
    <w:rsid w:val="008E5177"/>
    <w:rsid w:val="008E53AA"/>
    <w:rsid w:val="008E5840"/>
    <w:rsid w:val="008E5C2B"/>
    <w:rsid w:val="008E5DFD"/>
    <w:rsid w:val="008E64EC"/>
    <w:rsid w:val="008E750F"/>
    <w:rsid w:val="008E79E4"/>
    <w:rsid w:val="008F0B82"/>
    <w:rsid w:val="008F4303"/>
    <w:rsid w:val="008F49B8"/>
    <w:rsid w:val="008F6C46"/>
    <w:rsid w:val="008F7E94"/>
    <w:rsid w:val="00900A8B"/>
    <w:rsid w:val="0090141F"/>
    <w:rsid w:val="009016C9"/>
    <w:rsid w:val="00901E41"/>
    <w:rsid w:val="00902215"/>
    <w:rsid w:val="00903A3D"/>
    <w:rsid w:val="00903F02"/>
    <w:rsid w:val="00905897"/>
    <w:rsid w:val="00905899"/>
    <w:rsid w:val="00906282"/>
    <w:rsid w:val="0090683C"/>
    <w:rsid w:val="0090777D"/>
    <w:rsid w:val="009115EE"/>
    <w:rsid w:val="00911A26"/>
    <w:rsid w:val="00912631"/>
    <w:rsid w:val="00913B60"/>
    <w:rsid w:val="00914DF7"/>
    <w:rsid w:val="0091569E"/>
    <w:rsid w:val="00915D42"/>
    <w:rsid w:val="0091682C"/>
    <w:rsid w:val="00916CEA"/>
    <w:rsid w:val="00920452"/>
    <w:rsid w:val="00920927"/>
    <w:rsid w:val="00920987"/>
    <w:rsid w:val="00921344"/>
    <w:rsid w:val="0092175C"/>
    <w:rsid w:val="00921910"/>
    <w:rsid w:val="00921AC8"/>
    <w:rsid w:val="009244AC"/>
    <w:rsid w:val="0092507A"/>
    <w:rsid w:val="0092534D"/>
    <w:rsid w:val="00925508"/>
    <w:rsid w:val="009256CC"/>
    <w:rsid w:val="009265E5"/>
    <w:rsid w:val="00927110"/>
    <w:rsid w:val="00927193"/>
    <w:rsid w:val="00930023"/>
    <w:rsid w:val="009303D5"/>
    <w:rsid w:val="00930878"/>
    <w:rsid w:val="0093124A"/>
    <w:rsid w:val="00932F8C"/>
    <w:rsid w:val="00933B86"/>
    <w:rsid w:val="0093409B"/>
    <w:rsid w:val="00934432"/>
    <w:rsid w:val="009344C8"/>
    <w:rsid w:val="0093460F"/>
    <w:rsid w:val="00934642"/>
    <w:rsid w:val="009357A8"/>
    <w:rsid w:val="00935F27"/>
    <w:rsid w:val="00935F2E"/>
    <w:rsid w:val="00936310"/>
    <w:rsid w:val="0093760C"/>
    <w:rsid w:val="00937968"/>
    <w:rsid w:val="00941304"/>
    <w:rsid w:val="00941E28"/>
    <w:rsid w:val="00942573"/>
    <w:rsid w:val="00942817"/>
    <w:rsid w:val="00942AEA"/>
    <w:rsid w:val="00942B41"/>
    <w:rsid w:val="00943747"/>
    <w:rsid w:val="009443CB"/>
    <w:rsid w:val="00944E4A"/>
    <w:rsid w:val="00944EE2"/>
    <w:rsid w:val="00947193"/>
    <w:rsid w:val="00947875"/>
    <w:rsid w:val="00947960"/>
    <w:rsid w:val="00950DB9"/>
    <w:rsid w:val="0095273A"/>
    <w:rsid w:val="00952F69"/>
    <w:rsid w:val="009539E2"/>
    <w:rsid w:val="009548BA"/>
    <w:rsid w:val="00954AD0"/>
    <w:rsid w:val="00956302"/>
    <w:rsid w:val="00957A27"/>
    <w:rsid w:val="0096050F"/>
    <w:rsid w:val="009607B1"/>
    <w:rsid w:val="009628DA"/>
    <w:rsid w:val="00964058"/>
    <w:rsid w:val="0096414F"/>
    <w:rsid w:val="0096417C"/>
    <w:rsid w:val="009645F5"/>
    <w:rsid w:val="009651D9"/>
    <w:rsid w:val="0096652B"/>
    <w:rsid w:val="009676CE"/>
    <w:rsid w:val="009700C7"/>
    <w:rsid w:val="00970D84"/>
    <w:rsid w:val="00971434"/>
    <w:rsid w:val="00971489"/>
    <w:rsid w:val="009717CD"/>
    <w:rsid w:val="009736F9"/>
    <w:rsid w:val="009741D9"/>
    <w:rsid w:val="00974C9C"/>
    <w:rsid w:val="0097506E"/>
    <w:rsid w:val="00976907"/>
    <w:rsid w:val="0097702E"/>
    <w:rsid w:val="009778D8"/>
    <w:rsid w:val="00980782"/>
    <w:rsid w:val="009807DA"/>
    <w:rsid w:val="00980C61"/>
    <w:rsid w:val="00981CD5"/>
    <w:rsid w:val="0098249E"/>
    <w:rsid w:val="009828CC"/>
    <w:rsid w:val="00983E7A"/>
    <w:rsid w:val="00984C04"/>
    <w:rsid w:val="00984EC1"/>
    <w:rsid w:val="00986841"/>
    <w:rsid w:val="009875E2"/>
    <w:rsid w:val="00987812"/>
    <w:rsid w:val="009903AB"/>
    <w:rsid w:val="0099085D"/>
    <w:rsid w:val="00990BE8"/>
    <w:rsid w:val="00991336"/>
    <w:rsid w:val="0099220A"/>
    <w:rsid w:val="00992222"/>
    <w:rsid w:val="00992C42"/>
    <w:rsid w:val="00992E9A"/>
    <w:rsid w:val="0099578C"/>
    <w:rsid w:val="0099607D"/>
    <w:rsid w:val="009970C7"/>
    <w:rsid w:val="009A0261"/>
    <w:rsid w:val="009A164D"/>
    <w:rsid w:val="009A293E"/>
    <w:rsid w:val="009A3DDF"/>
    <w:rsid w:val="009A3E1B"/>
    <w:rsid w:val="009A53F1"/>
    <w:rsid w:val="009A57F4"/>
    <w:rsid w:val="009A5CC8"/>
    <w:rsid w:val="009A6012"/>
    <w:rsid w:val="009A628C"/>
    <w:rsid w:val="009A7968"/>
    <w:rsid w:val="009A79E1"/>
    <w:rsid w:val="009A7F7E"/>
    <w:rsid w:val="009B0D06"/>
    <w:rsid w:val="009B11AD"/>
    <w:rsid w:val="009B2227"/>
    <w:rsid w:val="009B261E"/>
    <w:rsid w:val="009B2FDB"/>
    <w:rsid w:val="009B3228"/>
    <w:rsid w:val="009B419D"/>
    <w:rsid w:val="009B46E9"/>
    <w:rsid w:val="009B4CBB"/>
    <w:rsid w:val="009B5144"/>
    <w:rsid w:val="009B51AB"/>
    <w:rsid w:val="009B5488"/>
    <w:rsid w:val="009B54A0"/>
    <w:rsid w:val="009B5FEA"/>
    <w:rsid w:val="009B688F"/>
    <w:rsid w:val="009B6C3B"/>
    <w:rsid w:val="009C09A3"/>
    <w:rsid w:val="009C1056"/>
    <w:rsid w:val="009C1342"/>
    <w:rsid w:val="009C1431"/>
    <w:rsid w:val="009C157C"/>
    <w:rsid w:val="009C169A"/>
    <w:rsid w:val="009C18FF"/>
    <w:rsid w:val="009C1DEC"/>
    <w:rsid w:val="009C2274"/>
    <w:rsid w:val="009C259C"/>
    <w:rsid w:val="009C28DB"/>
    <w:rsid w:val="009C3DFF"/>
    <w:rsid w:val="009C487B"/>
    <w:rsid w:val="009C4F00"/>
    <w:rsid w:val="009C5309"/>
    <w:rsid w:val="009C573C"/>
    <w:rsid w:val="009C5E44"/>
    <w:rsid w:val="009C6CB6"/>
    <w:rsid w:val="009C71F6"/>
    <w:rsid w:val="009C7525"/>
    <w:rsid w:val="009C7E1B"/>
    <w:rsid w:val="009D055C"/>
    <w:rsid w:val="009D1500"/>
    <w:rsid w:val="009D1C3C"/>
    <w:rsid w:val="009D2BDD"/>
    <w:rsid w:val="009D3041"/>
    <w:rsid w:val="009D3081"/>
    <w:rsid w:val="009D35F8"/>
    <w:rsid w:val="009D385A"/>
    <w:rsid w:val="009D3E83"/>
    <w:rsid w:val="009D7A69"/>
    <w:rsid w:val="009E030D"/>
    <w:rsid w:val="009E08E3"/>
    <w:rsid w:val="009E1692"/>
    <w:rsid w:val="009E23CE"/>
    <w:rsid w:val="009E2E2D"/>
    <w:rsid w:val="009E30C0"/>
    <w:rsid w:val="009E3C04"/>
    <w:rsid w:val="009E4204"/>
    <w:rsid w:val="009E4B65"/>
    <w:rsid w:val="009E4B9A"/>
    <w:rsid w:val="009E5442"/>
    <w:rsid w:val="009E57EF"/>
    <w:rsid w:val="009E7230"/>
    <w:rsid w:val="009E7CA6"/>
    <w:rsid w:val="009F120E"/>
    <w:rsid w:val="009F2296"/>
    <w:rsid w:val="009F2E2D"/>
    <w:rsid w:val="009F4DB0"/>
    <w:rsid w:val="009F4E3E"/>
    <w:rsid w:val="009F5EF1"/>
    <w:rsid w:val="009F65C2"/>
    <w:rsid w:val="009F6AAD"/>
    <w:rsid w:val="00A0037D"/>
    <w:rsid w:val="00A00427"/>
    <w:rsid w:val="00A0054A"/>
    <w:rsid w:val="00A017EB"/>
    <w:rsid w:val="00A01993"/>
    <w:rsid w:val="00A01E70"/>
    <w:rsid w:val="00A02A6A"/>
    <w:rsid w:val="00A031D3"/>
    <w:rsid w:val="00A03DDB"/>
    <w:rsid w:val="00A04DB0"/>
    <w:rsid w:val="00A05FAC"/>
    <w:rsid w:val="00A103F7"/>
    <w:rsid w:val="00A10BEE"/>
    <w:rsid w:val="00A1131A"/>
    <w:rsid w:val="00A1268D"/>
    <w:rsid w:val="00A13A3B"/>
    <w:rsid w:val="00A14D70"/>
    <w:rsid w:val="00A14DA9"/>
    <w:rsid w:val="00A15F58"/>
    <w:rsid w:val="00A169E1"/>
    <w:rsid w:val="00A16A08"/>
    <w:rsid w:val="00A17600"/>
    <w:rsid w:val="00A204C5"/>
    <w:rsid w:val="00A20F2E"/>
    <w:rsid w:val="00A221ED"/>
    <w:rsid w:val="00A22FB4"/>
    <w:rsid w:val="00A230A1"/>
    <w:rsid w:val="00A2363C"/>
    <w:rsid w:val="00A23B3D"/>
    <w:rsid w:val="00A23D23"/>
    <w:rsid w:val="00A2449D"/>
    <w:rsid w:val="00A24A7D"/>
    <w:rsid w:val="00A25ADB"/>
    <w:rsid w:val="00A26E52"/>
    <w:rsid w:val="00A26EE7"/>
    <w:rsid w:val="00A2787E"/>
    <w:rsid w:val="00A314AF"/>
    <w:rsid w:val="00A3240B"/>
    <w:rsid w:val="00A327BC"/>
    <w:rsid w:val="00A32A6B"/>
    <w:rsid w:val="00A32EAF"/>
    <w:rsid w:val="00A33AA0"/>
    <w:rsid w:val="00A33C5E"/>
    <w:rsid w:val="00A35300"/>
    <w:rsid w:val="00A35609"/>
    <w:rsid w:val="00A40F81"/>
    <w:rsid w:val="00A41639"/>
    <w:rsid w:val="00A41703"/>
    <w:rsid w:val="00A42BCE"/>
    <w:rsid w:val="00A439C0"/>
    <w:rsid w:val="00A43BED"/>
    <w:rsid w:val="00A448E0"/>
    <w:rsid w:val="00A4515A"/>
    <w:rsid w:val="00A46033"/>
    <w:rsid w:val="00A500E5"/>
    <w:rsid w:val="00A505AB"/>
    <w:rsid w:val="00A5093E"/>
    <w:rsid w:val="00A52E27"/>
    <w:rsid w:val="00A530BE"/>
    <w:rsid w:val="00A5363D"/>
    <w:rsid w:val="00A536A0"/>
    <w:rsid w:val="00A54585"/>
    <w:rsid w:val="00A54A57"/>
    <w:rsid w:val="00A54E90"/>
    <w:rsid w:val="00A55A1F"/>
    <w:rsid w:val="00A55C64"/>
    <w:rsid w:val="00A570A3"/>
    <w:rsid w:val="00A57B19"/>
    <w:rsid w:val="00A60BF4"/>
    <w:rsid w:val="00A61131"/>
    <w:rsid w:val="00A61B08"/>
    <w:rsid w:val="00A6242B"/>
    <w:rsid w:val="00A62791"/>
    <w:rsid w:val="00A62848"/>
    <w:rsid w:val="00A63423"/>
    <w:rsid w:val="00A6406A"/>
    <w:rsid w:val="00A6530A"/>
    <w:rsid w:val="00A65893"/>
    <w:rsid w:val="00A66468"/>
    <w:rsid w:val="00A66F3A"/>
    <w:rsid w:val="00A67C8A"/>
    <w:rsid w:val="00A701E7"/>
    <w:rsid w:val="00A70CA5"/>
    <w:rsid w:val="00A71A95"/>
    <w:rsid w:val="00A721DF"/>
    <w:rsid w:val="00A725C7"/>
    <w:rsid w:val="00A738E6"/>
    <w:rsid w:val="00A7438D"/>
    <w:rsid w:val="00A74D7F"/>
    <w:rsid w:val="00A751A0"/>
    <w:rsid w:val="00A7545B"/>
    <w:rsid w:val="00A75B50"/>
    <w:rsid w:val="00A766F3"/>
    <w:rsid w:val="00A77305"/>
    <w:rsid w:val="00A7739F"/>
    <w:rsid w:val="00A81766"/>
    <w:rsid w:val="00A81ED1"/>
    <w:rsid w:val="00A82645"/>
    <w:rsid w:val="00A83418"/>
    <w:rsid w:val="00A8352D"/>
    <w:rsid w:val="00A83BE3"/>
    <w:rsid w:val="00A83C21"/>
    <w:rsid w:val="00A83C5E"/>
    <w:rsid w:val="00A840D5"/>
    <w:rsid w:val="00A8447E"/>
    <w:rsid w:val="00A851A5"/>
    <w:rsid w:val="00A86AE0"/>
    <w:rsid w:val="00A87075"/>
    <w:rsid w:val="00A87568"/>
    <w:rsid w:val="00A90B67"/>
    <w:rsid w:val="00A9154D"/>
    <w:rsid w:val="00A91635"/>
    <w:rsid w:val="00A91D69"/>
    <w:rsid w:val="00A91F52"/>
    <w:rsid w:val="00A91FF8"/>
    <w:rsid w:val="00A92805"/>
    <w:rsid w:val="00A93F50"/>
    <w:rsid w:val="00A94294"/>
    <w:rsid w:val="00A9539E"/>
    <w:rsid w:val="00A95F44"/>
    <w:rsid w:val="00A979EB"/>
    <w:rsid w:val="00AA0E91"/>
    <w:rsid w:val="00AA1259"/>
    <w:rsid w:val="00AA15D2"/>
    <w:rsid w:val="00AA2D63"/>
    <w:rsid w:val="00AA2DDE"/>
    <w:rsid w:val="00AA3A25"/>
    <w:rsid w:val="00AA3D3C"/>
    <w:rsid w:val="00AA3FF7"/>
    <w:rsid w:val="00AA40C0"/>
    <w:rsid w:val="00AA5656"/>
    <w:rsid w:val="00AA5B66"/>
    <w:rsid w:val="00AA7596"/>
    <w:rsid w:val="00AA75B4"/>
    <w:rsid w:val="00AB0D57"/>
    <w:rsid w:val="00AB1122"/>
    <w:rsid w:val="00AB26A0"/>
    <w:rsid w:val="00AB26DF"/>
    <w:rsid w:val="00AB36DF"/>
    <w:rsid w:val="00AB4A27"/>
    <w:rsid w:val="00AB4C73"/>
    <w:rsid w:val="00AB4D84"/>
    <w:rsid w:val="00AB721C"/>
    <w:rsid w:val="00AB728A"/>
    <w:rsid w:val="00AB7791"/>
    <w:rsid w:val="00AB7C8F"/>
    <w:rsid w:val="00AC008E"/>
    <w:rsid w:val="00AC1DD9"/>
    <w:rsid w:val="00AC1F78"/>
    <w:rsid w:val="00AC20FB"/>
    <w:rsid w:val="00AC2537"/>
    <w:rsid w:val="00AC2E8D"/>
    <w:rsid w:val="00AC305B"/>
    <w:rsid w:val="00AC3E11"/>
    <w:rsid w:val="00AC52FD"/>
    <w:rsid w:val="00AD02E0"/>
    <w:rsid w:val="00AD05B4"/>
    <w:rsid w:val="00AD05E2"/>
    <w:rsid w:val="00AD09A5"/>
    <w:rsid w:val="00AD0BB7"/>
    <w:rsid w:val="00AD18AB"/>
    <w:rsid w:val="00AD1FB8"/>
    <w:rsid w:val="00AD27D7"/>
    <w:rsid w:val="00AD325E"/>
    <w:rsid w:val="00AD3972"/>
    <w:rsid w:val="00AD49FD"/>
    <w:rsid w:val="00AD59C0"/>
    <w:rsid w:val="00AD6470"/>
    <w:rsid w:val="00AD6815"/>
    <w:rsid w:val="00AD69FA"/>
    <w:rsid w:val="00AD6D55"/>
    <w:rsid w:val="00AE017B"/>
    <w:rsid w:val="00AE09CC"/>
    <w:rsid w:val="00AE3BB3"/>
    <w:rsid w:val="00AE4F43"/>
    <w:rsid w:val="00AE6054"/>
    <w:rsid w:val="00AE654E"/>
    <w:rsid w:val="00AE6E85"/>
    <w:rsid w:val="00AE735B"/>
    <w:rsid w:val="00AF0B11"/>
    <w:rsid w:val="00AF0B47"/>
    <w:rsid w:val="00AF1F8A"/>
    <w:rsid w:val="00AF2922"/>
    <w:rsid w:val="00AF306B"/>
    <w:rsid w:val="00AF34A1"/>
    <w:rsid w:val="00AF4A3A"/>
    <w:rsid w:val="00AF54E8"/>
    <w:rsid w:val="00AF5E0B"/>
    <w:rsid w:val="00AF5E18"/>
    <w:rsid w:val="00AF6E46"/>
    <w:rsid w:val="00B00894"/>
    <w:rsid w:val="00B01624"/>
    <w:rsid w:val="00B02822"/>
    <w:rsid w:val="00B03061"/>
    <w:rsid w:val="00B039E0"/>
    <w:rsid w:val="00B03D64"/>
    <w:rsid w:val="00B05B67"/>
    <w:rsid w:val="00B05EEC"/>
    <w:rsid w:val="00B0679E"/>
    <w:rsid w:val="00B0785F"/>
    <w:rsid w:val="00B079B9"/>
    <w:rsid w:val="00B108E8"/>
    <w:rsid w:val="00B10B33"/>
    <w:rsid w:val="00B10F25"/>
    <w:rsid w:val="00B11596"/>
    <w:rsid w:val="00B11D0E"/>
    <w:rsid w:val="00B12977"/>
    <w:rsid w:val="00B12E2B"/>
    <w:rsid w:val="00B13E1B"/>
    <w:rsid w:val="00B16AD1"/>
    <w:rsid w:val="00B20767"/>
    <w:rsid w:val="00B20887"/>
    <w:rsid w:val="00B20A3C"/>
    <w:rsid w:val="00B217BF"/>
    <w:rsid w:val="00B2191F"/>
    <w:rsid w:val="00B220A8"/>
    <w:rsid w:val="00B2229F"/>
    <w:rsid w:val="00B22B3B"/>
    <w:rsid w:val="00B23659"/>
    <w:rsid w:val="00B24FA9"/>
    <w:rsid w:val="00B25768"/>
    <w:rsid w:val="00B26840"/>
    <w:rsid w:val="00B279EC"/>
    <w:rsid w:val="00B30A3B"/>
    <w:rsid w:val="00B31046"/>
    <w:rsid w:val="00B31FB2"/>
    <w:rsid w:val="00B335B1"/>
    <w:rsid w:val="00B338A1"/>
    <w:rsid w:val="00B34C95"/>
    <w:rsid w:val="00B35DA9"/>
    <w:rsid w:val="00B35EA8"/>
    <w:rsid w:val="00B35FBA"/>
    <w:rsid w:val="00B3610E"/>
    <w:rsid w:val="00B373F9"/>
    <w:rsid w:val="00B37413"/>
    <w:rsid w:val="00B403C3"/>
    <w:rsid w:val="00B40895"/>
    <w:rsid w:val="00B41647"/>
    <w:rsid w:val="00B42633"/>
    <w:rsid w:val="00B43B0A"/>
    <w:rsid w:val="00B45971"/>
    <w:rsid w:val="00B4626D"/>
    <w:rsid w:val="00B4670B"/>
    <w:rsid w:val="00B468EC"/>
    <w:rsid w:val="00B47531"/>
    <w:rsid w:val="00B47F9E"/>
    <w:rsid w:val="00B51BCA"/>
    <w:rsid w:val="00B52294"/>
    <w:rsid w:val="00B52875"/>
    <w:rsid w:val="00B52DA4"/>
    <w:rsid w:val="00B53560"/>
    <w:rsid w:val="00B53F42"/>
    <w:rsid w:val="00B53FC5"/>
    <w:rsid w:val="00B55442"/>
    <w:rsid w:val="00B56E14"/>
    <w:rsid w:val="00B609DD"/>
    <w:rsid w:val="00B60D48"/>
    <w:rsid w:val="00B62903"/>
    <w:rsid w:val="00B62CB8"/>
    <w:rsid w:val="00B63212"/>
    <w:rsid w:val="00B63A2B"/>
    <w:rsid w:val="00B6444E"/>
    <w:rsid w:val="00B64ADF"/>
    <w:rsid w:val="00B64AFC"/>
    <w:rsid w:val="00B65082"/>
    <w:rsid w:val="00B65B1C"/>
    <w:rsid w:val="00B66537"/>
    <w:rsid w:val="00B66816"/>
    <w:rsid w:val="00B66C55"/>
    <w:rsid w:val="00B714DA"/>
    <w:rsid w:val="00B741BB"/>
    <w:rsid w:val="00B7508F"/>
    <w:rsid w:val="00B75A82"/>
    <w:rsid w:val="00B767C7"/>
    <w:rsid w:val="00B776E2"/>
    <w:rsid w:val="00B80353"/>
    <w:rsid w:val="00B80993"/>
    <w:rsid w:val="00B8099B"/>
    <w:rsid w:val="00B80A01"/>
    <w:rsid w:val="00B8151D"/>
    <w:rsid w:val="00B815C5"/>
    <w:rsid w:val="00B81AF1"/>
    <w:rsid w:val="00B81E11"/>
    <w:rsid w:val="00B81FBC"/>
    <w:rsid w:val="00B821F7"/>
    <w:rsid w:val="00B824E8"/>
    <w:rsid w:val="00B84D5D"/>
    <w:rsid w:val="00B84FE3"/>
    <w:rsid w:val="00B85842"/>
    <w:rsid w:val="00B8597E"/>
    <w:rsid w:val="00B864EC"/>
    <w:rsid w:val="00B87A69"/>
    <w:rsid w:val="00B90F7C"/>
    <w:rsid w:val="00B914E5"/>
    <w:rsid w:val="00B9282C"/>
    <w:rsid w:val="00B92FC0"/>
    <w:rsid w:val="00B936A9"/>
    <w:rsid w:val="00B93BC2"/>
    <w:rsid w:val="00B94FA2"/>
    <w:rsid w:val="00B9512F"/>
    <w:rsid w:val="00B9534D"/>
    <w:rsid w:val="00B95A7D"/>
    <w:rsid w:val="00B96066"/>
    <w:rsid w:val="00B96B90"/>
    <w:rsid w:val="00B96D3A"/>
    <w:rsid w:val="00B97C59"/>
    <w:rsid w:val="00B97D22"/>
    <w:rsid w:val="00BA0F97"/>
    <w:rsid w:val="00BA148D"/>
    <w:rsid w:val="00BA14E6"/>
    <w:rsid w:val="00BA2B4C"/>
    <w:rsid w:val="00BA3A67"/>
    <w:rsid w:val="00BA3BCB"/>
    <w:rsid w:val="00BA3D72"/>
    <w:rsid w:val="00BA4110"/>
    <w:rsid w:val="00BA4161"/>
    <w:rsid w:val="00BA4696"/>
    <w:rsid w:val="00BA482E"/>
    <w:rsid w:val="00BA4899"/>
    <w:rsid w:val="00BA4D2B"/>
    <w:rsid w:val="00BA5843"/>
    <w:rsid w:val="00BA620B"/>
    <w:rsid w:val="00BA62D6"/>
    <w:rsid w:val="00BA73AF"/>
    <w:rsid w:val="00BB1B3E"/>
    <w:rsid w:val="00BB2377"/>
    <w:rsid w:val="00BB259C"/>
    <w:rsid w:val="00BB39E7"/>
    <w:rsid w:val="00BB3A91"/>
    <w:rsid w:val="00BB507C"/>
    <w:rsid w:val="00BB52BF"/>
    <w:rsid w:val="00BB6299"/>
    <w:rsid w:val="00BB685D"/>
    <w:rsid w:val="00BB7070"/>
    <w:rsid w:val="00BB7512"/>
    <w:rsid w:val="00BC05A7"/>
    <w:rsid w:val="00BC061D"/>
    <w:rsid w:val="00BC08D5"/>
    <w:rsid w:val="00BC1D86"/>
    <w:rsid w:val="00BC29B9"/>
    <w:rsid w:val="00BC2D8D"/>
    <w:rsid w:val="00BC453C"/>
    <w:rsid w:val="00BC4EE3"/>
    <w:rsid w:val="00BC5758"/>
    <w:rsid w:val="00BC587E"/>
    <w:rsid w:val="00BC6078"/>
    <w:rsid w:val="00BC6098"/>
    <w:rsid w:val="00BC6959"/>
    <w:rsid w:val="00BC7285"/>
    <w:rsid w:val="00BC74F9"/>
    <w:rsid w:val="00BC7548"/>
    <w:rsid w:val="00BC77B8"/>
    <w:rsid w:val="00BD0E2D"/>
    <w:rsid w:val="00BD2296"/>
    <w:rsid w:val="00BD23D7"/>
    <w:rsid w:val="00BD2623"/>
    <w:rsid w:val="00BD2E10"/>
    <w:rsid w:val="00BD3617"/>
    <w:rsid w:val="00BD382F"/>
    <w:rsid w:val="00BD3933"/>
    <w:rsid w:val="00BD3B20"/>
    <w:rsid w:val="00BD3FA0"/>
    <w:rsid w:val="00BD6604"/>
    <w:rsid w:val="00BD6F80"/>
    <w:rsid w:val="00BD7D8D"/>
    <w:rsid w:val="00BE0935"/>
    <w:rsid w:val="00BE0FBF"/>
    <w:rsid w:val="00BE1D24"/>
    <w:rsid w:val="00BE390D"/>
    <w:rsid w:val="00BE3FC6"/>
    <w:rsid w:val="00BE402A"/>
    <w:rsid w:val="00BE4518"/>
    <w:rsid w:val="00BE4808"/>
    <w:rsid w:val="00BE4B57"/>
    <w:rsid w:val="00BE4BBD"/>
    <w:rsid w:val="00BE5607"/>
    <w:rsid w:val="00BE60CF"/>
    <w:rsid w:val="00BE72C3"/>
    <w:rsid w:val="00BE7DB6"/>
    <w:rsid w:val="00BF041B"/>
    <w:rsid w:val="00BF2BD8"/>
    <w:rsid w:val="00BF3AC8"/>
    <w:rsid w:val="00BF41C0"/>
    <w:rsid w:val="00BF4BB6"/>
    <w:rsid w:val="00BF4E7E"/>
    <w:rsid w:val="00BF550F"/>
    <w:rsid w:val="00BF5D6E"/>
    <w:rsid w:val="00BF65BF"/>
    <w:rsid w:val="00BF78A1"/>
    <w:rsid w:val="00C00570"/>
    <w:rsid w:val="00C01BA4"/>
    <w:rsid w:val="00C01FC4"/>
    <w:rsid w:val="00C022EC"/>
    <w:rsid w:val="00C030C7"/>
    <w:rsid w:val="00C03286"/>
    <w:rsid w:val="00C0335F"/>
    <w:rsid w:val="00C03581"/>
    <w:rsid w:val="00C0452D"/>
    <w:rsid w:val="00C04A64"/>
    <w:rsid w:val="00C0633E"/>
    <w:rsid w:val="00C063C7"/>
    <w:rsid w:val="00C0695E"/>
    <w:rsid w:val="00C07943"/>
    <w:rsid w:val="00C07C61"/>
    <w:rsid w:val="00C10224"/>
    <w:rsid w:val="00C11294"/>
    <w:rsid w:val="00C1135F"/>
    <w:rsid w:val="00C115FF"/>
    <w:rsid w:val="00C11F8E"/>
    <w:rsid w:val="00C12176"/>
    <w:rsid w:val="00C12277"/>
    <w:rsid w:val="00C123CF"/>
    <w:rsid w:val="00C1333F"/>
    <w:rsid w:val="00C13957"/>
    <w:rsid w:val="00C139B8"/>
    <w:rsid w:val="00C1421E"/>
    <w:rsid w:val="00C15754"/>
    <w:rsid w:val="00C16AAC"/>
    <w:rsid w:val="00C17549"/>
    <w:rsid w:val="00C201AF"/>
    <w:rsid w:val="00C20277"/>
    <w:rsid w:val="00C2051F"/>
    <w:rsid w:val="00C2132F"/>
    <w:rsid w:val="00C21FB8"/>
    <w:rsid w:val="00C223E4"/>
    <w:rsid w:val="00C23028"/>
    <w:rsid w:val="00C2319B"/>
    <w:rsid w:val="00C2363A"/>
    <w:rsid w:val="00C23E1E"/>
    <w:rsid w:val="00C2448D"/>
    <w:rsid w:val="00C25789"/>
    <w:rsid w:val="00C25C03"/>
    <w:rsid w:val="00C25D32"/>
    <w:rsid w:val="00C268B2"/>
    <w:rsid w:val="00C27F0F"/>
    <w:rsid w:val="00C3031C"/>
    <w:rsid w:val="00C3217D"/>
    <w:rsid w:val="00C324F8"/>
    <w:rsid w:val="00C32E08"/>
    <w:rsid w:val="00C32E58"/>
    <w:rsid w:val="00C346D3"/>
    <w:rsid w:val="00C34C5B"/>
    <w:rsid w:val="00C35120"/>
    <w:rsid w:val="00C35A35"/>
    <w:rsid w:val="00C36336"/>
    <w:rsid w:val="00C36BAB"/>
    <w:rsid w:val="00C37303"/>
    <w:rsid w:val="00C3752C"/>
    <w:rsid w:val="00C37B4D"/>
    <w:rsid w:val="00C401E5"/>
    <w:rsid w:val="00C42244"/>
    <w:rsid w:val="00C43217"/>
    <w:rsid w:val="00C4335C"/>
    <w:rsid w:val="00C43B5D"/>
    <w:rsid w:val="00C441FC"/>
    <w:rsid w:val="00C46DC6"/>
    <w:rsid w:val="00C505D8"/>
    <w:rsid w:val="00C50C18"/>
    <w:rsid w:val="00C52637"/>
    <w:rsid w:val="00C52EDA"/>
    <w:rsid w:val="00C54462"/>
    <w:rsid w:val="00C55AF8"/>
    <w:rsid w:val="00C55BF1"/>
    <w:rsid w:val="00C56582"/>
    <w:rsid w:val="00C567C0"/>
    <w:rsid w:val="00C570BC"/>
    <w:rsid w:val="00C603ED"/>
    <w:rsid w:val="00C61F37"/>
    <w:rsid w:val="00C6223B"/>
    <w:rsid w:val="00C62E94"/>
    <w:rsid w:val="00C63463"/>
    <w:rsid w:val="00C639EC"/>
    <w:rsid w:val="00C63CD0"/>
    <w:rsid w:val="00C65129"/>
    <w:rsid w:val="00C65400"/>
    <w:rsid w:val="00C66132"/>
    <w:rsid w:val="00C67385"/>
    <w:rsid w:val="00C6767E"/>
    <w:rsid w:val="00C676F1"/>
    <w:rsid w:val="00C67ED2"/>
    <w:rsid w:val="00C7039E"/>
    <w:rsid w:val="00C7040F"/>
    <w:rsid w:val="00C704E4"/>
    <w:rsid w:val="00C715A1"/>
    <w:rsid w:val="00C7271B"/>
    <w:rsid w:val="00C73322"/>
    <w:rsid w:val="00C73F06"/>
    <w:rsid w:val="00C74315"/>
    <w:rsid w:val="00C743D3"/>
    <w:rsid w:val="00C74CC7"/>
    <w:rsid w:val="00C76819"/>
    <w:rsid w:val="00C802C1"/>
    <w:rsid w:val="00C803DC"/>
    <w:rsid w:val="00C80961"/>
    <w:rsid w:val="00C80989"/>
    <w:rsid w:val="00C80C40"/>
    <w:rsid w:val="00C812F1"/>
    <w:rsid w:val="00C81988"/>
    <w:rsid w:val="00C83389"/>
    <w:rsid w:val="00C83887"/>
    <w:rsid w:val="00C84029"/>
    <w:rsid w:val="00C848D8"/>
    <w:rsid w:val="00C84F8D"/>
    <w:rsid w:val="00C86029"/>
    <w:rsid w:val="00C86659"/>
    <w:rsid w:val="00C86A60"/>
    <w:rsid w:val="00C86DD7"/>
    <w:rsid w:val="00C87004"/>
    <w:rsid w:val="00C8792D"/>
    <w:rsid w:val="00C87BC8"/>
    <w:rsid w:val="00C9028A"/>
    <w:rsid w:val="00C90BC7"/>
    <w:rsid w:val="00C9157B"/>
    <w:rsid w:val="00C923C7"/>
    <w:rsid w:val="00C9317A"/>
    <w:rsid w:val="00C9371D"/>
    <w:rsid w:val="00C950CB"/>
    <w:rsid w:val="00C964ED"/>
    <w:rsid w:val="00C969C2"/>
    <w:rsid w:val="00CA1AFA"/>
    <w:rsid w:val="00CA2AAE"/>
    <w:rsid w:val="00CA2B1B"/>
    <w:rsid w:val="00CA36C3"/>
    <w:rsid w:val="00CA3D06"/>
    <w:rsid w:val="00CA3E26"/>
    <w:rsid w:val="00CA4A20"/>
    <w:rsid w:val="00CA5790"/>
    <w:rsid w:val="00CA58DF"/>
    <w:rsid w:val="00CA634C"/>
    <w:rsid w:val="00CA6370"/>
    <w:rsid w:val="00CA7288"/>
    <w:rsid w:val="00CA74E0"/>
    <w:rsid w:val="00CA7B30"/>
    <w:rsid w:val="00CB1A8D"/>
    <w:rsid w:val="00CB1FC0"/>
    <w:rsid w:val="00CB2D91"/>
    <w:rsid w:val="00CB30E1"/>
    <w:rsid w:val="00CB3334"/>
    <w:rsid w:val="00CB3775"/>
    <w:rsid w:val="00CB4AC8"/>
    <w:rsid w:val="00CB4C4E"/>
    <w:rsid w:val="00CB4E61"/>
    <w:rsid w:val="00CB703D"/>
    <w:rsid w:val="00CB749E"/>
    <w:rsid w:val="00CB7639"/>
    <w:rsid w:val="00CB7A91"/>
    <w:rsid w:val="00CB7DE0"/>
    <w:rsid w:val="00CC020F"/>
    <w:rsid w:val="00CC1054"/>
    <w:rsid w:val="00CC110C"/>
    <w:rsid w:val="00CC21FC"/>
    <w:rsid w:val="00CC260F"/>
    <w:rsid w:val="00CC272A"/>
    <w:rsid w:val="00CC2B74"/>
    <w:rsid w:val="00CC32E2"/>
    <w:rsid w:val="00CC3B31"/>
    <w:rsid w:val="00CC3D6F"/>
    <w:rsid w:val="00CC4999"/>
    <w:rsid w:val="00CC54FC"/>
    <w:rsid w:val="00CC5D78"/>
    <w:rsid w:val="00CC5E86"/>
    <w:rsid w:val="00CC6711"/>
    <w:rsid w:val="00CC6D4D"/>
    <w:rsid w:val="00CC78F6"/>
    <w:rsid w:val="00CD0636"/>
    <w:rsid w:val="00CD076B"/>
    <w:rsid w:val="00CD113A"/>
    <w:rsid w:val="00CD11B7"/>
    <w:rsid w:val="00CD2762"/>
    <w:rsid w:val="00CD2DEF"/>
    <w:rsid w:val="00CD60CD"/>
    <w:rsid w:val="00CD7523"/>
    <w:rsid w:val="00CD763F"/>
    <w:rsid w:val="00CD7BFD"/>
    <w:rsid w:val="00CE06C2"/>
    <w:rsid w:val="00CE0BDE"/>
    <w:rsid w:val="00CE40A2"/>
    <w:rsid w:val="00CE53AB"/>
    <w:rsid w:val="00CE6CD4"/>
    <w:rsid w:val="00CE71F4"/>
    <w:rsid w:val="00CE7BA1"/>
    <w:rsid w:val="00CF0BE8"/>
    <w:rsid w:val="00CF21EB"/>
    <w:rsid w:val="00CF24C0"/>
    <w:rsid w:val="00CF2B8B"/>
    <w:rsid w:val="00CF2D47"/>
    <w:rsid w:val="00CF5347"/>
    <w:rsid w:val="00CF6132"/>
    <w:rsid w:val="00CF67E8"/>
    <w:rsid w:val="00CF76B4"/>
    <w:rsid w:val="00CF7A28"/>
    <w:rsid w:val="00D0031E"/>
    <w:rsid w:val="00D00678"/>
    <w:rsid w:val="00D0128B"/>
    <w:rsid w:val="00D014AD"/>
    <w:rsid w:val="00D01F4B"/>
    <w:rsid w:val="00D027D3"/>
    <w:rsid w:val="00D02E8B"/>
    <w:rsid w:val="00D04374"/>
    <w:rsid w:val="00D045F4"/>
    <w:rsid w:val="00D047D9"/>
    <w:rsid w:val="00D062DB"/>
    <w:rsid w:val="00D06E98"/>
    <w:rsid w:val="00D06EEE"/>
    <w:rsid w:val="00D10EDD"/>
    <w:rsid w:val="00D1173E"/>
    <w:rsid w:val="00D11B23"/>
    <w:rsid w:val="00D11E34"/>
    <w:rsid w:val="00D125ED"/>
    <w:rsid w:val="00D138DF"/>
    <w:rsid w:val="00D138E0"/>
    <w:rsid w:val="00D13A02"/>
    <w:rsid w:val="00D14899"/>
    <w:rsid w:val="00D15A34"/>
    <w:rsid w:val="00D1672B"/>
    <w:rsid w:val="00D1734A"/>
    <w:rsid w:val="00D20D06"/>
    <w:rsid w:val="00D225CE"/>
    <w:rsid w:val="00D22B87"/>
    <w:rsid w:val="00D22CB2"/>
    <w:rsid w:val="00D26DE2"/>
    <w:rsid w:val="00D27092"/>
    <w:rsid w:val="00D27321"/>
    <w:rsid w:val="00D2766F"/>
    <w:rsid w:val="00D30A1A"/>
    <w:rsid w:val="00D30B32"/>
    <w:rsid w:val="00D31C09"/>
    <w:rsid w:val="00D31F64"/>
    <w:rsid w:val="00D32826"/>
    <w:rsid w:val="00D32CCF"/>
    <w:rsid w:val="00D33898"/>
    <w:rsid w:val="00D34CAC"/>
    <w:rsid w:val="00D3554C"/>
    <w:rsid w:val="00D3699C"/>
    <w:rsid w:val="00D37C60"/>
    <w:rsid w:val="00D40BA8"/>
    <w:rsid w:val="00D41081"/>
    <w:rsid w:val="00D418E2"/>
    <w:rsid w:val="00D41CA8"/>
    <w:rsid w:val="00D42DA6"/>
    <w:rsid w:val="00D4330C"/>
    <w:rsid w:val="00D44538"/>
    <w:rsid w:val="00D44E5A"/>
    <w:rsid w:val="00D45472"/>
    <w:rsid w:val="00D47517"/>
    <w:rsid w:val="00D47F09"/>
    <w:rsid w:val="00D50657"/>
    <w:rsid w:val="00D508B3"/>
    <w:rsid w:val="00D51CD2"/>
    <w:rsid w:val="00D528F8"/>
    <w:rsid w:val="00D543FA"/>
    <w:rsid w:val="00D5455A"/>
    <w:rsid w:val="00D54BAB"/>
    <w:rsid w:val="00D54CE0"/>
    <w:rsid w:val="00D57263"/>
    <w:rsid w:val="00D60BC6"/>
    <w:rsid w:val="00D60BE5"/>
    <w:rsid w:val="00D60D3E"/>
    <w:rsid w:val="00D629FF"/>
    <w:rsid w:val="00D62DDA"/>
    <w:rsid w:val="00D63D22"/>
    <w:rsid w:val="00D652CD"/>
    <w:rsid w:val="00D659E1"/>
    <w:rsid w:val="00D6676C"/>
    <w:rsid w:val="00D66D53"/>
    <w:rsid w:val="00D677EF"/>
    <w:rsid w:val="00D67B98"/>
    <w:rsid w:val="00D67F32"/>
    <w:rsid w:val="00D71A7A"/>
    <w:rsid w:val="00D73DD6"/>
    <w:rsid w:val="00D7435B"/>
    <w:rsid w:val="00D75FB1"/>
    <w:rsid w:val="00D8114B"/>
    <w:rsid w:val="00D81775"/>
    <w:rsid w:val="00D81FBF"/>
    <w:rsid w:val="00D824DA"/>
    <w:rsid w:val="00D827B0"/>
    <w:rsid w:val="00D82B7B"/>
    <w:rsid w:val="00D83265"/>
    <w:rsid w:val="00D836C5"/>
    <w:rsid w:val="00D83C98"/>
    <w:rsid w:val="00D8464F"/>
    <w:rsid w:val="00D854E2"/>
    <w:rsid w:val="00D8569D"/>
    <w:rsid w:val="00D859E8"/>
    <w:rsid w:val="00D85AE8"/>
    <w:rsid w:val="00D8630A"/>
    <w:rsid w:val="00D87A6F"/>
    <w:rsid w:val="00D90CE5"/>
    <w:rsid w:val="00D912C1"/>
    <w:rsid w:val="00D917B7"/>
    <w:rsid w:val="00D91951"/>
    <w:rsid w:val="00D9370C"/>
    <w:rsid w:val="00D93F21"/>
    <w:rsid w:val="00D949BB"/>
    <w:rsid w:val="00D9611C"/>
    <w:rsid w:val="00D97EA8"/>
    <w:rsid w:val="00DA041B"/>
    <w:rsid w:val="00DA16E6"/>
    <w:rsid w:val="00DA1858"/>
    <w:rsid w:val="00DA2318"/>
    <w:rsid w:val="00DA3598"/>
    <w:rsid w:val="00DA4ED1"/>
    <w:rsid w:val="00DA5C7D"/>
    <w:rsid w:val="00DA5D2C"/>
    <w:rsid w:val="00DA601C"/>
    <w:rsid w:val="00DA6AC7"/>
    <w:rsid w:val="00DA6CD1"/>
    <w:rsid w:val="00DB0451"/>
    <w:rsid w:val="00DB093D"/>
    <w:rsid w:val="00DB2342"/>
    <w:rsid w:val="00DB317D"/>
    <w:rsid w:val="00DB31F1"/>
    <w:rsid w:val="00DB3339"/>
    <w:rsid w:val="00DB3E37"/>
    <w:rsid w:val="00DB4DF8"/>
    <w:rsid w:val="00DB50DC"/>
    <w:rsid w:val="00DB57E8"/>
    <w:rsid w:val="00DB5887"/>
    <w:rsid w:val="00DB6C58"/>
    <w:rsid w:val="00DB7949"/>
    <w:rsid w:val="00DC09E7"/>
    <w:rsid w:val="00DC0B53"/>
    <w:rsid w:val="00DC19F7"/>
    <w:rsid w:val="00DC1BF4"/>
    <w:rsid w:val="00DC2970"/>
    <w:rsid w:val="00DC2B8B"/>
    <w:rsid w:val="00DC3FC3"/>
    <w:rsid w:val="00DC5707"/>
    <w:rsid w:val="00DC6A8A"/>
    <w:rsid w:val="00DC7E53"/>
    <w:rsid w:val="00DD0CDA"/>
    <w:rsid w:val="00DD1040"/>
    <w:rsid w:val="00DD157C"/>
    <w:rsid w:val="00DD1BF6"/>
    <w:rsid w:val="00DD212E"/>
    <w:rsid w:val="00DD299E"/>
    <w:rsid w:val="00DD5434"/>
    <w:rsid w:val="00DD5F6F"/>
    <w:rsid w:val="00DD762D"/>
    <w:rsid w:val="00DE041A"/>
    <w:rsid w:val="00DE1123"/>
    <w:rsid w:val="00DE206B"/>
    <w:rsid w:val="00DE2AFC"/>
    <w:rsid w:val="00DE32F7"/>
    <w:rsid w:val="00DE388F"/>
    <w:rsid w:val="00DE3C53"/>
    <w:rsid w:val="00DE3E22"/>
    <w:rsid w:val="00DE52D5"/>
    <w:rsid w:val="00DE5648"/>
    <w:rsid w:val="00DE6359"/>
    <w:rsid w:val="00DE6A6F"/>
    <w:rsid w:val="00DE6F7A"/>
    <w:rsid w:val="00DF0A01"/>
    <w:rsid w:val="00DF0A1A"/>
    <w:rsid w:val="00DF10C4"/>
    <w:rsid w:val="00DF2084"/>
    <w:rsid w:val="00DF2A2B"/>
    <w:rsid w:val="00DF3249"/>
    <w:rsid w:val="00DF4442"/>
    <w:rsid w:val="00DF50B0"/>
    <w:rsid w:val="00DF597F"/>
    <w:rsid w:val="00DF68B0"/>
    <w:rsid w:val="00DF77CB"/>
    <w:rsid w:val="00DF7C6B"/>
    <w:rsid w:val="00E0022F"/>
    <w:rsid w:val="00E00A85"/>
    <w:rsid w:val="00E01230"/>
    <w:rsid w:val="00E01511"/>
    <w:rsid w:val="00E018E3"/>
    <w:rsid w:val="00E01A1D"/>
    <w:rsid w:val="00E02F3B"/>
    <w:rsid w:val="00E03305"/>
    <w:rsid w:val="00E03F5C"/>
    <w:rsid w:val="00E04222"/>
    <w:rsid w:val="00E0495B"/>
    <w:rsid w:val="00E06222"/>
    <w:rsid w:val="00E06931"/>
    <w:rsid w:val="00E06B8C"/>
    <w:rsid w:val="00E07FE3"/>
    <w:rsid w:val="00E113CE"/>
    <w:rsid w:val="00E11DFB"/>
    <w:rsid w:val="00E12DD1"/>
    <w:rsid w:val="00E148D3"/>
    <w:rsid w:val="00E14F70"/>
    <w:rsid w:val="00E15699"/>
    <w:rsid w:val="00E1691F"/>
    <w:rsid w:val="00E178C6"/>
    <w:rsid w:val="00E200F1"/>
    <w:rsid w:val="00E209B8"/>
    <w:rsid w:val="00E21019"/>
    <w:rsid w:val="00E224E1"/>
    <w:rsid w:val="00E230FA"/>
    <w:rsid w:val="00E25001"/>
    <w:rsid w:val="00E265A4"/>
    <w:rsid w:val="00E26AD4"/>
    <w:rsid w:val="00E30047"/>
    <w:rsid w:val="00E30607"/>
    <w:rsid w:val="00E308DF"/>
    <w:rsid w:val="00E32310"/>
    <w:rsid w:val="00E32CB9"/>
    <w:rsid w:val="00E32E09"/>
    <w:rsid w:val="00E3309F"/>
    <w:rsid w:val="00E338F9"/>
    <w:rsid w:val="00E344C4"/>
    <w:rsid w:val="00E346D9"/>
    <w:rsid w:val="00E35110"/>
    <w:rsid w:val="00E35236"/>
    <w:rsid w:val="00E37485"/>
    <w:rsid w:val="00E37976"/>
    <w:rsid w:val="00E37F22"/>
    <w:rsid w:val="00E40F6F"/>
    <w:rsid w:val="00E4236B"/>
    <w:rsid w:val="00E427DC"/>
    <w:rsid w:val="00E43198"/>
    <w:rsid w:val="00E43E1E"/>
    <w:rsid w:val="00E43F73"/>
    <w:rsid w:val="00E4442E"/>
    <w:rsid w:val="00E44859"/>
    <w:rsid w:val="00E45155"/>
    <w:rsid w:val="00E45C8F"/>
    <w:rsid w:val="00E46A63"/>
    <w:rsid w:val="00E46F69"/>
    <w:rsid w:val="00E4789B"/>
    <w:rsid w:val="00E47EC0"/>
    <w:rsid w:val="00E5102E"/>
    <w:rsid w:val="00E51322"/>
    <w:rsid w:val="00E51890"/>
    <w:rsid w:val="00E51916"/>
    <w:rsid w:val="00E51B60"/>
    <w:rsid w:val="00E52D13"/>
    <w:rsid w:val="00E53221"/>
    <w:rsid w:val="00E5326C"/>
    <w:rsid w:val="00E53644"/>
    <w:rsid w:val="00E54003"/>
    <w:rsid w:val="00E548C1"/>
    <w:rsid w:val="00E54B41"/>
    <w:rsid w:val="00E55321"/>
    <w:rsid w:val="00E55F49"/>
    <w:rsid w:val="00E568A9"/>
    <w:rsid w:val="00E573E7"/>
    <w:rsid w:val="00E60087"/>
    <w:rsid w:val="00E6024D"/>
    <w:rsid w:val="00E6086D"/>
    <w:rsid w:val="00E61E53"/>
    <w:rsid w:val="00E62207"/>
    <w:rsid w:val="00E62516"/>
    <w:rsid w:val="00E62921"/>
    <w:rsid w:val="00E62961"/>
    <w:rsid w:val="00E62AD1"/>
    <w:rsid w:val="00E632EC"/>
    <w:rsid w:val="00E63370"/>
    <w:rsid w:val="00E636E3"/>
    <w:rsid w:val="00E642C2"/>
    <w:rsid w:val="00E64630"/>
    <w:rsid w:val="00E64CED"/>
    <w:rsid w:val="00E65C0E"/>
    <w:rsid w:val="00E65FA4"/>
    <w:rsid w:val="00E6675F"/>
    <w:rsid w:val="00E66870"/>
    <w:rsid w:val="00E679EC"/>
    <w:rsid w:val="00E70DE2"/>
    <w:rsid w:val="00E71211"/>
    <w:rsid w:val="00E72761"/>
    <w:rsid w:val="00E72D5E"/>
    <w:rsid w:val="00E72F6B"/>
    <w:rsid w:val="00E740E2"/>
    <w:rsid w:val="00E7482E"/>
    <w:rsid w:val="00E74FF0"/>
    <w:rsid w:val="00E76B1A"/>
    <w:rsid w:val="00E76DFB"/>
    <w:rsid w:val="00E778F8"/>
    <w:rsid w:val="00E80692"/>
    <w:rsid w:val="00E81510"/>
    <w:rsid w:val="00E81961"/>
    <w:rsid w:val="00E81DBF"/>
    <w:rsid w:val="00E82821"/>
    <w:rsid w:val="00E8365A"/>
    <w:rsid w:val="00E84059"/>
    <w:rsid w:val="00E84481"/>
    <w:rsid w:val="00E8487F"/>
    <w:rsid w:val="00E849EF"/>
    <w:rsid w:val="00E85AF7"/>
    <w:rsid w:val="00E865F7"/>
    <w:rsid w:val="00E866AB"/>
    <w:rsid w:val="00E86B7F"/>
    <w:rsid w:val="00E87A73"/>
    <w:rsid w:val="00E92138"/>
    <w:rsid w:val="00E93A70"/>
    <w:rsid w:val="00E93D46"/>
    <w:rsid w:val="00E946FB"/>
    <w:rsid w:val="00E94D8D"/>
    <w:rsid w:val="00E95378"/>
    <w:rsid w:val="00E95B9B"/>
    <w:rsid w:val="00E96717"/>
    <w:rsid w:val="00E97048"/>
    <w:rsid w:val="00E971B8"/>
    <w:rsid w:val="00E97AB8"/>
    <w:rsid w:val="00EA09AD"/>
    <w:rsid w:val="00EA1E60"/>
    <w:rsid w:val="00EA2034"/>
    <w:rsid w:val="00EA2038"/>
    <w:rsid w:val="00EA250A"/>
    <w:rsid w:val="00EA2801"/>
    <w:rsid w:val="00EA28D1"/>
    <w:rsid w:val="00EA4393"/>
    <w:rsid w:val="00EA449F"/>
    <w:rsid w:val="00EA4A1F"/>
    <w:rsid w:val="00EA4BAD"/>
    <w:rsid w:val="00EA54E7"/>
    <w:rsid w:val="00EA676E"/>
    <w:rsid w:val="00EA6BAF"/>
    <w:rsid w:val="00EA7FBC"/>
    <w:rsid w:val="00EB0CBC"/>
    <w:rsid w:val="00EB1529"/>
    <w:rsid w:val="00EB3BFF"/>
    <w:rsid w:val="00EB5B2C"/>
    <w:rsid w:val="00EB6166"/>
    <w:rsid w:val="00EB6FF7"/>
    <w:rsid w:val="00EB791B"/>
    <w:rsid w:val="00EC0528"/>
    <w:rsid w:val="00EC20E3"/>
    <w:rsid w:val="00EC2FA2"/>
    <w:rsid w:val="00EC382B"/>
    <w:rsid w:val="00EC4868"/>
    <w:rsid w:val="00EC5AF9"/>
    <w:rsid w:val="00EC6318"/>
    <w:rsid w:val="00EC7A08"/>
    <w:rsid w:val="00EC7BD9"/>
    <w:rsid w:val="00ED066E"/>
    <w:rsid w:val="00ED0C21"/>
    <w:rsid w:val="00ED0C9D"/>
    <w:rsid w:val="00ED1E0F"/>
    <w:rsid w:val="00ED23E7"/>
    <w:rsid w:val="00ED2668"/>
    <w:rsid w:val="00ED2D2A"/>
    <w:rsid w:val="00ED2D5B"/>
    <w:rsid w:val="00ED313B"/>
    <w:rsid w:val="00ED3715"/>
    <w:rsid w:val="00ED5DAA"/>
    <w:rsid w:val="00ED627E"/>
    <w:rsid w:val="00ED6A26"/>
    <w:rsid w:val="00ED70C5"/>
    <w:rsid w:val="00ED7F10"/>
    <w:rsid w:val="00EE1451"/>
    <w:rsid w:val="00EE1BCD"/>
    <w:rsid w:val="00EE1CA5"/>
    <w:rsid w:val="00EE3B19"/>
    <w:rsid w:val="00EE49B9"/>
    <w:rsid w:val="00EE4E01"/>
    <w:rsid w:val="00EE5CF0"/>
    <w:rsid w:val="00EF11FE"/>
    <w:rsid w:val="00EF1FB7"/>
    <w:rsid w:val="00EF4370"/>
    <w:rsid w:val="00EF459D"/>
    <w:rsid w:val="00EF4D8A"/>
    <w:rsid w:val="00EF7036"/>
    <w:rsid w:val="00EF735A"/>
    <w:rsid w:val="00EF76A1"/>
    <w:rsid w:val="00EF7BA7"/>
    <w:rsid w:val="00F00C31"/>
    <w:rsid w:val="00F00CD1"/>
    <w:rsid w:val="00F018DD"/>
    <w:rsid w:val="00F020D6"/>
    <w:rsid w:val="00F036C2"/>
    <w:rsid w:val="00F03EE7"/>
    <w:rsid w:val="00F0442E"/>
    <w:rsid w:val="00F05D99"/>
    <w:rsid w:val="00F10C10"/>
    <w:rsid w:val="00F1167C"/>
    <w:rsid w:val="00F116E9"/>
    <w:rsid w:val="00F1184F"/>
    <w:rsid w:val="00F11C88"/>
    <w:rsid w:val="00F12CD7"/>
    <w:rsid w:val="00F133AB"/>
    <w:rsid w:val="00F133F1"/>
    <w:rsid w:val="00F14C7A"/>
    <w:rsid w:val="00F15139"/>
    <w:rsid w:val="00F151D8"/>
    <w:rsid w:val="00F1616A"/>
    <w:rsid w:val="00F2014A"/>
    <w:rsid w:val="00F20808"/>
    <w:rsid w:val="00F20812"/>
    <w:rsid w:val="00F20F87"/>
    <w:rsid w:val="00F21D42"/>
    <w:rsid w:val="00F220AB"/>
    <w:rsid w:val="00F229D0"/>
    <w:rsid w:val="00F23FFE"/>
    <w:rsid w:val="00F2535B"/>
    <w:rsid w:val="00F25B93"/>
    <w:rsid w:val="00F27826"/>
    <w:rsid w:val="00F279F7"/>
    <w:rsid w:val="00F27A97"/>
    <w:rsid w:val="00F3121D"/>
    <w:rsid w:val="00F31AEA"/>
    <w:rsid w:val="00F31EFF"/>
    <w:rsid w:val="00F31FEC"/>
    <w:rsid w:val="00F32B64"/>
    <w:rsid w:val="00F32E5B"/>
    <w:rsid w:val="00F33813"/>
    <w:rsid w:val="00F33A23"/>
    <w:rsid w:val="00F3432E"/>
    <w:rsid w:val="00F36010"/>
    <w:rsid w:val="00F361F2"/>
    <w:rsid w:val="00F36B00"/>
    <w:rsid w:val="00F37921"/>
    <w:rsid w:val="00F37D4A"/>
    <w:rsid w:val="00F37E5B"/>
    <w:rsid w:val="00F40106"/>
    <w:rsid w:val="00F40476"/>
    <w:rsid w:val="00F41287"/>
    <w:rsid w:val="00F41D55"/>
    <w:rsid w:val="00F423E2"/>
    <w:rsid w:val="00F424C5"/>
    <w:rsid w:val="00F43180"/>
    <w:rsid w:val="00F43F74"/>
    <w:rsid w:val="00F4487A"/>
    <w:rsid w:val="00F45362"/>
    <w:rsid w:val="00F456F4"/>
    <w:rsid w:val="00F46280"/>
    <w:rsid w:val="00F473DA"/>
    <w:rsid w:val="00F500C2"/>
    <w:rsid w:val="00F5116E"/>
    <w:rsid w:val="00F52704"/>
    <w:rsid w:val="00F53015"/>
    <w:rsid w:val="00F53D6A"/>
    <w:rsid w:val="00F55EF4"/>
    <w:rsid w:val="00F562FA"/>
    <w:rsid w:val="00F5689D"/>
    <w:rsid w:val="00F56984"/>
    <w:rsid w:val="00F5773A"/>
    <w:rsid w:val="00F605F6"/>
    <w:rsid w:val="00F6150A"/>
    <w:rsid w:val="00F61ACF"/>
    <w:rsid w:val="00F61EA2"/>
    <w:rsid w:val="00F62696"/>
    <w:rsid w:val="00F62825"/>
    <w:rsid w:val="00F62CD1"/>
    <w:rsid w:val="00F63554"/>
    <w:rsid w:val="00F63665"/>
    <w:rsid w:val="00F63A0F"/>
    <w:rsid w:val="00F63F68"/>
    <w:rsid w:val="00F66258"/>
    <w:rsid w:val="00F67390"/>
    <w:rsid w:val="00F6742E"/>
    <w:rsid w:val="00F7033D"/>
    <w:rsid w:val="00F705D4"/>
    <w:rsid w:val="00F708C1"/>
    <w:rsid w:val="00F70F01"/>
    <w:rsid w:val="00F716E6"/>
    <w:rsid w:val="00F7172B"/>
    <w:rsid w:val="00F723EE"/>
    <w:rsid w:val="00F7273F"/>
    <w:rsid w:val="00F72F88"/>
    <w:rsid w:val="00F735DB"/>
    <w:rsid w:val="00F74045"/>
    <w:rsid w:val="00F74093"/>
    <w:rsid w:val="00F746D8"/>
    <w:rsid w:val="00F74BC5"/>
    <w:rsid w:val="00F75404"/>
    <w:rsid w:val="00F75A1F"/>
    <w:rsid w:val="00F761A3"/>
    <w:rsid w:val="00F767F3"/>
    <w:rsid w:val="00F76C28"/>
    <w:rsid w:val="00F77E50"/>
    <w:rsid w:val="00F8095E"/>
    <w:rsid w:val="00F80CEA"/>
    <w:rsid w:val="00F80F37"/>
    <w:rsid w:val="00F81F4A"/>
    <w:rsid w:val="00F8210C"/>
    <w:rsid w:val="00F83A52"/>
    <w:rsid w:val="00F83D0B"/>
    <w:rsid w:val="00F840A8"/>
    <w:rsid w:val="00F8554C"/>
    <w:rsid w:val="00F85F62"/>
    <w:rsid w:val="00F86AA4"/>
    <w:rsid w:val="00F86C71"/>
    <w:rsid w:val="00F87821"/>
    <w:rsid w:val="00F915BA"/>
    <w:rsid w:val="00F91954"/>
    <w:rsid w:val="00F91B1A"/>
    <w:rsid w:val="00F9258A"/>
    <w:rsid w:val="00F93783"/>
    <w:rsid w:val="00F946D1"/>
    <w:rsid w:val="00F968D8"/>
    <w:rsid w:val="00F96D6D"/>
    <w:rsid w:val="00F9747F"/>
    <w:rsid w:val="00F976FF"/>
    <w:rsid w:val="00F978E7"/>
    <w:rsid w:val="00FA014D"/>
    <w:rsid w:val="00FA0817"/>
    <w:rsid w:val="00FA170B"/>
    <w:rsid w:val="00FA1B3E"/>
    <w:rsid w:val="00FA2262"/>
    <w:rsid w:val="00FA411D"/>
    <w:rsid w:val="00FA46B6"/>
    <w:rsid w:val="00FA4B3C"/>
    <w:rsid w:val="00FA553A"/>
    <w:rsid w:val="00FA5803"/>
    <w:rsid w:val="00FA67C6"/>
    <w:rsid w:val="00FA69F6"/>
    <w:rsid w:val="00FA75EF"/>
    <w:rsid w:val="00FA79C2"/>
    <w:rsid w:val="00FB20F9"/>
    <w:rsid w:val="00FB2A93"/>
    <w:rsid w:val="00FB409E"/>
    <w:rsid w:val="00FB5859"/>
    <w:rsid w:val="00FB5FB7"/>
    <w:rsid w:val="00FB6E68"/>
    <w:rsid w:val="00FB7B96"/>
    <w:rsid w:val="00FC025E"/>
    <w:rsid w:val="00FC0E50"/>
    <w:rsid w:val="00FC11FC"/>
    <w:rsid w:val="00FC1A71"/>
    <w:rsid w:val="00FC1D0A"/>
    <w:rsid w:val="00FC2258"/>
    <w:rsid w:val="00FC2E5F"/>
    <w:rsid w:val="00FC348C"/>
    <w:rsid w:val="00FC38C7"/>
    <w:rsid w:val="00FC3DCF"/>
    <w:rsid w:val="00FC3E53"/>
    <w:rsid w:val="00FC407E"/>
    <w:rsid w:val="00FC48AD"/>
    <w:rsid w:val="00FC5364"/>
    <w:rsid w:val="00FC611B"/>
    <w:rsid w:val="00FC643C"/>
    <w:rsid w:val="00FC7126"/>
    <w:rsid w:val="00FC7A7A"/>
    <w:rsid w:val="00FD268F"/>
    <w:rsid w:val="00FD30E4"/>
    <w:rsid w:val="00FD31FA"/>
    <w:rsid w:val="00FD3927"/>
    <w:rsid w:val="00FD596D"/>
    <w:rsid w:val="00FD5BAF"/>
    <w:rsid w:val="00FD6084"/>
    <w:rsid w:val="00FD683C"/>
    <w:rsid w:val="00FD6938"/>
    <w:rsid w:val="00FD69FF"/>
    <w:rsid w:val="00FD6C66"/>
    <w:rsid w:val="00FD72C3"/>
    <w:rsid w:val="00FD7783"/>
    <w:rsid w:val="00FD7801"/>
    <w:rsid w:val="00FD7DCD"/>
    <w:rsid w:val="00FD7E20"/>
    <w:rsid w:val="00FE0231"/>
    <w:rsid w:val="00FE06CA"/>
    <w:rsid w:val="00FE13DB"/>
    <w:rsid w:val="00FE15FF"/>
    <w:rsid w:val="00FE1E1C"/>
    <w:rsid w:val="00FE25B0"/>
    <w:rsid w:val="00FE2837"/>
    <w:rsid w:val="00FE291C"/>
    <w:rsid w:val="00FE2E58"/>
    <w:rsid w:val="00FE327C"/>
    <w:rsid w:val="00FE4411"/>
    <w:rsid w:val="00FE4A88"/>
    <w:rsid w:val="00FE5719"/>
    <w:rsid w:val="00FE6B02"/>
    <w:rsid w:val="00FF09A8"/>
    <w:rsid w:val="00FF2376"/>
    <w:rsid w:val="00FF2596"/>
    <w:rsid w:val="00FF2C82"/>
    <w:rsid w:val="00FF3C01"/>
    <w:rsid w:val="00FF41B4"/>
    <w:rsid w:val="00FF4ABF"/>
    <w:rsid w:val="00FF58CF"/>
    <w:rsid w:val="00FF785F"/>
    <w:rsid w:val="00FF796D"/>
    <w:rsid w:val="00FF79BE"/>
    <w:rsid w:val="016A7A59"/>
    <w:rsid w:val="019C4E7D"/>
    <w:rsid w:val="02AD44B8"/>
    <w:rsid w:val="06A31DE0"/>
    <w:rsid w:val="073C3670"/>
    <w:rsid w:val="07825966"/>
    <w:rsid w:val="085175D0"/>
    <w:rsid w:val="09206418"/>
    <w:rsid w:val="09F1317B"/>
    <w:rsid w:val="0D6E6F57"/>
    <w:rsid w:val="0F0E231B"/>
    <w:rsid w:val="0F250451"/>
    <w:rsid w:val="0F7A5B71"/>
    <w:rsid w:val="10213EDA"/>
    <w:rsid w:val="12370402"/>
    <w:rsid w:val="13A16577"/>
    <w:rsid w:val="13B90EEF"/>
    <w:rsid w:val="14A01096"/>
    <w:rsid w:val="17EF00B1"/>
    <w:rsid w:val="18303FE8"/>
    <w:rsid w:val="18F22AD6"/>
    <w:rsid w:val="1CD63A19"/>
    <w:rsid w:val="1D9056FF"/>
    <w:rsid w:val="1D9D09F1"/>
    <w:rsid w:val="1F6B59DE"/>
    <w:rsid w:val="1F8D4FC5"/>
    <w:rsid w:val="21A56FEB"/>
    <w:rsid w:val="21F5541B"/>
    <w:rsid w:val="228D7DDD"/>
    <w:rsid w:val="23E82061"/>
    <w:rsid w:val="2412630C"/>
    <w:rsid w:val="27FA14D0"/>
    <w:rsid w:val="29082317"/>
    <w:rsid w:val="2C702AD4"/>
    <w:rsid w:val="2C771A73"/>
    <w:rsid w:val="2F0C5470"/>
    <w:rsid w:val="2FC524A2"/>
    <w:rsid w:val="31AC634E"/>
    <w:rsid w:val="32961A10"/>
    <w:rsid w:val="330F13B6"/>
    <w:rsid w:val="37032C7B"/>
    <w:rsid w:val="38370239"/>
    <w:rsid w:val="3EFE7DF0"/>
    <w:rsid w:val="3FF06CA3"/>
    <w:rsid w:val="42C20C05"/>
    <w:rsid w:val="42EE10EF"/>
    <w:rsid w:val="434E2A1F"/>
    <w:rsid w:val="46534EAC"/>
    <w:rsid w:val="48AD161A"/>
    <w:rsid w:val="4A4B2A0C"/>
    <w:rsid w:val="4BAE702D"/>
    <w:rsid w:val="4CA1527E"/>
    <w:rsid w:val="4E215602"/>
    <w:rsid w:val="4E40246E"/>
    <w:rsid w:val="4E850F97"/>
    <w:rsid w:val="4FD977D0"/>
    <w:rsid w:val="506B0AA0"/>
    <w:rsid w:val="541B33FF"/>
    <w:rsid w:val="55E3243A"/>
    <w:rsid w:val="570F0360"/>
    <w:rsid w:val="57E23894"/>
    <w:rsid w:val="58972D2F"/>
    <w:rsid w:val="59334B15"/>
    <w:rsid w:val="5AA72EF8"/>
    <w:rsid w:val="5B00733C"/>
    <w:rsid w:val="5C004CE4"/>
    <w:rsid w:val="5DBB2E6F"/>
    <w:rsid w:val="5EF62799"/>
    <w:rsid w:val="5FDD1FED"/>
    <w:rsid w:val="5FE043C8"/>
    <w:rsid w:val="61A56B9C"/>
    <w:rsid w:val="653100C1"/>
    <w:rsid w:val="658F7E3F"/>
    <w:rsid w:val="65BD094B"/>
    <w:rsid w:val="69C04A46"/>
    <w:rsid w:val="6B370C8F"/>
    <w:rsid w:val="6C0D43DE"/>
    <w:rsid w:val="6DF701AD"/>
    <w:rsid w:val="6E2B753E"/>
    <w:rsid w:val="6F7C34FD"/>
    <w:rsid w:val="703B3844"/>
    <w:rsid w:val="71025BCA"/>
    <w:rsid w:val="726767A2"/>
    <w:rsid w:val="728F2E3A"/>
    <w:rsid w:val="74D260F8"/>
    <w:rsid w:val="75D4106A"/>
    <w:rsid w:val="76B57A2F"/>
    <w:rsid w:val="7B4A05BC"/>
    <w:rsid w:val="7D061ECF"/>
    <w:rsid w:val="7E701A2C"/>
    <w:rsid w:val="7FDA2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type="frame" on="t" color2="#FFFFFF" focussize="0,0" recolor="t"/>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line="500" w:lineRule="exact"/>
      <w:jc w:val="center"/>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9"/>
    <w:qFormat/>
    <w:uiPriority w:val="0"/>
    <w:rPr>
      <w:rFonts w:ascii="宋体"/>
      <w:sz w:val="18"/>
      <w:szCs w:val="18"/>
    </w:rPr>
  </w:style>
  <w:style w:type="paragraph" w:styleId="6">
    <w:name w:val="annotation text"/>
    <w:basedOn w:val="1"/>
    <w:semiHidden/>
    <w:qFormat/>
    <w:uiPriority w:val="0"/>
    <w:pPr>
      <w:jc w:val="left"/>
    </w:pPr>
  </w:style>
  <w:style w:type="paragraph" w:styleId="7">
    <w:name w:val="Body Text"/>
    <w:basedOn w:val="1"/>
    <w:qFormat/>
    <w:uiPriority w:val="0"/>
    <w:pPr>
      <w:spacing w:after="120"/>
    </w:pPr>
  </w:style>
  <w:style w:type="paragraph" w:styleId="8">
    <w:name w:val="Body Text Indent"/>
    <w:basedOn w:val="1"/>
    <w:qFormat/>
    <w:uiPriority w:val="0"/>
    <w:pPr>
      <w:spacing w:after="120"/>
      <w:ind w:left="420" w:leftChars="200"/>
    </w:pPr>
  </w:style>
  <w:style w:type="paragraph" w:styleId="9">
    <w:name w:val="toc 3"/>
    <w:basedOn w:val="1"/>
    <w:next w:val="1"/>
    <w:qFormat/>
    <w:uiPriority w:val="39"/>
    <w:pPr>
      <w:ind w:left="840" w:leftChars="400"/>
    </w:pPr>
    <w:rPr>
      <w:sz w:val="24"/>
    </w:rPr>
  </w:style>
  <w:style w:type="paragraph" w:styleId="10">
    <w:name w:val="Plain Text"/>
    <w:basedOn w:val="1"/>
    <w:link w:val="58"/>
    <w:qFormat/>
    <w:uiPriority w:val="99"/>
    <w:rPr>
      <w:rFonts w:ascii="宋体" w:hAnsi="Courier New"/>
      <w:szCs w:val="20"/>
    </w:rPr>
  </w:style>
  <w:style w:type="paragraph" w:styleId="11">
    <w:name w:val="Date"/>
    <w:basedOn w:val="1"/>
    <w:next w:val="1"/>
    <w:qFormat/>
    <w:uiPriority w:val="0"/>
    <w:pPr>
      <w:ind w:left="100" w:leftChars="2500"/>
    </w:pPr>
    <w:rPr>
      <w:rFonts w:ascii="楷体" w:hAnsi="楷体" w:eastAsia="楷体"/>
      <w:sz w:val="28"/>
      <w:szCs w:val="28"/>
    </w:rPr>
  </w:style>
  <w:style w:type="paragraph" w:styleId="12">
    <w:name w:val="Body Text Indent 2"/>
    <w:basedOn w:val="1"/>
    <w:qFormat/>
    <w:uiPriority w:val="0"/>
    <w:pPr>
      <w:spacing w:line="600" w:lineRule="exact"/>
      <w:ind w:firstLine="560" w:firstLineChars="200"/>
    </w:pPr>
    <w:rPr>
      <w:rFonts w:ascii="仿宋_GB2312" w:eastAsia="仿宋_GB2312"/>
      <w:sz w:val="28"/>
      <w:szCs w:val="28"/>
    </w:rPr>
  </w:style>
  <w:style w:type="paragraph" w:styleId="13">
    <w:name w:val="Balloon Text"/>
    <w:basedOn w:val="1"/>
    <w:semiHidden/>
    <w:qFormat/>
    <w:uiPriority w:val="0"/>
    <w:rPr>
      <w:sz w:val="18"/>
      <w:szCs w:val="18"/>
    </w:rPr>
  </w:style>
  <w:style w:type="paragraph" w:styleId="14">
    <w:name w:val="footer"/>
    <w:basedOn w:val="1"/>
    <w:link w:val="35"/>
    <w:qFormat/>
    <w:uiPriority w:val="99"/>
    <w:pPr>
      <w:tabs>
        <w:tab w:val="center" w:pos="4153"/>
        <w:tab w:val="right" w:pos="8306"/>
      </w:tabs>
      <w:snapToGrid w:val="0"/>
      <w:jc w:val="left"/>
    </w:pPr>
    <w:rPr>
      <w:sz w:val="18"/>
      <w:szCs w:val="18"/>
    </w:rPr>
  </w:style>
  <w:style w:type="paragraph" w:styleId="15">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720"/>
      </w:tabs>
      <w:spacing w:line="500" w:lineRule="exact"/>
    </w:pPr>
    <w:rPr>
      <w:rFonts w:ascii="宋体" w:hAnsi="宋体"/>
      <w:sz w:val="24"/>
    </w:rPr>
  </w:style>
  <w:style w:type="paragraph" w:styleId="17">
    <w:name w:val="toc 2"/>
    <w:basedOn w:val="1"/>
    <w:next w:val="1"/>
    <w:qFormat/>
    <w:uiPriority w:val="39"/>
    <w:pPr>
      <w:tabs>
        <w:tab w:val="left" w:pos="840"/>
        <w:tab w:val="right" w:leader="dot" w:pos="9627"/>
      </w:tabs>
      <w:jc w:val="center"/>
    </w:pPr>
    <w:rPr>
      <w:sz w:val="24"/>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9">
    <w:name w:val="annotation subject"/>
    <w:basedOn w:val="6"/>
    <w:next w:val="6"/>
    <w:semiHidden/>
    <w:qFormat/>
    <w:uiPriority w:val="0"/>
    <w:rPr>
      <w:b/>
      <w:bCs/>
    </w:rPr>
  </w:style>
  <w:style w:type="table" w:styleId="21">
    <w:name w:val="Table Grid"/>
    <w:basedOn w:val="2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b/>
      <w:bCs/>
    </w:rPr>
  </w:style>
  <w:style w:type="character" w:styleId="24">
    <w:name w:val="page number"/>
    <w:basedOn w:val="22"/>
    <w:qFormat/>
    <w:uiPriority w:val="0"/>
  </w:style>
  <w:style w:type="character" w:styleId="25">
    <w:name w:val="FollowedHyperlink"/>
    <w:qFormat/>
    <w:uiPriority w:val="99"/>
    <w:rPr>
      <w:color w:val="005C81"/>
      <w:u w:val="none"/>
    </w:rPr>
  </w:style>
  <w:style w:type="character" w:styleId="26">
    <w:name w:val="Emphasis"/>
    <w:qFormat/>
    <w:uiPriority w:val="20"/>
  </w:style>
  <w:style w:type="character" w:styleId="27">
    <w:name w:val="Hyperlink"/>
    <w:qFormat/>
    <w:uiPriority w:val="99"/>
    <w:rPr>
      <w:color w:val="005C81"/>
      <w:u w:val="none"/>
    </w:rPr>
  </w:style>
  <w:style w:type="character" w:styleId="28">
    <w:name w:val="annotation reference"/>
    <w:semiHidden/>
    <w:qFormat/>
    <w:uiPriority w:val="0"/>
    <w:rPr>
      <w:sz w:val="21"/>
      <w:szCs w:val="21"/>
    </w:rPr>
  </w:style>
  <w:style w:type="character" w:customStyle="1" w:styleId="29">
    <w:name w:val="font31"/>
    <w:qFormat/>
    <w:uiPriority w:val="0"/>
    <w:rPr>
      <w:rFonts w:hint="eastAsia" w:ascii="宋体" w:hAnsi="宋体" w:eastAsia="宋体" w:cs="宋体"/>
      <w:color w:val="000000"/>
      <w:sz w:val="18"/>
      <w:szCs w:val="18"/>
      <w:u w:val="none"/>
    </w:rPr>
  </w:style>
  <w:style w:type="character" w:customStyle="1" w:styleId="30">
    <w:name w:val="标题 1 字符"/>
    <w:link w:val="2"/>
    <w:qFormat/>
    <w:uiPriority w:val="0"/>
    <w:rPr>
      <w:rFonts w:eastAsia="宋体"/>
      <w:b/>
      <w:bCs/>
      <w:kern w:val="44"/>
      <w:sz w:val="44"/>
      <w:szCs w:val="44"/>
      <w:lang w:val="en-US" w:eastAsia="zh-CN" w:bidi="ar-SA"/>
    </w:rPr>
  </w:style>
  <w:style w:type="character" w:customStyle="1" w:styleId="31">
    <w:name w:val="font11"/>
    <w:qFormat/>
    <w:uiPriority w:val="0"/>
    <w:rPr>
      <w:rFonts w:hint="eastAsia" w:ascii="宋体" w:hAnsi="宋体" w:eastAsia="宋体"/>
      <w:color w:val="000000"/>
      <w:sz w:val="24"/>
      <w:szCs w:val="24"/>
      <w:u w:val="none"/>
      <w:vertAlign w:val="superscript"/>
    </w:rPr>
  </w:style>
  <w:style w:type="character" w:customStyle="1" w:styleId="32">
    <w:name w:val="font41"/>
    <w:qFormat/>
    <w:uiPriority w:val="0"/>
    <w:rPr>
      <w:rFonts w:hint="default" w:ascii="Times New Roman" w:hAnsi="Times New Roman" w:cs="Times New Roman"/>
      <w:color w:val="000000"/>
      <w:sz w:val="20"/>
      <w:szCs w:val="20"/>
      <w:u w:val="none"/>
    </w:rPr>
  </w:style>
  <w:style w:type="character" w:customStyle="1" w:styleId="33">
    <w:name w:val="估价报告模板_深发展银行处置抵押物相关提示 Char"/>
    <w:link w:val="34"/>
    <w:qFormat/>
    <w:uiPriority w:val="0"/>
    <w:rPr>
      <w:rFonts w:ascii="仿宋_GB2312" w:eastAsia="仿宋_GB2312" w:cs="宋体"/>
      <w:kern w:val="2"/>
      <w:sz w:val="28"/>
      <w:lang w:val="en-US" w:eastAsia="zh-CN" w:bidi="ar-SA"/>
    </w:rPr>
  </w:style>
  <w:style w:type="paragraph" w:customStyle="1" w:styleId="34">
    <w:name w:val="估价报告模板_深发展银行处置抵押物相关提示"/>
    <w:basedOn w:val="1"/>
    <w:link w:val="33"/>
    <w:qFormat/>
    <w:uiPriority w:val="0"/>
    <w:pPr>
      <w:spacing w:line="440" w:lineRule="exact"/>
      <w:ind w:firstLine="560" w:firstLineChars="200"/>
      <w:jc w:val="left"/>
    </w:pPr>
    <w:rPr>
      <w:rFonts w:ascii="仿宋_GB2312" w:eastAsia="仿宋_GB2312" w:cs="宋体"/>
      <w:sz w:val="28"/>
      <w:szCs w:val="20"/>
    </w:rPr>
  </w:style>
  <w:style w:type="character" w:customStyle="1" w:styleId="35">
    <w:name w:val="页脚 字符"/>
    <w:link w:val="14"/>
    <w:qFormat/>
    <w:uiPriority w:val="99"/>
    <w:rPr>
      <w:kern w:val="2"/>
      <w:sz w:val="18"/>
      <w:szCs w:val="18"/>
    </w:rPr>
  </w:style>
  <w:style w:type="character" w:customStyle="1" w:styleId="36">
    <w:name w:val="font01"/>
    <w:qFormat/>
    <w:uiPriority w:val="0"/>
    <w:rPr>
      <w:rFonts w:hint="eastAsia" w:ascii="宋体" w:hAnsi="宋体" w:eastAsia="宋体"/>
      <w:color w:val="000000"/>
      <w:sz w:val="24"/>
      <w:szCs w:val="24"/>
      <w:u w:val="none"/>
    </w:rPr>
  </w:style>
  <w:style w:type="character" w:customStyle="1" w:styleId="37">
    <w:name w:val="表格1 Char"/>
    <w:link w:val="38"/>
    <w:qFormat/>
    <w:uiPriority w:val="0"/>
    <w:rPr>
      <w:rFonts w:hAnsi="宋体" w:eastAsia="仿宋_GB2312" w:cs="宋体"/>
      <w:color w:val="000000"/>
      <w:sz w:val="24"/>
      <w:szCs w:val="22"/>
    </w:rPr>
  </w:style>
  <w:style w:type="paragraph" w:customStyle="1" w:styleId="38">
    <w:name w:val="表格1"/>
    <w:basedOn w:val="1"/>
    <w:link w:val="37"/>
    <w:qFormat/>
    <w:uiPriority w:val="0"/>
    <w:pPr>
      <w:widowControl/>
      <w:adjustRightInd w:val="0"/>
      <w:snapToGrid w:val="0"/>
      <w:jc w:val="center"/>
    </w:pPr>
    <w:rPr>
      <w:rFonts w:hAnsi="宋体" w:eastAsia="仿宋_GB2312"/>
      <w:color w:val="000000"/>
      <w:kern w:val="0"/>
      <w:sz w:val="24"/>
      <w:szCs w:val="22"/>
    </w:rPr>
  </w:style>
  <w:style w:type="character" w:customStyle="1" w:styleId="39">
    <w:name w:val="文档结构图 字符"/>
    <w:link w:val="5"/>
    <w:qFormat/>
    <w:uiPriority w:val="0"/>
    <w:rPr>
      <w:rFonts w:ascii="宋体"/>
      <w:kern w:val="2"/>
      <w:sz w:val="18"/>
      <w:szCs w:val="18"/>
    </w:rPr>
  </w:style>
  <w:style w:type="character" w:customStyle="1" w:styleId="40">
    <w:name w:val="Char Char2"/>
    <w:qFormat/>
    <w:uiPriority w:val="0"/>
    <w:rPr>
      <w:b/>
      <w:bCs/>
      <w:kern w:val="44"/>
      <w:sz w:val="44"/>
      <w:szCs w:val="44"/>
    </w:rPr>
  </w:style>
  <w:style w:type="character" w:customStyle="1" w:styleId="41">
    <w:name w:val="font51"/>
    <w:qFormat/>
    <w:uiPriority w:val="0"/>
    <w:rPr>
      <w:rFonts w:hint="eastAsia" w:ascii="宋体" w:hAnsi="宋体" w:eastAsia="宋体" w:cs="宋体"/>
      <w:color w:val="000000"/>
      <w:sz w:val="20"/>
      <w:szCs w:val="20"/>
      <w:u w:val="none"/>
    </w:rPr>
  </w:style>
  <w:style w:type="character" w:customStyle="1" w:styleId="42">
    <w:name w:val="页眉 字符"/>
    <w:link w:val="15"/>
    <w:qFormat/>
    <w:uiPriority w:val="0"/>
    <w:rPr>
      <w:kern w:val="2"/>
      <w:sz w:val="18"/>
      <w:szCs w:val="18"/>
    </w:rPr>
  </w:style>
  <w:style w:type="character" w:customStyle="1" w:styleId="43">
    <w:name w:val="font21"/>
    <w:qFormat/>
    <w:uiPriority w:val="0"/>
    <w:rPr>
      <w:rFonts w:hint="default" w:ascii="Times New Roman" w:hAnsi="Times New Roman" w:cs="Times New Roman"/>
      <w:color w:val="000000"/>
      <w:sz w:val="18"/>
      <w:szCs w:val="18"/>
      <w:u w:val="none"/>
    </w:rPr>
  </w:style>
  <w:style w:type="character" w:customStyle="1" w:styleId="44">
    <w:name w:val="样式1 Char"/>
    <w:qFormat/>
    <w:uiPriority w:val="0"/>
    <w:rPr>
      <w:rFonts w:eastAsia="宋体"/>
      <w:b/>
      <w:bCs/>
      <w:kern w:val="44"/>
      <w:sz w:val="36"/>
      <w:szCs w:val="36"/>
      <w:lang w:val="en-US" w:eastAsia="zh-CN" w:bidi="ar-SA"/>
    </w:rPr>
  </w:style>
  <w:style w:type="character" w:customStyle="1" w:styleId="45">
    <w:name w:val="font101"/>
    <w:qFormat/>
    <w:uiPriority w:val="0"/>
    <w:rPr>
      <w:rFonts w:hint="default" w:ascii="Times New Roman" w:hAnsi="Times New Roman" w:cs="Times New Roman"/>
      <w:color w:val="000000"/>
      <w:sz w:val="22"/>
      <w:szCs w:val="22"/>
      <w:u w:val="none"/>
    </w:rPr>
  </w:style>
  <w:style w:type="character" w:customStyle="1" w:styleId="46">
    <w:name w:val="纯文本 Char"/>
    <w:qFormat/>
    <w:uiPriority w:val="99"/>
    <w:rPr>
      <w:rFonts w:ascii="宋体" w:hAnsi="Courier New" w:eastAsia="宋体"/>
      <w:kern w:val="2"/>
      <w:sz w:val="21"/>
      <w:lang w:val="en-US" w:eastAsia="zh-CN" w:bidi="ar-SA"/>
    </w:rPr>
  </w:style>
  <w:style w:type="character" w:customStyle="1" w:styleId="47">
    <w:name w:val="font61"/>
    <w:qFormat/>
    <w:uiPriority w:val="0"/>
    <w:rPr>
      <w:rFonts w:hint="default" w:ascii="Times New Roman" w:hAnsi="Times New Roman" w:cs="Times New Roman"/>
      <w:color w:val="000000"/>
      <w:sz w:val="18"/>
      <w:szCs w:val="18"/>
      <w:u w:val="none"/>
    </w:rPr>
  </w:style>
  <w:style w:type="character" w:customStyle="1" w:styleId="48">
    <w:name w:val="Char Char1"/>
    <w:qFormat/>
    <w:uiPriority w:val="0"/>
    <w:rPr>
      <w:kern w:val="2"/>
      <w:sz w:val="18"/>
      <w:szCs w:val="18"/>
    </w:rPr>
  </w:style>
  <w:style w:type="character" w:customStyle="1" w:styleId="49">
    <w:name w:val="样式 标题 100000000 + 宋体 Char"/>
    <w:link w:val="50"/>
    <w:qFormat/>
    <w:uiPriority w:val="0"/>
    <w:rPr>
      <w:rFonts w:ascii="宋体" w:hAnsi="宋体" w:eastAsia="宋体"/>
      <w:b/>
      <w:bCs/>
      <w:kern w:val="44"/>
      <w:sz w:val="28"/>
      <w:szCs w:val="44"/>
      <w:lang w:val="en-US" w:eastAsia="zh-CN" w:bidi="ar-SA"/>
    </w:rPr>
  </w:style>
  <w:style w:type="paragraph" w:customStyle="1" w:styleId="50">
    <w:name w:val="样式 标题 100000000 + 宋体"/>
    <w:basedOn w:val="2"/>
    <w:link w:val="49"/>
    <w:qFormat/>
    <w:uiPriority w:val="0"/>
    <w:pPr>
      <w:spacing w:line="600" w:lineRule="exact"/>
      <w:ind w:firstLine="200" w:firstLineChars="200"/>
      <w:jc w:val="left"/>
    </w:pPr>
    <w:rPr>
      <w:rFonts w:ascii="宋体" w:hAnsi="宋体"/>
      <w:sz w:val="28"/>
    </w:rPr>
  </w:style>
  <w:style w:type="character" w:customStyle="1" w:styleId="51">
    <w:name w:val="font71"/>
    <w:qFormat/>
    <w:uiPriority w:val="0"/>
    <w:rPr>
      <w:rFonts w:hint="default" w:ascii="Times New Roman" w:hAnsi="Times New Roman" w:cs="Times New Roman"/>
      <w:color w:val="000000"/>
      <w:sz w:val="20"/>
      <w:szCs w:val="20"/>
      <w:u w:val="none"/>
    </w:rPr>
  </w:style>
  <w:style w:type="character" w:customStyle="1" w:styleId="52">
    <w:name w:val="Char Char"/>
    <w:semiHidden/>
    <w:qFormat/>
    <w:uiPriority w:val="0"/>
    <w:rPr>
      <w:kern w:val="2"/>
      <w:sz w:val="18"/>
      <w:szCs w:val="18"/>
    </w:rPr>
  </w:style>
  <w:style w:type="character" w:customStyle="1" w:styleId="53">
    <w:name w:val="font112"/>
    <w:qFormat/>
    <w:uiPriority w:val="0"/>
    <w:rPr>
      <w:rFonts w:hint="eastAsia" w:ascii="宋体" w:hAnsi="宋体" w:eastAsia="宋体" w:cs="宋体"/>
      <w:color w:val="000000"/>
      <w:sz w:val="21"/>
      <w:szCs w:val="21"/>
      <w:u w:val="none"/>
    </w:rPr>
  </w:style>
  <w:style w:type="character" w:customStyle="1" w:styleId="54">
    <w:name w:val="15"/>
    <w:basedOn w:val="22"/>
    <w:qFormat/>
    <w:uiPriority w:val="0"/>
  </w:style>
  <w:style w:type="character" w:customStyle="1" w:styleId="55">
    <w:name w:val="font81"/>
    <w:qFormat/>
    <w:uiPriority w:val="0"/>
    <w:rPr>
      <w:rFonts w:hint="default" w:ascii="Times New Roman" w:hAnsi="Times New Roman" w:cs="Times New Roman"/>
      <w:color w:val="000000"/>
      <w:sz w:val="18"/>
      <w:szCs w:val="18"/>
      <w:u w:val="none"/>
    </w:rPr>
  </w:style>
  <w:style w:type="character" w:customStyle="1" w:styleId="56">
    <w:name w:val="表格标题 Char"/>
    <w:link w:val="57"/>
    <w:qFormat/>
    <w:uiPriority w:val="0"/>
    <w:rPr>
      <w:rFonts w:eastAsia="仿宋_GB2312"/>
      <w:b/>
      <w:sz w:val="24"/>
      <w:szCs w:val="28"/>
      <w:lang w:val="en-US" w:eastAsia="zh-CN"/>
    </w:rPr>
  </w:style>
  <w:style w:type="paragraph" w:customStyle="1" w:styleId="57">
    <w:name w:val="表格标题"/>
    <w:basedOn w:val="1"/>
    <w:link w:val="56"/>
    <w:qFormat/>
    <w:uiPriority w:val="0"/>
    <w:pPr>
      <w:spacing w:before="50" w:beforeLines="50"/>
      <w:jc w:val="center"/>
    </w:pPr>
    <w:rPr>
      <w:rFonts w:eastAsia="仿宋_GB2312"/>
      <w:b/>
      <w:kern w:val="0"/>
      <w:sz w:val="24"/>
      <w:szCs w:val="28"/>
    </w:rPr>
  </w:style>
  <w:style w:type="character" w:customStyle="1" w:styleId="58">
    <w:name w:val="纯文本 字符"/>
    <w:link w:val="10"/>
    <w:qFormat/>
    <w:uiPriority w:val="99"/>
    <w:rPr>
      <w:rFonts w:ascii="宋体" w:hAnsi="Courier New"/>
      <w:kern w:val="2"/>
      <w:sz w:val="21"/>
    </w:rPr>
  </w:style>
  <w:style w:type="character" w:customStyle="1" w:styleId="59">
    <w:name w:val="Unresolved Mention"/>
    <w:unhideWhenUsed/>
    <w:qFormat/>
    <w:uiPriority w:val="99"/>
    <w:rPr>
      <w:color w:val="605E5C"/>
      <w:shd w:val="clear" w:color="auto" w:fill="E1DFDD"/>
    </w:rPr>
  </w:style>
  <w:style w:type="paragraph" w:customStyle="1" w:styleId="60">
    <w:name w:val="文本档内容"/>
    <w:next w:val="1"/>
    <w:qFormat/>
    <w:uiPriority w:val="0"/>
    <w:pPr>
      <w:jc w:val="both"/>
    </w:pPr>
    <w:rPr>
      <w:rFonts w:ascii="Times New Roman" w:hAnsi="Times New Roman" w:eastAsia="宋体" w:cs="Times New Roman"/>
      <w:sz w:val="21"/>
      <w:szCs w:val="24"/>
      <w:lang w:val="en-US" w:eastAsia="zh-CN" w:bidi="ar-SA"/>
    </w:rPr>
  </w:style>
  <w:style w:type="paragraph" w:customStyle="1" w:styleId="61">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2">
    <w:name w:val="估价报告模板_表格1"/>
    <w:basedOn w:val="1"/>
    <w:qFormat/>
    <w:uiPriority w:val="0"/>
    <w:pPr>
      <w:widowControl/>
      <w:spacing w:line="300" w:lineRule="exact"/>
      <w:jc w:val="center"/>
    </w:pPr>
    <w:rPr>
      <w:rFonts w:ascii="仿宋_GB2312" w:hAnsi="宋体" w:eastAsia="仿宋_GB2312" w:cs="宋体"/>
      <w:kern w:val="0"/>
      <w:szCs w:val="21"/>
    </w:rPr>
  </w:style>
  <w:style w:type="paragraph" w:customStyle="1" w:styleId="63">
    <w:name w:val="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Char Char Char Char"/>
    <w:basedOn w:val="1"/>
    <w:qFormat/>
    <w:uiPriority w:val="0"/>
    <w:rPr>
      <w:sz w:val="32"/>
      <w:szCs w:val="32"/>
    </w:rPr>
  </w:style>
  <w:style w:type="paragraph" w:customStyle="1" w:styleId="65">
    <w:name w:val="出书表格"/>
    <w:basedOn w:val="1"/>
    <w:next w:val="1"/>
    <w:qFormat/>
    <w:uiPriority w:val="0"/>
    <w:rPr>
      <w:szCs w:val="21"/>
    </w:rPr>
  </w:style>
  <w:style w:type="paragraph" w:customStyle="1" w:styleId="66">
    <w:name w:val="iw_poi_title"/>
    <w:basedOn w:val="1"/>
    <w:qFormat/>
    <w:uiPriority w:val="0"/>
    <w:pPr>
      <w:widowControl/>
      <w:jc w:val="left"/>
    </w:pPr>
    <w:rPr>
      <w:rFonts w:ascii="宋体" w:hAnsi="宋体" w:cs="宋体"/>
      <w:kern w:val="0"/>
      <w:sz w:val="24"/>
    </w:rPr>
  </w:style>
  <w:style w:type="paragraph" w:customStyle="1" w:styleId="67">
    <w:name w:val="样式1"/>
    <w:basedOn w:val="2"/>
    <w:qFormat/>
    <w:uiPriority w:val="0"/>
    <w:rPr>
      <w:sz w:val="36"/>
      <w:szCs w:val="36"/>
    </w:rPr>
  </w:style>
  <w:style w:type="paragraph" w:customStyle="1" w:styleId="68">
    <w:name w:val="Char Char Char1 Char Char Char Char"/>
    <w:basedOn w:val="1"/>
    <w:qFormat/>
    <w:uiPriority w:val="0"/>
    <w:rPr>
      <w:rFonts w:ascii="宋体" w:hAnsi="宋体" w:cs="Courier New"/>
      <w:sz w:val="32"/>
      <w:szCs w:val="32"/>
    </w:rPr>
  </w:style>
  <w:style w:type="paragraph" w:customStyle="1" w:styleId="69">
    <w:name w:val="技术标题2"/>
    <w:basedOn w:val="70"/>
    <w:qFormat/>
    <w:uiPriority w:val="0"/>
    <w:rPr>
      <w:b w:val="0"/>
    </w:rPr>
  </w:style>
  <w:style w:type="paragraph" w:customStyle="1" w:styleId="70">
    <w:name w:val="技术标题1"/>
    <w:basedOn w:val="2"/>
    <w:qFormat/>
    <w:uiPriority w:val="0"/>
    <w:pPr>
      <w:ind w:firstLine="200" w:firstLineChars="200"/>
      <w:jc w:val="left"/>
    </w:pPr>
    <w:rPr>
      <w:rFonts w:ascii="宋体"/>
      <w:sz w:val="28"/>
    </w:rPr>
  </w:style>
  <w:style w:type="paragraph" w:customStyle="1" w:styleId="71">
    <w:name w:val="TOC Heading"/>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72">
    <w:name w:val="估价报告_估价师签字"/>
    <w:basedOn w:val="10"/>
    <w:qFormat/>
    <w:uiPriority w:val="0"/>
    <w:pPr>
      <w:spacing w:before="120" w:after="120" w:line="440" w:lineRule="exact"/>
      <w:jc w:val="center"/>
    </w:pPr>
    <w:rPr>
      <w:rFonts w:ascii="仿宋_GB2312" w:eastAsia="仿宋_GB2312" w:cs="宋体"/>
      <w:sz w:val="28"/>
    </w:rPr>
  </w:style>
  <w:style w:type="paragraph" w:customStyle="1" w:styleId="73">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74">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75">
    <w:name w:val="样式 标题 1 + 宋体 四号 居中 段前: 12 磅 段后: 12 磅 行距: 1.5 倍行距"/>
    <w:basedOn w:val="2"/>
    <w:qFormat/>
    <w:uiPriority w:val="0"/>
    <w:pPr>
      <w:spacing w:before="120" w:after="240" w:line="360" w:lineRule="auto"/>
    </w:pPr>
    <w:rPr>
      <w:rFonts w:ascii="宋体" w:hAnsi="宋体"/>
      <w:kern w:val="0"/>
      <w:sz w:val="28"/>
      <w:szCs w:val="20"/>
    </w:rPr>
  </w:style>
  <w:style w:type="paragraph" w:customStyle="1" w:styleId="76">
    <w:name w:val="p0"/>
    <w:basedOn w:val="1"/>
    <w:qFormat/>
    <w:uiPriority w:val="0"/>
    <w:pPr>
      <w:widowControl/>
    </w:pPr>
    <w:rPr>
      <w:rFonts w:ascii="Calibri" w:hAnsi="Calibri" w:cs="宋体"/>
      <w:kern w:val="0"/>
      <w:szCs w:val="21"/>
    </w:rPr>
  </w:style>
  <w:style w:type="paragraph" w:customStyle="1" w:styleId="77">
    <w:name w:val="估价报告模板_三级标题 + 段后: 0.5 行 + 段后: 0.5 行"/>
    <w:basedOn w:val="1"/>
    <w:qFormat/>
    <w:uiPriority w:val="0"/>
    <w:pPr>
      <w:spacing w:line="440" w:lineRule="exact"/>
      <w:ind w:firstLine="200" w:firstLineChars="200"/>
      <w:jc w:val="left"/>
      <w:outlineLvl w:val="2"/>
    </w:pPr>
    <w:rPr>
      <w:rFonts w:ascii="仿宋_GB2312" w:hAnsi="宋体" w:eastAsia="仿宋_GB2312" w:cs="宋体"/>
      <w:b/>
      <w:bCs/>
      <w:kern w:val="0"/>
      <w:sz w:val="28"/>
      <w:szCs w:val="20"/>
    </w:rPr>
  </w:style>
  <w:style w:type="paragraph" w:customStyle="1" w:styleId="78">
    <w:name w:val="注解文字"/>
    <w:basedOn w:val="1"/>
    <w:qFormat/>
    <w:uiPriority w:val="0"/>
    <w:pPr>
      <w:autoSpaceDE w:val="0"/>
      <w:autoSpaceDN w:val="0"/>
      <w:adjustRightInd w:val="0"/>
      <w:spacing w:line="312" w:lineRule="atLeast"/>
      <w:textAlignment w:val="baseline"/>
    </w:pPr>
    <w:rPr>
      <w:rFonts w:ascii="宋体" w:hAnsi="Tms Rmn"/>
      <w:kern w:val="0"/>
      <w:szCs w:val="20"/>
    </w:rPr>
  </w:style>
  <w:style w:type="character" w:styleId="79">
    <w:name w:val="Placeholder Text"/>
    <w:basedOn w:val="22"/>
    <w:unhideWhenUsed/>
    <w:qFormat/>
    <w:uiPriority w:val="99"/>
    <w:rPr>
      <w:color w:val="808080"/>
    </w:rPr>
  </w:style>
  <w:style w:type="paragraph" w:styleId="8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DA58D7-E063-4E72-B47F-6A4BF912939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Pages>
  <Words>30456</Words>
  <Characters>35098</Characters>
  <Lines>294</Lines>
  <Paragraphs>82</Paragraphs>
  <TotalTime>17</TotalTime>
  <ScaleCrop>false</ScaleCrop>
  <LinksUpToDate>false</LinksUpToDate>
  <CharactersWithSpaces>35952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2021-07-14T10:45:00Z</dcterms:created>
  <dc:creator>zyh</dc:creator>
  <cp:lastModifiedBy>LEE</cp:lastModifiedBy>
  <cp:lastPrinted>2021-07-27T01:31:00Z</cp:lastPrinted>
  <dcterms:modified xsi:type="dcterms:W3CDTF">2022-11-23T08:05:03Z</dcterms:modified>
  <dc:title>成套住宅抵押估价报告示范文本</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A879ED94E7E74E94966A8B169BADCF27</vt:lpwstr>
  </property>
</Properties>
</file>