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jc w:val="center"/>
        <w:rPr>
          <w:rFonts w:ascii="宋体" w:hAnsi="宋体"/>
          <w:b/>
          <w:color w:val="000000"/>
          <w:sz w:val="44"/>
          <w:szCs w:val="44"/>
        </w:rPr>
      </w:pPr>
      <w:r>
        <w:rPr>
          <w:rFonts w:ascii="宋体" w:hAnsi="宋体"/>
          <w:b/>
          <w:color w:val="000000"/>
          <w:sz w:val="44"/>
          <w:szCs w:val="44"/>
        </w:rPr>
        <w:t>房地产估价报告</w:t>
      </w:r>
    </w:p>
    <w:p>
      <w:pPr>
        <w:spacing w:before="312" w:beforeLines="100" w:after="312" w:afterLines="100"/>
        <w:jc w:val="center"/>
        <w:rPr>
          <w:rFonts w:ascii="宋体" w:hAnsi="宋体"/>
          <w:b/>
          <w:color w:val="000000"/>
          <w:sz w:val="44"/>
          <w:szCs w:val="44"/>
        </w:rPr>
      </w:pPr>
      <w:r>
        <w:pict>
          <v:shape id="_x0000_i1025" o:spt="75" type="#_x0000_t75" style="height:254.4pt;width:377.4pt;" filled="f" o:preferrelative="t" stroked="f" coordsize="21600,21600">
            <v:path/>
            <v:fill on="f" focussize="0,0"/>
            <v:stroke on="f" joinstyle="miter"/>
            <v:imagedata r:id="rId7" o:title=""/>
            <o:lock v:ext="edit" aspectratio="t"/>
            <w10:wrap type="none"/>
            <w10:anchorlock/>
          </v:shape>
        </w:pict>
      </w:r>
    </w:p>
    <w:p>
      <w:pPr>
        <w:spacing w:line="720" w:lineRule="exact"/>
        <w:ind w:left="2767" w:leftChars="29" w:right="80" w:rightChars="38" w:hanging="2706" w:hangingChars="655"/>
        <w:rPr>
          <w:rFonts w:ascii="仿宋_GB2312" w:eastAsia="仿宋_GB2312"/>
          <w:b/>
          <w:color w:val="000000"/>
          <w:sz w:val="30"/>
          <w:szCs w:val="30"/>
        </w:rPr>
      </w:pPr>
      <w:r>
        <w:rPr>
          <w:rFonts w:hint="eastAsia" w:ascii="仿宋_GB2312" w:eastAsia="仿宋_GB2312"/>
          <w:b/>
          <w:color w:val="000000"/>
          <w:spacing w:val="56"/>
          <w:sz w:val="30"/>
          <w:szCs w:val="30"/>
        </w:rPr>
        <w:t>估价项目名</w:t>
      </w:r>
      <w:r>
        <w:rPr>
          <w:rFonts w:hint="eastAsia" w:ascii="仿宋_GB2312" w:eastAsia="仿宋_GB2312"/>
          <w:b/>
          <w:color w:val="000000"/>
          <w:spacing w:val="26"/>
          <w:kern w:val="4"/>
          <w:sz w:val="30"/>
          <w:szCs w:val="30"/>
        </w:rPr>
        <w:t>称</w:t>
      </w:r>
      <w:r>
        <w:rPr>
          <w:rFonts w:hint="eastAsia" w:ascii="仿宋_GB2312" w:eastAsia="仿宋_GB2312"/>
          <w:b/>
          <w:color w:val="000000"/>
          <w:sz w:val="30"/>
          <w:szCs w:val="30"/>
        </w:rPr>
        <w:t>：杭州市萧山区新塘街道宸宇府35幢3301室住宅房地产市场价值评估【（2022）浙0726执2190号】</w:t>
      </w:r>
    </w:p>
    <w:p>
      <w:pPr>
        <w:tabs>
          <w:tab w:val="left" w:pos="2310"/>
        </w:tabs>
        <w:spacing w:line="720" w:lineRule="exact"/>
        <w:ind w:left="3977" w:leftChars="170" w:hanging="3620" w:hangingChars="700"/>
        <w:rPr>
          <w:rFonts w:ascii="仿宋_GB2312" w:eastAsia="仿宋_GB2312"/>
          <w:b/>
          <w:sz w:val="30"/>
          <w:szCs w:val="30"/>
        </w:rPr>
      </w:pPr>
      <w:r>
        <w:rPr>
          <w:rFonts w:hint="eastAsia" w:ascii="仿宋_GB2312" w:eastAsia="仿宋_GB2312"/>
          <w:b/>
          <w:spacing w:val="108"/>
          <w:sz w:val="30"/>
          <w:szCs w:val="30"/>
        </w:rPr>
        <w:t>估价委托</w:t>
      </w:r>
      <w:r>
        <w:rPr>
          <w:rFonts w:hint="eastAsia" w:ascii="仿宋_GB2312" w:eastAsia="仿宋_GB2312"/>
          <w:b/>
          <w:spacing w:val="26"/>
          <w:sz w:val="30"/>
          <w:szCs w:val="30"/>
        </w:rPr>
        <w:t>人</w:t>
      </w:r>
      <w:r>
        <w:rPr>
          <w:rFonts w:hint="eastAsia" w:ascii="仿宋_GB2312" w:eastAsia="仿宋_GB2312"/>
          <w:b/>
          <w:sz w:val="30"/>
          <w:szCs w:val="30"/>
        </w:rPr>
        <w:t>：浦江县人民法院</w:t>
      </w:r>
    </w:p>
    <w:p>
      <w:pPr>
        <w:tabs>
          <w:tab w:val="left" w:pos="2310"/>
        </w:tabs>
        <w:spacing w:line="720" w:lineRule="exact"/>
        <w:ind w:left="2773" w:leftChars="170" w:hanging="2416" w:hangingChars="700"/>
        <w:rPr>
          <w:rFonts w:ascii="仿宋_GB2312" w:eastAsia="仿宋_GB2312"/>
          <w:b/>
          <w:color w:val="000000"/>
          <w:sz w:val="30"/>
          <w:szCs w:val="30"/>
        </w:rPr>
      </w:pPr>
      <w:r>
        <w:rPr>
          <w:rFonts w:hint="eastAsia" w:ascii="仿宋_GB2312" w:eastAsia="仿宋_GB2312"/>
          <w:b/>
          <w:spacing w:val="22"/>
          <w:kern w:val="4"/>
          <w:sz w:val="30"/>
          <w:szCs w:val="30"/>
        </w:rPr>
        <w:t>房地产估价机</w:t>
      </w:r>
      <w:r>
        <w:rPr>
          <w:rFonts w:hint="eastAsia" w:ascii="仿宋_GB2312" w:eastAsia="仿宋_GB2312"/>
          <w:b/>
          <w:spacing w:val="26"/>
          <w:kern w:val="4"/>
          <w:sz w:val="30"/>
          <w:szCs w:val="30"/>
        </w:rPr>
        <w:t>构</w:t>
      </w:r>
      <w:r>
        <w:rPr>
          <w:rFonts w:hint="eastAsia" w:ascii="仿宋_GB2312" w:eastAsia="仿宋_GB2312"/>
          <w:b/>
          <w:sz w:val="30"/>
          <w:szCs w:val="30"/>
        </w:rPr>
        <w:t>：浙</w:t>
      </w:r>
      <w:r>
        <w:rPr>
          <w:rFonts w:hint="eastAsia" w:ascii="仿宋_GB2312" w:eastAsia="仿宋_GB2312"/>
          <w:b/>
          <w:color w:val="000000"/>
          <w:sz w:val="30"/>
          <w:szCs w:val="30"/>
        </w:rPr>
        <w:t>江博南土地房地产评估规划有限公司</w:t>
      </w:r>
    </w:p>
    <w:p>
      <w:pPr>
        <w:tabs>
          <w:tab w:val="left" w:pos="2310"/>
        </w:tabs>
        <w:spacing w:line="720" w:lineRule="exact"/>
        <w:ind w:left="2465" w:leftChars="170" w:hanging="2108" w:hangingChars="700"/>
        <w:rPr>
          <w:rFonts w:ascii="仿宋_GB2312" w:eastAsia="仿宋_GB2312"/>
          <w:b/>
          <w:sz w:val="30"/>
          <w:szCs w:val="30"/>
        </w:rPr>
      </w:pPr>
      <w:r>
        <w:rPr>
          <w:rFonts w:hint="eastAsia" w:ascii="仿宋_GB2312" w:eastAsia="仿宋_GB2312"/>
          <w:b/>
          <w:sz w:val="30"/>
          <w:szCs w:val="30"/>
        </w:rPr>
        <w:t>注册房地产估价</w:t>
      </w:r>
      <w:r>
        <w:rPr>
          <w:rFonts w:hint="eastAsia" w:ascii="仿宋_GB2312" w:eastAsia="仿宋_GB2312"/>
          <w:b/>
          <w:spacing w:val="26"/>
          <w:sz w:val="30"/>
          <w:szCs w:val="30"/>
        </w:rPr>
        <w:t>师</w:t>
      </w:r>
      <w:r>
        <w:rPr>
          <w:rFonts w:hint="eastAsia" w:ascii="仿宋_GB2312" w:eastAsia="仿宋_GB2312"/>
          <w:b/>
          <w:spacing w:val="30"/>
          <w:sz w:val="30"/>
          <w:szCs w:val="30"/>
        </w:rPr>
        <w:t>：</w:t>
      </w:r>
      <w:r>
        <w:rPr>
          <w:rFonts w:hint="eastAsia" w:ascii="仿宋_GB2312" w:eastAsia="仿宋_GB2312"/>
          <w:b/>
          <w:sz w:val="30"/>
          <w:szCs w:val="30"/>
        </w:rPr>
        <w:t>苏  利   注册号：3320210066</w:t>
      </w:r>
    </w:p>
    <w:p>
      <w:pPr>
        <w:tabs>
          <w:tab w:val="left" w:pos="2310"/>
        </w:tabs>
        <w:spacing w:line="720" w:lineRule="exact"/>
        <w:ind w:left="2451" w:leftChars="1167" w:firstLine="744" w:firstLineChars="247"/>
        <w:rPr>
          <w:rFonts w:ascii="仿宋_GB2312" w:eastAsia="仿宋_GB2312"/>
          <w:b/>
          <w:color w:val="000000"/>
          <w:sz w:val="30"/>
          <w:szCs w:val="30"/>
        </w:rPr>
      </w:pPr>
      <w:r>
        <w:rPr>
          <w:rFonts w:hint="eastAsia" w:ascii="仿宋_GB2312" w:eastAsia="仿宋_GB2312"/>
          <w:b/>
          <w:color w:val="000000"/>
          <w:sz w:val="30"/>
          <w:szCs w:val="30"/>
        </w:rPr>
        <w:t>宋  成</w:t>
      </w:r>
      <w:r>
        <w:rPr>
          <w:rFonts w:hint="eastAsia" w:ascii="仿宋_GB2312" w:eastAsia="仿宋_GB2312"/>
          <w:b/>
          <w:sz w:val="30"/>
          <w:szCs w:val="30"/>
        </w:rPr>
        <w:t xml:space="preserve">   注册号：</w:t>
      </w:r>
      <w:r>
        <w:rPr>
          <w:rFonts w:hint="eastAsia" w:ascii="仿宋_GB2312" w:hAnsi="宋体" w:eastAsia="仿宋_GB2312"/>
          <w:b/>
          <w:sz w:val="30"/>
          <w:szCs w:val="30"/>
        </w:rPr>
        <w:t>3320070078</w:t>
      </w:r>
      <w:r>
        <w:rPr>
          <w:rFonts w:hint="eastAsia" w:ascii="仿宋_GB2312" w:eastAsia="仿宋_GB2312"/>
          <w:b/>
          <w:sz w:val="30"/>
          <w:szCs w:val="30"/>
        </w:rPr>
        <w:t> </w:t>
      </w:r>
    </w:p>
    <w:p>
      <w:pPr>
        <w:spacing w:line="720" w:lineRule="exact"/>
        <w:ind w:left="2493" w:leftChars="170" w:hanging="2136" w:hangingChars="700"/>
        <w:rPr>
          <w:rFonts w:ascii="仿宋_GB2312" w:eastAsia="仿宋_GB2312"/>
          <w:b/>
          <w:sz w:val="30"/>
          <w:szCs w:val="30"/>
        </w:rPr>
      </w:pPr>
      <w:r>
        <w:rPr>
          <w:rFonts w:hint="eastAsia" w:ascii="仿宋_GB2312" w:eastAsia="仿宋_GB2312"/>
          <w:b/>
          <w:spacing w:val="2"/>
          <w:sz w:val="30"/>
          <w:szCs w:val="30"/>
        </w:rPr>
        <w:t>估价报告出具日</w:t>
      </w:r>
      <w:r>
        <w:rPr>
          <w:rFonts w:hint="eastAsia" w:ascii="仿宋_GB2312" w:eastAsia="仿宋_GB2312"/>
          <w:b/>
          <w:spacing w:val="26"/>
          <w:sz w:val="30"/>
          <w:szCs w:val="30"/>
        </w:rPr>
        <w:t>期</w:t>
      </w:r>
      <w:r>
        <w:rPr>
          <w:rFonts w:hint="eastAsia" w:ascii="仿宋_GB2312" w:eastAsia="仿宋_GB2312"/>
          <w:b/>
          <w:sz w:val="30"/>
          <w:szCs w:val="30"/>
        </w:rPr>
        <w:t>：2022年11月10日</w:t>
      </w:r>
    </w:p>
    <w:p>
      <w:pPr>
        <w:spacing w:line="720" w:lineRule="exact"/>
        <w:ind w:left="3361" w:leftChars="170" w:hanging="3004" w:hangingChars="700"/>
        <w:rPr>
          <w:rFonts w:ascii="仿宋_GB2312" w:eastAsia="仿宋_GB2312"/>
          <w:b/>
          <w:sz w:val="30"/>
          <w:szCs w:val="30"/>
        </w:rPr>
      </w:pPr>
      <w:r>
        <w:rPr>
          <w:rFonts w:hint="eastAsia" w:ascii="仿宋_GB2312" w:eastAsia="仿宋_GB2312"/>
          <w:b/>
          <w:color w:val="000000"/>
          <w:spacing w:val="64"/>
          <w:sz w:val="30"/>
          <w:szCs w:val="30"/>
        </w:rPr>
        <w:t>估价报告编</w:t>
      </w:r>
      <w:r>
        <w:rPr>
          <w:rFonts w:hint="eastAsia" w:ascii="仿宋_GB2312" w:eastAsia="仿宋_GB2312"/>
          <w:b/>
          <w:color w:val="000000"/>
          <w:spacing w:val="26"/>
          <w:sz w:val="30"/>
          <w:szCs w:val="30"/>
        </w:rPr>
        <w:t>号</w:t>
      </w:r>
      <w:r>
        <w:rPr>
          <w:rFonts w:hint="eastAsia" w:ascii="仿宋_GB2312" w:eastAsia="仿宋_GB2312"/>
          <w:b/>
          <w:color w:val="000000"/>
          <w:sz w:val="30"/>
          <w:szCs w:val="30"/>
        </w:rPr>
        <w:t>：浙博房估</w:t>
      </w:r>
      <w:r>
        <w:rPr>
          <w:rFonts w:hint="eastAsia" w:ascii="仿宋_GB2312" w:hAnsi="宋体" w:eastAsia="仿宋_GB2312"/>
          <w:b/>
          <w:color w:val="000000"/>
          <w:sz w:val="30"/>
          <w:szCs w:val="30"/>
        </w:rPr>
        <w:t>[</w:t>
      </w:r>
      <w:r>
        <w:rPr>
          <w:rFonts w:hint="eastAsia" w:ascii="仿宋_GB2312" w:eastAsia="仿宋_GB2312"/>
          <w:b/>
          <w:color w:val="000000"/>
          <w:sz w:val="30"/>
          <w:szCs w:val="30"/>
        </w:rPr>
        <w:t>2022</w:t>
      </w:r>
      <w:r>
        <w:rPr>
          <w:rFonts w:hint="eastAsia" w:ascii="仿宋_GB2312" w:hAnsi="宋体" w:eastAsia="仿宋_GB2312"/>
          <w:b/>
          <w:color w:val="000000"/>
          <w:sz w:val="30"/>
          <w:szCs w:val="30"/>
        </w:rPr>
        <w:t>]</w:t>
      </w:r>
      <w:r>
        <w:rPr>
          <w:rFonts w:hint="eastAsia" w:ascii="仿宋_GB2312" w:eastAsia="仿宋_GB2312"/>
          <w:b/>
          <w:sz w:val="30"/>
          <w:szCs w:val="30"/>
        </w:rPr>
        <w:t>第</w:t>
      </w:r>
      <w:r>
        <w:rPr>
          <w:rFonts w:ascii="仿宋_GB2312" w:eastAsia="仿宋_GB2312"/>
          <w:b/>
          <w:sz w:val="30"/>
          <w:szCs w:val="30"/>
        </w:rPr>
        <w:t>1028</w:t>
      </w:r>
      <w:r>
        <w:rPr>
          <w:rFonts w:hint="eastAsia" w:ascii="仿宋_GB2312" w:eastAsia="仿宋_GB2312"/>
          <w:b/>
          <w:sz w:val="30"/>
          <w:szCs w:val="30"/>
        </w:rPr>
        <w:t>号</w:t>
      </w:r>
      <w:bookmarkStart w:id="0" w:name="_Toc293686339"/>
      <w:bookmarkStart w:id="1" w:name="_Toc293686506"/>
    </w:p>
    <w:p>
      <w:pPr>
        <w:spacing w:before="156" w:beforeLines="50" w:after="156" w:afterLines="50"/>
        <w:jc w:val="center"/>
        <w:rPr>
          <w:rFonts w:ascii="宋体" w:hAnsi="宋体"/>
          <w:b/>
          <w:color w:val="000000"/>
          <w:sz w:val="36"/>
          <w:szCs w:val="36"/>
        </w:rPr>
      </w:pPr>
      <w:r>
        <w:rPr>
          <w:rFonts w:ascii="宋体" w:hAnsi="宋体"/>
          <w:sz w:val="36"/>
          <w:szCs w:val="36"/>
        </w:rPr>
        <w:br w:type="page"/>
      </w:r>
      <w:r>
        <w:rPr>
          <w:rFonts w:hint="eastAsia" w:ascii="宋体" w:hAnsi="宋体"/>
          <w:b/>
          <w:color w:val="000000"/>
          <w:sz w:val="36"/>
          <w:szCs w:val="36"/>
        </w:rPr>
        <w:t>致估价委托人函</w:t>
      </w:r>
      <w:bookmarkEnd w:id="0"/>
      <w:bookmarkEnd w:id="1"/>
    </w:p>
    <w:p>
      <w:pPr>
        <w:tabs>
          <w:tab w:val="left" w:pos="-4320"/>
        </w:tabs>
        <w:spacing w:line="480" w:lineRule="exact"/>
        <w:rPr>
          <w:rFonts w:ascii="仿宋_GB2312" w:hAnsi="宋体" w:eastAsia="仿宋_GB2312"/>
          <w:b/>
          <w:color w:val="000000"/>
          <w:sz w:val="28"/>
          <w:szCs w:val="28"/>
        </w:rPr>
      </w:pPr>
      <w:r>
        <w:rPr>
          <w:rFonts w:hint="eastAsia" w:ascii="仿宋_GB2312" w:hAnsi="宋体" w:eastAsia="仿宋_GB2312"/>
          <w:b/>
          <w:color w:val="000000"/>
          <w:sz w:val="30"/>
          <w:szCs w:val="30"/>
        </w:rPr>
        <w:t>浦江县人民法院</w:t>
      </w:r>
      <w:r>
        <w:rPr>
          <w:rFonts w:hint="eastAsia" w:ascii="仿宋_GB2312" w:hAnsi="宋体" w:eastAsia="仿宋_GB2312"/>
          <w:b/>
          <w:color w:val="000000"/>
          <w:sz w:val="28"/>
          <w:szCs w:val="28"/>
        </w:rPr>
        <w:t>：</w:t>
      </w:r>
    </w:p>
    <w:p>
      <w:pPr>
        <w:tabs>
          <w:tab w:val="left" w:pos="-4320"/>
        </w:tabs>
        <w:spacing w:line="480" w:lineRule="exact"/>
        <w:ind w:firstLine="560" w:firstLineChars="200"/>
        <w:rPr>
          <w:rFonts w:ascii="仿宋_GB2312" w:hAnsi="宋体" w:eastAsia="仿宋_GB2312"/>
          <w:sz w:val="28"/>
          <w:szCs w:val="28"/>
        </w:rPr>
      </w:pPr>
      <w:r>
        <w:rPr>
          <w:rFonts w:hint="eastAsia" w:ascii="仿宋_GB2312" w:hAnsi="宋体" w:eastAsia="仿宋_GB2312"/>
          <w:color w:val="000000"/>
          <w:sz w:val="28"/>
          <w:szCs w:val="28"/>
        </w:rPr>
        <w:t>受贵方委托，我公司已组织专业估价人员对位于杭州市萧山区新塘街道宸宇府35幢3301室住宅房地产在现状利用条件下的市场价值进行了评估，</w:t>
      </w:r>
      <w:r>
        <w:rPr>
          <w:rFonts w:hint="eastAsia" w:ascii="仿宋_GB2312" w:hAnsi="宋体" w:eastAsia="仿宋_GB2312"/>
          <w:sz w:val="28"/>
          <w:szCs w:val="28"/>
        </w:rPr>
        <w:t>估价目的是为人民法院确定财产处置参考价提供参考依据而评估房地产市场价值，价值时点为2022年11月01日。</w:t>
      </w:r>
    </w:p>
    <w:p>
      <w:pPr>
        <w:tabs>
          <w:tab w:val="left" w:pos="-4320"/>
        </w:tabs>
        <w:spacing w:line="480" w:lineRule="exact"/>
        <w:ind w:firstLine="560" w:firstLineChars="200"/>
        <w:rPr>
          <w:rFonts w:ascii="仿宋_GB2312" w:hAnsi="宋体" w:eastAsia="仿宋_GB2312"/>
          <w:color w:val="000000"/>
          <w:sz w:val="28"/>
          <w:szCs w:val="28"/>
        </w:rPr>
      </w:pPr>
      <w:r>
        <w:rPr>
          <w:rFonts w:hint="eastAsia" w:ascii="仿宋_GB2312" w:eastAsia="仿宋_GB2312"/>
          <w:sz w:val="28"/>
          <w:szCs w:val="28"/>
        </w:rPr>
        <w:t>估价对象坐落于</w:t>
      </w:r>
      <w:r>
        <w:rPr>
          <w:rFonts w:hint="eastAsia" w:ascii="仿宋_GB2312" w:hAnsi="宋体" w:eastAsia="仿宋_GB2312"/>
          <w:color w:val="000000"/>
          <w:sz w:val="28"/>
          <w:szCs w:val="28"/>
        </w:rPr>
        <w:t>杭州市萧山区新塘街道宸宇府35幢3301室</w:t>
      </w:r>
      <w:r>
        <w:rPr>
          <w:rFonts w:hint="eastAsia" w:ascii="仿宋_GB2312" w:eastAsia="仿宋_GB2312"/>
          <w:sz w:val="28"/>
          <w:szCs w:val="28"/>
        </w:rPr>
        <w:t>，权利人为张</w:t>
      </w:r>
      <w:r>
        <w:rPr>
          <w:rFonts w:hint="eastAsia" w:ascii="仿宋_GB2312" w:eastAsia="仿宋_GB2312"/>
          <w:sz w:val="28"/>
          <w:szCs w:val="28"/>
          <w:lang w:eastAsia="zh-CN"/>
        </w:rPr>
        <w:t>某某</w:t>
      </w:r>
      <w:r>
        <w:rPr>
          <w:rFonts w:hint="eastAsia" w:ascii="仿宋_GB2312" w:eastAsia="仿宋_GB2312"/>
          <w:sz w:val="28"/>
          <w:szCs w:val="28"/>
        </w:rPr>
        <w:t>、任</w:t>
      </w:r>
      <w:bookmarkStart w:id="61" w:name="_GoBack"/>
      <w:bookmarkEnd w:id="61"/>
      <w:r>
        <w:rPr>
          <w:rFonts w:hint="eastAsia" w:ascii="仿宋_GB2312" w:eastAsia="仿宋_GB2312"/>
          <w:sz w:val="28"/>
          <w:szCs w:val="28"/>
          <w:lang w:eastAsia="zh-CN"/>
        </w:rPr>
        <w:t>某某</w:t>
      </w:r>
      <w:r>
        <w:rPr>
          <w:rFonts w:hint="eastAsia" w:ascii="仿宋_GB2312" w:eastAsia="仿宋_GB2312"/>
          <w:sz w:val="28"/>
          <w:szCs w:val="28"/>
        </w:rPr>
        <w:t>，建筑面积120.83平方米，国有土地使用权面积8</w:t>
      </w:r>
      <w:r>
        <w:rPr>
          <w:rFonts w:ascii="仿宋_GB2312" w:eastAsia="仿宋_GB2312"/>
          <w:sz w:val="28"/>
          <w:szCs w:val="28"/>
        </w:rPr>
        <w:t>.4</w:t>
      </w:r>
      <w:r>
        <w:rPr>
          <w:rFonts w:hint="eastAsia" w:ascii="仿宋_GB2312" w:eastAsia="仿宋_GB2312"/>
          <w:sz w:val="28"/>
          <w:szCs w:val="28"/>
        </w:rPr>
        <w:t>平方米，土地权利类型性质为国有建设用地使用权出让，土地用途为城镇住宅用地，土地使用期限至2089年2月14日。</w:t>
      </w:r>
    </w:p>
    <w:p>
      <w:pPr>
        <w:tabs>
          <w:tab w:val="left" w:pos="-4320"/>
        </w:tabs>
        <w:spacing w:line="480" w:lineRule="exact"/>
        <w:ind w:firstLine="560" w:firstLineChars="200"/>
        <w:rPr>
          <w:rFonts w:ascii="仿宋_GB2312" w:hAnsi="宋体" w:eastAsia="仿宋_GB2312"/>
          <w:bCs/>
          <w:color w:val="000000"/>
          <w:sz w:val="28"/>
          <w:szCs w:val="28"/>
        </w:rPr>
      </w:pPr>
      <w:r>
        <w:rPr>
          <w:rFonts w:hint="eastAsia" w:ascii="仿宋_GB2312" w:hAnsi="宋体" w:eastAsia="仿宋_GB2312"/>
          <w:sz w:val="28"/>
          <w:szCs w:val="28"/>
        </w:rPr>
        <w:t>根据国家有关法律法规和技术规范的要求，遵循独立、客观、公正、合法的估价原则，按照估价工作程序，</w:t>
      </w:r>
      <w:r>
        <w:rPr>
          <w:rFonts w:hint="eastAsia" w:ascii="仿宋_GB2312" w:hAnsi="宋体" w:eastAsia="仿宋_GB2312"/>
          <w:color w:val="000000"/>
          <w:sz w:val="28"/>
          <w:szCs w:val="28"/>
        </w:rPr>
        <w:t>运用比较法、收益法，</w:t>
      </w:r>
      <w:r>
        <w:rPr>
          <w:rFonts w:hint="eastAsia" w:ascii="仿宋_GB2312" w:hAnsi="宋体" w:eastAsia="仿宋_GB2312"/>
          <w:sz w:val="28"/>
          <w:szCs w:val="28"/>
        </w:rPr>
        <w:t>在认真分析现有资料的基础上，经过周密准确的测算，并详细考虑了影响房地产价格的各项因素，确定估价对象在价值时点2022年11月01日</w:t>
      </w:r>
      <w:r>
        <w:rPr>
          <w:rFonts w:hint="eastAsia" w:ascii="仿宋_GB2312" w:hAnsi="宋体" w:eastAsia="仿宋_GB2312"/>
          <w:bCs/>
          <w:sz w:val="28"/>
          <w:szCs w:val="28"/>
        </w:rPr>
        <w:t>的市场价值为：（币种：人民币）</w:t>
      </w:r>
    </w:p>
    <w:p>
      <w:pPr>
        <w:pStyle w:val="25"/>
        <w:tabs>
          <w:tab w:val="left" w:pos="5370"/>
        </w:tabs>
        <w:adjustRightInd w:val="0"/>
        <w:snapToGrid w:val="0"/>
        <w:spacing w:before="0" w:after="0" w:line="560" w:lineRule="exact"/>
        <w:ind w:firstLine="1405" w:firstLineChars="500"/>
        <w:jc w:val="both"/>
        <w:rPr>
          <w:rFonts w:ascii="仿宋_GB2312" w:eastAsia="仿宋_GB2312"/>
          <w:b/>
          <w:color w:val="000000"/>
          <w:sz w:val="28"/>
          <w:szCs w:val="28"/>
        </w:rPr>
      </w:pPr>
      <w:r>
        <w:rPr>
          <w:rFonts w:hint="eastAsia" w:ascii="仿宋_GB2312" w:eastAsia="仿宋_GB2312"/>
          <w:b/>
          <w:color w:val="000000"/>
          <w:sz w:val="28"/>
          <w:szCs w:val="28"/>
        </w:rPr>
        <w:t>房地产总价：410.66万元</w:t>
      </w:r>
      <w:r>
        <w:rPr>
          <w:rFonts w:ascii="仿宋_GB2312" w:eastAsia="仿宋_GB2312"/>
          <w:b/>
          <w:color w:val="000000"/>
          <w:sz w:val="28"/>
          <w:szCs w:val="28"/>
        </w:rPr>
        <w:tab/>
      </w:r>
    </w:p>
    <w:p>
      <w:pPr>
        <w:pStyle w:val="25"/>
        <w:adjustRightInd w:val="0"/>
        <w:snapToGrid w:val="0"/>
        <w:spacing w:before="0" w:after="0" w:line="500" w:lineRule="exact"/>
        <w:ind w:firstLine="1405" w:firstLineChars="500"/>
        <w:jc w:val="both"/>
        <w:rPr>
          <w:rFonts w:ascii="仿宋_GB2312" w:eastAsia="仿宋_GB2312"/>
          <w:b/>
          <w:color w:val="000000"/>
          <w:sz w:val="28"/>
          <w:szCs w:val="28"/>
        </w:rPr>
      </w:pPr>
      <w:r>
        <w:rPr>
          <w:rFonts w:hint="eastAsia" w:ascii="仿宋_GB2312" w:eastAsia="仿宋_GB2312"/>
          <w:b/>
          <w:color w:val="000000"/>
          <w:sz w:val="28"/>
          <w:szCs w:val="28"/>
        </w:rPr>
        <w:t>大写金额：</w:t>
      </w:r>
      <w:r>
        <w:rPr>
          <w:rFonts w:ascii="仿宋_GB2312" w:eastAsia="仿宋_GB2312"/>
          <w:b/>
          <w:color w:val="000000"/>
          <w:sz w:val="28"/>
          <w:szCs w:val="28"/>
        </w:rPr>
        <w:fldChar w:fldCharType="begin"/>
      </w:r>
      <w:r>
        <w:rPr>
          <w:rFonts w:ascii="仿宋_GB2312" w:eastAsia="仿宋_GB2312"/>
          <w:b/>
          <w:color w:val="000000"/>
          <w:sz w:val="28"/>
          <w:szCs w:val="28"/>
        </w:rPr>
        <w:instrText xml:space="preserve"> </w:instrText>
      </w:r>
      <w:r>
        <w:rPr>
          <w:rFonts w:hint="eastAsia" w:ascii="仿宋_GB2312" w:eastAsia="仿宋_GB2312"/>
          <w:b/>
          <w:color w:val="000000"/>
          <w:sz w:val="28"/>
          <w:szCs w:val="28"/>
        </w:rPr>
        <w:instrText xml:space="preserve">= 1539500 \* CHINESENUM2</w:instrText>
      </w:r>
      <w:r>
        <w:rPr>
          <w:rFonts w:ascii="仿宋_GB2312" w:eastAsia="仿宋_GB2312"/>
          <w:b/>
          <w:color w:val="000000"/>
          <w:sz w:val="28"/>
          <w:szCs w:val="28"/>
        </w:rPr>
        <w:instrText xml:space="preserve"> </w:instrText>
      </w:r>
      <w:r>
        <w:rPr>
          <w:rFonts w:ascii="仿宋_GB2312" w:eastAsia="仿宋_GB2312"/>
          <w:b/>
          <w:color w:val="000000"/>
          <w:sz w:val="28"/>
          <w:szCs w:val="28"/>
        </w:rPr>
        <w:fldChar w:fldCharType="separate"/>
      </w:r>
      <w:r>
        <w:rPr>
          <w:rFonts w:hint="eastAsia" w:ascii="仿宋_GB2312" w:eastAsia="仿宋_GB2312"/>
          <w:b/>
          <w:color w:val="000000"/>
          <w:sz w:val="28"/>
          <w:szCs w:val="28"/>
        </w:rPr>
        <w:t>肆佰壹拾万陆仟陆佰</w:t>
      </w:r>
      <w:r>
        <w:rPr>
          <w:rFonts w:ascii="仿宋_GB2312" w:eastAsia="仿宋_GB2312"/>
          <w:b/>
          <w:color w:val="000000"/>
          <w:sz w:val="28"/>
          <w:szCs w:val="28"/>
        </w:rPr>
        <w:fldChar w:fldCharType="end"/>
      </w:r>
      <w:r>
        <w:rPr>
          <w:rFonts w:hint="eastAsia" w:ascii="仿宋_GB2312" w:eastAsia="仿宋_GB2312"/>
          <w:b/>
          <w:color w:val="000000"/>
          <w:sz w:val="28"/>
          <w:szCs w:val="28"/>
        </w:rPr>
        <w:t>圆整</w:t>
      </w:r>
    </w:p>
    <w:p>
      <w:pPr>
        <w:pStyle w:val="25"/>
        <w:adjustRightInd w:val="0"/>
        <w:snapToGrid w:val="0"/>
        <w:spacing w:before="0" w:after="0" w:line="500" w:lineRule="exact"/>
        <w:ind w:firstLine="1400" w:firstLineChars="500"/>
        <w:jc w:val="both"/>
        <w:rPr>
          <w:rFonts w:ascii="仿宋_GB2312" w:eastAsia="仿宋_GB2312"/>
          <w:b/>
          <w:bCs/>
          <w:color w:val="FF0000"/>
          <w:sz w:val="28"/>
          <w:szCs w:val="28"/>
        </w:rPr>
      </w:pPr>
      <w:r>
        <w:rPr>
          <w:rFonts w:hint="eastAsia" w:ascii="仿宋_GB2312" w:eastAsia="仿宋_GB2312"/>
          <w:bCs/>
          <w:sz w:val="28"/>
          <w:szCs w:val="28"/>
        </w:rPr>
        <w:t>（详见估价结果一览表1-</w:t>
      </w:r>
      <w:r>
        <w:rPr>
          <w:rFonts w:ascii="仿宋_GB2312" w:eastAsia="仿宋_GB2312"/>
          <w:bCs/>
          <w:sz w:val="28"/>
          <w:szCs w:val="28"/>
        </w:rPr>
        <w:t>1</w:t>
      </w:r>
      <w:r>
        <w:rPr>
          <w:rFonts w:hint="eastAsia" w:ascii="仿宋_GB2312" w:eastAsia="仿宋_GB2312"/>
          <w:bCs/>
          <w:sz w:val="28"/>
          <w:szCs w:val="28"/>
        </w:rPr>
        <w:t>）</w:t>
      </w:r>
    </w:p>
    <w:p>
      <w:pPr>
        <w:spacing w:line="480" w:lineRule="exact"/>
        <w:ind w:right="560"/>
        <w:jc w:val="left"/>
        <w:rPr>
          <w:rFonts w:ascii="仿宋_GB2312" w:hAnsi="宋体" w:eastAsia="仿宋_GB2312"/>
          <w:color w:val="000000"/>
          <w:sz w:val="28"/>
          <w:szCs w:val="28"/>
        </w:rPr>
      </w:pPr>
      <w:r>
        <w:rPr>
          <w:rFonts w:hint="eastAsia" w:ascii="仿宋_GB2312" w:hAnsi="宋体" w:eastAsia="仿宋_GB2312"/>
          <w:color w:val="000000"/>
          <w:sz w:val="28"/>
          <w:szCs w:val="28"/>
        </w:rPr>
        <w:t>特此函告！</w:t>
      </w:r>
    </w:p>
    <w:p>
      <w:pPr>
        <w:spacing w:line="480" w:lineRule="exact"/>
        <w:ind w:left="1197" w:right="81" w:hanging="1197" w:hangingChars="497"/>
        <w:jc w:val="left"/>
        <w:rPr>
          <w:rFonts w:ascii="仿宋_GB2312" w:eastAsia="仿宋_GB2312"/>
          <w:sz w:val="24"/>
        </w:rPr>
      </w:pPr>
      <w:r>
        <w:rPr>
          <w:rFonts w:hint="eastAsia" w:ascii="仿宋_GB2312" w:hAnsi="宋体" w:eastAsia="仿宋_GB2312"/>
          <w:b/>
          <w:sz w:val="24"/>
        </w:rPr>
        <w:t>特别提示：</w:t>
      </w:r>
      <w:r>
        <w:rPr>
          <w:rFonts w:hint="eastAsia" w:ascii="仿宋_GB2312" w:eastAsia="仿宋_GB2312"/>
          <w:sz w:val="24"/>
        </w:rPr>
        <w:t xml:space="preserve">本估价结果受到本估价报告中估价假设和限制条件的限制，报告使用者在使用之前须对本估价报告全文加以认真阅读和理解。 </w:t>
      </w:r>
    </w:p>
    <w:p>
      <w:pPr>
        <w:spacing w:line="480" w:lineRule="exact"/>
        <w:ind w:right="560" w:firstLine="3500" w:firstLineChars="1250"/>
        <w:rPr>
          <w:rFonts w:ascii="仿宋_GB2312" w:hAnsi="宋体" w:eastAsia="仿宋_GB2312"/>
          <w:color w:val="000000"/>
          <w:sz w:val="28"/>
          <w:szCs w:val="28"/>
        </w:rPr>
      </w:pPr>
      <w:r>
        <w:rPr>
          <w:rFonts w:hint="eastAsia" w:ascii="仿宋_GB2312" w:hAnsi="宋体" w:eastAsia="仿宋_GB2312"/>
          <w:color w:val="000000"/>
          <w:sz w:val="28"/>
          <w:szCs w:val="28"/>
        </w:rPr>
        <w:t>浙江博南土地房地产评估规划有限公司</w:t>
      </w:r>
    </w:p>
    <w:p>
      <w:pPr>
        <w:spacing w:before="312" w:beforeLines="100" w:after="312" w:afterLines="100" w:line="480" w:lineRule="exact"/>
        <w:ind w:firstLine="2912" w:firstLineChars="1040"/>
        <w:rPr>
          <w:rFonts w:ascii="仿宋_GB2312" w:hAnsi="宋体" w:eastAsia="仿宋_GB2312"/>
          <w:color w:val="000000"/>
          <w:sz w:val="28"/>
          <w:szCs w:val="28"/>
        </w:rPr>
      </w:pPr>
      <w:r>
        <w:rPr>
          <w:rFonts w:hint="eastAsia" w:ascii="仿宋_GB2312" w:hAnsi="宋体" w:eastAsia="仿宋_GB2312"/>
          <w:color w:val="000000"/>
          <w:sz w:val="28"/>
          <w:szCs w:val="28"/>
        </w:rPr>
        <w:t xml:space="preserve">    法定代表人：</w:t>
      </w:r>
    </w:p>
    <w:p>
      <w:pPr>
        <w:spacing w:line="480" w:lineRule="exact"/>
        <w:ind w:left="2246" w:leftChars="142" w:hanging="1948" w:hangingChars="696"/>
        <w:jc w:val="center"/>
        <w:rPr>
          <w:rFonts w:ascii="仿宋_GB2312" w:hAnsi="宋体" w:eastAsia="仿宋_GB2312"/>
          <w:color w:val="000000"/>
          <w:sz w:val="28"/>
          <w:szCs w:val="28"/>
        </w:rPr>
        <w:sectPr>
          <w:headerReference r:id="rId4" w:type="first"/>
          <w:headerReference r:id="rId3" w:type="default"/>
          <w:footerReference r:id="rId5" w:type="default"/>
          <w:pgSz w:w="11907" w:h="16840"/>
          <w:pgMar w:top="1588" w:right="1418" w:bottom="1588" w:left="1588" w:header="851" w:footer="454" w:gutter="0"/>
          <w:cols w:space="425" w:num="1"/>
          <w:docGrid w:type="lines" w:linePitch="312" w:charSpace="0"/>
        </w:sectPr>
      </w:pPr>
      <w:r>
        <w:rPr>
          <w:rFonts w:hint="eastAsia" w:ascii="仿宋_GB2312" w:hAnsi="宋体" w:eastAsia="仿宋_GB2312"/>
          <w:color w:val="000000"/>
          <w:sz w:val="28"/>
          <w:szCs w:val="28"/>
        </w:rPr>
        <w:t xml:space="preserve">                              二○二二年十一月十日</w:t>
      </w:r>
    </w:p>
    <w:p>
      <w:pPr>
        <w:spacing w:line="480" w:lineRule="exact"/>
        <w:rPr>
          <w:rFonts w:ascii="宋体" w:hAnsi="宋体"/>
          <w:b/>
          <w:color w:val="000000"/>
          <w:sz w:val="36"/>
          <w:szCs w:val="36"/>
        </w:rPr>
      </w:pPr>
    </w:p>
    <w:p>
      <w:pPr>
        <w:spacing w:line="400" w:lineRule="exact"/>
        <w:jc w:val="center"/>
        <w:rPr>
          <w:rFonts w:ascii="宋体" w:hAnsi="宋体"/>
          <w:b/>
          <w:color w:val="000000"/>
          <w:sz w:val="30"/>
          <w:szCs w:val="30"/>
        </w:rPr>
      </w:pPr>
      <w:r>
        <w:rPr>
          <w:rFonts w:hint="eastAsia" w:ascii="宋体" w:hAnsi="宋体"/>
          <w:b/>
          <w:color w:val="000000"/>
          <w:sz w:val="30"/>
          <w:szCs w:val="30"/>
        </w:rPr>
        <w:t>表1-1  估价结果一览表</w:t>
      </w:r>
    </w:p>
    <w:p>
      <w:pPr>
        <w:spacing w:line="480" w:lineRule="exact"/>
        <w:jc w:val="center"/>
        <w:rPr>
          <w:rFonts w:ascii="宋体" w:hAnsi="宋体"/>
          <w:b/>
          <w:color w:val="000000"/>
          <w:sz w:val="28"/>
          <w:szCs w:val="28"/>
        </w:rPr>
      </w:pPr>
    </w:p>
    <w:tbl>
      <w:tblPr>
        <w:tblStyle w:val="27"/>
        <w:tblW w:w="48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3831"/>
        <w:gridCol w:w="1964"/>
        <w:gridCol w:w="1964"/>
        <w:gridCol w:w="2099"/>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562" w:type="pct"/>
            <w:vAlign w:val="center"/>
          </w:tcPr>
          <w:p>
            <w:pPr>
              <w:spacing w:line="400" w:lineRule="exact"/>
              <w:jc w:val="center"/>
              <w:rPr>
                <w:rFonts w:ascii="仿宋_GB2312" w:hAnsi="宋体" w:eastAsia="仿宋_GB2312"/>
                <w:b/>
                <w:color w:val="000000"/>
                <w:szCs w:val="21"/>
              </w:rPr>
            </w:pPr>
            <w:r>
              <w:rPr>
                <w:rFonts w:hint="eastAsia" w:ascii="仿宋_GB2312" w:hAnsi="宋体" w:eastAsia="仿宋_GB2312"/>
                <w:b/>
                <w:color w:val="000000"/>
                <w:szCs w:val="21"/>
              </w:rPr>
              <w:t>编号</w:t>
            </w:r>
          </w:p>
        </w:tc>
        <w:tc>
          <w:tcPr>
            <w:tcW w:w="1422" w:type="pct"/>
            <w:vAlign w:val="center"/>
          </w:tcPr>
          <w:p>
            <w:pPr>
              <w:spacing w:line="400" w:lineRule="exact"/>
              <w:jc w:val="center"/>
              <w:rPr>
                <w:rFonts w:ascii="仿宋_GB2312" w:hAnsi="宋体" w:eastAsia="仿宋_GB2312"/>
                <w:b/>
                <w:color w:val="000000"/>
                <w:szCs w:val="21"/>
              </w:rPr>
            </w:pPr>
            <w:r>
              <w:rPr>
                <w:rFonts w:hint="eastAsia" w:ascii="仿宋_GB2312" w:hAnsi="宋体" w:eastAsia="仿宋_GB2312"/>
                <w:b/>
                <w:color w:val="000000"/>
                <w:szCs w:val="21"/>
              </w:rPr>
              <w:t>坐落</w:t>
            </w:r>
          </w:p>
        </w:tc>
        <w:tc>
          <w:tcPr>
            <w:tcW w:w="729" w:type="pct"/>
            <w:vAlign w:val="center"/>
          </w:tcPr>
          <w:p>
            <w:pPr>
              <w:spacing w:line="400" w:lineRule="exact"/>
              <w:jc w:val="center"/>
              <w:rPr>
                <w:rFonts w:ascii="仿宋_GB2312" w:hAnsi="宋体" w:eastAsia="仿宋_GB2312"/>
                <w:b/>
                <w:color w:val="000000"/>
                <w:szCs w:val="21"/>
              </w:rPr>
            </w:pPr>
            <w:r>
              <w:rPr>
                <w:rFonts w:hint="eastAsia" w:ascii="仿宋_GB2312" w:hAnsi="宋体" w:eastAsia="仿宋_GB2312"/>
                <w:b/>
                <w:color w:val="000000"/>
                <w:szCs w:val="21"/>
              </w:rPr>
              <w:t>规划用途</w:t>
            </w:r>
          </w:p>
        </w:tc>
        <w:tc>
          <w:tcPr>
            <w:tcW w:w="729" w:type="pct"/>
            <w:vAlign w:val="center"/>
          </w:tcPr>
          <w:p>
            <w:pPr>
              <w:spacing w:line="400" w:lineRule="exact"/>
              <w:jc w:val="center"/>
              <w:rPr>
                <w:rFonts w:ascii="仿宋_GB2312" w:hAnsi="宋体" w:eastAsia="仿宋_GB2312"/>
                <w:b/>
                <w:color w:val="000000"/>
                <w:szCs w:val="21"/>
              </w:rPr>
            </w:pPr>
            <w:r>
              <w:rPr>
                <w:rFonts w:hint="eastAsia" w:ascii="仿宋_GB2312" w:hAnsi="宋体" w:eastAsia="仿宋_GB2312"/>
                <w:b/>
                <w:color w:val="000000"/>
                <w:szCs w:val="21"/>
              </w:rPr>
              <w:t>建筑面积（</w:t>
            </w:r>
            <w:r>
              <w:rPr>
                <w:rFonts w:hint="eastAsia" w:ascii="宋体" w:hAnsi="宋体" w:cs="宋体"/>
                <w:b/>
                <w:color w:val="000000"/>
                <w:szCs w:val="21"/>
              </w:rPr>
              <w:t>㎡</w:t>
            </w:r>
            <w:r>
              <w:rPr>
                <w:rFonts w:hint="eastAsia" w:ascii="仿宋_GB2312" w:hAnsi="宋体" w:eastAsia="仿宋_GB2312"/>
                <w:b/>
                <w:color w:val="000000"/>
                <w:szCs w:val="21"/>
              </w:rPr>
              <w:t>）</w:t>
            </w:r>
          </w:p>
        </w:tc>
        <w:tc>
          <w:tcPr>
            <w:tcW w:w="779" w:type="pct"/>
            <w:vAlign w:val="center"/>
          </w:tcPr>
          <w:p>
            <w:pPr>
              <w:spacing w:line="400" w:lineRule="exact"/>
              <w:jc w:val="center"/>
              <w:rPr>
                <w:rFonts w:ascii="仿宋_GB2312" w:hAnsi="宋体" w:eastAsia="仿宋_GB2312"/>
                <w:b/>
                <w:color w:val="000000"/>
                <w:szCs w:val="21"/>
              </w:rPr>
            </w:pPr>
            <w:r>
              <w:rPr>
                <w:rFonts w:hint="eastAsia" w:ascii="仿宋_GB2312" w:hAnsi="宋体" w:eastAsia="仿宋_GB2312"/>
                <w:b/>
                <w:color w:val="000000"/>
                <w:szCs w:val="21"/>
              </w:rPr>
              <w:t>评估单价</w:t>
            </w:r>
          </w:p>
        </w:tc>
        <w:tc>
          <w:tcPr>
            <w:tcW w:w="778" w:type="pct"/>
            <w:vAlign w:val="center"/>
          </w:tcPr>
          <w:p>
            <w:pPr>
              <w:spacing w:line="400" w:lineRule="exact"/>
              <w:jc w:val="center"/>
              <w:rPr>
                <w:rFonts w:ascii="仿宋_GB2312" w:hAnsi="宋体" w:eastAsia="仿宋_GB2312"/>
                <w:b/>
                <w:color w:val="000000"/>
                <w:szCs w:val="21"/>
              </w:rPr>
            </w:pPr>
            <w:r>
              <w:rPr>
                <w:rFonts w:hint="eastAsia" w:ascii="仿宋_GB2312" w:hAnsi="宋体" w:eastAsia="仿宋_GB2312"/>
                <w:b/>
                <w:color w:val="000000"/>
                <w:szCs w:val="21"/>
              </w:rPr>
              <w:t>评估总价</w:t>
            </w:r>
          </w:p>
          <w:p>
            <w:pPr>
              <w:spacing w:line="400" w:lineRule="exact"/>
              <w:jc w:val="center"/>
              <w:rPr>
                <w:rFonts w:ascii="仿宋_GB2312" w:hAnsi="宋体" w:eastAsia="仿宋_GB2312"/>
                <w:b/>
                <w:color w:val="000000"/>
                <w:szCs w:val="21"/>
              </w:rPr>
            </w:pPr>
            <w:r>
              <w:rPr>
                <w:rFonts w:hint="eastAsia" w:ascii="仿宋_GB2312" w:hAnsi="宋体" w:eastAsia="仿宋_GB2312"/>
                <w:b/>
                <w:color w:val="000000"/>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2" w:type="pct"/>
            <w:vAlign w:val="center"/>
          </w:tcPr>
          <w:p>
            <w:pPr>
              <w:spacing w:line="400" w:lineRule="exact"/>
              <w:jc w:val="center"/>
              <w:rPr>
                <w:rFonts w:ascii="仿宋_GB2312" w:hAnsi="宋体" w:eastAsia="仿宋_GB2312"/>
                <w:sz w:val="22"/>
                <w:szCs w:val="21"/>
              </w:rPr>
            </w:pPr>
            <w:r>
              <w:rPr>
                <w:rFonts w:hint="eastAsia" w:ascii="仿宋_GB2312" w:hAnsi="宋体" w:eastAsia="仿宋_GB2312"/>
                <w:sz w:val="22"/>
                <w:szCs w:val="21"/>
              </w:rPr>
              <w:t>1</w:t>
            </w:r>
          </w:p>
        </w:tc>
        <w:tc>
          <w:tcPr>
            <w:tcW w:w="1422" w:type="pct"/>
            <w:vAlign w:val="center"/>
          </w:tcPr>
          <w:p>
            <w:pPr>
              <w:jc w:val="center"/>
              <w:rPr>
                <w:rFonts w:ascii="仿宋_GB2312" w:eastAsia="仿宋_GB2312"/>
                <w:sz w:val="22"/>
                <w:szCs w:val="21"/>
              </w:rPr>
            </w:pPr>
            <w:r>
              <w:rPr>
                <w:rFonts w:hint="eastAsia" w:ascii="仿宋_GB2312" w:eastAsia="仿宋_GB2312"/>
                <w:sz w:val="22"/>
                <w:szCs w:val="21"/>
              </w:rPr>
              <w:t>杭州市萧山区新塘街道宸宇府35幢3301室</w:t>
            </w:r>
          </w:p>
        </w:tc>
        <w:tc>
          <w:tcPr>
            <w:tcW w:w="729" w:type="pct"/>
            <w:vAlign w:val="center"/>
          </w:tcPr>
          <w:p>
            <w:pPr>
              <w:jc w:val="center"/>
              <w:rPr>
                <w:rFonts w:ascii="仿宋_GB2312" w:eastAsia="仿宋_GB2312"/>
                <w:sz w:val="22"/>
                <w:szCs w:val="21"/>
              </w:rPr>
            </w:pPr>
            <w:r>
              <w:rPr>
                <w:rFonts w:hint="eastAsia" w:ascii="仿宋_GB2312" w:eastAsia="仿宋_GB2312"/>
                <w:sz w:val="22"/>
                <w:szCs w:val="21"/>
              </w:rPr>
              <w:t>住宅</w:t>
            </w:r>
          </w:p>
        </w:tc>
        <w:tc>
          <w:tcPr>
            <w:tcW w:w="729" w:type="pct"/>
            <w:vAlign w:val="center"/>
          </w:tcPr>
          <w:p>
            <w:pPr>
              <w:jc w:val="center"/>
              <w:rPr>
                <w:rFonts w:ascii="仿宋_GB2312" w:eastAsia="仿宋_GB2312"/>
                <w:sz w:val="22"/>
                <w:szCs w:val="21"/>
              </w:rPr>
            </w:pPr>
            <w:r>
              <w:rPr>
                <w:rFonts w:ascii="仿宋_GB2312" w:eastAsia="仿宋_GB2312"/>
                <w:sz w:val="22"/>
                <w:szCs w:val="21"/>
              </w:rPr>
              <w:t>120.83</w:t>
            </w:r>
          </w:p>
        </w:tc>
        <w:tc>
          <w:tcPr>
            <w:tcW w:w="779" w:type="pct"/>
            <w:vAlign w:val="center"/>
          </w:tcPr>
          <w:p>
            <w:pPr>
              <w:jc w:val="center"/>
              <w:rPr>
                <w:rFonts w:ascii="仿宋_GB2312" w:eastAsia="仿宋_GB2312"/>
                <w:sz w:val="22"/>
                <w:szCs w:val="21"/>
              </w:rPr>
            </w:pPr>
            <w:r>
              <w:rPr>
                <w:rFonts w:hint="eastAsia" w:ascii="仿宋_GB2312" w:eastAsia="仿宋_GB2312"/>
                <w:sz w:val="22"/>
                <w:szCs w:val="21"/>
              </w:rPr>
              <w:t>3</w:t>
            </w:r>
            <w:r>
              <w:rPr>
                <w:rFonts w:ascii="仿宋_GB2312" w:eastAsia="仿宋_GB2312"/>
                <w:sz w:val="22"/>
                <w:szCs w:val="21"/>
              </w:rPr>
              <w:t>1835</w:t>
            </w:r>
            <w:r>
              <w:rPr>
                <w:rFonts w:hint="eastAsia" w:ascii="仿宋_GB2312" w:hAnsi="宋体" w:eastAsia="仿宋_GB2312"/>
                <w:color w:val="000000"/>
                <w:szCs w:val="21"/>
              </w:rPr>
              <w:t>元/平方米</w:t>
            </w:r>
          </w:p>
        </w:tc>
        <w:tc>
          <w:tcPr>
            <w:tcW w:w="778" w:type="pct"/>
            <w:vAlign w:val="center"/>
          </w:tcPr>
          <w:p>
            <w:pPr>
              <w:jc w:val="center"/>
              <w:rPr>
                <w:rFonts w:ascii="仿宋_GB2312" w:eastAsia="仿宋_GB2312"/>
                <w:sz w:val="22"/>
                <w:szCs w:val="21"/>
              </w:rPr>
            </w:pPr>
            <w:r>
              <w:rPr>
                <w:rFonts w:ascii="仿宋_GB2312" w:eastAsia="仿宋_GB2312"/>
                <w:sz w:val="22"/>
                <w:szCs w:val="21"/>
              </w:rPr>
              <w:t>384.66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62" w:type="pct"/>
            <w:vAlign w:val="center"/>
          </w:tcPr>
          <w:p>
            <w:pPr>
              <w:spacing w:line="400" w:lineRule="exact"/>
              <w:jc w:val="center"/>
              <w:rPr>
                <w:rFonts w:ascii="仿宋_GB2312" w:hAnsi="宋体" w:eastAsia="仿宋_GB2312"/>
                <w:sz w:val="22"/>
                <w:szCs w:val="21"/>
              </w:rPr>
            </w:pPr>
            <w:r>
              <w:rPr>
                <w:rFonts w:hint="eastAsia" w:ascii="仿宋_GB2312" w:hAnsi="宋体" w:eastAsia="仿宋_GB2312"/>
                <w:sz w:val="22"/>
                <w:szCs w:val="21"/>
              </w:rPr>
              <w:t>2</w:t>
            </w:r>
          </w:p>
        </w:tc>
        <w:tc>
          <w:tcPr>
            <w:tcW w:w="1422" w:type="pct"/>
            <w:vAlign w:val="center"/>
          </w:tcPr>
          <w:p>
            <w:pPr>
              <w:jc w:val="center"/>
              <w:rPr>
                <w:rFonts w:ascii="仿宋_GB2312" w:eastAsia="仿宋_GB2312"/>
                <w:sz w:val="22"/>
                <w:szCs w:val="21"/>
              </w:rPr>
            </w:pPr>
            <w:r>
              <w:rPr>
                <w:rFonts w:hint="eastAsia" w:ascii="仿宋_GB2312" w:eastAsia="仿宋_GB2312"/>
                <w:sz w:val="22"/>
                <w:szCs w:val="21"/>
              </w:rPr>
              <w:t>杭州市萧山区新塘街道宸宇府地下一层车位1</w:t>
            </w:r>
            <w:r>
              <w:rPr>
                <w:rFonts w:ascii="仿宋_GB2312" w:eastAsia="仿宋_GB2312"/>
                <w:sz w:val="22"/>
                <w:szCs w:val="21"/>
              </w:rPr>
              <w:t>590</w:t>
            </w:r>
            <w:r>
              <w:rPr>
                <w:rFonts w:hint="eastAsia" w:ascii="仿宋_GB2312" w:eastAsia="仿宋_GB2312"/>
                <w:sz w:val="22"/>
                <w:szCs w:val="21"/>
              </w:rPr>
              <w:t>号</w:t>
            </w:r>
          </w:p>
        </w:tc>
        <w:tc>
          <w:tcPr>
            <w:tcW w:w="729" w:type="pct"/>
            <w:vAlign w:val="center"/>
          </w:tcPr>
          <w:p>
            <w:pPr>
              <w:jc w:val="center"/>
              <w:rPr>
                <w:rFonts w:ascii="仿宋_GB2312" w:eastAsia="仿宋_GB2312"/>
                <w:sz w:val="22"/>
                <w:szCs w:val="21"/>
              </w:rPr>
            </w:pPr>
            <w:r>
              <w:rPr>
                <w:rFonts w:hint="eastAsia" w:ascii="仿宋_GB2312" w:eastAsia="仿宋_GB2312"/>
                <w:sz w:val="22"/>
                <w:szCs w:val="21"/>
              </w:rPr>
              <w:t>车位</w:t>
            </w:r>
          </w:p>
        </w:tc>
        <w:tc>
          <w:tcPr>
            <w:tcW w:w="729" w:type="pct"/>
            <w:vAlign w:val="center"/>
          </w:tcPr>
          <w:p>
            <w:pPr>
              <w:jc w:val="center"/>
              <w:rPr>
                <w:rFonts w:ascii="仿宋_GB2312" w:eastAsia="仿宋_GB2312"/>
                <w:sz w:val="22"/>
                <w:szCs w:val="21"/>
              </w:rPr>
            </w:pPr>
            <w:r>
              <w:rPr>
                <w:rFonts w:ascii="仿宋_GB2312" w:eastAsia="仿宋_GB2312"/>
                <w:sz w:val="22"/>
                <w:szCs w:val="21"/>
              </w:rPr>
              <w:t>/</w:t>
            </w:r>
          </w:p>
        </w:tc>
        <w:tc>
          <w:tcPr>
            <w:tcW w:w="779" w:type="pct"/>
            <w:vAlign w:val="center"/>
          </w:tcPr>
          <w:p>
            <w:pPr>
              <w:jc w:val="center"/>
              <w:rPr>
                <w:rFonts w:ascii="仿宋_GB2312" w:eastAsia="仿宋_GB2312"/>
                <w:sz w:val="22"/>
                <w:szCs w:val="21"/>
              </w:rPr>
            </w:pPr>
            <w:r>
              <w:rPr>
                <w:rFonts w:ascii="仿宋_GB2312" w:eastAsia="仿宋_GB2312"/>
                <w:sz w:val="22"/>
                <w:szCs w:val="21"/>
              </w:rPr>
              <w:t>26.00</w:t>
            </w:r>
            <w:r>
              <w:rPr>
                <w:rFonts w:hint="eastAsia" w:ascii="仿宋_GB2312" w:hAnsi="宋体" w:eastAsia="仿宋_GB2312"/>
                <w:color w:val="000000"/>
                <w:szCs w:val="21"/>
              </w:rPr>
              <w:t>万元/个</w:t>
            </w:r>
          </w:p>
        </w:tc>
        <w:tc>
          <w:tcPr>
            <w:tcW w:w="778" w:type="pct"/>
            <w:vAlign w:val="center"/>
          </w:tcPr>
          <w:p>
            <w:pPr>
              <w:jc w:val="center"/>
              <w:rPr>
                <w:rFonts w:ascii="仿宋_GB2312" w:eastAsia="仿宋_GB2312"/>
                <w:sz w:val="22"/>
                <w:szCs w:val="21"/>
              </w:rPr>
            </w:pPr>
            <w:r>
              <w:rPr>
                <w:rFonts w:ascii="仿宋_GB2312" w:eastAsia="仿宋_GB2312"/>
                <w:sz w:val="22"/>
                <w:szCs w:val="21"/>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62" w:type="pct"/>
            <w:vAlign w:val="center"/>
          </w:tcPr>
          <w:p>
            <w:pPr>
              <w:spacing w:line="400" w:lineRule="exact"/>
              <w:jc w:val="center"/>
              <w:rPr>
                <w:rFonts w:ascii="仿宋_GB2312" w:hAnsi="宋体" w:eastAsia="仿宋_GB2312"/>
                <w:b/>
                <w:szCs w:val="21"/>
              </w:rPr>
            </w:pPr>
            <w:r>
              <w:rPr>
                <w:rFonts w:hint="eastAsia" w:ascii="仿宋_GB2312" w:hAnsi="宋体" w:eastAsia="仿宋_GB2312"/>
                <w:b/>
                <w:szCs w:val="21"/>
              </w:rPr>
              <w:t>合计</w:t>
            </w:r>
          </w:p>
        </w:tc>
        <w:tc>
          <w:tcPr>
            <w:tcW w:w="1422" w:type="pct"/>
            <w:vAlign w:val="center"/>
          </w:tcPr>
          <w:p>
            <w:pPr>
              <w:spacing w:line="400" w:lineRule="exact"/>
              <w:jc w:val="center"/>
              <w:rPr>
                <w:rFonts w:ascii="仿宋_GB2312" w:hAnsi="宋体" w:eastAsia="仿宋_GB2312"/>
                <w:b/>
                <w:szCs w:val="21"/>
              </w:rPr>
            </w:pPr>
            <w:r>
              <w:rPr>
                <w:rFonts w:hint="eastAsia" w:ascii="仿宋_GB2312" w:hAnsi="宋体" w:eastAsia="仿宋_GB2312"/>
                <w:b/>
                <w:szCs w:val="21"/>
              </w:rPr>
              <w:t>——</w:t>
            </w:r>
          </w:p>
        </w:tc>
        <w:tc>
          <w:tcPr>
            <w:tcW w:w="729" w:type="pct"/>
            <w:vAlign w:val="center"/>
          </w:tcPr>
          <w:p>
            <w:pPr>
              <w:spacing w:line="400" w:lineRule="exact"/>
              <w:jc w:val="center"/>
              <w:rPr>
                <w:rFonts w:ascii="仿宋_GB2312" w:hAnsi="宋体" w:eastAsia="仿宋_GB2312"/>
                <w:b/>
                <w:szCs w:val="21"/>
              </w:rPr>
            </w:pPr>
            <w:r>
              <w:rPr>
                <w:rFonts w:hint="eastAsia" w:ascii="仿宋_GB2312" w:hAnsi="宋体" w:eastAsia="仿宋_GB2312"/>
                <w:b/>
                <w:szCs w:val="21"/>
              </w:rPr>
              <w:t>——</w:t>
            </w:r>
          </w:p>
        </w:tc>
        <w:tc>
          <w:tcPr>
            <w:tcW w:w="729" w:type="pct"/>
            <w:vAlign w:val="center"/>
          </w:tcPr>
          <w:p>
            <w:pPr>
              <w:spacing w:line="400" w:lineRule="exact"/>
              <w:jc w:val="center"/>
              <w:rPr>
                <w:rFonts w:ascii="仿宋_GB2312" w:hAnsi="宋体" w:eastAsia="仿宋_GB2312"/>
                <w:b/>
                <w:szCs w:val="21"/>
              </w:rPr>
            </w:pPr>
            <w:r>
              <w:rPr>
                <w:rFonts w:hint="eastAsia" w:ascii="仿宋_GB2312" w:hAnsi="宋体" w:eastAsia="仿宋_GB2312"/>
                <w:b/>
                <w:szCs w:val="21"/>
              </w:rPr>
              <w:t>——</w:t>
            </w:r>
          </w:p>
        </w:tc>
        <w:tc>
          <w:tcPr>
            <w:tcW w:w="779" w:type="pct"/>
            <w:vAlign w:val="center"/>
          </w:tcPr>
          <w:p>
            <w:pPr>
              <w:spacing w:line="400" w:lineRule="exact"/>
              <w:jc w:val="center"/>
              <w:rPr>
                <w:rFonts w:ascii="仿宋_GB2312" w:hAnsi="宋体" w:eastAsia="仿宋_GB2312"/>
                <w:b/>
                <w:szCs w:val="21"/>
              </w:rPr>
            </w:pPr>
            <w:r>
              <w:rPr>
                <w:rFonts w:hint="eastAsia" w:ascii="仿宋_GB2312" w:hAnsi="宋体" w:eastAsia="仿宋_GB2312"/>
                <w:b/>
                <w:szCs w:val="21"/>
              </w:rPr>
              <w:t>——</w:t>
            </w:r>
          </w:p>
        </w:tc>
        <w:tc>
          <w:tcPr>
            <w:tcW w:w="778" w:type="pct"/>
            <w:vAlign w:val="center"/>
          </w:tcPr>
          <w:p>
            <w:pPr>
              <w:spacing w:line="400" w:lineRule="exact"/>
              <w:jc w:val="center"/>
              <w:rPr>
                <w:rFonts w:ascii="仿宋_GB2312" w:hAnsi="宋体" w:eastAsia="仿宋_GB2312"/>
                <w:b/>
                <w:szCs w:val="21"/>
              </w:rPr>
            </w:pPr>
            <w:r>
              <w:rPr>
                <w:rFonts w:ascii="仿宋_GB2312" w:hAnsi="宋体" w:eastAsia="仿宋_GB2312"/>
                <w:b/>
                <w:szCs w:val="21"/>
              </w:rPr>
              <w:t>410.66</w:t>
            </w:r>
          </w:p>
        </w:tc>
      </w:tr>
    </w:tbl>
    <w:p>
      <w:pPr>
        <w:jc w:val="center"/>
        <w:rPr>
          <w:rFonts w:ascii="宋体" w:hAnsi="宋体"/>
          <w:b/>
          <w:color w:val="000000"/>
          <w:sz w:val="36"/>
          <w:szCs w:val="36"/>
        </w:rPr>
      </w:pPr>
    </w:p>
    <w:p>
      <w:pPr>
        <w:tabs>
          <w:tab w:val="center" w:pos="6832"/>
        </w:tabs>
        <w:rPr>
          <w:rFonts w:ascii="宋体" w:hAnsi="宋体"/>
          <w:sz w:val="36"/>
          <w:szCs w:val="36"/>
        </w:rPr>
        <w:sectPr>
          <w:pgSz w:w="16840" w:h="11907" w:orient="landscape"/>
          <w:pgMar w:top="1588" w:right="1588" w:bottom="1418" w:left="1588" w:header="851" w:footer="454" w:gutter="0"/>
          <w:cols w:space="425" w:num="1"/>
          <w:docGrid w:type="lines" w:linePitch="312" w:charSpace="0"/>
        </w:sectPr>
      </w:pPr>
      <w:r>
        <w:rPr>
          <w:rFonts w:ascii="宋体" w:hAnsi="宋体"/>
          <w:sz w:val="36"/>
          <w:szCs w:val="36"/>
        </w:rPr>
        <w:tab/>
      </w:r>
    </w:p>
    <w:p>
      <w:pPr>
        <w:spacing w:line="480" w:lineRule="exact"/>
        <w:rPr>
          <w:rFonts w:ascii="宋体" w:hAnsi="宋体"/>
          <w:b/>
          <w:color w:val="000000"/>
          <w:sz w:val="36"/>
          <w:szCs w:val="36"/>
        </w:rPr>
      </w:pPr>
    </w:p>
    <w:p>
      <w:pPr>
        <w:spacing w:line="480" w:lineRule="exact"/>
        <w:ind w:left="2813" w:leftChars="142" w:hanging="2515" w:hangingChars="696"/>
        <w:jc w:val="center"/>
        <w:rPr>
          <w:rFonts w:ascii="宋体" w:hAnsi="宋体"/>
          <w:b/>
          <w:color w:val="000000"/>
          <w:sz w:val="36"/>
          <w:szCs w:val="36"/>
        </w:rPr>
      </w:pPr>
      <w:r>
        <w:rPr>
          <w:rFonts w:hint="eastAsia" w:ascii="宋体" w:hAnsi="宋体"/>
          <w:b/>
          <w:color w:val="000000"/>
          <w:sz w:val="36"/>
          <w:szCs w:val="36"/>
        </w:rPr>
        <w:t>目    录</w:t>
      </w:r>
    </w:p>
    <w:p>
      <w:pPr>
        <w:pStyle w:val="19"/>
        <w:tabs>
          <w:tab w:val="right" w:leader="dot" w:pos="8891"/>
        </w:tabs>
        <w:rPr>
          <w:rFonts w:ascii="仿宋_GB2312" w:hAnsi="Calibri"/>
          <w:b w:val="0"/>
          <w:bCs w:val="0"/>
          <w:caps w:val="0"/>
          <w:sz w:val="21"/>
          <w:szCs w:val="22"/>
        </w:rPr>
      </w:pPr>
      <w:r>
        <w:rPr>
          <w:rFonts w:hint="eastAsia" w:ascii="仿宋_GB2312" w:hAnsi="楷体"/>
          <w:bCs w:val="0"/>
          <w:caps w:val="0"/>
        </w:rPr>
        <w:fldChar w:fldCharType="begin"/>
      </w:r>
      <w:r>
        <w:rPr>
          <w:rFonts w:hint="eastAsia" w:ascii="仿宋_GB2312" w:hAnsi="楷体"/>
          <w:bCs w:val="0"/>
          <w:caps w:val="0"/>
        </w:rPr>
        <w:instrText xml:space="preserve"> TOC \o "1-2" \h \z \u </w:instrText>
      </w:r>
      <w:r>
        <w:rPr>
          <w:rFonts w:hint="eastAsia" w:ascii="仿宋_GB2312" w:hAnsi="楷体"/>
          <w:bCs w:val="0"/>
          <w:caps w:val="0"/>
        </w:rPr>
        <w:fldChar w:fldCharType="separate"/>
      </w:r>
      <w:r>
        <w:fldChar w:fldCharType="begin"/>
      </w:r>
      <w:r>
        <w:instrText xml:space="preserve"> HYPERLINK \l "_Toc19091535" </w:instrText>
      </w:r>
      <w:r>
        <w:fldChar w:fldCharType="separate"/>
      </w:r>
      <w:r>
        <w:rPr>
          <w:rStyle w:val="32"/>
          <w:rFonts w:hint="eastAsia" w:ascii="仿宋_GB2312"/>
        </w:rPr>
        <w:t>一、估价师声明</w:t>
      </w:r>
      <w:r>
        <w:rPr>
          <w:rFonts w:hint="eastAsia" w:ascii="仿宋_GB2312"/>
        </w:rPr>
        <w:tab/>
      </w:r>
      <w:r>
        <w:rPr>
          <w:rFonts w:hint="eastAsia" w:ascii="仿宋_GB2312"/>
        </w:rPr>
        <w:fldChar w:fldCharType="begin"/>
      </w:r>
      <w:r>
        <w:rPr>
          <w:rFonts w:hint="eastAsia" w:ascii="仿宋_GB2312"/>
        </w:rPr>
        <w:instrText xml:space="preserve"> PAGEREF _Toc19091535 \h </w:instrText>
      </w:r>
      <w:r>
        <w:rPr>
          <w:rFonts w:hint="eastAsia" w:ascii="仿宋_GB2312"/>
        </w:rPr>
        <w:fldChar w:fldCharType="separate"/>
      </w:r>
      <w:r>
        <w:rPr>
          <w:rFonts w:ascii="仿宋_GB2312"/>
        </w:rPr>
        <w:t>5</w:t>
      </w:r>
      <w:r>
        <w:rPr>
          <w:rFonts w:hint="eastAsia" w:ascii="仿宋_GB2312"/>
        </w:rPr>
        <w:fldChar w:fldCharType="end"/>
      </w:r>
      <w:r>
        <w:rPr>
          <w:rFonts w:hint="eastAsia" w:ascii="仿宋_GB2312"/>
        </w:rPr>
        <w:fldChar w:fldCharType="end"/>
      </w:r>
    </w:p>
    <w:p>
      <w:pPr>
        <w:pStyle w:val="19"/>
        <w:tabs>
          <w:tab w:val="right" w:leader="dot" w:pos="8891"/>
        </w:tabs>
        <w:rPr>
          <w:rFonts w:ascii="仿宋_GB2312" w:hAnsi="Calibri"/>
          <w:b w:val="0"/>
          <w:bCs w:val="0"/>
          <w:caps w:val="0"/>
          <w:sz w:val="21"/>
          <w:szCs w:val="22"/>
        </w:rPr>
      </w:pPr>
      <w:r>
        <w:fldChar w:fldCharType="begin"/>
      </w:r>
      <w:r>
        <w:instrText xml:space="preserve"> HYPERLINK \l "_Toc19091536" </w:instrText>
      </w:r>
      <w:r>
        <w:fldChar w:fldCharType="separate"/>
      </w:r>
      <w:r>
        <w:rPr>
          <w:rStyle w:val="32"/>
          <w:rFonts w:hint="eastAsia" w:ascii="仿宋_GB2312"/>
        </w:rPr>
        <w:t>二、估价假设和限制条件</w:t>
      </w:r>
      <w:r>
        <w:rPr>
          <w:rFonts w:hint="eastAsia" w:ascii="仿宋_GB2312"/>
        </w:rPr>
        <w:tab/>
      </w:r>
      <w:r>
        <w:rPr>
          <w:rFonts w:hint="eastAsia" w:ascii="仿宋_GB2312"/>
        </w:rPr>
        <w:fldChar w:fldCharType="begin"/>
      </w:r>
      <w:r>
        <w:rPr>
          <w:rFonts w:hint="eastAsia" w:ascii="仿宋_GB2312"/>
        </w:rPr>
        <w:instrText xml:space="preserve"> PAGEREF _Toc19091536 \h </w:instrText>
      </w:r>
      <w:r>
        <w:rPr>
          <w:rFonts w:hint="eastAsia" w:ascii="仿宋_GB2312"/>
        </w:rPr>
        <w:fldChar w:fldCharType="separate"/>
      </w:r>
      <w:r>
        <w:rPr>
          <w:rFonts w:ascii="仿宋_GB2312"/>
        </w:rPr>
        <w:t>6</w:t>
      </w:r>
      <w:r>
        <w:rPr>
          <w:rFonts w:hint="eastAsia" w:ascii="仿宋_GB2312"/>
        </w:rPr>
        <w:fldChar w:fldCharType="end"/>
      </w:r>
      <w:r>
        <w:rPr>
          <w:rFonts w:hint="eastAsia" w:ascii="仿宋_GB2312"/>
        </w:rPr>
        <w:fldChar w:fldCharType="end"/>
      </w:r>
    </w:p>
    <w:p>
      <w:pPr>
        <w:pStyle w:val="23"/>
        <w:rPr>
          <w:rFonts w:ascii="仿宋_GB2312" w:hAnsi="Calibri"/>
          <w:smallCaps w:val="0"/>
          <w:color w:val="auto"/>
          <w:sz w:val="21"/>
          <w:szCs w:val="22"/>
        </w:rPr>
      </w:pPr>
      <w:r>
        <w:fldChar w:fldCharType="begin"/>
      </w:r>
      <w:r>
        <w:instrText xml:space="preserve"> HYPERLINK \l "_Toc19091537" </w:instrText>
      </w:r>
      <w:r>
        <w:fldChar w:fldCharType="separate"/>
      </w:r>
      <w:r>
        <w:rPr>
          <w:rStyle w:val="32"/>
          <w:rFonts w:hint="eastAsia" w:ascii="仿宋_GB2312"/>
          <w:color w:val="auto"/>
        </w:rPr>
        <w:t>（一）估价的假设条件</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_Toc19091537 \h </w:instrText>
      </w:r>
      <w:r>
        <w:rPr>
          <w:rFonts w:hint="eastAsia" w:ascii="仿宋_GB2312"/>
          <w:color w:val="auto"/>
        </w:rPr>
        <w:fldChar w:fldCharType="separate"/>
      </w:r>
      <w:r>
        <w:rPr>
          <w:rFonts w:ascii="仿宋_GB2312"/>
          <w:color w:val="auto"/>
        </w:rPr>
        <w:t>6</w:t>
      </w:r>
      <w:r>
        <w:rPr>
          <w:rFonts w:hint="eastAsia" w:ascii="仿宋_GB2312"/>
          <w:color w:val="auto"/>
        </w:rPr>
        <w:fldChar w:fldCharType="end"/>
      </w:r>
      <w:r>
        <w:rPr>
          <w:rFonts w:hint="eastAsia" w:ascii="仿宋_GB2312"/>
          <w:color w:val="auto"/>
        </w:rPr>
        <w:fldChar w:fldCharType="end"/>
      </w:r>
    </w:p>
    <w:p>
      <w:pPr>
        <w:pStyle w:val="23"/>
        <w:rPr>
          <w:rFonts w:ascii="仿宋_GB2312" w:hAnsi="Calibri"/>
          <w:smallCaps w:val="0"/>
          <w:color w:val="auto"/>
          <w:sz w:val="21"/>
          <w:szCs w:val="22"/>
        </w:rPr>
      </w:pPr>
      <w:r>
        <w:fldChar w:fldCharType="begin"/>
      </w:r>
      <w:r>
        <w:instrText xml:space="preserve"> HYPERLINK \l "_Toc19091538" </w:instrText>
      </w:r>
      <w:r>
        <w:fldChar w:fldCharType="separate"/>
      </w:r>
      <w:r>
        <w:rPr>
          <w:rStyle w:val="32"/>
          <w:rFonts w:hint="eastAsia" w:ascii="仿宋_GB2312"/>
          <w:color w:val="auto"/>
        </w:rPr>
        <w:t>（二）估价报告使用限制</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_Toc19091538 \h </w:instrText>
      </w:r>
      <w:r>
        <w:rPr>
          <w:rFonts w:hint="eastAsia" w:ascii="仿宋_GB2312"/>
          <w:color w:val="auto"/>
        </w:rPr>
        <w:fldChar w:fldCharType="separate"/>
      </w:r>
      <w:r>
        <w:rPr>
          <w:rFonts w:ascii="仿宋_GB2312"/>
          <w:color w:val="auto"/>
        </w:rPr>
        <w:t>7</w:t>
      </w:r>
      <w:r>
        <w:rPr>
          <w:rFonts w:hint="eastAsia" w:ascii="仿宋_GB2312"/>
          <w:color w:val="auto"/>
        </w:rPr>
        <w:fldChar w:fldCharType="end"/>
      </w:r>
      <w:r>
        <w:rPr>
          <w:rFonts w:hint="eastAsia" w:ascii="仿宋_GB2312"/>
          <w:color w:val="auto"/>
        </w:rPr>
        <w:fldChar w:fldCharType="end"/>
      </w:r>
    </w:p>
    <w:p>
      <w:pPr>
        <w:pStyle w:val="19"/>
        <w:tabs>
          <w:tab w:val="right" w:leader="dot" w:pos="8891"/>
        </w:tabs>
        <w:rPr>
          <w:rFonts w:ascii="仿宋_GB2312" w:hAnsi="Calibri"/>
          <w:b w:val="0"/>
          <w:bCs w:val="0"/>
          <w:caps w:val="0"/>
          <w:sz w:val="21"/>
          <w:szCs w:val="22"/>
        </w:rPr>
      </w:pPr>
      <w:r>
        <w:fldChar w:fldCharType="begin"/>
      </w:r>
      <w:r>
        <w:instrText xml:space="preserve"> HYPERLINK \l "_Toc19091539" </w:instrText>
      </w:r>
      <w:r>
        <w:fldChar w:fldCharType="separate"/>
      </w:r>
      <w:r>
        <w:rPr>
          <w:rStyle w:val="32"/>
          <w:rFonts w:hint="eastAsia" w:ascii="仿宋_GB2312"/>
        </w:rPr>
        <w:t>三、房地产估价结果报告</w:t>
      </w:r>
      <w:r>
        <w:rPr>
          <w:rFonts w:hint="eastAsia" w:ascii="仿宋_GB2312"/>
        </w:rPr>
        <w:tab/>
      </w:r>
      <w:r>
        <w:rPr>
          <w:rFonts w:hint="eastAsia" w:ascii="仿宋_GB2312"/>
        </w:rPr>
        <w:fldChar w:fldCharType="begin"/>
      </w:r>
      <w:r>
        <w:rPr>
          <w:rFonts w:hint="eastAsia" w:ascii="仿宋_GB2312"/>
        </w:rPr>
        <w:instrText xml:space="preserve"> PAGEREF _Toc19091539 \h </w:instrText>
      </w:r>
      <w:r>
        <w:rPr>
          <w:rFonts w:hint="eastAsia" w:ascii="仿宋_GB2312"/>
        </w:rPr>
        <w:fldChar w:fldCharType="separate"/>
      </w:r>
      <w:r>
        <w:rPr>
          <w:rFonts w:ascii="仿宋_GB2312"/>
        </w:rPr>
        <w:t>10</w:t>
      </w:r>
      <w:r>
        <w:rPr>
          <w:rFonts w:hint="eastAsia" w:ascii="仿宋_GB2312"/>
        </w:rPr>
        <w:fldChar w:fldCharType="end"/>
      </w:r>
      <w:r>
        <w:rPr>
          <w:rFonts w:hint="eastAsia" w:ascii="仿宋_GB2312"/>
        </w:rPr>
        <w:fldChar w:fldCharType="end"/>
      </w:r>
    </w:p>
    <w:p>
      <w:pPr>
        <w:pStyle w:val="23"/>
        <w:rPr>
          <w:rFonts w:ascii="仿宋_GB2312" w:hAnsi="Calibri"/>
          <w:smallCaps w:val="0"/>
          <w:color w:val="auto"/>
          <w:sz w:val="21"/>
          <w:szCs w:val="22"/>
        </w:rPr>
      </w:pPr>
      <w:r>
        <w:fldChar w:fldCharType="begin"/>
      </w:r>
      <w:r>
        <w:instrText xml:space="preserve"> HYPERLINK \l "_Toc19091540" </w:instrText>
      </w:r>
      <w:r>
        <w:fldChar w:fldCharType="separate"/>
      </w:r>
      <w:r>
        <w:rPr>
          <w:rStyle w:val="32"/>
          <w:rFonts w:hint="eastAsia" w:ascii="仿宋_GB2312"/>
          <w:color w:val="auto"/>
        </w:rPr>
        <w:t>（一）估价委托人</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_Toc19091540 \h </w:instrText>
      </w:r>
      <w:r>
        <w:rPr>
          <w:rFonts w:hint="eastAsia" w:ascii="仿宋_GB2312"/>
          <w:color w:val="auto"/>
        </w:rPr>
        <w:fldChar w:fldCharType="separate"/>
      </w:r>
      <w:r>
        <w:rPr>
          <w:rFonts w:ascii="仿宋_GB2312"/>
          <w:color w:val="auto"/>
        </w:rPr>
        <w:t>10</w:t>
      </w:r>
      <w:r>
        <w:rPr>
          <w:rFonts w:hint="eastAsia" w:ascii="仿宋_GB2312"/>
          <w:color w:val="auto"/>
        </w:rPr>
        <w:fldChar w:fldCharType="end"/>
      </w:r>
      <w:r>
        <w:rPr>
          <w:rFonts w:hint="eastAsia" w:ascii="仿宋_GB2312"/>
          <w:color w:val="auto"/>
        </w:rPr>
        <w:fldChar w:fldCharType="end"/>
      </w:r>
    </w:p>
    <w:p>
      <w:pPr>
        <w:pStyle w:val="23"/>
        <w:rPr>
          <w:rFonts w:ascii="仿宋_GB2312" w:hAnsi="Calibri"/>
          <w:smallCaps w:val="0"/>
          <w:color w:val="auto"/>
          <w:sz w:val="21"/>
          <w:szCs w:val="22"/>
        </w:rPr>
      </w:pPr>
      <w:r>
        <w:fldChar w:fldCharType="begin"/>
      </w:r>
      <w:r>
        <w:instrText xml:space="preserve"> HYPERLINK \l "_Toc19091541" </w:instrText>
      </w:r>
      <w:r>
        <w:fldChar w:fldCharType="separate"/>
      </w:r>
      <w:r>
        <w:rPr>
          <w:rStyle w:val="32"/>
          <w:rFonts w:hint="eastAsia" w:ascii="仿宋_GB2312"/>
          <w:color w:val="auto"/>
        </w:rPr>
        <w:t>（二）房地产估价机构</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_Toc19091541 \h </w:instrText>
      </w:r>
      <w:r>
        <w:rPr>
          <w:rFonts w:hint="eastAsia" w:ascii="仿宋_GB2312"/>
          <w:color w:val="auto"/>
        </w:rPr>
        <w:fldChar w:fldCharType="separate"/>
      </w:r>
      <w:r>
        <w:rPr>
          <w:rFonts w:ascii="仿宋_GB2312"/>
          <w:color w:val="auto"/>
        </w:rPr>
        <w:t>10</w:t>
      </w:r>
      <w:r>
        <w:rPr>
          <w:rFonts w:hint="eastAsia" w:ascii="仿宋_GB2312"/>
          <w:color w:val="auto"/>
        </w:rPr>
        <w:fldChar w:fldCharType="end"/>
      </w:r>
      <w:r>
        <w:rPr>
          <w:rFonts w:hint="eastAsia" w:ascii="仿宋_GB2312"/>
          <w:color w:val="auto"/>
        </w:rPr>
        <w:fldChar w:fldCharType="end"/>
      </w:r>
    </w:p>
    <w:p>
      <w:pPr>
        <w:pStyle w:val="23"/>
        <w:rPr>
          <w:rFonts w:ascii="仿宋_GB2312" w:hAnsi="Calibri"/>
          <w:smallCaps w:val="0"/>
          <w:color w:val="auto"/>
          <w:sz w:val="21"/>
          <w:szCs w:val="22"/>
        </w:rPr>
      </w:pPr>
      <w:r>
        <w:fldChar w:fldCharType="begin"/>
      </w:r>
      <w:r>
        <w:instrText xml:space="preserve"> HYPERLINK \l "_Toc19091542" </w:instrText>
      </w:r>
      <w:r>
        <w:fldChar w:fldCharType="separate"/>
      </w:r>
      <w:r>
        <w:rPr>
          <w:rStyle w:val="32"/>
          <w:rFonts w:hint="eastAsia" w:ascii="仿宋_GB2312"/>
          <w:color w:val="auto"/>
        </w:rPr>
        <w:t>（三）估价目的</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_Toc19091542 \h </w:instrText>
      </w:r>
      <w:r>
        <w:rPr>
          <w:rFonts w:hint="eastAsia" w:ascii="仿宋_GB2312"/>
          <w:color w:val="auto"/>
        </w:rPr>
        <w:fldChar w:fldCharType="separate"/>
      </w:r>
      <w:r>
        <w:rPr>
          <w:rFonts w:ascii="仿宋_GB2312"/>
          <w:color w:val="auto"/>
        </w:rPr>
        <w:t>10</w:t>
      </w:r>
      <w:r>
        <w:rPr>
          <w:rFonts w:hint="eastAsia" w:ascii="仿宋_GB2312"/>
          <w:color w:val="auto"/>
        </w:rPr>
        <w:fldChar w:fldCharType="end"/>
      </w:r>
      <w:r>
        <w:rPr>
          <w:rFonts w:hint="eastAsia" w:ascii="仿宋_GB2312"/>
          <w:color w:val="auto"/>
        </w:rPr>
        <w:fldChar w:fldCharType="end"/>
      </w:r>
    </w:p>
    <w:p>
      <w:pPr>
        <w:pStyle w:val="23"/>
        <w:rPr>
          <w:rFonts w:ascii="仿宋_GB2312" w:hAnsi="Calibri"/>
          <w:smallCaps w:val="0"/>
          <w:color w:val="auto"/>
          <w:sz w:val="21"/>
          <w:szCs w:val="22"/>
        </w:rPr>
      </w:pPr>
      <w:r>
        <w:fldChar w:fldCharType="begin"/>
      </w:r>
      <w:r>
        <w:instrText xml:space="preserve"> HYPERLINK \l "_Toc19091543" </w:instrText>
      </w:r>
      <w:r>
        <w:fldChar w:fldCharType="separate"/>
      </w:r>
      <w:r>
        <w:rPr>
          <w:rStyle w:val="32"/>
          <w:rFonts w:hint="eastAsia" w:ascii="仿宋_GB2312"/>
          <w:color w:val="auto"/>
        </w:rPr>
        <w:t>（四）估价对象描述</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_Toc19091543 \h </w:instrText>
      </w:r>
      <w:r>
        <w:rPr>
          <w:rFonts w:hint="eastAsia" w:ascii="仿宋_GB2312"/>
          <w:color w:val="auto"/>
        </w:rPr>
        <w:fldChar w:fldCharType="separate"/>
      </w:r>
      <w:r>
        <w:rPr>
          <w:rFonts w:ascii="仿宋_GB2312"/>
          <w:color w:val="auto"/>
        </w:rPr>
        <w:t>10</w:t>
      </w:r>
      <w:r>
        <w:rPr>
          <w:rFonts w:hint="eastAsia" w:ascii="仿宋_GB2312"/>
          <w:color w:val="auto"/>
        </w:rPr>
        <w:fldChar w:fldCharType="end"/>
      </w:r>
      <w:r>
        <w:rPr>
          <w:rFonts w:hint="eastAsia" w:ascii="仿宋_GB2312"/>
          <w:color w:val="auto"/>
        </w:rPr>
        <w:fldChar w:fldCharType="end"/>
      </w:r>
    </w:p>
    <w:p>
      <w:pPr>
        <w:pStyle w:val="23"/>
        <w:rPr>
          <w:rFonts w:ascii="仿宋_GB2312" w:hAnsi="Calibri"/>
          <w:smallCaps w:val="0"/>
          <w:color w:val="auto"/>
          <w:sz w:val="21"/>
          <w:szCs w:val="22"/>
        </w:rPr>
      </w:pPr>
      <w:r>
        <w:fldChar w:fldCharType="begin"/>
      </w:r>
      <w:r>
        <w:instrText xml:space="preserve"> HYPERLINK \l "_Toc19091544" </w:instrText>
      </w:r>
      <w:r>
        <w:fldChar w:fldCharType="separate"/>
      </w:r>
      <w:r>
        <w:rPr>
          <w:rStyle w:val="32"/>
          <w:rFonts w:hint="eastAsia" w:ascii="仿宋_GB2312"/>
          <w:color w:val="auto"/>
        </w:rPr>
        <w:t>（五）价值时点</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_Toc19091544 \h </w:instrText>
      </w:r>
      <w:r>
        <w:rPr>
          <w:rFonts w:hint="eastAsia" w:ascii="仿宋_GB2312"/>
          <w:color w:val="auto"/>
        </w:rPr>
        <w:fldChar w:fldCharType="separate"/>
      </w:r>
      <w:r>
        <w:rPr>
          <w:rFonts w:ascii="仿宋_GB2312"/>
          <w:color w:val="auto"/>
        </w:rPr>
        <w:t>13</w:t>
      </w:r>
      <w:r>
        <w:rPr>
          <w:rFonts w:hint="eastAsia" w:ascii="仿宋_GB2312"/>
          <w:color w:val="auto"/>
        </w:rPr>
        <w:fldChar w:fldCharType="end"/>
      </w:r>
      <w:r>
        <w:rPr>
          <w:rFonts w:hint="eastAsia" w:ascii="仿宋_GB2312"/>
          <w:color w:val="auto"/>
        </w:rPr>
        <w:fldChar w:fldCharType="end"/>
      </w:r>
    </w:p>
    <w:p>
      <w:pPr>
        <w:pStyle w:val="23"/>
        <w:rPr>
          <w:rFonts w:ascii="仿宋_GB2312" w:hAnsi="Calibri"/>
          <w:smallCaps w:val="0"/>
          <w:color w:val="auto"/>
          <w:sz w:val="21"/>
          <w:szCs w:val="22"/>
        </w:rPr>
      </w:pPr>
      <w:r>
        <w:fldChar w:fldCharType="begin"/>
      </w:r>
      <w:r>
        <w:instrText xml:space="preserve"> HYPERLINK \l "_Toc19091545" </w:instrText>
      </w:r>
      <w:r>
        <w:fldChar w:fldCharType="separate"/>
      </w:r>
      <w:r>
        <w:rPr>
          <w:rStyle w:val="32"/>
          <w:rFonts w:hint="eastAsia" w:ascii="仿宋_GB2312"/>
          <w:color w:val="auto"/>
        </w:rPr>
        <w:t>（六）价值类型</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_Toc19091545 \h </w:instrText>
      </w:r>
      <w:r>
        <w:rPr>
          <w:rFonts w:hint="eastAsia" w:ascii="仿宋_GB2312"/>
          <w:color w:val="auto"/>
        </w:rPr>
        <w:fldChar w:fldCharType="separate"/>
      </w:r>
      <w:r>
        <w:rPr>
          <w:rFonts w:ascii="仿宋_GB2312"/>
          <w:color w:val="auto"/>
        </w:rPr>
        <w:t>13</w:t>
      </w:r>
      <w:r>
        <w:rPr>
          <w:rFonts w:hint="eastAsia" w:ascii="仿宋_GB2312"/>
          <w:color w:val="auto"/>
        </w:rPr>
        <w:fldChar w:fldCharType="end"/>
      </w:r>
      <w:r>
        <w:rPr>
          <w:rFonts w:hint="eastAsia" w:ascii="仿宋_GB2312"/>
          <w:color w:val="auto"/>
        </w:rPr>
        <w:fldChar w:fldCharType="end"/>
      </w:r>
    </w:p>
    <w:p>
      <w:pPr>
        <w:pStyle w:val="23"/>
        <w:rPr>
          <w:rFonts w:ascii="仿宋_GB2312" w:hAnsi="Calibri"/>
          <w:smallCaps w:val="0"/>
          <w:color w:val="auto"/>
          <w:sz w:val="21"/>
          <w:szCs w:val="22"/>
        </w:rPr>
      </w:pPr>
      <w:r>
        <w:fldChar w:fldCharType="begin"/>
      </w:r>
      <w:r>
        <w:instrText xml:space="preserve"> HYPERLINK \l "_Toc19091546" </w:instrText>
      </w:r>
      <w:r>
        <w:fldChar w:fldCharType="separate"/>
      </w:r>
      <w:r>
        <w:rPr>
          <w:rStyle w:val="32"/>
          <w:rFonts w:hint="eastAsia" w:ascii="仿宋_GB2312" w:hAnsi="宋体"/>
          <w:color w:val="auto"/>
        </w:rPr>
        <w:t>（七）</w:t>
      </w:r>
      <w:r>
        <w:rPr>
          <w:rStyle w:val="32"/>
          <w:rFonts w:hint="eastAsia" w:ascii="仿宋_GB2312"/>
          <w:color w:val="auto"/>
        </w:rPr>
        <w:t>估价依据</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_Toc19091546 \h </w:instrText>
      </w:r>
      <w:r>
        <w:rPr>
          <w:rFonts w:hint="eastAsia" w:ascii="仿宋_GB2312"/>
          <w:color w:val="auto"/>
        </w:rPr>
        <w:fldChar w:fldCharType="separate"/>
      </w:r>
      <w:r>
        <w:rPr>
          <w:rFonts w:ascii="仿宋_GB2312"/>
          <w:color w:val="auto"/>
        </w:rPr>
        <w:t>13</w:t>
      </w:r>
      <w:r>
        <w:rPr>
          <w:rFonts w:hint="eastAsia" w:ascii="仿宋_GB2312"/>
          <w:color w:val="auto"/>
        </w:rPr>
        <w:fldChar w:fldCharType="end"/>
      </w:r>
      <w:r>
        <w:rPr>
          <w:rFonts w:hint="eastAsia" w:ascii="仿宋_GB2312"/>
          <w:color w:val="auto"/>
        </w:rPr>
        <w:fldChar w:fldCharType="end"/>
      </w:r>
    </w:p>
    <w:p>
      <w:pPr>
        <w:pStyle w:val="23"/>
        <w:rPr>
          <w:rFonts w:ascii="仿宋_GB2312" w:hAnsi="Calibri"/>
          <w:smallCaps w:val="0"/>
          <w:color w:val="auto"/>
          <w:sz w:val="21"/>
          <w:szCs w:val="22"/>
        </w:rPr>
      </w:pPr>
      <w:r>
        <w:fldChar w:fldCharType="begin"/>
      </w:r>
      <w:r>
        <w:instrText xml:space="preserve"> HYPERLINK \l "_Toc19091547" </w:instrText>
      </w:r>
      <w:r>
        <w:fldChar w:fldCharType="separate"/>
      </w:r>
      <w:r>
        <w:rPr>
          <w:rStyle w:val="32"/>
          <w:rFonts w:hint="eastAsia" w:ascii="仿宋_GB2312"/>
          <w:color w:val="auto"/>
        </w:rPr>
        <w:t>（八）估价原则</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_Toc19091547 \h </w:instrText>
      </w:r>
      <w:r>
        <w:rPr>
          <w:rFonts w:hint="eastAsia" w:ascii="仿宋_GB2312"/>
          <w:color w:val="auto"/>
        </w:rPr>
        <w:fldChar w:fldCharType="separate"/>
      </w:r>
      <w:r>
        <w:rPr>
          <w:rFonts w:ascii="仿宋_GB2312"/>
          <w:color w:val="auto"/>
        </w:rPr>
        <w:t>14</w:t>
      </w:r>
      <w:r>
        <w:rPr>
          <w:rFonts w:hint="eastAsia" w:ascii="仿宋_GB2312"/>
          <w:color w:val="auto"/>
        </w:rPr>
        <w:fldChar w:fldCharType="end"/>
      </w:r>
      <w:r>
        <w:rPr>
          <w:rFonts w:hint="eastAsia" w:ascii="仿宋_GB2312"/>
          <w:color w:val="auto"/>
        </w:rPr>
        <w:fldChar w:fldCharType="end"/>
      </w:r>
    </w:p>
    <w:p>
      <w:pPr>
        <w:pStyle w:val="23"/>
        <w:rPr>
          <w:rFonts w:ascii="仿宋_GB2312" w:hAnsi="Calibri"/>
          <w:smallCaps w:val="0"/>
          <w:color w:val="auto"/>
          <w:sz w:val="21"/>
          <w:szCs w:val="22"/>
        </w:rPr>
      </w:pPr>
      <w:r>
        <w:fldChar w:fldCharType="begin"/>
      </w:r>
      <w:r>
        <w:instrText xml:space="preserve"> HYPERLINK \l "_Toc19091548" </w:instrText>
      </w:r>
      <w:r>
        <w:fldChar w:fldCharType="separate"/>
      </w:r>
      <w:r>
        <w:rPr>
          <w:rStyle w:val="32"/>
          <w:rFonts w:hint="eastAsia" w:ascii="仿宋_GB2312"/>
          <w:color w:val="auto"/>
        </w:rPr>
        <w:t>（九）估价方法</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_Toc19091548 \h </w:instrText>
      </w:r>
      <w:r>
        <w:rPr>
          <w:rFonts w:hint="eastAsia" w:ascii="仿宋_GB2312"/>
          <w:color w:val="auto"/>
        </w:rPr>
        <w:fldChar w:fldCharType="separate"/>
      </w:r>
      <w:r>
        <w:rPr>
          <w:rFonts w:ascii="仿宋_GB2312"/>
          <w:color w:val="auto"/>
        </w:rPr>
        <w:t>15</w:t>
      </w:r>
      <w:r>
        <w:rPr>
          <w:rFonts w:hint="eastAsia" w:ascii="仿宋_GB2312"/>
          <w:color w:val="auto"/>
        </w:rPr>
        <w:fldChar w:fldCharType="end"/>
      </w:r>
      <w:r>
        <w:rPr>
          <w:rFonts w:hint="eastAsia" w:ascii="仿宋_GB2312"/>
          <w:color w:val="auto"/>
        </w:rPr>
        <w:fldChar w:fldCharType="end"/>
      </w:r>
    </w:p>
    <w:p>
      <w:pPr>
        <w:pStyle w:val="23"/>
        <w:rPr>
          <w:rFonts w:ascii="仿宋_GB2312" w:hAnsi="Calibri"/>
          <w:smallCaps w:val="0"/>
          <w:color w:val="auto"/>
          <w:sz w:val="21"/>
          <w:szCs w:val="22"/>
        </w:rPr>
      </w:pPr>
      <w:r>
        <w:fldChar w:fldCharType="begin"/>
      </w:r>
      <w:r>
        <w:instrText xml:space="preserve"> HYPERLINK \l "_Toc19091549" </w:instrText>
      </w:r>
      <w:r>
        <w:fldChar w:fldCharType="separate"/>
      </w:r>
      <w:r>
        <w:rPr>
          <w:rStyle w:val="32"/>
          <w:rFonts w:hint="eastAsia" w:ascii="仿宋_GB2312"/>
          <w:color w:val="auto"/>
        </w:rPr>
        <w:t>（十）估价结果</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_Toc19091549 \h </w:instrText>
      </w:r>
      <w:r>
        <w:rPr>
          <w:rFonts w:hint="eastAsia" w:ascii="仿宋_GB2312"/>
          <w:color w:val="auto"/>
        </w:rPr>
        <w:fldChar w:fldCharType="separate"/>
      </w:r>
      <w:r>
        <w:rPr>
          <w:rFonts w:ascii="仿宋_GB2312"/>
          <w:color w:val="auto"/>
        </w:rPr>
        <w:t>16</w:t>
      </w:r>
      <w:r>
        <w:rPr>
          <w:rFonts w:hint="eastAsia" w:ascii="仿宋_GB2312"/>
          <w:color w:val="auto"/>
        </w:rPr>
        <w:fldChar w:fldCharType="end"/>
      </w:r>
      <w:r>
        <w:rPr>
          <w:rFonts w:hint="eastAsia" w:ascii="仿宋_GB2312"/>
          <w:color w:val="auto"/>
        </w:rPr>
        <w:fldChar w:fldCharType="end"/>
      </w:r>
    </w:p>
    <w:p>
      <w:pPr>
        <w:pStyle w:val="23"/>
        <w:rPr>
          <w:rFonts w:ascii="仿宋_GB2312" w:hAnsi="Calibri"/>
          <w:smallCaps w:val="0"/>
          <w:color w:val="auto"/>
          <w:sz w:val="21"/>
          <w:szCs w:val="22"/>
        </w:rPr>
      </w:pPr>
      <w:r>
        <w:fldChar w:fldCharType="begin"/>
      </w:r>
      <w:r>
        <w:instrText xml:space="preserve"> HYPERLINK \l "_Toc19091550" </w:instrText>
      </w:r>
      <w:r>
        <w:fldChar w:fldCharType="separate"/>
      </w:r>
      <w:r>
        <w:rPr>
          <w:rStyle w:val="32"/>
          <w:rFonts w:hint="eastAsia" w:ascii="仿宋_GB2312"/>
          <w:color w:val="auto"/>
        </w:rPr>
        <w:t>（十一）注册房地产估价师</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_Toc19091550 \h </w:instrText>
      </w:r>
      <w:r>
        <w:rPr>
          <w:rFonts w:hint="eastAsia" w:ascii="仿宋_GB2312"/>
          <w:color w:val="auto"/>
        </w:rPr>
        <w:fldChar w:fldCharType="separate"/>
      </w:r>
      <w:r>
        <w:rPr>
          <w:rFonts w:ascii="仿宋_GB2312"/>
          <w:color w:val="auto"/>
        </w:rPr>
        <w:t>16</w:t>
      </w:r>
      <w:r>
        <w:rPr>
          <w:rFonts w:hint="eastAsia" w:ascii="仿宋_GB2312"/>
          <w:color w:val="auto"/>
        </w:rPr>
        <w:fldChar w:fldCharType="end"/>
      </w:r>
      <w:r>
        <w:rPr>
          <w:rFonts w:hint="eastAsia" w:ascii="仿宋_GB2312"/>
          <w:color w:val="auto"/>
        </w:rPr>
        <w:fldChar w:fldCharType="end"/>
      </w:r>
    </w:p>
    <w:p>
      <w:pPr>
        <w:pStyle w:val="23"/>
        <w:rPr>
          <w:rFonts w:ascii="仿宋_GB2312" w:hAnsi="Calibri"/>
          <w:smallCaps w:val="0"/>
          <w:color w:val="auto"/>
          <w:sz w:val="21"/>
          <w:szCs w:val="22"/>
        </w:rPr>
      </w:pPr>
      <w:r>
        <w:fldChar w:fldCharType="begin"/>
      </w:r>
      <w:r>
        <w:instrText xml:space="preserve"> HYPERLINK \l "_Toc19091551" </w:instrText>
      </w:r>
      <w:r>
        <w:fldChar w:fldCharType="separate"/>
      </w:r>
      <w:r>
        <w:rPr>
          <w:rStyle w:val="32"/>
          <w:rFonts w:hint="eastAsia" w:ascii="仿宋_GB2312"/>
          <w:color w:val="auto"/>
        </w:rPr>
        <w:t>（十二）实地查勘期</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_Toc19091551 \h </w:instrText>
      </w:r>
      <w:r>
        <w:rPr>
          <w:rFonts w:hint="eastAsia" w:ascii="仿宋_GB2312"/>
          <w:color w:val="auto"/>
        </w:rPr>
        <w:fldChar w:fldCharType="separate"/>
      </w:r>
      <w:r>
        <w:rPr>
          <w:rFonts w:ascii="仿宋_GB2312"/>
          <w:color w:val="auto"/>
        </w:rPr>
        <w:t>17</w:t>
      </w:r>
      <w:r>
        <w:rPr>
          <w:rFonts w:hint="eastAsia" w:ascii="仿宋_GB2312"/>
          <w:color w:val="auto"/>
        </w:rPr>
        <w:fldChar w:fldCharType="end"/>
      </w:r>
      <w:r>
        <w:rPr>
          <w:rFonts w:hint="eastAsia" w:ascii="仿宋_GB2312"/>
          <w:color w:val="auto"/>
        </w:rPr>
        <w:fldChar w:fldCharType="end"/>
      </w:r>
    </w:p>
    <w:p>
      <w:pPr>
        <w:pStyle w:val="23"/>
        <w:rPr>
          <w:rFonts w:ascii="仿宋_GB2312" w:hAnsi="Calibri"/>
          <w:smallCaps w:val="0"/>
          <w:color w:val="auto"/>
          <w:sz w:val="21"/>
          <w:szCs w:val="22"/>
        </w:rPr>
      </w:pPr>
      <w:r>
        <w:fldChar w:fldCharType="begin"/>
      </w:r>
      <w:r>
        <w:instrText xml:space="preserve"> HYPERLINK \l "_Toc19091552" </w:instrText>
      </w:r>
      <w:r>
        <w:fldChar w:fldCharType="separate"/>
      </w:r>
      <w:r>
        <w:rPr>
          <w:rStyle w:val="32"/>
          <w:rFonts w:hint="eastAsia" w:ascii="仿宋_GB2312"/>
          <w:color w:val="auto"/>
        </w:rPr>
        <w:t>（十三）估价作业日期</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_Toc19091552 \h </w:instrText>
      </w:r>
      <w:r>
        <w:rPr>
          <w:rFonts w:hint="eastAsia" w:ascii="仿宋_GB2312"/>
          <w:color w:val="auto"/>
        </w:rPr>
        <w:fldChar w:fldCharType="separate"/>
      </w:r>
      <w:r>
        <w:rPr>
          <w:rFonts w:ascii="仿宋_GB2312"/>
          <w:color w:val="auto"/>
        </w:rPr>
        <w:t>17</w:t>
      </w:r>
      <w:r>
        <w:rPr>
          <w:rFonts w:hint="eastAsia" w:ascii="仿宋_GB2312"/>
          <w:color w:val="auto"/>
        </w:rPr>
        <w:fldChar w:fldCharType="end"/>
      </w:r>
      <w:r>
        <w:rPr>
          <w:rFonts w:hint="eastAsia" w:ascii="仿宋_GB2312"/>
          <w:color w:val="auto"/>
        </w:rPr>
        <w:fldChar w:fldCharType="end"/>
      </w:r>
    </w:p>
    <w:p>
      <w:pPr>
        <w:pStyle w:val="23"/>
        <w:rPr>
          <w:rFonts w:ascii="仿宋_GB2312" w:hAnsi="Calibri"/>
          <w:smallCaps w:val="0"/>
          <w:color w:val="auto"/>
          <w:sz w:val="21"/>
          <w:szCs w:val="22"/>
        </w:rPr>
      </w:pPr>
      <w:r>
        <w:fldChar w:fldCharType="begin"/>
      </w:r>
      <w:r>
        <w:instrText xml:space="preserve"> HYPERLINK \l "_Toc19091553" </w:instrText>
      </w:r>
      <w:r>
        <w:fldChar w:fldCharType="separate"/>
      </w:r>
      <w:r>
        <w:rPr>
          <w:rStyle w:val="32"/>
          <w:rFonts w:hint="eastAsia" w:ascii="仿宋_GB2312"/>
          <w:color w:val="auto"/>
        </w:rPr>
        <w:t>（十四）估价报告应用的有效期</w:t>
      </w:r>
      <w:r>
        <w:rPr>
          <w:rFonts w:hint="eastAsia" w:ascii="仿宋_GB2312"/>
          <w:color w:val="auto"/>
        </w:rPr>
        <w:tab/>
      </w:r>
      <w:r>
        <w:rPr>
          <w:rFonts w:hint="eastAsia" w:ascii="仿宋_GB2312"/>
          <w:color w:val="auto"/>
        </w:rPr>
        <w:fldChar w:fldCharType="begin"/>
      </w:r>
      <w:r>
        <w:rPr>
          <w:rFonts w:hint="eastAsia" w:ascii="仿宋_GB2312"/>
          <w:color w:val="auto"/>
        </w:rPr>
        <w:instrText xml:space="preserve"> PAGEREF _Toc19091553 \h </w:instrText>
      </w:r>
      <w:r>
        <w:rPr>
          <w:rFonts w:hint="eastAsia" w:ascii="仿宋_GB2312"/>
          <w:color w:val="auto"/>
        </w:rPr>
        <w:fldChar w:fldCharType="separate"/>
      </w:r>
      <w:r>
        <w:rPr>
          <w:rFonts w:ascii="仿宋_GB2312"/>
          <w:color w:val="auto"/>
        </w:rPr>
        <w:t>17</w:t>
      </w:r>
      <w:r>
        <w:rPr>
          <w:rFonts w:hint="eastAsia" w:ascii="仿宋_GB2312"/>
          <w:color w:val="auto"/>
        </w:rPr>
        <w:fldChar w:fldCharType="end"/>
      </w:r>
      <w:r>
        <w:rPr>
          <w:rFonts w:hint="eastAsia" w:ascii="仿宋_GB2312"/>
          <w:color w:val="auto"/>
        </w:rPr>
        <w:fldChar w:fldCharType="end"/>
      </w:r>
    </w:p>
    <w:p>
      <w:pPr>
        <w:pStyle w:val="19"/>
        <w:tabs>
          <w:tab w:val="right" w:leader="dot" w:pos="8891"/>
        </w:tabs>
        <w:rPr>
          <w:rFonts w:ascii="仿宋_GB2312" w:hAnsi="Calibri"/>
          <w:b w:val="0"/>
          <w:bCs w:val="0"/>
          <w:caps w:val="0"/>
          <w:sz w:val="21"/>
          <w:szCs w:val="22"/>
        </w:rPr>
      </w:pPr>
      <w:r>
        <w:fldChar w:fldCharType="begin"/>
      </w:r>
      <w:r>
        <w:instrText xml:space="preserve"> HYPERLINK \l "_Toc19091554" </w:instrText>
      </w:r>
      <w:r>
        <w:fldChar w:fldCharType="separate"/>
      </w:r>
      <w:r>
        <w:rPr>
          <w:rStyle w:val="32"/>
          <w:rFonts w:hint="eastAsia" w:ascii="仿宋_GB2312"/>
        </w:rPr>
        <w:t>四、附    件</w:t>
      </w:r>
      <w:r>
        <w:rPr>
          <w:rFonts w:hint="eastAsia" w:ascii="仿宋_GB2312"/>
        </w:rPr>
        <w:tab/>
      </w:r>
      <w:r>
        <w:rPr>
          <w:rFonts w:hint="eastAsia" w:ascii="仿宋_GB2312"/>
        </w:rPr>
        <w:fldChar w:fldCharType="begin"/>
      </w:r>
      <w:r>
        <w:rPr>
          <w:rFonts w:hint="eastAsia" w:ascii="仿宋_GB2312"/>
        </w:rPr>
        <w:instrText xml:space="preserve"> PAGEREF _Toc19091554 \h </w:instrText>
      </w:r>
      <w:r>
        <w:rPr>
          <w:rFonts w:hint="eastAsia" w:ascii="仿宋_GB2312"/>
        </w:rPr>
        <w:fldChar w:fldCharType="separate"/>
      </w:r>
      <w:r>
        <w:rPr>
          <w:rFonts w:ascii="仿宋_GB2312"/>
        </w:rPr>
        <w:t>18</w:t>
      </w:r>
      <w:r>
        <w:rPr>
          <w:rFonts w:hint="eastAsia" w:ascii="仿宋_GB2312"/>
        </w:rPr>
        <w:fldChar w:fldCharType="end"/>
      </w:r>
      <w:r>
        <w:rPr>
          <w:rFonts w:hint="eastAsia" w:ascii="仿宋_GB2312"/>
        </w:rPr>
        <w:fldChar w:fldCharType="end"/>
      </w:r>
    </w:p>
    <w:p>
      <w:pPr>
        <w:spacing w:line="560" w:lineRule="exact"/>
        <w:ind w:left="1670" w:hanging="1670" w:hangingChars="696"/>
        <w:jc w:val="distribute"/>
        <w:rPr>
          <w:rFonts w:ascii="仿宋_GB2312" w:hAnsi="宋体" w:eastAsia="仿宋_GB2312"/>
          <w:b/>
          <w:color w:val="000000"/>
          <w:sz w:val="30"/>
          <w:szCs w:val="30"/>
        </w:rPr>
        <w:sectPr>
          <w:pgSz w:w="11907" w:h="16840"/>
          <w:pgMar w:top="1588" w:right="1418" w:bottom="1588" w:left="1588" w:header="851" w:footer="454" w:gutter="0"/>
          <w:cols w:space="425" w:num="1"/>
          <w:docGrid w:type="lines" w:linePitch="312" w:charSpace="0"/>
        </w:sectPr>
      </w:pPr>
      <w:r>
        <w:rPr>
          <w:rFonts w:hint="eastAsia" w:ascii="仿宋_GB2312" w:hAnsi="楷体" w:eastAsia="仿宋_GB2312"/>
          <w:bCs/>
          <w:caps/>
          <w:sz w:val="24"/>
          <w:szCs w:val="20"/>
        </w:rPr>
        <w:fldChar w:fldCharType="end"/>
      </w:r>
    </w:p>
    <w:p>
      <w:pPr>
        <w:pStyle w:val="2"/>
      </w:pPr>
      <w:bookmarkStart w:id="2" w:name="_Toc19091535"/>
      <w:bookmarkStart w:id="3" w:name="_Toc293686507"/>
      <w:bookmarkStart w:id="4" w:name="_Toc293686340"/>
      <w:r>
        <w:rPr>
          <w:rFonts w:hint="eastAsia"/>
        </w:rPr>
        <w:t>一、估价师声明</w:t>
      </w:r>
      <w:bookmarkEnd w:id="2"/>
      <w:bookmarkEnd w:id="3"/>
      <w:bookmarkEnd w:id="4"/>
    </w:p>
    <w:p>
      <w:pPr>
        <w:spacing w:line="480" w:lineRule="exact"/>
        <w:ind w:firstLine="560" w:firstLineChars="200"/>
        <w:rPr>
          <w:rFonts w:ascii="仿宋_GB2312" w:hAnsi="宋体" w:eastAsia="仿宋_GB2312"/>
          <w:b/>
          <w:color w:val="000000"/>
          <w:sz w:val="28"/>
          <w:szCs w:val="28"/>
        </w:rPr>
      </w:pPr>
      <w:r>
        <w:rPr>
          <w:rFonts w:hint="eastAsia" w:ascii="仿宋_GB2312" w:hAnsi="宋体" w:eastAsia="仿宋_GB2312"/>
          <w:b/>
          <w:color w:val="000000"/>
          <w:sz w:val="28"/>
          <w:szCs w:val="28"/>
        </w:rPr>
        <w:t>我们郑重声明：</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1．我们在本估价报告中对事实的说明是真实和准确的，没有虚假记载、误导性陈述和重大遗漏。</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2．本估价报告中的分析、意见和结论是注册房地产估价师独立、客观、公正的专业分析、意见和结论，但受到本估价报告中已说明的估价假设和限制条件的限制。</w:t>
      </w:r>
    </w:p>
    <w:p>
      <w:pPr>
        <w:spacing w:line="480" w:lineRule="exact"/>
        <w:ind w:firstLine="560" w:firstLineChars="200"/>
        <w:rPr>
          <w:rFonts w:ascii="仿宋_GB2312" w:hAnsi="宋体" w:eastAsia="仿宋_GB2312"/>
          <w:color w:val="FF0000"/>
          <w:sz w:val="28"/>
          <w:szCs w:val="28"/>
        </w:rPr>
      </w:pPr>
      <w:r>
        <w:rPr>
          <w:rFonts w:hint="eastAsia" w:ascii="仿宋_GB2312" w:hAnsi="宋体" w:eastAsia="仿宋_GB2312"/>
          <w:sz w:val="28"/>
          <w:szCs w:val="28"/>
        </w:rPr>
        <w:t>3．我们与估价报告中的估价对象没有现实或潜在的利益，与估价委托人及估价利害关系人没有利害关系，也对估价对象、估价委托人及估价利害关系人没有偏见。</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4．我们按照中华人民共和国国家标准《房地产估价规范》（GB/T50291-2015）和《房地产估价基本术语标准》（</w:t>
      </w:r>
      <w:r>
        <w:rPr>
          <w:rFonts w:ascii="仿宋_GB2312" w:hAnsi="宋体" w:eastAsia="仿宋_GB2312"/>
          <w:sz w:val="28"/>
          <w:szCs w:val="28"/>
        </w:rPr>
        <w:t>GB/T50899-2013</w:t>
      </w:r>
      <w:r>
        <w:rPr>
          <w:rFonts w:hint="eastAsia" w:ascii="仿宋_GB2312" w:hAnsi="宋体" w:eastAsia="仿宋_GB2312"/>
          <w:sz w:val="28"/>
          <w:szCs w:val="28"/>
        </w:rPr>
        <w:t>）进行估价工作，撰写本估价报告。</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5．</w:t>
      </w:r>
      <w:r>
        <w:rPr>
          <w:rFonts w:hint="eastAsia" w:ascii="仿宋_GB2312" w:hAnsi="宋体" w:eastAsia="仿宋_GB2312"/>
          <w:color w:val="000000"/>
          <w:sz w:val="28"/>
          <w:szCs w:val="28"/>
        </w:rPr>
        <w:t>注册房地产估价师</w:t>
      </w:r>
      <w:r>
        <w:rPr>
          <w:rFonts w:hint="eastAsia" w:ascii="仿宋_GB2312" w:hAnsi="宋体" w:eastAsia="仿宋_GB2312"/>
          <w:sz w:val="28"/>
          <w:szCs w:val="28"/>
        </w:rPr>
        <w:t>已于2022年11月01日对本次估价对象进行了实地查勘</w:t>
      </w:r>
      <w:r>
        <w:rPr>
          <w:rFonts w:hint="eastAsia" w:ascii="仿宋_GB2312" w:hAnsi="宋体" w:eastAsia="仿宋_GB2312"/>
          <w:sz w:val="24"/>
        </w:rPr>
        <w:t>，</w:t>
      </w:r>
      <w:r>
        <w:rPr>
          <w:rFonts w:ascii="仿宋_GB2312" w:hAnsi="宋体" w:eastAsia="仿宋_GB2312"/>
          <w:sz w:val="28"/>
          <w:szCs w:val="28"/>
        </w:rPr>
        <w:t>估价</w:t>
      </w:r>
      <w:r>
        <w:rPr>
          <w:rFonts w:hint="eastAsia" w:ascii="仿宋_GB2312" w:hAnsi="宋体" w:eastAsia="仿宋_GB2312"/>
          <w:sz w:val="28"/>
          <w:szCs w:val="28"/>
        </w:rPr>
        <w:t>人员</w:t>
      </w:r>
      <w:r>
        <w:rPr>
          <w:rFonts w:ascii="仿宋_GB2312" w:hAnsi="宋体" w:eastAsia="仿宋_GB2312"/>
          <w:sz w:val="28"/>
          <w:szCs w:val="28"/>
        </w:rPr>
        <w:t>对估价对象的查勘</w:t>
      </w:r>
      <w:r>
        <w:rPr>
          <w:rFonts w:hint="eastAsia" w:ascii="仿宋_GB2312" w:hAnsi="宋体" w:eastAsia="仿宋_GB2312"/>
          <w:sz w:val="28"/>
          <w:szCs w:val="28"/>
        </w:rPr>
        <w:t>仅</w:t>
      </w:r>
      <w:r>
        <w:rPr>
          <w:rFonts w:ascii="仿宋_GB2312" w:hAnsi="宋体" w:eastAsia="仿宋_GB2312"/>
          <w:sz w:val="28"/>
          <w:szCs w:val="28"/>
        </w:rPr>
        <w:t>限于估价对象的外观和使用状况，估价</w:t>
      </w:r>
      <w:r>
        <w:rPr>
          <w:rFonts w:hint="eastAsia" w:ascii="仿宋_GB2312" w:hAnsi="宋体" w:eastAsia="仿宋_GB2312"/>
          <w:sz w:val="28"/>
          <w:szCs w:val="28"/>
        </w:rPr>
        <w:t>人员</w:t>
      </w:r>
      <w:r>
        <w:rPr>
          <w:rFonts w:ascii="仿宋_GB2312" w:hAnsi="宋体" w:eastAsia="仿宋_GB2312"/>
          <w:sz w:val="28"/>
          <w:szCs w:val="28"/>
        </w:rPr>
        <w:t>不承担对估价对象建筑结构质量进行调查的责任，也不承担对其他被遮盖未暴露及难于接触到的部分进行查勘的责任。</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6．没有人对本估价报告提供了重要专业帮助。</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7．本估价报告由浙江博南土地房地产评估规划有限公司负责解释。</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8．</w:t>
      </w:r>
      <w:r>
        <w:rPr>
          <w:rFonts w:ascii="仿宋_GB2312" w:hAnsi="宋体" w:eastAsia="仿宋_GB2312"/>
          <w:sz w:val="28"/>
          <w:szCs w:val="28"/>
        </w:rPr>
        <w:t>参加本次估价的注册房地产估价师</w:t>
      </w:r>
      <w:r>
        <w:rPr>
          <w:rFonts w:hint="eastAsia" w:ascii="仿宋_GB2312" w:hAnsi="宋体" w:eastAsia="仿宋_GB2312"/>
          <w:sz w:val="28"/>
          <w:szCs w:val="28"/>
        </w:rPr>
        <w:t>：</w:t>
      </w:r>
    </w:p>
    <w:tbl>
      <w:tblPr>
        <w:tblStyle w:val="27"/>
        <w:tblW w:w="5000" w:type="pct"/>
        <w:jc w:val="center"/>
        <w:tblLayout w:type="autofit"/>
        <w:tblCellMar>
          <w:top w:w="0" w:type="dxa"/>
          <w:left w:w="108" w:type="dxa"/>
          <w:bottom w:w="0" w:type="dxa"/>
          <w:right w:w="108" w:type="dxa"/>
        </w:tblCellMar>
      </w:tblPr>
      <w:tblGrid>
        <w:gridCol w:w="1994"/>
        <w:gridCol w:w="1703"/>
        <w:gridCol w:w="2815"/>
        <w:gridCol w:w="2736"/>
      </w:tblGrid>
      <w:tr>
        <w:tblPrEx>
          <w:tblCellMar>
            <w:top w:w="0" w:type="dxa"/>
            <w:left w:w="108" w:type="dxa"/>
            <w:bottom w:w="0" w:type="dxa"/>
            <w:right w:w="108" w:type="dxa"/>
          </w:tblCellMar>
        </w:tblPrEx>
        <w:trPr>
          <w:trHeight w:val="705" w:hRule="atLeast"/>
          <w:jc w:val="center"/>
        </w:trPr>
        <w:tc>
          <w:tcPr>
            <w:tcW w:w="1078"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宋体" w:eastAsia="仿宋_GB2312"/>
                <w:sz w:val="28"/>
                <w:szCs w:val="28"/>
              </w:rPr>
              <w:t>姓  名</w:t>
            </w:r>
          </w:p>
        </w:tc>
        <w:tc>
          <w:tcPr>
            <w:tcW w:w="921"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宋体" w:eastAsia="仿宋_GB2312"/>
                <w:sz w:val="28"/>
                <w:szCs w:val="28"/>
              </w:rPr>
              <w:t>注册号</w:t>
            </w:r>
          </w:p>
        </w:tc>
        <w:tc>
          <w:tcPr>
            <w:tcW w:w="1522"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宋体" w:eastAsia="仿宋_GB2312"/>
                <w:sz w:val="28"/>
                <w:szCs w:val="28"/>
              </w:rPr>
              <w:t>签  名</w:t>
            </w:r>
          </w:p>
        </w:tc>
        <w:tc>
          <w:tcPr>
            <w:tcW w:w="1479"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宋体" w:eastAsia="仿宋_GB2312"/>
                <w:sz w:val="28"/>
                <w:szCs w:val="28"/>
              </w:rPr>
              <w:t>签名日期</w:t>
            </w:r>
          </w:p>
        </w:tc>
      </w:tr>
      <w:tr>
        <w:tblPrEx>
          <w:tblCellMar>
            <w:top w:w="0" w:type="dxa"/>
            <w:left w:w="108" w:type="dxa"/>
            <w:bottom w:w="0" w:type="dxa"/>
            <w:right w:w="108" w:type="dxa"/>
          </w:tblCellMar>
        </w:tblPrEx>
        <w:trPr>
          <w:trHeight w:val="1151" w:hRule="atLeast"/>
          <w:jc w:val="center"/>
        </w:trPr>
        <w:tc>
          <w:tcPr>
            <w:tcW w:w="1078"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宋体" w:eastAsia="仿宋_GB2312"/>
                <w:sz w:val="28"/>
                <w:szCs w:val="28"/>
              </w:rPr>
              <w:t>苏  利</w:t>
            </w:r>
          </w:p>
        </w:tc>
        <w:tc>
          <w:tcPr>
            <w:tcW w:w="921"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Arial" w:eastAsia="仿宋_GB2312" w:cs="Arial"/>
                <w:color w:val="000000"/>
                <w:sz w:val="28"/>
                <w:szCs w:val="28"/>
              </w:rPr>
              <w:t>3320210066</w:t>
            </w:r>
          </w:p>
        </w:tc>
        <w:tc>
          <w:tcPr>
            <w:tcW w:w="1522" w:type="pct"/>
            <w:vAlign w:val="center"/>
          </w:tcPr>
          <w:p>
            <w:pPr>
              <w:tabs>
                <w:tab w:val="left" w:pos="-4320"/>
              </w:tabs>
              <w:spacing w:line="460" w:lineRule="exact"/>
              <w:jc w:val="center"/>
              <w:rPr>
                <w:rFonts w:ascii="仿宋_GB2312" w:hAnsi="宋体" w:eastAsia="仿宋_GB2312"/>
                <w:sz w:val="28"/>
                <w:szCs w:val="28"/>
              </w:rPr>
            </w:pPr>
          </w:p>
        </w:tc>
        <w:tc>
          <w:tcPr>
            <w:tcW w:w="1479"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宋体" w:eastAsia="仿宋_GB2312"/>
                <w:sz w:val="28"/>
                <w:szCs w:val="28"/>
              </w:rPr>
              <w:t>2022年11月10日</w:t>
            </w:r>
          </w:p>
        </w:tc>
      </w:tr>
      <w:tr>
        <w:tblPrEx>
          <w:tblCellMar>
            <w:top w:w="0" w:type="dxa"/>
            <w:left w:w="108" w:type="dxa"/>
            <w:bottom w:w="0" w:type="dxa"/>
            <w:right w:w="108" w:type="dxa"/>
          </w:tblCellMar>
        </w:tblPrEx>
        <w:trPr>
          <w:trHeight w:val="1076" w:hRule="atLeast"/>
          <w:jc w:val="center"/>
        </w:trPr>
        <w:tc>
          <w:tcPr>
            <w:tcW w:w="1078" w:type="pct"/>
            <w:vAlign w:val="center"/>
          </w:tcPr>
          <w:p>
            <w:pPr>
              <w:tabs>
                <w:tab w:val="left" w:pos="-4320"/>
              </w:tabs>
              <w:spacing w:line="460" w:lineRule="exact"/>
              <w:jc w:val="center"/>
              <w:rPr>
                <w:rFonts w:ascii="仿宋_GB2312" w:hAnsi="Arial" w:eastAsia="仿宋_GB2312" w:cs="Arial"/>
                <w:color w:val="000000"/>
                <w:sz w:val="28"/>
                <w:szCs w:val="28"/>
              </w:rPr>
            </w:pPr>
            <w:r>
              <w:rPr>
                <w:rFonts w:hint="eastAsia" w:ascii="仿宋_GB2312" w:hAnsi="Arial" w:eastAsia="仿宋_GB2312" w:cs="Arial"/>
                <w:color w:val="000000"/>
                <w:sz w:val="28"/>
                <w:szCs w:val="28"/>
              </w:rPr>
              <w:t>宋  成</w:t>
            </w:r>
          </w:p>
        </w:tc>
        <w:tc>
          <w:tcPr>
            <w:tcW w:w="921" w:type="pct"/>
            <w:vAlign w:val="center"/>
          </w:tcPr>
          <w:p>
            <w:pPr>
              <w:tabs>
                <w:tab w:val="left" w:pos="-4320"/>
              </w:tabs>
              <w:spacing w:line="460" w:lineRule="exact"/>
              <w:jc w:val="center"/>
              <w:rPr>
                <w:rFonts w:ascii="仿宋_GB2312" w:hAnsi="Arial" w:eastAsia="仿宋_GB2312" w:cs="Arial"/>
                <w:color w:val="000000"/>
                <w:sz w:val="28"/>
                <w:szCs w:val="28"/>
              </w:rPr>
            </w:pPr>
            <w:r>
              <w:rPr>
                <w:rFonts w:ascii="仿宋_GB2312" w:hAnsi="Arial" w:eastAsia="仿宋_GB2312" w:cs="Arial"/>
                <w:color w:val="000000"/>
                <w:sz w:val="28"/>
                <w:szCs w:val="28"/>
              </w:rPr>
              <w:t>3320</w:t>
            </w:r>
            <w:r>
              <w:rPr>
                <w:rFonts w:hint="eastAsia" w:ascii="仿宋_GB2312" w:hAnsi="Arial" w:eastAsia="仿宋_GB2312" w:cs="Arial"/>
                <w:color w:val="000000"/>
                <w:sz w:val="28"/>
                <w:szCs w:val="28"/>
              </w:rPr>
              <w:t>070078</w:t>
            </w:r>
          </w:p>
        </w:tc>
        <w:tc>
          <w:tcPr>
            <w:tcW w:w="1522" w:type="pct"/>
            <w:vAlign w:val="center"/>
          </w:tcPr>
          <w:p>
            <w:pPr>
              <w:tabs>
                <w:tab w:val="left" w:pos="-4320"/>
              </w:tabs>
              <w:spacing w:line="460" w:lineRule="exact"/>
              <w:jc w:val="center"/>
              <w:rPr>
                <w:rFonts w:ascii="仿宋_GB2312" w:hAnsi="Arial" w:eastAsia="仿宋_GB2312" w:cs="Arial"/>
                <w:color w:val="000000"/>
                <w:sz w:val="28"/>
                <w:szCs w:val="28"/>
              </w:rPr>
            </w:pPr>
          </w:p>
        </w:tc>
        <w:tc>
          <w:tcPr>
            <w:tcW w:w="1479"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宋体" w:eastAsia="仿宋_GB2312"/>
                <w:sz w:val="28"/>
                <w:szCs w:val="28"/>
              </w:rPr>
              <w:t>2022年11月10日</w:t>
            </w:r>
          </w:p>
        </w:tc>
      </w:tr>
    </w:tbl>
    <w:p>
      <w:pPr>
        <w:spacing w:line="500" w:lineRule="exact"/>
        <w:ind w:left="384" w:leftChars="183" w:firstLine="140" w:firstLineChars="50"/>
        <w:rPr>
          <w:rFonts w:ascii="仿宋_GB2312" w:hAnsi="宋体" w:eastAsia="仿宋_GB2312"/>
          <w:color w:val="000000"/>
          <w:sz w:val="28"/>
          <w:szCs w:val="28"/>
        </w:rPr>
        <w:sectPr>
          <w:pgSz w:w="11907" w:h="16840"/>
          <w:pgMar w:top="1418" w:right="1287" w:bottom="1247" w:left="1588" w:header="851" w:footer="454" w:gutter="0"/>
          <w:cols w:space="425" w:num="1"/>
          <w:docGrid w:type="linesAndChars" w:linePitch="312" w:charSpace="0"/>
        </w:sectPr>
      </w:pPr>
    </w:p>
    <w:p>
      <w:pPr>
        <w:pStyle w:val="2"/>
        <w:rPr>
          <w:rFonts w:ascii="仿宋_GB2312" w:eastAsia="仿宋_GB2312"/>
          <w:spacing w:val="-2"/>
        </w:rPr>
      </w:pPr>
      <w:bookmarkStart w:id="5" w:name="_Toc19091536"/>
      <w:bookmarkStart w:id="6" w:name="_Toc293686341"/>
      <w:bookmarkStart w:id="7" w:name="_Toc293686508"/>
      <w:r>
        <w:rPr>
          <w:rFonts w:hint="eastAsia"/>
        </w:rPr>
        <w:t>二、估价假设和限制条件</w:t>
      </w:r>
      <w:bookmarkEnd w:id="5"/>
      <w:bookmarkEnd w:id="6"/>
      <w:bookmarkEnd w:id="7"/>
    </w:p>
    <w:p>
      <w:pPr>
        <w:pStyle w:val="3"/>
        <w:spacing w:before="156"/>
      </w:pPr>
      <w:bookmarkStart w:id="8" w:name="_Toc19091537"/>
      <w:r>
        <w:rPr>
          <w:rFonts w:hint="eastAsia"/>
        </w:rPr>
        <w:t>（一）估价的假设条件</w:t>
      </w:r>
      <w:bookmarkEnd w:id="8"/>
    </w:p>
    <w:p>
      <w:pPr>
        <w:spacing w:line="480" w:lineRule="exact"/>
        <w:ind w:firstLine="560" w:firstLineChars="200"/>
        <w:rPr>
          <w:rFonts w:ascii="仿宋_GB2312" w:hAnsi="宋体" w:eastAsia="仿宋_GB2312"/>
          <w:b/>
          <w:sz w:val="28"/>
          <w:szCs w:val="28"/>
        </w:rPr>
      </w:pPr>
      <w:r>
        <w:rPr>
          <w:rFonts w:hint="eastAsia" w:ascii="仿宋_GB2312" w:hAnsi="宋体" w:eastAsia="仿宋_GB2312"/>
          <w:b/>
          <w:sz w:val="28"/>
          <w:szCs w:val="28"/>
        </w:rPr>
        <w:t>1、一般假设</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1）估价对象权属信息系根据杭州市规划和自然资源局萧山分局出具的《杭州市不动产登记信息查询记录》（编号：Q20221101-0012468）所载内容确定，在无理由怀疑其合法性、真实性、准确性和完整性的情况下，假定该资料合法、真实、准确、完整。</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（2）注册房地产估价师已对房屋安全、环境污染等影响估价对象价值的重大因素给予了关注，在无理由怀疑估价对象存在安全隐患且无相应的专业机构进行鉴定、检测的情况下，假定估价对象能正常安全使用。</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（3）估价对象在合法的前提下，按其现状用途使用能够产生最高最佳效益，并在未来得以持续。</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（4）任何有关估价对象的运作方式、程序均符合国家、地方的有关法律、法规、文件、政策等。特别是符合国土、建设、规划、房地产主管部门所颁布的有关法律、法规、文件、政策等。</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（5）估价对象与其他生产要素相结合，能满足其剩余使用年限内的正常使用要求，并得到有效使用。</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6）估价对象在价值时点的房地产市场为公开、平等、自愿的交易市场，即能满足以下条件：①交易双方自愿地进行交易；②交易双方处于利己动机进行交易；③交易双方精明、谨慎行事，并了解交易对象、知晓市场行情；④交易双方有较充裕的时间进行交易；⑤不存在买者因特殊兴趣而给予附加出价; ⑥房地产交易符合国家法律规定；⑦期间房地产市场基本保持稳定。</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（7）估价对象应享有公共部位的通行权及水电等共用设施的使用权。</w:t>
      </w:r>
    </w:p>
    <w:p>
      <w:pPr>
        <w:spacing w:line="480" w:lineRule="exact"/>
        <w:ind w:firstLine="560" w:firstLineChars="200"/>
        <w:rPr>
          <w:rFonts w:ascii="仿宋_GB2312" w:hAnsi="宋体" w:eastAsia="仿宋_GB2312"/>
          <w:b/>
          <w:sz w:val="28"/>
          <w:szCs w:val="28"/>
        </w:rPr>
      </w:pPr>
      <w:r>
        <w:rPr>
          <w:rFonts w:hint="eastAsia" w:ascii="仿宋_GB2312" w:hAnsi="宋体" w:eastAsia="仿宋_GB2312"/>
          <w:b/>
          <w:sz w:val="28"/>
          <w:szCs w:val="28"/>
        </w:rPr>
        <w:t>2、未定事项假设</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无未定事项假设。</w:t>
      </w:r>
    </w:p>
    <w:p>
      <w:pPr>
        <w:spacing w:line="480" w:lineRule="exact"/>
        <w:ind w:firstLine="560" w:firstLineChars="200"/>
        <w:rPr>
          <w:rFonts w:ascii="仿宋_GB2312" w:hAnsi="宋体" w:eastAsia="仿宋_GB2312"/>
          <w:b/>
          <w:sz w:val="28"/>
          <w:szCs w:val="28"/>
        </w:rPr>
      </w:pPr>
      <w:r>
        <w:rPr>
          <w:rFonts w:hint="eastAsia" w:ascii="仿宋_GB2312" w:hAnsi="宋体" w:eastAsia="仿宋_GB2312"/>
          <w:b/>
          <w:sz w:val="28"/>
          <w:szCs w:val="28"/>
        </w:rPr>
        <w:t>3、背离事实假设</w:t>
      </w:r>
    </w:p>
    <w:p>
      <w:pPr>
        <w:spacing w:line="480" w:lineRule="exact"/>
        <w:ind w:firstLine="560" w:firstLineChars="200"/>
        <w:rPr>
          <w:rFonts w:eastAsia="仿宋_GB2312"/>
          <w:sz w:val="28"/>
          <w:szCs w:val="28"/>
        </w:rPr>
      </w:pPr>
      <w:r>
        <w:rPr>
          <w:rFonts w:hint="eastAsia" w:ascii="仿宋_GB2312" w:hAnsi="宋体" w:eastAsia="仿宋_GB2312"/>
          <w:sz w:val="28"/>
          <w:szCs w:val="28"/>
        </w:rPr>
        <w:t>根据《杭州市不动产登记信息查询记录》（编号：Q20221101-0012468），至价值时点，估价对象已于20</w:t>
      </w:r>
      <w:r>
        <w:rPr>
          <w:rFonts w:ascii="仿宋_GB2312" w:hAnsi="宋体" w:eastAsia="仿宋_GB2312"/>
          <w:sz w:val="28"/>
          <w:szCs w:val="28"/>
        </w:rPr>
        <w:t>21</w:t>
      </w:r>
      <w:r>
        <w:rPr>
          <w:rFonts w:hint="eastAsia" w:ascii="仿宋_GB2312" w:hAnsi="宋体" w:eastAsia="仿宋_GB2312"/>
          <w:sz w:val="28"/>
          <w:szCs w:val="28"/>
        </w:rPr>
        <w:t>年07月</w:t>
      </w:r>
      <w:r>
        <w:rPr>
          <w:rFonts w:ascii="仿宋_GB2312" w:hAnsi="宋体" w:eastAsia="仿宋_GB2312"/>
          <w:sz w:val="28"/>
          <w:szCs w:val="28"/>
        </w:rPr>
        <w:t>07</w:t>
      </w:r>
      <w:r>
        <w:rPr>
          <w:rFonts w:hint="eastAsia" w:ascii="仿宋_GB2312" w:hAnsi="宋体" w:eastAsia="仿宋_GB2312"/>
          <w:sz w:val="28"/>
          <w:szCs w:val="28"/>
        </w:rPr>
        <w:t>日设定抵押权，抵押权人为北京银行股份有限公司杭州分行，债权数额为</w:t>
      </w:r>
      <w:r>
        <w:rPr>
          <w:rFonts w:ascii="仿宋_GB2312" w:hAnsi="宋体" w:eastAsia="仿宋_GB2312"/>
          <w:sz w:val="28"/>
          <w:szCs w:val="28"/>
        </w:rPr>
        <w:t>121</w:t>
      </w:r>
      <w:r>
        <w:rPr>
          <w:rFonts w:hint="eastAsia" w:ascii="仿宋_GB2312" w:hAnsi="宋体" w:eastAsia="仿宋_GB2312"/>
          <w:sz w:val="28"/>
          <w:szCs w:val="28"/>
        </w:rPr>
        <w:t>万元，至价值时点抵押权尚未注销；估价对象已被浙江省浦江县人民法院查封。根据本次估价目的，本次估价未考虑上述抵押、查封</w:t>
      </w:r>
      <w:r>
        <w:rPr>
          <w:rFonts w:ascii="仿宋_GB2312" w:hAnsi="宋体" w:eastAsia="仿宋_GB2312"/>
          <w:sz w:val="28"/>
          <w:szCs w:val="28"/>
        </w:rPr>
        <w:t>对</w:t>
      </w:r>
      <w:r>
        <w:rPr>
          <w:rFonts w:hint="eastAsia" w:ascii="仿宋_GB2312" w:hAnsi="宋体" w:eastAsia="仿宋_GB2312"/>
          <w:sz w:val="28"/>
          <w:szCs w:val="28"/>
        </w:rPr>
        <w:t>估价对象评估价值</w:t>
      </w:r>
      <w:r>
        <w:rPr>
          <w:rFonts w:ascii="仿宋_GB2312" w:hAnsi="宋体" w:eastAsia="仿宋_GB2312"/>
          <w:sz w:val="28"/>
          <w:szCs w:val="28"/>
        </w:rPr>
        <w:t>产生的影响</w:t>
      </w:r>
      <w:r>
        <w:rPr>
          <w:rFonts w:hint="eastAsia" w:ascii="仿宋_GB2312" w:hAnsi="宋体" w:eastAsia="仿宋_GB2312"/>
          <w:sz w:val="28"/>
          <w:szCs w:val="28"/>
        </w:rPr>
        <w:t>，</w:t>
      </w:r>
      <w:r>
        <w:rPr>
          <w:rFonts w:ascii="仿宋_GB2312" w:hAnsi="宋体" w:eastAsia="仿宋_GB2312"/>
          <w:sz w:val="28"/>
          <w:szCs w:val="28"/>
        </w:rPr>
        <w:t>提请报告使用者注意。</w:t>
      </w:r>
    </w:p>
    <w:p>
      <w:pPr>
        <w:spacing w:line="480" w:lineRule="exact"/>
        <w:ind w:firstLine="560" w:firstLineChars="200"/>
        <w:rPr>
          <w:rFonts w:ascii="仿宋_GB2312" w:hAnsi="宋体" w:eastAsia="仿宋_GB2312"/>
          <w:b/>
          <w:sz w:val="28"/>
          <w:szCs w:val="28"/>
        </w:rPr>
      </w:pPr>
      <w:r>
        <w:rPr>
          <w:rFonts w:hint="eastAsia" w:ascii="仿宋_GB2312" w:hAnsi="宋体" w:eastAsia="仿宋_GB2312"/>
          <w:b/>
          <w:sz w:val="28"/>
          <w:szCs w:val="28"/>
        </w:rPr>
        <w:t>4、不相一致假设</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无不相一致假设。</w:t>
      </w:r>
    </w:p>
    <w:p>
      <w:pPr>
        <w:spacing w:line="480" w:lineRule="exact"/>
        <w:ind w:firstLine="560" w:firstLineChars="200"/>
        <w:rPr>
          <w:rFonts w:ascii="仿宋_GB2312" w:hAnsi="宋体" w:eastAsia="仿宋_GB2312"/>
          <w:b/>
          <w:sz w:val="28"/>
          <w:szCs w:val="28"/>
        </w:rPr>
      </w:pPr>
      <w:r>
        <w:rPr>
          <w:rFonts w:hint="eastAsia" w:ascii="仿宋_GB2312" w:hAnsi="宋体" w:eastAsia="仿宋_GB2312"/>
          <w:b/>
          <w:sz w:val="28"/>
          <w:szCs w:val="28"/>
        </w:rPr>
        <w:t>5、依据不足假设</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无依据不足假设。</w:t>
      </w:r>
    </w:p>
    <w:p>
      <w:pPr>
        <w:pStyle w:val="3"/>
        <w:spacing w:before="156"/>
      </w:pPr>
      <w:bookmarkStart w:id="9" w:name="_Toc19091538"/>
      <w:r>
        <w:rPr>
          <w:rFonts w:hint="eastAsia"/>
        </w:rPr>
        <w:t>（二）估价报告使用限制</w:t>
      </w:r>
      <w:bookmarkEnd w:id="9"/>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1、本估价报告估价结果是在满足上述全部假设条件下的房地产价值，如上述假设条件发生变化，则需重新进行评估。</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2、本估价报告估价结果未考虑国家宏观经济政策发生重大变化以及遇有自然力和其他不可抗力对估价结论的影响。</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3、本估价报告有效期自出具估价报告日起</w:t>
      </w:r>
      <w:r>
        <w:rPr>
          <w:rFonts w:ascii="仿宋_GB2312" w:hAnsi="宋体" w:eastAsia="仿宋_GB2312"/>
          <w:sz w:val="28"/>
          <w:szCs w:val="28"/>
        </w:rPr>
        <w:fldChar w:fldCharType="begin"/>
      </w:r>
      <w:r>
        <w:rPr>
          <w:rFonts w:ascii="仿宋_GB2312" w:hAnsi="宋体" w:eastAsia="仿宋_GB2312"/>
          <w:sz w:val="28"/>
          <w:szCs w:val="28"/>
        </w:rPr>
        <w:instrText xml:space="preserve"> </w:instrText>
      </w:r>
      <w:r>
        <w:rPr>
          <w:rFonts w:hint="eastAsia" w:ascii="仿宋_GB2312" w:hAnsi="宋体" w:eastAsia="仿宋_GB2312"/>
          <w:sz w:val="28"/>
          <w:szCs w:val="28"/>
        </w:rPr>
        <w:instrText xml:space="preserve">= 1 \* CHINESENUM2</w:instrText>
      </w:r>
      <w:r>
        <w:rPr>
          <w:rFonts w:ascii="仿宋_GB2312" w:hAnsi="宋体" w:eastAsia="仿宋_GB2312"/>
          <w:sz w:val="28"/>
          <w:szCs w:val="28"/>
        </w:rPr>
        <w:instrText xml:space="preserve"> </w:instrText>
      </w:r>
      <w:r>
        <w:rPr>
          <w:rFonts w:ascii="仿宋_GB2312" w:hAnsi="宋体" w:eastAsia="仿宋_GB2312"/>
          <w:sz w:val="28"/>
          <w:szCs w:val="28"/>
        </w:rPr>
        <w:fldChar w:fldCharType="separate"/>
      </w:r>
      <w:r>
        <w:rPr>
          <w:rFonts w:hint="eastAsia" w:ascii="仿宋_GB2312" w:hAnsi="宋体" w:eastAsia="仿宋_GB2312"/>
          <w:sz w:val="28"/>
          <w:szCs w:val="28"/>
        </w:rPr>
        <w:t>壹</w:t>
      </w:r>
      <w:r>
        <w:rPr>
          <w:rFonts w:ascii="仿宋_GB2312" w:hAnsi="宋体" w:eastAsia="仿宋_GB2312"/>
          <w:sz w:val="28"/>
          <w:szCs w:val="28"/>
        </w:rPr>
        <w:fldChar w:fldCharType="end"/>
      </w:r>
      <w:r>
        <w:rPr>
          <w:rFonts w:hint="eastAsia" w:ascii="仿宋_GB2312" w:hAnsi="宋体" w:eastAsia="仿宋_GB2312"/>
          <w:sz w:val="28"/>
          <w:szCs w:val="28"/>
        </w:rPr>
        <w:t>年内有效，即有效期自2022年11月10日至2023年11月09日止。若报告使用期限内，房地产市场或估价对象状况发生重大变化，估价结果需做相应调整或委托估价机构重新估价。</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4、房地产交易需要买卖双方在了解足够的市场信息，拥有足够的谈判时间，经过谨慎的考虑和对房地产市场进行合理预期，并具体考虑买卖双方的偏好等条件下方能实现。房地产市场的波动及快速变现等特殊交易因素可能导致房地产价值有较大幅度的变化。本估价报告估价结果为房地产市场价值，未考虑快速变现等处分方式带来的影响。</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5、本估价报告估价结果专为此次估</w:t>
      </w:r>
      <w:r>
        <w:rPr>
          <w:rFonts w:hint="eastAsia" w:ascii="仿宋_GB2312" w:hAnsi="宋体" w:eastAsia="仿宋_GB2312"/>
          <w:color w:val="000000"/>
          <w:sz w:val="28"/>
          <w:szCs w:val="28"/>
        </w:rPr>
        <w:t>价目的所作，按照既定目的提供给估价委托人使用，若改变估价目的及使用条件，本估价报告</w:t>
      </w:r>
      <w:r>
        <w:rPr>
          <w:rFonts w:hint="eastAsia" w:ascii="仿宋_GB2312" w:hAnsi="宋体" w:eastAsia="仿宋_GB2312"/>
          <w:sz w:val="28"/>
          <w:szCs w:val="28"/>
        </w:rPr>
        <w:t>估价结果</w:t>
      </w:r>
      <w:r>
        <w:rPr>
          <w:rFonts w:hint="eastAsia" w:ascii="仿宋_GB2312" w:hAnsi="宋体" w:eastAsia="仿宋_GB2312"/>
          <w:color w:val="000000"/>
          <w:sz w:val="28"/>
          <w:szCs w:val="28"/>
        </w:rPr>
        <w:t>无效，需向本公司咨询后作必要调整甚至重新估价。凡因估价委托人使用估价报告不当而引起的后果，</w:t>
      </w:r>
      <w:r>
        <w:rPr>
          <w:rFonts w:hint="eastAsia" w:ascii="仿宋_GB2312" w:hAnsi="宋体" w:eastAsia="仿宋_GB2312"/>
          <w:sz w:val="28"/>
          <w:szCs w:val="28"/>
        </w:rPr>
        <w:t>本公司和估价人员不承担相应责任。</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6、未经估价机构书面同意，本估价报告的全部或部分及任何参考资料均不允许在任何公开发表的文件、通告或声明中引用，亦不得以其他任何方式公开发表。</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7、估价对象房屋建筑面积等数据系根据杭州市规划和自然资源局萧山分局出具的《杭州市不动产登记信息查询记录》（编号：Q20221101-0012468）所登记的内容确定，注册房地产估价师进行了实地查勘，但未对房屋建筑面积等进行实地专业测量，若以上基础数据有变化，估价结果需做相应调整。</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t>8、</w:t>
      </w:r>
      <w:r>
        <w:rPr>
          <w:rFonts w:hint="eastAsia" w:ascii="仿宋_GB2312" w:hAnsi="宋体" w:eastAsia="仿宋_GB2312"/>
          <w:sz w:val="28"/>
          <w:szCs w:val="28"/>
        </w:rPr>
        <w:t>根据对宸宇府物业服务中心了解咨询，至价值时点，估价对象已拖欠物业费及车辆管理费等共8</w:t>
      </w:r>
      <w:r>
        <w:rPr>
          <w:rFonts w:ascii="仿宋_GB2312" w:hAnsi="宋体" w:eastAsia="仿宋_GB2312"/>
          <w:sz w:val="28"/>
          <w:szCs w:val="28"/>
        </w:rPr>
        <w:t>636.70</w:t>
      </w:r>
      <w:r>
        <w:rPr>
          <w:rFonts w:hint="eastAsia" w:ascii="仿宋_GB2312" w:hAnsi="宋体" w:eastAsia="仿宋_GB2312"/>
          <w:sz w:val="28"/>
          <w:szCs w:val="28"/>
        </w:rPr>
        <w:t>元。</w:t>
      </w:r>
      <w:r>
        <w:rPr>
          <w:rFonts w:hint="eastAsia" w:ascii="仿宋_GB2312" w:eastAsia="仿宋_GB2312"/>
          <w:sz w:val="28"/>
          <w:szCs w:val="28"/>
        </w:rPr>
        <w:t>本次估价结果未考虑物业费用、水电费等对其市场价值的影响，也未考虑估价对象可能存在的煤气费、电信通讯费、宽带费以及其他等因物业使用而产生拖欠费用，</w:t>
      </w:r>
      <w:r>
        <w:rPr>
          <w:rFonts w:eastAsia="仿宋_GB2312"/>
          <w:sz w:val="28"/>
          <w:szCs w:val="28"/>
        </w:rPr>
        <w:t>提请报告使用者注意。</w:t>
      </w:r>
    </w:p>
    <w:p>
      <w:pPr>
        <w:spacing w:line="480" w:lineRule="exact"/>
        <w:ind w:firstLine="560" w:firstLineChars="200"/>
        <w:rPr>
          <w:rFonts w:ascii="仿宋_GB2312" w:hAnsi="宋体" w:eastAsia="仿宋_GB2312"/>
          <w:sz w:val="28"/>
          <w:szCs w:val="28"/>
        </w:rPr>
      </w:pPr>
      <w:r>
        <w:rPr>
          <w:rFonts w:hint="eastAsia" w:ascii="仿宋_GB2312" w:eastAsia="仿宋_GB2312"/>
          <w:sz w:val="28"/>
          <w:szCs w:val="28"/>
        </w:rPr>
        <w:t>9、</w:t>
      </w:r>
      <w:r>
        <w:rPr>
          <w:rFonts w:hint="eastAsia" w:ascii="仿宋_GB2312" w:hAnsi="宋体" w:eastAsia="仿宋_GB2312"/>
          <w:sz w:val="28"/>
          <w:szCs w:val="28"/>
        </w:rPr>
        <w:t>估价对象尚未办理不动产权证书，在交易过程中需要二次过户。</w:t>
      </w:r>
      <w:r>
        <w:rPr>
          <w:rFonts w:eastAsia="仿宋_GB2312"/>
          <w:sz w:val="28"/>
          <w:szCs w:val="28"/>
        </w:rPr>
        <w:t>交易双方按照税法规定各自缴纳相应的房地产税（费）</w:t>
      </w:r>
      <w:r>
        <w:rPr>
          <w:rFonts w:hint="eastAsia" w:eastAsia="仿宋_GB2312"/>
          <w:sz w:val="28"/>
          <w:szCs w:val="28"/>
        </w:rPr>
        <w:t>，</w:t>
      </w:r>
      <w:r>
        <w:rPr>
          <w:rFonts w:hint="eastAsia" w:ascii="仿宋_GB2312" w:hAnsi="宋体" w:eastAsia="仿宋_GB2312"/>
          <w:sz w:val="28"/>
          <w:szCs w:val="28"/>
        </w:rPr>
        <w:t>估价对象交易过程中应缴纳的税费及计算方式如下表所示，具体缴纳金额需根据税务等相关部门核定的为准。</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988"/>
        <w:gridCol w:w="1839"/>
        <w:gridCol w:w="1920"/>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00" w:type="pct"/>
            <w:gridSpan w:val="5"/>
            <w:shd w:val="clear" w:color="auto" w:fill="auto"/>
            <w:vAlign w:val="center"/>
          </w:tcPr>
          <w:p>
            <w:pPr>
              <w:jc w:val="center"/>
              <w:rPr>
                <w:rFonts w:ascii="仿宋_GB2312" w:hAnsi="宋体" w:eastAsia="仿宋_GB2312" w:cs="宋体"/>
                <w:b/>
                <w:color w:val="000000"/>
                <w:kern w:val="0"/>
                <w:sz w:val="20"/>
                <w:szCs w:val="20"/>
              </w:rPr>
            </w:pPr>
            <w:r>
              <w:rPr>
                <w:rFonts w:hint="eastAsia" w:ascii="仿宋_GB2312" w:hAnsi="宋体" w:eastAsia="仿宋_GB2312" w:cs="宋体"/>
                <w:b/>
                <w:color w:val="000000"/>
                <w:kern w:val="0"/>
                <w:sz w:val="20"/>
                <w:szCs w:val="20"/>
              </w:rPr>
              <w:t>承受方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95" w:type="pct"/>
            <w:shd w:val="clear" w:color="auto" w:fill="auto"/>
            <w:vAlign w:val="center"/>
          </w:tcPr>
          <w:p>
            <w:pPr>
              <w:widowControl/>
              <w:jc w:val="center"/>
              <w:rPr>
                <w:rFonts w:ascii="仿宋_GB2312" w:hAnsi="宋体" w:eastAsia="仿宋_GB2312" w:cs="宋体"/>
                <w:b/>
                <w:color w:val="000000"/>
                <w:kern w:val="0"/>
                <w:sz w:val="20"/>
                <w:szCs w:val="20"/>
              </w:rPr>
            </w:pPr>
            <w:r>
              <w:rPr>
                <w:rFonts w:hint="eastAsia" w:ascii="仿宋_GB2312" w:hAnsi="宋体" w:eastAsia="仿宋_GB2312" w:cs="宋体"/>
                <w:b/>
                <w:color w:val="000000"/>
                <w:kern w:val="0"/>
                <w:sz w:val="20"/>
                <w:szCs w:val="20"/>
              </w:rPr>
              <w:t>序号</w:t>
            </w:r>
          </w:p>
        </w:tc>
        <w:tc>
          <w:tcPr>
            <w:tcW w:w="1075" w:type="pct"/>
            <w:shd w:val="clear" w:color="auto" w:fill="auto"/>
            <w:noWrap/>
            <w:vAlign w:val="center"/>
          </w:tcPr>
          <w:p>
            <w:pPr>
              <w:widowControl/>
              <w:jc w:val="center"/>
              <w:rPr>
                <w:rFonts w:ascii="仿宋_GB2312" w:hAnsi="宋体" w:eastAsia="仿宋_GB2312" w:cs="宋体"/>
                <w:b/>
                <w:color w:val="000000"/>
                <w:kern w:val="0"/>
                <w:sz w:val="20"/>
                <w:szCs w:val="20"/>
              </w:rPr>
            </w:pPr>
            <w:r>
              <w:rPr>
                <w:rFonts w:hint="eastAsia" w:ascii="仿宋_GB2312" w:hAnsi="宋体" w:eastAsia="仿宋_GB2312" w:cs="宋体"/>
                <w:b/>
                <w:color w:val="000000"/>
                <w:kern w:val="0"/>
                <w:sz w:val="20"/>
                <w:szCs w:val="20"/>
              </w:rPr>
              <w:t>税种</w:t>
            </w:r>
          </w:p>
        </w:tc>
        <w:tc>
          <w:tcPr>
            <w:tcW w:w="3330" w:type="pct"/>
            <w:gridSpan w:val="3"/>
            <w:shd w:val="clear" w:color="auto" w:fill="auto"/>
            <w:noWrap/>
            <w:vAlign w:val="center"/>
          </w:tcPr>
          <w:p>
            <w:pPr>
              <w:widowControl/>
              <w:jc w:val="center"/>
              <w:rPr>
                <w:rFonts w:ascii="仿宋_GB2312" w:hAnsi="宋体" w:eastAsia="仿宋_GB2312" w:cs="宋体"/>
                <w:b/>
                <w:color w:val="000000"/>
                <w:kern w:val="0"/>
                <w:sz w:val="20"/>
                <w:szCs w:val="20"/>
              </w:rPr>
            </w:pPr>
            <w:r>
              <w:rPr>
                <w:rFonts w:hint="eastAsia" w:ascii="仿宋_GB2312" w:hAnsi="宋体" w:eastAsia="仿宋_GB2312" w:cs="宋体"/>
                <w:b/>
                <w:color w:val="000000"/>
                <w:kern w:val="0"/>
                <w:sz w:val="20"/>
                <w:szCs w:val="20"/>
              </w:rPr>
              <w:t>税率及计算方法（个人）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95" w:type="pct"/>
            <w:vMerge w:val="restart"/>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w:t>
            </w:r>
          </w:p>
        </w:tc>
        <w:tc>
          <w:tcPr>
            <w:tcW w:w="1075" w:type="pct"/>
            <w:vMerge w:val="restart"/>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契税</w:t>
            </w:r>
          </w:p>
        </w:tc>
        <w:tc>
          <w:tcPr>
            <w:tcW w:w="994" w:type="pct"/>
            <w:vMerge w:val="restart"/>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家庭唯一住房</w:t>
            </w:r>
          </w:p>
        </w:tc>
        <w:tc>
          <w:tcPr>
            <w:tcW w:w="1038" w:type="pct"/>
            <w:shd w:val="clear" w:color="auto" w:fill="auto"/>
            <w:vAlign w:val="center"/>
          </w:tcPr>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90</w:t>
            </w:r>
            <w:r>
              <w:rPr>
                <w:rFonts w:hint="eastAsia" w:ascii="宋体" w:hAnsi="宋体" w:cs="宋体"/>
                <w:color w:val="000000"/>
                <w:kern w:val="0"/>
                <w:sz w:val="20"/>
                <w:szCs w:val="20"/>
              </w:rPr>
              <w:t>㎡</w:t>
            </w:r>
            <w:r>
              <w:rPr>
                <w:rFonts w:hint="eastAsia" w:ascii="仿宋_GB2312" w:hAnsi="宋体" w:eastAsia="仿宋_GB2312" w:cs="宋体"/>
                <w:color w:val="000000"/>
                <w:kern w:val="0"/>
                <w:sz w:val="20"/>
                <w:szCs w:val="20"/>
              </w:rPr>
              <w:t>及以下</w:t>
            </w:r>
          </w:p>
        </w:tc>
        <w:tc>
          <w:tcPr>
            <w:tcW w:w="1298" w:type="pct"/>
            <w:shd w:val="clear" w:color="auto" w:fill="auto"/>
            <w:vAlign w:val="center"/>
          </w:tcPr>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95" w:type="pct"/>
            <w:vMerge w:val="continue"/>
            <w:vAlign w:val="center"/>
          </w:tcPr>
          <w:p>
            <w:pPr>
              <w:widowControl/>
              <w:jc w:val="center"/>
              <w:rPr>
                <w:rFonts w:ascii="仿宋_GB2312" w:hAnsi="宋体" w:eastAsia="仿宋_GB2312" w:cs="宋体"/>
                <w:color w:val="000000"/>
                <w:kern w:val="0"/>
                <w:sz w:val="20"/>
                <w:szCs w:val="20"/>
              </w:rPr>
            </w:pPr>
          </w:p>
        </w:tc>
        <w:tc>
          <w:tcPr>
            <w:tcW w:w="1075" w:type="pct"/>
            <w:vMerge w:val="continue"/>
            <w:shd w:val="clear" w:color="auto" w:fill="auto"/>
            <w:noWrap/>
            <w:vAlign w:val="center"/>
          </w:tcPr>
          <w:p>
            <w:pPr>
              <w:widowControl/>
              <w:jc w:val="center"/>
              <w:rPr>
                <w:rFonts w:ascii="仿宋_GB2312" w:hAnsi="宋体" w:eastAsia="仿宋_GB2312" w:cs="宋体"/>
                <w:color w:val="000000"/>
                <w:kern w:val="0"/>
                <w:sz w:val="20"/>
                <w:szCs w:val="20"/>
              </w:rPr>
            </w:pPr>
          </w:p>
        </w:tc>
        <w:tc>
          <w:tcPr>
            <w:tcW w:w="994" w:type="pct"/>
            <w:vMerge w:val="continue"/>
            <w:shd w:val="clear" w:color="auto" w:fill="auto"/>
            <w:noWrap/>
            <w:vAlign w:val="center"/>
          </w:tcPr>
          <w:p>
            <w:pPr>
              <w:widowControl/>
              <w:jc w:val="center"/>
              <w:rPr>
                <w:rFonts w:ascii="仿宋_GB2312" w:hAnsi="宋体" w:eastAsia="仿宋_GB2312" w:cs="宋体"/>
                <w:color w:val="000000"/>
                <w:kern w:val="0"/>
                <w:sz w:val="20"/>
                <w:szCs w:val="20"/>
              </w:rPr>
            </w:pPr>
          </w:p>
        </w:tc>
        <w:tc>
          <w:tcPr>
            <w:tcW w:w="1038" w:type="pct"/>
            <w:shd w:val="clear" w:color="auto" w:fill="auto"/>
            <w:vAlign w:val="center"/>
          </w:tcPr>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90</w:t>
            </w:r>
            <w:r>
              <w:rPr>
                <w:rFonts w:hint="eastAsia" w:ascii="宋体" w:hAnsi="宋体" w:cs="宋体"/>
                <w:color w:val="000000"/>
                <w:kern w:val="0"/>
                <w:sz w:val="20"/>
                <w:szCs w:val="20"/>
              </w:rPr>
              <w:t>㎡</w:t>
            </w:r>
            <w:r>
              <w:rPr>
                <w:rFonts w:hint="eastAsia" w:ascii="仿宋_GB2312" w:hAnsi="宋体" w:eastAsia="仿宋_GB2312" w:cs="宋体"/>
                <w:color w:val="000000"/>
                <w:kern w:val="0"/>
                <w:sz w:val="20"/>
                <w:szCs w:val="20"/>
              </w:rPr>
              <w:t>以上</w:t>
            </w:r>
          </w:p>
        </w:tc>
        <w:tc>
          <w:tcPr>
            <w:tcW w:w="1298" w:type="pct"/>
            <w:shd w:val="clear" w:color="auto" w:fill="auto"/>
            <w:vAlign w:val="center"/>
          </w:tcPr>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95" w:type="pct"/>
            <w:vMerge w:val="continue"/>
            <w:vAlign w:val="center"/>
          </w:tcPr>
          <w:p>
            <w:pPr>
              <w:widowControl/>
              <w:jc w:val="center"/>
              <w:rPr>
                <w:rFonts w:ascii="仿宋_GB2312" w:hAnsi="宋体" w:eastAsia="仿宋_GB2312" w:cs="宋体"/>
                <w:color w:val="000000"/>
                <w:kern w:val="0"/>
                <w:sz w:val="20"/>
                <w:szCs w:val="20"/>
              </w:rPr>
            </w:pPr>
          </w:p>
        </w:tc>
        <w:tc>
          <w:tcPr>
            <w:tcW w:w="1075" w:type="pct"/>
            <w:vMerge w:val="continue"/>
            <w:shd w:val="clear" w:color="auto" w:fill="auto"/>
            <w:noWrap/>
            <w:vAlign w:val="center"/>
          </w:tcPr>
          <w:p>
            <w:pPr>
              <w:widowControl/>
              <w:jc w:val="center"/>
              <w:rPr>
                <w:rFonts w:ascii="仿宋_GB2312" w:hAnsi="宋体" w:eastAsia="仿宋_GB2312" w:cs="宋体"/>
                <w:color w:val="000000"/>
                <w:kern w:val="0"/>
                <w:sz w:val="20"/>
                <w:szCs w:val="20"/>
              </w:rPr>
            </w:pPr>
          </w:p>
        </w:tc>
        <w:tc>
          <w:tcPr>
            <w:tcW w:w="994" w:type="pct"/>
            <w:vMerge w:val="restart"/>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家庭第二套改善性住房</w:t>
            </w:r>
          </w:p>
        </w:tc>
        <w:tc>
          <w:tcPr>
            <w:tcW w:w="1038" w:type="pct"/>
            <w:shd w:val="clear" w:color="auto" w:fill="auto"/>
            <w:vAlign w:val="center"/>
          </w:tcPr>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90</w:t>
            </w:r>
            <w:r>
              <w:rPr>
                <w:rFonts w:hint="eastAsia" w:ascii="宋体" w:hAnsi="宋体" w:cs="宋体"/>
                <w:color w:val="000000"/>
                <w:kern w:val="0"/>
                <w:sz w:val="20"/>
                <w:szCs w:val="20"/>
              </w:rPr>
              <w:t>㎡</w:t>
            </w:r>
            <w:r>
              <w:rPr>
                <w:rFonts w:hint="eastAsia" w:ascii="仿宋_GB2312" w:hAnsi="宋体" w:eastAsia="仿宋_GB2312" w:cs="宋体"/>
                <w:color w:val="000000"/>
                <w:kern w:val="0"/>
                <w:sz w:val="20"/>
                <w:szCs w:val="20"/>
              </w:rPr>
              <w:t>及以下</w:t>
            </w:r>
          </w:p>
        </w:tc>
        <w:tc>
          <w:tcPr>
            <w:tcW w:w="1298" w:type="pct"/>
            <w:shd w:val="clear" w:color="auto" w:fill="auto"/>
            <w:vAlign w:val="center"/>
          </w:tcPr>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95" w:type="pct"/>
            <w:vMerge w:val="continue"/>
            <w:vAlign w:val="center"/>
          </w:tcPr>
          <w:p>
            <w:pPr>
              <w:widowControl/>
              <w:jc w:val="center"/>
              <w:rPr>
                <w:rFonts w:ascii="仿宋_GB2312" w:hAnsi="宋体" w:eastAsia="仿宋_GB2312" w:cs="宋体"/>
                <w:color w:val="000000"/>
                <w:kern w:val="0"/>
                <w:sz w:val="20"/>
                <w:szCs w:val="20"/>
              </w:rPr>
            </w:pPr>
          </w:p>
        </w:tc>
        <w:tc>
          <w:tcPr>
            <w:tcW w:w="1075" w:type="pct"/>
            <w:vMerge w:val="continue"/>
            <w:shd w:val="clear" w:color="auto" w:fill="auto"/>
            <w:noWrap/>
            <w:vAlign w:val="center"/>
          </w:tcPr>
          <w:p>
            <w:pPr>
              <w:widowControl/>
              <w:jc w:val="center"/>
              <w:rPr>
                <w:rFonts w:ascii="仿宋_GB2312" w:hAnsi="宋体" w:eastAsia="仿宋_GB2312" w:cs="宋体"/>
                <w:color w:val="000000"/>
                <w:kern w:val="0"/>
                <w:sz w:val="20"/>
                <w:szCs w:val="20"/>
              </w:rPr>
            </w:pPr>
          </w:p>
        </w:tc>
        <w:tc>
          <w:tcPr>
            <w:tcW w:w="994" w:type="pct"/>
            <w:vMerge w:val="continue"/>
            <w:shd w:val="clear" w:color="auto" w:fill="auto"/>
            <w:noWrap/>
            <w:vAlign w:val="center"/>
          </w:tcPr>
          <w:p>
            <w:pPr>
              <w:widowControl/>
              <w:jc w:val="center"/>
              <w:rPr>
                <w:rFonts w:ascii="仿宋_GB2312" w:hAnsi="宋体" w:eastAsia="仿宋_GB2312" w:cs="宋体"/>
                <w:color w:val="000000"/>
                <w:kern w:val="0"/>
                <w:sz w:val="20"/>
                <w:szCs w:val="20"/>
              </w:rPr>
            </w:pPr>
          </w:p>
        </w:tc>
        <w:tc>
          <w:tcPr>
            <w:tcW w:w="1038" w:type="pct"/>
            <w:shd w:val="clear" w:color="auto" w:fill="auto"/>
            <w:vAlign w:val="center"/>
          </w:tcPr>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90</w:t>
            </w:r>
            <w:r>
              <w:rPr>
                <w:rFonts w:hint="eastAsia" w:ascii="宋体" w:hAnsi="宋体" w:cs="宋体"/>
                <w:color w:val="000000"/>
                <w:kern w:val="0"/>
                <w:sz w:val="20"/>
                <w:szCs w:val="20"/>
              </w:rPr>
              <w:t>㎡</w:t>
            </w:r>
            <w:r>
              <w:rPr>
                <w:rFonts w:hint="eastAsia" w:ascii="仿宋_GB2312" w:hAnsi="宋体" w:eastAsia="仿宋_GB2312" w:cs="宋体"/>
                <w:color w:val="000000"/>
                <w:kern w:val="0"/>
                <w:sz w:val="20"/>
                <w:szCs w:val="20"/>
              </w:rPr>
              <w:t>以上</w:t>
            </w:r>
          </w:p>
        </w:tc>
        <w:tc>
          <w:tcPr>
            <w:tcW w:w="1298" w:type="pct"/>
            <w:shd w:val="clear" w:color="auto" w:fill="auto"/>
            <w:vAlign w:val="center"/>
          </w:tcPr>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95" w:type="pct"/>
            <w:vMerge w:val="continue"/>
            <w:vAlign w:val="center"/>
          </w:tcPr>
          <w:p>
            <w:pPr>
              <w:widowControl/>
              <w:jc w:val="center"/>
              <w:rPr>
                <w:rFonts w:ascii="仿宋_GB2312" w:hAnsi="宋体" w:eastAsia="仿宋_GB2312" w:cs="宋体"/>
                <w:color w:val="000000"/>
                <w:kern w:val="0"/>
                <w:sz w:val="20"/>
                <w:szCs w:val="20"/>
              </w:rPr>
            </w:pPr>
          </w:p>
        </w:tc>
        <w:tc>
          <w:tcPr>
            <w:tcW w:w="1075" w:type="pct"/>
            <w:vMerge w:val="continue"/>
            <w:shd w:val="clear" w:color="auto" w:fill="auto"/>
            <w:noWrap/>
            <w:vAlign w:val="center"/>
          </w:tcPr>
          <w:p>
            <w:pPr>
              <w:widowControl/>
              <w:jc w:val="center"/>
              <w:rPr>
                <w:rFonts w:ascii="仿宋_GB2312" w:hAnsi="宋体" w:eastAsia="仿宋_GB2312" w:cs="宋体"/>
                <w:color w:val="000000"/>
                <w:kern w:val="0"/>
                <w:sz w:val="20"/>
                <w:szCs w:val="20"/>
              </w:rPr>
            </w:pPr>
          </w:p>
        </w:tc>
        <w:tc>
          <w:tcPr>
            <w:tcW w:w="2032" w:type="pct"/>
            <w:gridSpan w:val="2"/>
            <w:shd w:val="clear" w:color="auto" w:fill="auto"/>
            <w:noWrap/>
            <w:vAlign w:val="center"/>
          </w:tcPr>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即非家庭唯一住房，也非家庭第二套改善性住房</w:t>
            </w:r>
          </w:p>
        </w:tc>
        <w:tc>
          <w:tcPr>
            <w:tcW w:w="1298" w:type="pct"/>
            <w:shd w:val="clear" w:color="auto" w:fill="auto"/>
            <w:vAlign w:val="center"/>
          </w:tcPr>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95" w:type="pct"/>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w:t>
            </w:r>
          </w:p>
        </w:tc>
        <w:tc>
          <w:tcPr>
            <w:tcW w:w="1075" w:type="pct"/>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印花税</w:t>
            </w:r>
          </w:p>
        </w:tc>
        <w:tc>
          <w:tcPr>
            <w:tcW w:w="3330" w:type="pct"/>
            <w:gridSpan w:val="3"/>
            <w:shd w:val="clear" w:color="auto" w:fill="auto"/>
            <w:noWrap/>
            <w:vAlign w:val="center"/>
          </w:tcPr>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免征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000" w:type="pct"/>
            <w:gridSpan w:val="5"/>
            <w:shd w:val="clear" w:color="auto" w:fill="auto"/>
            <w:vAlign w:val="center"/>
          </w:tcPr>
          <w:p>
            <w:pPr>
              <w:jc w:val="center"/>
              <w:rPr>
                <w:rFonts w:ascii="仿宋_GB2312" w:hAnsi="宋体" w:eastAsia="仿宋_GB2312" w:cs="宋体"/>
                <w:b/>
                <w:color w:val="000000"/>
                <w:kern w:val="0"/>
                <w:sz w:val="20"/>
                <w:szCs w:val="20"/>
              </w:rPr>
            </w:pPr>
            <w:r>
              <w:rPr>
                <w:rFonts w:hint="eastAsia" w:ascii="仿宋_GB2312" w:hAnsi="宋体" w:eastAsia="仿宋_GB2312" w:cs="宋体"/>
                <w:b/>
                <w:color w:val="000000"/>
                <w:kern w:val="0"/>
                <w:sz w:val="20"/>
                <w:szCs w:val="20"/>
              </w:rPr>
              <w:t>出让方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595" w:type="pct"/>
            <w:shd w:val="clear" w:color="auto" w:fill="auto"/>
            <w:vAlign w:val="center"/>
          </w:tcPr>
          <w:p>
            <w:pPr>
              <w:widowControl/>
              <w:jc w:val="center"/>
              <w:rPr>
                <w:rFonts w:ascii="仿宋_GB2312" w:hAnsi="宋体" w:eastAsia="仿宋_GB2312" w:cs="宋体"/>
                <w:b/>
                <w:color w:val="000000"/>
                <w:kern w:val="0"/>
                <w:sz w:val="20"/>
                <w:szCs w:val="20"/>
              </w:rPr>
            </w:pPr>
            <w:r>
              <w:rPr>
                <w:rFonts w:hint="eastAsia" w:ascii="仿宋_GB2312" w:hAnsi="宋体" w:eastAsia="仿宋_GB2312" w:cs="宋体"/>
                <w:b/>
                <w:color w:val="000000"/>
                <w:kern w:val="0"/>
                <w:sz w:val="20"/>
                <w:szCs w:val="20"/>
              </w:rPr>
              <w:t>序号</w:t>
            </w:r>
          </w:p>
        </w:tc>
        <w:tc>
          <w:tcPr>
            <w:tcW w:w="1075" w:type="pct"/>
            <w:shd w:val="clear" w:color="auto" w:fill="auto"/>
            <w:noWrap/>
            <w:vAlign w:val="center"/>
          </w:tcPr>
          <w:p>
            <w:pPr>
              <w:widowControl/>
              <w:jc w:val="center"/>
              <w:rPr>
                <w:rFonts w:ascii="仿宋_GB2312" w:hAnsi="宋体" w:eastAsia="仿宋_GB2312" w:cs="宋体"/>
                <w:b/>
                <w:color w:val="000000"/>
                <w:kern w:val="0"/>
                <w:sz w:val="20"/>
                <w:szCs w:val="20"/>
              </w:rPr>
            </w:pPr>
            <w:r>
              <w:rPr>
                <w:rFonts w:hint="eastAsia" w:ascii="仿宋_GB2312" w:hAnsi="宋体" w:eastAsia="仿宋_GB2312" w:cs="宋体"/>
                <w:b/>
                <w:color w:val="000000"/>
                <w:kern w:val="0"/>
                <w:sz w:val="20"/>
                <w:szCs w:val="20"/>
              </w:rPr>
              <w:t>税种</w:t>
            </w:r>
          </w:p>
        </w:tc>
        <w:tc>
          <w:tcPr>
            <w:tcW w:w="3330" w:type="pct"/>
            <w:gridSpan w:val="3"/>
            <w:shd w:val="clear" w:color="auto" w:fill="auto"/>
            <w:noWrap/>
            <w:vAlign w:val="center"/>
          </w:tcPr>
          <w:p>
            <w:pPr>
              <w:widowControl/>
              <w:jc w:val="center"/>
              <w:rPr>
                <w:rFonts w:ascii="仿宋_GB2312" w:hAnsi="宋体" w:eastAsia="仿宋_GB2312" w:cs="宋体"/>
                <w:b/>
                <w:color w:val="000000"/>
                <w:kern w:val="0"/>
                <w:sz w:val="20"/>
                <w:szCs w:val="20"/>
              </w:rPr>
            </w:pPr>
            <w:r>
              <w:rPr>
                <w:rFonts w:hint="eastAsia" w:ascii="仿宋_GB2312" w:hAnsi="宋体" w:eastAsia="仿宋_GB2312" w:cs="宋体"/>
                <w:b/>
                <w:color w:val="000000"/>
                <w:kern w:val="0"/>
                <w:sz w:val="20"/>
                <w:szCs w:val="20"/>
              </w:rPr>
              <w:t>税率及计算方法（个人）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95" w:type="pct"/>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w:t>
            </w:r>
          </w:p>
        </w:tc>
        <w:tc>
          <w:tcPr>
            <w:tcW w:w="1075" w:type="pct"/>
            <w:vMerge w:val="restart"/>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增值税及其附加</w:t>
            </w:r>
          </w:p>
        </w:tc>
        <w:tc>
          <w:tcPr>
            <w:tcW w:w="3330" w:type="pct"/>
            <w:gridSpan w:val="3"/>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未满五年（非唯一住房），转让收入的5.33%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95" w:type="pct"/>
            <w:vMerge w:val="continue"/>
            <w:shd w:val="clear" w:color="auto" w:fill="auto"/>
            <w:vAlign w:val="center"/>
          </w:tcPr>
          <w:p>
            <w:pPr>
              <w:widowControl/>
              <w:jc w:val="center"/>
              <w:rPr>
                <w:rFonts w:ascii="仿宋_GB2312" w:hAnsi="宋体" w:eastAsia="仿宋_GB2312" w:cs="宋体"/>
                <w:color w:val="000000"/>
                <w:kern w:val="0"/>
                <w:sz w:val="20"/>
                <w:szCs w:val="20"/>
              </w:rPr>
            </w:pPr>
          </w:p>
        </w:tc>
        <w:tc>
          <w:tcPr>
            <w:tcW w:w="1075" w:type="pct"/>
            <w:vMerge w:val="continue"/>
            <w:shd w:val="clear" w:color="auto" w:fill="auto"/>
            <w:vAlign w:val="center"/>
          </w:tcPr>
          <w:p>
            <w:pPr>
              <w:widowControl/>
              <w:jc w:val="center"/>
              <w:rPr>
                <w:rFonts w:ascii="仿宋_GB2312" w:hAnsi="宋体" w:eastAsia="仿宋_GB2312" w:cs="宋体"/>
                <w:color w:val="000000"/>
                <w:kern w:val="0"/>
                <w:sz w:val="20"/>
                <w:szCs w:val="20"/>
              </w:rPr>
            </w:pPr>
          </w:p>
        </w:tc>
        <w:tc>
          <w:tcPr>
            <w:tcW w:w="3330" w:type="pct"/>
            <w:gridSpan w:val="3"/>
            <w:shd w:val="clear" w:color="auto" w:fill="auto"/>
            <w:vAlign w:val="center"/>
          </w:tcPr>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满五年或满二年唯一住房，免征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95" w:type="pct"/>
            <w:vMerge w:val="restart"/>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2</w:t>
            </w:r>
          </w:p>
        </w:tc>
        <w:tc>
          <w:tcPr>
            <w:tcW w:w="1075" w:type="pct"/>
            <w:vMerge w:val="restart"/>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个人所得税</w:t>
            </w:r>
          </w:p>
        </w:tc>
        <w:tc>
          <w:tcPr>
            <w:tcW w:w="3330" w:type="pct"/>
            <w:gridSpan w:val="3"/>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未满五年，转让收入3%或者（转让收入-住房原值-合理费用-转让过程中缴纳的税金）的20%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595" w:type="pct"/>
            <w:vMerge w:val="continue"/>
            <w:vAlign w:val="center"/>
          </w:tcPr>
          <w:p>
            <w:pPr>
              <w:widowControl/>
              <w:jc w:val="center"/>
              <w:rPr>
                <w:rFonts w:ascii="仿宋_GB2312" w:hAnsi="宋体" w:eastAsia="仿宋_GB2312" w:cs="宋体"/>
                <w:color w:val="000000"/>
                <w:kern w:val="0"/>
                <w:sz w:val="20"/>
                <w:szCs w:val="20"/>
              </w:rPr>
            </w:pPr>
          </w:p>
        </w:tc>
        <w:tc>
          <w:tcPr>
            <w:tcW w:w="1075" w:type="pct"/>
            <w:vMerge w:val="continue"/>
            <w:shd w:val="clear" w:color="auto" w:fill="auto"/>
            <w:noWrap/>
            <w:vAlign w:val="center"/>
          </w:tcPr>
          <w:p>
            <w:pPr>
              <w:widowControl/>
              <w:jc w:val="center"/>
              <w:rPr>
                <w:rFonts w:ascii="仿宋_GB2312" w:hAnsi="宋体" w:eastAsia="仿宋_GB2312" w:cs="宋体"/>
                <w:color w:val="000000"/>
                <w:kern w:val="0"/>
                <w:sz w:val="20"/>
                <w:szCs w:val="20"/>
              </w:rPr>
            </w:pPr>
          </w:p>
        </w:tc>
        <w:tc>
          <w:tcPr>
            <w:tcW w:w="3330" w:type="pct"/>
            <w:gridSpan w:val="3"/>
            <w:shd w:val="clear" w:color="auto" w:fill="auto"/>
            <w:vAlign w:val="center"/>
          </w:tcPr>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满五年唯一免征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595" w:type="pct"/>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3</w:t>
            </w:r>
          </w:p>
        </w:tc>
        <w:tc>
          <w:tcPr>
            <w:tcW w:w="1075" w:type="pct"/>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土地增值税</w:t>
            </w:r>
          </w:p>
        </w:tc>
        <w:tc>
          <w:tcPr>
            <w:tcW w:w="3330" w:type="pct"/>
            <w:gridSpan w:val="3"/>
            <w:shd w:val="clear" w:color="auto" w:fill="auto"/>
            <w:vAlign w:val="center"/>
          </w:tcPr>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免征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595" w:type="pct"/>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4</w:t>
            </w:r>
          </w:p>
        </w:tc>
        <w:tc>
          <w:tcPr>
            <w:tcW w:w="1075" w:type="pct"/>
            <w:shd w:val="clear" w:color="auto" w:fill="auto"/>
            <w:noWrap/>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印花税</w:t>
            </w:r>
          </w:p>
        </w:tc>
        <w:tc>
          <w:tcPr>
            <w:tcW w:w="3330" w:type="pct"/>
            <w:gridSpan w:val="3"/>
            <w:shd w:val="clear" w:color="auto" w:fill="auto"/>
            <w:vAlign w:val="center"/>
          </w:tcPr>
          <w:p>
            <w:pPr>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免征</w:t>
            </w:r>
          </w:p>
        </w:tc>
      </w:tr>
    </w:tbl>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10、本次估价结果包括与房产不可分割的满足其使用功能的水、电以及配套的所有相关辅助设施（含内部固定装修及地下一层车位1</w:t>
      </w:r>
      <w:r>
        <w:rPr>
          <w:rFonts w:ascii="仿宋_GB2312" w:hAnsi="宋体" w:eastAsia="仿宋_GB2312"/>
          <w:sz w:val="28"/>
          <w:szCs w:val="28"/>
        </w:rPr>
        <w:t>590</w:t>
      </w:r>
      <w:r>
        <w:rPr>
          <w:rFonts w:hint="eastAsia" w:ascii="仿宋_GB2312" w:hAnsi="宋体" w:eastAsia="仿宋_GB2312"/>
          <w:sz w:val="28"/>
          <w:szCs w:val="28"/>
        </w:rPr>
        <w:t>号）。</w:t>
      </w:r>
    </w:p>
    <w:p>
      <w:pPr>
        <w:spacing w:line="460" w:lineRule="exact"/>
        <w:ind w:firstLine="560" w:firstLineChars="200"/>
        <w:rPr>
          <w:rFonts w:ascii="仿宋_GB2312" w:hAnsi="宋体" w:eastAsia="仿宋_GB2312"/>
          <w:sz w:val="28"/>
          <w:szCs w:val="28"/>
        </w:rPr>
        <w:sectPr>
          <w:pgSz w:w="11907" w:h="16840"/>
          <w:pgMar w:top="1418" w:right="1287" w:bottom="1247" w:left="1588" w:header="851" w:footer="454" w:gutter="0"/>
          <w:cols w:space="425" w:num="1"/>
          <w:docGrid w:type="linesAndChars" w:linePitch="312" w:charSpace="0"/>
        </w:sectPr>
      </w:pPr>
    </w:p>
    <w:p>
      <w:pPr>
        <w:pStyle w:val="2"/>
      </w:pPr>
      <w:bookmarkStart w:id="10" w:name="_Toc293686342"/>
      <w:bookmarkStart w:id="11" w:name="_Toc293686509"/>
      <w:bookmarkStart w:id="12" w:name="_Toc19091539"/>
      <w:r>
        <w:rPr>
          <w:rFonts w:hint="eastAsia"/>
        </w:rPr>
        <w:t>三、房地产估价结果报告</w:t>
      </w:r>
      <w:bookmarkEnd w:id="10"/>
      <w:bookmarkEnd w:id="11"/>
      <w:bookmarkEnd w:id="12"/>
    </w:p>
    <w:p>
      <w:pPr>
        <w:pStyle w:val="3"/>
        <w:spacing w:before="156"/>
      </w:pPr>
      <w:bookmarkStart w:id="13" w:name="_Toc19091540"/>
      <w:bookmarkStart w:id="14" w:name="_Toc293686343"/>
      <w:bookmarkStart w:id="15" w:name="_Toc293686510"/>
      <w:r>
        <w:rPr>
          <w:rFonts w:hint="eastAsia"/>
        </w:rPr>
        <w:t>（一）估价委托人</w:t>
      </w:r>
      <w:bookmarkEnd w:id="13"/>
      <w:bookmarkEnd w:id="14"/>
      <w:bookmarkEnd w:id="15"/>
    </w:p>
    <w:p>
      <w:pPr>
        <w:pStyle w:val="14"/>
        <w:spacing w:line="480" w:lineRule="exact"/>
        <w:ind w:firstLine="560" w:firstLineChars="200"/>
        <w:rPr>
          <w:rFonts w:ascii="仿宋_GB2312" w:hAnsi="宋体" w:eastAsia="仿宋_GB2312"/>
          <w:b w:val="0"/>
          <w:bCs/>
          <w:color w:val="000000"/>
          <w:sz w:val="28"/>
          <w:szCs w:val="28"/>
        </w:rPr>
      </w:pPr>
      <w:r>
        <w:rPr>
          <w:rFonts w:hint="eastAsia" w:ascii="仿宋_GB2312" w:hAnsi="宋体" w:eastAsia="仿宋_GB2312"/>
          <w:b w:val="0"/>
          <w:bCs/>
          <w:color w:val="000000"/>
          <w:sz w:val="28"/>
          <w:szCs w:val="28"/>
        </w:rPr>
        <w:t>委 托 方：浦江县人民法院</w:t>
      </w:r>
    </w:p>
    <w:p>
      <w:pPr>
        <w:pStyle w:val="14"/>
        <w:spacing w:line="480" w:lineRule="exact"/>
        <w:ind w:firstLine="560" w:firstLineChars="200"/>
        <w:rPr>
          <w:rFonts w:ascii="仿宋_GB2312" w:hAnsi="宋体" w:eastAsia="仿宋_GB2312"/>
          <w:b w:val="0"/>
          <w:bCs/>
          <w:color w:val="000000"/>
          <w:sz w:val="28"/>
          <w:szCs w:val="28"/>
        </w:rPr>
      </w:pPr>
      <w:r>
        <w:rPr>
          <w:rFonts w:hint="eastAsia" w:ascii="仿宋_GB2312" w:hAnsi="宋体" w:eastAsia="仿宋_GB2312"/>
          <w:b w:val="0"/>
          <w:bCs/>
          <w:color w:val="000000"/>
          <w:sz w:val="28"/>
          <w:szCs w:val="28"/>
        </w:rPr>
        <w:t>单位地址：浙江省浦江县恒昌大道166号</w:t>
      </w:r>
    </w:p>
    <w:p>
      <w:pPr>
        <w:pStyle w:val="14"/>
        <w:spacing w:line="480" w:lineRule="exact"/>
        <w:ind w:firstLine="560" w:firstLineChars="200"/>
        <w:rPr>
          <w:rFonts w:ascii="仿宋_GB2312" w:hAnsi="宋体" w:eastAsia="仿宋_GB2312"/>
          <w:b w:val="0"/>
          <w:bCs/>
          <w:color w:val="000000"/>
          <w:sz w:val="28"/>
          <w:szCs w:val="28"/>
        </w:rPr>
      </w:pPr>
      <w:r>
        <w:rPr>
          <w:rFonts w:hint="eastAsia" w:ascii="仿宋_GB2312" w:hAnsi="宋体" w:eastAsia="仿宋_GB2312"/>
          <w:b w:val="0"/>
          <w:bCs/>
          <w:color w:val="000000"/>
          <w:sz w:val="28"/>
          <w:szCs w:val="28"/>
        </w:rPr>
        <w:t>联 系 人：陈江斌</w:t>
      </w:r>
    </w:p>
    <w:p>
      <w:pPr>
        <w:pStyle w:val="14"/>
        <w:spacing w:line="480" w:lineRule="exact"/>
        <w:ind w:firstLine="560" w:firstLineChars="200"/>
        <w:rPr>
          <w:rFonts w:ascii="仿宋_GB2312" w:hAnsi="宋体" w:eastAsia="仿宋_GB2312"/>
          <w:b w:val="0"/>
          <w:bCs/>
          <w:color w:val="000000"/>
          <w:sz w:val="28"/>
          <w:szCs w:val="28"/>
        </w:rPr>
      </w:pPr>
      <w:r>
        <w:rPr>
          <w:rFonts w:hint="eastAsia" w:ascii="仿宋_GB2312" w:hAnsi="宋体" w:eastAsia="仿宋_GB2312"/>
          <w:b w:val="0"/>
          <w:bCs/>
          <w:color w:val="000000"/>
          <w:sz w:val="28"/>
          <w:szCs w:val="28"/>
        </w:rPr>
        <w:t>联系电话：057</w:t>
      </w:r>
      <w:r>
        <w:rPr>
          <w:rFonts w:ascii="仿宋_GB2312" w:hAnsi="宋体" w:eastAsia="仿宋_GB2312"/>
          <w:b w:val="0"/>
          <w:bCs/>
          <w:color w:val="000000"/>
          <w:sz w:val="28"/>
          <w:szCs w:val="28"/>
        </w:rPr>
        <w:t>9-88181238</w:t>
      </w:r>
    </w:p>
    <w:p>
      <w:pPr>
        <w:pStyle w:val="3"/>
        <w:spacing w:before="156"/>
        <w:rPr>
          <w:rFonts w:ascii="仿宋_GB2312"/>
          <w:color w:val="000000"/>
          <w:szCs w:val="28"/>
        </w:rPr>
      </w:pPr>
      <w:bookmarkStart w:id="16" w:name="_Toc293686511"/>
      <w:bookmarkStart w:id="17" w:name="_Toc293686344"/>
      <w:bookmarkStart w:id="18" w:name="_Toc19091541"/>
      <w:r>
        <w:rPr>
          <w:rFonts w:hint="eastAsia"/>
        </w:rPr>
        <w:t>（二）房地产估价机构</w:t>
      </w:r>
      <w:bookmarkEnd w:id="16"/>
      <w:bookmarkEnd w:id="17"/>
      <w:bookmarkEnd w:id="18"/>
    </w:p>
    <w:p>
      <w:pPr>
        <w:spacing w:line="480" w:lineRule="exact"/>
        <w:ind w:firstLine="560" w:firstLineChars="200"/>
        <w:rPr>
          <w:rFonts w:ascii="仿宋_GB2312" w:eastAsia="仿宋_GB2312"/>
          <w:sz w:val="28"/>
          <w:szCs w:val="28"/>
        </w:rPr>
      </w:pPr>
      <w:r>
        <w:rPr>
          <w:rFonts w:hint="eastAsia" w:ascii="仿宋_GB2312" w:eastAsia="仿宋_GB2312"/>
          <w:sz w:val="28"/>
          <w:szCs w:val="28"/>
        </w:rPr>
        <w:t>估价机构：浙江博南土地房地产评估规划有限公司</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t>机构地址：杭州市天目山路97号第八层01室</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t>统一社会信用代码：91330000751925514Q</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t>资质等级：壹 级</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t>证书编号：浙建房估证字[2006]029号</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t>资质证书有效期：2021年6月25日至2024年6月24日</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t>法定代表人：宋  成</w:t>
      </w:r>
    </w:p>
    <w:p>
      <w:pPr>
        <w:spacing w:line="480" w:lineRule="exact"/>
        <w:ind w:firstLine="560" w:firstLineChars="200"/>
        <w:rPr>
          <w:rFonts w:ascii="仿宋_GB2312" w:hAnsi="宋体" w:eastAsia="仿宋_GB2312"/>
          <w:bCs/>
          <w:color w:val="000000"/>
          <w:sz w:val="28"/>
          <w:szCs w:val="28"/>
        </w:rPr>
      </w:pPr>
      <w:r>
        <w:rPr>
          <w:rFonts w:hint="eastAsia" w:ascii="仿宋_GB2312" w:eastAsia="仿宋_GB2312"/>
          <w:sz w:val="28"/>
          <w:szCs w:val="28"/>
        </w:rPr>
        <w:t>联系电话：0571-56882821</w:t>
      </w:r>
    </w:p>
    <w:p>
      <w:pPr>
        <w:pStyle w:val="3"/>
        <w:spacing w:before="156"/>
      </w:pPr>
      <w:bookmarkStart w:id="19" w:name="_Toc514664069"/>
      <w:bookmarkStart w:id="20" w:name="_Toc19091542"/>
      <w:bookmarkStart w:id="21" w:name="_Toc293686345"/>
      <w:bookmarkStart w:id="22" w:name="_Toc293686512"/>
      <w:r>
        <w:rPr>
          <w:rFonts w:hint="eastAsia"/>
        </w:rPr>
        <w:t>（三）估价目的</w:t>
      </w:r>
      <w:bookmarkEnd w:id="19"/>
      <w:bookmarkEnd w:id="20"/>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为人民法院确定财产处置参考价提供参考依据而评估房地产市场价值。</w:t>
      </w:r>
    </w:p>
    <w:p>
      <w:pPr>
        <w:pStyle w:val="3"/>
        <w:spacing w:before="156"/>
      </w:pPr>
      <w:bookmarkStart w:id="23" w:name="_Toc19091543"/>
      <w:r>
        <w:rPr>
          <w:rFonts w:hint="eastAsia"/>
        </w:rPr>
        <w:t>（四）估价对象描述</w:t>
      </w:r>
      <w:bookmarkEnd w:id="21"/>
      <w:bookmarkEnd w:id="22"/>
      <w:bookmarkEnd w:id="23"/>
    </w:p>
    <w:p>
      <w:pPr>
        <w:spacing w:line="480" w:lineRule="exact"/>
        <w:ind w:firstLine="560" w:firstLineChars="200"/>
        <w:rPr>
          <w:rFonts w:ascii="仿宋_GB2312" w:hAnsi="华文中宋" w:eastAsia="仿宋_GB2312"/>
          <w:sz w:val="28"/>
        </w:rPr>
      </w:pPr>
      <w:bookmarkStart w:id="24" w:name="_Toc293686513"/>
      <w:bookmarkStart w:id="25" w:name="_Toc293686346"/>
      <w:r>
        <w:rPr>
          <w:rFonts w:hint="eastAsia" w:ascii="仿宋_GB2312" w:hAnsi="宋体" w:eastAsia="仿宋_GB2312"/>
          <w:b/>
          <w:sz w:val="28"/>
          <w:szCs w:val="28"/>
        </w:rPr>
        <w:t>1、估价对象范围</w:t>
      </w:r>
    </w:p>
    <w:p>
      <w:pPr>
        <w:spacing w:line="480" w:lineRule="exact"/>
        <w:ind w:firstLine="560" w:firstLineChars="200"/>
        <w:rPr>
          <w:rFonts w:ascii="仿宋_GB2312" w:hAnsi="华文中宋" w:eastAsia="仿宋_GB2312"/>
          <w:sz w:val="28"/>
        </w:rPr>
      </w:pPr>
      <w:r>
        <w:rPr>
          <w:rFonts w:hint="eastAsia" w:ascii="仿宋_GB2312" w:hAnsi="华文中宋" w:eastAsia="仿宋_GB2312"/>
          <w:sz w:val="28"/>
        </w:rPr>
        <w:t>本次估价对象范围为</w:t>
      </w:r>
      <w:r>
        <w:rPr>
          <w:rFonts w:hint="eastAsia" w:ascii="仿宋_GB2312" w:hAnsi="宋体" w:eastAsia="仿宋_GB2312"/>
          <w:bCs/>
          <w:sz w:val="28"/>
          <w:szCs w:val="28"/>
        </w:rPr>
        <w:t>位于</w:t>
      </w:r>
      <w:r>
        <w:rPr>
          <w:rFonts w:hint="eastAsia" w:ascii="仿宋_GB2312" w:hAnsi="宋体" w:eastAsia="仿宋_GB2312"/>
          <w:color w:val="000000"/>
          <w:sz w:val="28"/>
          <w:szCs w:val="28"/>
        </w:rPr>
        <w:t>杭州市萧山区新塘街道宸宇府35幢3301室的住宅房地产</w:t>
      </w:r>
      <w:r>
        <w:rPr>
          <w:rFonts w:hint="eastAsia" w:ascii="仿宋_GB2312" w:eastAsia="仿宋_GB2312"/>
          <w:sz w:val="28"/>
          <w:szCs w:val="28"/>
        </w:rPr>
        <w:t>，建筑面积120.83平方米，国有土地使用权面积8</w:t>
      </w:r>
      <w:r>
        <w:rPr>
          <w:rFonts w:ascii="仿宋_GB2312" w:eastAsia="仿宋_GB2312"/>
          <w:sz w:val="28"/>
          <w:szCs w:val="28"/>
        </w:rPr>
        <w:t>.4</w:t>
      </w:r>
      <w:r>
        <w:rPr>
          <w:rFonts w:hint="eastAsia" w:ascii="仿宋_GB2312" w:eastAsia="仿宋_GB2312"/>
          <w:sz w:val="28"/>
          <w:szCs w:val="28"/>
        </w:rPr>
        <w:t>平方米。</w:t>
      </w:r>
      <w:r>
        <w:rPr>
          <w:rFonts w:hint="eastAsia" w:ascii="仿宋_GB2312" w:hAnsi="宋体" w:eastAsia="仿宋_GB2312"/>
          <w:sz w:val="28"/>
          <w:szCs w:val="28"/>
        </w:rPr>
        <w:t>本次估价结果包括与房产不可分割的满足其使用功能的水、电以及配套的所有相关辅助设施（含内部固定装修</w:t>
      </w:r>
      <w:r>
        <w:rPr>
          <w:rFonts w:hint="eastAsia" w:ascii="仿宋_GB2312" w:hAnsi="宋体" w:eastAsia="仿宋_GB2312"/>
          <w:color w:val="000000"/>
          <w:sz w:val="28"/>
          <w:szCs w:val="28"/>
        </w:rPr>
        <w:t>及地下一层车位1</w:t>
      </w:r>
      <w:r>
        <w:rPr>
          <w:rFonts w:ascii="仿宋_GB2312" w:hAnsi="宋体" w:eastAsia="仿宋_GB2312"/>
          <w:color w:val="000000"/>
          <w:sz w:val="28"/>
          <w:szCs w:val="28"/>
        </w:rPr>
        <w:t>590</w:t>
      </w:r>
      <w:r>
        <w:rPr>
          <w:rFonts w:hint="eastAsia" w:ascii="仿宋_GB2312" w:hAnsi="宋体" w:eastAsia="仿宋_GB2312"/>
          <w:color w:val="000000"/>
          <w:sz w:val="28"/>
          <w:szCs w:val="28"/>
        </w:rPr>
        <w:t>号</w:t>
      </w:r>
      <w:r>
        <w:rPr>
          <w:rFonts w:hint="eastAsia" w:ascii="仿宋_GB2312" w:hAnsi="宋体" w:eastAsia="仿宋_GB2312"/>
          <w:sz w:val="28"/>
          <w:szCs w:val="28"/>
        </w:rPr>
        <w:t>）。</w:t>
      </w:r>
    </w:p>
    <w:bookmarkEnd w:id="24"/>
    <w:bookmarkEnd w:id="25"/>
    <w:p>
      <w:pPr>
        <w:adjustRightInd w:val="0"/>
        <w:snapToGrid w:val="0"/>
        <w:spacing w:line="480" w:lineRule="exact"/>
        <w:ind w:firstLine="560" w:firstLineChars="200"/>
        <w:rPr>
          <w:rFonts w:ascii="仿宋_GB2312" w:eastAsia="仿宋_GB2312"/>
          <w:b/>
          <w:sz w:val="28"/>
          <w:szCs w:val="28"/>
        </w:rPr>
      </w:pPr>
      <w:r>
        <w:rPr>
          <w:rFonts w:hint="eastAsia" w:ascii="仿宋_GB2312" w:eastAsia="仿宋_GB2312"/>
          <w:b/>
          <w:sz w:val="28"/>
          <w:szCs w:val="28"/>
        </w:rPr>
        <w:t>2、估价对象权益状况描述</w:t>
      </w:r>
    </w:p>
    <w:p>
      <w:pPr>
        <w:adjustRightInd w:val="0"/>
        <w:snapToGrid w:val="0"/>
        <w:spacing w:line="480" w:lineRule="exact"/>
        <w:ind w:firstLine="560" w:firstLineChars="200"/>
        <w:rPr>
          <w:rFonts w:ascii="仿宋_GB2312" w:hAnsi="宋体" w:eastAsia="仿宋_GB2312"/>
          <w:b/>
          <w:sz w:val="28"/>
          <w:szCs w:val="28"/>
        </w:rPr>
      </w:pPr>
      <w:r>
        <w:rPr>
          <w:rFonts w:hint="eastAsia" w:ascii="仿宋_GB2312" w:hAnsi="宋体" w:eastAsia="仿宋_GB2312"/>
          <w:b/>
          <w:sz w:val="28"/>
          <w:szCs w:val="28"/>
        </w:rPr>
        <w:t>⑴不动产权益状况</w:t>
      </w:r>
    </w:p>
    <w:p>
      <w:pPr>
        <w:adjustRightInd w:val="0"/>
        <w:snapToGrid w:val="0"/>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根据《杭州市不动产登记信息查询记录》（编号：Q20221101-0012468），估价对象不动产权属登记信息详见下表：</w:t>
      </w:r>
    </w:p>
    <w:p>
      <w:pPr>
        <w:adjustRightInd w:val="0"/>
        <w:snapToGrid w:val="0"/>
        <w:spacing w:line="500" w:lineRule="exact"/>
        <w:jc w:val="center"/>
        <w:rPr>
          <w:rFonts w:ascii="仿宋_GB2312" w:hAnsi="宋体" w:eastAsia="仿宋_GB2312"/>
          <w:sz w:val="28"/>
          <w:szCs w:val="28"/>
        </w:rPr>
      </w:pPr>
      <w:bookmarkStart w:id="26" w:name="_Toc293686347"/>
      <w:bookmarkStart w:id="27" w:name="_Toc293686514"/>
      <w:r>
        <w:rPr>
          <w:rFonts w:hint="eastAsia" w:ascii="仿宋_GB2312" w:hAnsi="宋体" w:eastAsia="仿宋_GB2312"/>
          <w:color w:val="000000"/>
          <w:sz w:val="28"/>
          <w:szCs w:val="28"/>
        </w:rPr>
        <w:t>表3-1</w:t>
      </w:r>
      <w:r>
        <w:rPr>
          <w:rFonts w:hint="eastAsia" w:ascii="仿宋_GB2312" w:hAnsi="宋体" w:eastAsia="仿宋_GB2312"/>
          <w:sz w:val="28"/>
          <w:szCs w:val="28"/>
        </w:rPr>
        <w:t xml:space="preserve">  权属登记信息一览表</w:t>
      </w:r>
    </w:p>
    <w:tbl>
      <w:tblPr>
        <w:tblStyle w:val="27"/>
        <w:tblW w:w="9176" w:type="dxa"/>
        <w:tblInd w:w="98" w:type="dxa"/>
        <w:tblLayout w:type="autofit"/>
        <w:tblCellMar>
          <w:top w:w="0" w:type="dxa"/>
          <w:left w:w="108" w:type="dxa"/>
          <w:bottom w:w="0" w:type="dxa"/>
          <w:right w:w="108" w:type="dxa"/>
        </w:tblCellMar>
      </w:tblPr>
      <w:tblGrid>
        <w:gridCol w:w="1195"/>
        <w:gridCol w:w="1455"/>
        <w:gridCol w:w="1214"/>
        <w:gridCol w:w="928"/>
        <w:gridCol w:w="190"/>
        <w:gridCol w:w="1023"/>
        <w:gridCol w:w="641"/>
        <w:gridCol w:w="910"/>
        <w:gridCol w:w="1620"/>
      </w:tblGrid>
      <w:tr>
        <w:tblPrEx>
          <w:tblCellMar>
            <w:top w:w="0" w:type="dxa"/>
            <w:left w:w="108" w:type="dxa"/>
            <w:bottom w:w="0" w:type="dxa"/>
            <w:right w:w="108" w:type="dxa"/>
          </w:tblCellMar>
        </w:tblPrEx>
        <w:trPr>
          <w:trHeight w:val="505" w:hRule="atLeast"/>
        </w:trPr>
        <w:tc>
          <w:tcPr>
            <w:tcW w:w="1195" w:type="dxa"/>
            <w:tcBorders>
              <w:top w:val="single" w:color="auto" w:sz="8" w:space="0"/>
              <w:left w:val="single" w:color="auto" w:sz="8" w:space="0"/>
              <w:bottom w:val="single" w:color="auto" w:sz="4"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不动产坐落</w:t>
            </w:r>
          </w:p>
        </w:tc>
        <w:tc>
          <w:tcPr>
            <w:tcW w:w="7981" w:type="dxa"/>
            <w:gridSpan w:val="8"/>
            <w:tcBorders>
              <w:top w:val="single" w:color="auto" w:sz="8" w:space="0"/>
              <w:left w:val="nil"/>
              <w:bottom w:val="single" w:color="auto" w:sz="4" w:space="0"/>
              <w:right w:val="single" w:color="000000" w:sz="8" w:space="0"/>
            </w:tcBorders>
            <w:shd w:val="clear" w:color="auto" w:fill="auto"/>
            <w:vAlign w:val="center"/>
          </w:tcPr>
          <w:p>
            <w:pPr>
              <w:widowControl/>
              <w:rPr>
                <w:rFonts w:ascii="仿宋_GB2312" w:eastAsia="仿宋_GB2312"/>
                <w:kern w:val="0"/>
                <w:szCs w:val="21"/>
              </w:rPr>
            </w:pPr>
            <w:r>
              <w:rPr>
                <w:rFonts w:hint="eastAsia" w:ascii="仿宋_GB2312" w:eastAsia="仿宋_GB2312"/>
                <w:kern w:val="0"/>
                <w:szCs w:val="21"/>
              </w:rPr>
              <w:t>萧山区新塘街道宸宇府35幢3301室</w:t>
            </w:r>
          </w:p>
        </w:tc>
      </w:tr>
      <w:tr>
        <w:tblPrEx>
          <w:tblCellMar>
            <w:top w:w="0" w:type="dxa"/>
            <w:left w:w="108" w:type="dxa"/>
            <w:bottom w:w="0" w:type="dxa"/>
            <w:right w:w="108" w:type="dxa"/>
          </w:tblCellMar>
        </w:tblPrEx>
        <w:trPr>
          <w:trHeight w:val="505" w:hRule="atLeast"/>
        </w:trPr>
        <w:tc>
          <w:tcPr>
            <w:tcW w:w="1195"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用途</w:t>
            </w: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kern w:val="0"/>
                <w:szCs w:val="21"/>
              </w:rPr>
            </w:pPr>
            <w:r>
              <w:rPr>
                <w:rFonts w:hint="eastAsia" w:ascii="仿宋_GB2312" w:eastAsia="仿宋_GB2312"/>
                <w:kern w:val="0"/>
                <w:szCs w:val="21"/>
              </w:rPr>
              <w:t>/住宅</w:t>
            </w:r>
          </w:p>
        </w:tc>
        <w:tc>
          <w:tcPr>
            <w:tcW w:w="121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建筑面积（</w:t>
            </w:r>
            <w:r>
              <w:rPr>
                <w:rFonts w:hint="eastAsia" w:ascii="仿宋_GB2312"/>
                <w:b/>
                <w:bCs/>
                <w:kern w:val="0"/>
                <w:szCs w:val="21"/>
              </w:rPr>
              <w:t>㎡</w:t>
            </w:r>
            <w:r>
              <w:rPr>
                <w:rFonts w:hint="eastAsia" w:ascii="仿宋_GB2312" w:eastAsia="仿宋_GB2312"/>
                <w:b/>
                <w:bCs/>
                <w:kern w:val="0"/>
                <w:szCs w:val="21"/>
              </w:rPr>
              <w:t>）</w:t>
            </w:r>
          </w:p>
        </w:tc>
        <w:tc>
          <w:tcPr>
            <w:tcW w:w="928"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kern w:val="0"/>
                <w:szCs w:val="21"/>
              </w:rPr>
            </w:pPr>
            <w:r>
              <w:rPr>
                <w:rFonts w:hint="eastAsia" w:ascii="仿宋_GB2312" w:eastAsia="仿宋_GB2312"/>
                <w:kern w:val="0"/>
                <w:szCs w:val="21"/>
              </w:rPr>
              <w:t>120.83</w:t>
            </w:r>
          </w:p>
        </w:tc>
        <w:tc>
          <w:tcPr>
            <w:tcW w:w="1213"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土地使用权面积（</w:t>
            </w:r>
            <w:r>
              <w:rPr>
                <w:rFonts w:hint="eastAsia" w:ascii="仿宋_GB2312"/>
                <w:b/>
                <w:bCs/>
                <w:kern w:val="0"/>
                <w:szCs w:val="21"/>
              </w:rPr>
              <w:t>㎡</w:t>
            </w:r>
            <w:r>
              <w:rPr>
                <w:rFonts w:hint="eastAsia" w:ascii="仿宋_GB2312" w:eastAsia="仿宋_GB2312"/>
                <w:b/>
                <w:bCs/>
                <w:kern w:val="0"/>
                <w:szCs w:val="21"/>
              </w:rPr>
              <w:t>）</w:t>
            </w:r>
          </w:p>
        </w:tc>
        <w:tc>
          <w:tcPr>
            <w:tcW w:w="641" w:type="dxa"/>
            <w:tcBorders>
              <w:top w:val="nil"/>
              <w:left w:val="nil"/>
              <w:bottom w:val="single" w:color="auto" w:sz="4" w:space="0"/>
              <w:right w:val="single" w:color="auto" w:sz="4" w:space="0"/>
            </w:tcBorders>
            <w:shd w:val="clear" w:color="auto" w:fill="auto"/>
            <w:vAlign w:val="center"/>
          </w:tcPr>
          <w:p>
            <w:pPr>
              <w:widowControl/>
              <w:rPr>
                <w:rFonts w:ascii="仿宋_GB2312" w:eastAsia="仿宋_GB2312"/>
                <w:kern w:val="0"/>
                <w:szCs w:val="21"/>
              </w:rPr>
            </w:pPr>
            <w:r>
              <w:rPr>
                <w:rFonts w:hint="eastAsia" w:ascii="仿宋_GB2312" w:eastAsia="仿宋_GB2312"/>
                <w:kern w:val="0"/>
                <w:szCs w:val="21"/>
              </w:rPr>
              <w:t>8</w:t>
            </w:r>
            <w:r>
              <w:rPr>
                <w:rFonts w:ascii="仿宋_GB2312" w:eastAsia="仿宋_GB2312"/>
                <w:kern w:val="0"/>
                <w:szCs w:val="21"/>
              </w:rPr>
              <w:t>.4</w:t>
            </w:r>
          </w:p>
        </w:tc>
        <w:tc>
          <w:tcPr>
            <w:tcW w:w="910"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使用期限</w:t>
            </w:r>
          </w:p>
        </w:tc>
        <w:tc>
          <w:tcPr>
            <w:tcW w:w="1620" w:type="dxa"/>
            <w:tcBorders>
              <w:top w:val="nil"/>
              <w:left w:val="nil"/>
              <w:bottom w:val="single" w:color="auto" w:sz="4" w:space="0"/>
              <w:right w:val="single" w:color="auto" w:sz="8" w:space="0"/>
            </w:tcBorders>
            <w:shd w:val="clear" w:color="auto" w:fill="auto"/>
            <w:vAlign w:val="center"/>
          </w:tcPr>
          <w:p>
            <w:pPr>
              <w:widowControl/>
              <w:jc w:val="center"/>
              <w:rPr>
                <w:rFonts w:ascii="仿宋_GB2312" w:eastAsia="仿宋_GB2312"/>
                <w:kern w:val="0"/>
                <w:szCs w:val="21"/>
              </w:rPr>
            </w:pPr>
            <w:r>
              <w:rPr>
                <w:rFonts w:hint="eastAsia" w:ascii="仿宋_GB2312" w:eastAsia="仿宋_GB2312"/>
                <w:kern w:val="0"/>
                <w:szCs w:val="21"/>
              </w:rPr>
              <w:t>——</w:t>
            </w:r>
          </w:p>
        </w:tc>
      </w:tr>
      <w:tr>
        <w:tblPrEx>
          <w:tblCellMar>
            <w:top w:w="0" w:type="dxa"/>
            <w:left w:w="108" w:type="dxa"/>
            <w:bottom w:w="0" w:type="dxa"/>
            <w:right w:w="108" w:type="dxa"/>
          </w:tblCellMar>
        </w:tblPrEx>
        <w:trPr>
          <w:trHeight w:val="574" w:hRule="atLeast"/>
        </w:trPr>
        <w:tc>
          <w:tcPr>
            <w:tcW w:w="1195"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限制信息</w:t>
            </w:r>
          </w:p>
        </w:tc>
        <w:tc>
          <w:tcPr>
            <w:tcW w:w="5451" w:type="dxa"/>
            <w:gridSpan w:val="6"/>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eastAsia="仿宋_GB2312"/>
                <w:kern w:val="0"/>
                <w:szCs w:val="21"/>
              </w:rPr>
            </w:pPr>
            <w:r>
              <w:rPr>
                <w:rFonts w:hint="eastAsia" w:ascii="仿宋_GB2312" w:eastAsia="仿宋_GB2312"/>
                <w:kern w:val="0"/>
                <w:szCs w:val="21"/>
              </w:rPr>
              <w:t>房产：有查封，有预告、预告抵押，无抵押</w:t>
            </w:r>
          </w:p>
        </w:tc>
        <w:tc>
          <w:tcPr>
            <w:tcW w:w="910"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宗地号</w:t>
            </w:r>
          </w:p>
        </w:tc>
        <w:tc>
          <w:tcPr>
            <w:tcW w:w="1620" w:type="dxa"/>
            <w:tcBorders>
              <w:top w:val="nil"/>
              <w:left w:val="nil"/>
              <w:bottom w:val="single" w:color="auto" w:sz="4" w:space="0"/>
              <w:right w:val="single" w:color="auto" w:sz="8" w:space="0"/>
            </w:tcBorders>
            <w:shd w:val="clear" w:color="auto" w:fill="auto"/>
            <w:vAlign w:val="center"/>
          </w:tcPr>
          <w:p>
            <w:pPr>
              <w:widowControl/>
              <w:jc w:val="center"/>
              <w:rPr>
                <w:rFonts w:ascii="仿宋_GB2312" w:eastAsia="仿宋_GB2312"/>
                <w:kern w:val="0"/>
                <w:szCs w:val="21"/>
              </w:rPr>
            </w:pPr>
            <w:r>
              <w:rPr>
                <w:rFonts w:hint="eastAsia" w:ascii="仿宋_GB2312" w:eastAsia="仿宋_GB2312"/>
                <w:kern w:val="0"/>
                <w:szCs w:val="21"/>
              </w:rPr>
              <w:t>——</w:t>
            </w:r>
          </w:p>
        </w:tc>
      </w:tr>
      <w:tr>
        <w:tblPrEx>
          <w:tblCellMar>
            <w:top w:w="0" w:type="dxa"/>
            <w:left w:w="108" w:type="dxa"/>
            <w:bottom w:w="0" w:type="dxa"/>
            <w:right w:w="108" w:type="dxa"/>
          </w:tblCellMar>
        </w:tblPrEx>
        <w:trPr>
          <w:trHeight w:val="505" w:hRule="atLeast"/>
        </w:trPr>
        <w:tc>
          <w:tcPr>
            <w:tcW w:w="1195" w:type="dxa"/>
            <w:vMerge w:val="restart"/>
            <w:tcBorders>
              <w:top w:val="nil"/>
              <w:left w:val="single" w:color="auto" w:sz="8" w:space="0"/>
              <w:bottom w:val="single" w:color="000000" w:sz="8"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不动产状况</w:t>
            </w: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权利人</w:t>
            </w:r>
          </w:p>
        </w:tc>
        <w:tc>
          <w:tcPr>
            <w:tcW w:w="6526" w:type="dxa"/>
            <w:gridSpan w:val="7"/>
            <w:tcBorders>
              <w:top w:val="single" w:color="auto" w:sz="4" w:space="0"/>
              <w:left w:val="nil"/>
              <w:bottom w:val="single" w:color="auto" w:sz="4" w:space="0"/>
              <w:right w:val="single" w:color="000000" w:sz="8" w:space="0"/>
            </w:tcBorders>
            <w:shd w:val="clear" w:color="auto" w:fill="auto"/>
            <w:vAlign w:val="center"/>
          </w:tcPr>
          <w:p>
            <w:pPr>
              <w:widowControl/>
              <w:jc w:val="left"/>
              <w:rPr>
                <w:rFonts w:hint="eastAsia" w:ascii="仿宋_GB2312" w:eastAsia="仿宋_GB2312"/>
                <w:kern w:val="0"/>
                <w:szCs w:val="21"/>
                <w:lang w:eastAsia="zh-CN"/>
              </w:rPr>
            </w:pPr>
            <w:r>
              <w:rPr>
                <w:rFonts w:hint="eastAsia" w:ascii="仿宋_GB2312" w:eastAsia="仿宋_GB2312"/>
                <w:kern w:val="0"/>
                <w:szCs w:val="21"/>
              </w:rPr>
              <w:t>张</w:t>
            </w:r>
            <w:r>
              <w:rPr>
                <w:rFonts w:hint="eastAsia" w:ascii="仿宋_GB2312" w:eastAsia="仿宋_GB2312"/>
                <w:kern w:val="0"/>
                <w:szCs w:val="21"/>
                <w:lang w:eastAsia="zh-CN"/>
              </w:rPr>
              <w:t>某某</w:t>
            </w:r>
            <w:r>
              <w:rPr>
                <w:rFonts w:hint="eastAsia" w:ascii="仿宋_GB2312" w:eastAsia="仿宋_GB2312"/>
                <w:kern w:val="0"/>
                <w:szCs w:val="21"/>
              </w:rPr>
              <w:t>、任</w:t>
            </w:r>
            <w:r>
              <w:rPr>
                <w:rFonts w:hint="eastAsia" w:ascii="仿宋_GB2312" w:eastAsia="仿宋_GB2312"/>
                <w:kern w:val="0"/>
                <w:szCs w:val="21"/>
                <w:lang w:eastAsia="zh-CN"/>
              </w:rPr>
              <w:t>某某</w:t>
            </w:r>
          </w:p>
        </w:tc>
      </w:tr>
      <w:tr>
        <w:tblPrEx>
          <w:tblCellMar>
            <w:top w:w="0" w:type="dxa"/>
            <w:left w:w="108" w:type="dxa"/>
            <w:bottom w:w="0" w:type="dxa"/>
            <w:right w:w="108" w:type="dxa"/>
          </w:tblCellMar>
        </w:tblPrEx>
        <w:trPr>
          <w:trHeight w:val="505" w:hRule="atLeast"/>
        </w:trPr>
        <w:tc>
          <w:tcPr>
            <w:tcW w:w="1195" w:type="dxa"/>
            <w:vMerge w:val="continue"/>
            <w:tcBorders>
              <w:top w:val="nil"/>
              <w:left w:val="single" w:color="auto" w:sz="8" w:space="0"/>
              <w:bottom w:val="single" w:color="000000" w:sz="8" w:space="0"/>
              <w:right w:val="single" w:color="auto" w:sz="4" w:space="0"/>
            </w:tcBorders>
            <w:vAlign w:val="center"/>
          </w:tcPr>
          <w:p>
            <w:pPr>
              <w:widowControl/>
              <w:jc w:val="left"/>
              <w:rPr>
                <w:rFonts w:ascii="仿宋_GB2312" w:eastAsia="仿宋_GB2312"/>
                <w:b/>
                <w:bCs/>
                <w:kern w:val="0"/>
                <w:szCs w:val="21"/>
              </w:rPr>
            </w:pP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权证号</w:t>
            </w:r>
          </w:p>
          <w:p>
            <w:pPr>
              <w:widowControl/>
              <w:jc w:val="center"/>
              <w:rPr>
                <w:rFonts w:ascii="仿宋_GB2312" w:eastAsia="仿宋_GB2312"/>
                <w:b/>
                <w:bCs/>
                <w:kern w:val="0"/>
                <w:szCs w:val="21"/>
              </w:rPr>
            </w:pPr>
            <w:r>
              <w:rPr>
                <w:rFonts w:hint="eastAsia" w:ascii="仿宋_GB2312" w:eastAsia="仿宋_GB2312"/>
                <w:b/>
                <w:bCs/>
                <w:kern w:val="0"/>
                <w:szCs w:val="21"/>
              </w:rPr>
              <w:t>（证明号）</w:t>
            </w:r>
          </w:p>
        </w:tc>
        <w:tc>
          <w:tcPr>
            <w:tcW w:w="6526" w:type="dxa"/>
            <w:gridSpan w:val="7"/>
            <w:tcBorders>
              <w:top w:val="single" w:color="auto" w:sz="4" w:space="0"/>
              <w:left w:val="nil"/>
              <w:bottom w:val="single" w:color="auto" w:sz="4" w:space="0"/>
              <w:right w:val="single" w:color="000000" w:sz="8" w:space="0"/>
            </w:tcBorders>
            <w:shd w:val="clear" w:color="auto" w:fill="auto"/>
            <w:vAlign w:val="center"/>
          </w:tcPr>
          <w:p>
            <w:pPr>
              <w:widowControl/>
              <w:jc w:val="left"/>
              <w:rPr>
                <w:rFonts w:ascii="仿宋_GB2312" w:eastAsia="仿宋_GB2312"/>
                <w:kern w:val="0"/>
                <w:szCs w:val="21"/>
              </w:rPr>
            </w:pPr>
            <w:r>
              <w:rPr>
                <w:rFonts w:hint="eastAsia" w:ascii="仿宋_GB2312" w:eastAsia="仿宋_GB2312"/>
                <w:kern w:val="0"/>
                <w:szCs w:val="21"/>
              </w:rPr>
              <w:t>浙（202</w:t>
            </w:r>
            <w:r>
              <w:rPr>
                <w:rFonts w:ascii="仿宋_GB2312" w:eastAsia="仿宋_GB2312"/>
                <w:kern w:val="0"/>
                <w:szCs w:val="21"/>
              </w:rPr>
              <w:t>1</w:t>
            </w:r>
            <w:r>
              <w:rPr>
                <w:rFonts w:hint="eastAsia" w:ascii="仿宋_GB2312" w:eastAsia="仿宋_GB2312"/>
                <w:kern w:val="0"/>
                <w:szCs w:val="21"/>
              </w:rPr>
              <w:t>）萧山区不动产证明第</w:t>
            </w:r>
            <w:r>
              <w:rPr>
                <w:rFonts w:ascii="仿宋_GB2312" w:eastAsia="仿宋_GB2312"/>
                <w:kern w:val="0"/>
                <w:szCs w:val="21"/>
              </w:rPr>
              <w:t>0059641</w:t>
            </w:r>
            <w:r>
              <w:rPr>
                <w:rFonts w:hint="eastAsia" w:ascii="仿宋_GB2312" w:eastAsia="仿宋_GB2312"/>
                <w:kern w:val="0"/>
                <w:szCs w:val="21"/>
              </w:rPr>
              <w:t>号</w:t>
            </w:r>
          </w:p>
        </w:tc>
      </w:tr>
      <w:tr>
        <w:tblPrEx>
          <w:tblCellMar>
            <w:top w:w="0" w:type="dxa"/>
            <w:left w:w="108" w:type="dxa"/>
            <w:bottom w:w="0" w:type="dxa"/>
            <w:right w:w="108" w:type="dxa"/>
          </w:tblCellMar>
        </w:tblPrEx>
        <w:trPr>
          <w:trHeight w:val="505" w:hRule="atLeast"/>
        </w:trPr>
        <w:tc>
          <w:tcPr>
            <w:tcW w:w="1195" w:type="dxa"/>
            <w:vMerge w:val="continue"/>
            <w:tcBorders>
              <w:top w:val="nil"/>
              <w:left w:val="single" w:color="auto" w:sz="8" w:space="0"/>
              <w:bottom w:val="single" w:color="000000" w:sz="8" w:space="0"/>
              <w:right w:val="single" w:color="auto" w:sz="4" w:space="0"/>
            </w:tcBorders>
            <w:vAlign w:val="center"/>
          </w:tcPr>
          <w:p>
            <w:pPr>
              <w:widowControl/>
              <w:jc w:val="left"/>
              <w:rPr>
                <w:rFonts w:ascii="仿宋_GB2312" w:eastAsia="仿宋_GB2312"/>
                <w:b/>
                <w:bCs/>
                <w:kern w:val="0"/>
                <w:szCs w:val="21"/>
              </w:rPr>
            </w:pP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权利类型</w:t>
            </w:r>
          </w:p>
        </w:tc>
        <w:tc>
          <w:tcPr>
            <w:tcW w:w="233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eastAsia="仿宋_GB2312"/>
                <w:kern w:val="0"/>
                <w:szCs w:val="21"/>
              </w:rPr>
            </w:pPr>
            <w:r>
              <w:rPr>
                <w:rFonts w:hint="eastAsia" w:ascii="仿宋_GB2312" w:eastAsia="仿宋_GB2312"/>
                <w:kern w:val="0"/>
                <w:szCs w:val="21"/>
              </w:rPr>
              <w:t>国有建设用地使用权</w:t>
            </w:r>
          </w:p>
        </w:tc>
        <w:tc>
          <w:tcPr>
            <w:tcW w:w="166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权利性质</w:t>
            </w:r>
          </w:p>
        </w:tc>
        <w:tc>
          <w:tcPr>
            <w:tcW w:w="2530" w:type="dxa"/>
            <w:gridSpan w:val="2"/>
            <w:tcBorders>
              <w:top w:val="single" w:color="auto" w:sz="4" w:space="0"/>
              <w:left w:val="nil"/>
              <w:bottom w:val="single" w:color="auto" w:sz="4" w:space="0"/>
              <w:right w:val="single" w:color="000000" w:sz="8" w:space="0"/>
            </w:tcBorders>
            <w:shd w:val="clear" w:color="auto" w:fill="auto"/>
            <w:vAlign w:val="center"/>
          </w:tcPr>
          <w:p>
            <w:pPr>
              <w:widowControl/>
              <w:jc w:val="center"/>
              <w:rPr>
                <w:rFonts w:ascii="仿宋_GB2312" w:eastAsia="仿宋_GB2312"/>
                <w:kern w:val="0"/>
                <w:szCs w:val="21"/>
              </w:rPr>
            </w:pPr>
            <w:r>
              <w:rPr>
                <w:rFonts w:hint="eastAsia" w:ascii="仿宋_GB2312" w:eastAsia="仿宋_GB2312"/>
                <w:kern w:val="0"/>
                <w:szCs w:val="21"/>
              </w:rPr>
              <w:t>——</w:t>
            </w:r>
          </w:p>
        </w:tc>
      </w:tr>
      <w:tr>
        <w:tblPrEx>
          <w:tblCellMar>
            <w:top w:w="0" w:type="dxa"/>
            <w:left w:w="108" w:type="dxa"/>
            <w:bottom w:w="0" w:type="dxa"/>
            <w:right w:w="108" w:type="dxa"/>
          </w:tblCellMar>
        </w:tblPrEx>
        <w:trPr>
          <w:trHeight w:val="505" w:hRule="atLeast"/>
        </w:trPr>
        <w:tc>
          <w:tcPr>
            <w:tcW w:w="1195" w:type="dxa"/>
            <w:vMerge w:val="continue"/>
            <w:tcBorders>
              <w:top w:val="nil"/>
              <w:left w:val="single" w:color="auto" w:sz="8" w:space="0"/>
              <w:bottom w:val="single" w:color="000000" w:sz="8" w:space="0"/>
              <w:right w:val="single" w:color="auto" w:sz="4" w:space="0"/>
            </w:tcBorders>
            <w:vAlign w:val="center"/>
          </w:tcPr>
          <w:p>
            <w:pPr>
              <w:widowControl/>
              <w:jc w:val="left"/>
              <w:rPr>
                <w:rFonts w:ascii="仿宋_GB2312" w:eastAsia="仿宋_GB2312"/>
                <w:b/>
                <w:bCs/>
                <w:kern w:val="0"/>
                <w:szCs w:val="21"/>
              </w:rPr>
            </w:pP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共有情况</w:t>
            </w:r>
          </w:p>
        </w:tc>
        <w:tc>
          <w:tcPr>
            <w:tcW w:w="233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eastAsia="仿宋_GB2312"/>
                <w:kern w:val="0"/>
                <w:szCs w:val="21"/>
              </w:rPr>
            </w:pPr>
            <w:r>
              <w:rPr>
                <w:rFonts w:hint="eastAsia" w:ascii="仿宋_GB2312" w:eastAsia="仿宋_GB2312"/>
                <w:kern w:val="0"/>
                <w:szCs w:val="21"/>
              </w:rPr>
              <w:t>——</w:t>
            </w:r>
          </w:p>
        </w:tc>
        <w:tc>
          <w:tcPr>
            <w:tcW w:w="166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登记日期</w:t>
            </w:r>
          </w:p>
        </w:tc>
        <w:tc>
          <w:tcPr>
            <w:tcW w:w="2530" w:type="dxa"/>
            <w:gridSpan w:val="2"/>
            <w:tcBorders>
              <w:top w:val="single" w:color="auto" w:sz="4" w:space="0"/>
              <w:left w:val="nil"/>
              <w:bottom w:val="single" w:color="auto" w:sz="4" w:space="0"/>
              <w:right w:val="single" w:color="000000" w:sz="8" w:space="0"/>
            </w:tcBorders>
            <w:shd w:val="clear" w:color="auto" w:fill="auto"/>
            <w:vAlign w:val="center"/>
          </w:tcPr>
          <w:p>
            <w:pPr>
              <w:widowControl/>
              <w:jc w:val="center"/>
              <w:rPr>
                <w:rFonts w:ascii="仿宋_GB2312" w:eastAsia="仿宋_GB2312"/>
                <w:kern w:val="0"/>
                <w:szCs w:val="21"/>
              </w:rPr>
            </w:pPr>
            <w:r>
              <w:rPr>
                <w:rFonts w:hint="eastAsia" w:ascii="仿宋_GB2312" w:eastAsia="仿宋_GB2312"/>
                <w:kern w:val="0"/>
                <w:szCs w:val="21"/>
              </w:rPr>
              <w:t>202</w:t>
            </w:r>
            <w:r>
              <w:rPr>
                <w:rFonts w:ascii="仿宋_GB2312" w:eastAsia="仿宋_GB2312"/>
                <w:kern w:val="0"/>
                <w:szCs w:val="21"/>
              </w:rPr>
              <w:t>1</w:t>
            </w:r>
            <w:r>
              <w:rPr>
                <w:rFonts w:hint="eastAsia" w:ascii="仿宋_GB2312" w:eastAsia="仿宋_GB2312"/>
                <w:kern w:val="0"/>
                <w:szCs w:val="21"/>
              </w:rPr>
              <w:t>年07月</w:t>
            </w:r>
            <w:r>
              <w:rPr>
                <w:rFonts w:ascii="仿宋_GB2312" w:eastAsia="仿宋_GB2312"/>
                <w:kern w:val="0"/>
                <w:szCs w:val="21"/>
              </w:rPr>
              <w:t>07</w:t>
            </w:r>
            <w:r>
              <w:rPr>
                <w:rFonts w:hint="eastAsia" w:ascii="仿宋_GB2312" w:eastAsia="仿宋_GB2312"/>
                <w:kern w:val="0"/>
                <w:szCs w:val="21"/>
              </w:rPr>
              <w:t>日</w:t>
            </w:r>
          </w:p>
        </w:tc>
      </w:tr>
      <w:tr>
        <w:tblPrEx>
          <w:tblCellMar>
            <w:top w:w="0" w:type="dxa"/>
            <w:left w:w="108" w:type="dxa"/>
            <w:bottom w:w="0" w:type="dxa"/>
            <w:right w:w="108" w:type="dxa"/>
          </w:tblCellMar>
        </w:tblPrEx>
        <w:trPr>
          <w:trHeight w:val="505" w:hRule="atLeast"/>
        </w:trPr>
        <w:tc>
          <w:tcPr>
            <w:tcW w:w="1195" w:type="dxa"/>
            <w:vMerge w:val="continue"/>
            <w:tcBorders>
              <w:top w:val="nil"/>
              <w:left w:val="single" w:color="auto" w:sz="8" w:space="0"/>
              <w:bottom w:val="single" w:color="000000" w:sz="8" w:space="0"/>
              <w:right w:val="single" w:color="auto" w:sz="4" w:space="0"/>
            </w:tcBorders>
            <w:vAlign w:val="center"/>
          </w:tcPr>
          <w:p>
            <w:pPr>
              <w:widowControl/>
              <w:jc w:val="left"/>
              <w:rPr>
                <w:rFonts w:ascii="仿宋_GB2312" w:eastAsia="仿宋_GB2312"/>
                <w:b/>
                <w:bCs/>
                <w:kern w:val="0"/>
                <w:szCs w:val="21"/>
              </w:rPr>
            </w:pPr>
          </w:p>
        </w:tc>
        <w:tc>
          <w:tcPr>
            <w:tcW w:w="145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权利状态</w:t>
            </w:r>
          </w:p>
        </w:tc>
        <w:tc>
          <w:tcPr>
            <w:tcW w:w="6526" w:type="dxa"/>
            <w:gridSpan w:val="7"/>
            <w:tcBorders>
              <w:top w:val="single" w:color="auto" w:sz="4" w:space="0"/>
              <w:left w:val="nil"/>
              <w:bottom w:val="single" w:color="auto" w:sz="4" w:space="0"/>
              <w:right w:val="single" w:color="000000" w:sz="8" w:space="0"/>
            </w:tcBorders>
            <w:shd w:val="clear" w:color="auto" w:fill="auto"/>
            <w:vAlign w:val="center"/>
          </w:tcPr>
          <w:p>
            <w:pPr>
              <w:widowControl/>
              <w:jc w:val="center"/>
              <w:rPr>
                <w:rFonts w:ascii="仿宋_GB2312" w:eastAsia="仿宋_GB2312"/>
                <w:kern w:val="0"/>
                <w:szCs w:val="21"/>
              </w:rPr>
            </w:pPr>
            <w:r>
              <w:rPr>
                <w:rFonts w:hint="eastAsia" w:ascii="仿宋_GB2312" w:eastAsia="仿宋_GB2312"/>
                <w:kern w:val="0"/>
                <w:szCs w:val="21"/>
              </w:rPr>
              <w:t>预告登记</w:t>
            </w:r>
          </w:p>
        </w:tc>
      </w:tr>
      <w:tr>
        <w:tblPrEx>
          <w:tblCellMar>
            <w:top w:w="0" w:type="dxa"/>
            <w:left w:w="108" w:type="dxa"/>
            <w:bottom w:w="0" w:type="dxa"/>
            <w:right w:w="108" w:type="dxa"/>
          </w:tblCellMar>
        </w:tblPrEx>
        <w:trPr>
          <w:trHeight w:val="562" w:hRule="atLeast"/>
        </w:trPr>
        <w:tc>
          <w:tcPr>
            <w:tcW w:w="1195" w:type="dxa"/>
            <w:vMerge w:val="continue"/>
            <w:tcBorders>
              <w:top w:val="nil"/>
              <w:left w:val="single" w:color="auto" w:sz="8" w:space="0"/>
              <w:bottom w:val="single" w:color="000000" w:sz="8" w:space="0"/>
              <w:right w:val="single" w:color="auto" w:sz="4" w:space="0"/>
            </w:tcBorders>
            <w:vAlign w:val="center"/>
          </w:tcPr>
          <w:p>
            <w:pPr>
              <w:widowControl/>
              <w:jc w:val="left"/>
              <w:rPr>
                <w:rFonts w:ascii="仿宋_GB2312" w:eastAsia="仿宋_GB2312"/>
                <w:b/>
                <w:bCs/>
                <w:kern w:val="0"/>
                <w:szCs w:val="21"/>
              </w:rPr>
            </w:pPr>
          </w:p>
        </w:tc>
        <w:tc>
          <w:tcPr>
            <w:tcW w:w="1455" w:type="dxa"/>
            <w:tcBorders>
              <w:top w:val="nil"/>
              <w:left w:val="nil"/>
              <w:bottom w:val="single" w:color="auto" w:sz="8" w:space="0"/>
              <w:right w:val="single" w:color="auto" w:sz="4" w:space="0"/>
            </w:tcBorders>
            <w:shd w:val="clear" w:color="auto" w:fill="auto"/>
            <w:vAlign w:val="center"/>
          </w:tcPr>
          <w:p>
            <w:pPr>
              <w:widowControl/>
              <w:jc w:val="center"/>
              <w:rPr>
                <w:rFonts w:ascii="仿宋_GB2312" w:eastAsia="仿宋_GB2312"/>
                <w:b/>
                <w:bCs/>
                <w:kern w:val="0"/>
                <w:szCs w:val="21"/>
              </w:rPr>
            </w:pPr>
            <w:r>
              <w:rPr>
                <w:rFonts w:hint="eastAsia" w:ascii="仿宋_GB2312" w:eastAsia="仿宋_GB2312"/>
                <w:b/>
                <w:bCs/>
                <w:kern w:val="0"/>
                <w:szCs w:val="21"/>
              </w:rPr>
              <w:t>附记</w:t>
            </w:r>
          </w:p>
        </w:tc>
        <w:tc>
          <w:tcPr>
            <w:tcW w:w="6526" w:type="dxa"/>
            <w:gridSpan w:val="7"/>
            <w:tcBorders>
              <w:top w:val="single" w:color="auto" w:sz="4" w:space="0"/>
              <w:left w:val="nil"/>
              <w:bottom w:val="single" w:color="auto" w:sz="8" w:space="0"/>
              <w:right w:val="single" w:color="000000" w:sz="8" w:space="0"/>
            </w:tcBorders>
            <w:shd w:val="clear" w:color="auto" w:fill="auto"/>
            <w:vAlign w:val="center"/>
          </w:tcPr>
          <w:p>
            <w:pPr>
              <w:widowControl/>
              <w:jc w:val="center"/>
              <w:rPr>
                <w:rFonts w:ascii="仿宋_GB2312" w:eastAsia="仿宋_GB2312"/>
                <w:kern w:val="0"/>
                <w:szCs w:val="21"/>
              </w:rPr>
            </w:pPr>
            <w:r>
              <w:rPr>
                <w:rFonts w:hint="eastAsia" w:ascii="仿宋_GB2312" w:eastAsia="仿宋_GB2312"/>
                <w:kern w:val="0"/>
                <w:szCs w:val="21"/>
              </w:rPr>
              <w:t>——</w:t>
            </w:r>
          </w:p>
        </w:tc>
      </w:tr>
    </w:tbl>
    <w:p>
      <w:pPr>
        <w:spacing w:line="480" w:lineRule="exact"/>
        <w:ind w:left="138" w:leftChars="66" w:firstLine="411" w:firstLineChars="147"/>
        <w:rPr>
          <w:rFonts w:ascii="仿宋_GB2312" w:hAnsi="宋体" w:eastAsia="仿宋_GB2312"/>
          <w:b/>
          <w:sz w:val="28"/>
          <w:szCs w:val="28"/>
        </w:rPr>
      </w:pPr>
      <w:r>
        <w:rPr>
          <w:rFonts w:hint="eastAsia" w:ascii="仿宋_GB2312" w:hAnsi="宋体" w:eastAsia="仿宋_GB2312"/>
          <w:sz w:val="28"/>
          <w:szCs w:val="28"/>
        </w:rPr>
        <w:t>估价对象未办理不动产权证书，根据《浙江省商品房买卖合同》（预售）（合同编号：ZJ21330109YS0055294），买受人为张</w:t>
      </w:r>
      <w:r>
        <w:rPr>
          <w:rFonts w:hint="eastAsia" w:ascii="仿宋_GB2312" w:hAnsi="宋体" w:eastAsia="仿宋_GB2312"/>
          <w:sz w:val="28"/>
          <w:szCs w:val="28"/>
          <w:lang w:eastAsia="zh-CN"/>
        </w:rPr>
        <w:t>某某</w:t>
      </w:r>
      <w:r>
        <w:rPr>
          <w:rFonts w:hint="eastAsia" w:ascii="仿宋_GB2312" w:hAnsi="宋体" w:eastAsia="仿宋_GB2312"/>
          <w:sz w:val="28"/>
          <w:szCs w:val="28"/>
        </w:rPr>
        <w:t>、任</w:t>
      </w:r>
      <w:r>
        <w:rPr>
          <w:rFonts w:hint="eastAsia" w:ascii="仿宋_GB2312" w:hAnsi="宋体" w:eastAsia="仿宋_GB2312"/>
          <w:sz w:val="28"/>
          <w:szCs w:val="28"/>
          <w:lang w:eastAsia="zh-CN"/>
        </w:rPr>
        <w:t>某某</w:t>
      </w:r>
      <w:r>
        <w:rPr>
          <w:rFonts w:hint="eastAsia" w:ascii="仿宋_GB2312" w:hAnsi="宋体" w:eastAsia="仿宋_GB2312"/>
          <w:sz w:val="28"/>
          <w:szCs w:val="28"/>
        </w:rPr>
        <w:t>，估价对象所在宗地土地用途为居住用地，土地性质为出让，土地使用权终止日期至20</w:t>
      </w:r>
      <w:r>
        <w:rPr>
          <w:rFonts w:ascii="仿宋_GB2312" w:hAnsi="宋体" w:eastAsia="仿宋_GB2312"/>
          <w:sz w:val="28"/>
          <w:szCs w:val="28"/>
        </w:rPr>
        <w:t>89</w:t>
      </w:r>
      <w:r>
        <w:rPr>
          <w:rFonts w:hint="eastAsia" w:ascii="仿宋_GB2312" w:hAnsi="宋体" w:eastAsia="仿宋_GB2312"/>
          <w:sz w:val="28"/>
          <w:szCs w:val="28"/>
        </w:rPr>
        <w:t>年0</w:t>
      </w:r>
      <w:r>
        <w:rPr>
          <w:rFonts w:ascii="仿宋_GB2312" w:hAnsi="宋体" w:eastAsia="仿宋_GB2312"/>
          <w:sz w:val="28"/>
          <w:szCs w:val="28"/>
        </w:rPr>
        <w:t>2</w:t>
      </w:r>
      <w:r>
        <w:rPr>
          <w:rFonts w:hint="eastAsia" w:ascii="仿宋_GB2312" w:hAnsi="宋体" w:eastAsia="仿宋_GB2312"/>
          <w:sz w:val="28"/>
          <w:szCs w:val="28"/>
        </w:rPr>
        <w:t>月14日止。</w:t>
      </w:r>
    </w:p>
    <w:p>
      <w:pPr>
        <w:spacing w:line="480" w:lineRule="exact"/>
        <w:ind w:left="138" w:leftChars="66" w:firstLine="411" w:firstLineChars="147"/>
        <w:rPr>
          <w:rFonts w:ascii="仿宋_GB2312" w:hAnsi="宋体" w:eastAsia="仿宋_GB2312"/>
          <w:b/>
          <w:sz w:val="28"/>
          <w:szCs w:val="28"/>
        </w:rPr>
      </w:pPr>
      <w:r>
        <w:rPr>
          <w:rFonts w:ascii="仿宋_GB2312" w:hAnsi="宋体" w:eastAsia="仿宋_GB2312"/>
          <w:b/>
          <w:sz w:val="28"/>
          <w:szCs w:val="28"/>
        </w:rPr>
        <w:fldChar w:fldCharType="begin"/>
      </w:r>
      <w:r>
        <w:rPr>
          <w:rFonts w:ascii="仿宋_GB2312" w:hAnsi="宋体" w:eastAsia="仿宋_GB2312"/>
          <w:b/>
          <w:sz w:val="28"/>
          <w:szCs w:val="28"/>
        </w:rPr>
        <w:instrText xml:space="preserve"> </w:instrText>
      </w:r>
      <w:r>
        <w:rPr>
          <w:rFonts w:hint="eastAsia" w:ascii="仿宋_GB2312" w:hAnsi="宋体" w:eastAsia="仿宋_GB2312"/>
          <w:b/>
          <w:sz w:val="28"/>
          <w:szCs w:val="28"/>
        </w:rPr>
        <w:instrText xml:space="preserve">= 2 \* GB2</w:instrText>
      </w:r>
      <w:r>
        <w:rPr>
          <w:rFonts w:ascii="仿宋_GB2312" w:hAnsi="宋体" w:eastAsia="仿宋_GB2312"/>
          <w:b/>
          <w:sz w:val="28"/>
          <w:szCs w:val="28"/>
        </w:rPr>
        <w:instrText xml:space="preserve"> </w:instrText>
      </w:r>
      <w:r>
        <w:rPr>
          <w:rFonts w:ascii="仿宋_GB2312" w:hAnsi="宋体" w:eastAsia="仿宋_GB2312"/>
          <w:b/>
          <w:sz w:val="28"/>
          <w:szCs w:val="28"/>
        </w:rPr>
        <w:fldChar w:fldCharType="separate"/>
      </w:r>
      <w:r>
        <w:rPr>
          <w:rFonts w:hint="eastAsia" w:ascii="仿宋_GB2312" w:hAnsi="宋体" w:eastAsia="仿宋_GB2312"/>
          <w:b/>
          <w:sz w:val="28"/>
          <w:szCs w:val="28"/>
        </w:rPr>
        <w:t>⑵</w:t>
      </w:r>
      <w:r>
        <w:rPr>
          <w:rFonts w:ascii="仿宋_GB2312" w:hAnsi="宋体" w:eastAsia="仿宋_GB2312"/>
          <w:b/>
          <w:sz w:val="28"/>
          <w:szCs w:val="28"/>
        </w:rPr>
        <w:fldChar w:fldCharType="end"/>
      </w:r>
      <w:r>
        <w:rPr>
          <w:rFonts w:hint="eastAsia" w:ascii="仿宋_GB2312" w:hAnsi="宋体" w:eastAsia="仿宋_GB2312"/>
          <w:b/>
          <w:sz w:val="28"/>
          <w:szCs w:val="28"/>
        </w:rPr>
        <w:t>他项权利状况</w:t>
      </w:r>
    </w:p>
    <w:p>
      <w:pPr>
        <w:spacing w:line="470" w:lineRule="exact"/>
        <w:ind w:firstLine="579" w:firstLineChars="207"/>
        <w:rPr>
          <w:rFonts w:ascii="仿宋_GB2312" w:hAnsi="宋体" w:eastAsia="仿宋_GB2312"/>
          <w:sz w:val="28"/>
          <w:szCs w:val="28"/>
        </w:rPr>
      </w:pPr>
      <w:r>
        <w:rPr>
          <w:rFonts w:hint="eastAsia" w:ascii="仿宋_GB2312" w:hAnsi="宋体" w:eastAsia="仿宋_GB2312"/>
          <w:sz w:val="28"/>
          <w:szCs w:val="28"/>
        </w:rPr>
        <w:t>根据《杭州市不动产登记信息查询记录》（编号：Q20221101-0012468）显示，至价值时点，估价对象他项权利登记信息详见下表：</w:t>
      </w:r>
    </w:p>
    <w:p>
      <w:pPr>
        <w:spacing w:line="470" w:lineRule="exact"/>
        <w:jc w:val="center"/>
        <w:rPr>
          <w:rFonts w:ascii="仿宋_GB2312" w:hAnsi="宋体" w:eastAsia="仿宋_GB2312"/>
          <w:sz w:val="28"/>
          <w:szCs w:val="28"/>
        </w:rPr>
      </w:pPr>
      <w:r>
        <w:rPr>
          <w:rFonts w:hint="eastAsia" w:ascii="仿宋_GB2312" w:hAnsi="宋体" w:eastAsia="仿宋_GB2312"/>
          <w:sz w:val="28"/>
          <w:szCs w:val="28"/>
        </w:rPr>
        <w:t>表3-2  抵押及查封状况一览表</w:t>
      </w:r>
    </w:p>
    <w:tbl>
      <w:tblPr>
        <w:tblStyle w:val="27"/>
        <w:tblW w:w="51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277"/>
        <w:gridCol w:w="2105"/>
        <w:gridCol w:w="1920"/>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18" w:type="pct"/>
            <w:vMerge w:val="restart"/>
            <w:shd w:val="clear" w:color="auto" w:fill="auto"/>
            <w:vAlign w:val="center"/>
          </w:tcPr>
          <w:p>
            <w:pPr>
              <w:widowControl/>
              <w:spacing w:line="320" w:lineRule="exact"/>
              <w:jc w:val="center"/>
              <w:rPr>
                <w:rFonts w:ascii="仿宋_GB2312" w:eastAsia="仿宋_GB2312"/>
                <w:b/>
                <w:bCs/>
                <w:kern w:val="0"/>
                <w:szCs w:val="21"/>
              </w:rPr>
            </w:pPr>
            <w:r>
              <w:rPr>
                <w:rFonts w:hint="eastAsia" w:ascii="仿宋_GB2312" w:eastAsia="仿宋_GB2312"/>
                <w:b/>
                <w:bCs/>
                <w:kern w:val="0"/>
                <w:szCs w:val="21"/>
              </w:rPr>
              <w:t>抵押状况</w:t>
            </w:r>
          </w:p>
        </w:tc>
        <w:tc>
          <w:tcPr>
            <w:tcW w:w="685" w:type="pct"/>
            <w:shd w:val="clear" w:color="auto" w:fill="auto"/>
            <w:vAlign w:val="center"/>
          </w:tcPr>
          <w:p>
            <w:pPr>
              <w:widowControl/>
              <w:spacing w:line="320" w:lineRule="exact"/>
              <w:jc w:val="center"/>
              <w:rPr>
                <w:rFonts w:ascii="仿宋_GB2312" w:eastAsia="仿宋_GB2312"/>
                <w:kern w:val="0"/>
                <w:szCs w:val="21"/>
              </w:rPr>
            </w:pPr>
            <w:r>
              <w:rPr>
                <w:rFonts w:hint="eastAsia" w:ascii="仿宋_GB2312" w:eastAsia="仿宋_GB2312"/>
                <w:kern w:val="0"/>
                <w:szCs w:val="21"/>
              </w:rPr>
              <w:t>抵押权人</w:t>
            </w:r>
          </w:p>
        </w:tc>
        <w:tc>
          <w:tcPr>
            <w:tcW w:w="1129" w:type="pct"/>
            <w:shd w:val="clear" w:color="auto" w:fill="auto"/>
            <w:vAlign w:val="center"/>
          </w:tcPr>
          <w:p>
            <w:pPr>
              <w:spacing w:line="320" w:lineRule="exact"/>
              <w:jc w:val="center"/>
              <w:rPr>
                <w:rFonts w:ascii="仿宋_GB2312" w:eastAsia="仿宋_GB2312"/>
                <w:kern w:val="0"/>
                <w:szCs w:val="21"/>
              </w:rPr>
            </w:pPr>
            <w:r>
              <w:rPr>
                <w:rFonts w:hint="eastAsia" w:ascii="仿宋_GB2312" w:eastAsia="仿宋_GB2312"/>
                <w:kern w:val="0"/>
                <w:szCs w:val="21"/>
              </w:rPr>
              <w:t>北京银行股份有限公司杭州分行</w:t>
            </w:r>
          </w:p>
        </w:tc>
        <w:tc>
          <w:tcPr>
            <w:tcW w:w="1030" w:type="pct"/>
            <w:shd w:val="clear" w:color="auto" w:fill="auto"/>
            <w:vAlign w:val="center"/>
          </w:tcPr>
          <w:p>
            <w:pPr>
              <w:spacing w:line="320" w:lineRule="exact"/>
              <w:jc w:val="center"/>
              <w:rPr>
                <w:rFonts w:ascii="仿宋_GB2312" w:eastAsia="仿宋_GB2312"/>
                <w:kern w:val="0"/>
                <w:szCs w:val="21"/>
              </w:rPr>
            </w:pPr>
            <w:r>
              <w:rPr>
                <w:rFonts w:hint="eastAsia" w:ascii="仿宋_GB2312" w:eastAsia="仿宋_GB2312"/>
                <w:kern w:val="0"/>
                <w:szCs w:val="21"/>
              </w:rPr>
              <w:t>登记证明号</w:t>
            </w:r>
          </w:p>
        </w:tc>
        <w:tc>
          <w:tcPr>
            <w:tcW w:w="1338" w:type="pct"/>
            <w:shd w:val="clear" w:color="auto" w:fill="auto"/>
            <w:vAlign w:val="center"/>
          </w:tcPr>
          <w:p>
            <w:pPr>
              <w:spacing w:line="320" w:lineRule="exact"/>
              <w:jc w:val="center"/>
              <w:rPr>
                <w:rFonts w:ascii="仿宋_GB2312" w:eastAsia="仿宋_GB2312"/>
                <w:kern w:val="0"/>
                <w:szCs w:val="21"/>
              </w:rPr>
            </w:pPr>
            <w:r>
              <w:rPr>
                <w:rFonts w:hint="eastAsia" w:ascii="仿宋_GB2312" w:eastAsia="仿宋_GB2312"/>
                <w:kern w:val="0"/>
                <w:szCs w:val="21"/>
              </w:rPr>
              <w:t>浙（202</w:t>
            </w:r>
            <w:r>
              <w:rPr>
                <w:rFonts w:ascii="仿宋_GB2312" w:eastAsia="仿宋_GB2312"/>
                <w:kern w:val="0"/>
                <w:szCs w:val="21"/>
              </w:rPr>
              <w:t>1</w:t>
            </w:r>
            <w:r>
              <w:rPr>
                <w:rFonts w:hint="eastAsia" w:ascii="仿宋_GB2312" w:eastAsia="仿宋_GB2312"/>
                <w:kern w:val="0"/>
                <w:szCs w:val="21"/>
              </w:rPr>
              <w:t>）萧山区不动产证明第</w:t>
            </w:r>
            <w:r>
              <w:rPr>
                <w:rFonts w:ascii="仿宋_GB2312" w:eastAsia="仿宋_GB2312"/>
                <w:kern w:val="0"/>
                <w:szCs w:val="21"/>
              </w:rPr>
              <w:t>0059642</w:t>
            </w:r>
            <w:r>
              <w:rPr>
                <w:rFonts w:hint="eastAsia" w:ascii="仿宋_GB2312" w:eastAsia="仿宋_GB2312"/>
                <w:kern w:val="0"/>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18" w:type="pct"/>
            <w:vMerge w:val="continue"/>
            <w:shd w:val="clear" w:color="auto" w:fill="auto"/>
            <w:vAlign w:val="center"/>
          </w:tcPr>
          <w:p>
            <w:pPr>
              <w:widowControl/>
              <w:spacing w:line="320" w:lineRule="exact"/>
              <w:jc w:val="center"/>
              <w:rPr>
                <w:rFonts w:ascii="仿宋_GB2312" w:eastAsia="仿宋_GB2312"/>
                <w:b/>
                <w:bCs/>
                <w:kern w:val="0"/>
                <w:szCs w:val="21"/>
              </w:rPr>
            </w:pPr>
          </w:p>
        </w:tc>
        <w:tc>
          <w:tcPr>
            <w:tcW w:w="685" w:type="pct"/>
            <w:shd w:val="clear" w:color="auto" w:fill="auto"/>
            <w:vAlign w:val="center"/>
          </w:tcPr>
          <w:p>
            <w:pPr>
              <w:widowControl/>
              <w:spacing w:line="320" w:lineRule="exact"/>
              <w:jc w:val="center"/>
              <w:rPr>
                <w:rFonts w:ascii="仿宋_GB2312" w:eastAsia="仿宋_GB2312"/>
                <w:kern w:val="0"/>
                <w:szCs w:val="21"/>
              </w:rPr>
            </w:pPr>
            <w:r>
              <w:rPr>
                <w:rFonts w:hint="eastAsia" w:ascii="仿宋_GB2312" w:eastAsia="仿宋_GB2312"/>
                <w:kern w:val="0"/>
                <w:szCs w:val="21"/>
              </w:rPr>
              <w:t>抵押方式</w:t>
            </w:r>
          </w:p>
        </w:tc>
        <w:tc>
          <w:tcPr>
            <w:tcW w:w="1129" w:type="pct"/>
            <w:shd w:val="clear" w:color="auto" w:fill="auto"/>
            <w:vAlign w:val="center"/>
          </w:tcPr>
          <w:p>
            <w:pPr>
              <w:spacing w:line="320" w:lineRule="exact"/>
              <w:jc w:val="center"/>
              <w:rPr>
                <w:rFonts w:ascii="仿宋_GB2312" w:eastAsia="仿宋_GB2312"/>
                <w:kern w:val="0"/>
                <w:szCs w:val="21"/>
              </w:rPr>
            </w:pPr>
            <w:r>
              <w:rPr>
                <w:rFonts w:hint="eastAsia" w:ascii="仿宋_GB2312" w:eastAsia="仿宋_GB2312"/>
                <w:kern w:val="0"/>
                <w:szCs w:val="21"/>
              </w:rPr>
              <w:t>一般抵押</w:t>
            </w:r>
          </w:p>
        </w:tc>
        <w:tc>
          <w:tcPr>
            <w:tcW w:w="1030" w:type="pct"/>
            <w:shd w:val="clear" w:color="auto" w:fill="auto"/>
            <w:vAlign w:val="center"/>
          </w:tcPr>
          <w:p>
            <w:pPr>
              <w:spacing w:line="320" w:lineRule="exact"/>
              <w:jc w:val="center"/>
              <w:rPr>
                <w:rFonts w:ascii="仿宋_GB2312" w:eastAsia="仿宋_GB2312"/>
                <w:kern w:val="0"/>
                <w:szCs w:val="21"/>
              </w:rPr>
            </w:pPr>
            <w:r>
              <w:rPr>
                <w:rFonts w:hint="eastAsia" w:ascii="仿宋_GB2312" w:eastAsia="仿宋_GB2312"/>
                <w:kern w:val="0"/>
                <w:szCs w:val="21"/>
              </w:rPr>
              <w:t>债权数额</w:t>
            </w:r>
          </w:p>
        </w:tc>
        <w:tc>
          <w:tcPr>
            <w:tcW w:w="1338" w:type="pct"/>
            <w:shd w:val="clear" w:color="auto" w:fill="auto"/>
            <w:vAlign w:val="center"/>
          </w:tcPr>
          <w:p>
            <w:pPr>
              <w:spacing w:line="320" w:lineRule="exact"/>
              <w:jc w:val="center"/>
              <w:rPr>
                <w:rFonts w:ascii="仿宋_GB2312" w:eastAsia="仿宋_GB2312"/>
                <w:kern w:val="0"/>
                <w:szCs w:val="21"/>
              </w:rPr>
            </w:pPr>
            <w:r>
              <w:rPr>
                <w:rFonts w:ascii="仿宋_GB2312" w:eastAsia="仿宋_GB2312"/>
                <w:kern w:val="0"/>
                <w:szCs w:val="21"/>
              </w:rPr>
              <w:t>121</w:t>
            </w:r>
            <w:r>
              <w:rPr>
                <w:rFonts w:hint="eastAsia" w:ascii="仿宋_GB2312" w:eastAsia="仿宋_GB2312"/>
                <w:kern w:val="0"/>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18" w:type="pct"/>
            <w:vMerge w:val="continue"/>
            <w:shd w:val="clear" w:color="auto" w:fill="auto"/>
            <w:vAlign w:val="center"/>
          </w:tcPr>
          <w:p>
            <w:pPr>
              <w:widowControl/>
              <w:spacing w:line="320" w:lineRule="exact"/>
              <w:jc w:val="center"/>
              <w:rPr>
                <w:rFonts w:ascii="仿宋_GB2312" w:eastAsia="仿宋_GB2312"/>
                <w:b/>
                <w:bCs/>
                <w:kern w:val="0"/>
                <w:szCs w:val="21"/>
              </w:rPr>
            </w:pPr>
          </w:p>
        </w:tc>
        <w:tc>
          <w:tcPr>
            <w:tcW w:w="685" w:type="pct"/>
            <w:shd w:val="clear" w:color="auto" w:fill="auto"/>
            <w:vAlign w:val="center"/>
          </w:tcPr>
          <w:p>
            <w:pPr>
              <w:widowControl/>
              <w:spacing w:line="320" w:lineRule="exact"/>
              <w:jc w:val="center"/>
              <w:rPr>
                <w:rFonts w:ascii="仿宋_GB2312" w:eastAsia="仿宋_GB2312"/>
                <w:kern w:val="0"/>
                <w:szCs w:val="21"/>
              </w:rPr>
            </w:pPr>
            <w:r>
              <w:rPr>
                <w:rFonts w:hint="eastAsia" w:ascii="仿宋_GB2312" w:eastAsia="仿宋_GB2312"/>
                <w:kern w:val="0"/>
                <w:szCs w:val="21"/>
              </w:rPr>
              <w:t>登记日期</w:t>
            </w:r>
          </w:p>
        </w:tc>
        <w:tc>
          <w:tcPr>
            <w:tcW w:w="1129" w:type="pct"/>
            <w:shd w:val="clear" w:color="auto" w:fill="auto"/>
            <w:vAlign w:val="center"/>
          </w:tcPr>
          <w:p>
            <w:pPr>
              <w:widowControl/>
              <w:spacing w:line="320" w:lineRule="exact"/>
              <w:jc w:val="center"/>
              <w:rPr>
                <w:rFonts w:ascii="仿宋_GB2312" w:eastAsia="仿宋_GB2312"/>
                <w:kern w:val="0"/>
                <w:szCs w:val="21"/>
              </w:rPr>
            </w:pPr>
            <w:r>
              <w:rPr>
                <w:rFonts w:hint="eastAsia" w:ascii="仿宋_GB2312" w:eastAsia="仿宋_GB2312"/>
                <w:kern w:val="0"/>
                <w:szCs w:val="21"/>
              </w:rPr>
              <w:t>202</w:t>
            </w:r>
            <w:r>
              <w:rPr>
                <w:rFonts w:ascii="仿宋_GB2312" w:eastAsia="仿宋_GB2312"/>
                <w:kern w:val="0"/>
                <w:szCs w:val="21"/>
              </w:rPr>
              <w:t>1</w:t>
            </w:r>
            <w:r>
              <w:rPr>
                <w:rFonts w:hint="eastAsia" w:ascii="仿宋_GB2312" w:eastAsia="仿宋_GB2312"/>
                <w:kern w:val="0"/>
                <w:szCs w:val="21"/>
              </w:rPr>
              <w:t>年07月0</w:t>
            </w:r>
            <w:r>
              <w:rPr>
                <w:rFonts w:ascii="仿宋_GB2312" w:eastAsia="仿宋_GB2312"/>
                <w:kern w:val="0"/>
                <w:szCs w:val="21"/>
              </w:rPr>
              <w:t>7</w:t>
            </w:r>
            <w:r>
              <w:rPr>
                <w:rFonts w:hint="eastAsia" w:ascii="仿宋_GB2312" w:eastAsia="仿宋_GB2312"/>
                <w:kern w:val="0"/>
                <w:szCs w:val="21"/>
              </w:rPr>
              <w:t>日</w:t>
            </w:r>
          </w:p>
        </w:tc>
        <w:tc>
          <w:tcPr>
            <w:tcW w:w="1030" w:type="pct"/>
            <w:shd w:val="clear" w:color="auto" w:fill="auto"/>
            <w:vAlign w:val="center"/>
          </w:tcPr>
          <w:p>
            <w:pPr>
              <w:widowControl/>
              <w:spacing w:line="320" w:lineRule="exact"/>
              <w:jc w:val="center"/>
              <w:rPr>
                <w:rFonts w:ascii="仿宋_GB2312" w:eastAsia="仿宋_GB2312"/>
                <w:kern w:val="0"/>
                <w:szCs w:val="21"/>
              </w:rPr>
            </w:pPr>
            <w:r>
              <w:rPr>
                <w:rFonts w:hint="eastAsia" w:ascii="仿宋_GB2312" w:eastAsia="仿宋_GB2312"/>
                <w:kern w:val="0"/>
                <w:szCs w:val="21"/>
              </w:rPr>
              <w:t>债务履行期限</w:t>
            </w:r>
          </w:p>
          <w:p>
            <w:pPr>
              <w:widowControl/>
              <w:spacing w:line="320" w:lineRule="exact"/>
              <w:jc w:val="center"/>
              <w:rPr>
                <w:rFonts w:ascii="仿宋_GB2312" w:eastAsia="仿宋_GB2312"/>
                <w:kern w:val="0"/>
                <w:szCs w:val="21"/>
              </w:rPr>
            </w:pPr>
            <w:r>
              <w:rPr>
                <w:rFonts w:hint="eastAsia" w:ascii="仿宋_GB2312" w:eastAsia="仿宋_GB2312"/>
                <w:kern w:val="0"/>
                <w:szCs w:val="21"/>
              </w:rPr>
              <w:t>（债务确定期间）</w:t>
            </w:r>
          </w:p>
        </w:tc>
        <w:tc>
          <w:tcPr>
            <w:tcW w:w="1338" w:type="pct"/>
            <w:shd w:val="clear" w:color="auto" w:fill="auto"/>
            <w:vAlign w:val="center"/>
          </w:tcPr>
          <w:p>
            <w:pPr>
              <w:widowControl/>
              <w:spacing w:line="320" w:lineRule="exact"/>
              <w:jc w:val="center"/>
              <w:rPr>
                <w:rFonts w:ascii="仿宋_GB2312" w:eastAsia="仿宋_GB2312"/>
                <w:kern w:val="0"/>
                <w:szCs w:val="21"/>
              </w:rPr>
            </w:pPr>
            <w:r>
              <w:rPr>
                <w:rFonts w:hint="eastAsia" w:ascii="仿宋_GB2312" w:eastAsia="仿宋_GB2312"/>
                <w:kern w:val="0"/>
                <w:szCs w:val="21"/>
              </w:rPr>
              <w:t>202</w:t>
            </w:r>
            <w:r>
              <w:rPr>
                <w:rFonts w:ascii="仿宋_GB2312" w:eastAsia="仿宋_GB2312"/>
                <w:kern w:val="0"/>
                <w:szCs w:val="21"/>
              </w:rPr>
              <w:t>1</w:t>
            </w:r>
            <w:r>
              <w:rPr>
                <w:rFonts w:hint="eastAsia" w:ascii="仿宋_GB2312" w:eastAsia="仿宋_GB2312"/>
                <w:kern w:val="0"/>
                <w:szCs w:val="21"/>
              </w:rPr>
              <w:t>年0</w:t>
            </w:r>
            <w:r>
              <w:rPr>
                <w:rFonts w:ascii="仿宋_GB2312" w:eastAsia="仿宋_GB2312"/>
                <w:kern w:val="0"/>
                <w:szCs w:val="21"/>
              </w:rPr>
              <w:t>6</w:t>
            </w:r>
            <w:r>
              <w:rPr>
                <w:rFonts w:hint="eastAsia" w:ascii="仿宋_GB2312" w:eastAsia="仿宋_GB2312"/>
                <w:kern w:val="0"/>
                <w:szCs w:val="21"/>
              </w:rPr>
              <w:t>月</w:t>
            </w:r>
            <w:r>
              <w:rPr>
                <w:rFonts w:ascii="仿宋_GB2312" w:eastAsia="仿宋_GB2312"/>
                <w:kern w:val="0"/>
                <w:szCs w:val="21"/>
              </w:rPr>
              <w:t>10</w:t>
            </w:r>
            <w:r>
              <w:rPr>
                <w:rFonts w:hint="eastAsia" w:ascii="仿宋_GB2312" w:eastAsia="仿宋_GB2312"/>
                <w:kern w:val="0"/>
                <w:szCs w:val="21"/>
              </w:rPr>
              <w:t>日起至203</w:t>
            </w:r>
            <w:r>
              <w:rPr>
                <w:rFonts w:ascii="仿宋_GB2312" w:eastAsia="仿宋_GB2312"/>
                <w:kern w:val="0"/>
                <w:szCs w:val="21"/>
              </w:rPr>
              <w:t>1</w:t>
            </w:r>
            <w:r>
              <w:rPr>
                <w:rFonts w:hint="eastAsia" w:ascii="仿宋_GB2312" w:eastAsia="仿宋_GB2312"/>
                <w:kern w:val="0"/>
                <w:szCs w:val="21"/>
              </w:rPr>
              <w:t>年</w:t>
            </w:r>
            <w:r>
              <w:rPr>
                <w:rFonts w:ascii="仿宋_GB2312" w:eastAsia="仿宋_GB2312"/>
                <w:kern w:val="0"/>
                <w:szCs w:val="21"/>
              </w:rPr>
              <w:t>06</w:t>
            </w:r>
            <w:r>
              <w:rPr>
                <w:rFonts w:hint="eastAsia" w:ascii="仿宋_GB2312" w:eastAsia="仿宋_GB2312"/>
                <w:kern w:val="0"/>
                <w:szCs w:val="21"/>
              </w:rPr>
              <w:t>月</w:t>
            </w:r>
            <w:r>
              <w:rPr>
                <w:rFonts w:ascii="仿宋_GB2312" w:eastAsia="仿宋_GB2312"/>
                <w:kern w:val="0"/>
                <w:szCs w:val="21"/>
              </w:rPr>
              <w:t>10</w:t>
            </w:r>
            <w:r>
              <w:rPr>
                <w:rFonts w:hint="eastAsia" w:ascii="仿宋_GB2312" w:eastAsia="仿宋_GB2312"/>
                <w:kern w:val="0"/>
                <w:szCs w:val="21"/>
              </w:rPr>
              <w:t>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18" w:type="pct"/>
            <w:vMerge w:val="continue"/>
            <w:shd w:val="clear" w:color="auto" w:fill="auto"/>
            <w:vAlign w:val="center"/>
          </w:tcPr>
          <w:p>
            <w:pPr>
              <w:widowControl/>
              <w:spacing w:line="320" w:lineRule="exact"/>
              <w:jc w:val="center"/>
              <w:rPr>
                <w:rFonts w:ascii="仿宋_GB2312" w:eastAsia="仿宋_GB2312"/>
                <w:b/>
                <w:bCs/>
                <w:kern w:val="0"/>
                <w:szCs w:val="21"/>
              </w:rPr>
            </w:pPr>
          </w:p>
        </w:tc>
        <w:tc>
          <w:tcPr>
            <w:tcW w:w="685" w:type="pct"/>
            <w:shd w:val="clear" w:color="auto" w:fill="auto"/>
            <w:vAlign w:val="center"/>
          </w:tcPr>
          <w:p>
            <w:pPr>
              <w:widowControl/>
              <w:spacing w:line="320" w:lineRule="exact"/>
              <w:jc w:val="center"/>
              <w:rPr>
                <w:rFonts w:ascii="仿宋_GB2312" w:eastAsia="仿宋_GB2312"/>
                <w:kern w:val="0"/>
                <w:szCs w:val="21"/>
              </w:rPr>
            </w:pPr>
            <w:r>
              <w:rPr>
                <w:rFonts w:hint="eastAsia" w:ascii="仿宋_GB2312" w:eastAsia="仿宋_GB2312"/>
                <w:kern w:val="0"/>
                <w:szCs w:val="21"/>
              </w:rPr>
              <w:t>附记</w:t>
            </w:r>
          </w:p>
        </w:tc>
        <w:tc>
          <w:tcPr>
            <w:tcW w:w="3497" w:type="pct"/>
            <w:gridSpan w:val="3"/>
            <w:shd w:val="clear" w:color="auto" w:fill="auto"/>
            <w:vAlign w:val="center"/>
          </w:tcPr>
          <w:p>
            <w:pPr>
              <w:widowControl/>
              <w:spacing w:line="320" w:lineRule="exact"/>
              <w:jc w:val="center"/>
              <w:rPr>
                <w:rFonts w:ascii="仿宋_GB2312" w:eastAsia="仿宋_GB2312"/>
                <w:kern w:val="0"/>
                <w:szCs w:val="21"/>
              </w:rPr>
            </w:pPr>
            <w:r>
              <w:rPr>
                <w:rFonts w:hint="eastAsia" w:ascii="仿宋_GB2312" w:eastAsia="仿宋_GB2312"/>
                <w:kern w:val="0"/>
                <w:szCs w:val="21"/>
              </w:rPr>
              <w:t>存在禁止或限制转让抵押不动产的约定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18" w:type="pct"/>
            <w:vMerge w:val="restart"/>
            <w:shd w:val="clear" w:color="auto" w:fill="auto"/>
            <w:vAlign w:val="center"/>
          </w:tcPr>
          <w:p>
            <w:pPr>
              <w:widowControl/>
              <w:spacing w:line="320" w:lineRule="exact"/>
              <w:jc w:val="center"/>
              <w:rPr>
                <w:rFonts w:ascii="仿宋_GB2312" w:eastAsia="仿宋_GB2312"/>
                <w:b/>
                <w:bCs/>
                <w:kern w:val="0"/>
                <w:szCs w:val="21"/>
              </w:rPr>
            </w:pPr>
            <w:r>
              <w:rPr>
                <w:rFonts w:hint="eastAsia" w:ascii="仿宋_GB2312" w:eastAsia="仿宋_GB2312"/>
                <w:b/>
                <w:bCs/>
                <w:kern w:val="0"/>
                <w:szCs w:val="21"/>
              </w:rPr>
              <w:t>查封状况</w:t>
            </w:r>
          </w:p>
        </w:tc>
        <w:tc>
          <w:tcPr>
            <w:tcW w:w="685" w:type="pct"/>
            <w:shd w:val="clear" w:color="auto" w:fill="auto"/>
            <w:vAlign w:val="center"/>
          </w:tcPr>
          <w:p>
            <w:pPr>
              <w:widowControl/>
              <w:spacing w:line="320" w:lineRule="exact"/>
              <w:jc w:val="center"/>
              <w:rPr>
                <w:rFonts w:ascii="仿宋_GB2312" w:eastAsia="仿宋_GB2312"/>
                <w:bCs/>
                <w:kern w:val="0"/>
                <w:szCs w:val="21"/>
              </w:rPr>
            </w:pPr>
            <w:r>
              <w:rPr>
                <w:rFonts w:hint="eastAsia" w:ascii="仿宋_GB2312" w:eastAsia="仿宋_GB2312"/>
                <w:bCs/>
                <w:kern w:val="0"/>
                <w:szCs w:val="21"/>
              </w:rPr>
              <w:t>查封文号</w:t>
            </w:r>
          </w:p>
        </w:tc>
        <w:tc>
          <w:tcPr>
            <w:tcW w:w="3497" w:type="pct"/>
            <w:gridSpan w:val="3"/>
            <w:shd w:val="clear" w:color="auto" w:fill="auto"/>
            <w:vAlign w:val="center"/>
          </w:tcPr>
          <w:p>
            <w:pPr>
              <w:widowControl/>
              <w:spacing w:line="320" w:lineRule="exact"/>
              <w:jc w:val="left"/>
              <w:rPr>
                <w:rFonts w:ascii="仿宋_GB2312" w:eastAsia="仿宋_GB2312"/>
                <w:kern w:val="0"/>
                <w:szCs w:val="21"/>
              </w:rPr>
            </w:pPr>
            <w:r>
              <w:rPr>
                <w:rFonts w:hint="eastAsia" w:ascii="仿宋_GB2312" w:eastAsia="仿宋_GB2312"/>
                <w:kern w:val="0"/>
                <w:szCs w:val="21"/>
              </w:rPr>
              <w:t>（2022）浙0726执</w:t>
            </w:r>
            <w:r>
              <w:rPr>
                <w:rFonts w:ascii="仿宋_GB2312" w:eastAsia="仿宋_GB2312"/>
                <w:kern w:val="0"/>
                <w:szCs w:val="21"/>
              </w:rPr>
              <w:t>2190</w:t>
            </w:r>
            <w:r>
              <w:rPr>
                <w:rFonts w:hint="eastAsia" w:ascii="仿宋_GB2312" w:eastAsia="仿宋_GB2312"/>
                <w:kern w:val="0"/>
                <w:szCs w:val="21"/>
              </w:rPr>
              <w:t>号之二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18" w:type="pct"/>
            <w:vMerge w:val="continue"/>
            <w:vAlign w:val="center"/>
          </w:tcPr>
          <w:p>
            <w:pPr>
              <w:widowControl/>
              <w:spacing w:line="320" w:lineRule="exact"/>
              <w:jc w:val="center"/>
              <w:rPr>
                <w:rFonts w:ascii="仿宋_GB2312" w:eastAsia="仿宋_GB2312"/>
                <w:b/>
                <w:bCs/>
                <w:kern w:val="0"/>
                <w:szCs w:val="21"/>
              </w:rPr>
            </w:pPr>
          </w:p>
        </w:tc>
        <w:tc>
          <w:tcPr>
            <w:tcW w:w="685" w:type="pct"/>
            <w:shd w:val="clear" w:color="auto" w:fill="auto"/>
            <w:vAlign w:val="center"/>
          </w:tcPr>
          <w:p>
            <w:pPr>
              <w:widowControl/>
              <w:spacing w:line="320" w:lineRule="exact"/>
              <w:jc w:val="center"/>
              <w:rPr>
                <w:rFonts w:ascii="仿宋_GB2312" w:eastAsia="仿宋_GB2312"/>
                <w:bCs/>
                <w:kern w:val="0"/>
                <w:szCs w:val="21"/>
              </w:rPr>
            </w:pPr>
            <w:r>
              <w:rPr>
                <w:rFonts w:hint="eastAsia" w:ascii="仿宋_GB2312" w:eastAsia="仿宋_GB2312"/>
                <w:bCs/>
                <w:kern w:val="0"/>
                <w:szCs w:val="21"/>
              </w:rPr>
              <w:t>查封机关</w:t>
            </w:r>
          </w:p>
        </w:tc>
        <w:tc>
          <w:tcPr>
            <w:tcW w:w="3497" w:type="pct"/>
            <w:gridSpan w:val="3"/>
            <w:shd w:val="clear" w:color="auto" w:fill="auto"/>
            <w:vAlign w:val="center"/>
          </w:tcPr>
          <w:p>
            <w:pPr>
              <w:widowControl/>
              <w:spacing w:line="320" w:lineRule="exact"/>
              <w:jc w:val="left"/>
              <w:rPr>
                <w:rFonts w:ascii="仿宋_GB2312" w:eastAsia="仿宋_GB2312"/>
                <w:kern w:val="0"/>
                <w:szCs w:val="21"/>
              </w:rPr>
            </w:pPr>
            <w:r>
              <w:rPr>
                <w:rFonts w:hint="eastAsia" w:ascii="仿宋_GB2312" w:eastAsia="仿宋_GB2312"/>
                <w:kern w:val="0"/>
                <w:szCs w:val="21"/>
              </w:rPr>
              <w:t>浙江省浦江县人民法院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18" w:type="pct"/>
            <w:vMerge w:val="continue"/>
            <w:vAlign w:val="center"/>
          </w:tcPr>
          <w:p>
            <w:pPr>
              <w:widowControl/>
              <w:spacing w:line="320" w:lineRule="exact"/>
              <w:jc w:val="center"/>
              <w:rPr>
                <w:rFonts w:ascii="仿宋_GB2312" w:eastAsia="仿宋_GB2312"/>
                <w:b/>
                <w:bCs/>
                <w:kern w:val="0"/>
                <w:szCs w:val="21"/>
              </w:rPr>
            </w:pPr>
          </w:p>
        </w:tc>
        <w:tc>
          <w:tcPr>
            <w:tcW w:w="685" w:type="pct"/>
            <w:shd w:val="clear" w:color="auto" w:fill="auto"/>
            <w:vAlign w:val="center"/>
          </w:tcPr>
          <w:p>
            <w:pPr>
              <w:widowControl/>
              <w:spacing w:line="320" w:lineRule="exact"/>
              <w:jc w:val="center"/>
              <w:rPr>
                <w:rFonts w:ascii="仿宋_GB2312" w:eastAsia="仿宋_GB2312"/>
                <w:bCs/>
                <w:kern w:val="0"/>
                <w:szCs w:val="21"/>
              </w:rPr>
            </w:pPr>
            <w:r>
              <w:rPr>
                <w:rFonts w:hint="eastAsia" w:ascii="仿宋_GB2312" w:eastAsia="仿宋_GB2312"/>
                <w:bCs/>
                <w:kern w:val="0"/>
                <w:szCs w:val="21"/>
              </w:rPr>
              <w:t>查封期限</w:t>
            </w:r>
          </w:p>
        </w:tc>
        <w:tc>
          <w:tcPr>
            <w:tcW w:w="3497" w:type="pct"/>
            <w:gridSpan w:val="3"/>
            <w:shd w:val="clear" w:color="auto" w:fill="auto"/>
            <w:vAlign w:val="center"/>
          </w:tcPr>
          <w:p>
            <w:pPr>
              <w:widowControl/>
              <w:spacing w:line="320" w:lineRule="exact"/>
              <w:jc w:val="left"/>
              <w:rPr>
                <w:rFonts w:ascii="仿宋_GB2312" w:eastAsia="仿宋_GB2312"/>
                <w:kern w:val="0"/>
                <w:szCs w:val="21"/>
              </w:rPr>
            </w:pPr>
            <w:r>
              <w:rPr>
                <w:rFonts w:hint="eastAsia" w:ascii="仿宋_GB2312" w:eastAsia="仿宋_GB2312"/>
                <w:kern w:val="0"/>
                <w:szCs w:val="21"/>
              </w:rPr>
              <w:t>2022年0</w:t>
            </w:r>
            <w:r>
              <w:rPr>
                <w:rFonts w:ascii="仿宋_GB2312" w:eastAsia="仿宋_GB2312"/>
                <w:kern w:val="0"/>
                <w:szCs w:val="21"/>
              </w:rPr>
              <w:t>9</w:t>
            </w:r>
            <w:r>
              <w:rPr>
                <w:rFonts w:hint="eastAsia" w:ascii="仿宋_GB2312" w:eastAsia="仿宋_GB2312"/>
                <w:kern w:val="0"/>
                <w:szCs w:val="21"/>
              </w:rPr>
              <w:t>月</w:t>
            </w:r>
            <w:r>
              <w:rPr>
                <w:rFonts w:ascii="仿宋_GB2312" w:eastAsia="仿宋_GB2312"/>
                <w:kern w:val="0"/>
                <w:szCs w:val="21"/>
              </w:rPr>
              <w:t>20</w:t>
            </w:r>
            <w:r>
              <w:rPr>
                <w:rFonts w:hint="eastAsia" w:ascii="仿宋_GB2312" w:eastAsia="仿宋_GB2312"/>
                <w:kern w:val="0"/>
                <w:szCs w:val="21"/>
              </w:rPr>
              <w:t>日起2025年</w:t>
            </w:r>
            <w:r>
              <w:rPr>
                <w:rFonts w:ascii="仿宋_GB2312" w:eastAsia="仿宋_GB2312"/>
                <w:kern w:val="0"/>
                <w:szCs w:val="21"/>
              </w:rPr>
              <w:t>09</w:t>
            </w:r>
            <w:r>
              <w:rPr>
                <w:rFonts w:hint="eastAsia" w:ascii="仿宋_GB2312" w:eastAsia="仿宋_GB2312"/>
                <w:kern w:val="0"/>
                <w:szCs w:val="21"/>
              </w:rPr>
              <w:t>月1</w:t>
            </w:r>
            <w:r>
              <w:rPr>
                <w:rFonts w:ascii="仿宋_GB2312" w:eastAsia="仿宋_GB2312"/>
                <w:kern w:val="0"/>
                <w:szCs w:val="21"/>
              </w:rPr>
              <w:t>9</w:t>
            </w:r>
            <w:r>
              <w:rPr>
                <w:rFonts w:hint="eastAsia" w:ascii="仿宋_GB2312" w:eastAsia="仿宋_GB2312"/>
                <w:kern w:val="0"/>
                <w:szCs w:val="21"/>
              </w:rPr>
              <w:t>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18" w:type="pct"/>
            <w:vAlign w:val="center"/>
          </w:tcPr>
          <w:p>
            <w:pPr>
              <w:widowControl/>
              <w:spacing w:line="320" w:lineRule="exact"/>
              <w:jc w:val="center"/>
              <w:rPr>
                <w:rFonts w:ascii="仿宋_GB2312" w:eastAsia="仿宋_GB2312"/>
                <w:b/>
                <w:bCs/>
                <w:kern w:val="0"/>
                <w:szCs w:val="21"/>
              </w:rPr>
            </w:pPr>
            <w:r>
              <w:rPr>
                <w:rFonts w:hint="eastAsia" w:ascii="仿宋_GB2312" w:eastAsia="仿宋_GB2312"/>
                <w:b/>
                <w:bCs/>
                <w:kern w:val="0"/>
                <w:szCs w:val="21"/>
              </w:rPr>
              <w:t>异议状况</w:t>
            </w:r>
          </w:p>
        </w:tc>
        <w:tc>
          <w:tcPr>
            <w:tcW w:w="4182" w:type="pct"/>
            <w:gridSpan w:val="4"/>
            <w:shd w:val="clear" w:color="auto" w:fill="auto"/>
            <w:vAlign w:val="center"/>
          </w:tcPr>
          <w:p>
            <w:pPr>
              <w:widowControl/>
              <w:spacing w:line="320" w:lineRule="exact"/>
              <w:jc w:val="center"/>
              <w:rPr>
                <w:rFonts w:ascii="仿宋_GB2312" w:eastAsia="仿宋_GB2312"/>
                <w:kern w:val="0"/>
                <w:szCs w:val="21"/>
              </w:rPr>
            </w:pPr>
            <w:r>
              <w:rPr>
                <w:rFonts w:hint="eastAsia" w:ascii="仿宋_GB2312" w:eastAsia="仿宋_GB2312"/>
                <w:kern w:val="0"/>
                <w:szCs w:val="21"/>
              </w:rPr>
              <w:t>无</w:t>
            </w:r>
          </w:p>
        </w:tc>
      </w:tr>
    </w:tbl>
    <w:p>
      <w:pPr>
        <w:spacing w:line="480" w:lineRule="exact"/>
        <w:ind w:firstLine="560" w:firstLineChars="200"/>
        <w:rPr>
          <w:rFonts w:ascii="仿宋_GB2312" w:hAnsi="宋体" w:eastAsia="仿宋_GB2312"/>
          <w:b/>
          <w:sz w:val="28"/>
          <w:szCs w:val="28"/>
        </w:rPr>
      </w:pPr>
      <w:r>
        <w:rPr>
          <w:rFonts w:hint="eastAsia" w:ascii="仿宋_GB2312" w:hAnsi="宋体" w:eastAsia="仿宋_GB2312"/>
          <w:b/>
          <w:sz w:val="28"/>
          <w:szCs w:val="28"/>
        </w:rPr>
        <w:t>3、估价对象实物状况</w:t>
      </w:r>
      <w:bookmarkEnd w:id="26"/>
      <w:bookmarkEnd w:id="27"/>
      <w:r>
        <w:rPr>
          <w:rFonts w:hint="eastAsia" w:ascii="仿宋_GB2312" w:hAnsi="宋体" w:eastAsia="仿宋_GB2312"/>
          <w:b/>
          <w:sz w:val="28"/>
          <w:szCs w:val="28"/>
        </w:rPr>
        <w:t>描述</w:t>
      </w:r>
    </w:p>
    <w:p>
      <w:pPr>
        <w:spacing w:line="480" w:lineRule="exact"/>
        <w:ind w:firstLine="560" w:firstLineChars="200"/>
        <w:rPr>
          <w:rFonts w:ascii="仿宋_GB2312" w:hAnsi="宋体" w:eastAsia="仿宋_GB2312"/>
          <w:b/>
          <w:sz w:val="28"/>
          <w:szCs w:val="28"/>
        </w:rPr>
      </w:pPr>
      <w:r>
        <w:rPr>
          <w:rFonts w:hint="eastAsia" w:ascii="仿宋_GB2312" w:hAnsi="宋体" w:eastAsia="仿宋_GB2312"/>
          <w:b/>
          <w:sz w:val="28"/>
          <w:szCs w:val="28"/>
        </w:rPr>
        <w:t>⑴土地实物状况</w:t>
      </w:r>
    </w:p>
    <w:p>
      <w:pPr>
        <w:spacing w:line="480" w:lineRule="exact"/>
        <w:ind w:firstLine="560" w:firstLineChars="200"/>
        <w:rPr>
          <w:rFonts w:ascii="仿宋_GB2312" w:hAnsi="宋体" w:eastAsia="仿宋_GB2312"/>
          <w:sz w:val="28"/>
          <w:szCs w:val="28"/>
          <w:highlight w:val="yellow"/>
        </w:rPr>
      </w:pPr>
      <w:r>
        <w:rPr>
          <w:rFonts w:hint="eastAsia" w:ascii="仿宋_GB2312" w:eastAsia="仿宋_GB2312"/>
          <w:sz w:val="28"/>
          <w:szCs w:val="28"/>
        </w:rPr>
        <w:t>估价对象所在宗地</w:t>
      </w:r>
      <w:r>
        <w:rPr>
          <w:rFonts w:ascii="仿宋_GB2312" w:eastAsia="仿宋_GB2312"/>
          <w:sz w:val="28"/>
          <w:szCs w:val="28"/>
        </w:rPr>
        <w:t>东至通惠南路，南临向旭路，西临中国传媒大学附属通惠小学，北临萧山中学附属通惠初级中学</w:t>
      </w:r>
      <w:r>
        <w:rPr>
          <w:rFonts w:hint="eastAsia" w:ascii="仿宋_GB2312" w:eastAsia="仿宋_GB2312"/>
          <w:sz w:val="28"/>
          <w:szCs w:val="28"/>
        </w:rPr>
        <w:t>，土地形状呈规则多边形，地势较平坦，地质条件较好，其土地开发程度达到宗地红线外“六通”（通路、通电、通上水、通下水、通气和通讯），红线内“六通一平”状态，区域基础设施配套较好</w:t>
      </w:r>
      <w:r>
        <w:rPr>
          <w:rFonts w:hint="eastAsia" w:ascii="仿宋_GB2312" w:hAnsi="宋体" w:eastAsia="仿宋_GB2312"/>
          <w:color w:val="000000"/>
          <w:sz w:val="28"/>
          <w:szCs w:val="28"/>
        </w:rPr>
        <w:t>。至价值时点，土地剩余使用年限为</w:t>
      </w:r>
      <w:r>
        <w:rPr>
          <w:rFonts w:ascii="仿宋_GB2312" w:hAnsi="宋体" w:eastAsia="仿宋_GB2312"/>
          <w:color w:val="000000"/>
          <w:sz w:val="28"/>
          <w:szCs w:val="28"/>
        </w:rPr>
        <w:t>66.33</w:t>
      </w:r>
      <w:r>
        <w:rPr>
          <w:rFonts w:hint="eastAsia" w:ascii="仿宋_GB2312" w:hAnsi="宋体" w:eastAsia="仿宋_GB2312"/>
          <w:color w:val="000000"/>
          <w:sz w:val="28"/>
          <w:szCs w:val="28"/>
        </w:rPr>
        <w:t>年。</w:t>
      </w:r>
    </w:p>
    <w:p>
      <w:pPr>
        <w:spacing w:line="480" w:lineRule="exact"/>
        <w:ind w:firstLine="560" w:firstLineChars="200"/>
        <w:rPr>
          <w:rFonts w:ascii="仿宋_GB2312" w:hAnsi="宋体" w:eastAsia="仿宋_GB2312"/>
          <w:b/>
          <w:sz w:val="28"/>
          <w:szCs w:val="28"/>
        </w:rPr>
      </w:pPr>
      <w:r>
        <w:rPr>
          <w:rFonts w:hint="eastAsia" w:ascii="仿宋_GB2312" w:hAnsi="宋体" w:eastAsia="仿宋_GB2312"/>
          <w:b/>
          <w:sz w:val="28"/>
          <w:szCs w:val="28"/>
        </w:rPr>
        <w:t>⑵建筑物实物状况</w:t>
      </w:r>
    </w:p>
    <w:p>
      <w:pPr>
        <w:spacing w:line="480" w:lineRule="exact"/>
        <w:ind w:firstLine="560" w:firstLineChars="200"/>
        <w:rPr>
          <w:rFonts w:ascii="仿宋_GB2312" w:hAnsi="宋体" w:eastAsia="仿宋_GB2312"/>
          <w:sz w:val="28"/>
          <w:szCs w:val="28"/>
          <w:highlight w:val="yellow"/>
        </w:rPr>
      </w:pPr>
      <w:r>
        <w:rPr>
          <w:rFonts w:hint="eastAsia" w:ascii="仿宋_GB2312" w:hAnsi="宋体" w:eastAsia="仿宋_GB2312"/>
          <w:sz w:val="28"/>
          <w:szCs w:val="28"/>
        </w:rPr>
        <w:t>根据《杭州市不动产登记信息查询记录》（编号：Q20221101-0012468）及实地查勘情况</w:t>
      </w:r>
      <w:r>
        <w:rPr>
          <w:rFonts w:hint="eastAsia" w:ascii="仿宋_GB2312" w:hAnsi="宋体" w:eastAsia="仿宋_GB2312"/>
          <w:color w:val="000000"/>
          <w:sz w:val="28"/>
          <w:szCs w:val="28"/>
        </w:rPr>
        <w:t>，估价对象建筑结构为钢混结构，设计用途为住宅，实际用途为住宅，建成年份为2021年，</w:t>
      </w:r>
      <w:r>
        <w:rPr>
          <w:rFonts w:hint="eastAsia" w:ascii="仿宋_GB2312" w:hAnsi="宋体" w:eastAsia="仿宋_GB2312"/>
          <w:sz w:val="28"/>
          <w:szCs w:val="28"/>
        </w:rPr>
        <w:t>房屋外墙涂料及局部石材、铝板，单元平面布局为二（客）梯四户。</w:t>
      </w:r>
      <w:r>
        <w:rPr>
          <w:rFonts w:hint="eastAsia" w:ascii="仿宋_GB2312" w:hAnsi="宋体" w:eastAsia="仿宋_GB2312"/>
          <w:color w:val="000000"/>
          <w:sz w:val="28"/>
          <w:szCs w:val="28"/>
        </w:rPr>
        <w:t>估价对象所在建筑物地上总层数为</w:t>
      </w:r>
      <w:r>
        <w:rPr>
          <w:rFonts w:ascii="仿宋_GB2312" w:hAnsi="宋体" w:eastAsia="仿宋_GB2312"/>
          <w:color w:val="000000"/>
          <w:sz w:val="28"/>
          <w:szCs w:val="28"/>
        </w:rPr>
        <w:t>33</w:t>
      </w:r>
      <w:r>
        <w:rPr>
          <w:rFonts w:hint="eastAsia" w:ascii="仿宋_GB2312" w:hAnsi="宋体" w:eastAsia="仿宋_GB2312"/>
          <w:color w:val="000000"/>
          <w:sz w:val="28"/>
          <w:szCs w:val="28"/>
        </w:rPr>
        <w:t>层，地下1层，估价对象所在层次为</w:t>
      </w:r>
      <w:r>
        <w:rPr>
          <w:rFonts w:ascii="仿宋_GB2312" w:hAnsi="宋体" w:eastAsia="仿宋_GB2312"/>
          <w:color w:val="000000"/>
          <w:sz w:val="28"/>
          <w:szCs w:val="28"/>
        </w:rPr>
        <w:t>33</w:t>
      </w:r>
      <w:r>
        <w:rPr>
          <w:rFonts w:hint="eastAsia" w:ascii="仿宋_GB2312" w:hAnsi="宋体" w:eastAsia="仿宋_GB2312"/>
          <w:color w:val="000000"/>
          <w:sz w:val="28"/>
          <w:szCs w:val="28"/>
        </w:rPr>
        <w:t>层；房屋建筑</w:t>
      </w:r>
      <w:r>
        <w:rPr>
          <w:rFonts w:hint="eastAsia" w:ascii="仿宋_GB2312" w:hAnsi="宋体" w:eastAsia="仿宋_GB2312"/>
          <w:sz w:val="28"/>
          <w:szCs w:val="28"/>
        </w:rPr>
        <w:t>面积为120.83平方米，内部户型为四室二厅二卫一厨一阳台一衣帽间，南北朝向，东边套。内部为开发商精装修，客餐厅地面铺地砖，墙面刷涂料，顶部为石膏板吊顶；房间地面铺实木复合地板，墙面刷涂料，顶部为石膏板吊顶；厨房及卫生间地面铺地砖，墙面贴瓷砖，厨房顶部为石膏板吊顶，卫生间顶部为铝合金扣板吊顶，厨房安装有洗涤池、整体橱柜、油烟机、燃气灶、洗碗机等；卫生间安装有淋浴房、盥洗池及坐便器等；室内门为木门，窗为铝合金窗，入户门为密码锁门，室内安装有中央空调、新风系统等。地下一层车位1</w:t>
      </w:r>
      <w:r>
        <w:rPr>
          <w:rFonts w:ascii="仿宋_GB2312" w:hAnsi="宋体" w:eastAsia="仿宋_GB2312"/>
          <w:sz w:val="28"/>
          <w:szCs w:val="28"/>
        </w:rPr>
        <w:t>590</w:t>
      </w:r>
      <w:r>
        <w:rPr>
          <w:rFonts w:hint="eastAsia" w:ascii="仿宋_GB2312" w:hAnsi="宋体" w:eastAsia="仿宋_GB2312"/>
          <w:sz w:val="28"/>
          <w:szCs w:val="28"/>
        </w:rPr>
        <w:t>号位于3</w:t>
      </w:r>
      <w:r>
        <w:rPr>
          <w:rFonts w:ascii="仿宋_GB2312" w:hAnsi="宋体" w:eastAsia="仿宋_GB2312"/>
          <w:sz w:val="28"/>
          <w:szCs w:val="28"/>
        </w:rPr>
        <w:t>1</w:t>
      </w:r>
      <w:r>
        <w:rPr>
          <w:rFonts w:hint="eastAsia" w:ascii="仿宋_GB2312" w:hAnsi="宋体" w:eastAsia="仿宋_GB2312"/>
          <w:sz w:val="28"/>
          <w:szCs w:val="28"/>
        </w:rPr>
        <w:t>幢及3</w:t>
      </w:r>
      <w:r>
        <w:rPr>
          <w:rFonts w:ascii="仿宋_GB2312" w:hAnsi="宋体" w:eastAsia="仿宋_GB2312"/>
          <w:sz w:val="28"/>
          <w:szCs w:val="28"/>
        </w:rPr>
        <w:t>6</w:t>
      </w:r>
      <w:r>
        <w:rPr>
          <w:rFonts w:hint="eastAsia" w:ascii="仿宋_GB2312" w:hAnsi="宋体" w:eastAsia="仿宋_GB2312"/>
          <w:sz w:val="28"/>
          <w:szCs w:val="28"/>
        </w:rPr>
        <w:t>幢地下车库D区附近，为标准垂直式车位。目前估价对象建筑物地基无不均匀沉降，房屋承重结构构件和围护墙完好，楼面和地面平整，门窗开启灵活，墙面平整，顶棚一般，设备、管道通畅，水、电照明齐全，房屋完损等级为完好房。</w:t>
      </w:r>
    </w:p>
    <w:p>
      <w:pPr>
        <w:spacing w:line="480" w:lineRule="exact"/>
        <w:ind w:firstLine="560" w:firstLineChars="200"/>
        <w:rPr>
          <w:rFonts w:ascii="仿宋_GB2312" w:hAnsi="宋体" w:eastAsia="仿宋_GB2312"/>
          <w:b/>
          <w:sz w:val="28"/>
          <w:szCs w:val="28"/>
        </w:rPr>
      </w:pPr>
      <w:r>
        <w:rPr>
          <w:rFonts w:hint="eastAsia" w:ascii="仿宋_GB2312" w:hAnsi="宋体" w:eastAsia="仿宋_GB2312"/>
          <w:b/>
          <w:sz w:val="28"/>
          <w:szCs w:val="28"/>
        </w:rPr>
        <w:t>4、估价对象区位状况描述</w:t>
      </w:r>
    </w:p>
    <w:p>
      <w:pPr>
        <w:spacing w:line="470" w:lineRule="exact"/>
        <w:ind w:firstLine="579" w:firstLineChars="207"/>
        <w:rPr>
          <w:rFonts w:ascii="仿宋_GB2312" w:hAnsi="Courier New" w:eastAsia="仿宋_GB2312"/>
          <w:kern w:val="0"/>
          <w:sz w:val="28"/>
          <w:szCs w:val="28"/>
        </w:rPr>
      </w:pPr>
      <w:r>
        <w:rPr>
          <w:rFonts w:hint="eastAsia" w:ascii="仿宋_GB2312" w:hAnsi="Courier New" w:eastAsia="仿宋_GB2312"/>
          <w:kern w:val="0"/>
          <w:sz w:val="28"/>
          <w:szCs w:val="28"/>
        </w:rPr>
        <w:t>估价对象为</w:t>
      </w:r>
      <w:r>
        <w:rPr>
          <w:rFonts w:hint="eastAsia" w:ascii="仿宋_GB2312" w:hAnsi="宋体" w:eastAsia="仿宋_GB2312"/>
          <w:color w:val="000000"/>
          <w:sz w:val="28"/>
          <w:szCs w:val="28"/>
        </w:rPr>
        <w:t>杭州市萧山区新塘街道宸宇府35幢3301室的住宅房地产</w:t>
      </w:r>
      <w:r>
        <w:rPr>
          <w:rFonts w:hint="eastAsia" w:ascii="仿宋_GB2312" w:hAnsi="Courier New" w:eastAsia="仿宋_GB2312"/>
          <w:kern w:val="0"/>
          <w:sz w:val="28"/>
          <w:szCs w:val="28"/>
        </w:rPr>
        <w:t>，宸宇府位于向旭路以北、通惠南路以西。估价对象附近有小区禹洲·泊朗廷、广泽小区、澜悦帝景湾等，周边配套中国传媒大学附属通惠小学、萧山中学附属通惠初级中学、南都小学、南都幼儿园</w:t>
      </w:r>
      <w:r>
        <w:rPr>
          <w:rFonts w:ascii="仿宋_GB2312" w:hAnsi="Courier New" w:eastAsia="仿宋_GB2312"/>
          <w:kern w:val="0"/>
          <w:sz w:val="28"/>
          <w:szCs w:val="28"/>
        </w:rPr>
        <w:t>、</w:t>
      </w:r>
      <w:r>
        <w:rPr>
          <w:rFonts w:hint="eastAsia" w:ascii="仿宋_GB2312" w:hAnsi="Courier New" w:eastAsia="仿宋_GB2312"/>
          <w:kern w:val="0"/>
          <w:sz w:val="28"/>
          <w:szCs w:val="28"/>
        </w:rPr>
        <w:t>银泰百货(通惠南路店)、萧山城市文化公园</w:t>
      </w:r>
      <w:r>
        <w:rPr>
          <w:rFonts w:ascii="仿宋_GB2312" w:hAnsi="Courier New" w:eastAsia="仿宋_GB2312"/>
          <w:kern w:val="0"/>
          <w:sz w:val="28"/>
          <w:szCs w:val="28"/>
        </w:rPr>
        <w:t>、超市、银行</w:t>
      </w:r>
      <w:r>
        <w:rPr>
          <w:rFonts w:hint="eastAsia" w:ascii="仿宋_GB2312" w:hAnsi="Courier New" w:eastAsia="仿宋_GB2312"/>
          <w:kern w:val="0"/>
          <w:sz w:val="28"/>
          <w:szCs w:val="28"/>
        </w:rPr>
        <w:t>、</w:t>
      </w:r>
      <w:r>
        <w:rPr>
          <w:rFonts w:ascii="仿宋_GB2312" w:hAnsi="Courier New" w:eastAsia="仿宋_GB2312"/>
          <w:kern w:val="0"/>
          <w:sz w:val="28"/>
          <w:szCs w:val="28"/>
        </w:rPr>
        <w:t>农贸市场等公共</w:t>
      </w:r>
      <w:r>
        <w:rPr>
          <w:rFonts w:hint="eastAsia" w:ascii="仿宋_GB2312" w:hAnsi="Courier New" w:eastAsia="仿宋_GB2312"/>
          <w:kern w:val="0"/>
          <w:sz w:val="28"/>
          <w:szCs w:val="28"/>
        </w:rPr>
        <w:t>、</w:t>
      </w:r>
      <w:r>
        <w:rPr>
          <w:rFonts w:ascii="仿宋_GB2312" w:hAnsi="Courier New" w:eastAsia="仿宋_GB2312"/>
          <w:kern w:val="0"/>
          <w:sz w:val="28"/>
          <w:szCs w:val="28"/>
        </w:rPr>
        <w:t>生活配套</w:t>
      </w:r>
      <w:r>
        <w:rPr>
          <w:rFonts w:hint="eastAsia" w:ascii="仿宋_GB2312" w:hAnsi="Courier New" w:eastAsia="仿宋_GB2312"/>
          <w:kern w:val="0"/>
          <w:sz w:val="28"/>
          <w:szCs w:val="28"/>
        </w:rPr>
        <w:t>。该区域相关配套设施较好。</w:t>
      </w:r>
    </w:p>
    <w:p>
      <w:pPr>
        <w:widowControl/>
        <w:spacing w:line="500" w:lineRule="exact"/>
        <w:ind w:firstLine="560" w:firstLineChars="200"/>
        <w:jc w:val="left"/>
        <w:rPr>
          <w:rFonts w:ascii="仿宋_GB2312" w:hAnsi="宋体" w:eastAsia="仿宋_GB2312"/>
          <w:bCs/>
          <w:color w:val="000000"/>
          <w:sz w:val="28"/>
          <w:szCs w:val="28"/>
        </w:rPr>
      </w:pPr>
      <w:r>
        <w:rPr>
          <w:rFonts w:hint="eastAsia" w:ascii="仿宋_GB2312" w:hAnsi="Courier New" w:eastAsia="仿宋_GB2312"/>
          <w:kern w:val="0"/>
          <w:sz w:val="28"/>
          <w:szCs w:val="28"/>
        </w:rPr>
        <w:t>估价对象附近有向旭路、通惠南路等交通主次干道，距离地铁2号线曹家桥镇月2公里，对外交通较便捷；小区</w:t>
      </w:r>
      <w:r>
        <w:rPr>
          <w:rFonts w:hint="eastAsia" w:ascii="仿宋_GB2312" w:hAnsi="宋体" w:eastAsia="仿宋_GB2312"/>
          <w:bCs/>
          <w:color w:val="000000"/>
          <w:sz w:val="28"/>
          <w:szCs w:val="28"/>
        </w:rPr>
        <w:t>附近有公交站曾家桥(琴山下)站，有</w:t>
      </w:r>
      <w:r>
        <w:rPr>
          <w:rFonts w:ascii="仿宋_GB2312" w:hAnsi="宋体" w:eastAsia="仿宋_GB2312"/>
          <w:bCs/>
          <w:color w:val="000000"/>
          <w:sz w:val="28"/>
          <w:szCs w:val="28"/>
        </w:rPr>
        <w:t>公交</w:t>
      </w:r>
      <w:r>
        <w:rPr>
          <w:rFonts w:ascii="仿宋_GB2312" w:hAnsi="Courier New" w:eastAsia="仿宋_GB2312"/>
          <w:kern w:val="0"/>
          <w:sz w:val="28"/>
          <w:szCs w:val="28"/>
        </w:rPr>
        <w:t>735B路</w:t>
      </w:r>
      <w:r>
        <w:rPr>
          <w:rFonts w:hint="eastAsia" w:ascii="仿宋_GB2312" w:hAnsi="Courier New" w:eastAsia="仿宋_GB2312"/>
          <w:kern w:val="0"/>
          <w:sz w:val="28"/>
          <w:szCs w:val="28"/>
        </w:rPr>
        <w:t>、</w:t>
      </w:r>
      <w:r>
        <w:rPr>
          <w:rFonts w:ascii="仿宋_GB2312" w:hAnsi="Courier New" w:eastAsia="仿宋_GB2312"/>
          <w:kern w:val="0"/>
          <w:sz w:val="28"/>
          <w:szCs w:val="28"/>
        </w:rPr>
        <w:t>735C路</w:t>
      </w:r>
      <w:r>
        <w:rPr>
          <w:rFonts w:hint="eastAsia" w:ascii="仿宋_GB2312" w:hAnsi="Courier New" w:eastAsia="仿宋_GB2312"/>
          <w:kern w:val="0"/>
          <w:sz w:val="28"/>
          <w:szCs w:val="28"/>
        </w:rPr>
        <w:t>、</w:t>
      </w:r>
      <w:r>
        <w:rPr>
          <w:rFonts w:ascii="仿宋_GB2312" w:hAnsi="Courier New" w:eastAsia="仿宋_GB2312"/>
          <w:kern w:val="0"/>
          <w:sz w:val="28"/>
          <w:szCs w:val="28"/>
        </w:rPr>
        <w:t>737路进化区间</w:t>
      </w:r>
      <w:r>
        <w:rPr>
          <w:rFonts w:hint="eastAsia" w:ascii="仿宋_GB2312" w:hAnsi="Courier New" w:eastAsia="仿宋_GB2312"/>
          <w:kern w:val="0"/>
          <w:sz w:val="28"/>
          <w:szCs w:val="28"/>
        </w:rPr>
        <w:t>、</w:t>
      </w:r>
      <w:r>
        <w:rPr>
          <w:rFonts w:ascii="仿宋_GB2312" w:hAnsi="Courier New" w:eastAsia="仿宋_GB2312"/>
          <w:kern w:val="0"/>
          <w:sz w:val="28"/>
          <w:szCs w:val="28"/>
        </w:rPr>
        <w:t>738路</w:t>
      </w:r>
      <w:r>
        <w:rPr>
          <w:rFonts w:hint="eastAsia" w:ascii="仿宋_GB2312" w:hAnsi="Courier New" w:eastAsia="仿宋_GB2312"/>
          <w:kern w:val="0"/>
          <w:sz w:val="28"/>
          <w:szCs w:val="28"/>
        </w:rPr>
        <w:t>、</w:t>
      </w:r>
      <w:r>
        <w:rPr>
          <w:rFonts w:ascii="仿宋_GB2312" w:hAnsi="Courier New" w:eastAsia="仿宋_GB2312"/>
          <w:kern w:val="0"/>
          <w:sz w:val="28"/>
          <w:szCs w:val="28"/>
        </w:rPr>
        <w:t>741路</w:t>
      </w:r>
      <w:r>
        <w:rPr>
          <w:rFonts w:hint="eastAsia" w:ascii="仿宋_GB2312" w:hAnsi="宋体" w:eastAsia="仿宋_GB2312"/>
          <w:bCs/>
          <w:color w:val="000000"/>
          <w:sz w:val="28"/>
          <w:szCs w:val="28"/>
        </w:rPr>
        <w:t>等多路公交车经过，公交便捷度较好。</w:t>
      </w:r>
    </w:p>
    <w:p>
      <w:pPr>
        <w:pStyle w:val="3"/>
        <w:spacing w:before="156"/>
      </w:pPr>
      <w:bookmarkStart w:id="28" w:name="_Toc19091544"/>
      <w:bookmarkStart w:id="29" w:name="_Toc293686355"/>
      <w:bookmarkStart w:id="30" w:name="_Toc293686522"/>
      <w:r>
        <w:rPr>
          <w:rFonts w:hint="eastAsia"/>
        </w:rPr>
        <w:t>（五）价值时点</w:t>
      </w:r>
      <w:bookmarkEnd w:id="28"/>
      <w:bookmarkEnd w:id="29"/>
      <w:bookmarkEnd w:id="30"/>
    </w:p>
    <w:p>
      <w:pPr>
        <w:spacing w:line="480" w:lineRule="exact"/>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2022年11月01日（实地查勘日）。</w:t>
      </w:r>
    </w:p>
    <w:p>
      <w:pPr>
        <w:pStyle w:val="3"/>
        <w:spacing w:before="156"/>
      </w:pPr>
      <w:bookmarkStart w:id="31" w:name="_Toc293686356"/>
      <w:bookmarkStart w:id="32" w:name="_Toc293686523"/>
      <w:bookmarkStart w:id="33" w:name="_Toc19091545"/>
      <w:r>
        <w:rPr>
          <w:rFonts w:hint="eastAsia"/>
        </w:rPr>
        <w:t>（六）价值类型</w:t>
      </w:r>
      <w:bookmarkEnd w:id="31"/>
      <w:bookmarkEnd w:id="32"/>
      <w:bookmarkEnd w:id="33"/>
    </w:p>
    <w:p>
      <w:pPr>
        <w:spacing w:line="480" w:lineRule="exact"/>
        <w:ind w:firstLine="560" w:firstLineChars="200"/>
        <w:rPr>
          <w:rFonts w:ascii="仿宋_GB2312" w:eastAsia="仿宋_GB2312"/>
          <w:b/>
          <w:color w:val="000000"/>
          <w:sz w:val="28"/>
          <w:szCs w:val="28"/>
        </w:rPr>
      </w:pPr>
      <w:bookmarkStart w:id="34" w:name="_Toc293686357"/>
      <w:bookmarkStart w:id="35" w:name="_Toc293686524"/>
      <w:r>
        <w:rPr>
          <w:rFonts w:hint="eastAsia" w:ascii="仿宋_GB2312" w:hAnsi="宋体" w:eastAsia="仿宋_GB2312"/>
          <w:color w:val="000000"/>
          <w:sz w:val="28"/>
          <w:szCs w:val="28"/>
        </w:rPr>
        <w:t>本报告书提供的房地产价值是满足上述假设限制条件下于价值时点2022年11月01日的市场价值。</w:t>
      </w:r>
    </w:p>
    <w:p>
      <w:pPr>
        <w:spacing w:line="480" w:lineRule="exact"/>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市场价值，是估价对象经适当营销后，由熟悉情况、谨慎行事且不受强迫的交易双方，以公平交易方式在价值时点自愿进行交易的金额。</w:t>
      </w:r>
    </w:p>
    <w:p>
      <w:pPr>
        <w:pStyle w:val="3"/>
        <w:spacing w:before="156"/>
      </w:pPr>
      <w:bookmarkStart w:id="36" w:name="_Toc19091546"/>
      <w:r>
        <w:rPr>
          <w:rFonts w:hint="eastAsia" w:hAnsi="宋体"/>
        </w:rPr>
        <w:t>（七）</w:t>
      </w:r>
      <w:r>
        <w:rPr>
          <w:rFonts w:hint="eastAsia"/>
        </w:rPr>
        <w:t>估价依据</w:t>
      </w:r>
      <w:bookmarkEnd w:id="34"/>
      <w:bookmarkEnd w:id="35"/>
      <w:bookmarkEnd w:id="36"/>
    </w:p>
    <w:p>
      <w:pPr>
        <w:spacing w:line="480" w:lineRule="exact"/>
        <w:ind w:firstLine="560" w:firstLineChars="200"/>
        <w:rPr>
          <w:rFonts w:ascii="仿宋_GB2312" w:hAnsi="宋体" w:eastAsia="仿宋_GB2312"/>
          <w:b/>
          <w:sz w:val="28"/>
          <w:szCs w:val="28"/>
        </w:rPr>
      </w:pPr>
      <w:r>
        <w:rPr>
          <w:rFonts w:hint="eastAsia" w:ascii="仿宋_GB2312" w:hAnsi="宋体" w:eastAsia="仿宋_GB2312"/>
          <w:b/>
          <w:sz w:val="28"/>
          <w:szCs w:val="28"/>
        </w:rPr>
        <w:t>1、有关政策法规和文件</w:t>
      </w:r>
    </w:p>
    <w:p>
      <w:pPr>
        <w:spacing w:line="480" w:lineRule="exact"/>
        <w:ind w:firstLine="579" w:firstLineChars="207"/>
        <w:rPr>
          <w:rFonts w:ascii="仿宋_GB2312" w:hAnsi="宋体" w:eastAsia="仿宋_GB2312"/>
          <w:sz w:val="28"/>
          <w:szCs w:val="28"/>
        </w:rPr>
      </w:pPr>
      <w:bookmarkStart w:id="37" w:name="_Toc293686359"/>
      <w:bookmarkStart w:id="38" w:name="_Toc293686526"/>
      <w:r>
        <w:rPr>
          <w:rFonts w:hint="eastAsia" w:ascii="仿宋_GB2312" w:hAnsi="宋体" w:eastAsia="仿宋_GB2312"/>
          <w:sz w:val="28"/>
          <w:szCs w:val="28"/>
        </w:rPr>
        <w:t>⑴《中华人民共和国民法典》（2021年1月1日起施行）；</w:t>
      </w:r>
    </w:p>
    <w:p>
      <w:pPr>
        <w:spacing w:line="480" w:lineRule="exact"/>
        <w:ind w:firstLine="579" w:firstLineChars="207"/>
        <w:rPr>
          <w:rFonts w:ascii="仿宋_GB2312" w:hAnsi="宋体" w:eastAsia="仿宋_GB2312"/>
          <w:sz w:val="28"/>
          <w:szCs w:val="28"/>
        </w:rPr>
      </w:pPr>
      <w:r>
        <w:rPr>
          <w:rFonts w:hint="eastAsia" w:ascii="仿宋_GB2312" w:hAnsi="宋体" w:eastAsia="仿宋_GB2312"/>
          <w:sz w:val="28"/>
          <w:szCs w:val="28"/>
        </w:rPr>
        <w:t>⑵《中华人民共和国土地管理法》（</w:t>
      </w:r>
      <w:r>
        <w:rPr>
          <w:rFonts w:ascii="仿宋_GB2312" w:hAnsi="宋体" w:eastAsia="仿宋_GB2312"/>
          <w:sz w:val="28"/>
          <w:szCs w:val="28"/>
        </w:rPr>
        <w:t>2020年1月1日</w:t>
      </w:r>
      <w:r>
        <w:rPr>
          <w:rFonts w:hint="eastAsia" w:ascii="仿宋_GB2312" w:hAnsi="宋体" w:eastAsia="仿宋_GB2312"/>
          <w:sz w:val="28"/>
          <w:szCs w:val="28"/>
        </w:rPr>
        <w:t>起修订施行）；</w:t>
      </w:r>
    </w:p>
    <w:p>
      <w:pPr>
        <w:spacing w:line="480" w:lineRule="exact"/>
        <w:ind w:firstLine="579" w:firstLineChars="207"/>
        <w:rPr>
          <w:rFonts w:ascii="仿宋_GB2312" w:hAnsi="宋体" w:eastAsia="仿宋_GB2312"/>
          <w:sz w:val="28"/>
          <w:szCs w:val="28"/>
        </w:rPr>
      </w:pPr>
      <w:r>
        <w:rPr>
          <w:rFonts w:hint="eastAsia" w:ascii="仿宋_GB2312" w:hAnsi="宋体" w:eastAsia="仿宋_GB2312"/>
          <w:sz w:val="28"/>
          <w:szCs w:val="28"/>
        </w:rPr>
        <w:t>⑶《中华人民共和国城市房地产管理法》（</w:t>
      </w:r>
      <w:r>
        <w:rPr>
          <w:rFonts w:ascii="仿宋_GB2312" w:hAnsi="宋体" w:eastAsia="仿宋_GB2312"/>
          <w:sz w:val="28"/>
          <w:szCs w:val="28"/>
        </w:rPr>
        <w:t>2020年1月1日</w:t>
      </w:r>
      <w:r>
        <w:rPr>
          <w:rFonts w:hint="eastAsia" w:ascii="仿宋_GB2312" w:hAnsi="宋体" w:eastAsia="仿宋_GB2312"/>
          <w:sz w:val="28"/>
          <w:szCs w:val="28"/>
        </w:rPr>
        <w:t>起修订施行）；</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⑷《中华人民共和国资产评估法》（</w:t>
      </w:r>
      <w:r>
        <w:rPr>
          <w:rFonts w:ascii="仿宋_GB2312" w:hAnsi="宋体" w:eastAsia="仿宋_GB2312"/>
          <w:sz w:val="28"/>
          <w:szCs w:val="28"/>
        </w:rPr>
        <w:t>2016年12月1日起</w:t>
      </w:r>
      <w:r>
        <w:rPr>
          <w:rFonts w:hint="eastAsia" w:ascii="仿宋_GB2312" w:hAnsi="宋体" w:eastAsia="仿宋_GB2312"/>
          <w:sz w:val="28"/>
          <w:szCs w:val="28"/>
        </w:rPr>
        <w:t>施行）；</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⑸《中华人民共和国城镇国有土地使用权出让和转让暂行条例》（国务院令第55号）；</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⑹</w:t>
      </w:r>
      <w:r>
        <w:rPr>
          <w:rFonts w:ascii="仿宋_GB2312" w:hAnsi="宋体" w:eastAsia="仿宋_GB2312"/>
          <w:sz w:val="28"/>
          <w:szCs w:val="28"/>
        </w:rPr>
        <w:t>《司法鉴定程序通则》</w:t>
      </w:r>
      <w:r>
        <w:rPr>
          <w:rFonts w:hint="eastAsia" w:ascii="仿宋_GB2312" w:hAnsi="宋体" w:eastAsia="仿宋_GB2312"/>
          <w:sz w:val="28"/>
          <w:szCs w:val="28"/>
        </w:rPr>
        <w:t>（</w:t>
      </w:r>
      <w:r>
        <w:rPr>
          <w:rFonts w:ascii="仿宋_GB2312" w:hAnsi="宋体" w:eastAsia="仿宋_GB2312"/>
          <w:sz w:val="28"/>
          <w:szCs w:val="28"/>
        </w:rPr>
        <w:t>司法部令第132号</w:t>
      </w:r>
      <w:r>
        <w:rPr>
          <w:rFonts w:hint="eastAsia" w:ascii="仿宋_GB2312" w:hAnsi="宋体" w:eastAsia="仿宋_GB2312"/>
          <w:sz w:val="28"/>
          <w:szCs w:val="28"/>
        </w:rPr>
        <w:t>）；</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⑺《最高人民法院关于人民法院确定财产处置参考价若干问题的规定》（法释〔2018〕15号）；</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⑻国家、浙江省、杭州市等各级政府及有关部门颁布的关于房地产管理的法规、条例、文件、通知等。</w:t>
      </w:r>
    </w:p>
    <w:bookmarkEnd w:id="37"/>
    <w:bookmarkEnd w:id="38"/>
    <w:p>
      <w:pPr>
        <w:spacing w:line="480" w:lineRule="exact"/>
        <w:ind w:firstLine="560" w:firstLineChars="200"/>
        <w:rPr>
          <w:rFonts w:ascii="仿宋_GB2312" w:hAnsi="宋体" w:eastAsia="仿宋_GB2312"/>
          <w:b/>
          <w:sz w:val="28"/>
          <w:szCs w:val="28"/>
        </w:rPr>
      </w:pPr>
      <w:r>
        <w:rPr>
          <w:rFonts w:hint="eastAsia" w:ascii="仿宋_GB2312" w:hAnsi="宋体" w:eastAsia="仿宋_GB2312"/>
          <w:b/>
          <w:sz w:val="28"/>
          <w:szCs w:val="28"/>
        </w:rPr>
        <w:t>2、技术标准</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⑴</w:t>
      </w:r>
      <w:r>
        <w:rPr>
          <w:rFonts w:ascii="仿宋_GB2312" w:hAnsi="宋体" w:eastAsia="仿宋_GB2312"/>
          <w:sz w:val="28"/>
          <w:szCs w:val="28"/>
        </w:rPr>
        <w:t>《城镇土地估价规程》</w:t>
      </w:r>
      <w:r>
        <w:rPr>
          <w:rFonts w:hint="eastAsia" w:ascii="仿宋_GB2312" w:hAnsi="宋体" w:eastAsia="仿宋_GB2312"/>
          <w:sz w:val="28"/>
          <w:szCs w:val="28"/>
        </w:rPr>
        <w:t>（</w:t>
      </w:r>
      <w:r>
        <w:rPr>
          <w:rFonts w:ascii="仿宋_GB2312" w:hAnsi="宋体" w:eastAsia="仿宋_GB2312"/>
          <w:sz w:val="28"/>
          <w:szCs w:val="28"/>
        </w:rPr>
        <w:t>GB/T 18508-2014</w:t>
      </w:r>
      <w:r>
        <w:rPr>
          <w:rFonts w:hint="eastAsia" w:ascii="仿宋_GB2312" w:hAnsi="宋体" w:eastAsia="仿宋_GB2312"/>
          <w:sz w:val="28"/>
          <w:szCs w:val="28"/>
        </w:rPr>
        <w:t>）；</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⑵《自然资源价格评估通则》（TD/T 1061-2021）；</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⑶《房地产估价规范》（GB/T50291-2015）；</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⑷《房地产估价基本术语标准》（</w:t>
      </w:r>
      <w:r>
        <w:rPr>
          <w:rFonts w:ascii="仿宋_GB2312" w:hAnsi="宋体" w:eastAsia="仿宋_GB2312"/>
          <w:sz w:val="28"/>
          <w:szCs w:val="28"/>
        </w:rPr>
        <w:t>GB/T50899-2013</w:t>
      </w:r>
      <w:r>
        <w:rPr>
          <w:rFonts w:hint="eastAsia" w:ascii="仿宋_GB2312" w:hAnsi="宋体" w:eastAsia="仿宋_GB2312"/>
          <w:sz w:val="28"/>
          <w:szCs w:val="28"/>
        </w:rPr>
        <w:t>）；</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⑸《涉执房地产处置司法评估指导意见（试行）》（中房学〔2021〕37号）。</w:t>
      </w:r>
    </w:p>
    <w:p>
      <w:pPr>
        <w:spacing w:line="480" w:lineRule="exact"/>
        <w:ind w:firstLine="560" w:firstLineChars="200"/>
        <w:rPr>
          <w:rFonts w:ascii="仿宋_GB2312" w:hAnsi="宋体" w:eastAsia="仿宋_GB2312"/>
          <w:b/>
          <w:color w:val="000000"/>
          <w:sz w:val="28"/>
          <w:szCs w:val="28"/>
        </w:rPr>
      </w:pPr>
      <w:r>
        <w:rPr>
          <w:rFonts w:hint="eastAsia" w:ascii="仿宋_GB2312" w:hAnsi="宋体" w:eastAsia="仿宋_GB2312"/>
          <w:b/>
          <w:color w:val="000000"/>
          <w:sz w:val="28"/>
          <w:szCs w:val="28"/>
        </w:rPr>
        <w:t>3、估价委托人提供的资料</w:t>
      </w:r>
    </w:p>
    <w:p>
      <w:pPr>
        <w:spacing w:line="480" w:lineRule="exact"/>
        <w:ind w:firstLine="560" w:firstLineChars="200"/>
        <w:rPr>
          <w:rFonts w:ascii="仿宋_GB2312" w:hAnsi="宋体" w:eastAsia="仿宋_GB2312"/>
          <w:color w:val="000000"/>
          <w:sz w:val="28"/>
          <w:szCs w:val="28"/>
        </w:rPr>
      </w:pPr>
      <w:r>
        <w:rPr>
          <w:rFonts w:hint="eastAsia" w:ascii="仿宋_GB2312" w:hAnsi="宋体" w:eastAsia="仿宋_GB2312"/>
          <w:sz w:val="28"/>
          <w:szCs w:val="28"/>
        </w:rPr>
        <w:t>(1)</w:t>
      </w:r>
      <w:r>
        <w:rPr>
          <w:rFonts w:hint="eastAsia" w:ascii="仿宋_GB2312" w:hAnsi="宋体" w:eastAsia="仿宋_GB2312"/>
          <w:color w:val="000000"/>
          <w:sz w:val="28"/>
          <w:szCs w:val="28"/>
        </w:rPr>
        <w:t>《浦江县人民法院委托书》（（2022）浙0726执2190号）。</w:t>
      </w:r>
    </w:p>
    <w:p>
      <w:pPr>
        <w:spacing w:line="480" w:lineRule="exact"/>
        <w:ind w:firstLine="560" w:firstLineChars="200"/>
        <w:rPr>
          <w:rFonts w:ascii="仿宋_GB2312" w:hAnsi="宋体" w:eastAsia="仿宋_GB2312"/>
          <w:b/>
          <w:sz w:val="28"/>
          <w:szCs w:val="28"/>
        </w:rPr>
      </w:pPr>
      <w:r>
        <w:rPr>
          <w:rFonts w:hint="eastAsia" w:ascii="仿宋_GB2312" w:hAnsi="宋体" w:eastAsia="仿宋_GB2312"/>
          <w:b/>
          <w:color w:val="000000"/>
          <w:sz w:val="28"/>
          <w:szCs w:val="28"/>
        </w:rPr>
        <w:t>4、</w:t>
      </w:r>
      <w:r>
        <w:rPr>
          <w:rFonts w:hint="eastAsia" w:ascii="仿宋_GB2312" w:hAnsi="宋体" w:eastAsia="仿宋_GB2312"/>
          <w:b/>
          <w:sz w:val="28"/>
          <w:szCs w:val="28"/>
        </w:rPr>
        <w:t>估价人员查询的资料</w:t>
      </w:r>
    </w:p>
    <w:p>
      <w:pPr>
        <w:snapToGrid w:val="0"/>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(1) 《杭州市不动产登记信息查询记录》（编号：Q20221101-0012468）。</w:t>
      </w:r>
    </w:p>
    <w:p>
      <w:pPr>
        <w:snapToGrid w:val="0"/>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(2)《浙江省商品房买卖合同》（预售）（合同编号：ZJ21330109YS0055294）。</w:t>
      </w:r>
    </w:p>
    <w:p>
      <w:pPr>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3</w:t>
      </w:r>
      <w:r>
        <w:rPr>
          <w:rFonts w:hint="eastAsia" w:ascii="仿宋_GB2312" w:hAnsi="宋体" w:eastAsia="仿宋_GB2312"/>
          <w:sz w:val="28"/>
          <w:szCs w:val="28"/>
        </w:rPr>
        <w:t>)《宸宇府项目地下车位使用权转让合同》</w:t>
      </w:r>
    </w:p>
    <w:p>
      <w:pPr>
        <w:spacing w:line="480" w:lineRule="exact"/>
        <w:ind w:firstLine="560" w:firstLineChars="200"/>
        <w:rPr>
          <w:rFonts w:ascii="仿宋_GB2312" w:hAnsi="宋体" w:eastAsia="仿宋_GB2312"/>
          <w:b/>
          <w:color w:val="000000"/>
          <w:sz w:val="28"/>
          <w:szCs w:val="28"/>
        </w:rPr>
      </w:pPr>
      <w:r>
        <w:rPr>
          <w:rFonts w:hint="eastAsia" w:ascii="仿宋_GB2312" w:hAnsi="宋体" w:eastAsia="仿宋_GB2312"/>
          <w:b/>
          <w:color w:val="000000"/>
          <w:sz w:val="28"/>
          <w:szCs w:val="28"/>
        </w:rPr>
        <w:t>5、受托方掌握的有关资料以及估价人员实地查勘所获取的资料。</w:t>
      </w:r>
    </w:p>
    <w:p>
      <w:pPr>
        <w:pStyle w:val="3"/>
        <w:spacing w:before="156"/>
      </w:pPr>
      <w:bookmarkStart w:id="39" w:name="_Toc293686367"/>
      <w:bookmarkStart w:id="40" w:name="_Toc293686534"/>
      <w:bookmarkStart w:id="41" w:name="_Toc19091547"/>
      <w:r>
        <w:rPr>
          <w:rFonts w:hint="eastAsia"/>
        </w:rPr>
        <w:t>（八）估价原则</w:t>
      </w:r>
      <w:bookmarkEnd w:id="39"/>
      <w:bookmarkEnd w:id="40"/>
      <w:bookmarkEnd w:id="41"/>
    </w:p>
    <w:p>
      <w:pPr>
        <w:spacing w:line="480" w:lineRule="exact"/>
        <w:ind w:firstLine="560" w:firstLineChars="200"/>
        <w:rPr>
          <w:rFonts w:ascii="仿宋_GB2312" w:hAnsi="宋体" w:eastAsia="仿宋_GB2312"/>
          <w:sz w:val="28"/>
          <w:szCs w:val="28"/>
        </w:rPr>
      </w:pPr>
      <w:r>
        <w:rPr>
          <w:rFonts w:hint="eastAsia" w:ascii="仿宋_GB2312" w:eastAsia="仿宋_GB2312"/>
          <w:sz w:val="28"/>
          <w:szCs w:val="28"/>
        </w:rPr>
        <w:t>我们在本次估价时遵循了以下原则：</w:t>
      </w:r>
    </w:p>
    <w:p>
      <w:pPr>
        <w:adjustRightInd w:val="0"/>
        <w:snapToGrid w:val="0"/>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1、独立、客观、公正原则</w:t>
      </w:r>
    </w:p>
    <w:p>
      <w:pPr>
        <w:adjustRightInd w:val="0"/>
        <w:snapToGrid w:val="0"/>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要求站在中立的立场上，实事求是、公平正直地评估出对各方估价利害关系人均是公平合理的价值或价格的原则。</w:t>
      </w:r>
    </w:p>
    <w:p>
      <w:pPr>
        <w:adjustRightInd w:val="0"/>
        <w:snapToGrid w:val="0"/>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2、合法原则</w:t>
      </w:r>
    </w:p>
    <w:p>
      <w:pPr>
        <w:adjustRightInd w:val="0"/>
        <w:snapToGrid w:val="0"/>
        <w:spacing w:line="480" w:lineRule="exact"/>
        <w:ind w:firstLine="560" w:firstLineChars="200"/>
        <w:rPr>
          <w:rFonts w:ascii="仿宋_GB2312" w:hAnsi="宋体" w:eastAsia="仿宋_GB2312"/>
          <w:sz w:val="28"/>
          <w:szCs w:val="28"/>
        </w:rPr>
      </w:pPr>
      <w:r>
        <w:rPr>
          <w:rFonts w:hint="eastAsia" w:ascii="仿宋_GB2312" w:eastAsia="仿宋_GB2312"/>
          <w:sz w:val="28"/>
        </w:rPr>
        <w:t>要求估价结果是在依法判定的估价对象状况下的价值或价格的原则。</w:t>
      </w:r>
    </w:p>
    <w:p>
      <w:pPr>
        <w:adjustRightInd w:val="0"/>
        <w:snapToGrid w:val="0"/>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3、最高最佳利用原则</w:t>
      </w:r>
    </w:p>
    <w:p>
      <w:pPr>
        <w:adjustRightInd w:val="0"/>
        <w:snapToGrid w:val="0"/>
        <w:spacing w:line="480" w:lineRule="exact"/>
        <w:ind w:firstLine="560" w:firstLineChars="200"/>
        <w:rPr>
          <w:rFonts w:ascii="仿宋_GB2312" w:hAnsi="宋体" w:eastAsia="仿宋_GB2312"/>
          <w:sz w:val="28"/>
          <w:szCs w:val="28"/>
        </w:rPr>
      </w:pPr>
      <w:r>
        <w:rPr>
          <w:rFonts w:hint="eastAsia" w:ascii="仿宋_GB2312" w:eastAsia="仿宋_GB2312"/>
          <w:sz w:val="28"/>
        </w:rPr>
        <w:t>要求估价结果是在估价对象最高最佳利用状况下的价值或价格的原则</w:t>
      </w:r>
      <w:r>
        <w:rPr>
          <w:rFonts w:hint="eastAsia" w:ascii="仿宋_GB2312" w:eastAsia="仿宋_GB2312"/>
          <w:snapToGrid w:val="0"/>
          <w:kern w:val="0"/>
          <w:sz w:val="28"/>
        </w:rPr>
        <w:t>。</w:t>
      </w:r>
      <w:r>
        <w:rPr>
          <w:rFonts w:hint="eastAsia" w:ascii="仿宋_GB2312" w:eastAsia="仿宋_GB2312"/>
          <w:sz w:val="28"/>
        </w:rPr>
        <w:t>最高最佳利用：房地产在法律上允许、技术上可能、财务上可行并使价值最大的合理、可能的利用，包括最佳的用途、规模、档次等。</w:t>
      </w:r>
    </w:p>
    <w:p>
      <w:pPr>
        <w:adjustRightInd w:val="0"/>
        <w:snapToGrid w:val="0"/>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4、替代原则</w:t>
      </w:r>
    </w:p>
    <w:p>
      <w:pPr>
        <w:adjustRightInd w:val="0"/>
        <w:snapToGrid w:val="0"/>
        <w:spacing w:line="480" w:lineRule="exact"/>
        <w:ind w:firstLine="560" w:firstLineChars="200"/>
        <w:rPr>
          <w:rFonts w:ascii="仿宋_GB2312" w:hAnsi="宋体" w:eastAsia="仿宋_GB2312"/>
          <w:sz w:val="28"/>
          <w:szCs w:val="28"/>
        </w:rPr>
      </w:pPr>
      <w:r>
        <w:rPr>
          <w:rFonts w:hint="eastAsia" w:ascii="仿宋_GB2312" w:eastAsia="仿宋_GB2312"/>
          <w:sz w:val="28"/>
        </w:rPr>
        <w:t>要求估价结果与估价对象的类似房地产在同等条件下的价值或价格偏差在合理范围内的原则。</w:t>
      </w:r>
    </w:p>
    <w:p>
      <w:pPr>
        <w:adjustRightInd w:val="0"/>
        <w:snapToGrid w:val="0"/>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5、价值时点原则</w:t>
      </w:r>
    </w:p>
    <w:p>
      <w:pPr>
        <w:adjustRightInd w:val="0"/>
        <w:snapToGrid w:val="0"/>
        <w:spacing w:line="480" w:lineRule="exact"/>
        <w:ind w:firstLine="560" w:firstLineChars="200"/>
        <w:rPr>
          <w:rFonts w:ascii="仿宋_GB2312" w:hAnsi="宋体" w:eastAsia="仿宋_GB2312"/>
          <w:color w:val="000000"/>
          <w:sz w:val="28"/>
          <w:szCs w:val="28"/>
        </w:rPr>
      </w:pPr>
      <w:r>
        <w:rPr>
          <w:rFonts w:hint="eastAsia" w:ascii="仿宋_GB2312" w:eastAsia="仿宋_GB2312"/>
          <w:sz w:val="28"/>
        </w:rPr>
        <w:t>要求估价结果是在根据估价目的确定的某一特定时间的价值或价格的原则。</w:t>
      </w:r>
    </w:p>
    <w:p>
      <w:pPr>
        <w:pStyle w:val="3"/>
        <w:spacing w:before="156"/>
      </w:pPr>
      <w:bookmarkStart w:id="42" w:name="_Toc293686535"/>
      <w:bookmarkStart w:id="43" w:name="_Toc19091548"/>
      <w:bookmarkStart w:id="44" w:name="_Toc293686368"/>
      <w:r>
        <w:rPr>
          <w:rFonts w:hint="eastAsia"/>
        </w:rPr>
        <w:t>（九）估价方法</w:t>
      </w:r>
      <w:bookmarkEnd w:id="42"/>
      <w:bookmarkEnd w:id="43"/>
      <w:bookmarkEnd w:id="44"/>
    </w:p>
    <w:p>
      <w:pPr>
        <w:adjustRightInd w:val="0"/>
        <w:snapToGrid w:val="0"/>
        <w:spacing w:line="480" w:lineRule="exact"/>
        <w:ind w:firstLine="560" w:firstLineChars="200"/>
        <w:rPr>
          <w:rFonts w:ascii="仿宋_GB2312" w:eastAsia="仿宋_GB2312"/>
          <w:sz w:val="28"/>
          <w:szCs w:val="28"/>
        </w:rPr>
      </w:pPr>
      <w:r>
        <w:rPr>
          <w:rFonts w:hint="eastAsia" w:ascii="仿宋_GB2312" w:hAnsi="宋体" w:eastAsia="仿宋_GB2312"/>
          <w:sz w:val="28"/>
          <w:szCs w:val="28"/>
        </w:rPr>
        <w:t>估价人员通过实地查勘，在综合分析所掌握资料的基础上，根据估价对象的特点和估价目的，遵循估价规范和相关法规，结合估价经验，经过反复研究推敲，确定估价的技术路线。</w:t>
      </w:r>
      <w:r>
        <w:rPr>
          <w:rFonts w:hint="eastAsia" w:ascii="仿宋_GB2312" w:eastAsia="仿宋_GB2312"/>
          <w:sz w:val="28"/>
          <w:szCs w:val="28"/>
        </w:rPr>
        <w:t>由于估价对象用途为住宅，杭州市萧山区住宅房地产交易市场活跃，该区域住宅房地产的交易案例较多，可采用比较法，同时该区域类似房地产租金等数据可调查取得，可采用收益法；因此本次估价采用比较法和收益法，来求取估价对象的房地产价值。</w:t>
      </w:r>
    </w:p>
    <w:p>
      <w:pPr>
        <w:spacing w:line="480" w:lineRule="exact"/>
        <w:ind w:firstLine="555"/>
        <w:rPr>
          <w:rFonts w:ascii="楷体_GB2312" w:eastAsia="楷体_GB2312"/>
          <w:sz w:val="28"/>
        </w:rPr>
      </w:pPr>
      <w:r>
        <w:rPr>
          <w:rFonts w:hint="eastAsia" w:ascii="仿宋_GB2312" w:hAnsi="宋体" w:eastAsia="仿宋_GB2312"/>
          <w:sz w:val="28"/>
          <w:szCs w:val="28"/>
        </w:rPr>
        <w:t>比较法：选取一定数量的可比实例，将它们与估价对象进行比较，根据其间的差异对可比实例成交价格进行处理后得到估价对象价值或价格的方法。</w:t>
      </w:r>
    </w:p>
    <w:p>
      <w:pPr>
        <w:spacing w:line="480" w:lineRule="exact"/>
        <w:ind w:firstLine="555"/>
        <w:rPr>
          <w:rFonts w:eastAsia="楷体_GB2312"/>
          <w:b/>
          <w:sz w:val="28"/>
        </w:rPr>
      </w:pPr>
      <w:r>
        <w:rPr>
          <w:rFonts w:hint="eastAsia" w:ascii="仿宋_GB2312" w:hAnsi="宋体" w:eastAsia="仿宋_GB2312"/>
          <w:sz w:val="28"/>
          <w:szCs w:val="28"/>
        </w:rPr>
        <w:t>计算公式</w:t>
      </w:r>
      <w:r>
        <w:rPr>
          <w:rFonts w:hint="eastAsia" w:ascii="仿宋_GB2312" w:eastAsia="仿宋_GB2312"/>
          <w:sz w:val="28"/>
        </w:rPr>
        <w:t>：</w:t>
      </w:r>
      <w:r>
        <w:rPr>
          <w:rFonts w:hint="eastAsia" w:ascii="仿宋_GB2312" w:eastAsia="仿宋_GB2312"/>
          <w:b/>
          <w:sz w:val="28"/>
        </w:rPr>
        <w:t>P=</w:t>
      </w:r>
      <w:r>
        <w:rPr>
          <w:rFonts w:hint="eastAsia" w:ascii="仿宋_GB2312" w:eastAsia="仿宋_GB2312"/>
          <w:b/>
          <w:position w:val="-28"/>
          <w:sz w:val="28"/>
        </w:rPr>
        <w:object>
          <v:shape id="_x0000_i1026" o:spt="75" type="#_x0000_t75" style="height:33.6pt;width:82.2pt;" o:ole="t" fillcolor="#FFFFFF" filled="f" o:preferrelative="t" stroked="f" coordsize="21600,21600">
            <v:path/>
            <v:fill on="f" focussize="0,0"/>
            <v:stroke on="f" joinstyle="miter"/>
            <v:imagedata r:id="rId9" o:title=""/>
            <o:lock v:ext="edit" aspectratio="t"/>
            <w10:wrap type="none"/>
            <w10:anchorlock/>
          </v:shape>
          <o:OLEObject Type="Embed" ProgID="Equation.3" ShapeID="_x0000_i1026" DrawAspect="Content" ObjectID="_1468075725" r:id="rId8">
            <o:LockedField>false</o:LockedField>
          </o:OLEObject>
        </w:object>
      </w:r>
      <w:r>
        <w:rPr>
          <w:rFonts w:hint="eastAsia" w:ascii="仿宋_GB2312" w:eastAsia="仿宋_GB2312"/>
          <w:b/>
          <w:sz w:val="28"/>
        </w:rPr>
        <w:t xml:space="preserve"> </w:t>
      </w:r>
      <w:r>
        <w:rPr>
          <w:rFonts w:eastAsia="楷体_GB2312"/>
          <w:b/>
          <w:sz w:val="28"/>
        </w:rPr>
        <w:t xml:space="preserve">        </w:t>
      </w:r>
    </w:p>
    <w:p>
      <w:pPr>
        <w:adjustRightInd w:val="0"/>
        <w:snapToGrid w:val="0"/>
        <w:spacing w:line="480" w:lineRule="exact"/>
        <w:ind w:firstLine="560" w:firstLineChars="200"/>
        <w:rPr>
          <w:rFonts w:ascii="仿宋_GB2312" w:eastAsia="仿宋_GB2312"/>
          <w:sz w:val="28"/>
        </w:rPr>
      </w:pPr>
      <w:r>
        <w:rPr>
          <w:rFonts w:hint="eastAsia" w:ascii="仿宋_GB2312" w:eastAsia="仿宋_GB2312"/>
          <w:sz w:val="28"/>
        </w:rPr>
        <w:t>其中：</w:t>
      </w:r>
    </w:p>
    <w:p>
      <w:pPr>
        <w:spacing w:line="480" w:lineRule="exact"/>
        <w:ind w:firstLine="480" w:firstLineChars="200"/>
        <w:rPr>
          <w:rFonts w:ascii="仿宋_GB2312" w:eastAsia="仿宋_GB2312"/>
          <w:sz w:val="24"/>
        </w:rPr>
      </w:pPr>
      <w:r>
        <w:rPr>
          <w:rFonts w:hint="eastAsia" w:ascii="仿宋_GB2312" w:eastAsia="仿宋_GB2312"/>
          <w:sz w:val="24"/>
        </w:rPr>
        <w:t>P—估价对象房地产价格</w:t>
      </w:r>
    </w:p>
    <w:p>
      <w:pPr>
        <w:spacing w:line="480" w:lineRule="exact"/>
        <w:ind w:firstLine="480" w:firstLineChars="200"/>
        <w:rPr>
          <w:rFonts w:ascii="仿宋_GB2312" w:eastAsia="仿宋_GB2312"/>
          <w:sz w:val="24"/>
        </w:rPr>
      </w:pPr>
      <w:r>
        <w:rPr>
          <w:rFonts w:hint="eastAsia" w:ascii="仿宋_GB2312" w:eastAsia="仿宋_GB2312"/>
          <w:sz w:val="24"/>
        </w:rPr>
        <w:t>n--选取的可比实例个数</w:t>
      </w:r>
    </w:p>
    <w:p>
      <w:pPr>
        <w:spacing w:line="480" w:lineRule="exact"/>
        <w:ind w:firstLine="480" w:firstLineChars="200"/>
        <w:rPr>
          <w:rFonts w:ascii="仿宋_GB2312" w:eastAsia="仿宋_GB2312"/>
          <w:sz w:val="24"/>
        </w:rPr>
      </w:pPr>
      <w:r>
        <w:rPr>
          <w:rFonts w:hint="eastAsia" w:ascii="仿宋_GB2312" w:eastAsia="仿宋_GB2312"/>
          <w:sz w:val="24"/>
        </w:rPr>
        <w:t>Xi--第i个可比实例的价格</w:t>
      </w:r>
    </w:p>
    <w:p>
      <w:pPr>
        <w:spacing w:line="480" w:lineRule="exact"/>
        <w:ind w:firstLine="480" w:firstLineChars="200"/>
        <w:rPr>
          <w:rFonts w:ascii="仿宋_GB2312" w:eastAsia="仿宋_GB2312"/>
          <w:sz w:val="24"/>
          <w:szCs w:val="28"/>
        </w:rPr>
      </w:pPr>
      <w:r>
        <w:rPr>
          <w:rFonts w:hint="eastAsia" w:ascii="仿宋_GB2312" w:eastAsia="仿宋_GB2312"/>
          <w:sz w:val="24"/>
        </w:rPr>
        <w:t>ai、bi、ci--第i个可供比较实例的交易情况、市场状况、房地产状况的修正系数。</w:t>
      </w:r>
    </w:p>
    <w:p>
      <w:pPr>
        <w:spacing w:line="480" w:lineRule="exact"/>
        <w:ind w:firstLine="588" w:firstLineChars="210"/>
        <w:rPr>
          <w:rFonts w:ascii="仿宋_GB2312" w:hAnsi="宋体" w:eastAsia="仿宋_GB2312"/>
          <w:sz w:val="28"/>
          <w:szCs w:val="28"/>
        </w:rPr>
      </w:pPr>
      <w:r>
        <w:rPr>
          <w:rFonts w:hint="eastAsia" w:ascii="仿宋_GB2312" w:hAnsi="宋体" w:eastAsia="仿宋_GB2312"/>
          <w:sz w:val="28"/>
          <w:szCs w:val="28"/>
        </w:rPr>
        <w:t>收益法：预测估价对象的未来收益，利用报酬率将未来收益转换为价值得到估价对象价值或价格的方法。</w:t>
      </w:r>
    </w:p>
    <w:p>
      <w:pPr>
        <w:adjustRightInd w:val="0"/>
        <w:snapToGrid w:val="0"/>
        <w:spacing w:line="480" w:lineRule="exact"/>
        <w:ind w:firstLine="560" w:firstLineChars="200"/>
        <w:rPr>
          <w:rFonts w:ascii="仿宋_GB2312" w:hAnsi="仿宋" w:eastAsia="仿宋_GB2312"/>
          <w:kern w:val="0"/>
          <w:sz w:val="28"/>
          <w:szCs w:val="20"/>
        </w:rPr>
      </w:pPr>
      <w:r>
        <w:rPr>
          <w:rFonts w:hint="eastAsia" w:ascii="仿宋_GB2312" w:hAnsi="仿宋" w:eastAsia="仿宋_GB2312"/>
          <w:kern w:val="0"/>
          <w:sz w:val="28"/>
          <w:szCs w:val="20"/>
        </w:rPr>
        <w:t>V=∑</w:t>
      </w:r>
      <w:r>
        <w:rPr>
          <w:rFonts w:hint="eastAsia" w:ascii="仿宋_GB2312" w:hAnsi="仿宋" w:eastAsia="仿宋_GB2312"/>
          <w:kern w:val="0"/>
          <w:sz w:val="28"/>
          <w:szCs w:val="20"/>
          <w:vertAlign w:val="subscript"/>
        </w:rPr>
        <w:t>i=1</w:t>
      </w:r>
      <w:r>
        <w:rPr>
          <w:rFonts w:hint="eastAsia" w:ascii="仿宋_GB2312" w:hAnsi="仿宋" w:eastAsia="仿宋_GB2312"/>
          <w:kern w:val="0"/>
          <w:sz w:val="28"/>
          <w:szCs w:val="20"/>
          <w:vertAlign w:val="superscript"/>
        </w:rPr>
        <w:t>n</w:t>
      </w:r>
      <w:r>
        <w:rPr>
          <w:rFonts w:hint="eastAsia" w:ascii="仿宋_GB2312" w:hAnsi="仿宋" w:eastAsia="仿宋_GB2312"/>
          <w:kern w:val="0"/>
          <w:sz w:val="28"/>
          <w:szCs w:val="20"/>
        </w:rPr>
        <w:t xml:space="preserve"> ×[A</w:t>
      </w:r>
      <w:r>
        <w:rPr>
          <w:rFonts w:hint="eastAsia" w:ascii="仿宋_GB2312" w:hAnsi="仿宋" w:eastAsia="仿宋_GB2312"/>
          <w:kern w:val="0"/>
          <w:sz w:val="28"/>
          <w:szCs w:val="20"/>
          <w:vertAlign w:val="subscript"/>
        </w:rPr>
        <w:t>i</w:t>
      </w:r>
      <w:r>
        <w:rPr>
          <w:rFonts w:hint="eastAsia" w:ascii="仿宋_GB2312" w:hAnsi="仿宋" w:eastAsia="仿宋_GB2312"/>
          <w:kern w:val="0"/>
          <w:sz w:val="28"/>
          <w:szCs w:val="20"/>
        </w:rPr>
        <w:t>/（1+R）</w:t>
      </w:r>
      <w:r>
        <w:rPr>
          <w:rFonts w:hint="eastAsia" w:ascii="仿宋_GB2312" w:hAnsi="仿宋" w:eastAsia="仿宋_GB2312"/>
          <w:kern w:val="0"/>
          <w:sz w:val="28"/>
          <w:szCs w:val="20"/>
          <w:vertAlign w:val="superscript"/>
        </w:rPr>
        <w:t>n</w:t>
      </w:r>
      <w:r>
        <w:rPr>
          <w:rFonts w:hint="eastAsia" w:ascii="仿宋_GB2312" w:hAnsi="仿宋" w:eastAsia="仿宋_GB2312"/>
          <w:kern w:val="0"/>
          <w:sz w:val="28"/>
          <w:szCs w:val="20"/>
        </w:rPr>
        <w:t>]</w:t>
      </w:r>
    </w:p>
    <w:p>
      <w:pPr>
        <w:adjustRightInd w:val="0"/>
        <w:snapToGrid w:val="0"/>
        <w:spacing w:line="480" w:lineRule="exact"/>
        <w:ind w:firstLine="560" w:firstLineChars="200"/>
        <w:rPr>
          <w:rFonts w:ascii="仿宋_GB2312" w:eastAsia="仿宋_GB2312"/>
          <w:sz w:val="28"/>
        </w:rPr>
      </w:pPr>
      <w:r>
        <w:rPr>
          <w:rFonts w:hint="eastAsia" w:ascii="仿宋_GB2312" w:eastAsia="仿宋_GB2312"/>
          <w:sz w:val="28"/>
        </w:rPr>
        <w:t xml:space="preserve">其中： </w:t>
      </w:r>
    </w:p>
    <w:p>
      <w:pPr>
        <w:adjustRightInd w:val="0"/>
        <w:snapToGrid w:val="0"/>
        <w:spacing w:line="480" w:lineRule="exact"/>
        <w:ind w:firstLine="480" w:firstLineChars="200"/>
        <w:rPr>
          <w:rFonts w:ascii="仿宋_GB2312" w:eastAsia="仿宋_GB2312"/>
          <w:sz w:val="24"/>
        </w:rPr>
      </w:pPr>
      <w:r>
        <w:rPr>
          <w:rFonts w:hint="eastAsia" w:ascii="仿宋_GB2312" w:eastAsia="仿宋_GB2312"/>
          <w:sz w:val="24"/>
        </w:rPr>
        <w:t xml:space="preserve">V--表示估价对象在价值时点的收益价格，即现值 </w:t>
      </w:r>
    </w:p>
    <w:p>
      <w:pPr>
        <w:adjustRightInd w:val="0"/>
        <w:snapToGrid w:val="0"/>
        <w:spacing w:line="480" w:lineRule="exact"/>
        <w:ind w:firstLine="480" w:firstLineChars="200"/>
        <w:rPr>
          <w:rFonts w:ascii="仿宋_GB2312" w:eastAsia="仿宋_GB2312"/>
          <w:sz w:val="24"/>
        </w:rPr>
      </w:pPr>
      <w:r>
        <w:rPr>
          <w:rFonts w:hint="eastAsia" w:ascii="仿宋_GB2312" w:eastAsia="仿宋_GB2312"/>
          <w:sz w:val="24"/>
        </w:rPr>
        <w:t xml:space="preserve">Ai--表示未来第i年的净收益 </w:t>
      </w:r>
    </w:p>
    <w:p>
      <w:pPr>
        <w:adjustRightInd w:val="0"/>
        <w:snapToGrid w:val="0"/>
        <w:spacing w:line="480" w:lineRule="exact"/>
        <w:ind w:firstLine="480" w:firstLineChars="200"/>
        <w:rPr>
          <w:rFonts w:ascii="仿宋_GB2312" w:eastAsia="仿宋_GB2312"/>
          <w:sz w:val="24"/>
        </w:rPr>
      </w:pPr>
      <w:r>
        <w:rPr>
          <w:rFonts w:hint="eastAsia" w:ascii="仿宋_GB2312" w:eastAsia="仿宋_GB2312"/>
          <w:sz w:val="24"/>
        </w:rPr>
        <w:t xml:space="preserve">R--表示报酬率 </w:t>
      </w:r>
    </w:p>
    <w:p>
      <w:pPr>
        <w:adjustRightInd w:val="0"/>
        <w:snapToGrid w:val="0"/>
        <w:spacing w:line="480" w:lineRule="exact"/>
        <w:ind w:firstLine="480" w:firstLineChars="200"/>
        <w:rPr>
          <w:rFonts w:ascii="仿宋_GB2312" w:eastAsia="仿宋_GB2312"/>
          <w:sz w:val="22"/>
        </w:rPr>
      </w:pPr>
      <w:r>
        <w:rPr>
          <w:rFonts w:hint="eastAsia" w:ascii="仿宋_GB2312" w:eastAsia="仿宋_GB2312"/>
          <w:sz w:val="24"/>
        </w:rPr>
        <w:t>n--表示房地产的收益年限</w:t>
      </w:r>
    </w:p>
    <w:p>
      <w:pPr>
        <w:pStyle w:val="3"/>
        <w:spacing w:before="156"/>
      </w:pPr>
      <w:bookmarkStart w:id="45" w:name="_Toc293686369"/>
      <w:bookmarkStart w:id="46" w:name="_Toc293686536"/>
      <w:bookmarkStart w:id="47" w:name="_Toc19091549"/>
      <w:r>
        <w:rPr>
          <w:rFonts w:hint="eastAsia"/>
        </w:rPr>
        <w:t>（十）估价结果</w:t>
      </w:r>
      <w:bookmarkEnd w:id="45"/>
      <w:bookmarkEnd w:id="46"/>
      <w:bookmarkEnd w:id="47"/>
    </w:p>
    <w:p>
      <w:pPr>
        <w:tabs>
          <w:tab w:val="left" w:pos="-4320"/>
        </w:tabs>
        <w:spacing w:line="480" w:lineRule="exact"/>
        <w:ind w:firstLine="560" w:firstLineChars="200"/>
        <w:rPr>
          <w:rFonts w:ascii="仿宋_GB2312" w:hAnsi="宋体" w:eastAsia="仿宋_GB2312"/>
          <w:bCs/>
          <w:color w:val="000000"/>
          <w:sz w:val="28"/>
          <w:szCs w:val="28"/>
        </w:rPr>
      </w:pPr>
      <w:bookmarkStart w:id="48" w:name="_Toc293686537"/>
      <w:bookmarkStart w:id="49" w:name="_Toc293686370"/>
      <w:bookmarkStart w:id="50" w:name="_Toc19091550"/>
      <w:r>
        <w:rPr>
          <w:rFonts w:hint="eastAsia" w:ascii="仿宋_GB2312" w:hAnsi="宋体" w:eastAsia="仿宋_GB2312"/>
          <w:color w:val="000000"/>
          <w:sz w:val="28"/>
          <w:szCs w:val="28"/>
        </w:rPr>
        <w:t>估价人员根据估价目的，遵循估价原则，按照评估工作程序，运用比较法和收益法，在认真分析现有资料的基础上，经过周密准确的测算，并详细考虑了影响房地产价格的各项因素，</w:t>
      </w:r>
      <w:r>
        <w:rPr>
          <w:rFonts w:hint="eastAsia" w:ascii="仿宋_GB2312" w:hAnsi="宋体" w:eastAsia="仿宋_GB2312"/>
          <w:sz w:val="28"/>
          <w:szCs w:val="28"/>
        </w:rPr>
        <w:t>确定估价对象在价值时点2022年11月01日</w:t>
      </w:r>
      <w:r>
        <w:rPr>
          <w:rFonts w:hint="eastAsia" w:ascii="仿宋_GB2312" w:hAnsi="宋体" w:eastAsia="仿宋_GB2312"/>
          <w:bCs/>
          <w:sz w:val="28"/>
          <w:szCs w:val="28"/>
        </w:rPr>
        <w:t>的市场价值为：（币种：人民币）</w:t>
      </w:r>
    </w:p>
    <w:p>
      <w:pPr>
        <w:pStyle w:val="25"/>
        <w:tabs>
          <w:tab w:val="left" w:pos="5370"/>
        </w:tabs>
        <w:adjustRightInd w:val="0"/>
        <w:snapToGrid w:val="0"/>
        <w:spacing w:before="0" w:after="0" w:line="560" w:lineRule="exact"/>
        <w:ind w:firstLine="1400" w:firstLineChars="500"/>
        <w:jc w:val="both"/>
        <w:rPr>
          <w:rFonts w:ascii="仿宋_GB2312" w:eastAsia="仿宋_GB2312"/>
          <w:b/>
          <w:color w:val="000000"/>
          <w:sz w:val="28"/>
          <w:szCs w:val="28"/>
        </w:rPr>
      </w:pPr>
      <w:r>
        <w:rPr>
          <w:rFonts w:hint="eastAsia" w:ascii="仿宋_GB2312" w:eastAsia="仿宋_GB2312"/>
          <w:b/>
          <w:color w:val="000000"/>
          <w:sz w:val="28"/>
          <w:szCs w:val="28"/>
        </w:rPr>
        <w:t>房地产总价：410.66万元</w:t>
      </w:r>
      <w:r>
        <w:rPr>
          <w:rFonts w:ascii="仿宋_GB2312" w:eastAsia="仿宋_GB2312"/>
          <w:b/>
          <w:color w:val="000000"/>
          <w:sz w:val="28"/>
          <w:szCs w:val="28"/>
        </w:rPr>
        <w:tab/>
      </w:r>
    </w:p>
    <w:p>
      <w:pPr>
        <w:pStyle w:val="25"/>
        <w:adjustRightInd w:val="0"/>
        <w:snapToGrid w:val="0"/>
        <w:spacing w:before="0" w:after="0" w:line="500" w:lineRule="exact"/>
        <w:ind w:firstLine="1400" w:firstLineChars="500"/>
        <w:jc w:val="both"/>
        <w:rPr>
          <w:rFonts w:ascii="仿宋_GB2312" w:eastAsia="仿宋_GB2312"/>
          <w:b/>
          <w:color w:val="000000"/>
          <w:sz w:val="28"/>
          <w:szCs w:val="28"/>
        </w:rPr>
      </w:pPr>
      <w:r>
        <w:rPr>
          <w:rFonts w:hint="eastAsia" w:ascii="仿宋_GB2312" w:eastAsia="仿宋_GB2312"/>
          <w:b/>
          <w:color w:val="000000"/>
          <w:sz w:val="28"/>
          <w:szCs w:val="28"/>
        </w:rPr>
        <w:t>大写金额：</w:t>
      </w:r>
      <w:r>
        <w:rPr>
          <w:rFonts w:ascii="仿宋_GB2312" w:eastAsia="仿宋_GB2312"/>
          <w:b/>
          <w:color w:val="000000"/>
          <w:sz w:val="28"/>
          <w:szCs w:val="28"/>
        </w:rPr>
        <w:fldChar w:fldCharType="begin"/>
      </w:r>
      <w:r>
        <w:rPr>
          <w:rFonts w:ascii="仿宋_GB2312" w:eastAsia="仿宋_GB2312"/>
          <w:b/>
          <w:color w:val="000000"/>
          <w:sz w:val="28"/>
          <w:szCs w:val="28"/>
        </w:rPr>
        <w:instrText xml:space="preserve"> </w:instrText>
      </w:r>
      <w:r>
        <w:rPr>
          <w:rFonts w:hint="eastAsia" w:ascii="仿宋_GB2312" w:eastAsia="仿宋_GB2312"/>
          <w:b/>
          <w:color w:val="000000"/>
          <w:sz w:val="28"/>
          <w:szCs w:val="28"/>
        </w:rPr>
        <w:instrText xml:space="preserve">= 1539500 \* CHINESENUM2</w:instrText>
      </w:r>
      <w:r>
        <w:rPr>
          <w:rFonts w:ascii="仿宋_GB2312" w:eastAsia="仿宋_GB2312"/>
          <w:b/>
          <w:color w:val="000000"/>
          <w:sz w:val="28"/>
          <w:szCs w:val="28"/>
        </w:rPr>
        <w:instrText xml:space="preserve"> </w:instrText>
      </w:r>
      <w:r>
        <w:rPr>
          <w:rFonts w:ascii="仿宋_GB2312" w:eastAsia="仿宋_GB2312"/>
          <w:b/>
          <w:color w:val="000000"/>
          <w:sz w:val="28"/>
          <w:szCs w:val="28"/>
        </w:rPr>
        <w:fldChar w:fldCharType="separate"/>
      </w:r>
      <w:r>
        <w:rPr>
          <w:rFonts w:hint="eastAsia" w:ascii="仿宋_GB2312" w:eastAsia="仿宋_GB2312"/>
          <w:b/>
          <w:color w:val="000000"/>
          <w:sz w:val="28"/>
          <w:szCs w:val="28"/>
        </w:rPr>
        <w:t>肆佰壹拾万陆仟陆佰</w:t>
      </w:r>
      <w:r>
        <w:rPr>
          <w:rFonts w:ascii="仿宋_GB2312" w:eastAsia="仿宋_GB2312"/>
          <w:b/>
          <w:color w:val="000000"/>
          <w:sz w:val="28"/>
          <w:szCs w:val="28"/>
        </w:rPr>
        <w:fldChar w:fldCharType="end"/>
      </w:r>
      <w:r>
        <w:rPr>
          <w:rFonts w:hint="eastAsia" w:ascii="仿宋_GB2312" w:eastAsia="仿宋_GB2312"/>
          <w:b/>
          <w:color w:val="000000"/>
          <w:sz w:val="28"/>
          <w:szCs w:val="28"/>
        </w:rPr>
        <w:t>圆整</w:t>
      </w:r>
    </w:p>
    <w:p>
      <w:pPr>
        <w:pStyle w:val="25"/>
        <w:adjustRightInd w:val="0"/>
        <w:snapToGrid w:val="0"/>
        <w:spacing w:before="0" w:after="0" w:line="500" w:lineRule="exact"/>
        <w:ind w:firstLine="1400" w:firstLineChars="500"/>
        <w:jc w:val="both"/>
        <w:rPr>
          <w:rFonts w:ascii="仿宋_GB2312" w:eastAsia="仿宋_GB2312"/>
          <w:b/>
          <w:bCs/>
          <w:color w:val="FF0000"/>
          <w:sz w:val="28"/>
          <w:szCs w:val="28"/>
        </w:rPr>
      </w:pPr>
      <w:r>
        <w:rPr>
          <w:rFonts w:hint="eastAsia" w:ascii="仿宋_GB2312" w:eastAsia="仿宋_GB2312"/>
          <w:bCs/>
          <w:sz w:val="28"/>
          <w:szCs w:val="28"/>
        </w:rPr>
        <w:t>（详见估价结果一览表1-</w:t>
      </w:r>
      <w:r>
        <w:rPr>
          <w:rFonts w:ascii="仿宋_GB2312" w:eastAsia="仿宋_GB2312"/>
          <w:bCs/>
          <w:sz w:val="28"/>
          <w:szCs w:val="28"/>
        </w:rPr>
        <w:t>1</w:t>
      </w:r>
      <w:r>
        <w:rPr>
          <w:rFonts w:hint="eastAsia" w:ascii="仿宋_GB2312" w:eastAsia="仿宋_GB2312"/>
          <w:bCs/>
          <w:sz w:val="28"/>
          <w:szCs w:val="28"/>
        </w:rPr>
        <w:t>）</w:t>
      </w:r>
    </w:p>
    <w:p>
      <w:pPr>
        <w:pStyle w:val="3"/>
        <w:spacing w:before="156"/>
      </w:pPr>
      <w:r>
        <w:rPr>
          <w:rFonts w:hint="eastAsia"/>
        </w:rPr>
        <w:t>（十一）</w:t>
      </w:r>
      <w:bookmarkEnd w:id="48"/>
      <w:bookmarkEnd w:id="49"/>
      <w:r>
        <w:rPr>
          <w:rFonts w:hint="eastAsia"/>
        </w:rPr>
        <w:t>注册房地产估价师</w:t>
      </w:r>
      <w:bookmarkEnd w:id="50"/>
    </w:p>
    <w:tbl>
      <w:tblPr>
        <w:tblStyle w:val="27"/>
        <w:tblW w:w="5000" w:type="pct"/>
        <w:jc w:val="center"/>
        <w:tblLayout w:type="autofit"/>
        <w:tblCellMar>
          <w:top w:w="0" w:type="dxa"/>
          <w:left w:w="108" w:type="dxa"/>
          <w:bottom w:w="0" w:type="dxa"/>
          <w:right w:w="108" w:type="dxa"/>
        </w:tblCellMar>
      </w:tblPr>
      <w:tblGrid>
        <w:gridCol w:w="1954"/>
        <w:gridCol w:w="1669"/>
        <w:gridCol w:w="2758"/>
        <w:gridCol w:w="2680"/>
      </w:tblGrid>
      <w:tr>
        <w:tblPrEx>
          <w:tblCellMar>
            <w:top w:w="0" w:type="dxa"/>
            <w:left w:w="108" w:type="dxa"/>
            <w:bottom w:w="0" w:type="dxa"/>
            <w:right w:w="108" w:type="dxa"/>
          </w:tblCellMar>
        </w:tblPrEx>
        <w:trPr>
          <w:trHeight w:val="705" w:hRule="atLeast"/>
          <w:jc w:val="center"/>
        </w:trPr>
        <w:tc>
          <w:tcPr>
            <w:tcW w:w="1078"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宋体" w:eastAsia="仿宋_GB2312"/>
                <w:sz w:val="28"/>
                <w:szCs w:val="28"/>
              </w:rPr>
              <w:t>姓  名</w:t>
            </w:r>
          </w:p>
        </w:tc>
        <w:tc>
          <w:tcPr>
            <w:tcW w:w="921"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宋体" w:eastAsia="仿宋_GB2312"/>
                <w:sz w:val="28"/>
                <w:szCs w:val="28"/>
              </w:rPr>
              <w:t>注册号</w:t>
            </w:r>
          </w:p>
        </w:tc>
        <w:tc>
          <w:tcPr>
            <w:tcW w:w="1522"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宋体" w:eastAsia="仿宋_GB2312"/>
                <w:sz w:val="28"/>
                <w:szCs w:val="28"/>
              </w:rPr>
              <w:t>签  名</w:t>
            </w:r>
          </w:p>
        </w:tc>
        <w:tc>
          <w:tcPr>
            <w:tcW w:w="1479"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宋体" w:eastAsia="仿宋_GB2312"/>
                <w:sz w:val="28"/>
                <w:szCs w:val="28"/>
              </w:rPr>
              <w:t>签名日期</w:t>
            </w:r>
          </w:p>
        </w:tc>
      </w:tr>
      <w:tr>
        <w:tblPrEx>
          <w:tblCellMar>
            <w:top w:w="0" w:type="dxa"/>
            <w:left w:w="108" w:type="dxa"/>
            <w:bottom w:w="0" w:type="dxa"/>
            <w:right w:w="108" w:type="dxa"/>
          </w:tblCellMar>
        </w:tblPrEx>
        <w:trPr>
          <w:trHeight w:val="1179" w:hRule="atLeast"/>
          <w:jc w:val="center"/>
        </w:trPr>
        <w:tc>
          <w:tcPr>
            <w:tcW w:w="1078"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宋体" w:eastAsia="仿宋_GB2312"/>
                <w:sz w:val="28"/>
                <w:szCs w:val="28"/>
              </w:rPr>
              <w:t>苏  利</w:t>
            </w:r>
          </w:p>
        </w:tc>
        <w:tc>
          <w:tcPr>
            <w:tcW w:w="921"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Arial" w:eastAsia="仿宋_GB2312" w:cs="Arial"/>
                <w:color w:val="000000"/>
                <w:sz w:val="28"/>
                <w:szCs w:val="28"/>
              </w:rPr>
              <w:t>3320210066</w:t>
            </w:r>
          </w:p>
        </w:tc>
        <w:tc>
          <w:tcPr>
            <w:tcW w:w="1522" w:type="pct"/>
            <w:vAlign w:val="center"/>
          </w:tcPr>
          <w:p>
            <w:pPr>
              <w:tabs>
                <w:tab w:val="left" w:pos="-4320"/>
              </w:tabs>
              <w:spacing w:line="460" w:lineRule="exact"/>
              <w:jc w:val="center"/>
              <w:rPr>
                <w:rFonts w:ascii="仿宋_GB2312" w:hAnsi="宋体" w:eastAsia="仿宋_GB2312"/>
                <w:sz w:val="28"/>
                <w:szCs w:val="28"/>
              </w:rPr>
            </w:pPr>
          </w:p>
        </w:tc>
        <w:tc>
          <w:tcPr>
            <w:tcW w:w="1479"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宋体" w:eastAsia="仿宋_GB2312"/>
                <w:sz w:val="28"/>
                <w:szCs w:val="28"/>
              </w:rPr>
              <w:t>2022年11月10日</w:t>
            </w:r>
          </w:p>
        </w:tc>
      </w:tr>
      <w:tr>
        <w:tblPrEx>
          <w:tblCellMar>
            <w:top w:w="0" w:type="dxa"/>
            <w:left w:w="108" w:type="dxa"/>
            <w:bottom w:w="0" w:type="dxa"/>
            <w:right w:w="108" w:type="dxa"/>
          </w:tblCellMar>
        </w:tblPrEx>
        <w:trPr>
          <w:trHeight w:val="1076" w:hRule="atLeast"/>
          <w:jc w:val="center"/>
        </w:trPr>
        <w:tc>
          <w:tcPr>
            <w:tcW w:w="1078" w:type="pct"/>
            <w:vAlign w:val="center"/>
          </w:tcPr>
          <w:p>
            <w:pPr>
              <w:tabs>
                <w:tab w:val="left" w:pos="-4320"/>
              </w:tabs>
              <w:spacing w:line="460" w:lineRule="exact"/>
              <w:jc w:val="center"/>
              <w:rPr>
                <w:rFonts w:ascii="仿宋_GB2312" w:hAnsi="Arial" w:eastAsia="仿宋_GB2312" w:cs="Arial"/>
                <w:color w:val="000000"/>
                <w:sz w:val="28"/>
                <w:szCs w:val="28"/>
              </w:rPr>
            </w:pPr>
            <w:r>
              <w:rPr>
                <w:rFonts w:hint="eastAsia" w:ascii="仿宋_GB2312" w:hAnsi="Arial" w:eastAsia="仿宋_GB2312" w:cs="Arial"/>
                <w:color w:val="000000"/>
                <w:sz w:val="28"/>
                <w:szCs w:val="28"/>
              </w:rPr>
              <w:t>宋  成</w:t>
            </w:r>
          </w:p>
        </w:tc>
        <w:tc>
          <w:tcPr>
            <w:tcW w:w="921" w:type="pct"/>
            <w:vAlign w:val="center"/>
          </w:tcPr>
          <w:p>
            <w:pPr>
              <w:tabs>
                <w:tab w:val="left" w:pos="-4320"/>
              </w:tabs>
              <w:spacing w:line="460" w:lineRule="exact"/>
              <w:jc w:val="center"/>
              <w:rPr>
                <w:rFonts w:ascii="仿宋_GB2312" w:hAnsi="Arial" w:eastAsia="仿宋_GB2312" w:cs="Arial"/>
                <w:color w:val="000000"/>
                <w:sz w:val="28"/>
                <w:szCs w:val="28"/>
              </w:rPr>
            </w:pPr>
            <w:r>
              <w:rPr>
                <w:rFonts w:ascii="仿宋_GB2312" w:hAnsi="Arial" w:eastAsia="仿宋_GB2312" w:cs="Arial"/>
                <w:color w:val="000000"/>
                <w:sz w:val="28"/>
                <w:szCs w:val="28"/>
              </w:rPr>
              <w:t>3320</w:t>
            </w:r>
            <w:r>
              <w:rPr>
                <w:rFonts w:hint="eastAsia" w:ascii="仿宋_GB2312" w:hAnsi="Arial" w:eastAsia="仿宋_GB2312" w:cs="Arial"/>
                <w:color w:val="000000"/>
                <w:sz w:val="28"/>
                <w:szCs w:val="28"/>
              </w:rPr>
              <w:t>070078</w:t>
            </w:r>
          </w:p>
        </w:tc>
        <w:tc>
          <w:tcPr>
            <w:tcW w:w="1522" w:type="pct"/>
            <w:vAlign w:val="center"/>
          </w:tcPr>
          <w:p>
            <w:pPr>
              <w:tabs>
                <w:tab w:val="left" w:pos="-4320"/>
              </w:tabs>
              <w:spacing w:line="460" w:lineRule="exact"/>
              <w:jc w:val="center"/>
              <w:rPr>
                <w:rFonts w:ascii="仿宋_GB2312" w:hAnsi="Arial" w:eastAsia="仿宋_GB2312" w:cs="Arial"/>
                <w:color w:val="000000"/>
                <w:sz w:val="28"/>
                <w:szCs w:val="28"/>
              </w:rPr>
            </w:pPr>
          </w:p>
        </w:tc>
        <w:tc>
          <w:tcPr>
            <w:tcW w:w="1479" w:type="pct"/>
            <w:vAlign w:val="center"/>
          </w:tcPr>
          <w:p>
            <w:pPr>
              <w:tabs>
                <w:tab w:val="left" w:pos="-4320"/>
              </w:tabs>
              <w:spacing w:line="460" w:lineRule="exact"/>
              <w:jc w:val="center"/>
              <w:rPr>
                <w:rFonts w:ascii="仿宋_GB2312" w:hAnsi="宋体" w:eastAsia="仿宋_GB2312"/>
                <w:sz w:val="28"/>
                <w:szCs w:val="28"/>
              </w:rPr>
            </w:pPr>
            <w:r>
              <w:rPr>
                <w:rFonts w:hint="eastAsia" w:ascii="仿宋_GB2312" w:hAnsi="宋体" w:eastAsia="仿宋_GB2312"/>
                <w:sz w:val="28"/>
                <w:szCs w:val="28"/>
              </w:rPr>
              <w:t>2022年11月10日</w:t>
            </w:r>
          </w:p>
        </w:tc>
      </w:tr>
    </w:tbl>
    <w:p>
      <w:pPr>
        <w:pStyle w:val="3"/>
        <w:spacing w:before="156"/>
      </w:pPr>
      <w:bookmarkStart w:id="51" w:name="_Toc293686371"/>
      <w:bookmarkStart w:id="52" w:name="_Toc293686538"/>
      <w:bookmarkStart w:id="53" w:name="_Toc19091551"/>
      <w:r>
        <w:rPr>
          <w:rFonts w:hint="eastAsia"/>
        </w:rPr>
        <w:t>（十二）</w:t>
      </w:r>
      <w:bookmarkEnd w:id="51"/>
      <w:bookmarkEnd w:id="52"/>
      <w:r>
        <w:rPr>
          <w:rFonts w:hint="eastAsia"/>
        </w:rPr>
        <w:t>实地查勘期</w:t>
      </w:r>
      <w:bookmarkEnd w:id="53"/>
    </w:p>
    <w:p>
      <w:pPr>
        <w:spacing w:line="480" w:lineRule="exact"/>
        <w:ind w:firstLine="560" w:firstLineChars="200"/>
      </w:pPr>
      <w:r>
        <w:rPr>
          <w:rFonts w:hint="eastAsia" w:ascii="仿宋_GB2312" w:hAnsi="宋体" w:eastAsia="仿宋_GB2312"/>
          <w:sz w:val="28"/>
          <w:szCs w:val="28"/>
        </w:rPr>
        <w:t>2022年11月01日。</w:t>
      </w:r>
    </w:p>
    <w:p>
      <w:pPr>
        <w:pStyle w:val="3"/>
        <w:spacing w:before="156"/>
      </w:pPr>
      <w:bookmarkStart w:id="54" w:name="_Toc19091552"/>
      <w:r>
        <w:rPr>
          <w:rFonts w:hint="eastAsia"/>
        </w:rPr>
        <w:t>（十三）估价作业日期</w:t>
      </w:r>
      <w:bookmarkEnd w:id="54"/>
    </w:p>
    <w:p>
      <w:pPr>
        <w:tabs>
          <w:tab w:val="left" w:pos="-4320"/>
        </w:tabs>
        <w:adjustRightInd w:val="0"/>
        <w:snapToGrid w:val="0"/>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2022年1</w:t>
      </w:r>
      <w:r>
        <w:rPr>
          <w:rFonts w:ascii="仿宋_GB2312" w:hAnsi="宋体" w:eastAsia="仿宋_GB2312"/>
          <w:sz w:val="28"/>
          <w:szCs w:val="28"/>
        </w:rPr>
        <w:t>0</w:t>
      </w:r>
      <w:r>
        <w:rPr>
          <w:rFonts w:hint="eastAsia" w:ascii="仿宋_GB2312" w:hAnsi="宋体" w:eastAsia="仿宋_GB2312"/>
          <w:sz w:val="28"/>
          <w:szCs w:val="28"/>
        </w:rPr>
        <w:t>月</w:t>
      </w:r>
      <w:r>
        <w:rPr>
          <w:rFonts w:ascii="仿宋_GB2312" w:hAnsi="宋体" w:eastAsia="仿宋_GB2312"/>
          <w:sz w:val="28"/>
          <w:szCs w:val="28"/>
        </w:rPr>
        <w:t>28</w:t>
      </w:r>
      <w:r>
        <w:rPr>
          <w:rFonts w:hint="eastAsia" w:ascii="仿宋_GB2312" w:hAnsi="宋体" w:eastAsia="仿宋_GB2312"/>
          <w:sz w:val="28"/>
          <w:szCs w:val="28"/>
        </w:rPr>
        <w:t>日至2022年11月10日。</w:t>
      </w:r>
    </w:p>
    <w:p>
      <w:pPr>
        <w:pStyle w:val="3"/>
        <w:spacing w:before="156"/>
      </w:pPr>
      <w:bookmarkStart w:id="55" w:name="_Toc16755248"/>
      <w:bookmarkStart w:id="56" w:name="_Toc16755807"/>
      <w:bookmarkStart w:id="57" w:name="_Toc19091553"/>
      <w:r>
        <w:rPr>
          <w:rFonts w:hint="eastAsia"/>
        </w:rPr>
        <w:t>（十四）估价报告应用的有效期</w:t>
      </w:r>
      <w:bookmarkEnd w:id="55"/>
      <w:bookmarkEnd w:id="56"/>
      <w:bookmarkEnd w:id="57"/>
    </w:p>
    <w:p>
      <w:pPr>
        <w:tabs>
          <w:tab w:val="left" w:pos="-4320"/>
        </w:tabs>
        <w:adjustRightInd w:val="0"/>
        <w:snapToGrid w:val="0"/>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自出具评估报告日起壹年，即</w:t>
      </w:r>
      <w:r>
        <w:rPr>
          <w:rFonts w:hint="eastAsia" w:ascii="仿宋_GB2312" w:eastAsia="仿宋_GB2312"/>
          <w:bCs/>
          <w:sz w:val="28"/>
          <w:szCs w:val="28"/>
        </w:rPr>
        <w:t>2022年11月10日</w:t>
      </w:r>
      <w:r>
        <w:rPr>
          <w:rFonts w:hint="eastAsia" w:ascii="仿宋_GB2312" w:hAnsi="宋体" w:eastAsia="仿宋_GB2312"/>
          <w:sz w:val="28"/>
          <w:szCs w:val="28"/>
        </w:rPr>
        <w:t>至2023年11月09日有效。</w:t>
      </w:r>
    </w:p>
    <w:p>
      <w:pPr>
        <w:jc w:val="center"/>
        <w:rPr>
          <w:rFonts w:ascii="宋体" w:hAnsi="宋体"/>
          <w:color w:val="000000"/>
          <w:sz w:val="44"/>
        </w:rPr>
      </w:pPr>
      <w:r>
        <w:rPr>
          <w:rFonts w:hint="eastAsia" w:ascii="仿宋_GB2312" w:hAnsi="宋体" w:eastAsia="仿宋_GB2312"/>
          <w:color w:val="000000"/>
          <w:sz w:val="44"/>
        </w:rPr>
        <w:br w:type="page"/>
      </w:r>
    </w:p>
    <w:p>
      <w:pPr>
        <w:pStyle w:val="2"/>
      </w:pPr>
      <w:bookmarkStart w:id="58" w:name="_Toc19091554"/>
      <w:bookmarkStart w:id="59" w:name="_Toc293686373"/>
      <w:bookmarkStart w:id="60" w:name="_Toc293686540"/>
      <w:r>
        <w:rPr>
          <w:rFonts w:hint="eastAsia"/>
        </w:rPr>
        <w:t>四、附    件</w:t>
      </w:r>
      <w:bookmarkEnd w:id="58"/>
      <w:bookmarkEnd w:id="59"/>
      <w:bookmarkEnd w:id="60"/>
    </w:p>
    <w:p>
      <w:pPr>
        <w:adjustRightInd w:val="0"/>
        <w:snapToGrid w:val="0"/>
        <w:spacing w:before="156" w:beforeLines="50" w:after="156" w:afterLines="50" w:line="480" w:lineRule="exact"/>
        <w:ind w:left="1544" w:leftChars="202" w:right="-359" w:rightChars="-171" w:hanging="1120" w:hangingChars="400"/>
        <w:rPr>
          <w:rFonts w:ascii="仿宋_GB2312" w:hAnsi="宋体" w:eastAsia="仿宋_GB2312"/>
          <w:color w:val="000000"/>
          <w:sz w:val="28"/>
          <w:szCs w:val="28"/>
        </w:rPr>
      </w:pPr>
      <w:r>
        <w:rPr>
          <w:rFonts w:hint="eastAsia" w:ascii="仿宋_GB2312" w:hAnsi="宋体" w:eastAsia="仿宋_GB2312"/>
          <w:color w:val="000000"/>
          <w:sz w:val="28"/>
          <w:szCs w:val="28"/>
        </w:rPr>
        <w:t>附件一：估价对象现场查勘照片。</w:t>
      </w:r>
    </w:p>
    <w:p>
      <w:pPr>
        <w:adjustRightInd w:val="0"/>
        <w:snapToGrid w:val="0"/>
        <w:spacing w:before="156" w:beforeLines="50" w:after="156" w:afterLines="50" w:line="480" w:lineRule="exact"/>
        <w:ind w:left="1544" w:leftChars="202" w:right="-359" w:rightChars="-171" w:hanging="1120" w:hangingChars="400"/>
        <w:rPr>
          <w:rFonts w:ascii="仿宋_GB2312" w:hAnsi="宋体" w:eastAsia="仿宋_GB2312"/>
          <w:color w:val="000000"/>
          <w:sz w:val="28"/>
          <w:szCs w:val="28"/>
        </w:rPr>
      </w:pPr>
      <w:r>
        <w:rPr>
          <w:rFonts w:hint="eastAsia" w:ascii="仿宋_GB2312" w:hAnsi="宋体" w:eastAsia="仿宋_GB2312"/>
          <w:color w:val="000000"/>
          <w:sz w:val="28"/>
          <w:szCs w:val="28"/>
        </w:rPr>
        <w:t>附件二：估价对象位置示意图。</w:t>
      </w:r>
    </w:p>
    <w:p>
      <w:pPr>
        <w:adjustRightInd w:val="0"/>
        <w:snapToGrid w:val="0"/>
        <w:spacing w:before="156" w:beforeLines="50" w:after="156" w:afterLines="50" w:line="480" w:lineRule="exact"/>
        <w:ind w:left="1544" w:leftChars="202" w:right="-359" w:rightChars="-171" w:hanging="1120" w:hangingChars="400"/>
        <w:rPr>
          <w:rFonts w:ascii="仿宋_GB2312" w:hAnsi="宋体" w:eastAsia="仿宋_GB2312"/>
          <w:color w:val="000000"/>
          <w:sz w:val="28"/>
          <w:szCs w:val="28"/>
        </w:rPr>
      </w:pPr>
      <w:r>
        <w:rPr>
          <w:rFonts w:hint="eastAsia" w:ascii="仿宋_GB2312" w:hAnsi="宋体" w:eastAsia="仿宋_GB2312"/>
          <w:color w:val="000000"/>
          <w:sz w:val="28"/>
          <w:szCs w:val="28"/>
        </w:rPr>
        <w:t>附件三：《浦江县人民法院委托书》复印件。</w:t>
      </w:r>
    </w:p>
    <w:p>
      <w:pPr>
        <w:adjustRightInd w:val="0"/>
        <w:snapToGrid w:val="0"/>
        <w:spacing w:before="156" w:beforeLines="50" w:after="156" w:afterLines="50" w:line="480" w:lineRule="exact"/>
        <w:ind w:left="1544" w:leftChars="202" w:right="-359" w:rightChars="-171" w:hanging="1120" w:hangingChars="400"/>
        <w:rPr>
          <w:rFonts w:ascii="仿宋_GB2312" w:hAnsi="宋体" w:eastAsia="仿宋_GB2312"/>
          <w:color w:val="000000"/>
          <w:sz w:val="28"/>
          <w:szCs w:val="28"/>
        </w:rPr>
      </w:pPr>
      <w:r>
        <w:rPr>
          <w:rFonts w:hint="eastAsia" w:ascii="仿宋_GB2312" w:hAnsi="宋体" w:eastAsia="仿宋_GB2312"/>
          <w:color w:val="000000"/>
          <w:sz w:val="28"/>
          <w:szCs w:val="28"/>
        </w:rPr>
        <w:t>附件四：《杭州市不动产登记信息查询记录》复印件。</w:t>
      </w:r>
    </w:p>
    <w:p>
      <w:pPr>
        <w:adjustRightInd w:val="0"/>
        <w:snapToGrid w:val="0"/>
        <w:spacing w:before="156" w:beforeLines="50" w:after="156" w:afterLines="50" w:line="480" w:lineRule="exact"/>
        <w:ind w:left="1544" w:leftChars="202" w:right="-359" w:rightChars="-171" w:hanging="1120" w:hangingChars="400"/>
        <w:rPr>
          <w:rFonts w:ascii="仿宋_GB2312" w:hAnsi="宋体" w:eastAsia="仿宋_GB2312"/>
          <w:sz w:val="28"/>
          <w:szCs w:val="28"/>
        </w:rPr>
      </w:pPr>
      <w:r>
        <w:rPr>
          <w:rFonts w:hint="eastAsia" w:ascii="仿宋_GB2312" w:hAnsi="宋体" w:eastAsia="仿宋_GB2312"/>
          <w:color w:val="000000"/>
          <w:sz w:val="28"/>
          <w:szCs w:val="28"/>
        </w:rPr>
        <w:t>附件五</w:t>
      </w:r>
      <w:r>
        <w:rPr>
          <w:rFonts w:hint="eastAsia" w:ascii="仿宋_GB2312" w:hAnsi="宋体" w:eastAsia="仿宋_GB2312"/>
          <w:sz w:val="28"/>
          <w:szCs w:val="28"/>
        </w:rPr>
        <w:t>：《浙江省商品房买卖合同》（预售）</w:t>
      </w:r>
      <w:r>
        <w:rPr>
          <w:rFonts w:hint="eastAsia" w:ascii="仿宋_GB2312" w:hAnsi="宋体" w:eastAsia="仿宋_GB2312"/>
          <w:color w:val="000000"/>
          <w:sz w:val="28"/>
          <w:szCs w:val="28"/>
        </w:rPr>
        <w:t>复印件。</w:t>
      </w:r>
    </w:p>
    <w:p>
      <w:pPr>
        <w:adjustRightInd w:val="0"/>
        <w:snapToGrid w:val="0"/>
        <w:spacing w:before="156" w:beforeLines="50" w:after="156" w:afterLines="50" w:line="480" w:lineRule="exact"/>
        <w:ind w:left="1544" w:leftChars="202" w:right="-359" w:rightChars="-171" w:hanging="1120" w:hangingChars="400"/>
        <w:rPr>
          <w:rFonts w:ascii="仿宋_GB2312" w:hAnsi="宋体" w:eastAsia="仿宋_GB2312"/>
          <w:sz w:val="28"/>
          <w:szCs w:val="28"/>
        </w:rPr>
      </w:pPr>
      <w:r>
        <w:rPr>
          <w:rFonts w:hint="eastAsia" w:ascii="仿宋_GB2312" w:hAnsi="宋体" w:eastAsia="仿宋_GB2312"/>
          <w:sz w:val="28"/>
          <w:szCs w:val="28"/>
        </w:rPr>
        <w:t>附件六：《宸宇府项目地下车位使用权转让合同》复印件。</w:t>
      </w:r>
    </w:p>
    <w:p>
      <w:pPr>
        <w:adjustRightInd w:val="0"/>
        <w:snapToGrid w:val="0"/>
        <w:spacing w:before="156" w:beforeLines="50" w:after="156" w:afterLines="50" w:line="480" w:lineRule="exact"/>
        <w:ind w:left="425"/>
        <w:rPr>
          <w:rFonts w:ascii="仿宋_GB2312" w:hAnsi="宋体" w:eastAsia="仿宋_GB2312"/>
          <w:sz w:val="28"/>
          <w:szCs w:val="28"/>
        </w:rPr>
      </w:pPr>
      <w:r>
        <w:rPr>
          <w:rFonts w:hint="eastAsia" w:ascii="仿宋_GB2312" w:eastAsia="仿宋_GB2312"/>
          <w:sz w:val="28"/>
          <w:szCs w:val="28"/>
        </w:rPr>
        <w:t>附件七：</w:t>
      </w:r>
      <w:r>
        <w:rPr>
          <w:rFonts w:hint="eastAsia" w:ascii="仿宋_GB2312" w:hAnsi="宋体" w:eastAsia="仿宋_GB2312"/>
          <w:sz w:val="28"/>
          <w:szCs w:val="28"/>
        </w:rPr>
        <w:t>估价机构企业法人营业执照复印件。</w:t>
      </w:r>
    </w:p>
    <w:p>
      <w:pPr>
        <w:adjustRightInd w:val="0"/>
        <w:snapToGrid w:val="0"/>
        <w:spacing w:before="156" w:beforeLines="50" w:after="156" w:afterLines="50" w:line="480" w:lineRule="exact"/>
        <w:ind w:left="425"/>
        <w:rPr>
          <w:rFonts w:ascii="仿宋_GB2312" w:hAnsi="宋体" w:eastAsia="仿宋_GB2312"/>
          <w:sz w:val="28"/>
          <w:szCs w:val="28"/>
        </w:rPr>
      </w:pPr>
      <w:r>
        <w:rPr>
          <w:rFonts w:hint="eastAsia" w:ascii="仿宋_GB2312" w:eastAsia="仿宋_GB2312"/>
          <w:sz w:val="28"/>
          <w:szCs w:val="28"/>
        </w:rPr>
        <w:t>附件八：</w:t>
      </w:r>
      <w:r>
        <w:rPr>
          <w:rFonts w:hint="eastAsia" w:ascii="仿宋_GB2312" w:hAnsi="宋体" w:eastAsia="仿宋_GB2312"/>
          <w:sz w:val="28"/>
          <w:szCs w:val="28"/>
        </w:rPr>
        <w:t>估价机构备案证书复印件。</w:t>
      </w:r>
    </w:p>
    <w:p>
      <w:pPr>
        <w:adjustRightInd w:val="0"/>
        <w:snapToGrid w:val="0"/>
        <w:spacing w:before="156" w:beforeLines="50" w:after="156" w:afterLines="50" w:line="480" w:lineRule="exact"/>
        <w:ind w:left="425"/>
        <w:rPr>
          <w:rFonts w:ascii="仿宋_GB2312" w:hAnsi="宋体" w:eastAsia="仿宋_GB2312"/>
          <w:sz w:val="28"/>
          <w:szCs w:val="28"/>
        </w:rPr>
      </w:pPr>
      <w:r>
        <w:rPr>
          <w:rFonts w:hint="eastAsia" w:ascii="仿宋_GB2312" w:eastAsia="仿宋_GB2312"/>
          <w:sz w:val="28"/>
          <w:szCs w:val="28"/>
        </w:rPr>
        <w:t>附件九：估</w:t>
      </w:r>
      <w:r>
        <w:rPr>
          <w:rFonts w:hint="eastAsia" w:ascii="仿宋_GB2312" w:hAnsi="宋体" w:eastAsia="仿宋_GB2312"/>
          <w:sz w:val="28"/>
          <w:szCs w:val="28"/>
        </w:rPr>
        <w:t>价人员执业资格证书复印件。</w:t>
      </w:r>
    </w:p>
    <w:p>
      <w:pPr>
        <w:adjustRightInd w:val="0"/>
        <w:snapToGrid w:val="0"/>
        <w:spacing w:before="156" w:beforeLines="50" w:after="156" w:afterLines="50" w:line="480" w:lineRule="exact"/>
        <w:ind w:left="425"/>
        <w:rPr>
          <w:rFonts w:ascii="仿宋_GB2312" w:hAnsi="宋体" w:eastAsia="仿宋_GB2312"/>
          <w:color w:val="000000"/>
          <w:sz w:val="28"/>
          <w:szCs w:val="28"/>
        </w:rPr>
        <w:sectPr>
          <w:pgSz w:w="11907" w:h="16840"/>
          <w:pgMar w:top="1418" w:right="1474" w:bottom="1247" w:left="1588" w:header="851" w:footer="454" w:gutter="0"/>
          <w:cols w:space="425" w:num="1"/>
          <w:docGrid w:type="linesAndChars" w:linePitch="312" w:charSpace="0"/>
        </w:sectPr>
      </w:pPr>
    </w:p>
    <w:p>
      <w:pPr>
        <w:adjustRightInd w:val="0"/>
        <w:snapToGrid w:val="0"/>
        <w:spacing w:line="470" w:lineRule="exact"/>
        <w:jc w:val="center"/>
        <w:rPr>
          <w:b/>
          <w:color w:val="000000"/>
          <w:sz w:val="30"/>
          <w:szCs w:val="30"/>
        </w:rPr>
      </w:pPr>
    </w:p>
    <w:p>
      <w:pPr>
        <w:adjustRightInd w:val="0"/>
        <w:snapToGrid w:val="0"/>
        <w:spacing w:line="470" w:lineRule="exact"/>
        <w:jc w:val="center"/>
        <w:rPr>
          <w:b/>
          <w:color w:val="000000"/>
          <w:sz w:val="30"/>
          <w:szCs w:val="30"/>
        </w:rPr>
      </w:pPr>
      <w:r>
        <w:rPr>
          <w:rFonts w:hint="eastAsia"/>
          <w:b/>
          <w:color w:val="000000"/>
          <w:sz w:val="30"/>
          <w:szCs w:val="30"/>
        </w:rPr>
        <w:t>估价对象现场勘查照片</w:t>
      </w:r>
    </w:p>
    <w:p>
      <w:pPr>
        <w:adjustRightInd w:val="0"/>
        <w:snapToGrid w:val="0"/>
        <w:spacing w:line="470" w:lineRule="exact"/>
        <w:jc w:val="center"/>
        <w:rPr>
          <w:b/>
          <w:color w:val="000000"/>
          <w:sz w:val="30"/>
          <w:szCs w:val="30"/>
        </w:rPr>
      </w:pPr>
    </w:p>
    <w:p>
      <w:pPr>
        <w:rPr>
          <w:b/>
          <w:color w:val="000000"/>
          <w:sz w:val="28"/>
          <w:szCs w:val="28"/>
        </w:rPr>
      </w:pPr>
      <w:r>
        <w:pict>
          <v:shape id="_x0000_i1027" o:spt="75" type="#_x0000_t75" style="height:156pt;width:207.6pt;" filled="f" o:preferrelative="t" stroked="f" coordsize="21600,21600">
            <v:path/>
            <v:fill on="f" focussize="0,0"/>
            <v:stroke on="f" joinstyle="miter"/>
            <v:imagedata r:id="rId10" o:title=""/>
            <o:lock v:ext="edit" aspectratio="t"/>
            <w10:wrap type="none"/>
            <w10:anchorlock/>
          </v:shape>
        </w:pict>
      </w:r>
      <w:r>
        <w:rPr>
          <w:rFonts w:hint="eastAsia"/>
          <w:b/>
          <w:color w:val="000000"/>
          <w:sz w:val="28"/>
          <w:szCs w:val="28"/>
        </w:rPr>
        <w:t xml:space="preserve">  </w:t>
      </w:r>
      <w:r>
        <w:pict>
          <v:shape id="_x0000_i1028" o:spt="75" type="#_x0000_t75" style="height:156pt;width:207.6pt;" filled="f" o:preferrelative="t" stroked="f" coordsize="21600,21600">
            <v:path/>
            <v:fill on="f" focussize="0,0"/>
            <v:stroke on="f" joinstyle="miter"/>
            <v:imagedata r:id="rId11" o:title=""/>
            <o:lock v:ext="edit" aspectratio="t"/>
            <w10:wrap type="none"/>
            <w10:anchorlock/>
          </v:shape>
        </w:pict>
      </w:r>
    </w:p>
    <w:p>
      <w:pPr>
        <w:rPr>
          <w:color w:val="000000"/>
          <w:szCs w:val="21"/>
        </w:rPr>
      </w:pPr>
      <w:r>
        <w:rPr>
          <w:rFonts w:hint="eastAsia"/>
          <w:color w:val="000000"/>
          <w:szCs w:val="21"/>
        </w:rPr>
        <w:t xml:space="preserve">              估价对象外立面                           </w:t>
      </w:r>
      <w:r>
        <w:rPr>
          <w:color w:val="000000"/>
          <w:szCs w:val="21"/>
        </w:rPr>
        <w:t xml:space="preserve">  </w:t>
      </w:r>
      <w:r>
        <w:rPr>
          <w:rFonts w:hint="eastAsia"/>
          <w:color w:val="000000"/>
          <w:szCs w:val="21"/>
        </w:rPr>
        <w:t>单元门及幢号</w:t>
      </w:r>
    </w:p>
    <w:p>
      <w:pPr>
        <w:ind w:firstLine="1260" w:firstLineChars="600"/>
        <w:rPr>
          <w:color w:val="000000"/>
          <w:szCs w:val="21"/>
        </w:rPr>
      </w:pPr>
    </w:p>
    <w:p>
      <w:pPr>
        <w:rPr>
          <w:b/>
          <w:color w:val="000000"/>
          <w:sz w:val="28"/>
          <w:szCs w:val="28"/>
        </w:rPr>
      </w:pPr>
      <w:r>
        <w:pict>
          <v:shape id="_x0000_i1029" o:spt="75" type="#_x0000_t75" style="height:156pt;width:207.6pt;" filled="f" o:preferrelative="t" stroked="f" coordsize="21600,21600">
            <v:path/>
            <v:fill on="f" focussize="0,0"/>
            <v:stroke on="f" joinstyle="miter"/>
            <v:imagedata r:id="rId12" o:title=""/>
            <o:lock v:ext="edit" aspectratio="t"/>
            <w10:wrap type="none"/>
            <w10:anchorlock/>
          </v:shape>
        </w:pict>
      </w:r>
      <w:r>
        <w:rPr>
          <w:rFonts w:hint="eastAsia"/>
          <w:b/>
          <w:color w:val="000000"/>
          <w:sz w:val="28"/>
          <w:szCs w:val="28"/>
        </w:rPr>
        <w:t xml:space="preserve">  </w:t>
      </w:r>
      <w:r>
        <w:pict>
          <v:shape id="_x0000_i1030" o:spt="75" type="#_x0000_t75" style="height:155.4pt;width:207.6pt;" filled="f" o:preferrelative="t" stroked="f" coordsize="21600,21600">
            <v:path/>
            <v:fill on="f" focussize="0,0"/>
            <v:stroke on="f" joinstyle="miter"/>
            <v:imagedata r:id="rId13" o:title=""/>
            <o:lock v:ext="edit" aspectratio="t"/>
            <w10:wrap type="none"/>
            <w10:anchorlock/>
          </v:shape>
        </w:pict>
      </w:r>
    </w:p>
    <w:p>
      <w:pPr>
        <w:rPr>
          <w:color w:val="000000"/>
          <w:szCs w:val="21"/>
        </w:rPr>
      </w:pPr>
      <w:r>
        <w:rPr>
          <w:rFonts w:hint="eastAsia"/>
          <w:color w:val="000000"/>
          <w:szCs w:val="21"/>
        </w:rPr>
        <w:t xml:space="preserve">               入户门及门牌号                           估价对象客餐厅</w:t>
      </w:r>
    </w:p>
    <w:p>
      <w:pPr>
        <w:ind w:firstLine="1260" w:firstLineChars="600"/>
        <w:rPr>
          <w:color w:val="000000"/>
          <w:szCs w:val="21"/>
        </w:rPr>
      </w:pPr>
    </w:p>
    <w:p>
      <w:pPr>
        <w:rPr>
          <w:b/>
          <w:color w:val="000000"/>
          <w:sz w:val="28"/>
          <w:szCs w:val="28"/>
        </w:rPr>
      </w:pPr>
      <w:r>
        <w:pict>
          <v:shape id="_x0000_i1031" o:spt="75" type="#_x0000_t75" style="height:156pt;width:207.6pt;" filled="f" o:preferrelative="t" stroked="f" coordsize="21600,21600">
            <v:path/>
            <v:fill on="f" focussize="0,0"/>
            <v:stroke on="f" joinstyle="miter"/>
            <v:imagedata r:id="rId14" o:title=""/>
            <o:lock v:ext="edit" aspectratio="t"/>
            <w10:wrap type="none"/>
            <w10:anchorlock/>
          </v:shape>
        </w:pict>
      </w:r>
      <w:r>
        <w:rPr>
          <w:rFonts w:hint="eastAsia"/>
          <w:b/>
          <w:color w:val="000000"/>
          <w:sz w:val="28"/>
          <w:szCs w:val="28"/>
        </w:rPr>
        <w:t xml:space="preserve">  </w:t>
      </w:r>
      <w:r>
        <w:pict>
          <v:shape id="_x0000_i1032" o:spt="75" type="#_x0000_t75" style="height:156pt;width:207.6pt;" filled="f" o:preferrelative="t" stroked="f" coordsize="21600,21600">
            <v:path/>
            <v:fill on="f" focussize="0,0"/>
            <v:stroke on="f" joinstyle="miter"/>
            <v:imagedata r:id="rId15" o:title=""/>
            <o:lock v:ext="edit" aspectratio="t"/>
            <w10:wrap type="none"/>
            <w10:anchorlock/>
          </v:shape>
        </w:pict>
      </w:r>
    </w:p>
    <w:p>
      <w:pPr>
        <w:rPr>
          <w:b/>
          <w:color w:val="000000"/>
          <w:sz w:val="28"/>
          <w:szCs w:val="28"/>
        </w:rPr>
      </w:pPr>
      <w:r>
        <w:rPr>
          <w:rFonts w:hint="eastAsia"/>
          <w:b/>
          <w:color w:val="000000"/>
          <w:sz w:val="28"/>
          <w:szCs w:val="28"/>
        </w:rPr>
        <w:t xml:space="preserve">    </w:t>
      </w:r>
      <w:r>
        <w:rPr>
          <w:rFonts w:hint="eastAsia"/>
          <w:color w:val="000000"/>
          <w:szCs w:val="21"/>
        </w:rPr>
        <w:t xml:space="preserve">         估价对象室内                               估价对象室内</w:t>
      </w:r>
    </w:p>
    <w:p>
      <w:pPr>
        <w:rPr>
          <w:color w:val="000000"/>
          <w:szCs w:val="21"/>
        </w:rPr>
      </w:pPr>
    </w:p>
    <w:p>
      <w:pPr>
        <w:ind w:firstLine="1260" w:firstLineChars="600"/>
        <w:rPr>
          <w:color w:val="000000"/>
          <w:szCs w:val="21"/>
        </w:rPr>
      </w:pPr>
    </w:p>
    <w:p>
      <w:pPr>
        <w:rPr>
          <w:b/>
          <w:color w:val="000000"/>
          <w:sz w:val="28"/>
          <w:szCs w:val="28"/>
        </w:rPr>
      </w:pPr>
      <w:r>
        <w:pict>
          <v:shape id="_x0000_i1033" o:spt="75" type="#_x0000_t75" style="height:156pt;width:207.6pt;" filled="f" o:preferrelative="t" stroked="f" coordsize="21600,21600">
            <v:path/>
            <v:fill on="f" focussize="0,0"/>
            <v:stroke on="f" joinstyle="miter"/>
            <v:imagedata r:id="rId16" o:title=""/>
            <o:lock v:ext="edit" aspectratio="t"/>
            <w10:wrap type="none"/>
            <w10:anchorlock/>
          </v:shape>
        </w:pict>
      </w:r>
      <w:r>
        <w:rPr>
          <w:rFonts w:hint="eastAsia"/>
          <w:b/>
          <w:color w:val="000000"/>
          <w:sz w:val="28"/>
          <w:szCs w:val="28"/>
        </w:rPr>
        <w:t xml:space="preserve">  </w:t>
      </w:r>
      <w:r>
        <w:pict>
          <v:shape id="_x0000_i1034" o:spt="75" type="#_x0000_t75" style="height:156pt;width:207.6pt;" filled="f" o:preferrelative="t" stroked="f" coordsize="21600,21600">
            <v:path/>
            <v:fill on="f" focussize="0,0"/>
            <v:stroke on="f" joinstyle="miter"/>
            <v:imagedata r:id="rId17" o:title=""/>
            <o:lock v:ext="edit" aspectratio="t"/>
            <w10:wrap type="none"/>
            <w10:anchorlock/>
          </v:shape>
        </w:pict>
      </w:r>
    </w:p>
    <w:p>
      <w:pPr>
        <w:rPr>
          <w:color w:val="000000"/>
          <w:szCs w:val="21"/>
        </w:rPr>
      </w:pPr>
      <w:r>
        <w:rPr>
          <w:rFonts w:hint="eastAsia"/>
          <w:b/>
          <w:color w:val="000000"/>
          <w:sz w:val="28"/>
          <w:szCs w:val="28"/>
        </w:rPr>
        <w:t xml:space="preserve">          </w:t>
      </w:r>
      <w:r>
        <w:rPr>
          <w:rFonts w:hint="eastAsia"/>
          <w:color w:val="000000"/>
          <w:szCs w:val="21"/>
        </w:rPr>
        <w:t>估价对象室内                                  内部状况</w:t>
      </w:r>
    </w:p>
    <w:p>
      <w:pPr>
        <w:rPr>
          <w:color w:val="000000"/>
          <w:szCs w:val="21"/>
        </w:rPr>
      </w:pPr>
    </w:p>
    <w:p>
      <w:pPr>
        <w:rPr>
          <w:b/>
          <w:color w:val="000000"/>
          <w:sz w:val="28"/>
          <w:szCs w:val="28"/>
        </w:rPr>
      </w:pPr>
      <w:r>
        <w:pict>
          <v:shape id="_x0000_i1035" o:spt="75" type="#_x0000_t75" style="height:155.4pt;width:207.6pt;" filled="f" o:preferrelative="t" stroked="f" coordsize="21600,21600">
            <v:path/>
            <v:fill on="f" focussize="0,0"/>
            <v:stroke on="f" joinstyle="miter"/>
            <v:imagedata r:id="rId18" o:title=""/>
            <o:lock v:ext="edit" aspectratio="t"/>
            <w10:wrap type="none"/>
            <w10:anchorlock/>
          </v:shape>
        </w:pict>
      </w:r>
      <w:r>
        <w:rPr>
          <w:rFonts w:hint="eastAsia"/>
          <w:b/>
          <w:color w:val="000000"/>
          <w:sz w:val="28"/>
          <w:szCs w:val="28"/>
        </w:rPr>
        <w:t xml:space="preserve">  </w:t>
      </w:r>
      <w:r>
        <w:pict>
          <v:shape id="_x0000_i1036" o:spt="75" type="#_x0000_t75" style="height:155.4pt;width:207.6pt;" filled="f" o:preferrelative="t" stroked="f" coordsize="21600,21600">
            <v:path/>
            <v:fill on="f" focussize="0,0"/>
            <v:stroke on="f" joinstyle="miter"/>
            <v:imagedata r:id="rId19" o:title=""/>
            <o:lock v:ext="edit" aspectratio="t"/>
            <w10:wrap type="none"/>
            <w10:anchorlock/>
          </v:shape>
        </w:pict>
      </w:r>
    </w:p>
    <w:p>
      <w:pPr>
        <w:ind w:firstLine="1890" w:firstLineChars="900"/>
        <w:rPr>
          <w:color w:val="000000"/>
          <w:szCs w:val="21"/>
        </w:rPr>
      </w:pPr>
      <w:r>
        <w:rPr>
          <w:rFonts w:hint="eastAsia"/>
          <w:color w:val="000000"/>
          <w:szCs w:val="21"/>
        </w:rPr>
        <w:t>卫生间                                  玄关</w:t>
      </w:r>
    </w:p>
    <w:p>
      <w:pPr>
        <w:jc w:val="center"/>
        <w:rPr>
          <w:color w:val="000000"/>
          <w:szCs w:val="21"/>
        </w:rPr>
      </w:pPr>
    </w:p>
    <w:p>
      <w:pPr>
        <w:rPr>
          <w:b/>
          <w:color w:val="000000"/>
          <w:sz w:val="28"/>
          <w:szCs w:val="28"/>
        </w:rPr>
      </w:pPr>
      <w:r>
        <w:pict>
          <v:shape id="_x0000_i1037" o:spt="75" type="#_x0000_t75" style="height:155.4pt;width:210pt;" filled="f" o:preferrelative="t" stroked="f" coordsize="21600,21600">
            <v:path/>
            <v:fill on="f" focussize="0,0"/>
            <v:stroke on="f" joinstyle="miter"/>
            <v:imagedata r:id="rId20" o:title=""/>
            <o:lock v:ext="edit" aspectratio="t"/>
            <w10:wrap type="none"/>
            <w10:anchorlock/>
          </v:shape>
        </w:pict>
      </w:r>
      <w:r>
        <w:rPr>
          <w:rFonts w:hint="eastAsia"/>
          <w:b/>
          <w:color w:val="000000"/>
          <w:sz w:val="28"/>
          <w:szCs w:val="28"/>
        </w:rPr>
        <w:t xml:space="preserve">  </w:t>
      </w:r>
      <w:r>
        <w:pict>
          <v:shape id="_x0000_i1038" o:spt="75" type="#_x0000_t75" style="height:156pt;width:208.2pt;" filled="f" o:preferrelative="t" stroked="f" coordsize="21600,21600">
            <v:path/>
            <v:fill on="f" focussize="0,0"/>
            <v:stroke on="f" joinstyle="miter"/>
            <v:imagedata r:id="rId21" o:title=""/>
            <o:lock v:ext="edit" aspectratio="t"/>
            <w10:wrap type="none"/>
            <w10:anchorlock/>
          </v:shape>
        </w:pict>
      </w:r>
    </w:p>
    <w:p>
      <w:pPr>
        <w:jc w:val="center"/>
        <w:rPr>
          <w:b/>
          <w:color w:val="000000"/>
          <w:sz w:val="28"/>
          <w:szCs w:val="28"/>
        </w:rPr>
      </w:pPr>
      <w:r>
        <w:rPr>
          <w:rFonts w:hint="eastAsia"/>
          <w:color w:val="000000"/>
          <w:szCs w:val="21"/>
        </w:rPr>
        <w:t>地下车位1</w:t>
      </w:r>
      <w:r>
        <w:rPr>
          <w:color w:val="000000"/>
          <w:szCs w:val="21"/>
        </w:rPr>
        <w:t>590</w:t>
      </w:r>
      <w:r>
        <w:rPr>
          <w:rFonts w:hint="eastAsia"/>
          <w:color w:val="000000"/>
          <w:szCs w:val="21"/>
        </w:rPr>
        <w:t>号                            小区内部状况</w:t>
      </w:r>
    </w:p>
    <w:p>
      <w:pPr>
        <w:rPr>
          <w:b/>
          <w:color w:val="000000"/>
          <w:sz w:val="28"/>
          <w:szCs w:val="28"/>
        </w:rPr>
        <w:sectPr>
          <w:pgSz w:w="11907" w:h="16840"/>
          <w:pgMar w:top="1588" w:right="1474" w:bottom="1588" w:left="1588" w:header="851" w:footer="454" w:gutter="0"/>
          <w:cols w:space="425" w:num="1"/>
          <w:docGrid w:type="linesAndChars" w:linePitch="312" w:charSpace="0"/>
        </w:sectPr>
      </w:pPr>
    </w:p>
    <w:p>
      <w:pPr>
        <w:spacing w:before="156" w:beforeLines="50" w:after="156" w:afterLines="50"/>
        <w:jc w:val="center"/>
        <w:rPr>
          <w:b/>
          <w:color w:val="000000"/>
          <w:sz w:val="32"/>
          <w:szCs w:val="32"/>
        </w:rPr>
      </w:pPr>
      <w:r>
        <w:rPr>
          <w:rFonts w:hint="eastAsia"/>
          <w:b/>
          <w:color w:val="000000"/>
          <w:sz w:val="32"/>
          <w:szCs w:val="32"/>
        </w:rPr>
        <w:t>估价对象位置示意图</w:t>
      </w:r>
    </w:p>
    <w:p>
      <w:pPr>
        <w:jc w:val="center"/>
        <w:rPr>
          <w:rFonts w:hint="eastAsia" w:ascii="宋体" w:hAnsi="宋体" w:cs="宋体"/>
          <w:kern w:val="0"/>
          <w:sz w:val="24"/>
        </w:rPr>
      </w:pPr>
      <w:r>
        <w:rPr>
          <w:b/>
          <w:color w:val="000000"/>
          <w:sz w:val="32"/>
          <w:szCs w:val="32"/>
        </w:rPr>
        <w:pict>
          <v:shape id="_x0000_s1132" o:spid="_x0000_s1132" o:spt="61" type="#_x0000_t61" style="position:absolute;left:0pt;margin-left:539.95pt;margin-top:207.1pt;height:23.35pt;width:81pt;z-index:251659264;mso-width-relative:page;mso-height-relative:page;" coordsize="21600,21600" adj="-10653,-1249">
            <v:path/>
            <v:fill focussize="0,0"/>
            <v:stroke joinstyle="miter"/>
            <v:imagedata o:title=""/>
            <o:lock v:ext="edit"/>
            <v:textbox>
              <w:txbxContent>
                <w:p>
                  <w:pPr>
                    <w:jc w:val="center"/>
                    <w:rPr>
                      <w:b/>
                      <w:szCs w:val="21"/>
                    </w:rPr>
                  </w:pPr>
                  <w:r>
                    <w:rPr>
                      <w:rFonts w:hint="eastAsia"/>
                      <w:b/>
                      <w:szCs w:val="21"/>
                    </w:rPr>
                    <w:t>估价对象位置</w:t>
                  </w:r>
                </w:p>
              </w:txbxContent>
            </v:textbox>
          </v:shape>
        </w:pict>
      </w:r>
      <w:r>
        <w:pict>
          <v:shape id="_x0000_i1039" o:spt="75" type="#_x0000_t75" style="height:344.4pt;width:683.4pt;" filled="f" o:preferrelative="t" stroked="f" coordsize="21600,21600">
            <v:path/>
            <v:fill on="f" focussize="0,0"/>
            <v:stroke on="f" joinstyle="miter"/>
            <v:imagedata r:id="rId22" o:title=""/>
            <o:lock v:ext="edit" aspectratio="t"/>
            <w10:wrap type="none"/>
            <w10:anchorlock/>
          </v:shape>
        </w:pict>
      </w:r>
    </w:p>
    <w:sectPr>
      <w:pgSz w:w="16840" w:h="11907" w:orient="landscape"/>
      <w:pgMar w:top="1588" w:right="1588" w:bottom="1474" w:left="1588" w:header="851" w:footer="454"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6" w:space="0"/>
      </w:pBdr>
      <w:tabs>
        <w:tab w:val="center" w:pos="0"/>
        <w:tab w:val="clear" w:pos="4153"/>
      </w:tabs>
      <w:rPr>
        <w:rFonts w:ascii="宋体" w:hAnsi="宋体"/>
        <w:kern w:val="0"/>
      </w:rPr>
    </w:pPr>
  </w:p>
  <w:p>
    <w:pPr>
      <w:pStyle w:val="17"/>
      <w:tabs>
        <w:tab w:val="center" w:pos="0"/>
        <w:tab w:val="clear" w:pos="4153"/>
      </w:tabs>
      <w:jc w:val="center"/>
      <w:rPr>
        <w:kern w:val="0"/>
      </w:rPr>
    </w:pPr>
    <w:r>
      <w:rPr>
        <w:rFonts w:hint="eastAsia" w:ascii="宋体" w:hAnsi="宋体"/>
        <w:color w:val="000000"/>
        <w:kern w:val="0"/>
        <w:szCs w:val="18"/>
      </w:rPr>
      <w:t>浙博房估[2022]</w:t>
    </w:r>
    <w:r>
      <w:rPr>
        <w:rFonts w:hint="eastAsia" w:ascii="宋体" w:hAnsi="宋体"/>
        <w:kern w:val="0"/>
        <w:szCs w:val="18"/>
      </w:rPr>
      <w:t>第</w:t>
    </w:r>
    <w:r>
      <w:rPr>
        <w:rFonts w:ascii="宋体" w:hAnsi="宋体"/>
        <w:kern w:val="0"/>
        <w:szCs w:val="18"/>
      </w:rPr>
      <w:t>1028</w:t>
    </w:r>
    <w:r>
      <w:rPr>
        <w:rFonts w:hint="eastAsia" w:ascii="宋体" w:hAnsi="宋体"/>
        <w:kern w:val="0"/>
        <w:szCs w:val="18"/>
      </w:rPr>
      <w:t>号</w:t>
    </w:r>
    <w:r>
      <w:rPr>
        <w:rFonts w:hint="eastAsia" w:ascii="楷体_GB2312" w:hAnsi="华文中宋" w:eastAsia="楷体_GB2312"/>
        <w:kern w:val="0"/>
      </w:rPr>
      <w:t xml:space="preserve"> </w:t>
    </w:r>
    <w:r>
      <w:rPr>
        <w:rFonts w:hint="eastAsia" w:ascii="宋体" w:hAnsi="宋体"/>
        <w:kern w:val="0"/>
      </w:rPr>
      <w:t xml:space="preserve">                      </w:t>
    </w:r>
    <w:r>
      <w:rPr>
        <w:rFonts w:hint="eastAsia"/>
        <w:kern w:val="0"/>
      </w:rPr>
      <w:t xml:space="preserve">  </w:t>
    </w:r>
    <w:r>
      <w:rPr>
        <w:rFonts w:hint="eastAsia" w:ascii="宋体" w:hAnsi="宋体"/>
        <w:kern w:val="0"/>
      </w:rPr>
      <w:t xml:space="preserve"> </w:t>
    </w:r>
    <w:r>
      <w:rPr>
        <w:rFonts w:hint="eastAsia"/>
        <w:kern w:val="0"/>
      </w:rPr>
      <w:t xml:space="preserve">                          </w:t>
    </w:r>
    <w:r>
      <w:rPr>
        <w:rFonts w:hint="eastAsia" w:ascii="宋体" w:hAnsi="宋体"/>
        <w:kern w:val="0"/>
      </w:rPr>
      <w:t xml:space="preserve">第  </w:t>
    </w:r>
    <w:r>
      <w:rPr>
        <w:rFonts w:ascii="宋体" w:hAnsi="宋体"/>
        <w:kern w:val="0"/>
      </w:rPr>
      <w:fldChar w:fldCharType="begin"/>
    </w:r>
    <w:r>
      <w:rPr>
        <w:rFonts w:ascii="宋体" w:hAnsi="宋体"/>
        <w:kern w:val="0"/>
      </w:rPr>
      <w:instrText xml:space="preserve"> PAGE </w:instrText>
    </w:r>
    <w:r>
      <w:rPr>
        <w:rFonts w:ascii="宋体" w:hAnsi="宋体"/>
        <w:kern w:val="0"/>
      </w:rPr>
      <w:fldChar w:fldCharType="separate"/>
    </w:r>
    <w:r>
      <w:rPr>
        <w:rFonts w:ascii="宋体" w:hAnsi="宋体"/>
        <w:kern w:val="0"/>
      </w:rPr>
      <w:t>1</w:t>
    </w:r>
    <w:r>
      <w:rPr>
        <w:rFonts w:ascii="宋体" w:hAnsi="宋体"/>
        <w:kern w:val="0"/>
      </w:rPr>
      <w:fldChar w:fldCharType="end"/>
    </w:r>
    <w:r>
      <w:rPr>
        <w:rFonts w:hint="eastAsia" w:ascii="宋体" w:hAnsi="宋体"/>
        <w:i/>
        <w:kern w:val="0"/>
      </w:rPr>
      <w:t xml:space="preserve">  </w:t>
    </w:r>
    <w:r>
      <w:rPr>
        <w:rFonts w:hint="eastAsia"/>
        <w:kern w:val="0"/>
      </w:rPr>
      <w:t>页</w:t>
    </w:r>
  </w:p>
  <w:p>
    <w:pPr>
      <w:pStyle w:val="17"/>
      <w:tabs>
        <w:tab w:val="center" w:pos="0"/>
        <w:tab w:val="clear" w:pos="4153"/>
      </w:tabs>
      <w:jc w:val="center"/>
      <w:rPr>
        <w:kern w:val="0"/>
      </w:rPr>
    </w:pPr>
  </w:p>
  <w:p>
    <w:pPr>
      <w:pStyle w:val="17"/>
      <w:tabs>
        <w:tab w:val="center" w:pos="0"/>
        <w:tab w:val="clear" w:pos="4153"/>
      </w:tabs>
      <w:rPr>
        <w:kern w:val="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spacing w:val="70"/>
      </w:rPr>
    </w:pPr>
    <w:r>
      <w:rPr>
        <w:rFonts w:ascii="隶书" w:eastAsia="隶书"/>
        <w:color w:val="333333"/>
        <w:spacing w:val="60"/>
        <w:sz w:val="36"/>
        <w:szCs w:val="36"/>
      </w:rPr>
      <w:pict>
        <v:shape id="_x0000_s2051" o:spid="_x0000_s2051" o:spt="75" type="#_x0000_t75" style="position:absolute;left:0pt;margin-left:-8.25pt;margin-top:-2.15pt;height:36pt;width:37.5pt;z-index:251659264;mso-width-relative:page;mso-height-relative:page;" filled="f" o:preferrelative="t" stroked="f" coordsize="21600,21600">
          <v:path/>
          <v:fill on="f" focussize="0,0"/>
          <v:stroke on="f" joinstyle="miter"/>
          <v:imagedata r:id="rId1" gain="19661f" blacklevel="22938f" o:title="BNTD%20Logo2%20拷贝"/>
          <o:lock v:ext="edit" aspectratio="t"/>
        </v:shape>
      </w:pict>
    </w:r>
    <w:r>
      <w:rPr>
        <w:rFonts w:hint="eastAsia" w:ascii="隶书" w:eastAsia="隶书"/>
        <w:color w:val="333333"/>
        <w:spacing w:val="56"/>
        <w:sz w:val="36"/>
        <w:szCs w:val="36"/>
      </w:rPr>
      <w:t xml:space="preserve">   </w:t>
    </w:r>
    <w:r>
      <w:rPr>
        <w:rFonts w:hint="eastAsia" w:ascii="隶书" w:eastAsia="隶书"/>
        <w:color w:val="333333"/>
        <w:spacing w:val="70"/>
        <w:w w:val="90"/>
        <w:sz w:val="36"/>
        <w:szCs w:val="36"/>
      </w:rPr>
      <w:t>浙江博南土地房地产评估规划有限公司</w:t>
    </w:r>
  </w:p>
  <w:p>
    <w:pPr>
      <w:pStyle w:val="18"/>
      <w:rPr>
        <w:rFonts w:ascii="宋体"/>
        <w:color w:val="333333"/>
        <w:position w:val="26"/>
        <w:sz w:val="16"/>
      </w:rPr>
    </w:pPr>
    <w:r>
      <w:rPr>
        <w:rFonts w:hint="eastAsia" w:ascii="宋体"/>
        <w:color w:val="333333"/>
        <w:position w:val="26"/>
        <w:sz w:val="16"/>
      </w:rPr>
      <w:t xml:space="preserve">        地址:杭州市天目山路97号第八层01室   联系电话:（0571）87050412 56882852  传真:（0571）</w:t>
    </w:r>
    <w:r>
      <w:rPr>
        <w:rFonts w:ascii="宋体"/>
        <w:color w:val="333333"/>
        <w:position w:val="26"/>
        <w:sz w:val="16"/>
      </w:rPr>
      <w:t>56882</w:t>
    </w:r>
    <w:r>
      <w:rPr>
        <w:rFonts w:hint="eastAsia" w:ascii="宋体"/>
        <w:color w:val="333333"/>
        <w:position w:val="26"/>
        <w:sz w:val="16"/>
      </w:rPr>
      <w:t>825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Dc0ZmY3MzA5YzgwNjQwZWE5NDRiZjEzMWQ2OWM1ZjcifQ=="/>
  </w:docVars>
  <w:rsids>
    <w:rsidRoot w:val="00E14AC1"/>
    <w:rsid w:val="000007A2"/>
    <w:rsid w:val="00000E1E"/>
    <w:rsid w:val="000015B5"/>
    <w:rsid w:val="000016A6"/>
    <w:rsid w:val="00002152"/>
    <w:rsid w:val="00002A55"/>
    <w:rsid w:val="00003045"/>
    <w:rsid w:val="00003156"/>
    <w:rsid w:val="00003211"/>
    <w:rsid w:val="0000343E"/>
    <w:rsid w:val="00003A80"/>
    <w:rsid w:val="00003FC9"/>
    <w:rsid w:val="00004758"/>
    <w:rsid w:val="00004C5F"/>
    <w:rsid w:val="00004CF9"/>
    <w:rsid w:val="00004DC7"/>
    <w:rsid w:val="0000521A"/>
    <w:rsid w:val="000059AC"/>
    <w:rsid w:val="00006102"/>
    <w:rsid w:val="000061C2"/>
    <w:rsid w:val="00006385"/>
    <w:rsid w:val="000066FC"/>
    <w:rsid w:val="00006978"/>
    <w:rsid w:val="00007DEA"/>
    <w:rsid w:val="00007F08"/>
    <w:rsid w:val="00010340"/>
    <w:rsid w:val="0001088E"/>
    <w:rsid w:val="00010920"/>
    <w:rsid w:val="000116C0"/>
    <w:rsid w:val="000118E4"/>
    <w:rsid w:val="00011DAC"/>
    <w:rsid w:val="00011ED5"/>
    <w:rsid w:val="00012235"/>
    <w:rsid w:val="0001282B"/>
    <w:rsid w:val="00012C10"/>
    <w:rsid w:val="00012ECD"/>
    <w:rsid w:val="00013F8F"/>
    <w:rsid w:val="000140ED"/>
    <w:rsid w:val="000141C8"/>
    <w:rsid w:val="000148FC"/>
    <w:rsid w:val="00014ECB"/>
    <w:rsid w:val="0001548A"/>
    <w:rsid w:val="000155AC"/>
    <w:rsid w:val="0001583A"/>
    <w:rsid w:val="00015BF7"/>
    <w:rsid w:val="0001777C"/>
    <w:rsid w:val="000201B9"/>
    <w:rsid w:val="000205AE"/>
    <w:rsid w:val="0002098A"/>
    <w:rsid w:val="00020ACE"/>
    <w:rsid w:val="000213B0"/>
    <w:rsid w:val="0002255E"/>
    <w:rsid w:val="0002263E"/>
    <w:rsid w:val="0002266B"/>
    <w:rsid w:val="0002270A"/>
    <w:rsid w:val="0002289D"/>
    <w:rsid w:val="000231BE"/>
    <w:rsid w:val="00023CE1"/>
    <w:rsid w:val="00024F26"/>
    <w:rsid w:val="0002507E"/>
    <w:rsid w:val="0002629A"/>
    <w:rsid w:val="00030144"/>
    <w:rsid w:val="000304F4"/>
    <w:rsid w:val="00030D73"/>
    <w:rsid w:val="00031949"/>
    <w:rsid w:val="000319A2"/>
    <w:rsid w:val="00031BC2"/>
    <w:rsid w:val="00031E7E"/>
    <w:rsid w:val="00032978"/>
    <w:rsid w:val="00032D2B"/>
    <w:rsid w:val="00032DA5"/>
    <w:rsid w:val="000333CB"/>
    <w:rsid w:val="000336AB"/>
    <w:rsid w:val="00033CA6"/>
    <w:rsid w:val="00034CD3"/>
    <w:rsid w:val="000356C8"/>
    <w:rsid w:val="00036B5A"/>
    <w:rsid w:val="00036FB4"/>
    <w:rsid w:val="00037977"/>
    <w:rsid w:val="00037987"/>
    <w:rsid w:val="000403A4"/>
    <w:rsid w:val="00040B2A"/>
    <w:rsid w:val="000421C6"/>
    <w:rsid w:val="00042942"/>
    <w:rsid w:val="00043139"/>
    <w:rsid w:val="00043591"/>
    <w:rsid w:val="0004423E"/>
    <w:rsid w:val="00044EA8"/>
    <w:rsid w:val="0004556B"/>
    <w:rsid w:val="00045B9D"/>
    <w:rsid w:val="0004666D"/>
    <w:rsid w:val="00047627"/>
    <w:rsid w:val="00050742"/>
    <w:rsid w:val="00051199"/>
    <w:rsid w:val="00051324"/>
    <w:rsid w:val="00052344"/>
    <w:rsid w:val="000533BB"/>
    <w:rsid w:val="00053585"/>
    <w:rsid w:val="0005362D"/>
    <w:rsid w:val="00053E6A"/>
    <w:rsid w:val="0005408D"/>
    <w:rsid w:val="00054D0E"/>
    <w:rsid w:val="00055187"/>
    <w:rsid w:val="00055681"/>
    <w:rsid w:val="000558D2"/>
    <w:rsid w:val="00055CB5"/>
    <w:rsid w:val="000563A2"/>
    <w:rsid w:val="000568C9"/>
    <w:rsid w:val="000573ED"/>
    <w:rsid w:val="000579A6"/>
    <w:rsid w:val="00057DE8"/>
    <w:rsid w:val="00060360"/>
    <w:rsid w:val="00060424"/>
    <w:rsid w:val="00060B1B"/>
    <w:rsid w:val="000611E0"/>
    <w:rsid w:val="00061213"/>
    <w:rsid w:val="000623E1"/>
    <w:rsid w:val="000627FF"/>
    <w:rsid w:val="000632F5"/>
    <w:rsid w:val="0006361B"/>
    <w:rsid w:val="00064179"/>
    <w:rsid w:val="00064C73"/>
    <w:rsid w:val="00064DC8"/>
    <w:rsid w:val="0006559F"/>
    <w:rsid w:val="000658F2"/>
    <w:rsid w:val="00065941"/>
    <w:rsid w:val="000665E3"/>
    <w:rsid w:val="00066D59"/>
    <w:rsid w:val="00066D90"/>
    <w:rsid w:val="0006704A"/>
    <w:rsid w:val="000673AE"/>
    <w:rsid w:val="00067447"/>
    <w:rsid w:val="000674C6"/>
    <w:rsid w:val="000678DB"/>
    <w:rsid w:val="00067E32"/>
    <w:rsid w:val="00067EE6"/>
    <w:rsid w:val="00070437"/>
    <w:rsid w:val="0007137A"/>
    <w:rsid w:val="00071629"/>
    <w:rsid w:val="00071790"/>
    <w:rsid w:val="00071E25"/>
    <w:rsid w:val="00072872"/>
    <w:rsid w:val="0007330F"/>
    <w:rsid w:val="00073BEB"/>
    <w:rsid w:val="00073DD2"/>
    <w:rsid w:val="00074494"/>
    <w:rsid w:val="00075381"/>
    <w:rsid w:val="00075CBA"/>
    <w:rsid w:val="00075F14"/>
    <w:rsid w:val="000769BB"/>
    <w:rsid w:val="00077211"/>
    <w:rsid w:val="000772B6"/>
    <w:rsid w:val="00077CAE"/>
    <w:rsid w:val="0008145E"/>
    <w:rsid w:val="0008239F"/>
    <w:rsid w:val="00082AF3"/>
    <w:rsid w:val="00083E90"/>
    <w:rsid w:val="0008415F"/>
    <w:rsid w:val="0008435D"/>
    <w:rsid w:val="0008464A"/>
    <w:rsid w:val="00084AE9"/>
    <w:rsid w:val="00084D38"/>
    <w:rsid w:val="00085012"/>
    <w:rsid w:val="00085591"/>
    <w:rsid w:val="00085938"/>
    <w:rsid w:val="00087091"/>
    <w:rsid w:val="000903A3"/>
    <w:rsid w:val="00090A7E"/>
    <w:rsid w:val="00090CF1"/>
    <w:rsid w:val="000910A1"/>
    <w:rsid w:val="00091D3C"/>
    <w:rsid w:val="0009248C"/>
    <w:rsid w:val="00092F11"/>
    <w:rsid w:val="00093BAE"/>
    <w:rsid w:val="00093DE1"/>
    <w:rsid w:val="0009443C"/>
    <w:rsid w:val="00094EA6"/>
    <w:rsid w:val="00095E61"/>
    <w:rsid w:val="00095E7A"/>
    <w:rsid w:val="00096729"/>
    <w:rsid w:val="00096E70"/>
    <w:rsid w:val="00097273"/>
    <w:rsid w:val="000972EF"/>
    <w:rsid w:val="0009751C"/>
    <w:rsid w:val="00097AB7"/>
    <w:rsid w:val="000A0254"/>
    <w:rsid w:val="000A0755"/>
    <w:rsid w:val="000A0A65"/>
    <w:rsid w:val="000A14A4"/>
    <w:rsid w:val="000A2A6F"/>
    <w:rsid w:val="000A3094"/>
    <w:rsid w:val="000A4544"/>
    <w:rsid w:val="000A542A"/>
    <w:rsid w:val="000A64AD"/>
    <w:rsid w:val="000A6987"/>
    <w:rsid w:val="000A6B5B"/>
    <w:rsid w:val="000A7132"/>
    <w:rsid w:val="000A7675"/>
    <w:rsid w:val="000A779E"/>
    <w:rsid w:val="000A7C40"/>
    <w:rsid w:val="000A7D27"/>
    <w:rsid w:val="000B09F1"/>
    <w:rsid w:val="000B15E6"/>
    <w:rsid w:val="000B1D03"/>
    <w:rsid w:val="000B1FC5"/>
    <w:rsid w:val="000B336E"/>
    <w:rsid w:val="000B3547"/>
    <w:rsid w:val="000B4C39"/>
    <w:rsid w:val="000B5009"/>
    <w:rsid w:val="000B5033"/>
    <w:rsid w:val="000B5655"/>
    <w:rsid w:val="000B76BA"/>
    <w:rsid w:val="000B7B55"/>
    <w:rsid w:val="000B7D9A"/>
    <w:rsid w:val="000C02EA"/>
    <w:rsid w:val="000C0390"/>
    <w:rsid w:val="000C062D"/>
    <w:rsid w:val="000C0A05"/>
    <w:rsid w:val="000C0F4A"/>
    <w:rsid w:val="000C1A30"/>
    <w:rsid w:val="000C1C13"/>
    <w:rsid w:val="000C2317"/>
    <w:rsid w:val="000C259C"/>
    <w:rsid w:val="000C29A3"/>
    <w:rsid w:val="000C2AD1"/>
    <w:rsid w:val="000C3E17"/>
    <w:rsid w:val="000C4994"/>
    <w:rsid w:val="000C4F9E"/>
    <w:rsid w:val="000C5F6A"/>
    <w:rsid w:val="000C77BC"/>
    <w:rsid w:val="000C798D"/>
    <w:rsid w:val="000C7A5D"/>
    <w:rsid w:val="000C7C04"/>
    <w:rsid w:val="000D0535"/>
    <w:rsid w:val="000D0B82"/>
    <w:rsid w:val="000D0C0C"/>
    <w:rsid w:val="000D1D97"/>
    <w:rsid w:val="000D2006"/>
    <w:rsid w:val="000D216B"/>
    <w:rsid w:val="000D2835"/>
    <w:rsid w:val="000D3163"/>
    <w:rsid w:val="000D31DC"/>
    <w:rsid w:val="000D33BF"/>
    <w:rsid w:val="000D35E9"/>
    <w:rsid w:val="000D442F"/>
    <w:rsid w:val="000D48E9"/>
    <w:rsid w:val="000D4F6B"/>
    <w:rsid w:val="000D4FF5"/>
    <w:rsid w:val="000D5571"/>
    <w:rsid w:val="000D5A20"/>
    <w:rsid w:val="000D7403"/>
    <w:rsid w:val="000D7C2B"/>
    <w:rsid w:val="000E01B5"/>
    <w:rsid w:val="000E0351"/>
    <w:rsid w:val="000E08B4"/>
    <w:rsid w:val="000E1013"/>
    <w:rsid w:val="000E1262"/>
    <w:rsid w:val="000E2170"/>
    <w:rsid w:val="000E23F0"/>
    <w:rsid w:val="000E3011"/>
    <w:rsid w:val="000E346A"/>
    <w:rsid w:val="000E3494"/>
    <w:rsid w:val="000E3C40"/>
    <w:rsid w:val="000E494A"/>
    <w:rsid w:val="000E4F1F"/>
    <w:rsid w:val="000E4FCC"/>
    <w:rsid w:val="000E52C1"/>
    <w:rsid w:val="000E7801"/>
    <w:rsid w:val="000E7BC7"/>
    <w:rsid w:val="000F0548"/>
    <w:rsid w:val="000F0FA0"/>
    <w:rsid w:val="000F14D0"/>
    <w:rsid w:val="000F2098"/>
    <w:rsid w:val="000F3233"/>
    <w:rsid w:val="000F3D4D"/>
    <w:rsid w:val="000F4039"/>
    <w:rsid w:val="000F4CA8"/>
    <w:rsid w:val="000F5365"/>
    <w:rsid w:val="000F5A39"/>
    <w:rsid w:val="000F5F4B"/>
    <w:rsid w:val="000F65BD"/>
    <w:rsid w:val="000F6A7E"/>
    <w:rsid w:val="000F7DEE"/>
    <w:rsid w:val="0010042A"/>
    <w:rsid w:val="0010162A"/>
    <w:rsid w:val="001051E8"/>
    <w:rsid w:val="001052C2"/>
    <w:rsid w:val="00105A49"/>
    <w:rsid w:val="00105E7C"/>
    <w:rsid w:val="001060BC"/>
    <w:rsid w:val="001073F8"/>
    <w:rsid w:val="00107570"/>
    <w:rsid w:val="00107660"/>
    <w:rsid w:val="00107A96"/>
    <w:rsid w:val="00107F0D"/>
    <w:rsid w:val="0011063B"/>
    <w:rsid w:val="001106C1"/>
    <w:rsid w:val="001109BD"/>
    <w:rsid w:val="00110F49"/>
    <w:rsid w:val="001115EE"/>
    <w:rsid w:val="00111622"/>
    <w:rsid w:val="00113AE9"/>
    <w:rsid w:val="00113DB4"/>
    <w:rsid w:val="00114064"/>
    <w:rsid w:val="00114703"/>
    <w:rsid w:val="001148E2"/>
    <w:rsid w:val="00114BEA"/>
    <w:rsid w:val="0011529B"/>
    <w:rsid w:val="001152D5"/>
    <w:rsid w:val="00115322"/>
    <w:rsid w:val="001163D5"/>
    <w:rsid w:val="001165EA"/>
    <w:rsid w:val="00116C5C"/>
    <w:rsid w:val="00116F75"/>
    <w:rsid w:val="0011747E"/>
    <w:rsid w:val="0011780B"/>
    <w:rsid w:val="00117E6A"/>
    <w:rsid w:val="00120A57"/>
    <w:rsid w:val="00121829"/>
    <w:rsid w:val="00121B3E"/>
    <w:rsid w:val="00121BEB"/>
    <w:rsid w:val="00122286"/>
    <w:rsid w:val="00122C42"/>
    <w:rsid w:val="00122CFE"/>
    <w:rsid w:val="00123194"/>
    <w:rsid w:val="0012351D"/>
    <w:rsid w:val="00123C07"/>
    <w:rsid w:val="00125091"/>
    <w:rsid w:val="00125136"/>
    <w:rsid w:val="00125D71"/>
    <w:rsid w:val="00125EE2"/>
    <w:rsid w:val="00127224"/>
    <w:rsid w:val="00127A83"/>
    <w:rsid w:val="00130161"/>
    <w:rsid w:val="0013020C"/>
    <w:rsid w:val="00131870"/>
    <w:rsid w:val="00133227"/>
    <w:rsid w:val="0013355E"/>
    <w:rsid w:val="00133D6A"/>
    <w:rsid w:val="0013417F"/>
    <w:rsid w:val="00134336"/>
    <w:rsid w:val="00134AF5"/>
    <w:rsid w:val="00135D86"/>
    <w:rsid w:val="001369A3"/>
    <w:rsid w:val="001371C5"/>
    <w:rsid w:val="00137652"/>
    <w:rsid w:val="00137708"/>
    <w:rsid w:val="00137C59"/>
    <w:rsid w:val="00137D22"/>
    <w:rsid w:val="0014050D"/>
    <w:rsid w:val="00140525"/>
    <w:rsid w:val="0014086E"/>
    <w:rsid w:val="0014096F"/>
    <w:rsid w:val="00141CCB"/>
    <w:rsid w:val="00141DDB"/>
    <w:rsid w:val="0014254F"/>
    <w:rsid w:val="0014304F"/>
    <w:rsid w:val="00143084"/>
    <w:rsid w:val="00143127"/>
    <w:rsid w:val="00143963"/>
    <w:rsid w:val="00143B9B"/>
    <w:rsid w:val="00144081"/>
    <w:rsid w:val="00144E88"/>
    <w:rsid w:val="00145060"/>
    <w:rsid w:val="001453A7"/>
    <w:rsid w:val="001457A6"/>
    <w:rsid w:val="00145A8E"/>
    <w:rsid w:val="00150FB6"/>
    <w:rsid w:val="0015157D"/>
    <w:rsid w:val="001521E2"/>
    <w:rsid w:val="00152B5C"/>
    <w:rsid w:val="00153D95"/>
    <w:rsid w:val="00153F0E"/>
    <w:rsid w:val="00156086"/>
    <w:rsid w:val="00156337"/>
    <w:rsid w:val="00156ED2"/>
    <w:rsid w:val="00157031"/>
    <w:rsid w:val="0015715C"/>
    <w:rsid w:val="001575EB"/>
    <w:rsid w:val="001579BA"/>
    <w:rsid w:val="00157D82"/>
    <w:rsid w:val="00160BCC"/>
    <w:rsid w:val="00160C26"/>
    <w:rsid w:val="0016165E"/>
    <w:rsid w:val="0016216D"/>
    <w:rsid w:val="00162801"/>
    <w:rsid w:val="001637CB"/>
    <w:rsid w:val="00164433"/>
    <w:rsid w:val="00164A9E"/>
    <w:rsid w:val="00164D07"/>
    <w:rsid w:val="00164DA5"/>
    <w:rsid w:val="00164DFC"/>
    <w:rsid w:val="00166041"/>
    <w:rsid w:val="00166C74"/>
    <w:rsid w:val="00166D16"/>
    <w:rsid w:val="00167E18"/>
    <w:rsid w:val="001702C1"/>
    <w:rsid w:val="00170E90"/>
    <w:rsid w:val="00170F45"/>
    <w:rsid w:val="001721F0"/>
    <w:rsid w:val="0017238E"/>
    <w:rsid w:val="00173EE1"/>
    <w:rsid w:val="001743AC"/>
    <w:rsid w:val="001743DA"/>
    <w:rsid w:val="00174FAA"/>
    <w:rsid w:val="00175574"/>
    <w:rsid w:val="00175FEE"/>
    <w:rsid w:val="001763D0"/>
    <w:rsid w:val="00176B0F"/>
    <w:rsid w:val="00176F8C"/>
    <w:rsid w:val="00177594"/>
    <w:rsid w:val="001806AF"/>
    <w:rsid w:val="00181175"/>
    <w:rsid w:val="0018161A"/>
    <w:rsid w:val="00181E78"/>
    <w:rsid w:val="00182089"/>
    <w:rsid w:val="00182987"/>
    <w:rsid w:val="001829CB"/>
    <w:rsid w:val="00182BF0"/>
    <w:rsid w:val="00182C4C"/>
    <w:rsid w:val="00182DD4"/>
    <w:rsid w:val="0018329B"/>
    <w:rsid w:val="001833BB"/>
    <w:rsid w:val="00183835"/>
    <w:rsid w:val="001842AF"/>
    <w:rsid w:val="00184A61"/>
    <w:rsid w:val="00184D52"/>
    <w:rsid w:val="0018691B"/>
    <w:rsid w:val="00186FB6"/>
    <w:rsid w:val="0018722D"/>
    <w:rsid w:val="00187E10"/>
    <w:rsid w:val="0019055C"/>
    <w:rsid w:val="001906B6"/>
    <w:rsid w:val="001914E8"/>
    <w:rsid w:val="0019165B"/>
    <w:rsid w:val="0019168C"/>
    <w:rsid w:val="0019175C"/>
    <w:rsid w:val="00192AF5"/>
    <w:rsid w:val="00192DD7"/>
    <w:rsid w:val="00192E81"/>
    <w:rsid w:val="001935E5"/>
    <w:rsid w:val="00193947"/>
    <w:rsid w:val="001949DB"/>
    <w:rsid w:val="00195D88"/>
    <w:rsid w:val="00196A42"/>
    <w:rsid w:val="00196B7E"/>
    <w:rsid w:val="00196C09"/>
    <w:rsid w:val="00196D18"/>
    <w:rsid w:val="00197109"/>
    <w:rsid w:val="001A0249"/>
    <w:rsid w:val="001A0D5A"/>
    <w:rsid w:val="001A2038"/>
    <w:rsid w:val="001A2487"/>
    <w:rsid w:val="001A3074"/>
    <w:rsid w:val="001A467A"/>
    <w:rsid w:val="001A4DD5"/>
    <w:rsid w:val="001A583B"/>
    <w:rsid w:val="001A5AD9"/>
    <w:rsid w:val="001A62D5"/>
    <w:rsid w:val="001A6D19"/>
    <w:rsid w:val="001A79A3"/>
    <w:rsid w:val="001B0297"/>
    <w:rsid w:val="001B0724"/>
    <w:rsid w:val="001B08C9"/>
    <w:rsid w:val="001B19D8"/>
    <w:rsid w:val="001B26CD"/>
    <w:rsid w:val="001B3938"/>
    <w:rsid w:val="001B415E"/>
    <w:rsid w:val="001B4344"/>
    <w:rsid w:val="001B45C3"/>
    <w:rsid w:val="001B504D"/>
    <w:rsid w:val="001B5623"/>
    <w:rsid w:val="001B5998"/>
    <w:rsid w:val="001B6E8E"/>
    <w:rsid w:val="001C05FD"/>
    <w:rsid w:val="001C0BBC"/>
    <w:rsid w:val="001C0F2D"/>
    <w:rsid w:val="001C1060"/>
    <w:rsid w:val="001C15C9"/>
    <w:rsid w:val="001C196E"/>
    <w:rsid w:val="001C1CB0"/>
    <w:rsid w:val="001C1E82"/>
    <w:rsid w:val="001C2913"/>
    <w:rsid w:val="001C3B4E"/>
    <w:rsid w:val="001C3E35"/>
    <w:rsid w:val="001C3F8E"/>
    <w:rsid w:val="001C412B"/>
    <w:rsid w:val="001C44A9"/>
    <w:rsid w:val="001C49C5"/>
    <w:rsid w:val="001C4BB2"/>
    <w:rsid w:val="001C4D50"/>
    <w:rsid w:val="001C5132"/>
    <w:rsid w:val="001C55AE"/>
    <w:rsid w:val="001C5AD9"/>
    <w:rsid w:val="001D048E"/>
    <w:rsid w:val="001D0E0F"/>
    <w:rsid w:val="001D13D0"/>
    <w:rsid w:val="001D2235"/>
    <w:rsid w:val="001D2BA3"/>
    <w:rsid w:val="001D4394"/>
    <w:rsid w:val="001D43BB"/>
    <w:rsid w:val="001D460E"/>
    <w:rsid w:val="001D4850"/>
    <w:rsid w:val="001D49D2"/>
    <w:rsid w:val="001D4D2D"/>
    <w:rsid w:val="001D50E9"/>
    <w:rsid w:val="001D5965"/>
    <w:rsid w:val="001D5C6E"/>
    <w:rsid w:val="001D6992"/>
    <w:rsid w:val="001D6D00"/>
    <w:rsid w:val="001E08AD"/>
    <w:rsid w:val="001E15AE"/>
    <w:rsid w:val="001E2AE3"/>
    <w:rsid w:val="001E3861"/>
    <w:rsid w:val="001E3BE1"/>
    <w:rsid w:val="001E3FB0"/>
    <w:rsid w:val="001E515C"/>
    <w:rsid w:val="001E686D"/>
    <w:rsid w:val="001E6C05"/>
    <w:rsid w:val="001E7458"/>
    <w:rsid w:val="001E7FBE"/>
    <w:rsid w:val="001F054E"/>
    <w:rsid w:val="001F1183"/>
    <w:rsid w:val="001F150A"/>
    <w:rsid w:val="001F17AF"/>
    <w:rsid w:val="001F189F"/>
    <w:rsid w:val="001F1958"/>
    <w:rsid w:val="001F2905"/>
    <w:rsid w:val="001F318D"/>
    <w:rsid w:val="001F3293"/>
    <w:rsid w:val="001F3449"/>
    <w:rsid w:val="001F47E9"/>
    <w:rsid w:val="001F6EAD"/>
    <w:rsid w:val="001F76DD"/>
    <w:rsid w:val="001F7ADE"/>
    <w:rsid w:val="00200D2A"/>
    <w:rsid w:val="00201082"/>
    <w:rsid w:val="00201798"/>
    <w:rsid w:val="00201C85"/>
    <w:rsid w:val="00201C9F"/>
    <w:rsid w:val="00202855"/>
    <w:rsid w:val="00202DF4"/>
    <w:rsid w:val="00203863"/>
    <w:rsid w:val="00204FDF"/>
    <w:rsid w:val="0020526B"/>
    <w:rsid w:val="00205D08"/>
    <w:rsid w:val="002061B1"/>
    <w:rsid w:val="002065F9"/>
    <w:rsid w:val="0020669C"/>
    <w:rsid w:val="00207287"/>
    <w:rsid w:val="002101AB"/>
    <w:rsid w:val="00210461"/>
    <w:rsid w:val="00210ECC"/>
    <w:rsid w:val="0021120F"/>
    <w:rsid w:val="00211595"/>
    <w:rsid w:val="00212824"/>
    <w:rsid w:val="00214ABB"/>
    <w:rsid w:val="00214D8C"/>
    <w:rsid w:val="00215341"/>
    <w:rsid w:val="002158CB"/>
    <w:rsid w:val="00217104"/>
    <w:rsid w:val="0021799F"/>
    <w:rsid w:val="00220AF7"/>
    <w:rsid w:val="00220FDF"/>
    <w:rsid w:val="002227E9"/>
    <w:rsid w:val="002229BA"/>
    <w:rsid w:val="00222E7A"/>
    <w:rsid w:val="00223CA6"/>
    <w:rsid w:val="0022500B"/>
    <w:rsid w:val="00225853"/>
    <w:rsid w:val="00225A85"/>
    <w:rsid w:val="00225BF2"/>
    <w:rsid w:val="00226150"/>
    <w:rsid w:val="0022747F"/>
    <w:rsid w:val="002304DF"/>
    <w:rsid w:val="00232141"/>
    <w:rsid w:val="0023224F"/>
    <w:rsid w:val="0023241A"/>
    <w:rsid w:val="0023268C"/>
    <w:rsid w:val="002338E2"/>
    <w:rsid w:val="002352D6"/>
    <w:rsid w:val="00235BC8"/>
    <w:rsid w:val="00235D8C"/>
    <w:rsid w:val="00236801"/>
    <w:rsid w:val="00236BE7"/>
    <w:rsid w:val="002371FB"/>
    <w:rsid w:val="00237219"/>
    <w:rsid w:val="00240A93"/>
    <w:rsid w:val="00240BDC"/>
    <w:rsid w:val="00241708"/>
    <w:rsid w:val="002417BF"/>
    <w:rsid w:val="00241DD9"/>
    <w:rsid w:val="00242D5C"/>
    <w:rsid w:val="0024473C"/>
    <w:rsid w:val="00244BC5"/>
    <w:rsid w:val="00245CE8"/>
    <w:rsid w:val="002469A8"/>
    <w:rsid w:val="00246FC9"/>
    <w:rsid w:val="002478ED"/>
    <w:rsid w:val="00247A32"/>
    <w:rsid w:val="00250A8B"/>
    <w:rsid w:val="00250CD5"/>
    <w:rsid w:val="002512D5"/>
    <w:rsid w:val="00251326"/>
    <w:rsid w:val="00252DE2"/>
    <w:rsid w:val="00253B2F"/>
    <w:rsid w:val="00254095"/>
    <w:rsid w:val="002547B2"/>
    <w:rsid w:val="002556B4"/>
    <w:rsid w:val="0025583E"/>
    <w:rsid w:val="002560AE"/>
    <w:rsid w:val="002562EF"/>
    <w:rsid w:val="00257310"/>
    <w:rsid w:val="00257B0C"/>
    <w:rsid w:val="002602F6"/>
    <w:rsid w:val="002606A1"/>
    <w:rsid w:val="002626E1"/>
    <w:rsid w:val="00263044"/>
    <w:rsid w:val="0026316D"/>
    <w:rsid w:val="0026370E"/>
    <w:rsid w:val="0026371A"/>
    <w:rsid w:val="00263C96"/>
    <w:rsid w:val="00264577"/>
    <w:rsid w:val="00264641"/>
    <w:rsid w:val="00264A7C"/>
    <w:rsid w:val="00264D38"/>
    <w:rsid w:val="00265404"/>
    <w:rsid w:val="0026564B"/>
    <w:rsid w:val="00266BB4"/>
    <w:rsid w:val="00266EEA"/>
    <w:rsid w:val="00267214"/>
    <w:rsid w:val="00270A12"/>
    <w:rsid w:val="00270AAA"/>
    <w:rsid w:val="00270DA5"/>
    <w:rsid w:val="00270FD3"/>
    <w:rsid w:val="00271671"/>
    <w:rsid w:val="00271B26"/>
    <w:rsid w:val="00271B8B"/>
    <w:rsid w:val="00271E8C"/>
    <w:rsid w:val="002725F8"/>
    <w:rsid w:val="00272FA9"/>
    <w:rsid w:val="002732AC"/>
    <w:rsid w:val="002735E8"/>
    <w:rsid w:val="00273716"/>
    <w:rsid w:val="00273A3B"/>
    <w:rsid w:val="00273E21"/>
    <w:rsid w:val="0027470D"/>
    <w:rsid w:val="002748F8"/>
    <w:rsid w:val="002758AC"/>
    <w:rsid w:val="00275D9C"/>
    <w:rsid w:val="00277458"/>
    <w:rsid w:val="00277B09"/>
    <w:rsid w:val="00280D3E"/>
    <w:rsid w:val="00280F68"/>
    <w:rsid w:val="00281076"/>
    <w:rsid w:val="00281C34"/>
    <w:rsid w:val="00281D27"/>
    <w:rsid w:val="002825F7"/>
    <w:rsid w:val="00282833"/>
    <w:rsid w:val="002833A9"/>
    <w:rsid w:val="002838F6"/>
    <w:rsid w:val="002839E5"/>
    <w:rsid w:val="002846D6"/>
    <w:rsid w:val="00284B68"/>
    <w:rsid w:val="00284C51"/>
    <w:rsid w:val="00284F8D"/>
    <w:rsid w:val="002853D4"/>
    <w:rsid w:val="002858D8"/>
    <w:rsid w:val="00286C6E"/>
    <w:rsid w:val="00287654"/>
    <w:rsid w:val="00287C9B"/>
    <w:rsid w:val="00290362"/>
    <w:rsid w:val="002903FC"/>
    <w:rsid w:val="00290661"/>
    <w:rsid w:val="00290857"/>
    <w:rsid w:val="0029094A"/>
    <w:rsid w:val="00291634"/>
    <w:rsid w:val="00292193"/>
    <w:rsid w:val="00293277"/>
    <w:rsid w:val="00293303"/>
    <w:rsid w:val="0029338D"/>
    <w:rsid w:val="00293AFA"/>
    <w:rsid w:val="00293E66"/>
    <w:rsid w:val="0029554F"/>
    <w:rsid w:val="00297310"/>
    <w:rsid w:val="0029736A"/>
    <w:rsid w:val="002A06F7"/>
    <w:rsid w:val="002A0E96"/>
    <w:rsid w:val="002A12F3"/>
    <w:rsid w:val="002A17F4"/>
    <w:rsid w:val="002A228D"/>
    <w:rsid w:val="002A26CD"/>
    <w:rsid w:val="002A2834"/>
    <w:rsid w:val="002A3226"/>
    <w:rsid w:val="002A3815"/>
    <w:rsid w:val="002A3DB5"/>
    <w:rsid w:val="002A40B4"/>
    <w:rsid w:val="002A47EC"/>
    <w:rsid w:val="002A48EB"/>
    <w:rsid w:val="002A4E28"/>
    <w:rsid w:val="002A5B8C"/>
    <w:rsid w:val="002A607D"/>
    <w:rsid w:val="002A63A0"/>
    <w:rsid w:val="002A6F19"/>
    <w:rsid w:val="002A7790"/>
    <w:rsid w:val="002A7FB3"/>
    <w:rsid w:val="002B004D"/>
    <w:rsid w:val="002B0511"/>
    <w:rsid w:val="002B0CC7"/>
    <w:rsid w:val="002B0DD6"/>
    <w:rsid w:val="002B0E5E"/>
    <w:rsid w:val="002B13FD"/>
    <w:rsid w:val="002B16B6"/>
    <w:rsid w:val="002B1751"/>
    <w:rsid w:val="002B1D54"/>
    <w:rsid w:val="002B20AA"/>
    <w:rsid w:val="002B2581"/>
    <w:rsid w:val="002B326E"/>
    <w:rsid w:val="002B339C"/>
    <w:rsid w:val="002B351B"/>
    <w:rsid w:val="002B3770"/>
    <w:rsid w:val="002B397E"/>
    <w:rsid w:val="002B3AA2"/>
    <w:rsid w:val="002B3B0D"/>
    <w:rsid w:val="002B4DC0"/>
    <w:rsid w:val="002B50D1"/>
    <w:rsid w:val="002B58B0"/>
    <w:rsid w:val="002B607F"/>
    <w:rsid w:val="002B6937"/>
    <w:rsid w:val="002B6FAC"/>
    <w:rsid w:val="002B79AA"/>
    <w:rsid w:val="002C00A7"/>
    <w:rsid w:val="002C06AD"/>
    <w:rsid w:val="002C1C49"/>
    <w:rsid w:val="002C2D3F"/>
    <w:rsid w:val="002C3A07"/>
    <w:rsid w:val="002C4352"/>
    <w:rsid w:val="002C4774"/>
    <w:rsid w:val="002C47A9"/>
    <w:rsid w:val="002C48D2"/>
    <w:rsid w:val="002C5B8C"/>
    <w:rsid w:val="002C652B"/>
    <w:rsid w:val="002C6EDB"/>
    <w:rsid w:val="002C7303"/>
    <w:rsid w:val="002C736F"/>
    <w:rsid w:val="002C75B0"/>
    <w:rsid w:val="002C7725"/>
    <w:rsid w:val="002D00B9"/>
    <w:rsid w:val="002D015B"/>
    <w:rsid w:val="002D03CF"/>
    <w:rsid w:val="002D0418"/>
    <w:rsid w:val="002D0D45"/>
    <w:rsid w:val="002D15BD"/>
    <w:rsid w:val="002D1745"/>
    <w:rsid w:val="002D2122"/>
    <w:rsid w:val="002D2791"/>
    <w:rsid w:val="002D2F3F"/>
    <w:rsid w:val="002D3080"/>
    <w:rsid w:val="002D3318"/>
    <w:rsid w:val="002D3AFB"/>
    <w:rsid w:val="002D3C26"/>
    <w:rsid w:val="002D477D"/>
    <w:rsid w:val="002D487A"/>
    <w:rsid w:val="002D686D"/>
    <w:rsid w:val="002D6933"/>
    <w:rsid w:val="002D6C82"/>
    <w:rsid w:val="002D6D62"/>
    <w:rsid w:val="002D6E5D"/>
    <w:rsid w:val="002E04BA"/>
    <w:rsid w:val="002E09F5"/>
    <w:rsid w:val="002E1D9E"/>
    <w:rsid w:val="002E213D"/>
    <w:rsid w:val="002E2485"/>
    <w:rsid w:val="002E3E93"/>
    <w:rsid w:val="002E4103"/>
    <w:rsid w:val="002E4391"/>
    <w:rsid w:val="002E5074"/>
    <w:rsid w:val="002E5D7F"/>
    <w:rsid w:val="002E6F3D"/>
    <w:rsid w:val="002E736F"/>
    <w:rsid w:val="002E749F"/>
    <w:rsid w:val="002F0814"/>
    <w:rsid w:val="002F1AF7"/>
    <w:rsid w:val="002F2023"/>
    <w:rsid w:val="002F2567"/>
    <w:rsid w:val="002F26D9"/>
    <w:rsid w:val="002F281D"/>
    <w:rsid w:val="002F3970"/>
    <w:rsid w:val="002F411E"/>
    <w:rsid w:val="002F5EC4"/>
    <w:rsid w:val="002F6DC1"/>
    <w:rsid w:val="002F74AB"/>
    <w:rsid w:val="002F760E"/>
    <w:rsid w:val="002F7D49"/>
    <w:rsid w:val="003001A1"/>
    <w:rsid w:val="00300439"/>
    <w:rsid w:val="00301071"/>
    <w:rsid w:val="003015D6"/>
    <w:rsid w:val="00301FA8"/>
    <w:rsid w:val="003031A9"/>
    <w:rsid w:val="00303471"/>
    <w:rsid w:val="0030361B"/>
    <w:rsid w:val="0030392D"/>
    <w:rsid w:val="00304183"/>
    <w:rsid w:val="00304899"/>
    <w:rsid w:val="00305417"/>
    <w:rsid w:val="00306236"/>
    <w:rsid w:val="003063EA"/>
    <w:rsid w:val="003075C9"/>
    <w:rsid w:val="003077BE"/>
    <w:rsid w:val="00307B93"/>
    <w:rsid w:val="00310AA5"/>
    <w:rsid w:val="0031170B"/>
    <w:rsid w:val="00311864"/>
    <w:rsid w:val="00311E0E"/>
    <w:rsid w:val="00311E62"/>
    <w:rsid w:val="00312AAC"/>
    <w:rsid w:val="00312EE7"/>
    <w:rsid w:val="00313F43"/>
    <w:rsid w:val="003143AF"/>
    <w:rsid w:val="003151B0"/>
    <w:rsid w:val="00315FF6"/>
    <w:rsid w:val="003169E8"/>
    <w:rsid w:val="0031709D"/>
    <w:rsid w:val="003172B3"/>
    <w:rsid w:val="00317CE8"/>
    <w:rsid w:val="0032049B"/>
    <w:rsid w:val="00320CE5"/>
    <w:rsid w:val="003211A8"/>
    <w:rsid w:val="00321AE8"/>
    <w:rsid w:val="00322368"/>
    <w:rsid w:val="00322754"/>
    <w:rsid w:val="00323C1A"/>
    <w:rsid w:val="0032475E"/>
    <w:rsid w:val="00325403"/>
    <w:rsid w:val="0032585A"/>
    <w:rsid w:val="00325901"/>
    <w:rsid w:val="00325D03"/>
    <w:rsid w:val="00326099"/>
    <w:rsid w:val="00326234"/>
    <w:rsid w:val="00326855"/>
    <w:rsid w:val="00327A16"/>
    <w:rsid w:val="003318EB"/>
    <w:rsid w:val="00331C6D"/>
    <w:rsid w:val="00332209"/>
    <w:rsid w:val="0033253C"/>
    <w:rsid w:val="003326B6"/>
    <w:rsid w:val="00333E47"/>
    <w:rsid w:val="00334B0B"/>
    <w:rsid w:val="00334EFB"/>
    <w:rsid w:val="00335ABF"/>
    <w:rsid w:val="00335B6B"/>
    <w:rsid w:val="00336045"/>
    <w:rsid w:val="00336331"/>
    <w:rsid w:val="00336787"/>
    <w:rsid w:val="00341913"/>
    <w:rsid w:val="00341CAB"/>
    <w:rsid w:val="00341EDD"/>
    <w:rsid w:val="00342258"/>
    <w:rsid w:val="00342BC8"/>
    <w:rsid w:val="00343397"/>
    <w:rsid w:val="003433BE"/>
    <w:rsid w:val="0034357A"/>
    <w:rsid w:val="0034369D"/>
    <w:rsid w:val="00344D4B"/>
    <w:rsid w:val="00345842"/>
    <w:rsid w:val="0034698E"/>
    <w:rsid w:val="00347FCF"/>
    <w:rsid w:val="00350862"/>
    <w:rsid w:val="00350C3D"/>
    <w:rsid w:val="00350FE3"/>
    <w:rsid w:val="00351386"/>
    <w:rsid w:val="00351AA5"/>
    <w:rsid w:val="003540DB"/>
    <w:rsid w:val="00354AF5"/>
    <w:rsid w:val="00354C85"/>
    <w:rsid w:val="00355BDE"/>
    <w:rsid w:val="00355EF2"/>
    <w:rsid w:val="00356894"/>
    <w:rsid w:val="0035698C"/>
    <w:rsid w:val="00361119"/>
    <w:rsid w:val="0036299B"/>
    <w:rsid w:val="00362F66"/>
    <w:rsid w:val="0036311D"/>
    <w:rsid w:val="0036314D"/>
    <w:rsid w:val="00363277"/>
    <w:rsid w:val="00363439"/>
    <w:rsid w:val="003651C6"/>
    <w:rsid w:val="003654A7"/>
    <w:rsid w:val="003654B0"/>
    <w:rsid w:val="00365B52"/>
    <w:rsid w:val="00365C19"/>
    <w:rsid w:val="00365D6D"/>
    <w:rsid w:val="00365F40"/>
    <w:rsid w:val="00366ABC"/>
    <w:rsid w:val="003675A8"/>
    <w:rsid w:val="003708BC"/>
    <w:rsid w:val="00370BB0"/>
    <w:rsid w:val="00371063"/>
    <w:rsid w:val="003717AF"/>
    <w:rsid w:val="00371E74"/>
    <w:rsid w:val="003721EA"/>
    <w:rsid w:val="003726BA"/>
    <w:rsid w:val="00372AA6"/>
    <w:rsid w:val="00372C60"/>
    <w:rsid w:val="00373A92"/>
    <w:rsid w:val="00373B78"/>
    <w:rsid w:val="00374107"/>
    <w:rsid w:val="00374194"/>
    <w:rsid w:val="00374CCB"/>
    <w:rsid w:val="00375AEB"/>
    <w:rsid w:val="0037659E"/>
    <w:rsid w:val="0037661D"/>
    <w:rsid w:val="00380436"/>
    <w:rsid w:val="00380ECC"/>
    <w:rsid w:val="003813EF"/>
    <w:rsid w:val="00381487"/>
    <w:rsid w:val="00382391"/>
    <w:rsid w:val="003833D8"/>
    <w:rsid w:val="003834B6"/>
    <w:rsid w:val="0038400C"/>
    <w:rsid w:val="003846C7"/>
    <w:rsid w:val="0038494E"/>
    <w:rsid w:val="003849E7"/>
    <w:rsid w:val="00384E17"/>
    <w:rsid w:val="003850C6"/>
    <w:rsid w:val="00385946"/>
    <w:rsid w:val="00385A0F"/>
    <w:rsid w:val="003860E0"/>
    <w:rsid w:val="00386B47"/>
    <w:rsid w:val="00386DB8"/>
    <w:rsid w:val="00387858"/>
    <w:rsid w:val="00390737"/>
    <w:rsid w:val="00390FD7"/>
    <w:rsid w:val="00391131"/>
    <w:rsid w:val="00391301"/>
    <w:rsid w:val="00391EBC"/>
    <w:rsid w:val="003934E4"/>
    <w:rsid w:val="0039355C"/>
    <w:rsid w:val="00393630"/>
    <w:rsid w:val="0039428E"/>
    <w:rsid w:val="003945FC"/>
    <w:rsid w:val="0039469C"/>
    <w:rsid w:val="00395230"/>
    <w:rsid w:val="003952BB"/>
    <w:rsid w:val="00395744"/>
    <w:rsid w:val="003957DE"/>
    <w:rsid w:val="00396389"/>
    <w:rsid w:val="003964D4"/>
    <w:rsid w:val="003968D7"/>
    <w:rsid w:val="00396DE1"/>
    <w:rsid w:val="003A0015"/>
    <w:rsid w:val="003A029D"/>
    <w:rsid w:val="003A2EE9"/>
    <w:rsid w:val="003A333B"/>
    <w:rsid w:val="003A404E"/>
    <w:rsid w:val="003A46F7"/>
    <w:rsid w:val="003A5606"/>
    <w:rsid w:val="003A567F"/>
    <w:rsid w:val="003A6366"/>
    <w:rsid w:val="003B0421"/>
    <w:rsid w:val="003B0651"/>
    <w:rsid w:val="003B0B56"/>
    <w:rsid w:val="003B0E3D"/>
    <w:rsid w:val="003B139E"/>
    <w:rsid w:val="003B14BC"/>
    <w:rsid w:val="003B1B65"/>
    <w:rsid w:val="003B1BAF"/>
    <w:rsid w:val="003B246A"/>
    <w:rsid w:val="003B291C"/>
    <w:rsid w:val="003B358E"/>
    <w:rsid w:val="003B3E2A"/>
    <w:rsid w:val="003B45B0"/>
    <w:rsid w:val="003B4A95"/>
    <w:rsid w:val="003B4DDF"/>
    <w:rsid w:val="003B5B60"/>
    <w:rsid w:val="003B651F"/>
    <w:rsid w:val="003B6CE8"/>
    <w:rsid w:val="003B71DB"/>
    <w:rsid w:val="003B7690"/>
    <w:rsid w:val="003B7AD5"/>
    <w:rsid w:val="003B7C6C"/>
    <w:rsid w:val="003C0088"/>
    <w:rsid w:val="003C0E51"/>
    <w:rsid w:val="003C1A54"/>
    <w:rsid w:val="003C1EA4"/>
    <w:rsid w:val="003C22D3"/>
    <w:rsid w:val="003C3107"/>
    <w:rsid w:val="003C388D"/>
    <w:rsid w:val="003C544E"/>
    <w:rsid w:val="003C5594"/>
    <w:rsid w:val="003C58BE"/>
    <w:rsid w:val="003C67B3"/>
    <w:rsid w:val="003C706E"/>
    <w:rsid w:val="003C7411"/>
    <w:rsid w:val="003C7465"/>
    <w:rsid w:val="003C7722"/>
    <w:rsid w:val="003D012A"/>
    <w:rsid w:val="003D3B31"/>
    <w:rsid w:val="003D46D6"/>
    <w:rsid w:val="003D538C"/>
    <w:rsid w:val="003D669F"/>
    <w:rsid w:val="003D7228"/>
    <w:rsid w:val="003D7773"/>
    <w:rsid w:val="003E0898"/>
    <w:rsid w:val="003E0A92"/>
    <w:rsid w:val="003E1664"/>
    <w:rsid w:val="003E1A81"/>
    <w:rsid w:val="003E2393"/>
    <w:rsid w:val="003E25FF"/>
    <w:rsid w:val="003E285F"/>
    <w:rsid w:val="003E31C6"/>
    <w:rsid w:val="003E4168"/>
    <w:rsid w:val="003E4CA7"/>
    <w:rsid w:val="003E4D4D"/>
    <w:rsid w:val="003E4FE4"/>
    <w:rsid w:val="003E5281"/>
    <w:rsid w:val="003E59A4"/>
    <w:rsid w:val="003E68BC"/>
    <w:rsid w:val="003E75B9"/>
    <w:rsid w:val="003E783D"/>
    <w:rsid w:val="003E7D7C"/>
    <w:rsid w:val="003F014A"/>
    <w:rsid w:val="003F1950"/>
    <w:rsid w:val="003F20C6"/>
    <w:rsid w:val="003F236E"/>
    <w:rsid w:val="003F5D78"/>
    <w:rsid w:val="003F6516"/>
    <w:rsid w:val="003F6553"/>
    <w:rsid w:val="003F683F"/>
    <w:rsid w:val="003F7504"/>
    <w:rsid w:val="003F7654"/>
    <w:rsid w:val="003F7A02"/>
    <w:rsid w:val="00400300"/>
    <w:rsid w:val="00400350"/>
    <w:rsid w:val="00400793"/>
    <w:rsid w:val="00400A4A"/>
    <w:rsid w:val="00400B45"/>
    <w:rsid w:val="004011FF"/>
    <w:rsid w:val="00401464"/>
    <w:rsid w:val="00401B25"/>
    <w:rsid w:val="00403574"/>
    <w:rsid w:val="00403629"/>
    <w:rsid w:val="00403B9E"/>
    <w:rsid w:val="00403F2D"/>
    <w:rsid w:val="004047D6"/>
    <w:rsid w:val="00405259"/>
    <w:rsid w:val="00405B13"/>
    <w:rsid w:val="004061DA"/>
    <w:rsid w:val="00406702"/>
    <w:rsid w:val="004068FD"/>
    <w:rsid w:val="00410122"/>
    <w:rsid w:val="0041169E"/>
    <w:rsid w:val="00411820"/>
    <w:rsid w:val="0041189A"/>
    <w:rsid w:val="00411CBF"/>
    <w:rsid w:val="00411E56"/>
    <w:rsid w:val="004128B8"/>
    <w:rsid w:val="00412E63"/>
    <w:rsid w:val="004136E4"/>
    <w:rsid w:val="0041387C"/>
    <w:rsid w:val="004139CF"/>
    <w:rsid w:val="004141B9"/>
    <w:rsid w:val="004154D0"/>
    <w:rsid w:val="00415D16"/>
    <w:rsid w:val="00415F2A"/>
    <w:rsid w:val="004165CD"/>
    <w:rsid w:val="00416EC1"/>
    <w:rsid w:val="004179C9"/>
    <w:rsid w:val="0042043D"/>
    <w:rsid w:val="004204CD"/>
    <w:rsid w:val="00420828"/>
    <w:rsid w:val="004209EE"/>
    <w:rsid w:val="0042115F"/>
    <w:rsid w:val="0042156A"/>
    <w:rsid w:val="004222AD"/>
    <w:rsid w:val="0042575F"/>
    <w:rsid w:val="00425880"/>
    <w:rsid w:val="004278F8"/>
    <w:rsid w:val="00430139"/>
    <w:rsid w:val="0043033D"/>
    <w:rsid w:val="00431B3E"/>
    <w:rsid w:val="00431B76"/>
    <w:rsid w:val="00432360"/>
    <w:rsid w:val="004331F0"/>
    <w:rsid w:val="00433474"/>
    <w:rsid w:val="00433696"/>
    <w:rsid w:val="00434118"/>
    <w:rsid w:val="004349C7"/>
    <w:rsid w:val="00435792"/>
    <w:rsid w:val="00435C3D"/>
    <w:rsid w:val="00436925"/>
    <w:rsid w:val="00436A3A"/>
    <w:rsid w:val="00437AC8"/>
    <w:rsid w:val="004402D4"/>
    <w:rsid w:val="004404F9"/>
    <w:rsid w:val="004409C0"/>
    <w:rsid w:val="00440C15"/>
    <w:rsid w:val="00440E07"/>
    <w:rsid w:val="00441323"/>
    <w:rsid w:val="00441DE1"/>
    <w:rsid w:val="0044255A"/>
    <w:rsid w:val="00442898"/>
    <w:rsid w:val="00443100"/>
    <w:rsid w:val="004441DD"/>
    <w:rsid w:val="0044427A"/>
    <w:rsid w:val="00444498"/>
    <w:rsid w:val="0044457F"/>
    <w:rsid w:val="00444589"/>
    <w:rsid w:val="004446A5"/>
    <w:rsid w:val="00444FD3"/>
    <w:rsid w:val="0044506F"/>
    <w:rsid w:val="00445505"/>
    <w:rsid w:val="00445D23"/>
    <w:rsid w:val="00445E4D"/>
    <w:rsid w:val="00446CA9"/>
    <w:rsid w:val="00447B89"/>
    <w:rsid w:val="00450576"/>
    <w:rsid w:val="00450C34"/>
    <w:rsid w:val="00450E68"/>
    <w:rsid w:val="004510B0"/>
    <w:rsid w:val="00451BE1"/>
    <w:rsid w:val="00451E2B"/>
    <w:rsid w:val="00451E2E"/>
    <w:rsid w:val="00452404"/>
    <w:rsid w:val="00452858"/>
    <w:rsid w:val="00452924"/>
    <w:rsid w:val="00452B9F"/>
    <w:rsid w:val="004531A2"/>
    <w:rsid w:val="0045348B"/>
    <w:rsid w:val="0045435B"/>
    <w:rsid w:val="00454489"/>
    <w:rsid w:val="00454974"/>
    <w:rsid w:val="0045503D"/>
    <w:rsid w:val="00455545"/>
    <w:rsid w:val="0045613E"/>
    <w:rsid w:val="0045638E"/>
    <w:rsid w:val="004572B5"/>
    <w:rsid w:val="0046000F"/>
    <w:rsid w:val="00462320"/>
    <w:rsid w:val="00462D23"/>
    <w:rsid w:val="00462F23"/>
    <w:rsid w:val="004650BE"/>
    <w:rsid w:val="004658EB"/>
    <w:rsid w:val="0046792A"/>
    <w:rsid w:val="00467EA3"/>
    <w:rsid w:val="00470CC4"/>
    <w:rsid w:val="0047102A"/>
    <w:rsid w:val="00471287"/>
    <w:rsid w:val="004712B6"/>
    <w:rsid w:val="00472BD0"/>
    <w:rsid w:val="00472E74"/>
    <w:rsid w:val="0047367E"/>
    <w:rsid w:val="00474D58"/>
    <w:rsid w:val="00475239"/>
    <w:rsid w:val="00475484"/>
    <w:rsid w:val="0047602B"/>
    <w:rsid w:val="004764B5"/>
    <w:rsid w:val="00476906"/>
    <w:rsid w:val="004775AD"/>
    <w:rsid w:val="0048078D"/>
    <w:rsid w:val="00480D4C"/>
    <w:rsid w:val="004825E7"/>
    <w:rsid w:val="004826EF"/>
    <w:rsid w:val="00483B1C"/>
    <w:rsid w:val="004845E0"/>
    <w:rsid w:val="004855E6"/>
    <w:rsid w:val="00486AC6"/>
    <w:rsid w:val="00486F4D"/>
    <w:rsid w:val="00490DC6"/>
    <w:rsid w:val="00491F59"/>
    <w:rsid w:val="0049219D"/>
    <w:rsid w:val="00492B99"/>
    <w:rsid w:val="00493146"/>
    <w:rsid w:val="004935D0"/>
    <w:rsid w:val="0049390E"/>
    <w:rsid w:val="004939E8"/>
    <w:rsid w:val="00494417"/>
    <w:rsid w:val="00494F00"/>
    <w:rsid w:val="00495820"/>
    <w:rsid w:val="00496163"/>
    <w:rsid w:val="004A050D"/>
    <w:rsid w:val="004A0B34"/>
    <w:rsid w:val="004A0C9D"/>
    <w:rsid w:val="004A16FA"/>
    <w:rsid w:val="004A1B69"/>
    <w:rsid w:val="004A1D64"/>
    <w:rsid w:val="004A275E"/>
    <w:rsid w:val="004A2CA1"/>
    <w:rsid w:val="004A3219"/>
    <w:rsid w:val="004A3942"/>
    <w:rsid w:val="004A5CDA"/>
    <w:rsid w:val="004A6088"/>
    <w:rsid w:val="004A6946"/>
    <w:rsid w:val="004A71AD"/>
    <w:rsid w:val="004B0DD0"/>
    <w:rsid w:val="004B1987"/>
    <w:rsid w:val="004B1B8F"/>
    <w:rsid w:val="004B2A1F"/>
    <w:rsid w:val="004B2FDA"/>
    <w:rsid w:val="004B35E9"/>
    <w:rsid w:val="004B4347"/>
    <w:rsid w:val="004B44F3"/>
    <w:rsid w:val="004B4671"/>
    <w:rsid w:val="004B4EBC"/>
    <w:rsid w:val="004B4F88"/>
    <w:rsid w:val="004B54BD"/>
    <w:rsid w:val="004B5B99"/>
    <w:rsid w:val="004B6ACA"/>
    <w:rsid w:val="004B6B19"/>
    <w:rsid w:val="004B6B62"/>
    <w:rsid w:val="004B7730"/>
    <w:rsid w:val="004B7C27"/>
    <w:rsid w:val="004C11C3"/>
    <w:rsid w:val="004C1D18"/>
    <w:rsid w:val="004C33D2"/>
    <w:rsid w:val="004C34B6"/>
    <w:rsid w:val="004C34D2"/>
    <w:rsid w:val="004C3CAA"/>
    <w:rsid w:val="004C3E9D"/>
    <w:rsid w:val="004C4D9F"/>
    <w:rsid w:val="004C5403"/>
    <w:rsid w:val="004C5A7C"/>
    <w:rsid w:val="004C5F21"/>
    <w:rsid w:val="004C62E0"/>
    <w:rsid w:val="004D046E"/>
    <w:rsid w:val="004D09FE"/>
    <w:rsid w:val="004D1223"/>
    <w:rsid w:val="004D1EED"/>
    <w:rsid w:val="004D2427"/>
    <w:rsid w:val="004D282B"/>
    <w:rsid w:val="004D3179"/>
    <w:rsid w:val="004D330B"/>
    <w:rsid w:val="004D3B52"/>
    <w:rsid w:val="004D4083"/>
    <w:rsid w:val="004D60C3"/>
    <w:rsid w:val="004D69A7"/>
    <w:rsid w:val="004D6A06"/>
    <w:rsid w:val="004D79EB"/>
    <w:rsid w:val="004E0722"/>
    <w:rsid w:val="004E25D2"/>
    <w:rsid w:val="004E26E0"/>
    <w:rsid w:val="004E352E"/>
    <w:rsid w:val="004E372A"/>
    <w:rsid w:val="004E3FB7"/>
    <w:rsid w:val="004E469C"/>
    <w:rsid w:val="004E49AD"/>
    <w:rsid w:val="004E5C61"/>
    <w:rsid w:val="004E61D3"/>
    <w:rsid w:val="004E6259"/>
    <w:rsid w:val="004E7054"/>
    <w:rsid w:val="004E7612"/>
    <w:rsid w:val="004E7D07"/>
    <w:rsid w:val="004F01A6"/>
    <w:rsid w:val="004F0606"/>
    <w:rsid w:val="004F086D"/>
    <w:rsid w:val="004F2E47"/>
    <w:rsid w:val="004F2F7B"/>
    <w:rsid w:val="004F321A"/>
    <w:rsid w:val="004F3641"/>
    <w:rsid w:val="004F410B"/>
    <w:rsid w:val="004F4F77"/>
    <w:rsid w:val="004F5215"/>
    <w:rsid w:val="004F55DF"/>
    <w:rsid w:val="004F70D2"/>
    <w:rsid w:val="004F78EF"/>
    <w:rsid w:val="004F7AF4"/>
    <w:rsid w:val="005000E4"/>
    <w:rsid w:val="0050066C"/>
    <w:rsid w:val="00500A08"/>
    <w:rsid w:val="00500FE1"/>
    <w:rsid w:val="00501752"/>
    <w:rsid w:val="005019DA"/>
    <w:rsid w:val="00501DFC"/>
    <w:rsid w:val="00501EDD"/>
    <w:rsid w:val="005021C8"/>
    <w:rsid w:val="005023B3"/>
    <w:rsid w:val="005031EA"/>
    <w:rsid w:val="0050327C"/>
    <w:rsid w:val="00503613"/>
    <w:rsid w:val="00503846"/>
    <w:rsid w:val="00503BF2"/>
    <w:rsid w:val="00504106"/>
    <w:rsid w:val="005044F1"/>
    <w:rsid w:val="00504ACE"/>
    <w:rsid w:val="00504EB5"/>
    <w:rsid w:val="00506C3E"/>
    <w:rsid w:val="0050713B"/>
    <w:rsid w:val="00507530"/>
    <w:rsid w:val="00507568"/>
    <w:rsid w:val="00507885"/>
    <w:rsid w:val="00507F75"/>
    <w:rsid w:val="00507FC1"/>
    <w:rsid w:val="005118A1"/>
    <w:rsid w:val="00511A0E"/>
    <w:rsid w:val="0051217F"/>
    <w:rsid w:val="005122E8"/>
    <w:rsid w:val="0051264B"/>
    <w:rsid w:val="005127F2"/>
    <w:rsid w:val="005136AA"/>
    <w:rsid w:val="0051470B"/>
    <w:rsid w:val="0051555F"/>
    <w:rsid w:val="00516111"/>
    <w:rsid w:val="005163B5"/>
    <w:rsid w:val="005169F2"/>
    <w:rsid w:val="00516C63"/>
    <w:rsid w:val="0051732C"/>
    <w:rsid w:val="00517B2E"/>
    <w:rsid w:val="00520088"/>
    <w:rsid w:val="005205E8"/>
    <w:rsid w:val="00520602"/>
    <w:rsid w:val="00520791"/>
    <w:rsid w:val="005208CF"/>
    <w:rsid w:val="00520980"/>
    <w:rsid w:val="00521C35"/>
    <w:rsid w:val="00522277"/>
    <w:rsid w:val="005226EB"/>
    <w:rsid w:val="00522C54"/>
    <w:rsid w:val="0052386E"/>
    <w:rsid w:val="005252E4"/>
    <w:rsid w:val="00526F3F"/>
    <w:rsid w:val="00527289"/>
    <w:rsid w:val="00527A16"/>
    <w:rsid w:val="00530F66"/>
    <w:rsid w:val="00533215"/>
    <w:rsid w:val="00534EEA"/>
    <w:rsid w:val="005350D9"/>
    <w:rsid w:val="005362C9"/>
    <w:rsid w:val="005362FE"/>
    <w:rsid w:val="0053723F"/>
    <w:rsid w:val="0053757A"/>
    <w:rsid w:val="00537CB2"/>
    <w:rsid w:val="00540329"/>
    <w:rsid w:val="00540C5A"/>
    <w:rsid w:val="00542E16"/>
    <w:rsid w:val="00543134"/>
    <w:rsid w:val="00543327"/>
    <w:rsid w:val="0054342A"/>
    <w:rsid w:val="0054354B"/>
    <w:rsid w:val="00543B34"/>
    <w:rsid w:val="00544AFD"/>
    <w:rsid w:val="00546047"/>
    <w:rsid w:val="00546FBE"/>
    <w:rsid w:val="005472A4"/>
    <w:rsid w:val="0054771D"/>
    <w:rsid w:val="00547938"/>
    <w:rsid w:val="0055000A"/>
    <w:rsid w:val="005526D4"/>
    <w:rsid w:val="00552789"/>
    <w:rsid w:val="00553868"/>
    <w:rsid w:val="00553E7F"/>
    <w:rsid w:val="00554D23"/>
    <w:rsid w:val="0055549A"/>
    <w:rsid w:val="0055575B"/>
    <w:rsid w:val="00555DCF"/>
    <w:rsid w:val="00556232"/>
    <w:rsid w:val="0055645F"/>
    <w:rsid w:val="005569F1"/>
    <w:rsid w:val="00556D05"/>
    <w:rsid w:val="005570ED"/>
    <w:rsid w:val="00557C8E"/>
    <w:rsid w:val="00561ECB"/>
    <w:rsid w:val="00562208"/>
    <w:rsid w:val="00562E33"/>
    <w:rsid w:val="00563462"/>
    <w:rsid w:val="005637D0"/>
    <w:rsid w:val="005646AC"/>
    <w:rsid w:val="005655D2"/>
    <w:rsid w:val="00566DA6"/>
    <w:rsid w:val="00566F6C"/>
    <w:rsid w:val="0056788B"/>
    <w:rsid w:val="00567D20"/>
    <w:rsid w:val="005706ED"/>
    <w:rsid w:val="0057121A"/>
    <w:rsid w:val="005725CE"/>
    <w:rsid w:val="005737DD"/>
    <w:rsid w:val="0057396C"/>
    <w:rsid w:val="00573E93"/>
    <w:rsid w:val="00575556"/>
    <w:rsid w:val="00575F21"/>
    <w:rsid w:val="0057684F"/>
    <w:rsid w:val="0057770D"/>
    <w:rsid w:val="00577A6F"/>
    <w:rsid w:val="00577C0A"/>
    <w:rsid w:val="005800F1"/>
    <w:rsid w:val="0058128B"/>
    <w:rsid w:val="00581311"/>
    <w:rsid w:val="00581594"/>
    <w:rsid w:val="0058175D"/>
    <w:rsid w:val="00581CCB"/>
    <w:rsid w:val="005822D9"/>
    <w:rsid w:val="00582766"/>
    <w:rsid w:val="005834B3"/>
    <w:rsid w:val="00584DDD"/>
    <w:rsid w:val="005853D3"/>
    <w:rsid w:val="00586165"/>
    <w:rsid w:val="0058796E"/>
    <w:rsid w:val="00587C4F"/>
    <w:rsid w:val="00590281"/>
    <w:rsid w:val="00590424"/>
    <w:rsid w:val="00590537"/>
    <w:rsid w:val="005905AF"/>
    <w:rsid w:val="005907C3"/>
    <w:rsid w:val="005907F7"/>
    <w:rsid w:val="005908E3"/>
    <w:rsid w:val="00590B73"/>
    <w:rsid w:val="005918EC"/>
    <w:rsid w:val="00591A9D"/>
    <w:rsid w:val="00591BA2"/>
    <w:rsid w:val="00592EDA"/>
    <w:rsid w:val="0059303B"/>
    <w:rsid w:val="00593077"/>
    <w:rsid w:val="005932B1"/>
    <w:rsid w:val="005934BC"/>
    <w:rsid w:val="005939DE"/>
    <w:rsid w:val="005945ED"/>
    <w:rsid w:val="005946B9"/>
    <w:rsid w:val="00595507"/>
    <w:rsid w:val="005957F0"/>
    <w:rsid w:val="00595803"/>
    <w:rsid w:val="00595B58"/>
    <w:rsid w:val="00596484"/>
    <w:rsid w:val="0059662D"/>
    <w:rsid w:val="0059732B"/>
    <w:rsid w:val="00597988"/>
    <w:rsid w:val="00597A9A"/>
    <w:rsid w:val="005A00D0"/>
    <w:rsid w:val="005A0D4B"/>
    <w:rsid w:val="005A189C"/>
    <w:rsid w:val="005A1C02"/>
    <w:rsid w:val="005A1E98"/>
    <w:rsid w:val="005A1F17"/>
    <w:rsid w:val="005A230B"/>
    <w:rsid w:val="005A234E"/>
    <w:rsid w:val="005A270E"/>
    <w:rsid w:val="005A36DC"/>
    <w:rsid w:val="005A374E"/>
    <w:rsid w:val="005A4D80"/>
    <w:rsid w:val="005A4FAB"/>
    <w:rsid w:val="005A5387"/>
    <w:rsid w:val="005A5E55"/>
    <w:rsid w:val="005A6D37"/>
    <w:rsid w:val="005A70ED"/>
    <w:rsid w:val="005A7A24"/>
    <w:rsid w:val="005A7FE9"/>
    <w:rsid w:val="005B06BA"/>
    <w:rsid w:val="005B0936"/>
    <w:rsid w:val="005B1D2C"/>
    <w:rsid w:val="005B260D"/>
    <w:rsid w:val="005B28E0"/>
    <w:rsid w:val="005B2B8C"/>
    <w:rsid w:val="005B35C0"/>
    <w:rsid w:val="005B35F3"/>
    <w:rsid w:val="005B3AD3"/>
    <w:rsid w:val="005B4522"/>
    <w:rsid w:val="005B5217"/>
    <w:rsid w:val="005B5352"/>
    <w:rsid w:val="005B5A7F"/>
    <w:rsid w:val="005B67B6"/>
    <w:rsid w:val="005B718D"/>
    <w:rsid w:val="005B7986"/>
    <w:rsid w:val="005B7E09"/>
    <w:rsid w:val="005B7E51"/>
    <w:rsid w:val="005C147C"/>
    <w:rsid w:val="005C2797"/>
    <w:rsid w:val="005C3298"/>
    <w:rsid w:val="005C4107"/>
    <w:rsid w:val="005C54CC"/>
    <w:rsid w:val="005C6D66"/>
    <w:rsid w:val="005C7B11"/>
    <w:rsid w:val="005D1B56"/>
    <w:rsid w:val="005D1EDC"/>
    <w:rsid w:val="005D438D"/>
    <w:rsid w:val="005D4639"/>
    <w:rsid w:val="005D4780"/>
    <w:rsid w:val="005D50E3"/>
    <w:rsid w:val="005D51EC"/>
    <w:rsid w:val="005D5677"/>
    <w:rsid w:val="005D6543"/>
    <w:rsid w:val="005D6FFB"/>
    <w:rsid w:val="005D7797"/>
    <w:rsid w:val="005D7B6C"/>
    <w:rsid w:val="005D7CD6"/>
    <w:rsid w:val="005E0245"/>
    <w:rsid w:val="005E07BB"/>
    <w:rsid w:val="005E0936"/>
    <w:rsid w:val="005E096C"/>
    <w:rsid w:val="005E126A"/>
    <w:rsid w:val="005E1DFD"/>
    <w:rsid w:val="005E3626"/>
    <w:rsid w:val="005E3BA3"/>
    <w:rsid w:val="005E3BD6"/>
    <w:rsid w:val="005E447F"/>
    <w:rsid w:val="005E4571"/>
    <w:rsid w:val="005E663F"/>
    <w:rsid w:val="005E6DBD"/>
    <w:rsid w:val="005E70D4"/>
    <w:rsid w:val="005E743E"/>
    <w:rsid w:val="005F0461"/>
    <w:rsid w:val="005F05D3"/>
    <w:rsid w:val="005F13B6"/>
    <w:rsid w:val="005F18B6"/>
    <w:rsid w:val="005F1E28"/>
    <w:rsid w:val="005F2031"/>
    <w:rsid w:val="005F248C"/>
    <w:rsid w:val="005F24EB"/>
    <w:rsid w:val="005F2D47"/>
    <w:rsid w:val="005F31FB"/>
    <w:rsid w:val="005F5501"/>
    <w:rsid w:val="005F55D3"/>
    <w:rsid w:val="005F5A6B"/>
    <w:rsid w:val="005F5DC8"/>
    <w:rsid w:val="005F6AA6"/>
    <w:rsid w:val="005F6C0B"/>
    <w:rsid w:val="005F76FF"/>
    <w:rsid w:val="005F7A1C"/>
    <w:rsid w:val="00600C4D"/>
    <w:rsid w:val="00600CC1"/>
    <w:rsid w:val="00601225"/>
    <w:rsid w:val="0060133C"/>
    <w:rsid w:val="00601AAB"/>
    <w:rsid w:val="00602237"/>
    <w:rsid w:val="006022AE"/>
    <w:rsid w:val="00604CDE"/>
    <w:rsid w:val="0060520B"/>
    <w:rsid w:val="0060594C"/>
    <w:rsid w:val="00605A8C"/>
    <w:rsid w:val="00606026"/>
    <w:rsid w:val="00607235"/>
    <w:rsid w:val="0060788F"/>
    <w:rsid w:val="0061051D"/>
    <w:rsid w:val="00610E0D"/>
    <w:rsid w:val="006120E2"/>
    <w:rsid w:val="006141D9"/>
    <w:rsid w:val="00614BD5"/>
    <w:rsid w:val="0061590C"/>
    <w:rsid w:val="0061781D"/>
    <w:rsid w:val="00617CE8"/>
    <w:rsid w:val="0062025E"/>
    <w:rsid w:val="00620A9A"/>
    <w:rsid w:val="00620DA1"/>
    <w:rsid w:val="006212BB"/>
    <w:rsid w:val="00621B65"/>
    <w:rsid w:val="006220BC"/>
    <w:rsid w:val="006237A4"/>
    <w:rsid w:val="0062427E"/>
    <w:rsid w:val="00624494"/>
    <w:rsid w:val="00624749"/>
    <w:rsid w:val="00624A1F"/>
    <w:rsid w:val="00624B1E"/>
    <w:rsid w:val="00624C3B"/>
    <w:rsid w:val="006254AE"/>
    <w:rsid w:val="0062561B"/>
    <w:rsid w:val="00625745"/>
    <w:rsid w:val="00625D88"/>
    <w:rsid w:val="0062676F"/>
    <w:rsid w:val="00626BAA"/>
    <w:rsid w:val="00626F96"/>
    <w:rsid w:val="00627051"/>
    <w:rsid w:val="00627DD5"/>
    <w:rsid w:val="00627F5B"/>
    <w:rsid w:val="00630494"/>
    <w:rsid w:val="0063124C"/>
    <w:rsid w:val="006312F8"/>
    <w:rsid w:val="00632B65"/>
    <w:rsid w:val="00632F9E"/>
    <w:rsid w:val="006335E1"/>
    <w:rsid w:val="00633C19"/>
    <w:rsid w:val="00633C71"/>
    <w:rsid w:val="00635604"/>
    <w:rsid w:val="006360F8"/>
    <w:rsid w:val="00636169"/>
    <w:rsid w:val="0063767D"/>
    <w:rsid w:val="00637DCB"/>
    <w:rsid w:val="00637E56"/>
    <w:rsid w:val="006402B9"/>
    <w:rsid w:val="00640D07"/>
    <w:rsid w:val="00640DEE"/>
    <w:rsid w:val="0064114F"/>
    <w:rsid w:val="00641A55"/>
    <w:rsid w:val="00641A62"/>
    <w:rsid w:val="00643401"/>
    <w:rsid w:val="00643E63"/>
    <w:rsid w:val="0064418A"/>
    <w:rsid w:val="00644219"/>
    <w:rsid w:val="0064474F"/>
    <w:rsid w:val="00644D54"/>
    <w:rsid w:val="00645045"/>
    <w:rsid w:val="00645C37"/>
    <w:rsid w:val="00646051"/>
    <w:rsid w:val="006465ED"/>
    <w:rsid w:val="006468E5"/>
    <w:rsid w:val="00646BE3"/>
    <w:rsid w:val="00646D9F"/>
    <w:rsid w:val="00646E05"/>
    <w:rsid w:val="00647E0D"/>
    <w:rsid w:val="006501AC"/>
    <w:rsid w:val="00650A8B"/>
    <w:rsid w:val="00651174"/>
    <w:rsid w:val="00651378"/>
    <w:rsid w:val="00651BDF"/>
    <w:rsid w:val="00651D11"/>
    <w:rsid w:val="006521FF"/>
    <w:rsid w:val="0065325F"/>
    <w:rsid w:val="0065458C"/>
    <w:rsid w:val="0065490A"/>
    <w:rsid w:val="00654975"/>
    <w:rsid w:val="00654A21"/>
    <w:rsid w:val="00654C8D"/>
    <w:rsid w:val="00656A9B"/>
    <w:rsid w:val="00656D00"/>
    <w:rsid w:val="00657282"/>
    <w:rsid w:val="0065750C"/>
    <w:rsid w:val="006579C7"/>
    <w:rsid w:val="006606DE"/>
    <w:rsid w:val="00660B96"/>
    <w:rsid w:val="00660E8F"/>
    <w:rsid w:val="00661C66"/>
    <w:rsid w:val="00663A9B"/>
    <w:rsid w:val="00663B00"/>
    <w:rsid w:val="0066569D"/>
    <w:rsid w:val="00665E39"/>
    <w:rsid w:val="0066613F"/>
    <w:rsid w:val="00666205"/>
    <w:rsid w:val="006663AB"/>
    <w:rsid w:val="0066682C"/>
    <w:rsid w:val="00666D5A"/>
    <w:rsid w:val="00667862"/>
    <w:rsid w:val="00667BC2"/>
    <w:rsid w:val="00667CA1"/>
    <w:rsid w:val="00667D57"/>
    <w:rsid w:val="00670466"/>
    <w:rsid w:val="006706CD"/>
    <w:rsid w:val="006707F0"/>
    <w:rsid w:val="006714D8"/>
    <w:rsid w:val="00671DA2"/>
    <w:rsid w:val="0067316C"/>
    <w:rsid w:val="006739E7"/>
    <w:rsid w:val="00673A88"/>
    <w:rsid w:val="00673C3F"/>
    <w:rsid w:val="00674C03"/>
    <w:rsid w:val="00675006"/>
    <w:rsid w:val="0067534D"/>
    <w:rsid w:val="00675621"/>
    <w:rsid w:val="00675697"/>
    <w:rsid w:val="006757A1"/>
    <w:rsid w:val="006800A7"/>
    <w:rsid w:val="00680488"/>
    <w:rsid w:val="00680F30"/>
    <w:rsid w:val="006810A1"/>
    <w:rsid w:val="00681237"/>
    <w:rsid w:val="006824FB"/>
    <w:rsid w:val="0068332A"/>
    <w:rsid w:val="006833D9"/>
    <w:rsid w:val="00684BEF"/>
    <w:rsid w:val="00684D26"/>
    <w:rsid w:val="00684FA5"/>
    <w:rsid w:val="00685600"/>
    <w:rsid w:val="00686136"/>
    <w:rsid w:val="00686AEF"/>
    <w:rsid w:val="00686B91"/>
    <w:rsid w:val="00686D5D"/>
    <w:rsid w:val="00687568"/>
    <w:rsid w:val="00687E5A"/>
    <w:rsid w:val="006910AF"/>
    <w:rsid w:val="00692764"/>
    <w:rsid w:val="00692831"/>
    <w:rsid w:val="00692AFE"/>
    <w:rsid w:val="00693411"/>
    <w:rsid w:val="0069436D"/>
    <w:rsid w:val="0069505F"/>
    <w:rsid w:val="00695237"/>
    <w:rsid w:val="0069568A"/>
    <w:rsid w:val="00696806"/>
    <w:rsid w:val="0069692E"/>
    <w:rsid w:val="006979AB"/>
    <w:rsid w:val="00697FDA"/>
    <w:rsid w:val="006A01E1"/>
    <w:rsid w:val="006A0AB9"/>
    <w:rsid w:val="006A0BE9"/>
    <w:rsid w:val="006A1440"/>
    <w:rsid w:val="006A1C61"/>
    <w:rsid w:val="006A2107"/>
    <w:rsid w:val="006A232C"/>
    <w:rsid w:val="006A237A"/>
    <w:rsid w:val="006A23C4"/>
    <w:rsid w:val="006A34EB"/>
    <w:rsid w:val="006A3548"/>
    <w:rsid w:val="006A3DDA"/>
    <w:rsid w:val="006A4764"/>
    <w:rsid w:val="006A4E02"/>
    <w:rsid w:val="006A5367"/>
    <w:rsid w:val="006A6536"/>
    <w:rsid w:val="006A6935"/>
    <w:rsid w:val="006A7996"/>
    <w:rsid w:val="006B116E"/>
    <w:rsid w:val="006B15F5"/>
    <w:rsid w:val="006B192F"/>
    <w:rsid w:val="006B1E50"/>
    <w:rsid w:val="006B1E70"/>
    <w:rsid w:val="006B2C46"/>
    <w:rsid w:val="006B489D"/>
    <w:rsid w:val="006B4FEE"/>
    <w:rsid w:val="006B50C0"/>
    <w:rsid w:val="006B685C"/>
    <w:rsid w:val="006B6B7B"/>
    <w:rsid w:val="006B6D09"/>
    <w:rsid w:val="006B70E2"/>
    <w:rsid w:val="006B741E"/>
    <w:rsid w:val="006B768F"/>
    <w:rsid w:val="006B7744"/>
    <w:rsid w:val="006C06DD"/>
    <w:rsid w:val="006C0FEA"/>
    <w:rsid w:val="006C185C"/>
    <w:rsid w:val="006C1CF3"/>
    <w:rsid w:val="006C2862"/>
    <w:rsid w:val="006C2D4E"/>
    <w:rsid w:val="006C2E98"/>
    <w:rsid w:val="006C34E2"/>
    <w:rsid w:val="006C3E4A"/>
    <w:rsid w:val="006C4023"/>
    <w:rsid w:val="006C44C3"/>
    <w:rsid w:val="006C46B8"/>
    <w:rsid w:val="006C48F5"/>
    <w:rsid w:val="006C4A2C"/>
    <w:rsid w:val="006C4C1E"/>
    <w:rsid w:val="006C4E8C"/>
    <w:rsid w:val="006C507E"/>
    <w:rsid w:val="006C5C09"/>
    <w:rsid w:val="006C5FF6"/>
    <w:rsid w:val="006C64ED"/>
    <w:rsid w:val="006C6C36"/>
    <w:rsid w:val="006C73D9"/>
    <w:rsid w:val="006C7417"/>
    <w:rsid w:val="006C7423"/>
    <w:rsid w:val="006C754A"/>
    <w:rsid w:val="006D0451"/>
    <w:rsid w:val="006D0E9A"/>
    <w:rsid w:val="006D136C"/>
    <w:rsid w:val="006D1390"/>
    <w:rsid w:val="006D17C7"/>
    <w:rsid w:val="006D1EA8"/>
    <w:rsid w:val="006D200F"/>
    <w:rsid w:val="006D2065"/>
    <w:rsid w:val="006D25AD"/>
    <w:rsid w:val="006D448E"/>
    <w:rsid w:val="006D5AD3"/>
    <w:rsid w:val="006D6F52"/>
    <w:rsid w:val="006D7669"/>
    <w:rsid w:val="006D7875"/>
    <w:rsid w:val="006E0C77"/>
    <w:rsid w:val="006E2A8D"/>
    <w:rsid w:val="006E3844"/>
    <w:rsid w:val="006E4CF8"/>
    <w:rsid w:val="006E5FA4"/>
    <w:rsid w:val="006E6BDE"/>
    <w:rsid w:val="006E715E"/>
    <w:rsid w:val="006E7644"/>
    <w:rsid w:val="006E7671"/>
    <w:rsid w:val="006E7919"/>
    <w:rsid w:val="006E7935"/>
    <w:rsid w:val="006E7CA4"/>
    <w:rsid w:val="006F04EB"/>
    <w:rsid w:val="006F05D1"/>
    <w:rsid w:val="006F18AB"/>
    <w:rsid w:val="006F1966"/>
    <w:rsid w:val="006F1ABB"/>
    <w:rsid w:val="006F1BC0"/>
    <w:rsid w:val="006F1F46"/>
    <w:rsid w:val="006F231E"/>
    <w:rsid w:val="006F2446"/>
    <w:rsid w:val="006F2CC0"/>
    <w:rsid w:val="006F2EC2"/>
    <w:rsid w:val="006F3245"/>
    <w:rsid w:val="006F36A8"/>
    <w:rsid w:val="006F36E8"/>
    <w:rsid w:val="006F4648"/>
    <w:rsid w:val="006F4A2D"/>
    <w:rsid w:val="006F5A95"/>
    <w:rsid w:val="006F6093"/>
    <w:rsid w:val="006F6F4A"/>
    <w:rsid w:val="00700C52"/>
    <w:rsid w:val="0070122A"/>
    <w:rsid w:val="0070205E"/>
    <w:rsid w:val="00702945"/>
    <w:rsid w:val="007032DE"/>
    <w:rsid w:val="00703BB8"/>
    <w:rsid w:val="00704036"/>
    <w:rsid w:val="00704CE2"/>
    <w:rsid w:val="00704D96"/>
    <w:rsid w:val="00704EFB"/>
    <w:rsid w:val="007051A5"/>
    <w:rsid w:val="0070531B"/>
    <w:rsid w:val="00705A6C"/>
    <w:rsid w:val="00705F5A"/>
    <w:rsid w:val="007062DB"/>
    <w:rsid w:val="00706D1F"/>
    <w:rsid w:val="00707C78"/>
    <w:rsid w:val="007103CC"/>
    <w:rsid w:val="007117EA"/>
    <w:rsid w:val="007128A9"/>
    <w:rsid w:val="00713D5E"/>
    <w:rsid w:val="00714249"/>
    <w:rsid w:val="00714397"/>
    <w:rsid w:val="0071460F"/>
    <w:rsid w:val="00714A22"/>
    <w:rsid w:val="007154BB"/>
    <w:rsid w:val="00716D08"/>
    <w:rsid w:val="00716D78"/>
    <w:rsid w:val="00716E4A"/>
    <w:rsid w:val="00717D0A"/>
    <w:rsid w:val="00720546"/>
    <w:rsid w:val="00720C23"/>
    <w:rsid w:val="00720E5E"/>
    <w:rsid w:val="00720E8D"/>
    <w:rsid w:val="007211CB"/>
    <w:rsid w:val="00721379"/>
    <w:rsid w:val="00721682"/>
    <w:rsid w:val="007218FB"/>
    <w:rsid w:val="00721CB9"/>
    <w:rsid w:val="00722586"/>
    <w:rsid w:val="00722752"/>
    <w:rsid w:val="00722762"/>
    <w:rsid w:val="007227ED"/>
    <w:rsid w:val="00722D92"/>
    <w:rsid w:val="0072396D"/>
    <w:rsid w:val="0072483C"/>
    <w:rsid w:val="007258E2"/>
    <w:rsid w:val="007263F8"/>
    <w:rsid w:val="007268A7"/>
    <w:rsid w:val="00726AE5"/>
    <w:rsid w:val="00726E8C"/>
    <w:rsid w:val="00727CCE"/>
    <w:rsid w:val="00727E98"/>
    <w:rsid w:val="00730628"/>
    <w:rsid w:val="00730967"/>
    <w:rsid w:val="00731A1E"/>
    <w:rsid w:val="00731B39"/>
    <w:rsid w:val="0073237C"/>
    <w:rsid w:val="00732481"/>
    <w:rsid w:val="00732B99"/>
    <w:rsid w:val="0073394C"/>
    <w:rsid w:val="007339A4"/>
    <w:rsid w:val="00734FB0"/>
    <w:rsid w:val="007351D5"/>
    <w:rsid w:val="00735B6D"/>
    <w:rsid w:val="00736251"/>
    <w:rsid w:val="00736A70"/>
    <w:rsid w:val="00736D1C"/>
    <w:rsid w:val="00737538"/>
    <w:rsid w:val="00737A74"/>
    <w:rsid w:val="00737E89"/>
    <w:rsid w:val="00741004"/>
    <w:rsid w:val="00741268"/>
    <w:rsid w:val="007414E5"/>
    <w:rsid w:val="0074151D"/>
    <w:rsid w:val="0074174F"/>
    <w:rsid w:val="00741A9F"/>
    <w:rsid w:val="007426A0"/>
    <w:rsid w:val="0074284F"/>
    <w:rsid w:val="00742DA9"/>
    <w:rsid w:val="00742E55"/>
    <w:rsid w:val="00743B78"/>
    <w:rsid w:val="00743C26"/>
    <w:rsid w:val="0074403E"/>
    <w:rsid w:val="007443E6"/>
    <w:rsid w:val="00744D0D"/>
    <w:rsid w:val="0074550B"/>
    <w:rsid w:val="00745BB7"/>
    <w:rsid w:val="00747406"/>
    <w:rsid w:val="00747A41"/>
    <w:rsid w:val="00747D48"/>
    <w:rsid w:val="00750447"/>
    <w:rsid w:val="00750596"/>
    <w:rsid w:val="00750E28"/>
    <w:rsid w:val="007527DD"/>
    <w:rsid w:val="00754180"/>
    <w:rsid w:val="0075470D"/>
    <w:rsid w:val="00754B2C"/>
    <w:rsid w:val="00755FF1"/>
    <w:rsid w:val="00756210"/>
    <w:rsid w:val="007567B1"/>
    <w:rsid w:val="00756882"/>
    <w:rsid w:val="00756B6B"/>
    <w:rsid w:val="007578B5"/>
    <w:rsid w:val="00760497"/>
    <w:rsid w:val="007612B4"/>
    <w:rsid w:val="00761AF8"/>
    <w:rsid w:val="00761EFE"/>
    <w:rsid w:val="00762406"/>
    <w:rsid w:val="00762A07"/>
    <w:rsid w:val="00762C23"/>
    <w:rsid w:val="0076315E"/>
    <w:rsid w:val="00763586"/>
    <w:rsid w:val="0076389E"/>
    <w:rsid w:val="00763D85"/>
    <w:rsid w:val="00763F09"/>
    <w:rsid w:val="007640F2"/>
    <w:rsid w:val="007645C9"/>
    <w:rsid w:val="0076482F"/>
    <w:rsid w:val="00764F8E"/>
    <w:rsid w:val="007659DE"/>
    <w:rsid w:val="00765B98"/>
    <w:rsid w:val="00765C7E"/>
    <w:rsid w:val="0076661C"/>
    <w:rsid w:val="00767CE6"/>
    <w:rsid w:val="00770526"/>
    <w:rsid w:val="00770965"/>
    <w:rsid w:val="00770D01"/>
    <w:rsid w:val="0077135E"/>
    <w:rsid w:val="00771AED"/>
    <w:rsid w:val="00771FF1"/>
    <w:rsid w:val="00772414"/>
    <w:rsid w:val="007732DC"/>
    <w:rsid w:val="007736AE"/>
    <w:rsid w:val="007741F8"/>
    <w:rsid w:val="00774AE4"/>
    <w:rsid w:val="00774CB9"/>
    <w:rsid w:val="00774E14"/>
    <w:rsid w:val="007761C6"/>
    <w:rsid w:val="00776617"/>
    <w:rsid w:val="0077669E"/>
    <w:rsid w:val="00776A8E"/>
    <w:rsid w:val="00777613"/>
    <w:rsid w:val="00777628"/>
    <w:rsid w:val="00777E01"/>
    <w:rsid w:val="00780A03"/>
    <w:rsid w:val="00780B65"/>
    <w:rsid w:val="00781852"/>
    <w:rsid w:val="0078191B"/>
    <w:rsid w:val="00782963"/>
    <w:rsid w:val="00782EBF"/>
    <w:rsid w:val="00783936"/>
    <w:rsid w:val="0078404A"/>
    <w:rsid w:val="00785EE3"/>
    <w:rsid w:val="00786677"/>
    <w:rsid w:val="00786787"/>
    <w:rsid w:val="00786A2E"/>
    <w:rsid w:val="007878E3"/>
    <w:rsid w:val="00791904"/>
    <w:rsid w:val="0079245B"/>
    <w:rsid w:val="00792F02"/>
    <w:rsid w:val="007932EA"/>
    <w:rsid w:val="00793AA7"/>
    <w:rsid w:val="00794086"/>
    <w:rsid w:val="0079483D"/>
    <w:rsid w:val="007949A7"/>
    <w:rsid w:val="00794C23"/>
    <w:rsid w:val="00794D2B"/>
    <w:rsid w:val="00794FEA"/>
    <w:rsid w:val="00796489"/>
    <w:rsid w:val="007967DE"/>
    <w:rsid w:val="0079752A"/>
    <w:rsid w:val="007A04B2"/>
    <w:rsid w:val="007A10D6"/>
    <w:rsid w:val="007A13E8"/>
    <w:rsid w:val="007A18F7"/>
    <w:rsid w:val="007A2212"/>
    <w:rsid w:val="007A2DCC"/>
    <w:rsid w:val="007A3070"/>
    <w:rsid w:val="007A3F40"/>
    <w:rsid w:val="007A491F"/>
    <w:rsid w:val="007A4F06"/>
    <w:rsid w:val="007A563C"/>
    <w:rsid w:val="007A5CD6"/>
    <w:rsid w:val="007A5E23"/>
    <w:rsid w:val="007A60D1"/>
    <w:rsid w:val="007A622E"/>
    <w:rsid w:val="007A67DB"/>
    <w:rsid w:val="007A6DE0"/>
    <w:rsid w:val="007A79EA"/>
    <w:rsid w:val="007B0193"/>
    <w:rsid w:val="007B0216"/>
    <w:rsid w:val="007B03A9"/>
    <w:rsid w:val="007B0821"/>
    <w:rsid w:val="007B0B61"/>
    <w:rsid w:val="007B0C10"/>
    <w:rsid w:val="007B109F"/>
    <w:rsid w:val="007B18C2"/>
    <w:rsid w:val="007B1C5C"/>
    <w:rsid w:val="007B2BC2"/>
    <w:rsid w:val="007B3697"/>
    <w:rsid w:val="007B3B14"/>
    <w:rsid w:val="007B3C14"/>
    <w:rsid w:val="007B49E0"/>
    <w:rsid w:val="007B556B"/>
    <w:rsid w:val="007B56CF"/>
    <w:rsid w:val="007B57E0"/>
    <w:rsid w:val="007B5C33"/>
    <w:rsid w:val="007B5E1A"/>
    <w:rsid w:val="007B5F83"/>
    <w:rsid w:val="007B7CC2"/>
    <w:rsid w:val="007B7E3B"/>
    <w:rsid w:val="007C1013"/>
    <w:rsid w:val="007C162D"/>
    <w:rsid w:val="007C206E"/>
    <w:rsid w:val="007C24B6"/>
    <w:rsid w:val="007C32D6"/>
    <w:rsid w:val="007C3372"/>
    <w:rsid w:val="007C3619"/>
    <w:rsid w:val="007C4323"/>
    <w:rsid w:val="007C491C"/>
    <w:rsid w:val="007C505E"/>
    <w:rsid w:val="007C5843"/>
    <w:rsid w:val="007C5F9B"/>
    <w:rsid w:val="007C605A"/>
    <w:rsid w:val="007C77A9"/>
    <w:rsid w:val="007D0C0F"/>
    <w:rsid w:val="007D0DE0"/>
    <w:rsid w:val="007D1116"/>
    <w:rsid w:val="007D14C5"/>
    <w:rsid w:val="007D25F2"/>
    <w:rsid w:val="007D263D"/>
    <w:rsid w:val="007D2957"/>
    <w:rsid w:val="007D2BEA"/>
    <w:rsid w:val="007D30CA"/>
    <w:rsid w:val="007D3642"/>
    <w:rsid w:val="007D39E1"/>
    <w:rsid w:val="007D3ABB"/>
    <w:rsid w:val="007D3AE7"/>
    <w:rsid w:val="007D44A7"/>
    <w:rsid w:val="007D4CA0"/>
    <w:rsid w:val="007D5851"/>
    <w:rsid w:val="007D5F13"/>
    <w:rsid w:val="007D610B"/>
    <w:rsid w:val="007D672A"/>
    <w:rsid w:val="007D679C"/>
    <w:rsid w:val="007D6DA2"/>
    <w:rsid w:val="007D6F0C"/>
    <w:rsid w:val="007D78F9"/>
    <w:rsid w:val="007D7946"/>
    <w:rsid w:val="007D79CB"/>
    <w:rsid w:val="007D7BEA"/>
    <w:rsid w:val="007E0065"/>
    <w:rsid w:val="007E01C1"/>
    <w:rsid w:val="007E0D64"/>
    <w:rsid w:val="007E17B3"/>
    <w:rsid w:val="007E2A8B"/>
    <w:rsid w:val="007E3442"/>
    <w:rsid w:val="007E3472"/>
    <w:rsid w:val="007E3E4E"/>
    <w:rsid w:val="007E3E87"/>
    <w:rsid w:val="007E431A"/>
    <w:rsid w:val="007E46B6"/>
    <w:rsid w:val="007E50A2"/>
    <w:rsid w:val="007E5875"/>
    <w:rsid w:val="007E6BF5"/>
    <w:rsid w:val="007F012E"/>
    <w:rsid w:val="007F11F2"/>
    <w:rsid w:val="007F1668"/>
    <w:rsid w:val="007F277A"/>
    <w:rsid w:val="007F2A00"/>
    <w:rsid w:val="007F2A79"/>
    <w:rsid w:val="007F2C3E"/>
    <w:rsid w:val="007F30A0"/>
    <w:rsid w:val="007F35E1"/>
    <w:rsid w:val="007F3796"/>
    <w:rsid w:val="007F3810"/>
    <w:rsid w:val="007F564B"/>
    <w:rsid w:val="007F5BCC"/>
    <w:rsid w:val="007F6424"/>
    <w:rsid w:val="007F681A"/>
    <w:rsid w:val="007F7DD2"/>
    <w:rsid w:val="0080017C"/>
    <w:rsid w:val="0080057E"/>
    <w:rsid w:val="008006EA"/>
    <w:rsid w:val="008008E4"/>
    <w:rsid w:val="00801062"/>
    <w:rsid w:val="0080193E"/>
    <w:rsid w:val="00802174"/>
    <w:rsid w:val="00802DA4"/>
    <w:rsid w:val="00804030"/>
    <w:rsid w:val="008041E3"/>
    <w:rsid w:val="008046C0"/>
    <w:rsid w:val="0080496A"/>
    <w:rsid w:val="00805371"/>
    <w:rsid w:val="00805DF1"/>
    <w:rsid w:val="008066E2"/>
    <w:rsid w:val="00806EDE"/>
    <w:rsid w:val="0080702C"/>
    <w:rsid w:val="0080711C"/>
    <w:rsid w:val="00810D27"/>
    <w:rsid w:val="0081114E"/>
    <w:rsid w:val="00811C0A"/>
    <w:rsid w:val="00812B77"/>
    <w:rsid w:val="00813087"/>
    <w:rsid w:val="008135B3"/>
    <w:rsid w:val="0081369C"/>
    <w:rsid w:val="00813F86"/>
    <w:rsid w:val="0081549D"/>
    <w:rsid w:val="00815C51"/>
    <w:rsid w:val="00815C80"/>
    <w:rsid w:val="00816A22"/>
    <w:rsid w:val="00816B99"/>
    <w:rsid w:val="0081724D"/>
    <w:rsid w:val="00820DA4"/>
    <w:rsid w:val="00821243"/>
    <w:rsid w:val="008216BE"/>
    <w:rsid w:val="00822FBC"/>
    <w:rsid w:val="00823F36"/>
    <w:rsid w:val="008241B8"/>
    <w:rsid w:val="008247F9"/>
    <w:rsid w:val="00824AAE"/>
    <w:rsid w:val="008250F3"/>
    <w:rsid w:val="0082558C"/>
    <w:rsid w:val="00825842"/>
    <w:rsid w:val="00825ED5"/>
    <w:rsid w:val="008264FF"/>
    <w:rsid w:val="008266F3"/>
    <w:rsid w:val="0082687B"/>
    <w:rsid w:val="00826BB4"/>
    <w:rsid w:val="00826F05"/>
    <w:rsid w:val="0083099C"/>
    <w:rsid w:val="008311B7"/>
    <w:rsid w:val="008317E2"/>
    <w:rsid w:val="00831DE2"/>
    <w:rsid w:val="00831EE5"/>
    <w:rsid w:val="00832692"/>
    <w:rsid w:val="0083367F"/>
    <w:rsid w:val="00835131"/>
    <w:rsid w:val="008358AE"/>
    <w:rsid w:val="00836106"/>
    <w:rsid w:val="00836A57"/>
    <w:rsid w:val="008379FA"/>
    <w:rsid w:val="00837A9C"/>
    <w:rsid w:val="00840617"/>
    <w:rsid w:val="0084064A"/>
    <w:rsid w:val="00840C33"/>
    <w:rsid w:val="00842497"/>
    <w:rsid w:val="0084294E"/>
    <w:rsid w:val="00842B1C"/>
    <w:rsid w:val="008437AD"/>
    <w:rsid w:val="00843CBE"/>
    <w:rsid w:val="008443C0"/>
    <w:rsid w:val="008446E2"/>
    <w:rsid w:val="00844B30"/>
    <w:rsid w:val="00844E4F"/>
    <w:rsid w:val="00844EC9"/>
    <w:rsid w:val="008470E8"/>
    <w:rsid w:val="0084720A"/>
    <w:rsid w:val="0084723A"/>
    <w:rsid w:val="00847A59"/>
    <w:rsid w:val="008519D3"/>
    <w:rsid w:val="00851E67"/>
    <w:rsid w:val="00852910"/>
    <w:rsid w:val="00852AA9"/>
    <w:rsid w:val="00852B2C"/>
    <w:rsid w:val="00852E77"/>
    <w:rsid w:val="00853D94"/>
    <w:rsid w:val="00854736"/>
    <w:rsid w:val="00854BF3"/>
    <w:rsid w:val="008551E3"/>
    <w:rsid w:val="00856788"/>
    <w:rsid w:val="0085722A"/>
    <w:rsid w:val="00857563"/>
    <w:rsid w:val="00857B6A"/>
    <w:rsid w:val="00860291"/>
    <w:rsid w:val="00861F36"/>
    <w:rsid w:val="0086270C"/>
    <w:rsid w:val="00862AA9"/>
    <w:rsid w:val="00862B36"/>
    <w:rsid w:val="0086314D"/>
    <w:rsid w:val="00863402"/>
    <w:rsid w:val="008634FC"/>
    <w:rsid w:val="0086353B"/>
    <w:rsid w:val="008638D9"/>
    <w:rsid w:val="00863AA3"/>
    <w:rsid w:val="00864D7C"/>
    <w:rsid w:val="00864F5C"/>
    <w:rsid w:val="008650E0"/>
    <w:rsid w:val="00865554"/>
    <w:rsid w:val="00865CF3"/>
    <w:rsid w:val="008661B9"/>
    <w:rsid w:val="0086621B"/>
    <w:rsid w:val="00866493"/>
    <w:rsid w:val="0086670A"/>
    <w:rsid w:val="00866AAF"/>
    <w:rsid w:val="00866D82"/>
    <w:rsid w:val="008705AC"/>
    <w:rsid w:val="00870783"/>
    <w:rsid w:val="00870926"/>
    <w:rsid w:val="00870992"/>
    <w:rsid w:val="00871373"/>
    <w:rsid w:val="008713BF"/>
    <w:rsid w:val="0087182F"/>
    <w:rsid w:val="00871A09"/>
    <w:rsid w:val="00871F2F"/>
    <w:rsid w:val="00872288"/>
    <w:rsid w:val="008723CA"/>
    <w:rsid w:val="008737DF"/>
    <w:rsid w:val="008742F1"/>
    <w:rsid w:val="008748B2"/>
    <w:rsid w:val="008751A6"/>
    <w:rsid w:val="00875401"/>
    <w:rsid w:val="00876CC4"/>
    <w:rsid w:val="00876EC8"/>
    <w:rsid w:val="00877104"/>
    <w:rsid w:val="0088091A"/>
    <w:rsid w:val="00880F5B"/>
    <w:rsid w:val="00881310"/>
    <w:rsid w:val="00881BB6"/>
    <w:rsid w:val="00881C0D"/>
    <w:rsid w:val="00881F22"/>
    <w:rsid w:val="00882077"/>
    <w:rsid w:val="0088232F"/>
    <w:rsid w:val="0088342E"/>
    <w:rsid w:val="008836BD"/>
    <w:rsid w:val="0088386E"/>
    <w:rsid w:val="008839DB"/>
    <w:rsid w:val="00883EF1"/>
    <w:rsid w:val="008847E4"/>
    <w:rsid w:val="0088542A"/>
    <w:rsid w:val="00885616"/>
    <w:rsid w:val="00885AC7"/>
    <w:rsid w:val="008903D0"/>
    <w:rsid w:val="00890EAB"/>
    <w:rsid w:val="00891778"/>
    <w:rsid w:val="00891A4B"/>
    <w:rsid w:val="00892327"/>
    <w:rsid w:val="00892B18"/>
    <w:rsid w:val="00892B63"/>
    <w:rsid w:val="00894A11"/>
    <w:rsid w:val="00894DE0"/>
    <w:rsid w:val="00894F58"/>
    <w:rsid w:val="008951CC"/>
    <w:rsid w:val="008954D2"/>
    <w:rsid w:val="00895973"/>
    <w:rsid w:val="008966C1"/>
    <w:rsid w:val="00896752"/>
    <w:rsid w:val="008967B1"/>
    <w:rsid w:val="00896BFB"/>
    <w:rsid w:val="008977A7"/>
    <w:rsid w:val="00897972"/>
    <w:rsid w:val="008979E4"/>
    <w:rsid w:val="008A0892"/>
    <w:rsid w:val="008A12AF"/>
    <w:rsid w:val="008A1AB4"/>
    <w:rsid w:val="008A1FE1"/>
    <w:rsid w:val="008A2B70"/>
    <w:rsid w:val="008A2B85"/>
    <w:rsid w:val="008A302C"/>
    <w:rsid w:val="008A3408"/>
    <w:rsid w:val="008A3BB7"/>
    <w:rsid w:val="008A4045"/>
    <w:rsid w:val="008A50E7"/>
    <w:rsid w:val="008A5353"/>
    <w:rsid w:val="008A5402"/>
    <w:rsid w:val="008A5E08"/>
    <w:rsid w:val="008A60F7"/>
    <w:rsid w:val="008A617D"/>
    <w:rsid w:val="008A661D"/>
    <w:rsid w:val="008A6E20"/>
    <w:rsid w:val="008A71D6"/>
    <w:rsid w:val="008A73AE"/>
    <w:rsid w:val="008B07DD"/>
    <w:rsid w:val="008B094F"/>
    <w:rsid w:val="008B0DB4"/>
    <w:rsid w:val="008B128C"/>
    <w:rsid w:val="008B1877"/>
    <w:rsid w:val="008B1E90"/>
    <w:rsid w:val="008B2B23"/>
    <w:rsid w:val="008B3B0D"/>
    <w:rsid w:val="008B49CE"/>
    <w:rsid w:val="008B4C6D"/>
    <w:rsid w:val="008B5386"/>
    <w:rsid w:val="008B542A"/>
    <w:rsid w:val="008B68E1"/>
    <w:rsid w:val="008B6FEB"/>
    <w:rsid w:val="008B73CC"/>
    <w:rsid w:val="008B77A1"/>
    <w:rsid w:val="008B7C14"/>
    <w:rsid w:val="008C1D23"/>
    <w:rsid w:val="008C1F1E"/>
    <w:rsid w:val="008C35CF"/>
    <w:rsid w:val="008C35F2"/>
    <w:rsid w:val="008C3832"/>
    <w:rsid w:val="008C533F"/>
    <w:rsid w:val="008C57EC"/>
    <w:rsid w:val="008C595C"/>
    <w:rsid w:val="008C60E9"/>
    <w:rsid w:val="008C64F6"/>
    <w:rsid w:val="008C7BAB"/>
    <w:rsid w:val="008C7E01"/>
    <w:rsid w:val="008C7F32"/>
    <w:rsid w:val="008D11C0"/>
    <w:rsid w:val="008D1D83"/>
    <w:rsid w:val="008D1E2A"/>
    <w:rsid w:val="008D37A4"/>
    <w:rsid w:val="008D41E2"/>
    <w:rsid w:val="008D54AD"/>
    <w:rsid w:val="008D62D5"/>
    <w:rsid w:val="008D6392"/>
    <w:rsid w:val="008D63DB"/>
    <w:rsid w:val="008D6438"/>
    <w:rsid w:val="008D64A9"/>
    <w:rsid w:val="008D67B0"/>
    <w:rsid w:val="008D76E7"/>
    <w:rsid w:val="008D7D9C"/>
    <w:rsid w:val="008E0199"/>
    <w:rsid w:val="008E19A4"/>
    <w:rsid w:val="008E1C9A"/>
    <w:rsid w:val="008E25C6"/>
    <w:rsid w:val="008E2C6F"/>
    <w:rsid w:val="008E3051"/>
    <w:rsid w:val="008E31C5"/>
    <w:rsid w:val="008E37BC"/>
    <w:rsid w:val="008E3876"/>
    <w:rsid w:val="008E4EC3"/>
    <w:rsid w:val="008E5061"/>
    <w:rsid w:val="008E5ADB"/>
    <w:rsid w:val="008E6028"/>
    <w:rsid w:val="008E63DF"/>
    <w:rsid w:val="008E66C5"/>
    <w:rsid w:val="008E671B"/>
    <w:rsid w:val="008E673B"/>
    <w:rsid w:val="008E6A35"/>
    <w:rsid w:val="008E6BF6"/>
    <w:rsid w:val="008E6D3F"/>
    <w:rsid w:val="008E6F9C"/>
    <w:rsid w:val="008E727A"/>
    <w:rsid w:val="008E72E5"/>
    <w:rsid w:val="008E7BD7"/>
    <w:rsid w:val="008F048A"/>
    <w:rsid w:val="008F0976"/>
    <w:rsid w:val="008F0B35"/>
    <w:rsid w:val="008F0D20"/>
    <w:rsid w:val="008F103C"/>
    <w:rsid w:val="008F12AE"/>
    <w:rsid w:val="008F1712"/>
    <w:rsid w:val="008F17FD"/>
    <w:rsid w:val="008F1CA9"/>
    <w:rsid w:val="008F1CDD"/>
    <w:rsid w:val="008F1F53"/>
    <w:rsid w:val="008F3278"/>
    <w:rsid w:val="008F3E72"/>
    <w:rsid w:val="008F4562"/>
    <w:rsid w:val="008F4C03"/>
    <w:rsid w:val="008F4D69"/>
    <w:rsid w:val="008F4F20"/>
    <w:rsid w:val="008F5003"/>
    <w:rsid w:val="008F566E"/>
    <w:rsid w:val="008F6442"/>
    <w:rsid w:val="008F7D68"/>
    <w:rsid w:val="00900C82"/>
    <w:rsid w:val="00901A94"/>
    <w:rsid w:val="00901B6D"/>
    <w:rsid w:val="00901C82"/>
    <w:rsid w:val="00902292"/>
    <w:rsid w:val="009029C0"/>
    <w:rsid w:val="00903F34"/>
    <w:rsid w:val="0090445B"/>
    <w:rsid w:val="00904E31"/>
    <w:rsid w:val="00905C36"/>
    <w:rsid w:val="009061B4"/>
    <w:rsid w:val="009066AC"/>
    <w:rsid w:val="00906934"/>
    <w:rsid w:val="009077F8"/>
    <w:rsid w:val="009077FD"/>
    <w:rsid w:val="00907832"/>
    <w:rsid w:val="0091142D"/>
    <w:rsid w:val="009120EF"/>
    <w:rsid w:val="0091244C"/>
    <w:rsid w:val="0091294F"/>
    <w:rsid w:val="009129C6"/>
    <w:rsid w:val="00912A48"/>
    <w:rsid w:val="009132EE"/>
    <w:rsid w:val="00913BBE"/>
    <w:rsid w:val="00914255"/>
    <w:rsid w:val="00914A52"/>
    <w:rsid w:val="00915000"/>
    <w:rsid w:val="009160C8"/>
    <w:rsid w:val="0091632C"/>
    <w:rsid w:val="00916B16"/>
    <w:rsid w:val="00916E65"/>
    <w:rsid w:val="00916F1D"/>
    <w:rsid w:val="009175C2"/>
    <w:rsid w:val="0091793E"/>
    <w:rsid w:val="00917FDE"/>
    <w:rsid w:val="00920037"/>
    <w:rsid w:val="009208E2"/>
    <w:rsid w:val="00921159"/>
    <w:rsid w:val="009214A2"/>
    <w:rsid w:val="009216BB"/>
    <w:rsid w:val="00921804"/>
    <w:rsid w:val="00921BAB"/>
    <w:rsid w:val="00921D40"/>
    <w:rsid w:val="00921EF5"/>
    <w:rsid w:val="00922299"/>
    <w:rsid w:val="00922BDD"/>
    <w:rsid w:val="00923ABF"/>
    <w:rsid w:val="00923CD0"/>
    <w:rsid w:val="0092475C"/>
    <w:rsid w:val="00924BE1"/>
    <w:rsid w:val="00924D2F"/>
    <w:rsid w:val="0092536F"/>
    <w:rsid w:val="00925707"/>
    <w:rsid w:val="00925C1B"/>
    <w:rsid w:val="00925DB1"/>
    <w:rsid w:val="0092652C"/>
    <w:rsid w:val="00926D58"/>
    <w:rsid w:val="009272F8"/>
    <w:rsid w:val="009273B9"/>
    <w:rsid w:val="00931146"/>
    <w:rsid w:val="009311D2"/>
    <w:rsid w:val="00931816"/>
    <w:rsid w:val="00931E6A"/>
    <w:rsid w:val="00931F74"/>
    <w:rsid w:val="0093371C"/>
    <w:rsid w:val="009343DA"/>
    <w:rsid w:val="00934743"/>
    <w:rsid w:val="009349C0"/>
    <w:rsid w:val="009353DA"/>
    <w:rsid w:val="009357C8"/>
    <w:rsid w:val="00935FD6"/>
    <w:rsid w:val="00936239"/>
    <w:rsid w:val="00936566"/>
    <w:rsid w:val="00936913"/>
    <w:rsid w:val="00937261"/>
    <w:rsid w:val="0093751D"/>
    <w:rsid w:val="009379B6"/>
    <w:rsid w:val="00937C38"/>
    <w:rsid w:val="00937EED"/>
    <w:rsid w:val="009403DE"/>
    <w:rsid w:val="00940BCD"/>
    <w:rsid w:val="00941BD4"/>
    <w:rsid w:val="00941FFC"/>
    <w:rsid w:val="009426DA"/>
    <w:rsid w:val="00942AA8"/>
    <w:rsid w:val="00942EB0"/>
    <w:rsid w:val="009430A3"/>
    <w:rsid w:val="009435F6"/>
    <w:rsid w:val="009437AF"/>
    <w:rsid w:val="00943B5C"/>
    <w:rsid w:val="00944021"/>
    <w:rsid w:val="009444AF"/>
    <w:rsid w:val="009447EC"/>
    <w:rsid w:val="00944A60"/>
    <w:rsid w:val="00944B02"/>
    <w:rsid w:val="00944CF9"/>
    <w:rsid w:val="00945328"/>
    <w:rsid w:val="00946F81"/>
    <w:rsid w:val="0094730D"/>
    <w:rsid w:val="00947660"/>
    <w:rsid w:val="009500FE"/>
    <w:rsid w:val="00951266"/>
    <w:rsid w:val="00951697"/>
    <w:rsid w:val="009518BB"/>
    <w:rsid w:val="0095454C"/>
    <w:rsid w:val="00955072"/>
    <w:rsid w:val="00956343"/>
    <w:rsid w:val="00956CF8"/>
    <w:rsid w:val="00957066"/>
    <w:rsid w:val="00957079"/>
    <w:rsid w:val="00960802"/>
    <w:rsid w:val="0096341E"/>
    <w:rsid w:val="00963774"/>
    <w:rsid w:val="0096518E"/>
    <w:rsid w:val="0096540B"/>
    <w:rsid w:val="00965D65"/>
    <w:rsid w:val="0096673A"/>
    <w:rsid w:val="00966BF9"/>
    <w:rsid w:val="00967663"/>
    <w:rsid w:val="00967A0F"/>
    <w:rsid w:val="00970204"/>
    <w:rsid w:val="0097083C"/>
    <w:rsid w:val="0097292C"/>
    <w:rsid w:val="009729FA"/>
    <w:rsid w:val="009745B9"/>
    <w:rsid w:val="00975322"/>
    <w:rsid w:val="00975BB3"/>
    <w:rsid w:val="00975CB5"/>
    <w:rsid w:val="00975DD6"/>
    <w:rsid w:val="00975F3D"/>
    <w:rsid w:val="00980786"/>
    <w:rsid w:val="0098101B"/>
    <w:rsid w:val="009813E1"/>
    <w:rsid w:val="009831E1"/>
    <w:rsid w:val="00983548"/>
    <w:rsid w:val="00984C42"/>
    <w:rsid w:val="009877D5"/>
    <w:rsid w:val="00990180"/>
    <w:rsid w:val="009904A5"/>
    <w:rsid w:val="00990547"/>
    <w:rsid w:val="00990851"/>
    <w:rsid w:val="00991486"/>
    <w:rsid w:val="0099197F"/>
    <w:rsid w:val="00991BF2"/>
    <w:rsid w:val="009935D4"/>
    <w:rsid w:val="009938E0"/>
    <w:rsid w:val="00993D4F"/>
    <w:rsid w:val="00993E4E"/>
    <w:rsid w:val="00996099"/>
    <w:rsid w:val="009961FB"/>
    <w:rsid w:val="0099621F"/>
    <w:rsid w:val="009A136D"/>
    <w:rsid w:val="009A16E4"/>
    <w:rsid w:val="009A2B0B"/>
    <w:rsid w:val="009A3600"/>
    <w:rsid w:val="009A479A"/>
    <w:rsid w:val="009A554A"/>
    <w:rsid w:val="009A69C0"/>
    <w:rsid w:val="009A6DBD"/>
    <w:rsid w:val="009A7151"/>
    <w:rsid w:val="009A7513"/>
    <w:rsid w:val="009A7D1A"/>
    <w:rsid w:val="009B0223"/>
    <w:rsid w:val="009B02EA"/>
    <w:rsid w:val="009B054C"/>
    <w:rsid w:val="009B0CDD"/>
    <w:rsid w:val="009B1764"/>
    <w:rsid w:val="009B2190"/>
    <w:rsid w:val="009B2BC6"/>
    <w:rsid w:val="009B314C"/>
    <w:rsid w:val="009B3EEC"/>
    <w:rsid w:val="009B3F6A"/>
    <w:rsid w:val="009B4697"/>
    <w:rsid w:val="009B5262"/>
    <w:rsid w:val="009B5433"/>
    <w:rsid w:val="009B593B"/>
    <w:rsid w:val="009B5B75"/>
    <w:rsid w:val="009B6523"/>
    <w:rsid w:val="009B69E4"/>
    <w:rsid w:val="009B69F4"/>
    <w:rsid w:val="009B77E5"/>
    <w:rsid w:val="009B7941"/>
    <w:rsid w:val="009B7A17"/>
    <w:rsid w:val="009C1F2A"/>
    <w:rsid w:val="009C2837"/>
    <w:rsid w:val="009C30D8"/>
    <w:rsid w:val="009C36D5"/>
    <w:rsid w:val="009C3B0E"/>
    <w:rsid w:val="009C4933"/>
    <w:rsid w:val="009C4A49"/>
    <w:rsid w:val="009C733A"/>
    <w:rsid w:val="009C7A3D"/>
    <w:rsid w:val="009D0557"/>
    <w:rsid w:val="009D0595"/>
    <w:rsid w:val="009D1CFD"/>
    <w:rsid w:val="009D21D7"/>
    <w:rsid w:val="009D26BC"/>
    <w:rsid w:val="009D2F8A"/>
    <w:rsid w:val="009D3508"/>
    <w:rsid w:val="009D5476"/>
    <w:rsid w:val="009D5A7C"/>
    <w:rsid w:val="009D6312"/>
    <w:rsid w:val="009D6DF9"/>
    <w:rsid w:val="009D7464"/>
    <w:rsid w:val="009E0360"/>
    <w:rsid w:val="009E0F0F"/>
    <w:rsid w:val="009E0FA4"/>
    <w:rsid w:val="009E15C0"/>
    <w:rsid w:val="009E1DBF"/>
    <w:rsid w:val="009E1F4B"/>
    <w:rsid w:val="009E238D"/>
    <w:rsid w:val="009E2618"/>
    <w:rsid w:val="009E3AA8"/>
    <w:rsid w:val="009E3C8A"/>
    <w:rsid w:val="009E3E6C"/>
    <w:rsid w:val="009E3ED9"/>
    <w:rsid w:val="009E445A"/>
    <w:rsid w:val="009E4504"/>
    <w:rsid w:val="009E470E"/>
    <w:rsid w:val="009E53C7"/>
    <w:rsid w:val="009E56A2"/>
    <w:rsid w:val="009E5B25"/>
    <w:rsid w:val="009E60B3"/>
    <w:rsid w:val="009E6541"/>
    <w:rsid w:val="009E6FC4"/>
    <w:rsid w:val="009E7023"/>
    <w:rsid w:val="009E7CF5"/>
    <w:rsid w:val="009E7EF9"/>
    <w:rsid w:val="009E7EFF"/>
    <w:rsid w:val="009F0887"/>
    <w:rsid w:val="009F1924"/>
    <w:rsid w:val="009F1E01"/>
    <w:rsid w:val="009F1FB2"/>
    <w:rsid w:val="009F3047"/>
    <w:rsid w:val="009F3B56"/>
    <w:rsid w:val="009F3D07"/>
    <w:rsid w:val="009F40FF"/>
    <w:rsid w:val="009F449F"/>
    <w:rsid w:val="009F4B49"/>
    <w:rsid w:val="009F52C2"/>
    <w:rsid w:val="009F6229"/>
    <w:rsid w:val="009F65FF"/>
    <w:rsid w:val="009F68F7"/>
    <w:rsid w:val="009F71E6"/>
    <w:rsid w:val="009F734F"/>
    <w:rsid w:val="00A0097A"/>
    <w:rsid w:val="00A009B3"/>
    <w:rsid w:val="00A00AB9"/>
    <w:rsid w:val="00A00D64"/>
    <w:rsid w:val="00A015A3"/>
    <w:rsid w:val="00A019FA"/>
    <w:rsid w:val="00A03363"/>
    <w:rsid w:val="00A04669"/>
    <w:rsid w:val="00A04AD2"/>
    <w:rsid w:val="00A04EDE"/>
    <w:rsid w:val="00A0516C"/>
    <w:rsid w:val="00A074C0"/>
    <w:rsid w:val="00A074CB"/>
    <w:rsid w:val="00A07636"/>
    <w:rsid w:val="00A07DCA"/>
    <w:rsid w:val="00A10CBD"/>
    <w:rsid w:val="00A10EBC"/>
    <w:rsid w:val="00A11EC3"/>
    <w:rsid w:val="00A12519"/>
    <w:rsid w:val="00A126C7"/>
    <w:rsid w:val="00A12725"/>
    <w:rsid w:val="00A129AA"/>
    <w:rsid w:val="00A12D74"/>
    <w:rsid w:val="00A12FE6"/>
    <w:rsid w:val="00A134BE"/>
    <w:rsid w:val="00A135CF"/>
    <w:rsid w:val="00A153C5"/>
    <w:rsid w:val="00A15502"/>
    <w:rsid w:val="00A158E5"/>
    <w:rsid w:val="00A167DA"/>
    <w:rsid w:val="00A16A05"/>
    <w:rsid w:val="00A16C7D"/>
    <w:rsid w:val="00A1703A"/>
    <w:rsid w:val="00A17C80"/>
    <w:rsid w:val="00A206AA"/>
    <w:rsid w:val="00A20C26"/>
    <w:rsid w:val="00A21A78"/>
    <w:rsid w:val="00A22D19"/>
    <w:rsid w:val="00A22D1E"/>
    <w:rsid w:val="00A24001"/>
    <w:rsid w:val="00A2442B"/>
    <w:rsid w:val="00A24748"/>
    <w:rsid w:val="00A248E8"/>
    <w:rsid w:val="00A24FD1"/>
    <w:rsid w:val="00A25943"/>
    <w:rsid w:val="00A259E0"/>
    <w:rsid w:val="00A25FC1"/>
    <w:rsid w:val="00A2646A"/>
    <w:rsid w:val="00A26C5E"/>
    <w:rsid w:val="00A26E93"/>
    <w:rsid w:val="00A26FD3"/>
    <w:rsid w:val="00A27CA6"/>
    <w:rsid w:val="00A27F9D"/>
    <w:rsid w:val="00A30459"/>
    <w:rsid w:val="00A30A2B"/>
    <w:rsid w:val="00A30E3F"/>
    <w:rsid w:val="00A30FCF"/>
    <w:rsid w:val="00A3161F"/>
    <w:rsid w:val="00A31D7C"/>
    <w:rsid w:val="00A32521"/>
    <w:rsid w:val="00A3253E"/>
    <w:rsid w:val="00A33FED"/>
    <w:rsid w:val="00A348A1"/>
    <w:rsid w:val="00A35D2C"/>
    <w:rsid w:val="00A365B5"/>
    <w:rsid w:val="00A36CD7"/>
    <w:rsid w:val="00A37BB5"/>
    <w:rsid w:val="00A40A19"/>
    <w:rsid w:val="00A40A87"/>
    <w:rsid w:val="00A41235"/>
    <w:rsid w:val="00A4141E"/>
    <w:rsid w:val="00A42001"/>
    <w:rsid w:val="00A42DA5"/>
    <w:rsid w:val="00A430C8"/>
    <w:rsid w:val="00A43489"/>
    <w:rsid w:val="00A43F55"/>
    <w:rsid w:val="00A440F3"/>
    <w:rsid w:val="00A4417F"/>
    <w:rsid w:val="00A44940"/>
    <w:rsid w:val="00A44956"/>
    <w:rsid w:val="00A45230"/>
    <w:rsid w:val="00A45250"/>
    <w:rsid w:val="00A45EB7"/>
    <w:rsid w:val="00A46322"/>
    <w:rsid w:val="00A46963"/>
    <w:rsid w:val="00A469DD"/>
    <w:rsid w:val="00A46A74"/>
    <w:rsid w:val="00A476A2"/>
    <w:rsid w:val="00A47755"/>
    <w:rsid w:val="00A47A93"/>
    <w:rsid w:val="00A50E97"/>
    <w:rsid w:val="00A515B6"/>
    <w:rsid w:val="00A516D3"/>
    <w:rsid w:val="00A51B4F"/>
    <w:rsid w:val="00A5282C"/>
    <w:rsid w:val="00A53672"/>
    <w:rsid w:val="00A538FA"/>
    <w:rsid w:val="00A5417D"/>
    <w:rsid w:val="00A54413"/>
    <w:rsid w:val="00A54860"/>
    <w:rsid w:val="00A54B7E"/>
    <w:rsid w:val="00A54BB2"/>
    <w:rsid w:val="00A56BA3"/>
    <w:rsid w:val="00A57C04"/>
    <w:rsid w:val="00A60140"/>
    <w:rsid w:val="00A602AB"/>
    <w:rsid w:val="00A60667"/>
    <w:rsid w:val="00A60FDD"/>
    <w:rsid w:val="00A61080"/>
    <w:rsid w:val="00A62366"/>
    <w:rsid w:val="00A6286F"/>
    <w:rsid w:val="00A62D58"/>
    <w:rsid w:val="00A6316F"/>
    <w:rsid w:val="00A6339E"/>
    <w:rsid w:val="00A63519"/>
    <w:rsid w:val="00A64532"/>
    <w:rsid w:val="00A645E0"/>
    <w:rsid w:val="00A6468C"/>
    <w:rsid w:val="00A647DA"/>
    <w:rsid w:val="00A64C76"/>
    <w:rsid w:val="00A65440"/>
    <w:rsid w:val="00A6544A"/>
    <w:rsid w:val="00A66098"/>
    <w:rsid w:val="00A66351"/>
    <w:rsid w:val="00A66AEE"/>
    <w:rsid w:val="00A67814"/>
    <w:rsid w:val="00A679B8"/>
    <w:rsid w:val="00A67DAF"/>
    <w:rsid w:val="00A702F1"/>
    <w:rsid w:val="00A7065D"/>
    <w:rsid w:val="00A70A32"/>
    <w:rsid w:val="00A7231C"/>
    <w:rsid w:val="00A72519"/>
    <w:rsid w:val="00A7333F"/>
    <w:rsid w:val="00A73526"/>
    <w:rsid w:val="00A73EBF"/>
    <w:rsid w:val="00A74BCD"/>
    <w:rsid w:val="00A75C69"/>
    <w:rsid w:val="00A7619E"/>
    <w:rsid w:val="00A7702F"/>
    <w:rsid w:val="00A77CEC"/>
    <w:rsid w:val="00A77D51"/>
    <w:rsid w:val="00A801EF"/>
    <w:rsid w:val="00A804DB"/>
    <w:rsid w:val="00A80EBB"/>
    <w:rsid w:val="00A81449"/>
    <w:rsid w:val="00A817FF"/>
    <w:rsid w:val="00A81A97"/>
    <w:rsid w:val="00A83016"/>
    <w:rsid w:val="00A83484"/>
    <w:rsid w:val="00A8350C"/>
    <w:rsid w:val="00A84232"/>
    <w:rsid w:val="00A84505"/>
    <w:rsid w:val="00A845ED"/>
    <w:rsid w:val="00A855C1"/>
    <w:rsid w:val="00A85908"/>
    <w:rsid w:val="00A86114"/>
    <w:rsid w:val="00A86A88"/>
    <w:rsid w:val="00A86E78"/>
    <w:rsid w:val="00A903F4"/>
    <w:rsid w:val="00A90635"/>
    <w:rsid w:val="00A90688"/>
    <w:rsid w:val="00A90831"/>
    <w:rsid w:val="00A90859"/>
    <w:rsid w:val="00A914E7"/>
    <w:rsid w:val="00A916E1"/>
    <w:rsid w:val="00A91B0D"/>
    <w:rsid w:val="00A9225E"/>
    <w:rsid w:val="00A92E25"/>
    <w:rsid w:val="00A932A3"/>
    <w:rsid w:val="00A93955"/>
    <w:rsid w:val="00A93E79"/>
    <w:rsid w:val="00A93EB1"/>
    <w:rsid w:val="00A942E9"/>
    <w:rsid w:val="00A9464A"/>
    <w:rsid w:val="00A94E9C"/>
    <w:rsid w:val="00A94FE9"/>
    <w:rsid w:val="00A95171"/>
    <w:rsid w:val="00A95E72"/>
    <w:rsid w:val="00A96955"/>
    <w:rsid w:val="00A97DA1"/>
    <w:rsid w:val="00A97F7C"/>
    <w:rsid w:val="00AA104A"/>
    <w:rsid w:val="00AA1C8D"/>
    <w:rsid w:val="00AA35B5"/>
    <w:rsid w:val="00AA4EC7"/>
    <w:rsid w:val="00AA5CE1"/>
    <w:rsid w:val="00AA5E33"/>
    <w:rsid w:val="00AA621F"/>
    <w:rsid w:val="00AA6829"/>
    <w:rsid w:val="00AA71C9"/>
    <w:rsid w:val="00AA78F6"/>
    <w:rsid w:val="00AA7A95"/>
    <w:rsid w:val="00AA7EDA"/>
    <w:rsid w:val="00AA7EED"/>
    <w:rsid w:val="00AA7F0B"/>
    <w:rsid w:val="00AB100B"/>
    <w:rsid w:val="00AB11C9"/>
    <w:rsid w:val="00AB1A95"/>
    <w:rsid w:val="00AB210D"/>
    <w:rsid w:val="00AB2385"/>
    <w:rsid w:val="00AB3644"/>
    <w:rsid w:val="00AB4659"/>
    <w:rsid w:val="00AB4B3F"/>
    <w:rsid w:val="00AB52B1"/>
    <w:rsid w:val="00AB568E"/>
    <w:rsid w:val="00AB5833"/>
    <w:rsid w:val="00AB5839"/>
    <w:rsid w:val="00AB5B77"/>
    <w:rsid w:val="00AB5EBD"/>
    <w:rsid w:val="00AB6073"/>
    <w:rsid w:val="00AB6366"/>
    <w:rsid w:val="00AB66F7"/>
    <w:rsid w:val="00AB7DFB"/>
    <w:rsid w:val="00AC1D96"/>
    <w:rsid w:val="00AC1E4F"/>
    <w:rsid w:val="00AC208B"/>
    <w:rsid w:val="00AC3443"/>
    <w:rsid w:val="00AC5097"/>
    <w:rsid w:val="00AC53C6"/>
    <w:rsid w:val="00AC5CA4"/>
    <w:rsid w:val="00AC6012"/>
    <w:rsid w:val="00AC617E"/>
    <w:rsid w:val="00AC630C"/>
    <w:rsid w:val="00AC7C97"/>
    <w:rsid w:val="00AC7EC8"/>
    <w:rsid w:val="00AD000C"/>
    <w:rsid w:val="00AD1003"/>
    <w:rsid w:val="00AD101B"/>
    <w:rsid w:val="00AD10F2"/>
    <w:rsid w:val="00AD161D"/>
    <w:rsid w:val="00AD1A79"/>
    <w:rsid w:val="00AD1C11"/>
    <w:rsid w:val="00AD20A3"/>
    <w:rsid w:val="00AD2637"/>
    <w:rsid w:val="00AD2977"/>
    <w:rsid w:val="00AD3115"/>
    <w:rsid w:val="00AD4D08"/>
    <w:rsid w:val="00AD4E5E"/>
    <w:rsid w:val="00AD520B"/>
    <w:rsid w:val="00AD5B10"/>
    <w:rsid w:val="00AD60D5"/>
    <w:rsid w:val="00AD63DD"/>
    <w:rsid w:val="00AD68E6"/>
    <w:rsid w:val="00AD6FD1"/>
    <w:rsid w:val="00AD7904"/>
    <w:rsid w:val="00AE0741"/>
    <w:rsid w:val="00AE0DB9"/>
    <w:rsid w:val="00AE169D"/>
    <w:rsid w:val="00AE1750"/>
    <w:rsid w:val="00AE27ED"/>
    <w:rsid w:val="00AE2F2C"/>
    <w:rsid w:val="00AE31D5"/>
    <w:rsid w:val="00AE4A54"/>
    <w:rsid w:val="00AE509A"/>
    <w:rsid w:val="00AE58DB"/>
    <w:rsid w:val="00AE5C33"/>
    <w:rsid w:val="00AE63BA"/>
    <w:rsid w:val="00AF0045"/>
    <w:rsid w:val="00AF06E8"/>
    <w:rsid w:val="00AF11E2"/>
    <w:rsid w:val="00AF1322"/>
    <w:rsid w:val="00AF166B"/>
    <w:rsid w:val="00AF2550"/>
    <w:rsid w:val="00AF267C"/>
    <w:rsid w:val="00AF316B"/>
    <w:rsid w:val="00AF3D02"/>
    <w:rsid w:val="00AF5652"/>
    <w:rsid w:val="00AF5E49"/>
    <w:rsid w:val="00AF5F00"/>
    <w:rsid w:val="00AF6DE4"/>
    <w:rsid w:val="00AF7C5E"/>
    <w:rsid w:val="00B00792"/>
    <w:rsid w:val="00B00D96"/>
    <w:rsid w:val="00B01890"/>
    <w:rsid w:val="00B023C7"/>
    <w:rsid w:val="00B026FF"/>
    <w:rsid w:val="00B02A11"/>
    <w:rsid w:val="00B02BDB"/>
    <w:rsid w:val="00B03E38"/>
    <w:rsid w:val="00B0427D"/>
    <w:rsid w:val="00B0499C"/>
    <w:rsid w:val="00B04A9D"/>
    <w:rsid w:val="00B04DD4"/>
    <w:rsid w:val="00B057A5"/>
    <w:rsid w:val="00B07246"/>
    <w:rsid w:val="00B101D4"/>
    <w:rsid w:val="00B10A51"/>
    <w:rsid w:val="00B11068"/>
    <w:rsid w:val="00B11588"/>
    <w:rsid w:val="00B11953"/>
    <w:rsid w:val="00B11DC6"/>
    <w:rsid w:val="00B12FCD"/>
    <w:rsid w:val="00B137DC"/>
    <w:rsid w:val="00B14C3A"/>
    <w:rsid w:val="00B15AC6"/>
    <w:rsid w:val="00B15D6E"/>
    <w:rsid w:val="00B162DD"/>
    <w:rsid w:val="00B16489"/>
    <w:rsid w:val="00B167BB"/>
    <w:rsid w:val="00B16CD3"/>
    <w:rsid w:val="00B17AC6"/>
    <w:rsid w:val="00B17DAF"/>
    <w:rsid w:val="00B201FE"/>
    <w:rsid w:val="00B21BB1"/>
    <w:rsid w:val="00B238F7"/>
    <w:rsid w:val="00B248B8"/>
    <w:rsid w:val="00B2657A"/>
    <w:rsid w:val="00B27058"/>
    <w:rsid w:val="00B27126"/>
    <w:rsid w:val="00B2723B"/>
    <w:rsid w:val="00B27561"/>
    <w:rsid w:val="00B277F1"/>
    <w:rsid w:val="00B300E6"/>
    <w:rsid w:val="00B31033"/>
    <w:rsid w:val="00B31992"/>
    <w:rsid w:val="00B326CC"/>
    <w:rsid w:val="00B32930"/>
    <w:rsid w:val="00B3355F"/>
    <w:rsid w:val="00B33869"/>
    <w:rsid w:val="00B340E0"/>
    <w:rsid w:val="00B343F7"/>
    <w:rsid w:val="00B34850"/>
    <w:rsid w:val="00B35BBB"/>
    <w:rsid w:val="00B35DB4"/>
    <w:rsid w:val="00B361B4"/>
    <w:rsid w:val="00B36265"/>
    <w:rsid w:val="00B363A3"/>
    <w:rsid w:val="00B36B22"/>
    <w:rsid w:val="00B36B31"/>
    <w:rsid w:val="00B37148"/>
    <w:rsid w:val="00B371C9"/>
    <w:rsid w:val="00B37DEA"/>
    <w:rsid w:val="00B40465"/>
    <w:rsid w:val="00B4060D"/>
    <w:rsid w:val="00B406C7"/>
    <w:rsid w:val="00B4096B"/>
    <w:rsid w:val="00B412BC"/>
    <w:rsid w:val="00B42021"/>
    <w:rsid w:val="00B426F9"/>
    <w:rsid w:val="00B42903"/>
    <w:rsid w:val="00B42E7E"/>
    <w:rsid w:val="00B42F9D"/>
    <w:rsid w:val="00B439FA"/>
    <w:rsid w:val="00B43A35"/>
    <w:rsid w:val="00B43DC3"/>
    <w:rsid w:val="00B44183"/>
    <w:rsid w:val="00B44231"/>
    <w:rsid w:val="00B444DE"/>
    <w:rsid w:val="00B4532E"/>
    <w:rsid w:val="00B45412"/>
    <w:rsid w:val="00B466C4"/>
    <w:rsid w:val="00B4671D"/>
    <w:rsid w:val="00B46FAB"/>
    <w:rsid w:val="00B47964"/>
    <w:rsid w:val="00B47B54"/>
    <w:rsid w:val="00B5064B"/>
    <w:rsid w:val="00B50ADD"/>
    <w:rsid w:val="00B50F4A"/>
    <w:rsid w:val="00B51948"/>
    <w:rsid w:val="00B519C3"/>
    <w:rsid w:val="00B51CDF"/>
    <w:rsid w:val="00B51DB9"/>
    <w:rsid w:val="00B5232A"/>
    <w:rsid w:val="00B52A73"/>
    <w:rsid w:val="00B52C36"/>
    <w:rsid w:val="00B53008"/>
    <w:rsid w:val="00B535F4"/>
    <w:rsid w:val="00B536B1"/>
    <w:rsid w:val="00B5431F"/>
    <w:rsid w:val="00B54772"/>
    <w:rsid w:val="00B54BBF"/>
    <w:rsid w:val="00B561FC"/>
    <w:rsid w:val="00B56C2A"/>
    <w:rsid w:val="00B56D5B"/>
    <w:rsid w:val="00B57487"/>
    <w:rsid w:val="00B576FA"/>
    <w:rsid w:val="00B57B79"/>
    <w:rsid w:val="00B60465"/>
    <w:rsid w:val="00B6063A"/>
    <w:rsid w:val="00B60C7C"/>
    <w:rsid w:val="00B60D1C"/>
    <w:rsid w:val="00B61359"/>
    <w:rsid w:val="00B61837"/>
    <w:rsid w:val="00B61BD2"/>
    <w:rsid w:val="00B61D8E"/>
    <w:rsid w:val="00B62E25"/>
    <w:rsid w:val="00B63B16"/>
    <w:rsid w:val="00B63BB6"/>
    <w:rsid w:val="00B6410F"/>
    <w:rsid w:val="00B64845"/>
    <w:rsid w:val="00B64D23"/>
    <w:rsid w:val="00B64DB4"/>
    <w:rsid w:val="00B653A0"/>
    <w:rsid w:val="00B65694"/>
    <w:rsid w:val="00B66003"/>
    <w:rsid w:val="00B664B9"/>
    <w:rsid w:val="00B66BD0"/>
    <w:rsid w:val="00B67013"/>
    <w:rsid w:val="00B67C60"/>
    <w:rsid w:val="00B70CC5"/>
    <w:rsid w:val="00B718B5"/>
    <w:rsid w:val="00B725F6"/>
    <w:rsid w:val="00B73611"/>
    <w:rsid w:val="00B73A54"/>
    <w:rsid w:val="00B73D41"/>
    <w:rsid w:val="00B74025"/>
    <w:rsid w:val="00B74BD8"/>
    <w:rsid w:val="00B76862"/>
    <w:rsid w:val="00B76CCB"/>
    <w:rsid w:val="00B7754F"/>
    <w:rsid w:val="00B775A5"/>
    <w:rsid w:val="00B77821"/>
    <w:rsid w:val="00B808F5"/>
    <w:rsid w:val="00B80B25"/>
    <w:rsid w:val="00B81038"/>
    <w:rsid w:val="00B81BA3"/>
    <w:rsid w:val="00B81F80"/>
    <w:rsid w:val="00B8244A"/>
    <w:rsid w:val="00B83CC6"/>
    <w:rsid w:val="00B83F1A"/>
    <w:rsid w:val="00B848C7"/>
    <w:rsid w:val="00B849E7"/>
    <w:rsid w:val="00B84D70"/>
    <w:rsid w:val="00B85150"/>
    <w:rsid w:val="00B8568A"/>
    <w:rsid w:val="00B85917"/>
    <w:rsid w:val="00B86256"/>
    <w:rsid w:val="00B86771"/>
    <w:rsid w:val="00B86F27"/>
    <w:rsid w:val="00B871ED"/>
    <w:rsid w:val="00B87678"/>
    <w:rsid w:val="00B87679"/>
    <w:rsid w:val="00B8768F"/>
    <w:rsid w:val="00B877A3"/>
    <w:rsid w:val="00B91972"/>
    <w:rsid w:val="00B92629"/>
    <w:rsid w:val="00B92E78"/>
    <w:rsid w:val="00B92FEB"/>
    <w:rsid w:val="00B934F7"/>
    <w:rsid w:val="00B93B4F"/>
    <w:rsid w:val="00B944BD"/>
    <w:rsid w:val="00B9457B"/>
    <w:rsid w:val="00B94877"/>
    <w:rsid w:val="00B949AC"/>
    <w:rsid w:val="00B9540A"/>
    <w:rsid w:val="00B9599C"/>
    <w:rsid w:val="00B9654C"/>
    <w:rsid w:val="00B966F2"/>
    <w:rsid w:val="00B96F7F"/>
    <w:rsid w:val="00B970CC"/>
    <w:rsid w:val="00B979AA"/>
    <w:rsid w:val="00BA138B"/>
    <w:rsid w:val="00BA189C"/>
    <w:rsid w:val="00BA19DF"/>
    <w:rsid w:val="00BA2F12"/>
    <w:rsid w:val="00BA2FAE"/>
    <w:rsid w:val="00BA3787"/>
    <w:rsid w:val="00BA44DC"/>
    <w:rsid w:val="00BA47F4"/>
    <w:rsid w:val="00BA4BD3"/>
    <w:rsid w:val="00BA4C70"/>
    <w:rsid w:val="00BA594A"/>
    <w:rsid w:val="00BA5C9C"/>
    <w:rsid w:val="00BA61C2"/>
    <w:rsid w:val="00BA6BBA"/>
    <w:rsid w:val="00BA75EE"/>
    <w:rsid w:val="00BA79A2"/>
    <w:rsid w:val="00BA7DA9"/>
    <w:rsid w:val="00BB0637"/>
    <w:rsid w:val="00BB0751"/>
    <w:rsid w:val="00BB0840"/>
    <w:rsid w:val="00BB0E05"/>
    <w:rsid w:val="00BB1503"/>
    <w:rsid w:val="00BB1B41"/>
    <w:rsid w:val="00BB1FED"/>
    <w:rsid w:val="00BB2273"/>
    <w:rsid w:val="00BB2464"/>
    <w:rsid w:val="00BB2767"/>
    <w:rsid w:val="00BB2A04"/>
    <w:rsid w:val="00BB3074"/>
    <w:rsid w:val="00BB315C"/>
    <w:rsid w:val="00BB5F63"/>
    <w:rsid w:val="00BB651D"/>
    <w:rsid w:val="00BB68D3"/>
    <w:rsid w:val="00BB68DB"/>
    <w:rsid w:val="00BB6F59"/>
    <w:rsid w:val="00BB74AC"/>
    <w:rsid w:val="00BB767A"/>
    <w:rsid w:val="00BB7F6E"/>
    <w:rsid w:val="00BC0129"/>
    <w:rsid w:val="00BC0456"/>
    <w:rsid w:val="00BC091E"/>
    <w:rsid w:val="00BC192B"/>
    <w:rsid w:val="00BC1AF8"/>
    <w:rsid w:val="00BC1E91"/>
    <w:rsid w:val="00BC27B4"/>
    <w:rsid w:val="00BC2B2F"/>
    <w:rsid w:val="00BC2C8C"/>
    <w:rsid w:val="00BC2E90"/>
    <w:rsid w:val="00BC2F4B"/>
    <w:rsid w:val="00BC39B7"/>
    <w:rsid w:val="00BC50EB"/>
    <w:rsid w:val="00BC6957"/>
    <w:rsid w:val="00BC6991"/>
    <w:rsid w:val="00BC6A02"/>
    <w:rsid w:val="00BC6F02"/>
    <w:rsid w:val="00BC7E5B"/>
    <w:rsid w:val="00BD05AC"/>
    <w:rsid w:val="00BD1F4C"/>
    <w:rsid w:val="00BD2AB0"/>
    <w:rsid w:val="00BD2C6E"/>
    <w:rsid w:val="00BD3307"/>
    <w:rsid w:val="00BD392F"/>
    <w:rsid w:val="00BD3986"/>
    <w:rsid w:val="00BD39F5"/>
    <w:rsid w:val="00BD4D09"/>
    <w:rsid w:val="00BD5023"/>
    <w:rsid w:val="00BD50E8"/>
    <w:rsid w:val="00BD5991"/>
    <w:rsid w:val="00BD5B4E"/>
    <w:rsid w:val="00BD5D07"/>
    <w:rsid w:val="00BD5D88"/>
    <w:rsid w:val="00BD6269"/>
    <w:rsid w:val="00BD69E8"/>
    <w:rsid w:val="00BD6CFC"/>
    <w:rsid w:val="00BD729E"/>
    <w:rsid w:val="00BD76D8"/>
    <w:rsid w:val="00BD7B00"/>
    <w:rsid w:val="00BE0133"/>
    <w:rsid w:val="00BE0EAE"/>
    <w:rsid w:val="00BE0F7A"/>
    <w:rsid w:val="00BE1003"/>
    <w:rsid w:val="00BE153F"/>
    <w:rsid w:val="00BE1A78"/>
    <w:rsid w:val="00BE1BE0"/>
    <w:rsid w:val="00BE2973"/>
    <w:rsid w:val="00BE3B71"/>
    <w:rsid w:val="00BE3C58"/>
    <w:rsid w:val="00BE3D42"/>
    <w:rsid w:val="00BE524E"/>
    <w:rsid w:val="00BE559E"/>
    <w:rsid w:val="00BE55DC"/>
    <w:rsid w:val="00BE5F43"/>
    <w:rsid w:val="00BE6694"/>
    <w:rsid w:val="00BE6DC2"/>
    <w:rsid w:val="00BE73AB"/>
    <w:rsid w:val="00BE7590"/>
    <w:rsid w:val="00BE7A0B"/>
    <w:rsid w:val="00BE7EA0"/>
    <w:rsid w:val="00BE7F64"/>
    <w:rsid w:val="00BF00D1"/>
    <w:rsid w:val="00BF0AF2"/>
    <w:rsid w:val="00BF100A"/>
    <w:rsid w:val="00BF1220"/>
    <w:rsid w:val="00BF29D5"/>
    <w:rsid w:val="00BF3159"/>
    <w:rsid w:val="00BF31DE"/>
    <w:rsid w:val="00BF34D0"/>
    <w:rsid w:val="00BF41F9"/>
    <w:rsid w:val="00BF428D"/>
    <w:rsid w:val="00BF4862"/>
    <w:rsid w:val="00BF598D"/>
    <w:rsid w:val="00BF5F23"/>
    <w:rsid w:val="00BF71AE"/>
    <w:rsid w:val="00BF77DB"/>
    <w:rsid w:val="00C0080E"/>
    <w:rsid w:val="00C00AB7"/>
    <w:rsid w:val="00C01093"/>
    <w:rsid w:val="00C017EF"/>
    <w:rsid w:val="00C02558"/>
    <w:rsid w:val="00C03D64"/>
    <w:rsid w:val="00C03E69"/>
    <w:rsid w:val="00C05022"/>
    <w:rsid w:val="00C0552E"/>
    <w:rsid w:val="00C06359"/>
    <w:rsid w:val="00C065BB"/>
    <w:rsid w:val="00C067D4"/>
    <w:rsid w:val="00C107EE"/>
    <w:rsid w:val="00C11482"/>
    <w:rsid w:val="00C11C9F"/>
    <w:rsid w:val="00C12708"/>
    <w:rsid w:val="00C12ED6"/>
    <w:rsid w:val="00C13102"/>
    <w:rsid w:val="00C14734"/>
    <w:rsid w:val="00C149C9"/>
    <w:rsid w:val="00C153AE"/>
    <w:rsid w:val="00C15CB7"/>
    <w:rsid w:val="00C162B6"/>
    <w:rsid w:val="00C16316"/>
    <w:rsid w:val="00C17429"/>
    <w:rsid w:val="00C1754C"/>
    <w:rsid w:val="00C17A74"/>
    <w:rsid w:val="00C202FC"/>
    <w:rsid w:val="00C2123C"/>
    <w:rsid w:val="00C2157E"/>
    <w:rsid w:val="00C215DE"/>
    <w:rsid w:val="00C225C2"/>
    <w:rsid w:val="00C22F42"/>
    <w:rsid w:val="00C235E0"/>
    <w:rsid w:val="00C239C0"/>
    <w:rsid w:val="00C2412A"/>
    <w:rsid w:val="00C241DE"/>
    <w:rsid w:val="00C247EE"/>
    <w:rsid w:val="00C25B92"/>
    <w:rsid w:val="00C2677E"/>
    <w:rsid w:val="00C2685D"/>
    <w:rsid w:val="00C26930"/>
    <w:rsid w:val="00C27765"/>
    <w:rsid w:val="00C27C4B"/>
    <w:rsid w:val="00C300FB"/>
    <w:rsid w:val="00C301E9"/>
    <w:rsid w:val="00C3056C"/>
    <w:rsid w:val="00C31066"/>
    <w:rsid w:val="00C332F3"/>
    <w:rsid w:val="00C342AD"/>
    <w:rsid w:val="00C355BA"/>
    <w:rsid w:val="00C35BB6"/>
    <w:rsid w:val="00C3656B"/>
    <w:rsid w:val="00C3704D"/>
    <w:rsid w:val="00C3744F"/>
    <w:rsid w:val="00C37881"/>
    <w:rsid w:val="00C400ED"/>
    <w:rsid w:val="00C40DE8"/>
    <w:rsid w:val="00C40DEC"/>
    <w:rsid w:val="00C41225"/>
    <w:rsid w:val="00C42080"/>
    <w:rsid w:val="00C42B1C"/>
    <w:rsid w:val="00C42DD5"/>
    <w:rsid w:val="00C434BA"/>
    <w:rsid w:val="00C435B0"/>
    <w:rsid w:val="00C435DE"/>
    <w:rsid w:val="00C435EA"/>
    <w:rsid w:val="00C437D0"/>
    <w:rsid w:val="00C44AAF"/>
    <w:rsid w:val="00C44D7B"/>
    <w:rsid w:val="00C46292"/>
    <w:rsid w:val="00C464AB"/>
    <w:rsid w:val="00C5017B"/>
    <w:rsid w:val="00C512D0"/>
    <w:rsid w:val="00C51A7A"/>
    <w:rsid w:val="00C520BC"/>
    <w:rsid w:val="00C52F16"/>
    <w:rsid w:val="00C53240"/>
    <w:rsid w:val="00C533BC"/>
    <w:rsid w:val="00C5379F"/>
    <w:rsid w:val="00C53A51"/>
    <w:rsid w:val="00C53BC4"/>
    <w:rsid w:val="00C54108"/>
    <w:rsid w:val="00C54AD3"/>
    <w:rsid w:val="00C54B3F"/>
    <w:rsid w:val="00C551FE"/>
    <w:rsid w:val="00C57C21"/>
    <w:rsid w:val="00C62D90"/>
    <w:rsid w:val="00C632F9"/>
    <w:rsid w:val="00C63998"/>
    <w:rsid w:val="00C65239"/>
    <w:rsid w:val="00C6555E"/>
    <w:rsid w:val="00C66586"/>
    <w:rsid w:val="00C6793B"/>
    <w:rsid w:val="00C7040F"/>
    <w:rsid w:val="00C7084C"/>
    <w:rsid w:val="00C710EC"/>
    <w:rsid w:val="00C71267"/>
    <w:rsid w:val="00C7194B"/>
    <w:rsid w:val="00C71A9B"/>
    <w:rsid w:val="00C71BBD"/>
    <w:rsid w:val="00C7275F"/>
    <w:rsid w:val="00C72BFE"/>
    <w:rsid w:val="00C739F7"/>
    <w:rsid w:val="00C7454B"/>
    <w:rsid w:val="00C745D9"/>
    <w:rsid w:val="00C7494C"/>
    <w:rsid w:val="00C7585A"/>
    <w:rsid w:val="00C76009"/>
    <w:rsid w:val="00C76114"/>
    <w:rsid w:val="00C7683B"/>
    <w:rsid w:val="00C77BC2"/>
    <w:rsid w:val="00C80A8F"/>
    <w:rsid w:val="00C80EC1"/>
    <w:rsid w:val="00C817E9"/>
    <w:rsid w:val="00C8195A"/>
    <w:rsid w:val="00C82245"/>
    <w:rsid w:val="00C82FFF"/>
    <w:rsid w:val="00C8375F"/>
    <w:rsid w:val="00C84416"/>
    <w:rsid w:val="00C84E69"/>
    <w:rsid w:val="00C85370"/>
    <w:rsid w:val="00C8573C"/>
    <w:rsid w:val="00C85B68"/>
    <w:rsid w:val="00C867B4"/>
    <w:rsid w:val="00C86874"/>
    <w:rsid w:val="00C913D0"/>
    <w:rsid w:val="00C91BB6"/>
    <w:rsid w:val="00C92AB8"/>
    <w:rsid w:val="00C92F48"/>
    <w:rsid w:val="00C93CB2"/>
    <w:rsid w:val="00C93D85"/>
    <w:rsid w:val="00C940EE"/>
    <w:rsid w:val="00C94383"/>
    <w:rsid w:val="00C94852"/>
    <w:rsid w:val="00C9499D"/>
    <w:rsid w:val="00C94A45"/>
    <w:rsid w:val="00C95C27"/>
    <w:rsid w:val="00C95E0D"/>
    <w:rsid w:val="00C96F9E"/>
    <w:rsid w:val="00C97087"/>
    <w:rsid w:val="00C97238"/>
    <w:rsid w:val="00CA0190"/>
    <w:rsid w:val="00CA10FF"/>
    <w:rsid w:val="00CA18BB"/>
    <w:rsid w:val="00CA1D68"/>
    <w:rsid w:val="00CA1D94"/>
    <w:rsid w:val="00CA25BD"/>
    <w:rsid w:val="00CA3889"/>
    <w:rsid w:val="00CA41AF"/>
    <w:rsid w:val="00CA4DFA"/>
    <w:rsid w:val="00CA4F57"/>
    <w:rsid w:val="00CA5A1F"/>
    <w:rsid w:val="00CA6370"/>
    <w:rsid w:val="00CA760A"/>
    <w:rsid w:val="00CB016D"/>
    <w:rsid w:val="00CB04D4"/>
    <w:rsid w:val="00CB06C8"/>
    <w:rsid w:val="00CB0CBB"/>
    <w:rsid w:val="00CB1D3F"/>
    <w:rsid w:val="00CB2D4C"/>
    <w:rsid w:val="00CB2E79"/>
    <w:rsid w:val="00CB2FA3"/>
    <w:rsid w:val="00CB3533"/>
    <w:rsid w:val="00CB3847"/>
    <w:rsid w:val="00CB38D6"/>
    <w:rsid w:val="00CB454B"/>
    <w:rsid w:val="00CB4D9E"/>
    <w:rsid w:val="00CB5A15"/>
    <w:rsid w:val="00CB5A68"/>
    <w:rsid w:val="00CB5A9B"/>
    <w:rsid w:val="00CB73E4"/>
    <w:rsid w:val="00CC07DB"/>
    <w:rsid w:val="00CC0E9C"/>
    <w:rsid w:val="00CC2D4F"/>
    <w:rsid w:val="00CC32D1"/>
    <w:rsid w:val="00CC38FF"/>
    <w:rsid w:val="00CC3A1F"/>
    <w:rsid w:val="00CC3B51"/>
    <w:rsid w:val="00CC3C2A"/>
    <w:rsid w:val="00CC3F98"/>
    <w:rsid w:val="00CC3FA0"/>
    <w:rsid w:val="00CC4291"/>
    <w:rsid w:val="00CC4E22"/>
    <w:rsid w:val="00CC5097"/>
    <w:rsid w:val="00CC7215"/>
    <w:rsid w:val="00CC7AEC"/>
    <w:rsid w:val="00CC7F33"/>
    <w:rsid w:val="00CD0261"/>
    <w:rsid w:val="00CD122C"/>
    <w:rsid w:val="00CD125D"/>
    <w:rsid w:val="00CD2424"/>
    <w:rsid w:val="00CD2AB2"/>
    <w:rsid w:val="00CD3204"/>
    <w:rsid w:val="00CD384C"/>
    <w:rsid w:val="00CD3E1E"/>
    <w:rsid w:val="00CD3F38"/>
    <w:rsid w:val="00CD3FDB"/>
    <w:rsid w:val="00CD429C"/>
    <w:rsid w:val="00CD43C0"/>
    <w:rsid w:val="00CD4535"/>
    <w:rsid w:val="00CD49F8"/>
    <w:rsid w:val="00CD4C62"/>
    <w:rsid w:val="00CD5219"/>
    <w:rsid w:val="00CD58DE"/>
    <w:rsid w:val="00CD59B2"/>
    <w:rsid w:val="00CD5CD6"/>
    <w:rsid w:val="00CD6BBE"/>
    <w:rsid w:val="00CD6CA2"/>
    <w:rsid w:val="00CD72F5"/>
    <w:rsid w:val="00CD7588"/>
    <w:rsid w:val="00CD7B56"/>
    <w:rsid w:val="00CE012B"/>
    <w:rsid w:val="00CE0798"/>
    <w:rsid w:val="00CE0903"/>
    <w:rsid w:val="00CE0CC0"/>
    <w:rsid w:val="00CE0CF6"/>
    <w:rsid w:val="00CE1512"/>
    <w:rsid w:val="00CE1ACC"/>
    <w:rsid w:val="00CE2272"/>
    <w:rsid w:val="00CE2C18"/>
    <w:rsid w:val="00CE4076"/>
    <w:rsid w:val="00CE4528"/>
    <w:rsid w:val="00CE4612"/>
    <w:rsid w:val="00CE4877"/>
    <w:rsid w:val="00CE67E6"/>
    <w:rsid w:val="00CE6851"/>
    <w:rsid w:val="00CE6888"/>
    <w:rsid w:val="00CE6E23"/>
    <w:rsid w:val="00CE7198"/>
    <w:rsid w:val="00CE7AF1"/>
    <w:rsid w:val="00CE7F49"/>
    <w:rsid w:val="00CF0AEC"/>
    <w:rsid w:val="00CF13C6"/>
    <w:rsid w:val="00CF17CA"/>
    <w:rsid w:val="00CF1876"/>
    <w:rsid w:val="00CF1FBF"/>
    <w:rsid w:val="00CF3323"/>
    <w:rsid w:val="00CF38B4"/>
    <w:rsid w:val="00CF3E39"/>
    <w:rsid w:val="00CF5426"/>
    <w:rsid w:val="00CF5F86"/>
    <w:rsid w:val="00CF63ED"/>
    <w:rsid w:val="00CF76BE"/>
    <w:rsid w:val="00CF7740"/>
    <w:rsid w:val="00CF7B40"/>
    <w:rsid w:val="00D00346"/>
    <w:rsid w:val="00D0045E"/>
    <w:rsid w:val="00D00FB4"/>
    <w:rsid w:val="00D016A3"/>
    <w:rsid w:val="00D02096"/>
    <w:rsid w:val="00D0270F"/>
    <w:rsid w:val="00D028E3"/>
    <w:rsid w:val="00D0296C"/>
    <w:rsid w:val="00D02FDA"/>
    <w:rsid w:val="00D02FDB"/>
    <w:rsid w:val="00D03B3D"/>
    <w:rsid w:val="00D03E74"/>
    <w:rsid w:val="00D056C1"/>
    <w:rsid w:val="00D062CB"/>
    <w:rsid w:val="00D06828"/>
    <w:rsid w:val="00D070EE"/>
    <w:rsid w:val="00D07533"/>
    <w:rsid w:val="00D07F21"/>
    <w:rsid w:val="00D10A12"/>
    <w:rsid w:val="00D10BE0"/>
    <w:rsid w:val="00D113C2"/>
    <w:rsid w:val="00D11D18"/>
    <w:rsid w:val="00D12491"/>
    <w:rsid w:val="00D130D2"/>
    <w:rsid w:val="00D14493"/>
    <w:rsid w:val="00D147A6"/>
    <w:rsid w:val="00D151B8"/>
    <w:rsid w:val="00D162F9"/>
    <w:rsid w:val="00D17567"/>
    <w:rsid w:val="00D1774E"/>
    <w:rsid w:val="00D17D9A"/>
    <w:rsid w:val="00D204D2"/>
    <w:rsid w:val="00D2131F"/>
    <w:rsid w:val="00D22DDB"/>
    <w:rsid w:val="00D23377"/>
    <w:rsid w:val="00D243C0"/>
    <w:rsid w:val="00D254ED"/>
    <w:rsid w:val="00D26273"/>
    <w:rsid w:val="00D262A6"/>
    <w:rsid w:val="00D26900"/>
    <w:rsid w:val="00D2770C"/>
    <w:rsid w:val="00D27D2D"/>
    <w:rsid w:val="00D30D0A"/>
    <w:rsid w:val="00D30D59"/>
    <w:rsid w:val="00D30DB4"/>
    <w:rsid w:val="00D30EC5"/>
    <w:rsid w:val="00D31FFA"/>
    <w:rsid w:val="00D32578"/>
    <w:rsid w:val="00D330B1"/>
    <w:rsid w:val="00D3358E"/>
    <w:rsid w:val="00D33796"/>
    <w:rsid w:val="00D34781"/>
    <w:rsid w:val="00D348D1"/>
    <w:rsid w:val="00D35818"/>
    <w:rsid w:val="00D35EC4"/>
    <w:rsid w:val="00D35F17"/>
    <w:rsid w:val="00D3605D"/>
    <w:rsid w:val="00D36583"/>
    <w:rsid w:val="00D37177"/>
    <w:rsid w:val="00D40877"/>
    <w:rsid w:val="00D409CB"/>
    <w:rsid w:val="00D434E2"/>
    <w:rsid w:val="00D43508"/>
    <w:rsid w:val="00D43CD7"/>
    <w:rsid w:val="00D45CFC"/>
    <w:rsid w:val="00D46528"/>
    <w:rsid w:val="00D516DD"/>
    <w:rsid w:val="00D51B46"/>
    <w:rsid w:val="00D52357"/>
    <w:rsid w:val="00D53089"/>
    <w:rsid w:val="00D5380D"/>
    <w:rsid w:val="00D53C7D"/>
    <w:rsid w:val="00D53DC5"/>
    <w:rsid w:val="00D53EB2"/>
    <w:rsid w:val="00D53FE1"/>
    <w:rsid w:val="00D54743"/>
    <w:rsid w:val="00D54DF1"/>
    <w:rsid w:val="00D571B2"/>
    <w:rsid w:val="00D619AB"/>
    <w:rsid w:val="00D62DA3"/>
    <w:rsid w:val="00D62FA6"/>
    <w:rsid w:val="00D63B68"/>
    <w:rsid w:val="00D63F66"/>
    <w:rsid w:val="00D64A53"/>
    <w:rsid w:val="00D65A40"/>
    <w:rsid w:val="00D6609F"/>
    <w:rsid w:val="00D6657E"/>
    <w:rsid w:val="00D666BA"/>
    <w:rsid w:val="00D700D4"/>
    <w:rsid w:val="00D70724"/>
    <w:rsid w:val="00D70CF8"/>
    <w:rsid w:val="00D71CAA"/>
    <w:rsid w:val="00D71CFC"/>
    <w:rsid w:val="00D72D6E"/>
    <w:rsid w:val="00D7321F"/>
    <w:rsid w:val="00D73282"/>
    <w:rsid w:val="00D73404"/>
    <w:rsid w:val="00D73651"/>
    <w:rsid w:val="00D7424F"/>
    <w:rsid w:val="00D743F7"/>
    <w:rsid w:val="00D74DD8"/>
    <w:rsid w:val="00D75D48"/>
    <w:rsid w:val="00D77122"/>
    <w:rsid w:val="00D77591"/>
    <w:rsid w:val="00D77C73"/>
    <w:rsid w:val="00D80449"/>
    <w:rsid w:val="00D818CB"/>
    <w:rsid w:val="00D81AB2"/>
    <w:rsid w:val="00D82CF0"/>
    <w:rsid w:val="00D8366B"/>
    <w:rsid w:val="00D84317"/>
    <w:rsid w:val="00D85187"/>
    <w:rsid w:val="00D8520C"/>
    <w:rsid w:val="00D8618F"/>
    <w:rsid w:val="00D86D8E"/>
    <w:rsid w:val="00D87330"/>
    <w:rsid w:val="00D873B2"/>
    <w:rsid w:val="00D876F3"/>
    <w:rsid w:val="00D90777"/>
    <w:rsid w:val="00D90E61"/>
    <w:rsid w:val="00D91038"/>
    <w:rsid w:val="00D9159D"/>
    <w:rsid w:val="00D9222A"/>
    <w:rsid w:val="00D92445"/>
    <w:rsid w:val="00D92642"/>
    <w:rsid w:val="00D933EE"/>
    <w:rsid w:val="00D93512"/>
    <w:rsid w:val="00D95AB2"/>
    <w:rsid w:val="00D969F3"/>
    <w:rsid w:val="00D96CD2"/>
    <w:rsid w:val="00D96DC2"/>
    <w:rsid w:val="00D978A3"/>
    <w:rsid w:val="00D97EA4"/>
    <w:rsid w:val="00DA08DB"/>
    <w:rsid w:val="00DA15D3"/>
    <w:rsid w:val="00DA1BFB"/>
    <w:rsid w:val="00DA1D18"/>
    <w:rsid w:val="00DA2150"/>
    <w:rsid w:val="00DA2720"/>
    <w:rsid w:val="00DA29FA"/>
    <w:rsid w:val="00DA3385"/>
    <w:rsid w:val="00DA3E7F"/>
    <w:rsid w:val="00DA3F5A"/>
    <w:rsid w:val="00DA458C"/>
    <w:rsid w:val="00DA56C4"/>
    <w:rsid w:val="00DA5A71"/>
    <w:rsid w:val="00DA65D5"/>
    <w:rsid w:val="00DA76ED"/>
    <w:rsid w:val="00DA7DF1"/>
    <w:rsid w:val="00DA7E52"/>
    <w:rsid w:val="00DB02F9"/>
    <w:rsid w:val="00DB10A2"/>
    <w:rsid w:val="00DB114C"/>
    <w:rsid w:val="00DB11DD"/>
    <w:rsid w:val="00DB2213"/>
    <w:rsid w:val="00DB3314"/>
    <w:rsid w:val="00DB420C"/>
    <w:rsid w:val="00DB44F8"/>
    <w:rsid w:val="00DB46A7"/>
    <w:rsid w:val="00DB4807"/>
    <w:rsid w:val="00DB4B48"/>
    <w:rsid w:val="00DB4F55"/>
    <w:rsid w:val="00DB5B5A"/>
    <w:rsid w:val="00DB6DBD"/>
    <w:rsid w:val="00DB6E1A"/>
    <w:rsid w:val="00DB6FE7"/>
    <w:rsid w:val="00DB713F"/>
    <w:rsid w:val="00DB79FD"/>
    <w:rsid w:val="00DB7B11"/>
    <w:rsid w:val="00DB7CCA"/>
    <w:rsid w:val="00DC08D5"/>
    <w:rsid w:val="00DC0C07"/>
    <w:rsid w:val="00DC0C8D"/>
    <w:rsid w:val="00DC182A"/>
    <w:rsid w:val="00DC1932"/>
    <w:rsid w:val="00DC2245"/>
    <w:rsid w:val="00DC2C84"/>
    <w:rsid w:val="00DC3377"/>
    <w:rsid w:val="00DC36A8"/>
    <w:rsid w:val="00DC3744"/>
    <w:rsid w:val="00DC41C9"/>
    <w:rsid w:val="00DC434B"/>
    <w:rsid w:val="00DC4697"/>
    <w:rsid w:val="00DC5C61"/>
    <w:rsid w:val="00DC661F"/>
    <w:rsid w:val="00DC6FF5"/>
    <w:rsid w:val="00DC712B"/>
    <w:rsid w:val="00DD03F9"/>
    <w:rsid w:val="00DD109A"/>
    <w:rsid w:val="00DD158F"/>
    <w:rsid w:val="00DD192B"/>
    <w:rsid w:val="00DD1FC0"/>
    <w:rsid w:val="00DD21BD"/>
    <w:rsid w:val="00DD3074"/>
    <w:rsid w:val="00DD3C9B"/>
    <w:rsid w:val="00DD4771"/>
    <w:rsid w:val="00DD5093"/>
    <w:rsid w:val="00DD51A9"/>
    <w:rsid w:val="00DD5BF4"/>
    <w:rsid w:val="00DD6B17"/>
    <w:rsid w:val="00DD6ECC"/>
    <w:rsid w:val="00DE05C6"/>
    <w:rsid w:val="00DE0E1D"/>
    <w:rsid w:val="00DE0EC5"/>
    <w:rsid w:val="00DE0FD6"/>
    <w:rsid w:val="00DE13CB"/>
    <w:rsid w:val="00DE1D19"/>
    <w:rsid w:val="00DE1FB2"/>
    <w:rsid w:val="00DE26C4"/>
    <w:rsid w:val="00DE32A4"/>
    <w:rsid w:val="00DE32CD"/>
    <w:rsid w:val="00DE3DA3"/>
    <w:rsid w:val="00DE44C3"/>
    <w:rsid w:val="00DE4CE4"/>
    <w:rsid w:val="00DE52A2"/>
    <w:rsid w:val="00DE5EA1"/>
    <w:rsid w:val="00DE61BF"/>
    <w:rsid w:val="00DE71FC"/>
    <w:rsid w:val="00DE76B5"/>
    <w:rsid w:val="00DF017C"/>
    <w:rsid w:val="00DF0568"/>
    <w:rsid w:val="00DF08F7"/>
    <w:rsid w:val="00DF0C3E"/>
    <w:rsid w:val="00DF0EA1"/>
    <w:rsid w:val="00DF1732"/>
    <w:rsid w:val="00DF1E84"/>
    <w:rsid w:val="00DF32F0"/>
    <w:rsid w:val="00DF3582"/>
    <w:rsid w:val="00DF3807"/>
    <w:rsid w:val="00DF3E6E"/>
    <w:rsid w:val="00DF4093"/>
    <w:rsid w:val="00DF431A"/>
    <w:rsid w:val="00DF4459"/>
    <w:rsid w:val="00DF49CC"/>
    <w:rsid w:val="00DF4AFC"/>
    <w:rsid w:val="00DF51F9"/>
    <w:rsid w:val="00DF57DA"/>
    <w:rsid w:val="00DF6607"/>
    <w:rsid w:val="00DF68F6"/>
    <w:rsid w:val="00DF6C45"/>
    <w:rsid w:val="00DF73E9"/>
    <w:rsid w:val="00DF77A4"/>
    <w:rsid w:val="00DF7C1A"/>
    <w:rsid w:val="00E0003B"/>
    <w:rsid w:val="00E001AA"/>
    <w:rsid w:val="00E00322"/>
    <w:rsid w:val="00E006FF"/>
    <w:rsid w:val="00E00702"/>
    <w:rsid w:val="00E00C62"/>
    <w:rsid w:val="00E010BC"/>
    <w:rsid w:val="00E02240"/>
    <w:rsid w:val="00E028CB"/>
    <w:rsid w:val="00E02F1F"/>
    <w:rsid w:val="00E037C6"/>
    <w:rsid w:val="00E039B7"/>
    <w:rsid w:val="00E03FB1"/>
    <w:rsid w:val="00E0433E"/>
    <w:rsid w:val="00E0538C"/>
    <w:rsid w:val="00E053EF"/>
    <w:rsid w:val="00E05938"/>
    <w:rsid w:val="00E05D25"/>
    <w:rsid w:val="00E05ECC"/>
    <w:rsid w:val="00E068AF"/>
    <w:rsid w:val="00E06FE5"/>
    <w:rsid w:val="00E077D9"/>
    <w:rsid w:val="00E10825"/>
    <w:rsid w:val="00E11104"/>
    <w:rsid w:val="00E12388"/>
    <w:rsid w:val="00E12F4F"/>
    <w:rsid w:val="00E13168"/>
    <w:rsid w:val="00E13D7E"/>
    <w:rsid w:val="00E13F02"/>
    <w:rsid w:val="00E1432A"/>
    <w:rsid w:val="00E14AC1"/>
    <w:rsid w:val="00E14DFD"/>
    <w:rsid w:val="00E15ECF"/>
    <w:rsid w:val="00E1664A"/>
    <w:rsid w:val="00E16F3A"/>
    <w:rsid w:val="00E177A2"/>
    <w:rsid w:val="00E17CA8"/>
    <w:rsid w:val="00E20695"/>
    <w:rsid w:val="00E20DEF"/>
    <w:rsid w:val="00E20E33"/>
    <w:rsid w:val="00E2111F"/>
    <w:rsid w:val="00E21620"/>
    <w:rsid w:val="00E21FDF"/>
    <w:rsid w:val="00E233CF"/>
    <w:rsid w:val="00E23405"/>
    <w:rsid w:val="00E23557"/>
    <w:rsid w:val="00E2362A"/>
    <w:rsid w:val="00E24268"/>
    <w:rsid w:val="00E2528C"/>
    <w:rsid w:val="00E264CA"/>
    <w:rsid w:val="00E266FC"/>
    <w:rsid w:val="00E26B30"/>
    <w:rsid w:val="00E27077"/>
    <w:rsid w:val="00E2737C"/>
    <w:rsid w:val="00E27406"/>
    <w:rsid w:val="00E27E30"/>
    <w:rsid w:val="00E30349"/>
    <w:rsid w:val="00E3115A"/>
    <w:rsid w:val="00E31401"/>
    <w:rsid w:val="00E32EFE"/>
    <w:rsid w:val="00E32FCB"/>
    <w:rsid w:val="00E33140"/>
    <w:rsid w:val="00E33316"/>
    <w:rsid w:val="00E338DA"/>
    <w:rsid w:val="00E33D65"/>
    <w:rsid w:val="00E35203"/>
    <w:rsid w:val="00E352E8"/>
    <w:rsid w:val="00E36103"/>
    <w:rsid w:val="00E36975"/>
    <w:rsid w:val="00E36BA2"/>
    <w:rsid w:val="00E377DF"/>
    <w:rsid w:val="00E37C5E"/>
    <w:rsid w:val="00E37DF6"/>
    <w:rsid w:val="00E401C9"/>
    <w:rsid w:val="00E40588"/>
    <w:rsid w:val="00E410D1"/>
    <w:rsid w:val="00E425AF"/>
    <w:rsid w:val="00E4263B"/>
    <w:rsid w:val="00E42AAE"/>
    <w:rsid w:val="00E43123"/>
    <w:rsid w:val="00E43FA5"/>
    <w:rsid w:val="00E44500"/>
    <w:rsid w:val="00E44816"/>
    <w:rsid w:val="00E45362"/>
    <w:rsid w:val="00E45B2B"/>
    <w:rsid w:val="00E461AB"/>
    <w:rsid w:val="00E46CC8"/>
    <w:rsid w:val="00E47227"/>
    <w:rsid w:val="00E47290"/>
    <w:rsid w:val="00E47F3F"/>
    <w:rsid w:val="00E51407"/>
    <w:rsid w:val="00E51D02"/>
    <w:rsid w:val="00E52152"/>
    <w:rsid w:val="00E528E1"/>
    <w:rsid w:val="00E532D6"/>
    <w:rsid w:val="00E533D4"/>
    <w:rsid w:val="00E53647"/>
    <w:rsid w:val="00E53B28"/>
    <w:rsid w:val="00E54566"/>
    <w:rsid w:val="00E561A1"/>
    <w:rsid w:val="00E563D5"/>
    <w:rsid w:val="00E56A7E"/>
    <w:rsid w:val="00E56DCA"/>
    <w:rsid w:val="00E56EC6"/>
    <w:rsid w:val="00E5717B"/>
    <w:rsid w:val="00E5735A"/>
    <w:rsid w:val="00E60154"/>
    <w:rsid w:val="00E60BD1"/>
    <w:rsid w:val="00E610B2"/>
    <w:rsid w:val="00E613D4"/>
    <w:rsid w:val="00E61E88"/>
    <w:rsid w:val="00E62912"/>
    <w:rsid w:val="00E63E92"/>
    <w:rsid w:val="00E64837"/>
    <w:rsid w:val="00E669B8"/>
    <w:rsid w:val="00E66D9F"/>
    <w:rsid w:val="00E67273"/>
    <w:rsid w:val="00E672A7"/>
    <w:rsid w:val="00E6761A"/>
    <w:rsid w:val="00E67BBB"/>
    <w:rsid w:val="00E726DC"/>
    <w:rsid w:val="00E72B8F"/>
    <w:rsid w:val="00E739DF"/>
    <w:rsid w:val="00E73DA3"/>
    <w:rsid w:val="00E73EF7"/>
    <w:rsid w:val="00E754CD"/>
    <w:rsid w:val="00E7609F"/>
    <w:rsid w:val="00E762F9"/>
    <w:rsid w:val="00E76764"/>
    <w:rsid w:val="00E76ED6"/>
    <w:rsid w:val="00E80026"/>
    <w:rsid w:val="00E801DC"/>
    <w:rsid w:val="00E805E0"/>
    <w:rsid w:val="00E80640"/>
    <w:rsid w:val="00E80874"/>
    <w:rsid w:val="00E80C96"/>
    <w:rsid w:val="00E81031"/>
    <w:rsid w:val="00E814E6"/>
    <w:rsid w:val="00E822B0"/>
    <w:rsid w:val="00E823CB"/>
    <w:rsid w:val="00E83190"/>
    <w:rsid w:val="00E832B8"/>
    <w:rsid w:val="00E83747"/>
    <w:rsid w:val="00E84C9F"/>
    <w:rsid w:val="00E85423"/>
    <w:rsid w:val="00E85573"/>
    <w:rsid w:val="00E86B7F"/>
    <w:rsid w:val="00E86CD0"/>
    <w:rsid w:val="00E86DE5"/>
    <w:rsid w:val="00E87A5B"/>
    <w:rsid w:val="00E87AD9"/>
    <w:rsid w:val="00E90170"/>
    <w:rsid w:val="00E9043C"/>
    <w:rsid w:val="00E90563"/>
    <w:rsid w:val="00E911D5"/>
    <w:rsid w:val="00E91556"/>
    <w:rsid w:val="00E91BD6"/>
    <w:rsid w:val="00E91FA3"/>
    <w:rsid w:val="00E925E8"/>
    <w:rsid w:val="00E92670"/>
    <w:rsid w:val="00E9309A"/>
    <w:rsid w:val="00E93353"/>
    <w:rsid w:val="00E945BF"/>
    <w:rsid w:val="00E95110"/>
    <w:rsid w:val="00E95D77"/>
    <w:rsid w:val="00E9631C"/>
    <w:rsid w:val="00E96DB5"/>
    <w:rsid w:val="00E97E8D"/>
    <w:rsid w:val="00E97ED5"/>
    <w:rsid w:val="00EA0FE5"/>
    <w:rsid w:val="00EA129A"/>
    <w:rsid w:val="00EA1E64"/>
    <w:rsid w:val="00EA2514"/>
    <w:rsid w:val="00EA26B5"/>
    <w:rsid w:val="00EA26D9"/>
    <w:rsid w:val="00EA2CC2"/>
    <w:rsid w:val="00EA2E80"/>
    <w:rsid w:val="00EA35FE"/>
    <w:rsid w:val="00EA360B"/>
    <w:rsid w:val="00EA39D5"/>
    <w:rsid w:val="00EA3C24"/>
    <w:rsid w:val="00EA4505"/>
    <w:rsid w:val="00EA4691"/>
    <w:rsid w:val="00EA48C6"/>
    <w:rsid w:val="00EA4E35"/>
    <w:rsid w:val="00EA5036"/>
    <w:rsid w:val="00EA5437"/>
    <w:rsid w:val="00EA5478"/>
    <w:rsid w:val="00EA646C"/>
    <w:rsid w:val="00EA6A19"/>
    <w:rsid w:val="00EA6A29"/>
    <w:rsid w:val="00EB0222"/>
    <w:rsid w:val="00EB0B37"/>
    <w:rsid w:val="00EB15B6"/>
    <w:rsid w:val="00EB1EF1"/>
    <w:rsid w:val="00EB2A12"/>
    <w:rsid w:val="00EB2C2F"/>
    <w:rsid w:val="00EB2D17"/>
    <w:rsid w:val="00EB4048"/>
    <w:rsid w:val="00EB47F3"/>
    <w:rsid w:val="00EB48FC"/>
    <w:rsid w:val="00EB6103"/>
    <w:rsid w:val="00EB6907"/>
    <w:rsid w:val="00EB720B"/>
    <w:rsid w:val="00EB7A4A"/>
    <w:rsid w:val="00EC079F"/>
    <w:rsid w:val="00EC0930"/>
    <w:rsid w:val="00EC12B6"/>
    <w:rsid w:val="00EC1540"/>
    <w:rsid w:val="00EC1A29"/>
    <w:rsid w:val="00EC1EBE"/>
    <w:rsid w:val="00EC2EA7"/>
    <w:rsid w:val="00EC3A51"/>
    <w:rsid w:val="00EC3B0E"/>
    <w:rsid w:val="00EC3F7D"/>
    <w:rsid w:val="00EC45B2"/>
    <w:rsid w:val="00EC48C4"/>
    <w:rsid w:val="00EC4922"/>
    <w:rsid w:val="00EC4A78"/>
    <w:rsid w:val="00EC4A92"/>
    <w:rsid w:val="00EC52A8"/>
    <w:rsid w:val="00EC5860"/>
    <w:rsid w:val="00EC5AFA"/>
    <w:rsid w:val="00EC5CB4"/>
    <w:rsid w:val="00EC5D2E"/>
    <w:rsid w:val="00EC63C5"/>
    <w:rsid w:val="00EC63F6"/>
    <w:rsid w:val="00EC6533"/>
    <w:rsid w:val="00EC6993"/>
    <w:rsid w:val="00EC6D9A"/>
    <w:rsid w:val="00EC70B4"/>
    <w:rsid w:val="00EC73A5"/>
    <w:rsid w:val="00EC7839"/>
    <w:rsid w:val="00EC7BC8"/>
    <w:rsid w:val="00ED002B"/>
    <w:rsid w:val="00ED0035"/>
    <w:rsid w:val="00ED07CE"/>
    <w:rsid w:val="00ED117D"/>
    <w:rsid w:val="00ED1347"/>
    <w:rsid w:val="00ED161B"/>
    <w:rsid w:val="00ED181F"/>
    <w:rsid w:val="00ED21EF"/>
    <w:rsid w:val="00ED2471"/>
    <w:rsid w:val="00ED24E3"/>
    <w:rsid w:val="00ED289D"/>
    <w:rsid w:val="00ED2A99"/>
    <w:rsid w:val="00ED2B86"/>
    <w:rsid w:val="00ED2D1C"/>
    <w:rsid w:val="00ED2E03"/>
    <w:rsid w:val="00ED4084"/>
    <w:rsid w:val="00ED4318"/>
    <w:rsid w:val="00ED6AB0"/>
    <w:rsid w:val="00ED6BCB"/>
    <w:rsid w:val="00ED7500"/>
    <w:rsid w:val="00ED77B7"/>
    <w:rsid w:val="00ED7E73"/>
    <w:rsid w:val="00EE059E"/>
    <w:rsid w:val="00EE0B0C"/>
    <w:rsid w:val="00EE0DB0"/>
    <w:rsid w:val="00EE133D"/>
    <w:rsid w:val="00EE14E1"/>
    <w:rsid w:val="00EE150B"/>
    <w:rsid w:val="00EE229B"/>
    <w:rsid w:val="00EE2853"/>
    <w:rsid w:val="00EE2F92"/>
    <w:rsid w:val="00EE3043"/>
    <w:rsid w:val="00EE324E"/>
    <w:rsid w:val="00EE33BF"/>
    <w:rsid w:val="00EE351D"/>
    <w:rsid w:val="00EE418D"/>
    <w:rsid w:val="00EE45CF"/>
    <w:rsid w:val="00EE4F95"/>
    <w:rsid w:val="00EE501A"/>
    <w:rsid w:val="00EE56FC"/>
    <w:rsid w:val="00EE5B59"/>
    <w:rsid w:val="00EE5C7C"/>
    <w:rsid w:val="00EE5D04"/>
    <w:rsid w:val="00EE6759"/>
    <w:rsid w:val="00EE708B"/>
    <w:rsid w:val="00EE70E0"/>
    <w:rsid w:val="00EE7491"/>
    <w:rsid w:val="00EF007E"/>
    <w:rsid w:val="00EF0239"/>
    <w:rsid w:val="00EF083B"/>
    <w:rsid w:val="00EF0EDE"/>
    <w:rsid w:val="00EF3223"/>
    <w:rsid w:val="00EF3301"/>
    <w:rsid w:val="00EF34F2"/>
    <w:rsid w:val="00EF38B4"/>
    <w:rsid w:val="00EF3F84"/>
    <w:rsid w:val="00EF3FF3"/>
    <w:rsid w:val="00EF4D3A"/>
    <w:rsid w:val="00EF5F40"/>
    <w:rsid w:val="00EF65CD"/>
    <w:rsid w:val="00EF717F"/>
    <w:rsid w:val="00EF77BE"/>
    <w:rsid w:val="00EF7F93"/>
    <w:rsid w:val="00F00169"/>
    <w:rsid w:val="00F00CDF"/>
    <w:rsid w:val="00F00FA3"/>
    <w:rsid w:val="00F00FEE"/>
    <w:rsid w:val="00F01D42"/>
    <w:rsid w:val="00F021A8"/>
    <w:rsid w:val="00F024A2"/>
    <w:rsid w:val="00F02E8E"/>
    <w:rsid w:val="00F02F62"/>
    <w:rsid w:val="00F0301D"/>
    <w:rsid w:val="00F03221"/>
    <w:rsid w:val="00F05607"/>
    <w:rsid w:val="00F05C8D"/>
    <w:rsid w:val="00F05EDB"/>
    <w:rsid w:val="00F066D4"/>
    <w:rsid w:val="00F06DAE"/>
    <w:rsid w:val="00F06FD4"/>
    <w:rsid w:val="00F105FC"/>
    <w:rsid w:val="00F11B62"/>
    <w:rsid w:val="00F13190"/>
    <w:rsid w:val="00F13284"/>
    <w:rsid w:val="00F1475F"/>
    <w:rsid w:val="00F14F04"/>
    <w:rsid w:val="00F159F9"/>
    <w:rsid w:val="00F1606B"/>
    <w:rsid w:val="00F173D5"/>
    <w:rsid w:val="00F178CF"/>
    <w:rsid w:val="00F20276"/>
    <w:rsid w:val="00F20D23"/>
    <w:rsid w:val="00F20DD5"/>
    <w:rsid w:val="00F21804"/>
    <w:rsid w:val="00F22605"/>
    <w:rsid w:val="00F22CA8"/>
    <w:rsid w:val="00F22CCA"/>
    <w:rsid w:val="00F23384"/>
    <w:rsid w:val="00F23D7A"/>
    <w:rsid w:val="00F2441D"/>
    <w:rsid w:val="00F24962"/>
    <w:rsid w:val="00F24FD0"/>
    <w:rsid w:val="00F253AB"/>
    <w:rsid w:val="00F25974"/>
    <w:rsid w:val="00F25A7A"/>
    <w:rsid w:val="00F26665"/>
    <w:rsid w:val="00F26E6F"/>
    <w:rsid w:val="00F271FB"/>
    <w:rsid w:val="00F27B1F"/>
    <w:rsid w:val="00F3016F"/>
    <w:rsid w:val="00F30482"/>
    <w:rsid w:val="00F308AA"/>
    <w:rsid w:val="00F30FA9"/>
    <w:rsid w:val="00F316B9"/>
    <w:rsid w:val="00F31749"/>
    <w:rsid w:val="00F3182A"/>
    <w:rsid w:val="00F31D91"/>
    <w:rsid w:val="00F32B20"/>
    <w:rsid w:val="00F32DB1"/>
    <w:rsid w:val="00F3349A"/>
    <w:rsid w:val="00F33B36"/>
    <w:rsid w:val="00F33D8B"/>
    <w:rsid w:val="00F34467"/>
    <w:rsid w:val="00F35440"/>
    <w:rsid w:val="00F35BF2"/>
    <w:rsid w:val="00F3628A"/>
    <w:rsid w:val="00F362B6"/>
    <w:rsid w:val="00F36F51"/>
    <w:rsid w:val="00F37B48"/>
    <w:rsid w:val="00F37E7C"/>
    <w:rsid w:val="00F408BE"/>
    <w:rsid w:val="00F40DA5"/>
    <w:rsid w:val="00F40DEE"/>
    <w:rsid w:val="00F417E1"/>
    <w:rsid w:val="00F42DB6"/>
    <w:rsid w:val="00F431C4"/>
    <w:rsid w:val="00F43537"/>
    <w:rsid w:val="00F44478"/>
    <w:rsid w:val="00F44E9B"/>
    <w:rsid w:val="00F45A1D"/>
    <w:rsid w:val="00F45DB1"/>
    <w:rsid w:val="00F46669"/>
    <w:rsid w:val="00F46682"/>
    <w:rsid w:val="00F470EE"/>
    <w:rsid w:val="00F47580"/>
    <w:rsid w:val="00F47A1C"/>
    <w:rsid w:val="00F47AFA"/>
    <w:rsid w:val="00F47E71"/>
    <w:rsid w:val="00F503B5"/>
    <w:rsid w:val="00F51976"/>
    <w:rsid w:val="00F527E4"/>
    <w:rsid w:val="00F54DD1"/>
    <w:rsid w:val="00F54FF0"/>
    <w:rsid w:val="00F55AA3"/>
    <w:rsid w:val="00F56735"/>
    <w:rsid w:val="00F57742"/>
    <w:rsid w:val="00F60312"/>
    <w:rsid w:val="00F603CF"/>
    <w:rsid w:val="00F60624"/>
    <w:rsid w:val="00F60C80"/>
    <w:rsid w:val="00F610F4"/>
    <w:rsid w:val="00F61619"/>
    <w:rsid w:val="00F61E73"/>
    <w:rsid w:val="00F62456"/>
    <w:rsid w:val="00F62575"/>
    <w:rsid w:val="00F62AC4"/>
    <w:rsid w:val="00F62AEF"/>
    <w:rsid w:val="00F6373B"/>
    <w:rsid w:val="00F637C9"/>
    <w:rsid w:val="00F640BD"/>
    <w:rsid w:val="00F654D9"/>
    <w:rsid w:val="00F65BA3"/>
    <w:rsid w:val="00F66095"/>
    <w:rsid w:val="00F6712E"/>
    <w:rsid w:val="00F67335"/>
    <w:rsid w:val="00F67654"/>
    <w:rsid w:val="00F6778D"/>
    <w:rsid w:val="00F67A8A"/>
    <w:rsid w:val="00F70050"/>
    <w:rsid w:val="00F707B0"/>
    <w:rsid w:val="00F70CD7"/>
    <w:rsid w:val="00F70DCD"/>
    <w:rsid w:val="00F71831"/>
    <w:rsid w:val="00F721E1"/>
    <w:rsid w:val="00F72C0E"/>
    <w:rsid w:val="00F72D77"/>
    <w:rsid w:val="00F73007"/>
    <w:rsid w:val="00F731A1"/>
    <w:rsid w:val="00F734D2"/>
    <w:rsid w:val="00F73825"/>
    <w:rsid w:val="00F739AE"/>
    <w:rsid w:val="00F745DC"/>
    <w:rsid w:val="00F74F1A"/>
    <w:rsid w:val="00F76A2F"/>
    <w:rsid w:val="00F76D59"/>
    <w:rsid w:val="00F77093"/>
    <w:rsid w:val="00F772E8"/>
    <w:rsid w:val="00F77904"/>
    <w:rsid w:val="00F80080"/>
    <w:rsid w:val="00F80BC5"/>
    <w:rsid w:val="00F815E5"/>
    <w:rsid w:val="00F818BB"/>
    <w:rsid w:val="00F820C6"/>
    <w:rsid w:val="00F82284"/>
    <w:rsid w:val="00F82505"/>
    <w:rsid w:val="00F83F6B"/>
    <w:rsid w:val="00F85349"/>
    <w:rsid w:val="00F85B2E"/>
    <w:rsid w:val="00F85D8D"/>
    <w:rsid w:val="00F8643F"/>
    <w:rsid w:val="00F86810"/>
    <w:rsid w:val="00F87542"/>
    <w:rsid w:val="00F876BC"/>
    <w:rsid w:val="00F87971"/>
    <w:rsid w:val="00F9006F"/>
    <w:rsid w:val="00F91AB0"/>
    <w:rsid w:val="00F92D67"/>
    <w:rsid w:val="00F92D8F"/>
    <w:rsid w:val="00F93BF9"/>
    <w:rsid w:val="00F94BC9"/>
    <w:rsid w:val="00F950F2"/>
    <w:rsid w:val="00F95CF8"/>
    <w:rsid w:val="00F95F32"/>
    <w:rsid w:val="00F9633C"/>
    <w:rsid w:val="00F96402"/>
    <w:rsid w:val="00F96E02"/>
    <w:rsid w:val="00F96F00"/>
    <w:rsid w:val="00FA0C25"/>
    <w:rsid w:val="00FA0FC4"/>
    <w:rsid w:val="00FA1097"/>
    <w:rsid w:val="00FA21FA"/>
    <w:rsid w:val="00FA2579"/>
    <w:rsid w:val="00FA27F8"/>
    <w:rsid w:val="00FA2BD7"/>
    <w:rsid w:val="00FA4169"/>
    <w:rsid w:val="00FA4C00"/>
    <w:rsid w:val="00FA536B"/>
    <w:rsid w:val="00FA53CA"/>
    <w:rsid w:val="00FA56C6"/>
    <w:rsid w:val="00FA62F1"/>
    <w:rsid w:val="00FA6A62"/>
    <w:rsid w:val="00FA6DF7"/>
    <w:rsid w:val="00FA745B"/>
    <w:rsid w:val="00FA7904"/>
    <w:rsid w:val="00FB013C"/>
    <w:rsid w:val="00FB135D"/>
    <w:rsid w:val="00FB1B6D"/>
    <w:rsid w:val="00FB37F3"/>
    <w:rsid w:val="00FB4179"/>
    <w:rsid w:val="00FB46A0"/>
    <w:rsid w:val="00FB47F1"/>
    <w:rsid w:val="00FB48DE"/>
    <w:rsid w:val="00FB5014"/>
    <w:rsid w:val="00FB52E4"/>
    <w:rsid w:val="00FB60EA"/>
    <w:rsid w:val="00FB75FF"/>
    <w:rsid w:val="00FB7895"/>
    <w:rsid w:val="00FC03C1"/>
    <w:rsid w:val="00FC0B49"/>
    <w:rsid w:val="00FC16BF"/>
    <w:rsid w:val="00FC1E76"/>
    <w:rsid w:val="00FC2B15"/>
    <w:rsid w:val="00FC2C9E"/>
    <w:rsid w:val="00FC34C7"/>
    <w:rsid w:val="00FC3763"/>
    <w:rsid w:val="00FC39B3"/>
    <w:rsid w:val="00FC421C"/>
    <w:rsid w:val="00FC48BE"/>
    <w:rsid w:val="00FC52F9"/>
    <w:rsid w:val="00FC5632"/>
    <w:rsid w:val="00FC5754"/>
    <w:rsid w:val="00FC60A5"/>
    <w:rsid w:val="00FC6E6F"/>
    <w:rsid w:val="00FC784C"/>
    <w:rsid w:val="00FC7E53"/>
    <w:rsid w:val="00FD00DE"/>
    <w:rsid w:val="00FD076C"/>
    <w:rsid w:val="00FD07B1"/>
    <w:rsid w:val="00FD0C76"/>
    <w:rsid w:val="00FD177B"/>
    <w:rsid w:val="00FD1F02"/>
    <w:rsid w:val="00FD325F"/>
    <w:rsid w:val="00FD52FB"/>
    <w:rsid w:val="00FD5DB3"/>
    <w:rsid w:val="00FD6C68"/>
    <w:rsid w:val="00FD7610"/>
    <w:rsid w:val="00FD7DB3"/>
    <w:rsid w:val="00FD7E9D"/>
    <w:rsid w:val="00FE04A7"/>
    <w:rsid w:val="00FE0C49"/>
    <w:rsid w:val="00FE1457"/>
    <w:rsid w:val="00FE27BF"/>
    <w:rsid w:val="00FE2BDB"/>
    <w:rsid w:val="00FE340B"/>
    <w:rsid w:val="00FE340C"/>
    <w:rsid w:val="00FE38CB"/>
    <w:rsid w:val="00FE44A4"/>
    <w:rsid w:val="00FE4AC5"/>
    <w:rsid w:val="00FE595E"/>
    <w:rsid w:val="00FE60E5"/>
    <w:rsid w:val="00FE631F"/>
    <w:rsid w:val="00FE7F08"/>
    <w:rsid w:val="00FE7F64"/>
    <w:rsid w:val="00FF0225"/>
    <w:rsid w:val="00FF119A"/>
    <w:rsid w:val="00FF19F1"/>
    <w:rsid w:val="00FF1A4A"/>
    <w:rsid w:val="00FF1B67"/>
    <w:rsid w:val="00FF4176"/>
    <w:rsid w:val="00FF419D"/>
    <w:rsid w:val="00FF68E6"/>
    <w:rsid w:val="00FF68FC"/>
    <w:rsid w:val="00FF6FBE"/>
    <w:rsid w:val="00FF701D"/>
    <w:rsid w:val="00FF75CF"/>
    <w:rsid w:val="00FF75E9"/>
    <w:rsid w:val="00FF7F71"/>
    <w:rsid w:val="00FF7F94"/>
    <w:rsid w:val="0DF243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unhideWhenUsed="0" w:uiPriority="0" w:semiHidden="0" w:name="Normal Indent"/>
    <w:lsdException w:uiPriority="0" w:name="footnote text"/>
    <w:lsdException w:unhideWhenUsed="0"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nhideWhenUsed="0" w:uiPriority="0" w:semiHidden="0" w:name="Body Text"/>
    <w:lsdException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nhideWhenUsed="0" w:uiPriority="0" w:semiHidden="0" w:name="Body Text Indent 2"/>
    <w:lsdException w:unhideWhenUsed="0" w:uiPriority="0" w:semiHidden="0" w:name="Body Text Indent 3"/>
    <w:lsdException w:uiPriority="0" w:name="Block Text"/>
    <w:lsdException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jc w:val="center"/>
      <w:outlineLvl w:val="0"/>
    </w:pPr>
    <w:rPr>
      <w:b/>
      <w:bCs/>
      <w:kern w:val="44"/>
      <w:sz w:val="36"/>
      <w:szCs w:val="44"/>
    </w:rPr>
  </w:style>
  <w:style w:type="paragraph" w:styleId="3">
    <w:name w:val="heading 2"/>
    <w:basedOn w:val="1"/>
    <w:next w:val="1"/>
    <w:qFormat/>
    <w:uiPriority w:val="0"/>
    <w:pPr>
      <w:keepNext/>
      <w:keepLines/>
      <w:spacing w:beforeLines="50" w:line="415" w:lineRule="auto"/>
      <w:outlineLvl w:val="1"/>
    </w:pPr>
    <w:rPr>
      <w:rFonts w:ascii="Arial" w:hAnsi="Arial" w:eastAsia="仿宋_GB2312"/>
      <w:b/>
      <w:bCs/>
      <w:sz w:val="28"/>
      <w:szCs w:val="32"/>
    </w:rPr>
  </w:style>
  <w:style w:type="character" w:default="1" w:styleId="29">
    <w:name w:val="Default Paragraph Font"/>
    <w:semiHidden/>
    <w:unhideWhenUsed/>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styleId="4">
    <w:name w:val="toc 7"/>
    <w:basedOn w:val="1"/>
    <w:next w:val="1"/>
    <w:semiHidden/>
    <w:uiPriority w:val="0"/>
    <w:pPr>
      <w:ind w:left="1260"/>
      <w:jc w:val="left"/>
    </w:pPr>
    <w:rPr>
      <w:sz w:val="18"/>
      <w:szCs w:val="18"/>
    </w:rPr>
  </w:style>
  <w:style w:type="paragraph" w:styleId="5">
    <w:name w:val="Normal Indent"/>
    <w:basedOn w:val="1"/>
    <w:uiPriority w:val="0"/>
    <w:pPr>
      <w:ind w:firstLine="420"/>
    </w:pPr>
    <w:rPr>
      <w:szCs w:val="20"/>
    </w:rPr>
  </w:style>
  <w:style w:type="paragraph" w:styleId="6">
    <w:name w:val="Document Map"/>
    <w:basedOn w:val="1"/>
    <w:semiHidden/>
    <w:uiPriority w:val="0"/>
    <w:pPr>
      <w:shd w:val="clear" w:color="auto" w:fill="000080"/>
    </w:pPr>
  </w:style>
  <w:style w:type="paragraph" w:styleId="7">
    <w:name w:val="annotation text"/>
    <w:basedOn w:val="1"/>
    <w:semiHidden/>
    <w:uiPriority w:val="0"/>
    <w:pPr>
      <w:jc w:val="left"/>
    </w:pPr>
  </w:style>
  <w:style w:type="paragraph" w:styleId="8">
    <w:name w:val="Body Text"/>
    <w:basedOn w:val="1"/>
    <w:uiPriority w:val="0"/>
    <w:pPr>
      <w:tabs>
        <w:tab w:val="left" w:pos="1080"/>
      </w:tabs>
      <w:spacing w:line="460" w:lineRule="exact"/>
    </w:pPr>
    <w:rPr>
      <w:rFonts w:ascii="宋体" w:hAnsi="宋体"/>
      <w:sz w:val="28"/>
    </w:rPr>
  </w:style>
  <w:style w:type="paragraph" w:styleId="9">
    <w:name w:val="Body Text Indent"/>
    <w:basedOn w:val="1"/>
    <w:uiPriority w:val="0"/>
    <w:pPr>
      <w:ind w:left="1110"/>
    </w:pPr>
    <w:rPr>
      <w:sz w:val="28"/>
      <w:szCs w:val="20"/>
    </w:rPr>
  </w:style>
  <w:style w:type="paragraph" w:styleId="10">
    <w:name w:val="toc 5"/>
    <w:basedOn w:val="1"/>
    <w:next w:val="1"/>
    <w:semiHidden/>
    <w:uiPriority w:val="0"/>
    <w:pPr>
      <w:ind w:left="840"/>
      <w:jc w:val="left"/>
    </w:pPr>
    <w:rPr>
      <w:sz w:val="18"/>
      <w:szCs w:val="18"/>
    </w:rPr>
  </w:style>
  <w:style w:type="paragraph" w:styleId="11">
    <w:name w:val="toc 3"/>
    <w:basedOn w:val="1"/>
    <w:next w:val="1"/>
    <w:semiHidden/>
    <w:uiPriority w:val="0"/>
    <w:pPr>
      <w:ind w:left="420"/>
      <w:jc w:val="left"/>
    </w:pPr>
    <w:rPr>
      <w:i/>
      <w:iCs/>
      <w:sz w:val="20"/>
      <w:szCs w:val="20"/>
    </w:rPr>
  </w:style>
  <w:style w:type="paragraph" w:styleId="12">
    <w:name w:val="Plain Text"/>
    <w:basedOn w:val="1"/>
    <w:uiPriority w:val="0"/>
    <w:pPr>
      <w:adjustRightInd w:val="0"/>
      <w:spacing w:line="312" w:lineRule="atLeast"/>
      <w:textAlignment w:val="baseline"/>
    </w:pPr>
    <w:rPr>
      <w:rFonts w:ascii="Courier New" w:hAnsi="Courier New"/>
      <w:kern w:val="0"/>
      <w:szCs w:val="20"/>
    </w:rPr>
  </w:style>
  <w:style w:type="paragraph" w:styleId="13">
    <w:name w:val="toc 8"/>
    <w:basedOn w:val="1"/>
    <w:next w:val="1"/>
    <w:semiHidden/>
    <w:uiPriority w:val="0"/>
    <w:pPr>
      <w:ind w:left="1470"/>
      <w:jc w:val="left"/>
    </w:pPr>
    <w:rPr>
      <w:sz w:val="18"/>
      <w:szCs w:val="18"/>
    </w:rPr>
  </w:style>
  <w:style w:type="paragraph" w:styleId="14">
    <w:name w:val="Date"/>
    <w:basedOn w:val="1"/>
    <w:next w:val="1"/>
    <w:uiPriority w:val="0"/>
    <w:rPr>
      <w:b/>
      <w:sz w:val="32"/>
      <w:szCs w:val="20"/>
    </w:rPr>
  </w:style>
  <w:style w:type="paragraph" w:styleId="15">
    <w:name w:val="Body Text Indent 2"/>
    <w:basedOn w:val="1"/>
    <w:uiPriority w:val="0"/>
    <w:pPr>
      <w:spacing w:line="360" w:lineRule="auto"/>
      <w:ind w:left="559" w:leftChars="266" w:firstLine="566" w:firstLineChars="202"/>
    </w:pPr>
    <w:rPr>
      <w:rFonts w:ascii="宋体" w:hAnsi="宋体"/>
      <w:sz w:val="28"/>
    </w:rPr>
  </w:style>
  <w:style w:type="paragraph" w:styleId="16">
    <w:name w:val="Balloon Text"/>
    <w:basedOn w:val="1"/>
    <w:semiHidden/>
    <w:uiPriority w:val="0"/>
    <w:rPr>
      <w:sz w:val="18"/>
      <w:szCs w:val="18"/>
    </w:rPr>
  </w:style>
  <w:style w:type="paragraph" w:styleId="17">
    <w:name w:val="footer"/>
    <w:basedOn w:val="1"/>
    <w:uiPriority w:val="0"/>
    <w:pPr>
      <w:tabs>
        <w:tab w:val="center" w:pos="4153"/>
        <w:tab w:val="right" w:pos="8306"/>
      </w:tabs>
      <w:snapToGrid w:val="0"/>
      <w:jc w:val="left"/>
    </w:pPr>
    <w:rPr>
      <w:sz w:val="18"/>
      <w:szCs w:val="20"/>
    </w:rPr>
  </w:style>
  <w:style w:type="paragraph" w:styleId="18">
    <w:name w:val="header"/>
    <w:basedOn w:val="1"/>
    <w:uiPriority w:val="0"/>
    <w:pPr>
      <w:pBdr>
        <w:bottom w:val="single" w:color="auto" w:sz="6" w:space="1"/>
      </w:pBdr>
      <w:tabs>
        <w:tab w:val="center" w:pos="4153"/>
        <w:tab w:val="right" w:pos="8306"/>
      </w:tabs>
      <w:snapToGrid w:val="0"/>
      <w:jc w:val="center"/>
    </w:pPr>
    <w:rPr>
      <w:sz w:val="18"/>
      <w:szCs w:val="20"/>
    </w:rPr>
  </w:style>
  <w:style w:type="paragraph" w:styleId="19">
    <w:name w:val="toc 1"/>
    <w:basedOn w:val="1"/>
    <w:next w:val="1"/>
    <w:uiPriority w:val="39"/>
    <w:pPr>
      <w:spacing w:before="120" w:after="120" w:line="360" w:lineRule="auto"/>
      <w:jc w:val="left"/>
    </w:pPr>
    <w:rPr>
      <w:rFonts w:eastAsia="仿宋_GB2312"/>
      <w:b/>
      <w:bCs/>
      <w:caps/>
      <w:sz w:val="24"/>
      <w:szCs w:val="20"/>
    </w:rPr>
  </w:style>
  <w:style w:type="paragraph" w:styleId="20">
    <w:name w:val="toc 4"/>
    <w:basedOn w:val="1"/>
    <w:next w:val="1"/>
    <w:semiHidden/>
    <w:uiPriority w:val="0"/>
    <w:pPr>
      <w:ind w:left="630"/>
      <w:jc w:val="left"/>
    </w:pPr>
    <w:rPr>
      <w:sz w:val="18"/>
      <w:szCs w:val="18"/>
    </w:rPr>
  </w:style>
  <w:style w:type="paragraph" w:styleId="21">
    <w:name w:val="toc 6"/>
    <w:basedOn w:val="1"/>
    <w:next w:val="1"/>
    <w:semiHidden/>
    <w:uiPriority w:val="0"/>
    <w:pPr>
      <w:ind w:left="1050"/>
      <w:jc w:val="left"/>
    </w:pPr>
    <w:rPr>
      <w:sz w:val="18"/>
      <w:szCs w:val="18"/>
    </w:rPr>
  </w:style>
  <w:style w:type="paragraph" w:styleId="22">
    <w:name w:val="Body Text Indent 3"/>
    <w:basedOn w:val="1"/>
    <w:uiPriority w:val="0"/>
    <w:pPr>
      <w:tabs>
        <w:tab w:val="left" w:pos="1080"/>
      </w:tabs>
      <w:ind w:left="899" w:leftChars="428" w:firstLine="538" w:firstLineChars="192"/>
    </w:pPr>
    <w:rPr>
      <w:rFonts w:ascii="宋体" w:hAnsi="宋体"/>
      <w:sz w:val="28"/>
    </w:rPr>
  </w:style>
  <w:style w:type="paragraph" w:styleId="23">
    <w:name w:val="toc 2"/>
    <w:basedOn w:val="1"/>
    <w:next w:val="1"/>
    <w:uiPriority w:val="39"/>
    <w:pPr>
      <w:tabs>
        <w:tab w:val="right" w:leader="dot" w:pos="8891"/>
      </w:tabs>
      <w:spacing w:line="560" w:lineRule="exact"/>
      <w:ind w:left="210"/>
      <w:jc w:val="left"/>
    </w:pPr>
    <w:rPr>
      <w:rFonts w:eastAsia="仿宋_GB2312"/>
      <w:smallCaps/>
      <w:color w:val="FF0000"/>
      <w:sz w:val="24"/>
      <w:szCs w:val="20"/>
    </w:rPr>
  </w:style>
  <w:style w:type="paragraph" w:styleId="24">
    <w:name w:val="toc 9"/>
    <w:basedOn w:val="1"/>
    <w:next w:val="1"/>
    <w:semiHidden/>
    <w:uiPriority w:val="0"/>
    <w:pPr>
      <w:ind w:left="1680"/>
      <w:jc w:val="left"/>
    </w:pPr>
    <w:rPr>
      <w:sz w:val="18"/>
      <w:szCs w:val="18"/>
    </w:rPr>
  </w:style>
  <w:style w:type="paragraph" w:styleId="25">
    <w:name w:val="Normal (Web)"/>
    <w:basedOn w:val="1"/>
    <w:uiPriority w:val="99"/>
    <w:pPr>
      <w:widowControl/>
      <w:spacing w:before="100" w:after="100"/>
      <w:jc w:val="left"/>
    </w:pPr>
    <w:rPr>
      <w:rFonts w:ascii="宋体" w:hAnsi="宋体"/>
      <w:kern w:val="0"/>
      <w:sz w:val="18"/>
      <w:szCs w:val="20"/>
    </w:rPr>
  </w:style>
  <w:style w:type="paragraph" w:styleId="26">
    <w:name w:val="annotation subject"/>
    <w:basedOn w:val="7"/>
    <w:next w:val="7"/>
    <w:semiHidden/>
    <w:uiPriority w:val="0"/>
    <w:rPr>
      <w:b/>
      <w:bCs/>
    </w:rPr>
  </w:style>
  <w:style w:type="table" w:styleId="28">
    <w:name w:val="Table Grid"/>
    <w:basedOn w:val="2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0"/>
    <w:rPr>
      <w:b/>
      <w:bCs/>
    </w:rPr>
  </w:style>
  <w:style w:type="character" w:styleId="31">
    <w:name w:val="Emphasis"/>
    <w:qFormat/>
    <w:uiPriority w:val="0"/>
    <w:rPr>
      <w:i/>
      <w:iCs/>
    </w:rPr>
  </w:style>
  <w:style w:type="character" w:styleId="32">
    <w:name w:val="Hyperlink"/>
    <w:uiPriority w:val="99"/>
    <w:rPr>
      <w:color w:val="000000"/>
      <w:u w:val="none"/>
    </w:rPr>
  </w:style>
  <w:style w:type="character" w:styleId="33">
    <w:name w:val="annotation reference"/>
    <w:semiHidden/>
    <w:qFormat/>
    <w:uiPriority w:val="0"/>
    <w:rPr>
      <w:sz w:val="21"/>
      <w:szCs w:val="21"/>
    </w:rPr>
  </w:style>
  <w:style w:type="character" w:customStyle="1" w:styleId="34">
    <w:name w:val="wenzi02neirong"/>
    <w:basedOn w:val="29"/>
    <w:uiPriority w:val="0"/>
  </w:style>
  <w:style w:type="character" w:customStyle="1" w:styleId="35">
    <w:name w:val="style31"/>
    <w:uiPriority w:val="0"/>
    <w:rPr>
      <w:sz w:val="21"/>
      <w:szCs w:val="21"/>
    </w:rPr>
  </w:style>
  <w:style w:type="paragraph" w:customStyle="1" w:styleId="36">
    <w:name w:val="Char"/>
    <w:basedOn w:val="1"/>
    <w:uiPriority w:val="0"/>
    <w:rPr>
      <w:sz w:val="24"/>
    </w:rPr>
  </w:style>
  <w:style w:type="paragraph" w:customStyle="1" w:styleId="37">
    <w:name w:val="Char Char Char Char"/>
    <w:basedOn w:val="1"/>
    <w:uiPriority w:val="0"/>
    <w:pPr>
      <w:snapToGrid w:val="0"/>
      <w:spacing w:line="360" w:lineRule="auto"/>
      <w:ind w:firstLine="200" w:firstLineChars="200"/>
    </w:pPr>
    <w:rPr>
      <w:rFonts w:eastAsia="仿宋_GB2312"/>
      <w:sz w:val="24"/>
    </w:rPr>
  </w:style>
  <w:style w:type="paragraph" w:customStyle="1" w:styleId="38">
    <w:name w:val="HTML Top of Form"/>
    <w:basedOn w:val="1"/>
    <w:next w:val="1"/>
    <w:hidden/>
    <w:uiPriority w:val="0"/>
    <w:pPr>
      <w:widowControl/>
      <w:pBdr>
        <w:bottom w:val="single" w:color="auto" w:sz="6" w:space="1"/>
      </w:pBdr>
      <w:jc w:val="center"/>
    </w:pPr>
    <w:rPr>
      <w:rFonts w:ascii="Arial" w:hAnsi="Arial" w:cs="Arial"/>
      <w:vanish/>
      <w:kern w:val="0"/>
      <w:sz w:val="16"/>
      <w:szCs w:val="16"/>
    </w:rPr>
  </w:style>
  <w:style w:type="paragraph" w:customStyle="1" w:styleId="39">
    <w:name w:val="HTML Bottom of Form"/>
    <w:basedOn w:val="1"/>
    <w:next w:val="1"/>
    <w:hidden/>
    <w:uiPriority w:val="0"/>
    <w:pPr>
      <w:widowControl/>
      <w:pBdr>
        <w:top w:val="single" w:color="auto" w:sz="6" w:space="1"/>
      </w:pBdr>
      <w:jc w:val="center"/>
    </w:pPr>
    <w:rPr>
      <w:rFonts w:ascii="Arial" w:hAnsi="Arial" w:cs="Arial"/>
      <w:vanish/>
      <w:kern w:val="0"/>
      <w:sz w:val="16"/>
      <w:szCs w:val="16"/>
    </w:rPr>
  </w:style>
  <w:style w:type="character" w:customStyle="1" w:styleId="40">
    <w:name w:val="textcontents"/>
    <w:basedOn w:val="29"/>
    <w:uiPriority w:val="0"/>
  </w:style>
  <w:style w:type="character" w:customStyle="1" w:styleId="41">
    <w:name w:val="fblue1"/>
    <w:uiPriority w:val="0"/>
    <w:rPr>
      <w:color w:val="0066CC"/>
    </w:rPr>
  </w:style>
  <w:style w:type="character" w:customStyle="1" w:styleId="42">
    <w:name w:val="fyellow1"/>
    <w:uiPriority w:val="0"/>
    <w:rPr>
      <w:color w:val="FF6600"/>
    </w:rPr>
  </w:style>
  <w:style w:type="paragraph" w:customStyle="1" w:styleId="43">
    <w:name w:val="Char1 Char Char Char"/>
    <w:basedOn w:val="1"/>
    <w:uiPriority w:val="0"/>
    <w:pPr>
      <w:widowControl/>
      <w:spacing w:after="160" w:line="240" w:lineRule="exact"/>
      <w:jc w:val="left"/>
    </w:pPr>
    <w:rPr>
      <w:szCs w:val="20"/>
    </w:rPr>
  </w:style>
  <w:style w:type="paragraph" w:customStyle="1" w:styleId="44">
    <w:name w:val="Char Char Char"/>
    <w:basedOn w:val="1"/>
    <w:uiPriority w:val="0"/>
  </w:style>
  <w:style w:type="character" w:customStyle="1" w:styleId="45">
    <w:name w:val="bjh-p"/>
    <w:basedOn w:val="29"/>
    <w:uiPriority w:val="0"/>
  </w:style>
  <w:style w:type="character" w:customStyle="1" w:styleId="46">
    <w:name w:val="bjh-strong"/>
    <w:basedOn w:val="29"/>
    <w:uiPriority w:val="0"/>
  </w:style>
  <w:style w:type="character" w:customStyle="1" w:styleId="47">
    <w:name w:val="bus-line"/>
    <w:basedOn w:val="29"/>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1"/>
    <customShpInfo spid="_x0000_s11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徐天华</Company>
  <Pages>21</Pages>
  <Words>7235</Words>
  <Characters>8006</Characters>
  <Lines>72</Lines>
  <Paragraphs>20</Paragraphs>
  <TotalTime>1863</TotalTime>
  <ScaleCrop>false</ScaleCrop>
  <LinksUpToDate>false</LinksUpToDate>
  <CharactersWithSpaces>8381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2020-10-13T07:47:00Z</dcterms:created>
  <dc:creator>周忠新</dc:creator>
  <cp:lastModifiedBy></cp:lastModifiedBy>
  <cp:lastPrinted>2022-10-26T06:16:00Z</cp:lastPrinted>
  <dcterms:modified xsi:type="dcterms:W3CDTF">2022-11-28T02:45:51Z</dcterms:modified>
  <dc:subject>修改2002年第234号报告</dc:subject>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FAB640C3BFE54748BCD296569DFF0F0F</vt:lpwstr>
  </property>
</Properties>
</file>