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黑龙江省宝泉岭人民法院</w:t>
      </w: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执</w:t>
      </w:r>
      <w:r>
        <w:rPr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行</w:t>
      </w:r>
      <w:r>
        <w:rPr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裁</w:t>
      </w:r>
      <w:r>
        <w:rPr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定</w:t>
      </w:r>
      <w:r>
        <w:rPr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书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ind w:right="600" w:firstLine="600" w:firstLineChars="200"/>
        <w:jc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 xml:space="preserve">                          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（</w:t>
      </w:r>
      <w:r>
        <w:rPr>
          <w:rFonts w:ascii="Times New Roman" w:hAnsi="Times New Roman" w:eastAsia="仿宋_GB2312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）黑</w:t>
      </w:r>
      <w:r>
        <w:rPr>
          <w:rFonts w:ascii="Times New Roman" w:hAnsi="Times New Roman" w:eastAsia="仿宋_GB2312"/>
          <w:kern w:val="0"/>
          <w:sz w:val="32"/>
          <w:szCs w:val="32"/>
        </w:rPr>
        <w:t>8101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执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144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号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申请执行人：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杨桂芝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，公民身份号码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230822196804042583，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女，</w:t>
      </w:r>
      <w:r>
        <w:rPr>
          <w:rFonts w:ascii="Times New Roman" w:hAnsi="Times New Roman" w:eastAsia="仿宋_GB2312"/>
          <w:kern w:val="0"/>
          <w:sz w:val="32"/>
          <w:szCs w:val="32"/>
        </w:rPr>
        <w:t>196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日出生，汉族，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无职业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，住黑龙江省萝北县宝泉岭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管理局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被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执行人：</w:t>
      </w:r>
      <w:bookmarkStart w:id="0" w:name="_GoBack"/>
      <w:bookmarkEnd w:id="0"/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郭凤芝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，公民身份号码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230702196709230729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女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1967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日出生，汉族，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无职业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，住黑龙江省萝北县宝泉岭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管理局。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本院依据已经发生法律效力的黑龙江省宝泉岭人民法院（</w:t>
      </w:r>
      <w:r>
        <w:rPr>
          <w:rFonts w:ascii="Times New Roman" w:hAnsi="Times New Roman" w:eastAsia="仿宋_GB2312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）黑</w:t>
      </w:r>
      <w:r>
        <w:rPr>
          <w:rFonts w:ascii="Times New Roman" w:hAnsi="Times New Roman" w:eastAsia="仿宋_GB2312"/>
          <w:kern w:val="0"/>
          <w:sz w:val="32"/>
          <w:szCs w:val="32"/>
        </w:rPr>
        <w:t>8101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民初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1563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号民事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判决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书，于</w:t>
      </w:r>
      <w:r>
        <w:rPr>
          <w:rFonts w:ascii="Times New Roman" w:hAnsi="Times New Roman" w:eastAsia="仿宋_GB2312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日向被执行人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郭凤芝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送达了执行通知书，责令被执行人履行生效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判决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书确定的义务，但被执行人至今未履行。该案进入执行程序后，申请执行人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杨桂芝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要求评估拍卖被执行人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郭凤芝所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有的位于黑龙江省宝泉岭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管理局博惠小区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20号楼4单元502室房屋。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依照《中华人民共和国民事诉讼法》第二百四十四条、第二百四十七条、《最高人民法院关于人民法院民事执行中拍卖、变卖财产的规定》第一条之规定，裁定如下：</w:t>
      </w:r>
    </w:p>
    <w:p>
      <w:pPr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拍卖被执行人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郭凤芝所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有的龙江省宝泉岭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管理局博惠小区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20号楼4单元502室房屋。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本裁定送达后即发生法律效力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widowControl/>
        <w:spacing w:line="500" w:lineRule="atLeast"/>
        <w:ind w:firstLine="600"/>
        <w:jc w:val="lef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tabs>
          <w:tab w:val="left" w:pos="7770"/>
          <w:tab w:val="left" w:pos="7980"/>
        </w:tabs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</w:t>
      </w:r>
      <w:r>
        <w:rPr>
          <w:rFonts w:hint="eastAsia" w:ascii="Times New Roman" w:hAnsi="Times New Roman" w:eastAsia="仿宋_GB2312"/>
          <w:sz w:val="32"/>
          <w:szCs w:val="32"/>
        </w:rPr>
        <w:t>审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判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员</w:t>
      </w: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孙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宏  昌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ind w:firstLine="4800" w:firstLineChars="15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二</w:t>
      </w:r>
      <w:r>
        <w:rPr>
          <w:rFonts w:hint="eastAsia" w:ascii="宋体" w:hAnsi="宋体" w:cs="宋体"/>
          <w:sz w:val="32"/>
          <w:szCs w:val="32"/>
        </w:rPr>
        <w:t>〇</w:t>
      </w:r>
      <w:r>
        <w:rPr>
          <w:rFonts w:hint="eastAsia" w:ascii="Times New Roman" w:hAnsi="Times New Roman" w:eastAsia="仿宋_GB2312"/>
          <w:sz w:val="32"/>
          <w:szCs w:val="32"/>
        </w:rPr>
        <w:t>二二年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十一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7980"/>
        </w:tabs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</w:t>
      </w:r>
      <w:r>
        <w:rPr>
          <w:rFonts w:hint="eastAsia" w:ascii="Times New Roman" w:hAnsi="Times New Roman" w:eastAsia="仿宋_GB2312"/>
          <w:sz w:val="32"/>
          <w:szCs w:val="32"/>
        </w:rPr>
        <w:t>书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记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员</w:t>
      </w:r>
      <w:r>
        <w:rPr>
          <w:rFonts w:ascii="Times New Roman" w:hAnsi="Times New Roman" w:eastAsia="仿宋_GB2312"/>
          <w:sz w:val="32"/>
          <w:szCs w:val="32"/>
        </w:rPr>
        <w:t xml:space="preserve">  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付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衍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龙</w:t>
      </w:r>
    </w:p>
    <w:p>
      <w:pPr>
        <w:tabs>
          <w:tab w:val="left" w:pos="8085"/>
          <w:tab w:val="left" w:pos="8400"/>
        </w:tabs>
        <w:rPr>
          <w:rFonts w:ascii="Times New Roman" w:hAnsi="Times New Roman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247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FC4"/>
    <w:rsid w:val="0004305D"/>
    <w:rsid w:val="0005541B"/>
    <w:rsid w:val="00090C83"/>
    <w:rsid w:val="000D7EBD"/>
    <w:rsid w:val="000F4E05"/>
    <w:rsid w:val="000F5F59"/>
    <w:rsid w:val="00120C23"/>
    <w:rsid w:val="001732AE"/>
    <w:rsid w:val="00185B27"/>
    <w:rsid w:val="001E4051"/>
    <w:rsid w:val="002052FB"/>
    <w:rsid w:val="002A6DA9"/>
    <w:rsid w:val="00312EBD"/>
    <w:rsid w:val="0032135A"/>
    <w:rsid w:val="003419C2"/>
    <w:rsid w:val="00370F5E"/>
    <w:rsid w:val="0038146A"/>
    <w:rsid w:val="003A5CF7"/>
    <w:rsid w:val="003A6253"/>
    <w:rsid w:val="004048B2"/>
    <w:rsid w:val="00455B85"/>
    <w:rsid w:val="00463962"/>
    <w:rsid w:val="004C6F5F"/>
    <w:rsid w:val="004D73FE"/>
    <w:rsid w:val="00501A65"/>
    <w:rsid w:val="00516853"/>
    <w:rsid w:val="00532F74"/>
    <w:rsid w:val="00542847"/>
    <w:rsid w:val="005770B1"/>
    <w:rsid w:val="0059361C"/>
    <w:rsid w:val="005A25E2"/>
    <w:rsid w:val="005C39E5"/>
    <w:rsid w:val="005C5093"/>
    <w:rsid w:val="00606D3C"/>
    <w:rsid w:val="00611FA0"/>
    <w:rsid w:val="006274D9"/>
    <w:rsid w:val="00646F87"/>
    <w:rsid w:val="00652E04"/>
    <w:rsid w:val="0068677E"/>
    <w:rsid w:val="006A472C"/>
    <w:rsid w:val="00737B53"/>
    <w:rsid w:val="007D4643"/>
    <w:rsid w:val="0082157E"/>
    <w:rsid w:val="00823C96"/>
    <w:rsid w:val="00850602"/>
    <w:rsid w:val="00856601"/>
    <w:rsid w:val="008901E4"/>
    <w:rsid w:val="008C56F8"/>
    <w:rsid w:val="00917966"/>
    <w:rsid w:val="0096439F"/>
    <w:rsid w:val="0096722E"/>
    <w:rsid w:val="009E68B1"/>
    <w:rsid w:val="00A00923"/>
    <w:rsid w:val="00A574B7"/>
    <w:rsid w:val="00A776F6"/>
    <w:rsid w:val="00AA4FC4"/>
    <w:rsid w:val="00AA698A"/>
    <w:rsid w:val="00AC7AEB"/>
    <w:rsid w:val="00B05529"/>
    <w:rsid w:val="00B41545"/>
    <w:rsid w:val="00BB202A"/>
    <w:rsid w:val="00C65EDD"/>
    <w:rsid w:val="00CA30FE"/>
    <w:rsid w:val="00CB4A9B"/>
    <w:rsid w:val="00CC344F"/>
    <w:rsid w:val="00CF5B12"/>
    <w:rsid w:val="00DD0365"/>
    <w:rsid w:val="00DF1C91"/>
    <w:rsid w:val="00E42BC6"/>
    <w:rsid w:val="00E47C49"/>
    <w:rsid w:val="00EA2CD7"/>
    <w:rsid w:val="00EA41B1"/>
    <w:rsid w:val="00ED1B10"/>
    <w:rsid w:val="00EF2832"/>
    <w:rsid w:val="00F23FF6"/>
    <w:rsid w:val="00F2402C"/>
    <w:rsid w:val="00F7074B"/>
    <w:rsid w:val="00FC46F0"/>
    <w:rsid w:val="6B7EB94B"/>
    <w:rsid w:val="774F6BFC"/>
    <w:rsid w:val="7BAE6CCE"/>
    <w:rsid w:val="7CEF0E21"/>
    <w:rsid w:val="7CFB923A"/>
    <w:rsid w:val="7DF95A81"/>
    <w:rsid w:val="BFB9010E"/>
    <w:rsid w:val="CD3F31ED"/>
    <w:rsid w:val="D7FB3F3D"/>
    <w:rsid w:val="FEF99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132</Words>
  <Characters>756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2020-07-07T05:37:00Z</dcterms:created>
  <dc:creator>微软用户</dc:creator>
  <cp:lastModifiedBy>thtf</cp:lastModifiedBy>
  <cp:lastPrinted>2022-04-25T02:21:00Z</cp:lastPrinted>
  <dcterms:modified xsi:type="dcterms:W3CDTF">2022-11-03T09:47:16Z</dcterms:modified>
  <dc:title>黑龙江省宝泉岭人民法院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