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b/>
          <w:sz w:val="48"/>
          <w:szCs w:val="48"/>
        </w:rPr>
      </w:pPr>
    </w:p>
    <w:p>
      <w:pPr>
        <w:spacing w:line="500" w:lineRule="exact"/>
        <w:jc w:val="center"/>
        <w:rPr>
          <w:b/>
          <w:sz w:val="48"/>
          <w:szCs w:val="48"/>
        </w:rPr>
      </w:pPr>
    </w:p>
    <w:p>
      <w:pPr>
        <w:spacing w:line="500" w:lineRule="exact"/>
        <w:jc w:val="center"/>
        <w:rPr>
          <w:b/>
          <w:sz w:val="48"/>
          <w:szCs w:val="48"/>
        </w:rPr>
      </w:pPr>
      <w:r>
        <w:rPr>
          <w:rFonts w:hint="eastAsia"/>
          <w:b/>
          <w:sz w:val="48"/>
          <w:szCs w:val="48"/>
        </w:rPr>
        <w:t>涉执房地产处置司法评估报告</w:t>
      </w:r>
    </w:p>
    <w:p>
      <w:pPr>
        <w:spacing w:line="500" w:lineRule="exact"/>
        <w:rPr>
          <w:rFonts w:cs="宋体"/>
          <w:kern w:val="0"/>
          <w:sz w:val="24"/>
        </w:rPr>
      </w:pPr>
      <w:r>
        <w:rPr>
          <w:rFonts w:hint="eastAsia"/>
          <w:sz w:val="32"/>
          <w:szCs w:val="32"/>
        </w:rPr>
        <w:t xml:space="preserve">                              </w:t>
      </w:r>
      <w:r>
        <w:rPr>
          <w:rFonts w:hint="eastAsia" w:cs="宋体"/>
          <w:kern w:val="0"/>
          <w:sz w:val="24"/>
        </w:rPr>
        <w:t xml:space="preserve"> </w:t>
      </w: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p>
      <w:pPr>
        <w:spacing w:line="500" w:lineRule="exact"/>
        <w:rPr>
          <w:rFonts w:cs="宋体"/>
          <w:kern w:val="0"/>
          <w:sz w:val="24"/>
        </w:rPr>
      </w:pPr>
    </w:p>
    <w:tbl>
      <w:tblPr>
        <w:tblStyle w:val="21"/>
        <w:tblW w:w="5000" w:type="pct"/>
        <w:tblInd w:w="0" w:type="dxa"/>
        <w:tblLayout w:type="fixed"/>
        <w:tblCellMar>
          <w:top w:w="0" w:type="dxa"/>
          <w:left w:w="108" w:type="dxa"/>
          <w:bottom w:w="0" w:type="dxa"/>
          <w:right w:w="108" w:type="dxa"/>
        </w:tblCellMar>
      </w:tblPr>
      <w:tblGrid>
        <w:gridCol w:w="3623"/>
        <w:gridCol w:w="6230"/>
      </w:tblGrid>
      <w:tr>
        <w:tblPrEx>
          <w:tblCellMar>
            <w:top w:w="0" w:type="dxa"/>
            <w:left w:w="108" w:type="dxa"/>
            <w:bottom w:w="0" w:type="dxa"/>
            <w:right w:w="108" w:type="dxa"/>
          </w:tblCellMar>
        </w:tblPrEx>
        <w:tc>
          <w:tcPr>
            <w:tcW w:w="1839" w:type="pct"/>
          </w:tcPr>
          <w:p>
            <w:pPr>
              <w:tabs>
                <w:tab w:val="left" w:pos="540"/>
              </w:tabs>
              <w:spacing w:line="600" w:lineRule="exact"/>
              <w:rPr>
                <w:sz w:val="28"/>
                <w:szCs w:val="28"/>
              </w:rPr>
            </w:pPr>
            <w:r>
              <w:rPr>
                <w:b/>
                <w:spacing w:val="107"/>
                <w:kern w:val="0"/>
                <w:sz w:val="32"/>
                <w:szCs w:val="32"/>
                <w:fitText w:val="3531" w:id="-2044467710"/>
              </w:rPr>
              <w:t>估价项目名称</w:t>
            </w:r>
            <w:r>
              <w:rPr>
                <w:b/>
                <w:spacing w:val="3"/>
                <w:kern w:val="0"/>
                <w:sz w:val="32"/>
                <w:szCs w:val="32"/>
                <w:fitText w:val="3531" w:id="-2044467710"/>
              </w:rPr>
              <w:t>：</w:t>
            </w:r>
            <w:r>
              <w:rPr>
                <w:sz w:val="28"/>
                <w:szCs w:val="28"/>
              </w:rPr>
              <w:t xml:space="preserve"> </w:t>
            </w:r>
          </w:p>
        </w:tc>
        <w:tc>
          <w:tcPr>
            <w:tcW w:w="3161" w:type="pct"/>
          </w:tcPr>
          <w:p>
            <w:pPr>
              <w:tabs>
                <w:tab w:val="left" w:pos="540"/>
              </w:tabs>
              <w:spacing w:line="600" w:lineRule="exact"/>
              <w:rPr>
                <w:b/>
                <w:sz w:val="32"/>
                <w:szCs w:val="32"/>
              </w:rPr>
            </w:pPr>
            <w:r>
              <w:rPr>
                <w:rFonts w:hint="eastAsia"/>
                <w:sz w:val="32"/>
                <w:szCs w:val="32"/>
              </w:rPr>
              <w:t>岑巩县新兴滨河路一套住宅房地产的市场价值评估</w:t>
            </w:r>
          </w:p>
        </w:tc>
      </w:tr>
      <w:tr>
        <w:tblPrEx>
          <w:tblCellMar>
            <w:top w:w="0" w:type="dxa"/>
            <w:left w:w="108" w:type="dxa"/>
            <w:bottom w:w="0" w:type="dxa"/>
            <w:right w:w="108" w:type="dxa"/>
          </w:tblCellMar>
        </w:tblPrEx>
        <w:tc>
          <w:tcPr>
            <w:tcW w:w="1839" w:type="pct"/>
          </w:tcPr>
          <w:p>
            <w:pPr>
              <w:tabs>
                <w:tab w:val="left" w:pos="540"/>
              </w:tabs>
              <w:spacing w:line="600" w:lineRule="exact"/>
              <w:rPr>
                <w:sz w:val="32"/>
                <w:szCs w:val="32"/>
              </w:rPr>
            </w:pPr>
            <w:r>
              <w:rPr>
                <w:b/>
                <w:spacing w:val="161"/>
                <w:kern w:val="0"/>
                <w:sz w:val="32"/>
                <w:szCs w:val="32"/>
                <w:fitText w:val="3531" w:id="-2044467710"/>
              </w:rPr>
              <w:t>估价委托人</w:t>
            </w:r>
            <w:r>
              <w:rPr>
                <w:b/>
                <w:spacing w:val="0"/>
                <w:kern w:val="0"/>
                <w:sz w:val="32"/>
                <w:szCs w:val="32"/>
                <w:fitText w:val="3531" w:id="-2044467710"/>
              </w:rPr>
              <w:t>：</w:t>
            </w:r>
          </w:p>
        </w:tc>
        <w:tc>
          <w:tcPr>
            <w:tcW w:w="3161" w:type="pct"/>
          </w:tcPr>
          <w:p>
            <w:pPr>
              <w:tabs>
                <w:tab w:val="left" w:pos="540"/>
                <w:tab w:val="left" w:pos="2880"/>
              </w:tabs>
              <w:spacing w:line="600" w:lineRule="exact"/>
              <w:jc w:val="left"/>
              <w:rPr>
                <w:b/>
                <w:i/>
                <w:iCs/>
                <w:color w:val="C00000"/>
                <w:spacing w:val="32"/>
                <w:sz w:val="24"/>
              </w:rPr>
            </w:pPr>
            <w:r>
              <w:rPr>
                <w:rFonts w:hint="eastAsia"/>
                <w:sz w:val="32"/>
                <w:szCs w:val="32"/>
              </w:rPr>
              <w:t>岑巩县人民法院</w:t>
            </w:r>
          </w:p>
        </w:tc>
      </w:tr>
      <w:tr>
        <w:tblPrEx>
          <w:tblCellMar>
            <w:top w:w="0" w:type="dxa"/>
            <w:left w:w="108" w:type="dxa"/>
            <w:bottom w:w="0" w:type="dxa"/>
            <w:right w:w="108" w:type="dxa"/>
          </w:tblCellMar>
        </w:tblPrEx>
        <w:trPr>
          <w:trHeight w:val="617" w:hRule="atLeast"/>
        </w:trPr>
        <w:tc>
          <w:tcPr>
            <w:tcW w:w="1839" w:type="pct"/>
          </w:tcPr>
          <w:p>
            <w:pPr>
              <w:tabs>
                <w:tab w:val="left" w:pos="540"/>
              </w:tabs>
              <w:spacing w:line="600" w:lineRule="exact"/>
              <w:rPr>
                <w:b/>
                <w:sz w:val="32"/>
                <w:szCs w:val="32"/>
              </w:rPr>
            </w:pPr>
            <w:r>
              <w:rPr>
                <w:b/>
                <w:spacing w:val="69"/>
                <w:kern w:val="0"/>
                <w:sz w:val="32"/>
                <w:szCs w:val="32"/>
                <w:fitText w:val="3531" w:id="-2044467710"/>
              </w:rPr>
              <w:t>房地产估价机构</w:t>
            </w:r>
            <w:r>
              <w:rPr>
                <w:b/>
                <w:spacing w:val="2"/>
                <w:kern w:val="0"/>
                <w:sz w:val="32"/>
                <w:szCs w:val="32"/>
                <w:fitText w:val="3531" w:id="-2044467710"/>
              </w:rPr>
              <w:t>：</w:t>
            </w:r>
          </w:p>
        </w:tc>
        <w:tc>
          <w:tcPr>
            <w:tcW w:w="3161" w:type="pct"/>
          </w:tcPr>
          <w:p>
            <w:pPr>
              <w:tabs>
                <w:tab w:val="left" w:pos="540"/>
              </w:tabs>
              <w:spacing w:line="600" w:lineRule="exact"/>
              <w:jc w:val="left"/>
              <w:rPr>
                <w:b/>
                <w:sz w:val="32"/>
                <w:szCs w:val="32"/>
              </w:rPr>
            </w:pPr>
            <w:r>
              <w:rPr>
                <w:sz w:val="32"/>
                <w:szCs w:val="32"/>
              </w:rPr>
              <w:t>贵州桑立房地产资产评估有限公司</w:t>
            </w:r>
          </w:p>
        </w:tc>
      </w:tr>
      <w:tr>
        <w:tblPrEx>
          <w:tblCellMar>
            <w:top w:w="0" w:type="dxa"/>
            <w:left w:w="108" w:type="dxa"/>
            <w:bottom w:w="0" w:type="dxa"/>
            <w:right w:w="108" w:type="dxa"/>
          </w:tblCellMar>
        </w:tblPrEx>
        <w:tc>
          <w:tcPr>
            <w:tcW w:w="1839" w:type="pct"/>
          </w:tcPr>
          <w:p>
            <w:pPr>
              <w:tabs>
                <w:tab w:val="left" w:pos="540"/>
              </w:tabs>
              <w:spacing w:line="600" w:lineRule="exact"/>
              <w:rPr>
                <w:sz w:val="32"/>
                <w:szCs w:val="32"/>
              </w:rPr>
            </w:pPr>
            <w:r>
              <w:rPr>
                <w:b/>
                <w:spacing w:val="40"/>
                <w:kern w:val="0"/>
                <w:sz w:val="32"/>
                <w:szCs w:val="32"/>
                <w:fitText w:val="3531" w:id="-2044467710"/>
              </w:rPr>
              <w:t>注册房地产估价师</w:t>
            </w:r>
            <w:r>
              <w:rPr>
                <w:b/>
                <w:spacing w:val="5"/>
                <w:kern w:val="0"/>
                <w:sz w:val="32"/>
                <w:szCs w:val="32"/>
                <w:fitText w:val="3531" w:id="-2044467710"/>
              </w:rPr>
              <w:t>：</w:t>
            </w:r>
          </w:p>
        </w:tc>
        <w:tc>
          <w:tcPr>
            <w:tcW w:w="3161" w:type="pct"/>
          </w:tcPr>
          <w:p>
            <w:pPr>
              <w:tabs>
                <w:tab w:val="left" w:pos="540"/>
              </w:tabs>
              <w:spacing w:line="600" w:lineRule="exact"/>
              <w:jc w:val="left"/>
              <w:rPr>
                <w:sz w:val="32"/>
                <w:szCs w:val="32"/>
              </w:rPr>
            </w:pPr>
            <w:r>
              <w:rPr>
                <w:rFonts w:hint="eastAsia"/>
                <w:sz w:val="32"/>
                <w:szCs w:val="32"/>
              </w:rPr>
              <w:t>杨再成</w:t>
            </w:r>
            <w:r>
              <w:rPr>
                <w:sz w:val="32"/>
                <w:szCs w:val="32"/>
              </w:rPr>
              <w:t>（注册号：</w:t>
            </w:r>
            <w:r>
              <w:rPr>
                <w:rFonts w:hint="eastAsia"/>
                <w:sz w:val="32"/>
                <w:szCs w:val="32"/>
              </w:rPr>
              <w:t>5220190057</w:t>
            </w:r>
            <w:r>
              <w:rPr>
                <w:sz w:val="32"/>
                <w:szCs w:val="32"/>
              </w:rPr>
              <w:t>）</w:t>
            </w:r>
          </w:p>
          <w:p>
            <w:pPr>
              <w:tabs>
                <w:tab w:val="left" w:pos="540"/>
              </w:tabs>
              <w:spacing w:line="600" w:lineRule="exact"/>
              <w:jc w:val="left"/>
              <w:rPr>
                <w:b/>
                <w:i/>
                <w:iCs/>
                <w:color w:val="FF0000"/>
                <w:spacing w:val="14"/>
                <w:sz w:val="24"/>
              </w:rPr>
            </w:pPr>
            <w:r>
              <w:rPr>
                <w:rFonts w:hint="eastAsia"/>
                <w:sz w:val="32"/>
                <w:szCs w:val="32"/>
              </w:rPr>
              <w:t>綦伶俐</w:t>
            </w:r>
            <w:r>
              <w:rPr>
                <w:sz w:val="32"/>
                <w:szCs w:val="32"/>
              </w:rPr>
              <w:t>（注册号：</w:t>
            </w:r>
            <w:r>
              <w:rPr>
                <w:rFonts w:hint="eastAsia"/>
                <w:sz w:val="32"/>
                <w:szCs w:val="32"/>
              </w:rPr>
              <w:t>5220200070</w:t>
            </w:r>
            <w:r>
              <w:rPr>
                <w:sz w:val="32"/>
                <w:szCs w:val="32"/>
              </w:rPr>
              <w:t>）</w:t>
            </w:r>
          </w:p>
        </w:tc>
      </w:tr>
      <w:tr>
        <w:tblPrEx>
          <w:tblCellMar>
            <w:top w:w="0" w:type="dxa"/>
            <w:left w:w="108" w:type="dxa"/>
            <w:bottom w:w="0" w:type="dxa"/>
            <w:right w:w="108" w:type="dxa"/>
          </w:tblCellMar>
        </w:tblPrEx>
        <w:tc>
          <w:tcPr>
            <w:tcW w:w="1839" w:type="pct"/>
          </w:tcPr>
          <w:p>
            <w:pPr>
              <w:tabs>
                <w:tab w:val="left" w:pos="540"/>
              </w:tabs>
              <w:spacing w:line="600" w:lineRule="exact"/>
              <w:rPr>
                <w:b/>
                <w:sz w:val="32"/>
                <w:szCs w:val="32"/>
              </w:rPr>
            </w:pPr>
            <w:r>
              <w:rPr>
                <w:b/>
                <w:spacing w:val="40"/>
                <w:kern w:val="0"/>
                <w:sz w:val="32"/>
                <w:szCs w:val="32"/>
                <w:fitText w:val="3531" w:id="-2044467710"/>
              </w:rPr>
              <w:t>估价报告出具日期</w:t>
            </w:r>
            <w:r>
              <w:rPr>
                <w:b/>
                <w:spacing w:val="5"/>
                <w:kern w:val="0"/>
                <w:sz w:val="32"/>
                <w:szCs w:val="32"/>
                <w:fitText w:val="3531" w:id="-2044467710"/>
              </w:rPr>
              <w:t>：</w:t>
            </w:r>
          </w:p>
        </w:tc>
        <w:tc>
          <w:tcPr>
            <w:tcW w:w="3161" w:type="pct"/>
          </w:tcPr>
          <w:p>
            <w:pPr>
              <w:tabs>
                <w:tab w:val="left" w:pos="540"/>
              </w:tabs>
              <w:spacing w:line="600" w:lineRule="exact"/>
              <w:jc w:val="left"/>
              <w:rPr>
                <w:b/>
                <w:i/>
                <w:iCs/>
                <w:color w:val="C00000"/>
                <w:sz w:val="32"/>
                <w:szCs w:val="32"/>
              </w:rPr>
            </w:pPr>
            <w:r>
              <w:rPr>
                <w:rFonts w:hint="eastAsia"/>
                <w:sz w:val="32"/>
                <w:szCs w:val="32"/>
              </w:rPr>
              <w:t>二〇二二年九月三十日</w:t>
            </w:r>
          </w:p>
        </w:tc>
      </w:tr>
      <w:tr>
        <w:tblPrEx>
          <w:tblCellMar>
            <w:top w:w="0" w:type="dxa"/>
            <w:left w:w="108" w:type="dxa"/>
            <w:bottom w:w="0" w:type="dxa"/>
            <w:right w:w="108" w:type="dxa"/>
          </w:tblCellMar>
        </w:tblPrEx>
        <w:tc>
          <w:tcPr>
            <w:tcW w:w="1839" w:type="pct"/>
          </w:tcPr>
          <w:p>
            <w:pPr>
              <w:tabs>
                <w:tab w:val="left" w:pos="540"/>
              </w:tabs>
              <w:spacing w:line="600" w:lineRule="exact"/>
              <w:rPr>
                <w:sz w:val="32"/>
                <w:szCs w:val="32"/>
              </w:rPr>
            </w:pPr>
            <w:r>
              <w:rPr>
                <w:b/>
                <w:spacing w:val="107"/>
                <w:kern w:val="0"/>
                <w:sz w:val="32"/>
                <w:szCs w:val="32"/>
                <w:fitText w:val="3531" w:id="-2044467710"/>
              </w:rPr>
              <w:t>估价报告编号</w:t>
            </w:r>
            <w:r>
              <w:rPr>
                <w:b/>
                <w:spacing w:val="3"/>
                <w:kern w:val="0"/>
                <w:sz w:val="32"/>
                <w:szCs w:val="32"/>
                <w:fitText w:val="3531" w:id="-2044467710"/>
              </w:rPr>
              <w:t>：</w:t>
            </w:r>
          </w:p>
        </w:tc>
        <w:tc>
          <w:tcPr>
            <w:tcW w:w="3161" w:type="pct"/>
            <w:vAlign w:val="center"/>
          </w:tcPr>
          <w:p>
            <w:pPr>
              <w:tabs>
                <w:tab w:val="left" w:pos="540"/>
                <w:tab w:val="left" w:pos="2520"/>
              </w:tabs>
              <w:spacing w:line="500" w:lineRule="exact"/>
              <w:jc w:val="left"/>
              <w:rPr>
                <w:b/>
                <w:sz w:val="32"/>
                <w:szCs w:val="32"/>
              </w:rPr>
            </w:pPr>
            <w:r>
              <w:rPr>
                <w:rFonts w:hint="eastAsia"/>
                <w:spacing w:val="24"/>
                <w:kern w:val="10"/>
                <w:sz w:val="32"/>
                <w:szCs w:val="32"/>
              </w:rPr>
              <w:t>黔桑立房鉴字【2022】第0902号</w:t>
            </w:r>
          </w:p>
        </w:tc>
      </w:tr>
    </w:tbl>
    <w:p>
      <w:pPr>
        <w:widowControl/>
        <w:spacing w:before="156" w:beforeLines="50" w:after="156" w:afterLines="50"/>
        <w:jc w:val="center"/>
        <w:outlineLvl w:val="0"/>
        <w:rPr>
          <w:b/>
          <w:sz w:val="44"/>
          <w:szCs w:val="44"/>
        </w:rPr>
      </w:pPr>
      <w:bookmarkStart w:id="0" w:name="_Toc432574962"/>
      <w:bookmarkStart w:id="1" w:name="_Toc47874168"/>
      <w:bookmarkStart w:id="2" w:name="_Toc65065885"/>
      <w:bookmarkStart w:id="3" w:name="_Toc432490535"/>
      <w:bookmarkStart w:id="4" w:name="_Toc396396766"/>
      <w:r>
        <w:rPr>
          <w:b/>
          <w:sz w:val="44"/>
          <w:szCs w:val="44"/>
        </w:rPr>
        <w:br w:type="page"/>
      </w:r>
      <w:r>
        <w:rPr>
          <w:rFonts w:hint="eastAsia"/>
          <w:b/>
          <w:sz w:val="44"/>
          <w:szCs w:val="44"/>
        </w:rPr>
        <w:t>致估价委托人函</w:t>
      </w:r>
      <w:bookmarkEnd w:id="0"/>
      <w:bookmarkEnd w:id="1"/>
      <w:bookmarkEnd w:id="2"/>
      <w:bookmarkEnd w:id="3"/>
      <w:bookmarkEnd w:id="4"/>
    </w:p>
    <w:p>
      <w:pPr>
        <w:spacing w:line="480" w:lineRule="exact"/>
        <w:rPr>
          <w:sz w:val="28"/>
          <w:szCs w:val="28"/>
        </w:rPr>
      </w:pPr>
      <w:r>
        <w:rPr>
          <w:rFonts w:hint="eastAsia"/>
          <w:sz w:val="28"/>
          <w:szCs w:val="28"/>
        </w:rPr>
        <w:t>岑巩县人民法院：</w:t>
      </w:r>
    </w:p>
    <w:p>
      <w:pPr>
        <w:spacing w:line="480" w:lineRule="exact"/>
        <w:ind w:firstLine="560" w:firstLineChars="200"/>
        <w:rPr>
          <w:rFonts w:cs="Arial Narrow"/>
          <w:i/>
          <w:iCs/>
          <w:color w:val="C00000"/>
          <w:sz w:val="28"/>
          <w:szCs w:val="28"/>
        </w:rPr>
      </w:pPr>
      <w:r>
        <w:rPr>
          <w:rFonts w:hint="eastAsia" w:cs="Arial Narrow"/>
          <w:sz w:val="28"/>
          <w:szCs w:val="28"/>
        </w:rPr>
        <w:t>受贵院委托，在贵院执行中国邮政储蓄银行股份有限公司岑巩县支行与龙芳、彭勇经司法确认的调解协议一案中，需对位于</w:t>
      </w:r>
      <w:r>
        <w:rPr>
          <w:rFonts w:hint="eastAsia"/>
          <w:sz w:val="28"/>
          <w:szCs w:val="28"/>
        </w:rPr>
        <w:t>岑巩县新兴滨河路一套住宅房地产的市场价值进行评估</w:t>
      </w:r>
      <w:r>
        <w:rPr>
          <w:rFonts w:hint="eastAsia" w:cs="Arial Narrow"/>
          <w:sz w:val="28"/>
          <w:szCs w:val="28"/>
        </w:rPr>
        <w:t>，现将有关内容报告如下：</w:t>
      </w:r>
    </w:p>
    <w:p>
      <w:pPr>
        <w:tabs>
          <w:tab w:val="left" w:pos="210"/>
          <w:tab w:val="left" w:pos="630"/>
        </w:tabs>
        <w:spacing w:line="520" w:lineRule="exact"/>
        <w:ind w:left="-4" w:leftChars="-2" w:firstLine="560" w:firstLineChars="200"/>
        <w:jc w:val="left"/>
        <w:outlineLvl w:val="1"/>
        <w:rPr>
          <w:b/>
          <w:bCs/>
          <w:sz w:val="28"/>
          <w:szCs w:val="28"/>
        </w:rPr>
      </w:pPr>
      <w:bookmarkStart w:id="5" w:name="_Toc65065886"/>
      <w:bookmarkStart w:id="6" w:name="_Toc47874169"/>
      <w:r>
        <w:rPr>
          <w:rFonts w:hint="eastAsia"/>
          <w:b/>
          <w:bCs/>
          <w:sz w:val="28"/>
          <w:szCs w:val="28"/>
        </w:rPr>
        <w:t>一、估价目的</w:t>
      </w:r>
      <w:bookmarkEnd w:id="5"/>
      <w:bookmarkEnd w:id="6"/>
    </w:p>
    <w:p>
      <w:pPr>
        <w:tabs>
          <w:tab w:val="left" w:pos="210"/>
          <w:tab w:val="left" w:pos="630"/>
        </w:tabs>
        <w:spacing w:line="480" w:lineRule="exact"/>
        <w:ind w:left="-4" w:leftChars="-2" w:firstLine="560" w:firstLineChars="200"/>
        <w:jc w:val="left"/>
        <w:rPr>
          <w:bCs/>
          <w:sz w:val="28"/>
          <w:szCs w:val="28"/>
        </w:rPr>
      </w:pPr>
      <w:r>
        <w:rPr>
          <w:rFonts w:hint="eastAsia"/>
          <w:sz w:val="28"/>
          <w:szCs w:val="28"/>
        </w:rPr>
        <w:t>为人民法院确定财产处置参考价提供参考依据。</w:t>
      </w:r>
    </w:p>
    <w:p>
      <w:pPr>
        <w:tabs>
          <w:tab w:val="left" w:pos="210"/>
          <w:tab w:val="left" w:pos="630"/>
        </w:tabs>
        <w:spacing w:line="480" w:lineRule="exact"/>
        <w:ind w:firstLine="560" w:firstLineChars="200"/>
        <w:jc w:val="left"/>
        <w:outlineLvl w:val="1"/>
        <w:rPr>
          <w:b/>
          <w:bCs/>
          <w:sz w:val="28"/>
          <w:szCs w:val="28"/>
        </w:rPr>
      </w:pPr>
      <w:bookmarkStart w:id="7" w:name="_Toc47874170"/>
      <w:bookmarkStart w:id="8" w:name="_Toc65065887"/>
      <w:r>
        <w:rPr>
          <w:rFonts w:hint="eastAsia"/>
          <w:b/>
          <w:bCs/>
          <w:sz w:val="28"/>
          <w:szCs w:val="28"/>
        </w:rPr>
        <w:t>二、估价对象</w:t>
      </w:r>
      <w:bookmarkEnd w:id="7"/>
      <w:bookmarkEnd w:id="8"/>
    </w:p>
    <w:tbl>
      <w:tblPr>
        <w:tblStyle w:val="21"/>
        <w:tblpPr w:leftFromText="180" w:rightFromText="180" w:vertAnchor="text" w:tblpX="80" w:tblpY="1"/>
        <w:tblOverlap w:val="never"/>
        <w:tblW w:w="4707" w:type="dxa"/>
        <w:tblInd w:w="0" w:type="dxa"/>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Layout w:type="fixed"/>
        <w:tblCellMar>
          <w:top w:w="0" w:type="dxa"/>
          <w:left w:w="108" w:type="dxa"/>
          <w:bottom w:w="0" w:type="dxa"/>
          <w:right w:w="108" w:type="dxa"/>
        </w:tblCellMar>
      </w:tblPr>
      <w:tblGrid>
        <w:gridCol w:w="4707"/>
      </w:tblGrid>
      <w:tr>
        <w:tblPrEx>
          <w:tblBorders>
            <w:top w:val="dashSmallGap" w:color="auto" w:sz="4" w:space="0"/>
            <w:left w:val="dashSmallGap" w:color="auto" w:sz="4" w:space="0"/>
            <w:bottom w:val="dashSmallGap" w:color="auto" w:sz="4" w:space="0"/>
            <w:right w:val="dashSmallGap" w:color="auto" w:sz="4" w:space="0"/>
            <w:insideH w:val="none" w:color="auto" w:sz="0" w:space="0"/>
            <w:insideV w:val="none" w:color="auto" w:sz="0" w:space="0"/>
          </w:tblBorders>
          <w:tblCellMar>
            <w:top w:w="0" w:type="dxa"/>
            <w:left w:w="108" w:type="dxa"/>
            <w:bottom w:w="0" w:type="dxa"/>
            <w:right w:w="108" w:type="dxa"/>
          </w:tblCellMar>
        </w:tblPrEx>
        <w:trPr>
          <w:trHeight w:val="2835" w:hRule="atLeast"/>
        </w:trPr>
        <w:tc>
          <w:tcPr>
            <w:tcW w:w="4707" w:type="dxa"/>
          </w:tcPr>
          <w:p>
            <w:pPr>
              <w:widowControl/>
              <w:jc w:val="left"/>
              <w:rPr>
                <w:rFonts w:cs="Arial Narrow"/>
                <w:sz w:val="28"/>
                <w:szCs w:val="28"/>
              </w:rPr>
            </w:pPr>
            <w:bookmarkStart w:id="9" w:name="_Hlk97112580"/>
            <w:r>
              <w:rPr>
                <w:rFonts w:cs="Arial Narrow"/>
                <w:sz w:val="28"/>
                <w:szCs w:val="28"/>
              </w:rPr>
              <mc:AlternateContent>
                <mc:Choice Requires="wpg">
                  <w:drawing>
                    <wp:anchor distT="0" distB="0" distL="114300" distR="114300" simplePos="0" relativeHeight="251659264" behindDoc="0" locked="0" layoutInCell="1" allowOverlap="1">
                      <wp:simplePos x="0" y="0"/>
                      <wp:positionH relativeFrom="column">
                        <wp:posOffset>996315</wp:posOffset>
                      </wp:positionH>
                      <wp:positionV relativeFrom="paragraph">
                        <wp:posOffset>730250</wp:posOffset>
                      </wp:positionV>
                      <wp:extent cx="734060" cy="601980"/>
                      <wp:effectExtent l="0" t="0" r="27940" b="26670"/>
                      <wp:wrapNone/>
                      <wp:docPr id="51" name="组合 256"/>
                      <wp:cNvGraphicFramePr/>
                      <a:graphic xmlns:a="http://schemas.openxmlformats.org/drawingml/2006/main">
                        <a:graphicData uri="http://schemas.microsoft.com/office/word/2010/wordprocessingGroup">
                          <wpg:wgp>
                            <wpg:cNvGrpSpPr/>
                            <wpg:grpSpPr>
                              <a:xfrm flipH="1">
                                <a:off x="0" y="0"/>
                                <a:ext cx="734060" cy="601980"/>
                                <a:chOff x="4975" y="6950"/>
                                <a:chExt cx="1128" cy="948"/>
                              </a:xfrm>
                            </wpg:grpSpPr>
                            <wps:wsp>
                              <wps:cNvPr id="52" name="自选图形 254"/>
                              <wps:cNvSpPr>
                                <a:spLocks noChangeArrowheads="1"/>
                              </wps:cNvSpPr>
                              <wps:spPr bwMode="auto">
                                <a:xfrm>
                                  <a:off x="4975" y="6950"/>
                                  <a:ext cx="1128" cy="506"/>
                                </a:xfrm>
                                <a:prstGeom prst="wedgeRectCallout">
                                  <a:avLst>
                                    <a:gd name="adj1" fmla="val -35898"/>
                                    <a:gd name="adj2" fmla="val 113634"/>
                                  </a:avLst>
                                </a:prstGeom>
                                <a:solidFill>
                                  <a:srgbClr val="FFFFFF"/>
                                </a:solidFill>
                                <a:ln w="9525">
                                  <a:solidFill>
                                    <a:srgbClr val="2F5496"/>
                                  </a:solidFill>
                                  <a:miter lim="800000"/>
                                </a:ln>
                              </wps:spPr>
                              <wps:txbx>
                                <w:txbxContent>
                                  <w:p>
                                    <w:pPr>
                                      <w:rPr>
                                        <w:b/>
                                        <w:bCs/>
                                        <w:color w:val="FF0000"/>
                                      </w:rPr>
                                    </w:pPr>
                                    <w:r>
                                      <w:rPr>
                                        <w:rFonts w:hint="eastAsia"/>
                                        <w:b/>
                                        <w:bCs/>
                                        <w:color w:val="FF0000"/>
                                      </w:rPr>
                                      <w:t>估价对象</w:t>
                                    </w:r>
                                  </w:p>
                                </w:txbxContent>
                              </wps:txbx>
                              <wps:bodyPr rot="0" vert="horz" wrap="square" lIns="91440" tIns="45720" rIns="91440" bIns="45720" anchor="t" anchorCtr="0" upright="1">
                                <a:noAutofit/>
                              </wps:bodyPr>
                            </wps:wsp>
                            <wps:wsp>
                              <wps:cNvPr id="53" name="椭圆 255"/>
                              <wps:cNvSpPr>
                                <a:spLocks noChangeArrowheads="1"/>
                              </wps:cNvSpPr>
                              <wps:spPr bwMode="auto">
                                <a:xfrm>
                                  <a:off x="4999" y="7742"/>
                                  <a:ext cx="156" cy="156"/>
                                </a:xfrm>
                                <a:prstGeom prst="ellipse">
                                  <a:avLst/>
                                </a:prstGeom>
                                <a:solidFill>
                                  <a:srgbClr val="FF0000"/>
                                </a:solidFill>
                                <a:ln w="9525">
                                  <a:solidFill>
                                    <a:srgbClr val="2F5496"/>
                                  </a:solidFill>
                                  <a:round/>
                                </a:ln>
                              </wps:spPr>
                              <wps:bodyPr rot="0" vert="horz" wrap="square" lIns="91440" tIns="45720" rIns="91440" bIns="45720" anchor="t" anchorCtr="0" upright="1">
                                <a:noAutofit/>
                              </wps:bodyPr>
                            </wps:wsp>
                          </wpg:wgp>
                        </a:graphicData>
                      </a:graphic>
                    </wp:anchor>
                  </w:drawing>
                </mc:Choice>
                <mc:Fallback>
                  <w:pict>
                    <v:group id="组合 256" o:spid="_x0000_s1026" o:spt="203" style="position:absolute;left:0pt;flip:x;margin-left:78.45pt;margin-top:57.5pt;height:47.4pt;width:57.8pt;z-index:251659264;mso-width-relative:page;mso-height-relative:page;" coordorigin="4975,6950" coordsize="1128,948" o:gfxdata="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">
                      <o:lock v:ext="edit" aspectratio="f"/>
                      <v:shape id="自选图形 254" o:spid="_x0000_s1026" o:spt="61" type="#_x0000_t61" style="position:absolute;left:4975;top:6950;height:506;width:1128;" fillcolor="#FFFFFF" filled="t" stroked="t" coordsize="21600,21600" o:gfxdata="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p/H74A&#10;AADbAAAADwAAAAAAAAABACAAAAAiAAAAZHJzL2Rvd25yZXYueG1sUEsBAhQAFAAAAAgAh07iQDMv&#10;BZ47AAAAOQAAABAAAAAAAAAAAQAgAAAADQEAAGRycy9zaGFwZXhtbC54bWxQSwUGAAAAAAYABgBb&#10;AQAAtwMAAAAA&#10;" adj="3046,35345">
                        <v:fill on="t" focussize="0,0"/>
                        <v:stroke color="#2F5496" miterlimit="8" joinstyle="miter"/>
                        <v:imagedata o:title=""/>
                        <o:lock v:ext="edit" aspectratio="f"/>
                        <v:textbox>
                          <w:txbxContent>
                            <w:p>
                              <w:pPr>
                                <w:rPr>
                                  <w:b/>
                                  <w:bCs/>
                                  <w:color w:val="FF0000"/>
                                </w:rPr>
                              </w:pPr>
                              <w:r>
                                <w:rPr>
                                  <w:rFonts w:hint="eastAsia"/>
                                  <w:b/>
                                  <w:bCs/>
                                  <w:color w:val="FF0000"/>
                                </w:rPr>
                                <w:t>估价对象</w:t>
                              </w:r>
                            </w:p>
                          </w:txbxContent>
                        </v:textbox>
                      </v:shape>
                      <v:shape id="椭圆 255" o:spid="_x0000_s1026" o:spt="3" type="#_x0000_t3" style="position:absolute;left:4999;top:7742;height:156;width:156;" fillcolor="#FF0000" filled="t" stroked="t" coordsize="21600,21600" o:gfxdata="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a374A&#10;AADbAAAADwAAAAAAAAABACAAAAAiAAAAZHJzL2Rvd25yZXYueG1sUEsBAhQAFAAAAAgAh07iQDMv&#10;BZ47AAAAOQAAABAAAAAAAAAAAQAgAAAADQEAAGRycy9zaGFwZXhtbC54bWxQSwUGAAAAAAYABgBb&#10;AQAAtwMAAAAA&#10;">
                        <v:fill on="t" focussize="0,0"/>
                        <v:stroke color="#2F5496" joinstyle="round"/>
                        <v:imagedata o:title=""/>
                        <o:lock v:ext="edit" aspectratio="f"/>
                      </v:shape>
                    </v:group>
                  </w:pict>
                </mc:Fallback>
              </mc:AlternateContent>
            </w:r>
            <w:r>
              <w:rPr>
                <w:rFonts w:ascii="宋体" w:hAnsi="宋体" w:cs="宋体"/>
                <w:kern w:val="0"/>
                <w:sz w:val="24"/>
                <w:lang w:bidi="ar"/>
              </w:rPr>
              <w:drawing>
                <wp:inline distT="0" distB="0" distL="114300" distR="114300">
                  <wp:extent cx="2777490" cy="2346325"/>
                  <wp:effectExtent l="0" t="0" r="3810" b="0"/>
                  <wp:docPr id="5" name="图片 1" descr="IMG_256"/>
                  <wp:cNvGraphicFramePr/>
                  <a:graphic xmlns:a="http://schemas.openxmlformats.org/drawingml/2006/main">
                    <a:graphicData uri="http://schemas.openxmlformats.org/drawingml/2006/picture">
                      <pic:pic xmlns:pic="http://schemas.openxmlformats.org/drawingml/2006/picture">
                        <pic:nvPicPr>
                          <pic:cNvPr id="5" name="图片 1" descr="IMG_256"/>
                          <pic:cNvPicPr/>
                        </pic:nvPicPr>
                        <pic:blipFill>
                          <a:blip r:embed="rId8"/>
                          <a:stretch>
                            <a:fillRect/>
                          </a:stretch>
                        </pic:blipFill>
                        <pic:spPr>
                          <a:xfrm>
                            <a:off x="0" y="0"/>
                            <a:ext cx="2779708" cy="2348076"/>
                          </a:xfrm>
                          <a:prstGeom prst="rect">
                            <a:avLst/>
                          </a:prstGeom>
                          <a:noFill/>
                          <a:ln w="9525">
                            <a:noFill/>
                          </a:ln>
                        </pic:spPr>
                      </pic:pic>
                    </a:graphicData>
                  </a:graphic>
                </wp:inline>
              </w:drawing>
            </w:r>
          </w:p>
        </w:tc>
      </w:tr>
      <w:bookmarkEnd w:id="9"/>
    </w:tbl>
    <w:p>
      <w:pPr>
        <w:tabs>
          <w:tab w:val="left" w:pos="210"/>
          <w:tab w:val="left" w:pos="630"/>
        </w:tabs>
        <w:spacing w:line="500" w:lineRule="exact"/>
        <w:ind w:firstLine="560" w:firstLineChars="200"/>
        <w:rPr>
          <w:rFonts w:cs="Arial Narrow"/>
          <w:sz w:val="28"/>
          <w:szCs w:val="28"/>
        </w:rPr>
      </w:pPr>
      <w:r>
        <w:rPr>
          <w:rFonts w:hint="eastAsia" w:cs="Arial Narrow"/>
          <w:sz w:val="28"/>
          <w:szCs w:val="28"/>
        </w:rPr>
        <w:t>根据委托人提供的《委托评估函》【（2022）黔2626执恢100号】、《房屋所有权证》</w:t>
      </w:r>
      <w:r>
        <w:rPr>
          <w:rFonts w:hint="eastAsia"/>
          <w:sz w:val="28"/>
          <w:szCs w:val="28"/>
        </w:rPr>
        <w:t>《协助查询通知书（回执）》</w:t>
      </w:r>
      <w:r>
        <w:rPr>
          <w:rFonts w:hint="eastAsia" w:cs="Arial Narrow"/>
          <w:sz w:val="28"/>
          <w:szCs w:val="28"/>
        </w:rPr>
        <w:t>资料复印件，确定估价对象为</w:t>
      </w:r>
      <w:r>
        <w:rPr>
          <w:rFonts w:hint="eastAsia"/>
          <w:sz w:val="28"/>
          <w:szCs w:val="28"/>
        </w:rPr>
        <w:t>岑巩县新兴滨河路一套住宅房地产(估价对象位置见左图</w:t>
      </w:r>
      <w:r>
        <w:rPr>
          <w:sz w:val="28"/>
          <w:szCs w:val="28"/>
        </w:rPr>
        <w:t>)</w:t>
      </w:r>
      <w:r>
        <w:rPr>
          <w:rFonts w:hint="eastAsia"/>
          <w:sz w:val="28"/>
          <w:szCs w:val="28"/>
        </w:rPr>
        <w:t>，包括建筑物及其分摊的国有建设用地使用权、室内</w:t>
      </w:r>
      <w:r>
        <w:rPr>
          <w:rFonts w:hint="eastAsia" w:cs="Arial Narrow"/>
          <w:sz w:val="28"/>
          <w:szCs w:val="28"/>
        </w:rPr>
        <w:t>固定</w:t>
      </w:r>
      <w:r>
        <w:rPr>
          <w:rFonts w:hint="eastAsia"/>
          <w:sz w:val="28"/>
          <w:szCs w:val="28"/>
        </w:rPr>
        <w:t>装修和公共配套设施，不包括动产、债权债务等其他财产或权益。</w:t>
      </w:r>
    </w:p>
    <w:p>
      <w:pPr>
        <w:spacing w:line="480" w:lineRule="exact"/>
        <w:ind w:firstLine="560" w:firstLineChars="200"/>
        <w:rPr>
          <w:rFonts w:cs="Arial Narrow"/>
          <w:sz w:val="28"/>
          <w:szCs w:val="28"/>
        </w:rPr>
      </w:pPr>
      <w:r>
        <w:rPr>
          <w:rFonts w:hint="eastAsia" w:cs="Arial Narrow"/>
          <w:sz w:val="28"/>
          <w:szCs w:val="28"/>
        </w:rPr>
        <w:t>根据估价对象的《房屋所有权证》</w:t>
      </w:r>
      <w:r>
        <w:rPr>
          <w:rFonts w:hint="eastAsia"/>
          <w:sz w:val="28"/>
          <w:szCs w:val="28"/>
        </w:rPr>
        <w:t>《协助查询通知书（回执）》</w:t>
      </w:r>
      <w:r>
        <w:rPr>
          <w:rFonts w:hint="eastAsia" w:cs="Arial Narrow"/>
          <w:sz w:val="28"/>
          <w:szCs w:val="28"/>
        </w:rPr>
        <w:t>资料复印件，估价对象基本状况如下表：</w:t>
      </w:r>
    </w:p>
    <w:p>
      <w:pPr>
        <w:spacing w:line="500" w:lineRule="exact"/>
        <w:ind w:firstLine="420" w:firstLineChars="200"/>
        <w:jc w:val="center"/>
        <w:rPr>
          <w:rFonts w:cs="Arial Narrow"/>
          <w:i/>
          <w:iCs/>
          <w:color w:val="C00000"/>
          <w:szCs w:val="21"/>
        </w:rPr>
      </w:pPr>
      <w:r>
        <w:rPr>
          <w:rFonts w:hint="eastAsia" w:cs="Arial Narrow"/>
          <w:szCs w:val="21"/>
        </w:rPr>
        <w:t>《房屋所有权证》《协助查询通知书（回执）》登记信息</w:t>
      </w:r>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9"/>
        <w:gridCol w:w="1898"/>
        <w:gridCol w:w="1596"/>
        <w:gridCol w:w="3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3" w:type="pct"/>
            <w:vAlign w:val="center"/>
          </w:tcPr>
          <w:p>
            <w:pPr>
              <w:widowControl/>
              <w:spacing w:line="320" w:lineRule="exact"/>
              <w:jc w:val="center"/>
              <w:rPr>
                <w:kern w:val="0"/>
                <w:szCs w:val="21"/>
              </w:rPr>
            </w:pPr>
            <w:r>
              <w:rPr>
                <w:rFonts w:hint="eastAsia"/>
                <w:kern w:val="0"/>
                <w:szCs w:val="21"/>
              </w:rPr>
              <w:t>房权证号</w:t>
            </w:r>
          </w:p>
        </w:tc>
        <w:tc>
          <w:tcPr>
            <w:tcW w:w="3757" w:type="pct"/>
            <w:gridSpan w:val="3"/>
            <w:vAlign w:val="center"/>
          </w:tcPr>
          <w:p>
            <w:pPr>
              <w:widowControl/>
              <w:spacing w:line="320" w:lineRule="exact"/>
              <w:rPr>
                <w:kern w:val="0"/>
                <w:szCs w:val="21"/>
              </w:rPr>
            </w:pPr>
            <w:r>
              <w:rPr>
                <w:rFonts w:hint="eastAsia"/>
                <w:kern w:val="0"/>
                <w:szCs w:val="21"/>
              </w:rPr>
              <w:t>黔东南房权证岑巩字第201100302号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3" w:type="pct"/>
            <w:vAlign w:val="center"/>
          </w:tcPr>
          <w:p>
            <w:pPr>
              <w:widowControl/>
              <w:spacing w:line="320" w:lineRule="exact"/>
              <w:jc w:val="center"/>
              <w:rPr>
                <w:kern w:val="0"/>
                <w:szCs w:val="21"/>
              </w:rPr>
            </w:pPr>
            <w:r>
              <w:rPr>
                <w:kern w:val="0"/>
                <w:szCs w:val="21"/>
              </w:rPr>
              <w:t>坐落</w:t>
            </w:r>
          </w:p>
        </w:tc>
        <w:tc>
          <w:tcPr>
            <w:tcW w:w="3757" w:type="pct"/>
            <w:gridSpan w:val="3"/>
            <w:vAlign w:val="center"/>
          </w:tcPr>
          <w:p>
            <w:pPr>
              <w:widowControl/>
              <w:spacing w:line="320" w:lineRule="exact"/>
              <w:rPr>
                <w:kern w:val="0"/>
                <w:szCs w:val="21"/>
              </w:rPr>
            </w:pPr>
            <w:r>
              <w:rPr>
                <w:rFonts w:hint="eastAsia"/>
                <w:kern w:val="0"/>
                <w:szCs w:val="21"/>
              </w:rPr>
              <w:t>岑巩县新兴滨河路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3" w:type="pct"/>
            <w:vAlign w:val="center"/>
          </w:tcPr>
          <w:p>
            <w:pPr>
              <w:widowControl/>
              <w:spacing w:line="320" w:lineRule="exact"/>
              <w:jc w:val="center"/>
              <w:rPr>
                <w:kern w:val="0"/>
                <w:szCs w:val="21"/>
              </w:rPr>
            </w:pPr>
            <w:r>
              <w:rPr>
                <w:rFonts w:hint="eastAsia"/>
                <w:kern w:val="0"/>
                <w:szCs w:val="21"/>
              </w:rPr>
              <w:t>房屋所有权人</w:t>
            </w:r>
          </w:p>
        </w:tc>
        <w:tc>
          <w:tcPr>
            <w:tcW w:w="963" w:type="pct"/>
            <w:vAlign w:val="center"/>
          </w:tcPr>
          <w:p>
            <w:pPr>
              <w:widowControl/>
              <w:spacing w:line="320" w:lineRule="exact"/>
              <w:jc w:val="center"/>
              <w:rPr>
                <w:kern w:val="0"/>
                <w:szCs w:val="21"/>
              </w:rPr>
            </w:pPr>
            <w:r>
              <w:rPr>
                <w:rFonts w:hint="eastAsia"/>
                <w:kern w:val="0"/>
                <w:szCs w:val="21"/>
              </w:rPr>
              <w:t>龙芳</w:t>
            </w:r>
          </w:p>
        </w:tc>
        <w:tc>
          <w:tcPr>
            <w:tcW w:w="810" w:type="pct"/>
            <w:vAlign w:val="center"/>
          </w:tcPr>
          <w:p>
            <w:pPr>
              <w:widowControl/>
              <w:spacing w:line="320" w:lineRule="exact"/>
              <w:jc w:val="center"/>
              <w:rPr>
                <w:kern w:val="0"/>
                <w:szCs w:val="21"/>
              </w:rPr>
            </w:pPr>
            <w:r>
              <w:rPr>
                <w:rFonts w:hint="eastAsia"/>
                <w:kern w:val="0"/>
                <w:szCs w:val="21"/>
              </w:rPr>
              <w:t>共有情况</w:t>
            </w:r>
          </w:p>
        </w:tc>
        <w:tc>
          <w:tcPr>
            <w:tcW w:w="1984" w:type="pct"/>
            <w:vAlign w:val="center"/>
          </w:tcPr>
          <w:p>
            <w:pPr>
              <w:widowControl/>
              <w:spacing w:line="320" w:lineRule="exact"/>
              <w:jc w:val="center"/>
              <w:rPr>
                <w:kern w:val="0"/>
                <w:szCs w:val="21"/>
              </w:rPr>
            </w:pPr>
            <w:r>
              <w:rPr>
                <w:rFonts w:hint="eastAsia"/>
                <w:kern w:val="0"/>
                <w:szCs w:val="21"/>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3" w:type="pct"/>
            <w:vAlign w:val="center"/>
          </w:tcPr>
          <w:p>
            <w:pPr>
              <w:widowControl/>
              <w:spacing w:line="320" w:lineRule="exact"/>
              <w:jc w:val="center"/>
              <w:rPr>
                <w:kern w:val="0"/>
                <w:szCs w:val="21"/>
              </w:rPr>
            </w:pPr>
            <w:r>
              <w:rPr>
                <w:kern w:val="0"/>
                <w:szCs w:val="21"/>
              </w:rPr>
              <w:t>建筑面积（㎡）</w:t>
            </w:r>
          </w:p>
        </w:tc>
        <w:tc>
          <w:tcPr>
            <w:tcW w:w="963" w:type="pct"/>
            <w:vAlign w:val="center"/>
          </w:tcPr>
          <w:p>
            <w:pPr>
              <w:widowControl/>
              <w:spacing w:line="320" w:lineRule="exact"/>
              <w:jc w:val="center"/>
              <w:rPr>
                <w:kern w:val="0"/>
                <w:szCs w:val="21"/>
              </w:rPr>
            </w:pPr>
            <w:r>
              <w:rPr>
                <w:rFonts w:hint="eastAsia"/>
                <w:kern w:val="0"/>
                <w:szCs w:val="21"/>
              </w:rPr>
              <w:t>145.12</w:t>
            </w:r>
          </w:p>
        </w:tc>
        <w:tc>
          <w:tcPr>
            <w:tcW w:w="810" w:type="pct"/>
            <w:vAlign w:val="center"/>
          </w:tcPr>
          <w:p>
            <w:pPr>
              <w:widowControl/>
              <w:spacing w:line="320" w:lineRule="exact"/>
              <w:jc w:val="center"/>
              <w:rPr>
                <w:kern w:val="0"/>
                <w:szCs w:val="21"/>
              </w:rPr>
            </w:pPr>
            <w:r>
              <w:rPr>
                <w:rFonts w:hint="eastAsia"/>
                <w:kern w:val="0"/>
                <w:szCs w:val="21"/>
              </w:rPr>
              <w:t>规划用途</w:t>
            </w:r>
          </w:p>
        </w:tc>
        <w:tc>
          <w:tcPr>
            <w:tcW w:w="1984" w:type="pct"/>
            <w:vAlign w:val="center"/>
          </w:tcPr>
          <w:p>
            <w:pPr>
              <w:widowControl/>
              <w:spacing w:line="320" w:lineRule="exact"/>
              <w:jc w:val="center"/>
              <w:rPr>
                <w:kern w:val="0"/>
                <w:szCs w:val="21"/>
              </w:rPr>
            </w:pPr>
            <w:r>
              <w:rPr>
                <w:rFonts w:hint="eastAsia"/>
                <w:kern w:val="0"/>
                <w:szCs w:val="21"/>
              </w:rPr>
              <w:t>成套住宅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3" w:type="pct"/>
            <w:vAlign w:val="center"/>
          </w:tcPr>
          <w:p>
            <w:pPr>
              <w:widowControl/>
              <w:spacing w:line="320" w:lineRule="exact"/>
              <w:jc w:val="center"/>
              <w:rPr>
                <w:kern w:val="0"/>
                <w:szCs w:val="21"/>
              </w:rPr>
            </w:pPr>
            <w:r>
              <w:rPr>
                <w:rFonts w:hint="eastAsia"/>
                <w:kern w:val="0"/>
                <w:szCs w:val="21"/>
              </w:rPr>
              <w:t>登记时间</w:t>
            </w:r>
          </w:p>
        </w:tc>
        <w:tc>
          <w:tcPr>
            <w:tcW w:w="963" w:type="pct"/>
            <w:vAlign w:val="center"/>
          </w:tcPr>
          <w:p>
            <w:pPr>
              <w:widowControl/>
              <w:spacing w:line="320" w:lineRule="exact"/>
              <w:jc w:val="center"/>
              <w:rPr>
                <w:kern w:val="0"/>
                <w:szCs w:val="21"/>
              </w:rPr>
            </w:pPr>
            <w:r>
              <w:rPr>
                <w:rFonts w:hint="eastAsia"/>
                <w:kern w:val="0"/>
                <w:szCs w:val="21"/>
              </w:rPr>
              <w:t>2011-04-22</w:t>
            </w:r>
          </w:p>
        </w:tc>
        <w:tc>
          <w:tcPr>
            <w:tcW w:w="810" w:type="pct"/>
            <w:vAlign w:val="center"/>
          </w:tcPr>
          <w:p>
            <w:pPr>
              <w:widowControl/>
              <w:spacing w:line="320" w:lineRule="exact"/>
              <w:jc w:val="center"/>
              <w:rPr>
                <w:kern w:val="0"/>
                <w:szCs w:val="21"/>
              </w:rPr>
            </w:pPr>
            <w:r>
              <w:rPr>
                <w:rFonts w:hint="eastAsia"/>
                <w:kern w:val="0"/>
                <w:szCs w:val="21"/>
              </w:rPr>
              <w:t>权利性质</w:t>
            </w:r>
          </w:p>
        </w:tc>
        <w:tc>
          <w:tcPr>
            <w:tcW w:w="1984" w:type="pct"/>
            <w:vAlign w:val="center"/>
          </w:tcPr>
          <w:p>
            <w:pPr>
              <w:widowControl/>
              <w:spacing w:line="320" w:lineRule="exact"/>
              <w:jc w:val="center"/>
              <w:rPr>
                <w:kern w:val="0"/>
                <w:szCs w:val="21"/>
              </w:rPr>
            </w:pPr>
            <w:r>
              <w:rPr>
                <w:rFonts w:hint="eastAsia"/>
                <w:kern w:val="0"/>
                <w:szCs w:val="21"/>
              </w:rPr>
              <w:t>国有土地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243" w:type="pct"/>
            <w:vAlign w:val="center"/>
          </w:tcPr>
          <w:p>
            <w:pPr>
              <w:widowControl/>
              <w:spacing w:line="320" w:lineRule="exact"/>
              <w:jc w:val="center"/>
              <w:rPr>
                <w:kern w:val="0"/>
                <w:szCs w:val="21"/>
              </w:rPr>
            </w:pPr>
            <w:r>
              <w:rPr>
                <w:rFonts w:hint="eastAsia"/>
                <w:kern w:val="0"/>
                <w:szCs w:val="21"/>
              </w:rPr>
              <w:t>土地性质</w:t>
            </w:r>
          </w:p>
        </w:tc>
        <w:tc>
          <w:tcPr>
            <w:tcW w:w="963" w:type="pct"/>
            <w:vAlign w:val="center"/>
          </w:tcPr>
          <w:p>
            <w:pPr>
              <w:widowControl/>
              <w:spacing w:line="320" w:lineRule="exact"/>
              <w:jc w:val="center"/>
              <w:rPr>
                <w:kern w:val="0"/>
                <w:szCs w:val="21"/>
              </w:rPr>
            </w:pPr>
            <w:r>
              <w:rPr>
                <w:rFonts w:hint="eastAsia"/>
                <w:kern w:val="0"/>
                <w:szCs w:val="21"/>
              </w:rPr>
              <w:t>城镇住宅用地</w:t>
            </w:r>
          </w:p>
        </w:tc>
        <w:tc>
          <w:tcPr>
            <w:tcW w:w="810" w:type="pct"/>
            <w:vAlign w:val="center"/>
          </w:tcPr>
          <w:p>
            <w:pPr>
              <w:widowControl/>
              <w:spacing w:line="320" w:lineRule="exact"/>
              <w:jc w:val="center"/>
              <w:rPr>
                <w:kern w:val="0"/>
                <w:szCs w:val="21"/>
              </w:rPr>
            </w:pPr>
            <w:r>
              <w:rPr>
                <w:rFonts w:hint="eastAsia"/>
                <w:kern w:val="0"/>
                <w:szCs w:val="21"/>
              </w:rPr>
              <w:t>使用期限</w:t>
            </w:r>
          </w:p>
        </w:tc>
        <w:tc>
          <w:tcPr>
            <w:tcW w:w="1984" w:type="pct"/>
            <w:vAlign w:val="center"/>
          </w:tcPr>
          <w:p>
            <w:pPr>
              <w:widowControl/>
              <w:spacing w:line="320" w:lineRule="exact"/>
              <w:jc w:val="center"/>
              <w:rPr>
                <w:kern w:val="0"/>
                <w:szCs w:val="21"/>
              </w:rPr>
            </w:pPr>
            <w:r>
              <w:rPr>
                <w:rFonts w:hint="eastAsia"/>
                <w:kern w:val="0"/>
                <w:szCs w:val="21"/>
              </w:rPr>
              <w:t>2004年02月09日起至2054年02月08日止</w:t>
            </w:r>
          </w:p>
        </w:tc>
      </w:tr>
    </w:tbl>
    <w:p>
      <w:pPr>
        <w:tabs>
          <w:tab w:val="left" w:pos="210"/>
          <w:tab w:val="left" w:pos="630"/>
        </w:tabs>
        <w:spacing w:line="500" w:lineRule="exact"/>
        <w:ind w:firstLine="560" w:firstLineChars="200"/>
        <w:rPr>
          <w:sz w:val="28"/>
          <w:szCs w:val="28"/>
        </w:rPr>
      </w:pPr>
      <w:r>
        <w:rPr>
          <w:sz w:val="28"/>
          <w:szCs w:val="28"/>
        </w:rPr>
        <w:t>经现场</w:t>
      </w:r>
      <w:r>
        <w:rPr>
          <w:rFonts w:hint="eastAsia"/>
          <w:sz w:val="28"/>
          <w:szCs w:val="28"/>
        </w:rPr>
        <w:t>查勘</w:t>
      </w:r>
      <w:r>
        <w:rPr>
          <w:sz w:val="28"/>
          <w:szCs w:val="28"/>
        </w:rPr>
        <w:t>，估价对象</w:t>
      </w:r>
      <w:r>
        <w:rPr>
          <w:rFonts w:hint="eastAsia"/>
          <w:sz w:val="28"/>
          <w:szCs w:val="28"/>
        </w:rPr>
        <w:t>位于岑巩县新兴滨河路，其</w:t>
      </w:r>
      <w:r>
        <w:rPr>
          <w:sz w:val="28"/>
          <w:szCs w:val="28"/>
        </w:rPr>
        <w:t>户型为</w:t>
      </w:r>
      <w:r>
        <w:rPr>
          <w:rFonts w:hint="eastAsia"/>
          <w:sz w:val="28"/>
          <w:szCs w:val="28"/>
        </w:rPr>
        <w:t>4室2厅1厨2卫1阳台</w:t>
      </w:r>
      <w:r>
        <w:rPr>
          <w:sz w:val="28"/>
          <w:szCs w:val="28"/>
        </w:rPr>
        <w:t>，</w:t>
      </w:r>
      <w:r>
        <w:rPr>
          <w:rFonts w:hint="eastAsia"/>
          <w:sz w:val="28"/>
          <w:szCs w:val="28"/>
        </w:rPr>
        <w:t>客厅及主卧采光面为东南向，室内净高约2.8米，</w:t>
      </w:r>
      <w:r>
        <w:rPr>
          <w:sz w:val="28"/>
          <w:szCs w:val="28"/>
        </w:rPr>
        <w:t>建筑面积</w:t>
      </w:r>
      <w:r>
        <w:rPr>
          <w:rFonts w:hint="eastAsia"/>
          <w:sz w:val="28"/>
          <w:szCs w:val="28"/>
        </w:rPr>
        <w:t>145.12平方米，</w:t>
      </w:r>
      <w:r>
        <w:rPr>
          <w:rFonts w:hint="eastAsia" w:cs="Arial Narrow"/>
          <w:sz w:val="28"/>
          <w:szCs w:val="28"/>
        </w:rPr>
        <w:t>目前处于自用状态。</w:t>
      </w:r>
      <w:r>
        <w:rPr>
          <w:rFonts w:hint="eastAsia"/>
          <w:sz w:val="28"/>
          <w:szCs w:val="28"/>
        </w:rPr>
        <w:t>所在楼栋为鸿盛7号楼，该楼栋共6层（1层为商业，2-6层为住宅），混合结构，经调查该楼栋于2008年建成。</w:t>
      </w:r>
      <w:r>
        <w:rPr>
          <w:sz w:val="28"/>
          <w:szCs w:val="28"/>
        </w:rPr>
        <w:t>建筑外立面</w:t>
      </w:r>
      <w:r>
        <w:rPr>
          <w:rFonts w:hint="eastAsia"/>
          <w:sz w:val="28"/>
          <w:szCs w:val="28"/>
        </w:rPr>
        <w:t>为外墙漆，安装铝合金窗；楼梯间地面贴地砖，墙面及顶面为瓷粉罩面；所在区域通电、</w:t>
      </w:r>
      <w:r>
        <w:rPr>
          <w:sz w:val="28"/>
          <w:szCs w:val="28"/>
        </w:rPr>
        <w:t>通上下水、通讯</w:t>
      </w:r>
      <w:r>
        <w:rPr>
          <w:rFonts w:hint="eastAsia"/>
          <w:sz w:val="28"/>
          <w:szCs w:val="28"/>
        </w:rPr>
        <w:t>、通路。</w:t>
      </w:r>
    </w:p>
    <w:p>
      <w:pPr>
        <w:tabs>
          <w:tab w:val="left" w:pos="210"/>
          <w:tab w:val="left" w:pos="630"/>
        </w:tabs>
        <w:spacing w:line="500" w:lineRule="exact"/>
        <w:ind w:firstLine="560" w:firstLineChars="200"/>
        <w:rPr>
          <w:rFonts w:cs="Arial Narrow"/>
          <w:sz w:val="28"/>
          <w:szCs w:val="28"/>
        </w:rPr>
      </w:pPr>
      <w:bookmarkStart w:id="10" w:name="_Toc47874171"/>
      <w:bookmarkStart w:id="11" w:name="_Toc65065888"/>
      <w:r>
        <w:rPr>
          <w:rFonts w:hint="eastAsia" w:cs="Arial Narrow"/>
          <w:sz w:val="28"/>
          <w:szCs w:val="28"/>
        </w:rPr>
        <w:t>室内装修情况：入户安装防盗门，其余房间安装成品套门；客厅和餐厅地面铺强化木地板，墙面刷瓷粉乳胶漆，顶面局部为石膏板吊顶、整体为瓷粉乳胶漆罩面；卧室地面铺强化木地板，墙面及顶面为瓷粉乳胶漆罩面，部分卧室安装整体衣柜；厨房和卫生间地面贴地砖，墙面贴墙砖，顶面为铝扣板吊顶，厨房安装地柜、吊柜和成品灶台，卫生间安装成品洗脸台、成品洗脸盆、蹲便器和坐便器。室内水电暗敷。室内装修维护保养情况一般。</w:t>
      </w:r>
    </w:p>
    <w:p>
      <w:pPr>
        <w:tabs>
          <w:tab w:val="left" w:pos="210"/>
          <w:tab w:val="left" w:pos="630"/>
        </w:tabs>
        <w:spacing w:line="480" w:lineRule="exact"/>
        <w:ind w:firstLine="560" w:firstLineChars="200"/>
        <w:jc w:val="left"/>
        <w:outlineLvl w:val="1"/>
        <w:rPr>
          <w:b/>
          <w:bCs/>
          <w:sz w:val="28"/>
          <w:szCs w:val="28"/>
        </w:rPr>
      </w:pPr>
      <w:r>
        <w:rPr>
          <w:rFonts w:hint="eastAsia"/>
          <w:b/>
          <w:bCs/>
          <w:sz w:val="28"/>
          <w:szCs w:val="28"/>
        </w:rPr>
        <w:t>三、价值时点</w:t>
      </w:r>
      <w:bookmarkEnd w:id="10"/>
      <w:bookmarkEnd w:id="11"/>
    </w:p>
    <w:p>
      <w:pPr>
        <w:tabs>
          <w:tab w:val="left" w:pos="210"/>
          <w:tab w:val="left" w:pos="630"/>
        </w:tabs>
        <w:spacing w:line="500" w:lineRule="exact"/>
        <w:ind w:firstLine="560" w:firstLineChars="200"/>
        <w:rPr>
          <w:rFonts w:cs="Arial Narrow"/>
          <w:sz w:val="28"/>
          <w:szCs w:val="28"/>
        </w:rPr>
      </w:pPr>
      <w:r>
        <w:rPr>
          <w:rFonts w:hint="eastAsia" w:cs="Arial Narrow"/>
          <w:sz w:val="28"/>
          <w:szCs w:val="28"/>
        </w:rPr>
        <w:t>委托人提供的《委托评估函》【（2022）黔2626执恢100号】未载明价值时点，结合《房地产估价规范》【GB/T50291-2015】，确定以现场查勘完成之日2022年08月31日为价值时点。</w:t>
      </w:r>
    </w:p>
    <w:p>
      <w:pPr>
        <w:tabs>
          <w:tab w:val="left" w:pos="210"/>
          <w:tab w:val="left" w:pos="630"/>
        </w:tabs>
        <w:spacing w:line="480" w:lineRule="exact"/>
        <w:ind w:firstLine="560" w:firstLineChars="200"/>
        <w:jc w:val="left"/>
        <w:outlineLvl w:val="1"/>
        <w:rPr>
          <w:b/>
          <w:bCs/>
          <w:sz w:val="28"/>
          <w:szCs w:val="28"/>
        </w:rPr>
      </w:pPr>
      <w:bookmarkStart w:id="12" w:name="_Toc47874172"/>
      <w:bookmarkStart w:id="13" w:name="_Toc65065889"/>
      <w:r>
        <w:rPr>
          <w:rFonts w:hint="eastAsia"/>
          <w:b/>
          <w:bCs/>
          <w:sz w:val="28"/>
          <w:szCs w:val="28"/>
        </w:rPr>
        <w:t>四、价值类型</w:t>
      </w:r>
      <w:bookmarkEnd w:id="12"/>
      <w:bookmarkEnd w:id="13"/>
    </w:p>
    <w:p>
      <w:pPr>
        <w:tabs>
          <w:tab w:val="left" w:pos="210"/>
          <w:tab w:val="left" w:pos="630"/>
        </w:tabs>
        <w:spacing w:line="500" w:lineRule="exact"/>
        <w:ind w:firstLine="560" w:firstLineChars="200"/>
        <w:rPr>
          <w:bCs/>
          <w:sz w:val="28"/>
          <w:szCs w:val="28"/>
        </w:rPr>
      </w:pPr>
      <w:r>
        <w:rPr>
          <w:rFonts w:hint="eastAsia" w:cs="Arial Narrow"/>
          <w:sz w:val="28"/>
          <w:szCs w:val="28"/>
        </w:rPr>
        <w:t>根据委托人提供的《委托评估函》【（2022）黔2626执恢100号】，结合</w:t>
      </w:r>
      <w:bookmarkStart w:id="14" w:name="_Hlk81322835"/>
      <w:r>
        <w:rPr>
          <w:rFonts w:hint="eastAsia"/>
          <w:bCs/>
          <w:sz w:val="28"/>
          <w:szCs w:val="28"/>
        </w:rPr>
        <w:t>《房地产估价规范》</w:t>
      </w:r>
      <w:r>
        <w:rPr>
          <w:rFonts w:hint="eastAsia"/>
          <w:sz w:val="28"/>
          <w:szCs w:val="28"/>
        </w:rPr>
        <w:t>【GB/T50291-2015】</w:t>
      </w:r>
      <w:bookmarkEnd w:id="14"/>
      <w:r>
        <w:rPr>
          <w:rFonts w:hint="eastAsia" w:cs="Arial Narrow"/>
          <w:sz w:val="28"/>
          <w:szCs w:val="28"/>
        </w:rPr>
        <w:t>，确定本次估价采用的价值类型为市场价值。</w:t>
      </w:r>
    </w:p>
    <w:p>
      <w:pPr>
        <w:tabs>
          <w:tab w:val="left" w:pos="210"/>
          <w:tab w:val="left" w:pos="630"/>
        </w:tabs>
        <w:spacing w:line="480" w:lineRule="exact"/>
        <w:ind w:firstLine="560" w:firstLineChars="200"/>
        <w:jc w:val="left"/>
        <w:outlineLvl w:val="1"/>
        <w:rPr>
          <w:b/>
          <w:bCs/>
          <w:sz w:val="28"/>
          <w:szCs w:val="28"/>
        </w:rPr>
      </w:pPr>
      <w:bookmarkStart w:id="15" w:name="_Toc47874173"/>
      <w:bookmarkStart w:id="16" w:name="_Toc65065890"/>
      <w:r>
        <w:rPr>
          <w:rFonts w:hint="eastAsia"/>
          <w:b/>
          <w:bCs/>
          <w:sz w:val="28"/>
          <w:szCs w:val="28"/>
        </w:rPr>
        <w:t>五、估价方法</w:t>
      </w:r>
      <w:bookmarkEnd w:id="15"/>
      <w:bookmarkEnd w:id="16"/>
    </w:p>
    <w:p>
      <w:pPr>
        <w:tabs>
          <w:tab w:val="left" w:pos="210"/>
          <w:tab w:val="left" w:pos="630"/>
        </w:tabs>
        <w:spacing w:line="480" w:lineRule="exact"/>
        <w:ind w:left="-4" w:leftChars="-2" w:firstLine="560" w:firstLineChars="200"/>
        <w:jc w:val="left"/>
        <w:rPr>
          <w:bCs/>
          <w:sz w:val="28"/>
          <w:szCs w:val="28"/>
        </w:rPr>
      </w:pPr>
      <w:r>
        <w:rPr>
          <w:rFonts w:hint="eastAsia"/>
          <w:bCs/>
          <w:sz w:val="28"/>
          <w:szCs w:val="28"/>
        </w:rPr>
        <w:t>本次估价</w:t>
      </w:r>
      <w:r>
        <w:rPr>
          <w:rFonts w:hint="eastAsia" w:cs="Arial Narrow"/>
          <w:sz w:val="28"/>
          <w:szCs w:val="28"/>
        </w:rPr>
        <w:t>采用比较法、收益法。</w:t>
      </w:r>
    </w:p>
    <w:p>
      <w:pPr>
        <w:tabs>
          <w:tab w:val="left" w:pos="210"/>
          <w:tab w:val="left" w:pos="630"/>
        </w:tabs>
        <w:spacing w:line="480" w:lineRule="exact"/>
        <w:ind w:firstLine="560" w:firstLineChars="200"/>
        <w:jc w:val="left"/>
        <w:outlineLvl w:val="1"/>
        <w:rPr>
          <w:b/>
          <w:bCs/>
          <w:color w:val="000000"/>
          <w:sz w:val="28"/>
          <w:szCs w:val="28"/>
        </w:rPr>
      </w:pPr>
      <w:bookmarkStart w:id="17" w:name="_Toc47874174"/>
      <w:bookmarkStart w:id="18" w:name="_Toc65065891"/>
      <w:r>
        <w:rPr>
          <w:rFonts w:hint="eastAsia"/>
          <w:b/>
          <w:bCs/>
          <w:color w:val="000000"/>
          <w:sz w:val="28"/>
          <w:szCs w:val="28"/>
        </w:rPr>
        <w:t>六、估价结果</w:t>
      </w:r>
      <w:bookmarkEnd w:id="17"/>
      <w:bookmarkEnd w:id="18"/>
    </w:p>
    <w:p>
      <w:pPr>
        <w:spacing w:line="480" w:lineRule="exact"/>
        <w:ind w:left="-4" w:leftChars="-2" w:firstLine="560" w:firstLineChars="200"/>
        <w:rPr>
          <w:sz w:val="28"/>
          <w:szCs w:val="28"/>
        </w:rPr>
      </w:pPr>
      <w:r>
        <w:rPr>
          <w:rFonts w:hint="eastAsia"/>
          <w:sz w:val="28"/>
          <w:szCs w:val="28"/>
        </w:rPr>
        <w:t>经过实地查勘和市场调查，结合估价目的、估价委托人提供的资料和陈述的有关估价对象情况，遵照法律法规和技术标准，遵循公认的估价原则，按照估价程序，在充分考虑影响估价对象该类房地产价值的各项因素</w:t>
      </w:r>
      <w:r>
        <w:rPr>
          <w:sz w:val="28"/>
          <w:szCs w:val="28"/>
        </w:rPr>
        <w:t>综合分析</w:t>
      </w:r>
      <w:r>
        <w:rPr>
          <w:rFonts w:hint="eastAsia"/>
          <w:sz w:val="28"/>
          <w:szCs w:val="28"/>
        </w:rPr>
        <w:t>的基础上，并满足本次估价的假设和限制条件下，估价对象于价值时点的房地产市场价值为人民币大写(取整</w:t>
      </w:r>
      <w:r>
        <w:rPr>
          <w:sz w:val="28"/>
          <w:szCs w:val="28"/>
        </w:rPr>
        <w:t>)</w:t>
      </w:r>
      <w:r>
        <w:rPr>
          <w:rFonts w:hint="eastAsia"/>
          <w:b/>
          <w:bCs/>
          <w:sz w:val="28"/>
          <w:szCs w:val="28"/>
        </w:rPr>
        <w:t>肆拾捌万玖仟玖佰贰拾伍</w:t>
      </w:r>
      <w:r>
        <w:rPr>
          <w:rFonts w:hint="eastAsia"/>
          <w:sz w:val="28"/>
          <w:szCs w:val="28"/>
        </w:rPr>
        <w:t>元整(</w:t>
      </w:r>
      <w:r>
        <w:rPr>
          <w:sz w:val="28"/>
          <w:szCs w:val="28"/>
        </w:rPr>
        <w:fldChar w:fldCharType="begin"/>
      </w:r>
      <w:r>
        <w:rPr>
          <w:sz w:val="28"/>
          <w:szCs w:val="28"/>
        </w:rPr>
        <w:instrText xml:space="preserve"> </w:instrText>
      </w:r>
      <w:r>
        <w:rPr>
          <w:rFonts w:hint="eastAsia"/>
          <w:sz w:val="28"/>
          <w:szCs w:val="28"/>
        </w:rPr>
        <w:instrText xml:space="preserve">=776910 \# "￥#,##0.00;(￥#,##0.00)"</w:instrText>
      </w:r>
      <w:r>
        <w:rPr>
          <w:sz w:val="28"/>
          <w:szCs w:val="28"/>
        </w:rPr>
        <w:instrText xml:space="preserve"> </w:instrText>
      </w:r>
      <w:r>
        <w:rPr>
          <w:sz w:val="28"/>
          <w:szCs w:val="28"/>
        </w:rPr>
        <w:fldChar w:fldCharType="separate"/>
      </w:r>
      <w:r>
        <w:rPr>
          <w:rFonts w:hint="eastAsia"/>
          <w:sz w:val="28"/>
          <w:szCs w:val="28"/>
        </w:rPr>
        <w:t>￥489,925.00</w:t>
      </w:r>
      <w:r>
        <w:rPr>
          <w:sz w:val="28"/>
          <w:szCs w:val="28"/>
        </w:rPr>
        <w:fldChar w:fldCharType="end"/>
      </w:r>
      <w:r>
        <w:rPr>
          <w:sz w:val="28"/>
          <w:szCs w:val="28"/>
        </w:rPr>
        <w:t>)</w:t>
      </w:r>
      <w:r>
        <w:rPr>
          <w:rFonts w:hint="eastAsia"/>
          <w:b/>
          <w:sz w:val="28"/>
          <w:szCs w:val="28"/>
        </w:rPr>
        <w:t>。</w:t>
      </w:r>
      <w:r>
        <w:rPr>
          <w:rFonts w:hint="eastAsia"/>
          <w:sz w:val="28"/>
          <w:szCs w:val="28"/>
        </w:rPr>
        <w:t>详见下表：</w:t>
      </w:r>
    </w:p>
    <w:tbl>
      <w:tblPr>
        <w:tblStyle w:val="21"/>
        <w:tblW w:w="5000" w:type="pct"/>
        <w:tblInd w:w="0" w:type="dxa"/>
        <w:tblLayout w:type="autofit"/>
        <w:tblCellMar>
          <w:top w:w="0" w:type="dxa"/>
          <w:left w:w="108" w:type="dxa"/>
          <w:bottom w:w="0" w:type="dxa"/>
          <w:right w:w="108" w:type="dxa"/>
        </w:tblCellMar>
      </w:tblPr>
      <w:tblGrid>
        <w:gridCol w:w="735"/>
        <w:gridCol w:w="1159"/>
        <w:gridCol w:w="838"/>
        <w:gridCol w:w="1346"/>
        <w:gridCol w:w="910"/>
        <w:gridCol w:w="1484"/>
        <w:gridCol w:w="1521"/>
        <w:gridCol w:w="1860"/>
      </w:tblGrid>
      <w:tr>
        <w:tblPrEx>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vAlign w:val="center"/>
          </w:tcPr>
          <w:p>
            <w:pPr>
              <w:widowControl/>
              <w:jc w:val="center"/>
              <w:rPr>
                <w:kern w:val="0"/>
                <w:szCs w:val="21"/>
              </w:rPr>
            </w:pPr>
            <w:r>
              <w:rPr>
                <w:kern w:val="0"/>
                <w:szCs w:val="21"/>
              </w:rPr>
              <w:t>估价结果汇总表</w:t>
            </w:r>
          </w:p>
        </w:tc>
      </w:tr>
      <w:tr>
        <w:tblPrEx>
          <w:tblCellMar>
            <w:top w:w="0" w:type="dxa"/>
            <w:left w:w="108" w:type="dxa"/>
            <w:bottom w:w="0" w:type="dxa"/>
            <w:right w:w="108" w:type="dxa"/>
          </w:tblCellMar>
        </w:tblPrEx>
        <w:trPr>
          <w:trHeight w:val="340" w:hRule="atLeast"/>
        </w:trPr>
        <w:tc>
          <w:tcPr>
            <w:tcW w:w="5000" w:type="pct"/>
            <w:gridSpan w:val="8"/>
            <w:tcBorders>
              <w:top w:val="nil"/>
              <w:left w:val="nil"/>
              <w:bottom w:val="single" w:color="auto" w:sz="4" w:space="0"/>
              <w:right w:val="nil"/>
            </w:tcBorders>
            <w:vAlign w:val="center"/>
          </w:tcPr>
          <w:p>
            <w:pPr>
              <w:widowControl/>
              <w:jc w:val="right"/>
              <w:rPr>
                <w:kern w:val="0"/>
                <w:szCs w:val="21"/>
              </w:rPr>
            </w:pPr>
            <w:r>
              <w:rPr>
                <w:kern w:val="0"/>
                <w:szCs w:val="21"/>
              </w:rPr>
              <w:t>金额单位：人民币元</w:t>
            </w:r>
          </w:p>
        </w:tc>
      </w:tr>
      <w:tr>
        <w:tblPrEx>
          <w:tblCellMar>
            <w:top w:w="0" w:type="dxa"/>
            <w:left w:w="108" w:type="dxa"/>
            <w:bottom w:w="0" w:type="dxa"/>
            <w:right w:w="108" w:type="dxa"/>
          </w:tblCellMar>
        </w:tblPrEx>
        <w:trPr>
          <w:trHeight w:val="340" w:hRule="atLeast"/>
        </w:trPr>
        <w:tc>
          <w:tcPr>
            <w:tcW w:w="37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估价对象</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房屋坐落</w:t>
            </w:r>
          </w:p>
        </w:tc>
        <w:tc>
          <w:tcPr>
            <w:tcW w:w="42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权利人</w:t>
            </w:r>
          </w:p>
        </w:tc>
        <w:tc>
          <w:tcPr>
            <w:tcW w:w="68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所在层数/总层数</w:t>
            </w:r>
          </w:p>
        </w:tc>
        <w:tc>
          <w:tcPr>
            <w:tcW w:w="462"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用途</w:t>
            </w:r>
          </w:p>
        </w:tc>
        <w:tc>
          <w:tcPr>
            <w:tcW w:w="75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建筑面积（㎡）</w:t>
            </w:r>
          </w:p>
        </w:tc>
        <w:tc>
          <w:tcPr>
            <w:tcW w:w="1717" w:type="pct"/>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估价</w:t>
            </w:r>
            <w:r>
              <w:rPr>
                <w:kern w:val="0"/>
                <w:szCs w:val="21"/>
              </w:rPr>
              <w:t>值</w:t>
            </w:r>
          </w:p>
        </w:tc>
      </w:tr>
      <w:tr>
        <w:tblPrEx>
          <w:tblCellMar>
            <w:top w:w="0" w:type="dxa"/>
            <w:left w:w="108" w:type="dxa"/>
            <w:bottom w:w="0" w:type="dxa"/>
            <w:right w:w="108" w:type="dxa"/>
          </w:tblCellMar>
        </w:tblPrEx>
        <w:trPr>
          <w:trHeight w:val="340" w:hRule="atLeast"/>
        </w:trPr>
        <w:tc>
          <w:tcPr>
            <w:tcW w:w="37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2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6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6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75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772" w:type="pct"/>
            <w:tcBorders>
              <w:top w:val="nil"/>
              <w:left w:val="nil"/>
              <w:bottom w:val="single" w:color="auto" w:sz="4" w:space="0"/>
              <w:right w:val="single" w:color="auto" w:sz="4" w:space="0"/>
            </w:tcBorders>
            <w:vAlign w:val="center"/>
          </w:tcPr>
          <w:p>
            <w:pPr>
              <w:widowControl/>
              <w:jc w:val="center"/>
              <w:rPr>
                <w:kern w:val="0"/>
                <w:szCs w:val="21"/>
              </w:rPr>
            </w:pPr>
            <w:r>
              <w:rPr>
                <w:kern w:val="0"/>
                <w:szCs w:val="21"/>
              </w:rPr>
              <w:t>单价</w:t>
            </w:r>
          </w:p>
          <w:p>
            <w:pPr>
              <w:widowControl/>
              <w:jc w:val="center"/>
              <w:rPr>
                <w:kern w:val="0"/>
                <w:szCs w:val="21"/>
              </w:rPr>
            </w:pPr>
            <w:r>
              <w:rPr>
                <w:rFonts w:hint="eastAsia"/>
                <w:kern w:val="0"/>
                <w:szCs w:val="21"/>
              </w:rPr>
              <w:t>(</w:t>
            </w:r>
            <w:r>
              <w:rPr>
                <w:kern w:val="0"/>
                <w:szCs w:val="21"/>
              </w:rPr>
              <w:t>元/㎡</w:t>
            </w:r>
            <w:r>
              <w:rPr>
                <w:rFonts w:hint="eastAsia"/>
                <w:kern w:val="0"/>
                <w:szCs w:val="21"/>
              </w:rPr>
              <w:t>)</w:t>
            </w:r>
          </w:p>
        </w:tc>
        <w:tc>
          <w:tcPr>
            <w:tcW w:w="945" w:type="pct"/>
            <w:tcBorders>
              <w:top w:val="nil"/>
              <w:left w:val="nil"/>
              <w:bottom w:val="single" w:color="auto" w:sz="4" w:space="0"/>
              <w:right w:val="single" w:color="auto" w:sz="4" w:space="0"/>
            </w:tcBorders>
            <w:vAlign w:val="center"/>
          </w:tcPr>
          <w:p>
            <w:pPr>
              <w:widowControl/>
              <w:jc w:val="center"/>
              <w:rPr>
                <w:kern w:val="0"/>
                <w:szCs w:val="21"/>
              </w:rPr>
            </w:pPr>
            <w:r>
              <w:rPr>
                <w:kern w:val="0"/>
                <w:szCs w:val="21"/>
              </w:rPr>
              <w:t>总价</w:t>
            </w:r>
          </w:p>
          <w:p>
            <w:pPr>
              <w:widowControl/>
              <w:jc w:val="center"/>
              <w:rPr>
                <w:kern w:val="0"/>
                <w:szCs w:val="21"/>
              </w:rPr>
            </w:pPr>
            <w:r>
              <w:rPr>
                <w:rFonts w:hint="eastAsia"/>
                <w:kern w:val="0"/>
                <w:szCs w:val="21"/>
              </w:rPr>
              <w:t>(</w:t>
            </w:r>
            <w:r>
              <w:rPr>
                <w:kern w:val="0"/>
                <w:szCs w:val="21"/>
              </w:rPr>
              <w:t>元，取整</w:t>
            </w:r>
            <w:r>
              <w:rPr>
                <w:rFonts w:hint="eastAsia"/>
                <w:kern w:val="0"/>
                <w:szCs w:val="21"/>
              </w:rPr>
              <w:t>)</w:t>
            </w:r>
          </w:p>
        </w:tc>
      </w:tr>
      <w:tr>
        <w:tblPrEx>
          <w:tblCellMar>
            <w:top w:w="0" w:type="dxa"/>
            <w:left w:w="108" w:type="dxa"/>
            <w:bottom w:w="0" w:type="dxa"/>
            <w:right w:w="108" w:type="dxa"/>
          </w:tblCellMar>
        </w:tblPrEx>
        <w:trPr>
          <w:trHeight w:val="340" w:hRule="atLeast"/>
        </w:trPr>
        <w:tc>
          <w:tcPr>
            <w:tcW w:w="373" w:type="pc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w:t>
            </w:r>
          </w:p>
        </w:tc>
        <w:tc>
          <w:tcPr>
            <w:tcW w:w="588"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岑巩县新兴滨河路</w:t>
            </w:r>
          </w:p>
        </w:tc>
        <w:tc>
          <w:tcPr>
            <w:tcW w:w="425"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龙芳</w:t>
            </w:r>
          </w:p>
        </w:tc>
        <w:tc>
          <w:tcPr>
            <w:tcW w:w="683"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第4层/6层</w:t>
            </w:r>
          </w:p>
        </w:tc>
        <w:tc>
          <w:tcPr>
            <w:tcW w:w="462"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成套</w:t>
            </w:r>
          </w:p>
          <w:p>
            <w:pPr>
              <w:widowControl/>
              <w:jc w:val="center"/>
              <w:rPr>
                <w:kern w:val="0"/>
                <w:szCs w:val="21"/>
              </w:rPr>
            </w:pPr>
            <w:r>
              <w:rPr>
                <w:kern w:val="0"/>
                <w:szCs w:val="21"/>
              </w:rPr>
              <w:t>住宅</w:t>
            </w:r>
          </w:p>
        </w:tc>
        <w:tc>
          <w:tcPr>
            <w:tcW w:w="753"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145.12</w:t>
            </w:r>
          </w:p>
        </w:tc>
        <w:tc>
          <w:tcPr>
            <w:tcW w:w="772"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3,376.00</w:t>
            </w:r>
          </w:p>
        </w:tc>
        <w:tc>
          <w:tcPr>
            <w:tcW w:w="945" w:type="pct"/>
            <w:tcBorders>
              <w:top w:val="nil"/>
              <w:left w:val="nil"/>
              <w:bottom w:val="single" w:color="auto" w:sz="4" w:space="0"/>
              <w:right w:val="single" w:color="auto" w:sz="4" w:space="0"/>
            </w:tcBorders>
            <w:vAlign w:val="center"/>
          </w:tcPr>
          <w:p>
            <w:pPr>
              <w:widowControl/>
              <w:jc w:val="center"/>
              <w:rPr>
                <w:b/>
                <w:bCs/>
                <w:kern w:val="0"/>
                <w:szCs w:val="21"/>
              </w:rPr>
            </w:pPr>
            <w:r>
              <w:rPr>
                <w:rFonts w:hint="eastAsia"/>
                <w:b/>
                <w:bCs/>
                <w:kern w:val="0"/>
                <w:szCs w:val="21"/>
              </w:rPr>
              <w:t>489,925.00</w:t>
            </w:r>
          </w:p>
        </w:tc>
      </w:tr>
    </w:tbl>
    <w:p>
      <w:pPr>
        <w:spacing w:line="530" w:lineRule="exact"/>
        <w:ind w:left="-4" w:leftChars="-2" w:firstLine="560" w:firstLineChars="200"/>
        <w:outlineLvl w:val="1"/>
        <w:rPr>
          <w:b/>
          <w:bCs/>
          <w:sz w:val="28"/>
        </w:rPr>
      </w:pPr>
      <w:bookmarkStart w:id="19" w:name="_Toc47874175"/>
      <w:bookmarkStart w:id="20" w:name="_Toc65065892"/>
      <w:r>
        <w:rPr>
          <w:rFonts w:hint="eastAsia"/>
          <w:b/>
          <w:bCs/>
          <w:sz w:val="28"/>
        </w:rPr>
        <w:t>七、特别提示</w:t>
      </w:r>
      <w:bookmarkEnd w:id="19"/>
      <w:bookmarkEnd w:id="20"/>
    </w:p>
    <w:p>
      <w:pPr>
        <w:pStyle w:val="10"/>
        <w:numPr>
          <w:ilvl w:val="0"/>
          <w:numId w:val="1"/>
        </w:numPr>
        <w:tabs>
          <w:tab w:val="left" w:pos="210"/>
        </w:tabs>
        <w:spacing w:line="500" w:lineRule="exact"/>
        <w:ind w:left="0" w:firstLine="560" w:firstLineChars="200"/>
        <w:rPr>
          <w:rFonts w:ascii="Times New Roman" w:hAnsi="Times New Roman"/>
          <w:bCs/>
          <w:sz w:val="28"/>
        </w:rPr>
      </w:pPr>
      <w:r>
        <w:rPr>
          <w:rFonts w:hint="eastAsia" w:ascii="Times New Roman" w:hAnsi="Times New Roman"/>
          <w:bCs/>
          <w:sz w:val="28"/>
        </w:rPr>
        <w:t>估价结果仅为人民法院确定财产处置参考价服务，不是估价对象处置可实现的成交价格，也不应当被视为对估价对象处置成交价格的保证。</w:t>
      </w:r>
    </w:p>
    <w:p>
      <w:pPr>
        <w:pStyle w:val="10"/>
        <w:numPr>
          <w:ilvl w:val="0"/>
          <w:numId w:val="1"/>
        </w:numPr>
        <w:tabs>
          <w:tab w:val="left" w:pos="210"/>
        </w:tabs>
        <w:spacing w:line="500" w:lineRule="exact"/>
        <w:ind w:left="0" w:firstLine="560" w:firstLineChars="200"/>
        <w:rPr>
          <w:rFonts w:ascii="Times New Roman" w:hAnsi="Times New Roman"/>
          <w:bCs/>
          <w:sz w:val="28"/>
        </w:rPr>
      </w:pPr>
      <w:r>
        <w:rPr>
          <w:rFonts w:hint="eastAsia" w:ascii="Times New Roman" w:hAnsi="Times New Roman"/>
          <w:bCs/>
          <w:sz w:val="28"/>
        </w:rPr>
        <w:t>财产拍卖或者变卖之日与价值时点不一致，可能导致估价结果对应的估价对象状况、房地产市场状况等与财产拍卖或者变卖时的相应状况不一致，发生明显变化的，估价结果应当进行相应调整后才可使用。</w:t>
      </w:r>
    </w:p>
    <w:p>
      <w:pPr>
        <w:pStyle w:val="10"/>
        <w:numPr>
          <w:ilvl w:val="0"/>
          <w:numId w:val="1"/>
        </w:numPr>
        <w:tabs>
          <w:tab w:val="left" w:pos="210"/>
        </w:tabs>
        <w:spacing w:line="500" w:lineRule="exact"/>
        <w:ind w:left="0" w:firstLine="560" w:firstLineChars="200"/>
        <w:rPr>
          <w:rFonts w:ascii="Times New Roman" w:hAnsi="Times New Roman"/>
          <w:bCs/>
          <w:sz w:val="28"/>
        </w:rPr>
      </w:pPr>
      <w:r>
        <w:rPr>
          <w:rFonts w:hint="eastAsia" w:ascii="Times New Roman" w:hAnsi="Times New Roman"/>
          <w:bCs/>
          <w:sz w:val="28"/>
        </w:rPr>
        <w:t>在估价报告使用期限或者估价结果有效期内，估价报告或者估价结果未使用之前，如果估价对象状况或者房地产市场状况发生明显变化的，估价结果应当进行相应调整后才可使用。</w:t>
      </w:r>
    </w:p>
    <w:p>
      <w:pPr>
        <w:pStyle w:val="10"/>
        <w:numPr>
          <w:ilvl w:val="0"/>
          <w:numId w:val="1"/>
        </w:numPr>
        <w:tabs>
          <w:tab w:val="left" w:pos="210"/>
        </w:tabs>
        <w:spacing w:line="500" w:lineRule="exact"/>
        <w:ind w:left="0" w:firstLine="560" w:firstLineChars="200"/>
        <w:rPr>
          <w:rFonts w:ascii="Times New Roman" w:hAnsi="Times New Roman"/>
          <w:bCs/>
          <w:sz w:val="28"/>
        </w:rPr>
      </w:pPr>
      <w:r>
        <w:rPr>
          <w:rFonts w:hint="eastAsia" w:ascii="Times New Roman" w:hAnsi="Times New Roman"/>
          <w:bCs/>
          <w:sz w:val="28"/>
        </w:rPr>
        <w:t>根据《最高人民法院关于人民法院确定财产处置参考价若干问题的规定》【2018年9月1日实施】第二十三条，当事人、利害关系人收到评估报告后五日内可对评估报告的参照标准、计算方法或者评估结果等向岑巩县人民法院提出书面异议；当事人、利害关系人对我公司作出的说明仍有异议的，可以通过人民法院委托评估行业组织进行专业技术评审。</w:t>
      </w:r>
    </w:p>
    <w:p>
      <w:pPr>
        <w:pStyle w:val="10"/>
        <w:numPr>
          <w:ilvl w:val="0"/>
          <w:numId w:val="1"/>
        </w:numPr>
        <w:tabs>
          <w:tab w:val="left" w:pos="210"/>
        </w:tabs>
        <w:spacing w:line="500" w:lineRule="exact"/>
        <w:ind w:left="0" w:firstLine="560" w:firstLineChars="200"/>
        <w:rPr>
          <w:rFonts w:ascii="Times New Roman" w:hAnsi="Times New Roman"/>
          <w:bCs/>
          <w:sz w:val="28"/>
        </w:rPr>
      </w:pPr>
      <w:r>
        <w:rPr>
          <w:rFonts w:hint="eastAsia" w:ascii="Times New Roman" w:hAnsi="Times New Roman"/>
          <w:bCs/>
          <w:sz w:val="28"/>
        </w:rPr>
        <w:t>本次估价现场实地查勘工作：记录表由我公司注册房地产估价师杨再成填写，签字人员为委托人代表、申请人代表、被执行人以及我公司注册房地产估价师杨再成。</w:t>
      </w:r>
    </w:p>
    <w:p>
      <w:pPr>
        <w:pStyle w:val="10"/>
        <w:numPr>
          <w:ilvl w:val="0"/>
          <w:numId w:val="1"/>
        </w:numPr>
        <w:tabs>
          <w:tab w:val="left" w:pos="210"/>
        </w:tabs>
        <w:spacing w:line="500" w:lineRule="exact"/>
        <w:ind w:left="0" w:firstLine="560" w:firstLineChars="200"/>
        <w:rPr>
          <w:rFonts w:ascii="Times New Roman" w:hAnsi="Times New Roman"/>
          <w:bCs/>
          <w:sz w:val="28"/>
        </w:rPr>
      </w:pPr>
      <w:r>
        <w:rPr>
          <w:rFonts w:ascii="Times New Roman" w:hAnsi="Times New Roman"/>
          <w:bCs/>
          <w:sz w:val="28"/>
          <w:szCs w:val="28"/>
        </w:rPr>
        <w:t>本次评估，假定估价对象不存在</w:t>
      </w:r>
      <w:r>
        <w:rPr>
          <w:rFonts w:hint="eastAsia" w:ascii="Times New Roman" w:hAnsi="Times New Roman"/>
          <w:bCs/>
          <w:sz w:val="28"/>
          <w:szCs w:val="28"/>
        </w:rPr>
        <w:t>租赁权、</w:t>
      </w:r>
      <w:r>
        <w:rPr>
          <w:rFonts w:ascii="Times New Roman" w:hAnsi="Times New Roman"/>
          <w:bCs/>
          <w:sz w:val="28"/>
          <w:szCs w:val="28"/>
        </w:rPr>
        <w:t>用益物权及占有使用情况。</w:t>
      </w:r>
    </w:p>
    <w:p>
      <w:pPr>
        <w:pStyle w:val="10"/>
        <w:numPr>
          <w:ilvl w:val="0"/>
          <w:numId w:val="1"/>
        </w:numPr>
        <w:tabs>
          <w:tab w:val="left" w:pos="210"/>
        </w:tabs>
        <w:spacing w:line="500" w:lineRule="exact"/>
        <w:ind w:left="0" w:firstLine="560" w:firstLineChars="200"/>
        <w:rPr>
          <w:rFonts w:ascii="Times New Roman" w:hAnsi="Times New Roman"/>
          <w:bCs/>
          <w:sz w:val="28"/>
        </w:rPr>
      </w:pPr>
      <w:r>
        <w:rPr>
          <w:rFonts w:hint="eastAsia" w:ascii="Times New Roman" w:hAnsi="Times New Roman"/>
          <w:bCs/>
          <w:sz w:val="28"/>
        </w:rPr>
        <w:t>估价结果不含增值税及附加，同时不考虑评估费、拍卖费、诉讼费、律师费等财产处置费用对估价结果的影响。</w:t>
      </w:r>
    </w:p>
    <w:p>
      <w:pPr>
        <w:pStyle w:val="10"/>
        <w:tabs>
          <w:tab w:val="left" w:pos="210"/>
        </w:tabs>
        <w:spacing w:line="480" w:lineRule="exact"/>
        <w:ind w:firstLine="2380" w:firstLineChars="850"/>
        <w:rPr>
          <w:rFonts w:ascii="Times New Roman" w:hAnsi="Times New Roman"/>
          <w:bCs/>
          <w:sz w:val="28"/>
        </w:rPr>
      </w:pPr>
    </w:p>
    <w:p>
      <w:pPr>
        <w:pStyle w:val="10"/>
        <w:tabs>
          <w:tab w:val="left" w:pos="210"/>
        </w:tabs>
        <w:spacing w:line="480" w:lineRule="exact"/>
        <w:ind w:firstLine="2380" w:firstLineChars="850"/>
        <w:rPr>
          <w:rFonts w:ascii="Times New Roman" w:hAnsi="Times New Roman"/>
          <w:bCs/>
          <w:sz w:val="28"/>
        </w:rPr>
      </w:pPr>
      <w:r>
        <w:rPr>
          <w:rFonts w:hint="eastAsia" w:ascii="Times New Roman" w:hAnsi="Times New Roman"/>
          <w:bCs/>
          <w:sz w:val="28"/>
        </w:rPr>
        <w:t>此函</w:t>
      </w:r>
    </w:p>
    <w:p>
      <w:pPr>
        <w:spacing w:line="700" w:lineRule="exact"/>
        <w:rPr>
          <w:sz w:val="28"/>
          <w:szCs w:val="28"/>
        </w:rPr>
      </w:pPr>
      <w:r>
        <w:rPr>
          <w:rFonts w:hint="eastAsia"/>
          <w:sz w:val="28"/>
          <w:szCs w:val="28"/>
        </w:rPr>
        <w:t xml:space="preserve">                                   法定代表人：</w:t>
      </w:r>
    </w:p>
    <w:p>
      <w:pPr>
        <w:tabs>
          <w:tab w:val="left" w:pos="1498"/>
        </w:tabs>
        <w:spacing w:line="700" w:lineRule="exact"/>
        <w:ind w:firstLine="4900" w:firstLineChars="1750"/>
        <w:rPr>
          <w:sz w:val="28"/>
          <w:szCs w:val="28"/>
        </w:rPr>
      </w:pPr>
      <w:r>
        <w:rPr>
          <w:rFonts w:hint="eastAsia"/>
          <w:sz w:val="28"/>
          <w:szCs w:val="28"/>
        </w:rPr>
        <w:t xml:space="preserve">贵州桑立房地产资产评估有限公司 </w:t>
      </w:r>
    </w:p>
    <w:p>
      <w:pPr>
        <w:tabs>
          <w:tab w:val="left" w:pos="1498"/>
        </w:tabs>
        <w:spacing w:line="700" w:lineRule="exact"/>
        <w:ind w:firstLine="4900" w:firstLineChars="1750"/>
        <w:jc w:val="left"/>
        <w:rPr>
          <w:sz w:val="28"/>
          <w:szCs w:val="28"/>
        </w:rPr>
      </w:pPr>
      <w:bookmarkStart w:id="21" w:name="_Toc65065893"/>
      <w:r>
        <w:rPr>
          <w:rFonts w:hint="eastAsia"/>
          <w:sz w:val="28"/>
          <w:szCs w:val="28"/>
        </w:rPr>
        <w:t>二〇二二年九月三十日</w:t>
      </w:r>
    </w:p>
    <w:p>
      <w:pPr>
        <w:widowControl/>
        <w:jc w:val="left"/>
        <w:rPr>
          <w:sz w:val="28"/>
          <w:szCs w:val="28"/>
        </w:rPr>
      </w:pPr>
      <w:r>
        <w:rPr>
          <w:sz w:val="28"/>
          <w:szCs w:val="28"/>
        </w:rPr>
        <w:br w:type="page"/>
      </w:r>
    </w:p>
    <w:p>
      <w:pPr>
        <w:tabs>
          <w:tab w:val="left" w:pos="1498"/>
        </w:tabs>
        <w:spacing w:line="100" w:lineRule="exact"/>
        <w:rPr>
          <w:b/>
          <w:color w:val="000000"/>
          <w:sz w:val="32"/>
          <w:szCs w:val="32"/>
        </w:rPr>
      </w:pPr>
    </w:p>
    <w:p>
      <w:pPr>
        <w:tabs>
          <w:tab w:val="left" w:pos="1498"/>
        </w:tabs>
        <w:spacing w:line="700" w:lineRule="exact"/>
        <w:jc w:val="center"/>
        <w:outlineLvl w:val="1"/>
        <w:rPr>
          <w:b/>
          <w:color w:val="000000"/>
          <w:sz w:val="32"/>
          <w:szCs w:val="32"/>
        </w:rPr>
      </w:pPr>
      <w:r>
        <w:rPr>
          <w:rFonts w:hint="eastAsia"/>
          <w:b/>
          <w:color w:val="000000"/>
          <w:sz w:val="32"/>
          <w:szCs w:val="32"/>
        </w:rPr>
        <w:t>估价对象照片</w:t>
      </w:r>
    </w:p>
    <w:p>
      <w:pPr>
        <w:pStyle w:val="10"/>
        <w:tabs>
          <w:tab w:val="left" w:pos="210"/>
        </w:tabs>
        <w:spacing w:line="160" w:lineRule="exact"/>
        <w:jc w:val="center"/>
        <w:rPr>
          <w:rFonts w:ascii="仿宋" w:hAnsi="仿宋" w:eastAsia="仿宋"/>
          <w:color w:val="C00000"/>
          <w:sz w:val="24"/>
        </w:rPr>
      </w:pP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03"/>
        <w:gridCol w:w="3246"/>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76" w:type="pct"/>
            <w:vAlign w:val="center"/>
          </w:tcPr>
          <w:p>
            <w:pPr>
              <w:widowControl/>
              <w:jc w:val="center"/>
              <w:rPr>
                <w:color w:val="000000"/>
                <w:kern w:val="0"/>
                <w:sz w:val="28"/>
                <w:szCs w:val="28"/>
              </w:rPr>
            </w:pPr>
            <w:r>
              <w:rPr>
                <w:rFonts w:hint="eastAsia"/>
                <w:color w:val="000000"/>
                <w:kern w:val="0"/>
                <w:sz w:val="28"/>
                <w:szCs w:val="28"/>
              </w:rPr>
              <w:drawing>
                <wp:inline distT="0" distB="0" distL="114300" distR="114300">
                  <wp:extent cx="1510665" cy="1779905"/>
                  <wp:effectExtent l="0" t="0" r="13335" b="10795"/>
                  <wp:docPr id="50" name="图片 50" descr="IMG_20220831_113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IMG_20220831_113321"/>
                          <pic:cNvPicPr>
                            <a:picLocks noChangeAspect="1"/>
                          </pic:cNvPicPr>
                        </pic:nvPicPr>
                        <pic:blipFill>
                          <a:blip r:embed="rId9"/>
                          <a:stretch>
                            <a:fillRect/>
                          </a:stretch>
                        </pic:blipFill>
                        <pic:spPr>
                          <a:xfrm>
                            <a:off x="0" y="0"/>
                            <a:ext cx="1510665" cy="1779905"/>
                          </a:xfrm>
                          <a:prstGeom prst="rect">
                            <a:avLst/>
                          </a:prstGeom>
                        </pic:spPr>
                      </pic:pic>
                    </a:graphicData>
                  </a:graphic>
                </wp:inline>
              </w:drawing>
            </w:r>
          </w:p>
        </w:tc>
        <w:tc>
          <w:tcPr>
            <w:tcW w:w="1647" w:type="pct"/>
            <w:vAlign w:val="center"/>
          </w:tcPr>
          <w:p>
            <w:pPr>
              <w:widowControl/>
              <w:jc w:val="center"/>
              <w:rPr>
                <w:color w:val="000000"/>
                <w:kern w:val="0"/>
                <w:sz w:val="28"/>
                <w:szCs w:val="28"/>
              </w:rPr>
            </w:pPr>
            <w:r>
              <w:rPr>
                <w:rFonts w:hint="eastAsia"/>
                <w:bCs/>
                <w:color w:val="000000"/>
                <w:kern w:val="0"/>
                <w:sz w:val="15"/>
                <w:szCs w:val="15"/>
              </w:rPr>
              <w:drawing>
                <wp:inline distT="0" distB="0" distL="114300" distR="114300">
                  <wp:extent cx="1548765" cy="1806575"/>
                  <wp:effectExtent l="0" t="0" r="13335" b="3175"/>
                  <wp:docPr id="65" name="图片 65" descr="IMG_20220831_11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IMG_20220831_113045"/>
                          <pic:cNvPicPr>
                            <a:picLocks noChangeAspect="1"/>
                          </pic:cNvPicPr>
                        </pic:nvPicPr>
                        <pic:blipFill>
                          <a:blip r:embed="rId10"/>
                          <a:stretch>
                            <a:fillRect/>
                          </a:stretch>
                        </pic:blipFill>
                        <pic:spPr>
                          <a:xfrm>
                            <a:off x="0" y="0"/>
                            <a:ext cx="1548765" cy="1806575"/>
                          </a:xfrm>
                          <a:prstGeom prst="rect">
                            <a:avLst/>
                          </a:prstGeom>
                        </pic:spPr>
                      </pic:pic>
                    </a:graphicData>
                  </a:graphic>
                </wp:inline>
              </w:drawing>
            </w:r>
          </w:p>
        </w:tc>
        <w:tc>
          <w:tcPr>
            <w:tcW w:w="1676" w:type="pct"/>
            <w:vAlign w:val="center"/>
          </w:tcPr>
          <w:p>
            <w:pPr>
              <w:widowControl/>
              <w:jc w:val="center"/>
            </w:pPr>
            <w:r>
              <w:rPr>
                <w:rFonts w:hint="eastAsia"/>
                <w:color w:val="000000"/>
                <w:kern w:val="0"/>
                <w:sz w:val="28"/>
                <w:szCs w:val="28"/>
              </w:rPr>
              <w:drawing>
                <wp:inline distT="0" distB="0" distL="114300" distR="114300">
                  <wp:extent cx="1450975" cy="1818640"/>
                  <wp:effectExtent l="0" t="0" r="15875" b="10160"/>
                  <wp:docPr id="57" name="图片 57" descr="IMG_20220831_10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IMG_20220831_105644"/>
                          <pic:cNvPicPr>
                            <a:picLocks noChangeAspect="1"/>
                          </pic:cNvPicPr>
                        </pic:nvPicPr>
                        <pic:blipFill>
                          <a:blip r:embed="rId11"/>
                          <a:stretch>
                            <a:fillRect/>
                          </a:stretch>
                        </pic:blipFill>
                        <pic:spPr>
                          <a:xfrm>
                            <a:off x="0" y="0"/>
                            <a:ext cx="1450975" cy="181864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676" w:type="pct"/>
            <w:vAlign w:val="center"/>
          </w:tcPr>
          <w:p>
            <w:pPr>
              <w:widowControl/>
              <w:jc w:val="center"/>
              <w:rPr>
                <w:bCs/>
                <w:color w:val="000000"/>
                <w:kern w:val="0"/>
                <w:sz w:val="15"/>
                <w:szCs w:val="15"/>
              </w:rPr>
            </w:pPr>
            <w:r>
              <w:rPr>
                <w:rFonts w:hint="eastAsia"/>
                <w:bCs/>
                <w:color w:val="000000"/>
                <w:kern w:val="0"/>
                <w:sz w:val="15"/>
                <w:szCs w:val="15"/>
              </w:rPr>
              <w:t>估价对象外观照片</w:t>
            </w:r>
          </w:p>
        </w:tc>
        <w:tc>
          <w:tcPr>
            <w:tcW w:w="1647" w:type="pct"/>
            <w:vAlign w:val="center"/>
          </w:tcPr>
          <w:p>
            <w:pPr>
              <w:widowControl/>
              <w:jc w:val="center"/>
              <w:rPr>
                <w:bCs/>
                <w:color w:val="000000"/>
                <w:kern w:val="0"/>
                <w:sz w:val="15"/>
                <w:szCs w:val="15"/>
              </w:rPr>
            </w:pPr>
            <w:r>
              <w:rPr>
                <w:rFonts w:hint="eastAsia"/>
                <w:bCs/>
                <w:color w:val="000000"/>
                <w:kern w:val="0"/>
                <w:sz w:val="15"/>
                <w:szCs w:val="15"/>
              </w:rPr>
              <w:t>估价对象-入户处</w:t>
            </w:r>
          </w:p>
        </w:tc>
        <w:tc>
          <w:tcPr>
            <w:tcW w:w="1676" w:type="pct"/>
            <w:vAlign w:val="center"/>
          </w:tcPr>
          <w:p>
            <w:pPr>
              <w:widowControl/>
              <w:jc w:val="center"/>
              <w:rPr>
                <w:bCs/>
                <w:color w:val="000000"/>
                <w:kern w:val="0"/>
                <w:sz w:val="15"/>
                <w:szCs w:val="15"/>
              </w:rPr>
            </w:pPr>
            <w:r>
              <w:rPr>
                <w:rFonts w:hint="eastAsia"/>
                <w:bCs/>
                <w:color w:val="000000"/>
                <w:kern w:val="0"/>
                <w:sz w:val="15"/>
                <w:szCs w:val="15"/>
              </w:rPr>
              <w:t>估价对象-客厅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rPr>
              <w:drawing>
                <wp:inline distT="0" distB="0" distL="114300" distR="114300">
                  <wp:extent cx="1469390" cy="1818640"/>
                  <wp:effectExtent l="0" t="0" r="16510" b="10160"/>
                  <wp:docPr id="58" name="图片 58" descr="IMG_20220831_105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IMG_20220831_105617"/>
                          <pic:cNvPicPr>
                            <a:picLocks noChangeAspect="1"/>
                          </pic:cNvPicPr>
                        </pic:nvPicPr>
                        <pic:blipFill>
                          <a:blip r:embed="rId12"/>
                          <a:stretch>
                            <a:fillRect/>
                          </a:stretch>
                        </pic:blipFill>
                        <pic:spPr>
                          <a:xfrm>
                            <a:off x="0" y="0"/>
                            <a:ext cx="1469390" cy="1818640"/>
                          </a:xfrm>
                          <a:prstGeom prst="rect">
                            <a:avLst/>
                          </a:prstGeom>
                        </pic:spPr>
                      </pic:pic>
                    </a:graphicData>
                  </a:graphic>
                </wp:inline>
              </w:drawing>
            </w:r>
          </w:p>
        </w:tc>
        <w:tc>
          <w:tcPr>
            <w:tcW w:w="1647"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drawing>
                <wp:inline distT="0" distB="0" distL="114300" distR="114300">
                  <wp:extent cx="1547495" cy="1840230"/>
                  <wp:effectExtent l="0" t="0" r="14605" b="7620"/>
                  <wp:docPr id="59" name="图片 59" descr="IMG_20220831_11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IMG_20220831_110031"/>
                          <pic:cNvPicPr>
                            <a:picLocks noChangeAspect="1"/>
                          </pic:cNvPicPr>
                        </pic:nvPicPr>
                        <pic:blipFill>
                          <a:blip r:embed="rId13"/>
                          <a:stretch>
                            <a:fillRect/>
                          </a:stretch>
                        </pic:blipFill>
                        <pic:spPr>
                          <a:xfrm>
                            <a:off x="0" y="0"/>
                            <a:ext cx="1547495" cy="1840230"/>
                          </a:xfrm>
                          <a:prstGeom prst="rect">
                            <a:avLst/>
                          </a:prstGeom>
                        </pic:spPr>
                      </pic:pic>
                    </a:graphicData>
                  </a:graphic>
                </wp:inline>
              </w:drawing>
            </w:r>
          </w:p>
        </w:tc>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bCs/>
                <w:color w:val="000000"/>
                <w:kern w:val="0"/>
                <w:sz w:val="15"/>
                <w:szCs w:val="15"/>
              </w:rPr>
              <w:drawing>
                <wp:inline distT="0" distB="0" distL="114300" distR="114300">
                  <wp:extent cx="1475740" cy="1829435"/>
                  <wp:effectExtent l="0" t="0" r="10160" b="18415"/>
                  <wp:docPr id="63" name="图片 63" descr="IMG_20220831_105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IMG_20220831_105928"/>
                          <pic:cNvPicPr>
                            <a:picLocks noChangeAspect="1"/>
                          </pic:cNvPicPr>
                        </pic:nvPicPr>
                        <pic:blipFill>
                          <a:blip r:embed="rId14"/>
                          <a:stretch>
                            <a:fillRect/>
                          </a:stretch>
                        </pic:blipFill>
                        <pic:spPr>
                          <a:xfrm>
                            <a:off x="0" y="0"/>
                            <a:ext cx="1475740" cy="182943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t>估价对象-餐厅</w:t>
            </w:r>
          </w:p>
        </w:tc>
        <w:tc>
          <w:tcPr>
            <w:tcW w:w="1647"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bCs/>
                <w:color w:val="000000"/>
                <w:kern w:val="0"/>
                <w:sz w:val="15"/>
                <w:szCs w:val="15"/>
              </w:rPr>
              <w:t>估价对象</w:t>
            </w:r>
            <w:r>
              <w:rPr>
                <w:rFonts w:hint="eastAsia"/>
                <w:bCs/>
                <w:color w:val="000000"/>
                <w:kern w:val="0"/>
                <w:sz w:val="15"/>
                <w:szCs w:val="15"/>
              </w:rPr>
              <w:t>-主卧</w:t>
            </w:r>
          </w:p>
        </w:tc>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t>估价对象-次卧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rPr>
              <w:drawing>
                <wp:inline distT="0" distB="0" distL="114300" distR="114300">
                  <wp:extent cx="1572895" cy="1826895"/>
                  <wp:effectExtent l="0" t="0" r="8255" b="1905"/>
                  <wp:docPr id="64" name="图片 64" descr="IMG_20220831_105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IMG_20220831_105853"/>
                          <pic:cNvPicPr>
                            <a:picLocks noChangeAspect="1"/>
                          </pic:cNvPicPr>
                        </pic:nvPicPr>
                        <pic:blipFill>
                          <a:blip r:embed="rId15"/>
                          <a:stretch>
                            <a:fillRect/>
                          </a:stretch>
                        </pic:blipFill>
                        <pic:spPr>
                          <a:xfrm>
                            <a:off x="0" y="0"/>
                            <a:ext cx="1572895" cy="1826895"/>
                          </a:xfrm>
                          <a:prstGeom prst="rect">
                            <a:avLst/>
                          </a:prstGeom>
                        </pic:spPr>
                      </pic:pic>
                    </a:graphicData>
                  </a:graphic>
                </wp:inline>
              </w:drawing>
            </w:r>
          </w:p>
        </w:tc>
        <w:tc>
          <w:tcPr>
            <w:tcW w:w="1647"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drawing>
                <wp:inline distT="0" distB="0" distL="114300" distR="114300">
                  <wp:extent cx="1574165" cy="1823720"/>
                  <wp:effectExtent l="0" t="0" r="6985" b="5080"/>
                  <wp:docPr id="66" name="图片 66" descr="IMG_20220831_110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IMG_20220831_110947"/>
                          <pic:cNvPicPr>
                            <a:picLocks noChangeAspect="1"/>
                          </pic:cNvPicPr>
                        </pic:nvPicPr>
                        <pic:blipFill>
                          <a:blip r:embed="rId16"/>
                          <a:stretch>
                            <a:fillRect/>
                          </a:stretch>
                        </pic:blipFill>
                        <pic:spPr>
                          <a:xfrm>
                            <a:off x="0" y="0"/>
                            <a:ext cx="1574165" cy="1823720"/>
                          </a:xfrm>
                          <a:prstGeom prst="rect">
                            <a:avLst/>
                          </a:prstGeom>
                        </pic:spPr>
                      </pic:pic>
                    </a:graphicData>
                  </a:graphic>
                </wp:inline>
              </w:drawing>
            </w:r>
          </w:p>
        </w:tc>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pPr>
            <w:r>
              <w:rPr>
                <w:rFonts w:hint="eastAsia"/>
                <w:bCs/>
                <w:color w:val="000000"/>
                <w:kern w:val="0"/>
                <w:sz w:val="15"/>
                <w:szCs w:val="15"/>
              </w:rPr>
              <w:drawing>
                <wp:inline distT="0" distB="0" distL="114300" distR="114300">
                  <wp:extent cx="1595120" cy="1802130"/>
                  <wp:effectExtent l="0" t="0" r="5080" b="7620"/>
                  <wp:docPr id="62" name="图片 62" descr="IMG_20220831_11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IMG_20220831_110219"/>
                          <pic:cNvPicPr>
                            <a:picLocks noChangeAspect="1"/>
                          </pic:cNvPicPr>
                        </pic:nvPicPr>
                        <pic:blipFill>
                          <a:blip r:embed="rId17"/>
                          <a:stretch>
                            <a:fillRect/>
                          </a:stretch>
                        </pic:blipFill>
                        <pic:spPr>
                          <a:xfrm>
                            <a:off x="0" y="0"/>
                            <a:ext cx="1595120" cy="180213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t>估价对象-次卧</w:t>
            </w:r>
          </w:p>
        </w:tc>
        <w:tc>
          <w:tcPr>
            <w:tcW w:w="1647"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t>估价对象-次卧</w:t>
            </w:r>
          </w:p>
        </w:tc>
        <w:tc>
          <w:tcPr>
            <w:tcW w:w="1676" w:type="pct"/>
            <w:tcBorders>
              <w:top w:val="single" w:color="auto" w:sz="4" w:space="0"/>
              <w:left w:val="single" w:color="auto" w:sz="4" w:space="0"/>
              <w:bottom w:val="single" w:color="auto" w:sz="4" w:space="0"/>
              <w:right w:val="single" w:color="auto" w:sz="4" w:space="0"/>
            </w:tcBorders>
          </w:tcPr>
          <w:p>
            <w:pPr>
              <w:widowControl/>
              <w:jc w:val="center"/>
              <w:rPr>
                <w:bCs/>
                <w:color w:val="000000"/>
                <w:kern w:val="0"/>
                <w:sz w:val="15"/>
                <w:szCs w:val="15"/>
              </w:rPr>
            </w:pPr>
            <w:r>
              <w:rPr>
                <w:bCs/>
                <w:color w:val="000000"/>
                <w:kern w:val="0"/>
                <w:sz w:val="15"/>
                <w:szCs w:val="15"/>
              </w:rPr>
              <w:t>估价对象-</w:t>
            </w:r>
            <w:r>
              <w:rPr>
                <w:rFonts w:hint="eastAsia"/>
                <w:bCs/>
                <w:color w:val="000000"/>
                <w:kern w:val="0"/>
                <w:sz w:val="15"/>
                <w:szCs w:val="15"/>
              </w:rPr>
              <w:t>客卫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bCs/>
                <w:color w:val="000000"/>
                <w:kern w:val="0"/>
                <w:sz w:val="15"/>
                <w:szCs w:val="15"/>
              </w:rPr>
              <w:drawing>
                <wp:inline distT="0" distB="0" distL="114300" distR="114300">
                  <wp:extent cx="1519555" cy="1749425"/>
                  <wp:effectExtent l="0" t="0" r="4445" b="3175"/>
                  <wp:docPr id="61" name="图片 61" descr="IMG_20220831_11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IMG_20220831_110112"/>
                          <pic:cNvPicPr>
                            <a:picLocks noChangeAspect="1"/>
                          </pic:cNvPicPr>
                        </pic:nvPicPr>
                        <pic:blipFill>
                          <a:blip r:embed="rId18"/>
                          <a:stretch>
                            <a:fillRect/>
                          </a:stretch>
                        </pic:blipFill>
                        <pic:spPr>
                          <a:xfrm>
                            <a:off x="0" y="0"/>
                            <a:ext cx="1519555" cy="1749425"/>
                          </a:xfrm>
                          <a:prstGeom prst="rect">
                            <a:avLst/>
                          </a:prstGeom>
                        </pic:spPr>
                      </pic:pic>
                    </a:graphicData>
                  </a:graphic>
                </wp:inline>
              </w:drawing>
            </w:r>
          </w:p>
        </w:tc>
        <w:tc>
          <w:tcPr>
            <w:tcW w:w="1647"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rFonts w:hint="eastAsia"/>
              </w:rPr>
              <w:drawing>
                <wp:inline distT="0" distB="0" distL="114300" distR="114300">
                  <wp:extent cx="1594485" cy="1758315"/>
                  <wp:effectExtent l="0" t="0" r="5715" b="13335"/>
                  <wp:docPr id="54" name="图片 54" descr="IMG_20220831_10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IMG_20220831_105517"/>
                          <pic:cNvPicPr>
                            <a:picLocks noChangeAspect="1"/>
                          </pic:cNvPicPr>
                        </pic:nvPicPr>
                        <pic:blipFill>
                          <a:blip r:embed="rId19"/>
                          <a:stretch>
                            <a:fillRect/>
                          </a:stretch>
                        </pic:blipFill>
                        <pic:spPr>
                          <a:xfrm>
                            <a:off x="0" y="0"/>
                            <a:ext cx="1594485" cy="1758315"/>
                          </a:xfrm>
                          <a:prstGeom prst="rect">
                            <a:avLst/>
                          </a:prstGeom>
                        </pic:spPr>
                      </pic:pic>
                    </a:graphicData>
                  </a:graphic>
                </wp:inline>
              </w:drawing>
            </w:r>
          </w:p>
        </w:tc>
        <w:tc>
          <w:tcPr>
            <w:tcW w:w="1676" w:type="pct"/>
            <w:tcBorders>
              <w:top w:val="single" w:color="auto" w:sz="4" w:space="0"/>
              <w:left w:val="single" w:color="auto" w:sz="4" w:space="0"/>
              <w:bottom w:val="single" w:color="auto" w:sz="4" w:space="0"/>
              <w:right w:val="single" w:color="auto" w:sz="4" w:space="0"/>
            </w:tcBorders>
          </w:tcPr>
          <w:p>
            <w:pPr>
              <w:widowControl/>
              <w:jc w:val="center"/>
              <w:rPr>
                <w:bCs/>
                <w:color w:val="000000"/>
                <w:kern w:val="0"/>
                <w:sz w:val="15"/>
                <w:szCs w:val="15"/>
              </w:rPr>
            </w:pPr>
            <w:r>
              <w:rPr>
                <w:rFonts w:hint="eastAsia"/>
                <w:bCs/>
                <w:color w:val="000000"/>
                <w:kern w:val="0"/>
                <w:sz w:val="15"/>
                <w:szCs w:val="15"/>
              </w:rPr>
              <w:drawing>
                <wp:inline distT="0" distB="0" distL="114300" distR="114300">
                  <wp:extent cx="1565910" cy="1725295"/>
                  <wp:effectExtent l="0" t="0" r="15240" b="8255"/>
                  <wp:docPr id="1" name="图片 1" descr="IMG_20220831_113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0220831_113658"/>
                          <pic:cNvPicPr>
                            <a:picLocks noChangeAspect="1"/>
                          </pic:cNvPicPr>
                        </pic:nvPicPr>
                        <pic:blipFill>
                          <a:blip r:embed="rId20"/>
                          <a:stretch>
                            <a:fillRect/>
                          </a:stretch>
                        </pic:blipFill>
                        <pic:spPr>
                          <a:xfrm>
                            <a:off x="0" y="0"/>
                            <a:ext cx="1565910" cy="172529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1676" w:type="pct"/>
            <w:tcBorders>
              <w:top w:val="single" w:color="auto" w:sz="4" w:space="0"/>
              <w:left w:val="single" w:color="auto" w:sz="4" w:space="0"/>
              <w:bottom w:val="single" w:color="auto" w:sz="4" w:space="0"/>
              <w:right w:val="single" w:color="auto" w:sz="4" w:space="0"/>
            </w:tcBorders>
            <w:vAlign w:val="center"/>
          </w:tcPr>
          <w:p>
            <w:pPr>
              <w:widowControl/>
              <w:jc w:val="center"/>
              <w:rPr>
                <w:bCs/>
                <w:color w:val="000000"/>
                <w:kern w:val="0"/>
                <w:sz w:val="15"/>
                <w:szCs w:val="15"/>
              </w:rPr>
            </w:pPr>
            <w:r>
              <w:rPr>
                <w:bCs/>
                <w:color w:val="000000"/>
                <w:kern w:val="0"/>
                <w:sz w:val="15"/>
                <w:szCs w:val="15"/>
              </w:rPr>
              <w:t>估价对象-</w:t>
            </w:r>
            <w:r>
              <w:rPr>
                <w:rFonts w:hint="eastAsia"/>
                <w:bCs/>
                <w:color w:val="000000"/>
                <w:kern w:val="0"/>
                <w:sz w:val="15"/>
                <w:szCs w:val="15"/>
              </w:rPr>
              <w:t>主卫</w:t>
            </w:r>
          </w:p>
        </w:tc>
        <w:tc>
          <w:tcPr>
            <w:tcW w:w="1647" w:type="pct"/>
            <w:tcBorders>
              <w:top w:val="single" w:color="auto" w:sz="4" w:space="0"/>
              <w:left w:val="single" w:color="auto" w:sz="4" w:space="0"/>
              <w:bottom w:val="single" w:color="auto" w:sz="4" w:space="0"/>
              <w:right w:val="single" w:color="auto" w:sz="4" w:space="0"/>
            </w:tcBorders>
          </w:tcPr>
          <w:p>
            <w:pPr>
              <w:widowControl/>
              <w:jc w:val="center"/>
              <w:rPr>
                <w:bCs/>
                <w:color w:val="000000"/>
                <w:kern w:val="0"/>
                <w:sz w:val="15"/>
                <w:szCs w:val="15"/>
              </w:rPr>
            </w:pPr>
            <w:r>
              <w:rPr>
                <w:bCs/>
                <w:color w:val="000000"/>
                <w:kern w:val="0"/>
                <w:sz w:val="15"/>
                <w:szCs w:val="15"/>
              </w:rPr>
              <w:t>估价对象-</w:t>
            </w:r>
            <w:r>
              <w:rPr>
                <w:rFonts w:hint="eastAsia"/>
                <w:bCs/>
                <w:color w:val="000000"/>
                <w:kern w:val="0"/>
                <w:sz w:val="15"/>
                <w:szCs w:val="15"/>
              </w:rPr>
              <w:t>厨房</w:t>
            </w:r>
          </w:p>
        </w:tc>
        <w:tc>
          <w:tcPr>
            <w:tcW w:w="1676" w:type="pct"/>
            <w:tcBorders>
              <w:top w:val="single" w:color="auto" w:sz="4" w:space="0"/>
              <w:left w:val="single" w:color="auto" w:sz="4" w:space="0"/>
              <w:bottom w:val="single" w:color="auto" w:sz="4" w:space="0"/>
              <w:right w:val="single" w:color="auto" w:sz="4" w:space="0"/>
            </w:tcBorders>
          </w:tcPr>
          <w:p>
            <w:pPr>
              <w:widowControl/>
              <w:jc w:val="center"/>
              <w:rPr>
                <w:bCs/>
                <w:color w:val="000000"/>
                <w:kern w:val="0"/>
                <w:sz w:val="15"/>
                <w:szCs w:val="15"/>
              </w:rPr>
            </w:pPr>
            <w:r>
              <w:rPr>
                <w:rFonts w:hint="eastAsia"/>
                <w:bCs/>
                <w:color w:val="000000"/>
                <w:kern w:val="0"/>
                <w:sz w:val="15"/>
                <w:szCs w:val="15"/>
              </w:rPr>
              <w:t>周边环境</w:t>
            </w:r>
          </w:p>
        </w:tc>
      </w:tr>
    </w:tbl>
    <w:p>
      <w:pPr>
        <w:widowControl/>
        <w:jc w:val="left"/>
        <w:rPr>
          <w:rFonts w:cs="宋体"/>
          <w:kern w:val="0"/>
          <w:szCs w:val="21"/>
        </w:rPr>
      </w:pPr>
    </w:p>
    <w:p>
      <w:pPr>
        <w:spacing w:before="156" w:beforeLines="50" w:after="156" w:afterLines="50" w:line="500" w:lineRule="exact"/>
        <w:jc w:val="center"/>
        <w:outlineLvl w:val="0"/>
      </w:pPr>
      <w:r>
        <w:rPr>
          <w:rFonts w:hint="eastAsia"/>
          <w:b/>
          <w:sz w:val="44"/>
          <w:szCs w:val="44"/>
        </w:rPr>
        <w:t>目  录</w:t>
      </w:r>
      <w:bookmarkEnd w:id="21"/>
      <w:r>
        <w:rPr>
          <w:b/>
          <w:sz w:val="28"/>
          <w:szCs w:val="28"/>
        </w:rPr>
        <w:fldChar w:fldCharType="begin"/>
      </w:r>
      <w:r>
        <w:rPr>
          <w:b/>
          <w:sz w:val="28"/>
          <w:szCs w:val="28"/>
        </w:rPr>
        <w:instrText xml:space="preserve"> </w:instrText>
      </w:r>
      <w:r>
        <w:rPr>
          <w:rFonts w:hint="eastAsia"/>
          <w:b/>
          <w:sz w:val="28"/>
          <w:szCs w:val="28"/>
        </w:rPr>
        <w:instrText xml:space="preserve">TOC \o "1-3" \h \z \u</w:instrText>
      </w:r>
      <w:r>
        <w:rPr>
          <w:b/>
          <w:sz w:val="28"/>
          <w:szCs w:val="28"/>
        </w:rPr>
        <w:instrText xml:space="preserve"> </w:instrText>
      </w:r>
      <w:r>
        <w:rPr>
          <w:b/>
          <w:sz w:val="28"/>
          <w:szCs w:val="28"/>
        </w:rPr>
        <w:fldChar w:fldCharType="separate"/>
      </w:r>
    </w:p>
    <w:p>
      <w:pPr>
        <w:pStyle w:val="16"/>
        <w:rPr>
          <w:rFonts w:ascii="Times New Roman" w:hAnsi="Times New Roman" w:eastAsia="等线"/>
          <w:b/>
          <w:bCs/>
          <w:color w:val="000000"/>
          <w:sz w:val="28"/>
          <w:szCs w:val="28"/>
        </w:rPr>
      </w:pPr>
      <w:r>
        <w:rPr>
          <w:rStyle w:val="28"/>
          <w:rFonts w:ascii="Times New Roman" w:hAnsi="Times New Roman"/>
          <w:b/>
          <w:bCs/>
          <w:color w:val="000000"/>
          <w:sz w:val="28"/>
          <w:szCs w:val="28"/>
        </w:rPr>
        <w:t>一、</w:t>
      </w:r>
      <w:r>
        <w:fldChar w:fldCharType="begin"/>
      </w:r>
      <w:r>
        <w:instrText xml:space="preserve"> HYPERLINK \l "_Toc65065894" </w:instrText>
      </w:r>
      <w:r>
        <w:fldChar w:fldCharType="separate"/>
      </w:r>
      <w:r>
        <w:rPr>
          <w:rStyle w:val="28"/>
          <w:rFonts w:ascii="Times New Roman" w:hAnsi="Times New Roman"/>
          <w:b/>
          <w:bCs/>
          <w:color w:val="000000"/>
          <w:sz w:val="28"/>
          <w:szCs w:val="28"/>
        </w:rPr>
        <w:t>注册房地产估价师声明</w:t>
      </w:r>
      <w:r>
        <w:rPr>
          <w:rFonts w:ascii="Times New Roman" w:hAnsi="Times New Roman"/>
          <w:b/>
          <w:bCs/>
          <w:color w:val="000000"/>
          <w:sz w:val="28"/>
          <w:szCs w:val="28"/>
        </w:rPr>
        <w:tab/>
      </w:r>
      <w:r>
        <w:rPr>
          <w:rFonts w:ascii="Times New Roman" w:hAnsi="Times New Roman"/>
          <w:b/>
          <w:bCs/>
          <w:color w:val="000000"/>
          <w:sz w:val="28"/>
          <w:szCs w:val="28"/>
        </w:rPr>
        <w:fldChar w:fldCharType="begin"/>
      </w:r>
      <w:r>
        <w:rPr>
          <w:rFonts w:ascii="Times New Roman" w:hAnsi="Times New Roman"/>
          <w:b/>
          <w:bCs/>
          <w:color w:val="000000"/>
          <w:sz w:val="28"/>
          <w:szCs w:val="28"/>
        </w:rPr>
        <w:instrText xml:space="preserve"> PAGEREF _Toc65065894 \h </w:instrText>
      </w:r>
      <w:r>
        <w:rPr>
          <w:rFonts w:ascii="Times New Roman" w:hAnsi="Times New Roman"/>
          <w:b/>
          <w:bCs/>
          <w:color w:val="000000"/>
          <w:sz w:val="28"/>
          <w:szCs w:val="28"/>
        </w:rPr>
        <w:fldChar w:fldCharType="separate"/>
      </w:r>
      <w:r>
        <w:rPr>
          <w:rFonts w:ascii="Times New Roman" w:hAnsi="Times New Roman"/>
          <w:b/>
          <w:bCs/>
          <w:color w:val="000000"/>
          <w:sz w:val="28"/>
          <w:szCs w:val="28"/>
        </w:rPr>
        <w:t>6</w:t>
      </w:r>
      <w:r>
        <w:rPr>
          <w:rFonts w:ascii="Times New Roman" w:hAnsi="Times New Roman"/>
          <w:b/>
          <w:bCs/>
          <w:color w:val="000000"/>
          <w:sz w:val="28"/>
          <w:szCs w:val="28"/>
        </w:rPr>
        <w:fldChar w:fldCharType="end"/>
      </w:r>
      <w:r>
        <w:rPr>
          <w:rFonts w:ascii="Times New Roman" w:hAnsi="Times New Roman"/>
          <w:b/>
          <w:bCs/>
          <w:color w:val="000000"/>
          <w:sz w:val="28"/>
          <w:szCs w:val="28"/>
        </w:rPr>
        <w:fldChar w:fldCharType="end"/>
      </w:r>
    </w:p>
    <w:p>
      <w:pPr>
        <w:pStyle w:val="16"/>
        <w:rPr>
          <w:rFonts w:ascii="Times New Roman" w:hAnsi="Times New Roman" w:eastAsia="等线"/>
          <w:b/>
          <w:bCs/>
          <w:color w:val="000000"/>
          <w:sz w:val="28"/>
          <w:szCs w:val="28"/>
        </w:rPr>
      </w:pPr>
      <w:r>
        <w:rPr>
          <w:rStyle w:val="28"/>
          <w:rFonts w:ascii="Times New Roman" w:hAnsi="Times New Roman"/>
          <w:b/>
          <w:bCs/>
          <w:color w:val="000000"/>
          <w:sz w:val="28"/>
          <w:szCs w:val="28"/>
        </w:rPr>
        <w:t>二、</w:t>
      </w:r>
      <w:r>
        <w:fldChar w:fldCharType="begin"/>
      </w:r>
      <w:r>
        <w:instrText xml:space="preserve"> HYPERLINK \l "_Toc65065895" </w:instrText>
      </w:r>
      <w:r>
        <w:fldChar w:fldCharType="separate"/>
      </w:r>
      <w:r>
        <w:rPr>
          <w:rStyle w:val="28"/>
          <w:rFonts w:ascii="Times New Roman" w:hAnsi="Times New Roman"/>
          <w:b/>
          <w:bCs/>
          <w:color w:val="000000"/>
          <w:sz w:val="28"/>
          <w:szCs w:val="28"/>
        </w:rPr>
        <w:t>估价的假设和限制条件</w:t>
      </w:r>
      <w:r>
        <w:rPr>
          <w:rFonts w:ascii="Times New Roman" w:hAnsi="Times New Roman"/>
          <w:b/>
          <w:bCs/>
          <w:color w:val="000000"/>
          <w:sz w:val="28"/>
          <w:szCs w:val="28"/>
        </w:rPr>
        <w:tab/>
      </w:r>
      <w:r>
        <w:rPr>
          <w:rFonts w:ascii="Times New Roman" w:hAnsi="Times New Roman"/>
          <w:b/>
          <w:bCs/>
          <w:color w:val="000000"/>
          <w:sz w:val="28"/>
          <w:szCs w:val="28"/>
        </w:rPr>
        <w:fldChar w:fldCharType="begin"/>
      </w:r>
      <w:r>
        <w:rPr>
          <w:rFonts w:ascii="Times New Roman" w:hAnsi="Times New Roman"/>
          <w:b/>
          <w:bCs/>
          <w:color w:val="000000"/>
          <w:sz w:val="28"/>
          <w:szCs w:val="28"/>
        </w:rPr>
        <w:instrText xml:space="preserve"> PAGEREF _Toc65065895 \h </w:instrText>
      </w:r>
      <w:r>
        <w:rPr>
          <w:rFonts w:ascii="Times New Roman" w:hAnsi="Times New Roman"/>
          <w:b/>
          <w:bCs/>
          <w:color w:val="000000"/>
          <w:sz w:val="28"/>
          <w:szCs w:val="28"/>
        </w:rPr>
        <w:fldChar w:fldCharType="separate"/>
      </w:r>
      <w:r>
        <w:rPr>
          <w:rFonts w:ascii="Times New Roman" w:hAnsi="Times New Roman"/>
          <w:b/>
          <w:bCs/>
          <w:color w:val="000000"/>
          <w:sz w:val="28"/>
          <w:szCs w:val="28"/>
        </w:rPr>
        <w:t>7</w:t>
      </w:r>
      <w:r>
        <w:rPr>
          <w:rFonts w:ascii="Times New Roman" w:hAnsi="Times New Roman"/>
          <w:b/>
          <w:bCs/>
          <w:color w:val="000000"/>
          <w:sz w:val="28"/>
          <w:szCs w:val="28"/>
        </w:rPr>
        <w:fldChar w:fldCharType="end"/>
      </w:r>
      <w:r>
        <w:rPr>
          <w:rFonts w:ascii="Times New Roman" w:hAnsi="Times New Roman"/>
          <w:b/>
          <w:bCs/>
          <w:color w:val="000000"/>
          <w:sz w:val="28"/>
          <w:szCs w:val="28"/>
        </w:rPr>
        <w:fldChar w:fldCharType="end"/>
      </w:r>
    </w:p>
    <w:p>
      <w:pPr>
        <w:pStyle w:val="16"/>
        <w:rPr>
          <w:rFonts w:ascii="Times New Roman" w:hAnsi="Times New Roman" w:eastAsia="等线"/>
          <w:b/>
          <w:bCs/>
          <w:color w:val="000000"/>
          <w:sz w:val="28"/>
          <w:szCs w:val="28"/>
        </w:rPr>
      </w:pPr>
      <w:r>
        <w:rPr>
          <w:rStyle w:val="28"/>
          <w:rFonts w:ascii="Times New Roman" w:hAnsi="Times New Roman"/>
          <w:b/>
          <w:bCs/>
          <w:color w:val="000000"/>
          <w:sz w:val="28"/>
          <w:szCs w:val="28"/>
        </w:rPr>
        <w:t>三、</w:t>
      </w:r>
      <w:r>
        <w:fldChar w:fldCharType="begin"/>
      </w:r>
      <w:r>
        <w:instrText xml:space="preserve"> HYPERLINK \l "_Toc65065902" </w:instrText>
      </w:r>
      <w:r>
        <w:fldChar w:fldCharType="separate"/>
      </w:r>
      <w:r>
        <w:rPr>
          <w:rStyle w:val="28"/>
          <w:rFonts w:ascii="Times New Roman" w:hAnsi="Times New Roman"/>
          <w:b/>
          <w:bCs/>
          <w:color w:val="000000"/>
          <w:sz w:val="28"/>
          <w:szCs w:val="28"/>
        </w:rPr>
        <w:t>房地产估价结果报告</w:t>
      </w:r>
      <w:r>
        <w:rPr>
          <w:rFonts w:ascii="Times New Roman" w:hAnsi="Times New Roman"/>
          <w:b/>
          <w:bCs/>
          <w:color w:val="000000"/>
          <w:sz w:val="28"/>
          <w:szCs w:val="28"/>
        </w:rPr>
        <w:tab/>
      </w:r>
      <w:r>
        <w:rPr>
          <w:rFonts w:ascii="Times New Roman" w:hAnsi="Times New Roman"/>
          <w:b/>
          <w:bCs/>
          <w:color w:val="000000"/>
          <w:sz w:val="28"/>
          <w:szCs w:val="28"/>
        </w:rPr>
        <w:fldChar w:fldCharType="begin"/>
      </w:r>
      <w:r>
        <w:rPr>
          <w:rFonts w:ascii="Times New Roman" w:hAnsi="Times New Roman"/>
          <w:b/>
          <w:bCs/>
          <w:color w:val="000000"/>
          <w:sz w:val="28"/>
          <w:szCs w:val="28"/>
        </w:rPr>
        <w:instrText xml:space="preserve"> PAGEREF _Toc65065902 \h </w:instrText>
      </w:r>
      <w:r>
        <w:rPr>
          <w:rFonts w:ascii="Times New Roman" w:hAnsi="Times New Roman"/>
          <w:b/>
          <w:bCs/>
          <w:color w:val="000000"/>
          <w:sz w:val="28"/>
          <w:szCs w:val="28"/>
        </w:rPr>
        <w:fldChar w:fldCharType="separate"/>
      </w:r>
      <w:r>
        <w:rPr>
          <w:rFonts w:ascii="Times New Roman" w:hAnsi="Times New Roman"/>
          <w:b/>
          <w:bCs/>
          <w:color w:val="000000"/>
          <w:sz w:val="28"/>
          <w:szCs w:val="28"/>
        </w:rPr>
        <w:t>10</w:t>
      </w:r>
      <w:r>
        <w:rPr>
          <w:rFonts w:ascii="Times New Roman" w:hAnsi="Times New Roman"/>
          <w:b/>
          <w:bCs/>
          <w:color w:val="000000"/>
          <w:sz w:val="28"/>
          <w:szCs w:val="28"/>
        </w:rPr>
        <w:fldChar w:fldCharType="end"/>
      </w:r>
      <w:r>
        <w:rPr>
          <w:rFonts w:ascii="Times New Roman" w:hAnsi="Times New Roman"/>
          <w:b/>
          <w:bCs/>
          <w:color w:val="000000"/>
          <w:sz w:val="28"/>
          <w:szCs w:val="28"/>
        </w:rP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"_Toc65065903" </w:instrText>
      </w:r>
      <w:r>
        <w:fldChar w:fldCharType="separate"/>
      </w:r>
      <w:r>
        <w:rPr>
          <w:rStyle w:val="28"/>
          <w:rFonts w:hint="eastAsia"/>
        </w:rPr>
        <w:t>1</w:t>
      </w:r>
      <w:r>
        <w:rPr>
          <w:rStyle w:val="28"/>
        </w:rPr>
        <w:t>、 估价委托人</w:t>
      </w:r>
      <w:r>
        <w:tab/>
      </w:r>
      <w:r>
        <w:fldChar w:fldCharType="begin"/>
      </w:r>
      <w:r>
        <w:instrText xml:space="preserve"> PAGEREF _Toc65065903 \h </w:instrText>
      </w:r>
      <w:r>
        <w:fldChar w:fldCharType="separate"/>
      </w:r>
      <w:r>
        <w:t>10</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"_Toc65065904" </w:instrText>
      </w:r>
      <w:r>
        <w:fldChar w:fldCharType="separate"/>
      </w:r>
      <w:r>
        <w:rPr>
          <w:rStyle w:val="28"/>
          <w:rFonts w:hint="eastAsia"/>
        </w:rPr>
        <w:t>2</w:t>
      </w:r>
      <w:r>
        <w:rPr>
          <w:rStyle w:val="28"/>
        </w:rPr>
        <w:t>、 房地产估价机构</w:t>
      </w:r>
      <w:r>
        <w:tab/>
      </w:r>
      <w:r>
        <w:fldChar w:fldCharType="begin"/>
      </w:r>
      <w:r>
        <w:instrText xml:space="preserve"> PAGEREF _Toc65065904 \h </w:instrText>
      </w:r>
      <w:r>
        <w:fldChar w:fldCharType="separate"/>
      </w:r>
      <w:r>
        <w:t>10</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"_Toc65065905" </w:instrText>
      </w:r>
      <w:r>
        <w:fldChar w:fldCharType="separate"/>
      </w:r>
      <w:r>
        <w:rPr>
          <w:rStyle w:val="28"/>
          <w:rFonts w:hint="eastAsia"/>
        </w:rPr>
        <w:t>3</w:t>
      </w:r>
      <w:r>
        <w:rPr>
          <w:rStyle w:val="28"/>
        </w:rPr>
        <w:t>、 估价目的</w:t>
      </w:r>
      <w:r>
        <w:tab/>
      </w:r>
      <w:r>
        <w:fldChar w:fldCharType="begin"/>
      </w:r>
      <w:r>
        <w:instrText xml:space="preserve"> PAGEREF _Toc65065905 \h </w:instrText>
      </w:r>
      <w:r>
        <w:fldChar w:fldCharType="separate"/>
      </w:r>
      <w:r>
        <w:t>10</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"_Toc65065906" </w:instrText>
      </w:r>
      <w:r>
        <w:fldChar w:fldCharType="separate"/>
      </w:r>
      <w:r>
        <w:rPr>
          <w:rStyle w:val="28"/>
          <w:rFonts w:hint="eastAsia"/>
        </w:rPr>
        <w:t>4</w:t>
      </w:r>
      <w:r>
        <w:rPr>
          <w:rStyle w:val="28"/>
        </w:rPr>
        <w:t>、 估价对象</w:t>
      </w:r>
      <w:r>
        <w:tab/>
      </w:r>
      <w:r>
        <w:fldChar w:fldCharType="begin"/>
      </w:r>
      <w:r>
        <w:instrText xml:space="preserve"> PAGEREF _Toc65065906 \h </w:instrText>
      </w:r>
      <w:r>
        <w:fldChar w:fldCharType="separate"/>
      </w:r>
      <w:r>
        <w:t>10</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"_Toc65065912" </w:instrText>
      </w:r>
      <w:r>
        <w:fldChar w:fldCharType="separate"/>
      </w:r>
      <w:r>
        <w:rPr>
          <w:rStyle w:val="28"/>
          <w:rFonts w:hint="eastAsia"/>
        </w:rPr>
        <w:t>5</w:t>
      </w:r>
      <w:r>
        <w:rPr>
          <w:rStyle w:val="28"/>
        </w:rPr>
        <w:t>、 价值时点</w:t>
      </w:r>
      <w:r>
        <w:tab/>
      </w:r>
      <w:r>
        <w:fldChar w:fldCharType="begin"/>
      </w:r>
      <w:r>
        <w:instrText xml:space="preserve"> PAGEREF _Toc65065912 \h </w:instrText>
      </w:r>
      <w:r>
        <w:fldChar w:fldCharType="separate"/>
      </w:r>
      <w:r>
        <w:t>13</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"_Toc65065913" </w:instrText>
      </w:r>
      <w:r>
        <w:fldChar w:fldCharType="separate"/>
      </w:r>
      <w:r>
        <w:rPr>
          <w:rStyle w:val="28"/>
          <w:rFonts w:hint="eastAsia"/>
        </w:rPr>
        <w:t>6</w:t>
      </w:r>
      <w:r>
        <w:rPr>
          <w:rStyle w:val="28"/>
        </w:rPr>
        <w:t>、 价值类型</w:t>
      </w:r>
      <w:r>
        <w:tab/>
      </w:r>
      <w:r>
        <w:fldChar w:fldCharType="begin"/>
      </w:r>
      <w:r>
        <w:instrText xml:space="preserve"> PAGEREF _Toc65065913 \h </w:instrText>
      </w:r>
      <w:r>
        <w:fldChar w:fldCharType="separate"/>
      </w:r>
      <w:r>
        <w:t>13</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"_Toc65065914" </w:instrText>
      </w:r>
      <w:r>
        <w:fldChar w:fldCharType="separate"/>
      </w:r>
      <w:r>
        <w:rPr>
          <w:rStyle w:val="28"/>
          <w:rFonts w:hint="eastAsia"/>
        </w:rPr>
        <w:t>7</w:t>
      </w:r>
      <w:r>
        <w:rPr>
          <w:rStyle w:val="28"/>
        </w:rPr>
        <w:t>、 估价原则</w:t>
      </w:r>
      <w:r>
        <w:tab/>
      </w:r>
      <w:r>
        <w:fldChar w:fldCharType="begin"/>
      </w:r>
      <w:r>
        <w:instrText xml:space="preserve"> PAGEREF _Toc65065914 \h </w:instrText>
      </w:r>
      <w:r>
        <w:fldChar w:fldCharType="separate"/>
      </w:r>
      <w:r>
        <w:t>14</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"_Toc65065915" </w:instrText>
      </w:r>
      <w:r>
        <w:fldChar w:fldCharType="separate"/>
      </w:r>
      <w:r>
        <w:rPr>
          <w:rStyle w:val="28"/>
          <w:rFonts w:hint="eastAsia"/>
        </w:rPr>
        <w:t>8</w:t>
      </w:r>
      <w:r>
        <w:rPr>
          <w:rStyle w:val="28"/>
        </w:rPr>
        <w:t>、 估价依据</w:t>
      </w:r>
      <w:r>
        <w:tab/>
      </w:r>
      <w:r>
        <w:fldChar w:fldCharType="begin"/>
      </w:r>
      <w:r>
        <w:instrText xml:space="preserve"> PAGEREF _Toc65065915 \h </w:instrText>
      </w:r>
      <w:r>
        <w:fldChar w:fldCharType="separate"/>
      </w:r>
      <w:r>
        <w:t>15</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"_Toc65065920" </w:instrText>
      </w:r>
      <w:r>
        <w:fldChar w:fldCharType="separate"/>
      </w:r>
      <w:r>
        <w:rPr>
          <w:rStyle w:val="28"/>
          <w:rFonts w:hint="eastAsia"/>
        </w:rPr>
        <w:t>9</w:t>
      </w:r>
      <w:r>
        <w:rPr>
          <w:rStyle w:val="28"/>
        </w:rPr>
        <w:t>、 估价方法</w:t>
      </w:r>
      <w:r>
        <w:tab/>
      </w:r>
      <w:r>
        <w:fldChar w:fldCharType="begin"/>
      </w:r>
      <w:r>
        <w:instrText xml:space="preserve"> PAGEREF _Toc65065920 \h </w:instrText>
      </w:r>
      <w:r>
        <w:fldChar w:fldCharType="separate"/>
      </w:r>
      <w:r>
        <w:t>16</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"_Toc65065921" </w:instrText>
      </w:r>
      <w:r>
        <w:fldChar w:fldCharType="separate"/>
      </w:r>
      <w:r>
        <w:rPr>
          <w:rStyle w:val="28"/>
          <w:rFonts w:hint="eastAsia"/>
        </w:rPr>
        <w:t>1</w:t>
      </w:r>
      <w:r>
        <w:rPr>
          <w:rStyle w:val="28"/>
        </w:rPr>
        <w:t>0、 估价结果</w:t>
      </w:r>
      <w:r>
        <w:tab/>
      </w:r>
      <w:r>
        <w:fldChar w:fldCharType="begin"/>
      </w:r>
      <w:r>
        <w:instrText xml:space="preserve"> PAGEREF _Toc65065921 \h </w:instrText>
      </w:r>
      <w:r>
        <w:fldChar w:fldCharType="separate"/>
      </w:r>
      <w:r>
        <w:t>18</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"_Toc65065922" </w:instrText>
      </w:r>
      <w:r>
        <w:fldChar w:fldCharType="separate"/>
      </w:r>
      <w:r>
        <w:rPr>
          <w:rStyle w:val="28"/>
          <w:rFonts w:hint="eastAsia"/>
        </w:rPr>
        <w:t>1</w:t>
      </w:r>
      <w:r>
        <w:rPr>
          <w:rStyle w:val="28"/>
        </w:rPr>
        <w:t>1、 注册房地产估价师</w:t>
      </w:r>
      <w:r>
        <w:tab/>
      </w:r>
      <w:r>
        <w:fldChar w:fldCharType="begin"/>
      </w:r>
      <w:r>
        <w:instrText xml:space="preserve"> PAGEREF _Toc65065922 \h </w:instrText>
      </w:r>
      <w:r>
        <w:fldChar w:fldCharType="separate"/>
      </w:r>
      <w:r>
        <w:t>18</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"_Toc65065923" </w:instrText>
      </w:r>
      <w:r>
        <w:fldChar w:fldCharType="separate"/>
      </w:r>
      <w:r>
        <w:rPr>
          <w:rStyle w:val="28"/>
          <w:rFonts w:hint="eastAsia"/>
        </w:rPr>
        <w:t>1</w:t>
      </w:r>
      <w:r>
        <w:rPr>
          <w:rStyle w:val="28"/>
        </w:rPr>
        <w:t>2、 实地查勘期</w:t>
      </w:r>
      <w:r>
        <w:tab/>
      </w:r>
      <w:r>
        <w:fldChar w:fldCharType="begin"/>
      </w:r>
      <w:r>
        <w:instrText xml:space="preserve"> PAGEREF _Toc65065923 \h </w:instrText>
      </w:r>
      <w:r>
        <w:fldChar w:fldCharType="separate"/>
      </w:r>
      <w:r>
        <w:t>18</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"_Toc65065924" </w:instrText>
      </w:r>
      <w:r>
        <w:fldChar w:fldCharType="separate"/>
      </w:r>
      <w:r>
        <w:rPr>
          <w:rStyle w:val="28"/>
          <w:rFonts w:hint="eastAsia"/>
        </w:rPr>
        <w:t>1</w:t>
      </w:r>
      <w:r>
        <w:rPr>
          <w:rStyle w:val="28"/>
        </w:rPr>
        <w:t>3、 估价作业期</w:t>
      </w:r>
      <w:r>
        <w:tab/>
      </w:r>
      <w:r>
        <w:fldChar w:fldCharType="begin"/>
      </w:r>
      <w:r>
        <w:instrText xml:space="preserve"> PAGEREF _Toc65065924 \h </w:instrText>
      </w:r>
      <w:r>
        <w:fldChar w:fldCharType="separate"/>
      </w:r>
      <w:r>
        <w:t>19</w:t>
      </w:r>
      <w:r>
        <w:fldChar w:fldCharType="end"/>
      </w:r>
      <w:r>
        <w:fldChar w:fldCharType="end"/>
      </w:r>
    </w:p>
    <w:p>
      <w:pPr>
        <w:pStyle w:val="17"/>
        <w:spacing w:line="500" w:lineRule="exact"/>
        <w:ind w:firstLine="480" w:firstLineChars="200"/>
        <w:rPr>
          <w:rFonts w:ascii="等线" w:hAnsi="等线" w:eastAsia="等线"/>
          <w:sz w:val="21"/>
          <w:szCs w:val="22"/>
        </w:rPr>
      </w:pPr>
      <w:r>
        <w:fldChar w:fldCharType="begin"/>
      </w:r>
      <w:r>
        <w:instrText xml:space="preserve"> HYPERLINK \l "_Toc65065925" </w:instrText>
      </w:r>
      <w:r>
        <w:fldChar w:fldCharType="separate"/>
      </w:r>
      <w:r>
        <w:rPr>
          <w:rStyle w:val="28"/>
          <w:rFonts w:hint="eastAsia"/>
        </w:rPr>
        <w:t>1</w:t>
      </w:r>
      <w:r>
        <w:rPr>
          <w:rStyle w:val="28"/>
        </w:rPr>
        <w:t>4、 估价报告应用的有效期</w:t>
      </w:r>
      <w:r>
        <w:tab/>
      </w:r>
      <w:r>
        <w:fldChar w:fldCharType="begin"/>
      </w:r>
      <w:r>
        <w:instrText xml:space="preserve"> PAGEREF _Toc65065925 \h </w:instrText>
      </w:r>
      <w:r>
        <w:fldChar w:fldCharType="separate"/>
      </w:r>
      <w:r>
        <w:t>19</w:t>
      </w:r>
      <w:r>
        <w:fldChar w:fldCharType="end"/>
      </w:r>
      <w:r>
        <w:fldChar w:fldCharType="end"/>
      </w:r>
    </w:p>
    <w:p>
      <w:pPr>
        <w:pStyle w:val="10"/>
        <w:tabs>
          <w:tab w:val="left" w:pos="210"/>
        </w:tabs>
        <w:spacing w:line="500" w:lineRule="exact"/>
        <w:rPr>
          <w:rFonts w:ascii="Times New Roman" w:hAnsi="Times New Roman"/>
          <w:b/>
          <w:sz w:val="28"/>
          <w:szCs w:val="28"/>
        </w:rPr>
      </w:pPr>
      <w:r>
        <w:rPr>
          <w:rFonts w:ascii="Times New Roman" w:hAnsi="Times New Roman"/>
          <w:b/>
          <w:sz w:val="28"/>
          <w:szCs w:val="28"/>
        </w:rPr>
        <w:fldChar w:fldCharType="end"/>
      </w:r>
      <w:r>
        <w:rPr>
          <w:rFonts w:hint="eastAsia" w:ascii="Times New Roman" w:hAnsi="Times New Roman"/>
          <w:b/>
          <w:sz w:val="28"/>
          <w:szCs w:val="28"/>
        </w:rPr>
        <w:t>四、附件</w:t>
      </w:r>
    </w:p>
    <w:p>
      <w:pPr>
        <w:numPr>
          <w:ilvl w:val="0"/>
          <w:numId w:val="2"/>
        </w:numPr>
        <w:adjustRightInd w:val="0"/>
        <w:snapToGrid w:val="0"/>
        <w:spacing w:line="400" w:lineRule="exact"/>
        <w:ind w:left="902"/>
        <w:rPr>
          <w:sz w:val="24"/>
        </w:rPr>
      </w:pPr>
      <w:r>
        <w:rPr>
          <w:rFonts w:hint="eastAsia"/>
          <w:sz w:val="24"/>
        </w:rPr>
        <w:t>岑巩县人民法院《委托评估函》【（2022）黔2626执恢100号】</w:t>
      </w:r>
    </w:p>
    <w:p>
      <w:pPr>
        <w:numPr>
          <w:ilvl w:val="0"/>
          <w:numId w:val="2"/>
        </w:numPr>
        <w:adjustRightInd w:val="0"/>
        <w:snapToGrid w:val="0"/>
        <w:spacing w:line="400" w:lineRule="exact"/>
        <w:ind w:left="902"/>
        <w:rPr>
          <w:sz w:val="24"/>
        </w:rPr>
      </w:pPr>
      <w:r>
        <w:rPr>
          <w:rFonts w:hint="eastAsia"/>
          <w:sz w:val="24"/>
        </w:rPr>
        <w:t>估价对象位置图及照片</w:t>
      </w:r>
    </w:p>
    <w:p>
      <w:pPr>
        <w:numPr>
          <w:ilvl w:val="0"/>
          <w:numId w:val="2"/>
        </w:numPr>
        <w:adjustRightInd w:val="0"/>
        <w:snapToGrid w:val="0"/>
        <w:spacing w:line="400" w:lineRule="exact"/>
        <w:ind w:left="902"/>
        <w:rPr>
          <w:sz w:val="24"/>
        </w:rPr>
      </w:pPr>
      <w:r>
        <w:rPr>
          <w:rFonts w:hint="eastAsia"/>
          <w:sz w:val="24"/>
        </w:rPr>
        <w:t>估价对象</w:t>
      </w:r>
      <w:bookmarkStart w:id="22" w:name="_Hlk50571031"/>
      <w:r>
        <w:rPr>
          <w:rFonts w:hint="eastAsia"/>
          <w:sz w:val="24"/>
        </w:rPr>
        <w:t>《房屋所有权证》</w:t>
      </w:r>
      <w:bookmarkEnd w:id="22"/>
    </w:p>
    <w:p>
      <w:pPr>
        <w:numPr>
          <w:ilvl w:val="0"/>
          <w:numId w:val="2"/>
        </w:numPr>
        <w:adjustRightInd w:val="0"/>
        <w:snapToGrid w:val="0"/>
        <w:spacing w:line="400" w:lineRule="exact"/>
        <w:ind w:left="902"/>
        <w:rPr>
          <w:sz w:val="24"/>
        </w:rPr>
      </w:pPr>
      <w:r>
        <w:rPr>
          <w:rFonts w:hint="eastAsia"/>
          <w:sz w:val="24"/>
        </w:rPr>
        <w:t>《协助查询通知书（回执）》</w:t>
      </w:r>
    </w:p>
    <w:p>
      <w:pPr>
        <w:pStyle w:val="82"/>
        <w:numPr>
          <w:ilvl w:val="0"/>
          <w:numId w:val="2"/>
        </w:numPr>
        <w:spacing w:line="400" w:lineRule="exact"/>
        <w:ind w:left="902" w:firstLineChars="0"/>
        <w:rPr>
          <w:sz w:val="24"/>
        </w:rPr>
      </w:pPr>
      <w:r>
        <w:rPr>
          <w:rFonts w:hint="eastAsia"/>
          <w:sz w:val="24"/>
        </w:rPr>
        <w:t>可比实例位置图和外观照片</w:t>
      </w:r>
    </w:p>
    <w:p>
      <w:pPr>
        <w:numPr>
          <w:ilvl w:val="0"/>
          <w:numId w:val="2"/>
        </w:numPr>
        <w:adjustRightInd w:val="0"/>
        <w:snapToGrid w:val="0"/>
        <w:spacing w:line="400" w:lineRule="exact"/>
        <w:ind w:left="902"/>
        <w:rPr>
          <w:sz w:val="24"/>
        </w:rPr>
      </w:pPr>
      <w:r>
        <w:rPr>
          <w:rFonts w:hint="eastAsia"/>
          <w:sz w:val="24"/>
        </w:rPr>
        <w:t>房地产估价机构营业执照和估价资质证书</w:t>
      </w:r>
    </w:p>
    <w:p>
      <w:pPr>
        <w:numPr>
          <w:ilvl w:val="0"/>
          <w:numId w:val="2"/>
        </w:numPr>
        <w:adjustRightInd w:val="0"/>
        <w:snapToGrid w:val="0"/>
        <w:spacing w:line="400" w:lineRule="exact"/>
        <w:ind w:left="902"/>
        <w:rPr>
          <w:sz w:val="24"/>
        </w:rPr>
      </w:pPr>
      <w:r>
        <w:rPr>
          <w:rFonts w:hint="eastAsia"/>
          <w:sz w:val="24"/>
        </w:rPr>
        <w:t>注册房地产估价师资质证书</w:t>
      </w:r>
    </w:p>
    <w:p>
      <w:pPr>
        <w:numPr>
          <w:ilvl w:val="0"/>
          <w:numId w:val="2"/>
        </w:numPr>
        <w:adjustRightInd w:val="0"/>
        <w:snapToGrid w:val="0"/>
        <w:spacing w:line="400" w:lineRule="exact"/>
        <w:ind w:left="902"/>
        <w:rPr>
          <w:rFonts w:ascii="仿宋" w:hAnsi="仿宋" w:eastAsia="仿宋"/>
          <w:i/>
          <w:iCs/>
          <w:color w:val="C00000"/>
          <w:sz w:val="24"/>
        </w:rPr>
      </w:pPr>
      <w:r>
        <w:rPr>
          <w:rFonts w:hint="eastAsia"/>
          <w:sz w:val="24"/>
        </w:rPr>
        <w:t>专业帮助情况和相关专业意见（无）</w:t>
      </w:r>
    </w:p>
    <w:p>
      <w:pPr>
        <w:pStyle w:val="10"/>
        <w:tabs>
          <w:tab w:val="left" w:pos="210"/>
        </w:tabs>
        <w:spacing w:line="500" w:lineRule="exact"/>
      </w:pPr>
      <w:bookmarkStart w:id="23" w:name="_Toc432574963"/>
      <w:bookmarkStart w:id="24" w:name="_Toc4179"/>
      <w:bookmarkStart w:id="25" w:name="_Toc468882202"/>
      <w:bookmarkStart w:id="26" w:name="_Toc46417155"/>
      <w:bookmarkStart w:id="27" w:name="_Toc497752860"/>
      <w:bookmarkStart w:id="28" w:name="_Toc396396767"/>
      <w:bookmarkStart w:id="29" w:name="_Toc472961337"/>
      <w:bookmarkStart w:id="30" w:name="_Toc445891401"/>
      <w:bookmarkStart w:id="31" w:name="_Toc476489034"/>
      <w:bookmarkStart w:id="32" w:name="_Toc47874176"/>
      <w:bookmarkStart w:id="33" w:name="_Toc432490536"/>
      <w:bookmarkStart w:id="34" w:name="_Toc445892274"/>
      <w:r>
        <w:br w:type="page"/>
      </w:r>
      <w:bookmarkStart w:id="35" w:name="_Toc65065894"/>
    </w:p>
    <w:p>
      <w:pPr>
        <w:spacing w:line="320" w:lineRule="exact"/>
        <w:jc w:val="center"/>
      </w:pPr>
    </w:p>
    <w:p>
      <w:pPr>
        <w:spacing w:before="156" w:beforeLines="50" w:after="156" w:afterLines="50" w:line="500" w:lineRule="exact"/>
        <w:jc w:val="center"/>
        <w:outlineLvl w:val="0"/>
      </w:pPr>
      <w:r>
        <w:rPr>
          <w:rFonts w:hint="eastAsia"/>
          <w:b/>
          <w:sz w:val="44"/>
          <w:szCs w:val="44"/>
        </w:rPr>
        <w:t>注册房地产估价师声明</w:t>
      </w:r>
      <w:bookmarkEnd w:id="23"/>
      <w:bookmarkEnd w:id="24"/>
      <w:bookmarkEnd w:id="25"/>
      <w:bookmarkEnd w:id="26"/>
      <w:bookmarkEnd w:id="27"/>
      <w:bookmarkEnd w:id="28"/>
      <w:bookmarkEnd w:id="29"/>
      <w:bookmarkEnd w:id="30"/>
      <w:bookmarkEnd w:id="31"/>
      <w:bookmarkEnd w:id="32"/>
      <w:bookmarkEnd w:id="33"/>
      <w:bookmarkEnd w:id="34"/>
      <w:bookmarkEnd w:id="35"/>
    </w:p>
    <w:p>
      <w:pPr>
        <w:spacing w:line="500" w:lineRule="exact"/>
        <w:rPr>
          <w:b/>
          <w:sz w:val="28"/>
          <w:szCs w:val="28"/>
        </w:rPr>
      </w:pPr>
      <w:r>
        <w:rPr>
          <w:rFonts w:hint="eastAsia"/>
          <w:b/>
          <w:sz w:val="28"/>
          <w:szCs w:val="28"/>
        </w:rPr>
        <w:t>我们根据自己的专业知识和职业道德，在此郑重声明：</w:t>
      </w:r>
    </w:p>
    <w:p>
      <w:pPr>
        <w:numPr>
          <w:ilvl w:val="0"/>
          <w:numId w:val="3"/>
        </w:numPr>
        <w:spacing w:line="500" w:lineRule="exact"/>
        <w:ind w:left="0" w:firstLine="560" w:firstLineChars="200"/>
        <w:rPr>
          <w:sz w:val="28"/>
          <w:szCs w:val="28"/>
        </w:rPr>
      </w:pPr>
      <w:r>
        <w:rPr>
          <w:rFonts w:hint="eastAsia"/>
          <w:sz w:val="28"/>
          <w:szCs w:val="28"/>
        </w:rPr>
        <w:t>我们在本估价报告中陈述的事实是真实的和准确的，没有虚假记载、误导性陈述和重大遗漏。</w:t>
      </w:r>
    </w:p>
    <w:p>
      <w:pPr>
        <w:numPr>
          <w:ilvl w:val="0"/>
          <w:numId w:val="3"/>
        </w:numPr>
        <w:spacing w:line="500" w:lineRule="exact"/>
        <w:ind w:left="0" w:firstLine="560" w:firstLineChars="200"/>
        <w:rPr>
          <w:sz w:val="28"/>
          <w:szCs w:val="28"/>
        </w:rPr>
      </w:pPr>
      <w:r>
        <w:rPr>
          <w:rFonts w:hint="eastAsia"/>
          <w:sz w:val="28"/>
          <w:szCs w:val="28"/>
        </w:rPr>
        <w:t>本估价报告中的分析、意见和结论是我们独立、客观、公正的专业分析、意见和结论，但受到本估价报告中已说明的估价假设和限制条件的限制。</w:t>
      </w:r>
    </w:p>
    <w:p>
      <w:pPr>
        <w:numPr>
          <w:ilvl w:val="0"/>
          <w:numId w:val="3"/>
        </w:numPr>
        <w:spacing w:line="500" w:lineRule="exact"/>
        <w:ind w:left="0" w:firstLine="560" w:firstLineChars="200"/>
        <w:rPr>
          <w:sz w:val="28"/>
          <w:szCs w:val="28"/>
        </w:rPr>
      </w:pPr>
      <w:r>
        <w:rPr>
          <w:rFonts w:hint="eastAsia"/>
          <w:sz w:val="28"/>
          <w:szCs w:val="28"/>
        </w:rPr>
        <w:t>我们与本估价报告中的估价对象没有现实和潜在的利益，与估价委托人及估价利害关系人没有利害关系，也对估价对象、估价委托人及估价利害关系人没有偏见。</w:t>
      </w:r>
    </w:p>
    <w:p>
      <w:pPr>
        <w:numPr>
          <w:ilvl w:val="0"/>
          <w:numId w:val="3"/>
        </w:numPr>
        <w:spacing w:line="500" w:lineRule="exact"/>
        <w:ind w:left="0" w:firstLine="560" w:firstLineChars="200"/>
        <w:rPr>
          <w:sz w:val="28"/>
          <w:szCs w:val="28"/>
        </w:rPr>
      </w:pPr>
      <w:r>
        <w:rPr>
          <w:rFonts w:hint="eastAsia"/>
          <w:sz w:val="28"/>
          <w:szCs w:val="28"/>
        </w:rPr>
        <w:t>我们依照中华人民共和国国家标准《房地产估价规范》【GB/T 50291-2015】和《房地产估价基本术语标准》【GB/T 50899-2013】进行分析，形成意见和结论，撰写本估价报告。</w:t>
      </w:r>
    </w:p>
    <w:p>
      <w:pPr>
        <w:numPr>
          <w:ilvl w:val="0"/>
          <w:numId w:val="3"/>
        </w:numPr>
        <w:spacing w:line="500" w:lineRule="exact"/>
        <w:ind w:left="0" w:firstLine="560" w:firstLineChars="200"/>
        <w:rPr>
          <w:sz w:val="28"/>
          <w:szCs w:val="28"/>
        </w:rPr>
      </w:pPr>
      <w:r>
        <w:rPr>
          <w:rFonts w:hint="eastAsia"/>
          <w:sz w:val="28"/>
          <w:szCs w:val="28"/>
        </w:rPr>
        <w:t>我公司</w:t>
      </w:r>
      <w:r>
        <w:rPr>
          <w:rFonts w:hint="eastAsia" w:cs="Arial Narrow"/>
          <w:sz w:val="28"/>
          <w:szCs w:val="28"/>
        </w:rPr>
        <w:t>注册房地产估价师杨再成</w:t>
      </w:r>
      <w:r>
        <w:rPr>
          <w:rFonts w:hint="eastAsia"/>
          <w:sz w:val="28"/>
          <w:szCs w:val="28"/>
        </w:rPr>
        <w:t>已于</w:t>
      </w:r>
      <w:r>
        <w:rPr>
          <w:rFonts w:hint="eastAsia" w:cs="Arial Narrow"/>
          <w:b/>
          <w:bCs/>
          <w:sz w:val="28"/>
          <w:szCs w:val="28"/>
        </w:rPr>
        <w:t>2022年08月31日</w:t>
      </w:r>
      <w:r>
        <w:rPr>
          <w:rFonts w:hint="eastAsia"/>
          <w:sz w:val="28"/>
          <w:szCs w:val="28"/>
        </w:rPr>
        <w:t>对本估价报告中的估价对象进行了实地查勘，估价人员对估价对象的查勘限于估价对象的外观和使用状况，估价人员不承担对估价对象建筑结构质量进行调查的责任，也不承担对其他被遮盖未暴露及难于接触到的部分进行查勘的责任。</w:t>
      </w:r>
    </w:p>
    <w:p>
      <w:pPr>
        <w:numPr>
          <w:ilvl w:val="0"/>
          <w:numId w:val="3"/>
        </w:numPr>
        <w:spacing w:line="500" w:lineRule="exact"/>
        <w:ind w:left="0" w:firstLine="560" w:firstLineChars="200"/>
        <w:rPr>
          <w:sz w:val="28"/>
          <w:szCs w:val="28"/>
        </w:rPr>
      </w:pPr>
      <w:r>
        <w:rPr>
          <w:rFonts w:hint="eastAsia"/>
          <w:sz w:val="28"/>
          <w:szCs w:val="28"/>
        </w:rPr>
        <w:t>没有人对本估价报告提供了重要专业帮助。</w:t>
      </w:r>
    </w:p>
    <w:p>
      <w:pPr>
        <w:numPr>
          <w:ilvl w:val="0"/>
          <w:numId w:val="3"/>
        </w:numPr>
        <w:spacing w:line="500" w:lineRule="exact"/>
        <w:ind w:left="0" w:firstLine="560" w:firstLineChars="200"/>
        <w:rPr>
          <w:sz w:val="28"/>
          <w:szCs w:val="28"/>
        </w:rPr>
      </w:pPr>
      <w:r>
        <w:rPr>
          <w:rFonts w:hint="eastAsia"/>
          <w:sz w:val="28"/>
          <w:szCs w:val="28"/>
        </w:rPr>
        <w:t>参与本次估价的工作人员</w:t>
      </w:r>
    </w:p>
    <w:tbl>
      <w:tblPr>
        <w:tblStyle w:val="21"/>
        <w:tblW w:w="0" w:type="auto"/>
        <w:tblInd w:w="95" w:type="dxa"/>
        <w:tblLayout w:type="fixed"/>
        <w:tblCellMar>
          <w:top w:w="0" w:type="dxa"/>
          <w:left w:w="108" w:type="dxa"/>
          <w:bottom w:w="0" w:type="dxa"/>
          <w:right w:w="108" w:type="dxa"/>
        </w:tblCellMar>
      </w:tblPr>
      <w:tblGrid>
        <w:gridCol w:w="2140"/>
        <w:gridCol w:w="2409"/>
        <w:gridCol w:w="2408"/>
        <w:gridCol w:w="2554"/>
      </w:tblGrid>
      <w:tr>
        <w:tblPrEx>
          <w:tblCellMar>
            <w:top w:w="0" w:type="dxa"/>
            <w:left w:w="108" w:type="dxa"/>
            <w:bottom w:w="0" w:type="dxa"/>
            <w:right w:w="108" w:type="dxa"/>
          </w:tblCellMar>
        </w:tblPrEx>
        <w:trPr>
          <w:trHeight w:val="600" w:hRule="atLeast"/>
        </w:trPr>
        <w:tc>
          <w:tcPr>
            <w:tcW w:w="9511" w:type="dxa"/>
            <w:gridSpan w:val="4"/>
            <w:tcBorders>
              <w:top w:val="nil"/>
              <w:left w:val="nil"/>
              <w:bottom w:val="nil"/>
              <w:right w:val="nil"/>
            </w:tcBorders>
            <w:noWrap/>
            <w:vAlign w:val="center"/>
          </w:tcPr>
          <w:p>
            <w:pPr>
              <w:widowControl/>
              <w:jc w:val="center"/>
              <w:rPr>
                <w:rFonts w:cs="宋体"/>
                <w:b/>
                <w:bCs/>
                <w:kern w:val="0"/>
                <w:sz w:val="28"/>
                <w:szCs w:val="28"/>
              </w:rPr>
            </w:pPr>
            <w:bookmarkStart w:id="36" w:name="_Toc396396768"/>
            <w:bookmarkStart w:id="37" w:name="_Toc432574964"/>
            <w:bookmarkStart w:id="38" w:name="_Toc432490537"/>
            <w:r>
              <w:rPr>
                <w:rFonts w:hint="eastAsia" w:cs="宋体"/>
                <w:b/>
                <w:bCs/>
                <w:kern w:val="0"/>
                <w:sz w:val="28"/>
                <w:szCs w:val="28"/>
              </w:rPr>
              <w:t>参加估价的注册房地产估价师</w:t>
            </w:r>
          </w:p>
        </w:tc>
      </w:tr>
      <w:tr>
        <w:tblPrEx>
          <w:tblCellMar>
            <w:top w:w="0" w:type="dxa"/>
            <w:left w:w="108" w:type="dxa"/>
            <w:bottom w:w="0" w:type="dxa"/>
            <w:right w:w="108" w:type="dxa"/>
          </w:tblCellMar>
        </w:tblPrEx>
        <w:trPr>
          <w:trHeight w:val="600" w:hRule="atLeast"/>
        </w:trPr>
        <w:tc>
          <w:tcPr>
            <w:tcW w:w="214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sz w:val="28"/>
                <w:szCs w:val="28"/>
              </w:rPr>
            </w:pPr>
            <w:r>
              <w:rPr>
                <w:rFonts w:hint="eastAsia" w:cs="宋体"/>
                <w:kern w:val="0"/>
                <w:sz w:val="28"/>
                <w:szCs w:val="28"/>
              </w:rPr>
              <w:t>姓  名</w:t>
            </w:r>
          </w:p>
        </w:tc>
        <w:tc>
          <w:tcPr>
            <w:tcW w:w="2409" w:type="dxa"/>
            <w:tcBorders>
              <w:top w:val="single" w:color="auto" w:sz="4" w:space="0"/>
              <w:left w:val="nil"/>
              <w:bottom w:val="single" w:color="auto" w:sz="4" w:space="0"/>
              <w:right w:val="single" w:color="auto" w:sz="4" w:space="0"/>
            </w:tcBorders>
            <w:vAlign w:val="center"/>
          </w:tcPr>
          <w:p>
            <w:pPr>
              <w:widowControl/>
              <w:jc w:val="center"/>
              <w:rPr>
                <w:rFonts w:cs="宋体"/>
                <w:kern w:val="0"/>
                <w:sz w:val="28"/>
                <w:szCs w:val="28"/>
              </w:rPr>
            </w:pPr>
            <w:r>
              <w:rPr>
                <w:rFonts w:hint="eastAsia" w:cs="宋体"/>
                <w:kern w:val="0"/>
                <w:sz w:val="28"/>
                <w:szCs w:val="28"/>
              </w:rPr>
              <w:t>注册号</w:t>
            </w:r>
          </w:p>
        </w:tc>
        <w:tc>
          <w:tcPr>
            <w:tcW w:w="2408" w:type="dxa"/>
            <w:tcBorders>
              <w:top w:val="single" w:color="auto" w:sz="4" w:space="0"/>
              <w:left w:val="nil"/>
              <w:bottom w:val="single" w:color="auto" w:sz="4" w:space="0"/>
              <w:right w:val="single" w:color="auto" w:sz="4" w:space="0"/>
            </w:tcBorders>
            <w:vAlign w:val="center"/>
          </w:tcPr>
          <w:p>
            <w:pPr>
              <w:widowControl/>
              <w:jc w:val="center"/>
              <w:rPr>
                <w:rFonts w:cs="宋体"/>
                <w:kern w:val="0"/>
                <w:sz w:val="28"/>
                <w:szCs w:val="28"/>
              </w:rPr>
            </w:pPr>
            <w:r>
              <w:rPr>
                <w:rFonts w:hint="eastAsia" w:cs="宋体"/>
                <w:kern w:val="0"/>
                <w:sz w:val="28"/>
                <w:szCs w:val="28"/>
              </w:rPr>
              <w:t>签  名</w:t>
            </w:r>
          </w:p>
        </w:tc>
        <w:tc>
          <w:tcPr>
            <w:tcW w:w="2554" w:type="dxa"/>
            <w:tcBorders>
              <w:top w:val="single" w:color="auto" w:sz="4" w:space="0"/>
              <w:left w:val="nil"/>
              <w:bottom w:val="single" w:color="auto" w:sz="4" w:space="0"/>
              <w:right w:val="single" w:color="auto" w:sz="4" w:space="0"/>
            </w:tcBorders>
            <w:vAlign w:val="center"/>
          </w:tcPr>
          <w:p>
            <w:pPr>
              <w:widowControl/>
              <w:jc w:val="center"/>
              <w:rPr>
                <w:rFonts w:cs="宋体"/>
                <w:kern w:val="0"/>
                <w:sz w:val="28"/>
                <w:szCs w:val="28"/>
              </w:rPr>
            </w:pPr>
            <w:r>
              <w:rPr>
                <w:rFonts w:hint="eastAsia" w:cs="宋体"/>
                <w:kern w:val="0"/>
                <w:sz w:val="28"/>
                <w:szCs w:val="28"/>
              </w:rPr>
              <w:t>签名日期</w:t>
            </w:r>
          </w:p>
        </w:tc>
      </w:tr>
      <w:tr>
        <w:tblPrEx>
          <w:tblCellMar>
            <w:top w:w="0" w:type="dxa"/>
            <w:left w:w="108" w:type="dxa"/>
            <w:bottom w:w="0" w:type="dxa"/>
            <w:right w:w="108" w:type="dxa"/>
          </w:tblCellMar>
        </w:tblPrEx>
        <w:trPr>
          <w:trHeight w:val="600" w:hRule="atLeast"/>
        </w:trPr>
        <w:tc>
          <w:tcPr>
            <w:tcW w:w="2140" w:type="dxa"/>
            <w:tcBorders>
              <w:top w:val="nil"/>
              <w:left w:val="single" w:color="auto" w:sz="4" w:space="0"/>
              <w:bottom w:val="single" w:color="auto" w:sz="4" w:space="0"/>
              <w:right w:val="single" w:color="auto" w:sz="4" w:space="0"/>
            </w:tcBorders>
            <w:vAlign w:val="center"/>
          </w:tcPr>
          <w:p>
            <w:pPr>
              <w:widowControl/>
              <w:jc w:val="center"/>
              <w:rPr>
                <w:rFonts w:cs="宋体"/>
                <w:kern w:val="0"/>
                <w:sz w:val="28"/>
                <w:szCs w:val="28"/>
              </w:rPr>
            </w:pPr>
            <w:r>
              <w:rPr>
                <w:rFonts w:hint="eastAsia" w:cs="宋体"/>
                <w:kern w:val="0"/>
                <w:sz w:val="28"/>
                <w:szCs w:val="28"/>
              </w:rPr>
              <w:t>杨再成</w:t>
            </w:r>
          </w:p>
        </w:tc>
        <w:tc>
          <w:tcPr>
            <w:tcW w:w="2409" w:type="dxa"/>
            <w:tcBorders>
              <w:top w:val="nil"/>
              <w:left w:val="nil"/>
              <w:bottom w:val="single" w:color="auto" w:sz="4" w:space="0"/>
              <w:right w:val="single" w:color="auto" w:sz="4" w:space="0"/>
            </w:tcBorders>
            <w:vAlign w:val="center"/>
          </w:tcPr>
          <w:p>
            <w:pPr>
              <w:widowControl/>
              <w:jc w:val="center"/>
              <w:rPr>
                <w:rFonts w:cs="宋体"/>
                <w:kern w:val="0"/>
                <w:sz w:val="28"/>
                <w:szCs w:val="28"/>
              </w:rPr>
            </w:pPr>
            <w:r>
              <w:rPr>
                <w:rFonts w:hint="eastAsia" w:cs="Arial Narrow"/>
                <w:sz w:val="28"/>
                <w:szCs w:val="28"/>
              </w:rPr>
              <w:t>5220190057</w:t>
            </w:r>
          </w:p>
        </w:tc>
        <w:tc>
          <w:tcPr>
            <w:tcW w:w="2408" w:type="dxa"/>
            <w:tcBorders>
              <w:top w:val="nil"/>
              <w:left w:val="nil"/>
              <w:bottom w:val="single" w:color="auto" w:sz="4" w:space="0"/>
              <w:right w:val="single" w:color="auto" w:sz="4" w:space="0"/>
            </w:tcBorders>
            <w:vAlign w:val="center"/>
          </w:tcPr>
          <w:p>
            <w:pPr>
              <w:widowControl/>
              <w:jc w:val="center"/>
              <w:rPr>
                <w:kern w:val="0"/>
                <w:sz w:val="28"/>
                <w:szCs w:val="28"/>
              </w:rPr>
            </w:pPr>
            <w:r>
              <w:rPr>
                <w:kern w:val="0"/>
                <w:sz w:val="28"/>
                <w:szCs w:val="28"/>
              </w:rPr>
              <w:t>　</w:t>
            </w:r>
          </w:p>
        </w:tc>
        <w:tc>
          <w:tcPr>
            <w:tcW w:w="2554" w:type="dxa"/>
            <w:tcBorders>
              <w:top w:val="nil"/>
              <w:left w:val="nil"/>
              <w:bottom w:val="single" w:color="auto" w:sz="4" w:space="0"/>
              <w:right w:val="single" w:color="auto" w:sz="4" w:space="0"/>
            </w:tcBorders>
            <w:noWrap/>
            <w:vAlign w:val="center"/>
          </w:tcPr>
          <w:p>
            <w:pPr>
              <w:widowControl/>
              <w:jc w:val="center"/>
              <w:rPr>
                <w:rFonts w:cs="宋体"/>
                <w:kern w:val="0"/>
                <w:sz w:val="28"/>
                <w:szCs w:val="28"/>
              </w:rPr>
            </w:pPr>
            <w:r>
              <w:rPr>
                <w:rFonts w:hint="eastAsia" w:cs="宋体"/>
                <w:kern w:val="0"/>
                <w:sz w:val="28"/>
                <w:szCs w:val="28"/>
              </w:rPr>
              <w:t>2022年09月30日　</w:t>
            </w:r>
          </w:p>
        </w:tc>
      </w:tr>
      <w:tr>
        <w:tblPrEx>
          <w:tblCellMar>
            <w:top w:w="0" w:type="dxa"/>
            <w:left w:w="108" w:type="dxa"/>
            <w:bottom w:w="0" w:type="dxa"/>
            <w:right w:w="108" w:type="dxa"/>
          </w:tblCellMar>
        </w:tblPrEx>
        <w:trPr>
          <w:trHeight w:val="600" w:hRule="atLeast"/>
        </w:trPr>
        <w:tc>
          <w:tcPr>
            <w:tcW w:w="2140" w:type="dxa"/>
            <w:tcBorders>
              <w:top w:val="nil"/>
              <w:left w:val="single" w:color="auto" w:sz="4" w:space="0"/>
              <w:bottom w:val="single" w:color="auto" w:sz="4" w:space="0"/>
              <w:right w:val="single" w:color="auto" w:sz="4" w:space="0"/>
            </w:tcBorders>
            <w:vAlign w:val="center"/>
          </w:tcPr>
          <w:p>
            <w:pPr>
              <w:widowControl/>
              <w:jc w:val="center"/>
              <w:rPr>
                <w:rFonts w:cs="宋体"/>
                <w:kern w:val="0"/>
                <w:sz w:val="28"/>
                <w:szCs w:val="28"/>
                <w:highlight w:val="yellow"/>
              </w:rPr>
            </w:pPr>
            <w:r>
              <w:rPr>
                <w:rFonts w:hint="eastAsia" w:cs="宋体"/>
                <w:kern w:val="0"/>
                <w:sz w:val="28"/>
                <w:szCs w:val="28"/>
              </w:rPr>
              <w:t>綦伶俐</w:t>
            </w:r>
          </w:p>
        </w:tc>
        <w:tc>
          <w:tcPr>
            <w:tcW w:w="2409" w:type="dxa"/>
            <w:tcBorders>
              <w:top w:val="nil"/>
              <w:left w:val="nil"/>
              <w:bottom w:val="single" w:color="auto" w:sz="4" w:space="0"/>
              <w:right w:val="single" w:color="auto" w:sz="4" w:space="0"/>
            </w:tcBorders>
            <w:vAlign w:val="center"/>
          </w:tcPr>
          <w:p>
            <w:pPr>
              <w:widowControl/>
              <w:jc w:val="center"/>
              <w:rPr>
                <w:rFonts w:cs="宋体"/>
                <w:kern w:val="0"/>
                <w:sz w:val="28"/>
                <w:szCs w:val="28"/>
                <w:highlight w:val="yellow"/>
              </w:rPr>
            </w:pPr>
            <w:r>
              <w:rPr>
                <w:rFonts w:hint="eastAsia" w:cs="Arial Narrow"/>
                <w:sz w:val="28"/>
                <w:szCs w:val="28"/>
              </w:rPr>
              <w:t>5220200070</w:t>
            </w:r>
          </w:p>
        </w:tc>
        <w:tc>
          <w:tcPr>
            <w:tcW w:w="2408" w:type="dxa"/>
            <w:tcBorders>
              <w:top w:val="nil"/>
              <w:left w:val="nil"/>
              <w:bottom w:val="single" w:color="auto" w:sz="4" w:space="0"/>
              <w:right w:val="single" w:color="auto" w:sz="4" w:space="0"/>
            </w:tcBorders>
            <w:vAlign w:val="center"/>
          </w:tcPr>
          <w:p>
            <w:pPr>
              <w:widowControl/>
              <w:jc w:val="center"/>
              <w:rPr>
                <w:rFonts w:cs="Arial Narrow"/>
                <w:sz w:val="28"/>
                <w:szCs w:val="28"/>
              </w:rPr>
            </w:pPr>
            <w:r>
              <w:rPr>
                <w:rFonts w:hint="eastAsia" w:cs="Arial Narrow"/>
                <w:sz w:val="28"/>
                <w:szCs w:val="28"/>
              </w:rPr>
              <w:t>　</w:t>
            </w:r>
          </w:p>
        </w:tc>
        <w:tc>
          <w:tcPr>
            <w:tcW w:w="2554" w:type="dxa"/>
            <w:tcBorders>
              <w:top w:val="nil"/>
              <w:left w:val="nil"/>
              <w:bottom w:val="single" w:color="auto" w:sz="4" w:space="0"/>
              <w:right w:val="single" w:color="auto" w:sz="4" w:space="0"/>
            </w:tcBorders>
            <w:noWrap/>
            <w:vAlign w:val="center"/>
          </w:tcPr>
          <w:p>
            <w:pPr>
              <w:widowControl/>
              <w:jc w:val="center"/>
              <w:rPr>
                <w:rFonts w:cs="Arial Narrow"/>
                <w:sz w:val="28"/>
                <w:szCs w:val="28"/>
              </w:rPr>
            </w:pPr>
            <w:r>
              <w:rPr>
                <w:rFonts w:hint="eastAsia" w:cs="Arial Narrow"/>
                <w:sz w:val="28"/>
                <w:szCs w:val="28"/>
              </w:rPr>
              <w:t>2022年09月30日</w:t>
            </w:r>
          </w:p>
        </w:tc>
      </w:tr>
    </w:tbl>
    <w:p>
      <w:pPr>
        <w:widowControl/>
        <w:jc w:val="left"/>
      </w:pPr>
      <w:bookmarkStart w:id="39" w:name="_Toc46417156"/>
      <w:bookmarkStart w:id="40" w:name="_Toc497752861"/>
      <w:bookmarkStart w:id="41" w:name="_Toc445891402"/>
      <w:bookmarkStart w:id="42" w:name="_Toc476489035"/>
      <w:bookmarkStart w:id="43" w:name="_Toc28525"/>
      <w:bookmarkStart w:id="44" w:name="_Toc47874177"/>
      <w:bookmarkStart w:id="45" w:name="_Toc65065895"/>
      <w:bookmarkStart w:id="46" w:name="_Toc468882203"/>
      <w:bookmarkStart w:id="47" w:name="_Toc445892275"/>
      <w:bookmarkStart w:id="48" w:name="_Toc472961338"/>
      <w:r>
        <w:br w:type="page"/>
      </w:r>
    </w:p>
    <w:p>
      <w:pPr>
        <w:spacing w:line="400" w:lineRule="exact"/>
        <w:jc w:val="center"/>
      </w:pPr>
    </w:p>
    <w:p>
      <w:pPr>
        <w:spacing w:before="156" w:beforeLines="50" w:after="156" w:afterLines="50" w:line="500" w:lineRule="exact"/>
        <w:jc w:val="center"/>
        <w:outlineLvl w:val="0"/>
      </w:pPr>
      <w:r>
        <w:rPr>
          <w:rFonts w:hint="eastAsia"/>
          <w:b/>
          <w:sz w:val="44"/>
          <w:szCs w:val="44"/>
        </w:rPr>
        <w:t>估价的假设和限制条件</w:t>
      </w:r>
      <w:bookmarkEnd w:id="36"/>
      <w:bookmarkEnd w:id="37"/>
      <w:bookmarkEnd w:id="38"/>
      <w:bookmarkEnd w:id="39"/>
      <w:bookmarkEnd w:id="40"/>
      <w:bookmarkEnd w:id="41"/>
      <w:bookmarkEnd w:id="42"/>
      <w:bookmarkEnd w:id="43"/>
      <w:bookmarkEnd w:id="44"/>
      <w:bookmarkEnd w:id="45"/>
      <w:bookmarkEnd w:id="46"/>
      <w:bookmarkEnd w:id="47"/>
      <w:bookmarkEnd w:id="48"/>
    </w:p>
    <w:p>
      <w:pPr>
        <w:spacing w:line="480" w:lineRule="exact"/>
        <w:ind w:firstLine="560" w:firstLineChars="200"/>
        <w:outlineLvl w:val="1"/>
        <w:rPr>
          <w:b/>
          <w:sz w:val="28"/>
          <w:szCs w:val="28"/>
        </w:rPr>
      </w:pPr>
      <w:bookmarkStart w:id="49" w:name="_Toc47874178"/>
      <w:bookmarkStart w:id="50" w:name="_Toc65065896"/>
      <w:r>
        <w:rPr>
          <w:rFonts w:hint="eastAsia"/>
          <w:b/>
          <w:sz w:val="28"/>
          <w:szCs w:val="28"/>
        </w:rPr>
        <w:t>一、一般假设：</w:t>
      </w:r>
      <w:bookmarkEnd w:id="49"/>
      <w:bookmarkEnd w:id="50"/>
    </w:p>
    <w:p>
      <w:pPr>
        <w:numPr>
          <w:ilvl w:val="0"/>
          <w:numId w:val="4"/>
        </w:numPr>
        <w:spacing w:line="500" w:lineRule="exact"/>
        <w:ind w:left="0" w:firstLine="560" w:firstLineChars="200"/>
        <w:rPr>
          <w:sz w:val="28"/>
          <w:szCs w:val="28"/>
        </w:rPr>
      </w:pPr>
      <w:r>
        <w:rPr>
          <w:rFonts w:hint="eastAsia"/>
          <w:sz w:val="28"/>
          <w:szCs w:val="28"/>
        </w:rPr>
        <w:t>委托人提供了估价对象的《房屋所有权证》《协助查询通知书（回执）》复印件，</w:t>
      </w:r>
      <w:r>
        <w:rPr>
          <w:sz w:val="28"/>
          <w:szCs w:val="28"/>
        </w:rPr>
        <w:t>我们</w:t>
      </w:r>
      <w:r>
        <w:rPr>
          <w:rFonts w:hint="eastAsia"/>
          <w:sz w:val="28"/>
          <w:szCs w:val="28"/>
        </w:rPr>
        <w:t>认真核查</w:t>
      </w:r>
      <w:r>
        <w:rPr>
          <w:sz w:val="28"/>
          <w:szCs w:val="28"/>
        </w:rPr>
        <w:t>了估价委托人提供的资料</w:t>
      </w:r>
      <w:r>
        <w:rPr>
          <w:rFonts w:hint="eastAsia"/>
          <w:sz w:val="28"/>
          <w:szCs w:val="28"/>
        </w:rPr>
        <w:t>，在无理由怀疑其合法性、真实性、准确性和完整性的情况下，假定估价委托人提供的资料合法、真实、准确、完整。</w:t>
      </w:r>
      <w:r>
        <w:rPr>
          <w:sz w:val="28"/>
          <w:szCs w:val="28"/>
        </w:rPr>
        <w:t>估价人员及估价机构不对上述资料的合法、真实、准确、完整性负责。</w:t>
      </w:r>
    </w:p>
    <w:p>
      <w:pPr>
        <w:numPr>
          <w:ilvl w:val="0"/>
          <w:numId w:val="4"/>
        </w:numPr>
        <w:spacing w:line="500" w:lineRule="exact"/>
        <w:ind w:left="0" w:firstLine="560" w:firstLineChars="200"/>
        <w:rPr>
          <w:sz w:val="28"/>
          <w:szCs w:val="28"/>
        </w:rPr>
      </w:pPr>
      <w:r>
        <w:rPr>
          <w:sz w:val="28"/>
          <w:szCs w:val="28"/>
        </w:rPr>
        <w:t>本次估价以</w:t>
      </w:r>
      <w:r>
        <w:rPr>
          <w:rFonts w:hint="eastAsia"/>
          <w:sz w:val="28"/>
          <w:szCs w:val="28"/>
        </w:rPr>
        <w:t>委托人提供</w:t>
      </w:r>
      <w:r>
        <w:rPr>
          <w:rFonts w:hint="eastAsia" w:cs="Arial Narrow"/>
          <w:sz w:val="28"/>
          <w:szCs w:val="28"/>
        </w:rPr>
        <w:t>的《房屋所有权证》《协助查询通知书（回执）》复印件</w:t>
      </w:r>
      <w:r>
        <w:rPr>
          <w:sz w:val="28"/>
          <w:szCs w:val="28"/>
        </w:rPr>
        <w:t>所记载数据</w:t>
      </w:r>
      <w:r>
        <w:rPr>
          <w:rFonts w:hint="eastAsia"/>
          <w:sz w:val="28"/>
          <w:szCs w:val="28"/>
        </w:rPr>
        <w:t>及内容</w:t>
      </w:r>
      <w:r>
        <w:rPr>
          <w:sz w:val="28"/>
          <w:szCs w:val="28"/>
        </w:rPr>
        <w:t>为准进行相关说明和测算。</w:t>
      </w:r>
    </w:p>
    <w:p>
      <w:pPr>
        <w:numPr>
          <w:ilvl w:val="0"/>
          <w:numId w:val="4"/>
        </w:numPr>
        <w:spacing w:line="500" w:lineRule="exact"/>
        <w:ind w:left="0" w:firstLine="560" w:firstLineChars="200"/>
        <w:rPr>
          <w:sz w:val="28"/>
          <w:szCs w:val="28"/>
        </w:rPr>
      </w:pPr>
      <w:r>
        <w:rPr>
          <w:rFonts w:hint="eastAsia"/>
          <w:sz w:val="28"/>
          <w:szCs w:val="28"/>
        </w:rPr>
        <w:t>我们已对房屋安全、环境污染等影响估价对象价值的重大因素给予了关注，在无理由怀疑估价对象存在安全隐患且无相应的专业机构进行鉴定、检测的情况下，假定估价对象房屋是安全的，在建筑物耐用年限内能正常使用。</w:t>
      </w:r>
    </w:p>
    <w:p>
      <w:pPr>
        <w:numPr>
          <w:ilvl w:val="0"/>
          <w:numId w:val="4"/>
        </w:numPr>
        <w:spacing w:line="500" w:lineRule="exact"/>
        <w:ind w:left="0" w:firstLine="560" w:firstLineChars="200"/>
        <w:rPr>
          <w:sz w:val="28"/>
          <w:szCs w:val="28"/>
        </w:rPr>
      </w:pPr>
      <w:r>
        <w:rPr>
          <w:rFonts w:hint="eastAsia"/>
          <w:sz w:val="28"/>
          <w:szCs w:val="28"/>
        </w:rPr>
        <w:t>估价对象在价值时点的房地产市场为公开、平等、自愿的交易市场，即能满足以下条件：</w:t>
      </w:r>
    </w:p>
    <w:p>
      <w:pPr>
        <w:pStyle w:val="82"/>
        <w:numPr>
          <w:ilvl w:val="0"/>
          <w:numId w:val="5"/>
        </w:numPr>
        <w:spacing w:line="500" w:lineRule="exact"/>
        <w:ind w:left="0" w:firstLine="560"/>
        <w:rPr>
          <w:sz w:val="28"/>
          <w:szCs w:val="28"/>
        </w:rPr>
      </w:pPr>
      <w:r>
        <w:rPr>
          <w:rFonts w:hint="eastAsia"/>
          <w:sz w:val="28"/>
          <w:szCs w:val="28"/>
        </w:rPr>
        <w:t>交易双方自愿地进行交易；</w:t>
      </w:r>
    </w:p>
    <w:p>
      <w:pPr>
        <w:pStyle w:val="82"/>
        <w:numPr>
          <w:ilvl w:val="0"/>
          <w:numId w:val="5"/>
        </w:numPr>
        <w:spacing w:line="500" w:lineRule="exact"/>
        <w:ind w:left="0" w:firstLine="560"/>
        <w:rPr>
          <w:sz w:val="28"/>
          <w:szCs w:val="28"/>
        </w:rPr>
      </w:pPr>
      <w:r>
        <w:rPr>
          <w:rFonts w:hint="eastAsia"/>
          <w:sz w:val="28"/>
          <w:szCs w:val="28"/>
        </w:rPr>
        <w:t>交易双方处于利己动机进行交易；</w:t>
      </w:r>
    </w:p>
    <w:p>
      <w:pPr>
        <w:pStyle w:val="82"/>
        <w:numPr>
          <w:ilvl w:val="0"/>
          <w:numId w:val="5"/>
        </w:numPr>
        <w:spacing w:line="500" w:lineRule="exact"/>
        <w:ind w:left="0" w:firstLine="560"/>
        <w:rPr>
          <w:sz w:val="28"/>
          <w:szCs w:val="28"/>
        </w:rPr>
      </w:pPr>
      <w:r>
        <w:rPr>
          <w:rFonts w:hint="eastAsia"/>
          <w:sz w:val="28"/>
          <w:szCs w:val="28"/>
        </w:rPr>
        <w:t>交易双方精明、谨慎行事，并了解交易对象、知晓市场行情；</w:t>
      </w:r>
    </w:p>
    <w:p>
      <w:pPr>
        <w:pStyle w:val="82"/>
        <w:numPr>
          <w:ilvl w:val="0"/>
          <w:numId w:val="5"/>
        </w:numPr>
        <w:spacing w:line="500" w:lineRule="exact"/>
        <w:ind w:left="0" w:firstLine="560"/>
        <w:rPr>
          <w:sz w:val="28"/>
          <w:szCs w:val="28"/>
        </w:rPr>
      </w:pPr>
      <w:r>
        <w:rPr>
          <w:rFonts w:hint="eastAsia"/>
          <w:sz w:val="28"/>
          <w:szCs w:val="28"/>
        </w:rPr>
        <w:t>交易双方有较充裕的时间进行交易；</w:t>
      </w:r>
    </w:p>
    <w:p>
      <w:pPr>
        <w:pStyle w:val="82"/>
        <w:numPr>
          <w:ilvl w:val="0"/>
          <w:numId w:val="5"/>
        </w:numPr>
        <w:spacing w:line="500" w:lineRule="exact"/>
        <w:ind w:left="0" w:firstLine="560"/>
        <w:rPr>
          <w:sz w:val="28"/>
          <w:szCs w:val="28"/>
        </w:rPr>
      </w:pPr>
      <w:r>
        <w:rPr>
          <w:sz w:val="28"/>
          <w:szCs w:val="28"/>
        </w:rPr>
        <w:t>在此期间物业价值将保持稳定；</w:t>
      </w:r>
    </w:p>
    <w:p>
      <w:pPr>
        <w:pStyle w:val="82"/>
        <w:numPr>
          <w:ilvl w:val="0"/>
          <w:numId w:val="5"/>
        </w:numPr>
        <w:spacing w:line="500" w:lineRule="exact"/>
        <w:ind w:left="0" w:firstLine="560"/>
        <w:rPr>
          <w:sz w:val="28"/>
          <w:szCs w:val="28"/>
        </w:rPr>
      </w:pPr>
      <w:r>
        <w:rPr>
          <w:rFonts w:hint="eastAsia"/>
          <w:sz w:val="28"/>
          <w:szCs w:val="28"/>
        </w:rPr>
        <w:t>不存在买者因特殊兴趣而给予附加出价。</w:t>
      </w:r>
    </w:p>
    <w:p>
      <w:pPr>
        <w:numPr>
          <w:ilvl w:val="0"/>
          <w:numId w:val="4"/>
        </w:numPr>
        <w:spacing w:line="500" w:lineRule="exact"/>
        <w:ind w:left="0" w:firstLine="560" w:firstLineChars="200"/>
        <w:rPr>
          <w:sz w:val="28"/>
          <w:szCs w:val="28"/>
        </w:rPr>
      </w:pPr>
      <w:r>
        <w:rPr>
          <w:rFonts w:hint="eastAsia"/>
          <w:sz w:val="28"/>
          <w:szCs w:val="28"/>
        </w:rPr>
        <w:t>本次估价交易税费负担方式按照法律法规规定，转让方和受让方各自负担。</w:t>
      </w:r>
    </w:p>
    <w:p>
      <w:pPr>
        <w:numPr>
          <w:ilvl w:val="0"/>
          <w:numId w:val="4"/>
        </w:numPr>
        <w:spacing w:line="500" w:lineRule="exact"/>
        <w:ind w:left="0" w:firstLine="560" w:firstLineChars="200"/>
        <w:rPr>
          <w:sz w:val="28"/>
          <w:szCs w:val="28"/>
        </w:rPr>
      </w:pPr>
      <w:r>
        <w:rPr>
          <w:rFonts w:hint="eastAsia"/>
          <w:sz w:val="28"/>
          <w:szCs w:val="28"/>
        </w:rPr>
        <w:t>估价对象均应享有公共区域的通行权及水电等共用设施的使用权。</w:t>
      </w:r>
    </w:p>
    <w:p>
      <w:pPr>
        <w:numPr>
          <w:ilvl w:val="0"/>
          <w:numId w:val="4"/>
        </w:numPr>
        <w:spacing w:line="500" w:lineRule="exact"/>
        <w:ind w:left="0" w:firstLine="560" w:firstLineChars="200"/>
        <w:rPr>
          <w:sz w:val="28"/>
          <w:szCs w:val="28"/>
        </w:rPr>
      </w:pPr>
      <w:r>
        <w:rPr>
          <w:sz w:val="28"/>
          <w:szCs w:val="28"/>
        </w:rPr>
        <w:t>本次估价假设估价对象不存在欠缴税金及相关费用，包括但不限于税收、水电气费及其滞纳金</w:t>
      </w:r>
      <w:r>
        <w:rPr>
          <w:rFonts w:hint="eastAsia"/>
          <w:sz w:val="28"/>
          <w:szCs w:val="28"/>
        </w:rPr>
        <w:t>。</w:t>
      </w:r>
    </w:p>
    <w:p>
      <w:pPr>
        <w:numPr>
          <w:ilvl w:val="0"/>
          <w:numId w:val="4"/>
        </w:numPr>
        <w:spacing w:line="500" w:lineRule="exact"/>
        <w:ind w:left="0" w:firstLine="560" w:firstLineChars="200"/>
        <w:rPr>
          <w:sz w:val="28"/>
          <w:szCs w:val="28"/>
        </w:rPr>
      </w:pPr>
      <w:r>
        <w:rPr>
          <w:rFonts w:hint="eastAsia"/>
          <w:sz w:val="28"/>
          <w:szCs w:val="28"/>
        </w:rPr>
        <w:t>本次估价采用收益法进行测算时，根据估价对象及其附近地区类似房地产的租金变化情况和对未来同类房地产市场分析，假定每年的报酬率是固定的，且未来现金流均发生在期末。类似混合结构建筑物经济寿命年限为50年，截止到价值时点建筑物剩余经济耐用年限尚可使用为35.36年；根据委托人提供的《协助查询通知书（回执）》记载其土地使用年限为2004年02月09日起至2054年02月08日止，则截止到价值时点土地使用权剩余年限为31.46年。根据“孰短原则”，确定收益年限为31.46年。</w:t>
      </w:r>
    </w:p>
    <w:p>
      <w:pPr>
        <w:numPr>
          <w:ilvl w:val="0"/>
          <w:numId w:val="4"/>
        </w:numPr>
        <w:spacing w:line="500" w:lineRule="exact"/>
        <w:ind w:left="0" w:firstLine="560" w:firstLineChars="200"/>
        <w:rPr>
          <w:sz w:val="28"/>
          <w:szCs w:val="28"/>
        </w:rPr>
      </w:pPr>
      <w:r>
        <w:rPr>
          <w:rFonts w:hint="eastAsia"/>
          <w:sz w:val="28"/>
          <w:szCs w:val="28"/>
        </w:rPr>
        <w:t>由于委托人提供的《委托评估函》【（2022）黔2626执恢100号】中未载明价值时点，则本次估价价值时点为实地查勘完成之日，即</w:t>
      </w:r>
      <w:r>
        <w:rPr>
          <w:rFonts w:hint="eastAsia" w:cs="Arial Narrow"/>
          <w:sz w:val="28"/>
          <w:szCs w:val="28"/>
        </w:rPr>
        <w:t>2022年08月31日</w:t>
      </w:r>
      <w:r>
        <w:rPr>
          <w:rFonts w:hint="eastAsia"/>
          <w:sz w:val="28"/>
          <w:szCs w:val="28"/>
        </w:rPr>
        <w:t>。本次估价以估价对象于价值时点的权益状况、区位状况及实物状况为估价前提。</w:t>
      </w:r>
    </w:p>
    <w:p>
      <w:pPr>
        <w:numPr>
          <w:ilvl w:val="0"/>
          <w:numId w:val="6"/>
        </w:numPr>
        <w:spacing w:line="500" w:lineRule="exact"/>
        <w:ind w:firstLine="560" w:firstLineChars="200"/>
        <w:outlineLvl w:val="1"/>
        <w:rPr>
          <w:sz w:val="28"/>
          <w:szCs w:val="28"/>
        </w:rPr>
      </w:pPr>
      <w:bookmarkStart w:id="51" w:name="_Toc47874179"/>
      <w:bookmarkStart w:id="52" w:name="_Toc65065897"/>
      <w:r>
        <w:rPr>
          <w:rFonts w:hint="eastAsia"/>
          <w:b/>
          <w:sz w:val="28"/>
          <w:szCs w:val="28"/>
        </w:rPr>
        <w:t>未定事项假设：</w:t>
      </w:r>
      <w:bookmarkEnd w:id="51"/>
      <w:bookmarkEnd w:id="52"/>
    </w:p>
    <w:p>
      <w:pPr>
        <w:spacing w:line="500" w:lineRule="exact"/>
        <w:ind w:firstLine="560" w:firstLineChars="200"/>
        <w:rPr>
          <w:sz w:val="28"/>
          <w:szCs w:val="28"/>
        </w:rPr>
      </w:pPr>
      <w:r>
        <w:rPr>
          <w:rFonts w:hint="eastAsia"/>
          <w:sz w:val="28"/>
          <w:szCs w:val="28"/>
        </w:rPr>
        <w:t>根据委托人提供的估价对象相关资料，未载明估价对象的建成时间，通过估价人员现场调查，估价对象所在楼栋建成年代为2008年，本次估价房屋建成年份以实际调查为准。</w:t>
      </w:r>
    </w:p>
    <w:p>
      <w:pPr>
        <w:spacing w:line="500" w:lineRule="exact"/>
        <w:ind w:firstLine="560" w:firstLineChars="200"/>
        <w:outlineLvl w:val="1"/>
        <w:rPr>
          <w:sz w:val="28"/>
          <w:szCs w:val="28"/>
        </w:rPr>
      </w:pPr>
      <w:bookmarkStart w:id="53" w:name="_Toc47874180"/>
      <w:bookmarkStart w:id="54" w:name="_Toc65065898"/>
      <w:r>
        <w:rPr>
          <w:rFonts w:hint="eastAsia"/>
          <w:b/>
          <w:sz w:val="28"/>
          <w:szCs w:val="28"/>
        </w:rPr>
        <w:t>三、背离事实假设：</w:t>
      </w:r>
      <w:bookmarkEnd w:id="53"/>
      <w:bookmarkEnd w:id="54"/>
    </w:p>
    <w:p>
      <w:pPr>
        <w:spacing w:line="500" w:lineRule="exact"/>
        <w:ind w:firstLine="560" w:firstLineChars="200"/>
        <w:rPr>
          <w:sz w:val="28"/>
          <w:szCs w:val="28"/>
        </w:rPr>
      </w:pPr>
      <w:r>
        <w:rPr>
          <w:rFonts w:hint="eastAsia"/>
          <w:sz w:val="28"/>
          <w:szCs w:val="28"/>
        </w:rPr>
        <w:t>依据《房地产估价规范》</w:t>
      </w:r>
      <w:r>
        <w:rPr>
          <w:sz w:val="28"/>
          <w:szCs w:val="28"/>
        </w:rPr>
        <w:t>(GB/T 50291-2015)</w:t>
      </w:r>
      <w:r>
        <w:rPr>
          <w:rFonts w:hint="eastAsia"/>
          <w:sz w:val="28"/>
          <w:szCs w:val="28"/>
        </w:rPr>
        <w:t>5.4.2规定，房地产司法拍卖估价中，不应包括拍卖房地产被查封及拍卖房地产上原有的担保物权和其他优先受偿权。故本次估价假定估价对象于价值时点无查封、无担保物权和其他优先受偿权。</w:t>
      </w:r>
    </w:p>
    <w:p>
      <w:pPr>
        <w:spacing w:line="500" w:lineRule="exact"/>
        <w:ind w:firstLine="560" w:firstLineChars="200"/>
        <w:outlineLvl w:val="1"/>
        <w:rPr>
          <w:sz w:val="28"/>
          <w:szCs w:val="28"/>
        </w:rPr>
      </w:pPr>
      <w:bookmarkStart w:id="55" w:name="_Toc47874181"/>
      <w:bookmarkStart w:id="56" w:name="_Toc65065899"/>
      <w:r>
        <w:rPr>
          <w:rFonts w:hint="eastAsia"/>
          <w:b/>
          <w:sz w:val="28"/>
          <w:szCs w:val="28"/>
        </w:rPr>
        <w:t>四、不相一致假设：</w:t>
      </w:r>
      <w:bookmarkEnd w:id="55"/>
      <w:bookmarkEnd w:id="56"/>
      <w:r>
        <w:rPr>
          <w:rFonts w:hint="eastAsia"/>
          <w:sz w:val="28"/>
          <w:szCs w:val="28"/>
        </w:rPr>
        <w:t xml:space="preserve"> </w:t>
      </w:r>
    </w:p>
    <w:p>
      <w:pPr>
        <w:spacing w:line="500" w:lineRule="exact"/>
        <w:rPr>
          <w:sz w:val="28"/>
          <w:szCs w:val="28"/>
        </w:rPr>
      </w:pPr>
      <w:r>
        <w:rPr>
          <w:rFonts w:hint="eastAsia"/>
          <w:sz w:val="28"/>
          <w:szCs w:val="28"/>
        </w:rPr>
        <w:t xml:space="preserve">    估价对象《房屋所有权证》记载其所在楼栋总层数为5层，但经估价人员现场勘查了解总层数为6层，故本次估价房屋总楼层以现场查勘数据为准。</w:t>
      </w:r>
    </w:p>
    <w:p>
      <w:pPr>
        <w:numPr>
          <w:ilvl w:val="0"/>
          <w:numId w:val="7"/>
        </w:numPr>
        <w:spacing w:line="500" w:lineRule="exact"/>
        <w:ind w:firstLine="560" w:firstLineChars="200"/>
        <w:outlineLvl w:val="1"/>
        <w:rPr>
          <w:rFonts w:ascii="宋体" w:hAnsi="宋体"/>
          <w:bCs/>
          <w:sz w:val="28"/>
          <w:szCs w:val="28"/>
        </w:rPr>
      </w:pPr>
      <w:bookmarkStart w:id="57" w:name="_Toc65065900"/>
      <w:bookmarkStart w:id="58" w:name="_Toc47874182"/>
      <w:r>
        <w:rPr>
          <w:rFonts w:hint="eastAsia"/>
          <w:b/>
          <w:sz w:val="28"/>
          <w:szCs w:val="28"/>
        </w:rPr>
        <w:t>依据不足假设：</w:t>
      </w:r>
      <w:bookmarkEnd w:id="57"/>
      <w:bookmarkEnd w:id="58"/>
    </w:p>
    <w:p>
      <w:pPr>
        <w:spacing w:line="500" w:lineRule="exact"/>
        <w:ind w:firstLine="560" w:firstLineChars="200"/>
        <w:rPr>
          <w:sz w:val="28"/>
          <w:szCs w:val="28"/>
        </w:rPr>
      </w:pPr>
      <w:bookmarkStart w:id="59" w:name="_Toc47874183"/>
      <w:bookmarkStart w:id="60" w:name="_Toc65065901"/>
      <w:r>
        <w:rPr>
          <w:rFonts w:hint="eastAsia"/>
          <w:sz w:val="28"/>
          <w:szCs w:val="28"/>
        </w:rPr>
        <w:t>由于委托人未提供土地相关资料复印件，依据《协助查询通知书（回执）》复印件，本次评估假设估价对象分摊土地使用权人为龙芳，土地使用权类型及性质为国有出让建设用地，土地用途为城镇住宅用地，土地使用权年限为2004年02月09日起至2054年02月08日止。</w:t>
      </w:r>
    </w:p>
    <w:p>
      <w:pPr>
        <w:spacing w:line="500" w:lineRule="exact"/>
        <w:ind w:firstLine="560" w:firstLineChars="200"/>
        <w:outlineLvl w:val="1"/>
        <w:rPr>
          <w:b/>
          <w:sz w:val="28"/>
          <w:szCs w:val="28"/>
        </w:rPr>
      </w:pPr>
      <w:r>
        <w:rPr>
          <w:rFonts w:hint="eastAsia"/>
          <w:b/>
          <w:sz w:val="28"/>
          <w:szCs w:val="28"/>
        </w:rPr>
        <w:t>六、估价报告使用限制：</w:t>
      </w:r>
      <w:bookmarkEnd w:id="59"/>
      <w:bookmarkEnd w:id="60"/>
    </w:p>
    <w:p>
      <w:pPr>
        <w:numPr>
          <w:ilvl w:val="0"/>
          <w:numId w:val="8"/>
        </w:numPr>
        <w:spacing w:line="500" w:lineRule="exact"/>
        <w:ind w:left="0" w:firstLine="560" w:firstLineChars="200"/>
        <w:rPr>
          <w:sz w:val="28"/>
          <w:szCs w:val="28"/>
        </w:rPr>
      </w:pPr>
      <w:r>
        <w:rPr>
          <w:sz w:val="28"/>
          <w:szCs w:val="28"/>
        </w:rPr>
        <w:t>本估价报告及估价结果仅为本报告的估价目的服务，</w:t>
      </w:r>
      <w:r>
        <w:rPr>
          <w:rFonts w:hint="eastAsia"/>
          <w:sz w:val="28"/>
          <w:szCs w:val="28"/>
        </w:rPr>
        <w:t>若改变估价目的及使用条件，需向本公司咨询后作必要调整甚至重新估价。</w:t>
      </w:r>
    </w:p>
    <w:p>
      <w:pPr>
        <w:numPr>
          <w:ilvl w:val="0"/>
          <w:numId w:val="8"/>
        </w:numPr>
        <w:spacing w:line="500" w:lineRule="exact"/>
        <w:ind w:left="0" w:firstLine="560" w:firstLineChars="200"/>
        <w:rPr>
          <w:bCs/>
          <w:sz w:val="28"/>
        </w:rPr>
      </w:pPr>
      <w:r>
        <w:rPr>
          <w:rFonts w:hint="eastAsia"/>
          <w:sz w:val="28"/>
          <w:szCs w:val="28"/>
        </w:rPr>
        <w:t>应当按照法律规定和估价报告载明的用途、使用人、使用期限等使用范围使用估价报告。否则，房地产估价机构和注册房地产估价师依法不承担责任。</w:t>
      </w:r>
    </w:p>
    <w:p>
      <w:pPr>
        <w:numPr>
          <w:ilvl w:val="0"/>
          <w:numId w:val="8"/>
        </w:numPr>
        <w:spacing w:line="500" w:lineRule="exact"/>
        <w:ind w:left="0" w:firstLine="560" w:firstLineChars="200"/>
        <w:rPr>
          <w:rFonts w:ascii="仿宋" w:hAnsi="仿宋" w:eastAsia="仿宋"/>
          <w:color w:val="C00000"/>
          <w:sz w:val="28"/>
          <w:szCs w:val="28"/>
        </w:rPr>
      </w:pPr>
      <w:r>
        <w:rPr>
          <w:rFonts w:hint="eastAsia"/>
          <w:sz w:val="28"/>
          <w:szCs w:val="28"/>
        </w:rPr>
        <w:t>本估价报告使用期限自估价报告出具之日起为</w:t>
      </w:r>
      <w:r>
        <w:rPr>
          <w:rFonts w:hint="eastAsia"/>
          <w:b/>
          <w:sz w:val="28"/>
          <w:szCs w:val="28"/>
        </w:rPr>
        <w:t>壹年</w:t>
      </w:r>
      <w:r>
        <w:rPr>
          <w:rFonts w:hint="eastAsia"/>
          <w:sz w:val="28"/>
          <w:szCs w:val="28"/>
        </w:rPr>
        <w:t>，</w:t>
      </w:r>
      <w:r>
        <w:rPr>
          <w:sz w:val="28"/>
          <w:szCs w:val="28"/>
        </w:rPr>
        <w:t>即</w:t>
      </w:r>
      <w:r>
        <w:rPr>
          <w:b/>
          <w:sz w:val="28"/>
          <w:szCs w:val="28"/>
        </w:rPr>
        <w:t>自</w:t>
      </w:r>
      <w:r>
        <w:rPr>
          <w:rFonts w:hint="eastAsia"/>
          <w:b/>
          <w:sz w:val="28"/>
          <w:szCs w:val="28"/>
        </w:rPr>
        <w:t>2022年09月30日至2023年09月29日止。</w:t>
      </w:r>
      <w:r>
        <w:rPr>
          <w:rFonts w:hint="eastAsia"/>
          <w:sz w:val="28"/>
          <w:szCs w:val="28"/>
        </w:rPr>
        <w:t>若报告使用期限内，房地产市场或估价对象状况发生重大变化，估价结果需做相应调整或委托估价机构重新估价。</w:t>
      </w:r>
    </w:p>
    <w:p>
      <w:pPr>
        <w:numPr>
          <w:ilvl w:val="0"/>
          <w:numId w:val="8"/>
        </w:numPr>
        <w:spacing w:line="500" w:lineRule="exact"/>
        <w:ind w:left="0" w:firstLine="560" w:firstLineChars="200"/>
        <w:rPr>
          <w:sz w:val="28"/>
          <w:szCs w:val="28"/>
        </w:rPr>
      </w:pPr>
      <w:r>
        <w:rPr>
          <w:sz w:val="28"/>
          <w:szCs w:val="28"/>
        </w:rPr>
        <w:t>本估价报告的估价结果是在满足本报告的假设条件下</w:t>
      </w:r>
      <w:r>
        <w:rPr>
          <w:rFonts w:hint="eastAsia"/>
          <w:sz w:val="28"/>
          <w:szCs w:val="28"/>
        </w:rPr>
        <w:t>于价值时点的</w:t>
      </w:r>
      <w:r>
        <w:rPr>
          <w:sz w:val="28"/>
          <w:szCs w:val="28"/>
        </w:rPr>
        <w:t>房地产市场价值，未考虑快速变现等处分方式带来的影响</w:t>
      </w:r>
      <w:r>
        <w:rPr>
          <w:rFonts w:hint="eastAsia"/>
          <w:sz w:val="28"/>
          <w:szCs w:val="28"/>
        </w:rPr>
        <w:t>。</w:t>
      </w:r>
    </w:p>
    <w:p>
      <w:pPr>
        <w:numPr>
          <w:ilvl w:val="0"/>
          <w:numId w:val="8"/>
        </w:numPr>
        <w:spacing w:line="500" w:lineRule="exact"/>
        <w:ind w:left="0" w:firstLine="560" w:firstLineChars="200"/>
        <w:rPr>
          <w:sz w:val="28"/>
          <w:szCs w:val="28"/>
        </w:rPr>
      </w:pPr>
      <w:r>
        <w:rPr>
          <w:rFonts w:hint="eastAsia"/>
          <w:sz w:val="28"/>
          <w:szCs w:val="28"/>
        </w:rPr>
        <w:t>本报告未考虑国家经济政策等发生变化或其他不可抗力时对估价对象的价值影响。</w:t>
      </w:r>
    </w:p>
    <w:p>
      <w:pPr>
        <w:numPr>
          <w:ilvl w:val="0"/>
          <w:numId w:val="8"/>
        </w:numPr>
        <w:spacing w:line="500" w:lineRule="exact"/>
        <w:ind w:left="0" w:firstLine="560" w:firstLineChars="200"/>
        <w:rPr>
          <w:sz w:val="28"/>
          <w:szCs w:val="28"/>
        </w:rPr>
      </w:pPr>
      <w:r>
        <w:rPr>
          <w:rFonts w:hint="eastAsia"/>
          <w:sz w:val="28"/>
          <w:szCs w:val="28"/>
        </w:rPr>
        <w:t>本估价报告分为“估价结果报告”和“估价技术报告”两部分。“估价结果报告”提供给估价委托人，“估价技术报告”根据有关规定由估价机构存档备查。</w:t>
      </w:r>
    </w:p>
    <w:p>
      <w:pPr>
        <w:numPr>
          <w:ilvl w:val="0"/>
          <w:numId w:val="8"/>
        </w:numPr>
        <w:spacing w:line="500" w:lineRule="exact"/>
        <w:ind w:left="0" w:firstLine="560" w:firstLineChars="200"/>
        <w:rPr>
          <w:sz w:val="28"/>
          <w:szCs w:val="28"/>
        </w:rPr>
      </w:pPr>
      <w:r>
        <w:rPr>
          <w:rFonts w:hint="eastAsia"/>
          <w:sz w:val="28"/>
          <w:szCs w:val="28"/>
        </w:rPr>
        <w:t>未经估价机构书面同意，本估价报告的全部或部分及任何参考资料均不得向估价委托人、报告使用者、报告审查部门之外的单位和个人提供，亦不得以任何方式公开发表。</w:t>
      </w:r>
    </w:p>
    <w:p>
      <w:pPr>
        <w:numPr>
          <w:ilvl w:val="0"/>
          <w:numId w:val="8"/>
        </w:numPr>
        <w:spacing w:line="500" w:lineRule="exact"/>
        <w:ind w:left="0" w:firstLine="560" w:firstLineChars="200"/>
        <w:rPr>
          <w:sz w:val="28"/>
          <w:szCs w:val="28"/>
        </w:rPr>
      </w:pPr>
      <w:r>
        <w:rPr>
          <w:rFonts w:hint="eastAsia"/>
          <w:sz w:val="28"/>
          <w:szCs w:val="28"/>
        </w:rPr>
        <w:t>本估价报告仅是在报告中说明的假设条件下对估价对象正常市场价值进行的合理估算，报告中对估价对象权属情况的披露不能作为对其权属确认的依据，估价对象权属界定以有权管理部门认定为准。</w:t>
      </w:r>
    </w:p>
    <w:p>
      <w:pPr>
        <w:numPr>
          <w:ilvl w:val="0"/>
          <w:numId w:val="8"/>
        </w:numPr>
        <w:spacing w:line="500" w:lineRule="exact"/>
        <w:ind w:left="0" w:firstLine="560" w:firstLineChars="200"/>
        <w:rPr>
          <w:sz w:val="28"/>
          <w:szCs w:val="28"/>
        </w:rPr>
      </w:pPr>
      <w:r>
        <w:rPr>
          <w:rFonts w:hint="eastAsia"/>
          <w:sz w:val="28"/>
          <w:szCs w:val="28"/>
        </w:rPr>
        <w:t>本报告书由本估价机构加盖公章、法定代表人签名及注册房地产估价师签名后才具有法律效力，复印件不具有法律效力。</w:t>
      </w:r>
      <w:r>
        <w:rPr>
          <w:sz w:val="18"/>
          <w:szCs w:val="18"/>
        </w:rPr>
        <w:br w:type="page"/>
      </w:r>
      <w:bookmarkStart w:id="61" w:name="_Toc396396769"/>
      <w:bookmarkStart w:id="62" w:name="_Toc445891403"/>
      <w:bookmarkStart w:id="63" w:name="_Toc432574965"/>
      <w:bookmarkStart w:id="64" w:name="_Toc468882204"/>
      <w:bookmarkStart w:id="65" w:name="_Toc472961339"/>
      <w:bookmarkStart w:id="66" w:name="_Toc497752862"/>
      <w:bookmarkStart w:id="67" w:name="_Toc432490538"/>
      <w:bookmarkStart w:id="68" w:name="_Toc445892276"/>
      <w:bookmarkStart w:id="69" w:name="_Toc476489036"/>
    </w:p>
    <w:p>
      <w:pPr>
        <w:pStyle w:val="77"/>
      </w:pPr>
      <w:bookmarkStart w:id="70" w:name="_Toc46417157"/>
      <w:bookmarkStart w:id="71" w:name="_Toc47874184"/>
      <w:bookmarkStart w:id="72" w:name="_Toc8539"/>
      <w:bookmarkStart w:id="73" w:name="_Toc65065902"/>
    </w:p>
    <w:p>
      <w:pPr>
        <w:pStyle w:val="2"/>
        <w:spacing w:before="156" w:beforeLines="50" w:after="156" w:afterLines="50"/>
      </w:pPr>
      <w:r>
        <w:rPr>
          <w:rFonts w:hint="eastAsia"/>
        </w:rPr>
        <w:t>房地产估价结果报告</w:t>
      </w:r>
      <w:bookmarkEnd w:id="61"/>
      <w:bookmarkEnd w:id="62"/>
      <w:bookmarkEnd w:id="63"/>
      <w:bookmarkEnd w:id="64"/>
      <w:bookmarkEnd w:id="65"/>
      <w:bookmarkEnd w:id="66"/>
      <w:bookmarkEnd w:id="67"/>
      <w:bookmarkEnd w:id="68"/>
      <w:bookmarkEnd w:id="69"/>
      <w:bookmarkEnd w:id="70"/>
      <w:bookmarkEnd w:id="71"/>
      <w:bookmarkEnd w:id="72"/>
      <w:bookmarkEnd w:id="73"/>
    </w:p>
    <w:p>
      <w:pPr>
        <w:pStyle w:val="3"/>
        <w:numPr>
          <w:ilvl w:val="0"/>
          <w:numId w:val="9"/>
        </w:numPr>
        <w:spacing w:before="120" w:after="120" w:line="500" w:lineRule="exact"/>
        <w:ind w:left="0" w:firstLine="640" w:firstLineChars="200"/>
        <w:rPr>
          <w:rFonts w:ascii="Times New Roman" w:hAnsi="Times New Roman" w:eastAsia="宋体"/>
        </w:rPr>
      </w:pPr>
      <w:bookmarkStart w:id="74" w:name="_Toc239144235"/>
      <w:bookmarkStart w:id="75" w:name="_Toc396396770"/>
      <w:bookmarkStart w:id="76" w:name="_Toc207"/>
      <w:bookmarkStart w:id="77" w:name="_Toc445892277"/>
      <w:bookmarkStart w:id="78" w:name="_Toc47874185"/>
      <w:bookmarkStart w:id="79" w:name="_Toc468882205"/>
      <w:bookmarkStart w:id="80" w:name="_Toc445891404"/>
      <w:bookmarkStart w:id="81" w:name="_Toc472961340"/>
      <w:bookmarkStart w:id="82" w:name="_Toc497752863"/>
      <w:bookmarkStart w:id="83" w:name="_Toc432574966"/>
      <w:bookmarkStart w:id="84" w:name="_Toc476489037"/>
      <w:bookmarkStart w:id="85" w:name="_Toc46417158"/>
      <w:bookmarkStart w:id="86" w:name="_Toc65065903"/>
      <w:bookmarkStart w:id="87" w:name="_Toc432490539"/>
      <w:r>
        <w:rPr>
          <w:rFonts w:hint="eastAsia" w:ascii="Times New Roman" w:hAnsi="Times New Roman" w:eastAsia="宋体"/>
        </w:rPr>
        <w:t>估价</w:t>
      </w:r>
      <w:bookmarkEnd w:id="74"/>
      <w:bookmarkEnd w:id="75"/>
      <w:r>
        <w:rPr>
          <w:rFonts w:hint="eastAsia" w:ascii="Times New Roman" w:hAnsi="Times New Roman" w:eastAsia="宋体"/>
        </w:rPr>
        <w:t>委托人</w:t>
      </w:r>
      <w:bookmarkEnd w:id="76"/>
      <w:bookmarkEnd w:id="77"/>
      <w:bookmarkEnd w:id="78"/>
      <w:bookmarkEnd w:id="79"/>
      <w:bookmarkEnd w:id="80"/>
      <w:bookmarkEnd w:id="81"/>
      <w:bookmarkEnd w:id="82"/>
      <w:bookmarkEnd w:id="83"/>
      <w:bookmarkEnd w:id="84"/>
      <w:bookmarkEnd w:id="85"/>
      <w:bookmarkEnd w:id="86"/>
      <w:bookmarkEnd w:id="87"/>
      <w:r>
        <w:rPr>
          <w:rFonts w:hint="eastAsia" w:ascii="Times New Roman" w:hAnsi="Times New Roman" w:eastAsia="宋体"/>
        </w:rPr>
        <w:t xml:space="preserve"> </w:t>
      </w:r>
    </w:p>
    <w:p>
      <w:pPr>
        <w:tabs>
          <w:tab w:val="left" w:pos="540"/>
          <w:tab w:val="left" w:pos="900"/>
          <w:tab w:val="left" w:pos="1260"/>
          <w:tab w:val="left" w:pos="1300"/>
          <w:tab w:val="left" w:pos="1430"/>
          <w:tab w:val="left" w:pos="1590"/>
        </w:tabs>
        <w:spacing w:line="540" w:lineRule="exact"/>
        <w:ind w:firstLine="560" w:firstLineChars="200"/>
        <w:jc w:val="left"/>
        <w:rPr>
          <w:rFonts w:cs="Arial Narrow"/>
          <w:bCs/>
          <w:sz w:val="28"/>
          <w:szCs w:val="28"/>
        </w:rPr>
      </w:pPr>
      <w:r>
        <w:rPr>
          <w:rFonts w:hint="eastAsia" w:cs="Arial Narrow"/>
          <w:bCs/>
          <w:sz w:val="28"/>
          <w:szCs w:val="28"/>
        </w:rPr>
        <w:t>委  托  人</w:t>
      </w:r>
      <w:r>
        <w:rPr>
          <w:rFonts w:cs="Arial Narrow"/>
          <w:bCs/>
          <w:sz w:val="28"/>
          <w:szCs w:val="28"/>
        </w:rPr>
        <w:t>：</w:t>
      </w:r>
      <w:r>
        <w:rPr>
          <w:rFonts w:hint="eastAsia" w:cs="Arial Narrow"/>
          <w:bCs/>
          <w:sz w:val="28"/>
          <w:szCs w:val="28"/>
        </w:rPr>
        <w:t>岑巩县人民法院</w:t>
      </w:r>
    </w:p>
    <w:p>
      <w:pPr>
        <w:pStyle w:val="3"/>
        <w:numPr>
          <w:ilvl w:val="0"/>
          <w:numId w:val="9"/>
        </w:numPr>
        <w:spacing w:before="120" w:after="120" w:line="500" w:lineRule="exact"/>
        <w:ind w:left="0" w:firstLine="640" w:firstLineChars="200"/>
        <w:rPr>
          <w:rFonts w:ascii="Times New Roman" w:hAnsi="Times New Roman" w:eastAsia="宋体"/>
        </w:rPr>
      </w:pPr>
      <w:bookmarkStart w:id="88" w:name="_Toc445892278"/>
      <w:bookmarkStart w:id="89" w:name="_Toc468882206"/>
      <w:bookmarkStart w:id="90" w:name="_Toc497752864"/>
      <w:bookmarkStart w:id="91" w:name="_Toc432490540"/>
      <w:bookmarkStart w:id="92" w:name="_Toc47874186"/>
      <w:bookmarkStart w:id="93" w:name="_Toc46417159"/>
      <w:bookmarkStart w:id="94" w:name="_Toc476489038"/>
      <w:bookmarkStart w:id="95" w:name="_Toc472961341"/>
      <w:bookmarkStart w:id="96" w:name="_Toc432574967"/>
      <w:bookmarkStart w:id="97" w:name="_Toc6637"/>
      <w:bookmarkStart w:id="98" w:name="_Toc445891405"/>
      <w:bookmarkStart w:id="99" w:name="_Toc65065904"/>
      <w:r>
        <w:rPr>
          <w:rFonts w:hint="eastAsia" w:ascii="Times New Roman" w:hAnsi="Times New Roman" w:eastAsia="宋体"/>
        </w:rPr>
        <w:t>房地产估价机构</w:t>
      </w:r>
      <w:bookmarkEnd w:id="88"/>
      <w:bookmarkEnd w:id="89"/>
      <w:bookmarkEnd w:id="90"/>
      <w:bookmarkEnd w:id="91"/>
      <w:bookmarkEnd w:id="92"/>
      <w:bookmarkEnd w:id="93"/>
      <w:bookmarkEnd w:id="94"/>
      <w:bookmarkEnd w:id="95"/>
      <w:bookmarkEnd w:id="96"/>
      <w:bookmarkEnd w:id="97"/>
      <w:bookmarkEnd w:id="98"/>
      <w:bookmarkEnd w:id="99"/>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bookmarkStart w:id="100" w:name="_Toc239144237"/>
      <w:bookmarkStart w:id="101" w:name="_Toc396396772"/>
      <w:r>
        <w:rPr>
          <w:rFonts w:hint="eastAsia"/>
          <w:bCs/>
          <w:sz w:val="28"/>
          <w:szCs w:val="28"/>
        </w:rPr>
        <w:t>估价机构名称：贵州桑立房地产资产评估有限公司</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住所：</w:t>
      </w:r>
      <w:r>
        <w:rPr>
          <w:bCs/>
          <w:sz w:val="28"/>
          <w:szCs w:val="28"/>
        </w:rPr>
        <w:t>贵州省贵阳市</w:t>
      </w:r>
      <w:r>
        <w:rPr>
          <w:rFonts w:hint="eastAsia"/>
          <w:bCs/>
          <w:sz w:val="28"/>
          <w:szCs w:val="28"/>
        </w:rPr>
        <w:t>南明区文昌南路7</w:t>
      </w:r>
      <w:r>
        <w:rPr>
          <w:bCs/>
          <w:sz w:val="28"/>
          <w:szCs w:val="28"/>
        </w:rPr>
        <w:t>9</w:t>
      </w:r>
      <w:r>
        <w:rPr>
          <w:rFonts w:hint="eastAsia"/>
          <w:bCs/>
          <w:sz w:val="28"/>
          <w:szCs w:val="28"/>
        </w:rPr>
        <w:t>号文昌苑综合楼A栋1</w:t>
      </w:r>
      <w:r>
        <w:rPr>
          <w:bCs/>
          <w:sz w:val="28"/>
          <w:szCs w:val="28"/>
        </w:rPr>
        <w:t>2</w:t>
      </w:r>
      <w:r>
        <w:rPr>
          <w:rFonts w:hint="eastAsia"/>
          <w:bCs/>
          <w:sz w:val="28"/>
          <w:szCs w:val="28"/>
        </w:rPr>
        <w:t>层</w:t>
      </w:r>
      <w:r>
        <w:rPr>
          <w:bCs/>
          <w:sz w:val="28"/>
          <w:szCs w:val="28"/>
        </w:rPr>
        <w:t>5</w:t>
      </w:r>
      <w:r>
        <w:rPr>
          <w:rFonts w:hint="eastAsia"/>
          <w:bCs/>
          <w:sz w:val="28"/>
          <w:szCs w:val="28"/>
        </w:rPr>
        <w:t>号</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统一社会信用代码：</w:t>
      </w:r>
      <w:r>
        <w:rPr>
          <w:bCs/>
          <w:sz w:val="28"/>
          <w:szCs w:val="28"/>
        </w:rPr>
        <w:t>91520115722108769G</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资质证书号：黔房评字0100802</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房地产估价资质级别：二级</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 xml:space="preserve">法定代表人：简晖 </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 xml:space="preserve">联系人：李兵 </w:t>
      </w:r>
    </w:p>
    <w:p>
      <w:pPr>
        <w:tabs>
          <w:tab w:val="left" w:pos="540"/>
          <w:tab w:val="left" w:pos="900"/>
          <w:tab w:val="left" w:pos="1260"/>
          <w:tab w:val="left" w:pos="1300"/>
          <w:tab w:val="left" w:pos="1430"/>
          <w:tab w:val="left" w:pos="1590"/>
        </w:tabs>
        <w:spacing w:line="540" w:lineRule="exact"/>
        <w:ind w:firstLine="560" w:firstLineChars="200"/>
        <w:jc w:val="left"/>
        <w:rPr>
          <w:bCs/>
          <w:sz w:val="28"/>
          <w:szCs w:val="28"/>
        </w:rPr>
      </w:pPr>
      <w:r>
        <w:rPr>
          <w:rFonts w:hint="eastAsia"/>
          <w:bCs/>
          <w:sz w:val="28"/>
          <w:szCs w:val="28"/>
        </w:rPr>
        <w:t>联系电话：</w:t>
      </w:r>
      <w:r>
        <w:rPr>
          <w:bCs/>
          <w:sz w:val="28"/>
          <w:szCs w:val="28"/>
        </w:rPr>
        <w:t>18085137774</w:t>
      </w:r>
      <w:r>
        <w:rPr>
          <w:rFonts w:hint="eastAsia"/>
          <w:bCs/>
          <w:sz w:val="28"/>
          <w:szCs w:val="28"/>
        </w:rPr>
        <w:t>、0851-85556351</w:t>
      </w:r>
    </w:p>
    <w:p>
      <w:pPr>
        <w:pStyle w:val="3"/>
        <w:numPr>
          <w:ilvl w:val="0"/>
          <w:numId w:val="9"/>
        </w:numPr>
        <w:spacing w:before="120" w:after="120" w:line="500" w:lineRule="exact"/>
        <w:ind w:left="0" w:firstLine="640" w:firstLineChars="200"/>
        <w:rPr>
          <w:rFonts w:ascii="Times New Roman" w:hAnsi="Times New Roman" w:eastAsia="宋体"/>
        </w:rPr>
      </w:pPr>
      <w:bookmarkStart w:id="102" w:name="_Toc476489039"/>
      <w:bookmarkStart w:id="103" w:name="_Toc396396773"/>
      <w:bookmarkStart w:id="104" w:name="_Toc239144238"/>
      <w:bookmarkStart w:id="105" w:name="_Toc432490542"/>
      <w:bookmarkStart w:id="106" w:name="_Toc497752865"/>
      <w:bookmarkStart w:id="107" w:name="_Toc445891406"/>
      <w:bookmarkStart w:id="108" w:name="_Toc468882207"/>
      <w:bookmarkStart w:id="109" w:name="_Toc472961342"/>
      <w:bookmarkStart w:id="110" w:name="_Toc47874187"/>
      <w:bookmarkStart w:id="111" w:name="_Toc46417160"/>
      <w:bookmarkStart w:id="112" w:name="_Toc8847"/>
      <w:bookmarkStart w:id="113" w:name="_Toc65065905"/>
      <w:bookmarkStart w:id="114" w:name="_Toc445892279"/>
      <w:bookmarkStart w:id="115" w:name="_Toc432574969"/>
      <w:bookmarkStart w:id="116" w:name="_Toc432490541"/>
      <w:bookmarkStart w:id="117" w:name="_Toc432574968"/>
      <w:r>
        <w:rPr>
          <w:rFonts w:hint="eastAsia" w:ascii="Times New Roman" w:hAnsi="Times New Roman" w:eastAsia="宋体"/>
        </w:rPr>
        <w:t>估价目的</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tabs>
          <w:tab w:val="left" w:pos="210"/>
          <w:tab w:val="left" w:pos="630"/>
        </w:tabs>
        <w:spacing w:line="500" w:lineRule="exact"/>
        <w:ind w:left="-4" w:leftChars="-2" w:firstLine="560" w:firstLineChars="200"/>
        <w:jc w:val="left"/>
        <w:rPr>
          <w:bCs/>
          <w:sz w:val="28"/>
          <w:szCs w:val="28"/>
        </w:rPr>
      </w:pPr>
      <w:bookmarkStart w:id="118" w:name="_Toc445891407"/>
      <w:bookmarkStart w:id="119" w:name="_Toc497752866"/>
      <w:bookmarkStart w:id="120" w:name="_Toc472961343"/>
      <w:bookmarkStart w:id="121" w:name="_Toc476489040"/>
      <w:bookmarkStart w:id="122" w:name="_Toc468882208"/>
      <w:bookmarkStart w:id="123" w:name="_Toc445892280"/>
      <w:r>
        <w:rPr>
          <w:rFonts w:hint="eastAsia"/>
          <w:sz w:val="28"/>
          <w:szCs w:val="28"/>
        </w:rPr>
        <w:t>为人民法院确定财产处置参考价提供参考依据</w:t>
      </w:r>
      <w:r>
        <w:rPr>
          <w:rFonts w:hint="eastAsia"/>
          <w:bCs/>
          <w:sz w:val="28"/>
          <w:szCs w:val="28"/>
        </w:rPr>
        <w:t>。</w:t>
      </w:r>
    </w:p>
    <w:bookmarkEnd w:id="100"/>
    <w:bookmarkEnd w:id="101"/>
    <w:bookmarkEnd w:id="116"/>
    <w:bookmarkEnd w:id="117"/>
    <w:bookmarkEnd w:id="118"/>
    <w:bookmarkEnd w:id="119"/>
    <w:bookmarkEnd w:id="120"/>
    <w:bookmarkEnd w:id="121"/>
    <w:bookmarkEnd w:id="122"/>
    <w:bookmarkEnd w:id="123"/>
    <w:p>
      <w:pPr>
        <w:pStyle w:val="3"/>
        <w:numPr>
          <w:ilvl w:val="0"/>
          <w:numId w:val="9"/>
        </w:numPr>
        <w:spacing w:before="120" w:after="120" w:line="500" w:lineRule="exact"/>
        <w:ind w:left="0" w:firstLine="640" w:firstLineChars="200"/>
        <w:rPr>
          <w:rFonts w:ascii="Times New Roman" w:hAnsi="Times New Roman" w:eastAsia="宋体"/>
        </w:rPr>
      </w:pPr>
      <w:bookmarkStart w:id="124" w:name="_Toc47874189"/>
      <w:bookmarkStart w:id="125" w:name="_Toc65065906"/>
      <w:bookmarkStart w:id="126" w:name="_Toc46417162"/>
      <w:bookmarkStart w:id="127" w:name="_Toc23908"/>
      <w:bookmarkStart w:id="128" w:name="_Toc432490543"/>
      <w:bookmarkStart w:id="129" w:name="_Toc472961345"/>
      <w:bookmarkStart w:id="130" w:name="_Toc432574970"/>
      <w:bookmarkStart w:id="131" w:name="_Toc445891409"/>
      <w:bookmarkStart w:id="132" w:name="_Toc445892282"/>
      <w:bookmarkStart w:id="133" w:name="_Toc396396774"/>
      <w:bookmarkStart w:id="134" w:name="_Toc476489042"/>
      <w:bookmarkStart w:id="135" w:name="_Toc1488"/>
      <w:bookmarkStart w:id="136" w:name="_Toc468882210"/>
      <w:bookmarkStart w:id="137" w:name="_Toc497752868"/>
      <w:bookmarkStart w:id="138" w:name="_Toc239144240"/>
      <w:bookmarkStart w:id="139" w:name="_Toc396396776"/>
      <w:r>
        <w:rPr>
          <w:rFonts w:hint="eastAsia" w:ascii="Times New Roman" w:hAnsi="Times New Roman" w:eastAsia="宋体"/>
        </w:rPr>
        <w:t>估价对象</w:t>
      </w:r>
      <w:bookmarkEnd w:id="124"/>
      <w:bookmarkEnd w:id="125"/>
      <w:bookmarkEnd w:id="126"/>
      <w:bookmarkEnd w:id="127"/>
    </w:p>
    <w:p>
      <w:pPr>
        <w:numPr>
          <w:ilvl w:val="0"/>
          <w:numId w:val="10"/>
        </w:numPr>
        <w:tabs>
          <w:tab w:val="left" w:pos="210"/>
          <w:tab w:val="left" w:pos="630"/>
        </w:tabs>
        <w:spacing w:line="500" w:lineRule="exact"/>
        <w:jc w:val="left"/>
        <w:outlineLvl w:val="2"/>
        <w:rPr>
          <w:bCs/>
          <w:sz w:val="28"/>
          <w:szCs w:val="28"/>
        </w:rPr>
      </w:pPr>
      <w:bookmarkStart w:id="140" w:name="_Toc65065907"/>
      <w:bookmarkStart w:id="141" w:name="_Toc46417163"/>
      <w:bookmarkStart w:id="142" w:name="_Toc47699565"/>
      <w:bookmarkStart w:id="143" w:name="_Toc47874190"/>
      <w:r>
        <w:rPr>
          <w:rFonts w:hint="eastAsia"/>
          <w:bCs/>
          <w:sz w:val="28"/>
          <w:szCs w:val="28"/>
        </w:rPr>
        <w:t>估价对象范围</w:t>
      </w:r>
      <w:bookmarkEnd w:id="140"/>
      <w:bookmarkEnd w:id="141"/>
      <w:bookmarkEnd w:id="142"/>
      <w:bookmarkEnd w:id="143"/>
    </w:p>
    <w:p>
      <w:pPr>
        <w:spacing w:line="510" w:lineRule="exact"/>
        <w:ind w:firstLine="560" w:firstLineChars="200"/>
        <w:rPr>
          <w:sz w:val="28"/>
          <w:szCs w:val="28"/>
        </w:rPr>
      </w:pPr>
      <w:r>
        <w:rPr>
          <w:rFonts w:hint="eastAsia" w:cs="Arial Narrow"/>
          <w:sz w:val="28"/>
          <w:szCs w:val="28"/>
        </w:rPr>
        <w:t>根据委托人提供的《委托评估函》【（2022）黔2626执恢100号】、《房屋所有权证》复印件，确定估价对象为</w:t>
      </w:r>
      <w:r>
        <w:rPr>
          <w:rFonts w:hint="eastAsia"/>
          <w:sz w:val="28"/>
          <w:szCs w:val="28"/>
        </w:rPr>
        <w:t>岑巩县新兴滨河路一套住宅房地产，包括建筑物及其分摊的国有建设用地使用权、室内固定装修和公共配套设施，不包括动产、债权债务等其他财产或权益。</w:t>
      </w:r>
    </w:p>
    <w:p>
      <w:pPr>
        <w:numPr>
          <w:ilvl w:val="0"/>
          <w:numId w:val="10"/>
        </w:numPr>
        <w:tabs>
          <w:tab w:val="left" w:pos="210"/>
          <w:tab w:val="left" w:pos="630"/>
        </w:tabs>
        <w:spacing w:line="510" w:lineRule="exact"/>
        <w:jc w:val="left"/>
        <w:outlineLvl w:val="2"/>
        <w:rPr>
          <w:bCs/>
          <w:sz w:val="28"/>
          <w:szCs w:val="28"/>
        </w:rPr>
      </w:pPr>
      <w:bookmarkStart w:id="144" w:name="_Toc65065908"/>
      <w:bookmarkStart w:id="145" w:name="_Toc46417164"/>
      <w:bookmarkStart w:id="146" w:name="_Toc47699566"/>
      <w:bookmarkStart w:id="147" w:name="_Toc47874191"/>
      <w:r>
        <w:rPr>
          <w:rFonts w:hint="eastAsia"/>
          <w:bCs/>
          <w:sz w:val="28"/>
          <w:szCs w:val="28"/>
        </w:rPr>
        <w:t>估价对象权益状况</w:t>
      </w:r>
      <w:bookmarkEnd w:id="144"/>
      <w:bookmarkEnd w:id="145"/>
      <w:bookmarkEnd w:id="146"/>
      <w:bookmarkEnd w:id="147"/>
    </w:p>
    <w:p>
      <w:pPr>
        <w:spacing w:line="510" w:lineRule="exact"/>
        <w:ind w:left="556"/>
        <w:outlineLvl w:val="3"/>
        <w:rPr>
          <w:sz w:val="28"/>
          <w:szCs w:val="28"/>
        </w:rPr>
      </w:pPr>
      <w:bookmarkStart w:id="148" w:name="_Toc46417165"/>
      <w:bookmarkStart w:id="149" w:name="_Toc47699567"/>
      <w:bookmarkStart w:id="150" w:name="_Toc47874192"/>
      <w:r>
        <w:rPr>
          <w:rFonts w:hint="eastAsia"/>
          <w:sz w:val="28"/>
          <w:szCs w:val="28"/>
        </w:rPr>
        <w:t>1.</w:t>
      </w:r>
      <w:r>
        <w:rPr>
          <w:sz w:val="28"/>
          <w:szCs w:val="28"/>
        </w:rPr>
        <w:t>房屋权属状况</w:t>
      </w:r>
      <w:bookmarkEnd w:id="148"/>
      <w:bookmarkEnd w:id="149"/>
      <w:bookmarkEnd w:id="150"/>
    </w:p>
    <w:p>
      <w:pPr>
        <w:spacing w:line="510" w:lineRule="exact"/>
        <w:ind w:firstLine="560" w:firstLineChars="200"/>
        <w:rPr>
          <w:color w:val="000000"/>
          <w:sz w:val="28"/>
          <w:szCs w:val="28"/>
        </w:rPr>
      </w:pPr>
      <w:r>
        <w:rPr>
          <w:rFonts w:hint="eastAsia"/>
          <w:sz w:val="28"/>
          <w:szCs w:val="28"/>
        </w:rPr>
        <w:t>根据委托人提供的《房屋所有权证》复印件，确定估价对象房屋所有权人为龙芳单独所有，其房屋用途为住宅</w:t>
      </w:r>
      <w:r>
        <w:rPr>
          <w:rFonts w:hint="eastAsia" w:cs="Arial Narrow"/>
          <w:sz w:val="28"/>
          <w:szCs w:val="28"/>
        </w:rPr>
        <w:t>，建筑面积145.12平方米。</w:t>
      </w:r>
    </w:p>
    <w:p>
      <w:pPr>
        <w:numPr>
          <w:ilvl w:val="0"/>
          <w:numId w:val="11"/>
        </w:numPr>
        <w:spacing w:line="510" w:lineRule="exact"/>
        <w:ind w:left="556"/>
        <w:outlineLvl w:val="3"/>
        <w:rPr>
          <w:sz w:val="28"/>
          <w:szCs w:val="28"/>
        </w:rPr>
      </w:pPr>
      <w:bookmarkStart w:id="151" w:name="_Toc47874193"/>
      <w:bookmarkStart w:id="152" w:name="_Toc47699568"/>
      <w:bookmarkStart w:id="153" w:name="_Toc46417166"/>
      <w:r>
        <w:rPr>
          <w:sz w:val="28"/>
          <w:szCs w:val="28"/>
        </w:rPr>
        <w:t>土地</w:t>
      </w:r>
      <w:r>
        <w:rPr>
          <w:rFonts w:hint="eastAsia"/>
          <w:sz w:val="28"/>
          <w:szCs w:val="28"/>
        </w:rPr>
        <w:t>权属</w:t>
      </w:r>
      <w:r>
        <w:rPr>
          <w:sz w:val="28"/>
          <w:szCs w:val="28"/>
        </w:rPr>
        <w:t>状况</w:t>
      </w:r>
      <w:bookmarkEnd w:id="151"/>
      <w:bookmarkEnd w:id="152"/>
      <w:bookmarkEnd w:id="153"/>
    </w:p>
    <w:p>
      <w:pPr>
        <w:spacing w:line="500" w:lineRule="exact"/>
        <w:ind w:firstLine="560" w:firstLineChars="200"/>
        <w:rPr>
          <w:sz w:val="28"/>
          <w:szCs w:val="28"/>
        </w:rPr>
      </w:pPr>
      <w:r>
        <w:rPr>
          <w:rFonts w:hint="eastAsia"/>
          <w:sz w:val="28"/>
          <w:szCs w:val="28"/>
        </w:rPr>
        <w:t>根据《协助查询通知书（回执）》复印件，估价对象所在宗地的土地使用权类型及性质为国有出让建设用地，土地用途为城镇住宅用地，土地使用权年限为2004年02月09日起至2054年02月08日止。</w:t>
      </w:r>
    </w:p>
    <w:p>
      <w:pPr>
        <w:numPr>
          <w:ilvl w:val="0"/>
          <w:numId w:val="12"/>
        </w:numPr>
        <w:spacing w:line="500" w:lineRule="exact"/>
        <w:ind w:left="556"/>
        <w:outlineLvl w:val="3"/>
        <w:rPr>
          <w:sz w:val="28"/>
          <w:szCs w:val="28"/>
        </w:rPr>
      </w:pPr>
      <w:r>
        <w:rPr>
          <w:rFonts w:hint="eastAsia"/>
          <w:sz w:val="28"/>
          <w:szCs w:val="28"/>
        </w:rPr>
        <w:t>其他权益状况</w:t>
      </w:r>
    </w:p>
    <w:p>
      <w:pPr>
        <w:spacing w:line="500" w:lineRule="exact"/>
        <w:ind w:firstLine="560" w:firstLineChars="200"/>
        <w:rPr>
          <w:sz w:val="28"/>
          <w:szCs w:val="28"/>
        </w:rPr>
      </w:pPr>
      <w:r>
        <w:rPr>
          <w:rFonts w:hint="eastAsia"/>
          <w:sz w:val="28"/>
          <w:szCs w:val="28"/>
        </w:rPr>
        <w:t>未提供相关资料，具体信息不详。</w:t>
      </w:r>
    </w:p>
    <w:p>
      <w:pPr>
        <w:numPr>
          <w:ilvl w:val="0"/>
          <w:numId w:val="10"/>
        </w:numPr>
        <w:tabs>
          <w:tab w:val="left" w:pos="210"/>
          <w:tab w:val="left" w:pos="630"/>
        </w:tabs>
        <w:spacing w:line="510" w:lineRule="exact"/>
        <w:jc w:val="left"/>
        <w:outlineLvl w:val="2"/>
        <w:rPr>
          <w:bCs/>
          <w:sz w:val="28"/>
          <w:szCs w:val="28"/>
        </w:rPr>
      </w:pPr>
      <w:bookmarkStart w:id="154" w:name="_Toc65065909"/>
      <w:bookmarkStart w:id="155" w:name="_Toc46417167"/>
      <w:bookmarkStart w:id="156" w:name="_Toc47874194"/>
      <w:bookmarkStart w:id="157" w:name="_Toc47699569"/>
      <w:r>
        <w:rPr>
          <w:rFonts w:hint="eastAsia"/>
          <w:bCs/>
          <w:sz w:val="28"/>
          <w:szCs w:val="28"/>
        </w:rPr>
        <w:t>估价对象土地基本状况</w:t>
      </w:r>
      <w:bookmarkEnd w:id="154"/>
      <w:bookmarkEnd w:id="155"/>
      <w:bookmarkEnd w:id="156"/>
      <w:bookmarkEnd w:id="157"/>
    </w:p>
    <w:p>
      <w:pPr>
        <w:spacing w:line="510" w:lineRule="exact"/>
        <w:ind w:firstLine="560" w:firstLineChars="200"/>
        <w:rPr>
          <w:bCs/>
          <w:sz w:val="28"/>
          <w:szCs w:val="28"/>
        </w:rPr>
      </w:pPr>
      <w:r>
        <w:rPr>
          <w:rFonts w:hint="eastAsia"/>
          <w:bCs/>
          <w:sz w:val="28"/>
          <w:szCs w:val="28"/>
        </w:rPr>
        <w:t>根据</w:t>
      </w:r>
      <w:r>
        <w:rPr>
          <w:rFonts w:hint="eastAsia"/>
          <w:sz w:val="28"/>
          <w:szCs w:val="28"/>
        </w:rPr>
        <w:t>《协助查询通知书（回执）》复印件以及</w:t>
      </w:r>
      <w:r>
        <w:rPr>
          <w:rFonts w:hint="eastAsia"/>
          <w:bCs/>
          <w:sz w:val="28"/>
          <w:szCs w:val="28"/>
        </w:rPr>
        <w:t>估价人员现场查勘，估价对象土地基本情况如下：</w:t>
      </w:r>
    </w:p>
    <w:p>
      <w:pPr>
        <w:numPr>
          <w:ilvl w:val="0"/>
          <w:numId w:val="13"/>
        </w:numPr>
        <w:tabs>
          <w:tab w:val="left" w:pos="993"/>
        </w:tabs>
        <w:spacing w:line="510" w:lineRule="exact"/>
        <w:ind w:left="0" w:firstLine="560" w:firstLineChars="200"/>
        <w:rPr>
          <w:sz w:val="28"/>
          <w:szCs w:val="28"/>
        </w:rPr>
      </w:pPr>
      <w:r>
        <w:rPr>
          <w:rFonts w:hint="eastAsia"/>
          <w:sz w:val="28"/>
          <w:szCs w:val="28"/>
        </w:rPr>
        <w:t>名称：位于岑巩县新兴滨河路一套住宅用房分摊的土地使用权。</w:t>
      </w:r>
    </w:p>
    <w:p>
      <w:pPr>
        <w:numPr>
          <w:ilvl w:val="0"/>
          <w:numId w:val="13"/>
        </w:numPr>
        <w:tabs>
          <w:tab w:val="left" w:pos="993"/>
        </w:tabs>
        <w:spacing w:line="510" w:lineRule="exact"/>
        <w:ind w:left="0" w:firstLine="560" w:firstLineChars="200"/>
        <w:rPr>
          <w:sz w:val="28"/>
          <w:szCs w:val="28"/>
        </w:rPr>
      </w:pPr>
      <w:r>
        <w:rPr>
          <w:rFonts w:hint="eastAsia"/>
          <w:sz w:val="28"/>
          <w:szCs w:val="28"/>
        </w:rPr>
        <w:t>四至：东至其它宗地、南至滨河路、西至其它宗地、北至其它宗地。</w:t>
      </w:r>
    </w:p>
    <w:p>
      <w:pPr>
        <w:numPr>
          <w:ilvl w:val="0"/>
          <w:numId w:val="13"/>
        </w:numPr>
        <w:tabs>
          <w:tab w:val="left" w:pos="993"/>
        </w:tabs>
        <w:spacing w:line="510" w:lineRule="exact"/>
        <w:ind w:left="0" w:firstLine="560" w:firstLineChars="200"/>
        <w:rPr>
          <w:sz w:val="28"/>
          <w:szCs w:val="28"/>
        </w:rPr>
      </w:pPr>
      <w:r>
        <w:rPr>
          <w:rFonts w:hint="eastAsia"/>
          <w:sz w:val="28"/>
          <w:szCs w:val="28"/>
        </w:rPr>
        <w:t>共有宗地面积：未提供相关资料，具体信息不详。</w:t>
      </w:r>
    </w:p>
    <w:p>
      <w:pPr>
        <w:numPr>
          <w:ilvl w:val="0"/>
          <w:numId w:val="13"/>
        </w:numPr>
        <w:tabs>
          <w:tab w:val="left" w:pos="993"/>
        </w:tabs>
        <w:spacing w:line="510" w:lineRule="exact"/>
        <w:ind w:left="0" w:firstLine="560" w:firstLineChars="200"/>
        <w:rPr>
          <w:sz w:val="28"/>
          <w:szCs w:val="28"/>
        </w:rPr>
      </w:pPr>
      <w:r>
        <w:rPr>
          <w:rFonts w:hint="eastAsia"/>
          <w:sz w:val="28"/>
          <w:szCs w:val="28"/>
        </w:rPr>
        <w:t>形状：较为规则的多边形，有利于建筑物修建及平面布局。</w:t>
      </w:r>
    </w:p>
    <w:p>
      <w:pPr>
        <w:numPr>
          <w:ilvl w:val="0"/>
          <w:numId w:val="13"/>
        </w:numPr>
        <w:tabs>
          <w:tab w:val="left" w:pos="993"/>
        </w:tabs>
        <w:spacing w:line="510" w:lineRule="exact"/>
        <w:ind w:left="0" w:firstLine="560" w:firstLineChars="200"/>
        <w:rPr>
          <w:sz w:val="28"/>
          <w:szCs w:val="28"/>
        </w:rPr>
      </w:pPr>
      <w:r>
        <w:rPr>
          <w:rFonts w:hint="eastAsia"/>
          <w:sz w:val="28"/>
          <w:szCs w:val="28"/>
        </w:rPr>
        <w:t>地势：地势平坦，有利于建筑物修建。</w:t>
      </w:r>
    </w:p>
    <w:p>
      <w:pPr>
        <w:numPr>
          <w:ilvl w:val="0"/>
          <w:numId w:val="13"/>
        </w:numPr>
        <w:tabs>
          <w:tab w:val="left" w:pos="993"/>
        </w:tabs>
        <w:spacing w:line="510" w:lineRule="exact"/>
        <w:ind w:left="0" w:firstLine="560" w:firstLineChars="200"/>
        <w:rPr>
          <w:sz w:val="28"/>
          <w:szCs w:val="28"/>
        </w:rPr>
      </w:pPr>
      <w:r>
        <w:rPr>
          <w:rFonts w:hint="eastAsia"/>
          <w:sz w:val="28"/>
          <w:szCs w:val="28"/>
        </w:rPr>
        <w:t>地质：土壤未受过污染，地质条件好，稳定性较强，可供建筑用地使用。</w:t>
      </w:r>
    </w:p>
    <w:p>
      <w:pPr>
        <w:numPr>
          <w:ilvl w:val="0"/>
          <w:numId w:val="13"/>
        </w:numPr>
        <w:tabs>
          <w:tab w:val="left" w:pos="993"/>
        </w:tabs>
        <w:spacing w:line="510" w:lineRule="exact"/>
        <w:ind w:left="0" w:firstLine="560" w:firstLineChars="200"/>
        <w:rPr>
          <w:sz w:val="28"/>
          <w:szCs w:val="28"/>
        </w:rPr>
      </w:pPr>
      <w:r>
        <w:rPr>
          <w:rFonts w:hint="eastAsia"/>
          <w:sz w:val="28"/>
          <w:szCs w:val="28"/>
        </w:rPr>
        <w:t>土地开发程度：“五通”即通路、通上水、通下水、通电、通讯。</w:t>
      </w:r>
    </w:p>
    <w:p>
      <w:pPr>
        <w:numPr>
          <w:ilvl w:val="0"/>
          <w:numId w:val="13"/>
        </w:numPr>
        <w:tabs>
          <w:tab w:val="left" w:pos="993"/>
        </w:tabs>
        <w:spacing w:line="510" w:lineRule="exact"/>
        <w:ind w:left="0" w:firstLine="560" w:firstLineChars="200"/>
        <w:rPr>
          <w:sz w:val="28"/>
          <w:szCs w:val="28"/>
        </w:rPr>
      </w:pPr>
      <w:r>
        <w:rPr>
          <w:rFonts w:hint="eastAsia"/>
          <w:sz w:val="28"/>
          <w:szCs w:val="28"/>
        </w:rPr>
        <w:t>土地使用期限：2004年02月09日起至2054年02月08日止。</w:t>
      </w:r>
    </w:p>
    <w:p>
      <w:pPr>
        <w:numPr>
          <w:ilvl w:val="0"/>
          <w:numId w:val="13"/>
        </w:numPr>
        <w:tabs>
          <w:tab w:val="left" w:pos="993"/>
        </w:tabs>
        <w:spacing w:line="500" w:lineRule="exact"/>
        <w:ind w:left="0" w:firstLine="560" w:firstLineChars="200"/>
        <w:rPr>
          <w:sz w:val="28"/>
          <w:szCs w:val="28"/>
        </w:rPr>
      </w:pPr>
      <w:r>
        <w:rPr>
          <w:rFonts w:hint="eastAsia"/>
          <w:sz w:val="28"/>
          <w:szCs w:val="28"/>
        </w:rPr>
        <w:t>土地等级：根据《岑巩县人民政府关于公布岑巩县城镇土地定级与基准地价更新成果的通知》（岑府通〔2016〕2号），估价对象所属宗地属于住宅一级地。</w:t>
      </w:r>
    </w:p>
    <w:p>
      <w:pPr>
        <w:numPr>
          <w:ilvl w:val="0"/>
          <w:numId w:val="10"/>
        </w:numPr>
        <w:tabs>
          <w:tab w:val="left" w:pos="210"/>
          <w:tab w:val="left" w:pos="630"/>
        </w:tabs>
        <w:spacing w:line="500" w:lineRule="exact"/>
        <w:jc w:val="left"/>
        <w:outlineLvl w:val="2"/>
        <w:rPr>
          <w:bCs/>
          <w:sz w:val="28"/>
          <w:szCs w:val="28"/>
        </w:rPr>
      </w:pPr>
      <w:bookmarkStart w:id="158" w:name="_Toc47874195"/>
      <w:bookmarkStart w:id="159" w:name="_Toc46417168"/>
      <w:bookmarkStart w:id="160" w:name="_Toc47699570"/>
      <w:bookmarkStart w:id="161" w:name="_Toc65065910"/>
      <w:r>
        <w:rPr>
          <w:rFonts w:hint="eastAsia"/>
          <w:bCs/>
          <w:sz w:val="28"/>
          <w:szCs w:val="28"/>
        </w:rPr>
        <w:t>估价对象实物状况</w:t>
      </w:r>
      <w:bookmarkEnd w:id="158"/>
      <w:bookmarkEnd w:id="159"/>
      <w:bookmarkEnd w:id="160"/>
      <w:bookmarkEnd w:id="161"/>
    </w:p>
    <w:p>
      <w:pPr>
        <w:spacing w:line="500" w:lineRule="exact"/>
        <w:ind w:firstLine="560" w:firstLineChars="200"/>
        <w:rPr>
          <w:sz w:val="28"/>
          <w:szCs w:val="28"/>
        </w:rPr>
      </w:pPr>
      <w:r>
        <w:rPr>
          <w:rFonts w:hint="eastAsia"/>
          <w:sz w:val="28"/>
          <w:szCs w:val="28"/>
        </w:rPr>
        <w:t>根据估价人员现场查勘，估价对象实物状况（详见下表）：</w:t>
      </w:r>
    </w:p>
    <w:tbl>
      <w:tblPr>
        <w:tblStyle w:val="21"/>
        <w:tblW w:w="5000" w:type="pct"/>
        <w:tblInd w:w="0" w:type="dxa"/>
        <w:tblLayout w:type="autofit"/>
        <w:tblCellMar>
          <w:top w:w="0" w:type="dxa"/>
          <w:left w:w="108" w:type="dxa"/>
          <w:bottom w:w="0" w:type="dxa"/>
          <w:right w:w="108" w:type="dxa"/>
        </w:tblCellMar>
      </w:tblPr>
      <w:tblGrid>
        <w:gridCol w:w="1011"/>
        <w:gridCol w:w="1350"/>
        <w:gridCol w:w="1381"/>
        <w:gridCol w:w="1450"/>
        <w:gridCol w:w="1575"/>
        <w:gridCol w:w="1545"/>
        <w:gridCol w:w="1541"/>
      </w:tblGrid>
      <w:tr>
        <w:tblPrEx>
          <w:tblCellMar>
            <w:top w:w="0" w:type="dxa"/>
            <w:left w:w="108" w:type="dxa"/>
            <w:bottom w:w="0" w:type="dxa"/>
            <w:right w:w="108" w:type="dxa"/>
          </w:tblCellMar>
        </w:tblPrEx>
        <w:trPr>
          <w:trHeight w:val="340" w:hRule="atLeast"/>
        </w:trPr>
        <w:tc>
          <w:tcPr>
            <w:tcW w:w="5000" w:type="pct"/>
            <w:gridSpan w:val="7"/>
            <w:tcBorders>
              <w:top w:val="nil"/>
              <w:left w:val="nil"/>
              <w:bottom w:val="nil"/>
              <w:right w:val="nil"/>
            </w:tcBorders>
            <w:shd w:val="clear" w:color="auto" w:fill="auto"/>
            <w:vAlign w:val="center"/>
          </w:tcPr>
          <w:p>
            <w:pPr>
              <w:widowControl/>
              <w:spacing w:line="280" w:lineRule="exact"/>
              <w:jc w:val="center"/>
              <w:textAlignment w:val="center"/>
              <w:rPr>
                <w:b/>
                <w:bCs/>
                <w:color w:val="000000"/>
                <w:szCs w:val="21"/>
              </w:rPr>
            </w:pPr>
            <w:r>
              <w:rPr>
                <w:b/>
                <w:bCs/>
                <w:color w:val="000000"/>
                <w:kern w:val="0"/>
                <w:szCs w:val="21"/>
                <w:lang w:bidi="ar"/>
              </w:rPr>
              <w:t>估价对象建筑物实物状况表</w:t>
            </w:r>
          </w:p>
        </w:tc>
      </w:tr>
      <w:tr>
        <w:tblPrEx>
          <w:tblCellMar>
            <w:top w:w="0" w:type="dxa"/>
            <w:left w:w="108" w:type="dxa"/>
            <w:bottom w:w="0" w:type="dxa"/>
            <w:right w:w="108" w:type="dxa"/>
          </w:tblCellMar>
        </w:tblPrEx>
        <w:trPr>
          <w:trHeight w:val="340" w:hRule="atLeast"/>
        </w:trPr>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物业名称</w:t>
            </w:r>
          </w:p>
        </w:tc>
        <w:tc>
          <w:tcPr>
            <w:tcW w:w="701"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滨河路住宅房地产</w:t>
            </w:r>
          </w:p>
        </w:tc>
        <w:tc>
          <w:tcPr>
            <w:tcW w:w="736"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坐    落</w:t>
            </w:r>
          </w:p>
        </w:tc>
        <w:tc>
          <w:tcPr>
            <w:tcW w:w="236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岑巩县新兴滨河路</w:t>
            </w:r>
          </w:p>
        </w:tc>
      </w:tr>
      <w:tr>
        <w:tblPrEx>
          <w:tblCellMar>
            <w:top w:w="0" w:type="dxa"/>
            <w:left w:w="108" w:type="dxa"/>
            <w:bottom w:w="0" w:type="dxa"/>
            <w:right w:w="108" w:type="dxa"/>
          </w:tblCellMar>
        </w:tblPrEx>
        <w:trPr>
          <w:trHeight w:val="340" w:hRule="atLeast"/>
        </w:trPr>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建筑结构</w:t>
            </w:r>
          </w:p>
        </w:tc>
        <w:tc>
          <w:tcPr>
            <w:tcW w:w="701" w:type="pct"/>
            <w:tcBorders>
              <w:top w:val="single" w:color="000000" w:sz="4" w:space="0"/>
              <w:left w:val="nil"/>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混合</w:t>
            </w:r>
          </w:p>
        </w:tc>
        <w:tc>
          <w:tcPr>
            <w:tcW w:w="736"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建成年代</w:t>
            </w:r>
          </w:p>
        </w:tc>
        <w:tc>
          <w:tcPr>
            <w:tcW w:w="799"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2008年</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成新率</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八成</w:t>
            </w:r>
          </w:p>
        </w:tc>
      </w:tr>
      <w:tr>
        <w:tblPrEx>
          <w:tblCellMar>
            <w:top w:w="0" w:type="dxa"/>
            <w:left w:w="108" w:type="dxa"/>
            <w:bottom w:w="0" w:type="dxa"/>
            <w:right w:w="108" w:type="dxa"/>
          </w:tblCellMar>
        </w:tblPrEx>
        <w:trPr>
          <w:trHeight w:val="340" w:hRule="atLeast"/>
        </w:trPr>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楼龄（年）</w:t>
            </w:r>
          </w:p>
        </w:tc>
        <w:tc>
          <w:tcPr>
            <w:tcW w:w="701" w:type="pct"/>
            <w:tcBorders>
              <w:top w:val="single" w:color="000000" w:sz="4" w:space="0"/>
              <w:left w:val="nil"/>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约14</w:t>
            </w:r>
          </w:p>
        </w:tc>
        <w:tc>
          <w:tcPr>
            <w:tcW w:w="736"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户型</w:t>
            </w:r>
          </w:p>
        </w:tc>
        <w:tc>
          <w:tcPr>
            <w:tcW w:w="799"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kern w:val="0"/>
                <w:szCs w:val="21"/>
                <w:lang w:bidi="ar"/>
              </w:rPr>
              <w:t>四室二厅二卫一厨</w:t>
            </w:r>
            <w:r>
              <w:rPr>
                <w:rFonts w:hint="eastAsia"/>
                <w:kern w:val="0"/>
                <w:szCs w:val="21"/>
                <w:lang w:bidi="ar"/>
              </w:rPr>
              <w:t>一阳台</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建筑面积（m</w:t>
            </w:r>
            <w:r>
              <w:rPr>
                <w:color w:val="000000"/>
                <w:kern w:val="0"/>
                <w:szCs w:val="21"/>
                <w:vertAlign w:val="superscript"/>
                <w:lang w:bidi="ar"/>
              </w:rPr>
              <w:t>2</w:t>
            </w:r>
            <w:r>
              <w:rPr>
                <w:color w:val="000000"/>
                <w:kern w:val="0"/>
                <w:szCs w:val="21"/>
                <w:lang w:bidi="ar"/>
              </w:rPr>
              <w:t>）</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145.12</w:t>
            </w:r>
          </w:p>
        </w:tc>
      </w:tr>
      <w:tr>
        <w:tblPrEx>
          <w:tblCellMar>
            <w:top w:w="0" w:type="dxa"/>
            <w:left w:w="108" w:type="dxa"/>
            <w:bottom w:w="0" w:type="dxa"/>
            <w:right w:w="108" w:type="dxa"/>
          </w:tblCellMar>
        </w:tblPrEx>
        <w:trPr>
          <w:trHeight w:val="340" w:hRule="atLeast"/>
        </w:trPr>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总 楼 层</w:t>
            </w:r>
          </w:p>
        </w:tc>
        <w:tc>
          <w:tcPr>
            <w:tcW w:w="701" w:type="pct"/>
            <w:tcBorders>
              <w:top w:val="single" w:color="000000" w:sz="4" w:space="0"/>
              <w:left w:val="nil"/>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6层</w:t>
            </w:r>
          </w:p>
        </w:tc>
        <w:tc>
          <w:tcPr>
            <w:tcW w:w="736"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所在楼层</w:t>
            </w:r>
          </w:p>
        </w:tc>
        <w:tc>
          <w:tcPr>
            <w:tcW w:w="799"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第4层</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净高（米）</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2.8</w:t>
            </w:r>
          </w:p>
        </w:tc>
      </w:tr>
      <w:tr>
        <w:tblPrEx>
          <w:tblCellMar>
            <w:top w:w="0" w:type="dxa"/>
            <w:left w:w="108" w:type="dxa"/>
            <w:bottom w:w="0" w:type="dxa"/>
            <w:right w:w="108" w:type="dxa"/>
          </w:tblCellMar>
        </w:tblPrEx>
        <w:trPr>
          <w:trHeight w:val="340" w:hRule="atLeast"/>
        </w:trPr>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通风采光</w:t>
            </w:r>
          </w:p>
        </w:tc>
        <w:tc>
          <w:tcPr>
            <w:tcW w:w="701" w:type="pct"/>
            <w:tcBorders>
              <w:top w:val="single" w:color="000000" w:sz="4" w:space="0"/>
              <w:left w:val="nil"/>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较好</w:t>
            </w:r>
          </w:p>
        </w:tc>
        <w:tc>
          <w:tcPr>
            <w:tcW w:w="736"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利用现状</w:t>
            </w:r>
          </w:p>
        </w:tc>
        <w:tc>
          <w:tcPr>
            <w:tcW w:w="799" w:type="pct"/>
            <w:tcBorders>
              <w:top w:val="single" w:color="000000" w:sz="4" w:space="0"/>
              <w:left w:val="single" w:color="000000" w:sz="4" w:space="0"/>
              <w:bottom w:val="single" w:color="000000" w:sz="4" w:space="0"/>
              <w:right w:val="nil"/>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自用</w:t>
            </w:r>
          </w:p>
        </w:tc>
        <w:tc>
          <w:tcPr>
            <w:tcW w:w="7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维护保养</w:t>
            </w:r>
          </w:p>
        </w:tc>
        <w:tc>
          <w:tcPr>
            <w:tcW w:w="7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rFonts w:hint="eastAsia"/>
                <w:color w:val="000000"/>
                <w:kern w:val="0"/>
                <w:szCs w:val="21"/>
                <w:lang w:bidi="ar"/>
              </w:rPr>
              <w:t>较好</w:t>
            </w:r>
          </w:p>
        </w:tc>
      </w:tr>
      <w:tr>
        <w:tblPrEx>
          <w:tblCellMar>
            <w:top w:w="0" w:type="dxa"/>
            <w:left w:w="108" w:type="dxa"/>
            <w:bottom w:w="0" w:type="dxa"/>
            <w:right w:w="108" w:type="dxa"/>
          </w:tblCellMar>
        </w:tblPrEx>
        <w:trPr>
          <w:trHeight w:val="340" w:hRule="atLeast"/>
        </w:trPr>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设备设施</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垂直交通</w:t>
            </w:r>
          </w:p>
        </w:tc>
        <w:tc>
          <w:tcPr>
            <w:tcW w:w="1437" w:type="pct"/>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步梯(1梯2户)</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管    线</w:t>
            </w:r>
          </w:p>
        </w:tc>
        <w:tc>
          <w:tcPr>
            <w:tcW w:w="15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明敷</w:t>
            </w:r>
          </w:p>
        </w:tc>
      </w:tr>
      <w:tr>
        <w:tblPrEx>
          <w:tblCellMar>
            <w:top w:w="0" w:type="dxa"/>
            <w:left w:w="108" w:type="dxa"/>
            <w:bottom w:w="0" w:type="dxa"/>
            <w:right w:w="108" w:type="dxa"/>
          </w:tblCellMar>
        </w:tblPrEx>
        <w:trPr>
          <w:trHeight w:val="340"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color w:val="000000"/>
                <w:szCs w:val="21"/>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紧急出入口标识</w:t>
            </w:r>
          </w:p>
        </w:tc>
        <w:tc>
          <w:tcPr>
            <w:tcW w:w="1437" w:type="pct"/>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无</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基础设施</w:t>
            </w:r>
          </w:p>
        </w:tc>
        <w:tc>
          <w:tcPr>
            <w:tcW w:w="15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达到“五通”，即通路、通电、通上下水、通讯。</w:t>
            </w:r>
          </w:p>
        </w:tc>
      </w:tr>
      <w:tr>
        <w:tblPrEx>
          <w:tblCellMar>
            <w:top w:w="0" w:type="dxa"/>
            <w:left w:w="108" w:type="dxa"/>
            <w:bottom w:w="0" w:type="dxa"/>
            <w:right w:w="108" w:type="dxa"/>
          </w:tblCellMar>
        </w:tblPrEx>
        <w:trPr>
          <w:trHeight w:val="340" w:hRule="atLeast"/>
        </w:trPr>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color w:val="000000"/>
                <w:szCs w:val="21"/>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安防系统</w:t>
            </w:r>
          </w:p>
        </w:tc>
        <w:tc>
          <w:tcPr>
            <w:tcW w:w="1437" w:type="pct"/>
            <w:gridSpan w:val="2"/>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消防栓</w:t>
            </w:r>
          </w:p>
        </w:tc>
        <w:tc>
          <w:tcPr>
            <w:tcW w:w="7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车位配置</w:t>
            </w:r>
          </w:p>
        </w:tc>
        <w:tc>
          <w:tcPr>
            <w:tcW w:w="156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估价对象所在小区无地下停车库，地面有停车位，附近有公共停车场，停车便捷程度一般。</w:t>
            </w:r>
          </w:p>
        </w:tc>
      </w:tr>
      <w:tr>
        <w:tblPrEx>
          <w:tblCellMar>
            <w:top w:w="0" w:type="dxa"/>
            <w:left w:w="108" w:type="dxa"/>
            <w:bottom w:w="0" w:type="dxa"/>
            <w:right w:w="108" w:type="dxa"/>
          </w:tblCellMar>
        </w:tblPrEx>
        <w:trPr>
          <w:trHeight w:val="340" w:hRule="atLeast"/>
        </w:trPr>
        <w:tc>
          <w:tcPr>
            <w:tcW w:w="513" w:type="pct"/>
            <w:vMerge w:val="restart"/>
            <w:tcBorders>
              <w:top w:val="nil"/>
              <w:left w:val="single" w:color="000000" w:sz="4" w:space="0"/>
              <w:bottom w:val="nil"/>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室内外装修状况</w:t>
            </w: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楼梯间</w:t>
            </w:r>
          </w:p>
        </w:tc>
        <w:tc>
          <w:tcPr>
            <w:tcW w:w="3802" w:type="pct"/>
            <w:gridSpan w:val="5"/>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地面贴地砖，墙面及顶面为瓷粉罩面。</w:t>
            </w: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电梯间</w:t>
            </w:r>
          </w:p>
        </w:tc>
        <w:tc>
          <w:tcPr>
            <w:tcW w:w="3802" w:type="pct"/>
            <w:gridSpan w:val="5"/>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无</w:t>
            </w: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外    墙</w:t>
            </w:r>
          </w:p>
        </w:tc>
        <w:tc>
          <w:tcPr>
            <w:tcW w:w="3802" w:type="pct"/>
            <w:gridSpan w:val="5"/>
            <w:tcBorders>
              <w:top w:val="single" w:color="000000" w:sz="4" w:space="0"/>
              <w:left w:val="nil"/>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外墙漆。</w:t>
            </w: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室内装修</w:t>
            </w:r>
          </w:p>
        </w:tc>
        <w:tc>
          <w:tcPr>
            <w:tcW w:w="3802" w:type="pct"/>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eastAsia"/>
                <w:color w:val="000000"/>
                <w:szCs w:val="21"/>
              </w:rPr>
            </w:pPr>
            <w:r>
              <w:rPr>
                <w:color w:val="000000"/>
                <w:kern w:val="0"/>
                <w:szCs w:val="21"/>
                <w:lang w:bidi="ar"/>
              </w:rPr>
              <w:t>房屋装修情况：入户安装防盗门，其余房间安装成品套门；客厅和餐厅地面铺强化木地板，墙面刷瓷粉乳胶漆，</w:t>
            </w:r>
            <w:r>
              <w:rPr>
                <w:rFonts w:hint="eastAsia"/>
                <w:color w:val="000000"/>
                <w:kern w:val="0"/>
                <w:szCs w:val="21"/>
                <w:lang w:bidi="ar"/>
              </w:rPr>
              <w:t>顶面局部为石膏板吊顶、整体为瓷粉乳胶漆罩面</w:t>
            </w:r>
            <w:r>
              <w:rPr>
                <w:color w:val="000000"/>
                <w:kern w:val="0"/>
                <w:szCs w:val="21"/>
                <w:lang w:bidi="ar"/>
              </w:rPr>
              <w:t>；卧室地面铺强化木地板，墙面及顶面为瓷粉乳胶漆罩面，部分卧室安装整体衣柜；厨房和卫生间地面贴地砖，墙面贴墙砖，顶面为铝扣板吊顶，厨房安装地柜、吊柜和成品灶台，卫生间安装成品洗脸台、成品洗脸盆、蹲便器和坐便器。室内水电暗敷。装修维护保养情况一般</w:t>
            </w:r>
            <w:r>
              <w:rPr>
                <w:rFonts w:hint="eastAsia"/>
                <w:color w:val="000000"/>
                <w:kern w:val="0"/>
                <w:szCs w:val="21"/>
                <w:lang w:bidi="ar"/>
              </w:rPr>
              <w:t>。</w:t>
            </w: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color w:val="000000"/>
                <w:szCs w:val="21"/>
              </w:rPr>
            </w:pPr>
          </w:p>
        </w:tc>
        <w:tc>
          <w:tcPr>
            <w:tcW w:w="380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color w:val="000000"/>
                <w:szCs w:val="21"/>
              </w:rPr>
            </w:pP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color w:val="000000"/>
                <w:szCs w:val="21"/>
              </w:rPr>
            </w:pPr>
          </w:p>
        </w:tc>
        <w:tc>
          <w:tcPr>
            <w:tcW w:w="380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color w:val="000000"/>
                <w:szCs w:val="21"/>
              </w:rPr>
            </w:pP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color w:val="000000"/>
                <w:szCs w:val="21"/>
              </w:rPr>
            </w:pPr>
          </w:p>
        </w:tc>
        <w:tc>
          <w:tcPr>
            <w:tcW w:w="380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color w:val="000000"/>
                <w:szCs w:val="21"/>
              </w:rPr>
            </w:pPr>
          </w:p>
        </w:tc>
      </w:tr>
      <w:tr>
        <w:tblPrEx>
          <w:tblCellMar>
            <w:top w:w="0" w:type="dxa"/>
            <w:left w:w="108" w:type="dxa"/>
            <w:bottom w:w="0" w:type="dxa"/>
            <w:right w:w="108" w:type="dxa"/>
          </w:tblCellMar>
        </w:tblPrEx>
        <w:trPr>
          <w:trHeight w:val="340" w:hRule="atLeast"/>
        </w:trPr>
        <w:tc>
          <w:tcPr>
            <w:tcW w:w="513" w:type="pct"/>
            <w:vMerge w:val="continue"/>
            <w:tcBorders>
              <w:top w:val="nil"/>
              <w:left w:val="single" w:color="000000" w:sz="4" w:space="0"/>
              <w:bottom w:val="nil"/>
              <w:right w:val="single" w:color="000000" w:sz="4" w:space="0"/>
            </w:tcBorders>
            <w:shd w:val="clear" w:color="auto" w:fill="auto"/>
            <w:vAlign w:val="center"/>
          </w:tcPr>
          <w:p>
            <w:pPr>
              <w:spacing w:line="280" w:lineRule="exact"/>
              <w:jc w:val="center"/>
              <w:rPr>
                <w:color w:val="000000"/>
                <w:szCs w:val="21"/>
              </w:rPr>
            </w:pPr>
          </w:p>
        </w:tc>
        <w:tc>
          <w:tcPr>
            <w:tcW w:w="6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color w:val="000000"/>
                <w:szCs w:val="21"/>
              </w:rPr>
            </w:pPr>
          </w:p>
        </w:tc>
        <w:tc>
          <w:tcPr>
            <w:tcW w:w="3802" w:type="pct"/>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color w:val="000000"/>
                <w:szCs w:val="21"/>
              </w:rPr>
            </w:pPr>
          </w:p>
        </w:tc>
      </w:tr>
      <w:tr>
        <w:tblPrEx>
          <w:tblCellMar>
            <w:top w:w="0" w:type="dxa"/>
            <w:left w:w="108" w:type="dxa"/>
            <w:bottom w:w="0" w:type="dxa"/>
            <w:right w:w="108" w:type="dxa"/>
          </w:tblCellMar>
        </w:tblPrEx>
        <w:trPr>
          <w:trHeight w:val="340" w:hRule="atLeast"/>
        </w:trPr>
        <w:tc>
          <w:tcPr>
            <w:tcW w:w="11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color w:val="000000"/>
                <w:szCs w:val="21"/>
              </w:rPr>
            </w:pPr>
            <w:r>
              <w:rPr>
                <w:color w:val="000000"/>
                <w:kern w:val="0"/>
                <w:szCs w:val="21"/>
                <w:lang w:bidi="ar"/>
              </w:rPr>
              <w:t>物业管理</w:t>
            </w:r>
          </w:p>
        </w:tc>
        <w:tc>
          <w:tcPr>
            <w:tcW w:w="3802"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left"/>
              <w:textAlignment w:val="center"/>
              <w:rPr>
                <w:color w:val="000000"/>
                <w:szCs w:val="21"/>
              </w:rPr>
            </w:pPr>
            <w:r>
              <w:rPr>
                <w:color w:val="000000"/>
                <w:kern w:val="0"/>
                <w:szCs w:val="21"/>
                <w:lang w:bidi="ar"/>
              </w:rPr>
              <w:t>业主自管</w:t>
            </w:r>
          </w:p>
        </w:tc>
      </w:tr>
    </w:tbl>
    <w:p>
      <w:pPr>
        <w:ind w:firstLine="560" w:firstLineChars="200"/>
        <w:rPr>
          <w:sz w:val="28"/>
          <w:szCs w:val="28"/>
        </w:rPr>
      </w:pPr>
      <w:r>
        <w:rPr>
          <w:rFonts w:hint="eastAsia"/>
          <w:sz w:val="28"/>
          <w:szCs w:val="28"/>
        </w:rPr>
        <w:t>估价对象平面布局示意图：</w:t>
      </w:r>
    </w:p>
    <w:p>
      <w:pPr>
        <w:widowControl/>
        <w:jc w:val="center"/>
        <w:rPr>
          <w:sz w:val="28"/>
          <w:szCs w:val="28"/>
        </w:rPr>
      </w:pPr>
      <w:r>
        <w:rPr>
          <w:sz w:val="28"/>
          <w:szCs w:val="28"/>
        </w:rPr>
        <w:drawing>
          <wp:inline distT="0" distB="0" distL="0" distR="0">
            <wp:extent cx="3035935" cy="33362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1" cstate="print">
                      <a:extLst>
                        <a:ext uri="{28A0092B-C50C-407E-A947-70E740481C1C}">
                          <a14:useLocalDpi xmlns:a14="http://schemas.microsoft.com/office/drawing/2010/main" val="0"/>
                        </a:ext>
                      </a:extLst>
                    </a:blip>
                    <a:srcRect l="1" t="7073" r="-10" b="5049"/>
                    <a:stretch>
                      <a:fillRect/>
                    </a:stretch>
                  </pic:blipFill>
                  <pic:spPr>
                    <a:xfrm>
                      <a:off x="0" y="0"/>
                      <a:ext cx="3060723" cy="3363441"/>
                    </a:xfrm>
                    <a:prstGeom prst="rect">
                      <a:avLst/>
                    </a:prstGeom>
                    <a:noFill/>
                    <a:ln>
                      <a:noFill/>
                    </a:ln>
                  </pic:spPr>
                </pic:pic>
              </a:graphicData>
            </a:graphic>
          </wp:inline>
        </w:drawing>
      </w:r>
    </w:p>
    <w:p>
      <w:pPr>
        <w:numPr>
          <w:ilvl w:val="0"/>
          <w:numId w:val="10"/>
        </w:numPr>
        <w:tabs>
          <w:tab w:val="left" w:pos="210"/>
          <w:tab w:val="left" w:pos="630"/>
        </w:tabs>
        <w:jc w:val="left"/>
        <w:outlineLvl w:val="2"/>
        <w:rPr>
          <w:bCs/>
          <w:sz w:val="28"/>
          <w:szCs w:val="28"/>
        </w:rPr>
      </w:pPr>
      <w:bookmarkStart w:id="162" w:name="_Toc65065911"/>
      <w:bookmarkStart w:id="163" w:name="_Toc47874196"/>
      <w:bookmarkStart w:id="164" w:name="_Toc47699571"/>
      <w:bookmarkStart w:id="165" w:name="_Toc46417169"/>
      <w:r>
        <w:rPr>
          <w:rFonts w:hint="eastAsia"/>
          <w:bCs/>
          <w:sz w:val="28"/>
          <w:szCs w:val="28"/>
        </w:rPr>
        <w:t>估价对象区位状况</w:t>
      </w:r>
      <w:bookmarkEnd w:id="162"/>
      <w:bookmarkEnd w:id="163"/>
      <w:bookmarkEnd w:id="164"/>
      <w:bookmarkEnd w:id="165"/>
    </w:p>
    <w:p>
      <w:pPr>
        <w:spacing w:line="500" w:lineRule="exact"/>
        <w:ind w:firstLine="554" w:firstLineChars="198"/>
        <w:rPr>
          <w:bCs/>
          <w:sz w:val="28"/>
          <w:szCs w:val="28"/>
        </w:rPr>
      </w:pPr>
      <w:r>
        <w:rPr>
          <w:rFonts w:hint="eastAsia"/>
          <w:bCs/>
          <w:sz w:val="28"/>
          <w:szCs w:val="28"/>
        </w:rPr>
        <w:t>根据估价人员实地查勘，估价对象的区位状况详见下表：</w:t>
      </w:r>
    </w:p>
    <w:tbl>
      <w:tblPr>
        <w:tblStyle w:val="21"/>
        <w:tblW w:w="5000" w:type="pct"/>
        <w:tblInd w:w="0" w:type="dxa"/>
        <w:tblLayout w:type="autofit"/>
        <w:tblCellMar>
          <w:top w:w="0" w:type="dxa"/>
          <w:left w:w="108" w:type="dxa"/>
          <w:bottom w:w="0" w:type="dxa"/>
          <w:right w:w="108" w:type="dxa"/>
        </w:tblCellMar>
      </w:tblPr>
      <w:tblGrid>
        <w:gridCol w:w="1428"/>
        <w:gridCol w:w="1565"/>
        <w:gridCol w:w="6860"/>
      </w:tblGrid>
      <w:tr>
        <w:tblPrEx>
          <w:tblCellMar>
            <w:top w:w="0" w:type="dxa"/>
            <w:left w:w="108" w:type="dxa"/>
            <w:bottom w:w="0" w:type="dxa"/>
            <w:right w:w="108" w:type="dxa"/>
          </w:tblCellMar>
        </w:tblPrEx>
        <w:trPr>
          <w:trHeight w:val="312" w:hRule="atLeast"/>
        </w:trPr>
        <w:tc>
          <w:tcPr>
            <w:tcW w:w="5000" w:type="pct"/>
            <w:gridSpan w:val="3"/>
            <w:tcBorders>
              <w:top w:val="nil"/>
              <w:left w:val="nil"/>
              <w:bottom w:val="nil"/>
              <w:right w:val="nil"/>
            </w:tcBorders>
            <w:shd w:val="clear" w:color="auto" w:fill="auto"/>
            <w:noWrap/>
            <w:vAlign w:val="center"/>
          </w:tcPr>
          <w:p>
            <w:pPr>
              <w:widowControl/>
              <w:spacing w:line="280" w:lineRule="exact"/>
              <w:jc w:val="center"/>
              <w:textAlignment w:val="center"/>
              <w:rPr>
                <w:b/>
                <w:bCs/>
                <w:color w:val="000000"/>
                <w:szCs w:val="21"/>
              </w:rPr>
            </w:pPr>
            <w:r>
              <w:rPr>
                <w:b/>
                <w:bCs/>
                <w:color w:val="000000"/>
                <w:kern w:val="0"/>
                <w:szCs w:val="21"/>
                <w:lang w:bidi="ar"/>
              </w:rPr>
              <w:t>估价对象区位状况</w:t>
            </w:r>
          </w:p>
        </w:tc>
      </w:tr>
      <w:tr>
        <w:tblPrEx>
          <w:tblCellMar>
            <w:top w:w="0" w:type="dxa"/>
            <w:left w:w="108" w:type="dxa"/>
            <w:bottom w:w="0" w:type="dxa"/>
            <w:right w:w="108" w:type="dxa"/>
          </w:tblCellMar>
        </w:tblPrEx>
        <w:trPr>
          <w:trHeight w:val="312" w:hRule="atLeast"/>
        </w:trPr>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kern w:val="0"/>
                <w:szCs w:val="21"/>
                <w:lang w:bidi="ar"/>
              </w:rPr>
            </w:pPr>
          </w:p>
          <w:p>
            <w:pPr>
              <w:widowControl/>
              <w:spacing w:line="280" w:lineRule="exact"/>
              <w:jc w:val="center"/>
              <w:textAlignment w:val="center"/>
              <w:rPr>
                <w:color w:val="000000"/>
                <w:szCs w:val="21"/>
              </w:rPr>
            </w:pPr>
            <w:r>
              <w:rPr>
                <w:color w:val="000000"/>
                <w:kern w:val="0"/>
                <w:szCs w:val="21"/>
                <w:lang w:bidi="ar"/>
              </w:rPr>
              <w:t>位置状况</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坐落</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岑巩县新兴滨河路</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方位</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岑巩县滨河广场东北侧</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与重要场所（设施）距离</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color w:val="000000"/>
                <w:szCs w:val="21"/>
              </w:rPr>
            </w:pPr>
            <w:r>
              <w:rPr>
                <w:color w:val="000000"/>
                <w:kern w:val="0"/>
                <w:szCs w:val="21"/>
                <w:lang w:bidi="ar"/>
              </w:rPr>
              <w:t>距岑巩县人民政府交通路线距离约1.0公里；距岑巩县人民政府政务服务中心交通路线距离约1.0公里；距岑巩县汽车站交通路线距离约1.9公里；距岑巩县第一小学交通路线距离约1.4公里；距岑巩县第二小学交通路线距离约1.0公里；距岑巩县第一中学交通路线距离约1.2公里；距岑巩县第二中学交通路线距离约1.7公里；距岑巩县人民医院交通路线距离约1.0公里；距岑巩县中医医院交通路线距离约1.3公里米；距岑巩县实验幼儿园交通路线距离约800米。</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所在楼层/总楼层</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第4层/6层</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朝向</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客厅及主卧采</w:t>
            </w:r>
            <w:r>
              <w:rPr>
                <w:kern w:val="0"/>
                <w:szCs w:val="21"/>
                <w:lang w:bidi="ar"/>
              </w:rPr>
              <w:t>光面均朝东南</w:t>
            </w:r>
            <w:r>
              <w:rPr>
                <w:rFonts w:hint="eastAsia"/>
                <w:kern w:val="0"/>
                <w:szCs w:val="21"/>
                <w:lang w:bidi="ar"/>
              </w:rPr>
              <w:t>向</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临街（路）状况</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估价对象所在小区一面临路（南临滨河路）。</w:t>
            </w:r>
          </w:p>
        </w:tc>
      </w:tr>
      <w:tr>
        <w:tblPrEx>
          <w:tblCellMar>
            <w:top w:w="0" w:type="dxa"/>
            <w:left w:w="108" w:type="dxa"/>
            <w:bottom w:w="0" w:type="dxa"/>
            <w:right w:w="108" w:type="dxa"/>
          </w:tblCellMar>
        </w:tblPrEx>
        <w:trPr>
          <w:trHeight w:val="312" w:hRule="atLeast"/>
        </w:trPr>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color w:val="000000"/>
                <w:szCs w:val="21"/>
              </w:rPr>
            </w:pPr>
            <w:r>
              <w:rPr>
                <w:color w:val="000000"/>
                <w:kern w:val="0"/>
                <w:szCs w:val="21"/>
                <w:lang w:bidi="ar"/>
              </w:rPr>
              <w:t>交通状况</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道路状况</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估价对象南临滨河路，该路为城市次干路，道路状况较好。</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出入可利用交通工具</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color w:val="000000"/>
                <w:szCs w:val="21"/>
              </w:rPr>
            </w:pPr>
            <w:r>
              <w:rPr>
                <w:color w:val="000000"/>
                <w:kern w:val="0"/>
                <w:szCs w:val="21"/>
                <w:lang w:bidi="ar"/>
              </w:rPr>
              <w:t>出租车及公交车，公交车站为家居建材市场站，公交线路有岑巩1路、岑巩5路。</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交通管制情况</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无</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停车方便程度</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color w:val="000000"/>
                <w:szCs w:val="21"/>
              </w:rPr>
            </w:pPr>
            <w:r>
              <w:rPr>
                <w:color w:val="000000"/>
                <w:kern w:val="0"/>
                <w:szCs w:val="21"/>
                <w:lang w:bidi="ar"/>
              </w:rPr>
              <w:t>估价对象所在小区无地下停车库，地面有停车位，附近有公共停车场，停车便捷程度一般。</w:t>
            </w:r>
          </w:p>
        </w:tc>
      </w:tr>
      <w:tr>
        <w:tblPrEx>
          <w:tblCellMar>
            <w:top w:w="0" w:type="dxa"/>
            <w:left w:w="108" w:type="dxa"/>
            <w:bottom w:w="0" w:type="dxa"/>
            <w:right w:w="108" w:type="dxa"/>
          </w:tblCellMar>
        </w:tblPrEx>
        <w:trPr>
          <w:trHeight w:val="312" w:hRule="atLeast"/>
        </w:trPr>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color w:val="000000"/>
                <w:szCs w:val="21"/>
              </w:rPr>
            </w:pPr>
            <w:r>
              <w:rPr>
                <w:color w:val="000000"/>
                <w:kern w:val="0"/>
                <w:szCs w:val="21"/>
                <w:lang w:bidi="ar"/>
              </w:rPr>
              <w:t>环境状况</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自然环境</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舞阳河景</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人文环境</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地区声誉、居民特征、治安状况等人文环境一般。</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景观</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小区景观</w:t>
            </w:r>
          </w:p>
        </w:tc>
      </w:tr>
      <w:tr>
        <w:tblPrEx>
          <w:tblCellMar>
            <w:top w:w="0" w:type="dxa"/>
            <w:left w:w="108" w:type="dxa"/>
            <w:bottom w:w="0" w:type="dxa"/>
            <w:right w:w="108" w:type="dxa"/>
          </w:tblCellMar>
        </w:tblPrEx>
        <w:trPr>
          <w:trHeight w:val="312" w:hRule="atLeast"/>
        </w:trPr>
        <w:tc>
          <w:tcPr>
            <w:tcW w:w="7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80" w:lineRule="exact"/>
              <w:jc w:val="center"/>
              <w:textAlignment w:val="center"/>
              <w:rPr>
                <w:color w:val="000000"/>
                <w:szCs w:val="21"/>
              </w:rPr>
            </w:pPr>
            <w:r>
              <w:rPr>
                <w:color w:val="000000"/>
                <w:kern w:val="0"/>
                <w:szCs w:val="21"/>
                <w:lang w:bidi="ar"/>
              </w:rPr>
              <w:t>配套设施</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基础设施</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color w:val="000000"/>
                <w:szCs w:val="21"/>
              </w:rPr>
            </w:pPr>
            <w:r>
              <w:rPr>
                <w:color w:val="000000"/>
                <w:kern w:val="0"/>
                <w:szCs w:val="21"/>
                <w:lang w:bidi="ar"/>
              </w:rPr>
              <w:t>估价对象所在区域达到五通，即通路、通电、通上下水、通讯。</w:t>
            </w:r>
          </w:p>
        </w:tc>
      </w:tr>
      <w:tr>
        <w:tblPrEx>
          <w:tblCellMar>
            <w:top w:w="0" w:type="dxa"/>
            <w:left w:w="108" w:type="dxa"/>
            <w:bottom w:w="0" w:type="dxa"/>
            <w:right w:w="108" w:type="dxa"/>
          </w:tblCellMar>
        </w:tblPrEx>
        <w:trPr>
          <w:trHeight w:val="312" w:hRule="atLeast"/>
        </w:trPr>
        <w:tc>
          <w:tcPr>
            <w:tcW w:w="7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80" w:lineRule="exact"/>
              <w:jc w:val="center"/>
              <w:rPr>
                <w:color w:val="000000"/>
                <w:szCs w:val="21"/>
              </w:rPr>
            </w:pP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color w:val="000000"/>
                <w:szCs w:val="21"/>
              </w:rPr>
            </w:pPr>
            <w:r>
              <w:rPr>
                <w:color w:val="000000"/>
                <w:kern w:val="0"/>
                <w:szCs w:val="21"/>
                <w:lang w:bidi="ar"/>
              </w:rPr>
              <w:t>公共服务设施</w:t>
            </w:r>
          </w:p>
        </w:tc>
        <w:tc>
          <w:tcPr>
            <w:tcW w:w="34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color w:val="000000"/>
                <w:szCs w:val="21"/>
              </w:rPr>
            </w:pPr>
            <w:r>
              <w:rPr>
                <w:color w:val="000000"/>
                <w:kern w:val="0"/>
                <w:szCs w:val="21"/>
                <w:lang w:bidi="ar"/>
              </w:rPr>
              <w:t>估价对象所在小区附近有岑巩县实验幼儿园、岑巩县第一小学、岑巩县第二小学、岑巩县第二中学、岑巩县第三中学、岑巩中学、岑巩县人民医院、岑巩县中医医院、中国农业银行、中国工商银行、世纪华联超市和心连心购物广场等公共配套服务设施。</w:t>
            </w:r>
          </w:p>
        </w:tc>
      </w:tr>
    </w:tbl>
    <w:p>
      <w:pPr>
        <w:pStyle w:val="3"/>
        <w:numPr>
          <w:ilvl w:val="0"/>
          <w:numId w:val="9"/>
        </w:numPr>
        <w:spacing w:before="120" w:after="120" w:line="500" w:lineRule="exact"/>
        <w:ind w:left="0" w:firstLine="640" w:firstLineChars="200"/>
        <w:rPr>
          <w:rFonts w:ascii="Times New Roman" w:hAnsi="Times New Roman" w:eastAsia="宋体"/>
        </w:rPr>
      </w:pPr>
      <w:bookmarkStart w:id="166" w:name="_Toc472961344"/>
      <w:bookmarkStart w:id="167" w:name="_Toc31910"/>
      <w:bookmarkStart w:id="168" w:name="_Toc468882209"/>
      <w:bookmarkStart w:id="169" w:name="_Toc65065912"/>
      <w:bookmarkStart w:id="170" w:name="_Toc432574971"/>
      <w:bookmarkStart w:id="171" w:name="_Toc46417161"/>
      <w:bookmarkStart w:id="172" w:name="_Toc47874188"/>
      <w:bookmarkStart w:id="173" w:name="_Toc476489041"/>
      <w:bookmarkStart w:id="174" w:name="_Toc445892281"/>
      <w:bookmarkStart w:id="175" w:name="_Toc445891408"/>
      <w:bookmarkStart w:id="176" w:name="_Toc239144239"/>
      <w:bookmarkStart w:id="177" w:name="_Toc432490544"/>
      <w:bookmarkStart w:id="178" w:name="_Toc396396775"/>
      <w:bookmarkStart w:id="179" w:name="_Toc497752867"/>
      <w:bookmarkStart w:id="180" w:name="_Toc46417170"/>
      <w:bookmarkStart w:id="181" w:name="_Toc47874197"/>
      <w:r>
        <w:rPr>
          <w:rFonts w:hint="eastAsia" w:ascii="Times New Roman" w:hAnsi="Times New Roman" w:eastAsia="宋体"/>
        </w:rPr>
        <w:t>价值时点</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tabs>
          <w:tab w:val="left" w:pos="210"/>
          <w:tab w:val="left" w:pos="630"/>
        </w:tabs>
        <w:spacing w:line="500" w:lineRule="exact"/>
        <w:ind w:firstLine="560" w:firstLineChars="200"/>
        <w:rPr>
          <w:bCs/>
          <w:sz w:val="28"/>
          <w:szCs w:val="28"/>
        </w:rPr>
      </w:pPr>
      <w:r>
        <w:rPr>
          <w:rFonts w:hint="eastAsia" w:cs="Arial Narrow"/>
          <w:sz w:val="28"/>
          <w:szCs w:val="28"/>
        </w:rPr>
        <w:t>委托人提供的《委托评估函》【（2022）黔2626执恢100号】未载明价值时点，</w:t>
      </w:r>
      <w:r>
        <w:rPr>
          <w:rFonts w:hint="eastAsia"/>
          <w:sz w:val="28"/>
          <w:szCs w:val="28"/>
        </w:rPr>
        <w:t>结合</w:t>
      </w:r>
      <w:r>
        <w:rPr>
          <w:rFonts w:hint="eastAsia"/>
          <w:bCs/>
          <w:sz w:val="28"/>
          <w:szCs w:val="28"/>
        </w:rPr>
        <w:t>《房地产估价规范》</w:t>
      </w:r>
      <w:r>
        <w:rPr>
          <w:rFonts w:hint="eastAsia"/>
          <w:sz w:val="28"/>
          <w:szCs w:val="28"/>
        </w:rPr>
        <w:t>【GB/T50291-2015】</w:t>
      </w:r>
      <w:r>
        <w:rPr>
          <w:rFonts w:hint="eastAsia" w:cs="Arial Narrow"/>
          <w:sz w:val="28"/>
          <w:szCs w:val="28"/>
        </w:rPr>
        <w:t>，确定以现场查勘完成之日2022年08月31日为价值时点。</w:t>
      </w:r>
    </w:p>
    <w:p>
      <w:pPr>
        <w:pStyle w:val="3"/>
        <w:numPr>
          <w:ilvl w:val="0"/>
          <w:numId w:val="9"/>
        </w:numPr>
        <w:spacing w:before="120" w:after="120" w:line="500" w:lineRule="exact"/>
        <w:ind w:left="0" w:firstLine="640" w:firstLineChars="200"/>
        <w:rPr>
          <w:rFonts w:ascii="Times New Roman" w:hAnsi="Times New Roman" w:eastAsia="宋体"/>
        </w:rPr>
      </w:pPr>
      <w:bookmarkStart w:id="182" w:name="_Toc65065913"/>
      <w:r>
        <w:rPr>
          <w:rFonts w:hint="eastAsia" w:ascii="Times New Roman" w:hAnsi="Times New Roman" w:eastAsia="宋体"/>
        </w:rPr>
        <w:t>价值类型</w:t>
      </w:r>
      <w:bookmarkEnd w:id="128"/>
      <w:bookmarkEnd w:id="129"/>
      <w:bookmarkEnd w:id="130"/>
      <w:bookmarkEnd w:id="131"/>
      <w:bookmarkEnd w:id="132"/>
      <w:bookmarkEnd w:id="133"/>
      <w:bookmarkEnd w:id="134"/>
      <w:bookmarkEnd w:id="135"/>
      <w:bookmarkEnd w:id="136"/>
      <w:bookmarkEnd w:id="137"/>
      <w:bookmarkEnd w:id="180"/>
      <w:bookmarkEnd w:id="181"/>
      <w:bookmarkEnd w:id="182"/>
    </w:p>
    <w:p>
      <w:pPr>
        <w:numPr>
          <w:ilvl w:val="0"/>
          <w:numId w:val="14"/>
        </w:numPr>
        <w:autoSpaceDN w:val="0"/>
        <w:spacing w:line="500" w:lineRule="exact"/>
        <w:jc w:val="left"/>
        <w:rPr>
          <w:bCs/>
          <w:sz w:val="28"/>
          <w:szCs w:val="28"/>
        </w:rPr>
      </w:pPr>
      <w:r>
        <w:rPr>
          <w:rFonts w:hint="eastAsia"/>
          <w:bCs/>
          <w:sz w:val="28"/>
          <w:szCs w:val="28"/>
        </w:rPr>
        <w:t>价值类型名称</w:t>
      </w:r>
    </w:p>
    <w:p>
      <w:pPr>
        <w:spacing w:line="500" w:lineRule="exact"/>
        <w:ind w:firstLine="560" w:firstLineChars="200"/>
        <w:rPr>
          <w:rFonts w:cs="Arial Narrow"/>
          <w:sz w:val="28"/>
          <w:szCs w:val="28"/>
        </w:rPr>
      </w:pPr>
      <w:r>
        <w:rPr>
          <w:rFonts w:hint="eastAsia" w:cs="Arial Narrow"/>
          <w:sz w:val="28"/>
          <w:szCs w:val="28"/>
        </w:rPr>
        <w:t xml:space="preserve">根据委托人提供的《委托评估函》【（2022）黔2626执恢100号】，结合《房地产估价规范》【GB/T50291-2015】，确定本次估价采用的价值类型为市场价值。 </w:t>
      </w:r>
    </w:p>
    <w:p>
      <w:pPr>
        <w:numPr>
          <w:ilvl w:val="0"/>
          <w:numId w:val="14"/>
        </w:numPr>
        <w:autoSpaceDN w:val="0"/>
        <w:spacing w:line="500" w:lineRule="exact"/>
        <w:jc w:val="left"/>
        <w:rPr>
          <w:sz w:val="28"/>
          <w:szCs w:val="28"/>
        </w:rPr>
      </w:pPr>
      <w:r>
        <w:rPr>
          <w:rFonts w:hint="eastAsia"/>
          <w:sz w:val="28"/>
          <w:szCs w:val="28"/>
        </w:rPr>
        <w:t>价值定义</w:t>
      </w:r>
    </w:p>
    <w:p>
      <w:pPr>
        <w:autoSpaceDN w:val="0"/>
        <w:spacing w:line="500" w:lineRule="exact"/>
        <w:ind w:firstLine="560" w:firstLineChars="200"/>
        <w:jc w:val="left"/>
        <w:rPr>
          <w:sz w:val="28"/>
          <w:szCs w:val="28"/>
        </w:rPr>
      </w:pPr>
      <w:r>
        <w:rPr>
          <w:rFonts w:hint="eastAsia"/>
          <w:sz w:val="28"/>
          <w:szCs w:val="28"/>
        </w:rPr>
        <w:t>市场价值是估价对象经适当营销后，由熟悉情况、谨慎行事且不受强迫的交易双方，以公平交易方式在价值时点自愿进行交易的金额。</w:t>
      </w:r>
    </w:p>
    <w:p>
      <w:pPr>
        <w:numPr>
          <w:ilvl w:val="0"/>
          <w:numId w:val="14"/>
        </w:numPr>
        <w:autoSpaceDN w:val="0"/>
        <w:spacing w:line="500" w:lineRule="exact"/>
        <w:jc w:val="left"/>
        <w:rPr>
          <w:sz w:val="28"/>
          <w:szCs w:val="28"/>
        </w:rPr>
      </w:pPr>
      <w:r>
        <w:rPr>
          <w:rFonts w:hint="eastAsia"/>
          <w:sz w:val="28"/>
          <w:szCs w:val="28"/>
        </w:rPr>
        <w:t>价值内涵</w:t>
      </w:r>
    </w:p>
    <w:p>
      <w:pPr>
        <w:autoSpaceDN w:val="0"/>
        <w:spacing w:line="500" w:lineRule="exact"/>
        <w:ind w:firstLine="560" w:firstLineChars="200"/>
        <w:rPr>
          <w:sz w:val="28"/>
          <w:szCs w:val="28"/>
        </w:rPr>
      </w:pPr>
      <w:r>
        <w:rPr>
          <w:rFonts w:hint="eastAsia"/>
          <w:sz w:val="28"/>
          <w:szCs w:val="28"/>
        </w:rPr>
        <w:t>估价对象在满足估价假设和限制条件下包括建筑物及其分摊的国有建设用地使用权、室内固定装修和公共配套设施，不包括动产、债权债务等其他财产或权益。</w:t>
      </w:r>
    </w:p>
    <w:p>
      <w:pPr>
        <w:autoSpaceDN w:val="0"/>
        <w:spacing w:line="500" w:lineRule="exact"/>
        <w:ind w:firstLine="560" w:firstLineChars="200"/>
        <w:jc w:val="left"/>
        <w:rPr>
          <w:rFonts w:cs="宋体"/>
          <w:sz w:val="24"/>
        </w:rPr>
      </w:pPr>
      <w:r>
        <w:rPr>
          <w:rFonts w:hint="eastAsia"/>
          <w:sz w:val="28"/>
          <w:szCs w:val="28"/>
        </w:rPr>
        <w:t>估价对象于价值时点不存在交易限制、交易双方各自依法承担应缴纳的税费、不考虑未来市场价值变化、特殊交易方式、强制处分、房地产被查封及其他法定优先受偿权等因素条件下的市场价值。</w:t>
      </w:r>
      <w:r>
        <w:rPr>
          <w:rFonts w:hint="eastAsia" w:cs="宋体"/>
          <w:sz w:val="24"/>
        </w:rPr>
        <w:t xml:space="preserve"> </w:t>
      </w:r>
    </w:p>
    <w:bookmarkEnd w:id="138"/>
    <w:bookmarkEnd w:id="139"/>
    <w:p>
      <w:pPr>
        <w:pStyle w:val="3"/>
        <w:numPr>
          <w:ilvl w:val="0"/>
          <w:numId w:val="9"/>
        </w:numPr>
        <w:spacing w:before="120" w:after="120" w:line="500" w:lineRule="exact"/>
        <w:ind w:left="0" w:firstLine="640" w:firstLineChars="200"/>
        <w:rPr>
          <w:rFonts w:ascii="Times New Roman" w:hAnsi="Times New Roman" w:eastAsia="宋体"/>
        </w:rPr>
      </w:pPr>
      <w:bookmarkStart w:id="183" w:name="_Toc29426"/>
      <w:bookmarkStart w:id="184" w:name="_Toc46417171"/>
      <w:bookmarkStart w:id="185" w:name="_Toc47874198"/>
      <w:bookmarkStart w:id="186" w:name="_Toc65065914"/>
      <w:r>
        <w:rPr>
          <w:rFonts w:hint="eastAsia" w:ascii="Times New Roman" w:hAnsi="Times New Roman" w:eastAsia="宋体"/>
        </w:rPr>
        <w:t>估价原则</w:t>
      </w:r>
      <w:bookmarkEnd w:id="183"/>
      <w:bookmarkEnd w:id="184"/>
      <w:bookmarkEnd w:id="185"/>
      <w:bookmarkEnd w:id="186"/>
    </w:p>
    <w:p>
      <w:pPr>
        <w:numPr>
          <w:ilvl w:val="0"/>
          <w:numId w:val="15"/>
        </w:numPr>
        <w:spacing w:line="500" w:lineRule="exact"/>
        <w:ind w:left="0" w:firstLine="560" w:firstLineChars="200"/>
        <w:rPr>
          <w:sz w:val="28"/>
          <w:szCs w:val="28"/>
        </w:rPr>
      </w:pPr>
      <w:r>
        <w:rPr>
          <w:rFonts w:hint="eastAsia"/>
          <w:sz w:val="28"/>
          <w:szCs w:val="28"/>
        </w:rPr>
        <w:t>遵循独立、客观、公正原则</w:t>
      </w:r>
    </w:p>
    <w:p>
      <w:pPr>
        <w:spacing w:line="500" w:lineRule="exact"/>
        <w:ind w:firstLine="560" w:firstLineChars="200"/>
        <w:rPr>
          <w:sz w:val="28"/>
          <w:szCs w:val="28"/>
        </w:rPr>
      </w:pPr>
      <w:r>
        <w:rPr>
          <w:rFonts w:hint="eastAsia"/>
          <w:sz w:val="28"/>
          <w:szCs w:val="28"/>
        </w:rPr>
        <w:t>独立、客观、公正原则是要求站在中立的立场上，实事求是、公平正直地评估出对各方估价利害关系人均是公平合理的价值或价格。本次估价注册房地产估价师和房地产估价机构与估价委托人及估价利害关系人没有利害关系，估价中没有受到任何单位任何人的影响，没有带着自己的情感、好恶和偏见，没有偏袒，实事求是，客观公正。</w:t>
      </w:r>
    </w:p>
    <w:p>
      <w:pPr>
        <w:numPr>
          <w:ilvl w:val="0"/>
          <w:numId w:val="15"/>
        </w:numPr>
        <w:spacing w:line="500" w:lineRule="exact"/>
        <w:ind w:left="0" w:firstLine="560" w:firstLineChars="200"/>
        <w:rPr>
          <w:sz w:val="28"/>
          <w:szCs w:val="28"/>
        </w:rPr>
      </w:pPr>
      <w:r>
        <w:rPr>
          <w:rFonts w:hint="eastAsia"/>
          <w:sz w:val="28"/>
          <w:szCs w:val="28"/>
        </w:rPr>
        <w:t>遵循合法原则</w:t>
      </w:r>
    </w:p>
    <w:p>
      <w:pPr>
        <w:spacing w:line="500" w:lineRule="exact"/>
        <w:ind w:firstLine="560" w:firstLineChars="200"/>
        <w:rPr>
          <w:sz w:val="28"/>
          <w:szCs w:val="28"/>
        </w:rPr>
      </w:pPr>
      <w:r>
        <w:rPr>
          <w:rFonts w:hint="eastAsia" w:ascii="宋体" w:hAnsi="宋体" w:cs="Arial"/>
          <w:sz w:val="28"/>
          <w:szCs w:val="28"/>
        </w:rPr>
        <w:t>合法原则要求在依法判定的估价对象状况下的价值或价格。</w:t>
      </w:r>
      <w:r>
        <w:rPr>
          <w:rFonts w:hint="eastAsia"/>
          <w:sz w:val="28"/>
          <w:szCs w:val="28"/>
        </w:rPr>
        <w:t>本次估价按估价对象的</w:t>
      </w:r>
      <w:r>
        <w:rPr>
          <w:rFonts w:hint="eastAsia" w:cs="Arial Narrow"/>
          <w:sz w:val="28"/>
          <w:szCs w:val="28"/>
        </w:rPr>
        <w:t>《房屋所有权证》《协助查询通知书（回执）》复印件</w:t>
      </w:r>
      <w:r>
        <w:rPr>
          <w:rFonts w:hint="eastAsia"/>
          <w:sz w:val="28"/>
          <w:szCs w:val="28"/>
        </w:rPr>
        <w:t>内容进行估价就是其合法性的体现。</w:t>
      </w:r>
    </w:p>
    <w:p>
      <w:pPr>
        <w:numPr>
          <w:ilvl w:val="0"/>
          <w:numId w:val="15"/>
        </w:numPr>
        <w:spacing w:line="500" w:lineRule="exact"/>
        <w:ind w:left="0" w:firstLine="560" w:firstLineChars="200"/>
        <w:rPr>
          <w:sz w:val="28"/>
          <w:szCs w:val="28"/>
        </w:rPr>
      </w:pPr>
      <w:r>
        <w:rPr>
          <w:rFonts w:hint="eastAsia"/>
          <w:sz w:val="28"/>
          <w:szCs w:val="28"/>
        </w:rPr>
        <w:t>遵循价值时点原则</w:t>
      </w:r>
    </w:p>
    <w:p>
      <w:pPr>
        <w:spacing w:line="500" w:lineRule="exact"/>
        <w:ind w:firstLine="560" w:firstLineChars="200"/>
        <w:rPr>
          <w:rFonts w:ascii="宋体" w:hAnsi="宋体" w:cs="Arial"/>
          <w:sz w:val="28"/>
          <w:szCs w:val="28"/>
        </w:rPr>
      </w:pPr>
      <w:r>
        <w:rPr>
          <w:rFonts w:hint="eastAsia"/>
          <w:sz w:val="28"/>
          <w:szCs w:val="28"/>
        </w:rPr>
        <w:t>估价结果应为在根据估价目的确定的某一特定时间的价值或价格。</w:t>
      </w:r>
      <w:r>
        <w:rPr>
          <w:rFonts w:hint="eastAsia" w:ascii="宋体" w:hAnsi="宋体" w:cs="Arial"/>
          <w:sz w:val="28"/>
          <w:szCs w:val="28"/>
        </w:rPr>
        <w:t>本次估价遵循价值时点原则，以完成实地查勘之日</w:t>
      </w:r>
      <w:r>
        <w:rPr>
          <w:rFonts w:hint="eastAsia" w:cs="Arial Narrow"/>
          <w:sz w:val="28"/>
          <w:szCs w:val="28"/>
        </w:rPr>
        <w:t>2022年08月31日为价值时点</w:t>
      </w:r>
      <w:r>
        <w:rPr>
          <w:rFonts w:hint="eastAsia" w:ascii="宋体" w:hAnsi="宋体" w:cs="Arial"/>
          <w:sz w:val="28"/>
          <w:szCs w:val="28"/>
        </w:rPr>
        <w:t>，对估价对象市场价值进行评估。</w:t>
      </w:r>
    </w:p>
    <w:p>
      <w:pPr>
        <w:numPr>
          <w:ilvl w:val="0"/>
          <w:numId w:val="15"/>
        </w:numPr>
        <w:spacing w:line="500" w:lineRule="exact"/>
        <w:ind w:left="0" w:firstLine="560" w:firstLineChars="200"/>
        <w:rPr>
          <w:sz w:val="28"/>
          <w:szCs w:val="28"/>
        </w:rPr>
      </w:pPr>
      <w:r>
        <w:rPr>
          <w:rFonts w:hint="eastAsia"/>
          <w:sz w:val="28"/>
          <w:szCs w:val="28"/>
        </w:rPr>
        <w:t>遵循替代原则</w:t>
      </w:r>
    </w:p>
    <w:p>
      <w:pPr>
        <w:spacing w:line="510" w:lineRule="exact"/>
        <w:ind w:firstLine="560" w:firstLineChars="200"/>
        <w:rPr>
          <w:sz w:val="28"/>
          <w:szCs w:val="28"/>
        </w:rPr>
      </w:pPr>
      <w:r>
        <w:rPr>
          <w:rFonts w:hint="eastAsia"/>
          <w:sz w:val="28"/>
          <w:szCs w:val="28"/>
        </w:rPr>
        <w:t>估价结果应与估价对象的类似房地产在同等条件下的价值或价格偏差应在合理范围内。本次估价采用的比较法以及收益法中客观租金的求取就是替代原则的具体体现。</w:t>
      </w:r>
    </w:p>
    <w:p>
      <w:pPr>
        <w:numPr>
          <w:ilvl w:val="0"/>
          <w:numId w:val="15"/>
        </w:numPr>
        <w:spacing w:line="510" w:lineRule="exact"/>
        <w:ind w:left="0" w:firstLine="560" w:firstLineChars="200"/>
        <w:rPr>
          <w:sz w:val="28"/>
          <w:szCs w:val="28"/>
        </w:rPr>
      </w:pPr>
      <w:r>
        <w:rPr>
          <w:rFonts w:hint="eastAsia"/>
          <w:sz w:val="28"/>
          <w:szCs w:val="28"/>
        </w:rPr>
        <w:t>遵循最高最佳利用原则</w:t>
      </w:r>
    </w:p>
    <w:p>
      <w:pPr>
        <w:spacing w:line="510" w:lineRule="exact"/>
        <w:ind w:firstLine="560" w:firstLineChars="200"/>
        <w:rPr>
          <w:sz w:val="28"/>
          <w:szCs w:val="28"/>
        </w:rPr>
      </w:pPr>
      <w:r>
        <w:rPr>
          <w:rFonts w:hint="eastAsia"/>
          <w:sz w:val="28"/>
          <w:szCs w:val="28"/>
        </w:rPr>
        <w:t>最高最佳利用原则要求估价结果是在估价对象最高最佳利用状况下的价值或价格。最高最佳利用是指法律上允许、技术上可能、财务上可行并使价值最大的合理、可能的利用。</w:t>
      </w:r>
    </w:p>
    <w:p>
      <w:pPr>
        <w:spacing w:line="510" w:lineRule="exact"/>
        <w:ind w:firstLine="560" w:firstLineChars="200"/>
        <w:rPr>
          <w:sz w:val="28"/>
          <w:szCs w:val="28"/>
        </w:rPr>
      </w:pPr>
      <w:r>
        <w:rPr>
          <w:rFonts w:hint="eastAsia"/>
          <w:sz w:val="28"/>
          <w:szCs w:val="28"/>
        </w:rPr>
        <w:t>最高最佳利用是在法律法规、政策和出让合同等允许范围内，估价对象达到最佳集约度、最佳规模、最佳用途、最佳档次，在所有具有经济可行性的利用中，基于合法性原则能够使估价对象的</w:t>
      </w:r>
      <w:r>
        <w:rPr>
          <w:rFonts w:hint="eastAsia" w:cs="Arial Narrow"/>
          <w:sz w:val="28"/>
          <w:szCs w:val="28"/>
        </w:rPr>
        <w:t>利用最大化，即使用性质为住宅用房</w:t>
      </w:r>
      <w:r>
        <w:rPr>
          <w:rFonts w:hint="eastAsia"/>
          <w:sz w:val="28"/>
          <w:szCs w:val="28"/>
        </w:rPr>
        <w:t>是</w:t>
      </w:r>
      <w:r>
        <w:rPr>
          <w:rFonts w:hint="eastAsia" w:cs="Arial Narrow"/>
          <w:sz w:val="28"/>
          <w:szCs w:val="28"/>
        </w:rPr>
        <w:t>估价对象</w:t>
      </w:r>
      <w:r>
        <w:rPr>
          <w:rFonts w:hint="eastAsia"/>
          <w:sz w:val="28"/>
          <w:szCs w:val="28"/>
        </w:rPr>
        <w:t>符合条件下的最高最佳利用。</w:t>
      </w:r>
    </w:p>
    <w:p>
      <w:pPr>
        <w:pStyle w:val="3"/>
        <w:numPr>
          <w:ilvl w:val="0"/>
          <w:numId w:val="9"/>
        </w:numPr>
        <w:spacing w:before="120" w:after="120" w:line="500" w:lineRule="exact"/>
        <w:ind w:left="0" w:firstLine="640" w:firstLineChars="200"/>
        <w:rPr>
          <w:rFonts w:ascii="Times New Roman" w:hAnsi="Times New Roman" w:eastAsia="宋体"/>
        </w:rPr>
      </w:pPr>
      <w:bookmarkStart w:id="187" w:name="_Toc65065915"/>
      <w:bookmarkStart w:id="188" w:name="_Toc6497"/>
      <w:bookmarkStart w:id="189" w:name="_Toc46417172"/>
      <w:bookmarkStart w:id="190" w:name="_Toc47874199"/>
      <w:r>
        <w:rPr>
          <w:rFonts w:hint="eastAsia" w:ascii="Times New Roman" w:hAnsi="Times New Roman" w:eastAsia="宋体"/>
        </w:rPr>
        <w:t>估价依据</w:t>
      </w:r>
      <w:bookmarkEnd w:id="187"/>
      <w:bookmarkEnd w:id="188"/>
      <w:bookmarkEnd w:id="189"/>
      <w:bookmarkEnd w:id="190"/>
    </w:p>
    <w:p>
      <w:pPr>
        <w:numPr>
          <w:ilvl w:val="0"/>
          <w:numId w:val="16"/>
        </w:numPr>
        <w:spacing w:line="510" w:lineRule="exact"/>
        <w:ind w:left="0" w:firstLine="560" w:firstLineChars="200"/>
        <w:outlineLvl w:val="2"/>
        <w:rPr>
          <w:sz w:val="28"/>
          <w:szCs w:val="28"/>
        </w:rPr>
      </w:pPr>
      <w:bookmarkStart w:id="191" w:name="_Toc65065916"/>
      <w:bookmarkStart w:id="192" w:name="_Toc396396779"/>
      <w:bookmarkStart w:id="193" w:name="_Toc239144243"/>
      <w:r>
        <w:rPr>
          <w:rFonts w:hint="eastAsia"/>
          <w:sz w:val="28"/>
          <w:szCs w:val="28"/>
        </w:rPr>
        <w:t>法律、法规及部门规章</w:t>
      </w:r>
      <w:bookmarkEnd w:id="191"/>
    </w:p>
    <w:p>
      <w:pPr>
        <w:numPr>
          <w:ilvl w:val="0"/>
          <w:numId w:val="17"/>
        </w:numPr>
        <w:tabs>
          <w:tab w:val="left" w:pos="851"/>
        </w:tabs>
        <w:spacing w:line="500" w:lineRule="exact"/>
        <w:ind w:left="0" w:firstLine="560" w:firstLineChars="200"/>
        <w:rPr>
          <w:sz w:val="28"/>
          <w:szCs w:val="28"/>
        </w:rPr>
      </w:pPr>
      <w:r>
        <w:rPr>
          <w:sz w:val="28"/>
          <w:szCs w:val="28"/>
        </w:rPr>
        <w:t>《</w:t>
      </w:r>
      <w:r>
        <w:rPr>
          <w:rFonts w:hint="eastAsia"/>
          <w:sz w:val="28"/>
          <w:szCs w:val="28"/>
        </w:rPr>
        <w:t>中华人民共和国资产评估法</w:t>
      </w:r>
      <w:r>
        <w:rPr>
          <w:sz w:val="28"/>
          <w:szCs w:val="28"/>
        </w:rPr>
        <w:t>》【中华人民共和国主席令第</w:t>
      </w:r>
      <w:r>
        <w:rPr>
          <w:rFonts w:hint="eastAsia"/>
          <w:sz w:val="28"/>
          <w:szCs w:val="28"/>
        </w:rPr>
        <w:t>46</w:t>
      </w:r>
      <w:r>
        <w:rPr>
          <w:sz w:val="28"/>
          <w:szCs w:val="28"/>
        </w:rPr>
        <w:t>号</w:t>
      </w:r>
      <w:r>
        <w:rPr>
          <w:rFonts w:hint="eastAsia"/>
          <w:sz w:val="28"/>
          <w:szCs w:val="28"/>
        </w:rPr>
        <w:t>，</w:t>
      </w:r>
      <w:r>
        <w:rPr>
          <w:sz w:val="28"/>
          <w:szCs w:val="28"/>
        </w:rPr>
        <w:t>自2016年12月</w:t>
      </w:r>
      <w:r>
        <w:rPr>
          <w:rFonts w:hint="eastAsia"/>
          <w:sz w:val="28"/>
          <w:szCs w:val="28"/>
        </w:rPr>
        <w:t>1</w:t>
      </w:r>
      <w:r>
        <w:rPr>
          <w:sz w:val="28"/>
          <w:szCs w:val="28"/>
        </w:rPr>
        <w:t>日起施行】</w:t>
      </w:r>
      <w:r>
        <w:rPr>
          <w:rFonts w:hint="eastAsia"/>
          <w:sz w:val="28"/>
          <w:szCs w:val="28"/>
        </w:rPr>
        <w:t>；</w:t>
      </w:r>
    </w:p>
    <w:p>
      <w:pPr>
        <w:numPr>
          <w:ilvl w:val="0"/>
          <w:numId w:val="17"/>
        </w:numPr>
        <w:tabs>
          <w:tab w:val="left" w:pos="851"/>
        </w:tabs>
        <w:spacing w:line="500" w:lineRule="exact"/>
        <w:ind w:left="0" w:firstLine="560" w:firstLineChars="200"/>
        <w:rPr>
          <w:sz w:val="28"/>
          <w:szCs w:val="28"/>
        </w:rPr>
      </w:pPr>
      <w:r>
        <w:rPr>
          <w:rFonts w:hint="eastAsia"/>
          <w:sz w:val="28"/>
          <w:szCs w:val="28"/>
        </w:rPr>
        <w:t>《中华人民共和国民法典》【2020年5月28日第十三届全国人民代表大会第三次会议通过</w:t>
      </w:r>
      <w:r>
        <w:rPr>
          <w:sz w:val="28"/>
          <w:szCs w:val="28"/>
        </w:rPr>
        <w:t>，自2021年1月1日起施行</w:t>
      </w:r>
      <w:r>
        <w:rPr>
          <w:rFonts w:hint="eastAsia"/>
          <w:sz w:val="28"/>
          <w:szCs w:val="28"/>
        </w:rPr>
        <w:t>】；</w:t>
      </w:r>
    </w:p>
    <w:p>
      <w:pPr>
        <w:numPr>
          <w:ilvl w:val="0"/>
          <w:numId w:val="17"/>
        </w:numPr>
        <w:tabs>
          <w:tab w:val="left" w:pos="851"/>
        </w:tabs>
        <w:spacing w:line="500" w:lineRule="exact"/>
        <w:ind w:left="0" w:firstLine="560" w:firstLineChars="200"/>
        <w:rPr>
          <w:sz w:val="28"/>
          <w:szCs w:val="28"/>
        </w:rPr>
      </w:pPr>
      <w:r>
        <w:rPr>
          <w:sz w:val="28"/>
          <w:szCs w:val="28"/>
        </w:rPr>
        <w:t>《司法鉴定程序通则》</w:t>
      </w:r>
      <w:r>
        <w:rPr>
          <w:rFonts w:hint="eastAsia"/>
          <w:sz w:val="28"/>
          <w:szCs w:val="28"/>
        </w:rPr>
        <w:t>【司法部令第132号】；</w:t>
      </w:r>
    </w:p>
    <w:p>
      <w:pPr>
        <w:numPr>
          <w:ilvl w:val="0"/>
          <w:numId w:val="17"/>
        </w:numPr>
        <w:tabs>
          <w:tab w:val="left" w:pos="851"/>
        </w:tabs>
        <w:spacing w:line="500" w:lineRule="exact"/>
        <w:ind w:left="0" w:firstLine="560" w:firstLineChars="200"/>
        <w:rPr>
          <w:rFonts w:cs="Arial Narrow"/>
          <w:sz w:val="28"/>
          <w:szCs w:val="28"/>
        </w:rPr>
      </w:pPr>
      <w:r>
        <w:rPr>
          <w:rFonts w:cs="Arial Narrow"/>
          <w:sz w:val="28"/>
          <w:szCs w:val="28"/>
        </w:rPr>
        <w:t>《中华人民共和国土地管理法》</w:t>
      </w:r>
      <w:r>
        <w:rPr>
          <w:rFonts w:hint="eastAsia" w:cs="Arial Narrow"/>
          <w:sz w:val="28"/>
          <w:szCs w:val="28"/>
        </w:rPr>
        <w:t>【</w:t>
      </w:r>
      <w:r>
        <w:rPr>
          <w:sz w:val="28"/>
          <w:szCs w:val="28"/>
        </w:rPr>
        <w:t>中华人民共和国主席令第</w:t>
      </w:r>
      <w:r>
        <w:rPr>
          <w:rFonts w:hint="eastAsia"/>
          <w:sz w:val="28"/>
          <w:szCs w:val="28"/>
        </w:rPr>
        <w:t>32</w:t>
      </w:r>
      <w:r>
        <w:rPr>
          <w:sz w:val="28"/>
          <w:szCs w:val="28"/>
        </w:rPr>
        <w:t>号</w:t>
      </w:r>
      <w:r>
        <w:rPr>
          <w:rFonts w:hint="eastAsia"/>
          <w:sz w:val="28"/>
          <w:szCs w:val="28"/>
        </w:rPr>
        <w:t>，2020年01月01日实施</w:t>
      </w:r>
      <w:r>
        <w:rPr>
          <w:rFonts w:hint="eastAsia" w:cs="Arial Narrow"/>
          <w:sz w:val="28"/>
          <w:szCs w:val="28"/>
        </w:rPr>
        <w:t>】；</w:t>
      </w:r>
    </w:p>
    <w:p>
      <w:pPr>
        <w:numPr>
          <w:ilvl w:val="0"/>
          <w:numId w:val="17"/>
        </w:numPr>
        <w:tabs>
          <w:tab w:val="left" w:pos="851"/>
        </w:tabs>
        <w:spacing w:line="500" w:lineRule="exact"/>
        <w:ind w:left="0" w:firstLine="560" w:firstLineChars="200"/>
        <w:rPr>
          <w:sz w:val="28"/>
          <w:szCs w:val="28"/>
        </w:rPr>
      </w:pPr>
      <w:r>
        <w:rPr>
          <w:rFonts w:cs="Arial Narrow"/>
          <w:sz w:val="28"/>
          <w:szCs w:val="28"/>
        </w:rPr>
        <w:t>《中华人民共和国城市</w:t>
      </w:r>
      <w:r>
        <w:rPr>
          <w:sz w:val="28"/>
          <w:szCs w:val="28"/>
        </w:rPr>
        <w:t>房地产管理法》</w:t>
      </w:r>
      <w:r>
        <w:rPr>
          <w:rFonts w:hint="eastAsia"/>
          <w:sz w:val="28"/>
          <w:szCs w:val="28"/>
        </w:rPr>
        <w:t>【</w:t>
      </w:r>
      <w:r>
        <w:rPr>
          <w:sz w:val="28"/>
          <w:szCs w:val="28"/>
        </w:rPr>
        <w:t>根据2019年8月26日第十三届全国人民代表大会常务委员会第十二次会议《关于修改〈中华人民共和国土地管理法〉、〈中华人民共和国城市房地产管理法〉的决定》第三次修正</w:t>
      </w:r>
      <w:r>
        <w:rPr>
          <w:rFonts w:hint="eastAsia"/>
          <w:sz w:val="28"/>
          <w:szCs w:val="28"/>
        </w:rPr>
        <w:t>】；</w:t>
      </w:r>
    </w:p>
    <w:p>
      <w:pPr>
        <w:numPr>
          <w:ilvl w:val="0"/>
          <w:numId w:val="17"/>
        </w:numPr>
        <w:tabs>
          <w:tab w:val="left" w:pos="851"/>
        </w:tabs>
        <w:spacing w:line="500" w:lineRule="exact"/>
        <w:ind w:left="0" w:firstLine="560" w:firstLineChars="200"/>
        <w:rPr>
          <w:rFonts w:cs="Arial Narrow"/>
          <w:sz w:val="28"/>
          <w:szCs w:val="28"/>
        </w:rPr>
      </w:pPr>
      <w:r>
        <w:rPr>
          <w:rFonts w:hint="eastAsia" w:cs="Arial Narrow"/>
          <w:sz w:val="28"/>
          <w:szCs w:val="28"/>
        </w:rPr>
        <w:t>《最高人民法院关于人民法院委托评估拍卖工作的若干规定》【法释〔2011〕21号】；</w:t>
      </w:r>
    </w:p>
    <w:p>
      <w:pPr>
        <w:numPr>
          <w:ilvl w:val="0"/>
          <w:numId w:val="17"/>
        </w:numPr>
        <w:tabs>
          <w:tab w:val="left" w:pos="851"/>
        </w:tabs>
        <w:spacing w:line="500" w:lineRule="exact"/>
        <w:ind w:left="0" w:firstLine="560" w:firstLineChars="200"/>
        <w:rPr>
          <w:rFonts w:cs="Arial Narrow"/>
          <w:sz w:val="28"/>
          <w:szCs w:val="28"/>
        </w:rPr>
      </w:pPr>
      <w:r>
        <w:rPr>
          <w:rFonts w:hint="eastAsia" w:cs="Arial Narrow"/>
          <w:sz w:val="28"/>
          <w:szCs w:val="28"/>
        </w:rPr>
        <w:t>《最高人民法院关于人民法院确定财产处置参考价若干问题的规定》</w:t>
      </w:r>
      <w:r>
        <w:rPr>
          <w:rFonts w:hint="eastAsia"/>
          <w:bCs/>
          <w:sz w:val="28"/>
        </w:rPr>
        <w:t>【法释〔2018〕15号，自2018年9月1日实施】；</w:t>
      </w:r>
    </w:p>
    <w:p>
      <w:pPr>
        <w:numPr>
          <w:ilvl w:val="0"/>
          <w:numId w:val="17"/>
        </w:numPr>
        <w:tabs>
          <w:tab w:val="left" w:pos="851"/>
        </w:tabs>
        <w:spacing w:line="500" w:lineRule="exact"/>
        <w:ind w:left="0" w:firstLine="560" w:firstLineChars="200"/>
        <w:rPr>
          <w:rFonts w:cs="Arial Narrow"/>
          <w:sz w:val="28"/>
          <w:szCs w:val="28"/>
        </w:rPr>
      </w:pPr>
      <w:r>
        <w:rPr>
          <w:rFonts w:hint="eastAsia" w:cs="Arial Narrow"/>
          <w:sz w:val="28"/>
          <w:szCs w:val="28"/>
        </w:rPr>
        <w:t>最高人民法院办公厅关于印发《人民法院委托评估工作规范》的通知【法办（2018）273号】；</w:t>
      </w:r>
    </w:p>
    <w:p>
      <w:pPr>
        <w:numPr>
          <w:ilvl w:val="0"/>
          <w:numId w:val="17"/>
        </w:numPr>
        <w:tabs>
          <w:tab w:val="left" w:pos="851"/>
        </w:tabs>
        <w:spacing w:line="500" w:lineRule="exact"/>
        <w:ind w:left="0" w:firstLine="560" w:firstLineChars="200"/>
        <w:rPr>
          <w:rFonts w:cs="Arial Narrow"/>
          <w:sz w:val="28"/>
          <w:szCs w:val="28"/>
        </w:rPr>
      </w:pPr>
      <w:r>
        <w:rPr>
          <w:rFonts w:hint="eastAsia" w:cs="Arial Narrow"/>
          <w:sz w:val="28"/>
          <w:szCs w:val="28"/>
        </w:rPr>
        <w:t>《贵州省城市基础设施配套费征收使用管理办法》。</w:t>
      </w:r>
    </w:p>
    <w:p>
      <w:pPr>
        <w:numPr>
          <w:ilvl w:val="0"/>
          <w:numId w:val="16"/>
        </w:numPr>
        <w:spacing w:line="510" w:lineRule="exact"/>
        <w:ind w:left="0" w:firstLine="560" w:firstLineChars="200"/>
        <w:outlineLvl w:val="2"/>
        <w:rPr>
          <w:sz w:val="28"/>
          <w:szCs w:val="28"/>
        </w:rPr>
      </w:pPr>
      <w:bookmarkStart w:id="194" w:name="_Toc65065917"/>
      <w:r>
        <w:rPr>
          <w:rFonts w:hint="eastAsia"/>
          <w:sz w:val="28"/>
          <w:szCs w:val="28"/>
        </w:rPr>
        <w:t>技术规程</w:t>
      </w:r>
      <w:bookmarkEnd w:id="194"/>
    </w:p>
    <w:p>
      <w:pPr>
        <w:numPr>
          <w:ilvl w:val="0"/>
          <w:numId w:val="18"/>
        </w:numPr>
        <w:spacing w:line="500" w:lineRule="exact"/>
        <w:ind w:left="0" w:firstLine="560" w:firstLineChars="200"/>
        <w:rPr>
          <w:sz w:val="28"/>
          <w:szCs w:val="28"/>
        </w:rPr>
      </w:pPr>
      <w:r>
        <w:rPr>
          <w:rFonts w:hint="eastAsia"/>
          <w:sz w:val="28"/>
          <w:szCs w:val="28"/>
        </w:rPr>
        <w:t>《房地产估价规范》【GB/T50291-2015】；</w:t>
      </w:r>
    </w:p>
    <w:p>
      <w:pPr>
        <w:numPr>
          <w:ilvl w:val="0"/>
          <w:numId w:val="18"/>
        </w:numPr>
        <w:spacing w:line="500" w:lineRule="exact"/>
        <w:ind w:left="0" w:firstLine="560" w:firstLineChars="200"/>
        <w:rPr>
          <w:sz w:val="28"/>
          <w:szCs w:val="28"/>
        </w:rPr>
      </w:pPr>
      <w:r>
        <w:rPr>
          <w:rFonts w:hint="eastAsia"/>
          <w:sz w:val="28"/>
          <w:szCs w:val="28"/>
        </w:rPr>
        <w:t>《房地产估价基本术语标准》【GB/T50899-2013】；</w:t>
      </w:r>
    </w:p>
    <w:p>
      <w:pPr>
        <w:numPr>
          <w:ilvl w:val="0"/>
          <w:numId w:val="18"/>
        </w:numPr>
        <w:spacing w:line="500" w:lineRule="exact"/>
        <w:ind w:left="0" w:firstLine="560" w:firstLineChars="200"/>
        <w:rPr>
          <w:sz w:val="28"/>
          <w:szCs w:val="28"/>
        </w:rPr>
      </w:pPr>
      <w:r>
        <w:rPr>
          <w:rFonts w:hint="eastAsia"/>
          <w:sz w:val="28"/>
          <w:szCs w:val="28"/>
        </w:rPr>
        <w:t>《关于印发</w:t>
      </w:r>
      <w:r>
        <w:rPr>
          <w:sz w:val="28"/>
          <w:szCs w:val="28"/>
        </w:rPr>
        <w:t>&lt;</w:t>
      </w:r>
      <w:r>
        <w:rPr>
          <w:rFonts w:hint="eastAsia"/>
          <w:sz w:val="28"/>
          <w:szCs w:val="28"/>
        </w:rPr>
        <w:t>涉执房地产处置司法评估指导意见（试行）&gt;的通知》(中房学〔2021〕37号)。</w:t>
      </w:r>
    </w:p>
    <w:p>
      <w:pPr>
        <w:numPr>
          <w:ilvl w:val="0"/>
          <w:numId w:val="16"/>
        </w:numPr>
        <w:spacing w:line="510" w:lineRule="exact"/>
        <w:ind w:left="0" w:firstLine="560" w:firstLineChars="200"/>
        <w:outlineLvl w:val="2"/>
        <w:rPr>
          <w:sz w:val="28"/>
          <w:szCs w:val="28"/>
        </w:rPr>
      </w:pPr>
      <w:bookmarkStart w:id="195" w:name="_Toc65065918"/>
      <w:r>
        <w:rPr>
          <w:rFonts w:hint="eastAsia"/>
          <w:sz w:val="28"/>
          <w:szCs w:val="28"/>
        </w:rPr>
        <w:t>委托人提供的资料</w:t>
      </w:r>
      <w:bookmarkEnd w:id="195"/>
    </w:p>
    <w:p>
      <w:pPr>
        <w:numPr>
          <w:ilvl w:val="0"/>
          <w:numId w:val="19"/>
        </w:numPr>
        <w:spacing w:line="510" w:lineRule="exact"/>
        <w:rPr>
          <w:sz w:val="28"/>
          <w:szCs w:val="28"/>
        </w:rPr>
      </w:pPr>
      <w:r>
        <w:rPr>
          <w:rFonts w:hint="eastAsia" w:cs="Arial Narrow"/>
          <w:sz w:val="28"/>
          <w:szCs w:val="28"/>
        </w:rPr>
        <w:t>岑巩县人民法院《委托评估函》【（2022）黔2626执恢100号】</w:t>
      </w:r>
      <w:r>
        <w:rPr>
          <w:rFonts w:hint="eastAsia"/>
          <w:sz w:val="28"/>
          <w:szCs w:val="28"/>
        </w:rPr>
        <w:t>；</w:t>
      </w:r>
    </w:p>
    <w:p>
      <w:pPr>
        <w:numPr>
          <w:ilvl w:val="0"/>
          <w:numId w:val="19"/>
        </w:numPr>
        <w:spacing w:line="510" w:lineRule="exact"/>
        <w:rPr>
          <w:rFonts w:cs="Arial Narrow"/>
          <w:sz w:val="28"/>
          <w:szCs w:val="28"/>
        </w:rPr>
      </w:pPr>
      <w:r>
        <w:rPr>
          <w:rFonts w:hint="eastAsia" w:cs="Arial Narrow"/>
          <w:sz w:val="28"/>
          <w:szCs w:val="28"/>
        </w:rPr>
        <w:t>估价对象《房屋所有权证》复印件；</w:t>
      </w:r>
    </w:p>
    <w:p>
      <w:pPr>
        <w:numPr>
          <w:ilvl w:val="0"/>
          <w:numId w:val="19"/>
        </w:numPr>
        <w:spacing w:line="510" w:lineRule="exact"/>
        <w:rPr>
          <w:rFonts w:cs="Arial Narrow"/>
          <w:sz w:val="28"/>
          <w:szCs w:val="28"/>
        </w:rPr>
      </w:pPr>
      <w:r>
        <w:rPr>
          <w:rFonts w:hint="eastAsia"/>
          <w:sz w:val="28"/>
          <w:szCs w:val="28"/>
        </w:rPr>
        <w:t>《协助查询通知书（回执）》。</w:t>
      </w:r>
    </w:p>
    <w:p>
      <w:pPr>
        <w:numPr>
          <w:ilvl w:val="0"/>
          <w:numId w:val="16"/>
        </w:numPr>
        <w:spacing w:line="510" w:lineRule="exact"/>
        <w:ind w:left="0" w:firstLine="560" w:firstLineChars="200"/>
        <w:outlineLvl w:val="2"/>
        <w:rPr>
          <w:sz w:val="28"/>
          <w:szCs w:val="28"/>
        </w:rPr>
      </w:pPr>
      <w:bookmarkStart w:id="196" w:name="_Toc65065919"/>
      <w:r>
        <w:rPr>
          <w:rFonts w:hint="eastAsia"/>
          <w:sz w:val="28"/>
          <w:szCs w:val="28"/>
        </w:rPr>
        <w:t>估价机构和注册房地产估价师掌握和搜集的估价所需资料</w:t>
      </w:r>
      <w:bookmarkEnd w:id="196"/>
    </w:p>
    <w:p>
      <w:pPr>
        <w:numPr>
          <w:ilvl w:val="0"/>
          <w:numId w:val="20"/>
        </w:numPr>
        <w:spacing w:line="510" w:lineRule="exact"/>
        <w:ind w:left="0" w:firstLine="560" w:firstLineChars="200"/>
        <w:rPr>
          <w:sz w:val="28"/>
          <w:szCs w:val="28"/>
        </w:rPr>
      </w:pPr>
      <w:r>
        <w:rPr>
          <w:rFonts w:hint="eastAsia"/>
          <w:sz w:val="28"/>
          <w:szCs w:val="28"/>
        </w:rPr>
        <w:t>根据《岑巩县人民政府关于公布岑巩县城镇土地定级与基准地价更新成果的通知》（岑府通〔2016〕2号）；</w:t>
      </w:r>
    </w:p>
    <w:p>
      <w:pPr>
        <w:numPr>
          <w:ilvl w:val="0"/>
          <w:numId w:val="20"/>
        </w:numPr>
        <w:spacing w:line="510" w:lineRule="exact"/>
        <w:ind w:left="0" w:firstLine="560" w:firstLineChars="200"/>
        <w:rPr>
          <w:sz w:val="28"/>
          <w:szCs w:val="28"/>
        </w:rPr>
      </w:pPr>
      <w:r>
        <w:rPr>
          <w:rFonts w:hint="eastAsia"/>
          <w:sz w:val="28"/>
          <w:szCs w:val="28"/>
        </w:rPr>
        <w:t>估价人员实地查勘及估价机构和估价人员掌握的相关信息资料；</w:t>
      </w:r>
    </w:p>
    <w:p>
      <w:pPr>
        <w:numPr>
          <w:ilvl w:val="0"/>
          <w:numId w:val="20"/>
        </w:numPr>
        <w:spacing w:line="510" w:lineRule="exact"/>
        <w:ind w:left="0" w:firstLine="560" w:firstLineChars="200"/>
        <w:rPr>
          <w:sz w:val="28"/>
          <w:szCs w:val="28"/>
        </w:rPr>
      </w:pPr>
      <w:r>
        <w:rPr>
          <w:rFonts w:hint="eastAsia"/>
          <w:sz w:val="28"/>
          <w:szCs w:val="28"/>
        </w:rPr>
        <w:t>估价对象所在区域的房地产市场状况、同类房地产市场交易等数据资料。</w:t>
      </w:r>
    </w:p>
    <w:bookmarkEnd w:id="192"/>
    <w:bookmarkEnd w:id="193"/>
    <w:p>
      <w:pPr>
        <w:pStyle w:val="3"/>
        <w:numPr>
          <w:ilvl w:val="0"/>
          <w:numId w:val="9"/>
        </w:numPr>
        <w:spacing w:before="120" w:after="120" w:line="500" w:lineRule="exact"/>
        <w:ind w:left="0" w:firstLine="640" w:firstLineChars="200"/>
        <w:rPr>
          <w:rFonts w:ascii="Times New Roman" w:hAnsi="Times New Roman" w:eastAsia="宋体"/>
        </w:rPr>
      </w:pPr>
      <w:bookmarkStart w:id="197" w:name="_Toc445892285"/>
      <w:bookmarkStart w:id="198" w:name="_Toc46417173"/>
      <w:bookmarkStart w:id="199" w:name="_Toc476489045"/>
      <w:bookmarkStart w:id="200" w:name="_Toc432490548"/>
      <w:bookmarkStart w:id="201" w:name="_Toc432574975"/>
      <w:bookmarkStart w:id="202" w:name="_Toc472961348"/>
      <w:bookmarkStart w:id="203" w:name="_Toc497752871"/>
      <w:bookmarkStart w:id="204" w:name="_Toc445891412"/>
      <w:bookmarkStart w:id="205" w:name="_Toc65065920"/>
      <w:bookmarkStart w:id="206" w:name="_Toc1411"/>
      <w:bookmarkStart w:id="207" w:name="_Toc47874200"/>
      <w:bookmarkStart w:id="208" w:name="_Toc468882213"/>
      <w:bookmarkStart w:id="209" w:name="_Toc432490549"/>
      <w:bookmarkStart w:id="210" w:name="_Toc497752872"/>
      <w:bookmarkStart w:id="211" w:name="_Toc26622"/>
      <w:bookmarkStart w:id="212" w:name="_Toc47874201"/>
      <w:bookmarkStart w:id="213" w:name="_Toc476489046"/>
      <w:bookmarkStart w:id="214" w:name="_Toc445892286"/>
      <w:bookmarkStart w:id="215" w:name="_Toc396396780"/>
      <w:bookmarkStart w:id="216" w:name="_Toc468882214"/>
      <w:bookmarkStart w:id="217" w:name="_Toc46417174"/>
      <w:bookmarkStart w:id="218" w:name="_Toc472961349"/>
      <w:bookmarkStart w:id="219" w:name="_Toc239144244"/>
      <w:bookmarkStart w:id="220" w:name="_Toc445891413"/>
      <w:bookmarkStart w:id="221" w:name="_Toc432574976"/>
      <w:bookmarkStart w:id="222" w:name="_Toc229365839"/>
      <w:r>
        <w:rPr>
          <w:rFonts w:hint="eastAsia" w:ascii="Times New Roman" w:hAnsi="Times New Roman" w:eastAsia="宋体"/>
        </w:rPr>
        <w:t>估价方法</w:t>
      </w:r>
      <w:bookmarkEnd w:id="197"/>
      <w:bookmarkEnd w:id="198"/>
      <w:bookmarkEnd w:id="199"/>
      <w:bookmarkEnd w:id="200"/>
      <w:bookmarkEnd w:id="201"/>
      <w:bookmarkEnd w:id="202"/>
      <w:bookmarkEnd w:id="203"/>
      <w:bookmarkEnd w:id="204"/>
      <w:bookmarkEnd w:id="205"/>
      <w:bookmarkEnd w:id="206"/>
      <w:bookmarkEnd w:id="207"/>
      <w:bookmarkEnd w:id="208"/>
    </w:p>
    <w:p>
      <w:pPr>
        <w:numPr>
          <w:ilvl w:val="0"/>
          <w:numId w:val="21"/>
        </w:numPr>
        <w:tabs>
          <w:tab w:val="left" w:pos="180"/>
        </w:tabs>
        <w:spacing w:line="520" w:lineRule="exact"/>
        <w:jc w:val="left"/>
        <w:rPr>
          <w:rFonts w:cs="Arial Narrow"/>
          <w:sz w:val="28"/>
          <w:szCs w:val="28"/>
        </w:rPr>
      </w:pPr>
      <w:r>
        <w:rPr>
          <w:rFonts w:hint="eastAsia" w:cs="Arial Narrow"/>
          <w:sz w:val="28"/>
          <w:szCs w:val="28"/>
        </w:rPr>
        <w:t>选用估价方法的法律、法规或技术标准依据</w:t>
      </w:r>
    </w:p>
    <w:p>
      <w:pPr>
        <w:tabs>
          <w:tab w:val="left" w:pos="0"/>
        </w:tabs>
        <w:spacing w:line="520" w:lineRule="exact"/>
        <w:ind w:firstLine="560" w:firstLineChars="200"/>
        <w:jc w:val="left"/>
        <w:rPr>
          <w:rFonts w:cs="Arial Narrow"/>
          <w:sz w:val="28"/>
          <w:szCs w:val="28"/>
        </w:rPr>
      </w:pPr>
      <w:r>
        <w:rPr>
          <w:rFonts w:hint="eastAsia" w:cs="Arial Narrow"/>
          <w:sz w:val="28"/>
          <w:szCs w:val="28"/>
        </w:rPr>
        <w:t>根据《房地产估价规范》(GB/T50291-2015)第4.1.2条规定，房地产估价方法的选用应符合下列规定：</w:t>
      </w:r>
    </w:p>
    <w:p>
      <w:pPr>
        <w:numPr>
          <w:ilvl w:val="0"/>
          <w:numId w:val="22"/>
        </w:numPr>
        <w:tabs>
          <w:tab w:val="left" w:pos="180"/>
        </w:tabs>
        <w:spacing w:line="500" w:lineRule="exact"/>
        <w:ind w:left="0" w:firstLine="560" w:firstLineChars="200"/>
        <w:rPr>
          <w:rFonts w:cs="Arial Narrow"/>
          <w:sz w:val="28"/>
          <w:szCs w:val="28"/>
        </w:rPr>
      </w:pPr>
      <w:r>
        <w:rPr>
          <w:rFonts w:hint="eastAsia" w:cs="Arial Narrow"/>
          <w:sz w:val="28"/>
          <w:szCs w:val="28"/>
        </w:rPr>
        <w:t>估价对象的同类房地产有较多交易的，应选用比较法。</w:t>
      </w:r>
    </w:p>
    <w:p>
      <w:pPr>
        <w:numPr>
          <w:ilvl w:val="0"/>
          <w:numId w:val="22"/>
        </w:numPr>
        <w:tabs>
          <w:tab w:val="left" w:pos="180"/>
        </w:tabs>
        <w:spacing w:line="500" w:lineRule="exact"/>
        <w:ind w:left="0" w:firstLine="560" w:firstLineChars="200"/>
        <w:rPr>
          <w:rFonts w:cs="Arial Narrow"/>
          <w:sz w:val="28"/>
          <w:szCs w:val="28"/>
        </w:rPr>
      </w:pPr>
      <w:r>
        <w:rPr>
          <w:rFonts w:hint="eastAsia" w:cs="Arial Narrow"/>
          <w:sz w:val="28"/>
          <w:szCs w:val="28"/>
        </w:rPr>
        <w:t>估价对象或其同类房地产通常有租金等经济收入的，应选用收益法。</w:t>
      </w:r>
    </w:p>
    <w:p>
      <w:pPr>
        <w:numPr>
          <w:ilvl w:val="0"/>
          <w:numId w:val="22"/>
        </w:numPr>
        <w:tabs>
          <w:tab w:val="left" w:pos="180"/>
        </w:tabs>
        <w:spacing w:line="500" w:lineRule="exact"/>
        <w:ind w:left="0" w:firstLine="560" w:firstLineChars="200"/>
        <w:rPr>
          <w:rFonts w:cs="Arial Narrow"/>
          <w:sz w:val="28"/>
          <w:szCs w:val="28"/>
        </w:rPr>
      </w:pPr>
      <w:r>
        <w:rPr>
          <w:rFonts w:hint="eastAsia" w:cs="Arial Narrow"/>
          <w:sz w:val="28"/>
          <w:szCs w:val="28"/>
        </w:rPr>
        <w:t>估价对象可假定为独立的开发建设项目进行重新开发建设的，宜选用成本法；当估价对象的同类房地产没有交易或交易很少，且估价对象或其同类房地产没有租金等经济收入时，应选用成本法。</w:t>
      </w:r>
    </w:p>
    <w:p>
      <w:pPr>
        <w:numPr>
          <w:ilvl w:val="0"/>
          <w:numId w:val="22"/>
        </w:numPr>
        <w:tabs>
          <w:tab w:val="left" w:pos="180"/>
        </w:tabs>
        <w:spacing w:line="500" w:lineRule="exact"/>
        <w:ind w:left="0" w:firstLine="560" w:firstLineChars="200"/>
        <w:rPr>
          <w:rFonts w:cs="Arial Narrow"/>
          <w:sz w:val="28"/>
          <w:szCs w:val="28"/>
        </w:rPr>
      </w:pPr>
      <w:r>
        <w:rPr>
          <w:rFonts w:hint="eastAsia" w:cs="Arial Narrow"/>
          <w:sz w:val="28"/>
          <w:szCs w:val="28"/>
        </w:rPr>
        <w:t>估价对象具有开发或再开发潜力且开发完成后的价值可采用除成本法以外的方法测算的，应选用假设开发法。</w:t>
      </w:r>
    </w:p>
    <w:p>
      <w:pPr>
        <w:numPr>
          <w:ilvl w:val="0"/>
          <w:numId w:val="21"/>
        </w:numPr>
        <w:tabs>
          <w:tab w:val="left" w:pos="180"/>
        </w:tabs>
        <w:spacing w:line="520" w:lineRule="exact"/>
        <w:ind w:left="981"/>
        <w:jc w:val="left"/>
        <w:rPr>
          <w:b/>
          <w:bCs/>
          <w:sz w:val="28"/>
          <w:szCs w:val="28"/>
        </w:rPr>
      </w:pPr>
      <w:r>
        <w:rPr>
          <w:rFonts w:hint="eastAsia" w:cs="Arial Narrow"/>
          <w:sz w:val="28"/>
          <w:szCs w:val="28"/>
        </w:rPr>
        <w:t>本次估价选用的方法及理由</w:t>
      </w:r>
    </w:p>
    <w:p>
      <w:pPr>
        <w:numPr>
          <w:ilvl w:val="0"/>
          <w:numId w:val="23"/>
        </w:numPr>
        <w:tabs>
          <w:tab w:val="left" w:pos="180"/>
        </w:tabs>
        <w:spacing w:line="500" w:lineRule="exact"/>
        <w:ind w:left="0" w:firstLine="560" w:firstLineChars="200"/>
        <w:rPr>
          <w:sz w:val="28"/>
          <w:szCs w:val="28"/>
        </w:rPr>
      </w:pPr>
      <w:r>
        <w:rPr>
          <w:sz w:val="28"/>
          <w:szCs w:val="28"/>
        </w:rPr>
        <w:t>比较法：</w:t>
      </w:r>
      <w:r>
        <w:rPr>
          <w:rFonts w:hint="eastAsia" w:cs="Arial Narrow"/>
          <w:sz w:val="28"/>
          <w:szCs w:val="28"/>
        </w:rPr>
        <w:t>估价对象的同类房地产有较多交易的，应选用比较法。</w:t>
      </w:r>
      <w:r>
        <w:rPr>
          <w:rFonts w:hint="eastAsia"/>
          <w:sz w:val="28"/>
          <w:szCs w:val="28"/>
        </w:rPr>
        <w:t>估价对象为位于岑巩县新兴滨河路的成套住宅房地产，该区域住宅房地产交易市场信息相对齐全，市场发展相对成熟，根据估价人员调查，同一供需圈的同类型房地产成交记录较多，交易案例易获取，运用比较法能充分体现其客观市场价值，故本次估价选用比较法</w:t>
      </w:r>
      <w:r>
        <w:rPr>
          <w:sz w:val="28"/>
          <w:szCs w:val="28"/>
        </w:rPr>
        <w:t>。</w:t>
      </w:r>
    </w:p>
    <w:p>
      <w:pPr>
        <w:numPr>
          <w:ilvl w:val="0"/>
          <w:numId w:val="23"/>
        </w:numPr>
        <w:tabs>
          <w:tab w:val="left" w:pos="180"/>
        </w:tabs>
        <w:spacing w:line="500" w:lineRule="exact"/>
        <w:ind w:left="0" w:firstLine="560" w:firstLineChars="200"/>
        <w:rPr>
          <w:sz w:val="28"/>
          <w:szCs w:val="28"/>
        </w:rPr>
      </w:pPr>
      <w:r>
        <w:rPr>
          <w:rFonts w:hint="eastAsia"/>
          <w:sz w:val="28"/>
          <w:szCs w:val="28"/>
        </w:rPr>
        <w:t>收益法：</w:t>
      </w:r>
      <w:r>
        <w:rPr>
          <w:sz w:val="28"/>
          <w:szCs w:val="28"/>
        </w:rPr>
        <w:t>估价对象或其同类房地产通常有租金等经济收入的，应选用收益法。</w:t>
      </w:r>
      <w:r>
        <w:rPr>
          <w:rFonts w:hint="eastAsia"/>
          <w:sz w:val="28"/>
          <w:szCs w:val="28"/>
        </w:rPr>
        <w:t>估价对象为位于岑巩县新兴滨河路的成套住宅房地产，该区域住宅房地产租赁交易信息相对较多，租赁市场相对成熟，同一供需圈同类型房地产租赁成交记录较多，且租赁发生的应由交易双方承担的税费及标准明确，故本次估价适宜采用收益法。</w:t>
      </w:r>
    </w:p>
    <w:p>
      <w:pPr>
        <w:numPr>
          <w:ilvl w:val="0"/>
          <w:numId w:val="21"/>
        </w:numPr>
        <w:tabs>
          <w:tab w:val="left" w:pos="180"/>
        </w:tabs>
        <w:spacing w:line="500" w:lineRule="exact"/>
        <w:jc w:val="left"/>
        <w:rPr>
          <w:b/>
          <w:bCs/>
          <w:sz w:val="28"/>
          <w:szCs w:val="28"/>
        </w:rPr>
      </w:pPr>
      <w:r>
        <w:rPr>
          <w:rFonts w:hint="eastAsia" w:cs="Arial Narrow"/>
          <w:sz w:val="28"/>
          <w:szCs w:val="28"/>
        </w:rPr>
        <w:t>结合规定本次房地产估价适用但未选用的方法及理由</w:t>
      </w:r>
    </w:p>
    <w:p>
      <w:pPr>
        <w:numPr>
          <w:ilvl w:val="0"/>
          <w:numId w:val="24"/>
        </w:numPr>
        <w:tabs>
          <w:tab w:val="left" w:pos="180"/>
        </w:tabs>
        <w:spacing w:line="500" w:lineRule="exact"/>
        <w:ind w:left="0" w:firstLine="560" w:firstLineChars="200"/>
        <w:jc w:val="left"/>
        <w:rPr>
          <w:rFonts w:cs="Arial Narrow"/>
          <w:sz w:val="28"/>
          <w:szCs w:val="28"/>
        </w:rPr>
      </w:pPr>
      <w:r>
        <w:rPr>
          <w:rFonts w:hint="eastAsia" w:cs="Arial Narrow"/>
          <w:sz w:val="28"/>
          <w:szCs w:val="28"/>
        </w:rPr>
        <w:t>成本法：首先，估价对象同一供应圈内的同类房地产有交易情况，</w:t>
      </w:r>
      <w:r>
        <w:rPr>
          <w:rFonts w:hint="eastAsia"/>
          <w:sz w:val="28"/>
          <w:szCs w:val="28"/>
        </w:rPr>
        <w:t>其次</w:t>
      </w:r>
      <w:r>
        <w:rPr>
          <w:sz w:val="28"/>
          <w:szCs w:val="28"/>
        </w:rPr>
        <w:t>成套住宅价格主要受到市场供求关系左右，成本法的均衡原理淡化，在这种情况下成套住宅房地产价格与开发成本的关联性弱，房地产的开发成本不能反映出房地产的现实市场价格</w:t>
      </w:r>
      <w:r>
        <w:rPr>
          <w:rFonts w:hint="eastAsia"/>
          <w:sz w:val="28"/>
          <w:szCs w:val="28"/>
        </w:rPr>
        <w:t>。最后，其分摊土地使用面积未知。综上，</w:t>
      </w:r>
      <w:r>
        <w:rPr>
          <w:sz w:val="28"/>
          <w:szCs w:val="28"/>
        </w:rPr>
        <w:t>故未选用成本法</w:t>
      </w:r>
      <w:r>
        <w:rPr>
          <w:rFonts w:hint="eastAsia" w:cs="Arial Narrow"/>
          <w:sz w:val="28"/>
          <w:szCs w:val="28"/>
        </w:rPr>
        <w:t>。</w:t>
      </w:r>
    </w:p>
    <w:p>
      <w:pPr>
        <w:numPr>
          <w:ilvl w:val="0"/>
          <w:numId w:val="24"/>
        </w:numPr>
        <w:tabs>
          <w:tab w:val="left" w:pos="180"/>
        </w:tabs>
        <w:spacing w:line="500" w:lineRule="exact"/>
        <w:ind w:left="0" w:firstLine="560" w:firstLineChars="200"/>
        <w:jc w:val="left"/>
        <w:rPr>
          <w:rFonts w:cs="Arial Narrow"/>
          <w:sz w:val="28"/>
          <w:szCs w:val="28"/>
        </w:rPr>
      </w:pPr>
      <w:r>
        <w:rPr>
          <w:rFonts w:hint="eastAsia" w:cs="Arial Narrow"/>
          <w:sz w:val="28"/>
          <w:szCs w:val="28"/>
        </w:rPr>
        <w:t>假设开发法：</w:t>
      </w:r>
      <w:r>
        <w:rPr>
          <w:rFonts w:cs="Arial Narrow"/>
          <w:sz w:val="28"/>
          <w:szCs w:val="28"/>
        </w:rPr>
        <w:t>估价对象为已建成的</w:t>
      </w:r>
      <w:r>
        <w:rPr>
          <w:rFonts w:hint="eastAsia" w:cs="Arial Narrow"/>
          <w:sz w:val="28"/>
          <w:szCs w:val="28"/>
        </w:rPr>
        <w:t>房地产</w:t>
      </w:r>
      <w:r>
        <w:rPr>
          <w:rFonts w:cs="Arial Narrow"/>
          <w:sz w:val="28"/>
          <w:szCs w:val="28"/>
        </w:rPr>
        <w:t>，不具有开发或再开发潜力，故本次估价不选用假设开发法</w:t>
      </w:r>
      <w:r>
        <w:rPr>
          <w:rFonts w:hint="eastAsia" w:cs="Arial Narrow"/>
          <w:sz w:val="28"/>
          <w:szCs w:val="28"/>
        </w:rPr>
        <w:t>。</w:t>
      </w:r>
    </w:p>
    <w:p>
      <w:pPr>
        <w:numPr>
          <w:ilvl w:val="0"/>
          <w:numId w:val="21"/>
        </w:numPr>
        <w:tabs>
          <w:tab w:val="left" w:pos="180"/>
        </w:tabs>
        <w:spacing w:line="500" w:lineRule="exact"/>
        <w:jc w:val="left"/>
        <w:rPr>
          <w:rFonts w:cs="Arial Narrow"/>
          <w:sz w:val="28"/>
          <w:szCs w:val="28"/>
        </w:rPr>
      </w:pPr>
      <w:r>
        <w:rPr>
          <w:rFonts w:hint="eastAsia" w:cs="Arial Narrow"/>
          <w:sz w:val="28"/>
          <w:szCs w:val="28"/>
        </w:rPr>
        <w:t>估价方法定义</w:t>
      </w:r>
    </w:p>
    <w:p>
      <w:pPr>
        <w:numPr>
          <w:ilvl w:val="0"/>
          <w:numId w:val="25"/>
        </w:numPr>
        <w:tabs>
          <w:tab w:val="left" w:pos="180"/>
        </w:tabs>
        <w:spacing w:line="500" w:lineRule="exact"/>
        <w:ind w:left="0" w:firstLine="560"/>
        <w:jc w:val="left"/>
        <w:rPr>
          <w:rFonts w:cs="Arial Narrow"/>
          <w:sz w:val="28"/>
          <w:szCs w:val="28"/>
        </w:rPr>
      </w:pPr>
      <w:r>
        <w:rPr>
          <w:rFonts w:hint="eastAsia" w:cs="Arial Narrow"/>
          <w:sz w:val="28"/>
          <w:szCs w:val="28"/>
        </w:rPr>
        <w:t>比较法：选取一定数量的可比实例，将他们与估价对象进行比较，根据其间的差异对可比实例成交价格进行处理后得到估价对象价值或价格的方法。</w:t>
      </w:r>
    </w:p>
    <w:p>
      <w:pPr>
        <w:spacing w:line="500" w:lineRule="exact"/>
        <w:ind w:firstLine="560" w:firstLineChars="200"/>
        <w:rPr>
          <w:rFonts w:cs="Arial Narrow"/>
          <w:sz w:val="28"/>
          <w:szCs w:val="28"/>
        </w:rPr>
      </w:pPr>
      <w:r>
        <w:rPr>
          <w:rFonts w:cs="Arial Narrow"/>
          <w:sz w:val="28"/>
          <w:szCs w:val="28"/>
        </w:rPr>
        <w:t>公式：P=P</w:t>
      </w:r>
      <w:r>
        <w:rPr>
          <w:rFonts w:hint="eastAsia" w:cs="Arial Narrow"/>
          <w:sz w:val="28"/>
          <w:szCs w:val="28"/>
          <w:vertAlign w:val="subscript"/>
        </w:rPr>
        <w:t>i</w:t>
      </w:r>
      <w:r>
        <w:rPr>
          <w:rFonts w:cs="Arial Narrow"/>
          <w:sz w:val="28"/>
          <w:szCs w:val="28"/>
        </w:rPr>
        <w:t>×A×B×C</w:t>
      </w:r>
    </w:p>
    <w:p>
      <w:pPr>
        <w:spacing w:line="500" w:lineRule="exact"/>
        <w:ind w:firstLine="560" w:firstLineChars="200"/>
        <w:rPr>
          <w:rFonts w:cs="Arial Narrow"/>
          <w:sz w:val="28"/>
          <w:szCs w:val="28"/>
        </w:rPr>
      </w:pPr>
      <w:r>
        <w:rPr>
          <w:rFonts w:cs="Arial Narrow"/>
          <w:sz w:val="28"/>
          <w:szCs w:val="28"/>
        </w:rPr>
        <w:t>式中：P</w:t>
      </w:r>
      <w:r>
        <w:rPr>
          <w:rFonts w:hint="eastAsia"/>
          <w:sz w:val="28"/>
        </w:rPr>
        <w:t>——</w:t>
      </w:r>
      <w:r>
        <w:rPr>
          <w:rFonts w:cs="Arial Narrow"/>
          <w:sz w:val="28"/>
          <w:szCs w:val="28"/>
        </w:rPr>
        <w:t>被估价房地产估价价格</w:t>
      </w:r>
    </w:p>
    <w:p>
      <w:pPr>
        <w:spacing w:line="500" w:lineRule="exact"/>
        <w:ind w:firstLine="1400" w:firstLineChars="500"/>
        <w:rPr>
          <w:rFonts w:cs="Arial Narrow"/>
          <w:sz w:val="28"/>
          <w:szCs w:val="28"/>
        </w:rPr>
      </w:pPr>
      <w:r>
        <w:rPr>
          <w:rFonts w:cs="Arial Narrow"/>
          <w:sz w:val="28"/>
          <w:szCs w:val="28"/>
        </w:rPr>
        <w:t>P</w:t>
      </w:r>
      <w:r>
        <w:rPr>
          <w:rFonts w:hint="eastAsia" w:cs="Arial Narrow"/>
          <w:sz w:val="28"/>
          <w:szCs w:val="28"/>
          <w:vertAlign w:val="subscript"/>
        </w:rPr>
        <w:t>i</w:t>
      </w:r>
      <w:r>
        <w:rPr>
          <w:rFonts w:hint="eastAsia"/>
          <w:sz w:val="28"/>
        </w:rPr>
        <w:t>——</w:t>
      </w:r>
      <w:r>
        <w:rPr>
          <w:rFonts w:cs="Arial Narrow"/>
          <w:sz w:val="28"/>
          <w:szCs w:val="28"/>
        </w:rPr>
        <w:t>可比交易案例价格</w:t>
      </w:r>
    </w:p>
    <w:p>
      <w:pPr>
        <w:spacing w:line="500" w:lineRule="exact"/>
        <w:ind w:firstLine="1400" w:firstLineChars="500"/>
        <w:rPr>
          <w:rFonts w:cs="Arial Narrow"/>
          <w:sz w:val="28"/>
          <w:szCs w:val="28"/>
        </w:rPr>
      </w:pPr>
      <w:r>
        <w:rPr>
          <w:rFonts w:cs="Arial Narrow"/>
          <w:sz w:val="28"/>
          <w:szCs w:val="28"/>
        </w:rPr>
        <w:t>A</w:t>
      </w:r>
      <w:r>
        <w:rPr>
          <w:rFonts w:hint="eastAsia"/>
          <w:sz w:val="28"/>
        </w:rPr>
        <w:t>——</w:t>
      </w:r>
      <w:r>
        <w:rPr>
          <w:rFonts w:cs="Arial Narrow"/>
          <w:sz w:val="28"/>
          <w:szCs w:val="28"/>
        </w:rPr>
        <w:t>交易情况修正系数</w:t>
      </w:r>
    </w:p>
    <w:p>
      <w:pPr>
        <w:spacing w:line="500" w:lineRule="exact"/>
        <w:ind w:firstLine="1400" w:firstLineChars="500"/>
        <w:rPr>
          <w:rFonts w:cs="Arial Narrow"/>
          <w:sz w:val="28"/>
          <w:szCs w:val="28"/>
        </w:rPr>
      </w:pPr>
      <w:r>
        <w:rPr>
          <w:rFonts w:cs="Arial Narrow"/>
          <w:sz w:val="28"/>
          <w:szCs w:val="28"/>
        </w:rPr>
        <w:t>B</w:t>
      </w:r>
      <w:r>
        <w:rPr>
          <w:rFonts w:hint="eastAsia"/>
          <w:sz w:val="28"/>
        </w:rPr>
        <w:t>——</w:t>
      </w:r>
      <w:r>
        <w:rPr>
          <w:rFonts w:hint="eastAsia" w:cs="Arial Narrow"/>
          <w:sz w:val="28"/>
          <w:szCs w:val="28"/>
        </w:rPr>
        <w:t>市场</w:t>
      </w:r>
      <w:r>
        <w:rPr>
          <w:rFonts w:cs="Arial Narrow"/>
          <w:sz w:val="28"/>
          <w:szCs w:val="28"/>
        </w:rPr>
        <w:t>状况</w:t>
      </w:r>
      <w:r>
        <w:rPr>
          <w:rFonts w:hint="eastAsia" w:cs="Arial Narrow"/>
          <w:sz w:val="28"/>
          <w:szCs w:val="28"/>
        </w:rPr>
        <w:t>调整</w:t>
      </w:r>
      <w:r>
        <w:rPr>
          <w:rFonts w:cs="Arial Narrow"/>
          <w:sz w:val="28"/>
          <w:szCs w:val="28"/>
        </w:rPr>
        <w:t>系数</w:t>
      </w:r>
    </w:p>
    <w:p>
      <w:pPr>
        <w:spacing w:line="500" w:lineRule="exact"/>
        <w:ind w:firstLine="1400" w:firstLineChars="500"/>
        <w:rPr>
          <w:rFonts w:cs="Arial Narrow"/>
          <w:sz w:val="28"/>
          <w:szCs w:val="28"/>
        </w:rPr>
      </w:pPr>
      <w:r>
        <w:rPr>
          <w:rFonts w:cs="Arial Narrow"/>
          <w:sz w:val="28"/>
          <w:szCs w:val="28"/>
        </w:rPr>
        <w:t>C</w:t>
      </w:r>
      <w:r>
        <w:rPr>
          <w:rFonts w:hint="eastAsia"/>
          <w:sz w:val="28"/>
        </w:rPr>
        <w:t>——</w:t>
      </w:r>
      <w:r>
        <w:rPr>
          <w:rFonts w:hint="eastAsia" w:cs="Arial Narrow"/>
          <w:sz w:val="28"/>
          <w:szCs w:val="28"/>
        </w:rPr>
        <w:t>房地产状况调整</w:t>
      </w:r>
      <w:r>
        <w:rPr>
          <w:rFonts w:cs="Arial Narrow"/>
          <w:sz w:val="28"/>
          <w:szCs w:val="28"/>
        </w:rPr>
        <w:t>系数</w:t>
      </w:r>
      <w:bookmarkStart w:id="223" w:name="_Hlk65154008"/>
    </w:p>
    <w:p>
      <w:pPr>
        <w:numPr>
          <w:ilvl w:val="0"/>
          <w:numId w:val="25"/>
        </w:numPr>
        <w:tabs>
          <w:tab w:val="left" w:pos="180"/>
        </w:tabs>
        <w:spacing w:line="500" w:lineRule="exact"/>
        <w:ind w:left="0" w:firstLine="560"/>
        <w:jc w:val="left"/>
        <w:rPr>
          <w:rFonts w:cs="Arial Narrow"/>
          <w:sz w:val="28"/>
          <w:szCs w:val="28"/>
        </w:rPr>
      </w:pPr>
      <w:r>
        <w:rPr>
          <w:rFonts w:cs="Arial Narrow"/>
          <w:sz w:val="28"/>
          <w:szCs w:val="28"/>
        </w:rPr>
        <w:t>收益法：预测估价对象的未来收益，利用合适的报酬率或资本化率、收益乘数，将未来收益转换为价值得到估价对象价值或价格的方法。</w:t>
      </w:r>
    </w:p>
    <w:p>
      <w:pPr>
        <w:spacing w:line="500" w:lineRule="exact"/>
        <w:ind w:firstLine="560" w:firstLineChars="200"/>
        <w:rPr>
          <w:rFonts w:cs="Arial Narrow"/>
          <w:sz w:val="28"/>
          <w:szCs w:val="28"/>
        </w:rPr>
      </w:pPr>
      <w:r>
        <w:rPr>
          <w:rFonts w:hint="eastAsia"/>
          <w:color w:val="000000"/>
          <w:sz w:val="28"/>
          <w:szCs w:val="28"/>
        </w:rPr>
        <w:t>全剩余寿命模式的收益法公式如下为：</w:t>
      </w:r>
      <w:r>
        <w:rPr>
          <w:rFonts w:cs="Arial Narrow"/>
          <w:sz w:val="28"/>
          <w:szCs w:val="28"/>
        </w:rPr>
        <w:t xml:space="preserve"> </w:t>
      </w:r>
    </w:p>
    <w:p>
      <w:pPr>
        <w:spacing w:line="840" w:lineRule="auto"/>
        <w:ind w:firstLine="560" w:firstLineChars="200"/>
        <w:rPr>
          <w:color w:val="000000"/>
          <w:kern w:val="0"/>
          <w:sz w:val="28"/>
          <w:szCs w:val="28"/>
        </w:rPr>
      </w:pPr>
      <m:oMathPara>
        <m:oMath>
          <m:r>
            <m:rPr/>
            <w:rPr>
              <w:rFonts w:ascii="Cambria Math" w:hAnsi="Cambria Math"/>
              <w:color w:val="000000"/>
              <w:kern w:val="0"/>
              <w:sz w:val="28"/>
              <w:szCs w:val="28"/>
            </w:rPr>
            <m:t>V=</m:t>
          </m:r>
          <m:nary>
            <m:naryPr>
              <m:chr m:val="∑"/>
              <m:limLoc m:val="undOvr"/>
              <m:ctrlPr>
                <w:rPr>
                  <w:rFonts w:ascii="Cambria Math" w:hAnsi="Cambria Math"/>
                  <w:i/>
                  <w:color w:val="000000"/>
                  <w:kern w:val="0"/>
                  <w:sz w:val="28"/>
                  <w:szCs w:val="28"/>
                </w:rPr>
              </m:ctrlPr>
            </m:naryPr>
            <m:sub>
              <m:r>
                <m:rPr/>
                <w:rPr>
                  <w:rFonts w:hint="eastAsia" w:ascii="Cambria Math" w:hAnsi="Cambria Math"/>
                  <w:color w:val="000000"/>
                  <w:kern w:val="0"/>
                  <w:sz w:val="28"/>
                  <w:szCs w:val="28"/>
                </w:rPr>
                <m:t>i=</m:t>
              </m:r>
              <m:r>
                <m:rPr/>
                <w:rPr>
                  <w:rFonts w:ascii="Cambria Math" w:hAnsi="Cambria Math"/>
                  <w:color w:val="000000"/>
                  <w:kern w:val="0"/>
                  <w:sz w:val="28"/>
                  <w:szCs w:val="28"/>
                </w:rPr>
                <m:t>1</m:t>
              </m:r>
              <m:ctrlPr>
                <w:rPr>
                  <w:rFonts w:ascii="Cambria Math" w:hAnsi="Cambria Math"/>
                  <w:i/>
                  <w:color w:val="000000"/>
                  <w:kern w:val="0"/>
                  <w:sz w:val="28"/>
                  <w:szCs w:val="28"/>
                </w:rPr>
              </m:ctrlPr>
            </m:sub>
            <m:sup>
              <m:r>
                <m:rPr/>
                <w:rPr>
                  <w:rFonts w:hint="eastAsia" w:ascii="Cambria Math" w:hAnsi="Cambria Math"/>
                  <w:color w:val="000000"/>
                  <w:kern w:val="0"/>
                  <w:sz w:val="28"/>
                  <w:szCs w:val="28"/>
                </w:rPr>
                <m:t>n</m:t>
              </m:r>
              <m:ctrlPr>
                <w:rPr>
                  <w:rFonts w:ascii="Cambria Math" w:hAnsi="Cambria Math"/>
                  <w:i/>
                  <w:color w:val="000000"/>
                  <w:kern w:val="0"/>
                  <w:sz w:val="28"/>
                  <w:szCs w:val="28"/>
                </w:rPr>
              </m:ctrlPr>
            </m:sup>
            <m:e>
              <m:f>
                <m:fPr>
                  <m:ctrlPr>
                    <w:rPr>
                      <w:rFonts w:ascii="Cambria Math" w:hAnsi="Cambria Math"/>
                      <w:i/>
                      <w:color w:val="000000"/>
                      <w:kern w:val="0"/>
                      <w:sz w:val="28"/>
                      <w:szCs w:val="28"/>
                    </w:rPr>
                  </m:ctrlPr>
                </m:fPr>
                <m:num>
                  <m:sSub>
                    <m:sSubPr>
                      <m:ctrlPr>
                        <w:rPr>
                          <w:rFonts w:ascii="Cambria Math" w:hAnsi="Cambria Math"/>
                          <w:i/>
                          <w:color w:val="000000"/>
                          <w:kern w:val="0"/>
                          <w:sz w:val="28"/>
                          <w:szCs w:val="28"/>
                        </w:rPr>
                      </m:ctrlPr>
                    </m:sSubPr>
                    <m:e>
                      <m:r>
                        <m:rPr/>
                        <w:rPr>
                          <w:rFonts w:ascii="Cambria Math" w:hAnsi="Cambria Math"/>
                          <w:color w:val="000000"/>
                          <w:kern w:val="0"/>
                          <w:sz w:val="28"/>
                          <w:szCs w:val="28"/>
                        </w:rPr>
                        <m:t>A</m:t>
                      </m:r>
                      <m:ctrlPr>
                        <w:rPr>
                          <w:rFonts w:ascii="Cambria Math" w:hAnsi="Cambria Math"/>
                          <w:i/>
                          <w:color w:val="000000"/>
                          <w:kern w:val="0"/>
                          <w:sz w:val="28"/>
                          <w:szCs w:val="28"/>
                        </w:rPr>
                      </m:ctrlPr>
                    </m:e>
                    <m:sub>
                      <m:r>
                        <m:rPr/>
                        <w:rPr>
                          <w:rFonts w:hint="eastAsia" w:ascii="Cambria Math" w:hAnsi="Cambria Math"/>
                          <w:color w:val="000000"/>
                          <w:kern w:val="0"/>
                          <w:sz w:val="28"/>
                          <w:szCs w:val="28"/>
                        </w:rPr>
                        <m:t>i</m:t>
                      </m:r>
                      <m:ctrlPr>
                        <w:rPr>
                          <w:rFonts w:ascii="Cambria Math" w:hAnsi="Cambria Math"/>
                          <w:i/>
                          <w:color w:val="000000"/>
                          <w:kern w:val="0"/>
                          <w:sz w:val="28"/>
                          <w:szCs w:val="28"/>
                        </w:rPr>
                      </m:ctrlPr>
                    </m:sub>
                  </m:sSub>
                  <m:ctrlPr>
                    <w:rPr>
                      <w:rFonts w:ascii="Cambria Math" w:hAnsi="Cambria Math"/>
                      <w:i/>
                      <w:color w:val="000000"/>
                      <w:kern w:val="0"/>
                      <w:sz w:val="28"/>
                      <w:szCs w:val="28"/>
                    </w:rPr>
                  </m:ctrlPr>
                </m:num>
                <m:den>
                  <m:sSup>
                    <m:sSupPr>
                      <m:ctrlPr>
                        <w:rPr>
                          <w:rFonts w:ascii="Cambria Math" w:hAnsi="Cambria Math"/>
                          <w:i/>
                          <w:color w:val="000000"/>
                          <w:kern w:val="0"/>
                          <w:sz w:val="28"/>
                          <w:szCs w:val="28"/>
                        </w:rPr>
                      </m:ctrlPr>
                    </m:sSupPr>
                    <m:e>
                      <m:r>
                        <m:rPr/>
                        <w:rPr>
                          <w:rFonts w:ascii="Cambria Math" w:hAnsi="Cambria Math"/>
                          <w:color w:val="000000"/>
                          <w:kern w:val="0"/>
                          <w:sz w:val="28"/>
                          <w:szCs w:val="28"/>
                        </w:rPr>
                        <m:t>(1+</m:t>
                      </m:r>
                      <m:sSub>
                        <m:sSubPr>
                          <m:ctrlPr>
                            <w:rPr>
                              <w:rFonts w:ascii="Cambria Math" w:hAnsi="Cambria Math"/>
                              <w:i/>
                              <w:color w:val="000000"/>
                              <w:kern w:val="0"/>
                              <w:sz w:val="28"/>
                              <w:szCs w:val="28"/>
                            </w:rPr>
                          </m:ctrlPr>
                        </m:sSubPr>
                        <m:e>
                          <m:r>
                            <m:rPr/>
                            <w:rPr>
                              <w:rFonts w:ascii="Cambria Math" w:hAnsi="Cambria Math"/>
                              <w:color w:val="000000"/>
                              <w:kern w:val="0"/>
                              <w:sz w:val="28"/>
                              <w:szCs w:val="28"/>
                            </w:rPr>
                            <m:t>Y</m:t>
                          </m:r>
                          <m:ctrlPr>
                            <w:rPr>
                              <w:rFonts w:ascii="Cambria Math" w:hAnsi="Cambria Math"/>
                              <w:i/>
                              <w:color w:val="000000"/>
                              <w:kern w:val="0"/>
                              <w:sz w:val="28"/>
                              <w:szCs w:val="28"/>
                            </w:rPr>
                          </m:ctrlPr>
                        </m:e>
                        <m:sub>
                          <m:r>
                            <m:rPr/>
                            <w:rPr>
                              <w:rFonts w:hint="eastAsia" w:ascii="Cambria Math" w:hAnsi="Cambria Math"/>
                              <w:color w:val="000000"/>
                              <w:kern w:val="0"/>
                              <w:sz w:val="28"/>
                              <w:szCs w:val="28"/>
                            </w:rPr>
                            <m:t>i</m:t>
                          </m:r>
                          <m:ctrlPr>
                            <w:rPr>
                              <w:rFonts w:ascii="Cambria Math" w:hAnsi="Cambria Math"/>
                              <w:i/>
                              <w:color w:val="000000"/>
                              <w:kern w:val="0"/>
                              <w:sz w:val="28"/>
                              <w:szCs w:val="28"/>
                            </w:rPr>
                          </m:ctrlPr>
                        </m:sub>
                      </m:sSub>
                      <m:r>
                        <m:rPr/>
                        <w:rPr>
                          <w:rFonts w:ascii="Cambria Math" w:hAnsi="Cambria Math"/>
                          <w:color w:val="000000"/>
                          <w:kern w:val="0"/>
                          <w:sz w:val="28"/>
                          <w:szCs w:val="28"/>
                        </w:rPr>
                        <m:t>)</m:t>
                      </m:r>
                      <m:ctrlPr>
                        <w:rPr>
                          <w:rFonts w:ascii="Cambria Math" w:hAnsi="Cambria Math"/>
                          <w:i/>
                          <w:color w:val="000000"/>
                          <w:kern w:val="0"/>
                          <w:sz w:val="28"/>
                          <w:szCs w:val="28"/>
                        </w:rPr>
                      </m:ctrlPr>
                    </m:e>
                    <m:sup>
                      <m:r>
                        <m:rPr/>
                        <w:rPr>
                          <w:rFonts w:hint="eastAsia" w:ascii="Cambria Math" w:hAnsi="Cambria Math"/>
                          <w:color w:val="000000"/>
                          <w:kern w:val="0"/>
                          <w:sz w:val="28"/>
                          <w:szCs w:val="28"/>
                        </w:rPr>
                        <m:t>i</m:t>
                      </m:r>
                      <m:ctrlPr>
                        <w:rPr>
                          <w:rFonts w:ascii="Cambria Math" w:hAnsi="Cambria Math"/>
                          <w:i/>
                          <w:color w:val="000000"/>
                          <w:kern w:val="0"/>
                          <w:sz w:val="28"/>
                          <w:szCs w:val="28"/>
                        </w:rPr>
                      </m:ctrlPr>
                    </m:sup>
                  </m:sSup>
                  <m:ctrlPr>
                    <w:rPr>
                      <w:rFonts w:ascii="Cambria Math" w:hAnsi="Cambria Math"/>
                      <w:i/>
                      <w:color w:val="000000"/>
                      <w:kern w:val="0"/>
                      <w:sz w:val="28"/>
                      <w:szCs w:val="28"/>
                    </w:rPr>
                  </m:ctrlPr>
                </m:den>
              </m:f>
              <m:ctrlPr>
                <w:rPr>
                  <w:rFonts w:ascii="Cambria Math" w:hAnsi="Cambria Math"/>
                  <w:i/>
                  <w:color w:val="000000"/>
                  <w:kern w:val="0"/>
                  <w:sz w:val="28"/>
                  <w:szCs w:val="28"/>
                </w:rPr>
              </m:ctrlPr>
            </m:e>
          </m:nary>
        </m:oMath>
      </m:oMathPara>
    </w:p>
    <w:p>
      <w:pPr>
        <w:spacing w:line="500" w:lineRule="exact"/>
        <w:ind w:firstLine="560" w:firstLineChars="200"/>
        <w:rPr>
          <w:sz w:val="28"/>
        </w:rPr>
      </w:pPr>
      <w:r>
        <w:rPr>
          <w:sz w:val="28"/>
        </w:rPr>
        <w:t>式中：</w:t>
      </w:r>
      <w:r>
        <w:rPr>
          <w:rFonts w:hint="eastAsia"/>
          <w:sz w:val="28"/>
        </w:rPr>
        <w:t>V——收益价值(元或元/㎡</w:t>
      </w:r>
      <w:r>
        <w:rPr>
          <w:sz w:val="28"/>
        </w:rPr>
        <w:t>)</w:t>
      </w:r>
      <w:r>
        <w:rPr>
          <w:rFonts w:hint="eastAsia"/>
          <w:sz w:val="28"/>
        </w:rPr>
        <w:t>；</w:t>
      </w:r>
    </w:p>
    <w:p>
      <w:pPr>
        <w:spacing w:line="500" w:lineRule="exact"/>
        <w:ind w:firstLine="1400" w:firstLineChars="500"/>
        <w:rPr>
          <w:sz w:val="28"/>
        </w:rPr>
      </w:pPr>
      <w:r>
        <w:rPr>
          <w:sz w:val="28"/>
        </w:rPr>
        <w:t>A</w:t>
      </w:r>
      <w:r>
        <w:rPr>
          <w:sz w:val="28"/>
          <w:vertAlign w:val="subscript"/>
        </w:rPr>
        <w:t>i</w:t>
      </w:r>
      <w:r>
        <w:rPr>
          <w:rFonts w:hint="eastAsia"/>
          <w:sz w:val="28"/>
        </w:rPr>
        <w:t>——未来第i年的净收益(元或元/㎡</w:t>
      </w:r>
      <w:r>
        <w:rPr>
          <w:sz w:val="28"/>
        </w:rPr>
        <w:t>)</w:t>
      </w:r>
      <w:r>
        <w:rPr>
          <w:rFonts w:hint="eastAsia"/>
          <w:sz w:val="28"/>
        </w:rPr>
        <w:t>；</w:t>
      </w:r>
    </w:p>
    <w:p>
      <w:pPr>
        <w:spacing w:line="500" w:lineRule="exact"/>
        <w:ind w:firstLine="1400" w:firstLineChars="500"/>
        <w:rPr>
          <w:sz w:val="28"/>
        </w:rPr>
      </w:pPr>
      <w:r>
        <w:rPr>
          <w:sz w:val="28"/>
        </w:rPr>
        <w:t>Y</w:t>
      </w:r>
      <w:r>
        <w:rPr>
          <w:sz w:val="28"/>
          <w:vertAlign w:val="subscript"/>
        </w:rPr>
        <w:t>i</w:t>
      </w:r>
      <w:r>
        <w:rPr>
          <w:rFonts w:hint="eastAsia"/>
          <w:sz w:val="28"/>
        </w:rPr>
        <w:t>——未来第i年的报酬率(%</w:t>
      </w:r>
      <w:r>
        <w:rPr>
          <w:sz w:val="28"/>
        </w:rPr>
        <w:t>)</w:t>
      </w:r>
      <w:r>
        <w:rPr>
          <w:rFonts w:hint="eastAsia"/>
          <w:sz w:val="28"/>
        </w:rPr>
        <w:t>；</w:t>
      </w:r>
    </w:p>
    <w:p>
      <w:pPr>
        <w:spacing w:line="500" w:lineRule="exact"/>
        <w:ind w:firstLine="1400" w:firstLineChars="500"/>
        <w:rPr>
          <w:sz w:val="28"/>
          <w:szCs w:val="28"/>
        </w:rPr>
      </w:pPr>
      <w:r>
        <w:rPr>
          <w:rFonts w:hint="eastAsia"/>
          <w:sz w:val="28"/>
          <w:szCs w:val="28"/>
        </w:rPr>
        <w:t>n</w:t>
      </w:r>
      <w:r>
        <w:rPr>
          <w:rFonts w:hint="eastAsia"/>
          <w:sz w:val="28"/>
        </w:rPr>
        <w:t>——收益期(年</w:t>
      </w:r>
      <w:r>
        <w:rPr>
          <w:sz w:val="28"/>
        </w:rPr>
        <w:t>)</w:t>
      </w:r>
      <w:r>
        <w:rPr>
          <w:rFonts w:hint="eastAsia"/>
          <w:sz w:val="28"/>
        </w:rPr>
        <w:t>。</w:t>
      </w:r>
    </w:p>
    <w:bookmarkEnd w:id="223"/>
    <w:p>
      <w:pPr>
        <w:numPr>
          <w:ilvl w:val="0"/>
          <w:numId w:val="21"/>
        </w:numPr>
        <w:tabs>
          <w:tab w:val="left" w:pos="180"/>
        </w:tabs>
        <w:spacing w:line="520" w:lineRule="exact"/>
        <w:jc w:val="left"/>
        <w:rPr>
          <w:rFonts w:cs="Arial Narrow"/>
          <w:sz w:val="28"/>
          <w:szCs w:val="28"/>
        </w:rPr>
      </w:pPr>
      <w:bookmarkStart w:id="224" w:name="_Hlk98435866"/>
      <w:r>
        <w:rPr>
          <w:rFonts w:hint="eastAsia" w:cs="Arial Narrow"/>
          <w:sz w:val="28"/>
          <w:szCs w:val="28"/>
        </w:rPr>
        <w:t>估价技术路线</w:t>
      </w:r>
    </w:p>
    <w:p>
      <w:pPr>
        <w:numPr>
          <w:ilvl w:val="0"/>
          <w:numId w:val="26"/>
        </w:numPr>
        <w:adjustRightInd w:val="0"/>
        <w:snapToGrid w:val="0"/>
        <w:spacing w:line="500" w:lineRule="exact"/>
        <w:ind w:left="0" w:firstLine="560" w:firstLineChars="200"/>
        <w:rPr>
          <w:sz w:val="28"/>
        </w:rPr>
      </w:pPr>
      <w:r>
        <w:rPr>
          <w:rFonts w:hint="eastAsia"/>
          <w:sz w:val="28"/>
        </w:rPr>
        <w:t>估价技术路线：(</w:t>
      </w:r>
      <w:r>
        <w:rPr>
          <w:sz w:val="28"/>
        </w:rPr>
        <w:t>1)根据估价目的，在估价对象的同一供需圈内，选择与估价对象房地产相似、交易方式适合、成交日期与价值时点相近、成交价格尽量为正常价格的三个相类似的房地产作为可比实例</w:t>
      </w:r>
      <w:r>
        <w:rPr>
          <w:rFonts w:hint="eastAsia"/>
          <w:sz w:val="28"/>
        </w:rPr>
        <w:t>；(</w:t>
      </w:r>
      <w:r>
        <w:rPr>
          <w:sz w:val="28"/>
        </w:rPr>
        <w:t>2)建立比较基础</w:t>
      </w:r>
      <w:r>
        <w:rPr>
          <w:rFonts w:hint="eastAsia"/>
          <w:sz w:val="28"/>
        </w:rPr>
        <w:t>；(</w:t>
      </w:r>
      <w:r>
        <w:rPr>
          <w:sz w:val="28"/>
        </w:rPr>
        <w:t>3)进行交易情况修正、市场状况修正、区位状况修正、实物状况修正等调整</w:t>
      </w:r>
      <w:r>
        <w:rPr>
          <w:rFonts w:hint="eastAsia"/>
          <w:sz w:val="28"/>
        </w:rPr>
        <w:t>；(</w:t>
      </w:r>
      <w:r>
        <w:rPr>
          <w:sz w:val="28"/>
        </w:rPr>
        <w:t>4)</w:t>
      </w:r>
      <w:r>
        <w:rPr>
          <w:rFonts w:hint="eastAsia"/>
          <w:sz w:val="28"/>
        </w:rPr>
        <w:t>最后</w:t>
      </w:r>
      <w:r>
        <w:rPr>
          <w:sz w:val="28"/>
        </w:rPr>
        <w:t>采用算数平均值得出估价对象价值。</w:t>
      </w:r>
    </w:p>
    <w:p>
      <w:pPr>
        <w:numPr>
          <w:ilvl w:val="0"/>
          <w:numId w:val="26"/>
        </w:numPr>
        <w:adjustRightInd w:val="0"/>
        <w:snapToGrid w:val="0"/>
        <w:spacing w:line="500" w:lineRule="exact"/>
        <w:ind w:left="0" w:firstLine="560" w:firstLineChars="200"/>
        <w:rPr>
          <w:sz w:val="28"/>
        </w:rPr>
      </w:pPr>
      <w:r>
        <w:rPr>
          <w:rFonts w:hint="eastAsia"/>
          <w:sz w:val="28"/>
        </w:rPr>
        <w:t>收益法估价技术路线：(</w:t>
      </w:r>
      <w:r>
        <w:rPr>
          <w:sz w:val="28"/>
        </w:rPr>
        <w:t>1)</w:t>
      </w:r>
      <w:r>
        <w:rPr>
          <w:rFonts w:hint="eastAsia"/>
          <w:sz w:val="28"/>
        </w:rPr>
        <w:t>选择具体估价方法，本次采用报酬资本化法的全剩余寿命模式；(</w:t>
      </w:r>
      <w:r>
        <w:rPr>
          <w:sz w:val="28"/>
        </w:rPr>
        <w:t>2)</w:t>
      </w:r>
      <w:r>
        <w:rPr>
          <w:rFonts w:hint="eastAsia"/>
          <w:sz w:val="28"/>
        </w:rPr>
        <w:t>根据市场调查，测算、预测未来收益，以及根据相关数据确定未来收益递增的比率及增长期限；(</w:t>
      </w:r>
      <w:r>
        <w:rPr>
          <w:sz w:val="28"/>
        </w:rPr>
        <w:t>3)</w:t>
      </w:r>
      <w:r>
        <w:rPr>
          <w:rFonts w:hint="eastAsia"/>
          <w:sz w:val="28"/>
        </w:rPr>
        <w:t>采用合适的方法，确定报酬率；(</w:t>
      </w:r>
      <w:r>
        <w:rPr>
          <w:sz w:val="28"/>
        </w:rPr>
        <w:t>4)</w:t>
      </w:r>
      <w:r>
        <w:rPr>
          <w:rFonts w:hint="eastAsia"/>
          <w:sz w:val="28"/>
        </w:rPr>
        <w:t>将上述测算分析的数值代入收益法测算公式，计算收益价值，得出估价结果。</w:t>
      </w:r>
    </w:p>
    <w:bookmarkEnd w:id="224"/>
    <w:p>
      <w:pPr>
        <w:pStyle w:val="3"/>
        <w:numPr>
          <w:ilvl w:val="0"/>
          <w:numId w:val="9"/>
        </w:numPr>
        <w:spacing w:before="120" w:after="120" w:line="500" w:lineRule="exact"/>
        <w:ind w:left="0" w:firstLine="640" w:firstLineChars="200"/>
        <w:rPr>
          <w:rFonts w:ascii="Times New Roman" w:hAnsi="Times New Roman" w:eastAsia="宋体"/>
        </w:rPr>
      </w:pPr>
      <w:bookmarkStart w:id="225" w:name="_Toc65065921"/>
      <w:r>
        <w:rPr>
          <w:rFonts w:hint="eastAsia" w:ascii="Times New Roman" w:hAnsi="Times New Roman" w:eastAsia="宋体"/>
        </w:rPr>
        <w:t>估价结果</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5"/>
    </w:p>
    <w:p>
      <w:pPr>
        <w:spacing w:line="500" w:lineRule="exact"/>
        <w:ind w:left="-4" w:leftChars="-2" w:firstLine="560" w:firstLineChars="200"/>
        <w:rPr>
          <w:sz w:val="28"/>
          <w:szCs w:val="28"/>
        </w:rPr>
      </w:pPr>
      <w:bookmarkStart w:id="226" w:name="_Toc396396781"/>
      <w:bookmarkStart w:id="227" w:name="_Toc432574977"/>
      <w:bookmarkStart w:id="228" w:name="_Toc432490550"/>
      <w:r>
        <w:rPr>
          <w:rFonts w:hint="eastAsia"/>
          <w:sz w:val="28"/>
          <w:szCs w:val="28"/>
        </w:rPr>
        <w:t>经过实地查勘和市场调查，结合估价目的、估价委托人提供的资料和陈述的有关估价对象情况，遵照法律法规和技术标准，遵循公认的估价原则，按照估价程序，在充分考虑影响估价对象该类房地产价值的各项因素</w:t>
      </w:r>
      <w:r>
        <w:rPr>
          <w:sz w:val="28"/>
          <w:szCs w:val="28"/>
        </w:rPr>
        <w:t>综合分析</w:t>
      </w:r>
      <w:r>
        <w:rPr>
          <w:rFonts w:hint="eastAsia"/>
          <w:sz w:val="28"/>
          <w:szCs w:val="28"/>
        </w:rPr>
        <w:t>的基础上，并满足本次估价的假设和限制条件下，估价对象于价值时点的房地产市场价值为人民币大写(取整</w:t>
      </w:r>
      <w:r>
        <w:rPr>
          <w:sz w:val="28"/>
          <w:szCs w:val="28"/>
        </w:rPr>
        <w:t>)</w:t>
      </w:r>
      <w:r>
        <w:rPr>
          <w:rFonts w:hint="eastAsia"/>
          <w:b/>
          <w:bCs/>
          <w:sz w:val="28"/>
          <w:szCs w:val="28"/>
        </w:rPr>
        <w:t>肆拾捌万玖仟玖佰贰拾伍</w:t>
      </w:r>
      <w:r>
        <w:rPr>
          <w:rFonts w:hint="eastAsia"/>
          <w:sz w:val="28"/>
          <w:szCs w:val="28"/>
        </w:rPr>
        <w:t>元整(</w:t>
      </w:r>
      <w:r>
        <w:rPr>
          <w:sz w:val="28"/>
          <w:szCs w:val="28"/>
        </w:rPr>
        <w:fldChar w:fldCharType="begin"/>
      </w:r>
      <w:r>
        <w:rPr>
          <w:sz w:val="28"/>
          <w:szCs w:val="28"/>
        </w:rPr>
        <w:instrText xml:space="preserve"> </w:instrText>
      </w:r>
      <w:r>
        <w:rPr>
          <w:rFonts w:hint="eastAsia"/>
          <w:sz w:val="28"/>
          <w:szCs w:val="28"/>
        </w:rPr>
        <w:instrText xml:space="preserve">=776910 \# "￥#,##0.00;(￥#,##0.00)"</w:instrText>
      </w:r>
      <w:r>
        <w:rPr>
          <w:sz w:val="28"/>
          <w:szCs w:val="28"/>
        </w:rPr>
        <w:instrText xml:space="preserve"> </w:instrText>
      </w:r>
      <w:r>
        <w:rPr>
          <w:sz w:val="28"/>
          <w:szCs w:val="28"/>
        </w:rPr>
        <w:fldChar w:fldCharType="separate"/>
      </w:r>
      <w:r>
        <w:rPr>
          <w:rFonts w:hint="eastAsia"/>
          <w:sz w:val="28"/>
          <w:szCs w:val="28"/>
        </w:rPr>
        <w:t>￥489,925.00</w:t>
      </w:r>
      <w:r>
        <w:rPr>
          <w:sz w:val="28"/>
          <w:szCs w:val="28"/>
        </w:rPr>
        <w:fldChar w:fldCharType="end"/>
      </w:r>
      <w:r>
        <w:rPr>
          <w:sz w:val="28"/>
          <w:szCs w:val="28"/>
        </w:rPr>
        <w:t>)</w:t>
      </w:r>
      <w:r>
        <w:rPr>
          <w:rFonts w:hint="eastAsia"/>
          <w:b/>
          <w:sz w:val="28"/>
          <w:szCs w:val="28"/>
        </w:rPr>
        <w:t>。</w:t>
      </w:r>
      <w:r>
        <w:rPr>
          <w:rFonts w:hint="eastAsia"/>
          <w:sz w:val="28"/>
          <w:szCs w:val="28"/>
        </w:rPr>
        <w:t>详见下表：</w:t>
      </w:r>
    </w:p>
    <w:p>
      <w:pPr>
        <w:spacing w:line="160" w:lineRule="exact"/>
        <w:ind w:left="-4" w:leftChars="-2" w:firstLine="560" w:firstLineChars="200"/>
        <w:rPr>
          <w:sz w:val="28"/>
          <w:szCs w:val="28"/>
        </w:rPr>
      </w:pPr>
    </w:p>
    <w:tbl>
      <w:tblPr>
        <w:tblStyle w:val="21"/>
        <w:tblW w:w="5000" w:type="pct"/>
        <w:tblInd w:w="0" w:type="dxa"/>
        <w:tblLayout w:type="autofit"/>
        <w:tblCellMar>
          <w:top w:w="0" w:type="dxa"/>
          <w:left w:w="108" w:type="dxa"/>
          <w:bottom w:w="0" w:type="dxa"/>
          <w:right w:w="108" w:type="dxa"/>
        </w:tblCellMar>
      </w:tblPr>
      <w:tblGrid>
        <w:gridCol w:w="657"/>
        <w:gridCol w:w="2111"/>
        <w:gridCol w:w="1031"/>
        <w:gridCol w:w="1441"/>
        <w:gridCol w:w="940"/>
        <w:gridCol w:w="1104"/>
        <w:gridCol w:w="1125"/>
        <w:gridCol w:w="1444"/>
      </w:tblGrid>
      <w:tr>
        <w:tblPrEx>
          <w:tblCellMar>
            <w:top w:w="0" w:type="dxa"/>
            <w:left w:w="108" w:type="dxa"/>
            <w:bottom w:w="0" w:type="dxa"/>
            <w:right w:w="108" w:type="dxa"/>
          </w:tblCellMar>
        </w:tblPrEx>
        <w:trPr>
          <w:trHeight w:val="425" w:hRule="atLeast"/>
        </w:trPr>
        <w:tc>
          <w:tcPr>
            <w:tcW w:w="5000" w:type="pct"/>
            <w:gridSpan w:val="8"/>
            <w:tcBorders>
              <w:top w:val="nil"/>
              <w:left w:val="nil"/>
              <w:bottom w:val="nil"/>
              <w:right w:val="nil"/>
            </w:tcBorders>
            <w:vAlign w:val="center"/>
          </w:tcPr>
          <w:p>
            <w:pPr>
              <w:widowControl/>
              <w:jc w:val="center"/>
              <w:rPr>
                <w:kern w:val="0"/>
                <w:szCs w:val="21"/>
              </w:rPr>
            </w:pPr>
            <w:r>
              <w:rPr>
                <w:kern w:val="0"/>
                <w:szCs w:val="21"/>
              </w:rPr>
              <w:t>估价结果汇总表</w:t>
            </w:r>
          </w:p>
        </w:tc>
      </w:tr>
      <w:tr>
        <w:tblPrEx>
          <w:tblCellMar>
            <w:top w:w="0" w:type="dxa"/>
            <w:left w:w="108" w:type="dxa"/>
            <w:bottom w:w="0" w:type="dxa"/>
            <w:right w:w="108" w:type="dxa"/>
          </w:tblCellMar>
        </w:tblPrEx>
        <w:trPr>
          <w:trHeight w:val="425" w:hRule="atLeast"/>
        </w:trPr>
        <w:tc>
          <w:tcPr>
            <w:tcW w:w="5000" w:type="pct"/>
            <w:gridSpan w:val="8"/>
            <w:tcBorders>
              <w:top w:val="nil"/>
              <w:left w:val="nil"/>
              <w:bottom w:val="single" w:color="auto" w:sz="4" w:space="0"/>
              <w:right w:val="nil"/>
            </w:tcBorders>
            <w:vAlign w:val="center"/>
          </w:tcPr>
          <w:p>
            <w:pPr>
              <w:widowControl/>
              <w:jc w:val="right"/>
              <w:rPr>
                <w:kern w:val="0"/>
                <w:szCs w:val="21"/>
              </w:rPr>
            </w:pPr>
            <w:r>
              <w:rPr>
                <w:kern w:val="0"/>
                <w:szCs w:val="21"/>
              </w:rPr>
              <w:t>金额单位：人民币元</w:t>
            </w:r>
          </w:p>
        </w:tc>
      </w:tr>
      <w:tr>
        <w:tblPrEx>
          <w:tblCellMar>
            <w:top w:w="0" w:type="dxa"/>
            <w:left w:w="108" w:type="dxa"/>
            <w:bottom w:w="0" w:type="dxa"/>
            <w:right w:w="108" w:type="dxa"/>
          </w:tblCellMar>
        </w:tblPrEx>
        <w:trPr>
          <w:trHeight w:val="425" w:hRule="atLeast"/>
        </w:trPr>
        <w:tc>
          <w:tcPr>
            <w:tcW w:w="33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估价对象</w:t>
            </w:r>
          </w:p>
        </w:tc>
        <w:tc>
          <w:tcPr>
            <w:tcW w:w="107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房屋坐落</w:t>
            </w:r>
          </w:p>
        </w:tc>
        <w:tc>
          <w:tcPr>
            <w:tcW w:w="523"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权利人</w:t>
            </w:r>
          </w:p>
        </w:tc>
        <w:tc>
          <w:tcPr>
            <w:tcW w:w="731"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所在层数/总层数</w:t>
            </w:r>
          </w:p>
        </w:tc>
        <w:tc>
          <w:tcPr>
            <w:tcW w:w="47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用途</w:t>
            </w:r>
          </w:p>
        </w:tc>
        <w:tc>
          <w:tcPr>
            <w:tcW w:w="560"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建筑面积（㎡）</w:t>
            </w:r>
          </w:p>
        </w:tc>
        <w:tc>
          <w:tcPr>
            <w:tcW w:w="1305" w:type="pct"/>
            <w:gridSpan w:val="2"/>
            <w:tcBorders>
              <w:top w:val="single" w:color="auto" w:sz="4" w:space="0"/>
              <w:left w:val="nil"/>
              <w:bottom w:val="single" w:color="auto" w:sz="4" w:space="0"/>
              <w:right w:val="single" w:color="auto" w:sz="4" w:space="0"/>
            </w:tcBorders>
            <w:vAlign w:val="center"/>
          </w:tcPr>
          <w:p>
            <w:pPr>
              <w:widowControl/>
              <w:jc w:val="center"/>
              <w:rPr>
                <w:kern w:val="0"/>
                <w:szCs w:val="21"/>
              </w:rPr>
            </w:pPr>
            <w:r>
              <w:rPr>
                <w:rFonts w:hint="eastAsia"/>
                <w:kern w:val="0"/>
                <w:szCs w:val="21"/>
              </w:rPr>
              <w:t>估价</w:t>
            </w:r>
            <w:r>
              <w:rPr>
                <w:kern w:val="0"/>
                <w:szCs w:val="21"/>
              </w:rPr>
              <w:t>值</w:t>
            </w:r>
          </w:p>
        </w:tc>
      </w:tr>
      <w:tr>
        <w:tblPrEx>
          <w:tblCellMar>
            <w:top w:w="0" w:type="dxa"/>
            <w:left w:w="108" w:type="dxa"/>
            <w:bottom w:w="0" w:type="dxa"/>
            <w:right w:w="108" w:type="dxa"/>
          </w:tblCellMar>
        </w:tblPrEx>
        <w:trPr>
          <w:trHeight w:val="425" w:hRule="atLeast"/>
        </w:trPr>
        <w:tc>
          <w:tcPr>
            <w:tcW w:w="33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107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52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731"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47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56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p>
        </w:tc>
        <w:tc>
          <w:tcPr>
            <w:tcW w:w="571" w:type="pct"/>
            <w:tcBorders>
              <w:top w:val="nil"/>
              <w:left w:val="nil"/>
              <w:bottom w:val="single" w:color="auto" w:sz="4" w:space="0"/>
              <w:right w:val="single" w:color="auto" w:sz="4" w:space="0"/>
            </w:tcBorders>
            <w:vAlign w:val="center"/>
          </w:tcPr>
          <w:p>
            <w:pPr>
              <w:widowControl/>
              <w:jc w:val="center"/>
              <w:rPr>
                <w:kern w:val="0"/>
                <w:szCs w:val="21"/>
              </w:rPr>
            </w:pPr>
            <w:r>
              <w:rPr>
                <w:kern w:val="0"/>
                <w:szCs w:val="21"/>
              </w:rPr>
              <w:t>单价</w:t>
            </w:r>
          </w:p>
          <w:p>
            <w:pPr>
              <w:widowControl/>
              <w:jc w:val="center"/>
              <w:rPr>
                <w:kern w:val="0"/>
                <w:szCs w:val="21"/>
              </w:rPr>
            </w:pPr>
            <w:r>
              <w:rPr>
                <w:rFonts w:hint="eastAsia"/>
                <w:kern w:val="0"/>
                <w:szCs w:val="21"/>
              </w:rPr>
              <w:t>(</w:t>
            </w:r>
            <w:r>
              <w:rPr>
                <w:kern w:val="0"/>
                <w:szCs w:val="21"/>
              </w:rPr>
              <w:t>元/㎡</w:t>
            </w:r>
            <w:r>
              <w:rPr>
                <w:rFonts w:hint="eastAsia"/>
                <w:kern w:val="0"/>
                <w:szCs w:val="21"/>
              </w:rPr>
              <w:t>)</w:t>
            </w:r>
          </w:p>
        </w:tc>
        <w:tc>
          <w:tcPr>
            <w:tcW w:w="734" w:type="pct"/>
            <w:tcBorders>
              <w:top w:val="nil"/>
              <w:left w:val="nil"/>
              <w:bottom w:val="single" w:color="auto" w:sz="4" w:space="0"/>
              <w:right w:val="single" w:color="auto" w:sz="4" w:space="0"/>
            </w:tcBorders>
            <w:vAlign w:val="center"/>
          </w:tcPr>
          <w:p>
            <w:pPr>
              <w:widowControl/>
              <w:jc w:val="center"/>
              <w:rPr>
                <w:kern w:val="0"/>
                <w:szCs w:val="21"/>
              </w:rPr>
            </w:pPr>
            <w:r>
              <w:rPr>
                <w:kern w:val="0"/>
                <w:szCs w:val="21"/>
              </w:rPr>
              <w:t>总价</w:t>
            </w:r>
          </w:p>
          <w:p>
            <w:pPr>
              <w:widowControl/>
              <w:jc w:val="center"/>
              <w:rPr>
                <w:kern w:val="0"/>
                <w:szCs w:val="21"/>
              </w:rPr>
            </w:pPr>
            <w:r>
              <w:rPr>
                <w:rFonts w:hint="eastAsia"/>
                <w:kern w:val="0"/>
                <w:szCs w:val="21"/>
              </w:rPr>
              <w:t>(</w:t>
            </w:r>
            <w:r>
              <w:rPr>
                <w:kern w:val="0"/>
                <w:szCs w:val="21"/>
              </w:rPr>
              <w:t>元，取整</w:t>
            </w:r>
            <w:r>
              <w:rPr>
                <w:rFonts w:hint="eastAsia"/>
                <w:kern w:val="0"/>
                <w:szCs w:val="21"/>
              </w:rPr>
              <w:t>)</w:t>
            </w:r>
          </w:p>
        </w:tc>
      </w:tr>
      <w:tr>
        <w:tblPrEx>
          <w:tblCellMar>
            <w:top w:w="0" w:type="dxa"/>
            <w:left w:w="108" w:type="dxa"/>
            <w:bottom w:w="0" w:type="dxa"/>
            <w:right w:w="108" w:type="dxa"/>
          </w:tblCellMar>
        </w:tblPrEx>
        <w:trPr>
          <w:trHeight w:val="425" w:hRule="atLeast"/>
        </w:trPr>
        <w:tc>
          <w:tcPr>
            <w:tcW w:w="334" w:type="pct"/>
            <w:tcBorders>
              <w:top w:val="nil"/>
              <w:left w:val="single" w:color="auto" w:sz="4" w:space="0"/>
              <w:bottom w:val="single" w:color="auto" w:sz="4" w:space="0"/>
              <w:right w:val="single" w:color="auto" w:sz="4" w:space="0"/>
            </w:tcBorders>
            <w:vAlign w:val="center"/>
          </w:tcPr>
          <w:p>
            <w:pPr>
              <w:widowControl/>
              <w:jc w:val="center"/>
              <w:rPr>
                <w:kern w:val="0"/>
                <w:szCs w:val="21"/>
              </w:rPr>
            </w:pPr>
            <w:r>
              <w:rPr>
                <w:kern w:val="0"/>
                <w:szCs w:val="21"/>
              </w:rPr>
              <w:t>1</w:t>
            </w:r>
          </w:p>
        </w:tc>
        <w:tc>
          <w:tcPr>
            <w:tcW w:w="1071"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岑巩县新兴滨河路</w:t>
            </w:r>
          </w:p>
        </w:tc>
        <w:tc>
          <w:tcPr>
            <w:tcW w:w="523"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龙芳</w:t>
            </w:r>
          </w:p>
        </w:tc>
        <w:tc>
          <w:tcPr>
            <w:tcW w:w="731"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第4层/6层</w:t>
            </w:r>
          </w:p>
        </w:tc>
        <w:tc>
          <w:tcPr>
            <w:tcW w:w="477"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成套</w:t>
            </w:r>
          </w:p>
          <w:p>
            <w:pPr>
              <w:widowControl/>
              <w:jc w:val="center"/>
              <w:rPr>
                <w:kern w:val="0"/>
                <w:szCs w:val="21"/>
              </w:rPr>
            </w:pPr>
            <w:r>
              <w:rPr>
                <w:kern w:val="0"/>
                <w:szCs w:val="21"/>
              </w:rPr>
              <w:t>住宅</w:t>
            </w:r>
          </w:p>
        </w:tc>
        <w:tc>
          <w:tcPr>
            <w:tcW w:w="560"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145.12</w:t>
            </w:r>
          </w:p>
        </w:tc>
        <w:tc>
          <w:tcPr>
            <w:tcW w:w="571" w:type="pct"/>
            <w:tcBorders>
              <w:top w:val="nil"/>
              <w:left w:val="nil"/>
              <w:bottom w:val="single" w:color="auto" w:sz="4" w:space="0"/>
              <w:right w:val="single" w:color="auto" w:sz="4" w:space="0"/>
            </w:tcBorders>
            <w:vAlign w:val="center"/>
          </w:tcPr>
          <w:p>
            <w:pPr>
              <w:widowControl/>
              <w:jc w:val="center"/>
              <w:rPr>
                <w:kern w:val="0"/>
                <w:szCs w:val="21"/>
              </w:rPr>
            </w:pPr>
            <w:r>
              <w:rPr>
                <w:rFonts w:hint="eastAsia"/>
                <w:kern w:val="0"/>
                <w:szCs w:val="21"/>
              </w:rPr>
              <w:t>3,376.00</w:t>
            </w:r>
          </w:p>
        </w:tc>
        <w:tc>
          <w:tcPr>
            <w:tcW w:w="734" w:type="pct"/>
            <w:tcBorders>
              <w:top w:val="nil"/>
              <w:left w:val="nil"/>
              <w:bottom w:val="single" w:color="auto" w:sz="4" w:space="0"/>
              <w:right w:val="single" w:color="auto" w:sz="4" w:space="0"/>
            </w:tcBorders>
            <w:vAlign w:val="center"/>
          </w:tcPr>
          <w:p>
            <w:pPr>
              <w:widowControl/>
              <w:jc w:val="center"/>
              <w:rPr>
                <w:b/>
                <w:bCs/>
                <w:kern w:val="0"/>
                <w:szCs w:val="21"/>
              </w:rPr>
            </w:pPr>
            <w:r>
              <w:rPr>
                <w:rFonts w:hint="eastAsia"/>
                <w:b/>
                <w:bCs/>
                <w:kern w:val="0"/>
                <w:szCs w:val="21"/>
              </w:rPr>
              <w:t>489,925.00</w:t>
            </w:r>
          </w:p>
        </w:tc>
      </w:tr>
      <w:bookmarkEnd w:id="226"/>
      <w:bookmarkEnd w:id="227"/>
      <w:bookmarkEnd w:id="228"/>
    </w:tbl>
    <w:p>
      <w:pPr>
        <w:pStyle w:val="3"/>
        <w:numPr>
          <w:ilvl w:val="0"/>
          <w:numId w:val="9"/>
        </w:numPr>
        <w:spacing w:before="120" w:after="120" w:line="500" w:lineRule="exact"/>
        <w:ind w:left="0" w:firstLine="640" w:firstLineChars="200"/>
        <w:rPr>
          <w:rFonts w:ascii="Times New Roman" w:hAnsi="Times New Roman" w:eastAsia="宋体"/>
        </w:rPr>
      </w:pPr>
      <w:bookmarkStart w:id="229" w:name="_Toc47874202"/>
      <w:bookmarkStart w:id="230" w:name="_Toc65065922"/>
      <w:bookmarkStart w:id="231" w:name="_Toc46417175"/>
      <w:r>
        <w:rPr>
          <w:rFonts w:hint="eastAsia" w:ascii="Times New Roman" w:hAnsi="Times New Roman" w:eastAsia="宋体"/>
        </w:rPr>
        <w:t>注册房地产估价师</w:t>
      </w:r>
      <w:bookmarkEnd w:id="229"/>
      <w:bookmarkEnd w:id="230"/>
      <w:bookmarkEnd w:id="231"/>
    </w:p>
    <w:tbl>
      <w:tblPr>
        <w:tblStyle w:val="21"/>
        <w:tblW w:w="5000" w:type="pct"/>
        <w:tblInd w:w="0" w:type="dxa"/>
        <w:tblLayout w:type="autofit"/>
        <w:tblCellMar>
          <w:top w:w="0" w:type="dxa"/>
          <w:left w:w="108" w:type="dxa"/>
          <w:bottom w:w="0" w:type="dxa"/>
          <w:right w:w="108" w:type="dxa"/>
        </w:tblCellMar>
      </w:tblPr>
      <w:tblGrid>
        <w:gridCol w:w="2215"/>
        <w:gridCol w:w="2495"/>
        <w:gridCol w:w="2321"/>
        <w:gridCol w:w="2822"/>
      </w:tblGrid>
      <w:tr>
        <w:tblPrEx>
          <w:tblCellMar>
            <w:top w:w="0" w:type="dxa"/>
            <w:left w:w="108" w:type="dxa"/>
            <w:bottom w:w="0" w:type="dxa"/>
            <w:right w:w="108" w:type="dxa"/>
          </w:tblCellMar>
        </w:tblPrEx>
        <w:trPr>
          <w:trHeight w:val="600" w:hRule="atLeast"/>
        </w:trPr>
        <w:tc>
          <w:tcPr>
            <w:tcW w:w="5000" w:type="pct"/>
            <w:gridSpan w:val="4"/>
            <w:tcBorders>
              <w:top w:val="nil"/>
              <w:left w:val="nil"/>
              <w:bottom w:val="nil"/>
              <w:right w:val="nil"/>
            </w:tcBorders>
            <w:noWrap/>
            <w:vAlign w:val="center"/>
          </w:tcPr>
          <w:p>
            <w:pPr>
              <w:widowControl/>
              <w:spacing w:line="500" w:lineRule="exact"/>
              <w:jc w:val="center"/>
              <w:rPr>
                <w:rFonts w:cs="宋体"/>
                <w:b/>
                <w:bCs/>
                <w:kern w:val="0"/>
                <w:sz w:val="28"/>
                <w:szCs w:val="28"/>
              </w:rPr>
            </w:pPr>
            <w:bookmarkStart w:id="232" w:name="_Toc445891415"/>
            <w:bookmarkStart w:id="233" w:name="_Toc476489048"/>
            <w:bookmarkStart w:id="234" w:name="_Toc445892288"/>
            <w:bookmarkStart w:id="235" w:name="_Toc472961351"/>
            <w:bookmarkStart w:id="236" w:name="_Toc497752874"/>
            <w:bookmarkStart w:id="237" w:name="_Toc468882216"/>
            <w:bookmarkStart w:id="238" w:name="_Toc432490551"/>
            <w:bookmarkStart w:id="239" w:name="_Toc396396782"/>
            <w:bookmarkStart w:id="240" w:name="_Toc432574978"/>
            <w:r>
              <w:rPr>
                <w:rFonts w:hint="eastAsia" w:cs="宋体"/>
                <w:b/>
                <w:bCs/>
                <w:kern w:val="0"/>
                <w:sz w:val="28"/>
                <w:szCs w:val="28"/>
              </w:rPr>
              <w:t>参加估价的注册房地产估价师</w:t>
            </w:r>
          </w:p>
        </w:tc>
      </w:tr>
      <w:tr>
        <w:tblPrEx>
          <w:tblCellMar>
            <w:top w:w="0" w:type="dxa"/>
            <w:left w:w="108" w:type="dxa"/>
            <w:bottom w:w="0" w:type="dxa"/>
            <w:right w:w="108" w:type="dxa"/>
          </w:tblCellMar>
        </w:tblPrEx>
        <w:trPr>
          <w:trHeight w:val="713" w:hRule="atLeast"/>
        </w:trPr>
        <w:tc>
          <w:tcPr>
            <w:tcW w:w="1124" w:type="pct"/>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kern w:val="0"/>
                <w:sz w:val="28"/>
                <w:szCs w:val="28"/>
              </w:rPr>
            </w:pPr>
            <w:r>
              <w:rPr>
                <w:rFonts w:hint="eastAsia" w:cs="宋体"/>
                <w:kern w:val="0"/>
                <w:sz w:val="28"/>
                <w:szCs w:val="28"/>
              </w:rPr>
              <w:t>姓  名</w:t>
            </w:r>
          </w:p>
        </w:tc>
        <w:tc>
          <w:tcPr>
            <w:tcW w:w="1266" w:type="pct"/>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kern w:val="0"/>
                <w:sz w:val="28"/>
                <w:szCs w:val="28"/>
              </w:rPr>
            </w:pPr>
            <w:r>
              <w:rPr>
                <w:rFonts w:hint="eastAsia" w:cs="宋体"/>
                <w:kern w:val="0"/>
                <w:sz w:val="28"/>
                <w:szCs w:val="28"/>
              </w:rPr>
              <w:t>注册号</w:t>
            </w:r>
          </w:p>
        </w:tc>
        <w:tc>
          <w:tcPr>
            <w:tcW w:w="1178" w:type="pct"/>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kern w:val="0"/>
                <w:sz w:val="28"/>
                <w:szCs w:val="28"/>
              </w:rPr>
            </w:pPr>
            <w:r>
              <w:rPr>
                <w:rFonts w:hint="eastAsia" w:cs="宋体"/>
                <w:kern w:val="0"/>
                <w:sz w:val="28"/>
                <w:szCs w:val="28"/>
              </w:rPr>
              <w:t>签  名</w:t>
            </w:r>
          </w:p>
        </w:tc>
        <w:tc>
          <w:tcPr>
            <w:tcW w:w="1430" w:type="pct"/>
            <w:tcBorders>
              <w:top w:val="single" w:color="auto" w:sz="4" w:space="0"/>
              <w:left w:val="nil"/>
              <w:bottom w:val="single" w:color="auto" w:sz="4" w:space="0"/>
              <w:right w:val="single" w:color="auto" w:sz="4" w:space="0"/>
            </w:tcBorders>
            <w:vAlign w:val="center"/>
          </w:tcPr>
          <w:p>
            <w:pPr>
              <w:widowControl/>
              <w:spacing w:line="500" w:lineRule="exact"/>
              <w:jc w:val="center"/>
              <w:rPr>
                <w:rFonts w:cs="宋体"/>
                <w:kern w:val="0"/>
                <w:sz w:val="28"/>
                <w:szCs w:val="28"/>
              </w:rPr>
            </w:pPr>
            <w:r>
              <w:rPr>
                <w:rFonts w:hint="eastAsia" w:cs="宋体"/>
                <w:kern w:val="0"/>
                <w:sz w:val="28"/>
                <w:szCs w:val="28"/>
              </w:rPr>
              <w:t>签名日期</w:t>
            </w:r>
          </w:p>
        </w:tc>
      </w:tr>
      <w:tr>
        <w:tblPrEx>
          <w:tblCellMar>
            <w:top w:w="0" w:type="dxa"/>
            <w:left w:w="108" w:type="dxa"/>
            <w:bottom w:w="0" w:type="dxa"/>
            <w:right w:w="108" w:type="dxa"/>
          </w:tblCellMar>
        </w:tblPrEx>
        <w:trPr>
          <w:trHeight w:val="873" w:hRule="atLeast"/>
        </w:trPr>
        <w:tc>
          <w:tcPr>
            <w:tcW w:w="1124" w:type="pct"/>
            <w:tcBorders>
              <w:top w:val="nil"/>
              <w:left w:val="single" w:color="auto" w:sz="4" w:space="0"/>
              <w:bottom w:val="single" w:color="auto" w:sz="4" w:space="0"/>
              <w:right w:val="single" w:color="auto" w:sz="4" w:space="0"/>
            </w:tcBorders>
            <w:vAlign w:val="center"/>
          </w:tcPr>
          <w:p>
            <w:pPr>
              <w:widowControl/>
              <w:spacing w:line="500" w:lineRule="exact"/>
              <w:jc w:val="center"/>
              <w:rPr>
                <w:rFonts w:cs="宋体"/>
                <w:kern w:val="0"/>
                <w:sz w:val="28"/>
                <w:szCs w:val="28"/>
              </w:rPr>
            </w:pPr>
            <w:r>
              <w:rPr>
                <w:rFonts w:hint="eastAsia" w:cs="宋体"/>
                <w:kern w:val="0"/>
                <w:sz w:val="28"/>
                <w:szCs w:val="28"/>
              </w:rPr>
              <w:t xml:space="preserve">  杨再成</w:t>
            </w:r>
            <w:r>
              <w:rPr>
                <w:rFonts w:hint="eastAsia" w:cs="宋体"/>
                <w:kern w:val="0"/>
                <w:sz w:val="28"/>
                <w:szCs w:val="28"/>
              </w:rPr>
              <w:tab/>
            </w:r>
          </w:p>
        </w:tc>
        <w:tc>
          <w:tcPr>
            <w:tcW w:w="1266" w:type="pct"/>
            <w:tcBorders>
              <w:top w:val="nil"/>
              <w:left w:val="nil"/>
              <w:bottom w:val="single" w:color="auto" w:sz="4" w:space="0"/>
              <w:right w:val="single" w:color="auto" w:sz="4" w:space="0"/>
            </w:tcBorders>
            <w:vAlign w:val="center"/>
          </w:tcPr>
          <w:p>
            <w:pPr>
              <w:widowControl/>
              <w:spacing w:line="500" w:lineRule="exact"/>
              <w:jc w:val="center"/>
              <w:rPr>
                <w:rFonts w:cs="宋体"/>
                <w:kern w:val="0"/>
                <w:sz w:val="28"/>
                <w:szCs w:val="28"/>
              </w:rPr>
            </w:pPr>
            <w:r>
              <w:rPr>
                <w:rFonts w:hint="eastAsia" w:cs="宋体"/>
                <w:kern w:val="0"/>
                <w:sz w:val="28"/>
                <w:szCs w:val="28"/>
              </w:rPr>
              <w:t>5220190057</w:t>
            </w:r>
          </w:p>
        </w:tc>
        <w:tc>
          <w:tcPr>
            <w:tcW w:w="1178" w:type="pct"/>
            <w:tcBorders>
              <w:top w:val="nil"/>
              <w:left w:val="nil"/>
              <w:bottom w:val="single" w:color="auto" w:sz="4" w:space="0"/>
              <w:right w:val="single" w:color="auto" w:sz="4" w:space="0"/>
            </w:tcBorders>
            <w:vAlign w:val="center"/>
          </w:tcPr>
          <w:p>
            <w:pPr>
              <w:widowControl/>
              <w:spacing w:line="500" w:lineRule="exact"/>
              <w:rPr>
                <w:kern w:val="0"/>
                <w:sz w:val="28"/>
                <w:szCs w:val="28"/>
              </w:rPr>
            </w:pPr>
            <w:r>
              <w:rPr>
                <w:kern w:val="0"/>
                <w:sz w:val="28"/>
                <w:szCs w:val="28"/>
              </w:rPr>
              <w:t>　</w:t>
            </w:r>
          </w:p>
        </w:tc>
        <w:tc>
          <w:tcPr>
            <w:tcW w:w="1430" w:type="pct"/>
            <w:tcBorders>
              <w:top w:val="nil"/>
              <w:left w:val="nil"/>
              <w:bottom w:val="single" w:color="auto" w:sz="4" w:space="0"/>
              <w:right w:val="single" w:color="auto" w:sz="4" w:space="0"/>
            </w:tcBorders>
            <w:noWrap/>
            <w:vAlign w:val="center"/>
          </w:tcPr>
          <w:p>
            <w:pPr>
              <w:widowControl/>
              <w:spacing w:line="500" w:lineRule="exact"/>
              <w:jc w:val="center"/>
              <w:rPr>
                <w:rFonts w:cs="宋体"/>
                <w:kern w:val="0"/>
                <w:sz w:val="28"/>
                <w:szCs w:val="28"/>
              </w:rPr>
            </w:pPr>
            <w:r>
              <w:rPr>
                <w:rFonts w:hint="eastAsia" w:cs="宋体"/>
                <w:kern w:val="0"/>
                <w:sz w:val="28"/>
                <w:szCs w:val="28"/>
              </w:rPr>
              <w:t>2022年09月30日　</w:t>
            </w:r>
          </w:p>
        </w:tc>
      </w:tr>
      <w:tr>
        <w:tblPrEx>
          <w:tblCellMar>
            <w:top w:w="0" w:type="dxa"/>
            <w:left w:w="108" w:type="dxa"/>
            <w:bottom w:w="0" w:type="dxa"/>
            <w:right w:w="108" w:type="dxa"/>
          </w:tblCellMar>
        </w:tblPrEx>
        <w:trPr>
          <w:trHeight w:val="873" w:hRule="atLeast"/>
        </w:trPr>
        <w:tc>
          <w:tcPr>
            <w:tcW w:w="1124" w:type="pct"/>
            <w:tcBorders>
              <w:top w:val="nil"/>
              <w:left w:val="single" w:color="auto" w:sz="4" w:space="0"/>
              <w:bottom w:val="single" w:color="auto" w:sz="4" w:space="0"/>
              <w:right w:val="single" w:color="auto" w:sz="4" w:space="0"/>
            </w:tcBorders>
            <w:vAlign w:val="center"/>
          </w:tcPr>
          <w:p>
            <w:pPr>
              <w:widowControl/>
              <w:spacing w:line="500" w:lineRule="exact"/>
              <w:jc w:val="center"/>
              <w:rPr>
                <w:rFonts w:cs="宋体"/>
                <w:kern w:val="0"/>
                <w:sz w:val="28"/>
                <w:szCs w:val="28"/>
                <w:highlight w:val="yellow"/>
              </w:rPr>
            </w:pPr>
            <w:r>
              <w:rPr>
                <w:rFonts w:hint="eastAsia" w:cs="宋体"/>
                <w:kern w:val="0"/>
                <w:sz w:val="28"/>
                <w:szCs w:val="28"/>
              </w:rPr>
              <w:t>綦伶俐</w:t>
            </w:r>
          </w:p>
        </w:tc>
        <w:tc>
          <w:tcPr>
            <w:tcW w:w="1266" w:type="pct"/>
            <w:tcBorders>
              <w:top w:val="nil"/>
              <w:left w:val="nil"/>
              <w:bottom w:val="single" w:color="auto" w:sz="4" w:space="0"/>
              <w:right w:val="single" w:color="auto" w:sz="4" w:space="0"/>
            </w:tcBorders>
            <w:vAlign w:val="center"/>
          </w:tcPr>
          <w:p>
            <w:pPr>
              <w:widowControl/>
              <w:spacing w:line="500" w:lineRule="exact"/>
              <w:jc w:val="center"/>
              <w:rPr>
                <w:rFonts w:cs="宋体"/>
                <w:kern w:val="0"/>
                <w:sz w:val="28"/>
                <w:szCs w:val="28"/>
                <w:highlight w:val="yellow"/>
              </w:rPr>
            </w:pPr>
            <w:r>
              <w:rPr>
                <w:rFonts w:hint="eastAsia" w:cs="宋体"/>
                <w:kern w:val="0"/>
                <w:sz w:val="28"/>
                <w:szCs w:val="28"/>
              </w:rPr>
              <w:t>5220200070</w:t>
            </w:r>
          </w:p>
        </w:tc>
        <w:tc>
          <w:tcPr>
            <w:tcW w:w="1178" w:type="pct"/>
            <w:tcBorders>
              <w:top w:val="nil"/>
              <w:left w:val="nil"/>
              <w:bottom w:val="single" w:color="auto" w:sz="4" w:space="0"/>
              <w:right w:val="single" w:color="auto" w:sz="4" w:space="0"/>
            </w:tcBorders>
            <w:vAlign w:val="center"/>
          </w:tcPr>
          <w:p>
            <w:pPr>
              <w:widowControl/>
              <w:spacing w:line="500" w:lineRule="exact"/>
              <w:rPr>
                <w:rFonts w:cs="Arial Narrow"/>
                <w:sz w:val="28"/>
                <w:szCs w:val="28"/>
              </w:rPr>
            </w:pPr>
            <w:r>
              <w:rPr>
                <w:rFonts w:hint="eastAsia" w:cs="Arial Narrow"/>
                <w:sz w:val="28"/>
                <w:szCs w:val="28"/>
              </w:rPr>
              <w:t>　</w:t>
            </w:r>
          </w:p>
        </w:tc>
        <w:tc>
          <w:tcPr>
            <w:tcW w:w="1430" w:type="pct"/>
            <w:tcBorders>
              <w:top w:val="nil"/>
              <w:left w:val="nil"/>
              <w:bottom w:val="single" w:color="auto" w:sz="4" w:space="0"/>
              <w:right w:val="single" w:color="auto" w:sz="4" w:space="0"/>
            </w:tcBorders>
            <w:noWrap/>
            <w:vAlign w:val="center"/>
          </w:tcPr>
          <w:p>
            <w:pPr>
              <w:widowControl/>
              <w:spacing w:line="500" w:lineRule="exact"/>
              <w:jc w:val="center"/>
              <w:rPr>
                <w:rFonts w:cs="Arial Narrow"/>
                <w:sz w:val="28"/>
                <w:szCs w:val="28"/>
              </w:rPr>
            </w:pPr>
            <w:r>
              <w:rPr>
                <w:rFonts w:hint="eastAsia" w:cs="Arial Narrow"/>
                <w:sz w:val="28"/>
                <w:szCs w:val="28"/>
              </w:rPr>
              <w:t>2022年09月30日</w:t>
            </w:r>
          </w:p>
        </w:tc>
      </w:tr>
    </w:tbl>
    <w:p>
      <w:pPr>
        <w:pStyle w:val="3"/>
        <w:numPr>
          <w:ilvl w:val="0"/>
          <w:numId w:val="9"/>
        </w:numPr>
        <w:spacing w:before="120" w:after="120" w:line="500" w:lineRule="exact"/>
        <w:ind w:left="0" w:firstLine="640" w:firstLineChars="200"/>
        <w:rPr>
          <w:rFonts w:ascii="Times New Roman" w:hAnsi="Times New Roman" w:eastAsia="宋体"/>
        </w:rPr>
      </w:pPr>
      <w:bookmarkStart w:id="241" w:name="_Toc46417176"/>
      <w:bookmarkStart w:id="242" w:name="_Toc14995"/>
      <w:bookmarkStart w:id="243" w:name="_Toc47874203"/>
      <w:bookmarkStart w:id="244" w:name="_Toc65065923"/>
      <w:r>
        <w:rPr>
          <w:rFonts w:hint="eastAsia" w:ascii="Times New Roman" w:hAnsi="Times New Roman" w:eastAsia="宋体"/>
        </w:rPr>
        <w:t>实地查勘期</w:t>
      </w:r>
      <w:bookmarkEnd w:id="232"/>
      <w:bookmarkEnd w:id="233"/>
      <w:bookmarkEnd w:id="234"/>
      <w:bookmarkEnd w:id="235"/>
      <w:bookmarkEnd w:id="236"/>
      <w:bookmarkEnd w:id="237"/>
      <w:bookmarkEnd w:id="241"/>
      <w:bookmarkEnd w:id="242"/>
      <w:bookmarkEnd w:id="243"/>
      <w:bookmarkEnd w:id="244"/>
    </w:p>
    <w:p>
      <w:pPr>
        <w:spacing w:line="500" w:lineRule="exact"/>
        <w:ind w:firstLine="560" w:firstLineChars="200"/>
        <w:rPr>
          <w:sz w:val="28"/>
          <w:szCs w:val="28"/>
        </w:rPr>
      </w:pPr>
      <w:r>
        <w:rPr>
          <w:rFonts w:hint="eastAsia"/>
          <w:sz w:val="28"/>
          <w:szCs w:val="28"/>
        </w:rPr>
        <w:t>起止日：2022年08月31日</w:t>
      </w:r>
    </w:p>
    <w:p>
      <w:pPr>
        <w:pStyle w:val="3"/>
        <w:numPr>
          <w:ilvl w:val="0"/>
          <w:numId w:val="9"/>
        </w:numPr>
        <w:spacing w:before="120" w:after="120" w:line="500" w:lineRule="exact"/>
        <w:ind w:left="0" w:firstLine="640" w:firstLineChars="200"/>
        <w:rPr>
          <w:rFonts w:ascii="Times New Roman" w:hAnsi="Times New Roman" w:eastAsia="宋体"/>
        </w:rPr>
      </w:pPr>
      <w:bookmarkStart w:id="245" w:name="_Toc65065924"/>
      <w:bookmarkStart w:id="246" w:name="_Toc445891416"/>
      <w:bookmarkStart w:id="247" w:name="_Toc472961352"/>
      <w:bookmarkStart w:id="248" w:name="_Toc445892289"/>
      <w:bookmarkStart w:id="249" w:name="_Toc46417177"/>
      <w:bookmarkStart w:id="250" w:name="_Toc47874204"/>
      <w:bookmarkStart w:id="251" w:name="_Toc497752875"/>
      <w:bookmarkStart w:id="252" w:name="_Toc16882"/>
      <w:bookmarkStart w:id="253" w:name="_Toc468882217"/>
      <w:bookmarkStart w:id="254" w:name="_Toc476489049"/>
      <w:r>
        <w:rPr>
          <w:rFonts w:hint="eastAsia" w:ascii="Times New Roman" w:hAnsi="Times New Roman" w:eastAsia="宋体"/>
        </w:rPr>
        <w:t>估价作业期</w:t>
      </w:r>
      <w:bookmarkEnd w:id="238"/>
      <w:bookmarkEnd w:id="239"/>
      <w:bookmarkEnd w:id="240"/>
      <w:bookmarkEnd w:id="245"/>
      <w:bookmarkEnd w:id="246"/>
      <w:bookmarkEnd w:id="247"/>
      <w:bookmarkEnd w:id="248"/>
      <w:bookmarkEnd w:id="249"/>
      <w:bookmarkEnd w:id="250"/>
      <w:bookmarkEnd w:id="251"/>
      <w:bookmarkEnd w:id="252"/>
      <w:bookmarkEnd w:id="253"/>
      <w:bookmarkEnd w:id="254"/>
    </w:p>
    <w:p>
      <w:pPr>
        <w:spacing w:line="500" w:lineRule="exact"/>
        <w:ind w:firstLine="560" w:firstLineChars="200"/>
        <w:rPr>
          <w:sz w:val="28"/>
          <w:szCs w:val="28"/>
        </w:rPr>
      </w:pPr>
      <w:r>
        <w:rPr>
          <w:rFonts w:hint="eastAsia"/>
          <w:sz w:val="28"/>
          <w:szCs w:val="28"/>
        </w:rPr>
        <w:t>本次估价作业期为自受理估价委托之日2022年08月31日至估价报告出具之日2022年09月30日。</w:t>
      </w:r>
    </w:p>
    <w:p>
      <w:pPr>
        <w:pStyle w:val="3"/>
        <w:numPr>
          <w:ilvl w:val="0"/>
          <w:numId w:val="9"/>
        </w:numPr>
        <w:spacing w:before="120" w:after="120" w:line="500" w:lineRule="exact"/>
        <w:ind w:left="0" w:firstLine="640" w:firstLineChars="200"/>
        <w:rPr>
          <w:rFonts w:ascii="Times New Roman" w:hAnsi="Times New Roman" w:eastAsia="宋体"/>
        </w:rPr>
      </w:pPr>
      <w:bookmarkStart w:id="255" w:name="_Toc472961353"/>
      <w:bookmarkStart w:id="256" w:name="_Toc497752876"/>
      <w:bookmarkStart w:id="257" w:name="_Toc432490552"/>
      <w:bookmarkStart w:id="258" w:name="_Toc445891417"/>
      <w:bookmarkStart w:id="259" w:name="_Toc468882218"/>
      <w:bookmarkStart w:id="260" w:name="_Toc432574979"/>
      <w:bookmarkStart w:id="261" w:name="_Toc2532"/>
      <w:bookmarkStart w:id="262" w:name="_Toc65065925"/>
      <w:bookmarkStart w:id="263" w:name="_Toc47874205"/>
      <w:bookmarkStart w:id="264" w:name="_Toc46417178"/>
      <w:bookmarkStart w:id="265" w:name="_Toc396396783"/>
      <w:bookmarkStart w:id="266" w:name="_Toc445892290"/>
      <w:bookmarkStart w:id="267" w:name="_Toc476489050"/>
      <w:r>
        <w:rPr>
          <w:rFonts w:hint="eastAsia" w:ascii="Times New Roman" w:hAnsi="Times New Roman" w:eastAsia="宋体"/>
        </w:rPr>
        <w:t>估价报告应用的有效期</w:t>
      </w:r>
      <w:bookmarkEnd w:id="255"/>
      <w:bookmarkEnd w:id="256"/>
      <w:bookmarkEnd w:id="257"/>
      <w:bookmarkEnd w:id="258"/>
      <w:bookmarkEnd w:id="259"/>
      <w:bookmarkEnd w:id="260"/>
      <w:bookmarkEnd w:id="261"/>
      <w:bookmarkEnd w:id="262"/>
      <w:bookmarkEnd w:id="263"/>
      <w:bookmarkEnd w:id="264"/>
      <w:bookmarkEnd w:id="265"/>
      <w:bookmarkEnd w:id="266"/>
      <w:bookmarkEnd w:id="267"/>
    </w:p>
    <w:p>
      <w:pPr>
        <w:spacing w:line="500" w:lineRule="exact"/>
        <w:ind w:firstLine="560" w:firstLineChars="200"/>
        <w:rPr>
          <w:sz w:val="28"/>
          <w:szCs w:val="28"/>
        </w:rPr>
      </w:pPr>
      <w:r>
        <w:rPr>
          <w:rFonts w:hint="eastAsia"/>
          <w:sz w:val="28"/>
          <w:szCs w:val="28"/>
        </w:rPr>
        <w:t>估价报告应用的有效期原则上为一年，自2022年09月30日至2023年09月29日止。</w:t>
      </w:r>
    </w:p>
    <w:p>
      <w:pPr>
        <w:tabs>
          <w:tab w:val="left" w:pos="525"/>
        </w:tabs>
        <w:spacing w:line="500" w:lineRule="exact"/>
        <w:ind w:firstLine="4760" w:firstLineChars="1700"/>
        <w:jc w:val="left"/>
        <w:rPr>
          <w:sz w:val="28"/>
          <w:szCs w:val="28"/>
        </w:rPr>
      </w:pPr>
    </w:p>
    <w:p>
      <w:pPr>
        <w:tabs>
          <w:tab w:val="left" w:pos="525"/>
        </w:tabs>
        <w:spacing w:line="500" w:lineRule="exact"/>
        <w:ind w:firstLine="4760" w:firstLineChars="1700"/>
        <w:jc w:val="left"/>
        <w:rPr>
          <w:sz w:val="28"/>
          <w:szCs w:val="28"/>
        </w:rPr>
      </w:pPr>
      <w:r>
        <w:rPr>
          <w:rFonts w:hint="eastAsia"/>
          <w:sz w:val="28"/>
          <w:szCs w:val="28"/>
        </w:rPr>
        <w:t>贵州桑立房地产资产评估有限公司</w:t>
      </w:r>
    </w:p>
    <w:p>
      <w:pPr>
        <w:tabs>
          <w:tab w:val="left" w:pos="1498"/>
        </w:tabs>
        <w:spacing w:line="700" w:lineRule="exact"/>
        <w:ind w:firstLine="4900" w:firstLineChars="1750"/>
        <w:jc w:val="left"/>
        <w:rPr>
          <w:sz w:val="28"/>
          <w:szCs w:val="28"/>
        </w:rPr>
      </w:pPr>
      <w:r>
        <w:rPr>
          <w:rFonts w:hint="eastAsia"/>
          <w:sz w:val="28"/>
          <w:szCs w:val="28"/>
        </w:rPr>
        <w:t xml:space="preserve">   </w:t>
      </w:r>
      <w:bookmarkEnd w:id="222"/>
      <w:bookmarkStart w:id="268" w:name="_Toc432574982"/>
      <w:bookmarkStart w:id="269" w:name="_Toc430853641"/>
      <w:bookmarkStart w:id="270" w:name="_Toc445891420"/>
      <w:bookmarkStart w:id="271" w:name="_Toc445892293"/>
      <w:bookmarkStart w:id="272" w:name="_Toc425855911"/>
      <w:bookmarkStart w:id="273" w:name="_Toc432490555"/>
      <w:bookmarkStart w:id="274" w:name="_Toc425856434"/>
      <w:bookmarkStart w:id="275" w:name="_Toc430853115"/>
      <w:bookmarkStart w:id="276" w:name="_Toc430852072"/>
      <w:bookmarkStart w:id="277" w:name="_Toc396396786"/>
      <w:r>
        <w:rPr>
          <w:rFonts w:hint="eastAsia"/>
          <w:sz w:val="28"/>
          <w:szCs w:val="28"/>
        </w:rPr>
        <w:t>二〇二二年九月三十日</w:t>
      </w:r>
      <w:bookmarkEnd w:id="268"/>
      <w:bookmarkEnd w:id="269"/>
      <w:bookmarkEnd w:id="270"/>
      <w:bookmarkEnd w:id="271"/>
      <w:bookmarkEnd w:id="272"/>
      <w:bookmarkEnd w:id="273"/>
      <w:bookmarkEnd w:id="274"/>
      <w:bookmarkEnd w:id="275"/>
      <w:bookmarkEnd w:id="276"/>
      <w:bookmarkEnd w:id="277"/>
      <w:bookmarkStart w:id="278" w:name="_GoBack"/>
      <w:bookmarkEnd w:id="278"/>
    </w:p>
    <w:sectPr>
      <w:headerReference r:id="rId4" w:type="first"/>
      <w:footerReference r:id="rId6" w:type="first"/>
      <w:headerReference r:id="rId3" w:type="default"/>
      <w:footerReference r:id="rId5" w:type="default"/>
      <w:pgSz w:w="11906" w:h="16838"/>
      <w:pgMar w:top="1134" w:right="851" w:bottom="1021" w:left="1418" w:header="851" w:footer="510"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等线">
    <w:altName w:val="Arial Unicode MS"/>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w:altName w:val="MS PMincho"/>
    <w:panose1 w:val="02020400000000000000"/>
    <w:charset w:val="80"/>
    <w:family w:val="roman"/>
    <w:pitch w:val="default"/>
    <w:sig w:usb0="00000000" w:usb1="00000000" w:usb2="00000012" w:usb3="00000000" w:csb0="0002009F" w:csb1="00000000"/>
  </w:font>
  <w:font w:name="MS PMincho">
    <w:panose1 w:val="020206000402050803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7</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77202"/>
    </w:sdtPr>
    <w:sdtContent>
      <w:p>
        <w:pPr>
          <w:pStyle w:val="14"/>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14"/>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b/>
      </w:rPr>
    </w:pPr>
    <w:r>
      <w:rPr>
        <w:b/>
      </w:rPr>
      <w:t xml:space="preserve">贵州桑立公司涉执房地产处置司法评估报告书                                   </w:t>
    </w:r>
    <w:r>
      <w:rPr>
        <w:rFonts w:hint="eastAsia"/>
        <w:b/>
      </w:rPr>
      <w:t xml:space="preserve"> 黔桑立房鉴字【2022】第0902号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both"/>
      <w:rPr>
        <w:b/>
      </w:rPr>
    </w:pPr>
    <w:r>
      <w:rPr>
        <w:rFonts w:hint="eastAsia"/>
        <w:b/>
      </w:rPr>
      <w:t>贵州桑立公司涉执房地产处置司法评估报告书                                    黔桑立房鉴字【2022】第0902号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E838BD"/>
    <w:multiLevelType w:val="singleLevel"/>
    <w:tmpl w:val="8AE838BD"/>
    <w:lvl w:ilvl="0" w:tentative="0">
      <w:start w:val="1"/>
      <w:numFmt w:val="chineseCountingThousand"/>
      <w:suff w:val="nothing"/>
      <w:lvlText w:val="(%1)"/>
      <w:lvlJc w:val="left"/>
      <w:pPr>
        <w:ind w:left="840" w:hanging="420"/>
      </w:pPr>
      <w:rPr>
        <w:rFonts w:hint="eastAsia"/>
        <w:sz w:val="28"/>
        <w:szCs w:val="28"/>
      </w:rPr>
    </w:lvl>
  </w:abstractNum>
  <w:abstractNum w:abstractNumId="1">
    <w:nsid w:val="9D0B3597"/>
    <w:multiLevelType w:val="singleLevel"/>
    <w:tmpl w:val="9D0B3597"/>
    <w:lvl w:ilvl="0" w:tentative="0">
      <w:start w:val="2"/>
      <w:numFmt w:val="chineseCounting"/>
      <w:suff w:val="nothing"/>
      <w:lvlText w:val="%1、"/>
      <w:lvlJc w:val="left"/>
      <w:rPr>
        <w:rFonts w:hint="eastAsia"/>
      </w:rPr>
    </w:lvl>
  </w:abstractNum>
  <w:abstractNum w:abstractNumId="2">
    <w:nsid w:val="A3F8600A"/>
    <w:multiLevelType w:val="singleLevel"/>
    <w:tmpl w:val="A3F8600A"/>
    <w:lvl w:ilvl="0" w:tentative="0">
      <w:start w:val="2"/>
      <w:numFmt w:val="decimal"/>
      <w:suff w:val="space"/>
      <w:lvlText w:val="%1."/>
      <w:lvlJc w:val="left"/>
    </w:lvl>
  </w:abstractNum>
  <w:abstractNum w:abstractNumId="3">
    <w:nsid w:val="AE6CB8E9"/>
    <w:multiLevelType w:val="singleLevel"/>
    <w:tmpl w:val="AE6CB8E9"/>
    <w:lvl w:ilvl="0" w:tentative="0">
      <w:start w:val="5"/>
      <w:numFmt w:val="chineseCounting"/>
      <w:suff w:val="nothing"/>
      <w:lvlText w:val="%1、"/>
      <w:lvlJc w:val="left"/>
      <w:rPr>
        <w:rFonts w:hint="eastAsia"/>
        <w:b/>
        <w:bCs/>
      </w:rPr>
    </w:lvl>
  </w:abstractNum>
  <w:abstractNum w:abstractNumId="4">
    <w:nsid w:val="B8DF5CD7"/>
    <w:multiLevelType w:val="singleLevel"/>
    <w:tmpl w:val="B8DF5CD7"/>
    <w:lvl w:ilvl="0" w:tentative="0">
      <w:start w:val="1"/>
      <w:numFmt w:val="decimal"/>
      <w:suff w:val="nothing"/>
      <w:lvlText w:val="%1."/>
      <w:lvlJc w:val="left"/>
      <w:pPr>
        <w:ind w:left="709" w:hanging="425"/>
      </w:pPr>
      <w:rPr>
        <w:rFonts w:hint="default"/>
      </w:rPr>
    </w:lvl>
  </w:abstractNum>
  <w:abstractNum w:abstractNumId="5">
    <w:nsid w:val="C413EE0A"/>
    <w:multiLevelType w:val="singleLevel"/>
    <w:tmpl w:val="C413EE0A"/>
    <w:lvl w:ilvl="0" w:tentative="0">
      <w:start w:val="3"/>
      <w:numFmt w:val="decimal"/>
      <w:lvlText w:val="%1."/>
      <w:lvlJc w:val="left"/>
      <w:pPr>
        <w:tabs>
          <w:tab w:val="left" w:pos="312"/>
        </w:tabs>
      </w:pPr>
    </w:lvl>
  </w:abstractNum>
  <w:abstractNum w:abstractNumId="6">
    <w:nsid w:val="EF128162"/>
    <w:multiLevelType w:val="singleLevel"/>
    <w:tmpl w:val="EF128162"/>
    <w:lvl w:ilvl="0" w:tentative="0">
      <w:start w:val="1"/>
      <w:numFmt w:val="decimal"/>
      <w:lvlText w:val="%1."/>
      <w:lvlJc w:val="left"/>
      <w:pPr>
        <w:ind w:left="425" w:hanging="425"/>
      </w:pPr>
      <w:rPr>
        <w:rFonts w:hint="default"/>
      </w:rPr>
    </w:lvl>
  </w:abstractNum>
  <w:abstractNum w:abstractNumId="7">
    <w:nsid w:val="01B3535D"/>
    <w:multiLevelType w:val="multilevel"/>
    <w:tmpl w:val="01B3535D"/>
    <w:lvl w:ilvl="0" w:tentative="0">
      <w:start w:val="1"/>
      <w:numFmt w:val="chineseCountingThousand"/>
      <w:suff w:val="nothing"/>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8">
    <w:nsid w:val="04247316"/>
    <w:multiLevelType w:val="multilevel"/>
    <w:tmpl w:val="04247316"/>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9">
    <w:nsid w:val="097505AD"/>
    <w:multiLevelType w:val="multilevel"/>
    <w:tmpl w:val="097505AD"/>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0">
    <w:nsid w:val="108438CF"/>
    <w:multiLevelType w:val="multilevel"/>
    <w:tmpl w:val="108438CF"/>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124C2974"/>
    <w:multiLevelType w:val="multilevel"/>
    <w:tmpl w:val="124C2974"/>
    <w:lvl w:ilvl="0" w:tentative="0">
      <w:start w:val="1"/>
      <w:numFmt w:val="decimal"/>
      <w:suff w:val="nothing"/>
      <w:lvlText w:val="%1."/>
      <w:lvlJc w:val="left"/>
      <w:pPr>
        <w:ind w:left="900" w:hanging="420"/>
      </w:pPr>
      <w:rPr>
        <w:rFonts w:hint="default"/>
        <w:b w:val="0"/>
        <w:bCs w:val="0"/>
        <w:i w:val="0"/>
        <w:iCs w:val="0"/>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2">
    <w:nsid w:val="20A347EF"/>
    <w:multiLevelType w:val="multilevel"/>
    <w:tmpl w:val="20A347EF"/>
    <w:lvl w:ilvl="0" w:tentative="0">
      <w:start w:val="1"/>
      <w:numFmt w:val="decimal"/>
      <w:suff w:val="nothing"/>
      <w:lvlText w:val="(%1)"/>
      <w:lvlJc w:val="left"/>
      <w:pPr>
        <w:ind w:left="1413" w:hanging="420"/>
      </w:pPr>
      <w:rPr>
        <w:rFonts w:hint="eastAsia"/>
        <w:b w:val="0"/>
        <w:bCs/>
        <w:color w:val="auto"/>
      </w:rPr>
    </w:lvl>
    <w:lvl w:ilvl="1" w:tentative="0">
      <w:start w:val="1"/>
      <w:numFmt w:val="lowerLetter"/>
      <w:lvlText w:val="%2)"/>
      <w:lvlJc w:val="left"/>
      <w:pPr>
        <w:ind w:left="1833" w:hanging="420"/>
      </w:pPr>
      <w:rPr>
        <w:rFonts w:hint="eastAsia"/>
      </w:rPr>
    </w:lvl>
    <w:lvl w:ilvl="2" w:tentative="0">
      <w:start w:val="1"/>
      <w:numFmt w:val="lowerRoman"/>
      <w:lvlText w:val="%3."/>
      <w:lvlJc w:val="right"/>
      <w:pPr>
        <w:ind w:left="2253" w:hanging="420"/>
      </w:pPr>
      <w:rPr>
        <w:rFonts w:hint="eastAsia"/>
      </w:rPr>
    </w:lvl>
    <w:lvl w:ilvl="3" w:tentative="0">
      <w:start w:val="1"/>
      <w:numFmt w:val="decimal"/>
      <w:lvlText w:val="%4."/>
      <w:lvlJc w:val="left"/>
      <w:pPr>
        <w:ind w:left="2673" w:hanging="420"/>
      </w:pPr>
      <w:rPr>
        <w:rFonts w:hint="eastAsia"/>
      </w:rPr>
    </w:lvl>
    <w:lvl w:ilvl="4" w:tentative="0">
      <w:start w:val="1"/>
      <w:numFmt w:val="lowerLetter"/>
      <w:lvlText w:val="%5)"/>
      <w:lvlJc w:val="left"/>
      <w:pPr>
        <w:ind w:left="3093" w:hanging="420"/>
      </w:pPr>
      <w:rPr>
        <w:rFonts w:hint="eastAsia"/>
      </w:rPr>
    </w:lvl>
    <w:lvl w:ilvl="5" w:tentative="0">
      <w:start w:val="1"/>
      <w:numFmt w:val="lowerRoman"/>
      <w:lvlText w:val="%6."/>
      <w:lvlJc w:val="right"/>
      <w:pPr>
        <w:ind w:left="3513" w:hanging="420"/>
      </w:pPr>
      <w:rPr>
        <w:rFonts w:hint="eastAsia"/>
      </w:rPr>
    </w:lvl>
    <w:lvl w:ilvl="6" w:tentative="0">
      <w:start w:val="1"/>
      <w:numFmt w:val="decimal"/>
      <w:lvlText w:val="%7."/>
      <w:lvlJc w:val="left"/>
      <w:pPr>
        <w:ind w:left="3933" w:hanging="420"/>
      </w:pPr>
      <w:rPr>
        <w:rFonts w:hint="eastAsia"/>
      </w:rPr>
    </w:lvl>
    <w:lvl w:ilvl="7" w:tentative="0">
      <w:start w:val="1"/>
      <w:numFmt w:val="lowerLetter"/>
      <w:lvlText w:val="%8)"/>
      <w:lvlJc w:val="left"/>
      <w:pPr>
        <w:ind w:left="4353" w:hanging="420"/>
      </w:pPr>
      <w:rPr>
        <w:rFonts w:hint="eastAsia"/>
      </w:rPr>
    </w:lvl>
    <w:lvl w:ilvl="8" w:tentative="0">
      <w:start w:val="1"/>
      <w:numFmt w:val="lowerRoman"/>
      <w:lvlText w:val="%9."/>
      <w:lvlJc w:val="right"/>
      <w:pPr>
        <w:ind w:left="4773" w:hanging="420"/>
      </w:pPr>
      <w:rPr>
        <w:rFonts w:hint="eastAsia"/>
      </w:rPr>
    </w:lvl>
  </w:abstractNum>
  <w:abstractNum w:abstractNumId="13">
    <w:nsid w:val="2B0F8A1A"/>
    <w:multiLevelType w:val="multilevel"/>
    <w:tmpl w:val="2B0F8A1A"/>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4">
    <w:nsid w:val="2D6A753F"/>
    <w:multiLevelType w:val="singleLevel"/>
    <w:tmpl w:val="2D6A753F"/>
    <w:lvl w:ilvl="0" w:tentative="0">
      <w:start w:val="1"/>
      <w:numFmt w:val="decimal"/>
      <w:suff w:val="nothing"/>
      <w:lvlText w:val="%1."/>
      <w:lvlJc w:val="left"/>
      <w:pPr>
        <w:ind w:left="425" w:hanging="425"/>
      </w:pPr>
      <w:rPr>
        <w:rFonts w:hint="default"/>
        <w:color w:val="auto"/>
      </w:rPr>
    </w:lvl>
  </w:abstractNum>
  <w:abstractNum w:abstractNumId="15">
    <w:nsid w:val="3A1F697F"/>
    <w:multiLevelType w:val="multilevel"/>
    <w:tmpl w:val="3A1F697F"/>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16">
    <w:nsid w:val="4E863380"/>
    <w:multiLevelType w:val="multilevel"/>
    <w:tmpl w:val="4E863380"/>
    <w:lvl w:ilvl="0" w:tentative="0">
      <w:start w:val="1"/>
      <w:numFmt w:val="chineseCountingThousand"/>
      <w:suff w:val="nothing"/>
      <w:lvlText w:val="(%1)"/>
      <w:lvlJc w:val="left"/>
      <w:pPr>
        <w:ind w:left="976" w:hanging="420"/>
      </w:pPr>
      <w:rPr>
        <w:rFonts w:hint="eastAsia"/>
      </w:rPr>
    </w:lvl>
    <w:lvl w:ilvl="1" w:tentative="0">
      <w:start w:val="1"/>
      <w:numFmt w:val="lowerLetter"/>
      <w:lvlText w:val="%2)"/>
      <w:lvlJc w:val="left"/>
      <w:pPr>
        <w:ind w:left="1396" w:hanging="420"/>
      </w:pPr>
      <w:rPr>
        <w:rFonts w:hint="eastAsia"/>
      </w:rPr>
    </w:lvl>
    <w:lvl w:ilvl="2" w:tentative="0">
      <w:start w:val="1"/>
      <w:numFmt w:val="lowerRoman"/>
      <w:lvlText w:val="%3."/>
      <w:lvlJc w:val="right"/>
      <w:pPr>
        <w:ind w:left="1816" w:hanging="420"/>
      </w:pPr>
      <w:rPr>
        <w:rFonts w:hint="eastAsia"/>
      </w:rPr>
    </w:lvl>
    <w:lvl w:ilvl="3" w:tentative="0">
      <w:start w:val="1"/>
      <w:numFmt w:val="decimal"/>
      <w:lvlText w:val="%4."/>
      <w:lvlJc w:val="left"/>
      <w:pPr>
        <w:ind w:left="2236" w:hanging="420"/>
      </w:pPr>
      <w:rPr>
        <w:rFonts w:hint="eastAsia"/>
      </w:rPr>
    </w:lvl>
    <w:lvl w:ilvl="4" w:tentative="0">
      <w:start w:val="1"/>
      <w:numFmt w:val="lowerLetter"/>
      <w:lvlText w:val="%5)"/>
      <w:lvlJc w:val="left"/>
      <w:pPr>
        <w:ind w:left="2656" w:hanging="420"/>
      </w:pPr>
      <w:rPr>
        <w:rFonts w:hint="eastAsia"/>
      </w:rPr>
    </w:lvl>
    <w:lvl w:ilvl="5" w:tentative="0">
      <w:start w:val="1"/>
      <w:numFmt w:val="lowerRoman"/>
      <w:lvlText w:val="%6."/>
      <w:lvlJc w:val="right"/>
      <w:pPr>
        <w:ind w:left="3076" w:hanging="420"/>
      </w:pPr>
      <w:rPr>
        <w:rFonts w:hint="eastAsia"/>
      </w:rPr>
    </w:lvl>
    <w:lvl w:ilvl="6" w:tentative="0">
      <w:start w:val="1"/>
      <w:numFmt w:val="decimal"/>
      <w:lvlText w:val="%7."/>
      <w:lvlJc w:val="left"/>
      <w:pPr>
        <w:ind w:left="3496" w:hanging="420"/>
      </w:pPr>
      <w:rPr>
        <w:rFonts w:hint="eastAsia"/>
      </w:rPr>
    </w:lvl>
    <w:lvl w:ilvl="7" w:tentative="0">
      <w:start w:val="1"/>
      <w:numFmt w:val="lowerLetter"/>
      <w:lvlText w:val="%8)"/>
      <w:lvlJc w:val="left"/>
      <w:pPr>
        <w:ind w:left="3916" w:hanging="420"/>
      </w:pPr>
      <w:rPr>
        <w:rFonts w:hint="eastAsia"/>
      </w:rPr>
    </w:lvl>
    <w:lvl w:ilvl="8" w:tentative="0">
      <w:start w:val="1"/>
      <w:numFmt w:val="lowerRoman"/>
      <w:lvlText w:val="%9."/>
      <w:lvlJc w:val="right"/>
      <w:pPr>
        <w:ind w:left="4336" w:hanging="420"/>
      </w:pPr>
      <w:rPr>
        <w:rFonts w:hint="eastAsia"/>
      </w:rPr>
    </w:lvl>
  </w:abstractNum>
  <w:abstractNum w:abstractNumId="17">
    <w:nsid w:val="4F8E3FF8"/>
    <w:multiLevelType w:val="multilevel"/>
    <w:tmpl w:val="4F8E3FF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1002BE8"/>
    <w:multiLevelType w:val="multilevel"/>
    <w:tmpl w:val="51002BE8"/>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9">
    <w:nsid w:val="59C77822"/>
    <w:multiLevelType w:val="multilevel"/>
    <w:tmpl w:val="59C77822"/>
    <w:lvl w:ilvl="0" w:tentative="0">
      <w:start w:val="1"/>
      <w:numFmt w:val="chineseCountingThousand"/>
      <w:suff w:val="nothing"/>
      <w:lvlText w:val="(%1)"/>
      <w:lvlJc w:val="left"/>
      <w:pPr>
        <w:ind w:left="976" w:hanging="420"/>
      </w:pPr>
      <w:rPr>
        <w:rFonts w:hint="eastAsia"/>
      </w:rPr>
    </w:lvl>
    <w:lvl w:ilvl="1" w:tentative="0">
      <w:start w:val="1"/>
      <w:numFmt w:val="lowerLetter"/>
      <w:lvlText w:val="%2)"/>
      <w:lvlJc w:val="left"/>
      <w:pPr>
        <w:ind w:left="1396" w:hanging="420"/>
      </w:pPr>
      <w:rPr>
        <w:rFonts w:hint="eastAsia"/>
      </w:rPr>
    </w:lvl>
    <w:lvl w:ilvl="2" w:tentative="0">
      <w:start w:val="1"/>
      <w:numFmt w:val="lowerRoman"/>
      <w:lvlText w:val="%3."/>
      <w:lvlJc w:val="right"/>
      <w:pPr>
        <w:ind w:left="1816" w:hanging="420"/>
      </w:pPr>
      <w:rPr>
        <w:rFonts w:hint="eastAsia"/>
      </w:rPr>
    </w:lvl>
    <w:lvl w:ilvl="3" w:tentative="0">
      <w:start w:val="1"/>
      <w:numFmt w:val="decimal"/>
      <w:lvlText w:val="%4."/>
      <w:lvlJc w:val="left"/>
      <w:pPr>
        <w:ind w:left="2236" w:hanging="420"/>
      </w:pPr>
      <w:rPr>
        <w:rFonts w:hint="eastAsia"/>
      </w:rPr>
    </w:lvl>
    <w:lvl w:ilvl="4" w:tentative="0">
      <w:start w:val="1"/>
      <w:numFmt w:val="lowerLetter"/>
      <w:lvlText w:val="%5)"/>
      <w:lvlJc w:val="left"/>
      <w:pPr>
        <w:ind w:left="2656" w:hanging="420"/>
      </w:pPr>
      <w:rPr>
        <w:rFonts w:hint="eastAsia"/>
      </w:rPr>
    </w:lvl>
    <w:lvl w:ilvl="5" w:tentative="0">
      <w:start w:val="1"/>
      <w:numFmt w:val="lowerRoman"/>
      <w:lvlText w:val="%6."/>
      <w:lvlJc w:val="right"/>
      <w:pPr>
        <w:ind w:left="3076" w:hanging="420"/>
      </w:pPr>
      <w:rPr>
        <w:rFonts w:hint="eastAsia"/>
      </w:rPr>
    </w:lvl>
    <w:lvl w:ilvl="6" w:tentative="0">
      <w:start w:val="1"/>
      <w:numFmt w:val="decimal"/>
      <w:lvlText w:val="%7."/>
      <w:lvlJc w:val="left"/>
      <w:pPr>
        <w:ind w:left="3496" w:hanging="420"/>
      </w:pPr>
      <w:rPr>
        <w:rFonts w:hint="eastAsia"/>
      </w:rPr>
    </w:lvl>
    <w:lvl w:ilvl="7" w:tentative="0">
      <w:start w:val="1"/>
      <w:numFmt w:val="lowerLetter"/>
      <w:lvlText w:val="%8)"/>
      <w:lvlJc w:val="left"/>
      <w:pPr>
        <w:ind w:left="3916" w:hanging="420"/>
      </w:pPr>
      <w:rPr>
        <w:rFonts w:hint="eastAsia"/>
      </w:rPr>
    </w:lvl>
    <w:lvl w:ilvl="8" w:tentative="0">
      <w:start w:val="1"/>
      <w:numFmt w:val="lowerRoman"/>
      <w:lvlText w:val="%9."/>
      <w:lvlJc w:val="right"/>
      <w:pPr>
        <w:ind w:left="4336" w:hanging="420"/>
      </w:pPr>
      <w:rPr>
        <w:rFonts w:hint="eastAsia"/>
      </w:rPr>
    </w:lvl>
  </w:abstractNum>
  <w:abstractNum w:abstractNumId="20">
    <w:nsid w:val="5A4E25BD"/>
    <w:multiLevelType w:val="multilevel"/>
    <w:tmpl w:val="5A4E25BD"/>
    <w:lvl w:ilvl="0" w:tentative="0">
      <w:start w:val="1"/>
      <w:numFmt w:val="decimal"/>
      <w:suff w:val="space"/>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DA83AA2"/>
    <w:multiLevelType w:val="multilevel"/>
    <w:tmpl w:val="5DA83AA2"/>
    <w:lvl w:ilvl="0" w:tentative="0">
      <w:start w:val="1"/>
      <w:numFmt w:val="decimal"/>
      <w:lvlText w:val="%1."/>
      <w:lvlJc w:val="left"/>
      <w:pPr>
        <w:ind w:left="420" w:hanging="4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75A3798"/>
    <w:multiLevelType w:val="multilevel"/>
    <w:tmpl w:val="675A3798"/>
    <w:lvl w:ilvl="0" w:tentative="0">
      <w:start w:val="1"/>
      <w:numFmt w:val="chineseCountingThousand"/>
      <w:suff w:val="nothing"/>
      <w:lvlText w:val="(%1)"/>
      <w:lvlJc w:val="left"/>
      <w:pPr>
        <w:ind w:left="976" w:hanging="420"/>
      </w:pPr>
      <w:rPr>
        <w:rFonts w:hint="eastAsia"/>
      </w:rPr>
    </w:lvl>
    <w:lvl w:ilvl="1" w:tentative="0">
      <w:start w:val="1"/>
      <w:numFmt w:val="lowerLetter"/>
      <w:lvlText w:val="%2)"/>
      <w:lvlJc w:val="left"/>
      <w:pPr>
        <w:ind w:left="1396" w:hanging="420"/>
      </w:pPr>
      <w:rPr>
        <w:rFonts w:hint="eastAsia"/>
      </w:rPr>
    </w:lvl>
    <w:lvl w:ilvl="2" w:tentative="0">
      <w:start w:val="1"/>
      <w:numFmt w:val="lowerRoman"/>
      <w:lvlText w:val="%3."/>
      <w:lvlJc w:val="right"/>
      <w:pPr>
        <w:ind w:left="1816" w:hanging="420"/>
      </w:pPr>
      <w:rPr>
        <w:rFonts w:hint="eastAsia"/>
      </w:rPr>
    </w:lvl>
    <w:lvl w:ilvl="3" w:tentative="0">
      <w:start w:val="1"/>
      <w:numFmt w:val="decimal"/>
      <w:lvlText w:val="%4."/>
      <w:lvlJc w:val="left"/>
      <w:pPr>
        <w:ind w:left="2236" w:hanging="420"/>
      </w:pPr>
      <w:rPr>
        <w:rFonts w:hint="eastAsia"/>
      </w:rPr>
    </w:lvl>
    <w:lvl w:ilvl="4" w:tentative="0">
      <w:start w:val="1"/>
      <w:numFmt w:val="lowerLetter"/>
      <w:lvlText w:val="%5)"/>
      <w:lvlJc w:val="left"/>
      <w:pPr>
        <w:ind w:left="2656" w:hanging="420"/>
      </w:pPr>
      <w:rPr>
        <w:rFonts w:hint="eastAsia"/>
      </w:rPr>
    </w:lvl>
    <w:lvl w:ilvl="5" w:tentative="0">
      <w:start w:val="1"/>
      <w:numFmt w:val="lowerRoman"/>
      <w:lvlText w:val="%6."/>
      <w:lvlJc w:val="right"/>
      <w:pPr>
        <w:ind w:left="3076" w:hanging="420"/>
      </w:pPr>
      <w:rPr>
        <w:rFonts w:hint="eastAsia"/>
      </w:rPr>
    </w:lvl>
    <w:lvl w:ilvl="6" w:tentative="0">
      <w:start w:val="1"/>
      <w:numFmt w:val="decimal"/>
      <w:lvlText w:val="%7."/>
      <w:lvlJc w:val="left"/>
      <w:pPr>
        <w:ind w:left="3496" w:hanging="420"/>
      </w:pPr>
      <w:rPr>
        <w:rFonts w:hint="eastAsia"/>
      </w:rPr>
    </w:lvl>
    <w:lvl w:ilvl="7" w:tentative="0">
      <w:start w:val="1"/>
      <w:numFmt w:val="lowerLetter"/>
      <w:lvlText w:val="%8)"/>
      <w:lvlJc w:val="left"/>
      <w:pPr>
        <w:ind w:left="3916" w:hanging="420"/>
      </w:pPr>
      <w:rPr>
        <w:rFonts w:hint="eastAsia"/>
      </w:rPr>
    </w:lvl>
    <w:lvl w:ilvl="8" w:tentative="0">
      <w:start w:val="1"/>
      <w:numFmt w:val="lowerRoman"/>
      <w:lvlText w:val="%9."/>
      <w:lvlJc w:val="right"/>
      <w:pPr>
        <w:ind w:left="4336" w:hanging="420"/>
      </w:pPr>
      <w:rPr>
        <w:rFonts w:hint="eastAsia"/>
      </w:rPr>
    </w:lvl>
  </w:abstractNum>
  <w:abstractNum w:abstractNumId="23">
    <w:nsid w:val="67E03E85"/>
    <w:multiLevelType w:val="multilevel"/>
    <w:tmpl w:val="67E03E85"/>
    <w:lvl w:ilvl="0" w:tentative="0">
      <w:start w:val="1"/>
      <w:numFmt w:val="chineseCountingThousand"/>
      <w:suff w:val="nothing"/>
      <w:lvlText w:val="(%1)"/>
      <w:lvlJc w:val="left"/>
      <w:pPr>
        <w:ind w:left="980" w:hanging="420"/>
      </w:pPr>
      <w:rPr>
        <w:rFonts w:hint="eastAsia"/>
        <w:b w:val="0"/>
        <w:bCs w:val="0"/>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abstractNum w:abstractNumId="24">
    <w:nsid w:val="727F3B11"/>
    <w:multiLevelType w:val="multilevel"/>
    <w:tmpl w:val="727F3B11"/>
    <w:lvl w:ilvl="0" w:tentative="0">
      <w:start w:val="1"/>
      <w:numFmt w:val="chineseCountingThousand"/>
      <w:lvlText w:val="(%1)"/>
      <w:lvlJc w:val="left"/>
      <w:pPr>
        <w:ind w:left="976" w:hanging="420"/>
      </w:pPr>
    </w:lvl>
    <w:lvl w:ilvl="1" w:tentative="0">
      <w:start w:val="1"/>
      <w:numFmt w:val="lowerLetter"/>
      <w:lvlText w:val="%2)"/>
      <w:lvlJc w:val="left"/>
      <w:pPr>
        <w:ind w:left="1396" w:hanging="420"/>
      </w:pPr>
    </w:lvl>
    <w:lvl w:ilvl="2" w:tentative="0">
      <w:start w:val="1"/>
      <w:numFmt w:val="lowerRoman"/>
      <w:lvlText w:val="%3."/>
      <w:lvlJc w:val="right"/>
      <w:pPr>
        <w:ind w:left="1816" w:hanging="420"/>
      </w:pPr>
    </w:lvl>
    <w:lvl w:ilvl="3" w:tentative="0">
      <w:start w:val="1"/>
      <w:numFmt w:val="decimal"/>
      <w:lvlText w:val="%4."/>
      <w:lvlJc w:val="left"/>
      <w:pPr>
        <w:ind w:left="2236" w:hanging="420"/>
      </w:pPr>
    </w:lvl>
    <w:lvl w:ilvl="4" w:tentative="0">
      <w:start w:val="1"/>
      <w:numFmt w:val="lowerLetter"/>
      <w:lvlText w:val="%5)"/>
      <w:lvlJc w:val="left"/>
      <w:pPr>
        <w:ind w:left="2656" w:hanging="420"/>
      </w:pPr>
    </w:lvl>
    <w:lvl w:ilvl="5" w:tentative="0">
      <w:start w:val="1"/>
      <w:numFmt w:val="lowerRoman"/>
      <w:lvlText w:val="%6."/>
      <w:lvlJc w:val="right"/>
      <w:pPr>
        <w:ind w:left="3076" w:hanging="420"/>
      </w:pPr>
    </w:lvl>
    <w:lvl w:ilvl="6" w:tentative="0">
      <w:start w:val="1"/>
      <w:numFmt w:val="decimal"/>
      <w:lvlText w:val="%7."/>
      <w:lvlJc w:val="left"/>
      <w:pPr>
        <w:ind w:left="3496" w:hanging="420"/>
      </w:pPr>
    </w:lvl>
    <w:lvl w:ilvl="7" w:tentative="0">
      <w:start w:val="1"/>
      <w:numFmt w:val="lowerLetter"/>
      <w:lvlText w:val="%8)"/>
      <w:lvlJc w:val="left"/>
      <w:pPr>
        <w:ind w:left="3916" w:hanging="420"/>
      </w:pPr>
    </w:lvl>
    <w:lvl w:ilvl="8" w:tentative="0">
      <w:start w:val="1"/>
      <w:numFmt w:val="lowerRoman"/>
      <w:lvlText w:val="%9."/>
      <w:lvlJc w:val="right"/>
      <w:pPr>
        <w:ind w:left="4336" w:hanging="420"/>
      </w:pPr>
    </w:lvl>
  </w:abstractNum>
  <w:abstractNum w:abstractNumId="25">
    <w:nsid w:val="74680F87"/>
    <w:multiLevelType w:val="multilevel"/>
    <w:tmpl w:val="74680F87"/>
    <w:lvl w:ilvl="0" w:tentative="0">
      <w:start w:val="1"/>
      <w:numFmt w:val="decimal"/>
      <w:suff w:val="nothing"/>
      <w:lvlText w:val="%1."/>
      <w:lvlJc w:val="left"/>
      <w:pPr>
        <w:ind w:left="980" w:hanging="420"/>
      </w:pPr>
      <w:rPr>
        <w:rFonts w:hint="eastAsia"/>
      </w:rPr>
    </w:lvl>
    <w:lvl w:ilvl="1" w:tentative="0">
      <w:start w:val="1"/>
      <w:numFmt w:val="lowerLetter"/>
      <w:lvlText w:val="%2)"/>
      <w:lvlJc w:val="left"/>
      <w:pPr>
        <w:ind w:left="1400" w:hanging="420"/>
      </w:pPr>
      <w:rPr>
        <w:rFonts w:hint="eastAsia"/>
      </w:rPr>
    </w:lvl>
    <w:lvl w:ilvl="2" w:tentative="0">
      <w:start w:val="1"/>
      <w:numFmt w:val="lowerRoman"/>
      <w:lvlText w:val="%3."/>
      <w:lvlJc w:val="right"/>
      <w:pPr>
        <w:ind w:left="1820" w:hanging="420"/>
      </w:pPr>
      <w:rPr>
        <w:rFonts w:hint="eastAsia"/>
      </w:rPr>
    </w:lvl>
    <w:lvl w:ilvl="3" w:tentative="0">
      <w:start w:val="1"/>
      <w:numFmt w:val="decimal"/>
      <w:lvlText w:val="%4."/>
      <w:lvlJc w:val="left"/>
      <w:pPr>
        <w:ind w:left="2240" w:hanging="420"/>
      </w:pPr>
      <w:rPr>
        <w:rFonts w:hint="eastAsia"/>
      </w:rPr>
    </w:lvl>
    <w:lvl w:ilvl="4" w:tentative="0">
      <w:start w:val="1"/>
      <w:numFmt w:val="lowerLetter"/>
      <w:lvlText w:val="%5)"/>
      <w:lvlJc w:val="left"/>
      <w:pPr>
        <w:ind w:left="2660" w:hanging="420"/>
      </w:pPr>
      <w:rPr>
        <w:rFonts w:hint="eastAsia"/>
      </w:rPr>
    </w:lvl>
    <w:lvl w:ilvl="5" w:tentative="0">
      <w:start w:val="1"/>
      <w:numFmt w:val="lowerRoman"/>
      <w:lvlText w:val="%6."/>
      <w:lvlJc w:val="right"/>
      <w:pPr>
        <w:ind w:left="3080" w:hanging="420"/>
      </w:pPr>
      <w:rPr>
        <w:rFonts w:hint="eastAsia"/>
      </w:rPr>
    </w:lvl>
    <w:lvl w:ilvl="6" w:tentative="0">
      <w:start w:val="1"/>
      <w:numFmt w:val="decimal"/>
      <w:lvlText w:val="%7."/>
      <w:lvlJc w:val="left"/>
      <w:pPr>
        <w:ind w:left="3500" w:hanging="420"/>
      </w:pPr>
      <w:rPr>
        <w:rFonts w:hint="eastAsia"/>
      </w:rPr>
    </w:lvl>
    <w:lvl w:ilvl="7" w:tentative="0">
      <w:start w:val="1"/>
      <w:numFmt w:val="lowerLetter"/>
      <w:lvlText w:val="%8)"/>
      <w:lvlJc w:val="left"/>
      <w:pPr>
        <w:ind w:left="3920" w:hanging="420"/>
      </w:pPr>
      <w:rPr>
        <w:rFonts w:hint="eastAsia"/>
      </w:rPr>
    </w:lvl>
    <w:lvl w:ilvl="8" w:tentative="0">
      <w:start w:val="1"/>
      <w:numFmt w:val="lowerRoman"/>
      <w:lvlText w:val="%9."/>
      <w:lvlJc w:val="right"/>
      <w:pPr>
        <w:ind w:left="4340" w:hanging="420"/>
      </w:pPr>
      <w:rPr>
        <w:rFonts w:hint="eastAsia"/>
      </w:rPr>
    </w:lvl>
  </w:abstractNum>
  <w:num w:numId="1">
    <w:abstractNumId w:val="12"/>
  </w:num>
  <w:num w:numId="2">
    <w:abstractNumId w:val="11"/>
  </w:num>
  <w:num w:numId="3">
    <w:abstractNumId w:val="4"/>
  </w:num>
  <w:num w:numId="4">
    <w:abstractNumId w:val="0"/>
  </w:num>
  <w:num w:numId="5">
    <w:abstractNumId w:val="6"/>
  </w:num>
  <w:num w:numId="6">
    <w:abstractNumId w:val="1"/>
  </w:num>
  <w:num w:numId="7">
    <w:abstractNumId w:val="3"/>
  </w:num>
  <w:num w:numId="8">
    <w:abstractNumId w:val="14"/>
  </w:num>
  <w:num w:numId="9">
    <w:abstractNumId w:val="7"/>
  </w:num>
  <w:num w:numId="10">
    <w:abstractNumId w:val="16"/>
  </w:num>
  <w:num w:numId="11">
    <w:abstractNumId w:val="2"/>
  </w:num>
  <w:num w:numId="12">
    <w:abstractNumId w:val="5"/>
  </w:num>
  <w:num w:numId="13">
    <w:abstractNumId w:val="20"/>
  </w:num>
  <w:num w:numId="14">
    <w:abstractNumId w:val="24"/>
  </w:num>
  <w:num w:numId="15">
    <w:abstractNumId w:val="19"/>
  </w:num>
  <w:num w:numId="16">
    <w:abstractNumId w:val="22"/>
  </w:num>
  <w:num w:numId="17">
    <w:abstractNumId w:val="9"/>
  </w:num>
  <w:num w:numId="18">
    <w:abstractNumId w:val="15"/>
  </w:num>
  <w:num w:numId="19">
    <w:abstractNumId w:val="13"/>
  </w:num>
  <w:num w:numId="20">
    <w:abstractNumId w:val="25"/>
  </w:num>
  <w:num w:numId="21">
    <w:abstractNumId w:val="23"/>
  </w:num>
  <w:num w:numId="22">
    <w:abstractNumId w:val="10"/>
  </w:num>
  <w:num w:numId="23">
    <w:abstractNumId w:val="8"/>
  </w:num>
  <w:num w:numId="24">
    <w:abstractNumId w:val="21"/>
  </w:num>
  <w:num w:numId="25">
    <w:abstractNumId w:val="1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RhZTI1ZDFlOWMyZDhlY2RlYWMwMmEwMDNkYmYwMjYifQ=="/>
  </w:docVars>
  <w:rsids>
    <w:rsidRoot w:val="00172A27"/>
    <w:rsid w:val="00000A72"/>
    <w:rsid w:val="00000EA2"/>
    <w:rsid w:val="0000176F"/>
    <w:rsid w:val="00001F63"/>
    <w:rsid w:val="00002845"/>
    <w:rsid w:val="00006573"/>
    <w:rsid w:val="00006A87"/>
    <w:rsid w:val="00007252"/>
    <w:rsid w:val="00007B1C"/>
    <w:rsid w:val="00010FAB"/>
    <w:rsid w:val="0001177A"/>
    <w:rsid w:val="00012287"/>
    <w:rsid w:val="00013E8A"/>
    <w:rsid w:val="00014FD8"/>
    <w:rsid w:val="00015E39"/>
    <w:rsid w:val="000178F5"/>
    <w:rsid w:val="00017F46"/>
    <w:rsid w:val="00020525"/>
    <w:rsid w:val="00022754"/>
    <w:rsid w:val="00023523"/>
    <w:rsid w:val="00023D84"/>
    <w:rsid w:val="000246A9"/>
    <w:rsid w:val="00024F40"/>
    <w:rsid w:val="000252FD"/>
    <w:rsid w:val="000256BA"/>
    <w:rsid w:val="00030414"/>
    <w:rsid w:val="00030A25"/>
    <w:rsid w:val="000328CD"/>
    <w:rsid w:val="000335F3"/>
    <w:rsid w:val="00033B7C"/>
    <w:rsid w:val="00036B04"/>
    <w:rsid w:val="00037CEC"/>
    <w:rsid w:val="0004066A"/>
    <w:rsid w:val="0004075D"/>
    <w:rsid w:val="00040E4F"/>
    <w:rsid w:val="00045563"/>
    <w:rsid w:val="00045A47"/>
    <w:rsid w:val="00045A95"/>
    <w:rsid w:val="00045BFE"/>
    <w:rsid w:val="000463BA"/>
    <w:rsid w:val="00046B9A"/>
    <w:rsid w:val="00050E50"/>
    <w:rsid w:val="000516BC"/>
    <w:rsid w:val="0005200B"/>
    <w:rsid w:val="00052EB7"/>
    <w:rsid w:val="0005321E"/>
    <w:rsid w:val="00053341"/>
    <w:rsid w:val="000537E1"/>
    <w:rsid w:val="00053F22"/>
    <w:rsid w:val="000546AA"/>
    <w:rsid w:val="00054781"/>
    <w:rsid w:val="00054D0F"/>
    <w:rsid w:val="00054F6E"/>
    <w:rsid w:val="00055488"/>
    <w:rsid w:val="000562CE"/>
    <w:rsid w:val="000565A7"/>
    <w:rsid w:val="00056AE3"/>
    <w:rsid w:val="00060532"/>
    <w:rsid w:val="00061079"/>
    <w:rsid w:val="00061331"/>
    <w:rsid w:val="000615CA"/>
    <w:rsid w:val="00061AF5"/>
    <w:rsid w:val="00062320"/>
    <w:rsid w:val="0006685F"/>
    <w:rsid w:val="000668C7"/>
    <w:rsid w:val="00066D37"/>
    <w:rsid w:val="00070E9E"/>
    <w:rsid w:val="00071D76"/>
    <w:rsid w:val="00072D3B"/>
    <w:rsid w:val="000730D4"/>
    <w:rsid w:val="00073DBA"/>
    <w:rsid w:val="00074193"/>
    <w:rsid w:val="0007475C"/>
    <w:rsid w:val="00074CC1"/>
    <w:rsid w:val="00074D60"/>
    <w:rsid w:val="00074EA6"/>
    <w:rsid w:val="00075761"/>
    <w:rsid w:val="00076323"/>
    <w:rsid w:val="00076380"/>
    <w:rsid w:val="000763BE"/>
    <w:rsid w:val="00076558"/>
    <w:rsid w:val="00076E56"/>
    <w:rsid w:val="00077DA9"/>
    <w:rsid w:val="00080304"/>
    <w:rsid w:val="00080886"/>
    <w:rsid w:val="000816BA"/>
    <w:rsid w:val="00081E42"/>
    <w:rsid w:val="00081E55"/>
    <w:rsid w:val="00082DFF"/>
    <w:rsid w:val="00082E87"/>
    <w:rsid w:val="00083211"/>
    <w:rsid w:val="00083B42"/>
    <w:rsid w:val="00084001"/>
    <w:rsid w:val="0008456B"/>
    <w:rsid w:val="00085F96"/>
    <w:rsid w:val="0008601F"/>
    <w:rsid w:val="00086100"/>
    <w:rsid w:val="00086357"/>
    <w:rsid w:val="00086472"/>
    <w:rsid w:val="00087037"/>
    <w:rsid w:val="000877BD"/>
    <w:rsid w:val="0009037E"/>
    <w:rsid w:val="000917F5"/>
    <w:rsid w:val="00091A7B"/>
    <w:rsid w:val="000923C3"/>
    <w:rsid w:val="0009376C"/>
    <w:rsid w:val="0009463B"/>
    <w:rsid w:val="00095530"/>
    <w:rsid w:val="0009558D"/>
    <w:rsid w:val="00096820"/>
    <w:rsid w:val="000973A2"/>
    <w:rsid w:val="00097901"/>
    <w:rsid w:val="00097B97"/>
    <w:rsid w:val="000A0288"/>
    <w:rsid w:val="000A1687"/>
    <w:rsid w:val="000A1B84"/>
    <w:rsid w:val="000A1E7A"/>
    <w:rsid w:val="000A2ED6"/>
    <w:rsid w:val="000A3097"/>
    <w:rsid w:val="000A34C4"/>
    <w:rsid w:val="000A4584"/>
    <w:rsid w:val="000A6EF2"/>
    <w:rsid w:val="000A70F5"/>
    <w:rsid w:val="000A7188"/>
    <w:rsid w:val="000A79FA"/>
    <w:rsid w:val="000B10C4"/>
    <w:rsid w:val="000B1F54"/>
    <w:rsid w:val="000B30EC"/>
    <w:rsid w:val="000B30ED"/>
    <w:rsid w:val="000B40C0"/>
    <w:rsid w:val="000B40F5"/>
    <w:rsid w:val="000B42C9"/>
    <w:rsid w:val="000B43D3"/>
    <w:rsid w:val="000B43E0"/>
    <w:rsid w:val="000B4E70"/>
    <w:rsid w:val="000B5D08"/>
    <w:rsid w:val="000B6607"/>
    <w:rsid w:val="000B6B1F"/>
    <w:rsid w:val="000C067B"/>
    <w:rsid w:val="000C0E40"/>
    <w:rsid w:val="000C1116"/>
    <w:rsid w:val="000C13F4"/>
    <w:rsid w:val="000C275C"/>
    <w:rsid w:val="000C2DBC"/>
    <w:rsid w:val="000C3631"/>
    <w:rsid w:val="000C386E"/>
    <w:rsid w:val="000C4715"/>
    <w:rsid w:val="000C54FF"/>
    <w:rsid w:val="000C5BBB"/>
    <w:rsid w:val="000C7A54"/>
    <w:rsid w:val="000D0696"/>
    <w:rsid w:val="000D0862"/>
    <w:rsid w:val="000D0B10"/>
    <w:rsid w:val="000D0BC0"/>
    <w:rsid w:val="000D1FF8"/>
    <w:rsid w:val="000D3208"/>
    <w:rsid w:val="000D3F90"/>
    <w:rsid w:val="000D40DE"/>
    <w:rsid w:val="000D4BF7"/>
    <w:rsid w:val="000D4FD2"/>
    <w:rsid w:val="000D544B"/>
    <w:rsid w:val="000D7200"/>
    <w:rsid w:val="000D72E7"/>
    <w:rsid w:val="000D7827"/>
    <w:rsid w:val="000E0239"/>
    <w:rsid w:val="000E08FB"/>
    <w:rsid w:val="000E15BC"/>
    <w:rsid w:val="000E1AE0"/>
    <w:rsid w:val="000E1B1A"/>
    <w:rsid w:val="000E1B84"/>
    <w:rsid w:val="000E29FC"/>
    <w:rsid w:val="000E521A"/>
    <w:rsid w:val="000E5C45"/>
    <w:rsid w:val="000E5EB9"/>
    <w:rsid w:val="000E60AA"/>
    <w:rsid w:val="000F0AC4"/>
    <w:rsid w:val="000F1610"/>
    <w:rsid w:val="000F2624"/>
    <w:rsid w:val="000F2B67"/>
    <w:rsid w:val="000F30E5"/>
    <w:rsid w:val="000F656F"/>
    <w:rsid w:val="000F6F22"/>
    <w:rsid w:val="000F7234"/>
    <w:rsid w:val="001006C1"/>
    <w:rsid w:val="00100CF5"/>
    <w:rsid w:val="00101372"/>
    <w:rsid w:val="0010156F"/>
    <w:rsid w:val="00101D9E"/>
    <w:rsid w:val="001034BD"/>
    <w:rsid w:val="00103CFF"/>
    <w:rsid w:val="0010415E"/>
    <w:rsid w:val="00104E9D"/>
    <w:rsid w:val="00105945"/>
    <w:rsid w:val="00105F17"/>
    <w:rsid w:val="0010613F"/>
    <w:rsid w:val="00106541"/>
    <w:rsid w:val="0010719C"/>
    <w:rsid w:val="0010760C"/>
    <w:rsid w:val="00107919"/>
    <w:rsid w:val="00107E1F"/>
    <w:rsid w:val="001103E8"/>
    <w:rsid w:val="001110D7"/>
    <w:rsid w:val="00111147"/>
    <w:rsid w:val="001116EF"/>
    <w:rsid w:val="0011193C"/>
    <w:rsid w:val="00112334"/>
    <w:rsid w:val="00112F8D"/>
    <w:rsid w:val="001130BE"/>
    <w:rsid w:val="0011315E"/>
    <w:rsid w:val="00113977"/>
    <w:rsid w:val="00113A18"/>
    <w:rsid w:val="00113DC1"/>
    <w:rsid w:val="001145E4"/>
    <w:rsid w:val="0011490A"/>
    <w:rsid w:val="00117782"/>
    <w:rsid w:val="00120ED9"/>
    <w:rsid w:val="0012300E"/>
    <w:rsid w:val="00123501"/>
    <w:rsid w:val="00124688"/>
    <w:rsid w:val="0012575D"/>
    <w:rsid w:val="00126325"/>
    <w:rsid w:val="00126C13"/>
    <w:rsid w:val="00126C8B"/>
    <w:rsid w:val="00126CE8"/>
    <w:rsid w:val="001272C4"/>
    <w:rsid w:val="00127538"/>
    <w:rsid w:val="00127774"/>
    <w:rsid w:val="001303B8"/>
    <w:rsid w:val="001322C9"/>
    <w:rsid w:val="001322F5"/>
    <w:rsid w:val="00135049"/>
    <w:rsid w:val="00135F0B"/>
    <w:rsid w:val="00137CA3"/>
    <w:rsid w:val="00137F02"/>
    <w:rsid w:val="00140329"/>
    <w:rsid w:val="00140338"/>
    <w:rsid w:val="00140395"/>
    <w:rsid w:val="001403C4"/>
    <w:rsid w:val="00141510"/>
    <w:rsid w:val="00141B7E"/>
    <w:rsid w:val="00141CDB"/>
    <w:rsid w:val="00141E3D"/>
    <w:rsid w:val="001420D2"/>
    <w:rsid w:val="001436FE"/>
    <w:rsid w:val="001437CB"/>
    <w:rsid w:val="00143A6D"/>
    <w:rsid w:val="00143ADB"/>
    <w:rsid w:val="001444A5"/>
    <w:rsid w:val="0014563A"/>
    <w:rsid w:val="00146263"/>
    <w:rsid w:val="00146664"/>
    <w:rsid w:val="0014698F"/>
    <w:rsid w:val="00146BAF"/>
    <w:rsid w:val="00146FA5"/>
    <w:rsid w:val="00147779"/>
    <w:rsid w:val="0015003D"/>
    <w:rsid w:val="00150BF2"/>
    <w:rsid w:val="00151B0F"/>
    <w:rsid w:val="00151EC3"/>
    <w:rsid w:val="00152381"/>
    <w:rsid w:val="00152E91"/>
    <w:rsid w:val="00153016"/>
    <w:rsid w:val="0015326F"/>
    <w:rsid w:val="001532E5"/>
    <w:rsid w:val="00154965"/>
    <w:rsid w:val="00155032"/>
    <w:rsid w:val="0015517B"/>
    <w:rsid w:val="0015640B"/>
    <w:rsid w:val="0015724A"/>
    <w:rsid w:val="0015751E"/>
    <w:rsid w:val="00160141"/>
    <w:rsid w:val="0016020A"/>
    <w:rsid w:val="00160538"/>
    <w:rsid w:val="001626CB"/>
    <w:rsid w:val="001636E0"/>
    <w:rsid w:val="00164233"/>
    <w:rsid w:val="00164ACE"/>
    <w:rsid w:val="00164F3D"/>
    <w:rsid w:val="00165A25"/>
    <w:rsid w:val="00165B81"/>
    <w:rsid w:val="00165EAE"/>
    <w:rsid w:val="00166CD2"/>
    <w:rsid w:val="00166D77"/>
    <w:rsid w:val="001674F0"/>
    <w:rsid w:val="00167969"/>
    <w:rsid w:val="00170504"/>
    <w:rsid w:val="0017057A"/>
    <w:rsid w:val="00170FD2"/>
    <w:rsid w:val="0017108F"/>
    <w:rsid w:val="00172A27"/>
    <w:rsid w:val="00173264"/>
    <w:rsid w:val="00174AC5"/>
    <w:rsid w:val="00175038"/>
    <w:rsid w:val="00175881"/>
    <w:rsid w:val="00177663"/>
    <w:rsid w:val="0017787F"/>
    <w:rsid w:val="00181EE7"/>
    <w:rsid w:val="00183BD7"/>
    <w:rsid w:val="00184C93"/>
    <w:rsid w:val="001855DB"/>
    <w:rsid w:val="001866A0"/>
    <w:rsid w:val="001866D6"/>
    <w:rsid w:val="001879CD"/>
    <w:rsid w:val="001903FC"/>
    <w:rsid w:val="00192341"/>
    <w:rsid w:val="00192A0C"/>
    <w:rsid w:val="0019323F"/>
    <w:rsid w:val="00193ADD"/>
    <w:rsid w:val="001954AE"/>
    <w:rsid w:val="00195901"/>
    <w:rsid w:val="00195985"/>
    <w:rsid w:val="00195BCA"/>
    <w:rsid w:val="00196674"/>
    <w:rsid w:val="00196FDA"/>
    <w:rsid w:val="0019715B"/>
    <w:rsid w:val="0019718E"/>
    <w:rsid w:val="0019769D"/>
    <w:rsid w:val="00197FC4"/>
    <w:rsid w:val="001A0069"/>
    <w:rsid w:val="001A14A1"/>
    <w:rsid w:val="001A1E28"/>
    <w:rsid w:val="001A2E3F"/>
    <w:rsid w:val="001A3077"/>
    <w:rsid w:val="001A35C4"/>
    <w:rsid w:val="001A3BD3"/>
    <w:rsid w:val="001A49C8"/>
    <w:rsid w:val="001A4BF7"/>
    <w:rsid w:val="001A5225"/>
    <w:rsid w:val="001A53C0"/>
    <w:rsid w:val="001A63D7"/>
    <w:rsid w:val="001A6622"/>
    <w:rsid w:val="001A68C1"/>
    <w:rsid w:val="001A7E8B"/>
    <w:rsid w:val="001B0C2A"/>
    <w:rsid w:val="001B0C78"/>
    <w:rsid w:val="001B26A9"/>
    <w:rsid w:val="001B375A"/>
    <w:rsid w:val="001B3D35"/>
    <w:rsid w:val="001B55B6"/>
    <w:rsid w:val="001B57ED"/>
    <w:rsid w:val="001B69C6"/>
    <w:rsid w:val="001C0094"/>
    <w:rsid w:val="001C0A5F"/>
    <w:rsid w:val="001C0AB6"/>
    <w:rsid w:val="001C0B35"/>
    <w:rsid w:val="001C1632"/>
    <w:rsid w:val="001C1A35"/>
    <w:rsid w:val="001C2928"/>
    <w:rsid w:val="001C2A52"/>
    <w:rsid w:val="001C316F"/>
    <w:rsid w:val="001C3522"/>
    <w:rsid w:val="001C551E"/>
    <w:rsid w:val="001C7AE9"/>
    <w:rsid w:val="001D0271"/>
    <w:rsid w:val="001D02E1"/>
    <w:rsid w:val="001D16F9"/>
    <w:rsid w:val="001D1FBF"/>
    <w:rsid w:val="001D2108"/>
    <w:rsid w:val="001D29B9"/>
    <w:rsid w:val="001D5642"/>
    <w:rsid w:val="001D5686"/>
    <w:rsid w:val="001D66C9"/>
    <w:rsid w:val="001D6C43"/>
    <w:rsid w:val="001D758F"/>
    <w:rsid w:val="001D7D9C"/>
    <w:rsid w:val="001D7FEB"/>
    <w:rsid w:val="001E01B8"/>
    <w:rsid w:val="001E0F76"/>
    <w:rsid w:val="001E29B3"/>
    <w:rsid w:val="001E2ABD"/>
    <w:rsid w:val="001E2CCA"/>
    <w:rsid w:val="001E742B"/>
    <w:rsid w:val="001E75CC"/>
    <w:rsid w:val="001F05BA"/>
    <w:rsid w:val="001F0853"/>
    <w:rsid w:val="001F0A89"/>
    <w:rsid w:val="001F1108"/>
    <w:rsid w:val="001F126D"/>
    <w:rsid w:val="001F1826"/>
    <w:rsid w:val="001F1A16"/>
    <w:rsid w:val="001F21D4"/>
    <w:rsid w:val="001F3160"/>
    <w:rsid w:val="001F32FE"/>
    <w:rsid w:val="001F3F5F"/>
    <w:rsid w:val="001F4654"/>
    <w:rsid w:val="001F6A7F"/>
    <w:rsid w:val="001F7132"/>
    <w:rsid w:val="0020122F"/>
    <w:rsid w:val="00201CEE"/>
    <w:rsid w:val="00203EEA"/>
    <w:rsid w:val="0020425F"/>
    <w:rsid w:val="00204267"/>
    <w:rsid w:val="00204398"/>
    <w:rsid w:val="002049FE"/>
    <w:rsid w:val="00204C79"/>
    <w:rsid w:val="00204F1F"/>
    <w:rsid w:val="0020528B"/>
    <w:rsid w:val="00205A00"/>
    <w:rsid w:val="00205B0C"/>
    <w:rsid w:val="00207824"/>
    <w:rsid w:val="0021063F"/>
    <w:rsid w:val="00212151"/>
    <w:rsid w:val="00212B0B"/>
    <w:rsid w:val="00213DCD"/>
    <w:rsid w:val="00213F66"/>
    <w:rsid w:val="00214A92"/>
    <w:rsid w:val="00214DDE"/>
    <w:rsid w:val="00215472"/>
    <w:rsid w:val="00216AA7"/>
    <w:rsid w:val="0022123A"/>
    <w:rsid w:val="0022354A"/>
    <w:rsid w:val="0022387F"/>
    <w:rsid w:val="0022390C"/>
    <w:rsid w:val="00223B85"/>
    <w:rsid w:val="00224054"/>
    <w:rsid w:val="002249FA"/>
    <w:rsid w:val="00224E56"/>
    <w:rsid w:val="002305F4"/>
    <w:rsid w:val="00230CD8"/>
    <w:rsid w:val="002313C6"/>
    <w:rsid w:val="00231EB0"/>
    <w:rsid w:val="00233A23"/>
    <w:rsid w:val="00234FAA"/>
    <w:rsid w:val="002351B0"/>
    <w:rsid w:val="00235357"/>
    <w:rsid w:val="002356B9"/>
    <w:rsid w:val="002363B2"/>
    <w:rsid w:val="00237F3F"/>
    <w:rsid w:val="002400F6"/>
    <w:rsid w:val="00240F86"/>
    <w:rsid w:val="002410EB"/>
    <w:rsid w:val="00241627"/>
    <w:rsid w:val="002416F9"/>
    <w:rsid w:val="002425CF"/>
    <w:rsid w:val="00243393"/>
    <w:rsid w:val="00243F73"/>
    <w:rsid w:val="002441FC"/>
    <w:rsid w:val="00244CDD"/>
    <w:rsid w:val="00244FAD"/>
    <w:rsid w:val="00245893"/>
    <w:rsid w:val="00245BE3"/>
    <w:rsid w:val="00245DB8"/>
    <w:rsid w:val="002470DB"/>
    <w:rsid w:val="0024765F"/>
    <w:rsid w:val="00247A9A"/>
    <w:rsid w:val="0025082F"/>
    <w:rsid w:val="002508BE"/>
    <w:rsid w:val="0025228A"/>
    <w:rsid w:val="002545A9"/>
    <w:rsid w:val="002545B5"/>
    <w:rsid w:val="002547E1"/>
    <w:rsid w:val="0025580F"/>
    <w:rsid w:val="00256501"/>
    <w:rsid w:val="00256B8D"/>
    <w:rsid w:val="00256F44"/>
    <w:rsid w:val="002575EA"/>
    <w:rsid w:val="0025764B"/>
    <w:rsid w:val="00257E2D"/>
    <w:rsid w:val="002603E5"/>
    <w:rsid w:val="0026042D"/>
    <w:rsid w:val="002623CF"/>
    <w:rsid w:val="00263799"/>
    <w:rsid w:val="00263DA3"/>
    <w:rsid w:val="0026412C"/>
    <w:rsid w:val="0026459A"/>
    <w:rsid w:val="00264612"/>
    <w:rsid w:val="00264D7D"/>
    <w:rsid w:val="00265260"/>
    <w:rsid w:val="00266109"/>
    <w:rsid w:val="0026695C"/>
    <w:rsid w:val="002669E3"/>
    <w:rsid w:val="00266E29"/>
    <w:rsid w:val="00266F84"/>
    <w:rsid w:val="00270257"/>
    <w:rsid w:val="00270524"/>
    <w:rsid w:val="00271D31"/>
    <w:rsid w:val="00272727"/>
    <w:rsid w:val="00272D69"/>
    <w:rsid w:val="00274558"/>
    <w:rsid w:val="002757BA"/>
    <w:rsid w:val="00275EBF"/>
    <w:rsid w:val="00276BD1"/>
    <w:rsid w:val="00276D1E"/>
    <w:rsid w:val="0027735C"/>
    <w:rsid w:val="002800CE"/>
    <w:rsid w:val="00281A0B"/>
    <w:rsid w:val="00281D22"/>
    <w:rsid w:val="002829BB"/>
    <w:rsid w:val="00282F5C"/>
    <w:rsid w:val="00285FFC"/>
    <w:rsid w:val="00286227"/>
    <w:rsid w:val="002865F0"/>
    <w:rsid w:val="00286903"/>
    <w:rsid w:val="0028740C"/>
    <w:rsid w:val="00287483"/>
    <w:rsid w:val="002877AC"/>
    <w:rsid w:val="00287DC0"/>
    <w:rsid w:val="002902F2"/>
    <w:rsid w:val="00291609"/>
    <w:rsid w:val="00291805"/>
    <w:rsid w:val="00291B6A"/>
    <w:rsid w:val="00292172"/>
    <w:rsid w:val="00292B9B"/>
    <w:rsid w:val="00292D6C"/>
    <w:rsid w:val="00293507"/>
    <w:rsid w:val="00294290"/>
    <w:rsid w:val="0029430C"/>
    <w:rsid w:val="00295541"/>
    <w:rsid w:val="002967BE"/>
    <w:rsid w:val="00296890"/>
    <w:rsid w:val="00297F63"/>
    <w:rsid w:val="00297F6F"/>
    <w:rsid w:val="002A0054"/>
    <w:rsid w:val="002A0615"/>
    <w:rsid w:val="002A1C84"/>
    <w:rsid w:val="002A3177"/>
    <w:rsid w:val="002A5B36"/>
    <w:rsid w:val="002A5BDB"/>
    <w:rsid w:val="002A5CE6"/>
    <w:rsid w:val="002A6A7C"/>
    <w:rsid w:val="002A6FA1"/>
    <w:rsid w:val="002B088B"/>
    <w:rsid w:val="002B1637"/>
    <w:rsid w:val="002B1836"/>
    <w:rsid w:val="002B1EA5"/>
    <w:rsid w:val="002B1FA4"/>
    <w:rsid w:val="002B267D"/>
    <w:rsid w:val="002B326B"/>
    <w:rsid w:val="002B37FD"/>
    <w:rsid w:val="002B3815"/>
    <w:rsid w:val="002B45F5"/>
    <w:rsid w:val="002B467C"/>
    <w:rsid w:val="002B49F8"/>
    <w:rsid w:val="002B6869"/>
    <w:rsid w:val="002B692C"/>
    <w:rsid w:val="002B6C88"/>
    <w:rsid w:val="002B6E0A"/>
    <w:rsid w:val="002C0626"/>
    <w:rsid w:val="002C0BDB"/>
    <w:rsid w:val="002C19CF"/>
    <w:rsid w:val="002C312C"/>
    <w:rsid w:val="002C3413"/>
    <w:rsid w:val="002C403A"/>
    <w:rsid w:val="002C5278"/>
    <w:rsid w:val="002C5F5E"/>
    <w:rsid w:val="002C7C40"/>
    <w:rsid w:val="002C7D22"/>
    <w:rsid w:val="002C7E35"/>
    <w:rsid w:val="002C7F0D"/>
    <w:rsid w:val="002D024C"/>
    <w:rsid w:val="002D08A4"/>
    <w:rsid w:val="002D0E3E"/>
    <w:rsid w:val="002D108B"/>
    <w:rsid w:val="002D1CCF"/>
    <w:rsid w:val="002D359E"/>
    <w:rsid w:val="002D3A82"/>
    <w:rsid w:val="002D3BEA"/>
    <w:rsid w:val="002D4399"/>
    <w:rsid w:val="002D49D1"/>
    <w:rsid w:val="002D4A1D"/>
    <w:rsid w:val="002D4CFF"/>
    <w:rsid w:val="002D4DD3"/>
    <w:rsid w:val="002D5498"/>
    <w:rsid w:val="002D56D3"/>
    <w:rsid w:val="002D606B"/>
    <w:rsid w:val="002D6683"/>
    <w:rsid w:val="002D6A64"/>
    <w:rsid w:val="002D6CF1"/>
    <w:rsid w:val="002D761D"/>
    <w:rsid w:val="002D790C"/>
    <w:rsid w:val="002D7E4F"/>
    <w:rsid w:val="002E0133"/>
    <w:rsid w:val="002E07E0"/>
    <w:rsid w:val="002E0976"/>
    <w:rsid w:val="002E120B"/>
    <w:rsid w:val="002E1B94"/>
    <w:rsid w:val="002E269E"/>
    <w:rsid w:val="002E2AEC"/>
    <w:rsid w:val="002E353D"/>
    <w:rsid w:val="002E36D4"/>
    <w:rsid w:val="002E3E09"/>
    <w:rsid w:val="002E492C"/>
    <w:rsid w:val="002E595C"/>
    <w:rsid w:val="002E5B78"/>
    <w:rsid w:val="002E5E0C"/>
    <w:rsid w:val="002F0DB2"/>
    <w:rsid w:val="002F1A48"/>
    <w:rsid w:val="002F2106"/>
    <w:rsid w:val="002F38B8"/>
    <w:rsid w:val="002F3A18"/>
    <w:rsid w:val="002F4CA7"/>
    <w:rsid w:val="002F4DCA"/>
    <w:rsid w:val="002F4E99"/>
    <w:rsid w:val="002F615D"/>
    <w:rsid w:val="002F6220"/>
    <w:rsid w:val="002F6466"/>
    <w:rsid w:val="002F7517"/>
    <w:rsid w:val="002F7EC8"/>
    <w:rsid w:val="00300A40"/>
    <w:rsid w:val="00300F69"/>
    <w:rsid w:val="003020CF"/>
    <w:rsid w:val="00302432"/>
    <w:rsid w:val="00303536"/>
    <w:rsid w:val="00307194"/>
    <w:rsid w:val="00307436"/>
    <w:rsid w:val="003074BD"/>
    <w:rsid w:val="00307713"/>
    <w:rsid w:val="00310C17"/>
    <w:rsid w:val="00310F64"/>
    <w:rsid w:val="003137F9"/>
    <w:rsid w:val="003166D5"/>
    <w:rsid w:val="00317313"/>
    <w:rsid w:val="0031789D"/>
    <w:rsid w:val="003179B5"/>
    <w:rsid w:val="003202A5"/>
    <w:rsid w:val="00321D61"/>
    <w:rsid w:val="00322552"/>
    <w:rsid w:val="00322C3E"/>
    <w:rsid w:val="00322FD3"/>
    <w:rsid w:val="00323378"/>
    <w:rsid w:val="0032349C"/>
    <w:rsid w:val="0032398E"/>
    <w:rsid w:val="00324696"/>
    <w:rsid w:val="003249D3"/>
    <w:rsid w:val="003251DB"/>
    <w:rsid w:val="003277F0"/>
    <w:rsid w:val="0032785E"/>
    <w:rsid w:val="00327E77"/>
    <w:rsid w:val="00330618"/>
    <w:rsid w:val="00330E24"/>
    <w:rsid w:val="00330F8B"/>
    <w:rsid w:val="00332062"/>
    <w:rsid w:val="00332F82"/>
    <w:rsid w:val="003350C1"/>
    <w:rsid w:val="003353E2"/>
    <w:rsid w:val="0033678A"/>
    <w:rsid w:val="00336B17"/>
    <w:rsid w:val="00336C9A"/>
    <w:rsid w:val="00336D60"/>
    <w:rsid w:val="00336EEE"/>
    <w:rsid w:val="00340425"/>
    <w:rsid w:val="00340683"/>
    <w:rsid w:val="0034134A"/>
    <w:rsid w:val="00341FB0"/>
    <w:rsid w:val="003437A5"/>
    <w:rsid w:val="00347292"/>
    <w:rsid w:val="00347770"/>
    <w:rsid w:val="00347ECC"/>
    <w:rsid w:val="00350802"/>
    <w:rsid w:val="00350F76"/>
    <w:rsid w:val="00352461"/>
    <w:rsid w:val="00354393"/>
    <w:rsid w:val="00354819"/>
    <w:rsid w:val="00355D0D"/>
    <w:rsid w:val="003566EC"/>
    <w:rsid w:val="00356C11"/>
    <w:rsid w:val="00356D1C"/>
    <w:rsid w:val="003570EF"/>
    <w:rsid w:val="0035734C"/>
    <w:rsid w:val="00357FFA"/>
    <w:rsid w:val="00360FB5"/>
    <w:rsid w:val="00361CA0"/>
    <w:rsid w:val="003625D2"/>
    <w:rsid w:val="003628A6"/>
    <w:rsid w:val="003633C7"/>
    <w:rsid w:val="00363A3B"/>
    <w:rsid w:val="00363CA6"/>
    <w:rsid w:val="00364062"/>
    <w:rsid w:val="003643A0"/>
    <w:rsid w:val="00364BA6"/>
    <w:rsid w:val="00365162"/>
    <w:rsid w:val="003658BC"/>
    <w:rsid w:val="00365F41"/>
    <w:rsid w:val="00367567"/>
    <w:rsid w:val="00370B3B"/>
    <w:rsid w:val="00370DD1"/>
    <w:rsid w:val="003712AD"/>
    <w:rsid w:val="00372AC9"/>
    <w:rsid w:val="00373CC3"/>
    <w:rsid w:val="003746CD"/>
    <w:rsid w:val="00375CCC"/>
    <w:rsid w:val="003761CB"/>
    <w:rsid w:val="00376244"/>
    <w:rsid w:val="00376879"/>
    <w:rsid w:val="00377461"/>
    <w:rsid w:val="003777DA"/>
    <w:rsid w:val="00377AE5"/>
    <w:rsid w:val="003815E0"/>
    <w:rsid w:val="0038166E"/>
    <w:rsid w:val="003817C3"/>
    <w:rsid w:val="00381AE5"/>
    <w:rsid w:val="003821B6"/>
    <w:rsid w:val="00382C55"/>
    <w:rsid w:val="00384D23"/>
    <w:rsid w:val="00384DAD"/>
    <w:rsid w:val="00386B93"/>
    <w:rsid w:val="00386EE8"/>
    <w:rsid w:val="00390CF5"/>
    <w:rsid w:val="00391138"/>
    <w:rsid w:val="0039371C"/>
    <w:rsid w:val="00393ACC"/>
    <w:rsid w:val="0039590C"/>
    <w:rsid w:val="0039636E"/>
    <w:rsid w:val="00396CA5"/>
    <w:rsid w:val="003A009A"/>
    <w:rsid w:val="003A2003"/>
    <w:rsid w:val="003A2837"/>
    <w:rsid w:val="003A35F1"/>
    <w:rsid w:val="003A388E"/>
    <w:rsid w:val="003A3F6D"/>
    <w:rsid w:val="003A4887"/>
    <w:rsid w:val="003A5A13"/>
    <w:rsid w:val="003A5EDE"/>
    <w:rsid w:val="003A6D97"/>
    <w:rsid w:val="003A72E0"/>
    <w:rsid w:val="003A735E"/>
    <w:rsid w:val="003A7984"/>
    <w:rsid w:val="003A7E2A"/>
    <w:rsid w:val="003A7E3B"/>
    <w:rsid w:val="003B0662"/>
    <w:rsid w:val="003B07BC"/>
    <w:rsid w:val="003B1BB3"/>
    <w:rsid w:val="003B2145"/>
    <w:rsid w:val="003B2F27"/>
    <w:rsid w:val="003B4AB2"/>
    <w:rsid w:val="003B4BAD"/>
    <w:rsid w:val="003B6CC2"/>
    <w:rsid w:val="003B7001"/>
    <w:rsid w:val="003B7B94"/>
    <w:rsid w:val="003C0B5A"/>
    <w:rsid w:val="003C0BB0"/>
    <w:rsid w:val="003C22BB"/>
    <w:rsid w:val="003C31F1"/>
    <w:rsid w:val="003C367F"/>
    <w:rsid w:val="003C37EE"/>
    <w:rsid w:val="003C3FE6"/>
    <w:rsid w:val="003C6891"/>
    <w:rsid w:val="003C6BEB"/>
    <w:rsid w:val="003C6D15"/>
    <w:rsid w:val="003D0657"/>
    <w:rsid w:val="003D0758"/>
    <w:rsid w:val="003D1383"/>
    <w:rsid w:val="003D13E0"/>
    <w:rsid w:val="003D22A3"/>
    <w:rsid w:val="003D3336"/>
    <w:rsid w:val="003D3519"/>
    <w:rsid w:val="003D4623"/>
    <w:rsid w:val="003D4CA4"/>
    <w:rsid w:val="003D5200"/>
    <w:rsid w:val="003D6386"/>
    <w:rsid w:val="003D652A"/>
    <w:rsid w:val="003D681A"/>
    <w:rsid w:val="003D6F1D"/>
    <w:rsid w:val="003D7293"/>
    <w:rsid w:val="003D737F"/>
    <w:rsid w:val="003D73FB"/>
    <w:rsid w:val="003D7B54"/>
    <w:rsid w:val="003E0AD6"/>
    <w:rsid w:val="003E0EB1"/>
    <w:rsid w:val="003E0F2B"/>
    <w:rsid w:val="003E1156"/>
    <w:rsid w:val="003E15DD"/>
    <w:rsid w:val="003E1858"/>
    <w:rsid w:val="003E19BA"/>
    <w:rsid w:val="003E2854"/>
    <w:rsid w:val="003E3CAD"/>
    <w:rsid w:val="003E53D7"/>
    <w:rsid w:val="003E57B9"/>
    <w:rsid w:val="003E661A"/>
    <w:rsid w:val="003E6D19"/>
    <w:rsid w:val="003E7FB9"/>
    <w:rsid w:val="003F0FCC"/>
    <w:rsid w:val="003F1075"/>
    <w:rsid w:val="003F1D75"/>
    <w:rsid w:val="003F35FE"/>
    <w:rsid w:val="003F447D"/>
    <w:rsid w:val="003F4670"/>
    <w:rsid w:val="003F4C46"/>
    <w:rsid w:val="003F5581"/>
    <w:rsid w:val="003F64F8"/>
    <w:rsid w:val="003F7581"/>
    <w:rsid w:val="003F7BF1"/>
    <w:rsid w:val="00400ED7"/>
    <w:rsid w:val="0040162C"/>
    <w:rsid w:val="00402525"/>
    <w:rsid w:val="00402B4C"/>
    <w:rsid w:val="004030B8"/>
    <w:rsid w:val="00403C78"/>
    <w:rsid w:val="00405282"/>
    <w:rsid w:val="0040620D"/>
    <w:rsid w:val="00407F17"/>
    <w:rsid w:val="0041186B"/>
    <w:rsid w:val="00411C68"/>
    <w:rsid w:val="0041228F"/>
    <w:rsid w:val="004129A6"/>
    <w:rsid w:val="004133B2"/>
    <w:rsid w:val="00413709"/>
    <w:rsid w:val="00415C98"/>
    <w:rsid w:val="00415FB8"/>
    <w:rsid w:val="004161B6"/>
    <w:rsid w:val="004161D9"/>
    <w:rsid w:val="00416FDB"/>
    <w:rsid w:val="00417DBE"/>
    <w:rsid w:val="0042004B"/>
    <w:rsid w:val="00421589"/>
    <w:rsid w:val="00422649"/>
    <w:rsid w:val="004226B9"/>
    <w:rsid w:val="00422786"/>
    <w:rsid w:val="00422C60"/>
    <w:rsid w:val="00423423"/>
    <w:rsid w:val="00423B90"/>
    <w:rsid w:val="00424C51"/>
    <w:rsid w:val="00425191"/>
    <w:rsid w:val="004254E7"/>
    <w:rsid w:val="00425E81"/>
    <w:rsid w:val="00425EBE"/>
    <w:rsid w:val="00427500"/>
    <w:rsid w:val="004313E2"/>
    <w:rsid w:val="0043156B"/>
    <w:rsid w:val="00431F2A"/>
    <w:rsid w:val="004321BA"/>
    <w:rsid w:val="00433387"/>
    <w:rsid w:val="0043359B"/>
    <w:rsid w:val="00435705"/>
    <w:rsid w:val="00436A06"/>
    <w:rsid w:val="0043724E"/>
    <w:rsid w:val="00440AE7"/>
    <w:rsid w:val="00441A59"/>
    <w:rsid w:val="00442A23"/>
    <w:rsid w:val="00442A82"/>
    <w:rsid w:val="00442ED5"/>
    <w:rsid w:val="004435E7"/>
    <w:rsid w:val="004438E8"/>
    <w:rsid w:val="00444BAF"/>
    <w:rsid w:val="00444FE2"/>
    <w:rsid w:val="0044717F"/>
    <w:rsid w:val="004505AA"/>
    <w:rsid w:val="004509D7"/>
    <w:rsid w:val="004529E6"/>
    <w:rsid w:val="00454733"/>
    <w:rsid w:val="00455776"/>
    <w:rsid w:val="0045684D"/>
    <w:rsid w:val="0046022C"/>
    <w:rsid w:val="004604AB"/>
    <w:rsid w:val="00460B1B"/>
    <w:rsid w:val="0046113B"/>
    <w:rsid w:val="00461F82"/>
    <w:rsid w:val="00462047"/>
    <w:rsid w:val="00465BFD"/>
    <w:rsid w:val="004664F6"/>
    <w:rsid w:val="00466FC6"/>
    <w:rsid w:val="004673AE"/>
    <w:rsid w:val="00467472"/>
    <w:rsid w:val="00467A58"/>
    <w:rsid w:val="0047058A"/>
    <w:rsid w:val="00470E02"/>
    <w:rsid w:val="00471710"/>
    <w:rsid w:val="00471EFB"/>
    <w:rsid w:val="0047315C"/>
    <w:rsid w:val="004736F7"/>
    <w:rsid w:val="00474270"/>
    <w:rsid w:val="004749FF"/>
    <w:rsid w:val="00474E67"/>
    <w:rsid w:val="0047510C"/>
    <w:rsid w:val="00475C32"/>
    <w:rsid w:val="0047636E"/>
    <w:rsid w:val="00477BE9"/>
    <w:rsid w:val="004801AE"/>
    <w:rsid w:val="00480773"/>
    <w:rsid w:val="00481343"/>
    <w:rsid w:val="00482ABB"/>
    <w:rsid w:val="0048383B"/>
    <w:rsid w:val="00483FBF"/>
    <w:rsid w:val="00484EE1"/>
    <w:rsid w:val="004855F9"/>
    <w:rsid w:val="00485C02"/>
    <w:rsid w:val="00486D54"/>
    <w:rsid w:val="004875EC"/>
    <w:rsid w:val="00491C14"/>
    <w:rsid w:val="00492030"/>
    <w:rsid w:val="00492E1F"/>
    <w:rsid w:val="00492E66"/>
    <w:rsid w:val="004937E5"/>
    <w:rsid w:val="0049408D"/>
    <w:rsid w:val="0049492C"/>
    <w:rsid w:val="00494CF9"/>
    <w:rsid w:val="00495A78"/>
    <w:rsid w:val="004A0406"/>
    <w:rsid w:val="004A1173"/>
    <w:rsid w:val="004A1709"/>
    <w:rsid w:val="004A1F91"/>
    <w:rsid w:val="004A2F03"/>
    <w:rsid w:val="004A2F39"/>
    <w:rsid w:val="004A3AE0"/>
    <w:rsid w:val="004A5008"/>
    <w:rsid w:val="004B01D8"/>
    <w:rsid w:val="004B0A52"/>
    <w:rsid w:val="004B10BB"/>
    <w:rsid w:val="004B1B54"/>
    <w:rsid w:val="004B2089"/>
    <w:rsid w:val="004B3228"/>
    <w:rsid w:val="004B662F"/>
    <w:rsid w:val="004B6D6A"/>
    <w:rsid w:val="004C0924"/>
    <w:rsid w:val="004C1855"/>
    <w:rsid w:val="004C19C0"/>
    <w:rsid w:val="004C2794"/>
    <w:rsid w:val="004C28AD"/>
    <w:rsid w:val="004C3790"/>
    <w:rsid w:val="004C3904"/>
    <w:rsid w:val="004C4785"/>
    <w:rsid w:val="004C530B"/>
    <w:rsid w:val="004C541E"/>
    <w:rsid w:val="004C5ED3"/>
    <w:rsid w:val="004C7180"/>
    <w:rsid w:val="004D075D"/>
    <w:rsid w:val="004D207E"/>
    <w:rsid w:val="004D25DC"/>
    <w:rsid w:val="004D4961"/>
    <w:rsid w:val="004D4AF4"/>
    <w:rsid w:val="004D4DFF"/>
    <w:rsid w:val="004D5C0D"/>
    <w:rsid w:val="004D635F"/>
    <w:rsid w:val="004D702C"/>
    <w:rsid w:val="004D71C8"/>
    <w:rsid w:val="004D7267"/>
    <w:rsid w:val="004D744C"/>
    <w:rsid w:val="004D7CCD"/>
    <w:rsid w:val="004E06C8"/>
    <w:rsid w:val="004E17E0"/>
    <w:rsid w:val="004E2C12"/>
    <w:rsid w:val="004E3557"/>
    <w:rsid w:val="004E40B5"/>
    <w:rsid w:val="004E4545"/>
    <w:rsid w:val="004E663F"/>
    <w:rsid w:val="004E6697"/>
    <w:rsid w:val="004E7B26"/>
    <w:rsid w:val="004E7C73"/>
    <w:rsid w:val="004F02EC"/>
    <w:rsid w:val="004F13BF"/>
    <w:rsid w:val="004F1870"/>
    <w:rsid w:val="004F33EE"/>
    <w:rsid w:val="004F3ADA"/>
    <w:rsid w:val="004F45A1"/>
    <w:rsid w:val="004F477D"/>
    <w:rsid w:val="004F5873"/>
    <w:rsid w:val="004F59B5"/>
    <w:rsid w:val="004F5D56"/>
    <w:rsid w:val="004F6D68"/>
    <w:rsid w:val="00500AC6"/>
    <w:rsid w:val="005012CE"/>
    <w:rsid w:val="00501F01"/>
    <w:rsid w:val="00504481"/>
    <w:rsid w:val="00505821"/>
    <w:rsid w:val="00506E0E"/>
    <w:rsid w:val="005076EC"/>
    <w:rsid w:val="005104BE"/>
    <w:rsid w:val="005116DC"/>
    <w:rsid w:val="0051172E"/>
    <w:rsid w:val="00511B5C"/>
    <w:rsid w:val="00511BA7"/>
    <w:rsid w:val="00511E0A"/>
    <w:rsid w:val="00511E18"/>
    <w:rsid w:val="00511E39"/>
    <w:rsid w:val="0051298D"/>
    <w:rsid w:val="005132A1"/>
    <w:rsid w:val="00513330"/>
    <w:rsid w:val="005139D9"/>
    <w:rsid w:val="005156E8"/>
    <w:rsid w:val="0051647D"/>
    <w:rsid w:val="005168C4"/>
    <w:rsid w:val="00516D8D"/>
    <w:rsid w:val="00521369"/>
    <w:rsid w:val="005217CC"/>
    <w:rsid w:val="0052214D"/>
    <w:rsid w:val="00522A97"/>
    <w:rsid w:val="00522DE1"/>
    <w:rsid w:val="00523D5F"/>
    <w:rsid w:val="00523F64"/>
    <w:rsid w:val="00524437"/>
    <w:rsid w:val="005248FA"/>
    <w:rsid w:val="005252CE"/>
    <w:rsid w:val="00525A1C"/>
    <w:rsid w:val="00525F09"/>
    <w:rsid w:val="0052629A"/>
    <w:rsid w:val="005279FD"/>
    <w:rsid w:val="0053017E"/>
    <w:rsid w:val="0053146A"/>
    <w:rsid w:val="00532391"/>
    <w:rsid w:val="005324A7"/>
    <w:rsid w:val="005328EC"/>
    <w:rsid w:val="00532D99"/>
    <w:rsid w:val="00533A72"/>
    <w:rsid w:val="005350FA"/>
    <w:rsid w:val="00535422"/>
    <w:rsid w:val="005355BE"/>
    <w:rsid w:val="00536321"/>
    <w:rsid w:val="00536F9A"/>
    <w:rsid w:val="00537005"/>
    <w:rsid w:val="005376EE"/>
    <w:rsid w:val="00541608"/>
    <w:rsid w:val="00541682"/>
    <w:rsid w:val="0054393E"/>
    <w:rsid w:val="00543A69"/>
    <w:rsid w:val="00544418"/>
    <w:rsid w:val="005445A6"/>
    <w:rsid w:val="005457E3"/>
    <w:rsid w:val="00545C08"/>
    <w:rsid w:val="00545C9B"/>
    <w:rsid w:val="005463BC"/>
    <w:rsid w:val="00546E26"/>
    <w:rsid w:val="00547723"/>
    <w:rsid w:val="00547B66"/>
    <w:rsid w:val="00550F37"/>
    <w:rsid w:val="00551705"/>
    <w:rsid w:val="0055380B"/>
    <w:rsid w:val="00553C1D"/>
    <w:rsid w:val="0055445D"/>
    <w:rsid w:val="0055466A"/>
    <w:rsid w:val="00555B7A"/>
    <w:rsid w:val="005572E2"/>
    <w:rsid w:val="0055791F"/>
    <w:rsid w:val="00557EE2"/>
    <w:rsid w:val="00557F9E"/>
    <w:rsid w:val="0056041A"/>
    <w:rsid w:val="00561E49"/>
    <w:rsid w:val="00562A1D"/>
    <w:rsid w:val="0056412A"/>
    <w:rsid w:val="00564B67"/>
    <w:rsid w:val="00566B0A"/>
    <w:rsid w:val="005670E6"/>
    <w:rsid w:val="00567CAD"/>
    <w:rsid w:val="00571A4C"/>
    <w:rsid w:val="00571BCF"/>
    <w:rsid w:val="005724B3"/>
    <w:rsid w:val="005727E1"/>
    <w:rsid w:val="005729F0"/>
    <w:rsid w:val="00573485"/>
    <w:rsid w:val="00574998"/>
    <w:rsid w:val="005755E8"/>
    <w:rsid w:val="00575B91"/>
    <w:rsid w:val="00575FB1"/>
    <w:rsid w:val="0057665B"/>
    <w:rsid w:val="005802CB"/>
    <w:rsid w:val="00580413"/>
    <w:rsid w:val="00583B63"/>
    <w:rsid w:val="00583CCC"/>
    <w:rsid w:val="005842DD"/>
    <w:rsid w:val="00584875"/>
    <w:rsid w:val="0058501A"/>
    <w:rsid w:val="005850B9"/>
    <w:rsid w:val="0058598E"/>
    <w:rsid w:val="00586144"/>
    <w:rsid w:val="00586E63"/>
    <w:rsid w:val="005875A7"/>
    <w:rsid w:val="005900E5"/>
    <w:rsid w:val="0059037D"/>
    <w:rsid w:val="00593499"/>
    <w:rsid w:val="00594B61"/>
    <w:rsid w:val="00596518"/>
    <w:rsid w:val="0059653D"/>
    <w:rsid w:val="00596F87"/>
    <w:rsid w:val="00597332"/>
    <w:rsid w:val="00597680"/>
    <w:rsid w:val="005977C8"/>
    <w:rsid w:val="00597E37"/>
    <w:rsid w:val="005A0164"/>
    <w:rsid w:val="005A0CA5"/>
    <w:rsid w:val="005A1563"/>
    <w:rsid w:val="005A18EF"/>
    <w:rsid w:val="005A1D23"/>
    <w:rsid w:val="005A231D"/>
    <w:rsid w:val="005A23A8"/>
    <w:rsid w:val="005A28AD"/>
    <w:rsid w:val="005A310A"/>
    <w:rsid w:val="005A40A7"/>
    <w:rsid w:val="005A46E8"/>
    <w:rsid w:val="005A7179"/>
    <w:rsid w:val="005A74A6"/>
    <w:rsid w:val="005A7E4B"/>
    <w:rsid w:val="005B0ABC"/>
    <w:rsid w:val="005B106D"/>
    <w:rsid w:val="005B1E07"/>
    <w:rsid w:val="005B2085"/>
    <w:rsid w:val="005B24BD"/>
    <w:rsid w:val="005B2960"/>
    <w:rsid w:val="005B3063"/>
    <w:rsid w:val="005B30CE"/>
    <w:rsid w:val="005B5381"/>
    <w:rsid w:val="005B6431"/>
    <w:rsid w:val="005B7EA4"/>
    <w:rsid w:val="005C076D"/>
    <w:rsid w:val="005C2DF7"/>
    <w:rsid w:val="005C327D"/>
    <w:rsid w:val="005C43E4"/>
    <w:rsid w:val="005C4D1D"/>
    <w:rsid w:val="005C51FB"/>
    <w:rsid w:val="005C54F3"/>
    <w:rsid w:val="005C56F0"/>
    <w:rsid w:val="005C5BE4"/>
    <w:rsid w:val="005C66F2"/>
    <w:rsid w:val="005D04C0"/>
    <w:rsid w:val="005D133B"/>
    <w:rsid w:val="005D17E4"/>
    <w:rsid w:val="005D2066"/>
    <w:rsid w:val="005D2127"/>
    <w:rsid w:val="005D2673"/>
    <w:rsid w:val="005D37AD"/>
    <w:rsid w:val="005D389E"/>
    <w:rsid w:val="005D4752"/>
    <w:rsid w:val="005D5963"/>
    <w:rsid w:val="005D640B"/>
    <w:rsid w:val="005D7F6A"/>
    <w:rsid w:val="005E12A8"/>
    <w:rsid w:val="005E1461"/>
    <w:rsid w:val="005E18D0"/>
    <w:rsid w:val="005E2598"/>
    <w:rsid w:val="005E288A"/>
    <w:rsid w:val="005E3535"/>
    <w:rsid w:val="005E38BD"/>
    <w:rsid w:val="005E395D"/>
    <w:rsid w:val="005E3D58"/>
    <w:rsid w:val="005E3DE9"/>
    <w:rsid w:val="005E5781"/>
    <w:rsid w:val="005E5F17"/>
    <w:rsid w:val="005E6FDD"/>
    <w:rsid w:val="005F06ED"/>
    <w:rsid w:val="005F0BB5"/>
    <w:rsid w:val="005F1A17"/>
    <w:rsid w:val="005F1DB9"/>
    <w:rsid w:val="005F2B57"/>
    <w:rsid w:val="005F2EF8"/>
    <w:rsid w:val="005F3160"/>
    <w:rsid w:val="005F3376"/>
    <w:rsid w:val="005F3676"/>
    <w:rsid w:val="005F37BB"/>
    <w:rsid w:val="005F380F"/>
    <w:rsid w:val="005F3D15"/>
    <w:rsid w:val="005F5149"/>
    <w:rsid w:val="005F539D"/>
    <w:rsid w:val="005F5D83"/>
    <w:rsid w:val="00601569"/>
    <w:rsid w:val="00601CEF"/>
    <w:rsid w:val="00602A1B"/>
    <w:rsid w:val="00602A4D"/>
    <w:rsid w:val="0060386B"/>
    <w:rsid w:val="00603E00"/>
    <w:rsid w:val="0060430C"/>
    <w:rsid w:val="00604F23"/>
    <w:rsid w:val="00605B64"/>
    <w:rsid w:val="00606006"/>
    <w:rsid w:val="00606126"/>
    <w:rsid w:val="0060656F"/>
    <w:rsid w:val="00607397"/>
    <w:rsid w:val="00610011"/>
    <w:rsid w:val="00610860"/>
    <w:rsid w:val="006108A1"/>
    <w:rsid w:val="00610A82"/>
    <w:rsid w:val="00612F09"/>
    <w:rsid w:val="00613C79"/>
    <w:rsid w:val="00614D73"/>
    <w:rsid w:val="0061611E"/>
    <w:rsid w:val="00616EA2"/>
    <w:rsid w:val="0062080F"/>
    <w:rsid w:val="00620AD0"/>
    <w:rsid w:val="00620E52"/>
    <w:rsid w:val="00621484"/>
    <w:rsid w:val="00622130"/>
    <w:rsid w:val="00623413"/>
    <w:rsid w:val="00624320"/>
    <w:rsid w:val="00624820"/>
    <w:rsid w:val="00624B97"/>
    <w:rsid w:val="0062654B"/>
    <w:rsid w:val="00626E28"/>
    <w:rsid w:val="00626F68"/>
    <w:rsid w:val="00630F84"/>
    <w:rsid w:val="00631E03"/>
    <w:rsid w:val="00632715"/>
    <w:rsid w:val="006366FA"/>
    <w:rsid w:val="00637342"/>
    <w:rsid w:val="00640FDC"/>
    <w:rsid w:val="00641B47"/>
    <w:rsid w:val="00641B67"/>
    <w:rsid w:val="00641C53"/>
    <w:rsid w:val="006422F1"/>
    <w:rsid w:val="0064274B"/>
    <w:rsid w:val="00642F2C"/>
    <w:rsid w:val="006432B0"/>
    <w:rsid w:val="006440C5"/>
    <w:rsid w:val="00644329"/>
    <w:rsid w:val="00644A1D"/>
    <w:rsid w:val="006454CA"/>
    <w:rsid w:val="006460F2"/>
    <w:rsid w:val="00646844"/>
    <w:rsid w:val="0064687B"/>
    <w:rsid w:val="00646ADB"/>
    <w:rsid w:val="00647118"/>
    <w:rsid w:val="00650605"/>
    <w:rsid w:val="006508BC"/>
    <w:rsid w:val="00650F6A"/>
    <w:rsid w:val="006511FD"/>
    <w:rsid w:val="00651713"/>
    <w:rsid w:val="00651FEC"/>
    <w:rsid w:val="00653F78"/>
    <w:rsid w:val="006548D2"/>
    <w:rsid w:val="00655FC5"/>
    <w:rsid w:val="0065716A"/>
    <w:rsid w:val="0065749F"/>
    <w:rsid w:val="0066089E"/>
    <w:rsid w:val="00660DA7"/>
    <w:rsid w:val="00662309"/>
    <w:rsid w:val="00662793"/>
    <w:rsid w:val="00662D0B"/>
    <w:rsid w:val="0066558B"/>
    <w:rsid w:val="00665F65"/>
    <w:rsid w:val="006661AD"/>
    <w:rsid w:val="006665BE"/>
    <w:rsid w:val="00666A0D"/>
    <w:rsid w:val="00666D3F"/>
    <w:rsid w:val="00667D1C"/>
    <w:rsid w:val="00667D6C"/>
    <w:rsid w:val="00670D3B"/>
    <w:rsid w:val="00672398"/>
    <w:rsid w:val="00672FE3"/>
    <w:rsid w:val="00674329"/>
    <w:rsid w:val="00674F29"/>
    <w:rsid w:val="0067541A"/>
    <w:rsid w:val="0067561E"/>
    <w:rsid w:val="006757B5"/>
    <w:rsid w:val="00675DC4"/>
    <w:rsid w:val="006778FA"/>
    <w:rsid w:val="006800F4"/>
    <w:rsid w:val="0068030A"/>
    <w:rsid w:val="00680F6A"/>
    <w:rsid w:val="0068226A"/>
    <w:rsid w:val="00682B4E"/>
    <w:rsid w:val="00682C49"/>
    <w:rsid w:val="006841DD"/>
    <w:rsid w:val="00684737"/>
    <w:rsid w:val="00684CC0"/>
    <w:rsid w:val="00685B0F"/>
    <w:rsid w:val="00687C42"/>
    <w:rsid w:val="006902DB"/>
    <w:rsid w:val="00690953"/>
    <w:rsid w:val="00690C72"/>
    <w:rsid w:val="00691513"/>
    <w:rsid w:val="006915B0"/>
    <w:rsid w:val="00691774"/>
    <w:rsid w:val="00691B5F"/>
    <w:rsid w:val="006929DF"/>
    <w:rsid w:val="00692EA2"/>
    <w:rsid w:val="00693A4F"/>
    <w:rsid w:val="00693F89"/>
    <w:rsid w:val="00695474"/>
    <w:rsid w:val="0069655D"/>
    <w:rsid w:val="006970EA"/>
    <w:rsid w:val="00697E69"/>
    <w:rsid w:val="006A158A"/>
    <w:rsid w:val="006A15A0"/>
    <w:rsid w:val="006A1F3C"/>
    <w:rsid w:val="006A3B00"/>
    <w:rsid w:val="006A3F3E"/>
    <w:rsid w:val="006A48F6"/>
    <w:rsid w:val="006A4BDC"/>
    <w:rsid w:val="006A4CA9"/>
    <w:rsid w:val="006A553C"/>
    <w:rsid w:val="006A59E0"/>
    <w:rsid w:val="006A6657"/>
    <w:rsid w:val="006A6AA5"/>
    <w:rsid w:val="006A6E0F"/>
    <w:rsid w:val="006B02B5"/>
    <w:rsid w:val="006B16EA"/>
    <w:rsid w:val="006B194B"/>
    <w:rsid w:val="006B1C8B"/>
    <w:rsid w:val="006B1F1B"/>
    <w:rsid w:val="006B2765"/>
    <w:rsid w:val="006B2A65"/>
    <w:rsid w:val="006B2A66"/>
    <w:rsid w:val="006B304E"/>
    <w:rsid w:val="006B317C"/>
    <w:rsid w:val="006B350B"/>
    <w:rsid w:val="006B364F"/>
    <w:rsid w:val="006B4344"/>
    <w:rsid w:val="006B44A5"/>
    <w:rsid w:val="006B4943"/>
    <w:rsid w:val="006B4F15"/>
    <w:rsid w:val="006B516E"/>
    <w:rsid w:val="006B592C"/>
    <w:rsid w:val="006B660F"/>
    <w:rsid w:val="006B6C90"/>
    <w:rsid w:val="006B703E"/>
    <w:rsid w:val="006B70CB"/>
    <w:rsid w:val="006B7118"/>
    <w:rsid w:val="006B742A"/>
    <w:rsid w:val="006B7612"/>
    <w:rsid w:val="006B7923"/>
    <w:rsid w:val="006C007E"/>
    <w:rsid w:val="006C034E"/>
    <w:rsid w:val="006C0C6D"/>
    <w:rsid w:val="006C0F44"/>
    <w:rsid w:val="006C189C"/>
    <w:rsid w:val="006C2D62"/>
    <w:rsid w:val="006C3029"/>
    <w:rsid w:val="006C3340"/>
    <w:rsid w:val="006C3546"/>
    <w:rsid w:val="006C3FBE"/>
    <w:rsid w:val="006C412A"/>
    <w:rsid w:val="006C4DDB"/>
    <w:rsid w:val="006C53BD"/>
    <w:rsid w:val="006C5B01"/>
    <w:rsid w:val="006C6CAE"/>
    <w:rsid w:val="006C7A11"/>
    <w:rsid w:val="006C7E0F"/>
    <w:rsid w:val="006D1176"/>
    <w:rsid w:val="006D2286"/>
    <w:rsid w:val="006D24AA"/>
    <w:rsid w:val="006D2639"/>
    <w:rsid w:val="006D2C13"/>
    <w:rsid w:val="006D4680"/>
    <w:rsid w:val="006D48A6"/>
    <w:rsid w:val="006D546B"/>
    <w:rsid w:val="006D6313"/>
    <w:rsid w:val="006D752D"/>
    <w:rsid w:val="006D7E27"/>
    <w:rsid w:val="006E094D"/>
    <w:rsid w:val="006E19C0"/>
    <w:rsid w:val="006E1F4B"/>
    <w:rsid w:val="006E2780"/>
    <w:rsid w:val="006E288B"/>
    <w:rsid w:val="006E3226"/>
    <w:rsid w:val="006E37ED"/>
    <w:rsid w:val="006E4C7A"/>
    <w:rsid w:val="006E4E5C"/>
    <w:rsid w:val="006E5786"/>
    <w:rsid w:val="006E6147"/>
    <w:rsid w:val="006E6358"/>
    <w:rsid w:val="006E6868"/>
    <w:rsid w:val="006E6DEE"/>
    <w:rsid w:val="006E7056"/>
    <w:rsid w:val="006E73DA"/>
    <w:rsid w:val="006E7925"/>
    <w:rsid w:val="006F1564"/>
    <w:rsid w:val="006F20DD"/>
    <w:rsid w:val="006F2588"/>
    <w:rsid w:val="006F2838"/>
    <w:rsid w:val="006F2D64"/>
    <w:rsid w:val="006F2FE7"/>
    <w:rsid w:val="006F4302"/>
    <w:rsid w:val="006F4DAF"/>
    <w:rsid w:val="006F51D9"/>
    <w:rsid w:val="006F5AE2"/>
    <w:rsid w:val="006F6B4F"/>
    <w:rsid w:val="006F7340"/>
    <w:rsid w:val="006F7645"/>
    <w:rsid w:val="006F7F4B"/>
    <w:rsid w:val="00701108"/>
    <w:rsid w:val="0070180D"/>
    <w:rsid w:val="00704ECF"/>
    <w:rsid w:val="00705234"/>
    <w:rsid w:val="00705357"/>
    <w:rsid w:val="00710C10"/>
    <w:rsid w:val="00711B8A"/>
    <w:rsid w:val="007126E6"/>
    <w:rsid w:val="0071330A"/>
    <w:rsid w:val="00713345"/>
    <w:rsid w:val="00714DD8"/>
    <w:rsid w:val="00715074"/>
    <w:rsid w:val="007154AE"/>
    <w:rsid w:val="00717ACE"/>
    <w:rsid w:val="007210E5"/>
    <w:rsid w:val="00721DDB"/>
    <w:rsid w:val="00721ECA"/>
    <w:rsid w:val="00721ED1"/>
    <w:rsid w:val="007235CD"/>
    <w:rsid w:val="007240D9"/>
    <w:rsid w:val="0072421E"/>
    <w:rsid w:val="00724A61"/>
    <w:rsid w:val="00725DB9"/>
    <w:rsid w:val="00726527"/>
    <w:rsid w:val="007302DB"/>
    <w:rsid w:val="00731B6E"/>
    <w:rsid w:val="00732E59"/>
    <w:rsid w:val="0073392F"/>
    <w:rsid w:val="007342DE"/>
    <w:rsid w:val="0073490D"/>
    <w:rsid w:val="007349D7"/>
    <w:rsid w:val="007358C0"/>
    <w:rsid w:val="00735B73"/>
    <w:rsid w:val="00736CC0"/>
    <w:rsid w:val="00737354"/>
    <w:rsid w:val="0073768D"/>
    <w:rsid w:val="00741B3C"/>
    <w:rsid w:val="00742357"/>
    <w:rsid w:val="00742DD5"/>
    <w:rsid w:val="00742EB0"/>
    <w:rsid w:val="0074397F"/>
    <w:rsid w:val="00743BBB"/>
    <w:rsid w:val="00743F59"/>
    <w:rsid w:val="00744113"/>
    <w:rsid w:val="00745C5B"/>
    <w:rsid w:val="00745D49"/>
    <w:rsid w:val="0074627E"/>
    <w:rsid w:val="00747152"/>
    <w:rsid w:val="0075037D"/>
    <w:rsid w:val="007516D0"/>
    <w:rsid w:val="007527D8"/>
    <w:rsid w:val="00752A99"/>
    <w:rsid w:val="00752AFD"/>
    <w:rsid w:val="00755041"/>
    <w:rsid w:val="0075546A"/>
    <w:rsid w:val="007555D3"/>
    <w:rsid w:val="00756402"/>
    <w:rsid w:val="00756793"/>
    <w:rsid w:val="00756B7E"/>
    <w:rsid w:val="00756FEF"/>
    <w:rsid w:val="00757499"/>
    <w:rsid w:val="00757812"/>
    <w:rsid w:val="00760997"/>
    <w:rsid w:val="00760A18"/>
    <w:rsid w:val="0076127F"/>
    <w:rsid w:val="0076143F"/>
    <w:rsid w:val="00762347"/>
    <w:rsid w:val="0076319D"/>
    <w:rsid w:val="007664F7"/>
    <w:rsid w:val="00766904"/>
    <w:rsid w:val="00766B58"/>
    <w:rsid w:val="00766B9C"/>
    <w:rsid w:val="007670D8"/>
    <w:rsid w:val="007675CD"/>
    <w:rsid w:val="00770AD4"/>
    <w:rsid w:val="00770C25"/>
    <w:rsid w:val="007717A7"/>
    <w:rsid w:val="00771FCF"/>
    <w:rsid w:val="0077208E"/>
    <w:rsid w:val="00772399"/>
    <w:rsid w:val="0077250C"/>
    <w:rsid w:val="00772595"/>
    <w:rsid w:val="00773557"/>
    <w:rsid w:val="0077363A"/>
    <w:rsid w:val="007736D1"/>
    <w:rsid w:val="00773F92"/>
    <w:rsid w:val="0077517F"/>
    <w:rsid w:val="00775A4B"/>
    <w:rsid w:val="0077689E"/>
    <w:rsid w:val="00777089"/>
    <w:rsid w:val="00777168"/>
    <w:rsid w:val="00777BFB"/>
    <w:rsid w:val="00777C79"/>
    <w:rsid w:val="00780AF0"/>
    <w:rsid w:val="00780CB9"/>
    <w:rsid w:val="00783306"/>
    <w:rsid w:val="00783423"/>
    <w:rsid w:val="00784034"/>
    <w:rsid w:val="00784204"/>
    <w:rsid w:val="007853EB"/>
    <w:rsid w:val="007877CC"/>
    <w:rsid w:val="00787A0F"/>
    <w:rsid w:val="007905CF"/>
    <w:rsid w:val="007905ED"/>
    <w:rsid w:val="00790681"/>
    <w:rsid w:val="007911FF"/>
    <w:rsid w:val="00792389"/>
    <w:rsid w:val="00792E6B"/>
    <w:rsid w:val="00792E83"/>
    <w:rsid w:val="00793CFE"/>
    <w:rsid w:val="00793EE6"/>
    <w:rsid w:val="00794140"/>
    <w:rsid w:val="00794812"/>
    <w:rsid w:val="00794EA6"/>
    <w:rsid w:val="007973B1"/>
    <w:rsid w:val="0079794E"/>
    <w:rsid w:val="00797DA9"/>
    <w:rsid w:val="007A00FE"/>
    <w:rsid w:val="007A109C"/>
    <w:rsid w:val="007A1A0A"/>
    <w:rsid w:val="007A1B97"/>
    <w:rsid w:val="007A259C"/>
    <w:rsid w:val="007A3EDF"/>
    <w:rsid w:val="007A51E6"/>
    <w:rsid w:val="007A5AC3"/>
    <w:rsid w:val="007A5D9F"/>
    <w:rsid w:val="007B071B"/>
    <w:rsid w:val="007B1D70"/>
    <w:rsid w:val="007B226B"/>
    <w:rsid w:val="007B29EF"/>
    <w:rsid w:val="007B35B1"/>
    <w:rsid w:val="007B39BA"/>
    <w:rsid w:val="007B3C36"/>
    <w:rsid w:val="007B4689"/>
    <w:rsid w:val="007B4FA7"/>
    <w:rsid w:val="007B53EA"/>
    <w:rsid w:val="007B63E0"/>
    <w:rsid w:val="007B652F"/>
    <w:rsid w:val="007B702E"/>
    <w:rsid w:val="007B7320"/>
    <w:rsid w:val="007C00CA"/>
    <w:rsid w:val="007C3482"/>
    <w:rsid w:val="007C4193"/>
    <w:rsid w:val="007C4F5B"/>
    <w:rsid w:val="007C5DEC"/>
    <w:rsid w:val="007C68F2"/>
    <w:rsid w:val="007C6B0D"/>
    <w:rsid w:val="007C76C8"/>
    <w:rsid w:val="007C792C"/>
    <w:rsid w:val="007D05C1"/>
    <w:rsid w:val="007D06EE"/>
    <w:rsid w:val="007D0EA3"/>
    <w:rsid w:val="007D19AA"/>
    <w:rsid w:val="007D220C"/>
    <w:rsid w:val="007D3F8A"/>
    <w:rsid w:val="007D5151"/>
    <w:rsid w:val="007D5DEE"/>
    <w:rsid w:val="007D6288"/>
    <w:rsid w:val="007D73F7"/>
    <w:rsid w:val="007E0279"/>
    <w:rsid w:val="007E14E3"/>
    <w:rsid w:val="007E2139"/>
    <w:rsid w:val="007E25FA"/>
    <w:rsid w:val="007E4EAB"/>
    <w:rsid w:val="007E510A"/>
    <w:rsid w:val="007E6097"/>
    <w:rsid w:val="007E68E6"/>
    <w:rsid w:val="007E6C5F"/>
    <w:rsid w:val="007F0EFC"/>
    <w:rsid w:val="007F0F5B"/>
    <w:rsid w:val="007F16D5"/>
    <w:rsid w:val="007F3D22"/>
    <w:rsid w:val="007F48FD"/>
    <w:rsid w:val="007F55E4"/>
    <w:rsid w:val="007F5801"/>
    <w:rsid w:val="007F5AA4"/>
    <w:rsid w:val="007F5DB9"/>
    <w:rsid w:val="007F5E66"/>
    <w:rsid w:val="007F7AE5"/>
    <w:rsid w:val="007F7F59"/>
    <w:rsid w:val="00800E1F"/>
    <w:rsid w:val="00801118"/>
    <w:rsid w:val="0080229D"/>
    <w:rsid w:val="00803298"/>
    <w:rsid w:val="00803D1A"/>
    <w:rsid w:val="0080417E"/>
    <w:rsid w:val="008042E0"/>
    <w:rsid w:val="00805784"/>
    <w:rsid w:val="00805D99"/>
    <w:rsid w:val="0080641D"/>
    <w:rsid w:val="008064CF"/>
    <w:rsid w:val="008066D9"/>
    <w:rsid w:val="00806EBE"/>
    <w:rsid w:val="0080761C"/>
    <w:rsid w:val="00807E35"/>
    <w:rsid w:val="008100D4"/>
    <w:rsid w:val="008105DF"/>
    <w:rsid w:val="00810B9C"/>
    <w:rsid w:val="00810D9F"/>
    <w:rsid w:val="00810E75"/>
    <w:rsid w:val="00811614"/>
    <w:rsid w:val="008116A8"/>
    <w:rsid w:val="00811B46"/>
    <w:rsid w:val="00811BEC"/>
    <w:rsid w:val="00812357"/>
    <w:rsid w:val="0081296E"/>
    <w:rsid w:val="00814797"/>
    <w:rsid w:val="00817CF5"/>
    <w:rsid w:val="00820A0B"/>
    <w:rsid w:val="0082106C"/>
    <w:rsid w:val="00821324"/>
    <w:rsid w:val="008214D9"/>
    <w:rsid w:val="008229A6"/>
    <w:rsid w:val="00823685"/>
    <w:rsid w:val="008236F1"/>
    <w:rsid w:val="0082392B"/>
    <w:rsid w:val="00824528"/>
    <w:rsid w:val="00825603"/>
    <w:rsid w:val="008261CD"/>
    <w:rsid w:val="00826AFB"/>
    <w:rsid w:val="00827804"/>
    <w:rsid w:val="00830B97"/>
    <w:rsid w:val="00832285"/>
    <w:rsid w:val="00832ABA"/>
    <w:rsid w:val="008332A7"/>
    <w:rsid w:val="00834526"/>
    <w:rsid w:val="0083505E"/>
    <w:rsid w:val="00835E8A"/>
    <w:rsid w:val="008367F4"/>
    <w:rsid w:val="008369BA"/>
    <w:rsid w:val="00840643"/>
    <w:rsid w:val="00840AFC"/>
    <w:rsid w:val="0084194F"/>
    <w:rsid w:val="00841F18"/>
    <w:rsid w:val="00842BF1"/>
    <w:rsid w:val="0084518F"/>
    <w:rsid w:val="00845CA8"/>
    <w:rsid w:val="008460C1"/>
    <w:rsid w:val="00847B52"/>
    <w:rsid w:val="00847E90"/>
    <w:rsid w:val="00850D6C"/>
    <w:rsid w:val="00852492"/>
    <w:rsid w:val="00852B5D"/>
    <w:rsid w:val="00853A4D"/>
    <w:rsid w:val="00853CD9"/>
    <w:rsid w:val="008548CE"/>
    <w:rsid w:val="008554F4"/>
    <w:rsid w:val="00857601"/>
    <w:rsid w:val="00857E8C"/>
    <w:rsid w:val="008604F9"/>
    <w:rsid w:val="008605C9"/>
    <w:rsid w:val="00860B93"/>
    <w:rsid w:val="00860D3D"/>
    <w:rsid w:val="00861BAD"/>
    <w:rsid w:val="00862D49"/>
    <w:rsid w:val="00862EF0"/>
    <w:rsid w:val="00864AB5"/>
    <w:rsid w:val="00864B86"/>
    <w:rsid w:val="00865138"/>
    <w:rsid w:val="00866263"/>
    <w:rsid w:val="008665EF"/>
    <w:rsid w:val="00867CFA"/>
    <w:rsid w:val="00867D5D"/>
    <w:rsid w:val="00870202"/>
    <w:rsid w:val="008702E6"/>
    <w:rsid w:val="00870706"/>
    <w:rsid w:val="00871E8C"/>
    <w:rsid w:val="00871F2D"/>
    <w:rsid w:val="00871F8E"/>
    <w:rsid w:val="0087213B"/>
    <w:rsid w:val="00872A57"/>
    <w:rsid w:val="0087363D"/>
    <w:rsid w:val="0087431D"/>
    <w:rsid w:val="008747FC"/>
    <w:rsid w:val="00875F6B"/>
    <w:rsid w:val="0087665E"/>
    <w:rsid w:val="00876DC8"/>
    <w:rsid w:val="008770B0"/>
    <w:rsid w:val="0087738E"/>
    <w:rsid w:val="00880461"/>
    <w:rsid w:val="00881EB9"/>
    <w:rsid w:val="0088214D"/>
    <w:rsid w:val="0088248E"/>
    <w:rsid w:val="00882C3B"/>
    <w:rsid w:val="00883BE5"/>
    <w:rsid w:val="00883FDF"/>
    <w:rsid w:val="00885030"/>
    <w:rsid w:val="0088569D"/>
    <w:rsid w:val="008859E9"/>
    <w:rsid w:val="00885E36"/>
    <w:rsid w:val="0088667D"/>
    <w:rsid w:val="00887651"/>
    <w:rsid w:val="008904B2"/>
    <w:rsid w:val="008937D6"/>
    <w:rsid w:val="008945CD"/>
    <w:rsid w:val="008953A0"/>
    <w:rsid w:val="0089553D"/>
    <w:rsid w:val="008959D5"/>
    <w:rsid w:val="00895C1C"/>
    <w:rsid w:val="00896090"/>
    <w:rsid w:val="008969BD"/>
    <w:rsid w:val="00896DF2"/>
    <w:rsid w:val="008A15BA"/>
    <w:rsid w:val="008A1809"/>
    <w:rsid w:val="008A1EA6"/>
    <w:rsid w:val="008A3199"/>
    <w:rsid w:val="008A394B"/>
    <w:rsid w:val="008A39CD"/>
    <w:rsid w:val="008A4182"/>
    <w:rsid w:val="008A42FD"/>
    <w:rsid w:val="008A4C64"/>
    <w:rsid w:val="008A4CF0"/>
    <w:rsid w:val="008A4F25"/>
    <w:rsid w:val="008A5E43"/>
    <w:rsid w:val="008A6551"/>
    <w:rsid w:val="008A6A36"/>
    <w:rsid w:val="008A71F7"/>
    <w:rsid w:val="008A771E"/>
    <w:rsid w:val="008B099A"/>
    <w:rsid w:val="008B1C45"/>
    <w:rsid w:val="008B1E68"/>
    <w:rsid w:val="008B224B"/>
    <w:rsid w:val="008B22A7"/>
    <w:rsid w:val="008B22E5"/>
    <w:rsid w:val="008B3221"/>
    <w:rsid w:val="008B3F09"/>
    <w:rsid w:val="008B43DD"/>
    <w:rsid w:val="008B43FE"/>
    <w:rsid w:val="008B478C"/>
    <w:rsid w:val="008B521B"/>
    <w:rsid w:val="008B57CB"/>
    <w:rsid w:val="008B5BB4"/>
    <w:rsid w:val="008B6043"/>
    <w:rsid w:val="008B63DF"/>
    <w:rsid w:val="008B72C3"/>
    <w:rsid w:val="008B73FD"/>
    <w:rsid w:val="008B7547"/>
    <w:rsid w:val="008B7AFD"/>
    <w:rsid w:val="008B7DCB"/>
    <w:rsid w:val="008C1755"/>
    <w:rsid w:val="008C1823"/>
    <w:rsid w:val="008C245E"/>
    <w:rsid w:val="008C312A"/>
    <w:rsid w:val="008C4252"/>
    <w:rsid w:val="008C4B63"/>
    <w:rsid w:val="008C5272"/>
    <w:rsid w:val="008C52C0"/>
    <w:rsid w:val="008C5D02"/>
    <w:rsid w:val="008C5E4C"/>
    <w:rsid w:val="008C6092"/>
    <w:rsid w:val="008C61DD"/>
    <w:rsid w:val="008C666B"/>
    <w:rsid w:val="008C681A"/>
    <w:rsid w:val="008C6A4E"/>
    <w:rsid w:val="008C6B66"/>
    <w:rsid w:val="008C7DDC"/>
    <w:rsid w:val="008C7F9D"/>
    <w:rsid w:val="008D0939"/>
    <w:rsid w:val="008D2A4D"/>
    <w:rsid w:val="008D33FF"/>
    <w:rsid w:val="008D365D"/>
    <w:rsid w:val="008D3E55"/>
    <w:rsid w:val="008D4377"/>
    <w:rsid w:val="008D4798"/>
    <w:rsid w:val="008D496B"/>
    <w:rsid w:val="008D4E99"/>
    <w:rsid w:val="008D54D8"/>
    <w:rsid w:val="008D54E5"/>
    <w:rsid w:val="008D58C8"/>
    <w:rsid w:val="008D6BA9"/>
    <w:rsid w:val="008D6F62"/>
    <w:rsid w:val="008D75AB"/>
    <w:rsid w:val="008D77DF"/>
    <w:rsid w:val="008D7EEE"/>
    <w:rsid w:val="008E0685"/>
    <w:rsid w:val="008E0DD2"/>
    <w:rsid w:val="008E1F6D"/>
    <w:rsid w:val="008E238A"/>
    <w:rsid w:val="008E2AF9"/>
    <w:rsid w:val="008E2B74"/>
    <w:rsid w:val="008E334E"/>
    <w:rsid w:val="008E35B6"/>
    <w:rsid w:val="008E3791"/>
    <w:rsid w:val="008E3941"/>
    <w:rsid w:val="008E39F3"/>
    <w:rsid w:val="008E4B7C"/>
    <w:rsid w:val="008E5177"/>
    <w:rsid w:val="008E53AA"/>
    <w:rsid w:val="008E5840"/>
    <w:rsid w:val="008E5C2B"/>
    <w:rsid w:val="008E5DFD"/>
    <w:rsid w:val="008E64EC"/>
    <w:rsid w:val="008E750F"/>
    <w:rsid w:val="008E79E4"/>
    <w:rsid w:val="008F0B82"/>
    <w:rsid w:val="008F4303"/>
    <w:rsid w:val="008F49B8"/>
    <w:rsid w:val="008F6C46"/>
    <w:rsid w:val="008F7E94"/>
    <w:rsid w:val="00900A8B"/>
    <w:rsid w:val="0090141F"/>
    <w:rsid w:val="009016C9"/>
    <w:rsid w:val="00901E41"/>
    <w:rsid w:val="00902215"/>
    <w:rsid w:val="00903A3D"/>
    <w:rsid w:val="00905897"/>
    <w:rsid w:val="00906282"/>
    <w:rsid w:val="0090683C"/>
    <w:rsid w:val="0090777D"/>
    <w:rsid w:val="009115EE"/>
    <w:rsid w:val="00911A26"/>
    <w:rsid w:val="00912631"/>
    <w:rsid w:val="00913B60"/>
    <w:rsid w:val="00914DF7"/>
    <w:rsid w:val="0091569E"/>
    <w:rsid w:val="00915D42"/>
    <w:rsid w:val="00916CEA"/>
    <w:rsid w:val="00920452"/>
    <w:rsid w:val="00920927"/>
    <w:rsid w:val="00920987"/>
    <w:rsid w:val="00921344"/>
    <w:rsid w:val="0092175C"/>
    <w:rsid w:val="00921AC8"/>
    <w:rsid w:val="009244AC"/>
    <w:rsid w:val="0092507A"/>
    <w:rsid w:val="0092534D"/>
    <w:rsid w:val="00925508"/>
    <w:rsid w:val="009256CC"/>
    <w:rsid w:val="009265E5"/>
    <w:rsid w:val="00927110"/>
    <w:rsid w:val="00927193"/>
    <w:rsid w:val="00930023"/>
    <w:rsid w:val="009303D5"/>
    <w:rsid w:val="00930878"/>
    <w:rsid w:val="0093124A"/>
    <w:rsid w:val="00933B86"/>
    <w:rsid w:val="00934432"/>
    <w:rsid w:val="009344C8"/>
    <w:rsid w:val="0093460F"/>
    <w:rsid w:val="00934642"/>
    <w:rsid w:val="009357A8"/>
    <w:rsid w:val="00935F27"/>
    <w:rsid w:val="00935F2E"/>
    <w:rsid w:val="00936310"/>
    <w:rsid w:val="0093726C"/>
    <w:rsid w:val="0093760C"/>
    <w:rsid w:val="00937968"/>
    <w:rsid w:val="009402C6"/>
    <w:rsid w:val="00941304"/>
    <w:rsid w:val="00941E28"/>
    <w:rsid w:val="00942573"/>
    <w:rsid w:val="00942817"/>
    <w:rsid w:val="00942AEA"/>
    <w:rsid w:val="00942B41"/>
    <w:rsid w:val="00943747"/>
    <w:rsid w:val="009443CB"/>
    <w:rsid w:val="00944E4A"/>
    <w:rsid w:val="00944EE2"/>
    <w:rsid w:val="00947875"/>
    <w:rsid w:val="00947960"/>
    <w:rsid w:val="009501AB"/>
    <w:rsid w:val="00950DB9"/>
    <w:rsid w:val="0095273A"/>
    <w:rsid w:val="00952F69"/>
    <w:rsid w:val="009539E2"/>
    <w:rsid w:val="00954AD0"/>
    <w:rsid w:val="00956302"/>
    <w:rsid w:val="00957A27"/>
    <w:rsid w:val="0096050F"/>
    <w:rsid w:val="009607B1"/>
    <w:rsid w:val="009628DA"/>
    <w:rsid w:val="00964058"/>
    <w:rsid w:val="0096414F"/>
    <w:rsid w:val="0096417C"/>
    <w:rsid w:val="009645F5"/>
    <w:rsid w:val="009651D9"/>
    <w:rsid w:val="0096652B"/>
    <w:rsid w:val="009676CE"/>
    <w:rsid w:val="009700C7"/>
    <w:rsid w:val="00970D84"/>
    <w:rsid w:val="00971434"/>
    <w:rsid w:val="00971489"/>
    <w:rsid w:val="009717CD"/>
    <w:rsid w:val="009736F9"/>
    <w:rsid w:val="009741D9"/>
    <w:rsid w:val="00974C9C"/>
    <w:rsid w:val="0097506E"/>
    <w:rsid w:val="00976907"/>
    <w:rsid w:val="0097702E"/>
    <w:rsid w:val="009778D8"/>
    <w:rsid w:val="00980782"/>
    <w:rsid w:val="009807DA"/>
    <w:rsid w:val="00980C61"/>
    <w:rsid w:val="00981CD5"/>
    <w:rsid w:val="0098249E"/>
    <w:rsid w:val="009828CC"/>
    <w:rsid w:val="00983E7A"/>
    <w:rsid w:val="00984C04"/>
    <w:rsid w:val="00984EC1"/>
    <w:rsid w:val="00986841"/>
    <w:rsid w:val="009875E2"/>
    <w:rsid w:val="00987812"/>
    <w:rsid w:val="00987C11"/>
    <w:rsid w:val="009903AB"/>
    <w:rsid w:val="0099085D"/>
    <w:rsid w:val="00990BE8"/>
    <w:rsid w:val="00990CE2"/>
    <w:rsid w:val="00991336"/>
    <w:rsid w:val="0099220A"/>
    <w:rsid w:val="00992222"/>
    <w:rsid w:val="00992932"/>
    <w:rsid w:val="00992C42"/>
    <w:rsid w:val="00992E9A"/>
    <w:rsid w:val="00995694"/>
    <w:rsid w:val="0099607D"/>
    <w:rsid w:val="009970C7"/>
    <w:rsid w:val="009A0261"/>
    <w:rsid w:val="009A164D"/>
    <w:rsid w:val="009A293E"/>
    <w:rsid w:val="009A3E1B"/>
    <w:rsid w:val="009A53F1"/>
    <w:rsid w:val="009A57F4"/>
    <w:rsid w:val="009A5CC8"/>
    <w:rsid w:val="009A6012"/>
    <w:rsid w:val="009A628C"/>
    <w:rsid w:val="009A7968"/>
    <w:rsid w:val="009A79E1"/>
    <w:rsid w:val="009A7F7E"/>
    <w:rsid w:val="009B0D06"/>
    <w:rsid w:val="009B11AD"/>
    <w:rsid w:val="009B2227"/>
    <w:rsid w:val="009B261E"/>
    <w:rsid w:val="009B2FDB"/>
    <w:rsid w:val="009B3228"/>
    <w:rsid w:val="009B419D"/>
    <w:rsid w:val="009B4CBB"/>
    <w:rsid w:val="009B5144"/>
    <w:rsid w:val="009B51AB"/>
    <w:rsid w:val="009B5488"/>
    <w:rsid w:val="009B54A0"/>
    <w:rsid w:val="009B5FEA"/>
    <w:rsid w:val="009B688F"/>
    <w:rsid w:val="009B6C3B"/>
    <w:rsid w:val="009C1056"/>
    <w:rsid w:val="009C1342"/>
    <w:rsid w:val="009C1431"/>
    <w:rsid w:val="009C157C"/>
    <w:rsid w:val="009C169A"/>
    <w:rsid w:val="009C18FF"/>
    <w:rsid w:val="009C1DEC"/>
    <w:rsid w:val="009C2274"/>
    <w:rsid w:val="009C259C"/>
    <w:rsid w:val="009C28DB"/>
    <w:rsid w:val="009C487B"/>
    <w:rsid w:val="009C4F00"/>
    <w:rsid w:val="009C5309"/>
    <w:rsid w:val="009C5E44"/>
    <w:rsid w:val="009C6A5C"/>
    <w:rsid w:val="009C71F6"/>
    <w:rsid w:val="009C7525"/>
    <w:rsid w:val="009C7E1B"/>
    <w:rsid w:val="009D055C"/>
    <w:rsid w:val="009D1500"/>
    <w:rsid w:val="009D1C3C"/>
    <w:rsid w:val="009D2BDD"/>
    <w:rsid w:val="009D3081"/>
    <w:rsid w:val="009D35F8"/>
    <w:rsid w:val="009D385A"/>
    <w:rsid w:val="009D3E83"/>
    <w:rsid w:val="009D6B50"/>
    <w:rsid w:val="009D7A69"/>
    <w:rsid w:val="009E030D"/>
    <w:rsid w:val="009E08E3"/>
    <w:rsid w:val="009E1692"/>
    <w:rsid w:val="009E23CE"/>
    <w:rsid w:val="009E2E2D"/>
    <w:rsid w:val="009E30C0"/>
    <w:rsid w:val="009E3C04"/>
    <w:rsid w:val="009E4204"/>
    <w:rsid w:val="009E4B65"/>
    <w:rsid w:val="009E4B9A"/>
    <w:rsid w:val="009E5442"/>
    <w:rsid w:val="009E57EF"/>
    <w:rsid w:val="009E7230"/>
    <w:rsid w:val="009E7CA6"/>
    <w:rsid w:val="009F120E"/>
    <w:rsid w:val="009F2296"/>
    <w:rsid w:val="009F2E2D"/>
    <w:rsid w:val="009F399B"/>
    <w:rsid w:val="009F4DB0"/>
    <w:rsid w:val="009F4E3E"/>
    <w:rsid w:val="009F5EF1"/>
    <w:rsid w:val="009F65C2"/>
    <w:rsid w:val="00A0037D"/>
    <w:rsid w:val="00A00427"/>
    <w:rsid w:val="00A0054A"/>
    <w:rsid w:val="00A017EB"/>
    <w:rsid w:val="00A01993"/>
    <w:rsid w:val="00A01E70"/>
    <w:rsid w:val="00A031D3"/>
    <w:rsid w:val="00A03DDB"/>
    <w:rsid w:val="00A04DB0"/>
    <w:rsid w:val="00A05FAC"/>
    <w:rsid w:val="00A103F7"/>
    <w:rsid w:val="00A10BEE"/>
    <w:rsid w:val="00A1131A"/>
    <w:rsid w:val="00A1268D"/>
    <w:rsid w:val="00A14D70"/>
    <w:rsid w:val="00A14DA9"/>
    <w:rsid w:val="00A15524"/>
    <w:rsid w:val="00A15F58"/>
    <w:rsid w:val="00A169E1"/>
    <w:rsid w:val="00A17600"/>
    <w:rsid w:val="00A204C5"/>
    <w:rsid w:val="00A20F2E"/>
    <w:rsid w:val="00A221ED"/>
    <w:rsid w:val="00A22FB4"/>
    <w:rsid w:val="00A230A1"/>
    <w:rsid w:val="00A2363C"/>
    <w:rsid w:val="00A23B3D"/>
    <w:rsid w:val="00A23D23"/>
    <w:rsid w:val="00A2449D"/>
    <w:rsid w:val="00A24A7D"/>
    <w:rsid w:val="00A25ADB"/>
    <w:rsid w:val="00A26796"/>
    <w:rsid w:val="00A26E52"/>
    <w:rsid w:val="00A26EE7"/>
    <w:rsid w:val="00A2787E"/>
    <w:rsid w:val="00A314AF"/>
    <w:rsid w:val="00A3240B"/>
    <w:rsid w:val="00A327BC"/>
    <w:rsid w:val="00A32A6B"/>
    <w:rsid w:val="00A32EAF"/>
    <w:rsid w:val="00A33AA0"/>
    <w:rsid w:val="00A33C5E"/>
    <w:rsid w:val="00A35300"/>
    <w:rsid w:val="00A35609"/>
    <w:rsid w:val="00A3607E"/>
    <w:rsid w:val="00A40FD8"/>
    <w:rsid w:val="00A41639"/>
    <w:rsid w:val="00A4186A"/>
    <w:rsid w:val="00A42BCE"/>
    <w:rsid w:val="00A439C0"/>
    <w:rsid w:val="00A43BED"/>
    <w:rsid w:val="00A448E0"/>
    <w:rsid w:val="00A4515A"/>
    <w:rsid w:val="00A46033"/>
    <w:rsid w:val="00A500E5"/>
    <w:rsid w:val="00A505AB"/>
    <w:rsid w:val="00A508EC"/>
    <w:rsid w:val="00A5093E"/>
    <w:rsid w:val="00A52882"/>
    <w:rsid w:val="00A52E27"/>
    <w:rsid w:val="00A530BE"/>
    <w:rsid w:val="00A5363D"/>
    <w:rsid w:val="00A536A0"/>
    <w:rsid w:val="00A54A57"/>
    <w:rsid w:val="00A54E90"/>
    <w:rsid w:val="00A55A1F"/>
    <w:rsid w:val="00A55C64"/>
    <w:rsid w:val="00A570A3"/>
    <w:rsid w:val="00A57B19"/>
    <w:rsid w:val="00A60BF4"/>
    <w:rsid w:val="00A61131"/>
    <w:rsid w:val="00A61B08"/>
    <w:rsid w:val="00A6242B"/>
    <w:rsid w:val="00A62791"/>
    <w:rsid w:val="00A62848"/>
    <w:rsid w:val="00A63423"/>
    <w:rsid w:val="00A6406A"/>
    <w:rsid w:val="00A6530A"/>
    <w:rsid w:val="00A65893"/>
    <w:rsid w:val="00A66468"/>
    <w:rsid w:val="00A66F3A"/>
    <w:rsid w:val="00A67C8A"/>
    <w:rsid w:val="00A67E3C"/>
    <w:rsid w:val="00A701E7"/>
    <w:rsid w:val="00A70CA5"/>
    <w:rsid w:val="00A71A95"/>
    <w:rsid w:val="00A721DF"/>
    <w:rsid w:val="00A725C7"/>
    <w:rsid w:val="00A738E6"/>
    <w:rsid w:val="00A7438D"/>
    <w:rsid w:val="00A751A0"/>
    <w:rsid w:val="00A7545B"/>
    <w:rsid w:val="00A75B50"/>
    <w:rsid w:val="00A75CBD"/>
    <w:rsid w:val="00A766CD"/>
    <w:rsid w:val="00A766F3"/>
    <w:rsid w:val="00A76C93"/>
    <w:rsid w:val="00A7739F"/>
    <w:rsid w:val="00A81766"/>
    <w:rsid w:val="00A81ED1"/>
    <w:rsid w:val="00A82645"/>
    <w:rsid w:val="00A82C63"/>
    <w:rsid w:val="00A8352D"/>
    <w:rsid w:val="00A83BE3"/>
    <w:rsid w:val="00A83C21"/>
    <w:rsid w:val="00A83C5E"/>
    <w:rsid w:val="00A840D5"/>
    <w:rsid w:val="00A8447E"/>
    <w:rsid w:val="00A851A5"/>
    <w:rsid w:val="00A86AE0"/>
    <w:rsid w:val="00A87075"/>
    <w:rsid w:val="00A87568"/>
    <w:rsid w:val="00A90B67"/>
    <w:rsid w:val="00A9154D"/>
    <w:rsid w:val="00A91635"/>
    <w:rsid w:val="00A91D69"/>
    <w:rsid w:val="00A91F52"/>
    <w:rsid w:val="00A91FF8"/>
    <w:rsid w:val="00A92805"/>
    <w:rsid w:val="00A93F50"/>
    <w:rsid w:val="00A94294"/>
    <w:rsid w:val="00A9539E"/>
    <w:rsid w:val="00A95F44"/>
    <w:rsid w:val="00A979EB"/>
    <w:rsid w:val="00AA0E91"/>
    <w:rsid w:val="00AA1259"/>
    <w:rsid w:val="00AA15D2"/>
    <w:rsid w:val="00AA2D63"/>
    <w:rsid w:val="00AA2DDE"/>
    <w:rsid w:val="00AA3A25"/>
    <w:rsid w:val="00AA3D3C"/>
    <w:rsid w:val="00AA3FF7"/>
    <w:rsid w:val="00AA40C0"/>
    <w:rsid w:val="00AA5656"/>
    <w:rsid w:val="00AA5B66"/>
    <w:rsid w:val="00AA65C2"/>
    <w:rsid w:val="00AA7596"/>
    <w:rsid w:val="00AA75B4"/>
    <w:rsid w:val="00AB0D57"/>
    <w:rsid w:val="00AB1122"/>
    <w:rsid w:val="00AB26A0"/>
    <w:rsid w:val="00AB26DF"/>
    <w:rsid w:val="00AB36DF"/>
    <w:rsid w:val="00AB4A27"/>
    <w:rsid w:val="00AB4C73"/>
    <w:rsid w:val="00AB4D84"/>
    <w:rsid w:val="00AB721C"/>
    <w:rsid w:val="00AB728A"/>
    <w:rsid w:val="00AB7791"/>
    <w:rsid w:val="00AB7C8F"/>
    <w:rsid w:val="00AC008E"/>
    <w:rsid w:val="00AC0BAE"/>
    <w:rsid w:val="00AC1F78"/>
    <w:rsid w:val="00AC20FB"/>
    <w:rsid w:val="00AC2537"/>
    <w:rsid w:val="00AC2E8D"/>
    <w:rsid w:val="00AC305B"/>
    <w:rsid w:val="00AC3E11"/>
    <w:rsid w:val="00AC52FD"/>
    <w:rsid w:val="00AC79EB"/>
    <w:rsid w:val="00AD02E0"/>
    <w:rsid w:val="00AD05B4"/>
    <w:rsid w:val="00AD05E2"/>
    <w:rsid w:val="00AD09A5"/>
    <w:rsid w:val="00AD0BB7"/>
    <w:rsid w:val="00AD18AB"/>
    <w:rsid w:val="00AD1FB8"/>
    <w:rsid w:val="00AD27D7"/>
    <w:rsid w:val="00AD325E"/>
    <w:rsid w:val="00AD3972"/>
    <w:rsid w:val="00AD59C0"/>
    <w:rsid w:val="00AD6815"/>
    <w:rsid w:val="00AD69FA"/>
    <w:rsid w:val="00AD6D55"/>
    <w:rsid w:val="00AD7FDF"/>
    <w:rsid w:val="00AE017B"/>
    <w:rsid w:val="00AE09CC"/>
    <w:rsid w:val="00AE3BB3"/>
    <w:rsid w:val="00AE4F43"/>
    <w:rsid w:val="00AE6054"/>
    <w:rsid w:val="00AE654E"/>
    <w:rsid w:val="00AE6E85"/>
    <w:rsid w:val="00AE735B"/>
    <w:rsid w:val="00AF0B11"/>
    <w:rsid w:val="00AF0B47"/>
    <w:rsid w:val="00AF1F8A"/>
    <w:rsid w:val="00AF2922"/>
    <w:rsid w:val="00AF306B"/>
    <w:rsid w:val="00AF4A3A"/>
    <w:rsid w:val="00AF54E8"/>
    <w:rsid w:val="00AF5E0B"/>
    <w:rsid w:val="00AF5E18"/>
    <w:rsid w:val="00AF6E46"/>
    <w:rsid w:val="00B00894"/>
    <w:rsid w:val="00B01624"/>
    <w:rsid w:val="00B02822"/>
    <w:rsid w:val="00B03061"/>
    <w:rsid w:val="00B039E0"/>
    <w:rsid w:val="00B03D64"/>
    <w:rsid w:val="00B05B67"/>
    <w:rsid w:val="00B05EEC"/>
    <w:rsid w:val="00B0679E"/>
    <w:rsid w:val="00B0785F"/>
    <w:rsid w:val="00B079B9"/>
    <w:rsid w:val="00B108E8"/>
    <w:rsid w:val="00B10B33"/>
    <w:rsid w:val="00B10F25"/>
    <w:rsid w:val="00B11D0E"/>
    <w:rsid w:val="00B12977"/>
    <w:rsid w:val="00B12E2B"/>
    <w:rsid w:val="00B13E1B"/>
    <w:rsid w:val="00B16AD1"/>
    <w:rsid w:val="00B178C1"/>
    <w:rsid w:val="00B20767"/>
    <w:rsid w:val="00B20887"/>
    <w:rsid w:val="00B20A3C"/>
    <w:rsid w:val="00B20D5E"/>
    <w:rsid w:val="00B217BF"/>
    <w:rsid w:val="00B2191F"/>
    <w:rsid w:val="00B220A8"/>
    <w:rsid w:val="00B2229F"/>
    <w:rsid w:val="00B22B3B"/>
    <w:rsid w:val="00B23659"/>
    <w:rsid w:val="00B2404F"/>
    <w:rsid w:val="00B24FA9"/>
    <w:rsid w:val="00B25768"/>
    <w:rsid w:val="00B25B2F"/>
    <w:rsid w:val="00B26840"/>
    <w:rsid w:val="00B30A3B"/>
    <w:rsid w:val="00B31046"/>
    <w:rsid w:val="00B31FB2"/>
    <w:rsid w:val="00B335B1"/>
    <w:rsid w:val="00B338A1"/>
    <w:rsid w:val="00B34C95"/>
    <w:rsid w:val="00B35DA9"/>
    <w:rsid w:val="00B35EA8"/>
    <w:rsid w:val="00B35FBA"/>
    <w:rsid w:val="00B3610E"/>
    <w:rsid w:val="00B373F9"/>
    <w:rsid w:val="00B37413"/>
    <w:rsid w:val="00B403C3"/>
    <w:rsid w:val="00B40895"/>
    <w:rsid w:val="00B41647"/>
    <w:rsid w:val="00B42633"/>
    <w:rsid w:val="00B43920"/>
    <w:rsid w:val="00B43B0A"/>
    <w:rsid w:val="00B45971"/>
    <w:rsid w:val="00B4626D"/>
    <w:rsid w:val="00B4670B"/>
    <w:rsid w:val="00B468EC"/>
    <w:rsid w:val="00B47531"/>
    <w:rsid w:val="00B47F9E"/>
    <w:rsid w:val="00B52294"/>
    <w:rsid w:val="00B52875"/>
    <w:rsid w:val="00B52DA4"/>
    <w:rsid w:val="00B53560"/>
    <w:rsid w:val="00B53F42"/>
    <w:rsid w:val="00B53FC5"/>
    <w:rsid w:val="00B55442"/>
    <w:rsid w:val="00B609DD"/>
    <w:rsid w:val="00B60D48"/>
    <w:rsid w:val="00B62CB8"/>
    <w:rsid w:val="00B63A2B"/>
    <w:rsid w:val="00B64ADF"/>
    <w:rsid w:val="00B64AFC"/>
    <w:rsid w:val="00B65082"/>
    <w:rsid w:val="00B65B1C"/>
    <w:rsid w:val="00B66537"/>
    <w:rsid w:val="00B66816"/>
    <w:rsid w:val="00B66C55"/>
    <w:rsid w:val="00B714DA"/>
    <w:rsid w:val="00B741BB"/>
    <w:rsid w:val="00B7508F"/>
    <w:rsid w:val="00B75A82"/>
    <w:rsid w:val="00B767C7"/>
    <w:rsid w:val="00B776E2"/>
    <w:rsid w:val="00B80353"/>
    <w:rsid w:val="00B80993"/>
    <w:rsid w:val="00B8099B"/>
    <w:rsid w:val="00B80A01"/>
    <w:rsid w:val="00B8151D"/>
    <w:rsid w:val="00B81AF1"/>
    <w:rsid w:val="00B81E11"/>
    <w:rsid w:val="00B81FBC"/>
    <w:rsid w:val="00B821F7"/>
    <w:rsid w:val="00B824E8"/>
    <w:rsid w:val="00B84D5D"/>
    <w:rsid w:val="00B84FE3"/>
    <w:rsid w:val="00B8597E"/>
    <w:rsid w:val="00B864EC"/>
    <w:rsid w:val="00B87A69"/>
    <w:rsid w:val="00B90F7C"/>
    <w:rsid w:val="00B914E5"/>
    <w:rsid w:val="00B9282C"/>
    <w:rsid w:val="00B92FC0"/>
    <w:rsid w:val="00B936A9"/>
    <w:rsid w:val="00B93BC2"/>
    <w:rsid w:val="00B94FA2"/>
    <w:rsid w:val="00B9512F"/>
    <w:rsid w:val="00B9534D"/>
    <w:rsid w:val="00B95A7D"/>
    <w:rsid w:val="00B96066"/>
    <w:rsid w:val="00B96B90"/>
    <w:rsid w:val="00B96D3A"/>
    <w:rsid w:val="00B97C59"/>
    <w:rsid w:val="00B97D22"/>
    <w:rsid w:val="00BA0F97"/>
    <w:rsid w:val="00BA148D"/>
    <w:rsid w:val="00BA14E6"/>
    <w:rsid w:val="00BA20F8"/>
    <w:rsid w:val="00BA2B4C"/>
    <w:rsid w:val="00BA3A67"/>
    <w:rsid w:val="00BA3D72"/>
    <w:rsid w:val="00BA4110"/>
    <w:rsid w:val="00BA4696"/>
    <w:rsid w:val="00BA482E"/>
    <w:rsid w:val="00BA4899"/>
    <w:rsid w:val="00BA4D2B"/>
    <w:rsid w:val="00BA5843"/>
    <w:rsid w:val="00BA620B"/>
    <w:rsid w:val="00BA62D6"/>
    <w:rsid w:val="00BA73AF"/>
    <w:rsid w:val="00BA7DBD"/>
    <w:rsid w:val="00BB1B3E"/>
    <w:rsid w:val="00BB2377"/>
    <w:rsid w:val="00BB259C"/>
    <w:rsid w:val="00BB2A78"/>
    <w:rsid w:val="00BB39E7"/>
    <w:rsid w:val="00BB3A91"/>
    <w:rsid w:val="00BB507C"/>
    <w:rsid w:val="00BB52BF"/>
    <w:rsid w:val="00BB6299"/>
    <w:rsid w:val="00BB685D"/>
    <w:rsid w:val="00BB7070"/>
    <w:rsid w:val="00BB7512"/>
    <w:rsid w:val="00BC05A7"/>
    <w:rsid w:val="00BC061D"/>
    <w:rsid w:val="00BC08D5"/>
    <w:rsid w:val="00BC1D86"/>
    <w:rsid w:val="00BC29B9"/>
    <w:rsid w:val="00BC2D8D"/>
    <w:rsid w:val="00BC453C"/>
    <w:rsid w:val="00BC5758"/>
    <w:rsid w:val="00BC587E"/>
    <w:rsid w:val="00BC6078"/>
    <w:rsid w:val="00BC6098"/>
    <w:rsid w:val="00BC6959"/>
    <w:rsid w:val="00BC6980"/>
    <w:rsid w:val="00BC7285"/>
    <w:rsid w:val="00BC74F9"/>
    <w:rsid w:val="00BC7548"/>
    <w:rsid w:val="00BC77B8"/>
    <w:rsid w:val="00BD2296"/>
    <w:rsid w:val="00BD23D7"/>
    <w:rsid w:val="00BD2623"/>
    <w:rsid w:val="00BD2E10"/>
    <w:rsid w:val="00BD3617"/>
    <w:rsid w:val="00BD382F"/>
    <w:rsid w:val="00BD3933"/>
    <w:rsid w:val="00BD3B20"/>
    <w:rsid w:val="00BD3FA0"/>
    <w:rsid w:val="00BD6103"/>
    <w:rsid w:val="00BD6604"/>
    <w:rsid w:val="00BD6F80"/>
    <w:rsid w:val="00BD70B8"/>
    <w:rsid w:val="00BD7D8D"/>
    <w:rsid w:val="00BE089E"/>
    <w:rsid w:val="00BE0FBF"/>
    <w:rsid w:val="00BE1A53"/>
    <w:rsid w:val="00BE1D24"/>
    <w:rsid w:val="00BE390D"/>
    <w:rsid w:val="00BE3FC6"/>
    <w:rsid w:val="00BE402A"/>
    <w:rsid w:val="00BE4518"/>
    <w:rsid w:val="00BE4808"/>
    <w:rsid w:val="00BE4BBD"/>
    <w:rsid w:val="00BE5607"/>
    <w:rsid w:val="00BE60CF"/>
    <w:rsid w:val="00BE72C3"/>
    <w:rsid w:val="00BE7DB6"/>
    <w:rsid w:val="00BF0BDF"/>
    <w:rsid w:val="00BF2BD8"/>
    <w:rsid w:val="00BF31DF"/>
    <w:rsid w:val="00BF3AC8"/>
    <w:rsid w:val="00BF41C0"/>
    <w:rsid w:val="00BF4BB6"/>
    <w:rsid w:val="00BF4E7E"/>
    <w:rsid w:val="00BF550F"/>
    <w:rsid w:val="00BF5D6E"/>
    <w:rsid w:val="00BF65BF"/>
    <w:rsid w:val="00BF70FA"/>
    <w:rsid w:val="00BF78A1"/>
    <w:rsid w:val="00C01BA4"/>
    <w:rsid w:val="00C022EC"/>
    <w:rsid w:val="00C030C7"/>
    <w:rsid w:val="00C03286"/>
    <w:rsid w:val="00C03581"/>
    <w:rsid w:val="00C0452D"/>
    <w:rsid w:val="00C04A64"/>
    <w:rsid w:val="00C0633E"/>
    <w:rsid w:val="00C063C7"/>
    <w:rsid w:val="00C0695E"/>
    <w:rsid w:val="00C07943"/>
    <w:rsid w:val="00C07C61"/>
    <w:rsid w:val="00C10224"/>
    <w:rsid w:val="00C1135F"/>
    <w:rsid w:val="00C115FF"/>
    <w:rsid w:val="00C11F8E"/>
    <w:rsid w:val="00C12176"/>
    <w:rsid w:val="00C12277"/>
    <w:rsid w:val="00C13957"/>
    <w:rsid w:val="00C139B8"/>
    <w:rsid w:val="00C1421E"/>
    <w:rsid w:val="00C16AAC"/>
    <w:rsid w:val="00C17014"/>
    <w:rsid w:val="00C201AF"/>
    <w:rsid w:val="00C20277"/>
    <w:rsid w:val="00C2051F"/>
    <w:rsid w:val="00C2132F"/>
    <w:rsid w:val="00C21D0D"/>
    <w:rsid w:val="00C21FB8"/>
    <w:rsid w:val="00C223E4"/>
    <w:rsid w:val="00C22782"/>
    <w:rsid w:val="00C23028"/>
    <w:rsid w:val="00C2319B"/>
    <w:rsid w:val="00C2363A"/>
    <w:rsid w:val="00C23E1E"/>
    <w:rsid w:val="00C2448D"/>
    <w:rsid w:val="00C25789"/>
    <w:rsid w:val="00C259F3"/>
    <w:rsid w:val="00C25C03"/>
    <w:rsid w:val="00C25D32"/>
    <w:rsid w:val="00C268B2"/>
    <w:rsid w:val="00C27F0F"/>
    <w:rsid w:val="00C3031C"/>
    <w:rsid w:val="00C3217D"/>
    <w:rsid w:val="00C324F8"/>
    <w:rsid w:val="00C32E08"/>
    <w:rsid w:val="00C32E58"/>
    <w:rsid w:val="00C33DC5"/>
    <w:rsid w:val="00C346D3"/>
    <w:rsid w:val="00C34C5B"/>
    <w:rsid w:val="00C35A35"/>
    <w:rsid w:val="00C36336"/>
    <w:rsid w:val="00C36BAB"/>
    <w:rsid w:val="00C37303"/>
    <w:rsid w:val="00C3752C"/>
    <w:rsid w:val="00C37B4D"/>
    <w:rsid w:val="00C401CF"/>
    <w:rsid w:val="00C42244"/>
    <w:rsid w:val="00C43217"/>
    <w:rsid w:val="00C43B5D"/>
    <w:rsid w:val="00C441FC"/>
    <w:rsid w:val="00C505D8"/>
    <w:rsid w:val="00C506A0"/>
    <w:rsid w:val="00C50C18"/>
    <w:rsid w:val="00C52637"/>
    <w:rsid w:val="00C52EDA"/>
    <w:rsid w:val="00C54462"/>
    <w:rsid w:val="00C55BF1"/>
    <w:rsid w:val="00C56582"/>
    <w:rsid w:val="00C567C0"/>
    <w:rsid w:val="00C570BC"/>
    <w:rsid w:val="00C603ED"/>
    <w:rsid w:val="00C61F37"/>
    <w:rsid w:val="00C6223B"/>
    <w:rsid w:val="00C62E94"/>
    <w:rsid w:val="00C63463"/>
    <w:rsid w:val="00C639EC"/>
    <w:rsid w:val="00C63CD0"/>
    <w:rsid w:val="00C65129"/>
    <w:rsid w:val="00C65400"/>
    <w:rsid w:val="00C66132"/>
    <w:rsid w:val="00C67385"/>
    <w:rsid w:val="00C6767E"/>
    <w:rsid w:val="00C676F1"/>
    <w:rsid w:val="00C67ED2"/>
    <w:rsid w:val="00C7039E"/>
    <w:rsid w:val="00C704E4"/>
    <w:rsid w:val="00C7271B"/>
    <w:rsid w:val="00C73322"/>
    <w:rsid w:val="00C73F06"/>
    <w:rsid w:val="00C74315"/>
    <w:rsid w:val="00C743D3"/>
    <w:rsid w:val="00C74CC7"/>
    <w:rsid w:val="00C757B5"/>
    <w:rsid w:val="00C76819"/>
    <w:rsid w:val="00C802C1"/>
    <w:rsid w:val="00C803DC"/>
    <w:rsid w:val="00C80961"/>
    <w:rsid w:val="00C80989"/>
    <w:rsid w:val="00C80C40"/>
    <w:rsid w:val="00C812F1"/>
    <w:rsid w:val="00C81988"/>
    <w:rsid w:val="00C82847"/>
    <w:rsid w:val="00C83389"/>
    <w:rsid w:val="00C83887"/>
    <w:rsid w:val="00C84029"/>
    <w:rsid w:val="00C848D8"/>
    <w:rsid w:val="00C84F8D"/>
    <w:rsid w:val="00C86029"/>
    <w:rsid w:val="00C86659"/>
    <w:rsid w:val="00C86A60"/>
    <w:rsid w:val="00C86DD7"/>
    <w:rsid w:val="00C87004"/>
    <w:rsid w:val="00C8792D"/>
    <w:rsid w:val="00C87BC8"/>
    <w:rsid w:val="00C9028A"/>
    <w:rsid w:val="00C90BC7"/>
    <w:rsid w:val="00C9157B"/>
    <w:rsid w:val="00C923C7"/>
    <w:rsid w:val="00C92EB9"/>
    <w:rsid w:val="00C9317A"/>
    <w:rsid w:val="00C9371D"/>
    <w:rsid w:val="00C950CB"/>
    <w:rsid w:val="00C964ED"/>
    <w:rsid w:val="00C969C2"/>
    <w:rsid w:val="00CA1AFA"/>
    <w:rsid w:val="00CA2AAE"/>
    <w:rsid w:val="00CA2B1B"/>
    <w:rsid w:val="00CA36C3"/>
    <w:rsid w:val="00CA3E26"/>
    <w:rsid w:val="00CA4A20"/>
    <w:rsid w:val="00CA5790"/>
    <w:rsid w:val="00CA58DF"/>
    <w:rsid w:val="00CA634C"/>
    <w:rsid w:val="00CA6370"/>
    <w:rsid w:val="00CA66BC"/>
    <w:rsid w:val="00CA7288"/>
    <w:rsid w:val="00CA74E0"/>
    <w:rsid w:val="00CA7B30"/>
    <w:rsid w:val="00CB1FC0"/>
    <w:rsid w:val="00CB2D91"/>
    <w:rsid w:val="00CB30E1"/>
    <w:rsid w:val="00CB3334"/>
    <w:rsid w:val="00CB3775"/>
    <w:rsid w:val="00CB4AC8"/>
    <w:rsid w:val="00CB4C4E"/>
    <w:rsid w:val="00CB4E61"/>
    <w:rsid w:val="00CB4F35"/>
    <w:rsid w:val="00CB703D"/>
    <w:rsid w:val="00CB749E"/>
    <w:rsid w:val="00CB7639"/>
    <w:rsid w:val="00CB7A91"/>
    <w:rsid w:val="00CB7DE0"/>
    <w:rsid w:val="00CC1054"/>
    <w:rsid w:val="00CC110C"/>
    <w:rsid w:val="00CC260F"/>
    <w:rsid w:val="00CC272A"/>
    <w:rsid w:val="00CC2B74"/>
    <w:rsid w:val="00CC32E2"/>
    <w:rsid w:val="00CC3B31"/>
    <w:rsid w:val="00CC3D6F"/>
    <w:rsid w:val="00CC4999"/>
    <w:rsid w:val="00CC54FC"/>
    <w:rsid w:val="00CC5D78"/>
    <w:rsid w:val="00CC5E86"/>
    <w:rsid w:val="00CC6711"/>
    <w:rsid w:val="00CC6D4D"/>
    <w:rsid w:val="00CC78F6"/>
    <w:rsid w:val="00CD0636"/>
    <w:rsid w:val="00CD076B"/>
    <w:rsid w:val="00CD113A"/>
    <w:rsid w:val="00CD11B7"/>
    <w:rsid w:val="00CD2762"/>
    <w:rsid w:val="00CD2DEF"/>
    <w:rsid w:val="00CD59A9"/>
    <w:rsid w:val="00CD60CD"/>
    <w:rsid w:val="00CD6E6C"/>
    <w:rsid w:val="00CD7523"/>
    <w:rsid w:val="00CD763F"/>
    <w:rsid w:val="00CD7BFD"/>
    <w:rsid w:val="00CE06C2"/>
    <w:rsid w:val="00CE0BDE"/>
    <w:rsid w:val="00CE40A2"/>
    <w:rsid w:val="00CE53AB"/>
    <w:rsid w:val="00CE71F4"/>
    <w:rsid w:val="00CE7BA1"/>
    <w:rsid w:val="00CF0BE8"/>
    <w:rsid w:val="00CF21EB"/>
    <w:rsid w:val="00CF24C0"/>
    <w:rsid w:val="00CF2B8B"/>
    <w:rsid w:val="00CF2D47"/>
    <w:rsid w:val="00CF6132"/>
    <w:rsid w:val="00CF67E8"/>
    <w:rsid w:val="00CF76B4"/>
    <w:rsid w:val="00D0031E"/>
    <w:rsid w:val="00D00678"/>
    <w:rsid w:val="00D014AD"/>
    <w:rsid w:val="00D01D62"/>
    <w:rsid w:val="00D01F4B"/>
    <w:rsid w:val="00D027D3"/>
    <w:rsid w:val="00D02E8B"/>
    <w:rsid w:val="00D038B6"/>
    <w:rsid w:val="00D04374"/>
    <w:rsid w:val="00D045F4"/>
    <w:rsid w:val="00D047D9"/>
    <w:rsid w:val="00D062DB"/>
    <w:rsid w:val="00D06E98"/>
    <w:rsid w:val="00D06EEE"/>
    <w:rsid w:val="00D10EDD"/>
    <w:rsid w:val="00D1173E"/>
    <w:rsid w:val="00D11B23"/>
    <w:rsid w:val="00D11E34"/>
    <w:rsid w:val="00D125ED"/>
    <w:rsid w:val="00D138DF"/>
    <w:rsid w:val="00D138E0"/>
    <w:rsid w:val="00D14899"/>
    <w:rsid w:val="00D15A34"/>
    <w:rsid w:val="00D1672B"/>
    <w:rsid w:val="00D1734A"/>
    <w:rsid w:val="00D20D06"/>
    <w:rsid w:val="00D225CE"/>
    <w:rsid w:val="00D22B87"/>
    <w:rsid w:val="00D22CB2"/>
    <w:rsid w:val="00D26DE2"/>
    <w:rsid w:val="00D27092"/>
    <w:rsid w:val="00D27321"/>
    <w:rsid w:val="00D2766F"/>
    <w:rsid w:val="00D27A02"/>
    <w:rsid w:val="00D30A1A"/>
    <w:rsid w:val="00D31C09"/>
    <w:rsid w:val="00D31F64"/>
    <w:rsid w:val="00D32826"/>
    <w:rsid w:val="00D32CCF"/>
    <w:rsid w:val="00D33898"/>
    <w:rsid w:val="00D34CAC"/>
    <w:rsid w:val="00D3554C"/>
    <w:rsid w:val="00D37C60"/>
    <w:rsid w:val="00D40BA8"/>
    <w:rsid w:val="00D41081"/>
    <w:rsid w:val="00D418E2"/>
    <w:rsid w:val="00D41CA8"/>
    <w:rsid w:val="00D42DA6"/>
    <w:rsid w:val="00D4330C"/>
    <w:rsid w:val="00D45472"/>
    <w:rsid w:val="00D47517"/>
    <w:rsid w:val="00D50657"/>
    <w:rsid w:val="00D508B3"/>
    <w:rsid w:val="00D51CD2"/>
    <w:rsid w:val="00D528F8"/>
    <w:rsid w:val="00D543FA"/>
    <w:rsid w:val="00D5455A"/>
    <w:rsid w:val="00D54BAB"/>
    <w:rsid w:val="00D54CE0"/>
    <w:rsid w:val="00D57263"/>
    <w:rsid w:val="00D604B7"/>
    <w:rsid w:val="00D60BC6"/>
    <w:rsid w:val="00D60BE5"/>
    <w:rsid w:val="00D60D3E"/>
    <w:rsid w:val="00D61719"/>
    <w:rsid w:val="00D629FF"/>
    <w:rsid w:val="00D62DDA"/>
    <w:rsid w:val="00D63D22"/>
    <w:rsid w:val="00D652CD"/>
    <w:rsid w:val="00D659E1"/>
    <w:rsid w:val="00D6673D"/>
    <w:rsid w:val="00D677EF"/>
    <w:rsid w:val="00D67B98"/>
    <w:rsid w:val="00D67F32"/>
    <w:rsid w:val="00D71A7A"/>
    <w:rsid w:val="00D73DD6"/>
    <w:rsid w:val="00D7435B"/>
    <w:rsid w:val="00D75FB1"/>
    <w:rsid w:val="00D8114B"/>
    <w:rsid w:val="00D81511"/>
    <w:rsid w:val="00D81775"/>
    <w:rsid w:val="00D81FBF"/>
    <w:rsid w:val="00D824DA"/>
    <w:rsid w:val="00D827B0"/>
    <w:rsid w:val="00D82B7B"/>
    <w:rsid w:val="00D83265"/>
    <w:rsid w:val="00D836C5"/>
    <w:rsid w:val="00D83C98"/>
    <w:rsid w:val="00D8464F"/>
    <w:rsid w:val="00D854E2"/>
    <w:rsid w:val="00D8569D"/>
    <w:rsid w:val="00D859E8"/>
    <w:rsid w:val="00D85AE8"/>
    <w:rsid w:val="00D8630A"/>
    <w:rsid w:val="00D87A6F"/>
    <w:rsid w:val="00D90CE5"/>
    <w:rsid w:val="00D912C1"/>
    <w:rsid w:val="00D917B7"/>
    <w:rsid w:val="00D91951"/>
    <w:rsid w:val="00D9370C"/>
    <w:rsid w:val="00D93F21"/>
    <w:rsid w:val="00D9611C"/>
    <w:rsid w:val="00D97EA8"/>
    <w:rsid w:val="00DA16E6"/>
    <w:rsid w:val="00DA1858"/>
    <w:rsid w:val="00DA2318"/>
    <w:rsid w:val="00DA3598"/>
    <w:rsid w:val="00DA4ED1"/>
    <w:rsid w:val="00DA52E6"/>
    <w:rsid w:val="00DA5C7D"/>
    <w:rsid w:val="00DA6AC7"/>
    <w:rsid w:val="00DB0451"/>
    <w:rsid w:val="00DB2342"/>
    <w:rsid w:val="00DB317D"/>
    <w:rsid w:val="00DB31F1"/>
    <w:rsid w:val="00DB3339"/>
    <w:rsid w:val="00DB4DF8"/>
    <w:rsid w:val="00DB50DC"/>
    <w:rsid w:val="00DB57E8"/>
    <w:rsid w:val="00DB5887"/>
    <w:rsid w:val="00DB6C58"/>
    <w:rsid w:val="00DB7949"/>
    <w:rsid w:val="00DC09E7"/>
    <w:rsid w:val="00DC0B53"/>
    <w:rsid w:val="00DC19F7"/>
    <w:rsid w:val="00DC1BF4"/>
    <w:rsid w:val="00DC2970"/>
    <w:rsid w:val="00DC2B8B"/>
    <w:rsid w:val="00DC49AB"/>
    <w:rsid w:val="00DC5707"/>
    <w:rsid w:val="00DC6A8A"/>
    <w:rsid w:val="00DC7E53"/>
    <w:rsid w:val="00DD0CDA"/>
    <w:rsid w:val="00DD1040"/>
    <w:rsid w:val="00DD157C"/>
    <w:rsid w:val="00DD1BF6"/>
    <w:rsid w:val="00DD212E"/>
    <w:rsid w:val="00DD299E"/>
    <w:rsid w:val="00DD4ACE"/>
    <w:rsid w:val="00DD5F6F"/>
    <w:rsid w:val="00DD762D"/>
    <w:rsid w:val="00DE041A"/>
    <w:rsid w:val="00DE1123"/>
    <w:rsid w:val="00DE2AFC"/>
    <w:rsid w:val="00DE2CA8"/>
    <w:rsid w:val="00DE2F0B"/>
    <w:rsid w:val="00DE32F7"/>
    <w:rsid w:val="00DE388F"/>
    <w:rsid w:val="00DE3C53"/>
    <w:rsid w:val="00DE3E22"/>
    <w:rsid w:val="00DE52D5"/>
    <w:rsid w:val="00DE535D"/>
    <w:rsid w:val="00DE6359"/>
    <w:rsid w:val="00DE6A6F"/>
    <w:rsid w:val="00DE6F7A"/>
    <w:rsid w:val="00DF0A01"/>
    <w:rsid w:val="00DF0A1A"/>
    <w:rsid w:val="00DF10C4"/>
    <w:rsid w:val="00DF2084"/>
    <w:rsid w:val="00DF2A2B"/>
    <w:rsid w:val="00DF4442"/>
    <w:rsid w:val="00DF50B0"/>
    <w:rsid w:val="00DF52D1"/>
    <w:rsid w:val="00DF597F"/>
    <w:rsid w:val="00DF68B0"/>
    <w:rsid w:val="00DF77CB"/>
    <w:rsid w:val="00DF7C6B"/>
    <w:rsid w:val="00E0022F"/>
    <w:rsid w:val="00E00A85"/>
    <w:rsid w:val="00E01230"/>
    <w:rsid w:val="00E01511"/>
    <w:rsid w:val="00E0182F"/>
    <w:rsid w:val="00E018E3"/>
    <w:rsid w:val="00E01A1D"/>
    <w:rsid w:val="00E02BF0"/>
    <w:rsid w:val="00E03305"/>
    <w:rsid w:val="00E03F5C"/>
    <w:rsid w:val="00E04222"/>
    <w:rsid w:val="00E0495B"/>
    <w:rsid w:val="00E06222"/>
    <w:rsid w:val="00E06931"/>
    <w:rsid w:val="00E06B8C"/>
    <w:rsid w:val="00E07FE3"/>
    <w:rsid w:val="00E10EBC"/>
    <w:rsid w:val="00E113CE"/>
    <w:rsid w:val="00E11DFB"/>
    <w:rsid w:val="00E12DD1"/>
    <w:rsid w:val="00E148D3"/>
    <w:rsid w:val="00E14F70"/>
    <w:rsid w:val="00E15699"/>
    <w:rsid w:val="00E1691F"/>
    <w:rsid w:val="00E17646"/>
    <w:rsid w:val="00E178C6"/>
    <w:rsid w:val="00E200F1"/>
    <w:rsid w:val="00E209B8"/>
    <w:rsid w:val="00E21019"/>
    <w:rsid w:val="00E224E1"/>
    <w:rsid w:val="00E230FA"/>
    <w:rsid w:val="00E265A4"/>
    <w:rsid w:val="00E26AD4"/>
    <w:rsid w:val="00E27788"/>
    <w:rsid w:val="00E30607"/>
    <w:rsid w:val="00E308DF"/>
    <w:rsid w:val="00E32310"/>
    <w:rsid w:val="00E32CB9"/>
    <w:rsid w:val="00E32E09"/>
    <w:rsid w:val="00E3309F"/>
    <w:rsid w:val="00E338F9"/>
    <w:rsid w:val="00E344C4"/>
    <w:rsid w:val="00E346D9"/>
    <w:rsid w:val="00E35110"/>
    <w:rsid w:val="00E37976"/>
    <w:rsid w:val="00E37F22"/>
    <w:rsid w:val="00E40F6F"/>
    <w:rsid w:val="00E4236B"/>
    <w:rsid w:val="00E42601"/>
    <w:rsid w:val="00E427DC"/>
    <w:rsid w:val="00E43198"/>
    <w:rsid w:val="00E43E1E"/>
    <w:rsid w:val="00E43F73"/>
    <w:rsid w:val="00E4442E"/>
    <w:rsid w:val="00E44859"/>
    <w:rsid w:val="00E45155"/>
    <w:rsid w:val="00E45C8F"/>
    <w:rsid w:val="00E46A63"/>
    <w:rsid w:val="00E46F69"/>
    <w:rsid w:val="00E4789B"/>
    <w:rsid w:val="00E47EC0"/>
    <w:rsid w:val="00E5102E"/>
    <w:rsid w:val="00E51322"/>
    <w:rsid w:val="00E51890"/>
    <w:rsid w:val="00E51916"/>
    <w:rsid w:val="00E51B60"/>
    <w:rsid w:val="00E52D13"/>
    <w:rsid w:val="00E53221"/>
    <w:rsid w:val="00E5326C"/>
    <w:rsid w:val="00E53644"/>
    <w:rsid w:val="00E54B41"/>
    <w:rsid w:val="00E55F49"/>
    <w:rsid w:val="00E568A9"/>
    <w:rsid w:val="00E60087"/>
    <w:rsid w:val="00E6024D"/>
    <w:rsid w:val="00E6086D"/>
    <w:rsid w:val="00E61E53"/>
    <w:rsid w:val="00E62207"/>
    <w:rsid w:val="00E62516"/>
    <w:rsid w:val="00E62961"/>
    <w:rsid w:val="00E62AD1"/>
    <w:rsid w:val="00E632EC"/>
    <w:rsid w:val="00E63370"/>
    <w:rsid w:val="00E636E3"/>
    <w:rsid w:val="00E642C2"/>
    <w:rsid w:val="00E64CED"/>
    <w:rsid w:val="00E65C0E"/>
    <w:rsid w:val="00E65FA4"/>
    <w:rsid w:val="00E6675F"/>
    <w:rsid w:val="00E66870"/>
    <w:rsid w:val="00E67A87"/>
    <w:rsid w:val="00E70DE2"/>
    <w:rsid w:val="00E71211"/>
    <w:rsid w:val="00E71C30"/>
    <w:rsid w:val="00E72F6B"/>
    <w:rsid w:val="00E740E2"/>
    <w:rsid w:val="00E7482E"/>
    <w:rsid w:val="00E74FF0"/>
    <w:rsid w:val="00E76B1A"/>
    <w:rsid w:val="00E76DFB"/>
    <w:rsid w:val="00E778F8"/>
    <w:rsid w:val="00E80692"/>
    <w:rsid w:val="00E81510"/>
    <w:rsid w:val="00E81961"/>
    <w:rsid w:val="00E81DBF"/>
    <w:rsid w:val="00E82821"/>
    <w:rsid w:val="00E8365A"/>
    <w:rsid w:val="00E84059"/>
    <w:rsid w:val="00E84481"/>
    <w:rsid w:val="00E85AF7"/>
    <w:rsid w:val="00E865F7"/>
    <w:rsid w:val="00E866AB"/>
    <w:rsid w:val="00E86B7F"/>
    <w:rsid w:val="00E87A73"/>
    <w:rsid w:val="00E92138"/>
    <w:rsid w:val="00E93A70"/>
    <w:rsid w:val="00E93D46"/>
    <w:rsid w:val="00E946FB"/>
    <w:rsid w:val="00E94D8D"/>
    <w:rsid w:val="00E95B9B"/>
    <w:rsid w:val="00E96717"/>
    <w:rsid w:val="00E971B8"/>
    <w:rsid w:val="00E97AB8"/>
    <w:rsid w:val="00EA09AD"/>
    <w:rsid w:val="00EA1E60"/>
    <w:rsid w:val="00EA2034"/>
    <w:rsid w:val="00EA2038"/>
    <w:rsid w:val="00EA250A"/>
    <w:rsid w:val="00EA2801"/>
    <w:rsid w:val="00EA28D1"/>
    <w:rsid w:val="00EA4393"/>
    <w:rsid w:val="00EA449F"/>
    <w:rsid w:val="00EA4A1F"/>
    <w:rsid w:val="00EA4BAD"/>
    <w:rsid w:val="00EA54E7"/>
    <w:rsid w:val="00EA676E"/>
    <w:rsid w:val="00EA6BAF"/>
    <w:rsid w:val="00EA7FBC"/>
    <w:rsid w:val="00EB0CBC"/>
    <w:rsid w:val="00EB1529"/>
    <w:rsid w:val="00EB3BFF"/>
    <w:rsid w:val="00EB5B2C"/>
    <w:rsid w:val="00EB6166"/>
    <w:rsid w:val="00EB6FF7"/>
    <w:rsid w:val="00EB791B"/>
    <w:rsid w:val="00EB7C7D"/>
    <w:rsid w:val="00EC0528"/>
    <w:rsid w:val="00EC1EF6"/>
    <w:rsid w:val="00EC20E3"/>
    <w:rsid w:val="00EC382B"/>
    <w:rsid w:val="00EC4868"/>
    <w:rsid w:val="00EC6318"/>
    <w:rsid w:val="00EC7A08"/>
    <w:rsid w:val="00EC7BD9"/>
    <w:rsid w:val="00ED066E"/>
    <w:rsid w:val="00ED0C21"/>
    <w:rsid w:val="00ED0C9D"/>
    <w:rsid w:val="00ED1E0F"/>
    <w:rsid w:val="00ED23E7"/>
    <w:rsid w:val="00ED2668"/>
    <w:rsid w:val="00ED2D2A"/>
    <w:rsid w:val="00ED2D5B"/>
    <w:rsid w:val="00ED313B"/>
    <w:rsid w:val="00ED3715"/>
    <w:rsid w:val="00ED5DAA"/>
    <w:rsid w:val="00ED627E"/>
    <w:rsid w:val="00ED6A26"/>
    <w:rsid w:val="00ED706D"/>
    <w:rsid w:val="00ED70C5"/>
    <w:rsid w:val="00ED7F10"/>
    <w:rsid w:val="00EE1451"/>
    <w:rsid w:val="00EE1BCD"/>
    <w:rsid w:val="00EE1CA5"/>
    <w:rsid w:val="00EE3B19"/>
    <w:rsid w:val="00EE49B9"/>
    <w:rsid w:val="00EE4E01"/>
    <w:rsid w:val="00EE5CF0"/>
    <w:rsid w:val="00EF11FE"/>
    <w:rsid w:val="00EF1FB7"/>
    <w:rsid w:val="00EF4370"/>
    <w:rsid w:val="00EF459D"/>
    <w:rsid w:val="00EF4D8A"/>
    <w:rsid w:val="00EF7036"/>
    <w:rsid w:val="00EF735A"/>
    <w:rsid w:val="00EF76A1"/>
    <w:rsid w:val="00EF7BA7"/>
    <w:rsid w:val="00F00C31"/>
    <w:rsid w:val="00F00CD1"/>
    <w:rsid w:val="00F018DD"/>
    <w:rsid w:val="00F020D6"/>
    <w:rsid w:val="00F036C2"/>
    <w:rsid w:val="00F03EE7"/>
    <w:rsid w:val="00F0442E"/>
    <w:rsid w:val="00F0520D"/>
    <w:rsid w:val="00F05327"/>
    <w:rsid w:val="00F0572B"/>
    <w:rsid w:val="00F05D99"/>
    <w:rsid w:val="00F10B51"/>
    <w:rsid w:val="00F10C10"/>
    <w:rsid w:val="00F1167C"/>
    <w:rsid w:val="00F116E9"/>
    <w:rsid w:val="00F1184F"/>
    <w:rsid w:val="00F12CD7"/>
    <w:rsid w:val="00F133F1"/>
    <w:rsid w:val="00F14C7A"/>
    <w:rsid w:val="00F15139"/>
    <w:rsid w:val="00F151D8"/>
    <w:rsid w:val="00F1616A"/>
    <w:rsid w:val="00F17EB6"/>
    <w:rsid w:val="00F203E4"/>
    <w:rsid w:val="00F20808"/>
    <w:rsid w:val="00F20812"/>
    <w:rsid w:val="00F20F87"/>
    <w:rsid w:val="00F21731"/>
    <w:rsid w:val="00F21D42"/>
    <w:rsid w:val="00F220AB"/>
    <w:rsid w:val="00F229D0"/>
    <w:rsid w:val="00F23FFE"/>
    <w:rsid w:val="00F2535B"/>
    <w:rsid w:val="00F25B93"/>
    <w:rsid w:val="00F27826"/>
    <w:rsid w:val="00F279F7"/>
    <w:rsid w:val="00F27A97"/>
    <w:rsid w:val="00F3121D"/>
    <w:rsid w:val="00F31AEA"/>
    <w:rsid w:val="00F31EFF"/>
    <w:rsid w:val="00F31FEC"/>
    <w:rsid w:val="00F32B64"/>
    <w:rsid w:val="00F32E5B"/>
    <w:rsid w:val="00F33A23"/>
    <w:rsid w:val="00F3432E"/>
    <w:rsid w:val="00F36010"/>
    <w:rsid w:val="00F361F2"/>
    <w:rsid w:val="00F36B00"/>
    <w:rsid w:val="00F37921"/>
    <w:rsid w:val="00F37D4A"/>
    <w:rsid w:val="00F37E5B"/>
    <w:rsid w:val="00F40106"/>
    <w:rsid w:val="00F40476"/>
    <w:rsid w:val="00F41287"/>
    <w:rsid w:val="00F41D55"/>
    <w:rsid w:val="00F423E2"/>
    <w:rsid w:val="00F424C5"/>
    <w:rsid w:val="00F43180"/>
    <w:rsid w:val="00F438CA"/>
    <w:rsid w:val="00F43F74"/>
    <w:rsid w:val="00F4487A"/>
    <w:rsid w:val="00F45362"/>
    <w:rsid w:val="00F456F4"/>
    <w:rsid w:val="00F46280"/>
    <w:rsid w:val="00F473DA"/>
    <w:rsid w:val="00F500C2"/>
    <w:rsid w:val="00F5116E"/>
    <w:rsid w:val="00F52704"/>
    <w:rsid w:val="00F53015"/>
    <w:rsid w:val="00F53D6A"/>
    <w:rsid w:val="00F55EF4"/>
    <w:rsid w:val="00F562FA"/>
    <w:rsid w:val="00F5689D"/>
    <w:rsid w:val="00F56984"/>
    <w:rsid w:val="00F5773A"/>
    <w:rsid w:val="00F605F6"/>
    <w:rsid w:val="00F6150A"/>
    <w:rsid w:val="00F61ACF"/>
    <w:rsid w:val="00F61EA2"/>
    <w:rsid w:val="00F62696"/>
    <w:rsid w:val="00F62825"/>
    <w:rsid w:val="00F62CD1"/>
    <w:rsid w:val="00F63554"/>
    <w:rsid w:val="00F63665"/>
    <w:rsid w:val="00F63A0F"/>
    <w:rsid w:val="00F63F68"/>
    <w:rsid w:val="00F66258"/>
    <w:rsid w:val="00F67390"/>
    <w:rsid w:val="00F6742E"/>
    <w:rsid w:val="00F7033D"/>
    <w:rsid w:val="00F705D4"/>
    <w:rsid w:val="00F708C1"/>
    <w:rsid w:val="00F70F01"/>
    <w:rsid w:val="00F716E6"/>
    <w:rsid w:val="00F7172B"/>
    <w:rsid w:val="00F723EE"/>
    <w:rsid w:val="00F7273F"/>
    <w:rsid w:val="00F72F88"/>
    <w:rsid w:val="00F735DB"/>
    <w:rsid w:val="00F73F72"/>
    <w:rsid w:val="00F74093"/>
    <w:rsid w:val="00F746D8"/>
    <w:rsid w:val="00F74BC5"/>
    <w:rsid w:val="00F75404"/>
    <w:rsid w:val="00F75A1F"/>
    <w:rsid w:val="00F761A3"/>
    <w:rsid w:val="00F767F3"/>
    <w:rsid w:val="00F76C28"/>
    <w:rsid w:val="00F803A8"/>
    <w:rsid w:val="00F8095E"/>
    <w:rsid w:val="00F80CEA"/>
    <w:rsid w:val="00F80D91"/>
    <w:rsid w:val="00F80F37"/>
    <w:rsid w:val="00F81F4A"/>
    <w:rsid w:val="00F8210C"/>
    <w:rsid w:val="00F83A52"/>
    <w:rsid w:val="00F83D0B"/>
    <w:rsid w:val="00F840A8"/>
    <w:rsid w:val="00F8554C"/>
    <w:rsid w:val="00F86AA4"/>
    <w:rsid w:val="00F86C71"/>
    <w:rsid w:val="00F87821"/>
    <w:rsid w:val="00F915BA"/>
    <w:rsid w:val="00F91954"/>
    <w:rsid w:val="00F91B1A"/>
    <w:rsid w:val="00F9258A"/>
    <w:rsid w:val="00F93783"/>
    <w:rsid w:val="00F9467F"/>
    <w:rsid w:val="00F946D1"/>
    <w:rsid w:val="00F968D8"/>
    <w:rsid w:val="00F96D6D"/>
    <w:rsid w:val="00F9747F"/>
    <w:rsid w:val="00F976FF"/>
    <w:rsid w:val="00FA014D"/>
    <w:rsid w:val="00FA0817"/>
    <w:rsid w:val="00FA170B"/>
    <w:rsid w:val="00FA1B3E"/>
    <w:rsid w:val="00FA40B0"/>
    <w:rsid w:val="00FA411D"/>
    <w:rsid w:val="00FA46B6"/>
    <w:rsid w:val="00FA4B3C"/>
    <w:rsid w:val="00FA553A"/>
    <w:rsid w:val="00FA5803"/>
    <w:rsid w:val="00FA6247"/>
    <w:rsid w:val="00FA67C6"/>
    <w:rsid w:val="00FA69F6"/>
    <w:rsid w:val="00FA75EF"/>
    <w:rsid w:val="00FA794B"/>
    <w:rsid w:val="00FA79C2"/>
    <w:rsid w:val="00FB030E"/>
    <w:rsid w:val="00FB20F9"/>
    <w:rsid w:val="00FB2A93"/>
    <w:rsid w:val="00FB409E"/>
    <w:rsid w:val="00FB5859"/>
    <w:rsid w:val="00FB5FB7"/>
    <w:rsid w:val="00FB6E68"/>
    <w:rsid w:val="00FB7B96"/>
    <w:rsid w:val="00FC0E50"/>
    <w:rsid w:val="00FC11FC"/>
    <w:rsid w:val="00FC1A71"/>
    <w:rsid w:val="00FC1D0A"/>
    <w:rsid w:val="00FC2258"/>
    <w:rsid w:val="00FC2E5F"/>
    <w:rsid w:val="00FC38C7"/>
    <w:rsid w:val="00FC3E53"/>
    <w:rsid w:val="00FC407E"/>
    <w:rsid w:val="00FC48AD"/>
    <w:rsid w:val="00FC5364"/>
    <w:rsid w:val="00FC611B"/>
    <w:rsid w:val="00FC643C"/>
    <w:rsid w:val="00FC7126"/>
    <w:rsid w:val="00FC7A7A"/>
    <w:rsid w:val="00FD0972"/>
    <w:rsid w:val="00FD268F"/>
    <w:rsid w:val="00FD30E4"/>
    <w:rsid w:val="00FD31FA"/>
    <w:rsid w:val="00FD3927"/>
    <w:rsid w:val="00FD596D"/>
    <w:rsid w:val="00FD5BAF"/>
    <w:rsid w:val="00FD6084"/>
    <w:rsid w:val="00FD6938"/>
    <w:rsid w:val="00FD69FF"/>
    <w:rsid w:val="00FD6C66"/>
    <w:rsid w:val="00FD72C3"/>
    <w:rsid w:val="00FD7783"/>
    <w:rsid w:val="00FD7801"/>
    <w:rsid w:val="00FD7E20"/>
    <w:rsid w:val="00FE03A6"/>
    <w:rsid w:val="00FE06CA"/>
    <w:rsid w:val="00FE13DB"/>
    <w:rsid w:val="00FE15FF"/>
    <w:rsid w:val="00FE1E1C"/>
    <w:rsid w:val="00FE25B0"/>
    <w:rsid w:val="00FE2837"/>
    <w:rsid w:val="00FE291C"/>
    <w:rsid w:val="00FE2E58"/>
    <w:rsid w:val="00FE327C"/>
    <w:rsid w:val="00FE4411"/>
    <w:rsid w:val="00FE5719"/>
    <w:rsid w:val="00FE6B02"/>
    <w:rsid w:val="00FF09A8"/>
    <w:rsid w:val="00FF2376"/>
    <w:rsid w:val="00FF2596"/>
    <w:rsid w:val="00FF2C82"/>
    <w:rsid w:val="00FF3C01"/>
    <w:rsid w:val="00FF41B4"/>
    <w:rsid w:val="00FF4ABF"/>
    <w:rsid w:val="00FF58CF"/>
    <w:rsid w:val="00FF785F"/>
    <w:rsid w:val="00FF796D"/>
    <w:rsid w:val="00FF79BE"/>
    <w:rsid w:val="026067BD"/>
    <w:rsid w:val="02AD44B8"/>
    <w:rsid w:val="06A31DE0"/>
    <w:rsid w:val="073C3670"/>
    <w:rsid w:val="085175D0"/>
    <w:rsid w:val="09102706"/>
    <w:rsid w:val="099472E7"/>
    <w:rsid w:val="09F1317B"/>
    <w:rsid w:val="0B4D14B1"/>
    <w:rsid w:val="0B872D64"/>
    <w:rsid w:val="0BEE1B8B"/>
    <w:rsid w:val="0D6E6F57"/>
    <w:rsid w:val="0E5F5DDD"/>
    <w:rsid w:val="0F0E231B"/>
    <w:rsid w:val="0F250451"/>
    <w:rsid w:val="0F7A5B71"/>
    <w:rsid w:val="10213EDA"/>
    <w:rsid w:val="11742A3B"/>
    <w:rsid w:val="12370402"/>
    <w:rsid w:val="13A16577"/>
    <w:rsid w:val="13B90EEF"/>
    <w:rsid w:val="1412250F"/>
    <w:rsid w:val="14A01096"/>
    <w:rsid w:val="17EF00B1"/>
    <w:rsid w:val="18303FE8"/>
    <w:rsid w:val="18F22AD6"/>
    <w:rsid w:val="194254D6"/>
    <w:rsid w:val="1AF87657"/>
    <w:rsid w:val="1B7004C2"/>
    <w:rsid w:val="1BD96DDB"/>
    <w:rsid w:val="1CD63A19"/>
    <w:rsid w:val="1D9056FF"/>
    <w:rsid w:val="1D9D09F1"/>
    <w:rsid w:val="1F1233EB"/>
    <w:rsid w:val="1F6B59DE"/>
    <w:rsid w:val="1F8D4FC5"/>
    <w:rsid w:val="202C77A1"/>
    <w:rsid w:val="21A56FEB"/>
    <w:rsid w:val="21F5541B"/>
    <w:rsid w:val="2412630C"/>
    <w:rsid w:val="25662278"/>
    <w:rsid w:val="28305EFA"/>
    <w:rsid w:val="29082317"/>
    <w:rsid w:val="2944442E"/>
    <w:rsid w:val="2AE524E9"/>
    <w:rsid w:val="2AEC29A1"/>
    <w:rsid w:val="2B54469E"/>
    <w:rsid w:val="2C771A73"/>
    <w:rsid w:val="2F8E0FE3"/>
    <w:rsid w:val="2FC524A2"/>
    <w:rsid w:val="309A13D0"/>
    <w:rsid w:val="31AC634E"/>
    <w:rsid w:val="32961A10"/>
    <w:rsid w:val="330F13B6"/>
    <w:rsid w:val="336B407C"/>
    <w:rsid w:val="35F45B47"/>
    <w:rsid w:val="37032C7B"/>
    <w:rsid w:val="38370239"/>
    <w:rsid w:val="39457C81"/>
    <w:rsid w:val="3B477ED8"/>
    <w:rsid w:val="3EFE7DF0"/>
    <w:rsid w:val="3FF06CA3"/>
    <w:rsid w:val="42C20C05"/>
    <w:rsid w:val="42EE10EF"/>
    <w:rsid w:val="434E2A1F"/>
    <w:rsid w:val="43505326"/>
    <w:rsid w:val="45602BC2"/>
    <w:rsid w:val="46534EAC"/>
    <w:rsid w:val="48AD161A"/>
    <w:rsid w:val="49CE73EF"/>
    <w:rsid w:val="4A4B2A0C"/>
    <w:rsid w:val="4BAE702D"/>
    <w:rsid w:val="4CA1527E"/>
    <w:rsid w:val="4E40246E"/>
    <w:rsid w:val="4E850F97"/>
    <w:rsid w:val="4FD977D0"/>
    <w:rsid w:val="506B0AA0"/>
    <w:rsid w:val="529F2AD5"/>
    <w:rsid w:val="541B33FF"/>
    <w:rsid w:val="55E3243A"/>
    <w:rsid w:val="570F0360"/>
    <w:rsid w:val="57E23894"/>
    <w:rsid w:val="583D1EC5"/>
    <w:rsid w:val="58972D2F"/>
    <w:rsid w:val="59334B15"/>
    <w:rsid w:val="5AA72EF8"/>
    <w:rsid w:val="5B00733C"/>
    <w:rsid w:val="5C004CE4"/>
    <w:rsid w:val="5DBB2E6F"/>
    <w:rsid w:val="5EF62799"/>
    <w:rsid w:val="5FDD1FED"/>
    <w:rsid w:val="5FE043C8"/>
    <w:rsid w:val="609F5CF4"/>
    <w:rsid w:val="61A56B9C"/>
    <w:rsid w:val="6294785A"/>
    <w:rsid w:val="653100C1"/>
    <w:rsid w:val="658F7E3F"/>
    <w:rsid w:val="659C5D02"/>
    <w:rsid w:val="65BD094B"/>
    <w:rsid w:val="688602EB"/>
    <w:rsid w:val="68C04E56"/>
    <w:rsid w:val="69403FD0"/>
    <w:rsid w:val="69993459"/>
    <w:rsid w:val="6B370C8F"/>
    <w:rsid w:val="6BE92B7D"/>
    <w:rsid w:val="6C0D43DE"/>
    <w:rsid w:val="6DF701AD"/>
    <w:rsid w:val="6E2B753E"/>
    <w:rsid w:val="6F203210"/>
    <w:rsid w:val="6F7C34FD"/>
    <w:rsid w:val="70367F41"/>
    <w:rsid w:val="703B3844"/>
    <w:rsid w:val="705847F0"/>
    <w:rsid w:val="71025BCA"/>
    <w:rsid w:val="718C7F8F"/>
    <w:rsid w:val="71E94609"/>
    <w:rsid w:val="728F2E3A"/>
    <w:rsid w:val="728F38AF"/>
    <w:rsid w:val="74D260F8"/>
    <w:rsid w:val="757B055C"/>
    <w:rsid w:val="75D4106A"/>
    <w:rsid w:val="76B57A2F"/>
    <w:rsid w:val="774B4608"/>
    <w:rsid w:val="795866C8"/>
    <w:rsid w:val="7B4A05BC"/>
    <w:rsid w:val="7D061ECF"/>
    <w:rsid w:val="7E280FED"/>
    <w:rsid w:val="7E701A2C"/>
    <w:rsid w:val="7FDA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type="frame" on="t" color2="#FFFFFF" focussize="0,0" recolor="t"/>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1"/>
    <w:qFormat/>
    <w:uiPriority w:val="0"/>
    <w:pPr>
      <w:keepNext/>
      <w:keepLines/>
      <w:spacing w:line="500" w:lineRule="exact"/>
      <w:jc w:val="center"/>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仿宋_GB2312"/>
      <w:b/>
      <w:bCs/>
      <w:sz w:val="32"/>
      <w:szCs w:val="32"/>
    </w:rPr>
  </w:style>
  <w:style w:type="paragraph" w:styleId="4">
    <w:name w:val="heading 3"/>
    <w:basedOn w:val="1"/>
    <w:next w:val="1"/>
    <w:qFormat/>
    <w:uiPriority w:val="0"/>
    <w:pPr>
      <w:tabs>
        <w:tab w:val="left" w:pos="720"/>
      </w:tabs>
      <w:autoSpaceDE w:val="0"/>
      <w:autoSpaceDN w:val="0"/>
      <w:adjustRightInd w:val="0"/>
      <w:spacing w:before="120"/>
      <w:textAlignment w:val="baseline"/>
      <w:outlineLvl w:val="2"/>
    </w:pPr>
    <w:rPr>
      <w:rFonts w:ascii="宋体" w:hAnsi="Tms Rmn"/>
      <w:b/>
      <w:kern w:val="0"/>
      <w:sz w:val="24"/>
      <w:szCs w:val="20"/>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40"/>
    <w:qFormat/>
    <w:uiPriority w:val="0"/>
    <w:rPr>
      <w:rFonts w:ascii="宋体"/>
      <w:sz w:val="18"/>
      <w:szCs w:val="18"/>
    </w:rPr>
  </w:style>
  <w:style w:type="paragraph" w:styleId="6">
    <w:name w:val="annotation text"/>
    <w:basedOn w:val="1"/>
    <w:semiHidden/>
    <w:qFormat/>
    <w:uiPriority w:val="0"/>
    <w:pPr>
      <w:jc w:val="left"/>
    </w:pPr>
  </w:style>
  <w:style w:type="paragraph" w:styleId="7">
    <w:name w:val="Body Text"/>
    <w:basedOn w:val="1"/>
    <w:qFormat/>
    <w:uiPriority w:val="0"/>
    <w:pPr>
      <w:spacing w:after="120"/>
    </w:pPr>
  </w:style>
  <w:style w:type="paragraph" w:styleId="8">
    <w:name w:val="Body Text Indent"/>
    <w:basedOn w:val="1"/>
    <w:qFormat/>
    <w:uiPriority w:val="0"/>
    <w:pPr>
      <w:spacing w:after="120"/>
      <w:ind w:left="420" w:leftChars="200"/>
    </w:pPr>
  </w:style>
  <w:style w:type="paragraph" w:styleId="9">
    <w:name w:val="toc 3"/>
    <w:basedOn w:val="1"/>
    <w:next w:val="1"/>
    <w:qFormat/>
    <w:uiPriority w:val="39"/>
    <w:pPr>
      <w:ind w:left="840" w:leftChars="400"/>
    </w:pPr>
    <w:rPr>
      <w:sz w:val="24"/>
    </w:rPr>
  </w:style>
  <w:style w:type="paragraph" w:styleId="10">
    <w:name w:val="Plain Text"/>
    <w:basedOn w:val="1"/>
    <w:link w:val="59"/>
    <w:qFormat/>
    <w:uiPriority w:val="99"/>
    <w:rPr>
      <w:rFonts w:ascii="宋体" w:hAnsi="Courier New"/>
      <w:szCs w:val="20"/>
    </w:rPr>
  </w:style>
  <w:style w:type="paragraph" w:styleId="11">
    <w:name w:val="Date"/>
    <w:basedOn w:val="1"/>
    <w:next w:val="1"/>
    <w:qFormat/>
    <w:uiPriority w:val="0"/>
    <w:pPr>
      <w:ind w:left="100" w:leftChars="2500"/>
    </w:pPr>
    <w:rPr>
      <w:rFonts w:ascii="楷体" w:hAnsi="楷体" w:eastAsia="楷体"/>
      <w:sz w:val="28"/>
      <w:szCs w:val="28"/>
    </w:rPr>
  </w:style>
  <w:style w:type="paragraph" w:styleId="12">
    <w:name w:val="Body Text Indent 2"/>
    <w:basedOn w:val="1"/>
    <w:qFormat/>
    <w:uiPriority w:val="0"/>
    <w:pPr>
      <w:spacing w:line="600" w:lineRule="exact"/>
      <w:ind w:firstLine="560" w:firstLineChars="200"/>
    </w:pPr>
    <w:rPr>
      <w:rFonts w:ascii="仿宋_GB2312" w:eastAsia="仿宋_GB2312"/>
      <w:sz w:val="28"/>
      <w:szCs w:val="28"/>
    </w:rPr>
  </w:style>
  <w:style w:type="paragraph" w:styleId="13">
    <w:name w:val="Balloon Text"/>
    <w:basedOn w:val="1"/>
    <w:semiHidden/>
    <w:qFormat/>
    <w:uiPriority w:val="0"/>
    <w:rPr>
      <w:sz w:val="18"/>
      <w:szCs w:val="18"/>
    </w:rPr>
  </w:style>
  <w:style w:type="paragraph" w:styleId="14">
    <w:name w:val="footer"/>
    <w:basedOn w:val="1"/>
    <w:link w:val="36"/>
    <w:qFormat/>
    <w:uiPriority w:val="99"/>
    <w:pPr>
      <w:tabs>
        <w:tab w:val="center" w:pos="4153"/>
        <w:tab w:val="right" w:pos="8306"/>
      </w:tabs>
      <w:snapToGrid w:val="0"/>
      <w:jc w:val="left"/>
    </w:pPr>
    <w:rPr>
      <w:sz w:val="18"/>
      <w:szCs w:val="18"/>
    </w:rPr>
  </w:style>
  <w:style w:type="paragraph" w:styleId="15">
    <w:name w:val="header"/>
    <w:basedOn w:val="1"/>
    <w:link w:val="43"/>
    <w:unhideWhenUsed/>
    <w:qFormat/>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9720"/>
      </w:tabs>
      <w:spacing w:line="500" w:lineRule="exact"/>
    </w:pPr>
    <w:rPr>
      <w:rFonts w:ascii="宋体" w:hAnsi="宋体"/>
      <w:sz w:val="24"/>
    </w:rPr>
  </w:style>
  <w:style w:type="paragraph" w:styleId="17">
    <w:name w:val="toc 2"/>
    <w:basedOn w:val="1"/>
    <w:next w:val="1"/>
    <w:qFormat/>
    <w:uiPriority w:val="39"/>
    <w:pPr>
      <w:tabs>
        <w:tab w:val="left" w:pos="840"/>
        <w:tab w:val="right" w:leader="dot" w:pos="9627"/>
      </w:tabs>
      <w:jc w:val="center"/>
    </w:pPr>
    <w:rPr>
      <w:sz w:val="24"/>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Title"/>
    <w:basedOn w:val="1"/>
    <w:next w:val="1"/>
    <w:link w:val="81"/>
    <w:qFormat/>
    <w:uiPriority w:val="0"/>
    <w:pPr>
      <w:spacing w:before="240" w:after="60"/>
      <w:jc w:val="center"/>
      <w:outlineLvl w:val="0"/>
    </w:pPr>
    <w:rPr>
      <w:rFonts w:asciiTheme="majorHAnsi" w:hAnsiTheme="majorHAnsi" w:eastAsiaTheme="majorEastAsia" w:cstheme="majorBidi"/>
      <w:b/>
      <w:bCs/>
      <w:sz w:val="32"/>
      <w:szCs w:val="32"/>
    </w:rPr>
  </w:style>
  <w:style w:type="paragraph" w:styleId="20">
    <w:name w:val="annotation subject"/>
    <w:basedOn w:val="6"/>
    <w:next w:val="6"/>
    <w:semiHidden/>
    <w:qFormat/>
    <w:uiPriority w:val="0"/>
    <w:rPr>
      <w:b/>
      <w:bCs/>
    </w:rPr>
  </w:style>
  <w:style w:type="table" w:styleId="22">
    <w:name w:val="Table Grid"/>
    <w:basedOn w:val="2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page number"/>
    <w:basedOn w:val="23"/>
    <w:qFormat/>
    <w:uiPriority w:val="0"/>
  </w:style>
  <w:style w:type="character" w:styleId="26">
    <w:name w:val="FollowedHyperlink"/>
    <w:qFormat/>
    <w:uiPriority w:val="99"/>
    <w:rPr>
      <w:color w:val="005C81"/>
      <w:u w:val="none"/>
    </w:rPr>
  </w:style>
  <w:style w:type="character" w:styleId="27">
    <w:name w:val="Emphasis"/>
    <w:qFormat/>
    <w:uiPriority w:val="0"/>
  </w:style>
  <w:style w:type="character" w:styleId="28">
    <w:name w:val="Hyperlink"/>
    <w:qFormat/>
    <w:uiPriority w:val="99"/>
    <w:rPr>
      <w:color w:val="005C81"/>
      <w:u w:val="none"/>
    </w:rPr>
  </w:style>
  <w:style w:type="character" w:styleId="29">
    <w:name w:val="annotation reference"/>
    <w:semiHidden/>
    <w:qFormat/>
    <w:uiPriority w:val="0"/>
    <w:rPr>
      <w:sz w:val="21"/>
      <w:szCs w:val="21"/>
    </w:rPr>
  </w:style>
  <w:style w:type="character" w:customStyle="1" w:styleId="30">
    <w:name w:val="font31"/>
    <w:qFormat/>
    <w:uiPriority w:val="0"/>
    <w:rPr>
      <w:rFonts w:hint="eastAsia" w:ascii="宋体" w:hAnsi="宋体" w:eastAsia="宋体" w:cs="宋体"/>
      <w:color w:val="000000"/>
      <w:sz w:val="18"/>
      <w:szCs w:val="18"/>
      <w:u w:val="none"/>
    </w:rPr>
  </w:style>
  <w:style w:type="character" w:customStyle="1" w:styleId="31">
    <w:name w:val="标题 1 字符"/>
    <w:link w:val="2"/>
    <w:qFormat/>
    <w:uiPriority w:val="0"/>
    <w:rPr>
      <w:rFonts w:eastAsia="宋体"/>
      <w:b/>
      <w:bCs/>
      <w:kern w:val="44"/>
      <w:sz w:val="44"/>
      <w:szCs w:val="44"/>
      <w:lang w:val="en-US" w:eastAsia="zh-CN" w:bidi="ar-SA"/>
    </w:rPr>
  </w:style>
  <w:style w:type="character" w:customStyle="1" w:styleId="32">
    <w:name w:val="font11"/>
    <w:qFormat/>
    <w:uiPriority w:val="0"/>
    <w:rPr>
      <w:rFonts w:hint="eastAsia" w:ascii="宋体" w:hAnsi="宋体" w:eastAsia="宋体"/>
      <w:color w:val="000000"/>
      <w:sz w:val="24"/>
      <w:szCs w:val="24"/>
      <w:u w:val="none"/>
      <w:vertAlign w:val="superscript"/>
    </w:rPr>
  </w:style>
  <w:style w:type="character" w:customStyle="1" w:styleId="33">
    <w:name w:val="font41"/>
    <w:qFormat/>
    <w:uiPriority w:val="0"/>
    <w:rPr>
      <w:rFonts w:hint="default" w:ascii="Times New Roman" w:hAnsi="Times New Roman" w:cs="Times New Roman"/>
      <w:color w:val="000000"/>
      <w:sz w:val="20"/>
      <w:szCs w:val="20"/>
      <w:u w:val="none"/>
    </w:rPr>
  </w:style>
  <w:style w:type="character" w:customStyle="1" w:styleId="34">
    <w:name w:val="估价报告模板_深发展银行处置抵押物相关提示 Char"/>
    <w:link w:val="35"/>
    <w:qFormat/>
    <w:uiPriority w:val="0"/>
    <w:rPr>
      <w:rFonts w:ascii="仿宋_GB2312" w:eastAsia="仿宋_GB2312" w:cs="宋体"/>
      <w:kern w:val="2"/>
      <w:sz w:val="28"/>
      <w:lang w:val="en-US" w:eastAsia="zh-CN" w:bidi="ar-SA"/>
    </w:rPr>
  </w:style>
  <w:style w:type="paragraph" w:customStyle="1" w:styleId="35">
    <w:name w:val="估价报告模板_深发展银行处置抵押物相关提示"/>
    <w:basedOn w:val="1"/>
    <w:link w:val="34"/>
    <w:qFormat/>
    <w:uiPriority w:val="0"/>
    <w:pPr>
      <w:spacing w:line="440" w:lineRule="exact"/>
      <w:ind w:firstLine="560" w:firstLineChars="200"/>
      <w:jc w:val="left"/>
    </w:pPr>
    <w:rPr>
      <w:rFonts w:ascii="仿宋_GB2312" w:eastAsia="仿宋_GB2312" w:cs="宋体"/>
      <w:sz w:val="28"/>
      <w:szCs w:val="20"/>
    </w:rPr>
  </w:style>
  <w:style w:type="character" w:customStyle="1" w:styleId="36">
    <w:name w:val="页脚 字符"/>
    <w:link w:val="14"/>
    <w:qFormat/>
    <w:uiPriority w:val="99"/>
    <w:rPr>
      <w:kern w:val="2"/>
      <w:sz w:val="18"/>
      <w:szCs w:val="18"/>
    </w:rPr>
  </w:style>
  <w:style w:type="character" w:customStyle="1" w:styleId="37">
    <w:name w:val="font01"/>
    <w:qFormat/>
    <w:uiPriority w:val="0"/>
    <w:rPr>
      <w:rFonts w:hint="eastAsia" w:ascii="宋体" w:hAnsi="宋体" w:eastAsia="宋体"/>
      <w:color w:val="000000"/>
      <w:sz w:val="24"/>
      <w:szCs w:val="24"/>
      <w:u w:val="none"/>
    </w:rPr>
  </w:style>
  <w:style w:type="character" w:customStyle="1" w:styleId="38">
    <w:name w:val="表格1 Char"/>
    <w:link w:val="39"/>
    <w:qFormat/>
    <w:uiPriority w:val="0"/>
    <w:rPr>
      <w:rFonts w:hAnsi="宋体" w:eastAsia="仿宋_GB2312" w:cs="宋体"/>
      <w:color w:val="000000"/>
      <w:sz w:val="24"/>
      <w:szCs w:val="22"/>
    </w:rPr>
  </w:style>
  <w:style w:type="paragraph" w:customStyle="1" w:styleId="39">
    <w:name w:val="表格1"/>
    <w:basedOn w:val="1"/>
    <w:link w:val="38"/>
    <w:qFormat/>
    <w:uiPriority w:val="0"/>
    <w:pPr>
      <w:widowControl/>
      <w:adjustRightInd w:val="0"/>
      <w:snapToGrid w:val="0"/>
      <w:jc w:val="center"/>
    </w:pPr>
    <w:rPr>
      <w:rFonts w:hAnsi="宋体" w:eastAsia="仿宋_GB2312"/>
      <w:color w:val="000000"/>
      <w:kern w:val="0"/>
      <w:sz w:val="24"/>
      <w:szCs w:val="22"/>
    </w:rPr>
  </w:style>
  <w:style w:type="character" w:customStyle="1" w:styleId="40">
    <w:name w:val="文档结构图 字符"/>
    <w:link w:val="5"/>
    <w:qFormat/>
    <w:uiPriority w:val="0"/>
    <w:rPr>
      <w:rFonts w:ascii="宋体"/>
      <w:kern w:val="2"/>
      <w:sz w:val="18"/>
      <w:szCs w:val="18"/>
    </w:rPr>
  </w:style>
  <w:style w:type="character" w:customStyle="1" w:styleId="41">
    <w:name w:val="Char Char2"/>
    <w:qFormat/>
    <w:uiPriority w:val="0"/>
    <w:rPr>
      <w:b/>
      <w:bCs/>
      <w:kern w:val="44"/>
      <w:sz w:val="44"/>
      <w:szCs w:val="44"/>
    </w:rPr>
  </w:style>
  <w:style w:type="character" w:customStyle="1" w:styleId="42">
    <w:name w:val="font51"/>
    <w:qFormat/>
    <w:uiPriority w:val="0"/>
    <w:rPr>
      <w:rFonts w:hint="eastAsia" w:ascii="宋体" w:hAnsi="宋体" w:eastAsia="宋体" w:cs="宋体"/>
      <w:color w:val="000000"/>
      <w:sz w:val="20"/>
      <w:szCs w:val="20"/>
      <w:u w:val="none"/>
    </w:rPr>
  </w:style>
  <w:style w:type="character" w:customStyle="1" w:styleId="43">
    <w:name w:val="页眉 字符"/>
    <w:link w:val="15"/>
    <w:qFormat/>
    <w:uiPriority w:val="0"/>
    <w:rPr>
      <w:kern w:val="2"/>
      <w:sz w:val="18"/>
      <w:szCs w:val="18"/>
    </w:rPr>
  </w:style>
  <w:style w:type="character" w:customStyle="1" w:styleId="44">
    <w:name w:val="font21"/>
    <w:qFormat/>
    <w:uiPriority w:val="0"/>
    <w:rPr>
      <w:rFonts w:hint="default" w:ascii="Times New Roman" w:hAnsi="Times New Roman" w:cs="Times New Roman"/>
      <w:color w:val="000000"/>
      <w:sz w:val="18"/>
      <w:szCs w:val="18"/>
      <w:u w:val="none"/>
    </w:rPr>
  </w:style>
  <w:style w:type="character" w:customStyle="1" w:styleId="45">
    <w:name w:val="样式1 Char"/>
    <w:qFormat/>
    <w:uiPriority w:val="0"/>
    <w:rPr>
      <w:rFonts w:eastAsia="宋体"/>
      <w:b/>
      <w:bCs/>
      <w:kern w:val="44"/>
      <w:sz w:val="36"/>
      <w:szCs w:val="36"/>
      <w:lang w:val="en-US" w:eastAsia="zh-CN" w:bidi="ar-SA"/>
    </w:rPr>
  </w:style>
  <w:style w:type="character" w:customStyle="1" w:styleId="46">
    <w:name w:val="font101"/>
    <w:qFormat/>
    <w:uiPriority w:val="0"/>
    <w:rPr>
      <w:rFonts w:hint="default" w:ascii="Times New Roman" w:hAnsi="Times New Roman" w:cs="Times New Roman"/>
      <w:color w:val="000000"/>
      <w:sz w:val="22"/>
      <w:szCs w:val="22"/>
      <w:u w:val="none"/>
    </w:rPr>
  </w:style>
  <w:style w:type="character" w:customStyle="1" w:styleId="47">
    <w:name w:val="纯文本 Char"/>
    <w:qFormat/>
    <w:uiPriority w:val="99"/>
    <w:rPr>
      <w:rFonts w:ascii="宋体" w:hAnsi="Courier New" w:eastAsia="宋体"/>
      <w:kern w:val="2"/>
      <w:sz w:val="21"/>
      <w:lang w:val="en-US" w:eastAsia="zh-CN" w:bidi="ar-SA"/>
    </w:rPr>
  </w:style>
  <w:style w:type="character" w:customStyle="1" w:styleId="48">
    <w:name w:val="font61"/>
    <w:qFormat/>
    <w:uiPriority w:val="0"/>
    <w:rPr>
      <w:rFonts w:hint="default" w:ascii="Times New Roman" w:hAnsi="Times New Roman" w:cs="Times New Roman"/>
      <w:color w:val="000000"/>
      <w:sz w:val="18"/>
      <w:szCs w:val="18"/>
      <w:u w:val="none"/>
    </w:rPr>
  </w:style>
  <w:style w:type="character" w:customStyle="1" w:styleId="49">
    <w:name w:val="Char Char1"/>
    <w:qFormat/>
    <w:uiPriority w:val="0"/>
    <w:rPr>
      <w:kern w:val="2"/>
      <w:sz w:val="18"/>
      <w:szCs w:val="18"/>
    </w:rPr>
  </w:style>
  <w:style w:type="character" w:customStyle="1" w:styleId="50">
    <w:name w:val="样式 标题 100000000 + 宋体 Char"/>
    <w:link w:val="51"/>
    <w:qFormat/>
    <w:uiPriority w:val="0"/>
    <w:rPr>
      <w:rFonts w:ascii="宋体" w:hAnsi="宋体" w:eastAsia="宋体"/>
      <w:b/>
      <w:bCs/>
      <w:kern w:val="44"/>
      <w:sz w:val="28"/>
      <w:szCs w:val="44"/>
      <w:lang w:val="en-US" w:eastAsia="zh-CN" w:bidi="ar-SA"/>
    </w:rPr>
  </w:style>
  <w:style w:type="paragraph" w:customStyle="1" w:styleId="51">
    <w:name w:val="样式 标题 100000000 + 宋体"/>
    <w:basedOn w:val="2"/>
    <w:link w:val="50"/>
    <w:qFormat/>
    <w:uiPriority w:val="0"/>
    <w:pPr>
      <w:spacing w:line="600" w:lineRule="exact"/>
      <w:ind w:firstLine="200" w:firstLineChars="200"/>
      <w:jc w:val="left"/>
    </w:pPr>
    <w:rPr>
      <w:rFonts w:ascii="宋体" w:hAnsi="宋体"/>
      <w:sz w:val="28"/>
    </w:rPr>
  </w:style>
  <w:style w:type="character" w:customStyle="1" w:styleId="52">
    <w:name w:val="font71"/>
    <w:qFormat/>
    <w:uiPriority w:val="0"/>
    <w:rPr>
      <w:rFonts w:hint="default" w:ascii="Times New Roman" w:hAnsi="Times New Roman" w:cs="Times New Roman"/>
      <w:color w:val="000000"/>
      <w:sz w:val="20"/>
      <w:szCs w:val="20"/>
      <w:u w:val="none"/>
    </w:rPr>
  </w:style>
  <w:style w:type="character" w:customStyle="1" w:styleId="53">
    <w:name w:val="Char Char"/>
    <w:semiHidden/>
    <w:qFormat/>
    <w:uiPriority w:val="0"/>
    <w:rPr>
      <w:kern w:val="2"/>
      <w:sz w:val="18"/>
      <w:szCs w:val="18"/>
    </w:rPr>
  </w:style>
  <w:style w:type="character" w:customStyle="1" w:styleId="54">
    <w:name w:val="font112"/>
    <w:qFormat/>
    <w:uiPriority w:val="0"/>
    <w:rPr>
      <w:rFonts w:hint="eastAsia" w:ascii="宋体" w:hAnsi="宋体" w:eastAsia="宋体" w:cs="宋体"/>
      <w:color w:val="000000"/>
      <w:sz w:val="21"/>
      <w:szCs w:val="21"/>
      <w:u w:val="none"/>
    </w:rPr>
  </w:style>
  <w:style w:type="character" w:customStyle="1" w:styleId="55">
    <w:name w:val="15"/>
    <w:basedOn w:val="23"/>
    <w:qFormat/>
    <w:uiPriority w:val="0"/>
  </w:style>
  <w:style w:type="character" w:customStyle="1" w:styleId="56">
    <w:name w:val="font81"/>
    <w:qFormat/>
    <w:uiPriority w:val="0"/>
    <w:rPr>
      <w:rFonts w:hint="default" w:ascii="Times New Roman" w:hAnsi="Times New Roman" w:cs="Times New Roman"/>
      <w:color w:val="000000"/>
      <w:sz w:val="18"/>
      <w:szCs w:val="18"/>
      <w:u w:val="none"/>
    </w:rPr>
  </w:style>
  <w:style w:type="character" w:customStyle="1" w:styleId="57">
    <w:name w:val="表格标题 Char"/>
    <w:link w:val="58"/>
    <w:qFormat/>
    <w:uiPriority w:val="0"/>
    <w:rPr>
      <w:rFonts w:eastAsia="仿宋_GB2312"/>
      <w:b/>
      <w:sz w:val="24"/>
      <w:szCs w:val="28"/>
      <w:lang w:val="en-US" w:eastAsia="zh-CN"/>
    </w:rPr>
  </w:style>
  <w:style w:type="paragraph" w:customStyle="1" w:styleId="58">
    <w:name w:val="表格标题"/>
    <w:basedOn w:val="1"/>
    <w:link w:val="57"/>
    <w:qFormat/>
    <w:uiPriority w:val="0"/>
    <w:pPr>
      <w:spacing w:beforeLines="50"/>
      <w:jc w:val="center"/>
    </w:pPr>
    <w:rPr>
      <w:rFonts w:eastAsia="仿宋_GB2312"/>
      <w:b/>
      <w:kern w:val="0"/>
      <w:sz w:val="24"/>
      <w:szCs w:val="28"/>
    </w:rPr>
  </w:style>
  <w:style w:type="character" w:customStyle="1" w:styleId="59">
    <w:name w:val="纯文本 字符"/>
    <w:link w:val="10"/>
    <w:qFormat/>
    <w:uiPriority w:val="99"/>
    <w:rPr>
      <w:rFonts w:ascii="宋体" w:hAnsi="Courier New"/>
      <w:kern w:val="2"/>
      <w:sz w:val="21"/>
    </w:rPr>
  </w:style>
  <w:style w:type="character" w:customStyle="1" w:styleId="60">
    <w:name w:val="未处理的提及1"/>
    <w:unhideWhenUsed/>
    <w:qFormat/>
    <w:uiPriority w:val="99"/>
    <w:rPr>
      <w:color w:val="605E5C"/>
      <w:shd w:val="clear" w:color="auto" w:fill="E1DFDD"/>
    </w:rPr>
  </w:style>
  <w:style w:type="paragraph" w:customStyle="1" w:styleId="61">
    <w:name w:val="文本档内容"/>
    <w:next w:val="1"/>
    <w:qFormat/>
    <w:uiPriority w:val="0"/>
    <w:pPr>
      <w:jc w:val="both"/>
    </w:pPr>
    <w:rPr>
      <w:rFonts w:ascii="Times New Roman" w:hAnsi="Times New Roman" w:eastAsia="宋体" w:cs="Times New Roman"/>
      <w:sz w:val="21"/>
      <w:szCs w:val="24"/>
      <w:lang w:val="en-US" w:eastAsia="zh-CN" w:bidi="ar-SA"/>
    </w:rPr>
  </w:style>
  <w:style w:type="paragraph" w:customStyle="1" w:styleId="62">
    <w:name w:val="Normal_0"/>
    <w:qFormat/>
    <w:uiPriority w:val="0"/>
    <w:pPr>
      <w:spacing w:before="120" w:after="240"/>
      <w:jc w:val="both"/>
    </w:pPr>
    <w:rPr>
      <w:rFonts w:ascii="Calibri" w:hAnsi="Calibri" w:eastAsia="Calibri" w:cs="Times New Roman"/>
      <w:sz w:val="22"/>
      <w:szCs w:val="22"/>
      <w:lang w:val="ru-RU" w:eastAsia="en-US" w:bidi="ar-SA"/>
    </w:rPr>
  </w:style>
  <w:style w:type="paragraph" w:customStyle="1" w:styleId="63">
    <w:name w:val="估价报告模板_表格1"/>
    <w:basedOn w:val="1"/>
    <w:qFormat/>
    <w:uiPriority w:val="0"/>
    <w:pPr>
      <w:widowControl/>
      <w:spacing w:line="300" w:lineRule="exact"/>
      <w:jc w:val="center"/>
    </w:pPr>
    <w:rPr>
      <w:rFonts w:ascii="仿宋_GB2312" w:hAnsi="宋体" w:eastAsia="仿宋_GB2312" w:cs="宋体"/>
      <w:kern w:val="0"/>
      <w:szCs w:val="21"/>
    </w:rPr>
  </w:style>
  <w:style w:type="paragraph" w:customStyle="1" w:styleId="64">
    <w:name w:val="17"/>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Char Char Char Char"/>
    <w:basedOn w:val="1"/>
    <w:qFormat/>
    <w:uiPriority w:val="0"/>
    <w:rPr>
      <w:sz w:val="32"/>
      <w:szCs w:val="32"/>
    </w:rPr>
  </w:style>
  <w:style w:type="paragraph" w:customStyle="1" w:styleId="66">
    <w:name w:val="出书表格"/>
    <w:basedOn w:val="1"/>
    <w:next w:val="1"/>
    <w:qFormat/>
    <w:uiPriority w:val="0"/>
    <w:rPr>
      <w:szCs w:val="21"/>
    </w:rPr>
  </w:style>
  <w:style w:type="paragraph" w:customStyle="1" w:styleId="67">
    <w:name w:val="iw_poi_title"/>
    <w:basedOn w:val="1"/>
    <w:qFormat/>
    <w:uiPriority w:val="0"/>
    <w:pPr>
      <w:widowControl/>
      <w:jc w:val="left"/>
    </w:pPr>
    <w:rPr>
      <w:rFonts w:ascii="宋体" w:hAnsi="宋体" w:cs="宋体"/>
      <w:kern w:val="0"/>
      <w:sz w:val="24"/>
    </w:rPr>
  </w:style>
  <w:style w:type="paragraph" w:customStyle="1" w:styleId="68">
    <w:name w:val="样式1"/>
    <w:basedOn w:val="2"/>
    <w:qFormat/>
    <w:uiPriority w:val="0"/>
    <w:rPr>
      <w:sz w:val="36"/>
      <w:szCs w:val="36"/>
    </w:rPr>
  </w:style>
  <w:style w:type="paragraph" w:customStyle="1" w:styleId="69">
    <w:name w:val="Char Char Char1 Char Char Char Char"/>
    <w:basedOn w:val="1"/>
    <w:qFormat/>
    <w:uiPriority w:val="0"/>
    <w:rPr>
      <w:rFonts w:ascii="宋体" w:hAnsi="宋体" w:cs="Courier New"/>
      <w:sz w:val="32"/>
      <w:szCs w:val="32"/>
    </w:rPr>
  </w:style>
  <w:style w:type="paragraph" w:customStyle="1" w:styleId="70">
    <w:name w:val="技术标题2"/>
    <w:basedOn w:val="71"/>
    <w:qFormat/>
    <w:uiPriority w:val="0"/>
    <w:rPr>
      <w:b w:val="0"/>
    </w:rPr>
  </w:style>
  <w:style w:type="paragraph" w:customStyle="1" w:styleId="71">
    <w:name w:val="技术标题1"/>
    <w:basedOn w:val="2"/>
    <w:qFormat/>
    <w:uiPriority w:val="0"/>
    <w:pPr>
      <w:ind w:firstLine="200" w:firstLineChars="200"/>
      <w:jc w:val="left"/>
    </w:pPr>
    <w:rPr>
      <w:rFonts w:ascii="宋体"/>
      <w:sz w:val="28"/>
    </w:rPr>
  </w:style>
  <w:style w:type="paragraph" w:customStyle="1" w:styleId="72">
    <w:name w:val="TOC 标题1"/>
    <w:basedOn w:val="2"/>
    <w:next w:val="1"/>
    <w:qFormat/>
    <w:uiPriority w:val="39"/>
    <w:pPr>
      <w:widowControl/>
      <w:spacing w:before="480" w:line="276" w:lineRule="auto"/>
      <w:jc w:val="left"/>
      <w:outlineLvl w:val="9"/>
    </w:pPr>
    <w:rPr>
      <w:rFonts w:ascii="Cambria" w:hAnsi="Cambria"/>
      <w:color w:val="365F91"/>
      <w:kern w:val="0"/>
      <w:sz w:val="28"/>
      <w:szCs w:val="28"/>
    </w:rPr>
  </w:style>
  <w:style w:type="paragraph" w:customStyle="1" w:styleId="73">
    <w:name w:val="估价报告_估价师签字"/>
    <w:basedOn w:val="10"/>
    <w:qFormat/>
    <w:uiPriority w:val="0"/>
    <w:pPr>
      <w:spacing w:before="120" w:after="120" w:line="440" w:lineRule="exact"/>
      <w:jc w:val="center"/>
    </w:pPr>
    <w:rPr>
      <w:rFonts w:ascii="仿宋_GB2312" w:eastAsia="仿宋_GB2312" w:cs="宋体"/>
      <w:sz w:val="28"/>
    </w:rPr>
  </w:style>
  <w:style w:type="paragraph" w:customStyle="1" w:styleId="74">
    <w:name w:val="正文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75">
    <w:name w:val="xl27"/>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kern w:val="0"/>
      <w:szCs w:val="21"/>
    </w:rPr>
  </w:style>
  <w:style w:type="paragraph" w:customStyle="1" w:styleId="76">
    <w:name w:val="样式 标题 1 + 宋体 四号 居中 段前: 12 磅 段后: 12 磅 行距: 1.5 倍行距"/>
    <w:basedOn w:val="2"/>
    <w:qFormat/>
    <w:uiPriority w:val="0"/>
    <w:pPr>
      <w:spacing w:before="120" w:after="240" w:line="360" w:lineRule="auto"/>
    </w:pPr>
    <w:rPr>
      <w:rFonts w:ascii="宋体" w:hAnsi="宋体"/>
      <w:kern w:val="0"/>
      <w:sz w:val="28"/>
      <w:szCs w:val="20"/>
    </w:rPr>
  </w:style>
  <w:style w:type="paragraph" w:customStyle="1" w:styleId="77">
    <w:name w:val="p0"/>
    <w:basedOn w:val="1"/>
    <w:qFormat/>
    <w:uiPriority w:val="0"/>
    <w:pPr>
      <w:widowControl/>
    </w:pPr>
    <w:rPr>
      <w:rFonts w:ascii="Calibri" w:hAnsi="Calibri" w:cs="宋体"/>
      <w:kern w:val="0"/>
      <w:szCs w:val="21"/>
    </w:rPr>
  </w:style>
  <w:style w:type="paragraph" w:customStyle="1" w:styleId="78">
    <w:name w:val="估价报告模板_三级标题 + 段后: 0.5 行 + 段后: 0.5 行"/>
    <w:basedOn w:val="1"/>
    <w:qFormat/>
    <w:uiPriority w:val="0"/>
    <w:pPr>
      <w:spacing w:line="440" w:lineRule="exact"/>
      <w:ind w:firstLine="200" w:firstLineChars="200"/>
      <w:jc w:val="left"/>
      <w:outlineLvl w:val="2"/>
    </w:pPr>
    <w:rPr>
      <w:rFonts w:ascii="仿宋_GB2312" w:hAnsi="宋体" w:eastAsia="仿宋_GB2312" w:cs="宋体"/>
      <w:b/>
      <w:bCs/>
      <w:kern w:val="0"/>
      <w:sz w:val="28"/>
      <w:szCs w:val="20"/>
    </w:rPr>
  </w:style>
  <w:style w:type="paragraph" w:customStyle="1" w:styleId="79">
    <w:name w:val="注解文字"/>
    <w:basedOn w:val="1"/>
    <w:qFormat/>
    <w:uiPriority w:val="0"/>
    <w:pPr>
      <w:autoSpaceDE w:val="0"/>
      <w:autoSpaceDN w:val="0"/>
      <w:adjustRightInd w:val="0"/>
      <w:spacing w:line="312" w:lineRule="atLeast"/>
      <w:textAlignment w:val="baseline"/>
    </w:pPr>
    <w:rPr>
      <w:rFonts w:ascii="宋体" w:hAnsi="Tms Rmn"/>
      <w:kern w:val="0"/>
      <w:szCs w:val="20"/>
    </w:rPr>
  </w:style>
  <w:style w:type="character" w:styleId="80">
    <w:name w:val="Placeholder Text"/>
    <w:basedOn w:val="23"/>
    <w:unhideWhenUsed/>
    <w:qFormat/>
    <w:uiPriority w:val="99"/>
    <w:rPr>
      <w:color w:val="808080"/>
    </w:rPr>
  </w:style>
  <w:style w:type="character" w:customStyle="1" w:styleId="81">
    <w:name w:val="标题 字符"/>
    <w:basedOn w:val="23"/>
    <w:link w:val="19"/>
    <w:qFormat/>
    <w:uiPriority w:val="0"/>
    <w:rPr>
      <w:rFonts w:asciiTheme="majorHAnsi" w:hAnsiTheme="majorHAnsi" w:eastAsiaTheme="majorEastAsia" w:cstheme="majorBidi"/>
      <w:b/>
      <w:bCs/>
      <w:kern w:val="2"/>
      <w:sz w:val="32"/>
      <w:szCs w:val="32"/>
    </w:rPr>
  </w:style>
  <w:style w:type="paragraph" w:styleId="82">
    <w:name w:val="List Paragraph"/>
    <w:basedOn w:val="1"/>
    <w:qFormat/>
    <w:uiPriority w:val="99"/>
    <w:pPr>
      <w:ind w:firstLine="420" w:firstLineChars="200"/>
    </w:pPr>
  </w:style>
  <w:style w:type="character" w:customStyle="1" w:styleId="83">
    <w:name w:val="未处理的提及2"/>
    <w:basedOn w:val="23"/>
    <w:semiHidden/>
    <w:unhideWhenUsed/>
    <w:qFormat/>
    <w:uiPriority w:val="99"/>
    <w:rPr>
      <w:color w:val="605E5C"/>
      <w:shd w:val="clear" w:color="auto" w:fill="E1DFDD"/>
    </w:rPr>
  </w:style>
  <w:style w:type="character" w:customStyle="1" w:styleId="84">
    <w:name w:val="font91"/>
    <w:basedOn w:val="23"/>
    <w:qFormat/>
    <w:uiPriority w:val="0"/>
    <w:rPr>
      <w:rFonts w:ascii="仿宋" w:hAnsi="仿宋" w:eastAsia="仿宋" w:cs="仿宋"/>
      <w:b/>
      <w:bCs/>
      <w:color w:val="000000"/>
      <w:sz w:val="28"/>
      <w:szCs w:val="28"/>
      <w:u w:val="none"/>
    </w:rPr>
  </w:style>
  <w:style w:type="character" w:customStyle="1" w:styleId="85">
    <w:name w:val="font131"/>
    <w:basedOn w:val="23"/>
    <w:qFormat/>
    <w:uiPriority w:val="0"/>
    <w:rPr>
      <w:rFonts w:hint="eastAsia" w:ascii="仿宋" w:hAnsi="仿宋" w:eastAsia="仿宋" w:cs="仿宋"/>
      <w:b/>
      <w:bCs/>
      <w:color w:val="FF0000"/>
      <w:sz w:val="20"/>
      <w:szCs w:val="20"/>
      <w:u w:val="none"/>
    </w:rPr>
  </w:style>
  <w:style w:type="character" w:customStyle="1" w:styleId="86">
    <w:name w:val="font121"/>
    <w:basedOn w:val="23"/>
    <w:qFormat/>
    <w:uiPriority w:val="0"/>
    <w:rPr>
      <w:rFonts w:hint="eastAsia" w:ascii="宋体" w:hAnsi="宋体" w:eastAsia="宋体" w:cs="宋体"/>
      <w:b/>
      <w:bCs/>
      <w:color w:val="000000"/>
      <w:sz w:val="18"/>
      <w:szCs w:val="18"/>
      <w:u w:val="none"/>
    </w:rPr>
  </w:style>
  <w:style w:type="character" w:customStyle="1" w:styleId="87">
    <w:name w:val="font122"/>
    <w:basedOn w:val="23"/>
    <w:qFormat/>
    <w:uiPriority w:val="0"/>
    <w:rPr>
      <w:rFonts w:hint="eastAsia" w:ascii="宋体" w:hAnsi="宋体" w:eastAsia="宋体" w:cs="宋体"/>
      <w:color w:val="000000"/>
      <w:sz w:val="20"/>
      <w:szCs w:val="20"/>
      <w:u w:val="none"/>
    </w:rPr>
  </w:style>
  <w:style w:type="character" w:customStyle="1" w:styleId="88">
    <w:name w:val="font111"/>
    <w:basedOn w:val="23"/>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10045</Words>
  <Characters>10754</Characters>
  <Lines>257</Lines>
  <Paragraphs>72</Paragraphs>
  <TotalTime>133</TotalTime>
  <ScaleCrop>false</ScaleCrop>
  <LinksUpToDate>false</LinksUpToDate>
  <CharactersWithSpaces>10923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2022-07-12T09:14:00Z</dcterms:created>
  <dc:creator>zyh</dc:creator>
  <cp:lastModifiedBy>伏抱</cp:lastModifiedBy>
  <cp:lastPrinted>2022-10-09T08:50:00Z</cp:lastPrinted>
  <dcterms:modified xsi:type="dcterms:W3CDTF">2022-11-01T05:54:49Z</dcterms:modified>
  <dc:title>成套住宅抵押估价报告示范文本</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5013B00ABA7D44E292B6999EE59FB972</vt:lpwstr>
  </property>
</Properties>
</file>