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pPr>
        <w:rPr>
          <w:rFonts w:ascii="仿宋_GB2312" w:eastAsia="仿宋_GB2312"/>
          <w:color w:val="auto"/>
          <w:sz w:val="28"/>
          <w:szCs w:val="28"/>
        </w:rPr>
      </w:pPr>
    </w:p>
    <w:p>
      <w:pPr>
        <w:jc w:val="center"/>
        <w:rPr>
          <w:rFonts w:ascii="黑体" w:eastAsia="黑体"/>
          <w:b/>
          <w:color w:val="auto"/>
          <w:spacing w:val="40"/>
          <w:sz w:val="52"/>
          <w:szCs w:val="52"/>
        </w:rPr>
      </w:pPr>
      <w:r>
        <w:rPr>
          <w:rFonts w:hint="eastAsia" w:ascii="黑体" w:eastAsia="黑体"/>
          <w:b/>
          <w:color w:val="auto"/>
          <w:spacing w:val="40"/>
          <w:sz w:val="52"/>
          <w:szCs w:val="52"/>
        </w:rPr>
        <w:t>房地产估价报告</w:t>
      </w:r>
    </w:p>
    <w:p>
      <w:pPr>
        <w:rPr>
          <w:rFonts w:ascii="仿宋_GB2312" w:eastAsia="仿宋_GB2312"/>
          <w:color w:val="auto"/>
          <w:sz w:val="28"/>
          <w:szCs w:val="28"/>
        </w:rPr>
      </w:pPr>
    </w:p>
    <w:p>
      <w:pPr>
        <w:ind w:left="2893" w:leftChars="1" w:hanging="2891" w:hangingChars="900"/>
        <w:rPr>
          <w:rFonts w:asciiTheme="minorEastAsia" w:hAnsiTheme="minorEastAsia" w:eastAsiaTheme="minorEastAsia"/>
          <w:color w:val="auto"/>
          <w:sz w:val="32"/>
          <w:szCs w:val="32"/>
        </w:rPr>
      </w:pPr>
      <w:r>
        <w:rPr>
          <w:rFonts w:hint="eastAsia" w:asciiTheme="minorEastAsia" w:hAnsiTheme="minorEastAsia" w:eastAsiaTheme="minorEastAsia"/>
          <w:b/>
          <w:color w:val="auto"/>
          <w:sz w:val="32"/>
          <w:szCs w:val="32"/>
        </w:rPr>
        <w:t>一、估价项目名称：</w:t>
      </w:r>
      <w:r>
        <w:rPr>
          <w:rFonts w:hint="eastAsia" w:asciiTheme="minorEastAsia" w:hAnsiTheme="minorEastAsia" w:eastAsiaTheme="minorEastAsia"/>
          <w:color w:val="auto"/>
          <w:sz w:val="32"/>
          <w:szCs w:val="32"/>
          <w:lang w:eastAsia="zh-CN"/>
        </w:rPr>
        <w:t>赵川</w:t>
      </w:r>
      <w:r>
        <w:rPr>
          <w:rFonts w:hint="eastAsia" w:asciiTheme="minorEastAsia" w:hAnsiTheme="minorEastAsia" w:eastAsiaTheme="minorEastAsia"/>
          <w:color w:val="auto"/>
          <w:sz w:val="32"/>
          <w:szCs w:val="32"/>
        </w:rPr>
        <w:t>所属位于</w:t>
      </w:r>
      <w:r>
        <w:rPr>
          <w:rFonts w:hint="eastAsia" w:asciiTheme="minorEastAsia" w:hAnsiTheme="minorEastAsia" w:eastAsiaTheme="minorEastAsia"/>
          <w:color w:val="auto"/>
          <w:sz w:val="32"/>
          <w:szCs w:val="32"/>
          <w:lang w:eastAsia="zh-CN"/>
        </w:rPr>
        <w:t>通江县诺江镇诺江东路1楼为营业用房；-1楼为住宅</w:t>
      </w:r>
      <w:r>
        <w:rPr>
          <w:rFonts w:hint="eastAsia" w:asciiTheme="minorEastAsia" w:hAnsiTheme="minorEastAsia" w:eastAsiaTheme="minorEastAsia"/>
          <w:color w:val="auto"/>
          <w:sz w:val="32"/>
          <w:szCs w:val="32"/>
        </w:rPr>
        <w:t>的房地产市场价值评估</w:t>
      </w:r>
    </w:p>
    <w:p>
      <w:pPr>
        <w:ind w:left="2882" w:leftChars="1" w:hanging="2880" w:hangingChars="900"/>
        <w:rPr>
          <w:rFonts w:asciiTheme="minorEastAsia" w:hAnsiTheme="minorEastAsia" w:eastAsiaTheme="minorEastAsia"/>
          <w:color w:val="auto"/>
          <w:sz w:val="32"/>
          <w:szCs w:val="32"/>
        </w:rPr>
      </w:pPr>
    </w:p>
    <w:p>
      <w:pPr>
        <w:tabs>
          <w:tab w:val="left" w:pos="7245"/>
        </w:tabs>
        <w:rPr>
          <w:rFonts w:hint="eastAsia" w:asciiTheme="minorEastAsia" w:hAnsiTheme="minorEastAsia" w:eastAsiaTheme="minorEastAsia"/>
          <w:color w:val="auto"/>
          <w:sz w:val="32"/>
          <w:szCs w:val="32"/>
          <w:lang w:eastAsia="zh-CN"/>
        </w:rPr>
      </w:pPr>
      <w:r>
        <w:rPr>
          <w:rFonts w:hint="eastAsia" w:asciiTheme="minorEastAsia" w:hAnsiTheme="minorEastAsia" w:eastAsiaTheme="minorEastAsia"/>
          <w:b/>
          <w:color w:val="auto"/>
          <w:sz w:val="32"/>
          <w:szCs w:val="32"/>
        </w:rPr>
        <w:t>二、委   托   方：</w:t>
      </w:r>
      <w:r>
        <w:rPr>
          <w:rFonts w:hint="eastAsia" w:asciiTheme="minorEastAsia" w:hAnsiTheme="minorEastAsia" w:eastAsiaTheme="minorEastAsia"/>
          <w:color w:val="auto"/>
          <w:sz w:val="32"/>
          <w:szCs w:val="32"/>
          <w:lang w:eastAsia="zh-CN"/>
        </w:rPr>
        <w:t>通江县人民法院</w:t>
      </w:r>
    </w:p>
    <w:p>
      <w:pPr>
        <w:tabs>
          <w:tab w:val="left" w:pos="7245"/>
        </w:tabs>
        <w:rPr>
          <w:rFonts w:asciiTheme="minorEastAsia" w:hAnsiTheme="minorEastAsia" w:eastAsiaTheme="minorEastAsia"/>
          <w:color w:val="auto"/>
          <w:sz w:val="32"/>
          <w:szCs w:val="32"/>
        </w:rPr>
      </w:pPr>
    </w:p>
    <w:p>
      <w:pPr>
        <w:rPr>
          <w:rFonts w:asciiTheme="minorEastAsia" w:hAnsiTheme="minorEastAsia" w:eastAsiaTheme="minorEastAsia"/>
          <w:color w:val="auto"/>
          <w:sz w:val="32"/>
          <w:szCs w:val="32"/>
        </w:rPr>
      </w:pPr>
      <w:r>
        <w:rPr>
          <w:rFonts w:hint="eastAsia" w:asciiTheme="minorEastAsia" w:hAnsiTheme="minorEastAsia" w:eastAsiaTheme="minorEastAsia"/>
          <w:b/>
          <w:color w:val="auto"/>
          <w:sz w:val="32"/>
          <w:szCs w:val="32"/>
        </w:rPr>
        <w:t>三、估   价   方：</w:t>
      </w:r>
      <w:r>
        <w:rPr>
          <w:rFonts w:hint="eastAsia" w:asciiTheme="minorEastAsia" w:hAnsiTheme="minorEastAsia" w:eastAsiaTheme="minorEastAsia"/>
          <w:color w:val="auto"/>
          <w:sz w:val="32"/>
          <w:szCs w:val="32"/>
        </w:rPr>
        <w:t>四川四星房地产土地资产评估有限责任公司</w:t>
      </w:r>
    </w:p>
    <w:p>
      <w:pPr>
        <w:rPr>
          <w:rFonts w:asciiTheme="minorEastAsia" w:hAnsiTheme="minorEastAsia" w:eastAsiaTheme="minorEastAsia"/>
          <w:color w:val="auto"/>
          <w:sz w:val="32"/>
          <w:szCs w:val="32"/>
        </w:rPr>
      </w:pPr>
    </w:p>
    <w:p>
      <w:pPr>
        <w:numPr>
          <w:ilvl w:val="0"/>
          <w:numId w:val="1"/>
        </w:numPr>
        <w:rPr>
          <w:rFonts w:asciiTheme="minorEastAsia" w:hAnsiTheme="minorEastAsia" w:eastAsiaTheme="minorEastAsia"/>
          <w:color w:val="auto"/>
          <w:sz w:val="32"/>
          <w:szCs w:val="32"/>
        </w:rPr>
      </w:pPr>
      <w:r>
        <w:rPr>
          <w:rFonts w:hint="eastAsia" w:asciiTheme="minorEastAsia" w:hAnsiTheme="minorEastAsia" w:eastAsiaTheme="minorEastAsia"/>
          <w:b/>
          <w:color w:val="auto"/>
          <w:sz w:val="32"/>
          <w:szCs w:val="32"/>
        </w:rPr>
        <w:t>估  价 人 员：</w:t>
      </w:r>
      <w:r>
        <w:rPr>
          <w:rFonts w:hint="eastAsia" w:asciiTheme="minorEastAsia" w:hAnsiTheme="minorEastAsia" w:eastAsiaTheme="minorEastAsia"/>
          <w:color w:val="auto"/>
          <w:sz w:val="32"/>
          <w:szCs w:val="32"/>
          <w:lang w:eastAsia="zh-CN"/>
        </w:rPr>
        <w:t>李雪娇</w:t>
      </w:r>
      <w:r>
        <w:rPr>
          <w:rFonts w:hint="eastAsia" w:asciiTheme="minorEastAsia" w:hAnsiTheme="minorEastAsia" w:eastAsiaTheme="minorEastAsia"/>
          <w:color w:val="auto"/>
          <w:sz w:val="32"/>
          <w:szCs w:val="32"/>
        </w:rPr>
        <w:t xml:space="preserve">     </w:t>
      </w:r>
      <w:r>
        <w:rPr>
          <w:rFonts w:hint="eastAsia" w:ascii="宋体" w:hAnsi="宋体"/>
          <w:color w:val="auto"/>
          <w:sz w:val="32"/>
          <w:szCs w:val="32"/>
        </w:rPr>
        <w:t>（注册证号：5120180036）</w:t>
      </w:r>
    </w:p>
    <w:p>
      <w:pPr>
        <w:rPr>
          <w:rFonts w:asciiTheme="minorEastAsia" w:hAnsiTheme="minorEastAsia" w:eastAsiaTheme="minorEastAsia"/>
          <w:color w:val="auto"/>
          <w:sz w:val="32"/>
          <w:szCs w:val="32"/>
        </w:rPr>
      </w:pPr>
      <w:r>
        <w:rPr>
          <w:rFonts w:hint="eastAsia" w:asciiTheme="minorEastAsia" w:hAnsiTheme="minorEastAsia" w:eastAsiaTheme="minorEastAsia"/>
          <w:color w:val="auto"/>
          <w:sz w:val="32"/>
          <w:szCs w:val="32"/>
        </w:rPr>
        <w:t xml:space="preserve">   </w:t>
      </w:r>
    </w:p>
    <w:p>
      <w:pPr>
        <w:spacing w:line="480" w:lineRule="exact"/>
        <w:ind w:firstLine="2880" w:firstLineChars="900"/>
        <w:rPr>
          <w:rFonts w:asciiTheme="minorEastAsia" w:hAnsiTheme="minorEastAsia" w:eastAsiaTheme="minorEastAsia"/>
          <w:color w:val="auto"/>
          <w:sz w:val="32"/>
          <w:szCs w:val="32"/>
        </w:rPr>
      </w:pPr>
      <w:r>
        <w:rPr>
          <w:rFonts w:hint="eastAsia" w:asciiTheme="minorEastAsia" w:hAnsiTheme="minorEastAsia" w:eastAsiaTheme="minorEastAsia"/>
          <w:color w:val="auto"/>
          <w:sz w:val="32"/>
          <w:szCs w:val="32"/>
          <w:lang w:eastAsia="zh-CN"/>
        </w:rPr>
        <w:t>殷贵颜</w:t>
      </w:r>
      <w:r>
        <w:rPr>
          <w:rFonts w:hint="eastAsia" w:asciiTheme="minorEastAsia" w:hAnsiTheme="minorEastAsia" w:eastAsiaTheme="minorEastAsia"/>
          <w:color w:val="auto"/>
          <w:sz w:val="32"/>
          <w:szCs w:val="32"/>
        </w:rPr>
        <w:t xml:space="preserve">     （注册证号：</w:t>
      </w:r>
      <w:r>
        <w:rPr>
          <w:rFonts w:hint="eastAsia" w:asciiTheme="minorEastAsia" w:hAnsiTheme="minorEastAsia" w:eastAsiaTheme="minorEastAsia"/>
          <w:color w:val="auto"/>
          <w:sz w:val="32"/>
          <w:szCs w:val="32"/>
          <w:lang w:eastAsia="zh-CN"/>
        </w:rPr>
        <w:t>5119970021</w:t>
      </w:r>
      <w:r>
        <w:rPr>
          <w:rFonts w:hint="eastAsia" w:asciiTheme="minorEastAsia" w:hAnsiTheme="minorEastAsia" w:eastAsiaTheme="minorEastAsia"/>
          <w:color w:val="auto"/>
          <w:sz w:val="32"/>
          <w:szCs w:val="32"/>
        </w:rPr>
        <w:t>）</w:t>
      </w:r>
    </w:p>
    <w:p>
      <w:pPr>
        <w:spacing w:line="480" w:lineRule="exact"/>
        <w:ind w:firstLine="2880" w:firstLineChars="900"/>
        <w:rPr>
          <w:rFonts w:asciiTheme="minorEastAsia" w:hAnsiTheme="minorEastAsia" w:eastAsiaTheme="minorEastAsia"/>
          <w:color w:val="auto"/>
          <w:sz w:val="32"/>
          <w:szCs w:val="32"/>
        </w:rPr>
      </w:pPr>
    </w:p>
    <w:p>
      <w:pPr>
        <w:rPr>
          <w:rFonts w:asciiTheme="minorEastAsia" w:hAnsiTheme="minorEastAsia" w:eastAsiaTheme="minorEastAsia"/>
          <w:b/>
          <w:color w:val="auto"/>
          <w:sz w:val="32"/>
          <w:szCs w:val="32"/>
        </w:rPr>
      </w:pPr>
      <w:r>
        <w:rPr>
          <w:rFonts w:hint="eastAsia" w:asciiTheme="minorEastAsia" w:hAnsiTheme="minorEastAsia" w:eastAsiaTheme="minorEastAsia"/>
          <w:b/>
          <w:color w:val="auto"/>
          <w:sz w:val="32"/>
          <w:szCs w:val="32"/>
        </w:rPr>
        <w:t xml:space="preserve">           </w:t>
      </w:r>
    </w:p>
    <w:p>
      <w:pPr>
        <w:rPr>
          <w:rFonts w:hint="eastAsia" w:asciiTheme="minorEastAsia" w:hAnsiTheme="minorEastAsia" w:eastAsiaTheme="minorEastAsia"/>
          <w:color w:val="auto"/>
          <w:sz w:val="32"/>
          <w:szCs w:val="32"/>
          <w:lang w:eastAsia="zh-CN"/>
        </w:rPr>
      </w:pPr>
      <w:r>
        <w:rPr>
          <w:rFonts w:hint="eastAsia" w:asciiTheme="minorEastAsia" w:hAnsiTheme="minorEastAsia" w:eastAsiaTheme="minorEastAsia"/>
          <w:b/>
          <w:color w:val="auto"/>
          <w:sz w:val="32"/>
          <w:szCs w:val="32"/>
        </w:rPr>
        <w:t>五、估价报告出具日期：</w:t>
      </w:r>
      <w:r>
        <w:rPr>
          <w:rFonts w:hint="eastAsia" w:asciiTheme="minorEastAsia" w:hAnsiTheme="minorEastAsia" w:eastAsiaTheme="minorEastAsia"/>
          <w:color w:val="auto"/>
          <w:sz w:val="32"/>
          <w:szCs w:val="32"/>
          <w:lang w:eastAsia="zh-CN"/>
        </w:rPr>
        <w:t>2022年10月8日</w:t>
      </w:r>
    </w:p>
    <w:p>
      <w:pPr>
        <w:rPr>
          <w:rFonts w:asciiTheme="minorEastAsia" w:hAnsiTheme="minorEastAsia" w:eastAsiaTheme="minorEastAsia"/>
          <w:b/>
          <w:color w:val="auto"/>
          <w:sz w:val="32"/>
          <w:szCs w:val="32"/>
        </w:rPr>
      </w:pPr>
    </w:p>
    <w:p>
      <w:pPr>
        <w:tabs>
          <w:tab w:val="left" w:pos="7125"/>
        </w:tabs>
        <w:rPr>
          <w:rFonts w:asciiTheme="minorEastAsia" w:hAnsiTheme="minorEastAsia" w:eastAsiaTheme="minorEastAsia"/>
          <w:color w:val="auto"/>
          <w:sz w:val="32"/>
          <w:szCs w:val="32"/>
        </w:rPr>
      </w:pPr>
      <w:r>
        <w:rPr>
          <w:rFonts w:hint="eastAsia" w:asciiTheme="minorEastAsia" w:hAnsiTheme="minorEastAsia" w:eastAsiaTheme="minorEastAsia"/>
          <w:b/>
          <w:color w:val="auto"/>
          <w:sz w:val="32"/>
          <w:szCs w:val="32"/>
        </w:rPr>
        <w:t>六、估价报告编号：</w:t>
      </w:r>
      <w:r>
        <w:rPr>
          <w:rFonts w:hint="eastAsia" w:asciiTheme="minorEastAsia" w:hAnsiTheme="minorEastAsia" w:eastAsiaTheme="minorEastAsia"/>
          <w:color w:val="auto"/>
          <w:sz w:val="32"/>
          <w:szCs w:val="32"/>
        </w:rPr>
        <w:t>川四星司字[202</w:t>
      </w:r>
      <w:r>
        <w:rPr>
          <w:rFonts w:hint="eastAsia" w:asciiTheme="minorEastAsia" w:hAnsiTheme="minorEastAsia" w:eastAsiaTheme="minorEastAsia"/>
          <w:color w:val="auto"/>
          <w:sz w:val="32"/>
          <w:szCs w:val="32"/>
          <w:lang w:val="en-US" w:eastAsia="zh-CN"/>
        </w:rPr>
        <w:t>2</w:t>
      </w:r>
      <w:r>
        <w:rPr>
          <w:rFonts w:hint="eastAsia" w:asciiTheme="minorEastAsia" w:hAnsiTheme="minorEastAsia" w:eastAsiaTheme="minorEastAsia"/>
          <w:color w:val="auto"/>
          <w:sz w:val="32"/>
          <w:szCs w:val="32"/>
        </w:rPr>
        <w:t>]</w:t>
      </w:r>
      <w:r>
        <w:rPr>
          <w:rFonts w:hint="eastAsia" w:asciiTheme="minorEastAsia" w:hAnsiTheme="minorEastAsia" w:eastAsiaTheme="minorEastAsia"/>
          <w:color w:val="auto"/>
          <w:sz w:val="32"/>
          <w:szCs w:val="32"/>
          <w:lang w:eastAsia="zh-CN"/>
        </w:rPr>
        <w:t>039号</w:t>
      </w:r>
      <w:r>
        <w:rPr>
          <w:rFonts w:asciiTheme="minorEastAsia" w:hAnsiTheme="minorEastAsia" w:eastAsiaTheme="minorEastAsia"/>
          <w:color w:val="auto"/>
          <w:sz w:val="32"/>
          <w:szCs w:val="32"/>
        </w:rPr>
        <w:tab/>
      </w:r>
    </w:p>
    <w:p>
      <w:pPr>
        <w:rPr>
          <w:rFonts w:asciiTheme="minorEastAsia" w:hAnsiTheme="minorEastAsia" w:eastAsiaTheme="minorEastAsia"/>
          <w:color w:val="auto"/>
          <w:sz w:val="32"/>
          <w:szCs w:val="32"/>
        </w:rPr>
      </w:pPr>
    </w:p>
    <w:p>
      <w:pPr>
        <w:rPr>
          <w:rFonts w:ascii="黑体" w:eastAsia="黑体"/>
          <w:b/>
          <w:color w:val="auto"/>
          <w:spacing w:val="40"/>
          <w:szCs w:val="21"/>
        </w:rPr>
      </w:pPr>
    </w:p>
    <w:p>
      <w:pPr>
        <w:rPr>
          <w:rFonts w:ascii="黑体" w:eastAsia="黑体"/>
          <w:b/>
          <w:color w:val="auto"/>
          <w:spacing w:val="40"/>
          <w:szCs w:val="21"/>
        </w:rPr>
      </w:pPr>
    </w:p>
    <w:p>
      <w:pPr>
        <w:rPr>
          <w:rFonts w:ascii="黑体" w:eastAsia="黑体"/>
          <w:b/>
          <w:color w:val="auto"/>
          <w:spacing w:val="40"/>
          <w:szCs w:val="21"/>
        </w:rPr>
      </w:pPr>
    </w:p>
    <w:p>
      <w:pPr>
        <w:rPr>
          <w:rFonts w:ascii="黑体" w:eastAsia="黑体"/>
          <w:b/>
          <w:color w:val="auto"/>
          <w:spacing w:val="40"/>
          <w:szCs w:val="21"/>
        </w:rPr>
      </w:pPr>
    </w:p>
    <w:p>
      <w:pPr>
        <w:rPr>
          <w:rFonts w:ascii="黑体" w:eastAsia="黑体"/>
          <w:b/>
          <w:color w:val="auto"/>
          <w:spacing w:val="40"/>
          <w:szCs w:val="21"/>
        </w:rPr>
      </w:pPr>
    </w:p>
    <w:p>
      <w:pPr>
        <w:jc w:val="center"/>
        <w:rPr>
          <w:rFonts w:hint="eastAsia" w:ascii="黑体" w:eastAsia="黑体"/>
          <w:b/>
          <w:color w:val="auto"/>
          <w:spacing w:val="40"/>
          <w:sz w:val="48"/>
          <w:szCs w:val="48"/>
        </w:rPr>
      </w:pPr>
    </w:p>
    <w:p>
      <w:pPr>
        <w:jc w:val="center"/>
        <w:rPr>
          <w:rFonts w:hint="eastAsia" w:ascii="黑体" w:eastAsia="黑体"/>
          <w:b/>
          <w:color w:val="auto"/>
          <w:spacing w:val="40"/>
          <w:sz w:val="48"/>
          <w:szCs w:val="48"/>
        </w:rPr>
      </w:pPr>
    </w:p>
    <w:p>
      <w:pPr>
        <w:jc w:val="center"/>
        <w:rPr>
          <w:rFonts w:ascii="黑体" w:eastAsia="黑体"/>
          <w:b/>
          <w:color w:val="auto"/>
          <w:spacing w:val="40"/>
          <w:sz w:val="48"/>
          <w:szCs w:val="48"/>
        </w:rPr>
      </w:pPr>
      <w:r>
        <w:rPr>
          <w:rFonts w:hint="eastAsia" w:ascii="黑体" w:eastAsia="黑体"/>
          <w:b/>
          <w:color w:val="auto"/>
          <w:spacing w:val="40"/>
          <w:sz w:val="48"/>
          <w:szCs w:val="48"/>
        </w:rPr>
        <w:t>致委托方函</w:t>
      </w:r>
    </w:p>
    <w:p>
      <w:pPr>
        <w:spacing w:line="640" w:lineRule="exact"/>
        <w:rPr>
          <w:rFonts w:asciiTheme="minorEastAsia" w:hAnsiTheme="minorEastAsia" w:eastAsiaTheme="minorEastAsia"/>
          <w:b/>
          <w:color w:val="auto"/>
          <w:spacing w:val="6"/>
          <w:sz w:val="28"/>
          <w:szCs w:val="28"/>
        </w:rPr>
      </w:pPr>
      <w:r>
        <w:rPr>
          <w:rFonts w:hint="eastAsia" w:asciiTheme="minorEastAsia" w:hAnsiTheme="minorEastAsia" w:eastAsiaTheme="minorEastAsia"/>
          <w:b/>
          <w:color w:val="auto"/>
          <w:sz w:val="32"/>
          <w:szCs w:val="32"/>
          <w:lang w:eastAsia="zh-CN"/>
        </w:rPr>
        <w:t>通江县人民法院</w:t>
      </w:r>
      <w:r>
        <w:rPr>
          <w:rFonts w:hint="eastAsia" w:asciiTheme="minorEastAsia" w:hAnsiTheme="minorEastAsia" w:eastAsiaTheme="minorEastAsia"/>
          <w:b/>
          <w:color w:val="auto"/>
          <w:spacing w:val="6"/>
          <w:sz w:val="28"/>
          <w:szCs w:val="28"/>
        </w:rPr>
        <w:t>：</w:t>
      </w:r>
    </w:p>
    <w:p>
      <w:pPr>
        <w:spacing w:line="640" w:lineRule="exact"/>
        <w:ind w:left="2" w:leftChars="1" w:firstLine="584" w:firstLineChars="2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承蒙委托，本公司估价人员对</w:t>
      </w:r>
      <w:r>
        <w:rPr>
          <w:rFonts w:hint="eastAsia" w:asciiTheme="minorEastAsia" w:hAnsiTheme="minorEastAsia" w:eastAsiaTheme="minorEastAsia"/>
          <w:color w:val="auto"/>
          <w:spacing w:val="6"/>
          <w:sz w:val="28"/>
          <w:szCs w:val="28"/>
          <w:lang w:eastAsia="zh-CN"/>
        </w:rPr>
        <w:t>赵川</w:t>
      </w:r>
      <w:r>
        <w:rPr>
          <w:rFonts w:hint="eastAsia" w:asciiTheme="minorEastAsia" w:hAnsiTheme="minorEastAsia" w:eastAsiaTheme="minorEastAsia"/>
          <w:color w:val="auto"/>
          <w:spacing w:val="6"/>
          <w:sz w:val="28"/>
          <w:szCs w:val="28"/>
        </w:rPr>
        <w:t>所属位于</w:t>
      </w:r>
      <w:r>
        <w:rPr>
          <w:rFonts w:hint="eastAsia" w:asciiTheme="minorEastAsia" w:hAnsiTheme="minorEastAsia" w:eastAsiaTheme="minorEastAsia"/>
          <w:color w:val="auto"/>
          <w:sz w:val="28"/>
          <w:szCs w:val="28"/>
          <w:lang w:eastAsia="zh-CN"/>
        </w:rPr>
        <w:t>通江县诺江镇诺江东路1楼为营业用房；-1楼为</w:t>
      </w:r>
      <w:r>
        <w:rPr>
          <w:rFonts w:hint="eastAsia" w:asciiTheme="minorEastAsia" w:hAnsiTheme="minorEastAsia" w:eastAsiaTheme="minorEastAsia"/>
          <w:color w:val="auto"/>
          <w:spacing w:val="6"/>
          <w:sz w:val="28"/>
          <w:szCs w:val="28"/>
          <w:lang w:eastAsia="zh-CN"/>
        </w:rPr>
        <w:t>住宅用房</w:t>
      </w:r>
      <w:r>
        <w:rPr>
          <w:rFonts w:hint="eastAsia" w:asciiTheme="minorEastAsia" w:hAnsiTheme="minorEastAsia" w:eastAsiaTheme="minorEastAsia"/>
          <w:color w:val="auto"/>
          <w:spacing w:val="6"/>
          <w:sz w:val="28"/>
          <w:szCs w:val="28"/>
        </w:rPr>
        <w:t>的市场价格进行了评估，用于为委托方</w:t>
      </w:r>
      <w:r>
        <w:rPr>
          <w:rFonts w:hint="eastAsia" w:asciiTheme="minorEastAsia" w:hAnsiTheme="minorEastAsia" w:eastAsiaTheme="minorEastAsia"/>
          <w:color w:val="auto"/>
          <w:spacing w:val="6"/>
          <w:sz w:val="28"/>
          <w:szCs w:val="28"/>
          <w:lang w:eastAsia="zh-CN"/>
        </w:rPr>
        <w:t>执行通江县农村信用合作联社与赵川、杨俊梅借款合同纠纷一案中确定财产的处置参考价提供</w:t>
      </w:r>
      <w:r>
        <w:rPr>
          <w:rFonts w:hint="eastAsia" w:asciiTheme="minorEastAsia" w:hAnsiTheme="minorEastAsia" w:eastAsiaTheme="minorEastAsia"/>
          <w:color w:val="auto"/>
          <w:spacing w:val="6"/>
          <w:sz w:val="28"/>
          <w:szCs w:val="28"/>
        </w:rPr>
        <w:t>依据。</w:t>
      </w:r>
    </w:p>
    <w:p>
      <w:pPr>
        <w:spacing w:line="640" w:lineRule="exact"/>
        <w:ind w:firstLine="560" w:firstLineChars="200"/>
        <w:jc w:val="left"/>
        <w:rPr>
          <w:rFonts w:asciiTheme="minorEastAsia" w:hAnsiTheme="minorEastAsia" w:eastAsiaTheme="minorEastAsia"/>
          <w:color w:val="auto"/>
          <w:sz w:val="28"/>
          <w:szCs w:val="28"/>
          <w:shd w:val="clear" w:color="auto" w:fill="FFFFFF" w:themeFill="background1"/>
        </w:rPr>
      </w:pPr>
      <w:r>
        <w:rPr>
          <w:rFonts w:hint="eastAsia" w:ascii="宋体" w:hAnsi="宋体" w:cs="宋体"/>
          <w:color w:val="auto"/>
          <w:sz w:val="28"/>
          <w:szCs w:val="28"/>
        </w:rPr>
        <w:t>估价对象位于</w:t>
      </w:r>
      <w:r>
        <w:rPr>
          <w:rFonts w:hint="eastAsia" w:asciiTheme="minorEastAsia" w:hAnsiTheme="minorEastAsia" w:eastAsiaTheme="minorEastAsia"/>
          <w:color w:val="auto"/>
          <w:sz w:val="28"/>
          <w:szCs w:val="28"/>
          <w:lang w:eastAsia="zh-CN"/>
        </w:rPr>
        <w:t>通江县诺江镇诺江东路1楼为营业用房；-1楼为住宅</w:t>
      </w:r>
      <w:r>
        <w:rPr>
          <w:rFonts w:hint="eastAsia" w:ascii="宋体" w:hAnsi="宋体" w:cs="宋体"/>
          <w:color w:val="auto"/>
          <w:sz w:val="28"/>
          <w:szCs w:val="28"/>
        </w:rPr>
        <w:t>，</w:t>
      </w:r>
      <w:r>
        <w:rPr>
          <w:rFonts w:hint="eastAsia" w:ascii="宋体" w:hAnsi="宋体" w:cs="宋体"/>
          <w:color w:val="auto"/>
          <w:sz w:val="28"/>
          <w:szCs w:val="28"/>
          <w:lang w:eastAsia="zh-CN"/>
        </w:rPr>
        <w:t>根据委托方提供的《房屋所有权证》、《国有土地使用权证》载明，委估房地产《房屋所有权证》证号：房权证城字第</w:t>
      </w:r>
      <w:r>
        <w:rPr>
          <w:rFonts w:hint="eastAsia" w:ascii="宋体" w:hAnsi="宋体" w:cs="宋体"/>
          <w:color w:val="auto"/>
          <w:sz w:val="28"/>
          <w:szCs w:val="28"/>
          <w:lang w:val="en-US" w:eastAsia="zh-CN"/>
        </w:rPr>
        <w:t>2012041100181号、</w:t>
      </w:r>
      <w:r>
        <w:rPr>
          <w:rFonts w:hint="eastAsia" w:ascii="宋体" w:hAnsi="宋体" w:cs="宋体"/>
          <w:color w:val="auto"/>
          <w:sz w:val="28"/>
          <w:szCs w:val="28"/>
          <w:lang w:eastAsia="zh-CN"/>
        </w:rPr>
        <w:t>房权证城字第</w:t>
      </w:r>
      <w:r>
        <w:rPr>
          <w:rFonts w:hint="eastAsia" w:ascii="宋体" w:hAnsi="宋体" w:cs="宋体"/>
          <w:color w:val="auto"/>
          <w:sz w:val="28"/>
          <w:szCs w:val="28"/>
          <w:lang w:val="en-US" w:eastAsia="zh-CN"/>
        </w:rPr>
        <w:t>2012041100168号。根据</w:t>
      </w:r>
      <w:r>
        <w:rPr>
          <w:rFonts w:hint="eastAsia" w:ascii="宋体" w:hAnsi="宋体" w:cs="宋体"/>
          <w:color w:val="auto"/>
          <w:sz w:val="28"/>
          <w:szCs w:val="28"/>
          <w:lang w:eastAsia="zh-CN"/>
        </w:rPr>
        <w:t>房权证城字第</w:t>
      </w:r>
      <w:r>
        <w:rPr>
          <w:rFonts w:hint="eastAsia" w:ascii="宋体" w:hAnsi="宋体" w:cs="宋体"/>
          <w:color w:val="auto"/>
          <w:sz w:val="28"/>
          <w:szCs w:val="28"/>
          <w:lang w:val="en-US" w:eastAsia="zh-CN"/>
        </w:rPr>
        <w:t>2012041100181号房权证载明，委估房地产产权人为赵川，1楼为营业用房，</w:t>
      </w:r>
      <w:r>
        <w:rPr>
          <w:rFonts w:hint="eastAsia" w:ascii="宋体" w:hAnsi="宋体" w:cs="宋体"/>
          <w:color w:val="auto"/>
          <w:sz w:val="28"/>
          <w:szCs w:val="28"/>
          <w:lang w:eastAsia="zh-CN"/>
        </w:rPr>
        <w:t>建筑面积</w:t>
      </w:r>
      <w:r>
        <w:rPr>
          <w:rFonts w:hint="eastAsia" w:ascii="宋体" w:hAnsi="宋体" w:cs="宋体"/>
          <w:color w:val="auto"/>
          <w:sz w:val="28"/>
          <w:szCs w:val="28"/>
          <w:lang w:val="en-US" w:eastAsia="zh-CN"/>
        </w:rPr>
        <w:t>39.60平方米，-1楼为住宅，建筑面积39.60平方米；根据</w:t>
      </w:r>
      <w:r>
        <w:rPr>
          <w:rFonts w:hint="eastAsia" w:ascii="宋体" w:hAnsi="宋体" w:cs="宋体"/>
          <w:color w:val="auto"/>
          <w:sz w:val="28"/>
          <w:szCs w:val="28"/>
          <w:lang w:eastAsia="zh-CN"/>
        </w:rPr>
        <w:t>房权证城字第</w:t>
      </w:r>
      <w:r>
        <w:rPr>
          <w:rFonts w:hint="eastAsia" w:ascii="宋体" w:hAnsi="宋体" w:cs="宋体"/>
          <w:color w:val="auto"/>
          <w:sz w:val="28"/>
          <w:szCs w:val="28"/>
          <w:lang w:val="en-US" w:eastAsia="zh-CN"/>
        </w:rPr>
        <w:t>2012041100168号载明，房屋所有权人为赵川，1楼为营业用房，</w:t>
      </w:r>
      <w:r>
        <w:rPr>
          <w:rFonts w:hint="eastAsia" w:ascii="宋体" w:hAnsi="宋体" w:cs="宋体"/>
          <w:color w:val="auto"/>
          <w:sz w:val="28"/>
          <w:szCs w:val="28"/>
          <w:lang w:eastAsia="zh-CN"/>
        </w:rPr>
        <w:t>建筑面积</w:t>
      </w:r>
      <w:r>
        <w:rPr>
          <w:rFonts w:hint="eastAsia" w:ascii="宋体" w:hAnsi="宋体" w:cs="宋体"/>
          <w:color w:val="auto"/>
          <w:sz w:val="28"/>
          <w:szCs w:val="28"/>
          <w:lang w:val="en-US" w:eastAsia="zh-CN"/>
        </w:rPr>
        <w:t>31.36平方米，-1楼为住宅，建筑面积76.00平方米。根据《国有土地使用权证》载明土地用途为住宅，使用权面积：80.00平方米，土地使用权性质：划拨。</w:t>
      </w:r>
      <w:r>
        <w:rPr>
          <w:rFonts w:hint="eastAsia" w:ascii="宋体" w:hAnsi="宋体" w:cs="宋体"/>
          <w:color w:val="auto"/>
          <w:sz w:val="28"/>
          <w:szCs w:val="28"/>
        </w:rPr>
        <w:t>本次估价范围包括估价对象的建筑物及其分摊的土地使用权。</w:t>
      </w:r>
    </w:p>
    <w:p>
      <w:pPr>
        <w:spacing w:line="600" w:lineRule="exact"/>
        <w:ind w:firstLine="562" w:firstLineChars="200"/>
        <w:rPr>
          <w:rFonts w:ascii="宋体" w:hAnsi="宋体" w:cs="宋体"/>
          <w:color w:val="auto"/>
          <w:sz w:val="28"/>
          <w:szCs w:val="28"/>
        </w:rPr>
      </w:pPr>
      <w:r>
        <w:rPr>
          <w:rFonts w:hint="eastAsia" w:ascii="宋体" w:hAnsi="宋体" w:cs="宋体"/>
          <w:b/>
          <w:color w:val="auto"/>
          <w:sz w:val="28"/>
          <w:szCs w:val="28"/>
        </w:rPr>
        <w:t>估价目的:</w:t>
      </w:r>
      <w:r>
        <w:rPr>
          <w:rFonts w:hint="eastAsia" w:asciiTheme="minorEastAsia" w:hAnsiTheme="minorEastAsia" w:eastAsiaTheme="minorEastAsia"/>
          <w:color w:val="auto"/>
          <w:spacing w:val="6"/>
          <w:sz w:val="28"/>
          <w:szCs w:val="28"/>
        </w:rPr>
        <w:t>为委托方</w:t>
      </w:r>
      <w:r>
        <w:rPr>
          <w:rFonts w:hint="eastAsia" w:asciiTheme="minorEastAsia" w:hAnsiTheme="minorEastAsia" w:eastAsiaTheme="minorEastAsia"/>
          <w:color w:val="auto"/>
          <w:spacing w:val="6"/>
          <w:sz w:val="28"/>
          <w:szCs w:val="28"/>
          <w:lang w:eastAsia="zh-CN"/>
        </w:rPr>
        <w:t>执行通江县农村信用合作联社与赵川、杨俊梅借款合同纠纷一案中确定财产的处置参考价提供</w:t>
      </w:r>
      <w:r>
        <w:rPr>
          <w:rFonts w:hint="eastAsia" w:asciiTheme="minorEastAsia" w:hAnsiTheme="minorEastAsia" w:eastAsiaTheme="minorEastAsia"/>
          <w:color w:val="auto"/>
          <w:spacing w:val="6"/>
          <w:sz w:val="28"/>
          <w:szCs w:val="28"/>
        </w:rPr>
        <w:t>依据。</w:t>
      </w:r>
    </w:p>
    <w:p>
      <w:pPr>
        <w:spacing w:line="600" w:lineRule="exact"/>
        <w:ind w:firstLine="540" w:firstLineChars="192"/>
        <w:rPr>
          <w:rFonts w:ascii="宋体" w:hAnsi="宋体" w:cs="宋体"/>
          <w:color w:val="auto"/>
          <w:sz w:val="28"/>
          <w:szCs w:val="28"/>
        </w:rPr>
      </w:pPr>
      <w:r>
        <w:rPr>
          <w:rFonts w:hint="eastAsia" w:ascii="宋体" w:hAnsi="宋体" w:cs="宋体"/>
          <w:b/>
          <w:color w:val="auto"/>
          <w:sz w:val="28"/>
          <w:szCs w:val="28"/>
        </w:rPr>
        <w:t>价值时点</w:t>
      </w:r>
      <w:r>
        <w:rPr>
          <w:rFonts w:hint="eastAsia" w:ascii="宋体" w:hAnsi="宋体" w:cs="宋体"/>
          <w:snapToGrid w:val="0"/>
          <w:color w:val="auto"/>
          <w:kern w:val="0"/>
          <w:sz w:val="28"/>
          <w:szCs w:val="28"/>
        </w:rPr>
        <w:t>：</w:t>
      </w:r>
      <w:r>
        <w:rPr>
          <w:rFonts w:hint="eastAsia" w:ascii="宋体" w:hAnsi="宋体"/>
          <w:color w:val="auto"/>
          <w:spacing w:val="6"/>
          <w:sz w:val="28"/>
          <w:szCs w:val="28"/>
          <w:lang w:eastAsia="zh-CN"/>
        </w:rPr>
        <w:t>2022年9月26日</w:t>
      </w:r>
      <w:r>
        <w:rPr>
          <w:rFonts w:hint="eastAsia" w:ascii="宋体" w:hAnsi="宋体"/>
          <w:color w:val="auto"/>
          <w:spacing w:val="6"/>
          <w:sz w:val="28"/>
          <w:szCs w:val="28"/>
        </w:rPr>
        <w:t>（查看现场之日）</w:t>
      </w:r>
    </w:p>
    <w:p>
      <w:pPr>
        <w:spacing w:line="600" w:lineRule="exact"/>
        <w:ind w:firstLine="562" w:firstLineChars="200"/>
        <w:rPr>
          <w:rFonts w:ascii="宋体" w:hAnsi="宋体"/>
          <w:bCs/>
          <w:color w:val="auto"/>
          <w:spacing w:val="6"/>
          <w:sz w:val="28"/>
          <w:szCs w:val="28"/>
        </w:rPr>
      </w:pPr>
      <w:r>
        <w:rPr>
          <w:rFonts w:hint="eastAsia" w:ascii="宋体" w:hAnsi="宋体" w:cs="宋体"/>
          <w:b/>
          <w:color w:val="auto"/>
          <w:sz w:val="28"/>
          <w:szCs w:val="28"/>
        </w:rPr>
        <w:t>价值类型：</w:t>
      </w:r>
      <w:r>
        <w:rPr>
          <w:rFonts w:hint="eastAsia" w:ascii="宋体" w:hAnsi="宋体" w:cs="宋体"/>
          <w:bCs/>
          <w:color w:val="auto"/>
          <w:sz w:val="28"/>
          <w:szCs w:val="28"/>
        </w:rPr>
        <w:t>公开市场价值。</w:t>
      </w:r>
    </w:p>
    <w:p>
      <w:pPr>
        <w:spacing w:line="600" w:lineRule="exact"/>
        <w:ind w:firstLine="537" w:firstLineChars="192"/>
        <w:rPr>
          <w:rFonts w:hint="eastAsia" w:ascii="宋体" w:hAnsi="宋体" w:cs="宋体"/>
          <w:bCs/>
          <w:color w:val="auto"/>
          <w:sz w:val="28"/>
          <w:szCs w:val="28"/>
        </w:rPr>
      </w:pPr>
      <w:r>
        <w:rPr>
          <w:rFonts w:hint="eastAsia" w:ascii="宋体" w:hAnsi="宋体" w:cs="宋体"/>
          <w:bCs/>
          <w:color w:val="auto"/>
          <w:sz w:val="28"/>
          <w:szCs w:val="28"/>
        </w:rPr>
        <w:t>估价方法：我公司根据本次评估目的，经过现场查看和市场调查，遵循</w:t>
      </w:r>
    </w:p>
    <w:p>
      <w:pPr>
        <w:spacing w:line="600" w:lineRule="exact"/>
        <w:rPr>
          <w:rFonts w:hint="eastAsia" w:ascii="宋体" w:hAnsi="宋体" w:cs="宋体"/>
          <w:bCs/>
          <w:color w:val="auto"/>
          <w:sz w:val="28"/>
          <w:szCs w:val="28"/>
        </w:rPr>
      </w:pPr>
      <w:r>
        <w:rPr>
          <w:rFonts w:hint="eastAsia" w:ascii="宋体" w:hAnsi="宋体" w:cs="宋体"/>
          <w:bCs/>
          <w:color w:val="auto"/>
          <w:sz w:val="28"/>
          <w:szCs w:val="28"/>
        </w:rPr>
        <w:t>估价原则，结合估价对象的实际情况，本次估价采用比较法</w:t>
      </w:r>
      <w:r>
        <w:rPr>
          <w:rFonts w:hint="eastAsia" w:ascii="宋体" w:hAnsi="宋体" w:cs="宋体"/>
          <w:bCs/>
          <w:color w:val="auto"/>
          <w:sz w:val="28"/>
          <w:szCs w:val="28"/>
          <w:lang w:eastAsia="zh-CN"/>
        </w:rPr>
        <w:t>、收益法</w:t>
      </w:r>
      <w:r>
        <w:rPr>
          <w:rFonts w:hint="eastAsia" w:ascii="宋体" w:hAnsi="宋体" w:cs="宋体"/>
          <w:bCs/>
          <w:color w:val="auto"/>
          <w:sz w:val="28"/>
          <w:szCs w:val="28"/>
        </w:rPr>
        <w:t>对委估房地产价格进行了评估。</w:t>
      </w:r>
    </w:p>
    <w:p>
      <w:pPr>
        <w:tabs>
          <w:tab w:val="left" w:pos="6426"/>
          <w:tab w:val="left" w:pos="7749"/>
        </w:tabs>
        <w:spacing w:line="640" w:lineRule="exact"/>
        <w:ind w:firstLine="562" w:firstLineChars="200"/>
        <w:rPr>
          <w:rFonts w:hint="eastAsia" w:ascii="宋体" w:hAnsi="宋体" w:cs="宋体"/>
          <w:color w:val="auto"/>
          <w:sz w:val="28"/>
          <w:szCs w:val="28"/>
        </w:rPr>
      </w:pPr>
      <w:r>
        <w:rPr>
          <w:rFonts w:hint="eastAsia" w:ascii="宋体" w:hAnsi="宋体" w:cs="宋体"/>
          <w:b/>
          <w:snapToGrid w:val="0"/>
          <w:color w:val="auto"/>
          <w:kern w:val="0"/>
          <w:sz w:val="28"/>
          <w:szCs w:val="28"/>
        </w:rPr>
        <w:t>估价结果：</w:t>
      </w:r>
      <w:r>
        <w:rPr>
          <w:rFonts w:hint="eastAsia" w:ascii="宋体" w:hAnsi="宋体" w:cs="宋体"/>
          <w:snapToGrid w:val="0"/>
          <w:color w:val="auto"/>
          <w:kern w:val="0"/>
          <w:sz w:val="28"/>
          <w:szCs w:val="28"/>
        </w:rPr>
        <w:t>我</w:t>
      </w:r>
      <w:r>
        <w:rPr>
          <w:rFonts w:hint="eastAsia" w:ascii="宋体" w:hAnsi="宋体" w:cs="宋体"/>
          <w:color w:val="auto"/>
          <w:sz w:val="28"/>
          <w:szCs w:val="28"/>
        </w:rPr>
        <w:t>公司注册房地产估价师根据特定的估价目的，遵循公认的</w:t>
      </w:r>
    </w:p>
    <w:p>
      <w:pPr>
        <w:tabs>
          <w:tab w:val="left" w:pos="6426"/>
          <w:tab w:val="left" w:pos="7749"/>
        </w:tabs>
        <w:spacing w:line="640" w:lineRule="exact"/>
        <w:rPr>
          <w:rFonts w:hint="eastAsia" w:ascii="宋体" w:hAnsi="宋体" w:cs="宋体"/>
          <w:color w:val="auto"/>
          <w:sz w:val="28"/>
          <w:szCs w:val="28"/>
        </w:rPr>
      </w:pPr>
      <w:r>
        <w:rPr>
          <w:rFonts w:hint="eastAsia" w:ascii="宋体" w:hAnsi="宋体" w:cs="宋体"/>
          <w:color w:val="auto"/>
          <w:sz w:val="28"/>
          <w:szCs w:val="28"/>
        </w:rPr>
        <w:t>估价原则，按照严谨的估价程序，选用适当的估价方法，在对影响估价对象</w:t>
      </w:r>
    </w:p>
    <w:p>
      <w:pPr>
        <w:tabs>
          <w:tab w:val="left" w:pos="6426"/>
          <w:tab w:val="left" w:pos="7749"/>
        </w:tabs>
        <w:spacing w:line="640" w:lineRule="exact"/>
        <w:rPr>
          <w:rFonts w:ascii="宋体" w:hAnsi="宋体" w:cs="宋体"/>
          <w:color w:val="auto"/>
          <w:spacing w:val="-16"/>
          <w:sz w:val="28"/>
          <w:szCs w:val="28"/>
        </w:rPr>
      </w:pPr>
      <w:r>
        <w:rPr>
          <w:rFonts w:hint="eastAsia" w:ascii="宋体" w:hAnsi="宋体" w:cs="宋体"/>
          <w:color w:val="auto"/>
          <w:sz w:val="28"/>
          <w:szCs w:val="28"/>
        </w:rPr>
        <w:t>价值因素进行综合分析的基础上，估价对象满足</w:t>
      </w:r>
      <w:r>
        <w:rPr>
          <w:rFonts w:hint="eastAsia" w:ascii="宋体" w:hAnsi="宋体" w:cs="宋体"/>
          <w:color w:val="auto"/>
          <w:spacing w:val="-16"/>
          <w:sz w:val="28"/>
          <w:szCs w:val="28"/>
        </w:rPr>
        <w:t>“估价假设和限制条件”的前提</w:t>
      </w:r>
    </w:p>
    <w:p>
      <w:pPr>
        <w:ind w:left="5208" w:hanging="5208" w:hangingChars="2100"/>
        <w:jc w:val="left"/>
        <w:rPr>
          <w:rFonts w:hint="eastAsia" w:ascii="宋体" w:hAnsi="宋体" w:cs="宋体"/>
          <w:color w:val="auto"/>
          <w:sz w:val="28"/>
          <w:szCs w:val="28"/>
        </w:rPr>
      </w:pPr>
      <w:r>
        <w:rPr>
          <w:rFonts w:hint="eastAsia" w:ascii="宋体" w:hAnsi="宋体" w:cs="宋体"/>
          <w:color w:val="auto"/>
          <w:spacing w:val="-16"/>
          <w:sz w:val="28"/>
          <w:szCs w:val="28"/>
        </w:rPr>
        <w:t>下</w:t>
      </w:r>
      <w:r>
        <w:rPr>
          <w:rFonts w:hint="eastAsia" w:ascii="宋体" w:hAnsi="宋体" w:cs="宋体"/>
          <w:color w:val="auto"/>
          <w:sz w:val="28"/>
          <w:szCs w:val="28"/>
        </w:rPr>
        <w:t xml:space="preserve">在价值时点的市场价值评估结果如下： </w:t>
      </w:r>
    </w:p>
    <w:p>
      <w:pPr>
        <w:ind w:left="5208" w:hanging="5880" w:hangingChars="2100"/>
        <w:jc w:val="left"/>
        <w:rPr>
          <w:rFonts w:hint="eastAsia" w:ascii="宋体" w:hAnsi="宋体" w:cs="宋体"/>
          <w:b/>
          <w:color w:val="auto"/>
          <w:sz w:val="32"/>
          <w:szCs w:val="32"/>
        </w:rPr>
      </w:pPr>
      <w:r>
        <w:rPr>
          <w:rFonts w:hint="eastAsia" w:ascii="宋体" w:hAnsi="宋体" w:cs="宋体"/>
          <w:color w:val="auto"/>
          <w:sz w:val="28"/>
          <w:szCs w:val="28"/>
        </w:rPr>
        <w:t xml:space="preserve">   </w:t>
      </w:r>
      <w:r>
        <w:rPr>
          <w:rFonts w:hint="eastAsia" w:ascii="宋体" w:hAnsi="宋体" w:cs="宋体"/>
          <w:color w:val="auto"/>
          <w:sz w:val="28"/>
          <w:szCs w:val="28"/>
          <w:lang w:val="en-US" w:eastAsia="zh-CN"/>
        </w:rPr>
        <w:t xml:space="preserve">                 </w:t>
      </w:r>
      <w:r>
        <w:rPr>
          <w:rFonts w:hint="eastAsia" w:ascii="宋体" w:hAnsi="宋体" w:cs="宋体"/>
          <w:b/>
          <w:color w:val="auto"/>
          <w:sz w:val="32"/>
          <w:szCs w:val="32"/>
        </w:rPr>
        <w:t>委估房地产评估结果一览表</w:t>
      </w:r>
      <w:r>
        <w:rPr>
          <w:rFonts w:hint="eastAsia" w:ascii="宋体" w:hAnsi="宋体" w:cs="宋体"/>
          <w:color w:val="000000"/>
          <w:kern w:val="0"/>
          <w:sz w:val="20"/>
          <w:szCs w:val="20"/>
          <w:lang w:val="en-US" w:eastAsia="zh-CN"/>
        </w:rPr>
        <w:t xml:space="preserve">                                                                      </w:t>
      </w:r>
    </w:p>
    <w:tbl>
      <w:tblPr>
        <w:tblStyle w:val="21"/>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55"/>
        <w:gridCol w:w="2922"/>
        <w:gridCol w:w="1441"/>
        <w:gridCol w:w="1249"/>
        <w:gridCol w:w="1358"/>
        <w:gridCol w:w="142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0"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产权人</w:t>
            </w:r>
          </w:p>
        </w:tc>
        <w:tc>
          <w:tcPr>
            <w:tcW w:w="15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坐落</w:t>
            </w:r>
          </w:p>
        </w:tc>
        <w:tc>
          <w:tcPr>
            <w:tcW w:w="7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建筑面积（㎡）</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用途</w:t>
            </w:r>
          </w:p>
        </w:tc>
        <w:tc>
          <w:tcPr>
            <w:tcW w:w="7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评估单价（元/㎡）</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评估值（元）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0"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赵川</w:t>
            </w:r>
          </w:p>
        </w:tc>
        <w:tc>
          <w:tcPr>
            <w:tcW w:w="15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通江县诺江镇诺江东路1楼为营业房:-1楼为住宅</w:t>
            </w:r>
          </w:p>
        </w:tc>
        <w:tc>
          <w:tcPr>
            <w:tcW w:w="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39.6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非住宅</w:t>
            </w: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14596</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578,002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0"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赵川</w:t>
            </w:r>
          </w:p>
        </w:tc>
        <w:tc>
          <w:tcPr>
            <w:tcW w:w="15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通江县诺江镇诺江东路1楼为营业房:-1楼为住宅</w:t>
            </w:r>
          </w:p>
        </w:tc>
        <w:tc>
          <w:tcPr>
            <w:tcW w:w="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39.6</w:t>
            </w:r>
            <w:bookmarkStart w:id="26" w:name="_GoBack"/>
            <w:bookmarkEnd w:id="26"/>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住宅</w:t>
            </w: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1827</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72,349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0"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赵川</w:t>
            </w:r>
          </w:p>
        </w:tc>
        <w:tc>
          <w:tcPr>
            <w:tcW w:w="15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通江县诺江镇诺江东路1楼为营业房:-1楼为住宅</w:t>
            </w:r>
          </w:p>
        </w:tc>
        <w:tc>
          <w:tcPr>
            <w:tcW w:w="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31.36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非住宅</w:t>
            </w: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14596</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457,731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0"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赵川</w:t>
            </w:r>
          </w:p>
        </w:tc>
        <w:tc>
          <w:tcPr>
            <w:tcW w:w="15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通江县诺江镇诺江东路1楼为营业房:-1楼为住宅</w:t>
            </w:r>
          </w:p>
        </w:tc>
        <w:tc>
          <w:tcPr>
            <w:tcW w:w="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76</w:t>
            </w:r>
            <w:r>
              <w:rPr>
                <w:rFonts w:hint="eastAsia" w:ascii="宋体" w:hAnsi="宋体" w:cs="宋体"/>
                <w:i w:val="0"/>
                <w:iCs w:val="0"/>
                <w:color w:val="000000"/>
                <w:kern w:val="0"/>
                <w:sz w:val="21"/>
                <w:szCs w:val="21"/>
                <w:u w:val="none"/>
                <w:lang w:val="en-US" w:eastAsia="zh-CN" w:bidi="ar"/>
              </w:rPr>
              <w:t>.00</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住宅</w:t>
            </w: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1827</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138,852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7"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合计</w:t>
            </w:r>
          </w:p>
        </w:tc>
        <w:tc>
          <w:tcPr>
            <w:tcW w:w="1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c>
          <w:tcPr>
            <w:tcW w:w="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1,246,934</w:t>
            </w:r>
          </w:p>
        </w:tc>
      </w:tr>
    </w:tbl>
    <w:p>
      <w:pPr>
        <w:tabs>
          <w:tab w:val="left" w:pos="6426"/>
          <w:tab w:val="left" w:pos="7749"/>
        </w:tabs>
        <w:spacing w:line="360" w:lineRule="auto"/>
        <w:ind w:left="4" w:firstLine="554" w:firstLineChars="198"/>
        <w:rPr>
          <w:rFonts w:hint="eastAsia" w:ascii="宋体" w:hAnsi="宋体"/>
          <w:color w:val="auto"/>
          <w:sz w:val="28"/>
          <w:szCs w:val="28"/>
        </w:rPr>
      </w:pPr>
    </w:p>
    <w:p>
      <w:pPr>
        <w:tabs>
          <w:tab w:val="left" w:pos="6426"/>
          <w:tab w:val="left" w:pos="7749"/>
        </w:tabs>
        <w:spacing w:line="360" w:lineRule="auto"/>
        <w:ind w:left="4" w:firstLine="554" w:firstLineChars="198"/>
        <w:rPr>
          <w:rFonts w:ascii="宋体" w:hAnsi="宋体" w:cs="宋体"/>
          <w:b/>
          <w:bCs/>
          <w:color w:val="auto"/>
          <w:sz w:val="28"/>
          <w:szCs w:val="28"/>
        </w:rPr>
      </w:pPr>
      <w:r>
        <w:rPr>
          <w:rFonts w:hint="eastAsia" w:ascii="宋体" w:hAnsi="宋体"/>
          <w:color w:val="auto"/>
          <w:sz w:val="28"/>
          <w:szCs w:val="28"/>
        </w:rPr>
        <w:t>委估房地产在价值时点</w:t>
      </w:r>
      <w:r>
        <w:rPr>
          <w:rFonts w:hint="eastAsia" w:ascii="宋体" w:hAnsi="宋体"/>
          <w:color w:val="auto"/>
          <w:spacing w:val="6"/>
          <w:sz w:val="28"/>
          <w:szCs w:val="28"/>
          <w:lang w:eastAsia="zh-CN"/>
        </w:rPr>
        <w:t>2022年9月26日</w:t>
      </w:r>
      <w:r>
        <w:rPr>
          <w:rFonts w:hint="eastAsia" w:ascii="宋体" w:hAnsi="宋体"/>
          <w:color w:val="auto"/>
          <w:sz w:val="28"/>
          <w:szCs w:val="28"/>
        </w:rPr>
        <w:t>的</w:t>
      </w:r>
      <w:r>
        <w:rPr>
          <w:rFonts w:hint="eastAsia" w:ascii="宋体" w:hAnsi="宋体" w:cs="宋体"/>
          <w:color w:val="auto"/>
          <w:sz w:val="28"/>
          <w:szCs w:val="28"/>
        </w:rPr>
        <w:t>市场价值</w:t>
      </w:r>
      <w:r>
        <w:rPr>
          <w:rFonts w:hint="eastAsia" w:ascii="宋体" w:hAnsi="宋体"/>
          <w:color w:val="auto"/>
          <w:sz w:val="28"/>
          <w:szCs w:val="28"/>
        </w:rPr>
        <w:t>评估总值为人民币(小写)</w:t>
      </w:r>
      <w:r>
        <w:rPr>
          <w:rFonts w:hint="eastAsia" w:ascii="宋体" w:hAnsi="宋体"/>
          <w:b/>
          <w:color w:val="auto"/>
          <w:sz w:val="28"/>
          <w:szCs w:val="28"/>
        </w:rPr>
        <w:t>:</w:t>
      </w:r>
      <w:r>
        <w:rPr>
          <w:rFonts w:hint="eastAsia" w:ascii="宋体" w:hAnsi="宋体" w:cs="宋体"/>
          <w:b/>
          <w:bCs/>
          <w:color w:val="auto"/>
          <w:kern w:val="0"/>
          <w:sz w:val="28"/>
          <w:szCs w:val="28"/>
          <w:lang w:eastAsia="zh-CN"/>
        </w:rPr>
        <w:t>1,246,934</w:t>
      </w:r>
      <w:r>
        <w:rPr>
          <w:rFonts w:hint="eastAsia" w:ascii="宋体" w:hAnsi="宋体" w:cs="宋体"/>
          <w:color w:val="auto"/>
          <w:kern w:val="0"/>
          <w:sz w:val="28"/>
          <w:szCs w:val="28"/>
        </w:rPr>
        <w:t>元</w:t>
      </w:r>
      <w:r>
        <w:rPr>
          <w:rFonts w:hint="eastAsia" w:ascii="宋体" w:hAnsi="宋体"/>
          <w:b/>
          <w:color w:val="auto"/>
          <w:sz w:val="28"/>
          <w:szCs w:val="28"/>
        </w:rPr>
        <w:t>；</w:t>
      </w:r>
      <w:r>
        <w:rPr>
          <w:rFonts w:hint="eastAsia" w:ascii="宋体" w:hAnsi="宋体"/>
          <w:color w:val="auto"/>
          <w:sz w:val="28"/>
          <w:szCs w:val="28"/>
        </w:rPr>
        <w:t>人民币大写</w:t>
      </w:r>
      <w:r>
        <w:rPr>
          <w:rFonts w:hint="eastAsia" w:ascii="宋体" w:hAnsi="宋体"/>
          <w:b/>
          <w:color w:val="auto"/>
          <w:sz w:val="28"/>
          <w:szCs w:val="28"/>
        </w:rPr>
        <w:t>:</w:t>
      </w:r>
      <w:r>
        <w:rPr>
          <w:rFonts w:hint="eastAsia" w:ascii="宋体" w:hAnsi="宋体"/>
          <w:b/>
          <w:bCs/>
          <w:color w:val="auto"/>
          <w:sz w:val="28"/>
          <w:szCs w:val="28"/>
          <w:lang w:eastAsia="zh-CN"/>
        </w:rPr>
        <w:t>壹佰贰拾肆万陆仟玖佰叁拾肆</w:t>
      </w:r>
      <w:r>
        <w:rPr>
          <w:rFonts w:hint="eastAsia" w:ascii="宋体" w:hAnsi="宋体"/>
          <w:b/>
          <w:color w:val="auto"/>
          <w:sz w:val="28"/>
          <w:szCs w:val="28"/>
        </w:rPr>
        <w:t>元整</w:t>
      </w:r>
      <w:r>
        <w:rPr>
          <w:rFonts w:hint="eastAsia" w:ascii="宋体" w:hAnsi="宋体" w:cs="宋体"/>
          <w:b/>
          <w:bCs/>
          <w:color w:val="auto"/>
          <w:sz w:val="28"/>
          <w:szCs w:val="28"/>
        </w:rPr>
        <w:t>。</w:t>
      </w:r>
    </w:p>
    <w:p>
      <w:pPr>
        <w:tabs>
          <w:tab w:val="left" w:pos="6426"/>
          <w:tab w:val="left" w:pos="7749"/>
        </w:tabs>
        <w:spacing w:line="360" w:lineRule="auto"/>
        <w:ind w:firstLine="554" w:firstLineChars="197"/>
        <w:rPr>
          <w:rFonts w:ascii="宋体" w:hAnsi="宋体" w:cs="宋体"/>
          <w:color w:val="auto"/>
          <w:kern w:val="0"/>
          <w:sz w:val="28"/>
          <w:szCs w:val="28"/>
        </w:rPr>
      </w:pPr>
      <w:r>
        <w:rPr>
          <w:rFonts w:hint="eastAsia" w:ascii="宋体" w:hAnsi="宋体" w:cs="宋体"/>
          <w:b/>
          <w:color w:val="auto"/>
          <w:sz w:val="28"/>
          <w:szCs w:val="28"/>
        </w:rPr>
        <w:t>特别提示：</w:t>
      </w:r>
      <w:r>
        <w:rPr>
          <w:rFonts w:hint="eastAsia" w:ascii="宋体" w:hAnsi="宋体" w:cs="宋体"/>
          <w:color w:val="auto"/>
          <w:kern w:val="0"/>
          <w:sz w:val="28"/>
          <w:szCs w:val="28"/>
        </w:rPr>
        <w:t>本估价报告仅</w:t>
      </w:r>
      <w:r>
        <w:rPr>
          <w:rFonts w:hint="eastAsia" w:ascii="宋体" w:hAnsi="宋体"/>
          <w:color w:val="auto"/>
          <w:spacing w:val="6"/>
          <w:sz w:val="28"/>
          <w:szCs w:val="28"/>
        </w:rPr>
        <w:t>作</w:t>
      </w:r>
      <w:r>
        <w:rPr>
          <w:rFonts w:hint="eastAsia" w:asciiTheme="minorEastAsia" w:hAnsiTheme="minorEastAsia" w:eastAsiaTheme="minorEastAsia"/>
          <w:color w:val="auto"/>
          <w:spacing w:val="6"/>
          <w:sz w:val="28"/>
          <w:szCs w:val="28"/>
        </w:rPr>
        <w:t>为委托方</w:t>
      </w:r>
      <w:r>
        <w:rPr>
          <w:rFonts w:hint="eastAsia" w:asciiTheme="minorEastAsia" w:hAnsiTheme="minorEastAsia" w:eastAsiaTheme="minorEastAsia"/>
          <w:color w:val="auto"/>
          <w:spacing w:val="6"/>
          <w:sz w:val="28"/>
          <w:szCs w:val="28"/>
          <w:lang w:eastAsia="zh-CN"/>
        </w:rPr>
        <w:t>执行通江县农村信用合作联社与赵川、杨俊梅借款合同纠纷一案中确定财产的处置参考价提供</w:t>
      </w:r>
      <w:r>
        <w:rPr>
          <w:rFonts w:hint="eastAsia" w:asciiTheme="minorEastAsia" w:hAnsiTheme="minorEastAsia" w:eastAsiaTheme="minorEastAsia"/>
          <w:color w:val="auto"/>
          <w:spacing w:val="6"/>
          <w:sz w:val="28"/>
          <w:szCs w:val="28"/>
        </w:rPr>
        <w:t>依据</w:t>
      </w:r>
      <w:r>
        <w:rPr>
          <w:rFonts w:hint="eastAsia" w:ascii="宋体" w:hAnsi="宋体" w:cs="宋体"/>
          <w:color w:val="auto"/>
          <w:kern w:val="0"/>
          <w:sz w:val="28"/>
          <w:szCs w:val="28"/>
        </w:rPr>
        <w:t>，不得用作其他目的，使用期限为壹年（自</w:t>
      </w:r>
      <w:r>
        <w:rPr>
          <w:rFonts w:hint="eastAsia" w:ascii="宋体" w:hAnsi="宋体" w:cs="宋体"/>
          <w:color w:val="auto"/>
          <w:kern w:val="0"/>
          <w:sz w:val="28"/>
          <w:szCs w:val="28"/>
          <w:lang w:eastAsia="zh-CN"/>
        </w:rPr>
        <w:t>2022年10月8日</w:t>
      </w:r>
      <w:r>
        <w:rPr>
          <w:rFonts w:hint="eastAsia" w:ascii="宋体" w:hAnsi="宋体" w:cs="宋体"/>
          <w:color w:val="auto"/>
          <w:kern w:val="0"/>
          <w:sz w:val="28"/>
          <w:szCs w:val="28"/>
        </w:rPr>
        <w:t>起至</w:t>
      </w:r>
      <w:r>
        <w:rPr>
          <w:rFonts w:hint="eastAsia" w:ascii="宋体" w:hAnsi="宋体" w:cs="宋体"/>
          <w:color w:val="auto"/>
          <w:kern w:val="0"/>
          <w:sz w:val="28"/>
          <w:szCs w:val="28"/>
          <w:lang w:eastAsia="zh-CN"/>
        </w:rPr>
        <w:t>2023年10月7日</w:t>
      </w:r>
      <w:r>
        <w:rPr>
          <w:rFonts w:hint="eastAsia" w:ascii="宋体" w:hAnsi="宋体" w:cs="宋体"/>
          <w:color w:val="auto"/>
          <w:kern w:val="0"/>
          <w:sz w:val="28"/>
          <w:szCs w:val="28"/>
        </w:rPr>
        <w:t>止）。</w:t>
      </w:r>
    </w:p>
    <w:p>
      <w:pPr>
        <w:ind w:firstLine="560" w:firstLineChars="200"/>
        <w:rPr>
          <w:rFonts w:hint="eastAsia" w:ascii="宋体" w:hAnsi="宋体" w:cs="宋体"/>
          <w:color w:val="auto"/>
          <w:sz w:val="28"/>
          <w:szCs w:val="28"/>
        </w:rPr>
      </w:pPr>
      <w:r>
        <w:rPr>
          <w:rFonts w:hint="eastAsia" w:ascii="宋体" w:hAnsi="宋体" w:cs="宋体"/>
          <w:color w:val="auto"/>
          <w:sz w:val="28"/>
          <w:szCs w:val="28"/>
        </w:rPr>
        <w:t>上述结论摘自川四星司字</w:t>
      </w:r>
      <w:r>
        <w:rPr>
          <w:rFonts w:hint="eastAsia" w:ascii="宋体" w:hAnsi="宋体" w:cs="宋体"/>
          <w:color w:val="auto"/>
          <w:sz w:val="28"/>
          <w:szCs w:val="28"/>
          <w:lang w:eastAsia="zh-CN"/>
        </w:rPr>
        <w:t>[2022]039号</w:t>
      </w:r>
      <w:r>
        <w:rPr>
          <w:rFonts w:hint="eastAsia" w:ascii="宋体" w:hAnsi="宋体" w:cs="宋体"/>
          <w:color w:val="auto"/>
          <w:sz w:val="28"/>
          <w:szCs w:val="28"/>
        </w:rPr>
        <w:t>“</w:t>
      </w:r>
      <w:r>
        <w:rPr>
          <w:rFonts w:hint="eastAsia" w:asciiTheme="minorEastAsia" w:hAnsiTheme="minorEastAsia" w:eastAsiaTheme="minorEastAsia"/>
          <w:color w:val="auto"/>
          <w:spacing w:val="6"/>
          <w:sz w:val="28"/>
          <w:szCs w:val="28"/>
          <w:lang w:eastAsia="zh-CN"/>
        </w:rPr>
        <w:t>赵川</w:t>
      </w:r>
      <w:r>
        <w:rPr>
          <w:rFonts w:hint="eastAsia" w:asciiTheme="minorEastAsia" w:hAnsiTheme="minorEastAsia" w:eastAsiaTheme="minorEastAsia"/>
          <w:color w:val="auto"/>
          <w:spacing w:val="6"/>
          <w:sz w:val="28"/>
          <w:szCs w:val="28"/>
        </w:rPr>
        <w:t>所属位于</w:t>
      </w:r>
      <w:r>
        <w:rPr>
          <w:rFonts w:hint="eastAsia" w:asciiTheme="minorEastAsia" w:hAnsiTheme="minorEastAsia" w:eastAsiaTheme="minorEastAsia"/>
          <w:color w:val="auto"/>
          <w:sz w:val="28"/>
          <w:szCs w:val="28"/>
          <w:lang w:eastAsia="zh-CN"/>
        </w:rPr>
        <w:t>通江县诺江镇诺江东路1楼为营业用房；-1楼为住宅</w:t>
      </w:r>
      <w:r>
        <w:rPr>
          <w:rFonts w:hint="eastAsia" w:asciiTheme="minorEastAsia" w:hAnsiTheme="minorEastAsia" w:eastAsiaTheme="minorEastAsia"/>
          <w:color w:val="auto"/>
          <w:sz w:val="28"/>
          <w:szCs w:val="28"/>
        </w:rPr>
        <w:t>房地产</w:t>
      </w:r>
      <w:r>
        <w:rPr>
          <w:rFonts w:hint="eastAsia" w:ascii="宋体" w:hAnsi="宋体" w:cs="宋体"/>
          <w:color w:val="auto"/>
          <w:sz w:val="28"/>
          <w:szCs w:val="28"/>
        </w:rPr>
        <w:t>市场价值评估”报告书，应用时应认真阅读本估价报告书全文。</w:t>
      </w:r>
    </w:p>
    <w:p>
      <w:pPr>
        <w:ind w:firstLine="876" w:firstLineChars="300"/>
        <w:jc w:val="left"/>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此 致</w:t>
      </w:r>
    </w:p>
    <w:p>
      <w:pPr>
        <w:ind w:firstLine="5548" w:firstLineChars="19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法定代表人(签章)</w:t>
      </w:r>
    </w:p>
    <w:p>
      <w:pPr>
        <w:rPr>
          <w:rFonts w:asciiTheme="minorEastAsia" w:hAnsiTheme="minorEastAsia" w:eastAsiaTheme="minorEastAsia"/>
          <w:b/>
          <w:color w:val="auto"/>
          <w:spacing w:val="6"/>
          <w:sz w:val="28"/>
          <w:szCs w:val="28"/>
        </w:rPr>
      </w:pPr>
      <w:r>
        <w:rPr>
          <w:rFonts w:hint="eastAsia" w:asciiTheme="minorEastAsia" w:hAnsiTheme="minorEastAsia" w:eastAsiaTheme="minorEastAsia"/>
          <w:color w:val="auto"/>
          <w:spacing w:val="6"/>
          <w:sz w:val="28"/>
          <w:szCs w:val="28"/>
        </w:rPr>
        <w:t xml:space="preserve">                        </w:t>
      </w:r>
      <w:r>
        <w:rPr>
          <w:rFonts w:hint="eastAsia" w:asciiTheme="minorEastAsia" w:hAnsiTheme="minorEastAsia" w:eastAsiaTheme="minorEastAsia"/>
          <w:b/>
          <w:color w:val="auto"/>
          <w:spacing w:val="6"/>
          <w:sz w:val="28"/>
          <w:szCs w:val="28"/>
        </w:rPr>
        <w:t>四川四星房地产土地资产评估有限责任公司</w:t>
      </w:r>
    </w:p>
    <w:p>
      <w:pPr>
        <w:rPr>
          <w:rFonts w:hint="eastAsia" w:ascii="黑体" w:eastAsiaTheme="minorEastAsia"/>
          <w:b/>
          <w:color w:val="auto"/>
          <w:spacing w:val="40"/>
          <w:sz w:val="48"/>
          <w:szCs w:val="48"/>
          <w:lang w:eastAsia="zh-CN"/>
        </w:rPr>
      </w:pPr>
      <w:r>
        <w:rPr>
          <w:rFonts w:hint="eastAsia" w:asciiTheme="minorEastAsia" w:hAnsiTheme="minorEastAsia" w:eastAsiaTheme="minorEastAsia"/>
          <w:color w:val="auto"/>
          <w:spacing w:val="6"/>
          <w:sz w:val="28"/>
          <w:szCs w:val="28"/>
        </w:rPr>
        <w:t xml:space="preserve">                                 </w:t>
      </w:r>
      <w:bookmarkStart w:id="0" w:name="_Toc436731483"/>
      <w:r>
        <w:rPr>
          <w:rFonts w:hint="eastAsia" w:asciiTheme="minorEastAsia" w:hAnsiTheme="minorEastAsia" w:eastAsiaTheme="minorEastAsia"/>
          <w:color w:val="auto"/>
          <w:spacing w:val="6"/>
          <w:sz w:val="28"/>
          <w:szCs w:val="28"/>
          <w:lang w:eastAsia="zh-CN"/>
        </w:rPr>
        <w:t xml:space="preserve"> 二〇二二年十月八日</w:t>
      </w:r>
    </w:p>
    <w:p>
      <w:pPr>
        <w:rPr>
          <w:rFonts w:ascii="黑体" w:eastAsia="黑体"/>
          <w:b/>
          <w:color w:val="auto"/>
          <w:spacing w:val="40"/>
          <w:sz w:val="48"/>
          <w:szCs w:val="48"/>
        </w:rPr>
      </w:pPr>
      <w:r>
        <w:rPr>
          <w:rFonts w:ascii="黑体" w:eastAsia="黑体"/>
          <w:b/>
          <w:color w:val="auto"/>
          <w:spacing w:val="40"/>
          <w:sz w:val="48"/>
          <w:szCs w:val="48"/>
        </w:rPr>
        <w:br w:type="page"/>
      </w:r>
    </w:p>
    <w:p>
      <w:pPr>
        <w:jc w:val="center"/>
        <w:rPr>
          <w:rFonts w:hint="eastAsia" w:ascii="黑体" w:eastAsia="黑体"/>
          <w:b/>
          <w:color w:val="auto"/>
          <w:spacing w:val="40"/>
          <w:sz w:val="48"/>
          <w:szCs w:val="48"/>
        </w:rPr>
      </w:pPr>
    </w:p>
    <w:p>
      <w:pPr>
        <w:jc w:val="center"/>
        <w:rPr>
          <w:rFonts w:ascii="黑体" w:eastAsia="黑体"/>
          <w:b/>
          <w:color w:val="auto"/>
          <w:spacing w:val="40"/>
          <w:sz w:val="48"/>
          <w:szCs w:val="48"/>
        </w:rPr>
      </w:pPr>
      <w:r>
        <w:rPr>
          <w:rFonts w:hint="eastAsia" w:ascii="黑体" w:eastAsia="黑体"/>
          <w:b/>
          <w:color w:val="auto"/>
          <w:spacing w:val="40"/>
          <w:sz w:val="48"/>
          <w:szCs w:val="48"/>
        </w:rPr>
        <w:t>目录</w:t>
      </w:r>
    </w:p>
    <w:p>
      <w:pPr>
        <w:jc w:val="center"/>
        <w:rPr>
          <w:rFonts w:ascii="黑体" w:eastAsia="黑体"/>
          <w:b/>
          <w:color w:val="auto"/>
          <w:spacing w:val="40"/>
          <w:sz w:val="48"/>
          <w:szCs w:val="48"/>
        </w:rPr>
      </w:pPr>
    </w:p>
    <w:p>
      <w:pPr>
        <w:pStyle w:val="14"/>
        <w:spacing w:line="360" w:lineRule="auto"/>
        <w:jc w:val="both"/>
        <w:rPr>
          <w:rFonts w:asciiTheme="minorEastAsia" w:hAnsiTheme="minorEastAsia" w:eastAsiaTheme="minorEastAsia"/>
          <w:color w:val="auto"/>
          <w:spacing w:val="0"/>
          <w:kern w:val="2"/>
          <w:szCs w:val="28"/>
        </w:rPr>
      </w:pPr>
      <w:r>
        <w:rPr>
          <w:rFonts w:hint="eastAsia" w:asciiTheme="minorEastAsia" w:hAnsiTheme="minorEastAsia" w:eastAsiaTheme="minorEastAsia"/>
          <w:color w:val="auto"/>
          <w:szCs w:val="28"/>
        </w:rPr>
        <w:fldChar w:fldCharType="begin"/>
      </w:r>
      <w:r>
        <w:rPr>
          <w:rFonts w:hint="eastAsia" w:asciiTheme="minorEastAsia" w:hAnsiTheme="minorEastAsia" w:eastAsiaTheme="minorEastAsia"/>
          <w:color w:val="auto"/>
          <w:szCs w:val="28"/>
        </w:rPr>
        <w:instrText xml:space="preserve"> TOC \o "1-3" \h \z \u </w:instrText>
      </w:r>
      <w:r>
        <w:rPr>
          <w:rFonts w:hint="eastAsia" w:asciiTheme="minorEastAsia" w:hAnsiTheme="minorEastAsia" w:eastAsiaTheme="minorEastAsia"/>
          <w:color w:val="auto"/>
          <w:szCs w:val="28"/>
        </w:rPr>
        <w:fldChar w:fldCharType="separate"/>
      </w:r>
      <w:r>
        <w:rPr>
          <w:color w:val="auto"/>
        </w:rPr>
        <w:fldChar w:fldCharType="begin"/>
      </w:r>
      <w:r>
        <w:rPr>
          <w:color w:val="auto"/>
        </w:rPr>
        <w:instrText xml:space="preserve"> HYPERLINK \l "_Toc436731483" </w:instrText>
      </w:r>
      <w:r>
        <w:rPr>
          <w:color w:val="auto"/>
        </w:rPr>
        <w:fldChar w:fldCharType="separate"/>
      </w:r>
      <w:r>
        <w:rPr>
          <w:rStyle w:val="29"/>
          <w:rFonts w:hint="eastAsia" w:asciiTheme="minorEastAsia" w:hAnsiTheme="minorEastAsia" w:eastAsiaTheme="minorEastAsia"/>
          <w:color w:val="auto"/>
          <w:szCs w:val="28"/>
        </w:rPr>
        <w:t>一、估价师声明</w:t>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5-6</w:t>
      </w:r>
    </w:p>
    <w:p>
      <w:pPr>
        <w:pStyle w:val="14"/>
        <w:spacing w:line="360" w:lineRule="auto"/>
        <w:jc w:val="both"/>
        <w:rPr>
          <w:rFonts w:asciiTheme="minorEastAsia" w:hAnsiTheme="minorEastAsia" w:eastAsiaTheme="minorEastAsia"/>
          <w:color w:val="auto"/>
          <w:spacing w:val="0"/>
          <w:kern w:val="2"/>
          <w:szCs w:val="28"/>
        </w:rPr>
      </w:pPr>
      <w:r>
        <w:rPr>
          <w:color w:val="auto"/>
        </w:rPr>
        <w:fldChar w:fldCharType="begin"/>
      </w:r>
      <w:r>
        <w:rPr>
          <w:color w:val="auto"/>
        </w:rPr>
        <w:instrText xml:space="preserve"> HYPERLINK \l "_Toc436731484" </w:instrText>
      </w:r>
      <w:r>
        <w:rPr>
          <w:color w:val="auto"/>
        </w:rPr>
        <w:fldChar w:fldCharType="separate"/>
      </w:r>
      <w:r>
        <w:rPr>
          <w:rStyle w:val="29"/>
          <w:rFonts w:hint="eastAsia" w:asciiTheme="minorEastAsia" w:hAnsiTheme="minorEastAsia" w:eastAsiaTheme="minorEastAsia"/>
          <w:color w:val="auto"/>
          <w:szCs w:val="28"/>
        </w:rPr>
        <w:t>二、估价的假设和限制条件及使用报告说明</w:t>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7-9</w:t>
      </w:r>
    </w:p>
    <w:p>
      <w:pPr>
        <w:pStyle w:val="14"/>
        <w:spacing w:line="360" w:lineRule="auto"/>
        <w:jc w:val="both"/>
        <w:rPr>
          <w:rFonts w:asciiTheme="minorEastAsia" w:hAnsiTheme="minorEastAsia" w:eastAsiaTheme="minorEastAsia"/>
          <w:color w:val="auto"/>
          <w:szCs w:val="28"/>
        </w:rPr>
      </w:pPr>
      <w:r>
        <w:rPr>
          <w:color w:val="auto"/>
        </w:rPr>
        <w:fldChar w:fldCharType="begin"/>
      </w:r>
      <w:r>
        <w:rPr>
          <w:color w:val="auto"/>
        </w:rPr>
        <w:instrText xml:space="preserve"> HYPERLINK \l "_Toc436731485" </w:instrText>
      </w:r>
      <w:r>
        <w:rPr>
          <w:color w:val="auto"/>
        </w:rPr>
        <w:fldChar w:fldCharType="separate"/>
      </w:r>
      <w:r>
        <w:rPr>
          <w:rStyle w:val="29"/>
          <w:rFonts w:hint="eastAsia" w:asciiTheme="minorEastAsia" w:hAnsiTheme="minorEastAsia" w:eastAsiaTheme="minorEastAsia"/>
          <w:color w:val="auto"/>
          <w:szCs w:val="28"/>
        </w:rPr>
        <w:t>三、房地产估价结果报告</w:t>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w:t>
      </w:r>
      <w:r>
        <w:rPr>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0-15</w:t>
      </w:r>
    </w:p>
    <w:p>
      <w:pPr>
        <w:pStyle w:val="14"/>
        <w:spacing w:line="360" w:lineRule="auto"/>
        <w:jc w:val="both"/>
        <w:rPr>
          <w:rFonts w:asciiTheme="minorEastAsia" w:hAnsiTheme="minorEastAsia" w:eastAsiaTheme="minorEastAsia"/>
          <w:color w:val="auto"/>
          <w:spacing w:val="0"/>
          <w:kern w:val="2"/>
          <w:szCs w:val="28"/>
        </w:rPr>
      </w:pPr>
      <w:r>
        <w:rPr>
          <w:color w:val="auto"/>
        </w:rPr>
        <w:fldChar w:fldCharType="begin"/>
      </w:r>
      <w:r>
        <w:rPr>
          <w:color w:val="auto"/>
        </w:rPr>
        <w:instrText xml:space="preserve"> HYPERLINK \l "_Toc436731486" </w:instrText>
      </w:r>
      <w:r>
        <w:rPr>
          <w:color w:val="auto"/>
        </w:rPr>
        <w:fldChar w:fldCharType="separate"/>
      </w:r>
      <w:r>
        <w:rPr>
          <w:rStyle w:val="29"/>
          <w:rFonts w:hint="eastAsia" w:asciiTheme="minorEastAsia" w:hAnsiTheme="minorEastAsia" w:eastAsiaTheme="minorEastAsia"/>
          <w:color w:val="auto"/>
          <w:szCs w:val="28"/>
        </w:rPr>
        <w:t>（一）、委托方</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10</w:t>
      </w:r>
    </w:p>
    <w:p>
      <w:pPr>
        <w:pStyle w:val="14"/>
        <w:spacing w:line="360" w:lineRule="auto"/>
        <w:jc w:val="both"/>
        <w:rPr>
          <w:rFonts w:asciiTheme="minorEastAsia" w:hAnsiTheme="minorEastAsia" w:eastAsiaTheme="minorEastAsia"/>
          <w:color w:val="auto"/>
          <w:szCs w:val="28"/>
        </w:rPr>
      </w:pPr>
      <w:r>
        <w:rPr>
          <w:color w:val="auto"/>
        </w:rPr>
        <w:fldChar w:fldCharType="begin"/>
      </w:r>
      <w:r>
        <w:rPr>
          <w:color w:val="auto"/>
        </w:rPr>
        <w:instrText xml:space="preserve"> HYPERLINK \l "_Toc436731487" </w:instrText>
      </w:r>
      <w:r>
        <w:rPr>
          <w:color w:val="auto"/>
        </w:rPr>
        <w:fldChar w:fldCharType="separate"/>
      </w:r>
      <w:r>
        <w:rPr>
          <w:rStyle w:val="29"/>
          <w:rFonts w:hint="eastAsia" w:asciiTheme="minorEastAsia" w:hAnsiTheme="minorEastAsia" w:eastAsiaTheme="minorEastAsia"/>
          <w:color w:val="auto"/>
          <w:szCs w:val="28"/>
        </w:rPr>
        <w:t>（二）、估价方</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10</w:t>
      </w:r>
    </w:p>
    <w:p>
      <w:pPr>
        <w:pStyle w:val="14"/>
        <w:spacing w:line="360" w:lineRule="auto"/>
        <w:jc w:val="both"/>
        <w:rPr>
          <w:rFonts w:asciiTheme="minorEastAsia" w:hAnsiTheme="minorEastAsia" w:eastAsiaTheme="minorEastAsia"/>
          <w:color w:val="auto"/>
          <w:szCs w:val="28"/>
        </w:rPr>
      </w:pPr>
      <w:r>
        <w:rPr>
          <w:color w:val="auto"/>
        </w:rPr>
        <w:fldChar w:fldCharType="begin"/>
      </w:r>
      <w:r>
        <w:rPr>
          <w:color w:val="auto"/>
        </w:rPr>
        <w:instrText xml:space="preserve"> HYPERLINK \l "_Toc436731489" </w:instrText>
      </w:r>
      <w:r>
        <w:rPr>
          <w:color w:val="auto"/>
        </w:rPr>
        <w:fldChar w:fldCharType="separate"/>
      </w:r>
      <w:r>
        <w:rPr>
          <w:rFonts w:hint="eastAsia"/>
          <w:color w:val="auto"/>
        </w:rPr>
        <w:t>（三）、估价目的</w:t>
      </w:r>
      <w:r>
        <w:rPr>
          <w:rFonts w:hint="eastAsia"/>
          <w:color w:val="auto"/>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10</w:t>
      </w:r>
    </w:p>
    <w:p>
      <w:pPr>
        <w:pStyle w:val="14"/>
        <w:spacing w:line="360" w:lineRule="auto"/>
        <w:jc w:val="both"/>
        <w:rPr>
          <w:rFonts w:asciiTheme="minorEastAsia" w:hAnsiTheme="minorEastAsia" w:eastAsiaTheme="minorEastAsia"/>
          <w:color w:val="auto"/>
          <w:spacing w:val="0"/>
          <w:kern w:val="2"/>
          <w:szCs w:val="28"/>
        </w:rPr>
      </w:pPr>
      <w:r>
        <w:rPr>
          <w:color w:val="auto"/>
        </w:rPr>
        <w:fldChar w:fldCharType="begin"/>
      </w:r>
      <w:r>
        <w:rPr>
          <w:color w:val="auto"/>
        </w:rPr>
        <w:instrText xml:space="preserve"> HYPERLINK \l "_Toc436731488" </w:instrText>
      </w:r>
      <w:r>
        <w:rPr>
          <w:color w:val="auto"/>
        </w:rPr>
        <w:fldChar w:fldCharType="separate"/>
      </w:r>
      <w:r>
        <w:rPr>
          <w:rStyle w:val="29"/>
          <w:rFonts w:hint="eastAsia" w:asciiTheme="minorEastAsia" w:hAnsiTheme="minorEastAsia" w:eastAsiaTheme="minorEastAsia"/>
          <w:color w:val="auto"/>
          <w:szCs w:val="28"/>
        </w:rPr>
        <w:t>（四）、估价对象概况</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10-11</w:t>
      </w:r>
    </w:p>
    <w:p>
      <w:pPr>
        <w:pStyle w:val="14"/>
        <w:spacing w:line="360" w:lineRule="auto"/>
        <w:jc w:val="both"/>
        <w:rPr>
          <w:rFonts w:asciiTheme="minorEastAsia" w:hAnsiTheme="minorEastAsia" w:eastAsiaTheme="minorEastAsia"/>
          <w:color w:val="auto"/>
          <w:spacing w:val="0"/>
          <w:kern w:val="2"/>
          <w:szCs w:val="28"/>
        </w:rPr>
      </w:pPr>
      <w:r>
        <w:rPr>
          <w:color w:val="auto"/>
        </w:rPr>
        <w:fldChar w:fldCharType="begin"/>
      </w:r>
      <w:r>
        <w:rPr>
          <w:color w:val="auto"/>
        </w:rPr>
        <w:instrText xml:space="preserve"> HYPERLINK \l "_Toc436731490" </w:instrText>
      </w:r>
      <w:r>
        <w:rPr>
          <w:color w:val="auto"/>
        </w:rPr>
        <w:fldChar w:fldCharType="separate"/>
      </w:r>
      <w:r>
        <w:rPr>
          <w:rStyle w:val="29"/>
          <w:rFonts w:hint="eastAsia" w:asciiTheme="minorEastAsia" w:hAnsiTheme="minorEastAsia" w:eastAsiaTheme="minorEastAsia"/>
          <w:color w:val="auto"/>
          <w:szCs w:val="28"/>
        </w:rPr>
        <w:t>（五）、价值时点</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11</w:t>
      </w:r>
    </w:p>
    <w:p>
      <w:pPr>
        <w:pStyle w:val="14"/>
        <w:spacing w:line="360" w:lineRule="auto"/>
        <w:jc w:val="both"/>
        <w:rPr>
          <w:rFonts w:asciiTheme="minorEastAsia" w:hAnsiTheme="minorEastAsia" w:eastAsiaTheme="minorEastAsia"/>
          <w:color w:val="auto"/>
          <w:spacing w:val="0"/>
          <w:kern w:val="2"/>
          <w:szCs w:val="28"/>
        </w:rPr>
      </w:pPr>
      <w:r>
        <w:rPr>
          <w:color w:val="auto"/>
        </w:rPr>
        <w:fldChar w:fldCharType="begin"/>
      </w:r>
      <w:r>
        <w:rPr>
          <w:color w:val="auto"/>
        </w:rPr>
        <w:instrText xml:space="preserve"> HYPERLINK \l "_Toc436731491" </w:instrText>
      </w:r>
      <w:r>
        <w:rPr>
          <w:color w:val="auto"/>
        </w:rPr>
        <w:fldChar w:fldCharType="separate"/>
      </w:r>
      <w:r>
        <w:rPr>
          <w:rStyle w:val="29"/>
          <w:rFonts w:hint="eastAsia" w:asciiTheme="minorEastAsia" w:hAnsiTheme="minorEastAsia" w:eastAsiaTheme="minorEastAsia"/>
          <w:color w:val="auto"/>
          <w:szCs w:val="28"/>
        </w:rPr>
        <w:t>（六）、价值类</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型</w:t>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11</w:t>
      </w:r>
    </w:p>
    <w:p>
      <w:pPr>
        <w:pStyle w:val="14"/>
        <w:spacing w:line="360" w:lineRule="auto"/>
        <w:jc w:val="both"/>
        <w:rPr>
          <w:rFonts w:asciiTheme="minorEastAsia" w:hAnsiTheme="minorEastAsia" w:eastAsiaTheme="minorEastAsia"/>
          <w:color w:val="auto"/>
          <w:spacing w:val="0"/>
          <w:kern w:val="2"/>
          <w:szCs w:val="28"/>
        </w:rPr>
      </w:pPr>
      <w:r>
        <w:rPr>
          <w:color w:val="auto"/>
        </w:rPr>
        <w:fldChar w:fldCharType="begin"/>
      </w:r>
      <w:r>
        <w:rPr>
          <w:color w:val="auto"/>
        </w:rPr>
        <w:instrText xml:space="preserve"> HYPERLINK \l "_Toc436731492" </w:instrText>
      </w:r>
      <w:r>
        <w:rPr>
          <w:color w:val="auto"/>
        </w:rPr>
        <w:fldChar w:fldCharType="separate"/>
      </w:r>
      <w:r>
        <w:rPr>
          <w:rStyle w:val="29"/>
          <w:rFonts w:hint="eastAsia" w:asciiTheme="minorEastAsia" w:hAnsiTheme="minorEastAsia" w:eastAsiaTheme="minorEastAsia"/>
          <w:color w:val="auto"/>
          <w:szCs w:val="28"/>
        </w:rPr>
        <w:t>（七）、估价原</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则</w:t>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11-12</w:t>
      </w:r>
    </w:p>
    <w:p>
      <w:pPr>
        <w:pStyle w:val="14"/>
        <w:spacing w:line="360" w:lineRule="auto"/>
        <w:jc w:val="both"/>
        <w:rPr>
          <w:rFonts w:asciiTheme="minorEastAsia" w:hAnsiTheme="minorEastAsia" w:eastAsiaTheme="minorEastAsia"/>
          <w:color w:val="auto"/>
          <w:spacing w:val="0"/>
          <w:kern w:val="2"/>
          <w:szCs w:val="28"/>
        </w:rPr>
      </w:pPr>
      <w:r>
        <w:rPr>
          <w:color w:val="auto"/>
        </w:rPr>
        <w:fldChar w:fldCharType="begin"/>
      </w:r>
      <w:r>
        <w:rPr>
          <w:color w:val="auto"/>
        </w:rPr>
        <w:instrText xml:space="preserve"> HYPERLINK \l "_Toc436731493" </w:instrText>
      </w:r>
      <w:r>
        <w:rPr>
          <w:color w:val="auto"/>
        </w:rPr>
        <w:fldChar w:fldCharType="separate"/>
      </w:r>
      <w:r>
        <w:rPr>
          <w:rStyle w:val="29"/>
          <w:rFonts w:hint="eastAsia" w:asciiTheme="minorEastAsia" w:hAnsiTheme="minorEastAsia" w:eastAsiaTheme="minorEastAsia"/>
          <w:color w:val="auto"/>
          <w:szCs w:val="28"/>
        </w:rPr>
        <w:t>（八）、估价依据</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12</w:t>
      </w:r>
    </w:p>
    <w:p>
      <w:pPr>
        <w:pStyle w:val="14"/>
        <w:spacing w:line="360" w:lineRule="auto"/>
        <w:jc w:val="both"/>
        <w:rPr>
          <w:rFonts w:asciiTheme="minorEastAsia" w:hAnsiTheme="minorEastAsia" w:eastAsiaTheme="minorEastAsia"/>
          <w:color w:val="auto"/>
          <w:spacing w:val="0"/>
          <w:kern w:val="2"/>
          <w:szCs w:val="28"/>
        </w:rPr>
      </w:pPr>
      <w:r>
        <w:rPr>
          <w:color w:val="auto"/>
        </w:rPr>
        <w:fldChar w:fldCharType="begin"/>
      </w:r>
      <w:r>
        <w:rPr>
          <w:color w:val="auto"/>
        </w:rPr>
        <w:instrText xml:space="preserve"> HYPERLINK \l "_Toc436731494" </w:instrText>
      </w:r>
      <w:r>
        <w:rPr>
          <w:color w:val="auto"/>
        </w:rPr>
        <w:fldChar w:fldCharType="separate"/>
      </w:r>
      <w:r>
        <w:rPr>
          <w:rStyle w:val="29"/>
          <w:rFonts w:hint="eastAsia" w:asciiTheme="minorEastAsia" w:hAnsiTheme="minorEastAsia" w:eastAsiaTheme="minorEastAsia"/>
          <w:color w:val="auto"/>
          <w:szCs w:val="28"/>
        </w:rPr>
        <w:t>（九）、估价方法</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w:t>
      </w:r>
      <w:r>
        <w:rPr>
          <w:rFonts w:hint="eastAsia" w:asciiTheme="minorEastAsia" w:hAnsiTheme="minorEastAsia" w:eastAsiaTheme="minorEastAsia"/>
          <w:color w:val="auto"/>
          <w:szCs w:val="28"/>
          <w:lang w:val="en-US" w:eastAsia="zh-CN"/>
        </w:rPr>
        <w:t>2</w:t>
      </w:r>
      <w:r>
        <w:rPr>
          <w:rFonts w:hint="eastAsia" w:asciiTheme="minorEastAsia" w:hAnsiTheme="minorEastAsia" w:eastAsiaTheme="minorEastAsia"/>
          <w:color w:val="auto"/>
          <w:szCs w:val="28"/>
        </w:rPr>
        <w:t>-14</w:t>
      </w:r>
    </w:p>
    <w:p>
      <w:pPr>
        <w:pStyle w:val="14"/>
        <w:spacing w:line="360" w:lineRule="auto"/>
        <w:jc w:val="both"/>
        <w:rPr>
          <w:rFonts w:asciiTheme="minorEastAsia" w:hAnsiTheme="minorEastAsia" w:eastAsiaTheme="minorEastAsia"/>
          <w:color w:val="auto"/>
          <w:spacing w:val="0"/>
          <w:kern w:val="2"/>
          <w:szCs w:val="28"/>
        </w:rPr>
      </w:pPr>
      <w:r>
        <w:rPr>
          <w:color w:val="auto"/>
        </w:rPr>
        <w:fldChar w:fldCharType="begin"/>
      </w:r>
      <w:r>
        <w:rPr>
          <w:color w:val="auto"/>
        </w:rPr>
        <w:instrText xml:space="preserve"> HYPERLINK \l "_Toc436731495" </w:instrText>
      </w:r>
      <w:r>
        <w:rPr>
          <w:color w:val="auto"/>
        </w:rPr>
        <w:fldChar w:fldCharType="separate"/>
      </w:r>
      <w:r>
        <w:rPr>
          <w:rStyle w:val="29"/>
          <w:rFonts w:hint="eastAsia" w:asciiTheme="minorEastAsia" w:hAnsiTheme="minorEastAsia" w:eastAsiaTheme="minorEastAsia"/>
          <w:color w:val="auto"/>
          <w:szCs w:val="28"/>
        </w:rPr>
        <w:t>（十）、估价结果</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14</w:t>
      </w:r>
    </w:p>
    <w:p>
      <w:pPr>
        <w:pStyle w:val="14"/>
        <w:spacing w:line="360" w:lineRule="auto"/>
        <w:jc w:val="both"/>
        <w:rPr>
          <w:rFonts w:hint="eastAsia" w:asciiTheme="minorEastAsia" w:hAnsiTheme="minorEastAsia" w:eastAsiaTheme="minorEastAsia"/>
          <w:color w:val="auto"/>
          <w:spacing w:val="0"/>
          <w:kern w:val="2"/>
          <w:szCs w:val="28"/>
          <w:lang w:val="en-US" w:eastAsia="zh-CN"/>
        </w:rPr>
      </w:pPr>
      <w:r>
        <w:rPr>
          <w:color w:val="auto"/>
        </w:rPr>
        <w:fldChar w:fldCharType="begin"/>
      </w:r>
      <w:r>
        <w:rPr>
          <w:color w:val="auto"/>
        </w:rPr>
        <w:instrText xml:space="preserve"> HYPERLINK \l "_Toc436731496" </w:instrText>
      </w:r>
      <w:r>
        <w:rPr>
          <w:color w:val="auto"/>
        </w:rPr>
        <w:fldChar w:fldCharType="separate"/>
      </w:r>
      <w:r>
        <w:rPr>
          <w:rStyle w:val="29"/>
          <w:rFonts w:hint="eastAsia" w:asciiTheme="minorEastAsia" w:hAnsiTheme="minorEastAsia" w:eastAsiaTheme="minorEastAsia"/>
          <w:color w:val="auto"/>
          <w:szCs w:val="28"/>
        </w:rPr>
        <w:t>（十一）、估价人员</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w:t>
      </w:r>
      <w:r>
        <w:rPr>
          <w:rFonts w:hint="eastAsia" w:asciiTheme="minorEastAsia" w:hAnsiTheme="minorEastAsia" w:eastAsiaTheme="minorEastAsia"/>
          <w:color w:val="auto"/>
          <w:szCs w:val="28"/>
          <w:lang w:val="en-US" w:eastAsia="zh-CN"/>
        </w:rPr>
        <w:t>5</w:t>
      </w:r>
    </w:p>
    <w:p>
      <w:pPr>
        <w:pStyle w:val="14"/>
        <w:spacing w:line="360" w:lineRule="auto"/>
        <w:jc w:val="both"/>
        <w:rPr>
          <w:rFonts w:hint="eastAsia" w:asciiTheme="minorEastAsia" w:hAnsiTheme="minorEastAsia" w:eastAsiaTheme="minorEastAsia"/>
          <w:color w:val="auto"/>
          <w:spacing w:val="0"/>
          <w:kern w:val="2"/>
          <w:szCs w:val="28"/>
          <w:lang w:val="en-US" w:eastAsia="zh-CN"/>
        </w:rPr>
      </w:pPr>
      <w:r>
        <w:rPr>
          <w:color w:val="auto"/>
        </w:rPr>
        <w:fldChar w:fldCharType="begin"/>
      </w:r>
      <w:r>
        <w:rPr>
          <w:color w:val="auto"/>
        </w:rPr>
        <w:instrText xml:space="preserve"> HYPERLINK \l "_Toc436731497" </w:instrText>
      </w:r>
      <w:r>
        <w:rPr>
          <w:color w:val="auto"/>
        </w:rPr>
        <w:fldChar w:fldCharType="separate"/>
      </w:r>
      <w:r>
        <w:rPr>
          <w:rStyle w:val="29"/>
          <w:rFonts w:hint="eastAsia" w:asciiTheme="minorEastAsia" w:hAnsiTheme="minorEastAsia" w:eastAsiaTheme="minorEastAsia"/>
          <w:color w:val="auto"/>
          <w:szCs w:val="28"/>
        </w:rPr>
        <w:t>（十二）、现场查勘日期</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w:t>
      </w:r>
      <w:r>
        <w:rPr>
          <w:rFonts w:hint="eastAsia" w:asciiTheme="minorEastAsia" w:hAnsiTheme="minorEastAsia" w:eastAsiaTheme="minorEastAsia"/>
          <w:color w:val="auto"/>
          <w:szCs w:val="28"/>
          <w:lang w:val="en-US" w:eastAsia="zh-CN"/>
        </w:rPr>
        <w:t>5</w:t>
      </w:r>
    </w:p>
    <w:p>
      <w:pPr>
        <w:pStyle w:val="14"/>
        <w:spacing w:line="360" w:lineRule="auto"/>
        <w:jc w:val="both"/>
        <w:rPr>
          <w:rFonts w:hint="eastAsia" w:asciiTheme="minorEastAsia" w:hAnsiTheme="minorEastAsia" w:eastAsiaTheme="minorEastAsia"/>
          <w:color w:val="auto"/>
          <w:spacing w:val="0"/>
          <w:kern w:val="2"/>
          <w:szCs w:val="28"/>
          <w:lang w:val="en-US" w:eastAsia="zh-CN"/>
        </w:rPr>
      </w:pPr>
      <w:r>
        <w:rPr>
          <w:color w:val="auto"/>
        </w:rPr>
        <w:fldChar w:fldCharType="begin"/>
      </w:r>
      <w:r>
        <w:rPr>
          <w:color w:val="auto"/>
        </w:rPr>
        <w:instrText xml:space="preserve"> HYPERLINK \l "_Toc436731498" </w:instrText>
      </w:r>
      <w:r>
        <w:rPr>
          <w:color w:val="auto"/>
        </w:rPr>
        <w:fldChar w:fldCharType="separate"/>
      </w:r>
      <w:r>
        <w:rPr>
          <w:rStyle w:val="29"/>
          <w:rFonts w:hint="eastAsia" w:asciiTheme="minorEastAsia" w:hAnsiTheme="minorEastAsia" w:eastAsiaTheme="minorEastAsia"/>
          <w:color w:val="auto"/>
          <w:szCs w:val="28"/>
        </w:rPr>
        <w:t>（十三）、估价作业日期</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w:t>
      </w:r>
      <w:r>
        <w:rPr>
          <w:rFonts w:hint="eastAsia" w:asciiTheme="minorEastAsia" w:hAnsiTheme="minorEastAsia" w:eastAsiaTheme="minorEastAsia"/>
          <w:color w:val="auto"/>
          <w:szCs w:val="28"/>
          <w:lang w:val="en-US" w:eastAsia="zh-CN"/>
        </w:rPr>
        <w:t>5</w:t>
      </w:r>
    </w:p>
    <w:p>
      <w:pPr>
        <w:pStyle w:val="14"/>
        <w:spacing w:line="360" w:lineRule="auto"/>
        <w:jc w:val="both"/>
        <w:rPr>
          <w:rStyle w:val="29"/>
          <w:rFonts w:hint="eastAsia" w:asciiTheme="minorEastAsia" w:hAnsiTheme="minorEastAsia" w:eastAsiaTheme="minorEastAsia"/>
          <w:color w:val="auto"/>
          <w:szCs w:val="28"/>
          <w:lang w:val="en-US" w:eastAsia="zh-CN"/>
        </w:rPr>
      </w:pPr>
      <w:r>
        <w:rPr>
          <w:color w:val="auto"/>
        </w:rPr>
        <w:fldChar w:fldCharType="begin"/>
      </w:r>
      <w:r>
        <w:rPr>
          <w:color w:val="auto"/>
        </w:rPr>
        <w:instrText xml:space="preserve"> HYPERLINK \l "_Toc436731499" </w:instrText>
      </w:r>
      <w:r>
        <w:rPr>
          <w:color w:val="auto"/>
        </w:rPr>
        <w:fldChar w:fldCharType="separate"/>
      </w:r>
      <w:r>
        <w:rPr>
          <w:rStyle w:val="29"/>
          <w:rFonts w:hint="eastAsia" w:asciiTheme="minorEastAsia" w:hAnsiTheme="minorEastAsia" w:eastAsiaTheme="minorEastAsia"/>
          <w:color w:val="auto"/>
          <w:szCs w:val="28"/>
        </w:rPr>
        <w:t>（十四）、估价报告应用有效期</w:t>
      </w:r>
      <w:r>
        <w:rPr>
          <w:rStyle w:val="29"/>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t>1</w:t>
      </w:r>
      <w:r>
        <w:rPr>
          <w:rFonts w:hint="eastAsia" w:asciiTheme="minorEastAsia" w:hAnsiTheme="minorEastAsia" w:eastAsiaTheme="minorEastAsia"/>
          <w:color w:val="auto"/>
          <w:szCs w:val="28"/>
          <w:lang w:val="en-US" w:eastAsia="zh-CN"/>
        </w:rPr>
        <w:t>5</w:t>
      </w:r>
    </w:p>
    <w:p>
      <w:pPr>
        <w:pStyle w:val="14"/>
        <w:spacing w:line="360" w:lineRule="auto"/>
        <w:jc w:val="both"/>
        <w:rPr>
          <w:rFonts w:hint="eastAsia" w:asciiTheme="minorEastAsia" w:hAnsiTheme="minorEastAsia" w:eastAsiaTheme="minorEastAsia"/>
          <w:color w:val="auto"/>
          <w:spacing w:val="0"/>
          <w:kern w:val="2"/>
          <w:szCs w:val="28"/>
          <w:lang w:val="en-US" w:eastAsia="zh-CN"/>
        </w:rPr>
      </w:pPr>
      <w:r>
        <w:rPr>
          <w:color w:val="auto"/>
        </w:rPr>
        <w:fldChar w:fldCharType="begin"/>
      </w:r>
      <w:r>
        <w:rPr>
          <w:color w:val="auto"/>
        </w:rPr>
        <w:instrText xml:space="preserve"> HYPERLINK \l "_Toc436731501" </w:instrText>
      </w:r>
      <w:r>
        <w:rPr>
          <w:color w:val="auto"/>
        </w:rPr>
        <w:fldChar w:fldCharType="separate"/>
      </w:r>
      <w:r>
        <w:rPr>
          <w:rStyle w:val="29"/>
          <w:rFonts w:hint="eastAsia" w:asciiTheme="minorEastAsia" w:hAnsiTheme="minorEastAsia" w:eastAsiaTheme="minorEastAsia"/>
          <w:color w:val="auto"/>
          <w:szCs w:val="28"/>
        </w:rPr>
        <w:t>四、附  件</w:t>
      </w:r>
      <w:r>
        <w:rPr>
          <w:rFonts w:hint="eastAsia" w:asciiTheme="minorEastAsia" w:hAnsiTheme="minorEastAsia" w:eastAsiaTheme="minorEastAsia"/>
          <w:color w:val="auto"/>
          <w:szCs w:val="28"/>
        </w:rPr>
        <w:tab/>
      </w:r>
      <w:r>
        <w:rPr>
          <w:rFonts w:hint="eastAsia" w:asciiTheme="minorEastAsia" w:hAnsiTheme="minorEastAsia" w:eastAsiaTheme="minorEastAsia"/>
          <w:color w:val="auto"/>
          <w:szCs w:val="28"/>
        </w:rPr>
        <w:fldChar w:fldCharType="end"/>
      </w:r>
      <w:r>
        <w:rPr>
          <w:rFonts w:hint="eastAsia" w:asciiTheme="minorEastAsia" w:hAnsiTheme="minorEastAsia" w:eastAsiaTheme="minorEastAsia"/>
          <w:color w:val="auto"/>
          <w:szCs w:val="28"/>
        </w:rPr>
        <w:t>1</w:t>
      </w:r>
      <w:r>
        <w:rPr>
          <w:rFonts w:hint="eastAsia" w:asciiTheme="minorEastAsia" w:hAnsiTheme="minorEastAsia" w:eastAsiaTheme="minorEastAsia"/>
          <w:color w:val="auto"/>
          <w:szCs w:val="28"/>
          <w:lang w:val="en-US" w:eastAsia="zh-CN"/>
        </w:rPr>
        <w:t>6</w:t>
      </w:r>
      <w:r>
        <w:rPr>
          <w:rFonts w:hint="eastAsia" w:asciiTheme="minorEastAsia" w:hAnsiTheme="minorEastAsia" w:eastAsiaTheme="minorEastAsia"/>
          <w:color w:val="auto"/>
          <w:szCs w:val="28"/>
        </w:rPr>
        <w:t>-2</w:t>
      </w:r>
      <w:r>
        <w:rPr>
          <w:rFonts w:hint="eastAsia" w:asciiTheme="minorEastAsia" w:hAnsiTheme="minorEastAsia" w:eastAsiaTheme="minorEastAsia"/>
          <w:color w:val="auto"/>
          <w:szCs w:val="28"/>
          <w:lang w:val="en-US" w:eastAsia="zh-CN"/>
        </w:rPr>
        <w:t>3</w:t>
      </w:r>
    </w:p>
    <w:p>
      <w:pPr>
        <w:tabs>
          <w:tab w:val="left" w:pos="1755"/>
          <w:tab w:val="left" w:pos="8483"/>
        </w:tabs>
        <w:spacing w:line="360" w:lineRule="auto"/>
        <w:rPr>
          <w:rFonts w:hint="eastAsia" w:asciiTheme="minorEastAsia" w:hAnsiTheme="minorEastAsia" w:eastAsiaTheme="minorEastAsia"/>
          <w:color w:val="auto"/>
          <w:sz w:val="30"/>
          <w:szCs w:val="30"/>
          <w:lang w:eastAsia="zh-CN"/>
        </w:rPr>
      </w:pPr>
      <w:r>
        <w:rPr>
          <w:rFonts w:hint="eastAsia" w:asciiTheme="minorEastAsia" w:hAnsiTheme="minorEastAsia" w:eastAsiaTheme="minorEastAsia"/>
          <w:color w:val="auto"/>
          <w:sz w:val="28"/>
          <w:szCs w:val="28"/>
        </w:rPr>
        <w:fldChar w:fldCharType="end"/>
      </w:r>
      <w:r>
        <w:rPr>
          <w:rFonts w:asciiTheme="minorEastAsia" w:hAnsiTheme="minorEastAsia" w:eastAsiaTheme="minorEastAsia"/>
          <w:color w:val="auto"/>
          <w:sz w:val="30"/>
          <w:szCs w:val="30"/>
        </w:rPr>
        <w:tab/>
      </w:r>
      <w:r>
        <w:rPr>
          <w:rFonts w:hint="eastAsia" w:asciiTheme="minorEastAsia" w:hAnsiTheme="minorEastAsia" w:eastAsiaTheme="minorEastAsia"/>
          <w:color w:val="auto"/>
          <w:sz w:val="30"/>
          <w:szCs w:val="30"/>
          <w:lang w:eastAsia="zh-CN"/>
        </w:rPr>
        <w:tab/>
      </w:r>
    </w:p>
    <w:p>
      <w:pPr>
        <w:tabs>
          <w:tab w:val="left" w:pos="1755"/>
        </w:tabs>
        <w:spacing w:line="360" w:lineRule="auto"/>
        <w:rPr>
          <w:rFonts w:asciiTheme="minorEastAsia" w:hAnsiTheme="minorEastAsia" w:eastAsiaTheme="minorEastAsia"/>
          <w:color w:val="auto"/>
          <w:sz w:val="30"/>
          <w:szCs w:val="30"/>
        </w:rPr>
      </w:pPr>
    </w:p>
    <w:p>
      <w:pPr>
        <w:tabs>
          <w:tab w:val="left" w:pos="1755"/>
        </w:tabs>
        <w:spacing w:line="360" w:lineRule="auto"/>
        <w:rPr>
          <w:rFonts w:asciiTheme="minorEastAsia" w:hAnsiTheme="minorEastAsia" w:eastAsiaTheme="minorEastAsia"/>
          <w:color w:val="auto"/>
          <w:sz w:val="30"/>
          <w:szCs w:val="30"/>
        </w:rPr>
      </w:pPr>
    </w:p>
    <w:p>
      <w:pPr>
        <w:jc w:val="center"/>
        <w:rPr>
          <w:rFonts w:ascii="黑体" w:eastAsia="黑体"/>
          <w:b/>
          <w:color w:val="auto"/>
          <w:spacing w:val="40"/>
          <w:sz w:val="48"/>
          <w:szCs w:val="48"/>
        </w:rPr>
      </w:pPr>
      <w:r>
        <w:rPr>
          <w:rFonts w:hint="eastAsia" w:ascii="黑体" w:eastAsia="黑体"/>
          <w:b/>
          <w:color w:val="auto"/>
          <w:spacing w:val="40"/>
          <w:sz w:val="48"/>
          <w:szCs w:val="48"/>
        </w:rPr>
        <w:t>估价师声明</w:t>
      </w:r>
      <w:bookmarkEnd w:id="0"/>
    </w:p>
    <w:p>
      <w:pPr>
        <w:spacing w:line="640" w:lineRule="exact"/>
        <w:rPr>
          <w:rFonts w:asciiTheme="minorEastAsia" w:hAnsiTheme="minorEastAsia" w:eastAsiaTheme="minorEastAsia"/>
          <w:color w:val="auto"/>
          <w:spacing w:val="6"/>
          <w:sz w:val="28"/>
          <w:szCs w:val="28"/>
        </w:rPr>
      </w:pPr>
      <w:r>
        <w:rPr>
          <w:rFonts w:hint="eastAsia" w:asciiTheme="minorEastAsia" w:hAnsiTheme="minorEastAsia" w:eastAsiaTheme="minorEastAsia"/>
          <w:b/>
          <w:color w:val="auto"/>
          <w:spacing w:val="6"/>
          <w:sz w:val="28"/>
          <w:szCs w:val="28"/>
        </w:rPr>
        <w:t>我们郑重声明</w:t>
      </w:r>
      <w:r>
        <w:rPr>
          <w:rFonts w:hint="eastAsia" w:asciiTheme="minorEastAsia" w:hAnsiTheme="minorEastAsia" w:eastAsiaTheme="minorEastAsia"/>
          <w:color w:val="auto"/>
          <w:spacing w:val="6"/>
          <w:sz w:val="28"/>
          <w:szCs w:val="28"/>
        </w:rPr>
        <w:t>：</w:t>
      </w:r>
    </w:p>
    <w:p>
      <w:pPr>
        <w:spacing w:line="640" w:lineRule="exact"/>
        <w:ind w:firstLine="584" w:firstLineChars="200"/>
        <w:rPr>
          <w:rFonts w:asciiTheme="minorEastAsia" w:hAnsiTheme="minorEastAsia" w:eastAsiaTheme="minorEastAsia"/>
          <w:color w:val="auto"/>
          <w:spacing w:val="6"/>
          <w:sz w:val="28"/>
          <w:szCs w:val="28"/>
        </w:rPr>
      </w:pPr>
      <w:r>
        <w:rPr>
          <w:rFonts w:asciiTheme="minorEastAsia" w:hAnsiTheme="minorEastAsia" w:eastAsiaTheme="minorEastAsia"/>
          <w:color w:val="auto"/>
          <w:spacing w:val="6"/>
          <w:sz w:val="28"/>
          <w:szCs w:val="28"/>
        </w:rPr>
        <w:t>1</w:t>
      </w:r>
      <w:r>
        <w:rPr>
          <w:rFonts w:hint="eastAsia" w:asciiTheme="minorEastAsia" w:hAnsiTheme="minorEastAsia" w:eastAsiaTheme="minorEastAsia"/>
          <w:color w:val="auto"/>
          <w:spacing w:val="6"/>
          <w:sz w:val="28"/>
          <w:szCs w:val="28"/>
        </w:rPr>
        <w:t>、我们在本估价报告中陈述的事实是真实和准确的。</w:t>
      </w:r>
    </w:p>
    <w:p>
      <w:pPr>
        <w:spacing w:line="640" w:lineRule="exact"/>
        <w:ind w:firstLine="584" w:firstLineChars="200"/>
        <w:rPr>
          <w:rFonts w:asciiTheme="minorEastAsia" w:hAnsiTheme="minorEastAsia" w:eastAsiaTheme="minorEastAsia"/>
          <w:color w:val="auto"/>
          <w:spacing w:val="6"/>
          <w:sz w:val="28"/>
          <w:szCs w:val="28"/>
        </w:rPr>
      </w:pPr>
      <w:r>
        <w:rPr>
          <w:rFonts w:asciiTheme="minorEastAsia" w:hAnsiTheme="minorEastAsia" w:eastAsiaTheme="minorEastAsia"/>
          <w:color w:val="auto"/>
          <w:spacing w:val="6"/>
          <w:sz w:val="28"/>
          <w:szCs w:val="28"/>
        </w:rPr>
        <w:t>2</w:t>
      </w:r>
      <w:r>
        <w:rPr>
          <w:rFonts w:hint="eastAsia" w:asciiTheme="minorEastAsia" w:hAnsiTheme="minorEastAsia" w:eastAsiaTheme="minorEastAsia"/>
          <w:color w:val="auto"/>
          <w:spacing w:val="6"/>
          <w:sz w:val="28"/>
          <w:szCs w:val="28"/>
        </w:rPr>
        <w:t>、本估价报告中的分析、意见和结论是我们自己公正的专业分析、意见和结论，但受到本估价报告中已说明的假设和限制条件的限制。</w:t>
      </w:r>
    </w:p>
    <w:p>
      <w:pPr>
        <w:spacing w:line="640" w:lineRule="exact"/>
        <w:ind w:firstLine="584" w:firstLineChars="200"/>
        <w:rPr>
          <w:rFonts w:ascii="宋体" w:hAnsi="宋体"/>
          <w:color w:val="auto"/>
          <w:spacing w:val="6"/>
          <w:sz w:val="28"/>
          <w:szCs w:val="28"/>
        </w:rPr>
      </w:pPr>
      <w:r>
        <w:rPr>
          <w:rFonts w:hint="eastAsia" w:ascii="宋体" w:hAnsi="宋体"/>
          <w:color w:val="auto"/>
          <w:spacing w:val="6"/>
          <w:sz w:val="28"/>
          <w:szCs w:val="28"/>
        </w:rPr>
        <w:t>3、我们与本估价报告中的估价对象没有利害关系，也与当事人没有利害关系和偏见。</w:t>
      </w:r>
    </w:p>
    <w:p>
      <w:pPr>
        <w:spacing w:line="640" w:lineRule="exact"/>
        <w:ind w:firstLine="569" w:firstLineChars="195"/>
        <w:rPr>
          <w:rFonts w:ascii="宋体" w:hAnsi="宋体" w:cs="宋体"/>
          <w:color w:val="auto"/>
          <w:kern w:val="0"/>
          <w:sz w:val="28"/>
          <w:szCs w:val="28"/>
        </w:rPr>
      </w:pPr>
      <w:r>
        <w:rPr>
          <w:rFonts w:hint="eastAsia" w:ascii="宋体" w:hAnsi="宋体"/>
          <w:color w:val="auto"/>
          <w:spacing w:val="6"/>
          <w:sz w:val="28"/>
          <w:szCs w:val="28"/>
        </w:rPr>
        <w:t>4、我们具备相关金融专业知识和相应的房地产市场分析能力。</w:t>
      </w:r>
      <w:r>
        <w:rPr>
          <w:rFonts w:hint="eastAsia" w:ascii="宋体" w:hAnsi="宋体" w:cs="宋体"/>
          <w:color w:val="auto"/>
          <w:kern w:val="0"/>
          <w:sz w:val="28"/>
          <w:szCs w:val="28"/>
        </w:rPr>
        <w:t>我们依照中华人民共和国国家标准GB/T50291—2015《房地产估价规范》、GB/T50899—2013《房地产估价基本术语标准》、《中华人民共和国资产评估法》进行分析，形成意见和结论，撰写本估价报告。</w:t>
      </w:r>
    </w:p>
    <w:p>
      <w:pPr>
        <w:spacing w:line="640" w:lineRule="exact"/>
        <w:ind w:firstLine="608"/>
        <w:rPr>
          <w:rFonts w:ascii="宋体" w:hAnsi="宋体"/>
          <w:color w:val="auto"/>
          <w:spacing w:val="6"/>
          <w:sz w:val="28"/>
          <w:szCs w:val="28"/>
        </w:rPr>
      </w:pPr>
      <w:r>
        <w:rPr>
          <w:rFonts w:hint="eastAsia" w:ascii="宋体" w:hAnsi="宋体"/>
          <w:color w:val="auto"/>
          <w:spacing w:val="6"/>
          <w:sz w:val="28"/>
          <w:szCs w:val="28"/>
        </w:rPr>
        <w:t>5、我们已于</w:t>
      </w:r>
      <w:r>
        <w:rPr>
          <w:rFonts w:hint="eastAsia" w:ascii="宋体" w:hAnsi="宋体"/>
          <w:color w:val="auto"/>
          <w:spacing w:val="6"/>
          <w:sz w:val="28"/>
          <w:szCs w:val="28"/>
          <w:lang w:eastAsia="zh-CN"/>
        </w:rPr>
        <w:t>2022年9月26日</w:t>
      </w:r>
      <w:r>
        <w:rPr>
          <w:rFonts w:hint="eastAsia" w:ascii="宋体" w:hAnsi="宋体"/>
          <w:color w:val="auto"/>
          <w:spacing w:val="6"/>
          <w:sz w:val="28"/>
          <w:szCs w:val="28"/>
        </w:rPr>
        <w:t>对估价对象进行了实地查看。</w:t>
      </w:r>
    </w:p>
    <w:p>
      <w:pPr>
        <w:spacing w:line="640" w:lineRule="exact"/>
        <w:ind w:firstLine="584" w:firstLineChars="200"/>
        <w:rPr>
          <w:rFonts w:ascii="宋体" w:hAnsi="宋体"/>
          <w:color w:val="auto"/>
          <w:spacing w:val="6"/>
          <w:sz w:val="28"/>
          <w:szCs w:val="28"/>
        </w:rPr>
      </w:pPr>
      <w:r>
        <w:rPr>
          <w:rFonts w:hint="eastAsia" w:ascii="宋体" w:hAnsi="宋体"/>
          <w:color w:val="auto"/>
          <w:spacing w:val="6"/>
          <w:sz w:val="28"/>
          <w:szCs w:val="28"/>
        </w:rPr>
        <w:t>6、本估价报告在运用时应明确本次评估的价值定义以及估价的假设和限制条件所载明内容的要求，本估价报告只能完整使用，割裂使用本估价报告的任何部分内容均属无效。</w:t>
      </w:r>
    </w:p>
    <w:p>
      <w:pPr>
        <w:spacing w:line="640" w:lineRule="exact"/>
        <w:ind w:firstLine="584" w:firstLineChars="200"/>
        <w:rPr>
          <w:rFonts w:ascii="宋体" w:hAnsi="宋体"/>
          <w:color w:val="auto"/>
          <w:spacing w:val="6"/>
          <w:sz w:val="28"/>
          <w:szCs w:val="28"/>
        </w:rPr>
      </w:pPr>
      <w:r>
        <w:rPr>
          <w:rFonts w:hint="eastAsia" w:ascii="宋体" w:hAnsi="宋体"/>
          <w:color w:val="auto"/>
          <w:spacing w:val="6"/>
          <w:sz w:val="28"/>
          <w:szCs w:val="28"/>
        </w:rPr>
        <w:t>7、如发现本报告内的文字或数字因校印或其它原因出现误差时，请通知本公司进行更正，否则报告误差部分无效,由此引起的后果我估价机构和估价人员不承担任何责任。</w:t>
      </w:r>
    </w:p>
    <w:p>
      <w:pPr>
        <w:spacing w:line="640" w:lineRule="exact"/>
        <w:ind w:firstLine="584" w:firstLineChars="200"/>
        <w:rPr>
          <w:rFonts w:ascii="宋体" w:hAnsi="宋体"/>
          <w:color w:val="auto"/>
          <w:spacing w:val="6"/>
          <w:sz w:val="28"/>
          <w:szCs w:val="28"/>
        </w:rPr>
      </w:pPr>
      <w:r>
        <w:rPr>
          <w:rFonts w:hint="eastAsia" w:ascii="宋体" w:hAnsi="宋体"/>
          <w:color w:val="auto"/>
          <w:spacing w:val="6"/>
          <w:sz w:val="28"/>
          <w:szCs w:val="28"/>
        </w:rPr>
        <w:t>8、没有人对本次估价工作和本估价报告提供其他专业方面的帮助。</w:t>
      </w:r>
    </w:p>
    <w:p>
      <w:pPr>
        <w:spacing w:line="640" w:lineRule="exact"/>
        <w:ind w:firstLine="584" w:firstLineChars="200"/>
        <w:rPr>
          <w:rFonts w:hint="eastAsia" w:ascii="宋体" w:hAnsi="宋体"/>
          <w:color w:val="auto"/>
          <w:spacing w:val="6"/>
          <w:sz w:val="28"/>
          <w:szCs w:val="28"/>
        </w:rPr>
      </w:pPr>
      <w:r>
        <w:rPr>
          <w:rFonts w:hint="eastAsia" w:ascii="宋体" w:hAnsi="宋体"/>
          <w:color w:val="auto"/>
          <w:spacing w:val="6"/>
          <w:sz w:val="28"/>
          <w:szCs w:val="28"/>
        </w:rPr>
        <w:t>9、本报告书的全部或部分内容不得向委托方和评估报告审查部门之</w:t>
      </w:r>
    </w:p>
    <w:p>
      <w:pPr>
        <w:spacing w:line="640" w:lineRule="exact"/>
        <w:rPr>
          <w:rFonts w:hint="eastAsia" w:ascii="宋体" w:hAnsi="宋体"/>
          <w:color w:val="auto"/>
          <w:spacing w:val="6"/>
          <w:sz w:val="28"/>
          <w:szCs w:val="28"/>
        </w:rPr>
      </w:pPr>
      <w:r>
        <w:rPr>
          <w:rFonts w:hint="eastAsia" w:ascii="宋体" w:hAnsi="宋体"/>
          <w:color w:val="auto"/>
          <w:spacing w:val="6"/>
          <w:sz w:val="28"/>
          <w:szCs w:val="28"/>
        </w:rPr>
        <w:t>外的单位和个人提供。本报告仅供委托人恰当使用，未经许可，任何人均</w:t>
      </w:r>
    </w:p>
    <w:p>
      <w:pPr>
        <w:spacing w:line="640" w:lineRule="exact"/>
        <w:rPr>
          <w:rFonts w:hint="eastAsia" w:ascii="宋体" w:hAnsi="宋体"/>
          <w:color w:val="auto"/>
          <w:spacing w:val="6"/>
          <w:sz w:val="28"/>
          <w:szCs w:val="28"/>
        </w:rPr>
      </w:pPr>
    </w:p>
    <w:p>
      <w:pPr>
        <w:spacing w:line="360" w:lineRule="auto"/>
        <w:rPr>
          <w:rFonts w:ascii="宋体" w:hAnsi="宋体"/>
          <w:color w:val="auto"/>
          <w:spacing w:val="6"/>
          <w:sz w:val="28"/>
          <w:szCs w:val="28"/>
        </w:rPr>
      </w:pPr>
      <w:r>
        <w:rPr>
          <w:rFonts w:hint="eastAsia" w:ascii="宋体" w:hAnsi="宋体"/>
          <w:color w:val="auto"/>
          <w:spacing w:val="6"/>
          <w:sz w:val="28"/>
          <w:szCs w:val="28"/>
        </w:rPr>
        <w:t>不得擅自使用、传阅、在任何媒体发布本报告，由此行为引发的后果，我</w:t>
      </w:r>
    </w:p>
    <w:p>
      <w:pPr>
        <w:spacing w:line="360" w:lineRule="auto"/>
        <w:rPr>
          <w:rFonts w:ascii="宋体" w:hAnsi="宋体"/>
          <w:color w:val="auto"/>
          <w:spacing w:val="6"/>
          <w:sz w:val="28"/>
          <w:szCs w:val="28"/>
        </w:rPr>
      </w:pPr>
      <w:r>
        <w:rPr>
          <w:rFonts w:hint="eastAsia" w:ascii="宋体" w:hAnsi="宋体"/>
          <w:color w:val="auto"/>
          <w:spacing w:val="6"/>
          <w:sz w:val="28"/>
          <w:szCs w:val="28"/>
        </w:rPr>
        <w:t>公司将不承担责任。</w:t>
      </w:r>
    </w:p>
    <w:p>
      <w:pPr>
        <w:spacing w:line="360" w:lineRule="auto"/>
        <w:ind w:firstLine="584" w:firstLineChars="200"/>
        <w:rPr>
          <w:rFonts w:asciiTheme="minorEastAsia" w:hAnsiTheme="minorEastAsia" w:eastAsiaTheme="minorEastAsia"/>
          <w:color w:val="auto"/>
          <w:spacing w:val="6"/>
          <w:sz w:val="28"/>
          <w:szCs w:val="28"/>
        </w:rPr>
      </w:pPr>
      <w:r>
        <w:rPr>
          <w:rFonts w:hint="eastAsia" w:ascii="宋体" w:hAnsi="宋体"/>
          <w:color w:val="auto"/>
          <w:spacing w:val="6"/>
          <w:sz w:val="28"/>
          <w:szCs w:val="28"/>
        </w:rPr>
        <w:t>10、我公司对本估价报告拥有解释权和知识产权。</w:t>
      </w:r>
    </w:p>
    <w:p>
      <w:pPr>
        <w:spacing w:line="360" w:lineRule="auto"/>
        <w:ind w:firstLine="584" w:firstLineChars="200"/>
        <w:rPr>
          <w:rFonts w:asciiTheme="minorEastAsia" w:hAnsiTheme="minorEastAsia" w:eastAsiaTheme="minorEastAsia"/>
          <w:color w:val="auto"/>
          <w:spacing w:val="6"/>
          <w:sz w:val="28"/>
          <w:szCs w:val="28"/>
        </w:rPr>
      </w:pPr>
    </w:p>
    <w:p>
      <w:pPr>
        <w:spacing w:line="360" w:lineRule="auto"/>
        <w:ind w:firstLine="1752" w:firstLineChars="600"/>
        <w:rPr>
          <w:rFonts w:ascii="宋体" w:hAnsi="宋体"/>
          <w:color w:val="auto"/>
          <w:spacing w:val="6"/>
          <w:sz w:val="28"/>
          <w:szCs w:val="28"/>
        </w:rPr>
      </w:pPr>
      <w:bookmarkStart w:id="1" w:name="_Toc436731484"/>
      <w:r>
        <w:rPr>
          <w:rFonts w:hint="eastAsia" w:ascii="宋体" w:hAnsi="宋体"/>
          <w:color w:val="auto"/>
          <w:spacing w:val="6"/>
          <w:sz w:val="28"/>
          <w:szCs w:val="28"/>
        </w:rPr>
        <w:t>参加本次估价的注册房地产估价师(签章)</w:t>
      </w:r>
    </w:p>
    <w:p>
      <w:pPr>
        <w:spacing w:line="500" w:lineRule="exact"/>
        <w:ind w:firstLine="554" w:firstLineChars="197"/>
        <w:rPr>
          <w:rFonts w:ascii="宋体" w:hAnsi="宋体" w:cs="宋体"/>
          <w:b/>
          <w:bCs/>
          <w:color w:val="auto"/>
          <w:sz w:val="28"/>
          <w:szCs w:val="28"/>
        </w:rPr>
      </w:pPr>
    </w:p>
    <w:p>
      <w:pPr>
        <w:spacing w:line="500" w:lineRule="exact"/>
        <w:ind w:firstLine="280" w:firstLineChars="100"/>
        <w:rPr>
          <w:rFonts w:ascii="宋体" w:hAnsi="宋体" w:cs="宋体"/>
          <w:color w:val="auto"/>
          <w:kern w:val="0"/>
          <w:sz w:val="28"/>
          <w:szCs w:val="28"/>
        </w:rPr>
      </w:pPr>
      <w:r>
        <w:rPr>
          <w:rFonts w:hint="eastAsia" w:ascii="宋体" w:hAnsi="宋体" w:cs="宋体"/>
          <w:color w:val="auto"/>
          <w:kern w:val="0"/>
          <w:sz w:val="28"/>
          <w:szCs w:val="28"/>
        </w:rPr>
        <w:t xml:space="preserve">姓  名    </w:t>
      </w:r>
      <w:r>
        <w:rPr>
          <w:rFonts w:hint="eastAsia" w:ascii="宋体" w:hAnsi="宋体" w:cs="宋体"/>
          <w:color w:val="auto"/>
          <w:kern w:val="0"/>
          <w:sz w:val="28"/>
          <w:szCs w:val="28"/>
          <w:lang w:val="en-US" w:eastAsia="zh-CN"/>
        </w:rPr>
        <w:t xml:space="preserve">   </w:t>
      </w:r>
      <w:r>
        <w:rPr>
          <w:rFonts w:hint="eastAsia" w:ascii="宋体" w:hAnsi="宋体" w:cs="宋体"/>
          <w:color w:val="auto"/>
          <w:kern w:val="0"/>
          <w:sz w:val="28"/>
          <w:szCs w:val="28"/>
        </w:rPr>
        <w:t xml:space="preserve">   注册号             签   名           签字日期</w:t>
      </w:r>
    </w:p>
    <w:p>
      <w:pPr>
        <w:spacing w:line="500" w:lineRule="exact"/>
        <w:ind w:firstLine="551" w:firstLineChars="197"/>
        <w:rPr>
          <w:rFonts w:ascii="宋体" w:hAnsi="宋体" w:cs="宋体"/>
          <w:color w:val="auto"/>
          <w:kern w:val="0"/>
          <w:sz w:val="28"/>
          <w:szCs w:val="28"/>
        </w:rPr>
      </w:pPr>
    </w:p>
    <w:p>
      <w:pPr>
        <w:ind w:firstLine="280" w:firstLineChars="100"/>
        <w:rPr>
          <w:rFonts w:ascii="宋体" w:hAnsi="宋体"/>
          <w:color w:val="auto"/>
          <w:sz w:val="28"/>
          <w:szCs w:val="28"/>
        </w:rPr>
      </w:pPr>
      <w:r>
        <w:rPr>
          <w:rFonts w:hint="eastAsia" w:ascii="宋体" w:hAnsi="宋体"/>
          <w:color w:val="auto"/>
          <w:sz w:val="28"/>
          <w:szCs w:val="28"/>
        </w:rPr>
        <w:t xml:space="preserve">李雪娇        5120180036                       </w:t>
      </w:r>
      <w:r>
        <w:rPr>
          <w:rFonts w:hint="eastAsia" w:ascii="宋体" w:hAnsi="宋体"/>
          <w:color w:val="auto"/>
          <w:sz w:val="28"/>
          <w:szCs w:val="28"/>
          <w:lang w:val="en-US" w:eastAsia="zh-CN"/>
        </w:rPr>
        <w:t xml:space="preserve"> </w:t>
      </w:r>
      <w:r>
        <w:rPr>
          <w:rFonts w:hint="eastAsia" w:ascii="宋体" w:hAnsi="宋体"/>
          <w:color w:val="auto"/>
          <w:sz w:val="28"/>
          <w:szCs w:val="28"/>
        </w:rPr>
        <w:t xml:space="preserve"> </w:t>
      </w:r>
      <w:r>
        <w:rPr>
          <w:rFonts w:hint="eastAsia" w:ascii="宋体" w:hAnsi="宋体"/>
          <w:color w:val="auto"/>
          <w:sz w:val="28"/>
          <w:szCs w:val="28"/>
          <w:lang w:val="en-US" w:eastAsia="zh-CN"/>
        </w:rPr>
        <w:t xml:space="preserve">  </w:t>
      </w:r>
      <w:r>
        <w:rPr>
          <w:rFonts w:hint="eastAsia" w:ascii="宋体" w:hAnsi="宋体" w:cs="宋体"/>
          <w:color w:val="auto"/>
          <w:kern w:val="0"/>
          <w:sz w:val="28"/>
          <w:szCs w:val="28"/>
        </w:rPr>
        <w:t xml:space="preserve"> 年   月   日</w:t>
      </w:r>
    </w:p>
    <w:p>
      <w:pPr>
        <w:spacing w:line="500" w:lineRule="exact"/>
        <w:ind w:firstLine="551" w:firstLineChars="197"/>
        <w:rPr>
          <w:rFonts w:ascii="宋体" w:hAnsi="宋体"/>
          <w:color w:val="auto"/>
          <w:sz w:val="28"/>
          <w:szCs w:val="28"/>
        </w:rPr>
      </w:pPr>
    </w:p>
    <w:p>
      <w:pPr>
        <w:ind w:firstLine="292" w:firstLineChars="100"/>
        <w:rPr>
          <w:rFonts w:ascii="仿宋_GB2312" w:eastAsia="仿宋_GB2312"/>
          <w:b/>
          <w:color w:val="auto"/>
          <w:sz w:val="28"/>
        </w:rPr>
      </w:pPr>
      <w:r>
        <w:rPr>
          <w:rFonts w:hint="eastAsia" w:ascii="宋体" w:hAnsi="宋体"/>
          <w:color w:val="auto"/>
          <w:spacing w:val="6"/>
          <w:sz w:val="28"/>
          <w:lang w:eastAsia="zh-CN"/>
        </w:rPr>
        <w:t>殷贵颜</w:t>
      </w:r>
      <w:r>
        <w:rPr>
          <w:rFonts w:hint="eastAsia" w:ascii="宋体" w:hAnsi="宋体"/>
          <w:color w:val="auto"/>
          <w:spacing w:val="6"/>
          <w:sz w:val="28"/>
        </w:rPr>
        <w:t xml:space="preserve">      </w:t>
      </w:r>
      <w:r>
        <w:rPr>
          <w:rFonts w:hint="eastAsia" w:ascii="宋体" w:hAnsi="宋体"/>
          <w:color w:val="auto"/>
          <w:sz w:val="28"/>
          <w:szCs w:val="28"/>
        </w:rPr>
        <w:t xml:space="preserve"> </w:t>
      </w:r>
      <w:r>
        <w:rPr>
          <w:rFonts w:hint="eastAsia" w:ascii="宋体" w:hAnsi="宋体"/>
          <w:color w:val="auto"/>
          <w:sz w:val="28"/>
          <w:szCs w:val="28"/>
          <w:lang w:eastAsia="zh-CN"/>
        </w:rPr>
        <w:t>5119970021</w:t>
      </w:r>
      <w:r>
        <w:rPr>
          <w:rFonts w:hint="eastAsia" w:ascii="宋体" w:hAnsi="宋体"/>
          <w:color w:val="auto"/>
          <w:sz w:val="28"/>
          <w:szCs w:val="28"/>
        </w:rPr>
        <w:t xml:space="preserve">   </w:t>
      </w:r>
      <w:r>
        <w:rPr>
          <w:rFonts w:hint="eastAsia" w:ascii="宋体" w:hAnsi="宋体"/>
          <w:color w:val="auto"/>
          <w:sz w:val="28"/>
          <w:szCs w:val="28"/>
          <w:shd w:val="clear" w:color="auto" w:fill="FFFFFF"/>
        </w:rPr>
        <w:t xml:space="preserve">                    </w:t>
      </w:r>
      <w:r>
        <w:rPr>
          <w:rFonts w:hint="eastAsia" w:ascii="宋体" w:hAnsi="宋体"/>
          <w:color w:val="auto"/>
          <w:sz w:val="28"/>
          <w:szCs w:val="28"/>
          <w:shd w:val="clear" w:color="auto" w:fill="FFFFFF"/>
          <w:lang w:val="en-US" w:eastAsia="zh-CN"/>
        </w:rPr>
        <w:t xml:space="preserve"> </w:t>
      </w:r>
      <w:r>
        <w:rPr>
          <w:rFonts w:hint="eastAsia" w:ascii="宋体" w:hAnsi="宋体"/>
          <w:color w:val="auto"/>
          <w:sz w:val="28"/>
          <w:szCs w:val="28"/>
          <w:shd w:val="clear" w:color="auto" w:fill="FFFFFF"/>
        </w:rPr>
        <w:t xml:space="preserve"> </w:t>
      </w:r>
      <w:r>
        <w:rPr>
          <w:rFonts w:hint="eastAsia" w:ascii="宋体" w:hAnsi="宋体"/>
          <w:color w:val="auto"/>
          <w:sz w:val="28"/>
          <w:szCs w:val="28"/>
          <w:shd w:val="clear" w:color="auto" w:fill="FFFFFF"/>
          <w:lang w:val="en-US" w:eastAsia="zh-CN"/>
        </w:rPr>
        <w:t xml:space="preserve"> </w:t>
      </w:r>
      <w:r>
        <w:rPr>
          <w:rFonts w:hint="eastAsia" w:ascii="宋体" w:hAnsi="宋体"/>
          <w:color w:val="auto"/>
          <w:sz w:val="28"/>
          <w:szCs w:val="28"/>
          <w:shd w:val="clear" w:color="auto" w:fill="FFFFFF"/>
        </w:rPr>
        <w:t xml:space="preserve">  </w:t>
      </w:r>
      <w:r>
        <w:rPr>
          <w:rFonts w:hint="eastAsia" w:ascii="宋体" w:hAnsi="宋体" w:cs="宋体"/>
          <w:color w:val="auto"/>
          <w:kern w:val="0"/>
          <w:sz w:val="28"/>
          <w:szCs w:val="28"/>
        </w:rPr>
        <w:t>年   月   日</w:t>
      </w:r>
    </w:p>
    <w:p>
      <w:pPr>
        <w:ind w:firstLine="292" w:firstLineChars="100"/>
        <w:rPr>
          <w:rFonts w:ascii="宋体" w:hAnsi="宋体"/>
          <w:color w:val="auto"/>
          <w:spacing w:val="6"/>
          <w:sz w:val="28"/>
        </w:rPr>
      </w:pPr>
    </w:p>
    <w:p>
      <w:pPr>
        <w:ind w:firstLine="292" w:firstLineChars="100"/>
        <w:rPr>
          <w:rFonts w:ascii="宋体" w:hAnsi="宋体"/>
          <w:color w:val="auto"/>
          <w:spacing w:val="6"/>
          <w:sz w:val="28"/>
        </w:rPr>
      </w:pPr>
    </w:p>
    <w:p>
      <w:pPr>
        <w:ind w:firstLine="3795" w:firstLineChars="1350"/>
        <w:rPr>
          <w:rFonts w:ascii="仿宋_GB2312" w:eastAsia="仿宋_GB2312"/>
          <w:b/>
          <w:color w:val="auto"/>
          <w:sz w:val="28"/>
        </w:rPr>
      </w:pPr>
    </w:p>
    <w:p>
      <w:pPr>
        <w:ind w:firstLine="3795" w:firstLineChars="1350"/>
        <w:rPr>
          <w:rFonts w:ascii="仿宋_GB2312" w:eastAsia="仿宋_GB2312"/>
          <w:b/>
          <w:color w:val="auto"/>
          <w:sz w:val="28"/>
        </w:rPr>
      </w:pPr>
    </w:p>
    <w:p>
      <w:pPr>
        <w:ind w:firstLine="3795" w:firstLineChars="1350"/>
        <w:rPr>
          <w:rFonts w:ascii="仿宋_GB2312" w:eastAsia="仿宋_GB2312"/>
          <w:b/>
          <w:color w:val="auto"/>
          <w:sz w:val="28"/>
        </w:rPr>
      </w:pPr>
    </w:p>
    <w:p>
      <w:pPr>
        <w:ind w:firstLine="3795" w:firstLineChars="1350"/>
        <w:rPr>
          <w:rFonts w:ascii="仿宋_GB2312" w:eastAsia="仿宋_GB2312"/>
          <w:b/>
          <w:color w:val="auto"/>
          <w:sz w:val="28"/>
        </w:rPr>
      </w:pPr>
    </w:p>
    <w:p>
      <w:pPr>
        <w:ind w:firstLine="3795" w:firstLineChars="1350"/>
        <w:rPr>
          <w:rFonts w:ascii="仿宋_GB2312" w:eastAsia="仿宋_GB2312"/>
          <w:b/>
          <w:color w:val="auto"/>
          <w:sz w:val="28"/>
        </w:rPr>
      </w:pPr>
    </w:p>
    <w:p>
      <w:pPr>
        <w:ind w:firstLine="3795" w:firstLineChars="1350"/>
        <w:rPr>
          <w:rFonts w:ascii="仿宋_GB2312" w:eastAsia="仿宋_GB2312"/>
          <w:b/>
          <w:color w:val="auto"/>
          <w:sz w:val="28"/>
        </w:rPr>
      </w:pPr>
    </w:p>
    <w:p>
      <w:pPr>
        <w:ind w:firstLine="3795" w:firstLineChars="1350"/>
        <w:rPr>
          <w:rFonts w:ascii="仿宋_GB2312" w:eastAsia="仿宋_GB2312"/>
          <w:b/>
          <w:color w:val="auto"/>
          <w:sz w:val="28"/>
        </w:rPr>
      </w:pPr>
    </w:p>
    <w:p>
      <w:pPr>
        <w:ind w:firstLine="3795" w:firstLineChars="1350"/>
        <w:rPr>
          <w:rFonts w:ascii="仿宋_GB2312" w:eastAsia="仿宋_GB2312"/>
          <w:b/>
          <w:color w:val="auto"/>
          <w:sz w:val="28"/>
        </w:rPr>
      </w:pPr>
    </w:p>
    <w:bookmarkEnd w:id="1"/>
    <w:p>
      <w:pPr>
        <w:jc w:val="center"/>
        <w:rPr>
          <w:rFonts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r>
        <w:rPr>
          <w:rFonts w:hint="eastAsia" w:ascii="黑体" w:hAnsi="宋体" w:eastAsia="黑体"/>
          <w:b/>
          <w:color w:val="auto"/>
          <w:spacing w:val="40"/>
          <w:sz w:val="48"/>
          <w:szCs w:val="48"/>
        </w:rPr>
        <w:t>估价的假设和限制条件</w:t>
      </w:r>
    </w:p>
    <w:p>
      <w:pPr>
        <w:pStyle w:val="3"/>
        <w:pageBreakBefore w:val="0"/>
        <w:kinsoku/>
        <w:wordWrap/>
        <w:overflowPunct/>
        <w:topLinePunct w:val="0"/>
        <w:autoSpaceDE/>
        <w:autoSpaceDN/>
        <w:bidi w:val="0"/>
        <w:spacing w:line="540" w:lineRule="exact"/>
        <w:textAlignment w:val="auto"/>
        <w:rPr>
          <w:rFonts w:ascii="宋体" w:hAnsi="宋体" w:cs="宋体"/>
          <w:color w:val="auto"/>
          <w:sz w:val="28"/>
          <w:szCs w:val="28"/>
        </w:rPr>
      </w:pPr>
      <w:bookmarkStart w:id="2" w:name="_Toc18099"/>
      <w:r>
        <w:rPr>
          <w:rFonts w:hint="eastAsia" w:ascii="宋体" w:hAnsi="宋体" w:cs="宋体"/>
          <w:color w:val="auto"/>
          <w:sz w:val="28"/>
          <w:szCs w:val="28"/>
        </w:rPr>
        <w:t>（一）估价假设</w:t>
      </w:r>
      <w:bookmarkEnd w:id="2"/>
    </w:p>
    <w:p>
      <w:pPr>
        <w:keepNext w:val="0"/>
        <w:keepLines w:val="0"/>
        <w:pageBreakBefore w:val="0"/>
        <w:tabs>
          <w:tab w:val="left" w:pos="993"/>
        </w:tabs>
        <w:kinsoku/>
        <w:wordWrap/>
        <w:overflowPunct/>
        <w:topLinePunct w:val="0"/>
        <w:autoSpaceDE/>
        <w:autoSpaceDN/>
        <w:bidi w:val="0"/>
        <w:adjustRightInd w:val="0"/>
        <w:snapToGrid w:val="0"/>
        <w:spacing w:line="540" w:lineRule="exact"/>
        <w:ind w:firstLine="560" w:firstLineChars="200"/>
        <w:textAlignment w:val="auto"/>
        <w:rPr>
          <w:rFonts w:ascii="宋体" w:hAnsi="宋体" w:cs="宋体"/>
          <w:bCs/>
          <w:color w:val="auto"/>
          <w:sz w:val="28"/>
          <w:szCs w:val="28"/>
        </w:rPr>
      </w:pPr>
      <w:r>
        <w:rPr>
          <w:rFonts w:hint="eastAsia" w:ascii="宋体" w:hAnsi="宋体" w:cs="宋体"/>
          <w:bCs/>
          <w:color w:val="auto"/>
          <w:sz w:val="28"/>
          <w:szCs w:val="28"/>
        </w:rPr>
        <w:t>1、一般假设</w:t>
      </w:r>
    </w:p>
    <w:p>
      <w:pPr>
        <w:keepNext w:val="0"/>
        <w:keepLines w:val="0"/>
        <w:pageBreakBefore w:val="0"/>
        <w:tabs>
          <w:tab w:val="left" w:pos="993"/>
        </w:tabs>
        <w:kinsoku/>
        <w:wordWrap/>
        <w:overflowPunct/>
        <w:topLinePunct w:val="0"/>
        <w:autoSpaceDE/>
        <w:autoSpaceDN/>
        <w:bidi w:val="0"/>
        <w:adjustRightInd w:val="0"/>
        <w:snapToGrid w:val="0"/>
        <w:spacing w:line="540" w:lineRule="exact"/>
        <w:ind w:firstLine="560" w:firstLineChars="200"/>
        <w:textAlignment w:val="auto"/>
        <w:rPr>
          <w:rFonts w:ascii="宋体" w:hAnsi="宋体" w:cs="宋体"/>
          <w:bCs/>
          <w:color w:val="auto"/>
          <w:sz w:val="28"/>
          <w:szCs w:val="28"/>
        </w:rPr>
      </w:pPr>
      <w:r>
        <w:rPr>
          <w:rFonts w:hint="eastAsia" w:ascii="宋体" w:hAnsi="宋体" w:cs="宋体"/>
          <w:bCs/>
          <w:color w:val="auto"/>
          <w:sz w:val="28"/>
          <w:szCs w:val="28"/>
        </w:rPr>
        <w:t>①、假设在价值时点的房地产市场是公开、公平、自愿的均衡市场。</w:t>
      </w:r>
    </w:p>
    <w:p>
      <w:pPr>
        <w:keepNext w:val="0"/>
        <w:keepLines w:val="0"/>
        <w:pageBreakBefore w:val="0"/>
        <w:tabs>
          <w:tab w:val="left" w:pos="993"/>
        </w:tabs>
        <w:kinsoku/>
        <w:wordWrap/>
        <w:overflowPunct/>
        <w:topLinePunct w:val="0"/>
        <w:autoSpaceDE/>
        <w:autoSpaceDN/>
        <w:bidi w:val="0"/>
        <w:adjustRightInd w:val="0"/>
        <w:snapToGrid w:val="0"/>
        <w:spacing w:line="540" w:lineRule="exact"/>
        <w:ind w:firstLine="560" w:firstLineChars="200"/>
        <w:textAlignment w:val="auto"/>
        <w:rPr>
          <w:rFonts w:ascii="宋体" w:hAnsi="宋体" w:cs="宋体"/>
          <w:bCs/>
          <w:color w:val="auto"/>
          <w:sz w:val="28"/>
          <w:szCs w:val="28"/>
        </w:rPr>
      </w:pPr>
      <w:r>
        <w:rPr>
          <w:rFonts w:hint="eastAsia" w:ascii="宋体" w:hAnsi="宋体" w:cs="宋体"/>
          <w:bCs/>
          <w:color w:val="auto"/>
          <w:sz w:val="28"/>
          <w:szCs w:val="28"/>
        </w:rPr>
        <w:t>②、假设委托方提供的估价对象</w:t>
      </w:r>
      <w:r>
        <w:rPr>
          <w:rFonts w:hint="eastAsia" w:ascii="宋体" w:hAnsi="宋体" w:cs="宋体"/>
          <w:bCs/>
          <w:color w:val="auto"/>
          <w:sz w:val="28"/>
          <w:szCs w:val="28"/>
          <w:lang w:eastAsia="zh-CN"/>
        </w:rPr>
        <w:t>不动产登记信息查询结果证明</w:t>
      </w:r>
      <w:r>
        <w:rPr>
          <w:rFonts w:hint="eastAsia" w:ascii="宋体" w:hAnsi="宋体" w:cs="宋体"/>
          <w:bCs/>
          <w:color w:val="auto"/>
          <w:sz w:val="28"/>
          <w:szCs w:val="28"/>
        </w:rPr>
        <w:t>复印件等房屋产权资料真实、合法、有效。</w:t>
      </w:r>
      <w:r>
        <w:rPr>
          <w:rFonts w:hint="eastAsia" w:ascii="宋体" w:hAnsi="宋体" w:cs="宋体"/>
          <w:color w:val="auto"/>
          <w:kern w:val="0"/>
          <w:sz w:val="28"/>
          <w:szCs w:val="28"/>
        </w:rPr>
        <w:t>若因估价委托人提供资料及陈述失实而造成估价结果有误，本公司及注册房地产估价师不承担相应责任。</w:t>
      </w:r>
    </w:p>
    <w:p>
      <w:pPr>
        <w:keepNext w:val="0"/>
        <w:keepLines w:val="0"/>
        <w:pageBreakBefore w:val="0"/>
        <w:tabs>
          <w:tab w:val="left" w:pos="993"/>
        </w:tabs>
        <w:kinsoku/>
        <w:wordWrap/>
        <w:overflowPunct/>
        <w:topLinePunct w:val="0"/>
        <w:autoSpaceDE/>
        <w:autoSpaceDN/>
        <w:bidi w:val="0"/>
        <w:adjustRightInd w:val="0"/>
        <w:snapToGrid w:val="0"/>
        <w:spacing w:line="540" w:lineRule="exact"/>
        <w:ind w:firstLine="560" w:firstLineChars="200"/>
        <w:textAlignment w:val="auto"/>
        <w:rPr>
          <w:rFonts w:ascii="宋体" w:hAnsi="宋体" w:cs="宋体"/>
          <w:bCs/>
          <w:color w:val="auto"/>
          <w:sz w:val="28"/>
          <w:szCs w:val="28"/>
        </w:rPr>
      </w:pPr>
      <w:r>
        <w:rPr>
          <w:rFonts w:hint="eastAsia" w:ascii="宋体" w:hAnsi="宋体" w:cs="宋体"/>
          <w:bCs/>
          <w:color w:val="auto"/>
          <w:sz w:val="28"/>
          <w:szCs w:val="28"/>
        </w:rPr>
        <w:t>③、房屋</w:t>
      </w:r>
      <w:r>
        <w:rPr>
          <w:rFonts w:hint="eastAsia" w:ascii="宋体" w:hAnsi="宋体" w:cs="宋体"/>
          <w:bCs/>
          <w:color w:val="auto"/>
          <w:sz w:val="28"/>
          <w:szCs w:val="28"/>
          <w:lang w:eastAsia="zh-CN"/>
        </w:rPr>
        <w:t>所有权人</w:t>
      </w:r>
      <w:r>
        <w:rPr>
          <w:rFonts w:hint="eastAsia" w:ascii="宋体" w:hAnsi="宋体" w:cs="宋体"/>
          <w:bCs/>
          <w:color w:val="auto"/>
          <w:sz w:val="28"/>
          <w:szCs w:val="28"/>
        </w:rPr>
        <w:t>对估价对象拥有合法的占有权、使用权、收益权和处置权。估价对象在价值时点未发生任何形式的产权转移行为。</w:t>
      </w:r>
    </w:p>
    <w:p>
      <w:pPr>
        <w:keepNext w:val="0"/>
        <w:keepLines w:val="0"/>
        <w:pageBreakBefore w:val="0"/>
        <w:tabs>
          <w:tab w:val="left" w:pos="993"/>
        </w:tabs>
        <w:kinsoku/>
        <w:wordWrap/>
        <w:overflowPunct/>
        <w:topLinePunct w:val="0"/>
        <w:autoSpaceDE/>
        <w:autoSpaceDN/>
        <w:bidi w:val="0"/>
        <w:adjustRightInd w:val="0"/>
        <w:snapToGrid w:val="0"/>
        <w:spacing w:line="540" w:lineRule="exact"/>
        <w:ind w:firstLine="560" w:firstLineChars="200"/>
        <w:textAlignment w:val="auto"/>
        <w:rPr>
          <w:rFonts w:ascii="宋体" w:hAnsi="宋体" w:cs="宋体"/>
          <w:bCs/>
          <w:color w:val="auto"/>
          <w:sz w:val="28"/>
          <w:szCs w:val="28"/>
        </w:rPr>
      </w:pPr>
      <w:r>
        <w:rPr>
          <w:rFonts w:hint="eastAsia" w:ascii="宋体" w:hAnsi="宋体" w:cs="宋体"/>
          <w:bCs/>
          <w:color w:val="auto"/>
          <w:sz w:val="28"/>
          <w:szCs w:val="28"/>
        </w:rPr>
        <w:t>④、本次估价以估价对象能够按照价值时点完整的物质实体状况、权益状况和法定用途持续使用为假设前提。</w:t>
      </w:r>
    </w:p>
    <w:p>
      <w:pPr>
        <w:keepNext w:val="0"/>
        <w:keepLines w:val="0"/>
        <w:pageBreakBefore w:val="0"/>
        <w:tabs>
          <w:tab w:val="left" w:pos="993"/>
        </w:tabs>
        <w:kinsoku/>
        <w:wordWrap/>
        <w:overflowPunct/>
        <w:topLinePunct w:val="0"/>
        <w:autoSpaceDE/>
        <w:autoSpaceDN/>
        <w:bidi w:val="0"/>
        <w:adjustRightInd w:val="0"/>
        <w:snapToGrid w:val="0"/>
        <w:spacing w:line="540" w:lineRule="exact"/>
        <w:ind w:firstLine="560" w:firstLineChars="200"/>
        <w:textAlignment w:val="auto"/>
        <w:rPr>
          <w:rFonts w:ascii="宋体" w:hAnsi="宋体" w:cs="宋体"/>
          <w:bCs/>
          <w:color w:val="auto"/>
          <w:sz w:val="28"/>
          <w:szCs w:val="28"/>
        </w:rPr>
      </w:pPr>
      <w:r>
        <w:rPr>
          <w:rFonts w:hint="eastAsia" w:ascii="宋体" w:hAnsi="宋体" w:cs="宋体"/>
          <w:bCs/>
          <w:color w:val="auto"/>
          <w:sz w:val="28"/>
          <w:szCs w:val="28"/>
        </w:rPr>
        <w:t>⑤、注册房地产估价师对估价对象的实地查看仅限于估价对象于价值时点的外观和使用状况，无法对估价对象的隐蔽工程（地基、电气管线、供水管线等需要覆盖、掩盖的工程）、建筑结构质量等进行专业检测。注册房地产估价师对房屋安全、环境污染等影响估价对象价值的重大因素给予了关注，在无理由怀疑估价对象存在安全隐患且无相应的专业机构进行鉴定检测的情况下，假设估价对象不存在房屋安全隐患及重大环境污染的情形。</w:t>
      </w:r>
    </w:p>
    <w:p>
      <w:pPr>
        <w:keepNext w:val="0"/>
        <w:keepLines w:val="0"/>
        <w:pageBreakBefore w:val="0"/>
        <w:widowControl/>
        <w:kinsoku/>
        <w:wordWrap/>
        <w:overflowPunct/>
        <w:topLinePunct w:val="0"/>
        <w:autoSpaceDE/>
        <w:autoSpaceDN/>
        <w:bidi w:val="0"/>
        <w:spacing w:line="540" w:lineRule="exact"/>
        <w:ind w:firstLine="560" w:firstLineChars="200"/>
        <w:jc w:val="left"/>
        <w:textAlignment w:val="auto"/>
        <w:rPr>
          <w:rFonts w:ascii="宋体" w:hAnsi="宋体" w:cs="宋体"/>
          <w:color w:val="auto"/>
          <w:kern w:val="0"/>
          <w:sz w:val="28"/>
          <w:szCs w:val="28"/>
        </w:rPr>
      </w:pPr>
      <w:r>
        <w:rPr>
          <w:rFonts w:hint="eastAsia" w:ascii="宋体" w:hAnsi="宋体" w:cs="宋体"/>
          <w:bCs/>
          <w:color w:val="auto"/>
          <w:sz w:val="28"/>
          <w:szCs w:val="28"/>
        </w:rPr>
        <w:t>2、</w:t>
      </w:r>
      <w:r>
        <w:rPr>
          <w:rFonts w:hint="eastAsia" w:ascii="宋体" w:hAnsi="宋体" w:cs="宋体"/>
          <w:color w:val="auto"/>
          <w:kern w:val="0"/>
          <w:sz w:val="28"/>
          <w:szCs w:val="28"/>
        </w:rPr>
        <w:t>未定事项假设</w:t>
      </w:r>
    </w:p>
    <w:p>
      <w:pPr>
        <w:keepNext w:val="0"/>
        <w:keepLines w:val="0"/>
        <w:pageBreakBefore w:val="0"/>
        <w:widowControl/>
        <w:kinsoku/>
        <w:wordWrap/>
        <w:overflowPunct/>
        <w:topLinePunct w:val="0"/>
        <w:autoSpaceDE/>
        <w:autoSpaceDN/>
        <w:bidi w:val="0"/>
        <w:spacing w:line="540" w:lineRule="exact"/>
        <w:ind w:firstLine="560" w:firstLineChars="200"/>
        <w:jc w:val="left"/>
        <w:textAlignment w:val="auto"/>
        <w:rPr>
          <w:rFonts w:ascii="宋体" w:hAnsi="宋体" w:cs="宋体"/>
          <w:color w:val="auto"/>
          <w:kern w:val="0"/>
          <w:sz w:val="28"/>
          <w:szCs w:val="28"/>
        </w:rPr>
      </w:pPr>
      <w:r>
        <w:rPr>
          <w:rFonts w:hint="eastAsia" w:ascii="宋体" w:hAnsi="宋体" w:cs="宋体"/>
          <w:color w:val="auto"/>
          <w:kern w:val="0"/>
          <w:sz w:val="28"/>
          <w:szCs w:val="28"/>
        </w:rPr>
        <w:t>无未定事项假设</w:t>
      </w:r>
    </w:p>
    <w:p>
      <w:pPr>
        <w:keepNext w:val="0"/>
        <w:keepLines w:val="0"/>
        <w:pageBreakBefore w:val="0"/>
        <w:widowControl/>
        <w:numPr>
          <w:ilvl w:val="0"/>
          <w:numId w:val="2"/>
        </w:numPr>
        <w:kinsoku/>
        <w:wordWrap/>
        <w:overflowPunct/>
        <w:topLinePunct w:val="0"/>
        <w:autoSpaceDE/>
        <w:autoSpaceDN/>
        <w:bidi w:val="0"/>
        <w:spacing w:line="540" w:lineRule="exact"/>
        <w:ind w:firstLine="560" w:firstLineChars="200"/>
        <w:jc w:val="left"/>
        <w:textAlignment w:val="auto"/>
        <w:rPr>
          <w:rFonts w:hint="eastAsia" w:ascii="宋体" w:hAnsi="宋体" w:cs="宋体"/>
          <w:color w:val="auto"/>
          <w:kern w:val="0"/>
          <w:sz w:val="28"/>
          <w:szCs w:val="28"/>
        </w:rPr>
      </w:pPr>
      <w:r>
        <w:rPr>
          <w:rFonts w:hint="eastAsia" w:ascii="宋体" w:hAnsi="宋体" w:cs="宋体"/>
          <w:color w:val="auto"/>
          <w:kern w:val="0"/>
          <w:sz w:val="28"/>
          <w:szCs w:val="28"/>
        </w:rPr>
        <w:t>背离事实假设</w:t>
      </w:r>
    </w:p>
    <w:p>
      <w:pPr>
        <w:keepNext w:val="0"/>
        <w:keepLines w:val="0"/>
        <w:pageBreakBefore w:val="0"/>
        <w:kinsoku/>
        <w:wordWrap/>
        <w:overflowPunct/>
        <w:topLinePunct w:val="0"/>
        <w:autoSpaceDE/>
        <w:autoSpaceDN/>
        <w:bidi w:val="0"/>
        <w:spacing w:line="540" w:lineRule="exact"/>
        <w:ind w:firstLine="560" w:firstLineChars="200"/>
        <w:textAlignment w:val="auto"/>
        <w:rPr>
          <w:rFonts w:hint="eastAsia" w:ascii="Calibri" w:hAnsi="Calibri" w:eastAsia="宋体" w:cs="Times New Roman"/>
          <w:color w:val="auto"/>
          <w:kern w:val="2"/>
          <w:sz w:val="21"/>
          <w:szCs w:val="22"/>
          <w:lang w:val="en-US" w:eastAsia="zh-CN" w:bidi="ar-SA"/>
        </w:rPr>
      </w:pPr>
      <w:r>
        <w:rPr>
          <w:rFonts w:hint="eastAsia" w:ascii="宋体" w:hAnsi="宋体" w:cs="宋体"/>
          <w:color w:val="auto"/>
          <w:kern w:val="0"/>
          <w:sz w:val="28"/>
          <w:szCs w:val="28"/>
          <w:highlight w:val="none"/>
          <w:lang w:eastAsia="zh-CN"/>
        </w:rPr>
        <w:t>估价对象目前处于法院查封状态，根据估价目的和《房地产司法鉴定评估指导意见（试行）》的相关规定</w:t>
      </w:r>
      <w:r>
        <w:rPr>
          <w:rFonts w:hint="eastAsia"/>
          <w:color w:val="auto"/>
          <w:sz w:val="28"/>
          <w:szCs w:val="28"/>
          <w:highlight w:val="none"/>
          <w:lang w:eastAsia="zh-CN"/>
        </w:rPr>
        <w:t>，本次评估时未考虑房地产被查封、其他优先受偿权及强制变现等因素对估价对象市场价值的影响。</w:t>
      </w:r>
    </w:p>
    <w:p>
      <w:pPr>
        <w:keepNext w:val="0"/>
        <w:keepLines w:val="0"/>
        <w:pageBreakBefore w:val="0"/>
        <w:widowControl/>
        <w:kinsoku/>
        <w:wordWrap/>
        <w:overflowPunct/>
        <w:topLinePunct w:val="0"/>
        <w:autoSpaceDE/>
        <w:autoSpaceDN/>
        <w:bidi w:val="0"/>
        <w:spacing w:line="580" w:lineRule="exact"/>
        <w:ind w:firstLine="560" w:firstLineChars="200"/>
        <w:jc w:val="left"/>
        <w:textAlignment w:val="auto"/>
        <w:rPr>
          <w:rFonts w:ascii="宋体" w:hAnsi="宋体" w:cs="宋体"/>
          <w:color w:val="auto"/>
          <w:kern w:val="0"/>
          <w:sz w:val="28"/>
          <w:szCs w:val="28"/>
        </w:rPr>
      </w:pPr>
      <w:r>
        <w:rPr>
          <w:rFonts w:hint="eastAsia" w:ascii="宋体" w:hAnsi="宋体" w:cs="宋体"/>
          <w:color w:val="auto"/>
          <w:kern w:val="0"/>
          <w:sz w:val="28"/>
          <w:szCs w:val="28"/>
        </w:rPr>
        <w:t>4、不相一致假设</w:t>
      </w:r>
    </w:p>
    <w:p>
      <w:pPr>
        <w:keepNext w:val="0"/>
        <w:keepLines w:val="0"/>
        <w:pageBreakBefore w:val="0"/>
        <w:widowControl/>
        <w:kinsoku/>
        <w:wordWrap/>
        <w:overflowPunct/>
        <w:topLinePunct w:val="0"/>
        <w:autoSpaceDE/>
        <w:autoSpaceDN/>
        <w:bidi w:val="0"/>
        <w:spacing w:line="580" w:lineRule="exact"/>
        <w:ind w:firstLine="560" w:firstLineChars="200"/>
        <w:jc w:val="left"/>
        <w:textAlignment w:val="auto"/>
        <w:rPr>
          <w:rFonts w:hint="default" w:ascii="宋体" w:hAnsi="宋体" w:eastAsia="宋体" w:cs="宋体"/>
          <w:color w:val="auto"/>
          <w:kern w:val="0"/>
          <w:sz w:val="28"/>
          <w:szCs w:val="28"/>
          <w:lang w:val="en-US" w:eastAsia="zh-CN"/>
        </w:rPr>
      </w:pPr>
      <w:r>
        <w:rPr>
          <w:rFonts w:hint="eastAsia" w:ascii="宋体" w:hAnsi="宋体" w:cs="宋体"/>
          <w:color w:val="auto"/>
          <w:kern w:val="0"/>
          <w:sz w:val="28"/>
          <w:szCs w:val="28"/>
          <w:lang w:eastAsia="zh-CN"/>
        </w:rPr>
        <w:t>根据估价人员现场查看，委估房地产最新坐落为：通江县诺江镇诺江东路</w:t>
      </w:r>
      <w:r>
        <w:rPr>
          <w:rFonts w:hint="eastAsia" w:ascii="宋体" w:hAnsi="宋体" w:cs="宋体"/>
          <w:color w:val="auto"/>
          <w:kern w:val="0"/>
          <w:sz w:val="28"/>
          <w:szCs w:val="28"/>
          <w:lang w:val="en-US" w:eastAsia="zh-CN"/>
        </w:rPr>
        <w:t>388号，</w:t>
      </w:r>
      <w:r>
        <w:rPr>
          <w:rFonts w:hint="eastAsia" w:ascii="宋体" w:hAnsi="宋体" w:cs="宋体"/>
          <w:color w:val="auto"/>
          <w:kern w:val="0"/>
          <w:sz w:val="28"/>
          <w:szCs w:val="28"/>
          <w:lang w:eastAsia="zh-CN"/>
        </w:rPr>
        <w:t>通江县诺江镇诺江东路</w:t>
      </w:r>
      <w:r>
        <w:rPr>
          <w:rFonts w:hint="eastAsia" w:ascii="宋体" w:hAnsi="宋体" w:cs="宋体"/>
          <w:color w:val="auto"/>
          <w:kern w:val="0"/>
          <w:sz w:val="28"/>
          <w:szCs w:val="28"/>
          <w:lang w:val="en-US" w:eastAsia="zh-CN"/>
        </w:rPr>
        <w:t>386号.</w:t>
      </w:r>
    </w:p>
    <w:p>
      <w:pPr>
        <w:widowControl/>
        <w:spacing w:line="600" w:lineRule="exact"/>
        <w:ind w:firstLine="560" w:firstLineChars="200"/>
        <w:jc w:val="left"/>
        <w:rPr>
          <w:rFonts w:hint="eastAsia" w:ascii="宋体" w:hAnsi="宋体" w:cs="宋体"/>
          <w:color w:val="auto"/>
          <w:kern w:val="0"/>
          <w:sz w:val="28"/>
          <w:szCs w:val="28"/>
        </w:rPr>
      </w:pPr>
      <w:r>
        <w:rPr>
          <w:rFonts w:hint="eastAsia" w:ascii="宋体" w:hAnsi="宋体" w:cs="宋体"/>
          <w:color w:val="auto"/>
          <w:kern w:val="0"/>
          <w:sz w:val="28"/>
          <w:szCs w:val="28"/>
        </w:rPr>
        <w:t>5、依据不足假设</w:t>
      </w:r>
    </w:p>
    <w:p>
      <w:pPr>
        <w:widowControl/>
        <w:spacing w:line="600" w:lineRule="exact"/>
        <w:ind w:firstLine="560" w:firstLineChars="200"/>
        <w:jc w:val="left"/>
        <w:rPr>
          <w:rFonts w:hint="eastAsia" w:ascii="宋体" w:hAnsi="宋体" w:cs="宋体"/>
          <w:color w:val="auto"/>
          <w:kern w:val="0"/>
          <w:sz w:val="28"/>
          <w:szCs w:val="28"/>
        </w:rPr>
      </w:pPr>
      <w:r>
        <w:rPr>
          <w:rFonts w:hint="eastAsia" w:ascii="宋体" w:hAnsi="宋体" w:cs="宋体"/>
          <w:color w:val="auto"/>
          <w:kern w:val="0"/>
          <w:sz w:val="28"/>
          <w:szCs w:val="28"/>
        </w:rPr>
        <w:t>因受档案查询资格限制，我们难以在登记部门对</w:t>
      </w:r>
      <w:r>
        <w:rPr>
          <w:rFonts w:hint="eastAsia" w:ascii="宋体" w:hAnsi="宋体" w:cs="宋体"/>
          <w:color w:val="auto"/>
          <w:sz w:val="28"/>
          <w:szCs w:val="28"/>
          <w:lang w:eastAsia="zh-CN"/>
        </w:rPr>
        <w:t>《房屋所有权证》、《国有土地使用权证》</w:t>
      </w:r>
      <w:r>
        <w:rPr>
          <w:rFonts w:hint="eastAsia" w:ascii="宋体" w:hAnsi="宋体" w:cs="宋体"/>
          <w:color w:val="auto"/>
          <w:kern w:val="0"/>
          <w:sz w:val="28"/>
          <w:szCs w:val="28"/>
          <w:lang w:eastAsia="zh-CN"/>
        </w:rPr>
        <w:t>原件</w:t>
      </w:r>
      <w:r>
        <w:rPr>
          <w:rFonts w:hint="eastAsia" w:ascii="宋体" w:hAnsi="宋体" w:cs="宋体"/>
          <w:color w:val="auto"/>
          <w:kern w:val="0"/>
          <w:sz w:val="28"/>
          <w:szCs w:val="28"/>
        </w:rPr>
        <w:t>进行核对，本次估价设定其所提供的复印件与原件完全相符，估价委托方对资料的真实性负责。提请报告使用人使用报告时查验其原件。</w:t>
      </w:r>
    </w:p>
    <w:p>
      <w:pPr>
        <w:pStyle w:val="3"/>
        <w:numPr>
          <w:ilvl w:val="0"/>
          <w:numId w:val="3"/>
        </w:numPr>
        <w:spacing w:line="600" w:lineRule="exact"/>
        <w:rPr>
          <w:rFonts w:ascii="宋体" w:hAnsi="宋体" w:cs="宋体"/>
          <w:color w:val="auto"/>
          <w:sz w:val="28"/>
          <w:szCs w:val="28"/>
        </w:rPr>
      </w:pPr>
      <w:bookmarkStart w:id="3" w:name="_Toc18440"/>
      <w:r>
        <w:rPr>
          <w:rFonts w:hint="eastAsia" w:ascii="宋体" w:hAnsi="宋体" w:cs="宋体"/>
          <w:color w:val="auto"/>
          <w:sz w:val="28"/>
          <w:szCs w:val="28"/>
        </w:rPr>
        <w:t>估价报告使用限制</w:t>
      </w:r>
      <w:bookmarkEnd w:id="3"/>
      <w:r>
        <w:rPr>
          <w:rFonts w:hint="eastAsia" w:ascii="宋体" w:hAnsi="宋体" w:cs="宋体"/>
          <w:color w:val="auto"/>
          <w:sz w:val="28"/>
          <w:szCs w:val="28"/>
        </w:rPr>
        <w:t>条件</w:t>
      </w:r>
    </w:p>
    <w:p>
      <w:pPr>
        <w:numPr>
          <w:ilvl w:val="0"/>
          <w:numId w:val="4"/>
        </w:numPr>
        <w:spacing w:line="600" w:lineRule="exact"/>
        <w:ind w:firstLine="560" w:firstLineChars="200"/>
        <w:rPr>
          <w:rFonts w:ascii="宋体" w:hAnsi="宋体" w:cs="宋体"/>
          <w:color w:val="auto"/>
          <w:sz w:val="28"/>
          <w:szCs w:val="28"/>
        </w:rPr>
      </w:pPr>
      <w:r>
        <w:rPr>
          <w:rFonts w:hint="eastAsia" w:ascii="宋体" w:hAnsi="宋体" w:cs="宋体"/>
          <w:color w:val="auto"/>
          <w:sz w:val="28"/>
          <w:szCs w:val="28"/>
        </w:rPr>
        <w:t>本报告估价结果为</w:t>
      </w:r>
      <w:r>
        <w:rPr>
          <w:rFonts w:hint="eastAsia" w:ascii="宋体" w:hAnsi="宋体" w:cs="宋体"/>
          <w:color w:val="auto"/>
          <w:sz w:val="28"/>
          <w:szCs w:val="28"/>
          <w:lang w:eastAsia="zh-CN"/>
        </w:rPr>
        <w:t>2022年9月26日</w:t>
      </w:r>
      <w:r>
        <w:rPr>
          <w:rFonts w:hint="eastAsia" w:ascii="宋体" w:hAnsi="宋体" w:cs="宋体"/>
          <w:color w:val="auto"/>
          <w:sz w:val="28"/>
          <w:szCs w:val="28"/>
        </w:rPr>
        <w:t>的市场价格，随着时间及市场情况的变化，该价格需作相应调整。如使用本报告估价结果的时间与报告价值时点相差12个月或以上，我公司对应用此结果给有关方面造成的损失不承担任何责任。</w:t>
      </w:r>
    </w:p>
    <w:p>
      <w:pPr>
        <w:spacing w:line="600" w:lineRule="exact"/>
        <w:ind w:firstLine="560" w:firstLineChars="200"/>
        <w:rPr>
          <w:rFonts w:ascii="宋体" w:hAnsi="宋体" w:cs="宋体"/>
          <w:bCs/>
          <w:color w:val="auto"/>
          <w:sz w:val="28"/>
          <w:szCs w:val="28"/>
        </w:rPr>
      </w:pPr>
      <w:r>
        <w:rPr>
          <w:rFonts w:hint="eastAsia" w:ascii="宋体" w:hAnsi="宋体" w:cs="宋体"/>
          <w:bCs/>
          <w:color w:val="auto"/>
          <w:sz w:val="28"/>
          <w:szCs w:val="28"/>
        </w:rPr>
        <w:t>2、本报告估价结果为</w:t>
      </w:r>
      <w:r>
        <w:rPr>
          <w:rFonts w:hint="eastAsia" w:asciiTheme="minorEastAsia" w:hAnsiTheme="minorEastAsia" w:eastAsiaTheme="minorEastAsia"/>
          <w:color w:val="auto"/>
          <w:spacing w:val="6"/>
          <w:sz w:val="28"/>
          <w:szCs w:val="28"/>
        </w:rPr>
        <w:t>房地产的市场价格</w:t>
      </w:r>
      <w:r>
        <w:rPr>
          <w:rFonts w:hint="eastAsia" w:ascii="宋体" w:hAnsi="宋体" w:cs="宋体"/>
          <w:bCs/>
          <w:color w:val="auto"/>
          <w:sz w:val="28"/>
          <w:szCs w:val="28"/>
        </w:rPr>
        <w:t>，估价时没有考虑</w:t>
      </w:r>
      <w:r>
        <w:rPr>
          <w:rFonts w:hint="eastAsia" w:asciiTheme="minorEastAsia" w:hAnsiTheme="minorEastAsia" w:eastAsiaTheme="minorEastAsia"/>
          <w:color w:val="auto"/>
          <w:spacing w:val="6"/>
          <w:sz w:val="28"/>
          <w:szCs w:val="28"/>
        </w:rPr>
        <w:t>未来房地产市场变化风险、房地产变现的不确定性和变现费用、房屋转让时应缴纳的有关税费等因素对估价对象价值的影响；未考虑债权债务等其它限制因素对其估价对象价格的影响；</w:t>
      </w:r>
      <w:r>
        <w:rPr>
          <w:rFonts w:hint="eastAsia" w:ascii="宋体" w:hAnsi="宋体" w:cs="宋体"/>
          <w:bCs/>
          <w:color w:val="auto"/>
          <w:sz w:val="28"/>
          <w:szCs w:val="28"/>
        </w:rPr>
        <w:t>当上述条件发生变化时，评估结果一般亦会发生变化，使用者在运用本报告时应予充分考虑。</w:t>
      </w:r>
    </w:p>
    <w:p>
      <w:pPr>
        <w:spacing w:line="600" w:lineRule="exact"/>
        <w:ind w:firstLine="560" w:firstLineChars="200"/>
        <w:rPr>
          <w:rFonts w:asciiTheme="minorEastAsia" w:hAnsiTheme="minorEastAsia" w:eastAsiaTheme="minorEastAsia"/>
          <w:color w:val="auto"/>
          <w:spacing w:val="6"/>
          <w:sz w:val="28"/>
          <w:szCs w:val="28"/>
        </w:rPr>
      </w:pPr>
      <w:r>
        <w:rPr>
          <w:rFonts w:hint="eastAsia" w:ascii="宋体" w:hAnsi="宋体" w:cs="宋体"/>
          <w:color w:val="auto"/>
          <w:sz w:val="28"/>
          <w:szCs w:val="28"/>
        </w:rPr>
        <w:t>3、</w:t>
      </w:r>
      <w:r>
        <w:rPr>
          <w:rFonts w:hint="eastAsia" w:asciiTheme="minorEastAsia" w:hAnsiTheme="minorEastAsia" w:eastAsiaTheme="minorEastAsia"/>
          <w:color w:val="auto"/>
          <w:spacing w:val="6"/>
          <w:sz w:val="28"/>
          <w:szCs w:val="28"/>
        </w:rPr>
        <w:t>本报告只用于为委托方</w:t>
      </w:r>
      <w:r>
        <w:rPr>
          <w:rFonts w:hint="eastAsia" w:asciiTheme="minorEastAsia" w:hAnsiTheme="minorEastAsia" w:eastAsiaTheme="minorEastAsia"/>
          <w:color w:val="auto"/>
          <w:spacing w:val="6"/>
          <w:sz w:val="28"/>
          <w:szCs w:val="28"/>
          <w:lang w:eastAsia="zh-CN"/>
        </w:rPr>
        <w:t>执行通江县农村信用合作联社与赵川借款合同纠纷一案中确定财产的处置参考价提供</w:t>
      </w:r>
      <w:r>
        <w:rPr>
          <w:rFonts w:hint="eastAsia" w:asciiTheme="minorEastAsia" w:hAnsiTheme="minorEastAsia" w:eastAsiaTheme="minorEastAsia"/>
          <w:color w:val="auto"/>
          <w:spacing w:val="6"/>
          <w:sz w:val="28"/>
          <w:szCs w:val="28"/>
        </w:rPr>
        <w:t>依据，不得用于其他目的。</w:t>
      </w:r>
    </w:p>
    <w:p>
      <w:pPr>
        <w:spacing w:line="600" w:lineRule="exact"/>
        <w:ind w:firstLine="560" w:firstLineChars="200"/>
        <w:rPr>
          <w:rFonts w:ascii="宋体" w:hAnsi="宋体" w:cs="宋体"/>
          <w:color w:val="auto"/>
          <w:sz w:val="28"/>
          <w:szCs w:val="28"/>
        </w:rPr>
      </w:pPr>
      <w:r>
        <w:rPr>
          <w:rFonts w:hint="eastAsia" w:ascii="宋体" w:hAnsi="宋体" w:cs="宋体"/>
          <w:color w:val="auto"/>
          <w:sz w:val="28"/>
          <w:szCs w:val="28"/>
        </w:rPr>
        <w:t>4、本估价结果包括房屋及其占用（或分摊）的建设用地</w:t>
      </w:r>
      <w:r>
        <w:rPr>
          <w:rFonts w:hint="eastAsia" w:ascii="宋体" w:hAnsi="宋体" w:cs="宋体"/>
          <w:color w:val="auto"/>
          <w:sz w:val="28"/>
          <w:szCs w:val="28"/>
          <w:lang w:eastAsia="zh-CN"/>
        </w:rPr>
        <w:t>的</w:t>
      </w:r>
      <w:r>
        <w:rPr>
          <w:rFonts w:hint="eastAsia" w:ascii="宋体" w:hAnsi="宋体" w:cs="宋体"/>
          <w:color w:val="auto"/>
          <w:sz w:val="28"/>
          <w:szCs w:val="28"/>
        </w:rPr>
        <w:t>使用权</w:t>
      </w:r>
      <w:r>
        <w:rPr>
          <w:rFonts w:hint="eastAsia" w:ascii="宋体" w:hAnsi="宋体" w:cs="宋体"/>
          <w:color w:val="auto"/>
          <w:sz w:val="28"/>
          <w:szCs w:val="28"/>
          <w:lang w:eastAsia="zh-CN"/>
        </w:rPr>
        <w:t>在划拨条件下</w:t>
      </w:r>
      <w:r>
        <w:rPr>
          <w:rFonts w:hint="eastAsia" w:ascii="宋体" w:hAnsi="宋体" w:cs="宋体"/>
          <w:color w:val="auto"/>
          <w:sz w:val="28"/>
          <w:szCs w:val="28"/>
        </w:rPr>
        <w:t>的价值。</w:t>
      </w:r>
    </w:p>
    <w:p>
      <w:pPr>
        <w:numPr>
          <w:ilvl w:val="0"/>
          <w:numId w:val="5"/>
        </w:numPr>
        <w:spacing w:line="600" w:lineRule="exact"/>
        <w:ind w:firstLine="560" w:firstLineChars="200"/>
        <w:rPr>
          <w:rFonts w:hint="eastAsia" w:ascii="宋体" w:hAnsi="宋体" w:cs="宋体"/>
          <w:color w:val="auto"/>
          <w:kern w:val="0"/>
          <w:sz w:val="28"/>
          <w:szCs w:val="28"/>
        </w:rPr>
      </w:pPr>
      <w:r>
        <w:rPr>
          <w:rFonts w:hint="eastAsia" w:ascii="宋体" w:hAnsi="宋体" w:cs="宋体"/>
          <w:color w:val="auto"/>
          <w:kern w:val="0"/>
          <w:sz w:val="28"/>
          <w:szCs w:val="28"/>
        </w:rPr>
        <w:t>本估价报告包括“致估价委托人函”、“估价师声明”、“估价假设</w:t>
      </w:r>
    </w:p>
    <w:p>
      <w:pPr>
        <w:spacing w:line="600" w:lineRule="exact"/>
        <w:rPr>
          <w:rFonts w:ascii="宋体" w:hAnsi="宋体" w:cs="宋体"/>
          <w:color w:val="auto"/>
          <w:kern w:val="0"/>
          <w:sz w:val="28"/>
          <w:szCs w:val="28"/>
        </w:rPr>
      </w:pPr>
      <w:r>
        <w:rPr>
          <w:rFonts w:hint="eastAsia" w:ascii="宋体" w:hAnsi="宋体" w:cs="宋体"/>
          <w:color w:val="auto"/>
          <w:kern w:val="0"/>
          <w:sz w:val="28"/>
          <w:szCs w:val="28"/>
        </w:rPr>
        <w:t>和限制条件”、“估价结果报告”和“附件”构成完整的估价报告。本报告</w:t>
      </w:r>
    </w:p>
    <w:p>
      <w:pPr>
        <w:spacing w:line="360" w:lineRule="auto"/>
        <w:rPr>
          <w:rFonts w:hint="eastAsia" w:ascii="宋体" w:hAnsi="宋体" w:cs="宋体"/>
          <w:color w:val="auto"/>
          <w:kern w:val="0"/>
          <w:sz w:val="28"/>
          <w:szCs w:val="28"/>
        </w:rPr>
      </w:pPr>
      <w:r>
        <w:rPr>
          <w:rFonts w:hint="eastAsia" w:ascii="宋体" w:hAnsi="宋体" w:cs="宋体"/>
          <w:color w:val="auto"/>
          <w:kern w:val="0"/>
          <w:sz w:val="28"/>
          <w:szCs w:val="28"/>
        </w:rPr>
        <w:t>需至少两名注册房地产估价师签字、评估机构盖章并作为一个整体时有效。</w:t>
      </w:r>
    </w:p>
    <w:p>
      <w:pPr>
        <w:spacing w:line="360" w:lineRule="auto"/>
        <w:rPr>
          <w:rFonts w:hint="eastAsia" w:ascii="宋体" w:hAnsi="宋体" w:cs="宋体"/>
          <w:color w:val="auto"/>
          <w:kern w:val="0"/>
          <w:sz w:val="28"/>
          <w:szCs w:val="28"/>
        </w:rPr>
      </w:pPr>
    </w:p>
    <w:p>
      <w:pPr>
        <w:spacing w:line="360" w:lineRule="auto"/>
        <w:rPr>
          <w:rFonts w:ascii="宋体" w:hAnsi="宋体" w:cs="宋体"/>
          <w:color w:val="auto"/>
          <w:sz w:val="28"/>
          <w:szCs w:val="28"/>
        </w:rPr>
      </w:pPr>
      <w:r>
        <w:rPr>
          <w:rFonts w:hint="eastAsia" w:ascii="宋体" w:hAnsi="宋体" w:cs="宋体"/>
          <w:color w:val="auto"/>
          <w:kern w:val="0"/>
          <w:sz w:val="28"/>
          <w:szCs w:val="28"/>
        </w:rPr>
        <w:t>报告使用人应严格按照本估价报告完整地使用，我们不对任何</w:t>
      </w:r>
      <w:r>
        <w:rPr>
          <w:rFonts w:hint="eastAsia" w:ascii="宋体" w:hAnsi="宋体" w:cs="宋体"/>
          <w:color w:val="auto"/>
          <w:sz w:val="28"/>
          <w:szCs w:val="28"/>
        </w:rPr>
        <w:t>割裂使用的行</w:t>
      </w:r>
    </w:p>
    <w:p>
      <w:pPr>
        <w:spacing w:line="360" w:lineRule="auto"/>
        <w:rPr>
          <w:rFonts w:ascii="宋体" w:hAnsi="宋体" w:cs="宋体"/>
          <w:color w:val="auto"/>
          <w:kern w:val="0"/>
          <w:sz w:val="28"/>
          <w:szCs w:val="28"/>
        </w:rPr>
      </w:pPr>
      <w:r>
        <w:rPr>
          <w:rFonts w:hint="eastAsia" w:ascii="宋体" w:hAnsi="宋体" w:cs="宋体"/>
          <w:color w:val="auto"/>
          <w:sz w:val="28"/>
          <w:szCs w:val="28"/>
        </w:rPr>
        <w:t>为负责。</w:t>
      </w:r>
      <w:r>
        <w:rPr>
          <w:rFonts w:hint="eastAsia" w:ascii="宋体" w:hAnsi="宋体" w:cs="宋体"/>
          <w:color w:val="auto"/>
          <w:kern w:val="0"/>
          <w:sz w:val="28"/>
          <w:szCs w:val="28"/>
        </w:rPr>
        <w:t xml:space="preserve">  </w:t>
      </w:r>
    </w:p>
    <w:p>
      <w:pPr>
        <w:widowControl/>
        <w:spacing w:line="360" w:lineRule="auto"/>
        <w:ind w:firstLine="560" w:firstLineChars="200"/>
        <w:jc w:val="left"/>
        <w:rPr>
          <w:rFonts w:ascii="宋体" w:hAnsi="宋体" w:cs="宋体"/>
          <w:color w:val="auto"/>
          <w:kern w:val="0"/>
          <w:sz w:val="28"/>
          <w:szCs w:val="28"/>
        </w:rPr>
      </w:pPr>
      <w:r>
        <w:rPr>
          <w:rFonts w:hint="eastAsia" w:ascii="宋体" w:hAnsi="宋体" w:cs="宋体"/>
          <w:color w:val="auto"/>
          <w:kern w:val="0"/>
          <w:sz w:val="28"/>
          <w:szCs w:val="28"/>
        </w:rPr>
        <w:t>6、本估价报告使用期限为壹年（自</w:t>
      </w:r>
      <w:r>
        <w:rPr>
          <w:rFonts w:hint="eastAsia" w:ascii="宋体" w:hAnsi="宋体" w:cs="宋体"/>
          <w:color w:val="auto"/>
          <w:kern w:val="0"/>
          <w:sz w:val="28"/>
          <w:szCs w:val="28"/>
          <w:lang w:eastAsia="zh-CN"/>
        </w:rPr>
        <w:t>2022年10月8日</w:t>
      </w:r>
      <w:r>
        <w:rPr>
          <w:rFonts w:hint="eastAsia" w:ascii="宋体" w:hAnsi="宋体" w:cs="宋体"/>
          <w:color w:val="auto"/>
          <w:kern w:val="0"/>
          <w:sz w:val="28"/>
          <w:szCs w:val="28"/>
        </w:rPr>
        <w:t>起至</w:t>
      </w:r>
      <w:r>
        <w:rPr>
          <w:rFonts w:hint="eastAsia" w:ascii="宋体" w:hAnsi="宋体" w:cs="宋体"/>
          <w:color w:val="auto"/>
          <w:kern w:val="0"/>
          <w:sz w:val="28"/>
          <w:szCs w:val="28"/>
          <w:lang w:eastAsia="zh-CN"/>
        </w:rPr>
        <w:t>2023年10月7日</w:t>
      </w:r>
      <w:r>
        <w:rPr>
          <w:rFonts w:hint="eastAsia" w:ascii="宋体" w:hAnsi="宋体" w:cs="宋体"/>
          <w:color w:val="auto"/>
          <w:kern w:val="0"/>
          <w:sz w:val="28"/>
          <w:szCs w:val="28"/>
        </w:rPr>
        <w:t>止</w:t>
      </w:r>
      <w:r>
        <w:rPr>
          <w:rFonts w:hint="eastAsia" w:ascii="宋体" w:hAnsi="宋体" w:cs="宋体"/>
          <w:color w:val="auto"/>
          <w:sz w:val="28"/>
          <w:szCs w:val="28"/>
        </w:rPr>
        <w:t>）</w:t>
      </w:r>
      <w:r>
        <w:rPr>
          <w:rFonts w:hint="eastAsia" w:ascii="宋体" w:hAnsi="宋体" w:cs="宋体"/>
          <w:color w:val="auto"/>
          <w:kern w:val="0"/>
          <w:sz w:val="28"/>
          <w:szCs w:val="28"/>
        </w:rPr>
        <w:t>。若报告使用期限内，房地产市场或估价对象状况发生重大变化，估价结果需做相应调整或委托估价机构重新估价。若超过使用期限使用本估价结果，我们对此造成的任何损失不承担责任。</w:t>
      </w:r>
    </w:p>
    <w:p>
      <w:pPr>
        <w:widowControl/>
        <w:numPr>
          <w:ilvl w:val="0"/>
          <w:numId w:val="3"/>
        </w:numPr>
        <w:spacing w:line="360" w:lineRule="auto"/>
        <w:jc w:val="left"/>
        <w:rPr>
          <w:rFonts w:ascii="宋体" w:hAnsi="宋体" w:cs="宋体"/>
          <w:b/>
          <w:bCs/>
          <w:color w:val="auto"/>
          <w:sz w:val="28"/>
          <w:szCs w:val="28"/>
        </w:rPr>
      </w:pPr>
      <w:r>
        <w:rPr>
          <w:rFonts w:hint="eastAsia" w:ascii="宋体" w:hAnsi="宋体" w:cs="宋体"/>
          <w:b/>
          <w:bCs/>
          <w:color w:val="auto"/>
          <w:sz w:val="28"/>
          <w:szCs w:val="28"/>
        </w:rPr>
        <w:t xml:space="preserve">、其他说明 </w:t>
      </w:r>
    </w:p>
    <w:p>
      <w:pPr>
        <w:numPr>
          <w:ilvl w:val="0"/>
          <w:numId w:val="6"/>
        </w:numPr>
        <w:tabs>
          <w:tab w:val="left" w:pos="0"/>
        </w:tabs>
        <w:spacing w:line="600" w:lineRule="exact"/>
        <w:ind w:firstLine="584" w:firstLineChars="200"/>
        <w:rPr>
          <w:rFonts w:asciiTheme="minorEastAsia" w:hAnsiTheme="minorEastAsia" w:eastAsiaTheme="minorEastAsia"/>
          <w:bCs/>
          <w:color w:val="auto"/>
          <w:spacing w:val="6"/>
          <w:sz w:val="28"/>
          <w:szCs w:val="28"/>
        </w:rPr>
      </w:pPr>
      <w:r>
        <w:rPr>
          <w:rFonts w:hint="eastAsia" w:asciiTheme="minorEastAsia" w:hAnsiTheme="minorEastAsia" w:eastAsiaTheme="minorEastAsia"/>
          <w:bCs/>
          <w:color w:val="auto"/>
          <w:spacing w:val="6"/>
          <w:sz w:val="28"/>
          <w:szCs w:val="28"/>
        </w:rPr>
        <w:t>委估房地产价格货币单位为人民币(元)，面积内涵为建筑面积。</w:t>
      </w:r>
    </w:p>
    <w:p>
      <w:pPr>
        <w:tabs>
          <w:tab w:val="left" w:pos="0"/>
        </w:tabs>
        <w:spacing w:line="600" w:lineRule="exact"/>
        <w:ind w:firstLine="584" w:firstLineChars="200"/>
        <w:rPr>
          <w:rFonts w:ascii="宋体" w:hAnsi="宋体"/>
          <w:color w:val="auto"/>
          <w:spacing w:val="6"/>
          <w:sz w:val="28"/>
          <w:szCs w:val="28"/>
        </w:rPr>
      </w:pPr>
      <w:bookmarkStart w:id="4" w:name="_Toc436731485"/>
      <w:r>
        <w:rPr>
          <w:rFonts w:hint="eastAsia" w:ascii="宋体" w:hAnsi="宋体"/>
          <w:color w:val="auto"/>
          <w:spacing w:val="6"/>
          <w:sz w:val="28"/>
          <w:szCs w:val="28"/>
        </w:rPr>
        <w:t>2、本项目评估人员与委托评估单位之间除正常委托关系外，无其它</w:t>
      </w:r>
    </w:p>
    <w:p>
      <w:pPr>
        <w:tabs>
          <w:tab w:val="left" w:pos="0"/>
        </w:tabs>
        <w:spacing w:line="600" w:lineRule="exact"/>
        <w:rPr>
          <w:rFonts w:ascii="宋体" w:hAnsi="宋体"/>
          <w:color w:val="auto"/>
          <w:spacing w:val="6"/>
          <w:sz w:val="28"/>
          <w:szCs w:val="28"/>
        </w:rPr>
      </w:pPr>
      <w:r>
        <w:rPr>
          <w:rFonts w:hint="eastAsia" w:ascii="宋体" w:hAnsi="宋体"/>
          <w:color w:val="auto"/>
          <w:spacing w:val="6"/>
          <w:sz w:val="28"/>
          <w:szCs w:val="28"/>
        </w:rPr>
        <w:t>任何足以影响估价结果的关系。</w:t>
      </w:r>
    </w:p>
    <w:p>
      <w:pPr>
        <w:widowControl/>
        <w:spacing w:line="360" w:lineRule="auto"/>
        <w:ind w:firstLine="584" w:firstLineChars="200"/>
        <w:jc w:val="left"/>
        <w:rPr>
          <w:rFonts w:ascii="宋体" w:hAnsi="宋体"/>
          <w:color w:val="auto"/>
          <w:spacing w:val="6"/>
          <w:sz w:val="28"/>
          <w:szCs w:val="28"/>
        </w:rPr>
      </w:pPr>
      <w:r>
        <w:rPr>
          <w:rFonts w:hint="eastAsia" w:ascii="宋体" w:hAnsi="宋体"/>
          <w:color w:val="auto"/>
          <w:spacing w:val="6"/>
          <w:sz w:val="28"/>
          <w:szCs w:val="28"/>
        </w:rPr>
        <w:t>3、本项目评估及其结果在估价师能力范围之内无任何虚假构成。</w:t>
      </w:r>
    </w:p>
    <w:p>
      <w:pPr>
        <w:widowControl/>
        <w:spacing w:line="360" w:lineRule="auto"/>
        <w:ind w:firstLine="584" w:firstLineChars="200"/>
        <w:jc w:val="left"/>
        <w:rPr>
          <w:rFonts w:ascii="黑体" w:eastAsia="黑体"/>
          <w:b/>
          <w:color w:val="auto"/>
          <w:spacing w:val="40"/>
          <w:sz w:val="48"/>
          <w:szCs w:val="48"/>
        </w:rPr>
      </w:pPr>
      <w:r>
        <w:rPr>
          <w:rFonts w:hint="eastAsia" w:ascii="宋体" w:hAnsi="宋体"/>
          <w:color w:val="auto"/>
          <w:spacing w:val="6"/>
          <w:sz w:val="28"/>
          <w:szCs w:val="28"/>
        </w:rPr>
        <w:t>4、该估价意见是指假定在充分发达的公开市场条件下，交易双方在交易地位平等、充分了解估价对象相关市场信息及交易双方独立和理智进行判断的前提下形成的公平市场价格。该价格并不代表具体资产在涉及产权变动或资产形态转变的实际交易价格。</w:t>
      </w:r>
    </w:p>
    <w:p>
      <w:pPr>
        <w:tabs>
          <w:tab w:val="left" w:pos="0"/>
        </w:tabs>
        <w:spacing w:line="600" w:lineRule="exact"/>
        <w:rPr>
          <w:rFonts w:ascii="黑体" w:eastAsia="黑体"/>
          <w:b/>
          <w:color w:val="auto"/>
          <w:spacing w:val="40"/>
          <w:sz w:val="48"/>
          <w:szCs w:val="48"/>
        </w:rPr>
      </w:pPr>
    </w:p>
    <w:p>
      <w:pPr>
        <w:tabs>
          <w:tab w:val="left" w:pos="0"/>
        </w:tabs>
        <w:spacing w:line="600" w:lineRule="exact"/>
        <w:rPr>
          <w:rFonts w:ascii="黑体" w:eastAsia="黑体"/>
          <w:b/>
          <w:color w:val="auto"/>
          <w:spacing w:val="40"/>
          <w:sz w:val="48"/>
          <w:szCs w:val="48"/>
        </w:rPr>
      </w:pPr>
    </w:p>
    <w:p>
      <w:pPr>
        <w:tabs>
          <w:tab w:val="left" w:pos="0"/>
        </w:tabs>
        <w:spacing w:line="600" w:lineRule="exact"/>
        <w:rPr>
          <w:rFonts w:ascii="黑体" w:eastAsia="黑体"/>
          <w:b/>
          <w:color w:val="auto"/>
          <w:spacing w:val="40"/>
          <w:sz w:val="48"/>
          <w:szCs w:val="48"/>
        </w:rPr>
      </w:pPr>
    </w:p>
    <w:p>
      <w:pPr>
        <w:tabs>
          <w:tab w:val="left" w:pos="0"/>
        </w:tabs>
        <w:spacing w:line="600" w:lineRule="exact"/>
        <w:rPr>
          <w:rFonts w:ascii="黑体" w:eastAsia="黑体"/>
          <w:b/>
          <w:color w:val="auto"/>
          <w:spacing w:val="40"/>
          <w:sz w:val="48"/>
          <w:szCs w:val="48"/>
        </w:rPr>
      </w:pPr>
    </w:p>
    <w:p>
      <w:pPr>
        <w:tabs>
          <w:tab w:val="left" w:pos="0"/>
        </w:tabs>
        <w:spacing w:line="600" w:lineRule="exact"/>
        <w:ind w:firstLine="1124" w:firstLineChars="200"/>
        <w:jc w:val="center"/>
        <w:rPr>
          <w:rFonts w:ascii="黑体" w:eastAsia="黑体"/>
          <w:b/>
          <w:color w:val="auto"/>
          <w:spacing w:val="40"/>
          <w:sz w:val="48"/>
          <w:szCs w:val="48"/>
        </w:rPr>
      </w:pPr>
    </w:p>
    <w:p>
      <w:pPr>
        <w:tabs>
          <w:tab w:val="left" w:pos="0"/>
          <w:tab w:val="left" w:pos="967"/>
        </w:tabs>
        <w:spacing w:line="600" w:lineRule="exact"/>
        <w:rPr>
          <w:rFonts w:ascii="黑体" w:eastAsia="黑体"/>
          <w:b/>
          <w:color w:val="auto"/>
          <w:spacing w:val="40"/>
          <w:sz w:val="48"/>
          <w:szCs w:val="48"/>
        </w:rPr>
      </w:pPr>
      <w:r>
        <w:rPr>
          <w:rFonts w:hint="eastAsia" w:ascii="黑体" w:eastAsia="黑体"/>
          <w:b/>
          <w:color w:val="auto"/>
          <w:spacing w:val="40"/>
          <w:sz w:val="48"/>
          <w:szCs w:val="48"/>
          <w:lang w:eastAsia="zh-CN"/>
        </w:rPr>
        <w:tab/>
      </w:r>
    </w:p>
    <w:p>
      <w:pPr>
        <w:tabs>
          <w:tab w:val="left" w:pos="0"/>
        </w:tabs>
        <w:spacing w:line="600" w:lineRule="exact"/>
        <w:ind w:firstLine="1124" w:firstLineChars="200"/>
        <w:jc w:val="center"/>
        <w:rPr>
          <w:rFonts w:hint="eastAsia" w:ascii="黑体" w:eastAsia="黑体"/>
          <w:b/>
          <w:color w:val="auto"/>
          <w:spacing w:val="40"/>
          <w:sz w:val="48"/>
          <w:szCs w:val="48"/>
        </w:rPr>
      </w:pPr>
    </w:p>
    <w:p>
      <w:pPr>
        <w:tabs>
          <w:tab w:val="left" w:pos="0"/>
        </w:tabs>
        <w:spacing w:line="600" w:lineRule="exact"/>
        <w:ind w:firstLine="1124" w:firstLineChars="200"/>
        <w:jc w:val="center"/>
        <w:rPr>
          <w:rFonts w:hint="eastAsia" w:ascii="黑体" w:eastAsia="黑体"/>
          <w:b/>
          <w:color w:val="auto"/>
          <w:spacing w:val="40"/>
          <w:sz w:val="48"/>
          <w:szCs w:val="48"/>
        </w:rPr>
      </w:pPr>
    </w:p>
    <w:p>
      <w:pPr>
        <w:tabs>
          <w:tab w:val="left" w:pos="0"/>
        </w:tabs>
        <w:spacing w:line="600" w:lineRule="exact"/>
        <w:ind w:firstLine="1124" w:firstLineChars="200"/>
        <w:jc w:val="center"/>
        <w:rPr>
          <w:rFonts w:ascii="黑体" w:eastAsia="黑体"/>
          <w:b/>
          <w:color w:val="auto"/>
          <w:spacing w:val="40"/>
          <w:sz w:val="48"/>
          <w:szCs w:val="48"/>
        </w:rPr>
      </w:pPr>
      <w:r>
        <w:rPr>
          <w:rFonts w:hint="eastAsia" w:ascii="黑体" w:eastAsia="黑体"/>
          <w:b/>
          <w:color w:val="auto"/>
          <w:spacing w:val="40"/>
          <w:sz w:val="48"/>
          <w:szCs w:val="48"/>
        </w:rPr>
        <w:t>房地产估价结果报告</w:t>
      </w:r>
      <w:bookmarkEnd w:id="4"/>
    </w:p>
    <w:p>
      <w:pPr>
        <w:pStyle w:val="19"/>
        <w:spacing w:before="0" w:line="560" w:lineRule="exact"/>
        <w:jc w:val="both"/>
        <w:rPr>
          <w:rFonts w:ascii="黑体" w:eastAsia="黑体" w:hAnsiTheme="minorEastAsia"/>
          <w:color w:val="auto"/>
          <w:spacing w:val="6"/>
          <w:sz w:val="28"/>
          <w:szCs w:val="28"/>
        </w:rPr>
      </w:pPr>
      <w:bookmarkStart w:id="5" w:name="_Toc436731486"/>
      <w:bookmarkStart w:id="6" w:name="_Toc436731487"/>
      <w:r>
        <w:rPr>
          <w:rFonts w:hint="eastAsia" w:ascii="黑体" w:eastAsia="黑体" w:hAnsiTheme="minorEastAsia"/>
          <w:color w:val="auto"/>
          <w:spacing w:val="6"/>
          <w:sz w:val="28"/>
          <w:szCs w:val="28"/>
        </w:rPr>
        <w:t>（一）、委托方：</w:t>
      </w:r>
      <w:bookmarkEnd w:id="5"/>
    </w:p>
    <w:p>
      <w:pPr>
        <w:spacing w:line="560" w:lineRule="exact"/>
        <w:ind w:firstLine="584" w:firstLineChars="200"/>
        <w:rPr>
          <w:rFonts w:hint="eastAsia" w:asciiTheme="minorEastAsia" w:hAnsiTheme="minorEastAsia" w:eastAsiaTheme="minorEastAsia"/>
          <w:color w:val="auto"/>
          <w:spacing w:val="6"/>
          <w:sz w:val="28"/>
          <w:szCs w:val="28"/>
          <w:lang w:eastAsia="zh-CN"/>
        </w:rPr>
      </w:pPr>
      <w:r>
        <w:rPr>
          <w:rFonts w:hint="eastAsia" w:asciiTheme="minorEastAsia" w:hAnsiTheme="minorEastAsia" w:eastAsiaTheme="minorEastAsia"/>
          <w:color w:val="auto"/>
          <w:spacing w:val="6"/>
          <w:sz w:val="28"/>
          <w:szCs w:val="28"/>
          <w:lang w:eastAsia="zh-CN"/>
        </w:rPr>
        <w:t>通江县人民法院</w:t>
      </w:r>
    </w:p>
    <w:p>
      <w:pPr>
        <w:pStyle w:val="19"/>
        <w:spacing w:before="0" w:line="560" w:lineRule="exact"/>
        <w:jc w:val="both"/>
        <w:rPr>
          <w:rFonts w:ascii="黑体" w:eastAsia="黑体" w:hAnsiTheme="minorEastAsia"/>
          <w:color w:val="auto"/>
          <w:spacing w:val="6"/>
          <w:sz w:val="28"/>
          <w:szCs w:val="28"/>
        </w:rPr>
      </w:pPr>
      <w:r>
        <w:rPr>
          <w:rFonts w:hint="eastAsia" w:ascii="黑体" w:eastAsia="黑体" w:hAnsiTheme="minorEastAsia"/>
          <w:color w:val="auto"/>
          <w:spacing w:val="6"/>
          <w:sz w:val="28"/>
          <w:szCs w:val="28"/>
        </w:rPr>
        <w:t>（二）、估价方：</w:t>
      </w:r>
      <w:bookmarkEnd w:id="6"/>
    </w:p>
    <w:p>
      <w:pPr>
        <w:spacing w:line="560" w:lineRule="exact"/>
        <w:ind w:firstLine="584" w:firstLineChars="2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机构名称：四川四星房地产土地资产评估有限责任公司</w:t>
      </w:r>
    </w:p>
    <w:p>
      <w:pPr>
        <w:spacing w:line="560" w:lineRule="exact"/>
        <w:ind w:firstLine="584" w:firstLineChars="2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法定代表人：胡建勇</w:t>
      </w:r>
    </w:p>
    <w:p>
      <w:pPr>
        <w:spacing w:line="560" w:lineRule="exact"/>
        <w:ind w:firstLine="584" w:firstLineChars="2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住所：泸州市江阳区康城路一段一号A栋一单元6楼</w:t>
      </w:r>
    </w:p>
    <w:p>
      <w:pPr>
        <w:spacing w:line="560" w:lineRule="exact"/>
        <w:ind w:firstLine="584" w:firstLineChars="200"/>
        <w:rPr>
          <w:rFonts w:asciiTheme="minorEastAsia" w:hAnsiTheme="minorEastAsia" w:eastAsiaTheme="minorEastAsia"/>
          <w:b/>
          <w:color w:val="auto"/>
          <w:spacing w:val="6"/>
          <w:sz w:val="28"/>
          <w:szCs w:val="28"/>
        </w:rPr>
      </w:pPr>
      <w:r>
        <w:rPr>
          <w:rFonts w:hint="eastAsia" w:asciiTheme="minorEastAsia" w:hAnsiTheme="minorEastAsia" w:eastAsiaTheme="minorEastAsia"/>
          <w:color w:val="auto"/>
          <w:spacing w:val="6"/>
          <w:sz w:val="28"/>
          <w:szCs w:val="28"/>
        </w:rPr>
        <w:t>备案等级：</w:t>
      </w:r>
      <w:r>
        <w:rPr>
          <w:rFonts w:hint="eastAsia" w:asciiTheme="minorEastAsia" w:hAnsiTheme="minorEastAsia" w:eastAsiaTheme="minorEastAsia"/>
          <w:b/>
          <w:color w:val="auto"/>
          <w:spacing w:val="6"/>
          <w:sz w:val="28"/>
          <w:szCs w:val="28"/>
        </w:rPr>
        <w:t>壹级</w:t>
      </w:r>
    </w:p>
    <w:p>
      <w:pPr>
        <w:spacing w:line="560" w:lineRule="exact"/>
        <w:ind w:firstLine="584" w:firstLineChars="2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证书编号：川建房估备字[2017]0042号</w:t>
      </w:r>
    </w:p>
    <w:p>
      <w:pPr>
        <w:spacing w:line="560" w:lineRule="exact"/>
        <w:rPr>
          <w:rFonts w:ascii="黑体" w:eastAsia="黑体" w:hAnsiTheme="minorEastAsia"/>
          <w:b/>
          <w:bCs/>
          <w:color w:val="auto"/>
          <w:spacing w:val="6"/>
          <w:sz w:val="28"/>
          <w:szCs w:val="28"/>
        </w:rPr>
      </w:pPr>
      <w:r>
        <w:rPr>
          <w:rFonts w:hint="eastAsia" w:ascii="黑体" w:eastAsia="黑体" w:hAnsiTheme="minorEastAsia"/>
          <w:color w:val="auto"/>
          <w:spacing w:val="6"/>
          <w:sz w:val="28"/>
          <w:szCs w:val="28"/>
        </w:rPr>
        <w:t>（三）</w:t>
      </w:r>
      <w:r>
        <w:rPr>
          <w:rFonts w:hint="eastAsia" w:ascii="黑体" w:eastAsia="黑体" w:hAnsiTheme="minorEastAsia"/>
          <w:b/>
          <w:bCs/>
          <w:color w:val="auto"/>
          <w:spacing w:val="6"/>
          <w:sz w:val="28"/>
          <w:szCs w:val="28"/>
        </w:rPr>
        <w:t>、估价目的：</w:t>
      </w:r>
    </w:p>
    <w:p>
      <w:pPr>
        <w:spacing w:line="560" w:lineRule="exact"/>
        <w:ind w:firstLine="584" w:firstLineChars="2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为委托方</w:t>
      </w:r>
      <w:r>
        <w:rPr>
          <w:rFonts w:hint="eastAsia" w:asciiTheme="minorEastAsia" w:hAnsiTheme="minorEastAsia" w:eastAsiaTheme="minorEastAsia"/>
          <w:color w:val="auto"/>
          <w:spacing w:val="6"/>
          <w:sz w:val="28"/>
          <w:szCs w:val="28"/>
          <w:lang w:eastAsia="zh-CN"/>
        </w:rPr>
        <w:t>执行通江县农村信用合作联社与赵川借款合同纠纷一案中确定财产的处置参考价提供</w:t>
      </w:r>
      <w:r>
        <w:rPr>
          <w:rFonts w:hint="eastAsia" w:asciiTheme="minorEastAsia" w:hAnsiTheme="minorEastAsia" w:eastAsiaTheme="minorEastAsia"/>
          <w:color w:val="auto"/>
          <w:spacing w:val="6"/>
          <w:sz w:val="28"/>
          <w:szCs w:val="28"/>
        </w:rPr>
        <w:t>依据。</w:t>
      </w:r>
    </w:p>
    <w:p>
      <w:pPr>
        <w:numPr>
          <w:ilvl w:val="0"/>
          <w:numId w:val="3"/>
        </w:numPr>
        <w:spacing w:line="560" w:lineRule="exact"/>
        <w:rPr>
          <w:rFonts w:ascii="黑体" w:eastAsia="黑体" w:hAnsiTheme="minorEastAsia"/>
          <w:color w:val="auto"/>
          <w:spacing w:val="6"/>
          <w:sz w:val="28"/>
          <w:szCs w:val="28"/>
        </w:rPr>
      </w:pPr>
      <w:r>
        <w:rPr>
          <w:rFonts w:hint="eastAsia" w:ascii="黑体" w:eastAsia="黑体" w:hAnsiTheme="minorEastAsia"/>
          <w:b/>
          <w:bCs/>
          <w:color w:val="auto"/>
          <w:spacing w:val="6"/>
          <w:sz w:val="28"/>
          <w:szCs w:val="28"/>
        </w:rPr>
        <w:t>、估价对象</w:t>
      </w:r>
      <w:bookmarkStart w:id="7" w:name="_Toc436731488"/>
      <w:r>
        <w:rPr>
          <w:rFonts w:hint="eastAsia" w:ascii="黑体" w:eastAsia="黑体" w:hAnsiTheme="minorEastAsia"/>
          <w:b/>
          <w:bCs/>
          <w:color w:val="auto"/>
          <w:spacing w:val="6"/>
          <w:sz w:val="28"/>
          <w:szCs w:val="28"/>
        </w:rPr>
        <w:t>概况：</w:t>
      </w:r>
      <w:bookmarkEnd w:id="7"/>
    </w:p>
    <w:p>
      <w:pPr>
        <w:numPr>
          <w:ilvl w:val="0"/>
          <w:numId w:val="7"/>
        </w:numPr>
        <w:spacing w:line="560" w:lineRule="exact"/>
        <w:rPr>
          <w:rFonts w:asciiTheme="minorEastAsia" w:hAnsiTheme="minorEastAsia" w:eastAsiaTheme="minorEastAsia"/>
          <w:b/>
          <w:color w:val="auto"/>
          <w:spacing w:val="6"/>
          <w:sz w:val="28"/>
          <w:szCs w:val="28"/>
        </w:rPr>
      </w:pPr>
      <w:r>
        <w:rPr>
          <w:rFonts w:hint="eastAsia" w:asciiTheme="minorEastAsia" w:hAnsiTheme="minorEastAsia" w:eastAsiaTheme="minorEastAsia"/>
          <w:b/>
          <w:color w:val="auto"/>
          <w:spacing w:val="6"/>
          <w:sz w:val="28"/>
          <w:szCs w:val="28"/>
        </w:rPr>
        <w:t>委估房地产权属登记状况：</w:t>
      </w:r>
    </w:p>
    <w:p>
      <w:pPr>
        <w:numPr>
          <w:ilvl w:val="0"/>
          <w:numId w:val="0"/>
        </w:numPr>
        <w:spacing w:line="580" w:lineRule="exact"/>
        <w:ind w:leftChars="0" w:firstLine="560" w:firstLineChars="200"/>
        <w:rPr>
          <w:rFonts w:hint="eastAsia" w:asciiTheme="minorEastAsia" w:hAnsiTheme="minorEastAsia" w:eastAsiaTheme="minorEastAsia"/>
          <w:b/>
          <w:color w:val="auto"/>
          <w:sz w:val="28"/>
          <w:szCs w:val="28"/>
        </w:rPr>
      </w:pPr>
      <w:r>
        <w:rPr>
          <w:rFonts w:hint="eastAsia" w:ascii="宋体" w:hAnsi="宋体" w:cs="宋体"/>
          <w:color w:val="auto"/>
          <w:sz w:val="28"/>
          <w:szCs w:val="28"/>
        </w:rPr>
        <w:t>估价对象位于</w:t>
      </w:r>
      <w:r>
        <w:rPr>
          <w:rFonts w:hint="eastAsia" w:asciiTheme="minorEastAsia" w:hAnsiTheme="minorEastAsia" w:eastAsiaTheme="minorEastAsia"/>
          <w:color w:val="auto"/>
          <w:sz w:val="28"/>
          <w:szCs w:val="28"/>
          <w:lang w:eastAsia="zh-CN"/>
        </w:rPr>
        <w:t>通江县诺江镇诺江东路1楼为营业用房；-1楼为住宅</w:t>
      </w:r>
      <w:r>
        <w:rPr>
          <w:rFonts w:hint="eastAsia" w:ascii="宋体" w:hAnsi="宋体" w:cs="宋体"/>
          <w:color w:val="auto"/>
          <w:sz w:val="28"/>
          <w:szCs w:val="28"/>
        </w:rPr>
        <w:t>，</w:t>
      </w:r>
      <w:r>
        <w:rPr>
          <w:rFonts w:hint="eastAsia" w:ascii="宋体" w:hAnsi="宋体" w:cs="宋体"/>
          <w:color w:val="auto"/>
          <w:sz w:val="28"/>
          <w:szCs w:val="28"/>
          <w:lang w:eastAsia="zh-CN"/>
        </w:rPr>
        <w:t>根据委托方提供的《房屋所有权证》、《国有土地使用权证》载明，委估房地产《房屋所有权证》证号：房权证城字第</w:t>
      </w:r>
      <w:r>
        <w:rPr>
          <w:rFonts w:hint="eastAsia" w:ascii="宋体" w:hAnsi="宋体" w:cs="宋体"/>
          <w:color w:val="auto"/>
          <w:sz w:val="28"/>
          <w:szCs w:val="28"/>
          <w:lang w:val="en-US" w:eastAsia="zh-CN"/>
        </w:rPr>
        <w:t>2012041100181号、</w:t>
      </w:r>
      <w:r>
        <w:rPr>
          <w:rFonts w:hint="eastAsia" w:ascii="宋体" w:hAnsi="宋体" w:cs="宋体"/>
          <w:color w:val="auto"/>
          <w:sz w:val="28"/>
          <w:szCs w:val="28"/>
          <w:lang w:eastAsia="zh-CN"/>
        </w:rPr>
        <w:t>房权证城字第</w:t>
      </w:r>
      <w:r>
        <w:rPr>
          <w:rFonts w:hint="eastAsia" w:ascii="宋体" w:hAnsi="宋体" w:cs="宋体"/>
          <w:color w:val="auto"/>
          <w:sz w:val="28"/>
          <w:szCs w:val="28"/>
          <w:lang w:val="en-US" w:eastAsia="zh-CN"/>
        </w:rPr>
        <w:t>2012041100168号。根据</w:t>
      </w:r>
      <w:r>
        <w:rPr>
          <w:rFonts w:hint="eastAsia" w:ascii="宋体" w:hAnsi="宋体" w:cs="宋体"/>
          <w:color w:val="auto"/>
          <w:sz w:val="28"/>
          <w:szCs w:val="28"/>
          <w:lang w:eastAsia="zh-CN"/>
        </w:rPr>
        <w:t>房权证城字第</w:t>
      </w:r>
      <w:r>
        <w:rPr>
          <w:rFonts w:hint="eastAsia" w:ascii="宋体" w:hAnsi="宋体" w:cs="宋体"/>
          <w:color w:val="auto"/>
          <w:sz w:val="28"/>
          <w:szCs w:val="28"/>
          <w:lang w:val="en-US" w:eastAsia="zh-CN"/>
        </w:rPr>
        <w:t>2012041100181号房权证载明，委估房地产产权人为赵川，1楼为营业用房，</w:t>
      </w:r>
      <w:r>
        <w:rPr>
          <w:rFonts w:hint="eastAsia" w:ascii="宋体" w:hAnsi="宋体" w:cs="宋体"/>
          <w:color w:val="auto"/>
          <w:sz w:val="28"/>
          <w:szCs w:val="28"/>
          <w:lang w:eastAsia="zh-CN"/>
        </w:rPr>
        <w:t>建筑面积</w:t>
      </w:r>
      <w:r>
        <w:rPr>
          <w:rFonts w:hint="eastAsia" w:ascii="宋体" w:hAnsi="宋体" w:cs="宋体"/>
          <w:color w:val="auto"/>
          <w:sz w:val="28"/>
          <w:szCs w:val="28"/>
          <w:lang w:val="en-US" w:eastAsia="zh-CN"/>
        </w:rPr>
        <w:t>39.60平方米，-1楼为住宅，建筑面积39.60平方米；根据</w:t>
      </w:r>
      <w:r>
        <w:rPr>
          <w:rFonts w:hint="eastAsia" w:ascii="宋体" w:hAnsi="宋体" w:cs="宋体"/>
          <w:color w:val="auto"/>
          <w:sz w:val="28"/>
          <w:szCs w:val="28"/>
          <w:lang w:eastAsia="zh-CN"/>
        </w:rPr>
        <w:t>房权证城字第</w:t>
      </w:r>
      <w:r>
        <w:rPr>
          <w:rFonts w:hint="eastAsia" w:ascii="宋体" w:hAnsi="宋体" w:cs="宋体"/>
          <w:color w:val="auto"/>
          <w:sz w:val="28"/>
          <w:szCs w:val="28"/>
          <w:lang w:val="en-US" w:eastAsia="zh-CN"/>
        </w:rPr>
        <w:t>2012041100168号载明，房屋所有权人为赵川，1楼为营业用房，</w:t>
      </w:r>
      <w:r>
        <w:rPr>
          <w:rFonts w:hint="eastAsia" w:ascii="宋体" w:hAnsi="宋体" w:cs="宋体"/>
          <w:color w:val="auto"/>
          <w:sz w:val="28"/>
          <w:szCs w:val="28"/>
          <w:lang w:eastAsia="zh-CN"/>
        </w:rPr>
        <w:t>建筑面积</w:t>
      </w:r>
      <w:r>
        <w:rPr>
          <w:rFonts w:hint="eastAsia" w:ascii="宋体" w:hAnsi="宋体" w:cs="宋体"/>
          <w:color w:val="auto"/>
          <w:sz w:val="28"/>
          <w:szCs w:val="28"/>
          <w:lang w:val="en-US" w:eastAsia="zh-CN"/>
        </w:rPr>
        <w:t>31.36平方米，-1楼为住宅，建筑面积76.00平方米。根据《国有土地使用权证》载明土地用途为住宅，使用权面积：80.00平方米，土地使用权性质：划拨。</w:t>
      </w:r>
      <w:r>
        <w:rPr>
          <w:rFonts w:hint="eastAsia" w:ascii="宋体" w:hAnsi="宋体" w:cs="宋体"/>
          <w:color w:val="auto"/>
          <w:sz w:val="28"/>
          <w:szCs w:val="28"/>
        </w:rPr>
        <w:t>本次估价范围包括估价对象的建筑物及其分摊的土地使用权。</w:t>
      </w:r>
    </w:p>
    <w:p>
      <w:pPr>
        <w:numPr>
          <w:ilvl w:val="0"/>
          <w:numId w:val="7"/>
        </w:numPr>
        <w:spacing w:line="580" w:lineRule="exact"/>
        <w:ind w:left="0" w:leftChars="0" w:firstLine="0" w:firstLineChars="0"/>
        <w:rPr>
          <w:rFonts w:hint="eastAsia" w:asciiTheme="minorEastAsia" w:hAnsiTheme="minorEastAsia" w:eastAsiaTheme="minorEastAsia"/>
          <w:b/>
          <w:color w:val="auto"/>
          <w:sz w:val="28"/>
          <w:szCs w:val="28"/>
        </w:rPr>
      </w:pPr>
      <w:r>
        <w:rPr>
          <w:rFonts w:hint="eastAsia" w:asciiTheme="minorEastAsia" w:hAnsiTheme="minorEastAsia" w:eastAsiaTheme="minorEastAsia"/>
          <w:b/>
          <w:color w:val="auto"/>
          <w:sz w:val="28"/>
          <w:szCs w:val="28"/>
        </w:rPr>
        <w:t>委估房地产实地查看概况：</w:t>
      </w:r>
    </w:p>
    <w:p>
      <w:pPr>
        <w:spacing w:line="640" w:lineRule="exact"/>
        <w:ind w:firstLine="560" w:firstLineChars="200"/>
        <w:jc w:val="left"/>
        <w:rPr>
          <w:rFonts w:hint="eastAsia" w:asciiTheme="minorEastAsia" w:hAnsiTheme="minorEastAsia" w:eastAsiaTheme="minorEastAsia"/>
          <w:color w:val="auto"/>
          <w:sz w:val="28"/>
          <w:szCs w:val="28"/>
          <w:shd w:val="clear" w:color="auto" w:fill="FFFFFF" w:themeFill="background1"/>
          <w:lang w:val="en-US" w:eastAsia="zh-CN"/>
        </w:rPr>
      </w:pPr>
      <w:r>
        <w:rPr>
          <w:rFonts w:hint="eastAsia" w:ascii="宋体" w:hAnsi="宋体" w:cs="宋体"/>
          <w:color w:val="auto"/>
          <w:sz w:val="28"/>
          <w:szCs w:val="28"/>
        </w:rPr>
        <w:t>估价对象位于</w:t>
      </w:r>
      <w:r>
        <w:rPr>
          <w:rFonts w:hint="eastAsia" w:asciiTheme="minorEastAsia" w:hAnsiTheme="minorEastAsia" w:eastAsiaTheme="minorEastAsia"/>
          <w:color w:val="auto"/>
          <w:sz w:val="28"/>
          <w:szCs w:val="28"/>
          <w:lang w:eastAsia="zh-CN"/>
        </w:rPr>
        <w:t>通江县诺江镇诺江东路1楼为营业用房；-1楼为住宅</w:t>
      </w:r>
      <w:r>
        <w:rPr>
          <w:rFonts w:hint="eastAsia" w:ascii="宋体" w:hAnsi="宋体" w:cs="宋体"/>
          <w:color w:val="auto"/>
          <w:sz w:val="28"/>
          <w:szCs w:val="28"/>
        </w:rPr>
        <w:t>，</w:t>
      </w:r>
      <w:r>
        <w:rPr>
          <w:rFonts w:hint="eastAsia" w:ascii="宋体" w:hAnsi="宋体" w:cs="宋体"/>
          <w:color w:val="auto"/>
          <w:sz w:val="28"/>
          <w:szCs w:val="28"/>
          <w:lang w:eastAsia="zh-CN"/>
        </w:rPr>
        <w:t>根据委托方提供的《房屋所有权证》、《国有土地使用权证》载明，委估房地产《房屋所有权证》证号：房权证城字第</w:t>
      </w:r>
      <w:r>
        <w:rPr>
          <w:rFonts w:hint="eastAsia" w:ascii="宋体" w:hAnsi="宋体" w:cs="宋体"/>
          <w:color w:val="auto"/>
          <w:sz w:val="28"/>
          <w:szCs w:val="28"/>
          <w:lang w:val="en-US" w:eastAsia="zh-CN"/>
        </w:rPr>
        <w:t>2012041100181号、</w:t>
      </w:r>
      <w:r>
        <w:rPr>
          <w:rFonts w:hint="eastAsia" w:ascii="宋体" w:hAnsi="宋体" w:cs="宋体"/>
          <w:color w:val="auto"/>
          <w:sz w:val="28"/>
          <w:szCs w:val="28"/>
          <w:lang w:eastAsia="zh-CN"/>
        </w:rPr>
        <w:t>房权证城字第</w:t>
      </w:r>
      <w:r>
        <w:rPr>
          <w:rFonts w:hint="eastAsia" w:ascii="宋体" w:hAnsi="宋体" w:cs="宋体"/>
          <w:color w:val="auto"/>
          <w:sz w:val="28"/>
          <w:szCs w:val="28"/>
          <w:lang w:val="en-US" w:eastAsia="zh-CN"/>
        </w:rPr>
        <w:t>2012041100168号。根据</w:t>
      </w:r>
      <w:r>
        <w:rPr>
          <w:rFonts w:hint="eastAsia" w:ascii="宋体" w:hAnsi="宋体" w:cs="宋体"/>
          <w:color w:val="auto"/>
          <w:sz w:val="28"/>
          <w:szCs w:val="28"/>
          <w:lang w:eastAsia="zh-CN"/>
        </w:rPr>
        <w:t>房权证城字第</w:t>
      </w:r>
      <w:r>
        <w:rPr>
          <w:rFonts w:hint="eastAsia" w:ascii="宋体" w:hAnsi="宋体" w:cs="宋体"/>
          <w:color w:val="auto"/>
          <w:sz w:val="28"/>
          <w:szCs w:val="28"/>
          <w:lang w:val="en-US" w:eastAsia="zh-CN"/>
        </w:rPr>
        <w:t>2012041100181号房权证载明，委估房地产产权人为赵川，1楼为营业用房，</w:t>
      </w:r>
      <w:r>
        <w:rPr>
          <w:rFonts w:hint="eastAsia" w:ascii="宋体" w:hAnsi="宋体" w:cs="宋体"/>
          <w:color w:val="auto"/>
          <w:sz w:val="28"/>
          <w:szCs w:val="28"/>
          <w:lang w:eastAsia="zh-CN"/>
        </w:rPr>
        <w:t>建筑面积</w:t>
      </w:r>
      <w:r>
        <w:rPr>
          <w:rFonts w:hint="eastAsia" w:ascii="宋体" w:hAnsi="宋体" w:cs="宋体"/>
          <w:color w:val="auto"/>
          <w:sz w:val="28"/>
          <w:szCs w:val="28"/>
          <w:lang w:val="en-US" w:eastAsia="zh-CN"/>
        </w:rPr>
        <w:t>39.60平方米，-1楼为住宅，建筑面积39.60平方米；经估价人员现场查看，营业用房装修状况：外墙面贴墙砖，室内装修状况：室内地面铺地砖，内墙面刷钢化涂料，天棚塑扣板吊顶，通水电，通风采光较好，维护保养较好，委估房地产为单开间结构布局的临街营业用房，目前出租。住宅用房装修状况：外墙面贴墙砖，室内装修状况：室内地面水泥砂浆抹平，内墙面及天棚刷钢化涂料，入户木门，铝合金窗，通水电，通风采光一般，维护保养一般，目前出租。根据</w:t>
      </w:r>
      <w:r>
        <w:rPr>
          <w:rFonts w:hint="eastAsia" w:ascii="宋体" w:hAnsi="宋体" w:cs="宋体"/>
          <w:color w:val="auto"/>
          <w:sz w:val="28"/>
          <w:szCs w:val="28"/>
          <w:lang w:eastAsia="zh-CN"/>
        </w:rPr>
        <w:t>房权证城字第</w:t>
      </w:r>
      <w:r>
        <w:rPr>
          <w:rFonts w:hint="eastAsia" w:ascii="宋体" w:hAnsi="宋体" w:cs="宋体"/>
          <w:color w:val="auto"/>
          <w:sz w:val="28"/>
          <w:szCs w:val="28"/>
          <w:lang w:val="en-US" w:eastAsia="zh-CN"/>
        </w:rPr>
        <w:t>2012041100168号载明，房屋所有权人为赵川，1楼为营业用房，</w:t>
      </w:r>
      <w:r>
        <w:rPr>
          <w:rFonts w:hint="eastAsia" w:ascii="宋体" w:hAnsi="宋体" w:cs="宋体"/>
          <w:color w:val="auto"/>
          <w:sz w:val="28"/>
          <w:szCs w:val="28"/>
          <w:lang w:eastAsia="zh-CN"/>
        </w:rPr>
        <w:t>建筑面积</w:t>
      </w:r>
      <w:r>
        <w:rPr>
          <w:rFonts w:hint="eastAsia" w:ascii="宋体" w:hAnsi="宋体" w:cs="宋体"/>
          <w:color w:val="auto"/>
          <w:sz w:val="28"/>
          <w:szCs w:val="28"/>
          <w:lang w:val="en-US" w:eastAsia="zh-CN"/>
        </w:rPr>
        <w:t>31.36平方米，-1楼为住宅用房，建筑面积76.00平方米，经估价人员现场查看，营业用房装修状况：外墙贴墙砖，室内装修状况：地面铺地砖，内墙面刷钢化涂料，天棚石膏板吊顶，通水电，通风采光较好，维护保养较好，委估房地产为单开间结构布局的临街营业用房，目前出租，住宅用房装修状况：外墙面贴墙砖，室内装修状况：室内地面水泥砂浆抹平，内墙面及天棚刷钢华涂料，入户木门，铝合金窗，通水电，通风采光一般，维护保养一般，目前出租。</w:t>
      </w:r>
    </w:p>
    <w:p>
      <w:pPr>
        <w:spacing w:line="620" w:lineRule="exact"/>
        <w:ind w:firstLine="560" w:firstLineChars="200"/>
        <w:rPr>
          <w:rFonts w:hint="eastAsia" w:ascii="宋体" w:hAnsi="宋体"/>
          <w:color w:val="auto"/>
          <w:sz w:val="28"/>
          <w:szCs w:val="28"/>
          <w:lang w:eastAsia="zh-CN"/>
        </w:rPr>
      </w:pPr>
      <w:r>
        <w:rPr>
          <w:rFonts w:hint="eastAsia" w:asciiTheme="minorEastAsia" w:hAnsiTheme="minorEastAsia" w:eastAsiaTheme="minorEastAsia"/>
          <w:color w:val="auto"/>
          <w:sz w:val="28"/>
          <w:szCs w:val="28"/>
          <w:lang w:eastAsia="zh-CN"/>
        </w:rPr>
        <w:t>委估房地产为位于通江县诺江镇诺江东路1楼为营业用房；-1楼为住宅用房</w:t>
      </w:r>
      <w:r>
        <w:rPr>
          <w:rFonts w:hint="eastAsia" w:ascii="宋体" w:hAnsi="宋体"/>
          <w:color w:val="auto"/>
          <w:sz w:val="28"/>
          <w:szCs w:val="28"/>
          <w:lang w:eastAsia="zh-CN"/>
        </w:rPr>
        <w:t>，临诺江东路，周边有“建印小区”、“水岸康城</w:t>
      </w:r>
      <w:r>
        <w:rPr>
          <w:rFonts w:hint="eastAsia" w:ascii="宋体" w:hAnsi="宋体" w:eastAsia="宋体" w:cs="宋体"/>
          <w:color w:val="auto"/>
          <w:sz w:val="28"/>
          <w:szCs w:val="28"/>
          <w:lang w:eastAsia="zh-CN"/>
        </w:rPr>
        <w:t>·</w:t>
      </w:r>
      <w:r>
        <w:rPr>
          <w:rFonts w:hint="eastAsia" w:ascii="宋体" w:hAnsi="宋体"/>
          <w:color w:val="auto"/>
          <w:sz w:val="28"/>
          <w:szCs w:val="28"/>
          <w:lang w:eastAsia="zh-CN"/>
        </w:rPr>
        <w:t>郦都”、“东城廉</w:t>
      </w:r>
    </w:p>
    <w:p>
      <w:pPr>
        <w:spacing w:line="620" w:lineRule="exact"/>
        <w:ind w:firstLine="560" w:firstLineChars="200"/>
        <w:rPr>
          <w:rFonts w:hint="eastAsia" w:ascii="宋体" w:hAnsi="宋体"/>
          <w:color w:val="auto"/>
          <w:sz w:val="28"/>
          <w:szCs w:val="28"/>
          <w:lang w:eastAsia="zh-CN"/>
        </w:rPr>
      </w:pPr>
    </w:p>
    <w:p>
      <w:pPr>
        <w:spacing w:line="620" w:lineRule="exact"/>
        <w:rPr>
          <w:rFonts w:hint="eastAsia" w:ascii="宋体" w:hAnsi="宋体"/>
          <w:color w:val="auto"/>
          <w:sz w:val="28"/>
          <w:szCs w:val="28"/>
          <w:lang w:eastAsia="zh-CN"/>
        </w:rPr>
      </w:pPr>
      <w:r>
        <w:rPr>
          <w:rFonts w:hint="eastAsia" w:ascii="宋体" w:hAnsi="宋体"/>
          <w:color w:val="auto"/>
          <w:sz w:val="28"/>
          <w:szCs w:val="28"/>
          <w:lang w:eastAsia="zh-CN"/>
        </w:rPr>
        <w:t>租房小区”等众多住宅小区，附近</w:t>
      </w:r>
      <w:r>
        <w:rPr>
          <w:rFonts w:hint="eastAsia" w:ascii="宋体" w:hAnsi="宋体" w:cs="宋体"/>
          <w:color w:val="auto"/>
          <w:sz w:val="28"/>
          <w:lang w:eastAsia="zh-CN"/>
        </w:rPr>
        <w:t>基础配套设施较齐全齐备，周边</w:t>
      </w:r>
      <w:r>
        <w:rPr>
          <w:rFonts w:hint="eastAsia" w:ascii="宋体" w:hAnsi="宋体" w:cs="宋体"/>
          <w:color w:val="auto"/>
          <w:sz w:val="28"/>
          <w:lang w:val="en-US" w:eastAsia="zh-CN"/>
        </w:rPr>
        <w:t>有通江1路、2路、3路等多路</w:t>
      </w:r>
      <w:r>
        <w:rPr>
          <w:rFonts w:hint="eastAsia" w:ascii="宋体" w:hAnsi="宋体" w:cs="宋体"/>
          <w:color w:val="auto"/>
          <w:sz w:val="28"/>
          <w:lang w:eastAsia="zh-CN"/>
        </w:rPr>
        <w:t>公交车通过并设有站点，交通较便捷，生活较便利，周边人流量较大，商业繁华度较高</w:t>
      </w:r>
      <w:r>
        <w:rPr>
          <w:rFonts w:hint="eastAsia" w:ascii="宋体" w:hAnsi="宋体"/>
          <w:color w:val="auto"/>
          <w:sz w:val="28"/>
          <w:szCs w:val="28"/>
          <w:lang w:eastAsia="zh-CN"/>
        </w:rPr>
        <w:t>。</w:t>
      </w:r>
    </w:p>
    <w:p>
      <w:pPr>
        <w:pStyle w:val="19"/>
        <w:numPr>
          <w:ilvl w:val="0"/>
          <w:numId w:val="3"/>
        </w:numPr>
        <w:spacing w:before="0" w:line="580" w:lineRule="exact"/>
        <w:ind w:left="0" w:leftChars="0" w:firstLine="0" w:firstLineChars="0"/>
        <w:jc w:val="both"/>
        <w:rPr>
          <w:rFonts w:hint="eastAsia" w:asciiTheme="minorEastAsia" w:hAnsiTheme="minorEastAsia" w:eastAsiaTheme="minorEastAsia"/>
          <w:color w:val="auto"/>
          <w:spacing w:val="6"/>
          <w:sz w:val="28"/>
          <w:szCs w:val="28"/>
        </w:rPr>
      </w:pPr>
      <w:bookmarkStart w:id="8" w:name="_Toc436731490"/>
      <w:r>
        <w:rPr>
          <w:rFonts w:hint="eastAsia" w:asciiTheme="minorEastAsia" w:hAnsiTheme="minorEastAsia" w:eastAsiaTheme="minorEastAsia"/>
          <w:color w:val="auto"/>
          <w:spacing w:val="6"/>
          <w:sz w:val="28"/>
          <w:szCs w:val="28"/>
        </w:rPr>
        <w:t>、价值时点：</w:t>
      </w:r>
      <w:bookmarkEnd w:id="8"/>
    </w:p>
    <w:p>
      <w:pPr>
        <w:pStyle w:val="19"/>
        <w:spacing w:before="0" w:line="580" w:lineRule="exact"/>
        <w:ind w:firstLine="584" w:firstLineChars="200"/>
        <w:jc w:val="both"/>
        <w:rPr>
          <w:rFonts w:asciiTheme="minorEastAsia" w:hAnsiTheme="minorEastAsia" w:eastAsiaTheme="minorEastAsia"/>
          <w:color w:val="auto"/>
          <w:spacing w:val="6"/>
          <w:sz w:val="28"/>
          <w:szCs w:val="28"/>
        </w:rPr>
      </w:pPr>
      <w:r>
        <w:rPr>
          <w:rFonts w:hint="eastAsia" w:asciiTheme="minorEastAsia" w:hAnsiTheme="minorEastAsia" w:eastAsiaTheme="minorEastAsia"/>
          <w:b w:val="0"/>
          <w:color w:val="auto"/>
          <w:spacing w:val="6"/>
          <w:sz w:val="28"/>
          <w:szCs w:val="28"/>
          <w:lang w:eastAsia="zh-CN"/>
        </w:rPr>
        <w:t>2022年9月26日</w:t>
      </w:r>
      <w:r>
        <w:rPr>
          <w:rFonts w:hint="eastAsia" w:asciiTheme="minorEastAsia" w:hAnsiTheme="minorEastAsia" w:eastAsiaTheme="minorEastAsia"/>
          <w:b w:val="0"/>
          <w:color w:val="auto"/>
          <w:spacing w:val="6"/>
          <w:sz w:val="28"/>
          <w:szCs w:val="28"/>
        </w:rPr>
        <w:t>（查看现场之日）</w:t>
      </w:r>
    </w:p>
    <w:p>
      <w:pPr>
        <w:pStyle w:val="19"/>
        <w:numPr>
          <w:ilvl w:val="0"/>
          <w:numId w:val="0"/>
        </w:numPr>
        <w:spacing w:before="0" w:line="580" w:lineRule="exact"/>
        <w:jc w:val="both"/>
        <w:rPr>
          <w:rFonts w:hint="eastAsia" w:asciiTheme="minorEastAsia" w:hAnsiTheme="minorEastAsia" w:eastAsiaTheme="minorEastAsia"/>
          <w:color w:val="auto"/>
          <w:spacing w:val="6"/>
          <w:sz w:val="28"/>
          <w:szCs w:val="28"/>
        </w:rPr>
      </w:pPr>
      <w:bookmarkStart w:id="9" w:name="_Toc436731491"/>
      <w:r>
        <w:rPr>
          <w:rFonts w:hint="eastAsia" w:asciiTheme="minorEastAsia" w:hAnsiTheme="minorEastAsia" w:eastAsiaTheme="minorEastAsia"/>
          <w:color w:val="auto"/>
          <w:spacing w:val="6"/>
          <w:sz w:val="28"/>
          <w:szCs w:val="28"/>
          <w:lang w:eastAsia="zh-CN"/>
        </w:rPr>
        <w:t>（六）</w:t>
      </w:r>
      <w:r>
        <w:rPr>
          <w:rFonts w:hint="eastAsia" w:asciiTheme="minorEastAsia" w:hAnsiTheme="minorEastAsia" w:eastAsiaTheme="minorEastAsia"/>
          <w:color w:val="auto"/>
          <w:spacing w:val="6"/>
          <w:sz w:val="28"/>
          <w:szCs w:val="28"/>
        </w:rPr>
        <w:t>、价值类型：</w:t>
      </w:r>
      <w:bookmarkEnd w:id="9"/>
    </w:p>
    <w:p>
      <w:pPr>
        <w:spacing w:line="580" w:lineRule="exact"/>
        <w:ind w:firstLine="584" w:firstLineChars="200"/>
        <w:rPr>
          <w:rFonts w:hint="eastAsia"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本报告采用公允的市场价值。</w:t>
      </w:r>
    </w:p>
    <w:p>
      <w:pPr>
        <w:pStyle w:val="19"/>
        <w:numPr>
          <w:ilvl w:val="0"/>
          <w:numId w:val="8"/>
        </w:numPr>
        <w:spacing w:before="0" w:line="560" w:lineRule="exact"/>
        <w:jc w:val="left"/>
        <w:rPr>
          <w:rFonts w:hint="eastAsia" w:asciiTheme="minorEastAsia" w:hAnsiTheme="minorEastAsia" w:eastAsiaTheme="minorEastAsia"/>
          <w:color w:val="auto"/>
          <w:spacing w:val="6"/>
          <w:sz w:val="28"/>
          <w:szCs w:val="28"/>
        </w:rPr>
      </w:pPr>
      <w:bookmarkStart w:id="10" w:name="_Toc436731493"/>
      <w:r>
        <w:rPr>
          <w:rFonts w:hint="eastAsia" w:asciiTheme="minorEastAsia" w:hAnsiTheme="minorEastAsia" w:eastAsiaTheme="minorEastAsia"/>
          <w:color w:val="auto"/>
          <w:spacing w:val="6"/>
          <w:sz w:val="28"/>
          <w:szCs w:val="28"/>
        </w:rPr>
        <w:t>、估价原则：</w:t>
      </w:r>
      <w:bookmarkEnd w:id="10"/>
    </w:p>
    <w:p>
      <w:pPr>
        <w:spacing w:line="560" w:lineRule="exact"/>
        <w:ind w:firstLine="584" w:firstLineChars="200"/>
        <w:rPr>
          <w:rFonts w:ascii="宋体" w:hAnsi="宋体"/>
          <w:color w:val="auto"/>
          <w:spacing w:val="6"/>
          <w:sz w:val="28"/>
          <w:szCs w:val="28"/>
        </w:rPr>
      </w:pPr>
      <w:r>
        <w:rPr>
          <w:rFonts w:hint="eastAsia" w:ascii="宋体" w:hAnsi="宋体"/>
          <w:color w:val="auto"/>
          <w:spacing w:val="6"/>
          <w:sz w:val="28"/>
          <w:szCs w:val="28"/>
        </w:rPr>
        <w:t>本次评估本着独立、客观、公正、合法的基本原则，同时遵循最高最</w:t>
      </w:r>
    </w:p>
    <w:p>
      <w:pPr>
        <w:spacing w:line="560" w:lineRule="exact"/>
        <w:rPr>
          <w:rFonts w:ascii="宋体" w:hAnsi="宋体"/>
          <w:color w:val="auto"/>
          <w:spacing w:val="6"/>
          <w:sz w:val="28"/>
          <w:szCs w:val="28"/>
        </w:rPr>
      </w:pPr>
      <w:r>
        <w:rPr>
          <w:rFonts w:hint="eastAsia" w:ascii="宋体" w:hAnsi="宋体"/>
          <w:color w:val="auto"/>
          <w:spacing w:val="6"/>
          <w:sz w:val="28"/>
          <w:szCs w:val="28"/>
        </w:rPr>
        <w:t>佳使用原则、替代原则和价值时点原则。</w:t>
      </w:r>
    </w:p>
    <w:p>
      <w:pPr>
        <w:numPr>
          <w:ilvl w:val="0"/>
          <w:numId w:val="9"/>
        </w:numPr>
        <w:spacing w:line="560" w:lineRule="exact"/>
        <w:ind w:firstLine="584" w:firstLineChars="200"/>
        <w:rPr>
          <w:rFonts w:ascii="宋体" w:hAnsi="宋体"/>
          <w:color w:val="auto"/>
          <w:spacing w:val="6"/>
          <w:sz w:val="28"/>
          <w:szCs w:val="28"/>
        </w:rPr>
      </w:pPr>
      <w:r>
        <w:rPr>
          <w:rFonts w:hint="eastAsia" w:ascii="宋体" w:hAnsi="宋体"/>
          <w:color w:val="auto"/>
          <w:spacing w:val="6"/>
          <w:sz w:val="28"/>
          <w:szCs w:val="28"/>
        </w:rPr>
        <w:t>独立原则：指估价机构为独立的机构，估价机构及估价师与委托</w:t>
      </w:r>
    </w:p>
    <w:p>
      <w:pPr>
        <w:spacing w:line="560" w:lineRule="exact"/>
        <w:rPr>
          <w:rFonts w:ascii="宋体" w:hAnsi="宋体"/>
          <w:color w:val="auto"/>
          <w:spacing w:val="6"/>
          <w:sz w:val="28"/>
          <w:szCs w:val="28"/>
        </w:rPr>
      </w:pPr>
      <w:r>
        <w:rPr>
          <w:rFonts w:hint="eastAsia" w:ascii="宋体" w:hAnsi="宋体"/>
          <w:color w:val="auto"/>
          <w:spacing w:val="6"/>
          <w:sz w:val="28"/>
          <w:szCs w:val="28"/>
        </w:rPr>
        <w:t>人及有关当事人没有利益和利害关系。</w:t>
      </w:r>
    </w:p>
    <w:p>
      <w:pPr>
        <w:spacing w:line="560" w:lineRule="exact"/>
        <w:ind w:firstLine="584" w:firstLineChars="200"/>
        <w:rPr>
          <w:rFonts w:ascii="宋体" w:hAnsi="宋体"/>
          <w:color w:val="auto"/>
          <w:spacing w:val="6"/>
          <w:sz w:val="28"/>
          <w:szCs w:val="28"/>
        </w:rPr>
      </w:pPr>
      <w:r>
        <w:rPr>
          <w:rFonts w:hint="eastAsia" w:ascii="宋体" w:hAnsi="宋体"/>
          <w:color w:val="auto"/>
          <w:spacing w:val="6"/>
          <w:sz w:val="28"/>
          <w:szCs w:val="28"/>
        </w:rPr>
        <w:t>2、客观原则：指估价师从事估价业务时应以客观事实为依据，实事</w:t>
      </w:r>
    </w:p>
    <w:p>
      <w:pPr>
        <w:spacing w:line="560" w:lineRule="exact"/>
        <w:rPr>
          <w:rFonts w:ascii="宋体" w:hAnsi="宋体"/>
          <w:color w:val="auto"/>
          <w:spacing w:val="6"/>
          <w:sz w:val="28"/>
          <w:szCs w:val="28"/>
        </w:rPr>
      </w:pPr>
      <w:r>
        <w:rPr>
          <w:rFonts w:hint="eastAsia" w:ascii="宋体" w:hAnsi="宋体"/>
          <w:color w:val="auto"/>
          <w:spacing w:val="6"/>
          <w:sz w:val="28"/>
          <w:szCs w:val="28"/>
        </w:rPr>
        <w:t>求是，真实地反映估价对象的现状，充分考虑市场条件，对被评估对象做</w:t>
      </w:r>
    </w:p>
    <w:p>
      <w:pPr>
        <w:spacing w:line="560" w:lineRule="exact"/>
        <w:rPr>
          <w:rFonts w:ascii="宋体" w:hAnsi="宋体"/>
          <w:color w:val="auto"/>
          <w:spacing w:val="6"/>
          <w:sz w:val="28"/>
          <w:szCs w:val="28"/>
        </w:rPr>
      </w:pPr>
      <w:r>
        <w:rPr>
          <w:rFonts w:hint="eastAsia" w:ascii="宋体" w:hAnsi="宋体"/>
          <w:color w:val="auto"/>
          <w:spacing w:val="6"/>
          <w:sz w:val="28"/>
          <w:szCs w:val="28"/>
        </w:rPr>
        <w:t>出分析、判断。</w:t>
      </w:r>
    </w:p>
    <w:p>
      <w:pPr>
        <w:spacing w:line="560" w:lineRule="exact"/>
        <w:rPr>
          <w:rFonts w:hint="eastAsia" w:ascii="宋体" w:hAnsi="宋体"/>
          <w:color w:val="auto"/>
          <w:spacing w:val="6"/>
          <w:sz w:val="28"/>
          <w:szCs w:val="28"/>
        </w:rPr>
      </w:pPr>
      <w:r>
        <w:rPr>
          <w:rFonts w:hint="eastAsia" w:ascii="宋体" w:hAnsi="宋体"/>
          <w:color w:val="auto"/>
          <w:spacing w:val="6"/>
          <w:sz w:val="28"/>
          <w:szCs w:val="28"/>
        </w:rPr>
        <w:t xml:space="preserve">    3、公正原则：指估价师从事估价业务时应公平正直，排除个人感情、</w:t>
      </w:r>
    </w:p>
    <w:p>
      <w:pPr>
        <w:spacing w:line="560" w:lineRule="exact"/>
        <w:rPr>
          <w:rFonts w:ascii="宋体" w:hAnsi="宋体"/>
          <w:color w:val="auto"/>
          <w:spacing w:val="6"/>
          <w:sz w:val="28"/>
          <w:szCs w:val="28"/>
        </w:rPr>
      </w:pPr>
      <w:r>
        <w:rPr>
          <w:rFonts w:hint="eastAsia" w:ascii="宋体" w:hAnsi="宋体"/>
          <w:color w:val="auto"/>
          <w:spacing w:val="6"/>
          <w:sz w:val="28"/>
          <w:szCs w:val="28"/>
        </w:rPr>
        <w:t>成见或偏见的影响，不偏向任何当事人，不受相关当事人利益冲突的影响。</w:t>
      </w:r>
    </w:p>
    <w:p>
      <w:pPr>
        <w:numPr>
          <w:ilvl w:val="0"/>
          <w:numId w:val="10"/>
        </w:numPr>
        <w:spacing w:line="660" w:lineRule="exact"/>
        <w:ind w:firstLine="584" w:firstLineChars="200"/>
        <w:rPr>
          <w:rFonts w:ascii="宋体" w:hAnsi="宋体"/>
          <w:color w:val="auto"/>
          <w:spacing w:val="6"/>
          <w:sz w:val="28"/>
          <w:szCs w:val="28"/>
        </w:rPr>
      </w:pPr>
      <w:r>
        <w:rPr>
          <w:rFonts w:hint="eastAsia" w:ascii="宋体" w:hAnsi="宋体"/>
          <w:color w:val="auto"/>
          <w:spacing w:val="6"/>
          <w:sz w:val="28"/>
          <w:szCs w:val="28"/>
        </w:rPr>
        <w:t>合法原则要求房地产估价应以估价对象的合法使用、合法处分为</w:t>
      </w:r>
    </w:p>
    <w:p>
      <w:pPr>
        <w:spacing w:line="660" w:lineRule="exact"/>
        <w:rPr>
          <w:rFonts w:hint="eastAsia" w:ascii="宋体" w:hAnsi="宋体"/>
          <w:color w:val="auto"/>
          <w:spacing w:val="6"/>
          <w:sz w:val="28"/>
          <w:szCs w:val="28"/>
        </w:rPr>
      </w:pPr>
      <w:r>
        <w:rPr>
          <w:rFonts w:hint="eastAsia" w:ascii="宋体" w:hAnsi="宋体"/>
          <w:color w:val="auto"/>
          <w:spacing w:val="6"/>
          <w:sz w:val="28"/>
          <w:szCs w:val="28"/>
        </w:rPr>
        <w:t>估价前提。</w:t>
      </w:r>
    </w:p>
    <w:p>
      <w:pPr>
        <w:spacing w:line="660" w:lineRule="exact"/>
        <w:ind w:firstLine="584" w:firstLineChars="2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5、最高最佳使用原则</w:t>
      </w:r>
    </w:p>
    <w:p>
      <w:pPr>
        <w:spacing w:line="640" w:lineRule="exact"/>
        <w:ind w:firstLine="584" w:firstLineChars="2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最高最佳使用原则要求房地产估价应以估价对象的最高最佳使用为</w:t>
      </w:r>
    </w:p>
    <w:p>
      <w:pPr>
        <w:spacing w:line="640" w:lineRule="exact"/>
        <w:rPr>
          <w:rFonts w:hint="eastAsia"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前提进行。最高最佳使用是指法律上允许、技术上可能、经济上可行，经</w:t>
      </w:r>
    </w:p>
    <w:p>
      <w:pPr>
        <w:spacing w:line="640" w:lineRule="exact"/>
        <w:rPr>
          <w:rFonts w:hint="eastAsia" w:asciiTheme="minorEastAsia" w:hAnsiTheme="minorEastAsia" w:eastAsiaTheme="minorEastAsia"/>
          <w:color w:val="auto"/>
          <w:spacing w:val="6"/>
          <w:sz w:val="28"/>
          <w:szCs w:val="28"/>
        </w:rPr>
      </w:pPr>
    </w:p>
    <w:p>
      <w:pPr>
        <w:spacing w:line="640" w:lineRule="exact"/>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过充分合理的论证，能使估价对象的价值达到最大的一种最可能的使用。</w:t>
      </w:r>
    </w:p>
    <w:p>
      <w:pPr>
        <w:spacing w:line="640" w:lineRule="exact"/>
        <w:ind w:firstLine="584" w:firstLineChars="2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6、替代原则</w:t>
      </w:r>
    </w:p>
    <w:p>
      <w:pPr>
        <w:spacing w:line="640" w:lineRule="exact"/>
        <w:ind w:firstLine="584" w:firstLineChars="2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替代原则要求房地产估价结果不得明显偏离与估价对象处在同一供</w:t>
      </w:r>
    </w:p>
    <w:p>
      <w:pPr>
        <w:spacing w:line="640" w:lineRule="exact"/>
        <w:rPr>
          <w:rFonts w:hint="eastAsia"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求范围内，并在用途、规模、档次、建筑结构等方面与估价对象相同或相近的房地产在同等条件下的正常价格。</w:t>
      </w:r>
    </w:p>
    <w:p>
      <w:pPr>
        <w:numPr>
          <w:ilvl w:val="0"/>
          <w:numId w:val="0"/>
        </w:numPr>
        <w:spacing w:line="640" w:lineRule="exact"/>
        <w:ind w:leftChars="200" w:firstLine="292" w:firstLineChars="100"/>
        <w:rPr>
          <w:rFonts w:hint="eastAsia"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lang w:val="en-US" w:eastAsia="zh-CN"/>
        </w:rPr>
        <w:t>7、</w:t>
      </w:r>
      <w:r>
        <w:rPr>
          <w:rFonts w:hint="eastAsia" w:asciiTheme="minorEastAsia" w:hAnsiTheme="minorEastAsia" w:eastAsiaTheme="minorEastAsia"/>
          <w:color w:val="auto"/>
          <w:spacing w:val="6"/>
          <w:sz w:val="28"/>
          <w:szCs w:val="28"/>
        </w:rPr>
        <w:t>估价时点原则</w:t>
      </w:r>
    </w:p>
    <w:p>
      <w:pPr>
        <w:spacing w:line="640" w:lineRule="exact"/>
        <w:ind w:firstLine="584" w:firstLineChars="200"/>
        <w:rPr>
          <w:rFonts w:hint="eastAsia"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估价时点原则要求房地产估价结果应是估价对象在估价时点时的客</w:t>
      </w:r>
    </w:p>
    <w:p>
      <w:pPr>
        <w:spacing w:line="600" w:lineRule="exact"/>
        <w:rPr>
          <w:rFonts w:hint="eastAsia"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观合理价格或价值。</w:t>
      </w:r>
    </w:p>
    <w:p>
      <w:pPr>
        <w:pStyle w:val="19"/>
        <w:numPr>
          <w:ilvl w:val="0"/>
          <w:numId w:val="11"/>
        </w:numPr>
        <w:spacing w:before="0" w:line="600" w:lineRule="exact"/>
        <w:jc w:val="left"/>
        <w:rPr>
          <w:color w:val="auto"/>
          <w:sz w:val="28"/>
          <w:szCs w:val="28"/>
        </w:rPr>
      </w:pPr>
      <w:bookmarkStart w:id="11" w:name="_Toc436731492"/>
      <w:r>
        <w:rPr>
          <w:rFonts w:hint="eastAsia" w:asciiTheme="minorEastAsia" w:hAnsiTheme="minorEastAsia" w:eastAsiaTheme="minorEastAsia"/>
          <w:color w:val="auto"/>
          <w:spacing w:val="6"/>
          <w:sz w:val="28"/>
          <w:szCs w:val="28"/>
        </w:rPr>
        <w:t>、估价依据：</w:t>
      </w:r>
      <w:bookmarkEnd w:id="11"/>
    </w:p>
    <w:p>
      <w:pPr>
        <w:spacing w:line="600" w:lineRule="exact"/>
        <w:rPr>
          <w:rFonts w:ascii="宋体" w:hAnsi="宋体"/>
          <w:bCs/>
          <w:color w:val="auto"/>
          <w:spacing w:val="6"/>
          <w:sz w:val="28"/>
          <w:szCs w:val="28"/>
        </w:rPr>
      </w:pPr>
      <w:r>
        <w:rPr>
          <w:rFonts w:hint="eastAsia" w:ascii="宋体" w:hAnsi="宋体"/>
          <w:color w:val="auto"/>
          <w:spacing w:val="6"/>
          <w:sz w:val="28"/>
          <w:szCs w:val="28"/>
        </w:rPr>
        <w:t>1</w:t>
      </w:r>
      <w:r>
        <w:rPr>
          <w:rFonts w:hint="eastAsia"/>
          <w:color w:val="auto"/>
          <w:sz w:val="28"/>
          <w:szCs w:val="28"/>
        </w:rPr>
        <w:t>、法律、法规、规章、规范性文件及司法解释</w:t>
      </w:r>
    </w:p>
    <w:p>
      <w:pPr>
        <w:spacing w:line="600" w:lineRule="exact"/>
        <w:rPr>
          <w:rFonts w:ascii="宋体" w:hAnsi="宋体"/>
          <w:bCs/>
          <w:color w:val="auto"/>
          <w:spacing w:val="6"/>
          <w:sz w:val="28"/>
          <w:szCs w:val="28"/>
        </w:rPr>
      </w:pPr>
      <w:r>
        <w:rPr>
          <w:rFonts w:hint="eastAsia" w:ascii="宋体" w:hAnsi="宋体"/>
          <w:bCs/>
          <w:color w:val="auto"/>
          <w:spacing w:val="6"/>
          <w:sz w:val="28"/>
          <w:szCs w:val="28"/>
        </w:rPr>
        <w:t>①《中华人民共和国民法典》；</w:t>
      </w:r>
    </w:p>
    <w:p>
      <w:pPr>
        <w:spacing w:line="600" w:lineRule="exact"/>
        <w:rPr>
          <w:rFonts w:ascii="宋体" w:hAnsi="宋体"/>
          <w:bCs/>
          <w:color w:val="auto"/>
          <w:spacing w:val="6"/>
          <w:sz w:val="28"/>
          <w:szCs w:val="28"/>
        </w:rPr>
      </w:pPr>
      <w:r>
        <w:rPr>
          <w:rFonts w:hint="eastAsia" w:ascii="宋体" w:hAnsi="宋体"/>
          <w:bCs/>
          <w:color w:val="auto"/>
          <w:spacing w:val="6"/>
          <w:sz w:val="28"/>
          <w:szCs w:val="28"/>
        </w:rPr>
        <w:t>②《中华人民共和国城市房地产管理法》（主席令第72号）；</w:t>
      </w:r>
    </w:p>
    <w:p>
      <w:pPr>
        <w:spacing w:line="600" w:lineRule="exact"/>
        <w:rPr>
          <w:rFonts w:ascii="宋体" w:hAnsi="宋体"/>
          <w:color w:val="auto"/>
          <w:spacing w:val="6"/>
          <w:sz w:val="28"/>
          <w:szCs w:val="28"/>
        </w:rPr>
      </w:pPr>
      <w:r>
        <w:rPr>
          <w:rFonts w:hint="eastAsia" w:ascii="宋体" w:hAnsi="宋体"/>
          <w:bCs/>
          <w:color w:val="auto"/>
          <w:spacing w:val="6"/>
          <w:sz w:val="28"/>
          <w:szCs w:val="28"/>
        </w:rPr>
        <w:t>③《中华人民共和国土地管理法》（主席令第28</w:t>
      </w:r>
      <w:r>
        <w:rPr>
          <w:rFonts w:hint="eastAsia" w:ascii="宋体" w:hAnsi="宋体"/>
          <w:color w:val="auto"/>
          <w:spacing w:val="6"/>
          <w:sz w:val="28"/>
          <w:szCs w:val="28"/>
        </w:rPr>
        <w:t>号）；</w:t>
      </w:r>
    </w:p>
    <w:p>
      <w:pPr>
        <w:spacing w:line="600" w:lineRule="exact"/>
        <w:rPr>
          <w:rFonts w:ascii="宋体" w:hAnsi="宋体"/>
          <w:color w:val="auto"/>
          <w:spacing w:val="6"/>
          <w:sz w:val="28"/>
          <w:szCs w:val="28"/>
        </w:rPr>
      </w:pPr>
      <w:r>
        <w:rPr>
          <w:rFonts w:hint="eastAsia" w:ascii="宋体" w:hAnsi="宋体"/>
          <w:color w:val="auto"/>
          <w:spacing w:val="6"/>
          <w:sz w:val="28"/>
          <w:szCs w:val="28"/>
        </w:rPr>
        <w:t>④《中华人民共和国城镇国有土地使用权出让和转让暂行条例》（国务院</w:t>
      </w:r>
    </w:p>
    <w:p>
      <w:pPr>
        <w:spacing w:line="600" w:lineRule="exact"/>
        <w:rPr>
          <w:rFonts w:ascii="宋体" w:hAnsi="宋体"/>
          <w:color w:val="auto"/>
          <w:spacing w:val="6"/>
          <w:sz w:val="28"/>
          <w:szCs w:val="28"/>
        </w:rPr>
      </w:pPr>
      <w:r>
        <w:rPr>
          <w:rFonts w:hint="eastAsia" w:ascii="宋体" w:hAnsi="宋体"/>
          <w:color w:val="auto"/>
          <w:spacing w:val="6"/>
          <w:sz w:val="28"/>
          <w:szCs w:val="28"/>
        </w:rPr>
        <w:t>令第55号）；</w:t>
      </w:r>
    </w:p>
    <w:p>
      <w:pPr>
        <w:pStyle w:val="9"/>
        <w:spacing w:line="600" w:lineRule="exact"/>
        <w:rPr>
          <w:rFonts w:hint="eastAsia" w:hAnsi="宋体"/>
          <w:bCs/>
          <w:color w:val="auto"/>
          <w:kern w:val="0"/>
          <w:sz w:val="28"/>
          <w:szCs w:val="28"/>
        </w:rPr>
      </w:pPr>
      <w:r>
        <w:rPr>
          <w:rFonts w:hint="eastAsia" w:hAnsi="宋体"/>
          <w:bCs/>
          <w:color w:val="auto"/>
          <w:spacing w:val="6"/>
          <w:sz w:val="28"/>
          <w:szCs w:val="28"/>
        </w:rPr>
        <w:t>⑤</w:t>
      </w:r>
      <w:r>
        <w:rPr>
          <w:rFonts w:hint="eastAsia" w:hAnsi="宋体"/>
          <w:bCs/>
          <w:color w:val="auto"/>
          <w:kern w:val="0"/>
          <w:sz w:val="28"/>
          <w:szCs w:val="28"/>
        </w:rPr>
        <w:t>《中华人民共和国资产评估法》（</w:t>
      </w:r>
      <w:r>
        <w:rPr>
          <w:rFonts w:hint="eastAsia" w:hAnsi="宋体"/>
          <w:color w:val="auto"/>
          <w:sz w:val="28"/>
          <w:szCs w:val="28"/>
          <w:shd w:val="clear" w:color="auto" w:fill="FFFFFF"/>
        </w:rPr>
        <w:t>主席令12届第46号</w:t>
      </w:r>
      <w:r>
        <w:rPr>
          <w:rFonts w:hint="eastAsia" w:hAnsi="宋体"/>
          <w:bCs/>
          <w:color w:val="auto"/>
          <w:kern w:val="0"/>
          <w:sz w:val="28"/>
          <w:szCs w:val="28"/>
        </w:rPr>
        <w:t>）；</w:t>
      </w:r>
    </w:p>
    <w:p>
      <w:pPr>
        <w:pStyle w:val="9"/>
        <w:spacing w:line="600" w:lineRule="exact"/>
        <w:rPr>
          <w:rFonts w:hint="eastAsia" w:hAnsi="宋体"/>
          <w:bCs/>
          <w:color w:val="auto"/>
          <w:kern w:val="0"/>
          <w:sz w:val="28"/>
          <w:szCs w:val="28"/>
        </w:rPr>
      </w:pPr>
      <w:r>
        <w:rPr>
          <w:rFonts w:hint="eastAsia" w:hAnsi="宋体"/>
          <w:bCs/>
          <w:color w:val="auto"/>
          <w:kern w:val="0"/>
          <w:sz w:val="28"/>
          <w:szCs w:val="28"/>
        </w:rPr>
        <w:t>⑥《房地产司法鉴定评估指导意见（试行）》</w:t>
      </w:r>
    </w:p>
    <w:p>
      <w:pPr>
        <w:spacing w:line="600" w:lineRule="exact"/>
        <w:rPr>
          <w:rFonts w:ascii="宋体" w:hAnsi="宋体"/>
          <w:color w:val="auto"/>
          <w:spacing w:val="6"/>
          <w:sz w:val="28"/>
          <w:szCs w:val="28"/>
        </w:rPr>
      </w:pPr>
      <w:r>
        <w:rPr>
          <w:rFonts w:hint="eastAsia" w:ascii="宋体" w:hAnsi="宋体"/>
          <w:color w:val="auto"/>
          <w:spacing w:val="6"/>
          <w:sz w:val="28"/>
          <w:szCs w:val="28"/>
        </w:rPr>
        <w:t>2、技术标准</w:t>
      </w:r>
    </w:p>
    <w:p>
      <w:pPr>
        <w:spacing w:line="600" w:lineRule="exact"/>
        <w:rPr>
          <w:rFonts w:ascii="宋体" w:hAnsi="宋体"/>
          <w:color w:val="auto"/>
          <w:spacing w:val="6"/>
          <w:sz w:val="28"/>
          <w:szCs w:val="28"/>
        </w:rPr>
      </w:pPr>
      <w:r>
        <w:rPr>
          <w:rFonts w:hint="eastAsia" w:ascii="宋体" w:hAnsi="宋体"/>
          <w:color w:val="auto"/>
          <w:spacing w:val="6"/>
          <w:sz w:val="28"/>
          <w:szCs w:val="28"/>
        </w:rPr>
        <w:t>①《房地产估价规范》（GB/T50291-2015）；</w:t>
      </w:r>
    </w:p>
    <w:p>
      <w:pPr>
        <w:pStyle w:val="2"/>
        <w:keepNext w:val="0"/>
        <w:keepLines w:val="0"/>
        <w:widowControl/>
        <w:spacing w:before="0" w:after="0" w:line="600" w:lineRule="exact"/>
        <w:rPr>
          <w:rFonts w:ascii="宋体" w:hAnsi="宋体"/>
          <w:b w:val="0"/>
          <w:bCs w:val="0"/>
          <w:color w:val="auto"/>
          <w:spacing w:val="6"/>
          <w:sz w:val="28"/>
          <w:szCs w:val="28"/>
        </w:rPr>
      </w:pPr>
      <w:r>
        <w:rPr>
          <w:rFonts w:hint="eastAsia" w:ascii="宋体" w:hAnsi="宋体"/>
          <w:b w:val="0"/>
          <w:bCs w:val="0"/>
          <w:color w:val="auto"/>
          <w:spacing w:val="6"/>
          <w:sz w:val="28"/>
          <w:szCs w:val="28"/>
        </w:rPr>
        <w:t>②《城镇土地估价规程》</w:t>
      </w:r>
      <w:r>
        <w:rPr>
          <w:rFonts w:hint="eastAsia" w:ascii="宋体" w:hAnsi="宋体" w:cs="宋体"/>
          <w:b w:val="0"/>
          <w:bCs w:val="0"/>
          <w:color w:val="auto"/>
          <w:spacing w:val="6"/>
          <w:sz w:val="28"/>
          <w:szCs w:val="28"/>
        </w:rPr>
        <w:t>（</w:t>
      </w:r>
      <w:r>
        <w:rPr>
          <w:rFonts w:hint="eastAsia" w:ascii="宋体" w:hAnsi="宋体" w:cs="宋体"/>
          <w:b w:val="0"/>
          <w:bCs w:val="0"/>
          <w:color w:val="auto"/>
          <w:sz w:val="28"/>
          <w:szCs w:val="28"/>
        </w:rPr>
        <w:t>GB/T 18508-2014)</w:t>
      </w:r>
      <w:r>
        <w:rPr>
          <w:rFonts w:hint="eastAsia" w:ascii="宋体" w:hAnsi="宋体"/>
          <w:color w:val="auto"/>
          <w:spacing w:val="6"/>
          <w:sz w:val="28"/>
          <w:szCs w:val="28"/>
        </w:rPr>
        <w:t>；</w:t>
      </w:r>
    </w:p>
    <w:p>
      <w:pPr>
        <w:spacing w:line="600" w:lineRule="exact"/>
        <w:rPr>
          <w:rFonts w:ascii="宋体" w:hAnsi="宋体"/>
          <w:color w:val="auto"/>
          <w:spacing w:val="6"/>
          <w:sz w:val="28"/>
          <w:szCs w:val="28"/>
        </w:rPr>
      </w:pPr>
      <w:r>
        <w:rPr>
          <w:rFonts w:hint="eastAsia" w:ascii="宋体" w:hAnsi="宋体"/>
          <w:color w:val="auto"/>
          <w:spacing w:val="6"/>
          <w:sz w:val="28"/>
          <w:szCs w:val="28"/>
        </w:rPr>
        <w:t>3、委托方提供的相关资料；</w:t>
      </w:r>
    </w:p>
    <w:p>
      <w:pPr>
        <w:spacing w:line="600" w:lineRule="exact"/>
        <w:rPr>
          <w:rFonts w:hint="eastAsia" w:asciiTheme="minorEastAsia" w:hAnsiTheme="minorEastAsia" w:eastAsiaTheme="minorEastAsia"/>
          <w:color w:val="auto"/>
          <w:spacing w:val="6"/>
          <w:sz w:val="28"/>
          <w:szCs w:val="28"/>
        </w:rPr>
      </w:pPr>
      <w:r>
        <w:rPr>
          <w:rFonts w:hint="eastAsia" w:ascii="宋体" w:hAnsi="宋体"/>
          <w:color w:val="auto"/>
          <w:spacing w:val="6"/>
          <w:sz w:val="28"/>
          <w:szCs w:val="28"/>
        </w:rPr>
        <w:t>①</w:t>
      </w:r>
      <w:r>
        <w:rPr>
          <w:rFonts w:hint="eastAsia" w:asciiTheme="minorEastAsia" w:hAnsiTheme="minorEastAsia" w:eastAsiaTheme="minorEastAsia"/>
          <w:color w:val="auto"/>
          <w:spacing w:val="6"/>
          <w:sz w:val="28"/>
          <w:szCs w:val="28"/>
        </w:rPr>
        <w:t>《司法评估委托书》（202</w:t>
      </w:r>
      <w:r>
        <w:rPr>
          <w:rFonts w:hint="eastAsia" w:asciiTheme="minorEastAsia" w:hAnsiTheme="minorEastAsia" w:eastAsiaTheme="minorEastAsia"/>
          <w:color w:val="auto"/>
          <w:spacing w:val="6"/>
          <w:sz w:val="28"/>
          <w:szCs w:val="28"/>
          <w:lang w:val="en-US" w:eastAsia="zh-CN"/>
        </w:rPr>
        <w:t>2</w:t>
      </w:r>
      <w:r>
        <w:rPr>
          <w:rFonts w:hint="eastAsia" w:asciiTheme="minorEastAsia" w:hAnsiTheme="minorEastAsia" w:eastAsiaTheme="minorEastAsia"/>
          <w:color w:val="auto"/>
          <w:spacing w:val="6"/>
          <w:sz w:val="28"/>
          <w:szCs w:val="28"/>
        </w:rPr>
        <w:t>）</w:t>
      </w:r>
      <w:r>
        <w:rPr>
          <w:rFonts w:hint="eastAsia" w:asciiTheme="minorEastAsia" w:hAnsiTheme="minorEastAsia" w:eastAsiaTheme="minorEastAsia"/>
          <w:color w:val="auto"/>
          <w:spacing w:val="6"/>
          <w:sz w:val="28"/>
          <w:szCs w:val="28"/>
          <w:lang w:eastAsia="zh-CN"/>
        </w:rPr>
        <w:t>川</w:t>
      </w:r>
      <w:r>
        <w:rPr>
          <w:rFonts w:hint="eastAsia" w:asciiTheme="minorEastAsia" w:hAnsiTheme="minorEastAsia" w:eastAsiaTheme="minorEastAsia"/>
          <w:color w:val="auto"/>
          <w:spacing w:val="6"/>
          <w:sz w:val="28"/>
          <w:szCs w:val="28"/>
          <w:lang w:val="en-US" w:eastAsia="zh-CN"/>
        </w:rPr>
        <w:t>1921</w:t>
      </w:r>
      <w:r>
        <w:rPr>
          <w:rFonts w:hint="eastAsia" w:asciiTheme="minorEastAsia" w:hAnsiTheme="minorEastAsia" w:eastAsiaTheme="minorEastAsia"/>
          <w:color w:val="auto"/>
          <w:spacing w:val="6"/>
          <w:sz w:val="28"/>
          <w:szCs w:val="28"/>
        </w:rPr>
        <w:t>执</w:t>
      </w:r>
      <w:r>
        <w:rPr>
          <w:rFonts w:hint="eastAsia" w:asciiTheme="minorEastAsia" w:hAnsiTheme="minorEastAsia" w:eastAsiaTheme="minorEastAsia"/>
          <w:color w:val="auto"/>
          <w:spacing w:val="6"/>
          <w:sz w:val="28"/>
          <w:szCs w:val="28"/>
          <w:lang w:val="en-US" w:eastAsia="zh-CN"/>
        </w:rPr>
        <w:t>1813</w:t>
      </w:r>
      <w:r>
        <w:rPr>
          <w:rFonts w:hint="eastAsia" w:asciiTheme="minorEastAsia" w:hAnsiTheme="minorEastAsia" w:eastAsiaTheme="minorEastAsia"/>
          <w:color w:val="auto"/>
          <w:spacing w:val="6"/>
          <w:sz w:val="28"/>
          <w:szCs w:val="28"/>
        </w:rPr>
        <w:t>号；</w:t>
      </w:r>
    </w:p>
    <w:p>
      <w:pPr>
        <w:spacing w:line="600" w:lineRule="exact"/>
        <w:rPr>
          <w:rFonts w:hint="eastAsia" w:asciiTheme="minorEastAsia" w:hAnsiTheme="minorEastAsia" w:eastAsiaTheme="minorEastAsia"/>
          <w:color w:val="auto"/>
          <w:spacing w:val="6"/>
          <w:sz w:val="28"/>
          <w:szCs w:val="28"/>
        </w:rPr>
      </w:pPr>
    </w:p>
    <w:p>
      <w:pPr>
        <w:spacing w:line="600" w:lineRule="exact"/>
        <w:rPr>
          <w:rFonts w:ascii="宋体" w:hAnsi="宋体"/>
          <w:color w:val="auto"/>
          <w:spacing w:val="6"/>
          <w:sz w:val="28"/>
          <w:szCs w:val="28"/>
        </w:rPr>
      </w:pPr>
      <w:r>
        <w:rPr>
          <w:rFonts w:hint="eastAsia" w:ascii="宋体" w:hAnsi="宋体"/>
          <w:color w:val="auto"/>
          <w:spacing w:val="6"/>
          <w:sz w:val="28"/>
          <w:szCs w:val="28"/>
        </w:rPr>
        <w:t xml:space="preserve">② </w:t>
      </w:r>
      <w:r>
        <w:rPr>
          <w:rFonts w:hint="eastAsia" w:ascii="宋体" w:hAnsi="宋体" w:cs="宋体"/>
          <w:bCs/>
          <w:color w:val="auto"/>
          <w:sz w:val="28"/>
          <w:szCs w:val="28"/>
          <w:lang w:eastAsia="zh-CN"/>
        </w:rPr>
        <w:t>房屋所有权</w:t>
      </w:r>
      <w:r>
        <w:rPr>
          <w:rFonts w:hint="eastAsia" w:ascii="宋体" w:hAnsi="宋体" w:cs="宋体"/>
          <w:bCs/>
          <w:color w:val="auto"/>
          <w:sz w:val="28"/>
          <w:szCs w:val="28"/>
        </w:rPr>
        <w:t>相关资料；</w:t>
      </w:r>
    </w:p>
    <w:p>
      <w:pPr>
        <w:spacing w:line="600" w:lineRule="exact"/>
        <w:rPr>
          <w:rFonts w:ascii="宋体" w:hAnsi="宋体"/>
          <w:color w:val="auto"/>
          <w:spacing w:val="6"/>
          <w:sz w:val="28"/>
          <w:szCs w:val="28"/>
        </w:rPr>
      </w:pPr>
      <w:r>
        <w:rPr>
          <w:rFonts w:hint="eastAsia" w:ascii="宋体" w:hAnsi="宋体"/>
          <w:color w:val="auto"/>
          <w:spacing w:val="6"/>
          <w:sz w:val="28"/>
          <w:szCs w:val="28"/>
        </w:rPr>
        <w:t>③ 委托人提供的其他相关资料；</w:t>
      </w:r>
    </w:p>
    <w:p>
      <w:pPr>
        <w:spacing w:line="600" w:lineRule="exact"/>
        <w:rPr>
          <w:rFonts w:hint="eastAsia" w:ascii="宋体" w:hAnsi="宋体"/>
          <w:color w:val="auto"/>
          <w:spacing w:val="6"/>
          <w:sz w:val="28"/>
          <w:szCs w:val="28"/>
        </w:rPr>
      </w:pPr>
      <w:r>
        <w:rPr>
          <w:rFonts w:hint="eastAsia" w:ascii="宋体" w:hAnsi="宋体"/>
          <w:color w:val="auto"/>
          <w:spacing w:val="6"/>
          <w:sz w:val="28"/>
          <w:szCs w:val="28"/>
        </w:rPr>
        <w:t>4、估价人员调查收集的相关资料。</w:t>
      </w:r>
    </w:p>
    <w:p>
      <w:pPr>
        <w:spacing w:line="600" w:lineRule="exact"/>
        <w:rPr>
          <w:rFonts w:ascii="宋体" w:hAnsi="宋体"/>
          <w:color w:val="auto"/>
          <w:spacing w:val="6"/>
          <w:sz w:val="28"/>
          <w:szCs w:val="28"/>
        </w:rPr>
      </w:pPr>
      <w:r>
        <w:rPr>
          <w:rFonts w:hint="eastAsia" w:ascii="宋体" w:hAnsi="宋体"/>
          <w:color w:val="auto"/>
          <w:spacing w:val="6"/>
          <w:sz w:val="28"/>
          <w:szCs w:val="28"/>
        </w:rPr>
        <w:t>①估价人员实地查看和估价机构掌握的其他相关资料；</w:t>
      </w:r>
    </w:p>
    <w:p>
      <w:pPr>
        <w:spacing w:line="600" w:lineRule="exact"/>
        <w:rPr>
          <w:color w:val="auto"/>
        </w:rPr>
      </w:pPr>
      <w:r>
        <w:rPr>
          <w:rFonts w:hint="eastAsia" w:ascii="宋体" w:hAnsi="宋体"/>
          <w:color w:val="auto"/>
          <w:spacing w:val="6"/>
          <w:sz w:val="28"/>
          <w:szCs w:val="28"/>
        </w:rPr>
        <w:t>②估价对象所在区域的房地产市场状况、同类房地产市场交易等数据资料。</w:t>
      </w:r>
    </w:p>
    <w:p>
      <w:pPr>
        <w:pStyle w:val="19"/>
        <w:numPr>
          <w:ilvl w:val="0"/>
          <w:numId w:val="11"/>
        </w:numPr>
        <w:spacing w:before="0" w:line="600" w:lineRule="exact"/>
        <w:ind w:left="0" w:leftChars="0" w:firstLine="0" w:firstLineChars="0"/>
        <w:jc w:val="left"/>
        <w:rPr>
          <w:rFonts w:hint="eastAsia" w:asciiTheme="minorEastAsia" w:hAnsiTheme="minorEastAsia" w:eastAsiaTheme="minorEastAsia"/>
          <w:color w:val="auto"/>
          <w:spacing w:val="6"/>
          <w:sz w:val="28"/>
          <w:szCs w:val="28"/>
        </w:rPr>
      </w:pPr>
      <w:bookmarkStart w:id="12" w:name="_Toc436731494"/>
      <w:r>
        <w:rPr>
          <w:rFonts w:hint="eastAsia" w:asciiTheme="minorEastAsia" w:hAnsiTheme="minorEastAsia" w:eastAsiaTheme="minorEastAsia"/>
          <w:color w:val="auto"/>
          <w:spacing w:val="6"/>
          <w:sz w:val="28"/>
          <w:szCs w:val="28"/>
        </w:rPr>
        <w:t>、估价方法：</w:t>
      </w:r>
      <w:bookmarkEnd w:id="12"/>
    </w:p>
    <w:p>
      <w:pPr>
        <w:numPr>
          <w:ilvl w:val="0"/>
          <w:numId w:val="12"/>
        </w:numPr>
        <w:spacing w:line="620" w:lineRule="exact"/>
        <w:ind w:firstLine="584" w:firstLineChars="200"/>
        <w:rPr>
          <w:rFonts w:hint="eastAsia"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房地产评估的常用方法有：比较法、收益法、成本法、假设开发</w:t>
      </w:r>
    </w:p>
    <w:p>
      <w:pPr>
        <w:spacing w:line="620" w:lineRule="exact"/>
        <w:rPr>
          <w:rFonts w:hint="eastAsia"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法、基准地价修正法等。</w:t>
      </w:r>
    </w:p>
    <w:p>
      <w:pPr>
        <w:spacing w:line="620" w:lineRule="exact"/>
        <w:ind w:firstLine="584" w:firstLineChars="200"/>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比较法是将估价对象与价值时点近期有过交易的类似房地产进行比</w:t>
      </w:r>
    </w:p>
    <w:p>
      <w:pPr>
        <w:spacing w:line="620" w:lineRule="exact"/>
        <w:rPr>
          <w:rFonts w:hint="eastAsia"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较，对这些类似房地产的成交价格作适当修正，以此估算估价对象的客观</w:t>
      </w:r>
    </w:p>
    <w:p>
      <w:pPr>
        <w:spacing w:line="620" w:lineRule="exact"/>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合理价格或价值的方法。</w:t>
      </w:r>
    </w:p>
    <w:p>
      <w:pPr>
        <w:keepNext w:val="0"/>
        <w:keepLines w:val="0"/>
        <w:pageBreakBefore w:val="0"/>
        <w:widowControl w:val="0"/>
        <w:kinsoku/>
        <w:wordWrap/>
        <w:overflowPunct/>
        <w:topLinePunct w:val="0"/>
        <w:autoSpaceDE/>
        <w:autoSpaceDN/>
        <w:bidi w:val="0"/>
        <w:adjustRightInd/>
        <w:snapToGrid/>
        <w:spacing w:line="560" w:lineRule="exact"/>
        <w:ind w:firstLine="584" w:firstLineChars="200"/>
        <w:textAlignment w:val="auto"/>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收益法是求取估价对象未来的正常净收益，选用适当的资本化率将其</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折到价值时点后累加，以此估算估价对象的客观合理价格或价值的方法。</w:t>
      </w:r>
    </w:p>
    <w:p>
      <w:pPr>
        <w:keepNext w:val="0"/>
        <w:keepLines w:val="0"/>
        <w:pageBreakBefore w:val="0"/>
        <w:widowControl w:val="0"/>
        <w:kinsoku/>
        <w:wordWrap/>
        <w:overflowPunct/>
        <w:topLinePunct w:val="0"/>
        <w:autoSpaceDE/>
        <w:autoSpaceDN/>
        <w:bidi w:val="0"/>
        <w:adjustRightInd/>
        <w:snapToGrid/>
        <w:spacing w:line="560" w:lineRule="exact"/>
        <w:ind w:firstLine="584" w:firstLineChars="200"/>
        <w:textAlignment w:val="auto"/>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成本法是取求估价对象在价值时点的重新购建价格，然后扣除折旧，</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以此估算估价对象的客观合理价格或价值的方法。</w:t>
      </w:r>
    </w:p>
    <w:p>
      <w:pPr>
        <w:keepNext w:val="0"/>
        <w:keepLines w:val="0"/>
        <w:pageBreakBefore w:val="0"/>
        <w:widowControl w:val="0"/>
        <w:kinsoku/>
        <w:wordWrap/>
        <w:overflowPunct/>
        <w:topLinePunct w:val="0"/>
        <w:autoSpaceDE/>
        <w:autoSpaceDN/>
        <w:bidi w:val="0"/>
        <w:adjustRightInd/>
        <w:snapToGrid/>
        <w:spacing w:line="560" w:lineRule="exact"/>
        <w:ind w:firstLine="584" w:firstLineChars="200"/>
        <w:textAlignment w:val="auto"/>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假设开发法是求取估价对象未来开发完成后的价值，减去未来的正常</w:t>
      </w:r>
    </w:p>
    <w:p>
      <w:pPr>
        <w:keepNext w:val="0"/>
        <w:keepLines w:val="0"/>
        <w:pageBreakBefore w:val="0"/>
        <w:widowControl w:val="0"/>
        <w:kinsoku/>
        <w:wordWrap/>
        <w:overflowPunct/>
        <w:topLinePunct w:val="0"/>
        <w:autoSpaceDE/>
        <w:autoSpaceDN/>
        <w:bidi w:val="0"/>
        <w:adjustRightInd/>
        <w:snapToGrid/>
        <w:spacing w:line="560" w:lineRule="exact"/>
        <w:ind w:right="-315" w:rightChars="-150"/>
        <w:textAlignment w:val="auto"/>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开发成本，税费和利润等，以此估算估价对象的客观合理价格或价值的方法。</w:t>
      </w:r>
    </w:p>
    <w:p>
      <w:pPr>
        <w:keepNext w:val="0"/>
        <w:keepLines w:val="0"/>
        <w:pageBreakBefore w:val="0"/>
        <w:widowControl w:val="0"/>
        <w:kinsoku/>
        <w:wordWrap/>
        <w:overflowPunct/>
        <w:topLinePunct w:val="0"/>
        <w:autoSpaceDE/>
        <w:autoSpaceDN/>
        <w:bidi w:val="0"/>
        <w:adjustRightInd/>
        <w:snapToGrid/>
        <w:spacing w:line="560" w:lineRule="exact"/>
        <w:ind w:firstLine="555"/>
        <w:textAlignment w:val="auto"/>
        <w:rPr>
          <w:rFonts w:hint="eastAsia"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基准地价修正法是在政府确定公布了基准地价的地区，通过具体区</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asciiTheme="minorEastAsia" w:hAnsiTheme="minorEastAsia" w:eastAsiaTheme="minorEastAsia"/>
          <w:color w:val="auto"/>
          <w:spacing w:val="6"/>
          <w:sz w:val="28"/>
          <w:szCs w:val="28"/>
        </w:rPr>
      </w:pPr>
      <w:r>
        <w:rPr>
          <w:rFonts w:hint="eastAsia" w:asciiTheme="minorEastAsia" w:hAnsiTheme="minorEastAsia" w:eastAsiaTheme="minorEastAsia"/>
          <w:color w:val="auto"/>
          <w:spacing w:val="6"/>
          <w:sz w:val="28"/>
          <w:szCs w:val="28"/>
        </w:rPr>
        <w:t>位、土地使用权年限、建筑容积率、土地形状、临街状况等的比较，由估价对象宗地所处地段的基准地价调整得出估价对象宗地价格的一种估价方法。</w:t>
      </w:r>
    </w:p>
    <w:p>
      <w:pPr>
        <w:spacing w:line="620" w:lineRule="exact"/>
        <w:ind w:firstLine="584" w:firstLineChars="200"/>
        <w:rPr>
          <w:rFonts w:hint="eastAsia" w:asciiTheme="minorEastAsia" w:hAnsiTheme="minorEastAsia" w:eastAsiaTheme="minorEastAsia"/>
          <w:b/>
          <w:color w:val="auto"/>
          <w:spacing w:val="6"/>
          <w:sz w:val="28"/>
          <w:szCs w:val="28"/>
          <w:lang w:eastAsia="zh-CN"/>
        </w:rPr>
      </w:pPr>
      <w:r>
        <w:rPr>
          <w:rFonts w:hint="eastAsia" w:asciiTheme="minorEastAsia" w:hAnsiTheme="minorEastAsia" w:eastAsiaTheme="minorEastAsia"/>
          <w:color w:val="auto"/>
          <w:spacing w:val="6"/>
          <w:sz w:val="28"/>
          <w:szCs w:val="28"/>
        </w:rPr>
        <w:t>2、评估方法的选用：</w:t>
      </w:r>
      <w:r>
        <w:rPr>
          <w:rFonts w:hint="eastAsia" w:asciiTheme="minorEastAsia" w:hAnsiTheme="minorEastAsia" w:eastAsiaTheme="minorEastAsia"/>
          <w:b/>
          <w:color w:val="auto"/>
          <w:spacing w:val="6"/>
          <w:sz w:val="28"/>
          <w:szCs w:val="28"/>
        </w:rPr>
        <w:t>比较法</w:t>
      </w:r>
      <w:r>
        <w:rPr>
          <w:rFonts w:hint="eastAsia" w:asciiTheme="minorEastAsia" w:hAnsiTheme="minorEastAsia" w:eastAsiaTheme="minorEastAsia"/>
          <w:b/>
          <w:color w:val="auto"/>
          <w:spacing w:val="6"/>
          <w:sz w:val="28"/>
          <w:szCs w:val="28"/>
          <w:lang w:eastAsia="zh-CN"/>
        </w:rPr>
        <w:t>、收益法</w:t>
      </w:r>
    </w:p>
    <w:p>
      <w:pPr>
        <w:pStyle w:val="19"/>
        <w:spacing w:before="0"/>
        <w:jc w:val="both"/>
        <w:rPr>
          <w:rFonts w:asciiTheme="minorEastAsia" w:hAnsiTheme="minorEastAsia" w:eastAsiaTheme="minorEastAsia"/>
          <w:color w:val="auto"/>
          <w:spacing w:val="6"/>
          <w:sz w:val="28"/>
          <w:szCs w:val="28"/>
        </w:rPr>
      </w:pPr>
      <w:bookmarkStart w:id="13" w:name="_Toc436731495"/>
      <w:r>
        <w:rPr>
          <w:rFonts w:hint="eastAsia" w:asciiTheme="minorEastAsia" w:hAnsiTheme="minorEastAsia" w:eastAsiaTheme="minorEastAsia"/>
          <w:color w:val="auto"/>
          <w:spacing w:val="6"/>
          <w:sz w:val="28"/>
          <w:szCs w:val="28"/>
        </w:rPr>
        <w:t>（十）、估价结果：</w:t>
      </w:r>
      <w:bookmarkEnd w:id="13"/>
    </w:p>
    <w:p>
      <w:pPr>
        <w:ind w:left="-187" w:leftChars="-89" w:firstLine="767" w:firstLineChars="263"/>
        <w:jc w:val="left"/>
        <w:rPr>
          <w:rFonts w:ascii="宋体" w:hAnsi="宋体" w:cs="宋体"/>
          <w:b/>
          <w:color w:val="auto"/>
          <w:sz w:val="32"/>
          <w:szCs w:val="32"/>
        </w:rPr>
      </w:pPr>
      <w:r>
        <w:rPr>
          <w:rFonts w:hint="eastAsia" w:asciiTheme="minorEastAsia" w:hAnsiTheme="minorEastAsia" w:eastAsiaTheme="minorEastAsia"/>
          <w:color w:val="auto"/>
          <w:spacing w:val="6"/>
          <w:sz w:val="28"/>
          <w:szCs w:val="28"/>
        </w:rPr>
        <w:t>经过估价人员周密、准确的测算及结合委估房地产所在地市场情况，最终确定委估房地产在价值时点</w:t>
      </w:r>
      <w:r>
        <w:rPr>
          <w:rFonts w:hint="eastAsia" w:asciiTheme="minorEastAsia" w:hAnsiTheme="minorEastAsia" w:eastAsiaTheme="minorEastAsia"/>
          <w:color w:val="auto"/>
          <w:spacing w:val="6"/>
          <w:sz w:val="28"/>
          <w:szCs w:val="28"/>
          <w:lang w:eastAsia="zh-CN"/>
        </w:rPr>
        <w:t>2022年9月26日</w:t>
      </w:r>
      <w:r>
        <w:rPr>
          <w:rFonts w:hint="eastAsia" w:asciiTheme="minorEastAsia" w:hAnsiTheme="minorEastAsia" w:eastAsiaTheme="minorEastAsia"/>
          <w:color w:val="auto"/>
          <w:spacing w:val="6"/>
          <w:sz w:val="28"/>
          <w:szCs w:val="28"/>
        </w:rPr>
        <w:t>的评估结果如下</w:t>
      </w:r>
      <w:bookmarkStart w:id="14" w:name="_Toc436731496"/>
      <w:r>
        <w:rPr>
          <w:rFonts w:hint="eastAsia" w:asciiTheme="minorEastAsia" w:hAnsiTheme="minorEastAsia" w:eastAsiaTheme="minorEastAsia"/>
          <w:color w:val="auto"/>
          <w:spacing w:val="6"/>
          <w:sz w:val="28"/>
          <w:szCs w:val="28"/>
        </w:rPr>
        <w:t>：</w:t>
      </w:r>
    </w:p>
    <w:p>
      <w:pPr>
        <w:ind w:left="-187" w:leftChars="-89" w:firstLine="2772" w:firstLineChars="863"/>
        <w:jc w:val="left"/>
        <w:rPr>
          <w:rFonts w:hint="eastAsia" w:ascii="宋体" w:hAnsi="宋体" w:cs="宋体"/>
          <w:b/>
          <w:color w:val="auto"/>
          <w:sz w:val="32"/>
          <w:szCs w:val="32"/>
        </w:rPr>
      </w:pPr>
      <w:r>
        <w:rPr>
          <w:rFonts w:hint="eastAsia" w:ascii="宋体" w:hAnsi="宋体" w:cs="宋体"/>
          <w:b/>
          <w:color w:val="auto"/>
          <w:sz w:val="32"/>
          <w:szCs w:val="32"/>
        </w:rPr>
        <w:t>委估房地产评估结果一览表</w:t>
      </w:r>
    </w:p>
    <w:tbl>
      <w:tblPr>
        <w:tblStyle w:val="21"/>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55"/>
        <w:gridCol w:w="2922"/>
        <w:gridCol w:w="1441"/>
        <w:gridCol w:w="1249"/>
        <w:gridCol w:w="1358"/>
        <w:gridCol w:w="142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0"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产权人</w:t>
            </w:r>
          </w:p>
        </w:tc>
        <w:tc>
          <w:tcPr>
            <w:tcW w:w="15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坐落</w:t>
            </w:r>
          </w:p>
        </w:tc>
        <w:tc>
          <w:tcPr>
            <w:tcW w:w="7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建筑面积（㎡）</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用途</w:t>
            </w:r>
          </w:p>
        </w:tc>
        <w:tc>
          <w:tcPr>
            <w:tcW w:w="71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评估单价（元/㎡）</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评估值（元）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0"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赵川</w:t>
            </w:r>
          </w:p>
        </w:tc>
        <w:tc>
          <w:tcPr>
            <w:tcW w:w="15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通江县诺江镇诺江东路1楼为营业房:-1楼为住宅</w:t>
            </w:r>
          </w:p>
        </w:tc>
        <w:tc>
          <w:tcPr>
            <w:tcW w:w="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39.6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非住宅</w:t>
            </w: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14596</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578,002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0"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赵川</w:t>
            </w:r>
          </w:p>
        </w:tc>
        <w:tc>
          <w:tcPr>
            <w:tcW w:w="15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通江县诺江镇诺江东路1楼为营业房:-1楼为住宅</w:t>
            </w:r>
          </w:p>
        </w:tc>
        <w:tc>
          <w:tcPr>
            <w:tcW w:w="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39.6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住宅</w:t>
            </w: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1827</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72,349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0"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赵川</w:t>
            </w:r>
          </w:p>
        </w:tc>
        <w:tc>
          <w:tcPr>
            <w:tcW w:w="15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通江县诺江镇诺江东路1楼为营业房:-1楼为住宅</w:t>
            </w:r>
          </w:p>
        </w:tc>
        <w:tc>
          <w:tcPr>
            <w:tcW w:w="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31.36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非住宅</w:t>
            </w: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14596</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457,731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0"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赵川</w:t>
            </w:r>
          </w:p>
        </w:tc>
        <w:tc>
          <w:tcPr>
            <w:tcW w:w="15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通江县诺江镇诺江东路1楼为营业房:-1楼为住宅</w:t>
            </w:r>
          </w:p>
        </w:tc>
        <w:tc>
          <w:tcPr>
            <w:tcW w:w="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住宅</w:t>
            </w: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1827</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138,852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7" w:hRule="atLeast"/>
        </w:trPr>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合计</w:t>
            </w:r>
          </w:p>
        </w:tc>
        <w:tc>
          <w:tcPr>
            <w:tcW w:w="1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c>
          <w:tcPr>
            <w:tcW w:w="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1"/>
                <w:szCs w:val="21"/>
                <w:u w:val="none"/>
              </w:rPr>
            </w:pP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1,246,934</w:t>
            </w:r>
          </w:p>
        </w:tc>
      </w:tr>
    </w:tbl>
    <w:p>
      <w:pPr>
        <w:tabs>
          <w:tab w:val="left" w:pos="6426"/>
          <w:tab w:val="left" w:pos="7749"/>
        </w:tabs>
        <w:spacing w:line="360" w:lineRule="auto"/>
        <w:ind w:left="4" w:firstLine="554" w:firstLineChars="198"/>
        <w:rPr>
          <w:rFonts w:hint="eastAsia" w:ascii="宋体" w:hAnsi="宋体"/>
          <w:color w:val="auto"/>
          <w:sz w:val="28"/>
          <w:szCs w:val="28"/>
        </w:rPr>
      </w:pPr>
    </w:p>
    <w:p>
      <w:pPr>
        <w:tabs>
          <w:tab w:val="left" w:pos="6426"/>
          <w:tab w:val="left" w:pos="7749"/>
        </w:tabs>
        <w:spacing w:line="360" w:lineRule="auto"/>
        <w:ind w:left="4" w:firstLine="554" w:firstLineChars="198"/>
        <w:rPr>
          <w:rFonts w:ascii="宋体" w:hAnsi="宋体" w:cs="宋体"/>
          <w:color w:val="auto"/>
          <w:sz w:val="28"/>
          <w:szCs w:val="28"/>
        </w:rPr>
      </w:pPr>
      <w:r>
        <w:rPr>
          <w:rFonts w:hint="eastAsia" w:ascii="宋体" w:hAnsi="宋体"/>
          <w:color w:val="auto"/>
          <w:sz w:val="28"/>
          <w:szCs w:val="28"/>
        </w:rPr>
        <w:t>委估房地产在价值时点</w:t>
      </w:r>
      <w:r>
        <w:rPr>
          <w:rFonts w:hint="eastAsia" w:ascii="宋体" w:hAnsi="宋体"/>
          <w:color w:val="auto"/>
          <w:spacing w:val="6"/>
          <w:sz w:val="28"/>
          <w:szCs w:val="28"/>
          <w:lang w:eastAsia="zh-CN"/>
        </w:rPr>
        <w:t>2022年9月26日</w:t>
      </w:r>
      <w:r>
        <w:rPr>
          <w:rFonts w:hint="eastAsia" w:ascii="宋体" w:hAnsi="宋体"/>
          <w:color w:val="auto"/>
          <w:sz w:val="28"/>
          <w:szCs w:val="28"/>
        </w:rPr>
        <w:t>的</w:t>
      </w:r>
      <w:r>
        <w:rPr>
          <w:rFonts w:hint="eastAsia" w:ascii="宋体" w:hAnsi="宋体" w:cs="宋体"/>
          <w:color w:val="auto"/>
          <w:sz w:val="28"/>
          <w:szCs w:val="28"/>
        </w:rPr>
        <w:t>市场价值</w:t>
      </w:r>
      <w:r>
        <w:rPr>
          <w:rFonts w:hint="eastAsia" w:ascii="宋体" w:hAnsi="宋体"/>
          <w:color w:val="auto"/>
          <w:sz w:val="28"/>
          <w:szCs w:val="28"/>
        </w:rPr>
        <w:t>评估总值为人民币(小写)</w:t>
      </w:r>
      <w:r>
        <w:rPr>
          <w:rFonts w:hint="eastAsia" w:ascii="宋体" w:hAnsi="宋体"/>
          <w:b/>
          <w:color w:val="auto"/>
          <w:sz w:val="28"/>
          <w:szCs w:val="28"/>
        </w:rPr>
        <w:t>:</w:t>
      </w:r>
      <w:r>
        <w:rPr>
          <w:rFonts w:hint="eastAsia" w:ascii="宋体" w:hAnsi="宋体" w:cs="宋体"/>
          <w:b/>
          <w:bCs/>
          <w:color w:val="auto"/>
          <w:kern w:val="0"/>
          <w:sz w:val="28"/>
          <w:szCs w:val="28"/>
          <w:lang w:eastAsia="zh-CN"/>
        </w:rPr>
        <w:t>1,246,934</w:t>
      </w:r>
      <w:r>
        <w:rPr>
          <w:rFonts w:hint="eastAsia" w:ascii="宋体" w:hAnsi="宋体" w:cs="宋体"/>
          <w:color w:val="auto"/>
          <w:kern w:val="0"/>
          <w:sz w:val="28"/>
          <w:szCs w:val="28"/>
        </w:rPr>
        <w:t>元</w:t>
      </w:r>
      <w:r>
        <w:rPr>
          <w:rFonts w:hint="eastAsia" w:ascii="宋体" w:hAnsi="宋体"/>
          <w:b/>
          <w:color w:val="auto"/>
          <w:sz w:val="28"/>
          <w:szCs w:val="28"/>
        </w:rPr>
        <w:t>；</w:t>
      </w:r>
      <w:r>
        <w:rPr>
          <w:rFonts w:hint="eastAsia" w:ascii="宋体" w:hAnsi="宋体"/>
          <w:color w:val="auto"/>
          <w:sz w:val="28"/>
          <w:szCs w:val="28"/>
        </w:rPr>
        <w:t>人民币大写</w:t>
      </w:r>
      <w:r>
        <w:rPr>
          <w:rFonts w:hint="eastAsia" w:ascii="宋体" w:hAnsi="宋体"/>
          <w:b/>
          <w:color w:val="auto"/>
          <w:sz w:val="28"/>
          <w:szCs w:val="28"/>
        </w:rPr>
        <w:t>:</w:t>
      </w:r>
      <w:r>
        <w:rPr>
          <w:rFonts w:hint="eastAsia" w:ascii="宋体" w:hAnsi="宋体"/>
          <w:b/>
          <w:bCs/>
          <w:color w:val="auto"/>
          <w:sz w:val="28"/>
          <w:szCs w:val="28"/>
          <w:lang w:eastAsia="zh-CN"/>
        </w:rPr>
        <w:t>壹佰贰拾肆万陆仟玖佰叁拾肆</w:t>
      </w:r>
      <w:r>
        <w:rPr>
          <w:rFonts w:hint="eastAsia" w:ascii="宋体" w:hAnsi="宋体"/>
          <w:b/>
          <w:color w:val="auto"/>
          <w:sz w:val="28"/>
          <w:szCs w:val="28"/>
        </w:rPr>
        <w:t>元整</w:t>
      </w:r>
      <w:r>
        <w:rPr>
          <w:rFonts w:hint="eastAsia" w:ascii="宋体" w:hAnsi="宋体" w:cs="宋体"/>
          <w:b/>
          <w:bCs/>
          <w:color w:val="auto"/>
          <w:sz w:val="28"/>
          <w:szCs w:val="28"/>
        </w:rPr>
        <w:t>。</w:t>
      </w:r>
      <w:bookmarkEnd w:id="14"/>
    </w:p>
    <w:p>
      <w:pPr>
        <w:pStyle w:val="3"/>
        <w:spacing w:line="360" w:lineRule="auto"/>
        <w:rPr>
          <w:rFonts w:ascii="宋体" w:hAnsi="宋体" w:cs="宋体"/>
          <w:color w:val="auto"/>
          <w:sz w:val="28"/>
          <w:szCs w:val="28"/>
        </w:rPr>
      </w:pPr>
      <w:r>
        <w:rPr>
          <w:rFonts w:hint="eastAsia" w:ascii="宋体" w:hAnsi="宋体" w:cs="宋体"/>
          <w:color w:val="auto"/>
          <w:sz w:val="28"/>
          <w:szCs w:val="28"/>
        </w:rPr>
        <w:t>（十一）注册房地产估价师</w:t>
      </w:r>
    </w:p>
    <w:p>
      <w:pPr>
        <w:spacing w:line="500" w:lineRule="exact"/>
        <w:ind w:firstLine="280" w:firstLineChars="100"/>
        <w:rPr>
          <w:rFonts w:hint="eastAsia" w:ascii="宋体" w:hAnsi="宋体" w:cs="宋体"/>
          <w:color w:val="auto"/>
          <w:kern w:val="0"/>
          <w:sz w:val="28"/>
          <w:szCs w:val="28"/>
        </w:rPr>
      </w:pPr>
      <w:r>
        <w:rPr>
          <w:rFonts w:hint="eastAsia" w:ascii="宋体" w:hAnsi="宋体" w:cs="宋体"/>
          <w:color w:val="auto"/>
          <w:kern w:val="0"/>
          <w:sz w:val="28"/>
          <w:szCs w:val="28"/>
        </w:rPr>
        <w:t xml:space="preserve">姓  名       </w:t>
      </w:r>
      <w:r>
        <w:rPr>
          <w:rFonts w:hint="eastAsia" w:ascii="宋体" w:hAnsi="宋体" w:cs="宋体"/>
          <w:color w:val="auto"/>
          <w:kern w:val="0"/>
          <w:sz w:val="28"/>
          <w:szCs w:val="28"/>
          <w:lang w:val="en-US" w:eastAsia="zh-CN"/>
        </w:rPr>
        <w:t xml:space="preserve">  </w:t>
      </w:r>
      <w:r>
        <w:rPr>
          <w:rFonts w:hint="eastAsia" w:ascii="宋体" w:hAnsi="宋体" w:cs="宋体"/>
          <w:color w:val="auto"/>
          <w:kern w:val="0"/>
          <w:sz w:val="28"/>
          <w:szCs w:val="28"/>
        </w:rPr>
        <w:t>注册号             签   名           签字日期</w:t>
      </w:r>
    </w:p>
    <w:p>
      <w:pPr>
        <w:spacing w:line="500" w:lineRule="exact"/>
        <w:ind w:firstLine="280" w:firstLineChars="100"/>
        <w:rPr>
          <w:rFonts w:hint="eastAsia" w:ascii="宋体" w:hAnsi="宋体" w:cs="宋体"/>
          <w:color w:val="auto"/>
          <w:kern w:val="0"/>
          <w:sz w:val="28"/>
          <w:szCs w:val="28"/>
        </w:rPr>
      </w:pPr>
    </w:p>
    <w:p>
      <w:pPr>
        <w:ind w:firstLine="280" w:firstLineChars="100"/>
        <w:rPr>
          <w:rFonts w:ascii="宋体" w:hAnsi="宋体" w:cs="宋体"/>
          <w:color w:val="auto"/>
          <w:kern w:val="0"/>
          <w:sz w:val="28"/>
          <w:szCs w:val="28"/>
        </w:rPr>
      </w:pPr>
      <w:r>
        <w:rPr>
          <w:rFonts w:hint="eastAsia" w:ascii="宋体" w:hAnsi="宋体"/>
          <w:color w:val="auto"/>
          <w:sz w:val="28"/>
          <w:szCs w:val="28"/>
        </w:rPr>
        <w:t>李雪娇        5120180036</w:t>
      </w:r>
      <w:r>
        <w:rPr>
          <w:rFonts w:hint="eastAsia" w:ascii="宋体" w:hAnsi="宋体"/>
          <w:color w:val="auto"/>
          <w:sz w:val="28"/>
          <w:szCs w:val="28"/>
          <w:shd w:val="clear" w:color="auto" w:fill="FFFFFF"/>
        </w:rPr>
        <w:t xml:space="preserve">                      </w:t>
      </w:r>
      <w:r>
        <w:rPr>
          <w:rFonts w:hint="eastAsia" w:ascii="宋体" w:hAnsi="宋体"/>
          <w:color w:val="auto"/>
          <w:sz w:val="28"/>
          <w:szCs w:val="28"/>
          <w:shd w:val="clear" w:color="auto" w:fill="FFFFFF"/>
          <w:lang w:val="en-US" w:eastAsia="zh-CN"/>
        </w:rPr>
        <w:t xml:space="preserve"> </w:t>
      </w:r>
      <w:r>
        <w:rPr>
          <w:rFonts w:hint="eastAsia" w:ascii="宋体" w:hAnsi="宋体"/>
          <w:color w:val="auto"/>
          <w:sz w:val="28"/>
          <w:szCs w:val="28"/>
          <w:shd w:val="clear" w:color="auto" w:fill="FFFFFF"/>
        </w:rPr>
        <w:t xml:space="preserve">  </w:t>
      </w:r>
      <w:r>
        <w:rPr>
          <w:rFonts w:hint="eastAsia" w:ascii="宋体" w:hAnsi="宋体"/>
          <w:color w:val="auto"/>
          <w:sz w:val="28"/>
          <w:szCs w:val="28"/>
          <w:shd w:val="clear" w:color="auto" w:fill="FFFFFF"/>
          <w:lang w:val="en-US" w:eastAsia="zh-CN"/>
        </w:rPr>
        <w:t xml:space="preserve"> </w:t>
      </w:r>
      <w:r>
        <w:rPr>
          <w:rFonts w:hint="eastAsia" w:ascii="宋体" w:hAnsi="宋体"/>
          <w:color w:val="auto"/>
          <w:sz w:val="28"/>
          <w:szCs w:val="28"/>
          <w:shd w:val="clear" w:color="auto" w:fill="FFFFFF"/>
        </w:rPr>
        <w:t xml:space="preserve"> </w:t>
      </w:r>
      <w:r>
        <w:rPr>
          <w:rFonts w:hint="eastAsia" w:ascii="宋体" w:hAnsi="宋体" w:cs="宋体"/>
          <w:color w:val="auto"/>
          <w:kern w:val="0"/>
          <w:sz w:val="28"/>
          <w:szCs w:val="28"/>
        </w:rPr>
        <w:t>年   月   日</w:t>
      </w:r>
    </w:p>
    <w:p>
      <w:pPr>
        <w:spacing w:line="500" w:lineRule="exact"/>
        <w:ind w:firstLine="560" w:firstLineChars="200"/>
        <w:rPr>
          <w:rFonts w:ascii="宋体" w:hAnsi="宋体" w:cs="宋体"/>
          <w:color w:val="auto"/>
          <w:kern w:val="0"/>
          <w:sz w:val="28"/>
          <w:szCs w:val="28"/>
        </w:rPr>
      </w:pPr>
    </w:p>
    <w:p>
      <w:pPr>
        <w:spacing w:line="500" w:lineRule="exact"/>
        <w:ind w:firstLine="292" w:firstLineChars="100"/>
        <w:rPr>
          <w:rFonts w:ascii="宋体" w:hAnsi="宋体"/>
          <w:color w:val="auto"/>
          <w:spacing w:val="6"/>
          <w:sz w:val="28"/>
        </w:rPr>
      </w:pPr>
      <w:r>
        <w:rPr>
          <w:rFonts w:hint="eastAsia" w:ascii="宋体" w:hAnsi="宋体"/>
          <w:color w:val="auto"/>
          <w:spacing w:val="6"/>
          <w:sz w:val="28"/>
          <w:lang w:eastAsia="zh-CN"/>
        </w:rPr>
        <w:t>殷贵颜</w:t>
      </w:r>
      <w:r>
        <w:rPr>
          <w:rFonts w:hint="eastAsia" w:ascii="宋体" w:hAnsi="宋体"/>
          <w:color w:val="auto"/>
          <w:spacing w:val="6"/>
          <w:sz w:val="28"/>
        </w:rPr>
        <w:t xml:space="preserve">       </w:t>
      </w:r>
      <w:r>
        <w:rPr>
          <w:rFonts w:hint="eastAsia" w:ascii="宋体" w:hAnsi="宋体"/>
          <w:color w:val="auto"/>
          <w:spacing w:val="6"/>
          <w:sz w:val="28"/>
          <w:lang w:eastAsia="zh-CN"/>
        </w:rPr>
        <w:t>5119970021</w:t>
      </w:r>
      <w:r>
        <w:rPr>
          <w:rFonts w:hint="eastAsia" w:ascii="宋体" w:hAnsi="宋体"/>
          <w:color w:val="auto"/>
          <w:sz w:val="28"/>
          <w:szCs w:val="28"/>
        </w:rPr>
        <w:t xml:space="preserve">                         </w:t>
      </w:r>
      <w:r>
        <w:rPr>
          <w:rFonts w:hint="eastAsia" w:ascii="宋体" w:hAnsi="宋体"/>
          <w:color w:val="auto"/>
          <w:sz w:val="28"/>
          <w:szCs w:val="28"/>
          <w:lang w:val="en-US" w:eastAsia="zh-CN"/>
        </w:rPr>
        <w:t xml:space="preserve"> </w:t>
      </w:r>
      <w:r>
        <w:rPr>
          <w:rFonts w:hint="eastAsia" w:ascii="宋体" w:hAnsi="宋体" w:cs="宋体"/>
          <w:color w:val="auto"/>
          <w:kern w:val="0"/>
          <w:sz w:val="28"/>
          <w:szCs w:val="28"/>
        </w:rPr>
        <w:t xml:space="preserve"> 年   月   日</w:t>
      </w:r>
    </w:p>
    <w:p>
      <w:pPr>
        <w:spacing w:line="700" w:lineRule="exact"/>
        <w:rPr>
          <w:rFonts w:hint="eastAsia" w:asciiTheme="minorEastAsia" w:hAnsiTheme="minorEastAsia" w:eastAsiaTheme="minorEastAsia"/>
          <w:color w:val="auto"/>
          <w:spacing w:val="6"/>
          <w:sz w:val="28"/>
          <w:szCs w:val="28"/>
          <w:lang w:eastAsia="zh-CN"/>
        </w:rPr>
      </w:pPr>
      <w:bookmarkStart w:id="15" w:name="_Toc436731498"/>
      <w:r>
        <w:rPr>
          <w:rStyle w:val="32"/>
          <w:rFonts w:hint="eastAsia" w:asciiTheme="minorEastAsia" w:hAnsiTheme="minorEastAsia" w:eastAsiaTheme="minorEastAsia"/>
          <w:color w:val="auto"/>
          <w:spacing w:val="6"/>
          <w:sz w:val="28"/>
          <w:szCs w:val="28"/>
        </w:rPr>
        <w:t>（十二）、现场查勘日期：</w:t>
      </w:r>
      <w:bookmarkEnd w:id="15"/>
      <w:r>
        <w:rPr>
          <w:rFonts w:hint="eastAsia" w:asciiTheme="minorEastAsia" w:hAnsiTheme="minorEastAsia" w:eastAsiaTheme="minorEastAsia"/>
          <w:color w:val="auto"/>
          <w:spacing w:val="6"/>
          <w:sz w:val="28"/>
          <w:szCs w:val="28"/>
          <w:lang w:eastAsia="zh-CN"/>
        </w:rPr>
        <w:t>2022年9月26日</w:t>
      </w:r>
      <w:r>
        <w:rPr>
          <w:rFonts w:hint="eastAsia" w:asciiTheme="minorEastAsia" w:hAnsiTheme="minorEastAsia" w:eastAsiaTheme="minorEastAsia"/>
          <w:color w:val="auto"/>
          <w:spacing w:val="6"/>
          <w:sz w:val="28"/>
          <w:szCs w:val="28"/>
        </w:rPr>
        <w:t>-</w:t>
      </w:r>
      <w:r>
        <w:rPr>
          <w:rFonts w:hint="eastAsia" w:asciiTheme="minorEastAsia" w:hAnsiTheme="minorEastAsia" w:eastAsiaTheme="minorEastAsia"/>
          <w:color w:val="auto"/>
          <w:spacing w:val="6"/>
          <w:sz w:val="28"/>
          <w:szCs w:val="28"/>
          <w:lang w:eastAsia="zh-CN"/>
        </w:rPr>
        <w:t>2022年9月26日</w:t>
      </w:r>
    </w:p>
    <w:p>
      <w:pPr>
        <w:spacing w:line="700" w:lineRule="exact"/>
        <w:rPr>
          <w:rFonts w:hint="eastAsia" w:asciiTheme="minorEastAsia" w:hAnsiTheme="minorEastAsia" w:eastAsiaTheme="minorEastAsia"/>
          <w:color w:val="auto"/>
          <w:spacing w:val="6"/>
          <w:sz w:val="28"/>
          <w:szCs w:val="28"/>
          <w:lang w:eastAsia="zh-CN"/>
        </w:rPr>
      </w:pPr>
      <w:bookmarkStart w:id="16" w:name="_Toc436731499"/>
      <w:r>
        <w:rPr>
          <w:rStyle w:val="32"/>
          <w:rFonts w:hint="eastAsia" w:asciiTheme="minorEastAsia" w:hAnsiTheme="minorEastAsia" w:eastAsiaTheme="minorEastAsia"/>
          <w:color w:val="auto"/>
          <w:spacing w:val="6"/>
          <w:sz w:val="28"/>
          <w:szCs w:val="28"/>
        </w:rPr>
        <w:t>（十三）、估价作业日期：</w:t>
      </w:r>
      <w:bookmarkEnd w:id="16"/>
      <w:r>
        <w:rPr>
          <w:rFonts w:hint="eastAsia" w:asciiTheme="minorEastAsia" w:hAnsiTheme="minorEastAsia" w:eastAsiaTheme="minorEastAsia"/>
          <w:color w:val="auto"/>
          <w:spacing w:val="6"/>
          <w:sz w:val="28"/>
          <w:szCs w:val="28"/>
          <w:lang w:eastAsia="zh-CN"/>
        </w:rPr>
        <w:t>2022年9月26日</w:t>
      </w:r>
      <w:r>
        <w:rPr>
          <w:rFonts w:hint="eastAsia" w:asciiTheme="minorEastAsia" w:hAnsiTheme="minorEastAsia" w:eastAsiaTheme="minorEastAsia"/>
          <w:color w:val="auto"/>
          <w:spacing w:val="6"/>
          <w:sz w:val="28"/>
          <w:szCs w:val="28"/>
        </w:rPr>
        <w:t>-</w:t>
      </w:r>
      <w:r>
        <w:rPr>
          <w:rFonts w:hint="eastAsia" w:asciiTheme="minorEastAsia" w:hAnsiTheme="minorEastAsia" w:eastAsiaTheme="minorEastAsia"/>
          <w:color w:val="auto"/>
          <w:spacing w:val="6"/>
          <w:sz w:val="28"/>
          <w:szCs w:val="28"/>
          <w:lang w:eastAsia="zh-CN"/>
        </w:rPr>
        <w:t>2022年10月8日</w:t>
      </w:r>
    </w:p>
    <w:p>
      <w:pPr>
        <w:spacing w:line="700" w:lineRule="exact"/>
        <w:rPr>
          <w:rFonts w:hint="eastAsia" w:asciiTheme="minorEastAsia" w:hAnsiTheme="minorEastAsia" w:eastAsiaTheme="minorEastAsia"/>
          <w:color w:val="auto"/>
          <w:spacing w:val="6"/>
          <w:sz w:val="28"/>
          <w:szCs w:val="28"/>
          <w:lang w:eastAsia="zh-CN"/>
        </w:rPr>
      </w:pPr>
      <w:bookmarkStart w:id="17" w:name="_Toc436731500"/>
      <w:r>
        <w:rPr>
          <w:rStyle w:val="32"/>
          <w:rFonts w:hint="eastAsia" w:asciiTheme="minorEastAsia" w:hAnsiTheme="minorEastAsia" w:eastAsiaTheme="minorEastAsia"/>
          <w:color w:val="auto"/>
          <w:spacing w:val="6"/>
          <w:sz w:val="28"/>
          <w:szCs w:val="28"/>
        </w:rPr>
        <w:t>（十四）、估价报告应用有效期：</w:t>
      </w:r>
      <w:bookmarkEnd w:id="17"/>
      <w:r>
        <w:rPr>
          <w:rStyle w:val="32"/>
          <w:rFonts w:hint="eastAsia" w:asciiTheme="minorEastAsia" w:hAnsiTheme="minorEastAsia" w:eastAsiaTheme="minorEastAsia"/>
          <w:b w:val="0"/>
          <w:color w:val="auto"/>
          <w:spacing w:val="6"/>
          <w:sz w:val="28"/>
          <w:szCs w:val="28"/>
          <w:lang w:eastAsia="zh-CN"/>
        </w:rPr>
        <w:t>2022年10月8日</w:t>
      </w:r>
      <w:r>
        <w:rPr>
          <w:rFonts w:hint="eastAsia" w:asciiTheme="minorEastAsia" w:hAnsiTheme="minorEastAsia" w:eastAsiaTheme="minorEastAsia"/>
          <w:color w:val="auto"/>
          <w:spacing w:val="6"/>
          <w:sz w:val="28"/>
          <w:szCs w:val="28"/>
        </w:rPr>
        <w:t>-</w:t>
      </w:r>
      <w:r>
        <w:rPr>
          <w:rFonts w:hint="eastAsia" w:asciiTheme="minorEastAsia" w:hAnsiTheme="minorEastAsia" w:eastAsiaTheme="minorEastAsia"/>
          <w:color w:val="auto"/>
          <w:spacing w:val="6"/>
          <w:sz w:val="28"/>
          <w:szCs w:val="28"/>
          <w:lang w:eastAsia="zh-CN"/>
        </w:rPr>
        <w:t>2023年10月7日</w:t>
      </w:r>
    </w:p>
    <w:p>
      <w:pPr>
        <w:tabs>
          <w:tab w:val="left" w:pos="3370"/>
        </w:tabs>
        <w:spacing w:line="360" w:lineRule="auto"/>
        <w:rPr>
          <w:rFonts w:ascii="宋体" w:hAnsi="宋体"/>
          <w:b/>
          <w:color w:val="auto"/>
          <w:sz w:val="44"/>
          <w:szCs w:val="44"/>
        </w:rPr>
      </w:pPr>
      <w:bookmarkStart w:id="18" w:name="_Toc436731501"/>
    </w:p>
    <w:p>
      <w:pPr>
        <w:tabs>
          <w:tab w:val="left" w:pos="3370"/>
        </w:tabs>
        <w:spacing w:line="360" w:lineRule="auto"/>
        <w:ind w:firstLine="3975" w:firstLineChars="900"/>
        <w:rPr>
          <w:rFonts w:hint="eastAsia" w:ascii="宋体" w:hAnsi="宋体"/>
          <w:b/>
          <w:color w:val="auto"/>
          <w:sz w:val="44"/>
          <w:szCs w:val="44"/>
        </w:rPr>
      </w:pPr>
    </w:p>
    <w:p>
      <w:pPr>
        <w:tabs>
          <w:tab w:val="left" w:pos="3370"/>
        </w:tabs>
        <w:spacing w:line="360" w:lineRule="auto"/>
        <w:ind w:firstLine="3975" w:firstLineChars="900"/>
        <w:rPr>
          <w:rFonts w:ascii="宋体" w:hAnsi="宋体"/>
          <w:b/>
          <w:color w:val="auto"/>
          <w:sz w:val="44"/>
          <w:szCs w:val="44"/>
        </w:rPr>
      </w:pPr>
      <w:r>
        <w:rPr>
          <w:rFonts w:hint="eastAsia" w:ascii="宋体" w:hAnsi="宋体"/>
          <w:b/>
          <w:color w:val="auto"/>
          <w:sz w:val="44"/>
          <w:szCs w:val="44"/>
        </w:rPr>
        <w:t>附    件</w:t>
      </w:r>
    </w:p>
    <w:p>
      <w:pPr>
        <w:tabs>
          <w:tab w:val="left" w:pos="3370"/>
        </w:tabs>
        <w:spacing w:line="360" w:lineRule="auto"/>
        <w:ind w:firstLine="3975" w:firstLineChars="900"/>
        <w:rPr>
          <w:rFonts w:ascii="宋体" w:hAnsi="宋体"/>
          <w:b/>
          <w:color w:val="auto"/>
          <w:sz w:val="44"/>
          <w:szCs w:val="44"/>
        </w:rPr>
      </w:pPr>
    </w:p>
    <w:p>
      <w:pPr>
        <w:pStyle w:val="3"/>
        <w:numPr>
          <w:ilvl w:val="0"/>
          <w:numId w:val="13"/>
        </w:numPr>
        <w:spacing w:line="600" w:lineRule="exact"/>
        <w:ind w:left="1470" w:leftChars="700"/>
        <w:rPr>
          <w:rFonts w:ascii="宋体" w:hAnsi="宋体"/>
          <w:b w:val="0"/>
          <w:bCs w:val="0"/>
          <w:color w:val="auto"/>
          <w:sz w:val="28"/>
          <w:szCs w:val="28"/>
        </w:rPr>
      </w:pPr>
      <w:bookmarkStart w:id="19" w:name="_Toc25795"/>
      <w:r>
        <w:rPr>
          <w:rFonts w:hint="eastAsia"/>
          <w:b w:val="0"/>
          <w:bCs w:val="0"/>
          <w:color w:val="auto"/>
          <w:sz w:val="28"/>
          <w:szCs w:val="28"/>
        </w:rPr>
        <w:t>估价对象实地查勘情况和相关照片</w:t>
      </w:r>
    </w:p>
    <w:bookmarkEnd w:id="19"/>
    <w:p>
      <w:pPr>
        <w:pStyle w:val="3"/>
        <w:numPr>
          <w:ilvl w:val="0"/>
          <w:numId w:val="13"/>
        </w:numPr>
        <w:spacing w:line="600" w:lineRule="exact"/>
        <w:ind w:left="1470" w:leftChars="700"/>
        <w:rPr>
          <w:b w:val="0"/>
          <w:bCs w:val="0"/>
          <w:color w:val="auto"/>
          <w:sz w:val="28"/>
          <w:szCs w:val="28"/>
        </w:rPr>
      </w:pPr>
      <w:r>
        <w:rPr>
          <w:rFonts w:hint="eastAsia"/>
          <w:b w:val="0"/>
          <w:bCs w:val="0"/>
          <w:color w:val="auto"/>
          <w:sz w:val="28"/>
          <w:szCs w:val="28"/>
        </w:rPr>
        <w:t>估价对象位置图</w:t>
      </w:r>
    </w:p>
    <w:p>
      <w:pPr>
        <w:pStyle w:val="3"/>
        <w:spacing w:line="600" w:lineRule="exact"/>
        <w:ind w:left="1470" w:leftChars="700"/>
        <w:rPr>
          <w:b w:val="0"/>
          <w:bCs w:val="0"/>
          <w:color w:val="auto"/>
          <w:sz w:val="28"/>
          <w:szCs w:val="28"/>
        </w:rPr>
      </w:pPr>
      <w:bookmarkStart w:id="20" w:name="_Toc19334"/>
      <w:bookmarkStart w:id="21" w:name="_Toc27696"/>
      <w:r>
        <w:rPr>
          <w:rFonts w:hint="eastAsia"/>
          <w:b w:val="0"/>
          <w:bCs w:val="0"/>
          <w:color w:val="auto"/>
          <w:sz w:val="28"/>
          <w:szCs w:val="28"/>
        </w:rPr>
        <w:t>（三）</w:t>
      </w:r>
      <w:bookmarkEnd w:id="20"/>
      <w:r>
        <w:rPr>
          <w:rFonts w:hint="eastAsia"/>
          <w:b w:val="0"/>
          <w:bCs w:val="0"/>
          <w:color w:val="auto"/>
          <w:sz w:val="28"/>
          <w:szCs w:val="28"/>
        </w:rPr>
        <w:t>无专业帮助和未依据相关专业意见说明</w:t>
      </w:r>
    </w:p>
    <w:p>
      <w:pPr>
        <w:pStyle w:val="3"/>
        <w:spacing w:line="600" w:lineRule="exact"/>
        <w:ind w:left="1470" w:leftChars="700"/>
        <w:rPr>
          <w:b w:val="0"/>
          <w:bCs w:val="0"/>
          <w:color w:val="auto"/>
          <w:sz w:val="28"/>
          <w:szCs w:val="28"/>
        </w:rPr>
      </w:pPr>
      <w:r>
        <w:rPr>
          <w:rFonts w:hint="eastAsia"/>
          <w:b w:val="0"/>
          <w:bCs w:val="0"/>
          <w:color w:val="auto"/>
          <w:sz w:val="28"/>
          <w:szCs w:val="28"/>
        </w:rPr>
        <w:t>（四）</w:t>
      </w:r>
      <w:bookmarkEnd w:id="21"/>
      <w:bookmarkStart w:id="22" w:name="_Toc14260"/>
      <w:r>
        <w:rPr>
          <w:rFonts w:hint="eastAsia"/>
          <w:b w:val="0"/>
          <w:bCs w:val="0"/>
          <w:color w:val="auto"/>
          <w:sz w:val="28"/>
          <w:szCs w:val="28"/>
        </w:rPr>
        <w:t>司法评估委托书</w:t>
      </w:r>
      <w:bookmarkEnd w:id="22"/>
    </w:p>
    <w:p>
      <w:pPr>
        <w:pStyle w:val="3"/>
        <w:spacing w:line="600" w:lineRule="exact"/>
        <w:ind w:left="1470" w:leftChars="700"/>
        <w:rPr>
          <w:color w:val="auto"/>
        </w:rPr>
      </w:pPr>
      <w:r>
        <w:rPr>
          <w:rFonts w:hint="eastAsia"/>
          <w:b w:val="0"/>
          <w:bCs w:val="0"/>
          <w:color w:val="auto"/>
          <w:sz w:val="28"/>
          <w:szCs w:val="28"/>
        </w:rPr>
        <w:t>（五）估价对象权属证明复印件</w:t>
      </w:r>
    </w:p>
    <w:p>
      <w:pPr>
        <w:pStyle w:val="3"/>
        <w:spacing w:line="600" w:lineRule="exact"/>
        <w:ind w:left="1470" w:leftChars="700"/>
        <w:rPr>
          <w:b w:val="0"/>
          <w:bCs w:val="0"/>
          <w:color w:val="auto"/>
          <w:sz w:val="28"/>
          <w:szCs w:val="28"/>
        </w:rPr>
      </w:pPr>
      <w:bookmarkStart w:id="23" w:name="_Toc5369"/>
      <w:r>
        <w:rPr>
          <w:rFonts w:hint="eastAsia"/>
          <w:b w:val="0"/>
          <w:bCs w:val="0"/>
          <w:color w:val="auto"/>
          <w:sz w:val="28"/>
          <w:szCs w:val="28"/>
        </w:rPr>
        <w:t>（六）</w:t>
      </w:r>
      <w:bookmarkEnd w:id="23"/>
      <w:r>
        <w:rPr>
          <w:rFonts w:hint="eastAsia"/>
          <w:b w:val="0"/>
          <w:bCs w:val="0"/>
          <w:color w:val="auto"/>
          <w:sz w:val="28"/>
          <w:szCs w:val="28"/>
        </w:rPr>
        <w:t>委托方提供的其它相关资料</w:t>
      </w:r>
    </w:p>
    <w:p>
      <w:pPr>
        <w:pStyle w:val="3"/>
        <w:spacing w:line="600" w:lineRule="exact"/>
        <w:ind w:left="1470" w:leftChars="700"/>
        <w:rPr>
          <w:b w:val="0"/>
          <w:bCs w:val="0"/>
          <w:color w:val="auto"/>
          <w:sz w:val="28"/>
          <w:szCs w:val="28"/>
        </w:rPr>
      </w:pPr>
      <w:bookmarkStart w:id="24" w:name="_Toc437439465"/>
      <w:bookmarkStart w:id="25" w:name="_Toc7938"/>
      <w:r>
        <w:rPr>
          <w:rFonts w:hint="eastAsia"/>
          <w:b w:val="0"/>
          <w:bCs w:val="0"/>
          <w:color w:val="auto"/>
          <w:sz w:val="28"/>
          <w:szCs w:val="28"/>
        </w:rPr>
        <w:t>（七）估价机构营业执照、资质证书和估价师注册证书复印件</w:t>
      </w:r>
      <w:bookmarkEnd w:id="24"/>
      <w:bookmarkEnd w:id="25"/>
    </w:p>
    <w:p>
      <w:pPr>
        <w:spacing w:line="500" w:lineRule="exact"/>
        <w:jc w:val="center"/>
        <w:rPr>
          <w:rFonts w:ascii="仿宋_GB2312" w:hAnsi="仿宋_GB2312" w:eastAsia="仿宋_GB2312" w:cs="仿宋_GB2312"/>
          <w:color w:val="auto"/>
          <w:sz w:val="28"/>
          <w:szCs w:val="28"/>
        </w:rPr>
      </w:pPr>
    </w:p>
    <w:p>
      <w:pPr>
        <w:tabs>
          <w:tab w:val="left" w:pos="5400"/>
        </w:tabs>
        <w:spacing w:line="240" w:lineRule="atLeast"/>
        <w:jc w:val="center"/>
        <w:rPr>
          <w:rFonts w:ascii="宋体" w:hAnsi="宋体"/>
          <w:b/>
          <w:color w:val="auto"/>
          <w:sz w:val="44"/>
          <w:szCs w:val="44"/>
        </w:rPr>
      </w:pPr>
    </w:p>
    <w:p>
      <w:pPr>
        <w:tabs>
          <w:tab w:val="left" w:pos="5400"/>
        </w:tabs>
        <w:spacing w:line="240" w:lineRule="atLeast"/>
        <w:jc w:val="center"/>
        <w:rPr>
          <w:rFonts w:ascii="宋体" w:hAnsi="宋体"/>
          <w:b/>
          <w:color w:val="auto"/>
          <w:sz w:val="44"/>
          <w:szCs w:val="44"/>
        </w:rPr>
      </w:pPr>
    </w:p>
    <w:p>
      <w:pPr>
        <w:tabs>
          <w:tab w:val="left" w:pos="5400"/>
        </w:tabs>
        <w:spacing w:line="240" w:lineRule="atLeast"/>
        <w:jc w:val="center"/>
        <w:rPr>
          <w:rFonts w:ascii="宋体" w:hAnsi="宋体"/>
          <w:b/>
          <w:color w:val="auto"/>
          <w:sz w:val="44"/>
          <w:szCs w:val="44"/>
        </w:rPr>
      </w:pPr>
    </w:p>
    <w:p>
      <w:pPr>
        <w:tabs>
          <w:tab w:val="left" w:pos="5400"/>
        </w:tabs>
        <w:spacing w:line="240" w:lineRule="atLeast"/>
        <w:jc w:val="center"/>
        <w:rPr>
          <w:rFonts w:ascii="宋体" w:hAnsi="宋体"/>
          <w:b/>
          <w:color w:val="auto"/>
          <w:sz w:val="44"/>
          <w:szCs w:val="44"/>
        </w:rPr>
      </w:pPr>
    </w:p>
    <w:p>
      <w:pPr>
        <w:tabs>
          <w:tab w:val="left" w:pos="5400"/>
        </w:tabs>
        <w:spacing w:line="240" w:lineRule="atLeast"/>
        <w:jc w:val="center"/>
        <w:rPr>
          <w:rFonts w:ascii="宋体" w:hAnsi="宋体"/>
          <w:b/>
          <w:color w:val="auto"/>
          <w:sz w:val="44"/>
          <w:szCs w:val="44"/>
        </w:rPr>
      </w:pPr>
    </w:p>
    <w:p>
      <w:pPr>
        <w:tabs>
          <w:tab w:val="left" w:pos="5400"/>
        </w:tabs>
        <w:spacing w:line="240" w:lineRule="atLeast"/>
        <w:jc w:val="center"/>
        <w:rPr>
          <w:rFonts w:ascii="宋体" w:hAnsi="宋体"/>
          <w:b/>
          <w:color w:val="auto"/>
          <w:sz w:val="44"/>
          <w:szCs w:val="44"/>
        </w:rPr>
      </w:pPr>
    </w:p>
    <w:p>
      <w:pPr>
        <w:tabs>
          <w:tab w:val="left" w:pos="5400"/>
        </w:tabs>
        <w:spacing w:line="240" w:lineRule="atLeast"/>
        <w:jc w:val="center"/>
        <w:rPr>
          <w:rFonts w:ascii="宋体" w:hAnsi="宋体"/>
          <w:b/>
          <w:color w:val="auto"/>
          <w:sz w:val="44"/>
          <w:szCs w:val="44"/>
        </w:rPr>
      </w:pPr>
    </w:p>
    <w:p>
      <w:pPr>
        <w:spacing w:line="500" w:lineRule="exact"/>
        <w:jc w:val="center"/>
        <w:rPr>
          <w:rFonts w:ascii="黑体" w:hAnsi="宋体" w:eastAsia="黑体"/>
          <w:b/>
          <w:color w:val="auto"/>
          <w:spacing w:val="40"/>
          <w:sz w:val="48"/>
          <w:szCs w:val="48"/>
        </w:rPr>
      </w:pPr>
    </w:p>
    <w:p>
      <w:pPr>
        <w:ind w:left="420"/>
        <w:jc w:val="center"/>
        <w:rPr>
          <w:rFonts w:ascii="宋体" w:hAnsi="宋体" w:cs="宋体"/>
          <w:b/>
          <w:color w:val="auto"/>
          <w:sz w:val="28"/>
          <w:szCs w:val="28"/>
        </w:rPr>
      </w:pPr>
    </w:p>
    <w:p>
      <w:pPr>
        <w:ind w:left="420"/>
        <w:jc w:val="center"/>
        <w:rPr>
          <w:rFonts w:ascii="宋体" w:hAnsi="宋体" w:cs="宋体"/>
          <w:b/>
          <w:color w:val="auto"/>
          <w:sz w:val="28"/>
          <w:szCs w:val="28"/>
        </w:rPr>
      </w:pPr>
    </w:p>
    <w:p>
      <w:pPr>
        <w:ind w:left="420"/>
        <w:jc w:val="center"/>
        <w:rPr>
          <w:rFonts w:ascii="宋体" w:hAnsi="宋体" w:cs="宋体"/>
          <w:b/>
          <w:color w:val="auto"/>
          <w:sz w:val="28"/>
          <w:szCs w:val="28"/>
        </w:rPr>
      </w:pPr>
    </w:p>
    <w:bookmarkEnd w:id="18"/>
    <w:p>
      <w:pPr>
        <w:rPr>
          <w:rFonts w:ascii="黑体" w:hAnsi="宋体" w:eastAsia="黑体"/>
          <w:b/>
          <w:color w:val="auto"/>
          <w:spacing w:val="40"/>
          <w:sz w:val="18"/>
          <w:szCs w:val="18"/>
        </w:rPr>
      </w:pPr>
    </w:p>
    <w:p>
      <w:pPr>
        <w:rPr>
          <w:rFonts w:ascii="黑体" w:hAnsi="宋体" w:eastAsia="黑体"/>
          <w:b/>
          <w:color w:val="auto"/>
          <w:spacing w:val="40"/>
          <w:sz w:val="18"/>
          <w:szCs w:val="18"/>
        </w:rPr>
      </w:pPr>
    </w:p>
    <w:p>
      <w:pPr>
        <w:jc w:val="center"/>
        <w:rPr>
          <w:rFonts w:hint="eastAsia" w:ascii="黑体" w:hAnsi="宋体" w:eastAsia="黑体"/>
          <w:b/>
          <w:color w:val="auto"/>
          <w:sz w:val="44"/>
          <w:szCs w:val="44"/>
          <w:lang w:eastAsia="zh-CN"/>
        </w:rPr>
      </w:pPr>
      <w:r>
        <w:rPr>
          <w:rFonts w:hint="eastAsia" w:ascii="黑体" w:hAnsi="宋体" w:eastAsia="黑体"/>
          <w:b/>
          <w:color w:val="auto"/>
          <w:sz w:val="44"/>
          <w:szCs w:val="44"/>
        </w:rPr>
        <w:t>委估对象现状图片</w:t>
      </w:r>
      <w:r>
        <w:rPr>
          <w:rFonts w:hint="eastAsia" w:ascii="黑体" w:hAnsi="宋体" w:eastAsia="黑体"/>
          <w:b/>
          <w:color w:val="auto"/>
          <w:sz w:val="44"/>
          <w:szCs w:val="44"/>
          <w:lang w:eastAsia="zh-CN"/>
        </w:rPr>
        <w:t>一</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通江县诺江镇诺江东路1楼为营业用房；-1楼为住宅</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（房权证城字第</w:t>
      </w:r>
      <w:r>
        <w:rPr>
          <w:rFonts w:hint="eastAsia" w:ascii="宋体" w:hAnsi="宋体" w:cs="宋体"/>
          <w:color w:val="auto"/>
          <w:kern w:val="0"/>
          <w:sz w:val="24"/>
          <w:szCs w:val="24"/>
          <w:lang w:val="en-US" w:eastAsia="zh-CN"/>
        </w:rPr>
        <w:t>2012041100181号</w:t>
      </w:r>
      <w:r>
        <w:rPr>
          <w:rFonts w:hint="eastAsia" w:ascii="宋体" w:hAnsi="宋体" w:cs="宋体"/>
          <w:color w:val="auto"/>
          <w:kern w:val="0"/>
          <w:sz w:val="24"/>
          <w:szCs w:val="24"/>
          <w:lang w:eastAsia="zh-CN"/>
        </w:rPr>
        <w:t>）</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营业</w:t>
      </w:r>
    </w:p>
    <w:p>
      <w:pPr>
        <w:rPr>
          <w:rFonts w:ascii="宋体" w:hAnsi="宋体"/>
          <w:color w:val="auto"/>
          <w:szCs w:val="21"/>
        </w:rPr>
      </w:pPr>
      <w:r>
        <w:rPr>
          <w:rFonts w:hint="eastAsia" w:ascii="宋体" w:hAnsi="宋体"/>
          <w:color w:val="auto"/>
          <w:szCs w:val="21"/>
        </w:rPr>
        <w:drawing>
          <wp:inline distT="0" distB="0" distL="114300" distR="114300">
            <wp:extent cx="2753360" cy="2045970"/>
            <wp:effectExtent l="0" t="0" r="8890" b="11430"/>
            <wp:docPr id="11" name="图片 11" descr="\\192.168.1.166\j\2022\2022照片\司法\2022.9.26赵川（通江）\IMG_20220926_152825.jpgIMG_20220926_15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92.168.1.166\j\2022\2022照片\司法\2022.9.26赵川（通江）\IMG_20220926_152825.jpgIMG_20220926_152825"/>
                    <pic:cNvPicPr>
                      <a:picLocks noChangeAspect="1"/>
                    </pic:cNvPicPr>
                  </pic:nvPicPr>
                  <pic:blipFill>
                    <a:blip r:embed="rId7"/>
                    <a:srcRect/>
                    <a:stretch>
                      <a:fillRect/>
                    </a:stretch>
                  </pic:blipFill>
                  <pic:spPr>
                    <a:xfrm>
                      <a:off x="0" y="0"/>
                      <a:ext cx="2753360" cy="2045970"/>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44470" cy="2058670"/>
            <wp:effectExtent l="0" t="0" r="17780" b="17780"/>
            <wp:docPr id="13" name="图片 13" descr="\\192.168.1.166\j\2022\2022照片\司法\2022.9.26赵川（通江）\IMG_20220926_144311.jpgIMG_20220926_14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92.168.1.166\j\2022\2022照片\司法\2022.9.26赵川（通江）\IMG_20220926_144311.jpgIMG_20220926_144311"/>
                    <pic:cNvPicPr>
                      <a:picLocks noChangeAspect="1"/>
                    </pic:cNvPicPr>
                  </pic:nvPicPr>
                  <pic:blipFill>
                    <a:blip r:embed="rId8"/>
                    <a:srcRect/>
                    <a:stretch>
                      <a:fillRect/>
                    </a:stretch>
                  </pic:blipFill>
                  <pic:spPr>
                    <a:xfrm>
                      <a:off x="0" y="0"/>
                      <a:ext cx="2744470" cy="2058670"/>
                    </a:xfrm>
                    <a:prstGeom prst="rect">
                      <a:avLst/>
                    </a:prstGeom>
                  </pic:spPr>
                </pic:pic>
              </a:graphicData>
            </a:graphic>
          </wp:inline>
        </w:drawing>
      </w:r>
    </w:p>
    <w:p>
      <w:pPr>
        <w:ind w:firstLine="1084" w:firstLineChars="300"/>
        <w:rPr>
          <w:rFonts w:ascii="仿宋" w:hAnsi="仿宋" w:eastAsia="仿宋"/>
          <w:b/>
          <w:color w:val="auto"/>
          <w:sz w:val="28"/>
          <w:szCs w:val="28"/>
        </w:rPr>
      </w:pPr>
      <w:r>
        <w:rPr>
          <w:rFonts w:hint="eastAsia" w:ascii="仿宋_GB2312" w:hAnsi="宋体" w:eastAsia="仿宋_GB2312"/>
          <w:b/>
          <w:color w:val="auto"/>
          <w:sz w:val="36"/>
          <w:szCs w:val="36"/>
          <w:lang w:val="en-US" w:eastAsia="zh-CN"/>
        </w:rPr>
        <w:t>估价对象外观</w:t>
      </w:r>
      <w:r>
        <w:rPr>
          <w:rFonts w:hint="eastAsia" w:ascii="宋体" w:hAnsi="宋体"/>
          <w:color w:val="auto"/>
          <w:szCs w:val="21"/>
        </w:rPr>
        <w:t xml:space="preserve">                  </w:t>
      </w:r>
      <w:r>
        <w:rPr>
          <w:rFonts w:hint="eastAsia" w:ascii="宋体" w:hAnsi="宋体"/>
          <w:color w:val="auto"/>
          <w:szCs w:val="21"/>
          <w:lang w:val="en-US" w:eastAsia="zh-CN"/>
        </w:rPr>
        <w:t xml:space="preserve"> </w:t>
      </w:r>
      <w:r>
        <w:rPr>
          <w:rFonts w:hint="eastAsia" w:ascii="宋体" w:hAnsi="宋体"/>
          <w:color w:val="auto"/>
          <w:szCs w:val="21"/>
        </w:rPr>
        <w:t xml:space="preserve">     </w:t>
      </w:r>
      <w:r>
        <w:rPr>
          <w:rFonts w:hint="eastAsia" w:ascii="仿宋_GB2312" w:hAnsi="宋体" w:eastAsia="仿宋_GB2312"/>
          <w:b/>
          <w:color w:val="auto"/>
          <w:sz w:val="36"/>
          <w:szCs w:val="36"/>
          <w:lang w:val="en-US" w:eastAsia="zh-CN"/>
        </w:rPr>
        <w:t xml:space="preserve">   临街状况</w:t>
      </w:r>
      <w:r>
        <w:rPr>
          <w:rFonts w:hint="eastAsia" w:ascii="仿宋" w:hAnsi="仿宋" w:eastAsia="仿宋"/>
          <w:b/>
          <w:color w:val="auto"/>
          <w:sz w:val="28"/>
          <w:szCs w:val="28"/>
          <w:lang w:val="en-US" w:eastAsia="zh-CN"/>
        </w:rPr>
        <w:t xml:space="preserve"> </w:t>
      </w:r>
      <w:r>
        <w:rPr>
          <w:rFonts w:hint="eastAsia" w:ascii="仿宋" w:hAnsi="仿宋" w:eastAsia="仿宋"/>
          <w:b/>
          <w:color w:val="auto"/>
          <w:sz w:val="28"/>
          <w:szCs w:val="28"/>
        </w:rPr>
        <w:t xml:space="preserve">             </w:t>
      </w:r>
    </w:p>
    <w:p>
      <w:pPr>
        <w:rPr>
          <w:rFonts w:ascii="宋体" w:hAnsi="宋体"/>
          <w:color w:val="auto"/>
          <w:szCs w:val="21"/>
        </w:rPr>
      </w:pPr>
      <w:r>
        <w:rPr>
          <w:rFonts w:hint="eastAsia" w:ascii="宋体" w:hAnsi="宋体"/>
          <w:color w:val="auto"/>
          <w:szCs w:val="21"/>
        </w:rPr>
        <w:drawing>
          <wp:inline distT="0" distB="0" distL="114300" distR="114300">
            <wp:extent cx="2782570" cy="2086610"/>
            <wp:effectExtent l="0" t="0" r="17780" b="8890"/>
            <wp:docPr id="6" name="图片 6" descr="\\192.168.1.166\j\2022\2022照片\司法\2022.9.26赵川（通江）\IMG_20220926_144337.jpgIMG_20220926_14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92.168.1.166\j\2022\2022照片\司法\2022.9.26赵川（通江）\IMG_20220926_144337.jpgIMG_20220926_144337"/>
                    <pic:cNvPicPr>
                      <a:picLocks noChangeAspect="1"/>
                    </pic:cNvPicPr>
                  </pic:nvPicPr>
                  <pic:blipFill>
                    <a:blip r:embed="rId9"/>
                    <a:srcRect/>
                    <a:stretch>
                      <a:fillRect/>
                    </a:stretch>
                  </pic:blipFill>
                  <pic:spPr>
                    <a:xfrm>
                      <a:off x="0" y="0"/>
                      <a:ext cx="2782570" cy="2086610"/>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78760" cy="2084070"/>
            <wp:effectExtent l="0" t="0" r="2540" b="11430"/>
            <wp:docPr id="19" name="图片 19" descr="\\192.168.1.166\j\2022\2022照片\司法\2022.9.26赵川（通江）\IMG_20220926_144252.jpgIMG_20220926_144252"/>
            <wp:cNvGraphicFramePr/>
            <a:graphic xmlns:a="http://schemas.openxmlformats.org/drawingml/2006/main">
              <a:graphicData uri="http://schemas.openxmlformats.org/drawingml/2006/picture">
                <pic:pic xmlns:pic="http://schemas.openxmlformats.org/drawingml/2006/picture">
                  <pic:nvPicPr>
                    <pic:cNvPr id="19" name="图片 19" descr="\\192.168.1.166\j\2022\2022照片\司法\2022.9.26赵川（通江）\IMG_20220926_144252.jpgIMG_20220926_144252"/>
                    <pic:cNvPicPr/>
                  </pic:nvPicPr>
                  <pic:blipFill>
                    <a:blip r:embed="rId10"/>
                    <a:srcRect/>
                    <a:stretch>
                      <a:fillRect/>
                    </a:stretch>
                  </pic:blipFill>
                  <pic:spPr>
                    <a:xfrm>
                      <a:off x="0" y="0"/>
                      <a:ext cx="2778760" cy="2084070"/>
                    </a:xfrm>
                    <a:prstGeom prst="rect">
                      <a:avLst/>
                    </a:prstGeom>
                  </pic:spPr>
                </pic:pic>
              </a:graphicData>
            </a:graphic>
          </wp:inline>
        </w:drawing>
      </w:r>
    </w:p>
    <w:p>
      <w:pPr>
        <w:rPr>
          <w:rFonts w:hint="eastAsia" w:ascii="仿宋" w:hAnsi="仿宋" w:eastAsia="仿宋"/>
          <w:b/>
          <w:color w:val="auto"/>
          <w:sz w:val="28"/>
          <w:szCs w:val="28"/>
          <w:lang w:eastAsia="zh-CN"/>
        </w:rPr>
      </w:pPr>
      <w:r>
        <w:rPr>
          <w:rFonts w:hint="eastAsia" w:ascii="宋体" w:hAnsi="宋体"/>
          <w:color w:val="auto"/>
          <w:szCs w:val="21"/>
        </w:rPr>
        <w:t xml:space="preserve">          </w:t>
      </w:r>
      <w:r>
        <w:rPr>
          <w:rFonts w:hint="eastAsia" w:ascii="仿宋_GB2312" w:hAnsi="宋体" w:eastAsia="仿宋_GB2312"/>
          <w:b/>
          <w:color w:val="auto"/>
          <w:sz w:val="36"/>
          <w:szCs w:val="36"/>
          <w:lang w:val="en-US" w:eastAsia="zh-CN"/>
        </w:rPr>
        <w:t>临街状况</w:t>
      </w:r>
      <w:r>
        <w:rPr>
          <w:rFonts w:hint="eastAsia" w:ascii="仿宋" w:hAnsi="仿宋" w:eastAsia="仿宋"/>
          <w:b/>
          <w:color w:val="auto"/>
          <w:sz w:val="28"/>
          <w:szCs w:val="28"/>
          <w:lang w:val="en-US" w:eastAsia="zh-CN"/>
        </w:rPr>
        <w:t xml:space="preserve">  </w:t>
      </w:r>
      <w:r>
        <w:rPr>
          <w:rFonts w:hint="eastAsia" w:ascii="仿宋" w:hAnsi="仿宋" w:eastAsia="仿宋"/>
          <w:b/>
          <w:color w:val="auto"/>
          <w:sz w:val="28"/>
          <w:szCs w:val="28"/>
        </w:rPr>
        <w:t xml:space="preserve">                    </w:t>
      </w:r>
      <w:r>
        <w:rPr>
          <w:rFonts w:hint="eastAsia" w:ascii="仿宋" w:hAnsi="仿宋" w:eastAsia="仿宋"/>
          <w:b/>
          <w:color w:val="auto"/>
          <w:sz w:val="28"/>
          <w:szCs w:val="28"/>
          <w:lang w:val="en-US" w:eastAsia="zh-CN"/>
        </w:rPr>
        <w:t xml:space="preserve">   </w:t>
      </w:r>
      <w:r>
        <w:rPr>
          <w:rFonts w:hint="eastAsia" w:ascii="仿宋_GB2312" w:hAnsi="宋体" w:eastAsia="仿宋_GB2312"/>
          <w:b/>
          <w:color w:val="auto"/>
          <w:sz w:val="36"/>
          <w:szCs w:val="36"/>
          <w:lang w:val="en-US" w:eastAsia="zh-CN"/>
        </w:rPr>
        <w:t>估价对象入口</w:t>
      </w:r>
    </w:p>
    <w:p>
      <w:pPr>
        <w:rPr>
          <w:rFonts w:ascii="宋体" w:hAnsi="宋体"/>
          <w:color w:val="auto"/>
          <w:szCs w:val="21"/>
        </w:rPr>
      </w:pPr>
      <w:r>
        <w:rPr>
          <w:rFonts w:hint="eastAsia" w:ascii="宋体" w:hAnsi="宋体"/>
          <w:color w:val="auto"/>
          <w:szCs w:val="21"/>
        </w:rPr>
        <w:drawing>
          <wp:inline distT="0" distB="0" distL="114300" distR="114300">
            <wp:extent cx="2785110" cy="2088515"/>
            <wp:effectExtent l="0" t="0" r="15240" b="6985"/>
            <wp:docPr id="20" name="图片 20" descr="\\192.168.1.166\j\2022\2022照片\司法\2022.9.26赵川（通江）\IMG_20220926_145119.jpgIMG_20220926_14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92.168.1.166\j\2022\2022照片\司法\2022.9.26赵川（通江）\IMG_20220926_145119.jpgIMG_20220926_145119"/>
                    <pic:cNvPicPr>
                      <a:picLocks noChangeAspect="1"/>
                    </pic:cNvPicPr>
                  </pic:nvPicPr>
                  <pic:blipFill>
                    <a:blip r:embed="rId11"/>
                    <a:srcRect/>
                    <a:stretch>
                      <a:fillRect/>
                    </a:stretch>
                  </pic:blipFill>
                  <pic:spPr>
                    <a:xfrm>
                      <a:off x="0" y="0"/>
                      <a:ext cx="2785110" cy="2088515"/>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76855" cy="2082165"/>
            <wp:effectExtent l="0" t="0" r="4445" b="13335"/>
            <wp:docPr id="21" name="图片 21" descr="\\192.168.1.166\j\2022\2022照片\司法\2022.9.26赵川（通江）\IMG_20220926_144503.jpgIMG_20220926_144503"/>
            <wp:cNvGraphicFramePr/>
            <a:graphic xmlns:a="http://schemas.openxmlformats.org/drawingml/2006/main">
              <a:graphicData uri="http://schemas.openxmlformats.org/drawingml/2006/picture">
                <pic:pic xmlns:pic="http://schemas.openxmlformats.org/drawingml/2006/picture">
                  <pic:nvPicPr>
                    <pic:cNvPr id="21" name="图片 21" descr="\\192.168.1.166\j\2022\2022照片\司法\2022.9.26赵川（通江）\IMG_20220926_144503.jpgIMG_20220926_144503"/>
                    <pic:cNvPicPr/>
                  </pic:nvPicPr>
                  <pic:blipFill>
                    <a:blip r:embed="rId12"/>
                    <a:srcRect/>
                    <a:stretch>
                      <a:fillRect/>
                    </a:stretch>
                  </pic:blipFill>
                  <pic:spPr>
                    <a:xfrm>
                      <a:off x="0" y="0"/>
                      <a:ext cx="2776855" cy="2082165"/>
                    </a:xfrm>
                    <a:prstGeom prst="rect">
                      <a:avLst/>
                    </a:prstGeom>
                  </pic:spPr>
                </pic:pic>
              </a:graphicData>
            </a:graphic>
          </wp:inline>
        </w:drawing>
      </w:r>
    </w:p>
    <w:p>
      <w:pPr>
        <w:ind w:firstLine="1446" w:firstLineChars="400"/>
        <w:jc w:val="left"/>
        <w:rPr>
          <w:rFonts w:ascii="仿宋_GB2312" w:hAnsi="宋体" w:eastAsia="仿宋_GB2312"/>
          <w:b/>
          <w:color w:val="auto"/>
          <w:sz w:val="36"/>
          <w:szCs w:val="36"/>
        </w:rPr>
      </w:pPr>
      <w:r>
        <w:rPr>
          <w:rFonts w:hint="eastAsia" w:ascii="仿宋_GB2312" w:hAnsi="宋体" w:eastAsia="仿宋_GB2312"/>
          <w:b/>
          <w:color w:val="auto"/>
          <w:sz w:val="36"/>
          <w:szCs w:val="36"/>
          <w:lang w:val="en-US" w:eastAsia="zh-CN"/>
        </w:rPr>
        <w:t xml:space="preserve">门牌号 </w:t>
      </w:r>
      <w:r>
        <w:rPr>
          <w:rFonts w:hint="eastAsia" w:ascii="仿宋" w:hAnsi="仿宋" w:eastAsia="仿宋"/>
          <w:b/>
          <w:color w:val="auto"/>
          <w:sz w:val="28"/>
          <w:szCs w:val="28"/>
        </w:rPr>
        <w:t xml:space="preserve">                    </w:t>
      </w:r>
      <w:r>
        <w:rPr>
          <w:rFonts w:hint="eastAsia" w:ascii="仿宋" w:hAnsi="仿宋" w:eastAsia="仿宋"/>
          <w:b/>
          <w:color w:val="auto"/>
          <w:sz w:val="28"/>
          <w:szCs w:val="28"/>
          <w:lang w:val="en-US" w:eastAsia="zh-CN"/>
        </w:rPr>
        <w:t xml:space="preserve">      </w:t>
      </w:r>
      <w:r>
        <w:rPr>
          <w:rFonts w:hint="eastAsia" w:ascii="仿宋_GB2312" w:hAnsi="宋体" w:eastAsia="仿宋_GB2312"/>
          <w:b/>
          <w:color w:val="auto"/>
          <w:sz w:val="36"/>
          <w:szCs w:val="36"/>
          <w:lang w:val="en-US" w:eastAsia="zh-CN"/>
        </w:rPr>
        <w:t>室内状况</w:t>
      </w:r>
    </w:p>
    <w:p>
      <w:pPr>
        <w:rPr>
          <w:rFonts w:ascii="黑体" w:hAnsi="宋体" w:eastAsia="黑体"/>
          <w:b/>
          <w:color w:val="auto"/>
          <w:sz w:val="44"/>
          <w:szCs w:val="44"/>
        </w:rPr>
      </w:pPr>
    </w:p>
    <w:p>
      <w:pPr>
        <w:jc w:val="center"/>
        <w:rPr>
          <w:rFonts w:hint="eastAsia" w:ascii="黑体" w:hAnsi="宋体" w:eastAsia="黑体"/>
          <w:b/>
          <w:color w:val="auto"/>
          <w:sz w:val="44"/>
          <w:szCs w:val="44"/>
          <w:lang w:eastAsia="zh-CN"/>
        </w:rPr>
      </w:pPr>
      <w:r>
        <w:rPr>
          <w:rFonts w:hint="eastAsia" w:ascii="黑体" w:hAnsi="宋体" w:eastAsia="黑体"/>
          <w:b/>
          <w:color w:val="auto"/>
          <w:sz w:val="44"/>
          <w:szCs w:val="44"/>
        </w:rPr>
        <w:t>委估对象现状图片</w:t>
      </w:r>
      <w:r>
        <w:rPr>
          <w:rFonts w:hint="eastAsia" w:ascii="黑体" w:hAnsi="宋体" w:eastAsia="黑体"/>
          <w:b/>
          <w:color w:val="auto"/>
          <w:sz w:val="44"/>
          <w:szCs w:val="44"/>
          <w:lang w:eastAsia="zh-CN"/>
        </w:rPr>
        <w:t>二</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通江县诺江镇诺江东路1楼为营业用房；-1楼为住宅</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（房权证城字第</w:t>
      </w:r>
      <w:r>
        <w:rPr>
          <w:rFonts w:hint="eastAsia" w:ascii="宋体" w:hAnsi="宋体" w:cs="宋体"/>
          <w:color w:val="auto"/>
          <w:kern w:val="0"/>
          <w:sz w:val="24"/>
          <w:szCs w:val="24"/>
          <w:lang w:val="en-US" w:eastAsia="zh-CN"/>
        </w:rPr>
        <w:t>2012041100181号</w:t>
      </w:r>
      <w:r>
        <w:rPr>
          <w:rFonts w:hint="eastAsia" w:ascii="宋体" w:hAnsi="宋体" w:cs="宋体"/>
          <w:color w:val="auto"/>
          <w:kern w:val="0"/>
          <w:sz w:val="24"/>
          <w:szCs w:val="24"/>
          <w:lang w:eastAsia="zh-CN"/>
        </w:rPr>
        <w:t>）</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营业</w:t>
      </w:r>
    </w:p>
    <w:p>
      <w:pPr>
        <w:rPr>
          <w:rFonts w:ascii="宋体" w:hAnsi="宋体"/>
          <w:color w:val="auto"/>
          <w:szCs w:val="21"/>
        </w:rPr>
      </w:pPr>
      <w:r>
        <w:rPr>
          <w:rFonts w:hint="eastAsia" w:ascii="宋体" w:hAnsi="宋体"/>
          <w:color w:val="auto"/>
          <w:szCs w:val="21"/>
        </w:rPr>
        <w:drawing>
          <wp:inline distT="0" distB="0" distL="114300" distR="114300">
            <wp:extent cx="2776855" cy="2082800"/>
            <wp:effectExtent l="0" t="0" r="4445" b="12700"/>
            <wp:docPr id="22" name="图片 22" descr="\\192.168.1.166\j\2022\2022照片\司法\2022.9.26赵川（通江）\IMG_20220926_144525.jpgIMG_20220926_144525"/>
            <wp:cNvGraphicFramePr/>
            <a:graphic xmlns:a="http://schemas.openxmlformats.org/drawingml/2006/main">
              <a:graphicData uri="http://schemas.openxmlformats.org/drawingml/2006/picture">
                <pic:pic xmlns:pic="http://schemas.openxmlformats.org/drawingml/2006/picture">
                  <pic:nvPicPr>
                    <pic:cNvPr id="22" name="图片 22" descr="\\192.168.1.166\j\2022\2022照片\司法\2022.9.26赵川（通江）\IMG_20220926_144525.jpgIMG_20220926_144525"/>
                    <pic:cNvPicPr/>
                  </pic:nvPicPr>
                  <pic:blipFill>
                    <a:blip r:embed="rId13"/>
                    <a:srcRect/>
                    <a:stretch>
                      <a:fillRect/>
                    </a:stretch>
                  </pic:blipFill>
                  <pic:spPr>
                    <a:xfrm>
                      <a:off x="0" y="0"/>
                      <a:ext cx="2776855" cy="2082800"/>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76855" cy="2082800"/>
            <wp:effectExtent l="0" t="0" r="4445" b="12700"/>
            <wp:docPr id="16" name="图片 16" descr="\\192.168.1.166\j\2022\2022照片\司法\2022.9.26赵川（通江）\IMG_20220926_144522.jpgIMG_20220926_144522"/>
            <wp:cNvGraphicFramePr/>
            <a:graphic xmlns:a="http://schemas.openxmlformats.org/drawingml/2006/main">
              <a:graphicData uri="http://schemas.openxmlformats.org/drawingml/2006/picture">
                <pic:pic xmlns:pic="http://schemas.openxmlformats.org/drawingml/2006/picture">
                  <pic:nvPicPr>
                    <pic:cNvPr id="16" name="图片 16" descr="\\192.168.1.166\j\2022\2022照片\司法\2022.9.26赵川（通江）\IMG_20220926_144522.jpgIMG_20220926_144522"/>
                    <pic:cNvPicPr/>
                  </pic:nvPicPr>
                  <pic:blipFill>
                    <a:blip r:embed="rId14"/>
                    <a:srcRect/>
                    <a:stretch>
                      <a:fillRect/>
                    </a:stretch>
                  </pic:blipFill>
                  <pic:spPr>
                    <a:xfrm>
                      <a:off x="0" y="0"/>
                      <a:ext cx="2776855" cy="2082800"/>
                    </a:xfrm>
                    <a:prstGeom prst="rect">
                      <a:avLst/>
                    </a:prstGeom>
                  </pic:spPr>
                </pic:pic>
              </a:graphicData>
            </a:graphic>
          </wp:inline>
        </w:drawing>
      </w:r>
    </w:p>
    <w:p>
      <w:pPr>
        <w:ind w:firstLine="1446" w:firstLineChars="400"/>
        <w:jc w:val="left"/>
        <w:rPr>
          <w:rFonts w:ascii="仿宋" w:hAnsi="仿宋" w:eastAsia="仿宋"/>
          <w:b/>
          <w:color w:val="auto"/>
          <w:sz w:val="28"/>
          <w:szCs w:val="28"/>
        </w:rPr>
      </w:pPr>
      <w:r>
        <w:rPr>
          <w:rFonts w:hint="eastAsia" w:ascii="仿宋_GB2312" w:hAnsi="宋体" w:eastAsia="仿宋_GB2312"/>
          <w:b/>
          <w:color w:val="auto"/>
          <w:sz w:val="36"/>
          <w:szCs w:val="36"/>
          <w:lang w:val="en-US" w:eastAsia="zh-CN"/>
        </w:rPr>
        <w:t xml:space="preserve">室内状况 </w:t>
      </w:r>
      <w:r>
        <w:rPr>
          <w:rFonts w:hint="eastAsia" w:ascii="仿宋" w:hAnsi="仿宋" w:eastAsia="仿宋"/>
          <w:b/>
          <w:color w:val="auto"/>
          <w:sz w:val="28"/>
          <w:szCs w:val="28"/>
        </w:rPr>
        <w:t xml:space="preserve">                  </w:t>
      </w:r>
      <w:r>
        <w:rPr>
          <w:rFonts w:hint="eastAsia" w:ascii="仿宋" w:hAnsi="仿宋" w:eastAsia="仿宋"/>
          <w:b/>
          <w:color w:val="auto"/>
          <w:sz w:val="28"/>
          <w:szCs w:val="28"/>
          <w:lang w:val="en-US" w:eastAsia="zh-CN"/>
        </w:rPr>
        <w:t xml:space="preserve">      </w:t>
      </w:r>
      <w:r>
        <w:rPr>
          <w:rFonts w:hint="eastAsia" w:ascii="仿宋_GB2312" w:hAnsi="宋体" w:eastAsia="仿宋_GB2312"/>
          <w:b/>
          <w:color w:val="auto"/>
          <w:sz w:val="36"/>
          <w:szCs w:val="36"/>
          <w:lang w:val="en-US" w:eastAsia="zh-CN"/>
        </w:rPr>
        <w:t>室内状况</w:t>
      </w: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rPr>
      </w:pPr>
    </w:p>
    <w:p>
      <w:pPr>
        <w:jc w:val="center"/>
        <w:rPr>
          <w:rFonts w:hint="eastAsia" w:ascii="黑体" w:hAnsi="宋体" w:eastAsia="黑体"/>
          <w:b/>
          <w:color w:val="auto"/>
          <w:sz w:val="44"/>
          <w:szCs w:val="44"/>
          <w:lang w:eastAsia="zh-CN"/>
        </w:rPr>
      </w:pPr>
      <w:r>
        <w:rPr>
          <w:rFonts w:hint="eastAsia" w:ascii="黑体" w:hAnsi="宋体" w:eastAsia="黑体"/>
          <w:b/>
          <w:color w:val="auto"/>
          <w:sz w:val="44"/>
          <w:szCs w:val="44"/>
        </w:rPr>
        <w:t>委估对象现状图片</w:t>
      </w:r>
      <w:r>
        <w:rPr>
          <w:rFonts w:hint="eastAsia" w:ascii="黑体" w:hAnsi="宋体" w:eastAsia="黑体"/>
          <w:b/>
          <w:color w:val="auto"/>
          <w:sz w:val="44"/>
          <w:szCs w:val="44"/>
          <w:lang w:eastAsia="zh-CN"/>
        </w:rPr>
        <w:t>三</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通江县诺江镇诺江东路1楼为营业用房；-1楼为住宅</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（房权证城字第</w:t>
      </w:r>
      <w:r>
        <w:rPr>
          <w:rFonts w:hint="eastAsia" w:ascii="宋体" w:hAnsi="宋体" w:cs="宋体"/>
          <w:color w:val="auto"/>
          <w:kern w:val="0"/>
          <w:sz w:val="24"/>
          <w:szCs w:val="24"/>
          <w:lang w:val="en-US" w:eastAsia="zh-CN"/>
        </w:rPr>
        <w:t>2012041100181号</w:t>
      </w:r>
      <w:r>
        <w:rPr>
          <w:rFonts w:hint="eastAsia" w:ascii="宋体" w:hAnsi="宋体" w:cs="宋体"/>
          <w:color w:val="auto"/>
          <w:kern w:val="0"/>
          <w:sz w:val="24"/>
          <w:szCs w:val="24"/>
          <w:lang w:eastAsia="zh-CN"/>
        </w:rPr>
        <w:t>）</w:t>
      </w:r>
    </w:p>
    <w:p>
      <w:pPr>
        <w:jc w:val="center"/>
        <w:rPr>
          <w:rFonts w:hint="eastAsia" w:ascii="黑体" w:hAnsi="宋体" w:eastAsia="黑体"/>
          <w:b/>
          <w:color w:val="auto"/>
          <w:sz w:val="24"/>
          <w:szCs w:val="24"/>
          <w:lang w:eastAsia="zh-CN"/>
        </w:rPr>
      </w:pPr>
      <w:r>
        <w:rPr>
          <w:rFonts w:hint="eastAsia" w:ascii="宋体" w:hAnsi="宋体" w:cs="宋体"/>
          <w:color w:val="auto"/>
          <w:kern w:val="0"/>
          <w:sz w:val="24"/>
          <w:szCs w:val="24"/>
          <w:lang w:eastAsia="zh-CN"/>
        </w:rPr>
        <w:t>住宅</w:t>
      </w:r>
    </w:p>
    <w:p>
      <w:pPr>
        <w:rPr>
          <w:rFonts w:ascii="宋体" w:hAnsi="宋体"/>
          <w:color w:val="auto"/>
          <w:szCs w:val="21"/>
        </w:rPr>
      </w:pPr>
      <w:r>
        <w:rPr>
          <w:rFonts w:hint="eastAsia" w:ascii="宋体" w:hAnsi="宋体"/>
          <w:color w:val="auto"/>
          <w:szCs w:val="21"/>
        </w:rPr>
        <w:drawing>
          <wp:inline distT="0" distB="0" distL="114300" distR="114300">
            <wp:extent cx="2776855" cy="2082165"/>
            <wp:effectExtent l="0" t="0" r="4445" b="13335"/>
            <wp:docPr id="2" name="图片 2" descr="\\192.168.1.166\j\2022\2022照片\司法\2022.9.26赵川（通江）\IMG_20220926_152825.jpgIMG_20220926_152825"/>
            <wp:cNvGraphicFramePr/>
            <a:graphic xmlns:a="http://schemas.openxmlformats.org/drawingml/2006/main">
              <a:graphicData uri="http://schemas.openxmlformats.org/drawingml/2006/picture">
                <pic:pic xmlns:pic="http://schemas.openxmlformats.org/drawingml/2006/picture">
                  <pic:nvPicPr>
                    <pic:cNvPr id="2" name="图片 2" descr="\\192.168.1.166\j\2022\2022照片\司法\2022.9.26赵川（通江）\IMG_20220926_152825.jpgIMG_20220926_152825"/>
                    <pic:cNvPicPr/>
                  </pic:nvPicPr>
                  <pic:blipFill>
                    <a:blip r:embed="rId7"/>
                    <a:srcRect/>
                    <a:stretch>
                      <a:fillRect/>
                    </a:stretch>
                  </pic:blipFill>
                  <pic:spPr>
                    <a:xfrm>
                      <a:off x="0" y="0"/>
                      <a:ext cx="2776855" cy="2082165"/>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76855" cy="2082165"/>
            <wp:effectExtent l="0" t="0" r="4445" b="13335"/>
            <wp:docPr id="3" name="图片 3" descr="\\192.168.1.166\j\2022\2022照片\司法\2022.9.26赵川（通江）\IMG_20220926_150412.jpgIMG_20220926_150412"/>
            <wp:cNvGraphicFramePr/>
            <a:graphic xmlns:a="http://schemas.openxmlformats.org/drawingml/2006/main">
              <a:graphicData uri="http://schemas.openxmlformats.org/drawingml/2006/picture">
                <pic:pic xmlns:pic="http://schemas.openxmlformats.org/drawingml/2006/picture">
                  <pic:nvPicPr>
                    <pic:cNvPr id="3" name="图片 3" descr="\\192.168.1.166\j\2022\2022照片\司法\2022.9.26赵川（通江）\IMG_20220926_150412.jpgIMG_20220926_150412"/>
                    <pic:cNvPicPr/>
                  </pic:nvPicPr>
                  <pic:blipFill>
                    <a:blip r:embed="rId15"/>
                    <a:srcRect/>
                    <a:stretch>
                      <a:fillRect/>
                    </a:stretch>
                  </pic:blipFill>
                  <pic:spPr>
                    <a:xfrm>
                      <a:off x="0" y="0"/>
                      <a:ext cx="2776855" cy="2082165"/>
                    </a:xfrm>
                    <a:prstGeom prst="rect">
                      <a:avLst/>
                    </a:prstGeom>
                  </pic:spPr>
                </pic:pic>
              </a:graphicData>
            </a:graphic>
          </wp:inline>
        </w:drawing>
      </w:r>
    </w:p>
    <w:p>
      <w:pPr>
        <w:ind w:firstLine="1446" w:firstLineChars="400"/>
        <w:jc w:val="left"/>
        <w:rPr>
          <w:rFonts w:hint="eastAsia" w:ascii="仿宋_GB2312" w:hAnsi="宋体" w:eastAsia="仿宋_GB2312"/>
          <w:b/>
          <w:color w:val="auto"/>
          <w:sz w:val="36"/>
          <w:szCs w:val="36"/>
          <w:lang w:val="en-US" w:eastAsia="zh-CN"/>
        </w:rPr>
      </w:pPr>
      <w:r>
        <w:rPr>
          <w:rFonts w:hint="eastAsia" w:ascii="仿宋_GB2312" w:hAnsi="宋体" w:eastAsia="仿宋_GB2312"/>
          <w:b/>
          <w:color w:val="auto"/>
          <w:sz w:val="36"/>
          <w:szCs w:val="36"/>
          <w:lang w:val="en-US" w:eastAsia="zh-CN"/>
        </w:rPr>
        <w:t>估价对象外观</w:t>
      </w:r>
      <w:r>
        <w:rPr>
          <w:rFonts w:hint="eastAsia" w:ascii="宋体" w:hAnsi="宋体"/>
          <w:color w:val="auto"/>
          <w:szCs w:val="21"/>
        </w:rPr>
        <w:t xml:space="preserve"> </w:t>
      </w:r>
      <w:r>
        <w:rPr>
          <w:rFonts w:hint="eastAsia" w:ascii="仿宋_GB2312" w:hAnsi="宋体" w:eastAsia="仿宋_GB2312"/>
          <w:b/>
          <w:color w:val="auto"/>
          <w:sz w:val="36"/>
          <w:szCs w:val="36"/>
          <w:lang w:val="en-US" w:eastAsia="zh-CN"/>
        </w:rPr>
        <w:t xml:space="preserve"> </w:t>
      </w:r>
      <w:r>
        <w:rPr>
          <w:rFonts w:hint="eastAsia" w:ascii="仿宋" w:hAnsi="仿宋" w:eastAsia="仿宋"/>
          <w:b/>
          <w:color w:val="auto"/>
          <w:sz w:val="28"/>
          <w:szCs w:val="28"/>
        </w:rPr>
        <w:t xml:space="preserve">                 </w:t>
      </w:r>
      <w:r>
        <w:rPr>
          <w:rFonts w:hint="eastAsia" w:ascii="仿宋_GB2312" w:hAnsi="宋体" w:eastAsia="仿宋_GB2312"/>
          <w:b/>
          <w:color w:val="auto"/>
          <w:sz w:val="36"/>
          <w:szCs w:val="36"/>
          <w:lang w:val="en-US" w:eastAsia="zh-CN"/>
        </w:rPr>
        <w:t>入户门</w:t>
      </w:r>
    </w:p>
    <w:p>
      <w:pPr>
        <w:rPr>
          <w:rFonts w:ascii="宋体" w:hAnsi="宋体"/>
          <w:color w:val="auto"/>
          <w:szCs w:val="21"/>
        </w:rPr>
      </w:pPr>
      <w:r>
        <w:rPr>
          <w:rFonts w:hint="eastAsia" w:ascii="宋体" w:hAnsi="宋体"/>
          <w:color w:val="auto"/>
          <w:szCs w:val="21"/>
        </w:rPr>
        <w:drawing>
          <wp:inline distT="0" distB="0" distL="114300" distR="114300">
            <wp:extent cx="2776855" cy="2082165"/>
            <wp:effectExtent l="0" t="0" r="4445" b="13335"/>
            <wp:docPr id="7" name="图片 7" descr="\\192.168.1.166\j\2022\2022照片\司法\2022.9.26赵川（通江）\IMG_20220926_150426.jpgIMG_20220926_150426"/>
            <wp:cNvGraphicFramePr/>
            <a:graphic xmlns:a="http://schemas.openxmlformats.org/drawingml/2006/main">
              <a:graphicData uri="http://schemas.openxmlformats.org/drawingml/2006/picture">
                <pic:pic xmlns:pic="http://schemas.openxmlformats.org/drawingml/2006/picture">
                  <pic:nvPicPr>
                    <pic:cNvPr id="7" name="图片 7" descr="\\192.168.1.166\j\2022\2022照片\司法\2022.9.26赵川（通江）\IMG_20220926_150426.jpgIMG_20220926_150426"/>
                    <pic:cNvPicPr/>
                  </pic:nvPicPr>
                  <pic:blipFill>
                    <a:blip r:embed="rId16"/>
                    <a:srcRect/>
                    <a:stretch>
                      <a:fillRect/>
                    </a:stretch>
                  </pic:blipFill>
                  <pic:spPr>
                    <a:xfrm>
                      <a:off x="0" y="0"/>
                      <a:ext cx="2776855" cy="2082165"/>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76855" cy="2082165"/>
            <wp:effectExtent l="0" t="0" r="4445" b="13335"/>
            <wp:docPr id="8" name="图片 8" descr="\\192.168.1.166\j\2022\2022照片\司法\2022.9.26赵川（通江）\IMG_20220926_150946.jpgIMG_20220926_150946"/>
            <wp:cNvGraphicFramePr/>
            <a:graphic xmlns:a="http://schemas.openxmlformats.org/drawingml/2006/main">
              <a:graphicData uri="http://schemas.openxmlformats.org/drawingml/2006/picture">
                <pic:pic xmlns:pic="http://schemas.openxmlformats.org/drawingml/2006/picture">
                  <pic:nvPicPr>
                    <pic:cNvPr id="8" name="图片 8" descr="\\192.168.1.166\j\2022\2022照片\司法\2022.9.26赵川（通江）\IMG_20220926_150946.jpgIMG_20220926_150946"/>
                    <pic:cNvPicPr/>
                  </pic:nvPicPr>
                  <pic:blipFill>
                    <a:blip r:embed="rId17"/>
                    <a:srcRect/>
                    <a:stretch>
                      <a:fillRect/>
                    </a:stretch>
                  </pic:blipFill>
                  <pic:spPr>
                    <a:xfrm>
                      <a:off x="0" y="0"/>
                      <a:ext cx="2776855" cy="2082165"/>
                    </a:xfrm>
                    <a:prstGeom prst="rect">
                      <a:avLst/>
                    </a:prstGeom>
                  </pic:spPr>
                </pic:pic>
              </a:graphicData>
            </a:graphic>
          </wp:inline>
        </w:drawing>
      </w:r>
    </w:p>
    <w:p>
      <w:pPr>
        <w:ind w:firstLine="1446" w:firstLineChars="400"/>
        <w:jc w:val="left"/>
        <w:rPr>
          <w:rFonts w:hint="eastAsia" w:ascii="仿宋_GB2312" w:hAnsi="宋体" w:eastAsia="仿宋_GB2312"/>
          <w:b/>
          <w:color w:val="auto"/>
          <w:sz w:val="36"/>
          <w:szCs w:val="36"/>
          <w:lang w:val="en-US" w:eastAsia="zh-CN"/>
        </w:rPr>
      </w:pPr>
      <w:r>
        <w:rPr>
          <w:rFonts w:hint="eastAsia" w:ascii="仿宋_GB2312" w:hAnsi="宋体" w:eastAsia="仿宋_GB2312"/>
          <w:b/>
          <w:color w:val="auto"/>
          <w:sz w:val="36"/>
          <w:szCs w:val="36"/>
          <w:lang w:val="en-US" w:eastAsia="zh-CN"/>
        </w:rPr>
        <w:t xml:space="preserve">室内状况  </w:t>
      </w:r>
      <w:r>
        <w:rPr>
          <w:rFonts w:hint="eastAsia" w:ascii="仿宋" w:hAnsi="仿宋" w:eastAsia="仿宋"/>
          <w:b/>
          <w:color w:val="auto"/>
          <w:sz w:val="28"/>
          <w:szCs w:val="28"/>
        </w:rPr>
        <w:t xml:space="preserve">                  </w:t>
      </w:r>
      <w:r>
        <w:rPr>
          <w:rFonts w:hint="eastAsia" w:ascii="仿宋" w:hAnsi="仿宋" w:eastAsia="仿宋"/>
          <w:b/>
          <w:color w:val="auto"/>
          <w:sz w:val="28"/>
          <w:szCs w:val="28"/>
          <w:lang w:val="en-US" w:eastAsia="zh-CN"/>
        </w:rPr>
        <w:t xml:space="preserve">    </w:t>
      </w:r>
      <w:r>
        <w:rPr>
          <w:rFonts w:hint="eastAsia" w:ascii="仿宋_GB2312" w:hAnsi="宋体" w:eastAsia="仿宋_GB2312"/>
          <w:b/>
          <w:color w:val="auto"/>
          <w:sz w:val="36"/>
          <w:szCs w:val="36"/>
          <w:lang w:val="en-US" w:eastAsia="zh-CN"/>
        </w:rPr>
        <w:t xml:space="preserve">室内状况 </w:t>
      </w: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z w:val="44"/>
          <w:szCs w:val="44"/>
          <w:lang w:eastAsia="zh-CN"/>
        </w:rPr>
      </w:pPr>
      <w:r>
        <w:rPr>
          <w:rFonts w:hint="eastAsia" w:ascii="黑体" w:hAnsi="宋体" w:eastAsia="黑体"/>
          <w:b/>
          <w:color w:val="auto"/>
          <w:sz w:val="44"/>
          <w:szCs w:val="44"/>
        </w:rPr>
        <w:t>委估对象现状图片</w:t>
      </w:r>
      <w:r>
        <w:rPr>
          <w:rFonts w:hint="eastAsia" w:ascii="黑体" w:hAnsi="宋体" w:eastAsia="黑体"/>
          <w:b/>
          <w:color w:val="auto"/>
          <w:sz w:val="44"/>
          <w:szCs w:val="44"/>
          <w:lang w:eastAsia="zh-CN"/>
        </w:rPr>
        <w:t>四</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通江县诺江镇诺江东路1楼为营业用房；-1楼为住宅</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（房权证城字第</w:t>
      </w:r>
      <w:r>
        <w:rPr>
          <w:rFonts w:hint="eastAsia" w:ascii="宋体" w:hAnsi="宋体" w:cs="宋体"/>
          <w:color w:val="auto"/>
          <w:kern w:val="0"/>
          <w:sz w:val="24"/>
          <w:szCs w:val="24"/>
          <w:lang w:val="en-US" w:eastAsia="zh-CN"/>
        </w:rPr>
        <w:t>2012041100168号</w:t>
      </w:r>
      <w:r>
        <w:rPr>
          <w:rFonts w:hint="eastAsia" w:ascii="宋体" w:hAnsi="宋体" w:cs="宋体"/>
          <w:color w:val="auto"/>
          <w:kern w:val="0"/>
          <w:sz w:val="24"/>
          <w:szCs w:val="24"/>
          <w:lang w:eastAsia="zh-CN"/>
        </w:rPr>
        <w:t>）</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营业</w:t>
      </w:r>
    </w:p>
    <w:p>
      <w:pPr>
        <w:rPr>
          <w:rFonts w:ascii="宋体" w:hAnsi="宋体"/>
          <w:color w:val="auto"/>
          <w:szCs w:val="21"/>
        </w:rPr>
      </w:pPr>
      <w:r>
        <w:rPr>
          <w:rFonts w:hint="eastAsia" w:ascii="宋体" w:hAnsi="宋体"/>
          <w:color w:val="auto"/>
          <w:szCs w:val="21"/>
        </w:rPr>
        <w:drawing>
          <wp:inline distT="0" distB="0" distL="114300" distR="114300">
            <wp:extent cx="2753360" cy="2045970"/>
            <wp:effectExtent l="0" t="0" r="8890" b="11430"/>
            <wp:docPr id="5" name="图片 5" descr="\\192.168.1.166\j\2022\2022照片\司法\2022.9.26赵川（通江）\IMG_20220926_152825.jpgIMG_20220926_15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92.168.1.166\j\2022\2022照片\司法\2022.9.26赵川（通江）\IMG_20220926_152825.jpgIMG_20220926_152825"/>
                    <pic:cNvPicPr>
                      <a:picLocks noChangeAspect="1"/>
                    </pic:cNvPicPr>
                  </pic:nvPicPr>
                  <pic:blipFill>
                    <a:blip r:embed="rId7"/>
                    <a:srcRect/>
                    <a:stretch>
                      <a:fillRect/>
                    </a:stretch>
                  </pic:blipFill>
                  <pic:spPr>
                    <a:xfrm>
                      <a:off x="0" y="0"/>
                      <a:ext cx="2753360" cy="2045970"/>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44470" cy="2058670"/>
            <wp:effectExtent l="0" t="0" r="17780" b="17780"/>
            <wp:docPr id="9" name="图片 9" descr="\\192.168.1.166\j\2022\2022照片\司法\2022.9.26赵川（通江）\IMG_20220926_144311.jpgIMG_20220926_14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92.168.1.166\j\2022\2022照片\司法\2022.9.26赵川（通江）\IMG_20220926_144311.jpgIMG_20220926_144311"/>
                    <pic:cNvPicPr>
                      <a:picLocks noChangeAspect="1"/>
                    </pic:cNvPicPr>
                  </pic:nvPicPr>
                  <pic:blipFill>
                    <a:blip r:embed="rId8"/>
                    <a:srcRect/>
                    <a:stretch>
                      <a:fillRect/>
                    </a:stretch>
                  </pic:blipFill>
                  <pic:spPr>
                    <a:xfrm>
                      <a:off x="0" y="0"/>
                      <a:ext cx="2744470" cy="2058670"/>
                    </a:xfrm>
                    <a:prstGeom prst="rect">
                      <a:avLst/>
                    </a:prstGeom>
                  </pic:spPr>
                </pic:pic>
              </a:graphicData>
            </a:graphic>
          </wp:inline>
        </w:drawing>
      </w:r>
    </w:p>
    <w:p>
      <w:pPr>
        <w:ind w:firstLine="1084" w:firstLineChars="300"/>
        <w:rPr>
          <w:rFonts w:ascii="仿宋" w:hAnsi="仿宋" w:eastAsia="仿宋"/>
          <w:b/>
          <w:color w:val="auto"/>
          <w:sz w:val="28"/>
          <w:szCs w:val="28"/>
        </w:rPr>
      </w:pPr>
      <w:r>
        <w:rPr>
          <w:rFonts w:hint="eastAsia" w:ascii="仿宋_GB2312" w:hAnsi="宋体" w:eastAsia="仿宋_GB2312"/>
          <w:b/>
          <w:color w:val="auto"/>
          <w:sz w:val="36"/>
          <w:szCs w:val="36"/>
          <w:lang w:val="en-US" w:eastAsia="zh-CN"/>
        </w:rPr>
        <w:t>估价对象外观</w:t>
      </w:r>
      <w:r>
        <w:rPr>
          <w:rFonts w:hint="eastAsia" w:ascii="宋体" w:hAnsi="宋体"/>
          <w:color w:val="auto"/>
          <w:szCs w:val="21"/>
        </w:rPr>
        <w:t xml:space="preserve">                  </w:t>
      </w:r>
      <w:r>
        <w:rPr>
          <w:rFonts w:hint="eastAsia" w:ascii="宋体" w:hAnsi="宋体"/>
          <w:color w:val="auto"/>
          <w:szCs w:val="21"/>
          <w:lang w:val="en-US" w:eastAsia="zh-CN"/>
        </w:rPr>
        <w:t xml:space="preserve"> </w:t>
      </w:r>
      <w:r>
        <w:rPr>
          <w:rFonts w:hint="eastAsia" w:ascii="宋体" w:hAnsi="宋体"/>
          <w:color w:val="auto"/>
          <w:szCs w:val="21"/>
        </w:rPr>
        <w:t xml:space="preserve">     </w:t>
      </w:r>
      <w:r>
        <w:rPr>
          <w:rFonts w:hint="eastAsia" w:ascii="仿宋_GB2312" w:hAnsi="宋体" w:eastAsia="仿宋_GB2312"/>
          <w:b/>
          <w:color w:val="auto"/>
          <w:sz w:val="36"/>
          <w:szCs w:val="36"/>
          <w:lang w:val="en-US" w:eastAsia="zh-CN"/>
        </w:rPr>
        <w:t xml:space="preserve">   临街状况</w:t>
      </w:r>
      <w:r>
        <w:rPr>
          <w:rFonts w:hint="eastAsia" w:ascii="仿宋" w:hAnsi="仿宋" w:eastAsia="仿宋"/>
          <w:b/>
          <w:color w:val="auto"/>
          <w:sz w:val="28"/>
          <w:szCs w:val="28"/>
          <w:lang w:val="en-US" w:eastAsia="zh-CN"/>
        </w:rPr>
        <w:t xml:space="preserve"> </w:t>
      </w:r>
      <w:r>
        <w:rPr>
          <w:rFonts w:hint="eastAsia" w:ascii="仿宋" w:hAnsi="仿宋" w:eastAsia="仿宋"/>
          <w:b/>
          <w:color w:val="auto"/>
          <w:sz w:val="28"/>
          <w:szCs w:val="28"/>
        </w:rPr>
        <w:t xml:space="preserve">             </w:t>
      </w:r>
    </w:p>
    <w:p>
      <w:pPr>
        <w:rPr>
          <w:rFonts w:ascii="宋体" w:hAnsi="宋体"/>
          <w:color w:val="auto"/>
          <w:szCs w:val="21"/>
        </w:rPr>
      </w:pPr>
      <w:r>
        <w:rPr>
          <w:rFonts w:hint="eastAsia" w:ascii="宋体" w:hAnsi="宋体"/>
          <w:color w:val="auto"/>
          <w:szCs w:val="21"/>
        </w:rPr>
        <w:drawing>
          <wp:inline distT="0" distB="0" distL="114300" distR="114300">
            <wp:extent cx="2782570" cy="2086610"/>
            <wp:effectExtent l="0" t="0" r="17780" b="8890"/>
            <wp:docPr id="10" name="图片 10" descr="\\192.168.1.166\j\2022\2022照片\司法\2022.9.26赵川（通江）\IMG_20220926_144337.jpgIMG_20220926_14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92.168.1.166\j\2022\2022照片\司法\2022.9.26赵川（通江）\IMG_20220926_144337.jpgIMG_20220926_144337"/>
                    <pic:cNvPicPr>
                      <a:picLocks noChangeAspect="1"/>
                    </pic:cNvPicPr>
                  </pic:nvPicPr>
                  <pic:blipFill>
                    <a:blip r:embed="rId9"/>
                    <a:srcRect/>
                    <a:stretch>
                      <a:fillRect/>
                    </a:stretch>
                  </pic:blipFill>
                  <pic:spPr>
                    <a:xfrm>
                      <a:off x="0" y="0"/>
                      <a:ext cx="2782570" cy="2086610"/>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78760" cy="2084070"/>
            <wp:effectExtent l="0" t="0" r="2540" b="11430"/>
            <wp:docPr id="12" name="图片 12" descr="\\192.168.1.166\j\2022\2022照片\司法\2022.9.26赵川（通江）\IMG_20220926_144238.jpgIMG_20220926_144238"/>
            <wp:cNvGraphicFramePr/>
            <a:graphic xmlns:a="http://schemas.openxmlformats.org/drawingml/2006/main">
              <a:graphicData uri="http://schemas.openxmlformats.org/drawingml/2006/picture">
                <pic:pic xmlns:pic="http://schemas.openxmlformats.org/drawingml/2006/picture">
                  <pic:nvPicPr>
                    <pic:cNvPr id="12" name="图片 12" descr="\\192.168.1.166\j\2022\2022照片\司法\2022.9.26赵川（通江）\IMG_20220926_144238.jpgIMG_20220926_144238"/>
                    <pic:cNvPicPr/>
                  </pic:nvPicPr>
                  <pic:blipFill>
                    <a:blip r:embed="rId18"/>
                    <a:srcRect/>
                    <a:stretch>
                      <a:fillRect/>
                    </a:stretch>
                  </pic:blipFill>
                  <pic:spPr>
                    <a:xfrm>
                      <a:off x="0" y="0"/>
                      <a:ext cx="2778760" cy="2084070"/>
                    </a:xfrm>
                    <a:prstGeom prst="rect">
                      <a:avLst/>
                    </a:prstGeom>
                  </pic:spPr>
                </pic:pic>
              </a:graphicData>
            </a:graphic>
          </wp:inline>
        </w:drawing>
      </w:r>
    </w:p>
    <w:p>
      <w:pPr>
        <w:rPr>
          <w:rFonts w:hint="eastAsia" w:ascii="仿宋" w:hAnsi="仿宋" w:eastAsia="仿宋"/>
          <w:b/>
          <w:color w:val="auto"/>
          <w:sz w:val="28"/>
          <w:szCs w:val="28"/>
          <w:lang w:eastAsia="zh-CN"/>
        </w:rPr>
      </w:pPr>
      <w:r>
        <w:rPr>
          <w:rFonts w:hint="eastAsia" w:ascii="宋体" w:hAnsi="宋体"/>
          <w:color w:val="auto"/>
          <w:szCs w:val="21"/>
        </w:rPr>
        <w:t xml:space="preserve">          </w:t>
      </w:r>
      <w:r>
        <w:rPr>
          <w:rFonts w:hint="eastAsia" w:ascii="仿宋_GB2312" w:hAnsi="宋体" w:eastAsia="仿宋_GB2312"/>
          <w:b/>
          <w:color w:val="auto"/>
          <w:sz w:val="36"/>
          <w:szCs w:val="36"/>
          <w:lang w:val="en-US" w:eastAsia="zh-CN"/>
        </w:rPr>
        <w:t>临街状况</w:t>
      </w:r>
      <w:r>
        <w:rPr>
          <w:rFonts w:hint="eastAsia" w:ascii="仿宋" w:hAnsi="仿宋" w:eastAsia="仿宋"/>
          <w:b/>
          <w:color w:val="auto"/>
          <w:sz w:val="28"/>
          <w:szCs w:val="28"/>
          <w:lang w:val="en-US" w:eastAsia="zh-CN"/>
        </w:rPr>
        <w:t xml:space="preserve">  </w:t>
      </w:r>
      <w:r>
        <w:rPr>
          <w:rFonts w:hint="eastAsia" w:ascii="仿宋" w:hAnsi="仿宋" w:eastAsia="仿宋"/>
          <w:b/>
          <w:color w:val="auto"/>
          <w:sz w:val="28"/>
          <w:szCs w:val="28"/>
        </w:rPr>
        <w:t xml:space="preserve">                    </w:t>
      </w:r>
      <w:r>
        <w:rPr>
          <w:rFonts w:hint="eastAsia" w:ascii="仿宋" w:hAnsi="仿宋" w:eastAsia="仿宋"/>
          <w:b/>
          <w:color w:val="auto"/>
          <w:sz w:val="28"/>
          <w:szCs w:val="28"/>
          <w:lang w:val="en-US" w:eastAsia="zh-CN"/>
        </w:rPr>
        <w:t xml:space="preserve">   </w:t>
      </w:r>
      <w:r>
        <w:rPr>
          <w:rFonts w:hint="eastAsia" w:ascii="仿宋_GB2312" w:hAnsi="宋体" w:eastAsia="仿宋_GB2312"/>
          <w:b/>
          <w:color w:val="auto"/>
          <w:sz w:val="36"/>
          <w:szCs w:val="36"/>
          <w:lang w:val="en-US" w:eastAsia="zh-CN"/>
        </w:rPr>
        <w:t>估价对象入口</w:t>
      </w:r>
    </w:p>
    <w:p>
      <w:pPr>
        <w:rPr>
          <w:rFonts w:ascii="宋体" w:hAnsi="宋体"/>
          <w:color w:val="auto"/>
          <w:szCs w:val="21"/>
        </w:rPr>
      </w:pPr>
      <w:r>
        <w:rPr>
          <w:rFonts w:hint="eastAsia" w:ascii="宋体" w:hAnsi="宋体"/>
          <w:color w:val="auto"/>
          <w:szCs w:val="21"/>
        </w:rPr>
        <w:drawing>
          <wp:inline distT="0" distB="0" distL="114300" distR="114300">
            <wp:extent cx="2784475" cy="2088515"/>
            <wp:effectExtent l="0" t="0" r="15875" b="6985"/>
            <wp:docPr id="14" name="图片 14" descr="\\192.168.1.166\j\2022\2022照片\司法\2022.9.26赵川（通江）\IMG_20220926_144449.jpgIMG_20220926_14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92.168.1.166\j\2022\2022照片\司法\2022.9.26赵川（通江）\IMG_20220926_144449.jpgIMG_20220926_144449"/>
                    <pic:cNvPicPr>
                      <a:picLocks noChangeAspect="1"/>
                    </pic:cNvPicPr>
                  </pic:nvPicPr>
                  <pic:blipFill>
                    <a:blip r:embed="rId19"/>
                    <a:srcRect/>
                    <a:stretch>
                      <a:fillRect/>
                    </a:stretch>
                  </pic:blipFill>
                  <pic:spPr>
                    <a:xfrm>
                      <a:off x="0" y="0"/>
                      <a:ext cx="2784475" cy="2088515"/>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76220" cy="2082165"/>
            <wp:effectExtent l="0" t="0" r="5080" b="13335"/>
            <wp:docPr id="15" name="图片 15" descr="\\192.168.1.166\j\2022\2022照片\司法\2022.9.26赵川（通江）\IMG_20220926_144350.jpgIMG_20220926_144350"/>
            <wp:cNvGraphicFramePr/>
            <a:graphic xmlns:a="http://schemas.openxmlformats.org/drawingml/2006/main">
              <a:graphicData uri="http://schemas.openxmlformats.org/drawingml/2006/picture">
                <pic:pic xmlns:pic="http://schemas.openxmlformats.org/drawingml/2006/picture">
                  <pic:nvPicPr>
                    <pic:cNvPr id="15" name="图片 15" descr="\\192.168.1.166\j\2022\2022照片\司法\2022.9.26赵川（通江）\IMG_20220926_144350.jpgIMG_20220926_144350"/>
                    <pic:cNvPicPr/>
                  </pic:nvPicPr>
                  <pic:blipFill>
                    <a:blip r:embed="rId20"/>
                    <a:srcRect/>
                    <a:stretch>
                      <a:fillRect/>
                    </a:stretch>
                  </pic:blipFill>
                  <pic:spPr>
                    <a:xfrm>
                      <a:off x="0" y="0"/>
                      <a:ext cx="2776220" cy="2082165"/>
                    </a:xfrm>
                    <a:prstGeom prst="rect">
                      <a:avLst/>
                    </a:prstGeom>
                  </pic:spPr>
                </pic:pic>
              </a:graphicData>
            </a:graphic>
          </wp:inline>
        </w:drawing>
      </w:r>
    </w:p>
    <w:p>
      <w:pPr>
        <w:ind w:firstLine="1446" w:firstLineChars="400"/>
        <w:jc w:val="left"/>
        <w:rPr>
          <w:rFonts w:ascii="仿宋_GB2312" w:hAnsi="宋体" w:eastAsia="仿宋_GB2312"/>
          <w:b/>
          <w:color w:val="auto"/>
          <w:sz w:val="36"/>
          <w:szCs w:val="36"/>
        </w:rPr>
      </w:pPr>
      <w:r>
        <w:rPr>
          <w:rFonts w:hint="eastAsia" w:ascii="仿宋_GB2312" w:hAnsi="宋体" w:eastAsia="仿宋_GB2312"/>
          <w:b/>
          <w:color w:val="auto"/>
          <w:sz w:val="36"/>
          <w:szCs w:val="36"/>
          <w:lang w:val="en-US" w:eastAsia="zh-CN"/>
        </w:rPr>
        <w:t xml:space="preserve">门牌号 </w:t>
      </w:r>
      <w:r>
        <w:rPr>
          <w:rFonts w:hint="eastAsia" w:ascii="仿宋" w:hAnsi="仿宋" w:eastAsia="仿宋"/>
          <w:b/>
          <w:color w:val="auto"/>
          <w:sz w:val="28"/>
          <w:szCs w:val="28"/>
        </w:rPr>
        <w:t xml:space="preserve">                    </w:t>
      </w:r>
      <w:r>
        <w:rPr>
          <w:rFonts w:hint="eastAsia" w:ascii="仿宋" w:hAnsi="仿宋" w:eastAsia="仿宋"/>
          <w:b/>
          <w:color w:val="auto"/>
          <w:sz w:val="28"/>
          <w:szCs w:val="28"/>
          <w:lang w:val="en-US" w:eastAsia="zh-CN"/>
        </w:rPr>
        <w:t xml:space="preserve">      </w:t>
      </w:r>
      <w:r>
        <w:rPr>
          <w:rFonts w:hint="eastAsia" w:ascii="仿宋_GB2312" w:hAnsi="宋体" w:eastAsia="仿宋_GB2312"/>
          <w:b/>
          <w:color w:val="auto"/>
          <w:sz w:val="36"/>
          <w:szCs w:val="36"/>
          <w:lang w:val="en-US" w:eastAsia="zh-CN"/>
        </w:rPr>
        <w:t>室内状况</w:t>
      </w:r>
    </w:p>
    <w:p>
      <w:pPr>
        <w:rPr>
          <w:rFonts w:ascii="黑体" w:hAnsi="宋体" w:eastAsia="黑体"/>
          <w:b/>
          <w:color w:val="auto"/>
          <w:sz w:val="44"/>
          <w:szCs w:val="44"/>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z w:val="44"/>
          <w:szCs w:val="44"/>
          <w:lang w:eastAsia="zh-CN"/>
        </w:rPr>
      </w:pPr>
      <w:r>
        <w:rPr>
          <w:rFonts w:hint="eastAsia" w:ascii="黑体" w:hAnsi="宋体" w:eastAsia="黑体"/>
          <w:b/>
          <w:color w:val="auto"/>
          <w:sz w:val="44"/>
          <w:szCs w:val="44"/>
        </w:rPr>
        <w:t>委估对象现状图片</w:t>
      </w:r>
      <w:r>
        <w:rPr>
          <w:rFonts w:hint="eastAsia" w:ascii="黑体" w:hAnsi="宋体" w:eastAsia="黑体"/>
          <w:b/>
          <w:color w:val="auto"/>
          <w:sz w:val="44"/>
          <w:szCs w:val="44"/>
          <w:lang w:eastAsia="zh-CN"/>
        </w:rPr>
        <w:t>四</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通江县诺江镇诺江东路1楼为营业用房；-1楼为住宅</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（房权证城字第</w:t>
      </w:r>
      <w:r>
        <w:rPr>
          <w:rFonts w:hint="eastAsia" w:ascii="宋体" w:hAnsi="宋体" w:cs="宋体"/>
          <w:color w:val="auto"/>
          <w:kern w:val="0"/>
          <w:sz w:val="24"/>
          <w:szCs w:val="24"/>
          <w:lang w:val="en-US" w:eastAsia="zh-CN"/>
        </w:rPr>
        <w:t>2012041100168号</w:t>
      </w:r>
      <w:r>
        <w:rPr>
          <w:rFonts w:hint="eastAsia" w:ascii="宋体" w:hAnsi="宋体" w:cs="宋体"/>
          <w:color w:val="auto"/>
          <w:kern w:val="0"/>
          <w:sz w:val="24"/>
          <w:szCs w:val="24"/>
          <w:lang w:eastAsia="zh-CN"/>
        </w:rPr>
        <w:t>）</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营业</w:t>
      </w:r>
    </w:p>
    <w:p>
      <w:pPr>
        <w:rPr>
          <w:rFonts w:ascii="宋体" w:hAnsi="宋体"/>
          <w:color w:val="auto"/>
          <w:szCs w:val="21"/>
        </w:rPr>
      </w:pPr>
      <w:r>
        <w:rPr>
          <w:rFonts w:hint="eastAsia" w:ascii="宋体" w:hAnsi="宋体"/>
          <w:color w:val="auto"/>
          <w:szCs w:val="21"/>
        </w:rPr>
        <w:drawing>
          <wp:inline distT="0" distB="0" distL="114300" distR="114300">
            <wp:extent cx="2727325" cy="2045970"/>
            <wp:effectExtent l="0" t="0" r="15875" b="11430"/>
            <wp:docPr id="17" name="图片 17" descr="\\192.168.1.166\j\2022\2022照片\司法\2022.9.26赵川（通江）\IMG_20220926_144404.jpgIMG_20220926_14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92.168.1.166\j\2022\2022照片\司法\2022.9.26赵川（通江）\IMG_20220926_144404.jpgIMG_20220926_144404"/>
                    <pic:cNvPicPr>
                      <a:picLocks noChangeAspect="1"/>
                    </pic:cNvPicPr>
                  </pic:nvPicPr>
                  <pic:blipFill>
                    <a:blip r:embed="rId21"/>
                    <a:srcRect/>
                    <a:stretch>
                      <a:fillRect/>
                    </a:stretch>
                  </pic:blipFill>
                  <pic:spPr>
                    <a:xfrm>
                      <a:off x="0" y="0"/>
                      <a:ext cx="2727325" cy="2045970"/>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44470" cy="2058035"/>
            <wp:effectExtent l="0" t="0" r="17780" b="18415"/>
            <wp:docPr id="18" name="图片 18" descr="\\192.168.1.166\j\2022\2022照片\司法\2022.9.26赵川（通江）\IMG_20220926_144413.jpgIMG_20220926_14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92.168.1.166\j\2022\2022照片\司法\2022.9.26赵川（通江）\IMG_20220926_144413.jpgIMG_20220926_144413"/>
                    <pic:cNvPicPr>
                      <a:picLocks noChangeAspect="1"/>
                    </pic:cNvPicPr>
                  </pic:nvPicPr>
                  <pic:blipFill>
                    <a:blip r:embed="rId22"/>
                    <a:srcRect/>
                    <a:stretch>
                      <a:fillRect/>
                    </a:stretch>
                  </pic:blipFill>
                  <pic:spPr>
                    <a:xfrm>
                      <a:off x="0" y="0"/>
                      <a:ext cx="2744470" cy="2058035"/>
                    </a:xfrm>
                    <a:prstGeom prst="rect">
                      <a:avLst/>
                    </a:prstGeom>
                  </pic:spPr>
                </pic:pic>
              </a:graphicData>
            </a:graphic>
          </wp:inline>
        </w:drawing>
      </w:r>
    </w:p>
    <w:p>
      <w:pPr>
        <w:ind w:firstLine="1446" w:firstLineChars="400"/>
        <w:rPr>
          <w:rFonts w:ascii="仿宋" w:hAnsi="仿宋" w:eastAsia="仿宋"/>
          <w:b/>
          <w:color w:val="auto"/>
          <w:sz w:val="28"/>
          <w:szCs w:val="28"/>
        </w:rPr>
      </w:pPr>
      <w:r>
        <w:rPr>
          <w:rFonts w:hint="eastAsia" w:ascii="仿宋_GB2312" w:hAnsi="宋体" w:eastAsia="仿宋_GB2312"/>
          <w:b/>
          <w:color w:val="auto"/>
          <w:sz w:val="36"/>
          <w:szCs w:val="36"/>
          <w:lang w:val="en-US" w:eastAsia="zh-CN"/>
        </w:rPr>
        <w:t>室内状况</w:t>
      </w:r>
      <w:r>
        <w:rPr>
          <w:rFonts w:hint="eastAsia" w:ascii="宋体" w:hAnsi="宋体"/>
          <w:color w:val="auto"/>
          <w:szCs w:val="21"/>
        </w:rPr>
        <w:t xml:space="preserve">                  </w:t>
      </w:r>
      <w:r>
        <w:rPr>
          <w:rFonts w:hint="eastAsia" w:ascii="宋体" w:hAnsi="宋体"/>
          <w:color w:val="auto"/>
          <w:szCs w:val="21"/>
          <w:lang w:val="en-US" w:eastAsia="zh-CN"/>
        </w:rPr>
        <w:t xml:space="preserve"> </w:t>
      </w:r>
      <w:r>
        <w:rPr>
          <w:rFonts w:hint="eastAsia" w:ascii="宋体" w:hAnsi="宋体"/>
          <w:color w:val="auto"/>
          <w:szCs w:val="21"/>
        </w:rPr>
        <w:t xml:space="preserve">     </w:t>
      </w:r>
      <w:r>
        <w:rPr>
          <w:rFonts w:hint="eastAsia" w:ascii="仿宋_GB2312" w:hAnsi="宋体" w:eastAsia="仿宋_GB2312"/>
          <w:b/>
          <w:color w:val="auto"/>
          <w:sz w:val="36"/>
          <w:szCs w:val="36"/>
          <w:lang w:val="en-US" w:eastAsia="zh-CN"/>
        </w:rPr>
        <w:t xml:space="preserve">    室内状况</w:t>
      </w:r>
      <w:r>
        <w:rPr>
          <w:rFonts w:hint="eastAsia" w:ascii="仿宋" w:hAnsi="仿宋" w:eastAsia="仿宋"/>
          <w:b/>
          <w:color w:val="auto"/>
          <w:sz w:val="28"/>
          <w:szCs w:val="28"/>
          <w:lang w:val="en-US" w:eastAsia="zh-CN"/>
        </w:rPr>
        <w:t xml:space="preserve"> </w:t>
      </w:r>
      <w:r>
        <w:rPr>
          <w:rFonts w:hint="eastAsia" w:ascii="仿宋" w:hAnsi="仿宋" w:eastAsia="仿宋"/>
          <w:b/>
          <w:color w:val="auto"/>
          <w:sz w:val="28"/>
          <w:szCs w:val="28"/>
        </w:rPr>
        <w:t xml:space="preserve">             </w:t>
      </w: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pacing w:val="40"/>
          <w:sz w:val="48"/>
          <w:szCs w:val="48"/>
        </w:rPr>
      </w:pPr>
    </w:p>
    <w:p>
      <w:pPr>
        <w:jc w:val="center"/>
        <w:rPr>
          <w:rFonts w:hint="eastAsia" w:ascii="黑体" w:hAnsi="宋体" w:eastAsia="黑体"/>
          <w:b/>
          <w:color w:val="auto"/>
          <w:sz w:val="44"/>
          <w:szCs w:val="44"/>
          <w:lang w:eastAsia="zh-CN"/>
        </w:rPr>
      </w:pPr>
      <w:r>
        <w:rPr>
          <w:rFonts w:hint="eastAsia" w:ascii="黑体" w:hAnsi="宋体" w:eastAsia="黑体"/>
          <w:b/>
          <w:color w:val="auto"/>
          <w:sz w:val="44"/>
          <w:szCs w:val="44"/>
        </w:rPr>
        <w:t>委估对象现状图片</w:t>
      </w:r>
      <w:r>
        <w:rPr>
          <w:rFonts w:hint="eastAsia" w:ascii="黑体" w:hAnsi="宋体" w:eastAsia="黑体"/>
          <w:b/>
          <w:color w:val="auto"/>
          <w:sz w:val="44"/>
          <w:szCs w:val="44"/>
          <w:lang w:eastAsia="zh-CN"/>
        </w:rPr>
        <w:t>五</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通江县诺江镇诺江东路1楼为营业用房；-1楼为住宅</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（房权证城字第</w:t>
      </w:r>
      <w:r>
        <w:rPr>
          <w:rFonts w:hint="eastAsia" w:ascii="宋体" w:hAnsi="宋体" w:cs="宋体"/>
          <w:color w:val="auto"/>
          <w:kern w:val="0"/>
          <w:sz w:val="24"/>
          <w:szCs w:val="24"/>
          <w:lang w:val="en-US" w:eastAsia="zh-CN"/>
        </w:rPr>
        <w:t>2012041100168号</w:t>
      </w:r>
      <w:r>
        <w:rPr>
          <w:rFonts w:hint="eastAsia" w:ascii="宋体" w:hAnsi="宋体" w:cs="宋体"/>
          <w:color w:val="auto"/>
          <w:kern w:val="0"/>
          <w:sz w:val="24"/>
          <w:szCs w:val="24"/>
          <w:lang w:eastAsia="zh-CN"/>
        </w:rPr>
        <w:t>）</w:t>
      </w:r>
    </w:p>
    <w:p>
      <w:pPr>
        <w:jc w:val="center"/>
        <w:rPr>
          <w:rFonts w:hint="eastAsia" w:ascii="宋体" w:hAnsi="宋体" w:cs="宋体"/>
          <w:color w:val="auto"/>
          <w:kern w:val="0"/>
          <w:sz w:val="24"/>
          <w:szCs w:val="24"/>
          <w:lang w:eastAsia="zh-CN"/>
        </w:rPr>
      </w:pPr>
      <w:r>
        <w:rPr>
          <w:rFonts w:hint="eastAsia" w:ascii="宋体" w:hAnsi="宋体" w:cs="宋体"/>
          <w:color w:val="auto"/>
          <w:kern w:val="0"/>
          <w:sz w:val="24"/>
          <w:szCs w:val="24"/>
          <w:lang w:eastAsia="zh-CN"/>
        </w:rPr>
        <w:t>住房</w:t>
      </w:r>
    </w:p>
    <w:p>
      <w:pPr>
        <w:rPr>
          <w:rFonts w:ascii="宋体" w:hAnsi="宋体"/>
          <w:color w:val="auto"/>
          <w:szCs w:val="21"/>
        </w:rPr>
      </w:pPr>
      <w:r>
        <w:rPr>
          <w:rFonts w:hint="eastAsia" w:ascii="宋体" w:hAnsi="宋体"/>
          <w:color w:val="auto"/>
          <w:szCs w:val="21"/>
        </w:rPr>
        <w:drawing>
          <wp:inline distT="0" distB="0" distL="114300" distR="114300">
            <wp:extent cx="2776855" cy="2082165"/>
            <wp:effectExtent l="0" t="0" r="4445" b="13335"/>
            <wp:docPr id="32" name="图片 32" descr="\\192.168.1.166\j\2022\2022照片\司法\2022.9.26赵川（通江）\IMG_20220926_152825.jpgIMG_20220926_152825"/>
            <wp:cNvGraphicFramePr/>
            <a:graphic xmlns:a="http://schemas.openxmlformats.org/drawingml/2006/main">
              <a:graphicData uri="http://schemas.openxmlformats.org/drawingml/2006/picture">
                <pic:pic xmlns:pic="http://schemas.openxmlformats.org/drawingml/2006/picture">
                  <pic:nvPicPr>
                    <pic:cNvPr id="32" name="图片 32" descr="\\192.168.1.166\j\2022\2022照片\司法\2022.9.26赵川（通江）\IMG_20220926_152825.jpgIMG_20220926_152825"/>
                    <pic:cNvPicPr/>
                  </pic:nvPicPr>
                  <pic:blipFill>
                    <a:blip r:embed="rId7"/>
                    <a:srcRect/>
                    <a:stretch>
                      <a:fillRect/>
                    </a:stretch>
                  </pic:blipFill>
                  <pic:spPr>
                    <a:xfrm>
                      <a:off x="0" y="0"/>
                      <a:ext cx="2776855" cy="2082165"/>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76220" cy="2082165"/>
            <wp:effectExtent l="0" t="0" r="5080" b="13335"/>
            <wp:docPr id="33" name="图片 33" descr="\\192.168.1.166\j\2022\2022照片\司法\2022.9.26赵川（通江）\IMG_20220926_150501.jpgIMG_20220926_150501"/>
            <wp:cNvGraphicFramePr/>
            <a:graphic xmlns:a="http://schemas.openxmlformats.org/drawingml/2006/main">
              <a:graphicData uri="http://schemas.openxmlformats.org/drawingml/2006/picture">
                <pic:pic xmlns:pic="http://schemas.openxmlformats.org/drawingml/2006/picture">
                  <pic:nvPicPr>
                    <pic:cNvPr id="33" name="图片 33" descr="\\192.168.1.166\j\2022\2022照片\司法\2022.9.26赵川（通江）\IMG_20220926_150501.jpgIMG_20220926_150501"/>
                    <pic:cNvPicPr/>
                  </pic:nvPicPr>
                  <pic:blipFill>
                    <a:blip r:embed="rId23"/>
                    <a:srcRect/>
                    <a:stretch>
                      <a:fillRect/>
                    </a:stretch>
                  </pic:blipFill>
                  <pic:spPr>
                    <a:xfrm>
                      <a:off x="0" y="0"/>
                      <a:ext cx="2776220" cy="2082165"/>
                    </a:xfrm>
                    <a:prstGeom prst="rect">
                      <a:avLst/>
                    </a:prstGeom>
                  </pic:spPr>
                </pic:pic>
              </a:graphicData>
            </a:graphic>
          </wp:inline>
        </w:drawing>
      </w:r>
    </w:p>
    <w:p>
      <w:pPr>
        <w:ind w:firstLine="1446" w:firstLineChars="400"/>
        <w:jc w:val="left"/>
        <w:rPr>
          <w:rFonts w:hint="eastAsia" w:ascii="仿宋_GB2312" w:hAnsi="宋体" w:eastAsia="仿宋_GB2312"/>
          <w:b/>
          <w:color w:val="auto"/>
          <w:sz w:val="36"/>
          <w:szCs w:val="36"/>
          <w:lang w:val="en-US" w:eastAsia="zh-CN"/>
        </w:rPr>
      </w:pPr>
      <w:r>
        <w:rPr>
          <w:rFonts w:hint="eastAsia" w:ascii="仿宋_GB2312" w:hAnsi="宋体" w:eastAsia="仿宋_GB2312"/>
          <w:b/>
          <w:color w:val="auto"/>
          <w:sz w:val="36"/>
          <w:szCs w:val="36"/>
          <w:lang w:val="en-US" w:eastAsia="zh-CN"/>
        </w:rPr>
        <w:t>估价对象外观</w:t>
      </w:r>
      <w:r>
        <w:rPr>
          <w:rFonts w:hint="eastAsia" w:ascii="宋体" w:hAnsi="宋体"/>
          <w:color w:val="auto"/>
          <w:szCs w:val="21"/>
        </w:rPr>
        <w:t xml:space="preserve"> </w:t>
      </w:r>
      <w:r>
        <w:rPr>
          <w:rFonts w:hint="eastAsia" w:ascii="仿宋_GB2312" w:hAnsi="宋体" w:eastAsia="仿宋_GB2312"/>
          <w:b/>
          <w:color w:val="auto"/>
          <w:sz w:val="36"/>
          <w:szCs w:val="36"/>
          <w:lang w:val="en-US" w:eastAsia="zh-CN"/>
        </w:rPr>
        <w:t xml:space="preserve"> </w:t>
      </w:r>
      <w:r>
        <w:rPr>
          <w:rFonts w:hint="eastAsia" w:ascii="仿宋" w:hAnsi="仿宋" w:eastAsia="仿宋"/>
          <w:b/>
          <w:color w:val="auto"/>
          <w:sz w:val="28"/>
          <w:szCs w:val="28"/>
        </w:rPr>
        <w:t xml:space="preserve">                 </w:t>
      </w:r>
      <w:r>
        <w:rPr>
          <w:rFonts w:hint="eastAsia" w:ascii="仿宋_GB2312" w:hAnsi="宋体" w:eastAsia="仿宋_GB2312"/>
          <w:b/>
          <w:color w:val="auto"/>
          <w:sz w:val="36"/>
          <w:szCs w:val="36"/>
          <w:lang w:val="en-US" w:eastAsia="zh-CN"/>
        </w:rPr>
        <w:t>入户门</w:t>
      </w:r>
    </w:p>
    <w:p>
      <w:pPr>
        <w:rPr>
          <w:rFonts w:ascii="宋体" w:hAnsi="宋体"/>
          <w:color w:val="auto"/>
          <w:szCs w:val="21"/>
        </w:rPr>
      </w:pPr>
      <w:r>
        <w:rPr>
          <w:rFonts w:hint="eastAsia" w:ascii="宋体" w:hAnsi="宋体"/>
          <w:color w:val="auto"/>
          <w:szCs w:val="21"/>
        </w:rPr>
        <w:drawing>
          <wp:inline distT="0" distB="0" distL="114300" distR="114300">
            <wp:extent cx="2776220" cy="2082165"/>
            <wp:effectExtent l="0" t="0" r="5080" b="13335"/>
            <wp:docPr id="34" name="图片 34" descr="\\192.168.1.166\j\2022\2022照片\司法\2022.9.26赵川（通江）\IMG_20220926_150506.jpgIMG_20220926_150506"/>
            <wp:cNvGraphicFramePr/>
            <a:graphic xmlns:a="http://schemas.openxmlformats.org/drawingml/2006/main">
              <a:graphicData uri="http://schemas.openxmlformats.org/drawingml/2006/picture">
                <pic:pic xmlns:pic="http://schemas.openxmlformats.org/drawingml/2006/picture">
                  <pic:nvPicPr>
                    <pic:cNvPr id="34" name="图片 34" descr="\\192.168.1.166\j\2022\2022照片\司法\2022.9.26赵川（通江）\IMG_20220926_150506.jpgIMG_20220926_150506"/>
                    <pic:cNvPicPr/>
                  </pic:nvPicPr>
                  <pic:blipFill>
                    <a:blip r:embed="rId24"/>
                    <a:srcRect/>
                    <a:stretch>
                      <a:fillRect/>
                    </a:stretch>
                  </pic:blipFill>
                  <pic:spPr>
                    <a:xfrm>
                      <a:off x="0" y="0"/>
                      <a:ext cx="2776220" cy="2082165"/>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76220" cy="2082165"/>
            <wp:effectExtent l="0" t="0" r="5080" b="13335"/>
            <wp:docPr id="35" name="图片 35" descr="\\192.168.1.166\j\2022\2022照片\司法\2022.9.26赵川（通江）\IMG_20220926_150511.jpgIMG_20220926_150511"/>
            <wp:cNvGraphicFramePr/>
            <a:graphic xmlns:a="http://schemas.openxmlformats.org/drawingml/2006/main">
              <a:graphicData uri="http://schemas.openxmlformats.org/drawingml/2006/picture">
                <pic:pic xmlns:pic="http://schemas.openxmlformats.org/drawingml/2006/picture">
                  <pic:nvPicPr>
                    <pic:cNvPr id="35" name="图片 35" descr="\\192.168.1.166\j\2022\2022照片\司法\2022.9.26赵川（通江）\IMG_20220926_150511.jpgIMG_20220926_150511"/>
                    <pic:cNvPicPr/>
                  </pic:nvPicPr>
                  <pic:blipFill>
                    <a:blip r:embed="rId25"/>
                    <a:srcRect/>
                    <a:stretch>
                      <a:fillRect/>
                    </a:stretch>
                  </pic:blipFill>
                  <pic:spPr>
                    <a:xfrm>
                      <a:off x="0" y="0"/>
                      <a:ext cx="2776220" cy="2082165"/>
                    </a:xfrm>
                    <a:prstGeom prst="rect">
                      <a:avLst/>
                    </a:prstGeom>
                  </pic:spPr>
                </pic:pic>
              </a:graphicData>
            </a:graphic>
          </wp:inline>
        </w:drawing>
      </w:r>
    </w:p>
    <w:p>
      <w:pPr>
        <w:ind w:firstLine="1446" w:firstLineChars="400"/>
        <w:jc w:val="left"/>
        <w:rPr>
          <w:rFonts w:hint="eastAsia" w:ascii="仿宋_GB2312" w:hAnsi="宋体" w:eastAsia="仿宋_GB2312"/>
          <w:b/>
          <w:color w:val="auto"/>
          <w:sz w:val="36"/>
          <w:szCs w:val="36"/>
          <w:lang w:val="en-US" w:eastAsia="zh-CN"/>
        </w:rPr>
      </w:pPr>
      <w:r>
        <w:rPr>
          <w:rFonts w:hint="eastAsia" w:ascii="仿宋_GB2312" w:hAnsi="宋体" w:eastAsia="仿宋_GB2312"/>
          <w:b/>
          <w:color w:val="auto"/>
          <w:sz w:val="36"/>
          <w:szCs w:val="36"/>
          <w:lang w:val="en-US" w:eastAsia="zh-CN"/>
        </w:rPr>
        <w:t xml:space="preserve">室内状况  </w:t>
      </w:r>
      <w:r>
        <w:rPr>
          <w:rFonts w:hint="eastAsia" w:ascii="仿宋" w:hAnsi="仿宋" w:eastAsia="仿宋"/>
          <w:b/>
          <w:color w:val="auto"/>
          <w:sz w:val="28"/>
          <w:szCs w:val="28"/>
        </w:rPr>
        <w:t xml:space="preserve">                  </w:t>
      </w:r>
      <w:r>
        <w:rPr>
          <w:rFonts w:hint="eastAsia" w:ascii="仿宋" w:hAnsi="仿宋" w:eastAsia="仿宋"/>
          <w:b/>
          <w:color w:val="auto"/>
          <w:sz w:val="28"/>
          <w:szCs w:val="28"/>
          <w:lang w:val="en-US" w:eastAsia="zh-CN"/>
        </w:rPr>
        <w:t xml:space="preserve">    </w:t>
      </w:r>
      <w:r>
        <w:rPr>
          <w:rFonts w:hint="eastAsia" w:ascii="仿宋_GB2312" w:hAnsi="宋体" w:eastAsia="仿宋_GB2312"/>
          <w:b/>
          <w:color w:val="auto"/>
          <w:sz w:val="36"/>
          <w:szCs w:val="36"/>
          <w:lang w:val="en-US" w:eastAsia="zh-CN"/>
        </w:rPr>
        <w:t xml:space="preserve">室内状况 </w:t>
      </w:r>
    </w:p>
    <w:p>
      <w:pPr>
        <w:rPr>
          <w:rFonts w:ascii="宋体" w:hAnsi="宋体"/>
          <w:color w:val="auto"/>
          <w:szCs w:val="21"/>
        </w:rPr>
      </w:pPr>
      <w:r>
        <w:rPr>
          <w:rFonts w:hint="eastAsia" w:ascii="宋体" w:hAnsi="宋体"/>
          <w:color w:val="auto"/>
          <w:szCs w:val="21"/>
        </w:rPr>
        <w:drawing>
          <wp:inline distT="0" distB="0" distL="114300" distR="114300">
            <wp:extent cx="2776220" cy="2082165"/>
            <wp:effectExtent l="0" t="0" r="5080" b="13335"/>
            <wp:docPr id="36" name="图片 36" descr="\\192.168.1.166\j\2022\2022照片\司法\2022.9.26赵川（通江）\IMG_20220926_150714.jpgIMG_20220926_150714"/>
            <wp:cNvGraphicFramePr/>
            <a:graphic xmlns:a="http://schemas.openxmlformats.org/drawingml/2006/main">
              <a:graphicData uri="http://schemas.openxmlformats.org/drawingml/2006/picture">
                <pic:pic xmlns:pic="http://schemas.openxmlformats.org/drawingml/2006/picture">
                  <pic:nvPicPr>
                    <pic:cNvPr id="36" name="图片 36" descr="\\192.168.1.166\j\2022\2022照片\司法\2022.9.26赵川（通江）\IMG_20220926_150714.jpgIMG_20220926_150714"/>
                    <pic:cNvPicPr/>
                  </pic:nvPicPr>
                  <pic:blipFill>
                    <a:blip r:embed="rId26"/>
                    <a:srcRect/>
                    <a:stretch>
                      <a:fillRect/>
                    </a:stretch>
                  </pic:blipFill>
                  <pic:spPr>
                    <a:xfrm>
                      <a:off x="0" y="0"/>
                      <a:ext cx="2776220" cy="2082165"/>
                    </a:xfrm>
                    <a:prstGeom prst="rect">
                      <a:avLst/>
                    </a:prstGeom>
                  </pic:spPr>
                </pic:pic>
              </a:graphicData>
            </a:graphic>
          </wp:inline>
        </w:drawing>
      </w:r>
      <w:r>
        <w:rPr>
          <w:rFonts w:hint="eastAsia" w:ascii="宋体" w:hAnsi="宋体"/>
          <w:color w:val="auto"/>
          <w:szCs w:val="21"/>
        </w:rPr>
        <w:t xml:space="preserve">   </w:t>
      </w:r>
      <w:r>
        <w:rPr>
          <w:rFonts w:hint="eastAsia" w:ascii="宋体" w:hAnsi="宋体"/>
          <w:color w:val="auto"/>
          <w:szCs w:val="21"/>
        </w:rPr>
        <w:drawing>
          <wp:inline distT="0" distB="0" distL="114300" distR="114300">
            <wp:extent cx="2776220" cy="2082165"/>
            <wp:effectExtent l="0" t="0" r="5080" b="13335"/>
            <wp:docPr id="37" name="图片 37" descr="\\192.168.1.166\j\2022\2022照片\司法\2022.9.26赵川（通江）\IMG_20220926_150757.jpgIMG_20220926_150757"/>
            <wp:cNvGraphicFramePr/>
            <a:graphic xmlns:a="http://schemas.openxmlformats.org/drawingml/2006/main">
              <a:graphicData uri="http://schemas.openxmlformats.org/drawingml/2006/picture">
                <pic:pic xmlns:pic="http://schemas.openxmlformats.org/drawingml/2006/picture">
                  <pic:nvPicPr>
                    <pic:cNvPr id="37" name="图片 37" descr="\\192.168.1.166\j\2022\2022照片\司法\2022.9.26赵川（通江）\IMG_20220926_150757.jpgIMG_20220926_150757"/>
                    <pic:cNvPicPr/>
                  </pic:nvPicPr>
                  <pic:blipFill>
                    <a:blip r:embed="rId27"/>
                    <a:srcRect/>
                    <a:stretch>
                      <a:fillRect/>
                    </a:stretch>
                  </pic:blipFill>
                  <pic:spPr>
                    <a:xfrm>
                      <a:off x="0" y="0"/>
                      <a:ext cx="2776220" cy="2082165"/>
                    </a:xfrm>
                    <a:prstGeom prst="rect">
                      <a:avLst/>
                    </a:prstGeom>
                  </pic:spPr>
                </pic:pic>
              </a:graphicData>
            </a:graphic>
          </wp:inline>
        </w:drawing>
      </w:r>
    </w:p>
    <w:p>
      <w:pPr>
        <w:ind w:firstLine="1446" w:firstLineChars="400"/>
        <w:jc w:val="left"/>
        <w:rPr>
          <w:rFonts w:hint="eastAsia" w:ascii="仿宋_GB2312" w:hAnsi="宋体" w:eastAsia="仿宋_GB2312"/>
          <w:b/>
          <w:color w:val="auto"/>
          <w:sz w:val="36"/>
          <w:szCs w:val="36"/>
          <w:lang w:val="en-US" w:eastAsia="zh-CN"/>
        </w:rPr>
      </w:pPr>
      <w:r>
        <w:rPr>
          <w:rFonts w:hint="eastAsia" w:ascii="仿宋_GB2312" w:hAnsi="宋体" w:eastAsia="仿宋_GB2312"/>
          <w:b/>
          <w:color w:val="auto"/>
          <w:sz w:val="36"/>
          <w:szCs w:val="36"/>
          <w:lang w:val="en-US" w:eastAsia="zh-CN"/>
        </w:rPr>
        <w:t xml:space="preserve">室内状况  </w:t>
      </w:r>
      <w:r>
        <w:rPr>
          <w:rFonts w:hint="eastAsia" w:ascii="仿宋" w:hAnsi="仿宋" w:eastAsia="仿宋"/>
          <w:b/>
          <w:color w:val="auto"/>
          <w:sz w:val="28"/>
          <w:szCs w:val="28"/>
        </w:rPr>
        <w:t xml:space="preserve">                  </w:t>
      </w:r>
      <w:r>
        <w:rPr>
          <w:rFonts w:hint="eastAsia" w:ascii="仿宋" w:hAnsi="仿宋" w:eastAsia="仿宋"/>
          <w:b/>
          <w:color w:val="auto"/>
          <w:sz w:val="28"/>
          <w:szCs w:val="28"/>
          <w:lang w:val="en-US" w:eastAsia="zh-CN"/>
        </w:rPr>
        <w:t xml:space="preserve">    </w:t>
      </w:r>
      <w:r>
        <w:rPr>
          <w:rFonts w:hint="eastAsia" w:ascii="仿宋_GB2312" w:hAnsi="宋体" w:eastAsia="仿宋_GB2312"/>
          <w:b/>
          <w:color w:val="auto"/>
          <w:sz w:val="36"/>
          <w:szCs w:val="36"/>
          <w:lang w:val="en-US" w:eastAsia="zh-CN"/>
        </w:rPr>
        <w:t xml:space="preserve">室内状况 </w:t>
      </w:r>
    </w:p>
    <w:p>
      <w:pPr>
        <w:ind w:firstLine="960" w:firstLineChars="400"/>
        <w:jc w:val="left"/>
        <w:rPr>
          <w:rFonts w:hint="eastAsia" w:ascii="仿宋_GB2312" w:hAnsi="宋体" w:eastAsia="仿宋_GB2312"/>
          <w:b/>
          <w:color w:val="auto"/>
          <w:sz w:val="36"/>
          <w:szCs w:val="36"/>
          <w:lang w:val="en-US" w:eastAsia="zh-CN"/>
        </w:rPr>
      </w:pPr>
      <w:r>
        <w:rPr>
          <w:rFonts w:hint="eastAsia" w:ascii="宋体" w:hAnsi="宋体" w:cs="宋体"/>
          <w:color w:val="auto"/>
          <w:kern w:val="0"/>
          <w:sz w:val="24"/>
          <w:szCs w:val="24"/>
          <w:lang w:eastAsia="zh-CN"/>
        </w:rPr>
        <w:br w:type="page"/>
      </w:r>
    </w:p>
    <w:p>
      <w:pPr>
        <w:rPr>
          <w:rFonts w:hint="eastAsia" w:ascii="宋体" w:hAnsi="宋体" w:cs="宋体"/>
          <w:color w:val="auto"/>
          <w:kern w:val="0"/>
          <w:sz w:val="24"/>
          <w:szCs w:val="24"/>
          <w:lang w:eastAsia="zh-CN"/>
        </w:rPr>
      </w:pPr>
    </w:p>
    <w:p>
      <w:pPr>
        <w:jc w:val="center"/>
        <w:rPr>
          <w:rFonts w:hint="eastAsia" w:ascii="宋体" w:hAnsi="宋体" w:cs="宋体"/>
          <w:color w:val="auto"/>
          <w:kern w:val="0"/>
          <w:sz w:val="24"/>
          <w:szCs w:val="24"/>
          <w:lang w:eastAsia="zh-CN"/>
        </w:rPr>
      </w:pPr>
    </w:p>
    <w:p>
      <w:pPr>
        <w:jc w:val="center"/>
        <w:rPr>
          <w:rFonts w:hint="eastAsia" w:ascii="黑体" w:hAnsi="宋体" w:eastAsia="黑体"/>
          <w:b/>
          <w:color w:val="auto"/>
          <w:spacing w:val="40"/>
          <w:sz w:val="48"/>
          <w:szCs w:val="48"/>
        </w:rPr>
      </w:pPr>
      <w:r>
        <w:rPr>
          <w:rFonts w:hint="eastAsia" w:ascii="黑体" w:hAnsi="宋体" w:eastAsia="黑体"/>
          <w:b/>
          <w:color w:val="auto"/>
          <w:spacing w:val="40"/>
          <w:sz w:val="48"/>
          <w:szCs w:val="48"/>
        </w:rPr>
        <w:t>委估房地产区位示意图</w:t>
      </w:r>
    </w:p>
    <w:p>
      <w:pPr>
        <w:jc w:val="center"/>
        <w:rPr>
          <w:rFonts w:hint="eastAsia" w:ascii="黑体" w:hAnsi="宋体" w:eastAsia="黑体"/>
          <w:b/>
          <w:color w:val="auto"/>
          <w:spacing w:val="40"/>
          <w:sz w:val="24"/>
          <w:szCs w:val="24"/>
        </w:rPr>
      </w:pPr>
      <w:r>
        <w:rPr>
          <w:rFonts w:hint="eastAsia" w:ascii="宋体" w:hAnsi="宋体" w:cs="宋体"/>
          <w:color w:val="auto"/>
          <w:kern w:val="0"/>
          <w:sz w:val="24"/>
          <w:szCs w:val="24"/>
          <w:lang w:eastAsia="zh-CN"/>
        </w:rPr>
        <w:t>通江县诺江镇诺江东路1楼为营业用房；-1楼为住宅</w:t>
      </w:r>
    </w:p>
    <w:p>
      <w:pPr>
        <w:jc w:val="center"/>
        <w:rPr>
          <w:rFonts w:ascii="黑体" w:hAnsi="宋体" w:eastAsia="黑体"/>
          <w:b/>
          <w:color w:val="auto"/>
          <w:spacing w:val="40"/>
          <w:sz w:val="48"/>
          <w:szCs w:val="48"/>
        </w:rPr>
      </w:pPr>
      <w:r>
        <w:rPr>
          <w:rFonts w:ascii="宋体" w:hAnsi="宋体" w:cs="宋体"/>
          <w:color w:val="auto"/>
          <w:sz w:val="28"/>
          <w:szCs w:val="28"/>
        </w:rPr>
        <mc:AlternateContent>
          <mc:Choice Requires="wps">
            <w:drawing>
              <wp:anchor distT="0" distB="0" distL="114300" distR="114300" simplePos="0" relativeHeight="251659264" behindDoc="0" locked="0" layoutInCell="1" allowOverlap="1">
                <wp:simplePos x="0" y="0"/>
                <wp:positionH relativeFrom="column">
                  <wp:posOffset>2872740</wp:posOffset>
                </wp:positionH>
                <wp:positionV relativeFrom="paragraph">
                  <wp:posOffset>3206115</wp:posOffset>
                </wp:positionV>
                <wp:extent cx="915670" cy="603885"/>
                <wp:effectExtent l="7620" t="7620" r="10160" b="531495"/>
                <wp:wrapNone/>
                <wp:docPr id="4" name="圆角矩形标注 4"/>
                <wp:cNvGraphicFramePr/>
                <a:graphic xmlns:a="http://schemas.openxmlformats.org/drawingml/2006/main">
                  <a:graphicData uri="http://schemas.microsoft.com/office/word/2010/wordprocessingShape">
                    <wps:wsp>
                      <wps:cNvSpPr/>
                      <wps:spPr>
                        <a:xfrm>
                          <a:off x="0" y="0"/>
                          <a:ext cx="915670" cy="603885"/>
                        </a:xfrm>
                        <a:prstGeom prst="wedgeRoundRectCallout">
                          <a:avLst>
                            <a:gd name="adj1" fmla="val -45700"/>
                            <a:gd name="adj2" fmla="val 130546"/>
                            <a:gd name="adj3" fmla="val 16667"/>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pPr>
                              <w:jc w:val="center"/>
                            </w:pPr>
                            <w:r>
                              <w:rPr>
                                <w:rFonts w:hint="eastAsia"/>
                                <w:b/>
                                <w:color w:val="C00000"/>
                                <w:sz w:val="24"/>
                                <w:szCs w:val="24"/>
                              </w:rPr>
                              <w:t>估价对象所处位置</w:t>
                            </w:r>
                          </w:p>
                        </w:txbxContent>
                      </wps:txbx>
                      <wps:bodyPr upright="1"/>
                    </wps:wsp>
                  </a:graphicData>
                </a:graphic>
              </wp:anchor>
            </w:drawing>
          </mc:Choice>
          <mc:Fallback>
            <w:pict>
              <v:shape id="_x0000_s1026" o:spid="_x0000_s1026" o:spt="62" type="#_x0000_t62" style="position:absolute;left:0pt;margin-left:226.2pt;margin-top:252.45pt;height:47.55pt;width:72.1pt;z-index:251659264;mso-width-relative:page;mso-height-relative:page;" fillcolor="#FFFFFF" filled="t" stroked="t" coordsize="21600,21600" o:gfxdata="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A5C+sDZ&#10;AAAACwEAAA8AAAAAAAAAAQAgAAAAIgAAAGRycy9kb3ducmV2LnhtbFBLAQIUABQAAAAIAIdO4kC+&#10;XH5wkQIAAEQFAAAOAAAAAAAAAAEAIAAAACgBAABkcnMvZTJvRG9jLnhtbFBLBQYAAAAABgAGAFkB&#10;AAArBgAAAAA=&#10;" adj="929,38998,14400">
                <v:fill type="gradient" on="t" color2="#FFFFFF" angle="90" focus="100%" focussize="0,0">
                  <o:fill type="gradientUnscaled" v:ext="backwardCompatible"/>
                </v:fill>
                <v:stroke weight="1.25pt" color="#739CC3" joinstyle="miter"/>
                <v:imagedata o:title=""/>
                <o:lock v:ext="edit" aspectratio="f"/>
                <v:textbox>
                  <w:txbxContent>
                    <w:p>
                      <w:pPr>
                        <w:jc w:val="center"/>
                      </w:pPr>
                      <w:r>
                        <w:rPr>
                          <w:rFonts w:hint="eastAsia"/>
                          <w:b/>
                          <w:color w:val="C00000"/>
                          <w:sz w:val="24"/>
                          <w:szCs w:val="24"/>
                        </w:rPr>
                        <w:t>估价对象所处位置</w:t>
                      </w:r>
                    </w:p>
                  </w:txbxContent>
                </v:textbox>
              </v:shape>
            </w:pict>
          </mc:Fallback>
        </mc:AlternateContent>
      </w:r>
      <w:r>
        <w:drawing>
          <wp:inline distT="0" distB="0" distL="114300" distR="114300">
            <wp:extent cx="5868670" cy="7270115"/>
            <wp:effectExtent l="0" t="0" r="17780" b="6985"/>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28"/>
                    <a:stretch>
                      <a:fillRect/>
                    </a:stretch>
                  </pic:blipFill>
                  <pic:spPr>
                    <a:xfrm>
                      <a:off x="0" y="0"/>
                      <a:ext cx="5868670" cy="7270115"/>
                    </a:xfrm>
                    <a:prstGeom prst="rect">
                      <a:avLst/>
                    </a:prstGeom>
                    <a:noFill/>
                    <a:ln>
                      <a:noFill/>
                    </a:ln>
                  </pic:spPr>
                </pic:pic>
              </a:graphicData>
            </a:graphic>
          </wp:inline>
        </w:drawing>
      </w:r>
    </w:p>
    <w:p>
      <w:pPr>
        <w:jc w:val="center"/>
        <w:rPr>
          <w:rFonts w:ascii="黑体" w:hAnsi="宋体" w:eastAsia="黑体"/>
          <w:b/>
          <w:color w:val="auto"/>
          <w:spacing w:val="40"/>
          <w:sz w:val="48"/>
          <w:szCs w:val="48"/>
        </w:rPr>
      </w:pPr>
    </w:p>
    <w:p>
      <w:pPr>
        <w:jc w:val="center"/>
        <w:rPr>
          <w:rFonts w:ascii="黑体" w:hAnsi="宋体" w:eastAsia="黑体"/>
          <w:b/>
          <w:color w:val="auto"/>
          <w:spacing w:val="40"/>
          <w:sz w:val="48"/>
          <w:szCs w:val="48"/>
        </w:rPr>
      </w:pPr>
    </w:p>
    <w:p>
      <w:pPr>
        <w:jc w:val="center"/>
        <w:rPr>
          <w:rFonts w:hint="eastAsia"/>
          <w:b/>
          <w:bCs/>
          <w:color w:val="auto"/>
          <w:sz w:val="28"/>
          <w:szCs w:val="28"/>
        </w:rPr>
      </w:pPr>
    </w:p>
    <w:p>
      <w:pPr>
        <w:jc w:val="center"/>
        <w:rPr>
          <w:rFonts w:hint="eastAsia"/>
          <w:b/>
          <w:bCs/>
          <w:color w:val="auto"/>
          <w:sz w:val="28"/>
          <w:szCs w:val="28"/>
        </w:rPr>
      </w:pPr>
    </w:p>
    <w:p>
      <w:pPr>
        <w:jc w:val="center"/>
        <w:rPr>
          <w:b/>
          <w:bCs/>
          <w:color w:val="auto"/>
          <w:sz w:val="28"/>
          <w:szCs w:val="28"/>
        </w:rPr>
      </w:pPr>
      <w:r>
        <w:rPr>
          <w:rFonts w:hint="eastAsia"/>
          <w:b/>
          <w:bCs/>
          <w:color w:val="auto"/>
          <w:sz w:val="28"/>
          <w:szCs w:val="28"/>
        </w:rPr>
        <w:t>估价对象实地查勘情况说明</w:t>
      </w:r>
    </w:p>
    <w:p>
      <w:pPr>
        <w:jc w:val="center"/>
        <w:rPr>
          <w:color w:val="auto"/>
          <w:sz w:val="28"/>
          <w:szCs w:val="28"/>
        </w:rPr>
      </w:pPr>
    </w:p>
    <w:p>
      <w:pPr>
        <w:ind w:firstLine="840" w:firstLineChars="300"/>
        <w:jc w:val="left"/>
        <w:rPr>
          <w:color w:val="auto"/>
          <w:sz w:val="28"/>
          <w:szCs w:val="28"/>
        </w:rPr>
      </w:pPr>
      <w:r>
        <w:rPr>
          <w:rFonts w:hint="eastAsia"/>
          <w:color w:val="auto"/>
          <w:sz w:val="28"/>
          <w:szCs w:val="28"/>
          <w:lang w:eastAsia="zh-CN"/>
        </w:rPr>
        <w:t>2022年9月26日</w:t>
      </w:r>
      <w:r>
        <w:rPr>
          <w:rFonts w:hint="eastAsia"/>
          <w:color w:val="auto"/>
          <w:sz w:val="28"/>
          <w:szCs w:val="28"/>
        </w:rPr>
        <w:t>，我公司估价人员已对估价对象内部状况、外部状况和周围环境状况进行了实地现场查勘。</w:t>
      </w:r>
    </w:p>
    <w:p>
      <w:pPr>
        <w:ind w:firstLine="840" w:firstLineChars="300"/>
        <w:jc w:val="left"/>
        <w:rPr>
          <w:color w:val="auto"/>
          <w:sz w:val="28"/>
          <w:szCs w:val="28"/>
        </w:rPr>
      </w:pPr>
    </w:p>
    <w:p>
      <w:pPr>
        <w:ind w:firstLine="840" w:firstLineChars="300"/>
        <w:jc w:val="left"/>
        <w:rPr>
          <w:color w:val="auto"/>
          <w:sz w:val="28"/>
          <w:szCs w:val="28"/>
        </w:rPr>
      </w:pPr>
    </w:p>
    <w:p>
      <w:pPr>
        <w:ind w:firstLine="1400" w:firstLineChars="500"/>
        <w:jc w:val="left"/>
        <w:rPr>
          <w:color w:val="auto"/>
          <w:sz w:val="28"/>
          <w:szCs w:val="28"/>
        </w:rPr>
      </w:pPr>
      <w:r>
        <w:rPr>
          <w:rFonts w:hint="eastAsia"/>
          <w:color w:val="auto"/>
          <w:sz w:val="28"/>
          <w:szCs w:val="28"/>
        </w:rPr>
        <w:t xml:space="preserve">特此说明 </w:t>
      </w:r>
    </w:p>
    <w:p>
      <w:pPr>
        <w:ind w:firstLine="1400" w:firstLineChars="500"/>
        <w:jc w:val="left"/>
        <w:rPr>
          <w:color w:val="auto"/>
          <w:sz w:val="28"/>
          <w:szCs w:val="28"/>
        </w:rPr>
      </w:pPr>
    </w:p>
    <w:p>
      <w:pPr>
        <w:ind w:firstLine="1400" w:firstLineChars="500"/>
        <w:jc w:val="left"/>
        <w:rPr>
          <w:color w:val="auto"/>
          <w:sz w:val="28"/>
          <w:szCs w:val="28"/>
        </w:rPr>
      </w:pPr>
    </w:p>
    <w:p>
      <w:pPr>
        <w:spacing w:line="360" w:lineRule="auto"/>
        <w:ind w:firstLine="3224" w:firstLineChars="1100"/>
        <w:rPr>
          <w:rFonts w:ascii="宋体" w:hAnsi="宋体"/>
          <w:b/>
          <w:color w:val="auto"/>
          <w:spacing w:val="6"/>
          <w:sz w:val="28"/>
          <w:szCs w:val="28"/>
        </w:rPr>
      </w:pPr>
      <w:r>
        <w:rPr>
          <w:rFonts w:hint="eastAsia" w:ascii="宋体" w:hAnsi="宋体"/>
          <w:b/>
          <w:color w:val="auto"/>
          <w:spacing w:val="6"/>
          <w:sz w:val="28"/>
          <w:szCs w:val="28"/>
        </w:rPr>
        <w:t>四川四星房地产土地资产评估有限责任公司</w:t>
      </w:r>
    </w:p>
    <w:p>
      <w:pPr>
        <w:spacing w:line="360" w:lineRule="auto"/>
        <w:rPr>
          <w:rFonts w:hint="eastAsia" w:ascii="宋体" w:hAnsi="宋体" w:eastAsia="宋体"/>
          <w:color w:val="auto"/>
          <w:spacing w:val="6"/>
          <w:sz w:val="28"/>
          <w:szCs w:val="28"/>
          <w:lang w:eastAsia="zh-CN"/>
        </w:rPr>
      </w:pPr>
      <w:r>
        <w:rPr>
          <w:rFonts w:hint="eastAsia" w:ascii="宋体" w:hAnsi="宋体"/>
          <w:color w:val="auto"/>
          <w:spacing w:val="6"/>
          <w:sz w:val="28"/>
          <w:szCs w:val="28"/>
        </w:rPr>
        <w:t xml:space="preserve">                               </w:t>
      </w:r>
      <w:r>
        <w:rPr>
          <w:rFonts w:hint="eastAsia" w:ascii="宋体" w:hAnsi="宋体"/>
          <w:color w:val="auto"/>
          <w:spacing w:val="6"/>
          <w:sz w:val="28"/>
          <w:szCs w:val="28"/>
          <w:lang w:eastAsia="zh-CN"/>
        </w:rPr>
        <w:t xml:space="preserve"> 二〇二二年十月八日</w:t>
      </w: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jc w:val="center"/>
        <w:rPr>
          <w:rFonts w:ascii="黑体" w:hAnsi="宋体" w:eastAsia="黑体"/>
          <w:b/>
          <w:color w:val="auto"/>
          <w:spacing w:val="40"/>
          <w:szCs w:val="21"/>
        </w:rPr>
      </w:pPr>
    </w:p>
    <w:p>
      <w:pPr>
        <w:rPr>
          <w:rFonts w:ascii="黑体" w:hAnsi="宋体" w:eastAsia="黑体"/>
          <w:b/>
          <w:color w:val="auto"/>
          <w:spacing w:val="40"/>
          <w:szCs w:val="21"/>
        </w:rPr>
      </w:pPr>
    </w:p>
    <w:p>
      <w:pPr>
        <w:ind w:left="420"/>
        <w:jc w:val="center"/>
        <w:rPr>
          <w:rFonts w:ascii="宋体" w:hAnsi="宋体" w:cs="宋体"/>
          <w:b/>
          <w:color w:val="auto"/>
          <w:sz w:val="28"/>
          <w:szCs w:val="28"/>
        </w:rPr>
      </w:pPr>
      <w:r>
        <w:rPr>
          <w:rFonts w:hint="eastAsia" w:ascii="宋体" w:hAnsi="宋体" w:cs="宋体"/>
          <w:b/>
          <w:color w:val="auto"/>
          <w:sz w:val="28"/>
          <w:szCs w:val="28"/>
        </w:rPr>
        <w:t>无专业帮助和未依据相关专业意见说明</w:t>
      </w:r>
    </w:p>
    <w:p>
      <w:pPr>
        <w:tabs>
          <w:tab w:val="left" w:pos="7245"/>
        </w:tabs>
        <w:ind w:firstLine="560" w:firstLineChars="200"/>
        <w:rPr>
          <w:rFonts w:ascii="宋体" w:hAnsi="宋体" w:cs="宋体"/>
          <w:color w:val="auto"/>
          <w:kern w:val="0"/>
          <w:sz w:val="28"/>
          <w:szCs w:val="28"/>
        </w:rPr>
      </w:pPr>
    </w:p>
    <w:p>
      <w:pPr>
        <w:tabs>
          <w:tab w:val="left" w:pos="7245"/>
        </w:tabs>
        <w:ind w:firstLine="560" w:firstLineChars="200"/>
        <w:rPr>
          <w:rFonts w:ascii="宋体" w:hAnsi="宋体" w:cs="宋体"/>
          <w:color w:val="auto"/>
          <w:kern w:val="0"/>
          <w:sz w:val="28"/>
          <w:szCs w:val="28"/>
        </w:rPr>
      </w:pPr>
      <w:r>
        <w:rPr>
          <w:rFonts w:hint="eastAsia" w:ascii="宋体" w:hAnsi="宋体" w:cs="宋体"/>
          <w:color w:val="auto"/>
          <w:kern w:val="0"/>
          <w:sz w:val="28"/>
          <w:szCs w:val="28"/>
        </w:rPr>
        <w:t>我公司</w:t>
      </w:r>
      <w:r>
        <w:rPr>
          <w:rFonts w:hint="eastAsia" w:ascii="宋体" w:hAnsi="宋体"/>
          <w:color w:val="auto"/>
          <w:sz w:val="28"/>
          <w:szCs w:val="28"/>
          <w:shd w:val="clear" w:color="auto" w:fill="FFFFFF"/>
        </w:rPr>
        <w:t>受</w:t>
      </w:r>
      <w:r>
        <w:rPr>
          <w:rFonts w:hint="eastAsia" w:ascii="宋体" w:hAnsi="宋体"/>
          <w:color w:val="auto"/>
          <w:sz w:val="28"/>
          <w:szCs w:val="28"/>
          <w:shd w:val="clear" w:color="auto" w:fill="FFFFFF"/>
          <w:lang w:eastAsia="zh-CN"/>
        </w:rPr>
        <w:t>通江县人民法院</w:t>
      </w:r>
      <w:r>
        <w:rPr>
          <w:rFonts w:hint="eastAsia" w:ascii="宋体" w:hAnsi="宋体" w:cs="宋体"/>
          <w:color w:val="auto"/>
          <w:kern w:val="0"/>
          <w:sz w:val="28"/>
          <w:szCs w:val="28"/>
        </w:rPr>
        <w:t>委托，对</w:t>
      </w:r>
      <w:r>
        <w:rPr>
          <w:rFonts w:hint="eastAsia" w:ascii="宋体" w:hAnsi="宋体" w:cs="宋体"/>
          <w:color w:val="auto"/>
          <w:kern w:val="0"/>
          <w:sz w:val="28"/>
          <w:szCs w:val="28"/>
          <w:lang w:eastAsia="zh-CN"/>
        </w:rPr>
        <w:t>赵川</w:t>
      </w:r>
      <w:r>
        <w:rPr>
          <w:rFonts w:hint="eastAsia" w:ascii="宋体" w:hAnsi="宋体" w:cs="宋体"/>
          <w:color w:val="auto"/>
          <w:kern w:val="0"/>
          <w:sz w:val="28"/>
          <w:szCs w:val="28"/>
        </w:rPr>
        <w:t>所属位于</w:t>
      </w:r>
      <w:r>
        <w:rPr>
          <w:rFonts w:hint="eastAsia" w:asciiTheme="minorEastAsia" w:hAnsiTheme="minorEastAsia" w:eastAsiaTheme="minorEastAsia"/>
          <w:color w:val="auto"/>
          <w:sz w:val="28"/>
          <w:szCs w:val="28"/>
          <w:lang w:eastAsia="zh-CN"/>
        </w:rPr>
        <w:t>通江县诺江镇诺江东路1楼为营业用房；-1楼为住宅</w:t>
      </w:r>
      <w:r>
        <w:rPr>
          <w:rFonts w:hint="eastAsia" w:asciiTheme="minorEastAsia" w:hAnsiTheme="minorEastAsia" w:eastAsiaTheme="minorEastAsia"/>
          <w:color w:val="auto"/>
          <w:sz w:val="28"/>
          <w:szCs w:val="28"/>
        </w:rPr>
        <w:t>房地产</w:t>
      </w:r>
      <w:r>
        <w:rPr>
          <w:rFonts w:hint="eastAsia" w:ascii="宋体" w:hAnsi="宋体" w:cs="宋体"/>
          <w:color w:val="auto"/>
          <w:kern w:val="0"/>
          <w:sz w:val="28"/>
          <w:szCs w:val="28"/>
        </w:rPr>
        <w:t>的市场价值进行评估。公司注册房地产估价师按照中华人民共和国国家标准GB/T50291—2015《房地产估价规范》、GB/T50899—2013《房地产估价基本术语标准》、《中华人民共和国资产评估法》等相关技术标准和程序，</w:t>
      </w:r>
      <w:r>
        <w:rPr>
          <w:rFonts w:hint="eastAsia" w:ascii="宋体" w:hAnsi="宋体" w:cs="宋体"/>
          <w:color w:val="auto"/>
          <w:sz w:val="28"/>
          <w:szCs w:val="28"/>
        </w:rPr>
        <w:t>独立、客观、公正地完成了</w:t>
      </w:r>
      <w:r>
        <w:rPr>
          <w:rFonts w:hint="eastAsia" w:ascii="宋体" w:hAnsi="宋体" w:cs="宋体"/>
          <w:color w:val="auto"/>
          <w:kern w:val="0"/>
          <w:sz w:val="28"/>
          <w:szCs w:val="28"/>
        </w:rPr>
        <w:t>本次估价，撰写了本估价报告。</w:t>
      </w:r>
    </w:p>
    <w:p>
      <w:pPr>
        <w:ind w:left="420" w:firstLine="560" w:firstLineChars="200"/>
        <w:rPr>
          <w:rFonts w:ascii="宋体" w:hAnsi="宋体" w:cs="宋体"/>
          <w:color w:val="auto"/>
          <w:kern w:val="0"/>
          <w:sz w:val="28"/>
          <w:szCs w:val="28"/>
        </w:rPr>
      </w:pPr>
      <w:r>
        <w:rPr>
          <w:rFonts w:hint="eastAsia" w:ascii="宋体" w:hAnsi="宋体" w:cs="宋体"/>
          <w:color w:val="auto"/>
          <w:kern w:val="0"/>
          <w:sz w:val="28"/>
          <w:szCs w:val="28"/>
        </w:rPr>
        <w:t>我们在本次估价作业中未得到本公司以外的专业帮助，报告中亦未依据其他专业机构或专家相关专业意见。</w:t>
      </w:r>
    </w:p>
    <w:p>
      <w:pPr>
        <w:ind w:left="420" w:firstLine="560" w:firstLineChars="200"/>
        <w:rPr>
          <w:rFonts w:ascii="宋体" w:hAnsi="宋体" w:cs="宋体"/>
          <w:color w:val="auto"/>
          <w:kern w:val="0"/>
          <w:sz w:val="28"/>
          <w:szCs w:val="28"/>
        </w:rPr>
      </w:pPr>
    </w:p>
    <w:p>
      <w:pPr>
        <w:ind w:left="420" w:firstLine="560" w:firstLineChars="200"/>
        <w:rPr>
          <w:rFonts w:ascii="宋体" w:hAnsi="宋体" w:cs="宋体"/>
          <w:color w:val="auto"/>
          <w:kern w:val="0"/>
          <w:sz w:val="28"/>
          <w:szCs w:val="28"/>
        </w:rPr>
      </w:pPr>
      <w:r>
        <w:rPr>
          <w:rFonts w:hint="eastAsia" w:ascii="宋体" w:hAnsi="宋体" w:cs="宋体"/>
          <w:color w:val="auto"/>
          <w:kern w:val="0"/>
          <w:sz w:val="28"/>
          <w:szCs w:val="28"/>
        </w:rPr>
        <w:t>特此说明！</w:t>
      </w:r>
    </w:p>
    <w:p>
      <w:pPr>
        <w:ind w:left="420" w:firstLine="560" w:firstLineChars="200"/>
        <w:rPr>
          <w:rFonts w:ascii="宋体" w:hAnsi="宋体" w:cs="宋体"/>
          <w:color w:val="auto"/>
          <w:kern w:val="0"/>
          <w:sz w:val="28"/>
          <w:szCs w:val="28"/>
        </w:rPr>
      </w:pPr>
    </w:p>
    <w:p>
      <w:pPr>
        <w:spacing w:line="360" w:lineRule="auto"/>
        <w:ind w:left="5586" w:leftChars="2660"/>
        <w:rPr>
          <w:rFonts w:ascii="宋体" w:hAnsi="宋体"/>
          <w:color w:val="auto"/>
          <w:spacing w:val="6"/>
          <w:sz w:val="28"/>
          <w:szCs w:val="28"/>
        </w:rPr>
      </w:pPr>
      <w:r>
        <w:rPr>
          <w:rFonts w:hint="eastAsia" w:ascii="宋体" w:hAnsi="宋体" w:cs="宋体"/>
          <w:color w:val="auto"/>
          <w:sz w:val="28"/>
          <w:szCs w:val="28"/>
        </w:rPr>
        <w:t xml:space="preserve">       </w:t>
      </w:r>
    </w:p>
    <w:p>
      <w:pPr>
        <w:spacing w:line="360" w:lineRule="auto"/>
        <w:rPr>
          <w:rFonts w:ascii="宋体" w:hAnsi="宋体"/>
          <w:b/>
          <w:color w:val="auto"/>
          <w:spacing w:val="6"/>
          <w:sz w:val="28"/>
          <w:szCs w:val="28"/>
        </w:rPr>
      </w:pPr>
      <w:r>
        <w:rPr>
          <w:rFonts w:hint="eastAsia" w:ascii="宋体" w:hAnsi="宋体"/>
          <w:color w:val="auto"/>
          <w:spacing w:val="6"/>
          <w:sz w:val="28"/>
          <w:szCs w:val="28"/>
        </w:rPr>
        <w:t xml:space="preserve">                        </w:t>
      </w:r>
      <w:r>
        <w:rPr>
          <w:rFonts w:hint="eastAsia" w:ascii="宋体" w:hAnsi="宋体"/>
          <w:b/>
          <w:color w:val="auto"/>
          <w:spacing w:val="6"/>
          <w:sz w:val="28"/>
          <w:szCs w:val="28"/>
        </w:rPr>
        <w:t>四川四星房地产土地资产评估有限责任公司</w:t>
      </w:r>
    </w:p>
    <w:p>
      <w:pPr>
        <w:spacing w:line="360" w:lineRule="auto"/>
        <w:rPr>
          <w:rFonts w:hint="eastAsia" w:ascii="宋体" w:hAnsi="宋体" w:eastAsia="宋体"/>
          <w:color w:val="auto"/>
          <w:spacing w:val="6"/>
          <w:sz w:val="28"/>
          <w:szCs w:val="28"/>
          <w:lang w:eastAsia="zh-CN"/>
        </w:rPr>
      </w:pPr>
      <w:r>
        <w:rPr>
          <w:rFonts w:hint="eastAsia" w:ascii="宋体" w:hAnsi="宋体"/>
          <w:color w:val="auto"/>
          <w:spacing w:val="6"/>
          <w:sz w:val="28"/>
          <w:szCs w:val="28"/>
        </w:rPr>
        <w:t xml:space="preserve">                                </w:t>
      </w:r>
      <w:r>
        <w:rPr>
          <w:rFonts w:hint="eastAsia" w:ascii="宋体" w:hAnsi="宋体"/>
          <w:color w:val="auto"/>
          <w:spacing w:val="6"/>
          <w:sz w:val="28"/>
          <w:szCs w:val="28"/>
          <w:lang w:eastAsia="zh-CN"/>
        </w:rPr>
        <w:t xml:space="preserve"> 二〇二二年十月八日</w:t>
      </w:r>
    </w:p>
    <w:p>
      <w:pPr>
        <w:jc w:val="center"/>
        <w:rPr>
          <w:rFonts w:ascii="黑体" w:hAnsi="宋体" w:eastAsia="黑体"/>
          <w:b/>
          <w:color w:val="auto"/>
          <w:spacing w:val="40"/>
          <w:szCs w:val="21"/>
        </w:rPr>
      </w:pPr>
    </w:p>
    <w:p>
      <w:pPr>
        <w:rPr>
          <w:rFonts w:ascii="黑体" w:hAnsi="宋体" w:eastAsia="黑体"/>
          <w:b/>
          <w:color w:val="auto"/>
          <w:spacing w:val="40"/>
          <w:szCs w:val="21"/>
        </w:rPr>
      </w:pPr>
    </w:p>
    <w:p>
      <w:pPr>
        <w:jc w:val="center"/>
        <w:rPr>
          <w:rFonts w:ascii="黑体" w:hAnsi="宋体" w:eastAsia="黑体"/>
          <w:b/>
          <w:color w:val="auto"/>
          <w:spacing w:val="40"/>
          <w:sz w:val="30"/>
          <w:szCs w:val="30"/>
        </w:rPr>
      </w:pPr>
    </w:p>
    <w:p>
      <w:pPr>
        <w:jc w:val="center"/>
        <w:rPr>
          <w:rFonts w:ascii="黑体" w:hAnsi="宋体" w:eastAsia="黑体"/>
          <w:b/>
          <w:color w:val="auto"/>
          <w:spacing w:val="40"/>
          <w:sz w:val="30"/>
          <w:szCs w:val="30"/>
        </w:rPr>
      </w:pPr>
    </w:p>
    <w:p>
      <w:pPr>
        <w:spacing w:line="360" w:lineRule="auto"/>
        <w:rPr>
          <w:color w:val="auto"/>
        </w:rPr>
      </w:pPr>
    </w:p>
    <w:p>
      <w:pPr>
        <w:jc w:val="center"/>
        <w:rPr>
          <w:rFonts w:ascii="黑体" w:hAnsi="宋体" w:eastAsia="黑体"/>
          <w:b/>
          <w:color w:val="auto"/>
          <w:spacing w:val="40"/>
          <w:sz w:val="30"/>
          <w:szCs w:val="30"/>
        </w:rPr>
      </w:pPr>
    </w:p>
    <w:sectPr>
      <w:headerReference r:id="rId3" w:type="default"/>
      <w:footerReference r:id="rId4" w:type="default"/>
      <w:footerReference r:id="rId5" w:type="even"/>
      <w:pgSz w:w="11907" w:h="16840"/>
      <w:pgMar w:top="1304" w:right="1134" w:bottom="779" w:left="1134" w:header="851" w:footer="525" w:gutter="397"/>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1"/>
      <w:tblW w:w="9350" w:type="dxa"/>
      <w:tblInd w:w="108" w:type="dxa"/>
      <w:tblBorders>
        <w:top w:val="single" w:color="auto" w:sz="8"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350"/>
    </w:tblGrid>
    <w:tr>
      <w:tblPrEx>
        <w:tblBorders>
          <w:top w:val="single" w:color="auto" w:sz="8"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3" w:hRule="atLeast"/>
      </w:trPr>
      <w:tc>
        <w:tcPr>
          <w:tcW w:w="9350" w:type="dxa"/>
        </w:tcPr>
        <w:p>
          <w:pPr>
            <w:pStyle w:val="12"/>
            <w:tabs>
              <w:tab w:val="right" w:pos="8882"/>
            </w:tabs>
            <w:spacing w:beforeLines="50"/>
            <w:ind w:right="357"/>
            <w:rPr>
              <w:b/>
            </w:rPr>
          </w:pPr>
          <w:r>
            <w:rPr>
              <w:rStyle w:val="27"/>
              <w:rFonts w:hint="eastAsia"/>
              <w:b/>
              <w:szCs w:val="18"/>
            </w:rPr>
            <w:t xml:space="preserve">联系电话：0830-2394130      传真：0830-3198004  </w:t>
          </w:r>
          <w:r>
            <w:rPr>
              <w:rStyle w:val="27"/>
              <w:rFonts w:hint="eastAsia"/>
              <w:b/>
            </w:rPr>
            <w:t xml:space="preserve">                                          </w:t>
          </w:r>
          <w:r>
            <w:rPr>
              <w:rStyle w:val="27"/>
              <w:rFonts w:hint="eastAsia"/>
              <w:b/>
              <w:kern w:val="0"/>
              <w:szCs w:val="21"/>
            </w:rPr>
            <w:t xml:space="preserve">第 </w:t>
          </w:r>
          <w:r>
            <w:rPr>
              <w:b/>
              <w:kern w:val="0"/>
              <w:szCs w:val="21"/>
            </w:rPr>
            <w:fldChar w:fldCharType="begin"/>
          </w:r>
          <w:r>
            <w:rPr>
              <w:rStyle w:val="27"/>
              <w:b/>
              <w:kern w:val="0"/>
              <w:szCs w:val="21"/>
            </w:rPr>
            <w:instrText xml:space="preserve"> PAGE </w:instrText>
          </w:r>
          <w:r>
            <w:rPr>
              <w:b/>
              <w:kern w:val="0"/>
              <w:szCs w:val="21"/>
            </w:rPr>
            <w:fldChar w:fldCharType="separate"/>
          </w:r>
          <w:r>
            <w:rPr>
              <w:rStyle w:val="27"/>
              <w:b/>
              <w:kern w:val="0"/>
              <w:szCs w:val="21"/>
            </w:rPr>
            <w:t>22</w:t>
          </w:r>
          <w:r>
            <w:rPr>
              <w:b/>
              <w:kern w:val="0"/>
              <w:szCs w:val="21"/>
            </w:rPr>
            <w:fldChar w:fldCharType="end"/>
          </w:r>
          <w:r>
            <w:rPr>
              <w:rStyle w:val="27"/>
              <w:rFonts w:hint="eastAsia"/>
              <w:b/>
              <w:kern w:val="0"/>
              <w:szCs w:val="21"/>
            </w:rPr>
            <w:t xml:space="preserve"> 页 </w:t>
          </w:r>
        </w:p>
      </w:tc>
    </w:tr>
  </w:tbl>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right" w:y="1"/>
      <w:rPr>
        <w:rStyle w:val="27"/>
      </w:rPr>
    </w:pPr>
    <w:r>
      <w:fldChar w:fldCharType="begin"/>
    </w:r>
    <w:r>
      <w:rPr>
        <w:rStyle w:val="27"/>
      </w:rPr>
      <w:instrText xml:space="preserve">PAGE  </w:instrText>
    </w:r>
    <w:r>
      <w:fldChar w:fldCharType="end"/>
    </w:r>
  </w:p>
  <w:p>
    <w:pPr>
      <w:pStyle w:val="12"/>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both"/>
      <w:rPr>
        <w:rFonts w:hint="eastAsia" w:ascii="宋体" w:hAnsi="宋体" w:eastAsia="宋体" w:cs="宋体"/>
        <w:b/>
        <w:sz w:val="21"/>
        <w:lang w:eastAsia="zh-CN"/>
      </w:rPr>
    </w:pPr>
    <w:r>
      <w:drawing>
        <wp:inline distT="0" distB="0" distL="0" distR="0">
          <wp:extent cx="333375" cy="23812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
                  <a:srcRect/>
                  <a:stretch>
                    <a:fillRect/>
                  </a:stretch>
                </pic:blipFill>
                <pic:spPr>
                  <a:xfrm>
                    <a:off x="0" y="0"/>
                    <a:ext cx="333375" cy="238125"/>
                  </a:xfrm>
                  <a:prstGeom prst="rect">
                    <a:avLst/>
                  </a:prstGeom>
                  <a:noFill/>
                  <a:ln w="9525">
                    <a:noFill/>
                    <a:miter lim="800000"/>
                    <a:headEnd/>
                    <a:tailEnd/>
                  </a:ln>
                </pic:spPr>
              </pic:pic>
            </a:graphicData>
          </a:graphic>
        </wp:inline>
      </w:drawing>
    </w:r>
    <w:r>
      <w:rPr>
        <w:rFonts w:hint="eastAsia"/>
        <w:b/>
        <w:sz w:val="21"/>
      </w:rPr>
      <w:t xml:space="preserve">四川四星房地产土地资产评估有限责任公司                    </w:t>
    </w:r>
    <w:r>
      <w:rPr>
        <w:rFonts w:hint="eastAsia" w:ascii="宋体" w:hAnsi="宋体" w:eastAsia="宋体" w:cs="宋体"/>
        <w:b/>
        <w:sz w:val="21"/>
      </w:rPr>
      <w:t>川四星司字[202</w:t>
    </w:r>
    <w:r>
      <w:rPr>
        <w:rFonts w:hint="eastAsia" w:ascii="宋体" w:hAnsi="宋体" w:eastAsia="宋体" w:cs="宋体"/>
        <w:b/>
        <w:sz w:val="21"/>
        <w:lang w:val="en-US" w:eastAsia="zh-CN"/>
      </w:rPr>
      <w:t>2</w:t>
    </w:r>
    <w:r>
      <w:rPr>
        <w:rFonts w:hint="eastAsia" w:ascii="宋体" w:hAnsi="宋体" w:eastAsia="宋体" w:cs="宋体"/>
        <w:b/>
        <w:sz w:val="21"/>
      </w:rPr>
      <w:t>]</w:t>
    </w:r>
    <w:r>
      <w:rPr>
        <w:rFonts w:hint="eastAsia" w:ascii="宋体" w:hAnsi="宋体" w:cs="宋体"/>
        <w:b/>
        <w:sz w:val="21"/>
        <w:lang w:eastAsia="zh-CN"/>
      </w:rPr>
      <w:t>039号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8065C9A"/>
    <w:multiLevelType w:val="singleLevel"/>
    <w:tmpl w:val="98065C9A"/>
    <w:lvl w:ilvl="0" w:tentative="0">
      <w:start w:val="7"/>
      <w:numFmt w:val="chineseCounting"/>
      <w:suff w:val="nothing"/>
      <w:lvlText w:val="（%1）"/>
      <w:lvlJc w:val="left"/>
      <w:rPr>
        <w:rFonts w:hint="eastAsia"/>
      </w:rPr>
    </w:lvl>
  </w:abstractNum>
  <w:abstractNum w:abstractNumId="1">
    <w:nsid w:val="A5224337"/>
    <w:multiLevelType w:val="singleLevel"/>
    <w:tmpl w:val="A5224337"/>
    <w:lvl w:ilvl="0" w:tentative="0">
      <w:start w:val="3"/>
      <w:numFmt w:val="decimal"/>
      <w:suff w:val="nothing"/>
      <w:lvlText w:val="%1、"/>
      <w:lvlJc w:val="left"/>
    </w:lvl>
  </w:abstractNum>
  <w:abstractNum w:abstractNumId="2">
    <w:nsid w:val="EB917232"/>
    <w:multiLevelType w:val="singleLevel"/>
    <w:tmpl w:val="EB917232"/>
    <w:lvl w:ilvl="0" w:tentative="0">
      <w:start w:val="4"/>
      <w:numFmt w:val="chineseCounting"/>
      <w:suff w:val="nothing"/>
      <w:lvlText w:val="%1、"/>
      <w:lvlJc w:val="left"/>
      <w:rPr>
        <w:rFonts w:hint="eastAsia"/>
      </w:rPr>
    </w:lvl>
  </w:abstractNum>
  <w:abstractNum w:abstractNumId="3">
    <w:nsid w:val="F367EDFF"/>
    <w:multiLevelType w:val="singleLevel"/>
    <w:tmpl w:val="F367EDFF"/>
    <w:lvl w:ilvl="0" w:tentative="0">
      <w:start w:val="1"/>
      <w:numFmt w:val="decimal"/>
      <w:suff w:val="nothing"/>
      <w:lvlText w:val="%1、"/>
      <w:lvlJc w:val="left"/>
    </w:lvl>
  </w:abstractNum>
  <w:abstractNum w:abstractNumId="4">
    <w:nsid w:val="0EA9C4E6"/>
    <w:multiLevelType w:val="singleLevel"/>
    <w:tmpl w:val="0EA9C4E6"/>
    <w:lvl w:ilvl="0" w:tentative="0">
      <w:start w:val="1"/>
      <w:numFmt w:val="decimal"/>
      <w:suff w:val="nothing"/>
      <w:lvlText w:val="%1、"/>
      <w:lvlJc w:val="left"/>
    </w:lvl>
  </w:abstractNum>
  <w:abstractNum w:abstractNumId="5">
    <w:nsid w:val="1233DDF5"/>
    <w:multiLevelType w:val="singleLevel"/>
    <w:tmpl w:val="1233DDF5"/>
    <w:lvl w:ilvl="0" w:tentative="0">
      <w:start w:val="5"/>
      <w:numFmt w:val="decimal"/>
      <w:suff w:val="nothing"/>
      <w:lvlText w:val="%1、"/>
      <w:lvlJc w:val="left"/>
    </w:lvl>
  </w:abstractNum>
  <w:abstractNum w:abstractNumId="6">
    <w:nsid w:val="2278BCA7"/>
    <w:multiLevelType w:val="singleLevel"/>
    <w:tmpl w:val="2278BCA7"/>
    <w:lvl w:ilvl="0" w:tentative="0">
      <w:start w:val="1"/>
      <w:numFmt w:val="chineseCounting"/>
      <w:suff w:val="nothing"/>
      <w:lvlText w:val="（%1）"/>
      <w:lvlJc w:val="left"/>
      <w:rPr>
        <w:rFonts w:hint="eastAsia"/>
      </w:rPr>
    </w:lvl>
  </w:abstractNum>
  <w:abstractNum w:abstractNumId="7">
    <w:nsid w:val="227CC6AD"/>
    <w:multiLevelType w:val="singleLevel"/>
    <w:tmpl w:val="227CC6AD"/>
    <w:lvl w:ilvl="0" w:tentative="0">
      <w:start w:val="1"/>
      <w:numFmt w:val="decimal"/>
      <w:suff w:val="nothing"/>
      <w:lvlText w:val="%1、"/>
      <w:lvlJc w:val="left"/>
    </w:lvl>
  </w:abstractNum>
  <w:abstractNum w:abstractNumId="8">
    <w:nsid w:val="2C09D106"/>
    <w:multiLevelType w:val="singleLevel"/>
    <w:tmpl w:val="2C09D106"/>
    <w:lvl w:ilvl="0" w:tentative="0">
      <w:start w:val="8"/>
      <w:numFmt w:val="chineseCounting"/>
      <w:suff w:val="nothing"/>
      <w:lvlText w:val="（%1）"/>
      <w:lvlJc w:val="left"/>
      <w:rPr>
        <w:rFonts w:hint="eastAsia"/>
      </w:rPr>
    </w:lvl>
  </w:abstractNum>
  <w:abstractNum w:abstractNumId="9">
    <w:nsid w:val="47E99A9E"/>
    <w:multiLevelType w:val="singleLevel"/>
    <w:tmpl w:val="47E99A9E"/>
    <w:lvl w:ilvl="0" w:tentative="0">
      <w:start w:val="2"/>
      <w:numFmt w:val="chineseCounting"/>
      <w:suff w:val="nothing"/>
      <w:lvlText w:val="（%1）"/>
      <w:lvlJc w:val="left"/>
      <w:rPr>
        <w:rFonts w:hint="eastAsia"/>
      </w:rPr>
    </w:lvl>
  </w:abstractNum>
  <w:abstractNum w:abstractNumId="10">
    <w:nsid w:val="706ABECC"/>
    <w:multiLevelType w:val="singleLevel"/>
    <w:tmpl w:val="706ABECC"/>
    <w:lvl w:ilvl="0" w:tentative="0">
      <w:start w:val="4"/>
      <w:numFmt w:val="decimal"/>
      <w:suff w:val="nothing"/>
      <w:lvlText w:val="%1、"/>
      <w:lvlJc w:val="left"/>
    </w:lvl>
  </w:abstractNum>
  <w:abstractNum w:abstractNumId="11">
    <w:nsid w:val="72833092"/>
    <w:multiLevelType w:val="singleLevel"/>
    <w:tmpl w:val="72833092"/>
    <w:lvl w:ilvl="0" w:tentative="0">
      <w:start w:val="1"/>
      <w:numFmt w:val="decimal"/>
      <w:suff w:val="nothing"/>
      <w:lvlText w:val="%1、"/>
      <w:lvlJc w:val="left"/>
    </w:lvl>
  </w:abstractNum>
  <w:abstractNum w:abstractNumId="12">
    <w:nsid w:val="778224E1"/>
    <w:multiLevelType w:val="singleLevel"/>
    <w:tmpl w:val="778224E1"/>
    <w:lvl w:ilvl="0" w:tentative="0">
      <w:start w:val="1"/>
      <w:numFmt w:val="decimal"/>
      <w:suff w:val="nothing"/>
      <w:lvlText w:val="%1、"/>
      <w:lvlJc w:val="left"/>
    </w:lvl>
  </w:abstractNum>
  <w:num w:numId="1">
    <w:abstractNumId w:val="2"/>
  </w:num>
  <w:num w:numId="2">
    <w:abstractNumId w:val="1"/>
  </w:num>
  <w:num w:numId="3">
    <w:abstractNumId w:val="9"/>
  </w:num>
  <w:num w:numId="4">
    <w:abstractNumId w:val="4"/>
  </w:num>
  <w:num w:numId="5">
    <w:abstractNumId w:val="5"/>
  </w:num>
  <w:num w:numId="6">
    <w:abstractNumId w:val="7"/>
  </w:num>
  <w:num w:numId="7">
    <w:abstractNumId w:val="3"/>
  </w:num>
  <w:num w:numId="8">
    <w:abstractNumId w:val="0"/>
  </w:num>
  <w:num w:numId="9">
    <w:abstractNumId w:val="11"/>
  </w:num>
  <w:num w:numId="10">
    <w:abstractNumId w:val="10"/>
  </w:num>
  <w:num w:numId="11">
    <w:abstractNumId w:val="8"/>
  </w:num>
  <w:num w:numId="12">
    <w:abstractNumId w:val="12"/>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2"/>
  <w:displayBackgroundShape w:val="1"/>
  <w:bordersDoNotSurroundHeader w:val="0"/>
  <w:bordersDoNotSurroundFooter w:val="0"/>
  <w:documentProtection w:enforcement="0"/>
  <w:defaultTabStop w:val="425"/>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JhMGVmMmIyZmRiMjUzYzViNmE3MjZhMTY1NmIwYWEifQ=="/>
  </w:docVars>
  <w:rsids>
    <w:rsidRoot w:val="00F36CDB"/>
    <w:rsid w:val="00000815"/>
    <w:rsid w:val="00001095"/>
    <w:rsid w:val="00002EA3"/>
    <w:rsid w:val="00003887"/>
    <w:rsid w:val="000040B6"/>
    <w:rsid w:val="00005666"/>
    <w:rsid w:val="0000583C"/>
    <w:rsid w:val="00005892"/>
    <w:rsid w:val="0000637B"/>
    <w:rsid w:val="00006BE1"/>
    <w:rsid w:val="000100D2"/>
    <w:rsid w:val="0001183B"/>
    <w:rsid w:val="000137B1"/>
    <w:rsid w:val="00017219"/>
    <w:rsid w:val="00017246"/>
    <w:rsid w:val="000179D8"/>
    <w:rsid w:val="00020537"/>
    <w:rsid w:val="00025F63"/>
    <w:rsid w:val="000260F5"/>
    <w:rsid w:val="000264E7"/>
    <w:rsid w:val="00026C1B"/>
    <w:rsid w:val="00026E13"/>
    <w:rsid w:val="000310B6"/>
    <w:rsid w:val="000322F3"/>
    <w:rsid w:val="00033067"/>
    <w:rsid w:val="000337D0"/>
    <w:rsid w:val="00033EEB"/>
    <w:rsid w:val="00035447"/>
    <w:rsid w:val="0003653A"/>
    <w:rsid w:val="00040891"/>
    <w:rsid w:val="00041ADB"/>
    <w:rsid w:val="00041F3B"/>
    <w:rsid w:val="00043B61"/>
    <w:rsid w:val="0004472F"/>
    <w:rsid w:val="00045008"/>
    <w:rsid w:val="00045859"/>
    <w:rsid w:val="00045F70"/>
    <w:rsid w:val="00047699"/>
    <w:rsid w:val="00047BCE"/>
    <w:rsid w:val="00047D70"/>
    <w:rsid w:val="00050487"/>
    <w:rsid w:val="00060DBD"/>
    <w:rsid w:val="00061319"/>
    <w:rsid w:val="000618FC"/>
    <w:rsid w:val="00061C32"/>
    <w:rsid w:val="0006279B"/>
    <w:rsid w:val="000635EA"/>
    <w:rsid w:val="00065108"/>
    <w:rsid w:val="000679F7"/>
    <w:rsid w:val="00067DCB"/>
    <w:rsid w:val="00067F52"/>
    <w:rsid w:val="000706DD"/>
    <w:rsid w:val="000707BE"/>
    <w:rsid w:val="000733CA"/>
    <w:rsid w:val="000734E3"/>
    <w:rsid w:val="000738C0"/>
    <w:rsid w:val="00076555"/>
    <w:rsid w:val="00077151"/>
    <w:rsid w:val="0007759F"/>
    <w:rsid w:val="00080468"/>
    <w:rsid w:val="00081973"/>
    <w:rsid w:val="000850A0"/>
    <w:rsid w:val="00085501"/>
    <w:rsid w:val="000865EB"/>
    <w:rsid w:val="00090619"/>
    <w:rsid w:val="000907C0"/>
    <w:rsid w:val="000907D4"/>
    <w:rsid w:val="00090CED"/>
    <w:rsid w:val="00090D70"/>
    <w:rsid w:val="00091C16"/>
    <w:rsid w:val="00092820"/>
    <w:rsid w:val="00093BCF"/>
    <w:rsid w:val="00094063"/>
    <w:rsid w:val="0009495A"/>
    <w:rsid w:val="00094C6A"/>
    <w:rsid w:val="00095D64"/>
    <w:rsid w:val="000962DA"/>
    <w:rsid w:val="00096401"/>
    <w:rsid w:val="00097402"/>
    <w:rsid w:val="000A10EE"/>
    <w:rsid w:val="000A2777"/>
    <w:rsid w:val="000A55CC"/>
    <w:rsid w:val="000A6A7F"/>
    <w:rsid w:val="000A6F0C"/>
    <w:rsid w:val="000B0039"/>
    <w:rsid w:val="000B09E4"/>
    <w:rsid w:val="000B1DC7"/>
    <w:rsid w:val="000B27EC"/>
    <w:rsid w:val="000B2D77"/>
    <w:rsid w:val="000B2E33"/>
    <w:rsid w:val="000B3A97"/>
    <w:rsid w:val="000B62AD"/>
    <w:rsid w:val="000B6548"/>
    <w:rsid w:val="000B7E90"/>
    <w:rsid w:val="000C0564"/>
    <w:rsid w:val="000C143B"/>
    <w:rsid w:val="000C177E"/>
    <w:rsid w:val="000C1D7D"/>
    <w:rsid w:val="000C3656"/>
    <w:rsid w:val="000C3938"/>
    <w:rsid w:val="000C59C3"/>
    <w:rsid w:val="000C7184"/>
    <w:rsid w:val="000C72DF"/>
    <w:rsid w:val="000C74F1"/>
    <w:rsid w:val="000C7E38"/>
    <w:rsid w:val="000D05D3"/>
    <w:rsid w:val="000D138A"/>
    <w:rsid w:val="000D3562"/>
    <w:rsid w:val="000D66D3"/>
    <w:rsid w:val="000D6B99"/>
    <w:rsid w:val="000D6F02"/>
    <w:rsid w:val="000E064B"/>
    <w:rsid w:val="000E06EA"/>
    <w:rsid w:val="000E1C15"/>
    <w:rsid w:val="000E2713"/>
    <w:rsid w:val="000E3865"/>
    <w:rsid w:val="000E3C2A"/>
    <w:rsid w:val="000E46B8"/>
    <w:rsid w:val="000E6075"/>
    <w:rsid w:val="000E645C"/>
    <w:rsid w:val="000E73B3"/>
    <w:rsid w:val="000F0A0E"/>
    <w:rsid w:val="000F18EF"/>
    <w:rsid w:val="000F1D6B"/>
    <w:rsid w:val="000F2643"/>
    <w:rsid w:val="000F2A15"/>
    <w:rsid w:val="000F3082"/>
    <w:rsid w:val="000F6821"/>
    <w:rsid w:val="001002A4"/>
    <w:rsid w:val="00100E16"/>
    <w:rsid w:val="001040A3"/>
    <w:rsid w:val="001053EE"/>
    <w:rsid w:val="0011039D"/>
    <w:rsid w:val="00110692"/>
    <w:rsid w:val="00110B4D"/>
    <w:rsid w:val="00113CED"/>
    <w:rsid w:val="001149F5"/>
    <w:rsid w:val="0011743A"/>
    <w:rsid w:val="001178C4"/>
    <w:rsid w:val="00120065"/>
    <w:rsid w:val="00120086"/>
    <w:rsid w:val="00122AD2"/>
    <w:rsid w:val="001244CB"/>
    <w:rsid w:val="00126A46"/>
    <w:rsid w:val="00126D97"/>
    <w:rsid w:val="001278DD"/>
    <w:rsid w:val="001304F0"/>
    <w:rsid w:val="00130858"/>
    <w:rsid w:val="00130BF2"/>
    <w:rsid w:val="00130E79"/>
    <w:rsid w:val="00130F09"/>
    <w:rsid w:val="00131941"/>
    <w:rsid w:val="001348BC"/>
    <w:rsid w:val="00134D26"/>
    <w:rsid w:val="00135D71"/>
    <w:rsid w:val="0013615B"/>
    <w:rsid w:val="00136CEB"/>
    <w:rsid w:val="0013722B"/>
    <w:rsid w:val="001416FA"/>
    <w:rsid w:val="001433D2"/>
    <w:rsid w:val="001449FD"/>
    <w:rsid w:val="00144E87"/>
    <w:rsid w:val="00145230"/>
    <w:rsid w:val="001472CD"/>
    <w:rsid w:val="0015037A"/>
    <w:rsid w:val="00151818"/>
    <w:rsid w:val="001528F6"/>
    <w:rsid w:val="0015338D"/>
    <w:rsid w:val="00154EBB"/>
    <w:rsid w:val="001568C5"/>
    <w:rsid w:val="00160BBF"/>
    <w:rsid w:val="00161236"/>
    <w:rsid w:val="00162B85"/>
    <w:rsid w:val="001642A0"/>
    <w:rsid w:val="00164F76"/>
    <w:rsid w:val="00165909"/>
    <w:rsid w:val="00165CF6"/>
    <w:rsid w:val="00167041"/>
    <w:rsid w:val="00167473"/>
    <w:rsid w:val="00170258"/>
    <w:rsid w:val="001703BE"/>
    <w:rsid w:val="00172147"/>
    <w:rsid w:val="00172549"/>
    <w:rsid w:val="00173A5C"/>
    <w:rsid w:val="0017420F"/>
    <w:rsid w:val="00174233"/>
    <w:rsid w:val="001752BF"/>
    <w:rsid w:val="00175C0A"/>
    <w:rsid w:val="00175E0C"/>
    <w:rsid w:val="00176AA2"/>
    <w:rsid w:val="00176ECA"/>
    <w:rsid w:val="001807F0"/>
    <w:rsid w:val="0018083F"/>
    <w:rsid w:val="00181865"/>
    <w:rsid w:val="00181FC8"/>
    <w:rsid w:val="00182701"/>
    <w:rsid w:val="00182D00"/>
    <w:rsid w:val="001844FA"/>
    <w:rsid w:val="001854FD"/>
    <w:rsid w:val="00185B6F"/>
    <w:rsid w:val="00186D88"/>
    <w:rsid w:val="0018769F"/>
    <w:rsid w:val="00187B27"/>
    <w:rsid w:val="00187B9E"/>
    <w:rsid w:val="001905DA"/>
    <w:rsid w:val="00191F21"/>
    <w:rsid w:val="0019256C"/>
    <w:rsid w:val="00195827"/>
    <w:rsid w:val="00196826"/>
    <w:rsid w:val="001970F9"/>
    <w:rsid w:val="00197890"/>
    <w:rsid w:val="00197DB8"/>
    <w:rsid w:val="001A11EC"/>
    <w:rsid w:val="001A19CE"/>
    <w:rsid w:val="001A22BA"/>
    <w:rsid w:val="001A487C"/>
    <w:rsid w:val="001A4CAC"/>
    <w:rsid w:val="001A54B1"/>
    <w:rsid w:val="001A69FC"/>
    <w:rsid w:val="001A6AA0"/>
    <w:rsid w:val="001A71D1"/>
    <w:rsid w:val="001B11E3"/>
    <w:rsid w:val="001B14F3"/>
    <w:rsid w:val="001B1F1B"/>
    <w:rsid w:val="001B25CE"/>
    <w:rsid w:val="001B2A8A"/>
    <w:rsid w:val="001B2BF9"/>
    <w:rsid w:val="001B3A4B"/>
    <w:rsid w:val="001B58B2"/>
    <w:rsid w:val="001C0CCD"/>
    <w:rsid w:val="001C0D72"/>
    <w:rsid w:val="001C1DAF"/>
    <w:rsid w:val="001C29EB"/>
    <w:rsid w:val="001C39E4"/>
    <w:rsid w:val="001C4709"/>
    <w:rsid w:val="001C5637"/>
    <w:rsid w:val="001C67D5"/>
    <w:rsid w:val="001C6A64"/>
    <w:rsid w:val="001C7EBA"/>
    <w:rsid w:val="001D0127"/>
    <w:rsid w:val="001D0EC6"/>
    <w:rsid w:val="001D0FE3"/>
    <w:rsid w:val="001D1E96"/>
    <w:rsid w:val="001D2BDD"/>
    <w:rsid w:val="001D3410"/>
    <w:rsid w:val="001D494B"/>
    <w:rsid w:val="001D4DF2"/>
    <w:rsid w:val="001D5B55"/>
    <w:rsid w:val="001D62F5"/>
    <w:rsid w:val="001D6E5B"/>
    <w:rsid w:val="001D709C"/>
    <w:rsid w:val="001D7E2F"/>
    <w:rsid w:val="001E0FC3"/>
    <w:rsid w:val="001E15FA"/>
    <w:rsid w:val="001E1F85"/>
    <w:rsid w:val="001E2496"/>
    <w:rsid w:val="001E2869"/>
    <w:rsid w:val="001E3352"/>
    <w:rsid w:val="001E3524"/>
    <w:rsid w:val="001E3DA8"/>
    <w:rsid w:val="001E42F4"/>
    <w:rsid w:val="001E4BD6"/>
    <w:rsid w:val="001E4EC5"/>
    <w:rsid w:val="001E563C"/>
    <w:rsid w:val="001E7DE1"/>
    <w:rsid w:val="001F0B72"/>
    <w:rsid w:val="001F192E"/>
    <w:rsid w:val="001F270C"/>
    <w:rsid w:val="001F3AA4"/>
    <w:rsid w:val="001F4478"/>
    <w:rsid w:val="001F636E"/>
    <w:rsid w:val="001F6E41"/>
    <w:rsid w:val="001F7DDB"/>
    <w:rsid w:val="00200947"/>
    <w:rsid w:val="00200F16"/>
    <w:rsid w:val="002028A7"/>
    <w:rsid w:val="0020379F"/>
    <w:rsid w:val="00204131"/>
    <w:rsid w:val="00205EDD"/>
    <w:rsid w:val="00207542"/>
    <w:rsid w:val="0021546A"/>
    <w:rsid w:val="00215523"/>
    <w:rsid w:val="0021635F"/>
    <w:rsid w:val="00216480"/>
    <w:rsid w:val="002169F4"/>
    <w:rsid w:val="00216D74"/>
    <w:rsid w:val="002171B3"/>
    <w:rsid w:val="00217CC5"/>
    <w:rsid w:val="002200F6"/>
    <w:rsid w:val="00220F57"/>
    <w:rsid w:val="0022341F"/>
    <w:rsid w:val="00223755"/>
    <w:rsid w:val="0022420A"/>
    <w:rsid w:val="002245B2"/>
    <w:rsid w:val="00224E04"/>
    <w:rsid w:val="0022667B"/>
    <w:rsid w:val="00226921"/>
    <w:rsid w:val="00232D3F"/>
    <w:rsid w:val="00233312"/>
    <w:rsid w:val="00233C37"/>
    <w:rsid w:val="0023419B"/>
    <w:rsid w:val="002344FB"/>
    <w:rsid w:val="002344FF"/>
    <w:rsid w:val="00236A60"/>
    <w:rsid w:val="002370E1"/>
    <w:rsid w:val="00240C56"/>
    <w:rsid w:val="0024147A"/>
    <w:rsid w:val="002416D8"/>
    <w:rsid w:val="00241FF6"/>
    <w:rsid w:val="00242947"/>
    <w:rsid w:val="002431B3"/>
    <w:rsid w:val="00243566"/>
    <w:rsid w:val="00244AAA"/>
    <w:rsid w:val="00244C48"/>
    <w:rsid w:val="00246F68"/>
    <w:rsid w:val="00251214"/>
    <w:rsid w:val="002515E6"/>
    <w:rsid w:val="002516B1"/>
    <w:rsid w:val="00251A67"/>
    <w:rsid w:val="00253989"/>
    <w:rsid w:val="0025420D"/>
    <w:rsid w:val="002543C2"/>
    <w:rsid w:val="00254576"/>
    <w:rsid w:val="0025742B"/>
    <w:rsid w:val="00257A38"/>
    <w:rsid w:val="002610FB"/>
    <w:rsid w:val="0026170D"/>
    <w:rsid w:val="00261F15"/>
    <w:rsid w:val="002622B3"/>
    <w:rsid w:val="00262FB7"/>
    <w:rsid w:val="00264222"/>
    <w:rsid w:val="002705E7"/>
    <w:rsid w:val="00270C9F"/>
    <w:rsid w:val="002726B8"/>
    <w:rsid w:val="0027348F"/>
    <w:rsid w:val="00273F37"/>
    <w:rsid w:val="00274554"/>
    <w:rsid w:val="00274AE1"/>
    <w:rsid w:val="00276AE0"/>
    <w:rsid w:val="00276E58"/>
    <w:rsid w:val="00276E84"/>
    <w:rsid w:val="0027727D"/>
    <w:rsid w:val="00277AAF"/>
    <w:rsid w:val="00281093"/>
    <w:rsid w:val="002810A7"/>
    <w:rsid w:val="0028217B"/>
    <w:rsid w:val="00282186"/>
    <w:rsid w:val="002823D9"/>
    <w:rsid w:val="002828E1"/>
    <w:rsid w:val="00285766"/>
    <w:rsid w:val="00291E8D"/>
    <w:rsid w:val="00294B72"/>
    <w:rsid w:val="00295DEC"/>
    <w:rsid w:val="00297CC7"/>
    <w:rsid w:val="002A0A05"/>
    <w:rsid w:val="002A0B04"/>
    <w:rsid w:val="002A1045"/>
    <w:rsid w:val="002A170D"/>
    <w:rsid w:val="002A2461"/>
    <w:rsid w:val="002A390A"/>
    <w:rsid w:val="002A7959"/>
    <w:rsid w:val="002A7F86"/>
    <w:rsid w:val="002B0607"/>
    <w:rsid w:val="002B111F"/>
    <w:rsid w:val="002B1FCC"/>
    <w:rsid w:val="002B21B9"/>
    <w:rsid w:val="002B22CB"/>
    <w:rsid w:val="002B2981"/>
    <w:rsid w:val="002B31DE"/>
    <w:rsid w:val="002B3A8A"/>
    <w:rsid w:val="002B5278"/>
    <w:rsid w:val="002B5466"/>
    <w:rsid w:val="002B6CA7"/>
    <w:rsid w:val="002B7EB0"/>
    <w:rsid w:val="002C059E"/>
    <w:rsid w:val="002C0B11"/>
    <w:rsid w:val="002C4B8B"/>
    <w:rsid w:val="002C4B9C"/>
    <w:rsid w:val="002C517F"/>
    <w:rsid w:val="002C5BEB"/>
    <w:rsid w:val="002C62C1"/>
    <w:rsid w:val="002C6851"/>
    <w:rsid w:val="002C6FB3"/>
    <w:rsid w:val="002C7953"/>
    <w:rsid w:val="002D1162"/>
    <w:rsid w:val="002D1C68"/>
    <w:rsid w:val="002D22A4"/>
    <w:rsid w:val="002D24BE"/>
    <w:rsid w:val="002D5EA6"/>
    <w:rsid w:val="002D63A6"/>
    <w:rsid w:val="002D6B60"/>
    <w:rsid w:val="002D6EC1"/>
    <w:rsid w:val="002D7DD0"/>
    <w:rsid w:val="002E0088"/>
    <w:rsid w:val="002E0A11"/>
    <w:rsid w:val="002E1245"/>
    <w:rsid w:val="002E1CE4"/>
    <w:rsid w:val="002E30AF"/>
    <w:rsid w:val="002E436B"/>
    <w:rsid w:val="002E6500"/>
    <w:rsid w:val="002E6D32"/>
    <w:rsid w:val="002E7D8B"/>
    <w:rsid w:val="002E7EDF"/>
    <w:rsid w:val="002F0B8E"/>
    <w:rsid w:val="002F1728"/>
    <w:rsid w:val="002F1E94"/>
    <w:rsid w:val="002F265C"/>
    <w:rsid w:val="002F29DB"/>
    <w:rsid w:val="002F3EF2"/>
    <w:rsid w:val="002F4F73"/>
    <w:rsid w:val="002F4FCD"/>
    <w:rsid w:val="002F57E7"/>
    <w:rsid w:val="002F59E2"/>
    <w:rsid w:val="002F5CB4"/>
    <w:rsid w:val="002F7BE7"/>
    <w:rsid w:val="00301830"/>
    <w:rsid w:val="0030283E"/>
    <w:rsid w:val="003030CF"/>
    <w:rsid w:val="00303391"/>
    <w:rsid w:val="00303A19"/>
    <w:rsid w:val="00304550"/>
    <w:rsid w:val="0030532F"/>
    <w:rsid w:val="003070C2"/>
    <w:rsid w:val="003103A8"/>
    <w:rsid w:val="00310DA3"/>
    <w:rsid w:val="003143E0"/>
    <w:rsid w:val="00316131"/>
    <w:rsid w:val="003204B5"/>
    <w:rsid w:val="00321E3C"/>
    <w:rsid w:val="003248DC"/>
    <w:rsid w:val="00324968"/>
    <w:rsid w:val="00325722"/>
    <w:rsid w:val="00325B40"/>
    <w:rsid w:val="00326099"/>
    <w:rsid w:val="00327CD0"/>
    <w:rsid w:val="00330C4F"/>
    <w:rsid w:val="00332048"/>
    <w:rsid w:val="0033247E"/>
    <w:rsid w:val="00334DB0"/>
    <w:rsid w:val="00336DE4"/>
    <w:rsid w:val="00341705"/>
    <w:rsid w:val="00342FC8"/>
    <w:rsid w:val="003435E8"/>
    <w:rsid w:val="00347A6C"/>
    <w:rsid w:val="00350103"/>
    <w:rsid w:val="00350BEA"/>
    <w:rsid w:val="00354CA6"/>
    <w:rsid w:val="0035586D"/>
    <w:rsid w:val="003558AD"/>
    <w:rsid w:val="00355AFB"/>
    <w:rsid w:val="003568E7"/>
    <w:rsid w:val="00356E3E"/>
    <w:rsid w:val="0035770B"/>
    <w:rsid w:val="00360AC3"/>
    <w:rsid w:val="00360E37"/>
    <w:rsid w:val="003610B8"/>
    <w:rsid w:val="00361F11"/>
    <w:rsid w:val="00362672"/>
    <w:rsid w:val="00362F40"/>
    <w:rsid w:val="0036606B"/>
    <w:rsid w:val="00366520"/>
    <w:rsid w:val="00366BDA"/>
    <w:rsid w:val="00366C20"/>
    <w:rsid w:val="00367537"/>
    <w:rsid w:val="00367AF9"/>
    <w:rsid w:val="003715F9"/>
    <w:rsid w:val="00371AFB"/>
    <w:rsid w:val="00371CE0"/>
    <w:rsid w:val="0037340A"/>
    <w:rsid w:val="003736E4"/>
    <w:rsid w:val="00373943"/>
    <w:rsid w:val="00375F51"/>
    <w:rsid w:val="003770EC"/>
    <w:rsid w:val="0038027D"/>
    <w:rsid w:val="00385C1F"/>
    <w:rsid w:val="00386469"/>
    <w:rsid w:val="00387B96"/>
    <w:rsid w:val="00387DEC"/>
    <w:rsid w:val="00390BCA"/>
    <w:rsid w:val="00392EEB"/>
    <w:rsid w:val="00393486"/>
    <w:rsid w:val="00394295"/>
    <w:rsid w:val="00395089"/>
    <w:rsid w:val="00397453"/>
    <w:rsid w:val="00397FE7"/>
    <w:rsid w:val="003A0B62"/>
    <w:rsid w:val="003A0D37"/>
    <w:rsid w:val="003A1546"/>
    <w:rsid w:val="003A19A8"/>
    <w:rsid w:val="003A1EB8"/>
    <w:rsid w:val="003A56D7"/>
    <w:rsid w:val="003A5735"/>
    <w:rsid w:val="003A59A4"/>
    <w:rsid w:val="003A746A"/>
    <w:rsid w:val="003A74A3"/>
    <w:rsid w:val="003B06C0"/>
    <w:rsid w:val="003B07F6"/>
    <w:rsid w:val="003B2B72"/>
    <w:rsid w:val="003B3334"/>
    <w:rsid w:val="003B47EC"/>
    <w:rsid w:val="003B5DDE"/>
    <w:rsid w:val="003B5E24"/>
    <w:rsid w:val="003C16ED"/>
    <w:rsid w:val="003C3E78"/>
    <w:rsid w:val="003C3F1E"/>
    <w:rsid w:val="003C4205"/>
    <w:rsid w:val="003C5CC8"/>
    <w:rsid w:val="003C6A8F"/>
    <w:rsid w:val="003C6EA6"/>
    <w:rsid w:val="003C6F66"/>
    <w:rsid w:val="003C78D8"/>
    <w:rsid w:val="003D0004"/>
    <w:rsid w:val="003D04F3"/>
    <w:rsid w:val="003D0E1B"/>
    <w:rsid w:val="003D28E1"/>
    <w:rsid w:val="003D2B38"/>
    <w:rsid w:val="003D2EC4"/>
    <w:rsid w:val="003D2ED5"/>
    <w:rsid w:val="003D32AE"/>
    <w:rsid w:val="003D3677"/>
    <w:rsid w:val="003D3AE0"/>
    <w:rsid w:val="003D4837"/>
    <w:rsid w:val="003D5977"/>
    <w:rsid w:val="003D62B6"/>
    <w:rsid w:val="003D7784"/>
    <w:rsid w:val="003D792D"/>
    <w:rsid w:val="003D7F9F"/>
    <w:rsid w:val="003E0005"/>
    <w:rsid w:val="003E071E"/>
    <w:rsid w:val="003E2384"/>
    <w:rsid w:val="003E3289"/>
    <w:rsid w:val="003E3691"/>
    <w:rsid w:val="003E3F92"/>
    <w:rsid w:val="003E429D"/>
    <w:rsid w:val="003E5A5B"/>
    <w:rsid w:val="003E7525"/>
    <w:rsid w:val="003E7EB5"/>
    <w:rsid w:val="003F0576"/>
    <w:rsid w:val="003F0ABC"/>
    <w:rsid w:val="003F1C8B"/>
    <w:rsid w:val="003F28FD"/>
    <w:rsid w:val="003F2FC1"/>
    <w:rsid w:val="003F57CE"/>
    <w:rsid w:val="004000B7"/>
    <w:rsid w:val="004004E6"/>
    <w:rsid w:val="00402262"/>
    <w:rsid w:val="00404109"/>
    <w:rsid w:val="00405BE4"/>
    <w:rsid w:val="00406425"/>
    <w:rsid w:val="0041047A"/>
    <w:rsid w:val="0041182B"/>
    <w:rsid w:val="00412D21"/>
    <w:rsid w:val="004135FB"/>
    <w:rsid w:val="00413B83"/>
    <w:rsid w:val="00414002"/>
    <w:rsid w:val="00414BCF"/>
    <w:rsid w:val="004160F6"/>
    <w:rsid w:val="0041685F"/>
    <w:rsid w:val="004176D4"/>
    <w:rsid w:val="00417C3B"/>
    <w:rsid w:val="00420163"/>
    <w:rsid w:val="00420890"/>
    <w:rsid w:val="00420C64"/>
    <w:rsid w:val="00421F1A"/>
    <w:rsid w:val="00422EE0"/>
    <w:rsid w:val="00423BC7"/>
    <w:rsid w:val="00423BC9"/>
    <w:rsid w:val="0042402F"/>
    <w:rsid w:val="00430AE6"/>
    <w:rsid w:val="00432874"/>
    <w:rsid w:val="004337EC"/>
    <w:rsid w:val="00433C80"/>
    <w:rsid w:val="00434EA9"/>
    <w:rsid w:val="00435D48"/>
    <w:rsid w:val="00436671"/>
    <w:rsid w:val="0043672D"/>
    <w:rsid w:val="00437821"/>
    <w:rsid w:val="00437F2D"/>
    <w:rsid w:val="00437F46"/>
    <w:rsid w:val="00441D7D"/>
    <w:rsid w:val="00441D91"/>
    <w:rsid w:val="00441FE0"/>
    <w:rsid w:val="00442A8F"/>
    <w:rsid w:val="0044303D"/>
    <w:rsid w:val="0044333A"/>
    <w:rsid w:val="0044400C"/>
    <w:rsid w:val="0044518F"/>
    <w:rsid w:val="0044546D"/>
    <w:rsid w:val="004467C9"/>
    <w:rsid w:val="0045005C"/>
    <w:rsid w:val="00451E92"/>
    <w:rsid w:val="004522ED"/>
    <w:rsid w:val="00452970"/>
    <w:rsid w:val="0045495B"/>
    <w:rsid w:val="00454D9F"/>
    <w:rsid w:val="00455553"/>
    <w:rsid w:val="0045557F"/>
    <w:rsid w:val="00455849"/>
    <w:rsid w:val="00455B03"/>
    <w:rsid w:val="004577D3"/>
    <w:rsid w:val="00457D0E"/>
    <w:rsid w:val="004616F1"/>
    <w:rsid w:val="00465617"/>
    <w:rsid w:val="00465A9C"/>
    <w:rsid w:val="00465E34"/>
    <w:rsid w:val="0046713E"/>
    <w:rsid w:val="004701F4"/>
    <w:rsid w:val="0047089F"/>
    <w:rsid w:val="00470AC4"/>
    <w:rsid w:val="00470F73"/>
    <w:rsid w:val="00471361"/>
    <w:rsid w:val="00472FAB"/>
    <w:rsid w:val="0047596E"/>
    <w:rsid w:val="00475BD3"/>
    <w:rsid w:val="00475ED3"/>
    <w:rsid w:val="00475F0A"/>
    <w:rsid w:val="00476279"/>
    <w:rsid w:val="00476777"/>
    <w:rsid w:val="00477BF2"/>
    <w:rsid w:val="004841EC"/>
    <w:rsid w:val="0048422B"/>
    <w:rsid w:val="00484825"/>
    <w:rsid w:val="00484B29"/>
    <w:rsid w:val="00485E37"/>
    <w:rsid w:val="00490186"/>
    <w:rsid w:val="0049032E"/>
    <w:rsid w:val="00491F5F"/>
    <w:rsid w:val="0049472C"/>
    <w:rsid w:val="00494734"/>
    <w:rsid w:val="00494EDB"/>
    <w:rsid w:val="00495C49"/>
    <w:rsid w:val="00496C94"/>
    <w:rsid w:val="00497718"/>
    <w:rsid w:val="004979A2"/>
    <w:rsid w:val="004A0AA7"/>
    <w:rsid w:val="004A0ADD"/>
    <w:rsid w:val="004A1D97"/>
    <w:rsid w:val="004A1E86"/>
    <w:rsid w:val="004A2642"/>
    <w:rsid w:val="004A2AFF"/>
    <w:rsid w:val="004A2CB5"/>
    <w:rsid w:val="004A370A"/>
    <w:rsid w:val="004A675A"/>
    <w:rsid w:val="004A718F"/>
    <w:rsid w:val="004A7793"/>
    <w:rsid w:val="004A7FBC"/>
    <w:rsid w:val="004B0163"/>
    <w:rsid w:val="004B038E"/>
    <w:rsid w:val="004B1057"/>
    <w:rsid w:val="004B182A"/>
    <w:rsid w:val="004B3BAF"/>
    <w:rsid w:val="004B6701"/>
    <w:rsid w:val="004B7682"/>
    <w:rsid w:val="004B7D9F"/>
    <w:rsid w:val="004C045B"/>
    <w:rsid w:val="004C0AFA"/>
    <w:rsid w:val="004C0B68"/>
    <w:rsid w:val="004C31A6"/>
    <w:rsid w:val="004C4BA1"/>
    <w:rsid w:val="004C5580"/>
    <w:rsid w:val="004C653C"/>
    <w:rsid w:val="004C77FA"/>
    <w:rsid w:val="004D025D"/>
    <w:rsid w:val="004D0D60"/>
    <w:rsid w:val="004D18CB"/>
    <w:rsid w:val="004D210E"/>
    <w:rsid w:val="004D2EA9"/>
    <w:rsid w:val="004D3749"/>
    <w:rsid w:val="004D3FFD"/>
    <w:rsid w:val="004D49EA"/>
    <w:rsid w:val="004D531C"/>
    <w:rsid w:val="004D70D4"/>
    <w:rsid w:val="004D7F35"/>
    <w:rsid w:val="004E051F"/>
    <w:rsid w:val="004E053A"/>
    <w:rsid w:val="004E05C7"/>
    <w:rsid w:val="004E062C"/>
    <w:rsid w:val="004E0AF8"/>
    <w:rsid w:val="004E231C"/>
    <w:rsid w:val="004E3330"/>
    <w:rsid w:val="004E3B01"/>
    <w:rsid w:val="004E3DC4"/>
    <w:rsid w:val="004E4CFC"/>
    <w:rsid w:val="004E5255"/>
    <w:rsid w:val="004E7036"/>
    <w:rsid w:val="004F0566"/>
    <w:rsid w:val="004F14C2"/>
    <w:rsid w:val="004F15BE"/>
    <w:rsid w:val="004F30B0"/>
    <w:rsid w:val="004F31D2"/>
    <w:rsid w:val="004F41E8"/>
    <w:rsid w:val="004F4FF2"/>
    <w:rsid w:val="004F5FCE"/>
    <w:rsid w:val="004F6655"/>
    <w:rsid w:val="004F78CC"/>
    <w:rsid w:val="005001A1"/>
    <w:rsid w:val="00500FDF"/>
    <w:rsid w:val="005014D3"/>
    <w:rsid w:val="0050193F"/>
    <w:rsid w:val="00501DCD"/>
    <w:rsid w:val="00503C46"/>
    <w:rsid w:val="00503F25"/>
    <w:rsid w:val="00505578"/>
    <w:rsid w:val="00506DE9"/>
    <w:rsid w:val="00510A58"/>
    <w:rsid w:val="00510A62"/>
    <w:rsid w:val="00511205"/>
    <w:rsid w:val="0051125E"/>
    <w:rsid w:val="00511764"/>
    <w:rsid w:val="00511D1C"/>
    <w:rsid w:val="00512248"/>
    <w:rsid w:val="00512B4C"/>
    <w:rsid w:val="0051416A"/>
    <w:rsid w:val="005149D2"/>
    <w:rsid w:val="00515F9E"/>
    <w:rsid w:val="005164B6"/>
    <w:rsid w:val="00516B43"/>
    <w:rsid w:val="00516CAC"/>
    <w:rsid w:val="00517B16"/>
    <w:rsid w:val="00520021"/>
    <w:rsid w:val="00521FBF"/>
    <w:rsid w:val="00522A96"/>
    <w:rsid w:val="005232AE"/>
    <w:rsid w:val="005234B4"/>
    <w:rsid w:val="005239A1"/>
    <w:rsid w:val="00531C12"/>
    <w:rsid w:val="00533C42"/>
    <w:rsid w:val="00534F79"/>
    <w:rsid w:val="0053684A"/>
    <w:rsid w:val="0053702E"/>
    <w:rsid w:val="00537DE3"/>
    <w:rsid w:val="00540A95"/>
    <w:rsid w:val="00541452"/>
    <w:rsid w:val="00542279"/>
    <w:rsid w:val="00542CF6"/>
    <w:rsid w:val="0054584A"/>
    <w:rsid w:val="00547760"/>
    <w:rsid w:val="00550375"/>
    <w:rsid w:val="00550DCB"/>
    <w:rsid w:val="00551715"/>
    <w:rsid w:val="005522F2"/>
    <w:rsid w:val="0055245D"/>
    <w:rsid w:val="00553514"/>
    <w:rsid w:val="00554F42"/>
    <w:rsid w:val="005551BA"/>
    <w:rsid w:val="005555F7"/>
    <w:rsid w:val="005559B1"/>
    <w:rsid w:val="005567FC"/>
    <w:rsid w:val="00557F43"/>
    <w:rsid w:val="0056000B"/>
    <w:rsid w:val="0056069B"/>
    <w:rsid w:val="0056075C"/>
    <w:rsid w:val="00560A13"/>
    <w:rsid w:val="005625ED"/>
    <w:rsid w:val="00563AD0"/>
    <w:rsid w:val="00564D26"/>
    <w:rsid w:val="0056740E"/>
    <w:rsid w:val="005675C6"/>
    <w:rsid w:val="00567860"/>
    <w:rsid w:val="005705DE"/>
    <w:rsid w:val="00571520"/>
    <w:rsid w:val="00574434"/>
    <w:rsid w:val="00575255"/>
    <w:rsid w:val="00576B58"/>
    <w:rsid w:val="00576BD0"/>
    <w:rsid w:val="00577A42"/>
    <w:rsid w:val="00577AC7"/>
    <w:rsid w:val="005803CC"/>
    <w:rsid w:val="005807F4"/>
    <w:rsid w:val="0058144C"/>
    <w:rsid w:val="00581852"/>
    <w:rsid w:val="00582393"/>
    <w:rsid w:val="0058482E"/>
    <w:rsid w:val="00585872"/>
    <w:rsid w:val="00585C61"/>
    <w:rsid w:val="00585E91"/>
    <w:rsid w:val="005867A2"/>
    <w:rsid w:val="00587E2F"/>
    <w:rsid w:val="005906F9"/>
    <w:rsid w:val="00592125"/>
    <w:rsid w:val="005926D5"/>
    <w:rsid w:val="00592978"/>
    <w:rsid w:val="00592FBC"/>
    <w:rsid w:val="00593D0F"/>
    <w:rsid w:val="00594A12"/>
    <w:rsid w:val="0059594D"/>
    <w:rsid w:val="00596031"/>
    <w:rsid w:val="00596B58"/>
    <w:rsid w:val="005A0877"/>
    <w:rsid w:val="005A08A5"/>
    <w:rsid w:val="005A1577"/>
    <w:rsid w:val="005A1AB2"/>
    <w:rsid w:val="005A4A50"/>
    <w:rsid w:val="005A54FF"/>
    <w:rsid w:val="005A5CF3"/>
    <w:rsid w:val="005A62C1"/>
    <w:rsid w:val="005A73CA"/>
    <w:rsid w:val="005B1210"/>
    <w:rsid w:val="005B3313"/>
    <w:rsid w:val="005B35C0"/>
    <w:rsid w:val="005B4D71"/>
    <w:rsid w:val="005B5069"/>
    <w:rsid w:val="005B523A"/>
    <w:rsid w:val="005B6BA0"/>
    <w:rsid w:val="005B6C0B"/>
    <w:rsid w:val="005B7AA2"/>
    <w:rsid w:val="005C073D"/>
    <w:rsid w:val="005C0A86"/>
    <w:rsid w:val="005C4D8C"/>
    <w:rsid w:val="005C5826"/>
    <w:rsid w:val="005D03E5"/>
    <w:rsid w:val="005D0BB1"/>
    <w:rsid w:val="005D2232"/>
    <w:rsid w:val="005D37D4"/>
    <w:rsid w:val="005D447E"/>
    <w:rsid w:val="005D5573"/>
    <w:rsid w:val="005D566A"/>
    <w:rsid w:val="005D79EA"/>
    <w:rsid w:val="005D7AEA"/>
    <w:rsid w:val="005D7D3A"/>
    <w:rsid w:val="005E1D12"/>
    <w:rsid w:val="005E2075"/>
    <w:rsid w:val="005E4376"/>
    <w:rsid w:val="005E45D2"/>
    <w:rsid w:val="005E45EA"/>
    <w:rsid w:val="005E4922"/>
    <w:rsid w:val="005E4F1A"/>
    <w:rsid w:val="005E523F"/>
    <w:rsid w:val="005E5325"/>
    <w:rsid w:val="005E546F"/>
    <w:rsid w:val="005E5A3F"/>
    <w:rsid w:val="005E5C50"/>
    <w:rsid w:val="005E6F96"/>
    <w:rsid w:val="005F1339"/>
    <w:rsid w:val="005F1CDD"/>
    <w:rsid w:val="005F23A5"/>
    <w:rsid w:val="005F370D"/>
    <w:rsid w:val="005F4FFE"/>
    <w:rsid w:val="005F50CA"/>
    <w:rsid w:val="005F745B"/>
    <w:rsid w:val="005F7B19"/>
    <w:rsid w:val="006008D8"/>
    <w:rsid w:val="006010BE"/>
    <w:rsid w:val="0060198C"/>
    <w:rsid w:val="00604BA2"/>
    <w:rsid w:val="006056A1"/>
    <w:rsid w:val="00606B88"/>
    <w:rsid w:val="00610738"/>
    <w:rsid w:val="006115DA"/>
    <w:rsid w:val="006118B8"/>
    <w:rsid w:val="00612EAA"/>
    <w:rsid w:val="006146E9"/>
    <w:rsid w:val="00615990"/>
    <w:rsid w:val="006164F8"/>
    <w:rsid w:val="00616B70"/>
    <w:rsid w:val="006176E5"/>
    <w:rsid w:val="006200F0"/>
    <w:rsid w:val="0062055B"/>
    <w:rsid w:val="00623967"/>
    <w:rsid w:val="00623C64"/>
    <w:rsid w:val="006245A7"/>
    <w:rsid w:val="00625873"/>
    <w:rsid w:val="00627E37"/>
    <w:rsid w:val="00632A40"/>
    <w:rsid w:val="00634F0E"/>
    <w:rsid w:val="006351E5"/>
    <w:rsid w:val="00635209"/>
    <w:rsid w:val="00635316"/>
    <w:rsid w:val="006357ED"/>
    <w:rsid w:val="00637057"/>
    <w:rsid w:val="0063720A"/>
    <w:rsid w:val="00640BA6"/>
    <w:rsid w:val="006411F1"/>
    <w:rsid w:val="006416E1"/>
    <w:rsid w:val="00642085"/>
    <w:rsid w:val="0064373A"/>
    <w:rsid w:val="00643752"/>
    <w:rsid w:val="0064511A"/>
    <w:rsid w:val="006475DC"/>
    <w:rsid w:val="00647BC9"/>
    <w:rsid w:val="0065018B"/>
    <w:rsid w:val="00650780"/>
    <w:rsid w:val="00650AF5"/>
    <w:rsid w:val="0065215B"/>
    <w:rsid w:val="00654473"/>
    <w:rsid w:val="00654C1B"/>
    <w:rsid w:val="00654D82"/>
    <w:rsid w:val="00654F4E"/>
    <w:rsid w:val="00655D62"/>
    <w:rsid w:val="00657099"/>
    <w:rsid w:val="006572F3"/>
    <w:rsid w:val="00657954"/>
    <w:rsid w:val="00660350"/>
    <w:rsid w:val="006604ED"/>
    <w:rsid w:val="00660CC7"/>
    <w:rsid w:val="00663945"/>
    <w:rsid w:val="00663B64"/>
    <w:rsid w:val="00665BE7"/>
    <w:rsid w:val="006663D7"/>
    <w:rsid w:val="006716C3"/>
    <w:rsid w:val="00673EDD"/>
    <w:rsid w:val="006740DD"/>
    <w:rsid w:val="0067479F"/>
    <w:rsid w:val="00674EFF"/>
    <w:rsid w:val="006751FE"/>
    <w:rsid w:val="00675679"/>
    <w:rsid w:val="0067723A"/>
    <w:rsid w:val="0067739F"/>
    <w:rsid w:val="006806A9"/>
    <w:rsid w:val="00680742"/>
    <w:rsid w:val="00681088"/>
    <w:rsid w:val="00681908"/>
    <w:rsid w:val="00681909"/>
    <w:rsid w:val="00683B8A"/>
    <w:rsid w:val="00686AA9"/>
    <w:rsid w:val="00687959"/>
    <w:rsid w:val="006909AB"/>
    <w:rsid w:val="00691147"/>
    <w:rsid w:val="006927A3"/>
    <w:rsid w:val="0069308B"/>
    <w:rsid w:val="00693200"/>
    <w:rsid w:val="00693B0D"/>
    <w:rsid w:val="00693E8F"/>
    <w:rsid w:val="00694614"/>
    <w:rsid w:val="00695103"/>
    <w:rsid w:val="006964A2"/>
    <w:rsid w:val="006973B8"/>
    <w:rsid w:val="006A0D98"/>
    <w:rsid w:val="006A16C9"/>
    <w:rsid w:val="006A1B12"/>
    <w:rsid w:val="006A1F11"/>
    <w:rsid w:val="006A2B8A"/>
    <w:rsid w:val="006A2D90"/>
    <w:rsid w:val="006A4FC9"/>
    <w:rsid w:val="006A516A"/>
    <w:rsid w:val="006A54D7"/>
    <w:rsid w:val="006A55DD"/>
    <w:rsid w:val="006A591F"/>
    <w:rsid w:val="006A5C1A"/>
    <w:rsid w:val="006A6247"/>
    <w:rsid w:val="006A6953"/>
    <w:rsid w:val="006A6E32"/>
    <w:rsid w:val="006B0017"/>
    <w:rsid w:val="006B07DC"/>
    <w:rsid w:val="006B095C"/>
    <w:rsid w:val="006B1C80"/>
    <w:rsid w:val="006B2D91"/>
    <w:rsid w:val="006B2DE3"/>
    <w:rsid w:val="006B362B"/>
    <w:rsid w:val="006B39A2"/>
    <w:rsid w:val="006B4349"/>
    <w:rsid w:val="006B4A9D"/>
    <w:rsid w:val="006B4D99"/>
    <w:rsid w:val="006B6072"/>
    <w:rsid w:val="006B7539"/>
    <w:rsid w:val="006C04BB"/>
    <w:rsid w:val="006C138F"/>
    <w:rsid w:val="006C1A77"/>
    <w:rsid w:val="006C4687"/>
    <w:rsid w:val="006C5AD2"/>
    <w:rsid w:val="006C6795"/>
    <w:rsid w:val="006C6B74"/>
    <w:rsid w:val="006D0F66"/>
    <w:rsid w:val="006D2877"/>
    <w:rsid w:val="006D2CEE"/>
    <w:rsid w:val="006D3D68"/>
    <w:rsid w:val="006D4907"/>
    <w:rsid w:val="006D5F01"/>
    <w:rsid w:val="006D602E"/>
    <w:rsid w:val="006D61DC"/>
    <w:rsid w:val="006D688A"/>
    <w:rsid w:val="006D6AFB"/>
    <w:rsid w:val="006D7A65"/>
    <w:rsid w:val="006D7E0D"/>
    <w:rsid w:val="006E0ACA"/>
    <w:rsid w:val="006E1419"/>
    <w:rsid w:val="006E1C19"/>
    <w:rsid w:val="006E2003"/>
    <w:rsid w:val="006E3540"/>
    <w:rsid w:val="006E5D99"/>
    <w:rsid w:val="006E66CA"/>
    <w:rsid w:val="006F10B8"/>
    <w:rsid w:val="006F15A9"/>
    <w:rsid w:val="006F1D06"/>
    <w:rsid w:val="006F1DC1"/>
    <w:rsid w:val="006F319F"/>
    <w:rsid w:val="006F4D6D"/>
    <w:rsid w:val="006F5DB1"/>
    <w:rsid w:val="006F5DE5"/>
    <w:rsid w:val="006F6D62"/>
    <w:rsid w:val="00701282"/>
    <w:rsid w:val="00702CF1"/>
    <w:rsid w:val="00702F13"/>
    <w:rsid w:val="00703874"/>
    <w:rsid w:val="0070568A"/>
    <w:rsid w:val="00705A98"/>
    <w:rsid w:val="00705C04"/>
    <w:rsid w:val="00706393"/>
    <w:rsid w:val="007067AA"/>
    <w:rsid w:val="00710725"/>
    <w:rsid w:val="00712545"/>
    <w:rsid w:val="00713725"/>
    <w:rsid w:val="00713EFC"/>
    <w:rsid w:val="00714975"/>
    <w:rsid w:val="0071688E"/>
    <w:rsid w:val="00717549"/>
    <w:rsid w:val="00717A60"/>
    <w:rsid w:val="00717C94"/>
    <w:rsid w:val="007210A9"/>
    <w:rsid w:val="0072141B"/>
    <w:rsid w:val="00721FF3"/>
    <w:rsid w:val="00723255"/>
    <w:rsid w:val="0072412B"/>
    <w:rsid w:val="0072586F"/>
    <w:rsid w:val="00727553"/>
    <w:rsid w:val="00727AB4"/>
    <w:rsid w:val="0073039B"/>
    <w:rsid w:val="00730C4A"/>
    <w:rsid w:val="00730F4A"/>
    <w:rsid w:val="00731FA2"/>
    <w:rsid w:val="00732E18"/>
    <w:rsid w:val="0073536D"/>
    <w:rsid w:val="00736238"/>
    <w:rsid w:val="0074034C"/>
    <w:rsid w:val="00740908"/>
    <w:rsid w:val="00741FC3"/>
    <w:rsid w:val="0074286D"/>
    <w:rsid w:val="00743684"/>
    <w:rsid w:val="0074382B"/>
    <w:rsid w:val="00743D85"/>
    <w:rsid w:val="00745783"/>
    <w:rsid w:val="0074656F"/>
    <w:rsid w:val="007510F1"/>
    <w:rsid w:val="00751380"/>
    <w:rsid w:val="007535B2"/>
    <w:rsid w:val="00754253"/>
    <w:rsid w:val="00754CE9"/>
    <w:rsid w:val="007550AD"/>
    <w:rsid w:val="0075617A"/>
    <w:rsid w:val="00756244"/>
    <w:rsid w:val="0075680F"/>
    <w:rsid w:val="00756C99"/>
    <w:rsid w:val="0075739E"/>
    <w:rsid w:val="007578A9"/>
    <w:rsid w:val="0076004F"/>
    <w:rsid w:val="00760726"/>
    <w:rsid w:val="00760D4E"/>
    <w:rsid w:val="00761627"/>
    <w:rsid w:val="00761722"/>
    <w:rsid w:val="00761A1C"/>
    <w:rsid w:val="00761C54"/>
    <w:rsid w:val="007631BB"/>
    <w:rsid w:val="00764398"/>
    <w:rsid w:val="00764E14"/>
    <w:rsid w:val="00765366"/>
    <w:rsid w:val="00765EC7"/>
    <w:rsid w:val="00770FF6"/>
    <w:rsid w:val="00771300"/>
    <w:rsid w:val="007716E2"/>
    <w:rsid w:val="00772909"/>
    <w:rsid w:val="00772983"/>
    <w:rsid w:val="00774CE8"/>
    <w:rsid w:val="00774E6F"/>
    <w:rsid w:val="0077569D"/>
    <w:rsid w:val="007757CD"/>
    <w:rsid w:val="00776798"/>
    <w:rsid w:val="007779BA"/>
    <w:rsid w:val="00777AAA"/>
    <w:rsid w:val="00780A0E"/>
    <w:rsid w:val="00780FF6"/>
    <w:rsid w:val="007815E1"/>
    <w:rsid w:val="007822C4"/>
    <w:rsid w:val="00782613"/>
    <w:rsid w:val="007836C8"/>
    <w:rsid w:val="00784465"/>
    <w:rsid w:val="007859E1"/>
    <w:rsid w:val="007873AC"/>
    <w:rsid w:val="00791233"/>
    <w:rsid w:val="00791832"/>
    <w:rsid w:val="007955AB"/>
    <w:rsid w:val="007961FF"/>
    <w:rsid w:val="007965DD"/>
    <w:rsid w:val="007A0183"/>
    <w:rsid w:val="007A0194"/>
    <w:rsid w:val="007A1847"/>
    <w:rsid w:val="007A1E66"/>
    <w:rsid w:val="007A31FF"/>
    <w:rsid w:val="007A3A7F"/>
    <w:rsid w:val="007A4892"/>
    <w:rsid w:val="007A5200"/>
    <w:rsid w:val="007A617E"/>
    <w:rsid w:val="007A6716"/>
    <w:rsid w:val="007B07A9"/>
    <w:rsid w:val="007B2A18"/>
    <w:rsid w:val="007B40A1"/>
    <w:rsid w:val="007B519D"/>
    <w:rsid w:val="007B6E95"/>
    <w:rsid w:val="007B71A4"/>
    <w:rsid w:val="007B7927"/>
    <w:rsid w:val="007C002A"/>
    <w:rsid w:val="007C01EB"/>
    <w:rsid w:val="007C0261"/>
    <w:rsid w:val="007C0991"/>
    <w:rsid w:val="007C0C1E"/>
    <w:rsid w:val="007C1FB8"/>
    <w:rsid w:val="007C4D68"/>
    <w:rsid w:val="007C597D"/>
    <w:rsid w:val="007C5EB0"/>
    <w:rsid w:val="007C6B34"/>
    <w:rsid w:val="007C7927"/>
    <w:rsid w:val="007D003D"/>
    <w:rsid w:val="007D0C75"/>
    <w:rsid w:val="007D0D49"/>
    <w:rsid w:val="007D1613"/>
    <w:rsid w:val="007D1EB2"/>
    <w:rsid w:val="007D2900"/>
    <w:rsid w:val="007D2C94"/>
    <w:rsid w:val="007D3700"/>
    <w:rsid w:val="007D3F8A"/>
    <w:rsid w:val="007D73A4"/>
    <w:rsid w:val="007D7B0F"/>
    <w:rsid w:val="007E02AB"/>
    <w:rsid w:val="007E04E5"/>
    <w:rsid w:val="007E1A68"/>
    <w:rsid w:val="007E3005"/>
    <w:rsid w:val="007E3366"/>
    <w:rsid w:val="007E3BA9"/>
    <w:rsid w:val="007E5F54"/>
    <w:rsid w:val="007E6373"/>
    <w:rsid w:val="007E7DCA"/>
    <w:rsid w:val="007F07BF"/>
    <w:rsid w:val="007F0FE6"/>
    <w:rsid w:val="007F25F5"/>
    <w:rsid w:val="007F2760"/>
    <w:rsid w:val="007F34DC"/>
    <w:rsid w:val="007F4891"/>
    <w:rsid w:val="007F6473"/>
    <w:rsid w:val="007F6564"/>
    <w:rsid w:val="007F6675"/>
    <w:rsid w:val="007F6BD2"/>
    <w:rsid w:val="007F7064"/>
    <w:rsid w:val="008020A2"/>
    <w:rsid w:val="0080219A"/>
    <w:rsid w:val="008031C3"/>
    <w:rsid w:val="00804E42"/>
    <w:rsid w:val="008056BF"/>
    <w:rsid w:val="00805A33"/>
    <w:rsid w:val="00806357"/>
    <w:rsid w:val="00806775"/>
    <w:rsid w:val="008102A4"/>
    <w:rsid w:val="00810D44"/>
    <w:rsid w:val="008114CB"/>
    <w:rsid w:val="00812EAA"/>
    <w:rsid w:val="008145F8"/>
    <w:rsid w:val="00814F42"/>
    <w:rsid w:val="00817E7B"/>
    <w:rsid w:val="00820364"/>
    <w:rsid w:val="00820E9E"/>
    <w:rsid w:val="008215CF"/>
    <w:rsid w:val="00822C9A"/>
    <w:rsid w:val="00823519"/>
    <w:rsid w:val="00825C9E"/>
    <w:rsid w:val="00826497"/>
    <w:rsid w:val="00826DC6"/>
    <w:rsid w:val="008272D9"/>
    <w:rsid w:val="00830461"/>
    <w:rsid w:val="0083103A"/>
    <w:rsid w:val="0083168F"/>
    <w:rsid w:val="00831F9C"/>
    <w:rsid w:val="0083209E"/>
    <w:rsid w:val="00832150"/>
    <w:rsid w:val="00832191"/>
    <w:rsid w:val="00832BDE"/>
    <w:rsid w:val="0083343F"/>
    <w:rsid w:val="008358BB"/>
    <w:rsid w:val="008408CD"/>
    <w:rsid w:val="00841A48"/>
    <w:rsid w:val="00842F49"/>
    <w:rsid w:val="00843CAB"/>
    <w:rsid w:val="00844128"/>
    <w:rsid w:val="00845177"/>
    <w:rsid w:val="00845BF1"/>
    <w:rsid w:val="008469CE"/>
    <w:rsid w:val="00846E8B"/>
    <w:rsid w:val="00847369"/>
    <w:rsid w:val="008477D4"/>
    <w:rsid w:val="0085038E"/>
    <w:rsid w:val="00850E9A"/>
    <w:rsid w:val="008529D7"/>
    <w:rsid w:val="00852A01"/>
    <w:rsid w:val="00852BEF"/>
    <w:rsid w:val="00853D1B"/>
    <w:rsid w:val="00856CD1"/>
    <w:rsid w:val="008607A7"/>
    <w:rsid w:val="008609AB"/>
    <w:rsid w:val="00862028"/>
    <w:rsid w:val="00862836"/>
    <w:rsid w:val="008628A1"/>
    <w:rsid w:val="008647E3"/>
    <w:rsid w:val="008648A3"/>
    <w:rsid w:val="00866346"/>
    <w:rsid w:val="00866DEB"/>
    <w:rsid w:val="00870338"/>
    <w:rsid w:val="00870D53"/>
    <w:rsid w:val="00871C3F"/>
    <w:rsid w:val="00871D7C"/>
    <w:rsid w:val="00871E67"/>
    <w:rsid w:val="00872642"/>
    <w:rsid w:val="00872721"/>
    <w:rsid w:val="008729EF"/>
    <w:rsid w:val="00873824"/>
    <w:rsid w:val="0087391E"/>
    <w:rsid w:val="0087447F"/>
    <w:rsid w:val="00874485"/>
    <w:rsid w:val="00877538"/>
    <w:rsid w:val="00877901"/>
    <w:rsid w:val="00880479"/>
    <w:rsid w:val="00880918"/>
    <w:rsid w:val="00881975"/>
    <w:rsid w:val="00882493"/>
    <w:rsid w:val="00883234"/>
    <w:rsid w:val="008834A0"/>
    <w:rsid w:val="00883F51"/>
    <w:rsid w:val="008851CC"/>
    <w:rsid w:val="008852D9"/>
    <w:rsid w:val="00885396"/>
    <w:rsid w:val="00885443"/>
    <w:rsid w:val="008858AE"/>
    <w:rsid w:val="008907B4"/>
    <w:rsid w:val="00890DA0"/>
    <w:rsid w:val="008913C8"/>
    <w:rsid w:val="00891798"/>
    <w:rsid w:val="00891A6A"/>
    <w:rsid w:val="00891ACA"/>
    <w:rsid w:val="00893738"/>
    <w:rsid w:val="00894F21"/>
    <w:rsid w:val="00895598"/>
    <w:rsid w:val="00897075"/>
    <w:rsid w:val="008A1472"/>
    <w:rsid w:val="008A1DAD"/>
    <w:rsid w:val="008A29DF"/>
    <w:rsid w:val="008A3185"/>
    <w:rsid w:val="008A3943"/>
    <w:rsid w:val="008A3A94"/>
    <w:rsid w:val="008A4470"/>
    <w:rsid w:val="008A5F34"/>
    <w:rsid w:val="008A64AB"/>
    <w:rsid w:val="008A6533"/>
    <w:rsid w:val="008A6FA3"/>
    <w:rsid w:val="008B0040"/>
    <w:rsid w:val="008B0568"/>
    <w:rsid w:val="008B1319"/>
    <w:rsid w:val="008B5339"/>
    <w:rsid w:val="008B5796"/>
    <w:rsid w:val="008B6555"/>
    <w:rsid w:val="008C0DDC"/>
    <w:rsid w:val="008C1437"/>
    <w:rsid w:val="008C1656"/>
    <w:rsid w:val="008C274A"/>
    <w:rsid w:val="008C2EA6"/>
    <w:rsid w:val="008C35FE"/>
    <w:rsid w:val="008C4C00"/>
    <w:rsid w:val="008C570F"/>
    <w:rsid w:val="008C6051"/>
    <w:rsid w:val="008C6AD5"/>
    <w:rsid w:val="008C7C5B"/>
    <w:rsid w:val="008D0596"/>
    <w:rsid w:val="008D29E1"/>
    <w:rsid w:val="008D4A00"/>
    <w:rsid w:val="008D5164"/>
    <w:rsid w:val="008D606A"/>
    <w:rsid w:val="008D6477"/>
    <w:rsid w:val="008D692B"/>
    <w:rsid w:val="008D70EE"/>
    <w:rsid w:val="008E01B8"/>
    <w:rsid w:val="008E1C49"/>
    <w:rsid w:val="008E26A9"/>
    <w:rsid w:val="008E298C"/>
    <w:rsid w:val="008E2B82"/>
    <w:rsid w:val="008E4A64"/>
    <w:rsid w:val="008E4F09"/>
    <w:rsid w:val="008E4F10"/>
    <w:rsid w:val="008E52BD"/>
    <w:rsid w:val="008E742A"/>
    <w:rsid w:val="008F00A0"/>
    <w:rsid w:val="008F0D1A"/>
    <w:rsid w:val="008F2F91"/>
    <w:rsid w:val="008F4249"/>
    <w:rsid w:val="008F5042"/>
    <w:rsid w:val="008F5511"/>
    <w:rsid w:val="008F55BF"/>
    <w:rsid w:val="008F573A"/>
    <w:rsid w:val="008F6F3C"/>
    <w:rsid w:val="0090171E"/>
    <w:rsid w:val="00903D2E"/>
    <w:rsid w:val="009060D8"/>
    <w:rsid w:val="00907157"/>
    <w:rsid w:val="00907352"/>
    <w:rsid w:val="00907B48"/>
    <w:rsid w:val="00910D00"/>
    <w:rsid w:val="00910D91"/>
    <w:rsid w:val="0091135E"/>
    <w:rsid w:val="009114FB"/>
    <w:rsid w:val="0091195A"/>
    <w:rsid w:val="009133D9"/>
    <w:rsid w:val="00913B10"/>
    <w:rsid w:val="009148AD"/>
    <w:rsid w:val="00916F05"/>
    <w:rsid w:val="00917317"/>
    <w:rsid w:val="00917906"/>
    <w:rsid w:val="009202A6"/>
    <w:rsid w:val="00921676"/>
    <w:rsid w:val="00921E47"/>
    <w:rsid w:val="00922879"/>
    <w:rsid w:val="00922CE2"/>
    <w:rsid w:val="009234EE"/>
    <w:rsid w:val="0092453C"/>
    <w:rsid w:val="009252CB"/>
    <w:rsid w:val="009255A9"/>
    <w:rsid w:val="009257EF"/>
    <w:rsid w:val="00926985"/>
    <w:rsid w:val="00927C70"/>
    <w:rsid w:val="009311CA"/>
    <w:rsid w:val="009326EF"/>
    <w:rsid w:val="00933BAE"/>
    <w:rsid w:val="00934921"/>
    <w:rsid w:val="00934FDD"/>
    <w:rsid w:val="00936D52"/>
    <w:rsid w:val="009400D2"/>
    <w:rsid w:val="0094160B"/>
    <w:rsid w:val="00942291"/>
    <w:rsid w:val="0094235C"/>
    <w:rsid w:val="00944B0E"/>
    <w:rsid w:val="00945F3F"/>
    <w:rsid w:val="0095083C"/>
    <w:rsid w:val="00950B05"/>
    <w:rsid w:val="00950B57"/>
    <w:rsid w:val="0095334C"/>
    <w:rsid w:val="00953D73"/>
    <w:rsid w:val="0095437F"/>
    <w:rsid w:val="00955EA6"/>
    <w:rsid w:val="00956247"/>
    <w:rsid w:val="009565EC"/>
    <w:rsid w:val="00956EA5"/>
    <w:rsid w:val="00957DD4"/>
    <w:rsid w:val="00960E04"/>
    <w:rsid w:val="00961BE5"/>
    <w:rsid w:val="009630FF"/>
    <w:rsid w:val="00964802"/>
    <w:rsid w:val="009656B5"/>
    <w:rsid w:val="009659AE"/>
    <w:rsid w:val="009666B7"/>
    <w:rsid w:val="009668B8"/>
    <w:rsid w:val="00970C80"/>
    <w:rsid w:val="009711F4"/>
    <w:rsid w:val="00971F98"/>
    <w:rsid w:val="009729FC"/>
    <w:rsid w:val="00972AD8"/>
    <w:rsid w:val="00973098"/>
    <w:rsid w:val="00973FEA"/>
    <w:rsid w:val="00974BC8"/>
    <w:rsid w:val="00975071"/>
    <w:rsid w:val="00976185"/>
    <w:rsid w:val="009773C5"/>
    <w:rsid w:val="00977B03"/>
    <w:rsid w:val="0098063B"/>
    <w:rsid w:val="00983A48"/>
    <w:rsid w:val="0098479A"/>
    <w:rsid w:val="00986F51"/>
    <w:rsid w:val="00990DD4"/>
    <w:rsid w:val="00991C49"/>
    <w:rsid w:val="009925BD"/>
    <w:rsid w:val="00992F7C"/>
    <w:rsid w:val="00993B87"/>
    <w:rsid w:val="00995E33"/>
    <w:rsid w:val="00996275"/>
    <w:rsid w:val="00996368"/>
    <w:rsid w:val="00996881"/>
    <w:rsid w:val="009972E6"/>
    <w:rsid w:val="009A2156"/>
    <w:rsid w:val="009A425B"/>
    <w:rsid w:val="009A4B0C"/>
    <w:rsid w:val="009A59FB"/>
    <w:rsid w:val="009A6A09"/>
    <w:rsid w:val="009A6E6F"/>
    <w:rsid w:val="009A7EC3"/>
    <w:rsid w:val="009B36C9"/>
    <w:rsid w:val="009B42F4"/>
    <w:rsid w:val="009B6652"/>
    <w:rsid w:val="009C2D19"/>
    <w:rsid w:val="009C2F00"/>
    <w:rsid w:val="009C5A61"/>
    <w:rsid w:val="009C639C"/>
    <w:rsid w:val="009C690F"/>
    <w:rsid w:val="009C7CB0"/>
    <w:rsid w:val="009D10E5"/>
    <w:rsid w:val="009D11B6"/>
    <w:rsid w:val="009D1380"/>
    <w:rsid w:val="009D1763"/>
    <w:rsid w:val="009D191D"/>
    <w:rsid w:val="009D21E9"/>
    <w:rsid w:val="009D2DF5"/>
    <w:rsid w:val="009D36BF"/>
    <w:rsid w:val="009D412F"/>
    <w:rsid w:val="009D506F"/>
    <w:rsid w:val="009D6918"/>
    <w:rsid w:val="009D7DD2"/>
    <w:rsid w:val="009E464D"/>
    <w:rsid w:val="009E4EB7"/>
    <w:rsid w:val="009E5117"/>
    <w:rsid w:val="009E58A6"/>
    <w:rsid w:val="009E5A58"/>
    <w:rsid w:val="009E6E65"/>
    <w:rsid w:val="009E77E6"/>
    <w:rsid w:val="009F20C9"/>
    <w:rsid w:val="009F21AB"/>
    <w:rsid w:val="009F3C66"/>
    <w:rsid w:val="009F3F91"/>
    <w:rsid w:val="009F4458"/>
    <w:rsid w:val="009F4AC5"/>
    <w:rsid w:val="009F5411"/>
    <w:rsid w:val="009F749A"/>
    <w:rsid w:val="009F79CD"/>
    <w:rsid w:val="00A00412"/>
    <w:rsid w:val="00A01453"/>
    <w:rsid w:val="00A037EE"/>
    <w:rsid w:val="00A03B2D"/>
    <w:rsid w:val="00A067D3"/>
    <w:rsid w:val="00A06A1E"/>
    <w:rsid w:val="00A06D03"/>
    <w:rsid w:val="00A07A47"/>
    <w:rsid w:val="00A10061"/>
    <w:rsid w:val="00A1006B"/>
    <w:rsid w:val="00A103FC"/>
    <w:rsid w:val="00A10660"/>
    <w:rsid w:val="00A107F7"/>
    <w:rsid w:val="00A10D20"/>
    <w:rsid w:val="00A11247"/>
    <w:rsid w:val="00A12671"/>
    <w:rsid w:val="00A13277"/>
    <w:rsid w:val="00A13483"/>
    <w:rsid w:val="00A1614D"/>
    <w:rsid w:val="00A17A48"/>
    <w:rsid w:val="00A17C17"/>
    <w:rsid w:val="00A17C7D"/>
    <w:rsid w:val="00A203D2"/>
    <w:rsid w:val="00A203FE"/>
    <w:rsid w:val="00A204F3"/>
    <w:rsid w:val="00A20E1E"/>
    <w:rsid w:val="00A221F1"/>
    <w:rsid w:val="00A224C0"/>
    <w:rsid w:val="00A22C47"/>
    <w:rsid w:val="00A231FA"/>
    <w:rsid w:val="00A23310"/>
    <w:rsid w:val="00A2382C"/>
    <w:rsid w:val="00A23DD9"/>
    <w:rsid w:val="00A2427A"/>
    <w:rsid w:val="00A24D6F"/>
    <w:rsid w:val="00A26E8E"/>
    <w:rsid w:val="00A279CF"/>
    <w:rsid w:val="00A3177B"/>
    <w:rsid w:val="00A31B39"/>
    <w:rsid w:val="00A325C3"/>
    <w:rsid w:val="00A33120"/>
    <w:rsid w:val="00A34B78"/>
    <w:rsid w:val="00A36067"/>
    <w:rsid w:val="00A36241"/>
    <w:rsid w:val="00A362A3"/>
    <w:rsid w:val="00A362D6"/>
    <w:rsid w:val="00A36B0F"/>
    <w:rsid w:val="00A3703E"/>
    <w:rsid w:val="00A37AA0"/>
    <w:rsid w:val="00A405A9"/>
    <w:rsid w:val="00A41B3E"/>
    <w:rsid w:val="00A451CF"/>
    <w:rsid w:val="00A47E58"/>
    <w:rsid w:val="00A5011E"/>
    <w:rsid w:val="00A50E2D"/>
    <w:rsid w:val="00A514A9"/>
    <w:rsid w:val="00A52131"/>
    <w:rsid w:val="00A52222"/>
    <w:rsid w:val="00A52C67"/>
    <w:rsid w:val="00A5389E"/>
    <w:rsid w:val="00A54654"/>
    <w:rsid w:val="00A5573A"/>
    <w:rsid w:val="00A55C9E"/>
    <w:rsid w:val="00A609F9"/>
    <w:rsid w:val="00A60C5E"/>
    <w:rsid w:val="00A63488"/>
    <w:rsid w:val="00A63F07"/>
    <w:rsid w:val="00A6462E"/>
    <w:rsid w:val="00A6585B"/>
    <w:rsid w:val="00A658C5"/>
    <w:rsid w:val="00A66166"/>
    <w:rsid w:val="00A71694"/>
    <w:rsid w:val="00A71EA0"/>
    <w:rsid w:val="00A74A88"/>
    <w:rsid w:val="00A75D60"/>
    <w:rsid w:val="00A76DA1"/>
    <w:rsid w:val="00A7772A"/>
    <w:rsid w:val="00A80562"/>
    <w:rsid w:val="00A814E2"/>
    <w:rsid w:val="00A82863"/>
    <w:rsid w:val="00A83298"/>
    <w:rsid w:val="00A83540"/>
    <w:rsid w:val="00A83ACA"/>
    <w:rsid w:val="00A83C01"/>
    <w:rsid w:val="00A84B00"/>
    <w:rsid w:val="00A85CDE"/>
    <w:rsid w:val="00A903C6"/>
    <w:rsid w:val="00A904C6"/>
    <w:rsid w:val="00A91439"/>
    <w:rsid w:val="00A92CCA"/>
    <w:rsid w:val="00A938F0"/>
    <w:rsid w:val="00A942F8"/>
    <w:rsid w:val="00A95387"/>
    <w:rsid w:val="00A9541B"/>
    <w:rsid w:val="00A9552F"/>
    <w:rsid w:val="00A95699"/>
    <w:rsid w:val="00A9583A"/>
    <w:rsid w:val="00A95D56"/>
    <w:rsid w:val="00A961DB"/>
    <w:rsid w:val="00A96CF5"/>
    <w:rsid w:val="00A96E20"/>
    <w:rsid w:val="00A96E6A"/>
    <w:rsid w:val="00AA041B"/>
    <w:rsid w:val="00AA2529"/>
    <w:rsid w:val="00AA322D"/>
    <w:rsid w:val="00AA32A1"/>
    <w:rsid w:val="00AA4387"/>
    <w:rsid w:val="00AA5C53"/>
    <w:rsid w:val="00AA5E05"/>
    <w:rsid w:val="00AA5FB2"/>
    <w:rsid w:val="00AA64D2"/>
    <w:rsid w:val="00AA6535"/>
    <w:rsid w:val="00AA66B4"/>
    <w:rsid w:val="00AA7508"/>
    <w:rsid w:val="00AA7525"/>
    <w:rsid w:val="00AA7E69"/>
    <w:rsid w:val="00AB0150"/>
    <w:rsid w:val="00AB07C6"/>
    <w:rsid w:val="00AB1B98"/>
    <w:rsid w:val="00AB1F3A"/>
    <w:rsid w:val="00AB21F6"/>
    <w:rsid w:val="00AB2E69"/>
    <w:rsid w:val="00AB2FAE"/>
    <w:rsid w:val="00AB3479"/>
    <w:rsid w:val="00AB3DE0"/>
    <w:rsid w:val="00AB5788"/>
    <w:rsid w:val="00AB65A3"/>
    <w:rsid w:val="00AB6847"/>
    <w:rsid w:val="00AC05A9"/>
    <w:rsid w:val="00AC118F"/>
    <w:rsid w:val="00AC17B3"/>
    <w:rsid w:val="00AC2286"/>
    <w:rsid w:val="00AC4C5A"/>
    <w:rsid w:val="00AC4E25"/>
    <w:rsid w:val="00AC540B"/>
    <w:rsid w:val="00AC5DE2"/>
    <w:rsid w:val="00AD0CA2"/>
    <w:rsid w:val="00AD0DD2"/>
    <w:rsid w:val="00AD2622"/>
    <w:rsid w:val="00AD2B06"/>
    <w:rsid w:val="00AD2D20"/>
    <w:rsid w:val="00AD363D"/>
    <w:rsid w:val="00AD38BC"/>
    <w:rsid w:val="00AD3C84"/>
    <w:rsid w:val="00AD4C4A"/>
    <w:rsid w:val="00AD5DCE"/>
    <w:rsid w:val="00AD64A3"/>
    <w:rsid w:val="00AD6563"/>
    <w:rsid w:val="00AD675F"/>
    <w:rsid w:val="00AD74C8"/>
    <w:rsid w:val="00AE015F"/>
    <w:rsid w:val="00AE0C0A"/>
    <w:rsid w:val="00AE1ECB"/>
    <w:rsid w:val="00AE3E16"/>
    <w:rsid w:val="00AE4DB0"/>
    <w:rsid w:val="00AF0AF1"/>
    <w:rsid w:val="00AF0EE0"/>
    <w:rsid w:val="00AF2140"/>
    <w:rsid w:val="00AF3120"/>
    <w:rsid w:val="00AF32D8"/>
    <w:rsid w:val="00AF3650"/>
    <w:rsid w:val="00AF3BB8"/>
    <w:rsid w:val="00AF3FAE"/>
    <w:rsid w:val="00AF54D8"/>
    <w:rsid w:val="00AF6630"/>
    <w:rsid w:val="00AF75AD"/>
    <w:rsid w:val="00B009B2"/>
    <w:rsid w:val="00B01058"/>
    <w:rsid w:val="00B014CC"/>
    <w:rsid w:val="00B0184C"/>
    <w:rsid w:val="00B0208C"/>
    <w:rsid w:val="00B02882"/>
    <w:rsid w:val="00B03328"/>
    <w:rsid w:val="00B047F0"/>
    <w:rsid w:val="00B04829"/>
    <w:rsid w:val="00B04BF5"/>
    <w:rsid w:val="00B05B27"/>
    <w:rsid w:val="00B109DA"/>
    <w:rsid w:val="00B1166A"/>
    <w:rsid w:val="00B12938"/>
    <w:rsid w:val="00B12CBA"/>
    <w:rsid w:val="00B12EB4"/>
    <w:rsid w:val="00B14B7F"/>
    <w:rsid w:val="00B15728"/>
    <w:rsid w:val="00B16067"/>
    <w:rsid w:val="00B17CE8"/>
    <w:rsid w:val="00B17D56"/>
    <w:rsid w:val="00B17F86"/>
    <w:rsid w:val="00B2155E"/>
    <w:rsid w:val="00B2251C"/>
    <w:rsid w:val="00B23C92"/>
    <w:rsid w:val="00B24886"/>
    <w:rsid w:val="00B24F6F"/>
    <w:rsid w:val="00B26486"/>
    <w:rsid w:val="00B30A7A"/>
    <w:rsid w:val="00B30DF4"/>
    <w:rsid w:val="00B31385"/>
    <w:rsid w:val="00B317AE"/>
    <w:rsid w:val="00B33AB4"/>
    <w:rsid w:val="00B33D56"/>
    <w:rsid w:val="00B35483"/>
    <w:rsid w:val="00B36190"/>
    <w:rsid w:val="00B36650"/>
    <w:rsid w:val="00B36935"/>
    <w:rsid w:val="00B36B7A"/>
    <w:rsid w:val="00B37BC9"/>
    <w:rsid w:val="00B406A0"/>
    <w:rsid w:val="00B41615"/>
    <w:rsid w:val="00B4406E"/>
    <w:rsid w:val="00B44292"/>
    <w:rsid w:val="00B458F9"/>
    <w:rsid w:val="00B47218"/>
    <w:rsid w:val="00B47663"/>
    <w:rsid w:val="00B47905"/>
    <w:rsid w:val="00B51277"/>
    <w:rsid w:val="00B52AC6"/>
    <w:rsid w:val="00B54F19"/>
    <w:rsid w:val="00B54F2F"/>
    <w:rsid w:val="00B5755C"/>
    <w:rsid w:val="00B605C7"/>
    <w:rsid w:val="00B606E5"/>
    <w:rsid w:val="00B6275B"/>
    <w:rsid w:val="00B636F6"/>
    <w:rsid w:val="00B64D89"/>
    <w:rsid w:val="00B66FC0"/>
    <w:rsid w:val="00B701B0"/>
    <w:rsid w:val="00B71C97"/>
    <w:rsid w:val="00B72430"/>
    <w:rsid w:val="00B737CA"/>
    <w:rsid w:val="00B7380D"/>
    <w:rsid w:val="00B74F17"/>
    <w:rsid w:val="00B7564C"/>
    <w:rsid w:val="00B7585B"/>
    <w:rsid w:val="00B75C57"/>
    <w:rsid w:val="00B77150"/>
    <w:rsid w:val="00B77B2E"/>
    <w:rsid w:val="00B80DF3"/>
    <w:rsid w:val="00B80EA7"/>
    <w:rsid w:val="00B8196B"/>
    <w:rsid w:val="00B82F35"/>
    <w:rsid w:val="00B82F89"/>
    <w:rsid w:val="00B835F6"/>
    <w:rsid w:val="00B83639"/>
    <w:rsid w:val="00B85602"/>
    <w:rsid w:val="00B85666"/>
    <w:rsid w:val="00B85794"/>
    <w:rsid w:val="00B86018"/>
    <w:rsid w:val="00B8750C"/>
    <w:rsid w:val="00B921EF"/>
    <w:rsid w:val="00B92707"/>
    <w:rsid w:val="00B92C07"/>
    <w:rsid w:val="00B944C3"/>
    <w:rsid w:val="00B95EEF"/>
    <w:rsid w:val="00B9672B"/>
    <w:rsid w:val="00B971A2"/>
    <w:rsid w:val="00B97D7D"/>
    <w:rsid w:val="00B97F1B"/>
    <w:rsid w:val="00BA05B0"/>
    <w:rsid w:val="00BA1E40"/>
    <w:rsid w:val="00BA2369"/>
    <w:rsid w:val="00BA2402"/>
    <w:rsid w:val="00BA2D15"/>
    <w:rsid w:val="00BA4608"/>
    <w:rsid w:val="00BA675D"/>
    <w:rsid w:val="00BA69DC"/>
    <w:rsid w:val="00BB101D"/>
    <w:rsid w:val="00BB3580"/>
    <w:rsid w:val="00BB3ADF"/>
    <w:rsid w:val="00BB4DE7"/>
    <w:rsid w:val="00BB5EE0"/>
    <w:rsid w:val="00BC013E"/>
    <w:rsid w:val="00BC22EA"/>
    <w:rsid w:val="00BC2DD6"/>
    <w:rsid w:val="00BC3417"/>
    <w:rsid w:val="00BC3512"/>
    <w:rsid w:val="00BC4267"/>
    <w:rsid w:val="00BC438A"/>
    <w:rsid w:val="00BC472C"/>
    <w:rsid w:val="00BC5037"/>
    <w:rsid w:val="00BC5268"/>
    <w:rsid w:val="00BC6170"/>
    <w:rsid w:val="00BC68DD"/>
    <w:rsid w:val="00BC6ABD"/>
    <w:rsid w:val="00BC7DE5"/>
    <w:rsid w:val="00BC7FCF"/>
    <w:rsid w:val="00BD0650"/>
    <w:rsid w:val="00BD07DE"/>
    <w:rsid w:val="00BD0B62"/>
    <w:rsid w:val="00BD387A"/>
    <w:rsid w:val="00BD71C2"/>
    <w:rsid w:val="00BD76FA"/>
    <w:rsid w:val="00BE012A"/>
    <w:rsid w:val="00BE20F8"/>
    <w:rsid w:val="00BE2C29"/>
    <w:rsid w:val="00BE379D"/>
    <w:rsid w:val="00BE3F9F"/>
    <w:rsid w:val="00BE4DE7"/>
    <w:rsid w:val="00BE4E43"/>
    <w:rsid w:val="00BE6222"/>
    <w:rsid w:val="00BE64AD"/>
    <w:rsid w:val="00BE7AD2"/>
    <w:rsid w:val="00BF46B2"/>
    <w:rsid w:val="00BF4AF6"/>
    <w:rsid w:val="00BF50EA"/>
    <w:rsid w:val="00BF565E"/>
    <w:rsid w:val="00BF57C0"/>
    <w:rsid w:val="00BF71EE"/>
    <w:rsid w:val="00C01A34"/>
    <w:rsid w:val="00C01BDB"/>
    <w:rsid w:val="00C02C26"/>
    <w:rsid w:val="00C042CC"/>
    <w:rsid w:val="00C051A7"/>
    <w:rsid w:val="00C0725E"/>
    <w:rsid w:val="00C0763E"/>
    <w:rsid w:val="00C1032C"/>
    <w:rsid w:val="00C116F9"/>
    <w:rsid w:val="00C12518"/>
    <w:rsid w:val="00C134C9"/>
    <w:rsid w:val="00C14AB8"/>
    <w:rsid w:val="00C14EA0"/>
    <w:rsid w:val="00C15851"/>
    <w:rsid w:val="00C16C1A"/>
    <w:rsid w:val="00C25F53"/>
    <w:rsid w:val="00C2695B"/>
    <w:rsid w:val="00C279ED"/>
    <w:rsid w:val="00C27A5B"/>
    <w:rsid w:val="00C30F3A"/>
    <w:rsid w:val="00C3126C"/>
    <w:rsid w:val="00C319BD"/>
    <w:rsid w:val="00C32EE8"/>
    <w:rsid w:val="00C32F16"/>
    <w:rsid w:val="00C343E4"/>
    <w:rsid w:val="00C34A71"/>
    <w:rsid w:val="00C34B7F"/>
    <w:rsid w:val="00C36F7F"/>
    <w:rsid w:val="00C371D9"/>
    <w:rsid w:val="00C40862"/>
    <w:rsid w:val="00C416A5"/>
    <w:rsid w:val="00C42CB3"/>
    <w:rsid w:val="00C4302D"/>
    <w:rsid w:val="00C44CCE"/>
    <w:rsid w:val="00C44F7C"/>
    <w:rsid w:val="00C455D8"/>
    <w:rsid w:val="00C45B24"/>
    <w:rsid w:val="00C47510"/>
    <w:rsid w:val="00C50644"/>
    <w:rsid w:val="00C50772"/>
    <w:rsid w:val="00C552A5"/>
    <w:rsid w:val="00C555CC"/>
    <w:rsid w:val="00C60BBF"/>
    <w:rsid w:val="00C61B35"/>
    <w:rsid w:val="00C61BA2"/>
    <w:rsid w:val="00C6323E"/>
    <w:rsid w:val="00C660F0"/>
    <w:rsid w:val="00C67678"/>
    <w:rsid w:val="00C70681"/>
    <w:rsid w:val="00C71598"/>
    <w:rsid w:val="00C71EC0"/>
    <w:rsid w:val="00C742A3"/>
    <w:rsid w:val="00C7490A"/>
    <w:rsid w:val="00C75510"/>
    <w:rsid w:val="00C7552C"/>
    <w:rsid w:val="00C75568"/>
    <w:rsid w:val="00C7568F"/>
    <w:rsid w:val="00C76A0F"/>
    <w:rsid w:val="00C77260"/>
    <w:rsid w:val="00C774F6"/>
    <w:rsid w:val="00C77B08"/>
    <w:rsid w:val="00C80A28"/>
    <w:rsid w:val="00C832AA"/>
    <w:rsid w:val="00C8380A"/>
    <w:rsid w:val="00C83F68"/>
    <w:rsid w:val="00C858CB"/>
    <w:rsid w:val="00C85A41"/>
    <w:rsid w:val="00C85D95"/>
    <w:rsid w:val="00C87DE5"/>
    <w:rsid w:val="00C9040B"/>
    <w:rsid w:val="00C91032"/>
    <w:rsid w:val="00C91F33"/>
    <w:rsid w:val="00C92344"/>
    <w:rsid w:val="00C92790"/>
    <w:rsid w:val="00C927EC"/>
    <w:rsid w:val="00C93C25"/>
    <w:rsid w:val="00C944A9"/>
    <w:rsid w:val="00C94BF0"/>
    <w:rsid w:val="00C94D8C"/>
    <w:rsid w:val="00C96099"/>
    <w:rsid w:val="00C960B8"/>
    <w:rsid w:val="00C96AD8"/>
    <w:rsid w:val="00C96F99"/>
    <w:rsid w:val="00C96FEF"/>
    <w:rsid w:val="00C97B24"/>
    <w:rsid w:val="00CA10F2"/>
    <w:rsid w:val="00CA1752"/>
    <w:rsid w:val="00CA2A48"/>
    <w:rsid w:val="00CA37EC"/>
    <w:rsid w:val="00CA3EA1"/>
    <w:rsid w:val="00CA41A6"/>
    <w:rsid w:val="00CA7FF5"/>
    <w:rsid w:val="00CB0C8D"/>
    <w:rsid w:val="00CB1557"/>
    <w:rsid w:val="00CB28EF"/>
    <w:rsid w:val="00CB2E7F"/>
    <w:rsid w:val="00CB3619"/>
    <w:rsid w:val="00CB70C7"/>
    <w:rsid w:val="00CC0E33"/>
    <w:rsid w:val="00CC0EC6"/>
    <w:rsid w:val="00CC12D0"/>
    <w:rsid w:val="00CC1479"/>
    <w:rsid w:val="00CC20FC"/>
    <w:rsid w:val="00CC23E8"/>
    <w:rsid w:val="00CC2851"/>
    <w:rsid w:val="00CC4332"/>
    <w:rsid w:val="00CC5477"/>
    <w:rsid w:val="00CC5831"/>
    <w:rsid w:val="00CC5891"/>
    <w:rsid w:val="00CC67FA"/>
    <w:rsid w:val="00CC6B51"/>
    <w:rsid w:val="00CD2258"/>
    <w:rsid w:val="00CD27AF"/>
    <w:rsid w:val="00CD3034"/>
    <w:rsid w:val="00CD3D20"/>
    <w:rsid w:val="00CD48B2"/>
    <w:rsid w:val="00CD6FC3"/>
    <w:rsid w:val="00CD75F7"/>
    <w:rsid w:val="00CD7A5D"/>
    <w:rsid w:val="00CE0C65"/>
    <w:rsid w:val="00CE15EC"/>
    <w:rsid w:val="00CE1D62"/>
    <w:rsid w:val="00CE27DC"/>
    <w:rsid w:val="00CE3916"/>
    <w:rsid w:val="00CE3F29"/>
    <w:rsid w:val="00CE5A1B"/>
    <w:rsid w:val="00CF0D94"/>
    <w:rsid w:val="00CF1580"/>
    <w:rsid w:val="00CF26C5"/>
    <w:rsid w:val="00CF59C5"/>
    <w:rsid w:val="00CF59E9"/>
    <w:rsid w:val="00CF7449"/>
    <w:rsid w:val="00D015CC"/>
    <w:rsid w:val="00D021D2"/>
    <w:rsid w:val="00D05DBE"/>
    <w:rsid w:val="00D06D6A"/>
    <w:rsid w:val="00D06FE2"/>
    <w:rsid w:val="00D0769E"/>
    <w:rsid w:val="00D07BD5"/>
    <w:rsid w:val="00D11420"/>
    <w:rsid w:val="00D12337"/>
    <w:rsid w:val="00D12A0D"/>
    <w:rsid w:val="00D131B4"/>
    <w:rsid w:val="00D140DA"/>
    <w:rsid w:val="00D147B0"/>
    <w:rsid w:val="00D14D2D"/>
    <w:rsid w:val="00D150BF"/>
    <w:rsid w:val="00D16669"/>
    <w:rsid w:val="00D172E1"/>
    <w:rsid w:val="00D17BAF"/>
    <w:rsid w:val="00D21AE5"/>
    <w:rsid w:val="00D25246"/>
    <w:rsid w:val="00D25332"/>
    <w:rsid w:val="00D25E42"/>
    <w:rsid w:val="00D25ED2"/>
    <w:rsid w:val="00D26214"/>
    <w:rsid w:val="00D2762B"/>
    <w:rsid w:val="00D30979"/>
    <w:rsid w:val="00D32AED"/>
    <w:rsid w:val="00D34562"/>
    <w:rsid w:val="00D34EDF"/>
    <w:rsid w:val="00D35612"/>
    <w:rsid w:val="00D415EE"/>
    <w:rsid w:val="00D42E66"/>
    <w:rsid w:val="00D44859"/>
    <w:rsid w:val="00D4501C"/>
    <w:rsid w:val="00D45A7C"/>
    <w:rsid w:val="00D46BFE"/>
    <w:rsid w:val="00D46C43"/>
    <w:rsid w:val="00D47050"/>
    <w:rsid w:val="00D47581"/>
    <w:rsid w:val="00D50F0C"/>
    <w:rsid w:val="00D5230C"/>
    <w:rsid w:val="00D528BB"/>
    <w:rsid w:val="00D52D70"/>
    <w:rsid w:val="00D53704"/>
    <w:rsid w:val="00D53FF9"/>
    <w:rsid w:val="00D5446B"/>
    <w:rsid w:val="00D545C8"/>
    <w:rsid w:val="00D56441"/>
    <w:rsid w:val="00D56D24"/>
    <w:rsid w:val="00D646AD"/>
    <w:rsid w:val="00D649D9"/>
    <w:rsid w:val="00D65458"/>
    <w:rsid w:val="00D65495"/>
    <w:rsid w:val="00D66B85"/>
    <w:rsid w:val="00D6754B"/>
    <w:rsid w:val="00D67BD8"/>
    <w:rsid w:val="00D701CB"/>
    <w:rsid w:val="00D70B91"/>
    <w:rsid w:val="00D71C8A"/>
    <w:rsid w:val="00D74A33"/>
    <w:rsid w:val="00D76F9E"/>
    <w:rsid w:val="00D771FC"/>
    <w:rsid w:val="00D8154B"/>
    <w:rsid w:val="00D82623"/>
    <w:rsid w:val="00D8332C"/>
    <w:rsid w:val="00D834AB"/>
    <w:rsid w:val="00D843B4"/>
    <w:rsid w:val="00D844B3"/>
    <w:rsid w:val="00D85AFD"/>
    <w:rsid w:val="00D8677A"/>
    <w:rsid w:val="00D86B31"/>
    <w:rsid w:val="00D8777C"/>
    <w:rsid w:val="00D914E8"/>
    <w:rsid w:val="00D91E9C"/>
    <w:rsid w:val="00D92EAE"/>
    <w:rsid w:val="00D933C3"/>
    <w:rsid w:val="00D939CF"/>
    <w:rsid w:val="00D94516"/>
    <w:rsid w:val="00D96E69"/>
    <w:rsid w:val="00D97789"/>
    <w:rsid w:val="00D97DB6"/>
    <w:rsid w:val="00DA06AE"/>
    <w:rsid w:val="00DA1EC8"/>
    <w:rsid w:val="00DA35C7"/>
    <w:rsid w:val="00DA4823"/>
    <w:rsid w:val="00DA4859"/>
    <w:rsid w:val="00DA6322"/>
    <w:rsid w:val="00DA6381"/>
    <w:rsid w:val="00DA6CCE"/>
    <w:rsid w:val="00DA75CA"/>
    <w:rsid w:val="00DA7CE1"/>
    <w:rsid w:val="00DB31CE"/>
    <w:rsid w:val="00DB4AB2"/>
    <w:rsid w:val="00DB4B08"/>
    <w:rsid w:val="00DB4C43"/>
    <w:rsid w:val="00DB58E1"/>
    <w:rsid w:val="00DB5985"/>
    <w:rsid w:val="00DB61A0"/>
    <w:rsid w:val="00DB6377"/>
    <w:rsid w:val="00DB7195"/>
    <w:rsid w:val="00DC1826"/>
    <w:rsid w:val="00DC1E09"/>
    <w:rsid w:val="00DC5108"/>
    <w:rsid w:val="00DC5EC4"/>
    <w:rsid w:val="00DC6AA0"/>
    <w:rsid w:val="00DC72FA"/>
    <w:rsid w:val="00DC786E"/>
    <w:rsid w:val="00DC7BF2"/>
    <w:rsid w:val="00DC7E54"/>
    <w:rsid w:val="00DD0793"/>
    <w:rsid w:val="00DD079B"/>
    <w:rsid w:val="00DD122A"/>
    <w:rsid w:val="00DD32FA"/>
    <w:rsid w:val="00DD367E"/>
    <w:rsid w:val="00DD4B01"/>
    <w:rsid w:val="00DD5090"/>
    <w:rsid w:val="00DD5984"/>
    <w:rsid w:val="00DD5D61"/>
    <w:rsid w:val="00DD6BD2"/>
    <w:rsid w:val="00DE0404"/>
    <w:rsid w:val="00DE0406"/>
    <w:rsid w:val="00DE084B"/>
    <w:rsid w:val="00DE2845"/>
    <w:rsid w:val="00DE3318"/>
    <w:rsid w:val="00DE3F58"/>
    <w:rsid w:val="00DE5C4F"/>
    <w:rsid w:val="00DE6DD5"/>
    <w:rsid w:val="00DE6F35"/>
    <w:rsid w:val="00DE7463"/>
    <w:rsid w:val="00DE74DB"/>
    <w:rsid w:val="00DE7539"/>
    <w:rsid w:val="00DE776C"/>
    <w:rsid w:val="00DF08F0"/>
    <w:rsid w:val="00DF24F4"/>
    <w:rsid w:val="00DF2501"/>
    <w:rsid w:val="00DF30D4"/>
    <w:rsid w:val="00DF4EC2"/>
    <w:rsid w:val="00DF544A"/>
    <w:rsid w:val="00DF65EC"/>
    <w:rsid w:val="00DF69CF"/>
    <w:rsid w:val="00DF7D14"/>
    <w:rsid w:val="00E00142"/>
    <w:rsid w:val="00E00C8C"/>
    <w:rsid w:val="00E00CCF"/>
    <w:rsid w:val="00E014DB"/>
    <w:rsid w:val="00E022D5"/>
    <w:rsid w:val="00E05376"/>
    <w:rsid w:val="00E05635"/>
    <w:rsid w:val="00E07F0B"/>
    <w:rsid w:val="00E12473"/>
    <w:rsid w:val="00E125E5"/>
    <w:rsid w:val="00E12701"/>
    <w:rsid w:val="00E1273F"/>
    <w:rsid w:val="00E12D14"/>
    <w:rsid w:val="00E12DA9"/>
    <w:rsid w:val="00E1426D"/>
    <w:rsid w:val="00E143CE"/>
    <w:rsid w:val="00E1481B"/>
    <w:rsid w:val="00E14EE3"/>
    <w:rsid w:val="00E1525B"/>
    <w:rsid w:val="00E15BEF"/>
    <w:rsid w:val="00E1730F"/>
    <w:rsid w:val="00E202A6"/>
    <w:rsid w:val="00E20D71"/>
    <w:rsid w:val="00E213A5"/>
    <w:rsid w:val="00E21F2E"/>
    <w:rsid w:val="00E22911"/>
    <w:rsid w:val="00E23321"/>
    <w:rsid w:val="00E24912"/>
    <w:rsid w:val="00E25D7C"/>
    <w:rsid w:val="00E26546"/>
    <w:rsid w:val="00E33182"/>
    <w:rsid w:val="00E33705"/>
    <w:rsid w:val="00E367AA"/>
    <w:rsid w:val="00E37F73"/>
    <w:rsid w:val="00E40766"/>
    <w:rsid w:val="00E41B4A"/>
    <w:rsid w:val="00E42102"/>
    <w:rsid w:val="00E4262D"/>
    <w:rsid w:val="00E437BB"/>
    <w:rsid w:val="00E437C9"/>
    <w:rsid w:val="00E465B3"/>
    <w:rsid w:val="00E4791F"/>
    <w:rsid w:val="00E47E66"/>
    <w:rsid w:val="00E530FF"/>
    <w:rsid w:val="00E5321E"/>
    <w:rsid w:val="00E56DFC"/>
    <w:rsid w:val="00E56E87"/>
    <w:rsid w:val="00E57807"/>
    <w:rsid w:val="00E61F68"/>
    <w:rsid w:val="00E62221"/>
    <w:rsid w:val="00E62742"/>
    <w:rsid w:val="00E63A78"/>
    <w:rsid w:val="00E63D2F"/>
    <w:rsid w:val="00E64485"/>
    <w:rsid w:val="00E647FF"/>
    <w:rsid w:val="00E726C4"/>
    <w:rsid w:val="00E738A2"/>
    <w:rsid w:val="00E73DB3"/>
    <w:rsid w:val="00E74F43"/>
    <w:rsid w:val="00E754CE"/>
    <w:rsid w:val="00E76257"/>
    <w:rsid w:val="00E76C7E"/>
    <w:rsid w:val="00E81A96"/>
    <w:rsid w:val="00E81ACF"/>
    <w:rsid w:val="00E81C4D"/>
    <w:rsid w:val="00E81FCD"/>
    <w:rsid w:val="00E82352"/>
    <w:rsid w:val="00E82F03"/>
    <w:rsid w:val="00E833C2"/>
    <w:rsid w:val="00E86159"/>
    <w:rsid w:val="00E86558"/>
    <w:rsid w:val="00E8684B"/>
    <w:rsid w:val="00E86CA3"/>
    <w:rsid w:val="00E87B77"/>
    <w:rsid w:val="00E91C74"/>
    <w:rsid w:val="00E9293B"/>
    <w:rsid w:val="00E931E3"/>
    <w:rsid w:val="00E9500D"/>
    <w:rsid w:val="00E95EF7"/>
    <w:rsid w:val="00E97652"/>
    <w:rsid w:val="00EA3840"/>
    <w:rsid w:val="00EA4255"/>
    <w:rsid w:val="00EA5B00"/>
    <w:rsid w:val="00EA5F82"/>
    <w:rsid w:val="00EA7625"/>
    <w:rsid w:val="00EB03EA"/>
    <w:rsid w:val="00EB051F"/>
    <w:rsid w:val="00EB2C0D"/>
    <w:rsid w:val="00EB515C"/>
    <w:rsid w:val="00EB5403"/>
    <w:rsid w:val="00EB598D"/>
    <w:rsid w:val="00EB620A"/>
    <w:rsid w:val="00EC34A0"/>
    <w:rsid w:val="00EC3815"/>
    <w:rsid w:val="00EC4802"/>
    <w:rsid w:val="00EC51C0"/>
    <w:rsid w:val="00EC5B8C"/>
    <w:rsid w:val="00EC6F87"/>
    <w:rsid w:val="00EC7FF6"/>
    <w:rsid w:val="00ED0571"/>
    <w:rsid w:val="00ED170E"/>
    <w:rsid w:val="00ED17D2"/>
    <w:rsid w:val="00ED27AD"/>
    <w:rsid w:val="00ED2DD2"/>
    <w:rsid w:val="00ED3FFF"/>
    <w:rsid w:val="00ED5BB9"/>
    <w:rsid w:val="00ED5C56"/>
    <w:rsid w:val="00ED7D9E"/>
    <w:rsid w:val="00EE0AB1"/>
    <w:rsid w:val="00EE1227"/>
    <w:rsid w:val="00EE1559"/>
    <w:rsid w:val="00EE277C"/>
    <w:rsid w:val="00EE44F0"/>
    <w:rsid w:val="00EE45E9"/>
    <w:rsid w:val="00EE5E1E"/>
    <w:rsid w:val="00EE67F3"/>
    <w:rsid w:val="00EE7A16"/>
    <w:rsid w:val="00EF156D"/>
    <w:rsid w:val="00EF191F"/>
    <w:rsid w:val="00EF1989"/>
    <w:rsid w:val="00EF26B6"/>
    <w:rsid w:val="00EF27F3"/>
    <w:rsid w:val="00EF3D98"/>
    <w:rsid w:val="00EF476F"/>
    <w:rsid w:val="00EF4A9E"/>
    <w:rsid w:val="00EF4D00"/>
    <w:rsid w:val="00EF6BF0"/>
    <w:rsid w:val="00EF6C4E"/>
    <w:rsid w:val="00EF7048"/>
    <w:rsid w:val="00F011E7"/>
    <w:rsid w:val="00F0175F"/>
    <w:rsid w:val="00F02D87"/>
    <w:rsid w:val="00F03029"/>
    <w:rsid w:val="00F036BC"/>
    <w:rsid w:val="00F03773"/>
    <w:rsid w:val="00F04119"/>
    <w:rsid w:val="00F06B7D"/>
    <w:rsid w:val="00F06DBF"/>
    <w:rsid w:val="00F1077C"/>
    <w:rsid w:val="00F10941"/>
    <w:rsid w:val="00F10F9A"/>
    <w:rsid w:val="00F114B3"/>
    <w:rsid w:val="00F11AC6"/>
    <w:rsid w:val="00F12320"/>
    <w:rsid w:val="00F12FA5"/>
    <w:rsid w:val="00F1338E"/>
    <w:rsid w:val="00F136DC"/>
    <w:rsid w:val="00F14B52"/>
    <w:rsid w:val="00F14EB9"/>
    <w:rsid w:val="00F15223"/>
    <w:rsid w:val="00F161E9"/>
    <w:rsid w:val="00F16913"/>
    <w:rsid w:val="00F16B2F"/>
    <w:rsid w:val="00F218DB"/>
    <w:rsid w:val="00F2598B"/>
    <w:rsid w:val="00F262DA"/>
    <w:rsid w:val="00F27C44"/>
    <w:rsid w:val="00F303A3"/>
    <w:rsid w:val="00F31391"/>
    <w:rsid w:val="00F31EA9"/>
    <w:rsid w:val="00F32335"/>
    <w:rsid w:val="00F32403"/>
    <w:rsid w:val="00F3349D"/>
    <w:rsid w:val="00F33989"/>
    <w:rsid w:val="00F33A6B"/>
    <w:rsid w:val="00F34B77"/>
    <w:rsid w:val="00F36CDB"/>
    <w:rsid w:val="00F36EAE"/>
    <w:rsid w:val="00F3719A"/>
    <w:rsid w:val="00F37BD0"/>
    <w:rsid w:val="00F40E48"/>
    <w:rsid w:val="00F417D8"/>
    <w:rsid w:val="00F4290B"/>
    <w:rsid w:val="00F42EB0"/>
    <w:rsid w:val="00F44053"/>
    <w:rsid w:val="00F44950"/>
    <w:rsid w:val="00F45BFB"/>
    <w:rsid w:val="00F463DE"/>
    <w:rsid w:val="00F467A2"/>
    <w:rsid w:val="00F46E6E"/>
    <w:rsid w:val="00F47165"/>
    <w:rsid w:val="00F47186"/>
    <w:rsid w:val="00F47C2E"/>
    <w:rsid w:val="00F50A4D"/>
    <w:rsid w:val="00F51019"/>
    <w:rsid w:val="00F5285F"/>
    <w:rsid w:val="00F53DA2"/>
    <w:rsid w:val="00F5467C"/>
    <w:rsid w:val="00F546D6"/>
    <w:rsid w:val="00F556F1"/>
    <w:rsid w:val="00F55AB9"/>
    <w:rsid w:val="00F56104"/>
    <w:rsid w:val="00F56823"/>
    <w:rsid w:val="00F56A83"/>
    <w:rsid w:val="00F57387"/>
    <w:rsid w:val="00F61163"/>
    <w:rsid w:val="00F6146D"/>
    <w:rsid w:val="00F621CA"/>
    <w:rsid w:val="00F63407"/>
    <w:rsid w:val="00F63888"/>
    <w:rsid w:val="00F63C8F"/>
    <w:rsid w:val="00F63CD8"/>
    <w:rsid w:val="00F652E8"/>
    <w:rsid w:val="00F6543D"/>
    <w:rsid w:val="00F658A4"/>
    <w:rsid w:val="00F65E81"/>
    <w:rsid w:val="00F666AE"/>
    <w:rsid w:val="00F675B2"/>
    <w:rsid w:val="00F67F45"/>
    <w:rsid w:val="00F7168D"/>
    <w:rsid w:val="00F73F8C"/>
    <w:rsid w:val="00F7462E"/>
    <w:rsid w:val="00F74FC0"/>
    <w:rsid w:val="00F76148"/>
    <w:rsid w:val="00F772A0"/>
    <w:rsid w:val="00F80533"/>
    <w:rsid w:val="00F8072E"/>
    <w:rsid w:val="00F811B6"/>
    <w:rsid w:val="00F81A70"/>
    <w:rsid w:val="00F842A7"/>
    <w:rsid w:val="00F84FDB"/>
    <w:rsid w:val="00F85240"/>
    <w:rsid w:val="00F8621C"/>
    <w:rsid w:val="00F86E62"/>
    <w:rsid w:val="00F873AA"/>
    <w:rsid w:val="00F87C42"/>
    <w:rsid w:val="00F90B3B"/>
    <w:rsid w:val="00F93214"/>
    <w:rsid w:val="00F937B5"/>
    <w:rsid w:val="00F93E27"/>
    <w:rsid w:val="00F94CEF"/>
    <w:rsid w:val="00F954FC"/>
    <w:rsid w:val="00F95B2A"/>
    <w:rsid w:val="00F96476"/>
    <w:rsid w:val="00F97780"/>
    <w:rsid w:val="00FA14BE"/>
    <w:rsid w:val="00FA1BB7"/>
    <w:rsid w:val="00FA22CC"/>
    <w:rsid w:val="00FA27BD"/>
    <w:rsid w:val="00FA3E85"/>
    <w:rsid w:val="00FA4A18"/>
    <w:rsid w:val="00FA62F6"/>
    <w:rsid w:val="00FA6D91"/>
    <w:rsid w:val="00FA7003"/>
    <w:rsid w:val="00FA71D7"/>
    <w:rsid w:val="00FA7454"/>
    <w:rsid w:val="00FA7D1D"/>
    <w:rsid w:val="00FB079D"/>
    <w:rsid w:val="00FB10AD"/>
    <w:rsid w:val="00FB189A"/>
    <w:rsid w:val="00FB1953"/>
    <w:rsid w:val="00FB2525"/>
    <w:rsid w:val="00FB36AF"/>
    <w:rsid w:val="00FB3F21"/>
    <w:rsid w:val="00FB5C39"/>
    <w:rsid w:val="00FC0010"/>
    <w:rsid w:val="00FC02D8"/>
    <w:rsid w:val="00FC0976"/>
    <w:rsid w:val="00FC157B"/>
    <w:rsid w:val="00FC1937"/>
    <w:rsid w:val="00FC2401"/>
    <w:rsid w:val="00FC28DD"/>
    <w:rsid w:val="00FC3757"/>
    <w:rsid w:val="00FC416B"/>
    <w:rsid w:val="00FC42C7"/>
    <w:rsid w:val="00FC4FB6"/>
    <w:rsid w:val="00FC607E"/>
    <w:rsid w:val="00FC6F88"/>
    <w:rsid w:val="00FD0ACF"/>
    <w:rsid w:val="00FD1054"/>
    <w:rsid w:val="00FD2B90"/>
    <w:rsid w:val="00FD3F7D"/>
    <w:rsid w:val="00FD4011"/>
    <w:rsid w:val="00FD5B48"/>
    <w:rsid w:val="00FD5E38"/>
    <w:rsid w:val="00FD674D"/>
    <w:rsid w:val="00FD7B78"/>
    <w:rsid w:val="00FD7D0C"/>
    <w:rsid w:val="00FE0510"/>
    <w:rsid w:val="00FE1139"/>
    <w:rsid w:val="00FE3950"/>
    <w:rsid w:val="00FE509A"/>
    <w:rsid w:val="00FE6F8B"/>
    <w:rsid w:val="00FE7051"/>
    <w:rsid w:val="00FE7142"/>
    <w:rsid w:val="00FE793D"/>
    <w:rsid w:val="00FF1609"/>
    <w:rsid w:val="00FF2A7F"/>
    <w:rsid w:val="00FF2C3F"/>
    <w:rsid w:val="00FF3187"/>
    <w:rsid w:val="00FF4057"/>
    <w:rsid w:val="00FF49BC"/>
    <w:rsid w:val="00FF5AED"/>
    <w:rsid w:val="00FF5BB1"/>
    <w:rsid w:val="00FF6A92"/>
    <w:rsid w:val="00FF6BC1"/>
    <w:rsid w:val="01254D1B"/>
    <w:rsid w:val="013D6EC4"/>
    <w:rsid w:val="013E7336"/>
    <w:rsid w:val="017D6C20"/>
    <w:rsid w:val="0185577D"/>
    <w:rsid w:val="018F2AAF"/>
    <w:rsid w:val="01CB365F"/>
    <w:rsid w:val="01CD36CD"/>
    <w:rsid w:val="01D05138"/>
    <w:rsid w:val="01F77D6D"/>
    <w:rsid w:val="02066262"/>
    <w:rsid w:val="021E224C"/>
    <w:rsid w:val="02636F8F"/>
    <w:rsid w:val="029A135E"/>
    <w:rsid w:val="029F418B"/>
    <w:rsid w:val="02A0234F"/>
    <w:rsid w:val="02B2761E"/>
    <w:rsid w:val="02C65262"/>
    <w:rsid w:val="02EB6E80"/>
    <w:rsid w:val="02EF445D"/>
    <w:rsid w:val="03051EC8"/>
    <w:rsid w:val="032E5C65"/>
    <w:rsid w:val="033D173A"/>
    <w:rsid w:val="03413012"/>
    <w:rsid w:val="03817EAB"/>
    <w:rsid w:val="041F4ED1"/>
    <w:rsid w:val="04777770"/>
    <w:rsid w:val="04E71F31"/>
    <w:rsid w:val="0514154E"/>
    <w:rsid w:val="05CF7DA0"/>
    <w:rsid w:val="05D016BC"/>
    <w:rsid w:val="05D1344F"/>
    <w:rsid w:val="05E2691F"/>
    <w:rsid w:val="064A3909"/>
    <w:rsid w:val="065A10AE"/>
    <w:rsid w:val="065A4796"/>
    <w:rsid w:val="069A19CA"/>
    <w:rsid w:val="06E87A22"/>
    <w:rsid w:val="06EC3D7F"/>
    <w:rsid w:val="0714450E"/>
    <w:rsid w:val="07435FC7"/>
    <w:rsid w:val="0743707B"/>
    <w:rsid w:val="074E4FAE"/>
    <w:rsid w:val="07BB228C"/>
    <w:rsid w:val="07C31A02"/>
    <w:rsid w:val="07CB41D9"/>
    <w:rsid w:val="0813113A"/>
    <w:rsid w:val="08407CF9"/>
    <w:rsid w:val="084901CB"/>
    <w:rsid w:val="086B4DEA"/>
    <w:rsid w:val="086E6503"/>
    <w:rsid w:val="08981C0B"/>
    <w:rsid w:val="08C13C5E"/>
    <w:rsid w:val="08DF0DBF"/>
    <w:rsid w:val="08E64286"/>
    <w:rsid w:val="08E77E2B"/>
    <w:rsid w:val="08F133C0"/>
    <w:rsid w:val="094F0A7A"/>
    <w:rsid w:val="0A470FB4"/>
    <w:rsid w:val="0A7B736B"/>
    <w:rsid w:val="0A7F6F97"/>
    <w:rsid w:val="0A825130"/>
    <w:rsid w:val="0A8E3872"/>
    <w:rsid w:val="0A9D6860"/>
    <w:rsid w:val="0ABE6943"/>
    <w:rsid w:val="0AC8296C"/>
    <w:rsid w:val="0AE56471"/>
    <w:rsid w:val="0AF01EF7"/>
    <w:rsid w:val="0AF12066"/>
    <w:rsid w:val="0B0D491C"/>
    <w:rsid w:val="0B48403C"/>
    <w:rsid w:val="0B5D6E45"/>
    <w:rsid w:val="0B683804"/>
    <w:rsid w:val="0B8A0E42"/>
    <w:rsid w:val="0B951634"/>
    <w:rsid w:val="0BC02A58"/>
    <w:rsid w:val="0BE068B3"/>
    <w:rsid w:val="0C322073"/>
    <w:rsid w:val="0C5D31FC"/>
    <w:rsid w:val="0C851461"/>
    <w:rsid w:val="0C886FB2"/>
    <w:rsid w:val="0CEB1A5F"/>
    <w:rsid w:val="0D3C4E7C"/>
    <w:rsid w:val="0D4A674C"/>
    <w:rsid w:val="0DC51EBA"/>
    <w:rsid w:val="0DE06ABC"/>
    <w:rsid w:val="0E437243"/>
    <w:rsid w:val="0E440409"/>
    <w:rsid w:val="0E820690"/>
    <w:rsid w:val="0E974858"/>
    <w:rsid w:val="0E980524"/>
    <w:rsid w:val="0EC765CC"/>
    <w:rsid w:val="0ED94133"/>
    <w:rsid w:val="0EDF3CF5"/>
    <w:rsid w:val="0EE36E78"/>
    <w:rsid w:val="0F202528"/>
    <w:rsid w:val="0F240A89"/>
    <w:rsid w:val="0F2C7AD5"/>
    <w:rsid w:val="0F473B76"/>
    <w:rsid w:val="0F4972E9"/>
    <w:rsid w:val="0F5436DD"/>
    <w:rsid w:val="0F565F61"/>
    <w:rsid w:val="0F696D55"/>
    <w:rsid w:val="0F710774"/>
    <w:rsid w:val="0F7D4B6E"/>
    <w:rsid w:val="0F9035DB"/>
    <w:rsid w:val="0FB67F3A"/>
    <w:rsid w:val="0FCC6FEC"/>
    <w:rsid w:val="0FE052ED"/>
    <w:rsid w:val="0FE819BA"/>
    <w:rsid w:val="101B635A"/>
    <w:rsid w:val="10353917"/>
    <w:rsid w:val="106B37A7"/>
    <w:rsid w:val="107E7C4F"/>
    <w:rsid w:val="109804C6"/>
    <w:rsid w:val="10A00BDA"/>
    <w:rsid w:val="10A11B63"/>
    <w:rsid w:val="10C101BA"/>
    <w:rsid w:val="10D6083C"/>
    <w:rsid w:val="10F464A5"/>
    <w:rsid w:val="11091123"/>
    <w:rsid w:val="11336AB7"/>
    <w:rsid w:val="113B0E44"/>
    <w:rsid w:val="118E7C1D"/>
    <w:rsid w:val="11910D89"/>
    <w:rsid w:val="11C83F40"/>
    <w:rsid w:val="12257BD7"/>
    <w:rsid w:val="1240690F"/>
    <w:rsid w:val="124662F7"/>
    <w:rsid w:val="124C07AB"/>
    <w:rsid w:val="125C2EDF"/>
    <w:rsid w:val="128972A9"/>
    <w:rsid w:val="12AE0E85"/>
    <w:rsid w:val="12CA42CB"/>
    <w:rsid w:val="12D46D43"/>
    <w:rsid w:val="13055CE7"/>
    <w:rsid w:val="13135119"/>
    <w:rsid w:val="134E60CC"/>
    <w:rsid w:val="135A153D"/>
    <w:rsid w:val="13AE2911"/>
    <w:rsid w:val="13CD7923"/>
    <w:rsid w:val="141C30C4"/>
    <w:rsid w:val="148803A1"/>
    <w:rsid w:val="148D1B57"/>
    <w:rsid w:val="14AC0D1C"/>
    <w:rsid w:val="14B718F9"/>
    <w:rsid w:val="14C164AA"/>
    <w:rsid w:val="14FC456F"/>
    <w:rsid w:val="15172F52"/>
    <w:rsid w:val="15276153"/>
    <w:rsid w:val="156034F4"/>
    <w:rsid w:val="15CF0051"/>
    <w:rsid w:val="16087224"/>
    <w:rsid w:val="16123A17"/>
    <w:rsid w:val="16B93417"/>
    <w:rsid w:val="17010498"/>
    <w:rsid w:val="171D1ED1"/>
    <w:rsid w:val="17290BF4"/>
    <w:rsid w:val="1733123E"/>
    <w:rsid w:val="177A55AA"/>
    <w:rsid w:val="178406B1"/>
    <w:rsid w:val="178C4FB0"/>
    <w:rsid w:val="179A7E29"/>
    <w:rsid w:val="17AF1E1C"/>
    <w:rsid w:val="17CB2367"/>
    <w:rsid w:val="181263B3"/>
    <w:rsid w:val="1826383F"/>
    <w:rsid w:val="183F2385"/>
    <w:rsid w:val="187D1CEC"/>
    <w:rsid w:val="18BD0247"/>
    <w:rsid w:val="18C14966"/>
    <w:rsid w:val="18CE2B06"/>
    <w:rsid w:val="18FF7CB3"/>
    <w:rsid w:val="193C2E03"/>
    <w:rsid w:val="19417EA1"/>
    <w:rsid w:val="19576080"/>
    <w:rsid w:val="195E5C65"/>
    <w:rsid w:val="1960593D"/>
    <w:rsid w:val="19833F75"/>
    <w:rsid w:val="198F485E"/>
    <w:rsid w:val="19944E36"/>
    <w:rsid w:val="19A108CC"/>
    <w:rsid w:val="19D34164"/>
    <w:rsid w:val="1A4646AB"/>
    <w:rsid w:val="1A797303"/>
    <w:rsid w:val="1A884419"/>
    <w:rsid w:val="1A993F83"/>
    <w:rsid w:val="1B1E781C"/>
    <w:rsid w:val="1B945449"/>
    <w:rsid w:val="1BC83B0A"/>
    <w:rsid w:val="1BEC3499"/>
    <w:rsid w:val="1BEF097D"/>
    <w:rsid w:val="1C013055"/>
    <w:rsid w:val="1C095433"/>
    <w:rsid w:val="1C151997"/>
    <w:rsid w:val="1CE36451"/>
    <w:rsid w:val="1D0F0587"/>
    <w:rsid w:val="1D41469D"/>
    <w:rsid w:val="1D4F353A"/>
    <w:rsid w:val="1D5F38F9"/>
    <w:rsid w:val="1D7731CB"/>
    <w:rsid w:val="1D7B510F"/>
    <w:rsid w:val="1DB777CB"/>
    <w:rsid w:val="1DDC055C"/>
    <w:rsid w:val="1DE16067"/>
    <w:rsid w:val="1E172A77"/>
    <w:rsid w:val="1E3C037C"/>
    <w:rsid w:val="1E720D42"/>
    <w:rsid w:val="1E851D92"/>
    <w:rsid w:val="1F560100"/>
    <w:rsid w:val="1F572486"/>
    <w:rsid w:val="1F63193A"/>
    <w:rsid w:val="1FBF5EBE"/>
    <w:rsid w:val="1FD675CF"/>
    <w:rsid w:val="1FFB49DE"/>
    <w:rsid w:val="20266020"/>
    <w:rsid w:val="206909B1"/>
    <w:rsid w:val="209A032C"/>
    <w:rsid w:val="20AC10EC"/>
    <w:rsid w:val="21084AFC"/>
    <w:rsid w:val="213030D5"/>
    <w:rsid w:val="217B3A48"/>
    <w:rsid w:val="21890419"/>
    <w:rsid w:val="219222D2"/>
    <w:rsid w:val="219F7E3C"/>
    <w:rsid w:val="21AF55FF"/>
    <w:rsid w:val="21BE042A"/>
    <w:rsid w:val="21C65ABB"/>
    <w:rsid w:val="21F76BBE"/>
    <w:rsid w:val="21FD1E74"/>
    <w:rsid w:val="21FD2797"/>
    <w:rsid w:val="22415EA6"/>
    <w:rsid w:val="22877BEC"/>
    <w:rsid w:val="22C41947"/>
    <w:rsid w:val="22DC2E7E"/>
    <w:rsid w:val="23144949"/>
    <w:rsid w:val="238B05B9"/>
    <w:rsid w:val="23A75466"/>
    <w:rsid w:val="244227EB"/>
    <w:rsid w:val="247F23D5"/>
    <w:rsid w:val="253D4C89"/>
    <w:rsid w:val="25543593"/>
    <w:rsid w:val="255F311F"/>
    <w:rsid w:val="256C0314"/>
    <w:rsid w:val="25835C2E"/>
    <w:rsid w:val="25C765E8"/>
    <w:rsid w:val="25EA7AB0"/>
    <w:rsid w:val="25F33CA2"/>
    <w:rsid w:val="26173C77"/>
    <w:rsid w:val="265D7DEF"/>
    <w:rsid w:val="266956F8"/>
    <w:rsid w:val="26C6674D"/>
    <w:rsid w:val="27114A90"/>
    <w:rsid w:val="272E5C37"/>
    <w:rsid w:val="275A055D"/>
    <w:rsid w:val="275D503E"/>
    <w:rsid w:val="276B3A15"/>
    <w:rsid w:val="277A5CA7"/>
    <w:rsid w:val="27D97D46"/>
    <w:rsid w:val="28113220"/>
    <w:rsid w:val="28162DCF"/>
    <w:rsid w:val="282E058D"/>
    <w:rsid w:val="28362FA5"/>
    <w:rsid w:val="28523AB0"/>
    <w:rsid w:val="28987CFB"/>
    <w:rsid w:val="28BC641F"/>
    <w:rsid w:val="28EB0B9D"/>
    <w:rsid w:val="291A4464"/>
    <w:rsid w:val="29460DA2"/>
    <w:rsid w:val="2954093F"/>
    <w:rsid w:val="29A54ED7"/>
    <w:rsid w:val="29B47CB1"/>
    <w:rsid w:val="29CD653C"/>
    <w:rsid w:val="29F60A3D"/>
    <w:rsid w:val="2A1153EA"/>
    <w:rsid w:val="2A190419"/>
    <w:rsid w:val="2A2643E6"/>
    <w:rsid w:val="2A4F463E"/>
    <w:rsid w:val="2A5F3191"/>
    <w:rsid w:val="2AEA35B5"/>
    <w:rsid w:val="2AF3537B"/>
    <w:rsid w:val="2B224EE5"/>
    <w:rsid w:val="2B45206B"/>
    <w:rsid w:val="2B6B1A92"/>
    <w:rsid w:val="2B7B2BE7"/>
    <w:rsid w:val="2B9F01B4"/>
    <w:rsid w:val="2BE83504"/>
    <w:rsid w:val="2C314E47"/>
    <w:rsid w:val="2CA97431"/>
    <w:rsid w:val="2CDD3AC4"/>
    <w:rsid w:val="2D7D42A4"/>
    <w:rsid w:val="2DAC3CC8"/>
    <w:rsid w:val="2DDB2165"/>
    <w:rsid w:val="2DF67784"/>
    <w:rsid w:val="2E047C28"/>
    <w:rsid w:val="2E4622C2"/>
    <w:rsid w:val="2EF44843"/>
    <w:rsid w:val="2EFD61AE"/>
    <w:rsid w:val="2F5B5FD2"/>
    <w:rsid w:val="2F6C40B1"/>
    <w:rsid w:val="2F716921"/>
    <w:rsid w:val="2FF51C19"/>
    <w:rsid w:val="2FF768C6"/>
    <w:rsid w:val="30382DFF"/>
    <w:rsid w:val="3055541C"/>
    <w:rsid w:val="3068348F"/>
    <w:rsid w:val="307653E3"/>
    <w:rsid w:val="308D2DC1"/>
    <w:rsid w:val="309E5180"/>
    <w:rsid w:val="30BA505B"/>
    <w:rsid w:val="30BE214C"/>
    <w:rsid w:val="30E45BFF"/>
    <w:rsid w:val="310F0942"/>
    <w:rsid w:val="31105CC1"/>
    <w:rsid w:val="31110E8C"/>
    <w:rsid w:val="31272F9D"/>
    <w:rsid w:val="31C23A1F"/>
    <w:rsid w:val="328C49E5"/>
    <w:rsid w:val="32AB5758"/>
    <w:rsid w:val="32D17855"/>
    <w:rsid w:val="32F84EF2"/>
    <w:rsid w:val="331B6420"/>
    <w:rsid w:val="334B3B71"/>
    <w:rsid w:val="3362202D"/>
    <w:rsid w:val="337D47BD"/>
    <w:rsid w:val="33A3236E"/>
    <w:rsid w:val="34144C95"/>
    <w:rsid w:val="34504397"/>
    <w:rsid w:val="34557A2B"/>
    <w:rsid w:val="34567AF0"/>
    <w:rsid w:val="34875DFC"/>
    <w:rsid w:val="3490092D"/>
    <w:rsid w:val="34BC028A"/>
    <w:rsid w:val="34DE2690"/>
    <w:rsid w:val="34FE6574"/>
    <w:rsid w:val="35762BEA"/>
    <w:rsid w:val="35D832AC"/>
    <w:rsid w:val="35E05D61"/>
    <w:rsid w:val="360F5CC0"/>
    <w:rsid w:val="364A1A56"/>
    <w:rsid w:val="36600086"/>
    <w:rsid w:val="36C42AE6"/>
    <w:rsid w:val="36CD79C8"/>
    <w:rsid w:val="370F5648"/>
    <w:rsid w:val="372D0323"/>
    <w:rsid w:val="376728AF"/>
    <w:rsid w:val="376D324E"/>
    <w:rsid w:val="37AC4B3E"/>
    <w:rsid w:val="37B57B5E"/>
    <w:rsid w:val="37D26260"/>
    <w:rsid w:val="37DF2E06"/>
    <w:rsid w:val="37E34C94"/>
    <w:rsid w:val="386B7C09"/>
    <w:rsid w:val="38754327"/>
    <w:rsid w:val="38990978"/>
    <w:rsid w:val="389D5DF4"/>
    <w:rsid w:val="389E14A5"/>
    <w:rsid w:val="38A34078"/>
    <w:rsid w:val="39903E34"/>
    <w:rsid w:val="399E1F68"/>
    <w:rsid w:val="3A131663"/>
    <w:rsid w:val="3A37287A"/>
    <w:rsid w:val="3A512C02"/>
    <w:rsid w:val="3AEA0087"/>
    <w:rsid w:val="3B272F4D"/>
    <w:rsid w:val="3B381B7D"/>
    <w:rsid w:val="3B3A429E"/>
    <w:rsid w:val="3B5C4984"/>
    <w:rsid w:val="3B636A42"/>
    <w:rsid w:val="3B716F97"/>
    <w:rsid w:val="3BAA45F3"/>
    <w:rsid w:val="3BC620F3"/>
    <w:rsid w:val="3BDC1325"/>
    <w:rsid w:val="3BE37731"/>
    <w:rsid w:val="3C0D04F5"/>
    <w:rsid w:val="3C653072"/>
    <w:rsid w:val="3C911330"/>
    <w:rsid w:val="3CA15868"/>
    <w:rsid w:val="3CC26AF5"/>
    <w:rsid w:val="3CCE7FA2"/>
    <w:rsid w:val="3CE33E07"/>
    <w:rsid w:val="3CF014D9"/>
    <w:rsid w:val="3DA70690"/>
    <w:rsid w:val="3DE53772"/>
    <w:rsid w:val="3E002313"/>
    <w:rsid w:val="3E347962"/>
    <w:rsid w:val="3E4A7512"/>
    <w:rsid w:val="3E681C09"/>
    <w:rsid w:val="3EBE23AB"/>
    <w:rsid w:val="3EED62A8"/>
    <w:rsid w:val="3F6E2E01"/>
    <w:rsid w:val="3F766F33"/>
    <w:rsid w:val="3F876F0C"/>
    <w:rsid w:val="3F8967B4"/>
    <w:rsid w:val="3F9962D2"/>
    <w:rsid w:val="3F9E7D29"/>
    <w:rsid w:val="3FBB0980"/>
    <w:rsid w:val="401C33A8"/>
    <w:rsid w:val="402A7AD7"/>
    <w:rsid w:val="402E0127"/>
    <w:rsid w:val="40375DF0"/>
    <w:rsid w:val="405401B3"/>
    <w:rsid w:val="406A459E"/>
    <w:rsid w:val="40834352"/>
    <w:rsid w:val="40AD1D26"/>
    <w:rsid w:val="40BD7C95"/>
    <w:rsid w:val="413A0380"/>
    <w:rsid w:val="41454C82"/>
    <w:rsid w:val="417641C4"/>
    <w:rsid w:val="41A6186F"/>
    <w:rsid w:val="41BF1AB4"/>
    <w:rsid w:val="41E30F3D"/>
    <w:rsid w:val="42177E9D"/>
    <w:rsid w:val="422C4EF2"/>
    <w:rsid w:val="42314A40"/>
    <w:rsid w:val="425A4CC5"/>
    <w:rsid w:val="429E02D8"/>
    <w:rsid w:val="42B4373E"/>
    <w:rsid w:val="42CF37E5"/>
    <w:rsid w:val="42F5521B"/>
    <w:rsid w:val="430E475E"/>
    <w:rsid w:val="431B6717"/>
    <w:rsid w:val="438C7262"/>
    <w:rsid w:val="43B54821"/>
    <w:rsid w:val="43FF26BD"/>
    <w:rsid w:val="44473291"/>
    <w:rsid w:val="44510D3B"/>
    <w:rsid w:val="44535F43"/>
    <w:rsid w:val="447001CD"/>
    <w:rsid w:val="447B2DC6"/>
    <w:rsid w:val="44A565B6"/>
    <w:rsid w:val="44AC2D8E"/>
    <w:rsid w:val="44CE72E9"/>
    <w:rsid w:val="459D2360"/>
    <w:rsid w:val="45C26489"/>
    <w:rsid w:val="45E204E4"/>
    <w:rsid w:val="460E0506"/>
    <w:rsid w:val="46285EF6"/>
    <w:rsid w:val="46337EF1"/>
    <w:rsid w:val="465677D7"/>
    <w:rsid w:val="46A800F7"/>
    <w:rsid w:val="46EA3C75"/>
    <w:rsid w:val="47123A5B"/>
    <w:rsid w:val="472251B9"/>
    <w:rsid w:val="47325B62"/>
    <w:rsid w:val="473C5FFD"/>
    <w:rsid w:val="47433926"/>
    <w:rsid w:val="474E2ED1"/>
    <w:rsid w:val="47590CD4"/>
    <w:rsid w:val="47AB2FA4"/>
    <w:rsid w:val="47D55C1E"/>
    <w:rsid w:val="47DE5E3D"/>
    <w:rsid w:val="47E04F4A"/>
    <w:rsid w:val="47E10B98"/>
    <w:rsid w:val="47F13C82"/>
    <w:rsid w:val="48136A3F"/>
    <w:rsid w:val="48245AA8"/>
    <w:rsid w:val="48265DFA"/>
    <w:rsid w:val="48856FF3"/>
    <w:rsid w:val="48A47449"/>
    <w:rsid w:val="48C761DA"/>
    <w:rsid w:val="48D35A5F"/>
    <w:rsid w:val="495E70D2"/>
    <w:rsid w:val="49834834"/>
    <w:rsid w:val="49EB22B5"/>
    <w:rsid w:val="49F72844"/>
    <w:rsid w:val="4A35397A"/>
    <w:rsid w:val="4A5C3409"/>
    <w:rsid w:val="4A62220B"/>
    <w:rsid w:val="4A69363B"/>
    <w:rsid w:val="4A801DF0"/>
    <w:rsid w:val="4AA77D72"/>
    <w:rsid w:val="4B0173FE"/>
    <w:rsid w:val="4B323DBE"/>
    <w:rsid w:val="4B430A1F"/>
    <w:rsid w:val="4B50212D"/>
    <w:rsid w:val="4B5134B6"/>
    <w:rsid w:val="4B532E3E"/>
    <w:rsid w:val="4B78713B"/>
    <w:rsid w:val="4B7F6390"/>
    <w:rsid w:val="4BA11C4B"/>
    <w:rsid w:val="4BC82DA6"/>
    <w:rsid w:val="4BCC6C2B"/>
    <w:rsid w:val="4BDD7F00"/>
    <w:rsid w:val="4BF961E6"/>
    <w:rsid w:val="4BFA6F4F"/>
    <w:rsid w:val="4C12008A"/>
    <w:rsid w:val="4C16136D"/>
    <w:rsid w:val="4C235D4B"/>
    <w:rsid w:val="4C386570"/>
    <w:rsid w:val="4C574651"/>
    <w:rsid w:val="4C5B0BBD"/>
    <w:rsid w:val="4C654EAF"/>
    <w:rsid w:val="4C7534D8"/>
    <w:rsid w:val="4CB60408"/>
    <w:rsid w:val="4CC7023F"/>
    <w:rsid w:val="4CDE410B"/>
    <w:rsid w:val="4D1979FC"/>
    <w:rsid w:val="4D4C061F"/>
    <w:rsid w:val="4D9271C3"/>
    <w:rsid w:val="4D983136"/>
    <w:rsid w:val="4DB941DF"/>
    <w:rsid w:val="4DD910CF"/>
    <w:rsid w:val="4DFE21A3"/>
    <w:rsid w:val="4E2B0650"/>
    <w:rsid w:val="4E4E1382"/>
    <w:rsid w:val="4E8F16CE"/>
    <w:rsid w:val="4ED93DA9"/>
    <w:rsid w:val="4F040CF8"/>
    <w:rsid w:val="4FA97DED"/>
    <w:rsid w:val="4FB2368C"/>
    <w:rsid w:val="4FEA648B"/>
    <w:rsid w:val="4FF02929"/>
    <w:rsid w:val="50006922"/>
    <w:rsid w:val="5015615B"/>
    <w:rsid w:val="506F3992"/>
    <w:rsid w:val="50B55AE5"/>
    <w:rsid w:val="50D16F60"/>
    <w:rsid w:val="50F75A29"/>
    <w:rsid w:val="50F85F36"/>
    <w:rsid w:val="511D46A7"/>
    <w:rsid w:val="513874FB"/>
    <w:rsid w:val="516A26A0"/>
    <w:rsid w:val="51A219AF"/>
    <w:rsid w:val="51B62492"/>
    <w:rsid w:val="51BF03CD"/>
    <w:rsid w:val="51D112B1"/>
    <w:rsid w:val="51E81785"/>
    <w:rsid w:val="51FA4F46"/>
    <w:rsid w:val="51FD4FC9"/>
    <w:rsid w:val="525721E6"/>
    <w:rsid w:val="52605F50"/>
    <w:rsid w:val="52A42E37"/>
    <w:rsid w:val="52AB3BA6"/>
    <w:rsid w:val="52BB32BD"/>
    <w:rsid w:val="52D2441E"/>
    <w:rsid w:val="52F543A6"/>
    <w:rsid w:val="53377FE5"/>
    <w:rsid w:val="536055D6"/>
    <w:rsid w:val="53770689"/>
    <w:rsid w:val="538A1571"/>
    <w:rsid w:val="539646D4"/>
    <w:rsid w:val="53B60D36"/>
    <w:rsid w:val="53C80D83"/>
    <w:rsid w:val="53D9280A"/>
    <w:rsid w:val="544F0970"/>
    <w:rsid w:val="5470651D"/>
    <w:rsid w:val="547343BF"/>
    <w:rsid w:val="549B61C5"/>
    <w:rsid w:val="54C17518"/>
    <w:rsid w:val="5523346A"/>
    <w:rsid w:val="55303978"/>
    <w:rsid w:val="55553EBE"/>
    <w:rsid w:val="5579145F"/>
    <w:rsid w:val="557D29DB"/>
    <w:rsid w:val="55BA149E"/>
    <w:rsid w:val="55DD13A5"/>
    <w:rsid w:val="560E6E96"/>
    <w:rsid w:val="562F72AE"/>
    <w:rsid w:val="563D75D1"/>
    <w:rsid w:val="56547983"/>
    <w:rsid w:val="56564C43"/>
    <w:rsid w:val="56C0658E"/>
    <w:rsid w:val="56DE68FD"/>
    <w:rsid w:val="572F20D1"/>
    <w:rsid w:val="576B5DAB"/>
    <w:rsid w:val="57A00F40"/>
    <w:rsid w:val="57B71EBF"/>
    <w:rsid w:val="580D0CE8"/>
    <w:rsid w:val="580F4DB8"/>
    <w:rsid w:val="58217FF6"/>
    <w:rsid w:val="582E7CB3"/>
    <w:rsid w:val="585A6A58"/>
    <w:rsid w:val="58743B8E"/>
    <w:rsid w:val="588A568B"/>
    <w:rsid w:val="58B70028"/>
    <w:rsid w:val="58E217B3"/>
    <w:rsid w:val="590C5C6C"/>
    <w:rsid w:val="593E3D0A"/>
    <w:rsid w:val="593F4424"/>
    <w:rsid w:val="597F7017"/>
    <w:rsid w:val="5A213EF0"/>
    <w:rsid w:val="5A5D7065"/>
    <w:rsid w:val="5A6313C1"/>
    <w:rsid w:val="5A7251DC"/>
    <w:rsid w:val="5A726076"/>
    <w:rsid w:val="5A7E4A2A"/>
    <w:rsid w:val="5AAC3A6A"/>
    <w:rsid w:val="5ABA7D0B"/>
    <w:rsid w:val="5AC64D55"/>
    <w:rsid w:val="5ACC1391"/>
    <w:rsid w:val="5AE266D8"/>
    <w:rsid w:val="5B3D2223"/>
    <w:rsid w:val="5B8F0F93"/>
    <w:rsid w:val="5B926B3F"/>
    <w:rsid w:val="5BAD7165"/>
    <w:rsid w:val="5BB46534"/>
    <w:rsid w:val="5C615016"/>
    <w:rsid w:val="5CD43BE9"/>
    <w:rsid w:val="5CE512FE"/>
    <w:rsid w:val="5CF95481"/>
    <w:rsid w:val="5D173213"/>
    <w:rsid w:val="5D2E78C1"/>
    <w:rsid w:val="5D7366D8"/>
    <w:rsid w:val="5D897A23"/>
    <w:rsid w:val="5D8B7495"/>
    <w:rsid w:val="5DD875E1"/>
    <w:rsid w:val="5DE8462E"/>
    <w:rsid w:val="5DFB7418"/>
    <w:rsid w:val="5E200123"/>
    <w:rsid w:val="5E560C63"/>
    <w:rsid w:val="5E74038E"/>
    <w:rsid w:val="5E8F7A89"/>
    <w:rsid w:val="5EBF4F4D"/>
    <w:rsid w:val="5ECD3552"/>
    <w:rsid w:val="5EE80248"/>
    <w:rsid w:val="5EFB5A3F"/>
    <w:rsid w:val="5F0733B8"/>
    <w:rsid w:val="5F0E6090"/>
    <w:rsid w:val="5F1C057A"/>
    <w:rsid w:val="5F540113"/>
    <w:rsid w:val="5FB23802"/>
    <w:rsid w:val="5FD73C42"/>
    <w:rsid w:val="5FF03DE4"/>
    <w:rsid w:val="60066A0F"/>
    <w:rsid w:val="602D7175"/>
    <w:rsid w:val="602E7096"/>
    <w:rsid w:val="603E7C39"/>
    <w:rsid w:val="6048471D"/>
    <w:rsid w:val="60673937"/>
    <w:rsid w:val="60DA7EA1"/>
    <w:rsid w:val="60E25BAA"/>
    <w:rsid w:val="60F83B00"/>
    <w:rsid w:val="61161963"/>
    <w:rsid w:val="612C3E5E"/>
    <w:rsid w:val="613077FE"/>
    <w:rsid w:val="617D254E"/>
    <w:rsid w:val="61C20806"/>
    <w:rsid w:val="61CA794D"/>
    <w:rsid w:val="61D648FE"/>
    <w:rsid w:val="61DE5256"/>
    <w:rsid w:val="61F37100"/>
    <w:rsid w:val="62CC22EC"/>
    <w:rsid w:val="62CD4B3F"/>
    <w:rsid w:val="62D96A67"/>
    <w:rsid w:val="62EA54D1"/>
    <w:rsid w:val="630E7CCE"/>
    <w:rsid w:val="633321D2"/>
    <w:rsid w:val="63691601"/>
    <w:rsid w:val="63A4311E"/>
    <w:rsid w:val="63C2602D"/>
    <w:rsid w:val="63D04661"/>
    <w:rsid w:val="63DA531F"/>
    <w:rsid w:val="64016042"/>
    <w:rsid w:val="64273F19"/>
    <w:rsid w:val="642A3691"/>
    <w:rsid w:val="6452476C"/>
    <w:rsid w:val="645A05C4"/>
    <w:rsid w:val="6465070E"/>
    <w:rsid w:val="64652302"/>
    <w:rsid w:val="64813020"/>
    <w:rsid w:val="64864EDC"/>
    <w:rsid w:val="64A100C7"/>
    <w:rsid w:val="64A71436"/>
    <w:rsid w:val="654C481B"/>
    <w:rsid w:val="654D7B89"/>
    <w:rsid w:val="65584BAE"/>
    <w:rsid w:val="65732FAD"/>
    <w:rsid w:val="658A303F"/>
    <w:rsid w:val="65B405FD"/>
    <w:rsid w:val="65E7052B"/>
    <w:rsid w:val="65F724AC"/>
    <w:rsid w:val="660267DA"/>
    <w:rsid w:val="66082C9C"/>
    <w:rsid w:val="660E0DCB"/>
    <w:rsid w:val="6649406F"/>
    <w:rsid w:val="666E7C47"/>
    <w:rsid w:val="66B47A51"/>
    <w:rsid w:val="66ED2137"/>
    <w:rsid w:val="66ED6344"/>
    <w:rsid w:val="672209B1"/>
    <w:rsid w:val="6774141A"/>
    <w:rsid w:val="67C758BE"/>
    <w:rsid w:val="683D2474"/>
    <w:rsid w:val="684B6F6F"/>
    <w:rsid w:val="68B20991"/>
    <w:rsid w:val="68CB6E88"/>
    <w:rsid w:val="68D00F4C"/>
    <w:rsid w:val="69242227"/>
    <w:rsid w:val="692F7E4C"/>
    <w:rsid w:val="693E58E0"/>
    <w:rsid w:val="69707B80"/>
    <w:rsid w:val="697135AC"/>
    <w:rsid w:val="69C23807"/>
    <w:rsid w:val="6A516804"/>
    <w:rsid w:val="6A651D13"/>
    <w:rsid w:val="6B0B1BD1"/>
    <w:rsid w:val="6B120AAB"/>
    <w:rsid w:val="6B310CA6"/>
    <w:rsid w:val="6B563C12"/>
    <w:rsid w:val="6B8F7235"/>
    <w:rsid w:val="6BC8701F"/>
    <w:rsid w:val="6BD73480"/>
    <w:rsid w:val="6BDE5977"/>
    <w:rsid w:val="6C3F6706"/>
    <w:rsid w:val="6C4F78A3"/>
    <w:rsid w:val="6C6971DA"/>
    <w:rsid w:val="6C6C7EA7"/>
    <w:rsid w:val="6CB177E0"/>
    <w:rsid w:val="6CC17F44"/>
    <w:rsid w:val="6DA77BB7"/>
    <w:rsid w:val="6DCD0F83"/>
    <w:rsid w:val="6DFD1DA7"/>
    <w:rsid w:val="6E0B1F2D"/>
    <w:rsid w:val="6E5C5B20"/>
    <w:rsid w:val="6E605647"/>
    <w:rsid w:val="6E6C7EDB"/>
    <w:rsid w:val="6E8C6206"/>
    <w:rsid w:val="6EB43A67"/>
    <w:rsid w:val="6EEE513A"/>
    <w:rsid w:val="6F30674F"/>
    <w:rsid w:val="6F4A24A5"/>
    <w:rsid w:val="6F522C2E"/>
    <w:rsid w:val="6F847053"/>
    <w:rsid w:val="6F966B6D"/>
    <w:rsid w:val="6FBA2938"/>
    <w:rsid w:val="6FBD6401"/>
    <w:rsid w:val="6FE048F0"/>
    <w:rsid w:val="6FEC69BB"/>
    <w:rsid w:val="700E7956"/>
    <w:rsid w:val="702E4C4D"/>
    <w:rsid w:val="702F0FEC"/>
    <w:rsid w:val="703639DE"/>
    <w:rsid w:val="706172E1"/>
    <w:rsid w:val="706B655E"/>
    <w:rsid w:val="707111B4"/>
    <w:rsid w:val="70747E71"/>
    <w:rsid w:val="70BB0FCC"/>
    <w:rsid w:val="70E52B5A"/>
    <w:rsid w:val="710F4F9E"/>
    <w:rsid w:val="711C5E3E"/>
    <w:rsid w:val="716925D0"/>
    <w:rsid w:val="71A315D5"/>
    <w:rsid w:val="71A66471"/>
    <w:rsid w:val="72630915"/>
    <w:rsid w:val="728B6A39"/>
    <w:rsid w:val="72AE3E0E"/>
    <w:rsid w:val="72AF7355"/>
    <w:rsid w:val="73183AA9"/>
    <w:rsid w:val="73215BEF"/>
    <w:rsid w:val="736303C7"/>
    <w:rsid w:val="73737710"/>
    <w:rsid w:val="73792B1C"/>
    <w:rsid w:val="73A422AF"/>
    <w:rsid w:val="73A91328"/>
    <w:rsid w:val="73BF469F"/>
    <w:rsid w:val="73D657E2"/>
    <w:rsid w:val="745F239C"/>
    <w:rsid w:val="7472685F"/>
    <w:rsid w:val="749F6329"/>
    <w:rsid w:val="74BD32DB"/>
    <w:rsid w:val="74BE1488"/>
    <w:rsid w:val="74D51971"/>
    <w:rsid w:val="75123A7C"/>
    <w:rsid w:val="754465B2"/>
    <w:rsid w:val="75446ED5"/>
    <w:rsid w:val="75765CD5"/>
    <w:rsid w:val="757F5404"/>
    <w:rsid w:val="75A65D30"/>
    <w:rsid w:val="75D13A77"/>
    <w:rsid w:val="75D16096"/>
    <w:rsid w:val="75D5054E"/>
    <w:rsid w:val="75D7671C"/>
    <w:rsid w:val="75DA6613"/>
    <w:rsid w:val="763919E8"/>
    <w:rsid w:val="76525FDC"/>
    <w:rsid w:val="76761CDB"/>
    <w:rsid w:val="76FE0C47"/>
    <w:rsid w:val="775B6FD0"/>
    <w:rsid w:val="776F56FF"/>
    <w:rsid w:val="77883942"/>
    <w:rsid w:val="778D6F79"/>
    <w:rsid w:val="778F5B1A"/>
    <w:rsid w:val="77B7061B"/>
    <w:rsid w:val="77CA4643"/>
    <w:rsid w:val="78130972"/>
    <w:rsid w:val="78134FA1"/>
    <w:rsid w:val="783855FA"/>
    <w:rsid w:val="78604611"/>
    <w:rsid w:val="78B87AFB"/>
    <w:rsid w:val="78F24446"/>
    <w:rsid w:val="7900633A"/>
    <w:rsid w:val="794650D9"/>
    <w:rsid w:val="7963103D"/>
    <w:rsid w:val="798B7539"/>
    <w:rsid w:val="79D8556E"/>
    <w:rsid w:val="79F11B10"/>
    <w:rsid w:val="7A076A5C"/>
    <w:rsid w:val="7A1B360F"/>
    <w:rsid w:val="7A4A4173"/>
    <w:rsid w:val="7A6379A2"/>
    <w:rsid w:val="7A70184C"/>
    <w:rsid w:val="7A814D0C"/>
    <w:rsid w:val="7A944F9D"/>
    <w:rsid w:val="7B11377C"/>
    <w:rsid w:val="7B330F64"/>
    <w:rsid w:val="7B44075B"/>
    <w:rsid w:val="7B6D4C7C"/>
    <w:rsid w:val="7B7F254B"/>
    <w:rsid w:val="7BA93103"/>
    <w:rsid w:val="7BC4430A"/>
    <w:rsid w:val="7BCF18ED"/>
    <w:rsid w:val="7BD805A9"/>
    <w:rsid w:val="7C064C5E"/>
    <w:rsid w:val="7C9432CB"/>
    <w:rsid w:val="7CC94868"/>
    <w:rsid w:val="7CCF5E38"/>
    <w:rsid w:val="7CF1622B"/>
    <w:rsid w:val="7CFF7D58"/>
    <w:rsid w:val="7D19171A"/>
    <w:rsid w:val="7D252186"/>
    <w:rsid w:val="7D5A5087"/>
    <w:rsid w:val="7D5F70AA"/>
    <w:rsid w:val="7D800FB4"/>
    <w:rsid w:val="7D9D0869"/>
    <w:rsid w:val="7DD56660"/>
    <w:rsid w:val="7E192252"/>
    <w:rsid w:val="7E9C2214"/>
    <w:rsid w:val="7EA622A8"/>
    <w:rsid w:val="7ED904F8"/>
    <w:rsid w:val="7EEE7DFA"/>
    <w:rsid w:val="7F376BD4"/>
    <w:rsid w:val="7F5510AC"/>
    <w:rsid w:val="7F71258F"/>
    <w:rsid w:val="7FC019F4"/>
    <w:rsid w:val="7FD4673B"/>
    <w:rsid w:val="7FFC47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35"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qFormat="1"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qFormat="1"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qFormat="1" w:unhideWhenUsed="0" w:uiPriority="0" w:semiHidden="0" w:name="Table Grid 5"/>
    <w:lsdException w:unhideWhenUsed="0" w:uiPriority="0" w:semiHidden="0" w:name="Table Grid 6"/>
    <w:lsdException w:qFormat="1"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qFormat/>
    <w:uiPriority w:val="9"/>
    <w:pPr>
      <w:keepNext/>
      <w:keepLines/>
      <w:spacing w:before="340" w:after="330" w:line="578" w:lineRule="auto"/>
      <w:outlineLvl w:val="0"/>
    </w:pPr>
    <w:rPr>
      <w:b/>
      <w:bCs/>
      <w:kern w:val="44"/>
      <w:sz w:val="44"/>
      <w:szCs w:val="44"/>
    </w:rPr>
  </w:style>
  <w:style w:type="paragraph" w:styleId="3">
    <w:name w:val="heading 2"/>
    <w:basedOn w:val="1"/>
    <w:next w:val="1"/>
    <w:qFormat/>
    <w:uiPriority w:val="0"/>
    <w:pPr>
      <w:keepNext/>
      <w:keepLines/>
      <w:spacing w:line="500" w:lineRule="exact"/>
      <w:outlineLvl w:val="1"/>
    </w:pPr>
    <w:rPr>
      <w:rFonts w:ascii="Arial" w:hAnsi="Arial"/>
      <w:b/>
      <w:bCs/>
      <w:sz w:val="24"/>
      <w:szCs w:val="32"/>
    </w:rPr>
  </w:style>
  <w:style w:type="character" w:default="1" w:styleId="25">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4">
    <w:name w:val="annotation text"/>
    <w:basedOn w:val="1"/>
    <w:semiHidden/>
    <w:qFormat/>
    <w:uiPriority w:val="0"/>
    <w:pPr>
      <w:jc w:val="left"/>
    </w:pPr>
  </w:style>
  <w:style w:type="paragraph" w:styleId="5">
    <w:name w:val="Salutation"/>
    <w:basedOn w:val="1"/>
    <w:next w:val="1"/>
    <w:qFormat/>
    <w:uiPriority w:val="0"/>
    <w:rPr>
      <w:sz w:val="28"/>
    </w:rPr>
  </w:style>
  <w:style w:type="paragraph" w:styleId="6">
    <w:name w:val="Closing"/>
    <w:basedOn w:val="1"/>
    <w:next w:val="1"/>
    <w:qFormat/>
    <w:uiPriority w:val="0"/>
    <w:pPr>
      <w:ind w:left="4320"/>
    </w:pPr>
    <w:rPr>
      <w:sz w:val="28"/>
    </w:rPr>
  </w:style>
  <w:style w:type="paragraph" w:styleId="7">
    <w:name w:val="Body Text Indent"/>
    <w:basedOn w:val="1"/>
    <w:qFormat/>
    <w:uiPriority w:val="0"/>
    <w:pPr>
      <w:spacing w:line="360" w:lineRule="auto"/>
      <w:ind w:firstLine="480"/>
    </w:pPr>
    <w:rPr>
      <w:sz w:val="28"/>
    </w:rPr>
  </w:style>
  <w:style w:type="paragraph" w:styleId="8">
    <w:name w:val="toc 3"/>
    <w:basedOn w:val="1"/>
    <w:next w:val="1"/>
    <w:unhideWhenUsed/>
    <w:qFormat/>
    <w:uiPriority w:val="39"/>
    <w:pPr>
      <w:widowControl/>
      <w:spacing w:after="100" w:line="276" w:lineRule="auto"/>
      <w:ind w:left="440"/>
      <w:jc w:val="left"/>
    </w:pPr>
    <w:rPr>
      <w:kern w:val="0"/>
      <w:sz w:val="22"/>
    </w:rPr>
  </w:style>
  <w:style w:type="paragraph" w:styleId="9">
    <w:name w:val="Plain Text"/>
    <w:basedOn w:val="1"/>
    <w:link w:val="33"/>
    <w:qFormat/>
    <w:uiPriority w:val="0"/>
    <w:pPr>
      <w:adjustRightInd w:val="0"/>
      <w:textAlignment w:val="baseline"/>
    </w:pPr>
    <w:rPr>
      <w:rFonts w:ascii="宋体" w:hAnsi="Courier New" w:cs="宋体"/>
      <w:szCs w:val="21"/>
    </w:rPr>
  </w:style>
  <w:style w:type="paragraph" w:styleId="10">
    <w:name w:val="Body Text Indent 2"/>
    <w:basedOn w:val="1"/>
    <w:qFormat/>
    <w:uiPriority w:val="0"/>
    <w:pPr>
      <w:spacing w:line="360" w:lineRule="auto"/>
      <w:ind w:firstLine="734" w:firstLineChars="262"/>
    </w:pPr>
    <w:rPr>
      <w:sz w:val="28"/>
    </w:rPr>
  </w:style>
  <w:style w:type="paragraph" w:styleId="11">
    <w:name w:val="Balloon Text"/>
    <w:basedOn w:val="1"/>
    <w:semiHidden/>
    <w:qFormat/>
    <w:uiPriority w:val="0"/>
    <w:rPr>
      <w:sz w:val="18"/>
      <w:szCs w:val="18"/>
    </w:r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39"/>
    <w:pPr>
      <w:tabs>
        <w:tab w:val="right" w:leader="dot" w:pos="8588"/>
      </w:tabs>
      <w:spacing w:line="480" w:lineRule="exact"/>
      <w:jc w:val="center"/>
    </w:pPr>
    <w:rPr>
      <w:rFonts w:hAnsi="宋体"/>
      <w:spacing w:val="10"/>
      <w:kern w:val="0"/>
      <w:sz w:val="28"/>
    </w:rPr>
  </w:style>
  <w:style w:type="paragraph" w:styleId="15">
    <w:name w:val="Subtitle"/>
    <w:basedOn w:val="1"/>
    <w:next w:val="1"/>
    <w:link w:val="31"/>
    <w:qFormat/>
    <w:uiPriority w:val="11"/>
    <w:pPr>
      <w:spacing w:before="240" w:after="60" w:line="312" w:lineRule="auto"/>
      <w:jc w:val="center"/>
      <w:outlineLvl w:val="1"/>
    </w:pPr>
    <w:rPr>
      <w:rFonts w:ascii="Cambria" w:hAnsi="Cambria"/>
      <w:b/>
      <w:bCs/>
      <w:kern w:val="28"/>
      <w:sz w:val="32"/>
      <w:szCs w:val="32"/>
    </w:rPr>
  </w:style>
  <w:style w:type="paragraph" w:styleId="16">
    <w:name w:val="Body Text Indent 3"/>
    <w:basedOn w:val="1"/>
    <w:qFormat/>
    <w:uiPriority w:val="0"/>
    <w:pPr>
      <w:spacing w:line="360" w:lineRule="auto"/>
      <w:ind w:left="420" w:leftChars="200" w:firstLine="560" w:firstLineChars="200"/>
    </w:pPr>
    <w:rPr>
      <w:bCs/>
      <w:sz w:val="28"/>
    </w:rPr>
  </w:style>
  <w:style w:type="paragraph" w:styleId="17">
    <w:name w:val="toc 2"/>
    <w:basedOn w:val="1"/>
    <w:next w:val="1"/>
    <w:unhideWhenUsed/>
    <w:qFormat/>
    <w:uiPriority w:val="39"/>
    <w:pPr>
      <w:widowControl/>
      <w:spacing w:after="100" w:line="276" w:lineRule="auto"/>
      <w:ind w:left="220"/>
      <w:jc w:val="left"/>
    </w:pPr>
    <w:rPr>
      <w:kern w:val="0"/>
      <w:sz w:val="22"/>
    </w:rPr>
  </w:style>
  <w:style w:type="paragraph" w:styleId="18">
    <w:name w:val="Body Text 2"/>
    <w:basedOn w:val="1"/>
    <w:qFormat/>
    <w:uiPriority w:val="0"/>
    <w:pPr>
      <w:spacing w:after="120" w:line="480" w:lineRule="auto"/>
    </w:pPr>
  </w:style>
  <w:style w:type="paragraph" w:styleId="19">
    <w:name w:val="Title"/>
    <w:basedOn w:val="1"/>
    <w:next w:val="1"/>
    <w:link w:val="32"/>
    <w:qFormat/>
    <w:uiPriority w:val="10"/>
    <w:pPr>
      <w:spacing w:before="240" w:after="60"/>
      <w:jc w:val="center"/>
      <w:outlineLvl w:val="0"/>
    </w:pPr>
    <w:rPr>
      <w:rFonts w:ascii="Cambria" w:hAnsi="Cambria"/>
      <w:b/>
      <w:bCs/>
      <w:sz w:val="32"/>
      <w:szCs w:val="32"/>
    </w:rPr>
  </w:style>
  <w:style w:type="paragraph" w:styleId="20">
    <w:name w:val="annotation subject"/>
    <w:basedOn w:val="4"/>
    <w:next w:val="4"/>
    <w:semiHidden/>
    <w:qFormat/>
    <w:uiPriority w:val="0"/>
    <w:rPr>
      <w:b/>
      <w:bCs/>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23">
    <w:name w:val="Table Grid 5"/>
    <w:basedOn w:val="21"/>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24">
    <w:name w:val="Table Grid 7"/>
    <w:basedOn w:val="21"/>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val="0"/>
        <w:bCs w:val="0"/>
      </w:rPr>
      <w:tblPr/>
      <w:tcPr>
        <w:tcBorders>
          <w:top w:val="nil"/>
          <w:left w:val="nil"/>
          <w:bottom w:val="single" w:color="000000" w:sz="12" w:space="0"/>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26">
    <w:name w:val="Strong"/>
    <w:basedOn w:val="25"/>
    <w:qFormat/>
    <w:uiPriority w:val="22"/>
    <w:rPr>
      <w:b/>
      <w:bCs/>
    </w:rPr>
  </w:style>
  <w:style w:type="character" w:styleId="27">
    <w:name w:val="page number"/>
    <w:basedOn w:val="25"/>
    <w:qFormat/>
    <w:uiPriority w:val="0"/>
  </w:style>
  <w:style w:type="character" w:styleId="28">
    <w:name w:val="Emphasis"/>
    <w:basedOn w:val="25"/>
    <w:qFormat/>
    <w:uiPriority w:val="20"/>
    <w:rPr>
      <w:i/>
      <w:iCs/>
    </w:rPr>
  </w:style>
  <w:style w:type="character" w:styleId="29">
    <w:name w:val="Hyperlink"/>
    <w:basedOn w:val="25"/>
    <w:unhideWhenUsed/>
    <w:qFormat/>
    <w:uiPriority w:val="99"/>
    <w:rPr>
      <w:color w:val="0000FF"/>
      <w:u w:val="single"/>
    </w:rPr>
  </w:style>
  <w:style w:type="character" w:styleId="30">
    <w:name w:val="annotation reference"/>
    <w:basedOn w:val="25"/>
    <w:semiHidden/>
    <w:qFormat/>
    <w:uiPriority w:val="0"/>
    <w:rPr>
      <w:sz w:val="21"/>
      <w:szCs w:val="21"/>
    </w:rPr>
  </w:style>
  <w:style w:type="character" w:customStyle="1" w:styleId="31">
    <w:name w:val="副标题 Char"/>
    <w:basedOn w:val="25"/>
    <w:link w:val="15"/>
    <w:qFormat/>
    <w:uiPriority w:val="11"/>
    <w:rPr>
      <w:rFonts w:ascii="Cambria" w:hAnsi="Cambria" w:eastAsia="宋体" w:cs="Times New Roman"/>
      <w:b/>
      <w:bCs/>
      <w:kern w:val="28"/>
      <w:sz w:val="32"/>
      <w:szCs w:val="32"/>
    </w:rPr>
  </w:style>
  <w:style w:type="character" w:customStyle="1" w:styleId="32">
    <w:name w:val="标题 Char"/>
    <w:basedOn w:val="25"/>
    <w:link w:val="19"/>
    <w:qFormat/>
    <w:uiPriority w:val="10"/>
    <w:rPr>
      <w:rFonts w:ascii="Cambria" w:hAnsi="Cambria" w:cs="Times New Roman"/>
      <w:b/>
      <w:bCs/>
      <w:kern w:val="2"/>
      <w:sz w:val="32"/>
      <w:szCs w:val="32"/>
    </w:rPr>
  </w:style>
  <w:style w:type="character" w:customStyle="1" w:styleId="33">
    <w:name w:val="纯文本 Char"/>
    <w:basedOn w:val="25"/>
    <w:link w:val="9"/>
    <w:qFormat/>
    <w:locked/>
    <w:uiPriority w:val="0"/>
    <w:rPr>
      <w:rFonts w:ascii="宋体" w:hAnsi="Courier New" w:eastAsia="宋体" w:cs="宋体"/>
      <w:kern w:val="2"/>
      <w:sz w:val="21"/>
      <w:szCs w:val="21"/>
      <w:lang w:val="en-US" w:eastAsia="zh-CN" w:bidi="ar-SA"/>
    </w:rPr>
  </w:style>
  <w:style w:type="paragraph" w:customStyle="1" w:styleId="34">
    <w:name w:val="xl32"/>
    <w:basedOn w:val="1"/>
    <w:qFormat/>
    <w:uiPriority w:val="0"/>
    <w:pPr>
      <w:widowControl/>
      <w:spacing w:before="100" w:beforeAutospacing="1" w:after="100" w:afterAutospacing="1"/>
      <w:jc w:val="left"/>
    </w:pPr>
    <w:rPr>
      <w:rFonts w:ascii="宋体" w:hAnsi="宋体"/>
      <w:color w:val="000000"/>
      <w:kern w:val="0"/>
      <w:sz w:val="22"/>
    </w:rPr>
  </w:style>
  <w:style w:type="paragraph" w:customStyle="1" w:styleId="35">
    <w:name w:val="TOC 标题1"/>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36">
    <w:name w:val="font8"/>
    <w:basedOn w:val="1"/>
    <w:qFormat/>
    <w:uiPriority w:val="0"/>
    <w:pPr>
      <w:widowControl/>
      <w:spacing w:before="100" w:beforeAutospacing="1" w:after="100" w:afterAutospacing="1"/>
      <w:jc w:val="left"/>
    </w:pPr>
    <w:rPr>
      <w:color w:val="000000"/>
      <w:kern w:val="0"/>
      <w:sz w:val="22"/>
    </w:rPr>
  </w:style>
  <w:style w:type="paragraph" w:customStyle="1" w:styleId="37">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olor w:val="000000"/>
      <w:kern w:val="0"/>
      <w:sz w:val="22"/>
    </w:rPr>
  </w:style>
  <w:style w:type="paragraph" w:customStyle="1" w:styleId="38">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olor w:val="000000"/>
      <w:kern w:val="0"/>
      <w:sz w:val="22"/>
    </w:rPr>
  </w:style>
  <w:style w:type="paragraph" w:customStyle="1" w:styleId="39">
    <w:name w:val="font6"/>
    <w:basedOn w:val="1"/>
    <w:qFormat/>
    <w:uiPriority w:val="0"/>
    <w:pPr>
      <w:widowControl/>
      <w:spacing w:before="100" w:beforeAutospacing="1" w:after="100" w:afterAutospacing="1"/>
      <w:jc w:val="left"/>
    </w:pPr>
    <w:rPr>
      <w:rFonts w:hint="eastAsia" w:ascii="宋体" w:hAnsi="宋体"/>
      <w:kern w:val="0"/>
      <w:sz w:val="18"/>
      <w:szCs w:val="18"/>
    </w:rPr>
  </w:style>
  <w:style w:type="paragraph" w:customStyle="1" w:styleId="40">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olor w:val="000000"/>
      <w:kern w:val="0"/>
      <w:sz w:val="22"/>
    </w:rPr>
  </w:style>
  <w:style w:type="paragraph" w:customStyle="1" w:styleId="41">
    <w:name w:val="font9"/>
    <w:basedOn w:val="1"/>
    <w:qFormat/>
    <w:uiPriority w:val="0"/>
    <w:pPr>
      <w:widowControl/>
      <w:spacing w:before="100" w:beforeAutospacing="1" w:after="100" w:afterAutospacing="1"/>
      <w:jc w:val="left"/>
    </w:pPr>
    <w:rPr>
      <w:rFonts w:hint="eastAsia" w:ascii="宋体" w:hAnsi="宋体"/>
      <w:color w:val="000000"/>
      <w:kern w:val="0"/>
      <w:sz w:val="22"/>
    </w:rPr>
  </w:style>
  <w:style w:type="paragraph" w:customStyle="1" w:styleId="42">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olor w:val="000000"/>
      <w:kern w:val="0"/>
      <w:sz w:val="22"/>
    </w:rPr>
  </w:style>
  <w:style w:type="paragraph" w:customStyle="1" w:styleId="43">
    <w:name w:val="xl24"/>
    <w:basedOn w:val="1"/>
    <w:qFormat/>
    <w:uiPriority w:val="0"/>
    <w:pPr>
      <w:widowControl/>
      <w:spacing w:before="100" w:beforeAutospacing="1" w:after="100" w:afterAutospacing="1"/>
      <w:jc w:val="left"/>
    </w:pPr>
    <w:rPr>
      <w:rFonts w:ascii="宋体" w:hAnsi="宋体"/>
      <w:color w:val="000000"/>
      <w:kern w:val="0"/>
      <w:sz w:val="22"/>
    </w:rPr>
  </w:style>
  <w:style w:type="paragraph" w:customStyle="1" w:styleId="44">
    <w:name w:val="xl25"/>
    <w:basedOn w:val="1"/>
    <w:qFormat/>
    <w:uiPriority w:val="0"/>
    <w:pPr>
      <w:widowControl/>
      <w:spacing w:before="100" w:beforeAutospacing="1" w:after="100" w:afterAutospacing="1"/>
      <w:jc w:val="left"/>
    </w:pPr>
    <w:rPr>
      <w:rFonts w:ascii="宋体" w:hAnsi="宋体"/>
      <w:kern w:val="0"/>
      <w:sz w:val="22"/>
    </w:rPr>
  </w:style>
  <w:style w:type="paragraph" w:customStyle="1" w:styleId="45">
    <w:name w:val="font10"/>
    <w:basedOn w:val="1"/>
    <w:qFormat/>
    <w:uiPriority w:val="0"/>
    <w:pPr>
      <w:widowControl/>
      <w:spacing w:before="100" w:beforeAutospacing="1" w:after="100" w:afterAutospacing="1"/>
      <w:jc w:val="left"/>
    </w:pPr>
    <w:rPr>
      <w:rFonts w:hint="eastAsia" w:ascii="宋体" w:hAnsi="宋体"/>
      <w:color w:val="000000"/>
      <w:kern w:val="0"/>
      <w:sz w:val="12"/>
      <w:szCs w:val="12"/>
    </w:rPr>
  </w:style>
  <w:style w:type="paragraph" w:customStyle="1" w:styleId="46">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olor w:val="000000"/>
      <w:kern w:val="0"/>
      <w:sz w:val="22"/>
    </w:rPr>
  </w:style>
  <w:style w:type="paragraph" w:customStyle="1" w:styleId="47">
    <w:name w:val="正文文本缩进 31"/>
    <w:basedOn w:val="1"/>
    <w:qFormat/>
    <w:uiPriority w:val="0"/>
    <w:pPr>
      <w:adjustRightInd w:val="0"/>
      <w:spacing w:line="360" w:lineRule="auto"/>
      <w:ind w:left="420" w:firstLine="560"/>
      <w:textAlignment w:val="baseline"/>
    </w:pPr>
    <w:rPr>
      <w:sz w:val="28"/>
    </w:rPr>
  </w:style>
  <w:style w:type="paragraph" w:styleId="48">
    <w:name w:val="No Spacing"/>
    <w:qFormat/>
    <w:uiPriority w:val="1"/>
    <w:pPr>
      <w:widowControl w:val="0"/>
      <w:jc w:val="both"/>
    </w:pPr>
    <w:rPr>
      <w:rFonts w:ascii="Calibri" w:hAnsi="Calibri" w:eastAsia="宋体" w:cs="Times New Roman"/>
      <w:kern w:val="2"/>
      <w:sz w:val="21"/>
      <w:szCs w:val="22"/>
      <w:lang w:val="en-US" w:eastAsia="zh-CN" w:bidi="ar-SA"/>
    </w:rPr>
  </w:style>
  <w:style w:type="paragraph" w:customStyle="1" w:styleId="49">
    <w:name w:val="font7"/>
    <w:basedOn w:val="1"/>
    <w:qFormat/>
    <w:uiPriority w:val="0"/>
    <w:pPr>
      <w:widowControl/>
      <w:spacing w:before="100" w:beforeAutospacing="1" w:after="100" w:afterAutospacing="1"/>
      <w:jc w:val="left"/>
    </w:pPr>
    <w:rPr>
      <w:rFonts w:hint="eastAsia" w:ascii="黑体" w:hAnsi="宋体" w:eastAsia="黑体"/>
      <w:color w:val="000000"/>
      <w:kern w:val="0"/>
      <w:sz w:val="22"/>
    </w:rPr>
  </w:style>
  <w:style w:type="paragraph" w:customStyle="1" w:styleId="50">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黑体" w:hAnsi="宋体" w:eastAsia="黑体"/>
      <w:color w:val="000000"/>
      <w:kern w:val="0"/>
      <w:sz w:val="22"/>
    </w:rPr>
  </w:style>
  <w:style w:type="paragraph" w:customStyle="1" w:styleId="51">
    <w:name w:val="向"/>
    <w:basedOn w:val="9"/>
    <w:qFormat/>
    <w:uiPriority w:val="0"/>
    <w:pPr>
      <w:adjustRightInd/>
      <w:spacing w:line="360" w:lineRule="auto"/>
      <w:ind w:firstLine="567"/>
      <w:textAlignment w:val="auto"/>
    </w:pPr>
    <w:rPr>
      <w:rFonts w:ascii="仿宋_GB2312" w:eastAsia="仿宋_GB2312" w:cs="Times New Roman"/>
      <w:sz w:val="28"/>
      <w:szCs w:val="20"/>
    </w:rPr>
  </w:style>
  <w:style w:type="paragraph" w:customStyle="1" w:styleId="52">
    <w:name w:val="xl28"/>
    <w:basedOn w:val="1"/>
    <w:qFormat/>
    <w:uiPriority w:val="0"/>
    <w:pPr>
      <w:widowControl/>
      <w:spacing w:before="100" w:beforeAutospacing="1" w:after="100" w:afterAutospacing="1"/>
      <w:jc w:val="left"/>
    </w:pPr>
    <w:rPr>
      <w:color w:val="000000"/>
      <w:kern w:val="0"/>
      <w:sz w:val="22"/>
    </w:rPr>
  </w:style>
  <w:style w:type="paragraph" w:customStyle="1" w:styleId="53">
    <w:name w:val="font5"/>
    <w:basedOn w:val="1"/>
    <w:qFormat/>
    <w:uiPriority w:val="0"/>
    <w:pPr>
      <w:widowControl/>
      <w:spacing w:before="100" w:beforeAutospacing="1" w:after="100" w:afterAutospacing="1"/>
      <w:jc w:val="left"/>
    </w:pPr>
    <w:rPr>
      <w:rFonts w:hint="eastAsia" w:ascii="宋体" w:hAnsi="宋体"/>
      <w:kern w:val="0"/>
      <w:sz w:val="24"/>
      <w:szCs w:val="24"/>
    </w:rPr>
  </w:style>
  <w:style w:type="paragraph" w:customStyle="1" w:styleId="54">
    <w:name w:val="xl39"/>
    <w:basedOn w:val="1"/>
    <w:qFormat/>
    <w:uiPriority w:val="0"/>
    <w:pPr>
      <w:widowControl/>
      <w:pBdr>
        <w:bottom w:val="single" w:color="auto" w:sz="4" w:space="0"/>
      </w:pBdr>
      <w:spacing w:before="100" w:beforeAutospacing="1" w:after="100" w:afterAutospacing="1"/>
      <w:jc w:val="center"/>
    </w:pPr>
    <w:rPr>
      <w:color w:val="000000"/>
      <w:kern w:val="0"/>
      <w:sz w:val="22"/>
    </w:rPr>
  </w:style>
  <w:style w:type="paragraph" w:customStyle="1" w:styleId="55">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olor w:val="000000"/>
      <w:kern w:val="0"/>
      <w:sz w:val="22"/>
    </w:rPr>
  </w:style>
  <w:style w:type="paragraph" w:customStyle="1" w:styleId="56">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000000"/>
      <w:kern w:val="0"/>
      <w:sz w:val="22"/>
    </w:rPr>
  </w:style>
  <w:style w:type="paragraph" w:customStyle="1" w:styleId="57">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黑体" w:hAnsi="宋体" w:eastAsia="黑体"/>
      <w:color w:val="000000"/>
      <w:kern w:val="0"/>
      <w:sz w:val="22"/>
    </w:rPr>
  </w:style>
  <w:style w:type="paragraph" w:styleId="58">
    <w:name w:val="List Paragraph"/>
    <w:basedOn w:val="1"/>
    <w:qFormat/>
    <w:uiPriority w:val="34"/>
    <w:pPr>
      <w:ind w:firstLine="420" w:firstLineChars="200"/>
    </w:pPr>
  </w:style>
  <w:style w:type="character" w:customStyle="1" w:styleId="59">
    <w:name w:val="font41"/>
    <w:basedOn w:val="25"/>
    <w:qFormat/>
    <w:uiPriority w:val="0"/>
    <w:rPr>
      <w:rFonts w:ascii="Calibri" w:hAnsi="Calibri" w:cs="Calibri"/>
      <w:color w:val="000000"/>
      <w:sz w:val="21"/>
      <w:szCs w:val="21"/>
      <w:u w:val="none"/>
    </w:rPr>
  </w:style>
  <w:style w:type="character" w:customStyle="1" w:styleId="60">
    <w:name w:val="font31"/>
    <w:basedOn w:val="25"/>
    <w:qFormat/>
    <w:uiPriority w:val="0"/>
    <w:rPr>
      <w:rFonts w:hint="eastAsia" w:ascii="宋体" w:hAnsi="宋体" w:eastAsia="宋体" w:cs="宋体"/>
      <w:color w:val="000000"/>
      <w:sz w:val="21"/>
      <w:szCs w:val="21"/>
      <w:u w:val="none"/>
    </w:rPr>
  </w:style>
  <w:style w:type="character" w:customStyle="1" w:styleId="61">
    <w:name w:val="font21"/>
    <w:basedOn w:val="25"/>
    <w:qFormat/>
    <w:uiPriority w:val="0"/>
    <w:rPr>
      <w:rFonts w:hint="eastAsia"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2" Type="http://schemas.openxmlformats.org/officeDocument/2006/relationships/fontTable" Target="fontTable.xml"/><Relationship Id="rId31" Type="http://schemas.openxmlformats.org/officeDocument/2006/relationships/customXml" Target="../customXml/item2.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23.pn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056CC83-C52C-4C8B-8724-4762BED4CEEB}">
  <ds:schemaRefs/>
</ds:datastoreItem>
</file>

<file path=docProps/app.xml><?xml version="1.0" encoding="utf-8"?>
<Properties xmlns="http://schemas.openxmlformats.org/officeDocument/2006/extended-properties" xmlns:vt="http://schemas.openxmlformats.org/officeDocument/2006/docPropsVTypes">
  <Template>Normal.dotm</Template>
  <Company>sx</Company>
  <Pages>26</Pages>
  <Words>7338</Words>
  <Characters>8065</Characters>
  <Lines>17</Lines>
  <Paragraphs>16</Paragraphs>
  <TotalTime>22</TotalTime>
  <ScaleCrop>false</ScaleCrop>
  <LinksUpToDate>false</LinksUpToDate>
  <CharactersWithSpaces>9056</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2018-10-09T06:42:00Z</dcterms:created>
  <dc:creator>sx</dc:creator>
  <cp:lastModifiedBy>Administrator</cp:lastModifiedBy>
  <cp:lastPrinted>2022-09-18T06:55:00Z</cp:lastPrinted>
  <dcterms:modified xsi:type="dcterms:W3CDTF">2022-10-10T02:41:14Z</dcterms:modified>
  <dc:title>房地产估价报告</dc:title>
  <cp:revision>509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49E23AED20764802902DFAF8A455A0F6</vt:lpwstr>
  </property>
</Properties>
</file>