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58" w:leftChars="202" w:right="279" w:rightChars="123"/>
        <w:jc w:val="center"/>
        <w:rPr>
          <w:b/>
          <w:color w:val="FF0000"/>
          <w:sz w:val="44"/>
          <w:szCs w:val="44"/>
        </w:rPr>
      </w:pPr>
    </w:p>
    <w:p>
      <w:pPr>
        <w:tabs>
          <w:tab w:val="left" w:pos="142"/>
          <w:tab w:val="left" w:pos="8647"/>
        </w:tabs>
        <w:ind w:left="-140" w:leftChars="-62" w:right="263" w:rightChars="116" w:firstLine="142"/>
        <w:jc w:val="center"/>
        <w:rPr>
          <w:rFonts w:ascii="宋体" w:hAnsi="宋体" w:cs="仿宋_GB2312"/>
          <w:b/>
          <w:sz w:val="44"/>
          <w:szCs w:val="44"/>
        </w:rPr>
      </w:pPr>
      <w:r>
        <w:rPr>
          <w:rFonts w:hint="eastAsia" w:ascii="宋体" w:hAnsi="宋体" w:cs="仿宋_GB2312"/>
          <w:b/>
          <w:sz w:val="44"/>
          <w:szCs w:val="44"/>
        </w:rPr>
        <w:t>陆良县中枢街道春光东路延长线爨乡印象三期F-9号住宅用途房地产司法鉴证</w:t>
      </w:r>
      <w:r>
        <w:rPr>
          <w:rFonts w:hint="eastAsia"/>
          <w:b/>
          <w:sz w:val="44"/>
          <w:szCs w:val="44"/>
        </w:rPr>
        <w:t>估价报告</w:t>
      </w:r>
    </w:p>
    <w:p>
      <w:pPr>
        <w:ind w:right="122" w:rightChars="54"/>
        <w:rPr>
          <w:sz w:val="36"/>
          <w:szCs w:val="36"/>
        </w:rPr>
      </w:pPr>
    </w:p>
    <w:p>
      <w:pPr>
        <w:ind w:left="565" w:leftChars="202" w:right="279" w:rightChars="123" w:hanging="107" w:hangingChars="34"/>
        <w:rPr>
          <w:rFonts w:ascii="宋体" w:hAnsi="宋体"/>
          <w:sz w:val="30"/>
          <w:szCs w:val="30"/>
        </w:rPr>
      </w:pPr>
    </w:p>
    <w:p>
      <w:pPr>
        <w:ind w:left="458" w:leftChars="202" w:right="279" w:rightChars="123"/>
        <w:rPr>
          <w:rFonts w:ascii="宋体" w:hAnsi="宋体"/>
          <w:sz w:val="30"/>
          <w:szCs w:val="30"/>
        </w:rPr>
      </w:pPr>
    </w:p>
    <w:p>
      <w:pPr>
        <w:ind w:left="458" w:leftChars="202" w:right="279" w:rightChars="123"/>
        <w:rPr>
          <w:rFonts w:ascii="宋体" w:hAnsi="宋体"/>
          <w:sz w:val="30"/>
          <w:szCs w:val="30"/>
        </w:rPr>
      </w:pPr>
    </w:p>
    <w:p>
      <w:pPr>
        <w:ind w:left="458" w:leftChars="202" w:right="279" w:rightChars="123"/>
        <w:rPr>
          <w:rFonts w:ascii="宋体" w:hAnsi="宋体"/>
          <w:sz w:val="30"/>
          <w:szCs w:val="30"/>
        </w:rPr>
      </w:pPr>
    </w:p>
    <w:p>
      <w:pPr>
        <w:ind w:left="458" w:leftChars="202" w:right="279" w:rightChars="123"/>
        <w:rPr>
          <w:rFonts w:ascii="宋体" w:hAnsi="宋体"/>
          <w:sz w:val="30"/>
          <w:szCs w:val="30"/>
        </w:rPr>
      </w:pPr>
      <w:r>
        <w:rPr>
          <w:rFonts w:hint="eastAsia" w:ascii="宋体" w:hAnsi="宋体"/>
          <w:sz w:val="30"/>
          <w:szCs w:val="30"/>
        </w:rPr>
        <w:t>[报告摘要]</w:t>
      </w:r>
    </w:p>
    <w:p>
      <w:pPr>
        <w:rPr>
          <w:sz w:val="28"/>
          <w:szCs w:val="28"/>
        </w:rPr>
      </w:pPr>
    </w:p>
    <w:p>
      <w:pPr>
        <w:ind w:left="458" w:leftChars="202" w:right="279" w:rightChars="123" w:firstLine="621" w:firstLineChars="196"/>
        <w:rPr>
          <w:rFonts w:ascii="宋体" w:hAnsi="宋体"/>
          <w:sz w:val="30"/>
          <w:szCs w:val="30"/>
        </w:rPr>
      </w:pPr>
      <w:r>
        <w:rPr>
          <w:rFonts w:hint="eastAsia" w:ascii="宋体" w:hAnsi="宋体"/>
          <w:sz w:val="30"/>
          <w:szCs w:val="30"/>
        </w:rPr>
        <w:t>本报告评估的是陆良县中枢街道春光东路延长线爨乡印象三期F-9号</w:t>
      </w:r>
      <w:r>
        <w:rPr>
          <w:rFonts w:hint="eastAsia" w:ascii="宋体" w:hAnsi="宋体" w:cs="仿宋_GB2312"/>
          <w:sz w:val="30"/>
          <w:szCs w:val="30"/>
        </w:rPr>
        <w:t>住宅用途房地产市场价值</w:t>
      </w:r>
      <w:r>
        <w:rPr>
          <w:rFonts w:hint="eastAsia" w:ascii="宋体" w:hAnsi="宋体"/>
          <w:sz w:val="30"/>
          <w:szCs w:val="30"/>
        </w:rPr>
        <w:t xml:space="preserve">,估价目的是为司法处置提供价格参考依据而评估房地产市场价值。 </w:t>
      </w:r>
    </w:p>
    <w:p/>
    <w:p>
      <w:pPr>
        <w:rPr>
          <w:b/>
        </w:rPr>
      </w:pPr>
    </w:p>
    <w:p>
      <w:pPr>
        <w:ind w:firstLine="4728" w:firstLineChars="2083"/>
        <w:rPr>
          <w:b/>
        </w:rPr>
      </w:pPr>
    </w:p>
    <w:p>
      <w:pPr>
        <w:ind w:left="458" w:leftChars="202" w:right="279" w:rightChars="123" w:firstLine="2"/>
        <w:jc w:val="right"/>
        <w:rPr>
          <w:b/>
          <w:sz w:val="30"/>
          <w:szCs w:val="30"/>
        </w:rPr>
      </w:pPr>
    </w:p>
    <w:p>
      <w:pPr>
        <w:spacing w:line="440" w:lineRule="exact"/>
        <w:rPr>
          <w:rFonts w:ascii="隶书" w:hAnsi="宋体" w:eastAsia="隶书" w:cs="仿宋_GB2312"/>
          <w:sz w:val="36"/>
          <w:szCs w:val="36"/>
        </w:rPr>
      </w:pPr>
    </w:p>
    <w:p>
      <w:pPr>
        <w:spacing w:line="440" w:lineRule="exact"/>
        <w:jc w:val="center"/>
        <w:rPr>
          <w:rFonts w:ascii="隶书" w:hAnsi="宋体" w:eastAsia="隶书" w:cs="仿宋_GB2312"/>
          <w:sz w:val="36"/>
          <w:szCs w:val="36"/>
        </w:rPr>
      </w:pPr>
    </w:p>
    <w:p>
      <w:pPr>
        <w:spacing w:line="440" w:lineRule="exact"/>
        <w:jc w:val="center"/>
        <w:rPr>
          <w:rFonts w:ascii="隶书" w:hAnsi="宋体" w:eastAsia="隶书" w:cs="仿宋_GB2312"/>
          <w:sz w:val="36"/>
          <w:szCs w:val="36"/>
        </w:rPr>
      </w:pPr>
    </w:p>
    <w:p>
      <w:pPr>
        <w:spacing w:line="440" w:lineRule="exact"/>
        <w:jc w:val="center"/>
        <w:rPr>
          <w:rFonts w:ascii="隶书" w:hAnsi="宋体" w:eastAsia="隶书" w:cs="仿宋_GB2312"/>
          <w:sz w:val="36"/>
          <w:szCs w:val="36"/>
        </w:rPr>
      </w:pPr>
    </w:p>
    <w:p>
      <w:pPr>
        <w:spacing w:line="440" w:lineRule="exact"/>
        <w:jc w:val="center"/>
        <w:rPr>
          <w:rFonts w:ascii="隶书" w:eastAsia="隶书"/>
          <w:sz w:val="36"/>
          <w:szCs w:val="36"/>
        </w:rPr>
      </w:pPr>
      <w:r>
        <w:rPr>
          <w:rFonts w:hint="eastAsia" w:ascii="隶书" w:hAnsi="宋体" w:eastAsia="隶书" w:cs="仿宋_GB2312"/>
          <w:sz w:val="36"/>
          <w:szCs w:val="36"/>
        </w:rPr>
        <w:t>曲靖市恒通房地产土地评估有限公司</w:t>
      </w:r>
    </w:p>
    <w:p>
      <w:pPr>
        <w:tabs>
          <w:tab w:val="left" w:pos="1800"/>
        </w:tabs>
        <w:spacing w:line="440" w:lineRule="exact"/>
        <w:jc w:val="center"/>
        <w:rPr>
          <w:sz w:val="36"/>
          <w:szCs w:val="36"/>
        </w:rPr>
      </w:pPr>
      <w:r>
        <w:rPr>
          <w:sz w:val="36"/>
          <w:szCs w:val="36"/>
        </w:rPr>
        <w:t>Qu Jing City Heng Tong real estate appraises Ltd.</w:t>
      </w:r>
    </w:p>
    <w:p>
      <w:pPr>
        <w:pageBreakBefore/>
        <w:spacing w:line="598" w:lineRule="atLeast"/>
        <w:ind w:hanging="11"/>
        <w:jc w:val="center"/>
        <w:textAlignment w:val="center"/>
        <w:rPr>
          <w:rFonts w:ascii="宋体" w:hAnsi="宋体" w:cs="仿宋_GB2312"/>
          <w:spacing w:val="30"/>
          <w:sz w:val="52"/>
          <w:szCs w:val="52"/>
        </w:rPr>
      </w:pPr>
      <w:r>
        <w:rPr>
          <w:rFonts w:hint="eastAsia" w:asciiTheme="minorEastAsia" w:hAnsiTheme="minorEastAsia" w:eastAsiaTheme="minorEastAsia"/>
          <w:bCs/>
          <w:sz w:val="52"/>
          <w:szCs w:val="52"/>
        </w:rPr>
        <w:t>房地产司法鉴证估价报告</w:t>
      </w:r>
    </w:p>
    <w:p>
      <w:pPr>
        <w:spacing w:line="723" w:lineRule="atLeast"/>
        <w:textAlignment w:val="center"/>
        <w:rPr>
          <w:rFonts w:ascii="宋体" w:hAnsi="宋体" w:cs="仿宋_GB2312"/>
          <w:spacing w:val="-24"/>
          <w:sz w:val="44"/>
        </w:rPr>
      </w:pPr>
    </w:p>
    <w:p>
      <w:pPr>
        <w:tabs>
          <w:tab w:val="left" w:pos="9356"/>
          <w:tab w:val="left" w:pos="9781"/>
        </w:tabs>
        <w:spacing w:line="1000" w:lineRule="exact"/>
        <w:ind w:left="2220" w:right="-22" w:rightChars="-10" w:hanging="2219" w:hangingChars="700"/>
        <w:textAlignment w:val="center"/>
        <w:rPr>
          <w:rFonts w:ascii="宋体" w:hAnsi="宋体" w:cs="仿宋_GB2312"/>
          <w:sz w:val="30"/>
          <w:szCs w:val="30"/>
        </w:rPr>
      </w:pPr>
      <w:r>
        <w:rPr>
          <w:rFonts w:hint="eastAsia" w:ascii="宋体" w:hAnsi="宋体" w:cs="仿宋_GB2312"/>
          <w:sz w:val="30"/>
          <w:szCs w:val="30"/>
        </w:rPr>
        <w:t>估价报告编号：恒房地估曲字（</w:t>
      </w:r>
      <w:r>
        <w:rPr>
          <w:rFonts w:hint="eastAsia" w:ascii="宋体" w:hAnsi="宋体"/>
          <w:sz w:val="30"/>
          <w:szCs w:val="30"/>
        </w:rPr>
        <w:t>2022</w:t>
      </w:r>
      <w:r>
        <w:rPr>
          <w:rFonts w:hint="eastAsia" w:ascii="宋体" w:hAnsi="宋体" w:cs="仿宋_GB2312"/>
          <w:sz w:val="30"/>
          <w:szCs w:val="30"/>
        </w:rPr>
        <w:t>）年第</w:t>
      </w:r>
      <w:r>
        <w:rPr>
          <w:rFonts w:ascii="宋体" w:hAnsi="宋体"/>
          <w:sz w:val="30"/>
          <w:szCs w:val="30"/>
        </w:rPr>
        <w:t>Y</w:t>
      </w:r>
      <w:r>
        <w:rPr>
          <w:rFonts w:hint="eastAsia" w:ascii="宋体" w:hAnsi="宋体"/>
          <w:sz w:val="30"/>
          <w:szCs w:val="30"/>
        </w:rPr>
        <w:t>15</w:t>
      </w:r>
      <w:r>
        <w:rPr>
          <w:rFonts w:hint="eastAsia" w:ascii="宋体" w:hAnsi="宋体"/>
          <w:sz w:val="30"/>
          <w:szCs w:val="30"/>
          <w:lang w:val="en-US" w:eastAsia="zh-CN"/>
        </w:rPr>
        <w:t>8</w:t>
      </w:r>
      <w:r>
        <w:rPr>
          <w:rFonts w:hint="eastAsia" w:ascii="宋体" w:hAnsi="宋体" w:cs="仿宋_GB2312"/>
          <w:sz w:val="30"/>
          <w:szCs w:val="30"/>
        </w:rPr>
        <w:t>号</w:t>
      </w:r>
    </w:p>
    <w:p>
      <w:pPr>
        <w:tabs>
          <w:tab w:val="left" w:pos="9356"/>
          <w:tab w:val="left" w:pos="9781"/>
        </w:tabs>
        <w:spacing w:line="1000" w:lineRule="exact"/>
        <w:ind w:left="2125" w:right="-22" w:rightChars="-10" w:hanging="2123" w:hangingChars="670"/>
        <w:textAlignment w:val="center"/>
        <w:rPr>
          <w:rFonts w:ascii="宋体" w:hAnsi="宋体" w:cs="仿宋_GB2312"/>
          <w:sz w:val="30"/>
          <w:szCs w:val="30"/>
        </w:rPr>
      </w:pPr>
      <w:r>
        <w:rPr>
          <w:rFonts w:hint="eastAsia" w:ascii="宋体" w:hAnsi="宋体" w:cs="仿宋_GB2312"/>
          <w:sz w:val="30"/>
          <w:szCs w:val="30"/>
        </w:rPr>
        <w:t>估价项目名称：陆良县中枢街道春光东路延长线爨乡印象三期F-9号住宅用途房地产司法鉴证估价评估</w:t>
      </w:r>
    </w:p>
    <w:p>
      <w:pPr>
        <w:spacing w:line="1000" w:lineRule="exact"/>
        <w:ind w:right="-22" w:rightChars="-10"/>
        <w:textAlignment w:val="center"/>
        <w:rPr>
          <w:rFonts w:ascii="宋体" w:hAnsi="宋体" w:cs="仿宋_GB2312"/>
          <w:sz w:val="30"/>
          <w:szCs w:val="30"/>
        </w:rPr>
      </w:pPr>
      <w:r>
        <w:rPr>
          <w:rFonts w:hint="eastAsia" w:ascii="宋体" w:hAnsi="宋体" w:cs="仿宋_GB2312"/>
          <w:sz w:val="30"/>
          <w:szCs w:val="30"/>
        </w:rPr>
        <w:t>估价委托人：  陆良县人民法院</w:t>
      </w:r>
    </w:p>
    <w:p>
      <w:pPr>
        <w:spacing w:line="1000" w:lineRule="exact"/>
        <w:textAlignment w:val="center"/>
        <w:rPr>
          <w:rFonts w:ascii="宋体" w:hAnsi="宋体" w:cs="仿宋_GB2312"/>
          <w:sz w:val="30"/>
          <w:szCs w:val="30"/>
        </w:rPr>
      </w:pPr>
      <w:r>
        <w:rPr>
          <w:rFonts w:hint="eastAsia" w:ascii="宋体" w:hAnsi="宋体" w:cs="仿宋_GB2312"/>
          <w:sz w:val="30"/>
          <w:szCs w:val="30"/>
        </w:rPr>
        <w:t>房地产估价机构：  曲靖市恒通房地产土地评估有限公司</w:t>
      </w:r>
    </w:p>
    <w:p>
      <w:pPr>
        <w:spacing w:line="1000" w:lineRule="exact"/>
        <w:textAlignment w:val="center"/>
        <w:rPr>
          <w:rFonts w:ascii="宋体" w:hAnsi="宋体" w:cs="仿宋_GB2312"/>
          <w:sz w:val="30"/>
          <w:szCs w:val="30"/>
        </w:rPr>
      </w:pPr>
      <w:r>
        <w:rPr>
          <w:rFonts w:hint="eastAsia" w:ascii="宋体" w:hAnsi="宋体" w:cs="仿宋_GB2312"/>
          <w:sz w:val="30"/>
          <w:szCs w:val="30"/>
        </w:rPr>
        <w:t>注册房地产估价师：杨高云（注册号</w:t>
      </w:r>
      <w:r>
        <w:rPr>
          <w:rFonts w:ascii="宋体" w:hAnsi="宋体"/>
          <w:sz w:val="30"/>
          <w:szCs w:val="30"/>
        </w:rPr>
        <w:t>53200</w:t>
      </w:r>
      <w:r>
        <w:rPr>
          <w:rFonts w:hint="eastAsia" w:ascii="宋体" w:hAnsi="宋体"/>
          <w:sz w:val="30"/>
          <w:szCs w:val="30"/>
        </w:rPr>
        <w:t>60029</w:t>
      </w:r>
      <w:r>
        <w:rPr>
          <w:rFonts w:hint="eastAsia" w:ascii="宋体" w:hAnsi="宋体" w:cs="仿宋_GB2312"/>
          <w:sz w:val="30"/>
          <w:szCs w:val="30"/>
        </w:rPr>
        <w:t>）</w:t>
      </w:r>
    </w:p>
    <w:p>
      <w:pPr>
        <w:spacing w:line="1000" w:lineRule="exact"/>
        <w:ind w:firstLine="634" w:firstLineChars="200"/>
        <w:textAlignment w:val="center"/>
        <w:rPr>
          <w:rFonts w:ascii="宋体" w:hAnsi="宋体" w:cs="仿宋_GB2312"/>
          <w:sz w:val="30"/>
          <w:szCs w:val="30"/>
        </w:rPr>
      </w:pPr>
      <w:r>
        <w:rPr>
          <w:rFonts w:hint="eastAsia" w:ascii="宋体" w:hAnsi="宋体" w:cs="仿宋_GB2312"/>
          <w:sz w:val="30"/>
          <w:szCs w:val="30"/>
        </w:rPr>
        <w:t xml:space="preserve">              刘承文（注册号5320040057）</w:t>
      </w:r>
    </w:p>
    <w:p>
      <w:pPr>
        <w:spacing w:line="1000" w:lineRule="exact"/>
        <w:textAlignment w:val="center"/>
        <w:rPr>
          <w:rFonts w:hint="eastAsia" w:ascii="宋体" w:hAnsi="宋体" w:eastAsia="宋体" w:cs="仿宋_GB2312"/>
          <w:sz w:val="30"/>
          <w:szCs w:val="30"/>
          <w:lang w:eastAsia="zh-CN"/>
        </w:rPr>
      </w:pPr>
      <w:r>
        <w:rPr>
          <w:rFonts w:hint="eastAsia" w:ascii="宋体" w:hAnsi="宋体" w:cs="仿宋_GB2312"/>
          <w:sz w:val="30"/>
          <w:szCs w:val="30"/>
        </w:rPr>
        <w:t xml:space="preserve">估价报告出具日期: </w:t>
      </w:r>
      <w:r>
        <w:rPr>
          <w:rFonts w:hint="eastAsia" w:ascii="宋体" w:hAnsi="宋体"/>
          <w:sz w:val="30"/>
          <w:szCs w:val="30"/>
          <w:lang w:eastAsia="zh-CN"/>
        </w:rPr>
        <w:t>2022年10月28日</w:t>
      </w: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keepNext/>
        <w:keepLines/>
        <w:pageBreakBefore/>
        <w:spacing w:line="600" w:lineRule="exact"/>
        <w:jc w:val="center"/>
        <w:textAlignment w:val="center"/>
        <w:rPr>
          <w:rFonts w:ascii="宋体" w:hAnsi="宋体" w:cs="仿宋_GB2312"/>
          <w:spacing w:val="15"/>
          <w:sz w:val="44"/>
        </w:rPr>
      </w:pPr>
      <w:r>
        <w:rPr>
          <w:rFonts w:hint="eastAsia" w:ascii="宋体" w:hAnsi="宋体" w:cs="仿宋_GB2312"/>
          <w:spacing w:val="15"/>
          <w:sz w:val="44"/>
        </w:rPr>
        <w:t>致估价委托方函</w:t>
      </w:r>
    </w:p>
    <w:p>
      <w:pPr>
        <w:spacing w:line="540" w:lineRule="exact"/>
        <w:jc w:val="left"/>
        <w:textAlignment w:val="center"/>
        <w:rPr>
          <w:rFonts w:ascii="宋体" w:hAnsi="宋体" w:cs="仿宋_GB2312"/>
          <w:sz w:val="28"/>
          <w:szCs w:val="28"/>
        </w:rPr>
      </w:pPr>
      <w:r>
        <w:rPr>
          <w:rFonts w:hint="eastAsia" w:ascii="宋体" w:hAnsi="宋体" w:cs="仿宋_GB2312"/>
          <w:sz w:val="28"/>
          <w:szCs w:val="28"/>
        </w:rPr>
        <w:t>陆良县人民法院：</w:t>
      </w:r>
    </w:p>
    <w:p>
      <w:pPr>
        <w:spacing w:line="540" w:lineRule="exact"/>
        <w:ind w:firstLine="594" w:firstLineChars="200"/>
        <w:textAlignment w:val="center"/>
        <w:rPr>
          <w:rFonts w:ascii="宋体" w:hAnsi="宋体" w:cs="仿宋_GB2312"/>
          <w:sz w:val="28"/>
          <w:szCs w:val="28"/>
        </w:rPr>
      </w:pPr>
      <w:r>
        <w:rPr>
          <w:rFonts w:hint="eastAsia" w:ascii="宋体" w:hAnsi="宋体" w:cs="仿宋_GB2312"/>
          <w:sz w:val="28"/>
          <w:szCs w:val="28"/>
        </w:rPr>
        <w:t>承蒙委托，我公司对</w:t>
      </w:r>
      <w:r>
        <w:rPr>
          <w:rFonts w:hint="eastAsia" w:ascii="宋体" w:hAnsi="宋体" w:cs="仿宋_GB2312"/>
          <w:sz w:val="30"/>
          <w:szCs w:val="30"/>
        </w:rPr>
        <w:t>陆良县中枢街道春光东路延长线爨乡印象三期F-9号住宅用途房地产</w:t>
      </w:r>
      <w:r>
        <w:rPr>
          <w:rFonts w:hint="eastAsia" w:ascii="宋体" w:hAnsi="宋体" w:cs="仿宋_GB2312"/>
          <w:spacing w:val="11"/>
          <w:kern w:val="0"/>
          <w:sz w:val="28"/>
          <w:szCs w:val="28"/>
        </w:rPr>
        <w:t>进行了</w:t>
      </w:r>
      <w:r>
        <w:rPr>
          <w:rFonts w:hint="eastAsia" w:ascii="宋体" w:hAnsi="宋体" w:cs="仿宋_GB2312"/>
          <w:sz w:val="30"/>
          <w:szCs w:val="30"/>
        </w:rPr>
        <w:t>司法鉴证评估</w:t>
      </w:r>
      <w:r>
        <w:rPr>
          <w:rFonts w:hint="eastAsia" w:ascii="宋体" w:hAnsi="宋体" w:cs="仿宋_GB2312"/>
          <w:sz w:val="28"/>
          <w:szCs w:val="28"/>
        </w:rPr>
        <w:t>。</w:t>
      </w:r>
    </w:p>
    <w:p>
      <w:pPr>
        <w:spacing w:line="540" w:lineRule="exact"/>
        <w:ind w:firstLine="594" w:firstLineChars="200"/>
        <w:textAlignment w:val="center"/>
        <w:rPr>
          <w:rFonts w:ascii="宋体" w:hAnsi="宋体" w:cs="仿宋_GB2312"/>
          <w:sz w:val="28"/>
          <w:szCs w:val="28"/>
        </w:rPr>
      </w:pPr>
      <w:r>
        <w:rPr>
          <w:rFonts w:hint="eastAsia" w:ascii="宋体" w:hAnsi="宋体" w:cs="仿宋_GB2312"/>
          <w:sz w:val="28"/>
          <w:szCs w:val="28"/>
        </w:rPr>
        <w:t>估价目的：为司法处置提供价格参考依据而评估房地产市场价值。</w:t>
      </w:r>
    </w:p>
    <w:p>
      <w:pPr>
        <w:spacing w:line="540" w:lineRule="exact"/>
        <w:ind w:left="-283" w:leftChars="-125" w:firstLine="130" w:firstLineChars="44"/>
        <w:textAlignment w:val="center"/>
        <w:rPr>
          <w:rFonts w:ascii="宋体" w:hAnsi="宋体" w:cs="仿宋_GB2312"/>
          <w:sz w:val="28"/>
          <w:szCs w:val="28"/>
        </w:rPr>
      </w:pPr>
      <w:r>
        <w:rPr>
          <w:rFonts w:hint="eastAsia" w:ascii="宋体" w:hAnsi="宋体" w:cs="仿宋_GB2312"/>
          <w:sz w:val="28"/>
          <w:szCs w:val="28"/>
        </w:rPr>
        <w:t xml:space="preserve">     估价对象：     </w:t>
      </w:r>
    </w:p>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4"/>
        <w:gridCol w:w="851"/>
        <w:gridCol w:w="285"/>
        <w:gridCol w:w="138"/>
        <w:gridCol w:w="1254"/>
        <w:gridCol w:w="1018"/>
        <w:gridCol w:w="281"/>
        <w:gridCol w:w="428"/>
        <w:gridCol w:w="84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坐落</w:t>
            </w:r>
          </w:p>
        </w:tc>
        <w:tc>
          <w:tcPr>
            <w:tcW w:w="7655" w:type="dxa"/>
            <w:gridSpan w:val="10"/>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陆良县中枢街道春光东路延长线爨乡印象三期F-9号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房屋所有权人</w:t>
            </w:r>
          </w:p>
        </w:tc>
        <w:tc>
          <w:tcPr>
            <w:tcW w:w="2548" w:type="dxa"/>
            <w:gridSpan w:val="4"/>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梁红宝、陈彩菊</w:t>
            </w:r>
          </w:p>
        </w:tc>
        <w:tc>
          <w:tcPr>
            <w:tcW w:w="2553"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共有情况</w:t>
            </w:r>
          </w:p>
        </w:tc>
        <w:tc>
          <w:tcPr>
            <w:tcW w:w="2554"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按份共有（各50%）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不动产权证</w:t>
            </w:r>
          </w:p>
        </w:tc>
        <w:tc>
          <w:tcPr>
            <w:tcW w:w="7655" w:type="dxa"/>
            <w:gridSpan w:val="10"/>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云（2021）陆良县不动产权第0001581号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房屋规划用途</w:t>
            </w:r>
          </w:p>
        </w:tc>
        <w:tc>
          <w:tcPr>
            <w:tcW w:w="1274" w:type="dxa"/>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136"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权属来源</w:t>
            </w:r>
          </w:p>
        </w:tc>
        <w:tc>
          <w:tcPr>
            <w:tcW w:w="1392"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购买</w:t>
            </w:r>
          </w:p>
        </w:tc>
        <w:tc>
          <w:tcPr>
            <w:tcW w:w="1727"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建筑面积</w:t>
            </w:r>
          </w:p>
        </w:tc>
        <w:tc>
          <w:tcPr>
            <w:tcW w:w="2126"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rPr>
              <w:t>274.76m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土地用途</w:t>
            </w:r>
          </w:p>
        </w:tc>
        <w:tc>
          <w:tcPr>
            <w:tcW w:w="2125"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城镇住宅用地</w:t>
            </w:r>
          </w:p>
        </w:tc>
        <w:tc>
          <w:tcPr>
            <w:tcW w:w="1677"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使用权面积</w:t>
            </w:r>
          </w:p>
        </w:tc>
        <w:tc>
          <w:tcPr>
            <w:tcW w:w="1018" w:type="dxa"/>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136.67</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c>
          <w:tcPr>
            <w:tcW w:w="1558"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土地权利性质</w:t>
            </w:r>
          </w:p>
        </w:tc>
        <w:tc>
          <w:tcPr>
            <w:tcW w:w="1277" w:type="dxa"/>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使用权期限</w:t>
            </w:r>
          </w:p>
        </w:tc>
        <w:tc>
          <w:tcPr>
            <w:tcW w:w="3802" w:type="dxa"/>
            <w:gridSpan w:val="5"/>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2012年01月20日起2082年01月19日止</w:t>
            </w:r>
          </w:p>
        </w:tc>
        <w:tc>
          <w:tcPr>
            <w:tcW w:w="2576" w:type="dxa"/>
            <w:gridSpan w:val="4"/>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至价值时点剩余使用年期</w:t>
            </w:r>
          </w:p>
        </w:tc>
        <w:tc>
          <w:tcPr>
            <w:tcW w:w="1277" w:type="dxa"/>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59.2年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估价财产范围</w:t>
            </w:r>
          </w:p>
        </w:tc>
        <w:tc>
          <w:tcPr>
            <w:tcW w:w="7655" w:type="dxa"/>
            <w:gridSpan w:val="10"/>
          </w:tcPr>
          <w:p>
            <w:pPr>
              <w:widowControl/>
              <w:spacing w:line="300" w:lineRule="exact"/>
              <w:rPr>
                <w:rFonts w:cs="宋体"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本次估价范围包括建筑物建筑面积274.76㎡、分摊的国有土地使用权</w:t>
            </w:r>
            <w:r>
              <w:rPr>
                <w:rFonts w:hint="eastAsia" w:cs="宋体" w:asciiTheme="minorEastAsia" w:hAnsiTheme="minorEastAsia" w:eastAsiaTheme="minorEastAsia"/>
                <w:sz w:val="18"/>
                <w:szCs w:val="18"/>
              </w:rPr>
              <w:t>136.67</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r>
              <w:rPr>
                <w:rFonts w:hint="eastAsia" w:cs="仿宋_GB2312" w:asciiTheme="minorEastAsia" w:hAnsiTheme="minorEastAsia" w:eastAsiaTheme="minorEastAsia"/>
                <w:kern w:val="0"/>
                <w:sz w:val="18"/>
                <w:szCs w:val="18"/>
              </w:rPr>
              <w:t>、室内二次装修及公共配套设施，不包括动产、债权债务、特许经营权等其他财产或权益。</w:t>
            </w:r>
          </w:p>
        </w:tc>
      </w:tr>
    </w:tbl>
    <w:p>
      <w:pPr>
        <w:spacing w:line="600" w:lineRule="exact"/>
        <w:ind w:left="-283" w:leftChars="-125" w:firstLine="130" w:firstLineChars="44"/>
        <w:textAlignment w:val="center"/>
        <w:rPr>
          <w:rFonts w:ascii="宋体" w:hAnsi="宋体" w:cs="仿宋_GB2312"/>
          <w:sz w:val="28"/>
          <w:szCs w:val="28"/>
        </w:rPr>
      </w:pPr>
      <w:r>
        <w:rPr>
          <w:rFonts w:hint="eastAsia" w:ascii="宋体" w:hAnsi="宋体" w:cs="仿宋_GB2312"/>
          <w:sz w:val="28"/>
          <w:szCs w:val="28"/>
        </w:rPr>
        <w:t xml:space="preserve"> 价值时点：</w:t>
      </w:r>
      <w:r>
        <w:rPr>
          <w:rFonts w:hint="eastAsia" w:ascii="宋体" w:hAnsi="宋体"/>
          <w:bCs/>
          <w:sz w:val="28"/>
        </w:rPr>
        <w:t>2022年10月11日</w:t>
      </w:r>
      <w:r>
        <w:rPr>
          <w:rFonts w:hint="eastAsia" w:ascii="宋体" w:hAnsi="宋体" w:cs="仿宋_GB2312"/>
          <w:spacing w:val="11"/>
          <w:sz w:val="28"/>
          <w:szCs w:val="28"/>
        </w:rPr>
        <w:t>（实地勘察估价对象之日）</w:t>
      </w:r>
      <w:r>
        <w:rPr>
          <w:rFonts w:hint="eastAsia" w:ascii="宋体" w:hAnsi="宋体" w:cs="仿宋_GB2312"/>
          <w:sz w:val="28"/>
          <w:szCs w:val="28"/>
        </w:rPr>
        <w:t>。</w:t>
      </w:r>
    </w:p>
    <w:p>
      <w:pPr>
        <w:spacing w:line="600" w:lineRule="exact"/>
        <w:ind w:firstLine="594" w:firstLineChars="200"/>
        <w:textAlignment w:val="center"/>
        <w:rPr>
          <w:rFonts w:ascii="宋体" w:hAnsi="宋体" w:cs="仿宋_GB2312"/>
          <w:sz w:val="28"/>
          <w:szCs w:val="28"/>
        </w:rPr>
      </w:pPr>
      <w:r>
        <w:rPr>
          <w:rFonts w:hint="eastAsia" w:ascii="宋体" w:hAnsi="宋体" w:cs="仿宋_GB2312"/>
          <w:sz w:val="28"/>
          <w:szCs w:val="28"/>
        </w:rPr>
        <w:t>价值类型：</w:t>
      </w:r>
      <w:r>
        <w:rPr>
          <w:rFonts w:hint="eastAsia" w:ascii="宋体" w:hAnsi="宋体" w:cs="仿宋_GB2312"/>
          <w:spacing w:val="11"/>
          <w:kern w:val="0"/>
          <w:sz w:val="28"/>
          <w:szCs w:val="28"/>
        </w:rPr>
        <w:t>市场价值，</w:t>
      </w:r>
      <w:r>
        <w:rPr>
          <w:rFonts w:hint="eastAsia" w:ascii="宋体" w:hAnsi="宋体"/>
          <w:bCs/>
          <w:sz w:val="28"/>
        </w:rPr>
        <w:t>市场价值是指估价对象经适当营销后，由熟悉情况、谨慎行事且不受强迫的交易双方，以公平交易方式在价值时点自愿进行交易的金额</w:t>
      </w:r>
      <w:r>
        <w:rPr>
          <w:rFonts w:hint="eastAsia" w:ascii="宋体" w:hAnsi="宋体" w:cs="仿宋_GB2312"/>
          <w:sz w:val="28"/>
          <w:szCs w:val="28"/>
        </w:rPr>
        <w:t>。</w:t>
      </w:r>
    </w:p>
    <w:p>
      <w:pPr>
        <w:spacing w:line="600" w:lineRule="exact"/>
        <w:ind w:firstLine="594" w:firstLineChars="200"/>
        <w:textAlignment w:val="center"/>
        <w:rPr>
          <w:rFonts w:ascii="宋体" w:hAnsi="宋体"/>
          <w:sz w:val="28"/>
          <w:szCs w:val="28"/>
        </w:rPr>
      </w:pPr>
      <w:r>
        <w:rPr>
          <w:rFonts w:hint="eastAsia" w:ascii="宋体" w:hAnsi="宋体" w:cs="仿宋_GB2312"/>
          <w:sz w:val="28"/>
          <w:szCs w:val="28"/>
        </w:rPr>
        <w:t>估价方法：</w:t>
      </w:r>
      <w:r>
        <w:rPr>
          <w:rFonts w:hint="eastAsia" w:ascii="宋体" w:hAnsi="宋体" w:cs="仿宋_GB2312"/>
          <w:spacing w:val="11"/>
          <w:sz w:val="28"/>
          <w:szCs w:val="28"/>
        </w:rPr>
        <w:t>本次估价采用收益法、比较法</w:t>
      </w:r>
      <w:r>
        <w:rPr>
          <w:rFonts w:hint="eastAsia" w:ascii="宋体" w:hAnsi="宋体" w:cs="仿宋_GB2312"/>
          <w:sz w:val="28"/>
          <w:szCs w:val="28"/>
        </w:rPr>
        <w:t>。</w:t>
      </w:r>
    </w:p>
    <w:p>
      <w:pPr>
        <w:spacing w:line="600" w:lineRule="exact"/>
        <w:ind w:right="122" w:rightChars="54" w:firstLine="558" w:firstLineChars="190"/>
        <w:textAlignment w:val="center"/>
        <w:rPr>
          <w:rFonts w:ascii="宋体" w:hAnsi="宋体" w:cs="宋体"/>
          <w:sz w:val="28"/>
          <w:szCs w:val="28"/>
        </w:rPr>
      </w:pPr>
      <w:r>
        <w:rPr>
          <w:rFonts w:hint="eastAsia" w:ascii="宋体" w:hAnsi="宋体" w:cs="仿宋_GB2312"/>
          <w:w w:val="99"/>
          <w:sz w:val="28"/>
          <w:szCs w:val="28"/>
        </w:rPr>
        <w:t>估价结果：</w:t>
      </w:r>
      <w:r>
        <w:rPr>
          <w:rFonts w:hint="eastAsia" w:ascii="宋体" w:hAnsi="宋体" w:cs="仿宋_GB2312"/>
          <w:sz w:val="28"/>
          <w:szCs w:val="28"/>
        </w:rPr>
        <w:t>本公司依据《房地产估价规范》，遵守各项估价原则，</w:t>
      </w:r>
      <w:r>
        <w:rPr>
          <w:rFonts w:hint="eastAsia" w:ascii="宋体" w:hAnsi="宋体" w:cs="仿宋_GB2312"/>
          <w:spacing w:val="11"/>
          <w:sz w:val="28"/>
          <w:szCs w:val="28"/>
        </w:rPr>
        <w:t>运用科学的估价方法，以进行现场查勘的</w:t>
      </w:r>
      <w:r>
        <w:rPr>
          <w:rFonts w:hint="eastAsia" w:ascii="宋体" w:hAnsi="宋体" w:cs="仿宋_GB2312"/>
          <w:sz w:val="28"/>
          <w:szCs w:val="28"/>
        </w:rPr>
        <w:t>2022年10月11日为价值时点</w:t>
      </w:r>
      <w:r>
        <w:rPr>
          <w:rFonts w:hint="eastAsia" w:ascii="宋体" w:hAnsi="宋体" w:cs="仿宋_GB2312"/>
          <w:spacing w:val="11"/>
          <w:sz w:val="28"/>
          <w:szCs w:val="28"/>
        </w:rPr>
        <w:t>，确定估价对象在满足本次估价的全部假设和限制条件下的结果为：</w:t>
      </w:r>
      <w:r>
        <w:rPr>
          <w:rFonts w:hint="eastAsia" w:ascii="宋体" w:hAnsi="宋体" w:cs="宋体"/>
          <w:sz w:val="28"/>
          <w:szCs w:val="28"/>
        </w:rPr>
        <w:t>人民币</w:t>
      </w:r>
      <w:r>
        <w:rPr>
          <w:rFonts w:hint="eastAsia" w:ascii="宋体" w:hAnsi="宋体" w:cs="宋体"/>
          <w:sz w:val="28"/>
          <w:szCs w:val="28"/>
          <w:lang w:eastAsia="zh-CN"/>
        </w:rPr>
        <w:t>壹佰捌拾叁万零伍佰肆拾捌</w:t>
      </w:r>
      <w:r>
        <w:rPr>
          <w:rFonts w:hint="eastAsia" w:ascii="宋体" w:hAnsi="宋体" w:cs="仿宋_GB2312"/>
          <w:sz w:val="28"/>
          <w:szCs w:val="28"/>
        </w:rPr>
        <w:t>元整</w:t>
      </w:r>
      <w:r>
        <w:rPr>
          <w:rFonts w:hint="eastAsia" w:ascii="宋体" w:hAnsi="宋体" w:cs="宋体"/>
          <w:sz w:val="28"/>
          <w:szCs w:val="28"/>
        </w:rPr>
        <w:t>（</w:t>
      </w:r>
      <w:r>
        <w:rPr>
          <w:rFonts w:ascii="宋体" w:hAnsi="宋体" w:cs="宋体"/>
          <w:sz w:val="28"/>
          <w:szCs w:val="28"/>
        </w:rPr>
        <w:t>RMB</w:t>
      </w:r>
      <w:r>
        <w:rPr>
          <w:rFonts w:hint="eastAsia" w:ascii="宋体" w:hAnsi="宋体" w:cs="宋体"/>
          <w:sz w:val="28"/>
          <w:szCs w:val="28"/>
        </w:rPr>
        <w:t>：1,830,548.00元）。</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409"/>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20" w:lineRule="exact"/>
              <w:ind w:left="-124" w:leftChars="-55"/>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估价对象</w:t>
            </w:r>
          </w:p>
        </w:tc>
        <w:tc>
          <w:tcPr>
            <w:tcW w:w="2409"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建筑面积</w:t>
            </w:r>
          </w:p>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（m2）</w:t>
            </w:r>
          </w:p>
        </w:tc>
        <w:tc>
          <w:tcPr>
            <w:tcW w:w="1560"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单价</w:t>
            </w:r>
          </w:p>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（元/m2）</w:t>
            </w:r>
          </w:p>
        </w:tc>
        <w:tc>
          <w:tcPr>
            <w:tcW w:w="1984"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总价</w:t>
            </w:r>
          </w:p>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1" w:type="dxa"/>
            <w:vAlign w:val="center"/>
          </w:tcPr>
          <w:p>
            <w:pPr>
              <w:spacing w:line="320" w:lineRule="exact"/>
              <w:ind w:left="199" w:leftChars="88"/>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陆良县中枢街道春光东路延长线爨乡印象三期F-9号</w:t>
            </w:r>
          </w:p>
        </w:tc>
        <w:tc>
          <w:tcPr>
            <w:tcW w:w="2409"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274.76</w:t>
            </w:r>
          </w:p>
        </w:tc>
        <w:tc>
          <w:tcPr>
            <w:tcW w:w="1560"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6</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val="en-US" w:eastAsia="zh-CN"/>
              </w:rPr>
              <w:t>662</w:t>
            </w:r>
            <w:r>
              <w:rPr>
                <w:rFonts w:hint="eastAsia" w:cs="仿宋_GB2312" w:asciiTheme="minorEastAsia" w:hAnsiTheme="minorEastAsia" w:eastAsiaTheme="minorEastAsia"/>
                <w:sz w:val="24"/>
              </w:rPr>
              <w:t>.00</w:t>
            </w:r>
          </w:p>
        </w:tc>
        <w:tc>
          <w:tcPr>
            <w:tcW w:w="1984"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1,830,548.00</w:t>
            </w:r>
          </w:p>
        </w:tc>
      </w:tr>
    </w:tbl>
    <w:p>
      <w:pPr>
        <w:spacing w:line="600" w:lineRule="exact"/>
        <w:ind w:right="122" w:rightChars="54" w:firstLine="564" w:firstLineChars="190"/>
        <w:textAlignment w:val="center"/>
        <w:rPr>
          <w:rFonts w:ascii="宋体" w:hAnsi="宋体" w:cs="仿宋_GB2312"/>
          <w:sz w:val="28"/>
          <w:szCs w:val="28"/>
        </w:rPr>
      </w:pPr>
      <w:r>
        <w:rPr>
          <w:rFonts w:hint="eastAsia" w:ascii="宋体" w:cs="宋体"/>
          <w:sz w:val="28"/>
          <w:szCs w:val="28"/>
        </w:rPr>
        <w:t xml:space="preserve">特别提示： </w:t>
      </w:r>
      <w:r>
        <w:rPr>
          <w:rFonts w:hint="eastAsia" w:ascii="宋体" w:hAnsi="宋体" w:cs="仿宋_GB2312"/>
          <w:sz w:val="28"/>
          <w:szCs w:val="28"/>
        </w:rPr>
        <w:t>报告使用人在使用本报告之前须对报告全文，特别是“估价的假设和限制条件”认真阅读，以免使用不当造成损失，估价详细结果及有关说明，详见《估价结果报告》。</w:t>
      </w:r>
    </w:p>
    <w:p>
      <w:pPr>
        <w:spacing w:line="560" w:lineRule="exact"/>
        <w:textAlignment w:val="center"/>
        <w:rPr>
          <w:rFonts w:ascii="宋体" w:hAnsi="宋体" w:cs="仿宋_GB2312"/>
          <w:sz w:val="28"/>
          <w:szCs w:val="28"/>
        </w:rPr>
      </w:pPr>
      <w:r>
        <w:rPr>
          <w:rFonts w:hint="eastAsia" w:ascii="宋体" w:hAnsi="宋体" w:cs="仿宋_GB2312"/>
          <w:sz w:val="28"/>
          <w:szCs w:val="28"/>
        </w:rPr>
        <w:t xml:space="preserve">    特此函告！</w:t>
      </w:r>
    </w:p>
    <w:p>
      <w:pPr>
        <w:spacing w:line="600" w:lineRule="exact"/>
        <w:ind w:right="177" w:rightChars="78"/>
        <w:jc w:val="right"/>
        <w:textAlignment w:val="center"/>
        <w:rPr>
          <w:rFonts w:ascii="宋体" w:hAnsi="宋体" w:cs="仿宋_GB2312"/>
          <w:sz w:val="28"/>
          <w:szCs w:val="28"/>
        </w:rPr>
      </w:pPr>
      <w:r>
        <w:rPr>
          <w:rFonts w:hint="eastAsia" w:ascii="宋体" w:hAnsi="宋体" w:cs="仿宋_GB2312"/>
          <w:sz w:val="28"/>
          <w:szCs w:val="28"/>
        </w:rPr>
        <w:t>曲靖市恒通房地产土地评估有限公司</w:t>
      </w:r>
    </w:p>
    <w:p>
      <w:pPr>
        <w:spacing w:line="600" w:lineRule="exact"/>
        <w:ind w:right="604" w:firstLine="6385" w:firstLineChars="2150"/>
        <w:textAlignment w:val="center"/>
        <w:rPr>
          <w:rFonts w:ascii="宋体" w:hAnsi="宋体" w:cs="仿宋_GB2312"/>
          <w:sz w:val="28"/>
          <w:szCs w:val="28"/>
        </w:rPr>
      </w:pPr>
    </w:p>
    <w:p>
      <w:pPr>
        <w:spacing w:line="600" w:lineRule="exact"/>
        <w:ind w:right="-61" w:firstLine="4455" w:firstLineChars="1500"/>
        <w:textAlignment w:val="center"/>
        <w:rPr>
          <w:rFonts w:ascii="宋体" w:hAnsi="宋体" w:cs="仿宋_GB2312"/>
          <w:sz w:val="28"/>
          <w:szCs w:val="28"/>
        </w:rPr>
      </w:pPr>
      <w:r>
        <w:rPr>
          <w:rFonts w:hint="eastAsia" w:ascii="宋体" w:hAnsi="宋体" w:cs="仿宋_GB2312"/>
          <w:sz w:val="28"/>
          <w:szCs w:val="28"/>
        </w:rPr>
        <w:t>法定代表人（签章）：</w:t>
      </w:r>
    </w:p>
    <w:p>
      <w:pPr>
        <w:ind w:right="140"/>
        <w:jc w:val="right"/>
        <w:rPr>
          <w:rFonts w:ascii="宋体" w:hAnsi="宋体" w:cs="仿宋_GB2312"/>
          <w:sz w:val="28"/>
          <w:szCs w:val="28"/>
        </w:rPr>
      </w:pPr>
    </w:p>
    <w:p>
      <w:pPr>
        <w:ind w:firstLine="6534" w:firstLineChars="2200"/>
        <w:rPr>
          <w:rFonts w:hint="eastAsia" w:ascii="宋体" w:hAnsi="宋体" w:eastAsia="宋体" w:cs="仿宋_GB2312"/>
          <w:sz w:val="28"/>
          <w:szCs w:val="28"/>
          <w:lang w:eastAsia="zh-CN"/>
        </w:rPr>
      </w:pPr>
      <w:r>
        <w:rPr>
          <w:rFonts w:hint="eastAsia" w:ascii="宋体" w:hAnsi="宋体" w:cs="仿宋_GB2312"/>
          <w:sz w:val="28"/>
          <w:szCs w:val="28"/>
          <w:lang w:eastAsia="zh-CN"/>
        </w:rPr>
        <w:t>2022年10月28日</w:t>
      </w:r>
    </w:p>
    <w:p>
      <w:pPr>
        <w:pStyle w:val="19"/>
        <w:pageBreakBefore/>
      </w:pPr>
      <w:bookmarkStart w:id="0" w:name="_Toc18236170"/>
      <w:bookmarkStart w:id="1" w:name="_Toc12698"/>
      <w:bookmarkStart w:id="2" w:name="_Toc18233385"/>
      <w:bookmarkStart w:id="3" w:name="_Toc19110962"/>
      <w:bookmarkStart w:id="4" w:name="_Toc19110103"/>
      <w:r>
        <w:rPr>
          <w:rFonts w:hint="eastAsia"/>
        </w:rPr>
        <w:t>目 录</w:t>
      </w:r>
      <w:bookmarkEnd w:id="0"/>
      <w:bookmarkEnd w:id="1"/>
      <w:bookmarkEnd w:id="2"/>
      <w:bookmarkEnd w:id="3"/>
      <w:bookmarkEnd w:id="4"/>
    </w:p>
    <w:p>
      <w:pPr>
        <w:pStyle w:val="15"/>
        <w:spacing w:before="78" w:after="78"/>
        <w:rPr>
          <w:rFonts w:eastAsia="宋体" w:asciiTheme="minorHAnsi" w:hAnsiTheme="minorHAnsi" w:cstheme="minorBidi"/>
          <w:sz w:val="21"/>
          <w:szCs w:val="22"/>
        </w:rPr>
      </w:pPr>
      <w:r>
        <w:fldChar w:fldCharType="begin"/>
      </w:r>
      <w:r>
        <w:instrText xml:space="preserve"> TOC \o "1-3" \h \z \u </w:instrText>
      </w:r>
      <w:r>
        <w:fldChar w:fldCharType="separate"/>
      </w:r>
      <w:r>
        <w:fldChar w:fldCharType="begin"/>
      </w:r>
      <w:r>
        <w:instrText xml:space="preserve"> HYPERLINK \l "_Toc18236170" </w:instrText>
      </w:r>
      <w:r>
        <w:fldChar w:fldCharType="separate"/>
      </w:r>
      <w:r>
        <w:rPr>
          <w:rStyle w:val="28"/>
          <w:rFonts w:hint="eastAsia" w:eastAsia="宋体"/>
          <w:color w:val="auto"/>
        </w:rPr>
        <w:t>目录</w:t>
      </w:r>
      <w:r>
        <w:rPr>
          <w:rFonts w:eastAsia="宋体"/>
        </w:rPr>
        <w:tab/>
      </w:r>
      <w:r>
        <w:rPr>
          <w:rFonts w:eastAsia="宋体"/>
        </w:rPr>
        <w:fldChar w:fldCharType="begin"/>
      </w:r>
      <w:r>
        <w:rPr>
          <w:rFonts w:eastAsia="宋体"/>
        </w:rPr>
        <w:instrText xml:space="preserve"> PAGEREF _Toc18236170 \h </w:instrText>
      </w:r>
      <w:r>
        <w:rPr>
          <w:rFonts w:eastAsia="宋体"/>
        </w:rPr>
        <w:fldChar w:fldCharType="separate"/>
      </w:r>
      <w:r>
        <w:rPr>
          <w:rFonts w:eastAsia="宋体"/>
        </w:rPr>
        <w:t>4</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"_Toc18236171" </w:instrText>
      </w:r>
      <w:r>
        <w:fldChar w:fldCharType="separate"/>
      </w:r>
      <w:r>
        <w:rPr>
          <w:rStyle w:val="28"/>
          <w:rFonts w:hint="eastAsia" w:eastAsia="宋体"/>
          <w:color w:val="auto"/>
        </w:rPr>
        <w:t>估价师声明</w:t>
      </w:r>
      <w:r>
        <w:rPr>
          <w:rFonts w:eastAsia="宋体"/>
        </w:rPr>
        <w:tab/>
      </w:r>
      <w:r>
        <w:rPr>
          <w:rFonts w:eastAsia="宋体"/>
        </w:rPr>
        <w:fldChar w:fldCharType="begin"/>
      </w:r>
      <w:r>
        <w:rPr>
          <w:rFonts w:eastAsia="宋体"/>
        </w:rPr>
        <w:instrText xml:space="preserve"> PAGEREF _Toc18236171 \h </w:instrText>
      </w:r>
      <w:r>
        <w:rPr>
          <w:rFonts w:eastAsia="宋体"/>
        </w:rPr>
        <w:fldChar w:fldCharType="separate"/>
      </w:r>
      <w:r>
        <w:rPr>
          <w:rFonts w:eastAsia="宋体"/>
        </w:rPr>
        <w:t>5</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"_Toc18236172" </w:instrText>
      </w:r>
      <w:r>
        <w:fldChar w:fldCharType="separate"/>
      </w:r>
      <w:r>
        <w:rPr>
          <w:rStyle w:val="28"/>
          <w:rFonts w:hint="eastAsia" w:eastAsia="宋体"/>
          <w:color w:val="auto"/>
        </w:rPr>
        <w:t>估价的假设和限制条件</w:t>
      </w:r>
      <w:r>
        <w:rPr>
          <w:rFonts w:eastAsia="宋体"/>
        </w:rPr>
        <w:tab/>
      </w:r>
      <w:r>
        <w:rPr>
          <w:rFonts w:eastAsia="宋体"/>
        </w:rPr>
        <w:fldChar w:fldCharType="begin"/>
      </w:r>
      <w:r>
        <w:rPr>
          <w:rFonts w:eastAsia="宋体"/>
        </w:rPr>
        <w:instrText xml:space="preserve"> PAGEREF _Toc18236172 \h </w:instrText>
      </w:r>
      <w:r>
        <w:rPr>
          <w:rFonts w:eastAsia="宋体"/>
        </w:rPr>
        <w:fldChar w:fldCharType="separate"/>
      </w:r>
      <w:r>
        <w:rPr>
          <w:rFonts w:eastAsia="宋体"/>
        </w:rPr>
        <w:t>6</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"_Toc18236173" </w:instrText>
      </w:r>
      <w:r>
        <w:fldChar w:fldCharType="separate"/>
      </w:r>
      <w:r>
        <w:rPr>
          <w:rStyle w:val="28"/>
          <w:rFonts w:hint="eastAsia" w:eastAsia="宋体"/>
          <w:color w:val="auto"/>
        </w:rPr>
        <w:t>估价结果报告</w:t>
      </w:r>
      <w:r>
        <w:rPr>
          <w:rFonts w:eastAsia="宋体"/>
        </w:rPr>
        <w:tab/>
      </w:r>
      <w:r>
        <w:rPr>
          <w:rFonts w:eastAsia="宋体"/>
        </w:rPr>
        <w:fldChar w:fldCharType="begin"/>
      </w:r>
      <w:r>
        <w:rPr>
          <w:rFonts w:eastAsia="宋体"/>
        </w:rPr>
        <w:instrText xml:space="preserve"> PAGEREF _Toc18236173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"_Toc18236174" </w:instrText>
      </w:r>
      <w:r>
        <w:fldChar w:fldCharType="separate"/>
      </w:r>
      <w:r>
        <w:rPr>
          <w:rStyle w:val="28"/>
          <w:rFonts w:hint="eastAsia" w:eastAsia="宋体"/>
          <w:color w:val="auto"/>
        </w:rPr>
        <w:t>一、估价委托人</w:t>
      </w:r>
      <w:r>
        <w:rPr>
          <w:rFonts w:eastAsia="宋体"/>
        </w:rPr>
        <w:tab/>
      </w:r>
      <w:r>
        <w:rPr>
          <w:rFonts w:eastAsia="宋体"/>
        </w:rPr>
        <w:fldChar w:fldCharType="begin"/>
      </w:r>
      <w:r>
        <w:rPr>
          <w:rFonts w:eastAsia="宋体"/>
        </w:rPr>
        <w:instrText xml:space="preserve"> PAGEREF _Toc18236174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"_Toc18236175" </w:instrText>
      </w:r>
      <w:r>
        <w:fldChar w:fldCharType="separate"/>
      </w:r>
      <w:r>
        <w:rPr>
          <w:rStyle w:val="28"/>
          <w:rFonts w:hint="eastAsia" w:eastAsia="宋体"/>
          <w:color w:val="auto"/>
        </w:rPr>
        <w:t>二、房地产估价机构</w:t>
      </w:r>
      <w:r>
        <w:rPr>
          <w:rFonts w:eastAsia="宋体"/>
        </w:rPr>
        <w:tab/>
      </w:r>
      <w:r>
        <w:rPr>
          <w:rFonts w:eastAsia="宋体"/>
        </w:rPr>
        <w:fldChar w:fldCharType="begin"/>
      </w:r>
      <w:r>
        <w:rPr>
          <w:rFonts w:eastAsia="宋体"/>
        </w:rPr>
        <w:instrText xml:space="preserve"> PAGEREF _Toc18236175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"_Toc18236176" </w:instrText>
      </w:r>
      <w:r>
        <w:fldChar w:fldCharType="separate"/>
      </w:r>
      <w:r>
        <w:rPr>
          <w:rStyle w:val="28"/>
          <w:rFonts w:hint="eastAsia" w:eastAsia="宋体"/>
          <w:color w:val="auto"/>
        </w:rPr>
        <w:t>三、估价目的</w:t>
      </w:r>
      <w:r>
        <w:rPr>
          <w:rFonts w:eastAsia="宋体"/>
        </w:rPr>
        <w:tab/>
      </w:r>
      <w:r>
        <w:rPr>
          <w:rFonts w:eastAsia="宋体"/>
        </w:rPr>
        <w:fldChar w:fldCharType="begin"/>
      </w:r>
      <w:r>
        <w:rPr>
          <w:rFonts w:eastAsia="宋体"/>
        </w:rPr>
        <w:instrText xml:space="preserve"> PAGEREF _Toc18236176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"_Toc18236177" </w:instrText>
      </w:r>
      <w:r>
        <w:fldChar w:fldCharType="separate"/>
      </w:r>
      <w:r>
        <w:rPr>
          <w:rStyle w:val="28"/>
          <w:rFonts w:hint="eastAsia" w:eastAsia="宋体"/>
          <w:color w:val="auto"/>
        </w:rPr>
        <w:t>四、估价对象</w:t>
      </w:r>
      <w:r>
        <w:rPr>
          <w:rFonts w:eastAsia="宋体"/>
        </w:rPr>
        <w:tab/>
      </w:r>
      <w:r>
        <w:rPr>
          <w:rFonts w:eastAsia="宋体"/>
        </w:rPr>
        <w:fldChar w:fldCharType="begin"/>
      </w:r>
      <w:r>
        <w:rPr>
          <w:rFonts w:eastAsia="宋体"/>
        </w:rPr>
        <w:instrText xml:space="preserve"> PAGEREF _Toc18236177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hint="eastAsia" w:eastAsia="宋体" w:asciiTheme="minorHAnsi" w:hAnsiTheme="minorHAnsi" w:cstheme="minorBidi"/>
          <w:sz w:val="21"/>
          <w:szCs w:val="22"/>
          <w:lang w:val="en-US" w:eastAsia="zh-CN"/>
        </w:rPr>
      </w:pPr>
      <w:r>
        <w:fldChar w:fldCharType="begin"/>
      </w:r>
      <w:r>
        <w:instrText xml:space="preserve"> HYPERLINK \l "_Toc18236178" </w:instrText>
      </w:r>
      <w:r>
        <w:fldChar w:fldCharType="separate"/>
      </w:r>
      <w:r>
        <w:rPr>
          <w:rStyle w:val="28"/>
          <w:rFonts w:hint="eastAsia" w:eastAsia="宋体"/>
          <w:color w:val="auto"/>
        </w:rPr>
        <w:t>五、价值时点</w:t>
      </w:r>
      <w:r>
        <w:rPr>
          <w:rFonts w:eastAsia="宋体"/>
        </w:rPr>
        <w:tab/>
      </w:r>
      <w:r>
        <w:rPr>
          <w:rFonts w:hint="eastAsia" w:eastAsia="宋体"/>
          <w:lang w:val="en-US" w:eastAsia="zh-CN"/>
        </w:rPr>
        <w:t>1</w:t>
      </w:r>
      <w:r>
        <w:rPr>
          <w:rFonts w:hint="eastAsia" w:eastAsia="宋体"/>
        </w:rPr>
        <w:fldChar w:fldCharType="end"/>
      </w:r>
      <w:r>
        <w:rPr>
          <w:rFonts w:hint="eastAsia" w:eastAsia="宋体"/>
          <w:lang w:val="en-US" w:eastAsia="zh-CN"/>
        </w:rPr>
        <w:t>0</w:t>
      </w:r>
    </w:p>
    <w:p>
      <w:pPr>
        <w:pStyle w:val="17"/>
        <w:spacing w:before="78" w:after="78"/>
        <w:rPr>
          <w:rFonts w:eastAsia="宋体" w:asciiTheme="minorHAnsi" w:hAnsiTheme="minorHAnsi" w:cstheme="minorBidi"/>
          <w:sz w:val="21"/>
          <w:szCs w:val="22"/>
        </w:rPr>
      </w:pPr>
      <w:r>
        <w:fldChar w:fldCharType="begin"/>
      </w:r>
      <w:r>
        <w:instrText xml:space="preserve"> HYPERLINK \l "_Toc18236179" </w:instrText>
      </w:r>
      <w:r>
        <w:fldChar w:fldCharType="separate"/>
      </w:r>
      <w:r>
        <w:rPr>
          <w:rStyle w:val="28"/>
          <w:rFonts w:hint="eastAsia" w:eastAsia="宋体"/>
          <w:color w:val="auto"/>
          <w:spacing w:val="9"/>
        </w:rPr>
        <w:t>六、</w:t>
      </w:r>
      <w:r>
        <w:rPr>
          <w:rStyle w:val="28"/>
          <w:rFonts w:hint="eastAsia" w:eastAsia="宋体"/>
          <w:color w:val="auto"/>
        </w:rPr>
        <w:t>价值类型</w:t>
      </w:r>
      <w:r>
        <w:rPr>
          <w:rFonts w:eastAsia="宋体"/>
        </w:rPr>
        <w:tab/>
      </w:r>
      <w:r>
        <w:rPr>
          <w:rFonts w:eastAsia="宋体"/>
        </w:rPr>
        <w:fldChar w:fldCharType="begin"/>
      </w:r>
      <w:r>
        <w:rPr>
          <w:rFonts w:eastAsia="宋体"/>
        </w:rPr>
        <w:instrText xml:space="preserve"> PAGEREF _Toc18236179 \h </w:instrText>
      </w:r>
      <w:r>
        <w:rPr>
          <w:rFonts w:eastAsia="宋体"/>
        </w:rPr>
        <w:fldChar w:fldCharType="separate"/>
      </w:r>
      <w:r>
        <w:rPr>
          <w:rFonts w:eastAsia="宋体"/>
        </w:rPr>
        <w:t>10</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"_Toc18236180" </w:instrText>
      </w:r>
      <w:r>
        <w:fldChar w:fldCharType="separate"/>
      </w:r>
      <w:r>
        <w:rPr>
          <w:rStyle w:val="28"/>
          <w:rFonts w:hint="eastAsia" w:eastAsia="宋体"/>
          <w:color w:val="auto"/>
        </w:rPr>
        <w:t>七、估价原则</w:t>
      </w:r>
      <w:r>
        <w:rPr>
          <w:rFonts w:eastAsia="宋体"/>
        </w:rPr>
        <w:tab/>
      </w:r>
      <w:r>
        <w:rPr>
          <w:rFonts w:eastAsia="宋体"/>
        </w:rPr>
        <w:fldChar w:fldCharType="begin"/>
      </w:r>
      <w:r>
        <w:rPr>
          <w:rFonts w:eastAsia="宋体"/>
        </w:rPr>
        <w:instrText xml:space="preserve"> PAGEREF _Toc18236180 \h </w:instrText>
      </w:r>
      <w:r>
        <w:rPr>
          <w:rFonts w:eastAsia="宋体"/>
        </w:rPr>
        <w:fldChar w:fldCharType="separate"/>
      </w:r>
      <w:r>
        <w:rPr>
          <w:rFonts w:eastAsia="宋体"/>
        </w:rPr>
        <w:t>11</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"_Toc18236181" </w:instrText>
      </w:r>
      <w:r>
        <w:fldChar w:fldCharType="separate"/>
      </w:r>
      <w:r>
        <w:rPr>
          <w:rStyle w:val="28"/>
          <w:rFonts w:hint="eastAsia" w:eastAsia="宋体"/>
          <w:color w:val="auto"/>
        </w:rPr>
        <w:t>八、估价依据</w:t>
      </w:r>
      <w:r>
        <w:rPr>
          <w:rFonts w:eastAsia="宋体"/>
        </w:rPr>
        <w:tab/>
      </w:r>
      <w:r>
        <w:rPr>
          <w:rFonts w:hint="eastAsia" w:eastAsia="宋体"/>
        </w:rPr>
        <w:t>11</w:t>
      </w:r>
      <w:r>
        <w:rPr>
          <w:rFonts w:hint="eastAsia"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"_Toc18236182" </w:instrText>
      </w:r>
      <w:r>
        <w:fldChar w:fldCharType="separate"/>
      </w:r>
      <w:r>
        <w:rPr>
          <w:rStyle w:val="28"/>
          <w:rFonts w:hint="eastAsia" w:eastAsia="宋体"/>
          <w:color w:val="auto"/>
        </w:rPr>
        <w:t>九、估价方法</w:t>
      </w:r>
      <w:r>
        <w:rPr>
          <w:rFonts w:eastAsia="宋体"/>
        </w:rPr>
        <w:tab/>
      </w:r>
      <w:r>
        <w:rPr>
          <w:rFonts w:eastAsia="宋体"/>
        </w:rPr>
        <w:fldChar w:fldCharType="begin"/>
      </w:r>
      <w:r>
        <w:rPr>
          <w:rFonts w:eastAsia="宋体"/>
        </w:rPr>
        <w:instrText xml:space="preserve"> PAGEREF _Toc18236182 \h </w:instrText>
      </w:r>
      <w:r>
        <w:rPr>
          <w:rFonts w:eastAsia="宋体"/>
        </w:rPr>
        <w:fldChar w:fldCharType="separate"/>
      </w:r>
      <w:r>
        <w:rPr>
          <w:rFonts w:eastAsia="宋体"/>
        </w:rPr>
        <w:t>13</w:t>
      </w:r>
      <w:r>
        <w:rPr>
          <w:rFonts w:eastAsia="宋体"/>
        </w:rPr>
        <w:fldChar w:fldCharType="end"/>
      </w:r>
      <w:r>
        <w:rPr>
          <w:rFonts w:eastAsia="宋体"/>
        </w:rPr>
        <w:fldChar w:fldCharType="end"/>
      </w:r>
    </w:p>
    <w:p>
      <w:pPr>
        <w:pStyle w:val="17"/>
        <w:spacing w:before="78" w:after="78"/>
        <w:rPr>
          <w:rFonts w:hint="eastAsia" w:eastAsia="宋体" w:asciiTheme="minorHAnsi" w:hAnsiTheme="minorHAnsi" w:cstheme="minorBidi"/>
          <w:sz w:val="21"/>
          <w:szCs w:val="22"/>
          <w:lang w:eastAsia="zh-CN"/>
        </w:rPr>
      </w:pPr>
      <w:r>
        <w:fldChar w:fldCharType="begin"/>
      </w:r>
      <w:r>
        <w:instrText xml:space="preserve"> HYPERLINK \l "_Toc18236183" </w:instrText>
      </w:r>
      <w:r>
        <w:fldChar w:fldCharType="separate"/>
      </w:r>
      <w:r>
        <w:rPr>
          <w:rStyle w:val="28"/>
          <w:rFonts w:hint="eastAsia" w:eastAsia="宋体"/>
          <w:color w:val="auto"/>
        </w:rPr>
        <w:t>十、估价结果</w:t>
      </w:r>
      <w:r>
        <w:rPr>
          <w:rFonts w:eastAsia="宋体"/>
        </w:rPr>
        <w:tab/>
      </w:r>
      <w:r>
        <w:rPr>
          <w:rFonts w:hint="eastAsia" w:eastAsia="宋体"/>
        </w:rPr>
        <w:t>1</w:t>
      </w:r>
      <w:r>
        <w:rPr>
          <w:rFonts w:hint="eastAsia" w:eastAsia="宋体"/>
        </w:rPr>
        <w:fldChar w:fldCharType="end"/>
      </w:r>
      <w:r>
        <w:rPr>
          <w:rFonts w:hint="eastAsia" w:eastAsia="宋体"/>
          <w:lang w:val="en-US" w:eastAsia="zh-CN"/>
        </w:rPr>
        <w:t>4</w:t>
      </w:r>
    </w:p>
    <w:p>
      <w:pPr>
        <w:pStyle w:val="17"/>
        <w:spacing w:before="78" w:after="78"/>
        <w:rPr>
          <w:rFonts w:eastAsia="宋体" w:asciiTheme="minorHAnsi" w:hAnsiTheme="minorHAnsi" w:cstheme="minorBidi"/>
          <w:sz w:val="21"/>
          <w:szCs w:val="22"/>
        </w:rPr>
      </w:pPr>
      <w:r>
        <w:fldChar w:fldCharType="begin"/>
      </w:r>
      <w:r>
        <w:instrText xml:space="preserve"> HYPERLINK \l "_Toc18236184" </w:instrText>
      </w:r>
      <w:r>
        <w:fldChar w:fldCharType="separate"/>
      </w:r>
      <w:r>
        <w:rPr>
          <w:rStyle w:val="28"/>
          <w:rFonts w:hint="eastAsia" w:eastAsia="宋体"/>
          <w:color w:val="auto"/>
        </w:rPr>
        <w:t>十一、注册房地产估价师</w:t>
      </w:r>
      <w:r>
        <w:rPr>
          <w:rFonts w:eastAsia="宋体"/>
        </w:rPr>
        <w:tab/>
      </w:r>
      <w:r>
        <w:rPr>
          <w:rFonts w:hint="eastAsia" w:eastAsia="宋体"/>
        </w:rPr>
        <w:t>14</w:t>
      </w:r>
      <w:r>
        <w:rPr>
          <w:rFonts w:hint="eastAsia"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"_Toc18236185" </w:instrText>
      </w:r>
      <w:r>
        <w:fldChar w:fldCharType="separate"/>
      </w:r>
      <w:r>
        <w:rPr>
          <w:rStyle w:val="28"/>
          <w:rFonts w:hint="eastAsia" w:eastAsia="宋体"/>
          <w:color w:val="auto"/>
        </w:rPr>
        <w:t>十二、实地查勘期</w:t>
      </w:r>
      <w:r>
        <w:rPr>
          <w:rFonts w:eastAsia="宋体"/>
        </w:rPr>
        <w:tab/>
      </w:r>
      <w:r>
        <w:rPr>
          <w:rFonts w:hint="eastAsia" w:eastAsia="宋体"/>
        </w:rPr>
        <w:t>14</w:t>
      </w:r>
      <w:r>
        <w:rPr>
          <w:rFonts w:hint="eastAsia"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"_Toc18236186" </w:instrText>
      </w:r>
      <w:r>
        <w:fldChar w:fldCharType="separate"/>
      </w:r>
      <w:r>
        <w:rPr>
          <w:rStyle w:val="28"/>
          <w:rFonts w:hint="eastAsia" w:eastAsia="宋体"/>
          <w:color w:val="auto"/>
        </w:rPr>
        <w:t>十三、估价作业期</w:t>
      </w:r>
      <w:r>
        <w:rPr>
          <w:rFonts w:eastAsia="宋体"/>
        </w:rPr>
        <w:tab/>
      </w:r>
      <w:r>
        <w:rPr>
          <w:rFonts w:eastAsia="宋体"/>
        </w:rPr>
        <w:fldChar w:fldCharType="begin"/>
      </w:r>
      <w:r>
        <w:rPr>
          <w:rFonts w:eastAsia="宋体"/>
        </w:rPr>
        <w:instrText xml:space="preserve"> PAGEREF _Toc18236186 \h </w:instrText>
      </w:r>
      <w:r>
        <w:rPr>
          <w:rFonts w:eastAsia="宋体"/>
        </w:rPr>
        <w:fldChar w:fldCharType="separate"/>
      </w:r>
      <w:r>
        <w:rPr>
          <w:rFonts w:eastAsia="宋体"/>
        </w:rPr>
        <w:t>15</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"_Toc18236187" </w:instrText>
      </w:r>
      <w:r>
        <w:fldChar w:fldCharType="separate"/>
      </w:r>
      <w:r>
        <w:rPr>
          <w:rStyle w:val="28"/>
          <w:rFonts w:hint="eastAsia" w:eastAsia="宋体"/>
          <w:color w:val="auto"/>
        </w:rPr>
        <w:t>附件</w:t>
      </w:r>
      <w:r>
        <w:rPr>
          <w:rFonts w:eastAsia="宋体"/>
        </w:rPr>
        <w:tab/>
      </w:r>
      <w:r>
        <w:rPr>
          <w:rFonts w:eastAsia="宋体"/>
        </w:rPr>
        <w:fldChar w:fldCharType="begin"/>
      </w:r>
      <w:r>
        <w:rPr>
          <w:rFonts w:eastAsia="宋体"/>
        </w:rPr>
        <w:instrText xml:space="preserve"> PAGEREF _Toc18236187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"_Toc18236188" </w:instrText>
      </w:r>
      <w:r>
        <w:fldChar w:fldCharType="separate"/>
      </w:r>
      <w:r>
        <w:rPr>
          <w:rStyle w:val="28"/>
          <w:rFonts w:hint="eastAsia" w:eastAsia="宋体"/>
          <w:color w:val="auto"/>
        </w:rPr>
        <w:t>一、估价委托书及风险告知书复印件</w:t>
      </w:r>
      <w:r>
        <w:rPr>
          <w:rFonts w:eastAsia="宋体"/>
        </w:rPr>
        <w:tab/>
      </w:r>
      <w:r>
        <w:rPr>
          <w:rFonts w:eastAsia="宋体"/>
        </w:rPr>
        <w:fldChar w:fldCharType="begin"/>
      </w:r>
      <w:r>
        <w:rPr>
          <w:rFonts w:eastAsia="宋体"/>
        </w:rPr>
        <w:instrText xml:space="preserve"> PAGEREF _Toc18236188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"_Toc18236189" </w:instrText>
      </w:r>
      <w:r>
        <w:fldChar w:fldCharType="separate"/>
      </w:r>
      <w:r>
        <w:rPr>
          <w:rStyle w:val="28"/>
          <w:rFonts w:hint="eastAsia" w:eastAsia="宋体"/>
          <w:color w:val="auto"/>
        </w:rPr>
        <w:t>二、</w:t>
      </w:r>
      <w:r>
        <w:rPr>
          <w:rStyle w:val="28"/>
          <w:rFonts w:hint="eastAsia" w:asciiTheme="minorEastAsia" w:hAnsiTheme="minorEastAsia" w:eastAsiaTheme="minorEastAsia"/>
          <w:color w:val="auto"/>
        </w:rPr>
        <w:t>估价对象权属证明复印件</w:t>
      </w:r>
      <w:r>
        <w:rPr>
          <w:rFonts w:eastAsia="宋体"/>
        </w:rPr>
        <w:tab/>
      </w:r>
      <w:r>
        <w:rPr>
          <w:rFonts w:eastAsia="宋体"/>
        </w:rPr>
        <w:fldChar w:fldCharType="begin"/>
      </w:r>
      <w:r>
        <w:rPr>
          <w:rFonts w:eastAsia="宋体"/>
        </w:rPr>
        <w:instrText xml:space="preserve"> PAGEREF _Toc18236189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"_Toc18236190" </w:instrText>
      </w:r>
      <w:r>
        <w:fldChar w:fldCharType="separate"/>
      </w:r>
      <w:r>
        <w:rPr>
          <w:rStyle w:val="28"/>
          <w:rFonts w:hint="eastAsia" w:eastAsia="宋体"/>
          <w:color w:val="auto"/>
        </w:rPr>
        <w:t>三、</w:t>
      </w:r>
      <w:r>
        <w:rPr>
          <w:rStyle w:val="28"/>
          <w:rFonts w:hint="eastAsia" w:asciiTheme="minorEastAsia" w:hAnsiTheme="minorEastAsia" w:eastAsiaTheme="minorEastAsia"/>
          <w:color w:val="auto"/>
        </w:rPr>
        <w:t>估价对象地理位置图及影像资料</w:t>
      </w:r>
      <w:r>
        <w:rPr>
          <w:rFonts w:eastAsia="宋体"/>
        </w:rPr>
        <w:tab/>
      </w:r>
      <w:r>
        <w:rPr>
          <w:rFonts w:eastAsia="宋体"/>
        </w:rPr>
        <w:fldChar w:fldCharType="begin"/>
      </w:r>
      <w:r>
        <w:rPr>
          <w:rFonts w:eastAsia="宋体"/>
        </w:rPr>
        <w:instrText xml:space="preserve"> PAGEREF _Toc18236190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"_Toc18236191" </w:instrText>
      </w:r>
      <w:r>
        <w:fldChar w:fldCharType="separate"/>
      </w:r>
      <w:r>
        <w:rPr>
          <w:rStyle w:val="28"/>
          <w:rFonts w:hint="eastAsia" w:eastAsia="宋体"/>
          <w:color w:val="auto"/>
        </w:rPr>
        <w:t>四、</w:t>
      </w:r>
      <w:r>
        <w:rPr>
          <w:rStyle w:val="28"/>
          <w:rFonts w:hint="eastAsia" w:asciiTheme="minorEastAsia" w:hAnsiTheme="minorEastAsia" w:eastAsiaTheme="minorEastAsia"/>
          <w:color w:val="auto"/>
        </w:rPr>
        <w:t>估价对象现场查勘表复印件</w:t>
      </w:r>
      <w:r>
        <w:rPr>
          <w:rFonts w:eastAsia="宋体"/>
        </w:rPr>
        <w:tab/>
      </w:r>
      <w:r>
        <w:rPr>
          <w:rFonts w:eastAsia="宋体"/>
        </w:rPr>
        <w:fldChar w:fldCharType="begin"/>
      </w:r>
      <w:r>
        <w:rPr>
          <w:rFonts w:eastAsia="宋体"/>
        </w:rPr>
        <w:instrText xml:space="preserve"> PAGEREF _Toc18236191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"_Toc18236192" </w:instrText>
      </w:r>
      <w:r>
        <w:fldChar w:fldCharType="separate"/>
      </w:r>
      <w:r>
        <w:rPr>
          <w:rStyle w:val="28"/>
          <w:rFonts w:hint="eastAsia" w:eastAsia="宋体"/>
          <w:color w:val="auto"/>
        </w:rPr>
        <w:t>五、</w:t>
      </w:r>
      <w:r>
        <w:rPr>
          <w:rStyle w:val="28"/>
          <w:rFonts w:hint="eastAsia" w:asciiTheme="minorEastAsia" w:hAnsiTheme="minorEastAsia" w:eastAsiaTheme="minorEastAsia"/>
          <w:color w:val="auto"/>
        </w:rPr>
        <w:t>房地产估价机构营业执照、估价资质证及房地产估价师注册证书复印件</w:t>
      </w:r>
      <w:r>
        <w:rPr>
          <w:rFonts w:eastAsia="宋体"/>
        </w:rPr>
        <w:tab/>
      </w:r>
      <w:r>
        <w:rPr>
          <w:rFonts w:eastAsia="宋体"/>
        </w:rPr>
        <w:fldChar w:fldCharType="begin"/>
      </w:r>
      <w:r>
        <w:rPr>
          <w:rFonts w:eastAsia="宋体"/>
        </w:rPr>
        <w:instrText xml:space="preserve"> PAGEREF _Toc18236192 \h </w:instrText>
      </w:r>
      <w:r>
        <w:rPr>
          <w:rFonts w:eastAsia="宋体"/>
        </w:rPr>
        <w:fldChar w:fldCharType="separate"/>
      </w:r>
      <w:r>
        <w:rPr>
          <w:rFonts w:eastAsia="宋体"/>
        </w:rPr>
        <w:t>16</w:t>
      </w:r>
      <w:r>
        <w:rPr>
          <w:rFonts w:eastAsia="宋体"/>
        </w:rPr>
        <w:fldChar w:fldCharType="end"/>
      </w:r>
      <w:r>
        <w:rPr>
          <w:rFonts w:eastAsia="宋体"/>
        </w:rPr>
        <w:fldChar w:fldCharType="end"/>
      </w:r>
    </w:p>
    <w:p>
      <w:pPr>
        <w:sectPr>
          <w:headerReference r:id="rId3" w:type="default"/>
          <w:footerReference r:id="rId4" w:type="default"/>
          <w:pgSz w:w="11906" w:h="16838"/>
          <w:pgMar w:top="703" w:right="850" w:bottom="850" w:left="1010" w:header="567" w:footer="794" w:gutter="567"/>
          <w:pgNumType w:start="0"/>
          <w:cols w:space="0" w:num="1"/>
          <w:docGrid w:type="linesAndChars" w:linePitch="314" w:charSpace="3522"/>
        </w:sectPr>
      </w:pPr>
      <w:r>
        <w:fldChar w:fldCharType="end"/>
      </w:r>
    </w:p>
    <w:p>
      <w:pPr>
        <w:pStyle w:val="19"/>
        <w:pageBreakBefore/>
      </w:pPr>
      <w:bookmarkStart w:id="5" w:name="_Toc19110104"/>
      <w:bookmarkStart w:id="6" w:name="_Toc19110963"/>
      <w:bookmarkStart w:id="7" w:name="_Toc17773"/>
      <w:bookmarkStart w:id="8" w:name="_Toc18233386"/>
      <w:bookmarkStart w:id="9" w:name="_Toc18236171"/>
      <w:r>
        <w:rPr>
          <w:rFonts w:hint="eastAsia"/>
        </w:rPr>
        <w:t>估 价 师 声 明</w:t>
      </w:r>
      <w:bookmarkEnd w:id="5"/>
      <w:bookmarkEnd w:id="6"/>
      <w:bookmarkEnd w:id="7"/>
      <w:bookmarkEnd w:id="8"/>
      <w:bookmarkEnd w:id="9"/>
    </w:p>
    <w:p>
      <w:pPr>
        <w:spacing w:line="560" w:lineRule="exact"/>
        <w:textAlignment w:val="center"/>
        <w:rPr>
          <w:rFonts w:ascii="宋体" w:hAnsi="宋体" w:cs="仿宋_GB2312"/>
          <w:sz w:val="28"/>
          <w:szCs w:val="28"/>
        </w:rPr>
      </w:pPr>
      <w:r>
        <w:rPr>
          <w:rFonts w:hint="eastAsia" w:ascii="宋体" w:hAnsi="宋体" w:cs="仿宋_GB2312"/>
          <w:sz w:val="28"/>
          <w:szCs w:val="28"/>
        </w:rPr>
        <w:t>我们郑重声明：</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1、我们在该估价报告中对事实的说明是真实和准确的，没有虚假记载、误导性陈述和重大遗漏。</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2、估价报告中的分析、意见和结论是我们自己独立、客观、公正的专业分析、意见和结论，但受到估价报告中已说明的估价假设和限制条件的限制。</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3、我们与估价报告中的估价对象没有现实或潜在的利益，与估价委托人及估价利害关系人没有利害关系，也对估价对象、估价委托人及估价利害关系人没有偏见。</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4、</w:t>
      </w:r>
      <w:r>
        <w:rPr>
          <w:rFonts w:hint="eastAsia" w:ascii="宋体" w:hAnsi="宋体"/>
          <w:bCs/>
          <w:sz w:val="28"/>
          <w:szCs w:val="28"/>
        </w:rPr>
        <w:t>我们是</w:t>
      </w:r>
      <w:r>
        <w:rPr>
          <w:rFonts w:hint="eastAsia" w:ascii="宋体" w:hAnsi="宋体"/>
          <w:sz w:val="28"/>
        </w:rPr>
        <w:t>依照中华人民共和国国家标准《房地产估价规范》（</w:t>
      </w:r>
      <w:r>
        <w:rPr>
          <w:rFonts w:ascii="宋体" w:hAnsi="宋体"/>
          <w:bCs/>
          <w:sz w:val="28"/>
          <w:szCs w:val="28"/>
        </w:rPr>
        <w:t>GB/T 50291-2015</w:t>
      </w:r>
      <w:r>
        <w:rPr>
          <w:rFonts w:hint="eastAsia" w:ascii="宋体" w:hAnsi="宋体"/>
          <w:sz w:val="28"/>
        </w:rPr>
        <w:t>）、《房地产估价基本术语标准》（</w:t>
      </w:r>
      <w:r>
        <w:rPr>
          <w:rFonts w:ascii="宋体" w:hAnsi="宋体"/>
          <w:bCs/>
          <w:sz w:val="28"/>
          <w:szCs w:val="28"/>
        </w:rPr>
        <w:t>GB/T50899-2013</w:t>
      </w:r>
      <w:r>
        <w:rPr>
          <w:rFonts w:hint="eastAsia" w:ascii="宋体" w:hAnsi="宋体"/>
          <w:sz w:val="28"/>
        </w:rPr>
        <w:t>）、《人民法院委托评估工作规范》进行估价工作，形成意见和结论，撰写本评估报告</w:t>
      </w:r>
      <w:r>
        <w:rPr>
          <w:rFonts w:hint="eastAsia" w:ascii="宋体" w:hAnsi="宋体" w:cs="仿宋_GB2312"/>
          <w:sz w:val="28"/>
          <w:szCs w:val="28"/>
        </w:rPr>
        <w:t>。</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5、我们已对本估价报告中的估价对象进行了实地勘察，并对现场查勘的客观性、真实性、公正性承担责任。</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6、</w:t>
      </w:r>
      <w:r>
        <w:rPr>
          <w:rFonts w:hint="eastAsia" w:ascii="宋体" w:hAnsi="宋体"/>
          <w:sz w:val="28"/>
          <w:szCs w:val="28"/>
        </w:rPr>
        <w:t>本估价报告由曲靖市恒通房地产土地评估有限公司负责解释。</w:t>
      </w:r>
    </w:p>
    <w:p>
      <w:pPr>
        <w:rPr>
          <w:rFonts w:ascii="宋体" w:hAnsi="宋体" w:cs="仿宋_GB2312"/>
          <w:sz w:val="28"/>
          <w:szCs w:val="28"/>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pStyle w:val="19"/>
        <w:pageBreakBefore/>
        <w:rPr>
          <w:szCs w:val="28"/>
        </w:rPr>
      </w:pPr>
      <w:bookmarkStart w:id="10" w:name="_Toc15549"/>
      <w:bookmarkStart w:id="11" w:name="_Toc19110105"/>
      <w:bookmarkStart w:id="12" w:name="_Toc18236172"/>
      <w:bookmarkStart w:id="13" w:name="_Toc18233387"/>
      <w:bookmarkStart w:id="14" w:name="_Toc19110964"/>
      <w:r>
        <w:rPr>
          <w:rFonts w:hint="eastAsia"/>
        </w:rPr>
        <w:t>估价的假设和限制条件</w:t>
      </w:r>
      <w:bookmarkEnd w:id="10"/>
      <w:bookmarkEnd w:id="11"/>
      <w:bookmarkEnd w:id="12"/>
      <w:bookmarkEnd w:id="13"/>
      <w:bookmarkEnd w:id="14"/>
    </w:p>
    <w:p>
      <w:pPr>
        <w:spacing w:line="540" w:lineRule="exact"/>
        <w:textAlignment w:val="center"/>
        <w:rPr>
          <w:rFonts w:ascii="宋体" w:hAnsi="宋体" w:cs="仿宋_GB2312"/>
          <w:spacing w:val="9"/>
          <w:sz w:val="28"/>
        </w:rPr>
      </w:pPr>
      <w:r>
        <w:rPr>
          <w:rFonts w:hint="eastAsia" w:ascii="宋体" w:hAnsi="宋体" w:cs="仿宋_GB2312"/>
          <w:spacing w:val="9"/>
          <w:sz w:val="28"/>
        </w:rPr>
        <w:t>一、估价报告成立的假设前提：</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 xml:space="preserve">(一)、一般假设： </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1. 由估价委托人引领估价人员实地查勘的估价对象与资料记载的估价对象一致，具有唯一性。</w:t>
      </w:r>
    </w:p>
    <w:p>
      <w:pPr>
        <w:spacing w:line="540" w:lineRule="exact"/>
        <w:ind w:firstLine="566" w:firstLineChars="180"/>
        <w:rPr>
          <w:rFonts w:ascii="宋体"/>
          <w:sz w:val="28"/>
          <w:szCs w:val="28"/>
        </w:rPr>
      </w:pPr>
      <w:r>
        <w:rPr>
          <w:rFonts w:hint="eastAsia" w:ascii="宋体" w:hAnsi="宋体" w:cs="仿宋_GB2312"/>
          <w:spacing w:val="9"/>
          <w:sz w:val="28"/>
        </w:rPr>
        <w:t>2.</w:t>
      </w:r>
      <w:r>
        <w:rPr>
          <w:rFonts w:hint="eastAsia" w:ascii="宋体" w:hAnsi="宋体"/>
          <w:sz w:val="28"/>
          <w:szCs w:val="28"/>
        </w:rPr>
        <w:t xml:space="preserve"> 估价对象于价值时点的市场价值假设前提为：</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）房地产交易符合国家相关法律、法规规定，能够自由在市场上交易；</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）交易双方是自愿进行交易，交易目的是追求自身利益的最大化；</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）交易双方具有必要的房地产专业知识，并了解估价对象；</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）交易双方掌握必要的市场信息；</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）交易双方有较充裕的时间进行交易；</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）不存在特殊买家的附加出价；</w:t>
      </w:r>
    </w:p>
    <w:p>
      <w:pPr>
        <w:spacing w:line="540" w:lineRule="exact"/>
        <w:ind w:right="122" w:rightChars="54" w:firstLine="560"/>
        <w:textAlignment w:val="center"/>
        <w:rPr>
          <w:rFonts w:ascii="宋体" w:hAnsi="宋体"/>
          <w:color w:val="auto"/>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w:t>
      </w:r>
      <w:r>
        <w:rPr>
          <w:rFonts w:hint="eastAsia" w:ascii="宋体" w:hAnsi="宋体"/>
          <w:color w:val="auto"/>
          <w:sz w:val="28"/>
          <w:szCs w:val="28"/>
        </w:rPr>
        <w:t>交易双方负担各自应负担的税费。</w:t>
      </w:r>
    </w:p>
    <w:p>
      <w:pPr>
        <w:spacing w:line="540" w:lineRule="exact"/>
        <w:ind w:right="122" w:rightChars="54" w:firstLine="560"/>
        <w:textAlignment w:val="center"/>
        <w:rPr>
          <w:rFonts w:ascii="宋体" w:hAnsi="宋体" w:cs="仿宋_GB2312"/>
          <w:spacing w:val="9"/>
          <w:sz w:val="28"/>
        </w:rPr>
      </w:pPr>
      <w:r>
        <w:rPr>
          <w:rFonts w:hint="eastAsia" w:ascii="宋体" w:hAnsi="宋体"/>
          <w:sz w:val="28"/>
          <w:szCs w:val="28"/>
        </w:rPr>
        <w:t>3、注册房地产估价师</w:t>
      </w:r>
      <w:r>
        <w:rPr>
          <w:rFonts w:hint="eastAsia" w:ascii="宋体" w:hAnsi="宋体"/>
          <w:spacing w:val="4"/>
          <w:sz w:val="28"/>
          <w:szCs w:val="28"/>
        </w:rPr>
        <w:t>对估价对象进行了实地查勘，认真查验</w:t>
      </w:r>
      <w:r>
        <w:rPr>
          <w:rFonts w:hint="eastAsia" w:ascii="宋体" w:hAnsi="宋体"/>
          <w:sz w:val="28"/>
          <w:szCs w:val="28"/>
        </w:rPr>
        <w:t>估价对象外观和使用状况，也关注了估价对象的房屋安全、环境污染等影响估价对象价值的重大因素，在本次估价中假定估价对象在价值时点处于完好状态，并在房屋耐用年限或土地使用期限内能够保持持续使用。</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(二)、未定事项假设：无。</w:t>
      </w:r>
    </w:p>
    <w:p>
      <w:pPr>
        <w:spacing w:line="540" w:lineRule="exact"/>
        <w:ind w:firstLine="566" w:firstLineChars="180"/>
        <w:textAlignment w:val="center"/>
        <w:rPr>
          <w:rFonts w:ascii="宋体" w:hAnsi="宋体" w:cs="仿宋_GB2312"/>
          <w:spacing w:val="9"/>
          <w:sz w:val="28"/>
        </w:rPr>
      </w:pPr>
      <w:r>
        <w:rPr>
          <w:rFonts w:hint="eastAsia" w:ascii="宋体" w:hAnsi="宋体" w:cs="仿宋_GB2312"/>
          <w:spacing w:val="9"/>
          <w:sz w:val="28"/>
        </w:rPr>
        <w:t>(三)、背离事实假设：估价对象已出租，但因为租期较短，为一年期，考虑到变卖流程耗时</w:t>
      </w:r>
      <w:r>
        <w:rPr>
          <w:rFonts w:hint="eastAsia" w:ascii="宋体" w:hAnsi="宋体" w:cs="仿宋_GB2312"/>
          <w:spacing w:val="9"/>
          <w:sz w:val="28"/>
          <w:lang w:eastAsia="zh-CN"/>
        </w:rPr>
        <w:t>可能</w:t>
      </w:r>
      <w:r>
        <w:rPr>
          <w:rFonts w:hint="eastAsia" w:ascii="宋体" w:hAnsi="宋体" w:cs="仿宋_GB2312"/>
          <w:spacing w:val="9"/>
          <w:sz w:val="28"/>
        </w:rPr>
        <w:t>较长，本次估价未考虑已设立的租赁权对估价对象价值的影响。</w:t>
      </w:r>
    </w:p>
    <w:p>
      <w:pPr>
        <w:spacing w:line="540" w:lineRule="exact"/>
        <w:ind w:firstLine="566" w:firstLineChars="180"/>
        <w:textAlignment w:val="center"/>
        <w:rPr>
          <w:rFonts w:ascii="宋体" w:hAnsi="宋体" w:cs="仿宋_GB2312"/>
          <w:spacing w:val="9"/>
          <w:sz w:val="28"/>
        </w:rPr>
      </w:pPr>
      <w:r>
        <w:rPr>
          <w:rFonts w:hint="eastAsia" w:ascii="宋体" w:hAnsi="宋体" w:cs="仿宋_GB2312"/>
          <w:spacing w:val="9"/>
          <w:sz w:val="28"/>
        </w:rPr>
        <w:t>(四)、不相一致假设：</w:t>
      </w:r>
    </w:p>
    <w:p>
      <w:pPr>
        <w:spacing w:line="540" w:lineRule="exact"/>
        <w:ind w:firstLine="566" w:firstLineChars="180"/>
        <w:textAlignment w:val="center"/>
        <w:rPr>
          <w:rFonts w:ascii="宋体" w:hAnsi="宋体" w:cs="仿宋_GB2312"/>
          <w:spacing w:val="9"/>
          <w:sz w:val="28"/>
        </w:rPr>
      </w:pPr>
      <w:r>
        <w:rPr>
          <w:rFonts w:hint="eastAsia" w:ascii="宋体" w:hAnsi="宋体" w:cs="仿宋_GB2312"/>
          <w:spacing w:val="9"/>
          <w:sz w:val="28"/>
        </w:rPr>
        <w:t>1、估价对象登记位置为爨乡印象三期F-9号，经实地查勘，估价对象位于爨乡印象福园，门牌号为408号，经不动产登记中心查证，确定为同一房屋。</w:t>
      </w:r>
    </w:p>
    <w:p>
      <w:pPr>
        <w:spacing w:line="540" w:lineRule="exact"/>
        <w:ind w:right="263" w:rightChars="116" w:firstLine="560"/>
        <w:textAlignment w:val="center"/>
        <w:rPr>
          <w:rFonts w:ascii="宋体" w:hAnsi="宋体" w:cs="仿宋_GB2312"/>
          <w:spacing w:val="9"/>
          <w:sz w:val="28"/>
        </w:rPr>
      </w:pPr>
      <w:r>
        <w:rPr>
          <w:rFonts w:hint="eastAsia" w:ascii="宋体" w:hAnsi="宋体"/>
          <w:sz w:val="28"/>
          <w:szCs w:val="28"/>
        </w:rPr>
        <w:t>2、估价对象登记用途为城镇住宅用地/住宅，</w:t>
      </w:r>
      <w:r>
        <w:rPr>
          <w:rFonts w:hint="eastAsia" w:ascii="宋体" w:hAnsi="宋体" w:cs="仿宋_GB2312"/>
          <w:spacing w:val="9"/>
          <w:sz w:val="28"/>
        </w:rPr>
        <w:t>实地查勘发现估价对象建造设计和实际现状均作为商铺出租使用，存在用途和使用现状不一致事项</w:t>
      </w:r>
      <w:r>
        <w:rPr>
          <w:rFonts w:hint="eastAsia" w:ascii="宋体" w:hAnsi="宋体"/>
          <w:sz w:val="28"/>
          <w:szCs w:val="28"/>
        </w:rPr>
        <w:t>。</w:t>
      </w:r>
    </w:p>
    <w:p>
      <w:pPr>
        <w:spacing w:line="540" w:lineRule="exact"/>
        <w:ind w:firstLine="566" w:firstLineChars="180"/>
        <w:textAlignment w:val="center"/>
        <w:rPr>
          <w:rFonts w:ascii="宋体" w:hAnsi="宋体" w:cs="仿宋_GB2312"/>
          <w:spacing w:val="9"/>
          <w:sz w:val="28"/>
        </w:rPr>
      </w:pPr>
      <w:r>
        <w:rPr>
          <w:rFonts w:hint="eastAsia" w:ascii="宋体" w:hAnsi="宋体" w:cs="仿宋_GB2312"/>
          <w:spacing w:val="9"/>
          <w:sz w:val="28"/>
        </w:rPr>
        <w:t>(五)、依据不足假设：委托方未提供建成年代相关资料。经实地调查，估价对象于2008年建成，本次估价建筑物建成年代以实地调查为准。</w:t>
      </w:r>
    </w:p>
    <w:p>
      <w:pPr>
        <w:spacing w:line="540" w:lineRule="exact"/>
        <w:textAlignment w:val="center"/>
        <w:rPr>
          <w:rFonts w:ascii="宋体" w:hAnsi="宋体" w:cs="仿宋_GB2312"/>
          <w:spacing w:val="9"/>
          <w:sz w:val="28"/>
        </w:rPr>
      </w:pPr>
      <w:r>
        <w:rPr>
          <w:rFonts w:hint="eastAsia" w:ascii="宋体" w:hAnsi="宋体" w:cs="仿宋_GB2312"/>
          <w:spacing w:val="9"/>
          <w:sz w:val="28"/>
        </w:rPr>
        <w:t>二、估价报告使用的限制条件：</w:t>
      </w:r>
    </w:p>
    <w:p>
      <w:pPr>
        <w:spacing w:line="540" w:lineRule="exact"/>
        <w:ind w:firstLine="595" w:firstLineChars="189"/>
        <w:rPr>
          <w:rFonts w:ascii="宋体" w:hAnsi="宋体" w:cs="仿宋_GB2312"/>
          <w:spacing w:val="9"/>
          <w:sz w:val="28"/>
        </w:rPr>
      </w:pPr>
      <w:r>
        <w:rPr>
          <w:rFonts w:hint="eastAsia" w:ascii="宋体" w:hAnsi="宋体" w:cs="仿宋_GB2312"/>
          <w:spacing w:val="9"/>
          <w:sz w:val="28"/>
        </w:rPr>
        <w:t>(一)、</w:t>
      </w:r>
      <w:r>
        <w:rPr>
          <w:rFonts w:hint="eastAsia" w:ascii="宋体" w:hAnsi="宋体"/>
          <w:sz w:val="28"/>
          <w:szCs w:val="28"/>
        </w:rPr>
        <w:t>本估价报告估价结论仅作</w:t>
      </w:r>
      <w:r>
        <w:rPr>
          <w:rFonts w:hint="eastAsia" w:ascii="宋体" w:hAnsi="宋体" w:cs="仿宋_GB2312"/>
          <w:spacing w:val="11"/>
          <w:sz w:val="28"/>
          <w:szCs w:val="28"/>
        </w:rPr>
        <w:t>为司法处置提供价格参考依据而评估房地产市场价值</w:t>
      </w:r>
      <w:r>
        <w:rPr>
          <w:rFonts w:hint="eastAsia" w:ascii="宋体" w:hAnsi="宋体"/>
          <w:sz w:val="28"/>
          <w:szCs w:val="28"/>
        </w:rPr>
        <w:t>，若用于其他用途，本估价报告估价结论无效</w:t>
      </w:r>
      <w:r>
        <w:rPr>
          <w:rFonts w:hint="eastAsia" w:ascii="宋体" w:hAnsi="宋体" w:cs="仿宋_GB2312"/>
          <w:spacing w:val="9"/>
          <w:sz w:val="28"/>
        </w:rPr>
        <w:t>。</w:t>
      </w:r>
    </w:p>
    <w:p>
      <w:pPr>
        <w:tabs>
          <w:tab w:val="left" w:pos="510"/>
        </w:tabs>
        <w:spacing w:line="540" w:lineRule="exact"/>
        <w:ind w:firstLine="566" w:firstLineChars="180"/>
        <w:rPr>
          <w:rFonts w:ascii="宋体" w:hAnsi="宋体" w:cs="仿宋_GB2312"/>
          <w:spacing w:val="9"/>
          <w:sz w:val="28"/>
        </w:rPr>
      </w:pPr>
      <w:r>
        <w:rPr>
          <w:rFonts w:hint="eastAsia" w:ascii="宋体" w:hAnsi="宋体" w:cs="仿宋_GB2312"/>
          <w:spacing w:val="9"/>
          <w:sz w:val="28"/>
        </w:rPr>
        <w:t>(二)、本次估价结果自报告提交之日起有效期为一年。</w:t>
      </w:r>
      <w:r>
        <w:rPr>
          <w:rFonts w:hint="eastAsia" w:ascii="宋体" w:hAnsi="宋体"/>
          <w:sz w:val="28"/>
          <w:szCs w:val="28"/>
        </w:rPr>
        <w:t>本估价报告应在确定的估价报告应用有效期内（自出具估价报告之日起即</w:t>
      </w:r>
      <w:r>
        <w:rPr>
          <w:rFonts w:hint="eastAsia" w:ascii="宋体" w:hAnsi="宋体"/>
          <w:sz w:val="28"/>
          <w:szCs w:val="28"/>
          <w:lang w:eastAsia="zh-CN"/>
        </w:rPr>
        <w:t>2022年10月28日</w:t>
      </w:r>
      <w:r>
        <w:rPr>
          <w:rFonts w:hint="eastAsia" w:ascii="宋体" w:hAnsi="宋体"/>
          <w:sz w:val="28"/>
          <w:szCs w:val="28"/>
        </w:rPr>
        <w:t>至2023年10月</w:t>
      </w:r>
      <w:r>
        <w:rPr>
          <w:rFonts w:hint="eastAsia" w:ascii="宋体" w:hAnsi="宋体"/>
          <w:sz w:val="28"/>
          <w:szCs w:val="28"/>
          <w:lang w:val="en-US" w:eastAsia="zh-CN"/>
        </w:rPr>
        <w:t>27</w:t>
      </w:r>
      <w:r>
        <w:rPr>
          <w:rFonts w:hint="eastAsia" w:ascii="宋体" w:hAnsi="宋体"/>
          <w:sz w:val="28"/>
          <w:szCs w:val="28"/>
        </w:rPr>
        <w:t>止）使用，超过估价报告应用有效期使用本报告，相关责任由使用者承担</w:t>
      </w:r>
      <w:r>
        <w:rPr>
          <w:rFonts w:hint="eastAsia" w:ascii="宋体" w:hAnsi="宋体" w:cs="仿宋_GB2312"/>
          <w:spacing w:val="9"/>
          <w:sz w:val="28"/>
        </w:rPr>
        <w:t>。</w:t>
      </w:r>
    </w:p>
    <w:p>
      <w:pPr>
        <w:tabs>
          <w:tab w:val="left" w:pos="510"/>
        </w:tabs>
        <w:spacing w:line="540" w:lineRule="exact"/>
        <w:ind w:firstLine="566" w:firstLineChars="180"/>
        <w:rPr>
          <w:rFonts w:ascii="宋体" w:hAnsi="宋体" w:cs="仿宋_GB2312"/>
          <w:spacing w:val="9"/>
          <w:sz w:val="28"/>
        </w:rPr>
      </w:pPr>
      <w:r>
        <w:rPr>
          <w:rFonts w:hint="eastAsia" w:ascii="宋体" w:hAnsi="宋体" w:cs="仿宋_GB2312"/>
          <w:spacing w:val="9"/>
          <w:sz w:val="28"/>
        </w:rPr>
        <w:t>(三)、</w:t>
      </w:r>
      <w:r>
        <w:rPr>
          <w:rFonts w:hint="eastAsia" w:ascii="宋体" w:hAnsi="宋体"/>
          <w:sz w:val="28"/>
          <w:szCs w:val="28"/>
        </w:rPr>
        <w:t>价值时点后，估价报告应用有效期内估价对象的质量及价格标准发生重大变化，并对估价价值产生明显影响时，不能直接使用本估价结论，应当对估价结果做出调整或者重新评估</w:t>
      </w:r>
      <w:r>
        <w:rPr>
          <w:rFonts w:hint="eastAsia" w:ascii="宋体" w:hAnsi="宋体" w:cs="仿宋_GB2312"/>
          <w:spacing w:val="9"/>
          <w:sz w:val="28"/>
        </w:rPr>
        <w:t xml:space="preserve">。 </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(四)、</w:t>
      </w:r>
      <w:r>
        <w:rPr>
          <w:rFonts w:hint="eastAsia" w:ascii="宋体" w:hAnsi="宋体"/>
          <w:sz w:val="28"/>
          <w:szCs w:val="28"/>
        </w:rPr>
        <w:t>本估价报告必须完整使用方为有效，对仅使用报告中部分内容所导致可能发生的损失，本估价机构不承担责任</w:t>
      </w:r>
      <w:r>
        <w:rPr>
          <w:rFonts w:hint="eastAsia" w:ascii="宋体" w:hAnsi="宋体" w:cs="仿宋_GB2312"/>
          <w:spacing w:val="9"/>
          <w:sz w:val="28"/>
        </w:rPr>
        <w:t>。</w:t>
      </w:r>
    </w:p>
    <w:p>
      <w:pPr>
        <w:spacing w:line="540" w:lineRule="exact"/>
        <w:ind w:firstLine="567"/>
        <w:textAlignment w:val="center"/>
        <w:rPr>
          <w:rFonts w:ascii="宋体" w:hAnsi="宋体" w:cs="仿宋_GB2312"/>
          <w:spacing w:val="9"/>
          <w:sz w:val="28"/>
        </w:rPr>
      </w:pPr>
      <w:r>
        <w:rPr>
          <w:rFonts w:hint="eastAsia" w:ascii="宋体" w:hAnsi="宋体" w:cs="仿宋_GB2312"/>
          <w:spacing w:val="9"/>
          <w:sz w:val="28"/>
        </w:rPr>
        <w:t>(五)、本估价报告的技术部分，仅作为估价方的机构存档和有关部门审阅备案之用，该部分不作为本估价报告应用的依据。</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(六)、本报告复印件无效，报告缺页无效，我们对无效报告不承担任何法律责任。本报告经估价师签字盖章及估价机构负责人签字盖章后方生效。</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(七)、本估价报告书一式五份，委托方四份，估价机构存档一份, 未经评估机构或本人书面同意，本估价报告的全部或其部分内容不得发表于任何公开媒体上，亦不得修改或提供给其他任何单位和个人。</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三、报告使用特殊提示：</w:t>
      </w:r>
    </w:p>
    <w:p>
      <w:pPr>
        <w:spacing w:line="540" w:lineRule="exact"/>
        <w:ind w:firstLine="534" w:firstLineChars="180"/>
        <w:rPr>
          <w:rFonts w:ascii="宋体" w:hAnsi="宋体" w:cs="仿宋_GB2312"/>
          <w:spacing w:val="9"/>
          <w:sz w:val="28"/>
        </w:rPr>
      </w:pPr>
      <w:r>
        <w:rPr>
          <w:rFonts w:hint="eastAsia" w:ascii="宋体"/>
          <w:sz w:val="28"/>
          <w:szCs w:val="28"/>
        </w:rPr>
        <w:t>1、本次估价未考虑估价对象房地产可能存在的他项权利对估价对象房地产价值的影响</w:t>
      </w:r>
      <w:r>
        <w:rPr>
          <w:rFonts w:hint="eastAsia" w:ascii="宋体" w:hAnsi="宋体" w:cs="仿宋_GB2312"/>
          <w:spacing w:val="9"/>
          <w:sz w:val="28"/>
        </w:rPr>
        <w:t>。</w:t>
      </w:r>
    </w:p>
    <w:p>
      <w:pPr>
        <w:tabs>
          <w:tab w:val="left" w:pos="351"/>
        </w:tabs>
        <w:spacing w:line="360" w:lineRule="auto"/>
        <w:ind w:right="156" w:rightChars="69" w:firstLine="594" w:firstLineChars="200"/>
        <w:rPr>
          <w:bCs/>
          <w:sz w:val="28"/>
          <w:szCs w:val="28"/>
        </w:rPr>
      </w:pPr>
      <w:r>
        <w:rPr>
          <w:rFonts w:hint="eastAsia"/>
          <w:bCs/>
          <w:sz w:val="28"/>
          <w:szCs w:val="28"/>
        </w:rPr>
        <w:t>2</w:t>
      </w:r>
      <w:r>
        <w:rPr>
          <w:rFonts w:hint="eastAsia" w:ascii="宋体" w:hAnsi="宋体" w:cs="仿宋_GB2312"/>
          <w:spacing w:val="9"/>
          <w:sz w:val="28"/>
        </w:rPr>
        <w:t>、</w:t>
      </w:r>
      <w:r>
        <w:rPr>
          <w:rFonts w:hint="eastAsia"/>
          <w:bCs/>
          <w:sz w:val="28"/>
          <w:szCs w:val="28"/>
        </w:rPr>
        <w:t>估价结果未扣除财产处置费用。</w:t>
      </w:r>
    </w:p>
    <w:p>
      <w:pPr>
        <w:tabs>
          <w:tab w:val="left" w:pos="351"/>
        </w:tabs>
        <w:spacing w:line="360" w:lineRule="auto"/>
        <w:ind w:right="156" w:rightChars="69" w:firstLine="594" w:firstLineChars="200"/>
        <w:rPr>
          <w:bCs/>
          <w:sz w:val="28"/>
          <w:szCs w:val="28"/>
        </w:rPr>
      </w:pPr>
      <w:r>
        <w:rPr>
          <w:rFonts w:hint="eastAsia"/>
          <w:bCs/>
          <w:sz w:val="28"/>
          <w:szCs w:val="28"/>
        </w:rPr>
        <w:t>3、经查，未发现估价对象有拖欠的物业及水电费。</w:t>
      </w:r>
    </w:p>
    <w:p>
      <w:pPr>
        <w:pStyle w:val="19"/>
        <w:pageBreakBefore/>
        <w:rPr>
          <w:sz w:val="28"/>
        </w:rPr>
      </w:pPr>
      <w:bookmarkStart w:id="15" w:name="_Toc19110965"/>
      <w:bookmarkStart w:id="16" w:name="_Toc19110106"/>
      <w:bookmarkStart w:id="17" w:name="_Toc18236173"/>
      <w:bookmarkStart w:id="18" w:name="_Toc30184"/>
      <w:r>
        <w:rPr>
          <w:rFonts w:hint="eastAsia"/>
        </w:rPr>
        <w:t>估价结果报告</w:t>
      </w:r>
      <w:bookmarkEnd w:id="15"/>
      <w:bookmarkEnd w:id="16"/>
      <w:bookmarkEnd w:id="17"/>
      <w:bookmarkEnd w:id="18"/>
    </w:p>
    <w:p>
      <w:pPr>
        <w:pStyle w:val="4"/>
        <w:spacing w:line="560" w:lineRule="exact"/>
        <w:ind w:left="227" w:right="227"/>
        <w:rPr>
          <w:b/>
        </w:rPr>
      </w:pPr>
      <w:bookmarkStart w:id="19" w:name="_Toc1734"/>
      <w:bookmarkStart w:id="20" w:name="_Toc19110966"/>
      <w:bookmarkStart w:id="21" w:name="_Toc19110107"/>
      <w:bookmarkStart w:id="22" w:name="_Toc18236174"/>
      <w:r>
        <w:rPr>
          <w:rFonts w:hint="eastAsia"/>
        </w:rPr>
        <w:t>一、估价委托人</w:t>
      </w:r>
      <w:bookmarkEnd w:id="19"/>
      <w:bookmarkEnd w:id="20"/>
      <w:bookmarkEnd w:id="21"/>
      <w:bookmarkEnd w:id="22"/>
    </w:p>
    <w:p>
      <w:pPr>
        <w:spacing w:line="560" w:lineRule="exact"/>
        <w:ind w:firstLine="564" w:firstLineChars="190"/>
        <w:textAlignment w:val="center"/>
        <w:rPr>
          <w:rFonts w:ascii="宋体" w:hAnsi="宋体" w:cs="仿宋_GB2312"/>
          <w:sz w:val="28"/>
        </w:rPr>
      </w:pPr>
      <w:r>
        <w:rPr>
          <w:rFonts w:hint="eastAsia" w:ascii="宋体" w:hAnsi="宋体" w:cs="仿宋_GB2312"/>
          <w:sz w:val="28"/>
        </w:rPr>
        <w:t>名称：陆良县人民法院</w:t>
      </w:r>
    </w:p>
    <w:p>
      <w:pPr>
        <w:spacing w:line="560" w:lineRule="exact"/>
        <w:ind w:firstLine="564" w:firstLineChars="190"/>
        <w:textAlignment w:val="center"/>
        <w:rPr>
          <w:rFonts w:ascii="宋体" w:hAnsi="宋体" w:cs="仿宋_GB2312"/>
          <w:sz w:val="28"/>
        </w:rPr>
      </w:pPr>
      <w:r>
        <w:rPr>
          <w:rFonts w:hint="eastAsia" w:ascii="宋体" w:hAnsi="宋体" w:cs="仿宋_GB2312"/>
          <w:sz w:val="28"/>
        </w:rPr>
        <w:t>联系人：唐琦媛</w:t>
      </w:r>
    </w:p>
    <w:p>
      <w:pPr>
        <w:spacing w:line="560" w:lineRule="exact"/>
        <w:ind w:firstLine="564" w:firstLineChars="190"/>
        <w:textAlignment w:val="center"/>
        <w:rPr>
          <w:rFonts w:ascii="宋体" w:hAnsi="宋体" w:cs="仿宋_GB2312"/>
          <w:sz w:val="28"/>
        </w:rPr>
      </w:pPr>
      <w:r>
        <w:rPr>
          <w:rFonts w:hint="eastAsia" w:ascii="宋体" w:hAnsi="宋体" w:cs="仿宋_GB2312"/>
          <w:sz w:val="28"/>
        </w:rPr>
        <w:t>联系电话：15308742037</w:t>
      </w:r>
    </w:p>
    <w:p>
      <w:pPr>
        <w:pStyle w:val="4"/>
        <w:spacing w:line="560" w:lineRule="exact"/>
        <w:ind w:left="227" w:right="227"/>
        <w:rPr>
          <w:b/>
        </w:rPr>
      </w:pPr>
      <w:bookmarkStart w:id="23" w:name="_Toc4603"/>
      <w:bookmarkStart w:id="24" w:name="_Toc19110108"/>
      <w:bookmarkStart w:id="25" w:name="_Toc18236175"/>
      <w:bookmarkStart w:id="26" w:name="_Toc19110967"/>
      <w:r>
        <w:rPr>
          <w:rFonts w:hint="eastAsia"/>
        </w:rPr>
        <w:t>二、房地产估价机构</w:t>
      </w:r>
      <w:bookmarkEnd w:id="23"/>
      <w:bookmarkEnd w:id="24"/>
      <w:bookmarkEnd w:id="25"/>
      <w:bookmarkEnd w:id="26"/>
    </w:p>
    <w:p>
      <w:pPr>
        <w:spacing w:line="560" w:lineRule="exact"/>
        <w:ind w:firstLine="594" w:firstLineChars="200"/>
        <w:textAlignment w:val="center"/>
        <w:rPr>
          <w:rFonts w:ascii="宋体" w:hAnsi="宋体" w:cs="仿宋_GB2312"/>
          <w:sz w:val="28"/>
        </w:rPr>
      </w:pPr>
      <w:r>
        <w:rPr>
          <w:rFonts w:hint="eastAsia" w:ascii="宋体" w:hAnsi="宋体" w:cs="仿宋_GB2312"/>
          <w:sz w:val="28"/>
        </w:rPr>
        <w:t>名称：曲靖市恒通房地产土地评估有限公司</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法定代表人：刘承文</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机构地址：</w:t>
      </w:r>
      <w:r>
        <w:rPr>
          <w:rFonts w:hint="eastAsia" w:ascii="宋体" w:hAnsi="宋体"/>
          <w:spacing w:val="9"/>
          <w:sz w:val="28"/>
        </w:rPr>
        <w:t>曲靖市沾益区西平街道农信社一楼</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资质证书编号：云建房证估字第65号</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资质等级：贰级</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联系人；杨高云      联系电话：13887401865</w:t>
      </w:r>
    </w:p>
    <w:p>
      <w:pPr>
        <w:pStyle w:val="4"/>
        <w:spacing w:line="560" w:lineRule="exact"/>
        <w:ind w:left="227" w:right="227"/>
        <w:rPr>
          <w:b/>
        </w:rPr>
      </w:pPr>
      <w:bookmarkStart w:id="27" w:name="_Toc7707"/>
      <w:bookmarkStart w:id="28" w:name="_Toc19110109"/>
      <w:bookmarkStart w:id="29" w:name="_Toc18236176"/>
      <w:bookmarkStart w:id="30" w:name="_Toc19110968"/>
      <w:r>
        <w:rPr>
          <w:rFonts w:hint="eastAsia"/>
        </w:rPr>
        <w:t>三、估价目的</w:t>
      </w:r>
      <w:bookmarkEnd w:id="27"/>
      <w:bookmarkEnd w:id="28"/>
      <w:bookmarkEnd w:id="29"/>
      <w:bookmarkEnd w:id="30"/>
    </w:p>
    <w:p>
      <w:pPr>
        <w:spacing w:line="560" w:lineRule="exact"/>
        <w:ind w:firstLine="564" w:firstLineChars="190"/>
        <w:textAlignment w:val="center"/>
        <w:rPr>
          <w:rFonts w:ascii="宋体" w:hAnsi="宋体" w:cs="仿宋_GB2312"/>
          <w:spacing w:val="9"/>
          <w:sz w:val="28"/>
        </w:rPr>
      </w:pPr>
      <w:r>
        <w:rPr>
          <w:rFonts w:hint="eastAsia" w:ascii="宋体" w:hAnsi="宋体" w:cs="仿宋_GB2312"/>
          <w:sz w:val="28"/>
          <w:szCs w:val="28"/>
        </w:rPr>
        <w:t>为司法处置提供价格参考依据而评估房地产市场价值</w:t>
      </w:r>
      <w:r>
        <w:rPr>
          <w:rFonts w:hint="eastAsia" w:ascii="宋体" w:hAnsi="宋体" w:cs="仿宋_GB2312"/>
          <w:sz w:val="28"/>
        </w:rPr>
        <w:t>。</w:t>
      </w:r>
    </w:p>
    <w:p>
      <w:pPr>
        <w:pStyle w:val="4"/>
        <w:spacing w:line="560" w:lineRule="exact"/>
        <w:ind w:left="227" w:right="227"/>
      </w:pPr>
      <w:bookmarkStart w:id="31" w:name="_Toc19110969"/>
      <w:bookmarkStart w:id="32" w:name="_Toc19110110"/>
      <w:bookmarkStart w:id="33" w:name="_Toc18236177"/>
      <w:bookmarkStart w:id="34" w:name="_Toc31468"/>
      <w:r>
        <w:rPr>
          <w:rFonts w:hint="eastAsia"/>
        </w:rPr>
        <w:t>四、估价对象</w:t>
      </w:r>
      <w:bookmarkEnd w:id="31"/>
      <w:bookmarkEnd w:id="32"/>
      <w:bookmarkEnd w:id="33"/>
      <w:bookmarkEnd w:id="34"/>
    </w:p>
    <w:p>
      <w:pPr>
        <w:spacing w:line="560" w:lineRule="exact"/>
        <w:rPr>
          <w:rFonts w:ascii="宋体" w:hAnsi="宋体" w:cs="仿宋_GB2312"/>
          <w:sz w:val="28"/>
          <w:szCs w:val="28"/>
        </w:rPr>
      </w:pPr>
      <w:r>
        <w:rPr>
          <w:rFonts w:hint="eastAsia" w:ascii="宋体" w:hAnsi="宋体" w:cs="仿宋_GB2312"/>
          <w:sz w:val="28"/>
          <w:szCs w:val="28"/>
        </w:rPr>
        <w:t>（一）估价对象及估价财产范围</w:t>
      </w:r>
      <w:bookmarkStart w:id="35" w:name="_Toc19110111"/>
      <w:bookmarkStart w:id="36" w:name="_Toc18236178"/>
      <w:bookmarkStart w:id="37" w:name="_Toc19110970"/>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1276"/>
        <w:gridCol w:w="425"/>
        <w:gridCol w:w="1134"/>
        <w:gridCol w:w="425"/>
        <w:gridCol w:w="803"/>
        <w:gridCol w:w="331"/>
        <w:gridCol w:w="425"/>
        <w:gridCol w:w="1134"/>
        <w:gridCol w:w="142"/>
        <w:gridCol w:w="330"/>
        <w:gridCol w:w="80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gridSpan w:val="4"/>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坐落</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陆良县中枢街道春光东路延长线爨乡印象三期F-9号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51" w:type="dxa"/>
            <w:gridSpan w:val="2"/>
            <w:vMerge w:val="restar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权益</w:t>
            </w:r>
          </w:p>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不动产权证</w:t>
            </w:r>
          </w:p>
        </w:tc>
        <w:tc>
          <w:tcPr>
            <w:tcW w:w="7087" w:type="dxa"/>
            <w:gridSpan w:val="10"/>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云（2021）陆良县不动产权第0001581号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房屋所有权人</w:t>
            </w:r>
          </w:p>
        </w:tc>
        <w:tc>
          <w:tcPr>
            <w:tcW w:w="2362"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梁红宝、陈彩菊</w:t>
            </w:r>
          </w:p>
        </w:tc>
        <w:tc>
          <w:tcPr>
            <w:tcW w:w="2362" w:type="dxa"/>
            <w:gridSpan w:val="5"/>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共有情况</w:t>
            </w:r>
          </w:p>
        </w:tc>
        <w:tc>
          <w:tcPr>
            <w:tcW w:w="2363"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按份共有（各50%）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房屋规划用途</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权属来源</w:t>
            </w:r>
          </w:p>
        </w:tc>
        <w:tc>
          <w:tcPr>
            <w:tcW w:w="1701"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购买</w:t>
            </w:r>
          </w:p>
        </w:tc>
        <w:tc>
          <w:tcPr>
            <w:tcW w:w="1134"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建筑面积</w:t>
            </w:r>
          </w:p>
        </w:tc>
        <w:tc>
          <w:tcPr>
            <w:tcW w:w="1559" w:type="dxa"/>
            <w:vAlign w:val="center"/>
          </w:tcPr>
          <w:p>
            <w:pPr>
              <w:widowControl/>
              <w:jc w:val="center"/>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rPr>
              <w:t>274.76m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土地用途</w:t>
            </w:r>
          </w:p>
        </w:tc>
        <w:tc>
          <w:tcPr>
            <w:tcW w:w="2693" w:type="dxa"/>
            <w:gridSpan w:val="4"/>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城镇住宅用地</w:t>
            </w:r>
          </w:p>
        </w:tc>
        <w:tc>
          <w:tcPr>
            <w:tcW w:w="1701"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土地使用权面积</w:t>
            </w:r>
          </w:p>
        </w:tc>
        <w:tc>
          <w:tcPr>
            <w:tcW w:w="2693"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136.67</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土地权利性质</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出让</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使用权期限</w:t>
            </w:r>
          </w:p>
        </w:tc>
        <w:tc>
          <w:tcPr>
            <w:tcW w:w="4394" w:type="dxa"/>
            <w:gridSpan w:val="6"/>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2012年01月20日起2082年01月19日止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实物状况</w:t>
            </w:r>
          </w:p>
        </w:tc>
        <w:tc>
          <w:tcPr>
            <w:tcW w:w="425" w:type="dxa"/>
            <w:vMerge w:val="restart"/>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土地四至</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ascii="宋体" w:hAnsi="宋体" w:cs="宋体"/>
                <w:kern w:val="0"/>
                <w:sz w:val="18"/>
                <w:szCs w:val="18"/>
              </w:rPr>
              <w:t>北临春光路，东临建筑物，西临广场，南临小区内部道路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地形地势</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宗地地形规则，地势平坦，无影响建筑物修建的不良地势、地质和水文状况。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土地开发程度</w:t>
            </w:r>
          </w:p>
        </w:tc>
        <w:tc>
          <w:tcPr>
            <w:tcW w:w="7087" w:type="dxa"/>
            <w:gridSpan w:val="10"/>
            <w:vAlign w:val="center"/>
          </w:tcPr>
          <w:p>
            <w:pPr>
              <w:pStyle w:val="18"/>
              <w:widowControl/>
              <w:jc w:val="center"/>
              <w:rPr>
                <w:rFonts w:cs="宋体" w:asciiTheme="minorEastAsia" w:hAnsiTheme="minorEastAsia" w:eastAsiaTheme="minorEastAsia"/>
                <w:sz w:val="18"/>
                <w:szCs w:val="18"/>
              </w:rPr>
            </w:pPr>
            <w:r>
              <w:rPr>
                <w:rFonts w:hint="eastAsia" w:ascii="宋体" w:hAnsi="宋体" w:cs="宋体"/>
                <w:sz w:val="18"/>
                <w:szCs w:val="18"/>
              </w:rPr>
              <w:t>宗地外五通一平（</w:t>
            </w:r>
            <w:r>
              <w:rPr>
                <w:rFonts w:hint="eastAsia" w:ascii="宋体" w:hAnsi="宋体"/>
                <w:sz w:val="18"/>
                <w:szCs w:val="18"/>
              </w:rPr>
              <w:t>通上水、通下水、通电、通路、通讯及过地内场地平整</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restart"/>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建筑物状况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幢号及房号</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结构</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总层数/所在层</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证载用途</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朝向</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F-9号</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钢混</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2/1-2</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ascii="宋体" w:hAnsi="宋体" w:cs="宋体" w:eastAsiaTheme="minorEastAsia"/>
                <w:sz w:val="18"/>
                <w:szCs w:val="18"/>
              </w:rPr>
              <w:t>西北</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通风采光</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户型设计</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维护保养</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实际用途</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成新度</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较好</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一般，整体呈三角形</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正常维护</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商业</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约8.5成</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276"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装修情况</w:t>
            </w:r>
          </w:p>
        </w:tc>
        <w:tc>
          <w:tcPr>
            <w:tcW w:w="7512" w:type="dxa"/>
            <w:gridSpan w:val="11"/>
            <w:vAlign w:val="center"/>
          </w:tcPr>
          <w:p>
            <w:pPr>
              <w:jc w:val="center"/>
              <w:rPr>
                <w:rFonts w:cs="宋体" w:asciiTheme="minorEastAsia" w:hAnsiTheme="minorEastAsia" w:eastAsiaTheme="minorEastAsia"/>
                <w:sz w:val="18"/>
                <w:szCs w:val="18"/>
              </w:rPr>
            </w:pPr>
            <w:r>
              <w:rPr>
                <w:rFonts w:hint="eastAsia" w:ascii="宋体" w:hAnsi="宋体" w:cs="宋体"/>
                <w:sz w:val="18"/>
                <w:szCs w:val="18"/>
              </w:rPr>
              <w:t>建筑物外墙涂料，入户卷帘门、铝合金窗，室内地面一层地砖，二层木地板：墙面乳胶漆：顶部乳胶漆，局部石膏板吊顶，建筑物维护较好，可正常使用。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27" w:type="dxa"/>
            <w:gridSpan w:val="3"/>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估价财产范围</w:t>
            </w:r>
          </w:p>
        </w:tc>
        <w:tc>
          <w:tcPr>
            <w:tcW w:w="7512" w:type="dxa"/>
            <w:gridSpan w:val="11"/>
          </w:tcPr>
          <w:p>
            <w:pPr>
              <w:widowControl/>
              <w:spacing w:line="300" w:lineRule="exact"/>
              <w:rPr>
                <w:rFonts w:cs="宋体"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本次估价范围包括建筑物建筑面积274.76㎡、分摊的国有土地使用权</w:t>
            </w:r>
            <w:r>
              <w:rPr>
                <w:rFonts w:hint="eastAsia" w:cs="宋体" w:asciiTheme="minorEastAsia" w:hAnsiTheme="minorEastAsia" w:eastAsiaTheme="minorEastAsia"/>
                <w:sz w:val="18"/>
                <w:szCs w:val="18"/>
              </w:rPr>
              <w:t>136.67</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r>
              <w:rPr>
                <w:rFonts w:hint="eastAsia" w:cs="仿宋_GB2312" w:asciiTheme="minorEastAsia" w:hAnsiTheme="minorEastAsia" w:eastAsiaTheme="minorEastAsia"/>
                <w:kern w:val="0"/>
                <w:sz w:val="18"/>
                <w:szCs w:val="18"/>
              </w:rPr>
              <w:t>、室内二次装修及公共配套设施，不包括动产、债权债务、特许经营权等其他财产或权益。</w:t>
            </w:r>
          </w:p>
        </w:tc>
      </w:tr>
    </w:tbl>
    <w:p>
      <w:pPr>
        <w:spacing w:line="560" w:lineRule="exact"/>
        <w:rPr>
          <w:rFonts w:ascii="宋体"/>
          <w:spacing w:val="2"/>
          <w:sz w:val="28"/>
          <w:szCs w:val="28"/>
        </w:rPr>
      </w:pPr>
      <w:r>
        <w:rPr>
          <w:rFonts w:hint="eastAsia"/>
          <w:sz w:val="28"/>
          <w:szCs w:val="28"/>
        </w:rPr>
        <w:t>（二）估价对象区位状况描述</w:t>
      </w:r>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gridSpan w:val="3"/>
            <w:vAlign w:val="center"/>
          </w:tcPr>
          <w:p>
            <w:pPr>
              <w:spacing w:line="280" w:lineRule="exact"/>
              <w:jc w:val="center"/>
              <w:rPr>
                <w:rFonts w:ascii="宋体" w:cs="宋体"/>
                <w:sz w:val="18"/>
                <w:szCs w:val="18"/>
              </w:rPr>
            </w:pPr>
            <w:r>
              <w:rPr>
                <w:rFonts w:hint="eastAsia" w:ascii="宋体" w:hAnsi="宋体" w:cs="宋体"/>
                <w:kern w:val="0"/>
                <w:sz w:val="18"/>
                <w:szCs w:val="18"/>
              </w:rPr>
              <w:t>坐落</w:t>
            </w:r>
          </w:p>
        </w:tc>
        <w:tc>
          <w:tcPr>
            <w:tcW w:w="7229" w:type="dxa"/>
            <w:vAlign w:val="center"/>
          </w:tcPr>
          <w:p>
            <w:pPr>
              <w:spacing w:line="280" w:lineRule="exact"/>
              <w:jc w:val="center"/>
              <w:rPr>
                <w:rFonts w:ascii="宋体" w:cs="宋体"/>
                <w:sz w:val="18"/>
                <w:szCs w:val="18"/>
              </w:rPr>
            </w:pPr>
            <w:r>
              <w:rPr>
                <w:rFonts w:hint="eastAsia" w:cs="宋体" w:asciiTheme="minorEastAsia" w:hAnsiTheme="minorEastAsia" w:eastAsiaTheme="minorEastAsia"/>
                <w:sz w:val="18"/>
                <w:szCs w:val="18"/>
              </w:rPr>
              <w:t>陆良县中枢街道春光东路延长线爨乡印象三期F-9号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方位</w:t>
            </w:r>
          </w:p>
        </w:tc>
        <w:tc>
          <w:tcPr>
            <w:tcW w:w="7229" w:type="dxa"/>
            <w:vAlign w:val="center"/>
          </w:tcPr>
          <w:p>
            <w:pPr>
              <w:pStyle w:val="18"/>
              <w:widowControl/>
              <w:spacing w:line="360" w:lineRule="exact"/>
              <w:jc w:val="center"/>
              <w:rPr>
                <w:rFonts w:ascii="宋体" w:cs="宋体"/>
                <w:sz w:val="18"/>
                <w:szCs w:val="18"/>
              </w:rPr>
            </w:pPr>
            <w:r>
              <w:rPr>
                <w:rFonts w:hint="eastAsia" w:ascii="宋体" w:hAnsi="宋体" w:cs="宋体"/>
                <w:sz w:val="18"/>
                <w:szCs w:val="18"/>
              </w:rPr>
              <w:t>估价对象位于陆良县城</w:t>
            </w:r>
            <w:r>
              <w:rPr>
                <w:rFonts w:hint="eastAsia" w:cs="仿宋_GB2312" w:asciiTheme="minorEastAsia" w:hAnsiTheme="minorEastAsia" w:eastAsiaTheme="minorEastAsia"/>
                <w:bCs/>
                <w:sz w:val="18"/>
                <w:szCs w:val="18"/>
              </w:rPr>
              <w:t>东</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jc w:val="center"/>
              <w:rPr>
                <w:rFonts w:ascii="宋体" w:cs="宋体"/>
                <w:sz w:val="18"/>
                <w:szCs w:val="18"/>
              </w:rPr>
            </w:pPr>
            <w:r>
              <w:rPr>
                <w:rFonts w:hint="eastAsia" w:ascii="宋体" w:hAnsi="宋体" w:cs="宋体"/>
                <w:kern w:val="0"/>
                <w:sz w:val="18"/>
                <w:szCs w:val="18"/>
              </w:rPr>
              <w:t>距离</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距陆良县人民政府约1.2公里，距陆良县汽车客运站约1.9公里。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朝向</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朝向西北。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楼层</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建筑物总层数为2层，估价对象位于1-2层。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临路状况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两面临街，北临春光路，西临内部路</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80" w:lineRule="exact"/>
              <w:jc w:val="center"/>
              <w:rPr>
                <w:rFonts w:ascii="宋体" w:cs="宋体"/>
                <w:sz w:val="18"/>
                <w:szCs w:val="18"/>
              </w:rPr>
            </w:pPr>
            <w:r>
              <w:rPr>
                <w:rFonts w:hint="eastAsia" w:ascii="宋体" w:hAnsi="宋体" w:cs="宋体"/>
                <w:sz w:val="18"/>
                <w:szCs w:val="18"/>
              </w:rPr>
              <w:t>交通</w:t>
            </w: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道路状况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区域内有</w:t>
            </w:r>
            <w:r>
              <w:rPr>
                <w:rFonts w:hint="eastAsia" w:cs="宋体" w:asciiTheme="minorEastAsia" w:hAnsiTheme="minorEastAsia" w:eastAsiaTheme="minorEastAsia"/>
                <w:sz w:val="18"/>
                <w:szCs w:val="18"/>
              </w:rPr>
              <w:t>春光东路</w:t>
            </w:r>
            <w:r>
              <w:rPr>
                <w:rFonts w:hint="eastAsia" w:ascii="宋体" w:hAnsi="宋体" w:cs="宋体"/>
                <w:kern w:val="0"/>
                <w:sz w:val="18"/>
                <w:szCs w:val="18"/>
              </w:rPr>
              <w:t>、西响线等主干道，路网密度大，道路通达度较好</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交通状况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附近有1路公交车站及出租车通行通过，距</w:t>
            </w:r>
            <w:r>
              <w:rPr>
                <w:rFonts w:hint="eastAsia" w:ascii="宋体" w:hAnsi="宋体" w:cs="宋体"/>
                <w:sz w:val="18"/>
                <w:szCs w:val="18"/>
              </w:rPr>
              <w:t>客运站约1.9公里</w:t>
            </w:r>
            <w:r>
              <w:rPr>
                <w:rFonts w:hint="eastAsia" w:ascii="宋体" w:hAnsi="宋体" w:cs="宋体"/>
                <w:kern w:val="0"/>
                <w:sz w:val="18"/>
                <w:szCs w:val="18"/>
              </w:rPr>
              <w:t>，对内外交通较便捷。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交通管制</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区域内无单行道、车辆限行等交通管制状况，交通畅通。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停车状况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所在区域有停车场，周边有沿街占道临时停车位，停车较方便。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40" w:lineRule="exact"/>
              <w:jc w:val="center"/>
              <w:rPr>
                <w:rFonts w:ascii="宋体" w:cs="宋体"/>
                <w:sz w:val="18"/>
                <w:szCs w:val="18"/>
              </w:rPr>
            </w:pPr>
            <w:r>
              <w:rPr>
                <w:rFonts w:hint="eastAsia" w:ascii="宋体" w:hAnsi="宋体" w:cs="宋体"/>
                <w:kern w:val="0"/>
                <w:sz w:val="18"/>
                <w:szCs w:val="18"/>
              </w:rPr>
              <w:t>外部配套设施</w:t>
            </w:r>
          </w:p>
        </w:tc>
        <w:tc>
          <w:tcPr>
            <w:tcW w:w="1843" w:type="dxa"/>
            <w:gridSpan w:val="2"/>
            <w:vAlign w:val="center"/>
          </w:tcPr>
          <w:p>
            <w:pPr>
              <w:spacing w:line="280" w:lineRule="exact"/>
              <w:jc w:val="center"/>
              <w:rPr>
                <w:rFonts w:ascii="宋体" w:cs="宋体"/>
                <w:sz w:val="18"/>
                <w:szCs w:val="18"/>
              </w:rPr>
            </w:pPr>
            <w:r>
              <w:rPr>
                <w:rFonts w:hint="eastAsia" w:ascii="宋体" w:hAnsi="宋体" w:cs="宋体"/>
                <w:kern w:val="0"/>
                <w:sz w:val="18"/>
                <w:szCs w:val="18"/>
              </w:rPr>
              <w:t>城市基础设施</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所在区域已达到了“五通一平”，上水、下水、电、路，通讯宗地内场平，基础设施完备。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67" w:type="dxa"/>
            <w:vMerge w:val="continue"/>
            <w:vAlign w:val="center"/>
          </w:tcPr>
          <w:p>
            <w:pPr>
              <w:spacing w:line="280" w:lineRule="exact"/>
              <w:jc w:val="center"/>
              <w:rPr>
                <w:rFonts w:ascii="宋体" w:cs="宋体"/>
                <w:sz w:val="18"/>
                <w:szCs w:val="18"/>
              </w:rPr>
            </w:pPr>
          </w:p>
        </w:tc>
        <w:tc>
          <w:tcPr>
            <w:tcW w:w="709" w:type="dxa"/>
            <w:vMerge w:val="restart"/>
            <w:vAlign w:val="center"/>
          </w:tcPr>
          <w:p>
            <w:pPr>
              <w:spacing w:line="200" w:lineRule="exact"/>
              <w:jc w:val="center"/>
              <w:rPr>
                <w:rFonts w:ascii="宋体" w:cs="宋体"/>
                <w:sz w:val="18"/>
                <w:szCs w:val="18"/>
              </w:rPr>
            </w:pPr>
            <w:r>
              <w:rPr>
                <w:rFonts w:hint="eastAsia" w:ascii="宋体" w:hAnsi="宋体" w:cs="宋体"/>
                <w:kern w:val="0"/>
                <w:sz w:val="18"/>
                <w:szCs w:val="18"/>
              </w:rPr>
              <w:t>公共服务设施</w:t>
            </w:r>
          </w:p>
        </w:tc>
        <w:tc>
          <w:tcPr>
            <w:tcW w:w="1134" w:type="dxa"/>
            <w:vAlign w:val="center"/>
          </w:tcPr>
          <w:p>
            <w:pPr>
              <w:widowControl/>
              <w:spacing w:line="280" w:lineRule="exact"/>
              <w:jc w:val="center"/>
              <w:rPr>
                <w:rFonts w:ascii="宋体" w:cs="宋体"/>
                <w:sz w:val="18"/>
                <w:szCs w:val="18"/>
              </w:rPr>
            </w:pPr>
            <w:r>
              <w:rPr>
                <w:rFonts w:hint="eastAsia" w:ascii="宋体" w:hAnsi="宋体" w:cs="宋体"/>
                <w:kern w:val="0"/>
                <w:sz w:val="18"/>
                <w:szCs w:val="18"/>
              </w:rPr>
              <w:t>银教卫情况</w:t>
            </w:r>
          </w:p>
        </w:tc>
        <w:tc>
          <w:tcPr>
            <w:tcW w:w="7229" w:type="dxa"/>
            <w:vAlign w:val="center"/>
          </w:tcPr>
          <w:p>
            <w:pPr>
              <w:spacing w:line="240" w:lineRule="exact"/>
              <w:jc w:val="center"/>
              <w:rPr>
                <w:rFonts w:ascii="宋体" w:cs="宋体"/>
                <w:sz w:val="18"/>
                <w:szCs w:val="18"/>
              </w:rPr>
            </w:pPr>
            <w:r>
              <w:rPr>
                <w:rFonts w:hint="eastAsia" w:ascii="宋体" w:cs="宋体"/>
                <w:sz w:val="18"/>
                <w:szCs w:val="18"/>
              </w:rPr>
              <w:t>附近有信用社、邮储银行等营业网点；附近有中枢街道第一中学、陆良县一中蓉峰中学等；附近有陆良县人民医院、陆良县中医医院等。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67" w:type="dxa"/>
            <w:vMerge w:val="continue"/>
            <w:vAlign w:val="center"/>
          </w:tcPr>
          <w:p>
            <w:pPr>
              <w:spacing w:line="280" w:lineRule="exact"/>
              <w:jc w:val="center"/>
              <w:rPr>
                <w:rFonts w:ascii="宋体" w:cs="宋体"/>
                <w:sz w:val="18"/>
                <w:szCs w:val="18"/>
              </w:rPr>
            </w:pPr>
          </w:p>
        </w:tc>
        <w:tc>
          <w:tcPr>
            <w:tcW w:w="709" w:type="dxa"/>
            <w:vMerge w:val="continue"/>
            <w:vAlign w:val="center"/>
          </w:tcPr>
          <w:p>
            <w:pPr>
              <w:spacing w:line="280" w:lineRule="exact"/>
              <w:jc w:val="center"/>
              <w:rPr>
                <w:rFonts w:ascii="宋体" w:cs="宋体"/>
                <w:sz w:val="18"/>
                <w:szCs w:val="18"/>
              </w:rPr>
            </w:pPr>
          </w:p>
        </w:tc>
        <w:tc>
          <w:tcPr>
            <w:tcW w:w="1134" w:type="dxa"/>
            <w:vAlign w:val="center"/>
          </w:tcPr>
          <w:p>
            <w:pPr>
              <w:widowControl/>
              <w:spacing w:line="280" w:lineRule="exact"/>
              <w:jc w:val="center"/>
              <w:rPr>
                <w:rFonts w:ascii="宋体" w:cs="宋体"/>
                <w:sz w:val="18"/>
                <w:szCs w:val="18"/>
              </w:rPr>
            </w:pPr>
            <w:r>
              <w:rPr>
                <w:rFonts w:hint="eastAsia" w:ascii="宋体" w:hAnsi="宋体" w:cs="宋体"/>
                <w:kern w:val="0"/>
                <w:sz w:val="18"/>
                <w:szCs w:val="18"/>
              </w:rPr>
              <w:t>休闲娱乐购物</w:t>
            </w:r>
          </w:p>
        </w:tc>
        <w:tc>
          <w:tcPr>
            <w:tcW w:w="7229" w:type="dxa"/>
            <w:vAlign w:val="center"/>
          </w:tcPr>
          <w:p>
            <w:pPr>
              <w:spacing w:line="240" w:lineRule="exact"/>
              <w:jc w:val="center"/>
              <w:rPr>
                <w:rFonts w:ascii="宋体" w:cs="宋体"/>
                <w:sz w:val="18"/>
                <w:szCs w:val="18"/>
              </w:rPr>
            </w:pPr>
            <w:r>
              <w:rPr>
                <w:rFonts w:hint="eastAsia" w:ascii="宋体" w:hAnsi="宋体" w:cs="宋体"/>
                <w:sz w:val="18"/>
                <w:szCs w:val="18"/>
              </w:rPr>
              <w:t>附近有陆良县滨江公园、温州商贸城标准化农贸市场、酒店、便利超市等</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00" w:lineRule="exact"/>
              <w:jc w:val="center"/>
              <w:rPr>
                <w:rFonts w:ascii="宋体" w:cs="宋体"/>
                <w:sz w:val="18"/>
                <w:szCs w:val="18"/>
              </w:rPr>
            </w:pPr>
            <w:r>
              <w:rPr>
                <w:rFonts w:hint="eastAsia" w:ascii="宋体" w:hAnsi="宋体" w:cs="宋体"/>
                <w:kern w:val="0"/>
                <w:sz w:val="18"/>
                <w:szCs w:val="18"/>
              </w:rPr>
              <w:t>周围环境和景观</w:t>
            </w: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自然环境</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区域内街道整洁，绿化率一般，无大气、水文等污染，环境相对安静；区域内沿街绿化较好，无自然景观。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人文环境</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所在区域居民以经商、自由职业者为主，治安状况良好。相邻房地产以商业、住宅等用途为主，区域内店铺林立，人流量一般，商业繁华度一般，居住密度一般。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住宅聚集度</w:t>
            </w:r>
          </w:p>
        </w:tc>
        <w:tc>
          <w:tcPr>
            <w:tcW w:w="7229" w:type="dxa"/>
            <w:vAlign w:val="center"/>
          </w:tcPr>
          <w:p>
            <w:pPr>
              <w:spacing w:line="280" w:lineRule="exact"/>
              <w:jc w:val="center"/>
              <w:rPr>
                <w:rFonts w:ascii="宋体" w:cs="宋体"/>
                <w:sz w:val="18"/>
                <w:szCs w:val="18"/>
              </w:rPr>
            </w:pPr>
            <w:r>
              <w:rPr>
                <w:rFonts w:ascii="宋体" w:hAnsi="宋体" w:cs="宋体"/>
                <w:kern w:val="0"/>
                <w:sz w:val="18"/>
                <w:szCs w:val="18"/>
              </w:rPr>
              <w:t>区域</w:t>
            </w:r>
            <w:r>
              <w:rPr>
                <w:rFonts w:hint="eastAsia" w:ascii="宋体" w:hAnsi="宋体" w:cs="宋体"/>
                <w:kern w:val="0"/>
                <w:sz w:val="18"/>
                <w:szCs w:val="18"/>
              </w:rPr>
              <w:t>内</w:t>
            </w:r>
            <w:r>
              <w:rPr>
                <w:rFonts w:ascii="宋体" w:hAnsi="宋体" w:cs="宋体"/>
                <w:kern w:val="0"/>
                <w:sz w:val="18"/>
                <w:szCs w:val="18"/>
              </w:rPr>
              <w:t>分布</w:t>
            </w:r>
            <w:r>
              <w:rPr>
                <w:rFonts w:hint="eastAsia" w:ascii="宋体" w:hAnsi="宋体" w:cs="宋体"/>
                <w:kern w:val="0"/>
                <w:sz w:val="18"/>
                <w:szCs w:val="18"/>
              </w:rPr>
              <w:t>较多</w:t>
            </w:r>
            <w:r>
              <w:rPr>
                <w:rFonts w:ascii="宋体" w:hAnsi="宋体" w:cs="宋体"/>
                <w:kern w:val="0"/>
                <w:sz w:val="18"/>
                <w:szCs w:val="18"/>
              </w:rPr>
              <w:t>中档楼盘，如</w:t>
            </w:r>
            <w:r>
              <w:rPr>
                <w:rFonts w:hint="eastAsia" w:ascii="宋体" w:hAnsi="宋体" w:cs="宋体"/>
                <w:kern w:val="0"/>
                <w:sz w:val="18"/>
                <w:szCs w:val="18"/>
              </w:rPr>
              <w:t>爨乡印象1至7期、明都东方小区</w:t>
            </w:r>
            <w:r>
              <w:rPr>
                <w:rFonts w:ascii="宋体" w:hAnsi="宋体" w:cs="宋体"/>
                <w:kern w:val="0"/>
                <w:sz w:val="18"/>
                <w:szCs w:val="18"/>
              </w:rPr>
              <w:t>等，</w:t>
            </w:r>
            <w:r>
              <w:rPr>
                <w:rFonts w:hint="eastAsia" w:ascii="宋体" w:hAnsi="宋体" w:cs="宋体"/>
                <w:kern w:val="0"/>
                <w:sz w:val="18"/>
                <w:szCs w:val="18"/>
              </w:rPr>
              <w:t>住宅聚集度较高、</w:t>
            </w:r>
            <w:r>
              <w:rPr>
                <w:rFonts w:ascii="宋体" w:hAnsi="宋体" w:cs="宋体"/>
                <w:kern w:val="0"/>
                <w:sz w:val="18"/>
                <w:szCs w:val="18"/>
              </w:rPr>
              <w:t>利于房地产的保值增值</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gridSpan w:val="3"/>
            <w:vAlign w:val="center"/>
          </w:tcPr>
          <w:p>
            <w:pPr>
              <w:spacing w:line="280" w:lineRule="exact"/>
              <w:jc w:val="center"/>
              <w:rPr>
                <w:rFonts w:ascii="宋体" w:cs="宋体"/>
                <w:sz w:val="18"/>
                <w:szCs w:val="18"/>
              </w:rPr>
            </w:pPr>
            <w:r>
              <w:rPr>
                <w:rFonts w:hint="eastAsia" w:ascii="宋体" w:hAnsi="宋体" w:cs="宋体"/>
                <w:kern w:val="0"/>
                <w:sz w:val="18"/>
                <w:szCs w:val="18"/>
              </w:rPr>
              <w:t>未来变化趋势</w:t>
            </w:r>
          </w:p>
        </w:tc>
        <w:tc>
          <w:tcPr>
            <w:tcW w:w="7229" w:type="dxa"/>
            <w:vAlign w:val="center"/>
          </w:tcPr>
          <w:p>
            <w:pPr>
              <w:spacing w:line="280" w:lineRule="exact"/>
              <w:jc w:val="center"/>
              <w:rPr>
                <w:rFonts w:ascii="宋体" w:cs="宋体"/>
                <w:sz w:val="18"/>
                <w:szCs w:val="18"/>
              </w:rPr>
            </w:pPr>
            <w:r>
              <w:rPr>
                <w:rFonts w:ascii="宋体" w:hAnsi="宋体" w:cs="宋体"/>
                <w:kern w:val="0"/>
                <w:sz w:val="18"/>
                <w:szCs w:val="18"/>
              </w:rPr>
              <w:t>该区域目前周边主要为</w:t>
            </w:r>
            <w:r>
              <w:rPr>
                <w:rFonts w:hint="eastAsia" w:ascii="宋体" w:hAnsi="宋体" w:cs="宋体"/>
                <w:kern w:val="0"/>
                <w:sz w:val="18"/>
                <w:szCs w:val="18"/>
              </w:rPr>
              <w:t>居住、商业</w:t>
            </w:r>
            <w:r>
              <w:rPr>
                <w:rFonts w:ascii="宋体" w:hAnsi="宋体" w:cs="宋体"/>
                <w:kern w:val="0"/>
                <w:sz w:val="18"/>
                <w:szCs w:val="18"/>
              </w:rPr>
              <w:t>区，人流量</w:t>
            </w:r>
            <w:r>
              <w:rPr>
                <w:rFonts w:hint="eastAsia" w:ascii="宋体" w:hAnsi="宋体" w:cs="宋体"/>
                <w:kern w:val="0"/>
                <w:sz w:val="18"/>
                <w:szCs w:val="18"/>
              </w:rPr>
              <w:t>较大</w:t>
            </w:r>
            <w:r>
              <w:rPr>
                <w:rFonts w:ascii="宋体" w:hAnsi="宋体" w:cs="宋体"/>
                <w:kern w:val="0"/>
                <w:sz w:val="18"/>
                <w:szCs w:val="18"/>
              </w:rPr>
              <w:t>。目前区域暂未出台新的规划，基本维持现状，总体氛围基本不会有较大的改变</w:t>
            </w:r>
            <w:r>
              <w:rPr>
                <w:rFonts w:hint="eastAsia" w:ascii="宋体" w:hAnsi="宋体" w:cs="宋体"/>
                <w:kern w:val="0"/>
                <w:sz w:val="18"/>
                <w:szCs w:val="18"/>
              </w:rPr>
              <w:t>。</w:t>
            </w:r>
          </w:p>
        </w:tc>
      </w:tr>
    </w:tbl>
    <w:p>
      <w:pPr>
        <w:spacing w:line="560" w:lineRule="exact"/>
        <w:rPr>
          <w:sz w:val="28"/>
          <w:szCs w:val="28"/>
        </w:rPr>
      </w:pPr>
      <w:r>
        <w:rPr>
          <w:rFonts w:hint="eastAsia"/>
          <w:sz w:val="28"/>
          <w:szCs w:val="28"/>
        </w:rPr>
        <w:t xml:space="preserve">  五、价值时点</w:t>
      </w:r>
      <w:bookmarkEnd w:id="35"/>
      <w:bookmarkEnd w:id="36"/>
      <w:bookmarkEnd w:id="37"/>
    </w:p>
    <w:p>
      <w:pPr>
        <w:spacing w:line="600" w:lineRule="exact"/>
        <w:ind w:left="1" w:firstLine="594" w:firstLineChars="200"/>
        <w:textAlignment w:val="center"/>
        <w:rPr>
          <w:rFonts w:ascii="宋体" w:hAnsi="宋体" w:cs="仿宋_GB2312"/>
          <w:sz w:val="28"/>
          <w:szCs w:val="28"/>
        </w:rPr>
      </w:pPr>
      <w:r>
        <w:rPr>
          <w:rFonts w:hint="eastAsia" w:ascii="宋体" w:hAnsi="宋体" w:cs="仿宋_GB2312"/>
          <w:sz w:val="28"/>
          <w:szCs w:val="28"/>
        </w:rPr>
        <w:t>2022年10月11日（估价师实地勘察估价对象之日）</w:t>
      </w:r>
    </w:p>
    <w:p>
      <w:pPr>
        <w:pStyle w:val="4"/>
        <w:spacing w:line="600" w:lineRule="exact"/>
        <w:ind w:left="227" w:right="227"/>
      </w:pPr>
      <w:bookmarkStart w:id="38" w:name="_Toc18236179"/>
      <w:bookmarkStart w:id="39" w:name="_Toc408"/>
      <w:bookmarkStart w:id="40" w:name="_Toc19110971"/>
      <w:bookmarkStart w:id="41" w:name="_Toc19110112"/>
      <w:r>
        <w:rPr>
          <w:rFonts w:hint="eastAsia"/>
          <w:spacing w:val="9"/>
        </w:rPr>
        <w:t>六、</w:t>
      </w:r>
      <w:r>
        <w:rPr>
          <w:rFonts w:hint="eastAsia"/>
        </w:rPr>
        <w:t>价值类型</w:t>
      </w:r>
      <w:bookmarkEnd w:id="38"/>
      <w:bookmarkEnd w:id="39"/>
      <w:bookmarkEnd w:id="40"/>
      <w:bookmarkEnd w:id="41"/>
    </w:p>
    <w:p>
      <w:pPr>
        <w:spacing w:line="560" w:lineRule="exact"/>
        <w:ind w:firstLine="426"/>
        <w:rPr>
          <w:rFonts w:ascii="宋体"/>
          <w:bCs/>
          <w:sz w:val="28"/>
        </w:rPr>
      </w:pPr>
      <w:r>
        <w:rPr>
          <w:rFonts w:hint="eastAsia" w:ascii="宋体" w:hAnsi="宋体"/>
          <w:bCs/>
          <w:sz w:val="28"/>
        </w:rPr>
        <w:t>（一）价值类型名称</w:t>
      </w:r>
    </w:p>
    <w:p>
      <w:pPr>
        <w:spacing w:line="560" w:lineRule="exact"/>
        <w:ind w:firstLine="564" w:firstLineChars="190"/>
        <w:rPr>
          <w:rFonts w:ascii="宋体"/>
          <w:bCs/>
          <w:sz w:val="28"/>
        </w:rPr>
      </w:pPr>
      <w:r>
        <w:rPr>
          <w:rFonts w:hint="eastAsia" w:ascii="宋体" w:hAnsi="宋体"/>
          <w:bCs/>
          <w:sz w:val="28"/>
        </w:rPr>
        <w:t>本次估价的价值类型为市场价值。</w:t>
      </w:r>
    </w:p>
    <w:p>
      <w:pPr>
        <w:spacing w:line="560" w:lineRule="exact"/>
        <w:ind w:firstLine="426"/>
        <w:rPr>
          <w:rFonts w:ascii="宋体" w:hAnsi="宋体"/>
          <w:bCs/>
          <w:sz w:val="28"/>
        </w:rPr>
      </w:pPr>
      <w:r>
        <w:rPr>
          <w:rFonts w:hint="eastAsia" w:ascii="宋体" w:hAnsi="宋体"/>
          <w:bCs/>
          <w:sz w:val="28"/>
        </w:rPr>
        <w:t>（二）价值定义</w:t>
      </w:r>
    </w:p>
    <w:p>
      <w:pPr>
        <w:spacing w:line="560" w:lineRule="exact"/>
        <w:ind w:right="122" w:rightChars="54" w:firstLine="567"/>
        <w:rPr>
          <w:rFonts w:ascii="宋体"/>
          <w:bCs/>
          <w:sz w:val="28"/>
        </w:rPr>
      </w:pPr>
      <w:r>
        <w:rPr>
          <w:rFonts w:hint="eastAsia" w:ascii="宋体" w:hAnsi="宋体"/>
          <w:bCs/>
          <w:sz w:val="28"/>
        </w:rPr>
        <w:t>市场价值是指估价对象经适当营销后，由熟悉情况、谨慎行事且不受强迫的交易双方，以公平交易方式在价值时点自愿进行交易的金额。</w:t>
      </w:r>
    </w:p>
    <w:p>
      <w:pPr>
        <w:spacing w:line="560" w:lineRule="exact"/>
        <w:ind w:firstLine="424" w:firstLineChars="143"/>
        <w:rPr>
          <w:rFonts w:ascii="宋体"/>
          <w:bCs/>
          <w:sz w:val="28"/>
        </w:rPr>
      </w:pPr>
      <w:r>
        <w:rPr>
          <w:rFonts w:hint="eastAsia" w:ascii="宋体" w:hAnsi="宋体"/>
          <w:bCs/>
          <w:sz w:val="28"/>
        </w:rPr>
        <w:t>（三）价值内涵</w:t>
      </w:r>
    </w:p>
    <w:p>
      <w:pPr>
        <w:spacing w:line="560" w:lineRule="exact"/>
        <w:ind w:right="122" w:rightChars="54" w:firstLine="564" w:firstLineChars="190"/>
        <w:textAlignment w:val="center"/>
        <w:rPr>
          <w:rFonts w:ascii="宋体" w:hAnsi="宋体" w:cs="仿宋_GB2312"/>
          <w:sz w:val="28"/>
        </w:rPr>
      </w:pPr>
      <w:r>
        <w:rPr>
          <w:rFonts w:hint="eastAsia" w:ascii="宋体" w:hAnsi="宋体"/>
          <w:bCs/>
          <w:sz w:val="28"/>
        </w:rPr>
        <w:t>价值内涵是估价对象在价值时点，满足本次估价假设和限制条件下包括建筑物、土地使用权、室内二次装修及公共配套设施，不包括动产、债权债务、特许经营权等其他财产或权益；付款方式是一次性付清房价款（包括首付款及按揭贷款）；房屋面积内涵是建筑面积；开发程度为现房，具备“五通一平”；币种为人民币</w:t>
      </w:r>
      <w:r>
        <w:rPr>
          <w:rFonts w:hint="eastAsia" w:ascii="宋体" w:hAnsi="宋体" w:cs="仿宋_GB2312"/>
          <w:sz w:val="28"/>
        </w:rPr>
        <w:t>。</w:t>
      </w:r>
    </w:p>
    <w:p>
      <w:pPr>
        <w:pStyle w:val="4"/>
        <w:spacing w:line="560" w:lineRule="exact"/>
        <w:ind w:left="227" w:right="227"/>
        <w:rPr>
          <w:b/>
        </w:rPr>
      </w:pPr>
      <w:bookmarkStart w:id="42" w:name="_Toc19110113"/>
      <w:bookmarkStart w:id="43" w:name="_Toc29736"/>
      <w:bookmarkStart w:id="44" w:name="_Toc19110972"/>
      <w:bookmarkStart w:id="45" w:name="_Toc18236180"/>
      <w:r>
        <w:rPr>
          <w:rFonts w:hint="eastAsia"/>
        </w:rPr>
        <w:t>七、估价原则</w:t>
      </w:r>
      <w:bookmarkEnd w:id="42"/>
      <w:bookmarkEnd w:id="43"/>
      <w:bookmarkEnd w:id="44"/>
      <w:bookmarkEnd w:id="45"/>
    </w:p>
    <w:p>
      <w:pPr>
        <w:spacing w:line="560" w:lineRule="exact"/>
        <w:ind w:right="-18" w:rightChars="-8" w:firstLine="564" w:firstLineChars="190"/>
        <w:rPr>
          <w:rFonts w:ascii="宋体" w:hAnsi="宋体" w:cs="仿宋_GB2312"/>
          <w:sz w:val="28"/>
        </w:rPr>
      </w:pPr>
      <w:r>
        <w:rPr>
          <w:rFonts w:hint="eastAsia" w:ascii="宋体" w:hAnsi="宋体" w:cs="仿宋_GB2312"/>
          <w:sz w:val="28"/>
        </w:rPr>
        <w:t>本次评估除应遵循市场价值评估的原则，即应遵循独立、客观、公正原则；合法原则；价值时点原则；替代原则；最高最佳利用原则。</w:t>
      </w:r>
    </w:p>
    <w:p>
      <w:pPr>
        <w:spacing w:line="560" w:lineRule="exact"/>
        <w:ind w:right="263" w:rightChars="116" w:firstLine="564" w:firstLineChars="190"/>
        <w:rPr>
          <w:rFonts w:ascii="宋体" w:hAnsi="宋体" w:cs="仿宋_GB2312"/>
          <w:sz w:val="28"/>
        </w:rPr>
      </w:pPr>
      <w:r>
        <w:rPr>
          <w:rFonts w:hint="eastAsia" w:ascii="宋体" w:hAnsi="宋体" w:cs="仿宋_GB2312"/>
          <w:sz w:val="28"/>
        </w:rPr>
        <w:t>遵循不同估价原则的评估价值，应符合下列规定：</w:t>
      </w:r>
    </w:p>
    <w:p>
      <w:pPr>
        <w:spacing w:line="560" w:lineRule="exact"/>
        <w:ind w:right="-18" w:rightChars="-8" w:firstLine="564" w:firstLineChars="190"/>
        <w:rPr>
          <w:rFonts w:ascii="宋体" w:hAnsi="宋体" w:cs="仿宋_GB2312"/>
          <w:sz w:val="28"/>
        </w:rPr>
      </w:pPr>
      <w:r>
        <w:rPr>
          <w:rFonts w:hint="eastAsia" w:ascii="宋体" w:hAnsi="宋体" w:cs="仿宋_GB2312"/>
          <w:sz w:val="28"/>
        </w:rPr>
        <w:t>（一）遵循独立、客观、公正原则，评估价值应为对各方估价利害关系人均是公平合理的价值或价格。</w:t>
      </w:r>
    </w:p>
    <w:p>
      <w:pPr>
        <w:spacing w:line="560" w:lineRule="exact"/>
        <w:ind w:right="-18" w:rightChars="-8" w:firstLine="564" w:firstLineChars="190"/>
        <w:rPr>
          <w:rFonts w:ascii="宋体" w:hAnsi="宋体" w:cs="仿宋_GB2312"/>
          <w:sz w:val="28"/>
        </w:rPr>
      </w:pPr>
      <w:r>
        <w:rPr>
          <w:rFonts w:hint="eastAsia" w:ascii="宋体" w:hAnsi="宋体" w:cs="仿宋_GB2312"/>
          <w:sz w:val="28"/>
        </w:rPr>
        <w:t>（二）遵循合法原则，评估价值应为在依法判定的估价对象状况下的价值或价格。</w:t>
      </w:r>
    </w:p>
    <w:p>
      <w:pPr>
        <w:spacing w:line="560" w:lineRule="exact"/>
        <w:ind w:right="-18" w:rightChars="-8" w:firstLine="564" w:firstLineChars="190"/>
        <w:rPr>
          <w:rFonts w:ascii="宋体" w:hAnsi="宋体" w:cs="仿宋_GB2312"/>
          <w:sz w:val="28"/>
        </w:rPr>
      </w:pPr>
      <w:r>
        <w:rPr>
          <w:rFonts w:hint="eastAsia" w:ascii="宋体" w:hAnsi="宋体" w:cs="仿宋_GB2312"/>
          <w:sz w:val="28"/>
        </w:rPr>
        <w:t>（三）遵循价值时点原则，评估价值应为在根据估价目的确定的某一特定时间的价值或价格。</w:t>
      </w:r>
    </w:p>
    <w:p>
      <w:pPr>
        <w:spacing w:line="560" w:lineRule="exact"/>
        <w:ind w:firstLine="564" w:firstLineChars="190"/>
        <w:rPr>
          <w:rFonts w:ascii="宋体" w:hAnsi="宋体" w:cs="仿宋_GB2312"/>
          <w:sz w:val="28"/>
        </w:rPr>
      </w:pPr>
      <w:r>
        <w:rPr>
          <w:rFonts w:hint="eastAsia" w:ascii="宋体" w:hAnsi="宋体" w:cs="仿宋_GB2312"/>
          <w:sz w:val="28"/>
        </w:rPr>
        <w:t>（四）遵循替代原则，评估价值与估价对象的类似房地产在同等条件下的价值或价格偏差应在合理范围内。</w:t>
      </w:r>
    </w:p>
    <w:p>
      <w:pPr>
        <w:spacing w:line="560" w:lineRule="exact"/>
        <w:ind w:left="1" w:firstLine="594" w:firstLineChars="200"/>
        <w:textAlignment w:val="center"/>
        <w:rPr>
          <w:rFonts w:ascii="宋体" w:hAnsi="宋体" w:cs="仿宋_GB2312"/>
          <w:sz w:val="28"/>
        </w:rPr>
      </w:pPr>
      <w:r>
        <w:rPr>
          <w:rFonts w:hint="eastAsia" w:ascii="宋体" w:hAnsi="宋体" w:cs="仿宋_GB2312"/>
          <w:sz w:val="28"/>
        </w:rPr>
        <w:t>（五）遵循最高最佳利用原则，评估价值应为在估价对象最高最佳利用状况下的价值或价格。</w:t>
      </w:r>
    </w:p>
    <w:p>
      <w:pPr>
        <w:pStyle w:val="4"/>
        <w:spacing w:line="560" w:lineRule="exact"/>
        <w:ind w:left="227" w:right="227"/>
      </w:pPr>
      <w:bookmarkStart w:id="46" w:name="_Toc19110114"/>
      <w:bookmarkStart w:id="47" w:name="_Toc12014"/>
      <w:bookmarkStart w:id="48" w:name="_Toc19110973"/>
      <w:bookmarkStart w:id="49" w:name="_Toc18236181"/>
      <w:r>
        <w:rPr>
          <w:rFonts w:hint="eastAsia"/>
        </w:rPr>
        <w:t>八、估价依据</w:t>
      </w:r>
      <w:bookmarkEnd w:id="46"/>
      <w:bookmarkEnd w:id="47"/>
      <w:bookmarkEnd w:id="48"/>
      <w:bookmarkEnd w:id="49"/>
    </w:p>
    <w:p>
      <w:pPr>
        <w:spacing w:line="560" w:lineRule="exact"/>
        <w:ind w:left="1" w:firstLine="566"/>
        <w:textAlignment w:val="center"/>
        <w:rPr>
          <w:rFonts w:ascii="宋体" w:hAnsi="宋体" w:cs="仿宋_GB2312"/>
          <w:sz w:val="28"/>
        </w:rPr>
      </w:pPr>
      <w:r>
        <w:rPr>
          <w:rFonts w:hint="eastAsia" w:ascii="宋体" w:hAnsi="宋体" w:cs="仿宋_GB2312"/>
          <w:sz w:val="28"/>
        </w:rPr>
        <w:t>(一)有关法律、法规及文件依据</w:t>
      </w:r>
    </w:p>
    <w:p>
      <w:pPr>
        <w:spacing w:line="600" w:lineRule="exact"/>
        <w:ind w:firstLine="564" w:firstLineChars="19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《中华人民共和国民法典》（</w:t>
      </w:r>
      <w:r>
        <w:rPr>
          <w:rFonts w:ascii="宋体" w:hAnsi="宋体"/>
          <w:sz w:val="28"/>
        </w:rPr>
        <w:t>2</w:t>
      </w:r>
      <w:r>
        <w:rPr>
          <w:rFonts w:hint="eastAsia" w:ascii="宋体" w:hAnsi="宋体"/>
          <w:sz w:val="28"/>
        </w:rPr>
        <w:t>021年1月1日起施行</w:t>
      </w:r>
      <w:r>
        <w:rPr>
          <w:rFonts w:hint="eastAsia" w:ascii="宋体" w:hAnsi="宋体"/>
          <w:bCs/>
          <w:sz w:val="28"/>
        </w:rPr>
        <w:t>）；</w:t>
      </w:r>
    </w:p>
    <w:p>
      <w:pPr>
        <w:spacing w:line="600" w:lineRule="exact"/>
        <w:ind w:firstLine="564" w:firstLineChars="190"/>
        <w:rPr>
          <w:rFonts w:ascii="宋体"/>
          <w:bCs/>
          <w:sz w:val="28"/>
        </w:rPr>
      </w:pPr>
      <w:r>
        <w:rPr>
          <w:rFonts w:hint="eastAsia" w:ascii="宋体" w:hAnsi="宋体"/>
          <w:bCs/>
          <w:sz w:val="28"/>
        </w:rPr>
        <w:t>2. 《中华人民共和国城市房地产管理法》（2020年1月1日起施行）</w:t>
      </w:r>
      <w:r>
        <w:rPr>
          <w:rFonts w:hint="eastAsia" w:ascii="宋体" w:hAnsi="宋体"/>
          <w:sz w:val="28"/>
        </w:rPr>
        <w:t>；</w:t>
      </w:r>
    </w:p>
    <w:p>
      <w:pPr>
        <w:spacing w:line="600" w:lineRule="exact"/>
        <w:ind w:firstLine="564" w:firstLineChars="190"/>
        <w:rPr>
          <w:rFonts w:ascii="宋体"/>
          <w:bCs/>
          <w:sz w:val="28"/>
        </w:rPr>
      </w:pPr>
      <w:r>
        <w:rPr>
          <w:rFonts w:hint="eastAsia" w:ascii="宋体" w:hAnsi="宋体"/>
          <w:bCs/>
          <w:sz w:val="28"/>
        </w:rPr>
        <w:t>3.</w:t>
      </w:r>
      <w:r>
        <w:rPr>
          <w:rFonts w:hint="eastAsia" w:ascii="宋体" w:hAnsi="宋体"/>
          <w:sz w:val="28"/>
        </w:rPr>
        <w:t>《中华人民共和国土地管理法》（2020年1月1日起施行）；</w:t>
      </w:r>
    </w:p>
    <w:p>
      <w:pPr>
        <w:spacing w:line="600" w:lineRule="exact"/>
        <w:ind w:firstLine="564" w:firstLineChars="190"/>
        <w:rPr>
          <w:rFonts w:ascii="宋体" w:hAnsi="宋体"/>
          <w:bCs/>
          <w:sz w:val="28"/>
        </w:rPr>
      </w:pPr>
      <w:r>
        <w:rPr>
          <w:rFonts w:hint="eastAsia" w:ascii="宋体" w:hAnsi="宋体"/>
          <w:bCs/>
          <w:sz w:val="28"/>
        </w:rPr>
        <w:t>4.《中华人民共和国资产评估法》（</w:t>
      </w:r>
      <w:r>
        <w:rPr>
          <w:rFonts w:ascii="宋体" w:hAnsi="宋体"/>
          <w:sz w:val="28"/>
        </w:rPr>
        <w:t>2016</w:t>
      </w:r>
      <w:r>
        <w:rPr>
          <w:rFonts w:hint="eastAsia" w:ascii="宋体" w:hAnsi="宋体"/>
          <w:sz w:val="28"/>
        </w:rPr>
        <w:t>年</w:t>
      </w:r>
      <w:r>
        <w:rPr>
          <w:rFonts w:ascii="宋体" w:hAnsi="宋体"/>
          <w:sz w:val="28"/>
        </w:rPr>
        <w:t>12</w:t>
      </w:r>
      <w:r>
        <w:rPr>
          <w:rFonts w:hint="eastAsia" w:ascii="宋体" w:hAnsi="宋体"/>
          <w:sz w:val="28"/>
        </w:rPr>
        <w:t>月</w:t>
      </w:r>
      <w:r>
        <w:rPr>
          <w:rFonts w:ascii="宋体" w:hAnsi="宋体"/>
          <w:sz w:val="28"/>
        </w:rPr>
        <w:t>01</w:t>
      </w:r>
      <w:r>
        <w:rPr>
          <w:rFonts w:hint="eastAsia" w:ascii="宋体" w:hAnsi="宋体"/>
          <w:sz w:val="28"/>
        </w:rPr>
        <w:t>日实施</w:t>
      </w:r>
      <w:r>
        <w:rPr>
          <w:rFonts w:hint="eastAsia" w:ascii="宋体" w:hAnsi="宋体"/>
          <w:bCs/>
          <w:sz w:val="28"/>
        </w:rPr>
        <w:t>）；</w:t>
      </w:r>
    </w:p>
    <w:p>
      <w:pPr>
        <w:spacing w:line="600" w:lineRule="exact"/>
        <w:ind w:firstLine="564" w:firstLineChars="190"/>
        <w:rPr>
          <w:rFonts w:ascii="宋体" w:hAnsi="宋体"/>
          <w:bCs/>
          <w:sz w:val="28"/>
        </w:rPr>
      </w:pPr>
      <w:r>
        <w:rPr>
          <w:rFonts w:hint="eastAsia" w:ascii="宋体" w:hAnsi="宋体"/>
          <w:bCs/>
          <w:sz w:val="28"/>
        </w:rPr>
        <w:t>5. 《最高人民法院对外委托鉴定、评估、拍卖等工作管理规定》（2007年8月23日，法办发</w:t>
      </w:r>
      <w:r>
        <w:rPr>
          <w:rFonts w:ascii="宋体" w:hAnsi="宋体"/>
          <w:bCs/>
          <w:sz w:val="28"/>
        </w:rPr>
        <w:t>[2007]5</w:t>
      </w:r>
      <w:r>
        <w:rPr>
          <w:rFonts w:hint="eastAsia" w:ascii="宋体" w:hAnsi="宋体"/>
          <w:bCs/>
          <w:sz w:val="28"/>
        </w:rPr>
        <w:t>号）；</w:t>
      </w:r>
    </w:p>
    <w:p>
      <w:pPr>
        <w:spacing w:line="600" w:lineRule="exact"/>
        <w:ind w:firstLine="564" w:firstLineChars="190"/>
        <w:rPr>
          <w:rFonts w:ascii="宋体" w:hAnsi="宋体"/>
          <w:bCs/>
          <w:sz w:val="28"/>
        </w:rPr>
      </w:pPr>
      <w:r>
        <w:rPr>
          <w:rFonts w:hint="eastAsia" w:ascii="宋体" w:hAnsi="宋体"/>
          <w:bCs/>
          <w:sz w:val="28"/>
        </w:rPr>
        <w:t>6.《最高人民法院关于人民法院民事执行中查封、扣押、冻结财产的规定》（2020修正）；</w:t>
      </w:r>
    </w:p>
    <w:p>
      <w:pPr>
        <w:spacing w:line="600" w:lineRule="exact"/>
        <w:ind w:firstLine="564" w:firstLineChars="190"/>
        <w:rPr>
          <w:rFonts w:ascii="宋体" w:hAnsi="宋体"/>
          <w:bCs/>
          <w:sz w:val="28"/>
        </w:rPr>
      </w:pPr>
      <w:r>
        <w:rPr>
          <w:rFonts w:hint="eastAsia" w:ascii="宋体" w:hAnsi="宋体"/>
          <w:bCs/>
          <w:sz w:val="28"/>
        </w:rPr>
        <w:t>7.《最高人民法院关于人民法院民事执行中拍卖、变卖财产的规定》（2020修正）；</w:t>
      </w:r>
    </w:p>
    <w:p>
      <w:pPr>
        <w:spacing w:line="600" w:lineRule="exact"/>
        <w:ind w:firstLine="564" w:firstLineChars="190"/>
        <w:rPr>
          <w:rFonts w:ascii="宋体" w:hAnsi="宋体"/>
          <w:bCs/>
          <w:sz w:val="28"/>
        </w:rPr>
      </w:pPr>
      <w:r>
        <w:rPr>
          <w:rFonts w:hint="eastAsia" w:ascii="宋体" w:hAnsi="宋体"/>
          <w:bCs/>
          <w:sz w:val="28"/>
        </w:rPr>
        <w:t>8.《</w:t>
      </w:r>
      <w:r>
        <w:rPr>
          <w:rFonts w:hint="eastAsia" w:ascii="宋体" w:hAnsi="宋体"/>
          <w:sz w:val="28"/>
        </w:rPr>
        <w:t>最高人民法院关于人民法院委托评估、拍卖和变卖工作的若干规定</w:t>
      </w:r>
      <w:r>
        <w:rPr>
          <w:rFonts w:hint="eastAsia" w:ascii="宋体" w:hAnsi="宋体"/>
          <w:bCs/>
          <w:sz w:val="28"/>
        </w:rPr>
        <w:t>》（2009年8月24日，法释</w:t>
      </w:r>
      <w:r>
        <w:rPr>
          <w:rFonts w:ascii="宋体" w:hAnsi="宋体"/>
          <w:bCs/>
          <w:sz w:val="28"/>
        </w:rPr>
        <w:t>[20</w:t>
      </w:r>
      <w:r>
        <w:rPr>
          <w:rFonts w:hint="eastAsia" w:ascii="宋体" w:hAnsi="宋体"/>
          <w:bCs/>
          <w:sz w:val="28"/>
        </w:rPr>
        <w:t>09</w:t>
      </w:r>
      <w:r>
        <w:rPr>
          <w:rFonts w:ascii="宋体" w:hAnsi="宋体"/>
          <w:bCs/>
          <w:sz w:val="28"/>
        </w:rPr>
        <w:t>]</w:t>
      </w:r>
      <w:r>
        <w:rPr>
          <w:rFonts w:hint="eastAsia" w:ascii="宋体" w:hAnsi="宋体"/>
          <w:bCs/>
          <w:sz w:val="28"/>
        </w:rPr>
        <w:t>16号）；</w:t>
      </w:r>
    </w:p>
    <w:p>
      <w:pPr>
        <w:spacing w:line="600" w:lineRule="exact"/>
        <w:ind w:firstLine="564" w:firstLineChars="190"/>
        <w:rPr>
          <w:rFonts w:ascii="宋体" w:hAnsi="宋体"/>
          <w:bCs/>
          <w:sz w:val="28"/>
        </w:rPr>
      </w:pPr>
      <w:r>
        <w:rPr>
          <w:rFonts w:hint="eastAsia" w:ascii="宋体" w:hAnsi="宋体"/>
          <w:bCs/>
          <w:sz w:val="28"/>
        </w:rPr>
        <w:t>9.《</w:t>
      </w:r>
      <w:r>
        <w:rPr>
          <w:rFonts w:hint="eastAsia" w:ascii="宋体" w:hAnsi="宋体"/>
          <w:sz w:val="28"/>
        </w:rPr>
        <w:t>最高人民法院关于人民法院网络司法处置若干问题的规定</w:t>
      </w:r>
      <w:r>
        <w:rPr>
          <w:rFonts w:hint="eastAsia" w:ascii="宋体" w:hAnsi="宋体"/>
          <w:bCs/>
          <w:sz w:val="28"/>
        </w:rPr>
        <w:t>》（2017年1月1日起施行，法释</w:t>
      </w:r>
      <w:r>
        <w:rPr>
          <w:rFonts w:ascii="宋体" w:hAnsi="宋体"/>
          <w:bCs/>
          <w:sz w:val="28"/>
        </w:rPr>
        <w:t>[20</w:t>
      </w:r>
      <w:r>
        <w:rPr>
          <w:rFonts w:hint="eastAsia" w:ascii="宋体" w:hAnsi="宋体"/>
          <w:bCs/>
          <w:sz w:val="28"/>
        </w:rPr>
        <w:t>16</w:t>
      </w:r>
      <w:r>
        <w:rPr>
          <w:rFonts w:ascii="宋体" w:hAnsi="宋体"/>
          <w:bCs/>
          <w:sz w:val="28"/>
        </w:rPr>
        <w:t>]</w:t>
      </w:r>
      <w:r>
        <w:rPr>
          <w:rFonts w:hint="eastAsia" w:ascii="宋体" w:hAnsi="宋体"/>
          <w:bCs/>
          <w:sz w:val="28"/>
        </w:rPr>
        <w:t>18号）；</w:t>
      </w:r>
    </w:p>
    <w:p>
      <w:pPr>
        <w:spacing w:line="560" w:lineRule="exact"/>
        <w:ind w:left="1" w:firstLine="424" w:firstLineChars="143"/>
        <w:textAlignment w:val="center"/>
        <w:rPr>
          <w:rFonts w:ascii="宋体" w:hAnsi="宋体" w:cs="仿宋_GB2312"/>
          <w:sz w:val="28"/>
        </w:rPr>
      </w:pPr>
      <w:r>
        <w:rPr>
          <w:rFonts w:hint="eastAsia" w:ascii="宋体" w:hAnsi="宋体"/>
          <w:bCs/>
          <w:sz w:val="28"/>
        </w:rPr>
        <w:t xml:space="preserve"> 10.《</w:t>
      </w:r>
      <w:r>
        <w:rPr>
          <w:rFonts w:hint="eastAsia" w:ascii="宋体" w:hAnsi="宋体"/>
          <w:sz w:val="28"/>
        </w:rPr>
        <w:t>最高人民法院关于人民法院确定财产处置参考价若干问题的规定</w:t>
      </w:r>
      <w:r>
        <w:rPr>
          <w:rFonts w:hint="eastAsia" w:ascii="宋体" w:hAnsi="宋体"/>
          <w:bCs/>
          <w:sz w:val="28"/>
        </w:rPr>
        <w:t>》（2018年9月1日起施行，法释</w:t>
      </w:r>
      <w:r>
        <w:rPr>
          <w:rFonts w:ascii="宋体" w:hAnsi="宋体"/>
          <w:bCs/>
          <w:sz w:val="28"/>
        </w:rPr>
        <w:t>[20</w:t>
      </w:r>
      <w:r>
        <w:rPr>
          <w:rFonts w:hint="eastAsia" w:ascii="宋体" w:hAnsi="宋体"/>
          <w:bCs/>
          <w:sz w:val="28"/>
        </w:rPr>
        <w:t>18</w:t>
      </w:r>
      <w:r>
        <w:rPr>
          <w:rFonts w:ascii="宋体" w:hAnsi="宋体"/>
          <w:bCs/>
          <w:sz w:val="28"/>
        </w:rPr>
        <w:t>]</w:t>
      </w:r>
      <w:r>
        <w:rPr>
          <w:rFonts w:hint="eastAsia" w:ascii="宋体" w:hAnsi="宋体"/>
          <w:bCs/>
          <w:sz w:val="28"/>
        </w:rPr>
        <w:t>15号）</w:t>
      </w:r>
      <w:r>
        <w:rPr>
          <w:rFonts w:hint="eastAsia" w:ascii="宋体" w:hAnsi="宋体" w:cs="仿宋_GB2312"/>
          <w:sz w:val="28"/>
        </w:rPr>
        <w:t>。</w:t>
      </w:r>
    </w:p>
    <w:p>
      <w:pPr>
        <w:spacing w:line="560" w:lineRule="exact"/>
        <w:ind w:left="1" w:firstLine="424" w:firstLineChars="143"/>
        <w:textAlignment w:val="center"/>
        <w:rPr>
          <w:rFonts w:ascii="宋体" w:hAnsi="宋体" w:cs="仿宋_GB2312"/>
          <w:sz w:val="28"/>
        </w:rPr>
      </w:pPr>
      <w:r>
        <w:rPr>
          <w:rFonts w:hint="eastAsia" w:ascii="宋体" w:hAnsi="宋体" w:cs="仿宋_GB2312"/>
          <w:sz w:val="28"/>
        </w:rPr>
        <w:t xml:space="preserve"> (二)估价标准依据</w:t>
      </w:r>
    </w:p>
    <w:p>
      <w:pPr>
        <w:spacing w:line="560" w:lineRule="exact"/>
        <w:ind w:firstLine="564" w:firstLineChars="190"/>
        <w:rPr>
          <w:rFonts w:ascii="宋体"/>
          <w:sz w:val="28"/>
          <w:szCs w:val="28"/>
        </w:rPr>
      </w:pPr>
      <w:r>
        <w:rPr>
          <w:rFonts w:ascii="宋体" w:hAnsi="宋体"/>
          <w:bCs/>
          <w:sz w:val="28"/>
        </w:rPr>
        <w:t>1</w:t>
      </w:r>
      <w:r>
        <w:rPr>
          <w:rFonts w:hint="eastAsia" w:ascii="宋体" w:hAnsi="宋体"/>
          <w:bCs/>
          <w:sz w:val="28"/>
        </w:rPr>
        <w:t>. 中华人民共和国国家标准《房地产估价规范》（</w:t>
      </w:r>
      <w:r>
        <w:rPr>
          <w:rFonts w:ascii="宋体" w:hAnsi="宋体"/>
          <w:bCs/>
          <w:sz w:val="28"/>
        </w:rPr>
        <w:t>GB/T50291-2015</w:t>
      </w:r>
      <w:r>
        <w:rPr>
          <w:rFonts w:hint="eastAsia" w:ascii="宋体" w:hAnsi="宋体"/>
          <w:bCs/>
          <w:sz w:val="28"/>
        </w:rPr>
        <w:t>）；</w:t>
      </w:r>
    </w:p>
    <w:p>
      <w:pPr>
        <w:spacing w:line="560" w:lineRule="exact"/>
        <w:ind w:firstLine="564" w:firstLineChars="190"/>
        <w:rPr>
          <w:rFonts w:ascii="宋体" w:hAnsi="宋体"/>
          <w:sz w:val="28"/>
        </w:rPr>
      </w:pPr>
      <w:r>
        <w:rPr>
          <w:rFonts w:ascii="宋体" w:hAnsi="宋体"/>
          <w:sz w:val="28"/>
          <w:szCs w:val="28"/>
        </w:rPr>
        <w:t>2</w:t>
      </w:r>
      <w:r>
        <w:rPr>
          <w:rFonts w:hint="eastAsia" w:ascii="宋体" w:hAnsi="宋体"/>
          <w:sz w:val="28"/>
          <w:szCs w:val="28"/>
        </w:rPr>
        <w:t xml:space="preserve">. </w:t>
      </w:r>
      <w:r>
        <w:rPr>
          <w:rFonts w:hint="eastAsia" w:ascii="宋体" w:hAnsi="宋体"/>
          <w:sz w:val="28"/>
        </w:rPr>
        <w:t>中华人民共和国国家标准《房地产估价基本术语标准》（</w:t>
      </w:r>
      <w:r>
        <w:rPr>
          <w:rFonts w:ascii="宋体" w:hAnsi="宋体"/>
          <w:sz w:val="28"/>
        </w:rPr>
        <w:t>GB/T50899-2013</w:t>
      </w:r>
      <w:r>
        <w:rPr>
          <w:rFonts w:hint="eastAsia" w:ascii="宋体" w:hAnsi="宋体"/>
          <w:sz w:val="28"/>
        </w:rPr>
        <w:t>）；</w:t>
      </w:r>
    </w:p>
    <w:p>
      <w:pPr>
        <w:spacing w:line="560" w:lineRule="exact"/>
        <w:ind w:left="1" w:firstLine="564" w:firstLineChars="190"/>
        <w:textAlignment w:val="center"/>
        <w:rPr>
          <w:rFonts w:ascii="宋体" w:hAnsi="宋体" w:cs="仿宋_GB2312"/>
          <w:sz w:val="28"/>
        </w:rPr>
      </w:pPr>
      <w:r>
        <w:rPr>
          <w:rFonts w:hint="eastAsia" w:ascii="宋体" w:hAnsi="宋体"/>
          <w:sz w:val="28"/>
        </w:rPr>
        <w:t>3.《人民法院委托评估工作规范》。</w:t>
      </w:r>
    </w:p>
    <w:p>
      <w:pPr>
        <w:spacing w:line="560" w:lineRule="exact"/>
        <w:ind w:left="1" w:firstLine="424" w:firstLineChars="143"/>
        <w:textAlignment w:val="center"/>
        <w:rPr>
          <w:rFonts w:ascii="宋体" w:hAnsi="宋体" w:cs="仿宋_GB2312"/>
          <w:sz w:val="28"/>
        </w:rPr>
      </w:pPr>
      <w:r>
        <w:rPr>
          <w:rFonts w:hint="eastAsia" w:ascii="宋体" w:hAnsi="宋体" w:cs="仿宋_GB2312"/>
          <w:sz w:val="28"/>
        </w:rPr>
        <w:t xml:space="preserve"> (三)估价委托人提供的资料依据</w:t>
      </w:r>
    </w:p>
    <w:p>
      <w:pPr>
        <w:spacing w:line="560" w:lineRule="exact"/>
        <w:ind w:left="1" w:firstLine="594" w:firstLineChars="200"/>
        <w:textAlignment w:val="center"/>
        <w:rPr>
          <w:rFonts w:cs="仿宋_GB2312"/>
          <w:b/>
          <w:bCs/>
          <w:sz w:val="28"/>
        </w:rPr>
      </w:pPr>
      <w:r>
        <w:rPr>
          <w:rFonts w:hint="eastAsia" w:ascii="宋体" w:hAnsi="宋体" w:cs="仿宋_GB2312"/>
          <w:sz w:val="28"/>
        </w:rPr>
        <w:t xml:space="preserve">1. </w:t>
      </w:r>
      <w:r>
        <w:rPr>
          <w:rFonts w:hint="eastAsia" w:ascii="宋体" w:hAnsi="宋体"/>
          <w:sz w:val="28"/>
        </w:rPr>
        <w:t>估价委托书；</w:t>
      </w:r>
    </w:p>
    <w:p>
      <w:pPr>
        <w:spacing w:line="560" w:lineRule="exact"/>
        <w:ind w:left="1" w:firstLine="594" w:firstLineChars="200"/>
        <w:textAlignment w:val="center"/>
        <w:rPr>
          <w:rFonts w:ascii="宋体" w:hAnsi="宋体" w:cs="仿宋_GB2312"/>
          <w:sz w:val="28"/>
        </w:rPr>
      </w:pPr>
      <w:r>
        <w:rPr>
          <w:rFonts w:hint="eastAsia" w:ascii="宋体" w:hAnsi="宋体" w:cs="仿宋_GB2312"/>
          <w:sz w:val="28"/>
        </w:rPr>
        <w:t xml:space="preserve">2. </w:t>
      </w:r>
      <w:r>
        <w:rPr>
          <w:rFonts w:hint="eastAsia" w:ascii="宋体" w:hAnsi="宋体"/>
          <w:bCs/>
          <w:sz w:val="28"/>
        </w:rPr>
        <w:t>估价委托人提供的房地产权属证明复印件等相关法律凭证</w:t>
      </w:r>
      <w:r>
        <w:rPr>
          <w:rFonts w:hint="eastAsia" w:ascii="宋体" w:hAnsi="宋体" w:cs="仿宋_GB2312"/>
          <w:sz w:val="28"/>
        </w:rPr>
        <w:t>。</w:t>
      </w:r>
    </w:p>
    <w:p>
      <w:pPr>
        <w:spacing w:line="560" w:lineRule="exact"/>
        <w:ind w:left="1" w:firstLine="594" w:firstLineChars="200"/>
        <w:textAlignment w:val="center"/>
        <w:rPr>
          <w:rFonts w:cs="仿宋_GB2312"/>
          <w:b/>
          <w:bCs/>
          <w:sz w:val="28"/>
        </w:rPr>
      </w:pPr>
      <w:r>
        <w:rPr>
          <w:rFonts w:hint="eastAsia" w:ascii="宋体" w:hAnsi="宋体" w:cs="仿宋_GB2312"/>
          <w:sz w:val="28"/>
        </w:rPr>
        <w:t xml:space="preserve">3. </w:t>
      </w:r>
      <w:r>
        <w:rPr>
          <w:rFonts w:hint="eastAsia" w:ascii="宋体" w:hAnsi="宋体"/>
          <w:sz w:val="28"/>
        </w:rPr>
        <w:t>不动产信息查询结果；</w:t>
      </w:r>
    </w:p>
    <w:p>
      <w:pPr>
        <w:spacing w:line="560" w:lineRule="exact"/>
        <w:ind w:left="1" w:firstLine="594" w:firstLineChars="200"/>
        <w:textAlignment w:val="center"/>
        <w:rPr>
          <w:rFonts w:ascii="宋体" w:hAnsi="宋体"/>
          <w:sz w:val="28"/>
        </w:rPr>
      </w:pPr>
      <w:r>
        <w:rPr>
          <w:rFonts w:hint="eastAsia" w:ascii="宋体" w:hAnsi="宋体" w:cs="仿宋_GB2312"/>
          <w:sz w:val="28"/>
        </w:rPr>
        <w:t>4. 估价人员现场</w:t>
      </w:r>
      <w:r>
        <w:rPr>
          <w:rFonts w:hint="eastAsia" w:ascii="宋体" w:hAnsi="宋体"/>
          <w:sz w:val="28"/>
        </w:rPr>
        <w:t>踏勘表及本公司掌握的市场相关资料。</w:t>
      </w:r>
    </w:p>
    <w:p>
      <w:pPr>
        <w:spacing w:line="560" w:lineRule="exact"/>
        <w:ind w:left="1" w:firstLine="564" w:firstLineChars="190"/>
        <w:textAlignment w:val="center"/>
        <w:rPr>
          <w:rFonts w:ascii="宋体" w:hAnsi="宋体" w:cs="仿宋_GB2312"/>
          <w:sz w:val="28"/>
        </w:rPr>
      </w:pPr>
      <w:r>
        <w:rPr>
          <w:rFonts w:hint="eastAsia" w:ascii="宋体" w:hAnsi="宋体" w:cs="仿宋_GB2312"/>
          <w:sz w:val="28"/>
        </w:rPr>
        <w:t>(四)</w:t>
      </w:r>
      <w:r>
        <w:rPr>
          <w:rFonts w:hint="eastAsia" w:ascii="宋体" w:hAnsi="宋体"/>
          <w:bCs/>
          <w:sz w:val="28"/>
        </w:rPr>
        <w:t xml:space="preserve"> 估价机构及注册房地产估价师搜集的资料依据</w:t>
      </w:r>
    </w:p>
    <w:p>
      <w:pPr>
        <w:spacing w:line="560" w:lineRule="exact"/>
        <w:ind w:left="1" w:firstLine="594" w:firstLineChars="200"/>
        <w:textAlignment w:val="center"/>
        <w:rPr>
          <w:rFonts w:cs="仿宋_GB2312"/>
          <w:b/>
          <w:bCs/>
          <w:sz w:val="28"/>
        </w:rPr>
      </w:pPr>
      <w:r>
        <w:rPr>
          <w:rFonts w:hint="eastAsia" w:ascii="宋体" w:hAnsi="宋体" w:cs="仿宋_GB2312"/>
          <w:sz w:val="28"/>
        </w:rPr>
        <w:t xml:space="preserve">1. </w:t>
      </w:r>
      <w:r>
        <w:rPr>
          <w:rFonts w:hint="eastAsia" w:ascii="宋体" w:hAnsi="宋体"/>
          <w:bCs/>
          <w:sz w:val="28"/>
        </w:rPr>
        <w:t>估价对象影像图片资料</w:t>
      </w:r>
      <w:r>
        <w:rPr>
          <w:rFonts w:hint="eastAsia" w:ascii="宋体" w:hAnsi="宋体"/>
          <w:sz w:val="28"/>
        </w:rPr>
        <w:t>；</w:t>
      </w:r>
    </w:p>
    <w:p>
      <w:pPr>
        <w:spacing w:line="560" w:lineRule="exact"/>
        <w:ind w:left="1" w:firstLine="594" w:firstLineChars="200"/>
        <w:textAlignment w:val="center"/>
        <w:rPr>
          <w:rFonts w:ascii="宋体" w:hAnsi="宋体" w:cs="仿宋_GB2312"/>
          <w:sz w:val="28"/>
        </w:rPr>
      </w:pPr>
      <w:r>
        <w:rPr>
          <w:rFonts w:hint="eastAsia" w:ascii="宋体" w:hAnsi="宋体" w:cs="仿宋_GB2312"/>
          <w:sz w:val="28"/>
        </w:rPr>
        <w:t xml:space="preserve">2. </w:t>
      </w:r>
      <w:r>
        <w:rPr>
          <w:rFonts w:hint="eastAsia" w:ascii="宋体" w:hAnsi="宋体"/>
          <w:bCs/>
          <w:sz w:val="28"/>
        </w:rPr>
        <w:t>可比实例等相关资料</w:t>
      </w:r>
      <w:r>
        <w:rPr>
          <w:rFonts w:hint="eastAsia" w:ascii="宋体" w:hAnsi="宋体" w:cs="仿宋_GB2312"/>
          <w:sz w:val="28"/>
        </w:rPr>
        <w:t>。</w:t>
      </w:r>
    </w:p>
    <w:p>
      <w:pPr>
        <w:spacing w:line="560" w:lineRule="exact"/>
        <w:ind w:left="1" w:firstLine="594" w:firstLineChars="200"/>
        <w:textAlignment w:val="center"/>
        <w:rPr>
          <w:rFonts w:cs="仿宋_GB2312"/>
          <w:b/>
          <w:bCs/>
          <w:sz w:val="28"/>
        </w:rPr>
      </w:pPr>
      <w:r>
        <w:rPr>
          <w:rFonts w:hint="eastAsia" w:ascii="宋体" w:hAnsi="宋体" w:cs="仿宋_GB2312"/>
          <w:sz w:val="28"/>
        </w:rPr>
        <w:t>3. 估价人员现场</w:t>
      </w:r>
      <w:r>
        <w:rPr>
          <w:rFonts w:hint="eastAsia" w:ascii="宋体" w:hAnsi="宋体"/>
          <w:sz w:val="28"/>
        </w:rPr>
        <w:t>踏勘表；</w:t>
      </w:r>
    </w:p>
    <w:p>
      <w:pPr>
        <w:spacing w:line="560" w:lineRule="exact"/>
        <w:ind w:left="1" w:firstLine="564" w:firstLineChars="190"/>
        <w:textAlignment w:val="center"/>
        <w:rPr>
          <w:rFonts w:ascii="宋体" w:hAnsi="宋体" w:cs="仿宋_GB2312"/>
          <w:sz w:val="28"/>
        </w:rPr>
      </w:pPr>
      <w:r>
        <w:rPr>
          <w:rFonts w:hint="eastAsia" w:ascii="宋体" w:hAnsi="宋体" w:cs="仿宋_GB2312"/>
          <w:sz w:val="28"/>
        </w:rPr>
        <w:t xml:space="preserve">4. </w:t>
      </w:r>
      <w:r>
        <w:rPr>
          <w:rFonts w:hint="eastAsia" w:ascii="宋体" w:hAnsi="宋体"/>
          <w:sz w:val="28"/>
        </w:rPr>
        <w:t>本公司</w:t>
      </w:r>
      <w:r>
        <w:rPr>
          <w:rFonts w:hint="eastAsia" w:ascii="宋体" w:hAnsi="宋体"/>
          <w:bCs/>
          <w:sz w:val="28"/>
        </w:rPr>
        <w:t>调查搜集的当地房地产市场</w:t>
      </w:r>
      <w:r>
        <w:rPr>
          <w:rFonts w:hint="eastAsia" w:ascii="宋体" w:hAnsi="宋体"/>
          <w:sz w:val="28"/>
        </w:rPr>
        <w:t>相关资料。</w:t>
      </w:r>
    </w:p>
    <w:p>
      <w:pPr>
        <w:pStyle w:val="4"/>
        <w:spacing w:line="560" w:lineRule="exact"/>
        <w:ind w:left="227" w:right="227"/>
      </w:pPr>
      <w:bookmarkStart w:id="50" w:name="_Toc5294"/>
      <w:bookmarkStart w:id="51" w:name="_Toc19110974"/>
      <w:bookmarkStart w:id="52" w:name="_Toc19110115"/>
      <w:bookmarkStart w:id="53" w:name="_Toc18236182"/>
      <w:r>
        <w:rPr>
          <w:rFonts w:hint="eastAsia"/>
        </w:rPr>
        <w:t>九、估价方法</w:t>
      </w:r>
      <w:bookmarkEnd w:id="50"/>
      <w:bookmarkEnd w:id="51"/>
      <w:bookmarkEnd w:id="52"/>
      <w:bookmarkEnd w:id="53"/>
    </w:p>
    <w:p>
      <w:pPr>
        <w:overflowPunct w:val="0"/>
        <w:spacing w:line="580" w:lineRule="exact"/>
        <w:ind w:firstLine="594" w:firstLineChars="200"/>
        <w:rPr>
          <w:rFonts w:ascii="宋体" w:hAnsi="宋体" w:cs="宋体"/>
          <w:sz w:val="28"/>
          <w:szCs w:val="28"/>
        </w:rPr>
      </w:pPr>
      <w:r>
        <w:rPr>
          <w:rFonts w:hint="eastAsia" w:ascii="宋体" w:hAnsi="宋体" w:cs="宋体"/>
          <w:sz w:val="28"/>
          <w:szCs w:val="28"/>
        </w:rPr>
        <w:t>房地产估价应在遵循估价原则的前提下，采用科学、合理的方法进行评估，根据《房地产估价规范》</w:t>
      </w:r>
      <w:r>
        <w:rPr>
          <w:rFonts w:hint="eastAsia" w:ascii="宋体" w:hAnsi="宋体" w:cs="仿宋_GB2312"/>
          <w:spacing w:val="9"/>
          <w:sz w:val="28"/>
        </w:rPr>
        <w:t>（</w:t>
      </w:r>
      <w:r>
        <w:rPr>
          <w:rFonts w:ascii="宋体" w:hAnsi="宋体" w:cs="仿宋_GB2312"/>
          <w:spacing w:val="9"/>
          <w:sz w:val="28"/>
        </w:rPr>
        <w:t>GB/T 50291—2015</w:t>
      </w:r>
      <w:r>
        <w:rPr>
          <w:rFonts w:hint="eastAsia" w:ascii="宋体" w:hAnsi="宋体" w:cs="仿宋_GB2312"/>
          <w:spacing w:val="9"/>
          <w:sz w:val="28"/>
        </w:rPr>
        <w:t>）</w:t>
      </w:r>
      <w:r>
        <w:rPr>
          <w:rFonts w:hint="eastAsia" w:ascii="宋体" w:hAnsi="宋体" w:cs="宋体"/>
          <w:sz w:val="28"/>
          <w:szCs w:val="28"/>
        </w:rPr>
        <w:t>，一般适用的估价方法包括比较法、收益法、成本法、假设开发法。</w:t>
      </w:r>
    </w:p>
    <w:p>
      <w:pPr>
        <w:overflowPunct w:val="0"/>
        <w:spacing w:line="600" w:lineRule="exact"/>
        <w:rPr>
          <w:rFonts w:ascii="宋体" w:hAnsi="宋体" w:cs="宋体"/>
          <w:sz w:val="28"/>
          <w:szCs w:val="28"/>
        </w:rPr>
      </w:pPr>
      <w:bookmarkStart w:id="54" w:name="_Toc19110975"/>
      <w:bookmarkStart w:id="55" w:name="_Toc19110116"/>
      <w:bookmarkStart w:id="56" w:name="_Toc18236183"/>
      <w:r>
        <w:rPr>
          <w:rFonts w:hint="eastAsia" w:ascii="宋体" w:hAnsi="宋体" w:cs="宋体"/>
          <w:sz w:val="28"/>
          <w:szCs w:val="28"/>
        </w:rPr>
        <w:t>（一）定义</w:t>
      </w:r>
    </w:p>
    <w:tbl>
      <w:tblPr>
        <w:tblStyle w:val="2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估价方法</w:t>
            </w:r>
          </w:p>
        </w:tc>
        <w:tc>
          <w:tcPr>
            <w:tcW w:w="8399" w:type="dxa"/>
            <w:noWrap/>
            <w:vAlign w:val="center"/>
          </w:tcPr>
          <w:p>
            <w:pPr>
              <w:spacing w:line="340" w:lineRule="exact"/>
              <w:jc w:val="center"/>
              <w:rPr>
                <w:rFonts w:ascii="宋体" w:hAnsi="宋体" w:cs="宋体"/>
                <w:szCs w:val="21"/>
              </w:rPr>
            </w:pPr>
            <w:r>
              <w:rPr>
                <w:rFonts w:hint="eastAsia" w:ascii="宋体" w:hAnsi="宋体" w:cs="Arial"/>
                <w:szCs w:val="21"/>
                <w:shd w:val="clear" w:color="auto" w:fill="FAFAFA"/>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比较法</w:t>
            </w:r>
          </w:p>
        </w:tc>
        <w:tc>
          <w:tcPr>
            <w:tcW w:w="8399" w:type="dxa"/>
            <w:noWrap/>
            <w:vAlign w:val="center"/>
          </w:tcPr>
          <w:p>
            <w:pPr>
              <w:spacing w:line="340" w:lineRule="exact"/>
              <w:jc w:val="left"/>
              <w:rPr>
                <w:rFonts w:ascii="宋体" w:hAnsi="宋体" w:cs="宋体"/>
                <w:szCs w:val="21"/>
              </w:rPr>
            </w:pPr>
            <w:r>
              <w:rPr>
                <w:rFonts w:hint="eastAsia" w:ascii="宋体" w:hAnsi="宋体"/>
                <w:szCs w:val="21"/>
              </w:rPr>
              <w:t>是指根据替代原则，选取在同一市场供需圈内近期发生的、具有可比性的一定数量的可比实例，将它们与估价对象进行比较，根据其间的差异对可比实例成交价格进行处理后得到估价对象价值或价格的方法。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收益法</w:t>
            </w:r>
          </w:p>
        </w:tc>
        <w:tc>
          <w:tcPr>
            <w:tcW w:w="8399" w:type="dxa"/>
            <w:noWrap/>
            <w:vAlign w:val="center"/>
          </w:tcPr>
          <w:p>
            <w:pPr>
              <w:spacing w:line="340" w:lineRule="exact"/>
              <w:jc w:val="left"/>
              <w:rPr>
                <w:rFonts w:ascii="宋体" w:hAnsi="宋体"/>
                <w:szCs w:val="21"/>
              </w:rPr>
            </w:pPr>
            <w:r>
              <w:rPr>
                <w:rFonts w:hint="eastAsia" w:ascii="宋体" w:hAnsi="宋体"/>
                <w:szCs w:val="21"/>
              </w:rPr>
              <w:t>是指预测估价对象的未来收益，利用报酬率或资本化率、收益乘数将未来收益转换为价值得到估价对象价值或价格的方法。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成本法</w:t>
            </w:r>
          </w:p>
        </w:tc>
        <w:tc>
          <w:tcPr>
            <w:tcW w:w="8399" w:type="dxa"/>
            <w:noWrap/>
            <w:vAlign w:val="center"/>
          </w:tcPr>
          <w:p>
            <w:pPr>
              <w:spacing w:line="340" w:lineRule="exact"/>
              <w:jc w:val="left"/>
              <w:rPr>
                <w:rFonts w:ascii="宋体" w:hAnsi="宋体"/>
                <w:szCs w:val="21"/>
              </w:rPr>
            </w:pPr>
            <w:r>
              <w:rPr>
                <w:rFonts w:hint="eastAsia" w:ascii="宋体" w:hAnsi="宋体"/>
                <w:szCs w:val="21"/>
              </w:rPr>
              <w:t>是指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假设开</w:t>
            </w:r>
          </w:p>
          <w:p>
            <w:pPr>
              <w:tabs>
                <w:tab w:val="left" w:pos="2008"/>
              </w:tabs>
              <w:spacing w:line="340" w:lineRule="exact"/>
              <w:jc w:val="center"/>
              <w:rPr>
                <w:rFonts w:ascii="宋体" w:hAnsi="宋体" w:cs="宋体"/>
                <w:kern w:val="0"/>
                <w:szCs w:val="21"/>
              </w:rPr>
            </w:pPr>
            <w:r>
              <w:rPr>
                <w:rFonts w:hint="eastAsia" w:ascii="宋体" w:hAnsi="宋体" w:cs="宋体"/>
                <w:kern w:val="0"/>
                <w:szCs w:val="21"/>
              </w:rPr>
              <w:t>发法</w:t>
            </w:r>
          </w:p>
        </w:tc>
        <w:tc>
          <w:tcPr>
            <w:tcW w:w="8399" w:type="dxa"/>
            <w:noWrap/>
            <w:vAlign w:val="center"/>
          </w:tcPr>
          <w:p>
            <w:pPr>
              <w:spacing w:line="340" w:lineRule="exact"/>
              <w:jc w:val="left"/>
              <w:rPr>
                <w:rFonts w:ascii="宋体" w:hAnsi="宋体"/>
                <w:szCs w:val="21"/>
              </w:rPr>
            </w:pPr>
            <w:r>
              <w:rPr>
                <w:rFonts w:hint="eastAsia" w:ascii="宋体" w:hAnsi="宋体"/>
                <w:szCs w:val="21"/>
              </w:rPr>
              <w:t>是指测算估价对象在价值时点的重置成本和折旧，将重置成本减去折旧得到估价对象价值或价格的方法。</w:t>
            </w:r>
          </w:p>
        </w:tc>
      </w:tr>
    </w:tbl>
    <w:p>
      <w:pPr>
        <w:overflowPunct w:val="0"/>
        <w:spacing w:line="580" w:lineRule="exact"/>
        <w:rPr>
          <w:rFonts w:ascii="宋体" w:hAnsi="宋体" w:cs="宋体"/>
          <w:sz w:val="28"/>
          <w:szCs w:val="28"/>
        </w:rPr>
      </w:pPr>
      <w:r>
        <w:rPr>
          <w:rFonts w:hint="eastAsia" w:ascii="宋体" w:hAnsi="宋体" w:cs="宋体"/>
          <w:sz w:val="28"/>
          <w:szCs w:val="28"/>
        </w:rPr>
        <w:t xml:space="preserve">    （二）估价方法适用性分析</w:t>
      </w:r>
    </w:p>
    <w:p>
      <w:pPr>
        <w:overflowPunct w:val="0"/>
        <w:spacing w:line="580" w:lineRule="exact"/>
        <w:ind w:firstLine="594" w:firstLineChars="200"/>
        <w:rPr>
          <w:rFonts w:ascii="宋体" w:hAnsi="宋体" w:cs="宋体"/>
          <w:sz w:val="28"/>
          <w:szCs w:val="28"/>
        </w:rPr>
      </w:pPr>
      <w:r>
        <w:rPr>
          <w:rFonts w:hint="eastAsia" w:ascii="宋体" w:hAnsi="宋体" w:cs="宋体"/>
          <w:sz w:val="28"/>
          <w:szCs w:val="28"/>
        </w:rPr>
        <w:t xml:space="preserve"> 1.不选用估价方法的理由</w:t>
      </w:r>
    </w:p>
    <w:p>
      <w:pPr>
        <w:overflowPunct w:val="0"/>
        <w:spacing w:line="580" w:lineRule="exact"/>
        <w:ind w:firstLine="594" w:firstLineChars="200"/>
        <w:rPr>
          <w:rFonts w:ascii="宋体" w:hAnsi="宋体" w:cs="宋体"/>
          <w:sz w:val="28"/>
          <w:szCs w:val="28"/>
        </w:rPr>
      </w:pPr>
      <w:r>
        <w:rPr>
          <w:rFonts w:hint="eastAsia" w:ascii="宋体" w:hAnsi="宋体" w:cs="宋体"/>
          <w:sz w:val="28"/>
          <w:szCs w:val="28"/>
        </w:rPr>
        <w:t>（1）不选用假设开发法的理由：估价对象为已建成正常使用的房屋，目前使用正常，属于非待开发的建设物业，不产生后续开发成本，故不选用假设开发法。</w:t>
      </w:r>
    </w:p>
    <w:p>
      <w:pPr>
        <w:overflowPunct w:val="0"/>
        <w:spacing w:line="580" w:lineRule="exact"/>
        <w:ind w:firstLine="594" w:firstLineChars="200"/>
        <w:rPr>
          <w:rFonts w:ascii="宋体" w:hAnsi="宋体" w:cs="宋体"/>
          <w:sz w:val="28"/>
          <w:szCs w:val="28"/>
        </w:rPr>
      </w:pPr>
      <w:r>
        <w:rPr>
          <w:rFonts w:hint="eastAsia" w:ascii="宋体" w:hAnsi="宋体" w:cs="宋体"/>
          <w:sz w:val="28"/>
          <w:szCs w:val="28"/>
        </w:rPr>
        <w:t>（2）不选用成本法的理由：理论上应选用成本法估价，但受到运用的客观条件限制，特别是商铺主要受市场供求关系左右，成本法的均衡原理已被淡化，在这种背景下，商铺价格与开发成本的关联性较弱，房地产的开发成本不能反映房地产现时的市场价格，故不选用成本法估价。</w:t>
      </w:r>
    </w:p>
    <w:p>
      <w:pPr>
        <w:overflowPunct w:val="0"/>
        <w:spacing w:line="580" w:lineRule="exact"/>
        <w:rPr>
          <w:rFonts w:ascii="宋体" w:hAnsi="宋体" w:cs="宋体"/>
          <w:sz w:val="28"/>
          <w:szCs w:val="28"/>
        </w:rPr>
      </w:pPr>
      <w:r>
        <w:rPr>
          <w:rFonts w:hint="eastAsia" w:ascii="宋体" w:hAnsi="宋体" w:cs="宋体"/>
          <w:sz w:val="28"/>
          <w:szCs w:val="28"/>
        </w:rPr>
        <w:t xml:space="preserve">    2.选用估价方法的理由</w:t>
      </w:r>
    </w:p>
    <w:p>
      <w:pPr>
        <w:overflowPunct w:val="0"/>
        <w:spacing w:line="580" w:lineRule="exact"/>
        <w:ind w:firstLine="450" w:firstLineChars="152"/>
        <w:rPr>
          <w:rFonts w:ascii="宋体" w:hAnsi="宋体" w:cs="宋体"/>
          <w:sz w:val="28"/>
          <w:szCs w:val="28"/>
        </w:rPr>
      </w:pPr>
      <w:r>
        <w:rPr>
          <w:rFonts w:hint="eastAsia" w:ascii="宋体" w:hAnsi="宋体" w:cs="宋体"/>
          <w:sz w:val="28"/>
          <w:szCs w:val="28"/>
        </w:rPr>
        <w:t>经本公司估价人员市场调查知，可调查同一供求圈内类似房地产交易实例，故选用比较法估价；另估价对象属收益性房地产，故采用收益法估价。</w:t>
      </w:r>
    </w:p>
    <w:p>
      <w:pPr>
        <w:overflowPunct w:val="0"/>
        <w:spacing w:line="580" w:lineRule="exact"/>
        <w:ind w:firstLine="450" w:firstLineChars="152"/>
        <w:rPr>
          <w:rFonts w:ascii="宋体" w:hAnsi="宋体" w:cs="宋体"/>
          <w:sz w:val="28"/>
          <w:szCs w:val="28"/>
        </w:rPr>
      </w:pPr>
      <w:r>
        <w:rPr>
          <w:rFonts w:hint="eastAsia" w:ascii="宋体" w:hAnsi="宋体" w:cs="仿宋_GB2312"/>
          <w:sz w:val="28"/>
        </w:rPr>
        <w:t>综上所述，本次估价采用收益法和市场比较法。</w:t>
      </w:r>
    </w:p>
    <w:p>
      <w:pPr>
        <w:pStyle w:val="4"/>
        <w:spacing w:line="600" w:lineRule="exact"/>
        <w:ind w:left="227" w:right="227"/>
        <w:rPr>
          <w:b/>
        </w:rPr>
      </w:pPr>
      <w:bookmarkStart w:id="57" w:name="_Toc30952"/>
      <w:r>
        <w:rPr>
          <w:rFonts w:hint="eastAsia"/>
        </w:rPr>
        <w:t>十、估价结果</w:t>
      </w:r>
      <w:bookmarkEnd w:id="54"/>
      <w:bookmarkEnd w:id="55"/>
      <w:bookmarkEnd w:id="56"/>
      <w:bookmarkEnd w:id="57"/>
    </w:p>
    <w:p>
      <w:pPr>
        <w:spacing w:line="600" w:lineRule="exact"/>
        <w:ind w:right="122" w:rightChars="54" w:firstLine="564" w:firstLineChars="190"/>
        <w:textAlignment w:val="center"/>
        <w:rPr>
          <w:rFonts w:ascii="宋体" w:hAnsi="宋体" w:cs="宋体"/>
          <w:sz w:val="28"/>
          <w:szCs w:val="28"/>
        </w:rPr>
      </w:pPr>
      <w:bookmarkStart w:id="58" w:name="_Toc19110976"/>
      <w:bookmarkStart w:id="59" w:name="_Toc18236184"/>
      <w:bookmarkStart w:id="60" w:name="_Toc19110117"/>
      <w:bookmarkStart w:id="61" w:name="_Toc18236185"/>
      <w:r>
        <w:rPr>
          <w:rFonts w:hint="eastAsia" w:ascii="宋体" w:hAnsi="宋体" w:cs="仿宋_GB2312"/>
          <w:sz w:val="28"/>
          <w:szCs w:val="28"/>
        </w:rPr>
        <w:t>本公司依据《房地产估价规范》，遵守各项估价原则，</w:t>
      </w:r>
      <w:r>
        <w:rPr>
          <w:rFonts w:hint="eastAsia" w:ascii="宋体" w:hAnsi="宋体" w:cs="仿宋_GB2312"/>
          <w:spacing w:val="11"/>
          <w:sz w:val="28"/>
          <w:szCs w:val="28"/>
        </w:rPr>
        <w:t>运用科学的估价方法，以进行现场查勘的</w:t>
      </w:r>
      <w:r>
        <w:rPr>
          <w:rFonts w:hint="eastAsia" w:ascii="宋体" w:hAnsi="宋体" w:cs="仿宋_GB2312"/>
          <w:sz w:val="28"/>
          <w:szCs w:val="28"/>
        </w:rPr>
        <w:t>2022年10月11日为价值时点</w:t>
      </w:r>
      <w:r>
        <w:rPr>
          <w:rFonts w:hint="eastAsia" w:ascii="宋体" w:hAnsi="宋体" w:cs="仿宋_GB2312"/>
          <w:spacing w:val="11"/>
          <w:sz w:val="28"/>
          <w:szCs w:val="28"/>
        </w:rPr>
        <w:t>，确定估价对象在满足本次估价的全部假设和限制条件下的结果为：</w:t>
      </w:r>
      <w:r>
        <w:rPr>
          <w:rFonts w:hint="eastAsia" w:ascii="宋体" w:hAnsi="宋体" w:cs="宋体"/>
          <w:sz w:val="28"/>
          <w:szCs w:val="28"/>
        </w:rPr>
        <w:t>人民币</w:t>
      </w:r>
      <w:r>
        <w:rPr>
          <w:rFonts w:hint="eastAsia" w:ascii="宋体" w:hAnsi="宋体" w:cs="宋体"/>
          <w:sz w:val="28"/>
          <w:szCs w:val="28"/>
          <w:lang w:eastAsia="zh-CN"/>
        </w:rPr>
        <w:t>壹佰捌拾叁万零伍佰肆拾捌</w:t>
      </w:r>
      <w:r>
        <w:rPr>
          <w:rFonts w:hint="eastAsia" w:ascii="宋体" w:hAnsi="宋体" w:cs="仿宋_GB2312"/>
          <w:sz w:val="28"/>
          <w:szCs w:val="28"/>
        </w:rPr>
        <w:t>元整</w:t>
      </w:r>
      <w:r>
        <w:rPr>
          <w:rFonts w:hint="eastAsia" w:ascii="宋体" w:hAnsi="宋体" w:cs="宋体"/>
          <w:sz w:val="28"/>
          <w:szCs w:val="28"/>
        </w:rPr>
        <w:t>（</w:t>
      </w:r>
      <w:r>
        <w:rPr>
          <w:rFonts w:ascii="宋体" w:hAnsi="宋体" w:cs="宋体"/>
          <w:sz w:val="28"/>
          <w:szCs w:val="28"/>
        </w:rPr>
        <w:t>RMB</w:t>
      </w:r>
      <w:r>
        <w:rPr>
          <w:rFonts w:hint="eastAsia" w:ascii="宋体" w:hAnsi="宋体" w:cs="宋体"/>
          <w:sz w:val="28"/>
          <w:szCs w:val="28"/>
        </w:rPr>
        <w:t>：1,830,548.00元）。</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409"/>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20" w:lineRule="exact"/>
              <w:ind w:left="-124" w:leftChars="-55"/>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估价对象</w:t>
            </w:r>
          </w:p>
        </w:tc>
        <w:tc>
          <w:tcPr>
            <w:tcW w:w="2409"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建筑面积</w:t>
            </w:r>
          </w:p>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（m2）</w:t>
            </w:r>
          </w:p>
        </w:tc>
        <w:tc>
          <w:tcPr>
            <w:tcW w:w="1560"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单价</w:t>
            </w:r>
          </w:p>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（元/m2）</w:t>
            </w:r>
          </w:p>
        </w:tc>
        <w:tc>
          <w:tcPr>
            <w:tcW w:w="1984"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总价</w:t>
            </w:r>
          </w:p>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1" w:type="dxa"/>
            <w:vAlign w:val="center"/>
          </w:tcPr>
          <w:p>
            <w:pPr>
              <w:spacing w:line="320" w:lineRule="exact"/>
              <w:ind w:left="199" w:leftChars="88"/>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陆良县中枢街道春光东路延长线爨乡印象三期F-9号</w:t>
            </w:r>
          </w:p>
        </w:tc>
        <w:tc>
          <w:tcPr>
            <w:tcW w:w="2409"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274.76</w:t>
            </w:r>
          </w:p>
        </w:tc>
        <w:tc>
          <w:tcPr>
            <w:tcW w:w="1560"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6</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val="en-US" w:eastAsia="zh-CN"/>
              </w:rPr>
              <w:t>662</w:t>
            </w:r>
            <w:r>
              <w:rPr>
                <w:rFonts w:hint="eastAsia" w:cs="仿宋_GB2312" w:asciiTheme="minorEastAsia" w:hAnsiTheme="minorEastAsia" w:eastAsiaTheme="minorEastAsia"/>
                <w:sz w:val="24"/>
              </w:rPr>
              <w:t>.00</w:t>
            </w:r>
          </w:p>
        </w:tc>
        <w:tc>
          <w:tcPr>
            <w:tcW w:w="1984" w:type="dxa"/>
            <w:vAlign w:val="center"/>
          </w:tcPr>
          <w:p>
            <w:pPr>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1,830,548.00</w:t>
            </w:r>
          </w:p>
        </w:tc>
      </w:tr>
    </w:tbl>
    <w:p>
      <w:pPr>
        <w:spacing w:line="600" w:lineRule="exact"/>
        <w:ind w:left="0" w:leftChars="0" w:right="122" w:rightChars="54" w:firstLine="219" w:firstLineChars="74"/>
        <w:textAlignment w:val="center"/>
        <w:rPr>
          <w:sz w:val="28"/>
          <w:szCs w:val="28"/>
        </w:rPr>
      </w:pPr>
      <w:r>
        <w:rPr>
          <w:rFonts w:hint="eastAsia"/>
          <w:sz w:val="28"/>
          <w:szCs w:val="28"/>
        </w:rPr>
        <w:t>十一、注册房地产估价师</w:t>
      </w:r>
      <w:bookmarkEnd w:id="58"/>
      <w:bookmarkEnd w:id="59"/>
      <w:bookmarkEnd w:id="60"/>
      <w:bookmarkStart w:id="62" w:name="_Toc19110977"/>
      <w:bookmarkStart w:id="63" w:name="_Toc19110118"/>
      <w:bookmarkStart w:id="92" w:name="_GoBack"/>
      <w:bookmarkEnd w:id="92"/>
    </w:p>
    <w:tbl>
      <w:tblPr>
        <w:tblStyle w:val="21"/>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姓名</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杨高云</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cs="仿宋_GB2312"/>
                <w:sz w:val="30"/>
                <w:szCs w:val="30"/>
              </w:rPr>
              <w:t>刘承文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注册号</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5320060029</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5320040057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472" w:firstLineChars="150"/>
              <w:textAlignment w:val="center"/>
              <w:rPr>
                <w:rFonts w:ascii="宋体" w:hAnsi="宋体" w:cs="宋体"/>
                <w:spacing w:val="9"/>
                <w:sz w:val="28"/>
                <w:szCs w:val="28"/>
              </w:rPr>
            </w:pPr>
            <w:r>
              <w:rPr>
                <w:rFonts w:hint="eastAsia" w:ascii="宋体" w:hAnsi="宋体" w:cs="宋体"/>
                <w:spacing w:val="9"/>
                <w:sz w:val="28"/>
                <w:szCs w:val="28"/>
              </w:rPr>
              <w:t>签 名</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1260" w:firstLineChars="400"/>
              <w:textAlignment w:val="center"/>
              <w:rPr>
                <w:rFonts w:ascii="宋体" w:hAnsi="宋体"/>
                <w:spacing w:val="9"/>
                <w:sz w:val="28"/>
                <w:szCs w:val="28"/>
              </w:rPr>
            </w:pPr>
          </w:p>
        </w:tc>
        <w:tc>
          <w:tcPr>
            <w:tcW w:w="368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1575" w:firstLineChars="500"/>
              <w:textAlignment w:val="center"/>
              <w:rPr>
                <w:rFonts w:ascii="宋体" w:hAnsi="宋体"/>
                <w:spacing w:val="9"/>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472" w:firstLineChars="150"/>
              <w:textAlignment w:val="center"/>
              <w:rPr>
                <w:rFonts w:ascii="宋体" w:hAnsi="宋体" w:cs="宋体"/>
                <w:spacing w:val="9"/>
                <w:sz w:val="28"/>
                <w:szCs w:val="28"/>
              </w:rPr>
            </w:pPr>
            <w:r>
              <w:rPr>
                <w:rFonts w:hint="eastAsia" w:ascii="宋体" w:hAnsi="宋体" w:cs="宋体"/>
                <w:spacing w:val="9"/>
                <w:sz w:val="28"/>
                <w:szCs w:val="28"/>
              </w:rPr>
              <w:t>签名日期</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left="-106" w:leftChars="-47"/>
              <w:jc w:val="center"/>
              <w:textAlignment w:val="center"/>
              <w:rPr>
                <w:rFonts w:hint="eastAsia" w:ascii="宋体" w:hAnsi="宋体" w:eastAsia="宋体"/>
                <w:spacing w:val="9"/>
                <w:sz w:val="28"/>
                <w:szCs w:val="28"/>
                <w:lang w:eastAsia="zh-CN"/>
              </w:rPr>
            </w:pPr>
            <w:r>
              <w:rPr>
                <w:rFonts w:hint="eastAsia" w:ascii="Cambria" w:hAnsi="Cambria"/>
                <w:bCs/>
                <w:kern w:val="28"/>
                <w:sz w:val="28"/>
                <w:szCs w:val="32"/>
                <w:lang w:eastAsia="zh-CN"/>
              </w:rPr>
              <w:t>2022年10月28日</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tabs>
                <w:tab w:val="left" w:pos="3719"/>
              </w:tabs>
              <w:spacing w:line="440" w:lineRule="exact"/>
              <w:ind w:left="-106" w:leftChars="-47"/>
              <w:jc w:val="center"/>
              <w:textAlignment w:val="center"/>
              <w:rPr>
                <w:rFonts w:hint="eastAsia" w:ascii="宋体" w:hAnsi="宋体" w:eastAsia="宋体"/>
                <w:spacing w:val="9"/>
                <w:sz w:val="28"/>
                <w:szCs w:val="28"/>
                <w:lang w:eastAsia="zh-CN"/>
              </w:rPr>
            </w:pPr>
            <w:r>
              <w:rPr>
                <w:rFonts w:hint="eastAsia" w:ascii="Cambria" w:hAnsi="Cambria"/>
                <w:bCs/>
                <w:kern w:val="28"/>
                <w:sz w:val="28"/>
                <w:szCs w:val="32"/>
                <w:lang w:eastAsia="zh-CN"/>
              </w:rPr>
              <w:t>2022年10月28日</w:t>
            </w:r>
          </w:p>
        </w:tc>
      </w:tr>
    </w:tbl>
    <w:p>
      <w:pPr>
        <w:tabs>
          <w:tab w:val="left" w:pos="284"/>
        </w:tabs>
        <w:spacing w:line="560" w:lineRule="exact"/>
        <w:ind w:left="-2" w:leftChars="-1"/>
        <w:rPr>
          <w:sz w:val="28"/>
          <w:szCs w:val="28"/>
        </w:rPr>
      </w:pPr>
      <w:r>
        <w:rPr>
          <w:rFonts w:hint="eastAsia"/>
          <w:sz w:val="28"/>
          <w:szCs w:val="28"/>
        </w:rPr>
        <w:t>十二、实地查勘期</w:t>
      </w:r>
      <w:bookmarkEnd w:id="61"/>
      <w:bookmarkEnd w:id="62"/>
      <w:bookmarkEnd w:id="63"/>
    </w:p>
    <w:p>
      <w:pPr>
        <w:spacing w:line="600" w:lineRule="exact"/>
        <w:ind w:left="1" w:firstLine="594" w:firstLineChars="200"/>
        <w:textAlignment w:val="center"/>
        <w:rPr>
          <w:rFonts w:ascii="Cambria" w:hAnsi="Cambria"/>
          <w:bCs/>
          <w:kern w:val="28"/>
          <w:sz w:val="28"/>
          <w:szCs w:val="32"/>
        </w:rPr>
      </w:pPr>
      <w:r>
        <w:rPr>
          <w:rFonts w:hint="eastAsia" w:ascii="Cambria" w:hAnsi="Cambria"/>
          <w:bCs/>
          <w:kern w:val="28"/>
          <w:sz w:val="28"/>
          <w:szCs w:val="32"/>
        </w:rPr>
        <w:t>2022年10月11日</w:t>
      </w:r>
    </w:p>
    <w:p>
      <w:pPr>
        <w:pStyle w:val="4"/>
        <w:ind w:left="0" w:leftChars="0" w:right="227"/>
      </w:pPr>
      <w:bookmarkStart w:id="64" w:name="_Toc19110119"/>
      <w:bookmarkStart w:id="65" w:name="_Toc19110978"/>
      <w:bookmarkStart w:id="66" w:name="_Toc17597"/>
      <w:bookmarkStart w:id="67" w:name="_Toc18236186"/>
      <w:r>
        <w:rPr>
          <w:rFonts w:hint="eastAsia"/>
        </w:rPr>
        <w:t>十三、估价作业期</w:t>
      </w:r>
      <w:bookmarkEnd w:id="64"/>
      <w:bookmarkEnd w:id="65"/>
      <w:bookmarkEnd w:id="66"/>
      <w:bookmarkEnd w:id="67"/>
    </w:p>
    <w:p>
      <w:pPr>
        <w:spacing w:line="600" w:lineRule="exact"/>
        <w:ind w:left="1" w:firstLine="594" w:firstLineChars="200"/>
        <w:textAlignment w:val="center"/>
        <w:rPr>
          <w:rFonts w:hint="eastAsia" w:ascii="Cambria" w:hAnsi="Cambria" w:eastAsia="宋体"/>
          <w:bCs/>
          <w:kern w:val="28"/>
          <w:sz w:val="28"/>
          <w:szCs w:val="32"/>
          <w:lang w:eastAsia="zh-CN"/>
        </w:rPr>
      </w:pPr>
      <w:r>
        <w:rPr>
          <w:rFonts w:hint="eastAsia" w:ascii="Cambria" w:hAnsi="Cambria"/>
          <w:bCs/>
          <w:kern w:val="28"/>
          <w:sz w:val="28"/>
          <w:szCs w:val="32"/>
        </w:rPr>
        <w:t>2022年10月11日至</w:t>
      </w:r>
      <w:r>
        <w:rPr>
          <w:rFonts w:hint="eastAsia" w:ascii="Cambria" w:hAnsi="Cambria"/>
          <w:bCs/>
          <w:kern w:val="28"/>
          <w:sz w:val="28"/>
          <w:szCs w:val="32"/>
          <w:lang w:eastAsia="zh-CN"/>
        </w:rPr>
        <w:t>2022年10月28日</w:t>
      </w:r>
    </w:p>
    <w:p>
      <w:pPr>
        <w:rPr>
          <w:rFonts w:ascii="宋体" w:hAnsi="宋体"/>
          <w:bCs/>
          <w:sz w:val="48"/>
          <w:szCs w:val="48"/>
        </w:rPr>
      </w:pPr>
    </w:p>
    <w:p>
      <w:pPr>
        <w:pStyle w:val="19"/>
        <w:pageBreakBefore/>
      </w:pPr>
      <w:bookmarkStart w:id="68" w:name="_Toc19110979"/>
      <w:bookmarkStart w:id="69" w:name="_Toc19110120"/>
      <w:bookmarkStart w:id="70" w:name="_Toc3300"/>
      <w:bookmarkStart w:id="71" w:name="_Toc18236187"/>
      <w:r>
        <w:rPr>
          <w:rFonts w:hint="eastAsia"/>
        </w:rPr>
        <w:t>附 件</w:t>
      </w:r>
      <w:bookmarkEnd w:id="68"/>
      <w:bookmarkEnd w:id="69"/>
      <w:bookmarkEnd w:id="70"/>
      <w:bookmarkEnd w:id="71"/>
    </w:p>
    <w:p>
      <w:pPr>
        <w:spacing w:line="560" w:lineRule="exact"/>
        <w:rPr>
          <w:rFonts w:ascii="宋体" w:hAnsi="宋体"/>
          <w:sz w:val="28"/>
          <w:szCs w:val="28"/>
        </w:rPr>
      </w:pPr>
    </w:p>
    <w:p>
      <w:pPr>
        <w:pStyle w:val="4"/>
        <w:ind w:left="227" w:right="227"/>
      </w:pPr>
      <w:bookmarkStart w:id="72" w:name="_Toc19110121"/>
      <w:bookmarkStart w:id="73" w:name="_Toc18236188"/>
      <w:bookmarkStart w:id="74" w:name="_Toc12781"/>
      <w:bookmarkStart w:id="75" w:name="_Toc19110980"/>
      <w:r>
        <w:rPr>
          <w:rFonts w:hint="eastAsia"/>
        </w:rPr>
        <w:t>一、估价委托书复印件</w:t>
      </w:r>
      <w:bookmarkEnd w:id="72"/>
      <w:bookmarkEnd w:id="73"/>
      <w:bookmarkEnd w:id="74"/>
      <w:bookmarkEnd w:id="75"/>
    </w:p>
    <w:p>
      <w:pPr>
        <w:pStyle w:val="4"/>
        <w:ind w:left="227" w:right="227"/>
      </w:pPr>
      <w:bookmarkStart w:id="76" w:name="_Toc18236189"/>
      <w:bookmarkStart w:id="77" w:name="_Toc2307"/>
      <w:bookmarkStart w:id="78" w:name="_Toc19110122"/>
      <w:bookmarkStart w:id="79" w:name="_Toc19110981"/>
      <w:r>
        <w:rPr>
          <w:rFonts w:hint="eastAsia"/>
        </w:rPr>
        <w:t>二、</w:t>
      </w:r>
      <w:bookmarkEnd w:id="76"/>
      <w:r>
        <w:rPr>
          <w:rFonts w:hint="eastAsia"/>
        </w:rPr>
        <w:t>估价对象权属证明复印件</w:t>
      </w:r>
      <w:bookmarkEnd w:id="77"/>
      <w:bookmarkEnd w:id="78"/>
      <w:bookmarkEnd w:id="79"/>
    </w:p>
    <w:p>
      <w:pPr>
        <w:pStyle w:val="4"/>
        <w:ind w:left="227" w:right="227"/>
      </w:pPr>
      <w:bookmarkStart w:id="80" w:name="_Toc18236190"/>
      <w:bookmarkStart w:id="81" w:name="_Toc19110123"/>
      <w:bookmarkStart w:id="82" w:name="_Toc13602"/>
      <w:bookmarkStart w:id="83" w:name="_Toc19110982"/>
      <w:r>
        <w:rPr>
          <w:rFonts w:hint="eastAsia"/>
        </w:rPr>
        <w:t>三、</w:t>
      </w:r>
      <w:bookmarkEnd w:id="80"/>
      <w:r>
        <w:rPr>
          <w:rFonts w:hint="eastAsia"/>
        </w:rPr>
        <w:t>估价对象地理位置图及影像资料</w:t>
      </w:r>
      <w:bookmarkEnd w:id="81"/>
      <w:bookmarkEnd w:id="82"/>
      <w:bookmarkEnd w:id="83"/>
    </w:p>
    <w:p>
      <w:pPr>
        <w:pStyle w:val="4"/>
        <w:ind w:left="227" w:right="227"/>
      </w:pPr>
      <w:bookmarkStart w:id="84" w:name="_Toc18236191"/>
      <w:bookmarkStart w:id="85" w:name="_Toc19110124"/>
      <w:bookmarkStart w:id="86" w:name="_Toc20694"/>
      <w:bookmarkStart w:id="87" w:name="_Toc19110983"/>
      <w:r>
        <w:rPr>
          <w:rFonts w:hint="eastAsia"/>
        </w:rPr>
        <w:t>四、</w:t>
      </w:r>
      <w:bookmarkEnd w:id="84"/>
      <w:r>
        <w:rPr>
          <w:rFonts w:hint="eastAsia"/>
        </w:rPr>
        <w:t>估价对象现场查勘表复印件</w:t>
      </w:r>
      <w:bookmarkEnd w:id="85"/>
      <w:bookmarkEnd w:id="86"/>
      <w:bookmarkEnd w:id="87"/>
    </w:p>
    <w:p>
      <w:pPr>
        <w:pStyle w:val="4"/>
        <w:ind w:left="227" w:right="227"/>
      </w:pPr>
      <w:bookmarkStart w:id="88" w:name="_Toc18236192"/>
      <w:bookmarkStart w:id="89" w:name="_Toc19110125"/>
      <w:bookmarkStart w:id="90" w:name="_Toc19110984"/>
      <w:bookmarkStart w:id="91" w:name="_Toc16627"/>
      <w:r>
        <w:rPr>
          <w:rFonts w:hint="eastAsia"/>
        </w:rPr>
        <w:t>五、</w:t>
      </w:r>
      <w:bookmarkEnd w:id="88"/>
      <w:bookmarkEnd w:id="89"/>
      <w:bookmarkEnd w:id="90"/>
      <w:r>
        <w:rPr>
          <w:rFonts w:hint="eastAsia"/>
        </w:rPr>
        <w:t>房地产估价机构营业执照、估价资质证及房地产估价师注册证书复印件</w:t>
      </w:r>
      <w:bookmarkEnd w:id="91"/>
    </w:p>
    <w:p>
      <w:pPr>
        <w:pStyle w:val="4"/>
        <w:ind w:left="227" w:right="227"/>
      </w:pPr>
    </w:p>
    <w:p>
      <w:pPr>
        <w:pStyle w:val="4"/>
        <w:ind w:left="227" w:right="227"/>
      </w:pPr>
    </w:p>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600" w:lineRule="exact"/>
        <w:textAlignment w:val="center"/>
        <w:rPr>
          <w:rFonts w:ascii="宋体" w:hAnsi="宋体" w:cs="仿宋_GB2312"/>
          <w:sz w:val="28"/>
        </w:rPr>
      </w:pPr>
    </w:p>
    <w:sectPr>
      <w:pgSz w:w="11906" w:h="16838"/>
      <w:pgMar w:top="703" w:right="850" w:bottom="850" w:left="1010" w:header="567" w:footer="794" w:gutter="567"/>
      <w:cols w:space="0" w:num="1"/>
      <w:docGrid w:type="linesAndChars" w:linePitch="314" w:charSpace="35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38</w:t>
    </w:r>
    <w:r>
      <w:rPr>
        <w:lang w:val="zh-CN"/>
      </w:rPr>
      <w:fldChar w:fldCharType="end"/>
    </w:r>
  </w:p>
  <w:p>
    <w:pPr>
      <w:pStyle w:val="13"/>
      <w:spacing w:line="100" w:lineRule="exact"/>
      <w:ind w:left="-426" w:leftChars="-203"/>
      <w:rPr>
        <w:u w:val="single"/>
      </w:rPr>
    </w:pPr>
  </w:p>
  <w:p>
    <w:pPr>
      <w:pStyle w:val="13"/>
      <w:ind w:left="-424" w:leftChars="-202"/>
    </w:pPr>
    <w:r>
      <w:rPr>
        <w:rFonts w:hint="eastAsia"/>
      </w:rPr>
      <w:t>E-mail:qjhtpg@163.com                                                                           Tel:13887401865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ascii="华文细黑" w:hAnsi="华文细黑" w:eastAsia="华文细黑"/>
      </w:rPr>
    </w:pPr>
    <w:r>
      <w:pict>
        <v:shape id="_x0000_s4097" o:spid="_x0000_s4097" o:spt="75" type="#_x0000_t75" style="position:absolute;left:0pt;margin-left:-14.85pt;margin-top:-1pt;height:14.95pt;width:16.35pt;mso-wrap-distance-bottom:0pt;mso-wrap-distance-left:9pt;mso-wrap-distance-right:9pt;mso-wrap-distance-top:0pt;z-index:251659264;mso-width-relative:page;mso-height-relative:page;" filled="f" o:preferrelative="t" stroked="f" coordsize="21600,21600">
          <v:path/>
          <v:fill on="f" focussize="0,0"/>
          <v:stroke on="f" joinstyle="miter"/>
          <v:imagedata r:id="rId1" o:title=""/>
          <o:lock v:ext="edit" aspectratio="t"/>
          <w10:wrap type="square"/>
        </v:shape>
      </w:pict>
    </w:r>
    <w:r>
      <w:rPr>
        <w:rFonts w:hint="eastAsia" w:ascii="华文细黑" w:hAnsi="华文细黑" w:eastAsia="华文细黑"/>
      </w:rPr>
      <w:t xml:space="preserve"> 恒通评估                                                                                           </w:t>
    </w:r>
  </w:p>
  <w:p>
    <w:pPr>
      <w:pStyle w:val="14"/>
      <w:pBdr>
        <w:bottom w:val="none" w:color="auto" w:sz="0" w:space="0"/>
      </w:pBdr>
      <w:spacing w:line="80" w:lineRule="exact"/>
      <w:ind w:left="-424" w:leftChars="-202"/>
      <w:jc w:val="both"/>
      <w:rPr>
        <w:rFonts w:ascii="华文细黑" w:hAnsi="华文细黑" w:eastAsia="华文细黑"/>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NotTrackMoves/>
  <w:documentProtection w:enforcement="0"/>
  <w:defaultTabStop w:val="420"/>
  <w:drawingGridHorizontalSpacing w:val="227"/>
  <w:drawingGridVerticalSpacing w:val="157"/>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NmOTMyMzNkMTAwODZlNTFiODdjMzllOTFmNjkwMmEifQ=="/>
  </w:docVars>
  <w:rsids>
    <w:rsidRoot w:val="00172A27"/>
    <w:rsid w:val="00000127"/>
    <w:rsid w:val="0000063E"/>
    <w:rsid w:val="00002021"/>
    <w:rsid w:val="0000236D"/>
    <w:rsid w:val="0000249D"/>
    <w:rsid w:val="000039D9"/>
    <w:rsid w:val="00003D29"/>
    <w:rsid w:val="000046AF"/>
    <w:rsid w:val="00004C95"/>
    <w:rsid w:val="00004CE9"/>
    <w:rsid w:val="00005BCE"/>
    <w:rsid w:val="00005F8D"/>
    <w:rsid w:val="00006F16"/>
    <w:rsid w:val="0000793D"/>
    <w:rsid w:val="00007DFE"/>
    <w:rsid w:val="00010623"/>
    <w:rsid w:val="00010EF4"/>
    <w:rsid w:val="000114E1"/>
    <w:rsid w:val="00012C29"/>
    <w:rsid w:val="0001329A"/>
    <w:rsid w:val="000145A7"/>
    <w:rsid w:val="00014904"/>
    <w:rsid w:val="0001549A"/>
    <w:rsid w:val="00016F43"/>
    <w:rsid w:val="0001793E"/>
    <w:rsid w:val="00020286"/>
    <w:rsid w:val="00020AC2"/>
    <w:rsid w:val="00020B61"/>
    <w:rsid w:val="00021634"/>
    <w:rsid w:val="00021BE2"/>
    <w:rsid w:val="00022A2C"/>
    <w:rsid w:val="00022C84"/>
    <w:rsid w:val="00022CB7"/>
    <w:rsid w:val="00022E94"/>
    <w:rsid w:val="00025584"/>
    <w:rsid w:val="00025E6C"/>
    <w:rsid w:val="00026F47"/>
    <w:rsid w:val="00027067"/>
    <w:rsid w:val="0002718C"/>
    <w:rsid w:val="00027826"/>
    <w:rsid w:val="00027DCA"/>
    <w:rsid w:val="00030497"/>
    <w:rsid w:val="00030751"/>
    <w:rsid w:val="00031172"/>
    <w:rsid w:val="0003138A"/>
    <w:rsid w:val="00033315"/>
    <w:rsid w:val="000336AC"/>
    <w:rsid w:val="00033909"/>
    <w:rsid w:val="00033F44"/>
    <w:rsid w:val="000341E9"/>
    <w:rsid w:val="000355DC"/>
    <w:rsid w:val="00035C64"/>
    <w:rsid w:val="00036AA1"/>
    <w:rsid w:val="0003717C"/>
    <w:rsid w:val="000374C0"/>
    <w:rsid w:val="000375B3"/>
    <w:rsid w:val="00040631"/>
    <w:rsid w:val="00041155"/>
    <w:rsid w:val="00043339"/>
    <w:rsid w:val="00043F0F"/>
    <w:rsid w:val="00044023"/>
    <w:rsid w:val="000451C5"/>
    <w:rsid w:val="0004531A"/>
    <w:rsid w:val="00045D7D"/>
    <w:rsid w:val="00045F34"/>
    <w:rsid w:val="00045F81"/>
    <w:rsid w:val="00046160"/>
    <w:rsid w:val="0004692D"/>
    <w:rsid w:val="00046D6E"/>
    <w:rsid w:val="00046FCD"/>
    <w:rsid w:val="000509CA"/>
    <w:rsid w:val="00050A53"/>
    <w:rsid w:val="00050F40"/>
    <w:rsid w:val="00050F47"/>
    <w:rsid w:val="000520D4"/>
    <w:rsid w:val="00052B9E"/>
    <w:rsid w:val="00053C17"/>
    <w:rsid w:val="00053CB4"/>
    <w:rsid w:val="00053E97"/>
    <w:rsid w:val="00054056"/>
    <w:rsid w:val="0005409F"/>
    <w:rsid w:val="0005492E"/>
    <w:rsid w:val="00054B8F"/>
    <w:rsid w:val="00055770"/>
    <w:rsid w:val="000557C8"/>
    <w:rsid w:val="00056F69"/>
    <w:rsid w:val="00057023"/>
    <w:rsid w:val="0005780D"/>
    <w:rsid w:val="000600BA"/>
    <w:rsid w:val="000609C3"/>
    <w:rsid w:val="00060B3F"/>
    <w:rsid w:val="0006112F"/>
    <w:rsid w:val="00061514"/>
    <w:rsid w:val="00062D6E"/>
    <w:rsid w:val="0006323A"/>
    <w:rsid w:val="0006324E"/>
    <w:rsid w:val="000639F3"/>
    <w:rsid w:val="00063C50"/>
    <w:rsid w:val="000641B6"/>
    <w:rsid w:val="00064A06"/>
    <w:rsid w:val="00064D3C"/>
    <w:rsid w:val="00065154"/>
    <w:rsid w:val="0006612B"/>
    <w:rsid w:val="00066892"/>
    <w:rsid w:val="00066993"/>
    <w:rsid w:val="00066AB0"/>
    <w:rsid w:val="00066BE0"/>
    <w:rsid w:val="00067774"/>
    <w:rsid w:val="00067BC5"/>
    <w:rsid w:val="00070032"/>
    <w:rsid w:val="000700B0"/>
    <w:rsid w:val="00070D78"/>
    <w:rsid w:val="00071C92"/>
    <w:rsid w:val="00072024"/>
    <w:rsid w:val="0007217C"/>
    <w:rsid w:val="00072599"/>
    <w:rsid w:val="00072933"/>
    <w:rsid w:val="00073AF1"/>
    <w:rsid w:val="00075E47"/>
    <w:rsid w:val="00076CF9"/>
    <w:rsid w:val="000805F8"/>
    <w:rsid w:val="00080669"/>
    <w:rsid w:val="00080C83"/>
    <w:rsid w:val="00081403"/>
    <w:rsid w:val="00081700"/>
    <w:rsid w:val="0008288D"/>
    <w:rsid w:val="00083193"/>
    <w:rsid w:val="000834FF"/>
    <w:rsid w:val="000839E5"/>
    <w:rsid w:val="00083C82"/>
    <w:rsid w:val="00083F0D"/>
    <w:rsid w:val="00085913"/>
    <w:rsid w:val="00085B55"/>
    <w:rsid w:val="00086719"/>
    <w:rsid w:val="00087428"/>
    <w:rsid w:val="0008774A"/>
    <w:rsid w:val="00087A9F"/>
    <w:rsid w:val="00087B61"/>
    <w:rsid w:val="00090F4F"/>
    <w:rsid w:val="00091593"/>
    <w:rsid w:val="00091EC2"/>
    <w:rsid w:val="00092486"/>
    <w:rsid w:val="000929CA"/>
    <w:rsid w:val="00092A91"/>
    <w:rsid w:val="000932A4"/>
    <w:rsid w:val="0009360E"/>
    <w:rsid w:val="000955A0"/>
    <w:rsid w:val="00096A4E"/>
    <w:rsid w:val="00096B4E"/>
    <w:rsid w:val="00097B5A"/>
    <w:rsid w:val="00097FCB"/>
    <w:rsid w:val="000A041C"/>
    <w:rsid w:val="000A0D57"/>
    <w:rsid w:val="000A260F"/>
    <w:rsid w:val="000A3B8C"/>
    <w:rsid w:val="000A406F"/>
    <w:rsid w:val="000A47BA"/>
    <w:rsid w:val="000A55AB"/>
    <w:rsid w:val="000A60CC"/>
    <w:rsid w:val="000A7846"/>
    <w:rsid w:val="000B00A9"/>
    <w:rsid w:val="000B3DE9"/>
    <w:rsid w:val="000B5D2E"/>
    <w:rsid w:val="000B5F12"/>
    <w:rsid w:val="000B72C9"/>
    <w:rsid w:val="000B7827"/>
    <w:rsid w:val="000C05AF"/>
    <w:rsid w:val="000C1863"/>
    <w:rsid w:val="000C1BDD"/>
    <w:rsid w:val="000C1BE2"/>
    <w:rsid w:val="000C1D7A"/>
    <w:rsid w:val="000C1DD3"/>
    <w:rsid w:val="000C31B4"/>
    <w:rsid w:val="000C3757"/>
    <w:rsid w:val="000C3C1C"/>
    <w:rsid w:val="000C45CF"/>
    <w:rsid w:val="000C4CA0"/>
    <w:rsid w:val="000C4CDC"/>
    <w:rsid w:val="000C5255"/>
    <w:rsid w:val="000C588D"/>
    <w:rsid w:val="000C63F8"/>
    <w:rsid w:val="000C684C"/>
    <w:rsid w:val="000C6853"/>
    <w:rsid w:val="000C78B3"/>
    <w:rsid w:val="000C79CC"/>
    <w:rsid w:val="000C7DCD"/>
    <w:rsid w:val="000D0228"/>
    <w:rsid w:val="000D0941"/>
    <w:rsid w:val="000D3328"/>
    <w:rsid w:val="000D3A4C"/>
    <w:rsid w:val="000D3F92"/>
    <w:rsid w:val="000D44AE"/>
    <w:rsid w:val="000D46C9"/>
    <w:rsid w:val="000D4F3E"/>
    <w:rsid w:val="000D50B1"/>
    <w:rsid w:val="000D5A6E"/>
    <w:rsid w:val="000D69B0"/>
    <w:rsid w:val="000D71FB"/>
    <w:rsid w:val="000D7528"/>
    <w:rsid w:val="000D7C19"/>
    <w:rsid w:val="000E07E3"/>
    <w:rsid w:val="000E0A2E"/>
    <w:rsid w:val="000E10AE"/>
    <w:rsid w:val="000E1137"/>
    <w:rsid w:val="000E1730"/>
    <w:rsid w:val="000E1FF9"/>
    <w:rsid w:val="000E2409"/>
    <w:rsid w:val="000E27D1"/>
    <w:rsid w:val="000E2E79"/>
    <w:rsid w:val="000E2EFC"/>
    <w:rsid w:val="000E3272"/>
    <w:rsid w:val="000E3A8C"/>
    <w:rsid w:val="000E4077"/>
    <w:rsid w:val="000E4A37"/>
    <w:rsid w:val="000E5F74"/>
    <w:rsid w:val="000E7E49"/>
    <w:rsid w:val="000F0543"/>
    <w:rsid w:val="000F105B"/>
    <w:rsid w:val="000F17D9"/>
    <w:rsid w:val="000F189B"/>
    <w:rsid w:val="000F1F99"/>
    <w:rsid w:val="000F26D3"/>
    <w:rsid w:val="000F3AB0"/>
    <w:rsid w:val="000F4537"/>
    <w:rsid w:val="000F4C29"/>
    <w:rsid w:val="000F4F06"/>
    <w:rsid w:val="000F5174"/>
    <w:rsid w:val="000F627C"/>
    <w:rsid w:val="000F7A41"/>
    <w:rsid w:val="0010038E"/>
    <w:rsid w:val="001042B4"/>
    <w:rsid w:val="0010430B"/>
    <w:rsid w:val="001054CC"/>
    <w:rsid w:val="00106008"/>
    <w:rsid w:val="0010675E"/>
    <w:rsid w:val="00106ABF"/>
    <w:rsid w:val="001071F7"/>
    <w:rsid w:val="001075A1"/>
    <w:rsid w:val="001103B6"/>
    <w:rsid w:val="00110946"/>
    <w:rsid w:val="00110B4D"/>
    <w:rsid w:val="00110F90"/>
    <w:rsid w:val="001117DA"/>
    <w:rsid w:val="00111C2F"/>
    <w:rsid w:val="0011202B"/>
    <w:rsid w:val="001129D6"/>
    <w:rsid w:val="00112D97"/>
    <w:rsid w:val="001135E9"/>
    <w:rsid w:val="0011360A"/>
    <w:rsid w:val="001142B1"/>
    <w:rsid w:val="00114639"/>
    <w:rsid w:val="00115378"/>
    <w:rsid w:val="0011561E"/>
    <w:rsid w:val="001159C6"/>
    <w:rsid w:val="00116669"/>
    <w:rsid w:val="001170BA"/>
    <w:rsid w:val="00117417"/>
    <w:rsid w:val="00117513"/>
    <w:rsid w:val="00121B28"/>
    <w:rsid w:val="00122726"/>
    <w:rsid w:val="0012399D"/>
    <w:rsid w:val="00123F26"/>
    <w:rsid w:val="001243DD"/>
    <w:rsid w:val="00124697"/>
    <w:rsid w:val="00124A71"/>
    <w:rsid w:val="00124B03"/>
    <w:rsid w:val="00124FE2"/>
    <w:rsid w:val="00125E5A"/>
    <w:rsid w:val="00126DC3"/>
    <w:rsid w:val="001300B0"/>
    <w:rsid w:val="0013171B"/>
    <w:rsid w:val="00131E01"/>
    <w:rsid w:val="00131EC5"/>
    <w:rsid w:val="00132C56"/>
    <w:rsid w:val="00132C5A"/>
    <w:rsid w:val="00133117"/>
    <w:rsid w:val="001334EF"/>
    <w:rsid w:val="0013482E"/>
    <w:rsid w:val="00134879"/>
    <w:rsid w:val="00134C31"/>
    <w:rsid w:val="00134EB6"/>
    <w:rsid w:val="00135743"/>
    <w:rsid w:val="001365C9"/>
    <w:rsid w:val="001366DC"/>
    <w:rsid w:val="0013671F"/>
    <w:rsid w:val="00137071"/>
    <w:rsid w:val="001373A8"/>
    <w:rsid w:val="001378DB"/>
    <w:rsid w:val="00140034"/>
    <w:rsid w:val="00140338"/>
    <w:rsid w:val="001426DE"/>
    <w:rsid w:val="00142822"/>
    <w:rsid w:val="00142C41"/>
    <w:rsid w:val="001440C7"/>
    <w:rsid w:val="00144236"/>
    <w:rsid w:val="001443A8"/>
    <w:rsid w:val="001443FF"/>
    <w:rsid w:val="001447C8"/>
    <w:rsid w:val="00144F8D"/>
    <w:rsid w:val="00144FF5"/>
    <w:rsid w:val="001454A3"/>
    <w:rsid w:val="001458A1"/>
    <w:rsid w:val="0014632D"/>
    <w:rsid w:val="00146530"/>
    <w:rsid w:val="001466BF"/>
    <w:rsid w:val="00147CAE"/>
    <w:rsid w:val="001529A6"/>
    <w:rsid w:val="0015375D"/>
    <w:rsid w:val="00153E4E"/>
    <w:rsid w:val="00153F38"/>
    <w:rsid w:val="001540D5"/>
    <w:rsid w:val="001550D8"/>
    <w:rsid w:val="00156930"/>
    <w:rsid w:val="00156BDF"/>
    <w:rsid w:val="00157550"/>
    <w:rsid w:val="0015778B"/>
    <w:rsid w:val="0016076E"/>
    <w:rsid w:val="0016150D"/>
    <w:rsid w:val="00161DFC"/>
    <w:rsid w:val="00161ED6"/>
    <w:rsid w:val="001621C1"/>
    <w:rsid w:val="00162FE2"/>
    <w:rsid w:val="00164153"/>
    <w:rsid w:val="00164465"/>
    <w:rsid w:val="00165283"/>
    <w:rsid w:val="001659B9"/>
    <w:rsid w:val="00165E63"/>
    <w:rsid w:val="00165F34"/>
    <w:rsid w:val="00166985"/>
    <w:rsid w:val="00166B40"/>
    <w:rsid w:val="00166C55"/>
    <w:rsid w:val="00167D86"/>
    <w:rsid w:val="00170EA5"/>
    <w:rsid w:val="001711D0"/>
    <w:rsid w:val="00171657"/>
    <w:rsid w:val="001716CF"/>
    <w:rsid w:val="001727B5"/>
    <w:rsid w:val="00172A27"/>
    <w:rsid w:val="001731D0"/>
    <w:rsid w:val="001742F1"/>
    <w:rsid w:val="00175335"/>
    <w:rsid w:val="00177232"/>
    <w:rsid w:val="001777C6"/>
    <w:rsid w:val="0018082B"/>
    <w:rsid w:val="0018171B"/>
    <w:rsid w:val="00182CDA"/>
    <w:rsid w:val="001842C6"/>
    <w:rsid w:val="00185913"/>
    <w:rsid w:val="00185F66"/>
    <w:rsid w:val="00186F60"/>
    <w:rsid w:val="00187804"/>
    <w:rsid w:val="0019011D"/>
    <w:rsid w:val="001904A7"/>
    <w:rsid w:val="00190E8A"/>
    <w:rsid w:val="00191226"/>
    <w:rsid w:val="0019201D"/>
    <w:rsid w:val="00192D01"/>
    <w:rsid w:val="0019525E"/>
    <w:rsid w:val="00195B7D"/>
    <w:rsid w:val="00196368"/>
    <w:rsid w:val="001963E1"/>
    <w:rsid w:val="00197F22"/>
    <w:rsid w:val="001A17A5"/>
    <w:rsid w:val="001A2267"/>
    <w:rsid w:val="001A299A"/>
    <w:rsid w:val="001A3E65"/>
    <w:rsid w:val="001A3E97"/>
    <w:rsid w:val="001A4D46"/>
    <w:rsid w:val="001A4E10"/>
    <w:rsid w:val="001A4F9B"/>
    <w:rsid w:val="001A5199"/>
    <w:rsid w:val="001A51ED"/>
    <w:rsid w:val="001A5C95"/>
    <w:rsid w:val="001A6D41"/>
    <w:rsid w:val="001A6F1A"/>
    <w:rsid w:val="001A7497"/>
    <w:rsid w:val="001A759A"/>
    <w:rsid w:val="001A7898"/>
    <w:rsid w:val="001A7C2D"/>
    <w:rsid w:val="001A7D99"/>
    <w:rsid w:val="001B000B"/>
    <w:rsid w:val="001B02D4"/>
    <w:rsid w:val="001B05A3"/>
    <w:rsid w:val="001B08C0"/>
    <w:rsid w:val="001B0F2C"/>
    <w:rsid w:val="001B256C"/>
    <w:rsid w:val="001B3AC5"/>
    <w:rsid w:val="001B3E9E"/>
    <w:rsid w:val="001B3F48"/>
    <w:rsid w:val="001B42A8"/>
    <w:rsid w:val="001B4389"/>
    <w:rsid w:val="001B4704"/>
    <w:rsid w:val="001B5182"/>
    <w:rsid w:val="001B57D9"/>
    <w:rsid w:val="001B59F1"/>
    <w:rsid w:val="001B5ABD"/>
    <w:rsid w:val="001B7055"/>
    <w:rsid w:val="001B7A6F"/>
    <w:rsid w:val="001C028B"/>
    <w:rsid w:val="001C1303"/>
    <w:rsid w:val="001C1538"/>
    <w:rsid w:val="001C1F39"/>
    <w:rsid w:val="001C262C"/>
    <w:rsid w:val="001C2856"/>
    <w:rsid w:val="001C2A4A"/>
    <w:rsid w:val="001C2C22"/>
    <w:rsid w:val="001C4361"/>
    <w:rsid w:val="001C4404"/>
    <w:rsid w:val="001C4661"/>
    <w:rsid w:val="001C466C"/>
    <w:rsid w:val="001C4950"/>
    <w:rsid w:val="001C4B03"/>
    <w:rsid w:val="001C530D"/>
    <w:rsid w:val="001C5884"/>
    <w:rsid w:val="001C5FB3"/>
    <w:rsid w:val="001C6D83"/>
    <w:rsid w:val="001D0759"/>
    <w:rsid w:val="001D1304"/>
    <w:rsid w:val="001D1D16"/>
    <w:rsid w:val="001D31C0"/>
    <w:rsid w:val="001D3B70"/>
    <w:rsid w:val="001D3DFF"/>
    <w:rsid w:val="001D568A"/>
    <w:rsid w:val="001D578C"/>
    <w:rsid w:val="001D57FF"/>
    <w:rsid w:val="001D6829"/>
    <w:rsid w:val="001D6F46"/>
    <w:rsid w:val="001D7590"/>
    <w:rsid w:val="001D7953"/>
    <w:rsid w:val="001D7AB0"/>
    <w:rsid w:val="001E006C"/>
    <w:rsid w:val="001E0FF2"/>
    <w:rsid w:val="001E1EAF"/>
    <w:rsid w:val="001E21E1"/>
    <w:rsid w:val="001E2647"/>
    <w:rsid w:val="001E2B88"/>
    <w:rsid w:val="001E2CEC"/>
    <w:rsid w:val="001E30D0"/>
    <w:rsid w:val="001E3188"/>
    <w:rsid w:val="001E36A6"/>
    <w:rsid w:val="001E656D"/>
    <w:rsid w:val="001E6982"/>
    <w:rsid w:val="001E69F4"/>
    <w:rsid w:val="001E6B59"/>
    <w:rsid w:val="001E7446"/>
    <w:rsid w:val="001F09DC"/>
    <w:rsid w:val="001F10E1"/>
    <w:rsid w:val="001F1792"/>
    <w:rsid w:val="001F1BB6"/>
    <w:rsid w:val="001F1EF1"/>
    <w:rsid w:val="001F2156"/>
    <w:rsid w:val="001F34D0"/>
    <w:rsid w:val="001F36DD"/>
    <w:rsid w:val="001F4E82"/>
    <w:rsid w:val="001F5804"/>
    <w:rsid w:val="001F6899"/>
    <w:rsid w:val="001F68E4"/>
    <w:rsid w:val="001F717B"/>
    <w:rsid w:val="0020100C"/>
    <w:rsid w:val="00201C2D"/>
    <w:rsid w:val="00202425"/>
    <w:rsid w:val="00202BD7"/>
    <w:rsid w:val="0020372D"/>
    <w:rsid w:val="002038A0"/>
    <w:rsid w:val="002043D3"/>
    <w:rsid w:val="00204486"/>
    <w:rsid w:val="002045A6"/>
    <w:rsid w:val="002049D7"/>
    <w:rsid w:val="00204EF1"/>
    <w:rsid w:val="0020559A"/>
    <w:rsid w:val="002059F7"/>
    <w:rsid w:val="00205CAC"/>
    <w:rsid w:val="00207626"/>
    <w:rsid w:val="00207AAC"/>
    <w:rsid w:val="00211F10"/>
    <w:rsid w:val="00211FD5"/>
    <w:rsid w:val="0021226F"/>
    <w:rsid w:val="00212A2D"/>
    <w:rsid w:val="00212F75"/>
    <w:rsid w:val="00213417"/>
    <w:rsid w:val="00213DD0"/>
    <w:rsid w:val="00214016"/>
    <w:rsid w:val="00215FED"/>
    <w:rsid w:val="002173F9"/>
    <w:rsid w:val="00217733"/>
    <w:rsid w:val="00217CDB"/>
    <w:rsid w:val="00220511"/>
    <w:rsid w:val="0022288B"/>
    <w:rsid w:val="00223C18"/>
    <w:rsid w:val="00223C84"/>
    <w:rsid w:val="00225A8E"/>
    <w:rsid w:val="002274BE"/>
    <w:rsid w:val="00227542"/>
    <w:rsid w:val="0022778D"/>
    <w:rsid w:val="00227DB7"/>
    <w:rsid w:val="00230116"/>
    <w:rsid w:val="0023028F"/>
    <w:rsid w:val="00230749"/>
    <w:rsid w:val="002312D6"/>
    <w:rsid w:val="00231CDC"/>
    <w:rsid w:val="00232EB6"/>
    <w:rsid w:val="002347E2"/>
    <w:rsid w:val="00235C23"/>
    <w:rsid w:val="00235C35"/>
    <w:rsid w:val="002361D4"/>
    <w:rsid w:val="00236970"/>
    <w:rsid w:val="00236CAD"/>
    <w:rsid w:val="00236D4D"/>
    <w:rsid w:val="002374C7"/>
    <w:rsid w:val="00240261"/>
    <w:rsid w:val="002403ED"/>
    <w:rsid w:val="00240CE9"/>
    <w:rsid w:val="00241127"/>
    <w:rsid w:val="0024152D"/>
    <w:rsid w:val="002419E7"/>
    <w:rsid w:val="00241CCB"/>
    <w:rsid w:val="00242D5C"/>
    <w:rsid w:val="00243373"/>
    <w:rsid w:val="00244EFF"/>
    <w:rsid w:val="00245693"/>
    <w:rsid w:val="002456D8"/>
    <w:rsid w:val="0024692E"/>
    <w:rsid w:val="0024783D"/>
    <w:rsid w:val="00247BC0"/>
    <w:rsid w:val="00247CBB"/>
    <w:rsid w:val="00250358"/>
    <w:rsid w:val="00250E51"/>
    <w:rsid w:val="0025176A"/>
    <w:rsid w:val="00251E94"/>
    <w:rsid w:val="002523B5"/>
    <w:rsid w:val="0025286E"/>
    <w:rsid w:val="00252AA4"/>
    <w:rsid w:val="00253073"/>
    <w:rsid w:val="002531C0"/>
    <w:rsid w:val="002531EE"/>
    <w:rsid w:val="0025323D"/>
    <w:rsid w:val="0025343D"/>
    <w:rsid w:val="00253AEF"/>
    <w:rsid w:val="00253E0A"/>
    <w:rsid w:val="002542E5"/>
    <w:rsid w:val="00254AB5"/>
    <w:rsid w:val="0025718F"/>
    <w:rsid w:val="002610BC"/>
    <w:rsid w:val="00262463"/>
    <w:rsid w:val="002628CE"/>
    <w:rsid w:val="00262923"/>
    <w:rsid w:val="00263B8B"/>
    <w:rsid w:val="002640F7"/>
    <w:rsid w:val="00264CD9"/>
    <w:rsid w:val="00264EAA"/>
    <w:rsid w:val="002655DD"/>
    <w:rsid w:val="00265E2C"/>
    <w:rsid w:val="00266669"/>
    <w:rsid w:val="00267D74"/>
    <w:rsid w:val="00267FC9"/>
    <w:rsid w:val="0027012C"/>
    <w:rsid w:val="00270569"/>
    <w:rsid w:val="002706A5"/>
    <w:rsid w:val="00270C6A"/>
    <w:rsid w:val="00271146"/>
    <w:rsid w:val="0027125E"/>
    <w:rsid w:val="00272DF5"/>
    <w:rsid w:val="0027321E"/>
    <w:rsid w:val="00273C6D"/>
    <w:rsid w:val="00273C91"/>
    <w:rsid w:val="00273E98"/>
    <w:rsid w:val="00274445"/>
    <w:rsid w:val="00274CC6"/>
    <w:rsid w:val="0027519F"/>
    <w:rsid w:val="002751B7"/>
    <w:rsid w:val="00275D01"/>
    <w:rsid w:val="00275D73"/>
    <w:rsid w:val="00276E8C"/>
    <w:rsid w:val="00277820"/>
    <w:rsid w:val="002808F6"/>
    <w:rsid w:val="00281206"/>
    <w:rsid w:val="00281B41"/>
    <w:rsid w:val="00281C24"/>
    <w:rsid w:val="00281EA1"/>
    <w:rsid w:val="002825F5"/>
    <w:rsid w:val="00283096"/>
    <w:rsid w:val="002838A1"/>
    <w:rsid w:val="00284566"/>
    <w:rsid w:val="0028477D"/>
    <w:rsid w:val="0028482B"/>
    <w:rsid w:val="0028587A"/>
    <w:rsid w:val="00285D1E"/>
    <w:rsid w:val="0028610A"/>
    <w:rsid w:val="002863D4"/>
    <w:rsid w:val="00286656"/>
    <w:rsid w:val="00286B8D"/>
    <w:rsid w:val="00287865"/>
    <w:rsid w:val="00287BD1"/>
    <w:rsid w:val="00292202"/>
    <w:rsid w:val="00292CA8"/>
    <w:rsid w:val="00293134"/>
    <w:rsid w:val="002938B9"/>
    <w:rsid w:val="00293EEE"/>
    <w:rsid w:val="002946A4"/>
    <w:rsid w:val="00295544"/>
    <w:rsid w:val="00295975"/>
    <w:rsid w:val="00296168"/>
    <w:rsid w:val="002961FB"/>
    <w:rsid w:val="00296AE2"/>
    <w:rsid w:val="00296B94"/>
    <w:rsid w:val="00297AFE"/>
    <w:rsid w:val="002A00C1"/>
    <w:rsid w:val="002A087F"/>
    <w:rsid w:val="002A0AFC"/>
    <w:rsid w:val="002A1274"/>
    <w:rsid w:val="002A1810"/>
    <w:rsid w:val="002A1F85"/>
    <w:rsid w:val="002A2006"/>
    <w:rsid w:val="002A30D2"/>
    <w:rsid w:val="002A34DD"/>
    <w:rsid w:val="002A3804"/>
    <w:rsid w:val="002A3F1A"/>
    <w:rsid w:val="002A4D9F"/>
    <w:rsid w:val="002A505D"/>
    <w:rsid w:val="002A54C6"/>
    <w:rsid w:val="002A57EE"/>
    <w:rsid w:val="002A785D"/>
    <w:rsid w:val="002A7AE1"/>
    <w:rsid w:val="002B009F"/>
    <w:rsid w:val="002B036A"/>
    <w:rsid w:val="002B09C4"/>
    <w:rsid w:val="002B0A0F"/>
    <w:rsid w:val="002B0B23"/>
    <w:rsid w:val="002B1644"/>
    <w:rsid w:val="002B16E1"/>
    <w:rsid w:val="002B1A58"/>
    <w:rsid w:val="002B1D6D"/>
    <w:rsid w:val="002B244B"/>
    <w:rsid w:val="002B2BA7"/>
    <w:rsid w:val="002B32E3"/>
    <w:rsid w:val="002B4382"/>
    <w:rsid w:val="002B4536"/>
    <w:rsid w:val="002B4619"/>
    <w:rsid w:val="002B4916"/>
    <w:rsid w:val="002B6D61"/>
    <w:rsid w:val="002B7119"/>
    <w:rsid w:val="002B777E"/>
    <w:rsid w:val="002C0157"/>
    <w:rsid w:val="002C08F1"/>
    <w:rsid w:val="002C10A9"/>
    <w:rsid w:val="002C1400"/>
    <w:rsid w:val="002C2391"/>
    <w:rsid w:val="002C2904"/>
    <w:rsid w:val="002C2D4D"/>
    <w:rsid w:val="002C38B1"/>
    <w:rsid w:val="002C3E3E"/>
    <w:rsid w:val="002C45F9"/>
    <w:rsid w:val="002C4ABC"/>
    <w:rsid w:val="002C4E64"/>
    <w:rsid w:val="002C58DD"/>
    <w:rsid w:val="002C5C5F"/>
    <w:rsid w:val="002C76AB"/>
    <w:rsid w:val="002D01D9"/>
    <w:rsid w:val="002D03AC"/>
    <w:rsid w:val="002D08E5"/>
    <w:rsid w:val="002D0DED"/>
    <w:rsid w:val="002D22A4"/>
    <w:rsid w:val="002D457B"/>
    <w:rsid w:val="002D4F77"/>
    <w:rsid w:val="002D549A"/>
    <w:rsid w:val="002D6006"/>
    <w:rsid w:val="002D6D95"/>
    <w:rsid w:val="002D7789"/>
    <w:rsid w:val="002D7FE8"/>
    <w:rsid w:val="002E0FEB"/>
    <w:rsid w:val="002E143D"/>
    <w:rsid w:val="002E1B95"/>
    <w:rsid w:val="002E1ED2"/>
    <w:rsid w:val="002E2A8E"/>
    <w:rsid w:val="002E3EAE"/>
    <w:rsid w:val="002E440C"/>
    <w:rsid w:val="002E4976"/>
    <w:rsid w:val="002E6905"/>
    <w:rsid w:val="002E7D88"/>
    <w:rsid w:val="002F0559"/>
    <w:rsid w:val="002F0D5B"/>
    <w:rsid w:val="002F1550"/>
    <w:rsid w:val="002F2773"/>
    <w:rsid w:val="002F3325"/>
    <w:rsid w:val="002F35F5"/>
    <w:rsid w:val="002F39EB"/>
    <w:rsid w:val="002F3D9C"/>
    <w:rsid w:val="002F4CC7"/>
    <w:rsid w:val="002F4D72"/>
    <w:rsid w:val="002F4F9A"/>
    <w:rsid w:val="002F5960"/>
    <w:rsid w:val="002F6447"/>
    <w:rsid w:val="002F69A4"/>
    <w:rsid w:val="002F79B3"/>
    <w:rsid w:val="00300628"/>
    <w:rsid w:val="003006DE"/>
    <w:rsid w:val="00300D76"/>
    <w:rsid w:val="0030105D"/>
    <w:rsid w:val="00302B45"/>
    <w:rsid w:val="00302B5B"/>
    <w:rsid w:val="00302F8D"/>
    <w:rsid w:val="00304351"/>
    <w:rsid w:val="00304950"/>
    <w:rsid w:val="00305102"/>
    <w:rsid w:val="00305DE4"/>
    <w:rsid w:val="00305EAA"/>
    <w:rsid w:val="00310E88"/>
    <w:rsid w:val="00311B1A"/>
    <w:rsid w:val="00311F8F"/>
    <w:rsid w:val="00312AAC"/>
    <w:rsid w:val="003142DD"/>
    <w:rsid w:val="0031540E"/>
    <w:rsid w:val="00316A73"/>
    <w:rsid w:val="0032106B"/>
    <w:rsid w:val="00321538"/>
    <w:rsid w:val="00321C91"/>
    <w:rsid w:val="00326173"/>
    <w:rsid w:val="00327CB1"/>
    <w:rsid w:val="0033004F"/>
    <w:rsid w:val="00333640"/>
    <w:rsid w:val="0033438A"/>
    <w:rsid w:val="00334C79"/>
    <w:rsid w:val="00334D72"/>
    <w:rsid w:val="0033523A"/>
    <w:rsid w:val="003352D4"/>
    <w:rsid w:val="00337B5B"/>
    <w:rsid w:val="003401F9"/>
    <w:rsid w:val="00341D8F"/>
    <w:rsid w:val="00341E50"/>
    <w:rsid w:val="00342C76"/>
    <w:rsid w:val="00343902"/>
    <w:rsid w:val="00343D7E"/>
    <w:rsid w:val="00344628"/>
    <w:rsid w:val="00344E37"/>
    <w:rsid w:val="00344EAE"/>
    <w:rsid w:val="00345C08"/>
    <w:rsid w:val="003469C3"/>
    <w:rsid w:val="00347C27"/>
    <w:rsid w:val="003512EC"/>
    <w:rsid w:val="00351E96"/>
    <w:rsid w:val="0035211C"/>
    <w:rsid w:val="0035282B"/>
    <w:rsid w:val="00352FF7"/>
    <w:rsid w:val="003534CF"/>
    <w:rsid w:val="00353E17"/>
    <w:rsid w:val="00354108"/>
    <w:rsid w:val="00355863"/>
    <w:rsid w:val="00355C20"/>
    <w:rsid w:val="00356394"/>
    <w:rsid w:val="0035656E"/>
    <w:rsid w:val="00357236"/>
    <w:rsid w:val="0035743B"/>
    <w:rsid w:val="0035763C"/>
    <w:rsid w:val="00357872"/>
    <w:rsid w:val="0035796D"/>
    <w:rsid w:val="003601B0"/>
    <w:rsid w:val="003609B0"/>
    <w:rsid w:val="00361391"/>
    <w:rsid w:val="0036243A"/>
    <w:rsid w:val="0036290B"/>
    <w:rsid w:val="00362B85"/>
    <w:rsid w:val="00362BF7"/>
    <w:rsid w:val="003632B8"/>
    <w:rsid w:val="00364FA0"/>
    <w:rsid w:val="00365586"/>
    <w:rsid w:val="00365D92"/>
    <w:rsid w:val="0036767B"/>
    <w:rsid w:val="00370095"/>
    <w:rsid w:val="00370111"/>
    <w:rsid w:val="00372149"/>
    <w:rsid w:val="00373247"/>
    <w:rsid w:val="003744A6"/>
    <w:rsid w:val="003754B6"/>
    <w:rsid w:val="00375BDE"/>
    <w:rsid w:val="00375C62"/>
    <w:rsid w:val="00375DA3"/>
    <w:rsid w:val="00376585"/>
    <w:rsid w:val="00376690"/>
    <w:rsid w:val="00376C9F"/>
    <w:rsid w:val="00376D5C"/>
    <w:rsid w:val="00377A3F"/>
    <w:rsid w:val="003826F5"/>
    <w:rsid w:val="003828C6"/>
    <w:rsid w:val="0038331B"/>
    <w:rsid w:val="0038337D"/>
    <w:rsid w:val="00383555"/>
    <w:rsid w:val="00383657"/>
    <w:rsid w:val="003854BE"/>
    <w:rsid w:val="00386223"/>
    <w:rsid w:val="0038676B"/>
    <w:rsid w:val="003873D1"/>
    <w:rsid w:val="00387747"/>
    <w:rsid w:val="0039036D"/>
    <w:rsid w:val="003905C3"/>
    <w:rsid w:val="00390759"/>
    <w:rsid w:val="00390F43"/>
    <w:rsid w:val="00391858"/>
    <w:rsid w:val="0039699A"/>
    <w:rsid w:val="00397AB4"/>
    <w:rsid w:val="003A0B3C"/>
    <w:rsid w:val="003A1466"/>
    <w:rsid w:val="003A16D2"/>
    <w:rsid w:val="003A1A4B"/>
    <w:rsid w:val="003A1C5C"/>
    <w:rsid w:val="003A2384"/>
    <w:rsid w:val="003A4A66"/>
    <w:rsid w:val="003A4D02"/>
    <w:rsid w:val="003A57AA"/>
    <w:rsid w:val="003A72D8"/>
    <w:rsid w:val="003A7378"/>
    <w:rsid w:val="003B0E90"/>
    <w:rsid w:val="003B1C93"/>
    <w:rsid w:val="003B2890"/>
    <w:rsid w:val="003B3096"/>
    <w:rsid w:val="003B353A"/>
    <w:rsid w:val="003B3A16"/>
    <w:rsid w:val="003B50A0"/>
    <w:rsid w:val="003B528C"/>
    <w:rsid w:val="003B537B"/>
    <w:rsid w:val="003B5668"/>
    <w:rsid w:val="003B5929"/>
    <w:rsid w:val="003B700E"/>
    <w:rsid w:val="003C034B"/>
    <w:rsid w:val="003C07E8"/>
    <w:rsid w:val="003C21E7"/>
    <w:rsid w:val="003C26DF"/>
    <w:rsid w:val="003C27D4"/>
    <w:rsid w:val="003C3152"/>
    <w:rsid w:val="003C3431"/>
    <w:rsid w:val="003C3A29"/>
    <w:rsid w:val="003C3ABF"/>
    <w:rsid w:val="003C3B25"/>
    <w:rsid w:val="003C491B"/>
    <w:rsid w:val="003C4E1A"/>
    <w:rsid w:val="003C520D"/>
    <w:rsid w:val="003C656F"/>
    <w:rsid w:val="003D0409"/>
    <w:rsid w:val="003D057F"/>
    <w:rsid w:val="003D0D16"/>
    <w:rsid w:val="003D0FA3"/>
    <w:rsid w:val="003D16A2"/>
    <w:rsid w:val="003D19EF"/>
    <w:rsid w:val="003D21B2"/>
    <w:rsid w:val="003D2C6F"/>
    <w:rsid w:val="003D4A1E"/>
    <w:rsid w:val="003D506B"/>
    <w:rsid w:val="003D50DC"/>
    <w:rsid w:val="003D62B1"/>
    <w:rsid w:val="003D69C0"/>
    <w:rsid w:val="003D72E0"/>
    <w:rsid w:val="003E0958"/>
    <w:rsid w:val="003E269D"/>
    <w:rsid w:val="003E2E23"/>
    <w:rsid w:val="003E397E"/>
    <w:rsid w:val="003E3A58"/>
    <w:rsid w:val="003E3DB7"/>
    <w:rsid w:val="003E428D"/>
    <w:rsid w:val="003E4887"/>
    <w:rsid w:val="003E5BA3"/>
    <w:rsid w:val="003E629C"/>
    <w:rsid w:val="003E6318"/>
    <w:rsid w:val="003E6647"/>
    <w:rsid w:val="003E7061"/>
    <w:rsid w:val="003E7474"/>
    <w:rsid w:val="003E7C6B"/>
    <w:rsid w:val="003F00F5"/>
    <w:rsid w:val="003F07C1"/>
    <w:rsid w:val="003F0A5E"/>
    <w:rsid w:val="003F1D07"/>
    <w:rsid w:val="003F2648"/>
    <w:rsid w:val="003F2ABB"/>
    <w:rsid w:val="003F34B3"/>
    <w:rsid w:val="003F35CB"/>
    <w:rsid w:val="003F379A"/>
    <w:rsid w:val="003F3CD3"/>
    <w:rsid w:val="003F3E91"/>
    <w:rsid w:val="003F4B13"/>
    <w:rsid w:val="003F5CE1"/>
    <w:rsid w:val="003F5E33"/>
    <w:rsid w:val="003F7033"/>
    <w:rsid w:val="003F7AA5"/>
    <w:rsid w:val="00401ECA"/>
    <w:rsid w:val="00402613"/>
    <w:rsid w:val="004027C2"/>
    <w:rsid w:val="00403471"/>
    <w:rsid w:val="004037C9"/>
    <w:rsid w:val="0040437B"/>
    <w:rsid w:val="00404702"/>
    <w:rsid w:val="00404AAA"/>
    <w:rsid w:val="00404AC7"/>
    <w:rsid w:val="00406E66"/>
    <w:rsid w:val="00407802"/>
    <w:rsid w:val="004103B7"/>
    <w:rsid w:val="0041133C"/>
    <w:rsid w:val="004116D2"/>
    <w:rsid w:val="00412370"/>
    <w:rsid w:val="00412F6E"/>
    <w:rsid w:val="00413764"/>
    <w:rsid w:val="00414B1E"/>
    <w:rsid w:val="00414E56"/>
    <w:rsid w:val="00414EC5"/>
    <w:rsid w:val="004161A8"/>
    <w:rsid w:val="00416496"/>
    <w:rsid w:val="00416CA7"/>
    <w:rsid w:val="00417A84"/>
    <w:rsid w:val="004200A9"/>
    <w:rsid w:val="00420E0E"/>
    <w:rsid w:val="004214DD"/>
    <w:rsid w:val="004227D2"/>
    <w:rsid w:val="00422A7F"/>
    <w:rsid w:val="00423560"/>
    <w:rsid w:val="00423A32"/>
    <w:rsid w:val="00423C11"/>
    <w:rsid w:val="00423D6B"/>
    <w:rsid w:val="00425912"/>
    <w:rsid w:val="00425C8B"/>
    <w:rsid w:val="004266CE"/>
    <w:rsid w:val="0042688F"/>
    <w:rsid w:val="004272F8"/>
    <w:rsid w:val="0043006C"/>
    <w:rsid w:val="004302F4"/>
    <w:rsid w:val="00430639"/>
    <w:rsid w:val="00431730"/>
    <w:rsid w:val="00431B13"/>
    <w:rsid w:val="00432F8D"/>
    <w:rsid w:val="00433454"/>
    <w:rsid w:val="004339C5"/>
    <w:rsid w:val="00434566"/>
    <w:rsid w:val="004346F0"/>
    <w:rsid w:val="0043552D"/>
    <w:rsid w:val="00435DE7"/>
    <w:rsid w:val="00436D21"/>
    <w:rsid w:val="004401E5"/>
    <w:rsid w:val="0044038C"/>
    <w:rsid w:val="004413E8"/>
    <w:rsid w:val="00441982"/>
    <w:rsid w:val="00441D66"/>
    <w:rsid w:val="0044296C"/>
    <w:rsid w:val="0044318B"/>
    <w:rsid w:val="00443434"/>
    <w:rsid w:val="00443C98"/>
    <w:rsid w:val="00444BBA"/>
    <w:rsid w:val="00444F8F"/>
    <w:rsid w:val="0044537D"/>
    <w:rsid w:val="00445702"/>
    <w:rsid w:val="00445B37"/>
    <w:rsid w:val="00445D25"/>
    <w:rsid w:val="00445F72"/>
    <w:rsid w:val="0044630F"/>
    <w:rsid w:val="00446951"/>
    <w:rsid w:val="004502A5"/>
    <w:rsid w:val="00450489"/>
    <w:rsid w:val="004505CE"/>
    <w:rsid w:val="004515B3"/>
    <w:rsid w:val="0045196F"/>
    <w:rsid w:val="00452777"/>
    <w:rsid w:val="0045329D"/>
    <w:rsid w:val="00454140"/>
    <w:rsid w:val="004556B5"/>
    <w:rsid w:val="0045591B"/>
    <w:rsid w:val="00455C28"/>
    <w:rsid w:val="00455F1D"/>
    <w:rsid w:val="0045696A"/>
    <w:rsid w:val="004573C4"/>
    <w:rsid w:val="00457431"/>
    <w:rsid w:val="00457FA3"/>
    <w:rsid w:val="004616F7"/>
    <w:rsid w:val="00463D49"/>
    <w:rsid w:val="00465843"/>
    <w:rsid w:val="0046608C"/>
    <w:rsid w:val="004665A5"/>
    <w:rsid w:val="00466E11"/>
    <w:rsid w:val="004675E6"/>
    <w:rsid w:val="00467BB8"/>
    <w:rsid w:val="00471C55"/>
    <w:rsid w:val="00471FB4"/>
    <w:rsid w:val="004721C5"/>
    <w:rsid w:val="00472F16"/>
    <w:rsid w:val="004738FF"/>
    <w:rsid w:val="00474749"/>
    <w:rsid w:val="00474DC7"/>
    <w:rsid w:val="00475059"/>
    <w:rsid w:val="00475AD5"/>
    <w:rsid w:val="00475D6B"/>
    <w:rsid w:val="00475DBF"/>
    <w:rsid w:val="00476A65"/>
    <w:rsid w:val="00477228"/>
    <w:rsid w:val="00477BC8"/>
    <w:rsid w:val="00481F1B"/>
    <w:rsid w:val="00482104"/>
    <w:rsid w:val="004822E4"/>
    <w:rsid w:val="0048282D"/>
    <w:rsid w:val="004830E5"/>
    <w:rsid w:val="004831E2"/>
    <w:rsid w:val="00484C3F"/>
    <w:rsid w:val="00486332"/>
    <w:rsid w:val="00487157"/>
    <w:rsid w:val="004871B4"/>
    <w:rsid w:val="0049075A"/>
    <w:rsid w:val="00491110"/>
    <w:rsid w:val="00491B30"/>
    <w:rsid w:val="00491F1B"/>
    <w:rsid w:val="0049239D"/>
    <w:rsid w:val="00492A45"/>
    <w:rsid w:val="00492C85"/>
    <w:rsid w:val="004930D1"/>
    <w:rsid w:val="00493DD3"/>
    <w:rsid w:val="004945E1"/>
    <w:rsid w:val="004946D7"/>
    <w:rsid w:val="0049500F"/>
    <w:rsid w:val="00495A51"/>
    <w:rsid w:val="00495EB3"/>
    <w:rsid w:val="0049647A"/>
    <w:rsid w:val="00496E51"/>
    <w:rsid w:val="00497683"/>
    <w:rsid w:val="00497C5A"/>
    <w:rsid w:val="004A0355"/>
    <w:rsid w:val="004A043A"/>
    <w:rsid w:val="004A0740"/>
    <w:rsid w:val="004A1541"/>
    <w:rsid w:val="004A2C3A"/>
    <w:rsid w:val="004A36A6"/>
    <w:rsid w:val="004A3A45"/>
    <w:rsid w:val="004A3BA2"/>
    <w:rsid w:val="004A3C35"/>
    <w:rsid w:val="004A4887"/>
    <w:rsid w:val="004A48A5"/>
    <w:rsid w:val="004A4A18"/>
    <w:rsid w:val="004A554A"/>
    <w:rsid w:val="004A6333"/>
    <w:rsid w:val="004A6523"/>
    <w:rsid w:val="004A6B9B"/>
    <w:rsid w:val="004A7C16"/>
    <w:rsid w:val="004B0CE8"/>
    <w:rsid w:val="004B1F28"/>
    <w:rsid w:val="004B2E03"/>
    <w:rsid w:val="004B3314"/>
    <w:rsid w:val="004B3A1E"/>
    <w:rsid w:val="004B4D44"/>
    <w:rsid w:val="004B5B83"/>
    <w:rsid w:val="004B6E43"/>
    <w:rsid w:val="004B701E"/>
    <w:rsid w:val="004B78B5"/>
    <w:rsid w:val="004C07E4"/>
    <w:rsid w:val="004C1045"/>
    <w:rsid w:val="004C1385"/>
    <w:rsid w:val="004C145E"/>
    <w:rsid w:val="004C164D"/>
    <w:rsid w:val="004C2983"/>
    <w:rsid w:val="004C3122"/>
    <w:rsid w:val="004C338E"/>
    <w:rsid w:val="004C34B6"/>
    <w:rsid w:val="004C3A56"/>
    <w:rsid w:val="004C3CCC"/>
    <w:rsid w:val="004C3E30"/>
    <w:rsid w:val="004C50CF"/>
    <w:rsid w:val="004C5ECE"/>
    <w:rsid w:val="004C6A2D"/>
    <w:rsid w:val="004C735A"/>
    <w:rsid w:val="004C752E"/>
    <w:rsid w:val="004C77B4"/>
    <w:rsid w:val="004D0822"/>
    <w:rsid w:val="004D25B5"/>
    <w:rsid w:val="004D3445"/>
    <w:rsid w:val="004D4455"/>
    <w:rsid w:val="004D48B8"/>
    <w:rsid w:val="004D55A6"/>
    <w:rsid w:val="004D5F69"/>
    <w:rsid w:val="004D614C"/>
    <w:rsid w:val="004D7251"/>
    <w:rsid w:val="004D7364"/>
    <w:rsid w:val="004D7C62"/>
    <w:rsid w:val="004E009D"/>
    <w:rsid w:val="004E0392"/>
    <w:rsid w:val="004E0B76"/>
    <w:rsid w:val="004E0C51"/>
    <w:rsid w:val="004E1115"/>
    <w:rsid w:val="004E1767"/>
    <w:rsid w:val="004E1AAA"/>
    <w:rsid w:val="004E1FDB"/>
    <w:rsid w:val="004E2102"/>
    <w:rsid w:val="004E3E36"/>
    <w:rsid w:val="004E405A"/>
    <w:rsid w:val="004E448F"/>
    <w:rsid w:val="004E4AFA"/>
    <w:rsid w:val="004E53AF"/>
    <w:rsid w:val="004E55F8"/>
    <w:rsid w:val="004F0727"/>
    <w:rsid w:val="004F0917"/>
    <w:rsid w:val="004F0E44"/>
    <w:rsid w:val="004F194E"/>
    <w:rsid w:val="004F1A32"/>
    <w:rsid w:val="004F2B0B"/>
    <w:rsid w:val="004F2B68"/>
    <w:rsid w:val="004F3E7D"/>
    <w:rsid w:val="004F3FC5"/>
    <w:rsid w:val="004F4801"/>
    <w:rsid w:val="004F4949"/>
    <w:rsid w:val="004F4980"/>
    <w:rsid w:val="004F63B5"/>
    <w:rsid w:val="004F7246"/>
    <w:rsid w:val="004F7678"/>
    <w:rsid w:val="004F7975"/>
    <w:rsid w:val="00500BBC"/>
    <w:rsid w:val="00500D08"/>
    <w:rsid w:val="00501138"/>
    <w:rsid w:val="0050158A"/>
    <w:rsid w:val="00502EFE"/>
    <w:rsid w:val="00504097"/>
    <w:rsid w:val="0050426C"/>
    <w:rsid w:val="00505F85"/>
    <w:rsid w:val="00506471"/>
    <w:rsid w:val="00506822"/>
    <w:rsid w:val="00506906"/>
    <w:rsid w:val="00506B93"/>
    <w:rsid w:val="00507BDD"/>
    <w:rsid w:val="0051085E"/>
    <w:rsid w:val="00511DFB"/>
    <w:rsid w:val="00512511"/>
    <w:rsid w:val="005133F5"/>
    <w:rsid w:val="00513EFE"/>
    <w:rsid w:val="00514B22"/>
    <w:rsid w:val="005157BA"/>
    <w:rsid w:val="005158A5"/>
    <w:rsid w:val="00515BFF"/>
    <w:rsid w:val="0051614B"/>
    <w:rsid w:val="00516999"/>
    <w:rsid w:val="00516B2E"/>
    <w:rsid w:val="005172BC"/>
    <w:rsid w:val="005177C0"/>
    <w:rsid w:val="00517F31"/>
    <w:rsid w:val="00517F4A"/>
    <w:rsid w:val="00520623"/>
    <w:rsid w:val="005213C7"/>
    <w:rsid w:val="0052212A"/>
    <w:rsid w:val="0052270C"/>
    <w:rsid w:val="0052274C"/>
    <w:rsid w:val="00522827"/>
    <w:rsid w:val="00522CFB"/>
    <w:rsid w:val="00523526"/>
    <w:rsid w:val="00523872"/>
    <w:rsid w:val="00523E9B"/>
    <w:rsid w:val="0052462D"/>
    <w:rsid w:val="005249AB"/>
    <w:rsid w:val="005260D0"/>
    <w:rsid w:val="00527BE3"/>
    <w:rsid w:val="005303FB"/>
    <w:rsid w:val="00532E7A"/>
    <w:rsid w:val="0053382A"/>
    <w:rsid w:val="005347C8"/>
    <w:rsid w:val="005349CD"/>
    <w:rsid w:val="0053553D"/>
    <w:rsid w:val="00536538"/>
    <w:rsid w:val="005367C9"/>
    <w:rsid w:val="00536818"/>
    <w:rsid w:val="00536DB7"/>
    <w:rsid w:val="00536E48"/>
    <w:rsid w:val="00537140"/>
    <w:rsid w:val="00537441"/>
    <w:rsid w:val="00537445"/>
    <w:rsid w:val="00540CC7"/>
    <w:rsid w:val="00542FB0"/>
    <w:rsid w:val="00543945"/>
    <w:rsid w:val="00543D7D"/>
    <w:rsid w:val="00543F72"/>
    <w:rsid w:val="005459F6"/>
    <w:rsid w:val="00546053"/>
    <w:rsid w:val="005471B6"/>
    <w:rsid w:val="005478D7"/>
    <w:rsid w:val="00547B1B"/>
    <w:rsid w:val="00550CD8"/>
    <w:rsid w:val="00550EA9"/>
    <w:rsid w:val="005519AE"/>
    <w:rsid w:val="00552B5E"/>
    <w:rsid w:val="00554EDF"/>
    <w:rsid w:val="0055773D"/>
    <w:rsid w:val="00557D85"/>
    <w:rsid w:val="005614C6"/>
    <w:rsid w:val="005614E2"/>
    <w:rsid w:val="005616DC"/>
    <w:rsid w:val="00561BCA"/>
    <w:rsid w:val="00561E8E"/>
    <w:rsid w:val="00562147"/>
    <w:rsid w:val="005621C6"/>
    <w:rsid w:val="00562723"/>
    <w:rsid w:val="00562C2D"/>
    <w:rsid w:val="00562D60"/>
    <w:rsid w:val="00564560"/>
    <w:rsid w:val="00565C18"/>
    <w:rsid w:val="00565CCB"/>
    <w:rsid w:val="0056636F"/>
    <w:rsid w:val="00567770"/>
    <w:rsid w:val="00567CB9"/>
    <w:rsid w:val="005700D4"/>
    <w:rsid w:val="005703DF"/>
    <w:rsid w:val="00571769"/>
    <w:rsid w:val="00571A80"/>
    <w:rsid w:val="00572413"/>
    <w:rsid w:val="00572533"/>
    <w:rsid w:val="00572877"/>
    <w:rsid w:val="005729E1"/>
    <w:rsid w:val="005736B6"/>
    <w:rsid w:val="0057371E"/>
    <w:rsid w:val="00575634"/>
    <w:rsid w:val="00575B3B"/>
    <w:rsid w:val="00576A9A"/>
    <w:rsid w:val="00580BD3"/>
    <w:rsid w:val="00581181"/>
    <w:rsid w:val="005812BB"/>
    <w:rsid w:val="005812D7"/>
    <w:rsid w:val="005814E7"/>
    <w:rsid w:val="005816E4"/>
    <w:rsid w:val="00581B60"/>
    <w:rsid w:val="00582219"/>
    <w:rsid w:val="005827CF"/>
    <w:rsid w:val="005834C1"/>
    <w:rsid w:val="00583A59"/>
    <w:rsid w:val="00585392"/>
    <w:rsid w:val="00585D8D"/>
    <w:rsid w:val="005865F5"/>
    <w:rsid w:val="00590315"/>
    <w:rsid w:val="0059065F"/>
    <w:rsid w:val="0059080C"/>
    <w:rsid w:val="00590913"/>
    <w:rsid w:val="00590CF7"/>
    <w:rsid w:val="0059186A"/>
    <w:rsid w:val="00591AE4"/>
    <w:rsid w:val="00591B2B"/>
    <w:rsid w:val="00592067"/>
    <w:rsid w:val="00592139"/>
    <w:rsid w:val="005925FF"/>
    <w:rsid w:val="005929A5"/>
    <w:rsid w:val="00593CEB"/>
    <w:rsid w:val="005953C6"/>
    <w:rsid w:val="00595830"/>
    <w:rsid w:val="00596367"/>
    <w:rsid w:val="00597EBC"/>
    <w:rsid w:val="005A0741"/>
    <w:rsid w:val="005A08E8"/>
    <w:rsid w:val="005A0A28"/>
    <w:rsid w:val="005A0AED"/>
    <w:rsid w:val="005A3AAE"/>
    <w:rsid w:val="005A3E97"/>
    <w:rsid w:val="005A4452"/>
    <w:rsid w:val="005A4A16"/>
    <w:rsid w:val="005A4AB3"/>
    <w:rsid w:val="005A4ED7"/>
    <w:rsid w:val="005A5F67"/>
    <w:rsid w:val="005A7089"/>
    <w:rsid w:val="005B0BDC"/>
    <w:rsid w:val="005B17B8"/>
    <w:rsid w:val="005B1997"/>
    <w:rsid w:val="005B1CB2"/>
    <w:rsid w:val="005B2BB9"/>
    <w:rsid w:val="005B31B4"/>
    <w:rsid w:val="005B38F1"/>
    <w:rsid w:val="005B4DAD"/>
    <w:rsid w:val="005B5447"/>
    <w:rsid w:val="005B57CC"/>
    <w:rsid w:val="005B5AE5"/>
    <w:rsid w:val="005B5B74"/>
    <w:rsid w:val="005B6936"/>
    <w:rsid w:val="005B6B67"/>
    <w:rsid w:val="005B7565"/>
    <w:rsid w:val="005B769B"/>
    <w:rsid w:val="005B76E5"/>
    <w:rsid w:val="005B7A1B"/>
    <w:rsid w:val="005B7AA4"/>
    <w:rsid w:val="005B7EA2"/>
    <w:rsid w:val="005B7F9B"/>
    <w:rsid w:val="005C0052"/>
    <w:rsid w:val="005C02C7"/>
    <w:rsid w:val="005C04CB"/>
    <w:rsid w:val="005C08F6"/>
    <w:rsid w:val="005C17A2"/>
    <w:rsid w:val="005C28F7"/>
    <w:rsid w:val="005C31C2"/>
    <w:rsid w:val="005C3A57"/>
    <w:rsid w:val="005C3DE3"/>
    <w:rsid w:val="005C44AF"/>
    <w:rsid w:val="005C464E"/>
    <w:rsid w:val="005C4BC1"/>
    <w:rsid w:val="005C6A47"/>
    <w:rsid w:val="005C756B"/>
    <w:rsid w:val="005D0F05"/>
    <w:rsid w:val="005D1DB0"/>
    <w:rsid w:val="005D31DE"/>
    <w:rsid w:val="005D31FD"/>
    <w:rsid w:val="005D376A"/>
    <w:rsid w:val="005D4C82"/>
    <w:rsid w:val="005D5787"/>
    <w:rsid w:val="005D5DC9"/>
    <w:rsid w:val="005D6BCA"/>
    <w:rsid w:val="005D7D64"/>
    <w:rsid w:val="005E0BF7"/>
    <w:rsid w:val="005E0E86"/>
    <w:rsid w:val="005E1233"/>
    <w:rsid w:val="005E1F63"/>
    <w:rsid w:val="005E2012"/>
    <w:rsid w:val="005E23F6"/>
    <w:rsid w:val="005E3549"/>
    <w:rsid w:val="005E36BC"/>
    <w:rsid w:val="005E3A74"/>
    <w:rsid w:val="005E4E92"/>
    <w:rsid w:val="005E5DF1"/>
    <w:rsid w:val="005E6AA3"/>
    <w:rsid w:val="005E7388"/>
    <w:rsid w:val="005E7D88"/>
    <w:rsid w:val="005F01D0"/>
    <w:rsid w:val="005F121B"/>
    <w:rsid w:val="005F38D2"/>
    <w:rsid w:val="005F42C3"/>
    <w:rsid w:val="005F5DBA"/>
    <w:rsid w:val="005F5EF9"/>
    <w:rsid w:val="005F7926"/>
    <w:rsid w:val="00600685"/>
    <w:rsid w:val="0060079C"/>
    <w:rsid w:val="00600A8B"/>
    <w:rsid w:val="006012A3"/>
    <w:rsid w:val="0060194A"/>
    <w:rsid w:val="006023F9"/>
    <w:rsid w:val="00603376"/>
    <w:rsid w:val="00603D4F"/>
    <w:rsid w:val="00603EFA"/>
    <w:rsid w:val="0060410B"/>
    <w:rsid w:val="0060465D"/>
    <w:rsid w:val="00604C4D"/>
    <w:rsid w:val="00604C77"/>
    <w:rsid w:val="0060518B"/>
    <w:rsid w:val="00605E53"/>
    <w:rsid w:val="006062AA"/>
    <w:rsid w:val="006071F0"/>
    <w:rsid w:val="00607221"/>
    <w:rsid w:val="00607676"/>
    <w:rsid w:val="00607AFC"/>
    <w:rsid w:val="00607B67"/>
    <w:rsid w:val="00607CD2"/>
    <w:rsid w:val="00607EED"/>
    <w:rsid w:val="00610769"/>
    <w:rsid w:val="006108E4"/>
    <w:rsid w:val="00611149"/>
    <w:rsid w:val="00611550"/>
    <w:rsid w:val="006122DF"/>
    <w:rsid w:val="006122F4"/>
    <w:rsid w:val="00613879"/>
    <w:rsid w:val="0061387B"/>
    <w:rsid w:val="00613B6A"/>
    <w:rsid w:val="00614557"/>
    <w:rsid w:val="00614827"/>
    <w:rsid w:val="00615595"/>
    <w:rsid w:val="00615739"/>
    <w:rsid w:val="00617ACD"/>
    <w:rsid w:val="00621081"/>
    <w:rsid w:val="0062229F"/>
    <w:rsid w:val="0062253B"/>
    <w:rsid w:val="00623CEB"/>
    <w:rsid w:val="006240B9"/>
    <w:rsid w:val="0062423E"/>
    <w:rsid w:val="0062469D"/>
    <w:rsid w:val="00624AE8"/>
    <w:rsid w:val="00627F3C"/>
    <w:rsid w:val="00627FDD"/>
    <w:rsid w:val="0063017E"/>
    <w:rsid w:val="0063096E"/>
    <w:rsid w:val="00631409"/>
    <w:rsid w:val="006318E3"/>
    <w:rsid w:val="00634E73"/>
    <w:rsid w:val="00635525"/>
    <w:rsid w:val="00635823"/>
    <w:rsid w:val="00635A83"/>
    <w:rsid w:val="00635DF8"/>
    <w:rsid w:val="00635E88"/>
    <w:rsid w:val="00636088"/>
    <w:rsid w:val="006371C4"/>
    <w:rsid w:val="006375E1"/>
    <w:rsid w:val="006376A4"/>
    <w:rsid w:val="006405EC"/>
    <w:rsid w:val="006406A9"/>
    <w:rsid w:val="006422A5"/>
    <w:rsid w:val="006425AA"/>
    <w:rsid w:val="00643621"/>
    <w:rsid w:val="00643E5E"/>
    <w:rsid w:val="0064407F"/>
    <w:rsid w:val="006443F7"/>
    <w:rsid w:val="006444B4"/>
    <w:rsid w:val="00644573"/>
    <w:rsid w:val="00644DD2"/>
    <w:rsid w:val="00645134"/>
    <w:rsid w:val="00645333"/>
    <w:rsid w:val="00645AEE"/>
    <w:rsid w:val="00645B14"/>
    <w:rsid w:val="00646655"/>
    <w:rsid w:val="00646BA6"/>
    <w:rsid w:val="00646C9C"/>
    <w:rsid w:val="006475A2"/>
    <w:rsid w:val="00651189"/>
    <w:rsid w:val="0065201B"/>
    <w:rsid w:val="00652463"/>
    <w:rsid w:val="006528AE"/>
    <w:rsid w:val="00652CED"/>
    <w:rsid w:val="00652DED"/>
    <w:rsid w:val="0065343A"/>
    <w:rsid w:val="00654876"/>
    <w:rsid w:val="00655576"/>
    <w:rsid w:val="006562D3"/>
    <w:rsid w:val="00656AC2"/>
    <w:rsid w:val="00657381"/>
    <w:rsid w:val="006578F7"/>
    <w:rsid w:val="00657976"/>
    <w:rsid w:val="006602C4"/>
    <w:rsid w:val="006605DF"/>
    <w:rsid w:val="00660C12"/>
    <w:rsid w:val="00661154"/>
    <w:rsid w:val="00661839"/>
    <w:rsid w:val="006624E4"/>
    <w:rsid w:val="00662C9D"/>
    <w:rsid w:val="00664755"/>
    <w:rsid w:val="00664DB6"/>
    <w:rsid w:val="00665C13"/>
    <w:rsid w:val="00665D5B"/>
    <w:rsid w:val="00665FDA"/>
    <w:rsid w:val="006660AC"/>
    <w:rsid w:val="006669CF"/>
    <w:rsid w:val="006670F1"/>
    <w:rsid w:val="00670088"/>
    <w:rsid w:val="0067202F"/>
    <w:rsid w:val="006725EE"/>
    <w:rsid w:val="00672C09"/>
    <w:rsid w:val="00673DA8"/>
    <w:rsid w:val="00673EB8"/>
    <w:rsid w:val="00674F75"/>
    <w:rsid w:val="00674FF9"/>
    <w:rsid w:val="006751E7"/>
    <w:rsid w:val="0067704C"/>
    <w:rsid w:val="006774D1"/>
    <w:rsid w:val="0068018A"/>
    <w:rsid w:val="00680761"/>
    <w:rsid w:val="00680C3D"/>
    <w:rsid w:val="006845E1"/>
    <w:rsid w:val="00686B9B"/>
    <w:rsid w:val="0068719A"/>
    <w:rsid w:val="00687DB2"/>
    <w:rsid w:val="00690830"/>
    <w:rsid w:val="00690B2F"/>
    <w:rsid w:val="00690D6F"/>
    <w:rsid w:val="006910CF"/>
    <w:rsid w:val="0069126C"/>
    <w:rsid w:val="006915A3"/>
    <w:rsid w:val="0069246F"/>
    <w:rsid w:val="0069533A"/>
    <w:rsid w:val="0069544F"/>
    <w:rsid w:val="00696768"/>
    <w:rsid w:val="00696CDE"/>
    <w:rsid w:val="0069745F"/>
    <w:rsid w:val="0069769A"/>
    <w:rsid w:val="00697D94"/>
    <w:rsid w:val="006A0F6A"/>
    <w:rsid w:val="006A1C73"/>
    <w:rsid w:val="006A1E4D"/>
    <w:rsid w:val="006A2265"/>
    <w:rsid w:val="006A2398"/>
    <w:rsid w:val="006A262E"/>
    <w:rsid w:val="006A29C6"/>
    <w:rsid w:val="006A2B85"/>
    <w:rsid w:val="006A30E5"/>
    <w:rsid w:val="006A3144"/>
    <w:rsid w:val="006A3B4A"/>
    <w:rsid w:val="006A3CC9"/>
    <w:rsid w:val="006A3EC2"/>
    <w:rsid w:val="006A4461"/>
    <w:rsid w:val="006A4D9E"/>
    <w:rsid w:val="006A5373"/>
    <w:rsid w:val="006A5FD8"/>
    <w:rsid w:val="006A66A0"/>
    <w:rsid w:val="006A7278"/>
    <w:rsid w:val="006A7AA4"/>
    <w:rsid w:val="006A7E74"/>
    <w:rsid w:val="006A7EFC"/>
    <w:rsid w:val="006B0DB5"/>
    <w:rsid w:val="006B161F"/>
    <w:rsid w:val="006B1BAA"/>
    <w:rsid w:val="006B1F2C"/>
    <w:rsid w:val="006B25A2"/>
    <w:rsid w:val="006B2E43"/>
    <w:rsid w:val="006B361C"/>
    <w:rsid w:val="006B40C6"/>
    <w:rsid w:val="006B4919"/>
    <w:rsid w:val="006B5D28"/>
    <w:rsid w:val="006B5FF0"/>
    <w:rsid w:val="006B7304"/>
    <w:rsid w:val="006C086A"/>
    <w:rsid w:val="006C0D5C"/>
    <w:rsid w:val="006C170C"/>
    <w:rsid w:val="006C27A5"/>
    <w:rsid w:val="006C2BC8"/>
    <w:rsid w:val="006C3C38"/>
    <w:rsid w:val="006C3DE0"/>
    <w:rsid w:val="006C3F63"/>
    <w:rsid w:val="006C53D1"/>
    <w:rsid w:val="006C5A32"/>
    <w:rsid w:val="006C5AD9"/>
    <w:rsid w:val="006C5D44"/>
    <w:rsid w:val="006C5E18"/>
    <w:rsid w:val="006C6031"/>
    <w:rsid w:val="006C7463"/>
    <w:rsid w:val="006D0217"/>
    <w:rsid w:val="006D02E6"/>
    <w:rsid w:val="006D10CB"/>
    <w:rsid w:val="006D1139"/>
    <w:rsid w:val="006D1341"/>
    <w:rsid w:val="006D1947"/>
    <w:rsid w:val="006D4009"/>
    <w:rsid w:val="006D442E"/>
    <w:rsid w:val="006D61F5"/>
    <w:rsid w:val="006D6491"/>
    <w:rsid w:val="006D6513"/>
    <w:rsid w:val="006D6882"/>
    <w:rsid w:val="006D6EAA"/>
    <w:rsid w:val="006D7000"/>
    <w:rsid w:val="006D701C"/>
    <w:rsid w:val="006D708F"/>
    <w:rsid w:val="006D7AF8"/>
    <w:rsid w:val="006E0BB9"/>
    <w:rsid w:val="006E197A"/>
    <w:rsid w:val="006E224B"/>
    <w:rsid w:val="006E23C5"/>
    <w:rsid w:val="006E278E"/>
    <w:rsid w:val="006E2E60"/>
    <w:rsid w:val="006E2F68"/>
    <w:rsid w:val="006E5101"/>
    <w:rsid w:val="006E54B0"/>
    <w:rsid w:val="006E55D0"/>
    <w:rsid w:val="006E5D83"/>
    <w:rsid w:val="006E5EBA"/>
    <w:rsid w:val="006E5FC9"/>
    <w:rsid w:val="006E611A"/>
    <w:rsid w:val="006E7217"/>
    <w:rsid w:val="006F011A"/>
    <w:rsid w:val="006F0707"/>
    <w:rsid w:val="006F12E7"/>
    <w:rsid w:val="006F1AA3"/>
    <w:rsid w:val="006F1BBA"/>
    <w:rsid w:val="006F2D5B"/>
    <w:rsid w:val="006F2F74"/>
    <w:rsid w:val="006F3912"/>
    <w:rsid w:val="006F487D"/>
    <w:rsid w:val="006F6C23"/>
    <w:rsid w:val="006F70F7"/>
    <w:rsid w:val="006F725A"/>
    <w:rsid w:val="006F7836"/>
    <w:rsid w:val="006F7F2D"/>
    <w:rsid w:val="007005D5"/>
    <w:rsid w:val="00700A02"/>
    <w:rsid w:val="00700ACD"/>
    <w:rsid w:val="00700C21"/>
    <w:rsid w:val="00702311"/>
    <w:rsid w:val="0070238B"/>
    <w:rsid w:val="00702599"/>
    <w:rsid w:val="007029AF"/>
    <w:rsid w:val="00702CC9"/>
    <w:rsid w:val="00703985"/>
    <w:rsid w:val="00703999"/>
    <w:rsid w:val="00703B5F"/>
    <w:rsid w:val="00703FF8"/>
    <w:rsid w:val="00704610"/>
    <w:rsid w:val="00704809"/>
    <w:rsid w:val="00705B27"/>
    <w:rsid w:val="00706659"/>
    <w:rsid w:val="0070692B"/>
    <w:rsid w:val="00706CC5"/>
    <w:rsid w:val="00706F65"/>
    <w:rsid w:val="007079AC"/>
    <w:rsid w:val="00710240"/>
    <w:rsid w:val="007102E0"/>
    <w:rsid w:val="00710FA0"/>
    <w:rsid w:val="0071207F"/>
    <w:rsid w:val="00712FCD"/>
    <w:rsid w:val="00713CFB"/>
    <w:rsid w:val="00713F84"/>
    <w:rsid w:val="0071452D"/>
    <w:rsid w:val="007145E7"/>
    <w:rsid w:val="00714D8B"/>
    <w:rsid w:val="00715A40"/>
    <w:rsid w:val="007164E1"/>
    <w:rsid w:val="00716C05"/>
    <w:rsid w:val="007171E5"/>
    <w:rsid w:val="00720200"/>
    <w:rsid w:val="0072078A"/>
    <w:rsid w:val="007207B3"/>
    <w:rsid w:val="00720809"/>
    <w:rsid w:val="00720F30"/>
    <w:rsid w:val="0072100D"/>
    <w:rsid w:val="00721199"/>
    <w:rsid w:val="00721926"/>
    <w:rsid w:val="00721F3E"/>
    <w:rsid w:val="00722019"/>
    <w:rsid w:val="00722885"/>
    <w:rsid w:val="007236DE"/>
    <w:rsid w:val="00723DF4"/>
    <w:rsid w:val="00724514"/>
    <w:rsid w:val="007245F9"/>
    <w:rsid w:val="00724C5D"/>
    <w:rsid w:val="00726137"/>
    <w:rsid w:val="00727DD5"/>
    <w:rsid w:val="007301AD"/>
    <w:rsid w:val="0073141E"/>
    <w:rsid w:val="00731CF4"/>
    <w:rsid w:val="00732134"/>
    <w:rsid w:val="00733F30"/>
    <w:rsid w:val="00735047"/>
    <w:rsid w:val="007360E3"/>
    <w:rsid w:val="007362F5"/>
    <w:rsid w:val="00737482"/>
    <w:rsid w:val="00737595"/>
    <w:rsid w:val="00737EE4"/>
    <w:rsid w:val="00740472"/>
    <w:rsid w:val="00740509"/>
    <w:rsid w:val="00740F03"/>
    <w:rsid w:val="00741302"/>
    <w:rsid w:val="00742823"/>
    <w:rsid w:val="00744128"/>
    <w:rsid w:val="00746602"/>
    <w:rsid w:val="0074717A"/>
    <w:rsid w:val="00747B56"/>
    <w:rsid w:val="00747C9A"/>
    <w:rsid w:val="0075002E"/>
    <w:rsid w:val="00750441"/>
    <w:rsid w:val="00750EB1"/>
    <w:rsid w:val="00751578"/>
    <w:rsid w:val="00752572"/>
    <w:rsid w:val="0075301A"/>
    <w:rsid w:val="007538C5"/>
    <w:rsid w:val="007542FF"/>
    <w:rsid w:val="00754389"/>
    <w:rsid w:val="00754775"/>
    <w:rsid w:val="0075479C"/>
    <w:rsid w:val="00755171"/>
    <w:rsid w:val="00755D72"/>
    <w:rsid w:val="00756249"/>
    <w:rsid w:val="0075696A"/>
    <w:rsid w:val="00756BC3"/>
    <w:rsid w:val="00756F02"/>
    <w:rsid w:val="00757D53"/>
    <w:rsid w:val="00757F93"/>
    <w:rsid w:val="0076002D"/>
    <w:rsid w:val="007604EF"/>
    <w:rsid w:val="00760DF3"/>
    <w:rsid w:val="00761773"/>
    <w:rsid w:val="00761AA6"/>
    <w:rsid w:val="0076202C"/>
    <w:rsid w:val="007624FB"/>
    <w:rsid w:val="0076265E"/>
    <w:rsid w:val="007636F3"/>
    <w:rsid w:val="0076428C"/>
    <w:rsid w:val="0076494E"/>
    <w:rsid w:val="0076513E"/>
    <w:rsid w:val="00765259"/>
    <w:rsid w:val="00766171"/>
    <w:rsid w:val="007666DF"/>
    <w:rsid w:val="00767666"/>
    <w:rsid w:val="007677D1"/>
    <w:rsid w:val="007706EF"/>
    <w:rsid w:val="00771503"/>
    <w:rsid w:val="00771DB5"/>
    <w:rsid w:val="00772C4A"/>
    <w:rsid w:val="0077350A"/>
    <w:rsid w:val="00773889"/>
    <w:rsid w:val="00773D14"/>
    <w:rsid w:val="007747B2"/>
    <w:rsid w:val="00775264"/>
    <w:rsid w:val="007769ED"/>
    <w:rsid w:val="007777A3"/>
    <w:rsid w:val="00777BA6"/>
    <w:rsid w:val="00781027"/>
    <w:rsid w:val="007811DC"/>
    <w:rsid w:val="00781386"/>
    <w:rsid w:val="007816BB"/>
    <w:rsid w:val="00782201"/>
    <w:rsid w:val="0078253C"/>
    <w:rsid w:val="0078376F"/>
    <w:rsid w:val="007837E0"/>
    <w:rsid w:val="00783B86"/>
    <w:rsid w:val="00783C7E"/>
    <w:rsid w:val="00783FAD"/>
    <w:rsid w:val="00783FD8"/>
    <w:rsid w:val="0078537F"/>
    <w:rsid w:val="00785B93"/>
    <w:rsid w:val="00785D57"/>
    <w:rsid w:val="007862CD"/>
    <w:rsid w:val="00787CEB"/>
    <w:rsid w:val="00790B6B"/>
    <w:rsid w:val="007917A1"/>
    <w:rsid w:val="00791AC4"/>
    <w:rsid w:val="007931C5"/>
    <w:rsid w:val="00793213"/>
    <w:rsid w:val="00793468"/>
    <w:rsid w:val="007951D4"/>
    <w:rsid w:val="00796896"/>
    <w:rsid w:val="007974C7"/>
    <w:rsid w:val="007A2594"/>
    <w:rsid w:val="007A26E7"/>
    <w:rsid w:val="007A2AD2"/>
    <w:rsid w:val="007A3328"/>
    <w:rsid w:val="007A3CAF"/>
    <w:rsid w:val="007A4496"/>
    <w:rsid w:val="007A450B"/>
    <w:rsid w:val="007A47CF"/>
    <w:rsid w:val="007A496A"/>
    <w:rsid w:val="007A61C9"/>
    <w:rsid w:val="007A724F"/>
    <w:rsid w:val="007A72B6"/>
    <w:rsid w:val="007A72BA"/>
    <w:rsid w:val="007A7A83"/>
    <w:rsid w:val="007B063B"/>
    <w:rsid w:val="007B07C8"/>
    <w:rsid w:val="007B1BC1"/>
    <w:rsid w:val="007B1CA0"/>
    <w:rsid w:val="007B4436"/>
    <w:rsid w:val="007B4859"/>
    <w:rsid w:val="007B6620"/>
    <w:rsid w:val="007B6EB8"/>
    <w:rsid w:val="007B722C"/>
    <w:rsid w:val="007B7C0B"/>
    <w:rsid w:val="007C076A"/>
    <w:rsid w:val="007C08DB"/>
    <w:rsid w:val="007C117D"/>
    <w:rsid w:val="007C15E4"/>
    <w:rsid w:val="007C16BB"/>
    <w:rsid w:val="007C1D49"/>
    <w:rsid w:val="007C4455"/>
    <w:rsid w:val="007C46EF"/>
    <w:rsid w:val="007C510B"/>
    <w:rsid w:val="007C58AF"/>
    <w:rsid w:val="007C767F"/>
    <w:rsid w:val="007C7BCB"/>
    <w:rsid w:val="007D0170"/>
    <w:rsid w:val="007D0EC5"/>
    <w:rsid w:val="007D2156"/>
    <w:rsid w:val="007D2BD7"/>
    <w:rsid w:val="007D2CCF"/>
    <w:rsid w:val="007D3366"/>
    <w:rsid w:val="007D3381"/>
    <w:rsid w:val="007D4974"/>
    <w:rsid w:val="007D5C61"/>
    <w:rsid w:val="007D62C9"/>
    <w:rsid w:val="007D64B2"/>
    <w:rsid w:val="007D6E85"/>
    <w:rsid w:val="007D7337"/>
    <w:rsid w:val="007E0B21"/>
    <w:rsid w:val="007E104F"/>
    <w:rsid w:val="007E1580"/>
    <w:rsid w:val="007E34E7"/>
    <w:rsid w:val="007E37F4"/>
    <w:rsid w:val="007E38FF"/>
    <w:rsid w:val="007E3C06"/>
    <w:rsid w:val="007E3C76"/>
    <w:rsid w:val="007E460B"/>
    <w:rsid w:val="007E460D"/>
    <w:rsid w:val="007E4CC5"/>
    <w:rsid w:val="007E4DB9"/>
    <w:rsid w:val="007E5023"/>
    <w:rsid w:val="007E55E3"/>
    <w:rsid w:val="007E5739"/>
    <w:rsid w:val="007E60D6"/>
    <w:rsid w:val="007E6A34"/>
    <w:rsid w:val="007E6F0C"/>
    <w:rsid w:val="007E7375"/>
    <w:rsid w:val="007E74D1"/>
    <w:rsid w:val="007F005C"/>
    <w:rsid w:val="007F07FE"/>
    <w:rsid w:val="007F119C"/>
    <w:rsid w:val="007F11F4"/>
    <w:rsid w:val="007F1A6D"/>
    <w:rsid w:val="007F24F3"/>
    <w:rsid w:val="007F2A17"/>
    <w:rsid w:val="007F3460"/>
    <w:rsid w:val="007F3EE8"/>
    <w:rsid w:val="007F439E"/>
    <w:rsid w:val="007F4DAA"/>
    <w:rsid w:val="007F7A33"/>
    <w:rsid w:val="007F7AFE"/>
    <w:rsid w:val="00800205"/>
    <w:rsid w:val="00800B61"/>
    <w:rsid w:val="00802964"/>
    <w:rsid w:val="0080300B"/>
    <w:rsid w:val="00803C72"/>
    <w:rsid w:val="00804FBF"/>
    <w:rsid w:val="0080558D"/>
    <w:rsid w:val="00805A0A"/>
    <w:rsid w:val="00805E3C"/>
    <w:rsid w:val="0080688E"/>
    <w:rsid w:val="00806EF0"/>
    <w:rsid w:val="00810630"/>
    <w:rsid w:val="00811987"/>
    <w:rsid w:val="00812FDE"/>
    <w:rsid w:val="00813025"/>
    <w:rsid w:val="00813A13"/>
    <w:rsid w:val="00813A56"/>
    <w:rsid w:val="00813C23"/>
    <w:rsid w:val="00814084"/>
    <w:rsid w:val="0081425E"/>
    <w:rsid w:val="00815828"/>
    <w:rsid w:val="00815E4D"/>
    <w:rsid w:val="008167AC"/>
    <w:rsid w:val="0081701F"/>
    <w:rsid w:val="00820220"/>
    <w:rsid w:val="00820399"/>
    <w:rsid w:val="00820F5B"/>
    <w:rsid w:val="0082166C"/>
    <w:rsid w:val="008223F3"/>
    <w:rsid w:val="00822C31"/>
    <w:rsid w:val="00823114"/>
    <w:rsid w:val="0082346F"/>
    <w:rsid w:val="008235AE"/>
    <w:rsid w:val="00823E4E"/>
    <w:rsid w:val="008240B3"/>
    <w:rsid w:val="00825B5A"/>
    <w:rsid w:val="00825CFA"/>
    <w:rsid w:val="00825E08"/>
    <w:rsid w:val="00826506"/>
    <w:rsid w:val="00826E27"/>
    <w:rsid w:val="00827139"/>
    <w:rsid w:val="008273AD"/>
    <w:rsid w:val="0082740D"/>
    <w:rsid w:val="0083003C"/>
    <w:rsid w:val="00830340"/>
    <w:rsid w:val="00831160"/>
    <w:rsid w:val="008312B3"/>
    <w:rsid w:val="00831A9C"/>
    <w:rsid w:val="008320FF"/>
    <w:rsid w:val="00832407"/>
    <w:rsid w:val="008332DF"/>
    <w:rsid w:val="008345FF"/>
    <w:rsid w:val="008348FF"/>
    <w:rsid w:val="00834970"/>
    <w:rsid w:val="00834DF9"/>
    <w:rsid w:val="008350CF"/>
    <w:rsid w:val="00835409"/>
    <w:rsid w:val="008358E9"/>
    <w:rsid w:val="008366BE"/>
    <w:rsid w:val="008372DA"/>
    <w:rsid w:val="00840903"/>
    <w:rsid w:val="00842194"/>
    <w:rsid w:val="008426B3"/>
    <w:rsid w:val="00842D9F"/>
    <w:rsid w:val="0084407C"/>
    <w:rsid w:val="0084433E"/>
    <w:rsid w:val="00844C82"/>
    <w:rsid w:val="00845673"/>
    <w:rsid w:val="008463AC"/>
    <w:rsid w:val="00846805"/>
    <w:rsid w:val="00847EE0"/>
    <w:rsid w:val="008501DF"/>
    <w:rsid w:val="008506FB"/>
    <w:rsid w:val="00850BD1"/>
    <w:rsid w:val="008515A0"/>
    <w:rsid w:val="00851B4F"/>
    <w:rsid w:val="00853E3F"/>
    <w:rsid w:val="00853F11"/>
    <w:rsid w:val="0085441A"/>
    <w:rsid w:val="00854E9A"/>
    <w:rsid w:val="00854EF6"/>
    <w:rsid w:val="00854FDD"/>
    <w:rsid w:val="00855FCD"/>
    <w:rsid w:val="008560EF"/>
    <w:rsid w:val="008567C8"/>
    <w:rsid w:val="008569D1"/>
    <w:rsid w:val="00856B8E"/>
    <w:rsid w:val="008577F8"/>
    <w:rsid w:val="00861A7E"/>
    <w:rsid w:val="00861DF2"/>
    <w:rsid w:val="00862712"/>
    <w:rsid w:val="00862D29"/>
    <w:rsid w:val="0086369C"/>
    <w:rsid w:val="00863FA4"/>
    <w:rsid w:val="00864B9D"/>
    <w:rsid w:val="00864D42"/>
    <w:rsid w:val="0086653E"/>
    <w:rsid w:val="00866622"/>
    <w:rsid w:val="00866AA7"/>
    <w:rsid w:val="0086725D"/>
    <w:rsid w:val="0086734F"/>
    <w:rsid w:val="0087122B"/>
    <w:rsid w:val="008717B2"/>
    <w:rsid w:val="008719E9"/>
    <w:rsid w:val="0087212B"/>
    <w:rsid w:val="00872208"/>
    <w:rsid w:val="008727AF"/>
    <w:rsid w:val="0087292D"/>
    <w:rsid w:val="0087298A"/>
    <w:rsid w:val="008729B8"/>
    <w:rsid w:val="00874057"/>
    <w:rsid w:val="008743A0"/>
    <w:rsid w:val="0087496C"/>
    <w:rsid w:val="00874A06"/>
    <w:rsid w:val="00875366"/>
    <w:rsid w:val="00875DC0"/>
    <w:rsid w:val="0087650C"/>
    <w:rsid w:val="00876C14"/>
    <w:rsid w:val="00876DE1"/>
    <w:rsid w:val="008775C7"/>
    <w:rsid w:val="0087783D"/>
    <w:rsid w:val="00880E57"/>
    <w:rsid w:val="00880EC3"/>
    <w:rsid w:val="008810C6"/>
    <w:rsid w:val="0088197C"/>
    <w:rsid w:val="00881CD6"/>
    <w:rsid w:val="00882971"/>
    <w:rsid w:val="00882A5A"/>
    <w:rsid w:val="00883572"/>
    <w:rsid w:val="00883CA8"/>
    <w:rsid w:val="00883FAF"/>
    <w:rsid w:val="00884445"/>
    <w:rsid w:val="00884A70"/>
    <w:rsid w:val="00884E1E"/>
    <w:rsid w:val="0088560D"/>
    <w:rsid w:val="008859AD"/>
    <w:rsid w:val="008873A1"/>
    <w:rsid w:val="008876A8"/>
    <w:rsid w:val="008905DA"/>
    <w:rsid w:val="008908FE"/>
    <w:rsid w:val="00891739"/>
    <w:rsid w:val="00892B70"/>
    <w:rsid w:val="008954A3"/>
    <w:rsid w:val="008955B1"/>
    <w:rsid w:val="0089581A"/>
    <w:rsid w:val="0089624E"/>
    <w:rsid w:val="00896D7F"/>
    <w:rsid w:val="00897420"/>
    <w:rsid w:val="00897FDC"/>
    <w:rsid w:val="008A0076"/>
    <w:rsid w:val="008A204D"/>
    <w:rsid w:val="008A23C9"/>
    <w:rsid w:val="008A2BE7"/>
    <w:rsid w:val="008A3083"/>
    <w:rsid w:val="008A411F"/>
    <w:rsid w:val="008A4E83"/>
    <w:rsid w:val="008A5BBF"/>
    <w:rsid w:val="008A5E4C"/>
    <w:rsid w:val="008A610C"/>
    <w:rsid w:val="008A7B50"/>
    <w:rsid w:val="008B0998"/>
    <w:rsid w:val="008B0F48"/>
    <w:rsid w:val="008B118F"/>
    <w:rsid w:val="008B1821"/>
    <w:rsid w:val="008B2B53"/>
    <w:rsid w:val="008B2E36"/>
    <w:rsid w:val="008B4112"/>
    <w:rsid w:val="008B46A8"/>
    <w:rsid w:val="008B5765"/>
    <w:rsid w:val="008B5DF1"/>
    <w:rsid w:val="008B690E"/>
    <w:rsid w:val="008B7198"/>
    <w:rsid w:val="008B74E9"/>
    <w:rsid w:val="008B7BA6"/>
    <w:rsid w:val="008B7FD2"/>
    <w:rsid w:val="008C0E0A"/>
    <w:rsid w:val="008C0F45"/>
    <w:rsid w:val="008C23CD"/>
    <w:rsid w:val="008C2614"/>
    <w:rsid w:val="008C27B5"/>
    <w:rsid w:val="008C33D5"/>
    <w:rsid w:val="008C4BBC"/>
    <w:rsid w:val="008C4E81"/>
    <w:rsid w:val="008C524C"/>
    <w:rsid w:val="008C5A13"/>
    <w:rsid w:val="008C5B09"/>
    <w:rsid w:val="008C6437"/>
    <w:rsid w:val="008C6B2C"/>
    <w:rsid w:val="008C6DFF"/>
    <w:rsid w:val="008C71EA"/>
    <w:rsid w:val="008C7C92"/>
    <w:rsid w:val="008C7D11"/>
    <w:rsid w:val="008D005B"/>
    <w:rsid w:val="008D05B7"/>
    <w:rsid w:val="008D064D"/>
    <w:rsid w:val="008D1964"/>
    <w:rsid w:val="008D269E"/>
    <w:rsid w:val="008D2843"/>
    <w:rsid w:val="008D3B56"/>
    <w:rsid w:val="008D3D83"/>
    <w:rsid w:val="008D4189"/>
    <w:rsid w:val="008D42E7"/>
    <w:rsid w:val="008D44D8"/>
    <w:rsid w:val="008D4D6D"/>
    <w:rsid w:val="008D58E5"/>
    <w:rsid w:val="008D635A"/>
    <w:rsid w:val="008E0BA4"/>
    <w:rsid w:val="008E1C27"/>
    <w:rsid w:val="008E2AA4"/>
    <w:rsid w:val="008E3E6E"/>
    <w:rsid w:val="008E5680"/>
    <w:rsid w:val="008E68C5"/>
    <w:rsid w:val="008E7B61"/>
    <w:rsid w:val="008F0519"/>
    <w:rsid w:val="008F0AA1"/>
    <w:rsid w:val="008F0F6D"/>
    <w:rsid w:val="008F1310"/>
    <w:rsid w:val="008F1F0E"/>
    <w:rsid w:val="008F2CA7"/>
    <w:rsid w:val="008F322C"/>
    <w:rsid w:val="008F362F"/>
    <w:rsid w:val="008F3A23"/>
    <w:rsid w:val="008F3F12"/>
    <w:rsid w:val="008F401A"/>
    <w:rsid w:val="008F429E"/>
    <w:rsid w:val="008F4901"/>
    <w:rsid w:val="008F5584"/>
    <w:rsid w:val="008F70AF"/>
    <w:rsid w:val="008F7245"/>
    <w:rsid w:val="008F72BF"/>
    <w:rsid w:val="0090076A"/>
    <w:rsid w:val="00900BBD"/>
    <w:rsid w:val="009011A6"/>
    <w:rsid w:val="009019D7"/>
    <w:rsid w:val="00901BAC"/>
    <w:rsid w:val="00902131"/>
    <w:rsid w:val="00902C8A"/>
    <w:rsid w:val="009032E3"/>
    <w:rsid w:val="00903578"/>
    <w:rsid w:val="009035AE"/>
    <w:rsid w:val="00905078"/>
    <w:rsid w:val="009051A5"/>
    <w:rsid w:val="00905CE4"/>
    <w:rsid w:val="00905FF1"/>
    <w:rsid w:val="009064C2"/>
    <w:rsid w:val="00906642"/>
    <w:rsid w:val="00907498"/>
    <w:rsid w:val="00907A87"/>
    <w:rsid w:val="00910B27"/>
    <w:rsid w:val="0091164C"/>
    <w:rsid w:val="00911BFB"/>
    <w:rsid w:val="009121D7"/>
    <w:rsid w:val="0091277B"/>
    <w:rsid w:val="009127D9"/>
    <w:rsid w:val="0091317E"/>
    <w:rsid w:val="0091389A"/>
    <w:rsid w:val="00913ADB"/>
    <w:rsid w:val="00913C4D"/>
    <w:rsid w:val="00913C5C"/>
    <w:rsid w:val="00914E75"/>
    <w:rsid w:val="00915EFC"/>
    <w:rsid w:val="0091637F"/>
    <w:rsid w:val="00916527"/>
    <w:rsid w:val="00916605"/>
    <w:rsid w:val="00916A0C"/>
    <w:rsid w:val="00916E30"/>
    <w:rsid w:val="009174DC"/>
    <w:rsid w:val="00917FCD"/>
    <w:rsid w:val="00920815"/>
    <w:rsid w:val="00920B19"/>
    <w:rsid w:val="00922A05"/>
    <w:rsid w:val="0092360A"/>
    <w:rsid w:val="00923837"/>
    <w:rsid w:val="009240A9"/>
    <w:rsid w:val="009246B6"/>
    <w:rsid w:val="00924748"/>
    <w:rsid w:val="00924B01"/>
    <w:rsid w:val="00924E01"/>
    <w:rsid w:val="00925BE0"/>
    <w:rsid w:val="0092635F"/>
    <w:rsid w:val="00926654"/>
    <w:rsid w:val="00926ACE"/>
    <w:rsid w:val="00926E76"/>
    <w:rsid w:val="00927557"/>
    <w:rsid w:val="0092794F"/>
    <w:rsid w:val="00930024"/>
    <w:rsid w:val="009318FA"/>
    <w:rsid w:val="00931A10"/>
    <w:rsid w:val="00931B58"/>
    <w:rsid w:val="00933107"/>
    <w:rsid w:val="00933D6A"/>
    <w:rsid w:val="009340DB"/>
    <w:rsid w:val="009344B7"/>
    <w:rsid w:val="0093502C"/>
    <w:rsid w:val="009366DF"/>
    <w:rsid w:val="00937431"/>
    <w:rsid w:val="00937432"/>
    <w:rsid w:val="00937B6C"/>
    <w:rsid w:val="009418B8"/>
    <w:rsid w:val="00942201"/>
    <w:rsid w:val="009429DB"/>
    <w:rsid w:val="00942FE0"/>
    <w:rsid w:val="00943327"/>
    <w:rsid w:val="00943741"/>
    <w:rsid w:val="00943E6F"/>
    <w:rsid w:val="00943FAE"/>
    <w:rsid w:val="009442F1"/>
    <w:rsid w:val="00945023"/>
    <w:rsid w:val="0094503B"/>
    <w:rsid w:val="009450FB"/>
    <w:rsid w:val="009455C8"/>
    <w:rsid w:val="00945FAC"/>
    <w:rsid w:val="009469A5"/>
    <w:rsid w:val="00947578"/>
    <w:rsid w:val="0094760C"/>
    <w:rsid w:val="0094784A"/>
    <w:rsid w:val="00947B7D"/>
    <w:rsid w:val="00950791"/>
    <w:rsid w:val="00952DAD"/>
    <w:rsid w:val="00952F97"/>
    <w:rsid w:val="0095443F"/>
    <w:rsid w:val="0095462E"/>
    <w:rsid w:val="00954EDB"/>
    <w:rsid w:val="00955076"/>
    <w:rsid w:val="0095540D"/>
    <w:rsid w:val="00957280"/>
    <w:rsid w:val="009576A2"/>
    <w:rsid w:val="009577EA"/>
    <w:rsid w:val="0096076F"/>
    <w:rsid w:val="00961123"/>
    <w:rsid w:val="009611E2"/>
    <w:rsid w:val="00961291"/>
    <w:rsid w:val="009619B9"/>
    <w:rsid w:val="00961FB4"/>
    <w:rsid w:val="00962598"/>
    <w:rsid w:val="00962788"/>
    <w:rsid w:val="0096296E"/>
    <w:rsid w:val="00963105"/>
    <w:rsid w:val="00964629"/>
    <w:rsid w:val="00964643"/>
    <w:rsid w:val="00965215"/>
    <w:rsid w:val="00965BF2"/>
    <w:rsid w:val="00966686"/>
    <w:rsid w:val="00967343"/>
    <w:rsid w:val="00967E4D"/>
    <w:rsid w:val="0097104F"/>
    <w:rsid w:val="0097143E"/>
    <w:rsid w:val="009720A9"/>
    <w:rsid w:val="009723D4"/>
    <w:rsid w:val="00972578"/>
    <w:rsid w:val="00973034"/>
    <w:rsid w:val="009734D3"/>
    <w:rsid w:val="00974105"/>
    <w:rsid w:val="00974E4F"/>
    <w:rsid w:val="00975142"/>
    <w:rsid w:val="00975C39"/>
    <w:rsid w:val="009764F1"/>
    <w:rsid w:val="00976C72"/>
    <w:rsid w:val="009774B7"/>
    <w:rsid w:val="00980654"/>
    <w:rsid w:val="009820A0"/>
    <w:rsid w:val="009822DA"/>
    <w:rsid w:val="00982576"/>
    <w:rsid w:val="009827E7"/>
    <w:rsid w:val="00982F20"/>
    <w:rsid w:val="009834C2"/>
    <w:rsid w:val="00983BE2"/>
    <w:rsid w:val="00984F51"/>
    <w:rsid w:val="009854C7"/>
    <w:rsid w:val="0098603C"/>
    <w:rsid w:val="00986F74"/>
    <w:rsid w:val="00987F68"/>
    <w:rsid w:val="00991600"/>
    <w:rsid w:val="00991DB2"/>
    <w:rsid w:val="00993A25"/>
    <w:rsid w:val="00994A2C"/>
    <w:rsid w:val="00994AEC"/>
    <w:rsid w:val="00995AF8"/>
    <w:rsid w:val="00995FE6"/>
    <w:rsid w:val="009961E6"/>
    <w:rsid w:val="0099700A"/>
    <w:rsid w:val="00997F14"/>
    <w:rsid w:val="009A03BF"/>
    <w:rsid w:val="009A0BE8"/>
    <w:rsid w:val="009A0C9E"/>
    <w:rsid w:val="009A1935"/>
    <w:rsid w:val="009A1D43"/>
    <w:rsid w:val="009A21BC"/>
    <w:rsid w:val="009A3013"/>
    <w:rsid w:val="009A302D"/>
    <w:rsid w:val="009A31EB"/>
    <w:rsid w:val="009A35F2"/>
    <w:rsid w:val="009A3886"/>
    <w:rsid w:val="009A4281"/>
    <w:rsid w:val="009A5161"/>
    <w:rsid w:val="009A6352"/>
    <w:rsid w:val="009A73F1"/>
    <w:rsid w:val="009A79E4"/>
    <w:rsid w:val="009B1464"/>
    <w:rsid w:val="009B1C78"/>
    <w:rsid w:val="009B1E99"/>
    <w:rsid w:val="009B2D25"/>
    <w:rsid w:val="009B3430"/>
    <w:rsid w:val="009B44CC"/>
    <w:rsid w:val="009B540D"/>
    <w:rsid w:val="009B5554"/>
    <w:rsid w:val="009B55D8"/>
    <w:rsid w:val="009B6472"/>
    <w:rsid w:val="009B6616"/>
    <w:rsid w:val="009B6D60"/>
    <w:rsid w:val="009B70FB"/>
    <w:rsid w:val="009B7DF0"/>
    <w:rsid w:val="009C0B43"/>
    <w:rsid w:val="009C0F87"/>
    <w:rsid w:val="009C14EE"/>
    <w:rsid w:val="009C26C9"/>
    <w:rsid w:val="009C2EE2"/>
    <w:rsid w:val="009C3D82"/>
    <w:rsid w:val="009C44C0"/>
    <w:rsid w:val="009C4C6A"/>
    <w:rsid w:val="009C4D46"/>
    <w:rsid w:val="009C5490"/>
    <w:rsid w:val="009C5A2C"/>
    <w:rsid w:val="009C5B60"/>
    <w:rsid w:val="009C6AEB"/>
    <w:rsid w:val="009C7919"/>
    <w:rsid w:val="009C794A"/>
    <w:rsid w:val="009D05FD"/>
    <w:rsid w:val="009D0B4A"/>
    <w:rsid w:val="009D2506"/>
    <w:rsid w:val="009D25BD"/>
    <w:rsid w:val="009D331B"/>
    <w:rsid w:val="009D3943"/>
    <w:rsid w:val="009D3FB8"/>
    <w:rsid w:val="009D43F1"/>
    <w:rsid w:val="009D5379"/>
    <w:rsid w:val="009D6E37"/>
    <w:rsid w:val="009D791C"/>
    <w:rsid w:val="009D7C82"/>
    <w:rsid w:val="009E0114"/>
    <w:rsid w:val="009E09B5"/>
    <w:rsid w:val="009E1581"/>
    <w:rsid w:val="009E1E16"/>
    <w:rsid w:val="009E2854"/>
    <w:rsid w:val="009E317C"/>
    <w:rsid w:val="009E3797"/>
    <w:rsid w:val="009E37EF"/>
    <w:rsid w:val="009E40DE"/>
    <w:rsid w:val="009E42E8"/>
    <w:rsid w:val="009E4FB2"/>
    <w:rsid w:val="009E53D4"/>
    <w:rsid w:val="009E5986"/>
    <w:rsid w:val="009E5F4E"/>
    <w:rsid w:val="009E6071"/>
    <w:rsid w:val="009E6CEA"/>
    <w:rsid w:val="009E70DA"/>
    <w:rsid w:val="009F0500"/>
    <w:rsid w:val="009F11D9"/>
    <w:rsid w:val="009F1440"/>
    <w:rsid w:val="009F23F6"/>
    <w:rsid w:val="009F2C15"/>
    <w:rsid w:val="009F302C"/>
    <w:rsid w:val="009F3BCB"/>
    <w:rsid w:val="009F4227"/>
    <w:rsid w:val="009F439B"/>
    <w:rsid w:val="009F4602"/>
    <w:rsid w:val="009F4872"/>
    <w:rsid w:val="009F5771"/>
    <w:rsid w:val="009F5B22"/>
    <w:rsid w:val="009F6DF5"/>
    <w:rsid w:val="009F6E2B"/>
    <w:rsid w:val="00A00CA2"/>
    <w:rsid w:val="00A00D94"/>
    <w:rsid w:val="00A01D21"/>
    <w:rsid w:val="00A0280C"/>
    <w:rsid w:val="00A03962"/>
    <w:rsid w:val="00A04D1C"/>
    <w:rsid w:val="00A0512F"/>
    <w:rsid w:val="00A06D7A"/>
    <w:rsid w:val="00A07028"/>
    <w:rsid w:val="00A0740C"/>
    <w:rsid w:val="00A07B2A"/>
    <w:rsid w:val="00A1051E"/>
    <w:rsid w:val="00A10E3E"/>
    <w:rsid w:val="00A11767"/>
    <w:rsid w:val="00A11C98"/>
    <w:rsid w:val="00A11E54"/>
    <w:rsid w:val="00A12616"/>
    <w:rsid w:val="00A12EF4"/>
    <w:rsid w:val="00A130FF"/>
    <w:rsid w:val="00A14D3C"/>
    <w:rsid w:val="00A1625B"/>
    <w:rsid w:val="00A16601"/>
    <w:rsid w:val="00A16F4E"/>
    <w:rsid w:val="00A170B2"/>
    <w:rsid w:val="00A175EF"/>
    <w:rsid w:val="00A2039E"/>
    <w:rsid w:val="00A2057A"/>
    <w:rsid w:val="00A23CA9"/>
    <w:rsid w:val="00A23F46"/>
    <w:rsid w:val="00A245AB"/>
    <w:rsid w:val="00A25893"/>
    <w:rsid w:val="00A25C2A"/>
    <w:rsid w:val="00A26575"/>
    <w:rsid w:val="00A27353"/>
    <w:rsid w:val="00A27C41"/>
    <w:rsid w:val="00A303F1"/>
    <w:rsid w:val="00A31D1F"/>
    <w:rsid w:val="00A34769"/>
    <w:rsid w:val="00A3506B"/>
    <w:rsid w:val="00A35188"/>
    <w:rsid w:val="00A352CA"/>
    <w:rsid w:val="00A358AA"/>
    <w:rsid w:val="00A35A0F"/>
    <w:rsid w:val="00A36D35"/>
    <w:rsid w:val="00A37043"/>
    <w:rsid w:val="00A40BE5"/>
    <w:rsid w:val="00A40D86"/>
    <w:rsid w:val="00A417C8"/>
    <w:rsid w:val="00A41DF4"/>
    <w:rsid w:val="00A420DD"/>
    <w:rsid w:val="00A42CFF"/>
    <w:rsid w:val="00A43AC2"/>
    <w:rsid w:val="00A441C4"/>
    <w:rsid w:val="00A442BB"/>
    <w:rsid w:val="00A448EB"/>
    <w:rsid w:val="00A44C01"/>
    <w:rsid w:val="00A45282"/>
    <w:rsid w:val="00A464F0"/>
    <w:rsid w:val="00A47AEC"/>
    <w:rsid w:val="00A50706"/>
    <w:rsid w:val="00A51C5A"/>
    <w:rsid w:val="00A51C96"/>
    <w:rsid w:val="00A51F5D"/>
    <w:rsid w:val="00A521BB"/>
    <w:rsid w:val="00A526DC"/>
    <w:rsid w:val="00A52A36"/>
    <w:rsid w:val="00A52E78"/>
    <w:rsid w:val="00A53621"/>
    <w:rsid w:val="00A54269"/>
    <w:rsid w:val="00A54E29"/>
    <w:rsid w:val="00A54E59"/>
    <w:rsid w:val="00A55778"/>
    <w:rsid w:val="00A55E84"/>
    <w:rsid w:val="00A566CD"/>
    <w:rsid w:val="00A57188"/>
    <w:rsid w:val="00A57196"/>
    <w:rsid w:val="00A5765A"/>
    <w:rsid w:val="00A60139"/>
    <w:rsid w:val="00A60654"/>
    <w:rsid w:val="00A60A3C"/>
    <w:rsid w:val="00A60E75"/>
    <w:rsid w:val="00A610E9"/>
    <w:rsid w:val="00A61956"/>
    <w:rsid w:val="00A62F10"/>
    <w:rsid w:val="00A633FC"/>
    <w:rsid w:val="00A63947"/>
    <w:rsid w:val="00A64B1E"/>
    <w:rsid w:val="00A64C7B"/>
    <w:rsid w:val="00A6573F"/>
    <w:rsid w:val="00A65B53"/>
    <w:rsid w:val="00A65DA4"/>
    <w:rsid w:val="00A661A5"/>
    <w:rsid w:val="00A66CCA"/>
    <w:rsid w:val="00A66F94"/>
    <w:rsid w:val="00A72115"/>
    <w:rsid w:val="00A73413"/>
    <w:rsid w:val="00A74154"/>
    <w:rsid w:val="00A74282"/>
    <w:rsid w:val="00A744EE"/>
    <w:rsid w:val="00A74BB8"/>
    <w:rsid w:val="00A7557D"/>
    <w:rsid w:val="00A76220"/>
    <w:rsid w:val="00A766D6"/>
    <w:rsid w:val="00A768E8"/>
    <w:rsid w:val="00A76E74"/>
    <w:rsid w:val="00A77BB0"/>
    <w:rsid w:val="00A8038B"/>
    <w:rsid w:val="00A809C7"/>
    <w:rsid w:val="00A810CA"/>
    <w:rsid w:val="00A811AD"/>
    <w:rsid w:val="00A82164"/>
    <w:rsid w:val="00A823F7"/>
    <w:rsid w:val="00A82402"/>
    <w:rsid w:val="00A8254A"/>
    <w:rsid w:val="00A82731"/>
    <w:rsid w:val="00A828A4"/>
    <w:rsid w:val="00A834CF"/>
    <w:rsid w:val="00A83612"/>
    <w:rsid w:val="00A84323"/>
    <w:rsid w:val="00A8456B"/>
    <w:rsid w:val="00A85684"/>
    <w:rsid w:val="00A8663D"/>
    <w:rsid w:val="00A86AFC"/>
    <w:rsid w:val="00A877A6"/>
    <w:rsid w:val="00A87ACF"/>
    <w:rsid w:val="00A914A2"/>
    <w:rsid w:val="00A91F64"/>
    <w:rsid w:val="00A9250C"/>
    <w:rsid w:val="00A92548"/>
    <w:rsid w:val="00A93068"/>
    <w:rsid w:val="00A9351B"/>
    <w:rsid w:val="00A94A9C"/>
    <w:rsid w:val="00A94F55"/>
    <w:rsid w:val="00A964BF"/>
    <w:rsid w:val="00A97514"/>
    <w:rsid w:val="00A97674"/>
    <w:rsid w:val="00A97D32"/>
    <w:rsid w:val="00AA0E2E"/>
    <w:rsid w:val="00AA16AF"/>
    <w:rsid w:val="00AA25A5"/>
    <w:rsid w:val="00AA25D2"/>
    <w:rsid w:val="00AA2654"/>
    <w:rsid w:val="00AA2AEA"/>
    <w:rsid w:val="00AA2BF0"/>
    <w:rsid w:val="00AA332E"/>
    <w:rsid w:val="00AA3885"/>
    <w:rsid w:val="00AA3ED4"/>
    <w:rsid w:val="00AA5882"/>
    <w:rsid w:val="00AA5E0B"/>
    <w:rsid w:val="00AA6417"/>
    <w:rsid w:val="00AA65DB"/>
    <w:rsid w:val="00AA6843"/>
    <w:rsid w:val="00AA68D4"/>
    <w:rsid w:val="00AA69C8"/>
    <w:rsid w:val="00AA6B66"/>
    <w:rsid w:val="00AA6E9C"/>
    <w:rsid w:val="00AA7A7C"/>
    <w:rsid w:val="00AB05C5"/>
    <w:rsid w:val="00AB08B6"/>
    <w:rsid w:val="00AB0F80"/>
    <w:rsid w:val="00AB1176"/>
    <w:rsid w:val="00AB13C2"/>
    <w:rsid w:val="00AB1688"/>
    <w:rsid w:val="00AB199A"/>
    <w:rsid w:val="00AB22A5"/>
    <w:rsid w:val="00AB261E"/>
    <w:rsid w:val="00AB372D"/>
    <w:rsid w:val="00AB5B4A"/>
    <w:rsid w:val="00AB692B"/>
    <w:rsid w:val="00AB792D"/>
    <w:rsid w:val="00AB7A54"/>
    <w:rsid w:val="00AB7A61"/>
    <w:rsid w:val="00AC0300"/>
    <w:rsid w:val="00AC05D4"/>
    <w:rsid w:val="00AC2C5F"/>
    <w:rsid w:val="00AC2E00"/>
    <w:rsid w:val="00AC3261"/>
    <w:rsid w:val="00AC36F6"/>
    <w:rsid w:val="00AC4867"/>
    <w:rsid w:val="00AC4F94"/>
    <w:rsid w:val="00AC5EA2"/>
    <w:rsid w:val="00AD0A3E"/>
    <w:rsid w:val="00AD2A02"/>
    <w:rsid w:val="00AD3016"/>
    <w:rsid w:val="00AD552E"/>
    <w:rsid w:val="00AD6828"/>
    <w:rsid w:val="00AD6F49"/>
    <w:rsid w:val="00AD7285"/>
    <w:rsid w:val="00AD7371"/>
    <w:rsid w:val="00AD7545"/>
    <w:rsid w:val="00AD7BA7"/>
    <w:rsid w:val="00AE0E6D"/>
    <w:rsid w:val="00AE184A"/>
    <w:rsid w:val="00AE233B"/>
    <w:rsid w:val="00AE24B5"/>
    <w:rsid w:val="00AE2A80"/>
    <w:rsid w:val="00AE2F86"/>
    <w:rsid w:val="00AE3532"/>
    <w:rsid w:val="00AE474F"/>
    <w:rsid w:val="00AE4C9D"/>
    <w:rsid w:val="00AE6281"/>
    <w:rsid w:val="00AE7546"/>
    <w:rsid w:val="00AE75CF"/>
    <w:rsid w:val="00AE774F"/>
    <w:rsid w:val="00AF008C"/>
    <w:rsid w:val="00AF174F"/>
    <w:rsid w:val="00AF211D"/>
    <w:rsid w:val="00AF3814"/>
    <w:rsid w:val="00AF3F9A"/>
    <w:rsid w:val="00AF4EC4"/>
    <w:rsid w:val="00AF5DB2"/>
    <w:rsid w:val="00AF7964"/>
    <w:rsid w:val="00B00461"/>
    <w:rsid w:val="00B00935"/>
    <w:rsid w:val="00B00FBC"/>
    <w:rsid w:val="00B01634"/>
    <w:rsid w:val="00B05960"/>
    <w:rsid w:val="00B05E8E"/>
    <w:rsid w:val="00B05EB4"/>
    <w:rsid w:val="00B06C12"/>
    <w:rsid w:val="00B06EC8"/>
    <w:rsid w:val="00B06F4C"/>
    <w:rsid w:val="00B114DD"/>
    <w:rsid w:val="00B12E7B"/>
    <w:rsid w:val="00B14901"/>
    <w:rsid w:val="00B15BEC"/>
    <w:rsid w:val="00B15BF8"/>
    <w:rsid w:val="00B16251"/>
    <w:rsid w:val="00B17474"/>
    <w:rsid w:val="00B174B2"/>
    <w:rsid w:val="00B20746"/>
    <w:rsid w:val="00B21F62"/>
    <w:rsid w:val="00B22D5D"/>
    <w:rsid w:val="00B234CC"/>
    <w:rsid w:val="00B24198"/>
    <w:rsid w:val="00B24602"/>
    <w:rsid w:val="00B257AC"/>
    <w:rsid w:val="00B26B53"/>
    <w:rsid w:val="00B2728D"/>
    <w:rsid w:val="00B27561"/>
    <w:rsid w:val="00B27637"/>
    <w:rsid w:val="00B27F62"/>
    <w:rsid w:val="00B300D5"/>
    <w:rsid w:val="00B3046C"/>
    <w:rsid w:val="00B30898"/>
    <w:rsid w:val="00B30E73"/>
    <w:rsid w:val="00B30ED2"/>
    <w:rsid w:val="00B32D5F"/>
    <w:rsid w:val="00B3470D"/>
    <w:rsid w:val="00B36724"/>
    <w:rsid w:val="00B3672C"/>
    <w:rsid w:val="00B37541"/>
    <w:rsid w:val="00B401F1"/>
    <w:rsid w:val="00B40BCB"/>
    <w:rsid w:val="00B4194A"/>
    <w:rsid w:val="00B42ACD"/>
    <w:rsid w:val="00B42C93"/>
    <w:rsid w:val="00B42FFD"/>
    <w:rsid w:val="00B4334A"/>
    <w:rsid w:val="00B43462"/>
    <w:rsid w:val="00B43EEB"/>
    <w:rsid w:val="00B44A15"/>
    <w:rsid w:val="00B451BE"/>
    <w:rsid w:val="00B454FD"/>
    <w:rsid w:val="00B46EA2"/>
    <w:rsid w:val="00B475C5"/>
    <w:rsid w:val="00B511AE"/>
    <w:rsid w:val="00B51BEB"/>
    <w:rsid w:val="00B51F40"/>
    <w:rsid w:val="00B52538"/>
    <w:rsid w:val="00B52696"/>
    <w:rsid w:val="00B52E6C"/>
    <w:rsid w:val="00B5302A"/>
    <w:rsid w:val="00B5456F"/>
    <w:rsid w:val="00B5474E"/>
    <w:rsid w:val="00B54A48"/>
    <w:rsid w:val="00B54D72"/>
    <w:rsid w:val="00B54F60"/>
    <w:rsid w:val="00B561BA"/>
    <w:rsid w:val="00B562CE"/>
    <w:rsid w:val="00B56B6F"/>
    <w:rsid w:val="00B5769A"/>
    <w:rsid w:val="00B60257"/>
    <w:rsid w:val="00B608DE"/>
    <w:rsid w:val="00B60BA9"/>
    <w:rsid w:val="00B6200E"/>
    <w:rsid w:val="00B629F3"/>
    <w:rsid w:val="00B6340E"/>
    <w:rsid w:val="00B63518"/>
    <w:rsid w:val="00B63735"/>
    <w:rsid w:val="00B6394A"/>
    <w:rsid w:val="00B63D2F"/>
    <w:rsid w:val="00B6422F"/>
    <w:rsid w:val="00B64557"/>
    <w:rsid w:val="00B64830"/>
    <w:rsid w:val="00B65F2A"/>
    <w:rsid w:val="00B71CE8"/>
    <w:rsid w:val="00B71D83"/>
    <w:rsid w:val="00B74B3E"/>
    <w:rsid w:val="00B74CFC"/>
    <w:rsid w:val="00B76722"/>
    <w:rsid w:val="00B76B15"/>
    <w:rsid w:val="00B76B6D"/>
    <w:rsid w:val="00B773D1"/>
    <w:rsid w:val="00B81583"/>
    <w:rsid w:val="00B830DE"/>
    <w:rsid w:val="00B83371"/>
    <w:rsid w:val="00B833CF"/>
    <w:rsid w:val="00B834F4"/>
    <w:rsid w:val="00B839A0"/>
    <w:rsid w:val="00B852E7"/>
    <w:rsid w:val="00B8637A"/>
    <w:rsid w:val="00B863D0"/>
    <w:rsid w:val="00B86E8E"/>
    <w:rsid w:val="00B871E4"/>
    <w:rsid w:val="00B87676"/>
    <w:rsid w:val="00B87681"/>
    <w:rsid w:val="00B9030F"/>
    <w:rsid w:val="00B90E41"/>
    <w:rsid w:val="00B910AD"/>
    <w:rsid w:val="00B919AA"/>
    <w:rsid w:val="00B91DB0"/>
    <w:rsid w:val="00B91F36"/>
    <w:rsid w:val="00B9263D"/>
    <w:rsid w:val="00B92A56"/>
    <w:rsid w:val="00B92E2C"/>
    <w:rsid w:val="00B9327E"/>
    <w:rsid w:val="00B93965"/>
    <w:rsid w:val="00B93E6E"/>
    <w:rsid w:val="00B94FB9"/>
    <w:rsid w:val="00B95725"/>
    <w:rsid w:val="00B9575B"/>
    <w:rsid w:val="00B97982"/>
    <w:rsid w:val="00BA1642"/>
    <w:rsid w:val="00BA1C8D"/>
    <w:rsid w:val="00BA1FE8"/>
    <w:rsid w:val="00BA2045"/>
    <w:rsid w:val="00BA3116"/>
    <w:rsid w:val="00BA5290"/>
    <w:rsid w:val="00BA52CE"/>
    <w:rsid w:val="00BA5EDF"/>
    <w:rsid w:val="00BA61B7"/>
    <w:rsid w:val="00BB022B"/>
    <w:rsid w:val="00BB0869"/>
    <w:rsid w:val="00BB160D"/>
    <w:rsid w:val="00BB17D6"/>
    <w:rsid w:val="00BB1A1E"/>
    <w:rsid w:val="00BB1A2D"/>
    <w:rsid w:val="00BB1BF1"/>
    <w:rsid w:val="00BB2002"/>
    <w:rsid w:val="00BB24DE"/>
    <w:rsid w:val="00BB299A"/>
    <w:rsid w:val="00BB44DF"/>
    <w:rsid w:val="00BB450E"/>
    <w:rsid w:val="00BB4C55"/>
    <w:rsid w:val="00BB51A0"/>
    <w:rsid w:val="00BB5355"/>
    <w:rsid w:val="00BB6595"/>
    <w:rsid w:val="00BB6BBC"/>
    <w:rsid w:val="00BB72EA"/>
    <w:rsid w:val="00BB772F"/>
    <w:rsid w:val="00BB79D8"/>
    <w:rsid w:val="00BC0330"/>
    <w:rsid w:val="00BC0494"/>
    <w:rsid w:val="00BC1227"/>
    <w:rsid w:val="00BC1328"/>
    <w:rsid w:val="00BC4112"/>
    <w:rsid w:val="00BC46FD"/>
    <w:rsid w:val="00BC483E"/>
    <w:rsid w:val="00BC4F11"/>
    <w:rsid w:val="00BC5BF7"/>
    <w:rsid w:val="00BC5BFA"/>
    <w:rsid w:val="00BC5C63"/>
    <w:rsid w:val="00BC5C9B"/>
    <w:rsid w:val="00BC5E44"/>
    <w:rsid w:val="00BC68DF"/>
    <w:rsid w:val="00BC7089"/>
    <w:rsid w:val="00BC7204"/>
    <w:rsid w:val="00BC7548"/>
    <w:rsid w:val="00BC7588"/>
    <w:rsid w:val="00BC774B"/>
    <w:rsid w:val="00BC7EE2"/>
    <w:rsid w:val="00BC7F28"/>
    <w:rsid w:val="00BD0350"/>
    <w:rsid w:val="00BD183D"/>
    <w:rsid w:val="00BD1CD6"/>
    <w:rsid w:val="00BD2573"/>
    <w:rsid w:val="00BD3030"/>
    <w:rsid w:val="00BD3F85"/>
    <w:rsid w:val="00BD44DE"/>
    <w:rsid w:val="00BD65D4"/>
    <w:rsid w:val="00BD6DE2"/>
    <w:rsid w:val="00BD76C5"/>
    <w:rsid w:val="00BD77B0"/>
    <w:rsid w:val="00BD784D"/>
    <w:rsid w:val="00BD7F4B"/>
    <w:rsid w:val="00BE02D6"/>
    <w:rsid w:val="00BE08CC"/>
    <w:rsid w:val="00BE09A9"/>
    <w:rsid w:val="00BE1784"/>
    <w:rsid w:val="00BE230E"/>
    <w:rsid w:val="00BE34B2"/>
    <w:rsid w:val="00BE359A"/>
    <w:rsid w:val="00BE3B9B"/>
    <w:rsid w:val="00BE4264"/>
    <w:rsid w:val="00BE49CA"/>
    <w:rsid w:val="00BE4D2E"/>
    <w:rsid w:val="00BE5DAD"/>
    <w:rsid w:val="00BE6DAB"/>
    <w:rsid w:val="00BE6E52"/>
    <w:rsid w:val="00BE6F2F"/>
    <w:rsid w:val="00BE76C2"/>
    <w:rsid w:val="00BE7DA3"/>
    <w:rsid w:val="00BE7E21"/>
    <w:rsid w:val="00BF0CCF"/>
    <w:rsid w:val="00BF1AD7"/>
    <w:rsid w:val="00BF32D3"/>
    <w:rsid w:val="00BF51E9"/>
    <w:rsid w:val="00BF628F"/>
    <w:rsid w:val="00BF6B99"/>
    <w:rsid w:val="00BF6D8E"/>
    <w:rsid w:val="00BF734A"/>
    <w:rsid w:val="00BF7A49"/>
    <w:rsid w:val="00C012B6"/>
    <w:rsid w:val="00C0301F"/>
    <w:rsid w:val="00C0343B"/>
    <w:rsid w:val="00C03768"/>
    <w:rsid w:val="00C04B41"/>
    <w:rsid w:val="00C04FF3"/>
    <w:rsid w:val="00C05429"/>
    <w:rsid w:val="00C0676F"/>
    <w:rsid w:val="00C06BAD"/>
    <w:rsid w:val="00C07F65"/>
    <w:rsid w:val="00C102FC"/>
    <w:rsid w:val="00C11CE3"/>
    <w:rsid w:val="00C121B3"/>
    <w:rsid w:val="00C12351"/>
    <w:rsid w:val="00C13559"/>
    <w:rsid w:val="00C138A5"/>
    <w:rsid w:val="00C13A08"/>
    <w:rsid w:val="00C16BD0"/>
    <w:rsid w:val="00C17ACB"/>
    <w:rsid w:val="00C17CCE"/>
    <w:rsid w:val="00C17D32"/>
    <w:rsid w:val="00C17D4F"/>
    <w:rsid w:val="00C17D68"/>
    <w:rsid w:val="00C202B7"/>
    <w:rsid w:val="00C2033A"/>
    <w:rsid w:val="00C207F8"/>
    <w:rsid w:val="00C20FD5"/>
    <w:rsid w:val="00C212A8"/>
    <w:rsid w:val="00C2136D"/>
    <w:rsid w:val="00C21377"/>
    <w:rsid w:val="00C219BB"/>
    <w:rsid w:val="00C21DEF"/>
    <w:rsid w:val="00C21F27"/>
    <w:rsid w:val="00C235FE"/>
    <w:rsid w:val="00C2395D"/>
    <w:rsid w:val="00C23C7E"/>
    <w:rsid w:val="00C24416"/>
    <w:rsid w:val="00C25B7F"/>
    <w:rsid w:val="00C26D99"/>
    <w:rsid w:val="00C26FF7"/>
    <w:rsid w:val="00C27BCA"/>
    <w:rsid w:val="00C302C8"/>
    <w:rsid w:val="00C306C7"/>
    <w:rsid w:val="00C3077F"/>
    <w:rsid w:val="00C3192C"/>
    <w:rsid w:val="00C32022"/>
    <w:rsid w:val="00C328BD"/>
    <w:rsid w:val="00C3388E"/>
    <w:rsid w:val="00C33D76"/>
    <w:rsid w:val="00C34512"/>
    <w:rsid w:val="00C346C2"/>
    <w:rsid w:val="00C35071"/>
    <w:rsid w:val="00C352BF"/>
    <w:rsid w:val="00C359FE"/>
    <w:rsid w:val="00C35BC6"/>
    <w:rsid w:val="00C3617A"/>
    <w:rsid w:val="00C3689A"/>
    <w:rsid w:val="00C36C23"/>
    <w:rsid w:val="00C3752A"/>
    <w:rsid w:val="00C37FE0"/>
    <w:rsid w:val="00C40DAE"/>
    <w:rsid w:val="00C415C9"/>
    <w:rsid w:val="00C419CB"/>
    <w:rsid w:val="00C41DFC"/>
    <w:rsid w:val="00C421B3"/>
    <w:rsid w:val="00C42737"/>
    <w:rsid w:val="00C42F07"/>
    <w:rsid w:val="00C42F48"/>
    <w:rsid w:val="00C434FC"/>
    <w:rsid w:val="00C451C6"/>
    <w:rsid w:val="00C45492"/>
    <w:rsid w:val="00C45729"/>
    <w:rsid w:val="00C45B9C"/>
    <w:rsid w:val="00C4625F"/>
    <w:rsid w:val="00C464E2"/>
    <w:rsid w:val="00C4710A"/>
    <w:rsid w:val="00C4717D"/>
    <w:rsid w:val="00C477A0"/>
    <w:rsid w:val="00C47DD1"/>
    <w:rsid w:val="00C50054"/>
    <w:rsid w:val="00C506DE"/>
    <w:rsid w:val="00C511F5"/>
    <w:rsid w:val="00C51303"/>
    <w:rsid w:val="00C51B0E"/>
    <w:rsid w:val="00C52121"/>
    <w:rsid w:val="00C527D2"/>
    <w:rsid w:val="00C52A0E"/>
    <w:rsid w:val="00C52AB8"/>
    <w:rsid w:val="00C530E9"/>
    <w:rsid w:val="00C5362D"/>
    <w:rsid w:val="00C53898"/>
    <w:rsid w:val="00C540DF"/>
    <w:rsid w:val="00C54196"/>
    <w:rsid w:val="00C5458B"/>
    <w:rsid w:val="00C54777"/>
    <w:rsid w:val="00C5509A"/>
    <w:rsid w:val="00C568F9"/>
    <w:rsid w:val="00C568FC"/>
    <w:rsid w:val="00C573F0"/>
    <w:rsid w:val="00C57871"/>
    <w:rsid w:val="00C62407"/>
    <w:rsid w:val="00C6279B"/>
    <w:rsid w:val="00C642DF"/>
    <w:rsid w:val="00C6460C"/>
    <w:rsid w:val="00C64EEF"/>
    <w:rsid w:val="00C6549E"/>
    <w:rsid w:val="00C668C0"/>
    <w:rsid w:val="00C66B48"/>
    <w:rsid w:val="00C67843"/>
    <w:rsid w:val="00C67D25"/>
    <w:rsid w:val="00C723B3"/>
    <w:rsid w:val="00C72567"/>
    <w:rsid w:val="00C72649"/>
    <w:rsid w:val="00C7272B"/>
    <w:rsid w:val="00C72BA7"/>
    <w:rsid w:val="00C73476"/>
    <w:rsid w:val="00C735E9"/>
    <w:rsid w:val="00C73E54"/>
    <w:rsid w:val="00C7457E"/>
    <w:rsid w:val="00C75F61"/>
    <w:rsid w:val="00C76397"/>
    <w:rsid w:val="00C76821"/>
    <w:rsid w:val="00C76C7E"/>
    <w:rsid w:val="00C77251"/>
    <w:rsid w:val="00C77DC1"/>
    <w:rsid w:val="00C77FC8"/>
    <w:rsid w:val="00C80C82"/>
    <w:rsid w:val="00C8125B"/>
    <w:rsid w:val="00C81665"/>
    <w:rsid w:val="00C826AE"/>
    <w:rsid w:val="00C826BD"/>
    <w:rsid w:val="00C82861"/>
    <w:rsid w:val="00C828E3"/>
    <w:rsid w:val="00C82D95"/>
    <w:rsid w:val="00C83471"/>
    <w:rsid w:val="00C836DD"/>
    <w:rsid w:val="00C838E4"/>
    <w:rsid w:val="00C84476"/>
    <w:rsid w:val="00C84F6F"/>
    <w:rsid w:val="00C862F8"/>
    <w:rsid w:val="00C86469"/>
    <w:rsid w:val="00C86B7B"/>
    <w:rsid w:val="00C877EB"/>
    <w:rsid w:val="00C90026"/>
    <w:rsid w:val="00C909FB"/>
    <w:rsid w:val="00C91591"/>
    <w:rsid w:val="00C91B06"/>
    <w:rsid w:val="00C92451"/>
    <w:rsid w:val="00C95382"/>
    <w:rsid w:val="00C9547A"/>
    <w:rsid w:val="00C95599"/>
    <w:rsid w:val="00C97672"/>
    <w:rsid w:val="00CA2698"/>
    <w:rsid w:val="00CA2724"/>
    <w:rsid w:val="00CA3586"/>
    <w:rsid w:val="00CA3B23"/>
    <w:rsid w:val="00CA43C2"/>
    <w:rsid w:val="00CA4590"/>
    <w:rsid w:val="00CA4B79"/>
    <w:rsid w:val="00CA5ED9"/>
    <w:rsid w:val="00CA6DFA"/>
    <w:rsid w:val="00CA6ED8"/>
    <w:rsid w:val="00CA7588"/>
    <w:rsid w:val="00CA77DA"/>
    <w:rsid w:val="00CB0368"/>
    <w:rsid w:val="00CB0A0A"/>
    <w:rsid w:val="00CB0B7E"/>
    <w:rsid w:val="00CB0DD3"/>
    <w:rsid w:val="00CB0E70"/>
    <w:rsid w:val="00CB266D"/>
    <w:rsid w:val="00CB2A1D"/>
    <w:rsid w:val="00CB30E4"/>
    <w:rsid w:val="00CB312E"/>
    <w:rsid w:val="00CB344E"/>
    <w:rsid w:val="00CB35A4"/>
    <w:rsid w:val="00CB48D5"/>
    <w:rsid w:val="00CB5BA9"/>
    <w:rsid w:val="00CB5E3E"/>
    <w:rsid w:val="00CB62EB"/>
    <w:rsid w:val="00CB7FF8"/>
    <w:rsid w:val="00CC0745"/>
    <w:rsid w:val="00CC0AC5"/>
    <w:rsid w:val="00CC0B08"/>
    <w:rsid w:val="00CC0D78"/>
    <w:rsid w:val="00CC1360"/>
    <w:rsid w:val="00CC1893"/>
    <w:rsid w:val="00CC19B7"/>
    <w:rsid w:val="00CC2391"/>
    <w:rsid w:val="00CC260B"/>
    <w:rsid w:val="00CC35B2"/>
    <w:rsid w:val="00CC3695"/>
    <w:rsid w:val="00CC369B"/>
    <w:rsid w:val="00CC37FF"/>
    <w:rsid w:val="00CC397E"/>
    <w:rsid w:val="00CC5237"/>
    <w:rsid w:val="00CC5891"/>
    <w:rsid w:val="00CC6073"/>
    <w:rsid w:val="00CC6858"/>
    <w:rsid w:val="00CC6917"/>
    <w:rsid w:val="00CC692C"/>
    <w:rsid w:val="00CC7134"/>
    <w:rsid w:val="00CD16A2"/>
    <w:rsid w:val="00CD1EB5"/>
    <w:rsid w:val="00CD21E7"/>
    <w:rsid w:val="00CD2895"/>
    <w:rsid w:val="00CD2C21"/>
    <w:rsid w:val="00CD3689"/>
    <w:rsid w:val="00CD3A3C"/>
    <w:rsid w:val="00CD4275"/>
    <w:rsid w:val="00CD499C"/>
    <w:rsid w:val="00CD6216"/>
    <w:rsid w:val="00CD6518"/>
    <w:rsid w:val="00CD75CD"/>
    <w:rsid w:val="00CD7763"/>
    <w:rsid w:val="00CD79AF"/>
    <w:rsid w:val="00CD7B5A"/>
    <w:rsid w:val="00CE0169"/>
    <w:rsid w:val="00CE07C9"/>
    <w:rsid w:val="00CE1732"/>
    <w:rsid w:val="00CE318A"/>
    <w:rsid w:val="00CE3494"/>
    <w:rsid w:val="00CE498A"/>
    <w:rsid w:val="00CE6257"/>
    <w:rsid w:val="00CE7C2B"/>
    <w:rsid w:val="00CE7C7F"/>
    <w:rsid w:val="00CE7D7A"/>
    <w:rsid w:val="00CF0BE2"/>
    <w:rsid w:val="00CF2970"/>
    <w:rsid w:val="00CF30DA"/>
    <w:rsid w:val="00CF3E98"/>
    <w:rsid w:val="00CF42DA"/>
    <w:rsid w:val="00CF51CB"/>
    <w:rsid w:val="00CF5389"/>
    <w:rsid w:val="00CF5D75"/>
    <w:rsid w:val="00CF695D"/>
    <w:rsid w:val="00CF6D16"/>
    <w:rsid w:val="00CF6E11"/>
    <w:rsid w:val="00CF6EAD"/>
    <w:rsid w:val="00CF6F81"/>
    <w:rsid w:val="00CF718B"/>
    <w:rsid w:val="00CF7AFF"/>
    <w:rsid w:val="00D006D0"/>
    <w:rsid w:val="00D019B5"/>
    <w:rsid w:val="00D020DE"/>
    <w:rsid w:val="00D03005"/>
    <w:rsid w:val="00D03805"/>
    <w:rsid w:val="00D03947"/>
    <w:rsid w:val="00D03D1D"/>
    <w:rsid w:val="00D047B8"/>
    <w:rsid w:val="00D0569E"/>
    <w:rsid w:val="00D060D5"/>
    <w:rsid w:val="00D067D1"/>
    <w:rsid w:val="00D070C6"/>
    <w:rsid w:val="00D0782C"/>
    <w:rsid w:val="00D10020"/>
    <w:rsid w:val="00D103C9"/>
    <w:rsid w:val="00D105AF"/>
    <w:rsid w:val="00D11AEB"/>
    <w:rsid w:val="00D1306C"/>
    <w:rsid w:val="00D131EA"/>
    <w:rsid w:val="00D131F0"/>
    <w:rsid w:val="00D1561B"/>
    <w:rsid w:val="00D15FD5"/>
    <w:rsid w:val="00D164FA"/>
    <w:rsid w:val="00D1701E"/>
    <w:rsid w:val="00D177CD"/>
    <w:rsid w:val="00D17F7E"/>
    <w:rsid w:val="00D20CB6"/>
    <w:rsid w:val="00D214F4"/>
    <w:rsid w:val="00D21A69"/>
    <w:rsid w:val="00D21BDC"/>
    <w:rsid w:val="00D22769"/>
    <w:rsid w:val="00D22BC1"/>
    <w:rsid w:val="00D2461F"/>
    <w:rsid w:val="00D25BD7"/>
    <w:rsid w:val="00D267AE"/>
    <w:rsid w:val="00D27312"/>
    <w:rsid w:val="00D27812"/>
    <w:rsid w:val="00D279C8"/>
    <w:rsid w:val="00D3060F"/>
    <w:rsid w:val="00D30E3D"/>
    <w:rsid w:val="00D30E8D"/>
    <w:rsid w:val="00D32B52"/>
    <w:rsid w:val="00D32BC9"/>
    <w:rsid w:val="00D36D60"/>
    <w:rsid w:val="00D37472"/>
    <w:rsid w:val="00D40CE8"/>
    <w:rsid w:val="00D42B37"/>
    <w:rsid w:val="00D42CA5"/>
    <w:rsid w:val="00D42DB3"/>
    <w:rsid w:val="00D43154"/>
    <w:rsid w:val="00D43498"/>
    <w:rsid w:val="00D4440C"/>
    <w:rsid w:val="00D44DCD"/>
    <w:rsid w:val="00D44E85"/>
    <w:rsid w:val="00D455A3"/>
    <w:rsid w:val="00D459AC"/>
    <w:rsid w:val="00D47BBD"/>
    <w:rsid w:val="00D507D7"/>
    <w:rsid w:val="00D5162A"/>
    <w:rsid w:val="00D51692"/>
    <w:rsid w:val="00D519D7"/>
    <w:rsid w:val="00D519FD"/>
    <w:rsid w:val="00D52C71"/>
    <w:rsid w:val="00D5395F"/>
    <w:rsid w:val="00D543FC"/>
    <w:rsid w:val="00D54EBC"/>
    <w:rsid w:val="00D551F4"/>
    <w:rsid w:val="00D56303"/>
    <w:rsid w:val="00D5737B"/>
    <w:rsid w:val="00D574F4"/>
    <w:rsid w:val="00D5761E"/>
    <w:rsid w:val="00D57CE6"/>
    <w:rsid w:val="00D600AD"/>
    <w:rsid w:val="00D605FC"/>
    <w:rsid w:val="00D61324"/>
    <w:rsid w:val="00D61A6B"/>
    <w:rsid w:val="00D61ED8"/>
    <w:rsid w:val="00D6211E"/>
    <w:rsid w:val="00D62174"/>
    <w:rsid w:val="00D62531"/>
    <w:rsid w:val="00D62C41"/>
    <w:rsid w:val="00D63ECB"/>
    <w:rsid w:val="00D641DC"/>
    <w:rsid w:val="00D64C0C"/>
    <w:rsid w:val="00D65513"/>
    <w:rsid w:val="00D661E7"/>
    <w:rsid w:val="00D67BA1"/>
    <w:rsid w:val="00D67E07"/>
    <w:rsid w:val="00D70126"/>
    <w:rsid w:val="00D706A3"/>
    <w:rsid w:val="00D718FF"/>
    <w:rsid w:val="00D72122"/>
    <w:rsid w:val="00D72C43"/>
    <w:rsid w:val="00D73C50"/>
    <w:rsid w:val="00D74189"/>
    <w:rsid w:val="00D746A9"/>
    <w:rsid w:val="00D74904"/>
    <w:rsid w:val="00D74CE4"/>
    <w:rsid w:val="00D7506A"/>
    <w:rsid w:val="00D76972"/>
    <w:rsid w:val="00D76B49"/>
    <w:rsid w:val="00D776B7"/>
    <w:rsid w:val="00D77927"/>
    <w:rsid w:val="00D8011F"/>
    <w:rsid w:val="00D80F3C"/>
    <w:rsid w:val="00D81363"/>
    <w:rsid w:val="00D81568"/>
    <w:rsid w:val="00D81836"/>
    <w:rsid w:val="00D81896"/>
    <w:rsid w:val="00D820F7"/>
    <w:rsid w:val="00D830C8"/>
    <w:rsid w:val="00D8375C"/>
    <w:rsid w:val="00D8412F"/>
    <w:rsid w:val="00D84DE6"/>
    <w:rsid w:val="00D86212"/>
    <w:rsid w:val="00D867B9"/>
    <w:rsid w:val="00D86C6C"/>
    <w:rsid w:val="00D8716E"/>
    <w:rsid w:val="00D87659"/>
    <w:rsid w:val="00D87DC2"/>
    <w:rsid w:val="00D91375"/>
    <w:rsid w:val="00D9144A"/>
    <w:rsid w:val="00D9152C"/>
    <w:rsid w:val="00D915B6"/>
    <w:rsid w:val="00D91607"/>
    <w:rsid w:val="00D93216"/>
    <w:rsid w:val="00D9377B"/>
    <w:rsid w:val="00D93E90"/>
    <w:rsid w:val="00D94C12"/>
    <w:rsid w:val="00D9590C"/>
    <w:rsid w:val="00D96196"/>
    <w:rsid w:val="00D96230"/>
    <w:rsid w:val="00D9654E"/>
    <w:rsid w:val="00D9718F"/>
    <w:rsid w:val="00D97829"/>
    <w:rsid w:val="00D97D91"/>
    <w:rsid w:val="00D97DE4"/>
    <w:rsid w:val="00DA1232"/>
    <w:rsid w:val="00DA2669"/>
    <w:rsid w:val="00DA33C7"/>
    <w:rsid w:val="00DA51BF"/>
    <w:rsid w:val="00DA60AB"/>
    <w:rsid w:val="00DA6804"/>
    <w:rsid w:val="00DA7135"/>
    <w:rsid w:val="00DA7AC1"/>
    <w:rsid w:val="00DA7B27"/>
    <w:rsid w:val="00DB0665"/>
    <w:rsid w:val="00DB2C42"/>
    <w:rsid w:val="00DB3BA5"/>
    <w:rsid w:val="00DB3EC2"/>
    <w:rsid w:val="00DB42A7"/>
    <w:rsid w:val="00DB4310"/>
    <w:rsid w:val="00DB5540"/>
    <w:rsid w:val="00DB585A"/>
    <w:rsid w:val="00DB5DDC"/>
    <w:rsid w:val="00DB647A"/>
    <w:rsid w:val="00DB6957"/>
    <w:rsid w:val="00DB72CD"/>
    <w:rsid w:val="00DB731F"/>
    <w:rsid w:val="00DC06F7"/>
    <w:rsid w:val="00DC1496"/>
    <w:rsid w:val="00DC1A82"/>
    <w:rsid w:val="00DC1B24"/>
    <w:rsid w:val="00DC3431"/>
    <w:rsid w:val="00DC3634"/>
    <w:rsid w:val="00DC4207"/>
    <w:rsid w:val="00DC4285"/>
    <w:rsid w:val="00DC4335"/>
    <w:rsid w:val="00DC442A"/>
    <w:rsid w:val="00DC467F"/>
    <w:rsid w:val="00DC4858"/>
    <w:rsid w:val="00DC5206"/>
    <w:rsid w:val="00DC73CF"/>
    <w:rsid w:val="00DC744D"/>
    <w:rsid w:val="00DC79B2"/>
    <w:rsid w:val="00DD00D3"/>
    <w:rsid w:val="00DD03FA"/>
    <w:rsid w:val="00DD103E"/>
    <w:rsid w:val="00DD17FA"/>
    <w:rsid w:val="00DD19B9"/>
    <w:rsid w:val="00DD3B68"/>
    <w:rsid w:val="00DD448F"/>
    <w:rsid w:val="00DD48FD"/>
    <w:rsid w:val="00DD4BC5"/>
    <w:rsid w:val="00DD5A88"/>
    <w:rsid w:val="00DD64B8"/>
    <w:rsid w:val="00DD66E8"/>
    <w:rsid w:val="00DD69E1"/>
    <w:rsid w:val="00DD6FBF"/>
    <w:rsid w:val="00DD6FD9"/>
    <w:rsid w:val="00DE0B9B"/>
    <w:rsid w:val="00DE0FB0"/>
    <w:rsid w:val="00DE1790"/>
    <w:rsid w:val="00DE1BB4"/>
    <w:rsid w:val="00DE1BD8"/>
    <w:rsid w:val="00DE1F1F"/>
    <w:rsid w:val="00DE231F"/>
    <w:rsid w:val="00DE3E23"/>
    <w:rsid w:val="00DE3FCF"/>
    <w:rsid w:val="00DE41B2"/>
    <w:rsid w:val="00DE4DCA"/>
    <w:rsid w:val="00DE4E32"/>
    <w:rsid w:val="00DE6792"/>
    <w:rsid w:val="00DF0490"/>
    <w:rsid w:val="00DF1068"/>
    <w:rsid w:val="00DF1089"/>
    <w:rsid w:val="00DF1D79"/>
    <w:rsid w:val="00DF1F36"/>
    <w:rsid w:val="00DF32DA"/>
    <w:rsid w:val="00DF3E84"/>
    <w:rsid w:val="00DF4333"/>
    <w:rsid w:val="00DF47A5"/>
    <w:rsid w:val="00DF48F2"/>
    <w:rsid w:val="00DF4B42"/>
    <w:rsid w:val="00DF5800"/>
    <w:rsid w:val="00DF6340"/>
    <w:rsid w:val="00DF6993"/>
    <w:rsid w:val="00DF6AC4"/>
    <w:rsid w:val="00DF6EC1"/>
    <w:rsid w:val="00E005BF"/>
    <w:rsid w:val="00E01A7B"/>
    <w:rsid w:val="00E01F5B"/>
    <w:rsid w:val="00E0201A"/>
    <w:rsid w:val="00E02463"/>
    <w:rsid w:val="00E02E24"/>
    <w:rsid w:val="00E02F3E"/>
    <w:rsid w:val="00E03494"/>
    <w:rsid w:val="00E0373F"/>
    <w:rsid w:val="00E03C58"/>
    <w:rsid w:val="00E03E43"/>
    <w:rsid w:val="00E043B4"/>
    <w:rsid w:val="00E05466"/>
    <w:rsid w:val="00E061C8"/>
    <w:rsid w:val="00E066C4"/>
    <w:rsid w:val="00E075A7"/>
    <w:rsid w:val="00E10233"/>
    <w:rsid w:val="00E103ED"/>
    <w:rsid w:val="00E11287"/>
    <w:rsid w:val="00E1217D"/>
    <w:rsid w:val="00E12FB0"/>
    <w:rsid w:val="00E1320C"/>
    <w:rsid w:val="00E136B2"/>
    <w:rsid w:val="00E13890"/>
    <w:rsid w:val="00E138BB"/>
    <w:rsid w:val="00E14662"/>
    <w:rsid w:val="00E152CB"/>
    <w:rsid w:val="00E15E87"/>
    <w:rsid w:val="00E16C34"/>
    <w:rsid w:val="00E176D9"/>
    <w:rsid w:val="00E1793F"/>
    <w:rsid w:val="00E20D59"/>
    <w:rsid w:val="00E21094"/>
    <w:rsid w:val="00E221E4"/>
    <w:rsid w:val="00E22EA8"/>
    <w:rsid w:val="00E22EDA"/>
    <w:rsid w:val="00E22FCF"/>
    <w:rsid w:val="00E23A2E"/>
    <w:rsid w:val="00E23BF7"/>
    <w:rsid w:val="00E24F6E"/>
    <w:rsid w:val="00E255D6"/>
    <w:rsid w:val="00E259E4"/>
    <w:rsid w:val="00E25A27"/>
    <w:rsid w:val="00E2697D"/>
    <w:rsid w:val="00E27319"/>
    <w:rsid w:val="00E3017F"/>
    <w:rsid w:val="00E30485"/>
    <w:rsid w:val="00E30DB2"/>
    <w:rsid w:val="00E30E1E"/>
    <w:rsid w:val="00E33729"/>
    <w:rsid w:val="00E33F63"/>
    <w:rsid w:val="00E34B1D"/>
    <w:rsid w:val="00E34F28"/>
    <w:rsid w:val="00E354E2"/>
    <w:rsid w:val="00E35656"/>
    <w:rsid w:val="00E35925"/>
    <w:rsid w:val="00E35EBA"/>
    <w:rsid w:val="00E363AC"/>
    <w:rsid w:val="00E3761E"/>
    <w:rsid w:val="00E37EFB"/>
    <w:rsid w:val="00E4050E"/>
    <w:rsid w:val="00E40575"/>
    <w:rsid w:val="00E41A36"/>
    <w:rsid w:val="00E41DA6"/>
    <w:rsid w:val="00E42080"/>
    <w:rsid w:val="00E4239A"/>
    <w:rsid w:val="00E42A2E"/>
    <w:rsid w:val="00E4326D"/>
    <w:rsid w:val="00E435CB"/>
    <w:rsid w:val="00E43B05"/>
    <w:rsid w:val="00E44255"/>
    <w:rsid w:val="00E44328"/>
    <w:rsid w:val="00E44979"/>
    <w:rsid w:val="00E4635B"/>
    <w:rsid w:val="00E46867"/>
    <w:rsid w:val="00E47046"/>
    <w:rsid w:val="00E474B7"/>
    <w:rsid w:val="00E475C7"/>
    <w:rsid w:val="00E476B5"/>
    <w:rsid w:val="00E478A1"/>
    <w:rsid w:val="00E47CD1"/>
    <w:rsid w:val="00E50436"/>
    <w:rsid w:val="00E506DC"/>
    <w:rsid w:val="00E50793"/>
    <w:rsid w:val="00E51444"/>
    <w:rsid w:val="00E519A4"/>
    <w:rsid w:val="00E519D2"/>
    <w:rsid w:val="00E51AB3"/>
    <w:rsid w:val="00E51BCE"/>
    <w:rsid w:val="00E53EEF"/>
    <w:rsid w:val="00E54BE8"/>
    <w:rsid w:val="00E551A3"/>
    <w:rsid w:val="00E551B2"/>
    <w:rsid w:val="00E56647"/>
    <w:rsid w:val="00E56816"/>
    <w:rsid w:val="00E56845"/>
    <w:rsid w:val="00E57AD4"/>
    <w:rsid w:val="00E60008"/>
    <w:rsid w:val="00E605F0"/>
    <w:rsid w:val="00E613FA"/>
    <w:rsid w:val="00E635CC"/>
    <w:rsid w:val="00E64B2C"/>
    <w:rsid w:val="00E64C5D"/>
    <w:rsid w:val="00E65290"/>
    <w:rsid w:val="00E652C0"/>
    <w:rsid w:val="00E65903"/>
    <w:rsid w:val="00E65B27"/>
    <w:rsid w:val="00E65BC3"/>
    <w:rsid w:val="00E66460"/>
    <w:rsid w:val="00E669E5"/>
    <w:rsid w:val="00E67742"/>
    <w:rsid w:val="00E6784A"/>
    <w:rsid w:val="00E705D0"/>
    <w:rsid w:val="00E711B9"/>
    <w:rsid w:val="00E718F9"/>
    <w:rsid w:val="00E71908"/>
    <w:rsid w:val="00E71ABC"/>
    <w:rsid w:val="00E7333F"/>
    <w:rsid w:val="00E73AD4"/>
    <w:rsid w:val="00E7427E"/>
    <w:rsid w:val="00E74555"/>
    <w:rsid w:val="00E76407"/>
    <w:rsid w:val="00E768EC"/>
    <w:rsid w:val="00E76F75"/>
    <w:rsid w:val="00E77A1F"/>
    <w:rsid w:val="00E80C08"/>
    <w:rsid w:val="00E80D8A"/>
    <w:rsid w:val="00E8121D"/>
    <w:rsid w:val="00E81597"/>
    <w:rsid w:val="00E822C1"/>
    <w:rsid w:val="00E82EE0"/>
    <w:rsid w:val="00E8332E"/>
    <w:rsid w:val="00E83678"/>
    <w:rsid w:val="00E836AE"/>
    <w:rsid w:val="00E8375D"/>
    <w:rsid w:val="00E839BF"/>
    <w:rsid w:val="00E8400E"/>
    <w:rsid w:val="00E8660D"/>
    <w:rsid w:val="00E86F6E"/>
    <w:rsid w:val="00E87120"/>
    <w:rsid w:val="00E87560"/>
    <w:rsid w:val="00E8771D"/>
    <w:rsid w:val="00E90008"/>
    <w:rsid w:val="00E92483"/>
    <w:rsid w:val="00E92F02"/>
    <w:rsid w:val="00E94289"/>
    <w:rsid w:val="00E95201"/>
    <w:rsid w:val="00E95A2B"/>
    <w:rsid w:val="00E96840"/>
    <w:rsid w:val="00E96F3D"/>
    <w:rsid w:val="00E97F77"/>
    <w:rsid w:val="00EA0826"/>
    <w:rsid w:val="00EA0A54"/>
    <w:rsid w:val="00EA0AEE"/>
    <w:rsid w:val="00EA36B3"/>
    <w:rsid w:val="00EA37C9"/>
    <w:rsid w:val="00EA3B29"/>
    <w:rsid w:val="00EA456C"/>
    <w:rsid w:val="00EA4983"/>
    <w:rsid w:val="00EA5778"/>
    <w:rsid w:val="00EA74C3"/>
    <w:rsid w:val="00EA79F9"/>
    <w:rsid w:val="00EB03B7"/>
    <w:rsid w:val="00EB0639"/>
    <w:rsid w:val="00EB0CD9"/>
    <w:rsid w:val="00EB1942"/>
    <w:rsid w:val="00EB19DC"/>
    <w:rsid w:val="00EB2B90"/>
    <w:rsid w:val="00EB2F1C"/>
    <w:rsid w:val="00EB4EE0"/>
    <w:rsid w:val="00EB4FE8"/>
    <w:rsid w:val="00EB510A"/>
    <w:rsid w:val="00EB5D2D"/>
    <w:rsid w:val="00EB6161"/>
    <w:rsid w:val="00EB634A"/>
    <w:rsid w:val="00EB774E"/>
    <w:rsid w:val="00EC00A5"/>
    <w:rsid w:val="00EC0354"/>
    <w:rsid w:val="00EC0599"/>
    <w:rsid w:val="00EC0853"/>
    <w:rsid w:val="00EC137B"/>
    <w:rsid w:val="00EC1D8F"/>
    <w:rsid w:val="00EC24E8"/>
    <w:rsid w:val="00EC32BA"/>
    <w:rsid w:val="00EC4087"/>
    <w:rsid w:val="00EC49C7"/>
    <w:rsid w:val="00EC4C56"/>
    <w:rsid w:val="00EC5204"/>
    <w:rsid w:val="00EC55EE"/>
    <w:rsid w:val="00EC5A15"/>
    <w:rsid w:val="00EC6C02"/>
    <w:rsid w:val="00ED0217"/>
    <w:rsid w:val="00ED05CF"/>
    <w:rsid w:val="00ED1C16"/>
    <w:rsid w:val="00ED2435"/>
    <w:rsid w:val="00ED27CD"/>
    <w:rsid w:val="00ED39B6"/>
    <w:rsid w:val="00ED3DDF"/>
    <w:rsid w:val="00ED4828"/>
    <w:rsid w:val="00ED4F52"/>
    <w:rsid w:val="00ED57DF"/>
    <w:rsid w:val="00ED5DE5"/>
    <w:rsid w:val="00ED6208"/>
    <w:rsid w:val="00ED67EB"/>
    <w:rsid w:val="00ED7394"/>
    <w:rsid w:val="00ED74C0"/>
    <w:rsid w:val="00EE0168"/>
    <w:rsid w:val="00EE0630"/>
    <w:rsid w:val="00EE16EB"/>
    <w:rsid w:val="00EE1AD0"/>
    <w:rsid w:val="00EE1B1A"/>
    <w:rsid w:val="00EE2F69"/>
    <w:rsid w:val="00EE30D9"/>
    <w:rsid w:val="00EE36FD"/>
    <w:rsid w:val="00EE4605"/>
    <w:rsid w:val="00EE5109"/>
    <w:rsid w:val="00EE6187"/>
    <w:rsid w:val="00EE6AF1"/>
    <w:rsid w:val="00EE6ED4"/>
    <w:rsid w:val="00EE7CB0"/>
    <w:rsid w:val="00EF00E4"/>
    <w:rsid w:val="00EF0178"/>
    <w:rsid w:val="00EF023C"/>
    <w:rsid w:val="00EF04C1"/>
    <w:rsid w:val="00EF0B36"/>
    <w:rsid w:val="00EF0E51"/>
    <w:rsid w:val="00EF1129"/>
    <w:rsid w:val="00EF1183"/>
    <w:rsid w:val="00EF152A"/>
    <w:rsid w:val="00EF1958"/>
    <w:rsid w:val="00EF2620"/>
    <w:rsid w:val="00EF2C68"/>
    <w:rsid w:val="00EF3507"/>
    <w:rsid w:val="00EF3F2F"/>
    <w:rsid w:val="00EF49FE"/>
    <w:rsid w:val="00EF6DE7"/>
    <w:rsid w:val="00EF73B8"/>
    <w:rsid w:val="00EF763C"/>
    <w:rsid w:val="00F006AC"/>
    <w:rsid w:val="00F00D1D"/>
    <w:rsid w:val="00F00DFE"/>
    <w:rsid w:val="00F01000"/>
    <w:rsid w:val="00F020A7"/>
    <w:rsid w:val="00F0223F"/>
    <w:rsid w:val="00F03E97"/>
    <w:rsid w:val="00F04CF5"/>
    <w:rsid w:val="00F05174"/>
    <w:rsid w:val="00F052FB"/>
    <w:rsid w:val="00F05B4C"/>
    <w:rsid w:val="00F05B56"/>
    <w:rsid w:val="00F06552"/>
    <w:rsid w:val="00F072EA"/>
    <w:rsid w:val="00F102D0"/>
    <w:rsid w:val="00F12FCB"/>
    <w:rsid w:val="00F137C1"/>
    <w:rsid w:val="00F13A3C"/>
    <w:rsid w:val="00F13B19"/>
    <w:rsid w:val="00F14356"/>
    <w:rsid w:val="00F14ACC"/>
    <w:rsid w:val="00F155FA"/>
    <w:rsid w:val="00F15C8A"/>
    <w:rsid w:val="00F1706E"/>
    <w:rsid w:val="00F17559"/>
    <w:rsid w:val="00F17BCC"/>
    <w:rsid w:val="00F20212"/>
    <w:rsid w:val="00F20537"/>
    <w:rsid w:val="00F223A0"/>
    <w:rsid w:val="00F2335D"/>
    <w:rsid w:val="00F234ED"/>
    <w:rsid w:val="00F23C6C"/>
    <w:rsid w:val="00F249EE"/>
    <w:rsid w:val="00F2756C"/>
    <w:rsid w:val="00F27791"/>
    <w:rsid w:val="00F27977"/>
    <w:rsid w:val="00F27A67"/>
    <w:rsid w:val="00F3078D"/>
    <w:rsid w:val="00F30B17"/>
    <w:rsid w:val="00F31C5F"/>
    <w:rsid w:val="00F320A5"/>
    <w:rsid w:val="00F32C9A"/>
    <w:rsid w:val="00F330F3"/>
    <w:rsid w:val="00F339DC"/>
    <w:rsid w:val="00F33B1D"/>
    <w:rsid w:val="00F33ECC"/>
    <w:rsid w:val="00F34A54"/>
    <w:rsid w:val="00F359BA"/>
    <w:rsid w:val="00F37492"/>
    <w:rsid w:val="00F37537"/>
    <w:rsid w:val="00F377C9"/>
    <w:rsid w:val="00F3799B"/>
    <w:rsid w:val="00F4002C"/>
    <w:rsid w:val="00F4010C"/>
    <w:rsid w:val="00F410C9"/>
    <w:rsid w:val="00F412AE"/>
    <w:rsid w:val="00F4224F"/>
    <w:rsid w:val="00F42480"/>
    <w:rsid w:val="00F42D80"/>
    <w:rsid w:val="00F439D2"/>
    <w:rsid w:val="00F43A96"/>
    <w:rsid w:val="00F4460A"/>
    <w:rsid w:val="00F448A0"/>
    <w:rsid w:val="00F456EF"/>
    <w:rsid w:val="00F4621D"/>
    <w:rsid w:val="00F46F41"/>
    <w:rsid w:val="00F4717A"/>
    <w:rsid w:val="00F4731A"/>
    <w:rsid w:val="00F47B41"/>
    <w:rsid w:val="00F47B86"/>
    <w:rsid w:val="00F5099A"/>
    <w:rsid w:val="00F51261"/>
    <w:rsid w:val="00F51B4B"/>
    <w:rsid w:val="00F521C8"/>
    <w:rsid w:val="00F5225C"/>
    <w:rsid w:val="00F52E65"/>
    <w:rsid w:val="00F52E73"/>
    <w:rsid w:val="00F537BA"/>
    <w:rsid w:val="00F53FE2"/>
    <w:rsid w:val="00F53FF9"/>
    <w:rsid w:val="00F5498F"/>
    <w:rsid w:val="00F54D86"/>
    <w:rsid w:val="00F55010"/>
    <w:rsid w:val="00F55D09"/>
    <w:rsid w:val="00F56251"/>
    <w:rsid w:val="00F562F3"/>
    <w:rsid w:val="00F56637"/>
    <w:rsid w:val="00F56D98"/>
    <w:rsid w:val="00F572F6"/>
    <w:rsid w:val="00F5741A"/>
    <w:rsid w:val="00F574A8"/>
    <w:rsid w:val="00F57590"/>
    <w:rsid w:val="00F5772F"/>
    <w:rsid w:val="00F60202"/>
    <w:rsid w:val="00F602E8"/>
    <w:rsid w:val="00F61210"/>
    <w:rsid w:val="00F615ED"/>
    <w:rsid w:val="00F61B12"/>
    <w:rsid w:val="00F62159"/>
    <w:rsid w:val="00F62C68"/>
    <w:rsid w:val="00F62D23"/>
    <w:rsid w:val="00F64513"/>
    <w:rsid w:val="00F64C9B"/>
    <w:rsid w:val="00F65C05"/>
    <w:rsid w:val="00F66001"/>
    <w:rsid w:val="00F6611D"/>
    <w:rsid w:val="00F66122"/>
    <w:rsid w:val="00F66D35"/>
    <w:rsid w:val="00F70B3B"/>
    <w:rsid w:val="00F71ACB"/>
    <w:rsid w:val="00F71EE5"/>
    <w:rsid w:val="00F7231E"/>
    <w:rsid w:val="00F72F3F"/>
    <w:rsid w:val="00F73358"/>
    <w:rsid w:val="00F73666"/>
    <w:rsid w:val="00F7439B"/>
    <w:rsid w:val="00F74736"/>
    <w:rsid w:val="00F74D9A"/>
    <w:rsid w:val="00F74F14"/>
    <w:rsid w:val="00F75B70"/>
    <w:rsid w:val="00F75F03"/>
    <w:rsid w:val="00F76625"/>
    <w:rsid w:val="00F76E90"/>
    <w:rsid w:val="00F770AE"/>
    <w:rsid w:val="00F801D3"/>
    <w:rsid w:val="00F8083D"/>
    <w:rsid w:val="00F816F8"/>
    <w:rsid w:val="00F81F77"/>
    <w:rsid w:val="00F82DF5"/>
    <w:rsid w:val="00F84615"/>
    <w:rsid w:val="00F86610"/>
    <w:rsid w:val="00F8669A"/>
    <w:rsid w:val="00F8700B"/>
    <w:rsid w:val="00F8715C"/>
    <w:rsid w:val="00F90276"/>
    <w:rsid w:val="00F91075"/>
    <w:rsid w:val="00F9148A"/>
    <w:rsid w:val="00F91CF6"/>
    <w:rsid w:val="00F92182"/>
    <w:rsid w:val="00F92991"/>
    <w:rsid w:val="00F9330C"/>
    <w:rsid w:val="00F93483"/>
    <w:rsid w:val="00F9380B"/>
    <w:rsid w:val="00F93E6E"/>
    <w:rsid w:val="00F94C83"/>
    <w:rsid w:val="00F95270"/>
    <w:rsid w:val="00F95616"/>
    <w:rsid w:val="00F965AC"/>
    <w:rsid w:val="00F9716A"/>
    <w:rsid w:val="00F97974"/>
    <w:rsid w:val="00FA057B"/>
    <w:rsid w:val="00FA0967"/>
    <w:rsid w:val="00FA1D02"/>
    <w:rsid w:val="00FA267E"/>
    <w:rsid w:val="00FA3BCB"/>
    <w:rsid w:val="00FA40A9"/>
    <w:rsid w:val="00FA5992"/>
    <w:rsid w:val="00FA6CDA"/>
    <w:rsid w:val="00FA7198"/>
    <w:rsid w:val="00FA759B"/>
    <w:rsid w:val="00FA7E1B"/>
    <w:rsid w:val="00FA7E93"/>
    <w:rsid w:val="00FB0291"/>
    <w:rsid w:val="00FB0300"/>
    <w:rsid w:val="00FB0DC4"/>
    <w:rsid w:val="00FB1298"/>
    <w:rsid w:val="00FB1617"/>
    <w:rsid w:val="00FB216D"/>
    <w:rsid w:val="00FB264B"/>
    <w:rsid w:val="00FB31D6"/>
    <w:rsid w:val="00FB3C65"/>
    <w:rsid w:val="00FB5220"/>
    <w:rsid w:val="00FB59B6"/>
    <w:rsid w:val="00FB5D58"/>
    <w:rsid w:val="00FB5FFB"/>
    <w:rsid w:val="00FB6DD2"/>
    <w:rsid w:val="00FB759E"/>
    <w:rsid w:val="00FC17A7"/>
    <w:rsid w:val="00FC1AB4"/>
    <w:rsid w:val="00FC1FB7"/>
    <w:rsid w:val="00FC2404"/>
    <w:rsid w:val="00FC403B"/>
    <w:rsid w:val="00FC5001"/>
    <w:rsid w:val="00FC5321"/>
    <w:rsid w:val="00FC539D"/>
    <w:rsid w:val="00FC58C8"/>
    <w:rsid w:val="00FC602A"/>
    <w:rsid w:val="00FC6BE6"/>
    <w:rsid w:val="00FC6DBF"/>
    <w:rsid w:val="00FC7E04"/>
    <w:rsid w:val="00FD0115"/>
    <w:rsid w:val="00FD0714"/>
    <w:rsid w:val="00FD07CF"/>
    <w:rsid w:val="00FD1A80"/>
    <w:rsid w:val="00FD1D2D"/>
    <w:rsid w:val="00FD345C"/>
    <w:rsid w:val="00FD484A"/>
    <w:rsid w:val="00FD497B"/>
    <w:rsid w:val="00FD6205"/>
    <w:rsid w:val="00FD63AB"/>
    <w:rsid w:val="00FD6F4A"/>
    <w:rsid w:val="00FD7B98"/>
    <w:rsid w:val="00FD7E8D"/>
    <w:rsid w:val="00FE004F"/>
    <w:rsid w:val="00FE0182"/>
    <w:rsid w:val="00FE0292"/>
    <w:rsid w:val="00FE0437"/>
    <w:rsid w:val="00FE04E6"/>
    <w:rsid w:val="00FE172E"/>
    <w:rsid w:val="00FE1C1D"/>
    <w:rsid w:val="00FE2117"/>
    <w:rsid w:val="00FE3360"/>
    <w:rsid w:val="00FE39DB"/>
    <w:rsid w:val="00FE3DDE"/>
    <w:rsid w:val="00FE41AD"/>
    <w:rsid w:val="00FE5ED7"/>
    <w:rsid w:val="00FE6493"/>
    <w:rsid w:val="00FF0010"/>
    <w:rsid w:val="00FF02CB"/>
    <w:rsid w:val="00FF24AF"/>
    <w:rsid w:val="00FF2704"/>
    <w:rsid w:val="00FF4DE5"/>
    <w:rsid w:val="00FF4F10"/>
    <w:rsid w:val="00FF5653"/>
    <w:rsid w:val="00FF638C"/>
    <w:rsid w:val="00FF652F"/>
    <w:rsid w:val="00FF73F8"/>
    <w:rsid w:val="00FF7A4D"/>
    <w:rsid w:val="01101675"/>
    <w:rsid w:val="014F4774"/>
    <w:rsid w:val="015C24EA"/>
    <w:rsid w:val="01661B19"/>
    <w:rsid w:val="019D2DF8"/>
    <w:rsid w:val="01DC32D2"/>
    <w:rsid w:val="01E83324"/>
    <w:rsid w:val="020E02AA"/>
    <w:rsid w:val="022E26FA"/>
    <w:rsid w:val="027171BF"/>
    <w:rsid w:val="02767F56"/>
    <w:rsid w:val="02891DD2"/>
    <w:rsid w:val="0297204E"/>
    <w:rsid w:val="02A62291"/>
    <w:rsid w:val="02FE541E"/>
    <w:rsid w:val="03105E59"/>
    <w:rsid w:val="0311708D"/>
    <w:rsid w:val="03190396"/>
    <w:rsid w:val="03465822"/>
    <w:rsid w:val="034F71B9"/>
    <w:rsid w:val="035C6DF3"/>
    <w:rsid w:val="036D4EAF"/>
    <w:rsid w:val="038500F8"/>
    <w:rsid w:val="03872585"/>
    <w:rsid w:val="038A3960"/>
    <w:rsid w:val="0397059C"/>
    <w:rsid w:val="03CF04A1"/>
    <w:rsid w:val="03DE3E91"/>
    <w:rsid w:val="03E8481E"/>
    <w:rsid w:val="03EF27C8"/>
    <w:rsid w:val="045A77D7"/>
    <w:rsid w:val="04610B65"/>
    <w:rsid w:val="048B377C"/>
    <w:rsid w:val="049F343C"/>
    <w:rsid w:val="04A24CDA"/>
    <w:rsid w:val="04A84405"/>
    <w:rsid w:val="04D8694E"/>
    <w:rsid w:val="04F04BD3"/>
    <w:rsid w:val="0510623B"/>
    <w:rsid w:val="053C4851"/>
    <w:rsid w:val="05526700"/>
    <w:rsid w:val="05B24C3C"/>
    <w:rsid w:val="05B96A96"/>
    <w:rsid w:val="05BC136C"/>
    <w:rsid w:val="05ED14BF"/>
    <w:rsid w:val="0600615C"/>
    <w:rsid w:val="0618661C"/>
    <w:rsid w:val="062260D2"/>
    <w:rsid w:val="064C7E90"/>
    <w:rsid w:val="064E336B"/>
    <w:rsid w:val="065A1D10"/>
    <w:rsid w:val="069F5975"/>
    <w:rsid w:val="06A0349B"/>
    <w:rsid w:val="06A25B33"/>
    <w:rsid w:val="06B74C51"/>
    <w:rsid w:val="06BA58EF"/>
    <w:rsid w:val="06DA6F02"/>
    <w:rsid w:val="06F65F75"/>
    <w:rsid w:val="06FD269B"/>
    <w:rsid w:val="071F2612"/>
    <w:rsid w:val="0737128F"/>
    <w:rsid w:val="07423F30"/>
    <w:rsid w:val="079032CD"/>
    <w:rsid w:val="07917CAA"/>
    <w:rsid w:val="07B72059"/>
    <w:rsid w:val="07E177ED"/>
    <w:rsid w:val="07F96744"/>
    <w:rsid w:val="07FE7171"/>
    <w:rsid w:val="08035B97"/>
    <w:rsid w:val="087D7F38"/>
    <w:rsid w:val="089F47FD"/>
    <w:rsid w:val="08A24CB4"/>
    <w:rsid w:val="08AC4379"/>
    <w:rsid w:val="08AC6127"/>
    <w:rsid w:val="08FD3876"/>
    <w:rsid w:val="09067A17"/>
    <w:rsid w:val="09324853"/>
    <w:rsid w:val="09363AA0"/>
    <w:rsid w:val="094840A2"/>
    <w:rsid w:val="094E02AD"/>
    <w:rsid w:val="09643DE4"/>
    <w:rsid w:val="09657C14"/>
    <w:rsid w:val="096802A0"/>
    <w:rsid w:val="097906FF"/>
    <w:rsid w:val="09CB1BE0"/>
    <w:rsid w:val="09D02CE9"/>
    <w:rsid w:val="09FD4BFA"/>
    <w:rsid w:val="0A081A8F"/>
    <w:rsid w:val="0A2166A1"/>
    <w:rsid w:val="0A232419"/>
    <w:rsid w:val="0A3A79E0"/>
    <w:rsid w:val="0A652A31"/>
    <w:rsid w:val="0A7E74E7"/>
    <w:rsid w:val="0A8424A6"/>
    <w:rsid w:val="0AB37C41"/>
    <w:rsid w:val="0AB47515"/>
    <w:rsid w:val="0AB57A4A"/>
    <w:rsid w:val="0ABF65E6"/>
    <w:rsid w:val="0AC361C6"/>
    <w:rsid w:val="0AE0030A"/>
    <w:rsid w:val="0B1227AF"/>
    <w:rsid w:val="0B1C4AA2"/>
    <w:rsid w:val="0B370759"/>
    <w:rsid w:val="0BA92DF2"/>
    <w:rsid w:val="0BB43C70"/>
    <w:rsid w:val="0BD936D7"/>
    <w:rsid w:val="0C192780"/>
    <w:rsid w:val="0C2473AA"/>
    <w:rsid w:val="0C442786"/>
    <w:rsid w:val="0C4A7332"/>
    <w:rsid w:val="0CA43CE5"/>
    <w:rsid w:val="0CCF15BA"/>
    <w:rsid w:val="0CE51D21"/>
    <w:rsid w:val="0CF1523C"/>
    <w:rsid w:val="0D1D5F20"/>
    <w:rsid w:val="0D1D7803"/>
    <w:rsid w:val="0D224C0A"/>
    <w:rsid w:val="0D562B05"/>
    <w:rsid w:val="0D7B2EA8"/>
    <w:rsid w:val="0D947AC0"/>
    <w:rsid w:val="0DB717F6"/>
    <w:rsid w:val="0DC246A2"/>
    <w:rsid w:val="0DF742E8"/>
    <w:rsid w:val="0E440BB0"/>
    <w:rsid w:val="0E5200CF"/>
    <w:rsid w:val="0E7A2D5D"/>
    <w:rsid w:val="0EA77ABC"/>
    <w:rsid w:val="0ED308B1"/>
    <w:rsid w:val="0EEE7499"/>
    <w:rsid w:val="0EF425D6"/>
    <w:rsid w:val="0F040A6B"/>
    <w:rsid w:val="0F220886"/>
    <w:rsid w:val="0F3F502D"/>
    <w:rsid w:val="0F445912"/>
    <w:rsid w:val="0F4632F8"/>
    <w:rsid w:val="0F53554E"/>
    <w:rsid w:val="0F893C69"/>
    <w:rsid w:val="0F895414"/>
    <w:rsid w:val="0FA15A90"/>
    <w:rsid w:val="0FA22032"/>
    <w:rsid w:val="0FB360BB"/>
    <w:rsid w:val="0FD40256"/>
    <w:rsid w:val="0FD52407"/>
    <w:rsid w:val="0FDC42A7"/>
    <w:rsid w:val="104906FF"/>
    <w:rsid w:val="10525806"/>
    <w:rsid w:val="10637A13"/>
    <w:rsid w:val="107240FA"/>
    <w:rsid w:val="107A6169"/>
    <w:rsid w:val="108300B5"/>
    <w:rsid w:val="10AA73F0"/>
    <w:rsid w:val="10F74CBA"/>
    <w:rsid w:val="110A553C"/>
    <w:rsid w:val="110C12EC"/>
    <w:rsid w:val="11242A14"/>
    <w:rsid w:val="11403824"/>
    <w:rsid w:val="11447809"/>
    <w:rsid w:val="11C444E1"/>
    <w:rsid w:val="11DC1820"/>
    <w:rsid w:val="12036816"/>
    <w:rsid w:val="120E7E53"/>
    <w:rsid w:val="12603A24"/>
    <w:rsid w:val="127B4651"/>
    <w:rsid w:val="12880156"/>
    <w:rsid w:val="129505EA"/>
    <w:rsid w:val="12B26D30"/>
    <w:rsid w:val="12B502CE"/>
    <w:rsid w:val="12D075E1"/>
    <w:rsid w:val="12E27315"/>
    <w:rsid w:val="12F40DF6"/>
    <w:rsid w:val="13070B2A"/>
    <w:rsid w:val="134E39C4"/>
    <w:rsid w:val="137A31B8"/>
    <w:rsid w:val="138C39AA"/>
    <w:rsid w:val="13912AE9"/>
    <w:rsid w:val="13A530BA"/>
    <w:rsid w:val="13AA5959"/>
    <w:rsid w:val="13D03B79"/>
    <w:rsid w:val="13DB3D64"/>
    <w:rsid w:val="13DF5603"/>
    <w:rsid w:val="13FB7C57"/>
    <w:rsid w:val="13FF691F"/>
    <w:rsid w:val="14121C6E"/>
    <w:rsid w:val="141E6EE4"/>
    <w:rsid w:val="1437543F"/>
    <w:rsid w:val="145A112D"/>
    <w:rsid w:val="146F2E2A"/>
    <w:rsid w:val="147F447F"/>
    <w:rsid w:val="14B108A9"/>
    <w:rsid w:val="14D84D32"/>
    <w:rsid w:val="14EC07A3"/>
    <w:rsid w:val="14F64CBE"/>
    <w:rsid w:val="15063063"/>
    <w:rsid w:val="153B2D0D"/>
    <w:rsid w:val="153E0A4F"/>
    <w:rsid w:val="15612611"/>
    <w:rsid w:val="156A35F2"/>
    <w:rsid w:val="1570073A"/>
    <w:rsid w:val="157D50D3"/>
    <w:rsid w:val="158741A4"/>
    <w:rsid w:val="159A3ED7"/>
    <w:rsid w:val="15A652FF"/>
    <w:rsid w:val="15C94DE8"/>
    <w:rsid w:val="15D11A6A"/>
    <w:rsid w:val="16070E41"/>
    <w:rsid w:val="16284627"/>
    <w:rsid w:val="16337E88"/>
    <w:rsid w:val="16367EFB"/>
    <w:rsid w:val="167D7355"/>
    <w:rsid w:val="169D08E8"/>
    <w:rsid w:val="16A20B69"/>
    <w:rsid w:val="16C15493"/>
    <w:rsid w:val="16CB6312"/>
    <w:rsid w:val="16F67D2D"/>
    <w:rsid w:val="17136118"/>
    <w:rsid w:val="172C5003"/>
    <w:rsid w:val="17422768"/>
    <w:rsid w:val="1763479D"/>
    <w:rsid w:val="176C3651"/>
    <w:rsid w:val="1795621E"/>
    <w:rsid w:val="17A07677"/>
    <w:rsid w:val="17CF598E"/>
    <w:rsid w:val="17ED1232"/>
    <w:rsid w:val="180513B0"/>
    <w:rsid w:val="18341AE3"/>
    <w:rsid w:val="18577EC3"/>
    <w:rsid w:val="188449CB"/>
    <w:rsid w:val="18876269"/>
    <w:rsid w:val="18882FE4"/>
    <w:rsid w:val="18E72FF6"/>
    <w:rsid w:val="18E84F59"/>
    <w:rsid w:val="18FA6A3B"/>
    <w:rsid w:val="190C0C1E"/>
    <w:rsid w:val="192F0DDA"/>
    <w:rsid w:val="19597C05"/>
    <w:rsid w:val="19651B2C"/>
    <w:rsid w:val="1977008B"/>
    <w:rsid w:val="19964664"/>
    <w:rsid w:val="19CF1C75"/>
    <w:rsid w:val="1A204BC7"/>
    <w:rsid w:val="1A6B4094"/>
    <w:rsid w:val="1A7016AA"/>
    <w:rsid w:val="1AAB4490"/>
    <w:rsid w:val="1ADF05DE"/>
    <w:rsid w:val="1B0A2E6A"/>
    <w:rsid w:val="1B762CF0"/>
    <w:rsid w:val="1B773462"/>
    <w:rsid w:val="1B7F1C1F"/>
    <w:rsid w:val="1B903686"/>
    <w:rsid w:val="1BAA0BEC"/>
    <w:rsid w:val="1BBA61D0"/>
    <w:rsid w:val="1BC12B8B"/>
    <w:rsid w:val="1BD73063"/>
    <w:rsid w:val="1BF9784E"/>
    <w:rsid w:val="1C1D13BE"/>
    <w:rsid w:val="1C424981"/>
    <w:rsid w:val="1C6B60F6"/>
    <w:rsid w:val="1C6D795C"/>
    <w:rsid w:val="1CD203FA"/>
    <w:rsid w:val="1CFC330C"/>
    <w:rsid w:val="1D2B3667"/>
    <w:rsid w:val="1D3F3F3C"/>
    <w:rsid w:val="1D497F91"/>
    <w:rsid w:val="1D6333DE"/>
    <w:rsid w:val="1D7019C1"/>
    <w:rsid w:val="1D823644"/>
    <w:rsid w:val="1DAF4298"/>
    <w:rsid w:val="1DD12460"/>
    <w:rsid w:val="1DDC0DD7"/>
    <w:rsid w:val="1DF95513"/>
    <w:rsid w:val="1E2D6E05"/>
    <w:rsid w:val="1E543091"/>
    <w:rsid w:val="1F01713F"/>
    <w:rsid w:val="1F084755"/>
    <w:rsid w:val="1F1C595D"/>
    <w:rsid w:val="1F374545"/>
    <w:rsid w:val="1F3F789D"/>
    <w:rsid w:val="1F853E5F"/>
    <w:rsid w:val="1F9A2D26"/>
    <w:rsid w:val="1F9A4AD4"/>
    <w:rsid w:val="1FA2210B"/>
    <w:rsid w:val="1FC14756"/>
    <w:rsid w:val="1FE10954"/>
    <w:rsid w:val="1FE16BA6"/>
    <w:rsid w:val="1FEA7809"/>
    <w:rsid w:val="200E0021"/>
    <w:rsid w:val="20127405"/>
    <w:rsid w:val="202A5E57"/>
    <w:rsid w:val="20474E76"/>
    <w:rsid w:val="205A1477"/>
    <w:rsid w:val="20774389"/>
    <w:rsid w:val="207B38A4"/>
    <w:rsid w:val="207D484F"/>
    <w:rsid w:val="20860626"/>
    <w:rsid w:val="20880DD0"/>
    <w:rsid w:val="209201F7"/>
    <w:rsid w:val="209314D4"/>
    <w:rsid w:val="20A0611A"/>
    <w:rsid w:val="20A07520"/>
    <w:rsid w:val="20BB02B9"/>
    <w:rsid w:val="20C20786"/>
    <w:rsid w:val="21154D5A"/>
    <w:rsid w:val="213304C1"/>
    <w:rsid w:val="214111D9"/>
    <w:rsid w:val="21450638"/>
    <w:rsid w:val="215238B8"/>
    <w:rsid w:val="21657C15"/>
    <w:rsid w:val="216C71A5"/>
    <w:rsid w:val="21842B78"/>
    <w:rsid w:val="219954B9"/>
    <w:rsid w:val="21E36C06"/>
    <w:rsid w:val="21FF3314"/>
    <w:rsid w:val="223B434C"/>
    <w:rsid w:val="223D5209"/>
    <w:rsid w:val="223E5BEA"/>
    <w:rsid w:val="224B0307"/>
    <w:rsid w:val="22603DB2"/>
    <w:rsid w:val="22717D6E"/>
    <w:rsid w:val="228F4698"/>
    <w:rsid w:val="22B3482A"/>
    <w:rsid w:val="22C72083"/>
    <w:rsid w:val="22FB175C"/>
    <w:rsid w:val="23377735"/>
    <w:rsid w:val="234B1856"/>
    <w:rsid w:val="235112C1"/>
    <w:rsid w:val="235F406A"/>
    <w:rsid w:val="236D737C"/>
    <w:rsid w:val="23CA7E50"/>
    <w:rsid w:val="23DF51AB"/>
    <w:rsid w:val="23F73406"/>
    <w:rsid w:val="241237D2"/>
    <w:rsid w:val="241412F8"/>
    <w:rsid w:val="246C3C96"/>
    <w:rsid w:val="24912A1F"/>
    <w:rsid w:val="249B0B09"/>
    <w:rsid w:val="24D44611"/>
    <w:rsid w:val="25002580"/>
    <w:rsid w:val="2501161D"/>
    <w:rsid w:val="25027659"/>
    <w:rsid w:val="25307707"/>
    <w:rsid w:val="25372DE9"/>
    <w:rsid w:val="25853B30"/>
    <w:rsid w:val="258E0C37"/>
    <w:rsid w:val="25C22641"/>
    <w:rsid w:val="2607719D"/>
    <w:rsid w:val="2624726E"/>
    <w:rsid w:val="26497527"/>
    <w:rsid w:val="267267AA"/>
    <w:rsid w:val="269E759F"/>
    <w:rsid w:val="26C610B7"/>
    <w:rsid w:val="26CA409A"/>
    <w:rsid w:val="26F62F37"/>
    <w:rsid w:val="273E668C"/>
    <w:rsid w:val="276B73F4"/>
    <w:rsid w:val="277D45DB"/>
    <w:rsid w:val="27AC51B9"/>
    <w:rsid w:val="27B21755"/>
    <w:rsid w:val="27C60B5C"/>
    <w:rsid w:val="27E17743"/>
    <w:rsid w:val="27E96E49"/>
    <w:rsid w:val="28217F65"/>
    <w:rsid w:val="28277120"/>
    <w:rsid w:val="283C6D97"/>
    <w:rsid w:val="284D6B87"/>
    <w:rsid w:val="285976AB"/>
    <w:rsid w:val="286B1703"/>
    <w:rsid w:val="28D728F5"/>
    <w:rsid w:val="290B259E"/>
    <w:rsid w:val="29114058"/>
    <w:rsid w:val="2948084E"/>
    <w:rsid w:val="297121CD"/>
    <w:rsid w:val="298760C9"/>
    <w:rsid w:val="29B219D4"/>
    <w:rsid w:val="29B36EBE"/>
    <w:rsid w:val="29B733F6"/>
    <w:rsid w:val="29CD7BEE"/>
    <w:rsid w:val="29CF4022"/>
    <w:rsid w:val="29E76052"/>
    <w:rsid w:val="29FF6315"/>
    <w:rsid w:val="2A2C5264"/>
    <w:rsid w:val="2A41096D"/>
    <w:rsid w:val="2A471960"/>
    <w:rsid w:val="2A482069"/>
    <w:rsid w:val="2A49479F"/>
    <w:rsid w:val="2A566386"/>
    <w:rsid w:val="2A6401B8"/>
    <w:rsid w:val="2A7501E7"/>
    <w:rsid w:val="2A7E571E"/>
    <w:rsid w:val="2A8A4FE9"/>
    <w:rsid w:val="2A9036A3"/>
    <w:rsid w:val="2A992557"/>
    <w:rsid w:val="2AA9206F"/>
    <w:rsid w:val="2AD02254"/>
    <w:rsid w:val="2ADB3C0E"/>
    <w:rsid w:val="2B0771A6"/>
    <w:rsid w:val="2B1C6CE5"/>
    <w:rsid w:val="2B3E1A75"/>
    <w:rsid w:val="2B797138"/>
    <w:rsid w:val="2B88437A"/>
    <w:rsid w:val="2BD33F54"/>
    <w:rsid w:val="2BDA51C6"/>
    <w:rsid w:val="2BF37A45"/>
    <w:rsid w:val="2C0C01DE"/>
    <w:rsid w:val="2C0E07F8"/>
    <w:rsid w:val="2C12686C"/>
    <w:rsid w:val="2C20555F"/>
    <w:rsid w:val="2C3E0994"/>
    <w:rsid w:val="2C4E7F91"/>
    <w:rsid w:val="2C581258"/>
    <w:rsid w:val="2C626979"/>
    <w:rsid w:val="2C6E17C2"/>
    <w:rsid w:val="2CCB75D3"/>
    <w:rsid w:val="2CD94571"/>
    <w:rsid w:val="2CFC3762"/>
    <w:rsid w:val="2CFC5020"/>
    <w:rsid w:val="2D0B08DF"/>
    <w:rsid w:val="2D100698"/>
    <w:rsid w:val="2D223EAD"/>
    <w:rsid w:val="2D453DEB"/>
    <w:rsid w:val="2D482013"/>
    <w:rsid w:val="2D672B94"/>
    <w:rsid w:val="2D9B0A8B"/>
    <w:rsid w:val="2DAD43B0"/>
    <w:rsid w:val="2DE05F6F"/>
    <w:rsid w:val="2DE55AB4"/>
    <w:rsid w:val="2DF8162E"/>
    <w:rsid w:val="2E283D2E"/>
    <w:rsid w:val="2E6120D2"/>
    <w:rsid w:val="2E613134"/>
    <w:rsid w:val="2E665B25"/>
    <w:rsid w:val="2E701821"/>
    <w:rsid w:val="2E7F07D9"/>
    <w:rsid w:val="2EA64400"/>
    <w:rsid w:val="2EA957E6"/>
    <w:rsid w:val="2EC77A75"/>
    <w:rsid w:val="2EDE2C2F"/>
    <w:rsid w:val="2EE72D23"/>
    <w:rsid w:val="2EED10C4"/>
    <w:rsid w:val="2F022C18"/>
    <w:rsid w:val="2F0E5351"/>
    <w:rsid w:val="2F2C1714"/>
    <w:rsid w:val="2F2D14C0"/>
    <w:rsid w:val="2F322202"/>
    <w:rsid w:val="2F3C1703"/>
    <w:rsid w:val="2F430CE4"/>
    <w:rsid w:val="2F4F58DB"/>
    <w:rsid w:val="2F546A4D"/>
    <w:rsid w:val="2F807931"/>
    <w:rsid w:val="2F954E96"/>
    <w:rsid w:val="2FAD43AF"/>
    <w:rsid w:val="2FB70AC8"/>
    <w:rsid w:val="2FDB0F1C"/>
    <w:rsid w:val="2FE31AD2"/>
    <w:rsid w:val="2FE63FB0"/>
    <w:rsid w:val="2FEC4ED7"/>
    <w:rsid w:val="2FF63FA8"/>
    <w:rsid w:val="302F2452"/>
    <w:rsid w:val="303D69DF"/>
    <w:rsid w:val="304951D7"/>
    <w:rsid w:val="305C3852"/>
    <w:rsid w:val="30622BA0"/>
    <w:rsid w:val="306E3B3E"/>
    <w:rsid w:val="30720F94"/>
    <w:rsid w:val="309A0DD7"/>
    <w:rsid w:val="30B42E66"/>
    <w:rsid w:val="310E70CF"/>
    <w:rsid w:val="313E5C07"/>
    <w:rsid w:val="31434FCB"/>
    <w:rsid w:val="316A69FC"/>
    <w:rsid w:val="3183198D"/>
    <w:rsid w:val="319F4825"/>
    <w:rsid w:val="31BC0566"/>
    <w:rsid w:val="31DB5204"/>
    <w:rsid w:val="31E00A6C"/>
    <w:rsid w:val="31E10DF1"/>
    <w:rsid w:val="322C193C"/>
    <w:rsid w:val="3234700A"/>
    <w:rsid w:val="32462F60"/>
    <w:rsid w:val="3294550E"/>
    <w:rsid w:val="32C303F2"/>
    <w:rsid w:val="32CC7242"/>
    <w:rsid w:val="32DA54BB"/>
    <w:rsid w:val="32E20814"/>
    <w:rsid w:val="32EB2E03"/>
    <w:rsid w:val="32EE71B8"/>
    <w:rsid w:val="32F2114A"/>
    <w:rsid w:val="331D35FA"/>
    <w:rsid w:val="333170A5"/>
    <w:rsid w:val="333C6176"/>
    <w:rsid w:val="334E2D6D"/>
    <w:rsid w:val="33791178"/>
    <w:rsid w:val="338B2C59"/>
    <w:rsid w:val="33AB6595"/>
    <w:rsid w:val="33EF4BC0"/>
    <w:rsid w:val="3400694E"/>
    <w:rsid w:val="342B6606"/>
    <w:rsid w:val="3431799D"/>
    <w:rsid w:val="343E3F89"/>
    <w:rsid w:val="344317E2"/>
    <w:rsid w:val="344C4197"/>
    <w:rsid w:val="34543A65"/>
    <w:rsid w:val="345474EF"/>
    <w:rsid w:val="34681E15"/>
    <w:rsid w:val="34753A59"/>
    <w:rsid w:val="348140F6"/>
    <w:rsid w:val="34A73A14"/>
    <w:rsid w:val="34B34562"/>
    <w:rsid w:val="34D32EED"/>
    <w:rsid w:val="34FD7B87"/>
    <w:rsid w:val="35011C05"/>
    <w:rsid w:val="35401F9A"/>
    <w:rsid w:val="35665C4E"/>
    <w:rsid w:val="35794950"/>
    <w:rsid w:val="359E77FB"/>
    <w:rsid w:val="35A3428A"/>
    <w:rsid w:val="35A818A1"/>
    <w:rsid w:val="35F03248"/>
    <w:rsid w:val="36366E82"/>
    <w:rsid w:val="363A2CB9"/>
    <w:rsid w:val="363B7262"/>
    <w:rsid w:val="364A2958"/>
    <w:rsid w:val="364D2448"/>
    <w:rsid w:val="36526639"/>
    <w:rsid w:val="365377F4"/>
    <w:rsid w:val="367E26A4"/>
    <w:rsid w:val="368857DA"/>
    <w:rsid w:val="36B971F0"/>
    <w:rsid w:val="36E27034"/>
    <w:rsid w:val="371171C3"/>
    <w:rsid w:val="376B527C"/>
    <w:rsid w:val="376E09B0"/>
    <w:rsid w:val="37774D6F"/>
    <w:rsid w:val="37840064"/>
    <w:rsid w:val="378C0D4E"/>
    <w:rsid w:val="37A551A8"/>
    <w:rsid w:val="37A83DDA"/>
    <w:rsid w:val="37B26A07"/>
    <w:rsid w:val="37C60704"/>
    <w:rsid w:val="37EC3C9F"/>
    <w:rsid w:val="3801798E"/>
    <w:rsid w:val="381F3845"/>
    <w:rsid w:val="382D0783"/>
    <w:rsid w:val="383A0B46"/>
    <w:rsid w:val="3843431D"/>
    <w:rsid w:val="38514471"/>
    <w:rsid w:val="386D5023"/>
    <w:rsid w:val="387E65C1"/>
    <w:rsid w:val="387F3FB0"/>
    <w:rsid w:val="388834D5"/>
    <w:rsid w:val="38ED5589"/>
    <w:rsid w:val="38EF5A38"/>
    <w:rsid w:val="391D76E1"/>
    <w:rsid w:val="39317DFF"/>
    <w:rsid w:val="39567866"/>
    <w:rsid w:val="39754E22"/>
    <w:rsid w:val="39873EC3"/>
    <w:rsid w:val="39957B47"/>
    <w:rsid w:val="39AE72B7"/>
    <w:rsid w:val="39B25EC6"/>
    <w:rsid w:val="39BC24D5"/>
    <w:rsid w:val="39D13637"/>
    <w:rsid w:val="39D2593B"/>
    <w:rsid w:val="39FD0695"/>
    <w:rsid w:val="3A3F6B21"/>
    <w:rsid w:val="3A9E3272"/>
    <w:rsid w:val="3ABF2707"/>
    <w:rsid w:val="3ADD4D08"/>
    <w:rsid w:val="3B0752BD"/>
    <w:rsid w:val="3B0A0C7F"/>
    <w:rsid w:val="3B294136"/>
    <w:rsid w:val="3B312338"/>
    <w:rsid w:val="3B4441DB"/>
    <w:rsid w:val="3B4756B8"/>
    <w:rsid w:val="3B586C31"/>
    <w:rsid w:val="3B5B73B5"/>
    <w:rsid w:val="3B60677A"/>
    <w:rsid w:val="3B677B08"/>
    <w:rsid w:val="3B7F12F6"/>
    <w:rsid w:val="3B8732EB"/>
    <w:rsid w:val="3BA0506F"/>
    <w:rsid w:val="3BAE1BDB"/>
    <w:rsid w:val="3BD553B9"/>
    <w:rsid w:val="3BD71E31"/>
    <w:rsid w:val="3C0A07F9"/>
    <w:rsid w:val="3C376FB4"/>
    <w:rsid w:val="3C3E2F5F"/>
    <w:rsid w:val="3C6A5454"/>
    <w:rsid w:val="3C795889"/>
    <w:rsid w:val="3C885F88"/>
    <w:rsid w:val="3C942B7F"/>
    <w:rsid w:val="3C97589F"/>
    <w:rsid w:val="3CB217EF"/>
    <w:rsid w:val="3CC45CCC"/>
    <w:rsid w:val="3CD016DD"/>
    <w:rsid w:val="3CE55188"/>
    <w:rsid w:val="3CE968BC"/>
    <w:rsid w:val="3D0C4E0B"/>
    <w:rsid w:val="3D2757A1"/>
    <w:rsid w:val="3D352C2C"/>
    <w:rsid w:val="3D363C36"/>
    <w:rsid w:val="3D3C7C9B"/>
    <w:rsid w:val="3D4015F6"/>
    <w:rsid w:val="3D527825"/>
    <w:rsid w:val="3D9646D4"/>
    <w:rsid w:val="3DA260D2"/>
    <w:rsid w:val="3DC20F51"/>
    <w:rsid w:val="3DC65F30"/>
    <w:rsid w:val="3DCD4688"/>
    <w:rsid w:val="3E0C2BE9"/>
    <w:rsid w:val="3E126C05"/>
    <w:rsid w:val="3E202377"/>
    <w:rsid w:val="3E2303AD"/>
    <w:rsid w:val="3E304758"/>
    <w:rsid w:val="3E4922F7"/>
    <w:rsid w:val="3E8C5DC8"/>
    <w:rsid w:val="3E976956"/>
    <w:rsid w:val="3E9E292D"/>
    <w:rsid w:val="3EC05EAD"/>
    <w:rsid w:val="3ECD384E"/>
    <w:rsid w:val="3EF06066"/>
    <w:rsid w:val="3EF52737"/>
    <w:rsid w:val="3F00656D"/>
    <w:rsid w:val="3F0F473E"/>
    <w:rsid w:val="3F1057C0"/>
    <w:rsid w:val="3F142EF2"/>
    <w:rsid w:val="3F1635AD"/>
    <w:rsid w:val="3F4E170B"/>
    <w:rsid w:val="3F786788"/>
    <w:rsid w:val="3F7974B7"/>
    <w:rsid w:val="3FD53A64"/>
    <w:rsid w:val="3FE80C33"/>
    <w:rsid w:val="400973E0"/>
    <w:rsid w:val="401B7113"/>
    <w:rsid w:val="402C0595"/>
    <w:rsid w:val="404228F2"/>
    <w:rsid w:val="40447709"/>
    <w:rsid w:val="405239C6"/>
    <w:rsid w:val="40552625"/>
    <w:rsid w:val="4067258A"/>
    <w:rsid w:val="40782B0D"/>
    <w:rsid w:val="407E7726"/>
    <w:rsid w:val="40900875"/>
    <w:rsid w:val="40E816EB"/>
    <w:rsid w:val="40F563F2"/>
    <w:rsid w:val="410F2445"/>
    <w:rsid w:val="4126129E"/>
    <w:rsid w:val="412E057C"/>
    <w:rsid w:val="41474664"/>
    <w:rsid w:val="414A6E99"/>
    <w:rsid w:val="4162324B"/>
    <w:rsid w:val="41635BFC"/>
    <w:rsid w:val="41902A0E"/>
    <w:rsid w:val="41B163EE"/>
    <w:rsid w:val="41BD4926"/>
    <w:rsid w:val="422C1AAB"/>
    <w:rsid w:val="422C3859"/>
    <w:rsid w:val="42755E28"/>
    <w:rsid w:val="42931F04"/>
    <w:rsid w:val="42B555FD"/>
    <w:rsid w:val="42BB5628"/>
    <w:rsid w:val="43171E14"/>
    <w:rsid w:val="43234D3C"/>
    <w:rsid w:val="432F1B9E"/>
    <w:rsid w:val="433848E7"/>
    <w:rsid w:val="434F5A51"/>
    <w:rsid w:val="435E7A42"/>
    <w:rsid w:val="4364074E"/>
    <w:rsid w:val="43696E2D"/>
    <w:rsid w:val="43863296"/>
    <w:rsid w:val="43947908"/>
    <w:rsid w:val="43964DAD"/>
    <w:rsid w:val="43B447FC"/>
    <w:rsid w:val="43CC495B"/>
    <w:rsid w:val="43D146B8"/>
    <w:rsid w:val="43D85A47"/>
    <w:rsid w:val="43DB5D75"/>
    <w:rsid w:val="43F54BF4"/>
    <w:rsid w:val="43F5781C"/>
    <w:rsid w:val="43FA6D02"/>
    <w:rsid w:val="444053BD"/>
    <w:rsid w:val="444B0CC6"/>
    <w:rsid w:val="44517F97"/>
    <w:rsid w:val="44571DD6"/>
    <w:rsid w:val="4473294C"/>
    <w:rsid w:val="4492209A"/>
    <w:rsid w:val="44B70E3D"/>
    <w:rsid w:val="44E126D9"/>
    <w:rsid w:val="452B604A"/>
    <w:rsid w:val="453273D9"/>
    <w:rsid w:val="45467A41"/>
    <w:rsid w:val="4555580E"/>
    <w:rsid w:val="45726FBB"/>
    <w:rsid w:val="4577128F"/>
    <w:rsid w:val="45A335B7"/>
    <w:rsid w:val="45AA51C1"/>
    <w:rsid w:val="45CC3389"/>
    <w:rsid w:val="45D65666"/>
    <w:rsid w:val="45ED77B9"/>
    <w:rsid w:val="461647F2"/>
    <w:rsid w:val="46476EB4"/>
    <w:rsid w:val="46C73B51"/>
    <w:rsid w:val="46CD2163"/>
    <w:rsid w:val="46DD55B9"/>
    <w:rsid w:val="474451A1"/>
    <w:rsid w:val="47BB54A9"/>
    <w:rsid w:val="47BE04D8"/>
    <w:rsid w:val="47C9275A"/>
    <w:rsid w:val="47CD5197"/>
    <w:rsid w:val="48742308"/>
    <w:rsid w:val="48763CF1"/>
    <w:rsid w:val="487A3570"/>
    <w:rsid w:val="487E1548"/>
    <w:rsid w:val="488C5052"/>
    <w:rsid w:val="48947E12"/>
    <w:rsid w:val="48A84398"/>
    <w:rsid w:val="490C3EA8"/>
    <w:rsid w:val="492D444B"/>
    <w:rsid w:val="49410D19"/>
    <w:rsid w:val="497207C3"/>
    <w:rsid w:val="49E73E13"/>
    <w:rsid w:val="4A161077"/>
    <w:rsid w:val="4A183615"/>
    <w:rsid w:val="4A190B67"/>
    <w:rsid w:val="4A227A1C"/>
    <w:rsid w:val="4A25750C"/>
    <w:rsid w:val="4A2A2D74"/>
    <w:rsid w:val="4A2B42F6"/>
    <w:rsid w:val="4A394D65"/>
    <w:rsid w:val="4A404128"/>
    <w:rsid w:val="4A45195C"/>
    <w:rsid w:val="4A54394D"/>
    <w:rsid w:val="4A62250E"/>
    <w:rsid w:val="4A6242BC"/>
    <w:rsid w:val="4A791606"/>
    <w:rsid w:val="4A910A80"/>
    <w:rsid w:val="4A9326C8"/>
    <w:rsid w:val="4AA85A47"/>
    <w:rsid w:val="4AAF5028"/>
    <w:rsid w:val="4AB229F3"/>
    <w:rsid w:val="4AB34B18"/>
    <w:rsid w:val="4AB54808"/>
    <w:rsid w:val="4AC20348"/>
    <w:rsid w:val="4AED326E"/>
    <w:rsid w:val="4AFF1B0B"/>
    <w:rsid w:val="4B05695B"/>
    <w:rsid w:val="4B313C8F"/>
    <w:rsid w:val="4B4A3E7E"/>
    <w:rsid w:val="4B614574"/>
    <w:rsid w:val="4B882C13"/>
    <w:rsid w:val="4B923D95"/>
    <w:rsid w:val="4BC44A01"/>
    <w:rsid w:val="4BE86A43"/>
    <w:rsid w:val="4BED509D"/>
    <w:rsid w:val="4C082C41"/>
    <w:rsid w:val="4C1720CC"/>
    <w:rsid w:val="4C431ECB"/>
    <w:rsid w:val="4C713053"/>
    <w:rsid w:val="4C7E76FD"/>
    <w:rsid w:val="4C842AA1"/>
    <w:rsid w:val="4CA3296A"/>
    <w:rsid w:val="4CB535E7"/>
    <w:rsid w:val="4CB86415"/>
    <w:rsid w:val="4CCF7C99"/>
    <w:rsid w:val="4CD44B29"/>
    <w:rsid w:val="4CFB1EE8"/>
    <w:rsid w:val="4CFC5D7C"/>
    <w:rsid w:val="4D510618"/>
    <w:rsid w:val="4D6A629B"/>
    <w:rsid w:val="4D876ED4"/>
    <w:rsid w:val="4D9B5E81"/>
    <w:rsid w:val="4DA150FB"/>
    <w:rsid w:val="4DB7491F"/>
    <w:rsid w:val="4E1A6C5C"/>
    <w:rsid w:val="4E1B3100"/>
    <w:rsid w:val="4E204940"/>
    <w:rsid w:val="4E28658D"/>
    <w:rsid w:val="4E393586"/>
    <w:rsid w:val="4E4C303A"/>
    <w:rsid w:val="4E4D5283"/>
    <w:rsid w:val="4E6C5709"/>
    <w:rsid w:val="4E7520E4"/>
    <w:rsid w:val="4EA50C1B"/>
    <w:rsid w:val="4EB966AC"/>
    <w:rsid w:val="4EC372F3"/>
    <w:rsid w:val="4EF61477"/>
    <w:rsid w:val="4F0A4F22"/>
    <w:rsid w:val="4F22401A"/>
    <w:rsid w:val="4F355850"/>
    <w:rsid w:val="4F6939F7"/>
    <w:rsid w:val="4FDC066D"/>
    <w:rsid w:val="5034536B"/>
    <w:rsid w:val="50394127"/>
    <w:rsid w:val="50770812"/>
    <w:rsid w:val="508619CE"/>
    <w:rsid w:val="50A820D4"/>
    <w:rsid w:val="50CA384D"/>
    <w:rsid w:val="50CE7E9D"/>
    <w:rsid w:val="50E05F3B"/>
    <w:rsid w:val="50F32112"/>
    <w:rsid w:val="50F934A0"/>
    <w:rsid w:val="51053BF3"/>
    <w:rsid w:val="511A6D4F"/>
    <w:rsid w:val="512723B2"/>
    <w:rsid w:val="51353EB5"/>
    <w:rsid w:val="515678E9"/>
    <w:rsid w:val="515D24E6"/>
    <w:rsid w:val="518F3414"/>
    <w:rsid w:val="51A73F45"/>
    <w:rsid w:val="51C13FBE"/>
    <w:rsid w:val="51DB73CB"/>
    <w:rsid w:val="51E269DA"/>
    <w:rsid w:val="51F54E50"/>
    <w:rsid w:val="522037C5"/>
    <w:rsid w:val="522400A9"/>
    <w:rsid w:val="522639DC"/>
    <w:rsid w:val="522825A0"/>
    <w:rsid w:val="52474359"/>
    <w:rsid w:val="527949B6"/>
    <w:rsid w:val="52816A7D"/>
    <w:rsid w:val="52992845"/>
    <w:rsid w:val="52A7651D"/>
    <w:rsid w:val="52AD4542"/>
    <w:rsid w:val="52B12842"/>
    <w:rsid w:val="52CA6A38"/>
    <w:rsid w:val="52E66BD1"/>
    <w:rsid w:val="53100CAE"/>
    <w:rsid w:val="53144AF9"/>
    <w:rsid w:val="53311C69"/>
    <w:rsid w:val="535A6478"/>
    <w:rsid w:val="53726DDE"/>
    <w:rsid w:val="53803A05"/>
    <w:rsid w:val="53892D20"/>
    <w:rsid w:val="53970DEF"/>
    <w:rsid w:val="53C6520D"/>
    <w:rsid w:val="53D62275"/>
    <w:rsid w:val="53FA1BCB"/>
    <w:rsid w:val="53FA5565"/>
    <w:rsid w:val="540168F4"/>
    <w:rsid w:val="540E5972"/>
    <w:rsid w:val="541008E5"/>
    <w:rsid w:val="544D1B39"/>
    <w:rsid w:val="546A70A7"/>
    <w:rsid w:val="547F729E"/>
    <w:rsid w:val="547F78DD"/>
    <w:rsid w:val="54A20D14"/>
    <w:rsid w:val="54B25E40"/>
    <w:rsid w:val="54D9161F"/>
    <w:rsid w:val="55024449"/>
    <w:rsid w:val="55083CB2"/>
    <w:rsid w:val="550C37A2"/>
    <w:rsid w:val="55124B31"/>
    <w:rsid w:val="551272F9"/>
    <w:rsid w:val="551B39E5"/>
    <w:rsid w:val="554D5A93"/>
    <w:rsid w:val="55524F2D"/>
    <w:rsid w:val="556B5782"/>
    <w:rsid w:val="558A0B6B"/>
    <w:rsid w:val="55C25D98"/>
    <w:rsid w:val="55D73B2B"/>
    <w:rsid w:val="55D818D6"/>
    <w:rsid w:val="55EB160A"/>
    <w:rsid w:val="56097C71"/>
    <w:rsid w:val="56272031"/>
    <w:rsid w:val="5641747C"/>
    <w:rsid w:val="565371AF"/>
    <w:rsid w:val="56644961"/>
    <w:rsid w:val="56864D1B"/>
    <w:rsid w:val="569972B8"/>
    <w:rsid w:val="56A03DCC"/>
    <w:rsid w:val="56BC2FA6"/>
    <w:rsid w:val="56CE6835"/>
    <w:rsid w:val="56F75D8C"/>
    <w:rsid w:val="56F95FA8"/>
    <w:rsid w:val="5705494D"/>
    <w:rsid w:val="57087F99"/>
    <w:rsid w:val="573568B4"/>
    <w:rsid w:val="57581F3D"/>
    <w:rsid w:val="57591D1A"/>
    <w:rsid w:val="575B774B"/>
    <w:rsid w:val="57894B3F"/>
    <w:rsid w:val="57A777B2"/>
    <w:rsid w:val="57AD28EF"/>
    <w:rsid w:val="57B669EE"/>
    <w:rsid w:val="57B861B7"/>
    <w:rsid w:val="57BD2C71"/>
    <w:rsid w:val="57C2283E"/>
    <w:rsid w:val="57C9597B"/>
    <w:rsid w:val="57CA0BC1"/>
    <w:rsid w:val="57CC7650"/>
    <w:rsid w:val="57D855E2"/>
    <w:rsid w:val="57DF4F53"/>
    <w:rsid w:val="57F01B04"/>
    <w:rsid w:val="582C415B"/>
    <w:rsid w:val="58383267"/>
    <w:rsid w:val="58417C07"/>
    <w:rsid w:val="584F0CD6"/>
    <w:rsid w:val="58607961"/>
    <w:rsid w:val="587F13A6"/>
    <w:rsid w:val="58AB6E2E"/>
    <w:rsid w:val="58BD0FAB"/>
    <w:rsid w:val="58C34194"/>
    <w:rsid w:val="58D147AD"/>
    <w:rsid w:val="58D63B5A"/>
    <w:rsid w:val="58DB276C"/>
    <w:rsid w:val="58E93B78"/>
    <w:rsid w:val="58FC1D80"/>
    <w:rsid w:val="592E180D"/>
    <w:rsid w:val="596361DB"/>
    <w:rsid w:val="596F2552"/>
    <w:rsid w:val="597856D8"/>
    <w:rsid w:val="597D4C6F"/>
    <w:rsid w:val="59807A0C"/>
    <w:rsid w:val="598A113A"/>
    <w:rsid w:val="59CC2DB9"/>
    <w:rsid w:val="59D12AA8"/>
    <w:rsid w:val="59F91E1B"/>
    <w:rsid w:val="5A1D5B0A"/>
    <w:rsid w:val="5A307F33"/>
    <w:rsid w:val="5A3A2B60"/>
    <w:rsid w:val="5A3A3F5E"/>
    <w:rsid w:val="5A446063"/>
    <w:rsid w:val="5A4E03B9"/>
    <w:rsid w:val="5A6942C4"/>
    <w:rsid w:val="5A781C40"/>
    <w:rsid w:val="5ADE75F7"/>
    <w:rsid w:val="5AE26D53"/>
    <w:rsid w:val="5AE605F2"/>
    <w:rsid w:val="5AE8158A"/>
    <w:rsid w:val="5AEF2951"/>
    <w:rsid w:val="5AF04B90"/>
    <w:rsid w:val="5AF2343A"/>
    <w:rsid w:val="5B073454"/>
    <w:rsid w:val="5B22757E"/>
    <w:rsid w:val="5B331248"/>
    <w:rsid w:val="5B465534"/>
    <w:rsid w:val="5B552BFA"/>
    <w:rsid w:val="5B7C71A8"/>
    <w:rsid w:val="5B8A73CA"/>
    <w:rsid w:val="5BA517D0"/>
    <w:rsid w:val="5BB26521"/>
    <w:rsid w:val="5BC528FD"/>
    <w:rsid w:val="5BC621D1"/>
    <w:rsid w:val="5BCE7A03"/>
    <w:rsid w:val="5BD41FC1"/>
    <w:rsid w:val="5BD72291"/>
    <w:rsid w:val="5BE02F7F"/>
    <w:rsid w:val="5C050881"/>
    <w:rsid w:val="5C1473E0"/>
    <w:rsid w:val="5C396A6A"/>
    <w:rsid w:val="5C474965"/>
    <w:rsid w:val="5C6F09EA"/>
    <w:rsid w:val="5C7F06B2"/>
    <w:rsid w:val="5CB52971"/>
    <w:rsid w:val="5CF039A9"/>
    <w:rsid w:val="5D3F66DF"/>
    <w:rsid w:val="5D44369C"/>
    <w:rsid w:val="5D494E68"/>
    <w:rsid w:val="5D6D0F9D"/>
    <w:rsid w:val="5D845EA0"/>
    <w:rsid w:val="5D8F6D1E"/>
    <w:rsid w:val="5DAF116F"/>
    <w:rsid w:val="5DC032B6"/>
    <w:rsid w:val="5DC67282"/>
    <w:rsid w:val="5DCD3DFA"/>
    <w:rsid w:val="5DED15CA"/>
    <w:rsid w:val="5DF37D17"/>
    <w:rsid w:val="5DFB36D0"/>
    <w:rsid w:val="5E317DD6"/>
    <w:rsid w:val="5E535F52"/>
    <w:rsid w:val="5E8862A9"/>
    <w:rsid w:val="5E886BC6"/>
    <w:rsid w:val="5E8F0FA0"/>
    <w:rsid w:val="5EC5760C"/>
    <w:rsid w:val="5ED27138"/>
    <w:rsid w:val="5F1274C2"/>
    <w:rsid w:val="5F1E1B2C"/>
    <w:rsid w:val="5F3F6522"/>
    <w:rsid w:val="5F531FCE"/>
    <w:rsid w:val="5F7D704B"/>
    <w:rsid w:val="5F93100F"/>
    <w:rsid w:val="5FAC1901"/>
    <w:rsid w:val="5FB76A00"/>
    <w:rsid w:val="5FBF2FFD"/>
    <w:rsid w:val="5FD924D3"/>
    <w:rsid w:val="5FE570CA"/>
    <w:rsid w:val="5FFB68ED"/>
    <w:rsid w:val="60031F56"/>
    <w:rsid w:val="6009483C"/>
    <w:rsid w:val="6010125F"/>
    <w:rsid w:val="60440B78"/>
    <w:rsid w:val="606C01E4"/>
    <w:rsid w:val="60732927"/>
    <w:rsid w:val="607928FD"/>
    <w:rsid w:val="608A48AD"/>
    <w:rsid w:val="60CE6CD8"/>
    <w:rsid w:val="60D37068"/>
    <w:rsid w:val="60E055B5"/>
    <w:rsid w:val="61135EB8"/>
    <w:rsid w:val="613B186C"/>
    <w:rsid w:val="614E43D3"/>
    <w:rsid w:val="615472BD"/>
    <w:rsid w:val="61565757"/>
    <w:rsid w:val="61673F51"/>
    <w:rsid w:val="616A1B52"/>
    <w:rsid w:val="619C4100"/>
    <w:rsid w:val="619C5EAE"/>
    <w:rsid w:val="61DA69D6"/>
    <w:rsid w:val="61DF12F2"/>
    <w:rsid w:val="61DF3FED"/>
    <w:rsid w:val="61EC7E6A"/>
    <w:rsid w:val="620A12CA"/>
    <w:rsid w:val="621E2698"/>
    <w:rsid w:val="62440670"/>
    <w:rsid w:val="62461533"/>
    <w:rsid w:val="62744735"/>
    <w:rsid w:val="62A82630"/>
    <w:rsid w:val="62D578C9"/>
    <w:rsid w:val="62F83658"/>
    <w:rsid w:val="632D2787"/>
    <w:rsid w:val="63356726"/>
    <w:rsid w:val="633A3BD0"/>
    <w:rsid w:val="635C5BCB"/>
    <w:rsid w:val="636C18B0"/>
    <w:rsid w:val="638849A7"/>
    <w:rsid w:val="639130C5"/>
    <w:rsid w:val="63954114"/>
    <w:rsid w:val="639C03E7"/>
    <w:rsid w:val="639C14E1"/>
    <w:rsid w:val="63A86D8C"/>
    <w:rsid w:val="63A90BF8"/>
    <w:rsid w:val="63AB38C0"/>
    <w:rsid w:val="63BC45E5"/>
    <w:rsid w:val="63D151C2"/>
    <w:rsid w:val="63D57455"/>
    <w:rsid w:val="63D77671"/>
    <w:rsid w:val="645066B3"/>
    <w:rsid w:val="64550596"/>
    <w:rsid w:val="645B0827"/>
    <w:rsid w:val="646F1658"/>
    <w:rsid w:val="64717AF0"/>
    <w:rsid w:val="64A71A70"/>
    <w:rsid w:val="64AC465A"/>
    <w:rsid w:val="64CA4E9F"/>
    <w:rsid w:val="64D67181"/>
    <w:rsid w:val="64D92F75"/>
    <w:rsid w:val="64DF0C36"/>
    <w:rsid w:val="64EA06AD"/>
    <w:rsid w:val="650765BC"/>
    <w:rsid w:val="6518407E"/>
    <w:rsid w:val="657E3E58"/>
    <w:rsid w:val="6585425E"/>
    <w:rsid w:val="659A605B"/>
    <w:rsid w:val="65CA2277"/>
    <w:rsid w:val="65F20C84"/>
    <w:rsid w:val="66010A5C"/>
    <w:rsid w:val="664028EF"/>
    <w:rsid w:val="6640680E"/>
    <w:rsid w:val="665B2388"/>
    <w:rsid w:val="666175B4"/>
    <w:rsid w:val="667E066E"/>
    <w:rsid w:val="66907BEE"/>
    <w:rsid w:val="669B6734"/>
    <w:rsid w:val="669E7D74"/>
    <w:rsid w:val="66B25CCF"/>
    <w:rsid w:val="66D67B89"/>
    <w:rsid w:val="66DD085E"/>
    <w:rsid w:val="673646AF"/>
    <w:rsid w:val="673A7FE6"/>
    <w:rsid w:val="6740552D"/>
    <w:rsid w:val="675A65EF"/>
    <w:rsid w:val="675D15A7"/>
    <w:rsid w:val="675E59B4"/>
    <w:rsid w:val="676326FD"/>
    <w:rsid w:val="67696302"/>
    <w:rsid w:val="67780823"/>
    <w:rsid w:val="67883263"/>
    <w:rsid w:val="67940EE6"/>
    <w:rsid w:val="67AC2BC3"/>
    <w:rsid w:val="67C1041C"/>
    <w:rsid w:val="67C52405"/>
    <w:rsid w:val="67F87BB6"/>
    <w:rsid w:val="68451CF9"/>
    <w:rsid w:val="684C6A1F"/>
    <w:rsid w:val="685017A0"/>
    <w:rsid w:val="68AA017E"/>
    <w:rsid w:val="68E52784"/>
    <w:rsid w:val="69074555"/>
    <w:rsid w:val="690F1369"/>
    <w:rsid w:val="69603C65"/>
    <w:rsid w:val="696C1C50"/>
    <w:rsid w:val="69833DCE"/>
    <w:rsid w:val="69903275"/>
    <w:rsid w:val="699A597D"/>
    <w:rsid w:val="699E02E9"/>
    <w:rsid w:val="699F478D"/>
    <w:rsid w:val="69BD08A6"/>
    <w:rsid w:val="69E30726"/>
    <w:rsid w:val="69FB2708"/>
    <w:rsid w:val="6A0B51F9"/>
    <w:rsid w:val="6A140BE4"/>
    <w:rsid w:val="6A2A5E71"/>
    <w:rsid w:val="6A3D5F3E"/>
    <w:rsid w:val="6A8B2F63"/>
    <w:rsid w:val="6A9A6D03"/>
    <w:rsid w:val="6AA64EEE"/>
    <w:rsid w:val="6AAB53B4"/>
    <w:rsid w:val="6AAF3902"/>
    <w:rsid w:val="6AC33DB7"/>
    <w:rsid w:val="6AC670F0"/>
    <w:rsid w:val="6B1009DB"/>
    <w:rsid w:val="6B1A65DE"/>
    <w:rsid w:val="6B267862"/>
    <w:rsid w:val="6B364C7D"/>
    <w:rsid w:val="6B4025AD"/>
    <w:rsid w:val="6B484A5E"/>
    <w:rsid w:val="6B6F018F"/>
    <w:rsid w:val="6BA73DCD"/>
    <w:rsid w:val="6BD02241"/>
    <w:rsid w:val="6BD77B89"/>
    <w:rsid w:val="6BE7241B"/>
    <w:rsid w:val="6BFD1C3F"/>
    <w:rsid w:val="6C066D46"/>
    <w:rsid w:val="6C1C417A"/>
    <w:rsid w:val="6C1C7996"/>
    <w:rsid w:val="6C1D45C3"/>
    <w:rsid w:val="6C225202"/>
    <w:rsid w:val="6C880260"/>
    <w:rsid w:val="6C9D00D2"/>
    <w:rsid w:val="6C9F2CF6"/>
    <w:rsid w:val="6CDF30F3"/>
    <w:rsid w:val="6CF44DF0"/>
    <w:rsid w:val="6D2D0302"/>
    <w:rsid w:val="6D3B0943"/>
    <w:rsid w:val="6D3B5B01"/>
    <w:rsid w:val="6D3C0545"/>
    <w:rsid w:val="6D3E42BD"/>
    <w:rsid w:val="6D463172"/>
    <w:rsid w:val="6D681C71"/>
    <w:rsid w:val="6D725D15"/>
    <w:rsid w:val="6DBE53FE"/>
    <w:rsid w:val="6DE544DB"/>
    <w:rsid w:val="6E7F693B"/>
    <w:rsid w:val="6E8A319E"/>
    <w:rsid w:val="6EB00B67"/>
    <w:rsid w:val="6EB45A24"/>
    <w:rsid w:val="6EC03A0B"/>
    <w:rsid w:val="6EE844E0"/>
    <w:rsid w:val="6F167B2D"/>
    <w:rsid w:val="6F2177A4"/>
    <w:rsid w:val="6F285225"/>
    <w:rsid w:val="6F3C65DA"/>
    <w:rsid w:val="6F4A519B"/>
    <w:rsid w:val="6F4F7D4D"/>
    <w:rsid w:val="6F63625D"/>
    <w:rsid w:val="6F7810F5"/>
    <w:rsid w:val="6F9311E9"/>
    <w:rsid w:val="6FAC19B2"/>
    <w:rsid w:val="6FD131C7"/>
    <w:rsid w:val="70106AAE"/>
    <w:rsid w:val="701859C6"/>
    <w:rsid w:val="70304003"/>
    <w:rsid w:val="7040034C"/>
    <w:rsid w:val="70497201"/>
    <w:rsid w:val="7057030E"/>
    <w:rsid w:val="705B5C81"/>
    <w:rsid w:val="70666005"/>
    <w:rsid w:val="707A2BBD"/>
    <w:rsid w:val="707D23AD"/>
    <w:rsid w:val="709020CD"/>
    <w:rsid w:val="709E3D5C"/>
    <w:rsid w:val="70AF4319"/>
    <w:rsid w:val="70B2124A"/>
    <w:rsid w:val="70B36D70"/>
    <w:rsid w:val="70E231B1"/>
    <w:rsid w:val="71092E34"/>
    <w:rsid w:val="71155335"/>
    <w:rsid w:val="712B5D4C"/>
    <w:rsid w:val="71327C95"/>
    <w:rsid w:val="714D4ACF"/>
    <w:rsid w:val="71704FE8"/>
    <w:rsid w:val="71791D68"/>
    <w:rsid w:val="719C6805"/>
    <w:rsid w:val="71B37159"/>
    <w:rsid w:val="71C62B4D"/>
    <w:rsid w:val="71E4748A"/>
    <w:rsid w:val="71FB47DA"/>
    <w:rsid w:val="71FE5A8F"/>
    <w:rsid w:val="720A716D"/>
    <w:rsid w:val="72146BC2"/>
    <w:rsid w:val="72146F60"/>
    <w:rsid w:val="721E1865"/>
    <w:rsid w:val="7231619E"/>
    <w:rsid w:val="72361A07"/>
    <w:rsid w:val="726F39C8"/>
    <w:rsid w:val="727442DD"/>
    <w:rsid w:val="72744FEC"/>
    <w:rsid w:val="72822E9E"/>
    <w:rsid w:val="728E1843"/>
    <w:rsid w:val="72A81BF6"/>
    <w:rsid w:val="72C62D8B"/>
    <w:rsid w:val="73071100"/>
    <w:rsid w:val="73270445"/>
    <w:rsid w:val="73411538"/>
    <w:rsid w:val="73522A45"/>
    <w:rsid w:val="735A5AAD"/>
    <w:rsid w:val="73667409"/>
    <w:rsid w:val="737C4621"/>
    <w:rsid w:val="737E3665"/>
    <w:rsid w:val="739156B9"/>
    <w:rsid w:val="73BC418E"/>
    <w:rsid w:val="73D40F3E"/>
    <w:rsid w:val="73E84F83"/>
    <w:rsid w:val="73EC7472"/>
    <w:rsid w:val="73F4112D"/>
    <w:rsid w:val="74373814"/>
    <w:rsid w:val="74375FCC"/>
    <w:rsid w:val="74C23A26"/>
    <w:rsid w:val="74D5432B"/>
    <w:rsid w:val="74FA7758"/>
    <w:rsid w:val="750B71C1"/>
    <w:rsid w:val="752C55F8"/>
    <w:rsid w:val="753E305C"/>
    <w:rsid w:val="75407637"/>
    <w:rsid w:val="755E6A8C"/>
    <w:rsid w:val="757036AC"/>
    <w:rsid w:val="75873DBC"/>
    <w:rsid w:val="75AA17D7"/>
    <w:rsid w:val="75AB5E5B"/>
    <w:rsid w:val="75BE5F9B"/>
    <w:rsid w:val="75C15B22"/>
    <w:rsid w:val="75CC3053"/>
    <w:rsid w:val="75DE207D"/>
    <w:rsid w:val="75EA3234"/>
    <w:rsid w:val="760C2E49"/>
    <w:rsid w:val="76B803DA"/>
    <w:rsid w:val="76C00A25"/>
    <w:rsid w:val="76C21ABB"/>
    <w:rsid w:val="76E11AB7"/>
    <w:rsid w:val="76EA2DC0"/>
    <w:rsid w:val="77493F8A"/>
    <w:rsid w:val="775C1F10"/>
    <w:rsid w:val="77660698"/>
    <w:rsid w:val="777033C4"/>
    <w:rsid w:val="777850C3"/>
    <w:rsid w:val="77A4062A"/>
    <w:rsid w:val="77C530A7"/>
    <w:rsid w:val="77CD6969"/>
    <w:rsid w:val="77DB0234"/>
    <w:rsid w:val="77FE4D75"/>
    <w:rsid w:val="78014865"/>
    <w:rsid w:val="780507B8"/>
    <w:rsid w:val="780F5BAA"/>
    <w:rsid w:val="78596A84"/>
    <w:rsid w:val="78663A6E"/>
    <w:rsid w:val="7894637F"/>
    <w:rsid w:val="78B24F5D"/>
    <w:rsid w:val="78E14CAF"/>
    <w:rsid w:val="790833C3"/>
    <w:rsid w:val="79091C23"/>
    <w:rsid w:val="792A1B99"/>
    <w:rsid w:val="794C5FB4"/>
    <w:rsid w:val="79500C97"/>
    <w:rsid w:val="795409C4"/>
    <w:rsid w:val="796450AB"/>
    <w:rsid w:val="79646E59"/>
    <w:rsid w:val="796E7CD8"/>
    <w:rsid w:val="797F5A41"/>
    <w:rsid w:val="79B26AEF"/>
    <w:rsid w:val="79B31B8F"/>
    <w:rsid w:val="79CC749F"/>
    <w:rsid w:val="79DA536E"/>
    <w:rsid w:val="79E26729"/>
    <w:rsid w:val="7A0702E3"/>
    <w:rsid w:val="7A3E76AA"/>
    <w:rsid w:val="7A5713C9"/>
    <w:rsid w:val="7AB33636"/>
    <w:rsid w:val="7AC754CB"/>
    <w:rsid w:val="7ACF47A6"/>
    <w:rsid w:val="7B00022D"/>
    <w:rsid w:val="7B0C77A9"/>
    <w:rsid w:val="7B3B1E3C"/>
    <w:rsid w:val="7B3E7BD0"/>
    <w:rsid w:val="7B71585E"/>
    <w:rsid w:val="7B784E3E"/>
    <w:rsid w:val="7B851222"/>
    <w:rsid w:val="7B8B2DC3"/>
    <w:rsid w:val="7B9D2AF7"/>
    <w:rsid w:val="7BC6204D"/>
    <w:rsid w:val="7BD32074"/>
    <w:rsid w:val="7C2823C0"/>
    <w:rsid w:val="7C4C0372"/>
    <w:rsid w:val="7C520A0E"/>
    <w:rsid w:val="7C5C3201"/>
    <w:rsid w:val="7CB7520E"/>
    <w:rsid w:val="7CCA7084"/>
    <w:rsid w:val="7CE83493"/>
    <w:rsid w:val="7D6531C9"/>
    <w:rsid w:val="7D6D45C0"/>
    <w:rsid w:val="7D8E0949"/>
    <w:rsid w:val="7DCA359D"/>
    <w:rsid w:val="7DCB087D"/>
    <w:rsid w:val="7DD07765"/>
    <w:rsid w:val="7DE81FDD"/>
    <w:rsid w:val="7DF12C86"/>
    <w:rsid w:val="7E3808B5"/>
    <w:rsid w:val="7E51336F"/>
    <w:rsid w:val="7E522651"/>
    <w:rsid w:val="7E6C3A4B"/>
    <w:rsid w:val="7E8B02FC"/>
    <w:rsid w:val="7E8E6727"/>
    <w:rsid w:val="7EC108AA"/>
    <w:rsid w:val="7ECA0011"/>
    <w:rsid w:val="7ED405DD"/>
    <w:rsid w:val="7EED6A5F"/>
    <w:rsid w:val="7EF742CC"/>
    <w:rsid w:val="7F1B692A"/>
    <w:rsid w:val="7F4236E5"/>
    <w:rsid w:val="7F501614"/>
    <w:rsid w:val="7F6C01A4"/>
    <w:rsid w:val="7F6C7346"/>
    <w:rsid w:val="7F7B3DC6"/>
    <w:rsid w:val="7F906D27"/>
    <w:rsid w:val="7F930498"/>
    <w:rsid w:val="7FC93FB5"/>
    <w:rsid w:val="7FD8234F"/>
    <w:rsid w:val="7FDF68AC"/>
    <w:rsid w:val="7FFC335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4"/>
    <w:qFormat/>
    <w:locked/>
    <w:uiPriority w:val="0"/>
    <w:pPr>
      <w:spacing w:line="0" w:lineRule="atLeast"/>
      <w:ind w:left="1"/>
      <w:jc w:val="left"/>
      <w:textAlignment w:val="bottom"/>
      <w:outlineLvl w:val="1"/>
    </w:pPr>
    <w:rPr>
      <w:kern w:val="0"/>
      <w:sz w:val="28"/>
      <w:szCs w:val="20"/>
    </w:rPr>
  </w:style>
  <w:style w:type="paragraph" w:styleId="5">
    <w:name w:val="heading 3"/>
    <w:basedOn w:val="1"/>
    <w:next w:val="1"/>
    <w:semiHidden/>
    <w:unhideWhenUsed/>
    <w:qFormat/>
    <w:locked/>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Subtitle"/>
    <w:basedOn w:val="1"/>
    <w:next w:val="1"/>
    <w:link w:val="55"/>
    <w:qFormat/>
    <w:locked/>
    <w:uiPriority w:val="0"/>
    <w:pPr>
      <w:spacing w:before="240" w:after="60" w:line="312" w:lineRule="auto"/>
      <w:ind w:left="100" w:leftChars="100" w:right="100" w:rightChars="100"/>
      <w:jc w:val="left"/>
      <w:outlineLvl w:val="1"/>
    </w:pPr>
    <w:rPr>
      <w:rFonts w:ascii="Cambria" w:hAnsi="Cambria"/>
      <w:bCs/>
      <w:kern w:val="28"/>
      <w:sz w:val="28"/>
      <w:szCs w:val="32"/>
    </w:rPr>
  </w:style>
  <w:style w:type="paragraph" w:styleId="6">
    <w:name w:val="Normal Indent"/>
    <w:basedOn w:val="1"/>
    <w:qFormat/>
    <w:uiPriority w:val="0"/>
    <w:pPr>
      <w:spacing w:line="360" w:lineRule="auto"/>
      <w:ind w:firstLine="420"/>
    </w:pPr>
    <w:rPr>
      <w:rFonts w:eastAsia="仿宋_GB2312"/>
      <w:sz w:val="28"/>
      <w:szCs w:val="20"/>
    </w:rPr>
  </w:style>
  <w:style w:type="paragraph" w:styleId="7">
    <w:name w:val="annotation text"/>
    <w:basedOn w:val="1"/>
    <w:link w:val="32"/>
    <w:qFormat/>
    <w:uiPriority w:val="99"/>
    <w:pPr>
      <w:jc w:val="left"/>
    </w:pPr>
  </w:style>
  <w:style w:type="paragraph" w:styleId="8">
    <w:name w:val="Body Text Indent"/>
    <w:basedOn w:val="1"/>
    <w:link w:val="33"/>
    <w:qFormat/>
    <w:uiPriority w:val="99"/>
    <w:pPr>
      <w:tabs>
        <w:tab w:val="left" w:pos="360"/>
        <w:tab w:val="left" w:pos="1418"/>
      </w:tabs>
      <w:spacing w:line="560" w:lineRule="atLeast"/>
      <w:ind w:firstLine="560" w:firstLineChars="200"/>
    </w:pPr>
    <w:rPr>
      <w:rFonts w:ascii="楷体_GB2312" w:eastAsia="楷体_GB2312"/>
      <w:sz w:val="28"/>
    </w:rPr>
  </w:style>
  <w:style w:type="paragraph" w:styleId="9">
    <w:name w:val="toc 3"/>
    <w:basedOn w:val="1"/>
    <w:next w:val="1"/>
    <w:semiHidden/>
    <w:unhideWhenUsed/>
    <w:qFormat/>
    <w:uiPriority w:val="39"/>
    <w:pPr>
      <w:widowControl/>
      <w:spacing w:after="100" w:line="276" w:lineRule="auto"/>
      <w:ind w:left="440"/>
      <w:jc w:val="left"/>
    </w:pPr>
    <w:rPr>
      <w:rFonts w:ascii="Calibri" w:hAnsi="Calibri"/>
      <w:kern w:val="0"/>
      <w:sz w:val="22"/>
      <w:szCs w:val="22"/>
    </w:rPr>
  </w:style>
  <w:style w:type="paragraph" w:styleId="10">
    <w:name w:val="Date"/>
    <w:basedOn w:val="1"/>
    <w:next w:val="1"/>
    <w:link w:val="34"/>
    <w:qFormat/>
    <w:uiPriority w:val="99"/>
    <w:pPr>
      <w:ind w:left="100" w:leftChars="2500"/>
    </w:pPr>
    <w:rPr>
      <w:rFonts w:ascii="楷体_GB2312" w:eastAsia="楷体_GB2312"/>
      <w:sz w:val="28"/>
    </w:rPr>
  </w:style>
  <w:style w:type="paragraph" w:styleId="11">
    <w:name w:val="Body Text Indent 2"/>
    <w:basedOn w:val="1"/>
    <w:link w:val="35"/>
    <w:qFormat/>
    <w:uiPriority w:val="99"/>
    <w:pPr>
      <w:spacing w:line="560" w:lineRule="atLeast"/>
      <w:ind w:left="2" w:firstLine="538"/>
    </w:pPr>
    <w:rPr>
      <w:rFonts w:ascii="楷体_GB2312" w:eastAsia="楷体_GB2312"/>
      <w:bCs/>
      <w:sz w:val="28"/>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072"/>
      </w:tabs>
      <w:spacing w:beforeLines="25" w:afterLines="25" w:line="380" w:lineRule="exact"/>
      <w:ind w:left="-1" w:leftChars="-187" w:hanging="424" w:hangingChars="165"/>
      <w:jc w:val="left"/>
    </w:pPr>
    <w:rPr>
      <w:rFonts w:eastAsia="楷体_GB2312"/>
      <w:sz w:val="24"/>
      <w:szCs w:val="20"/>
    </w:rPr>
  </w:style>
  <w:style w:type="paragraph" w:styleId="16">
    <w:name w:val="Body Text Indent 3"/>
    <w:basedOn w:val="1"/>
    <w:link w:val="39"/>
    <w:qFormat/>
    <w:uiPriority w:val="99"/>
    <w:pPr>
      <w:spacing w:line="560" w:lineRule="atLeast"/>
      <w:ind w:left="540" w:leftChars="257"/>
    </w:pPr>
    <w:rPr>
      <w:rFonts w:ascii="楷体_GB2312" w:eastAsia="楷体_GB2312"/>
      <w:sz w:val="28"/>
    </w:rPr>
  </w:style>
  <w:style w:type="paragraph" w:styleId="17">
    <w:name w:val="toc 2"/>
    <w:basedOn w:val="1"/>
    <w:next w:val="1"/>
    <w:qFormat/>
    <w:uiPriority w:val="39"/>
    <w:pPr>
      <w:tabs>
        <w:tab w:val="right" w:leader="dot" w:pos="9072"/>
      </w:tabs>
      <w:spacing w:beforeLines="25" w:afterLines="25" w:line="380" w:lineRule="exact"/>
      <w:ind w:left="-425" w:leftChars="-187"/>
      <w:jc w:val="left"/>
    </w:pPr>
    <w:rPr>
      <w:rFonts w:eastAsia="楷体_GB2312"/>
      <w:sz w:val="24"/>
    </w:rPr>
  </w:style>
  <w:style w:type="paragraph" w:styleId="18">
    <w:name w:val="Normal (Web)"/>
    <w:basedOn w:val="1"/>
    <w:qFormat/>
    <w:uiPriority w:val="99"/>
    <w:rPr>
      <w:sz w:val="24"/>
    </w:rPr>
  </w:style>
  <w:style w:type="paragraph" w:styleId="19">
    <w:name w:val="Title"/>
    <w:basedOn w:val="1"/>
    <w:next w:val="1"/>
    <w:link w:val="53"/>
    <w:qFormat/>
    <w:locked/>
    <w:uiPriority w:val="0"/>
    <w:pPr>
      <w:spacing w:before="240" w:after="60"/>
      <w:jc w:val="center"/>
      <w:outlineLvl w:val="0"/>
    </w:pPr>
    <w:rPr>
      <w:rFonts w:ascii="Cambria" w:hAnsi="Cambria"/>
      <w:bCs/>
      <w:sz w:val="44"/>
      <w:szCs w:val="32"/>
    </w:rPr>
  </w:style>
  <w:style w:type="paragraph" w:styleId="20">
    <w:name w:val="annotation subject"/>
    <w:basedOn w:val="7"/>
    <w:next w:val="7"/>
    <w:link w:val="44"/>
    <w:qFormat/>
    <w:uiPriority w:val="99"/>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locked/>
    <w:uiPriority w:val="0"/>
    <w:rPr>
      <w:b/>
      <w:bCs/>
    </w:rPr>
  </w:style>
  <w:style w:type="character" w:styleId="25">
    <w:name w:val="page number"/>
    <w:basedOn w:val="23"/>
    <w:qFormat/>
    <w:uiPriority w:val="99"/>
    <w:rPr>
      <w:rFonts w:cs="Times New Roman"/>
    </w:rPr>
  </w:style>
  <w:style w:type="character" w:styleId="26">
    <w:name w:val="FollowedHyperlink"/>
    <w:basedOn w:val="23"/>
    <w:qFormat/>
    <w:uiPriority w:val="99"/>
    <w:rPr>
      <w:rFonts w:cs="Times New Roman"/>
      <w:color w:val="741274"/>
      <w:u w:val="single"/>
    </w:rPr>
  </w:style>
  <w:style w:type="character" w:styleId="27">
    <w:name w:val="Emphasis"/>
    <w:basedOn w:val="23"/>
    <w:qFormat/>
    <w:uiPriority w:val="99"/>
    <w:rPr>
      <w:rFonts w:cs="Times New Roman"/>
      <w:color w:val="CC0000"/>
    </w:rPr>
  </w:style>
  <w:style w:type="character" w:styleId="28">
    <w:name w:val="Hyperlink"/>
    <w:basedOn w:val="23"/>
    <w:qFormat/>
    <w:uiPriority w:val="99"/>
    <w:rPr>
      <w:rFonts w:cs="Times New Roman"/>
      <w:color w:val="000000"/>
      <w:u w:val="none"/>
    </w:rPr>
  </w:style>
  <w:style w:type="character" w:styleId="29">
    <w:name w:val="annotation reference"/>
    <w:basedOn w:val="23"/>
    <w:qFormat/>
    <w:uiPriority w:val="99"/>
    <w:rPr>
      <w:rFonts w:cs="Times New Roman"/>
      <w:sz w:val="21"/>
      <w:szCs w:val="21"/>
    </w:rPr>
  </w:style>
  <w:style w:type="character" w:styleId="30">
    <w:name w:val="HTML Cite"/>
    <w:basedOn w:val="23"/>
    <w:qFormat/>
    <w:uiPriority w:val="99"/>
    <w:rPr>
      <w:rFonts w:cs="Times New Roman"/>
      <w:color w:val="008000"/>
    </w:rPr>
  </w:style>
  <w:style w:type="character" w:customStyle="1" w:styleId="31">
    <w:name w:val="标题 1 Char"/>
    <w:basedOn w:val="23"/>
    <w:link w:val="2"/>
    <w:qFormat/>
    <w:locked/>
    <w:uiPriority w:val="99"/>
    <w:rPr>
      <w:rFonts w:ascii="宋体" w:eastAsia="宋体" w:cs="宋体"/>
      <w:b/>
      <w:bCs/>
      <w:kern w:val="36"/>
      <w:sz w:val="48"/>
      <w:szCs w:val="48"/>
    </w:rPr>
  </w:style>
  <w:style w:type="character" w:customStyle="1" w:styleId="32">
    <w:name w:val="批注文字 Char"/>
    <w:basedOn w:val="23"/>
    <w:link w:val="7"/>
    <w:qFormat/>
    <w:locked/>
    <w:uiPriority w:val="99"/>
    <w:rPr>
      <w:rFonts w:cs="Times New Roman"/>
      <w:kern w:val="2"/>
      <w:sz w:val="24"/>
      <w:szCs w:val="24"/>
    </w:rPr>
  </w:style>
  <w:style w:type="character" w:customStyle="1" w:styleId="33">
    <w:name w:val="正文文本缩进 Char"/>
    <w:basedOn w:val="23"/>
    <w:link w:val="8"/>
    <w:semiHidden/>
    <w:qFormat/>
    <w:uiPriority w:val="99"/>
    <w:rPr>
      <w:szCs w:val="24"/>
    </w:rPr>
  </w:style>
  <w:style w:type="character" w:customStyle="1" w:styleId="34">
    <w:name w:val="日期 Char"/>
    <w:basedOn w:val="23"/>
    <w:link w:val="10"/>
    <w:qFormat/>
    <w:locked/>
    <w:uiPriority w:val="99"/>
    <w:rPr>
      <w:rFonts w:ascii="楷体_GB2312" w:eastAsia="楷体_GB2312" w:cs="Times New Roman"/>
      <w:kern w:val="2"/>
      <w:sz w:val="24"/>
      <w:szCs w:val="24"/>
    </w:rPr>
  </w:style>
  <w:style w:type="character" w:customStyle="1" w:styleId="35">
    <w:name w:val="正文文本缩进 2 Char"/>
    <w:basedOn w:val="23"/>
    <w:link w:val="11"/>
    <w:semiHidden/>
    <w:qFormat/>
    <w:uiPriority w:val="99"/>
    <w:rPr>
      <w:szCs w:val="24"/>
    </w:rPr>
  </w:style>
  <w:style w:type="character" w:customStyle="1" w:styleId="36">
    <w:name w:val="批注框文本 Char"/>
    <w:basedOn w:val="23"/>
    <w:link w:val="12"/>
    <w:qFormat/>
    <w:locked/>
    <w:uiPriority w:val="99"/>
    <w:rPr>
      <w:rFonts w:cs="Times New Roman"/>
      <w:kern w:val="2"/>
      <w:sz w:val="18"/>
      <w:szCs w:val="18"/>
    </w:rPr>
  </w:style>
  <w:style w:type="character" w:customStyle="1" w:styleId="37">
    <w:name w:val="页脚 Char"/>
    <w:basedOn w:val="23"/>
    <w:link w:val="13"/>
    <w:qFormat/>
    <w:locked/>
    <w:uiPriority w:val="99"/>
    <w:rPr>
      <w:rFonts w:cs="Times New Roman"/>
      <w:kern w:val="2"/>
      <w:sz w:val="18"/>
      <w:szCs w:val="18"/>
    </w:rPr>
  </w:style>
  <w:style w:type="character" w:customStyle="1" w:styleId="38">
    <w:name w:val="页眉 Char"/>
    <w:basedOn w:val="23"/>
    <w:link w:val="14"/>
    <w:qFormat/>
    <w:locked/>
    <w:uiPriority w:val="99"/>
    <w:rPr>
      <w:rFonts w:cs="Times New Roman"/>
      <w:kern w:val="2"/>
      <w:sz w:val="18"/>
      <w:szCs w:val="18"/>
    </w:rPr>
  </w:style>
  <w:style w:type="character" w:customStyle="1" w:styleId="39">
    <w:name w:val="正文文本缩进 3 Char"/>
    <w:basedOn w:val="23"/>
    <w:link w:val="16"/>
    <w:semiHidden/>
    <w:qFormat/>
    <w:uiPriority w:val="99"/>
    <w:rPr>
      <w:sz w:val="16"/>
      <w:szCs w:val="16"/>
    </w:rPr>
  </w:style>
  <w:style w:type="paragraph" w:styleId="40">
    <w:name w:val="List Paragraph"/>
    <w:basedOn w:val="1"/>
    <w:qFormat/>
    <w:uiPriority w:val="99"/>
    <w:pPr>
      <w:ind w:firstLine="420" w:firstLineChars="200"/>
    </w:pPr>
  </w:style>
  <w:style w:type="paragraph" w:customStyle="1" w:styleId="41">
    <w:name w:val="列出段落1"/>
    <w:basedOn w:val="1"/>
    <w:qFormat/>
    <w:uiPriority w:val="34"/>
    <w:pPr>
      <w:spacing w:line="365" w:lineRule="atLeast"/>
      <w:ind w:left="1" w:firstLine="420" w:firstLineChars="200"/>
      <w:textAlignment w:val="bottom"/>
    </w:pPr>
    <w:rPr>
      <w:kern w:val="0"/>
      <w:sz w:val="20"/>
      <w:szCs w:val="20"/>
    </w:rPr>
  </w:style>
  <w:style w:type="character" w:customStyle="1" w:styleId="42">
    <w:name w:val="sugg-loading"/>
    <w:basedOn w:val="23"/>
    <w:qFormat/>
    <w:uiPriority w:val="99"/>
    <w:rPr>
      <w:rFonts w:cs="Times New Roman"/>
    </w:rPr>
  </w:style>
  <w:style w:type="character" w:customStyle="1" w:styleId="43">
    <w:name w:val="page-cur"/>
    <w:basedOn w:val="23"/>
    <w:qFormat/>
    <w:uiPriority w:val="99"/>
    <w:rPr>
      <w:rFonts w:cs="Times New Roman"/>
      <w:b/>
      <w:color w:val="333333"/>
      <w:bdr w:val="single" w:color="E5E5E5" w:sz="6" w:space="0"/>
      <w:shd w:val="clear" w:color="auto" w:fill="F2F2F2"/>
    </w:rPr>
  </w:style>
  <w:style w:type="character" w:customStyle="1" w:styleId="44">
    <w:name w:val="批注主题 Char"/>
    <w:basedOn w:val="32"/>
    <w:link w:val="20"/>
    <w:qFormat/>
    <w:locked/>
    <w:uiPriority w:val="99"/>
  </w:style>
  <w:style w:type="paragraph" w:customStyle="1" w:styleId="45">
    <w:name w:val="font5"/>
    <w:basedOn w:val="1"/>
    <w:qFormat/>
    <w:uiPriority w:val="0"/>
    <w:pPr>
      <w:widowControl/>
      <w:spacing w:before="100" w:beforeAutospacing="1" w:after="100" w:afterAutospacing="1"/>
      <w:jc w:val="left"/>
    </w:pPr>
    <w:rPr>
      <w:rFonts w:ascii="Tahoma" w:hAnsi="Tahoma" w:cs="Tahoma"/>
      <w:kern w:val="0"/>
      <w:sz w:val="18"/>
      <w:szCs w:val="18"/>
    </w:rPr>
  </w:style>
  <w:style w:type="paragraph" w:customStyle="1" w:styleId="4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8">
    <w:name w:val="xl6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2">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53">
    <w:name w:val="标题 Char"/>
    <w:basedOn w:val="23"/>
    <w:link w:val="19"/>
    <w:qFormat/>
    <w:uiPriority w:val="0"/>
    <w:rPr>
      <w:rFonts w:ascii="Cambria" w:hAnsi="Cambria" w:cs="Times New Roman"/>
      <w:bCs/>
      <w:kern w:val="2"/>
      <w:sz w:val="44"/>
      <w:szCs w:val="32"/>
    </w:rPr>
  </w:style>
  <w:style w:type="paragraph" w:customStyle="1" w:styleId="54">
    <w:name w:val="TOC 标题1"/>
    <w:basedOn w:val="2"/>
    <w:next w:val="1"/>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55">
    <w:name w:val="副标题 Char"/>
    <w:basedOn w:val="23"/>
    <w:link w:val="4"/>
    <w:qFormat/>
    <w:uiPriority w:val="0"/>
    <w:rPr>
      <w:rFonts w:ascii="Cambria" w:hAnsi="Cambria"/>
      <w:bCs/>
      <w:kern w:val="28"/>
      <w:sz w:val="28"/>
      <w:szCs w:val="32"/>
    </w:rPr>
  </w:style>
  <w:style w:type="paragraph" w:customStyle="1" w:styleId="56">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57">
    <w:name w:val="16"/>
    <w:basedOn w:val="23"/>
    <w:qFormat/>
    <w:uiPriority w:val="0"/>
  </w:style>
  <w:style w:type="character" w:customStyle="1" w:styleId="58">
    <w:name w:val="font21"/>
    <w:basedOn w:val="23"/>
    <w:qFormat/>
    <w:uiPriority w:val="0"/>
    <w:rPr>
      <w:rFonts w:hint="eastAsia" w:ascii="宋体" w:hAnsi="宋体" w:eastAsia="宋体" w:cs="宋体"/>
      <w:color w:val="000000"/>
      <w:sz w:val="18"/>
      <w:szCs w:val="18"/>
      <w:u w:val="none"/>
    </w:rPr>
  </w:style>
  <w:style w:type="character" w:customStyle="1" w:styleId="59">
    <w:name w:val="font41"/>
    <w:basedOn w:val="23"/>
    <w:qFormat/>
    <w:uiPriority w:val="0"/>
    <w:rPr>
      <w:rFonts w:hint="default" w:ascii="Times New Roman" w:hAnsi="Times New Roman" w:cs="Times New Roman"/>
      <w:color w:val="000000"/>
      <w:sz w:val="18"/>
      <w:szCs w:val="18"/>
      <w:u w:val="none"/>
    </w:rPr>
  </w:style>
  <w:style w:type="character" w:customStyle="1" w:styleId="60">
    <w:name w:val="font61"/>
    <w:basedOn w:val="23"/>
    <w:qFormat/>
    <w:uiPriority w:val="0"/>
    <w:rPr>
      <w:rFonts w:hint="default" w:ascii="Times New Roman" w:hAnsi="Times New Roman" w:cs="Times New Roman"/>
      <w:color w:val="000000"/>
      <w:sz w:val="18"/>
      <w:szCs w:val="18"/>
      <w:u w:val="none"/>
      <w:vertAlign w:val="subscript"/>
    </w:rPr>
  </w:style>
  <w:style w:type="character" w:customStyle="1" w:styleId="61">
    <w:name w:val="font51"/>
    <w:basedOn w:val="23"/>
    <w:qFormat/>
    <w:uiPriority w:val="0"/>
    <w:rPr>
      <w:rFonts w:hint="default" w:ascii="Times New Roman" w:hAnsi="Times New Roman" w:cs="Times New Roman"/>
      <w:color w:val="000000"/>
      <w:sz w:val="18"/>
      <w:szCs w:val="18"/>
      <w:u w:val="none"/>
      <w:vertAlign w:val="superscript"/>
    </w:rPr>
  </w:style>
  <w:style w:type="character" w:customStyle="1" w:styleId="62">
    <w:name w:val="font101"/>
    <w:basedOn w:val="23"/>
    <w:qFormat/>
    <w:uiPriority w:val="0"/>
    <w:rPr>
      <w:rFonts w:hint="default" w:ascii="Times New Roman" w:hAnsi="Times New Roman" w:cs="Times New Roman"/>
      <w:color w:val="000000"/>
      <w:sz w:val="18"/>
      <w:szCs w:val="18"/>
      <w:u w:val="none"/>
      <w:vertAlign w:val="subscript"/>
    </w:rPr>
  </w:style>
  <w:style w:type="character" w:customStyle="1" w:styleId="63">
    <w:name w:val="font112"/>
    <w:basedOn w:val="23"/>
    <w:qFormat/>
    <w:uiPriority w:val="0"/>
    <w:rPr>
      <w:rFonts w:hint="default" w:ascii="Times New Roman" w:hAnsi="Times New Roman" w:cs="Times New Roman"/>
      <w:color w:val="000000"/>
      <w:sz w:val="18"/>
      <w:szCs w:val="18"/>
      <w:u w:val="none"/>
      <w:vertAlign w:val="superscript"/>
    </w:rPr>
  </w:style>
  <w:style w:type="character" w:customStyle="1" w:styleId="64">
    <w:name w:val="ca-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305D8-E285-440F-89A2-3EABF706B623}">
  <ds:schemaRefs/>
</ds:datastoreItem>
</file>

<file path=docProps/app.xml><?xml version="1.0" encoding="utf-8"?>
<Properties xmlns="http://schemas.openxmlformats.org/officeDocument/2006/extended-properties" xmlns:vt="http://schemas.openxmlformats.org/officeDocument/2006/docPropsVTypes">
  <Template>Normal</Template>
  <Company>德信房地产评估公司</Company>
  <Pages>39</Pages>
  <Words>20699</Words>
  <Characters>22865</Characters>
  <Lines>192</Lines>
  <Paragraphs>54</Paragraphs>
  <TotalTime>1</TotalTime>
  <ScaleCrop>false</ScaleCrop>
  <LinksUpToDate>false</LinksUpToDate>
  <CharactersWithSpaces>23201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2018-01-06T07:16:00Z</dcterms:created>
  <dc:creator>德信</dc:creator>
  <cp:lastModifiedBy>喂。</cp:lastModifiedBy>
  <cp:lastPrinted>2022-10-24T08:19:00Z</cp:lastPrinted>
  <dcterms:modified xsi:type="dcterms:W3CDTF">2022-11-17T01:10:20Z</dcterms:modified>
  <cp:revision>2030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0F9C46496A0D4C818318A2215FC5BF07</vt:lpwstr>
  </property>
</Properties>
</file>