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szCs w:val="84"/>
          <w:lang w:val="zh-CN"/>
        </w:rPr>
      </w:pPr>
      <w:r>
        <w:rPr>
          <w:rFonts w:hint="eastAsia" w:ascii="黑体" w:hAnsi="黑体" w:eastAsia="黑体" w:cs="黑体"/>
          <w:b/>
          <w:spacing w:val="40"/>
          <w:sz w:val="52"/>
          <w:szCs w:val="52"/>
          <w:lang w:eastAsia="zh-CN"/>
        </w:rPr>
        <w:t>涉执房地产处置司法评估报告</w:t>
      </w:r>
      <w:r>
        <w:rPr>
          <w:rFonts w:hint="eastAsia" w:eastAsia="宋体"/>
          <w:lang w:eastAsia="zh-CN"/>
        </w:rPr>
        <w:drawing>
          <wp:inline distT="0" distB="0" distL="114300" distR="114300">
            <wp:extent cx="2160270" cy="2879725"/>
            <wp:effectExtent l="0" t="0" r="11430" b="15875"/>
            <wp:docPr id="22" name="图片 22" descr="40daa091f8c3e05e31f5ce811b0ccf7"/>
            <wp:cNvGraphicFramePr/>
            <a:graphic xmlns:a="http://schemas.openxmlformats.org/drawingml/2006/main">
              <a:graphicData uri="http://schemas.openxmlformats.org/drawingml/2006/picture">
                <pic:pic xmlns:pic="http://schemas.openxmlformats.org/drawingml/2006/picture">
                  <pic:nvPicPr>
                    <pic:cNvPr id="22" name="图片 22" descr="40daa091f8c3e05e31f5ce811b0ccf7"/>
                    <pic:cNvPicPr/>
                  </pic:nvPicPr>
                  <pic:blipFill>
                    <a:blip r:embed="rId16"/>
                    <a:stretch>
                      <a:fillRect/>
                    </a:stretch>
                  </pic:blipFill>
                  <pic:spPr>
                    <a:xfrm>
                      <a:off x="0" y="0"/>
                      <a:ext cx="2160270" cy="2879725"/>
                    </a:xfrm>
                    <a:prstGeom prst="rect">
                      <a:avLst/>
                    </a:prstGeom>
                  </pic:spPr>
                </pic:pic>
              </a:graphicData>
            </a:graphic>
          </wp:inline>
        </w:drawing>
      </w:r>
    </w:p>
    <w:p>
      <w:pPr>
        <w:spacing w:line="240" w:lineRule="exact"/>
        <w:jc w:val="both"/>
        <w:rPr>
          <w:rFonts w:hint="eastAsia" w:ascii="宋体" w:hAnsi="宋体" w:cs="宋体"/>
          <w:b/>
          <w:sz w:val="28"/>
          <w:szCs w:val="28"/>
        </w:rPr>
      </w:pPr>
    </w:p>
    <w:p>
      <w:pPr>
        <w:spacing w:line="680" w:lineRule="exact"/>
        <w:ind w:left="1968" w:hanging="1968" w:hangingChars="700"/>
        <w:jc w:val="left"/>
        <w:rPr>
          <w:rFonts w:hint="eastAsia" w:ascii="宋体" w:hAnsi="宋体" w:cs="宋体"/>
          <w:b/>
          <w:color w:val="FF0000"/>
          <w:sz w:val="28"/>
          <w:szCs w:val="28"/>
        </w:rPr>
      </w:pPr>
      <w:r>
        <w:rPr>
          <w:rFonts w:hint="eastAsia" w:ascii="宋体" w:hAnsi="宋体" w:cs="宋体"/>
          <w:b/>
          <w:sz w:val="28"/>
          <w:szCs w:val="28"/>
        </w:rPr>
        <w:t>估价报告编号：</w:t>
      </w:r>
      <w:bookmarkStart w:id="0" w:name="OLE_LINK46"/>
      <w:r>
        <w:rPr>
          <w:rFonts w:hint="eastAsia" w:ascii="宋体" w:hAnsi="宋体" w:cs="宋体"/>
          <w:sz w:val="28"/>
          <w:szCs w:val="28"/>
        </w:rPr>
        <w:t>岩</w:t>
      </w:r>
      <w:r>
        <w:rPr>
          <w:rFonts w:hint="eastAsia" w:ascii="宋体" w:hAnsi="宋体" w:cs="宋体"/>
          <w:color w:val="000000"/>
          <w:sz w:val="28"/>
          <w:szCs w:val="28"/>
        </w:rPr>
        <w:t>冠力估价字</w:t>
      </w:r>
      <w:bookmarkEnd w:id="0"/>
      <w:r>
        <w:rPr>
          <w:rFonts w:hint="eastAsia" w:ascii="宋体" w:hAnsi="宋体" w:cs="宋体"/>
          <w:color w:val="000000"/>
          <w:sz w:val="28"/>
          <w:szCs w:val="28"/>
          <w:lang w:eastAsia="zh-CN"/>
        </w:rPr>
        <w:t>[2022]YD22号</w:t>
      </w:r>
    </w:p>
    <w:p>
      <w:pPr>
        <w:spacing w:line="680" w:lineRule="exact"/>
        <w:ind w:left="2122" w:hanging="2122" w:hangingChars="700"/>
        <w:jc w:val="left"/>
        <w:rPr>
          <w:rFonts w:hint="eastAsia" w:ascii="宋体" w:hAnsi="宋体" w:eastAsia="宋体" w:cs="宋体"/>
          <w:spacing w:val="11"/>
          <w:sz w:val="28"/>
          <w:szCs w:val="28"/>
          <w:lang w:eastAsia="zh-CN"/>
        </w:rPr>
      </w:pPr>
      <w:r>
        <w:rPr>
          <w:rFonts w:hint="eastAsia" w:ascii="宋体" w:hAnsi="宋体" w:cs="宋体"/>
          <w:b/>
          <w:spacing w:val="11"/>
          <w:sz w:val="28"/>
          <w:szCs w:val="28"/>
        </w:rPr>
        <w:t>估价项目名称：</w:t>
      </w:r>
      <w:r>
        <w:rPr>
          <w:rFonts w:hint="eastAsia" w:ascii="宋体" w:hAnsi="宋体" w:cs="宋体"/>
          <w:spacing w:val="11"/>
          <w:sz w:val="28"/>
          <w:szCs w:val="28"/>
          <w:lang w:eastAsia="zh-CN"/>
        </w:rPr>
        <w:t>龙岩市永定县坎市镇沿河南路7层705室</w:t>
      </w:r>
      <w:r>
        <w:rPr>
          <w:rFonts w:hint="eastAsia" w:ascii="宋体" w:hAnsi="宋体" w:cs="宋体"/>
          <w:spacing w:val="11"/>
          <w:sz w:val="28"/>
          <w:szCs w:val="28"/>
          <w:lang w:val="en-US" w:eastAsia="zh-CN"/>
        </w:rPr>
        <w:t>住宅</w:t>
      </w:r>
      <w:r>
        <w:rPr>
          <w:rFonts w:hint="eastAsia" w:ascii="宋体" w:hAnsi="宋体" w:cs="宋体"/>
          <w:spacing w:val="11"/>
          <w:sz w:val="28"/>
          <w:szCs w:val="28"/>
          <w:lang w:eastAsia="zh-CN"/>
        </w:rPr>
        <w:t>房地产涉执房地产处置司法评估</w:t>
      </w:r>
    </w:p>
    <w:p>
      <w:pPr>
        <w:spacing w:line="680" w:lineRule="exact"/>
        <w:rPr>
          <w:rFonts w:hint="eastAsia" w:ascii="宋体" w:hAnsi="宋体" w:eastAsia="宋体" w:cs="宋体"/>
          <w:color w:val="FF0000"/>
          <w:sz w:val="28"/>
          <w:szCs w:val="28"/>
          <w:lang w:eastAsia="zh-CN"/>
        </w:rPr>
      </w:pPr>
      <w:r>
        <w:rPr>
          <w:rFonts w:hint="eastAsia" w:ascii="宋体" w:hAnsi="宋体" w:cs="宋体"/>
          <w:b/>
          <w:sz w:val="28"/>
          <w:szCs w:val="28"/>
        </w:rPr>
        <w:t>估价委托人：</w:t>
      </w:r>
      <w:r>
        <w:rPr>
          <w:rFonts w:hint="eastAsia" w:ascii="宋体" w:hAnsi="宋体" w:cs="宋体"/>
          <w:sz w:val="28"/>
          <w:szCs w:val="28"/>
          <w:lang w:eastAsia="zh-CN"/>
        </w:rPr>
        <w:t>龙岩市永定区人民法院</w:t>
      </w:r>
    </w:p>
    <w:p>
      <w:pPr>
        <w:spacing w:line="680" w:lineRule="exact"/>
        <w:rPr>
          <w:rFonts w:hint="eastAsia" w:ascii="宋体" w:hAnsi="宋体" w:cs="宋体"/>
          <w:b/>
          <w:sz w:val="28"/>
          <w:szCs w:val="28"/>
        </w:rPr>
      </w:pPr>
      <w:r>
        <w:rPr>
          <w:rFonts w:hint="eastAsia" w:ascii="宋体" w:hAnsi="宋体" w:cs="宋体"/>
          <w:b/>
          <w:sz w:val="28"/>
          <w:szCs w:val="28"/>
        </w:rPr>
        <w:t>房地产估价机构：</w:t>
      </w:r>
      <w:r>
        <w:rPr>
          <w:rFonts w:hint="eastAsia" w:ascii="宋体" w:hAnsi="宋体" w:cs="宋体"/>
          <w:sz w:val="28"/>
          <w:szCs w:val="28"/>
        </w:rPr>
        <w:t>龙岩冠力土地房地产评估有限公司</w:t>
      </w:r>
    </w:p>
    <w:p>
      <w:pPr>
        <w:tabs>
          <w:tab w:val="left" w:pos="3465"/>
          <w:tab w:val="left" w:pos="4095"/>
        </w:tabs>
        <w:spacing w:line="680" w:lineRule="exact"/>
        <w:rPr>
          <w:rFonts w:hint="eastAsia" w:ascii="宋体" w:hAnsi="宋体" w:cs="宋体"/>
          <w:sz w:val="28"/>
          <w:szCs w:val="28"/>
        </w:rPr>
      </w:pPr>
      <w:r>
        <w:rPr>
          <w:rFonts w:hint="eastAsia" w:ascii="宋体" w:hAnsi="宋体" w:cs="宋体"/>
          <w:b/>
          <w:sz w:val="28"/>
          <w:szCs w:val="28"/>
        </w:rPr>
        <w:t>注册房地产估价师：</w:t>
      </w:r>
      <w:r>
        <w:rPr>
          <w:rFonts w:hint="eastAsia" w:ascii="宋体" w:hAnsi="宋体" w:cs="宋体"/>
          <w:sz w:val="28"/>
          <w:szCs w:val="28"/>
          <w:lang w:eastAsia="zh-CN"/>
        </w:rPr>
        <w:t>倪灵燕</w:t>
      </w:r>
      <w:r>
        <w:rPr>
          <w:rFonts w:hint="eastAsia" w:ascii="宋体" w:hAnsi="宋体" w:cs="宋体"/>
          <w:sz w:val="28"/>
          <w:szCs w:val="28"/>
        </w:rPr>
        <w:t>（注册号：</w:t>
      </w:r>
      <w:r>
        <w:rPr>
          <w:rFonts w:hint="eastAsia" w:ascii="宋体" w:hAnsi="宋体" w:cs="宋体"/>
          <w:sz w:val="28"/>
          <w:szCs w:val="28"/>
          <w:lang w:eastAsia="zh-CN"/>
        </w:rPr>
        <w:t>3520150012</w:t>
      </w:r>
      <w:r>
        <w:rPr>
          <w:rFonts w:hint="eastAsia" w:ascii="宋体" w:hAnsi="宋体" w:cs="宋体"/>
          <w:sz w:val="28"/>
          <w:szCs w:val="28"/>
        </w:rPr>
        <w:t>）</w:t>
      </w:r>
    </w:p>
    <w:p>
      <w:pPr>
        <w:tabs>
          <w:tab w:val="left" w:pos="3465"/>
          <w:tab w:val="left" w:pos="4095"/>
        </w:tabs>
        <w:spacing w:line="680" w:lineRule="exac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lang w:eastAsia="zh-CN"/>
        </w:rPr>
        <w:t>韩新华</w:t>
      </w:r>
      <w:r>
        <w:rPr>
          <w:rFonts w:hint="eastAsia" w:ascii="宋体" w:hAnsi="宋体" w:cs="宋体"/>
          <w:sz w:val="28"/>
          <w:szCs w:val="28"/>
        </w:rPr>
        <w:t>（注册号：</w:t>
      </w:r>
      <w:r>
        <w:rPr>
          <w:rFonts w:hint="eastAsia" w:ascii="宋体" w:hAnsi="宋体" w:cs="宋体"/>
          <w:sz w:val="28"/>
          <w:szCs w:val="28"/>
          <w:lang w:eastAsia="zh-CN"/>
        </w:rPr>
        <w:t>3520120002</w:t>
      </w:r>
      <w:r>
        <w:rPr>
          <w:rFonts w:hint="eastAsia" w:ascii="宋体" w:hAnsi="宋体" w:cs="宋体"/>
          <w:sz w:val="28"/>
          <w:szCs w:val="28"/>
        </w:rPr>
        <w:t>）</w:t>
      </w:r>
    </w:p>
    <w:p>
      <w:pPr>
        <w:spacing w:line="680" w:lineRule="exact"/>
        <w:rPr>
          <w:rFonts w:hint="eastAsia" w:ascii="宋体" w:hAnsi="宋体" w:cs="宋体"/>
          <w:b/>
          <w:sz w:val="44"/>
          <w:szCs w:val="44"/>
        </w:rPr>
        <w:sectPr>
          <w:headerReference r:id="rId3" w:type="default"/>
          <w:footerReference r:id="rId5" w:type="default"/>
          <w:headerReference r:id="rId4" w:type="even"/>
          <w:footerReference r:id="rId6" w:type="even"/>
          <w:pgSz w:w="11907" w:h="16840"/>
          <w:pgMar w:top="2268" w:right="1134" w:bottom="2268" w:left="1701" w:header="851" w:footer="851" w:gutter="0"/>
          <w:cols w:space="720" w:num="1"/>
          <w:titlePg/>
          <w:docGrid w:type="lines" w:linePitch="312" w:charSpace="0"/>
        </w:sectPr>
      </w:pPr>
      <w:r>
        <w:rPr>
          <w:rFonts w:hint="eastAsia" w:ascii="宋体" w:hAnsi="宋体" w:cs="宋体"/>
          <w:b/>
          <w:sz w:val="28"/>
          <w:szCs w:val="28"/>
        </w:rPr>
        <w:t>估价报告出具日期：</w:t>
      </w:r>
      <w:r>
        <w:rPr>
          <w:rFonts w:hint="eastAsia" w:ascii="宋体" w:hAnsi="宋体" w:cs="宋体"/>
          <w:color w:val="000000"/>
          <w:sz w:val="28"/>
          <w:szCs w:val="28"/>
          <w:lang w:eastAsia="zh-CN"/>
        </w:rPr>
        <w:t>2022年9月7日</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161" w:firstLineChars="50"/>
        <w:jc w:val="center"/>
        <w:textAlignment w:val="auto"/>
        <w:outlineLvl w:val="9"/>
        <w:rPr>
          <w:rFonts w:hint="eastAsia" w:ascii="宋体" w:hAnsi="宋体" w:cs="宋体"/>
          <w:b/>
          <w:sz w:val="32"/>
          <w:szCs w:val="32"/>
          <w:lang w:eastAsia="zh-CN"/>
        </w:rPr>
      </w:pPr>
      <w:r>
        <w:rPr>
          <w:rFonts w:hint="eastAsia" w:ascii="宋体" w:hAnsi="宋体" w:cs="宋体"/>
          <w:b/>
          <w:sz w:val="32"/>
          <w:szCs w:val="32"/>
          <w:lang w:eastAsia="zh-CN"/>
        </w:rPr>
        <w:t>估价报告摘要表</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right"/>
        <w:textAlignment w:val="auto"/>
        <w:outlineLvl w:val="9"/>
        <w:rPr>
          <w:rFonts w:hint="eastAsia" w:ascii="宋体" w:hAnsi="宋体" w:eastAsia="宋体" w:cs="宋体"/>
          <w:sz w:val="21"/>
          <w:szCs w:val="21"/>
          <w:lang w:eastAsia="zh-CN"/>
        </w:rPr>
      </w:pPr>
      <w:r>
        <w:rPr>
          <w:rFonts w:hint="eastAsia" w:ascii="宋体" w:hAnsi="宋体" w:cs="宋体"/>
          <w:b/>
          <w:sz w:val="21"/>
          <w:szCs w:val="21"/>
        </w:rPr>
        <w:t>估价报告编号：</w:t>
      </w:r>
      <w:r>
        <w:rPr>
          <w:rFonts w:hint="eastAsia" w:ascii="宋体" w:hAnsi="宋体" w:cs="宋体"/>
          <w:sz w:val="21"/>
          <w:szCs w:val="21"/>
          <w:lang w:eastAsia="zh-CN"/>
        </w:rPr>
        <w:t>岩冠力估价字[2022]YD22号</w:t>
      </w:r>
    </w:p>
    <w:tbl>
      <w:tblPr>
        <w:tblStyle w:val="9"/>
        <w:tblW w:w="10027"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823"/>
        <w:gridCol w:w="1770"/>
        <w:gridCol w:w="160"/>
        <w:gridCol w:w="4"/>
        <w:gridCol w:w="577"/>
        <w:gridCol w:w="5"/>
        <w:gridCol w:w="1074"/>
        <w:gridCol w:w="566"/>
        <w:gridCol w:w="5"/>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szCs w:val="21"/>
              </w:rPr>
            </w:pPr>
            <w:r>
              <w:rPr>
                <w:rFonts w:hint="eastAsia" w:ascii="宋体" w:hAnsi="宋体" w:cs="宋体"/>
                <w:b/>
                <w:bCs/>
                <w:szCs w:val="21"/>
              </w:rPr>
              <w:t>项目名称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szCs w:val="21"/>
              </w:rPr>
            </w:pPr>
            <w:r>
              <w:rPr>
                <w:rFonts w:hint="eastAsia" w:ascii="宋体" w:hAnsi="宋体" w:cs="宋体"/>
                <w:b/>
                <w:bCs/>
                <w:szCs w:val="21"/>
              </w:rPr>
              <w:t>及坐落</w:t>
            </w:r>
          </w:p>
        </w:tc>
        <w:tc>
          <w:tcPr>
            <w:tcW w:w="8748"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Cs w:val="21"/>
                <w:lang w:val="en-US" w:eastAsia="zh-CN"/>
              </w:rPr>
            </w:pPr>
            <w:r>
              <w:rPr>
                <w:rFonts w:hint="eastAsia" w:ascii="宋体" w:hAnsi="宋体" w:cs="宋体"/>
                <w:sz w:val="21"/>
                <w:szCs w:val="21"/>
                <w:lang w:eastAsia="zh-CN"/>
              </w:rPr>
              <w:t>永定县坎市镇沿河南路7层705室住宅房地产</w:t>
            </w:r>
            <w:r>
              <w:rPr>
                <w:rFonts w:hint="eastAsia" w:ascii="宋体" w:hAnsi="宋体" w:cs="宋体"/>
                <w:spacing w:val="11"/>
                <w:sz w:val="21"/>
                <w:szCs w:val="21"/>
                <w:lang w:eastAsia="zh-CN"/>
              </w:rPr>
              <w:t>处置司法评估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r>
              <w:rPr>
                <w:rFonts w:hint="eastAsia" w:ascii="宋体" w:hAnsi="宋体" w:cs="宋体"/>
                <w:b/>
                <w:bCs/>
                <w:szCs w:val="21"/>
              </w:rPr>
              <w:t>估价委托人</w:t>
            </w:r>
          </w:p>
        </w:tc>
        <w:tc>
          <w:tcPr>
            <w:tcW w:w="35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Cs w:val="21"/>
                <w:lang w:val="en-US" w:eastAsia="zh-CN"/>
              </w:rPr>
            </w:pPr>
            <w:r>
              <w:rPr>
                <w:rFonts w:hint="eastAsia" w:ascii="宋体" w:hAnsi="宋体" w:cs="宋体"/>
                <w:sz w:val="21"/>
                <w:szCs w:val="21"/>
                <w:lang w:eastAsia="zh-CN"/>
              </w:rPr>
              <w:t>龙岩市永定区人民法院</w:t>
            </w:r>
          </w:p>
        </w:tc>
        <w:tc>
          <w:tcPr>
            <w:tcW w:w="18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Cs w:val="21"/>
              </w:rPr>
            </w:pPr>
            <w:r>
              <w:rPr>
                <w:rFonts w:hint="eastAsia" w:ascii="宋体" w:hAnsi="宋体" w:cs="宋体"/>
                <w:b/>
                <w:bCs/>
                <w:szCs w:val="21"/>
              </w:rPr>
              <w:t>权利人</w:t>
            </w:r>
          </w:p>
        </w:tc>
        <w:tc>
          <w:tcPr>
            <w:tcW w:w="33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廖春兰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27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r>
              <w:rPr>
                <w:rFonts w:hint="eastAsia" w:ascii="宋体" w:hAnsi="宋体" w:cs="宋体"/>
                <w:b/>
                <w:bCs/>
                <w:szCs w:val="21"/>
              </w:rPr>
              <w:t>权属证书</w:t>
            </w:r>
          </w:p>
        </w:tc>
        <w:tc>
          <w:tcPr>
            <w:tcW w:w="8748"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eastAsia="zh-CN"/>
              </w:rPr>
            </w:pPr>
            <w:r>
              <w:rPr>
                <w:rFonts w:hint="eastAsia" w:ascii="宋体" w:hAnsi="宋体" w:cs="宋体"/>
                <w:color w:val="auto"/>
                <w:sz w:val="21"/>
                <w:szCs w:val="21"/>
                <w:vertAlign w:val="baseline"/>
                <w:lang w:eastAsia="zh-CN"/>
              </w:rPr>
              <w:t>《房屋所有权证》永房权证2014字第02330号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Cs w:val="21"/>
                <w:lang w:eastAsia="zh-CN"/>
              </w:rPr>
            </w:pPr>
            <w:r>
              <w:rPr>
                <w:rFonts w:hint="eastAsia" w:ascii="宋体" w:hAnsi="宋体" w:cs="宋体"/>
                <w:color w:val="auto"/>
                <w:sz w:val="21"/>
                <w:szCs w:val="21"/>
                <w:vertAlign w:val="baseline"/>
                <w:lang w:eastAsia="zh-CN"/>
              </w:rPr>
              <w:t>《国有土地使用证》永定国用（2015）第R879号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7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r>
              <w:rPr>
                <w:rFonts w:hint="eastAsia" w:ascii="宋体" w:hAnsi="宋体" w:cs="宋体"/>
                <w:b/>
                <w:bCs/>
                <w:szCs w:val="21"/>
              </w:rPr>
              <w:t>估价目的</w:t>
            </w:r>
          </w:p>
        </w:tc>
        <w:tc>
          <w:tcPr>
            <w:tcW w:w="8748"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szCs w:val="21"/>
              </w:rPr>
            </w:pPr>
            <w:r>
              <w:rPr>
                <w:rFonts w:hint="eastAsia" w:ascii="宋体" w:hAnsi="宋体" w:eastAsia="宋体" w:cs="宋体"/>
                <w:sz w:val="21"/>
                <w:szCs w:val="21"/>
                <w:vertAlign w:val="baseline"/>
                <w:lang w:eastAsia="zh-CN"/>
              </w:rPr>
              <w:t>为人民法院确定财产处置参考价提供参考依据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r>
              <w:rPr>
                <w:rFonts w:hint="eastAsia" w:ascii="宋体" w:hAnsi="宋体" w:cs="宋体"/>
                <w:b/>
                <w:bCs/>
                <w:szCs w:val="21"/>
              </w:rPr>
              <w:t>估价方法</w:t>
            </w:r>
          </w:p>
        </w:tc>
        <w:tc>
          <w:tcPr>
            <w:tcW w:w="8748"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szCs w:val="21"/>
              </w:rPr>
            </w:pPr>
            <w:r>
              <w:rPr>
                <w:rFonts w:hint="eastAsia" w:ascii="宋体" w:hAnsi="宋体" w:cs="宋体"/>
                <w:szCs w:val="21"/>
              </w:rPr>
              <w:t>比较法、收益法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7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r>
              <w:rPr>
                <w:rFonts w:hint="eastAsia" w:ascii="宋体" w:hAnsi="宋体" w:cs="宋体"/>
                <w:b/>
                <w:bCs/>
                <w:szCs w:val="21"/>
              </w:rPr>
              <w:t>价值时点</w:t>
            </w:r>
          </w:p>
        </w:tc>
        <w:tc>
          <w:tcPr>
            <w:tcW w:w="8748" w:type="dxa"/>
            <w:gridSpan w:val="10"/>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2022年7月12日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Cs w:val="21"/>
                <w:lang w:eastAsia="zh-CN"/>
              </w:rPr>
            </w:pPr>
            <w:r>
              <w:rPr>
                <w:rFonts w:hint="eastAsia" w:ascii="宋体" w:hAnsi="宋体" w:cs="宋体"/>
                <w:b/>
                <w:bCs/>
                <w:szCs w:val="21"/>
                <w:lang w:eastAsia="zh-CN"/>
              </w:rPr>
              <w:t>土地状况</w:t>
            </w:r>
          </w:p>
        </w:tc>
        <w:tc>
          <w:tcPr>
            <w:tcW w:w="182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bCs/>
                <w:color w:val="auto"/>
                <w:kern w:val="2"/>
                <w:sz w:val="21"/>
                <w:szCs w:val="21"/>
                <w:vertAlign w:val="baseline"/>
                <w:lang w:val="en-US" w:eastAsia="zh-CN" w:bidi="ar-SA"/>
              </w:rPr>
            </w:pPr>
            <w:r>
              <w:rPr>
                <w:rFonts w:hint="eastAsia" w:ascii="宋体" w:hAnsi="宋体" w:cs="宋体"/>
                <w:b/>
                <w:bCs/>
                <w:color w:val="auto"/>
                <w:sz w:val="21"/>
                <w:szCs w:val="21"/>
                <w:lang w:eastAsia="zh-CN"/>
              </w:rPr>
              <w:t>地号</w:t>
            </w:r>
          </w:p>
        </w:tc>
        <w:tc>
          <w:tcPr>
            <w:tcW w:w="251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015/07/（36）-105-A17</w:t>
            </w:r>
          </w:p>
        </w:tc>
        <w:tc>
          <w:tcPr>
            <w:tcW w:w="16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宋体" w:hAnsi="宋体" w:cs="宋体"/>
                <w:color w:val="auto"/>
                <w:kern w:val="2"/>
                <w:sz w:val="21"/>
                <w:szCs w:val="21"/>
                <w:vertAlign w:val="baseline"/>
                <w:lang w:val="en-US" w:eastAsia="zh-CN" w:bidi="ar-SA"/>
              </w:rPr>
            </w:pPr>
            <w:r>
              <w:rPr>
                <w:rFonts w:hint="eastAsia" w:ascii="宋体" w:hAnsi="宋体" w:cs="宋体"/>
                <w:b/>
                <w:bCs/>
                <w:color w:val="auto"/>
                <w:sz w:val="21"/>
                <w:szCs w:val="21"/>
                <w:lang w:eastAsia="zh-CN"/>
              </w:rPr>
              <w:t>土地使用权人</w:t>
            </w:r>
          </w:p>
        </w:tc>
        <w:tc>
          <w:tcPr>
            <w:tcW w:w="27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廖春兰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2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p>
        </w:tc>
        <w:tc>
          <w:tcPr>
            <w:tcW w:w="182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bCs/>
                <w:color w:val="auto"/>
                <w:kern w:val="2"/>
                <w:sz w:val="21"/>
                <w:szCs w:val="21"/>
                <w:vertAlign w:val="baseline"/>
                <w:lang w:val="en-US" w:eastAsia="zh-CN" w:bidi="ar-SA"/>
              </w:rPr>
            </w:pPr>
            <w:r>
              <w:rPr>
                <w:rFonts w:hint="eastAsia" w:ascii="宋体" w:hAnsi="宋体" w:cs="宋体"/>
                <w:b/>
                <w:bCs/>
                <w:color w:val="auto"/>
                <w:sz w:val="21"/>
                <w:szCs w:val="21"/>
                <w:lang w:eastAsia="zh-CN"/>
              </w:rPr>
              <w:t>土地使用权面积</w:t>
            </w:r>
          </w:p>
        </w:tc>
        <w:tc>
          <w:tcPr>
            <w:tcW w:w="251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cs="宋体"/>
                <w:szCs w:val="21"/>
                <w:lang w:val="en-US" w:eastAsia="zh-CN"/>
              </w:rPr>
            </w:pPr>
            <w:r>
              <w:rPr>
                <w:rFonts w:hint="eastAsia" w:ascii="宋体" w:hAnsi="宋体" w:cs="宋体"/>
                <w:szCs w:val="21"/>
                <w:lang w:val="en-US" w:eastAsia="zh-CN"/>
              </w:rPr>
              <w:t>3.20</w:t>
            </w:r>
            <w:r>
              <w:rPr>
                <w:rFonts w:hint="eastAsia" w:ascii="宋体" w:hAnsi="宋体" w:cs="宋体"/>
                <w:szCs w:val="21"/>
                <w:lang w:eastAsia="zh-CN"/>
              </w:rPr>
              <w:t>m</w:t>
            </w:r>
            <w:r>
              <w:rPr>
                <w:rFonts w:hint="eastAsia" w:ascii="宋体" w:hAnsi="宋体" w:cs="宋体"/>
                <w:szCs w:val="21"/>
                <w:vertAlign w:val="superscript"/>
              </w:rPr>
              <w:t>2</w:t>
            </w:r>
          </w:p>
        </w:tc>
        <w:tc>
          <w:tcPr>
            <w:tcW w:w="16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kern w:val="2"/>
                <w:sz w:val="21"/>
                <w:szCs w:val="21"/>
                <w:vertAlign w:val="baseline"/>
                <w:lang w:val="en-US" w:eastAsia="zh-CN" w:bidi="ar-SA"/>
              </w:rPr>
            </w:pPr>
            <w:r>
              <w:rPr>
                <w:rFonts w:hint="eastAsia" w:ascii="宋体" w:hAnsi="宋体" w:cs="宋体"/>
                <w:b/>
                <w:bCs/>
                <w:color w:val="auto"/>
                <w:sz w:val="21"/>
                <w:szCs w:val="21"/>
                <w:lang w:eastAsia="zh-CN"/>
              </w:rPr>
              <w:t>使用权类型</w:t>
            </w:r>
          </w:p>
        </w:tc>
        <w:tc>
          <w:tcPr>
            <w:tcW w:w="27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s="宋体"/>
                <w:szCs w:val="21"/>
                <w:lang w:eastAsia="zh-CN"/>
              </w:rPr>
            </w:pPr>
            <w:r>
              <w:rPr>
                <w:rFonts w:hint="eastAsia" w:ascii="宋体" w:hAnsi="宋体" w:cs="宋体"/>
                <w:szCs w:val="21"/>
                <w:lang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p>
        </w:tc>
        <w:tc>
          <w:tcPr>
            <w:tcW w:w="182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bCs/>
                <w:color w:val="auto"/>
                <w:kern w:val="2"/>
                <w:sz w:val="21"/>
                <w:szCs w:val="21"/>
                <w:vertAlign w:val="baseline"/>
                <w:lang w:val="en-US" w:eastAsia="zh-CN" w:bidi="ar-SA"/>
              </w:rPr>
            </w:pPr>
            <w:r>
              <w:rPr>
                <w:rFonts w:hint="eastAsia" w:ascii="宋体" w:hAnsi="宋体" w:cs="宋体"/>
                <w:b/>
                <w:bCs/>
                <w:color w:val="auto"/>
                <w:sz w:val="21"/>
                <w:szCs w:val="21"/>
                <w:lang w:eastAsia="zh-CN"/>
              </w:rPr>
              <w:t>地类（用途）</w:t>
            </w:r>
          </w:p>
        </w:tc>
        <w:tc>
          <w:tcPr>
            <w:tcW w:w="251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住宅</w:t>
            </w:r>
          </w:p>
        </w:tc>
        <w:tc>
          <w:tcPr>
            <w:tcW w:w="16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kern w:val="2"/>
                <w:sz w:val="21"/>
                <w:szCs w:val="21"/>
                <w:vertAlign w:val="baseline"/>
                <w:lang w:val="en-US" w:eastAsia="zh-CN" w:bidi="ar-SA"/>
              </w:rPr>
            </w:pPr>
            <w:r>
              <w:rPr>
                <w:rFonts w:hint="eastAsia" w:ascii="宋体" w:hAnsi="宋体" w:cs="宋体"/>
                <w:b/>
                <w:bCs/>
                <w:color w:val="auto"/>
                <w:sz w:val="21"/>
                <w:szCs w:val="21"/>
                <w:lang w:eastAsia="zh-CN"/>
              </w:rPr>
              <w:t>终止日期</w:t>
            </w:r>
          </w:p>
        </w:tc>
        <w:tc>
          <w:tcPr>
            <w:tcW w:w="27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2075年7月20日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Cs w:val="21"/>
                <w:lang w:eastAsia="zh-CN"/>
              </w:rPr>
            </w:pPr>
            <w:r>
              <w:rPr>
                <w:rFonts w:hint="eastAsia" w:ascii="宋体" w:hAnsi="宋体" w:cs="宋体"/>
                <w:b/>
                <w:bCs/>
                <w:szCs w:val="21"/>
                <w:lang w:eastAsia="zh-CN"/>
              </w:rPr>
              <w:t>建筑物状况</w:t>
            </w:r>
          </w:p>
        </w:tc>
        <w:tc>
          <w:tcPr>
            <w:tcW w:w="1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Cs w:val="21"/>
              </w:rPr>
            </w:pPr>
            <w:r>
              <w:rPr>
                <w:rFonts w:hint="eastAsia" w:ascii="宋体" w:hAnsi="宋体" w:cs="宋体"/>
                <w:b/>
                <w:bCs/>
                <w:color w:val="auto"/>
                <w:sz w:val="21"/>
                <w:szCs w:val="21"/>
                <w:lang w:eastAsia="zh-CN"/>
              </w:rPr>
              <w:t>建筑结构</w:t>
            </w:r>
          </w:p>
        </w:tc>
        <w:tc>
          <w:tcPr>
            <w:tcW w:w="251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b/>
                <w:bCs/>
                <w:szCs w:val="21"/>
                <w:vertAlign w:val="baseline"/>
                <w:lang w:val="en-US" w:eastAsia="zh-CN"/>
              </w:rPr>
            </w:pPr>
            <w:r>
              <w:rPr>
                <w:rFonts w:hint="eastAsia" w:ascii="宋体" w:hAnsi="宋体" w:cs="宋体"/>
                <w:b w:val="0"/>
                <w:bCs w:val="0"/>
                <w:szCs w:val="21"/>
                <w:vertAlign w:val="baseline"/>
                <w:lang w:val="en-US" w:eastAsia="zh-CN"/>
              </w:rPr>
              <w:t>钢混</w:t>
            </w:r>
          </w:p>
        </w:tc>
        <w:tc>
          <w:tcPr>
            <w:tcW w:w="16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Cs w:val="21"/>
              </w:rPr>
            </w:pPr>
            <w:r>
              <w:rPr>
                <w:rFonts w:hint="eastAsia" w:ascii="宋体" w:hAnsi="宋体" w:cs="宋体"/>
                <w:b/>
                <w:bCs/>
                <w:color w:val="auto"/>
                <w:sz w:val="21"/>
                <w:szCs w:val="21"/>
                <w:lang w:eastAsia="zh-CN"/>
              </w:rPr>
              <w:t>规划用途</w:t>
            </w:r>
          </w:p>
        </w:tc>
        <w:tc>
          <w:tcPr>
            <w:tcW w:w="27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Cs w:val="21"/>
                <w:lang w:eastAsia="zh-CN"/>
              </w:rPr>
            </w:pPr>
            <w:r>
              <w:rPr>
                <w:rFonts w:hint="eastAsia" w:ascii="宋体" w:hAnsi="宋体" w:cs="宋体"/>
                <w:szCs w:val="21"/>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lang w:eastAsia="zh-CN"/>
              </w:rPr>
            </w:pPr>
          </w:p>
        </w:tc>
        <w:tc>
          <w:tcPr>
            <w:tcW w:w="1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层次/总层数</w:t>
            </w:r>
          </w:p>
        </w:tc>
        <w:tc>
          <w:tcPr>
            <w:tcW w:w="251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b w:val="0"/>
                <w:bCs w:val="0"/>
                <w:szCs w:val="21"/>
                <w:vertAlign w:val="baseline"/>
                <w:lang w:val="en-US" w:eastAsia="zh-CN"/>
              </w:rPr>
            </w:pPr>
            <w:r>
              <w:rPr>
                <w:rFonts w:hint="eastAsia" w:ascii="宋体" w:hAnsi="宋体" w:cs="宋体"/>
                <w:b w:val="0"/>
                <w:bCs w:val="0"/>
                <w:szCs w:val="21"/>
                <w:vertAlign w:val="baseline"/>
                <w:lang w:val="en-US" w:eastAsia="zh-CN"/>
              </w:rPr>
              <w:t>7/8</w:t>
            </w:r>
          </w:p>
        </w:tc>
        <w:tc>
          <w:tcPr>
            <w:tcW w:w="16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color w:val="auto"/>
                <w:sz w:val="21"/>
                <w:szCs w:val="21"/>
                <w:lang w:eastAsia="zh-CN"/>
              </w:rPr>
            </w:pPr>
            <w:r>
              <w:rPr>
                <w:rFonts w:hint="eastAsia" w:ascii="宋体" w:hAnsi="宋体" w:cs="宋体"/>
                <w:b/>
                <w:bCs/>
                <w:color w:val="auto"/>
                <w:sz w:val="21"/>
                <w:szCs w:val="21"/>
                <w:lang w:eastAsia="zh-CN"/>
              </w:rPr>
              <w:t>房屋性质</w:t>
            </w:r>
          </w:p>
        </w:tc>
        <w:tc>
          <w:tcPr>
            <w:tcW w:w="27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szCs w:val="21"/>
                <w:lang w:val="en-US" w:eastAsia="zh-CN"/>
              </w:rPr>
            </w:pPr>
            <w:r>
              <w:rPr>
                <w:rFonts w:hint="eastAsia" w:ascii="宋体" w:hAnsi="宋体" w:cs="宋体"/>
                <w:szCs w:val="21"/>
                <w:lang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p>
        </w:tc>
        <w:tc>
          <w:tcPr>
            <w:tcW w:w="1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szCs w:val="21"/>
              </w:rPr>
            </w:pPr>
            <w:r>
              <w:rPr>
                <w:rFonts w:hint="eastAsia" w:ascii="宋体" w:hAnsi="宋体" w:cs="宋体"/>
                <w:b/>
                <w:bCs/>
                <w:color w:val="auto"/>
                <w:sz w:val="21"/>
                <w:szCs w:val="21"/>
                <w:lang w:eastAsia="zh-CN"/>
              </w:rPr>
              <w:t>建筑面积</w:t>
            </w:r>
          </w:p>
        </w:tc>
        <w:tc>
          <w:tcPr>
            <w:tcW w:w="251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Cs w:val="21"/>
                <w:vertAlign w:val="baseline"/>
                <w:lang w:val="en-US" w:eastAsia="zh-CN"/>
              </w:rPr>
            </w:pPr>
            <w:r>
              <w:rPr>
                <w:rFonts w:hint="eastAsia" w:ascii="宋体" w:hAnsi="宋体" w:cs="宋体"/>
                <w:color w:val="auto"/>
                <w:szCs w:val="21"/>
                <w:lang w:val="en-US" w:eastAsia="zh-CN"/>
              </w:rPr>
              <w:t>32.29</w:t>
            </w:r>
            <w:r>
              <w:rPr>
                <w:rFonts w:hint="eastAsia" w:ascii="宋体" w:hAnsi="宋体" w:cs="宋体"/>
                <w:color w:val="auto"/>
                <w:szCs w:val="21"/>
              </w:rPr>
              <w:t>m</w:t>
            </w:r>
            <w:r>
              <w:rPr>
                <w:rFonts w:hint="eastAsia" w:ascii="宋体" w:hAnsi="宋体" w:cs="宋体"/>
                <w:color w:val="auto"/>
                <w:szCs w:val="21"/>
                <w:vertAlign w:val="superscript"/>
              </w:rPr>
              <w:t>2</w:t>
            </w:r>
          </w:p>
        </w:tc>
        <w:tc>
          <w:tcPr>
            <w:tcW w:w="16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1"/>
                <w:szCs w:val="21"/>
                <w:lang w:val="en-US" w:eastAsia="zh-CN"/>
              </w:rPr>
            </w:pPr>
            <w:r>
              <w:rPr>
                <w:rFonts w:hint="eastAsia" w:ascii="宋体" w:hAnsi="宋体" w:cs="宋体"/>
                <w:b/>
                <w:bCs/>
                <w:color w:val="auto"/>
                <w:sz w:val="21"/>
                <w:szCs w:val="21"/>
                <w:lang w:eastAsia="zh-CN"/>
              </w:rPr>
              <w:t>其中分摊面积</w:t>
            </w:r>
          </w:p>
        </w:tc>
        <w:tc>
          <w:tcPr>
            <w:tcW w:w="27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4.65</w:t>
            </w:r>
            <w:r>
              <w:rPr>
                <w:rFonts w:hint="eastAsia" w:ascii="宋体" w:hAnsi="宋体" w:eastAsia="宋体" w:cs="宋体"/>
                <w:sz w:val="21"/>
                <w:szCs w:val="21"/>
              </w:rPr>
              <w:t>m</w:t>
            </w:r>
            <w:r>
              <w:rPr>
                <w:rFonts w:hint="eastAsia" w:ascii="宋体" w:hAnsi="宋体" w:eastAsia="宋体" w:cs="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p>
        </w:tc>
        <w:tc>
          <w:tcPr>
            <w:tcW w:w="1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kern w:val="2"/>
                <w:sz w:val="21"/>
                <w:szCs w:val="21"/>
                <w:lang w:val="en-US" w:eastAsia="zh-CN" w:bidi="ar-SA"/>
              </w:rPr>
            </w:pPr>
            <w:r>
              <w:rPr>
                <w:rFonts w:hint="eastAsia" w:ascii="宋体" w:hAnsi="宋体" w:cs="宋体"/>
                <w:b/>
                <w:bCs/>
                <w:color w:val="auto"/>
                <w:sz w:val="21"/>
                <w:szCs w:val="21"/>
                <w:lang w:eastAsia="zh-CN"/>
              </w:rPr>
              <w:t>建成时间</w:t>
            </w:r>
          </w:p>
        </w:tc>
        <w:tc>
          <w:tcPr>
            <w:tcW w:w="251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b/>
                <w:bCs/>
                <w:kern w:val="2"/>
                <w:sz w:val="21"/>
                <w:szCs w:val="21"/>
                <w:lang w:val="en-US" w:eastAsia="zh-CN" w:bidi="ar-SA"/>
              </w:rPr>
            </w:pPr>
            <w:r>
              <w:rPr>
                <w:rFonts w:hint="eastAsia" w:ascii="宋体" w:hAnsi="宋体" w:cs="宋体"/>
                <w:color w:val="auto"/>
                <w:sz w:val="21"/>
                <w:szCs w:val="21"/>
                <w:vertAlign w:val="baseline"/>
                <w:lang w:val="en-US" w:eastAsia="zh-CN"/>
              </w:rPr>
              <w:t>约2005年</w:t>
            </w:r>
          </w:p>
        </w:tc>
        <w:tc>
          <w:tcPr>
            <w:tcW w:w="16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
                <w:bCs/>
                <w:kern w:val="2"/>
                <w:sz w:val="21"/>
                <w:szCs w:val="21"/>
                <w:lang w:val="en-US" w:eastAsia="zh-CN" w:bidi="ar-SA"/>
              </w:rPr>
            </w:pPr>
            <w:r>
              <w:rPr>
                <w:rFonts w:hint="eastAsia" w:ascii="宋体" w:hAnsi="宋体" w:cs="宋体"/>
                <w:b/>
                <w:bCs/>
                <w:color w:val="auto"/>
                <w:sz w:val="21"/>
                <w:szCs w:val="21"/>
                <w:lang w:eastAsia="zh-CN"/>
              </w:rPr>
              <w:t>租赁情况</w:t>
            </w:r>
          </w:p>
        </w:tc>
        <w:tc>
          <w:tcPr>
            <w:tcW w:w="27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cs="宋体"/>
                <w:szCs w:val="21"/>
              </w:rPr>
              <w:t>租赁</w:t>
            </w:r>
            <w:r>
              <w:rPr>
                <w:rFonts w:hint="eastAsia" w:ascii="宋体" w:hAnsi="宋体" w:cs="宋体"/>
                <w:szCs w:val="21"/>
                <w:lang w:val="en-US"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p>
        </w:tc>
        <w:tc>
          <w:tcPr>
            <w:tcW w:w="18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Cs w:val="21"/>
                <w:lang w:eastAsia="zh-CN"/>
              </w:rPr>
            </w:pPr>
            <w:r>
              <w:rPr>
                <w:rFonts w:hint="eastAsia" w:ascii="宋体" w:hAnsi="宋体" w:cs="宋体"/>
                <w:b/>
                <w:bCs/>
                <w:szCs w:val="21"/>
                <w:lang w:eastAsia="zh-CN"/>
              </w:rPr>
              <w:t>共有情况</w:t>
            </w:r>
          </w:p>
        </w:tc>
        <w:tc>
          <w:tcPr>
            <w:tcW w:w="6925"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r>
              <w:rPr>
                <w:rFonts w:hint="eastAsia" w:ascii="宋体" w:hAnsi="宋体" w:cs="宋体"/>
                <w:b/>
                <w:bCs/>
                <w:szCs w:val="21"/>
              </w:rPr>
              <w:t>估价结果</w:t>
            </w:r>
          </w:p>
        </w:tc>
        <w:tc>
          <w:tcPr>
            <w:tcW w:w="18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Cs w:val="21"/>
              </w:rPr>
            </w:pPr>
            <w:r>
              <w:rPr>
                <w:rFonts w:hint="eastAsia" w:ascii="宋体" w:hAnsi="宋体" w:cs="宋体"/>
                <w:b/>
                <w:bCs/>
                <w:sz w:val="21"/>
                <w:szCs w:val="21"/>
                <w:lang w:val="en-US" w:eastAsia="zh-CN"/>
              </w:rPr>
              <w:t>市场价值</w:t>
            </w:r>
          </w:p>
        </w:tc>
        <w:tc>
          <w:tcPr>
            <w:tcW w:w="19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Cs w:val="21"/>
              </w:rPr>
            </w:pPr>
            <w:r>
              <w:rPr>
                <w:rFonts w:hint="eastAsia" w:ascii="宋体" w:hAnsi="宋体" w:cs="宋体"/>
                <w:b/>
                <w:bCs/>
                <w:color w:val="auto"/>
                <w:sz w:val="21"/>
                <w:szCs w:val="21"/>
                <w:vertAlign w:val="baseline"/>
                <w:lang w:eastAsia="zh-CN"/>
              </w:rPr>
              <w:t>单价</w:t>
            </w:r>
          </w:p>
        </w:tc>
        <w:tc>
          <w:tcPr>
            <w:tcW w:w="499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szCs w:val="21"/>
                <w:vertAlign w:val="baseline"/>
                <w:lang w:val="en-US" w:eastAsia="zh-CN"/>
              </w:rPr>
            </w:pPr>
            <w:r>
              <w:rPr>
                <w:rFonts w:hint="eastAsia" w:ascii="宋体" w:hAnsi="宋体" w:cs="宋体"/>
                <w:color w:val="auto"/>
                <w:szCs w:val="21"/>
                <w:lang w:val="en-US" w:eastAsia="zh-CN"/>
              </w:rPr>
              <w:t>5757</w:t>
            </w:r>
            <w:r>
              <w:rPr>
                <w:rFonts w:hint="eastAsia" w:ascii="宋体" w:hAnsi="宋体" w:cs="宋体"/>
                <w:color w:val="000000"/>
                <w:szCs w:val="21"/>
              </w:rPr>
              <w:t>元/m</w:t>
            </w:r>
            <w:r>
              <w:rPr>
                <w:rFonts w:hint="eastAsia" w:ascii="宋体" w:hAnsi="宋体" w:cs="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p>
        </w:tc>
        <w:tc>
          <w:tcPr>
            <w:tcW w:w="18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Cs w:val="21"/>
              </w:rPr>
            </w:pPr>
          </w:p>
        </w:tc>
        <w:tc>
          <w:tcPr>
            <w:tcW w:w="19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Cs w:val="21"/>
                <w:lang w:val="en-US" w:eastAsia="zh-CN"/>
              </w:rPr>
            </w:pPr>
            <w:r>
              <w:rPr>
                <w:rFonts w:hint="eastAsia" w:ascii="宋体" w:hAnsi="宋体" w:cs="宋体"/>
                <w:b/>
                <w:bCs/>
                <w:color w:val="auto"/>
                <w:sz w:val="21"/>
                <w:szCs w:val="21"/>
                <w:vertAlign w:val="baseline"/>
                <w:lang w:val="en-US" w:eastAsia="zh-CN"/>
              </w:rPr>
              <w:t>总价</w:t>
            </w:r>
          </w:p>
        </w:tc>
        <w:tc>
          <w:tcPr>
            <w:tcW w:w="4995" w:type="dxa"/>
            <w:gridSpan w:val="7"/>
            <w:noWrap w:val="0"/>
            <w:vAlign w:val="center"/>
          </w:tcPr>
          <w:p>
            <w:pPr>
              <w:jc w:val="left"/>
              <w:rPr>
                <w:rFonts w:hint="eastAsia" w:ascii="宋体" w:hAnsi="宋体" w:cs="宋体"/>
                <w:color w:val="000000"/>
                <w:szCs w:val="21"/>
              </w:rPr>
            </w:pPr>
            <w:r>
              <w:rPr>
                <w:rFonts w:hint="eastAsia" w:ascii="宋体" w:hAnsi="宋体" w:cs="宋体"/>
                <w:color w:val="auto"/>
                <w:szCs w:val="21"/>
                <w:lang w:val="en-US" w:eastAsia="zh-CN"/>
              </w:rPr>
              <w:t>18.59</w:t>
            </w:r>
            <w:r>
              <w:rPr>
                <w:rFonts w:hint="eastAsia" w:ascii="宋体" w:hAnsi="宋体" w:cs="宋体"/>
                <w:color w:val="000000"/>
                <w:szCs w:val="21"/>
                <w:lang w:val="en-US" w:eastAsia="zh-CN"/>
              </w:rPr>
              <w:t>万元</w:t>
            </w:r>
            <w:r>
              <w:rPr>
                <w:rFonts w:hint="eastAsia" w:ascii="宋体" w:hAnsi="宋体" w:cs="宋体"/>
                <w:color w:val="000000"/>
                <w:szCs w:val="21"/>
              </w:rPr>
              <w:t>（人民币</w:t>
            </w:r>
            <w:r>
              <w:rPr>
                <w:rFonts w:hint="eastAsia" w:ascii="宋体" w:hAnsi="宋体" w:cs="宋体"/>
                <w:color w:val="000000"/>
                <w:szCs w:val="21"/>
                <w:lang w:eastAsia="zh-CN"/>
              </w:rPr>
              <w:t>壹拾捌万伍仟玖佰元</w:t>
            </w:r>
            <w:r>
              <w:rPr>
                <w:rFonts w:hint="eastAsia" w:ascii="宋体" w:hAnsi="宋体" w:cs="宋体"/>
                <w:color w:val="000000"/>
                <w:szCs w:val="21"/>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2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p>
        </w:tc>
        <w:tc>
          <w:tcPr>
            <w:tcW w:w="18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szCs w:val="21"/>
              </w:rPr>
            </w:pPr>
            <w:r>
              <w:rPr>
                <w:rFonts w:hint="eastAsia" w:ascii="宋体" w:hAnsi="宋体" w:eastAsia="宋体" w:cs="宋体"/>
                <w:b/>
                <w:bCs/>
                <w:spacing w:val="-6"/>
                <w:sz w:val="21"/>
                <w:szCs w:val="21"/>
              </w:rPr>
              <w:t>原房屋所有权人应承担的各项税费</w:t>
            </w:r>
          </w:p>
        </w:tc>
        <w:tc>
          <w:tcPr>
            <w:tcW w:w="19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kern w:val="2"/>
                <w:sz w:val="21"/>
                <w:szCs w:val="21"/>
                <w:vertAlign w:val="baseline"/>
                <w:lang w:val="en-US" w:eastAsia="zh-CN" w:bidi="ar-SA"/>
              </w:rPr>
            </w:pPr>
            <w:r>
              <w:rPr>
                <w:rFonts w:hint="eastAsia" w:ascii="宋体" w:hAnsi="宋体" w:eastAsia="宋体" w:cs="宋体"/>
                <w:b/>
                <w:bCs/>
                <w:color w:val="auto"/>
                <w:sz w:val="21"/>
                <w:szCs w:val="21"/>
                <w:vertAlign w:val="baseline"/>
                <w:lang w:eastAsia="zh-CN"/>
              </w:rPr>
              <w:t>合计</w:t>
            </w:r>
          </w:p>
        </w:tc>
        <w:tc>
          <w:tcPr>
            <w:tcW w:w="499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2"/>
                <w:sz w:val="21"/>
                <w:szCs w:val="21"/>
                <w:vertAlign w:val="baseline"/>
                <w:lang w:val="en-US" w:eastAsia="zh-CN" w:bidi="ar-SA"/>
              </w:rPr>
            </w:pPr>
            <w:r>
              <w:rPr>
                <w:rFonts w:hint="eastAsia" w:ascii="宋体" w:hAnsi="宋体" w:cs="宋体"/>
                <w:b w:val="0"/>
                <w:bCs w:val="0"/>
                <w:color w:val="000000"/>
                <w:sz w:val="21"/>
                <w:szCs w:val="21"/>
                <w:vertAlign w:val="baseline"/>
                <w:lang w:val="en-US" w:eastAsia="zh-CN"/>
              </w:rPr>
              <w:t>0.57万元（人民币伍仟柒佰元整）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p>
        </w:tc>
        <w:tc>
          <w:tcPr>
            <w:tcW w:w="18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Cs w:val="21"/>
                <w:lang w:eastAsia="zh-CN"/>
              </w:rPr>
            </w:pPr>
            <w:r>
              <w:rPr>
                <w:rFonts w:hint="eastAsia" w:ascii="宋体" w:hAnsi="宋体" w:cs="宋体"/>
                <w:b/>
                <w:bCs/>
                <w:sz w:val="21"/>
                <w:szCs w:val="21"/>
                <w:lang w:eastAsia="zh-CN"/>
              </w:rPr>
              <w:t>处置</w:t>
            </w:r>
            <w:r>
              <w:rPr>
                <w:rFonts w:hint="eastAsia" w:ascii="宋体" w:hAnsi="宋体" w:cs="宋体"/>
                <w:b/>
                <w:bCs/>
                <w:sz w:val="21"/>
                <w:szCs w:val="21"/>
              </w:rPr>
              <w:t>参考价值</w:t>
            </w:r>
          </w:p>
        </w:tc>
        <w:tc>
          <w:tcPr>
            <w:tcW w:w="19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Cs w:val="21"/>
              </w:rPr>
            </w:pPr>
            <w:r>
              <w:rPr>
                <w:rFonts w:hint="eastAsia" w:ascii="宋体" w:hAnsi="宋体" w:cs="宋体"/>
                <w:b/>
                <w:bCs/>
                <w:color w:val="auto"/>
                <w:sz w:val="21"/>
                <w:szCs w:val="21"/>
                <w:vertAlign w:val="baseline"/>
                <w:lang w:eastAsia="zh-CN"/>
              </w:rPr>
              <w:t>单价</w:t>
            </w:r>
          </w:p>
        </w:tc>
        <w:tc>
          <w:tcPr>
            <w:tcW w:w="499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cs="宋体"/>
                <w:color w:val="000000"/>
                <w:szCs w:val="21"/>
                <w:lang w:val="en-US"/>
              </w:rPr>
            </w:pPr>
            <w:r>
              <w:rPr>
                <w:rFonts w:hint="eastAsia" w:ascii="宋体" w:hAnsi="宋体" w:cs="宋体"/>
                <w:color w:val="000000"/>
                <w:szCs w:val="21"/>
                <w:lang w:val="en-US" w:eastAsia="zh-CN"/>
              </w:rPr>
              <w:t>5581</w:t>
            </w:r>
            <w:r>
              <w:rPr>
                <w:rFonts w:hint="eastAsia" w:ascii="宋体" w:hAnsi="宋体" w:cs="宋体"/>
                <w:color w:val="000000"/>
                <w:szCs w:val="21"/>
              </w:rPr>
              <w:t>元/m</w:t>
            </w:r>
            <w:r>
              <w:rPr>
                <w:rFonts w:hint="eastAsia" w:ascii="宋体" w:hAnsi="宋体" w:cs="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p>
        </w:tc>
        <w:tc>
          <w:tcPr>
            <w:tcW w:w="182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b/>
                <w:bCs/>
                <w:szCs w:val="21"/>
              </w:rPr>
            </w:pPr>
          </w:p>
        </w:tc>
        <w:tc>
          <w:tcPr>
            <w:tcW w:w="19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Cs w:val="21"/>
              </w:rPr>
            </w:pPr>
            <w:r>
              <w:rPr>
                <w:rFonts w:hint="eastAsia" w:ascii="宋体" w:hAnsi="宋体" w:cs="宋体"/>
                <w:b/>
                <w:bCs/>
                <w:color w:val="auto"/>
                <w:sz w:val="21"/>
                <w:szCs w:val="21"/>
                <w:vertAlign w:val="baseline"/>
                <w:lang w:val="en-US" w:eastAsia="zh-CN"/>
              </w:rPr>
              <w:t>总价</w:t>
            </w:r>
          </w:p>
        </w:tc>
        <w:tc>
          <w:tcPr>
            <w:tcW w:w="4995" w:type="dxa"/>
            <w:gridSpan w:val="7"/>
            <w:noWrap w:val="0"/>
            <w:vAlign w:val="center"/>
          </w:tcPr>
          <w:p>
            <w:pPr>
              <w:spacing w:line="340" w:lineRule="exact"/>
              <w:jc w:val="left"/>
              <w:rPr>
                <w:rFonts w:hint="eastAsia" w:ascii="宋体" w:hAnsi="宋体" w:cs="宋体"/>
                <w:color w:val="000000"/>
                <w:szCs w:val="21"/>
              </w:rPr>
            </w:pPr>
            <w:r>
              <w:rPr>
                <w:rFonts w:hint="eastAsia" w:ascii="宋体" w:hAnsi="宋体" w:cs="宋体"/>
                <w:color w:val="000000"/>
                <w:szCs w:val="21"/>
                <w:lang w:val="en-US" w:eastAsia="zh-CN"/>
              </w:rPr>
              <w:t>18.02万元</w:t>
            </w:r>
            <w:r>
              <w:rPr>
                <w:rFonts w:hint="eastAsia" w:ascii="宋体" w:hAnsi="宋体" w:cs="宋体"/>
                <w:color w:val="000000"/>
                <w:szCs w:val="21"/>
              </w:rPr>
              <w:t>（人民币</w:t>
            </w:r>
            <w:r>
              <w:rPr>
                <w:rFonts w:hint="eastAsia" w:ascii="宋体" w:hAnsi="宋体" w:cs="宋体"/>
                <w:color w:val="000000"/>
                <w:szCs w:val="21"/>
                <w:lang w:eastAsia="zh-CN"/>
              </w:rPr>
              <w:t>壹拾捌万零贰佰</w:t>
            </w:r>
            <w:r>
              <w:rPr>
                <w:rFonts w:hint="eastAsia" w:ascii="宋体" w:hAnsi="宋体" w:cs="宋体"/>
                <w:color w:val="000000"/>
                <w:szCs w:val="21"/>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lang w:val="en-US" w:eastAsia="zh-CN"/>
              </w:rPr>
            </w:pPr>
            <w:r>
              <w:rPr>
                <w:rFonts w:hint="eastAsia" w:ascii="宋体" w:hAnsi="宋体" w:cs="宋体"/>
                <w:b/>
                <w:bCs/>
                <w:szCs w:val="21"/>
                <w:lang w:val="en-US" w:eastAsia="zh-CN"/>
              </w:rPr>
              <w:t>特别事项</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Cs w:val="21"/>
              </w:rPr>
            </w:pPr>
            <w:r>
              <w:rPr>
                <w:rFonts w:hint="eastAsia" w:ascii="宋体" w:hAnsi="宋体" w:cs="宋体"/>
                <w:b/>
                <w:bCs/>
                <w:szCs w:val="21"/>
                <w:lang w:val="en-US" w:eastAsia="zh-CN"/>
              </w:rPr>
              <w:t>说明</w:t>
            </w:r>
          </w:p>
        </w:tc>
        <w:tc>
          <w:tcPr>
            <w:tcW w:w="8748"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szCs w:val="21"/>
                <w:lang w:val="en-US" w:eastAsia="zh-CN"/>
              </w:rPr>
            </w:pPr>
            <w:r>
              <w:rPr>
                <w:rFonts w:hint="eastAsia" w:ascii="宋体" w:hAnsi="宋体" w:cs="宋体"/>
                <w:szCs w:val="21"/>
                <w:lang w:val="en-US" w:eastAsia="zh-CN"/>
              </w:rPr>
              <w:t>门牌号为706室</w:t>
            </w:r>
          </w:p>
        </w:tc>
      </w:tr>
    </w:tbl>
    <w:p>
      <w:pPr>
        <w:ind w:firstLine="105" w:firstLineChars="50"/>
        <w:jc w:val="right"/>
        <w:rPr>
          <w:rFonts w:hint="eastAsia" w:ascii="宋体" w:hAnsi="宋体" w:cs="宋体"/>
          <w:szCs w:val="21"/>
        </w:rPr>
      </w:pPr>
    </w:p>
    <w:p>
      <w:pPr>
        <w:ind w:firstLine="105" w:firstLineChars="50"/>
        <w:jc w:val="right"/>
        <w:rPr>
          <w:rFonts w:hint="eastAsia" w:ascii="宋体" w:hAnsi="宋体" w:cs="宋体"/>
          <w:szCs w:val="21"/>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600" w:lineRule="auto"/>
        <w:jc w:val="center"/>
        <w:rPr>
          <w:rFonts w:hint="eastAsia" w:ascii="宋体" w:hAnsi="宋体" w:cs="宋体"/>
          <w:b/>
          <w:sz w:val="32"/>
          <w:szCs w:val="32"/>
        </w:rPr>
      </w:pPr>
      <w:r>
        <w:rPr>
          <w:rFonts w:hint="eastAsia" w:ascii="宋体" w:hAnsi="宋体" w:cs="宋体"/>
          <w:b/>
          <w:sz w:val="32"/>
          <w:szCs w:val="32"/>
        </w:rPr>
        <w:t>致估价委托人函</w:t>
      </w:r>
    </w:p>
    <w:p>
      <w:pPr>
        <w:spacing w:line="400" w:lineRule="exact"/>
        <w:rPr>
          <w:rFonts w:hint="eastAsia" w:ascii="宋体" w:hAnsi="宋体" w:cs="宋体"/>
          <w:b/>
          <w:sz w:val="28"/>
          <w:szCs w:val="28"/>
        </w:rPr>
      </w:pPr>
      <w:r>
        <w:rPr>
          <w:rFonts w:hint="eastAsia" w:ascii="宋体" w:hAnsi="宋体" w:cs="宋体"/>
          <w:b/>
          <w:sz w:val="28"/>
          <w:szCs w:val="28"/>
          <w:lang w:eastAsia="zh-CN"/>
        </w:rPr>
        <w:t>龙岩市永定区人民法院</w:t>
      </w:r>
      <w:r>
        <w:rPr>
          <w:rFonts w:hint="eastAsia" w:ascii="宋体" w:hAnsi="宋体" w:cs="宋体"/>
          <w:b/>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受贵院委托，本估价机构委派注册房地产估价师</w:t>
      </w:r>
      <w:r>
        <w:rPr>
          <w:rFonts w:hint="eastAsia" w:ascii="宋体" w:hAnsi="宋体" w:cs="宋体"/>
          <w:sz w:val="24"/>
          <w:szCs w:val="24"/>
          <w:lang w:eastAsia="zh-CN"/>
        </w:rPr>
        <w:t>倪灵燕</w:t>
      </w:r>
      <w:r>
        <w:rPr>
          <w:rFonts w:hint="eastAsia" w:ascii="宋体" w:hAnsi="宋体" w:cs="宋体"/>
          <w:sz w:val="24"/>
          <w:szCs w:val="24"/>
        </w:rPr>
        <w:t>（注册号：</w:t>
      </w:r>
      <w:r>
        <w:rPr>
          <w:rFonts w:hint="eastAsia" w:ascii="宋体" w:hAnsi="宋体" w:cs="宋体"/>
          <w:sz w:val="24"/>
          <w:szCs w:val="24"/>
          <w:lang w:eastAsia="zh-CN"/>
        </w:rPr>
        <w:t>3520150012</w:t>
      </w:r>
      <w:r>
        <w:rPr>
          <w:rFonts w:hint="eastAsia" w:ascii="宋体" w:hAnsi="宋体" w:cs="宋体"/>
          <w:sz w:val="24"/>
          <w:szCs w:val="24"/>
        </w:rPr>
        <w:t>）、</w:t>
      </w:r>
      <w:r>
        <w:rPr>
          <w:rFonts w:hint="eastAsia" w:ascii="宋体" w:hAnsi="宋体" w:cs="宋体"/>
          <w:sz w:val="24"/>
          <w:szCs w:val="24"/>
          <w:lang w:eastAsia="zh-CN"/>
        </w:rPr>
        <w:t>韩新华</w:t>
      </w:r>
      <w:r>
        <w:rPr>
          <w:rFonts w:hint="eastAsia" w:ascii="宋体" w:hAnsi="宋体" w:cs="宋体"/>
          <w:sz w:val="24"/>
          <w:szCs w:val="24"/>
        </w:rPr>
        <w:t>（注册号：</w:t>
      </w:r>
      <w:r>
        <w:rPr>
          <w:rFonts w:hint="eastAsia" w:ascii="宋体" w:hAnsi="宋体" w:cs="宋体"/>
          <w:sz w:val="24"/>
          <w:szCs w:val="24"/>
          <w:lang w:val="en-US" w:eastAsia="zh-CN"/>
        </w:rPr>
        <w:t>3520120002</w:t>
      </w:r>
      <w:r>
        <w:rPr>
          <w:rFonts w:hint="eastAsia" w:ascii="宋体" w:hAnsi="宋体" w:cs="宋体"/>
          <w:sz w:val="24"/>
          <w:szCs w:val="24"/>
        </w:rPr>
        <w:t>）对估价对象进行了估价，有关内容报告如下：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估价目的：</w:t>
      </w:r>
      <w:r>
        <w:rPr>
          <w:rFonts w:hint="eastAsia" w:ascii="宋体" w:hAnsi="宋体" w:cs="宋体"/>
          <w:sz w:val="24"/>
          <w:szCs w:val="24"/>
          <w:lang w:eastAsia="zh-CN"/>
        </w:rPr>
        <w:t>为人民法院确定财产处置参考价提供参考依据</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cs="宋体"/>
          <w:spacing w:val="-2"/>
          <w:sz w:val="24"/>
          <w:szCs w:val="24"/>
          <w:lang w:eastAsia="zh-CN"/>
        </w:rPr>
      </w:pPr>
      <w:r>
        <w:rPr>
          <w:rFonts w:hint="eastAsia" w:ascii="宋体" w:hAnsi="宋体" w:cs="宋体"/>
          <w:sz w:val="24"/>
          <w:szCs w:val="24"/>
        </w:rPr>
        <w:t>估价对象：</w:t>
      </w:r>
      <w:r>
        <w:rPr>
          <w:rFonts w:hint="eastAsia" w:ascii="宋体" w:hAnsi="宋体" w:cs="宋体"/>
          <w:sz w:val="24"/>
          <w:szCs w:val="24"/>
          <w:lang w:eastAsia="zh-CN"/>
        </w:rPr>
        <w:t>龙岩市永定县坎市镇沿河南路7层705室住宅房地产</w:t>
      </w:r>
      <w:r>
        <w:rPr>
          <w:rFonts w:hint="eastAsia" w:ascii="宋体" w:hAnsi="宋体" w:cs="宋体"/>
          <w:sz w:val="24"/>
          <w:szCs w:val="24"/>
        </w:rPr>
        <w:t>；财产范围包括建筑物（不含室内二次装修）、分摊的土地使用权（含土地出让金）及公共配套设施，不包含动产、债权债务、特许经营权等其他财产或权益；</w:t>
      </w:r>
      <w:r>
        <w:rPr>
          <w:rFonts w:hint="eastAsia" w:ascii="宋体" w:hAnsi="宋体" w:cs="宋体"/>
          <w:spacing w:val="-2"/>
          <w:sz w:val="24"/>
          <w:szCs w:val="24"/>
        </w:rPr>
        <w:t>估价对象</w:t>
      </w:r>
      <w:r>
        <w:rPr>
          <w:rFonts w:hint="eastAsia" w:ascii="宋体" w:hAnsi="宋体" w:cs="宋体"/>
          <w:spacing w:val="-2"/>
          <w:sz w:val="24"/>
          <w:szCs w:val="24"/>
          <w:lang w:eastAsia="zh-CN"/>
        </w:rPr>
        <w:t>住宅</w:t>
      </w:r>
      <w:r>
        <w:rPr>
          <w:rFonts w:hint="eastAsia" w:ascii="宋体" w:hAnsi="宋体" w:cs="宋体"/>
          <w:spacing w:val="-2"/>
          <w:sz w:val="24"/>
          <w:szCs w:val="24"/>
        </w:rPr>
        <w:t>建筑面积</w:t>
      </w:r>
      <w:r>
        <w:rPr>
          <w:rFonts w:hint="eastAsia" w:ascii="宋体" w:hAnsi="宋体" w:cs="宋体"/>
          <w:spacing w:val="-2"/>
          <w:sz w:val="24"/>
          <w:szCs w:val="24"/>
          <w:lang w:val="en-US" w:eastAsia="zh-CN"/>
        </w:rPr>
        <w:t>32.29</w:t>
      </w:r>
      <w:r>
        <w:rPr>
          <w:rFonts w:hint="eastAsia" w:ascii="宋体" w:hAnsi="宋体" w:eastAsia="宋体" w:cs="宋体"/>
          <w:spacing w:val="-2"/>
          <w:sz w:val="24"/>
          <w:szCs w:val="24"/>
          <w:lang w:val="en-US" w:eastAsia="zh-CN"/>
        </w:rPr>
        <w:t>㎡</w:t>
      </w:r>
      <w:r>
        <w:rPr>
          <w:rFonts w:hint="eastAsia" w:ascii="宋体" w:hAnsi="宋体" w:cs="宋体"/>
          <w:spacing w:val="-2"/>
          <w:sz w:val="24"/>
          <w:szCs w:val="24"/>
        </w:rPr>
        <w:t>，</w:t>
      </w:r>
      <w:r>
        <w:rPr>
          <w:rFonts w:hint="eastAsia" w:ascii="宋体" w:hAnsi="宋体" w:cs="宋体"/>
          <w:spacing w:val="-2"/>
          <w:sz w:val="24"/>
          <w:szCs w:val="24"/>
          <w:lang w:val="en-US" w:eastAsia="zh-CN"/>
        </w:rPr>
        <w:t>其中分摊面积4.65</w:t>
      </w:r>
      <w:r>
        <w:rPr>
          <w:rFonts w:hint="eastAsia" w:ascii="宋体" w:hAnsi="宋体" w:eastAsia="宋体" w:cs="宋体"/>
          <w:spacing w:val="-2"/>
          <w:sz w:val="24"/>
          <w:szCs w:val="24"/>
          <w:lang w:val="en-US" w:eastAsia="zh-CN"/>
        </w:rPr>
        <w:t>㎡</w:t>
      </w:r>
      <w:r>
        <w:rPr>
          <w:rFonts w:hint="eastAsia" w:ascii="宋体" w:hAnsi="宋体" w:cs="宋体"/>
          <w:spacing w:val="-2"/>
          <w:sz w:val="24"/>
          <w:szCs w:val="24"/>
        </w:rPr>
        <w:t>，权利人为</w:t>
      </w:r>
      <w:r>
        <w:rPr>
          <w:rFonts w:hint="eastAsia" w:ascii="宋体" w:hAnsi="宋体" w:cs="宋体"/>
          <w:spacing w:val="-2"/>
          <w:sz w:val="24"/>
          <w:szCs w:val="24"/>
          <w:lang w:eastAsia="zh-CN"/>
        </w:rPr>
        <w:t>廖春兰</w:t>
      </w:r>
      <w:r>
        <w:rPr>
          <w:rFonts w:hint="eastAsia" w:ascii="宋体" w:hAnsi="宋体" w:cs="宋体"/>
          <w:spacing w:val="-2"/>
          <w:sz w:val="24"/>
          <w:szCs w:val="24"/>
        </w:rPr>
        <w:t>，共有情况</w:t>
      </w:r>
      <w:r>
        <w:rPr>
          <w:rFonts w:hint="eastAsia" w:ascii="宋体" w:hAnsi="宋体" w:cs="宋体"/>
          <w:color w:val="auto"/>
          <w:spacing w:val="-2"/>
          <w:sz w:val="24"/>
          <w:szCs w:val="24"/>
        </w:rPr>
        <w:t>为</w:t>
      </w:r>
      <w:r>
        <w:rPr>
          <w:rFonts w:hint="eastAsia" w:ascii="宋体" w:hAnsi="宋体" w:cs="宋体"/>
          <w:color w:val="auto"/>
          <w:spacing w:val="-2"/>
          <w:sz w:val="24"/>
          <w:szCs w:val="24"/>
          <w:lang w:eastAsia="zh-CN"/>
        </w:rPr>
        <w:t>100%</w:t>
      </w:r>
      <w:r>
        <w:rPr>
          <w:rFonts w:hint="eastAsia" w:ascii="宋体" w:hAnsi="宋体" w:cs="宋体"/>
          <w:spacing w:val="-2"/>
          <w:sz w:val="24"/>
          <w:szCs w:val="24"/>
        </w:rPr>
        <w:t>，</w:t>
      </w:r>
      <w:r>
        <w:rPr>
          <w:rFonts w:hint="eastAsia" w:ascii="宋体" w:hAnsi="宋体" w:cs="宋体"/>
          <w:spacing w:val="-2"/>
          <w:sz w:val="24"/>
          <w:szCs w:val="24"/>
          <w:lang w:val="en-US" w:eastAsia="zh-CN"/>
        </w:rPr>
        <w:t>使用权</w:t>
      </w:r>
      <w:r>
        <w:rPr>
          <w:rFonts w:hint="eastAsia" w:ascii="宋体" w:hAnsi="宋体" w:cs="宋体"/>
          <w:spacing w:val="-2"/>
          <w:sz w:val="24"/>
          <w:szCs w:val="24"/>
        </w:rPr>
        <w:t>类型为</w:t>
      </w:r>
      <w:r>
        <w:rPr>
          <w:rFonts w:hint="eastAsia" w:ascii="宋体" w:hAnsi="宋体" w:cs="宋体"/>
          <w:spacing w:val="-2"/>
          <w:sz w:val="24"/>
          <w:szCs w:val="24"/>
          <w:lang w:eastAsia="zh-CN"/>
        </w:rPr>
        <w:t>出让</w:t>
      </w:r>
      <w:r>
        <w:rPr>
          <w:rFonts w:hint="eastAsia" w:ascii="宋体" w:hAnsi="宋体" w:cs="宋体"/>
          <w:spacing w:val="-2"/>
          <w:sz w:val="24"/>
          <w:szCs w:val="24"/>
        </w:rPr>
        <w:t>，</w:t>
      </w:r>
      <w:r>
        <w:rPr>
          <w:rFonts w:hint="eastAsia" w:ascii="宋体" w:hAnsi="宋体" w:cs="宋体"/>
          <w:spacing w:val="-2"/>
          <w:sz w:val="24"/>
          <w:szCs w:val="24"/>
          <w:lang w:val="en-US" w:eastAsia="zh-CN"/>
        </w:rPr>
        <w:t>地号为015/07/（36）-105-A17,地类（</w:t>
      </w:r>
      <w:r>
        <w:rPr>
          <w:rFonts w:hint="eastAsia" w:ascii="宋体" w:hAnsi="宋体" w:cs="宋体"/>
          <w:spacing w:val="-2"/>
          <w:sz w:val="24"/>
          <w:szCs w:val="24"/>
        </w:rPr>
        <w:t>用途</w:t>
      </w:r>
      <w:r>
        <w:rPr>
          <w:rFonts w:hint="eastAsia" w:ascii="宋体" w:hAnsi="宋体" w:cs="宋体"/>
          <w:spacing w:val="-2"/>
          <w:sz w:val="24"/>
          <w:szCs w:val="24"/>
          <w:lang w:eastAsia="zh-CN"/>
        </w:rPr>
        <w:t>）</w:t>
      </w:r>
      <w:r>
        <w:rPr>
          <w:rFonts w:hint="eastAsia" w:ascii="宋体" w:hAnsi="宋体" w:cs="宋体"/>
          <w:spacing w:val="-2"/>
          <w:sz w:val="24"/>
          <w:szCs w:val="24"/>
        </w:rPr>
        <w:t>为</w:t>
      </w:r>
      <w:r>
        <w:rPr>
          <w:rFonts w:hint="eastAsia" w:ascii="宋体" w:hAnsi="宋体" w:cs="宋体"/>
          <w:spacing w:val="-2"/>
          <w:sz w:val="24"/>
          <w:szCs w:val="24"/>
          <w:lang w:eastAsia="zh-CN"/>
        </w:rPr>
        <w:t>住宅，《房屋所有权证》永房权证2014字第02330号，</w:t>
      </w:r>
      <w:r>
        <w:rPr>
          <w:rFonts w:hint="eastAsia" w:ascii="宋体" w:hAnsi="宋体" w:cs="宋体"/>
          <w:color w:val="000000"/>
          <w:spacing w:val="-2"/>
          <w:sz w:val="24"/>
          <w:szCs w:val="24"/>
          <w:lang w:eastAsia="zh-CN"/>
        </w:rPr>
        <w:t>对应的</w:t>
      </w:r>
      <w:r>
        <w:rPr>
          <w:rFonts w:hint="eastAsia" w:ascii="宋体" w:hAnsi="宋体" w:cs="宋体"/>
          <w:color w:val="000000"/>
          <w:spacing w:val="-2"/>
          <w:sz w:val="24"/>
          <w:szCs w:val="24"/>
        </w:rPr>
        <w:t>土地使用权面积</w:t>
      </w:r>
      <w:r>
        <w:rPr>
          <w:rFonts w:hint="eastAsia" w:ascii="宋体" w:hAnsi="宋体" w:cs="宋体"/>
          <w:color w:val="000000"/>
          <w:spacing w:val="-2"/>
          <w:sz w:val="24"/>
          <w:szCs w:val="24"/>
          <w:lang w:eastAsia="zh-CN"/>
        </w:rPr>
        <w:t>为</w:t>
      </w:r>
      <w:r>
        <w:rPr>
          <w:rFonts w:hint="eastAsia" w:ascii="宋体" w:hAnsi="宋体" w:cs="宋体"/>
          <w:color w:val="000000"/>
          <w:spacing w:val="-2"/>
          <w:sz w:val="24"/>
          <w:szCs w:val="24"/>
          <w:lang w:val="en-US" w:eastAsia="zh-CN"/>
        </w:rPr>
        <w:t>3.20</w:t>
      </w:r>
      <w:r>
        <w:rPr>
          <w:rFonts w:hint="eastAsia" w:ascii="宋体" w:hAnsi="宋体" w:cs="宋体"/>
          <w:color w:val="000000"/>
          <w:spacing w:val="-2"/>
          <w:sz w:val="24"/>
          <w:szCs w:val="24"/>
        </w:rPr>
        <w:t>㎡</w:t>
      </w:r>
      <w:r>
        <w:rPr>
          <w:rFonts w:hint="eastAsia" w:ascii="宋体" w:hAnsi="宋体" w:cs="宋体"/>
          <w:color w:val="000000"/>
          <w:spacing w:val="-2"/>
          <w:sz w:val="24"/>
          <w:szCs w:val="24"/>
          <w:lang w:eastAsia="zh-CN"/>
        </w:rPr>
        <w:t>，</w:t>
      </w:r>
      <w:r>
        <w:rPr>
          <w:rFonts w:hint="eastAsia" w:ascii="宋体" w:hAnsi="宋体" w:cs="宋体"/>
          <w:spacing w:val="-2"/>
          <w:sz w:val="24"/>
          <w:szCs w:val="24"/>
          <w:lang w:val="en-US" w:eastAsia="zh-CN"/>
        </w:rPr>
        <w:t>终止日期为2075年7月20日，</w:t>
      </w:r>
      <w:r>
        <w:rPr>
          <w:rFonts w:hint="eastAsia" w:ascii="宋体" w:hAnsi="宋体" w:cs="宋体"/>
          <w:spacing w:val="-2"/>
          <w:sz w:val="24"/>
          <w:szCs w:val="24"/>
          <w:lang w:eastAsia="zh-CN"/>
        </w:rPr>
        <w:t>《国有土地使用证》永定国用（2015）第R879号。</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价值时点:</w:t>
      </w:r>
      <w:r>
        <w:rPr>
          <w:rFonts w:hint="eastAsia" w:ascii="宋体" w:hAnsi="宋体" w:cs="宋体"/>
          <w:sz w:val="24"/>
          <w:szCs w:val="24"/>
          <w:lang w:eastAsia="zh-CN"/>
        </w:rPr>
        <w:t>2022年7月12日</w:t>
      </w:r>
      <w:r>
        <w:rPr>
          <w:rFonts w:hint="eastAsia" w:ascii="宋体" w:hAnsi="宋体" w:cs="宋体"/>
          <w:sz w:val="24"/>
          <w:szCs w:val="24"/>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价值类型:市场价值；</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估价方法:比较法，收益法</w:t>
      </w:r>
      <w:r>
        <w:rPr>
          <w:rFonts w:hint="eastAsia" w:ascii="宋体" w:hAnsi="宋体" w:cs="宋体"/>
          <w:sz w:val="24"/>
          <w:szCs w:val="24"/>
          <w:lang w:eastAsia="zh-CN"/>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估价结果：见下表。</w:t>
      </w:r>
    </w:p>
    <w:p>
      <w:pPr>
        <w:spacing w:line="380" w:lineRule="exact"/>
        <w:ind w:firstLine="480" w:firstLineChars="200"/>
        <w:jc w:val="center"/>
        <w:rPr>
          <w:rFonts w:hint="eastAsia" w:ascii="仿宋_GB2312" w:hAnsi="仿宋" w:eastAsia="仿宋_GB2312"/>
          <w:b/>
          <w:color w:val="000000"/>
          <w:sz w:val="24"/>
          <w:szCs w:val="24"/>
        </w:rPr>
      </w:pPr>
      <w:r>
        <w:rPr>
          <w:rFonts w:hint="eastAsia" w:ascii="宋体" w:hAnsi="宋体" w:cs="宋体"/>
          <w:sz w:val="24"/>
          <w:szCs w:val="24"/>
        </w:rPr>
        <w:t xml:space="preserve">                  估价对象房地产价值估价结果表                     </w:t>
      </w:r>
      <w:bookmarkStart w:id="1" w:name="OLE_LINK1"/>
      <w:r>
        <w:rPr>
          <w:rFonts w:hint="eastAsia" w:ascii="宋体" w:hAnsi="宋体" w:cs="宋体"/>
          <w:sz w:val="24"/>
          <w:szCs w:val="24"/>
        </w:rPr>
        <w:t>表1</w:t>
      </w:r>
      <w:bookmarkEnd w:id="1"/>
    </w:p>
    <w:tbl>
      <w:tblPr>
        <w:tblStyle w:val="9"/>
        <w:tblW w:w="0" w:type="auto"/>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9"/>
        <w:gridCol w:w="1929"/>
        <w:gridCol w:w="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809" w:type="dxa"/>
            <w:vMerge w:val="restart"/>
            <w:noWrap w:val="0"/>
            <w:vAlign w:val="center"/>
          </w:tcPr>
          <w:p>
            <w:pPr>
              <w:spacing w:line="300" w:lineRule="exact"/>
              <w:jc w:val="center"/>
              <w:rPr>
                <w:rFonts w:hint="eastAsia" w:ascii="宋体" w:hAnsi="宋体" w:cs="宋体"/>
                <w:szCs w:val="21"/>
              </w:rPr>
            </w:pPr>
            <w:r>
              <w:rPr>
                <w:rFonts w:hint="eastAsia" w:ascii="宋体" w:hAnsi="宋体" w:cs="宋体"/>
                <w:lang w:val="zh-CN"/>
              </w:rPr>
              <w:t>项</w:t>
            </w:r>
            <w:r>
              <w:rPr>
                <w:rFonts w:hint="eastAsia" w:ascii="宋体" w:hAnsi="宋体" w:cs="宋体"/>
              </w:rPr>
              <w:t xml:space="preserve">  </w:t>
            </w:r>
            <w:r>
              <w:rPr>
                <w:rFonts w:hint="eastAsia" w:ascii="宋体" w:hAnsi="宋体" w:cs="宋体"/>
                <w:lang w:val="zh-CN"/>
              </w:rPr>
              <w:t>目</w:t>
            </w:r>
          </w:p>
        </w:tc>
        <w:tc>
          <w:tcPr>
            <w:tcW w:w="6207" w:type="dxa"/>
            <w:gridSpan w:val="2"/>
            <w:noWrap w:val="0"/>
            <w:vAlign w:val="center"/>
          </w:tcPr>
          <w:p>
            <w:pPr>
              <w:spacing w:line="300" w:lineRule="exact"/>
              <w:jc w:val="center"/>
              <w:rPr>
                <w:rFonts w:hint="eastAsia" w:ascii="宋体" w:hAnsi="宋体" w:cs="宋体"/>
                <w:szCs w:val="21"/>
              </w:rPr>
            </w:pPr>
            <w:r>
              <w:rPr>
                <w:rFonts w:hint="eastAsia" w:ascii="宋体" w:hAnsi="宋体" w:cs="宋体"/>
                <w:lang w:val="zh-CN"/>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809" w:type="dxa"/>
            <w:vMerge w:val="continue"/>
            <w:noWrap w:val="0"/>
            <w:vAlign w:val="center"/>
          </w:tcPr>
          <w:p>
            <w:pPr>
              <w:spacing w:line="300" w:lineRule="exact"/>
              <w:ind w:firstLine="420" w:firstLineChars="200"/>
              <w:jc w:val="center"/>
              <w:rPr>
                <w:rFonts w:hint="eastAsia" w:ascii="宋体" w:hAnsi="宋体" w:cs="宋体"/>
                <w:lang w:val="zh-CN"/>
              </w:rPr>
            </w:pPr>
          </w:p>
        </w:tc>
        <w:tc>
          <w:tcPr>
            <w:tcW w:w="1929" w:type="dxa"/>
            <w:noWrap w:val="0"/>
            <w:vAlign w:val="center"/>
          </w:tcPr>
          <w:p>
            <w:pPr>
              <w:spacing w:line="300" w:lineRule="exact"/>
              <w:jc w:val="center"/>
              <w:rPr>
                <w:rFonts w:hint="eastAsia" w:ascii="宋体" w:hAnsi="宋体" w:cs="宋体"/>
                <w:lang w:val="zh-CN"/>
              </w:rPr>
            </w:pPr>
            <w:r>
              <w:rPr>
                <w:rFonts w:hint="eastAsia" w:ascii="宋体" w:hAnsi="宋体" w:cs="宋体"/>
                <w:lang w:val="zh-CN"/>
              </w:rPr>
              <w:t>估算单价（</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lang w:val="zh-CN"/>
              </w:rPr>
              <w:t>）</w:t>
            </w:r>
          </w:p>
        </w:tc>
        <w:tc>
          <w:tcPr>
            <w:tcW w:w="4278" w:type="dxa"/>
            <w:noWrap w:val="0"/>
            <w:vAlign w:val="center"/>
          </w:tcPr>
          <w:p>
            <w:pPr>
              <w:spacing w:line="300" w:lineRule="exact"/>
              <w:jc w:val="center"/>
              <w:rPr>
                <w:rFonts w:hint="eastAsia" w:ascii="宋体" w:hAnsi="宋体" w:eastAsia="宋体" w:cs="宋体"/>
                <w:lang w:val="en-US" w:eastAsia="zh-CN"/>
              </w:rPr>
            </w:pPr>
            <w:r>
              <w:rPr>
                <w:rFonts w:hint="eastAsia" w:ascii="宋体" w:hAnsi="宋体" w:cs="宋体"/>
                <w:lang w:val="zh-CN"/>
              </w:rPr>
              <w:t>总价</w:t>
            </w:r>
            <w:r>
              <w:rPr>
                <w:rFonts w:hint="eastAsia" w:ascii="宋体" w:hAnsi="宋体" w:cs="宋体"/>
                <w:lang w:val="zh-CN"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809" w:type="dxa"/>
            <w:noWrap w:val="0"/>
            <w:vAlign w:val="center"/>
          </w:tcPr>
          <w:p>
            <w:pPr>
              <w:spacing w:line="400" w:lineRule="exact"/>
              <w:rPr>
                <w:rFonts w:hint="eastAsia" w:ascii="宋体" w:hAnsi="宋体" w:eastAsia="宋体" w:cs="宋体"/>
                <w:szCs w:val="21"/>
                <w:lang w:eastAsia="zh-CN"/>
              </w:rPr>
            </w:pPr>
            <w:bookmarkStart w:id="2" w:name="OLE_LINK7" w:colFirst="1" w:colLast="2"/>
            <w:r>
              <w:rPr>
                <w:rFonts w:hint="eastAsia" w:ascii="宋体" w:hAnsi="宋体" w:cs="宋体"/>
                <w:szCs w:val="21"/>
              </w:rPr>
              <w:t>1、</w:t>
            </w:r>
            <w:r>
              <w:rPr>
                <w:rFonts w:hint="eastAsia" w:ascii="宋体" w:hAnsi="宋体" w:cs="宋体"/>
                <w:spacing w:val="-6"/>
                <w:szCs w:val="21"/>
              </w:rPr>
              <w:t>市场价值</w:t>
            </w:r>
          </w:p>
        </w:tc>
        <w:tc>
          <w:tcPr>
            <w:tcW w:w="192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宋体" w:hAnsi="宋体" w:cs="宋体"/>
                <w:spacing w:val="-6"/>
                <w:szCs w:val="21"/>
                <w:lang w:val="en-US" w:eastAsia="zh-CN"/>
              </w:rPr>
            </w:pPr>
            <w:r>
              <w:rPr>
                <w:rFonts w:hint="eastAsia" w:ascii="宋体" w:hAnsi="宋体" w:cs="宋体"/>
                <w:sz w:val="21"/>
                <w:szCs w:val="21"/>
                <w:lang w:val="en-US" w:eastAsia="zh-CN"/>
              </w:rPr>
              <w:t>5757</w:t>
            </w:r>
          </w:p>
        </w:tc>
        <w:tc>
          <w:tcPr>
            <w:tcW w:w="427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sz w:val="21"/>
                <w:szCs w:val="21"/>
                <w:lang w:val="en-US" w:eastAsia="zh-CN"/>
              </w:rPr>
              <w:t>18.59万元（人民币壹拾捌万伍仟玖佰元整）</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809" w:type="dxa"/>
            <w:noWrap w:val="0"/>
            <w:vAlign w:val="center"/>
          </w:tcPr>
          <w:p>
            <w:pPr>
              <w:spacing w:line="320" w:lineRule="exact"/>
              <w:jc w:val="left"/>
              <w:rPr>
                <w:rFonts w:hint="eastAsia" w:ascii="宋体" w:hAnsi="宋体" w:eastAsia="宋体" w:cs="宋体"/>
                <w:szCs w:val="21"/>
                <w:lang w:eastAsia="zh-CN"/>
              </w:rPr>
            </w:pPr>
            <w:r>
              <w:rPr>
                <w:rFonts w:hint="eastAsia" w:ascii="宋体" w:hAnsi="宋体" w:cs="宋体"/>
                <w:spacing w:val="-6"/>
                <w:szCs w:val="21"/>
              </w:rPr>
              <w:t>2、原房屋所有权人应承担的各项税费</w:t>
            </w:r>
          </w:p>
        </w:tc>
        <w:tc>
          <w:tcPr>
            <w:tcW w:w="19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szCs w:val="21"/>
              </w:rPr>
            </w:pPr>
          </w:p>
        </w:tc>
        <w:tc>
          <w:tcPr>
            <w:tcW w:w="427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宋体" w:hAnsi="宋体" w:cs="宋体"/>
                <w:spacing w:val="-6"/>
                <w:szCs w:val="21"/>
              </w:rPr>
            </w:pPr>
            <w:r>
              <w:rPr>
                <w:rFonts w:hint="eastAsia" w:ascii="宋体" w:hAnsi="宋体" w:cs="宋体"/>
                <w:sz w:val="21"/>
                <w:szCs w:val="21"/>
                <w:lang w:val="en-US" w:eastAsia="zh-CN"/>
              </w:rPr>
              <w:t>0.57</w:t>
            </w:r>
            <w:r>
              <w:rPr>
                <w:rFonts w:hint="eastAsia" w:ascii="宋体" w:hAnsi="宋体" w:cs="宋体"/>
                <w:sz w:val="21"/>
                <w:szCs w:val="21"/>
              </w:rPr>
              <w:t>万元（</w:t>
            </w:r>
            <w:r>
              <w:rPr>
                <w:rFonts w:hint="eastAsia" w:ascii="宋体" w:hAnsi="宋体" w:cs="宋体"/>
                <w:sz w:val="21"/>
                <w:szCs w:val="21"/>
                <w:lang w:eastAsia="zh-CN"/>
              </w:rPr>
              <w:t>人民币伍仟柒佰元整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09" w:type="dxa"/>
            <w:noWrap w:val="0"/>
            <w:vAlign w:val="center"/>
          </w:tcPr>
          <w:p>
            <w:pPr>
              <w:spacing w:line="320" w:lineRule="exact"/>
              <w:jc w:val="left"/>
              <w:rPr>
                <w:rFonts w:hint="eastAsia" w:ascii="宋体" w:hAnsi="宋体" w:cs="宋体"/>
                <w:szCs w:val="21"/>
              </w:rPr>
            </w:pPr>
            <w:r>
              <w:rPr>
                <w:rFonts w:hint="eastAsia" w:ascii="宋体" w:hAnsi="宋体" w:cs="宋体"/>
                <w:szCs w:val="21"/>
              </w:rPr>
              <w:t>3、</w:t>
            </w:r>
            <w:r>
              <w:rPr>
                <w:rFonts w:hint="eastAsia" w:ascii="宋体" w:hAnsi="宋体" w:cs="宋体"/>
                <w:szCs w:val="21"/>
                <w:lang w:eastAsia="zh-CN"/>
              </w:rPr>
              <w:t>处置参考</w:t>
            </w:r>
            <w:r>
              <w:rPr>
                <w:rFonts w:hint="eastAsia" w:ascii="宋体" w:hAnsi="宋体" w:cs="宋体"/>
                <w:szCs w:val="21"/>
              </w:rPr>
              <w:t>价值</w:t>
            </w:r>
          </w:p>
        </w:tc>
        <w:tc>
          <w:tcPr>
            <w:tcW w:w="192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cs="宋体"/>
                <w:spacing w:val="-6"/>
                <w:szCs w:val="21"/>
                <w:lang w:val="en-US" w:eastAsia="zh-CN"/>
              </w:rPr>
            </w:pPr>
            <w:r>
              <w:rPr>
                <w:rFonts w:hint="eastAsia" w:ascii="宋体" w:hAnsi="宋体" w:cs="宋体"/>
                <w:sz w:val="21"/>
                <w:szCs w:val="21"/>
                <w:lang w:val="en-US" w:eastAsia="zh-CN"/>
              </w:rPr>
              <w:t>5581</w:t>
            </w:r>
          </w:p>
        </w:tc>
        <w:tc>
          <w:tcPr>
            <w:tcW w:w="427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color w:val="000000"/>
                <w:sz w:val="21"/>
                <w:szCs w:val="21"/>
                <w:lang w:val="en-US" w:eastAsia="zh-CN"/>
              </w:rPr>
              <w:t>18.02万元（人民币壹拾捌万零贰佰元整）</w:t>
            </w:r>
          </w:p>
        </w:tc>
      </w:tr>
    </w:tbl>
    <w:p>
      <w:p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特别提示：</w:t>
      </w:r>
    </w:p>
    <w:p>
      <w:pPr>
        <w:numPr>
          <w:ilvl w:val="0"/>
          <w:numId w:val="1"/>
        </w:numPr>
        <w:spacing w:line="240" w:lineRule="auto"/>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估价结果不包括估价对象原有的担保物权和其他法定优先受偿权，也不包括原有的租赁权。</w:t>
      </w:r>
    </w:p>
    <w:p>
      <w:pPr>
        <w:numPr>
          <w:ilvl w:val="0"/>
          <w:numId w:val="1"/>
        </w:numPr>
        <w:spacing w:line="240" w:lineRule="auto"/>
        <w:ind w:left="0" w:leftChars="0" w:firstLine="211" w:firstLineChars="100"/>
        <w:rPr>
          <w:rFonts w:hint="eastAsia" w:ascii="宋体" w:hAnsi="宋体" w:eastAsia="宋体" w:cs="宋体"/>
          <w:b/>
          <w:bCs/>
          <w:sz w:val="21"/>
          <w:szCs w:val="21"/>
        </w:rPr>
      </w:pPr>
      <w:r>
        <w:rPr>
          <w:rFonts w:hint="eastAsia" w:ascii="宋体" w:hAnsi="宋体" w:eastAsia="宋体" w:cs="宋体"/>
          <w:b/>
          <w:bCs/>
          <w:sz w:val="21"/>
          <w:szCs w:val="21"/>
        </w:rPr>
        <w:t>估价结果</w:t>
      </w:r>
      <w:r>
        <w:rPr>
          <w:rFonts w:hint="eastAsia" w:ascii="宋体" w:hAnsi="宋体" w:eastAsia="宋体" w:cs="宋体"/>
          <w:b/>
          <w:bCs/>
          <w:color w:val="000000"/>
          <w:sz w:val="21"/>
          <w:szCs w:val="21"/>
        </w:rPr>
        <w:t>已扣除估价师知悉的卖方应承担的各项税费</w:t>
      </w:r>
      <w:r>
        <w:rPr>
          <w:rFonts w:hint="eastAsia" w:ascii="宋体" w:hAnsi="宋体" w:eastAsia="宋体" w:cs="宋体"/>
          <w:b/>
          <w:bCs/>
          <w:sz w:val="21"/>
          <w:szCs w:val="21"/>
        </w:rPr>
        <w:t>。</w:t>
      </w:r>
    </w:p>
    <w:p>
      <w:pPr>
        <w:numPr>
          <w:ilvl w:val="0"/>
          <w:numId w:val="1"/>
        </w:numPr>
        <w:spacing w:line="240" w:lineRule="auto"/>
        <w:ind w:left="0" w:leftChars="0" w:firstLine="211" w:firstLineChars="100"/>
        <w:rPr>
          <w:rFonts w:hint="eastAsia" w:ascii="宋体" w:hAnsi="宋体" w:eastAsia="宋体" w:cs="宋体"/>
          <w:b/>
          <w:bCs/>
          <w:sz w:val="21"/>
          <w:szCs w:val="21"/>
        </w:rPr>
      </w:pPr>
      <w:r>
        <w:rPr>
          <w:rFonts w:hint="eastAsia" w:ascii="宋体" w:hAnsi="宋体" w:eastAsia="宋体" w:cs="宋体"/>
          <w:b/>
          <w:bCs/>
          <w:sz w:val="21"/>
          <w:szCs w:val="21"/>
        </w:rPr>
        <w:t>本估价结果不应作为价格实现的保证。</w:t>
      </w:r>
    </w:p>
    <w:p>
      <w:pPr>
        <w:numPr>
          <w:ilvl w:val="0"/>
          <w:numId w:val="1"/>
        </w:numPr>
        <w:spacing w:line="240" w:lineRule="auto"/>
        <w:ind w:left="0" w:leftChars="0" w:firstLine="211" w:firstLineChars="100"/>
        <w:rPr>
          <w:rFonts w:hint="eastAsia" w:ascii="宋体" w:hAnsi="宋体" w:eastAsia="宋体" w:cs="宋体"/>
          <w:b/>
          <w:bCs/>
          <w:sz w:val="21"/>
          <w:szCs w:val="21"/>
        </w:rPr>
      </w:pPr>
      <w:r>
        <w:rPr>
          <w:rFonts w:hint="eastAsia" w:ascii="宋体" w:hAnsi="宋体" w:eastAsia="宋体" w:cs="宋体"/>
          <w:b/>
          <w:bCs/>
          <w:sz w:val="21"/>
          <w:szCs w:val="21"/>
        </w:rPr>
        <w:t>本估价结果报告使用期限自本估价报告出具之日起不超过壹年。</w:t>
      </w:r>
    </w:p>
    <w:p>
      <w:pPr>
        <w:numPr>
          <w:ilvl w:val="0"/>
          <w:numId w:val="0"/>
        </w:numPr>
        <w:spacing w:line="240" w:lineRule="auto"/>
        <w:ind w:leftChars="100"/>
        <w:rPr>
          <w:rFonts w:hint="eastAsia" w:ascii="宋体" w:hAnsi="宋体" w:cs="宋体"/>
          <w:b/>
          <w:bCs/>
          <w:sz w:val="21"/>
          <w:szCs w:val="21"/>
        </w:rPr>
      </w:pPr>
      <w:r>
        <w:rPr>
          <w:rFonts w:hint="eastAsia" w:ascii="宋体" w:hAnsi="宋体" w:eastAsia="宋体" w:cs="宋体"/>
          <w:b/>
          <w:bCs/>
          <w:sz w:val="21"/>
          <w:szCs w:val="21"/>
        </w:rPr>
        <w:t>（5）使用本报告时请认真阅读本报告书全文。</w:t>
      </w:r>
    </w:p>
    <w:p>
      <w:pPr>
        <w:keepNext w:val="0"/>
        <w:keepLines w:val="0"/>
        <w:pageBreakBefore w:val="0"/>
        <w:widowControl w:val="0"/>
        <w:kinsoku/>
        <w:wordWrap/>
        <w:overflowPunct/>
        <w:topLinePunct w:val="0"/>
        <w:autoSpaceDE/>
        <w:autoSpaceDN/>
        <w:bidi w:val="0"/>
        <w:adjustRightInd/>
        <w:snapToGrid/>
        <w:spacing w:line="760" w:lineRule="exact"/>
        <w:ind w:right="560" w:firstLine="560" w:firstLineChars="200"/>
        <w:jc w:val="right"/>
        <w:textAlignment w:val="auto"/>
        <w:rPr>
          <w:rFonts w:hint="eastAsia" w:ascii="宋体" w:hAnsi="宋体" w:cs="宋体"/>
          <w:bCs/>
          <w:sz w:val="28"/>
          <w:szCs w:val="28"/>
        </w:rPr>
      </w:pPr>
      <w:r>
        <w:rPr>
          <w:rFonts w:hint="eastAsia" w:ascii="宋体" w:hAnsi="宋体" w:cs="宋体"/>
          <w:bCs/>
          <w:sz w:val="28"/>
          <w:szCs w:val="28"/>
        </w:rPr>
        <w:t>龙岩冠力土地房地产评估有限公司</w:t>
      </w:r>
    </w:p>
    <w:p>
      <w:pPr>
        <w:keepNext w:val="0"/>
        <w:keepLines w:val="0"/>
        <w:pageBreakBefore w:val="0"/>
        <w:widowControl w:val="0"/>
        <w:kinsoku/>
        <w:wordWrap/>
        <w:overflowPunct/>
        <w:topLinePunct w:val="0"/>
        <w:autoSpaceDE/>
        <w:autoSpaceDN/>
        <w:bidi w:val="0"/>
        <w:adjustRightInd/>
        <w:snapToGrid/>
        <w:spacing w:line="760" w:lineRule="exact"/>
        <w:ind w:right="480"/>
        <w:jc w:val="center"/>
        <w:textAlignment w:val="auto"/>
        <w:rPr>
          <w:rFonts w:hint="eastAsia" w:ascii="宋体" w:hAnsi="宋体" w:cs="宋体"/>
          <w:bCs/>
          <w:sz w:val="28"/>
          <w:szCs w:val="28"/>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法定代表人：</w:t>
      </w: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宋体" w:hAnsi="宋体" w:cs="宋体"/>
          <w:bCs/>
          <w:sz w:val="32"/>
          <w:szCs w:val="32"/>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w:t>
      </w:r>
      <w:r>
        <w:rPr>
          <w:rFonts w:hint="eastAsia" w:ascii="宋体" w:hAnsi="宋体" w:cs="宋体"/>
          <w:bCs/>
          <w:sz w:val="28"/>
          <w:szCs w:val="28"/>
          <w:lang w:eastAsia="zh-CN"/>
        </w:rPr>
        <w:t xml:space="preserve"> 2022年9月7日</w:t>
      </w:r>
    </w:p>
    <w:p>
      <w:pPr>
        <w:spacing w:line="560" w:lineRule="exact"/>
        <w:jc w:val="center"/>
        <w:rPr>
          <w:rFonts w:hint="eastAsia" w:ascii="宋体" w:hAnsi="宋体" w:cs="宋体"/>
          <w:b/>
          <w:bCs w:val="0"/>
          <w:sz w:val="32"/>
          <w:szCs w:val="32"/>
        </w:rPr>
      </w:pPr>
    </w:p>
    <w:p>
      <w:pPr>
        <w:pStyle w:val="2"/>
        <w:rPr>
          <w:rFonts w:hint="eastAsia"/>
        </w:rPr>
      </w:pPr>
    </w:p>
    <w:p>
      <w:pPr>
        <w:spacing w:line="240" w:lineRule="atLeast"/>
        <w:jc w:val="center"/>
        <w:rPr>
          <w:rFonts w:hint="eastAsia" w:ascii="宋体" w:hAnsi="宋体" w:cs="宋体"/>
          <w:b/>
          <w:bCs/>
          <w:sz w:val="32"/>
          <w:szCs w:val="32"/>
        </w:rPr>
      </w:pPr>
      <w:r>
        <w:rPr>
          <w:rFonts w:hint="eastAsia" w:ascii="宋体" w:hAnsi="宋体" w:cs="宋体"/>
          <w:b/>
          <w:bCs/>
          <w:sz w:val="32"/>
          <w:szCs w:val="32"/>
        </w:rPr>
        <w:t>目    录</w:t>
      </w:r>
    </w:p>
    <w:p>
      <w:pPr>
        <w:pStyle w:val="3"/>
        <w:spacing w:line="380" w:lineRule="exact"/>
        <w:ind w:firstLine="0"/>
        <w:rPr>
          <w:rFonts w:hint="eastAsia" w:ascii="宋体" w:hAnsi="宋体" w:cs="宋体"/>
          <w:sz w:val="24"/>
          <w:szCs w:val="24"/>
        </w:rPr>
      </w:pPr>
      <w:r>
        <w:rPr>
          <w:rFonts w:hint="eastAsia" w:ascii="宋体" w:hAnsi="宋体" w:cs="宋体"/>
          <w:sz w:val="24"/>
          <w:szCs w:val="24"/>
        </w:rPr>
        <w:t>估价师声明</w:t>
      </w:r>
      <w:r>
        <w:rPr>
          <w:rFonts w:hint="eastAsia" w:ascii="宋体" w:hAnsi="宋体" w:cs="宋体"/>
          <w:position w:val="12"/>
          <w:sz w:val="24"/>
          <w:szCs w:val="24"/>
          <w:u w:val="dotted"/>
        </w:rPr>
        <w:t xml:space="preserve">                                                         </w:t>
      </w:r>
      <w:r>
        <w:rPr>
          <w:rFonts w:ascii="宋体" w:hAnsi="宋体" w:cs="宋体"/>
          <w:position w:val="12"/>
          <w:sz w:val="24"/>
          <w:szCs w:val="24"/>
          <w:u w:val="dotted"/>
        </w:rPr>
        <w:t xml:space="preserve">      </w:t>
      </w:r>
      <w:r>
        <w:rPr>
          <w:rFonts w:hint="eastAsia" w:ascii="宋体" w:hAnsi="宋体" w:cs="宋体"/>
          <w:sz w:val="24"/>
          <w:szCs w:val="24"/>
        </w:rPr>
        <w:t>1</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估价假设和限制条件</w:t>
      </w:r>
      <w:r>
        <w:rPr>
          <w:rFonts w:hint="eastAsia" w:ascii="宋体" w:hAnsi="宋体" w:cs="宋体"/>
          <w:position w:val="12"/>
          <w:sz w:val="24"/>
          <w:szCs w:val="24"/>
          <w:u w:val="dotted"/>
        </w:rPr>
        <w:t xml:space="preserve">                                                       </w:t>
      </w:r>
      <w:r>
        <w:rPr>
          <w:rFonts w:hint="eastAsia" w:ascii="宋体" w:hAnsi="宋体" w:cs="宋体"/>
          <w:sz w:val="24"/>
          <w:szCs w:val="24"/>
        </w:rPr>
        <w:t>2</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估价结果报告</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估价委托人</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房地产估价机构</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估价目的</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估价对象</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价值时点</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5</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价值类型</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5</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估价原则</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6</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估价依据</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6</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估价方法</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7</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7</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注册房地产估价师</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实地查勘期</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估价作业期</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lang w:val="en-US" w:eastAsia="zh-CN"/>
        </w:rPr>
        <w:t>提示</w:t>
      </w:r>
      <w:r>
        <w:rPr>
          <w:rFonts w:hint="eastAsia" w:ascii="宋体" w:hAnsi="宋体" w:cs="宋体"/>
          <w:position w:val="12"/>
          <w:sz w:val="24"/>
          <w:szCs w:val="24"/>
          <w:u w:val="dotted"/>
        </w:rPr>
        <w:t xml:space="preserve">                                    </w:t>
      </w:r>
      <w:r>
        <w:rPr>
          <w:rFonts w:hint="eastAsia" w:ascii="宋体" w:hAnsi="宋体" w:cs="宋体"/>
          <w:position w:val="12"/>
          <w:sz w:val="24"/>
          <w:szCs w:val="24"/>
          <w:u w:val="dotted"/>
          <w:lang w:val="en-US" w:eastAsia="zh-CN"/>
        </w:rPr>
        <w:t xml:space="preserve">      </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r>
        <w:rPr>
          <w:rFonts w:hint="eastAsia" w:ascii="宋体" w:hAnsi="宋体" w:cs="宋体"/>
          <w:position w:val="12"/>
          <w:sz w:val="24"/>
          <w:szCs w:val="24"/>
          <w:u w:val="dotted"/>
        </w:rPr>
        <w:t xml:space="preserve">                                                                    </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估价技术报告</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9</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估价对象描述与分析</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9</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（一）区位状况描述与分析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9</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（二）实物状况描述与分析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10</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（三）权益状况描述与分析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11</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市场背景描述与分析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1</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最高最佳利用分析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4</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估价方法适用性分析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4</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估价测算过程</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15</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估价结果确定</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23</w:t>
      </w:r>
    </w:p>
    <w:p>
      <w:pPr>
        <w:pStyle w:val="3"/>
        <w:spacing w:line="380" w:lineRule="exact"/>
        <w:ind w:left="2285" w:hanging="2285"/>
        <w:jc w:val="left"/>
        <w:outlineLvl w:val="0"/>
        <w:rPr>
          <w:rFonts w:hint="default" w:ascii="宋体" w:hAnsi="宋体" w:cs="宋体"/>
          <w:sz w:val="24"/>
          <w:szCs w:val="24"/>
          <w:lang w:val="en-US"/>
        </w:rPr>
      </w:pPr>
      <w:r>
        <w:rPr>
          <w:rFonts w:hint="eastAsia" w:ascii="宋体" w:hAnsi="宋体" w:cs="宋体"/>
          <w:sz w:val="24"/>
          <w:szCs w:val="24"/>
        </w:rPr>
        <w:t>附   件</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25</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30" w:leftChars="0" w:right="0" w:rightChars="0" w:firstLine="240" w:firstLineChars="0"/>
        <w:jc w:val="left"/>
        <w:textAlignment w:val="auto"/>
        <w:outlineLvl w:val="9"/>
        <w:rPr>
          <w:rFonts w:hint="eastAsia" w:ascii="宋体" w:hAnsi="宋体" w:cs="宋体"/>
          <w:sz w:val="24"/>
          <w:szCs w:val="24"/>
          <w:lang w:eastAsia="zh-CN"/>
        </w:rPr>
      </w:pPr>
      <w:r>
        <w:rPr>
          <w:rFonts w:hint="eastAsia" w:ascii="宋体" w:hAnsi="宋体" w:cs="宋体"/>
          <w:sz w:val="24"/>
          <w:szCs w:val="24"/>
          <w:lang w:eastAsia="zh-CN"/>
        </w:rPr>
        <w:t>估价对象位置图</w:t>
      </w:r>
      <w:r>
        <w:rPr>
          <w:rFonts w:hint="eastAsia" w:ascii="宋体" w:hAnsi="宋体" w:cs="宋体"/>
          <w:sz w:val="24"/>
          <w:szCs w:val="24"/>
          <w:lang w:val="en-US" w:eastAsia="zh-CN"/>
        </w:rPr>
        <w:t>及门牌号</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40" w:firstLineChars="1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2、《龙岩市永定区人民法院委托书》（2022）闽0803执恢253号复印件；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40" w:firstLineChars="1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3、福建省龙岩市永定区人民法院执行裁定书复印件；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40" w:firstLineChars="1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4、《房屋所有权证》永房权证2014字第02399号复印件；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40" w:firstLineChars="1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5、《国有土地使用证》永定国用（2015）第R878号复印件；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40" w:firstLineChars="1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6、房地产估价机构营业执照、资质证书复印件；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40" w:firstLineChars="100"/>
        <w:jc w:val="left"/>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7</w:t>
      </w:r>
      <w:r>
        <w:rPr>
          <w:rFonts w:hint="eastAsia" w:ascii="宋体" w:hAnsi="宋体" w:cs="宋体"/>
          <w:sz w:val="24"/>
          <w:szCs w:val="24"/>
        </w:rPr>
        <w:t>、参加此次估价的估价师资格证书复印件</w:t>
      </w:r>
      <w:r>
        <w:rPr>
          <w:rFonts w:hint="eastAsia" w:ascii="宋体" w:hAnsi="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0"/>
        <w:rPr>
          <w:rFonts w:hint="eastAsia" w:ascii="宋体" w:hAnsi="宋体" w:cs="宋体"/>
          <w:b/>
          <w:bCs/>
          <w:sz w:val="36"/>
          <w:szCs w:val="36"/>
        </w:rPr>
        <w:sectPr>
          <w:headerReference r:id="rId7" w:type="first"/>
          <w:footerReference r:id="rId9" w:type="first"/>
          <w:footerReference r:id="rId8" w:type="default"/>
          <w:pgSz w:w="11907" w:h="16840"/>
          <w:pgMar w:top="1134" w:right="1134" w:bottom="1134" w:left="1701" w:header="851" w:footer="851" w:gutter="0"/>
          <w:pgNumType w:start="1"/>
          <w:cols w:space="720" w:num="1"/>
          <w:titlePg/>
          <w:docGrid w:type="lines" w:linePitch="312" w:charSpace="0"/>
        </w:sectPr>
      </w:pPr>
    </w:p>
    <w:p>
      <w:pPr>
        <w:spacing w:line="600" w:lineRule="auto"/>
        <w:jc w:val="center"/>
        <w:outlineLvl w:val="0"/>
        <w:rPr>
          <w:rFonts w:hint="eastAsia" w:ascii="宋体" w:hAnsi="宋体" w:cs="宋体"/>
          <w:b/>
          <w:bCs/>
          <w:sz w:val="36"/>
          <w:szCs w:val="36"/>
        </w:rPr>
      </w:pPr>
      <w:r>
        <w:rPr>
          <w:rFonts w:hint="eastAsia" w:ascii="宋体" w:hAnsi="宋体" w:cs="宋体"/>
          <w:b/>
          <w:bCs/>
          <w:sz w:val="36"/>
          <w:szCs w:val="36"/>
        </w:rPr>
        <w:t>注册房地产估价师声明</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我们根据自己的专业知识和职业道德，在此郑重声明：</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1、注册房地产估价师在估价报告中对事实的说明是真实和准确的，没有虚假记载、误导性陈述和重大遗漏。</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2、估价报告中的分析、意见和结论是注册房地产估价师独立、客观、公正的专业分析、意见和结论，但受到估价报告中已说明的估价假设和限制条件的限制。</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3、注册房地产估价师与估价报告中的估价对象没有现实或潜在的利益，与估价委托人及估价利害关系人没有利害关系，也对估价对象、估价委托人及估价利害关系人没有偏见。</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4、注册房地产估价师依照《房地产估价规范》GB/T 50291-2015、《房地产估价基本术语标准》GB/T 50899-2013进行分析、形成意见和结论，撰写本估价报告。</w:t>
      </w:r>
    </w:p>
    <w:p>
      <w:pPr>
        <w:spacing w:line="600" w:lineRule="exact"/>
        <w:ind w:firstLine="480" w:firstLineChars="200"/>
        <w:outlineLvl w:val="0"/>
        <w:rPr>
          <w:rFonts w:hint="default" w:ascii="宋体" w:hAnsi="宋体" w:cs="宋体"/>
          <w:sz w:val="24"/>
          <w:szCs w:val="24"/>
          <w:lang w:val="en-US" w:eastAsia="zh-CN"/>
        </w:rPr>
      </w:pPr>
      <w:r>
        <w:rPr>
          <w:rFonts w:hint="eastAsia" w:ascii="宋体" w:hAnsi="宋体" w:cs="宋体"/>
          <w:sz w:val="24"/>
          <w:szCs w:val="24"/>
          <w:lang w:val="en-US" w:eastAsia="zh-CN"/>
        </w:rPr>
        <w:t>5、没有人对本估价报告提供重要专业帮助。</w:t>
      </w:r>
    </w:p>
    <w:p>
      <w:pPr>
        <w:spacing w:line="600" w:lineRule="exact"/>
        <w:ind w:firstLine="480" w:firstLineChars="200"/>
        <w:outlineLvl w:val="0"/>
        <w:rPr>
          <w:rFonts w:hint="eastAsia" w:ascii="宋体" w:hAnsi="宋体" w:cs="宋体"/>
          <w:sz w:val="28"/>
          <w:szCs w:val="28"/>
        </w:rPr>
      </w:pPr>
      <w:r>
        <w:rPr>
          <w:rFonts w:hint="eastAsia" w:ascii="宋体" w:hAnsi="宋体" w:cs="宋体"/>
          <w:sz w:val="24"/>
          <w:szCs w:val="24"/>
          <w:lang w:val="en-US" w:eastAsia="zh-CN"/>
        </w:rPr>
        <w:t>6、</w:t>
      </w:r>
      <w:r>
        <w:rPr>
          <w:rFonts w:hint="eastAsia" w:ascii="宋体" w:hAnsi="宋体" w:cs="宋体"/>
          <w:sz w:val="24"/>
          <w:szCs w:val="24"/>
        </w:rPr>
        <w:t>注册房地产估价师</w:t>
      </w:r>
      <w:r>
        <w:rPr>
          <w:rFonts w:hint="eastAsia" w:ascii="宋体" w:hAnsi="宋体" w:cs="宋体"/>
          <w:sz w:val="24"/>
          <w:szCs w:val="24"/>
          <w:lang w:eastAsia="zh-CN"/>
        </w:rPr>
        <w:t>倪灵燕</w:t>
      </w:r>
      <w:r>
        <w:rPr>
          <w:rFonts w:hint="eastAsia" w:ascii="宋体" w:hAnsi="宋体" w:cs="宋体"/>
          <w:sz w:val="24"/>
          <w:szCs w:val="24"/>
        </w:rPr>
        <w:t>（注册号：</w:t>
      </w:r>
      <w:r>
        <w:rPr>
          <w:rFonts w:hint="eastAsia" w:ascii="宋体" w:hAnsi="宋体" w:cs="宋体"/>
          <w:sz w:val="24"/>
          <w:szCs w:val="24"/>
          <w:lang w:eastAsia="zh-CN"/>
        </w:rPr>
        <w:t>3520150012</w:t>
      </w:r>
      <w:r>
        <w:rPr>
          <w:rFonts w:hint="eastAsia" w:ascii="宋体" w:hAnsi="宋体" w:cs="宋体"/>
          <w:sz w:val="24"/>
          <w:szCs w:val="24"/>
        </w:rPr>
        <w:t>）</w:t>
      </w:r>
      <w:r>
        <w:rPr>
          <w:rFonts w:hint="eastAsia" w:ascii="宋体" w:hAnsi="宋体" w:cs="宋体"/>
          <w:sz w:val="24"/>
          <w:szCs w:val="24"/>
          <w:lang w:eastAsia="zh-CN"/>
        </w:rPr>
        <w:t>及估价员胡桐</w:t>
      </w:r>
      <w:r>
        <w:rPr>
          <w:rFonts w:hint="eastAsia" w:ascii="宋体" w:hAnsi="宋体" w:cs="宋体"/>
          <w:sz w:val="24"/>
          <w:szCs w:val="24"/>
        </w:rPr>
        <w:t>于</w:t>
      </w:r>
      <w:r>
        <w:rPr>
          <w:rFonts w:hint="eastAsia" w:ascii="宋体" w:hAnsi="宋体" w:cs="宋体"/>
          <w:sz w:val="24"/>
          <w:szCs w:val="24"/>
          <w:lang w:eastAsia="zh-CN"/>
        </w:rPr>
        <w:t>2022年7月12日</w:t>
      </w:r>
      <w:r>
        <w:rPr>
          <w:rFonts w:hint="eastAsia" w:ascii="宋体" w:hAnsi="宋体" w:cs="宋体"/>
          <w:sz w:val="24"/>
          <w:szCs w:val="24"/>
        </w:rPr>
        <w:t>对本估价报告中的估价对象进行了实地查勘，但我们对估价对象的现场查勘仅限于其外观和使用状况，对被遮盖、未暴露及难以接触到的部分，依据估价委托人提供的资料进行评估。我们不承担对估价对象建筑结构质量进行调查的责任。</w:t>
      </w:r>
    </w:p>
    <w:p>
      <w:pPr>
        <w:pStyle w:val="5"/>
        <w:spacing w:line="640" w:lineRule="exact"/>
        <w:jc w:val="right"/>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pStyle w:val="2"/>
        <w:rPr>
          <w:rFonts w:hint="eastAsia"/>
        </w:rPr>
      </w:pPr>
    </w:p>
    <w:p>
      <w:pPr>
        <w:rPr>
          <w:rFonts w:hint="eastAsia" w:ascii="宋体" w:hAnsi="宋体" w:eastAsia="宋体" w:cs="宋体"/>
          <w:bCs/>
          <w:sz w:val="44"/>
          <w:szCs w:val="44"/>
        </w:rPr>
      </w:pPr>
    </w:p>
    <w:p>
      <w:pPr>
        <w:pStyle w:val="5"/>
        <w:spacing w:line="600" w:lineRule="exact"/>
        <w:jc w:val="center"/>
        <w:rPr>
          <w:rFonts w:hint="eastAsia" w:ascii="宋体" w:hAnsi="宋体" w:eastAsia="宋体" w:cs="宋体"/>
          <w:b/>
          <w:bCs/>
          <w:szCs w:val="32"/>
        </w:rPr>
      </w:pPr>
    </w:p>
    <w:p>
      <w:pPr>
        <w:pStyle w:val="5"/>
        <w:spacing w:line="720" w:lineRule="auto"/>
        <w:ind w:firstLine="3072" w:firstLineChars="850"/>
        <w:rPr>
          <w:rFonts w:hint="eastAsia" w:ascii="宋体" w:hAnsi="宋体" w:eastAsia="宋体" w:cs="宋体"/>
          <w:b/>
          <w:bCs/>
          <w:sz w:val="36"/>
          <w:szCs w:val="36"/>
        </w:rPr>
      </w:pPr>
      <w:r>
        <w:rPr>
          <w:rFonts w:hint="eastAsia" w:ascii="宋体" w:hAnsi="宋体" w:eastAsia="宋体" w:cs="宋体"/>
          <w:b/>
          <w:bCs/>
          <w:sz w:val="36"/>
          <w:szCs w:val="36"/>
        </w:rPr>
        <w:t>估价假设和限制条件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8"/>
          <w:szCs w:val="28"/>
        </w:rPr>
        <w:t xml:space="preserve">    一、本次估价的各项估价假设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4"/>
          <w:szCs w:val="24"/>
        </w:rPr>
        <w:t xml:space="preserve">   （一）一般假设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rPr>
        <w:t>1、估价委托人提供的估价对象权属、面积、用途等资料未予以核实，假定它们是合法、真实、准确和完整的。</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rPr>
        <w:t>估价委托人引领估价人员实地查勘的估价对象与权证的估价对象一致，具有唯一性。</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rPr>
        <w:t>关注了估价对象的房屋安全、环境污染等影响估价对象价值的重大因数，经实地查勘并依常规判断，假定房屋质量及居住环境是安全的，在耐用年限或土地使用期限内能够正常使用。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4"/>
          <w:szCs w:val="24"/>
        </w:rPr>
        <w:t xml:space="preserve">   （二）未定事项假设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sz w:val="24"/>
          <w:szCs w:val="24"/>
        </w:rPr>
      </w:pPr>
      <w:r>
        <w:rPr>
          <w:rFonts w:hint="eastAsia" w:ascii="宋体" w:hAnsi="宋体" w:cs="宋体"/>
          <w:b/>
          <w:sz w:val="24"/>
          <w:szCs w:val="24"/>
        </w:rPr>
        <w:t xml:space="preserve">    </w:t>
      </w:r>
      <w:r>
        <w:rPr>
          <w:rFonts w:hint="eastAsia" w:ascii="宋体" w:hAnsi="宋体" w:cs="宋体"/>
          <w:bCs/>
          <w:sz w:val="24"/>
          <w:szCs w:val="24"/>
        </w:rPr>
        <w:t>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4"/>
          <w:szCs w:val="24"/>
        </w:rPr>
        <w:t xml:space="preserve">   （三）背离事实假设</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1、不考虑估价对象被查封、原有的担保物权及其他优先受偿权对估价结果的影响。</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2、不考虑估价对象原有的租赁权及</w:t>
      </w:r>
      <w:r>
        <w:rPr>
          <w:rFonts w:hint="eastAsia" w:ascii="宋体" w:hAnsi="宋体" w:cs="宋体"/>
          <w:sz w:val="24"/>
          <w:szCs w:val="24"/>
          <w:lang w:val="en-US" w:eastAsia="zh-CN"/>
        </w:rPr>
        <w:t>抵押</w:t>
      </w:r>
      <w:r>
        <w:rPr>
          <w:rFonts w:hint="eastAsia" w:ascii="宋体" w:hAnsi="宋体" w:cs="宋体"/>
          <w:sz w:val="24"/>
          <w:szCs w:val="24"/>
        </w:rPr>
        <w:t>权对估价结果的影响。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4"/>
          <w:szCs w:val="24"/>
        </w:rPr>
        <w:t xml:space="preserve">   （四）不相一致假设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1、本报告价值时点（2022年7月12日）不是估价委托人提供的《龙岩市永定区人民法院委托书》出具之日（</w:t>
      </w:r>
      <w:r>
        <w:rPr>
          <w:rFonts w:hint="eastAsia" w:ascii="宋体" w:hAnsi="宋体" w:cs="宋体"/>
          <w:b w:val="0"/>
          <w:bCs/>
          <w:color w:val="000000"/>
          <w:sz w:val="24"/>
          <w:szCs w:val="24"/>
          <w:lang w:val="en-US" w:eastAsia="zh-CN"/>
        </w:rPr>
        <w:t>2022年4月21日</w:t>
      </w:r>
      <w:r>
        <w:rPr>
          <w:rFonts w:hint="eastAsia" w:ascii="宋体" w:hAnsi="宋体" w:cs="宋体"/>
          <w:b w:val="0"/>
          <w:bCs/>
          <w:sz w:val="24"/>
          <w:szCs w:val="24"/>
          <w:lang w:val="en-US" w:eastAsia="zh-CN"/>
        </w:rPr>
        <w:t>），而是注册房地产估价师完成实地查勘之日，本报告假设估价对象在价值时点的状况与估价委托书出具之日的状况一致。</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2、至价值时点估价对象已设定抵押，但本估价报告是为估价委托人拟司法处置提供参考，处置所得价款用于归还抵押权人及诉讼当事人，故本次估价假设估价对象在价值时点未设立抵押权。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 w:val="24"/>
          <w:szCs w:val="24"/>
        </w:rPr>
      </w:pPr>
      <w:r>
        <w:rPr>
          <w:rFonts w:hint="eastAsia" w:ascii="宋体" w:hAnsi="宋体" w:cs="宋体"/>
          <w:b/>
          <w:sz w:val="24"/>
          <w:szCs w:val="24"/>
        </w:rPr>
        <w:t xml:space="preserve">   （五）依据不足假设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hint="eastAsia" w:ascii="宋体" w:hAnsi="宋体" w:cs="宋体"/>
          <w:b/>
          <w:sz w:val="28"/>
          <w:szCs w:val="28"/>
        </w:rPr>
      </w:pPr>
      <w:r>
        <w:rPr>
          <w:rFonts w:hint="eastAsia" w:ascii="宋体" w:hAnsi="宋体" w:eastAsia="宋体" w:cs="宋体"/>
          <w:color w:val="auto"/>
          <w:sz w:val="24"/>
          <w:szCs w:val="24"/>
        </w:rPr>
        <w:t>由于估价委托人不是估价对象权利人，未能提供估价对象的</w:t>
      </w:r>
      <w:r>
        <w:rPr>
          <w:rFonts w:hint="eastAsia" w:ascii="宋体" w:hAnsi="宋体" w:eastAsia="宋体" w:cs="宋体"/>
          <w:sz w:val="24"/>
          <w:szCs w:val="24"/>
        </w:rPr>
        <w:t>《</w:t>
      </w:r>
      <w:r>
        <w:rPr>
          <w:rFonts w:hint="eastAsia" w:ascii="宋体" w:hAnsi="宋体" w:eastAsia="宋体" w:cs="宋体"/>
          <w:sz w:val="24"/>
          <w:szCs w:val="24"/>
          <w:lang w:eastAsia="zh-CN"/>
        </w:rPr>
        <w:t>不动产权证书</w:t>
      </w:r>
      <w:r>
        <w:rPr>
          <w:rFonts w:hint="eastAsia" w:ascii="宋体" w:hAnsi="宋体" w:eastAsia="宋体" w:cs="宋体"/>
          <w:sz w:val="24"/>
          <w:szCs w:val="24"/>
        </w:rPr>
        <w:t>》原件</w:t>
      </w:r>
      <w:r>
        <w:rPr>
          <w:rFonts w:hint="eastAsia" w:ascii="宋体" w:hAnsi="宋体" w:eastAsia="宋体" w:cs="宋体"/>
          <w:color w:val="auto"/>
          <w:sz w:val="24"/>
          <w:szCs w:val="24"/>
        </w:rPr>
        <w:t>，注册房地产估价师虽进行了尽职调查，但仍难以取得，假设估价委托人提供的</w:t>
      </w:r>
      <w:r>
        <w:rPr>
          <w:rFonts w:hint="eastAsia" w:ascii="宋体" w:hAnsi="宋体" w:eastAsia="宋体" w:cs="宋体"/>
          <w:color w:val="auto"/>
          <w:sz w:val="24"/>
          <w:szCs w:val="24"/>
          <w:lang w:eastAsia="zh-CN"/>
        </w:rPr>
        <w:t>《房屋所有权证》</w:t>
      </w:r>
      <w:r>
        <w:rPr>
          <w:rFonts w:hint="eastAsia" w:ascii="宋体" w:hAnsi="宋体" w:eastAsia="宋体" w:cs="宋体"/>
          <w:color w:val="auto"/>
          <w:sz w:val="24"/>
          <w:szCs w:val="24"/>
          <w:lang w:val="en-US" w:eastAsia="zh-CN"/>
        </w:rPr>
        <w:t>和《国有土地使用证》</w:t>
      </w:r>
      <w:r>
        <w:rPr>
          <w:rFonts w:hint="eastAsia" w:ascii="宋体" w:hAnsi="宋体" w:eastAsia="宋体" w:cs="宋体"/>
          <w:color w:val="auto"/>
          <w:sz w:val="24"/>
          <w:szCs w:val="24"/>
        </w:rPr>
        <w:t>的估价对象权属证明信息与权属原件内容一致。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cs="宋体"/>
          <w:b/>
          <w:sz w:val="28"/>
          <w:szCs w:val="28"/>
        </w:rPr>
      </w:pPr>
      <w:r>
        <w:rPr>
          <w:rFonts w:hint="eastAsia" w:ascii="宋体" w:hAnsi="宋体" w:cs="宋体"/>
          <w:b/>
          <w:sz w:val="28"/>
          <w:szCs w:val="28"/>
        </w:rPr>
        <w:t>二、估价报告使用限制</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本估价报告仅作为本次估价目的之使用，不作其他任何用途使用。</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估价报告使用者为估价委托人（</w:t>
      </w:r>
      <w:r>
        <w:rPr>
          <w:rFonts w:hint="eastAsia" w:ascii="宋体" w:hAnsi="宋体" w:cs="宋体"/>
          <w:color w:val="auto"/>
          <w:sz w:val="24"/>
          <w:szCs w:val="24"/>
          <w:lang w:eastAsia="zh-CN"/>
        </w:rPr>
        <w:t>龙岩市永定区人民法院</w:t>
      </w:r>
      <w:r>
        <w:rPr>
          <w:rFonts w:hint="eastAsia" w:ascii="宋体" w:hAnsi="宋体" w:cs="宋体"/>
          <w:color w:val="auto"/>
          <w:sz w:val="24"/>
          <w:szCs w:val="24"/>
        </w:rPr>
        <w:t>）。</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本次估价对象</w:t>
      </w:r>
      <w:r>
        <w:rPr>
          <w:rFonts w:hint="eastAsia" w:ascii="宋体" w:hAnsi="宋体" w:cs="宋体"/>
          <w:color w:val="auto"/>
          <w:sz w:val="24"/>
          <w:szCs w:val="24"/>
          <w:lang w:eastAsia="zh-CN"/>
        </w:rPr>
        <w:t>处置</w:t>
      </w:r>
      <w:r>
        <w:rPr>
          <w:rFonts w:hint="eastAsia" w:ascii="宋体" w:hAnsi="宋体" w:cs="宋体"/>
          <w:color w:val="auto"/>
          <w:sz w:val="24"/>
          <w:szCs w:val="24"/>
        </w:rPr>
        <w:t>成交的过户税费全部由买受人承担。本次估价测算的预期处置税费为估价对象于价值时点以评估市场价值进入市场转让时，原房屋产权人应承担的主要交易税费的测算仅供参考，与实际处置时应承担的原房屋产权人的交易税费应以有关部门计算为准。</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未经本估价机构书面同意，任何单位或个人不得将本估价报告的全部或部分内容发表于任何公开媒体上。</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本估价报告经估价机构加盖公章、法定代表人签名（或盖章）及注册房地产估价师签名后方可有效。</w:t>
      </w:r>
    </w:p>
    <w:p>
      <w:pPr>
        <w:spacing w:line="520" w:lineRule="exact"/>
        <w:rPr>
          <w:rFonts w:hint="eastAsia" w:ascii="宋体" w:hAnsi="宋体" w:cs="宋体"/>
          <w:b/>
          <w:color w:val="auto"/>
          <w:sz w:val="36"/>
          <w:szCs w:val="36"/>
        </w:rPr>
      </w:pPr>
      <w:r>
        <w:rPr>
          <w:rFonts w:hint="eastAsia" w:ascii="宋体" w:hAnsi="宋体" w:cs="宋体"/>
          <w:color w:val="auto"/>
          <w:sz w:val="24"/>
          <w:szCs w:val="24"/>
        </w:rPr>
        <w:t xml:space="preserve">   </w:t>
      </w: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keepNext w:val="0"/>
        <w:keepLines w:val="0"/>
        <w:pageBreakBefore w:val="0"/>
        <w:widowControl w:val="0"/>
        <w:kinsoku/>
        <w:wordWrap/>
        <w:topLinePunct w:val="0"/>
        <w:autoSpaceDE/>
        <w:autoSpaceDN/>
        <w:bidi w:val="0"/>
        <w:adjustRightInd/>
        <w:snapToGrid/>
        <w:spacing w:line="600" w:lineRule="auto"/>
        <w:ind w:left="0" w:leftChars="0" w:right="0" w:rightChars="0"/>
        <w:jc w:val="center"/>
        <w:textAlignment w:val="auto"/>
        <w:outlineLvl w:val="9"/>
        <w:rPr>
          <w:rFonts w:hint="eastAsia" w:ascii="宋体" w:hAnsi="宋体" w:cs="宋体"/>
          <w:b/>
          <w:sz w:val="28"/>
          <w:szCs w:val="28"/>
        </w:rPr>
      </w:pPr>
      <w:r>
        <w:rPr>
          <w:rFonts w:hint="eastAsia" w:ascii="宋体" w:hAnsi="宋体" w:cs="宋体"/>
          <w:b/>
          <w:sz w:val="36"/>
          <w:szCs w:val="36"/>
        </w:rPr>
        <w:t>估价结果报告</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562" w:firstLineChars="200"/>
        <w:textAlignment w:val="auto"/>
        <w:outlineLvl w:val="9"/>
        <w:rPr>
          <w:rFonts w:hint="eastAsia" w:ascii="宋体" w:hAnsi="宋体" w:cs="宋体"/>
          <w:b/>
          <w:sz w:val="28"/>
          <w:szCs w:val="28"/>
        </w:rPr>
      </w:pPr>
      <w:r>
        <w:rPr>
          <w:rFonts w:hint="eastAsia" w:ascii="宋体" w:hAnsi="宋体" w:cs="宋体"/>
          <w:b/>
          <w:sz w:val="28"/>
          <w:szCs w:val="28"/>
        </w:rPr>
        <w:t>一、估价委托人及相关当事人</w:t>
      </w:r>
    </w:p>
    <w:p>
      <w:pPr>
        <w:keepNext w:val="0"/>
        <w:keepLines w:val="0"/>
        <w:pageBreakBefore w:val="0"/>
        <w:widowControl w:val="0"/>
        <w:numPr>
          <w:ilvl w:val="0"/>
          <w:numId w:val="7"/>
        </w:numPr>
        <w:kinsoku/>
        <w:wordWrap/>
        <w:overflowPunct w:val="0"/>
        <w:topLinePunct w:val="0"/>
        <w:autoSpaceDE/>
        <w:autoSpaceDN/>
        <w:bidi w:val="0"/>
        <w:adjustRightInd/>
        <w:snapToGrid/>
        <w:spacing w:line="500" w:lineRule="exact"/>
        <w:ind w:left="0" w:leftChars="0" w:right="0" w:rightChars="0" w:firstLine="480"/>
        <w:jc w:val="left"/>
        <w:textAlignment w:val="auto"/>
        <w:outlineLvl w:val="9"/>
        <w:rPr>
          <w:rFonts w:hint="eastAsia" w:ascii="宋体" w:hAnsi="宋体" w:cs="宋体"/>
          <w:sz w:val="24"/>
          <w:szCs w:val="24"/>
          <w:lang w:val="zh-CN"/>
        </w:rPr>
      </w:pPr>
      <w:r>
        <w:rPr>
          <w:rFonts w:hint="eastAsia" w:ascii="宋体" w:hAnsi="宋体" w:cs="宋体"/>
          <w:sz w:val="24"/>
          <w:szCs w:val="24"/>
        </w:rPr>
        <w:t>估价委托人：</w:t>
      </w:r>
      <w:r>
        <w:rPr>
          <w:rFonts w:hint="eastAsia" w:ascii="宋体" w:hAnsi="宋体" w:cs="宋体"/>
          <w:sz w:val="24"/>
          <w:szCs w:val="24"/>
          <w:lang w:val="zh-CN"/>
        </w:rPr>
        <w:t>龙岩市永定区人民法院</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jc w:val="left"/>
        <w:textAlignment w:val="auto"/>
        <w:outlineLvl w:val="9"/>
        <w:rPr>
          <w:rFonts w:hint="eastAsia" w:ascii="宋体" w:hAnsi="宋体" w:cs="宋体"/>
          <w:sz w:val="24"/>
          <w:szCs w:val="24"/>
        </w:rPr>
      </w:pPr>
      <w:r>
        <w:rPr>
          <w:rFonts w:hint="eastAsia" w:ascii="宋体" w:hAnsi="宋体" w:cs="宋体"/>
          <w:sz w:val="24"/>
          <w:szCs w:val="24"/>
        </w:rPr>
        <w:t>2、权属人：</w:t>
      </w:r>
      <w:r>
        <w:rPr>
          <w:rFonts w:hint="eastAsia" w:ascii="宋体" w:hAnsi="宋体" w:cs="宋体"/>
          <w:sz w:val="24"/>
          <w:szCs w:val="24"/>
          <w:lang w:eastAsia="zh-CN"/>
        </w:rPr>
        <w:t>廖春兰</w:t>
      </w:r>
    </w:p>
    <w:p>
      <w:pPr>
        <w:keepNext w:val="0"/>
        <w:keepLines w:val="0"/>
        <w:pageBreakBefore w:val="0"/>
        <w:widowControl w:val="0"/>
        <w:numPr>
          <w:ilvl w:val="0"/>
          <w:numId w:val="8"/>
        </w:numPr>
        <w:kinsoku/>
        <w:wordWrap/>
        <w:overflowPunct w:val="0"/>
        <w:topLinePunct w:val="0"/>
        <w:autoSpaceDE/>
        <w:autoSpaceDN/>
        <w:bidi w:val="0"/>
        <w:adjustRightInd/>
        <w:snapToGrid/>
        <w:spacing w:line="500" w:lineRule="exact"/>
        <w:ind w:left="0" w:leftChars="0" w:right="0" w:rightChars="0" w:firstLine="480"/>
        <w:jc w:val="left"/>
        <w:textAlignment w:val="auto"/>
        <w:outlineLvl w:val="9"/>
        <w:rPr>
          <w:rFonts w:hint="eastAsia" w:ascii="宋体" w:hAnsi="宋体" w:cs="宋体"/>
          <w:sz w:val="24"/>
          <w:szCs w:val="24"/>
        </w:rPr>
      </w:pPr>
      <w:r>
        <w:rPr>
          <w:rFonts w:hint="eastAsia" w:ascii="宋体" w:hAnsi="宋体" w:cs="宋体"/>
          <w:sz w:val="24"/>
          <w:szCs w:val="24"/>
        </w:rPr>
        <w:t>申请执行人：</w:t>
      </w:r>
      <w:r>
        <w:rPr>
          <w:rFonts w:hint="eastAsia" w:ascii="宋体" w:hAnsi="宋体" w:cs="宋体"/>
          <w:sz w:val="24"/>
          <w:szCs w:val="24"/>
          <w:lang w:eastAsia="zh-CN"/>
        </w:rPr>
        <w:t>福建永定瑞狮村镇银行股份有限公司</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jc w:val="left"/>
        <w:textAlignment w:val="auto"/>
        <w:outlineLvl w:val="9"/>
        <w:rPr>
          <w:rFonts w:hint="eastAsia" w:ascii="宋体" w:hAnsi="宋体" w:cs="宋体"/>
          <w:sz w:val="24"/>
          <w:szCs w:val="24"/>
        </w:rPr>
      </w:pPr>
      <w:r>
        <w:rPr>
          <w:rFonts w:hint="eastAsia" w:ascii="宋体" w:hAnsi="宋体" w:cs="宋体"/>
          <w:sz w:val="24"/>
          <w:szCs w:val="24"/>
          <w:lang w:val="zh-CN"/>
        </w:rPr>
        <w:t xml:space="preserve"> </w:t>
      </w:r>
      <w:r>
        <w:rPr>
          <w:rFonts w:hint="eastAsia" w:ascii="宋体" w:hAnsi="宋体" w:cs="宋体"/>
          <w:sz w:val="24"/>
          <w:szCs w:val="24"/>
        </w:rPr>
        <w:t xml:space="preserve">   4、被执行人：</w:t>
      </w:r>
      <w:r>
        <w:rPr>
          <w:rFonts w:hint="eastAsia" w:ascii="宋体" w:hAnsi="宋体" w:cs="宋体"/>
          <w:sz w:val="24"/>
          <w:szCs w:val="24"/>
          <w:lang w:eastAsia="zh-CN"/>
        </w:rPr>
        <w:t>廖春兰</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b/>
          <w:sz w:val="28"/>
          <w:szCs w:val="28"/>
        </w:rPr>
      </w:pPr>
      <w:r>
        <w:rPr>
          <w:rFonts w:hint="eastAsia" w:ascii="宋体" w:hAnsi="宋体" w:cs="宋体"/>
          <w:b/>
          <w:sz w:val="28"/>
          <w:szCs w:val="28"/>
        </w:rPr>
        <w:t xml:space="preserve">   二、房地产估价机构</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b/>
          <w:sz w:val="28"/>
          <w:szCs w:val="28"/>
        </w:rPr>
        <w:t xml:space="preserve">   </w:t>
      </w:r>
      <w:r>
        <w:rPr>
          <w:rFonts w:hint="eastAsia" w:ascii="宋体" w:hAnsi="宋体" w:cs="宋体"/>
          <w:sz w:val="24"/>
          <w:szCs w:val="24"/>
        </w:rPr>
        <w:t>估价机构名称：龙岩冠力土地房地产评估有限公司</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法定代表人：</w:t>
      </w:r>
      <w:r>
        <w:rPr>
          <w:rFonts w:hint="eastAsia" w:ascii="宋体" w:hAnsi="宋体" w:cs="宋体"/>
          <w:sz w:val="24"/>
          <w:szCs w:val="24"/>
          <w:lang w:eastAsia="zh-CN"/>
        </w:rPr>
        <w:t>邱新桂</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lang w:eastAsia="zh-CN"/>
        </w:rPr>
        <w:t>备案</w:t>
      </w:r>
      <w:r>
        <w:rPr>
          <w:rFonts w:hint="eastAsia" w:ascii="宋体" w:hAnsi="宋体" w:cs="宋体"/>
          <w:sz w:val="24"/>
          <w:szCs w:val="24"/>
        </w:rPr>
        <w:t xml:space="preserve">等级：二级 </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textAlignment w:val="auto"/>
        <w:outlineLvl w:val="9"/>
        <w:rPr>
          <w:rFonts w:hint="eastAsia" w:ascii="宋体" w:hAnsi="宋体" w:cs="宋体"/>
          <w:sz w:val="24"/>
          <w:szCs w:val="24"/>
        </w:rPr>
      </w:pPr>
      <w:r>
        <w:rPr>
          <w:rFonts w:hint="eastAsia" w:ascii="宋体" w:hAnsi="宋体" w:cs="宋体"/>
          <w:sz w:val="24"/>
          <w:szCs w:val="24"/>
        </w:rPr>
        <w:t xml:space="preserve">证书编号：352014086                  </w:t>
      </w:r>
      <w:r>
        <w:rPr>
          <w:rFonts w:hint="eastAsia" w:ascii="宋体" w:hAnsi="宋体" w:cs="宋体"/>
          <w:sz w:val="24"/>
          <w:szCs w:val="24"/>
          <w:lang w:val="en-US" w:eastAsia="zh-CN"/>
        </w:rPr>
        <w:t xml:space="preserve"> </w:t>
      </w:r>
      <w:r>
        <w:rPr>
          <w:rFonts w:hint="eastAsia" w:ascii="宋体" w:hAnsi="宋体" w:cs="宋体"/>
          <w:sz w:val="24"/>
          <w:szCs w:val="24"/>
        </w:rPr>
        <w:t xml:space="preserve">联系电话：0597-2109981   </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textAlignment w:val="auto"/>
        <w:outlineLvl w:val="9"/>
        <w:rPr>
          <w:rFonts w:hint="eastAsia" w:ascii="宋体" w:hAnsi="宋体" w:cs="宋体"/>
          <w:sz w:val="24"/>
          <w:szCs w:val="24"/>
        </w:rPr>
      </w:pPr>
      <w:r>
        <w:rPr>
          <w:rFonts w:hint="eastAsia" w:ascii="宋体" w:hAnsi="宋体" w:cs="宋体"/>
          <w:sz w:val="24"/>
          <w:szCs w:val="24"/>
        </w:rPr>
        <w:t xml:space="preserve">统一社会信用代码：91350800666852605N </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联系地址：龙岩</w:t>
      </w:r>
      <w:r>
        <w:rPr>
          <w:rFonts w:hint="eastAsia" w:ascii="宋体" w:hAnsi="宋体" w:cs="宋体"/>
          <w:sz w:val="24"/>
          <w:szCs w:val="24"/>
          <w:lang w:eastAsia="zh-CN"/>
        </w:rPr>
        <w:t>商务运营中心</w:t>
      </w:r>
      <w:r>
        <w:rPr>
          <w:rFonts w:hint="eastAsia" w:ascii="宋体" w:hAnsi="宋体" w:cs="宋体"/>
          <w:sz w:val="24"/>
          <w:szCs w:val="24"/>
          <w:lang w:val="en-US" w:eastAsia="zh-CN"/>
        </w:rPr>
        <w:t>H幢紫金大厦20层2002室</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b/>
          <w:sz w:val="28"/>
          <w:szCs w:val="28"/>
        </w:rPr>
        <w:t xml:space="preserve">   三、估价目的</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b/>
          <w:sz w:val="28"/>
          <w:szCs w:val="28"/>
        </w:rPr>
      </w:pPr>
      <w:r>
        <w:rPr>
          <w:rFonts w:hint="eastAsia" w:ascii="宋体" w:hAnsi="宋体" w:cs="宋体"/>
          <w:sz w:val="24"/>
          <w:szCs w:val="24"/>
        </w:rPr>
        <w:t xml:space="preserve">   </w:t>
      </w:r>
      <w:r>
        <w:rPr>
          <w:rFonts w:hint="eastAsia" w:ascii="宋体" w:hAnsi="宋体" w:cs="宋体"/>
          <w:bCs/>
          <w:sz w:val="24"/>
          <w:szCs w:val="24"/>
        </w:rPr>
        <w:t>估价目的是</w:t>
      </w:r>
      <w:r>
        <w:rPr>
          <w:rFonts w:hint="eastAsia" w:ascii="宋体" w:hAnsi="宋体" w:cs="宋体"/>
          <w:sz w:val="24"/>
          <w:szCs w:val="24"/>
          <w:lang w:eastAsia="zh-CN"/>
        </w:rPr>
        <w:t>为人民法院确定财产处置参考价提供参考依据</w:t>
      </w:r>
      <w:r>
        <w:rPr>
          <w:rFonts w:hint="eastAsia" w:ascii="宋体" w:hAnsi="宋体" w:cs="宋体"/>
          <w:sz w:val="24"/>
          <w:szCs w:val="24"/>
        </w:rPr>
        <w:t>。</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b/>
          <w:sz w:val="28"/>
          <w:szCs w:val="28"/>
        </w:rPr>
      </w:pPr>
      <w:r>
        <w:rPr>
          <w:rFonts w:hint="eastAsia" w:ascii="宋体" w:hAnsi="宋体" w:cs="宋体"/>
          <w:b/>
          <w:sz w:val="28"/>
          <w:szCs w:val="28"/>
        </w:rPr>
        <w:t xml:space="preserve">   四、估价对象</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（一）估价对象财产范围</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1"/>
        <w:textAlignment w:val="auto"/>
        <w:outlineLvl w:val="9"/>
        <w:rPr>
          <w:rFonts w:hint="eastAsia" w:ascii="宋体" w:hAnsi="宋体" w:cs="宋体"/>
          <w:sz w:val="24"/>
          <w:szCs w:val="24"/>
        </w:rPr>
      </w:pPr>
      <w:r>
        <w:rPr>
          <w:rFonts w:hint="eastAsia" w:ascii="宋体" w:hAnsi="宋体" w:cs="宋体"/>
          <w:sz w:val="24"/>
          <w:szCs w:val="24"/>
        </w:rPr>
        <w:t>估价对象财产范围包括建筑物（</w:t>
      </w:r>
      <w:r>
        <w:rPr>
          <w:rFonts w:hint="eastAsia" w:ascii="宋体" w:hAnsi="宋体" w:cs="宋体"/>
          <w:sz w:val="24"/>
          <w:szCs w:val="24"/>
          <w:lang w:eastAsia="zh-CN"/>
        </w:rPr>
        <w:t>含二次装修价值</w:t>
      </w:r>
      <w:r>
        <w:rPr>
          <w:rFonts w:hint="eastAsia" w:ascii="宋体" w:hAnsi="宋体" w:cs="宋体"/>
          <w:sz w:val="24"/>
          <w:szCs w:val="24"/>
        </w:rPr>
        <w:t>）、分摊的土地使用权（含土地出让金）及公共配套设施，不包括动产、债权债务、特许经营权等其他财产或权益。</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（二）估价对象基本状况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textAlignment w:val="auto"/>
        <w:outlineLvl w:val="9"/>
        <w:rPr>
          <w:rFonts w:hint="eastAsia" w:ascii="宋体" w:hAnsi="宋体" w:cs="宋体"/>
          <w:color w:val="000000"/>
          <w:sz w:val="24"/>
          <w:szCs w:val="24"/>
          <w:lang w:eastAsia="zh-CN"/>
        </w:rPr>
      </w:pPr>
      <w:r>
        <w:rPr>
          <w:rFonts w:hint="eastAsia" w:ascii="宋体" w:hAnsi="宋体" w:eastAsia="宋体" w:cs="宋体"/>
          <w:color w:val="000000"/>
          <w:sz w:val="24"/>
          <w:szCs w:val="24"/>
          <w:lang w:val="en-US" w:eastAsia="zh-CN"/>
        </w:rPr>
        <w:t>估</w:t>
      </w:r>
      <w:r>
        <w:rPr>
          <w:rFonts w:hint="eastAsia" w:ascii="宋体" w:hAnsi="宋体" w:cs="宋体"/>
          <w:color w:val="000000"/>
          <w:sz w:val="24"/>
          <w:szCs w:val="24"/>
          <w:lang w:val="en-US" w:eastAsia="zh-CN"/>
        </w:rPr>
        <w:t>价对象坐落于龙岩市永定县坎市镇沿河南路7层705室住宅；所在楼幢为钢混</w:t>
      </w:r>
      <w:r>
        <w:rPr>
          <w:rFonts w:hint="eastAsia" w:ascii="宋体" w:hAnsi="宋体" w:cs="宋体"/>
          <w:color w:val="000000"/>
          <w:sz w:val="24"/>
          <w:szCs w:val="24"/>
          <w:lang w:eastAsia="zh-CN"/>
        </w:rPr>
        <w:t>结构，总层数为</w:t>
      </w:r>
      <w:r>
        <w:rPr>
          <w:rFonts w:hint="eastAsia" w:ascii="宋体" w:hAnsi="宋体" w:cs="宋体"/>
          <w:color w:val="000000"/>
          <w:sz w:val="24"/>
          <w:szCs w:val="24"/>
          <w:lang w:val="en-US" w:eastAsia="zh-CN"/>
        </w:rPr>
        <w:t>8</w:t>
      </w:r>
      <w:r>
        <w:rPr>
          <w:rFonts w:hint="eastAsia" w:ascii="宋体" w:hAnsi="宋体" w:cs="宋体"/>
          <w:color w:val="000000"/>
          <w:sz w:val="24"/>
          <w:szCs w:val="24"/>
          <w:lang w:eastAsia="zh-CN"/>
        </w:rPr>
        <w:t>层，估价对象位于第</w:t>
      </w:r>
      <w:r>
        <w:rPr>
          <w:rFonts w:hint="eastAsia" w:ascii="宋体" w:hAnsi="宋体" w:cs="宋体"/>
          <w:color w:val="000000"/>
          <w:sz w:val="24"/>
          <w:szCs w:val="24"/>
          <w:lang w:val="en-US" w:eastAsia="zh-CN"/>
        </w:rPr>
        <w:t>7层，住宅</w:t>
      </w:r>
      <w:r>
        <w:rPr>
          <w:rFonts w:hint="eastAsia" w:ascii="宋体" w:hAnsi="宋体" w:cs="宋体"/>
          <w:color w:val="000000"/>
          <w:sz w:val="24"/>
          <w:szCs w:val="24"/>
          <w:lang w:eastAsia="zh-CN"/>
        </w:rPr>
        <w:t>建筑面积为</w:t>
      </w:r>
      <w:r>
        <w:rPr>
          <w:rFonts w:hint="eastAsia" w:ascii="宋体" w:hAnsi="宋体" w:cs="宋体"/>
          <w:color w:val="000000"/>
          <w:sz w:val="24"/>
          <w:szCs w:val="24"/>
          <w:lang w:val="en-US" w:eastAsia="zh-CN"/>
        </w:rPr>
        <w:t>32.29</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vertAlign w:val="baseline"/>
          <w:lang w:val="en-US" w:eastAsia="zh-CN"/>
        </w:rPr>
        <w:t>（其中分摊面积为</w:t>
      </w:r>
      <w:r>
        <w:rPr>
          <w:rFonts w:hint="eastAsia" w:ascii="宋体" w:hAnsi="宋体" w:cs="宋体"/>
          <w:color w:val="000000"/>
          <w:sz w:val="24"/>
          <w:szCs w:val="24"/>
          <w:vertAlign w:val="baseline"/>
          <w:lang w:val="en-US" w:eastAsia="zh-CN"/>
        </w:rPr>
        <w:t>4.65</w:t>
      </w:r>
      <w:r>
        <w:rPr>
          <w:rFonts w:hint="eastAsia" w:ascii="宋体" w:hAnsi="宋体" w:eastAsia="宋体" w:cs="宋体"/>
          <w:color w:val="000000"/>
          <w:sz w:val="24"/>
          <w:szCs w:val="24"/>
          <w:lang w:val="en-US" w:eastAsia="zh-CN"/>
        </w:rPr>
        <w:t>m</w:t>
      </w:r>
      <w:r>
        <w:rPr>
          <w:rFonts w:hint="eastAsia" w:ascii="宋体" w:hAnsi="宋体" w:eastAsia="宋体" w:cs="宋体"/>
          <w:color w:val="000000"/>
          <w:sz w:val="24"/>
          <w:szCs w:val="24"/>
          <w:vertAlign w:val="superscript"/>
          <w:lang w:val="en-US" w:eastAsia="zh-CN"/>
        </w:rPr>
        <w:t>2</w:t>
      </w:r>
      <w:r>
        <w:rPr>
          <w:rFonts w:hint="eastAsia" w:ascii="宋体" w:hAnsi="宋体" w:eastAsia="宋体" w:cs="宋体"/>
          <w:color w:val="000000"/>
          <w:sz w:val="24"/>
          <w:szCs w:val="24"/>
          <w:vertAlign w:val="baseline"/>
          <w:lang w:val="en-US" w:eastAsia="zh-CN"/>
        </w:rPr>
        <w:t>）</w:t>
      </w:r>
      <w:r>
        <w:rPr>
          <w:rFonts w:hint="eastAsia" w:ascii="宋体" w:hAnsi="宋体" w:cs="宋体"/>
          <w:color w:val="000000"/>
          <w:sz w:val="24"/>
          <w:szCs w:val="24"/>
          <w:lang w:eastAsia="zh-CN"/>
        </w:rPr>
        <w:t>，法定用途及实际用途为住宅，</w:t>
      </w:r>
      <w:bookmarkStart w:id="3" w:name="OLE_LINK45"/>
      <w:r>
        <w:rPr>
          <w:rFonts w:hint="eastAsia" w:ascii="宋体" w:hAnsi="宋体" w:cs="宋体"/>
          <w:color w:val="000000"/>
          <w:sz w:val="24"/>
          <w:szCs w:val="24"/>
          <w:lang w:eastAsia="zh-CN"/>
        </w:rPr>
        <w:t>权属人为</w:t>
      </w:r>
      <w:bookmarkEnd w:id="3"/>
      <w:r>
        <w:rPr>
          <w:rFonts w:hint="eastAsia" w:ascii="宋体" w:hAnsi="宋体" w:cs="宋体"/>
          <w:color w:val="000000"/>
          <w:sz w:val="24"/>
          <w:szCs w:val="24"/>
          <w:lang w:eastAsia="zh-CN"/>
        </w:rPr>
        <w:t>廖春兰。</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（三）土地基本状况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color w:val="auto"/>
          <w:sz w:val="24"/>
          <w:szCs w:val="24"/>
        </w:rPr>
      </w:pPr>
      <w:r>
        <w:rPr>
          <w:rFonts w:hint="eastAsia" w:ascii="宋体" w:hAnsi="宋体" w:cs="宋体"/>
          <w:sz w:val="24"/>
          <w:szCs w:val="24"/>
        </w:rPr>
        <w:t>1、</w:t>
      </w:r>
      <w:r>
        <w:rPr>
          <w:rFonts w:hint="eastAsia" w:ascii="宋体" w:hAnsi="宋体" w:cs="宋体"/>
          <w:sz w:val="24"/>
          <w:szCs w:val="24"/>
          <w:lang w:eastAsia="zh-CN"/>
        </w:rPr>
        <w:t>东与坎市沿河中路相邻，南与通道相邻，西与</w:t>
      </w:r>
      <w:r>
        <w:rPr>
          <w:rFonts w:hint="eastAsia" w:ascii="宋体" w:hAnsi="宋体" w:cs="宋体"/>
          <w:sz w:val="24"/>
          <w:szCs w:val="24"/>
          <w:lang w:val="en-US" w:eastAsia="zh-CN"/>
        </w:rPr>
        <w:t>永定河</w:t>
      </w:r>
      <w:r>
        <w:rPr>
          <w:rFonts w:hint="eastAsia" w:ascii="宋体" w:hAnsi="宋体" w:cs="宋体"/>
          <w:sz w:val="24"/>
          <w:szCs w:val="24"/>
          <w:lang w:eastAsia="zh-CN"/>
        </w:rPr>
        <w:t>相邻，北与通道相邻</w:t>
      </w:r>
      <w:r>
        <w:rPr>
          <w:rFonts w:hint="eastAsia" w:ascii="宋体" w:hAnsi="宋体" w:cs="宋体"/>
          <w:sz w:val="24"/>
          <w:szCs w:val="24"/>
        </w:rPr>
        <w:t>。周边标志性建筑物有</w:t>
      </w:r>
      <w:r>
        <w:rPr>
          <w:rFonts w:hint="eastAsia" w:ascii="宋体" w:hAnsi="宋体" w:cs="宋体"/>
          <w:sz w:val="24"/>
          <w:szCs w:val="24"/>
          <w:lang w:val="en-US" w:eastAsia="zh-CN"/>
        </w:rPr>
        <w:t>坎市镇政府、彩金实验小学、永定区坎市中学、云川公园等</w:t>
      </w:r>
      <w:r>
        <w:rPr>
          <w:rFonts w:hint="eastAsia" w:ascii="宋体" w:hAnsi="宋体" w:cs="宋体"/>
          <w:sz w:val="24"/>
          <w:szCs w:val="24"/>
        </w:rPr>
        <w:t>。土地等级</w:t>
      </w:r>
      <w:r>
        <w:rPr>
          <w:rFonts w:hint="eastAsia" w:ascii="宋体" w:hAnsi="宋体" w:cs="宋体"/>
          <w:color w:val="auto"/>
          <w:sz w:val="24"/>
          <w:szCs w:val="24"/>
        </w:rPr>
        <w:t>属于</w:t>
      </w:r>
      <w:r>
        <w:rPr>
          <w:rFonts w:hint="eastAsia" w:ascii="宋体" w:hAnsi="宋体" w:cs="宋体"/>
          <w:color w:val="auto"/>
          <w:sz w:val="24"/>
          <w:szCs w:val="24"/>
          <w:lang w:eastAsia="zh-CN"/>
        </w:rPr>
        <w:t>永定中心城区二级住</w:t>
      </w:r>
      <w:r>
        <w:rPr>
          <w:rFonts w:hint="eastAsia" w:ascii="宋体" w:hAnsi="宋体" w:cs="宋体"/>
          <w:color w:val="auto"/>
          <w:sz w:val="24"/>
          <w:szCs w:val="24"/>
        </w:rPr>
        <w:t>宅用地。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cs="宋体"/>
          <w:sz w:val="24"/>
          <w:szCs w:val="24"/>
          <w:lang w:val="en-US" w:eastAsia="zh-CN"/>
        </w:rPr>
      </w:pPr>
      <w:r>
        <w:rPr>
          <w:rFonts w:hint="eastAsia" w:ascii="宋体" w:hAnsi="宋体" w:cs="宋体"/>
          <w:sz w:val="24"/>
          <w:szCs w:val="24"/>
        </w:rPr>
        <w:t>2、土地使用权类型及土地使用期限：土地使用权类型为</w:t>
      </w:r>
      <w:r>
        <w:rPr>
          <w:rFonts w:hint="eastAsia" w:ascii="宋体" w:hAnsi="宋体" w:cs="宋体"/>
          <w:sz w:val="24"/>
          <w:szCs w:val="24"/>
          <w:lang w:eastAsia="zh-CN"/>
        </w:rPr>
        <w:t>出让，土地终止日期为</w:t>
      </w:r>
      <w:r>
        <w:rPr>
          <w:rFonts w:hint="eastAsia" w:ascii="宋体" w:hAnsi="宋体" w:cs="宋体"/>
          <w:sz w:val="24"/>
          <w:szCs w:val="24"/>
          <w:lang w:val="en-US" w:eastAsia="zh-CN"/>
        </w:rPr>
        <w:t xml:space="preserve">2075年7月20日。                  </w:t>
      </w:r>
    </w:p>
    <w:p>
      <w:pPr>
        <w:pStyle w:val="2"/>
        <w:ind w:left="0" w:leftChars="0" w:firstLine="0" w:firstLineChars="0"/>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1"/>
        <w:jc w:val="right"/>
        <w:textAlignment w:val="auto"/>
        <w:outlineLvl w:val="9"/>
        <w:rPr>
          <w:rFonts w:hint="eastAsia" w:ascii="宋体" w:hAnsi="宋体" w:cs="宋体"/>
          <w:b/>
          <w:color w:val="000000"/>
          <w:sz w:val="24"/>
          <w:szCs w:val="24"/>
        </w:rPr>
      </w:pPr>
      <w:r>
        <w:rPr>
          <w:rFonts w:hint="eastAsia" w:ascii="宋体" w:hAnsi="宋体" w:cs="宋体"/>
          <w:sz w:val="24"/>
          <w:szCs w:val="24"/>
          <w:lang w:val="en-US" w:eastAsia="zh-CN"/>
        </w:rPr>
        <w:t xml:space="preserve"> </w:t>
      </w:r>
      <w:r>
        <w:rPr>
          <w:rFonts w:hint="eastAsia" w:ascii="宋体" w:hAnsi="宋体" w:cs="宋体"/>
          <w:color w:val="000000"/>
          <w:sz w:val="24"/>
          <w:szCs w:val="24"/>
        </w:rPr>
        <w:t>权属登记摘录表                           表2</w:t>
      </w:r>
    </w:p>
    <w:tbl>
      <w:tblPr>
        <w:tblStyle w:val="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2632"/>
        <w:gridCol w:w="1912"/>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cs="宋体"/>
                <w:b/>
                <w:color w:val="000000"/>
                <w:szCs w:val="21"/>
              </w:rPr>
              <w:t>估价对象</w:t>
            </w:r>
          </w:p>
        </w:tc>
        <w:tc>
          <w:tcPr>
            <w:tcW w:w="7327" w:type="dxa"/>
            <w:gridSpan w:val="3"/>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pacing w:val="0"/>
                <w:sz w:val="21"/>
                <w:szCs w:val="21"/>
                <w:lang w:eastAsia="zh-CN"/>
              </w:rPr>
            </w:pPr>
            <w:r>
              <w:rPr>
                <w:rFonts w:hint="eastAsia" w:ascii="宋体" w:hAnsi="宋体" w:eastAsia="宋体" w:cs="宋体"/>
                <w:color w:val="000000"/>
                <w:kern w:val="2"/>
                <w:sz w:val="21"/>
                <w:szCs w:val="21"/>
                <w:lang w:val="en-US" w:eastAsia="zh-CN" w:bidi="ar-SA"/>
              </w:rPr>
              <w:t>龙岩市永定县坎市镇沿河小区7层705室</w:t>
            </w:r>
            <w:r>
              <w:rPr>
                <w:rFonts w:hint="eastAsia" w:ascii="宋体" w:hAnsi="宋体" w:eastAsia="宋体" w:cs="宋体"/>
                <w:color w:val="000000"/>
                <w:sz w:val="21"/>
                <w:szCs w:val="21"/>
                <w:lang w:eastAsia="zh-CN"/>
              </w:rPr>
              <w:t>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000000"/>
                <w:szCs w:val="21"/>
                <w:lang w:eastAsia="zh-CN"/>
              </w:rPr>
            </w:pPr>
            <w:r>
              <w:rPr>
                <w:rFonts w:hint="eastAsia" w:ascii="宋体" w:hAnsi="宋体" w:cs="宋体"/>
                <w:b/>
                <w:color w:val="000000"/>
                <w:szCs w:val="21"/>
                <w:lang w:eastAsia="zh-CN"/>
              </w:rPr>
              <w:t>房屋所有权人</w:t>
            </w:r>
          </w:p>
        </w:tc>
        <w:tc>
          <w:tcPr>
            <w:tcW w:w="73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廖春兰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9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000000"/>
                <w:szCs w:val="21"/>
                <w:lang w:eastAsia="zh-CN"/>
              </w:rPr>
            </w:pPr>
            <w:r>
              <w:rPr>
                <w:rFonts w:hint="eastAsia" w:ascii="宋体" w:hAnsi="宋体" w:cs="宋体"/>
                <w:b/>
                <w:color w:val="000000"/>
                <w:szCs w:val="21"/>
                <w:lang w:eastAsia="zh-CN"/>
              </w:rPr>
              <w:t>房屋所有权证</w:t>
            </w:r>
          </w:p>
        </w:tc>
        <w:tc>
          <w:tcPr>
            <w:tcW w:w="73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vertAlign w:val="baseline"/>
                <w:lang w:val="en-US" w:eastAsia="zh-CN"/>
              </w:rPr>
              <w:t>永</w:t>
            </w:r>
            <w:r>
              <w:rPr>
                <w:rFonts w:hint="eastAsia" w:ascii="宋体" w:hAnsi="宋体" w:cs="宋体"/>
                <w:color w:val="000000"/>
                <w:sz w:val="21"/>
                <w:szCs w:val="21"/>
                <w:vertAlign w:val="baseline"/>
                <w:lang w:eastAsia="zh-CN"/>
              </w:rPr>
              <w:t>房权证</w:t>
            </w:r>
            <w:r>
              <w:rPr>
                <w:rFonts w:hint="eastAsia" w:ascii="宋体" w:hAnsi="宋体" w:cs="宋体"/>
                <w:color w:val="000000"/>
                <w:sz w:val="21"/>
                <w:szCs w:val="21"/>
                <w:vertAlign w:val="baseline"/>
                <w:lang w:val="en-US" w:eastAsia="zh-CN"/>
              </w:rPr>
              <w:t>2014</w:t>
            </w:r>
            <w:r>
              <w:rPr>
                <w:rFonts w:hint="eastAsia" w:ascii="宋体" w:hAnsi="宋体" w:cs="宋体"/>
                <w:color w:val="000000"/>
                <w:sz w:val="21"/>
                <w:szCs w:val="21"/>
                <w:vertAlign w:val="baseline"/>
                <w:lang w:eastAsia="zh-CN"/>
              </w:rPr>
              <w:t>字第</w:t>
            </w:r>
            <w:r>
              <w:rPr>
                <w:rFonts w:hint="eastAsia" w:ascii="宋体" w:hAnsi="宋体" w:cs="宋体"/>
                <w:color w:val="000000"/>
                <w:sz w:val="21"/>
                <w:szCs w:val="21"/>
                <w:vertAlign w:val="baseline"/>
                <w:lang w:val="en-US" w:eastAsia="zh-CN"/>
              </w:rPr>
              <w:t>02330</w:t>
            </w:r>
            <w:r>
              <w:rPr>
                <w:rFonts w:hint="eastAsia" w:ascii="宋体" w:hAnsi="宋体" w:cs="宋体"/>
                <w:color w:val="000000"/>
                <w:sz w:val="21"/>
                <w:szCs w:val="21"/>
                <w:vertAlign w:val="baseline"/>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kern w:val="2"/>
                <w:sz w:val="21"/>
                <w:szCs w:val="21"/>
                <w:lang w:val="en-US" w:eastAsia="zh-CN" w:bidi="ar-SA"/>
              </w:rPr>
            </w:pPr>
            <w:r>
              <w:rPr>
                <w:rFonts w:hint="eastAsia" w:ascii="宋体" w:hAnsi="宋体" w:eastAsia="宋体" w:cs="宋体"/>
                <w:b/>
                <w:color w:val="000000"/>
                <w:szCs w:val="21"/>
              </w:rPr>
              <w:t>建筑结构</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框架</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kern w:val="2"/>
                <w:sz w:val="21"/>
                <w:szCs w:val="21"/>
                <w:lang w:val="en-US" w:eastAsia="zh-CN" w:bidi="ar-SA"/>
              </w:rPr>
            </w:pPr>
            <w:r>
              <w:rPr>
                <w:rFonts w:hint="eastAsia" w:ascii="宋体" w:hAnsi="宋体" w:cs="宋体"/>
                <w:b/>
                <w:color w:val="000000"/>
                <w:szCs w:val="21"/>
                <w:lang w:val="en-US" w:eastAsia="zh-CN"/>
              </w:rPr>
              <w:t>规划</w:t>
            </w:r>
            <w:r>
              <w:rPr>
                <w:rFonts w:hint="eastAsia" w:ascii="宋体" w:hAnsi="宋体" w:eastAsia="宋体" w:cs="宋体"/>
                <w:b/>
                <w:color w:val="000000"/>
                <w:szCs w:val="21"/>
              </w:rPr>
              <w:t>用途</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kern w:val="2"/>
                <w:sz w:val="21"/>
                <w:szCs w:val="21"/>
                <w:lang w:val="en-US" w:eastAsia="zh-CN" w:bidi="ar-SA"/>
              </w:rPr>
            </w:pPr>
            <w:r>
              <w:rPr>
                <w:rFonts w:hint="eastAsia" w:ascii="宋体" w:hAnsi="宋体" w:eastAsia="宋体" w:cs="宋体"/>
                <w:b/>
                <w:color w:val="000000"/>
                <w:szCs w:val="21"/>
              </w:rPr>
              <w:t>建成年份</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kern w:val="2"/>
                <w:sz w:val="21"/>
                <w:szCs w:val="21"/>
                <w:lang w:val="zh-CN" w:eastAsia="zh-CN" w:bidi="ar-SA"/>
              </w:rPr>
            </w:pPr>
            <w:r>
              <w:rPr>
                <w:rFonts w:hint="eastAsia" w:ascii="宋体" w:hAnsi="宋体" w:cs="宋体"/>
                <w:color w:val="000000"/>
                <w:szCs w:val="21"/>
                <w:lang w:val="en-US" w:eastAsia="zh-CN"/>
              </w:rPr>
              <w:t>约</w:t>
            </w:r>
            <w:r>
              <w:rPr>
                <w:rFonts w:hint="eastAsia" w:ascii="宋体" w:hAnsi="宋体" w:eastAsia="宋体" w:cs="宋体"/>
                <w:color w:val="000000"/>
                <w:szCs w:val="21"/>
                <w:lang w:val="en-US" w:eastAsia="zh-CN"/>
              </w:rPr>
              <w:t>200</w:t>
            </w:r>
            <w:r>
              <w:rPr>
                <w:rFonts w:hint="eastAsia" w:ascii="宋体" w:hAnsi="宋体" w:cs="宋体"/>
                <w:color w:val="000000"/>
                <w:szCs w:val="21"/>
                <w:lang w:val="en-US" w:eastAsia="zh-CN"/>
              </w:rPr>
              <w:t>5</w:t>
            </w:r>
            <w:r>
              <w:rPr>
                <w:rFonts w:hint="eastAsia" w:ascii="宋体" w:hAnsi="宋体" w:eastAsia="宋体" w:cs="宋体"/>
                <w:color w:val="000000"/>
                <w:szCs w:val="21"/>
                <w:lang w:val="en-US" w:eastAsia="zh-CN"/>
              </w:rPr>
              <w:t>年</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kern w:val="2"/>
                <w:sz w:val="21"/>
                <w:szCs w:val="21"/>
                <w:lang w:val="en-US" w:eastAsia="zh-CN" w:bidi="ar-SA"/>
              </w:rPr>
            </w:pPr>
            <w:r>
              <w:rPr>
                <w:rFonts w:hint="eastAsia" w:ascii="宋体" w:hAnsi="宋体" w:eastAsia="宋体" w:cs="宋体"/>
                <w:b/>
                <w:color w:val="000000"/>
                <w:szCs w:val="21"/>
              </w:rPr>
              <w:t>层  高</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kern w:val="2"/>
                <w:sz w:val="21"/>
                <w:szCs w:val="21"/>
                <w:lang w:val="zh-CN" w:eastAsia="zh-CN" w:bidi="ar-SA"/>
              </w:rPr>
            </w:pPr>
            <w:r>
              <w:rPr>
                <w:rFonts w:hint="eastAsia" w:ascii="宋体" w:hAnsi="宋体" w:eastAsia="宋体" w:cs="宋体"/>
                <w:color w:val="000000"/>
                <w:szCs w:val="21"/>
              </w:rPr>
              <w:t>约</w:t>
            </w:r>
            <w:r>
              <w:rPr>
                <w:rFonts w:hint="eastAsia" w:ascii="宋体" w:hAnsi="宋体" w:eastAsia="宋体" w:cs="宋体"/>
                <w:color w:val="000000"/>
                <w:szCs w:val="21"/>
                <w:lang w:val="en-US" w:eastAsia="zh-CN"/>
              </w:rPr>
              <w:t>2.9</w:t>
            </w:r>
            <w:r>
              <w:rPr>
                <w:rFonts w:hint="eastAsia" w:ascii="宋体" w:hAnsi="宋体" w:eastAsia="宋体" w:cs="宋体"/>
                <w:color w:val="000000"/>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外 墙 面</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b w:val="0"/>
                <w:bCs w:val="0"/>
                <w:color w:val="000000"/>
                <w:szCs w:val="21"/>
                <w:lang w:eastAsia="zh-CN"/>
              </w:rPr>
              <w:t>涂料粉刷</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层次/层数</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lang w:eastAsia="zh-CN"/>
              </w:rPr>
              <w:t>住宅</w:t>
            </w:r>
            <w:r>
              <w:rPr>
                <w:rFonts w:hint="eastAsia" w:ascii="宋体" w:hAnsi="宋体" w:eastAsia="宋体" w:cs="宋体"/>
                <w:b/>
                <w:color w:val="000000"/>
                <w:szCs w:val="21"/>
              </w:rPr>
              <w:t>建筑面积</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cs="宋体"/>
                <w:color w:val="000000"/>
                <w:szCs w:val="21"/>
                <w:lang w:val="en-US" w:eastAsia="zh-CN"/>
              </w:rPr>
              <w:t>32.29</w:t>
            </w:r>
            <w:r>
              <w:rPr>
                <w:rFonts w:hint="eastAsia" w:ascii="宋体" w:hAnsi="宋体" w:eastAsia="宋体" w:cs="宋体"/>
                <w:color w:val="000000"/>
                <w:szCs w:val="21"/>
                <w:lang w:val="en-US" w:eastAsia="zh-CN"/>
              </w:rPr>
              <w:t>m</w:t>
            </w:r>
            <w:r>
              <w:rPr>
                <w:rFonts w:hint="eastAsia" w:ascii="宋体" w:hAnsi="宋体" w:eastAsia="宋体" w:cs="宋体"/>
                <w:color w:val="000000"/>
                <w:szCs w:val="21"/>
                <w:vertAlign w:val="superscript"/>
                <w:lang w:val="en-US" w:eastAsia="zh-CN"/>
              </w:rPr>
              <w:t>2</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其中</w:t>
            </w:r>
            <w:r>
              <w:rPr>
                <w:rFonts w:hint="eastAsia" w:ascii="宋体" w:hAnsi="宋体" w:eastAsia="宋体" w:cs="宋体"/>
                <w:b/>
                <w:color w:val="000000"/>
                <w:szCs w:val="21"/>
                <w:lang w:eastAsia="zh-CN"/>
              </w:rPr>
              <w:t>公摊</w:t>
            </w:r>
            <w:r>
              <w:rPr>
                <w:rFonts w:hint="eastAsia" w:ascii="宋体" w:hAnsi="宋体" w:eastAsia="宋体" w:cs="宋体"/>
                <w:b/>
                <w:color w:val="000000"/>
                <w:szCs w:val="21"/>
              </w:rPr>
              <w:t>面积</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bookmarkStart w:id="4" w:name="OLE_LINK60"/>
            <w:bookmarkStart w:id="5" w:name="OLE_LINK51"/>
            <w:r>
              <w:rPr>
                <w:rFonts w:hint="eastAsia" w:ascii="宋体" w:hAnsi="宋体" w:cs="宋体"/>
                <w:color w:val="000000"/>
                <w:szCs w:val="21"/>
                <w:lang w:val="en-US" w:eastAsia="zh-CN"/>
              </w:rPr>
              <w:t>4.65</w:t>
            </w:r>
            <w:r>
              <w:rPr>
                <w:rFonts w:hint="eastAsia" w:ascii="宋体" w:hAnsi="宋体" w:eastAsia="宋体" w:cs="宋体"/>
                <w:color w:val="000000"/>
                <w:szCs w:val="21"/>
                <w:lang w:val="en-US" w:eastAsia="zh-CN"/>
              </w:rPr>
              <w:t>m</w:t>
            </w:r>
            <w:r>
              <w:rPr>
                <w:rFonts w:hint="eastAsia" w:ascii="宋体" w:hAnsi="宋体" w:eastAsia="宋体" w:cs="宋体"/>
                <w:color w:val="000000"/>
                <w:szCs w:val="21"/>
                <w:vertAlign w:val="superscript"/>
                <w:lang w:val="en-US" w:eastAsia="zh-CN"/>
              </w:rPr>
              <w:t>2</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国有土地使用证</w:t>
            </w:r>
          </w:p>
        </w:tc>
        <w:tc>
          <w:tcPr>
            <w:tcW w:w="73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lang w:val="zh-CN"/>
              </w:rPr>
            </w:pPr>
            <w:r>
              <w:rPr>
                <w:rFonts w:hint="eastAsia" w:ascii="宋体" w:hAnsi="宋体" w:cs="宋体"/>
                <w:color w:val="000000"/>
                <w:sz w:val="21"/>
                <w:szCs w:val="21"/>
                <w:vertAlign w:val="baseline"/>
                <w:lang w:val="en-US" w:eastAsia="zh-CN"/>
              </w:rPr>
              <w:t>永国用（2015）第R879号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土地使用权人</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lang w:val="zh-CN"/>
              </w:rPr>
            </w:pPr>
            <w:r>
              <w:rPr>
                <w:rFonts w:hint="eastAsia" w:ascii="宋体" w:hAnsi="宋体" w:cs="宋体"/>
                <w:color w:val="000000"/>
                <w:sz w:val="21"/>
                <w:szCs w:val="21"/>
                <w:lang w:val="en-US" w:eastAsia="zh-CN"/>
              </w:rPr>
              <w:t>廖春兰</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土地使用权类型</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zh-CN"/>
              </w:rPr>
              <w:t>出</w:t>
            </w:r>
            <w:r>
              <w:rPr>
                <w:rFonts w:hint="eastAsia" w:ascii="宋体" w:hAnsi="宋体" w:eastAsia="宋体" w:cs="宋体"/>
                <w:color w:val="000000"/>
                <w:sz w:val="21"/>
                <w:szCs w:val="21"/>
                <w:lang w:val="en-US" w:eastAsia="zh-CN"/>
              </w:rPr>
              <w:t xml:space="preserve">  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color w:val="000000"/>
                <w:szCs w:val="21"/>
                <w:lang w:eastAsia="zh-CN"/>
              </w:rPr>
            </w:pPr>
            <w:r>
              <w:rPr>
                <w:rFonts w:hint="eastAsia" w:ascii="宋体" w:hAnsi="宋体" w:eastAsia="宋体" w:cs="宋体"/>
                <w:b/>
                <w:color w:val="000000"/>
                <w:szCs w:val="21"/>
                <w:lang w:eastAsia="zh-CN"/>
              </w:rPr>
              <w:t>地类（用途）</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住宅</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lang w:eastAsia="zh-CN"/>
              </w:rPr>
              <w:t>土地</w:t>
            </w:r>
            <w:r>
              <w:rPr>
                <w:rFonts w:hint="eastAsia" w:ascii="宋体" w:hAnsi="宋体" w:eastAsia="宋体" w:cs="宋体"/>
                <w:b/>
                <w:color w:val="000000"/>
                <w:szCs w:val="21"/>
              </w:rPr>
              <w:t>使用权面积</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lang w:val="zh-CN"/>
              </w:rPr>
            </w:pPr>
            <w:r>
              <w:rPr>
                <w:rFonts w:hint="eastAsia" w:ascii="宋体" w:hAnsi="宋体" w:cs="宋体"/>
                <w:color w:val="000000"/>
                <w:szCs w:val="21"/>
                <w:lang w:val="en-US" w:eastAsia="zh-CN"/>
              </w:rPr>
              <w:t>3.2</w:t>
            </w:r>
            <w:r>
              <w:rPr>
                <w:rFonts w:hint="eastAsia" w:ascii="宋体" w:hAnsi="宋体" w:eastAsia="宋体" w:cs="宋体"/>
                <w:color w:val="000000"/>
                <w:szCs w:val="21"/>
                <w:lang w:val="en-US" w:eastAsia="zh-CN"/>
              </w:rPr>
              <w:t>m</w:t>
            </w:r>
            <w:r>
              <w:rPr>
                <w:rFonts w:hint="eastAsia" w:ascii="宋体" w:hAnsi="宋体" w:eastAsia="宋体" w:cs="宋体"/>
                <w:color w:val="000000"/>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地号</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015/07/（36）-105-A17</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color w:val="000000"/>
                <w:szCs w:val="21"/>
              </w:rPr>
            </w:pPr>
            <w:r>
              <w:rPr>
                <w:rFonts w:hint="eastAsia" w:ascii="宋体" w:hAnsi="宋体" w:eastAsia="宋体" w:cs="宋体"/>
                <w:b/>
                <w:color w:val="000000"/>
                <w:szCs w:val="21"/>
              </w:rPr>
              <w:t>终止日期</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rPr>
            </w:pPr>
            <w:r>
              <w:rPr>
                <w:rFonts w:hint="eastAsia" w:ascii="宋体" w:hAnsi="宋体" w:cs="宋体"/>
                <w:color w:val="000000"/>
                <w:szCs w:val="21"/>
                <w:lang w:val="en-US" w:eastAsia="zh-CN"/>
              </w:rPr>
              <w:t>2075年7月20</w:t>
            </w:r>
            <w:r>
              <w:rPr>
                <w:rFonts w:hint="eastAsia" w:ascii="宋体" w:hAnsi="宋体" w:eastAsia="宋体" w:cs="宋体"/>
                <w:color w:val="000000"/>
                <w:szCs w:val="21"/>
                <w:lang w:val="en-US" w:eastAsia="zh-CN"/>
              </w:rPr>
              <w:t>日</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sz w:val="24"/>
          <w:szCs w:val="24"/>
        </w:rPr>
      </w:pPr>
      <w:r>
        <w:rPr>
          <w:rFonts w:hint="eastAsia" w:ascii="宋体" w:hAnsi="宋体" w:cs="宋体"/>
          <w:sz w:val="24"/>
          <w:szCs w:val="24"/>
        </w:rPr>
        <w:t xml:space="preserve">   （四）建筑物基本状况</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宋体" w:hAnsi="宋体" w:cs="宋体"/>
          <w:sz w:val="24"/>
          <w:szCs w:val="24"/>
        </w:rPr>
      </w:pPr>
      <w:r>
        <w:rPr>
          <w:rFonts w:hint="eastAsia" w:ascii="宋体" w:hAnsi="宋体" w:cs="宋体"/>
          <w:sz w:val="24"/>
          <w:szCs w:val="24"/>
        </w:rPr>
        <w:t xml:space="preserve">                          </w:t>
      </w:r>
      <w:bookmarkStart w:id="6" w:name="OLE_LINK18"/>
      <w:r>
        <w:rPr>
          <w:rFonts w:hint="eastAsia" w:ascii="宋体" w:hAnsi="宋体" w:cs="宋体"/>
          <w:sz w:val="24"/>
          <w:szCs w:val="24"/>
        </w:rPr>
        <w:t>建筑物基本状况说明表                        表3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7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1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建筑结构</w:t>
            </w:r>
          </w:p>
        </w:tc>
        <w:tc>
          <w:tcPr>
            <w:tcW w:w="71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钢混结构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1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设施设备</w:t>
            </w:r>
          </w:p>
        </w:tc>
        <w:tc>
          <w:tcPr>
            <w:tcW w:w="71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带一部电梯</w:t>
            </w:r>
            <w:r>
              <w:rPr>
                <w:rFonts w:hint="eastAsia" w:ascii="宋体" w:hAnsi="宋体" w:eastAsia="宋体" w:cs="宋体"/>
                <w:sz w:val="21"/>
                <w:szCs w:val="21"/>
              </w:rPr>
              <w:t>，</w:t>
            </w:r>
            <w:r>
              <w:rPr>
                <w:rFonts w:hint="eastAsia" w:ascii="宋体" w:hAnsi="宋体" w:eastAsia="宋体" w:cs="宋体"/>
                <w:sz w:val="21"/>
                <w:szCs w:val="21"/>
                <w:lang w:val="en-US" w:eastAsia="zh-CN"/>
              </w:rPr>
              <w:t>消防、</w:t>
            </w:r>
            <w:r>
              <w:rPr>
                <w:rFonts w:hint="eastAsia" w:ascii="宋体" w:hAnsi="宋体" w:eastAsia="宋体" w:cs="宋体"/>
                <w:sz w:val="21"/>
                <w:szCs w:val="21"/>
              </w:rPr>
              <w:t>水电设施齐全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11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装饰装修</w:t>
            </w:r>
          </w:p>
        </w:tc>
        <w:tc>
          <w:tcPr>
            <w:tcW w:w="71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建筑物外墙面</w:t>
            </w:r>
            <w:r>
              <w:rPr>
                <w:rFonts w:hint="eastAsia" w:ascii="宋体" w:hAnsi="宋体" w:eastAsia="宋体" w:cs="宋体"/>
                <w:sz w:val="21"/>
                <w:szCs w:val="21"/>
                <w:lang w:eastAsia="zh-CN"/>
              </w:rPr>
              <w:t>为涂料粉刷；窗户为铝合金推拉窗，</w:t>
            </w:r>
            <w:r>
              <w:rPr>
                <w:rFonts w:hint="eastAsia" w:ascii="宋体" w:hAnsi="宋体" w:eastAsia="宋体" w:cs="宋体"/>
                <w:sz w:val="21"/>
                <w:szCs w:val="21"/>
                <w:lang w:val="en-US" w:eastAsia="zh-CN"/>
              </w:rPr>
              <w:t>一条人形楼梯，</w:t>
            </w:r>
            <w:r>
              <w:rPr>
                <w:rFonts w:hint="eastAsia" w:ascii="宋体" w:hAnsi="宋体" w:eastAsia="宋体" w:cs="宋体"/>
                <w:sz w:val="21"/>
                <w:szCs w:val="21"/>
              </w:rPr>
              <w:t>楼梯踏步为</w:t>
            </w:r>
            <w:r>
              <w:rPr>
                <w:rFonts w:hint="eastAsia" w:ascii="宋体" w:hAnsi="宋体" w:eastAsia="宋体" w:cs="宋体"/>
                <w:sz w:val="21"/>
                <w:szCs w:val="21"/>
                <w:lang w:val="en-US" w:eastAsia="zh-CN"/>
              </w:rPr>
              <w:t>大理石</w:t>
            </w:r>
            <w:r>
              <w:rPr>
                <w:rFonts w:hint="eastAsia" w:ascii="宋体" w:hAnsi="宋体" w:eastAsia="宋体" w:cs="宋体"/>
                <w:sz w:val="21"/>
                <w:szCs w:val="21"/>
                <w:lang w:eastAsia="zh-CN"/>
              </w:rPr>
              <w:t>铺设</w:t>
            </w:r>
            <w:r>
              <w:rPr>
                <w:rFonts w:hint="eastAsia" w:ascii="宋体" w:hAnsi="宋体" w:eastAsia="宋体" w:cs="宋体"/>
                <w:sz w:val="21"/>
                <w:szCs w:val="21"/>
              </w:rPr>
              <w:t>，</w:t>
            </w:r>
            <w:r>
              <w:rPr>
                <w:rFonts w:hint="eastAsia" w:ascii="宋体" w:hAnsi="宋体" w:eastAsia="宋体" w:cs="宋体"/>
                <w:sz w:val="21"/>
                <w:szCs w:val="21"/>
                <w:lang w:eastAsia="zh-CN"/>
              </w:rPr>
              <w:t>铁</w:t>
            </w:r>
            <w:r>
              <w:rPr>
                <w:rFonts w:hint="eastAsia" w:ascii="宋体" w:hAnsi="宋体" w:eastAsia="宋体" w:cs="宋体"/>
                <w:sz w:val="21"/>
                <w:szCs w:val="21"/>
              </w:rPr>
              <w:t>栏杆及扶手</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室内</w:t>
            </w:r>
            <w:r>
              <w:rPr>
                <w:rFonts w:hint="eastAsia" w:ascii="宋体" w:hAnsi="宋体" w:eastAsia="宋体" w:cs="宋体"/>
                <w:sz w:val="21"/>
                <w:szCs w:val="21"/>
              </w:rPr>
              <w:t>次装修见表</w:t>
            </w: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11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建成时间及成新率</w:t>
            </w:r>
          </w:p>
        </w:tc>
        <w:tc>
          <w:tcPr>
            <w:tcW w:w="71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pacing w:val="-4"/>
                <w:sz w:val="21"/>
                <w:szCs w:val="21"/>
              </w:rPr>
              <w:t>估价对象</w:t>
            </w:r>
            <w:r>
              <w:rPr>
                <w:rFonts w:hint="eastAsia" w:ascii="宋体" w:hAnsi="宋体" w:eastAsia="宋体" w:cs="宋体"/>
                <w:spacing w:val="-4"/>
                <w:sz w:val="21"/>
                <w:szCs w:val="21"/>
                <w:lang w:val="en-US" w:eastAsia="zh-CN"/>
              </w:rPr>
              <w:t>大约</w:t>
            </w:r>
            <w:r>
              <w:rPr>
                <w:rFonts w:hint="eastAsia" w:ascii="宋体" w:hAnsi="宋体" w:eastAsia="宋体" w:cs="宋体"/>
                <w:color w:val="000000"/>
                <w:spacing w:val="-4"/>
                <w:sz w:val="21"/>
                <w:szCs w:val="21"/>
              </w:rPr>
              <w:t>建成于</w:t>
            </w:r>
            <w:r>
              <w:rPr>
                <w:rFonts w:hint="eastAsia" w:ascii="宋体" w:hAnsi="宋体" w:eastAsia="宋体" w:cs="宋体"/>
                <w:color w:val="000000"/>
                <w:spacing w:val="-4"/>
                <w:sz w:val="21"/>
                <w:szCs w:val="21"/>
                <w:lang w:val="en-US" w:eastAsia="zh-CN"/>
              </w:rPr>
              <w:t>2005年</w:t>
            </w:r>
            <w:r>
              <w:rPr>
                <w:rFonts w:hint="eastAsia" w:ascii="宋体" w:hAnsi="宋体" w:eastAsia="宋体" w:cs="宋体"/>
                <w:color w:val="000000"/>
                <w:spacing w:val="-4"/>
                <w:sz w:val="21"/>
                <w:szCs w:val="21"/>
              </w:rPr>
              <w:t>，结构完好，维护保养良好，根据房屋新旧等级评定标准结合实地查勘情况，综合成新率为</w:t>
            </w:r>
            <w:r>
              <w:rPr>
                <w:rFonts w:hint="eastAsia" w:ascii="宋体" w:hAnsi="宋体" w:eastAsia="宋体" w:cs="宋体"/>
                <w:color w:val="000000"/>
                <w:spacing w:val="-4"/>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1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使用及维护状况</w:t>
            </w:r>
          </w:p>
        </w:tc>
        <w:tc>
          <w:tcPr>
            <w:tcW w:w="71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至实地勘察之日估价对象</w:t>
            </w:r>
            <w:r>
              <w:rPr>
                <w:rFonts w:hint="eastAsia" w:ascii="宋体" w:hAnsi="宋体" w:eastAsia="宋体" w:cs="宋体"/>
                <w:sz w:val="21"/>
                <w:szCs w:val="21"/>
              </w:rPr>
              <w:t>维护状况</w:t>
            </w:r>
            <w:r>
              <w:rPr>
                <w:rFonts w:hint="eastAsia" w:ascii="宋体" w:hAnsi="宋体" w:eastAsia="宋体" w:cs="宋体"/>
                <w:sz w:val="21"/>
                <w:szCs w:val="21"/>
                <w:lang w:eastAsia="zh-CN"/>
              </w:rPr>
              <w:t>较</w:t>
            </w:r>
            <w:r>
              <w:rPr>
                <w:rFonts w:hint="eastAsia" w:ascii="宋体" w:hAnsi="宋体" w:eastAsia="宋体" w:cs="宋体"/>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1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外观</w:t>
            </w:r>
          </w:p>
        </w:tc>
        <w:tc>
          <w:tcPr>
            <w:tcW w:w="71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建筑物外观</w:t>
            </w:r>
            <w:r>
              <w:rPr>
                <w:rFonts w:hint="eastAsia" w:ascii="宋体" w:hAnsi="宋体" w:eastAsia="宋体" w:cs="宋体"/>
                <w:sz w:val="21"/>
                <w:szCs w:val="21"/>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1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户型</w:t>
            </w:r>
          </w:p>
        </w:tc>
        <w:tc>
          <w:tcPr>
            <w:tcW w:w="71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单身公寓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1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建筑面积</w:t>
            </w:r>
          </w:p>
        </w:tc>
        <w:tc>
          <w:tcPr>
            <w:tcW w:w="71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32.29</w:t>
            </w:r>
            <w:r>
              <w:rPr>
                <w:rFonts w:hint="eastAsia" w:ascii="宋体" w:hAnsi="宋体" w:cs="宋体"/>
                <w:sz w:val="21"/>
                <w:szCs w:val="21"/>
              </w:rPr>
              <w:t>m</w:t>
            </w:r>
            <w:r>
              <w:rPr>
                <w:rFonts w:hint="eastAsia" w:ascii="宋体" w:hAnsi="宋体" w:cs="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1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层高</w:t>
            </w:r>
          </w:p>
        </w:tc>
        <w:tc>
          <w:tcPr>
            <w:tcW w:w="71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约</w:t>
            </w:r>
            <w:r>
              <w:rPr>
                <w:rFonts w:hint="eastAsia" w:ascii="宋体" w:hAnsi="宋体" w:eastAsia="宋体" w:cs="宋体"/>
                <w:sz w:val="21"/>
                <w:szCs w:val="21"/>
                <w:lang w:val="en-US" w:eastAsia="zh-CN"/>
              </w:rPr>
              <w:t>2.9</w:t>
            </w:r>
            <w:r>
              <w:rPr>
                <w:rFonts w:hint="eastAsia" w:ascii="宋体" w:hAnsi="宋体" w:eastAsia="宋体" w:cs="宋体"/>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1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朝向</w:t>
            </w:r>
          </w:p>
        </w:tc>
        <w:tc>
          <w:tcPr>
            <w:tcW w:w="71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估价对象为</w:t>
            </w:r>
            <w:r>
              <w:rPr>
                <w:rFonts w:hint="eastAsia" w:ascii="宋体" w:hAnsi="宋体" w:eastAsia="宋体" w:cs="宋体"/>
                <w:sz w:val="21"/>
                <w:szCs w:val="21"/>
                <w:lang w:val="en-US" w:eastAsia="zh-CN"/>
              </w:rPr>
              <w:t>朝西</w:t>
            </w:r>
            <w:r>
              <w:rPr>
                <w:rFonts w:hint="eastAsia" w:ascii="宋体" w:hAnsi="宋体" w:eastAsia="宋体" w:cs="宋体"/>
                <w:sz w:val="21"/>
                <w:szCs w:val="21"/>
                <w:lang w:eastAsia="zh-CN"/>
              </w:rPr>
              <w:t>向，</w:t>
            </w:r>
            <w:r>
              <w:rPr>
                <w:rFonts w:hint="eastAsia" w:ascii="宋体" w:hAnsi="宋体" w:eastAsia="宋体" w:cs="宋体"/>
                <w:sz w:val="21"/>
                <w:szCs w:val="21"/>
                <w:lang w:val="en-US" w:eastAsia="zh-CN"/>
              </w:rPr>
              <w:t>单</w:t>
            </w:r>
            <w:r>
              <w:rPr>
                <w:rFonts w:hint="eastAsia" w:ascii="宋体" w:hAnsi="宋体" w:eastAsia="宋体" w:cs="宋体"/>
                <w:sz w:val="21"/>
                <w:szCs w:val="21"/>
                <w:lang w:eastAsia="zh-CN"/>
              </w:rPr>
              <w:t>面采光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1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层次/总层数</w:t>
            </w:r>
          </w:p>
        </w:tc>
        <w:tc>
          <w:tcPr>
            <w:tcW w:w="71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层</w:t>
            </w:r>
          </w:p>
        </w:tc>
      </w:tr>
      <w:bookmarkEnd w:id="6"/>
    </w:tbl>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cs="宋体"/>
          <w:sz w:val="24"/>
          <w:szCs w:val="24"/>
        </w:rPr>
      </w:pPr>
      <w:r>
        <w:rPr>
          <w:rFonts w:hint="eastAsia" w:ascii="宋体" w:hAnsi="宋体" w:cs="宋体"/>
          <w:sz w:val="24"/>
          <w:szCs w:val="24"/>
        </w:rPr>
        <w:t>估价对象室内二次装修一览表                     表4</w:t>
      </w:r>
    </w:p>
    <w:tbl>
      <w:tblPr>
        <w:tblStyle w:val="9"/>
        <w:tblW w:w="9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226"/>
        <w:gridCol w:w="4105"/>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dxa"/>
            <w:vMerge w:val="restart"/>
            <w:noWrap w:val="0"/>
            <w:vAlign w:val="center"/>
          </w:tcPr>
          <w:p>
            <w:pPr>
              <w:spacing w:line="390" w:lineRule="exact"/>
              <w:jc w:val="center"/>
              <w:rPr>
                <w:rFonts w:hint="eastAsia" w:ascii="宋体" w:hAnsi="宋体" w:cs="宋体"/>
                <w:b/>
                <w:szCs w:val="21"/>
              </w:rPr>
            </w:pPr>
            <w:r>
              <w:rPr>
                <w:rFonts w:hint="eastAsia" w:ascii="宋体" w:hAnsi="宋体" w:cs="宋体"/>
                <w:b/>
                <w:szCs w:val="21"/>
              </w:rPr>
              <w:t>装修情况</w:t>
            </w:r>
          </w:p>
        </w:tc>
        <w:tc>
          <w:tcPr>
            <w:tcW w:w="1226" w:type="dxa"/>
            <w:noWrap w:val="0"/>
            <w:vAlign w:val="center"/>
          </w:tcPr>
          <w:p>
            <w:pPr>
              <w:spacing w:line="380" w:lineRule="exact"/>
              <w:jc w:val="center"/>
              <w:rPr>
                <w:rFonts w:hint="default" w:ascii="宋体" w:hAnsi="宋体" w:eastAsia="宋体" w:cs="宋体"/>
                <w:b/>
                <w:szCs w:val="21"/>
                <w:lang w:val="en-US" w:eastAsia="zh-CN"/>
              </w:rPr>
            </w:pPr>
            <w:r>
              <w:rPr>
                <w:rFonts w:hint="eastAsia" w:ascii="宋体" w:hAnsi="宋体" w:cs="宋体"/>
                <w:b/>
                <w:szCs w:val="21"/>
                <w:lang w:val="en-US" w:eastAsia="zh-CN"/>
              </w:rPr>
              <w:t>客厅</w:t>
            </w:r>
          </w:p>
        </w:tc>
        <w:tc>
          <w:tcPr>
            <w:tcW w:w="4105" w:type="dxa"/>
            <w:noWrap w:val="0"/>
            <w:vAlign w:val="center"/>
          </w:tcPr>
          <w:p>
            <w:pPr>
              <w:spacing w:line="380" w:lineRule="exact"/>
              <w:jc w:val="left"/>
              <w:rPr>
                <w:rFonts w:hint="eastAsia" w:ascii="宋体" w:hAnsi="宋体" w:eastAsia="宋体" w:cs="宋体"/>
                <w:bCs/>
                <w:szCs w:val="21"/>
                <w:lang w:val="en-US" w:eastAsia="zh-CN"/>
              </w:rPr>
            </w:pPr>
            <w:r>
              <w:rPr>
                <w:rFonts w:hint="eastAsia" w:ascii="仿宋_GB2312" w:cs="宋体"/>
                <w:color w:val="000000"/>
                <w:kern w:val="0"/>
                <w:sz w:val="21"/>
              </w:rPr>
              <w:t>地面铺</w:t>
            </w:r>
            <w:r>
              <w:rPr>
                <w:rFonts w:hint="eastAsia" w:ascii="仿宋_GB2312" w:cs="宋体"/>
                <w:color w:val="000000"/>
                <w:kern w:val="0"/>
                <w:sz w:val="21"/>
                <w:lang w:eastAsia="zh-CN"/>
              </w:rPr>
              <w:t>复合木地板</w:t>
            </w:r>
            <w:r>
              <w:rPr>
                <w:rFonts w:hint="eastAsia" w:ascii="仿宋_GB2312" w:cs="宋体"/>
                <w:color w:val="000000"/>
                <w:kern w:val="0"/>
                <w:sz w:val="21"/>
              </w:rPr>
              <w:t>，墙面、天棚涂水泥漆</w:t>
            </w:r>
          </w:p>
        </w:tc>
        <w:tc>
          <w:tcPr>
            <w:tcW w:w="3676" w:type="dxa"/>
            <w:noWrap w:val="0"/>
            <w:vAlign w:val="center"/>
          </w:tcPr>
          <w:p>
            <w:pPr>
              <w:jc w:val="both"/>
              <w:rPr>
                <w:rFonts w:hint="eastAsia" w:ascii="宋体" w:hAnsi="宋体" w:eastAsia="宋体" w:cs="宋体"/>
                <w:szCs w:val="21"/>
                <w:lang w:eastAsia="zh-CN"/>
              </w:rPr>
            </w:pPr>
            <w:r>
              <w:rPr>
                <w:rFonts w:hint="eastAsia" w:ascii="宋体" w:hAnsi="宋体" w:eastAsia="宋体" w:cs="宋体"/>
                <w:szCs w:val="21"/>
                <w:lang w:eastAsia="zh-CN"/>
              </w:rPr>
              <w:drawing>
                <wp:inline distT="0" distB="0" distL="114300" distR="114300">
                  <wp:extent cx="2194560" cy="1836420"/>
                  <wp:effectExtent l="0" t="0" r="15240" b="11430"/>
                  <wp:docPr id="9" name="图片 9" descr="68a91a5be5d1ad549cdbfa419b23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8a91a5be5d1ad549cdbfa419b23b87"/>
                          <pic:cNvPicPr>
                            <a:picLocks noChangeAspect="1"/>
                          </pic:cNvPicPr>
                        </pic:nvPicPr>
                        <pic:blipFill>
                          <a:blip r:embed="rId17"/>
                          <a:stretch>
                            <a:fillRect/>
                          </a:stretch>
                        </pic:blipFill>
                        <pic:spPr>
                          <a:xfrm>
                            <a:off x="0" y="0"/>
                            <a:ext cx="2194560" cy="18364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651" w:type="dxa"/>
            <w:vMerge w:val="continue"/>
            <w:noWrap w:val="0"/>
            <w:vAlign w:val="center"/>
          </w:tcPr>
          <w:p>
            <w:pPr>
              <w:spacing w:line="390" w:lineRule="exact"/>
              <w:jc w:val="center"/>
              <w:rPr>
                <w:rFonts w:hint="eastAsia" w:ascii="宋体" w:hAnsi="宋体" w:cs="宋体"/>
                <w:b/>
                <w:szCs w:val="21"/>
              </w:rPr>
            </w:pPr>
          </w:p>
        </w:tc>
        <w:tc>
          <w:tcPr>
            <w:tcW w:w="1226" w:type="dxa"/>
            <w:noWrap w:val="0"/>
            <w:vAlign w:val="center"/>
          </w:tcPr>
          <w:p>
            <w:pPr>
              <w:spacing w:line="380" w:lineRule="exact"/>
              <w:jc w:val="center"/>
              <w:rPr>
                <w:rFonts w:hint="default" w:ascii="宋体" w:hAnsi="宋体" w:cs="宋体"/>
                <w:b/>
                <w:kern w:val="2"/>
                <w:sz w:val="21"/>
                <w:szCs w:val="21"/>
                <w:lang w:val="en-US" w:eastAsia="zh-CN" w:bidi="ar-SA"/>
              </w:rPr>
            </w:pPr>
            <w:r>
              <w:rPr>
                <w:rFonts w:hint="eastAsia" w:ascii="宋体" w:hAnsi="宋体" w:cs="宋体"/>
                <w:b/>
                <w:kern w:val="2"/>
                <w:sz w:val="21"/>
                <w:szCs w:val="21"/>
                <w:lang w:val="en-US" w:eastAsia="zh-CN" w:bidi="ar-SA"/>
              </w:rPr>
              <w:t>卧室</w:t>
            </w:r>
          </w:p>
        </w:tc>
        <w:tc>
          <w:tcPr>
            <w:tcW w:w="4105" w:type="dxa"/>
            <w:noWrap w:val="0"/>
            <w:vAlign w:val="center"/>
          </w:tcPr>
          <w:p>
            <w:pPr>
              <w:spacing w:line="380" w:lineRule="exact"/>
              <w:jc w:val="left"/>
              <w:rPr>
                <w:rFonts w:hint="eastAsia" w:ascii="宋体" w:hAnsi="宋体" w:cs="宋体"/>
                <w:bCs/>
                <w:kern w:val="2"/>
                <w:sz w:val="21"/>
                <w:szCs w:val="21"/>
                <w:lang w:val="en-US" w:eastAsia="zh-CN" w:bidi="ar-SA"/>
              </w:rPr>
            </w:pPr>
            <w:r>
              <w:rPr>
                <w:rFonts w:hint="eastAsia" w:ascii="仿宋_GB2312" w:cs="宋体"/>
                <w:color w:val="000000"/>
                <w:kern w:val="0"/>
                <w:sz w:val="21"/>
              </w:rPr>
              <w:t>地面铺</w:t>
            </w:r>
            <w:r>
              <w:rPr>
                <w:rFonts w:hint="eastAsia" w:ascii="仿宋_GB2312" w:cs="宋体"/>
                <w:color w:val="000000"/>
                <w:kern w:val="0"/>
                <w:sz w:val="21"/>
                <w:lang w:eastAsia="zh-CN"/>
              </w:rPr>
              <w:t>复合木地板</w:t>
            </w:r>
            <w:r>
              <w:rPr>
                <w:rFonts w:hint="eastAsia" w:ascii="仿宋_GB2312" w:cs="宋体"/>
                <w:color w:val="000000"/>
                <w:kern w:val="0"/>
                <w:sz w:val="21"/>
              </w:rPr>
              <w:t>，墙面、天棚涂水泥漆</w:t>
            </w:r>
          </w:p>
        </w:tc>
        <w:tc>
          <w:tcPr>
            <w:tcW w:w="3676" w:type="dxa"/>
            <w:noWrap w:val="0"/>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drawing>
                <wp:inline distT="0" distB="0" distL="114300" distR="114300">
                  <wp:extent cx="2194560" cy="1645920"/>
                  <wp:effectExtent l="0" t="0" r="15240" b="11430"/>
                  <wp:docPr id="8" name="图片 8" descr="12be7daa7acf2ceaf16070cbecf11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2be7daa7acf2ceaf16070cbecf11af"/>
                          <pic:cNvPicPr>
                            <a:picLocks noChangeAspect="1"/>
                          </pic:cNvPicPr>
                        </pic:nvPicPr>
                        <pic:blipFill>
                          <a:blip r:embed="rId18"/>
                          <a:stretch>
                            <a:fillRect/>
                          </a:stretch>
                        </pic:blipFill>
                        <pic:spPr>
                          <a:xfrm>
                            <a:off x="0" y="0"/>
                            <a:ext cx="2194560" cy="16459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651" w:type="dxa"/>
            <w:noWrap w:val="0"/>
            <w:vAlign w:val="center"/>
          </w:tcPr>
          <w:p>
            <w:pPr>
              <w:spacing w:line="390" w:lineRule="exact"/>
              <w:jc w:val="center"/>
              <w:rPr>
                <w:rFonts w:hint="eastAsia" w:ascii="宋体" w:hAnsi="宋体" w:cs="宋体"/>
                <w:b/>
                <w:szCs w:val="21"/>
              </w:rPr>
            </w:pPr>
          </w:p>
        </w:tc>
        <w:tc>
          <w:tcPr>
            <w:tcW w:w="1226" w:type="dxa"/>
            <w:noWrap w:val="0"/>
            <w:vAlign w:val="center"/>
          </w:tcPr>
          <w:p>
            <w:pPr>
              <w:spacing w:line="380" w:lineRule="exact"/>
              <w:jc w:val="center"/>
              <w:rPr>
                <w:rFonts w:hint="default" w:ascii="宋体" w:hAnsi="宋体" w:cs="宋体"/>
                <w:b/>
                <w:kern w:val="2"/>
                <w:sz w:val="21"/>
                <w:szCs w:val="21"/>
                <w:lang w:val="en-US" w:eastAsia="zh-CN" w:bidi="ar-SA"/>
              </w:rPr>
            </w:pPr>
            <w:r>
              <w:rPr>
                <w:rFonts w:hint="eastAsia" w:ascii="宋体" w:hAnsi="宋体" w:cs="宋体"/>
                <w:b/>
                <w:kern w:val="2"/>
                <w:sz w:val="21"/>
                <w:szCs w:val="21"/>
                <w:lang w:val="en-US" w:eastAsia="zh-CN" w:bidi="ar-SA"/>
              </w:rPr>
              <w:t>卫生间</w:t>
            </w:r>
          </w:p>
        </w:tc>
        <w:tc>
          <w:tcPr>
            <w:tcW w:w="4105" w:type="dxa"/>
            <w:noWrap w:val="0"/>
            <w:vAlign w:val="center"/>
          </w:tcPr>
          <w:p>
            <w:pPr>
              <w:spacing w:line="380" w:lineRule="exact"/>
              <w:jc w:val="left"/>
              <w:rPr>
                <w:rFonts w:hint="eastAsia" w:ascii="仿宋_GB2312" w:cs="宋体"/>
                <w:color w:val="000000"/>
                <w:kern w:val="0"/>
                <w:sz w:val="21"/>
              </w:rPr>
            </w:pPr>
            <w:r>
              <w:rPr>
                <w:rFonts w:hint="eastAsia" w:ascii="仿宋_GB2312" w:cs="宋体"/>
                <w:color w:val="000000"/>
                <w:kern w:val="0"/>
                <w:sz w:val="21"/>
              </w:rPr>
              <w:t>地面铺防滑砖，墙面为瓷砖贴面，天棚为塑扣板吊顶</w:t>
            </w:r>
          </w:p>
        </w:tc>
        <w:tc>
          <w:tcPr>
            <w:tcW w:w="3676" w:type="dxa"/>
            <w:noWrap w:val="0"/>
            <w:vAlign w:val="center"/>
          </w:tcPr>
          <w:p>
            <w:pPr>
              <w:jc w:val="both"/>
              <w:rPr>
                <w:rFonts w:hint="eastAsia" w:ascii="宋体" w:hAnsi="宋体" w:cs="宋体"/>
                <w:sz w:val="24"/>
                <w:szCs w:val="24"/>
                <w:lang w:val="en-US" w:eastAsia="zh-CN"/>
              </w:rPr>
            </w:pPr>
            <w:r>
              <w:rPr>
                <w:rFonts w:hint="eastAsia" w:ascii="宋体" w:hAnsi="宋体" w:cs="宋体"/>
                <w:sz w:val="24"/>
                <w:szCs w:val="24"/>
                <w:lang w:val="en-US" w:eastAsia="zh-CN"/>
              </w:rPr>
              <w:drawing>
                <wp:inline distT="0" distB="0" distL="114300" distR="114300">
                  <wp:extent cx="2296160" cy="1887855"/>
                  <wp:effectExtent l="0" t="0" r="8890" b="17145"/>
                  <wp:docPr id="10" name="图片 10" descr="231ee3489a89bee08f2fa382c361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1ee3489a89bee08f2fa382c361e44"/>
                          <pic:cNvPicPr>
                            <a:picLocks noChangeAspect="1"/>
                          </pic:cNvPicPr>
                        </pic:nvPicPr>
                        <pic:blipFill>
                          <a:blip r:embed="rId19"/>
                          <a:stretch>
                            <a:fillRect/>
                          </a:stretch>
                        </pic:blipFill>
                        <pic:spPr>
                          <a:xfrm>
                            <a:off x="0" y="0"/>
                            <a:ext cx="2296160" cy="1887855"/>
                          </a:xfrm>
                          <a:prstGeom prst="rect">
                            <a:avLst/>
                          </a:prstGeom>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cs="宋体"/>
          <w:b/>
          <w:sz w:val="28"/>
          <w:szCs w:val="28"/>
        </w:rPr>
      </w:pPr>
      <w:r>
        <w:rPr>
          <w:rFonts w:hint="eastAsia" w:ascii="宋体" w:hAnsi="宋体" w:cs="宋体"/>
          <w:b/>
          <w:sz w:val="28"/>
          <w:szCs w:val="28"/>
        </w:rPr>
        <w:t>五、价值时点</w:t>
      </w:r>
    </w:p>
    <w:p>
      <w:pPr>
        <w:keepNext w:val="0"/>
        <w:keepLines w:val="0"/>
        <w:pageBreakBefore w:val="0"/>
        <w:widowControl w:val="0"/>
        <w:tabs>
          <w:tab w:val="left" w:pos="3731"/>
        </w:tabs>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cs="宋体"/>
          <w:sz w:val="24"/>
          <w:szCs w:val="24"/>
        </w:rPr>
      </w:pPr>
      <w:r>
        <w:rPr>
          <w:rFonts w:hint="eastAsia" w:ascii="宋体" w:hAnsi="宋体" w:cs="宋体"/>
          <w:sz w:val="24"/>
          <w:szCs w:val="24"/>
        </w:rPr>
        <w:t xml:space="preserve">     价值时点为</w:t>
      </w:r>
      <w:r>
        <w:rPr>
          <w:rFonts w:hint="eastAsia" w:ascii="宋体" w:hAnsi="宋体" w:cs="宋体"/>
          <w:sz w:val="24"/>
          <w:szCs w:val="24"/>
          <w:lang w:eastAsia="zh-CN"/>
        </w:rPr>
        <w:t>2022年7月12日</w:t>
      </w:r>
      <w:r>
        <w:rPr>
          <w:rFonts w:hint="eastAsia" w:ascii="宋体" w:hAnsi="宋体" w:cs="宋体"/>
          <w:color w:val="auto"/>
          <w:sz w:val="24"/>
          <w:szCs w:val="24"/>
        </w:rPr>
        <w:t>（</w:t>
      </w:r>
      <w:r>
        <w:rPr>
          <w:rFonts w:hint="eastAsia" w:ascii="宋体" w:hAnsi="宋体" w:cs="宋体"/>
          <w:color w:val="auto"/>
          <w:sz w:val="24"/>
          <w:szCs w:val="24"/>
          <w:lang w:eastAsia="zh-CN"/>
        </w:rPr>
        <w:t>现场查勘</w:t>
      </w:r>
      <w:r>
        <w:rPr>
          <w:rFonts w:hint="eastAsia" w:ascii="宋体" w:hAnsi="宋体" w:cs="宋体"/>
          <w:sz w:val="24"/>
          <w:szCs w:val="24"/>
        </w:rPr>
        <w:t>之日）</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六、价值类型</w:t>
      </w:r>
    </w:p>
    <w:p>
      <w:pPr>
        <w:keepNext w:val="0"/>
        <w:keepLines w:val="0"/>
        <w:pageBreakBefore w:val="0"/>
        <w:widowControl w:val="0"/>
        <w:numPr>
          <w:ilvl w:val="0"/>
          <w:numId w:val="9"/>
        </w:numPr>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价值类型名称</w:t>
      </w:r>
    </w:p>
    <w:p>
      <w:pPr>
        <w:keepNext w:val="0"/>
        <w:keepLines w:val="0"/>
        <w:pageBreakBefore w:val="0"/>
        <w:widowControl w:val="0"/>
        <w:kinsoku/>
        <w:wordWrap/>
        <w:overflowPunct/>
        <w:topLinePunct w:val="0"/>
        <w:autoSpaceDE/>
        <w:autoSpaceDN/>
        <w:bidi w:val="0"/>
        <w:adjustRightInd/>
        <w:snapToGrid/>
        <w:spacing w:line="480" w:lineRule="exact"/>
        <w:ind w:left="420" w:leftChars="200" w:right="0" w:rightChars="0"/>
        <w:jc w:val="both"/>
        <w:textAlignment w:val="auto"/>
        <w:outlineLvl w:val="9"/>
        <w:rPr>
          <w:rFonts w:hint="eastAsia" w:ascii="宋体" w:hAnsi="宋体" w:cs="宋体"/>
          <w:sz w:val="24"/>
          <w:szCs w:val="24"/>
        </w:rPr>
      </w:pPr>
      <w:r>
        <w:rPr>
          <w:rFonts w:hint="eastAsia" w:ascii="宋体" w:hAnsi="宋体" w:cs="宋体"/>
          <w:sz w:val="24"/>
          <w:szCs w:val="24"/>
        </w:rPr>
        <w:t>本次估价的价值类型为市场价值。</w:t>
      </w:r>
    </w:p>
    <w:p>
      <w:pPr>
        <w:keepNext w:val="0"/>
        <w:keepLines w:val="0"/>
        <w:pageBreakBefore w:val="0"/>
        <w:widowControl w:val="0"/>
        <w:numPr>
          <w:ilvl w:val="0"/>
          <w:numId w:val="9"/>
        </w:numPr>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价值定义</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cs="宋体"/>
          <w:sz w:val="24"/>
          <w:szCs w:val="24"/>
        </w:rPr>
      </w:pPr>
      <w:bookmarkStart w:id="7" w:name="OLE_LINK6"/>
      <w:r>
        <w:rPr>
          <w:rFonts w:hint="eastAsia" w:ascii="宋体" w:hAnsi="宋体" w:cs="宋体"/>
          <w:sz w:val="24"/>
          <w:szCs w:val="24"/>
        </w:rPr>
        <w:t>市场价值为估价对象经适当营销后，由熟悉情况、谨慎行事且不受强迫的交易双方，以公平交易方式在价值时点自愿进行交易的金额。</w:t>
      </w:r>
      <w:bookmarkEnd w:id="7"/>
    </w:p>
    <w:p>
      <w:pPr>
        <w:keepNext w:val="0"/>
        <w:keepLines w:val="0"/>
        <w:pageBreakBefore w:val="0"/>
        <w:widowControl w:val="0"/>
        <w:numPr>
          <w:ilvl w:val="0"/>
          <w:numId w:val="9"/>
        </w:numPr>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价值内涵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rPr>
      </w:pPr>
      <w:bookmarkStart w:id="8" w:name="OLE_LINK5"/>
      <w:r>
        <w:rPr>
          <w:rFonts w:hint="eastAsia" w:ascii="宋体" w:hAnsi="宋体" w:cs="宋体"/>
          <w:sz w:val="24"/>
        </w:rPr>
        <w:t>价值内涵是估价对象在价值时点，满足本次估价假设和限制条件下包括建筑物、分摊的土地使用权（含土地出让金）及公共配套设施，不包括动产、债权债务、特许经营权等其他财产或权益；付款方式是一次性付清房价款（包括首付及按揭贷款）；房屋面积内涵是建筑面积；开发程度为现房，具备“五通”</w:t>
      </w:r>
      <w:bookmarkEnd w:id="8"/>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七、估价原则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1、独立、客观、公正原则：要求站在中立的立场上，实事求是、公平正直地评估出对各方估价利害关系人均是公平合理的价值或价格的原则。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2、合法原则：要求估价结果是在依法判定的估价对象状况下的价值或价格的原则。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3、价值时点原则：要求估价结果是在根据估价目的确定的某一特定时间的价值或价格的原则。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4、替代原则：要求估价结果与估价对象的类似房地产在同等条件下的价值或价格偏差在合理范围内的原则。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5、最高最佳利用原则：要求估价结果是在估价对象最高最佳利用状况下的价值或价格的原则。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lang w:val="en-US" w:eastAsia="zh-CN"/>
        </w:rPr>
        <w:t xml:space="preserve">   </w:t>
      </w:r>
      <w:r>
        <w:rPr>
          <w:rFonts w:hint="eastAsia" w:ascii="宋体" w:hAnsi="宋体" w:cs="宋体"/>
          <w:b/>
          <w:sz w:val="28"/>
          <w:szCs w:val="28"/>
        </w:rPr>
        <w:t>八、估价依据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b/>
          <w:sz w:val="28"/>
          <w:szCs w:val="28"/>
        </w:rPr>
        <w:t xml:space="preserve">   </w:t>
      </w:r>
      <w:r>
        <w:rPr>
          <w:rFonts w:hint="eastAsia" w:ascii="宋体" w:hAnsi="宋体" w:cs="宋体"/>
          <w:sz w:val="24"/>
          <w:lang w:eastAsia="zh-CN"/>
        </w:rPr>
        <w:t>（一）</w:t>
      </w:r>
      <w:r>
        <w:rPr>
          <w:rFonts w:hint="eastAsia" w:ascii="宋体" w:hAnsi="宋体" w:cs="宋体"/>
          <w:sz w:val="24"/>
        </w:rPr>
        <w:t>有关法律、法规及文件依据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《中华人民共和国资产评估法》（</w:t>
      </w:r>
      <w:r>
        <w:rPr>
          <w:rFonts w:hint="eastAsia" w:ascii="宋体" w:hAnsi="宋体" w:cs="宋体"/>
          <w:sz w:val="24"/>
          <w:lang w:eastAsia="zh-CN"/>
        </w:rPr>
        <w:t>主席令第</w:t>
      </w:r>
      <w:r>
        <w:rPr>
          <w:rFonts w:hint="eastAsia" w:ascii="宋体" w:hAnsi="宋体" w:cs="宋体"/>
          <w:sz w:val="24"/>
          <w:lang w:val="en-US" w:eastAsia="zh-CN"/>
        </w:rPr>
        <w:t>46</w:t>
      </w:r>
      <w:r>
        <w:rPr>
          <w:rFonts w:hint="eastAsia" w:ascii="宋体" w:hAnsi="宋体" w:cs="宋体"/>
          <w:sz w:val="24"/>
        </w:rPr>
        <w:t>号，2016年07月02日第12届全国人大常委会第二十一次会议审议通过，自2016年12月01日起实施）；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color w:val="FF0000"/>
          <w:sz w:val="24"/>
        </w:rPr>
      </w:pPr>
      <w:r>
        <w:rPr>
          <w:rFonts w:ascii="宋体" w:hAnsi="宋体" w:eastAsia="宋体" w:cs="宋体"/>
          <w:color w:val="000000"/>
          <w:kern w:val="0"/>
          <w:sz w:val="24"/>
          <w:szCs w:val="24"/>
          <w:lang w:val="en-US" w:eastAsia="zh-CN" w:bidi="ar"/>
        </w:rPr>
        <w:t>2、《中华人民共和国城市房地产管理法》（</w:t>
      </w:r>
      <w:r>
        <w:rPr>
          <w:rFonts w:hint="eastAsia" w:ascii="宋体" w:hAnsi="宋体" w:eastAsia="宋体" w:cs="宋体"/>
          <w:color w:val="000000"/>
          <w:kern w:val="0"/>
          <w:sz w:val="24"/>
          <w:szCs w:val="24"/>
          <w:lang w:val="en-US" w:eastAsia="zh-CN" w:bidi="ar"/>
        </w:rPr>
        <w:t>主席令2019年第32号，自2020</w:t>
      </w:r>
      <w:r>
        <w:rPr>
          <w:rFonts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lang w:val="en-US" w:eastAsia="zh-CN" w:bidi="ar"/>
        </w:rPr>
        <w:t>起实施</w:t>
      </w:r>
      <w:r>
        <w:rPr>
          <w:rFonts w:ascii="宋体" w:hAnsi="宋体" w:eastAsia="宋体" w:cs="宋体"/>
          <w:color w:val="000000"/>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3、《中华人民共和国土地管理法》(</w:t>
      </w:r>
      <w:r>
        <w:rPr>
          <w:rFonts w:hint="eastAsia" w:ascii="宋体" w:hAnsi="宋体" w:eastAsia="宋体" w:cs="宋体"/>
          <w:color w:val="000000"/>
          <w:kern w:val="0"/>
          <w:sz w:val="24"/>
          <w:szCs w:val="24"/>
          <w:lang w:val="en-US" w:eastAsia="zh-CN" w:bidi="ar"/>
        </w:rPr>
        <w:t>主席令2019年第32号，自2020</w:t>
      </w:r>
      <w:r>
        <w:rPr>
          <w:rFonts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lang w:val="en-US" w:eastAsia="zh-CN" w:bidi="ar"/>
        </w:rPr>
        <w:t>起实施</w:t>
      </w:r>
      <w:r>
        <w:rPr>
          <w:rFonts w:ascii="宋体" w:hAnsi="宋体" w:eastAsia="宋体" w:cs="宋体"/>
          <w:color w:val="000000"/>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4、</w:t>
      </w:r>
      <w:r>
        <w:rPr>
          <w:rFonts w:hint="eastAsia" w:ascii="宋体" w:hAnsi="宋体" w:eastAsia="宋体" w:cs="宋体"/>
          <w:color w:val="auto"/>
          <w:kern w:val="0"/>
          <w:sz w:val="24"/>
          <w:szCs w:val="24"/>
          <w:lang w:val="en-US" w:eastAsia="zh-CN" w:bidi="ar"/>
        </w:rPr>
        <w:t>《中华人民共和国民法典》（2020年5月28日，十三届全国人大三次会议表决通过，自2021年1月1日起施行）</w:t>
      </w:r>
      <w:r>
        <w:rPr>
          <w:rFonts w:ascii="宋体" w:hAnsi="宋体" w:eastAsia="宋体" w:cs="宋体"/>
          <w:color w:val="auto"/>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5、</w:t>
      </w:r>
      <w:r>
        <w:rPr>
          <w:rFonts w:ascii="宋体" w:hAnsi="宋体" w:eastAsia="宋体" w:cs="宋体"/>
          <w:color w:val="auto"/>
          <w:kern w:val="0"/>
          <w:sz w:val="24"/>
          <w:szCs w:val="24"/>
          <w:lang w:val="en-US" w:eastAsia="zh-CN" w:bidi="ar"/>
        </w:rPr>
        <w:t>《中华人民共和国城乡规划法》（</w:t>
      </w:r>
      <w:r>
        <w:rPr>
          <w:rFonts w:hint="eastAsia" w:ascii="宋体" w:hAnsi="宋体" w:eastAsia="宋体" w:cs="宋体"/>
          <w:color w:val="auto"/>
          <w:kern w:val="0"/>
          <w:sz w:val="24"/>
          <w:szCs w:val="24"/>
          <w:lang w:val="en-US" w:eastAsia="zh-CN" w:bidi="ar"/>
        </w:rPr>
        <w:t>主席令2019第29号</w:t>
      </w:r>
      <w:r>
        <w:rPr>
          <w:rFonts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自2019</w:t>
      </w:r>
      <w:r>
        <w:rPr>
          <w:rFonts w:ascii="宋体" w:hAnsi="宋体" w:eastAsia="宋体" w:cs="宋体"/>
          <w:color w:val="auto"/>
          <w:kern w:val="0"/>
          <w:sz w:val="24"/>
          <w:szCs w:val="24"/>
          <w:lang w:val="en-US" w:eastAsia="zh-CN" w:bidi="ar"/>
        </w:rPr>
        <w:t>年</w:t>
      </w:r>
      <w:r>
        <w:rPr>
          <w:rFonts w:hint="eastAsia" w:ascii="宋体" w:hAnsi="宋体" w:eastAsia="宋体" w:cs="宋体"/>
          <w:color w:val="auto"/>
          <w:kern w:val="0"/>
          <w:sz w:val="24"/>
          <w:szCs w:val="24"/>
          <w:lang w:val="en-US" w:eastAsia="zh-CN" w:bidi="ar"/>
        </w:rPr>
        <w:t>4</w:t>
      </w:r>
      <w:r>
        <w:rPr>
          <w:rFonts w:ascii="宋体" w:hAnsi="宋体" w:eastAsia="宋体" w:cs="宋体"/>
          <w:color w:val="auto"/>
          <w:kern w:val="0"/>
          <w:sz w:val="24"/>
          <w:szCs w:val="24"/>
          <w:lang w:val="en-US" w:eastAsia="zh-CN" w:bidi="ar"/>
        </w:rPr>
        <w:t>月</w:t>
      </w:r>
      <w:r>
        <w:rPr>
          <w:rFonts w:hint="eastAsia" w:ascii="宋体" w:hAnsi="宋体" w:eastAsia="宋体" w:cs="宋体"/>
          <w:color w:val="auto"/>
          <w:kern w:val="0"/>
          <w:sz w:val="24"/>
          <w:szCs w:val="24"/>
          <w:lang w:val="en-US" w:eastAsia="zh-CN" w:bidi="ar"/>
        </w:rPr>
        <w:t>23</w:t>
      </w:r>
      <w:r>
        <w:rPr>
          <w:rFonts w:ascii="宋体" w:hAnsi="宋体" w:eastAsia="宋体" w:cs="宋体"/>
          <w:color w:val="auto"/>
          <w:kern w:val="0"/>
          <w:sz w:val="24"/>
          <w:szCs w:val="24"/>
          <w:lang w:val="en-US" w:eastAsia="zh-CN" w:bidi="ar"/>
        </w:rPr>
        <w:t>日起施行）；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6、《最高人民法院关于人民法院委托评估、拍卖和变卖工作的若干规定》</w:t>
      </w:r>
      <w:r>
        <w:rPr>
          <w:rFonts w:hint="eastAsia" w:ascii="宋体" w:hAnsi="宋体" w:cs="宋体"/>
          <w:sz w:val="24"/>
          <w:szCs w:val="22"/>
          <w:lang w:val="en-US" w:eastAsia="zh-CN"/>
        </w:rPr>
        <w:t>(法释</w:t>
      </w:r>
      <w:r>
        <w:rPr>
          <w:rFonts w:hint="eastAsia" w:ascii="宋体" w:hAnsi="宋体" w:eastAsia="宋体" w:cs="宋体"/>
          <w:color w:val="auto"/>
          <w:sz w:val="24"/>
          <w:lang w:val="en-US" w:eastAsia="zh-CN"/>
        </w:rPr>
        <w:t>[2011]21号）；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szCs w:val="24"/>
          <w:lang w:eastAsia="zh-CN"/>
        </w:rPr>
      </w:pPr>
      <w:r>
        <w:rPr>
          <w:rFonts w:hint="eastAsia" w:ascii="宋体" w:hAnsi="宋体" w:cs="宋体"/>
          <w:sz w:val="24"/>
          <w:szCs w:val="24"/>
        </w:rPr>
        <w:t>7、《福建省高级人民法院司法评估拍卖工作规定（试行）》</w:t>
      </w:r>
      <w:r>
        <w:rPr>
          <w:rFonts w:hint="eastAsia" w:ascii="宋体" w:hAnsi="宋体" w:cs="宋体"/>
          <w:sz w:val="24"/>
          <w:szCs w:val="24"/>
          <w:lang w:val="en-US" w:eastAsia="zh-CN"/>
        </w:rPr>
        <w:t>(闽高法[2012]335号）</w:t>
      </w:r>
      <w:r>
        <w:rPr>
          <w:rFonts w:hint="eastAsia" w:ascii="宋体" w:hAnsi="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8、关于印发《涉执房地产处置司法评估指导意见（试行）》的通知（中房[2021]37号）；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9、</w:t>
      </w:r>
      <w:r>
        <w:rPr>
          <w:rFonts w:hint="eastAsia" w:ascii="宋体" w:hAnsi="宋体" w:cs="宋体"/>
          <w:sz w:val="24"/>
          <w:szCs w:val="24"/>
        </w:rPr>
        <w:t>《人民法院委托评估工作规范》</w:t>
      </w:r>
      <w:r>
        <w:rPr>
          <w:rFonts w:hint="eastAsia" w:ascii="宋体" w:hAnsi="宋体" w:cs="宋体"/>
          <w:sz w:val="24"/>
          <w:szCs w:val="24"/>
          <w:lang w:eastAsia="zh-CN"/>
        </w:rPr>
        <w:t>（</w:t>
      </w:r>
      <w:r>
        <w:rPr>
          <w:rFonts w:hint="eastAsia" w:ascii="宋体" w:hAnsi="宋体" w:cs="宋体"/>
          <w:sz w:val="24"/>
          <w:szCs w:val="24"/>
        </w:rPr>
        <w:t>法办〔2018〕273号</w:t>
      </w:r>
      <w:r>
        <w:rPr>
          <w:rFonts w:hint="eastAsia" w:ascii="宋体" w:hAnsi="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sz w:val="24"/>
          <w:szCs w:val="24"/>
        </w:rPr>
      </w:pPr>
      <w:r>
        <w:rPr>
          <w:rFonts w:hint="eastAsia" w:ascii="宋体" w:hAnsi="宋体" w:cs="宋体"/>
          <w:sz w:val="24"/>
          <w:szCs w:val="24"/>
          <w:lang w:val="en-US" w:eastAsia="zh-CN"/>
        </w:rPr>
        <w:t xml:space="preserve">    10、</w:t>
      </w:r>
      <w:r>
        <w:rPr>
          <w:rFonts w:hint="eastAsia" w:ascii="宋体" w:hAnsi="宋体" w:cs="宋体"/>
          <w:sz w:val="24"/>
          <w:szCs w:val="24"/>
        </w:rPr>
        <w:t>《龙岩市</w:t>
      </w:r>
      <w:r>
        <w:rPr>
          <w:rFonts w:hint="eastAsia" w:ascii="宋体" w:hAnsi="宋体" w:cs="宋体"/>
          <w:sz w:val="24"/>
          <w:szCs w:val="24"/>
          <w:lang w:eastAsia="zh-CN"/>
        </w:rPr>
        <w:t>永定区</w:t>
      </w:r>
      <w:r>
        <w:rPr>
          <w:rFonts w:hint="eastAsia" w:ascii="宋体" w:hAnsi="宋体" w:cs="宋体"/>
          <w:sz w:val="24"/>
          <w:szCs w:val="24"/>
        </w:rPr>
        <w:t>人民政府关于</w:t>
      </w:r>
      <w:r>
        <w:rPr>
          <w:rFonts w:hint="eastAsia" w:ascii="宋体" w:hAnsi="宋体" w:cs="宋体"/>
          <w:sz w:val="24"/>
          <w:szCs w:val="24"/>
          <w:lang w:eastAsia="zh-CN"/>
        </w:rPr>
        <w:t>执行永定区城区和乡（镇）规划区国有建设用地</w:t>
      </w:r>
      <w:r>
        <w:rPr>
          <w:rFonts w:hint="eastAsia" w:ascii="宋体" w:hAnsi="宋体" w:cs="宋体"/>
          <w:sz w:val="24"/>
          <w:szCs w:val="24"/>
        </w:rPr>
        <w:t>基准地价修编成果的通知》</w:t>
      </w:r>
      <w:r>
        <w:rPr>
          <w:rFonts w:hint="eastAsia" w:ascii="宋体" w:hAnsi="宋体" w:cs="宋体"/>
          <w:sz w:val="24"/>
          <w:szCs w:val="24"/>
          <w:lang w:eastAsia="zh-CN"/>
        </w:rPr>
        <w:t>永政综</w:t>
      </w:r>
      <w:r>
        <w:rPr>
          <w:rFonts w:hint="eastAsia" w:ascii="宋体" w:hAnsi="宋体" w:cs="宋体"/>
          <w:sz w:val="24"/>
          <w:szCs w:val="24"/>
          <w:lang w:val="en-US" w:eastAsia="zh-CN"/>
        </w:rPr>
        <w:t>[2021]23号</w:t>
      </w:r>
      <w:r>
        <w:rPr>
          <w:rFonts w:hint="eastAsia" w:ascii="宋体" w:hAnsi="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sz w:val="24"/>
          <w:szCs w:val="24"/>
        </w:rPr>
      </w:pPr>
      <w:r>
        <w:rPr>
          <w:rFonts w:hint="eastAsia" w:ascii="宋体" w:hAnsi="宋体" w:cs="宋体"/>
          <w:sz w:val="24"/>
          <w:szCs w:val="24"/>
          <w:lang w:val="en-US" w:eastAsia="zh-CN"/>
        </w:rPr>
        <w:t xml:space="preserve">    11、永定县</w:t>
      </w:r>
      <w:r>
        <w:rPr>
          <w:rFonts w:hint="eastAsia" w:ascii="宋体" w:hAnsi="宋体" w:cs="宋体"/>
          <w:sz w:val="24"/>
          <w:szCs w:val="24"/>
        </w:rPr>
        <w:t>人民政府颁发的各项相关文件。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sz w:val="24"/>
          <w:lang w:eastAsia="zh-CN"/>
        </w:rPr>
      </w:pPr>
      <w:r>
        <w:rPr>
          <w:rFonts w:hint="eastAsia" w:ascii="宋体" w:hAnsi="宋体" w:cs="宋体"/>
          <w:sz w:val="24"/>
          <w:lang w:val="en-US" w:eastAsia="zh-CN"/>
        </w:rPr>
        <w:t xml:space="preserve">   </w:t>
      </w:r>
      <w:r>
        <w:rPr>
          <w:rFonts w:hint="eastAsia" w:ascii="宋体" w:hAnsi="宋体" w:cs="宋体"/>
          <w:sz w:val="24"/>
          <w:lang w:eastAsia="zh-CN"/>
        </w:rPr>
        <w:t>（二）本次估价采用的技术规程及技术标准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sz w:val="24"/>
        </w:rPr>
      </w:pPr>
      <w:r>
        <w:rPr>
          <w:rFonts w:hint="eastAsia" w:ascii="宋体" w:hAnsi="宋体" w:cs="宋体"/>
          <w:sz w:val="24"/>
          <w:lang w:val="en-US" w:eastAsia="zh-CN"/>
        </w:rPr>
        <w:t xml:space="preserve">    1、</w:t>
      </w:r>
      <w:r>
        <w:rPr>
          <w:rFonts w:hint="eastAsia" w:ascii="宋体" w:hAnsi="宋体" w:cs="宋体"/>
          <w:sz w:val="24"/>
        </w:rPr>
        <w:t>《房地产估价规范》GB/T 50291-2015；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sz w:val="24"/>
        </w:rPr>
      </w:pPr>
      <w:r>
        <w:rPr>
          <w:rFonts w:hint="eastAsia" w:ascii="宋体" w:hAnsi="宋体" w:cs="宋体"/>
          <w:sz w:val="24"/>
          <w:lang w:val="en-US" w:eastAsia="zh-CN"/>
        </w:rPr>
        <w:t xml:space="preserve">    2、</w:t>
      </w:r>
      <w:r>
        <w:rPr>
          <w:rFonts w:hint="eastAsia" w:ascii="宋体" w:hAnsi="宋体" w:cs="宋体"/>
          <w:sz w:val="24"/>
        </w:rPr>
        <w:t>《房地产估价基本术语标准》GB/T 50899-2013；</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（三）估价委托人提供的资料依据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hint="eastAsia" w:ascii="宋体" w:hAnsi="宋体" w:cs="宋体"/>
          <w:sz w:val="24"/>
          <w:szCs w:val="24"/>
        </w:rPr>
      </w:pPr>
      <w:r>
        <w:rPr>
          <w:rFonts w:hint="eastAsia" w:ascii="宋体" w:hAnsi="宋体" w:cs="宋体"/>
          <w:sz w:val="24"/>
        </w:rPr>
        <w:t>1、</w:t>
      </w:r>
      <w:r>
        <w:rPr>
          <w:rFonts w:hint="eastAsia" w:ascii="宋体" w:hAnsi="宋体" w:cs="宋体"/>
          <w:sz w:val="24"/>
          <w:szCs w:val="24"/>
          <w:lang w:eastAsia="zh-CN"/>
        </w:rPr>
        <w:t>《龙岩市永定区人民法院委托书》（2022）闽0803执恢253号复印件</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lang w:eastAsia="zh-CN"/>
        </w:rPr>
        <w:t>福建省龙岩市永定区人民法院执行裁定书</w:t>
      </w:r>
      <w:r>
        <w:rPr>
          <w:rFonts w:hint="eastAsia" w:ascii="宋体" w:hAnsi="宋体" w:cs="宋体"/>
          <w:sz w:val="24"/>
          <w:szCs w:val="24"/>
          <w:lang w:val="en-US" w:eastAsia="zh-CN"/>
        </w:rPr>
        <w:t>复印件</w:t>
      </w:r>
      <w:r>
        <w:rPr>
          <w:rFonts w:hint="eastAsia" w:ascii="宋体" w:hAnsi="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3、《房屋所有权证》永房权证2014字第02399号复印件；</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4、《国有土地使用证》永定国用（2015）第R878号复印件；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40" w:firstLineChars="10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（四）估价机构及注册房地产估价师搜集的资料依据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1、估价对象照片；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2、实地查勘记录；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3、可比实例等相关资料；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4、当地市场调查和搜集的有关资料等。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九、估价方法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lang w:val="zh-CN"/>
        </w:rPr>
        <w:t>本次选用比较法、收益法进行估价。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sz w:val="24"/>
          <w:szCs w:val="24"/>
        </w:rPr>
      </w:pPr>
      <w:r>
        <w:rPr>
          <w:rFonts w:hint="eastAsia" w:ascii="宋体" w:hAnsi="宋体" w:cs="宋体"/>
          <w:sz w:val="24"/>
          <w:szCs w:val="24"/>
        </w:rPr>
        <w:t xml:space="preserve">    1、比较法，是选取一定数量的可比实例，将它们与估价对象进行比较，根据其间的差异对可比实例成交价格进行处理后得到估价对象价值或价格的方法。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sz w:val="24"/>
          <w:szCs w:val="24"/>
        </w:rPr>
      </w:pPr>
      <w:r>
        <w:rPr>
          <w:rFonts w:hint="eastAsia" w:ascii="宋体" w:hAnsi="宋体" w:cs="宋体"/>
          <w:sz w:val="24"/>
          <w:szCs w:val="24"/>
        </w:rPr>
        <w:t>2、收益法，是预测估价对象的未来收益，利用报酬率或资本化率、收益乘数将未来收益转换为价值得到估价对象价值或价格的方法。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十、估价结果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sz w:val="24"/>
          <w:szCs w:val="24"/>
          <w:lang w:val="zh-CN"/>
        </w:rPr>
      </w:pPr>
      <w:r>
        <w:rPr>
          <w:rFonts w:hint="eastAsia" w:ascii="宋体" w:hAnsi="宋体" w:cs="宋体"/>
          <w:sz w:val="24"/>
          <w:szCs w:val="24"/>
          <w:lang w:val="zh-CN"/>
        </w:rPr>
        <w:t>本公司根据估价目的，遵循估价原则，采用比较法、收益法，按照相应的估价程序，对委托估价的房地产实施了实地查勘、市场调查和评定估算，确定估价对象在价值时点所表现的各价值详见如下：</w:t>
      </w:r>
    </w:p>
    <w:p>
      <w:pPr>
        <w:pStyle w:val="2"/>
        <w:rPr>
          <w:rFonts w:hint="eastAsia" w:ascii="宋体" w:hAnsi="宋体" w:cs="宋体"/>
          <w:sz w:val="24"/>
          <w:szCs w:val="24"/>
          <w:lang w:val="zh-CN"/>
        </w:rPr>
      </w:pPr>
    </w:p>
    <w:p>
      <w:pPr>
        <w:pStyle w:val="2"/>
        <w:rPr>
          <w:rFonts w:hint="eastAsia" w:ascii="宋体" w:hAnsi="宋体" w:cs="宋体"/>
          <w:sz w:val="24"/>
          <w:szCs w:val="24"/>
          <w:lang w:val="zh-CN"/>
        </w:rPr>
      </w:pPr>
    </w:p>
    <w:p>
      <w:pPr>
        <w:pStyle w:val="2"/>
        <w:rPr>
          <w:rFonts w:hint="eastAsia" w:ascii="宋体" w:hAnsi="宋体" w:cs="宋体"/>
          <w:sz w:val="24"/>
          <w:szCs w:val="24"/>
          <w:lang w:val="zh-CN"/>
        </w:rPr>
      </w:pPr>
    </w:p>
    <w:p>
      <w:pPr>
        <w:pStyle w:val="2"/>
        <w:rPr>
          <w:rFonts w:hint="eastAsia" w:ascii="宋体" w:hAnsi="宋体" w:cs="宋体"/>
          <w:sz w:val="24"/>
          <w:szCs w:val="24"/>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仿宋_GB2312" w:hAnsi="仿宋" w:eastAsia="宋体"/>
          <w:b/>
          <w:color w:val="000000"/>
          <w:sz w:val="24"/>
          <w:szCs w:val="24"/>
          <w:lang w:eastAsia="zh-CN"/>
        </w:rPr>
      </w:pPr>
      <w:r>
        <w:rPr>
          <w:rFonts w:hint="eastAsia" w:ascii="宋体" w:hAnsi="宋体" w:cs="宋体"/>
          <w:sz w:val="24"/>
          <w:szCs w:val="24"/>
        </w:rPr>
        <w:t xml:space="preserve"> </w:t>
      </w:r>
      <w:r>
        <w:rPr>
          <w:rFonts w:hint="eastAsia" w:ascii="宋体" w:hAnsi="宋体" w:cs="宋体"/>
          <w:sz w:val="24"/>
          <w:szCs w:val="24"/>
          <w:lang w:val="zh-CN"/>
        </w:rPr>
        <w:t>估价对象房地产市场价值估算汇总表</w:t>
      </w:r>
      <w:r>
        <w:rPr>
          <w:rFonts w:hint="eastAsia" w:ascii="宋体" w:hAnsi="宋体" w:cs="宋体"/>
          <w:sz w:val="24"/>
          <w:szCs w:val="24"/>
        </w:rPr>
        <w:t xml:space="preserve">                    表</w:t>
      </w:r>
      <w:r>
        <w:rPr>
          <w:rFonts w:hint="eastAsia" w:ascii="宋体" w:hAnsi="宋体" w:cs="宋体"/>
          <w:sz w:val="24"/>
          <w:szCs w:val="24"/>
          <w:lang w:val="en-US" w:eastAsia="zh-CN"/>
        </w:rPr>
        <w:t>4</w:t>
      </w:r>
    </w:p>
    <w:tbl>
      <w:tblPr>
        <w:tblStyle w:val="9"/>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3"/>
        <w:gridCol w:w="222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623" w:type="dxa"/>
            <w:vMerge w:val="restart"/>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eastAsia" w:ascii="宋体" w:hAnsi="宋体" w:cs="宋体"/>
                <w:szCs w:val="21"/>
              </w:rPr>
            </w:pPr>
            <w:r>
              <w:rPr>
                <w:rFonts w:hint="eastAsia" w:ascii="宋体" w:hAnsi="宋体" w:cs="宋体"/>
                <w:lang w:val="zh-CN"/>
              </w:rPr>
              <w:t>项</w:t>
            </w:r>
            <w:r>
              <w:rPr>
                <w:rFonts w:hint="eastAsia" w:ascii="宋体" w:hAnsi="宋体" w:cs="宋体"/>
              </w:rPr>
              <w:t xml:space="preserve">  </w:t>
            </w:r>
            <w:r>
              <w:rPr>
                <w:rFonts w:hint="eastAsia" w:ascii="宋体" w:hAnsi="宋体" w:cs="宋体"/>
                <w:lang w:val="zh-CN"/>
              </w:rPr>
              <w:t>目</w:t>
            </w:r>
          </w:p>
        </w:tc>
        <w:tc>
          <w:tcPr>
            <w:tcW w:w="6696" w:type="dxa"/>
            <w:gridSpan w:val="2"/>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eastAsia" w:ascii="宋体" w:hAnsi="宋体" w:cs="宋体"/>
                <w:szCs w:val="21"/>
              </w:rPr>
            </w:pPr>
            <w:r>
              <w:rPr>
                <w:rFonts w:hint="eastAsia" w:ascii="宋体" w:hAnsi="宋体" w:cs="宋体"/>
                <w:lang w:val="zh-CN"/>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623" w:type="dxa"/>
            <w:vMerge w:val="continue"/>
            <w:noWrap w:val="0"/>
            <w:vAlign w:val="center"/>
          </w:tcPr>
          <w:p>
            <w:pPr>
              <w:keepNext w:val="0"/>
              <w:keepLines w:val="0"/>
              <w:pageBreakBefore w:val="0"/>
              <w:widowControl w:val="0"/>
              <w:kinsoku/>
              <w:wordWrap/>
              <w:overflowPunct/>
              <w:topLinePunct w:val="0"/>
              <w:autoSpaceDE/>
              <w:autoSpaceDN/>
              <w:bidi w:val="0"/>
              <w:snapToGrid/>
              <w:spacing w:line="360" w:lineRule="auto"/>
              <w:ind w:firstLine="420" w:firstLineChars="200"/>
              <w:jc w:val="center"/>
              <w:rPr>
                <w:rFonts w:hint="eastAsia" w:ascii="宋体" w:hAnsi="宋体" w:cs="宋体"/>
                <w:lang w:val="zh-CN"/>
              </w:rPr>
            </w:pPr>
          </w:p>
        </w:tc>
        <w:tc>
          <w:tcPr>
            <w:tcW w:w="2223"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eastAsia" w:ascii="宋体" w:hAnsi="宋体" w:cs="宋体"/>
                <w:lang w:val="zh-CN"/>
              </w:rPr>
            </w:pPr>
            <w:r>
              <w:rPr>
                <w:rFonts w:hint="eastAsia" w:ascii="宋体" w:hAnsi="宋体" w:cs="宋体"/>
                <w:lang w:val="zh-CN"/>
              </w:rPr>
              <w:t>估算单价（</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lang w:val="zh-CN"/>
              </w:rPr>
              <w:t>）</w:t>
            </w:r>
          </w:p>
        </w:tc>
        <w:tc>
          <w:tcPr>
            <w:tcW w:w="4473" w:type="dxa"/>
            <w:noWrap w:val="0"/>
            <w:vAlign w:val="center"/>
          </w:tcPr>
          <w:p>
            <w:pPr>
              <w:keepNext w:val="0"/>
              <w:keepLines w:val="0"/>
              <w:pageBreakBefore w:val="0"/>
              <w:widowControl w:val="0"/>
              <w:kinsoku/>
              <w:wordWrap/>
              <w:overflowPunct/>
              <w:topLinePunct w:val="0"/>
              <w:autoSpaceDE/>
              <w:autoSpaceDN/>
              <w:bidi w:val="0"/>
              <w:snapToGrid/>
              <w:spacing w:line="360" w:lineRule="auto"/>
              <w:jc w:val="center"/>
              <w:rPr>
                <w:rFonts w:hint="eastAsia" w:ascii="宋体" w:hAnsi="宋体" w:cs="宋体"/>
                <w:lang w:val="zh-CN"/>
              </w:rPr>
            </w:pPr>
            <w:r>
              <w:rPr>
                <w:rFonts w:hint="eastAsia" w:ascii="宋体" w:hAnsi="宋体" w:cs="宋体"/>
                <w:lang w:val="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623" w:type="dxa"/>
            <w:noWrap w:val="0"/>
            <w:vAlign w:val="center"/>
          </w:tcPr>
          <w:p>
            <w:pPr>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pacing w:val="-6"/>
                <w:szCs w:val="21"/>
              </w:rPr>
              <w:t>市场价值</w:t>
            </w:r>
          </w:p>
        </w:tc>
        <w:tc>
          <w:tcPr>
            <w:tcW w:w="2223"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default" w:ascii="宋体" w:hAnsi="宋体" w:cs="宋体"/>
                <w:spacing w:val="-6"/>
                <w:szCs w:val="21"/>
                <w:lang w:val="en-US" w:eastAsia="zh-CN"/>
              </w:rPr>
            </w:pPr>
            <w:r>
              <w:rPr>
                <w:rFonts w:hint="eastAsia" w:ascii="宋体" w:hAnsi="宋体" w:cs="宋体"/>
                <w:sz w:val="21"/>
                <w:szCs w:val="21"/>
                <w:lang w:val="en-US" w:eastAsia="zh-CN"/>
              </w:rPr>
              <w:t>5757</w:t>
            </w:r>
          </w:p>
        </w:tc>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sz w:val="21"/>
                <w:szCs w:val="21"/>
                <w:lang w:val="en-US" w:eastAsia="zh-CN"/>
              </w:rPr>
              <w:t>18.59万元（人民币壹拾捌万伍仟玖佰元整）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623" w:type="dxa"/>
            <w:noWrap w:val="0"/>
            <w:vAlign w:val="center"/>
          </w:tcPr>
          <w:p>
            <w:pPr>
              <w:keepNext w:val="0"/>
              <w:keepLines w:val="0"/>
              <w:pageBreakBefore w:val="0"/>
              <w:widowControl w:val="0"/>
              <w:kinsoku/>
              <w:wordWrap/>
              <w:overflowPunct/>
              <w:topLinePunct w:val="0"/>
              <w:autoSpaceDE/>
              <w:autoSpaceDN/>
              <w:bidi w:val="0"/>
              <w:snapToGrid/>
              <w:spacing w:line="360" w:lineRule="auto"/>
              <w:jc w:val="left"/>
              <w:rPr>
                <w:rFonts w:hint="eastAsia" w:ascii="宋体" w:hAnsi="宋体" w:eastAsia="宋体" w:cs="宋体"/>
                <w:szCs w:val="21"/>
                <w:lang w:eastAsia="zh-CN"/>
              </w:rPr>
            </w:pPr>
            <w:r>
              <w:rPr>
                <w:rFonts w:hint="eastAsia" w:ascii="宋体" w:hAnsi="宋体" w:cs="宋体"/>
                <w:spacing w:val="-6"/>
                <w:szCs w:val="21"/>
              </w:rPr>
              <w:t>2、原房屋所有权人应承担的各项税费</w:t>
            </w:r>
          </w:p>
        </w:tc>
        <w:tc>
          <w:tcPr>
            <w:tcW w:w="22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s="宋体"/>
                <w:spacing w:val="-6"/>
                <w:szCs w:val="21"/>
              </w:rPr>
            </w:pPr>
            <w:r>
              <w:rPr>
                <w:rFonts w:hint="eastAsia" w:ascii="宋体" w:hAnsi="宋体" w:cs="宋体"/>
                <w:sz w:val="21"/>
                <w:szCs w:val="21"/>
                <w:lang w:val="en-US" w:eastAsia="zh-CN"/>
              </w:rPr>
              <w:t>0.57</w:t>
            </w:r>
            <w:r>
              <w:rPr>
                <w:rFonts w:hint="eastAsia" w:ascii="宋体" w:hAnsi="宋体" w:cs="宋体"/>
                <w:sz w:val="21"/>
                <w:szCs w:val="21"/>
              </w:rPr>
              <w:t>万元（</w:t>
            </w:r>
            <w:r>
              <w:rPr>
                <w:rFonts w:hint="eastAsia" w:ascii="宋体" w:hAnsi="宋体" w:cs="宋体"/>
                <w:sz w:val="21"/>
                <w:szCs w:val="21"/>
                <w:lang w:eastAsia="zh-CN"/>
              </w:rPr>
              <w:t>人民币伍仟柒佰元整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623" w:type="dxa"/>
            <w:noWrap w:val="0"/>
            <w:vAlign w:val="center"/>
          </w:tcPr>
          <w:p>
            <w:pPr>
              <w:keepNext w:val="0"/>
              <w:keepLines w:val="0"/>
              <w:pageBreakBefore w:val="0"/>
              <w:widowControl w:val="0"/>
              <w:kinsoku/>
              <w:wordWrap/>
              <w:overflowPunct/>
              <w:topLinePunct w:val="0"/>
              <w:autoSpaceDE/>
              <w:autoSpaceDN/>
              <w:bidi w:val="0"/>
              <w:snapToGrid/>
              <w:spacing w:line="360" w:lineRule="auto"/>
              <w:jc w:val="left"/>
              <w:rPr>
                <w:rFonts w:hint="eastAsia" w:ascii="宋体" w:hAnsi="宋体" w:cs="宋体"/>
                <w:szCs w:val="21"/>
              </w:rPr>
            </w:pPr>
            <w:r>
              <w:rPr>
                <w:rFonts w:hint="eastAsia" w:ascii="宋体" w:hAnsi="宋体" w:cs="宋体"/>
                <w:szCs w:val="21"/>
              </w:rPr>
              <w:t>3、</w:t>
            </w:r>
            <w:r>
              <w:rPr>
                <w:rFonts w:hint="eastAsia" w:ascii="宋体" w:hAnsi="宋体" w:cs="宋体"/>
                <w:szCs w:val="21"/>
                <w:lang w:eastAsia="zh-CN"/>
              </w:rPr>
              <w:t>处置参考</w:t>
            </w:r>
            <w:r>
              <w:rPr>
                <w:rFonts w:hint="eastAsia" w:ascii="宋体" w:hAnsi="宋体" w:cs="宋体"/>
                <w:szCs w:val="21"/>
              </w:rPr>
              <w:t>价值</w:t>
            </w:r>
          </w:p>
        </w:tc>
        <w:tc>
          <w:tcPr>
            <w:tcW w:w="22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spacing w:val="-6"/>
                <w:szCs w:val="21"/>
                <w:lang w:val="en-US" w:eastAsia="zh-CN"/>
              </w:rPr>
            </w:pPr>
            <w:r>
              <w:rPr>
                <w:rFonts w:hint="eastAsia" w:ascii="宋体" w:hAnsi="宋体" w:cs="宋体"/>
                <w:sz w:val="21"/>
                <w:szCs w:val="21"/>
                <w:lang w:val="en-US" w:eastAsia="zh-CN"/>
              </w:rPr>
              <w:t>5581</w:t>
            </w:r>
          </w:p>
        </w:tc>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color w:val="000000"/>
                <w:sz w:val="21"/>
                <w:szCs w:val="21"/>
                <w:lang w:val="en-US" w:eastAsia="zh-CN"/>
              </w:rPr>
              <w:t>18.02万元（人民币壹拾捌万零贰佰元整）</w:t>
            </w:r>
          </w:p>
        </w:tc>
      </w:tr>
    </w:tbl>
    <w:p>
      <w:pPr>
        <w:pStyle w:val="13"/>
        <w:keepNext w:val="0"/>
        <w:keepLines w:val="0"/>
        <w:pageBreakBefore w:val="0"/>
        <w:widowControl w:val="0"/>
        <w:kinsoku/>
        <w:wordWrap/>
        <w:overflowPunct/>
        <w:topLinePunct w:val="0"/>
        <w:autoSpaceDE/>
        <w:autoSpaceDN/>
        <w:bidi w:val="0"/>
        <w:snapToGrid/>
        <w:spacing w:before="0" w:after="0" w:line="360" w:lineRule="auto"/>
        <w:ind w:firstLine="562"/>
        <w:rPr>
          <w:rFonts w:hint="eastAsia" w:ascii="宋体" w:hAnsi="宋体" w:eastAsia="宋体" w:cs="宋体"/>
          <w:sz w:val="28"/>
          <w:szCs w:val="28"/>
        </w:rPr>
      </w:pPr>
      <w:r>
        <w:rPr>
          <w:rFonts w:hint="eastAsia" w:ascii="宋体" w:hAnsi="宋体" w:eastAsia="宋体" w:cs="宋体"/>
          <w:sz w:val="28"/>
          <w:szCs w:val="28"/>
        </w:rPr>
        <w:t>十一、注册房地产估价师</w:t>
      </w:r>
    </w:p>
    <w:p>
      <w:pPr>
        <w:keepNext w:val="0"/>
        <w:keepLines w:val="0"/>
        <w:pageBreakBefore w:val="0"/>
        <w:widowControl w:val="0"/>
        <w:kinsoku/>
        <w:wordWrap/>
        <w:overflowPunct/>
        <w:topLinePunct w:val="0"/>
        <w:autoSpaceDE/>
        <w:autoSpaceDN/>
        <w:bidi w:val="0"/>
        <w:snapToGrid/>
        <w:spacing w:line="360" w:lineRule="auto"/>
        <w:ind w:firstLine="480"/>
        <w:jc w:val="right"/>
        <w:rPr>
          <w:rFonts w:hint="eastAsia" w:ascii="宋体" w:hAnsi="宋体" w:eastAsia="宋体" w:cs="宋体"/>
          <w:sz w:val="24"/>
          <w:szCs w:val="24"/>
          <w:lang w:val="zh-CN" w:eastAsia="zh-CN"/>
        </w:rPr>
      </w:pPr>
      <w:r>
        <w:rPr>
          <w:rFonts w:hint="eastAsia" w:ascii="宋体" w:hAnsi="宋体" w:cs="宋体"/>
          <w:sz w:val="24"/>
          <w:szCs w:val="24"/>
        </w:rPr>
        <w:t xml:space="preserve">              </w:t>
      </w:r>
      <w:bookmarkStart w:id="9" w:name="OLE_LINK11"/>
      <w:r>
        <w:rPr>
          <w:rFonts w:hint="eastAsia" w:ascii="宋体" w:hAnsi="宋体" w:cs="宋体"/>
          <w:sz w:val="24"/>
          <w:szCs w:val="24"/>
          <w:lang w:val="zh-CN"/>
        </w:rPr>
        <w:t>参加估价的注册房地产估价师</w:t>
      </w:r>
      <w:r>
        <w:rPr>
          <w:rFonts w:hint="eastAsia" w:ascii="宋体" w:hAnsi="宋体" w:cs="宋体"/>
          <w:sz w:val="24"/>
          <w:szCs w:val="24"/>
        </w:rPr>
        <w:t xml:space="preserve">                       表</w:t>
      </w:r>
      <w:bookmarkEnd w:id="9"/>
      <w:r>
        <w:rPr>
          <w:rFonts w:hint="eastAsia" w:ascii="宋体" w:hAnsi="宋体" w:cs="宋体"/>
          <w:sz w:val="24"/>
          <w:szCs w:val="24"/>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2266"/>
        <w:gridCol w:w="2266"/>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姓  名</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注册号</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签  名</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sz w:val="24"/>
                <w:lang w:eastAsia="zh-CN"/>
              </w:rPr>
            </w:pPr>
            <w:r>
              <w:rPr>
                <w:rFonts w:hint="eastAsia" w:ascii="宋体" w:hAnsi="宋体" w:cs="宋体"/>
                <w:sz w:val="24"/>
                <w:lang w:eastAsia="zh-CN"/>
              </w:rPr>
              <w:t>倪灵燕</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szCs w:val="22"/>
                <w:lang w:eastAsia="zh-CN"/>
              </w:rPr>
            </w:pPr>
            <w:r>
              <w:rPr>
                <w:rFonts w:hint="eastAsia" w:ascii="宋体" w:hAnsi="宋体" w:cs="宋体"/>
                <w:sz w:val="24"/>
                <w:szCs w:val="22"/>
                <w:lang w:eastAsia="zh-CN"/>
              </w:rPr>
              <w:t>3520150012</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sz w:val="24"/>
                <w:lang w:eastAsia="zh-CN"/>
              </w:rPr>
            </w:pPr>
            <w:r>
              <w:rPr>
                <w:rFonts w:hint="eastAsia" w:ascii="宋体" w:hAnsi="宋体" w:cs="宋体"/>
                <w:sz w:val="24"/>
                <w:lang w:eastAsia="zh-CN"/>
              </w:rPr>
              <w:t>韩新华</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szCs w:val="22"/>
                <w:lang w:eastAsia="zh-CN"/>
              </w:rPr>
            </w:pPr>
            <w:r>
              <w:rPr>
                <w:rFonts w:hint="eastAsia" w:ascii="宋体" w:hAnsi="宋体" w:cs="宋体"/>
                <w:sz w:val="24"/>
                <w:szCs w:val="22"/>
                <w:lang w:eastAsia="zh-CN"/>
              </w:rPr>
              <w:t>3520120002</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 xml:space="preserve">     年   月   日</w:t>
            </w:r>
          </w:p>
        </w:tc>
      </w:tr>
    </w:tbl>
    <w:p>
      <w:pPr>
        <w:pStyle w:val="13"/>
        <w:keepNext w:val="0"/>
        <w:keepLines w:val="0"/>
        <w:pageBreakBefore w:val="0"/>
        <w:widowControl w:val="0"/>
        <w:kinsoku/>
        <w:wordWrap/>
        <w:overflowPunct/>
        <w:topLinePunct w:val="0"/>
        <w:autoSpaceDE/>
        <w:autoSpaceDN/>
        <w:bidi w:val="0"/>
        <w:snapToGrid/>
        <w:spacing w:before="0" w:after="0" w:line="360" w:lineRule="auto"/>
        <w:ind w:firstLine="0"/>
        <w:rPr>
          <w:rFonts w:hint="eastAsia" w:ascii="宋体" w:hAnsi="宋体" w:eastAsia="宋体" w:cs="宋体"/>
          <w:sz w:val="28"/>
          <w:szCs w:val="28"/>
        </w:rPr>
      </w:pPr>
      <w:r>
        <w:rPr>
          <w:rFonts w:hint="eastAsia" w:ascii="宋体" w:hAnsi="宋体" w:eastAsia="宋体" w:cs="宋体"/>
          <w:sz w:val="28"/>
          <w:szCs w:val="28"/>
        </w:rPr>
        <w:t xml:space="preserve">    十二、实地查勘期</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宋体" w:hAnsi="宋体" w:cs="宋体"/>
          <w:sz w:val="24"/>
        </w:rPr>
      </w:pPr>
      <w:r>
        <w:rPr>
          <w:rFonts w:hint="eastAsia" w:ascii="宋体" w:hAnsi="宋体" w:cs="宋体"/>
          <w:sz w:val="24"/>
        </w:rPr>
        <w:t xml:space="preserve"> 实地查勘日：</w:t>
      </w:r>
      <w:r>
        <w:rPr>
          <w:rFonts w:hint="eastAsia" w:ascii="宋体" w:hAnsi="宋体" w:cs="宋体"/>
          <w:sz w:val="24"/>
          <w:lang w:eastAsia="zh-CN"/>
        </w:rPr>
        <w:t>2022年7月12日</w:t>
      </w:r>
    </w:p>
    <w:p>
      <w:pPr>
        <w:pStyle w:val="13"/>
        <w:keepNext w:val="0"/>
        <w:keepLines w:val="0"/>
        <w:pageBreakBefore w:val="0"/>
        <w:widowControl w:val="0"/>
        <w:kinsoku/>
        <w:wordWrap/>
        <w:overflowPunct/>
        <w:topLinePunct w:val="0"/>
        <w:autoSpaceDE/>
        <w:autoSpaceDN/>
        <w:bidi w:val="0"/>
        <w:snapToGrid/>
        <w:spacing w:before="0" w:after="0" w:line="360" w:lineRule="auto"/>
        <w:ind w:firstLine="0"/>
        <w:rPr>
          <w:rFonts w:hint="eastAsia" w:ascii="宋体" w:hAnsi="宋体" w:eastAsia="宋体" w:cs="宋体"/>
          <w:sz w:val="28"/>
          <w:szCs w:val="28"/>
        </w:rPr>
      </w:pPr>
      <w:r>
        <w:rPr>
          <w:rFonts w:hint="eastAsia" w:ascii="宋体" w:hAnsi="宋体" w:eastAsia="宋体" w:cs="宋体"/>
          <w:sz w:val="28"/>
          <w:szCs w:val="28"/>
        </w:rPr>
        <w:t xml:space="preserve">    十三、估价作业期</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宋体" w:hAnsi="宋体" w:cs="宋体"/>
          <w:sz w:val="24"/>
          <w:lang w:val="en-US" w:eastAsia="zh-CN"/>
        </w:rPr>
      </w:pPr>
      <w:r>
        <w:rPr>
          <w:rFonts w:hint="eastAsia" w:ascii="宋体" w:hAnsi="宋体" w:cs="宋体"/>
          <w:sz w:val="24"/>
        </w:rPr>
        <w:t xml:space="preserve"> 估价作业期：</w:t>
      </w:r>
      <w:r>
        <w:rPr>
          <w:rFonts w:hint="eastAsia" w:ascii="宋体" w:hAnsi="宋体" w:cs="宋体"/>
          <w:sz w:val="24"/>
          <w:lang w:eastAsia="zh-CN"/>
        </w:rPr>
        <w:t>2022年7月12日</w:t>
      </w:r>
      <w:r>
        <w:rPr>
          <w:rFonts w:hint="eastAsia" w:ascii="宋体" w:hAnsi="宋体" w:cs="宋体"/>
          <w:sz w:val="24"/>
        </w:rPr>
        <w:t>至</w:t>
      </w:r>
      <w:r>
        <w:rPr>
          <w:rFonts w:hint="eastAsia" w:ascii="宋体" w:hAnsi="宋体" w:cs="宋体"/>
          <w:color w:val="000000"/>
          <w:sz w:val="24"/>
          <w:lang w:eastAsia="zh-CN"/>
        </w:rPr>
        <w:t>2022年9月7日</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562" w:firstLineChars="200"/>
        <w:jc w:val="both"/>
        <w:outlineLvl w:val="9"/>
        <w:rPr>
          <w:rFonts w:hint="eastAsia" w:ascii="宋体" w:hAnsi="宋体" w:cs="宋体"/>
          <w:sz w:val="28"/>
          <w:szCs w:val="28"/>
          <w:lang w:eastAsia="zh-CN"/>
        </w:rPr>
      </w:pPr>
      <w:r>
        <w:rPr>
          <w:rFonts w:hint="eastAsia" w:ascii="宋体" w:hAnsi="宋体" w:cs="宋体"/>
          <w:b/>
          <w:bCs/>
          <w:sz w:val="28"/>
          <w:szCs w:val="28"/>
          <w:lang w:eastAsia="zh-CN"/>
        </w:rPr>
        <w:t>十四、提示</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1、估价报告使用期限：至本估价报告出具之日起不超过壹年，当地房地产市场变化较大时不超过半年。</w:t>
      </w:r>
    </w:p>
    <w:p>
      <w:pPr>
        <w:pStyle w:val="2"/>
        <w:keepNext w:val="0"/>
        <w:keepLines w:val="0"/>
        <w:pageBreakBefore w:val="0"/>
        <w:widowControl w:val="0"/>
        <w:kinsoku/>
        <w:wordWrap/>
        <w:overflowPunct/>
        <w:topLinePunct w:val="0"/>
        <w:autoSpaceDE/>
        <w:autoSpaceDN/>
        <w:bidi w:val="0"/>
        <w:snapToGrid/>
        <w:spacing w:line="360" w:lineRule="auto"/>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ind w:right="480"/>
        <w:jc w:val="center"/>
        <w:textAlignment w:val="auto"/>
        <w:rPr>
          <w:rFonts w:hint="eastAsia" w:ascii="宋体" w:hAnsi="宋体" w:cs="宋体"/>
          <w:bCs/>
          <w:sz w:val="28"/>
          <w:szCs w:val="28"/>
        </w:rPr>
      </w:pPr>
      <w:r>
        <w:rPr>
          <w:rFonts w:hint="eastAsia" w:ascii="宋体" w:hAnsi="宋体" w:cs="宋体"/>
          <w:bCs/>
          <w:sz w:val="28"/>
          <w:szCs w:val="28"/>
        </w:rPr>
        <w:t xml:space="preserve">                             </w:t>
      </w:r>
      <w:bookmarkStart w:id="10" w:name="OLE_LINK22"/>
      <w:r>
        <w:rPr>
          <w:rFonts w:hint="eastAsia" w:ascii="宋体" w:hAnsi="宋体" w:cs="宋体"/>
          <w:bCs/>
          <w:sz w:val="28"/>
          <w:szCs w:val="28"/>
        </w:rPr>
        <w:t xml:space="preserve"> 龙岩冠力土地房地产评估有限公司</w:t>
      </w:r>
    </w:p>
    <w:p>
      <w:pPr>
        <w:keepNext w:val="0"/>
        <w:keepLines w:val="0"/>
        <w:pageBreakBefore w:val="0"/>
        <w:widowControl w:val="0"/>
        <w:kinsoku/>
        <w:wordWrap/>
        <w:overflowPunct/>
        <w:topLinePunct w:val="0"/>
        <w:autoSpaceDE/>
        <w:autoSpaceDN/>
        <w:bidi w:val="0"/>
        <w:adjustRightInd/>
        <w:snapToGrid/>
        <w:spacing w:line="600" w:lineRule="auto"/>
        <w:ind w:firstLine="4303" w:firstLineChars="1537"/>
        <w:textAlignment w:val="auto"/>
        <w:rPr>
          <w:rFonts w:hint="eastAsia" w:ascii="宋体" w:hAnsi="宋体" w:cs="宋体"/>
          <w:bCs/>
          <w:sz w:val="28"/>
          <w:szCs w:val="28"/>
        </w:rPr>
      </w:pPr>
      <w:r>
        <w:rPr>
          <w:rFonts w:hint="eastAsia" w:ascii="宋体" w:hAnsi="宋体" w:cs="宋体"/>
          <w:bCs/>
          <w:sz w:val="28"/>
          <w:szCs w:val="28"/>
        </w:rPr>
        <w:t>法定代表人：</w:t>
      </w:r>
    </w:p>
    <w:bookmarkEnd w:id="10"/>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cs="宋体"/>
          <w:b/>
          <w:bCs/>
          <w:sz w:val="36"/>
          <w:szCs w:val="36"/>
        </w:rPr>
      </w:pPr>
      <w:r>
        <w:rPr>
          <w:rFonts w:hint="eastAsia" w:ascii="宋体" w:hAnsi="宋体" w:cs="宋体"/>
          <w:bCs/>
          <w:sz w:val="28"/>
          <w:szCs w:val="28"/>
        </w:rPr>
        <w:t xml:space="preserve">           </w:t>
      </w:r>
      <w:r>
        <w:rPr>
          <w:rFonts w:hint="eastAsia" w:ascii="宋体" w:hAnsi="宋体" w:cs="宋体"/>
          <w:bCs/>
          <w:color w:val="auto"/>
          <w:sz w:val="28"/>
          <w:szCs w:val="28"/>
          <w:lang w:eastAsia="zh-CN"/>
        </w:rPr>
        <w:t xml:space="preserve"> 2022年9月7日</w:t>
      </w:r>
    </w:p>
    <w:p>
      <w:pPr>
        <w:spacing w:line="480" w:lineRule="auto"/>
        <w:jc w:val="center"/>
        <w:rPr>
          <w:rFonts w:hint="eastAsia" w:ascii="宋体" w:hAnsi="宋体" w:cs="宋体"/>
          <w:b/>
          <w:bCs/>
          <w:sz w:val="36"/>
          <w:szCs w:val="36"/>
        </w:rPr>
      </w:pPr>
    </w:p>
    <w:p>
      <w:pPr>
        <w:spacing w:line="480" w:lineRule="auto"/>
        <w:jc w:val="center"/>
        <w:rPr>
          <w:rFonts w:hint="eastAsia" w:ascii="宋体" w:hAnsi="宋体" w:cs="宋体"/>
          <w:b/>
          <w:bCs/>
          <w:sz w:val="36"/>
          <w:szCs w:val="36"/>
        </w:rPr>
      </w:pPr>
    </w:p>
    <w:p>
      <w:pPr>
        <w:spacing w:line="600" w:lineRule="auto"/>
        <w:jc w:val="center"/>
        <w:rPr>
          <w:rFonts w:hint="eastAsia" w:ascii="宋体" w:hAnsi="宋体" w:cs="宋体"/>
          <w:b/>
          <w:bCs/>
          <w:sz w:val="15"/>
          <w:szCs w:val="15"/>
        </w:rPr>
      </w:pPr>
      <w:r>
        <w:rPr>
          <w:rFonts w:hint="eastAsia" w:ascii="宋体" w:hAnsi="宋体" w:cs="宋体"/>
          <w:b/>
          <w:bCs/>
          <w:sz w:val="36"/>
          <w:szCs w:val="36"/>
        </w:rPr>
        <w:t>估价技术报告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sz w:val="28"/>
          <w:szCs w:val="28"/>
        </w:rPr>
      </w:pPr>
      <w:r>
        <w:rPr>
          <w:rFonts w:hint="eastAsia" w:ascii="宋体" w:hAnsi="宋体" w:cs="宋体"/>
          <w:b/>
          <w:sz w:val="28"/>
          <w:szCs w:val="28"/>
        </w:rPr>
        <w:t xml:space="preserve">    一、估价对象描述与分析</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sz w:val="28"/>
          <w:szCs w:val="28"/>
        </w:rPr>
      </w:pPr>
      <w:r>
        <w:rPr>
          <w:rFonts w:hint="eastAsia" w:ascii="宋体" w:hAnsi="宋体" w:cs="宋体"/>
          <w:b/>
          <w:sz w:val="28"/>
          <w:szCs w:val="28"/>
        </w:rPr>
        <w:t xml:space="preserve">   （一）区位状况描述与分析</w:t>
      </w:r>
    </w:p>
    <w:p>
      <w:pPr>
        <w:pStyle w:val="4"/>
        <w:keepNext w:val="0"/>
        <w:keepLines w:val="0"/>
        <w:pageBreakBefore w:val="0"/>
        <w:widowControl w:val="0"/>
        <w:numPr>
          <w:ilvl w:val="0"/>
          <w:numId w:val="1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位置状况</w:t>
      </w:r>
    </w:p>
    <w:p>
      <w:pPr>
        <w:pStyle w:val="4"/>
        <w:keepNext w:val="0"/>
        <w:keepLines w:val="0"/>
        <w:pageBreakBefore w:val="0"/>
        <w:widowControl w:val="0"/>
        <w:kinsoku/>
        <w:wordWrap/>
        <w:overflowPunct/>
        <w:topLinePunct w:val="0"/>
        <w:autoSpaceDE/>
        <w:autoSpaceDN/>
        <w:bidi w:val="0"/>
        <w:adjustRightInd/>
        <w:snapToGrid/>
        <w:spacing w:line="460" w:lineRule="exact"/>
        <w:ind w:left="420" w:left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bookmarkStart w:id="11" w:name="OLE_LINK17"/>
      <w:r>
        <w:rPr>
          <w:rFonts w:hint="eastAsia" w:ascii="宋体" w:hAnsi="宋体" w:eastAsia="宋体" w:cs="宋体"/>
          <w:sz w:val="24"/>
          <w:szCs w:val="24"/>
        </w:rPr>
        <w:t xml:space="preserve"> </w:t>
      </w:r>
      <w:bookmarkStart w:id="12" w:name="OLE_LINK20"/>
      <w:r>
        <w:rPr>
          <w:rFonts w:hint="eastAsia" w:ascii="宋体" w:hAnsi="宋体" w:eastAsia="宋体" w:cs="宋体"/>
          <w:sz w:val="24"/>
          <w:szCs w:val="24"/>
        </w:rPr>
        <w:t xml:space="preserve">位置状况表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坐落</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龙岩市永定县坎市镇沿河南路7层705室住宅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方位</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lang w:eastAsia="zh-CN"/>
              </w:rPr>
              <w:t>位于永定区坎市沿河中路，土地级</w:t>
            </w:r>
            <w:r>
              <w:rPr>
                <w:rFonts w:hint="eastAsia" w:ascii="宋体" w:hAnsi="宋体" w:eastAsia="宋体" w:cs="宋体"/>
                <w:color w:val="auto"/>
                <w:sz w:val="21"/>
                <w:szCs w:val="21"/>
                <w:lang w:eastAsia="zh-CN"/>
              </w:rPr>
              <w:t>别属于</w:t>
            </w:r>
            <w:r>
              <w:rPr>
                <w:rFonts w:hint="eastAsia" w:ascii="宋体" w:hAnsi="宋体" w:eastAsia="宋体" w:cs="宋体"/>
                <w:color w:val="auto"/>
                <w:sz w:val="21"/>
                <w:szCs w:val="21"/>
                <w:lang w:val="en-US" w:eastAsia="zh-CN"/>
              </w:rPr>
              <w:t>永定中心城区二</w:t>
            </w:r>
            <w:r>
              <w:rPr>
                <w:rFonts w:hint="eastAsia" w:ascii="宋体" w:hAnsi="宋体" w:eastAsia="宋体" w:cs="宋体"/>
                <w:color w:val="auto"/>
                <w:sz w:val="21"/>
                <w:szCs w:val="21"/>
                <w:lang w:eastAsia="zh-CN"/>
              </w:rPr>
              <w:t>级住宅用地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与重要场所距离</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default" w:ascii="宋体" w:hAnsi="宋体" w:eastAsia="宋体" w:cs="宋体"/>
                <w:sz w:val="21"/>
                <w:szCs w:val="21"/>
                <w:lang w:val="en-US"/>
              </w:rPr>
            </w:pPr>
            <w:r>
              <w:rPr>
                <w:rFonts w:hint="eastAsia" w:ascii="宋体" w:hAnsi="宋体" w:eastAsia="宋体" w:cs="宋体"/>
                <w:sz w:val="21"/>
                <w:szCs w:val="21"/>
              </w:rPr>
              <w:t>位</w:t>
            </w:r>
            <w:r>
              <w:rPr>
                <w:rFonts w:hint="eastAsia" w:ascii="宋体" w:hAnsi="宋体" w:eastAsia="宋体" w:cs="宋体"/>
                <w:spacing w:val="-2"/>
                <w:sz w:val="21"/>
                <w:szCs w:val="21"/>
                <w:lang w:eastAsia="zh-CN"/>
              </w:rPr>
              <w:t>于坎市沿河中路，距离</w:t>
            </w:r>
            <w:r>
              <w:rPr>
                <w:rFonts w:hint="eastAsia" w:ascii="宋体" w:hAnsi="宋体" w:eastAsia="宋体" w:cs="宋体"/>
                <w:spacing w:val="-2"/>
                <w:sz w:val="21"/>
                <w:szCs w:val="21"/>
                <w:lang w:val="en-US" w:eastAsia="zh-CN"/>
              </w:rPr>
              <w:t>云川公园</w:t>
            </w:r>
            <w:r>
              <w:rPr>
                <w:rFonts w:hint="eastAsia" w:ascii="宋体" w:hAnsi="宋体" w:eastAsia="宋体" w:cs="宋体"/>
                <w:spacing w:val="-2"/>
                <w:sz w:val="21"/>
                <w:szCs w:val="21"/>
                <w:lang w:eastAsia="zh-CN"/>
              </w:rPr>
              <w:t>约</w:t>
            </w:r>
            <w:r>
              <w:rPr>
                <w:rFonts w:hint="eastAsia" w:ascii="宋体" w:hAnsi="宋体" w:eastAsia="宋体" w:cs="宋体"/>
                <w:spacing w:val="-2"/>
                <w:sz w:val="21"/>
                <w:szCs w:val="21"/>
                <w:lang w:val="en-US" w:eastAsia="zh-CN"/>
              </w:rPr>
              <w:t>200米，</w:t>
            </w:r>
            <w:r>
              <w:rPr>
                <w:rFonts w:hint="eastAsia" w:ascii="宋体" w:hAnsi="宋体" w:eastAsia="宋体" w:cs="宋体"/>
                <w:sz w:val="21"/>
                <w:szCs w:val="21"/>
                <w:lang w:val="en-US" w:eastAsia="zh-CN"/>
              </w:rPr>
              <w:t>距离坎市镇政府约250米，</w:t>
            </w:r>
            <w:r>
              <w:rPr>
                <w:rFonts w:hint="eastAsia" w:ascii="宋体" w:hAnsi="宋体" w:eastAsia="宋体" w:cs="宋体"/>
                <w:spacing w:val="-2"/>
                <w:sz w:val="21"/>
                <w:szCs w:val="21"/>
                <w:lang w:eastAsia="zh-CN"/>
              </w:rPr>
              <w:t>距离</w:t>
            </w:r>
            <w:r>
              <w:rPr>
                <w:rFonts w:hint="eastAsia" w:ascii="宋体" w:hAnsi="宋体" w:eastAsia="宋体" w:cs="宋体"/>
                <w:spacing w:val="-2"/>
                <w:sz w:val="21"/>
                <w:szCs w:val="21"/>
                <w:lang w:val="en-US" w:eastAsia="zh-CN"/>
              </w:rPr>
              <w:t>彩金实验小学</w:t>
            </w:r>
            <w:r>
              <w:rPr>
                <w:rFonts w:hint="eastAsia" w:ascii="宋体" w:hAnsi="宋体" w:eastAsia="宋体" w:cs="宋体"/>
                <w:spacing w:val="-2"/>
                <w:sz w:val="21"/>
                <w:szCs w:val="21"/>
                <w:lang w:eastAsia="zh-CN"/>
              </w:rPr>
              <w:t>约</w:t>
            </w:r>
            <w:r>
              <w:rPr>
                <w:rFonts w:hint="eastAsia" w:ascii="宋体" w:hAnsi="宋体" w:eastAsia="宋体" w:cs="宋体"/>
                <w:spacing w:val="-2"/>
                <w:sz w:val="21"/>
                <w:szCs w:val="21"/>
                <w:lang w:val="en-US" w:eastAsia="zh-CN"/>
              </w:rPr>
              <w:t>600米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临街（路）状况</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估价对象</w:t>
            </w:r>
            <w:r>
              <w:rPr>
                <w:rFonts w:hint="eastAsia" w:ascii="宋体" w:hAnsi="宋体" w:eastAsia="宋体" w:cs="宋体"/>
                <w:sz w:val="21"/>
                <w:szCs w:val="21"/>
              </w:rPr>
              <w:t>位</w:t>
            </w:r>
            <w:r>
              <w:rPr>
                <w:rFonts w:hint="eastAsia" w:ascii="宋体" w:hAnsi="宋体" w:eastAsia="宋体" w:cs="宋体"/>
                <w:spacing w:val="-2"/>
                <w:sz w:val="21"/>
                <w:szCs w:val="21"/>
                <w:lang w:eastAsia="zh-CN"/>
              </w:rPr>
              <w:t>于坎市沿河中路</w:t>
            </w:r>
            <w:r>
              <w:rPr>
                <w:rFonts w:hint="eastAsia" w:ascii="宋体" w:hAnsi="宋体" w:eastAsia="宋体" w:cs="宋体"/>
                <w:sz w:val="21"/>
                <w:szCs w:val="21"/>
              </w:rPr>
              <w:t>，临路情况</w:t>
            </w:r>
            <w:r>
              <w:rPr>
                <w:rFonts w:hint="eastAsia" w:ascii="宋体" w:hAnsi="宋体" w:eastAsia="宋体" w:cs="宋体"/>
                <w:sz w:val="21"/>
                <w:szCs w:val="21"/>
                <w:lang w:eastAsia="zh-CN"/>
              </w:rPr>
              <w:t>较</w:t>
            </w:r>
            <w:r>
              <w:rPr>
                <w:rFonts w:hint="eastAsia" w:ascii="宋体" w:hAnsi="宋体" w:eastAsia="宋体" w:cs="宋体"/>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楼幢位置</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估价对象所在楼幢为</w:t>
            </w:r>
            <w:r>
              <w:rPr>
                <w:rFonts w:hint="eastAsia" w:ascii="宋体" w:hAnsi="宋体" w:eastAsia="宋体" w:cs="宋体"/>
                <w:sz w:val="21"/>
                <w:szCs w:val="21"/>
                <w:lang w:eastAsia="zh-CN"/>
              </w:rPr>
              <w:t>距离各公共服务设施近</w:t>
            </w:r>
            <w:r>
              <w:rPr>
                <w:rFonts w:hint="eastAsia" w:ascii="宋体" w:hAnsi="宋体" w:eastAsia="宋体" w:cs="宋体"/>
                <w:sz w:val="21"/>
                <w:szCs w:val="21"/>
              </w:rPr>
              <w:t>，楼幢位置</w:t>
            </w:r>
            <w:r>
              <w:rPr>
                <w:rFonts w:hint="eastAsia" w:ascii="宋体" w:hAnsi="宋体" w:eastAsia="宋体" w:cs="宋体"/>
                <w:sz w:val="21"/>
                <w:szCs w:val="21"/>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朝向</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估价对象</w:t>
            </w:r>
            <w:r>
              <w:rPr>
                <w:rFonts w:hint="eastAsia" w:ascii="宋体" w:hAnsi="宋体" w:eastAsia="宋体" w:cs="宋体"/>
                <w:sz w:val="21"/>
                <w:szCs w:val="21"/>
                <w:lang w:val="en-US" w:eastAsia="zh-CN"/>
              </w:rPr>
              <w:t>朝西</w:t>
            </w:r>
            <w:r>
              <w:rPr>
                <w:rFonts w:hint="eastAsia" w:ascii="宋体" w:hAnsi="宋体" w:eastAsia="宋体" w:cs="宋体"/>
                <w:sz w:val="21"/>
                <w:szCs w:val="21"/>
                <w:lang w:eastAsia="zh-CN"/>
              </w:rPr>
              <w:t>向，</w:t>
            </w:r>
            <w:r>
              <w:rPr>
                <w:rFonts w:hint="eastAsia" w:ascii="宋体" w:hAnsi="宋体" w:eastAsia="宋体" w:cs="宋体"/>
                <w:sz w:val="21"/>
                <w:szCs w:val="21"/>
                <w:lang w:val="en-US" w:eastAsia="zh-CN"/>
              </w:rPr>
              <w:t>单</w:t>
            </w:r>
            <w:r>
              <w:rPr>
                <w:rFonts w:hint="eastAsia" w:ascii="宋体" w:hAnsi="宋体" w:eastAsia="宋体" w:cs="宋体"/>
                <w:sz w:val="21"/>
                <w:szCs w:val="21"/>
                <w:lang w:eastAsia="zh-CN"/>
              </w:rPr>
              <w:t>面采光，朝向较好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层次/总层数</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居住</w:t>
            </w:r>
            <w:r>
              <w:rPr>
                <w:rFonts w:hint="eastAsia" w:ascii="宋体" w:hAnsi="宋体" w:eastAsia="宋体" w:cs="宋体"/>
                <w:b/>
                <w:bCs/>
                <w:sz w:val="21"/>
                <w:szCs w:val="21"/>
              </w:rPr>
              <w:t>聚集度</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周边有</w:t>
            </w:r>
            <w:r>
              <w:rPr>
                <w:rFonts w:hint="eastAsia" w:ascii="宋体" w:hAnsi="宋体" w:eastAsia="宋体" w:cs="宋体"/>
                <w:sz w:val="21"/>
                <w:szCs w:val="21"/>
                <w:lang w:val="en-US" w:eastAsia="zh-CN"/>
              </w:rPr>
              <w:t>较多自建房、商品房</w:t>
            </w:r>
            <w:r>
              <w:rPr>
                <w:rFonts w:hint="eastAsia" w:ascii="宋体" w:hAnsi="宋体" w:eastAsia="宋体" w:cs="宋体"/>
                <w:sz w:val="21"/>
                <w:szCs w:val="21"/>
              </w:rPr>
              <w:t>，居住聚集度</w:t>
            </w:r>
            <w:r>
              <w:rPr>
                <w:rFonts w:hint="eastAsia" w:ascii="宋体" w:hAnsi="宋体" w:eastAsia="宋体" w:cs="宋体"/>
                <w:sz w:val="21"/>
                <w:szCs w:val="21"/>
                <w:lang w:eastAsia="zh-CN"/>
              </w:rPr>
              <w:t>较</w:t>
            </w:r>
            <w:r>
              <w:rPr>
                <w:rFonts w:hint="eastAsia" w:ascii="宋体" w:hAnsi="宋体" w:eastAsia="宋体" w:cs="宋体"/>
                <w:sz w:val="21"/>
                <w:szCs w:val="21"/>
              </w:rPr>
              <w:t>高</w:t>
            </w:r>
          </w:p>
        </w:tc>
      </w:tr>
      <w:bookmarkEnd w:id="11"/>
      <w:bookmarkEnd w:id="12"/>
    </w:tbl>
    <w:p>
      <w:pPr>
        <w:pStyle w:val="4"/>
        <w:keepNext w:val="0"/>
        <w:keepLines w:val="0"/>
        <w:pageBreakBefore w:val="0"/>
        <w:widowControl w:val="0"/>
        <w:numPr>
          <w:ilvl w:val="0"/>
          <w:numId w:val="10"/>
        </w:numPr>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交通状况</w:t>
      </w:r>
    </w:p>
    <w:p>
      <w:pPr>
        <w:pStyle w:val="4"/>
        <w:keepNext w:val="0"/>
        <w:keepLines w:val="0"/>
        <w:pageBreakBefore w:val="0"/>
        <w:widowControl w:val="0"/>
        <w:kinsoku/>
        <w:wordWrap/>
        <w:overflowPunct/>
        <w:topLinePunct w:val="0"/>
        <w:autoSpaceDE/>
        <w:autoSpaceDN/>
        <w:bidi w:val="0"/>
        <w:adjustRightInd/>
        <w:snapToGrid/>
        <w:spacing w:line="420" w:lineRule="exact"/>
        <w:ind w:left="420" w:leftChars="2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交通状况表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89"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道路状况</w:t>
            </w:r>
          </w:p>
        </w:tc>
        <w:tc>
          <w:tcPr>
            <w:tcW w:w="7389"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临</w:t>
            </w:r>
            <w:r>
              <w:rPr>
                <w:rFonts w:hint="eastAsia" w:ascii="宋体" w:hAnsi="宋体" w:eastAsia="宋体" w:cs="宋体"/>
                <w:spacing w:val="-2"/>
                <w:sz w:val="21"/>
                <w:szCs w:val="21"/>
                <w:lang w:eastAsia="zh-CN"/>
              </w:rPr>
              <w:t>坎市沿河中路</w:t>
            </w:r>
            <w:r>
              <w:rPr>
                <w:rFonts w:hint="eastAsia" w:ascii="宋体" w:hAnsi="宋体" w:eastAsia="宋体" w:cs="宋体"/>
                <w:sz w:val="21"/>
                <w:szCs w:val="21"/>
                <w:lang w:eastAsia="zh-CN"/>
              </w:rPr>
              <w:t>，道路通达度较优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出入可利用交通工具</w:t>
            </w:r>
          </w:p>
        </w:tc>
        <w:tc>
          <w:tcPr>
            <w:tcW w:w="7389"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rPr>
              <w:t>出入可利用</w:t>
            </w:r>
            <w:r>
              <w:rPr>
                <w:rFonts w:hint="eastAsia" w:ascii="宋体" w:hAnsi="宋体" w:eastAsia="宋体" w:cs="宋体"/>
                <w:sz w:val="21"/>
                <w:szCs w:val="21"/>
                <w:lang w:eastAsia="zh-CN"/>
              </w:rPr>
              <w:t>公交车、</w:t>
            </w:r>
            <w:r>
              <w:rPr>
                <w:rFonts w:hint="eastAsia" w:ascii="宋体" w:hAnsi="宋体" w:eastAsia="宋体" w:cs="宋体"/>
                <w:sz w:val="21"/>
                <w:szCs w:val="21"/>
              </w:rPr>
              <w:t>摩托车</w:t>
            </w:r>
            <w:r>
              <w:rPr>
                <w:rFonts w:hint="eastAsia" w:ascii="宋体" w:hAnsi="宋体" w:eastAsia="宋体" w:cs="宋体"/>
                <w:sz w:val="21"/>
                <w:szCs w:val="21"/>
                <w:lang w:eastAsia="zh-CN"/>
              </w:rPr>
              <w:t>、三轮车、私家车</w:t>
            </w:r>
            <w:r>
              <w:rPr>
                <w:rFonts w:hint="eastAsia" w:ascii="宋体" w:hAnsi="宋体" w:eastAsia="宋体" w:cs="宋体"/>
                <w:sz w:val="21"/>
                <w:szCs w:val="21"/>
              </w:rPr>
              <w:t>等，</w:t>
            </w:r>
            <w:r>
              <w:rPr>
                <w:rFonts w:hint="eastAsia" w:ascii="宋体" w:hAnsi="宋体" w:eastAsia="宋体" w:cs="宋体"/>
                <w:sz w:val="21"/>
                <w:szCs w:val="21"/>
                <w:lang w:eastAsia="zh-CN"/>
              </w:rPr>
              <w:t>距公交车站台约</w:t>
            </w:r>
            <w:r>
              <w:rPr>
                <w:rFonts w:hint="eastAsia" w:ascii="宋体" w:hAnsi="宋体" w:eastAsia="宋体" w:cs="宋体"/>
                <w:sz w:val="21"/>
                <w:szCs w:val="21"/>
                <w:lang w:val="en-US" w:eastAsia="zh-CN"/>
              </w:rPr>
              <w:t>350米</w:t>
            </w:r>
            <w:r>
              <w:rPr>
                <w:rFonts w:hint="eastAsia" w:ascii="宋体" w:hAnsi="宋体" w:eastAsia="宋体" w:cs="宋体"/>
                <w:sz w:val="21"/>
                <w:szCs w:val="21"/>
                <w:lang w:eastAsia="zh-CN"/>
              </w:rPr>
              <w:t>，有永定</w:t>
            </w:r>
            <w:r>
              <w:rPr>
                <w:rFonts w:hint="eastAsia" w:ascii="宋体" w:hAnsi="宋体" w:eastAsia="宋体" w:cs="宋体"/>
                <w:sz w:val="21"/>
                <w:szCs w:val="21"/>
                <w:lang w:val="en-US" w:eastAsia="zh-CN"/>
              </w:rPr>
              <w:t>1路公交车经过，</w:t>
            </w:r>
            <w:r>
              <w:rPr>
                <w:rFonts w:hint="eastAsia" w:ascii="宋体" w:hAnsi="宋体" w:eastAsia="宋体" w:cs="宋体"/>
                <w:sz w:val="21"/>
                <w:szCs w:val="21"/>
                <w:lang w:eastAsia="zh-CN"/>
              </w:rPr>
              <w:t>交通便捷度</w:t>
            </w:r>
            <w:r>
              <w:rPr>
                <w:rFonts w:hint="eastAsia" w:ascii="宋体" w:hAnsi="宋体" w:eastAsia="宋体" w:cs="宋体"/>
                <w:sz w:val="21"/>
                <w:szCs w:val="21"/>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交通管制情况</w:t>
            </w:r>
          </w:p>
        </w:tc>
        <w:tc>
          <w:tcPr>
            <w:tcW w:w="7389" w:type="dxa"/>
            <w:noWrap w:val="0"/>
            <w:vAlign w:val="center"/>
          </w:tcPr>
          <w:p>
            <w:pPr>
              <w:pStyle w:val="4"/>
              <w:keepNext w:val="0"/>
              <w:keepLines w:val="0"/>
              <w:pageBreakBefore w:val="0"/>
              <w:widowControl w:val="0"/>
              <w:tabs>
                <w:tab w:val="left" w:pos="2308"/>
              </w:tabs>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无交通管制情况</w:t>
            </w:r>
            <w:r>
              <w:rPr>
                <w:rFonts w:hint="eastAsia" w:ascii="宋体" w:hAnsi="宋体" w:eastAsia="宋体" w:cs="宋体"/>
                <w:sz w:val="21"/>
                <w:szCs w:val="21"/>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停车方便程度</w:t>
            </w:r>
          </w:p>
        </w:tc>
        <w:tc>
          <w:tcPr>
            <w:tcW w:w="7389"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小区内有停车场，</w:t>
            </w:r>
            <w:r>
              <w:rPr>
                <w:rFonts w:hint="eastAsia" w:ascii="宋体" w:hAnsi="宋体" w:eastAsia="宋体" w:cs="宋体"/>
                <w:color w:val="000000"/>
                <w:sz w:val="21"/>
                <w:szCs w:val="21"/>
                <w:lang w:eastAsia="zh-CN"/>
              </w:rPr>
              <w:t>停车位数量较少，</w:t>
            </w:r>
            <w:r>
              <w:rPr>
                <w:rFonts w:hint="eastAsia" w:ascii="宋体" w:hAnsi="宋体" w:eastAsia="宋体" w:cs="宋体"/>
                <w:sz w:val="21"/>
                <w:szCs w:val="21"/>
                <w:lang w:eastAsia="zh-CN"/>
              </w:rPr>
              <w:t>周边有沿路可停车，</w:t>
            </w:r>
            <w:r>
              <w:rPr>
                <w:rFonts w:hint="eastAsia" w:ascii="宋体" w:hAnsi="宋体" w:eastAsia="宋体" w:cs="宋体"/>
                <w:color w:val="000000"/>
                <w:sz w:val="21"/>
                <w:szCs w:val="21"/>
              </w:rPr>
              <w:t>停车便捷度</w:t>
            </w:r>
            <w:r>
              <w:rPr>
                <w:rFonts w:hint="eastAsia" w:ascii="宋体" w:hAnsi="宋体" w:eastAsia="宋体" w:cs="宋体"/>
                <w:color w:val="000000"/>
                <w:sz w:val="21"/>
                <w:szCs w:val="21"/>
                <w:lang w:eastAsia="zh-CN"/>
              </w:rPr>
              <w:t>一般</w:t>
            </w:r>
          </w:p>
        </w:tc>
      </w:tr>
    </w:tbl>
    <w:p>
      <w:pPr>
        <w:pStyle w:val="4"/>
        <w:keepNext w:val="0"/>
        <w:keepLines w:val="0"/>
        <w:pageBreakBefore w:val="0"/>
        <w:widowControl w:val="0"/>
        <w:numPr>
          <w:ilvl w:val="0"/>
          <w:numId w:val="10"/>
        </w:numPr>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外部配套设施状况</w:t>
      </w:r>
    </w:p>
    <w:p>
      <w:pPr>
        <w:pStyle w:val="4"/>
        <w:keepNext w:val="0"/>
        <w:keepLines w:val="0"/>
        <w:pageBreakBefore w:val="0"/>
        <w:widowControl w:val="0"/>
        <w:kinsoku/>
        <w:wordWrap/>
        <w:overflowPunct/>
        <w:topLinePunct w:val="0"/>
        <w:autoSpaceDE/>
        <w:autoSpaceDN/>
        <w:bidi w:val="0"/>
        <w:adjustRightInd/>
        <w:snapToGrid/>
        <w:spacing w:line="420" w:lineRule="exact"/>
        <w:ind w:left="420" w:leftChars="20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外部配套设施状况表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基础设施</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基础设施已</w:t>
            </w:r>
            <w:r>
              <w:rPr>
                <w:rFonts w:hint="eastAsia" w:ascii="宋体" w:hAnsi="宋体" w:eastAsia="宋体" w:cs="宋体"/>
                <w:sz w:val="21"/>
                <w:szCs w:val="21"/>
                <w:lang w:eastAsia="zh-CN"/>
              </w:rPr>
              <w:t>达</w:t>
            </w:r>
            <w:r>
              <w:rPr>
                <w:rFonts w:hint="eastAsia" w:ascii="宋体" w:hAnsi="宋体" w:eastAsia="宋体" w:cs="宋体"/>
                <w:sz w:val="21"/>
                <w:szCs w:val="21"/>
              </w:rPr>
              <w:t>“五通”（上水、下水、路、电、通信），水电供应率高，基础设施完善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公共服务设施</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bCs/>
                <w:sz w:val="21"/>
                <w:szCs w:val="21"/>
              </w:rPr>
            </w:pPr>
            <w:r>
              <w:rPr>
                <w:rFonts w:hint="eastAsia" w:ascii="宋体" w:hAnsi="宋体" w:eastAsia="宋体" w:cs="宋体"/>
                <w:sz w:val="21"/>
                <w:szCs w:val="21"/>
              </w:rPr>
              <w:t>区域内有</w:t>
            </w:r>
            <w:r>
              <w:rPr>
                <w:rFonts w:hint="eastAsia" w:ascii="宋体" w:hAnsi="宋体" w:eastAsia="宋体" w:cs="宋体"/>
                <w:sz w:val="21"/>
                <w:szCs w:val="21"/>
                <w:lang w:val="en-US" w:eastAsia="zh-CN"/>
              </w:rPr>
              <w:t>坎市镇政府、彩金实验小学、永定区坎市中学、云川公园</w:t>
            </w:r>
            <w:r>
              <w:rPr>
                <w:rFonts w:hint="eastAsia" w:ascii="宋体" w:hAnsi="宋体" w:eastAsia="宋体" w:cs="宋体"/>
                <w:sz w:val="21"/>
                <w:szCs w:val="21"/>
              </w:rPr>
              <w:t>等，可满足居民日常生活需要，公共服务配套设施完善</w:t>
            </w:r>
            <w:r>
              <w:rPr>
                <w:rFonts w:hint="eastAsia" w:ascii="宋体" w:hAnsi="宋体" w:eastAsia="宋体" w:cs="宋体"/>
                <w:sz w:val="21"/>
                <w:szCs w:val="21"/>
                <w:lang w:eastAsia="zh-CN"/>
              </w:rPr>
              <w:t>。</w:t>
            </w:r>
          </w:p>
        </w:tc>
      </w:tr>
    </w:tbl>
    <w:p>
      <w:pPr>
        <w:pStyle w:val="4"/>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4、周围环境状况                       </w:t>
      </w:r>
    </w:p>
    <w:p>
      <w:pPr>
        <w:pStyle w:val="4"/>
        <w:keepNext w:val="0"/>
        <w:keepLines w:val="0"/>
        <w:pageBreakBefore w:val="0"/>
        <w:widowControl w:val="0"/>
        <w:kinsoku/>
        <w:wordWrap/>
        <w:overflowPunct/>
        <w:topLinePunct w:val="0"/>
        <w:autoSpaceDE/>
        <w:autoSpaceDN/>
        <w:bidi w:val="0"/>
        <w:adjustRightInd/>
        <w:spacing w:line="460" w:lineRule="exact"/>
        <w:ind w:left="420" w:left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周围环境状况表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9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自然环境</w:t>
            </w:r>
          </w:p>
        </w:tc>
        <w:tc>
          <w:tcPr>
            <w:tcW w:w="7396" w:type="dxa"/>
            <w:noWrap w:val="0"/>
            <w:vAlign w:val="top"/>
          </w:tcPr>
          <w:p>
            <w:pPr>
              <w:pStyle w:val="4"/>
              <w:spacing w:line="400" w:lineRule="exact"/>
              <w:rPr>
                <w:rFonts w:hint="eastAsia" w:ascii="宋体" w:hAnsi="宋体" w:eastAsia="宋体" w:cs="宋体"/>
                <w:sz w:val="21"/>
                <w:szCs w:val="21"/>
                <w:lang w:eastAsia="zh-CN"/>
              </w:rPr>
            </w:pPr>
            <w:r>
              <w:rPr>
                <w:rFonts w:hint="eastAsia" w:ascii="宋体" w:hAnsi="宋体" w:eastAsia="宋体" w:cs="宋体"/>
                <w:spacing w:val="-2"/>
                <w:sz w:val="21"/>
                <w:szCs w:val="21"/>
              </w:rPr>
              <w:t>永定属中亚热带海洋性季风气候，其特点是湿润温和，夏长而不酷热，冬短而无严寒。多年平均气温20.1℃，无霜期年平均305天，年平均日照时数1742.8小时。雨量充沛，年平均降水量1606.9毫米。降雨量相对集中，干湿季节明显。估价对象</w:t>
            </w:r>
            <w:r>
              <w:rPr>
                <w:rFonts w:hint="eastAsia" w:ascii="宋体" w:hAnsi="宋体" w:eastAsia="宋体" w:cs="宋体"/>
                <w:sz w:val="21"/>
                <w:szCs w:val="21"/>
              </w:rPr>
              <w:t>邻</w:t>
            </w:r>
            <w:r>
              <w:rPr>
                <w:rFonts w:hint="eastAsia" w:ascii="宋体" w:hAnsi="宋体" w:eastAsia="宋体" w:cs="宋体"/>
                <w:sz w:val="21"/>
                <w:szCs w:val="21"/>
                <w:lang w:val="en-US" w:eastAsia="zh-CN"/>
              </w:rPr>
              <w:t>坎市沿河中路</w:t>
            </w:r>
            <w:r>
              <w:rPr>
                <w:rFonts w:hint="eastAsia" w:ascii="宋体" w:hAnsi="宋体" w:eastAsia="宋体" w:cs="宋体"/>
                <w:sz w:val="21"/>
                <w:szCs w:val="21"/>
              </w:rPr>
              <w:t>，</w:t>
            </w:r>
            <w:r>
              <w:rPr>
                <w:rFonts w:hint="eastAsia" w:ascii="宋体" w:hAnsi="宋体" w:eastAsia="宋体" w:cs="宋体"/>
                <w:sz w:val="21"/>
                <w:szCs w:val="21"/>
                <w:lang w:eastAsia="zh-CN"/>
              </w:rPr>
              <w:t>有一定的</w:t>
            </w:r>
            <w:r>
              <w:rPr>
                <w:rFonts w:hint="eastAsia" w:ascii="宋体" w:hAnsi="宋体" w:eastAsia="宋体" w:cs="宋体"/>
                <w:sz w:val="21"/>
                <w:szCs w:val="21"/>
              </w:rPr>
              <w:t>噪音；道路清洁，环境卫生状况良好；周边无高压输变电线路、无线电发射塔、垃圾站；自然环境</w:t>
            </w:r>
            <w:r>
              <w:rPr>
                <w:rFonts w:hint="eastAsia" w:ascii="宋体" w:hAnsi="宋体" w:eastAsia="宋体" w:cs="宋体"/>
                <w:sz w:val="21"/>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人文环境</w:t>
            </w:r>
          </w:p>
        </w:tc>
        <w:tc>
          <w:tcPr>
            <w:tcW w:w="7396" w:type="dxa"/>
            <w:noWrap w:val="0"/>
            <w:vAlign w:val="top"/>
          </w:tcPr>
          <w:p>
            <w:pPr>
              <w:pStyle w:val="4"/>
              <w:spacing w:line="420" w:lineRule="exact"/>
              <w:rPr>
                <w:rFonts w:hint="eastAsia" w:ascii="宋体" w:hAnsi="宋体" w:eastAsia="宋体" w:cs="宋体"/>
                <w:sz w:val="21"/>
                <w:szCs w:val="21"/>
              </w:rPr>
            </w:pPr>
            <w:r>
              <w:rPr>
                <w:rFonts w:hint="eastAsia" w:ascii="宋体" w:hAnsi="宋体" w:eastAsia="宋体" w:cs="宋体"/>
                <w:sz w:val="21"/>
                <w:szCs w:val="21"/>
              </w:rPr>
              <w:t>人文环境良好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景观</w:t>
            </w:r>
          </w:p>
        </w:tc>
        <w:tc>
          <w:tcPr>
            <w:tcW w:w="7396" w:type="dxa"/>
            <w:noWrap w:val="0"/>
            <w:vAlign w:val="top"/>
          </w:tcPr>
          <w:p>
            <w:pPr>
              <w:pStyle w:val="4"/>
              <w:spacing w:line="420" w:lineRule="exact"/>
              <w:rPr>
                <w:rFonts w:hint="eastAsia" w:ascii="宋体" w:hAnsi="宋体" w:eastAsia="宋体" w:cs="宋体"/>
                <w:sz w:val="21"/>
                <w:szCs w:val="21"/>
                <w:lang w:eastAsia="zh-CN"/>
              </w:rPr>
            </w:pPr>
            <w:r>
              <w:rPr>
                <w:rFonts w:hint="eastAsia" w:ascii="宋体" w:hAnsi="宋体" w:eastAsia="宋体" w:cs="宋体"/>
                <w:sz w:val="21"/>
                <w:szCs w:val="21"/>
              </w:rPr>
              <w:t>无景观</w:t>
            </w:r>
          </w:p>
        </w:tc>
      </w:tr>
    </w:tbl>
    <w:p>
      <w:pPr>
        <w:pStyle w:val="4"/>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5、</w:t>
      </w:r>
      <w:r>
        <w:rPr>
          <w:rFonts w:hint="eastAsia" w:ascii="宋体" w:hAnsi="宋体" w:eastAsia="宋体" w:cs="宋体"/>
          <w:sz w:val="24"/>
          <w:szCs w:val="24"/>
        </w:rPr>
        <w:t>区位优劣度</w:t>
      </w:r>
    </w:p>
    <w:p>
      <w:pPr>
        <w:pStyle w:val="4"/>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综合分析估价对象的位置、交通、外部配套、环境状况，估价对象的区位整体较好，对估价对象的价值产生有利影响。</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cs="宋体"/>
          <w:b/>
          <w:sz w:val="28"/>
          <w:szCs w:val="28"/>
        </w:rPr>
      </w:pPr>
      <w:r>
        <w:rPr>
          <w:rFonts w:hint="eastAsia" w:ascii="宋体" w:hAnsi="宋体" w:cs="宋体"/>
          <w:b/>
          <w:sz w:val="28"/>
          <w:szCs w:val="28"/>
        </w:rPr>
        <w:t xml:space="preserve">  （二）实物状况描述与分析</w:t>
      </w:r>
    </w:p>
    <w:p>
      <w:pPr>
        <w:pStyle w:val="4"/>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1、土地实物状况描述与分析</w:t>
      </w:r>
    </w:p>
    <w:p>
      <w:pPr>
        <w:pStyle w:val="4"/>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土地实物状况表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7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75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名称</w:t>
            </w:r>
          </w:p>
        </w:tc>
        <w:tc>
          <w:tcPr>
            <w:tcW w:w="7533" w:type="dxa"/>
            <w:noWrap w:val="0"/>
            <w:vAlign w:val="top"/>
          </w:tcPr>
          <w:p>
            <w:pPr>
              <w:pStyle w:val="4"/>
              <w:spacing w:line="38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龙岩市永定县坎市镇沿河南路7层705室住宅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用途</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住宅用地</w:t>
            </w:r>
            <w:r>
              <w:rPr>
                <w:rFonts w:hint="eastAsia" w:ascii="宋体" w:hAnsi="宋体" w:eastAsia="宋体" w:cs="宋体"/>
                <w:sz w:val="21"/>
                <w:szCs w:val="21"/>
              </w:rPr>
              <w:t>，土地级别为</w:t>
            </w:r>
            <w:r>
              <w:rPr>
                <w:rFonts w:hint="eastAsia" w:ascii="宋体" w:hAnsi="宋体" w:eastAsia="宋体" w:cs="宋体"/>
                <w:sz w:val="21"/>
                <w:szCs w:val="21"/>
                <w:lang w:eastAsia="zh-CN"/>
              </w:rPr>
              <w:t>永定中心城区二级住宅用地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形状</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形状规则，有利于</w:t>
            </w:r>
            <w:r>
              <w:rPr>
                <w:rFonts w:hint="eastAsia" w:ascii="宋体" w:hAnsi="宋体" w:eastAsia="宋体" w:cs="宋体"/>
                <w:sz w:val="21"/>
                <w:szCs w:val="21"/>
                <w:lang w:eastAsia="zh-CN"/>
              </w:rPr>
              <w:t>建筑物</w:t>
            </w:r>
            <w:r>
              <w:rPr>
                <w:rFonts w:hint="eastAsia" w:ascii="宋体" w:hAnsi="宋体" w:eastAsia="宋体" w:cs="宋体"/>
                <w:sz w:val="21"/>
                <w:szCs w:val="21"/>
              </w:rPr>
              <w:t>的布局，对估价对象的价值产生较好的影响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地形</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地形为平地，有利于</w:t>
            </w:r>
            <w:r>
              <w:rPr>
                <w:rFonts w:hint="eastAsia" w:ascii="宋体" w:hAnsi="宋体" w:eastAsia="宋体" w:cs="宋体"/>
                <w:sz w:val="21"/>
                <w:szCs w:val="21"/>
                <w:lang w:eastAsia="zh-CN"/>
              </w:rPr>
              <w:t>建筑物</w:t>
            </w:r>
            <w:r>
              <w:rPr>
                <w:rFonts w:hint="eastAsia" w:ascii="宋体" w:hAnsi="宋体" w:eastAsia="宋体" w:cs="宋体"/>
                <w:sz w:val="21"/>
                <w:szCs w:val="21"/>
              </w:rPr>
              <w:t>的布局，对估价对象的价值产生较好的影响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地势</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小区</w:t>
            </w:r>
            <w:r>
              <w:rPr>
                <w:rFonts w:hint="eastAsia" w:ascii="宋体" w:hAnsi="宋体" w:eastAsia="宋体" w:cs="宋体"/>
                <w:sz w:val="21"/>
                <w:szCs w:val="21"/>
              </w:rPr>
              <w:t>地面标高</w:t>
            </w:r>
            <w:r>
              <w:rPr>
                <w:rFonts w:hint="eastAsia" w:ascii="宋体" w:hAnsi="宋体" w:eastAsia="宋体" w:cs="宋体"/>
                <w:sz w:val="21"/>
                <w:szCs w:val="21"/>
                <w:lang w:eastAsia="zh-CN"/>
              </w:rPr>
              <w:t>高</w:t>
            </w:r>
            <w:r>
              <w:rPr>
                <w:rFonts w:hint="eastAsia" w:ascii="宋体" w:hAnsi="宋体" w:eastAsia="宋体" w:cs="宋体"/>
                <w:sz w:val="21"/>
                <w:szCs w:val="21"/>
              </w:rPr>
              <w:t>于道路标高，</w:t>
            </w:r>
            <w:r>
              <w:rPr>
                <w:rFonts w:hint="eastAsia" w:ascii="宋体" w:hAnsi="宋体" w:eastAsia="宋体" w:cs="宋体"/>
                <w:sz w:val="21"/>
                <w:szCs w:val="21"/>
                <w:lang w:eastAsia="zh-CN"/>
              </w:rPr>
              <w:t>有</w:t>
            </w:r>
            <w:r>
              <w:rPr>
                <w:rFonts w:hint="eastAsia" w:ascii="宋体" w:hAnsi="宋体" w:eastAsia="宋体" w:cs="宋体"/>
                <w:sz w:val="21"/>
                <w:szCs w:val="21"/>
              </w:rPr>
              <w:t>利于自然排水；被洪水淹没可能性小</w:t>
            </w:r>
            <w:r>
              <w:rPr>
                <w:rFonts w:hint="eastAsia" w:ascii="宋体" w:hAnsi="宋体" w:eastAsia="宋体" w:cs="宋体"/>
                <w:sz w:val="21"/>
                <w:szCs w:val="21"/>
                <w:lang w:eastAsia="zh-CN"/>
              </w:rPr>
              <w:t>、不会存在积水现象</w:t>
            </w:r>
            <w:r>
              <w:rPr>
                <w:rFonts w:hint="eastAsia" w:ascii="宋体" w:hAnsi="宋体" w:eastAsia="宋体" w:cs="宋体"/>
                <w:sz w:val="21"/>
                <w:szCs w:val="21"/>
              </w:rPr>
              <w:t>，</w:t>
            </w:r>
            <w:r>
              <w:rPr>
                <w:rFonts w:hint="eastAsia" w:ascii="宋体" w:hAnsi="宋体" w:eastAsia="宋体" w:cs="宋体"/>
                <w:sz w:val="21"/>
                <w:szCs w:val="21"/>
                <w:lang w:eastAsia="zh-CN"/>
              </w:rPr>
              <w:t>有</w:t>
            </w:r>
            <w:r>
              <w:rPr>
                <w:rFonts w:hint="eastAsia" w:ascii="宋体" w:hAnsi="宋体" w:eastAsia="宋体" w:cs="宋体"/>
                <w:sz w:val="21"/>
                <w:szCs w:val="21"/>
              </w:rPr>
              <w:t>利于房地产价值的提升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土壤及地质</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土壤未受过污染，地质条件好，承载力较强，稳定性较好，可节约建安成本投入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开发程度</w:t>
            </w:r>
          </w:p>
        </w:tc>
        <w:tc>
          <w:tcPr>
            <w:tcW w:w="753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已开发建设完成</w:t>
            </w:r>
          </w:p>
        </w:tc>
      </w:tr>
    </w:tbl>
    <w:p>
      <w:pPr>
        <w:pStyle w:val="4"/>
        <w:keepNext w:val="0"/>
        <w:keepLines w:val="0"/>
        <w:pageBreakBefore w:val="0"/>
        <w:widowControl w:val="0"/>
        <w:kinsoku/>
        <w:wordWrap/>
        <w:overflowPunct/>
        <w:topLinePunct w:val="0"/>
        <w:autoSpaceDE/>
        <w:autoSpaceDN/>
        <w:bidi w:val="0"/>
        <w:adjustRightInd/>
        <w:spacing w:line="4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2、建筑物实物状况描述与分析</w:t>
      </w:r>
    </w:p>
    <w:p>
      <w:pPr>
        <w:pStyle w:val="4"/>
        <w:keepNext w:val="0"/>
        <w:keepLines w:val="0"/>
        <w:pageBreakBefore w:val="0"/>
        <w:widowControl w:val="0"/>
        <w:kinsoku/>
        <w:wordWrap/>
        <w:overflowPunct/>
        <w:topLinePunct w:val="0"/>
        <w:autoSpaceDE/>
        <w:autoSpaceDN/>
        <w:bidi w:val="0"/>
        <w:adjustRightInd/>
        <w:spacing w:line="460" w:lineRule="exact"/>
        <w:ind w:left="420" w:leftChars="2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建筑物实物状况表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名称</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龙岩市永定县坎市镇沿河南路7层705室住宅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规模</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估价对象</w:t>
            </w:r>
            <w:r>
              <w:rPr>
                <w:rFonts w:hint="eastAsia" w:ascii="宋体" w:hAnsi="宋体" w:eastAsia="宋体" w:cs="宋体"/>
                <w:sz w:val="21"/>
                <w:szCs w:val="21"/>
                <w:lang w:eastAsia="zh-CN"/>
              </w:rPr>
              <w:t>住宅</w:t>
            </w:r>
            <w:r>
              <w:rPr>
                <w:rFonts w:hint="eastAsia" w:ascii="宋体" w:hAnsi="宋体" w:eastAsia="宋体" w:cs="宋体"/>
                <w:sz w:val="21"/>
                <w:szCs w:val="21"/>
              </w:rPr>
              <w:t>建筑面积为</w:t>
            </w:r>
            <w:r>
              <w:rPr>
                <w:rFonts w:hint="eastAsia" w:ascii="宋体" w:hAnsi="宋体" w:eastAsia="宋体" w:cs="宋体"/>
                <w:sz w:val="21"/>
                <w:szCs w:val="21"/>
                <w:lang w:eastAsia="zh-CN"/>
              </w:rPr>
              <w:t>32.29</w:t>
            </w:r>
            <w:r>
              <w:rPr>
                <w:rFonts w:hint="eastAsia" w:ascii="宋体" w:hAnsi="宋体" w:eastAsia="宋体" w:cs="宋体"/>
                <w:sz w:val="21"/>
                <w:szCs w:val="21"/>
                <w:lang w:val="en-US" w:eastAsia="zh-CN"/>
              </w:rPr>
              <w:t>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rPr>
              <w:t>，</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小</w:t>
            </w:r>
            <w:r>
              <w:rPr>
                <w:rFonts w:hint="eastAsia" w:ascii="宋体" w:hAnsi="宋体" w:eastAsia="宋体" w:cs="宋体"/>
                <w:sz w:val="21"/>
                <w:szCs w:val="21"/>
                <w:lang w:eastAsia="zh-CN"/>
              </w:rPr>
              <w:t>户型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建筑结构</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钢混结构</w:t>
            </w:r>
            <w:r>
              <w:rPr>
                <w:rFonts w:hint="eastAsia" w:ascii="宋体" w:hAnsi="宋体" w:eastAsia="宋体" w:cs="宋体"/>
                <w:sz w:val="21"/>
                <w:szCs w:val="21"/>
              </w:rPr>
              <w:t>，结构</w:t>
            </w:r>
            <w:r>
              <w:rPr>
                <w:rFonts w:hint="eastAsia" w:ascii="宋体" w:hAnsi="宋体" w:eastAsia="宋体" w:cs="宋体"/>
                <w:sz w:val="21"/>
                <w:szCs w:val="21"/>
                <w:lang w:eastAsia="zh-CN"/>
              </w:rPr>
              <w:t>等级较好</w:t>
            </w:r>
            <w:r>
              <w:rPr>
                <w:rFonts w:hint="eastAsia" w:ascii="宋体" w:hAnsi="宋体" w:eastAsia="宋体" w:cs="宋体"/>
                <w:sz w:val="21"/>
                <w:szCs w:val="21"/>
              </w:rPr>
              <w:t>，抗震性能</w:t>
            </w:r>
            <w:r>
              <w:rPr>
                <w:rFonts w:hint="eastAsia" w:ascii="宋体" w:hAnsi="宋体" w:eastAsia="宋体" w:cs="宋体"/>
                <w:sz w:val="21"/>
                <w:szCs w:val="21"/>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设施设备</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带电梯</w:t>
            </w:r>
            <w:r>
              <w:rPr>
                <w:rFonts w:hint="eastAsia" w:ascii="宋体" w:hAnsi="宋体" w:eastAsia="宋体" w:cs="宋体"/>
                <w:sz w:val="21"/>
                <w:szCs w:val="21"/>
              </w:rPr>
              <w:t>，水电</w:t>
            </w:r>
            <w:r>
              <w:rPr>
                <w:rFonts w:hint="eastAsia" w:ascii="宋体" w:hAnsi="宋体" w:eastAsia="宋体" w:cs="宋体"/>
                <w:sz w:val="21"/>
                <w:szCs w:val="21"/>
                <w:lang w:eastAsia="zh-CN"/>
              </w:rPr>
              <w:t>、消防</w:t>
            </w:r>
            <w:r>
              <w:rPr>
                <w:rFonts w:hint="eastAsia" w:ascii="宋体" w:hAnsi="宋体" w:eastAsia="宋体" w:cs="宋体"/>
                <w:sz w:val="21"/>
                <w:szCs w:val="21"/>
              </w:rPr>
              <w:t>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装饰装修</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rPr>
              <w:t>建筑物外墙面</w:t>
            </w:r>
            <w:r>
              <w:rPr>
                <w:rFonts w:hint="eastAsia" w:ascii="宋体" w:hAnsi="宋体" w:eastAsia="宋体" w:cs="宋体"/>
                <w:sz w:val="21"/>
                <w:szCs w:val="21"/>
                <w:lang w:eastAsia="zh-CN"/>
              </w:rPr>
              <w:t>为涂料粉刷；窗户为铝合金推拉窗，</w:t>
            </w:r>
            <w:r>
              <w:rPr>
                <w:rFonts w:hint="eastAsia" w:ascii="宋体" w:hAnsi="宋体" w:eastAsia="宋体" w:cs="宋体"/>
                <w:sz w:val="21"/>
                <w:szCs w:val="21"/>
              </w:rPr>
              <w:t>室内</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 xml:space="preserve">普通装修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层高</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层高</w:t>
            </w:r>
            <w:r>
              <w:rPr>
                <w:rFonts w:hint="eastAsia" w:ascii="宋体" w:hAnsi="宋体" w:eastAsia="宋体" w:cs="宋体"/>
                <w:sz w:val="21"/>
                <w:szCs w:val="21"/>
                <w:lang w:val="en-US" w:eastAsia="zh-CN"/>
              </w:rPr>
              <w:t>约2.9</w:t>
            </w:r>
            <w:r>
              <w:rPr>
                <w:rFonts w:hint="eastAsia" w:ascii="宋体" w:hAnsi="宋体" w:eastAsia="宋体" w:cs="宋体"/>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空间布局</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pacing w:val="-4"/>
                <w:sz w:val="21"/>
                <w:szCs w:val="21"/>
              </w:rPr>
              <w:t>垂直交通为</w:t>
            </w:r>
            <w:r>
              <w:rPr>
                <w:rFonts w:hint="eastAsia" w:ascii="宋体" w:hAnsi="宋体" w:eastAsia="宋体" w:cs="宋体"/>
                <w:spacing w:val="-4"/>
                <w:sz w:val="21"/>
                <w:szCs w:val="21"/>
                <w:lang w:val="en-US" w:eastAsia="zh-CN"/>
              </w:rPr>
              <w:t>人行楼梯和电梯</w:t>
            </w:r>
            <w:r>
              <w:rPr>
                <w:rFonts w:hint="eastAsia" w:ascii="宋体" w:hAnsi="宋体" w:eastAsia="宋体" w:cs="宋体"/>
                <w:spacing w:val="-4"/>
                <w:sz w:val="21"/>
                <w:szCs w:val="21"/>
              </w:rPr>
              <w:t>，平面布局</w:t>
            </w:r>
            <w:r>
              <w:rPr>
                <w:rFonts w:hint="eastAsia" w:ascii="宋体" w:hAnsi="宋体" w:eastAsia="宋体" w:cs="宋体"/>
                <w:spacing w:val="-4"/>
                <w:sz w:val="21"/>
                <w:szCs w:val="21"/>
                <w:lang w:eastAsia="zh-CN"/>
              </w:rPr>
              <w:t>良</w:t>
            </w:r>
            <w:r>
              <w:rPr>
                <w:rFonts w:hint="eastAsia" w:ascii="宋体" w:hAnsi="宋体" w:eastAsia="宋体" w:cs="宋体"/>
                <w:spacing w:val="-4"/>
                <w:sz w:val="21"/>
                <w:szCs w:val="21"/>
              </w:rPr>
              <w:t>好，</w:t>
            </w:r>
            <w:r>
              <w:rPr>
                <w:rFonts w:hint="eastAsia" w:ascii="宋体" w:hAnsi="宋体" w:eastAsia="宋体" w:cs="宋体"/>
                <w:spacing w:val="-4"/>
                <w:sz w:val="21"/>
                <w:szCs w:val="21"/>
                <w:lang w:eastAsia="zh-CN"/>
              </w:rPr>
              <w:t>住宅</w:t>
            </w:r>
            <w:r>
              <w:rPr>
                <w:rFonts w:hint="eastAsia" w:ascii="宋体" w:hAnsi="宋体" w:eastAsia="宋体" w:cs="宋体"/>
                <w:spacing w:val="-4"/>
                <w:sz w:val="21"/>
                <w:szCs w:val="21"/>
              </w:rPr>
              <w:t>建筑物总层数为</w:t>
            </w:r>
            <w:r>
              <w:rPr>
                <w:rFonts w:hint="eastAsia" w:ascii="宋体" w:hAnsi="宋体" w:eastAsia="宋体" w:cs="宋体"/>
                <w:spacing w:val="-4"/>
                <w:sz w:val="21"/>
                <w:szCs w:val="21"/>
                <w:lang w:val="en-US" w:eastAsia="zh-CN"/>
              </w:rPr>
              <w:t>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建筑功能</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空间利用率较好；防水、保温、隔热、隔声、通风、采光、日照</w:t>
            </w:r>
            <w:r>
              <w:rPr>
                <w:rFonts w:hint="eastAsia" w:ascii="宋体" w:hAnsi="宋体" w:eastAsia="宋体" w:cs="宋体"/>
                <w:sz w:val="21"/>
                <w:szCs w:val="21"/>
                <w:lang w:eastAsia="zh-CN"/>
              </w:rPr>
              <w:t>良</w:t>
            </w:r>
            <w:r>
              <w:rPr>
                <w:rFonts w:hint="eastAsia" w:ascii="宋体" w:hAnsi="宋体" w:eastAsia="宋体" w:cs="宋体"/>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工程质量</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据估价师实地查勘，未发现工程质量问题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外观</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楼宇外观</w:t>
            </w:r>
            <w:r>
              <w:rPr>
                <w:rFonts w:hint="eastAsia" w:ascii="宋体" w:hAnsi="宋体" w:eastAsia="宋体" w:cs="宋体"/>
                <w:sz w:val="21"/>
                <w:szCs w:val="21"/>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新旧程度</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依估价对象建成年份、耐用年限、使用状况及现场察看综合确定其成新率为</w:t>
            </w:r>
            <w:r>
              <w:rPr>
                <w:rFonts w:hint="eastAsia" w:ascii="宋体" w:hAnsi="宋体" w:eastAsia="宋体" w:cs="宋体"/>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物业服务</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物业管理</w:t>
            </w:r>
            <w:r>
              <w:rPr>
                <w:rFonts w:hint="eastAsia" w:ascii="宋体" w:hAnsi="宋体" w:eastAsia="宋体" w:cs="宋体"/>
                <w:sz w:val="21"/>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使用及维护状况</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使用正常，维护状况较好；经实地查勘，房屋基础有足够承载力，无超过允许范围的不均匀沉降，承重结构部件及非承重墙体完好，门窗及五金配件等齐全完整，为完好房；周边道路良好，设备管道运行正常；未见有明显影响质量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周边概况</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pacing w:val="-3"/>
                <w:sz w:val="21"/>
                <w:szCs w:val="21"/>
                <w:lang w:eastAsia="zh-CN"/>
              </w:rPr>
            </w:pPr>
            <w:r>
              <w:rPr>
                <w:rFonts w:hint="eastAsia" w:ascii="宋体" w:hAnsi="宋体" w:eastAsia="宋体" w:cs="宋体"/>
                <w:spacing w:val="-3"/>
                <w:sz w:val="21"/>
                <w:szCs w:val="21"/>
              </w:rPr>
              <w:t>周边以</w:t>
            </w:r>
            <w:r>
              <w:rPr>
                <w:rFonts w:hint="eastAsia" w:ascii="宋体" w:hAnsi="宋体" w:eastAsia="宋体" w:cs="宋体"/>
                <w:spacing w:val="-3"/>
                <w:sz w:val="21"/>
                <w:szCs w:val="21"/>
                <w:lang w:eastAsia="zh-CN"/>
              </w:rPr>
              <w:t>商住</w:t>
            </w:r>
            <w:r>
              <w:rPr>
                <w:rFonts w:hint="eastAsia" w:ascii="宋体" w:hAnsi="宋体" w:eastAsia="宋体" w:cs="宋体"/>
                <w:spacing w:val="-3"/>
                <w:sz w:val="21"/>
                <w:szCs w:val="21"/>
              </w:rPr>
              <w:t>为主，区域内空气质量良好，卫生状况</w:t>
            </w:r>
            <w:r>
              <w:rPr>
                <w:rFonts w:hint="eastAsia" w:ascii="宋体" w:hAnsi="宋体" w:eastAsia="宋体" w:cs="宋体"/>
                <w:spacing w:val="-3"/>
                <w:sz w:val="21"/>
                <w:szCs w:val="21"/>
                <w:lang w:val="en-US" w:eastAsia="zh-CN"/>
              </w:rPr>
              <w:t>一般</w:t>
            </w:r>
            <w:r>
              <w:rPr>
                <w:rFonts w:hint="eastAsia" w:ascii="宋体" w:hAnsi="宋体" w:eastAsia="宋体" w:cs="宋体"/>
                <w:spacing w:val="-3"/>
                <w:sz w:val="21"/>
                <w:szCs w:val="21"/>
              </w:rPr>
              <w:t>，道路绿化</w:t>
            </w:r>
            <w:r>
              <w:rPr>
                <w:rFonts w:hint="eastAsia" w:ascii="宋体" w:hAnsi="宋体" w:eastAsia="宋体" w:cs="宋体"/>
                <w:spacing w:val="-3"/>
                <w:sz w:val="21"/>
                <w:szCs w:val="21"/>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特殊景观</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无特殊景观</w:t>
            </w:r>
          </w:p>
        </w:tc>
      </w:tr>
    </w:tbl>
    <w:p>
      <w:pPr>
        <w:pStyle w:val="4"/>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rPr>
      </w:pPr>
      <w:r>
        <w:rPr>
          <w:rFonts w:hint="eastAsia" w:ascii="宋体" w:hAnsi="宋体" w:eastAsia="宋体" w:cs="宋体"/>
          <w:b/>
          <w:szCs w:val="28"/>
        </w:rPr>
        <w:t xml:space="preserve">   （三）权益状况描述与分析</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zh-CN"/>
        </w:rPr>
        <w:t>权属状况设立与分析情况表</w:t>
      </w:r>
      <w:r>
        <w:rPr>
          <w:rFonts w:hint="eastAsia" w:ascii="宋体" w:hAnsi="宋体" w:cs="宋体"/>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项目</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Style w:val="14"/>
                <w:rFonts w:hint="eastAsia"/>
              </w:rPr>
            </w:pPr>
            <w:r>
              <w:rPr>
                <w:rFonts w:hint="eastAsia" w:ascii="宋体" w:hAnsi="宋体" w:cs="宋体"/>
                <w:b/>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用途</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szCs w:val="21"/>
                <w:lang w:eastAsia="zh-CN"/>
              </w:rPr>
            </w:pPr>
            <w:r>
              <w:rPr>
                <w:rFonts w:hint="eastAsia" w:ascii="宋体" w:hAnsi="宋体" w:cs="宋体"/>
                <w:b w:val="0"/>
                <w:bCs/>
                <w:szCs w:val="21"/>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所有权</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szCs w:val="21"/>
                <w:lang w:eastAsia="zh-CN"/>
              </w:rPr>
            </w:pPr>
            <w:r>
              <w:rPr>
                <w:rFonts w:hint="eastAsia" w:ascii="宋体" w:hAnsi="宋体" w:cs="宋体"/>
                <w:b w:val="0"/>
                <w:bCs/>
                <w:szCs w:val="21"/>
                <w:lang w:eastAsia="zh-CN"/>
              </w:rPr>
              <w:t>土地所有权为国家所有，房屋所有权人为廖春兰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土地使用权</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szCs w:val="21"/>
                <w:lang w:eastAsia="zh-CN"/>
              </w:rPr>
            </w:pPr>
            <w:r>
              <w:rPr>
                <w:rFonts w:hint="eastAsia" w:ascii="宋体" w:hAnsi="宋体" w:cs="宋体"/>
                <w:b w:val="0"/>
                <w:bCs/>
                <w:szCs w:val="21"/>
                <w:lang w:eastAsia="zh-CN"/>
              </w:rPr>
              <w:t>土地使用权人为廖春兰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共有权情况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szCs w:val="21"/>
                <w:lang w:eastAsia="zh-CN"/>
              </w:rPr>
            </w:pPr>
            <w:r>
              <w:rPr>
                <w:rFonts w:hint="eastAsia" w:ascii="宋体" w:hAnsi="宋体" w:cs="宋体"/>
                <w:color w:val="auto"/>
                <w:sz w:val="21"/>
                <w:szCs w:val="21"/>
                <w:vertAlign w:val="baseline"/>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用益物权设立情况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国有建设用地使用权（出让）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担保物权设立情况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租赁或占用情况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租赁</w:t>
            </w:r>
            <w:r>
              <w:rPr>
                <w:rFonts w:hint="eastAsia" w:ascii="宋体" w:hAnsi="宋体" w:cs="宋体"/>
                <w:sz w:val="21"/>
                <w:szCs w:val="21"/>
                <w:lang w:val="en-US" w:eastAsia="zh-CN"/>
              </w:rPr>
              <w:t>中</w:t>
            </w:r>
            <w:r>
              <w:rPr>
                <w:rFonts w:hint="eastAsia" w:ascii="宋体" w:hAnsi="宋体" w:eastAsia="宋体" w:cs="宋体"/>
                <w:sz w:val="21"/>
                <w:szCs w:val="21"/>
                <w:lang w:eastAsia="zh-CN"/>
              </w:rPr>
              <w:t>，无占用情况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拖欠工程款情况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查封等形式限制权利情况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权属清晰情况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权属人为</w:t>
            </w:r>
            <w:r>
              <w:rPr>
                <w:rFonts w:hint="eastAsia" w:ascii="宋体" w:hAnsi="宋体" w:eastAsia="宋体" w:cs="宋体"/>
                <w:sz w:val="21"/>
                <w:szCs w:val="21"/>
                <w:lang w:eastAsia="zh-CN"/>
              </w:rPr>
              <w:t>廖春兰</w:t>
            </w:r>
          </w:p>
        </w:tc>
      </w:tr>
    </w:tbl>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二、市场背景描述与分析</w:t>
      </w:r>
    </w:p>
    <w:p>
      <w:pPr>
        <w:pStyle w:val="15"/>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龙岩市</w:t>
      </w:r>
      <w:r>
        <w:rPr>
          <w:rFonts w:hint="eastAsia" w:ascii="宋体" w:hAnsi="宋体" w:eastAsia="宋体" w:cs="宋体"/>
          <w:color w:val="auto"/>
          <w:sz w:val="24"/>
          <w:szCs w:val="24"/>
        </w:rPr>
        <w:t>永定区位于福建省西南部,博平岭山脉西麓,是闽西粤东的交界区。位于北纬24°23′～25°05′、东经116°25′～117°05′之间。东连南靖区，东南与平和</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交界，西南与广东省大埔区、梅区接壤，西北与上杭区相连，东北与新罗区毗邻。境内山峦起伏、雄奇峻秀，有众多的自然景观、人文景观和革命胜地，其中主要有闻名海内外的世界文化遗产景区土楼、星罗棋布的旅游景区龙湖、国家森林公园王寿山，箭滩温泉等。因其奇特的建筑艺术和蕴藏的丰富客家文化内涵而备受世人瞩目，被列入全省“八大旅游品牌”和“五区两带”的旅游发展格局中。</w:t>
      </w:r>
    </w:p>
    <w:p>
      <w:pPr>
        <w:pStyle w:val="15"/>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交通便利，距龙岩中心城区仅二十多公里，龙（岩）梅（州）铁路在镇区设有三级站，省道福三线穿境而过，是永定的交通枢纽；经济发达，是闽、粤、赣三省货物集散中转地之一。坎市镇丰富的矿产资源促进了乡镇企业的快速发展，以煤炭、水泥生产为主的资源型经济占据全镇企业的“半壁江山”。通过加大小城镇建设、改善投资环境和招商引资力度，一批上规模的加工型企业、外商投资企业、商贸批发企业，如永定火电厂、龙岩卷烟厂坎市打叶复烤分厂、长丰公司、华龙饲料厂先后落户坎市，形成煤炭、水泥、化肥、铸造、电力、机砖、石板材、烟草、食品和饲料加工等工业企业。</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241" w:firstLineChars="100"/>
        <w:jc w:val="both"/>
        <w:textAlignment w:val="auto"/>
        <w:outlineLvl w:val="9"/>
        <w:rPr>
          <w:rFonts w:hint="eastAsia" w:ascii="宋体" w:hAnsi="宋体" w:eastAsia="宋体" w:cs="宋体"/>
          <w:b/>
          <w:color w:val="333333"/>
          <w:sz w:val="24"/>
          <w:szCs w:val="24"/>
          <w:lang w:eastAsia="zh-CN"/>
        </w:rPr>
      </w:pPr>
      <w:r>
        <w:rPr>
          <w:rFonts w:hint="eastAsia" w:ascii="宋体" w:hAnsi="宋体" w:eastAsia="宋体" w:cs="宋体"/>
          <w:b/>
          <w:color w:val="333333"/>
          <w:sz w:val="24"/>
          <w:szCs w:val="24"/>
          <w:lang w:eastAsia="zh-CN"/>
        </w:rPr>
        <w:t>（</w:t>
      </w:r>
      <w:r>
        <w:rPr>
          <w:rFonts w:hint="eastAsia" w:ascii="宋体" w:hAnsi="宋体" w:eastAsia="宋体" w:cs="宋体"/>
          <w:b/>
          <w:color w:val="333333"/>
          <w:sz w:val="24"/>
          <w:szCs w:val="24"/>
        </w:rPr>
        <w:t>一</w:t>
      </w:r>
      <w:r>
        <w:rPr>
          <w:rFonts w:hint="eastAsia" w:ascii="宋体" w:hAnsi="宋体" w:eastAsia="宋体" w:cs="宋体"/>
          <w:b/>
          <w:color w:val="333333"/>
          <w:sz w:val="24"/>
          <w:szCs w:val="24"/>
          <w:lang w:eastAsia="zh-CN"/>
        </w:rPr>
        <w:t>）</w:t>
      </w:r>
      <w:r>
        <w:rPr>
          <w:rFonts w:hint="eastAsia" w:ascii="宋体" w:hAnsi="宋体" w:eastAsia="宋体" w:cs="宋体"/>
          <w:b/>
          <w:color w:val="333333"/>
          <w:sz w:val="24"/>
          <w:szCs w:val="24"/>
        </w:rPr>
        <w:t>20</w:t>
      </w:r>
      <w:r>
        <w:rPr>
          <w:rFonts w:hint="eastAsia" w:ascii="宋体" w:hAnsi="宋体" w:eastAsia="宋体" w:cs="宋体"/>
          <w:b/>
          <w:color w:val="333333"/>
          <w:sz w:val="24"/>
          <w:szCs w:val="24"/>
          <w:lang w:val="en-US" w:eastAsia="zh-CN"/>
        </w:rPr>
        <w:t>21</w:t>
      </w:r>
      <w:r>
        <w:rPr>
          <w:rFonts w:hint="eastAsia" w:ascii="宋体" w:hAnsi="宋体" w:eastAsia="宋体" w:cs="宋体"/>
          <w:b/>
          <w:color w:val="333333"/>
          <w:sz w:val="24"/>
          <w:szCs w:val="24"/>
        </w:rPr>
        <w:t>年</w:t>
      </w:r>
      <w:r>
        <w:rPr>
          <w:rFonts w:hint="eastAsia" w:ascii="宋体" w:hAnsi="宋体" w:eastAsia="宋体" w:cs="宋体"/>
          <w:b/>
          <w:color w:val="333333"/>
          <w:sz w:val="24"/>
          <w:szCs w:val="24"/>
          <w:lang w:eastAsia="zh-CN"/>
        </w:rPr>
        <w:t>永定区</w:t>
      </w:r>
      <w:r>
        <w:rPr>
          <w:rFonts w:hint="eastAsia" w:ascii="宋体" w:hAnsi="宋体" w:eastAsia="宋体" w:cs="宋体"/>
          <w:b/>
          <w:color w:val="333333"/>
          <w:sz w:val="24"/>
          <w:szCs w:val="24"/>
        </w:rPr>
        <w:t>经济运行</w:t>
      </w:r>
      <w:r>
        <w:rPr>
          <w:rFonts w:hint="eastAsia" w:ascii="宋体" w:hAnsi="宋体" w:eastAsia="宋体" w:cs="宋体"/>
          <w:b/>
          <w:color w:val="333333"/>
          <w:sz w:val="24"/>
          <w:szCs w:val="24"/>
          <w:lang w:eastAsia="zh-CN"/>
        </w:rPr>
        <w:t>情况</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2021年，永定区统筹疫情防控和经济社会发展工作，全区经济保持稳定增长态势，运行在合理区间。</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地区生产总值初步核算，2021年全区生产总值突破300亿元大关，达312.1亿元，按可比价格计算，比上年增长8.2％，两年平均增长6.7%。其中：第一产业37.5亿元，增长4.3%；第二产业122.7亿元，增长9.7%；第三产业151.9亿元,增长8.1%。</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（1）农业生产小幅增长</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全年农林牧渔业总产值66.6亿元，比上年增长4.8%。其中：农业产值比增 3.0%，林业产值比增3.5%，牧业产值比增 6.1 %，渔业产值比增2.3 %，农林牧渔业服务业产值比增 5.1 %。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主要农产品产量保持增长。全区粮食总播种面积23.9万亩，比增0.1%;总产量10.1万吨，比增1.5%，粮食生产面积、产量实现“双增”。生猪存栏47.8万头，比增3.4%；出栏80万头，比增7.6%。主要畜禽的肉类总产量87143.2吨，比增4.0%。食用菌全年总产量2260吨，比降1.1%；茶叶累计1653吨，比增1.6%，园林水果169532吨，比增4.3%。全年蔬菜总产量147876吨，比增4.8%。全年主要林产品采集产量346095吨，比增0.1%；采集野生植物38630吨，比增1.2%。</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（2）工业生产平稳增长</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全年规模以上工业增加值增长9.5%，增幅比全市高1.1个百分点，两年平均增长6.4%。</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分经济类型看：国有控股企业增加值同比增长25.4%；股份制企业增长11.6%；外商及港台投资企业增长28.7%；大中型企业增长16.2%。</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分三大门类看：采矿业增加值同比增长13.9%；制造业增加值同比增长16.2；电力、燃气及水的生产和供应业增加值同比下降40.6%。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从产品产量看:水泥、天然花岗石建筑板材、汽车、砖、商品混凝土产量分别增长1.8%、6.9%、114.6%、14.7%和28.4%。原煤产量、水力发电量分别下降28.4%、49.1%。</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1-12月，全区规模以上工业实现利润总额7.53亿元，比上年下降33.9%。单位成本同比上升，利润率下降，每百元营业收入中的成本85.37元，比上年同期增加3.3元；营业收入利润率4.24%，同比下降2.91个百分点。</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（3）服务业发展势头较好</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全年服务业增加值比上年增长8.1％。</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分行业看，交通运输、仓储和邮政业增长12.3%，批发和零售业12.4%，住宿和餐饮业16.5%，金融业2.1%，房地产业5.6%，其他营利性服务业11.0%，其他非营利性服务业2.0%。1-12月，全区规上服务业企业实现营业收入56.9亿元，同比增长10.8%；其中信息传输、软件和信息技术服务业实现营业收入增长3.4倍。</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（4）消费市场平稳增长</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全年社会消费品零售总额141.8亿元，比上年增长13.3%，两年平均增长4.0%，尚未恢复至2019年同期9.7%的增长水平。</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按消费类型分，限上商品零售额55.1亿元，比增18.2%，限上餐饮收入8.6亿元，比增23.8%；</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按经营单位所在地分，城镇实现限上消费品零售额45.1亿元，比增19.6%；乡村实现限上消费品零售额18.6亿元，比增17.3%。</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基本生活用品消费稳步提升。粮油食品类、烟酒类、日用品类等基本生活用品消费稳步增长，分别增长23.9%、19.2%、15.2%。</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（5）投资运行平稳</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全年固定资产投资比上年增长10.8%。</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分产业看，第一产业投资同比下降39.6%；第二产业投资增长11.0%，其中工业投资增长11.0%；第三产业投资增长14.7%。分领域看，基础设施投资增长32.1%，高技术产业投资同比增长4.2%，先进制造业投资同比增长22.1%。全区民间投资同比下降17.5%。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全区商品房销售面积16.46万平方米，增长9.2%；商品房销售额8.3亿元，比降2.8%。</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（6）财政收支“一增一降”</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全区实现一般公共预算总收入17.2亿元，同比增长7.5%。地方一般预算收入11亿元，同比增长6.2%；其中税收收入7.7亿元，同比增长9.3%；非税收收入3.3亿元，同比下降0.1%。一般公共预算支出28.1亿元，同比下降7.2%。</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（7）金融存贷款稳定</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12月末，全区金融机构人民币存款余额186.0亿元，同比增长2.4%；金融机构人民币贷款余额161.9亿元，同比增长13.8%。</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40" w:firstLineChars="1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（8）全体居民收入突破3万元</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全体居民人均可支配收入突破3万元，达32625元，比上年增加2866元，增长9.6%。其中：城镇居民人均可支配收入46099元，同比增长8.4%，农村居民可支配收入23745元，同比增长12.7%</w:t>
      </w:r>
    </w:p>
    <w:p>
      <w:pPr>
        <w:keepNext w:val="0"/>
        <w:keepLines w:val="0"/>
        <w:pageBreakBefore w:val="0"/>
        <w:widowControl w:val="0"/>
        <w:kinsoku/>
        <w:wordWrap/>
        <w:overflowPunct/>
        <w:topLinePunct w:val="0"/>
        <w:bidi w:val="0"/>
        <w:snapToGrid/>
        <w:spacing w:line="420" w:lineRule="exact"/>
        <w:ind w:left="0" w:leftChars="0" w:right="0" w:rightChars="0"/>
        <w:jc w:val="both"/>
        <w:outlineLvl w:val="9"/>
        <w:rPr>
          <w:rFonts w:hint="eastAsia" w:ascii="宋体" w:hAnsi="宋体" w:eastAsia="宋体" w:cs="宋体"/>
          <w:b/>
          <w:sz w:val="24"/>
          <w:szCs w:val="24"/>
        </w:rPr>
      </w:pPr>
      <w:r>
        <w:rPr>
          <w:rFonts w:hint="eastAsia" w:ascii="宋体" w:hAnsi="宋体" w:eastAsia="宋体" w:cs="宋体"/>
          <w:b/>
          <w:sz w:val="24"/>
          <w:szCs w:val="24"/>
        </w:rPr>
        <w:t xml:space="preserve">    三、估价对象最高最佳利用分析</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480" w:firstLineChars="200"/>
        <w:jc w:val="both"/>
        <w:outlineLvl w:val="9"/>
        <w:rPr>
          <w:rFonts w:hint="eastAsia" w:ascii="宋体" w:hAnsi="宋体" w:eastAsia="宋体" w:cs="宋体"/>
          <w:sz w:val="24"/>
          <w:szCs w:val="24"/>
          <w:lang w:val="zh-CN"/>
        </w:rPr>
      </w:pPr>
      <w:r>
        <w:rPr>
          <w:rFonts w:hint="eastAsia" w:ascii="宋体" w:hAnsi="宋体" w:eastAsia="宋体" w:cs="宋体"/>
          <w:sz w:val="24"/>
          <w:szCs w:val="24"/>
          <w:lang w:val="zh-CN"/>
        </w:rPr>
        <w:t>最高最佳利用即房地产在法律上允许、技术上可能、财务上可行并使价值最大的合理、可能的利用，包括最佳的用途、规模、档次等，能够使估价对象的价值达到最大化的一种最可能的使用。根据对估价对象的个别因素和区位条件的分析，本次估价对象以保持现状、继续利用为估价对象的最高最佳利用为前提进行估算其价值。</w:t>
      </w:r>
    </w:p>
    <w:p>
      <w:pPr>
        <w:keepNext w:val="0"/>
        <w:keepLines w:val="0"/>
        <w:pageBreakBefore w:val="0"/>
        <w:widowControl w:val="0"/>
        <w:kinsoku/>
        <w:wordWrap/>
        <w:overflowPunct/>
        <w:topLinePunct w:val="0"/>
        <w:bidi w:val="0"/>
        <w:snapToGrid/>
        <w:spacing w:line="420" w:lineRule="exact"/>
        <w:ind w:left="0" w:leftChars="0" w:right="0" w:rightChars="0"/>
        <w:jc w:val="both"/>
        <w:outlineLvl w:val="9"/>
        <w:rPr>
          <w:rFonts w:hint="eastAsia" w:ascii="宋体" w:hAnsi="宋体" w:eastAsia="宋体" w:cs="宋体"/>
          <w:b/>
          <w:sz w:val="24"/>
          <w:szCs w:val="24"/>
        </w:rPr>
      </w:pPr>
      <w:r>
        <w:rPr>
          <w:rFonts w:hint="eastAsia" w:ascii="宋体" w:hAnsi="宋体" w:eastAsia="宋体" w:cs="宋体"/>
          <w:b/>
          <w:sz w:val="24"/>
          <w:szCs w:val="24"/>
        </w:rPr>
        <w:t xml:space="preserve">    四、估价方法适用性分析</w:t>
      </w:r>
    </w:p>
    <w:p>
      <w:pPr>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zh-CN"/>
        </w:rPr>
        <w:t>（一）不选用估价方法的理由</w:t>
      </w:r>
    </w:p>
    <w:p>
      <w:pPr>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rPr>
      </w:pPr>
      <w:r>
        <w:rPr>
          <w:rFonts w:hint="eastAsia" w:ascii="宋体" w:hAnsi="宋体" w:eastAsia="宋体" w:cs="宋体"/>
          <w:sz w:val="24"/>
          <w:szCs w:val="24"/>
        </w:rPr>
        <w:t xml:space="preserve">    1、不选用成本法的理由</w:t>
      </w:r>
    </w:p>
    <w:p>
      <w:pPr>
        <w:keepNext w:val="0"/>
        <w:keepLines w:val="0"/>
        <w:pageBreakBefore w:val="0"/>
        <w:widowControl w:val="0"/>
        <w:kinsoku/>
        <w:wordWrap/>
        <w:overflowPunct/>
        <w:topLinePunct w:val="0"/>
        <w:autoSpaceDE/>
        <w:autoSpaceDN/>
        <w:bidi w:val="0"/>
        <w:snapToGrid/>
        <w:spacing w:line="420" w:lineRule="exact"/>
        <w:ind w:left="0" w:leftChars="0" w:right="0" w:rightChars="0" w:firstLine="480" w:firstLineChars="200"/>
        <w:jc w:val="both"/>
        <w:outlineLvl w:val="9"/>
        <w:rPr>
          <w:rFonts w:hint="eastAsia" w:ascii="宋体" w:hAnsi="宋体" w:eastAsia="宋体" w:cs="宋体"/>
          <w:sz w:val="24"/>
          <w:szCs w:val="24"/>
          <w:lang w:val="zh-CN"/>
        </w:rPr>
      </w:pPr>
      <w:r>
        <w:rPr>
          <w:rFonts w:hint="eastAsia" w:ascii="宋体" w:hAnsi="宋体" w:eastAsia="宋体" w:cs="宋体"/>
          <w:sz w:val="24"/>
          <w:szCs w:val="24"/>
          <w:lang w:val="zh-CN"/>
        </w:rPr>
        <w:t>虽然估价对象理论上使用成本法，但受到运用的客观条件限制，特别是现时成套住宅房地产价格主要受市场供求关系左右，成本的均衡原理已被淡化，在这种背景下，成套住宅房地产价格与开发成本的关联性弱，房地产的开发成本根本不能反映出房地产的现时的市场价格，故不适合选用成本法。</w:t>
      </w:r>
    </w:p>
    <w:p>
      <w:pPr>
        <w:keepNext w:val="0"/>
        <w:keepLines w:val="0"/>
        <w:pageBreakBefore w:val="0"/>
        <w:widowControl w:val="0"/>
        <w:numPr>
          <w:ilvl w:val="0"/>
          <w:numId w:val="11"/>
        </w:numPr>
        <w:kinsoku/>
        <w:wordWrap/>
        <w:overflowPunct/>
        <w:topLinePunct w:val="0"/>
        <w:autoSpaceDE/>
        <w:autoSpaceDN/>
        <w:bidi w:val="0"/>
        <w:snapToGrid/>
        <w:spacing w:line="420" w:lineRule="exact"/>
        <w:ind w:left="0" w:leftChars="0" w:right="0" w:rightChars="0" w:firstLine="480" w:firstLineChars="200"/>
        <w:jc w:val="both"/>
        <w:outlineLvl w:val="9"/>
        <w:rPr>
          <w:rFonts w:hint="eastAsia" w:ascii="宋体" w:hAnsi="宋体" w:eastAsia="宋体" w:cs="宋体"/>
          <w:sz w:val="24"/>
          <w:szCs w:val="24"/>
        </w:rPr>
      </w:pPr>
      <w:r>
        <w:rPr>
          <w:rFonts w:hint="eastAsia" w:ascii="宋体" w:hAnsi="宋体" w:eastAsia="宋体" w:cs="宋体"/>
          <w:sz w:val="24"/>
          <w:szCs w:val="24"/>
        </w:rPr>
        <w:t>不选用假设开发法的理由</w:t>
      </w:r>
    </w:p>
    <w:p>
      <w:pPr>
        <w:keepNext w:val="0"/>
        <w:keepLines w:val="0"/>
        <w:pageBreakBefore w:val="0"/>
        <w:widowControl w:val="0"/>
        <w:kinsoku/>
        <w:wordWrap/>
        <w:overflowPunct/>
        <w:topLinePunct w:val="0"/>
        <w:autoSpaceDE/>
        <w:autoSpaceDN/>
        <w:bidi w:val="0"/>
        <w:snapToGrid/>
        <w:spacing w:line="420" w:lineRule="exact"/>
        <w:ind w:left="0" w:leftChars="0" w:right="0" w:rightChars="0" w:firstLine="480" w:firstLineChars="200"/>
        <w:jc w:val="both"/>
        <w:outlineLvl w:val="9"/>
        <w:rPr>
          <w:rFonts w:hint="eastAsia" w:ascii="宋体" w:hAnsi="宋体" w:eastAsia="宋体" w:cs="宋体"/>
          <w:sz w:val="24"/>
          <w:szCs w:val="24"/>
          <w:lang w:val="zh-CN"/>
        </w:rPr>
      </w:pPr>
      <w:r>
        <w:rPr>
          <w:rFonts w:hint="eastAsia" w:ascii="宋体" w:hAnsi="宋体" w:eastAsia="宋体" w:cs="宋体"/>
          <w:sz w:val="24"/>
          <w:szCs w:val="24"/>
          <w:lang w:val="zh-CN"/>
        </w:rPr>
        <w:t>由于估价对象为非待开发的建设物业，不产生后续开发成本，理论上不适用假设开发法，故不适合选用假设开发法。</w:t>
      </w:r>
    </w:p>
    <w:p>
      <w:pPr>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（二）估价方法的选用及理由</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rPr>
      </w:pPr>
      <w:bookmarkStart w:id="13" w:name="OLE_LINK48"/>
      <w:r>
        <w:rPr>
          <w:rFonts w:hint="eastAsia" w:ascii="宋体" w:hAnsi="宋体" w:eastAsia="宋体" w:cs="宋体"/>
          <w:sz w:val="24"/>
          <w:szCs w:val="24"/>
        </w:rPr>
        <w:t>1、选用比较法的理由</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rPr>
      </w:pPr>
      <w:r>
        <w:rPr>
          <w:rFonts w:hint="eastAsia" w:ascii="宋体" w:hAnsi="宋体" w:eastAsia="宋体" w:cs="宋体"/>
          <w:sz w:val="24"/>
          <w:szCs w:val="24"/>
        </w:rPr>
        <w:t>比较法适用的对象是同类房地产数量较多、经常发生交易且具有一定可比性的房地产，估价对象为</w:t>
      </w:r>
      <w:r>
        <w:rPr>
          <w:rFonts w:hint="eastAsia" w:ascii="宋体" w:hAnsi="宋体" w:eastAsia="宋体" w:cs="宋体"/>
          <w:sz w:val="24"/>
          <w:szCs w:val="24"/>
          <w:lang w:eastAsia="zh-CN"/>
        </w:rPr>
        <w:t>成套住宅</w:t>
      </w:r>
      <w:r>
        <w:rPr>
          <w:rFonts w:hint="eastAsia" w:ascii="宋体" w:hAnsi="宋体" w:eastAsia="宋体" w:cs="宋体"/>
          <w:sz w:val="24"/>
          <w:szCs w:val="24"/>
        </w:rPr>
        <w:t>，在价值时点的近期有较多的同类或类似房地产交易，故可采用比较法。</w:t>
      </w:r>
      <w:bookmarkEnd w:id="13"/>
    </w:p>
    <w:p>
      <w:pPr>
        <w:pStyle w:val="16"/>
        <w:keepNext w:val="0"/>
        <w:keepLines w:val="0"/>
        <w:pageBreakBefore w:val="0"/>
        <w:widowControl w:val="0"/>
        <w:numPr>
          <w:ilvl w:val="0"/>
          <w:numId w:val="12"/>
        </w:numPr>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rPr>
      </w:pPr>
      <w:r>
        <w:rPr>
          <w:rFonts w:hint="eastAsia" w:ascii="宋体" w:hAnsi="宋体" w:eastAsia="宋体" w:cs="宋体"/>
          <w:sz w:val="24"/>
          <w:szCs w:val="24"/>
        </w:rPr>
        <w:t>选用收益法的理由</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jc w:val="both"/>
        <w:outlineLvl w:val="9"/>
        <w:rPr>
          <w:rFonts w:hint="eastAsia" w:ascii="宋体" w:hAnsi="宋体" w:eastAsia="宋体" w:cs="宋体"/>
          <w:sz w:val="24"/>
          <w:szCs w:val="24"/>
        </w:rPr>
      </w:pPr>
      <w:r>
        <w:rPr>
          <w:rFonts w:hint="eastAsia" w:ascii="宋体" w:hAnsi="宋体" w:eastAsia="宋体" w:cs="宋体"/>
          <w:sz w:val="24"/>
          <w:szCs w:val="24"/>
        </w:rPr>
        <w:t>收益法适用的对象是估价对象或其同类房地产通常有租金等经济收入的收益性房地产，估价对象有潜在的收益，且类似房地产在价值时点的近期有较多的租金收益可比实例，故可采用收益法。</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lang w:val="zh-CN"/>
        </w:rPr>
      </w:pPr>
      <w:r>
        <w:rPr>
          <w:rFonts w:hint="eastAsia" w:ascii="宋体" w:hAnsi="宋体" w:eastAsia="宋体" w:cs="宋体"/>
          <w:sz w:val="24"/>
          <w:szCs w:val="24"/>
        </w:rPr>
        <w:t xml:space="preserve">   （三）</w:t>
      </w:r>
      <w:r>
        <w:rPr>
          <w:rFonts w:hint="eastAsia" w:ascii="宋体" w:hAnsi="宋体" w:eastAsia="宋体" w:cs="宋体"/>
          <w:sz w:val="24"/>
          <w:szCs w:val="24"/>
          <w:lang w:val="zh-CN"/>
        </w:rPr>
        <w:t>估价技术路线</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1、比较法估价</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（1）搜集交易实例；</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（2）选取3个可比实例；</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（3）对可比实例的实际成交价格进行适当处理；</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jc w:val="both"/>
        <w:outlineLvl w:val="9"/>
        <w:rPr>
          <w:rFonts w:hint="eastAsia" w:ascii="宋体" w:hAnsi="宋体" w:eastAsia="宋体" w:cs="宋体"/>
          <w:sz w:val="24"/>
          <w:szCs w:val="24"/>
        </w:rPr>
      </w:pPr>
      <w:r>
        <w:rPr>
          <w:rFonts w:hint="eastAsia" w:ascii="宋体" w:hAnsi="宋体" w:eastAsia="宋体" w:cs="宋体"/>
          <w:sz w:val="24"/>
          <w:szCs w:val="24"/>
        </w:rPr>
        <w:t xml:space="preserve">   （4）求取比准单价。</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480"/>
        <w:jc w:val="both"/>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收益法估</w:t>
      </w:r>
      <w:r>
        <w:rPr>
          <w:rFonts w:hint="eastAsia" w:ascii="宋体" w:hAnsi="宋体" w:eastAsia="宋体" w:cs="宋体"/>
          <w:sz w:val="24"/>
          <w:szCs w:val="24"/>
        </w:rPr>
        <w:t>价</w:t>
      </w:r>
    </w:p>
    <w:p>
      <w:pPr>
        <w:pStyle w:val="16"/>
        <w:keepNext w:val="0"/>
        <w:keepLines w:val="0"/>
        <w:pageBreakBefore w:val="0"/>
        <w:widowControl w:val="0"/>
        <w:kinsoku/>
        <w:wordWrap/>
        <w:overflowPunct/>
        <w:topLinePunct w:val="0"/>
        <w:autoSpaceDE/>
        <w:autoSpaceDN/>
        <w:bidi w:val="0"/>
        <w:adjustRightInd w:val="0"/>
        <w:snapToGrid/>
        <w:spacing w:line="420" w:lineRule="exact"/>
        <w:ind w:left="0" w:leftChars="0" w:right="0" w:rightChars="0" w:firstLine="0"/>
        <w:jc w:val="both"/>
        <w:textAlignment w:val="baseline"/>
        <w:outlineLvl w:val="9"/>
        <w:rPr>
          <w:rFonts w:hint="eastAsia" w:ascii="宋体" w:hAnsi="宋体" w:eastAsia="宋体" w:cs="宋体"/>
          <w:szCs w:val="24"/>
        </w:rPr>
      </w:pPr>
      <w:r>
        <w:rPr>
          <w:rFonts w:hint="eastAsia" w:ascii="宋体" w:hAnsi="宋体" w:eastAsia="宋体" w:cs="宋体"/>
          <w:sz w:val="24"/>
          <w:szCs w:val="24"/>
        </w:rPr>
        <w:t xml:space="preserve">   </w:t>
      </w:r>
      <w:r>
        <w:rPr>
          <w:rFonts w:hint="eastAsia" w:ascii="宋体" w:hAnsi="宋体" w:eastAsia="宋体" w:cs="宋体"/>
          <w:szCs w:val="24"/>
        </w:rPr>
        <w:t>（1）选用报酬资本化法，并选用全剩余模式；</w:t>
      </w:r>
    </w:p>
    <w:p>
      <w:pPr>
        <w:pStyle w:val="16"/>
        <w:keepNext w:val="0"/>
        <w:keepLines w:val="0"/>
        <w:pageBreakBefore w:val="0"/>
        <w:widowControl w:val="0"/>
        <w:kinsoku/>
        <w:wordWrap/>
        <w:overflowPunct/>
        <w:topLinePunct w:val="0"/>
        <w:autoSpaceDE/>
        <w:autoSpaceDN/>
        <w:bidi w:val="0"/>
        <w:adjustRightInd w:val="0"/>
        <w:snapToGrid/>
        <w:spacing w:line="420" w:lineRule="exact"/>
        <w:ind w:left="0" w:leftChars="0" w:right="0" w:rightChars="0" w:firstLine="0"/>
        <w:jc w:val="both"/>
        <w:textAlignment w:val="baseline"/>
        <w:outlineLvl w:val="9"/>
        <w:rPr>
          <w:rFonts w:hint="eastAsia" w:ascii="宋体" w:hAnsi="宋体" w:eastAsia="宋体" w:cs="宋体"/>
          <w:szCs w:val="24"/>
        </w:rPr>
      </w:pPr>
      <w:r>
        <w:rPr>
          <w:rFonts w:hint="eastAsia" w:ascii="宋体" w:hAnsi="宋体" w:eastAsia="宋体" w:cs="宋体"/>
          <w:szCs w:val="24"/>
        </w:rPr>
        <w:t xml:space="preserve">   （2）</w:t>
      </w:r>
      <w:r>
        <w:rPr>
          <w:rFonts w:hint="eastAsia" w:ascii="宋体" w:hAnsi="宋体" w:eastAsia="宋体" w:cs="宋体"/>
          <w:szCs w:val="24"/>
          <w:lang w:eastAsia="zh-CN"/>
        </w:rPr>
        <w:t>因估价委托人未提供租赁合同，故不考虑估价对象原有租赁权对估价结果的影响，估价采用市场租金。根据对估价对象周围类似房地产目前的租金行情进行调查</w:t>
      </w:r>
      <w:r>
        <w:rPr>
          <w:rFonts w:hint="eastAsia" w:ascii="宋体" w:hAnsi="宋体" w:eastAsia="宋体" w:cs="宋体"/>
          <w:szCs w:val="24"/>
        </w:rPr>
        <w:t>，</w:t>
      </w:r>
      <w:r>
        <w:rPr>
          <w:rFonts w:hint="eastAsia" w:ascii="宋体" w:hAnsi="宋体" w:eastAsia="宋体" w:cs="宋体"/>
          <w:szCs w:val="24"/>
          <w:lang w:eastAsia="zh-CN"/>
        </w:rPr>
        <w:t>确定估价对象的</w:t>
      </w:r>
      <w:r>
        <w:rPr>
          <w:rFonts w:hint="eastAsia" w:ascii="宋体" w:hAnsi="宋体" w:eastAsia="宋体" w:cs="宋体"/>
          <w:szCs w:val="24"/>
        </w:rPr>
        <w:t>市场租金，进而求得估价对象价值时点未来第一年的有效毛收入；</w:t>
      </w:r>
    </w:p>
    <w:p>
      <w:pPr>
        <w:pStyle w:val="16"/>
        <w:keepNext w:val="0"/>
        <w:keepLines w:val="0"/>
        <w:pageBreakBefore w:val="0"/>
        <w:widowControl w:val="0"/>
        <w:kinsoku/>
        <w:wordWrap/>
        <w:overflowPunct/>
        <w:topLinePunct w:val="0"/>
        <w:autoSpaceDE/>
        <w:autoSpaceDN/>
        <w:bidi w:val="0"/>
        <w:adjustRightInd w:val="0"/>
        <w:snapToGrid/>
        <w:spacing w:line="420" w:lineRule="exact"/>
        <w:ind w:left="0" w:leftChars="0" w:right="0" w:rightChars="0" w:firstLine="0" w:firstLineChars="0"/>
        <w:jc w:val="both"/>
        <w:textAlignment w:val="baseline"/>
        <w:outlineLvl w:val="9"/>
        <w:rPr>
          <w:rFonts w:hint="eastAsia" w:ascii="宋体" w:hAnsi="宋体" w:eastAsia="宋体" w:cs="宋体"/>
          <w:szCs w:val="24"/>
        </w:rPr>
      </w:pPr>
      <w:r>
        <w:rPr>
          <w:rFonts w:hint="eastAsia" w:ascii="宋体" w:hAnsi="宋体" w:eastAsia="宋体" w:cs="宋体"/>
          <w:szCs w:val="24"/>
          <w:lang w:val="en-US" w:eastAsia="zh-CN"/>
        </w:rPr>
        <w:t xml:space="preserve">   </w:t>
      </w:r>
      <w:r>
        <w:rPr>
          <w:rFonts w:hint="eastAsia" w:ascii="宋体" w:hAnsi="宋体" w:eastAsia="宋体" w:cs="宋体"/>
          <w:szCs w:val="24"/>
        </w:rPr>
        <w:t>（3）求取年运营费用，确定报酬率，求得未来第一年的净收益；</w:t>
      </w:r>
    </w:p>
    <w:p>
      <w:pPr>
        <w:pStyle w:val="16"/>
        <w:keepNext w:val="0"/>
        <w:keepLines w:val="0"/>
        <w:pageBreakBefore w:val="0"/>
        <w:widowControl w:val="0"/>
        <w:kinsoku/>
        <w:wordWrap/>
        <w:overflowPunct/>
        <w:topLinePunct w:val="0"/>
        <w:autoSpaceDE/>
        <w:autoSpaceDN/>
        <w:bidi w:val="0"/>
        <w:adjustRightInd w:val="0"/>
        <w:snapToGrid/>
        <w:spacing w:line="420" w:lineRule="exact"/>
        <w:ind w:left="0" w:leftChars="0" w:right="0" w:rightChars="0" w:firstLine="0" w:firstLineChars="0"/>
        <w:jc w:val="both"/>
        <w:textAlignment w:val="baseline"/>
        <w:outlineLvl w:val="9"/>
        <w:rPr>
          <w:rFonts w:hint="eastAsia" w:ascii="宋体" w:hAnsi="宋体" w:eastAsia="宋体" w:cs="宋体"/>
          <w:szCs w:val="24"/>
        </w:rPr>
      </w:pPr>
      <w:r>
        <w:rPr>
          <w:rFonts w:hint="eastAsia" w:ascii="宋体" w:hAnsi="宋体" w:eastAsia="宋体" w:cs="宋体"/>
          <w:szCs w:val="24"/>
          <w:lang w:val="en-US" w:eastAsia="zh-CN"/>
        </w:rPr>
        <w:t xml:space="preserve">   </w:t>
      </w:r>
      <w:r>
        <w:rPr>
          <w:rFonts w:hint="eastAsia" w:ascii="宋体" w:hAnsi="宋体" w:eastAsia="宋体" w:cs="宋体"/>
          <w:szCs w:val="24"/>
        </w:rPr>
        <w:t>（4）根据净收益每年比上年递增率；</w:t>
      </w:r>
    </w:p>
    <w:p>
      <w:pPr>
        <w:pStyle w:val="16"/>
        <w:keepNext w:val="0"/>
        <w:keepLines w:val="0"/>
        <w:pageBreakBefore w:val="0"/>
        <w:widowControl w:val="0"/>
        <w:kinsoku/>
        <w:wordWrap/>
        <w:overflowPunct/>
        <w:topLinePunct w:val="0"/>
        <w:autoSpaceDE/>
        <w:autoSpaceDN/>
        <w:bidi w:val="0"/>
        <w:adjustRightInd w:val="0"/>
        <w:snapToGrid/>
        <w:spacing w:line="420" w:lineRule="exact"/>
        <w:ind w:left="0" w:leftChars="0" w:right="0" w:rightChars="0" w:firstLine="0" w:firstLineChars="0"/>
        <w:jc w:val="both"/>
        <w:textAlignment w:val="baseline"/>
        <w:outlineLvl w:val="9"/>
        <w:rPr>
          <w:rFonts w:hint="eastAsia" w:ascii="宋体" w:hAnsi="宋体" w:eastAsia="宋体" w:cs="宋体"/>
          <w:szCs w:val="24"/>
        </w:rPr>
      </w:pPr>
      <w:r>
        <w:rPr>
          <w:rFonts w:hint="eastAsia" w:ascii="宋体" w:hAnsi="宋体" w:eastAsia="宋体" w:cs="宋体"/>
          <w:szCs w:val="24"/>
          <w:lang w:val="en-US" w:eastAsia="zh-CN"/>
        </w:rPr>
        <w:t xml:space="preserve">   </w:t>
      </w:r>
      <w:r>
        <w:rPr>
          <w:rFonts w:hint="eastAsia" w:ascii="宋体" w:hAnsi="宋体" w:eastAsia="宋体" w:cs="宋体"/>
          <w:szCs w:val="24"/>
        </w:rPr>
        <w:t>（5）根据剩余使用年限和建筑物的有效剩余年限（两者取其低者）确定收益年限；</w:t>
      </w:r>
    </w:p>
    <w:p>
      <w:pPr>
        <w:pStyle w:val="16"/>
        <w:keepNext w:val="0"/>
        <w:keepLines w:val="0"/>
        <w:pageBreakBefore w:val="0"/>
        <w:widowControl w:val="0"/>
        <w:kinsoku/>
        <w:wordWrap/>
        <w:overflowPunct/>
        <w:topLinePunct w:val="0"/>
        <w:autoSpaceDE/>
        <w:autoSpaceDN/>
        <w:bidi w:val="0"/>
        <w:adjustRightInd w:val="0"/>
        <w:snapToGrid/>
        <w:spacing w:line="420" w:lineRule="exact"/>
        <w:ind w:left="0" w:leftChars="0" w:right="0" w:rightChars="0" w:firstLine="0" w:firstLineChars="0"/>
        <w:jc w:val="both"/>
        <w:textAlignment w:val="baseline"/>
        <w:outlineLvl w:val="9"/>
        <w:rPr>
          <w:rFonts w:hint="eastAsia" w:ascii="宋体" w:hAnsi="宋体" w:eastAsia="宋体" w:cs="宋体"/>
          <w:sz w:val="24"/>
          <w:szCs w:val="24"/>
          <w:lang w:eastAsia="zh-CN"/>
        </w:rPr>
      </w:pPr>
      <w:r>
        <w:rPr>
          <w:rFonts w:hint="eastAsia" w:ascii="宋体" w:hAnsi="宋体" w:eastAsia="宋体" w:cs="宋体"/>
          <w:szCs w:val="24"/>
          <w:lang w:val="en-US" w:eastAsia="zh-CN"/>
        </w:rPr>
        <w:t xml:space="preserve">   </w:t>
      </w:r>
      <w:r>
        <w:rPr>
          <w:rFonts w:hint="eastAsia" w:ascii="宋体" w:hAnsi="宋体" w:eastAsia="宋体" w:cs="宋体"/>
          <w:szCs w:val="24"/>
        </w:rPr>
        <w:t>（</w:t>
      </w:r>
      <w:r>
        <w:rPr>
          <w:rFonts w:hint="eastAsia" w:ascii="宋体" w:hAnsi="宋体" w:eastAsia="宋体" w:cs="宋体"/>
          <w:szCs w:val="24"/>
          <w:lang w:val="en-US" w:eastAsia="zh-CN"/>
        </w:rPr>
        <w:t>6</w:t>
      </w:r>
      <w:r>
        <w:rPr>
          <w:rFonts w:hint="eastAsia" w:ascii="宋体" w:hAnsi="宋体" w:eastAsia="宋体" w:cs="宋体"/>
          <w:szCs w:val="24"/>
        </w:rPr>
        <w:t>）求取估价对象的收益价值</w:t>
      </w:r>
      <w:r>
        <w:rPr>
          <w:rFonts w:hint="eastAsia" w:ascii="宋体" w:hAnsi="宋体" w:eastAsia="宋体" w:cs="宋体"/>
          <w:szCs w:val="24"/>
          <w:lang w:eastAsia="zh-CN"/>
        </w:rPr>
        <w:t>。</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480"/>
        <w:jc w:val="both"/>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3、确定估价结果</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firstLineChars="0"/>
        <w:jc w:val="both"/>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（1）综合比较法与收益法的评估单价求取估价对象的市场价值。</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firstLineChars="0"/>
        <w:jc w:val="both"/>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（2）扣除原房屋所有权人应承担的相关税费及费用</w:t>
      </w:r>
    </w:p>
    <w:p>
      <w:pPr>
        <w:pStyle w:val="16"/>
        <w:keepNext w:val="0"/>
        <w:keepLines w:val="0"/>
        <w:pageBreakBefore w:val="0"/>
        <w:widowControl w:val="0"/>
        <w:kinsoku/>
        <w:wordWrap/>
        <w:overflowPunct/>
        <w:topLinePunct w:val="0"/>
        <w:autoSpaceDE/>
        <w:autoSpaceDN/>
        <w:bidi w:val="0"/>
        <w:snapToGrid/>
        <w:spacing w:line="420" w:lineRule="exact"/>
        <w:ind w:left="0" w:leftChars="0" w:right="0" w:rightChars="0" w:firstLine="0" w:firstLineChars="0"/>
        <w:jc w:val="both"/>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（3）将市场价值减去扣除原房屋所有权人应承担的相关税费及费用，求得处置价值。</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宋体" w:hAnsi="宋体" w:cs="宋体"/>
          <w:sz w:val="24"/>
          <w:szCs w:val="24"/>
        </w:rPr>
      </w:pPr>
      <w:r>
        <w:rPr>
          <w:rFonts w:hint="eastAsia" w:ascii="宋体" w:hAnsi="宋体" w:cs="宋体"/>
          <w:b/>
          <w:sz w:val="28"/>
          <w:szCs w:val="28"/>
        </w:rPr>
        <w:t xml:space="preserve">   五、估价测算过程</w:t>
      </w:r>
      <w:bookmarkStart w:id="14" w:name="OLE_LINK29"/>
    </w:p>
    <w:bookmarkEnd w:id="14"/>
    <w:p>
      <w:pPr>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（一）比较法测算过程</w:t>
      </w:r>
    </w:p>
    <w:p>
      <w:pPr>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比较法，是选取一定数量的可比实例，将它们与估价对象进行比较，根据其间的差异对可比实例成交价格进行处理后得到估价对象价值或价格的方法；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348" w:lineRule="auto"/>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选取可比实例</w:t>
      </w:r>
    </w:p>
    <w:p>
      <w:pPr>
        <w:keepNext w:val="0"/>
        <w:keepLines w:val="0"/>
        <w:pageBreakBefore w:val="0"/>
        <w:widowControl w:val="0"/>
        <w:kinsoku/>
        <w:wordWrap/>
        <w:overflowPunct/>
        <w:topLinePunct w:val="0"/>
        <w:autoSpaceDE/>
        <w:autoSpaceDN/>
        <w:bidi w:val="0"/>
        <w:adjustRightInd/>
        <w:snapToGrid/>
        <w:spacing w:line="348" w:lineRule="auto"/>
        <w:ind w:left="0" w:leftChars="0" w:right="0" w:rightChars="0" w:firstLine="480"/>
        <w:jc w:val="both"/>
        <w:textAlignment w:val="auto"/>
        <w:outlineLvl w:val="9"/>
        <w:rPr>
          <w:rFonts w:hint="eastAsia" w:ascii="宋体" w:hAnsi="宋体" w:cs="宋体"/>
          <w:sz w:val="24"/>
          <w:szCs w:val="24"/>
          <w:lang w:eastAsia="zh-CN"/>
        </w:rPr>
      </w:pPr>
      <w:r>
        <w:rPr>
          <w:rFonts w:hint="eastAsia" w:ascii="宋体" w:hAnsi="宋体" w:cs="宋体"/>
          <w:sz w:val="24"/>
          <w:szCs w:val="24"/>
          <w:lang w:eastAsia="zh-CN"/>
        </w:rPr>
        <w:t>估价人员选取三个近期买卖的可比实例，如下表：</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left="0" w:leftChars="0" w:right="0" w:rightChars="0"/>
        <w:jc w:val="right"/>
        <w:textAlignment w:val="auto"/>
        <w:outlineLvl w:val="9"/>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zh-CN"/>
        </w:rPr>
        <w:t>可比实例调查表</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eastAsia="zh-CN"/>
        </w:rPr>
        <w:t>技表</w:t>
      </w:r>
      <w:r>
        <w:rPr>
          <w:rFonts w:hint="eastAsia" w:ascii="宋体" w:hAnsi="宋体" w:cs="宋体"/>
          <w:sz w:val="24"/>
          <w:szCs w:val="24"/>
          <w:lang w:val="en-US" w:eastAsia="zh-CN"/>
        </w:rPr>
        <w:t>8</w:t>
      </w:r>
    </w:p>
    <w:tbl>
      <w:tblPr>
        <w:tblStyle w:val="10"/>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2674"/>
        <w:gridCol w:w="251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7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项目</w:t>
            </w:r>
          </w:p>
        </w:tc>
        <w:tc>
          <w:tcPr>
            <w:tcW w:w="26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可比实例</w:t>
            </w:r>
            <w:r>
              <w:rPr>
                <w:rFonts w:hint="eastAsia" w:ascii="宋体" w:hAnsi="宋体" w:cs="宋体"/>
                <w:sz w:val="21"/>
                <w:szCs w:val="21"/>
                <w:vertAlign w:val="baseline"/>
                <w:lang w:val="en-US" w:eastAsia="zh-CN"/>
              </w:rPr>
              <w:t>A</w:t>
            </w:r>
          </w:p>
        </w:tc>
        <w:tc>
          <w:tcPr>
            <w:tcW w:w="25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eastAsia="zh-CN"/>
              </w:rPr>
              <w:t>可比实例</w:t>
            </w:r>
            <w:r>
              <w:rPr>
                <w:rFonts w:hint="eastAsia" w:ascii="宋体" w:hAnsi="宋体" w:cs="宋体"/>
                <w:sz w:val="21"/>
                <w:szCs w:val="21"/>
                <w:vertAlign w:val="baseline"/>
                <w:lang w:val="en-US" w:eastAsia="zh-CN"/>
              </w:rPr>
              <w:t>B</w:t>
            </w:r>
          </w:p>
        </w:tc>
        <w:tc>
          <w:tcPr>
            <w:tcW w:w="26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eastAsia="zh-CN"/>
              </w:rPr>
              <w:t>可比实例</w:t>
            </w:r>
            <w:r>
              <w:rPr>
                <w:rFonts w:hint="eastAsia" w:ascii="宋体" w:hAnsi="宋体" w:cs="宋体"/>
                <w:sz w:val="21"/>
                <w:szCs w:val="21"/>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房屋座落</w:t>
            </w:r>
          </w:p>
        </w:tc>
        <w:tc>
          <w:tcPr>
            <w:tcW w:w="2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pacing w:val="0"/>
                <w:kern w:val="0"/>
                <w:sz w:val="21"/>
                <w:szCs w:val="21"/>
                <w:lang w:val="en-US" w:eastAsia="zh-CN" w:bidi="ar-SA"/>
              </w:rPr>
            </w:pPr>
            <w:r>
              <w:rPr>
                <w:rFonts w:hint="eastAsia" w:ascii="宋体" w:hAnsi="宋体" w:cs="宋体"/>
                <w:spacing w:val="0"/>
                <w:kern w:val="0"/>
                <w:sz w:val="21"/>
                <w:szCs w:val="21"/>
                <w:lang w:val="en-US" w:eastAsia="zh-CN" w:bidi="ar-SA"/>
              </w:rPr>
              <w:t>坎市镇亚桥商城5幢10层</w:t>
            </w:r>
          </w:p>
        </w:tc>
        <w:tc>
          <w:tcPr>
            <w:tcW w:w="25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pacing w:val="0"/>
                <w:kern w:val="2"/>
                <w:sz w:val="21"/>
                <w:szCs w:val="21"/>
                <w:lang w:val="en-US" w:eastAsia="zh-CN" w:bidi="ar-SA"/>
              </w:rPr>
            </w:pPr>
            <w:r>
              <w:rPr>
                <w:rFonts w:hint="eastAsia" w:ascii="宋体" w:hAnsi="宋体" w:cs="宋体"/>
                <w:spacing w:val="0"/>
                <w:kern w:val="0"/>
                <w:sz w:val="21"/>
                <w:szCs w:val="21"/>
                <w:lang w:val="en-US" w:eastAsia="zh-CN" w:bidi="ar-SA"/>
              </w:rPr>
              <w:t>坎市镇永丰豪庭2幢5层</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pacing w:val="0"/>
                <w:kern w:val="0"/>
                <w:sz w:val="21"/>
                <w:szCs w:val="21"/>
                <w:lang w:val="en-US" w:eastAsia="zh-CN" w:bidi="ar-SA"/>
              </w:rPr>
              <w:t>坎市镇永丰豪庭1幢7层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7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土地使用权类型</w:t>
            </w:r>
          </w:p>
        </w:tc>
        <w:tc>
          <w:tcPr>
            <w:tcW w:w="26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出让</w:t>
            </w:r>
          </w:p>
        </w:tc>
        <w:tc>
          <w:tcPr>
            <w:tcW w:w="25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出让</w:t>
            </w:r>
          </w:p>
        </w:tc>
        <w:tc>
          <w:tcPr>
            <w:tcW w:w="26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kern w:val="2"/>
                <w:sz w:val="21"/>
                <w:szCs w:val="21"/>
                <w:vertAlign w:val="baseline"/>
                <w:lang w:val="en-US" w:eastAsia="zh-CN" w:bidi="ar-SA"/>
              </w:rPr>
            </w:pPr>
            <w:r>
              <w:rPr>
                <w:rFonts w:hint="eastAsia" w:ascii="宋体" w:hAnsi="宋体" w:cs="宋体"/>
                <w:sz w:val="21"/>
                <w:szCs w:val="21"/>
                <w:vertAlign w:val="baseline"/>
                <w:lang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7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用途</w:t>
            </w:r>
          </w:p>
        </w:tc>
        <w:tc>
          <w:tcPr>
            <w:tcW w:w="26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住宅</w:t>
            </w:r>
          </w:p>
        </w:tc>
        <w:tc>
          <w:tcPr>
            <w:tcW w:w="25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住宅</w:t>
            </w:r>
          </w:p>
        </w:tc>
        <w:tc>
          <w:tcPr>
            <w:tcW w:w="26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kern w:val="2"/>
                <w:sz w:val="21"/>
                <w:szCs w:val="21"/>
                <w:vertAlign w:val="baseline"/>
                <w:lang w:val="en-US" w:eastAsia="zh-CN" w:bidi="ar-SA"/>
              </w:rPr>
            </w:pPr>
            <w:r>
              <w:rPr>
                <w:rFonts w:hint="eastAsia" w:ascii="宋体" w:hAnsi="宋体" w:cs="宋体"/>
                <w:sz w:val="21"/>
                <w:szCs w:val="21"/>
                <w:vertAlign w:val="baseline"/>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7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建筑结构</w:t>
            </w:r>
          </w:p>
        </w:tc>
        <w:tc>
          <w:tcPr>
            <w:tcW w:w="2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lang w:val="en-US" w:eastAsia="zh-CN"/>
              </w:rPr>
              <w:t>框架</w:t>
            </w:r>
            <w:r>
              <w:rPr>
                <w:rFonts w:hint="eastAsia" w:ascii="宋体" w:hAnsi="宋体" w:cs="宋体"/>
                <w:sz w:val="21"/>
                <w:szCs w:val="21"/>
                <w:lang w:eastAsia="zh-CN"/>
              </w:rPr>
              <w:t>结构</w:t>
            </w:r>
          </w:p>
        </w:tc>
        <w:tc>
          <w:tcPr>
            <w:tcW w:w="2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lang w:val="en-US" w:eastAsia="zh-CN"/>
              </w:rPr>
              <w:t>钢混</w:t>
            </w:r>
            <w:r>
              <w:rPr>
                <w:rFonts w:hint="eastAsia" w:ascii="宋体" w:hAnsi="宋体" w:cs="宋体"/>
                <w:sz w:val="21"/>
                <w:szCs w:val="21"/>
                <w:lang w:eastAsia="zh-CN"/>
              </w:rPr>
              <w:t>结构</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kern w:val="2"/>
                <w:sz w:val="21"/>
                <w:szCs w:val="21"/>
                <w:vertAlign w:val="baseline"/>
                <w:lang w:val="en-US" w:eastAsia="zh-CN" w:bidi="ar-SA"/>
              </w:rPr>
            </w:pPr>
            <w:r>
              <w:rPr>
                <w:rFonts w:hint="eastAsia" w:ascii="宋体" w:hAnsi="宋体" w:cs="宋体"/>
                <w:sz w:val="21"/>
                <w:szCs w:val="21"/>
                <w:lang w:val="en-US" w:eastAsia="zh-CN"/>
              </w:rPr>
              <w:t>钢混</w:t>
            </w:r>
            <w:r>
              <w:rPr>
                <w:rFonts w:hint="eastAsia" w:ascii="宋体" w:hAnsi="宋体" w:cs="宋体"/>
                <w:sz w:val="21"/>
                <w:szCs w:val="21"/>
                <w:lang w:eastAsia="zh-CN"/>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7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平面布局</w:t>
            </w:r>
          </w:p>
        </w:tc>
        <w:tc>
          <w:tcPr>
            <w:tcW w:w="2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平层</w:t>
            </w:r>
          </w:p>
        </w:tc>
        <w:tc>
          <w:tcPr>
            <w:tcW w:w="2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平层</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kern w:val="2"/>
                <w:sz w:val="21"/>
                <w:szCs w:val="21"/>
                <w:lang w:val="en-US" w:eastAsia="zh-CN" w:bidi="ar-SA"/>
              </w:rPr>
            </w:pPr>
            <w:r>
              <w:rPr>
                <w:rFonts w:hint="eastAsia" w:ascii="宋体" w:hAnsi="宋体" w:cs="宋体"/>
                <w:sz w:val="21"/>
                <w:szCs w:val="21"/>
                <w:lang w:val="en-US" w:eastAsia="zh-CN"/>
              </w:rPr>
              <w:t>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7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装修情况</w:t>
            </w:r>
          </w:p>
        </w:tc>
        <w:tc>
          <w:tcPr>
            <w:tcW w:w="26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普通</w:t>
            </w:r>
            <w:r>
              <w:rPr>
                <w:rFonts w:hint="eastAsia" w:ascii="宋体" w:hAnsi="宋体" w:eastAsia="宋体" w:cs="宋体"/>
                <w:sz w:val="21"/>
                <w:szCs w:val="21"/>
                <w:lang w:eastAsia="zh-CN"/>
              </w:rPr>
              <w:t>装修</w:t>
            </w:r>
          </w:p>
        </w:tc>
        <w:tc>
          <w:tcPr>
            <w:tcW w:w="25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中档</w:t>
            </w:r>
            <w:r>
              <w:rPr>
                <w:rFonts w:hint="eastAsia" w:ascii="宋体" w:hAnsi="宋体" w:eastAsia="宋体" w:cs="宋体"/>
                <w:sz w:val="21"/>
                <w:szCs w:val="21"/>
                <w:lang w:eastAsia="zh-CN"/>
              </w:rPr>
              <w:t>装修</w:t>
            </w:r>
          </w:p>
        </w:tc>
        <w:tc>
          <w:tcPr>
            <w:tcW w:w="26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kern w:val="2"/>
                <w:sz w:val="21"/>
                <w:szCs w:val="21"/>
                <w:lang w:val="en-US" w:eastAsia="zh-CN" w:bidi="ar-SA"/>
              </w:rPr>
            </w:pPr>
            <w:r>
              <w:rPr>
                <w:rFonts w:hint="eastAsia" w:ascii="宋体" w:hAnsi="宋体" w:cs="宋体"/>
                <w:sz w:val="21"/>
                <w:szCs w:val="21"/>
                <w:lang w:val="en-US" w:eastAsia="zh-CN"/>
              </w:rPr>
              <w:t>中档</w:t>
            </w:r>
            <w:r>
              <w:rPr>
                <w:rFonts w:hint="eastAsia" w:ascii="宋体" w:hAnsi="宋体" w:eastAsia="宋体" w:cs="宋体"/>
                <w:sz w:val="21"/>
                <w:szCs w:val="21"/>
                <w:lang w:eastAsia="zh-CN"/>
              </w:rPr>
              <w:t>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7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所处楼层</w:t>
            </w:r>
            <w:r>
              <w:rPr>
                <w:rFonts w:hint="eastAsia" w:ascii="宋体" w:hAnsi="宋体" w:cs="宋体"/>
                <w:sz w:val="21"/>
                <w:szCs w:val="21"/>
                <w:vertAlign w:val="baseline"/>
                <w:lang w:val="en-US" w:eastAsia="zh-CN"/>
              </w:rPr>
              <w:t>/总层数</w:t>
            </w:r>
          </w:p>
        </w:tc>
        <w:tc>
          <w:tcPr>
            <w:tcW w:w="26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sz w:val="21"/>
                <w:szCs w:val="21"/>
                <w:vertAlign w:val="baseline"/>
                <w:lang w:val="en-US" w:eastAsia="zh-CN"/>
              </w:rPr>
            </w:pPr>
            <w:r>
              <w:rPr>
                <w:rFonts w:hint="eastAsia" w:ascii="宋体" w:hAnsi="宋体" w:cs="宋体"/>
                <w:color w:val="auto"/>
                <w:sz w:val="21"/>
                <w:szCs w:val="21"/>
                <w:vertAlign w:val="baseline"/>
                <w:lang w:val="en-US" w:eastAsia="zh-CN"/>
              </w:rPr>
              <w:t>10/16</w:t>
            </w:r>
          </w:p>
        </w:tc>
        <w:tc>
          <w:tcPr>
            <w:tcW w:w="2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sz w:val="21"/>
                <w:szCs w:val="21"/>
                <w:vertAlign w:val="baseline"/>
                <w:lang w:val="en-US" w:eastAsia="zh-CN"/>
              </w:rPr>
            </w:pPr>
            <w:r>
              <w:rPr>
                <w:rFonts w:hint="eastAsia" w:ascii="宋体" w:hAnsi="宋体" w:cs="宋体"/>
                <w:color w:val="000000"/>
                <w:sz w:val="21"/>
                <w:szCs w:val="21"/>
                <w:vertAlign w:val="baseline"/>
                <w:lang w:val="en-US" w:eastAsia="zh-CN"/>
              </w:rPr>
              <w:t>5/18</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sz w:val="21"/>
                <w:szCs w:val="21"/>
                <w:vertAlign w:val="baseline"/>
                <w:lang w:val="en-US" w:eastAsia="zh-CN"/>
              </w:rPr>
            </w:pPr>
            <w:r>
              <w:rPr>
                <w:rFonts w:hint="eastAsia" w:ascii="宋体" w:hAnsi="宋体" w:cs="宋体"/>
                <w:color w:val="000000"/>
                <w:sz w:val="21"/>
                <w:szCs w:val="21"/>
                <w:vertAlign w:val="baseline"/>
                <w:lang w:val="en-US" w:eastAsia="zh-CN"/>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7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建成年份（年）</w:t>
            </w:r>
          </w:p>
        </w:tc>
        <w:tc>
          <w:tcPr>
            <w:tcW w:w="26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cs="宋体"/>
                <w:color w:val="auto"/>
                <w:sz w:val="21"/>
                <w:szCs w:val="21"/>
                <w:vertAlign w:val="baseline"/>
                <w:lang w:val="en-US" w:eastAsia="zh-CN"/>
              </w:rPr>
              <w:t>2010</w:t>
            </w:r>
          </w:p>
        </w:tc>
        <w:tc>
          <w:tcPr>
            <w:tcW w:w="2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kern w:val="2"/>
                <w:sz w:val="21"/>
                <w:szCs w:val="21"/>
                <w:vertAlign w:val="baseline"/>
                <w:lang w:val="en-US" w:eastAsia="zh-CN" w:bidi="ar-SA"/>
              </w:rPr>
            </w:pPr>
            <w:r>
              <w:rPr>
                <w:rFonts w:hint="eastAsia" w:ascii="宋体" w:hAnsi="宋体" w:cs="宋体"/>
                <w:color w:val="000000"/>
                <w:sz w:val="21"/>
                <w:szCs w:val="21"/>
                <w:vertAlign w:val="baseline"/>
                <w:lang w:val="en-US" w:eastAsia="zh-CN"/>
              </w:rPr>
              <w:t>2015</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kern w:val="2"/>
                <w:sz w:val="21"/>
                <w:szCs w:val="21"/>
                <w:vertAlign w:val="baseline"/>
                <w:lang w:val="en-US" w:eastAsia="zh-CN" w:bidi="ar-SA"/>
              </w:rPr>
            </w:pPr>
            <w:r>
              <w:rPr>
                <w:rFonts w:hint="eastAsia" w:ascii="宋体" w:hAnsi="宋体" w:cs="宋体"/>
                <w:color w:val="000000"/>
                <w:sz w:val="21"/>
                <w:szCs w:val="21"/>
                <w:vertAlign w:val="baseline"/>
                <w:lang w:val="en-US" w:eastAsia="zh-CN"/>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7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建筑面积（</w:t>
            </w:r>
            <w:r>
              <w:rPr>
                <w:rFonts w:hint="eastAsia" w:ascii="宋体" w:hAnsi="宋体" w:cs="宋体"/>
                <w:sz w:val="21"/>
                <w:szCs w:val="21"/>
                <w:vertAlign w:val="baseline"/>
                <w:lang w:val="en-US" w:eastAsia="zh-CN"/>
              </w:rPr>
              <w:t>m</w:t>
            </w:r>
            <w:r>
              <w:rPr>
                <w:rFonts w:hint="eastAsia" w:ascii="宋体" w:hAnsi="宋体" w:cs="宋体"/>
                <w:sz w:val="21"/>
                <w:szCs w:val="21"/>
                <w:vertAlign w:val="superscript"/>
                <w:lang w:val="en-US" w:eastAsia="zh-CN"/>
              </w:rPr>
              <w:t>2</w:t>
            </w:r>
            <w:r>
              <w:rPr>
                <w:rFonts w:hint="eastAsia" w:ascii="宋体" w:hAnsi="宋体" w:cs="宋体"/>
                <w:sz w:val="21"/>
                <w:szCs w:val="21"/>
                <w:vertAlign w:val="baseline"/>
                <w:lang w:val="en-US" w:eastAsia="zh-CN"/>
              </w:rPr>
              <w:t>）</w:t>
            </w:r>
          </w:p>
        </w:tc>
        <w:tc>
          <w:tcPr>
            <w:tcW w:w="26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kern w:val="2"/>
                <w:sz w:val="21"/>
                <w:szCs w:val="21"/>
                <w:lang w:val="en-US" w:eastAsia="zh-CN" w:bidi="ar-SA"/>
              </w:rPr>
            </w:pPr>
            <w:r>
              <w:rPr>
                <w:rFonts w:hint="eastAsia" w:ascii="宋体" w:hAnsi="宋体" w:cs="宋体"/>
                <w:szCs w:val="21"/>
                <w:lang w:val="en-US" w:eastAsia="zh-CN"/>
              </w:rPr>
              <w:t>133.23</w:t>
            </w:r>
          </w:p>
        </w:tc>
        <w:tc>
          <w:tcPr>
            <w:tcW w:w="2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color w:val="000000"/>
                <w:kern w:val="2"/>
                <w:sz w:val="21"/>
                <w:szCs w:val="21"/>
                <w:lang w:val="en-US" w:eastAsia="zh-CN" w:bidi="ar-SA"/>
              </w:rPr>
            </w:pPr>
            <w:r>
              <w:rPr>
                <w:rFonts w:hint="eastAsia" w:ascii="宋体" w:hAnsi="宋体" w:cs="宋体"/>
                <w:color w:val="000000"/>
                <w:szCs w:val="21"/>
                <w:lang w:val="en-US" w:eastAsia="zh-CN"/>
              </w:rPr>
              <w:t>116.92</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成交单价（元</w:t>
            </w:r>
            <w:r>
              <w:rPr>
                <w:rFonts w:hint="eastAsia" w:ascii="宋体" w:hAnsi="宋体" w:cs="宋体"/>
                <w:sz w:val="21"/>
                <w:szCs w:val="21"/>
                <w:vertAlign w:val="baseline"/>
                <w:lang w:val="en-US" w:eastAsia="zh-CN"/>
              </w:rPr>
              <w:t>/m</w:t>
            </w:r>
            <w:r>
              <w:rPr>
                <w:rFonts w:hint="eastAsia" w:ascii="宋体" w:hAnsi="宋体" w:cs="宋体"/>
                <w:sz w:val="21"/>
                <w:szCs w:val="21"/>
                <w:vertAlign w:val="superscript"/>
                <w:lang w:val="en-US" w:eastAsia="zh-CN"/>
              </w:rPr>
              <w:t>2</w:t>
            </w:r>
            <w:r>
              <w:rPr>
                <w:rFonts w:hint="eastAsia" w:ascii="宋体" w:hAnsi="宋体" w:cs="宋体"/>
                <w:sz w:val="21"/>
                <w:szCs w:val="21"/>
                <w:vertAlign w:val="baseline"/>
                <w:lang w:eastAsia="zh-CN"/>
              </w:rPr>
              <w:t>）</w:t>
            </w:r>
          </w:p>
        </w:tc>
        <w:tc>
          <w:tcPr>
            <w:tcW w:w="26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pacing w:val="0"/>
                <w:kern w:val="2"/>
                <w:sz w:val="21"/>
                <w:szCs w:val="21"/>
                <w:vertAlign w:val="baseline"/>
                <w:lang w:val="en-US" w:eastAsia="zh-CN" w:bidi="ar-SA"/>
              </w:rPr>
            </w:pPr>
            <w:r>
              <w:rPr>
                <w:rFonts w:hint="eastAsia" w:ascii="宋体" w:hAnsi="宋体" w:cs="宋体"/>
                <w:color w:val="auto"/>
                <w:spacing w:val="0"/>
                <w:kern w:val="2"/>
                <w:sz w:val="21"/>
                <w:szCs w:val="21"/>
                <w:vertAlign w:val="baseline"/>
                <w:lang w:val="en-US" w:eastAsia="zh-CN" w:bidi="ar-SA"/>
              </w:rPr>
              <w:t>4800</w:t>
            </w:r>
          </w:p>
        </w:tc>
        <w:tc>
          <w:tcPr>
            <w:tcW w:w="2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pacing w:val="0"/>
                <w:kern w:val="2"/>
                <w:sz w:val="21"/>
                <w:szCs w:val="21"/>
                <w:vertAlign w:val="baseline"/>
                <w:lang w:val="en-US" w:eastAsia="zh-CN" w:bidi="ar-SA"/>
              </w:rPr>
            </w:pPr>
            <w:r>
              <w:rPr>
                <w:rFonts w:hint="eastAsia" w:ascii="宋体" w:hAnsi="宋体" w:cs="宋体"/>
                <w:color w:val="000000"/>
                <w:spacing w:val="0"/>
                <w:sz w:val="21"/>
                <w:szCs w:val="21"/>
                <w:vertAlign w:val="baseline"/>
                <w:lang w:val="en-US" w:eastAsia="zh-CN"/>
              </w:rPr>
              <w:t>5500</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pacing w:val="0"/>
                <w:kern w:val="2"/>
                <w:sz w:val="21"/>
                <w:szCs w:val="21"/>
                <w:vertAlign w:val="baseline"/>
                <w:lang w:val="en-US" w:eastAsia="zh-CN" w:bidi="ar-SA"/>
              </w:rPr>
            </w:pPr>
            <w:r>
              <w:rPr>
                <w:rFonts w:hint="eastAsia" w:ascii="宋体" w:hAnsi="宋体" w:cs="宋体"/>
                <w:color w:val="000000"/>
                <w:spacing w:val="0"/>
                <w:kern w:val="2"/>
                <w:sz w:val="21"/>
                <w:szCs w:val="21"/>
                <w:vertAlign w:val="baseline"/>
                <w:lang w:val="en-US" w:eastAsia="zh-CN" w:bidi="ar-SA"/>
              </w:rPr>
              <w:t>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7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成交日期</w:t>
            </w:r>
          </w:p>
        </w:tc>
        <w:tc>
          <w:tcPr>
            <w:tcW w:w="26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202</w:t>
            </w:r>
            <w:r>
              <w:rPr>
                <w:rFonts w:hint="eastAsia" w:ascii="宋体" w:hAnsi="宋体" w:cs="宋体"/>
                <w:color w:val="auto"/>
                <w:sz w:val="21"/>
                <w:szCs w:val="21"/>
                <w:vertAlign w:val="baseline"/>
                <w:lang w:val="en-US" w:eastAsia="zh-CN"/>
              </w:rPr>
              <w:t>1</w:t>
            </w:r>
            <w:r>
              <w:rPr>
                <w:rFonts w:hint="eastAsia" w:ascii="宋体" w:hAnsi="宋体" w:eastAsia="宋体" w:cs="宋体"/>
                <w:color w:val="auto"/>
                <w:sz w:val="21"/>
                <w:szCs w:val="21"/>
                <w:vertAlign w:val="baseline"/>
                <w:lang w:val="en-US" w:eastAsia="zh-CN"/>
              </w:rPr>
              <w:t>.</w:t>
            </w:r>
            <w:r>
              <w:rPr>
                <w:rFonts w:hint="eastAsia" w:ascii="宋体" w:hAnsi="宋体" w:cs="宋体"/>
                <w:color w:val="auto"/>
                <w:sz w:val="21"/>
                <w:szCs w:val="21"/>
                <w:vertAlign w:val="baseline"/>
                <w:lang w:val="en-US" w:eastAsia="zh-CN"/>
              </w:rPr>
              <w:t>9</w:t>
            </w:r>
          </w:p>
        </w:tc>
        <w:tc>
          <w:tcPr>
            <w:tcW w:w="2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kern w:val="2"/>
                <w:sz w:val="21"/>
                <w:szCs w:val="21"/>
                <w:vertAlign w:val="baseline"/>
                <w:lang w:val="en-US" w:eastAsia="zh-CN" w:bidi="ar-SA"/>
              </w:rPr>
            </w:pPr>
            <w:r>
              <w:rPr>
                <w:rFonts w:hint="eastAsia" w:ascii="宋体" w:hAnsi="宋体" w:eastAsia="宋体" w:cs="宋体"/>
                <w:color w:val="000000"/>
                <w:sz w:val="21"/>
                <w:szCs w:val="21"/>
                <w:vertAlign w:val="baseline"/>
                <w:lang w:val="en-US" w:eastAsia="zh-CN"/>
              </w:rPr>
              <w:t>202</w:t>
            </w:r>
            <w:r>
              <w:rPr>
                <w:rFonts w:hint="eastAsia" w:ascii="宋体" w:hAnsi="宋体" w:cs="宋体"/>
                <w:color w:val="000000"/>
                <w:sz w:val="21"/>
                <w:szCs w:val="21"/>
                <w:vertAlign w:val="baseline"/>
                <w:lang w:val="en-US" w:eastAsia="zh-CN"/>
              </w:rPr>
              <w:t>1</w:t>
            </w:r>
            <w:r>
              <w:rPr>
                <w:rFonts w:hint="eastAsia" w:ascii="宋体" w:hAnsi="宋体" w:eastAsia="宋体" w:cs="宋体"/>
                <w:color w:val="000000"/>
                <w:sz w:val="21"/>
                <w:szCs w:val="21"/>
                <w:vertAlign w:val="baseline"/>
                <w:lang w:val="en-US" w:eastAsia="zh-CN"/>
              </w:rPr>
              <w:t>.</w:t>
            </w:r>
            <w:r>
              <w:rPr>
                <w:rFonts w:hint="eastAsia" w:ascii="宋体" w:hAnsi="宋体" w:cs="宋体"/>
                <w:color w:val="000000"/>
                <w:sz w:val="21"/>
                <w:szCs w:val="21"/>
                <w:vertAlign w:val="baseline"/>
                <w:lang w:val="en-US" w:eastAsia="zh-CN"/>
              </w:rPr>
              <w:t>11</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kern w:val="2"/>
                <w:sz w:val="21"/>
                <w:szCs w:val="21"/>
                <w:vertAlign w:val="baseline"/>
                <w:lang w:val="en-US" w:eastAsia="zh-CN" w:bidi="ar-SA"/>
              </w:rPr>
            </w:pPr>
            <w:r>
              <w:rPr>
                <w:rFonts w:hint="eastAsia" w:ascii="宋体" w:hAnsi="宋体" w:cs="宋体"/>
                <w:color w:val="000000"/>
                <w:sz w:val="21"/>
                <w:szCs w:val="21"/>
                <w:vertAlign w:val="baseline"/>
                <w:lang w:val="en-US" w:eastAsia="zh-CN"/>
              </w:rPr>
              <w:t>2021.8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87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成交价格内涵</w:t>
            </w:r>
          </w:p>
        </w:tc>
        <w:tc>
          <w:tcPr>
            <w:tcW w:w="26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计价面积为建筑面积，成交价含室内二次装修价值，卖方实收（</w:t>
            </w:r>
            <w:r>
              <w:rPr>
                <w:rFonts w:hint="eastAsia" w:ascii="宋体" w:hAnsi="宋体" w:cs="宋体"/>
                <w:szCs w:val="21"/>
                <w:lang w:eastAsia="zh-CN"/>
              </w:rPr>
              <w:t>交易税费全部由买方承担）</w:t>
            </w:r>
          </w:p>
        </w:tc>
        <w:tc>
          <w:tcPr>
            <w:tcW w:w="25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计价面积为建筑面积，成交价含室内二次装修价值，卖方实收（</w:t>
            </w:r>
            <w:r>
              <w:rPr>
                <w:rFonts w:hint="eastAsia" w:ascii="宋体" w:hAnsi="宋体" w:cs="宋体"/>
                <w:szCs w:val="21"/>
                <w:lang w:eastAsia="zh-CN"/>
              </w:rPr>
              <w:t>交易税费全部由买方承担）</w:t>
            </w:r>
          </w:p>
        </w:tc>
        <w:tc>
          <w:tcPr>
            <w:tcW w:w="26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计价面积为建筑面积，成交价含室内二次装修价值，卖方实收（</w:t>
            </w:r>
            <w:r>
              <w:rPr>
                <w:rFonts w:hint="eastAsia" w:ascii="宋体" w:hAnsi="宋体" w:cs="宋体"/>
                <w:szCs w:val="21"/>
                <w:lang w:eastAsia="zh-CN"/>
              </w:rPr>
              <w:t>交易税费全部由买方承担）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87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资料来源</w:t>
            </w:r>
          </w:p>
        </w:tc>
        <w:tc>
          <w:tcPr>
            <w:tcW w:w="26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房地产中介</w:t>
            </w:r>
          </w:p>
        </w:tc>
        <w:tc>
          <w:tcPr>
            <w:tcW w:w="251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房地产中介</w:t>
            </w:r>
          </w:p>
        </w:tc>
        <w:tc>
          <w:tcPr>
            <w:tcW w:w="26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司法拍卖</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2、 建立比较基础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（1）统一税费负担：是将成交价格调整为买卖双方各自缴纳自己应缴纳的交易税费下的价格。正常负担下的价格=卖方实收金额/（1-应由卖方缴纳的税费比率）=买方实付金额/（1+应由买方缴纳的税费比率）。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00" w:firstLineChars="1000"/>
        <w:jc w:val="right"/>
        <w:textAlignment w:val="auto"/>
        <w:outlineLvl w:val="9"/>
        <w:rPr>
          <w:rFonts w:hint="default" w:ascii="宋体" w:hAnsi="宋体" w:eastAsia="宋体" w:cs="宋体"/>
          <w:sz w:val="24"/>
          <w:szCs w:val="24"/>
          <w:lang w:val="en-US" w:eastAsia="zh-CN"/>
        </w:rPr>
      </w:pPr>
      <w:r>
        <w:rPr>
          <w:rFonts w:hint="eastAsia" w:ascii="宋体" w:hAnsi="宋体" w:cs="宋体"/>
          <w:sz w:val="24"/>
          <w:szCs w:val="24"/>
          <w:lang w:eastAsia="zh-CN"/>
        </w:rPr>
        <w:t>永定区</w:t>
      </w:r>
      <w:r>
        <w:rPr>
          <w:rFonts w:hint="eastAsia" w:ascii="宋体" w:hAnsi="宋体" w:cs="宋体"/>
          <w:sz w:val="24"/>
          <w:szCs w:val="24"/>
        </w:rPr>
        <w:t>二手</w:t>
      </w:r>
      <w:r>
        <w:rPr>
          <w:rFonts w:hint="eastAsia" w:ascii="宋体" w:hAnsi="宋体" w:cs="宋体"/>
          <w:sz w:val="24"/>
          <w:szCs w:val="24"/>
          <w:lang w:eastAsia="zh-CN"/>
        </w:rPr>
        <w:t>住</w:t>
      </w:r>
      <w:r>
        <w:rPr>
          <w:rFonts w:hint="eastAsia" w:ascii="宋体" w:hAnsi="宋体" w:cs="宋体"/>
          <w:sz w:val="24"/>
          <w:szCs w:val="24"/>
        </w:rPr>
        <w:t xml:space="preserve">房交易税费表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eastAsia="zh-CN"/>
        </w:rPr>
        <w:t>技表</w:t>
      </w:r>
      <w:r>
        <w:rPr>
          <w:rFonts w:hint="eastAsia" w:ascii="宋体" w:hAnsi="宋体" w:cs="宋体"/>
          <w:sz w:val="24"/>
          <w:szCs w:val="24"/>
          <w:lang w:val="en-US" w:eastAsia="zh-CN"/>
        </w:rPr>
        <w:t>9</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900"/>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税费类型</w:t>
            </w:r>
          </w:p>
        </w:tc>
        <w:tc>
          <w:tcPr>
            <w:tcW w:w="190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税费值</w:t>
            </w:r>
          </w:p>
        </w:tc>
        <w:tc>
          <w:tcPr>
            <w:tcW w:w="560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增值税及附加</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lang w:val="en-US" w:eastAsia="zh-CN"/>
              </w:rPr>
              <w:t>5.33</w:t>
            </w:r>
            <w:r>
              <w:rPr>
                <w:rFonts w:hint="eastAsia" w:ascii="宋体" w:hAnsi="宋体" w:cs="宋体"/>
                <w:color w:val="000000"/>
                <w:szCs w:val="21"/>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个人转让</w:t>
            </w:r>
            <w:r>
              <w:rPr>
                <w:rFonts w:hint="eastAsia" w:ascii="宋体" w:hAnsi="宋体" w:cs="宋体"/>
                <w:color w:val="000000"/>
                <w:szCs w:val="21"/>
                <w:lang w:eastAsia="zh-CN"/>
              </w:rPr>
              <w:t>城镇住宅用地：</w:t>
            </w:r>
            <w:r>
              <w:rPr>
                <w:rFonts w:hint="eastAsia" w:ascii="宋体" w:hAnsi="宋体" w:cs="宋体"/>
                <w:color w:val="000000"/>
                <w:szCs w:val="21"/>
              </w:rPr>
              <w:t>①</w:t>
            </w:r>
            <w:r>
              <w:rPr>
                <w:rFonts w:hint="eastAsia" w:ascii="宋体" w:hAnsi="宋体" w:cs="宋体"/>
                <w:color w:val="000000"/>
                <w:szCs w:val="21"/>
                <w:lang w:eastAsia="zh-CN"/>
              </w:rPr>
              <w:t>提供不动产发票的按差额的</w:t>
            </w:r>
            <w:r>
              <w:rPr>
                <w:rFonts w:hint="eastAsia" w:ascii="宋体" w:hAnsi="宋体" w:cs="宋体"/>
                <w:color w:val="000000"/>
                <w:szCs w:val="21"/>
                <w:lang w:val="en-US" w:eastAsia="zh-CN"/>
              </w:rPr>
              <w:t>5.33%征收</w:t>
            </w:r>
            <w:r>
              <w:rPr>
                <w:rFonts w:hint="eastAsia" w:ascii="宋体" w:hAnsi="宋体" w:cs="宋体"/>
                <w:color w:val="000000"/>
                <w:szCs w:val="21"/>
              </w:rPr>
              <w:t>增值税</w:t>
            </w:r>
            <w:r>
              <w:rPr>
                <w:rFonts w:hint="eastAsia" w:ascii="宋体" w:hAnsi="宋体" w:cs="宋体"/>
                <w:color w:val="000000"/>
                <w:szCs w:val="21"/>
                <w:lang w:eastAsia="zh-CN"/>
              </w:rPr>
              <w:t>及附加</w:t>
            </w:r>
            <w:r>
              <w:rPr>
                <w:rFonts w:hint="eastAsia" w:ascii="宋体" w:hAnsi="宋体" w:cs="宋体"/>
                <w:color w:val="000000"/>
                <w:szCs w:val="21"/>
              </w:rPr>
              <w:t>；②</w:t>
            </w:r>
            <w:r>
              <w:rPr>
                <w:rFonts w:hint="eastAsia" w:ascii="宋体" w:hAnsi="宋体" w:cs="宋体"/>
                <w:color w:val="000000"/>
                <w:szCs w:val="21"/>
                <w:lang w:eastAsia="zh-CN"/>
              </w:rPr>
              <w:t>不提供不动产发票的按全额的</w:t>
            </w:r>
            <w:r>
              <w:rPr>
                <w:rFonts w:hint="eastAsia" w:ascii="宋体" w:hAnsi="宋体" w:cs="宋体"/>
                <w:color w:val="000000"/>
                <w:szCs w:val="21"/>
                <w:lang w:val="en-US" w:eastAsia="zh-CN"/>
              </w:rPr>
              <w:t>5.33%</w:t>
            </w:r>
            <w:r>
              <w:rPr>
                <w:rFonts w:hint="eastAsia" w:ascii="宋体" w:hAnsi="宋体" w:cs="宋体"/>
                <w:color w:val="000000"/>
                <w:szCs w:val="21"/>
                <w:lang w:eastAsia="zh-CN"/>
              </w:rPr>
              <w:t>征收</w:t>
            </w:r>
            <w:r>
              <w:rPr>
                <w:rFonts w:hint="eastAsia" w:ascii="宋体" w:hAnsi="宋体" w:cs="宋体"/>
                <w:color w:val="000000"/>
                <w:szCs w:val="21"/>
              </w:rPr>
              <w:t>增值税</w:t>
            </w:r>
            <w:r>
              <w:rPr>
                <w:rFonts w:hint="eastAsia" w:ascii="宋体" w:hAnsi="宋体" w:cs="宋体"/>
                <w:color w:val="000000"/>
                <w:szCs w:val="21"/>
                <w:lang w:eastAsia="zh-CN"/>
              </w:rPr>
              <w:t>及附加；</w:t>
            </w:r>
            <w:r>
              <w:rPr>
                <w:rFonts w:hint="eastAsia" w:ascii="宋体" w:hAnsi="宋体" w:eastAsia="宋体" w:cs="宋体"/>
                <w:color w:val="000000"/>
                <w:szCs w:val="21"/>
                <w:lang w:eastAsia="zh-CN"/>
              </w:rPr>
              <w:t>③</w:t>
            </w:r>
            <w:r>
              <w:rPr>
                <w:rFonts w:hint="eastAsia" w:ascii="宋体" w:hAnsi="宋体" w:cs="宋体"/>
                <w:color w:val="000000"/>
                <w:szCs w:val="21"/>
                <w:lang w:eastAsia="zh-CN"/>
              </w:rPr>
              <w:t>证满两年免征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个人所得税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lang w:val="en-US" w:eastAsia="zh-CN"/>
              </w:rPr>
              <w:t>3.00</w:t>
            </w:r>
            <w:r>
              <w:rPr>
                <w:rFonts w:hint="eastAsia" w:ascii="宋体" w:hAnsi="宋体" w:cs="宋体"/>
                <w:color w:val="000000"/>
                <w:szCs w:val="21"/>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个人转让</w:t>
            </w:r>
            <w:r>
              <w:rPr>
                <w:rFonts w:hint="eastAsia" w:ascii="宋体" w:hAnsi="宋体" w:cs="宋体"/>
                <w:color w:val="000000"/>
                <w:szCs w:val="21"/>
                <w:lang w:eastAsia="zh-CN"/>
              </w:rPr>
              <w:t>城镇住宅用地：</w:t>
            </w:r>
            <w:r>
              <w:rPr>
                <w:rFonts w:hint="eastAsia" w:ascii="宋体" w:hAnsi="宋体" w:cs="宋体"/>
                <w:color w:val="000000"/>
                <w:szCs w:val="21"/>
              </w:rPr>
              <w:t>①</w:t>
            </w:r>
            <w:r>
              <w:rPr>
                <w:rFonts w:hint="eastAsia" w:ascii="宋体" w:hAnsi="宋体" w:cs="宋体"/>
                <w:color w:val="000000"/>
                <w:szCs w:val="21"/>
                <w:lang w:eastAsia="zh-CN"/>
              </w:rPr>
              <w:t>提供不动产发票的按差额的</w:t>
            </w:r>
            <w:r>
              <w:rPr>
                <w:rFonts w:hint="eastAsia" w:ascii="宋体" w:hAnsi="宋体" w:cs="宋体"/>
                <w:color w:val="000000"/>
                <w:szCs w:val="21"/>
                <w:lang w:val="en-US" w:eastAsia="zh-CN"/>
              </w:rPr>
              <w:t>20%征收</w:t>
            </w:r>
            <w:r>
              <w:rPr>
                <w:rFonts w:hint="eastAsia" w:ascii="宋体" w:hAnsi="宋体" w:cs="宋体"/>
                <w:color w:val="000000"/>
                <w:szCs w:val="21"/>
                <w:lang w:eastAsia="zh-CN"/>
              </w:rPr>
              <w:t>个人所得税</w:t>
            </w:r>
            <w:r>
              <w:rPr>
                <w:rFonts w:hint="eastAsia" w:ascii="宋体" w:hAnsi="宋体" w:cs="宋体"/>
                <w:color w:val="000000"/>
                <w:szCs w:val="21"/>
              </w:rPr>
              <w:t>；②</w:t>
            </w:r>
            <w:r>
              <w:rPr>
                <w:rFonts w:hint="eastAsia" w:ascii="宋体" w:hAnsi="宋体" w:cs="宋体"/>
                <w:color w:val="000000"/>
                <w:szCs w:val="21"/>
                <w:lang w:eastAsia="zh-CN"/>
              </w:rPr>
              <w:t>不提供不动产发票的按全额的</w:t>
            </w:r>
            <w:r>
              <w:rPr>
                <w:rFonts w:hint="eastAsia" w:ascii="宋体" w:hAnsi="宋体" w:cs="宋体"/>
                <w:color w:val="000000"/>
                <w:szCs w:val="21"/>
                <w:lang w:val="en-US" w:eastAsia="zh-CN"/>
              </w:rPr>
              <w:t>1.5%</w:t>
            </w:r>
            <w:r>
              <w:rPr>
                <w:rFonts w:hint="eastAsia" w:ascii="宋体" w:hAnsi="宋体" w:cs="宋体"/>
                <w:color w:val="000000"/>
                <w:szCs w:val="21"/>
                <w:lang w:eastAsia="zh-CN"/>
              </w:rPr>
              <w:t>征收个人所得税；</w:t>
            </w:r>
            <w:r>
              <w:rPr>
                <w:rFonts w:hint="eastAsia" w:ascii="宋体" w:hAnsi="宋体" w:eastAsia="宋体" w:cs="宋体"/>
                <w:color w:val="000000"/>
                <w:szCs w:val="21"/>
                <w:lang w:eastAsia="zh-CN"/>
              </w:rPr>
              <w:t>③证满五年且为唯一生活用房的免征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rPr>
              <w:t>印花税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lang w:val="en-US" w:eastAsia="zh-CN"/>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cs="宋体"/>
                <w:color w:val="000000"/>
                <w:szCs w:val="21"/>
                <w:lang w:eastAsia="zh-CN"/>
              </w:rPr>
              <w:t>住宅免征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lang w:eastAsia="zh-CN"/>
              </w:rPr>
              <w:t>土地增值税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Cs w:val="21"/>
                <w:lang w:val="en-US" w:eastAsia="zh-CN"/>
              </w:rPr>
            </w:pPr>
            <w:r>
              <w:rPr>
                <w:rFonts w:hint="eastAsia" w:ascii="宋体" w:hAnsi="宋体" w:cs="宋体"/>
                <w:szCs w:val="21"/>
                <w:lang w:val="en-US" w:eastAsia="zh-CN"/>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000000"/>
                <w:szCs w:val="21"/>
                <w:lang w:eastAsia="zh-CN"/>
              </w:rPr>
            </w:pPr>
            <w:r>
              <w:rPr>
                <w:rFonts w:hint="eastAsia" w:ascii="宋体" w:hAnsi="宋体" w:cs="宋体"/>
                <w:color w:val="000000"/>
                <w:szCs w:val="21"/>
                <w:lang w:eastAsia="zh-CN"/>
              </w:rPr>
              <w:t>住宅免征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77" w:lineRule="auto"/>
        <w:ind w:right="0" w:rightChars="0"/>
        <w:jc w:val="right"/>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可比实例A、B、C统一税费负担计算表                 技表10</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496"/>
        <w:gridCol w:w="1125"/>
        <w:gridCol w:w="341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77" w:lineRule="auto"/>
              <w:ind w:right="0" w:right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可比实例</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77" w:lineRule="auto"/>
              <w:ind w:right="0" w:right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房屋类型</w:t>
            </w: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77" w:lineRule="auto"/>
              <w:ind w:right="0" w:right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税费承担</w:t>
            </w:r>
          </w:p>
        </w:tc>
        <w:tc>
          <w:tcPr>
            <w:tcW w:w="3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77" w:lineRule="auto"/>
              <w:ind w:right="0" w:right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计算公式</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统一税费负担后的单价（</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可比实例A</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住宅</w:t>
            </w: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卖方实收</w:t>
            </w:r>
          </w:p>
        </w:tc>
        <w:tc>
          <w:tcPr>
            <w:tcW w:w="3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pacing w:val="-2"/>
                <w:sz w:val="21"/>
                <w:szCs w:val="21"/>
                <w:vertAlign w:val="baseline"/>
                <w:lang w:val="en-US" w:eastAsia="zh-CN"/>
              </w:rPr>
            </w:pPr>
            <w:r>
              <w:rPr>
                <w:rFonts w:hint="eastAsia" w:ascii="宋体" w:hAnsi="宋体" w:cs="宋体"/>
                <w:spacing w:val="-2"/>
                <w:sz w:val="21"/>
                <w:szCs w:val="21"/>
                <w:vertAlign w:val="baseline"/>
                <w:lang w:val="en-US" w:eastAsia="zh-CN"/>
              </w:rPr>
              <w:t>4800/（1-6.83%）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可比实例B</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住宅</w:t>
            </w: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卖方实收</w:t>
            </w:r>
          </w:p>
        </w:tc>
        <w:tc>
          <w:tcPr>
            <w:tcW w:w="3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pacing w:val="-2"/>
                <w:sz w:val="21"/>
                <w:szCs w:val="21"/>
                <w:vertAlign w:val="baseline"/>
                <w:lang w:val="en-US" w:eastAsia="zh-CN"/>
              </w:rPr>
            </w:pPr>
            <w:r>
              <w:rPr>
                <w:rFonts w:hint="eastAsia" w:ascii="宋体" w:hAnsi="宋体" w:cs="宋体"/>
                <w:spacing w:val="-2"/>
                <w:sz w:val="21"/>
                <w:szCs w:val="21"/>
                <w:vertAlign w:val="baseline"/>
                <w:lang w:val="en-US" w:eastAsia="zh-CN"/>
              </w:rPr>
              <w:t>5500/（1-6.83%）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可比实例C</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住宅</w:t>
            </w: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卖方实收</w:t>
            </w:r>
          </w:p>
        </w:tc>
        <w:tc>
          <w:tcPr>
            <w:tcW w:w="341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pacing w:val="-2"/>
                <w:sz w:val="21"/>
                <w:szCs w:val="21"/>
                <w:vertAlign w:val="baseline"/>
                <w:lang w:val="en-US" w:eastAsia="zh-CN"/>
              </w:rPr>
            </w:pPr>
            <w:r>
              <w:rPr>
                <w:rFonts w:hint="eastAsia" w:ascii="宋体" w:hAnsi="宋体" w:cs="宋体"/>
                <w:color w:val="000000"/>
                <w:spacing w:val="0"/>
                <w:kern w:val="2"/>
                <w:sz w:val="21"/>
                <w:szCs w:val="21"/>
                <w:vertAlign w:val="baseline"/>
                <w:lang w:val="en-US" w:eastAsia="zh-CN" w:bidi="ar-SA"/>
              </w:rPr>
              <w:t>5380</w:t>
            </w:r>
            <w:r>
              <w:rPr>
                <w:rFonts w:hint="eastAsia" w:ascii="宋体" w:hAnsi="宋体" w:cs="宋体"/>
                <w:spacing w:val="-2"/>
                <w:sz w:val="21"/>
                <w:szCs w:val="21"/>
                <w:vertAlign w:val="baseline"/>
                <w:lang w:val="en-US" w:eastAsia="zh-CN"/>
              </w:rPr>
              <w:t>/（1-6.83%）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5774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sz w:val="21"/>
          <w:szCs w:val="21"/>
          <w:lang w:val="en-US" w:eastAsia="zh-CN"/>
        </w:rPr>
      </w:pPr>
      <w:r>
        <w:rPr>
          <w:rFonts w:hint="eastAsia" w:ascii="宋体" w:hAnsi="宋体" w:cs="宋体"/>
          <w:sz w:val="24"/>
          <w:szCs w:val="24"/>
          <w:lang w:val="en-US" w:eastAsia="zh-CN"/>
        </w:rPr>
        <w:t xml:space="preserve">   </w:t>
      </w:r>
      <w:r>
        <w:rPr>
          <w:rFonts w:hint="eastAsia" w:ascii="宋体" w:hAnsi="宋体" w:cs="宋体"/>
          <w:sz w:val="21"/>
          <w:szCs w:val="21"/>
          <w:lang w:val="en-US" w:eastAsia="zh-CN"/>
        </w:rPr>
        <w:t>注：由于估价人员无法取得相关资料来判定可比实例是否能提供不动产发票、产权证满几年及是否家庭唯一用房，故本次估价假设可比实例在成交时，均按未达免征要求计算。</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6" w:firstLineChars="200"/>
        <w:textAlignment w:val="auto"/>
        <w:outlineLvl w:val="9"/>
        <w:rPr>
          <w:rFonts w:hint="eastAsia" w:ascii="宋体" w:hAnsi="宋体" w:eastAsia="宋体" w:cs="宋体"/>
          <w:bCs/>
          <w:color w:val="000000"/>
          <w:spacing w:val="-1"/>
          <w:sz w:val="24"/>
          <w:szCs w:val="24"/>
          <w:lang w:eastAsia="zh-CN"/>
        </w:rPr>
      </w:pPr>
      <w:r>
        <w:rPr>
          <w:rFonts w:hint="eastAsia" w:ascii="宋体" w:hAnsi="宋体" w:eastAsia="宋体" w:cs="宋体"/>
          <w:bCs/>
          <w:color w:val="000000"/>
          <w:spacing w:val="-1"/>
          <w:sz w:val="24"/>
          <w:szCs w:val="24"/>
        </w:rPr>
        <w:t>（2）统一财产范围：主要指含有非房地产成分，带有债权债务的房地产。</w:t>
      </w:r>
      <w:r>
        <w:rPr>
          <w:rFonts w:hint="eastAsia" w:ascii="宋体" w:hAnsi="宋体" w:eastAsia="宋体" w:cs="宋体"/>
          <w:bCs/>
          <w:color w:val="000000"/>
          <w:spacing w:val="-1"/>
          <w:sz w:val="24"/>
          <w:szCs w:val="24"/>
          <w:lang w:eastAsia="zh-CN"/>
        </w:rPr>
        <w:t>估价对象室内为</w:t>
      </w:r>
      <w:r>
        <w:rPr>
          <w:rFonts w:hint="eastAsia" w:ascii="宋体" w:hAnsi="宋体" w:cs="宋体"/>
          <w:bCs/>
          <w:color w:val="000000"/>
          <w:spacing w:val="-1"/>
          <w:sz w:val="24"/>
          <w:szCs w:val="24"/>
          <w:lang w:val="en-US" w:eastAsia="zh-CN"/>
        </w:rPr>
        <w:t>简单</w:t>
      </w:r>
      <w:r>
        <w:rPr>
          <w:rFonts w:hint="eastAsia" w:ascii="宋体" w:hAnsi="宋体" w:eastAsia="宋体" w:cs="宋体"/>
          <w:bCs/>
          <w:color w:val="000000"/>
          <w:spacing w:val="-1"/>
          <w:sz w:val="24"/>
          <w:szCs w:val="24"/>
          <w:lang w:eastAsia="zh-CN"/>
        </w:rPr>
        <w:t>装修，</w:t>
      </w:r>
      <w:r>
        <w:rPr>
          <w:rFonts w:hint="eastAsia" w:ascii="宋体" w:hAnsi="宋体" w:eastAsia="宋体" w:cs="宋体"/>
          <w:bCs/>
          <w:color w:val="000000"/>
          <w:spacing w:val="-1"/>
          <w:sz w:val="24"/>
          <w:szCs w:val="24"/>
        </w:rPr>
        <w:t>可比实例A</w:t>
      </w:r>
      <w:r>
        <w:rPr>
          <w:rFonts w:hint="eastAsia" w:ascii="宋体" w:hAnsi="宋体" w:eastAsia="宋体" w:cs="宋体"/>
          <w:bCs/>
          <w:color w:val="000000"/>
          <w:spacing w:val="-1"/>
          <w:sz w:val="24"/>
          <w:szCs w:val="24"/>
          <w:lang w:val="en-US" w:eastAsia="zh-CN"/>
        </w:rPr>
        <w:t>为</w:t>
      </w:r>
      <w:r>
        <w:rPr>
          <w:rFonts w:hint="eastAsia" w:ascii="宋体" w:hAnsi="宋体" w:cs="宋体"/>
          <w:bCs/>
          <w:color w:val="000000"/>
          <w:spacing w:val="-1"/>
          <w:sz w:val="24"/>
          <w:szCs w:val="24"/>
          <w:lang w:val="en-US" w:eastAsia="zh-CN"/>
        </w:rPr>
        <w:t>普通</w:t>
      </w:r>
      <w:r>
        <w:rPr>
          <w:rFonts w:hint="eastAsia" w:ascii="宋体" w:hAnsi="宋体" w:eastAsia="宋体" w:cs="宋体"/>
          <w:bCs/>
          <w:color w:val="000000"/>
          <w:spacing w:val="-1"/>
          <w:sz w:val="24"/>
          <w:szCs w:val="24"/>
          <w:lang w:val="en-US" w:eastAsia="zh-CN"/>
        </w:rPr>
        <w:t>装修</w:t>
      </w:r>
      <w:r>
        <w:rPr>
          <w:rFonts w:hint="eastAsia" w:ascii="宋体" w:hAnsi="宋体" w:cs="宋体"/>
          <w:bCs/>
          <w:color w:val="000000"/>
          <w:spacing w:val="-1"/>
          <w:sz w:val="24"/>
          <w:szCs w:val="24"/>
          <w:lang w:val="en-US" w:eastAsia="zh-CN"/>
        </w:rPr>
        <w:t>，</w:t>
      </w:r>
      <w:r>
        <w:rPr>
          <w:rFonts w:hint="eastAsia" w:ascii="宋体" w:hAnsi="宋体" w:eastAsia="宋体" w:cs="宋体"/>
          <w:bCs/>
          <w:color w:val="000000"/>
          <w:spacing w:val="-1"/>
          <w:sz w:val="24"/>
          <w:szCs w:val="24"/>
        </w:rPr>
        <w:t>可比实例</w:t>
      </w:r>
      <w:r>
        <w:rPr>
          <w:rFonts w:hint="eastAsia" w:ascii="宋体" w:hAnsi="宋体" w:eastAsia="宋体" w:cs="宋体"/>
          <w:bCs/>
          <w:color w:val="000000"/>
          <w:spacing w:val="-1"/>
          <w:sz w:val="24"/>
          <w:szCs w:val="24"/>
          <w:lang w:val="en-US" w:eastAsia="zh-CN"/>
        </w:rPr>
        <w:t>B、C室内均为</w:t>
      </w:r>
      <w:r>
        <w:rPr>
          <w:rFonts w:hint="eastAsia" w:ascii="宋体" w:hAnsi="宋体" w:cs="宋体"/>
          <w:bCs/>
          <w:color w:val="000000"/>
          <w:spacing w:val="-1"/>
          <w:sz w:val="24"/>
          <w:szCs w:val="24"/>
          <w:lang w:val="en-US" w:eastAsia="zh-CN"/>
        </w:rPr>
        <w:t>中档</w:t>
      </w:r>
      <w:r>
        <w:rPr>
          <w:rFonts w:hint="eastAsia" w:ascii="宋体" w:hAnsi="宋体" w:eastAsia="宋体" w:cs="宋体"/>
          <w:bCs/>
          <w:color w:val="000000"/>
          <w:spacing w:val="-1"/>
          <w:sz w:val="24"/>
          <w:szCs w:val="24"/>
          <w:lang w:val="en-US" w:eastAsia="zh-CN"/>
        </w:rPr>
        <w:t>装修</w:t>
      </w:r>
      <w:r>
        <w:rPr>
          <w:rFonts w:hint="eastAsia" w:ascii="宋体" w:hAnsi="宋体" w:eastAsia="宋体" w:cs="宋体"/>
          <w:bCs/>
          <w:color w:val="000000"/>
          <w:spacing w:val="-1"/>
          <w:sz w:val="24"/>
          <w:szCs w:val="24"/>
          <w:lang w:eastAsia="zh-CN"/>
        </w:rPr>
        <w:t>，故</w:t>
      </w:r>
      <w:r>
        <w:rPr>
          <w:rFonts w:hint="eastAsia" w:ascii="宋体" w:hAnsi="宋体" w:eastAsia="宋体" w:cs="宋体"/>
          <w:bCs/>
          <w:color w:val="000000"/>
          <w:spacing w:val="-1"/>
          <w:sz w:val="24"/>
          <w:szCs w:val="24"/>
        </w:rPr>
        <w:t>可比实例</w:t>
      </w:r>
      <w:r>
        <w:rPr>
          <w:rFonts w:hint="eastAsia" w:ascii="宋体" w:hAnsi="宋体" w:eastAsia="宋体" w:cs="宋体"/>
          <w:bCs/>
          <w:color w:val="000000"/>
          <w:spacing w:val="-1"/>
          <w:sz w:val="24"/>
          <w:szCs w:val="24"/>
          <w:lang w:val="en-US" w:eastAsia="zh-CN"/>
        </w:rPr>
        <w:t>A、</w:t>
      </w:r>
      <w:r>
        <w:rPr>
          <w:rFonts w:hint="eastAsia" w:ascii="宋体" w:hAnsi="宋体" w:cs="宋体"/>
          <w:bCs/>
          <w:color w:val="000000"/>
          <w:spacing w:val="-1"/>
          <w:sz w:val="24"/>
          <w:szCs w:val="24"/>
          <w:lang w:val="en-US" w:eastAsia="zh-CN"/>
        </w:rPr>
        <w:t>B、</w:t>
      </w:r>
      <w:r>
        <w:rPr>
          <w:rFonts w:hint="eastAsia" w:ascii="宋体" w:hAnsi="宋体" w:eastAsia="宋体" w:cs="宋体"/>
          <w:bCs/>
          <w:color w:val="000000"/>
          <w:spacing w:val="-1"/>
          <w:sz w:val="24"/>
          <w:szCs w:val="24"/>
          <w:lang w:val="en-US" w:eastAsia="zh-CN"/>
        </w:rPr>
        <w:t>C</w:t>
      </w:r>
      <w:r>
        <w:rPr>
          <w:rFonts w:hint="eastAsia" w:ascii="宋体" w:hAnsi="宋体" w:eastAsia="宋体" w:cs="宋体"/>
          <w:bCs/>
          <w:color w:val="000000"/>
          <w:spacing w:val="-1"/>
          <w:sz w:val="24"/>
          <w:szCs w:val="24"/>
          <w:lang w:eastAsia="zh-CN"/>
        </w:rPr>
        <w:t>需做调整。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6" w:firstLineChars="200"/>
        <w:textAlignment w:val="auto"/>
        <w:outlineLvl w:val="9"/>
        <w:rPr>
          <w:rFonts w:hint="eastAsia" w:ascii="宋体" w:hAnsi="宋体" w:eastAsia="宋体" w:cs="宋体"/>
          <w:bCs/>
          <w:color w:val="000000"/>
          <w:spacing w:val="-1"/>
          <w:sz w:val="24"/>
          <w:szCs w:val="24"/>
          <w:lang w:eastAsia="zh-CN"/>
        </w:rPr>
      </w:pPr>
      <w:r>
        <w:rPr>
          <w:rFonts w:hint="eastAsia" w:ascii="宋体" w:hAnsi="宋体" w:eastAsia="宋体" w:cs="宋体"/>
          <w:bCs/>
          <w:color w:val="auto"/>
          <w:spacing w:val="-1"/>
          <w:sz w:val="24"/>
          <w:szCs w:val="24"/>
          <w:lang w:eastAsia="zh-CN"/>
        </w:rPr>
        <w:t>经分析，室内二次装修价值考虑折旧后（包括物质与功能折旧），简单装修按</w:t>
      </w:r>
      <w:r>
        <w:rPr>
          <w:rFonts w:hint="eastAsia" w:ascii="宋体" w:hAnsi="宋体" w:cs="宋体"/>
          <w:bCs/>
          <w:color w:val="auto"/>
          <w:spacing w:val="-1"/>
          <w:sz w:val="24"/>
          <w:szCs w:val="24"/>
          <w:lang w:val="en-US" w:eastAsia="zh-CN"/>
        </w:rPr>
        <w:t>6</w:t>
      </w:r>
      <w:r>
        <w:rPr>
          <w:rFonts w:hint="eastAsia" w:ascii="宋体" w:hAnsi="宋体" w:eastAsia="宋体" w:cs="宋体"/>
          <w:bCs/>
          <w:color w:val="auto"/>
          <w:spacing w:val="-1"/>
          <w:sz w:val="24"/>
          <w:szCs w:val="24"/>
          <w:lang w:val="en-US" w:eastAsia="zh-CN"/>
        </w:rPr>
        <w:t>00元/</w:t>
      </w:r>
      <w:r>
        <w:rPr>
          <w:rFonts w:hint="eastAsia" w:ascii="宋体" w:hAnsi="宋体" w:cs="宋体"/>
          <w:color w:val="auto"/>
          <w:sz w:val="24"/>
          <w:szCs w:val="24"/>
        </w:rPr>
        <w:t>m</w:t>
      </w:r>
      <w:r>
        <w:rPr>
          <w:rFonts w:hint="eastAsia" w:ascii="宋体" w:hAnsi="宋体" w:cs="宋体"/>
          <w:color w:val="auto"/>
          <w:sz w:val="24"/>
          <w:szCs w:val="24"/>
          <w:vertAlign w:val="superscript"/>
        </w:rPr>
        <w:t>2</w:t>
      </w:r>
      <w:r>
        <w:rPr>
          <w:rFonts w:hint="eastAsia" w:ascii="宋体" w:hAnsi="宋体" w:eastAsia="宋体" w:cs="宋体"/>
          <w:bCs/>
          <w:color w:val="auto"/>
          <w:spacing w:val="-1"/>
          <w:sz w:val="24"/>
          <w:szCs w:val="24"/>
          <w:lang w:eastAsia="zh-CN"/>
        </w:rPr>
        <w:t>计取，普通装修按</w:t>
      </w:r>
      <w:r>
        <w:rPr>
          <w:rFonts w:hint="eastAsia" w:ascii="宋体" w:hAnsi="宋体" w:eastAsia="宋体" w:cs="宋体"/>
          <w:bCs/>
          <w:color w:val="auto"/>
          <w:spacing w:val="-1"/>
          <w:sz w:val="24"/>
          <w:szCs w:val="24"/>
          <w:lang w:val="en-US" w:eastAsia="zh-CN"/>
        </w:rPr>
        <w:t>1000元/</w:t>
      </w:r>
      <w:r>
        <w:rPr>
          <w:rFonts w:hint="eastAsia" w:ascii="宋体" w:hAnsi="宋体" w:cs="宋体"/>
          <w:color w:val="auto"/>
          <w:sz w:val="24"/>
          <w:szCs w:val="24"/>
        </w:rPr>
        <w:t>m</w:t>
      </w:r>
      <w:r>
        <w:rPr>
          <w:rFonts w:hint="eastAsia" w:ascii="宋体" w:hAnsi="宋体" w:cs="宋体"/>
          <w:color w:val="auto"/>
          <w:sz w:val="24"/>
          <w:szCs w:val="24"/>
          <w:vertAlign w:val="superscript"/>
        </w:rPr>
        <w:t>2</w:t>
      </w:r>
      <w:r>
        <w:rPr>
          <w:rFonts w:hint="eastAsia" w:ascii="宋体" w:hAnsi="宋体" w:eastAsia="宋体" w:cs="宋体"/>
          <w:bCs/>
          <w:color w:val="auto"/>
          <w:spacing w:val="-1"/>
          <w:sz w:val="24"/>
          <w:szCs w:val="24"/>
          <w:lang w:eastAsia="zh-CN"/>
        </w:rPr>
        <w:t>计取，中档装修按</w:t>
      </w:r>
      <w:r>
        <w:rPr>
          <w:rFonts w:hint="eastAsia" w:ascii="宋体" w:hAnsi="宋体" w:eastAsia="宋体" w:cs="宋体"/>
          <w:bCs/>
          <w:color w:val="auto"/>
          <w:spacing w:val="-1"/>
          <w:sz w:val="24"/>
          <w:szCs w:val="24"/>
          <w:lang w:val="en-US" w:eastAsia="zh-CN"/>
        </w:rPr>
        <w:t>1</w:t>
      </w:r>
      <w:r>
        <w:rPr>
          <w:rFonts w:hint="eastAsia" w:ascii="宋体" w:hAnsi="宋体" w:cs="宋体"/>
          <w:bCs/>
          <w:color w:val="auto"/>
          <w:spacing w:val="-1"/>
          <w:sz w:val="24"/>
          <w:szCs w:val="24"/>
          <w:lang w:val="en-US" w:eastAsia="zh-CN"/>
        </w:rPr>
        <w:t>6</w:t>
      </w:r>
      <w:r>
        <w:rPr>
          <w:rFonts w:hint="eastAsia" w:ascii="宋体" w:hAnsi="宋体" w:eastAsia="宋体" w:cs="宋体"/>
          <w:bCs/>
          <w:color w:val="auto"/>
          <w:spacing w:val="-1"/>
          <w:sz w:val="24"/>
          <w:szCs w:val="24"/>
          <w:lang w:val="en-US" w:eastAsia="zh-CN"/>
        </w:rPr>
        <w:t>00元/</w:t>
      </w:r>
      <w:r>
        <w:rPr>
          <w:rFonts w:hint="eastAsia" w:ascii="宋体" w:hAnsi="宋体" w:cs="宋体"/>
          <w:color w:val="auto"/>
          <w:sz w:val="24"/>
          <w:szCs w:val="24"/>
        </w:rPr>
        <w:t>m</w:t>
      </w:r>
      <w:r>
        <w:rPr>
          <w:rFonts w:hint="eastAsia" w:ascii="宋体" w:hAnsi="宋体" w:cs="宋体"/>
          <w:color w:val="auto"/>
          <w:sz w:val="24"/>
          <w:szCs w:val="24"/>
          <w:vertAlign w:val="superscript"/>
        </w:rPr>
        <w:t>2</w:t>
      </w:r>
      <w:r>
        <w:rPr>
          <w:rFonts w:hint="eastAsia" w:ascii="宋体" w:hAnsi="宋体" w:eastAsia="宋体" w:cs="宋体"/>
          <w:bCs/>
          <w:color w:val="auto"/>
          <w:spacing w:val="-1"/>
          <w:sz w:val="24"/>
          <w:szCs w:val="24"/>
          <w:lang w:eastAsia="zh-CN"/>
        </w:rPr>
        <w:t>计取，中高档装修按</w:t>
      </w:r>
      <w:r>
        <w:rPr>
          <w:rFonts w:hint="eastAsia" w:ascii="宋体" w:hAnsi="宋体" w:eastAsia="宋体" w:cs="宋体"/>
          <w:bCs/>
          <w:color w:val="auto"/>
          <w:spacing w:val="-1"/>
          <w:sz w:val="24"/>
          <w:szCs w:val="24"/>
          <w:lang w:val="en-US" w:eastAsia="zh-CN"/>
        </w:rPr>
        <w:t>2000元/</w:t>
      </w:r>
      <w:r>
        <w:rPr>
          <w:rFonts w:hint="eastAsia" w:ascii="宋体" w:hAnsi="宋体" w:cs="宋体"/>
          <w:color w:val="auto"/>
          <w:sz w:val="24"/>
          <w:szCs w:val="24"/>
        </w:rPr>
        <w:t>m</w:t>
      </w:r>
      <w:r>
        <w:rPr>
          <w:rFonts w:hint="eastAsia" w:ascii="宋体" w:hAnsi="宋体" w:cs="宋体"/>
          <w:color w:val="auto"/>
          <w:sz w:val="24"/>
          <w:szCs w:val="24"/>
          <w:vertAlign w:val="superscript"/>
        </w:rPr>
        <w:t>2</w:t>
      </w:r>
      <w:r>
        <w:rPr>
          <w:rFonts w:hint="eastAsia" w:ascii="宋体" w:hAnsi="宋体" w:eastAsia="宋体" w:cs="宋体"/>
          <w:bCs/>
          <w:color w:val="auto"/>
          <w:spacing w:val="-1"/>
          <w:sz w:val="24"/>
          <w:szCs w:val="24"/>
          <w:lang w:eastAsia="zh-CN"/>
        </w:rPr>
        <w:t>计取，</w:t>
      </w:r>
      <w:r>
        <w:rPr>
          <w:rFonts w:hint="eastAsia" w:ascii="宋体" w:hAnsi="宋体" w:eastAsia="宋体" w:cs="宋体"/>
          <w:bCs/>
          <w:color w:val="000000"/>
          <w:spacing w:val="-1"/>
          <w:sz w:val="24"/>
          <w:szCs w:val="24"/>
          <w:lang w:eastAsia="zh-CN"/>
        </w:rPr>
        <w:t>则各可比实例统一财产范围后的单价为：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6" w:firstLineChars="200"/>
        <w:textAlignment w:val="auto"/>
        <w:outlineLvl w:val="9"/>
        <w:rPr>
          <w:rFonts w:hint="default" w:ascii="宋体" w:hAnsi="宋体" w:eastAsia="宋体" w:cs="宋体"/>
          <w:bCs/>
          <w:color w:val="000000"/>
          <w:spacing w:val="-1"/>
          <w:sz w:val="24"/>
          <w:szCs w:val="24"/>
          <w:lang w:val="en-US" w:eastAsia="zh-CN"/>
        </w:rPr>
      </w:pPr>
      <w:r>
        <w:rPr>
          <w:rFonts w:hint="eastAsia" w:ascii="宋体" w:hAnsi="宋体" w:eastAsia="宋体" w:cs="宋体"/>
          <w:bCs/>
          <w:color w:val="000000"/>
          <w:spacing w:val="-1"/>
          <w:sz w:val="24"/>
          <w:szCs w:val="24"/>
          <w:lang w:eastAsia="zh-CN"/>
        </w:rPr>
        <w:t>可比实例</w:t>
      </w:r>
      <w:r>
        <w:rPr>
          <w:rFonts w:hint="eastAsia" w:ascii="宋体" w:hAnsi="宋体" w:eastAsia="宋体" w:cs="宋体"/>
          <w:bCs/>
          <w:color w:val="000000"/>
          <w:spacing w:val="-1"/>
          <w:sz w:val="24"/>
          <w:szCs w:val="24"/>
          <w:lang w:val="en-US" w:eastAsia="zh-CN"/>
        </w:rPr>
        <w:t>A为：</w:t>
      </w:r>
      <w:r>
        <w:rPr>
          <w:rFonts w:hint="eastAsia" w:ascii="宋体" w:hAnsi="宋体" w:cs="宋体"/>
          <w:bCs/>
          <w:color w:val="000000"/>
          <w:spacing w:val="-1"/>
          <w:sz w:val="24"/>
          <w:szCs w:val="24"/>
          <w:lang w:val="en-US" w:eastAsia="zh-CN"/>
        </w:rPr>
        <w:t>5152</w:t>
      </w:r>
      <w:r>
        <w:rPr>
          <w:rFonts w:hint="eastAsia" w:ascii="宋体" w:hAnsi="宋体" w:eastAsia="宋体" w:cs="宋体"/>
          <w:bCs/>
          <w:color w:val="000000"/>
          <w:spacing w:val="-1"/>
          <w:sz w:val="24"/>
          <w:szCs w:val="24"/>
          <w:lang w:val="en-US" w:eastAsia="zh-CN"/>
        </w:rPr>
        <w:t>-</w:t>
      </w:r>
      <w:r>
        <w:rPr>
          <w:rFonts w:hint="eastAsia" w:ascii="宋体" w:hAnsi="宋体" w:cs="宋体"/>
          <w:bCs/>
          <w:color w:val="000000"/>
          <w:spacing w:val="-1"/>
          <w:sz w:val="24"/>
          <w:szCs w:val="24"/>
          <w:lang w:val="en-US" w:eastAsia="zh-CN"/>
        </w:rPr>
        <w:t>(1</w:t>
      </w:r>
      <w:r>
        <w:rPr>
          <w:rFonts w:hint="eastAsia" w:ascii="宋体" w:hAnsi="宋体" w:eastAsia="宋体" w:cs="宋体"/>
          <w:bCs/>
          <w:color w:val="000000"/>
          <w:spacing w:val="-1"/>
          <w:sz w:val="24"/>
          <w:szCs w:val="24"/>
          <w:lang w:val="en-US" w:eastAsia="zh-CN"/>
        </w:rPr>
        <w:t>00</w:t>
      </w:r>
      <w:r>
        <w:rPr>
          <w:rFonts w:hint="eastAsia" w:ascii="宋体" w:hAnsi="宋体" w:cs="宋体"/>
          <w:bCs/>
          <w:color w:val="000000"/>
          <w:spacing w:val="-1"/>
          <w:sz w:val="24"/>
          <w:szCs w:val="24"/>
          <w:lang w:val="en-US" w:eastAsia="zh-CN"/>
        </w:rPr>
        <w:t>0-600)</w:t>
      </w:r>
      <w:r>
        <w:rPr>
          <w:rFonts w:hint="eastAsia" w:ascii="宋体" w:hAnsi="宋体" w:eastAsia="宋体" w:cs="宋体"/>
          <w:bCs/>
          <w:color w:val="000000"/>
          <w:spacing w:val="-1"/>
          <w:sz w:val="24"/>
          <w:szCs w:val="24"/>
          <w:lang w:val="en-US" w:eastAsia="zh-CN"/>
        </w:rPr>
        <w:t>=</w:t>
      </w:r>
      <w:r>
        <w:rPr>
          <w:rFonts w:hint="eastAsia" w:ascii="宋体" w:hAnsi="宋体" w:cs="宋体"/>
          <w:bCs/>
          <w:color w:val="000000"/>
          <w:spacing w:val="-1"/>
          <w:sz w:val="24"/>
          <w:szCs w:val="24"/>
          <w:lang w:val="en-US" w:eastAsia="zh-CN"/>
        </w:rPr>
        <w:t>4752</w:t>
      </w:r>
      <w:r>
        <w:rPr>
          <w:rFonts w:hint="eastAsia" w:ascii="宋体" w:hAnsi="宋体" w:eastAsia="宋体" w:cs="宋体"/>
          <w:bCs/>
          <w:color w:val="000000"/>
          <w:spacing w:val="-1"/>
          <w:sz w:val="24"/>
          <w:szCs w:val="24"/>
          <w:lang w:val="en-US" w:eastAsia="zh-CN"/>
        </w:rPr>
        <w:t>元/</w:t>
      </w:r>
      <w:r>
        <w:rPr>
          <w:rFonts w:hint="eastAsia" w:ascii="宋体" w:hAnsi="宋体" w:cs="宋体"/>
          <w:sz w:val="24"/>
          <w:szCs w:val="24"/>
        </w:rPr>
        <w:t>m</w:t>
      </w:r>
      <w:r>
        <w:rPr>
          <w:rFonts w:hint="eastAsia" w:ascii="宋体" w:hAnsi="宋体" w:cs="宋体"/>
          <w:sz w:val="24"/>
          <w:szCs w:val="24"/>
          <w:vertAlign w:val="superscript"/>
        </w:rPr>
        <w:t>2</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Cs/>
          <w:color w:val="000000"/>
          <w:spacing w:val="-1"/>
          <w:sz w:val="24"/>
          <w:szCs w:val="24"/>
        </w:rPr>
      </w:pPr>
      <w:r>
        <w:rPr>
          <w:rFonts w:hint="eastAsia" w:ascii="宋体" w:hAnsi="宋体" w:eastAsia="宋体" w:cs="宋体"/>
          <w:bCs/>
          <w:color w:val="000000"/>
          <w:spacing w:val="-1"/>
          <w:sz w:val="24"/>
          <w:szCs w:val="24"/>
        </w:rPr>
        <w:t xml:space="preserve">    </w:t>
      </w:r>
      <w:r>
        <w:rPr>
          <w:rFonts w:hint="eastAsia" w:ascii="宋体" w:hAnsi="宋体" w:eastAsia="宋体" w:cs="宋体"/>
          <w:bCs/>
          <w:color w:val="000000"/>
          <w:spacing w:val="-1"/>
          <w:sz w:val="24"/>
          <w:szCs w:val="24"/>
          <w:lang w:eastAsia="zh-CN"/>
        </w:rPr>
        <w:t>可比实例</w:t>
      </w:r>
      <w:r>
        <w:rPr>
          <w:rFonts w:hint="eastAsia" w:ascii="宋体" w:hAnsi="宋体" w:eastAsia="宋体" w:cs="宋体"/>
          <w:bCs/>
          <w:color w:val="000000"/>
          <w:spacing w:val="-1"/>
          <w:sz w:val="24"/>
          <w:szCs w:val="24"/>
          <w:lang w:val="en-US" w:eastAsia="zh-CN"/>
        </w:rPr>
        <w:t>B为：</w:t>
      </w:r>
      <w:r>
        <w:rPr>
          <w:rFonts w:hint="eastAsia" w:ascii="宋体" w:hAnsi="宋体" w:cs="宋体"/>
          <w:bCs/>
          <w:color w:val="000000"/>
          <w:spacing w:val="-1"/>
          <w:sz w:val="24"/>
          <w:szCs w:val="24"/>
          <w:lang w:val="en-US" w:eastAsia="zh-CN"/>
        </w:rPr>
        <w:t>5903</w:t>
      </w:r>
      <w:r>
        <w:rPr>
          <w:rFonts w:hint="eastAsia" w:ascii="宋体" w:hAnsi="宋体" w:eastAsia="宋体" w:cs="宋体"/>
          <w:bCs/>
          <w:color w:val="000000"/>
          <w:spacing w:val="-1"/>
          <w:sz w:val="24"/>
          <w:szCs w:val="24"/>
          <w:lang w:val="en-US" w:eastAsia="zh-CN"/>
        </w:rPr>
        <w:t>-</w:t>
      </w:r>
      <w:r>
        <w:rPr>
          <w:rFonts w:hint="eastAsia" w:ascii="宋体" w:hAnsi="宋体" w:cs="宋体"/>
          <w:bCs/>
          <w:color w:val="000000"/>
          <w:spacing w:val="-1"/>
          <w:sz w:val="24"/>
          <w:szCs w:val="24"/>
          <w:lang w:val="en-US" w:eastAsia="zh-CN"/>
        </w:rPr>
        <w:t>(16</w:t>
      </w:r>
      <w:r>
        <w:rPr>
          <w:rFonts w:hint="eastAsia" w:ascii="宋体" w:hAnsi="宋体" w:eastAsia="宋体" w:cs="宋体"/>
          <w:bCs/>
          <w:color w:val="000000"/>
          <w:spacing w:val="-1"/>
          <w:sz w:val="24"/>
          <w:szCs w:val="24"/>
          <w:lang w:val="en-US" w:eastAsia="zh-CN"/>
        </w:rPr>
        <w:t>0</w:t>
      </w:r>
      <w:r>
        <w:rPr>
          <w:rFonts w:hint="eastAsia" w:ascii="宋体" w:hAnsi="宋体" w:cs="宋体"/>
          <w:bCs/>
          <w:color w:val="000000"/>
          <w:spacing w:val="-1"/>
          <w:sz w:val="24"/>
          <w:szCs w:val="24"/>
          <w:lang w:val="en-US" w:eastAsia="zh-CN"/>
        </w:rPr>
        <w:t>0-600)</w:t>
      </w:r>
      <w:r>
        <w:rPr>
          <w:rFonts w:hint="eastAsia" w:ascii="宋体" w:hAnsi="宋体" w:eastAsia="宋体" w:cs="宋体"/>
          <w:bCs/>
          <w:color w:val="000000"/>
          <w:spacing w:val="-1"/>
          <w:sz w:val="24"/>
          <w:szCs w:val="24"/>
          <w:lang w:val="en-US" w:eastAsia="zh-CN"/>
        </w:rPr>
        <w:t>=</w:t>
      </w:r>
      <w:r>
        <w:rPr>
          <w:rFonts w:hint="eastAsia" w:ascii="宋体" w:hAnsi="宋体" w:cs="宋体"/>
          <w:bCs/>
          <w:color w:val="000000"/>
          <w:spacing w:val="-1"/>
          <w:sz w:val="24"/>
          <w:szCs w:val="24"/>
          <w:lang w:val="en-US" w:eastAsia="zh-CN"/>
        </w:rPr>
        <w:t>4903</w:t>
      </w:r>
      <w:r>
        <w:rPr>
          <w:rFonts w:hint="eastAsia" w:ascii="宋体" w:hAnsi="宋体" w:eastAsia="宋体" w:cs="宋体"/>
          <w:bCs/>
          <w:color w:val="000000"/>
          <w:spacing w:val="-1"/>
          <w:sz w:val="24"/>
          <w:szCs w:val="24"/>
          <w:lang w:val="en-US" w:eastAsia="zh-CN"/>
        </w:rPr>
        <w:t>元/</w:t>
      </w:r>
      <w:r>
        <w:rPr>
          <w:rFonts w:hint="eastAsia" w:ascii="宋体" w:hAnsi="宋体" w:cs="宋体"/>
          <w:sz w:val="24"/>
          <w:szCs w:val="24"/>
        </w:rPr>
        <w:t>m</w:t>
      </w:r>
      <w:r>
        <w:rPr>
          <w:rFonts w:hint="eastAsia" w:ascii="宋体" w:hAnsi="宋体" w:cs="宋体"/>
          <w:sz w:val="24"/>
          <w:szCs w:val="24"/>
          <w:vertAlign w:val="superscript"/>
        </w:rPr>
        <w:t>2</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6" w:firstLineChars="200"/>
        <w:textAlignment w:val="auto"/>
        <w:outlineLvl w:val="9"/>
        <w:rPr>
          <w:rFonts w:hint="eastAsia" w:ascii="宋体" w:hAnsi="宋体" w:eastAsia="宋体" w:cs="宋体"/>
          <w:bCs/>
          <w:color w:val="000000"/>
          <w:spacing w:val="-1"/>
          <w:sz w:val="24"/>
          <w:szCs w:val="24"/>
        </w:rPr>
      </w:pPr>
      <w:r>
        <w:rPr>
          <w:rFonts w:hint="eastAsia" w:ascii="宋体" w:hAnsi="宋体" w:eastAsia="宋体" w:cs="宋体"/>
          <w:bCs/>
          <w:color w:val="000000"/>
          <w:spacing w:val="-1"/>
          <w:sz w:val="24"/>
          <w:szCs w:val="24"/>
          <w:lang w:eastAsia="zh-CN"/>
        </w:rPr>
        <w:t>可比实例</w:t>
      </w:r>
      <w:r>
        <w:rPr>
          <w:rFonts w:hint="eastAsia" w:ascii="宋体" w:hAnsi="宋体" w:eastAsia="宋体" w:cs="宋体"/>
          <w:bCs/>
          <w:color w:val="000000"/>
          <w:spacing w:val="-1"/>
          <w:sz w:val="24"/>
          <w:szCs w:val="24"/>
          <w:lang w:val="en-US" w:eastAsia="zh-CN"/>
        </w:rPr>
        <w:t>C为：</w:t>
      </w:r>
      <w:r>
        <w:rPr>
          <w:rFonts w:hint="eastAsia" w:ascii="宋体" w:hAnsi="宋体" w:cs="宋体"/>
          <w:bCs/>
          <w:color w:val="000000"/>
          <w:spacing w:val="-1"/>
          <w:sz w:val="24"/>
          <w:szCs w:val="24"/>
          <w:lang w:val="en-US" w:eastAsia="zh-CN"/>
        </w:rPr>
        <w:t>5774</w:t>
      </w:r>
      <w:r>
        <w:rPr>
          <w:rFonts w:hint="eastAsia" w:ascii="宋体" w:hAnsi="宋体" w:eastAsia="宋体" w:cs="宋体"/>
          <w:bCs/>
          <w:color w:val="000000"/>
          <w:spacing w:val="-1"/>
          <w:sz w:val="24"/>
          <w:szCs w:val="24"/>
          <w:lang w:val="en-US" w:eastAsia="zh-CN"/>
        </w:rPr>
        <w:t>-</w:t>
      </w:r>
      <w:r>
        <w:rPr>
          <w:rFonts w:hint="eastAsia" w:ascii="宋体" w:hAnsi="宋体" w:cs="宋体"/>
          <w:bCs/>
          <w:color w:val="000000"/>
          <w:spacing w:val="-1"/>
          <w:sz w:val="24"/>
          <w:szCs w:val="24"/>
          <w:lang w:val="en-US" w:eastAsia="zh-CN"/>
        </w:rPr>
        <w:t>(16</w:t>
      </w:r>
      <w:r>
        <w:rPr>
          <w:rFonts w:hint="eastAsia" w:ascii="宋体" w:hAnsi="宋体" w:eastAsia="宋体" w:cs="宋体"/>
          <w:bCs/>
          <w:color w:val="000000"/>
          <w:spacing w:val="-1"/>
          <w:sz w:val="24"/>
          <w:szCs w:val="24"/>
          <w:lang w:val="en-US" w:eastAsia="zh-CN"/>
        </w:rPr>
        <w:t>00</w:t>
      </w:r>
      <w:r>
        <w:rPr>
          <w:rFonts w:hint="eastAsia" w:ascii="宋体" w:hAnsi="宋体" w:cs="宋体"/>
          <w:bCs/>
          <w:color w:val="000000"/>
          <w:spacing w:val="-1"/>
          <w:sz w:val="24"/>
          <w:szCs w:val="24"/>
          <w:lang w:val="en-US" w:eastAsia="zh-CN"/>
        </w:rPr>
        <w:t>-600)</w:t>
      </w:r>
      <w:r>
        <w:rPr>
          <w:rFonts w:hint="eastAsia" w:ascii="宋体" w:hAnsi="宋体" w:eastAsia="宋体" w:cs="宋体"/>
          <w:bCs/>
          <w:color w:val="000000"/>
          <w:spacing w:val="-1"/>
          <w:sz w:val="24"/>
          <w:szCs w:val="24"/>
          <w:lang w:val="en-US" w:eastAsia="zh-CN"/>
        </w:rPr>
        <w:t>=</w:t>
      </w:r>
      <w:r>
        <w:rPr>
          <w:rFonts w:hint="eastAsia" w:ascii="宋体" w:hAnsi="宋体" w:cs="宋体"/>
          <w:bCs/>
          <w:color w:val="000000"/>
          <w:spacing w:val="-1"/>
          <w:sz w:val="24"/>
          <w:szCs w:val="24"/>
          <w:lang w:val="en-US" w:eastAsia="zh-CN"/>
        </w:rPr>
        <w:t>4774</w:t>
      </w:r>
      <w:r>
        <w:rPr>
          <w:rFonts w:hint="eastAsia" w:ascii="宋体" w:hAnsi="宋体" w:eastAsia="宋体" w:cs="宋体"/>
          <w:bCs/>
          <w:color w:val="000000"/>
          <w:spacing w:val="-1"/>
          <w:sz w:val="24"/>
          <w:szCs w:val="24"/>
          <w:lang w:val="en-US" w:eastAsia="zh-CN"/>
        </w:rPr>
        <w:t>元/</w:t>
      </w:r>
      <w:r>
        <w:rPr>
          <w:rFonts w:hint="eastAsia" w:ascii="宋体" w:hAnsi="宋体" w:cs="宋体"/>
          <w:sz w:val="24"/>
          <w:szCs w:val="24"/>
        </w:rPr>
        <w:t>m</w:t>
      </w:r>
      <w:r>
        <w:rPr>
          <w:rFonts w:hint="eastAsia" w:ascii="宋体" w:hAnsi="宋体" w:cs="宋体"/>
          <w:sz w:val="24"/>
          <w:szCs w:val="24"/>
          <w:vertAlign w:val="superscript"/>
        </w:rPr>
        <w:t>2</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6" w:firstLineChars="200"/>
        <w:textAlignment w:val="auto"/>
        <w:outlineLvl w:val="9"/>
        <w:rPr>
          <w:rFonts w:hint="eastAsia" w:ascii="宋体" w:hAnsi="宋体" w:eastAsia="宋体" w:cs="宋体"/>
          <w:bCs/>
          <w:color w:val="000000"/>
          <w:spacing w:val="-1"/>
          <w:sz w:val="24"/>
          <w:szCs w:val="24"/>
        </w:rPr>
      </w:pPr>
      <w:r>
        <w:rPr>
          <w:rFonts w:hint="eastAsia" w:ascii="宋体" w:hAnsi="宋体" w:eastAsia="宋体" w:cs="宋体"/>
          <w:bCs/>
          <w:color w:val="000000"/>
          <w:spacing w:val="-1"/>
          <w:sz w:val="24"/>
          <w:szCs w:val="24"/>
        </w:rPr>
        <w:t>土地出让金等其他方面财产范围，</w:t>
      </w:r>
      <w:r>
        <w:rPr>
          <w:rFonts w:hint="eastAsia" w:ascii="宋体" w:hAnsi="宋体" w:eastAsia="宋体" w:cs="宋体"/>
          <w:bCs/>
          <w:color w:val="000000"/>
          <w:spacing w:val="-1"/>
          <w:sz w:val="24"/>
          <w:szCs w:val="24"/>
          <w:lang w:eastAsia="zh-CN"/>
        </w:rPr>
        <w:t>已满足建立比较基础条件</w:t>
      </w:r>
      <w:r>
        <w:rPr>
          <w:rFonts w:hint="eastAsia" w:ascii="宋体" w:hAnsi="宋体" w:eastAsia="宋体" w:cs="宋体"/>
          <w:bCs/>
          <w:color w:val="000000"/>
          <w:spacing w:val="-1"/>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（3）统一付款方式：可比实例与估价对象已统一。</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58" w:firstLineChars="191"/>
        <w:textAlignment w:val="auto"/>
        <w:outlineLvl w:val="9"/>
        <w:rPr>
          <w:rFonts w:hint="eastAsia" w:ascii="仿宋_GB2312" w:hAnsi="仿宋" w:eastAsia="仿宋_GB2312"/>
          <w:bCs/>
          <w:color w:val="000000"/>
          <w:sz w:val="28"/>
          <w:szCs w:val="28"/>
        </w:rPr>
      </w:pPr>
      <w:r>
        <w:rPr>
          <w:rFonts w:hint="eastAsia" w:ascii="宋体" w:hAnsi="宋体" w:eastAsia="宋体" w:cs="宋体"/>
          <w:bCs/>
          <w:color w:val="000000"/>
          <w:sz w:val="24"/>
          <w:szCs w:val="24"/>
        </w:rPr>
        <w:t>（4）统一计价单位：可比实例与估价对象已统一。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color w:val="000000"/>
          <w:sz w:val="24"/>
          <w:szCs w:val="24"/>
          <w:vertAlign w:val="baseline"/>
          <w:lang w:val="en-US" w:eastAsia="zh-CN"/>
        </w:rPr>
      </w:pPr>
      <w:r>
        <w:rPr>
          <w:rFonts w:hint="eastAsia" w:ascii="宋体" w:hAnsi="宋体" w:cs="宋体"/>
          <w:sz w:val="24"/>
          <w:szCs w:val="24"/>
          <w:lang w:val="en-US" w:eastAsia="zh-CN"/>
        </w:rPr>
        <w:t xml:space="preserve">   </w:t>
      </w:r>
      <w:r>
        <w:rPr>
          <w:rFonts w:hint="eastAsia" w:ascii="宋体" w:hAnsi="宋体" w:cs="宋体"/>
          <w:color w:val="000000"/>
          <w:sz w:val="24"/>
          <w:szCs w:val="24"/>
          <w:lang w:val="en-US" w:eastAsia="zh-CN"/>
        </w:rPr>
        <w:t xml:space="preserve"> 3</w:t>
      </w:r>
      <w:r>
        <w:rPr>
          <w:rFonts w:hint="eastAsia" w:ascii="宋体" w:hAnsi="宋体" w:cs="宋体"/>
          <w:color w:val="000000"/>
          <w:sz w:val="24"/>
          <w:szCs w:val="24"/>
          <w:vertAlign w:val="baseline"/>
          <w:lang w:val="en-US" w:eastAsia="zh-CN"/>
        </w:rPr>
        <w:t>、各可比实例与估价对象因素比较分析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right="0" w:rightChars="0"/>
        <w:jc w:val="both"/>
        <w:textAlignment w:val="auto"/>
        <w:outlineLvl w:val="9"/>
        <w:rPr>
          <w:rFonts w:hint="eastAsia" w:ascii="宋体" w:hAnsi="宋体" w:cs="宋体"/>
          <w:color w:val="000000"/>
          <w:sz w:val="24"/>
          <w:szCs w:val="24"/>
          <w:vertAlign w:val="baseline"/>
          <w:lang w:val="en-US" w:eastAsia="zh-CN"/>
        </w:rPr>
      </w:pPr>
      <w:r>
        <w:rPr>
          <w:rFonts w:hint="eastAsia" w:ascii="宋体" w:hAnsi="宋体" w:cs="宋体"/>
          <w:color w:val="000000"/>
          <w:sz w:val="24"/>
          <w:szCs w:val="24"/>
          <w:vertAlign w:val="baseline"/>
          <w:lang w:val="en-US" w:eastAsia="zh-CN"/>
        </w:rPr>
        <w:t>各可比实例分别与估价对象进行比较，得出下表中的“比较结果”。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right="0" w:rightChars="0"/>
        <w:textAlignment w:val="auto"/>
        <w:outlineLvl w:val="9"/>
        <w:rPr>
          <w:rFonts w:hint="eastAsia" w:ascii="宋体" w:hAnsi="宋体" w:cs="宋体"/>
          <w:color w:val="000000"/>
          <w:sz w:val="24"/>
          <w:szCs w:val="24"/>
          <w:vertAlign w:val="baseline"/>
          <w:lang w:val="en-US" w:eastAsia="zh-CN"/>
        </w:rPr>
      </w:pPr>
      <w:r>
        <w:rPr>
          <w:rFonts w:hint="eastAsia" w:ascii="宋体" w:hAnsi="宋体" w:cs="宋体"/>
          <w:color w:val="000000"/>
          <w:sz w:val="24"/>
          <w:szCs w:val="24"/>
          <w:vertAlign w:val="baseline"/>
          <w:lang w:val="en-US" w:eastAsia="zh-CN"/>
        </w:rPr>
        <w:t>可比实例比估价对象好的，“比较结果”中依程度不同表述为：好、较好、略好；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宋体" w:hAnsi="宋体" w:cs="宋体"/>
          <w:color w:val="000000"/>
          <w:sz w:val="24"/>
          <w:szCs w:val="24"/>
          <w:vertAlign w:val="baseline"/>
          <w:lang w:val="en-US" w:eastAsia="zh-CN"/>
        </w:rPr>
      </w:pPr>
      <w:r>
        <w:rPr>
          <w:rFonts w:hint="eastAsia" w:ascii="宋体" w:hAnsi="宋体" w:cs="宋体"/>
          <w:color w:val="000000"/>
          <w:sz w:val="24"/>
          <w:szCs w:val="24"/>
          <w:vertAlign w:val="baseline"/>
          <w:lang w:val="en-US" w:eastAsia="zh-CN"/>
        </w:rPr>
        <w:t>可比实例比估价对象差的，“比较结果”中依程度不同表述为：差、较差、略差；可比实例与估价对象相同或相当的，“比较结果”中表述为：相似。</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right"/>
        <w:textAlignment w:val="auto"/>
        <w:outlineLvl w:val="9"/>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区位状况因素比照</w:t>
      </w:r>
      <w:r>
        <w:rPr>
          <w:rFonts w:hint="eastAsia" w:ascii="宋体" w:hAnsi="宋体" w:cs="宋体"/>
          <w:color w:val="000000"/>
          <w:sz w:val="24"/>
          <w:szCs w:val="24"/>
          <w:lang w:eastAsia="zh-CN"/>
        </w:rPr>
        <w:t>表</w:t>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11</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885"/>
        <w:gridCol w:w="1430"/>
        <w:gridCol w:w="1450"/>
        <w:gridCol w:w="675"/>
        <w:gridCol w:w="1450"/>
        <w:gridCol w:w="688"/>
        <w:gridCol w:w="1462"/>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32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因素名称</w:t>
            </w:r>
          </w:p>
        </w:tc>
        <w:tc>
          <w:tcPr>
            <w:tcW w:w="143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估价对象</w:t>
            </w:r>
          </w:p>
        </w:tc>
        <w:tc>
          <w:tcPr>
            <w:tcW w:w="21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可比实例A</w:t>
            </w:r>
          </w:p>
        </w:tc>
        <w:tc>
          <w:tcPr>
            <w:tcW w:w="21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可比实例B</w:t>
            </w:r>
          </w:p>
        </w:tc>
        <w:tc>
          <w:tcPr>
            <w:tcW w:w="211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2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子项因素</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位置</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状况</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楼幢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位置</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基准 （楼幢位置较好）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较好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较好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kern w:val="0"/>
                <w:sz w:val="21"/>
                <w:szCs w:val="21"/>
              </w:rPr>
              <w:t>较好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层次/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总层数</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基准（第</w:t>
            </w:r>
            <w:r>
              <w:rPr>
                <w:rFonts w:hint="eastAsia" w:ascii="宋体" w:hAnsi="宋体" w:cs="宋体"/>
                <w:color w:val="000000"/>
                <w:sz w:val="21"/>
                <w:szCs w:val="21"/>
                <w:lang w:val="en-US" w:eastAsia="zh-CN"/>
              </w:rPr>
              <w:t>7</w:t>
            </w:r>
            <w:r>
              <w:rPr>
                <w:rFonts w:hint="eastAsia" w:ascii="宋体" w:hAnsi="宋体" w:eastAsia="宋体" w:cs="宋体"/>
                <w:color w:val="000000"/>
                <w:sz w:val="21"/>
                <w:szCs w:val="21"/>
              </w:rPr>
              <w:t>层/</w:t>
            </w: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层）</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11"/>
                <w:kern w:val="0"/>
                <w:sz w:val="21"/>
                <w:szCs w:val="21"/>
              </w:rPr>
              <w:t>第</w:t>
            </w:r>
            <w:r>
              <w:rPr>
                <w:rFonts w:hint="eastAsia" w:ascii="宋体" w:hAnsi="宋体" w:cs="宋体"/>
                <w:color w:val="000000"/>
                <w:spacing w:val="-11"/>
                <w:kern w:val="0"/>
                <w:sz w:val="21"/>
                <w:szCs w:val="21"/>
                <w:lang w:val="en-US" w:eastAsia="zh-CN"/>
              </w:rPr>
              <w:t>10</w:t>
            </w:r>
            <w:r>
              <w:rPr>
                <w:rFonts w:hint="eastAsia" w:ascii="宋体" w:hAnsi="宋体" w:eastAsia="宋体" w:cs="宋体"/>
                <w:color w:val="000000"/>
                <w:spacing w:val="-11"/>
                <w:kern w:val="0"/>
                <w:sz w:val="21"/>
                <w:szCs w:val="21"/>
              </w:rPr>
              <w:t>层/</w:t>
            </w:r>
            <w:r>
              <w:rPr>
                <w:rFonts w:hint="eastAsia" w:ascii="宋体" w:hAnsi="宋体" w:cs="宋体"/>
                <w:color w:val="000000"/>
                <w:spacing w:val="-11"/>
                <w:kern w:val="0"/>
                <w:sz w:val="21"/>
                <w:szCs w:val="21"/>
                <w:lang w:val="en-US" w:eastAsia="zh-CN"/>
              </w:rPr>
              <w:t>16</w:t>
            </w:r>
            <w:r>
              <w:rPr>
                <w:rFonts w:hint="eastAsia" w:ascii="宋体" w:hAnsi="宋体" w:eastAsia="宋体" w:cs="宋体"/>
                <w:color w:val="000000"/>
                <w:spacing w:val="-11"/>
                <w:kern w:val="0"/>
                <w:sz w:val="21"/>
                <w:szCs w:val="21"/>
              </w:rPr>
              <w:t>层</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略好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11"/>
                <w:kern w:val="0"/>
                <w:sz w:val="21"/>
                <w:szCs w:val="21"/>
              </w:rPr>
              <w:t>第</w:t>
            </w:r>
            <w:r>
              <w:rPr>
                <w:rFonts w:hint="eastAsia" w:ascii="宋体" w:hAnsi="宋体" w:cs="宋体"/>
                <w:color w:val="000000"/>
                <w:spacing w:val="-11"/>
                <w:kern w:val="0"/>
                <w:sz w:val="21"/>
                <w:szCs w:val="21"/>
                <w:lang w:val="en-US" w:eastAsia="zh-CN"/>
              </w:rPr>
              <w:t>5</w:t>
            </w:r>
            <w:r>
              <w:rPr>
                <w:rFonts w:hint="eastAsia" w:ascii="宋体" w:hAnsi="宋体" w:eastAsia="宋体" w:cs="宋体"/>
                <w:color w:val="000000"/>
                <w:spacing w:val="-11"/>
                <w:kern w:val="0"/>
                <w:sz w:val="21"/>
                <w:szCs w:val="21"/>
              </w:rPr>
              <w:t>层/</w:t>
            </w:r>
            <w:r>
              <w:rPr>
                <w:rFonts w:hint="eastAsia" w:ascii="宋体" w:hAnsi="宋体" w:cs="宋体"/>
                <w:color w:val="000000"/>
                <w:spacing w:val="-11"/>
                <w:kern w:val="0"/>
                <w:sz w:val="21"/>
                <w:szCs w:val="21"/>
                <w:lang w:val="en-US" w:eastAsia="zh-CN"/>
              </w:rPr>
              <w:t>18</w:t>
            </w:r>
            <w:r>
              <w:rPr>
                <w:rFonts w:hint="eastAsia" w:ascii="宋体" w:hAnsi="宋体" w:eastAsia="宋体" w:cs="宋体"/>
                <w:color w:val="000000"/>
                <w:spacing w:val="-11"/>
                <w:kern w:val="0"/>
                <w:sz w:val="21"/>
                <w:szCs w:val="21"/>
              </w:rPr>
              <w:t>层</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略</w:t>
            </w:r>
            <w:r>
              <w:rPr>
                <w:rFonts w:hint="eastAsia" w:ascii="宋体" w:hAnsi="宋体" w:cs="宋体"/>
                <w:color w:val="000000"/>
                <w:sz w:val="21"/>
                <w:szCs w:val="21"/>
                <w:lang w:val="en-US" w:eastAsia="zh-CN"/>
              </w:rPr>
              <w:t>差</w:t>
            </w:r>
            <w:r>
              <w:rPr>
                <w:rFonts w:hint="eastAsia" w:ascii="宋体" w:hAnsi="宋体" w:eastAsia="宋体" w:cs="宋体"/>
                <w:color w:val="000000"/>
                <w:sz w:val="21"/>
                <w:szCs w:val="21"/>
                <w:lang w:val="en-US" w:eastAsia="zh-CN"/>
              </w:rPr>
              <w:t xml:space="preserve"> </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11"/>
                <w:kern w:val="0"/>
                <w:sz w:val="21"/>
                <w:szCs w:val="21"/>
              </w:rPr>
              <w:t>第</w:t>
            </w:r>
            <w:r>
              <w:rPr>
                <w:rFonts w:hint="eastAsia" w:ascii="宋体" w:hAnsi="宋体" w:cs="宋体"/>
                <w:color w:val="000000"/>
                <w:spacing w:val="-11"/>
                <w:kern w:val="0"/>
                <w:sz w:val="21"/>
                <w:szCs w:val="21"/>
                <w:lang w:val="en-US" w:eastAsia="zh-CN"/>
              </w:rPr>
              <w:t>7</w:t>
            </w:r>
            <w:r>
              <w:rPr>
                <w:rFonts w:hint="eastAsia" w:ascii="宋体" w:hAnsi="宋体" w:eastAsia="宋体" w:cs="宋体"/>
                <w:color w:val="000000"/>
                <w:spacing w:val="-11"/>
                <w:kern w:val="0"/>
                <w:sz w:val="21"/>
                <w:szCs w:val="21"/>
              </w:rPr>
              <w:t>层/</w:t>
            </w:r>
            <w:r>
              <w:rPr>
                <w:rFonts w:hint="eastAsia" w:ascii="宋体" w:hAnsi="宋体" w:cs="宋体"/>
                <w:color w:val="000000"/>
                <w:spacing w:val="-11"/>
                <w:kern w:val="0"/>
                <w:sz w:val="21"/>
                <w:szCs w:val="21"/>
                <w:lang w:val="en-US" w:eastAsia="zh-CN"/>
              </w:rPr>
              <w:t>15</w:t>
            </w:r>
            <w:r>
              <w:rPr>
                <w:rFonts w:hint="eastAsia" w:ascii="宋体" w:hAnsi="宋体" w:eastAsia="宋体" w:cs="宋体"/>
                <w:color w:val="000000"/>
                <w:spacing w:val="-11"/>
                <w:kern w:val="0"/>
                <w:sz w:val="21"/>
                <w:szCs w:val="21"/>
              </w:rPr>
              <w:t>层</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朝向</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w:t>
            </w:r>
            <w:r>
              <w:rPr>
                <w:rFonts w:hint="eastAsia" w:ascii="宋体" w:hAnsi="宋体" w:cs="宋体"/>
                <w:color w:val="000000"/>
                <w:sz w:val="21"/>
                <w:szCs w:val="21"/>
                <w:lang w:val="en-US" w:eastAsia="zh-CN"/>
              </w:rPr>
              <w:t>朝西</w:t>
            </w:r>
            <w:r>
              <w:rPr>
                <w:rFonts w:hint="eastAsia" w:ascii="宋体" w:hAnsi="宋体" w:eastAsia="宋体" w:cs="宋体"/>
                <w:color w:val="000000"/>
                <w:sz w:val="21"/>
                <w:szCs w:val="21"/>
                <w:lang w:eastAsia="zh-CN"/>
              </w:rPr>
              <w:t>向，</w:t>
            </w:r>
            <w:r>
              <w:rPr>
                <w:rFonts w:hint="eastAsia" w:ascii="宋体" w:hAnsi="宋体" w:cs="宋体"/>
                <w:color w:val="000000"/>
                <w:sz w:val="21"/>
                <w:szCs w:val="21"/>
                <w:lang w:val="en-US" w:eastAsia="zh-CN"/>
              </w:rPr>
              <w:t>单</w:t>
            </w:r>
            <w:r>
              <w:rPr>
                <w:rFonts w:hint="eastAsia" w:ascii="宋体" w:hAnsi="宋体" w:eastAsia="宋体" w:cs="宋体"/>
                <w:color w:val="000000"/>
                <w:kern w:val="0"/>
                <w:sz w:val="21"/>
                <w:szCs w:val="21"/>
                <w:lang w:eastAsia="zh-CN"/>
              </w:rPr>
              <w:t>面采光</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通风一般</w:t>
            </w:r>
            <w:r>
              <w:rPr>
                <w:rFonts w:hint="eastAsia" w:ascii="宋体" w:hAnsi="宋体" w:eastAsia="宋体" w:cs="宋体"/>
                <w:color w:val="000000"/>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lang w:eastAsia="zh-CN"/>
              </w:rPr>
            </w:pPr>
            <w:r>
              <w:rPr>
                <w:rFonts w:hint="eastAsia" w:ascii="宋体" w:hAnsi="宋体" w:cs="宋体"/>
                <w:color w:val="000000"/>
                <w:szCs w:val="21"/>
                <w:lang w:eastAsia="zh-CN"/>
              </w:rPr>
              <w:t>南北朝向</w:t>
            </w:r>
            <w:r>
              <w:rPr>
                <w:rFonts w:hint="eastAsia" w:ascii="宋体" w:hAnsi="宋体" w:cs="宋体"/>
                <w:color w:val="000000"/>
                <w:szCs w:val="21"/>
              </w:rPr>
              <w:t>，</w:t>
            </w:r>
            <w:r>
              <w:rPr>
                <w:rFonts w:hint="eastAsia" w:ascii="宋体" w:hAnsi="宋体" w:cs="宋体"/>
                <w:color w:val="000000"/>
                <w:szCs w:val="21"/>
                <w:lang w:val="en-US" w:eastAsia="zh-CN"/>
              </w:rPr>
              <w:t>两</w:t>
            </w:r>
            <w:r>
              <w:rPr>
                <w:rFonts w:hint="eastAsia" w:ascii="宋体" w:hAnsi="宋体" w:cs="宋体"/>
                <w:color w:val="000000"/>
                <w:szCs w:val="21"/>
              </w:rPr>
              <w:t>面采光，通</w:t>
            </w:r>
            <w:r>
              <w:rPr>
                <w:rFonts w:hint="eastAsia" w:ascii="宋体" w:hAnsi="宋体" w:cs="宋体"/>
                <w:color w:val="000000"/>
                <w:szCs w:val="21"/>
                <w:lang w:eastAsia="zh-CN"/>
              </w:rPr>
              <w:t>风较好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lang w:eastAsia="zh-CN"/>
              </w:rPr>
            </w:pPr>
            <w:r>
              <w:rPr>
                <w:rFonts w:hint="eastAsia" w:ascii="宋体" w:hAnsi="宋体" w:cs="宋体"/>
                <w:color w:val="000000"/>
                <w:sz w:val="21"/>
                <w:szCs w:val="21"/>
                <w:lang w:val="en-US" w:eastAsia="zh-CN"/>
              </w:rPr>
              <w:t>较好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lang w:eastAsia="zh-CN"/>
              </w:rPr>
            </w:pPr>
            <w:r>
              <w:rPr>
                <w:rFonts w:hint="eastAsia" w:ascii="宋体" w:hAnsi="宋体" w:cs="宋体"/>
                <w:color w:val="000000"/>
                <w:szCs w:val="21"/>
                <w:lang w:eastAsia="zh-CN"/>
              </w:rPr>
              <w:t>南北朝向</w:t>
            </w:r>
            <w:r>
              <w:rPr>
                <w:rFonts w:hint="eastAsia" w:ascii="宋体" w:hAnsi="宋体" w:cs="宋体"/>
                <w:color w:val="000000"/>
                <w:szCs w:val="21"/>
              </w:rPr>
              <w:t>，</w:t>
            </w:r>
            <w:r>
              <w:rPr>
                <w:rFonts w:hint="eastAsia" w:ascii="宋体" w:hAnsi="宋体" w:cs="宋体"/>
                <w:color w:val="000000"/>
                <w:szCs w:val="21"/>
                <w:lang w:eastAsia="zh-CN"/>
              </w:rPr>
              <w:t>两</w:t>
            </w:r>
            <w:r>
              <w:rPr>
                <w:rFonts w:hint="eastAsia" w:ascii="宋体" w:hAnsi="宋体" w:cs="宋体"/>
                <w:color w:val="000000"/>
                <w:szCs w:val="21"/>
              </w:rPr>
              <w:t>面采光，通风</w:t>
            </w:r>
            <w:r>
              <w:rPr>
                <w:rFonts w:hint="eastAsia" w:ascii="宋体" w:hAnsi="宋体" w:cs="宋体"/>
                <w:color w:val="000000"/>
                <w:szCs w:val="21"/>
                <w:lang w:eastAsia="zh-CN"/>
              </w:rPr>
              <w:t>良好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cs="宋体"/>
                <w:color w:val="000000"/>
                <w:sz w:val="21"/>
                <w:szCs w:val="21"/>
                <w:lang w:val="en-US" w:eastAsia="zh-CN"/>
              </w:rPr>
              <w:t>较好</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cs="宋体"/>
                <w:color w:val="000000"/>
                <w:szCs w:val="21"/>
                <w:lang w:eastAsia="zh-CN"/>
              </w:rPr>
              <w:t>南北朝向</w:t>
            </w:r>
            <w:r>
              <w:rPr>
                <w:rFonts w:hint="eastAsia" w:ascii="宋体" w:hAnsi="宋体" w:cs="宋体"/>
                <w:color w:val="000000"/>
                <w:szCs w:val="21"/>
              </w:rPr>
              <w:t>，</w:t>
            </w:r>
            <w:r>
              <w:rPr>
                <w:rFonts w:hint="eastAsia" w:ascii="宋体" w:hAnsi="宋体" w:cs="宋体"/>
                <w:color w:val="000000"/>
                <w:szCs w:val="21"/>
                <w:lang w:val="en-US" w:eastAsia="zh-CN"/>
              </w:rPr>
              <w:t>两</w:t>
            </w:r>
            <w:r>
              <w:rPr>
                <w:rFonts w:hint="eastAsia" w:ascii="宋体" w:hAnsi="宋体" w:cs="宋体"/>
                <w:color w:val="000000"/>
                <w:szCs w:val="21"/>
              </w:rPr>
              <w:t>面采光，通风</w:t>
            </w:r>
            <w:r>
              <w:rPr>
                <w:rFonts w:hint="eastAsia" w:ascii="宋体" w:hAnsi="宋体" w:cs="宋体"/>
                <w:color w:val="000000"/>
                <w:szCs w:val="21"/>
                <w:lang w:eastAsia="zh-CN"/>
              </w:rPr>
              <w:t>较好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lang w:eastAsia="zh-CN"/>
              </w:rPr>
            </w:pPr>
            <w:r>
              <w:rPr>
                <w:rFonts w:hint="eastAsia" w:ascii="宋体" w:hAnsi="宋体" w:cs="宋体"/>
                <w:color w:val="000000"/>
                <w:sz w:val="21"/>
                <w:szCs w:val="21"/>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居住聚集度</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基准（区域内有</w:t>
            </w:r>
            <w:r>
              <w:rPr>
                <w:rFonts w:hint="eastAsia" w:ascii="宋体" w:hAnsi="宋体" w:cs="宋体"/>
                <w:color w:val="000000"/>
                <w:sz w:val="21"/>
                <w:szCs w:val="21"/>
              </w:rPr>
              <w:t>较</w:t>
            </w:r>
            <w:r>
              <w:rPr>
                <w:rFonts w:hint="eastAsia" w:ascii="宋体" w:hAnsi="宋体" w:cs="宋体"/>
                <w:color w:val="000000"/>
                <w:sz w:val="21"/>
                <w:szCs w:val="21"/>
                <w:lang w:val="en-US" w:eastAsia="zh-CN"/>
              </w:rPr>
              <w:t>多商品房、自建房</w:t>
            </w:r>
            <w:r>
              <w:rPr>
                <w:rFonts w:hint="eastAsia" w:ascii="宋体" w:hAnsi="宋体" w:cs="宋体"/>
                <w:color w:val="000000"/>
                <w:sz w:val="21"/>
                <w:szCs w:val="21"/>
                <w:lang w:eastAsia="zh-CN"/>
              </w:rPr>
              <w:t>等</w:t>
            </w:r>
            <w:r>
              <w:rPr>
                <w:rFonts w:hint="eastAsia" w:ascii="宋体" w:hAnsi="宋体" w:cs="宋体"/>
                <w:color w:val="000000"/>
                <w:sz w:val="21"/>
                <w:szCs w:val="21"/>
              </w:rPr>
              <w:t>居住生活小区，居住聚集度</w:t>
            </w:r>
            <w:r>
              <w:rPr>
                <w:rFonts w:hint="eastAsia" w:ascii="宋体" w:hAnsi="宋体" w:cs="宋体"/>
                <w:color w:val="000000"/>
                <w:sz w:val="21"/>
                <w:szCs w:val="21"/>
                <w:lang w:eastAsia="zh-CN"/>
              </w:rPr>
              <w:t>较高</w:t>
            </w:r>
            <w:r>
              <w:rPr>
                <w:rFonts w:hint="eastAsia" w:ascii="宋体" w:hAnsi="宋体" w:eastAsia="宋体" w:cs="宋体"/>
                <w:color w:val="000000"/>
                <w:sz w:val="21"/>
                <w:szCs w:val="21"/>
              </w:rPr>
              <w:t>，住宅聚集度</w:t>
            </w:r>
            <w:r>
              <w:rPr>
                <w:rFonts w:hint="eastAsia" w:ascii="宋体" w:hAnsi="宋体" w:eastAsia="宋体" w:cs="宋体"/>
                <w:color w:val="000000"/>
                <w:sz w:val="21"/>
                <w:szCs w:val="21"/>
                <w:lang w:eastAsia="zh-CN"/>
              </w:rPr>
              <w:t>较高</w:t>
            </w:r>
            <w:r>
              <w:rPr>
                <w:rFonts w:hint="eastAsia" w:ascii="宋体" w:hAnsi="宋体" w:eastAsia="宋体" w:cs="宋体"/>
                <w:color w:val="000000"/>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区域内有</w:t>
            </w:r>
            <w:r>
              <w:rPr>
                <w:rFonts w:hint="eastAsia" w:ascii="宋体" w:hAnsi="宋体" w:cs="宋体"/>
                <w:color w:val="000000"/>
                <w:sz w:val="21"/>
                <w:szCs w:val="21"/>
              </w:rPr>
              <w:t>较</w:t>
            </w:r>
            <w:r>
              <w:rPr>
                <w:rFonts w:hint="eastAsia" w:ascii="宋体" w:hAnsi="宋体" w:cs="宋体"/>
                <w:color w:val="000000"/>
                <w:sz w:val="21"/>
                <w:szCs w:val="21"/>
                <w:lang w:val="en-US" w:eastAsia="zh-CN"/>
              </w:rPr>
              <w:t>多商品房、自建房</w:t>
            </w:r>
            <w:r>
              <w:rPr>
                <w:rFonts w:hint="eastAsia" w:ascii="宋体" w:hAnsi="宋体" w:cs="宋体"/>
                <w:color w:val="000000"/>
                <w:sz w:val="21"/>
                <w:szCs w:val="21"/>
                <w:lang w:eastAsia="zh-CN"/>
              </w:rPr>
              <w:t>等</w:t>
            </w:r>
            <w:r>
              <w:rPr>
                <w:rFonts w:hint="eastAsia" w:ascii="宋体" w:hAnsi="宋体" w:cs="宋体"/>
                <w:color w:val="000000"/>
                <w:sz w:val="21"/>
                <w:szCs w:val="21"/>
              </w:rPr>
              <w:t>居住生活小区，居住聚集度</w:t>
            </w:r>
            <w:r>
              <w:rPr>
                <w:rFonts w:hint="eastAsia" w:ascii="宋体" w:hAnsi="宋体" w:cs="宋体"/>
                <w:color w:val="000000"/>
                <w:sz w:val="21"/>
                <w:szCs w:val="21"/>
                <w:lang w:eastAsia="zh-CN"/>
              </w:rPr>
              <w:t>较高</w:t>
            </w:r>
            <w:r>
              <w:rPr>
                <w:rFonts w:hint="eastAsia" w:ascii="宋体" w:hAnsi="宋体" w:eastAsia="宋体" w:cs="宋体"/>
                <w:color w:val="000000"/>
                <w:sz w:val="21"/>
                <w:szCs w:val="21"/>
              </w:rPr>
              <w:t>，住宅聚集度</w:t>
            </w:r>
            <w:r>
              <w:rPr>
                <w:rFonts w:hint="eastAsia" w:ascii="宋体" w:hAnsi="宋体" w:eastAsia="宋体" w:cs="宋体"/>
                <w:color w:val="000000"/>
                <w:sz w:val="21"/>
                <w:szCs w:val="21"/>
                <w:lang w:eastAsia="zh-CN"/>
              </w:rPr>
              <w:t>较高</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区域内有</w:t>
            </w:r>
            <w:r>
              <w:rPr>
                <w:rFonts w:hint="eastAsia" w:ascii="宋体" w:hAnsi="宋体" w:cs="宋体"/>
                <w:color w:val="000000"/>
                <w:sz w:val="21"/>
                <w:szCs w:val="21"/>
              </w:rPr>
              <w:t>较</w:t>
            </w:r>
            <w:r>
              <w:rPr>
                <w:rFonts w:hint="eastAsia" w:ascii="宋体" w:hAnsi="宋体" w:cs="宋体"/>
                <w:color w:val="000000"/>
                <w:sz w:val="21"/>
                <w:szCs w:val="21"/>
                <w:lang w:val="en-US" w:eastAsia="zh-CN"/>
              </w:rPr>
              <w:t>多商品房、自建房</w:t>
            </w:r>
            <w:r>
              <w:rPr>
                <w:rFonts w:hint="eastAsia" w:ascii="宋体" w:hAnsi="宋体" w:cs="宋体"/>
                <w:color w:val="000000"/>
                <w:sz w:val="21"/>
                <w:szCs w:val="21"/>
                <w:lang w:eastAsia="zh-CN"/>
              </w:rPr>
              <w:t>等</w:t>
            </w:r>
            <w:r>
              <w:rPr>
                <w:rFonts w:hint="eastAsia" w:ascii="宋体" w:hAnsi="宋体" w:cs="宋体"/>
                <w:color w:val="000000"/>
                <w:sz w:val="21"/>
                <w:szCs w:val="21"/>
              </w:rPr>
              <w:t>居住生活小区，居住聚集度</w:t>
            </w:r>
            <w:r>
              <w:rPr>
                <w:rFonts w:hint="eastAsia" w:ascii="宋体" w:hAnsi="宋体" w:cs="宋体"/>
                <w:color w:val="000000"/>
                <w:sz w:val="21"/>
                <w:szCs w:val="21"/>
                <w:lang w:eastAsia="zh-CN"/>
              </w:rPr>
              <w:t>较高</w:t>
            </w:r>
            <w:r>
              <w:rPr>
                <w:rFonts w:hint="eastAsia" w:ascii="宋体" w:hAnsi="宋体" w:eastAsia="宋体" w:cs="宋体"/>
                <w:color w:val="000000"/>
                <w:sz w:val="21"/>
                <w:szCs w:val="21"/>
              </w:rPr>
              <w:t>，住宅聚集度</w:t>
            </w:r>
            <w:r>
              <w:rPr>
                <w:rFonts w:hint="eastAsia" w:ascii="宋体" w:hAnsi="宋体" w:eastAsia="宋体" w:cs="宋体"/>
                <w:color w:val="000000"/>
                <w:sz w:val="21"/>
                <w:szCs w:val="21"/>
                <w:lang w:eastAsia="zh-CN"/>
              </w:rPr>
              <w:t>较高</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区域内有</w:t>
            </w:r>
            <w:r>
              <w:rPr>
                <w:rFonts w:hint="eastAsia" w:ascii="宋体" w:hAnsi="宋体" w:cs="宋体"/>
                <w:color w:val="000000"/>
                <w:sz w:val="21"/>
                <w:szCs w:val="21"/>
              </w:rPr>
              <w:t>较</w:t>
            </w:r>
            <w:r>
              <w:rPr>
                <w:rFonts w:hint="eastAsia" w:ascii="宋体" w:hAnsi="宋体" w:cs="宋体"/>
                <w:color w:val="000000"/>
                <w:sz w:val="21"/>
                <w:szCs w:val="21"/>
                <w:lang w:val="en-US" w:eastAsia="zh-CN"/>
              </w:rPr>
              <w:t>多商品房、自建房</w:t>
            </w:r>
            <w:r>
              <w:rPr>
                <w:rFonts w:hint="eastAsia" w:ascii="宋体" w:hAnsi="宋体" w:cs="宋体"/>
                <w:color w:val="000000"/>
                <w:sz w:val="21"/>
                <w:szCs w:val="21"/>
                <w:lang w:eastAsia="zh-CN"/>
              </w:rPr>
              <w:t>等</w:t>
            </w:r>
            <w:r>
              <w:rPr>
                <w:rFonts w:hint="eastAsia" w:ascii="宋体" w:hAnsi="宋体" w:cs="宋体"/>
                <w:color w:val="000000"/>
                <w:sz w:val="21"/>
                <w:szCs w:val="21"/>
              </w:rPr>
              <w:t>居住生活小区，居住聚集度</w:t>
            </w:r>
            <w:r>
              <w:rPr>
                <w:rFonts w:hint="eastAsia" w:ascii="宋体" w:hAnsi="宋体" w:cs="宋体"/>
                <w:color w:val="000000"/>
                <w:sz w:val="21"/>
                <w:szCs w:val="21"/>
                <w:lang w:eastAsia="zh-CN"/>
              </w:rPr>
              <w:t>较高</w:t>
            </w:r>
            <w:r>
              <w:rPr>
                <w:rFonts w:hint="eastAsia" w:ascii="宋体" w:hAnsi="宋体" w:eastAsia="宋体" w:cs="宋体"/>
                <w:color w:val="000000"/>
                <w:sz w:val="21"/>
                <w:szCs w:val="21"/>
              </w:rPr>
              <w:t>，住宅聚集度</w:t>
            </w:r>
            <w:r>
              <w:rPr>
                <w:rFonts w:hint="eastAsia" w:ascii="宋体" w:hAnsi="宋体" w:eastAsia="宋体" w:cs="宋体"/>
                <w:color w:val="000000"/>
                <w:sz w:val="21"/>
                <w:szCs w:val="21"/>
                <w:lang w:eastAsia="zh-CN"/>
              </w:rPr>
              <w:t>较高</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交通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pacing w:val="-6"/>
                <w:sz w:val="21"/>
                <w:szCs w:val="21"/>
              </w:rPr>
            </w:pPr>
            <w:r>
              <w:rPr>
                <w:rFonts w:hint="eastAsia" w:ascii="宋体" w:hAnsi="宋体" w:eastAsia="宋体" w:cs="宋体"/>
                <w:color w:val="000000"/>
                <w:spacing w:val="-6"/>
                <w:sz w:val="21"/>
                <w:szCs w:val="21"/>
              </w:rPr>
              <w:t>基准（1.道路状况：区域内有</w:t>
            </w:r>
            <w:r>
              <w:rPr>
                <w:rFonts w:hint="eastAsia" w:ascii="宋体" w:hAnsi="宋体" w:cs="宋体"/>
                <w:color w:val="000000"/>
                <w:sz w:val="21"/>
                <w:szCs w:val="21"/>
                <w:lang w:val="en-US" w:eastAsia="zh-CN"/>
              </w:rPr>
              <w:t>坎市沿河中路</w:t>
            </w:r>
            <w:r>
              <w:rPr>
                <w:rFonts w:hint="eastAsia" w:ascii="宋体" w:hAnsi="宋体" w:eastAsia="宋体" w:cs="宋体"/>
                <w:color w:val="000000"/>
                <w:spacing w:val="-6"/>
                <w:sz w:val="21"/>
                <w:szCs w:val="21"/>
              </w:rPr>
              <w:t>，已形成城市路网，道路通达度高。2.出入可利用交通工具：公交车、</w:t>
            </w:r>
            <w:r>
              <w:rPr>
                <w:rFonts w:hint="eastAsia" w:ascii="宋体" w:hAnsi="宋体" w:eastAsia="宋体" w:cs="宋体"/>
                <w:color w:val="000000"/>
                <w:spacing w:val="-6"/>
                <w:sz w:val="21"/>
                <w:szCs w:val="21"/>
                <w:lang w:eastAsia="zh-CN"/>
              </w:rPr>
              <w:t>摩托车</w:t>
            </w:r>
            <w:r>
              <w:rPr>
                <w:rFonts w:hint="eastAsia" w:ascii="宋体" w:hAnsi="宋体" w:eastAsia="宋体" w:cs="宋体"/>
                <w:color w:val="000000"/>
                <w:spacing w:val="-6"/>
                <w:sz w:val="21"/>
                <w:szCs w:val="21"/>
              </w:rPr>
              <w:t>等，估价对象离公交站点较近，有</w:t>
            </w:r>
            <w:r>
              <w:rPr>
                <w:rFonts w:hint="eastAsia" w:ascii="宋体" w:hAnsi="宋体" w:cs="宋体"/>
                <w:color w:val="000000"/>
                <w:spacing w:val="-6"/>
                <w:sz w:val="21"/>
                <w:szCs w:val="21"/>
                <w:lang w:val="en-US" w:eastAsia="zh-CN"/>
              </w:rPr>
              <w:t>1</w:t>
            </w:r>
            <w:r>
              <w:rPr>
                <w:rFonts w:hint="eastAsia" w:ascii="宋体" w:hAnsi="宋体" w:eastAsia="宋体" w:cs="宋体"/>
                <w:color w:val="000000"/>
                <w:spacing w:val="-6"/>
                <w:sz w:val="21"/>
                <w:szCs w:val="21"/>
                <w:lang w:val="en-US" w:eastAsia="zh-CN"/>
              </w:rPr>
              <w:t>条公交线路</w:t>
            </w:r>
            <w:r>
              <w:rPr>
                <w:rFonts w:hint="eastAsia" w:ascii="宋体" w:hAnsi="宋体" w:eastAsia="宋体" w:cs="宋体"/>
                <w:color w:val="000000"/>
                <w:spacing w:val="-6"/>
                <w:sz w:val="21"/>
                <w:szCs w:val="21"/>
                <w:lang w:eastAsia="zh-CN"/>
              </w:rPr>
              <w:t>通过</w:t>
            </w:r>
            <w:r>
              <w:rPr>
                <w:rFonts w:hint="eastAsia" w:ascii="宋体" w:hAnsi="宋体" w:eastAsia="宋体" w:cs="宋体"/>
                <w:color w:val="000000"/>
                <w:spacing w:val="-6"/>
                <w:sz w:val="21"/>
                <w:szCs w:val="21"/>
              </w:rPr>
              <w:t>；公交班次</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，辐射范围</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；乘坐</w:t>
            </w:r>
            <w:r>
              <w:rPr>
                <w:rFonts w:hint="eastAsia" w:ascii="宋体" w:hAnsi="宋体" w:eastAsia="宋体" w:cs="宋体"/>
                <w:color w:val="000000"/>
                <w:spacing w:val="-6"/>
                <w:sz w:val="21"/>
                <w:szCs w:val="21"/>
                <w:lang w:eastAsia="zh-CN"/>
              </w:rPr>
              <w:t>私家车</w:t>
            </w:r>
            <w:r>
              <w:rPr>
                <w:rFonts w:hint="eastAsia" w:ascii="宋体" w:hAnsi="宋体" w:eastAsia="宋体" w:cs="宋体"/>
                <w:color w:val="000000"/>
                <w:spacing w:val="-6"/>
                <w:sz w:val="21"/>
                <w:szCs w:val="21"/>
              </w:rPr>
              <w:t>较方便，交通便捷度</w:t>
            </w:r>
            <w:r>
              <w:rPr>
                <w:rFonts w:hint="eastAsia" w:ascii="宋体" w:hAnsi="宋体" w:eastAsia="宋体" w:cs="宋体"/>
                <w:color w:val="000000"/>
                <w:spacing w:val="-6"/>
                <w:sz w:val="21"/>
                <w:szCs w:val="21"/>
                <w:lang w:eastAsia="zh-CN"/>
              </w:rPr>
              <w:t>较</w:t>
            </w:r>
            <w:r>
              <w:rPr>
                <w:rFonts w:hint="eastAsia" w:ascii="宋体" w:hAnsi="宋体" w:eastAsia="宋体" w:cs="宋体"/>
                <w:color w:val="000000"/>
                <w:spacing w:val="-6"/>
                <w:sz w:val="21"/>
                <w:szCs w:val="21"/>
              </w:rPr>
              <w:t>高。3.交通管制情况：无特殊交通管制。4.停车方便程度：</w:t>
            </w:r>
            <w:r>
              <w:rPr>
                <w:rFonts w:hint="eastAsia" w:ascii="宋体" w:hAnsi="宋体" w:eastAsia="宋体" w:cs="宋体"/>
                <w:color w:val="000000"/>
                <w:sz w:val="21"/>
                <w:szCs w:val="21"/>
              </w:rPr>
              <w:t>小区</w:t>
            </w:r>
            <w:r>
              <w:rPr>
                <w:rFonts w:hint="eastAsia" w:ascii="宋体" w:hAnsi="宋体" w:eastAsia="宋体" w:cs="宋体"/>
                <w:color w:val="000000"/>
                <w:sz w:val="21"/>
                <w:szCs w:val="21"/>
                <w:lang w:eastAsia="zh-CN"/>
              </w:rPr>
              <w:t>周边设有停车位</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停车位数量较少，</w:t>
            </w:r>
            <w:r>
              <w:rPr>
                <w:rFonts w:hint="eastAsia" w:ascii="宋体" w:hAnsi="宋体" w:eastAsia="宋体" w:cs="宋体"/>
                <w:color w:val="000000"/>
                <w:sz w:val="21"/>
                <w:szCs w:val="21"/>
              </w:rPr>
              <w:t>停车便捷度</w:t>
            </w:r>
            <w:r>
              <w:rPr>
                <w:rFonts w:hint="eastAsia" w:ascii="宋体" w:hAnsi="宋体" w:eastAsia="宋体" w:cs="宋体"/>
                <w:color w:val="000000"/>
                <w:sz w:val="21"/>
                <w:szCs w:val="21"/>
                <w:lang w:eastAsia="zh-CN"/>
              </w:rPr>
              <w:t>一般</w:t>
            </w:r>
            <w:r>
              <w:rPr>
                <w:rFonts w:hint="eastAsia" w:ascii="宋体" w:hAnsi="宋体" w:eastAsia="宋体" w:cs="宋体"/>
                <w:color w:val="000000"/>
                <w:spacing w:val="-6"/>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pacing w:val="-11"/>
                <w:sz w:val="21"/>
                <w:szCs w:val="21"/>
              </w:rPr>
            </w:pPr>
            <w:r>
              <w:rPr>
                <w:rFonts w:hint="eastAsia" w:ascii="宋体" w:hAnsi="宋体" w:eastAsia="宋体" w:cs="宋体"/>
                <w:color w:val="000000"/>
                <w:spacing w:val="-6"/>
                <w:sz w:val="21"/>
                <w:szCs w:val="21"/>
              </w:rPr>
              <w:t>1.道路状况：区域内有</w:t>
            </w:r>
            <w:r>
              <w:rPr>
                <w:rFonts w:hint="eastAsia" w:ascii="宋体" w:hAnsi="宋体" w:cs="宋体"/>
                <w:szCs w:val="21"/>
                <w:lang w:val="en-US" w:eastAsia="zh-CN"/>
              </w:rPr>
              <w:t>坎市南环路</w:t>
            </w:r>
            <w:r>
              <w:rPr>
                <w:rFonts w:hint="eastAsia" w:ascii="宋体" w:hAnsi="宋体" w:eastAsia="宋体" w:cs="宋体"/>
                <w:color w:val="000000"/>
                <w:spacing w:val="-6"/>
                <w:sz w:val="21"/>
                <w:szCs w:val="21"/>
              </w:rPr>
              <w:t>，已形成城市路网，道路通达度高。2.出入可利用交通工具：公交车、</w:t>
            </w:r>
            <w:r>
              <w:rPr>
                <w:rFonts w:hint="eastAsia" w:ascii="宋体" w:hAnsi="宋体" w:eastAsia="宋体" w:cs="宋体"/>
                <w:color w:val="000000"/>
                <w:spacing w:val="-6"/>
                <w:sz w:val="21"/>
                <w:szCs w:val="21"/>
                <w:lang w:eastAsia="zh-CN"/>
              </w:rPr>
              <w:t>摩托车</w:t>
            </w:r>
            <w:r>
              <w:rPr>
                <w:rFonts w:hint="eastAsia" w:ascii="宋体" w:hAnsi="宋体" w:eastAsia="宋体" w:cs="宋体"/>
                <w:color w:val="000000"/>
                <w:spacing w:val="-6"/>
                <w:sz w:val="21"/>
                <w:szCs w:val="21"/>
              </w:rPr>
              <w:t>等，估价对象离公交站点较近，有</w:t>
            </w:r>
            <w:r>
              <w:rPr>
                <w:rFonts w:hint="eastAsia" w:ascii="宋体" w:hAnsi="宋体" w:cs="宋体"/>
                <w:color w:val="000000"/>
                <w:spacing w:val="-6"/>
                <w:sz w:val="21"/>
                <w:szCs w:val="21"/>
                <w:lang w:val="en-US" w:eastAsia="zh-CN"/>
              </w:rPr>
              <w:t>1</w:t>
            </w:r>
            <w:r>
              <w:rPr>
                <w:rFonts w:hint="eastAsia" w:ascii="宋体" w:hAnsi="宋体" w:eastAsia="宋体" w:cs="宋体"/>
                <w:color w:val="000000"/>
                <w:spacing w:val="-6"/>
                <w:sz w:val="21"/>
                <w:szCs w:val="21"/>
                <w:lang w:val="en-US" w:eastAsia="zh-CN"/>
              </w:rPr>
              <w:t>条公交线路</w:t>
            </w:r>
            <w:r>
              <w:rPr>
                <w:rFonts w:hint="eastAsia" w:ascii="宋体" w:hAnsi="宋体" w:eastAsia="宋体" w:cs="宋体"/>
                <w:color w:val="000000"/>
                <w:spacing w:val="-6"/>
                <w:sz w:val="21"/>
                <w:szCs w:val="21"/>
                <w:lang w:eastAsia="zh-CN"/>
              </w:rPr>
              <w:t>通过</w:t>
            </w:r>
            <w:r>
              <w:rPr>
                <w:rFonts w:hint="eastAsia" w:ascii="宋体" w:hAnsi="宋体" w:eastAsia="宋体" w:cs="宋体"/>
                <w:color w:val="000000"/>
                <w:spacing w:val="-6"/>
                <w:sz w:val="21"/>
                <w:szCs w:val="21"/>
              </w:rPr>
              <w:t>；公交班次</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，辐射范围</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；乘坐</w:t>
            </w:r>
            <w:r>
              <w:rPr>
                <w:rFonts w:hint="eastAsia" w:ascii="宋体" w:hAnsi="宋体" w:eastAsia="宋体" w:cs="宋体"/>
                <w:color w:val="000000"/>
                <w:spacing w:val="-6"/>
                <w:sz w:val="21"/>
                <w:szCs w:val="21"/>
                <w:lang w:eastAsia="zh-CN"/>
              </w:rPr>
              <w:t>私家车</w:t>
            </w:r>
            <w:r>
              <w:rPr>
                <w:rFonts w:hint="eastAsia" w:ascii="宋体" w:hAnsi="宋体" w:eastAsia="宋体" w:cs="宋体"/>
                <w:color w:val="000000"/>
                <w:spacing w:val="-6"/>
                <w:sz w:val="21"/>
                <w:szCs w:val="21"/>
              </w:rPr>
              <w:t>较方便，交通便捷度</w:t>
            </w:r>
            <w:r>
              <w:rPr>
                <w:rFonts w:hint="eastAsia" w:ascii="宋体" w:hAnsi="宋体" w:eastAsia="宋体" w:cs="宋体"/>
                <w:color w:val="000000"/>
                <w:spacing w:val="-6"/>
                <w:sz w:val="21"/>
                <w:szCs w:val="21"/>
                <w:lang w:eastAsia="zh-CN"/>
              </w:rPr>
              <w:t>较</w:t>
            </w:r>
            <w:r>
              <w:rPr>
                <w:rFonts w:hint="eastAsia" w:ascii="宋体" w:hAnsi="宋体" w:eastAsia="宋体" w:cs="宋体"/>
                <w:color w:val="000000"/>
                <w:spacing w:val="-6"/>
                <w:sz w:val="21"/>
                <w:szCs w:val="21"/>
              </w:rPr>
              <w:t>高。3.交通管制情况：无特殊交通管制。4.停车方便程度：</w:t>
            </w:r>
            <w:r>
              <w:rPr>
                <w:rFonts w:hint="eastAsia" w:ascii="宋体" w:hAnsi="宋体" w:eastAsia="宋体" w:cs="宋体"/>
                <w:color w:val="000000"/>
                <w:sz w:val="21"/>
                <w:szCs w:val="21"/>
              </w:rPr>
              <w:t>小区</w:t>
            </w:r>
            <w:r>
              <w:rPr>
                <w:rFonts w:hint="eastAsia" w:ascii="宋体" w:hAnsi="宋体" w:eastAsia="宋体" w:cs="宋体"/>
                <w:color w:val="000000"/>
                <w:sz w:val="21"/>
                <w:szCs w:val="21"/>
                <w:lang w:eastAsia="zh-CN"/>
              </w:rPr>
              <w:t>周边设有停车位</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停车位数量较少，</w:t>
            </w:r>
            <w:r>
              <w:rPr>
                <w:rFonts w:hint="eastAsia" w:ascii="宋体" w:hAnsi="宋体" w:eastAsia="宋体" w:cs="宋体"/>
                <w:color w:val="000000"/>
                <w:sz w:val="21"/>
                <w:szCs w:val="21"/>
              </w:rPr>
              <w:t>停车便捷度</w:t>
            </w:r>
            <w:r>
              <w:rPr>
                <w:rFonts w:hint="eastAsia" w:ascii="宋体" w:hAnsi="宋体" w:eastAsia="宋体" w:cs="宋体"/>
                <w:color w:val="000000"/>
                <w:sz w:val="21"/>
                <w:szCs w:val="21"/>
                <w:lang w:eastAsia="zh-CN"/>
              </w:rPr>
              <w:t>一般</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pacing w:val="-11"/>
                <w:sz w:val="21"/>
                <w:szCs w:val="21"/>
                <w:lang w:eastAsia="zh-CN"/>
              </w:rPr>
            </w:pPr>
            <w:r>
              <w:rPr>
                <w:rFonts w:hint="eastAsia" w:ascii="宋体" w:hAnsi="宋体" w:eastAsia="宋体" w:cs="宋体"/>
                <w:color w:val="000000"/>
                <w:spacing w:val="-6"/>
                <w:sz w:val="21"/>
                <w:szCs w:val="21"/>
                <w:lang w:eastAsia="zh-CN"/>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pacing w:val="-11"/>
                <w:sz w:val="21"/>
                <w:szCs w:val="21"/>
              </w:rPr>
            </w:pPr>
            <w:r>
              <w:rPr>
                <w:rFonts w:hint="eastAsia" w:ascii="宋体" w:hAnsi="宋体" w:eastAsia="宋体" w:cs="宋体"/>
                <w:color w:val="000000"/>
                <w:spacing w:val="-6"/>
                <w:sz w:val="21"/>
                <w:szCs w:val="21"/>
              </w:rPr>
              <w:t>1.道路状况：区域内有</w:t>
            </w:r>
            <w:r>
              <w:rPr>
                <w:rFonts w:hint="eastAsia" w:ascii="宋体" w:hAnsi="宋体" w:cs="宋体"/>
                <w:szCs w:val="21"/>
                <w:lang w:val="en-US" w:eastAsia="zh-CN"/>
              </w:rPr>
              <w:t>621县道</w:t>
            </w:r>
            <w:r>
              <w:rPr>
                <w:rFonts w:hint="eastAsia" w:ascii="宋体" w:hAnsi="宋体" w:cs="宋体"/>
                <w:szCs w:val="21"/>
              </w:rPr>
              <w:t>主干道</w:t>
            </w:r>
            <w:r>
              <w:rPr>
                <w:rFonts w:hint="eastAsia" w:ascii="宋体" w:hAnsi="宋体" w:eastAsia="宋体" w:cs="宋体"/>
                <w:color w:val="000000"/>
                <w:spacing w:val="-6"/>
                <w:sz w:val="21"/>
                <w:szCs w:val="21"/>
              </w:rPr>
              <w:t>，已形成城市路网，道路通达度高。2.出入可利用交通工具：公交车、</w:t>
            </w:r>
            <w:r>
              <w:rPr>
                <w:rFonts w:hint="eastAsia" w:ascii="宋体" w:hAnsi="宋体" w:eastAsia="宋体" w:cs="宋体"/>
                <w:color w:val="000000"/>
                <w:spacing w:val="-6"/>
                <w:sz w:val="21"/>
                <w:szCs w:val="21"/>
                <w:lang w:eastAsia="zh-CN"/>
              </w:rPr>
              <w:t>摩托车</w:t>
            </w:r>
            <w:r>
              <w:rPr>
                <w:rFonts w:hint="eastAsia" w:ascii="宋体" w:hAnsi="宋体" w:eastAsia="宋体" w:cs="宋体"/>
                <w:color w:val="000000"/>
                <w:spacing w:val="-6"/>
                <w:sz w:val="21"/>
                <w:szCs w:val="21"/>
              </w:rPr>
              <w:t>等，估价对象离公交站点较近，有</w:t>
            </w:r>
            <w:r>
              <w:rPr>
                <w:rFonts w:hint="eastAsia" w:ascii="宋体" w:hAnsi="宋体" w:cs="宋体"/>
                <w:color w:val="000000"/>
                <w:spacing w:val="-6"/>
                <w:sz w:val="21"/>
                <w:szCs w:val="21"/>
                <w:lang w:val="en-US" w:eastAsia="zh-CN"/>
              </w:rPr>
              <w:t>1</w:t>
            </w:r>
            <w:r>
              <w:rPr>
                <w:rFonts w:hint="eastAsia" w:ascii="宋体" w:hAnsi="宋体" w:eastAsia="宋体" w:cs="宋体"/>
                <w:color w:val="000000"/>
                <w:spacing w:val="-6"/>
                <w:sz w:val="21"/>
                <w:szCs w:val="21"/>
                <w:lang w:val="en-US" w:eastAsia="zh-CN"/>
              </w:rPr>
              <w:t>条公交线路</w:t>
            </w:r>
            <w:r>
              <w:rPr>
                <w:rFonts w:hint="eastAsia" w:ascii="宋体" w:hAnsi="宋体" w:eastAsia="宋体" w:cs="宋体"/>
                <w:color w:val="000000"/>
                <w:spacing w:val="-6"/>
                <w:sz w:val="21"/>
                <w:szCs w:val="21"/>
                <w:lang w:eastAsia="zh-CN"/>
              </w:rPr>
              <w:t>通过</w:t>
            </w:r>
            <w:r>
              <w:rPr>
                <w:rFonts w:hint="eastAsia" w:ascii="宋体" w:hAnsi="宋体" w:eastAsia="宋体" w:cs="宋体"/>
                <w:color w:val="000000"/>
                <w:spacing w:val="-6"/>
                <w:sz w:val="21"/>
                <w:szCs w:val="21"/>
              </w:rPr>
              <w:t>；公交班次</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，辐射范围</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；乘坐</w:t>
            </w:r>
            <w:r>
              <w:rPr>
                <w:rFonts w:hint="eastAsia" w:ascii="宋体" w:hAnsi="宋体" w:eastAsia="宋体" w:cs="宋体"/>
                <w:color w:val="000000"/>
                <w:spacing w:val="-6"/>
                <w:sz w:val="21"/>
                <w:szCs w:val="21"/>
                <w:lang w:eastAsia="zh-CN"/>
              </w:rPr>
              <w:t>私家车</w:t>
            </w:r>
            <w:r>
              <w:rPr>
                <w:rFonts w:hint="eastAsia" w:ascii="宋体" w:hAnsi="宋体" w:eastAsia="宋体" w:cs="宋体"/>
                <w:color w:val="000000"/>
                <w:spacing w:val="-6"/>
                <w:sz w:val="21"/>
                <w:szCs w:val="21"/>
              </w:rPr>
              <w:t>较方便，交通便捷度</w:t>
            </w:r>
            <w:r>
              <w:rPr>
                <w:rFonts w:hint="eastAsia" w:ascii="宋体" w:hAnsi="宋体" w:eastAsia="宋体" w:cs="宋体"/>
                <w:color w:val="000000"/>
                <w:spacing w:val="-6"/>
                <w:sz w:val="21"/>
                <w:szCs w:val="21"/>
                <w:lang w:eastAsia="zh-CN"/>
              </w:rPr>
              <w:t>较</w:t>
            </w:r>
            <w:r>
              <w:rPr>
                <w:rFonts w:hint="eastAsia" w:ascii="宋体" w:hAnsi="宋体" w:eastAsia="宋体" w:cs="宋体"/>
                <w:color w:val="000000"/>
                <w:spacing w:val="-6"/>
                <w:sz w:val="21"/>
                <w:szCs w:val="21"/>
              </w:rPr>
              <w:t>高。3.交通管制情况：无特殊交通管制。4.停车方便程度：</w:t>
            </w:r>
            <w:r>
              <w:rPr>
                <w:rFonts w:hint="eastAsia" w:ascii="宋体" w:hAnsi="宋体" w:eastAsia="宋体" w:cs="宋体"/>
                <w:color w:val="000000"/>
                <w:sz w:val="21"/>
                <w:szCs w:val="21"/>
              </w:rPr>
              <w:t>小区</w:t>
            </w:r>
            <w:r>
              <w:rPr>
                <w:rFonts w:hint="eastAsia" w:ascii="宋体" w:hAnsi="宋体" w:eastAsia="宋体" w:cs="宋体"/>
                <w:color w:val="000000"/>
                <w:sz w:val="21"/>
                <w:szCs w:val="21"/>
                <w:lang w:eastAsia="zh-CN"/>
              </w:rPr>
              <w:t>周边设有停车位</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停车位数量较少，</w:t>
            </w:r>
            <w:r>
              <w:rPr>
                <w:rFonts w:hint="eastAsia" w:ascii="宋体" w:hAnsi="宋体" w:eastAsia="宋体" w:cs="宋体"/>
                <w:color w:val="000000"/>
                <w:sz w:val="21"/>
                <w:szCs w:val="21"/>
              </w:rPr>
              <w:t>停车便捷度</w:t>
            </w:r>
            <w:r>
              <w:rPr>
                <w:rFonts w:hint="eastAsia" w:ascii="宋体" w:hAnsi="宋体" w:eastAsia="宋体" w:cs="宋体"/>
                <w:color w:val="000000"/>
                <w:sz w:val="21"/>
                <w:szCs w:val="21"/>
                <w:lang w:eastAsia="zh-CN"/>
              </w:rPr>
              <w:t>一般</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lang w:eastAsia="zh-CN"/>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pacing w:val="-6"/>
                <w:sz w:val="21"/>
                <w:szCs w:val="21"/>
              </w:rPr>
              <w:t>1.道路状况：区域内有</w:t>
            </w:r>
            <w:r>
              <w:rPr>
                <w:rFonts w:hint="eastAsia" w:ascii="宋体" w:hAnsi="宋体" w:cs="宋体"/>
                <w:szCs w:val="21"/>
                <w:lang w:val="en-US" w:eastAsia="zh-CN"/>
              </w:rPr>
              <w:t>621县道</w:t>
            </w:r>
            <w:r>
              <w:rPr>
                <w:rFonts w:hint="eastAsia" w:ascii="宋体" w:hAnsi="宋体" w:cs="宋体"/>
                <w:szCs w:val="21"/>
              </w:rPr>
              <w:t>主干道</w:t>
            </w:r>
            <w:r>
              <w:rPr>
                <w:rFonts w:hint="eastAsia" w:ascii="宋体" w:hAnsi="宋体" w:eastAsia="宋体" w:cs="宋体"/>
                <w:color w:val="000000"/>
                <w:spacing w:val="-6"/>
                <w:sz w:val="21"/>
                <w:szCs w:val="21"/>
              </w:rPr>
              <w:t>，已形成城市路网，道路通达度高。2.出入可利用交通工具：公交车、</w:t>
            </w:r>
            <w:r>
              <w:rPr>
                <w:rFonts w:hint="eastAsia" w:ascii="宋体" w:hAnsi="宋体" w:eastAsia="宋体" w:cs="宋体"/>
                <w:color w:val="000000"/>
                <w:spacing w:val="-6"/>
                <w:sz w:val="21"/>
                <w:szCs w:val="21"/>
                <w:lang w:eastAsia="zh-CN"/>
              </w:rPr>
              <w:t>摩托车</w:t>
            </w:r>
            <w:r>
              <w:rPr>
                <w:rFonts w:hint="eastAsia" w:ascii="宋体" w:hAnsi="宋体" w:eastAsia="宋体" w:cs="宋体"/>
                <w:color w:val="000000"/>
                <w:spacing w:val="-6"/>
                <w:sz w:val="21"/>
                <w:szCs w:val="21"/>
              </w:rPr>
              <w:t>等，估价对象离公交站点较近，有</w:t>
            </w:r>
            <w:r>
              <w:rPr>
                <w:rFonts w:hint="eastAsia" w:ascii="宋体" w:hAnsi="宋体" w:cs="宋体"/>
                <w:color w:val="000000"/>
                <w:spacing w:val="-6"/>
                <w:sz w:val="21"/>
                <w:szCs w:val="21"/>
                <w:lang w:val="en-US" w:eastAsia="zh-CN"/>
              </w:rPr>
              <w:t>1</w:t>
            </w:r>
            <w:r>
              <w:rPr>
                <w:rFonts w:hint="eastAsia" w:ascii="宋体" w:hAnsi="宋体" w:eastAsia="宋体" w:cs="宋体"/>
                <w:color w:val="000000"/>
                <w:spacing w:val="-6"/>
                <w:sz w:val="21"/>
                <w:szCs w:val="21"/>
                <w:lang w:val="en-US" w:eastAsia="zh-CN"/>
              </w:rPr>
              <w:t>条公交线路</w:t>
            </w:r>
            <w:r>
              <w:rPr>
                <w:rFonts w:hint="eastAsia" w:ascii="宋体" w:hAnsi="宋体" w:eastAsia="宋体" w:cs="宋体"/>
                <w:color w:val="000000"/>
                <w:spacing w:val="-6"/>
                <w:sz w:val="21"/>
                <w:szCs w:val="21"/>
                <w:lang w:eastAsia="zh-CN"/>
              </w:rPr>
              <w:t>通过</w:t>
            </w:r>
            <w:r>
              <w:rPr>
                <w:rFonts w:hint="eastAsia" w:ascii="宋体" w:hAnsi="宋体" w:eastAsia="宋体" w:cs="宋体"/>
                <w:color w:val="000000"/>
                <w:spacing w:val="-6"/>
                <w:sz w:val="21"/>
                <w:szCs w:val="21"/>
              </w:rPr>
              <w:t>；公交班次</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，辐射范围</w:t>
            </w:r>
            <w:r>
              <w:rPr>
                <w:rFonts w:hint="eastAsia" w:ascii="宋体" w:hAnsi="宋体" w:eastAsia="宋体" w:cs="宋体"/>
                <w:color w:val="000000"/>
                <w:spacing w:val="-6"/>
                <w:sz w:val="21"/>
                <w:szCs w:val="21"/>
                <w:lang w:eastAsia="zh-CN"/>
              </w:rPr>
              <w:t>较少</w:t>
            </w:r>
            <w:r>
              <w:rPr>
                <w:rFonts w:hint="eastAsia" w:ascii="宋体" w:hAnsi="宋体" w:eastAsia="宋体" w:cs="宋体"/>
                <w:color w:val="000000"/>
                <w:spacing w:val="-6"/>
                <w:sz w:val="21"/>
                <w:szCs w:val="21"/>
              </w:rPr>
              <w:t>；乘坐</w:t>
            </w:r>
            <w:r>
              <w:rPr>
                <w:rFonts w:hint="eastAsia" w:ascii="宋体" w:hAnsi="宋体" w:eastAsia="宋体" w:cs="宋体"/>
                <w:color w:val="000000"/>
                <w:spacing w:val="-6"/>
                <w:sz w:val="21"/>
                <w:szCs w:val="21"/>
                <w:lang w:eastAsia="zh-CN"/>
              </w:rPr>
              <w:t>私家车</w:t>
            </w:r>
            <w:r>
              <w:rPr>
                <w:rFonts w:hint="eastAsia" w:ascii="宋体" w:hAnsi="宋体" w:eastAsia="宋体" w:cs="宋体"/>
                <w:color w:val="000000"/>
                <w:spacing w:val="-6"/>
                <w:sz w:val="21"/>
                <w:szCs w:val="21"/>
              </w:rPr>
              <w:t>较方便，交通便捷度</w:t>
            </w:r>
            <w:r>
              <w:rPr>
                <w:rFonts w:hint="eastAsia" w:ascii="宋体" w:hAnsi="宋体" w:eastAsia="宋体" w:cs="宋体"/>
                <w:color w:val="000000"/>
                <w:spacing w:val="-6"/>
                <w:sz w:val="21"/>
                <w:szCs w:val="21"/>
                <w:lang w:eastAsia="zh-CN"/>
              </w:rPr>
              <w:t>较</w:t>
            </w:r>
            <w:r>
              <w:rPr>
                <w:rFonts w:hint="eastAsia" w:ascii="宋体" w:hAnsi="宋体" w:eastAsia="宋体" w:cs="宋体"/>
                <w:color w:val="000000"/>
                <w:spacing w:val="-6"/>
                <w:sz w:val="21"/>
                <w:szCs w:val="21"/>
              </w:rPr>
              <w:t>高。3.交通管制情况：无特殊交通管制。4.停车方便程度：</w:t>
            </w:r>
            <w:r>
              <w:rPr>
                <w:rFonts w:hint="eastAsia" w:ascii="宋体" w:hAnsi="宋体" w:eastAsia="宋体" w:cs="宋体"/>
                <w:color w:val="000000"/>
                <w:sz w:val="21"/>
                <w:szCs w:val="21"/>
              </w:rPr>
              <w:t>小区</w:t>
            </w:r>
            <w:r>
              <w:rPr>
                <w:rFonts w:hint="eastAsia" w:ascii="宋体" w:hAnsi="宋体" w:eastAsia="宋体" w:cs="宋体"/>
                <w:color w:val="000000"/>
                <w:sz w:val="21"/>
                <w:szCs w:val="21"/>
                <w:lang w:eastAsia="zh-CN"/>
              </w:rPr>
              <w:t>周边设有停车位</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停车位数量较少，</w:t>
            </w:r>
            <w:r>
              <w:rPr>
                <w:rFonts w:hint="eastAsia" w:ascii="宋体" w:hAnsi="宋体" w:eastAsia="宋体" w:cs="宋体"/>
                <w:color w:val="000000"/>
                <w:sz w:val="21"/>
                <w:szCs w:val="21"/>
              </w:rPr>
              <w:t>停车便捷度</w:t>
            </w:r>
            <w:r>
              <w:rPr>
                <w:rFonts w:hint="eastAsia" w:ascii="宋体" w:hAnsi="宋体" w:eastAsia="宋体" w:cs="宋体"/>
                <w:color w:val="000000"/>
                <w:sz w:val="21"/>
                <w:szCs w:val="21"/>
                <w:lang w:eastAsia="zh-CN"/>
              </w:rPr>
              <w:t>一般</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外部配套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设施状况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基准（1.</w:t>
            </w:r>
            <w:r>
              <w:rPr>
                <w:rFonts w:hint="eastAsia" w:ascii="宋体" w:hAnsi="宋体" w:cs="宋体"/>
                <w:szCs w:val="21"/>
              </w:rPr>
              <w:t>基础设施已达“五通”，基础设施完善；公共服务设施有：</w:t>
            </w:r>
            <w:r>
              <w:rPr>
                <w:rFonts w:hint="eastAsia" w:ascii="宋体" w:hAnsi="宋体" w:cs="宋体"/>
                <w:szCs w:val="21"/>
                <w:lang w:eastAsia="zh-CN"/>
              </w:rPr>
              <w:t>坎市中学、坎市医院、云川公园、安宁市场、</w:t>
            </w:r>
            <w:r>
              <w:rPr>
                <w:rFonts w:hint="eastAsia" w:ascii="宋体" w:hAnsi="宋体" w:cs="宋体"/>
                <w:szCs w:val="21"/>
                <w:lang w:val="en-US" w:eastAsia="zh-CN"/>
              </w:rPr>
              <w:t>彩金实验小学、永定区坎市中学</w:t>
            </w:r>
            <w:r>
              <w:rPr>
                <w:rFonts w:hint="eastAsia" w:ascii="宋体" w:hAnsi="宋体" w:cs="宋体"/>
                <w:szCs w:val="21"/>
                <w:lang w:eastAsia="zh-CN"/>
              </w:rPr>
              <w:t>等；公共服务设</w:t>
            </w:r>
            <w:r>
              <w:rPr>
                <w:rFonts w:hint="eastAsia" w:ascii="宋体" w:hAnsi="宋体" w:cs="宋体"/>
                <w:szCs w:val="21"/>
              </w:rPr>
              <w:t>施齐全</w:t>
            </w:r>
            <w:r>
              <w:rPr>
                <w:rFonts w:hint="eastAsia" w:ascii="宋体" w:hAnsi="宋体" w:eastAsia="宋体" w:cs="宋体"/>
                <w:color w:val="000000"/>
                <w:sz w:val="21"/>
                <w:szCs w:val="21"/>
              </w:rPr>
              <w:t>）</w:t>
            </w:r>
          </w:p>
        </w:tc>
        <w:tc>
          <w:tcPr>
            <w:tcW w:w="1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宋体" w:hAnsi="宋体" w:cs="宋体"/>
                <w:color w:val="000000"/>
                <w:szCs w:val="21"/>
              </w:rPr>
            </w:pPr>
            <w:r>
              <w:rPr>
                <w:rFonts w:hint="eastAsia" w:ascii="宋体" w:hAnsi="宋体" w:eastAsia="宋体" w:cs="宋体"/>
                <w:color w:val="000000"/>
                <w:sz w:val="21"/>
                <w:szCs w:val="21"/>
              </w:rPr>
              <w:t>1.</w:t>
            </w:r>
            <w:r>
              <w:rPr>
                <w:rFonts w:hint="eastAsia" w:ascii="宋体" w:hAnsi="宋体" w:cs="宋体"/>
                <w:szCs w:val="21"/>
              </w:rPr>
              <w:t>基础设施已达“五通”，基础设施完善；公共服务设施有：</w:t>
            </w:r>
            <w:r>
              <w:rPr>
                <w:rFonts w:hint="eastAsia" w:ascii="宋体" w:hAnsi="宋体" w:cs="宋体"/>
                <w:szCs w:val="21"/>
                <w:lang w:eastAsia="zh-CN"/>
              </w:rPr>
              <w:t>坎市中学、坎市医院、云川公园、东方名殿娱乐城、安宁市场、云景花园</w:t>
            </w:r>
            <w:r>
              <w:rPr>
                <w:rFonts w:hint="eastAsia" w:ascii="宋体" w:hAnsi="宋体" w:cs="宋体"/>
                <w:szCs w:val="21"/>
              </w:rPr>
              <w:t>等；公共服务设施齐全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c>
          <w:tcPr>
            <w:tcW w:w="1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000000"/>
                <w:spacing w:val="-6"/>
                <w:sz w:val="21"/>
                <w:szCs w:val="21"/>
              </w:rPr>
            </w:pPr>
            <w:r>
              <w:rPr>
                <w:rFonts w:hint="eastAsia" w:ascii="宋体" w:hAnsi="宋体" w:eastAsia="宋体" w:cs="宋体"/>
                <w:color w:val="000000"/>
                <w:sz w:val="21"/>
                <w:szCs w:val="21"/>
              </w:rPr>
              <w:t>1.</w:t>
            </w:r>
            <w:r>
              <w:rPr>
                <w:rFonts w:hint="eastAsia" w:ascii="宋体" w:hAnsi="宋体" w:cs="宋体"/>
                <w:szCs w:val="21"/>
              </w:rPr>
              <w:t>基础设施已达“五通”，基础设施完善；公共服务设施有：</w:t>
            </w:r>
            <w:r>
              <w:rPr>
                <w:rFonts w:hint="eastAsia" w:ascii="宋体" w:hAnsi="宋体" w:cs="宋体"/>
                <w:szCs w:val="21"/>
                <w:lang w:eastAsia="zh-CN"/>
              </w:rPr>
              <w:t>坎市中学、坎市医院、云川公园、东方名殿娱乐城、安宁市场、云景花园</w:t>
            </w:r>
            <w:r>
              <w:rPr>
                <w:rFonts w:hint="eastAsia" w:ascii="宋体" w:hAnsi="宋体" w:cs="宋体"/>
                <w:szCs w:val="21"/>
              </w:rPr>
              <w:t>等；公共服务设施齐全</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c>
          <w:tcPr>
            <w:tcW w:w="14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pacing w:val="-6"/>
                <w:sz w:val="21"/>
                <w:szCs w:val="21"/>
              </w:rPr>
            </w:pPr>
            <w:r>
              <w:rPr>
                <w:rFonts w:hint="eastAsia" w:ascii="宋体" w:hAnsi="宋体" w:eastAsia="宋体" w:cs="宋体"/>
                <w:color w:val="000000"/>
                <w:sz w:val="21"/>
                <w:szCs w:val="21"/>
              </w:rPr>
              <w:t>1.</w:t>
            </w:r>
            <w:r>
              <w:rPr>
                <w:rFonts w:hint="eastAsia" w:ascii="宋体" w:hAnsi="宋体" w:cs="宋体"/>
                <w:szCs w:val="21"/>
              </w:rPr>
              <w:t>基础设施已达“五通”，基础设施完善；公共服务设施有：</w:t>
            </w:r>
            <w:r>
              <w:rPr>
                <w:rFonts w:hint="eastAsia" w:ascii="宋体" w:hAnsi="宋体" w:cs="宋体"/>
                <w:szCs w:val="21"/>
                <w:lang w:eastAsia="zh-CN"/>
              </w:rPr>
              <w:t>坎市中学、坎市医院、云川公园、东方名殿娱乐城、安宁市场、云景花园</w:t>
            </w:r>
            <w:r>
              <w:rPr>
                <w:rFonts w:hint="eastAsia" w:ascii="宋体" w:hAnsi="宋体" w:cs="宋体"/>
                <w:szCs w:val="21"/>
              </w:rPr>
              <w:t>等；公共服务设施齐全</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周围环境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pacing w:val="-6"/>
                <w:sz w:val="21"/>
                <w:szCs w:val="21"/>
              </w:rPr>
            </w:pPr>
            <w:r>
              <w:rPr>
                <w:rFonts w:hint="eastAsia" w:ascii="宋体" w:hAnsi="宋体" w:eastAsia="宋体" w:cs="宋体"/>
                <w:color w:val="000000"/>
                <w:spacing w:val="-6"/>
                <w:sz w:val="21"/>
                <w:szCs w:val="21"/>
              </w:rPr>
              <w:t>基准（1.自然环境：气候温和，雨量充沛，四季常青。2.人文环境:居民素质较好、声誉较好，治安状况较好，3.景观：区域绿化率</w:t>
            </w:r>
            <w:r>
              <w:rPr>
                <w:rFonts w:hint="eastAsia" w:ascii="宋体" w:hAnsi="宋体" w:eastAsia="宋体" w:cs="宋体"/>
                <w:color w:val="000000"/>
                <w:spacing w:val="-6"/>
                <w:sz w:val="21"/>
                <w:szCs w:val="21"/>
                <w:lang w:eastAsia="zh-CN"/>
              </w:rPr>
              <w:t>一般</w:t>
            </w:r>
            <w:r>
              <w:rPr>
                <w:rFonts w:hint="eastAsia" w:ascii="宋体" w:hAnsi="宋体" w:eastAsia="宋体" w:cs="宋体"/>
                <w:color w:val="000000"/>
                <w:spacing w:val="-6"/>
                <w:sz w:val="21"/>
                <w:szCs w:val="21"/>
              </w:rPr>
              <w:t>，环境景观较好。4.其他：</w:t>
            </w:r>
            <w:r>
              <w:rPr>
                <w:rFonts w:hint="eastAsia" w:ascii="宋体" w:hAnsi="宋体" w:eastAsia="宋体" w:cs="宋体"/>
                <w:color w:val="000000"/>
                <w:spacing w:val="-6"/>
                <w:sz w:val="21"/>
                <w:szCs w:val="21"/>
                <w:lang w:eastAsia="zh-CN"/>
              </w:rPr>
              <w:t>有一定的噪声影响</w:t>
            </w:r>
            <w:r>
              <w:rPr>
                <w:rFonts w:hint="eastAsia" w:ascii="宋体" w:hAnsi="宋体" w:eastAsia="宋体" w:cs="宋体"/>
                <w:color w:val="000000"/>
                <w:spacing w:val="-6"/>
                <w:sz w:val="21"/>
                <w:szCs w:val="21"/>
              </w:rPr>
              <w:t>，无明显污染源，环境治理和空气质量良好）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rPr>
              <w:t>1.自然环境：气候温和，雨量充沛，四季常青。2.人文环境:居民素质较好、声誉较好，治安状况较好，3.景观：区域绿化率</w:t>
            </w:r>
            <w:r>
              <w:rPr>
                <w:rFonts w:hint="eastAsia" w:ascii="宋体" w:hAnsi="宋体" w:eastAsia="宋体" w:cs="宋体"/>
                <w:color w:val="000000"/>
                <w:spacing w:val="-6"/>
                <w:sz w:val="21"/>
                <w:szCs w:val="21"/>
                <w:lang w:eastAsia="zh-CN"/>
              </w:rPr>
              <w:t>一般</w:t>
            </w:r>
            <w:r>
              <w:rPr>
                <w:rFonts w:hint="eastAsia" w:ascii="宋体" w:hAnsi="宋体" w:eastAsia="宋体" w:cs="宋体"/>
                <w:color w:val="000000"/>
                <w:spacing w:val="-6"/>
                <w:sz w:val="21"/>
                <w:szCs w:val="21"/>
              </w:rPr>
              <w:t>，环境景观较好。4.其他：</w:t>
            </w:r>
            <w:r>
              <w:rPr>
                <w:rFonts w:hint="eastAsia" w:ascii="宋体" w:hAnsi="宋体" w:eastAsia="宋体" w:cs="宋体"/>
                <w:color w:val="000000"/>
                <w:spacing w:val="-6"/>
                <w:sz w:val="21"/>
                <w:szCs w:val="21"/>
                <w:lang w:eastAsia="zh-CN"/>
              </w:rPr>
              <w:t>有一定的噪声影响</w:t>
            </w:r>
            <w:r>
              <w:rPr>
                <w:rFonts w:hint="eastAsia" w:ascii="宋体" w:hAnsi="宋体" w:eastAsia="宋体" w:cs="宋体"/>
                <w:color w:val="000000"/>
                <w:spacing w:val="-6"/>
                <w:sz w:val="21"/>
                <w:szCs w:val="21"/>
              </w:rPr>
              <w:t>，无明显污染源，环境治理和空气质量良好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000000"/>
                <w:sz w:val="21"/>
                <w:szCs w:val="21"/>
              </w:rPr>
            </w:pPr>
            <w:r>
              <w:rPr>
                <w:rFonts w:hint="eastAsia" w:ascii="宋体" w:hAnsi="宋体" w:eastAsia="宋体" w:cs="宋体"/>
                <w:color w:val="000000"/>
                <w:spacing w:val="-6"/>
                <w:sz w:val="21"/>
                <w:szCs w:val="21"/>
              </w:rPr>
              <w:t>1.自然环境：气候温和，雨量充沛，四季常青。2.人文环境:居民素质较好、声誉较好，治安状况较好，3.景观：区域绿化率</w:t>
            </w:r>
            <w:r>
              <w:rPr>
                <w:rFonts w:hint="eastAsia" w:ascii="宋体" w:hAnsi="宋体" w:eastAsia="宋体" w:cs="宋体"/>
                <w:color w:val="000000"/>
                <w:spacing w:val="-6"/>
                <w:sz w:val="21"/>
                <w:szCs w:val="21"/>
                <w:lang w:eastAsia="zh-CN"/>
              </w:rPr>
              <w:t>一般</w:t>
            </w:r>
            <w:r>
              <w:rPr>
                <w:rFonts w:hint="eastAsia" w:ascii="宋体" w:hAnsi="宋体" w:eastAsia="宋体" w:cs="宋体"/>
                <w:color w:val="000000"/>
                <w:spacing w:val="-6"/>
                <w:sz w:val="21"/>
                <w:szCs w:val="21"/>
              </w:rPr>
              <w:t>，环境景观较好。4.其他：</w:t>
            </w:r>
            <w:r>
              <w:rPr>
                <w:rFonts w:hint="eastAsia" w:ascii="宋体" w:hAnsi="宋体" w:eastAsia="宋体" w:cs="宋体"/>
                <w:color w:val="000000"/>
                <w:spacing w:val="-6"/>
                <w:sz w:val="21"/>
                <w:szCs w:val="21"/>
                <w:lang w:eastAsia="zh-CN"/>
              </w:rPr>
              <w:t>有一定的噪声影响</w:t>
            </w:r>
            <w:r>
              <w:rPr>
                <w:rFonts w:hint="eastAsia" w:ascii="宋体" w:hAnsi="宋体" w:eastAsia="宋体" w:cs="宋体"/>
                <w:color w:val="000000"/>
                <w:spacing w:val="-6"/>
                <w:sz w:val="21"/>
                <w:szCs w:val="21"/>
              </w:rPr>
              <w:t>，无明显污染源，环境治理和空气质量良好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000000"/>
                <w:sz w:val="21"/>
                <w:szCs w:val="21"/>
              </w:rPr>
            </w:pPr>
            <w:r>
              <w:rPr>
                <w:rFonts w:hint="eastAsia" w:ascii="宋体" w:hAnsi="宋体" w:eastAsia="宋体" w:cs="宋体"/>
                <w:color w:val="000000"/>
                <w:spacing w:val="-6"/>
                <w:sz w:val="21"/>
                <w:szCs w:val="21"/>
              </w:rPr>
              <w:t>1.自然环境：气候温和，雨量充沛，四季常青。2.人文环境:居民素质较好、声誉较好，治安状况较好，3.景观：区域绿化率</w:t>
            </w:r>
            <w:r>
              <w:rPr>
                <w:rFonts w:hint="eastAsia" w:ascii="宋体" w:hAnsi="宋体" w:eastAsia="宋体" w:cs="宋体"/>
                <w:color w:val="000000"/>
                <w:spacing w:val="-6"/>
                <w:sz w:val="21"/>
                <w:szCs w:val="21"/>
                <w:lang w:eastAsia="zh-CN"/>
              </w:rPr>
              <w:t>一般</w:t>
            </w:r>
            <w:r>
              <w:rPr>
                <w:rFonts w:hint="eastAsia" w:ascii="宋体" w:hAnsi="宋体" w:eastAsia="宋体" w:cs="宋体"/>
                <w:color w:val="000000"/>
                <w:spacing w:val="-6"/>
                <w:sz w:val="21"/>
                <w:szCs w:val="21"/>
              </w:rPr>
              <w:t>，环境景观较好。4.其他：</w:t>
            </w:r>
            <w:r>
              <w:rPr>
                <w:rFonts w:hint="eastAsia" w:ascii="宋体" w:hAnsi="宋体" w:eastAsia="宋体" w:cs="宋体"/>
                <w:color w:val="000000"/>
                <w:spacing w:val="-6"/>
                <w:sz w:val="21"/>
                <w:szCs w:val="21"/>
                <w:lang w:eastAsia="zh-CN"/>
              </w:rPr>
              <w:t>有一定的噪声影响</w:t>
            </w:r>
            <w:r>
              <w:rPr>
                <w:rFonts w:hint="eastAsia" w:ascii="宋体" w:hAnsi="宋体" w:eastAsia="宋体" w:cs="宋体"/>
                <w:color w:val="000000"/>
                <w:spacing w:val="-6"/>
                <w:sz w:val="21"/>
                <w:szCs w:val="21"/>
              </w:rPr>
              <w:t>，无明显污染源，环境治理和空气质量良好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pacing w:val="-6"/>
                <w:sz w:val="21"/>
                <w:szCs w:val="21"/>
              </w:rPr>
              <w:t>相似</w:t>
            </w:r>
          </w:p>
        </w:tc>
      </w:tr>
    </w:tbl>
    <w:p>
      <w:pPr>
        <w:keepNext w:val="0"/>
        <w:keepLines w:val="0"/>
        <w:pageBreakBefore w:val="0"/>
        <w:kinsoku/>
        <w:wordWrap/>
        <w:overflowPunct/>
        <w:topLinePunct w:val="0"/>
        <w:autoSpaceDE/>
        <w:autoSpaceDN/>
        <w:bidi w:val="0"/>
        <w:adjustRightInd/>
        <w:snapToGrid/>
        <w:spacing w:line="440" w:lineRule="exact"/>
        <w:jc w:val="right"/>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440" w:lineRule="exact"/>
        <w:jc w:val="right"/>
        <w:rPr>
          <w:rFonts w:hint="default" w:ascii="宋体" w:hAnsi="宋体" w:eastAsia="宋体" w:cs="宋体"/>
          <w:b/>
          <w:color w:val="000000"/>
          <w:kern w:val="0"/>
          <w:sz w:val="21"/>
          <w:szCs w:val="21"/>
          <w:lang w:val="en-US"/>
        </w:rPr>
      </w:pPr>
      <w:r>
        <w:rPr>
          <w:rFonts w:hint="eastAsia" w:ascii="宋体" w:hAnsi="宋体" w:eastAsia="宋体" w:cs="宋体"/>
          <w:color w:val="000000"/>
          <w:sz w:val="24"/>
          <w:szCs w:val="24"/>
          <w:lang w:val="en-US" w:eastAsia="zh-CN"/>
        </w:rPr>
        <w:t xml:space="preserve">实物状况因素比照表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488"/>
        <w:gridCol w:w="1387"/>
        <w:gridCol w:w="675"/>
        <w:gridCol w:w="1488"/>
        <w:gridCol w:w="691"/>
        <w:gridCol w:w="1417"/>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3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比较因素</w:t>
            </w:r>
          </w:p>
        </w:tc>
        <w:tc>
          <w:tcPr>
            <w:tcW w:w="148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估价对象</w:t>
            </w:r>
          </w:p>
        </w:tc>
        <w:tc>
          <w:tcPr>
            <w:tcW w:w="20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可比实例A</w:t>
            </w:r>
          </w:p>
        </w:tc>
        <w:tc>
          <w:tcPr>
            <w:tcW w:w="21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可比实例B</w:t>
            </w:r>
          </w:p>
        </w:tc>
        <w:tc>
          <w:tcPr>
            <w:tcW w:w="20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子项因素</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子项因素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建筑结构</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基准（</w:t>
            </w:r>
            <w:r>
              <w:rPr>
                <w:rFonts w:hint="eastAsia" w:ascii="宋体" w:hAnsi="宋体" w:eastAsia="宋体" w:cs="宋体"/>
                <w:color w:val="000000"/>
                <w:kern w:val="0"/>
                <w:sz w:val="21"/>
                <w:szCs w:val="21"/>
                <w:lang w:eastAsia="zh-CN"/>
              </w:rPr>
              <w:t>钢混</w:t>
            </w:r>
            <w:r>
              <w:rPr>
                <w:rFonts w:hint="eastAsia" w:ascii="宋体" w:hAnsi="宋体" w:eastAsia="宋体" w:cs="宋体"/>
                <w:color w:val="000000"/>
                <w:kern w:val="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cs="宋体"/>
                <w:color w:val="000000"/>
                <w:kern w:val="0"/>
                <w:sz w:val="21"/>
                <w:szCs w:val="21"/>
                <w:lang w:val="en-US" w:eastAsia="zh-CN"/>
              </w:rPr>
              <w:t>框架</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rPr>
              <w:t>钢混</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rPr>
              <w:t>钢混</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建筑规模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1"/>
                <w:szCs w:val="21"/>
                <w:lang w:val="en-US" w:eastAsia="zh-CN"/>
              </w:rPr>
            </w:pPr>
            <w:r>
              <w:rPr>
                <w:rFonts w:hint="eastAsia" w:ascii="宋体" w:hAnsi="宋体" w:cs="宋体"/>
                <w:sz w:val="21"/>
                <w:szCs w:val="21"/>
                <w:vertAlign w:val="baseline"/>
                <w:lang w:val="en-US" w:eastAsia="zh-CN"/>
              </w:rPr>
              <w:t>32.29</w:t>
            </w:r>
            <w:r>
              <w:rPr>
                <w:rFonts w:hint="eastAsia" w:ascii="宋体" w:hAnsi="宋体" w:eastAsia="宋体" w:cs="宋体"/>
                <w:color w:val="000000"/>
                <w:kern w:val="0"/>
                <w:sz w:val="21"/>
                <w:szCs w:val="21"/>
                <w:lang w:val="en-US" w:eastAsia="zh-CN"/>
              </w:rPr>
              <w:t>m</w:t>
            </w:r>
            <w:r>
              <w:rPr>
                <w:rFonts w:hint="eastAsia" w:ascii="宋体" w:hAnsi="宋体" w:eastAsia="宋体" w:cs="宋体"/>
                <w:color w:val="000000"/>
                <w:kern w:val="0"/>
                <w:sz w:val="21"/>
                <w:szCs w:val="21"/>
                <w:vertAlign w:val="superscript"/>
                <w:lang w:val="en-US" w:eastAsia="zh-CN"/>
              </w:rPr>
              <w:t>2</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cs="宋体"/>
                <w:szCs w:val="21"/>
                <w:lang w:val="en-US" w:eastAsia="zh-CN"/>
              </w:rPr>
              <w:t>133.23</w:t>
            </w:r>
            <w:r>
              <w:rPr>
                <w:rFonts w:hint="eastAsia" w:ascii="宋体" w:hAnsi="宋体" w:eastAsia="宋体" w:cs="宋体"/>
                <w:color w:val="000000"/>
                <w:kern w:val="0"/>
                <w:sz w:val="21"/>
                <w:szCs w:val="21"/>
                <w:lang w:val="en-US" w:eastAsia="zh-CN"/>
              </w:rPr>
              <w:t>m</w:t>
            </w:r>
            <w:r>
              <w:rPr>
                <w:rFonts w:hint="eastAsia" w:ascii="宋体" w:hAnsi="宋体" w:eastAsia="宋体" w:cs="宋体"/>
                <w:color w:val="000000"/>
                <w:kern w:val="0"/>
                <w:sz w:val="21"/>
                <w:szCs w:val="21"/>
                <w:vertAlign w:val="superscript"/>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较差</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cs="宋体"/>
                <w:color w:val="000000"/>
                <w:szCs w:val="21"/>
                <w:lang w:val="en-US" w:eastAsia="zh-CN"/>
              </w:rPr>
              <w:t>116.92</w:t>
            </w:r>
            <w:r>
              <w:rPr>
                <w:rFonts w:hint="eastAsia" w:ascii="宋体" w:hAnsi="宋体" w:eastAsia="宋体" w:cs="宋体"/>
                <w:color w:val="000000"/>
                <w:kern w:val="0"/>
                <w:sz w:val="21"/>
                <w:szCs w:val="21"/>
                <w:lang w:val="en-US" w:eastAsia="zh-CN"/>
              </w:rPr>
              <w:t>m</w:t>
            </w:r>
            <w:r>
              <w:rPr>
                <w:rFonts w:hint="eastAsia" w:ascii="宋体" w:hAnsi="宋体" w:eastAsia="宋体" w:cs="宋体"/>
                <w:color w:val="000000"/>
                <w:kern w:val="0"/>
                <w:sz w:val="21"/>
                <w:szCs w:val="21"/>
                <w:vertAlign w:val="superscript"/>
                <w:lang w:val="en-US" w:eastAsia="zh-CN"/>
              </w:rPr>
              <w:t>2</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较差</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cs="宋体"/>
                <w:color w:val="000000"/>
                <w:kern w:val="2"/>
                <w:sz w:val="21"/>
                <w:szCs w:val="21"/>
                <w:lang w:val="en-US" w:eastAsia="zh-CN" w:bidi="ar-SA"/>
              </w:rPr>
              <w:t>104.07</w:t>
            </w:r>
            <w:r>
              <w:rPr>
                <w:rFonts w:hint="eastAsia" w:ascii="宋体" w:hAnsi="宋体" w:eastAsia="宋体" w:cs="宋体"/>
                <w:color w:val="000000"/>
                <w:kern w:val="0"/>
                <w:sz w:val="21"/>
                <w:szCs w:val="21"/>
                <w:lang w:val="en-US" w:eastAsia="zh-CN"/>
              </w:rPr>
              <w:t>m</w:t>
            </w:r>
            <w:r>
              <w:rPr>
                <w:rFonts w:hint="eastAsia" w:ascii="宋体" w:hAnsi="宋体" w:eastAsia="宋体" w:cs="宋体"/>
                <w:color w:val="000000"/>
                <w:kern w:val="0"/>
                <w:sz w:val="21"/>
                <w:szCs w:val="21"/>
                <w:vertAlign w:val="superscript"/>
                <w:lang w:val="en-US" w:eastAsia="zh-CN"/>
              </w:rPr>
              <w:t>2</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层高</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eastAsia="zh-CN"/>
              </w:rPr>
              <w:t>约</w:t>
            </w:r>
            <w:r>
              <w:rPr>
                <w:rFonts w:hint="eastAsia" w:ascii="宋体" w:hAnsi="宋体" w:eastAsia="宋体" w:cs="宋体"/>
                <w:color w:val="000000"/>
                <w:kern w:val="0"/>
                <w:sz w:val="21"/>
                <w:szCs w:val="21"/>
                <w:lang w:val="en-US" w:eastAsia="zh-CN"/>
              </w:rPr>
              <w:t>2.9米</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rPr>
              <w:t>约</w:t>
            </w:r>
            <w:r>
              <w:rPr>
                <w:rFonts w:hint="eastAsia" w:ascii="宋体" w:hAnsi="宋体" w:eastAsia="宋体" w:cs="宋体"/>
                <w:color w:val="000000"/>
                <w:kern w:val="0"/>
                <w:sz w:val="21"/>
                <w:szCs w:val="21"/>
                <w:lang w:val="en-US" w:eastAsia="zh-CN"/>
              </w:rPr>
              <w:t>2.9米</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rPr>
              <w:t>约</w:t>
            </w:r>
            <w:r>
              <w:rPr>
                <w:rFonts w:hint="eastAsia" w:ascii="宋体" w:hAnsi="宋体" w:eastAsia="宋体" w:cs="宋体"/>
                <w:color w:val="000000"/>
                <w:kern w:val="0"/>
                <w:sz w:val="21"/>
                <w:szCs w:val="21"/>
                <w:lang w:val="en-US" w:eastAsia="zh-CN"/>
              </w:rPr>
              <w:t>2.9米</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rPr>
              <w:t>约</w:t>
            </w:r>
            <w:r>
              <w:rPr>
                <w:rFonts w:hint="eastAsia" w:ascii="宋体" w:hAnsi="宋体" w:eastAsia="宋体" w:cs="宋体"/>
                <w:color w:val="000000"/>
                <w:kern w:val="0"/>
                <w:sz w:val="21"/>
                <w:szCs w:val="21"/>
                <w:lang w:val="en-US" w:eastAsia="zh-CN"/>
              </w:rPr>
              <w:t>2.</w:t>
            </w:r>
            <w:r>
              <w:rPr>
                <w:rFonts w:hint="eastAsia" w:ascii="宋体" w:hAnsi="宋体" w:cs="宋体"/>
                <w:color w:val="000000"/>
                <w:kern w:val="0"/>
                <w:sz w:val="21"/>
                <w:szCs w:val="21"/>
                <w:lang w:val="en-US" w:eastAsia="zh-CN"/>
              </w:rPr>
              <w:t>9</w:t>
            </w:r>
            <w:r>
              <w:rPr>
                <w:rFonts w:hint="eastAsia" w:ascii="宋体" w:hAnsi="宋体" w:eastAsia="宋体" w:cs="宋体"/>
                <w:color w:val="000000"/>
                <w:kern w:val="0"/>
                <w:sz w:val="21"/>
                <w:szCs w:val="21"/>
                <w:lang w:val="en-US" w:eastAsia="zh-CN"/>
              </w:rPr>
              <w:t>米</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平面布局</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sz w:val="21"/>
                <w:szCs w:val="21"/>
                <w:lang w:eastAsia="zh-CN"/>
              </w:rPr>
              <w:t>平层</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设施设备</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基准（室内照明、通信、水电等配套设施齐全）</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室内照明、通信、水电等配套设施较齐全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sz w:val="21"/>
                <w:szCs w:val="21"/>
                <w:lang w:eastAsia="zh-CN"/>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室内照明、通信、水电等配套设施较齐全</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eastAsia="zh-CN"/>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室内照明、通信、水电等配套设施较齐全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外观</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基准（外观</w:t>
            </w:r>
            <w:r>
              <w:rPr>
                <w:rFonts w:hint="eastAsia" w:ascii="宋体" w:hAnsi="宋体" w:eastAsia="宋体" w:cs="宋体"/>
                <w:color w:val="000000"/>
                <w:kern w:val="0"/>
                <w:sz w:val="21"/>
                <w:szCs w:val="21"/>
                <w:lang w:eastAsia="zh-CN"/>
              </w:rPr>
              <w:t>良好</w:t>
            </w:r>
            <w:r>
              <w:rPr>
                <w:rFonts w:hint="eastAsia" w:ascii="宋体" w:hAnsi="宋体" w:eastAsia="宋体" w:cs="宋体"/>
                <w:color w:val="000000"/>
                <w:kern w:val="0"/>
                <w:sz w:val="21"/>
                <w:szCs w:val="21"/>
              </w:rPr>
              <w:t>，外墙</w:t>
            </w:r>
            <w:r>
              <w:rPr>
                <w:rFonts w:hint="eastAsia" w:ascii="宋体" w:hAnsi="宋体" w:eastAsia="宋体" w:cs="宋体"/>
                <w:color w:val="000000"/>
                <w:kern w:val="0"/>
                <w:sz w:val="21"/>
                <w:szCs w:val="21"/>
                <w:lang w:eastAsia="zh-CN"/>
              </w:rPr>
              <w:t>方砖饰面</w:t>
            </w:r>
            <w:r>
              <w:rPr>
                <w:rFonts w:hint="eastAsia" w:ascii="宋体" w:hAnsi="宋体" w:eastAsia="宋体" w:cs="宋体"/>
                <w:color w:val="000000"/>
                <w:kern w:val="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外观</w:t>
            </w:r>
            <w:r>
              <w:rPr>
                <w:rFonts w:hint="eastAsia" w:ascii="宋体" w:hAnsi="宋体" w:eastAsia="宋体" w:cs="宋体"/>
                <w:color w:val="000000"/>
                <w:kern w:val="0"/>
                <w:sz w:val="21"/>
                <w:szCs w:val="21"/>
                <w:lang w:eastAsia="zh-CN"/>
              </w:rPr>
              <w:t>良好</w:t>
            </w:r>
            <w:r>
              <w:rPr>
                <w:rFonts w:hint="eastAsia" w:ascii="宋体" w:hAnsi="宋体" w:eastAsia="宋体" w:cs="宋体"/>
                <w:color w:val="000000"/>
                <w:kern w:val="0"/>
                <w:sz w:val="21"/>
                <w:szCs w:val="21"/>
              </w:rPr>
              <w:t>，外墙</w:t>
            </w:r>
            <w:r>
              <w:rPr>
                <w:rFonts w:hint="eastAsia" w:ascii="宋体" w:hAnsi="宋体" w:eastAsia="宋体" w:cs="宋体"/>
                <w:color w:val="000000"/>
                <w:kern w:val="0"/>
                <w:sz w:val="21"/>
                <w:szCs w:val="21"/>
                <w:lang w:eastAsia="zh-CN"/>
              </w:rPr>
              <w:t>方砖饰面</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外观</w:t>
            </w:r>
            <w:r>
              <w:rPr>
                <w:rFonts w:hint="eastAsia" w:ascii="宋体" w:hAnsi="宋体" w:eastAsia="宋体" w:cs="宋体"/>
                <w:color w:val="000000"/>
                <w:kern w:val="0"/>
                <w:sz w:val="21"/>
                <w:szCs w:val="21"/>
                <w:lang w:eastAsia="zh-CN"/>
              </w:rPr>
              <w:t>良好</w:t>
            </w:r>
            <w:r>
              <w:rPr>
                <w:rFonts w:hint="eastAsia" w:ascii="宋体" w:hAnsi="宋体" w:eastAsia="宋体" w:cs="宋体"/>
                <w:color w:val="000000"/>
                <w:kern w:val="0"/>
                <w:sz w:val="21"/>
                <w:szCs w:val="21"/>
              </w:rPr>
              <w:t>，外墙</w:t>
            </w:r>
            <w:r>
              <w:rPr>
                <w:rFonts w:hint="eastAsia" w:ascii="宋体" w:hAnsi="宋体" w:eastAsia="宋体" w:cs="宋体"/>
                <w:color w:val="000000"/>
                <w:kern w:val="0"/>
                <w:sz w:val="21"/>
                <w:szCs w:val="21"/>
                <w:lang w:eastAsia="zh-CN"/>
              </w:rPr>
              <w:t>方砖饰面</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外观</w:t>
            </w:r>
            <w:r>
              <w:rPr>
                <w:rFonts w:hint="eastAsia" w:ascii="宋体" w:hAnsi="宋体" w:eastAsia="宋体" w:cs="宋体"/>
                <w:color w:val="000000"/>
                <w:kern w:val="0"/>
                <w:sz w:val="21"/>
                <w:szCs w:val="21"/>
                <w:lang w:eastAsia="zh-CN"/>
              </w:rPr>
              <w:t>良好</w:t>
            </w:r>
            <w:r>
              <w:rPr>
                <w:rFonts w:hint="eastAsia" w:ascii="宋体" w:hAnsi="宋体" w:eastAsia="宋体" w:cs="宋体"/>
                <w:color w:val="000000"/>
                <w:kern w:val="0"/>
                <w:sz w:val="21"/>
                <w:szCs w:val="21"/>
              </w:rPr>
              <w:t>，外墙</w:t>
            </w:r>
            <w:r>
              <w:rPr>
                <w:rFonts w:hint="eastAsia" w:ascii="宋体" w:hAnsi="宋体" w:eastAsia="宋体" w:cs="宋体"/>
                <w:color w:val="000000"/>
                <w:kern w:val="0"/>
                <w:sz w:val="21"/>
                <w:szCs w:val="21"/>
                <w:lang w:eastAsia="zh-CN"/>
              </w:rPr>
              <w:t>方砖饰面</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新旧程度</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基准（</w:t>
            </w:r>
            <w:r>
              <w:rPr>
                <w:rFonts w:hint="eastAsia" w:ascii="宋体" w:hAnsi="宋体" w:cs="宋体"/>
                <w:color w:val="000000"/>
                <w:sz w:val="21"/>
                <w:szCs w:val="21"/>
                <w:lang w:val="en-US" w:eastAsia="zh-CN"/>
              </w:rPr>
              <w:t>大约</w:t>
            </w:r>
            <w:r>
              <w:rPr>
                <w:rFonts w:hint="eastAsia" w:ascii="宋体" w:hAnsi="宋体" w:eastAsia="宋体" w:cs="宋体"/>
                <w:color w:val="000000"/>
                <w:sz w:val="21"/>
                <w:szCs w:val="21"/>
              </w:rPr>
              <w:t>建成于</w:t>
            </w:r>
            <w:r>
              <w:rPr>
                <w:rFonts w:hint="eastAsia" w:ascii="宋体" w:hAnsi="宋体" w:eastAsia="宋体" w:cs="宋体"/>
                <w:color w:val="000000"/>
                <w:sz w:val="21"/>
                <w:szCs w:val="21"/>
                <w:lang w:val="en-US" w:eastAsia="zh-CN"/>
              </w:rPr>
              <w:t>20</w:t>
            </w:r>
            <w:r>
              <w:rPr>
                <w:rFonts w:hint="eastAsia" w:ascii="宋体" w:hAnsi="宋体" w:cs="宋体"/>
                <w:color w:val="000000"/>
                <w:sz w:val="21"/>
                <w:szCs w:val="21"/>
                <w:lang w:val="en-US" w:eastAsia="zh-CN"/>
              </w:rPr>
              <w:t>05</w:t>
            </w:r>
            <w:r>
              <w:rPr>
                <w:rFonts w:hint="eastAsia" w:ascii="宋体" w:hAnsi="宋体" w:eastAsia="宋体" w:cs="宋体"/>
                <w:color w:val="000000"/>
                <w:sz w:val="21"/>
                <w:szCs w:val="21"/>
              </w:rPr>
              <w:t>年，维护状况</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好，功能折旧不明显，无外部性折旧）</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建成于</w:t>
            </w:r>
            <w:r>
              <w:rPr>
                <w:rFonts w:hint="eastAsia" w:ascii="宋体" w:hAnsi="宋体" w:eastAsia="宋体" w:cs="宋体"/>
                <w:color w:val="000000"/>
                <w:sz w:val="21"/>
                <w:szCs w:val="21"/>
                <w:lang w:val="en-US" w:eastAsia="zh-CN"/>
              </w:rPr>
              <w:t>20</w:t>
            </w: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年，维护状况</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好，功能折旧不明显，无外部性折旧</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较好</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建成于</w:t>
            </w:r>
            <w:r>
              <w:rPr>
                <w:rFonts w:hint="eastAsia" w:ascii="宋体" w:hAnsi="宋体" w:cs="宋体"/>
                <w:color w:val="000000"/>
                <w:sz w:val="21"/>
                <w:szCs w:val="21"/>
                <w:lang w:val="en-US" w:eastAsia="zh-CN"/>
              </w:rPr>
              <w:t>2015</w:t>
            </w:r>
            <w:r>
              <w:rPr>
                <w:rFonts w:hint="eastAsia" w:ascii="宋体" w:hAnsi="宋体" w:eastAsia="宋体" w:cs="宋体"/>
                <w:color w:val="000000"/>
                <w:sz w:val="21"/>
                <w:szCs w:val="21"/>
              </w:rPr>
              <w:t>年，维护状况</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好，功能折旧不明显，无外部性折旧</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较好</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建成于</w:t>
            </w:r>
            <w:r>
              <w:rPr>
                <w:rFonts w:hint="eastAsia" w:ascii="宋体" w:hAnsi="宋体" w:cs="宋体"/>
                <w:color w:val="000000"/>
                <w:sz w:val="21"/>
                <w:szCs w:val="21"/>
                <w:lang w:val="en-US" w:eastAsia="zh-CN"/>
              </w:rPr>
              <w:t>2015</w:t>
            </w:r>
            <w:r>
              <w:rPr>
                <w:rFonts w:hint="eastAsia" w:ascii="宋体" w:hAnsi="宋体" w:eastAsia="宋体" w:cs="宋体"/>
                <w:color w:val="000000"/>
                <w:sz w:val="21"/>
                <w:szCs w:val="21"/>
              </w:rPr>
              <w:t>年，维护状况</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好，功能折旧不明显，无外部性折旧</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小区规模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基准（</w:t>
            </w:r>
            <w:r>
              <w:rPr>
                <w:rFonts w:hint="eastAsia" w:ascii="宋体" w:hAnsi="宋体" w:eastAsia="宋体" w:cs="宋体"/>
                <w:color w:val="000000"/>
                <w:sz w:val="21"/>
                <w:szCs w:val="21"/>
                <w:lang w:eastAsia="zh-CN"/>
              </w:rPr>
              <w:t>中等</w:t>
            </w:r>
            <w:r>
              <w:rPr>
                <w:rFonts w:hint="eastAsia" w:ascii="宋体" w:hAnsi="宋体" w:eastAsia="宋体" w:cs="宋体"/>
                <w:color w:val="00000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中等</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中等</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中等</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小区环境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景观</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基准（空气质量</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好，卫生情况</w:t>
            </w:r>
            <w:r>
              <w:rPr>
                <w:rFonts w:hint="eastAsia" w:ascii="宋体" w:hAnsi="宋体" w:eastAsia="宋体" w:cs="宋体"/>
                <w:color w:val="000000"/>
                <w:sz w:val="21"/>
                <w:szCs w:val="21"/>
                <w:lang w:eastAsia="zh-CN"/>
              </w:rPr>
              <w:t>一般</w:t>
            </w:r>
            <w:r>
              <w:rPr>
                <w:rFonts w:hint="eastAsia" w:ascii="宋体" w:hAnsi="宋体" w:eastAsia="宋体" w:cs="宋体"/>
                <w:color w:val="000000"/>
                <w:sz w:val="21"/>
                <w:szCs w:val="21"/>
              </w:rPr>
              <w:t>，绿化情况</w:t>
            </w:r>
            <w:r>
              <w:rPr>
                <w:rFonts w:hint="eastAsia" w:ascii="宋体" w:hAnsi="宋体" w:eastAsia="宋体" w:cs="宋体"/>
                <w:color w:val="000000"/>
                <w:sz w:val="21"/>
                <w:szCs w:val="21"/>
                <w:lang w:eastAsia="zh-CN"/>
              </w:rPr>
              <w:t>一般</w:t>
            </w:r>
            <w:r>
              <w:rPr>
                <w:rFonts w:hint="eastAsia" w:ascii="宋体" w:hAnsi="宋体" w:eastAsia="宋体" w:cs="宋体"/>
                <w:color w:val="00000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空气质量</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好，卫生情况</w:t>
            </w:r>
            <w:r>
              <w:rPr>
                <w:rFonts w:hint="eastAsia" w:ascii="宋体" w:hAnsi="宋体" w:eastAsia="宋体" w:cs="宋体"/>
                <w:color w:val="000000"/>
                <w:sz w:val="21"/>
                <w:szCs w:val="21"/>
                <w:lang w:eastAsia="zh-CN"/>
              </w:rPr>
              <w:t>一般</w:t>
            </w:r>
            <w:r>
              <w:rPr>
                <w:rFonts w:hint="eastAsia" w:ascii="宋体" w:hAnsi="宋体" w:eastAsia="宋体" w:cs="宋体"/>
                <w:color w:val="000000"/>
                <w:sz w:val="21"/>
                <w:szCs w:val="21"/>
              </w:rPr>
              <w:t>，绿化情况</w:t>
            </w:r>
            <w:r>
              <w:rPr>
                <w:rFonts w:hint="eastAsia" w:ascii="宋体" w:hAnsi="宋体" w:eastAsia="宋体" w:cs="宋体"/>
                <w:color w:val="000000"/>
                <w:sz w:val="21"/>
                <w:szCs w:val="21"/>
                <w:lang w:eastAsia="zh-CN"/>
              </w:rPr>
              <w:t>一般</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空气质量</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好，卫生情况</w:t>
            </w:r>
            <w:r>
              <w:rPr>
                <w:rFonts w:hint="eastAsia" w:ascii="宋体" w:hAnsi="宋体" w:eastAsia="宋体" w:cs="宋体"/>
                <w:color w:val="000000"/>
                <w:sz w:val="21"/>
                <w:szCs w:val="21"/>
                <w:lang w:eastAsia="zh-CN"/>
              </w:rPr>
              <w:t>一般</w:t>
            </w:r>
            <w:r>
              <w:rPr>
                <w:rFonts w:hint="eastAsia" w:ascii="宋体" w:hAnsi="宋体" w:eastAsia="宋体" w:cs="宋体"/>
                <w:color w:val="000000"/>
                <w:sz w:val="21"/>
                <w:szCs w:val="21"/>
              </w:rPr>
              <w:t>，绿化情况</w:t>
            </w:r>
            <w:r>
              <w:rPr>
                <w:rFonts w:hint="eastAsia" w:ascii="宋体" w:hAnsi="宋体" w:eastAsia="宋体" w:cs="宋体"/>
                <w:color w:val="000000"/>
                <w:sz w:val="21"/>
                <w:szCs w:val="21"/>
                <w:lang w:eastAsia="zh-CN"/>
              </w:rPr>
              <w:t>一般</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空气质量</w:t>
            </w:r>
            <w:r>
              <w:rPr>
                <w:rFonts w:hint="eastAsia" w:ascii="宋体" w:hAnsi="宋体" w:eastAsia="宋体" w:cs="宋体"/>
                <w:color w:val="000000"/>
                <w:sz w:val="21"/>
                <w:szCs w:val="21"/>
                <w:lang w:eastAsia="zh-CN"/>
              </w:rPr>
              <w:t>良</w:t>
            </w:r>
            <w:r>
              <w:rPr>
                <w:rFonts w:hint="eastAsia" w:ascii="宋体" w:hAnsi="宋体" w:eastAsia="宋体" w:cs="宋体"/>
                <w:color w:val="000000"/>
                <w:sz w:val="21"/>
                <w:szCs w:val="21"/>
              </w:rPr>
              <w:t>好，卫生情况</w:t>
            </w:r>
            <w:r>
              <w:rPr>
                <w:rFonts w:hint="eastAsia" w:ascii="宋体" w:hAnsi="宋体" w:eastAsia="宋体" w:cs="宋体"/>
                <w:color w:val="000000"/>
                <w:sz w:val="21"/>
                <w:szCs w:val="21"/>
                <w:lang w:eastAsia="zh-CN"/>
              </w:rPr>
              <w:t>一般</w:t>
            </w:r>
            <w:r>
              <w:rPr>
                <w:rFonts w:hint="eastAsia" w:ascii="宋体" w:hAnsi="宋体" w:eastAsia="宋体" w:cs="宋体"/>
                <w:color w:val="000000"/>
                <w:sz w:val="21"/>
                <w:szCs w:val="21"/>
              </w:rPr>
              <w:t>，绿化情况</w:t>
            </w:r>
            <w:r>
              <w:rPr>
                <w:rFonts w:hint="eastAsia" w:ascii="宋体" w:hAnsi="宋体" w:eastAsia="宋体" w:cs="宋体"/>
                <w:color w:val="000000"/>
                <w:sz w:val="21"/>
                <w:szCs w:val="21"/>
                <w:lang w:eastAsia="zh-CN"/>
              </w:rPr>
              <w:t>一般</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小区档次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基准（</w:t>
            </w:r>
            <w:r>
              <w:rPr>
                <w:rFonts w:hint="eastAsia" w:ascii="宋体" w:hAnsi="宋体" w:eastAsia="宋体" w:cs="宋体"/>
                <w:color w:val="000000"/>
                <w:sz w:val="21"/>
                <w:szCs w:val="21"/>
                <w:lang w:eastAsia="zh-CN"/>
              </w:rPr>
              <w:t>良好</w:t>
            </w:r>
            <w:r>
              <w:rPr>
                <w:rFonts w:hint="eastAsia" w:ascii="宋体" w:hAnsi="宋体" w:eastAsia="宋体" w:cs="宋体"/>
                <w:color w:val="00000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良好</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小区配套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设施</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基准（水、电、通信、网络等设施较齐全；小区配套设施</w:t>
            </w:r>
            <w:r>
              <w:rPr>
                <w:rFonts w:hint="eastAsia" w:ascii="宋体" w:hAnsi="宋体" w:eastAsia="宋体" w:cs="宋体"/>
                <w:color w:val="000000"/>
                <w:sz w:val="21"/>
                <w:szCs w:val="21"/>
                <w:lang w:eastAsia="zh-CN"/>
              </w:rPr>
              <w:t>较</w:t>
            </w:r>
            <w:r>
              <w:rPr>
                <w:rFonts w:hint="eastAsia" w:ascii="宋体" w:hAnsi="宋体" w:eastAsia="宋体" w:cs="宋体"/>
                <w:color w:val="000000"/>
                <w:sz w:val="21"/>
                <w:szCs w:val="21"/>
              </w:rPr>
              <w:t>齐全）</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水、电、通信、网络等设施较齐全；小区配套设施</w:t>
            </w:r>
            <w:r>
              <w:rPr>
                <w:rFonts w:hint="eastAsia" w:ascii="宋体" w:hAnsi="宋体" w:eastAsia="宋体" w:cs="宋体"/>
                <w:color w:val="000000"/>
                <w:sz w:val="21"/>
                <w:szCs w:val="21"/>
                <w:lang w:eastAsia="zh-CN"/>
              </w:rPr>
              <w:t>较</w:t>
            </w:r>
            <w:r>
              <w:rPr>
                <w:rFonts w:hint="eastAsia" w:ascii="宋体" w:hAnsi="宋体" w:eastAsia="宋体" w:cs="宋体"/>
                <w:color w:val="000000"/>
                <w:sz w:val="21"/>
                <w:szCs w:val="21"/>
              </w:rPr>
              <w:t>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水、电、通信、网络等设施较齐全；小区配套设施</w:t>
            </w:r>
            <w:r>
              <w:rPr>
                <w:rFonts w:hint="eastAsia" w:ascii="宋体" w:hAnsi="宋体" w:eastAsia="宋体" w:cs="宋体"/>
                <w:color w:val="000000"/>
                <w:sz w:val="21"/>
                <w:szCs w:val="21"/>
                <w:lang w:eastAsia="zh-CN"/>
              </w:rPr>
              <w:t>较</w:t>
            </w:r>
            <w:r>
              <w:rPr>
                <w:rFonts w:hint="eastAsia" w:ascii="宋体" w:hAnsi="宋体" w:eastAsia="宋体" w:cs="宋体"/>
                <w:color w:val="000000"/>
                <w:sz w:val="21"/>
                <w:szCs w:val="21"/>
              </w:rPr>
              <w:t>齐全</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水、电、通信、网络等设施较齐全；小区配套设施</w:t>
            </w:r>
            <w:r>
              <w:rPr>
                <w:rFonts w:hint="eastAsia" w:ascii="宋体" w:hAnsi="宋体" w:eastAsia="宋体" w:cs="宋体"/>
                <w:color w:val="000000"/>
                <w:sz w:val="21"/>
                <w:szCs w:val="21"/>
                <w:lang w:eastAsia="zh-CN"/>
              </w:rPr>
              <w:t>较</w:t>
            </w:r>
            <w:r>
              <w:rPr>
                <w:rFonts w:hint="eastAsia" w:ascii="宋体" w:hAnsi="宋体" w:eastAsia="宋体" w:cs="宋体"/>
                <w:color w:val="000000"/>
                <w:sz w:val="21"/>
                <w:szCs w:val="21"/>
              </w:rPr>
              <w:t>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物业服务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基准 （</w:t>
            </w:r>
            <w:r>
              <w:rPr>
                <w:rFonts w:hint="eastAsia" w:ascii="宋体" w:hAnsi="宋体" w:eastAsia="宋体" w:cs="宋体"/>
                <w:color w:val="000000"/>
                <w:sz w:val="21"/>
                <w:szCs w:val="21"/>
                <w:lang w:val="en-US" w:eastAsia="zh-CN"/>
              </w:rPr>
              <w:t>良好</w:t>
            </w:r>
            <w:r>
              <w:rPr>
                <w:rFonts w:hint="eastAsia" w:ascii="宋体" w:hAnsi="宋体" w:eastAsia="宋体" w:cs="宋体"/>
                <w:color w:val="00000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相似</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良好</w:t>
            </w: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相似</w:t>
            </w:r>
          </w:p>
        </w:tc>
      </w:tr>
    </w:tbl>
    <w:p>
      <w:pPr>
        <w:keepNext w:val="0"/>
        <w:keepLines w:val="0"/>
        <w:pageBreakBefore w:val="0"/>
        <w:widowControl w:val="0"/>
        <w:kinsoku/>
        <w:wordWrap/>
        <w:overflowPunct/>
        <w:topLinePunct w:val="0"/>
        <w:autoSpaceDE/>
        <w:autoSpaceDN/>
        <w:bidi w:val="0"/>
        <w:adjustRightInd/>
        <w:snapToGrid/>
        <w:spacing w:before="157" w:beforeLines="50" w:line="440" w:lineRule="exact"/>
        <w:ind w:left="0" w:leftChars="0" w:right="0" w:rightChars="0" w:firstLine="0" w:firstLineChars="0"/>
        <w:jc w:val="right"/>
        <w:textAlignment w:val="auto"/>
        <w:outlineLvl w:val="9"/>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 xml:space="preserve">权益状况因素比照表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13</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600"/>
        <w:gridCol w:w="1331"/>
        <w:gridCol w:w="709"/>
        <w:gridCol w:w="1417"/>
        <w:gridCol w:w="709"/>
        <w:gridCol w:w="1417"/>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比较因素</w:t>
            </w:r>
          </w:p>
        </w:tc>
        <w:tc>
          <w:tcPr>
            <w:tcW w:w="160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估价对象</w:t>
            </w:r>
          </w:p>
        </w:tc>
        <w:tc>
          <w:tcPr>
            <w:tcW w:w="20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可比实例A</w:t>
            </w:r>
          </w:p>
        </w:tc>
        <w:tc>
          <w:tcPr>
            <w:tcW w:w="21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可比实例B</w:t>
            </w:r>
          </w:p>
        </w:tc>
        <w:tc>
          <w:tcPr>
            <w:tcW w:w="20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2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子项因素</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kern w:val="0"/>
                <w:szCs w:val="21"/>
              </w:rPr>
              <w:t>子项因素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比较结果</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kern w:val="0"/>
                <w:szCs w:val="21"/>
              </w:rPr>
              <w:t>子项因素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比较结果</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kern w:val="0"/>
                <w:szCs w:val="21"/>
              </w:rPr>
              <w:t>子项因素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规划条件</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基准（</w:t>
            </w:r>
            <w:r>
              <w:rPr>
                <w:rFonts w:hint="eastAsia" w:ascii="宋体" w:hAnsi="宋体" w:eastAsia="宋体" w:cs="宋体"/>
                <w:color w:val="000000"/>
                <w:szCs w:val="21"/>
              </w:rPr>
              <w:t>较好）</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规划条件与估价对象相当</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规划条件与估价对象相当</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规划条件与估价对象相当</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土地级别</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二级</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cs="宋体"/>
                <w:color w:val="000000"/>
                <w:kern w:val="0"/>
                <w:szCs w:val="21"/>
                <w:lang w:val="en-US" w:eastAsia="zh-CN"/>
              </w:rPr>
              <w:t>二级</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cs="宋体"/>
                <w:color w:val="000000"/>
                <w:kern w:val="0"/>
                <w:szCs w:val="21"/>
                <w:lang w:val="en-US" w:eastAsia="zh-CN"/>
              </w:rPr>
              <w:t>二级</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cs="宋体"/>
                <w:color w:val="000000"/>
                <w:kern w:val="0"/>
                <w:szCs w:val="21"/>
                <w:lang w:val="en-US" w:eastAsia="zh-CN"/>
              </w:rPr>
              <w:t>二级</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其他</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基准（无）</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相似</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4、各种因素的修正或调整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（1）交易情况修正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交易情况修正采用百分比修正法。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可比实例A、B、C均属正常交易，不必进行修正，可比实例A、B、C交易情况修正系数均为100/100。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cs="宋体"/>
          <w:color w:val="000000"/>
          <w:sz w:val="24"/>
          <w:szCs w:val="24"/>
        </w:rPr>
      </w:pPr>
      <w:r>
        <w:rPr>
          <w:rFonts w:hint="eastAsia" w:ascii="宋体" w:hAnsi="宋体" w:cs="宋体"/>
          <w:color w:val="000000"/>
          <w:sz w:val="24"/>
          <w:szCs w:val="24"/>
          <w:lang w:val="en-US" w:eastAsia="zh-CN"/>
        </w:rPr>
        <w:t xml:space="preserve">   （2）市场状况调整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color w:val="000000"/>
          <w:sz w:val="24"/>
          <w:szCs w:val="24"/>
        </w:rPr>
      </w:pPr>
      <w:r>
        <w:rPr>
          <w:rFonts w:hint="eastAsia" w:ascii="宋体" w:hAnsi="宋体" w:cs="宋体"/>
          <w:color w:val="000000"/>
          <w:sz w:val="24"/>
          <w:szCs w:val="24"/>
        </w:rPr>
        <w:t>市场状况修正：</w:t>
      </w:r>
      <w:r>
        <w:rPr>
          <w:rFonts w:ascii="宋体" w:hAnsi="宋体" w:eastAsia="宋体" w:cs="宋体"/>
          <w:color w:val="000000"/>
          <w:kern w:val="0"/>
          <w:sz w:val="24"/>
          <w:szCs w:val="24"/>
          <w:lang w:val="en-US" w:eastAsia="zh-CN" w:bidi="ar"/>
        </w:rPr>
        <w:t>因未取得官方价格指数，据估价师市场调查结合待估对象实际状况，可比实例A、B、C的成交时间与价值</w:t>
      </w:r>
      <w:r>
        <w:rPr>
          <w:rFonts w:hint="eastAsia" w:ascii="宋体" w:hAnsi="宋体" w:eastAsia="宋体" w:cs="宋体"/>
          <w:color w:val="000000"/>
          <w:kern w:val="0"/>
          <w:sz w:val="24"/>
          <w:szCs w:val="24"/>
          <w:lang w:val="en-US" w:eastAsia="zh-CN" w:bidi="ar"/>
        </w:rPr>
        <w:t>时点接近</w:t>
      </w:r>
      <w:r>
        <w:rPr>
          <w:rFonts w:ascii="宋体" w:hAnsi="宋体" w:eastAsia="宋体" w:cs="宋体"/>
          <w:color w:val="000000"/>
          <w:kern w:val="0"/>
          <w:sz w:val="24"/>
          <w:szCs w:val="24"/>
          <w:lang w:val="en-US" w:eastAsia="zh-CN" w:bidi="ar"/>
        </w:rPr>
        <w:t>，此间</w:t>
      </w:r>
      <w:r>
        <w:rPr>
          <w:rFonts w:hint="eastAsia" w:ascii="宋体" w:hAnsi="宋体" w:eastAsia="宋体" w:cs="宋体"/>
          <w:color w:val="000000"/>
          <w:kern w:val="0"/>
          <w:sz w:val="24"/>
          <w:szCs w:val="24"/>
          <w:lang w:val="en-US" w:eastAsia="zh-CN" w:bidi="ar"/>
        </w:rPr>
        <w:t>住宅市场平稳</w:t>
      </w:r>
      <w:r>
        <w:rPr>
          <w:rFonts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故不需</w:t>
      </w:r>
      <w:r>
        <w:rPr>
          <w:rFonts w:ascii="宋体" w:hAnsi="宋体" w:eastAsia="宋体" w:cs="宋体"/>
          <w:color w:val="000000"/>
          <w:kern w:val="0"/>
          <w:sz w:val="24"/>
          <w:szCs w:val="24"/>
          <w:lang w:val="en-US" w:eastAsia="zh-CN" w:bidi="ar"/>
        </w:rPr>
        <w:t>进行市场状况调整，即市场状况调整系数均为A：10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；B：10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；C：10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0</w:t>
      </w:r>
      <w:r>
        <w:rPr>
          <w:rFonts w:ascii="宋体" w:hAnsi="宋体" w:eastAsia="宋体" w:cs="宋体"/>
          <w:color w:val="000000"/>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（3）区位、实物及权益状况调整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以估价对象条件为基准100，各可比实例分别与估价的区位、实物及权益状况中的每个子项因素进行比较，比估价对象好的，调整值为“+”，反之为“-”，相似（相同）为“0”，得出各可比实例的区位、实物、权益状况的调整系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区位、实物及权益状况的调整方法均采用直接比较法，并采用百分比调整。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以下各子项调整值中均已考虑了该子项因素对价值的影响权重。                 </w:t>
      </w:r>
    </w:p>
    <w:p>
      <w:pPr>
        <w:keepNext w:val="0"/>
        <w:keepLines w:val="0"/>
        <w:pageBreakBefore w:val="0"/>
        <w:widowControl w:val="0"/>
        <w:kinsoku/>
        <w:wordWrap/>
        <w:overflowPunct/>
        <w:topLinePunct w:val="0"/>
        <w:autoSpaceDE/>
        <w:autoSpaceDN/>
        <w:bidi w:val="0"/>
        <w:adjustRightInd/>
        <w:snapToGrid/>
        <w:spacing w:line="440" w:lineRule="exact"/>
        <w:ind w:left="479" w:leftChars="228"/>
        <w:jc w:val="right"/>
        <w:textAlignment w:val="auto"/>
        <w:rPr>
          <w:rFonts w:hint="default" w:ascii="仿宋" w:hAnsi="仿宋" w:eastAsia="仿宋" w:cs="宋体"/>
          <w:b/>
          <w:color w:val="000000"/>
          <w:kern w:val="0"/>
          <w:sz w:val="24"/>
          <w:szCs w:val="24"/>
          <w:lang w:val="en-US"/>
        </w:rPr>
      </w:pPr>
      <w:r>
        <w:rPr>
          <w:rFonts w:hint="eastAsia" w:ascii="宋体" w:hAnsi="宋体" w:cs="宋体"/>
          <w:color w:val="000000"/>
          <w:sz w:val="24"/>
          <w:szCs w:val="24"/>
          <w:lang w:val="en-US" w:eastAsia="zh-CN"/>
        </w:rPr>
        <w:t xml:space="preserve">区位状况调整系数表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14</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161"/>
        <w:gridCol w:w="1161"/>
        <w:gridCol w:w="1"/>
        <w:gridCol w:w="1160"/>
        <w:gridCol w:w="1161"/>
        <w:gridCol w:w="2"/>
        <w:gridCol w:w="115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项目名称</w:t>
            </w:r>
          </w:p>
        </w:tc>
        <w:tc>
          <w:tcPr>
            <w:tcW w:w="23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可比实例A</w:t>
            </w:r>
          </w:p>
        </w:tc>
        <w:tc>
          <w:tcPr>
            <w:tcW w:w="23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可比实例B</w:t>
            </w:r>
          </w:p>
        </w:tc>
        <w:tc>
          <w:tcPr>
            <w:tcW w:w="23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楼幢位置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楼层</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略</w:t>
            </w:r>
            <w:r>
              <w:rPr>
                <w:rFonts w:hint="eastAsia" w:ascii="宋体" w:hAnsi="宋体" w:cs="宋体"/>
                <w:color w:val="000000"/>
                <w:szCs w:val="21"/>
                <w:lang w:val="en-US" w:eastAsia="zh-CN"/>
              </w:rPr>
              <w:t>好</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略</w:t>
            </w:r>
            <w:r>
              <w:rPr>
                <w:rFonts w:hint="eastAsia" w:ascii="宋体" w:hAnsi="宋体" w:cs="宋体"/>
                <w:color w:val="000000"/>
                <w:szCs w:val="21"/>
                <w:lang w:val="en-US" w:eastAsia="zh-CN"/>
              </w:rPr>
              <w:t>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rPr>
              <w:t>朝向</w:t>
            </w:r>
            <w:r>
              <w:rPr>
                <w:rFonts w:hint="eastAsia" w:ascii="宋体" w:hAnsi="宋体" w:eastAsia="宋体" w:cs="宋体"/>
                <w:color w:val="000000"/>
                <w:szCs w:val="21"/>
                <w:lang w:eastAsia="zh-CN"/>
              </w:rPr>
              <w:t>、采光</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 w:val="21"/>
                <w:szCs w:val="21"/>
                <w:lang w:val="en-US" w:eastAsia="zh-CN"/>
              </w:rPr>
              <w:t>较好</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 w:val="21"/>
                <w:szCs w:val="21"/>
                <w:lang w:val="en-US" w:eastAsia="zh-CN"/>
              </w:rPr>
              <w:t>较好</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cs="宋体"/>
                <w:color w:val="000000"/>
                <w:sz w:val="21"/>
                <w:szCs w:val="21"/>
                <w:lang w:val="en-US" w:eastAsia="zh-CN"/>
              </w:rPr>
              <w:t>较好</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居住聚集程度</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交通状况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lang w:val="en-US" w:eastAsia="zh-CN"/>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外部配套设施状况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周围环境状况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pacing w:val="-6"/>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pacing w:val="-6"/>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pacing w:val="-6"/>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区位状况调整值之和</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pacing w:val="-6"/>
                <w:sz w:val="21"/>
                <w:szCs w:val="21"/>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pacing w:val="-6"/>
                <w:sz w:val="21"/>
                <w:szCs w:val="21"/>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pacing w:val="-6"/>
                <w:sz w:val="21"/>
                <w:szCs w:val="21"/>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区位状况调整系数</w:t>
            </w:r>
          </w:p>
        </w:tc>
        <w:tc>
          <w:tcPr>
            <w:tcW w:w="2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rPr>
            </w:pPr>
            <w:r>
              <w:rPr>
                <w:rFonts w:hint="eastAsia" w:ascii="宋体" w:hAnsi="宋体" w:eastAsia="宋体" w:cs="宋体"/>
                <w:color w:val="000000"/>
                <w:szCs w:val="21"/>
              </w:rPr>
              <w:t>100/</w:t>
            </w:r>
            <w:r>
              <w:rPr>
                <w:rFonts w:hint="eastAsia" w:ascii="宋体" w:hAnsi="宋体" w:eastAsia="宋体" w:cs="宋体"/>
                <w:color w:val="000000"/>
                <w:szCs w:val="21"/>
                <w:lang w:val="en-US" w:eastAsia="zh-CN"/>
              </w:rPr>
              <w:t>10</w:t>
            </w:r>
            <w:r>
              <w:rPr>
                <w:rFonts w:hint="eastAsia" w:ascii="宋体" w:hAnsi="宋体" w:cs="宋体"/>
                <w:color w:val="000000"/>
                <w:szCs w:val="21"/>
                <w:lang w:val="en-US" w:eastAsia="zh-CN"/>
              </w:rPr>
              <w:t>4</w:t>
            </w:r>
          </w:p>
        </w:tc>
        <w:tc>
          <w:tcPr>
            <w:tcW w:w="23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cs="宋体"/>
                <w:color w:val="000000"/>
                <w:szCs w:val="21"/>
                <w:lang w:val="en-US" w:eastAsia="zh-CN"/>
              </w:rPr>
              <w:t>101</w:t>
            </w:r>
          </w:p>
        </w:tc>
        <w:tc>
          <w:tcPr>
            <w:tcW w:w="23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000000"/>
                <w:szCs w:val="21"/>
                <w:lang w:val="en-US"/>
              </w:rPr>
            </w:pPr>
            <w:r>
              <w:rPr>
                <w:rFonts w:hint="eastAsia" w:ascii="宋体" w:hAnsi="宋体" w:eastAsia="宋体" w:cs="宋体"/>
                <w:color w:val="000000"/>
                <w:szCs w:val="21"/>
              </w:rPr>
              <w:t>100/</w:t>
            </w:r>
            <w:r>
              <w:rPr>
                <w:rFonts w:hint="eastAsia" w:ascii="宋体" w:hAnsi="宋体" w:eastAsia="宋体" w:cs="宋体"/>
                <w:color w:val="000000"/>
                <w:szCs w:val="21"/>
                <w:lang w:val="en-US" w:eastAsia="zh-CN"/>
              </w:rPr>
              <w:t>10</w:t>
            </w:r>
            <w:r>
              <w:rPr>
                <w:rFonts w:hint="eastAsia" w:ascii="宋体" w:hAnsi="宋体" w:cs="宋体"/>
                <w:color w:val="000000"/>
                <w:szCs w:val="21"/>
                <w:lang w:val="en-US" w:eastAsia="zh-CN"/>
              </w:rPr>
              <w:t>2</w:t>
            </w:r>
          </w:p>
        </w:tc>
      </w:tr>
    </w:tbl>
    <w:p>
      <w:pPr>
        <w:keepNext w:val="0"/>
        <w:keepLines w:val="0"/>
        <w:pageBreakBefore w:val="0"/>
        <w:widowControl w:val="0"/>
        <w:kinsoku/>
        <w:wordWrap/>
        <w:overflowPunct/>
        <w:topLinePunct w:val="0"/>
        <w:autoSpaceDE/>
        <w:autoSpaceDN/>
        <w:bidi w:val="0"/>
        <w:adjustRightInd/>
        <w:snapToGrid/>
        <w:spacing w:line="440" w:lineRule="exact"/>
        <w:ind w:left="479" w:leftChars="228"/>
        <w:jc w:val="right"/>
        <w:textAlignment w:val="auto"/>
        <w:outlineLvl w:val="9"/>
        <w:rPr>
          <w:rFonts w:hint="default" w:ascii="仿宋" w:hAnsi="仿宋" w:eastAsia="仿宋" w:cs="宋体"/>
          <w:b/>
          <w:color w:val="000000"/>
          <w:kern w:val="0"/>
          <w:sz w:val="24"/>
          <w:szCs w:val="24"/>
          <w:lang w:val="en-US"/>
        </w:rPr>
      </w:pP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实物状况调整系数表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15</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1159"/>
        <w:gridCol w:w="1159"/>
        <w:gridCol w:w="1159"/>
        <w:gridCol w:w="1159"/>
        <w:gridCol w:w="115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项目名称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可比实例A</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可比实例B</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建筑结构</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建筑规模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较差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较差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较差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层高</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平面布局</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设施设备</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外观</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新旧程度</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cs="宋体"/>
                <w:color w:val="000000"/>
                <w:szCs w:val="21"/>
                <w:lang w:val="en-US" w:eastAsia="zh-CN"/>
              </w:rPr>
              <w:t>较好</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lang w:eastAsia="zh-CN"/>
              </w:rPr>
            </w:pPr>
            <w:r>
              <w:rPr>
                <w:rFonts w:hint="eastAsia" w:ascii="宋体" w:hAnsi="宋体" w:cs="宋体"/>
                <w:color w:val="000000"/>
                <w:szCs w:val="21"/>
                <w:lang w:val="en-US" w:eastAsia="zh-CN"/>
              </w:rPr>
              <w:t>较好</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lang w:eastAsia="zh-CN"/>
              </w:rPr>
            </w:pPr>
            <w:r>
              <w:rPr>
                <w:rFonts w:hint="eastAsia" w:ascii="宋体" w:hAnsi="宋体" w:cs="宋体"/>
                <w:color w:val="000000"/>
                <w:szCs w:val="21"/>
                <w:lang w:val="en-US" w:eastAsia="zh-CN"/>
              </w:rPr>
              <w:t>较好</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小区规模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小区档次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lang w:eastAsia="zh-CN"/>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kern w:val="0"/>
                <w:szCs w:val="21"/>
                <w:lang w:eastAsia="zh-CN"/>
              </w:rPr>
            </w:pPr>
            <w:r>
              <w:rPr>
                <w:rFonts w:hint="eastAsia" w:ascii="宋体" w:hAnsi="宋体" w:eastAsia="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小区环境景观</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小区配套设施</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物业服务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实物状况调整值之和</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实物状况调整系数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cs="宋体"/>
                <w:color w:val="000000"/>
                <w:szCs w:val="21"/>
                <w:lang w:val="en-US" w:eastAsia="zh-CN"/>
              </w:rPr>
              <w:t>99</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cs="宋体"/>
                <w:color w:val="000000"/>
                <w:szCs w:val="21"/>
                <w:lang w:val="en-US" w:eastAsia="zh-CN"/>
              </w:rPr>
              <w:t>102</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cs="宋体"/>
                <w:color w:val="000000"/>
                <w:szCs w:val="21"/>
                <w:lang w:val="en-US" w:eastAsia="zh-CN"/>
              </w:rPr>
              <w:t>102</w:t>
            </w:r>
          </w:p>
        </w:tc>
      </w:tr>
    </w:tbl>
    <w:p>
      <w:pPr>
        <w:keepNext w:val="0"/>
        <w:keepLines w:val="0"/>
        <w:pageBreakBefore w:val="0"/>
        <w:widowControl w:val="0"/>
        <w:kinsoku/>
        <w:wordWrap/>
        <w:overflowPunct/>
        <w:topLinePunct w:val="0"/>
        <w:autoSpaceDE/>
        <w:autoSpaceDN/>
        <w:bidi w:val="0"/>
        <w:adjustRightInd/>
        <w:snapToGrid/>
        <w:spacing w:line="440" w:lineRule="exact"/>
        <w:ind w:left="479" w:leftChars="228"/>
        <w:jc w:val="right"/>
        <w:textAlignment w:val="auto"/>
        <w:outlineLvl w:val="9"/>
        <w:rPr>
          <w:rFonts w:hint="default" w:ascii="仿宋" w:hAnsi="仿宋" w:eastAsia="仿宋" w:cs="宋体"/>
          <w:b/>
          <w:color w:val="000000"/>
          <w:kern w:val="0"/>
          <w:sz w:val="24"/>
          <w:szCs w:val="24"/>
          <w:lang w:val="en-US"/>
        </w:rPr>
      </w:pPr>
      <w:r>
        <w:rPr>
          <w:rFonts w:hint="eastAsia" w:ascii="宋体" w:hAnsi="宋体" w:cs="宋体"/>
          <w:color w:val="000000"/>
          <w:sz w:val="24"/>
          <w:szCs w:val="24"/>
          <w:lang w:eastAsia="zh-CN"/>
        </w:rPr>
        <w:t>权益状况调整系数表</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16</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1159"/>
        <w:gridCol w:w="1159"/>
        <w:gridCol w:w="1159"/>
        <w:gridCol w:w="1159"/>
        <w:gridCol w:w="115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项目名称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可比实例A</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可比实例B</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规划条件</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土地级别</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其他</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权益状况调整值之和</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rPr>
            </w:pPr>
            <w:r>
              <w:rPr>
                <w:rFonts w:hint="eastAsia" w:ascii="宋体" w:hAnsi="宋体" w:eastAsia="宋体" w:cs="宋体"/>
                <w:color w:val="000000"/>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权益状况调整系数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eastAsia="宋体" w:cs="宋体"/>
                <w:color w:val="000000"/>
                <w:szCs w:val="21"/>
                <w:lang w:val="en-US" w:eastAsia="zh-CN"/>
              </w:rPr>
              <w:t>100</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rPr>
              <w:t>100/</w:t>
            </w:r>
            <w:r>
              <w:rPr>
                <w:rFonts w:hint="eastAsia" w:ascii="宋体" w:hAnsi="宋体" w:eastAsia="宋体" w:cs="宋体"/>
                <w:color w:val="000000"/>
                <w:szCs w:val="21"/>
                <w:lang w:val="en-US" w:eastAsia="zh-CN"/>
              </w:rPr>
              <w:t>100</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000000"/>
                <w:szCs w:val="21"/>
                <w:lang w:val="en-US"/>
              </w:rPr>
            </w:pPr>
            <w:r>
              <w:rPr>
                <w:rFonts w:hint="eastAsia" w:ascii="宋体" w:hAnsi="宋体" w:eastAsia="宋体" w:cs="宋体"/>
                <w:color w:val="000000"/>
                <w:szCs w:val="21"/>
              </w:rPr>
              <w:t>100/</w:t>
            </w:r>
            <w:r>
              <w:rPr>
                <w:rFonts w:hint="eastAsia" w:ascii="宋体" w:hAnsi="宋体" w:eastAsia="宋体" w:cs="宋体"/>
                <w:color w:val="000000"/>
                <w:szCs w:val="21"/>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5、测算结果公式选用和计算过程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由于估价对象为常见且单一的房地产，而且有较多的与之相类似的房地产可比实例，不必要通过设定一种“标准房地产”来进行比较与调整，可以直接以估价对象状况为基准，将各可比实例状况与估价对象状况的逐个因素进行直接比较与调整，这种路径也比较便捷与准确，所以选择直接比较调整路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比较单价=可比实例建立比较基准后的单价</w:t>
      </w:r>
      <w:r>
        <w:rPr>
          <w:rFonts w:hint="eastAsia" w:ascii="宋体" w:hAnsi="宋体" w:eastAsia="宋体" w:cs="宋体"/>
          <w:color w:val="000000"/>
          <w:sz w:val="24"/>
          <w:szCs w:val="24"/>
          <w:lang w:val="en-US" w:eastAsia="zh-CN"/>
        </w:rPr>
        <w:t>×交易情况修正系数×市场状况调整系数×区位状况调整系数×实物状况调整系数×权益状况调整系数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150" w:right="0" w:rightChars="0" w:firstLine="0" w:firstLineChars="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测算过程见下表。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right"/>
        <w:textAlignment w:val="auto"/>
        <w:outlineLvl w:val="9"/>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比较单价计算表                        </w:t>
      </w:r>
      <w:r>
        <w:rPr>
          <w:rFonts w:hint="eastAsia" w:ascii="宋体" w:hAnsi="宋体" w:eastAsia="宋体" w:cs="宋体"/>
          <w:color w:val="000000"/>
          <w:sz w:val="24"/>
          <w:szCs w:val="24"/>
          <w:lang w:eastAsia="zh-CN"/>
        </w:rPr>
        <w:t>技</w:t>
      </w: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17</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0"/>
        <w:gridCol w:w="1936"/>
        <w:gridCol w:w="193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4"/>
                <w:szCs w:val="24"/>
                <w:vertAlign w:val="baseline"/>
                <w:lang w:val="en-US" w:eastAsia="zh-CN"/>
              </w:rPr>
            </w:pPr>
            <w:r>
              <w:rPr>
                <w:rFonts w:hint="eastAsia" w:ascii="宋体" w:hAnsi="宋体" w:cs="宋体"/>
                <w:color w:val="000000"/>
                <w:sz w:val="21"/>
                <w:szCs w:val="21"/>
                <w:vertAlign w:val="baseline"/>
                <w:lang w:val="en-US" w:eastAsia="zh-CN"/>
              </w:rPr>
              <w:t>项目</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4"/>
                <w:szCs w:val="24"/>
                <w:vertAlign w:val="baseline"/>
                <w:lang w:val="en-US" w:eastAsia="zh-CN"/>
              </w:rPr>
            </w:pPr>
            <w:r>
              <w:rPr>
                <w:rFonts w:hint="eastAsia" w:ascii="宋体" w:hAnsi="宋体" w:eastAsia="宋体" w:cs="宋体"/>
                <w:color w:val="000000"/>
                <w:spacing w:val="-6"/>
                <w:szCs w:val="21"/>
                <w:lang w:eastAsia="zh-CN"/>
              </w:rPr>
              <w:t>可比</w:t>
            </w:r>
            <w:r>
              <w:rPr>
                <w:rFonts w:hint="eastAsia" w:ascii="宋体" w:hAnsi="宋体" w:eastAsia="宋体" w:cs="宋体"/>
                <w:color w:val="000000"/>
                <w:spacing w:val="-6"/>
                <w:szCs w:val="21"/>
              </w:rPr>
              <w:t>案例A</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4"/>
                <w:szCs w:val="24"/>
                <w:vertAlign w:val="baseline"/>
                <w:lang w:val="en-US" w:eastAsia="zh-CN"/>
              </w:rPr>
            </w:pPr>
            <w:r>
              <w:rPr>
                <w:rFonts w:hint="eastAsia" w:ascii="宋体" w:hAnsi="宋体" w:eastAsia="宋体" w:cs="宋体"/>
                <w:color w:val="000000"/>
                <w:spacing w:val="-4"/>
                <w:szCs w:val="21"/>
                <w:lang w:eastAsia="zh-CN"/>
              </w:rPr>
              <w:t>可比</w:t>
            </w:r>
            <w:r>
              <w:rPr>
                <w:rFonts w:hint="eastAsia" w:ascii="宋体" w:hAnsi="宋体" w:eastAsia="宋体" w:cs="宋体"/>
                <w:color w:val="000000"/>
                <w:spacing w:val="-4"/>
                <w:szCs w:val="21"/>
              </w:rPr>
              <w:t>案例B</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4"/>
                <w:szCs w:val="24"/>
                <w:vertAlign w:val="baseline"/>
                <w:lang w:val="en-US" w:eastAsia="zh-CN"/>
              </w:rPr>
            </w:pPr>
            <w:r>
              <w:rPr>
                <w:rFonts w:hint="eastAsia" w:ascii="宋体" w:hAnsi="宋体" w:eastAsia="宋体" w:cs="宋体"/>
                <w:color w:val="000000"/>
                <w:spacing w:val="-8"/>
                <w:szCs w:val="21"/>
                <w:lang w:eastAsia="zh-CN"/>
              </w:rPr>
              <w:t>可比</w:t>
            </w:r>
            <w:r>
              <w:rPr>
                <w:rFonts w:hint="eastAsia" w:ascii="宋体" w:hAnsi="宋体" w:eastAsia="宋体" w:cs="宋体"/>
                <w:color w:val="000000"/>
                <w:spacing w:val="-8"/>
                <w:szCs w:val="21"/>
              </w:rPr>
              <w:t>案例</w:t>
            </w:r>
            <w:r>
              <w:rPr>
                <w:rFonts w:hint="eastAsia" w:ascii="宋体" w:hAnsi="宋体" w:eastAsia="宋体" w:cs="宋体"/>
                <w:color w:val="000000"/>
                <w:spacing w:val="-8"/>
                <w:szCs w:val="21"/>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建立比较基础后单价（</w:t>
            </w:r>
            <w:r>
              <w:rPr>
                <w:rFonts w:hint="eastAsia" w:ascii="宋体" w:hAnsi="宋体" w:cs="宋体"/>
                <w:color w:val="000000"/>
                <w:sz w:val="21"/>
                <w:szCs w:val="21"/>
                <w:vertAlign w:val="baseline"/>
                <w:lang w:eastAsia="zh-CN"/>
              </w:rPr>
              <w:t>元</w:t>
            </w:r>
            <w:r>
              <w:rPr>
                <w:rFonts w:hint="eastAsia" w:ascii="宋体" w:hAnsi="宋体" w:cs="宋体"/>
                <w:color w:val="000000"/>
                <w:sz w:val="21"/>
                <w:szCs w:val="21"/>
                <w:vertAlign w:val="baseline"/>
                <w:lang w:val="en-US" w:eastAsia="zh-CN"/>
              </w:rPr>
              <w:t>/m</w:t>
            </w:r>
            <w:r>
              <w:rPr>
                <w:rFonts w:hint="eastAsia" w:ascii="宋体" w:hAnsi="宋体" w:cs="宋体"/>
                <w:color w:val="000000"/>
                <w:sz w:val="21"/>
                <w:szCs w:val="21"/>
                <w:vertAlign w:val="superscript"/>
                <w:lang w:val="en-US" w:eastAsia="zh-CN"/>
              </w:rPr>
              <w:t>2</w:t>
            </w:r>
            <w:r>
              <w:rPr>
                <w:rFonts w:hint="eastAsia" w:ascii="宋体" w:hAnsi="宋体" w:cs="宋体"/>
                <w:color w:val="000000"/>
                <w:sz w:val="21"/>
                <w:szCs w:val="21"/>
                <w:vertAlign w:val="baseline"/>
                <w:lang w:val="en-US" w:eastAsia="zh-CN"/>
              </w:rPr>
              <w:t>）</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szCs w:val="21"/>
                <w:lang w:val="en-US" w:eastAsia="zh-CN"/>
              </w:rPr>
              <w:t>4752</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szCs w:val="21"/>
                <w:lang w:val="en-US" w:eastAsia="zh-CN"/>
              </w:rPr>
              <w:t>4903</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szCs w:val="21"/>
                <w:lang w:val="en-US" w:eastAsia="zh-CN"/>
              </w:rPr>
              <w:t>4774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交易情况修正系数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eastAsia="宋体" w:cs="宋体"/>
                <w:color w:val="000000"/>
                <w:sz w:val="21"/>
                <w:szCs w:val="21"/>
                <w:lang w:val="en-US" w:eastAsia="zh-CN"/>
              </w:rPr>
              <w:t>市场状况</w:t>
            </w:r>
            <w:r>
              <w:rPr>
                <w:rFonts w:hint="eastAsia" w:ascii="宋体" w:hAnsi="宋体" w:cs="宋体"/>
                <w:color w:val="000000"/>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eastAsia="宋体" w:cs="宋体"/>
                <w:color w:val="000000"/>
                <w:sz w:val="21"/>
                <w:szCs w:val="21"/>
                <w:lang w:val="en-US" w:eastAsia="zh-CN"/>
              </w:rPr>
              <w:t>区位状况</w:t>
            </w:r>
            <w:r>
              <w:rPr>
                <w:rFonts w:hint="eastAsia" w:ascii="宋体" w:hAnsi="宋体" w:cs="宋体"/>
                <w:color w:val="000000"/>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w:t>
            </w:r>
            <w:r>
              <w:rPr>
                <w:rFonts w:hint="eastAsia" w:ascii="宋体" w:hAnsi="宋体" w:cs="宋体"/>
                <w:color w:val="000000"/>
                <w:sz w:val="21"/>
                <w:szCs w:val="21"/>
                <w:lang w:val="en-US" w:eastAsia="zh-CN"/>
              </w:rPr>
              <w:t>4</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101</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w:t>
            </w:r>
            <w:r>
              <w:rPr>
                <w:rFonts w:hint="eastAsia" w:ascii="宋体" w:hAnsi="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eastAsia="宋体" w:cs="宋体"/>
                <w:color w:val="000000"/>
                <w:sz w:val="21"/>
                <w:szCs w:val="21"/>
                <w:lang w:val="en-US" w:eastAsia="zh-CN"/>
              </w:rPr>
              <w:t>实物状况</w:t>
            </w:r>
            <w:r>
              <w:rPr>
                <w:rFonts w:hint="eastAsia" w:ascii="宋体" w:hAnsi="宋体" w:cs="宋体"/>
                <w:color w:val="000000"/>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99</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102</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eastAsia="宋体" w:cs="宋体"/>
                <w:color w:val="000000"/>
                <w:sz w:val="21"/>
                <w:szCs w:val="21"/>
                <w:lang w:val="en-US" w:eastAsia="zh-CN"/>
              </w:rPr>
              <w:t>权益状况</w:t>
            </w:r>
            <w:r>
              <w:rPr>
                <w:rFonts w:hint="eastAsia" w:ascii="宋体" w:hAnsi="宋体" w:cs="宋体"/>
                <w:color w:val="000000"/>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比较单价（</w:t>
            </w:r>
            <w:r>
              <w:rPr>
                <w:rFonts w:hint="eastAsia" w:ascii="宋体" w:hAnsi="宋体" w:cs="宋体"/>
                <w:color w:val="000000"/>
                <w:sz w:val="21"/>
                <w:szCs w:val="21"/>
                <w:vertAlign w:val="baseline"/>
                <w:lang w:eastAsia="zh-CN"/>
              </w:rPr>
              <w:t>元</w:t>
            </w:r>
            <w:r>
              <w:rPr>
                <w:rFonts w:hint="eastAsia" w:ascii="宋体" w:hAnsi="宋体" w:cs="宋体"/>
                <w:color w:val="000000"/>
                <w:sz w:val="21"/>
                <w:szCs w:val="21"/>
                <w:vertAlign w:val="baseline"/>
                <w:lang w:val="en-US" w:eastAsia="zh-CN"/>
              </w:rPr>
              <w:t>/m</w:t>
            </w:r>
            <w:r>
              <w:rPr>
                <w:rFonts w:hint="eastAsia" w:ascii="宋体" w:hAnsi="宋体" w:cs="宋体"/>
                <w:color w:val="000000"/>
                <w:sz w:val="21"/>
                <w:szCs w:val="21"/>
                <w:vertAlign w:val="superscript"/>
                <w:lang w:val="en-US" w:eastAsia="zh-CN"/>
              </w:rPr>
              <w:t>2</w:t>
            </w:r>
            <w:r>
              <w:rPr>
                <w:rFonts w:hint="eastAsia" w:ascii="宋体" w:hAnsi="宋体" w:cs="宋体"/>
                <w:color w:val="000000"/>
                <w:sz w:val="21"/>
                <w:szCs w:val="21"/>
                <w:vertAlign w:val="baseline"/>
                <w:lang w:val="en-US" w:eastAsia="zh-CN"/>
              </w:rPr>
              <w:t>）</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szCs w:val="21"/>
                <w:lang w:val="en-US" w:eastAsia="zh-CN"/>
              </w:rPr>
              <w:t>4615</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szCs w:val="21"/>
                <w:lang w:val="en-US" w:eastAsia="zh-CN"/>
              </w:rPr>
              <w:t>4759</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4589</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pPr>
      <w:r>
        <w:rPr>
          <w:rFonts w:hint="eastAsia" w:ascii="宋体" w:hAnsi="宋体" w:cs="宋体"/>
          <w:color w:val="000000"/>
          <w:sz w:val="24"/>
          <w:szCs w:val="24"/>
          <w:lang w:val="en-US" w:eastAsia="zh-CN"/>
        </w:rPr>
        <w:t>各可比实例的比较单价较接近， 故采用简单算术平均数求取估价对象的比较单价。则：估价对象比较单价=（4615+4759+4589）/3=4654元/m</w:t>
      </w:r>
      <w:r>
        <w:rPr>
          <w:rFonts w:hint="eastAsia" w:ascii="宋体" w:hAnsi="宋体" w:cs="宋体"/>
          <w:color w:val="000000"/>
          <w:sz w:val="24"/>
          <w:szCs w:val="24"/>
          <w:vertAlign w:val="superscript"/>
          <w:lang w:val="en-US" w:eastAsia="zh-CN"/>
        </w:rPr>
        <w:t>2</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（二）收益法测算过程</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1、净收益的计算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cs="宋体"/>
          <w:sz w:val="24"/>
          <w:szCs w:val="24"/>
        </w:rPr>
      </w:pPr>
      <w:r>
        <w:rPr>
          <w:rFonts w:hint="eastAsia" w:ascii="宋体" w:hAnsi="宋体" w:cs="宋体"/>
          <w:sz w:val="24"/>
          <w:szCs w:val="24"/>
        </w:rPr>
        <w:t>根据对估价对象周围类似房地产目前的租金行情进行调查，确定估价对象潜在的租金水平及租赁运营状况如下</w:t>
      </w:r>
      <w:r>
        <w:rPr>
          <w:rFonts w:hint="eastAsia" w:ascii="宋体" w:hAnsi="宋体" w:cs="宋体"/>
          <w:color w:val="auto"/>
          <w:sz w:val="24"/>
          <w:szCs w:val="24"/>
          <w:lang w:eastAsia="zh-CN"/>
        </w:rPr>
        <w:t>：</w:t>
      </w:r>
      <w:r>
        <w:rPr>
          <w:rFonts w:hint="eastAsia" w:ascii="宋体" w:hAnsi="宋体" w:cs="宋体"/>
          <w:color w:val="auto"/>
          <w:sz w:val="24"/>
          <w:szCs w:val="24"/>
        </w:rPr>
        <w:t xml:space="preserve">   </w:t>
      </w:r>
      <w:r>
        <w:rPr>
          <w:rFonts w:hint="eastAsia"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right"/>
        <w:textAlignment w:val="auto"/>
        <w:outlineLvl w:val="9"/>
        <w:rPr>
          <w:rFonts w:hint="default" w:ascii="宋体" w:hAnsi="宋体" w:eastAsia="宋体" w:cs="宋体"/>
          <w:sz w:val="24"/>
          <w:szCs w:val="24"/>
          <w:lang w:val="en-US" w:eastAsia="zh-CN"/>
        </w:rPr>
      </w:pPr>
      <w:r>
        <w:rPr>
          <w:rFonts w:hint="eastAsia" w:ascii="宋体" w:hAnsi="宋体" w:cs="宋体"/>
          <w:sz w:val="24"/>
          <w:szCs w:val="24"/>
        </w:rPr>
        <w:t xml:space="preserve">净收益计算明细表                          </w:t>
      </w:r>
      <w:r>
        <w:rPr>
          <w:rFonts w:hint="eastAsia" w:ascii="宋体" w:hAnsi="宋体" w:cs="宋体"/>
          <w:sz w:val="24"/>
          <w:szCs w:val="24"/>
          <w:lang w:eastAsia="zh-CN"/>
        </w:rPr>
        <w:t>技表</w:t>
      </w:r>
      <w:r>
        <w:rPr>
          <w:rFonts w:hint="eastAsia" w:ascii="宋体" w:hAnsi="宋体" w:cs="宋体"/>
          <w:sz w:val="24"/>
          <w:szCs w:val="24"/>
          <w:lang w:val="en-US" w:eastAsia="zh-CN"/>
        </w:rPr>
        <w:t>16</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850"/>
        <w:gridCol w:w="1154"/>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序号</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内容</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数量</w:t>
            </w:r>
          </w:p>
        </w:tc>
        <w:tc>
          <w:tcPr>
            <w:tcW w:w="457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eastAsia="zh-CN"/>
              </w:rPr>
              <w:t>房地产年有效毛收入</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207</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年租金潜在毛收入（元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216</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月租金为</w:t>
            </w:r>
            <w:r>
              <w:rPr>
                <w:rFonts w:hint="eastAsia" w:ascii="宋体" w:hAnsi="宋体" w:cs="宋体"/>
                <w:sz w:val="21"/>
                <w:szCs w:val="21"/>
                <w:vertAlign w:val="baseline"/>
                <w:lang w:val="en-US" w:eastAsia="zh-CN"/>
              </w:rPr>
              <w:t>18元/</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Cs w:val="21"/>
                <w:lang w:eastAsia="zh-CN"/>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空置和租金损失（元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9</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空置率和租金损失取值</w:t>
            </w:r>
            <w:r>
              <w:rPr>
                <w:rFonts w:hint="eastAsia" w:ascii="宋体" w:hAnsi="宋体" w:cs="宋体"/>
                <w:sz w:val="21"/>
                <w:szCs w:val="21"/>
                <w:vertAlign w:val="baseline"/>
                <w:lang w:val="en-US" w:eastAsia="zh-CN"/>
              </w:rPr>
              <w:t>0.5个月租金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3</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其他收入（元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0</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由于押金产生的利息较小，本次估价忽略不计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4</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Cs w:val="21"/>
              </w:rPr>
              <w:t>年净收益增长率</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Cs w:val="21"/>
                <w:lang w:val="en-US" w:eastAsia="zh-CN"/>
              </w:rPr>
              <w:t>2.0</w:t>
            </w:r>
            <w:r>
              <w:rPr>
                <w:rFonts w:hint="eastAsia" w:ascii="宋体" w:hAnsi="宋体" w:eastAsia="宋体" w:cs="宋体"/>
                <w:szCs w:val="21"/>
              </w:rPr>
              <w:t>%</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Cs w:val="21"/>
              </w:rPr>
              <w:t>预计估价对象未来每年的净收益会在上一年的基础上增</w:t>
            </w:r>
            <w:r>
              <w:rPr>
                <w:rFonts w:hint="eastAsia" w:ascii="宋体" w:hAnsi="宋体" w:cs="宋体"/>
                <w:szCs w:val="21"/>
                <w:lang w:val="en-US" w:eastAsia="zh-CN"/>
              </w:rPr>
              <w:t>2.0</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年运营费用（元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25.21</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维修费（元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19.5</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指为保证房屋正常使用每年需支付的修缮费用，根据当地建筑造价指标资料，同类房屋重置价为</w:t>
            </w:r>
            <w:r>
              <w:rPr>
                <w:rFonts w:hint="eastAsia" w:ascii="宋体" w:hAnsi="宋体" w:cs="宋体"/>
                <w:sz w:val="21"/>
                <w:szCs w:val="21"/>
                <w:vertAlign w:val="baseline"/>
                <w:lang w:val="en-US" w:eastAsia="zh-CN"/>
              </w:rPr>
              <w:t>1300元/</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val="en-US" w:eastAsia="zh-CN"/>
              </w:rPr>
              <w:t>，维修费按正常水平及市场惯例取房屋重置价的1.5%计。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管理费（元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3.11</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指为保证房屋正常使用每年需支付的惯例费用，按正常水平及市场惯例取房地产年有效毛收入的</w:t>
            </w:r>
            <w:r>
              <w:rPr>
                <w:rFonts w:hint="eastAsia" w:ascii="宋体" w:hAnsi="宋体" w:cs="宋体"/>
                <w:sz w:val="21"/>
                <w:szCs w:val="21"/>
                <w:vertAlign w:val="baseline"/>
                <w:lang w:val="en-US" w:eastAsia="zh-CN"/>
              </w:rPr>
              <w:t>1.5%计。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3</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保险费（元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r>
              <w:rPr>
                <w:rFonts w:hint="eastAsia" w:ascii="宋体" w:hAnsi="宋体" w:cs="宋体"/>
                <w:sz w:val="21"/>
                <w:szCs w:val="21"/>
                <w:vertAlign w:val="baseline"/>
                <w:lang w:val="en-US" w:eastAsia="zh-CN"/>
              </w:rPr>
              <w:t>6</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指房产所有权人为使自己的房产避免意外损失而向保险公司支付的费用。按当地规定取房屋重置价格的</w:t>
            </w:r>
            <w:r>
              <w:rPr>
                <w:rFonts w:hint="eastAsia" w:ascii="宋体" w:hAnsi="宋体" w:cs="宋体"/>
                <w:sz w:val="21"/>
                <w:szCs w:val="21"/>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4</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房产税（元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0.00</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不计，有效毛收入不含税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5</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增值税及附加费（元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0.00</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不计，有效毛收入不含税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房地产期间收益（元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15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181.79</w:t>
            </w:r>
          </w:p>
        </w:tc>
        <w:tc>
          <w:tcPr>
            <w:tcW w:w="457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1-2</w:t>
            </w: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3、</w:t>
      </w:r>
      <w:r>
        <w:rPr>
          <w:rFonts w:hint="eastAsia" w:ascii="宋体" w:hAnsi="宋体" w:eastAsia="宋体" w:cs="宋体"/>
          <w:sz w:val="24"/>
          <w:szCs w:val="24"/>
        </w:rPr>
        <w:t>收益年限的确定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宋体" w:hAnsi="宋体" w:eastAsia="宋体" w:cs="宋体"/>
          <w:spacing w:val="-2"/>
          <w:sz w:val="24"/>
          <w:szCs w:val="24"/>
        </w:rPr>
      </w:pPr>
      <w:r>
        <w:rPr>
          <w:rFonts w:hint="eastAsia" w:ascii="宋体" w:hAnsi="宋体" w:eastAsia="宋体" w:cs="宋体"/>
          <w:sz w:val="24"/>
          <w:szCs w:val="24"/>
        </w:rPr>
        <w:t xml:space="preserve">　  </w:t>
      </w:r>
      <w:r>
        <w:rPr>
          <w:rFonts w:hint="eastAsia" w:ascii="宋体" w:hAnsi="宋体" w:eastAsia="宋体" w:cs="宋体"/>
          <w:spacing w:val="-2"/>
          <w:sz w:val="24"/>
          <w:szCs w:val="24"/>
        </w:rPr>
        <w:t>估价对象为</w:t>
      </w:r>
      <w:r>
        <w:rPr>
          <w:rFonts w:hint="eastAsia" w:ascii="宋体" w:hAnsi="宋体" w:cs="宋体"/>
          <w:spacing w:val="-2"/>
          <w:sz w:val="24"/>
          <w:szCs w:val="24"/>
          <w:lang w:eastAsia="zh-CN"/>
        </w:rPr>
        <w:t>钢混</w:t>
      </w:r>
      <w:r>
        <w:rPr>
          <w:rFonts w:hint="eastAsia" w:ascii="宋体" w:hAnsi="宋体" w:eastAsia="宋体" w:cs="宋体"/>
          <w:spacing w:val="-2"/>
          <w:sz w:val="24"/>
          <w:szCs w:val="24"/>
          <w:lang w:eastAsia="zh-CN"/>
        </w:rPr>
        <w:t>结构</w:t>
      </w:r>
      <w:r>
        <w:rPr>
          <w:rFonts w:hint="eastAsia" w:ascii="宋体" w:hAnsi="宋体" w:eastAsia="宋体" w:cs="宋体"/>
          <w:spacing w:val="-2"/>
          <w:sz w:val="24"/>
          <w:szCs w:val="24"/>
        </w:rPr>
        <w:t>，其最高耐用年限</w:t>
      </w:r>
      <w:r>
        <w:rPr>
          <w:rFonts w:hint="eastAsia" w:ascii="宋体" w:hAnsi="宋体" w:eastAsia="宋体" w:cs="宋体"/>
          <w:spacing w:val="-2"/>
          <w:sz w:val="24"/>
          <w:szCs w:val="24"/>
          <w:lang w:val="en-US" w:eastAsia="zh-CN"/>
        </w:rPr>
        <w:t>60年</w:t>
      </w:r>
      <w:r>
        <w:rPr>
          <w:rFonts w:hint="eastAsia" w:ascii="宋体" w:hAnsi="宋体" w:eastAsia="宋体" w:cs="宋体"/>
          <w:spacing w:val="-2"/>
          <w:sz w:val="24"/>
          <w:szCs w:val="24"/>
        </w:rPr>
        <w:t>，剩余耐用年限</w:t>
      </w:r>
      <w:r>
        <w:rPr>
          <w:rFonts w:hint="eastAsia" w:ascii="宋体" w:hAnsi="宋体" w:eastAsia="宋体" w:cs="宋体"/>
          <w:spacing w:val="-2"/>
          <w:sz w:val="24"/>
          <w:szCs w:val="24"/>
          <w:lang w:val="en-US" w:eastAsia="zh-CN"/>
        </w:rPr>
        <w:t>4</w:t>
      </w:r>
      <w:r>
        <w:rPr>
          <w:rFonts w:hint="eastAsia" w:ascii="宋体" w:hAnsi="宋体" w:cs="宋体"/>
          <w:spacing w:val="-2"/>
          <w:sz w:val="24"/>
          <w:szCs w:val="24"/>
          <w:lang w:val="en-US" w:eastAsia="zh-CN"/>
        </w:rPr>
        <w:t>3</w:t>
      </w:r>
      <w:r>
        <w:rPr>
          <w:rFonts w:hint="eastAsia" w:ascii="宋体" w:hAnsi="宋体" w:eastAsia="宋体" w:cs="宋体"/>
          <w:spacing w:val="-2"/>
          <w:sz w:val="24"/>
          <w:szCs w:val="24"/>
        </w:rPr>
        <w:t>年，</w:t>
      </w:r>
      <w:r>
        <w:rPr>
          <w:rFonts w:hint="eastAsia" w:ascii="宋体" w:hAnsi="宋体" w:eastAsia="宋体" w:cs="宋体"/>
          <w:spacing w:val="-2"/>
          <w:sz w:val="24"/>
          <w:szCs w:val="24"/>
          <w:lang w:eastAsia="zh-CN"/>
        </w:rPr>
        <w:t>土地使用年限为</w:t>
      </w:r>
      <w:r>
        <w:rPr>
          <w:rFonts w:hint="eastAsia" w:ascii="宋体" w:hAnsi="宋体" w:cs="宋体"/>
          <w:spacing w:val="-2"/>
          <w:sz w:val="24"/>
          <w:szCs w:val="24"/>
          <w:lang w:val="en-US" w:eastAsia="zh-CN"/>
        </w:rPr>
        <w:t>53</w:t>
      </w:r>
      <w:r>
        <w:rPr>
          <w:rFonts w:hint="eastAsia" w:ascii="宋体" w:hAnsi="宋体" w:eastAsia="宋体" w:cs="宋体"/>
          <w:spacing w:val="-2"/>
          <w:sz w:val="24"/>
          <w:szCs w:val="24"/>
          <w:lang w:eastAsia="zh-CN"/>
        </w:rPr>
        <w:t>年，两者取其低值，</w:t>
      </w:r>
      <w:r>
        <w:rPr>
          <w:rFonts w:hint="eastAsia" w:ascii="宋体" w:hAnsi="宋体" w:eastAsia="宋体" w:cs="宋体"/>
          <w:spacing w:val="-2"/>
          <w:sz w:val="24"/>
          <w:szCs w:val="24"/>
        </w:rPr>
        <w:t>则确定估价对象的有效收益年限为</w:t>
      </w:r>
      <w:r>
        <w:rPr>
          <w:rFonts w:hint="eastAsia" w:ascii="宋体" w:hAnsi="宋体" w:eastAsia="宋体" w:cs="宋体"/>
          <w:spacing w:val="-2"/>
          <w:sz w:val="24"/>
          <w:szCs w:val="24"/>
          <w:lang w:val="en-US" w:eastAsia="zh-CN"/>
        </w:rPr>
        <w:t>4</w:t>
      </w:r>
      <w:r>
        <w:rPr>
          <w:rFonts w:hint="eastAsia" w:ascii="宋体" w:hAnsi="宋体" w:cs="宋体"/>
          <w:spacing w:val="-2"/>
          <w:sz w:val="24"/>
          <w:szCs w:val="24"/>
          <w:lang w:val="en-US" w:eastAsia="zh-CN"/>
        </w:rPr>
        <w:t>3</w:t>
      </w:r>
      <w:r>
        <w:rPr>
          <w:rFonts w:hint="eastAsia" w:ascii="宋体" w:hAnsi="宋体" w:eastAsia="宋体" w:cs="宋体"/>
          <w:spacing w:val="-2"/>
          <w:sz w:val="24"/>
          <w:szCs w:val="24"/>
        </w:rPr>
        <w:t>年。</w:t>
      </w:r>
    </w:p>
    <w:p>
      <w:pPr>
        <w:keepNext w:val="0"/>
        <w:keepLines w:val="0"/>
        <w:pageBreakBefore w:val="0"/>
        <w:widowControl w:val="0"/>
        <w:numPr>
          <w:ilvl w:val="0"/>
          <w:numId w:val="12"/>
        </w:numPr>
        <w:kinsoku/>
        <w:wordWrap/>
        <w:overflowPunct/>
        <w:topLinePunct w:val="0"/>
        <w:autoSpaceDE/>
        <w:autoSpaceDN/>
        <w:bidi w:val="0"/>
        <w:adjustRightInd/>
        <w:snapToGrid/>
        <w:spacing w:line="460" w:lineRule="exact"/>
        <w:ind w:left="0" w:leftChars="0" w:right="0" w:rightChars="0" w:firstLine="482"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房地产</w:t>
      </w:r>
      <w:r>
        <w:rPr>
          <w:rFonts w:hint="eastAsia" w:ascii="宋体" w:hAnsi="宋体" w:cs="宋体"/>
          <w:sz w:val="24"/>
          <w:szCs w:val="24"/>
          <w:lang w:eastAsia="zh-CN"/>
        </w:rPr>
        <w:t>报酬率</w:t>
      </w:r>
      <w:r>
        <w:rPr>
          <w:rFonts w:hint="eastAsia" w:ascii="宋体" w:hAnsi="宋体" w:eastAsia="宋体" w:cs="宋体"/>
          <w:sz w:val="24"/>
          <w:szCs w:val="24"/>
        </w:rPr>
        <w:t>的确定</w:t>
      </w:r>
    </w:p>
    <w:p>
      <w:pPr>
        <w:pStyle w:val="2"/>
        <w:widowControl w:val="0"/>
        <w:numPr>
          <w:ilvl w:val="0"/>
          <w:numId w:val="0"/>
        </w:numPr>
        <w:jc w:val="both"/>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lang w:eastAsia="zh-CN"/>
        </w:rPr>
        <w:t>报酬率求取表</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eastAsia="zh-CN"/>
        </w:rPr>
        <w:t>技表</w:t>
      </w:r>
      <w:r>
        <w:rPr>
          <w:rFonts w:hint="eastAsia" w:ascii="宋体" w:hAnsi="宋体" w:cs="宋体"/>
          <w:sz w:val="24"/>
          <w:szCs w:val="24"/>
          <w:lang w:val="en-US" w:eastAsia="zh-CN"/>
        </w:rPr>
        <w:t>19</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500"/>
        <w:gridCol w:w="1221"/>
        <w:gridCol w:w="4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序号</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项目</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数值（</w:t>
            </w:r>
            <w:r>
              <w:rPr>
                <w:rFonts w:hint="eastAsia" w:ascii="宋体" w:hAnsi="宋体" w:cs="宋体"/>
                <w:sz w:val="21"/>
                <w:szCs w:val="21"/>
                <w:vertAlign w:val="baseline"/>
                <w:lang w:val="en-US" w:eastAsia="zh-CN"/>
              </w:rPr>
              <w:t>%</w:t>
            </w:r>
            <w:r>
              <w:rPr>
                <w:rFonts w:hint="eastAsia" w:ascii="宋体" w:hAnsi="宋体" w:cs="宋体"/>
                <w:sz w:val="21"/>
                <w:szCs w:val="21"/>
                <w:vertAlign w:val="baseline"/>
                <w:lang w:eastAsia="zh-CN"/>
              </w:rPr>
              <w:t>）</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取值依据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无风险报酬率</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1.5</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价值时点银行一年期存款基准利率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投资风险补偿率</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根据投资估价对象类别所确定额外的风险补偿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管理负担补偿率</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根据估价对象管理难度相对于实业投资、金融产品等其它投资类别的难度确定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缺乏流动性补偿率</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1.5</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根据估价对象投资的流动性相对于股票、债券、期货等实体投资的差异确定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投资带来的优惠率</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持有估价对象以更低成本易于获得投资（抵押贷款），投资人获得更高社会评价等优惠确定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合计</w:t>
            </w:r>
          </w:p>
        </w:tc>
        <w:tc>
          <w:tcPr>
            <w:tcW w:w="12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3.0</w:t>
            </w:r>
          </w:p>
        </w:tc>
        <w:tc>
          <w:tcPr>
            <w:tcW w:w="455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0" w:firstLineChars="15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确定计算公式：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根据对目前的市场调查与分析，预计估价对象未来每年的净收益按一定比率逐年递增，依此确定本次估价适用的收益价格计算公式如下：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Ｖ＝a/（r-g）×｛1-[（1+g）/（1+r）]</w:t>
      </w:r>
      <w:r>
        <w:rPr>
          <w:rFonts w:hint="eastAsia" w:ascii="宋体" w:hAnsi="宋体" w:eastAsia="宋体" w:cs="宋体"/>
          <w:sz w:val="24"/>
          <w:szCs w:val="24"/>
          <w:vertAlign w:val="superscript"/>
        </w:rPr>
        <w:t>n</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式中，Ｖ为房地产收益价格；ａ为年净收益；ｒ为</w:t>
      </w:r>
      <w:r>
        <w:rPr>
          <w:rFonts w:hint="eastAsia" w:ascii="宋体" w:hAnsi="宋体" w:cs="宋体"/>
          <w:sz w:val="24"/>
          <w:szCs w:val="24"/>
        </w:rPr>
        <w:t>报酬率</w:t>
      </w:r>
      <w:r>
        <w:rPr>
          <w:rFonts w:hint="eastAsia" w:ascii="宋体" w:hAnsi="宋体" w:eastAsia="宋体" w:cs="宋体"/>
          <w:sz w:val="24"/>
          <w:szCs w:val="24"/>
        </w:rPr>
        <w:t>；g为净收益逐年递增的比率；ｎ为未来可取得收益的年限。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0" w:firstLineChars="15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、收益价格的计算结果：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根据以上净收益、</w:t>
      </w:r>
      <w:r>
        <w:rPr>
          <w:rFonts w:hint="eastAsia" w:ascii="宋体" w:hAnsi="宋体" w:cs="宋体"/>
          <w:sz w:val="24"/>
          <w:szCs w:val="24"/>
        </w:rPr>
        <w:t>报酬率</w:t>
      </w:r>
      <w:r>
        <w:rPr>
          <w:rFonts w:hint="eastAsia" w:ascii="宋体" w:hAnsi="宋体" w:eastAsia="宋体" w:cs="宋体"/>
          <w:sz w:val="24"/>
          <w:szCs w:val="24"/>
        </w:rPr>
        <w:t>的计算结果和上述的计算公式，计算确定估价对象的收益价格如下：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Ｖ＝a/(r-g)×｛1-［(1+g)/（1+r）］</w:t>
      </w:r>
      <w:r>
        <w:rPr>
          <w:rFonts w:hint="eastAsia" w:ascii="宋体" w:hAnsi="宋体" w:eastAsia="宋体" w:cs="宋体"/>
          <w:sz w:val="24"/>
          <w:szCs w:val="24"/>
          <w:vertAlign w:val="superscript"/>
        </w:rPr>
        <w:t>n</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3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181.79</w:t>
      </w:r>
      <w:r>
        <w:rPr>
          <w:rFonts w:hint="eastAsia" w:ascii="宋体" w:hAnsi="宋体" w:eastAsia="宋体" w:cs="宋体"/>
          <w:sz w:val="24"/>
          <w:szCs w:val="24"/>
        </w:rPr>
        <w:t>/（3.</w:t>
      </w:r>
      <w:r>
        <w:rPr>
          <w:rFonts w:hint="eastAsia" w:ascii="宋体" w:hAnsi="宋体" w:eastAsia="宋体" w:cs="宋体"/>
          <w:sz w:val="24"/>
          <w:szCs w:val="24"/>
          <w:lang w:val="en-US" w:eastAsia="zh-CN"/>
        </w:rPr>
        <w:t>0</w:t>
      </w:r>
      <w:r>
        <w:rPr>
          <w:rFonts w:hint="eastAsia" w:ascii="宋体" w:hAnsi="宋体" w:eastAsia="宋体" w:cs="宋体"/>
          <w:sz w:val="24"/>
          <w:szCs w:val="24"/>
        </w:rPr>
        <w:t>%-</w:t>
      </w:r>
      <w:r>
        <w:rPr>
          <w:rFonts w:hint="eastAsia" w:ascii="宋体" w:hAnsi="宋体" w:cs="宋体"/>
          <w:sz w:val="24"/>
          <w:szCs w:val="24"/>
          <w:lang w:val="en-US" w:eastAsia="zh-CN"/>
        </w:rPr>
        <w:t>2.0</w:t>
      </w:r>
      <w:r>
        <w:rPr>
          <w:rFonts w:hint="eastAsia" w:ascii="宋体" w:hAnsi="宋体" w:eastAsia="宋体" w:cs="宋体"/>
          <w:sz w:val="24"/>
          <w:szCs w:val="24"/>
        </w:rPr>
        <w:t>%）×｛1-[（1+</w:t>
      </w:r>
      <w:r>
        <w:rPr>
          <w:rFonts w:hint="eastAsia" w:ascii="宋体" w:hAnsi="宋体" w:cs="宋体"/>
          <w:sz w:val="24"/>
          <w:szCs w:val="24"/>
          <w:lang w:val="en-US" w:eastAsia="zh-CN"/>
        </w:rPr>
        <w:t>2.0</w:t>
      </w:r>
      <w:r>
        <w:rPr>
          <w:rFonts w:hint="eastAsia" w:ascii="宋体" w:hAnsi="宋体" w:eastAsia="宋体" w:cs="宋体"/>
          <w:sz w:val="24"/>
          <w:szCs w:val="24"/>
        </w:rPr>
        <w:t>%）/（1+3.</w:t>
      </w:r>
      <w:r>
        <w:rPr>
          <w:rFonts w:hint="eastAsia" w:ascii="宋体" w:hAnsi="宋体" w:eastAsia="宋体" w:cs="宋体"/>
          <w:sz w:val="24"/>
          <w:szCs w:val="24"/>
          <w:lang w:val="en-US" w:eastAsia="zh-CN"/>
        </w:rPr>
        <w:t>0</w:t>
      </w:r>
      <w:r>
        <w:rPr>
          <w:rFonts w:hint="eastAsia" w:ascii="宋体" w:hAnsi="宋体" w:eastAsia="宋体" w:cs="宋体"/>
          <w:sz w:val="24"/>
          <w:szCs w:val="24"/>
        </w:rPr>
        <w:t>%）]</w:t>
      </w:r>
      <w:r>
        <w:rPr>
          <w:rFonts w:hint="eastAsia" w:ascii="宋体" w:hAnsi="宋体" w:eastAsia="宋体" w:cs="宋体"/>
          <w:sz w:val="24"/>
          <w:szCs w:val="24"/>
          <w:vertAlign w:val="superscript"/>
          <w:lang w:val="en-US" w:eastAsia="zh-CN"/>
        </w:rPr>
        <w:t>4</w:t>
      </w:r>
      <w:r>
        <w:rPr>
          <w:rFonts w:hint="eastAsia" w:ascii="宋体" w:hAnsi="宋体" w:cs="宋体"/>
          <w:sz w:val="24"/>
          <w:szCs w:val="24"/>
          <w:vertAlign w:val="superscript"/>
          <w:lang w:val="en-US" w:eastAsia="zh-CN"/>
        </w:rPr>
        <w:t>3</w:t>
      </w:r>
      <w:r>
        <w:rPr>
          <w:rFonts w:hint="eastAsia" w:ascii="宋体" w:hAnsi="宋体" w:eastAsia="宋体" w:cs="宋体"/>
          <w:sz w:val="24"/>
          <w:szCs w:val="24"/>
        </w:rPr>
        <w:t>｝</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300"/>
        <w:jc w:val="both"/>
        <w:textAlignment w:val="auto"/>
        <w:outlineLvl w:val="9"/>
        <w:rPr>
          <w:rFonts w:hint="eastAsia" w:ascii="宋体" w:hAnsi="宋体" w:eastAsia="宋体" w:cs="宋体"/>
          <w:sz w:val="24"/>
          <w:szCs w:val="24"/>
          <w:vertAlign w:val="superscript"/>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6229</w:t>
      </w:r>
      <w:r>
        <w:rPr>
          <w:rFonts w:hint="eastAsia" w:ascii="宋体" w:hAnsi="宋体" w:eastAsia="宋体" w:cs="宋体"/>
          <w:sz w:val="24"/>
          <w:szCs w:val="24"/>
        </w:rPr>
        <w:t>元/</w:t>
      </w:r>
      <w:r>
        <w:rPr>
          <w:rFonts w:hint="eastAsia" w:ascii="宋体" w:hAnsi="宋体" w:eastAsia="宋体" w:cs="宋体"/>
          <w:sz w:val="24"/>
          <w:szCs w:val="24"/>
          <w:lang w:val="en-US" w:eastAsia="zh-CN"/>
        </w:rPr>
        <w:t>m</w:t>
      </w:r>
      <w:r>
        <w:rPr>
          <w:rFonts w:hint="eastAsia" w:ascii="宋体" w:hAnsi="宋体" w:eastAsia="宋体" w:cs="宋体"/>
          <w:sz w:val="24"/>
          <w:szCs w:val="24"/>
          <w:vertAlign w:val="superscript"/>
          <w:lang w:val="en-US" w:eastAsia="zh-CN"/>
        </w:rPr>
        <w:t>2</w:t>
      </w:r>
    </w:p>
    <w:p>
      <w:pPr>
        <w:pStyle w:val="6"/>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outlineLvl w:val="9"/>
        <w:rPr>
          <w:rFonts w:hint="eastAsia" w:ascii="宋体" w:hAnsi="宋体" w:eastAsia="宋体" w:cs="宋体"/>
          <w:b/>
          <w:color w:val="auto"/>
          <w:szCs w:val="28"/>
        </w:rPr>
      </w:pPr>
      <w:r>
        <w:rPr>
          <w:rFonts w:hint="eastAsia" w:ascii="宋体" w:hAnsi="宋体" w:eastAsia="宋体" w:cs="宋体"/>
          <w:b/>
          <w:color w:val="auto"/>
          <w:szCs w:val="28"/>
        </w:rPr>
        <w:t>六、估价结果的确定</w:t>
      </w:r>
    </w:p>
    <w:p>
      <w:pPr>
        <w:pStyle w:val="6"/>
        <w:keepNext w:val="0"/>
        <w:keepLines w:val="0"/>
        <w:pageBreakBefore w:val="0"/>
        <w:widowControl w:val="0"/>
        <w:kinsoku/>
        <w:wordWrap/>
        <w:overflowPunct/>
        <w:topLinePunct w:val="0"/>
        <w:autoSpaceDE/>
        <w:autoSpaceDN/>
        <w:bidi w:val="0"/>
        <w:adjustRightInd/>
        <w:snapToGrid/>
        <w:spacing w:line="440" w:lineRule="exact"/>
        <w:ind w:firstLine="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（一）确定</w:t>
      </w:r>
      <w:r>
        <w:rPr>
          <w:rFonts w:hint="eastAsia" w:ascii="宋体" w:hAnsi="宋体" w:eastAsia="宋体" w:cs="宋体"/>
          <w:color w:val="auto"/>
          <w:sz w:val="24"/>
          <w:szCs w:val="24"/>
          <w:lang w:eastAsia="zh-CN"/>
        </w:rPr>
        <w:t>房地产</w:t>
      </w:r>
      <w:r>
        <w:rPr>
          <w:rFonts w:hint="eastAsia" w:ascii="宋体" w:hAnsi="宋体" w:eastAsia="宋体" w:cs="宋体"/>
          <w:color w:val="auto"/>
          <w:sz w:val="24"/>
          <w:szCs w:val="24"/>
        </w:rPr>
        <w:t>的市场价值</w:t>
      </w:r>
      <w:bookmarkStart w:id="15" w:name="OLE_LINK40"/>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根据比较法和收益法分别求得的结果有较大差异，经检测测算过程无误，且选取的参数合理，采用加权算术平均数求取估价对象单价。由于</w:t>
      </w:r>
      <w:r>
        <w:rPr>
          <w:rFonts w:hint="eastAsia" w:ascii="宋体" w:hAnsi="宋体" w:cs="宋体"/>
          <w:color w:val="auto"/>
          <w:sz w:val="24"/>
          <w:szCs w:val="24"/>
          <w:lang w:val="en-US" w:eastAsia="zh-CN"/>
        </w:rPr>
        <w:t>收益</w:t>
      </w:r>
      <w:r>
        <w:rPr>
          <w:rFonts w:hint="eastAsia" w:ascii="宋体" w:hAnsi="宋体" w:eastAsia="宋体" w:cs="宋体"/>
          <w:color w:val="auto"/>
          <w:sz w:val="24"/>
          <w:szCs w:val="24"/>
        </w:rPr>
        <w:t>法的</w:t>
      </w:r>
      <w:r>
        <w:rPr>
          <w:rFonts w:hint="eastAsia" w:ascii="宋体" w:hAnsi="宋体" w:cs="宋体"/>
          <w:color w:val="auto"/>
          <w:sz w:val="24"/>
          <w:szCs w:val="24"/>
          <w:lang w:val="en-US" w:eastAsia="zh-CN"/>
        </w:rPr>
        <w:t>更接近当前市场行情</w:t>
      </w:r>
      <w:r>
        <w:rPr>
          <w:rFonts w:hint="eastAsia" w:ascii="宋体" w:hAnsi="宋体" w:eastAsia="宋体" w:cs="宋体"/>
          <w:color w:val="auto"/>
          <w:sz w:val="24"/>
          <w:szCs w:val="24"/>
        </w:rPr>
        <w:t>，故</w:t>
      </w:r>
      <w:r>
        <w:rPr>
          <w:rFonts w:hint="eastAsia" w:ascii="宋体" w:hAnsi="宋体" w:cs="宋体"/>
          <w:color w:val="auto"/>
          <w:sz w:val="24"/>
          <w:szCs w:val="24"/>
          <w:lang w:val="en-US" w:eastAsia="zh-CN"/>
        </w:rPr>
        <w:t>收益</w:t>
      </w:r>
      <w:r>
        <w:rPr>
          <w:rFonts w:hint="eastAsia" w:ascii="宋体" w:hAnsi="宋体" w:eastAsia="宋体" w:cs="宋体"/>
          <w:color w:val="auto"/>
          <w:sz w:val="24"/>
          <w:szCs w:val="24"/>
        </w:rPr>
        <w:t>法权重取</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0%，</w:t>
      </w:r>
      <w:r>
        <w:rPr>
          <w:rFonts w:hint="eastAsia" w:ascii="宋体" w:hAnsi="宋体" w:cs="宋体"/>
          <w:color w:val="auto"/>
          <w:sz w:val="24"/>
          <w:szCs w:val="24"/>
          <w:lang w:val="en-US" w:eastAsia="zh-CN"/>
        </w:rPr>
        <w:t>比较</w:t>
      </w:r>
      <w:r>
        <w:rPr>
          <w:rFonts w:hint="eastAsia" w:ascii="宋体" w:hAnsi="宋体" w:eastAsia="宋体" w:cs="宋体"/>
          <w:color w:val="auto"/>
          <w:sz w:val="24"/>
          <w:szCs w:val="24"/>
        </w:rPr>
        <w:t>法权重取</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0%。则</w:t>
      </w:r>
      <w:r>
        <w:rPr>
          <w:rFonts w:hint="eastAsia" w:ascii="宋体" w:hAnsi="宋体" w:eastAsia="宋体" w:cs="宋体"/>
          <w:color w:val="auto"/>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line="420" w:lineRule="exact"/>
        <w:ind w:firstLine="480" w:firstLineChars="200"/>
        <w:jc w:val="righ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住宅价值确定明细表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20</w:t>
      </w:r>
    </w:p>
    <w:tbl>
      <w:tblPr>
        <w:tblStyle w:val="9"/>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550"/>
        <w:gridCol w:w="1550"/>
        <w:gridCol w:w="1550"/>
        <w:gridCol w:w="155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估价方法</w:t>
            </w:r>
          </w:p>
        </w:tc>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估算单价</w:t>
            </w:r>
          </w:p>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(元/</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权重</w:t>
            </w:r>
          </w:p>
        </w:tc>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权重单价</w:t>
            </w:r>
          </w:p>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(元/</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建筑面积</w:t>
            </w:r>
          </w:p>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550"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估算总价值</w:t>
            </w:r>
          </w:p>
          <w:p>
            <w:pPr>
              <w:keepNext w:val="0"/>
              <w:keepLines w:val="0"/>
              <w:pageBreakBefore w:val="0"/>
              <w:widowControl w:val="0"/>
              <w:tabs>
                <w:tab w:val="left" w:pos="2761"/>
              </w:tabs>
              <w:kinsoku/>
              <w:wordWrap/>
              <w:overflowPunct/>
              <w:topLinePunct w:val="0"/>
              <w:autoSpaceDE/>
              <w:autoSpaceDN/>
              <w:bidi w:val="0"/>
              <w:adjustRightInd/>
              <w:snapToGrid/>
              <w:spacing w:line="42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cs="宋体"/>
                <w:color w:val="auto"/>
                <w:szCs w:val="21"/>
              </w:rPr>
            </w:pPr>
            <w:r>
              <w:rPr>
                <w:rFonts w:hint="eastAsia" w:ascii="宋体" w:hAnsi="宋体" w:eastAsia="宋体" w:cs="宋体"/>
                <w:color w:val="auto"/>
                <w:sz w:val="21"/>
                <w:szCs w:val="21"/>
              </w:rPr>
              <w:t>收 益 法</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cs="宋体"/>
                <w:color w:val="auto"/>
                <w:szCs w:val="21"/>
                <w:lang w:val="en-US" w:eastAsia="zh-CN"/>
              </w:rPr>
            </w:pPr>
            <w:r>
              <w:rPr>
                <w:rFonts w:hint="eastAsia" w:ascii="宋体" w:hAnsi="宋体" w:eastAsia="宋体" w:cs="宋体"/>
                <w:color w:val="auto"/>
                <w:kern w:val="2"/>
                <w:sz w:val="21"/>
                <w:szCs w:val="21"/>
                <w:lang w:val="en-US" w:eastAsia="zh-CN" w:bidi="ar-SA"/>
              </w:rPr>
              <w:t>6229</w:t>
            </w:r>
          </w:p>
        </w:tc>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cs="宋体"/>
                <w:color w:val="auto"/>
                <w:szCs w:val="21"/>
                <w:lang w:val="en-US" w:eastAsia="zh-CN"/>
              </w:rPr>
            </w:pPr>
            <w:r>
              <w:rPr>
                <w:rFonts w:hint="eastAsia" w:ascii="宋体" w:hAnsi="宋体" w:cs="宋体"/>
                <w:color w:val="auto"/>
                <w:szCs w:val="21"/>
                <w:lang w:val="en-US" w:eastAsia="zh-CN"/>
              </w:rPr>
              <w:t>70%</w:t>
            </w:r>
          </w:p>
        </w:tc>
        <w:tc>
          <w:tcPr>
            <w:tcW w:w="15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5757</w:t>
            </w:r>
          </w:p>
        </w:tc>
        <w:tc>
          <w:tcPr>
            <w:tcW w:w="15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32.29</w:t>
            </w:r>
          </w:p>
        </w:tc>
        <w:tc>
          <w:tcPr>
            <w:tcW w:w="15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550"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2"/>
                <w:sz w:val="21"/>
                <w:szCs w:val="21"/>
                <w:lang w:val="en-US" w:eastAsia="zh-CN" w:bidi="ar-SA"/>
              </w:rPr>
              <w:t>比 较 法</w:t>
            </w:r>
          </w:p>
        </w:tc>
        <w:tc>
          <w:tcPr>
            <w:tcW w:w="1550"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4654</w:t>
            </w:r>
          </w:p>
        </w:tc>
        <w:tc>
          <w:tcPr>
            <w:tcW w:w="1550"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30%</w:t>
            </w:r>
          </w:p>
        </w:tc>
        <w:tc>
          <w:tcPr>
            <w:tcW w:w="1550"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rPr>
            </w:pPr>
          </w:p>
        </w:tc>
        <w:tc>
          <w:tcPr>
            <w:tcW w:w="1550"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rPr>
            </w:pPr>
          </w:p>
        </w:tc>
        <w:tc>
          <w:tcPr>
            <w:tcW w:w="1550"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color w:val="auto"/>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）扣除原房屋所有权人应承担的相关税费</w:t>
      </w:r>
    </w:p>
    <w:bookmarkEnd w:id="15"/>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cs="宋体"/>
          <w:color w:val="auto"/>
          <w:sz w:val="24"/>
          <w:szCs w:val="24"/>
        </w:rPr>
      </w:pPr>
      <w:r>
        <w:rPr>
          <w:rFonts w:hint="eastAsia" w:ascii="宋体" w:hAnsi="宋体" w:eastAsia="宋体" w:cs="宋体"/>
          <w:color w:val="auto"/>
          <w:sz w:val="24"/>
          <w:szCs w:val="24"/>
        </w:rPr>
        <w:t>如果估价对象在价值时点进行处置，</w:t>
      </w:r>
      <w:r>
        <w:rPr>
          <w:rFonts w:hint="eastAsia" w:ascii="宋体" w:hAnsi="宋体" w:eastAsia="宋体" w:cs="宋体"/>
          <w:color w:val="auto"/>
          <w:sz w:val="24"/>
          <w:szCs w:val="24"/>
          <w:lang w:eastAsia="zh-CN"/>
        </w:rPr>
        <w:t>根据房地产转让相关文件，</w:t>
      </w:r>
      <w:r>
        <w:rPr>
          <w:rFonts w:hint="eastAsia" w:ascii="宋体" w:hAnsi="宋体" w:eastAsia="宋体" w:cs="宋体"/>
          <w:color w:val="auto"/>
          <w:sz w:val="24"/>
          <w:szCs w:val="24"/>
        </w:rPr>
        <w:t>原房屋所有权人应负担</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税金如下</w:t>
      </w:r>
      <w:r>
        <w:rPr>
          <w:rFonts w:hint="eastAsia" w:ascii="宋体" w:hAnsi="宋体" w:eastAsia="宋体" w:cs="宋体"/>
          <w:color w:val="auto"/>
          <w:sz w:val="24"/>
          <w:szCs w:val="24"/>
          <w:lang w:eastAsia="zh-CN"/>
        </w:rPr>
        <w:t>：</w:t>
      </w:r>
    </w:p>
    <w:p>
      <w:pPr>
        <w:pStyle w:val="4"/>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增值税及附加（5.</w:t>
      </w: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：住宅满两年免征；</w:t>
      </w:r>
    </w:p>
    <w:p>
      <w:pPr>
        <w:pStyle w:val="4"/>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个人所得税（</w:t>
      </w:r>
      <w:r>
        <w:rPr>
          <w:rFonts w:hint="eastAsia" w:ascii="宋体" w:hAnsi="宋体" w:eastAsia="宋体" w:cs="宋体"/>
          <w:color w:val="auto"/>
          <w:sz w:val="24"/>
          <w:szCs w:val="24"/>
          <w:lang w:val="en-US" w:eastAsia="zh-CN"/>
        </w:rPr>
        <w:t>3.00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住宅185900×3.00%=5577元</w:t>
      </w:r>
      <w:r>
        <w:rPr>
          <w:rFonts w:hint="eastAsia" w:ascii="宋体" w:hAnsi="宋体" w:eastAsia="宋体" w:cs="宋体"/>
          <w:color w:val="auto"/>
          <w:sz w:val="24"/>
          <w:szCs w:val="24"/>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（3）土地增值税（5</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rPr>
        <w:t>%）：住宅免征</w:t>
      </w:r>
      <w:r>
        <w:rPr>
          <w:rFonts w:hint="eastAsia" w:ascii="宋体" w:hAnsi="宋体" w:eastAsia="宋体" w:cs="宋体"/>
          <w:color w:val="auto"/>
          <w:sz w:val="24"/>
          <w:szCs w:val="24"/>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（4）印花税（0.05%）：住宅</w:t>
      </w:r>
      <w:r>
        <w:rPr>
          <w:rFonts w:hint="eastAsia" w:ascii="宋体" w:hAnsi="宋体" w:eastAsia="宋体" w:cs="宋体"/>
          <w:color w:val="auto"/>
          <w:sz w:val="24"/>
          <w:szCs w:val="24"/>
          <w:lang w:eastAsia="zh-CN"/>
        </w:rPr>
        <w:t>免征；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（5）房产登记费：</w:t>
      </w:r>
      <w:r>
        <w:rPr>
          <w:rFonts w:hint="eastAsia" w:ascii="宋体" w:hAnsi="宋体" w:eastAsia="宋体" w:cs="宋体"/>
          <w:color w:val="auto"/>
          <w:sz w:val="24"/>
          <w:szCs w:val="24"/>
        </w:rPr>
        <w:t>住宅</w:t>
      </w:r>
      <w:r>
        <w:rPr>
          <w:rFonts w:hint="eastAsia" w:ascii="宋体" w:hAnsi="宋体" w:eastAsia="宋体" w:cs="宋体"/>
          <w:color w:val="auto"/>
          <w:sz w:val="24"/>
          <w:szCs w:val="24"/>
          <w:lang w:val="en-US" w:eastAsia="zh-CN"/>
        </w:rPr>
        <w:t>80</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宗</w:t>
      </w:r>
      <w:r>
        <w:rPr>
          <w:rFonts w:hint="eastAsia" w:ascii="宋体" w:hAnsi="宋体" w:eastAsia="宋体" w:cs="宋体"/>
          <w:color w:val="auto"/>
          <w:sz w:val="24"/>
          <w:szCs w:val="24"/>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（6）以上五项合计：5657元</w:t>
      </w:r>
      <w:r>
        <w:rPr>
          <w:rFonts w:hint="eastAsia" w:ascii="宋体" w:hAnsi="宋体" w:eastAsia="宋体" w:cs="宋体"/>
          <w:kern w:val="2"/>
          <w:sz w:val="24"/>
          <w:szCs w:val="24"/>
          <w:lang w:val="en-US" w:eastAsia="zh-CN" w:bidi="ar-SA"/>
        </w:rPr>
        <w:t>≈0.57万元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0" w:firstLineChars="100"/>
        <w:jc w:val="both"/>
        <w:textAlignment w:val="auto"/>
        <w:outlineLvl w:val="9"/>
        <w:rPr>
          <w:rFonts w:hint="eastAsia" w:ascii="宋体" w:hAnsi="宋体" w:eastAsia="宋体" w:cs="宋体"/>
          <w:color w:val="auto"/>
          <w:sz w:val="24"/>
          <w:szCs w:val="24"/>
          <w:lang w:eastAsia="zh-CN"/>
        </w:rPr>
      </w:pPr>
      <w:r>
        <w:rPr>
          <w:rFonts w:hint="eastAsia" w:ascii="宋体" w:hAnsi="宋体" w:cs="宋体"/>
          <w:color w:val="auto"/>
          <w:sz w:val="24"/>
          <w:szCs w:val="24"/>
        </w:rPr>
        <w:t>（</w:t>
      </w:r>
      <w:r>
        <w:rPr>
          <w:rFonts w:hint="eastAsia" w:ascii="宋体" w:hAnsi="宋体" w:cs="宋体"/>
          <w:color w:val="auto"/>
          <w:sz w:val="24"/>
          <w:szCs w:val="24"/>
          <w:lang w:eastAsia="zh-CN"/>
        </w:rPr>
        <w:t>三</w:t>
      </w:r>
      <w:r>
        <w:rPr>
          <w:rFonts w:hint="eastAsia" w:ascii="宋体" w:hAnsi="宋体" w:cs="宋体"/>
          <w:color w:val="auto"/>
          <w:sz w:val="24"/>
          <w:szCs w:val="24"/>
        </w:rPr>
        <w:t>）估价对象</w:t>
      </w:r>
      <w:r>
        <w:rPr>
          <w:rFonts w:hint="eastAsia" w:ascii="宋体" w:hAnsi="宋体" w:cs="宋体"/>
          <w:color w:val="auto"/>
          <w:sz w:val="24"/>
          <w:szCs w:val="24"/>
          <w:lang w:eastAsia="zh-CN"/>
        </w:rPr>
        <w:t>处置价值的确定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960" w:firstLineChars="400"/>
        <w:jc w:val="both"/>
        <w:textAlignment w:val="auto"/>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处置参考价值</w:t>
      </w:r>
      <w:r>
        <w:rPr>
          <w:rFonts w:hint="eastAsia" w:ascii="宋体" w:hAnsi="宋体" w:cs="宋体"/>
          <w:color w:val="auto"/>
          <w:sz w:val="24"/>
          <w:szCs w:val="24"/>
        </w:rPr>
        <w:t>=</w:t>
      </w:r>
      <w:r>
        <w:rPr>
          <w:rFonts w:hint="eastAsia" w:ascii="宋体" w:hAnsi="宋体" w:cs="宋体"/>
          <w:color w:val="auto"/>
          <w:sz w:val="24"/>
          <w:szCs w:val="24"/>
          <w:lang w:eastAsia="zh-CN"/>
        </w:rPr>
        <w:t>市场</w:t>
      </w:r>
      <w:r>
        <w:rPr>
          <w:rFonts w:hint="eastAsia" w:ascii="宋体" w:hAnsi="宋体" w:cs="宋体"/>
          <w:color w:val="auto"/>
          <w:sz w:val="24"/>
          <w:szCs w:val="24"/>
        </w:rPr>
        <w:t>价值-</w:t>
      </w:r>
      <w:r>
        <w:rPr>
          <w:rFonts w:hint="eastAsia" w:ascii="宋体" w:hAnsi="宋体" w:cs="宋体"/>
          <w:color w:val="auto"/>
          <w:sz w:val="24"/>
          <w:szCs w:val="24"/>
          <w:lang w:eastAsia="zh-CN"/>
        </w:rPr>
        <w:t>原房屋所有权人应承担的交易税费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0" w:firstLineChars="100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18.59</w:t>
      </w:r>
      <w:r>
        <w:rPr>
          <w:rFonts w:hint="eastAsia" w:ascii="宋体" w:hAnsi="宋体" w:cs="宋体"/>
          <w:color w:val="auto"/>
          <w:sz w:val="24"/>
          <w:szCs w:val="24"/>
        </w:rPr>
        <w:t>万元-</w:t>
      </w:r>
      <w:r>
        <w:rPr>
          <w:rFonts w:hint="eastAsia" w:ascii="宋体" w:hAnsi="宋体" w:cs="宋体"/>
          <w:color w:val="auto"/>
          <w:sz w:val="24"/>
          <w:szCs w:val="24"/>
          <w:lang w:val="en-US" w:eastAsia="zh-CN"/>
        </w:rPr>
        <w:t>0.57</w:t>
      </w:r>
      <w:r>
        <w:rPr>
          <w:rFonts w:hint="eastAsia" w:ascii="宋体" w:hAnsi="宋体" w:cs="宋体"/>
          <w:color w:val="auto"/>
          <w:sz w:val="24"/>
          <w:szCs w:val="24"/>
        </w:rPr>
        <w:t>万</w:t>
      </w:r>
      <w:r>
        <w:rPr>
          <w:rFonts w:hint="eastAsia" w:ascii="宋体" w:hAnsi="宋体" w:cs="宋体"/>
          <w:color w:val="auto"/>
          <w:sz w:val="24"/>
          <w:szCs w:val="24"/>
          <w:lang w:eastAsia="zh-CN"/>
        </w:rPr>
        <w:t>元</w:t>
      </w:r>
      <w:r>
        <w:rPr>
          <w:rFonts w:hint="eastAsia"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0" w:firstLineChars="1000"/>
        <w:jc w:val="both"/>
        <w:textAlignment w:val="auto"/>
        <w:outlineLvl w:val="9"/>
        <w:rPr>
          <w:rFonts w:hint="eastAsia" w:ascii="宋体" w:hAnsi="宋体" w:eastAsia="宋体" w:cs="宋体"/>
          <w:color w:val="auto"/>
          <w:sz w:val="24"/>
          <w:szCs w:val="24"/>
          <w:lang w:eastAsia="zh-CN"/>
        </w:rPr>
      </w:pPr>
      <w:r>
        <w:rPr>
          <w:rFonts w:hint="eastAsia" w:ascii="宋体" w:hAnsi="宋体" w:cs="宋体"/>
          <w:color w:val="auto"/>
          <w:sz w:val="24"/>
          <w:szCs w:val="24"/>
        </w:rPr>
        <w:t>=</w:t>
      </w:r>
      <w:r>
        <w:rPr>
          <w:rFonts w:hint="eastAsia" w:ascii="宋体" w:hAnsi="宋体" w:cs="宋体"/>
          <w:color w:val="auto"/>
          <w:sz w:val="24"/>
          <w:szCs w:val="24"/>
          <w:lang w:val="en-US" w:eastAsia="zh-CN"/>
        </w:rPr>
        <w:t>18.02</w:t>
      </w:r>
      <w:r>
        <w:rPr>
          <w:rFonts w:hint="eastAsia" w:ascii="宋体" w:hAnsi="宋体" w:cs="宋体"/>
          <w:color w:val="auto"/>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960" w:firstLineChars="400"/>
        <w:jc w:val="both"/>
        <w:textAlignment w:val="auto"/>
        <w:outlineLvl w:val="9"/>
        <w:rPr>
          <w:rFonts w:hint="eastAsia" w:ascii="宋体" w:hAnsi="宋体" w:cs="宋体"/>
          <w:color w:val="auto"/>
          <w:sz w:val="24"/>
          <w:szCs w:val="24"/>
          <w:lang w:eastAsia="zh-CN"/>
        </w:rPr>
      </w:pPr>
      <w:r>
        <w:rPr>
          <w:rFonts w:hint="eastAsia" w:ascii="宋体" w:hAnsi="宋体" w:cs="宋体"/>
          <w:color w:val="auto"/>
          <w:sz w:val="24"/>
          <w:szCs w:val="24"/>
        </w:rPr>
        <w:t>则</w:t>
      </w:r>
      <w:r>
        <w:rPr>
          <w:rFonts w:hint="eastAsia" w:ascii="宋体" w:hAnsi="宋体" w:cs="宋体"/>
          <w:color w:val="auto"/>
          <w:sz w:val="24"/>
          <w:szCs w:val="24"/>
          <w:lang w:eastAsia="zh-CN"/>
        </w:rPr>
        <w:t>估价对象处置</w:t>
      </w:r>
      <w:r>
        <w:rPr>
          <w:rFonts w:hint="eastAsia" w:ascii="宋体" w:hAnsi="宋体" w:cs="宋体"/>
          <w:color w:val="auto"/>
          <w:sz w:val="24"/>
          <w:szCs w:val="24"/>
        </w:rPr>
        <w:t>净值单价为</w:t>
      </w:r>
      <w:r>
        <w:rPr>
          <w:rFonts w:hint="eastAsia" w:ascii="宋体" w:hAnsi="宋体" w:cs="宋体"/>
          <w:color w:val="auto"/>
          <w:sz w:val="24"/>
          <w:szCs w:val="24"/>
          <w:lang w:val="en-US" w:eastAsia="zh-CN"/>
        </w:rPr>
        <w:t>5581元/</w:t>
      </w:r>
      <w:r>
        <w:rPr>
          <w:rFonts w:hint="eastAsia" w:ascii="宋体" w:hAnsi="宋体" w:eastAsia="宋体" w:cs="宋体"/>
          <w:color w:val="auto"/>
          <w:sz w:val="24"/>
          <w:szCs w:val="24"/>
          <w:lang w:val="en-US" w:eastAsia="zh-CN"/>
        </w:rPr>
        <w:t>m</w:t>
      </w:r>
      <w:r>
        <w:rPr>
          <w:rFonts w:hint="eastAsia" w:ascii="宋体" w:hAnsi="宋体" w:eastAsia="宋体" w:cs="宋体"/>
          <w:color w:val="auto"/>
          <w:sz w:val="24"/>
          <w:szCs w:val="24"/>
          <w:vertAlign w:val="superscript"/>
          <w:lang w:val="en-US" w:eastAsia="zh-CN"/>
        </w:rPr>
        <w:t>2</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firstLine="495"/>
        <w:jc w:val="right"/>
        <w:textAlignment w:val="auto"/>
        <w:outlineLvl w:val="9"/>
        <w:rPr>
          <w:rFonts w:hint="eastAsia" w:ascii="宋体" w:hAnsi="宋体" w:cs="宋体"/>
          <w:bCs/>
          <w:sz w:val="28"/>
          <w:szCs w:val="28"/>
        </w:rPr>
      </w:pPr>
      <w:r>
        <w:rPr>
          <w:rFonts w:hint="eastAsia" w:ascii="宋体" w:hAnsi="宋体" w:cs="宋体"/>
          <w:color w:val="000000"/>
          <w:sz w:val="24"/>
          <w:szCs w:val="24"/>
        </w:rPr>
        <w:t xml:space="preserve">  </w:t>
      </w:r>
      <w:r>
        <w:rPr>
          <w:rFonts w:hint="eastAsia" w:ascii="宋体" w:hAnsi="宋体" w:cs="宋体"/>
          <w:bCs/>
          <w:sz w:val="28"/>
          <w:szCs w:val="28"/>
        </w:rPr>
        <w:t xml:space="preserve">  龙岩冠力土地房地产评估有限公司</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cs="宋体"/>
          <w:b/>
          <w:bCs/>
          <w:sz w:val="32"/>
          <w:szCs w:val="32"/>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w:t>
      </w:r>
      <w:r>
        <w:rPr>
          <w:rFonts w:hint="eastAsia" w:ascii="宋体" w:hAnsi="宋体" w:cs="宋体"/>
          <w:bCs/>
          <w:sz w:val="28"/>
          <w:szCs w:val="28"/>
          <w:lang w:eastAsia="zh-CN"/>
        </w:rPr>
        <w:t xml:space="preserve"> 2022年9月7日</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cs="宋体"/>
          <w:b/>
          <w:bCs/>
          <w:sz w:val="32"/>
          <w:szCs w:val="32"/>
        </w:rPr>
      </w:pPr>
    </w:p>
    <w:p>
      <w:pPr>
        <w:pStyle w:val="2"/>
        <w:rPr>
          <w:rFonts w:hint="eastAsia" w:ascii="宋体" w:hAnsi="宋体" w:cs="宋体"/>
          <w:b/>
          <w:bCs/>
          <w:sz w:val="32"/>
          <w:szCs w:val="32"/>
        </w:rPr>
      </w:pPr>
    </w:p>
    <w:p>
      <w:pPr>
        <w:pStyle w:val="2"/>
        <w:rPr>
          <w:rFonts w:hint="eastAsia" w:ascii="宋体" w:hAnsi="宋体" w:cs="宋体"/>
          <w:b/>
          <w:bCs/>
          <w:sz w:val="32"/>
          <w:szCs w:val="32"/>
        </w:rPr>
      </w:pPr>
    </w:p>
    <w:p>
      <w:pPr>
        <w:pStyle w:val="2"/>
        <w:ind w:left="0" w:leftChars="0" w:firstLine="0" w:firstLineChars="0"/>
        <w:rPr>
          <w:rFonts w:hint="eastAsia" w:ascii="宋体" w:hAnsi="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cs="宋体"/>
          <w:sz w:val="24"/>
          <w:szCs w:val="24"/>
        </w:rPr>
      </w:pPr>
      <w:r>
        <w:rPr>
          <w:rFonts w:hint="eastAsia" w:ascii="宋体" w:hAnsi="宋体" w:cs="宋体"/>
          <w:b/>
          <w:bCs/>
          <w:sz w:val="32"/>
          <w:szCs w:val="32"/>
        </w:rPr>
        <w:t>附  件</w:t>
      </w:r>
      <w:bookmarkStart w:id="16" w:name="OLE_LINK23"/>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210" w:leftChars="0" w:right="0" w:rightChars="0"/>
        <w:jc w:val="left"/>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lang w:eastAsia="zh-CN"/>
        </w:rPr>
        <w:t>估价对象位置图</w:t>
      </w:r>
      <w:r>
        <w:rPr>
          <w:rFonts w:hint="eastAsia" w:ascii="宋体" w:hAnsi="宋体" w:cs="宋体"/>
          <w:sz w:val="24"/>
          <w:szCs w:val="24"/>
          <w:lang w:val="en-US" w:eastAsia="zh-CN"/>
        </w:rPr>
        <w:t>及门牌号</w:t>
      </w:r>
      <w:r>
        <w:rPr>
          <w:rFonts w:hint="eastAsia" w:ascii="宋体" w:hAnsi="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2、《龙岩市永定区人民法院委托书》（2022）闽0803执恢253号复印件；</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w:t>
      </w:r>
      <w:r>
        <w:rPr>
          <w:rFonts w:hint="eastAsia" w:ascii="宋体" w:hAnsi="宋体" w:cs="宋体"/>
          <w:sz w:val="24"/>
          <w:szCs w:val="24"/>
          <w:lang w:eastAsia="zh-CN"/>
        </w:rPr>
        <w:t>福建省龙岩市永定区人民法院执行裁定书</w:t>
      </w:r>
      <w:r>
        <w:rPr>
          <w:rFonts w:hint="eastAsia" w:ascii="宋体" w:hAnsi="宋体" w:cs="宋体"/>
          <w:sz w:val="24"/>
          <w:szCs w:val="24"/>
          <w:lang w:val="en-US" w:eastAsia="zh-CN"/>
        </w:rPr>
        <w:t>复印件</w:t>
      </w:r>
      <w:r>
        <w:rPr>
          <w:rFonts w:hint="eastAsia" w:ascii="宋体" w:hAnsi="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cs="宋体"/>
          <w:sz w:val="24"/>
          <w:szCs w:val="24"/>
          <w:lang w:val="en-US" w:eastAsia="zh-CN"/>
        </w:rPr>
      </w:pPr>
      <w:r>
        <w:rPr>
          <w:rFonts w:hint="eastAsia" w:ascii="宋体" w:hAnsi="宋体" w:cs="宋体"/>
          <w:sz w:val="24"/>
          <w:szCs w:val="24"/>
          <w:lang w:val="en-US" w:eastAsia="zh-CN"/>
        </w:rPr>
        <w:t>4、《房屋所有权证》永房权证2014字第02399号复印件；</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cs="宋体"/>
          <w:sz w:val="24"/>
          <w:szCs w:val="24"/>
          <w:lang w:val="en-US" w:eastAsia="zh-CN"/>
        </w:rPr>
      </w:pPr>
      <w:r>
        <w:rPr>
          <w:rFonts w:hint="eastAsia" w:ascii="宋体" w:hAnsi="宋体" w:cs="宋体"/>
          <w:sz w:val="24"/>
          <w:szCs w:val="24"/>
          <w:lang w:val="en-US" w:eastAsia="zh-CN"/>
        </w:rPr>
        <w:t>5、《国有土地使用证》永定国用（2015）第R878号复印件；</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240" w:firstLineChars="100"/>
        <w:textAlignment w:val="auto"/>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房地产估价机构营业执照、资质证书复印件；</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7</w:t>
      </w:r>
      <w:r>
        <w:rPr>
          <w:rFonts w:hint="eastAsia" w:ascii="宋体" w:hAnsi="宋体" w:cs="宋体"/>
          <w:sz w:val="24"/>
          <w:szCs w:val="24"/>
        </w:rPr>
        <w:t>、参加此次估价的估价师资格证书复印件</w:t>
      </w:r>
      <w:r>
        <w:rPr>
          <w:rFonts w:hint="eastAsia" w:ascii="宋体" w:hAnsi="宋体" w:cs="宋体"/>
          <w:sz w:val="24"/>
          <w:szCs w:val="24"/>
          <w:lang w:val="en-US" w:eastAsia="zh-CN"/>
        </w:rPr>
        <w:t xml:space="preserve">。    </w:t>
      </w: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spacing w:line="560" w:lineRule="exact"/>
        <w:jc w:val="center"/>
        <w:rPr>
          <w:rFonts w:hint="eastAsia" w:ascii="宋体" w:hAnsi="宋体" w:cs="宋体"/>
          <w:b/>
          <w:bCs w:val="0"/>
          <w:sz w:val="32"/>
          <w:szCs w:val="32"/>
        </w:rPr>
        <w:sectPr>
          <w:footerReference r:id="rId12" w:type="first"/>
          <w:headerReference r:id="rId10" w:type="default"/>
          <w:footerReference r:id="rId11" w:type="default"/>
          <w:pgSz w:w="11907" w:h="16840"/>
          <w:pgMar w:top="1134" w:right="1134" w:bottom="1134" w:left="1701" w:header="851" w:footer="851" w:gutter="0"/>
          <w:pgNumType w:fmt="decimal" w:start="1"/>
          <w:cols w:space="720" w:num="1"/>
          <w:docGrid w:type="lines" w:linePitch="312" w:charSpace="0"/>
        </w:sectPr>
      </w:pPr>
    </w:p>
    <w:p>
      <w:pPr>
        <w:spacing w:line="560" w:lineRule="exact"/>
        <w:jc w:val="center"/>
        <w:rPr>
          <w:rFonts w:hint="default" w:ascii="宋体" w:hAnsi="宋体" w:eastAsia="宋体" w:cs="宋体"/>
          <w:b/>
          <w:bCs w:val="0"/>
          <w:sz w:val="32"/>
          <w:szCs w:val="32"/>
          <w:lang w:val="en-US" w:eastAsia="zh-CN"/>
        </w:rPr>
      </w:pPr>
      <w:r>
        <w:rPr>
          <w:rFonts w:hint="eastAsia" w:ascii="宋体" w:hAnsi="宋体" w:cs="宋体"/>
          <w:b/>
          <w:bCs w:val="0"/>
          <w:sz w:val="32"/>
          <w:szCs w:val="32"/>
        </w:rPr>
        <w:t>估价对象位置图</w:t>
      </w:r>
      <w:r>
        <w:rPr>
          <w:rFonts w:hint="eastAsia" w:ascii="宋体" w:hAnsi="宋体" w:cs="宋体"/>
          <w:b/>
          <w:bCs w:val="0"/>
          <w:sz w:val="32"/>
          <w:szCs w:val="32"/>
          <w:lang w:val="en-US" w:eastAsia="zh-CN"/>
        </w:rPr>
        <w:t>及门牌号</w:t>
      </w:r>
    </w:p>
    <w:p>
      <w:pPr>
        <w:pStyle w:val="2"/>
        <w:ind w:left="0" w:leftChars="0" w:firstLine="0" w:firstLineChars="0"/>
        <w:rPr>
          <w:rFonts w:hint="eastAsia" w:ascii="宋体" w:hAnsi="宋体" w:cs="宋体"/>
          <w:b/>
          <w:bCs w:val="0"/>
          <w:sz w:val="32"/>
          <w:szCs w:val="32"/>
          <w:lang w:eastAsia="zh-CN"/>
        </w:rPr>
      </w:pPr>
    </w:p>
    <w:p>
      <w:pPr>
        <w:widowControl/>
        <w:jc w:val="left"/>
      </w:pPr>
    </w:p>
    <w:p>
      <w:pPr>
        <w:spacing w:line="240" w:lineRule="atLeast"/>
        <w:jc w:val="center"/>
        <w:rPr>
          <w:rFonts w:hint="eastAsia" w:eastAsia="宋体"/>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1801495</wp:posOffset>
                </wp:positionH>
                <wp:positionV relativeFrom="paragraph">
                  <wp:posOffset>1554480</wp:posOffset>
                </wp:positionV>
                <wp:extent cx="1164590" cy="433705"/>
                <wp:effectExtent l="6350" t="6350" r="29210" b="207645"/>
                <wp:wrapNone/>
                <wp:docPr id="17" name="椭圆形标注 17"/>
                <wp:cNvGraphicFramePr/>
                <a:graphic xmlns:a="http://schemas.openxmlformats.org/drawingml/2006/main">
                  <a:graphicData uri="http://schemas.microsoft.com/office/word/2010/wordprocessingShape">
                    <wps:wsp>
                      <wps:cNvSpPr/>
                      <wps:spPr>
                        <a:xfrm>
                          <a:off x="4484370" y="2839085"/>
                          <a:ext cx="1164590" cy="433705"/>
                        </a:xfrm>
                        <a:prstGeom prst="wedgeEllipseCallout">
                          <a:avLst>
                            <a:gd name="adj1" fmla="val 50109"/>
                            <a:gd name="adj2" fmla="val 92166"/>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估价对象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141.85pt;margin-top:122.4pt;height:34.15pt;width:91.7pt;z-index:251659264;v-text-anchor:middle;mso-width-relative:page;mso-height-relative:page;" fillcolor="#FFFFFF [3201]" filled="t" stroked="t" coordsize="21600,21600" o:gfxdata="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cphHF9sAAAALAQAA&#10;DwAAAAAAAAABACAAAAAiAAAAZHJzL2Rvd25yZXYueG1sUEsBAhQAFAAAAAgAh07iQKBMzfHBAgAA&#10;dgUAAA4AAAAAAAAAAQAgAAAAKgEAAGRycy9lMm9Eb2MueG1sUEsFBgAAAAAGAAYAWQEAAF0GAAAA&#10;AA==&#10;" adj="21624,30708">
                <v:fill on="t" focussize="0,0"/>
                <v:stroke weight="1pt" color="#FF0000 [3209]" miterlimit="8" joinstyle="miter"/>
                <v:imagedata o:title=""/>
                <o:lock v:ext="edit" aspectratio="f"/>
                <v:textbox>
                  <w:txbxContent>
                    <w:p>
                      <w:pPr>
                        <w:jc w:val="center"/>
                        <w:rPr>
                          <w:rFonts w:hint="eastAsia" w:eastAsia="宋体"/>
                          <w:lang w:val="en-US" w:eastAsia="zh-CN"/>
                        </w:rPr>
                      </w:pPr>
                      <w:r>
                        <w:rPr>
                          <w:rFonts w:hint="eastAsia"/>
                          <w:lang w:val="en-US" w:eastAsia="zh-CN"/>
                        </w:rPr>
                        <w:t>估价对象</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2948305</wp:posOffset>
                </wp:positionH>
                <wp:positionV relativeFrom="paragraph">
                  <wp:posOffset>2047875</wp:posOffset>
                </wp:positionV>
                <wp:extent cx="192405" cy="233680"/>
                <wp:effectExtent l="25400" t="36195" r="29845" b="53975"/>
                <wp:wrapNone/>
                <wp:docPr id="18" name="十字星 18"/>
                <wp:cNvGraphicFramePr/>
                <a:graphic xmlns:a="http://schemas.openxmlformats.org/drawingml/2006/main">
                  <a:graphicData uri="http://schemas.microsoft.com/office/word/2010/wordprocessingShape">
                    <wps:wsp>
                      <wps:cNvSpPr/>
                      <wps:spPr>
                        <a:xfrm>
                          <a:off x="4262120" y="3622040"/>
                          <a:ext cx="192405" cy="233680"/>
                        </a:xfrm>
                        <a:prstGeom prst="star4">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232.15pt;margin-top:161.25pt;height:18.4pt;width:15.15pt;z-index:251660288;v-text-anchor:middle;mso-width-relative:page;mso-height-relative:page;" fillcolor="#FF0000" filled="t" stroked="t" coordsize="21600,21600" o:gfxdata="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b/d072gAAAAsBAAAPAAAAAAAAAAEA&#10;IAAAACIAAABkcnMvZG93bnJldi54bWxQSwECFAAUAAAACACHTuJAiuvBd38CAAAFBQAADgAAAAAA&#10;AAABACAAAAApAQAAZHJzL2Uyb0RvYy54bWxQSwUGAAAAAAYABgBZAQAAGgYAAAAA&#10;" adj="8100">
                <v:fill on="t" focussize="0,0"/>
                <v:stroke weight="1pt" color="#FF0000 [3204]" miterlimit="8" joinstyle="miter"/>
                <v:imagedata o:title=""/>
                <o:lock v:ext="edit" aspectratio="f"/>
              </v:shape>
            </w:pict>
          </mc:Fallback>
        </mc:AlternateContent>
      </w:r>
      <w:r>
        <w:rPr>
          <w:rFonts w:hint="eastAsia" w:eastAsia="宋体"/>
          <w:lang w:eastAsia="zh-CN"/>
        </w:rPr>
        <w:drawing>
          <wp:inline distT="0" distB="0" distL="114300" distR="114300">
            <wp:extent cx="5755640" cy="3747770"/>
            <wp:effectExtent l="0" t="0" r="16510" b="5080"/>
            <wp:docPr id="16" name="图片 16" descr="166010227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60102271658"/>
                    <pic:cNvPicPr>
                      <a:picLocks noChangeAspect="1"/>
                    </pic:cNvPicPr>
                  </pic:nvPicPr>
                  <pic:blipFill>
                    <a:blip r:embed="rId20"/>
                    <a:stretch>
                      <a:fillRect/>
                    </a:stretch>
                  </pic:blipFill>
                  <pic:spPr>
                    <a:xfrm>
                      <a:off x="0" y="0"/>
                      <a:ext cx="5755640" cy="3747770"/>
                    </a:xfrm>
                    <a:prstGeom prst="rect">
                      <a:avLst/>
                    </a:prstGeom>
                  </pic:spPr>
                </pic:pic>
              </a:graphicData>
            </a:graphic>
          </wp:inline>
        </w:drawing>
      </w:r>
    </w:p>
    <w:p>
      <w:pPr>
        <w:spacing w:line="240" w:lineRule="atLeast"/>
        <w:jc w:val="both"/>
        <w:rPr>
          <w:rFonts w:hint="eastAsia"/>
          <w:lang w:eastAsia="zh-CN"/>
        </w:rPr>
      </w:pPr>
    </w:p>
    <w:p>
      <w:pPr>
        <w:pStyle w:val="2"/>
        <w:ind w:left="0" w:leftChars="0" w:firstLine="0" w:firstLineChars="0"/>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bookmarkEnd w:id="16"/>
    <w:p>
      <w:pPr>
        <w:pStyle w:val="2"/>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3079750" cy="3842385"/>
            <wp:effectExtent l="0" t="0" r="6350" b="5715"/>
            <wp:docPr id="26" name="图片 26" descr="0b10e815dfb3fbc7e742ccae87f14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0b10e815dfb3fbc7e742ccae87f14c2"/>
                    <pic:cNvPicPr>
                      <a:picLocks noChangeAspect="1"/>
                    </pic:cNvPicPr>
                  </pic:nvPicPr>
                  <pic:blipFill>
                    <a:blip r:embed="rId21"/>
                    <a:stretch>
                      <a:fillRect/>
                    </a:stretch>
                  </pic:blipFill>
                  <pic:spPr>
                    <a:xfrm>
                      <a:off x="0" y="0"/>
                      <a:ext cx="3079750" cy="3842385"/>
                    </a:xfrm>
                    <a:prstGeom prst="rect">
                      <a:avLst/>
                    </a:prstGeom>
                  </pic:spPr>
                </pic:pic>
              </a:graphicData>
            </a:graphic>
          </wp:inline>
        </w:drawing>
      </w:r>
    </w:p>
    <w:p>
      <w:bookmarkStart w:id="17" w:name="_GoBack"/>
      <w:bookmarkEnd w:id="17"/>
    </w:p>
    <w:sectPr>
      <w:headerReference r:id="rId13" w:type="default"/>
      <w:footerReference r:id="rId14" w:type="default"/>
      <w:pgSz w:w="11907" w:h="16840"/>
      <w:pgMar w:top="1134" w:right="1134" w:bottom="1134" w:left="1701" w:header="851" w:footer="851"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89" w:right="-247"/>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583946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839460" cy="1828800"/>
                      </a:xfrm>
                      <a:prstGeom prst="rect">
                        <a:avLst/>
                      </a:prstGeom>
                      <a:noFill/>
                      <a:ln w="15875">
                        <a:noFill/>
                      </a:ln>
                    </wps:spPr>
                    <wps:txbx>
                      <w:txbxContent>
                        <w:p>
                          <w:pPr>
                            <w:pStyle w:val="7"/>
                            <w:ind w:right="-247"/>
                            <w:rPr>
                              <w:rFonts w:hint="eastAsia" w:ascii="宋体" w:hAnsi="宋体" w:eastAsia="宋体" w:cs="宋体"/>
                            </w:rPr>
                          </w:pPr>
                          <w:r>
                            <w:rPr>
                              <w:rFonts w:hint="eastAsia" w:ascii="宋体" w:hAnsi="宋体" w:eastAsia="宋体" w:cs="宋体"/>
                            </w:rPr>
                            <w:t xml:space="preserve">龙岩冠力土地房地产评估有限公司            </w:t>
                          </w:r>
                          <w:r>
                            <w:rPr>
                              <w:rFonts w:hint="eastAsia" w:ascii="宋体" w:hAnsi="宋体" w:eastAsia="宋体" w:cs="宋体"/>
                              <w:lang w:val="en-US" w:eastAsia="zh-CN"/>
                            </w:rPr>
                            <w:t xml:space="preserve"> </w:t>
                          </w:r>
                          <w:r>
                            <w:rPr>
                              <w:rFonts w:hint="eastAsia" w:ascii="宋体" w:hAnsi="宋体" w:eastAsia="宋体" w:cs="宋体"/>
                            </w:rPr>
                            <w:t xml:space="preserve">    共</w:t>
                          </w:r>
                          <w:r>
                            <w:rPr>
                              <w:rFonts w:hint="eastAsia" w:ascii="宋体" w:hAnsi="宋体" w:eastAsia="宋体" w:cs="宋体"/>
                              <w:lang w:val="en-US" w:eastAsia="zh-CN"/>
                            </w:rPr>
                            <w:t>2</w:t>
                          </w:r>
                          <w:r>
                            <w:rPr>
                              <w:rFonts w:hint="eastAsia" w:ascii="宋体" w:hAnsi="宋体" w:cs="宋体"/>
                              <w:lang w:val="en-US" w:eastAsia="zh-CN"/>
                            </w:rPr>
                            <w:t>6</w:t>
                          </w:r>
                          <w:r>
                            <w:rPr>
                              <w:rFonts w:hint="eastAsia" w:ascii="宋体" w:hAnsi="宋体" w:eastAsia="宋体" w:cs="宋体"/>
                            </w:rPr>
                            <w:t>页</w:t>
                          </w:r>
                          <w:r>
                            <w:rPr>
                              <w:rFonts w:hint="eastAsia" w:ascii="宋体" w:hAnsi="宋体" w:eastAsia="宋体" w:cs="宋体"/>
                              <w:szCs w:val="18"/>
                            </w:rPr>
                            <w:t>第</w:t>
                          </w:r>
                          <w:r>
                            <w:rPr>
                              <w:rFonts w:hint="eastAsia" w:ascii="宋体" w:hAnsi="宋体" w:eastAsia="宋体" w:cs="宋体"/>
                              <w:kern w:val="0"/>
                              <w:szCs w:val="18"/>
                            </w:rPr>
                            <w:fldChar w:fldCharType="begin"/>
                          </w:r>
                          <w:r>
                            <w:rPr>
                              <w:rFonts w:hint="eastAsia" w:ascii="宋体" w:hAnsi="宋体" w:eastAsia="宋体" w:cs="宋体"/>
                              <w:kern w:val="0"/>
                              <w:szCs w:val="18"/>
                            </w:rPr>
                            <w:instrText xml:space="preserve"> PAGE </w:instrText>
                          </w:r>
                          <w:r>
                            <w:rPr>
                              <w:rFonts w:hint="eastAsia" w:ascii="宋体" w:hAnsi="宋体" w:eastAsia="宋体" w:cs="宋体"/>
                              <w:kern w:val="0"/>
                              <w:szCs w:val="18"/>
                            </w:rPr>
                            <w:fldChar w:fldCharType="separate"/>
                          </w:r>
                          <w:r>
                            <w:rPr>
                              <w:rFonts w:hint="eastAsia" w:ascii="宋体" w:hAnsi="宋体" w:eastAsia="宋体" w:cs="宋体"/>
                              <w:kern w:val="0"/>
                              <w:szCs w:val="18"/>
                            </w:rPr>
                            <w:t>20</w:t>
                          </w:r>
                          <w:r>
                            <w:rPr>
                              <w:rFonts w:hint="eastAsia" w:ascii="宋体" w:hAnsi="宋体" w:eastAsia="宋体" w:cs="宋体"/>
                              <w:kern w:val="0"/>
                              <w:szCs w:val="18"/>
                            </w:rPr>
                            <w:fldChar w:fldCharType="end"/>
                          </w:r>
                          <w:r>
                            <w:rPr>
                              <w:rFonts w:hint="eastAsia" w:ascii="宋体" w:hAnsi="宋体" w:eastAsia="宋体" w:cs="宋体"/>
                            </w:rPr>
                            <w:t xml:space="preserve">页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岩冠力估价字</w:t>
                          </w:r>
                          <w:r>
                            <w:rPr>
                              <w:rFonts w:hint="eastAsia" w:ascii="宋体" w:hAnsi="宋体" w:eastAsia="宋体" w:cs="宋体"/>
                              <w:lang w:eastAsia="zh-CN"/>
                            </w:rPr>
                            <w:t>[2022]</w:t>
                          </w:r>
                          <w:r>
                            <w:rPr>
                              <w:rFonts w:hint="eastAsia" w:ascii="宋体" w:hAnsi="宋体" w:cs="宋体"/>
                              <w:lang w:eastAsia="zh-CN"/>
                            </w:rPr>
                            <w:t>YD22</w:t>
                          </w:r>
                          <w:r>
                            <w:rPr>
                              <w:rFonts w:hint="eastAsia" w:ascii="宋体" w:hAnsi="宋体" w:eastAsia="宋体" w:cs="宋体"/>
                              <w:lang w:eastAsia="zh-CN"/>
                            </w:rPr>
                            <w:t>号</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459.8pt;mso-position-horizontal:left;mso-position-horizontal-relative:margin;z-index:251662336;mso-width-relative:page;mso-height-relative:page;" filled="f" stroked="f" coordsize="21600,21600" o:gfxdata="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9YGPt1QAAAAUBAAAPAAAAAAAAAAEAIAAAACIAAABk&#10;cnMvZG93bnJldi54bWxQSwECFAAUAAAACACHTuJAPBWhWdABAACXAwAADgAAAAAAAAABACAAAAAk&#10;AQAAZHJzL2Uyb0RvYy54bWxQSwUGAAAAAAYABgBZAQAAZgUAAAAA&#10;">
              <v:fill on="f" focussize="0,0"/>
              <v:stroke on="f" weight="1.25pt"/>
              <v:imagedata o:title=""/>
              <o:lock v:ext="edit" aspectratio="f"/>
              <v:textbox inset="0mm,0mm,0mm,0mm" style="mso-fit-shape-to-text:t;">
                <w:txbxContent>
                  <w:p>
                    <w:pPr>
                      <w:pStyle w:val="7"/>
                      <w:ind w:right="-247"/>
                      <w:rPr>
                        <w:rFonts w:hint="eastAsia" w:ascii="宋体" w:hAnsi="宋体" w:eastAsia="宋体" w:cs="宋体"/>
                      </w:rPr>
                    </w:pPr>
                    <w:r>
                      <w:rPr>
                        <w:rFonts w:hint="eastAsia" w:ascii="宋体" w:hAnsi="宋体" w:eastAsia="宋体" w:cs="宋体"/>
                      </w:rPr>
                      <w:t xml:space="preserve">龙岩冠力土地房地产评估有限公司            </w:t>
                    </w:r>
                    <w:r>
                      <w:rPr>
                        <w:rFonts w:hint="eastAsia" w:ascii="宋体" w:hAnsi="宋体" w:eastAsia="宋体" w:cs="宋体"/>
                        <w:lang w:val="en-US" w:eastAsia="zh-CN"/>
                      </w:rPr>
                      <w:t xml:space="preserve"> </w:t>
                    </w:r>
                    <w:r>
                      <w:rPr>
                        <w:rFonts w:hint="eastAsia" w:ascii="宋体" w:hAnsi="宋体" w:eastAsia="宋体" w:cs="宋体"/>
                      </w:rPr>
                      <w:t xml:space="preserve">    共</w:t>
                    </w:r>
                    <w:r>
                      <w:rPr>
                        <w:rFonts w:hint="eastAsia" w:ascii="宋体" w:hAnsi="宋体" w:eastAsia="宋体" w:cs="宋体"/>
                        <w:lang w:val="en-US" w:eastAsia="zh-CN"/>
                      </w:rPr>
                      <w:t>2</w:t>
                    </w:r>
                    <w:r>
                      <w:rPr>
                        <w:rFonts w:hint="eastAsia" w:ascii="宋体" w:hAnsi="宋体" w:cs="宋体"/>
                        <w:lang w:val="en-US" w:eastAsia="zh-CN"/>
                      </w:rPr>
                      <w:t>6</w:t>
                    </w:r>
                    <w:r>
                      <w:rPr>
                        <w:rFonts w:hint="eastAsia" w:ascii="宋体" w:hAnsi="宋体" w:eastAsia="宋体" w:cs="宋体"/>
                      </w:rPr>
                      <w:t>页</w:t>
                    </w:r>
                    <w:r>
                      <w:rPr>
                        <w:rFonts w:hint="eastAsia" w:ascii="宋体" w:hAnsi="宋体" w:eastAsia="宋体" w:cs="宋体"/>
                        <w:szCs w:val="18"/>
                      </w:rPr>
                      <w:t>第</w:t>
                    </w:r>
                    <w:r>
                      <w:rPr>
                        <w:rFonts w:hint="eastAsia" w:ascii="宋体" w:hAnsi="宋体" w:eastAsia="宋体" w:cs="宋体"/>
                        <w:kern w:val="0"/>
                        <w:szCs w:val="18"/>
                      </w:rPr>
                      <w:fldChar w:fldCharType="begin"/>
                    </w:r>
                    <w:r>
                      <w:rPr>
                        <w:rFonts w:hint="eastAsia" w:ascii="宋体" w:hAnsi="宋体" w:eastAsia="宋体" w:cs="宋体"/>
                        <w:kern w:val="0"/>
                        <w:szCs w:val="18"/>
                      </w:rPr>
                      <w:instrText xml:space="preserve"> PAGE </w:instrText>
                    </w:r>
                    <w:r>
                      <w:rPr>
                        <w:rFonts w:hint="eastAsia" w:ascii="宋体" w:hAnsi="宋体" w:eastAsia="宋体" w:cs="宋体"/>
                        <w:kern w:val="0"/>
                        <w:szCs w:val="18"/>
                      </w:rPr>
                      <w:fldChar w:fldCharType="separate"/>
                    </w:r>
                    <w:r>
                      <w:rPr>
                        <w:rFonts w:hint="eastAsia" w:ascii="宋体" w:hAnsi="宋体" w:eastAsia="宋体" w:cs="宋体"/>
                        <w:kern w:val="0"/>
                        <w:szCs w:val="18"/>
                      </w:rPr>
                      <w:t>20</w:t>
                    </w:r>
                    <w:r>
                      <w:rPr>
                        <w:rFonts w:hint="eastAsia" w:ascii="宋体" w:hAnsi="宋体" w:eastAsia="宋体" w:cs="宋体"/>
                        <w:kern w:val="0"/>
                        <w:szCs w:val="18"/>
                      </w:rPr>
                      <w:fldChar w:fldCharType="end"/>
                    </w:r>
                    <w:r>
                      <w:rPr>
                        <w:rFonts w:hint="eastAsia" w:ascii="宋体" w:hAnsi="宋体" w:eastAsia="宋体" w:cs="宋体"/>
                      </w:rPr>
                      <w:t xml:space="preserve">页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岩冠力估价字</w:t>
                    </w:r>
                    <w:r>
                      <w:rPr>
                        <w:rFonts w:hint="eastAsia" w:ascii="宋体" w:hAnsi="宋体" w:eastAsia="宋体" w:cs="宋体"/>
                        <w:lang w:eastAsia="zh-CN"/>
                      </w:rPr>
                      <w:t>[2022]</w:t>
                    </w:r>
                    <w:r>
                      <w:rPr>
                        <w:rFonts w:hint="eastAsia" w:ascii="宋体" w:hAnsi="宋体" w:cs="宋体"/>
                        <w:lang w:eastAsia="zh-CN"/>
                      </w:rPr>
                      <w:t>YD22</w:t>
                    </w:r>
                    <w:r>
                      <w:rPr>
                        <w:rFonts w:hint="eastAsia" w:ascii="宋体" w:hAnsi="宋体" w:eastAsia="宋体" w:cs="宋体"/>
                        <w:lang w:eastAsia="zh-CN"/>
                      </w:rPr>
                      <w:t>号</w:t>
                    </w:r>
                  </w:p>
                </w:txbxContent>
              </v:textbox>
            </v:shape>
          </w:pict>
        </mc:Fallback>
      </mc:AlternateContent>
    </w:r>
    <w:r>
      <w:rPr>
        <w:rFonts w:hint="eastAsia" w:ascii="仿宋_GB2312" w:hAnsi="仿宋" w:eastAsia="仿宋_GB2312"/>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5715</wp:posOffset>
              </wp:positionV>
              <wp:extent cx="582041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204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0.45pt;height:0pt;width:458.3pt;z-index:251660288;mso-width-relative:page;mso-height-relative:page;" filled="f" stroked="t" coordsize="21600,21600" o:gfxdata="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USlatIAAAAEAQAADwAAAAAAAAABACAAAAAiAAAAZHJzL2Rvd25yZXYueG1sUEsBAhQAFAAA&#10;AAgAh07iQAyFg0n1AQAA5AMAAA4AAAAAAAAAAQAgAAAAIQEAAGRycy9lMm9Eb2MueG1sUEsFBgAA&#10;AAAGAAYAWQEAAIgFAAAAAA==&#10;">
              <v:fill on="f" focussize="0,0"/>
              <v:stroke color="#0000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r>
      <w:rPr>
        <w:rFonts w:hint="eastAsia" w:ascii="仿宋_GB2312" w:hAnsi="仿宋" w:eastAsia="仿宋_GB2312"/>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5715</wp:posOffset>
              </wp:positionV>
              <wp:extent cx="582041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8204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0.45pt;height:0pt;width:458.3pt;z-index:251661312;mso-width-relative:page;mso-height-relative:page;" filled="f" stroked="t" coordsize="21600,21600" o:gfxdata="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USlatIAAAAEAQAADwAAAAAAAAABACAAAAAiAAAAZHJzL2Rvd25yZXYueG1sUEsBAhQAFAAA&#10;AAgAh07iQCv5q/31AQAA5AMAAA4AAAAAAAAAAQAgAAAAIQEAAGRycy9lMm9Eb2MueG1sUEsFBgAA&#10;AAAGAAYAWQEAAIgFAAAAAA==&#10;">
              <v:fill on="f" focussize="0,0"/>
              <v:stroke color="#000000" joinstyle="round"/>
              <v:imagedata o:title=""/>
              <o:lock v:ext="edit" aspectratio="f"/>
            </v:line>
          </w:pict>
        </mc:Fallback>
      </mc:AlternateContent>
    </w:r>
    <w:r>
      <w:rPr>
        <w:rFonts w:hint="eastAsia" w:ascii="仿宋_GB2312" w:hAnsi="仿宋" w:eastAsia="仿宋_GB2312"/>
      </w:rPr>
      <w:t>龙岩冠力土地房地产评估有限公司                 共20页第</w:t>
    </w:r>
    <w:r>
      <w:rPr>
        <w:rFonts w:hint="eastAsia" w:ascii="仿宋_GB2312" w:hAnsi="仿宋" w:eastAsia="仿宋_GB2312"/>
        <w:kern w:val="0"/>
        <w:szCs w:val="18"/>
      </w:rPr>
      <w:fldChar w:fldCharType="begin"/>
    </w:r>
    <w:r>
      <w:rPr>
        <w:rFonts w:hint="eastAsia" w:ascii="仿宋_GB2312" w:hAnsi="仿宋" w:eastAsia="仿宋_GB2312"/>
        <w:kern w:val="0"/>
        <w:szCs w:val="18"/>
      </w:rPr>
      <w:instrText xml:space="preserve"> PAGE </w:instrText>
    </w:r>
    <w:r>
      <w:rPr>
        <w:rFonts w:hint="eastAsia" w:ascii="仿宋_GB2312" w:hAnsi="仿宋" w:eastAsia="仿宋_GB2312"/>
        <w:kern w:val="0"/>
        <w:szCs w:val="18"/>
      </w:rPr>
      <w:fldChar w:fldCharType="separate"/>
    </w:r>
    <w:r>
      <w:rPr>
        <w:rFonts w:hint="eastAsia" w:ascii="仿宋_GB2312" w:hAnsi="仿宋" w:eastAsia="仿宋_GB2312"/>
        <w:kern w:val="0"/>
        <w:szCs w:val="18"/>
      </w:rPr>
      <w:t>2</w:t>
    </w:r>
    <w:r>
      <w:rPr>
        <w:rFonts w:hint="eastAsia" w:ascii="仿宋_GB2312" w:hAnsi="仿宋" w:eastAsia="仿宋_GB2312"/>
        <w:kern w:val="0"/>
        <w:szCs w:val="18"/>
      </w:rPr>
      <w:fldChar w:fldCharType="end"/>
    </w:r>
    <w:r>
      <w:rPr>
        <w:rFonts w:hint="eastAsia" w:ascii="仿宋_GB2312" w:hAnsi="仿宋" w:eastAsia="仿宋_GB2312"/>
      </w:rPr>
      <w:t>页             岩冠力估价字[2016]第LY022号</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ascii="黑体" w:eastAsia="黑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2"/>
      </w:rPr>
    </w:pPr>
    <w:r>
      <w:fldChar w:fldCharType="begin"/>
    </w:r>
    <w:r>
      <w:rPr>
        <w:rStyle w:val="12"/>
      </w:rPr>
      <w:instrText xml:space="preserve">PAGE  </w:instrText>
    </w:r>
    <w:r>
      <w:fldChar w:fldCharType="end"/>
    </w:r>
  </w:p>
  <w:p>
    <w:pPr>
      <w:pStyle w:val="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ascii="仿宋_GB2312" w:hAnsi="仿宋" w:eastAsia="仿宋_GB2312"/>
        <w:szCs w:val="18"/>
      </w:rPr>
    </w:pPr>
    <w:r>
      <w:rPr>
        <w:rFonts w:hint="eastAsia" w:ascii="仿宋_GB2312" w:hAnsi="仿宋" w:eastAsia="仿宋_GB2312"/>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hint="eastAsia" w:ascii="宋体" w:hAnsi="宋体" w:eastAsia="宋体" w:cs="宋体"/>
        <w:szCs w:val="18"/>
        <w:lang w:eastAsia="zh-CN"/>
      </w:rPr>
    </w:pPr>
    <w:r>
      <w:rPr>
        <w:rFonts w:hint="eastAsia" w:ascii="宋体" w:hAnsi="宋体" w:cs="宋体"/>
        <w:szCs w:val="18"/>
        <w:lang w:eastAsia="zh-CN"/>
      </w:rPr>
      <w:t>龙岩市永定县坎市镇沿河南路7层705室</w:t>
    </w:r>
    <w:r>
      <w:rPr>
        <w:rFonts w:hint="eastAsia" w:ascii="宋体" w:hAnsi="宋体" w:eastAsia="宋体" w:cs="宋体"/>
        <w:szCs w:val="18"/>
        <w:lang w:eastAsia="zh-CN"/>
      </w:rPr>
      <w:t>住宅</w:t>
    </w:r>
    <w:r>
      <w:rPr>
        <w:rFonts w:hint="eastAsia" w:ascii="宋体" w:hAnsi="宋体" w:eastAsia="宋体" w:cs="宋体"/>
        <w:szCs w:val="18"/>
        <w:lang w:val="en-US" w:eastAsia="zh-CN"/>
      </w:rPr>
      <w:t xml:space="preserve">    </w:t>
    </w:r>
    <w:r>
      <w:rPr>
        <w:rFonts w:hint="eastAsia" w:ascii="宋体" w:hAnsi="宋体" w:cs="宋体"/>
        <w:szCs w:val="18"/>
        <w:lang w:val="en-US" w:eastAsia="zh-CN"/>
      </w:rPr>
      <w:t xml:space="preserve">                         </w:t>
    </w:r>
    <w:r>
      <w:rPr>
        <w:rFonts w:hint="eastAsia" w:ascii="宋体" w:hAnsi="宋体" w:eastAsia="宋体" w:cs="宋体"/>
        <w:szCs w:val="18"/>
        <w:lang w:val="en-US" w:eastAsia="zh-CN"/>
      </w:rPr>
      <w:t xml:space="preserve">           </w:t>
    </w:r>
    <w:r>
      <w:rPr>
        <w:rFonts w:hint="eastAsia" w:ascii="宋体" w:hAnsi="宋体" w:eastAsia="宋体" w:cs="宋体"/>
        <w:szCs w:val="18"/>
        <w:lang w:eastAsia="zh-CN"/>
      </w:rPr>
      <w:t>龙岩市永定区人民法院</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center"/>
      <w:rPr>
        <w:rFonts w:hint="eastAsia" w:ascii="宋体" w:hAnsi="宋体" w:eastAsia="宋体" w:cs="宋体"/>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4D832"/>
    <w:multiLevelType w:val="singleLevel"/>
    <w:tmpl w:val="9D74D832"/>
    <w:lvl w:ilvl="0" w:tentative="0">
      <w:start w:val="1"/>
      <w:numFmt w:val="decimal"/>
      <w:suff w:val="space"/>
      <w:lvlText w:val="（%1）"/>
      <w:lvlJc w:val="left"/>
      <w:pPr>
        <w:ind w:left="435" w:firstLine="0"/>
      </w:pPr>
    </w:lvl>
  </w:abstractNum>
  <w:abstractNum w:abstractNumId="1">
    <w:nsid w:val="038220C7"/>
    <w:multiLevelType w:val="singleLevel"/>
    <w:tmpl w:val="038220C7"/>
    <w:lvl w:ilvl="0" w:tentative="0">
      <w:start w:val="1"/>
      <w:numFmt w:val="decimal"/>
      <w:suff w:val="nothing"/>
      <w:lvlText w:val="%1、"/>
      <w:lvlJc w:val="left"/>
      <w:pPr>
        <w:ind w:left="-30"/>
      </w:pPr>
    </w:lvl>
  </w:abstractNum>
  <w:abstractNum w:abstractNumId="2">
    <w:nsid w:val="56CD599E"/>
    <w:multiLevelType w:val="singleLevel"/>
    <w:tmpl w:val="56CD599E"/>
    <w:lvl w:ilvl="0" w:tentative="0">
      <w:start w:val="1"/>
      <w:numFmt w:val="chineseCounting"/>
      <w:suff w:val="nothing"/>
      <w:lvlText w:val="%1、"/>
      <w:lvlJc w:val="left"/>
    </w:lvl>
  </w:abstractNum>
  <w:abstractNum w:abstractNumId="3">
    <w:nsid w:val="56CD64AA"/>
    <w:multiLevelType w:val="singleLevel"/>
    <w:tmpl w:val="56CD64AA"/>
    <w:lvl w:ilvl="0" w:tentative="0">
      <w:start w:val="1"/>
      <w:numFmt w:val="chineseCounting"/>
      <w:suff w:val="nothing"/>
      <w:lvlText w:val="%1、"/>
      <w:lvlJc w:val="left"/>
    </w:lvl>
  </w:abstractNum>
  <w:abstractNum w:abstractNumId="4">
    <w:nsid w:val="577243A8"/>
    <w:multiLevelType w:val="singleLevel"/>
    <w:tmpl w:val="577243A8"/>
    <w:lvl w:ilvl="0" w:tentative="0">
      <w:start w:val="1"/>
      <w:numFmt w:val="decimal"/>
      <w:suff w:val="nothing"/>
      <w:lvlText w:val="%1、"/>
      <w:lvlJc w:val="left"/>
    </w:lvl>
  </w:abstractNum>
  <w:abstractNum w:abstractNumId="5">
    <w:nsid w:val="577250F7"/>
    <w:multiLevelType w:val="singleLevel"/>
    <w:tmpl w:val="577250F7"/>
    <w:lvl w:ilvl="0" w:tentative="0">
      <w:start w:val="1"/>
      <w:numFmt w:val="chineseCounting"/>
      <w:suff w:val="nothing"/>
      <w:lvlText w:val="（%1）"/>
      <w:lvlJc w:val="left"/>
    </w:lvl>
  </w:abstractNum>
  <w:abstractNum w:abstractNumId="6">
    <w:nsid w:val="5774DBA6"/>
    <w:multiLevelType w:val="singleLevel"/>
    <w:tmpl w:val="5774DBA6"/>
    <w:lvl w:ilvl="0" w:tentative="0">
      <w:start w:val="2"/>
      <w:numFmt w:val="decimal"/>
      <w:suff w:val="nothing"/>
      <w:lvlText w:val="%1、"/>
      <w:lvlJc w:val="left"/>
    </w:lvl>
  </w:abstractNum>
  <w:abstractNum w:abstractNumId="7">
    <w:nsid w:val="5774EF68"/>
    <w:multiLevelType w:val="singleLevel"/>
    <w:tmpl w:val="5774EF68"/>
    <w:lvl w:ilvl="0" w:tentative="0">
      <w:start w:val="1"/>
      <w:numFmt w:val="decimal"/>
      <w:suff w:val="nothing"/>
      <w:lvlText w:val="%1、"/>
      <w:lvlJc w:val="left"/>
    </w:lvl>
  </w:abstractNum>
  <w:abstractNum w:abstractNumId="8">
    <w:nsid w:val="5774F652"/>
    <w:multiLevelType w:val="singleLevel"/>
    <w:tmpl w:val="5774F652"/>
    <w:lvl w:ilvl="0" w:tentative="0">
      <w:start w:val="2"/>
      <w:numFmt w:val="decimal"/>
      <w:suff w:val="nothing"/>
      <w:lvlText w:val="%1、"/>
      <w:lvlJc w:val="left"/>
    </w:lvl>
  </w:abstractNum>
  <w:abstractNum w:abstractNumId="9">
    <w:nsid w:val="5774F6D4"/>
    <w:multiLevelType w:val="singleLevel"/>
    <w:tmpl w:val="5774F6D4"/>
    <w:lvl w:ilvl="0" w:tentative="0">
      <w:start w:val="2"/>
      <w:numFmt w:val="decimal"/>
      <w:suff w:val="nothing"/>
      <w:lvlText w:val="%1、"/>
      <w:lvlJc w:val="left"/>
    </w:lvl>
  </w:abstractNum>
  <w:abstractNum w:abstractNumId="10">
    <w:nsid w:val="57A85E6C"/>
    <w:multiLevelType w:val="singleLevel"/>
    <w:tmpl w:val="57A85E6C"/>
    <w:lvl w:ilvl="0" w:tentative="0">
      <w:start w:val="3"/>
      <w:numFmt w:val="decimal"/>
      <w:suff w:val="nothing"/>
      <w:lvlText w:val="%1、"/>
      <w:lvlJc w:val="left"/>
    </w:lvl>
  </w:abstractNum>
  <w:abstractNum w:abstractNumId="11">
    <w:nsid w:val="57B41599"/>
    <w:multiLevelType w:val="singleLevel"/>
    <w:tmpl w:val="57B41599"/>
    <w:lvl w:ilvl="0" w:tentative="0">
      <w:start w:val="1"/>
      <w:numFmt w:val="decimal"/>
      <w:suff w:val="nothing"/>
      <w:lvlText w:val="%1、"/>
      <w:lvlJc w:val="left"/>
    </w:lvl>
  </w:abstractNum>
  <w:abstractNum w:abstractNumId="12">
    <w:nsid w:val="62430558"/>
    <w:multiLevelType w:val="singleLevel"/>
    <w:tmpl w:val="62430558"/>
    <w:lvl w:ilvl="0" w:tentative="0">
      <w:start w:val="1"/>
      <w:numFmt w:val="decimal"/>
      <w:suff w:val="nothing"/>
      <w:lvlText w:val="（%1）"/>
      <w:lvlJc w:val="left"/>
    </w:lvl>
  </w:abstractNum>
  <w:num w:numId="1">
    <w:abstractNumId w:val="12"/>
  </w:num>
  <w:num w:numId="2">
    <w:abstractNumId w:val="2"/>
  </w:num>
  <w:num w:numId="3">
    <w:abstractNumId w:val="3"/>
  </w:num>
  <w:num w:numId="4">
    <w:abstractNumId w:val="1"/>
  </w:num>
  <w:num w:numId="5">
    <w:abstractNumId w:val="6"/>
  </w:num>
  <w:num w:numId="6">
    <w:abstractNumId w:val="4"/>
  </w:num>
  <w:num w:numId="7">
    <w:abstractNumId w:val="11"/>
  </w:num>
  <w:num w:numId="8">
    <w:abstractNumId w:val="10"/>
  </w:num>
  <w:num w:numId="9">
    <w:abstractNumId w:val="5"/>
  </w:num>
  <w:num w:numId="10">
    <w:abstractNumId w:val="7"/>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ZTdhMWQyNjdiZGQ3Mjk3MDQ2MmJlNzcyZWY4YzkifQ=="/>
  </w:docVars>
  <w:rsids>
    <w:rsidRoot w:val="623632E8"/>
    <w:rsid w:val="62363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ind w:firstLine="360"/>
    </w:pPr>
  </w:style>
  <w:style w:type="paragraph" w:styleId="4">
    <w:name w:val="Body Text"/>
    <w:basedOn w:val="1"/>
    <w:qFormat/>
    <w:uiPriority w:val="0"/>
    <w:pPr>
      <w:spacing w:line="560" w:lineRule="exact"/>
    </w:pPr>
    <w:rPr>
      <w:rFonts w:ascii="隶书" w:eastAsia="隶书"/>
      <w:sz w:val="28"/>
    </w:rPr>
  </w:style>
  <w:style w:type="paragraph" w:styleId="5">
    <w:name w:val="Date"/>
    <w:basedOn w:val="1"/>
    <w:next w:val="1"/>
    <w:qFormat/>
    <w:uiPriority w:val="0"/>
    <w:rPr>
      <w:rFonts w:eastAsia="仿宋_GB2312"/>
      <w:sz w:val="32"/>
    </w:rPr>
  </w:style>
  <w:style w:type="paragraph" w:styleId="6">
    <w:name w:val="Body Text Indent 2"/>
    <w:basedOn w:val="1"/>
    <w:qFormat/>
    <w:uiPriority w:val="0"/>
    <w:pPr>
      <w:ind w:firstLine="570"/>
    </w:pPr>
    <w:rPr>
      <w:rFonts w:ascii="仿宋_GB2312" w:eastAsia="仿宋_GB2312"/>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XBT"/>
    <w:basedOn w:val="1"/>
    <w:qFormat/>
    <w:uiPriority w:val="0"/>
    <w:pPr>
      <w:adjustRightInd w:val="0"/>
      <w:spacing w:before="360" w:after="240" w:line="440" w:lineRule="atLeast"/>
      <w:ind w:firstLine="482"/>
      <w:textAlignment w:val="baseline"/>
    </w:pPr>
    <w:rPr>
      <w:rFonts w:ascii="Arial Narrow" w:hAnsi="Arial Narrow" w:eastAsia="黑体"/>
      <w:b/>
      <w:kern w:val="0"/>
      <w:sz w:val="24"/>
    </w:rPr>
  </w:style>
  <w:style w:type="character" w:customStyle="1" w:styleId="14">
    <w:name w:val="_Style 3"/>
    <w:basedOn w:val="11"/>
    <w:qFormat/>
    <w:uiPriority w:val="32"/>
    <w:rPr>
      <w:b/>
      <w:bCs/>
      <w:smallCaps/>
      <w:color w:val="C0504D"/>
      <w:spacing w:val="5"/>
      <w:u w:val="single"/>
    </w:rPr>
  </w:style>
  <w:style w:type="paragraph" w:customStyle="1" w:styleId="15">
    <w:name w:val="PINK 正文"/>
    <w:basedOn w:val="1"/>
    <w:qFormat/>
    <w:uiPriority w:val="0"/>
    <w:pPr>
      <w:snapToGrid w:val="0"/>
      <w:spacing w:line="360" w:lineRule="auto"/>
      <w:ind w:firstLine="560" w:firstLineChars="200"/>
    </w:pPr>
    <w:rPr>
      <w:rFonts w:ascii="Times New Roman" w:hAnsi="Times New Roman" w:eastAsia="仿宋_GB2312"/>
      <w:kern w:val="0"/>
      <w:sz w:val="28"/>
      <w:szCs w:val="24"/>
    </w:rPr>
  </w:style>
  <w:style w:type="paragraph" w:customStyle="1" w:styleId="16">
    <w:name w:val="zw"/>
    <w:basedOn w:val="1"/>
    <w:qFormat/>
    <w:uiPriority w:val="0"/>
    <w:pPr>
      <w:adjustRightInd w:val="0"/>
      <w:spacing w:line="360" w:lineRule="auto"/>
      <w:ind w:firstLine="482"/>
      <w:textAlignment w:val="baseline"/>
    </w:pPr>
    <w:rPr>
      <w:rFonts w:ascii="Arial Narrow" w:hAnsi="Arial Narrow" w:eastAsia="楷体_GB2312"/>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6.jpe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2022-09-13T01:01:00Z</dcterms:created>
  <dc:creator>Administrator</dc:creator>
  <cp:lastModifiedBy>Administrator</cp:lastModifiedBy>
  <dcterms:modified xsi:type="dcterms:W3CDTF">2022-09-13T01:02:23Z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93E641A0574C48A7871F6F5DEA4EEF1E</vt:lpwstr>
  </property>
</Properties>
</file>