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楷体" w:hAnsi="楷体" w:eastAsia="楷体"/>
          <w:color w:val="000000"/>
          <w:spacing w:val="60"/>
          <w:sz w:val="84"/>
          <w:szCs w:val="84"/>
        </w:rPr>
      </w:pPr>
    </w:p>
    <w:p>
      <w:pPr>
        <w:spacing w:line="900" w:lineRule="exact"/>
        <w:jc w:val="center"/>
        <w:rPr>
          <w:rFonts w:ascii="楷体" w:hAnsi="楷体" w:eastAsia="楷体"/>
          <w:b/>
          <w:color w:val="000000"/>
          <w:sz w:val="18"/>
          <w:szCs w:val="18"/>
        </w:rPr>
      </w:pPr>
      <w:r>
        <w:rPr>
          <w:rFonts w:hint="eastAsia" w:ascii="楷体" w:hAnsi="楷体" w:eastAsia="楷体"/>
          <w:b/>
          <w:color w:val="000000"/>
          <w:sz w:val="52"/>
          <w:szCs w:val="52"/>
        </w:rPr>
        <w:t>涉执房地产处置司法拍卖评估报告</w:t>
      </w:r>
    </w:p>
    <w:p>
      <w:pPr>
        <w:spacing w:line="240" w:lineRule="auto"/>
        <w:ind w:firstLine="480" w:firstLineChars="200"/>
        <w:jc w:val="left"/>
        <w:rPr>
          <w:rFonts w:hint="eastAsia" w:ascii="楷体" w:hAnsi="楷体" w:eastAsia="楷体"/>
          <w:sz w:val="24"/>
          <w:szCs w:val="24"/>
          <w:lang w:eastAsia="zh-CN"/>
        </w:rPr>
      </w:pPr>
      <w:r>
        <w:rPr>
          <w:rFonts w:hint="eastAsia" w:ascii="楷体" w:hAnsi="楷体" w:eastAsia="楷体"/>
          <w:sz w:val="24"/>
          <w:szCs w:val="24"/>
          <w:lang w:eastAsia="zh-CN"/>
        </w:rPr>
        <w:drawing>
          <wp:anchor distT="0" distB="0" distL="114300" distR="114300" simplePos="0" relativeHeight="251659264" behindDoc="1" locked="0" layoutInCell="1" allowOverlap="1">
            <wp:simplePos x="0" y="0"/>
            <wp:positionH relativeFrom="column">
              <wp:posOffset>361315</wp:posOffset>
            </wp:positionH>
            <wp:positionV relativeFrom="paragraph">
              <wp:posOffset>45720</wp:posOffset>
            </wp:positionV>
            <wp:extent cx="4836160" cy="3627120"/>
            <wp:effectExtent l="0" t="0" r="10160" b="0"/>
            <wp:wrapNone/>
            <wp:docPr id="23" name="图片 23" descr="微信图片_2022083109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208310915371"/>
                    <pic:cNvPicPr>
                      <a:picLocks noChangeAspect="1"/>
                    </pic:cNvPicPr>
                  </pic:nvPicPr>
                  <pic:blipFill>
                    <a:blip r:embed="rId16"/>
                    <a:stretch>
                      <a:fillRect/>
                    </a:stretch>
                  </pic:blipFill>
                  <pic:spPr>
                    <a:xfrm>
                      <a:off x="0" y="0"/>
                      <a:ext cx="4836160" cy="3627120"/>
                    </a:xfrm>
                    <a:prstGeom prst="rect">
                      <a:avLst/>
                    </a:prstGeom>
                  </pic:spPr>
                </pic:pic>
              </a:graphicData>
            </a:graphic>
          </wp:anchor>
        </w:drawing>
      </w: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480" w:firstLineChars="200"/>
        <w:jc w:val="left"/>
        <w:rPr>
          <w:rFonts w:ascii="楷体" w:hAnsi="楷体" w:eastAsia="楷体"/>
          <w:sz w:val="24"/>
          <w:szCs w:val="24"/>
        </w:rPr>
      </w:pPr>
    </w:p>
    <w:p>
      <w:pPr>
        <w:spacing w:line="760" w:lineRule="exact"/>
        <w:ind w:firstLine="638" w:firstLineChars="266"/>
        <w:jc w:val="left"/>
        <w:rPr>
          <w:rFonts w:ascii="楷体" w:hAnsi="楷体" w:eastAsia="楷体"/>
          <w:sz w:val="24"/>
          <w:szCs w:val="24"/>
        </w:rPr>
      </w:pPr>
    </w:p>
    <w:p>
      <w:pPr>
        <w:spacing w:line="760" w:lineRule="exact"/>
        <w:ind w:firstLine="638" w:firstLineChars="266"/>
        <w:jc w:val="left"/>
        <w:rPr>
          <w:rFonts w:hint="eastAsia" w:ascii="楷体" w:hAnsi="楷体" w:eastAsia="楷体"/>
          <w:lang w:eastAsia="zh-CN"/>
        </w:rPr>
      </w:pPr>
      <w:r>
        <w:rPr>
          <w:rFonts w:ascii="楷体" w:hAnsi="楷体" w:eastAsia="楷体"/>
          <w:sz w:val="24"/>
          <w:szCs w:val="24"/>
        </w:rPr>
        <w:t>估价报告编号：</w:t>
      </w:r>
      <w:bookmarkStart w:id="0" w:name="_GoBack"/>
      <w:bookmarkEnd w:id="0"/>
      <w:r>
        <w:rPr>
          <w:rFonts w:hint="eastAsia" w:ascii="楷体" w:hAnsi="楷体" w:eastAsia="楷体"/>
          <w:sz w:val="24"/>
          <w:szCs w:val="24"/>
          <w:lang w:eastAsia="zh-CN"/>
        </w:rPr>
        <w:t>闽鉴岩房评字[2022]112号</w:t>
      </w:r>
    </w:p>
    <w:p>
      <w:pPr>
        <w:spacing w:line="640" w:lineRule="exact"/>
        <w:ind w:left="2310" w:leftChars="300" w:right="388" w:rightChars="185" w:hanging="1680" w:hangingChars="700"/>
        <w:jc w:val="left"/>
        <w:textAlignment w:val="center"/>
        <w:rPr>
          <w:rFonts w:ascii="楷体" w:hAnsi="楷体" w:eastAsia="楷体"/>
          <w:color w:val="000000"/>
          <w:sz w:val="24"/>
          <w:szCs w:val="24"/>
        </w:rPr>
      </w:pPr>
      <w:r>
        <w:rPr>
          <w:rFonts w:ascii="楷体" w:hAnsi="楷体" w:eastAsia="楷体"/>
          <w:sz w:val="24"/>
          <w:szCs w:val="24"/>
        </w:rPr>
        <w:t>估价项目名称：</w:t>
      </w:r>
      <w:r>
        <w:rPr>
          <w:rFonts w:hint="eastAsia" w:ascii="楷体" w:hAnsi="楷体" w:eastAsia="楷体"/>
          <w:color w:val="000000"/>
          <w:sz w:val="24"/>
          <w:szCs w:val="24"/>
          <w:lang w:eastAsia="zh-CN"/>
        </w:rPr>
        <w:t>龙岩市永定区凤城街道金凤开发区同心路3号1层1#、5层、6层3#号住宅</w:t>
      </w:r>
      <w:r>
        <w:rPr>
          <w:rFonts w:hint="eastAsia" w:ascii="楷体" w:hAnsi="楷体" w:eastAsia="楷体"/>
          <w:color w:val="000000"/>
          <w:sz w:val="24"/>
          <w:szCs w:val="24"/>
        </w:rPr>
        <w:t>房地产司法拍卖估价</w:t>
      </w:r>
    </w:p>
    <w:p>
      <w:pPr>
        <w:tabs>
          <w:tab w:val="left" w:pos="3301"/>
        </w:tabs>
        <w:spacing w:line="640" w:lineRule="exact"/>
        <w:ind w:firstLine="638" w:firstLineChars="266"/>
        <w:jc w:val="left"/>
        <w:textAlignment w:val="center"/>
        <w:rPr>
          <w:rFonts w:ascii="楷体" w:hAnsi="楷体" w:eastAsia="楷体"/>
          <w:sz w:val="24"/>
          <w:szCs w:val="24"/>
        </w:rPr>
      </w:pPr>
      <w:r>
        <w:rPr>
          <w:rFonts w:ascii="楷体" w:hAnsi="楷体" w:eastAsia="楷体"/>
          <w:sz w:val="24"/>
          <w:szCs w:val="24"/>
        </w:rPr>
        <w:t>估</w:t>
      </w:r>
      <w:r>
        <w:rPr>
          <w:rFonts w:hint="eastAsia" w:ascii="楷体" w:hAnsi="楷体" w:eastAsia="楷体"/>
          <w:sz w:val="24"/>
          <w:szCs w:val="24"/>
        </w:rPr>
        <w:t xml:space="preserve"> </w:t>
      </w:r>
      <w:r>
        <w:rPr>
          <w:rFonts w:ascii="楷体" w:hAnsi="楷体" w:eastAsia="楷体"/>
          <w:sz w:val="24"/>
          <w:szCs w:val="24"/>
        </w:rPr>
        <w:t>价</w:t>
      </w:r>
      <w:r>
        <w:rPr>
          <w:rFonts w:hint="eastAsia" w:ascii="楷体" w:hAnsi="楷体" w:eastAsia="楷体"/>
          <w:sz w:val="24"/>
          <w:szCs w:val="24"/>
        </w:rPr>
        <w:t xml:space="preserve"> </w:t>
      </w:r>
      <w:r>
        <w:rPr>
          <w:rFonts w:ascii="楷体" w:hAnsi="楷体" w:eastAsia="楷体"/>
          <w:sz w:val="24"/>
          <w:szCs w:val="24"/>
        </w:rPr>
        <w:t xml:space="preserve">委 托 </w:t>
      </w:r>
      <w:r>
        <w:rPr>
          <w:rFonts w:ascii="楷体" w:hAnsi="楷体" w:eastAsia="楷体"/>
          <w:color w:val="000000"/>
          <w:sz w:val="24"/>
          <w:szCs w:val="24"/>
        </w:rPr>
        <w:t>人</w:t>
      </w:r>
      <w:r>
        <w:rPr>
          <w:rFonts w:hint="eastAsia" w:ascii="楷体" w:hAnsi="楷体" w:eastAsia="楷体"/>
          <w:color w:val="000000"/>
          <w:sz w:val="24"/>
          <w:szCs w:val="24"/>
        </w:rPr>
        <w:t>：</w:t>
      </w:r>
      <w:r>
        <w:rPr>
          <w:rFonts w:hint="eastAsia" w:ascii="楷体" w:hAnsi="楷体" w:eastAsia="楷体"/>
          <w:sz w:val="24"/>
          <w:szCs w:val="24"/>
        </w:rPr>
        <w:t>龙岩市永定区人民法院</w:t>
      </w:r>
    </w:p>
    <w:p>
      <w:pPr>
        <w:spacing w:line="640" w:lineRule="exact"/>
        <w:ind w:firstLine="638" w:firstLineChars="266"/>
        <w:jc w:val="left"/>
        <w:textAlignment w:val="center"/>
        <w:rPr>
          <w:rFonts w:ascii="楷体" w:hAnsi="楷体" w:eastAsia="楷体"/>
          <w:sz w:val="24"/>
          <w:szCs w:val="24"/>
        </w:rPr>
      </w:pPr>
      <w:r>
        <w:rPr>
          <w:rFonts w:ascii="楷体" w:hAnsi="楷体" w:eastAsia="楷体"/>
          <w:color w:val="000000"/>
          <w:sz w:val="24"/>
          <w:szCs w:val="24"/>
        </w:rPr>
        <w:t>房地产估价机构：</w:t>
      </w:r>
      <w:r>
        <w:rPr>
          <w:rFonts w:hint="eastAsia" w:ascii="楷体" w:hAnsi="楷体" w:eastAsia="楷体"/>
          <w:sz w:val="24"/>
          <w:szCs w:val="24"/>
        </w:rPr>
        <w:t>福建明鉴</w:t>
      </w:r>
      <w:r>
        <w:rPr>
          <w:rFonts w:ascii="楷体" w:hAnsi="楷体" w:eastAsia="楷体"/>
          <w:sz w:val="24"/>
          <w:szCs w:val="24"/>
        </w:rPr>
        <w:t>资产评估房地产土地估价有限公司</w:t>
      </w:r>
    </w:p>
    <w:p>
      <w:pPr>
        <w:spacing w:line="640" w:lineRule="exact"/>
        <w:ind w:firstLine="638" w:firstLineChars="266"/>
        <w:jc w:val="left"/>
        <w:textAlignment w:val="center"/>
        <w:rPr>
          <w:rFonts w:ascii="楷体" w:hAnsi="楷体" w:eastAsia="楷体"/>
          <w:sz w:val="24"/>
          <w:szCs w:val="24"/>
        </w:rPr>
      </w:pPr>
      <w:r>
        <w:rPr>
          <w:rFonts w:ascii="楷体" w:hAnsi="楷体" w:eastAsia="楷体"/>
          <w:sz w:val="24"/>
          <w:szCs w:val="24"/>
        </w:rPr>
        <w:t>注册房地产估价师：</w:t>
      </w:r>
      <w:r>
        <w:rPr>
          <w:rFonts w:hint="eastAsia" w:ascii="楷体" w:hAnsi="楷体" w:eastAsia="楷体"/>
          <w:sz w:val="24"/>
          <w:szCs w:val="24"/>
        </w:rPr>
        <w:t>李启昌</w:t>
      </w:r>
      <w:r>
        <w:rPr>
          <w:rFonts w:ascii="楷体" w:hAnsi="楷体" w:eastAsia="楷体"/>
          <w:sz w:val="24"/>
          <w:szCs w:val="24"/>
        </w:rPr>
        <w:t>（注册号</w:t>
      </w:r>
      <w:r>
        <w:rPr>
          <w:rFonts w:hint="eastAsia" w:ascii="楷体" w:hAnsi="楷体" w:eastAsia="楷体"/>
          <w:sz w:val="24"/>
          <w:szCs w:val="24"/>
        </w:rPr>
        <w:t xml:space="preserve"> 3520170070</w:t>
      </w:r>
      <w:r>
        <w:rPr>
          <w:rFonts w:ascii="楷体" w:hAnsi="楷体" w:eastAsia="楷体"/>
          <w:sz w:val="24"/>
          <w:szCs w:val="24"/>
        </w:rPr>
        <w:t>）</w:t>
      </w:r>
    </w:p>
    <w:p>
      <w:pPr>
        <w:spacing w:line="640" w:lineRule="exact"/>
        <w:ind w:firstLine="2793" w:firstLineChars="1164"/>
        <w:jc w:val="left"/>
        <w:textAlignment w:val="center"/>
        <w:rPr>
          <w:rFonts w:ascii="楷体" w:hAnsi="楷体" w:eastAsia="楷体"/>
          <w:sz w:val="24"/>
          <w:szCs w:val="24"/>
        </w:rPr>
      </w:pPr>
      <w:r>
        <w:rPr>
          <w:rFonts w:hint="eastAsia" w:ascii="楷体" w:hAnsi="楷体" w:eastAsia="楷体"/>
          <w:sz w:val="24"/>
          <w:szCs w:val="24"/>
        </w:rPr>
        <w:t>蒋爱娟（注册号3520140038）</w:t>
      </w:r>
    </w:p>
    <w:p>
      <w:pPr>
        <w:spacing w:line="640" w:lineRule="exact"/>
        <w:ind w:firstLine="638" w:firstLineChars="266"/>
        <w:jc w:val="left"/>
        <w:textAlignment w:val="center"/>
        <w:rPr>
          <w:rFonts w:hint="eastAsia" w:ascii="楷体" w:hAnsi="楷体" w:eastAsia="楷体"/>
          <w:sz w:val="24"/>
          <w:szCs w:val="24"/>
          <w:lang w:eastAsia="zh-CN"/>
        </w:rPr>
      </w:pPr>
      <w:r>
        <w:rPr>
          <w:rFonts w:ascii="楷体" w:hAnsi="楷体" w:eastAsia="楷体"/>
          <w:sz w:val="24"/>
          <w:szCs w:val="24"/>
        </w:rPr>
        <w:t>估价报告出具日期：</w:t>
      </w:r>
      <w:r>
        <w:rPr>
          <w:rFonts w:hint="eastAsia" w:ascii="楷体" w:hAnsi="楷体" w:eastAsia="楷体"/>
          <w:sz w:val="24"/>
          <w:szCs w:val="24"/>
          <w:lang w:eastAsia="zh-CN"/>
        </w:rPr>
        <w:t>2022年09月06日</w:t>
      </w:r>
    </w:p>
    <w:tbl>
      <w:tblPr>
        <w:tblStyle w:val="14"/>
        <w:tblW w:w="0" w:type="auto"/>
        <w:tblInd w:w="423"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7"/>
      </w:tblGrid>
      <w:tr>
        <w:tblPrEx>
          <w:tblBorders>
            <w:top w:val="none" w:color="auto" w:sz="0"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 w:hRule="atLeast"/>
        </w:trPr>
        <w:tc>
          <w:tcPr>
            <w:tcW w:w="8757" w:type="dxa"/>
            <w:tcBorders>
              <w:bottom w:val="single" w:color="auto" w:sz="12" w:space="0"/>
            </w:tcBorders>
          </w:tcPr>
          <w:p>
            <w:pPr>
              <w:jc w:val="left"/>
              <w:textAlignment w:val="center"/>
              <w:rPr>
                <w:rFonts w:ascii="楷体" w:hAnsi="楷体" w:eastAsia="楷体"/>
                <w:sz w:val="15"/>
                <w:szCs w:val="15"/>
              </w:rPr>
            </w:pPr>
          </w:p>
        </w:tc>
      </w:tr>
    </w:tbl>
    <w:p>
      <w:pPr>
        <w:spacing w:line="400" w:lineRule="exact"/>
        <w:ind w:firstLine="424" w:firstLineChars="202"/>
        <w:rPr>
          <w:rFonts w:ascii="楷体" w:hAnsi="楷体" w:eastAsia="楷体"/>
          <w:szCs w:val="21"/>
        </w:rPr>
      </w:pPr>
      <w:r>
        <w:rPr>
          <w:rFonts w:ascii="楷体" w:hAnsi="楷体" w:eastAsia="楷体"/>
          <w:szCs w:val="21"/>
        </w:rPr>
        <w:t>地址：福建省龙岩市新罗区西陂镇天平路58号太古广场7层702室（龙岩经济技术开发区A）</w:t>
      </w:r>
    </w:p>
    <w:p>
      <w:pPr>
        <w:spacing w:line="400" w:lineRule="exact"/>
        <w:ind w:firstLine="420" w:firstLineChars="200"/>
        <w:rPr>
          <w:rFonts w:ascii="楷体" w:hAnsi="楷体" w:eastAsia="楷体"/>
          <w:color w:val="000000"/>
          <w:sz w:val="44"/>
        </w:rPr>
        <w:sectPr>
          <w:headerReference r:id="rId5" w:type="first"/>
          <w:headerReference r:id="rId3" w:type="default"/>
          <w:footerReference r:id="rId6" w:type="default"/>
          <w:headerReference r:id="rId4" w:type="even"/>
          <w:footerReference r:id="rId7" w:type="even"/>
          <w:endnotePr>
            <w:numFmt w:val="decimal"/>
          </w:endnotePr>
          <w:pgSz w:w="11906" w:h="16838"/>
          <w:pgMar w:top="1191" w:right="1106" w:bottom="1191" w:left="1622" w:header="635" w:footer="992" w:gutter="0"/>
          <w:pgNumType w:start="1"/>
          <w:cols w:space="720" w:num="1"/>
          <w:titlePg/>
          <w:docGrid w:type="linesAndChars" w:linePitch="317" w:charSpace="0"/>
        </w:sectPr>
      </w:pPr>
      <w:r>
        <w:rPr>
          <w:rFonts w:ascii="楷体" w:hAnsi="楷体" w:eastAsia="楷体"/>
          <w:szCs w:val="21"/>
        </w:rPr>
        <w:t xml:space="preserve">邮编：364000         </w:t>
      </w:r>
      <w:r>
        <w:rPr>
          <w:rFonts w:hint="eastAsia" w:ascii="楷体" w:hAnsi="楷体" w:eastAsia="楷体"/>
          <w:szCs w:val="21"/>
        </w:rPr>
        <w:t xml:space="preserve"> </w:t>
      </w:r>
      <w:r>
        <w:rPr>
          <w:rFonts w:ascii="楷体" w:hAnsi="楷体" w:eastAsia="楷体"/>
          <w:szCs w:val="21"/>
        </w:rPr>
        <w:t xml:space="preserve"> 电话/传真：0597-2305818          E-mail：lymjcpv@126.com</w:t>
      </w:r>
    </w:p>
    <w:p>
      <w:pPr>
        <w:spacing w:line="480" w:lineRule="atLeast"/>
        <w:jc w:val="center"/>
        <w:rPr>
          <w:rFonts w:ascii="楷体" w:hAnsi="楷体" w:eastAsia="楷体"/>
          <w:b/>
          <w:bCs/>
          <w:color w:val="000000"/>
          <w:sz w:val="44"/>
        </w:rPr>
      </w:pPr>
      <w:r>
        <w:rPr>
          <w:rFonts w:hint="eastAsia" w:ascii="楷体" w:hAnsi="楷体" w:eastAsia="楷体"/>
          <w:b/>
          <w:bCs/>
          <w:color w:val="000000"/>
          <w:sz w:val="44"/>
        </w:rPr>
        <w:t>致估价委托人函</w:t>
      </w:r>
    </w:p>
    <w:p>
      <w:pPr>
        <w:keepNext w:val="0"/>
        <w:keepLines w:val="0"/>
        <w:pageBreakBefore w:val="0"/>
        <w:widowControl/>
        <w:tabs>
          <w:tab w:val="left" w:pos="630"/>
          <w:tab w:val="center" w:pos="4589"/>
        </w:tabs>
        <w:kinsoku/>
        <w:wordWrap/>
        <w:overflowPunct/>
        <w:topLinePunct w:val="0"/>
        <w:autoSpaceDE/>
        <w:autoSpaceDN/>
        <w:bidi w:val="0"/>
        <w:adjustRightInd/>
        <w:snapToGrid/>
        <w:spacing w:line="460" w:lineRule="exact"/>
        <w:textAlignment w:val="auto"/>
        <w:rPr>
          <w:rFonts w:ascii="楷体" w:hAnsi="楷体" w:eastAsia="楷体"/>
          <w:b/>
          <w:sz w:val="24"/>
          <w:szCs w:val="24"/>
        </w:rPr>
      </w:pPr>
      <w:r>
        <w:rPr>
          <w:rFonts w:hint="eastAsia" w:ascii="楷体" w:hAnsi="楷体" w:eastAsia="楷体"/>
          <w:b/>
          <w:sz w:val="24"/>
          <w:szCs w:val="24"/>
        </w:rPr>
        <w:t>龙岩市永定区人民法院：</w:t>
      </w:r>
      <w:r>
        <w:rPr>
          <w:rFonts w:hint="eastAsia" w:ascii="楷体" w:hAnsi="楷体" w:eastAsia="楷体"/>
          <w:b/>
          <w:sz w:val="24"/>
          <w:szCs w:val="24"/>
        </w:rPr>
        <w:tab/>
      </w:r>
    </w:p>
    <w:p>
      <w:pPr>
        <w:keepNext w:val="0"/>
        <w:keepLines w:val="0"/>
        <w:pageBreakBefore w:val="0"/>
        <w:widowControl/>
        <w:kinsoku/>
        <w:wordWrap/>
        <w:overflowPunct/>
        <w:topLinePunct w:val="0"/>
        <w:autoSpaceDE/>
        <w:autoSpaceDN/>
        <w:bidi w:val="0"/>
        <w:adjustRightInd/>
        <w:snapToGrid/>
        <w:spacing w:line="460" w:lineRule="exact"/>
        <w:ind w:firstLine="600" w:firstLineChars="250"/>
        <w:textAlignment w:val="auto"/>
        <w:rPr>
          <w:rFonts w:ascii="楷体" w:hAnsi="楷体" w:eastAsia="楷体"/>
          <w:sz w:val="24"/>
          <w:szCs w:val="24"/>
        </w:rPr>
      </w:pPr>
      <w:r>
        <w:rPr>
          <w:rFonts w:hint="eastAsia" w:ascii="楷体" w:hAnsi="楷体" w:eastAsia="楷体"/>
          <w:sz w:val="24"/>
          <w:szCs w:val="24"/>
        </w:rPr>
        <w:t>受贵院委托，本估价机构对坐落于</w:t>
      </w:r>
      <w:r>
        <w:rPr>
          <w:rFonts w:hint="eastAsia" w:ascii="楷体" w:hAnsi="楷体" w:eastAsia="楷体"/>
          <w:sz w:val="24"/>
          <w:szCs w:val="24"/>
          <w:lang w:eastAsia="zh-CN"/>
        </w:rPr>
        <w:t>龙岩市永定区凤城街道金凤开发区同心路3号1层1#、5层、6层3#号住宅</w:t>
      </w:r>
      <w:r>
        <w:rPr>
          <w:rFonts w:hint="eastAsia" w:ascii="楷体" w:hAnsi="楷体" w:eastAsia="楷体"/>
          <w:color w:val="000000"/>
          <w:sz w:val="24"/>
          <w:szCs w:val="24"/>
        </w:rPr>
        <w:t>房地产</w:t>
      </w:r>
      <w:r>
        <w:rPr>
          <w:rFonts w:hint="eastAsia" w:ascii="楷体" w:hAnsi="楷体" w:eastAsia="楷体"/>
          <w:sz w:val="24"/>
          <w:szCs w:val="24"/>
        </w:rPr>
        <w:t>进行了估价，有关内容报告如下：</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估价目的：为人民法院确定财产处置参考价提供参考依据。</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s="楷体"/>
          <w:sz w:val="24"/>
          <w:szCs w:val="24"/>
        </w:rPr>
      </w:pPr>
      <w:r>
        <w:rPr>
          <w:rFonts w:hint="eastAsia" w:ascii="楷体" w:hAnsi="楷体" w:eastAsia="楷体"/>
          <w:color w:val="000000"/>
          <w:sz w:val="24"/>
          <w:szCs w:val="24"/>
        </w:rPr>
        <w:t>估价对象：</w:t>
      </w:r>
      <w:r>
        <w:rPr>
          <w:rFonts w:hint="eastAsia" w:ascii="楷体" w:hAnsi="楷体" w:eastAsia="楷体"/>
          <w:color w:val="000000"/>
          <w:sz w:val="24"/>
          <w:szCs w:val="24"/>
          <w:lang w:eastAsia="zh-CN"/>
        </w:rPr>
        <w:t>龙岩市永定区凤城街道金凤开发区同心路3号1层1#、5层、6层3#号住宅</w:t>
      </w:r>
      <w:r>
        <w:rPr>
          <w:rFonts w:hint="eastAsia" w:ascii="楷体" w:hAnsi="楷体" w:eastAsia="楷体"/>
          <w:color w:val="000000"/>
          <w:sz w:val="24"/>
          <w:szCs w:val="24"/>
        </w:rPr>
        <w:t>房地产估价</w:t>
      </w:r>
      <w:r>
        <w:rPr>
          <w:rFonts w:hint="eastAsia" w:ascii="楷体" w:hAnsi="楷体" w:eastAsia="楷体" w:cs="楷体"/>
          <w:sz w:val="24"/>
          <w:szCs w:val="24"/>
        </w:rPr>
        <w:t>，财产范围包括建筑物（含室内二次装修）、分摊的土地使用权（含土地出让金）及基础公共配套设施，不包括其他动产、债权债务、特许经营权等其他财产或权益。建筑面积为</w:t>
      </w:r>
      <w:r>
        <w:rPr>
          <w:rFonts w:hint="eastAsia" w:ascii="楷体" w:hAnsi="楷体" w:eastAsia="楷体" w:cs="楷体"/>
          <w:sz w:val="24"/>
          <w:szCs w:val="24"/>
          <w:lang w:eastAsia="zh-CN"/>
        </w:rPr>
        <w:t>174.57</w:t>
      </w:r>
      <w:r>
        <w:rPr>
          <w:rFonts w:hint="eastAsia" w:ascii="楷体" w:hAnsi="楷体" w:eastAsia="楷体" w:cs="楷体"/>
          <w:sz w:val="24"/>
          <w:szCs w:val="24"/>
        </w:rPr>
        <w:t>㎡（其中1层</w:t>
      </w:r>
      <w:r>
        <w:rPr>
          <w:rFonts w:hint="eastAsia" w:ascii="楷体" w:hAnsi="楷体" w:eastAsia="楷体" w:cs="楷体"/>
          <w:sz w:val="24"/>
          <w:szCs w:val="24"/>
          <w:lang w:eastAsia="zh-CN"/>
        </w:rPr>
        <w:t>39.22</w:t>
      </w:r>
      <w:r>
        <w:rPr>
          <w:rFonts w:hint="eastAsia" w:ascii="楷体" w:hAnsi="楷体" w:eastAsia="楷体" w:cs="楷体"/>
          <w:sz w:val="24"/>
          <w:szCs w:val="24"/>
        </w:rPr>
        <w:t>㎡、</w:t>
      </w:r>
      <w:r>
        <w:rPr>
          <w:rFonts w:hint="eastAsia" w:ascii="楷体" w:hAnsi="楷体" w:eastAsia="楷体" w:cs="楷体"/>
          <w:sz w:val="24"/>
          <w:szCs w:val="24"/>
          <w:lang w:eastAsia="zh-CN"/>
        </w:rPr>
        <w:t>5层90.93</w:t>
      </w:r>
      <w:r>
        <w:rPr>
          <w:rFonts w:hint="eastAsia" w:ascii="楷体" w:hAnsi="楷体" w:eastAsia="楷体" w:cs="楷体"/>
          <w:sz w:val="24"/>
          <w:szCs w:val="24"/>
        </w:rPr>
        <w:t>㎡</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6层44.42㎡</w:t>
      </w:r>
      <w:r>
        <w:rPr>
          <w:rFonts w:hint="eastAsia" w:ascii="楷体" w:hAnsi="楷体" w:eastAsia="楷体" w:cs="楷体"/>
          <w:sz w:val="24"/>
          <w:szCs w:val="24"/>
        </w:rPr>
        <w:t>），</w:t>
      </w:r>
      <w:r>
        <w:rPr>
          <w:rFonts w:hint="eastAsia" w:ascii="楷体" w:hAnsi="楷体" w:eastAsia="楷体" w:cs="楷体"/>
          <w:sz w:val="24"/>
          <w:szCs w:val="24"/>
          <w:lang w:val="en-US" w:eastAsia="zh-CN"/>
        </w:rPr>
        <w:t>证载建筑用途</w:t>
      </w:r>
      <w:r>
        <w:rPr>
          <w:rFonts w:hint="eastAsia" w:ascii="楷体" w:hAnsi="楷体" w:eastAsia="楷体" w:cs="楷体"/>
          <w:sz w:val="24"/>
          <w:szCs w:val="24"/>
        </w:rPr>
        <w:t>为</w:t>
      </w:r>
      <w:r>
        <w:rPr>
          <w:rFonts w:hint="eastAsia" w:ascii="楷体" w:hAnsi="楷体" w:eastAsia="楷体" w:cs="楷体"/>
          <w:sz w:val="24"/>
          <w:szCs w:val="24"/>
          <w:lang w:val="en-US" w:eastAsia="zh-CN"/>
        </w:rPr>
        <w:t>商住</w:t>
      </w:r>
      <w:r>
        <w:rPr>
          <w:rFonts w:hint="eastAsia" w:ascii="楷体" w:hAnsi="楷体" w:eastAsia="楷体" w:cs="楷体"/>
          <w:sz w:val="24"/>
          <w:szCs w:val="24"/>
        </w:rPr>
        <w:t>，现状</w:t>
      </w:r>
      <w:r>
        <w:rPr>
          <w:rFonts w:hint="eastAsia" w:ascii="楷体" w:hAnsi="楷体" w:eastAsia="楷体" w:cs="楷体"/>
          <w:sz w:val="24"/>
          <w:szCs w:val="24"/>
          <w:lang w:val="en-US" w:eastAsia="zh-CN"/>
        </w:rPr>
        <w:t>作住宅使用</w:t>
      </w:r>
      <w:r>
        <w:rPr>
          <w:rFonts w:hint="eastAsia" w:ascii="楷体" w:hAnsi="楷体" w:eastAsia="楷体" w:cs="楷体"/>
          <w:sz w:val="24"/>
          <w:szCs w:val="24"/>
        </w:rPr>
        <w:t>，分摊土地面积为</w:t>
      </w:r>
      <w:r>
        <w:rPr>
          <w:rFonts w:hint="eastAsia" w:ascii="楷体" w:hAnsi="楷体" w:eastAsia="楷体" w:cs="楷体"/>
          <w:sz w:val="24"/>
          <w:szCs w:val="24"/>
          <w:lang w:eastAsia="zh-CN"/>
        </w:rPr>
        <w:t>52.90</w:t>
      </w:r>
      <w:r>
        <w:rPr>
          <w:rFonts w:hint="eastAsia" w:ascii="楷体" w:hAnsi="楷体" w:eastAsia="楷体" w:cs="楷体"/>
          <w:sz w:val="24"/>
          <w:szCs w:val="24"/>
        </w:rPr>
        <w:t>㎡，规划地类用途及实际用途均为住宅用地、土地使用权类型为出让、出让期限至</w:t>
      </w:r>
      <w:r>
        <w:rPr>
          <w:rFonts w:hint="eastAsia" w:ascii="楷体" w:hAnsi="楷体" w:eastAsia="楷体" w:cs="楷体"/>
          <w:sz w:val="24"/>
          <w:szCs w:val="24"/>
          <w:lang w:eastAsia="zh-CN"/>
        </w:rPr>
        <w:t>2066年04月08日</w:t>
      </w:r>
      <w:r>
        <w:rPr>
          <w:rFonts w:hint="eastAsia" w:ascii="楷体" w:hAnsi="楷体" w:eastAsia="楷体" w:cs="楷体"/>
          <w:sz w:val="24"/>
          <w:szCs w:val="24"/>
        </w:rPr>
        <w:t>，位于</w:t>
      </w:r>
      <w:r>
        <w:rPr>
          <w:rFonts w:hint="eastAsia" w:ascii="楷体" w:hAnsi="楷体" w:eastAsia="楷体" w:cs="楷体"/>
          <w:sz w:val="24"/>
          <w:szCs w:val="24"/>
          <w:lang w:val="en-US" w:eastAsia="zh-CN"/>
        </w:rPr>
        <w:t>第1层、第5层及第6层</w:t>
      </w:r>
      <w:r>
        <w:rPr>
          <w:rFonts w:hint="eastAsia" w:ascii="楷体" w:hAnsi="楷体" w:eastAsia="楷体" w:cs="楷体"/>
          <w:sz w:val="24"/>
          <w:szCs w:val="24"/>
        </w:rPr>
        <w:t>、建筑结构为混合结构，权利人为</w:t>
      </w:r>
      <w:r>
        <w:rPr>
          <w:rFonts w:hint="eastAsia" w:ascii="楷体" w:hAnsi="楷体" w:eastAsia="楷体" w:cs="楷体"/>
          <w:sz w:val="24"/>
          <w:szCs w:val="24"/>
          <w:lang w:eastAsia="zh-CN"/>
        </w:rPr>
        <w:t>李宏</w:t>
      </w:r>
      <w:r>
        <w:rPr>
          <w:rFonts w:hint="eastAsia" w:ascii="楷体" w:hAnsi="楷体" w:eastAsia="楷体" w:cs="楷体"/>
          <w:sz w:val="24"/>
          <w:szCs w:val="24"/>
        </w:rPr>
        <w:t>。</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olor w:val="FF0000"/>
          <w:sz w:val="24"/>
          <w:szCs w:val="24"/>
        </w:rPr>
      </w:pPr>
      <w:r>
        <w:rPr>
          <w:rFonts w:hint="eastAsia" w:ascii="楷体" w:hAnsi="楷体" w:eastAsia="楷体"/>
          <w:color w:val="000000"/>
          <w:sz w:val="24"/>
          <w:szCs w:val="24"/>
        </w:rPr>
        <w:t>价值时点</w:t>
      </w:r>
      <w:r>
        <w:rPr>
          <w:rFonts w:hint="eastAsia" w:ascii="楷体" w:hAnsi="楷体" w:eastAsia="楷体"/>
          <w:sz w:val="24"/>
          <w:szCs w:val="24"/>
        </w:rPr>
        <w:t>：</w:t>
      </w:r>
      <w:r>
        <w:rPr>
          <w:rFonts w:hint="eastAsia" w:ascii="楷体" w:hAnsi="楷体" w:eastAsia="楷体"/>
          <w:sz w:val="24"/>
          <w:szCs w:val="24"/>
          <w:lang w:eastAsia="zh-CN"/>
        </w:rPr>
        <w:t>2022年08月30日</w:t>
      </w:r>
      <w:r>
        <w:rPr>
          <w:rFonts w:hint="eastAsia" w:ascii="楷体" w:hAnsi="楷体" w:eastAsia="楷体"/>
          <w:sz w:val="24"/>
          <w:szCs w:val="24"/>
        </w:rPr>
        <w:t>。</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价值类型：</w:t>
      </w:r>
      <w:r>
        <w:rPr>
          <w:rFonts w:hint="eastAsia" w:ascii="楷体" w:hAnsi="楷体" w:eastAsia="楷体"/>
          <w:color w:val="000000"/>
          <w:sz w:val="24"/>
          <w:szCs w:val="24"/>
          <w:lang w:eastAsia="zh-CN"/>
        </w:rPr>
        <w:t>市场价格</w:t>
      </w:r>
      <w:r>
        <w:rPr>
          <w:rFonts w:hint="eastAsia" w:ascii="楷体" w:hAnsi="楷体" w:eastAsia="楷体"/>
          <w:color w:val="000000"/>
          <w:sz w:val="24"/>
          <w:szCs w:val="24"/>
        </w:rPr>
        <w:t>。</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估价方法：比较法、收益法</w:t>
      </w:r>
    </w:p>
    <w:p>
      <w:pPr>
        <w:keepNext w:val="0"/>
        <w:keepLines w:val="0"/>
        <w:pageBreakBefore w:val="0"/>
        <w:widowControl/>
        <w:kinsoku/>
        <w:wordWrap/>
        <w:overflowPunct/>
        <w:topLinePunct w:val="0"/>
        <w:autoSpaceDE/>
        <w:autoSpaceDN/>
        <w:bidi w:val="0"/>
        <w:adjustRightInd/>
        <w:snapToGrid/>
        <w:spacing w:line="460" w:lineRule="exact"/>
        <w:ind w:left="119" w:leftChars="57"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估价结果：本机构估价人员根据特定的估价目的，遵照《中华人民共和国城市房地产管理法》、《房地产估价规范》、</w:t>
      </w:r>
      <w:r>
        <w:rPr>
          <w:rFonts w:hint="eastAsia" w:ascii="楷体" w:hAnsi="楷体" w:eastAsia="楷体"/>
          <w:sz w:val="24"/>
        </w:rPr>
        <w:t>《涉执房地产处置司法评估指导意见（试行）》</w:t>
      </w:r>
      <w:r>
        <w:rPr>
          <w:rFonts w:hint="eastAsia" w:ascii="楷体" w:hAnsi="楷体" w:eastAsia="楷体"/>
          <w:color w:val="000000"/>
          <w:sz w:val="24"/>
          <w:szCs w:val="24"/>
        </w:rPr>
        <w:t>等法律法规和技术标准，遵循独立、客观、公正的原则，经过实地察看和市场调查，运用比较法、收益法进行分析、测算和判断。经评估测算，在公开市场和持续使用前提下，在满足本次估价假设和限制条件下，本次估价对象于价值时点的估价结果如下：</w:t>
      </w:r>
    </w:p>
    <w:p>
      <w:pPr>
        <w:keepNext w:val="0"/>
        <w:keepLines w:val="0"/>
        <w:pageBreakBefore w:val="0"/>
        <w:widowControl/>
        <w:kinsoku/>
        <w:wordWrap/>
        <w:overflowPunct/>
        <w:topLinePunct w:val="0"/>
        <w:autoSpaceDE/>
        <w:autoSpaceDN/>
        <w:bidi w:val="0"/>
        <w:adjustRightInd/>
        <w:snapToGrid/>
        <w:spacing w:line="460" w:lineRule="exact"/>
        <w:ind w:left="119" w:leftChars="57"/>
        <w:jc w:val="center"/>
        <w:textAlignment w:val="auto"/>
        <w:rPr>
          <w:rFonts w:ascii="楷体" w:hAnsi="楷体" w:eastAsia="楷体"/>
          <w:sz w:val="24"/>
          <w:szCs w:val="24"/>
        </w:rPr>
      </w:pPr>
      <w:r>
        <w:rPr>
          <w:rFonts w:hint="eastAsia" w:ascii="楷体" w:hAnsi="楷体" w:eastAsia="楷体"/>
          <w:sz w:val="24"/>
          <w:szCs w:val="24"/>
        </w:rPr>
        <w:t>估价对象房地产</w:t>
      </w:r>
      <w:r>
        <w:rPr>
          <w:rFonts w:hint="eastAsia" w:ascii="楷体" w:hAnsi="楷体" w:eastAsia="楷体"/>
          <w:sz w:val="24"/>
          <w:szCs w:val="24"/>
          <w:lang w:eastAsia="zh-CN"/>
        </w:rPr>
        <w:t>市场价格</w:t>
      </w:r>
      <w:r>
        <w:rPr>
          <w:rFonts w:hint="eastAsia" w:ascii="楷体" w:hAnsi="楷体" w:eastAsia="楷体"/>
          <w:sz w:val="24"/>
          <w:szCs w:val="24"/>
        </w:rPr>
        <w:t>评估结果表</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510"/>
        <w:gridCol w:w="48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restart"/>
            <w:vAlign w:val="center"/>
          </w:tcPr>
          <w:p>
            <w:pPr>
              <w:spacing w:line="440" w:lineRule="exact"/>
              <w:jc w:val="center"/>
              <w:rPr>
                <w:rFonts w:ascii="楷体" w:hAnsi="楷体" w:eastAsia="楷体"/>
                <w:sz w:val="18"/>
                <w:szCs w:val="18"/>
              </w:rPr>
            </w:pPr>
            <w:r>
              <w:rPr>
                <w:rFonts w:hint="eastAsia" w:ascii="楷体" w:hAnsi="楷体" w:eastAsia="楷体"/>
                <w:sz w:val="18"/>
                <w:szCs w:val="18"/>
              </w:rPr>
              <w:t>价值类型</w:t>
            </w:r>
          </w:p>
        </w:tc>
        <w:tc>
          <w:tcPr>
            <w:tcW w:w="6400" w:type="dxa"/>
            <w:gridSpan w:val="2"/>
            <w:vAlign w:val="center"/>
          </w:tcPr>
          <w:p>
            <w:pPr>
              <w:spacing w:line="440" w:lineRule="exact"/>
              <w:jc w:val="center"/>
              <w:rPr>
                <w:rFonts w:ascii="楷体" w:hAnsi="楷体" w:eastAsia="楷体"/>
                <w:sz w:val="18"/>
                <w:szCs w:val="18"/>
              </w:rPr>
            </w:pPr>
            <w:r>
              <w:rPr>
                <w:rFonts w:hint="eastAsia" w:ascii="楷体" w:hAnsi="楷体" w:eastAsia="楷体"/>
                <w:sz w:val="18"/>
                <w:szCs w:val="18"/>
              </w:rPr>
              <w:t>估价结果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continue"/>
            <w:vAlign w:val="center"/>
          </w:tcPr>
          <w:p>
            <w:pPr>
              <w:spacing w:line="440" w:lineRule="exact"/>
              <w:jc w:val="center"/>
              <w:rPr>
                <w:rFonts w:ascii="楷体" w:hAnsi="楷体" w:eastAsia="楷体"/>
                <w:sz w:val="18"/>
                <w:szCs w:val="18"/>
              </w:rPr>
            </w:pPr>
          </w:p>
        </w:tc>
        <w:tc>
          <w:tcPr>
            <w:tcW w:w="151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单价（元/㎡）</w:t>
            </w:r>
          </w:p>
        </w:tc>
        <w:tc>
          <w:tcPr>
            <w:tcW w:w="489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总价（万元）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spacing w:line="520" w:lineRule="exact"/>
              <w:jc w:val="center"/>
              <w:rPr>
                <w:rFonts w:hint="eastAsia" w:ascii="楷体" w:hAnsi="楷体" w:eastAsia="楷体"/>
                <w:sz w:val="18"/>
                <w:szCs w:val="18"/>
                <w:lang w:eastAsia="zh-CN"/>
              </w:rPr>
            </w:pPr>
            <w:r>
              <w:rPr>
                <w:rFonts w:hint="eastAsia" w:ascii="楷体" w:hAnsi="楷体" w:eastAsia="楷体"/>
                <w:sz w:val="18"/>
                <w:szCs w:val="18"/>
              </w:rPr>
              <w:t>正常税费负担下的</w:t>
            </w:r>
            <w:r>
              <w:rPr>
                <w:rFonts w:hint="eastAsia" w:ascii="楷体" w:hAnsi="楷体" w:eastAsia="楷体"/>
                <w:sz w:val="18"/>
                <w:szCs w:val="18"/>
                <w:lang w:eastAsia="zh-CN"/>
              </w:rPr>
              <w:t>市场价格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3239</w:t>
            </w:r>
            <w:r>
              <w:rPr>
                <w:rFonts w:hint="eastAsia" w:ascii="楷体" w:hAnsi="楷体" w:eastAsia="楷体"/>
                <w:sz w:val="18"/>
                <w:szCs w:val="18"/>
              </w:rPr>
              <w:t>.00</w:t>
            </w: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56.55（人民币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565500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伍拾陆万伍仟伍佰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jc w:val="center"/>
              <w:rPr>
                <w:rFonts w:ascii="楷体" w:hAnsi="楷体" w:eastAsia="楷体"/>
                <w:sz w:val="18"/>
                <w:szCs w:val="18"/>
              </w:rPr>
            </w:pPr>
            <w:r>
              <w:rPr>
                <w:rFonts w:hint="eastAsia" w:ascii="楷体" w:hAnsi="楷体" w:eastAsia="楷体" w:cs="楷体"/>
                <w:sz w:val="18"/>
                <w:szCs w:val="18"/>
              </w:rPr>
              <w:t>以评估价值处置预计原权利人应负担的主要交易税费</w:t>
            </w:r>
          </w:p>
        </w:tc>
        <w:tc>
          <w:tcPr>
            <w:tcW w:w="1510" w:type="dxa"/>
            <w:vAlign w:val="center"/>
          </w:tcPr>
          <w:p>
            <w:pPr>
              <w:spacing w:line="520" w:lineRule="exact"/>
              <w:jc w:val="center"/>
              <w:rPr>
                <w:rFonts w:ascii="楷体" w:hAnsi="楷体" w:eastAsia="楷体"/>
                <w:sz w:val="18"/>
                <w:szCs w:val="18"/>
              </w:rPr>
            </w:pP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1.70（人民币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17000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壹万柒仟</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jc w:val="center"/>
              <w:rPr>
                <w:rFonts w:hint="eastAsia" w:ascii="楷体" w:hAnsi="楷体" w:eastAsia="楷体"/>
                <w:sz w:val="18"/>
                <w:szCs w:val="18"/>
                <w:lang w:eastAsia="zh-CN"/>
              </w:rPr>
            </w:pPr>
            <w:r>
              <w:rPr>
                <w:rFonts w:hint="eastAsia" w:ascii="楷体" w:hAnsi="楷体" w:eastAsia="楷体" w:cs="楷体"/>
                <w:sz w:val="18"/>
                <w:szCs w:val="18"/>
              </w:rPr>
              <w:t>扣除以评估价值处置卖方负担主要交易税费后的</w:t>
            </w:r>
            <w:r>
              <w:rPr>
                <w:rFonts w:hint="eastAsia" w:ascii="楷体" w:hAnsi="楷体" w:eastAsia="楷体" w:cs="楷体"/>
                <w:sz w:val="18"/>
                <w:szCs w:val="18"/>
                <w:lang w:eastAsia="zh-CN"/>
              </w:rPr>
              <w:t>市场价格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3142</w:t>
            </w:r>
            <w:r>
              <w:rPr>
                <w:rFonts w:hint="eastAsia" w:ascii="楷体" w:hAnsi="楷体" w:eastAsia="楷体"/>
                <w:sz w:val="18"/>
                <w:szCs w:val="18"/>
              </w:rPr>
              <w:t>.00</w:t>
            </w: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54.85（人民币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548500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伍拾肆万捌仟伍佰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bl>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特别提示：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（1）根据委托人委托要求，本标的拍卖成交后过户税费全部由买受人承担，本次估价测算的处置税费为估价对象于价值时点以评估</w:t>
      </w:r>
      <w:r>
        <w:rPr>
          <w:rFonts w:hint="eastAsia" w:ascii="楷体" w:hAnsi="楷体" w:eastAsia="楷体"/>
          <w:sz w:val="24"/>
          <w:szCs w:val="24"/>
          <w:lang w:eastAsia="zh-CN"/>
        </w:rPr>
        <w:t>市场价格</w:t>
      </w:r>
      <w:r>
        <w:rPr>
          <w:rFonts w:hint="eastAsia" w:ascii="楷体" w:hAnsi="楷体" w:eastAsia="楷体"/>
          <w:sz w:val="24"/>
          <w:szCs w:val="24"/>
        </w:rPr>
        <w:t>进入市场转让时，原权利人需负担的主要交易税费，仅供参考，其实际处置时原权属人负担的税费应以有关部门计算为准；</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sz w:val="24"/>
          <w:szCs w:val="24"/>
        </w:rPr>
      </w:pPr>
      <w:r>
        <w:rPr>
          <w:rFonts w:hint="eastAsia" w:ascii="楷体" w:hAnsi="楷体" w:eastAsia="楷体"/>
          <w:sz w:val="24"/>
          <w:szCs w:val="24"/>
        </w:rPr>
        <w:t>（2）本评估报告评估值未考虑估价对象涉及的评估费、拍卖费、诉讼费、律师费等财产处置费用对评估值所产生的影响；</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sz w:val="24"/>
          <w:szCs w:val="24"/>
          <w:lang w:val="en-US" w:eastAsia="zh-CN"/>
        </w:rPr>
      </w:pPr>
      <w:r>
        <w:rPr>
          <w:rFonts w:hint="eastAsia" w:ascii="楷体" w:hAnsi="楷体" w:eastAsia="楷体"/>
          <w:sz w:val="24"/>
          <w:szCs w:val="24"/>
          <w:lang w:eastAsia="zh-CN"/>
        </w:rPr>
        <w:t>（</w:t>
      </w:r>
      <w:r>
        <w:rPr>
          <w:rFonts w:hint="eastAsia" w:ascii="楷体" w:hAnsi="楷体" w:eastAsia="楷体"/>
          <w:sz w:val="24"/>
          <w:szCs w:val="24"/>
          <w:lang w:val="en-US" w:eastAsia="zh-CN"/>
        </w:rPr>
        <w:t>3</w:t>
      </w:r>
      <w:r>
        <w:rPr>
          <w:rFonts w:hint="eastAsia" w:ascii="楷体" w:hAnsi="楷体" w:eastAsia="楷体"/>
          <w:sz w:val="24"/>
          <w:szCs w:val="24"/>
          <w:lang w:eastAsia="zh-CN"/>
        </w:rPr>
        <w:t>）</w:t>
      </w:r>
      <w:r>
        <w:rPr>
          <w:rFonts w:hint="eastAsia" w:ascii="楷体" w:hAnsi="楷体" w:eastAsia="楷体"/>
          <w:sz w:val="24"/>
          <w:szCs w:val="24"/>
          <w:lang w:val="en-US" w:eastAsia="zh-CN"/>
        </w:rPr>
        <w:t>根据委托人提供的资料，《房屋所有权证》证载估价对象房屋建筑用途为商住（一层店面、二层以上为住宅）、《土地使用权证》证载估价对象地类用途为住宅，权属证明材料证载用途不相一致；根据委托人提供的《转让国有建设用地使用权变更登记》材料，估价对象实际用途为住宅用地，且根据现场勘查，估价对象周边区域一层建筑基本为住宅配套，故本次评估设定估价对象一层为住宅房地产；若上述设定与相关有权部门所确认的不符、则应与相关有权部门所确定的为准、并相应调整本评估报告评估值；</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default" w:ascii="楷体" w:hAnsi="楷体" w:eastAsia="楷体"/>
          <w:sz w:val="24"/>
          <w:szCs w:val="24"/>
          <w:lang w:val="en-US" w:eastAsia="zh-CN"/>
        </w:rPr>
      </w:pPr>
      <w:r>
        <w:rPr>
          <w:rFonts w:hint="eastAsia" w:ascii="楷体" w:hAnsi="楷体" w:eastAsia="楷体"/>
          <w:sz w:val="24"/>
          <w:szCs w:val="24"/>
          <w:lang w:val="en-US" w:eastAsia="zh-CN"/>
        </w:rPr>
        <w:t>（4）本评估报告为估价对象完全权利状态下的市场价格，未考虑估价对象可能存在、或已存在的抵押、欠款等任何欠付；</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5</w:t>
      </w:r>
      <w:r>
        <w:rPr>
          <w:rFonts w:hint="eastAsia" w:ascii="楷体" w:hAnsi="楷体" w:eastAsia="楷体"/>
          <w:sz w:val="24"/>
          <w:szCs w:val="24"/>
        </w:rPr>
        <w:t>）相关当事人应当按照法律规定和评估报告载明的用途、使用人、使用期限等使用范围使用评估报告。否则，房地产估价机构和注册房地产估价师依法不承担责任；</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6</w:t>
      </w:r>
      <w:r>
        <w:rPr>
          <w:rFonts w:hint="eastAsia" w:ascii="楷体" w:hAnsi="楷体" w:eastAsia="楷体"/>
          <w:sz w:val="24"/>
          <w:szCs w:val="24"/>
        </w:rPr>
        <w:t>）本评估报告评估结果仅为人民法院确定财产处置参考价服务，不是评估对象处置可实现的成交价格，也不应当被视为对评估对象处置成交价格的保证；</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7</w:t>
      </w:r>
      <w:r>
        <w:rPr>
          <w:rFonts w:hint="eastAsia" w:ascii="楷体" w:hAnsi="楷体" w:eastAsia="楷体"/>
          <w:sz w:val="24"/>
          <w:szCs w:val="2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8</w:t>
      </w:r>
      <w:r>
        <w:rPr>
          <w:rFonts w:hint="eastAsia" w:ascii="楷体" w:hAnsi="楷体" w:eastAsia="楷体"/>
          <w:sz w:val="24"/>
          <w:szCs w:val="24"/>
        </w:rPr>
        <w:t>）在评估报告使用期限或者评估结果有效期内，评估报告或者评估结果未使用之前，如果评估对象状况或者房地产市场状况发生明显变化的，评估结果应当进行相应调整后才可使用；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9</w:t>
      </w:r>
      <w:r>
        <w:rPr>
          <w:rFonts w:hint="eastAsia" w:ascii="楷体" w:hAnsi="楷体" w:eastAsia="楷体"/>
          <w:sz w:val="24"/>
          <w:szCs w:val="24"/>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ascii="楷体" w:hAnsi="楷体" w:eastAsia="楷体"/>
          <w:sz w:val="24"/>
          <w:szCs w:val="24"/>
        </w:rPr>
      </w:pPr>
      <w:r>
        <w:rPr>
          <w:rFonts w:hint="eastAsia" w:ascii="楷体" w:hAnsi="楷体" w:eastAsia="楷体"/>
          <w:sz w:val="24"/>
          <w:szCs w:val="24"/>
        </w:rPr>
        <w:t>（</w:t>
      </w:r>
      <w:r>
        <w:rPr>
          <w:rFonts w:hint="eastAsia" w:ascii="楷体" w:hAnsi="楷体" w:eastAsia="楷体"/>
          <w:sz w:val="24"/>
          <w:szCs w:val="24"/>
          <w:lang w:val="en-US" w:eastAsia="zh-CN"/>
        </w:rPr>
        <w:t>10</w:t>
      </w:r>
      <w:r>
        <w:rPr>
          <w:rFonts w:hint="eastAsia" w:ascii="楷体" w:hAnsi="楷体" w:eastAsia="楷体"/>
          <w:sz w:val="24"/>
          <w:szCs w:val="24"/>
        </w:rPr>
        <w:t>）本估价报告使用期限自</w:t>
      </w:r>
      <w:r>
        <w:rPr>
          <w:rFonts w:hint="eastAsia" w:ascii="楷体" w:hAnsi="楷体" w:eastAsia="楷体"/>
          <w:sz w:val="24"/>
          <w:szCs w:val="24"/>
          <w:lang w:eastAsia="zh-CN"/>
        </w:rPr>
        <w:t>2022年09月06日</w:t>
      </w:r>
      <w:r>
        <w:rPr>
          <w:rFonts w:hint="eastAsia" w:ascii="楷体" w:hAnsi="楷体" w:eastAsia="楷体"/>
          <w:sz w:val="24"/>
          <w:szCs w:val="24"/>
        </w:rPr>
        <w:t>起至</w:t>
      </w:r>
      <w:r>
        <w:rPr>
          <w:rFonts w:hint="eastAsia" w:ascii="楷体" w:hAnsi="楷体" w:eastAsia="楷体"/>
          <w:sz w:val="24"/>
          <w:szCs w:val="24"/>
          <w:lang w:eastAsia="zh-CN"/>
        </w:rPr>
        <w:t>2023年09月05日</w:t>
      </w:r>
      <w:r>
        <w:rPr>
          <w:rFonts w:hint="eastAsia" w:ascii="楷体" w:hAnsi="楷体" w:eastAsia="楷体"/>
          <w:sz w:val="24"/>
          <w:szCs w:val="24"/>
        </w:rPr>
        <w:t>止。</w:t>
      </w:r>
    </w:p>
    <w:p>
      <w:pPr>
        <w:keepNext w:val="0"/>
        <w:keepLines w:val="0"/>
        <w:pageBreakBefore w:val="0"/>
        <w:widowControl/>
        <w:tabs>
          <w:tab w:val="left" w:pos="6345"/>
        </w:tabs>
        <w:kinsoku/>
        <w:wordWrap/>
        <w:overflowPunct/>
        <w:topLinePunct w:val="0"/>
        <w:autoSpaceDE/>
        <w:autoSpaceDN/>
        <w:bidi w:val="0"/>
        <w:adjustRightInd/>
        <w:snapToGrid/>
        <w:spacing w:line="420" w:lineRule="exact"/>
        <w:ind w:firstLine="470" w:firstLineChars="196"/>
        <w:textAlignment w:val="auto"/>
        <w:rPr>
          <w:rFonts w:ascii="楷体" w:hAnsi="楷体" w:eastAsia="楷体"/>
          <w:sz w:val="24"/>
        </w:rPr>
      </w:pPr>
      <w:r>
        <w:rPr>
          <w:rFonts w:ascii="楷体" w:hAnsi="楷体" w:eastAsia="楷体"/>
          <w:b/>
          <w:sz w:val="24"/>
          <w:szCs w:val="24"/>
        </w:rPr>
        <w:t>欲了解本评估项目的全面情况，</w:t>
      </w:r>
      <w:r>
        <w:rPr>
          <w:rFonts w:hint="eastAsia" w:ascii="楷体" w:hAnsi="楷体" w:eastAsia="楷体"/>
          <w:b/>
          <w:sz w:val="24"/>
          <w:szCs w:val="24"/>
        </w:rPr>
        <w:t>请</w:t>
      </w:r>
      <w:r>
        <w:rPr>
          <w:rFonts w:ascii="楷体" w:hAnsi="楷体" w:eastAsia="楷体"/>
          <w:b/>
          <w:sz w:val="24"/>
          <w:szCs w:val="24"/>
        </w:rPr>
        <w:t>阅读</w:t>
      </w:r>
      <w:r>
        <w:rPr>
          <w:rFonts w:hint="eastAsia" w:ascii="楷体" w:hAnsi="楷体" w:eastAsia="楷体"/>
          <w:b/>
          <w:sz w:val="24"/>
          <w:szCs w:val="24"/>
        </w:rPr>
        <w:t>本估价</w:t>
      </w:r>
      <w:r>
        <w:rPr>
          <w:rFonts w:ascii="楷体" w:hAnsi="楷体" w:eastAsia="楷体"/>
          <w:b/>
          <w:sz w:val="24"/>
          <w:szCs w:val="24"/>
        </w:rPr>
        <w:t>报告全文</w:t>
      </w:r>
      <w:r>
        <w:rPr>
          <w:rFonts w:hint="eastAsia" w:ascii="楷体" w:hAnsi="楷体" w:eastAsia="楷体"/>
          <w:b/>
          <w:sz w:val="24"/>
          <w:szCs w:val="24"/>
        </w:rPr>
        <w:t>。</w:t>
      </w:r>
      <w:r>
        <w:rPr>
          <w:rFonts w:hint="eastAsia" w:ascii="楷体" w:hAnsi="楷体" w:eastAsia="楷体"/>
          <w:sz w:val="24"/>
        </w:rPr>
        <w:t xml:space="preserve">    </w:t>
      </w:r>
    </w:p>
    <w:p>
      <w:pPr>
        <w:tabs>
          <w:tab w:val="left" w:pos="6345"/>
        </w:tabs>
        <w:spacing w:line="520" w:lineRule="exact"/>
        <w:ind w:firstLine="470" w:firstLineChars="196"/>
        <w:rPr>
          <w:rFonts w:ascii="楷体" w:hAnsi="楷体" w:eastAsia="楷体"/>
          <w:sz w:val="24"/>
        </w:rPr>
      </w:pPr>
      <w:r>
        <w:rPr>
          <w:rFonts w:hint="eastAsia" w:ascii="楷体" w:hAnsi="楷体" w:eastAsia="楷体"/>
          <w:sz w:val="24"/>
        </w:rPr>
        <w:t xml:space="preserve">                          </w:t>
      </w:r>
    </w:p>
    <w:p>
      <w:pPr>
        <w:pStyle w:val="6"/>
        <w:spacing w:line="520" w:lineRule="exact"/>
        <w:jc w:val="right"/>
        <w:rPr>
          <w:rFonts w:ascii="楷体" w:hAnsi="楷体" w:eastAsia="楷体"/>
          <w:sz w:val="24"/>
        </w:rPr>
      </w:pPr>
      <w:r>
        <w:rPr>
          <w:rFonts w:hint="eastAsia" w:ascii="楷体" w:hAnsi="楷体" w:eastAsia="楷体"/>
          <w:sz w:val="24"/>
        </w:rPr>
        <w:t xml:space="preserve"> 福建明鉴资产评估房地产土地估价有限公司（公章）</w:t>
      </w:r>
    </w:p>
    <w:p>
      <w:pPr>
        <w:pStyle w:val="6"/>
        <w:spacing w:line="520" w:lineRule="exact"/>
        <w:ind w:firstLine="5280" w:firstLineChars="2200"/>
        <w:jc w:val="right"/>
        <w:rPr>
          <w:rFonts w:ascii="楷体" w:hAnsi="楷体" w:eastAsia="楷体"/>
        </w:rPr>
      </w:pPr>
      <w:r>
        <w:rPr>
          <w:rFonts w:hint="eastAsia" w:ascii="楷体" w:hAnsi="楷体" w:eastAsia="楷体"/>
          <w:sz w:val="24"/>
        </w:rPr>
        <w:t>法定代表人：（签名或盖章）</w:t>
      </w:r>
      <w:r>
        <w:rPr>
          <w:rFonts w:hint="eastAsia" w:ascii="楷体" w:hAnsi="楷体" w:eastAsia="楷体"/>
        </w:rPr>
        <w:t xml:space="preserve">                   </w:t>
      </w:r>
    </w:p>
    <w:p>
      <w:pPr>
        <w:pStyle w:val="6"/>
        <w:spacing w:line="520" w:lineRule="exact"/>
        <w:jc w:val="right"/>
        <w:rPr>
          <w:rFonts w:hint="eastAsia" w:ascii="楷体" w:hAnsi="楷体" w:eastAsia="楷体"/>
          <w:lang w:eastAsia="zh-CN"/>
        </w:rPr>
      </w:pPr>
      <w:r>
        <w:rPr>
          <w:rFonts w:hint="eastAsia" w:ascii="楷体" w:hAnsi="楷体" w:eastAsia="楷体"/>
          <w:sz w:val="24"/>
        </w:rPr>
        <w:t>日期：</w:t>
      </w:r>
      <w:r>
        <w:rPr>
          <w:rFonts w:hint="eastAsia" w:ascii="楷体" w:hAnsi="楷体" w:eastAsia="楷体"/>
          <w:sz w:val="24"/>
          <w:lang w:eastAsia="zh-CN"/>
        </w:rPr>
        <w:t>2022年09月06日</w:t>
      </w:r>
    </w:p>
    <w:p>
      <w:pPr>
        <w:spacing w:before="158" w:beforeLines="50" w:after="158" w:afterLines="50" w:line="300" w:lineRule="auto"/>
        <w:jc w:val="center"/>
        <w:rPr>
          <w:rFonts w:ascii="楷体" w:hAnsi="楷体" w:eastAsia="楷体"/>
          <w:b/>
          <w:bCs/>
          <w:sz w:val="36"/>
          <w:szCs w:val="36"/>
        </w:rPr>
        <w:sectPr>
          <w:footerReference r:id="rId9" w:type="first"/>
          <w:footerReference r:id="rId8" w:type="default"/>
          <w:endnotePr>
            <w:numFmt w:val="decimal"/>
          </w:endnotePr>
          <w:pgSz w:w="11906" w:h="16838"/>
          <w:pgMar w:top="1191" w:right="1106" w:bottom="1191" w:left="1622" w:header="635" w:footer="567" w:gutter="0"/>
          <w:pgNumType w:start="1"/>
          <w:cols w:space="720" w:num="1"/>
          <w:docGrid w:type="linesAndChars" w:linePitch="317" w:charSpace="0"/>
        </w:sectPr>
      </w:pPr>
    </w:p>
    <w:p>
      <w:pPr>
        <w:spacing w:before="158" w:beforeLines="50" w:after="158" w:afterLines="50" w:line="300" w:lineRule="auto"/>
        <w:jc w:val="center"/>
        <w:rPr>
          <w:rFonts w:ascii="楷体" w:hAnsi="楷体" w:eastAsia="楷体"/>
          <w:b/>
          <w:bCs/>
          <w:color w:val="000000"/>
          <w:sz w:val="36"/>
          <w:szCs w:val="36"/>
        </w:rPr>
      </w:pPr>
      <w:r>
        <w:rPr>
          <w:rFonts w:hint="eastAsia" w:ascii="楷体" w:hAnsi="楷体" w:eastAsia="楷体"/>
          <w:b/>
          <w:bCs/>
          <w:color w:val="000000"/>
          <w:sz w:val="36"/>
          <w:szCs w:val="36"/>
        </w:rPr>
        <w:t>目   录</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估价师声明……………………………………………………………1</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估价假设和限制条件……………………………………………………………2</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估价结果报告………………………………………………………………4</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一、估价委托人及相关当事人……………………………………………… 4</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二、房地产估价机构…………………………………………………………4</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三、估价目的…………………………………………………………………4</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四、估价对象…………………………………………………………………4</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五、价值时点…………………………………………………………………6</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hint="eastAsia" w:ascii="楷体" w:hAnsi="楷体" w:eastAsia="楷体"/>
          <w:sz w:val="24"/>
          <w:szCs w:val="24"/>
          <w:lang w:eastAsia="zh-CN"/>
        </w:rPr>
      </w:pPr>
      <w:r>
        <w:rPr>
          <w:rFonts w:hint="eastAsia" w:ascii="楷体" w:hAnsi="楷体" w:eastAsia="楷体"/>
          <w:sz w:val="24"/>
          <w:szCs w:val="24"/>
        </w:rPr>
        <w:t xml:space="preserve">   六、价值类型………………………………………………………………</w:t>
      </w:r>
      <w:r>
        <w:rPr>
          <w:rFonts w:hint="eastAsia" w:ascii="楷体" w:hAnsi="楷体" w:eastAsia="楷体"/>
          <w:sz w:val="24"/>
          <w:szCs w:val="24"/>
          <w:lang w:val="en-US" w:eastAsia="zh-CN"/>
        </w:rPr>
        <w:t>7</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七、估价原则………………………………………………………………7</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八、估价依据………………………………………………………………7</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九、估价方法………………………………………………………………8</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hint="eastAsia" w:ascii="楷体" w:hAnsi="楷体" w:eastAsia="楷体"/>
          <w:sz w:val="24"/>
          <w:szCs w:val="24"/>
          <w:lang w:eastAsia="zh-CN"/>
        </w:rPr>
      </w:pPr>
      <w:r>
        <w:rPr>
          <w:rFonts w:hint="eastAsia" w:ascii="楷体" w:hAnsi="楷体" w:eastAsia="楷体"/>
          <w:sz w:val="24"/>
          <w:szCs w:val="24"/>
        </w:rPr>
        <w:t xml:space="preserve">   十、估价结果………………………………………………………………</w:t>
      </w:r>
      <w:r>
        <w:rPr>
          <w:rFonts w:hint="eastAsia" w:ascii="楷体" w:hAnsi="楷体" w:eastAsia="楷体"/>
          <w:sz w:val="24"/>
          <w:szCs w:val="24"/>
          <w:lang w:val="en-US" w:eastAsia="zh-CN"/>
        </w:rPr>
        <w:t>9</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十一、注册房地产估价师……………………………………………………9</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十二、实地查勘期……………………………………………………………9</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ascii="楷体" w:hAnsi="楷体" w:eastAsia="楷体"/>
          <w:sz w:val="24"/>
          <w:szCs w:val="24"/>
        </w:rPr>
      </w:pPr>
      <w:r>
        <w:rPr>
          <w:rFonts w:hint="eastAsia" w:ascii="楷体" w:hAnsi="楷体" w:eastAsia="楷体"/>
          <w:sz w:val="24"/>
          <w:szCs w:val="24"/>
        </w:rPr>
        <w:t xml:space="preserve">   十三、估价作业期………………………………………………………9</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314" w:firstLineChars="131"/>
        <w:jc w:val="distribute"/>
        <w:textAlignment w:val="auto"/>
        <w:rPr>
          <w:rFonts w:hint="default" w:ascii="楷体" w:hAnsi="楷体" w:eastAsia="楷体"/>
          <w:sz w:val="24"/>
          <w:szCs w:val="24"/>
          <w:lang w:val="en-US" w:eastAsia="zh-CN"/>
        </w:rPr>
      </w:pPr>
      <w:r>
        <w:rPr>
          <w:rFonts w:hint="eastAsia" w:ascii="楷体" w:hAnsi="楷体" w:eastAsia="楷体"/>
          <w:sz w:val="24"/>
          <w:szCs w:val="24"/>
        </w:rPr>
        <w:t>附件………………………………………………………………………………</w:t>
      </w:r>
      <w:r>
        <w:rPr>
          <w:rFonts w:hint="eastAsia" w:ascii="楷体" w:hAnsi="楷体" w:eastAsia="楷体"/>
          <w:sz w:val="24"/>
          <w:szCs w:val="24"/>
          <w:lang w:val="en-US" w:eastAsia="zh-CN"/>
        </w:rPr>
        <w:t>10</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楷体" w:hAnsi="楷体" w:eastAsia="楷体"/>
          <w:sz w:val="24"/>
        </w:rPr>
      </w:pPr>
      <w:r>
        <w:rPr>
          <w:rFonts w:hint="eastAsia" w:ascii="楷体" w:hAnsi="楷体" w:eastAsia="楷体"/>
          <w:sz w:val="24"/>
          <w:szCs w:val="24"/>
        </w:rPr>
        <w:t xml:space="preserve">  </w:t>
      </w:r>
      <w:r>
        <w:rPr>
          <w:rFonts w:hint="eastAsia" w:ascii="楷体" w:hAnsi="楷体" w:eastAsia="楷体"/>
          <w:sz w:val="24"/>
        </w:rPr>
        <w:t>1、永定区人民法院出具的“</w:t>
      </w:r>
      <w:r>
        <w:rPr>
          <w:rFonts w:hint="eastAsia" w:ascii="楷体" w:hAnsi="楷体" w:eastAsia="楷体"/>
          <w:sz w:val="24"/>
          <w:lang w:eastAsia="zh-CN"/>
        </w:rPr>
        <w:t>（2022）闽0803执1089号</w:t>
      </w:r>
      <w:r>
        <w:rPr>
          <w:rFonts w:hint="eastAsia" w:ascii="楷体" w:hAnsi="楷体" w:eastAsia="楷体"/>
          <w:sz w:val="24"/>
        </w:rPr>
        <w:t>”《委托书》；</w:t>
      </w:r>
    </w:p>
    <w:p>
      <w:pPr>
        <w:keepNext w:val="0"/>
        <w:keepLines w:val="0"/>
        <w:pageBreakBefore w:val="0"/>
        <w:widowControl/>
        <w:kinsoku/>
        <w:wordWrap/>
        <w:overflowPunct/>
        <w:topLinePunct w:val="0"/>
        <w:autoSpaceDE/>
        <w:autoSpaceDN/>
        <w:bidi w:val="0"/>
        <w:adjustRightInd/>
        <w:snapToGrid/>
        <w:spacing w:line="440" w:lineRule="exact"/>
        <w:ind w:firstLine="720" w:firstLineChars="300"/>
        <w:textAlignment w:val="auto"/>
        <w:rPr>
          <w:rFonts w:ascii="楷体" w:hAnsi="楷体" w:eastAsia="楷体"/>
          <w:sz w:val="24"/>
        </w:rPr>
      </w:pPr>
      <w:r>
        <w:rPr>
          <w:rFonts w:hint="eastAsia" w:ascii="楷体" w:hAnsi="楷体" w:eastAsia="楷体"/>
          <w:sz w:val="24"/>
        </w:rPr>
        <w:t>2、永定区人民法院提供的“</w:t>
      </w:r>
      <w:r>
        <w:rPr>
          <w:rFonts w:hint="eastAsia" w:ascii="楷体" w:hAnsi="楷体" w:eastAsia="楷体"/>
          <w:sz w:val="24"/>
          <w:lang w:eastAsia="zh-CN"/>
        </w:rPr>
        <w:t>永房权证2014字第00230号</w:t>
      </w:r>
      <w:r>
        <w:rPr>
          <w:rFonts w:hint="eastAsia" w:ascii="楷体" w:hAnsi="楷体" w:eastAsia="楷体"/>
          <w:sz w:val="24"/>
        </w:rPr>
        <w:t>”《房屋所有权证》</w:t>
      </w:r>
      <w:r>
        <w:rPr>
          <w:rFonts w:hint="eastAsia" w:ascii="楷体" w:hAnsi="楷体" w:eastAsia="楷体"/>
          <w:sz w:val="24"/>
          <w:lang w:val="en-US" w:eastAsia="zh-CN"/>
        </w:rPr>
        <w:t>及龙岩市永定区不动产登记查询证明材料</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440" w:lineRule="exact"/>
        <w:ind w:firstLine="720" w:firstLineChars="300"/>
        <w:textAlignment w:val="auto"/>
        <w:rPr>
          <w:rFonts w:ascii="楷体" w:hAnsi="楷体" w:eastAsia="楷体"/>
          <w:sz w:val="24"/>
        </w:rPr>
      </w:pPr>
      <w:r>
        <w:rPr>
          <w:rFonts w:hint="eastAsia" w:ascii="楷体" w:hAnsi="楷体" w:eastAsia="楷体"/>
          <w:sz w:val="24"/>
        </w:rPr>
        <w:t>3、永定区人民法院提供的“</w:t>
      </w:r>
      <w:r>
        <w:rPr>
          <w:rFonts w:hint="eastAsia" w:ascii="楷体" w:hAnsi="楷体" w:eastAsia="楷体"/>
          <w:sz w:val="24"/>
          <w:lang w:eastAsia="zh-CN"/>
        </w:rPr>
        <w:t>永定国用（2014）第A5886号</w:t>
      </w:r>
      <w:r>
        <w:rPr>
          <w:rFonts w:hint="eastAsia" w:ascii="楷体" w:hAnsi="楷体" w:eastAsia="楷体"/>
          <w:sz w:val="24"/>
        </w:rPr>
        <w:t>”《国有土地使用证》</w:t>
      </w:r>
      <w:r>
        <w:rPr>
          <w:rFonts w:hint="eastAsia" w:ascii="楷体" w:hAnsi="楷体" w:eastAsia="楷体"/>
          <w:sz w:val="24"/>
          <w:lang w:val="en-US" w:eastAsia="zh-CN"/>
        </w:rPr>
        <w:t>及转让国有建设用地使用权变更登记表材料</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720" w:firstLineChars="300"/>
        <w:textAlignment w:val="auto"/>
        <w:rPr>
          <w:rFonts w:ascii="楷体" w:hAnsi="楷体" w:eastAsia="楷体"/>
          <w:sz w:val="24"/>
          <w:szCs w:val="24"/>
        </w:rPr>
      </w:pPr>
      <w:r>
        <w:rPr>
          <w:rFonts w:ascii="楷体" w:hAnsi="楷体" w:eastAsia="楷体"/>
          <w:sz w:val="24"/>
        </w:rPr>
        <w:t>4</w:t>
      </w:r>
      <w:r>
        <w:rPr>
          <w:rFonts w:hint="eastAsia" w:ascii="楷体" w:hAnsi="楷体" w:eastAsia="楷体"/>
          <w:sz w:val="24"/>
        </w:rPr>
        <w:t>、</w:t>
      </w:r>
      <w:r>
        <w:rPr>
          <w:rFonts w:hint="eastAsia" w:ascii="楷体" w:hAnsi="楷体" w:eastAsia="楷体"/>
          <w:sz w:val="24"/>
          <w:szCs w:val="24"/>
        </w:rPr>
        <w:t>估价对象位置示意图；</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720" w:firstLineChars="300"/>
        <w:textAlignment w:val="auto"/>
        <w:rPr>
          <w:rFonts w:ascii="楷体" w:hAnsi="楷体" w:eastAsia="楷体"/>
          <w:color w:val="000000"/>
          <w:sz w:val="24"/>
          <w:szCs w:val="24"/>
        </w:rPr>
      </w:pPr>
      <w:r>
        <w:rPr>
          <w:rFonts w:ascii="楷体" w:hAnsi="楷体" w:eastAsia="楷体"/>
          <w:color w:val="000000"/>
          <w:sz w:val="24"/>
          <w:szCs w:val="24"/>
        </w:rPr>
        <w:t>5</w:t>
      </w:r>
      <w:r>
        <w:rPr>
          <w:rFonts w:hint="eastAsia" w:ascii="楷体" w:hAnsi="楷体" w:eastAsia="楷体"/>
          <w:color w:val="000000"/>
          <w:sz w:val="24"/>
          <w:szCs w:val="24"/>
        </w:rPr>
        <w:t>、估价对象现状照片；</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720" w:firstLineChars="300"/>
        <w:textAlignment w:val="auto"/>
        <w:rPr>
          <w:rFonts w:ascii="楷体" w:hAnsi="楷体" w:eastAsia="楷体"/>
          <w:sz w:val="24"/>
        </w:rPr>
      </w:pPr>
      <w:r>
        <w:rPr>
          <w:rFonts w:ascii="楷体" w:hAnsi="楷体" w:eastAsia="楷体"/>
          <w:sz w:val="24"/>
        </w:rPr>
        <w:t>6</w:t>
      </w:r>
      <w:r>
        <w:rPr>
          <w:rFonts w:hint="eastAsia" w:ascii="楷体" w:hAnsi="楷体" w:eastAsia="楷体"/>
          <w:sz w:val="24"/>
        </w:rPr>
        <w:t>、专业帮助情况和相关专业意见</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720" w:firstLineChars="300"/>
        <w:textAlignment w:val="auto"/>
        <w:rPr>
          <w:rFonts w:ascii="楷体" w:hAnsi="楷体" w:eastAsia="楷体"/>
          <w:color w:val="000000"/>
          <w:sz w:val="24"/>
          <w:szCs w:val="24"/>
        </w:rPr>
      </w:pPr>
      <w:r>
        <w:rPr>
          <w:rFonts w:ascii="楷体" w:hAnsi="楷体" w:eastAsia="楷体"/>
          <w:color w:val="000000"/>
          <w:sz w:val="24"/>
          <w:szCs w:val="24"/>
        </w:rPr>
        <w:t>7</w:t>
      </w:r>
      <w:r>
        <w:rPr>
          <w:rFonts w:hint="eastAsia" w:ascii="楷体" w:hAnsi="楷体" w:eastAsia="楷体"/>
          <w:color w:val="000000"/>
          <w:sz w:val="24"/>
          <w:szCs w:val="24"/>
        </w:rPr>
        <w:t>、房地产估价机构营业执照和估价资质证书复印件；</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720" w:firstLineChars="300"/>
        <w:textAlignment w:val="auto"/>
        <w:rPr>
          <w:rFonts w:ascii="楷体" w:hAnsi="楷体" w:eastAsia="楷体"/>
          <w:b/>
          <w:color w:val="000000"/>
          <w:sz w:val="28"/>
          <w:szCs w:val="28"/>
        </w:rPr>
      </w:pPr>
      <w:r>
        <w:rPr>
          <w:rFonts w:ascii="楷体" w:hAnsi="楷体" w:eastAsia="楷体"/>
          <w:color w:val="000000"/>
          <w:sz w:val="24"/>
          <w:szCs w:val="24"/>
        </w:rPr>
        <w:t>8</w:t>
      </w:r>
      <w:r>
        <w:rPr>
          <w:rFonts w:hint="eastAsia" w:ascii="楷体" w:hAnsi="楷体" w:eastAsia="楷体"/>
          <w:color w:val="000000"/>
          <w:sz w:val="24"/>
          <w:szCs w:val="24"/>
        </w:rPr>
        <w:t>、注册房地产估价师注册证书复印件。</w:t>
      </w:r>
    </w:p>
    <w:p>
      <w:pPr>
        <w:keepNext w:val="0"/>
        <w:keepLines w:val="0"/>
        <w:pageBreakBefore w:val="0"/>
        <w:widowControl/>
        <w:kinsoku/>
        <w:wordWrap/>
        <w:overflowPunct/>
        <w:topLinePunct w:val="0"/>
        <w:autoSpaceDE/>
        <w:autoSpaceDN/>
        <w:bidi w:val="0"/>
        <w:adjustRightInd/>
        <w:snapToGrid/>
        <w:spacing w:line="440" w:lineRule="exact"/>
        <w:ind w:right="777" w:rightChars="370" w:firstLine="588" w:firstLineChars="280"/>
        <w:textAlignment w:val="auto"/>
        <w:rPr>
          <w:rFonts w:ascii="楷体" w:hAnsi="楷体" w:eastAsia="楷体"/>
        </w:rPr>
        <w:sectPr>
          <w:footerReference r:id="rId10" w:type="default"/>
          <w:endnotePr>
            <w:numFmt w:val="decimal"/>
          </w:endnotePr>
          <w:pgSz w:w="11906" w:h="16838"/>
          <w:pgMar w:top="1191" w:right="1106" w:bottom="1191" w:left="1622" w:header="635" w:footer="567" w:gutter="0"/>
          <w:pgNumType w:start="1"/>
          <w:cols w:space="720" w:num="1"/>
          <w:docGrid w:type="linesAndChars" w:linePitch="317" w:charSpace="0"/>
        </w:sectPr>
      </w:pPr>
    </w:p>
    <w:p>
      <w:pPr>
        <w:pStyle w:val="6"/>
        <w:spacing w:before="100" w:line="600" w:lineRule="exact"/>
        <w:jc w:val="center"/>
        <w:rPr>
          <w:rFonts w:ascii="楷体" w:hAnsi="楷体" w:eastAsia="楷体"/>
          <w:b/>
          <w:sz w:val="44"/>
          <w:szCs w:val="44"/>
        </w:rPr>
      </w:pPr>
    </w:p>
    <w:p>
      <w:pPr>
        <w:pStyle w:val="6"/>
        <w:spacing w:before="100" w:line="600" w:lineRule="exact"/>
        <w:jc w:val="center"/>
        <w:rPr>
          <w:rFonts w:ascii="楷体" w:hAnsi="楷体" w:eastAsia="楷体"/>
          <w:b/>
          <w:sz w:val="44"/>
          <w:szCs w:val="44"/>
        </w:rPr>
      </w:pPr>
      <w:r>
        <w:rPr>
          <w:rFonts w:hint="eastAsia" w:ascii="楷体" w:hAnsi="楷体" w:eastAsia="楷体"/>
          <w:b/>
          <w:sz w:val="44"/>
          <w:szCs w:val="44"/>
        </w:rPr>
        <w:t>估 价 师 声 明</w:t>
      </w:r>
    </w:p>
    <w:p>
      <w:pPr>
        <w:rPr>
          <w:rFonts w:ascii="楷体" w:hAnsi="楷体" w:eastAsia="楷体"/>
        </w:rPr>
      </w:pPr>
    </w:p>
    <w:p>
      <w:pPr>
        <w:rPr>
          <w:rFonts w:ascii="楷体" w:hAnsi="楷体" w:eastAsia="楷体"/>
        </w:rPr>
      </w:pPr>
    </w:p>
    <w:p>
      <w:pPr>
        <w:spacing w:line="560" w:lineRule="exact"/>
        <w:ind w:firstLine="600" w:firstLineChars="250"/>
        <w:rPr>
          <w:rFonts w:ascii="楷体" w:hAnsi="楷体" w:eastAsia="楷体"/>
          <w:sz w:val="24"/>
          <w:szCs w:val="24"/>
        </w:rPr>
      </w:pPr>
      <w:r>
        <w:rPr>
          <w:rFonts w:hint="eastAsia" w:ascii="楷体" w:hAnsi="楷体" w:eastAsia="楷体"/>
          <w:sz w:val="24"/>
          <w:szCs w:val="24"/>
        </w:rPr>
        <w:t>我们根据自己的专业知识和职业道德，在此郑重声明：</w:t>
      </w:r>
    </w:p>
    <w:p>
      <w:pPr>
        <w:spacing w:line="560" w:lineRule="exact"/>
        <w:ind w:firstLine="628" w:firstLineChars="262"/>
        <w:rPr>
          <w:rFonts w:ascii="楷体" w:hAnsi="楷体" w:eastAsia="楷体"/>
          <w:sz w:val="24"/>
        </w:rPr>
      </w:pPr>
      <w:r>
        <w:rPr>
          <w:rFonts w:hint="eastAsia" w:ascii="楷体" w:hAnsi="楷体" w:eastAsia="楷体"/>
          <w:sz w:val="24"/>
        </w:rPr>
        <w:t>1、就注册房地产估价师所知，我们在本估价报告中对事实的说明是真实和准确的，没有虚假记载、误导性陈述和重大遗漏。</w:t>
      </w:r>
    </w:p>
    <w:p>
      <w:pPr>
        <w:spacing w:line="560" w:lineRule="exact"/>
        <w:ind w:firstLine="628" w:firstLineChars="262"/>
        <w:rPr>
          <w:rFonts w:ascii="楷体" w:hAnsi="楷体" w:eastAsia="楷体"/>
          <w:sz w:val="24"/>
        </w:rPr>
      </w:pPr>
      <w:r>
        <w:rPr>
          <w:rFonts w:hint="eastAsia" w:ascii="楷体" w:hAnsi="楷体" w:eastAsia="楷体"/>
          <w:sz w:val="24"/>
        </w:rPr>
        <w:t>2、本估价报告中的分析、意见和结论是注册房地产估价师独立、客观、公正的专业分析、意见和结论，但受到本估价报告中已说明的估价假设和限制条件的限制。</w:t>
      </w:r>
    </w:p>
    <w:p>
      <w:pPr>
        <w:spacing w:line="560" w:lineRule="exact"/>
        <w:ind w:firstLine="628" w:firstLineChars="262"/>
        <w:rPr>
          <w:rFonts w:ascii="楷体" w:hAnsi="楷体" w:eastAsia="楷体"/>
          <w:sz w:val="24"/>
        </w:rPr>
      </w:pPr>
      <w:r>
        <w:rPr>
          <w:rFonts w:hint="eastAsia" w:ascii="楷体" w:hAnsi="楷体" w:eastAsia="楷体"/>
          <w:sz w:val="24"/>
        </w:rPr>
        <w:t>3、注册房地产估价师与本估价报告中的估价对象没有现实或潜在的利益，与估价委托人及估价利害关系人没有利害关系，也对估价报告中的估价对象、估价委托人及估价利害关系人没有偏见。</w:t>
      </w:r>
    </w:p>
    <w:p>
      <w:pPr>
        <w:spacing w:line="560" w:lineRule="exact"/>
        <w:ind w:firstLine="628" w:firstLineChars="262"/>
        <w:rPr>
          <w:rFonts w:ascii="楷体" w:hAnsi="楷体" w:eastAsia="楷体"/>
          <w:sz w:val="24"/>
        </w:rPr>
      </w:pPr>
      <w:r>
        <w:rPr>
          <w:rFonts w:hint="eastAsia" w:ascii="楷体" w:hAnsi="楷体" w:eastAsia="楷体"/>
          <w:sz w:val="24"/>
        </w:rPr>
        <w:t>4、我们是依照中华人民共和国国家标准《房地产估价规范》（GB/T50291-2015）、《房地产估价基本术语标准》（GB/T50899-2013）进行分析，形成意见和结论，撰写本估价报告。</w:t>
      </w:r>
    </w:p>
    <w:p>
      <w:pPr>
        <w:spacing w:line="560" w:lineRule="exact"/>
        <w:ind w:firstLine="628" w:firstLineChars="262"/>
        <w:rPr>
          <w:rFonts w:ascii="楷体" w:hAnsi="楷体" w:eastAsia="楷体"/>
          <w:sz w:val="24"/>
        </w:rPr>
      </w:pPr>
      <w:r>
        <w:rPr>
          <w:rFonts w:hint="eastAsia" w:ascii="楷体" w:hAnsi="楷体" w:eastAsia="楷体"/>
          <w:sz w:val="24"/>
          <w:lang w:val="en-US" w:eastAsia="zh-CN"/>
        </w:rPr>
        <w:t>5</w:t>
      </w:r>
      <w:r>
        <w:rPr>
          <w:rFonts w:hint="eastAsia" w:ascii="楷体" w:hAnsi="楷体" w:eastAsia="楷体"/>
          <w:sz w:val="24"/>
        </w:rPr>
        <w:t>、注册房地产估价师李启昌于</w:t>
      </w:r>
      <w:r>
        <w:rPr>
          <w:rFonts w:hint="eastAsia" w:ascii="楷体" w:hAnsi="楷体" w:eastAsia="楷体"/>
          <w:sz w:val="24"/>
          <w:szCs w:val="24"/>
          <w:lang w:eastAsia="zh-CN"/>
        </w:rPr>
        <w:t>2022年08月30日</w:t>
      </w:r>
      <w:r>
        <w:rPr>
          <w:rFonts w:hint="eastAsia" w:ascii="楷体" w:hAnsi="楷体" w:eastAsia="楷体"/>
          <w:sz w:val="24"/>
          <w:szCs w:val="24"/>
        </w:rPr>
        <w:t>对估价对象进行了现场勘查</w:t>
      </w:r>
      <w:r>
        <w:rPr>
          <w:rFonts w:hint="eastAsia" w:ascii="楷体" w:hAnsi="楷体" w:eastAsia="楷体"/>
          <w:color w:val="000000"/>
          <w:sz w:val="24"/>
          <w:szCs w:val="24"/>
        </w:rPr>
        <w:t>。</w:t>
      </w:r>
    </w:p>
    <w:p>
      <w:pPr>
        <w:spacing w:line="560" w:lineRule="exact"/>
        <w:ind w:firstLine="628" w:firstLineChars="262"/>
        <w:rPr>
          <w:rFonts w:ascii="楷体" w:hAnsi="楷体" w:eastAsia="楷体"/>
          <w:sz w:val="24"/>
        </w:rPr>
      </w:pPr>
      <w:r>
        <w:rPr>
          <w:rFonts w:hint="eastAsia" w:ascii="楷体" w:hAnsi="楷体" w:eastAsia="楷体"/>
          <w:sz w:val="24"/>
          <w:lang w:val="en-US" w:eastAsia="zh-CN"/>
        </w:rPr>
        <w:t>6</w:t>
      </w:r>
      <w:r>
        <w:rPr>
          <w:rFonts w:hint="eastAsia" w:ascii="楷体" w:hAnsi="楷体" w:eastAsia="楷体"/>
          <w:sz w:val="24"/>
        </w:rPr>
        <w:t>、没有人对本估价报告提供重要专业帮助。</w:t>
      </w:r>
    </w:p>
    <w:p>
      <w:pPr>
        <w:spacing w:line="500" w:lineRule="exact"/>
        <w:ind w:firstLine="628" w:firstLineChars="262"/>
        <w:rPr>
          <w:rFonts w:ascii="楷体" w:hAnsi="楷体" w:eastAsia="楷体"/>
          <w:sz w:val="24"/>
        </w:rPr>
        <w:sectPr>
          <w:footerReference r:id="rId12" w:type="first"/>
          <w:footerReference r:id="rId11" w:type="default"/>
          <w:endnotePr>
            <w:numFmt w:val="decimal"/>
          </w:endnotePr>
          <w:pgSz w:w="11906" w:h="16838"/>
          <w:pgMar w:top="1191" w:right="1106" w:bottom="1191" w:left="1622" w:header="635" w:footer="567" w:gutter="0"/>
          <w:pgNumType w:start="1"/>
          <w:cols w:space="720" w:num="1"/>
          <w:titlePg/>
          <w:docGrid w:type="linesAndChars" w:linePitch="317" w:charSpace="0"/>
        </w:sectPr>
      </w:pPr>
    </w:p>
    <w:p>
      <w:pPr>
        <w:spacing w:line="500" w:lineRule="exact"/>
        <w:ind w:firstLine="628" w:firstLineChars="262"/>
        <w:rPr>
          <w:rFonts w:ascii="楷体" w:hAnsi="楷体" w:eastAsia="楷体"/>
          <w:sz w:val="24"/>
        </w:rPr>
      </w:pPr>
    </w:p>
    <w:p>
      <w:pPr>
        <w:jc w:val="center"/>
        <w:rPr>
          <w:rFonts w:ascii="楷体" w:hAnsi="楷体" w:eastAsia="楷体"/>
          <w:b/>
          <w:bCs/>
          <w:color w:val="000000"/>
          <w:sz w:val="44"/>
        </w:rPr>
      </w:pPr>
      <w:r>
        <w:rPr>
          <w:rFonts w:hint="eastAsia" w:ascii="楷体" w:hAnsi="楷体" w:eastAsia="楷体"/>
          <w:b/>
          <w:bCs/>
          <w:color w:val="000000"/>
          <w:sz w:val="44"/>
        </w:rPr>
        <w:t>估价假设和限制条件</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
          <w:bCs/>
          <w:color w:val="000000"/>
          <w:sz w:val="24"/>
          <w:szCs w:val="24"/>
        </w:rPr>
      </w:pPr>
      <w:r>
        <w:rPr>
          <w:rFonts w:hint="eastAsia" w:ascii="楷体" w:hAnsi="楷体" w:eastAsia="楷体"/>
          <w:b/>
          <w:bCs/>
          <w:color w:val="000000"/>
          <w:sz w:val="24"/>
          <w:szCs w:val="24"/>
        </w:rPr>
        <w:t>一、估价假设</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rPr>
        <w:t>（一）一般假设</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bCs/>
          <w:color w:val="000000"/>
          <w:sz w:val="24"/>
          <w:szCs w:val="24"/>
        </w:rPr>
      </w:pPr>
      <w:r>
        <w:rPr>
          <w:rFonts w:hint="eastAsia" w:ascii="楷体" w:hAnsi="楷体" w:eastAsia="楷体"/>
          <w:bCs/>
          <w:color w:val="000000"/>
          <w:sz w:val="24"/>
          <w:szCs w:val="24"/>
        </w:rPr>
        <w:t>1、我们对估价所依据的估价委托人提供的估价对象权属、面积、用途等资料进行了检查，无理由怀疑其合法性、真实性、准确性和完整性，但未予核实，假定估价委托人提供的所有资料是合法、真实、准确和完整的，且估价对象可以在公开市场上自由转让。</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bCs/>
          <w:color w:val="000000"/>
          <w:sz w:val="24"/>
          <w:szCs w:val="24"/>
        </w:rPr>
      </w:pPr>
      <w:r>
        <w:rPr>
          <w:rFonts w:hint="eastAsia" w:ascii="楷体" w:hAnsi="楷体" w:eastAsia="楷体"/>
          <w:bCs/>
          <w:color w:val="000000"/>
          <w:sz w:val="24"/>
          <w:szCs w:val="24"/>
        </w:rPr>
        <w:t>2、估价委托人引领估价人员实地查勘的估价对象与委托估价的估价对象一致，具有唯一性。</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bCs/>
          <w:color w:val="000000"/>
          <w:sz w:val="24"/>
          <w:szCs w:val="24"/>
        </w:rPr>
      </w:pPr>
      <w:r>
        <w:rPr>
          <w:rFonts w:hint="eastAsia" w:ascii="楷体" w:hAnsi="楷体" w:eastAsia="楷体"/>
          <w:bCs/>
          <w:color w:val="000000"/>
          <w:sz w:val="24"/>
          <w:szCs w:val="24"/>
        </w:rPr>
        <w:t>3、关注了估价对象的房屋安全、环境污染等影响估价对象价值的重大因素，经实地查勘并依常规判断，假定估价对象质量及居住环境是安全的，在耐用年限或土地使用期限内能够正常使用。</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sz w:val="24"/>
        </w:rPr>
      </w:pPr>
      <w:r>
        <w:rPr>
          <w:rFonts w:hint="eastAsia" w:ascii="楷体" w:hAnsi="楷体" w:eastAsia="楷体"/>
          <w:bCs/>
          <w:color w:val="000000"/>
          <w:sz w:val="24"/>
          <w:szCs w:val="24"/>
        </w:rPr>
        <w:t>4、于价值时点，委托人未能提供估价对象是否存在租赁权及占有使用的情况；现场勘查，估价对象被查封、现状自用，估价人员通过尽职调查、未发现估价对象可能存在租赁权及占有使用情况；故本次评估</w:t>
      </w:r>
      <w:r>
        <w:rPr>
          <w:rFonts w:hint="eastAsia" w:ascii="楷体" w:hAnsi="楷体" w:eastAsia="楷体"/>
          <w:sz w:val="24"/>
        </w:rPr>
        <w:t>根据中房协关于印发《涉执房地产处置司法评估指导意见（试行）》的通知，设定估价对象不存在租赁权及占有使用的情况。</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sz w:val="24"/>
        </w:rPr>
      </w:pPr>
      <w:r>
        <w:rPr>
          <w:rFonts w:hint="eastAsia" w:ascii="楷体" w:hAnsi="楷体" w:eastAsia="楷体"/>
          <w:sz w:val="24"/>
        </w:rPr>
        <w:t>5、于价值时点，委托人未能明确估价对象是否存在欠缴税金及相关费用的情况，本次评估，假设估价对象不存在欠缴税金及相关费用的情况。</w:t>
      </w:r>
    </w:p>
    <w:p>
      <w:pPr>
        <w:keepNext w:val="0"/>
        <w:keepLines w:val="0"/>
        <w:pageBreakBefore w:val="0"/>
        <w:widowControl/>
        <w:kinsoku/>
        <w:wordWrap/>
        <w:overflowPunct/>
        <w:topLinePunct w:val="0"/>
        <w:autoSpaceDE/>
        <w:autoSpaceDN/>
        <w:bidi w:val="0"/>
        <w:adjustRightInd/>
        <w:snapToGrid/>
        <w:spacing w:line="460" w:lineRule="exact"/>
        <w:ind w:firstLine="630"/>
        <w:textAlignment w:val="auto"/>
        <w:rPr>
          <w:rFonts w:ascii="楷体" w:hAnsi="楷体" w:eastAsia="楷体"/>
          <w:sz w:val="24"/>
        </w:rPr>
      </w:pPr>
      <w:r>
        <w:rPr>
          <w:rFonts w:hint="eastAsia" w:ascii="楷体" w:hAnsi="楷体" w:eastAsia="楷体"/>
          <w:sz w:val="24"/>
        </w:rPr>
        <w:t>6、估价对象为整个房地产中的一部分，本报告以估价对象应享有公共部位的通行权及水电等共用设施的使用权为假设前提。</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hint="default" w:ascii="楷体" w:hAnsi="楷体" w:eastAsia="楷体"/>
          <w:bCs/>
          <w:color w:val="000000"/>
          <w:sz w:val="24"/>
          <w:szCs w:val="24"/>
          <w:lang w:val="en-US" w:eastAsia="zh-CN"/>
        </w:rPr>
      </w:pPr>
      <w:r>
        <w:rPr>
          <w:rFonts w:hint="eastAsia" w:ascii="楷体" w:hAnsi="楷体" w:eastAsia="楷体"/>
          <w:bCs/>
          <w:color w:val="000000"/>
          <w:sz w:val="24"/>
          <w:szCs w:val="24"/>
        </w:rPr>
        <w:t>（二）未定事项假设：</w:t>
      </w:r>
      <w:r>
        <w:rPr>
          <w:rFonts w:hint="eastAsia" w:ascii="楷体" w:hAnsi="楷体" w:eastAsia="楷体"/>
          <w:bCs/>
          <w:color w:val="000000"/>
          <w:sz w:val="24"/>
          <w:szCs w:val="24"/>
          <w:lang w:val="en-US" w:eastAsia="zh-CN"/>
        </w:rPr>
        <w:t>无未定事项假设。</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楷体" w:hAnsi="楷体" w:eastAsia="楷体"/>
          <w:bCs/>
          <w:color w:val="000000"/>
          <w:sz w:val="24"/>
          <w:szCs w:val="24"/>
        </w:rPr>
      </w:pPr>
      <w:r>
        <w:rPr>
          <w:rFonts w:hint="eastAsia" w:ascii="楷体" w:hAnsi="楷体" w:eastAsia="楷体"/>
          <w:bCs/>
          <w:color w:val="000000"/>
          <w:sz w:val="24"/>
          <w:szCs w:val="24"/>
        </w:rPr>
        <w:t>（三）背离事实假设：</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楷体" w:hAnsi="楷体" w:eastAsia="楷体"/>
          <w:sz w:val="24"/>
          <w:szCs w:val="24"/>
        </w:rPr>
      </w:pPr>
      <w:r>
        <w:rPr>
          <w:rFonts w:hint="eastAsia" w:ascii="楷体" w:hAnsi="楷体" w:eastAsia="楷体"/>
          <w:bCs/>
          <w:color w:val="000000"/>
          <w:sz w:val="24"/>
          <w:szCs w:val="24"/>
        </w:rPr>
        <w:t>1、于价值时点，</w:t>
      </w:r>
      <w:r>
        <w:rPr>
          <w:rFonts w:hint="eastAsia" w:ascii="楷体" w:hAnsi="楷体" w:eastAsia="楷体"/>
          <w:bCs/>
          <w:color w:val="000000"/>
          <w:sz w:val="24"/>
          <w:szCs w:val="24"/>
          <w:lang w:val="en-US" w:eastAsia="zh-CN"/>
        </w:rPr>
        <w:t>估价对象已设定抵押权，具体金额不详</w:t>
      </w:r>
      <w:r>
        <w:rPr>
          <w:rFonts w:hint="eastAsia" w:ascii="楷体" w:hAnsi="楷体" w:eastAsia="楷体"/>
          <w:bCs/>
          <w:color w:val="000000"/>
          <w:sz w:val="24"/>
          <w:szCs w:val="24"/>
        </w:rPr>
        <w:t>；本次评估</w:t>
      </w:r>
      <w:r>
        <w:rPr>
          <w:rFonts w:hint="eastAsia" w:ascii="楷体" w:hAnsi="楷体" w:eastAsia="楷体"/>
          <w:sz w:val="24"/>
        </w:rPr>
        <w:t>根据中房协关于印发《涉执房地产处置司法评估指导意见（试行）》的通知，</w:t>
      </w:r>
      <w:r>
        <w:rPr>
          <w:rFonts w:hint="eastAsia" w:ascii="楷体" w:hAnsi="楷体" w:eastAsia="楷体"/>
          <w:sz w:val="24"/>
          <w:szCs w:val="24"/>
        </w:rPr>
        <w:t>未考虑估价对象被查封以及原有的担保物权和其他优先受偿款对评估值所产生的影响。</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楷体" w:hAnsi="楷体" w:eastAsia="楷体"/>
          <w:bCs/>
          <w:color w:val="000000"/>
          <w:sz w:val="24"/>
          <w:szCs w:val="24"/>
        </w:rPr>
      </w:pPr>
      <w:r>
        <w:rPr>
          <w:rFonts w:hint="eastAsia" w:ascii="楷体" w:hAnsi="楷体" w:eastAsia="楷体"/>
          <w:bCs/>
          <w:color w:val="000000"/>
          <w:sz w:val="24"/>
          <w:szCs w:val="24"/>
        </w:rPr>
        <w:t>（四）不相一致假设：</w:t>
      </w:r>
      <w:r>
        <w:rPr>
          <w:rFonts w:hint="eastAsia" w:ascii="楷体" w:hAnsi="楷体" w:eastAsia="楷体"/>
          <w:sz w:val="24"/>
          <w:szCs w:val="24"/>
          <w:lang w:val="en-US" w:eastAsia="zh-CN"/>
        </w:rPr>
        <w:t>根据委托人提供的资料，《房屋所有权证》证载估价对象房屋建筑用途为商住（一层店面、二层以上为住宅）、《土地使用权证》证载估价对象地类用途为住宅，权属证明材料证载用途不相一致；根据委托人提供的《转让国有建设用地使用权变更登记》材料，估价对象实际用途为住宅用地，且根据现场勘查，估价对象周边区域一层建筑基本为住宅配套，故本次评估设定估价对象一层为住宅房地产；若上述设定与相关有权部门所确认的不符、则应与相关有权部门所确定的为准、并相应调整本评估报告评估值。</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楷体" w:hAnsi="楷体" w:eastAsia="楷体"/>
          <w:color w:val="000000"/>
          <w:sz w:val="24"/>
          <w:szCs w:val="24"/>
        </w:rPr>
      </w:pPr>
      <w:r>
        <w:rPr>
          <w:rFonts w:hint="eastAsia" w:ascii="楷体" w:hAnsi="楷体" w:eastAsia="楷体"/>
          <w:bCs/>
          <w:color w:val="000000"/>
          <w:sz w:val="24"/>
          <w:szCs w:val="24"/>
        </w:rPr>
        <w:t>（五）依据不足</w:t>
      </w:r>
      <w:r>
        <w:rPr>
          <w:rFonts w:hint="eastAsia" w:ascii="楷体" w:hAnsi="楷体" w:eastAsia="楷体"/>
          <w:color w:val="000000"/>
          <w:sz w:val="24"/>
          <w:szCs w:val="24"/>
        </w:rPr>
        <w:t>假设：</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rPr>
        <w:t>可比实例的规划条件、室内二次装修年份等资料，因调查难度极大，其有关描述及调整只能根据注册房地产估价师实地查勘的经验判断。</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rPr>
      </w:pPr>
      <w:r>
        <w:rPr>
          <w:rFonts w:hint="eastAsia" w:ascii="楷体" w:hAnsi="楷体" w:eastAsia="楷体"/>
          <w:b/>
          <w:bCs/>
          <w:color w:val="000000"/>
          <w:sz w:val="24"/>
        </w:rPr>
        <w:t>二、估价报告使用限制</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rPr>
        <w:t>1、本估价报告仅作为本次估价目的之使用，不作为其他任何用途使用，若改变估价条件和估价目的或作为其他用途由本报告无效，由此造成的一切损失，本公司不承担任何责任。</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rPr>
        <w:t>2、</w:t>
      </w:r>
      <w:r>
        <w:rPr>
          <w:rFonts w:hint="eastAsia" w:ascii="楷体" w:hAnsi="楷体" w:eastAsia="楷体"/>
          <w:sz w:val="24"/>
          <w:szCs w:val="24"/>
        </w:rPr>
        <w:t>根据委托人要求，本次估价对象拍卖成交的过户税费全部由买受人承担，</w:t>
      </w:r>
      <w:r>
        <w:rPr>
          <w:rFonts w:hint="eastAsia" w:ascii="楷体" w:hAnsi="楷体" w:eastAsia="楷体"/>
          <w:bCs/>
          <w:color w:val="000000"/>
          <w:sz w:val="24"/>
          <w:szCs w:val="24"/>
        </w:rPr>
        <w:t>本次估价测算的预期处置税费为估价对象于价值时点以评估</w:t>
      </w:r>
      <w:r>
        <w:rPr>
          <w:rFonts w:hint="eastAsia" w:ascii="楷体" w:hAnsi="楷体" w:eastAsia="楷体"/>
          <w:bCs/>
          <w:color w:val="000000"/>
          <w:sz w:val="24"/>
          <w:szCs w:val="24"/>
          <w:lang w:eastAsia="zh-CN"/>
        </w:rPr>
        <w:t>市场价格</w:t>
      </w:r>
      <w:r>
        <w:rPr>
          <w:rFonts w:hint="eastAsia" w:ascii="楷体" w:hAnsi="楷体" w:eastAsia="楷体"/>
          <w:bCs/>
          <w:color w:val="000000"/>
          <w:sz w:val="24"/>
          <w:szCs w:val="24"/>
        </w:rPr>
        <w:t>进入市场转让时，买受人需负担的主要交易税费，仅供参考，其实际处置时买受人负担的税费应以有关部门计算为准。</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hint="eastAsia" w:ascii="楷体" w:hAnsi="楷体" w:eastAsia="楷体"/>
          <w:bCs/>
          <w:sz w:val="24"/>
          <w:szCs w:val="24"/>
        </w:rPr>
      </w:pPr>
      <w:r>
        <w:rPr>
          <w:rFonts w:hint="eastAsia" w:ascii="楷体" w:hAnsi="楷体" w:eastAsia="楷体"/>
          <w:bCs/>
          <w:sz w:val="24"/>
          <w:szCs w:val="24"/>
          <w:lang w:val="en-US" w:eastAsia="zh-CN"/>
        </w:rPr>
        <w:t>3</w:t>
      </w:r>
      <w:r>
        <w:rPr>
          <w:rFonts w:hint="eastAsia" w:ascii="楷体" w:hAnsi="楷体" w:eastAsia="楷体"/>
          <w:bCs/>
          <w:sz w:val="24"/>
          <w:szCs w:val="24"/>
        </w:rPr>
        <w:t>、若因估价程序或者估价依据的不完备，并非因注册房地产估价师的主观过错造成，则当事人不得对评估工作的固有瑕疵提出质疑，也不得因此对估价机构及其注册房地产估价师提出评估不当的指控，当事人应承担房地产司法评估结果可能带来的法律后果。</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hint="eastAsia" w:ascii="楷体" w:hAnsi="楷体" w:eastAsia="楷体"/>
          <w:bCs/>
          <w:sz w:val="24"/>
          <w:szCs w:val="24"/>
        </w:rPr>
      </w:pPr>
      <w:r>
        <w:rPr>
          <w:rFonts w:hint="eastAsia" w:ascii="楷体" w:hAnsi="楷体" w:eastAsia="楷体"/>
          <w:bCs/>
          <w:sz w:val="24"/>
          <w:szCs w:val="24"/>
          <w:lang w:val="en-US" w:eastAsia="zh-CN"/>
        </w:rPr>
        <w:t>4</w:t>
      </w:r>
      <w:r>
        <w:rPr>
          <w:rFonts w:hint="eastAsia" w:ascii="楷体" w:hAnsi="楷体" w:eastAsia="楷体"/>
          <w:bCs/>
          <w:sz w:val="24"/>
          <w:szCs w:val="24"/>
        </w:rPr>
        <w:t>、估价报告使用者为估价委托人（龙岩市永定区人民法院）。</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lang w:val="en-US" w:eastAsia="zh-CN"/>
        </w:rPr>
        <w:t>5</w:t>
      </w:r>
      <w:r>
        <w:rPr>
          <w:rFonts w:hint="eastAsia" w:ascii="楷体" w:hAnsi="楷体" w:eastAsia="楷体"/>
          <w:bCs/>
          <w:sz w:val="24"/>
          <w:szCs w:val="24"/>
        </w:rPr>
        <w:t>、估价对象存在可能影响估价结果的瑕疵事项，估价委托人未作特别说明而估价人员根据其执业经验一般无法知晓时，估价机构和估价人员不承担责任。</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lang w:val="en-US" w:eastAsia="zh-CN"/>
        </w:rPr>
        <w:t>6</w:t>
      </w:r>
      <w:r>
        <w:rPr>
          <w:rFonts w:hint="eastAsia" w:ascii="楷体" w:hAnsi="楷体" w:eastAsia="楷体"/>
          <w:bCs/>
          <w:sz w:val="24"/>
          <w:szCs w:val="24"/>
        </w:rPr>
        <w:t>、估价报告书使用方在使用本报告时，因忽视本报告揭示的相关事项所引发的责任，本估价机构及估价人员不负责承担。</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z w:val="24"/>
          <w:szCs w:val="24"/>
        </w:rPr>
      </w:pPr>
      <w:r>
        <w:rPr>
          <w:rFonts w:hint="eastAsia" w:ascii="楷体" w:hAnsi="楷体" w:eastAsia="楷体"/>
          <w:bCs/>
          <w:sz w:val="24"/>
          <w:szCs w:val="24"/>
          <w:lang w:val="en-US" w:eastAsia="zh-CN"/>
        </w:rPr>
        <w:t>7</w:t>
      </w:r>
      <w:r>
        <w:rPr>
          <w:rFonts w:hint="eastAsia" w:ascii="楷体" w:hAnsi="楷体" w:eastAsia="楷体"/>
          <w:bCs/>
          <w:sz w:val="24"/>
          <w:szCs w:val="24"/>
        </w:rPr>
        <w:t>、未经本估价机构书面同意，任何单位或个人不得将本报告的全部或部分内容发表于任何公开媒体上。</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bCs/>
          <w:spacing w:val="-11"/>
          <w:sz w:val="24"/>
          <w:szCs w:val="24"/>
        </w:rPr>
      </w:pPr>
      <w:r>
        <w:rPr>
          <w:rFonts w:hint="eastAsia" w:ascii="楷体" w:hAnsi="楷体" w:eastAsia="楷体"/>
          <w:bCs/>
          <w:sz w:val="24"/>
          <w:szCs w:val="24"/>
          <w:lang w:val="en-US" w:eastAsia="zh-CN"/>
        </w:rPr>
        <w:t>8</w:t>
      </w:r>
      <w:r>
        <w:rPr>
          <w:rFonts w:hint="eastAsia" w:ascii="楷体" w:hAnsi="楷体" w:eastAsia="楷体"/>
          <w:bCs/>
          <w:sz w:val="24"/>
          <w:szCs w:val="24"/>
        </w:rPr>
        <w:t>、</w:t>
      </w:r>
      <w:r>
        <w:rPr>
          <w:rFonts w:hint="eastAsia" w:ascii="楷体" w:hAnsi="楷体" w:eastAsia="楷体"/>
          <w:bCs/>
          <w:spacing w:val="-11"/>
          <w:sz w:val="24"/>
          <w:szCs w:val="24"/>
        </w:rPr>
        <w:t xml:space="preserve">本估价报告需经估价机构加盖公章、法定代表人签字（或盖章）及注册房地产估价师签名后方可有效。本估价报告使用权归估价委托人所有，本公司对估价结果享有最终解释权。 </w:t>
      </w:r>
    </w:p>
    <w:p>
      <w:pPr>
        <w:keepNext w:val="0"/>
        <w:keepLines w:val="0"/>
        <w:pageBreakBefore w:val="0"/>
        <w:widowControl/>
        <w:kinsoku/>
        <w:wordWrap/>
        <w:overflowPunct/>
        <w:topLinePunct w:val="0"/>
        <w:autoSpaceDE/>
        <w:autoSpaceDN/>
        <w:bidi w:val="0"/>
        <w:adjustRightInd/>
        <w:snapToGrid/>
        <w:spacing w:line="460" w:lineRule="exact"/>
        <w:ind w:firstLine="470" w:firstLineChars="196"/>
        <w:textAlignment w:val="auto"/>
        <w:rPr>
          <w:rFonts w:ascii="楷体" w:hAnsi="楷体" w:eastAsia="楷体"/>
          <w:color w:val="FF0000"/>
          <w:sz w:val="24"/>
          <w:szCs w:val="24"/>
        </w:rPr>
      </w:pPr>
      <w:r>
        <w:rPr>
          <w:rFonts w:hint="eastAsia" w:ascii="楷体" w:hAnsi="楷体" w:eastAsia="楷体"/>
          <w:bCs/>
          <w:sz w:val="24"/>
          <w:szCs w:val="24"/>
          <w:lang w:val="en-US" w:eastAsia="zh-CN"/>
        </w:rPr>
        <w:t>9</w:t>
      </w:r>
      <w:r>
        <w:rPr>
          <w:rFonts w:hint="eastAsia" w:ascii="楷体" w:hAnsi="楷体" w:eastAsia="楷体"/>
          <w:bCs/>
          <w:sz w:val="24"/>
          <w:szCs w:val="24"/>
        </w:rPr>
        <w:t>、</w:t>
      </w:r>
      <w:r>
        <w:rPr>
          <w:rFonts w:hint="eastAsia" w:ascii="楷体" w:hAnsi="楷体" w:eastAsia="楷体"/>
          <w:sz w:val="24"/>
          <w:szCs w:val="24"/>
        </w:rPr>
        <w:t>本估价报告使用期限自</w:t>
      </w:r>
      <w:r>
        <w:rPr>
          <w:rFonts w:hint="eastAsia" w:ascii="楷体" w:hAnsi="楷体" w:eastAsia="楷体"/>
          <w:sz w:val="24"/>
          <w:szCs w:val="24"/>
          <w:lang w:eastAsia="zh-CN"/>
        </w:rPr>
        <w:t>2022年09月06日</w:t>
      </w:r>
      <w:r>
        <w:rPr>
          <w:rFonts w:hint="eastAsia" w:ascii="楷体" w:hAnsi="楷体" w:eastAsia="楷体"/>
          <w:sz w:val="24"/>
          <w:szCs w:val="24"/>
        </w:rPr>
        <w:t>起至</w:t>
      </w:r>
      <w:r>
        <w:rPr>
          <w:rFonts w:hint="eastAsia" w:ascii="楷体" w:hAnsi="楷体" w:eastAsia="楷体"/>
          <w:sz w:val="24"/>
          <w:szCs w:val="24"/>
          <w:lang w:eastAsia="zh-CN"/>
        </w:rPr>
        <w:t>2023年09月05日</w:t>
      </w:r>
      <w:r>
        <w:rPr>
          <w:rFonts w:hint="eastAsia" w:ascii="楷体" w:hAnsi="楷体" w:eastAsia="楷体"/>
          <w:sz w:val="24"/>
          <w:szCs w:val="24"/>
        </w:rPr>
        <w:t>止。</w:t>
      </w:r>
    </w:p>
    <w:p>
      <w:pPr>
        <w:pStyle w:val="4"/>
        <w:spacing w:line="454" w:lineRule="exact"/>
        <w:ind w:left="0" w:leftChars="0" w:firstLine="0" w:firstLineChars="0"/>
        <w:jc w:val="center"/>
        <w:rPr>
          <w:rFonts w:ascii="楷体" w:hAnsi="楷体" w:eastAsia="楷体"/>
        </w:rPr>
      </w:pPr>
      <w:r>
        <w:rPr>
          <w:rFonts w:hint="eastAsia" w:ascii="楷体" w:hAnsi="楷体" w:eastAsia="楷体"/>
        </w:rPr>
        <w:br w:type="page"/>
      </w:r>
    </w:p>
    <w:p>
      <w:pPr>
        <w:pStyle w:val="4"/>
        <w:spacing w:line="454" w:lineRule="exact"/>
        <w:ind w:left="0" w:leftChars="0" w:firstLine="0" w:firstLineChars="0"/>
        <w:jc w:val="center"/>
        <w:rPr>
          <w:rFonts w:hint="eastAsia" w:ascii="楷体" w:hAnsi="楷体" w:eastAsia="楷体"/>
          <w:b/>
          <w:color w:val="000000"/>
          <w:sz w:val="44"/>
          <w:szCs w:val="44"/>
        </w:rPr>
      </w:pPr>
    </w:p>
    <w:p>
      <w:pPr>
        <w:pStyle w:val="4"/>
        <w:spacing w:line="454" w:lineRule="exact"/>
        <w:ind w:left="0" w:leftChars="0" w:firstLine="0" w:firstLineChars="0"/>
        <w:jc w:val="center"/>
        <w:rPr>
          <w:rFonts w:ascii="楷体" w:hAnsi="楷体" w:eastAsia="楷体"/>
          <w:b/>
          <w:color w:val="000000"/>
          <w:sz w:val="44"/>
          <w:szCs w:val="44"/>
        </w:rPr>
      </w:pPr>
      <w:r>
        <w:rPr>
          <w:rFonts w:hint="eastAsia" w:ascii="楷体" w:hAnsi="楷体" w:eastAsia="楷体"/>
          <w:b/>
          <w:color w:val="000000"/>
          <w:sz w:val="44"/>
          <w:szCs w:val="44"/>
        </w:rPr>
        <w:t>估价结果报告</w:t>
      </w:r>
    </w:p>
    <w:p>
      <w:pPr>
        <w:spacing w:line="440" w:lineRule="exact"/>
        <w:ind w:firstLine="588" w:firstLineChars="245"/>
        <w:rPr>
          <w:rFonts w:ascii="楷体" w:hAnsi="楷体" w:eastAsia="楷体"/>
          <w:b/>
          <w:bCs/>
          <w:color w:val="000000"/>
          <w:sz w:val="24"/>
        </w:rPr>
      </w:pPr>
      <w:r>
        <w:rPr>
          <w:rFonts w:hint="eastAsia" w:ascii="楷体" w:hAnsi="楷体" w:eastAsia="楷体"/>
          <w:b/>
          <w:bCs/>
          <w:color w:val="000000"/>
          <w:sz w:val="24"/>
        </w:rPr>
        <w:t>一、估价委托人及相关当事人</w:t>
      </w:r>
    </w:p>
    <w:p>
      <w:pPr>
        <w:spacing w:line="440" w:lineRule="exact"/>
        <w:ind w:firstLine="588" w:firstLineChars="245"/>
        <w:rPr>
          <w:rFonts w:ascii="楷体" w:hAnsi="楷体" w:eastAsia="楷体"/>
          <w:color w:val="000000"/>
          <w:sz w:val="24"/>
        </w:rPr>
      </w:pPr>
      <w:r>
        <w:rPr>
          <w:rFonts w:hint="eastAsia" w:ascii="楷体" w:hAnsi="楷体" w:eastAsia="楷体"/>
          <w:color w:val="000000"/>
          <w:sz w:val="24"/>
        </w:rPr>
        <w:t>1、估价委托人：龙岩市永定区人民法院</w:t>
      </w:r>
    </w:p>
    <w:p>
      <w:pPr>
        <w:spacing w:line="440" w:lineRule="exact"/>
        <w:ind w:firstLine="588" w:firstLineChars="245"/>
        <w:rPr>
          <w:rFonts w:hint="default" w:ascii="楷体" w:hAnsi="楷体" w:eastAsia="楷体"/>
          <w:sz w:val="24"/>
          <w:lang w:val="en-US" w:eastAsia="zh-CN"/>
        </w:rPr>
      </w:pPr>
      <w:r>
        <w:rPr>
          <w:rFonts w:hint="eastAsia" w:ascii="楷体" w:hAnsi="楷体" w:eastAsia="楷体"/>
          <w:sz w:val="24"/>
        </w:rPr>
        <w:t>2、申请执行人：</w:t>
      </w:r>
      <w:r>
        <w:rPr>
          <w:rFonts w:hint="eastAsia" w:ascii="楷体" w:hAnsi="楷体" w:eastAsia="楷体"/>
          <w:sz w:val="24"/>
          <w:lang w:val="en-US" w:eastAsia="zh-CN"/>
        </w:rPr>
        <w:t>中国农业银行股份有限公司龙岩永定支行</w:t>
      </w:r>
    </w:p>
    <w:p>
      <w:pPr>
        <w:spacing w:line="440" w:lineRule="exact"/>
        <w:ind w:firstLine="588" w:firstLineChars="245"/>
        <w:rPr>
          <w:rFonts w:hint="default" w:ascii="楷体" w:hAnsi="楷体" w:eastAsia="楷体"/>
          <w:sz w:val="24"/>
          <w:lang w:val="en-US" w:eastAsia="zh-CN"/>
        </w:rPr>
      </w:pPr>
      <w:r>
        <w:rPr>
          <w:rFonts w:hint="eastAsia" w:ascii="楷体" w:hAnsi="楷体" w:eastAsia="楷体"/>
          <w:sz w:val="24"/>
        </w:rPr>
        <w:t>3、被执行人:</w:t>
      </w:r>
      <w:r>
        <w:rPr>
          <w:rFonts w:hint="eastAsia" w:ascii="楷体" w:hAnsi="楷体" w:eastAsia="楷体"/>
          <w:color w:val="000000"/>
          <w:sz w:val="24"/>
        </w:rPr>
        <w:t xml:space="preserve"> </w:t>
      </w:r>
      <w:r>
        <w:rPr>
          <w:rFonts w:hint="eastAsia" w:ascii="楷体" w:hAnsi="楷体" w:eastAsia="楷体"/>
          <w:color w:val="000000"/>
          <w:sz w:val="24"/>
          <w:lang w:val="en-US" w:eastAsia="zh-CN"/>
        </w:rPr>
        <w:t>郑华、赖小荣、李宏</w:t>
      </w:r>
    </w:p>
    <w:p>
      <w:pPr>
        <w:spacing w:line="440" w:lineRule="exact"/>
        <w:ind w:firstLine="588" w:firstLineChars="245"/>
        <w:rPr>
          <w:rFonts w:hint="default" w:ascii="楷体" w:hAnsi="楷体" w:eastAsia="楷体"/>
          <w:sz w:val="24"/>
          <w:lang w:val="en-US" w:eastAsia="zh-CN"/>
        </w:rPr>
      </w:pPr>
      <w:r>
        <w:rPr>
          <w:rFonts w:hint="eastAsia" w:ascii="楷体" w:hAnsi="楷体" w:eastAsia="楷体"/>
          <w:sz w:val="24"/>
        </w:rPr>
        <w:t>4、权属人：</w:t>
      </w:r>
      <w:r>
        <w:rPr>
          <w:rFonts w:hint="eastAsia" w:ascii="楷体" w:hAnsi="楷体" w:eastAsia="楷体" w:cs="楷体"/>
          <w:sz w:val="24"/>
          <w:szCs w:val="24"/>
          <w:lang w:eastAsia="zh-CN"/>
        </w:rPr>
        <w:t>李宏</w:t>
      </w:r>
    </w:p>
    <w:p>
      <w:pPr>
        <w:spacing w:line="440" w:lineRule="exact"/>
        <w:ind w:firstLine="588" w:firstLineChars="245"/>
        <w:rPr>
          <w:rFonts w:ascii="楷体" w:hAnsi="楷体" w:eastAsia="楷体"/>
          <w:b/>
          <w:bCs/>
          <w:color w:val="000000"/>
          <w:sz w:val="24"/>
        </w:rPr>
      </w:pPr>
      <w:r>
        <w:rPr>
          <w:rFonts w:hint="eastAsia" w:ascii="楷体" w:hAnsi="楷体" w:eastAsia="楷体"/>
          <w:b/>
          <w:bCs/>
          <w:color w:val="000000"/>
          <w:sz w:val="24"/>
        </w:rPr>
        <w:t>二、房地产估价机构</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估价机构名称：福建明鉴资产评估房地产土地估价有限公司</w:t>
      </w:r>
    </w:p>
    <w:p>
      <w:pPr>
        <w:spacing w:line="440" w:lineRule="exact"/>
        <w:ind w:left="522" w:leftChars="249" w:firstLine="2"/>
        <w:rPr>
          <w:rFonts w:ascii="楷体" w:hAnsi="楷体" w:eastAsia="楷体"/>
          <w:color w:val="000000"/>
          <w:sz w:val="24"/>
        </w:rPr>
      </w:pPr>
      <w:r>
        <w:rPr>
          <w:rFonts w:hint="eastAsia" w:ascii="楷体" w:hAnsi="楷体" w:eastAsia="楷体"/>
          <w:color w:val="000000"/>
          <w:sz w:val="24"/>
        </w:rPr>
        <w:t>住所：福建省龙岩市新罗区西陂镇天平路58号太古广场7层702室（龙岩经济技术开发区A）</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法定代表人：郑建平</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资质等级：一级</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资质证书编号：352019031</w:t>
      </w:r>
    </w:p>
    <w:p>
      <w:pPr>
        <w:spacing w:line="440" w:lineRule="exact"/>
        <w:ind w:firstLine="520" w:firstLineChars="217"/>
        <w:rPr>
          <w:rFonts w:ascii="楷体" w:hAnsi="楷体" w:eastAsia="楷体"/>
          <w:color w:val="000000"/>
          <w:sz w:val="24"/>
        </w:rPr>
      </w:pPr>
      <w:r>
        <w:rPr>
          <w:rFonts w:hint="eastAsia" w:ascii="楷体" w:hAnsi="楷体" w:eastAsia="楷体"/>
          <w:color w:val="000000"/>
          <w:sz w:val="24"/>
        </w:rPr>
        <w:t>统一社会信用代码：91350800784543993M</w:t>
      </w:r>
    </w:p>
    <w:p>
      <w:pPr>
        <w:spacing w:line="440" w:lineRule="exact"/>
        <w:ind w:firstLine="470" w:firstLineChars="196"/>
        <w:rPr>
          <w:rFonts w:ascii="楷体" w:hAnsi="楷体" w:eastAsia="楷体"/>
          <w:b/>
          <w:bCs/>
          <w:sz w:val="24"/>
        </w:rPr>
      </w:pPr>
      <w:r>
        <w:rPr>
          <w:rFonts w:hint="eastAsia" w:ascii="楷体" w:hAnsi="楷体" w:eastAsia="楷体"/>
          <w:b/>
          <w:bCs/>
          <w:sz w:val="24"/>
        </w:rPr>
        <w:t>三、估价目的</w:t>
      </w:r>
    </w:p>
    <w:p>
      <w:pPr>
        <w:tabs>
          <w:tab w:val="left" w:pos="525"/>
        </w:tabs>
        <w:spacing w:line="440" w:lineRule="exact"/>
        <w:ind w:firstLine="470" w:firstLineChars="196"/>
        <w:rPr>
          <w:rFonts w:ascii="楷体" w:hAnsi="楷体" w:eastAsia="楷体"/>
          <w:color w:val="000000"/>
          <w:sz w:val="24"/>
          <w:szCs w:val="24"/>
        </w:rPr>
      </w:pPr>
      <w:r>
        <w:rPr>
          <w:rFonts w:hint="eastAsia" w:ascii="楷体" w:hAnsi="楷体" w:eastAsia="楷体"/>
          <w:color w:val="000000"/>
          <w:sz w:val="24"/>
          <w:szCs w:val="24"/>
        </w:rPr>
        <w:t>为人民法院确定财产处置参考价提供参考依据。</w:t>
      </w:r>
    </w:p>
    <w:p>
      <w:pPr>
        <w:tabs>
          <w:tab w:val="left" w:pos="525"/>
        </w:tabs>
        <w:spacing w:line="440" w:lineRule="exact"/>
        <w:ind w:firstLine="470" w:firstLineChars="196"/>
        <w:rPr>
          <w:rFonts w:ascii="楷体" w:hAnsi="楷体" w:eastAsia="楷体"/>
          <w:b/>
          <w:bCs/>
          <w:sz w:val="24"/>
        </w:rPr>
      </w:pPr>
      <w:r>
        <w:rPr>
          <w:rFonts w:hint="eastAsia" w:ascii="楷体" w:hAnsi="楷体" w:eastAsia="楷体"/>
          <w:b/>
          <w:bCs/>
          <w:color w:val="000000"/>
          <w:sz w:val="24"/>
        </w:rPr>
        <w:t>四、估价对象</w:t>
      </w:r>
    </w:p>
    <w:p>
      <w:pPr>
        <w:spacing w:line="440" w:lineRule="exact"/>
        <w:ind w:firstLine="520" w:firstLineChars="217"/>
        <w:rPr>
          <w:rFonts w:ascii="楷体" w:hAnsi="楷体" w:eastAsia="楷体"/>
          <w:sz w:val="24"/>
        </w:rPr>
      </w:pPr>
      <w:r>
        <w:rPr>
          <w:rFonts w:hint="eastAsia" w:ascii="楷体" w:hAnsi="楷体" w:eastAsia="楷体"/>
          <w:sz w:val="24"/>
        </w:rPr>
        <w:t>（一）估价对象的财产范围</w:t>
      </w:r>
    </w:p>
    <w:p>
      <w:pPr>
        <w:spacing w:line="440" w:lineRule="exact"/>
        <w:ind w:firstLine="520" w:firstLineChars="217"/>
        <w:rPr>
          <w:rFonts w:ascii="楷体" w:hAnsi="楷体" w:eastAsia="楷体"/>
          <w:sz w:val="24"/>
          <w:szCs w:val="24"/>
        </w:rPr>
      </w:pPr>
      <w:r>
        <w:rPr>
          <w:rFonts w:hint="eastAsia" w:ascii="楷体" w:hAnsi="楷体" w:eastAsia="楷体"/>
          <w:sz w:val="24"/>
        </w:rPr>
        <w:t>估价对象的财产范围</w:t>
      </w:r>
      <w:r>
        <w:rPr>
          <w:rFonts w:hint="eastAsia" w:ascii="楷体" w:hAnsi="楷体" w:eastAsia="楷体"/>
          <w:sz w:val="24"/>
          <w:szCs w:val="24"/>
        </w:rPr>
        <w:t>包括建筑物（含室内二次装修）、分摊的土地使用权（含土地出让金）及公共配套设施，不包括其他动产、债权债务、特许经营权等其他财产或权益。</w:t>
      </w:r>
    </w:p>
    <w:p>
      <w:pPr>
        <w:spacing w:line="440" w:lineRule="exact"/>
        <w:ind w:firstLine="520" w:firstLineChars="217"/>
        <w:rPr>
          <w:rFonts w:ascii="楷体" w:hAnsi="楷体" w:eastAsia="楷体"/>
          <w:sz w:val="24"/>
          <w:szCs w:val="24"/>
        </w:rPr>
      </w:pPr>
      <w:r>
        <w:rPr>
          <w:rFonts w:hint="eastAsia" w:ascii="楷体" w:hAnsi="楷体" w:eastAsia="楷体"/>
          <w:sz w:val="24"/>
          <w:szCs w:val="24"/>
        </w:rPr>
        <w:t>（二）估价对象基本状况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1、坐落</w:t>
            </w:r>
          </w:p>
        </w:tc>
        <w:tc>
          <w:tcPr>
            <w:tcW w:w="6965" w:type="dxa"/>
          </w:tcPr>
          <w:p>
            <w:pPr>
              <w:spacing w:line="440" w:lineRule="exact"/>
              <w:rPr>
                <w:rFonts w:ascii="楷体" w:hAnsi="楷体" w:eastAsia="楷体"/>
                <w:sz w:val="18"/>
                <w:szCs w:val="18"/>
              </w:rPr>
            </w:pPr>
            <w:r>
              <w:rPr>
                <w:rFonts w:hint="eastAsia" w:ascii="楷体" w:hAnsi="楷体" w:eastAsia="楷体"/>
                <w:sz w:val="18"/>
                <w:szCs w:val="18"/>
                <w:lang w:eastAsia="zh-CN"/>
              </w:rPr>
              <w:t>龙岩市永定区凤城街道金凤开发区同心路3号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2、规模</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估价对象建筑面积</w:t>
            </w:r>
            <w:r>
              <w:rPr>
                <w:rFonts w:hint="eastAsia" w:ascii="楷体" w:hAnsi="楷体" w:eastAsia="楷体"/>
                <w:sz w:val="18"/>
                <w:szCs w:val="18"/>
                <w:lang w:eastAsia="zh-CN"/>
              </w:rPr>
              <w:t>174.57</w:t>
            </w:r>
            <w:r>
              <w:rPr>
                <w:rFonts w:hint="eastAsia" w:ascii="楷体" w:hAnsi="楷体" w:eastAsia="楷体"/>
                <w:sz w:val="18"/>
                <w:szCs w:val="18"/>
              </w:rPr>
              <w:t>㎡、土地使用权面积</w:t>
            </w:r>
            <w:r>
              <w:rPr>
                <w:rFonts w:hint="eastAsia" w:ascii="楷体" w:hAnsi="楷体" w:eastAsia="楷体"/>
                <w:sz w:val="18"/>
                <w:szCs w:val="18"/>
                <w:lang w:eastAsia="zh-CN"/>
              </w:rPr>
              <w:t>52.90</w:t>
            </w:r>
            <w:r>
              <w:rPr>
                <w:rFonts w:hint="eastAsia" w:ascii="楷体" w:hAnsi="楷体" w:eastAsia="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3、用途</w:t>
            </w:r>
          </w:p>
        </w:tc>
        <w:tc>
          <w:tcPr>
            <w:tcW w:w="6965" w:type="dxa"/>
          </w:tcPr>
          <w:p>
            <w:pPr>
              <w:spacing w:line="440" w:lineRule="exact"/>
              <w:rPr>
                <w:rFonts w:hint="default" w:ascii="楷体" w:hAnsi="楷体" w:eastAsia="楷体"/>
                <w:sz w:val="18"/>
                <w:szCs w:val="18"/>
                <w:lang w:val="en-US" w:eastAsia="zh-CN"/>
              </w:rPr>
            </w:pPr>
            <w:r>
              <w:rPr>
                <w:rFonts w:hint="eastAsia" w:ascii="楷体" w:hAnsi="楷体" w:eastAsia="楷体"/>
                <w:sz w:val="18"/>
                <w:szCs w:val="18"/>
              </w:rPr>
              <w:t>规划</w:t>
            </w:r>
            <w:r>
              <w:rPr>
                <w:rFonts w:hint="eastAsia" w:ascii="楷体" w:hAnsi="楷体" w:eastAsia="楷体"/>
                <w:sz w:val="18"/>
                <w:szCs w:val="18"/>
                <w:lang w:val="en-US" w:eastAsia="zh-CN"/>
              </w:rPr>
              <w:t>地类</w:t>
            </w:r>
            <w:r>
              <w:rPr>
                <w:rFonts w:hint="eastAsia" w:ascii="楷体" w:hAnsi="楷体" w:eastAsia="楷体"/>
                <w:sz w:val="18"/>
                <w:szCs w:val="18"/>
              </w:rPr>
              <w:t>用途为住宅</w:t>
            </w:r>
            <w:r>
              <w:rPr>
                <w:rFonts w:hint="eastAsia" w:ascii="楷体" w:hAnsi="楷体" w:eastAsia="楷体"/>
                <w:sz w:val="18"/>
                <w:szCs w:val="18"/>
                <w:lang w:eastAsia="zh-CN"/>
              </w:rPr>
              <w:t>、</w:t>
            </w:r>
            <w:r>
              <w:rPr>
                <w:rFonts w:hint="eastAsia" w:ascii="楷体" w:hAnsi="楷体" w:eastAsia="楷体"/>
                <w:sz w:val="18"/>
                <w:szCs w:val="18"/>
                <w:lang w:val="en-US" w:eastAsia="zh-CN"/>
              </w:rPr>
              <w:t>规划建筑用途为商住</w:t>
            </w:r>
            <w:r>
              <w:rPr>
                <w:rFonts w:hint="eastAsia" w:ascii="楷体" w:hAnsi="楷体" w:eastAsia="楷体"/>
                <w:sz w:val="18"/>
                <w:szCs w:val="18"/>
              </w:rPr>
              <w:t>，现状</w:t>
            </w:r>
            <w:r>
              <w:rPr>
                <w:rFonts w:hint="eastAsia" w:ascii="楷体" w:hAnsi="楷体" w:eastAsia="楷体"/>
                <w:sz w:val="18"/>
                <w:szCs w:val="18"/>
                <w:lang w:val="en-US" w:eastAsia="zh-CN"/>
              </w:rPr>
              <w:t>用途为住宅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4、权属</w:t>
            </w:r>
          </w:p>
        </w:tc>
        <w:tc>
          <w:tcPr>
            <w:tcW w:w="6965" w:type="dxa"/>
          </w:tcPr>
          <w:p>
            <w:pPr>
              <w:spacing w:line="440" w:lineRule="exact"/>
              <w:rPr>
                <w:rFonts w:hint="eastAsia" w:ascii="楷体" w:hAnsi="楷体" w:eastAsia="楷体"/>
                <w:sz w:val="18"/>
                <w:szCs w:val="18"/>
              </w:rPr>
            </w:pPr>
            <w:r>
              <w:rPr>
                <w:rFonts w:hint="eastAsia" w:ascii="楷体" w:hAnsi="楷体" w:eastAsia="楷体"/>
                <w:sz w:val="18"/>
                <w:szCs w:val="18"/>
                <w:lang w:eastAsia="zh-CN"/>
              </w:rPr>
              <w:t>李宏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5、现状</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6、担保物权设立情况</w:t>
            </w:r>
          </w:p>
        </w:tc>
        <w:tc>
          <w:tcPr>
            <w:tcW w:w="6965" w:type="dxa"/>
          </w:tcPr>
          <w:p>
            <w:pPr>
              <w:spacing w:line="440" w:lineRule="exact"/>
              <w:rPr>
                <w:rFonts w:hint="default" w:ascii="楷体" w:hAnsi="楷体" w:eastAsia="楷体"/>
                <w:sz w:val="18"/>
                <w:szCs w:val="18"/>
                <w:lang w:val="en-US" w:eastAsia="zh-CN"/>
              </w:rPr>
            </w:pPr>
            <w:r>
              <w:rPr>
                <w:rFonts w:hint="eastAsia" w:ascii="楷体" w:hAnsi="楷体" w:eastAsia="楷体"/>
                <w:sz w:val="18"/>
                <w:szCs w:val="18"/>
                <w:lang w:val="en-US" w:eastAsia="zh-CN"/>
              </w:rPr>
              <w:t>已设定担保物权，具体金额不详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429" w:type="dxa"/>
            <w:vAlign w:val="center"/>
          </w:tcPr>
          <w:p>
            <w:pPr>
              <w:spacing w:line="440" w:lineRule="exact"/>
              <w:rPr>
                <w:rFonts w:ascii="楷体" w:hAnsi="楷体" w:eastAsia="楷体"/>
                <w:color w:val="000000"/>
                <w:sz w:val="18"/>
                <w:szCs w:val="18"/>
              </w:rPr>
            </w:pPr>
            <w:r>
              <w:rPr>
                <w:rFonts w:hint="eastAsia" w:ascii="楷体" w:hAnsi="楷体" w:eastAsia="楷体"/>
                <w:color w:val="000000"/>
                <w:sz w:val="18"/>
                <w:szCs w:val="18"/>
              </w:rPr>
              <w:t>7、租赁或占用情况</w:t>
            </w:r>
          </w:p>
        </w:tc>
        <w:tc>
          <w:tcPr>
            <w:tcW w:w="6965" w:type="dxa"/>
            <w:vAlign w:val="center"/>
          </w:tcPr>
          <w:p>
            <w:pPr>
              <w:spacing w:line="440" w:lineRule="exact"/>
              <w:rPr>
                <w:rFonts w:ascii="楷体" w:hAnsi="楷体" w:eastAsia="楷体"/>
                <w:sz w:val="18"/>
                <w:szCs w:val="18"/>
              </w:rPr>
            </w:pPr>
            <w:r>
              <w:rPr>
                <w:rFonts w:hint="eastAsia" w:ascii="楷体" w:hAnsi="楷体" w:eastAsia="楷体"/>
                <w:sz w:val="18"/>
                <w:szCs w:val="18"/>
              </w:rPr>
              <w:t>估价委托人未提供估价对象租赁或占用相关资料，租赁或占用情况不详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numPr>
                <w:ilvl w:val="0"/>
                <w:numId w:val="1"/>
              </w:numPr>
              <w:spacing w:line="440" w:lineRule="exact"/>
              <w:rPr>
                <w:rFonts w:ascii="楷体" w:hAnsi="楷体" w:eastAsia="楷体"/>
                <w:color w:val="000000"/>
                <w:sz w:val="18"/>
                <w:szCs w:val="18"/>
              </w:rPr>
            </w:pPr>
            <w:r>
              <w:rPr>
                <w:rFonts w:hint="eastAsia" w:ascii="楷体" w:hAnsi="楷体" w:eastAsia="楷体"/>
                <w:color w:val="000000"/>
                <w:sz w:val="18"/>
                <w:szCs w:val="18"/>
              </w:rPr>
              <w:t>拖欠税费情况</w:t>
            </w:r>
          </w:p>
        </w:tc>
        <w:tc>
          <w:tcPr>
            <w:tcW w:w="6965" w:type="dxa"/>
          </w:tcPr>
          <w:p>
            <w:pPr>
              <w:spacing w:line="440" w:lineRule="exact"/>
              <w:rPr>
                <w:rFonts w:ascii="楷体" w:hAnsi="楷体" w:eastAsia="楷体"/>
                <w:sz w:val="18"/>
                <w:szCs w:val="18"/>
              </w:rPr>
            </w:pPr>
            <w:r>
              <w:rPr>
                <w:rFonts w:hint="eastAsia" w:ascii="楷体" w:hAnsi="楷体" w:eastAsia="楷体"/>
                <w:sz w:val="18"/>
                <w:szCs w:val="18"/>
              </w:rPr>
              <w:t>估价委托人未提供估价对象拖欠税费相关资料，拖欠税费情况不详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9" w:type="dxa"/>
            <w:vAlign w:val="center"/>
          </w:tcPr>
          <w:p>
            <w:pPr>
              <w:numPr>
                <w:ilvl w:val="0"/>
                <w:numId w:val="1"/>
              </w:numPr>
              <w:spacing w:line="440" w:lineRule="exact"/>
              <w:rPr>
                <w:rFonts w:ascii="楷体" w:hAnsi="楷体" w:eastAsia="楷体"/>
                <w:color w:val="000000"/>
                <w:sz w:val="18"/>
                <w:szCs w:val="18"/>
              </w:rPr>
            </w:pPr>
            <w:r>
              <w:rPr>
                <w:rFonts w:hint="eastAsia" w:ascii="楷体" w:hAnsi="楷体" w:eastAsia="楷体"/>
                <w:color w:val="000000"/>
                <w:sz w:val="18"/>
                <w:szCs w:val="18"/>
              </w:rPr>
              <w:t>查封等形式限制权情况</w:t>
            </w:r>
          </w:p>
        </w:tc>
        <w:tc>
          <w:tcPr>
            <w:tcW w:w="6965" w:type="dxa"/>
          </w:tcPr>
          <w:p>
            <w:pPr>
              <w:spacing w:line="440" w:lineRule="exact"/>
              <w:rPr>
                <w:rFonts w:ascii="楷体" w:hAnsi="楷体" w:eastAsia="楷体"/>
                <w:color w:val="000000"/>
                <w:sz w:val="18"/>
                <w:szCs w:val="18"/>
              </w:rPr>
            </w:pPr>
            <w:r>
              <w:rPr>
                <w:rFonts w:hint="eastAsia" w:ascii="楷体" w:hAnsi="楷体" w:eastAsia="楷体"/>
                <w:sz w:val="18"/>
                <w:szCs w:val="18"/>
              </w:rPr>
              <w:t>龙岩市永定区人民法院拟强制拍卖</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（三）产权证书登记信息</w:t>
      </w:r>
    </w:p>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1、房屋所有权登记信息：</w:t>
      </w:r>
    </w:p>
    <w:tbl>
      <w:tblPr>
        <w:tblStyle w:val="14"/>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385"/>
        <w:gridCol w:w="1754"/>
        <w:gridCol w:w="5"/>
        <w:gridCol w:w="30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权属证号</w:t>
            </w:r>
          </w:p>
        </w:tc>
        <w:tc>
          <w:tcPr>
            <w:tcW w:w="7151" w:type="dxa"/>
            <w:gridSpan w:val="4"/>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eastAsia="zh-CN"/>
              </w:rPr>
              <w:t>永房权证2014字第00230号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房屋坐落</w:t>
            </w:r>
          </w:p>
        </w:tc>
        <w:tc>
          <w:tcPr>
            <w:tcW w:w="7151" w:type="dxa"/>
            <w:gridSpan w:val="4"/>
            <w:tcBorders>
              <w:right w:val="single" w:color="auto" w:sz="4" w:space="0"/>
            </w:tcBorders>
            <w:vAlign w:val="center"/>
          </w:tcPr>
          <w:p>
            <w:pPr>
              <w:spacing w:line="360" w:lineRule="auto"/>
              <w:jc w:val="both"/>
              <w:rPr>
                <w:rFonts w:hint="default" w:ascii="楷体" w:hAnsi="楷体" w:eastAsia="楷体" w:cs="楷体"/>
                <w:color w:val="000000"/>
                <w:sz w:val="18"/>
                <w:szCs w:val="18"/>
                <w:lang w:val="en-US" w:eastAsia="zh-CN"/>
              </w:rPr>
            </w:pPr>
            <w:r>
              <w:rPr>
                <w:rFonts w:hint="eastAsia" w:ascii="楷体" w:hAnsi="楷体" w:eastAsia="楷体"/>
                <w:color w:val="000000"/>
                <w:sz w:val="18"/>
                <w:szCs w:val="18"/>
                <w:lang w:val="en-US" w:eastAsia="zh-CN"/>
              </w:rPr>
              <w:t>永定县凤城镇金凤开发区同心路3号1层1、5层、6层3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房屋所有权人</w:t>
            </w:r>
          </w:p>
        </w:tc>
        <w:tc>
          <w:tcPr>
            <w:tcW w:w="2385" w:type="dxa"/>
            <w:tcBorders>
              <w:right w:val="single" w:color="auto" w:sz="4" w:space="0"/>
            </w:tcBorders>
          </w:tcPr>
          <w:p>
            <w:pPr>
              <w:spacing w:line="360" w:lineRule="auto"/>
              <w:rPr>
                <w:rFonts w:hint="default" w:ascii="楷体" w:hAnsi="楷体" w:eastAsia="楷体" w:cs="楷体"/>
                <w:color w:val="000000"/>
                <w:sz w:val="18"/>
                <w:szCs w:val="18"/>
                <w:lang w:val="en-US" w:eastAsia="zh-CN"/>
              </w:rPr>
            </w:pPr>
            <w:r>
              <w:rPr>
                <w:rFonts w:hint="eastAsia" w:ascii="楷体" w:hAnsi="楷体" w:eastAsia="楷体" w:cs="楷体"/>
                <w:sz w:val="18"/>
                <w:szCs w:val="18"/>
                <w:lang w:val="en-US" w:eastAsia="zh-CN"/>
              </w:rPr>
              <w:t>李宏</w:t>
            </w:r>
          </w:p>
        </w:tc>
        <w:tc>
          <w:tcPr>
            <w:tcW w:w="1759" w:type="dxa"/>
            <w:gridSpan w:val="2"/>
            <w:tcBorders>
              <w:right w:val="single" w:color="auto" w:sz="4" w:space="0"/>
            </w:tcBorders>
          </w:tcPr>
          <w:p>
            <w:pPr>
              <w:spacing w:line="360" w:lineRule="auto"/>
              <w:jc w:val="center"/>
              <w:rPr>
                <w:rFonts w:hint="default" w:ascii="楷体" w:hAnsi="楷体" w:eastAsia="楷体" w:cs="楷体"/>
                <w:sz w:val="18"/>
                <w:szCs w:val="18"/>
                <w:lang w:val="en-US" w:eastAsia="zh-CN"/>
              </w:rPr>
            </w:pPr>
            <w:r>
              <w:rPr>
                <w:rFonts w:hint="eastAsia" w:ascii="楷体" w:hAnsi="楷体" w:eastAsia="楷体" w:cs="楷体"/>
                <w:sz w:val="18"/>
                <w:szCs w:val="18"/>
                <w:lang w:val="en-US" w:eastAsia="zh-CN"/>
              </w:rPr>
              <w:t>规划用途</w:t>
            </w:r>
          </w:p>
        </w:tc>
        <w:tc>
          <w:tcPr>
            <w:tcW w:w="3007" w:type="dxa"/>
            <w:tcBorders>
              <w:right w:val="single" w:color="auto" w:sz="4" w:space="0"/>
            </w:tcBorders>
          </w:tcPr>
          <w:p>
            <w:pPr>
              <w:spacing w:line="360" w:lineRule="auto"/>
              <w:rPr>
                <w:rFonts w:hint="default" w:ascii="楷体" w:hAnsi="楷体" w:eastAsia="楷体" w:cs="楷体"/>
                <w:sz w:val="18"/>
                <w:szCs w:val="18"/>
                <w:lang w:val="en-US" w:eastAsia="zh-CN"/>
              </w:rPr>
            </w:pPr>
            <w:r>
              <w:rPr>
                <w:rFonts w:hint="eastAsia" w:ascii="楷体" w:hAnsi="楷体" w:eastAsia="楷体" w:cs="楷体"/>
                <w:sz w:val="18"/>
                <w:szCs w:val="18"/>
                <w:lang w:val="en-US" w:eastAsia="zh-CN"/>
              </w:rPr>
              <w:t>店面、住宅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结构</w:t>
            </w:r>
          </w:p>
        </w:tc>
        <w:tc>
          <w:tcPr>
            <w:tcW w:w="2385"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混合</w:t>
            </w:r>
          </w:p>
        </w:tc>
        <w:tc>
          <w:tcPr>
            <w:tcW w:w="1754" w:type="dxa"/>
            <w:tcBorders>
              <w:right w:val="single" w:color="auto" w:sz="4" w:space="0"/>
            </w:tcBorders>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总层数/所在层数</w:t>
            </w:r>
          </w:p>
        </w:tc>
        <w:tc>
          <w:tcPr>
            <w:tcW w:w="3012" w:type="dxa"/>
            <w:gridSpan w:val="2"/>
            <w:tcBorders>
              <w:right w:val="single" w:color="auto" w:sz="4" w:space="0"/>
            </w:tcBorders>
          </w:tcPr>
          <w:p>
            <w:pPr>
              <w:spacing w:line="360" w:lineRule="auto"/>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rPr>
              <w:t>共6层/处第1层</w:t>
            </w:r>
            <w:r>
              <w:rPr>
                <w:rFonts w:hint="eastAsia" w:ascii="楷体" w:hAnsi="楷体" w:eastAsia="楷体" w:cs="楷体"/>
                <w:color w:val="000000"/>
                <w:sz w:val="18"/>
                <w:szCs w:val="18"/>
                <w:lang w:eastAsia="zh-CN"/>
              </w:rPr>
              <w:t>、</w:t>
            </w:r>
            <w:r>
              <w:rPr>
                <w:rFonts w:hint="eastAsia" w:ascii="楷体" w:hAnsi="楷体" w:eastAsia="楷体" w:cs="楷体"/>
                <w:color w:val="000000"/>
                <w:sz w:val="18"/>
                <w:szCs w:val="18"/>
              </w:rPr>
              <w:t>第</w:t>
            </w:r>
            <w:r>
              <w:rPr>
                <w:rFonts w:hint="eastAsia" w:ascii="楷体" w:hAnsi="楷体" w:eastAsia="楷体" w:cs="楷体"/>
                <w:color w:val="000000"/>
                <w:sz w:val="18"/>
                <w:szCs w:val="18"/>
                <w:lang w:eastAsia="zh-CN"/>
              </w:rPr>
              <w:t>5层、</w:t>
            </w:r>
            <w:r>
              <w:rPr>
                <w:rFonts w:hint="eastAsia" w:ascii="楷体" w:hAnsi="楷体" w:eastAsia="楷体" w:cs="楷体"/>
                <w:color w:val="000000"/>
                <w:sz w:val="18"/>
                <w:szCs w:val="18"/>
                <w:lang w:val="en-US" w:eastAsia="zh-CN"/>
              </w:rPr>
              <w:t>第6层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建筑面积</w:t>
            </w:r>
          </w:p>
        </w:tc>
        <w:tc>
          <w:tcPr>
            <w:tcW w:w="7151" w:type="dxa"/>
            <w:gridSpan w:val="4"/>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eastAsia="zh-CN"/>
              </w:rPr>
              <w:t>共174.57㎡（其中1层39.22㎡、5层90.93㎡、</w:t>
            </w:r>
            <w:r>
              <w:rPr>
                <w:rFonts w:hint="eastAsia" w:ascii="楷体" w:hAnsi="楷体" w:eastAsia="楷体" w:cs="楷体"/>
                <w:color w:val="000000"/>
                <w:sz w:val="18"/>
                <w:szCs w:val="18"/>
                <w:lang w:val="en-US" w:eastAsia="zh-CN"/>
              </w:rPr>
              <w:t>6层44.42㎡</w:t>
            </w:r>
            <w:r>
              <w:rPr>
                <w:rFonts w:hint="eastAsia" w:ascii="楷体" w:hAnsi="楷体" w:eastAsia="楷体" w:cs="楷体"/>
                <w:color w:val="000000"/>
                <w:sz w:val="18"/>
                <w:szCs w:val="1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vAlign w:val="center"/>
          </w:tcPr>
          <w:p>
            <w:pPr>
              <w:spacing w:line="360" w:lineRule="auto"/>
              <w:jc w:val="center"/>
              <w:rPr>
                <w:rFonts w:ascii="楷体" w:hAnsi="楷体" w:eastAsia="楷体" w:cs="楷体"/>
                <w:color w:val="000000"/>
                <w:sz w:val="18"/>
                <w:szCs w:val="18"/>
              </w:rPr>
            </w:pPr>
            <w:r>
              <w:rPr>
                <w:rFonts w:hint="eastAsia" w:ascii="楷体" w:hAnsi="楷体" w:eastAsia="楷体" w:cs="楷体"/>
                <w:color w:val="000000"/>
                <w:sz w:val="18"/>
                <w:szCs w:val="18"/>
              </w:rPr>
              <w:t>附记</w:t>
            </w:r>
          </w:p>
        </w:tc>
        <w:tc>
          <w:tcPr>
            <w:tcW w:w="7151" w:type="dxa"/>
            <w:gridSpan w:val="4"/>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产权来源：</w:t>
            </w:r>
          </w:p>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1、</w:t>
            </w:r>
            <w:r>
              <w:rPr>
                <w:rFonts w:hint="eastAsia" w:ascii="楷体" w:hAnsi="楷体" w:eastAsia="楷体" w:cs="楷体"/>
                <w:color w:val="000000"/>
                <w:sz w:val="18"/>
                <w:szCs w:val="18"/>
                <w:lang w:val="en-US" w:eastAsia="zh-CN"/>
              </w:rPr>
              <w:t>建于2003年4月，属于2014年2月离婚分割的房产</w:t>
            </w:r>
            <w:r>
              <w:rPr>
                <w:rFonts w:hint="eastAsia" w:ascii="楷体" w:hAnsi="楷体" w:eastAsia="楷体" w:cs="楷体"/>
                <w:color w:val="000000"/>
                <w:sz w:val="18"/>
                <w:szCs w:val="18"/>
              </w:rPr>
              <w:t>；</w:t>
            </w:r>
          </w:p>
          <w:p>
            <w:pPr>
              <w:spacing w:line="360" w:lineRule="auto"/>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rPr>
              <w:t>2、本幢房的楼梯、底层</w:t>
            </w:r>
            <w:r>
              <w:rPr>
                <w:rFonts w:hint="eastAsia" w:ascii="楷体" w:hAnsi="楷体" w:eastAsia="楷体" w:cs="楷体"/>
                <w:color w:val="000000"/>
                <w:sz w:val="18"/>
                <w:szCs w:val="18"/>
                <w:lang w:val="en-US" w:eastAsia="zh-CN"/>
              </w:rPr>
              <w:t>厅、六层厅</w:t>
            </w:r>
            <w:r>
              <w:rPr>
                <w:rFonts w:hint="eastAsia" w:ascii="楷体" w:hAnsi="楷体" w:eastAsia="楷体" w:cs="楷体"/>
                <w:color w:val="000000"/>
                <w:sz w:val="18"/>
                <w:szCs w:val="18"/>
              </w:rPr>
              <w:t>共计面积</w:t>
            </w:r>
            <w:r>
              <w:rPr>
                <w:rFonts w:hint="eastAsia" w:ascii="楷体" w:hAnsi="楷体" w:eastAsia="楷体" w:cs="楷体"/>
                <w:color w:val="000000"/>
                <w:sz w:val="18"/>
                <w:szCs w:val="18"/>
                <w:lang w:val="en-US" w:eastAsia="zh-CN"/>
              </w:rPr>
              <w:t>102.40</w:t>
            </w:r>
            <w:r>
              <w:rPr>
                <w:rFonts w:hint="eastAsia" w:ascii="楷体" w:hAnsi="楷体" w:eastAsia="楷体" w:cs="楷体"/>
                <w:color w:val="000000"/>
                <w:sz w:val="18"/>
                <w:szCs w:val="18"/>
              </w:rPr>
              <w:t>㎡属</w:t>
            </w:r>
            <w:r>
              <w:rPr>
                <w:rFonts w:hint="eastAsia" w:ascii="楷体" w:hAnsi="楷体" w:eastAsia="楷体" w:cs="楷体"/>
                <w:color w:val="000000"/>
                <w:sz w:val="18"/>
                <w:szCs w:val="18"/>
                <w:lang w:val="en-US" w:eastAsia="zh-CN"/>
              </w:rPr>
              <w:t>李宏等4户共有</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2、土地使用权登记信息：</w:t>
      </w:r>
    </w:p>
    <w:tbl>
      <w:tblPr>
        <w:tblStyle w:val="14"/>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2381"/>
        <w:gridCol w:w="2384"/>
        <w:gridCol w:w="23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权属证号</w:t>
            </w:r>
          </w:p>
        </w:tc>
        <w:tc>
          <w:tcPr>
            <w:tcW w:w="7151" w:type="dxa"/>
            <w:gridSpan w:val="3"/>
            <w:tcBorders>
              <w:right w:val="single" w:color="auto" w:sz="4" w:space="0"/>
            </w:tcBorders>
          </w:tcPr>
          <w:p>
            <w:pPr>
              <w:spacing w:line="360" w:lineRule="auto"/>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eastAsia="zh-CN"/>
              </w:rPr>
              <w:t>永定国用（2014）第A5886号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土地使用权人</w:t>
            </w:r>
          </w:p>
        </w:tc>
        <w:tc>
          <w:tcPr>
            <w:tcW w:w="7151" w:type="dxa"/>
            <w:gridSpan w:val="3"/>
            <w:tcBorders>
              <w:right w:val="single" w:color="auto" w:sz="4" w:space="0"/>
            </w:tcBorders>
          </w:tcPr>
          <w:p>
            <w:pPr>
              <w:spacing w:line="360" w:lineRule="auto"/>
              <w:rPr>
                <w:rFonts w:hint="default" w:ascii="楷体" w:hAnsi="楷体" w:eastAsia="楷体" w:cs="楷体"/>
                <w:color w:val="000000"/>
                <w:sz w:val="18"/>
                <w:szCs w:val="18"/>
                <w:lang w:val="en-US"/>
              </w:rPr>
            </w:pPr>
            <w:r>
              <w:rPr>
                <w:rFonts w:hint="eastAsia" w:ascii="楷体" w:hAnsi="楷体" w:eastAsia="楷体" w:cs="楷体"/>
                <w:sz w:val="18"/>
                <w:szCs w:val="18"/>
                <w:lang w:val="en-US" w:eastAsia="zh-CN"/>
              </w:rPr>
              <w:t>李宏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座落</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olor w:val="000000"/>
                <w:sz w:val="18"/>
                <w:szCs w:val="18"/>
                <w:lang w:val="en-US" w:eastAsia="zh-CN"/>
              </w:rPr>
              <w:t>永定县凤城镇金凤开发区同心路3号1层1、5层、6层3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地号</w:t>
            </w:r>
          </w:p>
        </w:tc>
        <w:tc>
          <w:tcPr>
            <w:tcW w:w="2381" w:type="dxa"/>
          </w:tcPr>
          <w:p>
            <w:pPr>
              <w:spacing w:line="360" w:lineRule="auto"/>
              <w:rPr>
                <w:rFonts w:hint="default" w:ascii="楷体" w:hAnsi="楷体" w:eastAsia="楷体" w:cs="楷体"/>
                <w:color w:val="000000"/>
                <w:sz w:val="18"/>
                <w:szCs w:val="18"/>
                <w:lang w:val="en-US" w:eastAsia="zh-CN"/>
              </w:rPr>
            </w:pPr>
            <w:r>
              <w:rPr>
                <w:rFonts w:hint="eastAsia" w:ascii="楷体" w:hAnsi="楷体" w:eastAsia="楷体" w:cs="楷体"/>
                <w:sz w:val="18"/>
                <w:szCs w:val="18"/>
              </w:rPr>
              <w:t>001/</w:t>
            </w:r>
            <w:r>
              <w:rPr>
                <w:rFonts w:hint="eastAsia" w:ascii="楷体" w:hAnsi="楷体" w:eastAsia="楷体" w:cs="楷体"/>
                <w:sz w:val="18"/>
                <w:szCs w:val="18"/>
                <w:lang w:val="en-US" w:eastAsia="zh-CN"/>
              </w:rPr>
              <w:t>18/5-1</w:t>
            </w:r>
          </w:p>
        </w:tc>
        <w:tc>
          <w:tcPr>
            <w:tcW w:w="2384"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地类用途</w:t>
            </w:r>
          </w:p>
        </w:tc>
        <w:tc>
          <w:tcPr>
            <w:tcW w:w="2386"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住宅用地（071）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使用权类型</w:t>
            </w:r>
          </w:p>
        </w:tc>
        <w:tc>
          <w:tcPr>
            <w:tcW w:w="2381"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出让</w:t>
            </w:r>
          </w:p>
        </w:tc>
        <w:tc>
          <w:tcPr>
            <w:tcW w:w="2384" w:type="dxa"/>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终止日期</w:t>
            </w:r>
          </w:p>
        </w:tc>
        <w:tc>
          <w:tcPr>
            <w:tcW w:w="2386" w:type="dxa"/>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lang w:eastAsia="zh-CN"/>
              </w:rPr>
              <w:t>2066年04月08日</w:t>
            </w:r>
            <w:r>
              <w:rPr>
                <w:rFonts w:hint="eastAsia" w:ascii="楷体" w:hAnsi="楷体" w:eastAsia="楷体" w:cs="楷体"/>
                <w:color w:val="000000"/>
                <w:sz w:val="18"/>
                <w:szCs w:val="18"/>
              </w:rPr>
              <w:t>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35" w:type="dxa"/>
            <w:tcBorders>
              <w:lef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rPr>
              <w:t>使用权面积</w:t>
            </w:r>
          </w:p>
        </w:tc>
        <w:tc>
          <w:tcPr>
            <w:tcW w:w="7151" w:type="dxa"/>
            <w:gridSpan w:val="3"/>
            <w:tcBorders>
              <w:right w:val="single" w:color="auto" w:sz="4" w:space="0"/>
            </w:tcBorders>
          </w:tcPr>
          <w:p>
            <w:pPr>
              <w:spacing w:line="360" w:lineRule="auto"/>
              <w:rPr>
                <w:rFonts w:ascii="楷体" w:hAnsi="楷体" w:eastAsia="楷体" w:cs="楷体"/>
                <w:color w:val="000000"/>
                <w:sz w:val="18"/>
                <w:szCs w:val="18"/>
              </w:rPr>
            </w:pPr>
            <w:r>
              <w:rPr>
                <w:rFonts w:hint="eastAsia" w:ascii="楷体" w:hAnsi="楷体" w:eastAsia="楷体" w:cs="楷体"/>
                <w:color w:val="000000"/>
                <w:sz w:val="18"/>
                <w:szCs w:val="18"/>
                <w:lang w:eastAsia="zh-CN"/>
              </w:rPr>
              <w:t>52.90</w:t>
            </w:r>
            <w:r>
              <w:rPr>
                <w:rFonts w:hint="eastAsia" w:ascii="楷体" w:hAnsi="楷体" w:eastAsia="楷体" w:cs="楷体"/>
                <w:color w:val="000000"/>
                <w:sz w:val="18"/>
                <w:szCs w:val="18"/>
              </w:rPr>
              <w:t>㎡（其中独用面积0㎡、分摊面积</w:t>
            </w:r>
            <w:r>
              <w:rPr>
                <w:rFonts w:hint="eastAsia" w:ascii="楷体" w:hAnsi="楷体" w:eastAsia="楷体" w:cs="楷体"/>
                <w:color w:val="000000"/>
                <w:sz w:val="18"/>
                <w:szCs w:val="18"/>
                <w:lang w:eastAsia="zh-CN"/>
              </w:rPr>
              <w:t>52.90</w:t>
            </w:r>
            <w:r>
              <w:rPr>
                <w:rFonts w:hint="eastAsia" w:ascii="楷体" w:hAnsi="楷体" w:eastAsia="楷体" w:cs="楷体"/>
                <w:color w:val="000000"/>
                <w:sz w:val="18"/>
                <w:szCs w:val="18"/>
              </w:rPr>
              <w:t>㎡）</w:t>
            </w:r>
          </w:p>
        </w:tc>
      </w:tr>
    </w:tbl>
    <w:p>
      <w:pPr>
        <w:spacing w:line="520" w:lineRule="exact"/>
        <w:ind w:firstLine="520" w:firstLineChars="217"/>
        <w:rPr>
          <w:rFonts w:ascii="楷体" w:hAnsi="楷体" w:eastAsia="楷体"/>
          <w:color w:val="000000"/>
          <w:sz w:val="24"/>
          <w:szCs w:val="24"/>
        </w:rPr>
      </w:pPr>
      <w:r>
        <w:rPr>
          <w:rFonts w:hint="eastAsia" w:ascii="楷体" w:hAnsi="楷体" w:eastAsia="楷体"/>
          <w:color w:val="000000"/>
          <w:sz w:val="24"/>
          <w:szCs w:val="24"/>
        </w:rPr>
        <w:t>（四）土地基本状况</w:t>
      </w:r>
    </w:p>
    <w:tbl>
      <w:tblPr>
        <w:tblStyle w:val="14"/>
        <w:tblW w:w="9285"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1、坐落</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楷体" w:hAnsi="楷体" w:eastAsia="楷体"/>
                <w:sz w:val="18"/>
                <w:szCs w:val="18"/>
                <w:lang w:val="en-US"/>
              </w:rPr>
            </w:pPr>
            <w:r>
              <w:rPr>
                <w:rFonts w:hint="eastAsia" w:ascii="楷体" w:hAnsi="楷体" w:eastAsia="楷体"/>
                <w:color w:val="000000"/>
                <w:sz w:val="18"/>
                <w:szCs w:val="18"/>
                <w:lang w:val="en-US" w:eastAsia="zh-CN"/>
              </w:rPr>
              <w:t>永定县凤城镇金凤开发区同心路3号1层1、5层、6层3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2、四至</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default" w:ascii="楷体" w:hAnsi="楷体" w:eastAsia="楷体"/>
                <w:sz w:val="18"/>
                <w:szCs w:val="18"/>
                <w:lang w:val="en-US" w:eastAsia="zh-CN"/>
              </w:rPr>
            </w:pPr>
            <w:r>
              <w:rPr>
                <w:rFonts w:hint="eastAsia" w:ascii="楷体" w:hAnsi="楷体" w:eastAsia="楷体" w:cs="楷体"/>
                <w:bCs/>
                <w:sz w:val="18"/>
                <w:szCs w:val="18"/>
              </w:rPr>
              <w:t>东至</w:t>
            </w:r>
            <w:r>
              <w:rPr>
                <w:rFonts w:hint="eastAsia" w:ascii="楷体" w:hAnsi="楷体" w:eastAsia="楷体" w:cs="楷体"/>
                <w:bCs/>
                <w:sz w:val="18"/>
                <w:szCs w:val="18"/>
                <w:lang w:val="en-US" w:eastAsia="zh-CN"/>
              </w:rPr>
              <w:t>巷道</w:t>
            </w:r>
            <w:r>
              <w:rPr>
                <w:rFonts w:hint="eastAsia" w:ascii="楷体" w:hAnsi="楷体" w:eastAsia="楷体" w:cs="楷体"/>
                <w:bCs/>
                <w:sz w:val="18"/>
                <w:szCs w:val="18"/>
              </w:rPr>
              <w:t>、南至巷道、西至</w:t>
            </w:r>
            <w:r>
              <w:rPr>
                <w:rFonts w:hint="eastAsia" w:ascii="楷体" w:hAnsi="楷体" w:eastAsia="楷体" w:cs="楷体"/>
                <w:bCs/>
                <w:sz w:val="18"/>
                <w:szCs w:val="18"/>
                <w:lang w:val="en-US" w:eastAsia="zh-CN"/>
              </w:rPr>
              <w:t>同心路</w:t>
            </w:r>
            <w:r>
              <w:rPr>
                <w:rFonts w:hint="eastAsia" w:ascii="楷体" w:hAnsi="楷体" w:eastAsia="楷体" w:cs="楷体"/>
                <w:bCs/>
                <w:sz w:val="18"/>
                <w:szCs w:val="18"/>
              </w:rPr>
              <w:t>、北至</w:t>
            </w:r>
            <w:r>
              <w:rPr>
                <w:rFonts w:hint="eastAsia" w:ascii="楷体" w:hAnsi="楷体" w:eastAsia="楷体" w:cs="楷体"/>
                <w:bCs/>
                <w:sz w:val="18"/>
                <w:szCs w:val="18"/>
                <w:lang w:val="en-US" w:eastAsia="zh-CN"/>
              </w:rPr>
              <w:t>同心路5号住宅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3、权利类型</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4、使用权类型</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楷体" w:hAnsi="楷体" w:eastAsia="楷体" w:cs="楷体"/>
                <w:sz w:val="18"/>
                <w:szCs w:val="18"/>
                <w:lang w:eastAsia="zh-CN"/>
              </w:rPr>
            </w:pPr>
            <w:r>
              <w:rPr>
                <w:rFonts w:hint="eastAsia" w:ascii="楷体" w:hAnsi="楷体" w:eastAsia="楷体" w:cs="楷体"/>
                <w:sz w:val="18"/>
                <w:szCs w:val="18"/>
              </w:rPr>
              <w:t>出让、出让期限至</w:t>
            </w:r>
            <w:r>
              <w:rPr>
                <w:rFonts w:hint="eastAsia" w:ascii="楷体" w:hAnsi="楷体" w:eastAsia="楷体" w:cs="楷体"/>
                <w:kern w:val="0"/>
                <w:sz w:val="18"/>
                <w:szCs w:val="18"/>
                <w:lang w:eastAsia="zh-CN"/>
              </w:rPr>
              <w:t>2066年04月08日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5、用途</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6、规划条件</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规划为城镇住宅用地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7、宗地面积</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lang w:eastAsia="zh-CN"/>
              </w:rPr>
              <w:t>52.90</w:t>
            </w:r>
            <w:r>
              <w:rPr>
                <w:rFonts w:hint="eastAsia" w:ascii="楷体" w:hAnsi="楷体" w:eastAsia="楷体" w:cs="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8、开发程度</w:t>
            </w:r>
          </w:p>
        </w:tc>
        <w:tc>
          <w:tcPr>
            <w:tcW w:w="716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楷体" w:hAnsi="楷体" w:eastAsia="楷体" w:cs="楷体"/>
                <w:sz w:val="18"/>
                <w:szCs w:val="18"/>
              </w:rPr>
            </w:pPr>
            <w:r>
              <w:rPr>
                <w:rFonts w:hint="eastAsia" w:ascii="楷体" w:hAnsi="楷体" w:eastAsia="楷体" w:cs="楷体"/>
                <w:sz w:val="18"/>
                <w:szCs w:val="18"/>
              </w:rPr>
              <w:t>200</w:t>
            </w:r>
            <w:r>
              <w:rPr>
                <w:rFonts w:hint="eastAsia" w:ascii="楷体" w:hAnsi="楷体" w:eastAsia="楷体" w:cs="楷体"/>
                <w:sz w:val="18"/>
                <w:szCs w:val="18"/>
                <w:lang w:val="en-US" w:eastAsia="zh-CN"/>
              </w:rPr>
              <w:t>3</w:t>
            </w:r>
            <w:r>
              <w:rPr>
                <w:rFonts w:hint="eastAsia" w:ascii="楷体" w:hAnsi="楷体" w:eastAsia="楷体" w:cs="楷体"/>
                <w:sz w:val="18"/>
                <w:szCs w:val="18"/>
              </w:rPr>
              <w:t>年已开发完成，宗地内外已达“五通”</w:t>
            </w:r>
          </w:p>
        </w:tc>
      </w:tr>
    </w:tbl>
    <w:p>
      <w:pPr>
        <w:spacing w:line="520" w:lineRule="exact"/>
        <w:ind w:firstLine="520" w:firstLineChars="217"/>
        <w:rPr>
          <w:rFonts w:hint="eastAsia" w:ascii="楷体" w:hAnsi="楷体" w:eastAsia="楷体"/>
          <w:sz w:val="24"/>
          <w:szCs w:val="24"/>
        </w:rPr>
      </w:pPr>
    </w:p>
    <w:p>
      <w:pPr>
        <w:spacing w:line="520" w:lineRule="exact"/>
        <w:ind w:firstLine="520" w:firstLineChars="217"/>
        <w:rPr>
          <w:rFonts w:hint="eastAsia" w:ascii="楷体" w:hAnsi="楷体" w:eastAsia="楷体"/>
          <w:sz w:val="24"/>
          <w:szCs w:val="24"/>
        </w:rPr>
      </w:pPr>
    </w:p>
    <w:p>
      <w:pPr>
        <w:spacing w:line="520" w:lineRule="exact"/>
        <w:ind w:firstLine="520" w:firstLineChars="217"/>
        <w:rPr>
          <w:rFonts w:hint="eastAsia" w:ascii="楷体" w:hAnsi="楷体" w:eastAsia="楷体"/>
          <w:sz w:val="24"/>
          <w:szCs w:val="24"/>
        </w:rPr>
      </w:pPr>
    </w:p>
    <w:p>
      <w:pPr>
        <w:spacing w:line="520" w:lineRule="exact"/>
        <w:ind w:firstLine="520" w:firstLineChars="217"/>
        <w:rPr>
          <w:rFonts w:ascii="楷体" w:hAnsi="楷体" w:eastAsia="楷体"/>
          <w:sz w:val="24"/>
          <w:szCs w:val="24"/>
        </w:rPr>
      </w:pPr>
      <w:r>
        <w:rPr>
          <w:rFonts w:hint="eastAsia" w:ascii="楷体" w:hAnsi="楷体" w:eastAsia="楷体"/>
          <w:sz w:val="24"/>
          <w:szCs w:val="24"/>
        </w:rPr>
        <w:t>（五）建筑物基本状况</w:t>
      </w:r>
    </w:p>
    <w:p>
      <w:pPr>
        <w:spacing w:line="520" w:lineRule="exact"/>
        <w:ind w:firstLine="520" w:firstLineChars="217"/>
        <w:rPr>
          <w:rFonts w:ascii="楷体" w:hAnsi="楷体" w:eastAsia="楷体"/>
          <w:sz w:val="24"/>
          <w:szCs w:val="24"/>
        </w:rPr>
      </w:pPr>
      <w:r>
        <w:rPr>
          <w:rFonts w:hint="eastAsia" w:ascii="楷体" w:hAnsi="楷体" w:eastAsia="楷体" w:cs="楷体"/>
          <w:sz w:val="24"/>
          <w:szCs w:val="24"/>
        </w:rPr>
        <w:t>1</w:t>
      </w:r>
      <w:r>
        <w:rPr>
          <w:rFonts w:hint="eastAsia" w:ascii="楷体" w:hAnsi="楷体" w:eastAsia="楷体"/>
          <w:sz w:val="24"/>
          <w:szCs w:val="24"/>
        </w:rPr>
        <w:t>、建筑物基本情况表：</w:t>
      </w: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5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项目</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描述与分析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1、名称</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olor w:val="000000"/>
                <w:sz w:val="18"/>
                <w:szCs w:val="18"/>
                <w:lang w:eastAsia="zh-CN"/>
              </w:rPr>
              <w:t>龙岩市永定区凤城街道金凤开发区同心路3号1层1#、5层、6层3#号住宅</w:t>
            </w:r>
            <w:r>
              <w:rPr>
                <w:rFonts w:hint="eastAsia" w:ascii="楷体" w:hAnsi="楷体" w:eastAsia="楷体"/>
                <w:color w:val="000000"/>
                <w:sz w:val="18"/>
                <w:szCs w:val="18"/>
              </w:rPr>
              <w:t>房地产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2、规模</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估价对象建筑面积</w:t>
            </w:r>
            <w:r>
              <w:rPr>
                <w:rFonts w:hint="eastAsia" w:ascii="楷体" w:hAnsi="楷体" w:eastAsia="楷体" w:cs="楷体"/>
                <w:color w:val="000000"/>
                <w:sz w:val="18"/>
                <w:szCs w:val="18"/>
                <w:lang w:eastAsia="zh-CN"/>
              </w:rPr>
              <w:t>174.57</w:t>
            </w:r>
            <w:r>
              <w:rPr>
                <w:rFonts w:hint="eastAsia" w:ascii="楷体" w:hAnsi="楷体" w:eastAsia="楷体" w:cs="楷体"/>
                <w:color w:val="000000"/>
                <w:sz w:val="18"/>
                <w:szCs w:val="18"/>
              </w:rPr>
              <w:t>㎡</w:t>
            </w:r>
            <w:r>
              <w:rPr>
                <w:rFonts w:hint="eastAsia" w:ascii="楷体" w:hAnsi="楷体" w:eastAsia="楷体" w:cs="楷体"/>
                <w:color w:val="000000"/>
                <w:sz w:val="18"/>
                <w:szCs w:val="18"/>
                <w:lang w:eastAsia="zh-CN"/>
              </w:rPr>
              <w:t>（其中1层39.22㎡、5层90.93㎡、</w:t>
            </w:r>
            <w:r>
              <w:rPr>
                <w:rFonts w:hint="eastAsia" w:ascii="楷体" w:hAnsi="楷体" w:eastAsia="楷体" w:cs="楷体"/>
                <w:color w:val="000000"/>
                <w:sz w:val="18"/>
                <w:szCs w:val="18"/>
                <w:lang w:val="en-US" w:eastAsia="zh-CN"/>
              </w:rPr>
              <w:t>6层44.42㎡</w:t>
            </w:r>
            <w:r>
              <w:rPr>
                <w:rFonts w:hint="eastAsia" w:ascii="楷体" w:hAnsi="楷体" w:eastAsia="楷体" w:cs="楷体"/>
                <w:color w:val="000000"/>
                <w:sz w:val="18"/>
                <w:szCs w:val="18"/>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3、建筑结构</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混合结构，结构等级一般，抗震性能一般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4、设施设备</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步行楼梯，水电等设施齐全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5、装饰装修</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见下表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6、层高</w:t>
            </w:r>
          </w:p>
        </w:tc>
        <w:tc>
          <w:tcPr>
            <w:tcW w:w="7594" w:type="dxa"/>
          </w:tcPr>
          <w:p>
            <w:pPr>
              <w:spacing w:line="440" w:lineRule="exact"/>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rPr>
              <w:t>1层层高约3.</w:t>
            </w:r>
            <w:r>
              <w:rPr>
                <w:rFonts w:hint="eastAsia" w:ascii="楷体" w:hAnsi="楷体" w:eastAsia="楷体" w:cs="楷体"/>
                <w:color w:val="000000"/>
                <w:sz w:val="18"/>
                <w:szCs w:val="18"/>
                <w:lang w:val="en-US" w:eastAsia="zh-CN"/>
              </w:rPr>
              <w:t>5</w:t>
            </w:r>
            <w:r>
              <w:rPr>
                <w:rFonts w:hint="eastAsia" w:ascii="楷体" w:hAnsi="楷体" w:eastAsia="楷体" w:cs="楷体"/>
                <w:color w:val="000000"/>
                <w:sz w:val="18"/>
                <w:szCs w:val="18"/>
              </w:rPr>
              <w:t>米、</w:t>
            </w:r>
            <w:r>
              <w:rPr>
                <w:rFonts w:hint="eastAsia" w:ascii="楷体" w:hAnsi="楷体" w:eastAsia="楷体" w:cs="楷体"/>
                <w:color w:val="000000"/>
                <w:sz w:val="18"/>
                <w:szCs w:val="18"/>
                <w:lang w:eastAsia="zh-CN"/>
              </w:rPr>
              <w:t>5层</w:t>
            </w:r>
            <w:r>
              <w:rPr>
                <w:rFonts w:hint="eastAsia" w:ascii="楷体" w:hAnsi="楷体" w:eastAsia="楷体" w:cs="楷体"/>
                <w:color w:val="000000"/>
                <w:sz w:val="18"/>
                <w:szCs w:val="18"/>
              </w:rPr>
              <w:t>层高约</w:t>
            </w:r>
            <w:r>
              <w:rPr>
                <w:rFonts w:hint="eastAsia" w:ascii="楷体" w:hAnsi="楷体" w:eastAsia="楷体" w:cs="楷体"/>
                <w:color w:val="000000"/>
                <w:sz w:val="18"/>
                <w:szCs w:val="18"/>
                <w:lang w:val="en-US" w:eastAsia="zh-CN"/>
              </w:rPr>
              <w:t>2.9</w:t>
            </w:r>
            <w:r>
              <w:rPr>
                <w:rFonts w:hint="eastAsia" w:ascii="楷体" w:hAnsi="楷体" w:eastAsia="楷体" w:cs="楷体"/>
                <w:color w:val="000000"/>
                <w:sz w:val="18"/>
                <w:szCs w:val="18"/>
              </w:rPr>
              <w:t>米</w:t>
            </w:r>
            <w:r>
              <w:rPr>
                <w:rFonts w:hint="eastAsia" w:ascii="楷体" w:hAnsi="楷体" w:eastAsia="楷体" w:cs="楷体"/>
                <w:color w:val="000000"/>
                <w:sz w:val="18"/>
                <w:szCs w:val="18"/>
                <w:lang w:eastAsia="zh-CN"/>
              </w:rPr>
              <w:t>、</w:t>
            </w:r>
            <w:r>
              <w:rPr>
                <w:rFonts w:hint="eastAsia" w:ascii="楷体" w:hAnsi="楷体" w:eastAsia="楷体" w:cs="楷体"/>
                <w:color w:val="000000"/>
                <w:sz w:val="18"/>
                <w:szCs w:val="18"/>
                <w:lang w:val="en-US" w:eastAsia="zh-CN"/>
              </w:rPr>
              <w:t>6层层高2.8米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7、空间布局</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olor w:val="000000"/>
                <w:sz w:val="18"/>
                <w:szCs w:val="18"/>
                <w:lang w:val="en-US" w:eastAsia="zh-CN"/>
              </w:rPr>
              <w:t>均为住宅布局</w:t>
            </w:r>
            <w:r>
              <w:rPr>
                <w:rFonts w:hint="eastAsia" w:ascii="楷体" w:hAnsi="楷体" w:eastAsia="楷体"/>
                <w:color w:val="000000"/>
                <w:sz w:val="18"/>
                <w:szCs w:val="18"/>
              </w:rPr>
              <w:t>，垂直交通为人行楼梯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8、平面布局</w:t>
            </w:r>
          </w:p>
        </w:tc>
        <w:tc>
          <w:tcPr>
            <w:tcW w:w="7594" w:type="dxa"/>
          </w:tcPr>
          <w:p>
            <w:pPr>
              <w:spacing w:line="440" w:lineRule="exact"/>
              <w:rPr>
                <w:rFonts w:hint="default" w:ascii="楷体" w:hAnsi="楷体" w:eastAsia="楷体" w:cs="楷体"/>
                <w:color w:val="000000"/>
                <w:sz w:val="18"/>
                <w:szCs w:val="18"/>
                <w:lang w:val="en-US" w:eastAsia="zh-CN"/>
              </w:rPr>
            </w:pPr>
            <w:r>
              <w:rPr>
                <w:rFonts w:hint="eastAsia" w:ascii="楷体" w:hAnsi="楷体" w:eastAsia="楷体" w:cs="楷体"/>
                <w:color w:val="000000"/>
                <w:sz w:val="18"/>
                <w:szCs w:val="18"/>
              </w:rPr>
              <w:t>1层</w:t>
            </w:r>
            <w:r>
              <w:rPr>
                <w:rFonts w:hint="eastAsia" w:ascii="楷体" w:hAnsi="楷体" w:eastAsia="楷体" w:cs="楷体"/>
                <w:color w:val="000000"/>
                <w:sz w:val="18"/>
                <w:szCs w:val="18"/>
                <w:lang w:val="en-US" w:eastAsia="zh-CN"/>
              </w:rPr>
              <w:t>户型为大厅</w:t>
            </w:r>
            <w:r>
              <w:rPr>
                <w:rFonts w:hint="eastAsia" w:ascii="楷体" w:hAnsi="楷体" w:eastAsia="楷体" w:cs="楷体"/>
                <w:color w:val="000000"/>
                <w:sz w:val="18"/>
                <w:szCs w:val="18"/>
                <w:lang w:eastAsia="zh-CN"/>
              </w:rPr>
              <w:t>、5层</w:t>
            </w:r>
            <w:r>
              <w:rPr>
                <w:rFonts w:hint="eastAsia" w:ascii="楷体" w:hAnsi="楷体" w:eastAsia="楷体" w:cs="楷体"/>
                <w:color w:val="000000"/>
                <w:sz w:val="18"/>
                <w:szCs w:val="18"/>
              </w:rPr>
              <w:t>户型为</w:t>
            </w:r>
            <w:r>
              <w:rPr>
                <w:rFonts w:hint="eastAsia" w:ascii="楷体" w:hAnsi="楷体" w:eastAsia="楷体" w:cs="楷体"/>
                <w:color w:val="000000"/>
                <w:sz w:val="18"/>
                <w:szCs w:val="18"/>
                <w:lang w:val="en-US" w:eastAsia="zh-CN"/>
              </w:rPr>
              <w:t>3</w:t>
            </w:r>
            <w:r>
              <w:rPr>
                <w:rFonts w:hint="eastAsia" w:ascii="楷体" w:hAnsi="楷体" w:eastAsia="楷体" w:cs="楷体"/>
                <w:color w:val="000000"/>
                <w:sz w:val="18"/>
                <w:szCs w:val="18"/>
              </w:rPr>
              <w:t>房</w:t>
            </w:r>
            <w:r>
              <w:rPr>
                <w:rFonts w:hint="eastAsia" w:ascii="楷体" w:hAnsi="楷体" w:eastAsia="楷体" w:cs="楷体"/>
                <w:color w:val="000000"/>
                <w:sz w:val="18"/>
                <w:szCs w:val="18"/>
                <w:lang w:val="en-US" w:eastAsia="zh-CN"/>
              </w:rPr>
              <w:t>2</w:t>
            </w:r>
            <w:r>
              <w:rPr>
                <w:rFonts w:hint="eastAsia" w:ascii="楷体" w:hAnsi="楷体" w:eastAsia="楷体" w:cs="楷体"/>
                <w:color w:val="000000"/>
                <w:sz w:val="18"/>
                <w:szCs w:val="18"/>
              </w:rPr>
              <w:t>厅</w:t>
            </w:r>
            <w:r>
              <w:rPr>
                <w:rFonts w:hint="eastAsia" w:ascii="楷体" w:hAnsi="楷体" w:eastAsia="楷体" w:cs="楷体"/>
                <w:color w:val="000000"/>
                <w:sz w:val="18"/>
                <w:szCs w:val="18"/>
                <w:lang w:val="en-US" w:eastAsia="zh-CN"/>
              </w:rPr>
              <w:t>1</w:t>
            </w:r>
            <w:r>
              <w:rPr>
                <w:rFonts w:hint="eastAsia" w:ascii="楷体" w:hAnsi="楷体" w:eastAsia="楷体" w:cs="楷体"/>
                <w:color w:val="000000"/>
                <w:sz w:val="18"/>
                <w:szCs w:val="18"/>
              </w:rPr>
              <w:t>厨</w:t>
            </w:r>
            <w:r>
              <w:rPr>
                <w:rFonts w:hint="eastAsia" w:ascii="楷体" w:hAnsi="楷体" w:eastAsia="楷体" w:cs="楷体"/>
                <w:color w:val="000000"/>
                <w:sz w:val="18"/>
                <w:szCs w:val="18"/>
                <w:lang w:val="en-US" w:eastAsia="zh-CN"/>
              </w:rPr>
              <w:t>1</w:t>
            </w:r>
            <w:r>
              <w:rPr>
                <w:rFonts w:hint="eastAsia" w:ascii="楷体" w:hAnsi="楷体" w:eastAsia="楷体" w:cs="楷体"/>
                <w:color w:val="000000"/>
                <w:sz w:val="18"/>
                <w:szCs w:val="18"/>
              </w:rPr>
              <w:t>卫</w:t>
            </w:r>
            <w:r>
              <w:rPr>
                <w:rFonts w:hint="eastAsia" w:ascii="楷体" w:hAnsi="楷体" w:eastAsia="楷体" w:cs="楷体"/>
                <w:color w:val="000000"/>
                <w:sz w:val="18"/>
                <w:szCs w:val="18"/>
                <w:lang w:eastAsia="zh-CN"/>
              </w:rPr>
              <w:t>、</w:t>
            </w:r>
            <w:r>
              <w:rPr>
                <w:rFonts w:hint="eastAsia" w:ascii="楷体" w:hAnsi="楷体" w:eastAsia="楷体" w:cs="楷体"/>
                <w:color w:val="000000"/>
                <w:sz w:val="18"/>
                <w:szCs w:val="18"/>
                <w:lang w:val="en-US" w:eastAsia="zh-CN"/>
              </w:rPr>
              <w:t>6层户型为1厅1房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9、建筑功能</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功能配套一般，得房率、空间利用率高，防水、保温、隔热、通风、采光、日照一般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10、工程质量</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未见有工程质量问题，工程质量较好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11、外观</w:t>
            </w:r>
          </w:p>
        </w:tc>
        <w:tc>
          <w:tcPr>
            <w:tcW w:w="7594" w:type="dxa"/>
          </w:tcPr>
          <w:p>
            <w:pPr>
              <w:spacing w:line="440" w:lineRule="exact"/>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瓷砖饰面</w:t>
            </w:r>
            <w:r>
              <w:rPr>
                <w:rFonts w:hint="eastAsia" w:ascii="楷体" w:hAnsi="楷体" w:eastAsia="楷体" w:cs="楷体"/>
                <w:color w:val="000000"/>
                <w:sz w:val="18"/>
                <w:szCs w:val="18"/>
              </w:rPr>
              <w:t>，楼宇外观</w:t>
            </w:r>
            <w:r>
              <w:rPr>
                <w:rFonts w:hint="eastAsia" w:ascii="楷体" w:hAnsi="楷体" w:eastAsia="楷体" w:cs="楷体"/>
                <w:color w:val="000000"/>
                <w:sz w:val="18"/>
                <w:szCs w:val="18"/>
                <w:lang w:val="en-US" w:eastAsia="zh-CN"/>
              </w:rPr>
              <w:t>较好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12、新旧程度</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建成年份为200</w:t>
            </w:r>
            <w:r>
              <w:rPr>
                <w:rFonts w:hint="eastAsia" w:ascii="楷体" w:hAnsi="楷体" w:eastAsia="楷体" w:cs="楷体"/>
                <w:color w:val="000000"/>
                <w:sz w:val="18"/>
                <w:szCs w:val="18"/>
                <w:lang w:val="en-US" w:eastAsia="zh-CN"/>
              </w:rPr>
              <w:t>3</w:t>
            </w:r>
            <w:r>
              <w:rPr>
                <w:rFonts w:hint="eastAsia" w:ascii="楷体" w:hAnsi="楷体" w:eastAsia="楷体" w:cs="楷体"/>
                <w:color w:val="000000"/>
                <w:sz w:val="18"/>
                <w:szCs w:val="18"/>
              </w:rPr>
              <w:t>年，</w:t>
            </w:r>
            <w:r>
              <w:rPr>
                <w:rFonts w:hint="eastAsia" w:ascii="楷体" w:hAnsi="楷体" w:eastAsia="楷体" w:cs="楷体"/>
                <w:color w:val="000000"/>
                <w:sz w:val="18"/>
                <w:szCs w:val="18"/>
                <w:lang w:val="en-US" w:eastAsia="zh-CN"/>
              </w:rPr>
              <w:t>混合结构经济耐用年限为50年，采用</w:t>
            </w:r>
            <w:r>
              <w:rPr>
                <w:rFonts w:hint="eastAsia" w:ascii="楷体" w:hAnsi="楷体" w:eastAsia="楷体" w:cs="楷体"/>
                <w:color w:val="000000"/>
                <w:sz w:val="18"/>
                <w:szCs w:val="18"/>
              </w:rPr>
              <w:t>直线法确定估价对象成新率为</w:t>
            </w:r>
            <w:r>
              <w:rPr>
                <w:rFonts w:hint="eastAsia" w:ascii="楷体" w:hAnsi="楷体" w:eastAsia="楷体" w:cs="楷体"/>
                <w:color w:val="000000"/>
                <w:sz w:val="18"/>
                <w:szCs w:val="18"/>
                <w:lang w:val="en-US" w:eastAsia="zh-CN"/>
              </w:rPr>
              <w:t>62</w:t>
            </w:r>
            <w:r>
              <w:rPr>
                <w:rFonts w:hint="eastAsia" w:ascii="楷体" w:hAnsi="楷体" w:eastAsia="楷体" w:cs="楷体"/>
                <w:color w:val="00000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13、使用及维护状况</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使用正常，维护状况较好；经实地查勘，房屋基础有足够承载力，无超过允许范围的不均匀沉降，承重结构部件及非承重墙体基本完好，门窗及五金配件等较齐全完整，为基本完好房；路面完好，设备管道运行基本正常；未见有明显影响质量安全的问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14、特殊景观</w:t>
            </w:r>
          </w:p>
        </w:tc>
        <w:tc>
          <w:tcPr>
            <w:tcW w:w="7594" w:type="dxa"/>
          </w:tcPr>
          <w:p>
            <w:pPr>
              <w:spacing w:line="440" w:lineRule="exact"/>
              <w:rPr>
                <w:rFonts w:ascii="楷体" w:hAnsi="楷体" w:eastAsia="楷体" w:cs="楷体"/>
                <w:color w:val="000000"/>
                <w:sz w:val="18"/>
                <w:szCs w:val="18"/>
              </w:rPr>
            </w:pPr>
            <w:r>
              <w:rPr>
                <w:rFonts w:hint="eastAsia" w:ascii="楷体" w:hAnsi="楷体" w:eastAsia="楷体" w:cs="楷体"/>
                <w:color w:val="000000"/>
                <w:sz w:val="18"/>
                <w:szCs w:val="18"/>
              </w:rPr>
              <w:t>无特殊景观</w:t>
            </w:r>
          </w:p>
        </w:tc>
      </w:tr>
    </w:tbl>
    <w:p>
      <w:pPr>
        <w:spacing w:line="480" w:lineRule="exact"/>
        <w:ind w:firstLine="480" w:firstLineChars="200"/>
        <w:rPr>
          <w:rFonts w:ascii="楷体" w:hAnsi="楷体" w:eastAsia="楷体"/>
          <w:sz w:val="24"/>
          <w:szCs w:val="24"/>
        </w:rPr>
      </w:pPr>
      <w:r>
        <w:rPr>
          <w:rFonts w:hint="eastAsia" w:ascii="楷体" w:hAnsi="楷体" w:eastAsia="楷体"/>
          <w:color w:val="000000"/>
          <w:sz w:val="24"/>
        </w:rPr>
        <w:t xml:space="preserve"> </w:t>
      </w:r>
      <w:r>
        <w:rPr>
          <w:rFonts w:hint="eastAsia" w:ascii="楷体" w:hAnsi="楷体" w:eastAsia="楷体"/>
          <w:sz w:val="24"/>
          <w:szCs w:val="24"/>
        </w:rPr>
        <w:t>2、估价对象室内二次装修一览表：</w:t>
      </w:r>
    </w:p>
    <w:tbl>
      <w:tblPr>
        <w:tblStyle w:val="14"/>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070"/>
        <w:gridCol w:w="1032"/>
        <w:gridCol w:w="3033"/>
        <w:gridCol w:w="111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4" w:type="pct"/>
            <w:gridSpan w:val="2"/>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项目名称</w:t>
            </w:r>
          </w:p>
        </w:tc>
        <w:tc>
          <w:tcPr>
            <w:tcW w:w="55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地面</w:t>
            </w:r>
          </w:p>
        </w:tc>
        <w:tc>
          <w:tcPr>
            <w:tcW w:w="161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墙面</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天棚</w:t>
            </w:r>
          </w:p>
        </w:tc>
        <w:tc>
          <w:tcPr>
            <w:tcW w:w="1292"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4" w:type="pct"/>
            <w:gridSpan w:val="2"/>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lang w:val="en-US" w:eastAsia="zh-CN"/>
              </w:rPr>
              <w:t>一层</w:t>
            </w:r>
          </w:p>
        </w:tc>
        <w:tc>
          <w:tcPr>
            <w:tcW w:w="550" w:type="pct"/>
            <w:vAlign w:val="center"/>
          </w:tcPr>
          <w:p>
            <w:pPr>
              <w:spacing w:line="440" w:lineRule="exact"/>
              <w:jc w:val="center"/>
              <w:rPr>
                <w:rFonts w:hint="eastAsia" w:ascii="楷体" w:hAnsi="楷体" w:eastAsia="楷体"/>
                <w:color w:val="000000"/>
                <w:sz w:val="18"/>
                <w:szCs w:val="18"/>
                <w:lang w:eastAsia="zh-CN"/>
              </w:rPr>
            </w:pPr>
            <w:r>
              <w:rPr>
                <w:rFonts w:hint="eastAsia" w:ascii="楷体" w:hAnsi="楷体" w:eastAsia="楷体"/>
                <w:color w:val="000000"/>
                <w:sz w:val="18"/>
                <w:szCs w:val="18"/>
                <w:lang w:val="en-US" w:eastAsia="zh-CN"/>
              </w:rPr>
              <w:t>大理石</w:t>
            </w:r>
          </w:p>
        </w:tc>
        <w:tc>
          <w:tcPr>
            <w:tcW w:w="161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电动卷帘门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4" w:type="pct"/>
            <w:vMerge w:val="restart"/>
            <w:vAlign w:val="center"/>
          </w:tcPr>
          <w:p>
            <w:pPr>
              <w:spacing w:line="440" w:lineRule="exact"/>
              <w:jc w:val="center"/>
              <w:rPr>
                <w:rFonts w:hint="eastAsia" w:ascii="楷体" w:hAnsi="楷体" w:eastAsia="楷体"/>
                <w:color w:val="000000"/>
                <w:sz w:val="18"/>
                <w:szCs w:val="18"/>
                <w:lang w:eastAsia="zh-CN"/>
              </w:rPr>
            </w:pPr>
            <w:r>
              <w:rPr>
                <w:rFonts w:hint="eastAsia" w:ascii="楷体" w:hAnsi="楷体" w:eastAsia="楷体"/>
                <w:color w:val="000000"/>
                <w:sz w:val="18"/>
                <w:szCs w:val="18"/>
                <w:lang w:val="en-US" w:eastAsia="zh-CN"/>
              </w:rPr>
              <w:t>五层</w:t>
            </w:r>
          </w:p>
        </w:tc>
        <w:tc>
          <w:tcPr>
            <w:tcW w:w="57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客厅</w:t>
            </w:r>
          </w:p>
        </w:tc>
        <w:tc>
          <w:tcPr>
            <w:tcW w:w="550" w:type="pct"/>
            <w:vAlign w:val="center"/>
          </w:tcPr>
          <w:p>
            <w:pPr>
              <w:spacing w:line="440" w:lineRule="exact"/>
              <w:jc w:val="center"/>
              <w:rPr>
                <w:rFonts w:hint="eastAsia" w:ascii="楷体" w:hAnsi="楷体" w:eastAsia="楷体"/>
                <w:color w:val="000000"/>
                <w:sz w:val="18"/>
                <w:szCs w:val="18"/>
                <w:lang w:eastAsia="zh-CN"/>
              </w:rPr>
            </w:pPr>
            <w:r>
              <w:rPr>
                <w:rFonts w:hint="eastAsia" w:ascii="楷体" w:hAnsi="楷体" w:eastAsia="楷体"/>
                <w:color w:val="000000"/>
                <w:sz w:val="18"/>
                <w:szCs w:val="18"/>
                <w:lang w:val="en-US" w:eastAsia="zh-CN"/>
              </w:rPr>
              <w:t>水磨石</w:t>
            </w:r>
          </w:p>
        </w:tc>
        <w:tc>
          <w:tcPr>
            <w:tcW w:w="161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墙裙面砖、其余白灰粉刷</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4" w:type="pct"/>
            <w:vMerge w:val="continue"/>
            <w:vAlign w:val="center"/>
          </w:tcPr>
          <w:p>
            <w:pPr>
              <w:spacing w:line="440" w:lineRule="exact"/>
              <w:jc w:val="center"/>
              <w:rPr>
                <w:rFonts w:ascii="楷体" w:hAnsi="楷体" w:eastAsia="楷体"/>
                <w:color w:val="000000"/>
                <w:sz w:val="18"/>
                <w:szCs w:val="18"/>
              </w:rPr>
            </w:pPr>
          </w:p>
        </w:tc>
        <w:tc>
          <w:tcPr>
            <w:tcW w:w="57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厨房</w:t>
            </w:r>
          </w:p>
        </w:tc>
        <w:tc>
          <w:tcPr>
            <w:tcW w:w="55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lang w:val="en-US" w:eastAsia="zh-CN"/>
              </w:rPr>
              <w:t>水磨石</w:t>
            </w:r>
          </w:p>
        </w:tc>
        <w:tc>
          <w:tcPr>
            <w:tcW w:w="1616"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瓷砖饰面</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大理石灶台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4" w:type="pct"/>
            <w:vMerge w:val="continue"/>
            <w:vAlign w:val="center"/>
          </w:tcPr>
          <w:p>
            <w:pPr>
              <w:spacing w:line="440" w:lineRule="exact"/>
              <w:jc w:val="center"/>
              <w:rPr>
                <w:rFonts w:ascii="楷体" w:hAnsi="楷体" w:eastAsia="楷体"/>
                <w:color w:val="000000"/>
                <w:sz w:val="18"/>
                <w:szCs w:val="18"/>
              </w:rPr>
            </w:pPr>
          </w:p>
        </w:tc>
        <w:tc>
          <w:tcPr>
            <w:tcW w:w="57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卫生间</w:t>
            </w:r>
          </w:p>
        </w:tc>
        <w:tc>
          <w:tcPr>
            <w:tcW w:w="55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瓷砖</w:t>
            </w:r>
          </w:p>
        </w:tc>
        <w:tc>
          <w:tcPr>
            <w:tcW w:w="161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lang w:val="en-US" w:eastAsia="zh-CN"/>
              </w:rPr>
              <w:t>瓷砖饰面</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蹲盆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4" w:type="pct"/>
            <w:vMerge w:val="continue"/>
            <w:vAlign w:val="center"/>
          </w:tcPr>
          <w:p>
            <w:pPr>
              <w:spacing w:line="440" w:lineRule="exact"/>
              <w:jc w:val="center"/>
              <w:rPr>
                <w:rFonts w:ascii="楷体" w:hAnsi="楷体" w:eastAsia="楷体"/>
                <w:color w:val="000000"/>
                <w:sz w:val="18"/>
                <w:szCs w:val="18"/>
              </w:rPr>
            </w:pPr>
          </w:p>
        </w:tc>
        <w:tc>
          <w:tcPr>
            <w:tcW w:w="57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卧室</w:t>
            </w:r>
          </w:p>
        </w:tc>
        <w:tc>
          <w:tcPr>
            <w:tcW w:w="550"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lang w:val="en-US" w:eastAsia="zh-CN"/>
              </w:rPr>
              <w:t>水磨石</w:t>
            </w:r>
          </w:p>
        </w:tc>
        <w:tc>
          <w:tcPr>
            <w:tcW w:w="161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596"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ascii="楷体" w:hAnsi="楷体" w:eastAsia="楷体"/>
                <w:color w:val="000000"/>
                <w:sz w:val="18"/>
                <w:szCs w:val="18"/>
              </w:rPr>
            </w:pPr>
            <w:r>
              <w:rPr>
                <w:rFonts w:hint="eastAsia" w:ascii="楷体" w:hAnsi="楷体" w:eastAsia="楷体"/>
                <w:color w:val="000000"/>
                <w:sz w:val="18"/>
                <w:szCs w:val="18"/>
              </w:rPr>
              <w:t>木质衣柜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4" w:type="pct"/>
            <w:gridSpan w:val="2"/>
            <w:vAlign w:val="center"/>
          </w:tcPr>
          <w:p>
            <w:pPr>
              <w:spacing w:line="440" w:lineRule="exact"/>
              <w:jc w:val="center"/>
              <w:rPr>
                <w:rFonts w:hint="eastAsia" w:ascii="楷体" w:hAnsi="楷体" w:eastAsia="楷体"/>
                <w:color w:val="000000"/>
                <w:sz w:val="18"/>
                <w:szCs w:val="18"/>
              </w:rPr>
            </w:pPr>
            <w:r>
              <w:rPr>
                <w:rFonts w:hint="eastAsia" w:ascii="楷体" w:hAnsi="楷体" w:eastAsia="楷体"/>
                <w:color w:val="000000"/>
                <w:sz w:val="18"/>
                <w:szCs w:val="18"/>
                <w:lang w:val="en-US" w:eastAsia="zh-CN"/>
              </w:rPr>
              <w:t>六层</w:t>
            </w:r>
          </w:p>
        </w:tc>
        <w:tc>
          <w:tcPr>
            <w:tcW w:w="550" w:type="pct"/>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lang w:val="en-US" w:eastAsia="zh-CN"/>
              </w:rPr>
              <w:t>水泥地面</w:t>
            </w:r>
          </w:p>
        </w:tc>
        <w:tc>
          <w:tcPr>
            <w:tcW w:w="1616"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rPr>
              <w:t>白灰粉刷</w:t>
            </w:r>
          </w:p>
        </w:tc>
        <w:tc>
          <w:tcPr>
            <w:tcW w:w="596" w:type="pct"/>
            <w:vAlign w:val="center"/>
          </w:tcPr>
          <w:p>
            <w:pPr>
              <w:spacing w:line="440" w:lineRule="exact"/>
              <w:jc w:val="center"/>
              <w:rPr>
                <w:rFonts w:hint="eastAsia" w:ascii="楷体" w:hAnsi="楷体" w:eastAsia="楷体" w:cs="Times New Roman"/>
                <w:color w:val="000000"/>
                <w:kern w:val="2"/>
                <w:sz w:val="18"/>
                <w:szCs w:val="18"/>
                <w:lang w:val="en-US" w:eastAsia="zh-CN" w:bidi="ar-SA"/>
              </w:rPr>
            </w:pPr>
            <w:r>
              <w:rPr>
                <w:rFonts w:hint="eastAsia" w:ascii="楷体" w:hAnsi="楷体" w:eastAsia="楷体"/>
                <w:color w:val="000000"/>
                <w:sz w:val="18"/>
                <w:szCs w:val="18"/>
              </w:rPr>
              <w:t>白灰粉刷</w:t>
            </w:r>
          </w:p>
        </w:tc>
        <w:tc>
          <w:tcPr>
            <w:tcW w:w="1292" w:type="pct"/>
            <w:vAlign w:val="center"/>
          </w:tcPr>
          <w:p>
            <w:pPr>
              <w:spacing w:line="440" w:lineRule="exact"/>
              <w:jc w:val="center"/>
              <w:rPr>
                <w:rFonts w:hint="eastAsia" w:ascii="楷体" w:hAnsi="楷体" w:eastAsia="楷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6"/>
            <w:vAlign w:val="center"/>
          </w:tcPr>
          <w:p>
            <w:pPr>
              <w:spacing w:line="440" w:lineRule="exact"/>
              <w:jc w:val="center"/>
              <w:rPr>
                <w:rFonts w:hint="default" w:ascii="楷体" w:hAnsi="楷体" w:eastAsia="楷体"/>
                <w:color w:val="000000"/>
                <w:sz w:val="18"/>
                <w:szCs w:val="18"/>
                <w:lang w:val="en-US" w:eastAsia="zh-CN"/>
              </w:rPr>
            </w:pPr>
            <w:r>
              <w:rPr>
                <w:rFonts w:hint="eastAsia" w:ascii="楷体" w:hAnsi="楷体" w:eastAsia="楷体"/>
                <w:color w:val="000000"/>
                <w:sz w:val="18"/>
                <w:szCs w:val="18"/>
              </w:rPr>
              <w:t>综上，待估对象属普通装修</w:t>
            </w:r>
            <w:r>
              <w:rPr>
                <w:rFonts w:hint="eastAsia" w:ascii="楷体" w:hAnsi="楷体" w:eastAsia="楷体"/>
                <w:color w:val="000000"/>
                <w:sz w:val="18"/>
                <w:szCs w:val="18"/>
                <w:lang w:eastAsia="zh-CN"/>
              </w:rPr>
              <w:t>（</w:t>
            </w:r>
            <w:r>
              <w:rPr>
                <w:rFonts w:hint="eastAsia" w:ascii="楷体" w:hAnsi="楷体" w:eastAsia="楷体"/>
                <w:color w:val="000000"/>
                <w:sz w:val="18"/>
                <w:szCs w:val="18"/>
                <w:lang w:val="en-US" w:eastAsia="zh-CN"/>
              </w:rPr>
              <w:t>第六层为简单装修</w:t>
            </w:r>
            <w:r>
              <w:rPr>
                <w:rFonts w:hint="eastAsia" w:ascii="楷体" w:hAnsi="楷体" w:eastAsia="楷体"/>
                <w:color w:val="000000"/>
                <w:sz w:val="18"/>
                <w:szCs w:val="18"/>
                <w:lang w:eastAsia="zh-CN"/>
              </w:rPr>
              <w:t>）</w:t>
            </w:r>
          </w:p>
        </w:tc>
      </w:tr>
    </w:tbl>
    <w:p>
      <w:pPr>
        <w:keepNext w:val="0"/>
        <w:keepLines w:val="0"/>
        <w:pageBreakBefore w:val="0"/>
        <w:widowControl/>
        <w:tabs>
          <w:tab w:val="left" w:pos="525"/>
        </w:tabs>
        <w:kinsoku/>
        <w:wordWrap/>
        <w:overflowPunct/>
        <w:topLinePunct w:val="0"/>
        <w:autoSpaceDE/>
        <w:autoSpaceDN/>
        <w:bidi w:val="0"/>
        <w:adjustRightInd/>
        <w:snapToGrid/>
        <w:spacing w:line="480" w:lineRule="exact"/>
        <w:ind w:firstLine="235" w:firstLineChars="98"/>
        <w:textAlignment w:val="auto"/>
        <w:rPr>
          <w:rFonts w:ascii="楷体" w:hAnsi="楷体" w:eastAsia="楷体"/>
          <w:b/>
          <w:bCs/>
          <w:color w:val="000000"/>
          <w:sz w:val="24"/>
        </w:rPr>
      </w:pPr>
      <w:r>
        <w:rPr>
          <w:rFonts w:hint="eastAsia" w:ascii="楷体" w:hAnsi="楷体" w:eastAsia="楷体"/>
          <w:color w:val="000000"/>
          <w:sz w:val="24"/>
        </w:rPr>
        <w:t xml:space="preserve"> </w:t>
      </w:r>
      <w:r>
        <w:rPr>
          <w:rFonts w:hint="eastAsia" w:ascii="楷体" w:hAnsi="楷体" w:eastAsia="楷体"/>
          <w:b/>
          <w:bCs/>
          <w:color w:val="000000"/>
          <w:sz w:val="24"/>
        </w:rPr>
        <w:t>五、价值时点</w:t>
      </w:r>
    </w:p>
    <w:p>
      <w:pPr>
        <w:keepNext w:val="0"/>
        <w:keepLines w:val="0"/>
        <w:pageBreakBefore w:val="0"/>
        <w:widowControl/>
        <w:kinsoku/>
        <w:wordWrap/>
        <w:overflowPunct/>
        <w:topLinePunct w:val="0"/>
        <w:autoSpaceDE/>
        <w:autoSpaceDN/>
        <w:bidi w:val="0"/>
        <w:adjustRightInd/>
        <w:snapToGrid/>
        <w:spacing w:line="480" w:lineRule="exact"/>
        <w:ind w:left="-60" w:leftChars="-29" w:firstLine="600" w:firstLineChars="250"/>
        <w:textAlignment w:val="auto"/>
        <w:rPr>
          <w:rFonts w:ascii="楷体" w:hAnsi="楷体" w:eastAsia="楷体"/>
          <w:sz w:val="24"/>
        </w:rPr>
      </w:pPr>
      <w:r>
        <w:rPr>
          <w:rFonts w:hint="eastAsia" w:ascii="楷体" w:hAnsi="楷体" w:eastAsia="楷体"/>
          <w:sz w:val="24"/>
          <w:lang w:eastAsia="zh-CN"/>
        </w:rPr>
        <w:t>2022年08月30日</w:t>
      </w:r>
      <w:r>
        <w:rPr>
          <w:rFonts w:hint="eastAsia" w:ascii="楷体" w:hAnsi="楷体" w:eastAsia="楷体"/>
          <w:sz w:val="24"/>
        </w:rPr>
        <w:t>，因法院委托书未明确本次价值时点，根据中房协关于印发《涉执房地产处置司法评估指导意见（试行）》的通知，本次价值时点根据现场勘查日</w:t>
      </w:r>
      <w:r>
        <w:rPr>
          <w:rFonts w:hint="eastAsia" w:ascii="楷体" w:hAnsi="楷体" w:eastAsia="楷体"/>
          <w:sz w:val="24"/>
          <w:lang w:eastAsia="zh-CN"/>
        </w:rPr>
        <w:t>2022年08月30日</w:t>
      </w:r>
      <w:r>
        <w:rPr>
          <w:rFonts w:hint="eastAsia" w:ascii="楷体" w:hAnsi="楷体" w:eastAsia="楷体"/>
          <w:sz w:val="24"/>
        </w:rPr>
        <w:t>确定。</w:t>
      </w:r>
    </w:p>
    <w:p>
      <w:pPr>
        <w:keepNext w:val="0"/>
        <w:keepLines w:val="0"/>
        <w:pageBreakBefore w:val="0"/>
        <w:widowControl/>
        <w:tabs>
          <w:tab w:val="left" w:pos="525"/>
        </w:tabs>
        <w:kinsoku/>
        <w:wordWrap/>
        <w:overflowPunct/>
        <w:topLinePunct w:val="0"/>
        <w:autoSpaceDE/>
        <w:autoSpaceDN/>
        <w:bidi w:val="0"/>
        <w:adjustRightInd/>
        <w:snapToGrid/>
        <w:spacing w:line="480" w:lineRule="exact"/>
        <w:ind w:firstLine="235" w:firstLineChars="98"/>
        <w:textAlignment w:val="auto"/>
        <w:rPr>
          <w:rFonts w:ascii="楷体" w:hAnsi="楷体" w:eastAsia="楷体"/>
          <w:b/>
          <w:bCs/>
          <w:color w:val="000000"/>
          <w:sz w:val="24"/>
        </w:rPr>
      </w:pPr>
      <w:r>
        <w:rPr>
          <w:rFonts w:hint="eastAsia" w:ascii="楷体" w:hAnsi="楷体" w:eastAsia="楷体"/>
          <w:b/>
          <w:bCs/>
          <w:color w:val="000000"/>
          <w:sz w:val="24"/>
        </w:rPr>
        <w:t xml:space="preserve">  六、价值类型</w:t>
      </w:r>
    </w:p>
    <w:p>
      <w:pPr>
        <w:keepNext w:val="0"/>
        <w:keepLines w:val="0"/>
        <w:pageBreakBefore w:val="0"/>
        <w:widowControl/>
        <w:kinsoku/>
        <w:wordWrap/>
        <w:overflowPunct/>
        <w:topLinePunct w:val="0"/>
        <w:autoSpaceDE/>
        <w:autoSpaceDN/>
        <w:bidi w:val="0"/>
        <w:adjustRightInd/>
        <w:snapToGrid/>
        <w:spacing w:line="480" w:lineRule="exact"/>
        <w:ind w:firstLine="525"/>
        <w:textAlignment w:val="auto"/>
        <w:rPr>
          <w:rFonts w:ascii="楷体" w:hAnsi="楷体" w:eastAsia="楷体"/>
          <w:color w:val="000000"/>
          <w:sz w:val="24"/>
          <w:szCs w:val="24"/>
        </w:rPr>
      </w:pPr>
      <w:r>
        <w:rPr>
          <w:rFonts w:hint="eastAsia" w:ascii="楷体" w:hAnsi="楷体" w:eastAsia="楷体"/>
          <w:color w:val="000000"/>
          <w:sz w:val="24"/>
          <w:szCs w:val="24"/>
        </w:rPr>
        <w:t>（一）价值类型名称</w:t>
      </w:r>
    </w:p>
    <w:p>
      <w:pPr>
        <w:keepNext w:val="0"/>
        <w:keepLines w:val="0"/>
        <w:pageBreakBefore w:val="0"/>
        <w:widowControl/>
        <w:kinsoku/>
        <w:wordWrap/>
        <w:overflowPunct/>
        <w:topLinePunct w:val="0"/>
        <w:autoSpaceDE/>
        <w:autoSpaceDN/>
        <w:bidi w:val="0"/>
        <w:adjustRightInd/>
        <w:snapToGrid/>
        <w:spacing w:line="480" w:lineRule="exact"/>
        <w:ind w:firstLine="525"/>
        <w:textAlignment w:val="auto"/>
        <w:rPr>
          <w:rFonts w:ascii="楷体" w:hAnsi="楷体" w:eastAsia="楷体"/>
          <w:color w:val="000000"/>
          <w:sz w:val="24"/>
          <w:szCs w:val="24"/>
        </w:rPr>
      </w:pPr>
      <w:r>
        <w:rPr>
          <w:rFonts w:hint="eastAsia" w:ascii="楷体" w:hAnsi="楷体" w:eastAsia="楷体"/>
          <w:color w:val="000000"/>
          <w:sz w:val="24"/>
          <w:szCs w:val="24"/>
        </w:rPr>
        <w:t>本次估价的价值类型为</w:t>
      </w:r>
      <w:r>
        <w:rPr>
          <w:rFonts w:hint="eastAsia" w:ascii="楷体" w:hAnsi="楷体" w:eastAsia="楷体"/>
          <w:color w:val="000000"/>
          <w:sz w:val="24"/>
          <w:szCs w:val="24"/>
          <w:lang w:eastAsia="zh-CN"/>
        </w:rPr>
        <w:t>市场价格</w:t>
      </w:r>
      <w:r>
        <w:rPr>
          <w:rFonts w:hint="eastAsia" w:ascii="楷体" w:hAnsi="楷体" w:eastAsia="楷体"/>
          <w:color w:val="000000"/>
          <w:sz w:val="24"/>
          <w:szCs w:val="24"/>
        </w:rPr>
        <w:t>。</w:t>
      </w:r>
    </w:p>
    <w:p>
      <w:pPr>
        <w:keepNext w:val="0"/>
        <w:keepLines w:val="0"/>
        <w:pageBreakBefore w:val="0"/>
        <w:widowControl/>
        <w:kinsoku/>
        <w:wordWrap/>
        <w:overflowPunct/>
        <w:topLinePunct w:val="0"/>
        <w:autoSpaceDE/>
        <w:autoSpaceDN/>
        <w:bidi w:val="0"/>
        <w:adjustRightInd/>
        <w:snapToGrid/>
        <w:spacing w:line="480" w:lineRule="exact"/>
        <w:ind w:firstLine="525"/>
        <w:textAlignment w:val="auto"/>
        <w:rPr>
          <w:rFonts w:ascii="楷体" w:hAnsi="楷体" w:eastAsia="楷体"/>
          <w:color w:val="000000"/>
          <w:sz w:val="24"/>
          <w:szCs w:val="24"/>
        </w:rPr>
      </w:pPr>
      <w:r>
        <w:rPr>
          <w:rFonts w:hint="eastAsia" w:ascii="楷体" w:hAnsi="楷体" w:eastAsia="楷体"/>
          <w:color w:val="000000"/>
          <w:sz w:val="24"/>
          <w:szCs w:val="24"/>
        </w:rPr>
        <w:t>（二）价值定义</w:t>
      </w:r>
    </w:p>
    <w:p>
      <w:pPr>
        <w:keepNext w:val="0"/>
        <w:keepLines w:val="0"/>
        <w:pageBreakBefore w:val="0"/>
        <w:widowControl/>
        <w:kinsoku/>
        <w:wordWrap/>
        <w:overflowPunct/>
        <w:topLinePunct w:val="0"/>
        <w:autoSpaceDE/>
        <w:autoSpaceDN/>
        <w:bidi w:val="0"/>
        <w:adjustRightInd/>
        <w:snapToGrid/>
        <w:spacing w:line="480" w:lineRule="exact"/>
        <w:ind w:firstLine="525"/>
        <w:textAlignment w:val="auto"/>
        <w:rPr>
          <w:rFonts w:ascii="楷体" w:hAnsi="楷体" w:eastAsia="楷体"/>
          <w:color w:val="000000"/>
          <w:sz w:val="24"/>
          <w:szCs w:val="24"/>
        </w:rPr>
      </w:pPr>
      <w:r>
        <w:rPr>
          <w:rFonts w:hint="eastAsia" w:ascii="楷体" w:hAnsi="楷体" w:eastAsia="楷体"/>
          <w:color w:val="000000"/>
          <w:sz w:val="24"/>
          <w:szCs w:val="24"/>
        </w:rPr>
        <w:t>市场价格指某种房地产在市场上的平均交易价格。</w:t>
      </w:r>
    </w:p>
    <w:p>
      <w:pPr>
        <w:keepNext w:val="0"/>
        <w:keepLines w:val="0"/>
        <w:pageBreakBefore w:val="0"/>
        <w:widowControl/>
        <w:kinsoku/>
        <w:wordWrap/>
        <w:overflowPunct/>
        <w:topLinePunct w:val="0"/>
        <w:autoSpaceDE/>
        <w:autoSpaceDN/>
        <w:bidi w:val="0"/>
        <w:adjustRightInd/>
        <w:snapToGrid/>
        <w:spacing w:line="480" w:lineRule="exact"/>
        <w:ind w:firstLine="525"/>
        <w:textAlignment w:val="auto"/>
        <w:rPr>
          <w:rFonts w:ascii="楷体" w:hAnsi="楷体" w:eastAsia="楷体"/>
          <w:color w:val="000000"/>
          <w:sz w:val="24"/>
          <w:szCs w:val="24"/>
        </w:rPr>
      </w:pPr>
      <w:r>
        <w:rPr>
          <w:rFonts w:hint="eastAsia" w:ascii="楷体" w:hAnsi="楷体" w:eastAsia="楷体"/>
          <w:color w:val="000000"/>
          <w:sz w:val="24"/>
          <w:szCs w:val="24"/>
        </w:rPr>
        <w:t>（三）价值内涵</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价值内涵是指估价对象在价值时点，满足估价假设和限制条件下</w:t>
      </w:r>
      <w:r>
        <w:rPr>
          <w:rFonts w:hint="eastAsia" w:ascii="楷体" w:hAnsi="楷体" w:eastAsia="楷体"/>
          <w:sz w:val="24"/>
          <w:szCs w:val="24"/>
        </w:rPr>
        <w:t>包括建筑物（含室内二次装修）、分摊的土地使用权（含土地出让金）及公共配套设施，不包括其他动产、债权债务、特许经营权等其他财产或权益；付款方式是一次性付清房价款；房屋面积内涵是建筑面积；开发程度为现房。</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b/>
          <w:bCs/>
          <w:color w:val="000000"/>
          <w:sz w:val="24"/>
        </w:rPr>
      </w:pPr>
      <w:r>
        <w:rPr>
          <w:rFonts w:hint="eastAsia" w:ascii="楷体" w:hAnsi="楷体" w:eastAsia="楷体"/>
          <w:b/>
          <w:bCs/>
          <w:color w:val="000000"/>
          <w:sz w:val="24"/>
        </w:rPr>
        <w:t>七、估价原则</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本次估价遵循以下原则：</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1、独立、客观、公正原则：要求站在中立的立场上，实事求是、公平正直地评估出对各方估价利害关系人均是公平合理的价值或价格的原则。</w:t>
      </w:r>
    </w:p>
    <w:p>
      <w:pPr>
        <w:pStyle w:val="3"/>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2、合法原则：要求估价结果是在依法判定的估价对象状况下的价值或价格的原则。</w:t>
      </w:r>
    </w:p>
    <w:p>
      <w:pPr>
        <w:pStyle w:val="3"/>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3、价值时点原则：要求估价结果是在根据估价目的确定的某一特定时间的价值或价格的原则。</w:t>
      </w:r>
    </w:p>
    <w:p>
      <w:pPr>
        <w:pStyle w:val="3"/>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4、替代原则：要求估价结果与估价对象的类似房地产在同等条件下的价值或价格偏差在合理范围内的原则。</w:t>
      </w:r>
    </w:p>
    <w:p>
      <w:pPr>
        <w:pStyle w:val="3"/>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sz w:val="24"/>
        </w:rPr>
      </w:pPr>
      <w:r>
        <w:rPr>
          <w:rFonts w:hint="eastAsia" w:ascii="楷体" w:hAnsi="楷体" w:eastAsia="楷体"/>
          <w:sz w:val="24"/>
        </w:rPr>
        <w:t>5、最高最佳利用原则：要求估价对象是在估价对象最高最佳利用状况下的价值或价格的原则。</w:t>
      </w:r>
    </w:p>
    <w:p>
      <w:pPr>
        <w:keepNext w:val="0"/>
        <w:keepLines w:val="0"/>
        <w:pageBreakBefore w:val="0"/>
        <w:widowControl/>
        <w:kinsoku/>
        <w:wordWrap/>
        <w:overflowPunct/>
        <w:topLinePunct w:val="0"/>
        <w:autoSpaceDE/>
        <w:autoSpaceDN/>
        <w:bidi w:val="0"/>
        <w:adjustRightInd/>
        <w:snapToGrid/>
        <w:spacing w:line="480" w:lineRule="exact"/>
        <w:ind w:left="630" w:hanging="105"/>
        <w:textAlignment w:val="auto"/>
        <w:rPr>
          <w:rFonts w:ascii="楷体" w:hAnsi="楷体" w:eastAsia="楷体"/>
          <w:b/>
          <w:bCs/>
          <w:color w:val="000000"/>
          <w:sz w:val="24"/>
        </w:rPr>
      </w:pPr>
      <w:r>
        <w:rPr>
          <w:rFonts w:hint="eastAsia" w:ascii="楷体" w:hAnsi="楷体" w:eastAsia="楷体"/>
          <w:b/>
          <w:bCs/>
          <w:color w:val="000000"/>
          <w:sz w:val="24"/>
        </w:rPr>
        <w:t>八、估价依据</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(一）法律、法规和政策依据</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1、《中华人民共和国资产评估法》2016年07月02日第12届全国人大常委会第二十一次会议审议通过，自2016年12月01日起实施）；</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2、《中华人民共和国土地管理法》(2019年8月26日第十三届全国人民代表大会常务委员会第十二次会议第三次修正【主席令第32号】)；</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3、《中华人民共和国城市房地产管理法》（2019年8月26日第十三届全国人民代表大会常务委员会第十二次会议第三次修正【主席令第32号】）；</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4、《中华人民共和国城乡规划法》（2019年4月23日第十三届全国人民代表大会常务委员会第十次会议第二次修正）；</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szCs w:val="22"/>
        </w:rPr>
      </w:pPr>
      <w:r>
        <w:rPr>
          <w:rFonts w:hint="eastAsia" w:ascii="楷体" w:hAnsi="楷体" w:eastAsia="楷体"/>
          <w:sz w:val="24"/>
          <w:szCs w:val="22"/>
        </w:rPr>
        <w:t>5、《中华人民共和国民法典》（2020年5月28日，十三届全国人大三次会议表决通过，2021年1月1日起施行）；</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6、《</w:t>
      </w:r>
      <w:r>
        <w:rPr>
          <w:rFonts w:ascii="楷体" w:hAnsi="楷体" w:eastAsia="楷体"/>
          <w:sz w:val="24"/>
        </w:rPr>
        <w:t>最高人民法院关于人民法院委托评估、拍卖和变卖工作的若干规定</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7、《福建省高级人民法院司法评估拍卖工作规定（试行）》；</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8、有关部门颁布的有关法律、法规和政策文件。</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（二）估价标准依据</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1、《房地产估价规范》（</w:t>
      </w:r>
      <w:r>
        <w:rPr>
          <w:rFonts w:ascii="楷体" w:hAnsi="楷体" w:eastAsia="楷体"/>
          <w:sz w:val="24"/>
        </w:rPr>
        <w:t>GB/T50291-</w:t>
      </w:r>
      <w:r>
        <w:rPr>
          <w:rFonts w:hint="eastAsia" w:ascii="楷体" w:hAnsi="楷体" w:eastAsia="楷体"/>
          <w:sz w:val="24"/>
        </w:rPr>
        <w:t>2015</w:t>
      </w:r>
      <w:r>
        <w:rPr>
          <w:rFonts w:ascii="楷体" w:hAnsi="楷体" w:eastAsia="楷体"/>
          <w:sz w:val="24"/>
        </w:rPr>
        <w:t>，</w:t>
      </w:r>
      <w:r>
        <w:rPr>
          <w:rFonts w:hint="eastAsia" w:ascii="楷体" w:hAnsi="楷体" w:eastAsia="楷体"/>
          <w:sz w:val="24"/>
        </w:rPr>
        <w:t>2015</w:t>
      </w:r>
      <w:r>
        <w:rPr>
          <w:rFonts w:ascii="楷体" w:hAnsi="楷体" w:eastAsia="楷体"/>
          <w:sz w:val="24"/>
        </w:rPr>
        <w:t>年</w:t>
      </w:r>
      <w:r>
        <w:rPr>
          <w:rFonts w:hint="eastAsia" w:ascii="楷体" w:hAnsi="楷体" w:eastAsia="楷体"/>
          <w:sz w:val="24"/>
        </w:rPr>
        <w:t>12</w:t>
      </w:r>
      <w:r>
        <w:rPr>
          <w:rFonts w:ascii="楷体" w:hAnsi="楷体" w:eastAsia="楷体"/>
          <w:sz w:val="24"/>
        </w:rPr>
        <w:t>月1日起实施</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2、《房地产估价基本术语标准》（GB/T50899-2013,2014年2月1日起实施）；</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3、《涉执房地产处置司法评估指导意见（试行）》（中房协（2021）37号）。</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（三）估价委托人提供的资料依据</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hint="eastAsia" w:ascii="楷体" w:hAnsi="楷体" w:eastAsia="楷体"/>
          <w:sz w:val="24"/>
        </w:rPr>
      </w:pPr>
      <w:r>
        <w:rPr>
          <w:rFonts w:hint="eastAsia" w:ascii="楷体" w:hAnsi="楷体" w:eastAsia="楷体"/>
          <w:sz w:val="24"/>
        </w:rPr>
        <w:t>1、永定区人民法院出具的“</w:t>
      </w:r>
      <w:r>
        <w:rPr>
          <w:rFonts w:hint="eastAsia" w:ascii="楷体" w:hAnsi="楷体" w:eastAsia="楷体"/>
          <w:sz w:val="24"/>
          <w:lang w:eastAsia="zh-CN"/>
        </w:rPr>
        <w:t>（2022）闽0803执1089号</w:t>
      </w:r>
      <w:r>
        <w:rPr>
          <w:rFonts w:hint="eastAsia" w:ascii="楷体" w:hAnsi="楷体" w:eastAsia="楷体"/>
          <w:sz w:val="24"/>
        </w:rPr>
        <w:t>”《委托书》；</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hint="eastAsia" w:ascii="楷体" w:hAnsi="楷体" w:eastAsia="楷体"/>
          <w:sz w:val="24"/>
        </w:rPr>
      </w:pPr>
      <w:r>
        <w:rPr>
          <w:rFonts w:hint="eastAsia" w:ascii="楷体" w:hAnsi="楷体" w:eastAsia="楷体"/>
          <w:sz w:val="24"/>
        </w:rPr>
        <w:t>2、永定区人民法院提供的“</w:t>
      </w:r>
      <w:r>
        <w:rPr>
          <w:rFonts w:hint="eastAsia" w:ascii="楷体" w:hAnsi="楷体" w:eastAsia="楷体"/>
          <w:sz w:val="24"/>
          <w:lang w:eastAsia="zh-CN"/>
        </w:rPr>
        <w:t>永房权证2014字第00230号</w:t>
      </w:r>
      <w:r>
        <w:rPr>
          <w:rFonts w:hint="eastAsia" w:ascii="楷体" w:hAnsi="楷体" w:eastAsia="楷体"/>
          <w:sz w:val="24"/>
        </w:rPr>
        <w:t>”《房屋所有权证》</w:t>
      </w:r>
      <w:r>
        <w:rPr>
          <w:rFonts w:hint="eastAsia" w:ascii="楷体" w:hAnsi="楷体" w:eastAsia="楷体"/>
          <w:sz w:val="24"/>
          <w:lang w:val="en-US" w:eastAsia="zh-CN"/>
        </w:rPr>
        <w:t>及龙岩市永定区不动产登记查询证明材料</w:t>
      </w:r>
      <w:r>
        <w:rPr>
          <w:rFonts w:hint="eastAsia" w:ascii="楷体" w:hAnsi="楷体" w:eastAsia="楷体"/>
          <w:sz w:val="24"/>
        </w:rPr>
        <w:t>；</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hint="eastAsia" w:ascii="楷体" w:hAnsi="楷体" w:eastAsia="楷体"/>
          <w:sz w:val="24"/>
        </w:rPr>
      </w:pPr>
      <w:r>
        <w:rPr>
          <w:rFonts w:hint="eastAsia" w:ascii="楷体" w:hAnsi="楷体" w:eastAsia="楷体"/>
          <w:sz w:val="24"/>
        </w:rPr>
        <w:t>3、永定区人民法院提供的“</w:t>
      </w:r>
      <w:r>
        <w:rPr>
          <w:rFonts w:hint="eastAsia" w:ascii="楷体" w:hAnsi="楷体" w:eastAsia="楷体"/>
          <w:sz w:val="24"/>
          <w:lang w:eastAsia="zh-CN"/>
        </w:rPr>
        <w:t>永定国用（2014）第A5886号</w:t>
      </w:r>
      <w:r>
        <w:rPr>
          <w:rFonts w:hint="eastAsia" w:ascii="楷体" w:hAnsi="楷体" w:eastAsia="楷体"/>
          <w:sz w:val="24"/>
        </w:rPr>
        <w:t>”《国有土地使用证》</w:t>
      </w:r>
      <w:r>
        <w:rPr>
          <w:rFonts w:hint="eastAsia" w:ascii="楷体" w:hAnsi="楷体" w:eastAsia="楷体"/>
          <w:sz w:val="24"/>
          <w:lang w:val="en-US" w:eastAsia="zh-CN"/>
        </w:rPr>
        <w:t>及转让国有建设用地使用权变更登记表材料。</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（四）估价机构及注册房地产估价师搜集的资料依据</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1、估价对象现状照片；</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2、实地查勘记录；</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3、可比实例等相关资料；</w:t>
      </w:r>
    </w:p>
    <w:p>
      <w:pPr>
        <w:keepNext w:val="0"/>
        <w:keepLines w:val="0"/>
        <w:pageBreakBefore w:val="0"/>
        <w:widowControl/>
        <w:kinsoku/>
        <w:wordWrap/>
        <w:overflowPunct/>
        <w:topLinePunct w:val="0"/>
        <w:autoSpaceDE/>
        <w:autoSpaceDN/>
        <w:bidi w:val="0"/>
        <w:adjustRightInd/>
        <w:snapToGrid/>
        <w:spacing w:line="480" w:lineRule="exact"/>
        <w:ind w:firstLine="570"/>
        <w:textAlignment w:val="auto"/>
        <w:rPr>
          <w:rFonts w:ascii="楷体" w:hAnsi="楷体" w:eastAsia="楷体"/>
          <w:sz w:val="24"/>
        </w:rPr>
      </w:pPr>
      <w:r>
        <w:rPr>
          <w:rFonts w:hint="eastAsia" w:ascii="楷体" w:hAnsi="楷体" w:eastAsia="楷体"/>
          <w:sz w:val="24"/>
        </w:rPr>
        <w:t>4、当地市场调查和搜集的有关资料等。</w:t>
      </w:r>
    </w:p>
    <w:p>
      <w:pPr>
        <w:keepNext w:val="0"/>
        <w:keepLines w:val="0"/>
        <w:pageBreakBefore w:val="0"/>
        <w:widowControl/>
        <w:kinsoku/>
        <w:wordWrap/>
        <w:overflowPunct/>
        <w:topLinePunct w:val="0"/>
        <w:autoSpaceDE/>
        <w:autoSpaceDN/>
        <w:bidi w:val="0"/>
        <w:adjustRightInd/>
        <w:snapToGrid/>
        <w:spacing w:line="480" w:lineRule="exact"/>
        <w:ind w:firstLine="588" w:firstLineChars="245"/>
        <w:textAlignment w:val="auto"/>
        <w:rPr>
          <w:rFonts w:ascii="楷体" w:hAnsi="楷体" w:eastAsia="楷体"/>
          <w:b/>
          <w:bCs/>
          <w:sz w:val="24"/>
        </w:rPr>
      </w:pPr>
      <w:r>
        <w:rPr>
          <w:rFonts w:hint="eastAsia" w:ascii="楷体" w:hAnsi="楷体" w:eastAsia="楷体"/>
          <w:b/>
          <w:bCs/>
          <w:sz w:val="24"/>
        </w:rPr>
        <w:t>九、估价方法</w:t>
      </w:r>
    </w:p>
    <w:p>
      <w:pPr>
        <w:keepNext w:val="0"/>
        <w:keepLines w:val="0"/>
        <w:pageBreakBefore w:val="0"/>
        <w:widowControl/>
        <w:kinsoku/>
        <w:wordWrap/>
        <w:overflowPunct/>
        <w:topLinePunct w:val="0"/>
        <w:autoSpaceDE/>
        <w:autoSpaceDN/>
        <w:bidi w:val="0"/>
        <w:adjustRightInd/>
        <w:snapToGrid/>
        <w:spacing w:line="480" w:lineRule="exact"/>
        <w:ind w:firstLine="573"/>
        <w:textAlignment w:val="auto"/>
        <w:rPr>
          <w:rFonts w:ascii="楷体" w:hAnsi="楷体" w:eastAsia="楷体"/>
          <w:sz w:val="24"/>
          <w:szCs w:val="28"/>
        </w:rPr>
      </w:pPr>
      <w:r>
        <w:rPr>
          <w:rFonts w:hint="eastAsia" w:ascii="楷体" w:hAnsi="楷体" w:eastAsia="楷体"/>
          <w:sz w:val="24"/>
          <w:szCs w:val="28"/>
        </w:rPr>
        <w:t>本次选用比较法和收益法进行估价。</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firstLine="573"/>
        <w:textAlignment w:val="auto"/>
        <w:rPr>
          <w:rFonts w:ascii="楷体" w:hAnsi="楷体" w:eastAsia="楷体"/>
          <w:sz w:val="24"/>
          <w:szCs w:val="28"/>
        </w:rPr>
      </w:pPr>
      <w:r>
        <w:rPr>
          <w:rFonts w:hint="eastAsia" w:ascii="楷体" w:hAnsi="楷体" w:eastAsia="楷体"/>
          <w:sz w:val="24"/>
          <w:szCs w:val="28"/>
        </w:rPr>
        <w:t>比较法是指选取一定数量的可比实例，将它们与估价对象进行比较，根据其间的差异对可比实例成交价格进行处理后得到估价对象价值或价格的方法。</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firstLine="573"/>
        <w:textAlignment w:val="auto"/>
        <w:rPr>
          <w:rFonts w:ascii="楷体" w:hAnsi="楷体" w:eastAsia="楷体"/>
          <w:sz w:val="24"/>
          <w:szCs w:val="28"/>
        </w:rPr>
      </w:pPr>
      <w:r>
        <w:rPr>
          <w:rFonts w:hint="eastAsia" w:ascii="楷体" w:hAnsi="楷体" w:eastAsia="楷体"/>
          <w:sz w:val="24"/>
          <w:szCs w:val="28"/>
        </w:rPr>
        <w:t>收益法是预测估价对象的未来收益，利用报酬率或资本化率、收益乘数将未来收益转换为价值得到估价对象价值或价格的方法。</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ascii="楷体" w:hAnsi="楷体" w:eastAsia="楷体"/>
          <w:b/>
          <w:bCs/>
          <w:color w:val="000000"/>
          <w:sz w:val="24"/>
        </w:rPr>
      </w:pPr>
      <w:r>
        <w:rPr>
          <w:rFonts w:hint="eastAsia" w:ascii="楷体" w:hAnsi="楷体" w:eastAsia="楷体"/>
          <w:b/>
          <w:bCs/>
          <w:color w:val="000000"/>
          <w:sz w:val="24"/>
        </w:rPr>
        <w:t>十、估价结果</w:t>
      </w:r>
    </w:p>
    <w:p>
      <w:pPr>
        <w:keepNext w:val="0"/>
        <w:keepLines w:val="0"/>
        <w:pageBreakBefore w:val="0"/>
        <w:widowControl/>
        <w:kinsoku/>
        <w:wordWrap/>
        <w:overflowPunct/>
        <w:topLinePunct w:val="0"/>
        <w:autoSpaceDE/>
        <w:autoSpaceDN/>
        <w:bidi w:val="0"/>
        <w:adjustRightInd/>
        <w:snapToGrid/>
        <w:spacing w:line="480" w:lineRule="exact"/>
        <w:ind w:left="119" w:leftChars="57"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遵照有关的法律法规、政策文件和估价标准，根据估价委托人提供的有关资料以及本估价机构及注册房地产估价师掌握的资料，按照估价目的，遵循估价原则，采用比较法和收益法进行了分析、测算和判断，在满足估价假设前提和限制条件下，估价对象于价值时点的估价结果见下表：</w:t>
      </w:r>
    </w:p>
    <w:p>
      <w:pPr>
        <w:keepNext w:val="0"/>
        <w:keepLines w:val="0"/>
        <w:pageBreakBefore w:val="0"/>
        <w:widowControl/>
        <w:kinsoku/>
        <w:wordWrap/>
        <w:overflowPunct/>
        <w:topLinePunct w:val="0"/>
        <w:autoSpaceDE/>
        <w:autoSpaceDN/>
        <w:bidi w:val="0"/>
        <w:adjustRightInd/>
        <w:snapToGrid/>
        <w:spacing w:line="480" w:lineRule="exact"/>
        <w:ind w:left="119" w:leftChars="57"/>
        <w:jc w:val="center"/>
        <w:textAlignment w:val="auto"/>
        <w:rPr>
          <w:rFonts w:ascii="楷体" w:hAnsi="楷体" w:eastAsia="楷体"/>
          <w:sz w:val="24"/>
          <w:szCs w:val="24"/>
        </w:rPr>
      </w:pPr>
      <w:r>
        <w:rPr>
          <w:rFonts w:hint="eastAsia" w:ascii="楷体" w:hAnsi="楷体" w:eastAsia="楷体"/>
          <w:sz w:val="24"/>
          <w:szCs w:val="24"/>
        </w:rPr>
        <w:t>估价对象房地产</w:t>
      </w:r>
      <w:r>
        <w:rPr>
          <w:rFonts w:hint="eastAsia" w:ascii="楷体" w:hAnsi="楷体" w:eastAsia="楷体"/>
          <w:sz w:val="24"/>
          <w:szCs w:val="24"/>
          <w:lang w:eastAsia="zh-CN"/>
        </w:rPr>
        <w:t>市场价格</w:t>
      </w:r>
      <w:r>
        <w:rPr>
          <w:rFonts w:hint="eastAsia" w:ascii="楷体" w:hAnsi="楷体" w:eastAsia="楷体"/>
          <w:sz w:val="24"/>
          <w:szCs w:val="24"/>
        </w:rPr>
        <w:t>评估结果表</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510"/>
        <w:gridCol w:w="48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restart"/>
            <w:vAlign w:val="center"/>
          </w:tcPr>
          <w:p>
            <w:pPr>
              <w:spacing w:line="440" w:lineRule="exact"/>
              <w:jc w:val="center"/>
              <w:rPr>
                <w:rFonts w:ascii="楷体" w:hAnsi="楷体" w:eastAsia="楷体"/>
                <w:sz w:val="18"/>
                <w:szCs w:val="18"/>
              </w:rPr>
            </w:pPr>
            <w:r>
              <w:rPr>
                <w:rFonts w:hint="eastAsia" w:ascii="楷体" w:hAnsi="楷体" w:eastAsia="楷体"/>
                <w:sz w:val="18"/>
                <w:szCs w:val="18"/>
              </w:rPr>
              <w:t>价值类型</w:t>
            </w:r>
          </w:p>
        </w:tc>
        <w:tc>
          <w:tcPr>
            <w:tcW w:w="6400" w:type="dxa"/>
            <w:gridSpan w:val="2"/>
            <w:vAlign w:val="center"/>
          </w:tcPr>
          <w:p>
            <w:pPr>
              <w:spacing w:line="440" w:lineRule="exact"/>
              <w:jc w:val="center"/>
              <w:rPr>
                <w:rFonts w:ascii="楷体" w:hAnsi="楷体" w:eastAsia="楷体"/>
                <w:sz w:val="18"/>
                <w:szCs w:val="18"/>
              </w:rPr>
            </w:pPr>
            <w:r>
              <w:rPr>
                <w:rFonts w:hint="eastAsia" w:ascii="楷体" w:hAnsi="楷体" w:eastAsia="楷体"/>
                <w:sz w:val="18"/>
                <w:szCs w:val="18"/>
              </w:rPr>
              <w:t>估价结果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Merge w:val="continue"/>
            <w:vAlign w:val="center"/>
          </w:tcPr>
          <w:p>
            <w:pPr>
              <w:spacing w:line="440" w:lineRule="exact"/>
              <w:jc w:val="center"/>
              <w:rPr>
                <w:rFonts w:ascii="楷体" w:hAnsi="楷体" w:eastAsia="楷体"/>
                <w:sz w:val="18"/>
                <w:szCs w:val="18"/>
              </w:rPr>
            </w:pPr>
          </w:p>
        </w:tc>
        <w:tc>
          <w:tcPr>
            <w:tcW w:w="151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单价（元/㎡）</w:t>
            </w:r>
          </w:p>
        </w:tc>
        <w:tc>
          <w:tcPr>
            <w:tcW w:w="4890" w:type="dxa"/>
            <w:vAlign w:val="center"/>
          </w:tcPr>
          <w:p>
            <w:pPr>
              <w:spacing w:line="440" w:lineRule="exact"/>
              <w:jc w:val="center"/>
              <w:rPr>
                <w:rFonts w:ascii="楷体" w:hAnsi="楷体" w:eastAsia="楷体"/>
                <w:sz w:val="18"/>
                <w:szCs w:val="18"/>
              </w:rPr>
            </w:pPr>
            <w:r>
              <w:rPr>
                <w:rFonts w:hint="eastAsia" w:ascii="楷体" w:hAnsi="楷体" w:eastAsia="楷体"/>
                <w:sz w:val="18"/>
                <w:szCs w:val="18"/>
              </w:rPr>
              <w:t>总价（万元）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spacing w:line="520" w:lineRule="exact"/>
              <w:jc w:val="center"/>
              <w:rPr>
                <w:rFonts w:hint="eastAsia" w:ascii="楷体" w:hAnsi="楷体" w:eastAsia="楷体"/>
                <w:sz w:val="18"/>
                <w:szCs w:val="18"/>
                <w:lang w:eastAsia="zh-CN"/>
              </w:rPr>
            </w:pPr>
            <w:r>
              <w:rPr>
                <w:rFonts w:hint="eastAsia" w:ascii="楷体" w:hAnsi="楷体" w:eastAsia="楷体"/>
                <w:sz w:val="18"/>
                <w:szCs w:val="18"/>
              </w:rPr>
              <w:t>正常税费负担下的</w:t>
            </w:r>
            <w:r>
              <w:rPr>
                <w:rFonts w:hint="eastAsia" w:ascii="楷体" w:hAnsi="楷体" w:eastAsia="楷体"/>
                <w:sz w:val="18"/>
                <w:szCs w:val="18"/>
                <w:lang w:eastAsia="zh-CN"/>
              </w:rPr>
              <w:t>市场价格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3239</w:t>
            </w:r>
            <w:r>
              <w:rPr>
                <w:rFonts w:hint="eastAsia" w:ascii="楷体" w:hAnsi="楷体" w:eastAsia="楷体"/>
                <w:sz w:val="18"/>
                <w:szCs w:val="18"/>
              </w:rPr>
              <w:t>.00</w:t>
            </w: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56.55（人民币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565500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伍拾陆万伍仟伍佰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jc w:val="center"/>
              <w:rPr>
                <w:rFonts w:ascii="楷体" w:hAnsi="楷体" w:eastAsia="楷体"/>
                <w:sz w:val="18"/>
                <w:szCs w:val="18"/>
              </w:rPr>
            </w:pPr>
            <w:r>
              <w:rPr>
                <w:rFonts w:hint="eastAsia" w:ascii="楷体" w:hAnsi="楷体" w:eastAsia="楷体" w:cs="楷体"/>
                <w:sz w:val="18"/>
                <w:szCs w:val="18"/>
              </w:rPr>
              <w:t>以评估价值处置预计原权利人应负担的主要交易税费</w:t>
            </w:r>
          </w:p>
        </w:tc>
        <w:tc>
          <w:tcPr>
            <w:tcW w:w="1510" w:type="dxa"/>
            <w:vAlign w:val="center"/>
          </w:tcPr>
          <w:p>
            <w:pPr>
              <w:spacing w:line="520" w:lineRule="exact"/>
              <w:jc w:val="center"/>
              <w:rPr>
                <w:rFonts w:ascii="楷体" w:hAnsi="楷体" w:eastAsia="楷体"/>
                <w:sz w:val="18"/>
                <w:szCs w:val="18"/>
              </w:rPr>
            </w:pP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1.70（人民币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17000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壹万柒仟</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jc w:val="center"/>
              <w:rPr>
                <w:rFonts w:hint="eastAsia" w:ascii="楷体" w:hAnsi="楷体" w:eastAsia="楷体"/>
                <w:sz w:val="18"/>
                <w:szCs w:val="18"/>
                <w:lang w:eastAsia="zh-CN"/>
              </w:rPr>
            </w:pPr>
            <w:r>
              <w:rPr>
                <w:rFonts w:hint="eastAsia" w:ascii="楷体" w:hAnsi="楷体" w:eastAsia="楷体" w:cs="楷体"/>
                <w:sz w:val="18"/>
                <w:szCs w:val="18"/>
              </w:rPr>
              <w:t>扣除以评估价值处置卖方负担主要交易税费后的</w:t>
            </w:r>
            <w:r>
              <w:rPr>
                <w:rFonts w:hint="eastAsia" w:ascii="楷体" w:hAnsi="楷体" w:eastAsia="楷体" w:cs="楷体"/>
                <w:sz w:val="18"/>
                <w:szCs w:val="18"/>
                <w:lang w:eastAsia="zh-CN"/>
              </w:rPr>
              <w:t>市场价格</w:t>
            </w:r>
          </w:p>
        </w:tc>
        <w:tc>
          <w:tcPr>
            <w:tcW w:w="1510" w:type="dxa"/>
            <w:vAlign w:val="center"/>
          </w:tcPr>
          <w:p>
            <w:pPr>
              <w:spacing w:line="520" w:lineRule="exact"/>
              <w:jc w:val="center"/>
              <w:rPr>
                <w:rFonts w:ascii="楷体" w:hAnsi="楷体" w:eastAsia="楷体"/>
                <w:sz w:val="18"/>
                <w:szCs w:val="18"/>
              </w:rPr>
            </w:pPr>
            <w:r>
              <w:rPr>
                <w:rFonts w:hint="eastAsia" w:ascii="楷体" w:hAnsi="楷体" w:eastAsia="楷体"/>
                <w:sz w:val="18"/>
                <w:szCs w:val="18"/>
                <w:lang w:val="en-US" w:eastAsia="zh-CN"/>
              </w:rPr>
              <w:t>3142</w:t>
            </w:r>
            <w:r>
              <w:rPr>
                <w:rFonts w:hint="eastAsia" w:ascii="楷体" w:hAnsi="楷体" w:eastAsia="楷体"/>
                <w:sz w:val="18"/>
                <w:szCs w:val="18"/>
              </w:rPr>
              <w:t>.00</w:t>
            </w:r>
          </w:p>
        </w:tc>
        <w:tc>
          <w:tcPr>
            <w:tcW w:w="4890" w:type="dxa"/>
            <w:vAlign w:val="center"/>
          </w:tcPr>
          <w:p>
            <w:pPr>
              <w:spacing w:line="520" w:lineRule="exact"/>
              <w:jc w:val="center"/>
              <w:rPr>
                <w:rFonts w:hint="eastAsia" w:ascii="楷体" w:hAnsi="楷体" w:eastAsia="楷体"/>
                <w:sz w:val="18"/>
                <w:szCs w:val="18"/>
                <w:lang w:val="en-US" w:eastAsia="zh-CN"/>
              </w:rPr>
            </w:pPr>
            <w:r>
              <w:rPr>
                <w:rFonts w:hint="eastAsia" w:ascii="楷体" w:hAnsi="楷体" w:eastAsia="楷体"/>
                <w:sz w:val="18"/>
                <w:szCs w:val="18"/>
                <w:lang w:val="en-US" w:eastAsia="zh-CN"/>
              </w:rPr>
              <w:t>54.85（人民币</w:t>
            </w:r>
            <w:r>
              <w:rPr>
                <w:rFonts w:hint="eastAsia" w:ascii="楷体" w:hAnsi="楷体" w:eastAsia="楷体"/>
                <w:sz w:val="18"/>
                <w:szCs w:val="18"/>
                <w:lang w:val="en-US" w:eastAsia="zh-CN"/>
              </w:rPr>
              <w:fldChar w:fldCharType="begin"/>
            </w:r>
            <w:r>
              <w:rPr>
                <w:rFonts w:hint="eastAsia" w:ascii="楷体" w:hAnsi="楷体" w:eastAsia="楷体"/>
                <w:sz w:val="18"/>
                <w:szCs w:val="18"/>
                <w:lang w:val="en-US" w:eastAsia="zh-CN"/>
              </w:rPr>
              <w:instrText xml:space="preserve"> = 548500 \* CHINESENUM2 \* MERGEFORMAT </w:instrText>
            </w:r>
            <w:r>
              <w:rPr>
                <w:rFonts w:hint="eastAsia" w:ascii="楷体" w:hAnsi="楷体" w:eastAsia="楷体"/>
                <w:sz w:val="18"/>
                <w:szCs w:val="18"/>
                <w:lang w:val="en-US" w:eastAsia="zh-CN"/>
              </w:rPr>
              <w:fldChar w:fldCharType="separate"/>
            </w:r>
            <w:r>
              <w:rPr>
                <w:rFonts w:hint="eastAsia" w:ascii="楷体" w:hAnsi="楷体" w:eastAsia="楷体"/>
                <w:sz w:val="18"/>
                <w:szCs w:val="18"/>
                <w:lang w:val="en-US" w:eastAsia="zh-CN"/>
              </w:rPr>
              <w:t>伍拾肆万捌仟伍佰</w:t>
            </w:r>
            <w:r>
              <w:rPr>
                <w:rFonts w:hint="eastAsia" w:ascii="楷体" w:hAnsi="楷体" w:eastAsia="楷体"/>
                <w:sz w:val="18"/>
                <w:szCs w:val="18"/>
                <w:lang w:val="en-US" w:eastAsia="zh-CN"/>
              </w:rPr>
              <w:fldChar w:fldCharType="end"/>
            </w:r>
            <w:r>
              <w:rPr>
                <w:rFonts w:hint="eastAsia" w:ascii="楷体" w:hAnsi="楷体" w:eastAsia="楷体"/>
                <w:sz w:val="18"/>
                <w:szCs w:val="18"/>
                <w:lang w:val="en-US" w:eastAsia="zh-CN"/>
              </w:rPr>
              <w:t>元整）</w:t>
            </w:r>
          </w:p>
        </w:tc>
      </w:tr>
    </w:tbl>
    <w:p>
      <w:pPr>
        <w:spacing w:line="520" w:lineRule="exact"/>
        <w:ind w:right="358" w:firstLine="470" w:firstLineChars="196"/>
        <w:jc w:val="left"/>
        <w:rPr>
          <w:rFonts w:ascii="楷体" w:hAnsi="楷体" w:eastAsia="楷体"/>
          <w:b/>
          <w:bCs/>
          <w:color w:val="000000"/>
          <w:sz w:val="24"/>
        </w:rPr>
      </w:pPr>
      <w:r>
        <w:rPr>
          <w:rFonts w:hint="eastAsia" w:ascii="楷体" w:hAnsi="楷体" w:eastAsia="楷体"/>
          <w:b/>
          <w:bCs/>
          <w:color w:val="000000"/>
          <w:sz w:val="24"/>
        </w:rPr>
        <w:t>十一、注册房地产估价师</w:t>
      </w: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2410"/>
        <w:gridCol w:w="27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姓名</w:t>
            </w:r>
          </w:p>
        </w:tc>
        <w:tc>
          <w:tcPr>
            <w:tcW w:w="2268"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注册号</w:t>
            </w:r>
          </w:p>
        </w:tc>
        <w:tc>
          <w:tcPr>
            <w:tcW w:w="2410"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签名</w:t>
            </w:r>
          </w:p>
        </w:tc>
        <w:tc>
          <w:tcPr>
            <w:tcW w:w="2765" w:type="dxa"/>
            <w:vAlign w:val="center"/>
          </w:tcPr>
          <w:p>
            <w:pPr>
              <w:spacing w:line="700" w:lineRule="exact"/>
              <w:jc w:val="center"/>
              <w:rPr>
                <w:rFonts w:ascii="楷体" w:hAnsi="楷体" w:eastAsia="楷体"/>
                <w:color w:val="000000"/>
                <w:sz w:val="24"/>
                <w:szCs w:val="24"/>
              </w:rPr>
            </w:pPr>
            <w:r>
              <w:rPr>
                <w:rFonts w:hint="eastAsia" w:ascii="楷体" w:hAnsi="楷体" w:eastAsia="楷体"/>
                <w:color w:val="000000"/>
                <w:sz w:val="24"/>
                <w:szCs w:val="24"/>
              </w:rPr>
              <w:t>签名日期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951"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李启昌</w:t>
            </w:r>
          </w:p>
        </w:tc>
        <w:tc>
          <w:tcPr>
            <w:tcW w:w="2268"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3520170070</w:t>
            </w:r>
          </w:p>
        </w:tc>
        <w:tc>
          <w:tcPr>
            <w:tcW w:w="2410" w:type="dxa"/>
            <w:vAlign w:val="center"/>
          </w:tcPr>
          <w:p>
            <w:pPr>
              <w:spacing w:line="700" w:lineRule="exact"/>
              <w:jc w:val="center"/>
              <w:rPr>
                <w:rFonts w:ascii="楷体" w:hAnsi="楷体" w:eastAsia="楷体"/>
                <w:color w:val="0000FF"/>
                <w:sz w:val="24"/>
                <w:szCs w:val="24"/>
              </w:rPr>
            </w:pPr>
          </w:p>
        </w:tc>
        <w:tc>
          <w:tcPr>
            <w:tcW w:w="2765" w:type="dxa"/>
            <w:vAlign w:val="center"/>
          </w:tcPr>
          <w:p>
            <w:pPr>
              <w:spacing w:line="700" w:lineRule="exact"/>
              <w:jc w:val="center"/>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51"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蒋爱娟</w:t>
            </w:r>
          </w:p>
        </w:tc>
        <w:tc>
          <w:tcPr>
            <w:tcW w:w="2268"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3520140038</w:t>
            </w:r>
          </w:p>
        </w:tc>
        <w:tc>
          <w:tcPr>
            <w:tcW w:w="2410" w:type="dxa"/>
            <w:vAlign w:val="center"/>
          </w:tcPr>
          <w:p>
            <w:pPr>
              <w:spacing w:line="700" w:lineRule="exact"/>
              <w:jc w:val="center"/>
              <w:rPr>
                <w:rFonts w:ascii="楷体" w:hAnsi="楷体" w:eastAsia="楷体"/>
                <w:color w:val="0000FF"/>
                <w:sz w:val="24"/>
                <w:szCs w:val="24"/>
                <w:highlight w:val="yellow"/>
              </w:rPr>
            </w:pPr>
          </w:p>
        </w:tc>
        <w:tc>
          <w:tcPr>
            <w:tcW w:w="2765" w:type="dxa"/>
            <w:vAlign w:val="center"/>
          </w:tcPr>
          <w:p>
            <w:pPr>
              <w:spacing w:line="700" w:lineRule="exact"/>
              <w:jc w:val="center"/>
              <w:rPr>
                <w:rFonts w:ascii="楷体" w:hAnsi="楷体" w:eastAsia="楷体"/>
                <w:sz w:val="24"/>
                <w:szCs w:val="24"/>
                <w:highlight w:val="yellow"/>
              </w:rPr>
            </w:pPr>
            <w:r>
              <w:rPr>
                <w:rFonts w:hint="eastAsia" w:ascii="楷体" w:hAnsi="楷体" w:eastAsia="楷体"/>
                <w:sz w:val="24"/>
                <w:szCs w:val="24"/>
              </w:rPr>
              <w:t>年  月  日</w:t>
            </w:r>
          </w:p>
        </w:tc>
      </w:tr>
    </w:tbl>
    <w:p>
      <w:pPr>
        <w:spacing w:line="560" w:lineRule="exact"/>
        <w:ind w:firstLine="480" w:firstLineChars="200"/>
        <w:rPr>
          <w:rFonts w:ascii="楷体" w:hAnsi="楷体" w:eastAsia="楷体"/>
          <w:b/>
          <w:bCs/>
          <w:sz w:val="24"/>
          <w:szCs w:val="24"/>
        </w:rPr>
      </w:pPr>
      <w:r>
        <w:rPr>
          <w:rFonts w:hint="eastAsia" w:ascii="楷体" w:hAnsi="楷体" w:eastAsia="楷体"/>
          <w:b/>
          <w:bCs/>
          <w:sz w:val="24"/>
          <w:szCs w:val="24"/>
        </w:rPr>
        <w:t>十二、实地查勘期</w:t>
      </w:r>
    </w:p>
    <w:p>
      <w:pPr>
        <w:spacing w:line="560" w:lineRule="exact"/>
        <w:ind w:firstLine="480" w:firstLineChars="200"/>
        <w:rPr>
          <w:rFonts w:hint="eastAsia" w:ascii="楷体" w:hAnsi="楷体" w:eastAsia="楷体"/>
          <w:sz w:val="24"/>
          <w:szCs w:val="24"/>
          <w:lang w:eastAsia="zh-CN"/>
        </w:rPr>
      </w:pPr>
      <w:r>
        <w:rPr>
          <w:rFonts w:hint="eastAsia" w:ascii="楷体" w:hAnsi="楷体" w:eastAsia="楷体"/>
          <w:sz w:val="24"/>
          <w:szCs w:val="24"/>
        </w:rPr>
        <w:t>实地查勘日：</w:t>
      </w:r>
      <w:r>
        <w:rPr>
          <w:rFonts w:hint="eastAsia" w:ascii="楷体" w:hAnsi="楷体" w:eastAsia="楷体"/>
          <w:sz w:val="24"/>
          <w:szCs w:val="24"/>
          <w:lang w:eastAsia="zh-CN"/>
        </w:rPr>
        <w:t>2022年08月30日</w:t>
      </w:r>
    </w:p>
    <w:p>
      <w:pPr>
        <w:spacing w:line="560" w:lineRule="exact"/>
        <w:ind w:firstLine="480" w:firstLineChars="200"/>
        <w:rPr>
          <w:rFonts w:ascii="楷体" w:hAnsi="楷体" w:eastAsia="楷体"/>
          <w:b/>
          <w:bCs/>
          <w:sz w:val="24"/>
          <w:szCs w:val="24"/>
        </w:rPr>
      </w:pPr>
      <w:r>
        <w:rPr>
          <w:rFonts w:hint="eastAsia" w:ascii="楷体" w:hAnsi="楷体" w:eastAsia="楷体"/>
          <w:b/>
          <w:bCs/>
          <w:sz w:val="24"/>
          <w:szCs w:val="24"/>
        </w:rPr>
        <w:t>十三、估价作业期</w:t>
      </w:r>
    </w:p>
    <w:p>
      <w:pPr>
        <w:spacing w:line="560" w:lineRule="exact"/>
        <w:ind w:firstLine="480" w:firstLineChars="200"/>
        <w:rPr>
          <w:rFonts w:ascii="楷体" w:hAnsi="楷体" w:eastAsia="楷体"/>
          <w:sz w:val="24"/>
          <w:szCs w:val="24"/>
        </w:rPr>
      </w:pPr>
      <w:r>
        <w:rPr>
          <w:rFonts w:hint="eastAsia" w:ascii="楷体" w:hAnsi="楷体" w:eastAsia="楷体"/>
          <w:sz w:val="24"/>
          <w:szCs w:val="24"/>
        </w:rPr>
        <w:t>估价作业期：</w:t>
      </w:r>
      <w:r>
        <w:rPr>
          <w:rFonts w:hint="eastAsia" w:ascii="楷体" w:hAnsi="楷体" w:eastAsia="楷体"/>
          <w:sz w:val="24"/>
          <w:szCs w:val="24"/>
          <w:lang w:eastAsia="zh-CN"/>
        </w:rPr>
        <w:t>2022年08月30日</w:t>
      </w:r>
      <w:r>
        <w:rPr>
          <w:rFonts w:hint="eastAsia" w:ascii="楷体" w:hAnsi="楷体" w:eastAsia="楷体"/>
          <w:sz w:val="24"/>
          <w:szCs w:val="24"/>
        </w:rPr>
        <w:t>起至</w:t>
      </w:r>
      <w:r>
        <w:rPr>
          <w:rFonts w:hint="eastAsia" w:ascii="楷体" w:hAnsi="楷体" w:eastAsia="楷体"/>
          <w:sz w:val="24"/>
          <w:szCs w:val="24"/>
          <w:lang w:eastAsia="zh-CN"/>
        </w:rPr>
        <w:t>2022年09月06日</w:t>
      </w:r>
      <w:r>
        <w:rPr>
          <w:rFonts w:hint="eastAsia" w:ascii="楷体" w:hAnsi="楷体" w:eastAsia="楷体"/>
          <w:sz w:val="24"/>
          <w:szCs w:val="24"/>
        </w:rPr>
        <w:t>止</w:t>
      </w:r>
    </w:p>
    <w:p>
      <w:pPr>
        <w:spacing w:line="420" w:lineRule="atLeast"/>
        <w:jc w:val="right"/>
        <w:rPr>
          <w:rFonts w:hint="eastAsia" w:ascii="楷体" w:hAnsi="楷体" w:eastAsia="楷体"/>
          <w:sz w:val="24"/>
        </w:rPr>
      </w:pPr>
    </w:p>
    <w:p>
      <w:pPr>
        <w:spacing w:line="420" w:lineRule="atLeast"/>
        <w:jc w:val="right"/>
        <w:rPr>
          <w:rFonts w:ascii="楷体" w:hAnsi="楷体" w:eastAsia="楷体"/>
          <w:sz w:val="24"/>
        </w:rPr>
      </w:pPr>
      <w:r>
        <w:rPr>
          <w:rFonts w:hint="eastAsia" w:ascii="楷体" w:hAnsi="楷体" w:eastAsia="楷体"/>
          <w:sz w:val="24"/>
        </w:rPr>
        <w:t>估价机构：福建明鉴资产评估房地产土地估价有限公司</w:t>
      </w:r>
    </w:p>
    <w:p>
      <w:pPr>
        <w:spacing w:line="440" w:lineRule="atLeast"/>
        <w:ind w:right="358"/>
        <w:jc w:val="left"/>
        <w:rPr>
          <w:rFonts w:ascii="楷体" w:hAnsi="楷体" w:eastAsia="楷体"/>
          <w:b/>
          <w:sz w:val="24"/>
          <w:szCs w:val="24"/>
        </w:rPr>
      </w:pPr>
      <w:r>
        <w:rPr>
          <w:rFonts w:hint="eastAsia" w:ascii="楷体" w:hAnsi="楷体" w:eastAsia="楷体"/>
          <w:sz w:val="24"/>
        </w:rPr>
        <w:t xml:space="preserve">                                </w:t>
      </w:r>
      <w:r>
        <w:rPr>
          <w:rFonts w:hint="eastAsia" w:ascii="楷体" w:hAnsi="楷体" w:eastAsia="楷体"/>
          <w:color w:val="0000FF"/>
          <w:sz w:val="24"/>
        </w:rPr>
        <w:t xml:space="preserve">   </w:t>
      </w:r>
      <w:r>
        <w:rPr>
          <w:rFonts w:ascii="楷体" w:hAnsi="楷体" w:eastAsia="楷体"/>
          <w:color w:val="0000FF"/>
          <w:sz w:val="24"/>
        </w:rPr>
        <w:t xml:space="preserve">                </w:t>
      </w:r>
      <w:r>
        <w:rPr>
          <w:rFonts w:hint="eastAsia" w:ascii="楷体" w:hAnsi="楷体" w:eastAsia="楷体"/>
          <w:sz w:val="24"/>
          <w:lang w:eastAsia="zh-CN"/>
        </w:rPr>
        <w:t>2022年09月06日</w:t>
      </w:r>
      <w:r>
        <w:rPr>
          <w:rFonts w:hint="eastAsia" w:ascii="楷体" w:hAnsi="楷体" w:eastAsia="楷体"/>
          <w:sz w:val="24"/>
        </w:rPr>
        <w:br w:type="page"/>
      </w:r>
    </w:p>
    <w:p>
      <w:pPr>
        <w:spacing w:line="500" w:lineRule="exact"/>
        <w:ind w:right="482"/>
        <w:jc w:val="center"/>
        <w:rPr>
          <w:rFonts w:ascii="楷体" w:hAnsi="楷体" w:eastAsia="楷体"/>
          <w:b/>
          <w:bCs/>
          <w:color w:val="000000"/>
          <w:sz w:val="44"/>
        </w:rPr>
      </w:pPr>
      <w:r>
        <w:rPr>
          <w:rFonts w:hint="eastAsia" w:ascii="楷体" w:hAnsi="楷体" w:eastAsia="楷体"/>
          <w:b/>
          <w:bCs/>
          <w:color w:val="000000"/>
          <w:sz w:val="44"/>
        </w:rPr>
        <w:t>附  件</w:t>
      </w:r>
    </w:p>
    <w:p>
      <w:pPr>
        <w:spacing w:line="500" w:lineRule="exact"/>
        <w:ind w:right="482"/>
        <w:jc w:val="center"/>
        <w:rPr>
          <w:rFonts w:ascii="楷体" w:hAnsi="楷体" w:eastAsia="楷体"/>
          <w:b/>
          <w:bCs/>
          <w:color w:val="000000"/>
          <w:sz w:val="44"/>
        </w:rPr>
      </w:pPr>
    </w:p>
    <w:p>
      <w:pPr>
        <w:spacing w:line="360" w:lineRule="auto"/>
        <w:ind w:right="777" w:rightChars="370" w:firstLine="480" w:firstLineChars="200"/>
        <w:rPr>
          <w:rFonts w:hint="eastAsia" w:ascii="楷体" w:hAnsi="楷体" w:eastAsia="楷体"/>
          <w:sz w:val="24"/>
        </w:rPr>
      </w:pPr>
      <w:r>
        <w:rPr>
          <w:rFonts w:hint="eastAsia" w:ascii="楷体" w:hAnsi="楷体" w:eastAsia="楷体"/>
          <w:sz w:val="24"/>
        </w:rPr>
        <w:t>1、永定区人民法院出具的“</w:t>
      </w:r>
      <w:r>
        <w:rPr>
          <w:rFonts w:hint="eastAsia" w:ascii="楷体" w:hAnsi="楷体" w:eastAsia="楷体"/>
          <w:sz w:val="24"/>
          <w:lang w:eastAsia="zh-CN"/>
        </w:rPr>
        <w:t>（2022）闽0803执1089号</w:t>
      </w:r>
      <w:r>
        <w:rPr>
          <w:rFonts w:hint="eastAsia" w:ascii="楷体" w:hAnsi="楷体" w:eastAsia="楷体"/>
          <w:sz w:val="24"/>
        </w:rPr>
        <w:t>”《委托书》；</w:t>
      </w:r>
    </w:p>
    <w:p>
      <w:pPr>
        <w:spacing w:line="360" w:lineRule="auto"/>
        <w:ind w:right="777" w:rightChars="370" w:firstLine="480" w:firstLineChars="200"/>
        <w:rPr>
          <w:rFonts w:hint="eastAsia" w:ascii="楷体" w:hAnsi="楷体" w:eastAsia="楷体"/>
          <w:sz w:val="24"/>
        </w:rPr>
      </w:pPr>
      <w:r>
        <w:rPr>
          <w:rFonts w:hint="eastAsia" w:ascii="楷体" w:hAnsi="楷体" w:eastAsia="楷体"/>
          <w:sz w:val="24"/>
        </w:rPr>
        <w:t>2、永定区人民法院提供的“</w:t>
      </w:r>
      <w:r>
        <w:rPr>
          <w:rFonts w:hint="eastAsia" w:ascii="楷体" w:hAnsi="楷体" w:eastAsia="楷体"/>
          <w:sz w:val="24"/>
          <w:lang w:eastAsia="zh-CN"/>
        </w:rPr>
        <w:t>永房权证2014字第00230号</w:t>
      </w:r>
      <w:r>
        <w:rPr>
          <w:rFonts w:hint="eastAsia" w:ascii="楷体" w:hAnsi="楷体" w:eastAsia="楷体"/>
          <w:sz w:val="24"/>
        </w:rPr>
        <w:t>”《房屋所有权证》</w:t>
      </w:r>
      <w:r>
        <w:rPr>
          <w:rFonts w:hint="eastAsia" w:ascii="楷体" w:hAnsi="楷体" w:eastAsia="楷体"/>
          <w:sz w:val="24"/>
          <w:lang w:val="en-US" w:eastAsia="zh-CN"/>
        </w:rPr>
        <w:t>及龙岩市永定区不动产登记查询证明材料</w:t>
      </w:r>
      <w:r>
        <w:rPr>
          <w:rFonts w:hint="eastAsia" w:ascii="楷体" w:hAnsi="楷体" w:eastAsia="楷体"/>
          <w:sz w:val="24"/>
        </w:rPr>
        <w:t>；</w:t>
      </w:r>
    </w:p>
    <w:p>
      <w:pPr>
        <w:spacing w:line="360" w:lineRule="auto"/>
        <w:ind w:right="777" w:rightChars="370" w:firstLine="480" w:firstLineChars="200"/>
        <w:rPr>
          <w:rFonts w:hint="eastAsia" w:ascii="楷体" w:hAnsi="楷体" w:eastAsia="楷体"/>
          <w:sz w:val="24"/>
        </w:rPr>
      </w:pPr>
      <w:r>
        <w:rPr>
          <w:rFonts w:hint="eastAsia" w:ascii="楷体" w:hAnsi="楷体" w:eastAsia="楷体"/>
          <w:sz w:val="24"/>
        </w:rPr>
        <w:t>3、永定区人民法院提供的“</w:t>
      </w:r>
      <w:r>
        <w:rPr>
          <w:rFonts w:hint="eastAsia" w:ascii="楷体" w:hAnsi="楷体" w:eastAsia="楷体"/>
          <w:sz w:val="24"/>
          <w:lang w:eastAsia="zh-CN"/>
        </w:rPr>
        <w:t>永定国用（2014）第A5886号</w:t>
      </w:r>
      <w:r>
        <w:rPr>
          <w:rFonts w:hint="eastAsia" w:ascii="楷体" w:hAnsi="楷体" w:eastAsia="楷体"/>
          <w:sz w:val="24"/>
        </w:rPr>
        <w:t>”《国有土地使用证》</w:t>
      </w:r>
      <w:r>
        <w:rPr>
          <w:rFonts w:hint="eastAsia" w:ascii="楷体" w:hAnsi="楷体" w:eastAsia="楷体"/>
          <w:sz w:val="24"/>
          <w:lang w:val="en-US" w:eastAsia="zh-CN"/>
        </w:rPr>
        <w:t>及转让国有建设用地使用权变更登记表材料</w:t>
      </w:r>
      <w:r>
        <w:rPr>
          <w:rFonts w:hint="eastAsia" w:ascii="楷体" w:hAnsi="楷体" w:eastAsia="楷体"/>
          <w:sz w:val="24"/>
        </w:rPr>
        <w:t>；</w:t>
      </w:r>
    </w:p>
    <w:p>
      <w:pPr>
        <w:spacing w:line="360" w:lineRule="auto"/>
        <w:ind w:right="777" w:rightChars="370" w:firstLine="480" w:firstLineChars="200"/>
        <w:rPr>
          <w:rFonts w:ascii="楷体" w:hAnsi="楷体" w:eastAsia="楷体"/>
          <w:sz w:val="24"/>
          <w:szCs w:val="24"/>
        </w:rPr>
      </w:pPr>
      <w:r>
        <w:rPr>
          <w:rFonts w:ascii="楷体" w:hAnsi="楷体" w:eastAsia="楷体"/>
          <w:sz w:val="24"/>
        </w:rPr>
        <w:t>4</w:t>
      </w:r>
      <w:r>
        <w:rPr>
          <w:rFonts w:hint="eastAsia" w:ascii="楷体" w:hAnsi="楷体" w:eastAsia="楷体"/>
          <w:sz w:val="24"/>
        </w:rPr>
        <w:t>、</w:t>
      </w:r>
      <w:r>
        <w:rPr>
          <w:rFonts w:hint="eastAsia" w:ascii="楷体" w:hAnsi="楷体" w:eastAsia="楷体"/>
          <w:sz w:val="24"/>
          <w:szCs w:val="24"/>
        </w:rPr>
        <w:t>估价对象位置示意图；</w:t>
      </w:r>
    </w:p>
    <w:p>
      <w:pPr>
        <w:spacing w:line="360" w:lineRule="auto"/>
        <w:ind w:right="777" w:rightChars="370" w:firstLine="480" w:firstLineChars="200"/>
        <w:rPr>
          <w:rFonts w:ascii="楷体" w:hAnsi="楷体" w:eastAsia="楷体"/>
          <w:color w:val="000000"/>
          <w:sz w:val="24"/>
          <w:szCs w:val="24"/>
        </w:rPr>
      </w:pPr>
      <w:r>
        <w:rPr>
          <w:rFonts w:ascii="楷体" w:hAnsi="楷体" w:eastAsia="楷体"/>
          <w:color w:val="000000"/>
          <w:sz w:val="24"/>
          <w:szCs w:val="24"/>
        </w:rPr>
        <w:t>5</w:t>
      </w:r>
      <w:r>
        <w:rPr>
          <w:rFonts w:hint="eastAsia" w:ascii="楷体" w:hAnsi="楷体" w:eastAsia="楷体"/>
          <w:color w:val="000000"/>
          <w:sz w:val="24"/>
          <w:szCs w:val="24"/>
        </w:rPr>
        <w:t>、估价对象现状照片；</w:t>
      </w:r>
    </w:p>
    <w:p>
      <w:pPr>
        <w:spacing w:line="360" w:lineRule="auto"/>
        <w:ind w:right="777" w:rightChars="370" w:firstLine="480" w:firstLineChars="200"/>
        <w:rPr>
          <w:rFonts w:ascii="楷体" w:hAnsi="楷体" w:eastAsia="楷体"/>
          <w:sz w:val="24"/>
        </w:rPr>
      </w:pPr>
      <w:r>
        <w:rPr>
          <w:rFonts w:ascii="楷体" w:hAnsi="楷体" w:eastAsia="楷体"/>
          <w:sz w:val="24"/>
        </w:rPr>
        <w:t>6</w:t>
      </w:r>
      <w:r>
        <w:rPr>
          <w:rFonts w:hint="eastAsia" w:ascii="楷体" w:hAnsi="楷体" w:eastAsia="楷体"/>
          <w:sz w:val="24"/>
        </w:rPr>
        <w:t>、专业帮助情况和相关专业意见</w:t>
      </w:r>
    </w:p>
    <w:p>
      <w:pPr>
        <w:spacing w:line="360" w:lineRule="auto"/>
        <w:ind w:right="777" w:rightChars="370" w:firstLine="480" w:firstLineChars="200"/>
        <w:rPr>
          <w:rFonts w:ascii="楷体" w:hAnsi="楷体" w:eastAsia="楷体"/>
          <w:color w:val="000000"/>
          <w:sz w:val="24"/>
          <w:szCs w:val="24"/>
        </w:rPr>
      </w:pPr>
      <w:r>
        <w:rPr>
          <w:rFonts w:ascii="楷体" w:hAnsi="楷体" w:eastAsia="楷体"/>
          <w:color w:val="000000"/>
          <w:sz w:val="24"/>
          <w:szCs w:val="24"/>
        </w:rPr>
        <w:t>7</w:t>
      </w:r>
      <w:r>
        <w:rPr>
          <w:rFonts w:hint="eastAsia" w:ascii="楷体" w:hAnsi="楷体" w:eastAsia="楷体"/>
          <w:color w:val="000000"/>
          <w:sz w:val="24"/>
          <w:szCs w:val="24"/>
        </w:rPr>
        <w:t>、房地产估价机构营业执照和估价资质证书复印件；</w:t>
      </w:r>
    </w:p>
    <w:p>
      <w:pPr>
        <w:spacing w:line="360" w:lineRule="auto"/>
        <w:ind w:right="777" w:rightChars="370" w:firstLine="480" w:firstLineChars="200"/>
        <w:rPr>
          <w:rFonts w:ascii="楷体" w:hAnsi="楷体" w:eastAsia="楷体"/>
          <w:b/>
          <w:color w:val="000000"/>
          <w:sz w:val="28"/>
          <w:szCs w:val="28"/>
        </w:rPr>
      </w:pPr>
      <w:r>
        <w:rPr>
          <w:rFonts w:ascii="楷体" w:hAnsi="楷体" w:eastAsia="楷体"/>
          <w:color w:val="000000"/>
          <w:sz w:val="24"/>
          <w:szCs w:val="24"/>
        </w:rPr>
        <w:t>8</w:t>
      </w:r>
      <w:r>
        <w:rPr>
          <w:rFonts w:hint="eastAsia" w:ascii="楷体" w:hAnsi="楷体" w:eastAsia="楷体"/>
          <w:color w:val="000000"/>
          <w:sz w:val="24"/>
          <w:szCs w:val="24"/>
        </w:rPr>
        <w:t>、注册房地产估价师注册证书复印件。</w:t>
      </w: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480" w:firstLineChars="200"/>
        <w:jc w:val="center"/>
        <w:rPr>
          <w:rFonts w:ascii="楷体" w:hAnsi="楷体" w:eastAsia="楷体"/>
          <w:color w:val="000000"/>
          <w:sz w:val="24"/>
          <w:szCs w:val="24"/>
        </w:rPr>
      </w:pPr>
    </w:p>
    <w:p>
      <w:pPr>
        <w:spacing w:line="480" w:lineRule="auto"/>
        <w:ind w:right="777" w:rightChars="370" w:firstLine="880" w:firstLineChars="200"/>
        <w:jc w:val="center"/>
        <w:rPr>
          <w:rFonts w:ascii="楷体" w:hAnsi="楷体" w:eastAsia="楷体"/>
          <w:b/>
          <w:bCs/>
          <w:color w:val="000000"/>
          <w:sz w:val="44"/>
          <w:szCs w:val="44"/>
        </w:rPr>
      </w:pPr>
      <w:r>
        <w:rPr>
          <w:rFonts w:hint="eastAsia" w:ascii="楷体" w:hAnsi="楷体" w:eastAsia="楷体"/>
          <w:b/>
          <w:bCs/>
          <w:color w:val="000000"/>
          <w:sz w:val="44"/>
          <w:szCs w:val="44"/>
        </w:rPr>
        <w:t>位置图</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widowControl w:val="0"/>
              <w:spacing w:line="480" w:lineRule="auto"/>
              <w:ind w:right="777" w:rightChars="370"/>
              <w:rPr>
                <w:rFonts w:hint="eastAsia" w:ascii="楷体" w:hAnsi="楷体" w:eastAsia="楷体"/>
                <w:color w:val="000000"/>
                <w:sz w:val="24"/>
                <w:szCs w:val="24"/>
                <w:vertAlign w:val="baseline"/>
                <w:lang w:eastAsia="zh-CN"/>
              </w:rPr>
            </w:pPr>
            <w:r>
              <w:rPr>
                <w:rFonts w:hint="eastAsia" w:ascii="楷体" w:hAnsi="楷体" w:eastAsia="楷体"/>
                <w:color w:val="000000"/>
                <w:sz w:val="24"/>
                <w:szCs w:val="24"/>
                <w:vertAlign w:val="baseline"/>
                <w:lang w:eastAsia="zh-CN"/>
              </w:rPr>
              <w:drawing>
                <wp:inline distT="0" distB="0" distL="114300" distR="114300">
                  <wp:extent cx="5820410" cy="3072130"/>
                  <wp:effectExtent l="0" t="0" r="1270" b="6350"/>
                  <wp:docPr id="22" name="图片 22" descr="区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区位图"/>
                          <pic:cNvPicPr>
                            <a:picLocks noChangeAspect="1"/>
                          </pic:cNvPicPr>
                        </pic:nvPicPr>
                        <pic:blipFill>
                          <a:blip r:embed="rId17"/>
                          <a:stretch>
                            <a:fillRect/>
                          </a:stretch>
                        </pic:blipFill>
                        <pic:spPr>
                          <a:xfrm>
                            <a:off x="0" y="0"/>
                            <a:ext cx="5820410" cy="3072130"/>
                          </a:xfrm>
                          <a:prstGeom prst="rect">
                            <a:avLst/>
                          </a:prstGeom>
                        </pic:spPr>
                      </pic:pic>
                    </a:graphicData>
                  </a:graphic>
                </wp:inline>
              </w:drawing>
            </w:r>
          </w:p>
        </w:tc>
      </w:tr>
    </w:tbl>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p>
      <w:pPr>
        <w:spacing w:line="480" w:lineRule="auto"/>
        <w:ind w:right="777" w:rightChars="370"/>
        <w:jc w:val="center"/>
        <w:rPr>
          <w:rFonts w:hint="default" w:ascii="楷体" w:hAnsi="楷体" w:eastAsia="楷体"/>
          <w:color w:val="000000"/>
          <w:sz w:val="24"/>
          <w:szCs w:val="24"/>
          <w:lang w:val="en-US" w:eastAsia="zh-CN"/>
        </w:rPr>
      </w:pPr>
      <w:r>
        <w:rPr>
          <w:rFonts w:hint="eastAsia" w:ascii="楷体" w:hAnsi="楷体" w:eastAsia="楷体"/>
          <w:color w:val="000000"/>
          <w:sz w:val="24"/>
          <w:szCs w:val="24"/>
          <w:lang w:val="en-US" w:eastAsia="zh-CN"/>
        </w:rPr>
        <w:t>现场勘查相片</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7"/>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09240" cy="2106930"/>
                  <wp:effectExtent l="0" t="0" r="10160" b="11430"/>
                  <wp:docPr id="24" name="图片 24" descr="微信图片_20220831091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2208310915372"/>
                          <pic:cNvPicPr>
                            <a:picLocks noChangeAspect="1"/>
                          </pic:cNvPicPr>
                        </pic:nvPicPr>
                        <pic:blipFill>
                          <a:blip r:embed="rId18"/>
                          <a:stretch>
                            <a:fillRect/>
                          </a:stretch>
                        </pic:blipFill>
                        <pic:spPr>
                          <a:xfrm>
                            <a:off x="0" y="0"/>
                            <a:ext cx="2809240" cy="2106930"/>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2071370"/>
                  <wp:effectExtent l="0" t="0" r="6350" b="1270"/>
                  <wp:docPr id="25" name="图片 25" descr="IMG_20220830_10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0220830_104750"/>
                          <pic:cNvPicPr>
                            <a:picLocks noChangeAspect="1"/>
                          </pic:cNvPicPr>
                        </pic:nvPicPr>
                        <pic:blipFill>
                          <a:blip r:embed="rId19"/>
                          <a:stretch>
                            <a:fillRect/>
                          </a:stretch>
                        </pic:blipFill>
                        <pic:spPr>
                          <a:xfrm>
                            <a:off x="0" y="0"/>
                            <a:ext cx="2828290" cy="20713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6" name="图片 26" descr="IMG_20220830_1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0220830_104512"/>
                          <pic:cNvPicPr>
                            <a:picLocks noChangeAspect="1"/>
                          </pic:cNvPicPr>
                        </pic:nvPicPr>
                        <pic:blipFill>
                          <a:blip r:embed="rId20"/>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7" name="图片 27" descr="IMG_20220830_10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0220830_103521"/>
                          <pic:cNvPicPr>
                            <a:picLocks noChangeAspect="1"/>
                          </pic:cNvPicPr>
                        </pic:nvPicPr>
                        <pic:blipFill>
                          <a:blip r:embed="rId21"/>
                          <a:stretch>
                            <a:fillRect/>
                          </a:stretch>
                        </pic:blipFill>
                        <pic:spPr>
                          <a:xfrm>
                            <a:off x="0" y="0"/>
                            <a:ext cx="2828290" cy="1909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8" name="图片 28" descr="IMG_20220830_10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0220830_103542"/>
                          <pic:cNvPicPr>
                            <a:picLocks noChangeAspect="1"/>
                          </pic:cNvPicPr>
                        </pic:nvPicPr>
                        <pic:blipFill>
                          <a:blip r:embed="rId22"/>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29" name="图片 29" descr="IMG_20220830_10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0220830_103636"/>
                          <pic:cNvPicPr>
                            <a:picLocks noChangeAspect="1"/>
                          </pic:cNvPicPr>
                        </pic:nvPicPr>
                        <pic:blipFill>
                          <a:blip r:embed="rId23"/>
                          <a:stretch>
                            <a:fillRect/>
                          </a:stretch>
                        </pic:blipFill>
                        <pic:spPr>
                          <a:xfrm>
                            <a:off x="0" y="0"/>
                            <a:ext cx="2828290" cy="19094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0" name="图片 30" descr="IMG_20220830_10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0220830_103854"/>
                          <pic:cNvPicPr>
                            <a:picLocks noChangeAspect="1"/>
                          </pic:cNvPicPr>
                        </pic:nvPicPr>
                        <pic:blipFill>
                          <a:blip r:embed="rId24"/>
                          <a:stretch>
                            <a:fillRect/>
                          </a:stretch>
                        </pic:blipFill>
                        <pic:spPr>
                          <a:xfrm>
                            <a:off x="0" y="0"/>
                            <a:ext cx="2828290" cy="1909445"/>
                          </a:xfrm>
                          <a:prstGeom prst="rect">
                            <a:avLst/>
                          </a:prstGeom>
                        </pic:spPr>
                      </pic:pic>
                    </a:graphicData>
                  </a:graphic>
                </wp:inline>
              </w:drawing>
            </w:r>
          </w:p>
        </w:tc>
        <w:tc>
          <w:tcPr>
            <w:tcW w:w="4697" w:type="dxa"/>
          </w:tcPr>
          <w:p>
            <w:pPr>
              <w:widowControl w:val="0"/>
              <w:jc w:val="center"/>
              <w:rPr>
                <w:rFonts w:hint="eastAsia" w:ascii="楷体" w:hAnsi="楷体" w:eastAsia="楷体"/>
                <w:b/>
                <w:sz w:val="44"/>
                <w:szCs w:val="44"/>
                <w:vertAlign w:val="baseline"/>
                <w:lang w:eastAsia="zh-CN"/>
              </w:rPr>
            </w:pPr>
            <w:r>
              <w:rPr>
                <w:rFonts w:hint="eastAsia" w:ascii="楷体" w:hAnsi="楷体" w:eastAsia="楷体"/>
                <w:b/>
                <w:sz w:val="44"/>
                <w:szCs w:val="44"/>
                <w:vertAlign w:val="baseline"/>
                <w:lang w:eastAsia="zh-CN"/>
              </w:rPr>
              <w:drawing>
                <wp:inline distT="0" distB="0" distL="114300" distR="114300">
                  <wp:extent cx="2828290" cy="1909445"/>
                  <wp:effectExtent l="0" t="0" r="6350" b="10795"/>
                  <wp:docPr id="31" name="图片 31" descr="IMG_20220830_10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0220830_103933"/>
                          <pic:cNvPicPr>
                            <a:picLocks noChangeAspect="1"/>
                          </pic:cNvPicPr>
                        </pic:nvPicPr>
                        <pic:blipFill>
                          <a:blip r:embed="rId25"/>
                          <a:stretch>
                            <a:fillRect/>
                          </a:stretch>
                        </pic:blipFill>
                        <pic:spPr>
                          <a:xfrm>
                            <a:off x="0" y="0"/>
                            <a:ext cx="2828290" cy="1909445"/>
                          </a:xfrm>
                          <a:prstGeom prst="rect">
                            <a:avLst/>
                          </a:prstGeom>
                        </pic:spPr>
                      </pic:pic>
                    </a:graphicData>
                  </a:graphic>
                </wp:inline>
              </w:drawing>
            </w:r>
          </w:p>
        </w:tc>
      </w:tr>
    </w:tbl>
    <w:p>
      <w:pPr>
        <w:jc w:val="center"/>
        <w:rPr>
          <w:rFonts w:ascii="楷体" w:hAnsi="楷体" w:eastAsia="楷体"/>
          <w:b/>
          <w:sz w:val="44"/>
          <w:szCs w:val="44"/>
        </w:rPr>
      </w:pPr>
    </w:p>
    <w:p>
      <w:pPr>
        <w:jc w:val="center"/>
        <w:rPr>
          <w:rFonts w:ascii="楷体" w:hAnsi="楷体" w:eastAsia="楷体"/>
          <w:b/>
          <w:sz w:val="44"/>
          <w:szCs w:val="44"/>
        </w:rPr>
      </w:pPr>
      <w:r>
        <w:rPr>
          <w:rFonts w:hint="eastAsia" w:ascii="楷体" w:hAnsi="楷体" w:eastAsia="楷体"/>
          <w:b/>
          <w:sz w:val="44"/>
          <w:szCs w:val="44"/>
        </w:rPr>
        <w:t>专业帮助情况和相关专业意见</w:t>
      </w:r>
    </w:p>
    <w:p>
      <w:pPr>
        <w:jc w:val="center"/>
        <w:rPr>
          <w:rFonts w:ascii="楷体" w:hAnsi="楷体" w:eastAsia="楷体"/>
          <w:b/>
          <w:sz w:val="44"/>
          <w:szCs w:val="44"/>
        </w:rPr>
      </w:pPr>
    </w:p>
    <w:p>
      <w:pPr>
        <w:spacing w:line="500" w:lineRule="exact"/>
        <w:ind w:firstLine="480" w:firstLineChars="200"/>
        <w:jc w:val="left"/>
        <w:rPr>
          <w:rFonts w:ascii="楷体" w:hAnsi="楷体" w:eastAsia="楷体"/>
          <w:sz w:val="24"/>
          <w:szCs w:val="24"/>
        </w:rPr>
      </w:pPr>
      <w:r>
        <w:rPr>
          <w:rFonts w:hint="eastAsia" w:ascii="楷体" w:hAnsi="楷体" w:eastAsia="楷体"/>
          <w:sz w:val="24"/>
          <w:szCs w:val="24"/>
        </w:rPr>
        <w:t>本次估价工作中的专业帮助情况说明</w:t>
      </w:r>
    </w:p>
    <w:p>
      <w:pPr>
        <w:spacing w:line="500" w:lineRule="exact"/>
        <w:ind w:firstLine="480" w:firstLineChars="200"/>
        <w:jc w:val="left"/>
        <w:rPr>
          <w:rFonts w:ascii="楷体" w:hAnsi="楷体" w:eastAsia="楷体"/>
          <w:sz w:val="24"/>
          <w:szCs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977"/>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093" w:type="dxa"/>
            <w:vAlign w:val="center"/>
          </w:tcPr>
          <w:p>
            <w:pPr>
              <w:spacing w:line="500" w:lineRule="exact"/>
              <w:jc w:val="center"/>
              <w:rPr>
                <w:rFonts w:ascii="楷体" w:hAnsi="楷体" w:eastAsia="楷体"/>
                <w:szCs w:val="21"/>
              </w:rPr>
            </w:pPr>
            <w:r>
              <w:rPr>
                <w:rFonts w:hint="eastAsia" w:ascii="楷体" w:hAnsi="楷体" w:eastAsia="楷体"/>
                <w:szCs w:val="21"/>
              </w:rPr>
              <w:t>专家或单位名称</w:t>
            </w:r>
          </w:p>
        </w:tc>
        <w:tc>
          <w:tcPr>
            <w:tcW w:w="2977" w:type="dxa"/>
            <w:vAlign w:val="center"/>
          </w:tcPr>
          <w:p>
            <w:pPr>
              <w:spacing w:line="500" w:lineRule="exact"/>
              <w:jc w:val="center"/>
              <w:rPr>
                <w:rFonts w:ascii="楷体" w:hAnsi="楷体" w:eastAsia="楷体"/>
                <w:szCs w:val="21"/>
              </w:rPr>
            </w:pPr>
            <w:r>
              <w:rPr>
                <w:rFonts w:hint="eastAsia" w:ascii="楷体" w:hAnsi="楷体" w:eastAsia="楷体"/>
                <w:szCs w:val="21"/>
              </w:rPr>
              <w:t>相关专业资格、职称、资质</w:t>
            </w:r>
          </w:p>
        </w:tc>
        <w:tc>
          <w:tcPr>
            <w:tcW w:w="4324" w:type="dxa"/>
            <w:vAlign w:val="center"/>
          </w:tcPr>
          <w:p>
            <w:pPr>
              <w:spacing w:line="500" w:lineRule="exact"/>
              <w:jc w:val="center"/>
              <w:rPr>
                <w:rFonts w:ascii="楷体" w:hAnsi="楷体" w:eastAsia="楷体"/>
                <w:szCs w:val="21"/>
              </w:rPr>
            </w:pPr>
            <w:r>
              <w:rPr>
                <w:rFonts w:hint="eastAsia" w:ascii="楷体" w:hAnsi="楷体" w:eastAsia="楷体"/>
                <w:szCs w:val="21"/>
              </w:rPr>
              <w:t>专业帮助内容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093" w:type="dxa"/>
            <w:vAlign w:val="center"/>
          </w:tcPr>
          <w:p>
            <w:pPr>
              <w:spacing w:line="500" w:lineRule="exact"/>
              <w:jc w:val="center"/>
              <w:rPr>
                <w:rFonts w:ascii="楷体" w:hAnsi="楷体" w:eastAsia="楷体"/>
                <w:szCs w:val="21"/>
              </w:rPr>
            </w:pPr>
            <w:r>
              <w:rPr>
                <w:rFonts w:hint="eastAsia" w:ascii="楷体" w:hAnsi="楷体" w:eastAsia="楷体"/>
                <w:szCs w:val="21"/>
              </w:rPr>
              <w:t>无</w:t>
            </w:r>
          </w:p>
        </w:tc>
        <w:tc>
          <w:tcPr>
            <w:tcW w:w="2977" w:type="dxa"/>
            <w:vAlign w:val="center"/>
          </w:tcPr>
          <w:p>
            <w:pPr>
              <w:spacing w:line="500" w:lineRule="exact"/>
              <w:jc w:val="center"/>
              <w:rPr>
                <w:rFonts w:ascii="楷体" w:hAnsi="楷体" w:eastAsia="楷体"/>
                <w:szCs w:val="21"/>
              </w:rPr>
            </w:pPr>
            <w:r>
              <w:rPr>
                <w:rFonts w:hint="eastAsia" w:ascii="楷体" w:hAnsi="楷体" w:eastAsia="楷体"/>
                <w:szCs w:val="21"/>
              </w:rPr>
              <w:t>无</w:t>
            </w:r>
          </w:p>
        </w:tc>
        <w:tc>
          <w:tcPr>
            <w:tcW w:w="4324" w:type="dxa"/>
            <w:vAlign w:val="center"/>
          </w:tcPr>
          <w:p>
            <w:pPr>
              <w:spacing w:line="500" w:lineRule="exact"/>
              <w:jc w:val="center"/>
              <w:rPr>
                <w:rFonts w:ascii="楷体" w:hAnsi="楷体" w:eastAsia="楷体"/>
                <w:szCs w:val="21"/>
              </w:rPr>
            </w:pPr>
            <w:r>
              <w:rPr>
                <w:rFonts w:hint="eastAsia" w:ascii="楷体" w:hAnsi="楷体" w:eastAsia="楷体"/>
                <w:szCs w:val="21"/>
              </w:rPr>
              <w:t>无</w:t>
            </w:r>
          </w:p>
        </w:tc>
      </w:tr>
    </w:tbl>
    <w:p>
      <w:pPr>
        <w:spacing w:line="480" w:lineRule="auto"/>
        <w:ind w:right="777" w:rightChars="370" w:firstLine="4560" w:firstLineChars="1900"/>
        <w:rPr>
          <w:rFonts w:ascii="楷体" w:hAnsi="楷体" w:eastAsia="楷体"/>
          <w:color w:val="000000"/>
          <w:sz w:val="24"/>
          <w:szCs w:val="24"/>
        </w:rPr>
      </w:pPr>
    </w:p>
    <w:p>
      <w:pPr>
        <w:spacing w:line="480" w:lineRule="auto"/>
        <w:ind w:right="777" w:rightChars="370"/>
        <w:rPr>
          <w:rFonts w:ascii="楷体" w:hAnsi="楷体" w:eastAsia="楷体"/>
          <w:color w:val="000000"/>
          <w:sz w:val="24"/>
          <w:szCs w:val="24"/>
        </w:rPr>
      </w:pPr>
    </w:p>
    <w:sectPr>
      <w:footerReference r:id="rId14" w:type="first"/>
      <w:footerReference r:id="rId13" w:type="default"/>
      <w:endnotePr>
        <w:numFmt w:val="decimal"/>
      </w:endnotePr>
      <w:pgSz w:w="11906" w:h="16838"/>
      <w:pgMar w:top="1191" w:right="1106" w:bottom="1191" w:left="1622" w:header="635" w:footer="567" w:gutter="0"/>
      <w:cols w:space="72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13" name="Line 2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7" o:spid="_x0000_s1026" o:spt="20" style="position:absolute;left:0pt;margin-left:0pt;margin-top:3.35pt;height:0pt;width:450pt;z-index:25166131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lAfAtIAAAAEAQAADwAAAAAAAAABACAAAAAiAAAAZHJzL2Rvd25y&#10;ZXYueG1sUEsBAhQAFAAAAAgAh07iQApEvsDLAQAAoQMAAA4AAAAAAAAAAQAgAAAAIQEAAGRycy9l&#10;Mm9Eb2MueG1sUEsFBgAAAAAGAAYAWQEAAF4FAAAAAA==&#10;">
              <v:fill on="f" focussize="0,0"/>
              <v:stroke color="#000000" joinstyle="round"/>
              <v:imagedata o:title=""/>
              <o:lock v:ext="edit" aspectratio="f"/>
            </v:line>
          </w:pict>
        </mc:Fallback>
      </mc:AlternateContent>
    </w:r>
  </w:p>
  <w:p>
    <w:pPr>
      <w:pStyle w:val="9"/>
      <w:wordWrap w:val="0"/>
      <w:ind w:right="359" w:rightChars="171"/>
      <w:rPr>
        <w:rFonts w:hint="eastAsia" w:eastAsia="宋体"/>
        <w:lang w:eastAsia="zh-CN"/>
      </w:rPr>
    </w:pPr>
    <w:r>
      <w:rPr>
        <w:rFonts w:hint="eastAsia"/>
      </w:rPr>
      <w:t xml:space="preserve">福建明鉴资产评估房地产土地估价有限公司                              </w:t>
    </w:r>
    <w:r>
      <w:rPr>
        <w:rStyle w:val="18"/>
        <w:rFonts w:hint="eastAsia"/>
      </w:rPr>
      <w:t xml:space="preserve">  </w:t>
    </w:r>
    <w:r>
      <w:rPr>
        <w:rFonts w:hint="eastAsia" w:ascii="宋体" w:hAnsi="宋体"/>
      </w:rPr>
      <w:t>闽鉴岩房评字【2014】第</w:t>
    </w:r>
    <w:r>
      <w:rPr>
        <w:rFonts w:hint="eastAsia" w:ascii="宋体" w:hAnsi="宋体"/>
        <w:lang w:eastAsia="zh-CN"/>
      </w:rPr>
      <w:t>104号</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12"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8480;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JrL7zsoBAACh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szCs w:val="18"/>
        <w:lang w:eastAsia="zh-CN"/>
      </w:rPr>
      <w:t>闽鉴岩房评字[2022]112号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5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5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h8KzLCAIAAAgEAAAOAAAAAAAAAAEAIAAAAB4BAABkcnMv&#10;ZTJvRG9jLnhtbFBLBQYAAAAABgAGAFkBAACY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r>
      <w:rPr>
        <w:rFonts w:hint="eastAsia" w:ascii="楷体_GB2312" w:eastAsia="楷体_GB2312"/>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10" name="Line 29"/>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0pt;margin-top:3.35pt;height:0pt;width:450pt;z-index:251669504;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FJ/q9MoBAACh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w:rPr>
        <w:rFonts w:hint="eastAsia" w:ascii="楷体" w:hAnsi="楷体" w:eastAsia="楷体"/>
        <w:szCs w:val="18"/>
      </w:rPr>
      <w:t xml:space="preserve">福建明鉴资产评估房地产土地估价有限公司                    </w:t>
    </w:r>
    <w:r>
      <w:rPr>
        <w:rStyle w:val="18"/>
        <w:rFonts w:hint="eastAsia" w:ascii="楷体" w:hAnsi="楷体" w:eastAsia="楷体"/>
        <w:szCs w:val="18"/>
      </w:rPr>
      <w:t xml:space="preserve">           </w:t>
    </w:r>
    <w:r>
      <w:rPr>
        <w:rFonts w:hint="eastAsia" w:ascii="楷体" w:hAnsi="楷体" w:eastAsia="楷体"/>
      </w:rPr>
      <w:t>闽鉴岩房评字【2021】087号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9"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7155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ZQHwLSAAAABAEAAA8AAAAAAAAAAQAgAAAAIgAAAGRycy9kb3ducmV2&#10;LnhtbFBLAQIUABQAAAAIAIdO4kDg1frGyQEAAKADAAAOAAAAAAAAAAEAIAAAACEBAABkcnMvZTJv&#10;RG9jLnhtbFBLBQYAAAAABgAGAFkBAABcBQ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szCs w:val="18"/>
        <w:lang w:eastAsia="zh-CN"/>
      </w:rPr>
      <w:t>闽鉴岩房评字[2022]112号</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IH9B10HAgAABwQAAA4AAAAAAAAAAQAgAAAAHgEAAGRycy9l&#10;Mm9Eb2MueG1sUEsFBgAAAAAGAAYAWQEAAJc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p>
    <w:pPr>
      <w:pStyle w:val="9"/>
      <w:ind w:right="360"/>
      <w:jc w:val="both"/>
      <w:rPr>
        <w:rFonts w:ascii="宋体" w:hAnsi="宋体"/>
        <w:szCs w:val="18"/>
      </w:rPr>
    </w:pPr>
    <w:r>
      <w:rPr>
        <w:rFonts w:hint="eastAsia" w:ascii="宋体" w:hAnsi="宋体"/>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7"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5408;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K9dmNM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szCs w:val="18"/>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rPr>
      <w:t>闽鉴岩房评字【2021】087号</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rFonts w:hint="eastAsia" w:ascii="楷体_GB2312" w:eastAsia="楷体_GB2312"/>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6" name="Line 1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17" o:spid="_x0000_s1026" o:spt="20" style="position:absolute;left:0pt;margin-left:0pt;margin-top:3.35pt;height:0pt;width:450pt;z-index:251660288;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aAk3+s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458460" cy="147955"/>
              <wp:effectExtent l="0" t="1905" r="3810" b="2540"/>
              <wp:wrapNone/>
              <wp:docPr id="5"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5458460" cy="147955"/>
                      </a:xfrm>
                      <a:prstGeom prst="rect">
                        <a:avLst/>
                      </a:prstGeom>
                      <a:noFill/>
                      <a:ln>
                        <a:noFill/>
                      </a:ln>
                    </wps:spPr>
                    <wps:txbx>
                      <w:txbxContent>
                        <w:p>
                          <w:pPr>
                            <w:pStyle w:val="9"/>
                            <w:ind w:right="360"/>
                            <w:jc w:val="both"/>
                            <w:rPr>
                              <w:rFonts w:hint="eastAsia" w:eastAsia="楷体"/>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lang w:eastAsia="zh-CN"/>
                            </w:rPr>
                            <w:t>闽鉴岩房评字[2022]112号</w:t>
                          </w:r>
                        </w:p>
                      </w:txbxContent>
                    </wps:txbx>
                    <wps:bodyPr rot="0" vert="horz" wrap="none" lIns="0" tIns="0" rIns="0" bIns="0" anchor="t" anchorCtr="0" upright="1">
                      <a:spAutoFit/>
                    </wps:bodyPr>
                  </wps:wsp>
                </a:graphicData>
              </a:graphic>
            </wp:anchor>
          </w:drawing>
        </mc:Choice>
        <mc:Fallback>
          <w:pict>
            <v:shape id="文本框 1032" o:spid="_x0000_s1026" o:spt="202" type="#_x0000_t202" style="position:absolute;left:0pt;margin-top:0pt;height:11.65pt;width:429.8pt;mso-position-horizontal:center;mso-position-horizontal-relative:margin;mso-wrap-style:none;z-index:251662336;mso-width-relative:page;mso-height-relative:page;" filled="f" stroked="f" coordsize="21600,21600" o:gfxdata="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NKMI0wAAAAQBAAAPAAAAAAAAAAEAIAAAACIA&#10;AABkcnMvZG93bnJldi54bWxQSwECFAAUAAAACACHTuJAH+LVtg4CAAAGBAAADgAAAAAAAAABACAA&#10;AAAiAQAAZHJzL2Uyb0RvYy54bWxQSwUGAAAAAAYABgBZAQAAogUAAAAA&#10;">
              <v:fill on="f" focussize="0,0"/>
              <v:stroke on="f"/>
              <v:imagedata o:title=""/>
              <o:lock v:ext="edit" aspectratio="f"/>
              <v:textbox inset="0mm,0mm,0mm,0mm" style="mso-fit-shape-to-text:t;">
                <w:txbxContent>
                  <w:p>
                    <w:pPr>
                      <w:pStyle w:val="9"/>
                      <w:ind w:right="360"/>
                      <w:jc w:val="both"/>
                      <w:rPr>
                        <w:rFonts w:hint="eastAsia" w:eastAsia="楷体"/>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lang w:eastAsia="zh-CN"/>
                      </w:rPr>
                      <w:t>闽鉴岩房评字[2022]112号</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8"/>
        <w:rFonts w:ascii="宋体" w:hAnsi="宋体"/>
      </w:rPr>
    </w:pPr>
  </w:p>
  <w:p>
    <w:pPr>
      <w:pStyle w:val="9"/>
      <w:ind w:right="360"/>
      <w:jc w:val="both"/>
      <w:rPr>
        <w:rFonts w:ascii="宋体" w:hAnsi="宋体"/>
        <w:szCs w:val="18"/>
      </w:rPr>
    </w:pPr>
    <w:r>
      <mc:AlternateContent>
        <mc:Choice Requires="wps">
          <w:drawing>
            <wp:anchor distT="0" distB="0" distL="114300" distR="114300" simplePos="0" relativeHeight="251667456" behindDoc="0" locked="0" layoutInCell="1" allowOverlap="1">
              <wp:simplePos x="0" y="0"/>
              <wp:positionH relativeFrom="margin">
                <wp:posOffset>2847340</wp:posOffset>
              </wp:positionH>
              <wp:positionV relativeFrom="paragraph">
                <wp:posOffset>118745</wp:posOffset>
              </wp:positionV>
              <wp:extent cx="457200" cy="216535"/>
              <wp:effectExtent l="635" t="635" r="0" b="1905"/>
              <wp:wrapNone/>
              <wp:docPr id="4" name="文本框 1051"/>
              <wp:cNvGraphicFramePr/>
              <a:graphic xmlns:a="http://schemas.openxmlformats.org/drawingml/2006/main">
                <a:graphicData uri="http://schemas.microsoft.com/office/word/2010/wordprocessingShape">
                  <wps:wsp>
                    <wps:cNvSpPr txBox="1">
                      <a:spLocks noChangeArrowheads="1"/>
                    </wps:cNvSpPr>
                    <wps:spPr bwMode="auto">
                      <a:xfrm>
                        <a:off x="0" y="0"/>
                        <a:ext cx="457200" cy="216535"/>
                      </a:xfrm>
                      <a:prstGeom prst="rect">
                        <a:avLst/>
                      </a:prstGeom>
                      <a:noFill/>
                      <a:ln>
                        <a:noFill/>
                      </a:ln>
                    </wps:spPr>
                    <wps:txbx>
                      <w:txbxContent>
                        <w:p>
                          <w:pPr>
                            <w:pStyle w:val="9"/>
                            <w:rPr>
                              <w:rFonts w:ascii="楷体" w:hAnsi="楷体" w:eastAsia="楷体" w:cs="楷体"/>
                            </w:rPr>
                          </w:pPr>
                          <w:r>
                            <w:rPr>
                              <w:rFonts w:hint="eastAsia" w:ascii="楷体" w:hAnsi="楷体" w:eastAsia="楷体" w:cs="楷体"/>
                            </w:rPr>
                            <w:t>第</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w:t>
                          </w:r>
                          <w:r>
                            <w:rPr>
                              <w:rFonts w:hint="eastAsia" w:ascii="楷体" w:hAnsi="楷体" w:eastAsia="楷体" w:cs="楷体"/>
                            </w:rPr>
                            <w:fldChar w:fldCharType="end"/>
                          </w:r>
                          <w:r>
                            <w:rPr>
                              <w:rFonts w:hint="eastAsia" w:ascii="楷体" w:hAnsi="楷体" w:eastAsia="楷体" w:cs="楷体"/>
                            </w:rPr>
                            <w:t>页</w:t>
                          </w:r>
                        </w:p>
                      </w:txbxContent>
                    </wps:txbx>
                    <wps:bodyPr rot="0" vert="horz" wrap="square" lIns="0" tIns="0" rIns="0" bIns="0" anchor="t" anchorCtr="0" upright="1">
                      <a:noAutofit/>
                    </wps:bodyPr>
                  </wps:wsp>
                </a:graphicData>
              </a:graphic>
            </wp:anchor>
          </w:drawing>
        </mc:Choice>
        <mc:Fallback>
          <w:pict>
            <v:shape id="文本框 1051" o:spid="_x0000_s1026" o:spt="202" type="#_x0000_t202" style="position:absolute;left:0pt;margin-left:224.2pt;margin-top:9.35pt;height:17.05pt;width:36pt;mso-position-horizontal-relative:margin;z-index:251667456;mso-width-relative:page;mso-height-relative:page;" filled="f" stroked="f" coordsize="21600,21600" o:gfxdata="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yMl9gAAAAJAQAADwAAAAAAAAABACAA&#10;AAAiAAAAZHJzL2Rvd25yZXYueG1sUEsBAhQAFAAAAAgAh07iQJEWgYINAgAABwQAAA4AAAAAAAAA&#10;AQAgAAAAJwEAAGRycy9lMm9Eb2MueG1sUEsFBgAAAAAGAAYAWQEAAKYFAAAAAA==&#10;">
              <v:fill on="f" focussize="0,0"/>
              <v:stroke on="f"/>
              <v:imagedata o:title=""/>
              <o:lock v:ext="edit" aspectratio="f"/>
              <v:textbox inset="0mm,0mm,0mm,0mm">
                <w:txbxContent>
                  <w:p>
                    <w:pPr>
                      <w:pStyle w:val="9"/>
                      <w:rPr>
                        <w:rFonts w:ascii="楷体" w:hAnsi="楷体" w:eastAsia="楷体" w:cs="楷体"/>
                      </w:rPr>
                    </w:pPr>
                    <w:r>
                      <w:rPr>
                        <w:rFonts w:hint="eastAsia" w:ascii="楷体" w:hAnsi="楷体" w:eastAsia="楷体" w:cs="楷体"/>
                      </w:rPr>
                      <w:t>第</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4</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宋体" w:hAnsi="宋体"/>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42545</wp:posOffset>
              </wp:positionV>
              <wp:extent cx="5715000" cy="0"/>
              <wp:effectExtent l="10795" t="10160" r="8255" b="8890"/>
              <wp:wrapNone/>
              <wp:docPr id="3" name="Line 28"/>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28" o:spid="_x0000_s1026" o:spt="20" style="position:absolute;left:0pt;margin-left:0pt;margin-top:3.35pt;height:0pt;width:450pt;z-index:251666432;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2gwTPc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hint="eastAsia" w:ascii="楷体" w:hAnsi="楷体" w:eastAsia="楷体"/>
        <w:szCs w:val="18"/>
        <w:lang w:eastAsia="zh-CN"/>
      </w:rPr>
    </w:pPr>
    <w:r>
      <w:rPr>
        <w:rFonts w:hint="eastAsia" w:ascii="楷体" w:hAnsi="楷体" w:eastAsia="楷体"/>
      </w:rPr>
      <w:t>福建明鉴资产评估房地产土地估价有限公司</w:t>
    </w:r>
    <w:r>
      <w:rPr>
        <w:rFonts w:hint="eastAsia" w:ascii="楷体" w:hAnsi="楷体" w:eastAsia="楷体"/>
        <w:szCs w:val="18"/>
      </w:rPr>
      <w:t xml:space="preserve">                              </w:t>
    </w:r>
    <w:r>
      <w:rPr>
        <w:rFonts w:hint="eastAsia" w:ascii="楷体" w:hAnsi="楷体" w:eastAsia="楷体"/>
        <w:lang w:eastAsia="zh-CN"/>
      </w:rPr>
      <w:t>闽鉴岩房评字[2022]112号</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both"/>
      <w:rPr>
        <w:rFonts w:ascii="楷体_GB2312" w:eastAsia="楷体_GB2312"/>
      </w:rPr>
    </w:pPr>
    <w:r>
      <w:rPr>
        <w:rFonts w:hint="eastAsia" w:ascii="楷体_GB2312" w:eastAsia="楷体_GB2312"/>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42545</wp:posOffset>
              </wp:positionV>
              <wp:extent cx="5715000" cy="0"/>
              <wp:effectExtent l="9525" t="13970" r="9525" b="5080"/>
              <wp:wrapNone/>
              <wp:docPr id="2" name="Line 1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Line 17" o:spid="_x0000_s1026" o:spt="20" style="position:absolute;left:0pt;margin-left:0pt;margin-top:3.35pt;height:0pt;width:450pt;z-index:251663360;mso-width-relative:page;mso-height-relative:page;" filled="f" stroked="t" coordsize="21600,21600" o:gfxdata="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UB8C0gAAAAQBAAAPAAAAAAAAAAEAIAAAACIAAABkcnMvZG93bnJl&#10;di54bWxQSwECFAAUAAAACACHTuJAmdJC88oBAACgAwAADgAAAAAAAAABACAAAAAhAQAAZHJzL2Uy&#10;b0RvYy54bWxQSwUGAAAAAAYABgBZAQAAXQUAAAAA&#10;">
              <v:fill on="f" focussize="0,0"/>
              <v:stroke color="#000000" joinstyle="round"/>
              <v:imagedata o:title=""/>
              <o:lock v:ext="edit" aspectratio="f"/>
            </v:line>
          </w:pict>
        </mc:Fallback>
      </mc:AlternateContent>
    </w:r>
  </w:p>
  <w:p>
    <w:pPr>
      <w:pStyle w:val="9"/>
      <w:ind w:right="360"/>
      <w:jc w:val="both"/>
      <w:rPr>
        <w:rFonts w:ascii="楷体" w:hAnsi="楷体" w:eastAsia="楷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ind w:right="360"/>
                            <w:jc w:val="both"/>
                            <w:rPr>
                              <w:rFonts w:eastAsia="楷体"/>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rPr>
                            <w:t>闽鉴岩房评字【2021】087号</w:t>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KlnEi0HAgAABwQAAA4AAAAAAAAAAQAgAAAAHgEAAGRycy9l&#10;Mm9Eb2MueG1sUEsFBgAAAAAGAAYAWQEAAJcFAAAAAA==&#10;">
              <v:fill on="f" focussize="0,0"/>
              <v:stroke on="f"/>
              <v:imagedata o:title=""/>
              <o:lock v:ext="edit" aspectratio="f"/>
              <v:textbox inset="0mm,0mm,0mm,0mm" style="mso-fit-shape-to-text:t;">
                <w:txbxContent>
                  <w:p>
                    <w:pPr>
                      <w:pStyle w:val="9"/>
                      <w:ind w:right="360"/>
                      <w:jc w:val="both"/>
                      <w:rPr>
                        <w:rFonts w:eastAsia="楷体"/>
                      </w:rPr>
                    </w:pPr>
                    <w:r>
                      <w:rPr>
                        <w:rFonts w:hint="eastAsia" w:ascii="楷体" w:hAnsi="楷体" w:eastAsia="楷体"/>
                      </w:rPr>
                      <w:t>福建明鉴资产评估房地产土地估价有限公司</w:t>
                    </w:r>
                    <w:r>
                      <w:rPr>
                        <w:rFonts w:hint="eastAsia" w:ascii="楷体" w:hAnsi="楷体" w:eastAsia="楷体"/>
                        <w:szCs w:val="18"/>
                      </w:rPr>
                      <w:t xml:space="preserve">           </w:t>
                    </w:r>
                    <w:r>
                      <w:rPr>
                        <w:rStyle w:val="18"/>
                        <w:rFonts w:hint="eastAsia" w:ascii="楷体" w:hAnsi="楷体" w:eastAsia="楷体"/>
                        <w:szCs w:val="18"/>
                      </w:rPr>
                      <w:t xml:space="preserve"> 第</w:t>
                    </w:r>
                    <w:r>
                      <w:rPr>
                        <w:rFonts w:hint="eastAsia" w:ascii="楷体" w:hAnsi="楷体" w:eastAsia="楷体"/>
                      </w:rPr>
                      <w:fldChar w:fldCharType="begin"/>
                    </w:r>
                    <w:r>
                      <w:rPr>
                        <w:rStyle w:val="18"/>
                        <w:rFonts w:hint="eastAsia" w:ascii="楷体" w:hAnsi="楷体" w:eastAsia="楷体"/>
                      </w:rPr>
                      <w:instrText xml:space="preserve"> PAGE </w:instrText>
                    </w:r>
                    <w:r>
                      <w:rPr>
                        <w:rFonts w:hint="eastAsia" w:ascii="楷体" w:hAnsi="楷体" w:eastAsia="楷体"/>
                      </w:rPr>
                      <w:fldChar w:fldCharType="separate"/>
                    </w:r>
                    <w:r>
                      <w:rPr>
                        <w:rStyle w:val="18"/>
                        <w:rFonts w:ascii="楷体" w:hAnsi="楷体" w:eastAsia="楷体"/>
                      </w:rPr>
                      <w:t>1</w:t>
                    </w:r>
                    <w:r>
                      <w:rPr>
                        <w:rFonts w:hint="eastAsia" w:ascii="楷体" w:hAnsi="楷体" w:eastAsia="楷体"/>
                      </w:rPr>
                      <w:fldChar w:fldCharType="end"/>
                    </w:r>
                    <w:r>
                      <w:rPr>
                        <w:rStyle w:val="18"/>
                        <w:rFonts w:hint="eastAsia" w:ascii="楷体" w:hAnsi="楷体" w:eastAsia="楷体"/>
                      </w:rPr>
                      <w:t>页</w:t>
                    </w:r>
                    <w:r>
                      <w:rPr>
                        <w:rStyle w:val="18"/>
                        <w:rFonts w:hint="eastAsia" w:ascii="楷体" w:hAnsi="楷体" w:eastAsia="楷体"/>
                        <w:szCs w:val="18"/>
                      </w:rPr>
                      <w:t xml:space="preserve">            </w:t>
                    </w:r>
                    <w:r>
                      <w:rPr>
                        <w:rFonts w:hint="eastAsia" w:ascii="楷体" w:hAnsi="楷体" w:eastAsia="楷体"/>
                      </w:rPr>
                      <w:t>闽鉴岩房评字【2021】087号</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楷体" w:hAnsi="楷体" w:eastAsia="楷体"/>
        <w:szCs w:val="21"/>
      </w:rPr>
    </w:pPr>
    <w:r>
      <w:rPr>
        <w:rFonts w:hint="eastAsia"/>
        <w:szCs w:val="21"/>
      </w:rPr>
      <w:t xml:space="preserve">                 </w:t>
    </w:r>
    <w:r>
      <w:rPr>
        <w:rFonts w:hint="eastAsia" w:ascii="楷体" w:hAnsi="楷体" w:eastAsia="楷体"/>
        <w:szCs w:val="21"/>
        <w:lang w:eastAsia="zh-CN"/>
      </w:rPr>
      <w:t>龙岩市永定区凤城街道金凤开发区同心路3号1层1#、5层、6层3#号住宅</w:t>
    </w:r>
    <w:r>
      <w:rPr>
        <w:rFonts w:hint="eastAsia" w:ascii="楷体" w:hAnsi="楷体" w:eastAsia="楷体"/>
        <w:szCs w:val="21"/>
      </w:rPr>
      <w:t>房地产司法拍卖估价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ascii="楷体" w:hAnsi="楷体" w:eastAsia="楷体"/>
        <w:szCs w:val="21"/>
        <w:lang w:eastAsia="zh-CN"/>
      </w:rPr>
      <w:t>龙岩市永定区凤城街道金凤开发区同心路3号1层1#、5层、6层3#号住宅</w:t>
    </w:r>
    <w:r>
      <w:rPr>
        <w:rFonts w:hint="eastAsia" w:ascii="楷体" w:hAnsi="楷体" w:eastAsia="楷体"/>
        <w:szCs w:val="21"/>
      </w:rPr>
      <w:t>房地产司法拍卖估价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B94CC"/>
    <w:multiLevelType w:val="singleLevel"/>
    <w:tmpl w:val="C84B94CC"/>
    <w:lvl w:ilvl="0" w:tentative="0">
      <w:start w:val="8"/>
      <w:numFmt w:val="decimal"/>
      <w:suff w:val="nothing"/>
      <w:lvlText w:val="%1、"/>
      <w:lvlJc w:val="left"/>
    </w:lvl>
  </w:abstractNum>
  <w:abstractNum w:abstractNumId="1">
    <w:nsid w:val="6C687041"/>
    <w:multiLevelType w:val="singleLevel"/>
    <w:tmpl w:val="6C68704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zNGI0NzViMGZlYWRmMDYyNWRiMzgzY2MxYzMwMmUifQ=="/>
  </w:docVars>
  <w:rsids>
    <w:rsidRoot w:val="00172A27"/>
    <w:rsid w:val="000038B4"/>
    <w:rsid w:val="0000452B"/>
    <w:rsid w:val="000136D6"/>
    <w:rsid w:val="000159E3"/>
    <w:rsid w:val="000163EA"/>
    <w:rsid w:val="00016654"/>
    <w:rsid w:val="00022FB5"/>
    <w:rsid w:val="00025AF1"/>
    <w:rsid w:val="000302DF"/>
    <w:rsid w:val="00031C60"/>
    <w:rsid w:val="00033197"/>
    <w:rsid w:val="00035FF0"/>
    <w:rsid w:val="00040B5C"/>
    <w:rsid w:val="000526C6"/>
    <w:rsid w:val="0005576E"/>
    <w:rsid w:val="0005586E"/>
    <w:rsid w:val="00057BE5"/>
    <w:rsid w:val="00062086"/>
    <w:rsid w:val="0006554E"/>
    <w:rsid w:val="000675B2"/>
    <w:rsid w:val="00067E81"/>
    <w:rsid w:val="0007002B"/>
    <w:rsid w:val="00072A41"/>
    <w:rsid w:val="00072C41"/>
    <w:rsid w:val="000731EC"/>
    <w:rsid w:val="000734C4"/>
    <w:rsid w:val="00074F56"/>
    <w:rsid w:val="00077319"/>
    <w:rsid w:val="000775B2"/>
    <w:rsid w:val="00082969"/>
    <w:rsid w:val="000859EB"/>
    <w:rsid w:val="0009084F"/>
    <w:rsid w:val="0009225F"/>
    <w:rsid w:val="00092E19"/>
    <w:rsid w:val="00092F80"/>
    <w:rsid w:val="000945FE"/>
    <w:rsid w:val="000A2D50"/>
    <w:rsid w:val="000A5CB1"/>
    <w:rsid w:val="000B2A45"/>
    <w:rsid w:val="000B35CF"/>
    <w:rsid w:val="000B4CCA"/>
    <w:rsid w:val="000C054A"/>
    <w:rsid w:val="000C09EC"/>
    <w:rsid w:val="000C2625"/>
    <w:rsid w:val="000C42C0"/>
    <w:rsid w:val="000D4299"/>
    <w:rsid w:val="000E0AB4"/>
    <w:rsid w:val="000E0E31"/>
    <w:rsid w:val="000E2EE3"/>
    <w:rsid w:val="000E2EE7"/>
    <w:rsid w:val="000E4B8F"/>
    <w:rsid w:val="000E65E8"/>
    <w:rsid w:val="000F0E69"/>
    <w:rsid w:val="000F193D"/>
    <w:rsid w:val="000F3C82"/>
    <w:rsid w:val="000F5C9A"/>
    <w:rsid w:val="0010555A"/>
    <w:rsid w:val="00105FC9"/>
    <w:rsid w:val="00106065"/>
    <w:rsid w:val="00110311"/>
    <w:rsid w:val="00110A19"/>
    <w:rsid w:val="00113175"/>
    <w:rsid w:val="00120E6F"/>
    <w:rsid w:val="001217EC"/>
    <w:rsid w:val="00122979"/>
    <w:rsid w:val="00126142"/>
    <w:rsid w:val="00132A6A"/>
    <w:rsid w:val="00132AF5"/>
    <w:rsid w:val="00133D0B"/>
    <w:rsid w:val="00134A80"/>
    <w:rsid w:val="001362FE"/>
    <w:rsid w:val="00142787"/>
    <w:rsid w:val="00142ED0"/>
    <w:rsid w:val="00145F3E"/>
    <w:rsid w:val="00146500"/>
    <w:rsid w:val="00147483"/>
    <w:rsid w:val="00150FEA"/>
    <w:rsid w:val="0015182A"/>
    <w:rsid w:val="001545EA"/>
    <w:rsid w:val="00155B66"/>
    <w:rsid w:val="0016058B"/>
    <w:rsid w:val="001619C3"/>
    <w:rsid w:val="0016491C"/>
    <w:rsid w:val="00164D4F"/>
    <w:rsid w:val="0016550B"/>
    <w:rsid w:val="00165782"/>
    <w:rsid w:val="001662B2"/>
    <w:rsid w:val="00170444"/>
    <w:rsid w:val="00172A27"/>
    <w:rsid w:val="0017494E"/>
    <w:rsid w:val="00180812"/>
    <w:rsid w:val="0018155F"/>
    <w:rsid w:val="00185A97"/>
    <w:rsid w:val="00186563"/>
    <w:rsid w:val="00195181"/>
    <w:rsid w:val="001A41C2"/>
    <w:rsid w:val="001A5246"/>
    <w:rsid w:val="001A6F6F"/>
    <w:rsid w:val="001A7870"/>
    <w:rsid w:val="001B102B"/>
    <w:rsid w:val="001B2972"/>
    <w:rsid w:val="001B4AB8"/>
    <w:rsid w:val="001B63C9"/>
    <w:rsid w:val="001C1218"/>
    <w:rsid w:val="001C27B9"/>
    <w:rsid w:val="001C29B3"/>
    <w:rsid w:val="001C5132"/>
    <w:rsid w:val="001C519B"/>
    <w:rsid w:val="001C6C4A"/>
    <w:rsid w:val="001C6C55"/>
    <w:rsid w:val="001C7C40"/>
    <w:rsid w:val="001C7FE2"/>
    <w:rsid w:val="001D1E2C"/>
    <w:rsid w:val="001D32C6"/>
    <w:rsid w:val="001E2204"/>
    <w:rsid w:val="001E77FA"/>
    <w:rsid w:val="001E7EDC"/>
    <w:rsid w:val="001F0390"/>
    <w:rsid w:val="002004A2"/>
    <w:rsid w:val="0020192E"/>
    <w:rsid w:val="0020286D"/>
    <w:rsid w:val="00203561"/>
    <w:rsid w:val="00205D3B"/>
    <w:rsid w:val="00210845"/>
    <w:rsid w:val="00212C62"/>
    <w:rsid w:val="00214F85"/>
    <w:rsid w:val="00215580"/>
    <w:rsid w:val="00215F91"/>
    <w:rsid w:val="00223089"/>
    <w:rsid w:val="00227F5E"/>
    <w:rsid w:val="0023014F"/>
    <w:rsid w:val="002305B0"/>
    <w:rsid w:val="00231B8A"/>
    <w:rsid w:val="0023535D"/>
    <w:rsid w:val="0023630B"/>
    <w:rsid w:val="0023756E"/>
    <w:rsid w:val="00240453"/>
    <w:rsid w:val="00241A6E"/>
    <w:rsid w:val="00242E4E"/>
    <w:rsid w:val="002445E3"/>
    <w:rsid w:val="002464FB"/>
    <w:rsid w:val="00247401"/>
    <w:rsid w:val="002474F2"/>
    <w:rsid w:val="0025183F"/>
    <w:rsid w:val="00252314"/>
    <w:rsid w:val="00255230"/>
    <w:rsid w:val="00255DF2"/>
    <w:rsid w:val="00256F72"/>
    <w:rsid w:val="00257548"/>
    <w:rsid w:val="00260F95"/>
    <w:rsid w:val="00261030"/>
    <w:rsid w:val="002613AF"/>
    <w:rsid w:val="0026260C"/>
    <w:rsid w:val="00263F01"/>
    <w:rsid w:val="00265ADA"/>
    <w:rsid w:val="00265D13"/>
    <w:rsid w:val="00266535"/>
    <w:rsid w:val="00270766"/>
    <w:rsid w:val="00281A1B"/>
    <w:rsid w:val="00285B98"/>
    <w:rsid w:val="002920CC"/>
    <w:rsid w:val="002A1019"/>
    <w:rsid w:val="002A189B"/>
    <w:rsid w:val="002A2B2B"/>
    <w:rsid w:val="002B4B2F"/>
    <w:rsid w:val="002C0791"/>
    <w:rsid w:val="002C1AB1"/>
    <w:rsid w:val="002C529E"/>
    <w:rsid w:val="002D0935"/>
    <w:rsid w:val="002D0CAC"/>
    <w:rsid w:val="002D0D77"/>
    <w:rsid w:val="002D0F47"/>
    <w:rsid w:val="002D244A"/>
    <w:rsid w:val="002D382A"/>
    <w:rsid w:val="002D603E"/>
    <w:rsid w:val="002E1989"/>
    <w:rsid w:val="002E3587"/>
    <w:rsid w:val="002E7BAB"/>
    <w:rsid w:val="002F02CE"/>
    <w:rsid w:val="002F086B"/>
    <w:rsid w:val="002F57B6"/>
    <w:rsid w:val="002F62D7"/>
    <w:rsid w:val="00300297"/>
    <w:rsid w:val="00302887"/>
    <w:rsid w:val="00303DC4"/>
    <w:rsid w:val="00310231"/>
    <w:rsid w:val="00314FED"/>
    <w:rsid w:val="003204AC"/>
    <w:rsid w:val="00320507"/>
    <w:rsid w:val="0032108E"/>
    <w:rsid w:val="003215B3"/>
    <w:rsid w:val="00324072"/>
    <w:rsid w:val="003249B8"/>
    <w:rsid w:val="00324C07"/>
    <w:rsid w:val="00325D8D"/>
    <w:rsid w:val="003268FC"/>
    <w:rsid w:val="00326BEF"/>
    <w:rsid w:val="003303F6"/>
    <w:rsid w:val="00330761"/>
    <w:rsid w:val="00333088"/>
    <w:rsid w:val="0033644F"/>
    <w:rsid w:val="00337911"/>
    <w:rsid w:val="00337E04"/>
    <w:rsid w:val="003400EE"/>
    <w:rsid w:val="003411A6"/>
    <w:rsid w:val="003425EA"/>
    <w:rsid w:val="00342A6F"/>
    <w:rsid w:val="00345D01"/>
    <w:rsid w:val="00350C79"/>
    <w:rsid w:val="00365941"/>
    <w:rsid w:val="00371E70"/>
    <w:rsid w:val="00371F21"/>
    <w:rsid w:val="0037391E"/>
    <w:rsid w:val="00380448"/>
    <w:rsid w:val="00381732"/>
    <w:rsid w:val="0038485C"/>
    <w:rsid w:val="003852FE"/>
    <w:rsid w:val="00391374"/>
    <w:rsid w:val="003A03CD"/>
    <w:rsid w:val="003A3824"/>
    <w:rsid w:val="003A3E19"/>
    <w:rsid w:val="003A4612"/>
    <w:rsid w:val="003A5C3F"/>
    <w:rsid w:val="003A6704"/>
    <w:rsid w:val="003A6F21"/>
    <w:rsid w:val="003B04DC"/>
    <w:rsid w:val="003B44C3"/>
    <w:rsid w:val="003B4E4B"/>
    <w:rsid w:val="003B7C7B"/>
    <w:rsid w:val="003C0F25"/>
    <w:rsid w:val="003C1F55"/>
    <w:rsid w:val="003C40F0"/>
    <w:rsid w:val="003C41EC"/>
    <w:rsid w:val="003C5CA4"/>
    <w:rsid w:val="003C66DF"/>
    <w:rsid w:val="003C6B5C"/>
    <w:rsid w:val="003C7B5A"/>
    <w:rsid w:val="003D07A5"/>
    <w:rsid w:val="003D112D"/>
    <w:rsid w:val="003D1321"/>
    <w:rsid w:val="003D1FCA"/>
    <w:rsid w:val="003D4294"/>
    <w:rsid w:val="003E0582"/>
    <w:rsid w:val="003E0791"/>
    <w:rsid w:val="003E1200"/>
    <w:rsid w:val="003E5120"/>
    <w:rsid w:val="003F13A2"/>
    <w:rsid w:val="003F230F"/>
    <w:rsid w:val="003F6533"/>
    <w:rsid w:val="003F6573"/>
    <w:rsid w:val="00411000"/>
    <w:rsid w:val="00412127"/>
    <w:rsid w:val="00413204"/>
    <w:rsid w:val="00414C36"/>
    <w:rsid w:val="0041680D"/>
    <w:rsid w:val="00416ABA"/>
    <w:rsid w:val="00416EC4"/>
    <w:rsid w:val="00422F39"/>
    <w:rsid w:val="004267AE"/>
    <w:rsid w:val="0043007A"/>
    <w:rsid w:val="004328A3"/>
    <w:rsid w:val="00442445"/>
    <w:rsid w:val="00442641"/>
    <w:rsid w:val="00445ADF"/>
    <w:rsid w:val="00445E1E"/>
    <w:rsid w:val="00446547"/>
    <w:rsid w:val="00451445"/>
    <w:rsid w:val="00451FA2"/>
    <w:rsid w:val="00454E8E"/>
    <w:rsid w:val="00455CDE"/>
    <w:rsid w:val="00460A37"/>
    <w:rsid w:val="00463E7B"/>
    <w:rsid w:val="004658B9"/>
    <w:rsid w:val="00465A37"/>
    <w:rsid w:val="00473822"/>
    <w:rsid w:val="00473B4E"/>
    <w:rsid w:val="00473D5E"/>
    <w:rsid w:val="00474CA3"/>
    <w:rsid w:val="00474EB0"/>
    <w:rsid w:val="004808A2"/>
    <w:rsid w:val="00484CBC"/>
    <w:rsid w:val="00486219"/>
    <w:rsid w:val="00487875"/>
    <w:rsid w:val="004909C4"/>
    <w:rsid w:val="00491BFA"/>
    <w:rsid w:val="00491E94"/>
    <w:rsid w:val="00495362"/>
    <w:rsid w:val="00497DB9"/>
    <w:rsid w:val="004A01D9"/>
    <w:rsid w:val="004A26C6"/>
    <w:rsid w:val="004A3C94"/>
    <w:rsid w:val="004A46CD"/>
    <w:rsid w:val="004A4AF1"/>
    <w:rsid w:val="004B4DFF"/>
    <w:rsid w:val="004C00F1"/>
    <w:rsid w:val="004C3DE4"/>
    <w:rsid w:val="004C70F0"/>
    <w:rsid w:val="004D1047"/>
    <w:rsid w:val="004D4B20"/>
    <w:rsid w:val="004D5036"/>
    <w:rsid w:val="004D5CD7"/>
    <w:rsid w:val="004D6AB9"/>
    <w:rsid w:val="004E2E50"/>
    <w:rsid w:val="004E40CF"/>
    <w:rsid w:val="004F359D"/>
    <w:rsid w:val="004F5E53"/>
    <w:rsid w:val="00500896"/>
    <w:rsid w:val="0050402D"/>
    <w:rsid w:val="005043E1"/>
    <w:rsid w:val="005071C3"/>
    <w:rsid w:val="00507C2E"/>
    <w:rsid w:val="0051092D"/>
    <w:rsid w:val="00510AF5"/>
    <w:rsid w:val="00511E24"/>
    <w:rsid w:val="00513C92"/>
    <w:rsid w:val="00515A69"/>
    <w:rsid w:val="00517E30"/>
    <w:rsid w:val="005201DB"/>
    <w:rsid w:val="0052051C"/>
    <w:rsid w:val="00526660"/>
    <w:rsid w:val="005274B0"/>
    <w:rsid w:val="00531B21"/>
    <w:rsid w:val="00533A2E"/>
    <w:rsid w:val="005349A0"/>
    <w:rsid w:val="00535D6D"/>
    <w:rsid w:val="00536777"/>
    <w:rsid w:val="00537D67"/>
    <w:rsid w:val="00542A9D"/>
    <w:rsid w:val="0054578D"/>
    <w:rsid w:val="005508B2"/>
    <w:rsid w:val="005540D1"/>
    <w:rsid w:val="00554C22"/>
    <w:rsid w:val="00554EA3"/>
    <w:rsid w:val="00562838"/>
    <w:rsid w:val="00562EC8"/>
    <w:rsid w:val="005631A7"/>
    <w:rsid w:val="00564700"/>
    <w:rsid w:val="00564DE5"/>
    <w:rsid w:val="00566F9F"/>
    <w:rsid w:val="00570B16"/>
    <w:rsid w:val="005749DB"/>
    <w:rsid w:val="005757ED"/>
    <w:rsid w:val="00576170"/>
    <w:rsid w:val="0057719F"/>
    <w:rsid w:val="0057728F"/>
    <w:rsid w:val="00580246"/>
    <w:rsid w:val="005819A8"/>
    <w:rsid w:val="00581AEE"/>
    <w:rsid w:val="00581F01"/>
    <w:rsid w:val="00582DAC"/>
    <w:rsid w:val="005836FD"/>
    <w:rsid w:val="0058453C"/>
    <w:rsid w:val="00585BFD"/>
    <w:rsid w:val="00592B5D"/>
    <w:rsid w:val="00593EDE"/>
    <w:rsid w:val="00594155"/>
    <w:rsid w:val="005A2B0F"/>
    <w:rsid w:val="005A6E46"/>
    <w:rsid w:val="005B0979"/>
    <w:rsid w:val="005B30E5"/>
    <w:rsid w:val="005B42E8"/>
    <w:rsid w:val="005B7D2C"/>
    <w:rsid w:val="005C0D12"/>
    <w:rsid w:val="005C1654"/>
    <w:rsid w:val="005C1BF5"/>
    <w:rsid w:val="005C2AA6"/>
    <w:rsid w:val="005D1A44"/>
    <w:rsid w:val="005D29B5"/>
    <w:rsid w:val="005D371B"/>
    <w:rsid w:val="005D3ED8"/>
    <w:rsid w:val="005E1A53"/>
    <w:rsid w:val="005E64A9"/>
    <w:rsid w:val="005F26A4"/>
    <w:rsid w:val="005F2EF1"/>
    <w:rsid w:val="006038C6"/>
    <w:rsid w:val="00612125"/>
    <w:rsid w:val="006127AC"/>
    <w:rsid w:val="00615B09"/>
    <w:rsid w:val="00617CD6"/>
    <w:rsid w:val="006218D9"/>
    <w:rsid w:val="00623A22"/>
    <w:rsid w:val="0062415C"/>
    <w:rsid w:val="00627FEC"/>
    <w:rsid w:val="006300D2"/>
    <w:rsid w:val="0063051E"/>
    <w:rsid w:val="006324D0"/>
    <w:rsid w:val="00632F89"/>
    <w:rsid w:val="006353F4"/>
    <w:rsid w:val="00636D6D"/>
    <w:rsid w:val="00640582"/>
    <w:rsid w:val="00650B84"/>
    <w:rsid w:val="00653418"/>
    <w:rsid w:val="00653468"/>
    <w:rsid w:val="00653C0A"/>
    <w:rsid w:val="00654A23"/>
    <w:rsid w:val="00656295"/>
    <w:rsid w:val="00661379"/>
    <w:rsid w:val="00661AC5"/>
    <w:rsid w:val="00661BF1"/>
    <w:rsid w:val="006628F2"/>
    <w:rsid w:val="00662A06"/>
    <w:rsid w:val="006646C2"/>
    <w:rsid w:val="00664E84"/>
    <w:rsid w:val="006650ED"/>
    <w:rsid w:val="0066541C"/>
    <w:rsid w:val="00665793"/>
    <w:rsid w:val="00671C9D"/>
    <w:rsid w:val="00675AAF"/>
    <w:rsid w:val="006761E7"/>
    <w:rsid w:val="006810ED"/>
    <w:rsid w:val="00684942"/>
    <w:rsid w:val="00685485"/>
    <w:rsid w:val="00685BD4"/>
    <w:rsid w:val="0069182F"/>
    <w:rsid w:val="00691E37"/>
    <w:rsid w:val="00693873"/>
    <w:rsid w:val="00693962"/>
    <w:rsid w:val="00694BE6"/>
    <w:rsid w:val="00697458"/>
    <w:rsid w:val="0069792E"/>
    <w:rsid w:val="006A31B8"/>
    <w:rsid w:val="006A3C45"/>
    <w:rsid w:val="006A655E"/>
    <w:rsid w:val="006B090A"/>
    <w:rsid w:val="006B24F3"/>
    <w:rsid w:val="006B5DFD"/>
    <w:rsid w:val="006C44EC"/>
    <w:rsid w:val="006D4268"/>
    <w:rsid w:val="006D4977"/>
    <w:rsid w:val="006D529B"/>
    <w:rsid w:val="006D6742"/>
    <w:rsid w:val="006E0D45"/>
    <w:rsid w:val="006E4AB4"/>
    <w:rsid w:val="006E4E8D"/>
    <w:rsid w:val="006E52C4"/>
    <w:rsid w:val="006E7AAD"/>
    <w:rsid w:val="006E7E81"/>
    <w:rsid w:val="006F08AA"/>
    <w:rsid w:val="006F0B5B"/>
    <w:rsid w:val="006F5BF7"/>
    <w:rsid w:val="006F67D0"/>
    <w:rsid w:val="006F6C3D"/>
    <w:rsid w:val="006F77F2"/>
    <w:rsid w:val="007022B4"/>
    <w:rsid w:val="00705872"/>
    <w:rsid w:val="007117FD"/>
    <w:rsid w:val="007150D7"/>
    <w:rsid w:val="0072037F"/>
    <w:rsid w:val="007225A1"/>
    <w:rsid w:val="00722DD7"/>
    <w:rsid w:val="0072701B"/>
    <w:rsid w:val="0073085A"/>
    <w:rsid w:val="00731BD8"/>
    <w:rsid w:val="00735124"/>
    <w:rsid w:val="00737560"/>
    <w:rsid w:val="00737589"/>
    <w:rsid w:val="007404FF"/>
    <w:rsid w:val="00740759"/>
    <w:rsid w:val="00741CB3"/>
    <w:rsid w:val="00746B27"/>
    <w:rsid w:val="00751A18"/>
    <w:rsid w:val="00755657"/>
    <w:rsid w:val="0076202A"/>
    <w:rsid w:val="007677D3"/>
    <w:rsid w:val="007719A0"/>
    <w:rsid w:val="007779F1"/>
    <w:rsid w:val="00777F63"/>
    <w:rsid w:val="007801F6"/>
    <w:rsid w:val="0078055A"/>
    <w:rsid w:val="007813A0"/>
    <w:rsid w:val="0078237B"/>
    <w:rsid w:val="0078582F"/>
    <w:rsid w:val="007859ED"/>
    <w:rsid w:val="007871CB"/>
    <w:rsid w:val="007918D7"/>
    <w:rsid w:val="00792261"/>
    <w:rsid w:val="007941C2"/>
    <w:rsid w:val="00794C2B"/>
    <w:rsid w:val="00796AE9"/>
    <w:rsid w:val="007B1BD1"/>
    <w:rsid w:val="007B3D3F"/>
    <w:rsid w:val="007B5FED"/>
    <w:rsid w:val="007B68A1"/>
    <w:rsid w:val="007B78D1"/>
    <w:rsid w:val="007B7958"/>
    <w:rsid w:val="007C505B"/>
    <w:rsid w:val="007C6E89"/>
    <w:rsid w:val="007D23DE"/>
    <w:rsid w:val="007D2B47"/>
    <w:rsid w:val="007E1CB1"/>
    <w:rsid w:val="007E2959"/>
    <w:rsid w:val="007E3652"/>
    <w:rsid w:val="007E53F5"/>
    <w:rsid w:val="007E76C3"/>
    <w:rsid w:val="007F0A83"/>
    <w:rsid w:val="007F0E97"/>
    <w:rsid w:val="007F11B5"/>
    <w:rsid w:val="007F1782"/>
    <w:rsid w:val="007F1A24"/>
    <w:rsid w:val="007F39FB"/>
    <w:rsid w:val="007F4CA6"/>
    <w:rsid w:val="007F6BBA"/>
    <w:rsid w:val="0080156C"/>
    <w:rsid w:val="00817EDB"/>
    <w:rsid w:val="00822706"/>
    <w:rsid w:val="00823372"/>
    <w:rsid w:val="0082569C"/>
    <w:rsid w:val="008256D8"/>
    <w:rsid w:val="00826225"/>
    <w:rsid w:val="00826EC4"/>
    <w:rsid w:val="00830A7B"/>
    <w:rsid w:val="008350CF"/>
    <w:rsid w:val="0083566B"/>
    <w:rsid w:val="008360E5"/>
    <w:rsid w:val="00836619"/>
    <w:rsid w:val="00836E88"/>
    <w:rsid w:val="00840FE6"/>
    <w:rsid w:val="00841B65"/>
    <w:rsid w:val="00843168"/>
    <w:rsid w:val="00843BF1"/>
    <w:rsid w:val="00845F3C"/>
    <w:rsid w:val="00851696"/>
    <w:rsid w:val="00852112"/>
    <w:rsid w:val="00855883"/>
    <w:rsid w:val="00855CB6"/>
    <w:rsid w:val="00856489"/>
    <w:rsid w:val="00857DE5"/>
    <w:rsid w:val="008714E4"/>
    <w:rsid w:val="00874020"/>
    <w:rsid w:val="00881223"/>
    <w:rsid w:val="00881AB2"/>
    <w:rsid w:val="00882E9F"/>
    <w:rsid w:val="0088428C"/>
    <w:rsid w:val="00884BBF"/>
    <w:rsid w:val="00886A98"/>
    <w:rsid w:val="0089375E"/>
    <w:rsid w:val="00896006"/>
    <w:rsid w:val="00896F3F"/>
    <w:rsid w:val="008A12FD"/>
    <w:rsid w:val="008A522D"/>
    <w:rsid w:val="008A5BF2"/>
    <w:rsid w:val="008B5F0F"/>
    <w:rsid w:val="008C290B"/>
    <w:rsid w:val="008C3640"/>
    <w:rsid w:val="008C5E0F"/>
    <w:rsid w:val="008D0328"/>
    <w:rsid w:val="008D16C7"/>
    <w:rsid w:val="008D1CD0"/>
    <w:rsid w:val="008D27D3"/>
    <w:rsid w:val="008D402E"/>
    <w:rsid w:val="008D677B"/>
    <w:rsid w:val="008D7DA7"/>
    <w:rsid w:val="008E0F9E"/>
    <w:rsid w:val="008E1BFC"/>
    <w:rsid w:val="008E28D8"/>
    <w:rsid w:val="008E4009"/>
    <w:rsid w:val="008F1E23"/>
    <w:rsid w:val="008F23A3"/>
    <w:rsid w:val="008F33D4"/>
    <w:rsid w:val="008F4ACF"/>
    <w:rsid w:val="008F5A89"/>
    <w:rsid w:val="008F5FDF"/>
    <w:rsid w:val="008F6E9A"/>
    <w:rsid w:val="008F7D66"/>
    <w:rsid w:val="009015C5"/>
    <w:rsid w:val="00902E32"/>
    <w:rsid w:val="0091230C"/>
    <w:rsid w:val="009134CA"/>
    <w:rsid w:val="00913AFB"/>
    <w:rsid w:val="00913F15"/>
    <w:rsid w:val="00914DB6"/>
    <w:rsid w:val="00915AD9"/>
    <w:rsid w:val="00917774"/>
    <w:rsid w:val="00921F43"/>
    <w:rsid w:val="00925A39"/>
    <w:rsid w:val="009268C8"/>
    <w:rsid w:val="009276A5"/>
    <w:rsid w:val="0093082D"/>
    <w:rsid w:val="009374FA"/>
    <w:rsid w:val="00941395"/>
    <w:rsid w:val="0095387E"/>
    <w:rsid w:val="009558AF"/>
    <w:rsid w:val="00956958"/>
    <w:rsid w:val="00956D67"/>
    <w:rsid w:val="009574D8"/>
    <w:rsid w:val="00957F0D"/>
    <w:rsid w:val="00962656"/>
    <w:rsid w:val="009630B0"/>
    <w:rsid w:val="00963963"/>
    <w:rsid w:val="00963FBB"/>
    <w:rsid w:val="0096561B"/>
    <w:rsid w:val="009657FD"/>
    <w:rsid w:val="0096717B"/>
    <w:rsid w:val="00967530"/>
    <w:rsid w:val="00967D7D"/>
    <w:rsid w:val="0097110E"/>
    <w:rsid w:val="00977674"/>
    <w:rsid w:val="0098173D"/>
    <w:rsid w:val="00982208"/>
    <w:rsid w:val="009924BE"/>
    <w:rsid w:val="0099250E"/>
    <w:rsid w:val="00993026"/>
    <w:rsid w:val="00995626"/>
    <w:rsid w:val="009961AF"/>
    <w:rsid w:val="009968EA"/>
    <w:rsid w:val="009A3CFA"/>
    <w:rsid w:val="009A4E0B"/>
    <w:rsid w:val="009B116E"/>
    <w:rsid w:val="009B17E8"/>
    <w:rsid w:val="009B3041"/>
    <w:rsid w:val="009B6296"/>
    <w:rsid w:val="009C01D3"/>
    <w:rsid w:val="009C0D4B"/>
    <w:rsid w:val="009C1409"/>
    <w:rsid w:val="009C18EF"/>
    <w:rsid w:val="009C4645"/>
    <w:rsid w:val="009C5969"/>
    <w:rsid w:val="009D0C24"/>
    <w:rsid w:val="009D34D4"/>
    <w:rsid w:val="009E5E43"/>
    <w:rsid w:val="009E7FAB"/>
    <w:rsid w:val="009F0B1D"/>
    <w:rsid w:val="009F11BC"/>
    <w:rsid w:val="009F2996"/>
    <w:rsid w:val="009F374C"/>
    <w:rsid w:val="009F3DA3"/>
    <w:rsid w:val="009F3E35"/>
    <w:rsid w:val="009F4F09"/>
    <w:rsid w:val="009F595B"/>
    <w:rsid w:val="009F6381"/>
    <w:rsid w:val="009F64F2"/>
    <w:rsid w:val="009F6608"/>
    <w:rsid w:val="009F6B5B"/>
    <w:rsid w:val="00A005F5"/>
    <w:rsid w:val="00A00731"/>
    <w:rsid w:val="00A02C91"/>
    <w:rsid w:val="00A042FC"/>
    <w:rsid w:val="00A12203"/>
    <w:rsid w:val="00A209EB"/>
    <w:rsid w:val="00A2126D"/>
    <w:rsid w:val="00A21DD3"/>
    <w:rsid w:val="00A2351D"/>
    <w:rsid w:val="00A25BAA"/>
    <w:rsid w:val="00A26DD7"/>
    <w:rsid w:val="00A274AC"/>
    <w:rsid w:val="00A313C3"/>
    <w:rsid w:val="00A34DD3"/>
    <w:rsid w:val="00A40855"/>
    <w:rsid w:val="00A4361E"/>
    <w:rsid w:val="00A4647C"/>
    <w:rsid w:val="00A4696B"/>
    <w:rsid w:val="00A46C0E"/>
    <w:rsid w:val="00A47FB0"/>
    <w:rsid w:val="00A50A42"/>
    <w:rsid w:val="00A51B34"/>
    <w:rsid w:val="00A522B1"/>
    <w:rsid w:val="00A552D0"/>
    <w:rsid w:val="00A55DEB"/>
    <w:rsid w:val="00A569A6"/>
    <w:rsid w:val="00A60B0D"/>
    <w:rsid w:val="00A60F2C"/>
    <w:rsid w:val="00A61043"/>
    <w:rsid w:val="00A62D6C"/>
    <w:rsid w:val="00A62EED"/>
    <w:rsid w:val="00A73C45"/>
    <w:rsid w:val="00A73E88"/>
    <w:rsid w:val="00A766E7"/>
    <w:rsid w:val="00A76EBC"/>
    <w:rsid w:val="00A7744A"/>
    <w:rsid w:val="00A779C7"/>
    <w:rsid w:val="00A82D83"/>
    <w:rsid w:val="00A83B46"/>
    <w:rsid w:val="00A84B0C"/>
    <w:rsid w:val="00A85AAD"/>
    <w:rsid w:val="00A940DF"/>
    <w:rsid w:val="00A95C51"/>
    <w:rsid w:val="00A9714D"/>
    <w:rsid w:val="00A9772D"/>
    <w:rsid w:val="00AA0F89"/>
    <w:rsid w:val="00AA0FF5"/>
    <w:rsid w:val="00AA1645"/>
    <w:rsid w:val="00AA2659"/>
    <w:rsid w:val="00AA2D8B"/>
    <w:rsid w:val="00AA50C0"/>
    <w:rsid w:val="00AB07EB"/>
    <w:rsid w:val="00AB10A4"/>
    <w:rsid w:val="00AB161C"/>
    <w:rsid w:val="00AB3D75"/>
    <w:rsid w:val="00AB433A"/>
    <w:rsid w:val="00AB4457"/>
    <w:rsid w:val="00AB6A4B"/>
    <w:rsid w:val="00AB783B"/>
    <w:rsid w:val="00AC2EFB"/>
    <w:rsid w:val="00AC4CC2"/>
    <w:rsid w:val="00AC54CD"/>
    <w:rsid w:val="00AC6872"/>
    <w:rsid w:val="00AC6F57"/>
    <w:rsid w:val="00AD5E19"/>
    <w:rsid w:val="00AD6BDF"/>
    <w:rsid w:val="00AD6D1A"/>
    <w:rsid w:val="00AD76C3"/>
    <w:rsid w:val="00AE0C3C"/>
    <w:rsid w:val="00AE1CA6"/>
    <w:rsid w:val="00AE1CF0"/>
    <w:rsid w:val="00AF47EA"/>
    <w:rsid w:val="00AF7B94"/>
    <w:rsid w:val="00B00A16"/>
    <w:rsid w:val="00B02534"/>
    <w:rsid w:val="00B02D5A"/>
    <w:rsid w:val="00B03C1E"/>
    <w:rsid w:val="00B049B3"/>
    <w:rsid w:val="00B04EAF"/>
    <w:rsid w:val="00B057B4"/>
    <w:rsid w:val="00B078B8"/>
    <w:rsid w:val="00B115AF"/>
    <w:rsid w:val="00B135A2"/>
    <w:rsid w:val="00B13BBB"/>
    <w:rsid w:val="00B14D43"/>
    <w:rsid w:val="00B16AB3"/>
    <w:rsid w:val="00B17F55"/>
    <w:rsid w:val="00B204F9"/>
    <w:rsid w:val="00B23CE0"/>
    <w:rsid w:val="00B26D1D"/>
    <w:rsid w:val="00B27016"/>
    <w:rsid w:val="00B27318"/>
    <w:rsid w:val="00B30499"/>
    <w:rsid w:val="00B348A1"/>
    <w:rsid w:val="00B46174"/>
    <w:rsid w:val="00B50709"/>
    <w:rsid w:val="00B519FA"/>
    <w:rsid w:val="00B54DA8"/>
    <w:rsid w:val="00B57F0E"/>
    <w:rsid w:val="00B602C9"/>
    <w:rsid w:val="00B61029"/>
    <w:rsid w:val="00B61AF5"/>
    <w:rsid w:val="00B6354C"/>
    <w:rsid w:val="00B66177"/>
    <w:rsid w:val="00B66892"/>
    <w:rsid w:val="00B67D73"/>
    <w:rsid w:val="00B705F4"/>
    <w:rsid w:val="00B74805"/>
    <w:rsid w:val="00B74BFF"/>
    <w:rsid w:val="00B76680"/>
    <w:rsid w:val="00B76DB1"/>
    <w:rsid w:val="00B811E7"/>
    <w:rsid w:val="00B815A3"/>
    <w:rsid w:val="00B828CC"/>
    <w:rsid w:val="00B85D4F"/>
    <w:rsid w:val="00B93A66"/>
    <w:rsid w:val="00B971F8"/>
    <w:rsid w:val="00B97A9A"/>
    <w:rsid w:val="00BA0247"/>
    <w:rsid w:val="00BA05B7"/>
    <w:rsid w:val="00BA08CD"/>
    <w:rsid w:val="00BA0C11"/>
    <w:rsid w:val="00BA61C1"/>
    <w:rsid w:val="00BB1EDC"/>
    <w:rsid w:val="00BB505B"/>
    <w:rsid w:val="00BC021A"/>
    <w:rsid w:val="00BC2B2B"/>
    <w:rsid w:val="00BC30E0"/>
    <w:rsid w:val="00BC35A6"/>
    <w:rsid w:val="00BC7112"/>
    <w:rsid w:val="00BC75A7"/>
    <w:rsid w:val="00BD2182"/>
    <w:rsid w:val="00BD2803"/>
    <w:rsid w:val="00BD4661"/>
    <w:rsid w:val="00BD5BBA"/>
    <w:rsid w:val="00BD608E"/>
    <w:rsid w:val="00BD73A6"/>
    <w:rsid w:val="00BE2210"/>
    <w:rsid w:val="00BE3828"/>
    <w:rsid w:val="00BE4280"/>
    <w:rsid w:val="00BE6C0D"/>
    <w:rsid w:val="00BE7FE6"/>
    <w:rsid w:val="00BF14EB"/>
    <w:rsid w:val="00BF1A25"/>
    <w:rsid w:val="00BF52FA"/>
    <w:rsid w:val="00C04530"/>
    <w:rsid w:val="00C04676"/>
    <w:rsid w:val="00C055D0"/>
    <w:rsid w:val="00C07761"/>
    <w:rsid w:val="00C1026C"/>
    <w:rsid w:val="00C1486B"/>
    <w:rsid w:val="00C214AE"/>
    <w:rsid w:val="00C21B83"/>
    <w:rsid w:val="00C245AB"/>
    <w:rsid w:val="00C24796"/>
    <w:rsid w:val="00C31059"/>
    <w:rsid w:val="00C3244A"/>
    <w:rsid w:val="00C331AE"/>
    <w:rsid w:val="00C36F6C"/>
    <w:rsid w:val="00C43A24"/>
    <w:rsid w:val="00C4687E"/>
    <w:rsid w:val="00C4711D"/>
    <w:rsid w:val="00C4753D"/>
    <w:rsid w:val="00C5137C"/>
    <w:rsid w:val="00C52F1E"/>
    <w:rsid w:val="00C6174F"/>
    <w:rsid w:val="00C63D1E"/>
    <w:rsid w:val="00C658D1"/>
    <w:rsid w:val="00C66B2C"/>
    <w:rsid w:val="00C67CDB"/>
    <w:rsid w:val="00C67CE0"/>
    <w:rsid w:val="00C749A3"/>
    <w:rsid w:val="00C75E44"/>
    <w:rsid w:val="00C80324"/>
    <w:rsid w:val="00C839AC"/>
    <w:rsid w:val="00C86B8E"/>
    <w:rsid w:val="00C86E0F"/>
    <w:rsid w:val="00C915FD"/>
    <w:rsid w:val="00C95B99"/>
    <w:rsid w:val="00C96165"/>
    <w:rsid w:val="00CA01F5"/>
    <w:rsid w:val="00CA0EED"/>
    <w:rsid w:val="00CA3A37"/>
    <w:rsid w:val="00CA3D9A"/>
    <w:rsid w:val="00CA4EFB"/>
    <w:rsid w:val="00CA5966"/>
    <w:rsid w:val="00CA60D5"/>
    <w:rsid w:val="00CB3258"/>
    <w:rsid w:val="00CB37BC"/>
    <w:rsid w:val="00CB45EF"/>
    <w:rsid w:val="00CB53C7"/>
    <w:rsid w:val="00CB7218"/>
    <w:rsid w:val="00CC0113"/>
    <w:rsid w:val="00CC1613"/>
    <w:rsid w:val="00CC3DA0"/>
    <w:rsid w:val="00CD1581"/>
    <w:rsid w:val="00CD2EE5"/>
    <w:rsid w:val="00CD35A8"/>
    <w:rsid w:val="00CD531E"/>
    <w:rsid w:val="00CD7B0A"/>
    <w:rsid w:val="00CE26DF"/>
    <w:rsid w:val="00CE38B5"/>
    <w:rsid w:val="00CE4452"/>
    <w:rsid w:val="00CE4C07"/>
    <w:rsid w:val="00CE62A0"/>
    <w:rsid w:val="00CE75E9"/>
    <w:rsid w:val="00CF18A4"/>
    <w:rsid w:val="00CF2021"/>
    <w:rsid w:val="00CF63F4"/>
    <w:rsid w:val="00CF708A"/>
    <w:rsid w:val="00D00C7E"/>
    <w:rsid w:val="00D0150D"/>
    <w:rsid w:val="00D020FD"/>
    <w:rsid w:val="00D0551A"/>
    <w:rsid w:val="00D118EB"/>
    <w:rsid w:val="00D14024"/>
    <w:rsid w:val="00D14437"/>
    <w:rsid w:val="00D15864"/>
    <w:rsid w:val="00D16C5A"/>
    <w:rsid w:val="00D17C8F"/>
    <w:rsid w:val="00D21127"/>
    <w:rsid w:val="00D26978"/>
    <w:rsid w:val="00D31BB4"/>
    <w:rsid w:val="00D36646"/>
    <w:rsid w:val="00D42EA5"/>
    <w:rsid w:val="00D44702"/>
    <w:rsid w:val="00D45466"/>
    <w:rsid w:val="00D47D60"/>
    <w:rsid w:val="00D501FD"/>
    <w:rsid w:val="00D5210C"/>
    <w:rsid w:val="00D528E9"/>
    <w:rsid w:val="00D536FD"/>
    <w:rsid w:val="00D5543F"/>
    <w:rsid w:val="00D571BC"/>
    <w:rsid w:val="00D61426"/>
    <w:rsid w:val="00D625E7"/>
    <w:rsid w:val="00D62731"/>
    <w:rsid w:val="00D63A45"/>
    <w:rsid w:val="00D74486"/>
    <w:rsid w:val="00D75AC8"/>
    <w:rsid w:val="00D768AF"/>
    <w:rsid w:val="00D772A9"/>
    <w:rsid w:val="00D77BF4"/>
    <w:rsid w:val="00D77F67"/>
    <w:rsid w:val="00D803C5"/>
    <w:rsid w:val="00D82DAF"/>
    <w:rsid w:val="00D87A68"/>
    <w:rsid w:val="00D92F3C"/>
    <w:rsid w:val="00D95B75"/>
    <w:rsid w:val="00D97156"/>
    <w:rsid w:val="00DA2A6F"/>
    <w:rsid w:val="00DB003A"/>
    <w:rsid w:val="00DB1AE1"/>
    <w:rsid w:val="00DB23D6"/>
    <w:rsid w:val="00DB2468"/>
    <w:rsid w:val="00DB492D"/>
    <w:rsid w:val="00DC2A36"/>
    <w:rsid w:val="00DC426C"/>
    <w:rsid w:val="00DC51F5"/>
    <w:rsid w:val="00DD1709"/>
    <w:rsid w:val="00DE1128"/>
    <w:rsid w:val="00DE2600"/>
    <w:rsid w:val="00DE76B5"/>
    <w:rsid w:val="00DF3B81"/>
    <w:rsid w:val="00E0009E"/>
    <w:rsid w:val="00E01F7B"/>
    <w:rsid w:val="00E04E45"/>
    <w:rsid w:val="00E0546F"/>
    <w:rsid w:val="00E05783"/>
    <w:rsid w:val="00E12F1B"/>
    <w:rsid w:val="00E15208"/>
    <w:rsid w:val="00E16AD4"/>
    <w:rsid w:val="00E179E4"/>
    <w:rsid w:val="00E24A36"/>
    <w:rsid w:val="00E24EB5"/>
    <w:rsid w:val="00E27F8F"/>
    <w:rsid w:val="00E302F7"/>
    <w:rsid w:val="00E30CAD"/>
    <w:rsid w:val="00E31F0E"/>
    <w:rsid w:val="00E32489"/>
    <w:rsid w:val="00E32B70"/>
    <w:rsid w:val="00E3494D"/>
    <w:rsid w:val="00E40EE3"/>
    <w:rsid w:val="00E430CA"/>
    <w:rsid w:val="00E45AC4"/>
    <w:rsid w:val="00E51163"/>
    <w:rsid w:val="00E5141F"/>
    <w:rsid w:val="00E52D03"/>
    <w:rsid w:val="00E54A5A"/>
    <w:rsid w:val="00E623B1"/>
    <w:rsid w:val="00E62B5E"/>
    <w:rsid w:val="00E63525"/>
    <w:rsid w:val="00E636A5"/>
    <w:rsid w:val="00E63D74"/>
    <w:rsid w:val="00E71D87"/>
    <w:rsid w:val="00E80532"/>
    <w:rsid w:val="00E83093"/>
    <w:rsid w:val="00E83473"/>
    <w:rsid w:val="00E84655"/>
    <w:rsid w:val="00E84E2A"/>
    <w:rsid w:val="00E8538A"/>
    <w:rsid w:val="00E86B6D"/>
    <w:rsid w:val="00E87DDE"/>
    <w:rsid w:val="00E93D75"/>
    <w:rsid w:val="00E93ECB"/>
    <w:rsid w:val="00EA0C78"/>
    <w:rsid w:val="00EA1D49"/>
    <w:rsid w:val="00EA3638"/>
    <w:rsid w:val="00EA4F40"/>
    <w:rsid w:val="00EA7078"/>
    <w:rsid w:val="00EA7822"/>
    <w:rsid w:val="00EB0CA6"/>
    <w:rsid w:val="00EB4870"/>
    <w:rsid w:val="00EB5402"/>
    <w:rsid w:val="00EB596E"/>
    <w:rsid w:val="00EB7D40"/>
    <w:rsid w:val="00EC1E64"/>
    <w:rsid w:val="00EC296A"/>
    <w:rsid w:val="00EC4754"/>
    <w:rsid w:val="00EC4D7C"/>
    <w:rsid w:val="00EC5CF2"/>
    <w:rsid w:val="00EC65C2"/>
    <w:rsid w:val="00ED13DB"/>
    <w:rsid w:val="00ED2E80"/>
    <w:rsid w:val="00ED342F"/>
    <w:rsid w:val="00ED42D0"/>
    <w:rsid w:val="00ED42D6"/>
    <w:rsid w:val="00EE40D5"/>
    <w:rsid w:val="00EE4C0E"/>
    <w:rsid w:val="00EE551E"/>
    <w:rsid w:val="00EF23F5"/>
    <w:rsid w:val="00EF31E1"/>
    <w:rsid w:val="00EF4857"/>
    <w:rsid w:val="00F01F78"/>
    <w:rsid w:val="00F0293C"/>
    <w:rsid w:val="00F02E2F"/>
    <w:rsid w:val="00F03481"/>
    <w:rsid w:val="00F07E02"/>
    <w:rsid w:val="00F1128D"/>
    <w:rsid w:val="00F13638"/>
    <w:rsid w:val="00F16CC0"/>
    <w:rsid w:val="00F16DBD"/>
    <w:rsid w:val="00F2154F"/>
    <w:rsid w:val="00F253B1"/>
    <w:rsid w:val="00F30D45"/>
    <w:rsid w:val="00F33A57"/>
    <w:rsid w:val="00F403C3"/>
    <w:rsid w:val="00F42D61"/>
    <w:rsid w:val="00F44591"/>
    <w:rsid w:val="00F47E37"/>
    <w:rsid w:val="00F5197A"/>
    <w:rsid w:val="00F5374C"/>
    <w:rsid w:val="00F623A3"/>
    <w:rsid w:val="00F625B2"/>
    <w:rsid w:val="00F67CE9"/>
    <w:rsid w:val="00F70CC6"/>
    <w:rsid w:val="00F719BE"/>
    <w:rsid w:val="00F74439"/>
    <w:rsid w:val="00F74933"/>
    <w:rsid w:val="00F77BEC"/>
    <w:rsid w:val="00F82477"/>
    <w:rsid w:val="00FA3F73"/>
    <w:rsid w:val="00FA4F0E"/>
    <w:rsid w:val="00FA5C35"/>
    <w:rsid w:val="00FB0A72"/>
    <w:rsid w:val="00FB16A7"/>
    <w:rsid w:val="00FB2ADA"/>
    <w:rsid w:val="00FB53FB"/>
    <w:rsid w:val="00FB6AC6"/>
    <w:rsid w:val="00FC06D8"/>
    <w:rsid w:val="00FC0832"/>
    <w:rsid w:val="00FC3C06"/>
    <w:rsid w:val="00FC40C4"/>
    <w:rsid w:val="00FC5C93"/>
    <w:rsid w:val="00FD05DD"/>
    <w:rsid w:val="00FD26DC"/>
    <w:rsid w:val="00FD27CC"/>
    <w:rsid w:val="00FD2BAB"/>
    <w:rsid w:val="00FD3CB5"/>
    <w:rsid w:val="00FD5BDC"/>
    <w:rsid w:val="00FD6C55"/>
    <w:rsid w:val="00FD736B"/>
    <w:rsid w:val="00FE0398"/>
    <w:rsid w:val="00FE57E3"/>
    <w:rsid w:val="00FE6670"/>
    <w:rsid w:val="00FF0276"/>
    <w:rsid w:val="00FF191D"/>
    <w:rsid w:val="00FF2638"/>
    <w:rsid w:val="00FF5654"/>
    <w:rsid w:val="00FF6D30"/>
    <w:rsid w:val="010B5760"/>
    <w:rsid w:val="012D0314"/>
    <w:rsid w:val="02111908"/>
    <w:rsid w:val="026E2396"/>
    <w:rsid w:val="03637BAB"/>
    <w:rsid w:val="03EC6B2E"/>
    <w:rsid w:val="040D77B6"/>
    <w:rsid w:val="05044A17"/>
    <w:rsid w:val="053E4C0F"/>
    <w:rsid w:val="05646B0C"/>
    <w:rsid w:val="05AB5ABD"/>
    <w:rsid w:val="05E403F0"/>
    <w:rsid w:val="06C21F6A"/>
    <w:rsid w:val="07260E94"/>
    <w:rsid w:val="07334055"/>
    <w:rsid w:val="078451A8"/>
    <w:rsid w:val="07A104C1"/>
    <w:rsid w:val="08253149"/>
    <w:rsid w:val="085E3180"/>
    <w:rsid w:val="08B30CD5"/>
    <w:rsid w:val="08FF71F4"/>
    <w:rsid w:val="09432127"/>
    <w:rsid w:val="09FF3718"/>
    <w:rsid w:val="0A7944FA"/>
    <w:rsid w:val="0AB241EB"/>
    <w:rsid w:val="0AD7499B"/>
    <w:rsid w:val="0BDB168E"/>
    <w:rsid w:val="0BF5113E"/>
    <w:rsid w:val="0C521E6A"/>
    <w:rsid w:val="0CA54E66"/>
    <w:rsid w:val="0CE228A2"/>
    <w:rsid w:val="0D1C56A5"/>
    <w:rsid w:val="0E1B7C8F"/>
    <w:rsid w:val="0E592A21"/>
    <w:rsid w:val="0EE94E62"/>
    <w:rsid w:val="0F375F33"/>
    <w:rsid w:val="0F8146B5"/>
    <w:rsid w:val="104F300D"/>
    <w:rsid w:val="114C6122"/>
    <w:rsid w:val="11CC2498"/>
    <w:rsid w:val="126958B9"/>
    <w:rsid w:val="12B84BC3"/>
    <w:rsid w:val="12E417CF"/>
    <w:rsid w:val="133A19D5"/>
    <w:rsid w:val="13435DA2"/>
    <w:rsid w:val="13AC6ADF"/>
    <w:rsid w:val="13E00C8F"/>
    <w:rsid w:val="144710D7"/>
    <w:rsid w:val="14A12560"/>
    <w:rsid w:val="14CC7EC9"/>
    <w:rsid w:val="1522329C"/>
    <w:rsid w:val="156142C4"/>
    <w:rsid w:val="15C011AD"/>
    <w:rsid w:val="164B13E2"/>
    <w:rsid w:val="175B7823"/>
    <w:rsid w:val="176B560E"/>
    <w:rsid w:val="178405DC"/>
    <w:rsid w:val="17B3734B"/>
    <w:rsid w:val="199E6EB4"/>
    <w:rsid w:val="1A5525B5"/>
    <w:rsid w:val="1AF1621B"/>
    <w:rsid w:val="1B161CC6"/>
    <w:rsid w:val="1C180C51"/>
    <w:rsid w:val="1C5A466D"/>
    <w:rsid w:val="1CA432A7"/>
    <w:rsid w:val="1CB80EB5"/>
    <w:rsid w:val="1D2B5E51"/>
    <w:rsid w:val="1D5D672C"/>
    <w:rsid w:val="1D8D36A5"/>
    <w:rsid w:val="1DAB00C5"/>
    <w:rsid w:val="1DE759D9"/>
    <w:rsid w:val="1E07464D"/>
    <w:rsid w:val="1F052BFD"/>
    <w:rsid w:val="21362493"/>
    <w:rsid w:val="21E936EC"/>
    <w:rsid w:val="2211129B"/>
    <w:rsid w:val="22D3705E"/>
    <w:rsid w:val="22EB643B"/>
    <w:rsid w:val="23704F8C"/>
    <w:rsid w:val="23962A53"/>
    <w:rsid w:val="249F485E"/>
    <w:rsid w:val="24CA4761"/>
    <w:rsid w:val="25CC15A0"/>
    <w:rsid w:val="26B8549C"/>
    <w:rsid w:val="26D22DA5"/>
    <w:rsid w:val="270A4AF8"/>
    <w:rsid w:val="28570965"/>
    <w:rsid w:val="28D67383"/>
    <w:rsid w:val="29145CC4"/>
    <w:rsid w:val="2ACD3FAF"/>
    <w:rsid w:val="2B1F30D7"/>
    <w:rsid w:val="2B594F35"/>
    <w:rsid w:val="2BF45E4B"/>
    <w:rsid w:val="2C183559"/>
    <w:rsid w:val="2C2C0376"/>
    <w:rsid w:val="2EE53AB4"/>
    <w:rsid w:val="2F360655"/>
    <w:rsid w:val="2F5841FE"/>
    <w:rsid w:val="2F9222AD"/>
    <w:rsid w:val="3055604B"/>
    <w:rsid w:val="30C63B4A"/>
    <w:rsid w:val="31570942"/>
    <w:rsid w:val="31D657A0"/>
    <w:rsid w:val="32964DED"/>
    <w:rsid w:val="32B24161"/>
    <w:rsid w:val="32BB3EF1"/>
    <w:rsid w:val="340A7367"/>
    <w:rsid w:val="34927AF6"/>
    <w:rsid w:val="34AB52B3"/>
    <w:rsid w:val="34DD3DAF"/>
    <w:rsid w:val="35262371"/>
    <w:rsid w:val="35374F99"/>
    <w:rsid w:val="367F7800"/>
    <w:rsid w:val="36D74380"/>
    <w:rsid w:val="3741143A"/>
    <w:rsid w:val="37B4033A"/>
    <w:rsid w:val="37CD668E"/>
    <w:rsid w:val="37E16E4A"/>
    <w:rsid w:val="3817493B"/>
    <w:rsid w:val="38A6560C"/>
    <w:rsid w:val="39C41ED6"/>
    <w:rsid w:val="39C76E5E"/>
    <w:rsid w:val="39FF35A0"/>
    <w:rsid w:val="3A182098"/>
    <w:rsid w:val="3BCB4B75"/>
    <w:rsid w:val="3C1B2A87"/>
    <w:rsid w:val="3C40219F"/>
    <w:rsid w:val="3C5A2BD7"/>
    <w:rsid w:val="3CDC2603"/>
    <w:rsid w:val="3D8654B9"/>
    <w:rsid w:val="3DA64179"/>
    <w:rsid w:val="3E5630F9"/>
    <w:rsid w:val="3E6D04B7"/>
    <w:rsid w:val="3EBB68A2"/>
    <w:rsid w:val="3FDD5BE3"/>
    <w:rsid w:val="408A33D4"/>
    <w:rsid w:val="40E9610D"/>
    <w:rsid w:val="41122B11"/>
    <w:rsid w:val="413B512C"/>
    <w:rsid w:val="41766BF7"/>
    <w:rsid w:val="41943F7E"/>
    <w:rsid w:val="42892B40"/>
    <w:rsid w:val="42B642F1"/>
    <w:rsid w:val="43713B05"/>
    <w:rsid w:val="43B370FD"/>
    <w:rsid w:val="43EA5E4D"/>
    <w:rsid w:val="44FB4B17"/>
    <w:rsid w:val="456B5213"/>
    <w:rsid w:val="457A360B"/>
    <w:rsid w:val="46351F66"/>
    <w:rsid w:val="4657035F"/>
    <w:rsid w:val="4750326F"/>
    <w:rsid w:val="47AE5A42"/>
    <w:rsid w:val="47EE7481"/>
    <w:rsid w:val="47FD3738"/>
    <w:rsid w:val="481D0489"/>
    <w:rsid w:val="48343261"/>
    <w:rsid w:val="485151CC"/>
    <w:rsid w:val="48FD0A16"/>
    <w:rsid w:val="495E76CE"/>
    <w:rsid w:val="49685ECA"/>
    <w:rsid w:val="4AE12CDF"/>
    <w:rsid w:val="4B874AC8"/>
    <w:rsid w:val="4BAB40C7"/>
    <w:rsid w:val="4BC00858"/>
    <w:rsid w:val="4BD849A8"/>
    <w:rsid w:val="4BF564AD"/>
    <w:rsid w:val="4C195660"/>
    <w:rsid w:val="4CB427A7"/>
    <w:rsid w:val="4CEA6B7F"/>
    <w:rsid w:val="4D852CBA"/>
    <w:rsid w:val="4DF940D2"/>
    <w:rsid w:val="4E923B58"/>
    <w:rsid w:val="4ECF0B15"/>
    <w:rsid w:val="4F5D56EA"/>
    <w:rsid w:val="4F625516"/>
    <w:rsid w:val="4F863A5D"/>
    <w:rsid w:val="4FBE75D9"/>
    <w:rsid w:val="4FD62ADF"/>
    <w:rsid w:val="50444139"/>
    <w:rsid w:val="50AC2459"/>
    <w:rsid w:val="51F32099"/>
    <w:rsid w:val="52E67B26"/>
    <w:rsid w:val="53B4590F"/>
    <w:rsid w:val="53CB237C"/>
    <w:rsid w:val="5415686B"/>
    <w:rsid w:val="54E57623"/>
    <w:rsid w:val="550A07B5"/>
    <w:rsid w:val="560117FC"/>
    <w:rsid w:val="563B2FB1"/>
    <w:rsid w:val="5679484D"/>
    <w:rsid w:val="568C0995"/>
    <w:rsid w:val="568C2CCB"/>
    <w:rsid w:val="57622262"/>
    <w:rsid w:val="578552D8"/>
    <w:rsid w:val="578A61DE"/>
    <w:rsid w:val="57903F61"/>
    <w:rsid w:val="580801C9"/>
    <w:rsid w:val="5861420B"/>
    <w:rsid w:val="586C6B1D"/>
    <w:rsid w:val="58705D35"/>
    <w:rsid w:val="58793947"/>
    <w:rsid w:val="588C320A"/>
    <w:rsid w:val="58B94A68"/>
    <w:rsid w:val="58FF0DF9"/>
    <w:rsid w:val="59153AC5"/>
    <w:rsid w:val="593A7764"/>
    <w:rsid w:val="598B2FAE"/>
    <w:rsid w:val="59931FAF"/>
    <w:rsid w:val="59A13C83"/>
    <w:rsid w:val="5A4164E8"/>
    <w:rsid w:val="5A7C08E0"/>
    <w:rsid w:val="5AA37AA4"/>
    <w:rsid w:val="5B25262A"/>
    <w:rsid w:val="5BB8394E"/>
    <w:rsid w:val="5D6C3FC7"/>
    <w:rsid w:val="5D9D1FD4"/>
    <w:rsid w:val="5DDA7D97"/>
    <w:rsid w:val="5DE372C4"/>
    <w:rsid w:val="5EF2000A"/>
    <w:rsid w:val="600C372C"/>
    <w:rsid w:val="609A66DC"/>
    <w:rsid w:val="60C53399"/>
    <w:rsid w:val="60E86E3A"/>
    <w:rsid w:val="611920F1"/>
    <w:rsid w:val="612E40EE"/>
    <w:rsid w:val="61A14E81"/>
    <w:rsid w:val="61C545C3"/>
    <w:rsid w:val="61F40E37"/>
    <w:rsid w:val="63373AAA"/>
    <w:rsid w:val="63431F51"/>
    <w:rsid w:val="63A90A20"/>
    <w:rsid w:val="63CF46DC"/>
    <w:rsid w:val="64764ABC"/>
    <w:rsid w:val="65191510"/>
    <w:rsid w:val="652C2A9F"/>
    <w:rsid w:val="65860C36"/>
    <w:rsid w:val="673E62FB"/>
    <w:rsid w:val="67DC524E"/>
    <w:rsid w:val="684257F0"/>
    <w:rsid w:val="6A632E0A"/>
    <w:rsid w:val="6B185FA4"/>
    <w:rsid w:val="6BA804BC"/>
    <w:rsid w:val="6BE078C0"/>
    <w:rsid w:val="6BFD5838"/>
    <w:rsid w:val="6E056332"/>
    <w:rsid w:val="6E3651FE"/>
    <w:rsid w:val="6E427F18"/>
    <w:rsid w:val="6E7C5E42"/>
    <w:rsid w:val="70197355"/>
    <w:rsid w:val="706832FA"/>
    <w:rsid w:val="7099465C"/>
    <w:rsid w:val="70A82E9D"/>
    <w:rsid w:val="712525A2"/>
    <w:rsid w:val="72551BDF"/>
    <w:rsid w:val="7307448D"/>
    <w:rsid w:val="731E37EB"/>
    <w:rsid w:val="733C24A3"/>
    <w:rsid w:val="73C57B8F"/>
    <w:rsid w:val="74544090"/>
    <w:rsid w:val="74D14302"/>
    <w:rsid w:val="75B71484"/>
    <w:rsid w:val="76BA7458"/>
    <w:rsid w:val="76D768E0"/>
    <w:rsid w:val="771941C9"/>
    <w:rsid w:val="78030683"/>
    <w:rsid w:val="789D4B19"/>
    <w:rsid w:val="78BA0A7D"/>
    <w:rsid w:val="792B1B8E"/>
    <w:rsid w:val="79543A66"/>
    <w:rsid w:val="7A59328E"/>
    <w:rsid w:val="7C291CFB"/>
    <w:rsid w:val="7C515826"/>
    <w:rsid w:val="7DAC2FAC"/>
    <w:rsid w:val="7DF62542"/>
    <w:rsid w:val="7E1C7EA6"/>
    <w:rsid w:val="7ED87618"/>
    <w:rsid w:val="7F601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Indent"/>
    <w:basedOn w:val="1"/>
    <w:qFormat/>
    <w:uiPriority w:val="0"/>
    <w:pPr>
      <w:ind w:firstLine="630"/>
    </w:pPr>
    <w:rPr>
      <w:rFonts w:eastAsia="楷体_GB2312"/>
      <w:sz w:val="32"/>
    </w:rPr>
  </w:style>
  <w:style w:type="paragraph" w:styleId="4">
    <w:name w:val="Block Text"/>
    <w:basedOn w:val="1"/>
    <w:link w:val="21"/>
    <w:qFormat/>
    <w:uiPriority w:val="0"/>
    <w:pPr>
      <w:spacing w:line="440" w:lineRule="exact"/>
      <w:ind w:left="-27" w:leftChars="-13" w:right="43" w:firstLine="480" w:firstLineChars="200"/>
      <w:jc w:val="left"/>
    </w:pPr>
    <w:rPr>
      <w:rFonts w:ascii="仿宋_GB2312" w:eastAsia="仿宋_GB2312"/>
      <w:kern w:val="0"/>
      <w:sz w:val="24"/>
      <w:szCs w:val="24"/>
    </w:rPr>
  </w:style>
  <w:style w:type="paragraph" w:styleId="5">
    <w:name w:val="Plain Text"/>
    <w:basedOn w:val="1"/>
    <w:link w:val="22"/>
    <w:qFormat/>
    <w:uiPriority w:val="0"/>
    <w:rPr>
      <w:rFonts w:ascii="宋体" w:hAnsi="Courier New"/>
      <w:sz w:val="28"/>
    </w:rPr>
  </w:style>
  <w:style w:type="paragraph" w:styleId="6">
    <w:name w:val="Date"/>
    <w:basedOn w:val="1"/>
    <w:next w:val="1"/>
    <w:qFormat/>
    <w:uiPriority w:val="0"/>
    <w:rPr>
      <w:rFonts w:eastAsia="楷体_GB2312"/>
      <w:sz w:val="32"/>
    </w:rPr>
  </w:style>
  <w:style w:type="paragraph" w:styleId="7">
    <w:name w:val="Body Text Indent 2"/>
    <w:basedOn w:val="1"/>
    <w:link w:val="23"/>
    <w:qFormat/>
    <w:uiPriority w:val="0"/>
    <w:pPr>
      <w:spacing w:line="520" w:lineRule="exact"/>
      <w:ind w:firstLine="554" w:firstLineChars="198"/>
    </w:pPr>
    <w:rPr>
      <w:rFonts w:ascii="仿宋_GB2312" w:eastAsia="仿宋_GB2312"/>
      <w:kern w:val="0"/>
      <w:sz w:val="28"/>
    </w:rPr>
  </w:style>
  <w:style w:type="paragraph" w:styleId="8">
    <w:name w:val="Balloon Text"/>
    <w:basedOn w:val="1"/>
    <w:link w:val="1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link w:val="24"/>
    <w:qFormat/>
    <w:uiPriority w:val="0"/>
    <w:pPr>
      <w:ind w:firstLine="630"/>
    </w:pPr>
    <w:rPr>
      <w:rFonts w:ascii="仿宋_GB2312" w:eastAsia="仿宋_GB2312"/>
      <w:sz w:val="28"/>
    </w:rPr>
  </w:style>
  <w:style w:type="paragraph" w:styleId="12">
    <w:name w:val="Body Text 2"/>
    <w:basedOn w:val="1"/>
    <w:link w:val="25"/>
    <w:qFormat/>
    <w:uiPriority w:val="0"/>
    <w:pPr>
      <w:spacing w:line="240" w:lineRule="exact"/>
    </w:pPr>
    <w:rPr>
      <w:kern w:val="0"/>
      <w:sz w:val="18"/>
    </w:rPr>
  </w:style>
  <w:style w:type="paragraph" w:styleId="13">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qFormat/>
    <w:uiPriority w:val="0"/>
  </w:style>
  <w:style w:type="character" w:styleId="19">
    <w:name w:val="FollowedHyperlink"/>
    <w:qFormat/>
    <w:uiPriority w:val="0"/>
    <w:rPr>
      <w:color w:val="000000"/>
      <w:u w:val="none"/>
    </w:rPr>
  </w:style>
  <w:style w:type="character" w:styleId="20">
    <w:name w:val="Hyperlink"/>
    <w:qFormat/>
    <w:uiPriority w:val="0"/>
    <w:rPr>
      <w:color w:val="000000"/>
      <w:u w:val="none"/>
    </w:rPr>
  </w:style>
  <w:style w:type="character" w:customStyle="1" w:styleId="21">
    <w:name w:val="文本块 字符"/>
    <w:link w:val="4"/>
    <w:qFormat/>
    <w:uiPriority w:val="0"/>
    <w:rPr>
      <w:rFonts w:ascii="仿宋_GB2312" w:eastAsia="仿宋_GB2312"/>
      <w:sz w:val="24"/>
      <w:szCs w:val="24"/>
      <w:lang w:bidi="ar-SA"/>
    </w:rPr>
  </w:style>
  <w:style w:type="character" w:customStyle="1" w:styleId="22">
    <w:name w:val="纯文本 字符"/>
    <w:link w:val="5"/>
    <w:qFormat/>
    <w:uiPriority w:val="0"/>
    <w:rPr>
      <w:rFonts w:ascii="宋体" w:hAnsi="Courier New" w:eastAsia="宋体"/>
      <w:kern w:val="2"/>
      <w:sz w:val="28"/>
      <w:lang w:val="en-US" w:eastAsia="zh-CN" w:bidi="ar-SA"/>
    </w:rPr>
  </w:style>
  <w:style w:type="character" w:customStyle="1" w:styleId="23">
    <w:name w:val="正文文本缩进 2 字符"/>
    <w:link w:val="7"/>
    <w:qFormat/>
    <w:uiPriority w:val="0"/>
    <w:rPr>
      <w:rFonts w:ascii="仿宋_GB2312" w:eastAsia="仿宋_GB2312"/>
      <w:sz w:val="28"/>
      <w:lang w:bidi="ar-SA"/>
    </w:rPr>
  </w:style>
  <w:style w:type="character" w:customStyle="1" w:styleId="24">
    <w:name w:val="正文文本缩进 3 字符"/>
    <w:link w:val="11"/>
    <w:qFormat/>
    <w:locked/>
    <w:uiPriority w:val="0"/>
    <w:rPr>
      <w:rFonts w:ascii="仿宋_GB2312" w:eastAsia="仿宋_GB2312"/>
      <w:kern w:val="2"/>
      <w:sz w:val="28"/>
      <w:lang w:val="en-US" w:eastAsia="zh-CN" w:bidi="ar-SA"/>
    </w:rPr>
  </w:style>
  <w:style w:type="character" w:customStyle="1" w:styleId="25">
    <w:name w:val="正文文本 2 字符"/>
    <w:link w:val="12"/>
    <w:qFormat/>
    <w:uiPriority w:val="0"/>
    <w:rPr>
      <w:sz w:val="18"/>
      <w:lang w:bidi="ar-SA"/>
    </w:rPr>
  </w:style>
  <w:style w:type="character" w:customStyle="1" w:styleId="26">
    <w:name w:val="ico9"/>
    <w:qFormat/>
    <w:uiPriority w:val="0"/>
  </w:style>
  <w:style w:type="character" w:customStyle="1" w:styleId="27">
    <w:name w:val="icon1"/>
    <w:qFormat/>
    <w:uiPriority w:val="0"/>
  </w:style>
  <w:style w:type="character" w:customStyle="1" w:styleId="28">
    <w:name w:val="ico52"/>
    <w:qFormat/>
    <w:uiPriority w:val="0"/>
  </w:style>
  <w:style w:type="character" w:customStyle="1" w:styleId="29">
    <w:name w:val="icon31"/>
    <w:qFormat/>
    <w:uiPriority w:val="0"/>
  </w:style>
  <w:style w:type="character" w:customStyle="1" w:styleId="30">
    <w:name w:val="ico92"/>
    <w:qFormat/>
    <w:uiPriority w:val="0"/>
  </w:style>
  <w:style w:type="character" w:customStyle="1" w:styleId="31">
    <w:name w:val="ico14"/>
    <w:qFormat/>
    <w:uiPriority w:val="0"/>
  </w:style>
  <w:style w:type="character" w:customStyle="1" w:styleId="32">
    <w:name w:val="ico22"/>
    <w:qFormat/>
    <w:uiPriority w:val="0"/>
  </w:style>
  <w:style w:type="character" w:customStyle="1" w:styleId="33">
    <w:name w:val="ico51"/>
    <w:qFormat/>
    <w:uiPriority w:val="0"/>
  </w:style>
  <w:style w:type="character" w:customStyle="1" w:styleId="34">
    <w:name w:val="ico2"/>
    <w:qFormat/>
    <w:uiPriority w:val="0"/>
  </w:style>
  <w:style w:type="character" w:customStyle="1" w:styleId="35">
    <w:name w:val="qtlm"/>
    <w:qFormat/>
    <w:uiPriority w:val="0"/>
    <w:rPr>
      <w:bdr w:val="single" w:color="D8D8D8" w:sz="4" w:space="0"/>
    </w:rPr>
  </w:style>
  <w:style w:type="character" w:customStyle="1" w:styleId="36">
    <w:name w:val="ico71"/>
    <w:qFormat/>
    <w:uiPriority w:val="0"/>
  </w:style>
  <w:style w:type="character" w:customStyle="1" w:styleId="37">
    <w:name w:val="ico113"/>
    <w:qFormat/>
    <w:uiPriority w:val="0"/>
  </w:style>
  <w:style w:type="character" w:customStyle="1" w:styleId="38">
    <w:name w:val="icon5"/>
    <w:qFormat/>
    <w:uiPriority w:val="0"/>
  </w:style>
  <w:style w:type="character" w:customStyle="1" w:styleId="39">
    <w:name w:val="t_bg1"/>
    <w:qFormat/>
    <w:uiPriority w:val="0"/>
    <w:rPr>
      <w:color w:val="FFFFFF"/>
      <w:bdr w:val="single" w:color="35B36A" w:sz="4" w:space="0"/>
      <w:shd w:val="clear" w:color="auto" w:fill="35B36A"/>
    </w:rPr>
  </w:style>
  <w:style w:type="character" w:customStyle="1" w:styleId="40">
    <w:name w:val="ico17"/>
    <w:qFormat/>
    <w:uiPriority w:val="0"/>
  </w:style>
  <w:style w:type="character" w:customStyle="1" w:styleId="41">
    <w:name w:val="ico34"/>
    <w:qFormat/>
    <w:uiPriority w:val="0"/>
  </w:style>
  <w:style w:type="character" w:customStyle="1" w:styleId="42">
    <w:name w:val="current1"/>
    <w:qFormat/>
    <w:uiPriority w:val="0"/>
    <w:rPr>
      <w:color w:val="FFFFFF"/>
      <w:u w:val="none"/>
      <w:bdr w:val="single" w:color="ED1E00" w:sz="4" w:space="0"/>
      <w:shd w:val="clear" w:color="auto" w:fill="ED1E00"/>
    </w:rPr>
  </w:style>
  <w:style w:type="character" w:customStyle="1" w:styleId="43">
    <w:name w:val="ico55"/>
    <w:qFormat/>
    <w:uiPriority w:val="0"/>
  </w:style>
  <w:style w:type="character" w:customStyle="1" w:styleId="44">
    <w:name w:val="icon42"/>
    <w:qFormat/>
    <w:uiPriority w:val="0"/>
  </w:style>
  <w:style w:type="character" w:customStyle="1" w:styleId="45">
    <w:name w:val="ico91"/>
    <w:qFormat/>
    <w:uiPriority w:val="0"/>
  </w:style>
  <w:style w:type="character" w:customStyle="1" w:styleId="46">
    <w:name w:val="icon41"/>
    <w:qFormat/>
    <w:uiPriority w:val="0"/>
  </w:style>
  <w:style w:type="character" w:customStyle="1" w:styleId="47">
    <w:name w:val="w24"/>
    <w:qFormat/>
    <w:uiPriority w:val="0"/>
  </w:style>
  <w:style w:type="character" w:customStyle="1" w:styleId="48">
    <w:name w:val="ico23"/>
    <w:qFormat/>
    <w:uiPriority w:val="0"/>
  </w:style>
  <w:style w:type="character" w:customStyle="1" w:styleId="49">
    <w:name w:val="font11"/>
    <w:qFormat/>
    <w:uiPriority w:val="0"/>
    <w:rPr>
      <w:rFonts w:hint="eastAsia" w:ascii="楷体" w:hAnsi="楷体" w:eastAsia="楷体" w:cs="楷体"/>
      <w:color w:val="000000"/>
      <w:sz w:val="18"/>
      <w:szCs w:val="18"/>
      <w:u w:val="none"/>
      <w:vertAlign w:val="superscript"/>
    </w:rPr>
  </w:style>
  <w:style w:type="character" w:customStyle="1" w:styleId="50">
    <w:name w:val="t_bg2"/>
    <w:qFormat/>
    <w:uiPriority w:val="0"/>
    <w:rPr>
      <w:color w:val="FFFFFF"/>
      <w:bdr w:val="single" w:color="FAA72D" w:sz="4" w:space="0"/>
      <w:shd w:val="clear" w:color="auto" w:fill="FAA72D"/>
    </w:rPr>
  </w:style>
  <w:style w:type="character" w:customStyle="1" w:styleId="51">
    <w:name w:val="ico43"/>
    <w:qFormat/>
    <w:uiPriority w:val="0"/>
  </w:style>
  <w:style w:type="character" w:customStyle="1" w:styleId="52">
    <w:name w:val="icon51"/>
    <w:qFormat/>
    <w:uiPriority w:val="0"/>
  </w:style>
  <w:style w:type="character" w:customStyle="1" w:styleId="53">
    <w:name w:val="ico53"/>
    <w:qFormat/>
    <w:uiPriority w:val="0"/>
  </w:style>
  <w:style w:type="character" w:customStyle="1" w:styleId="54">
    <w:name w:val="icon4"/>
    <w:qFormat/>
    <w:uiPriority w:val="0"/>
  </w:style>
  <w:style w:type="character" w:customStyle="1" w:styleId="55">
    <w:name w:val="ico36"/>
    <w:qFormat/>
    <w:uiPriority w:val="0"/>
  </w:style>
  <w:style w:type="character" w:customStyle="1" w:styleId="56">
    <w:name w:val="ico1"/>
    <w:qFormat/>
    <w:uiPriority w:val="0"/>
  </w:style>
  <w:style w:type="character" w:customStyle="1" w:styleId="57">
    <w:name w:val="go"/>
    <w:qFormat/>
    <w:uiPriority w:val="0"/>
    <w:rPr>
      <w:shd w:val="clear" w:color="auto" w:fill="E2E2E2"/>
    </w:rPr>
  </w:style>
  <w:style w:type="character" w:customStyle="1" w:styleId="58">
    <w:name w:val="ico26"/>
    <w:qFormat/>
    <w:uiPriority w:val="0"/>
  </w:style>
  <w:style w:type="character" w:customStyle="1" w:styleId="59">
    <w:name w:val="ico16"/>
    <w:qFormat/>
    <w:uiPriority w:val="0"/>
  </w:style>
  <w:style w:type="character" w:customStyle="1" w:styleId="60">
    <w:name w:val="ico35"/>
    <w:qFormat/>
    <w:uiPriority w:val="0"/>
  </w:style>
  <w:style w:type="character" w:customStyle="1" w:styleId="61">
    <w:name w:val="font01"/>
    <w:qFormat/>
    <w:uiPriority w:val="0"/>
    <w:rPr>
      <w:rFonts w:hint="eastAsia" w:ascii="楷体" w:hAnsi="楷体" w:eastAsia="楷体" w:cs="楷体"/>
      <w:color w:val="FF0000"/>
      <w:sz w:val="18"/>
      <w:szCs w:val="18"/>
      <w:u w:val="none"/>
    </w:rPr>
  </w:style>
  <w:style w:type="character" w:customStyle="1" w:styleId="62">
    <w:name w:val="ico18"/>
    <w:qFormat/>
    <w:uiPriority w:val="0"/>
  </w:style>
  <w:style w:type="character" w:customStyle="1" w:styleId="63">
    <w:name w:val="ico54"/>
    <w:qFormat/>
    <w:uiPriority w:val="0"/>
  </w:style>
  <w:style w:type="character" w:customStyle="1" w:styleId="64">
    <w:name w:val="disabled"/>
    <w:qFormat/>
    <w:uiPriority w:val="0"/>
    <w:rPr>
      <w:bdr w:val="single" w:color="E4E4E4" w:sz="4" w:space="0"/>
      <w:shd w:val="clear" w:color="auto" w:fill="EEEEEE"/>
    </w:rPr>
  </w:style>
  <w:style w:type="character" w:customStyle="1" w:styleId="65">
    <w:name w:val="ico4"/>
    <w:qFormat/>
    <w:uiPriority w:val="0"/>
  </w:style>
  <w:style w:type="character" w:customStyle="1" w:styleId="66">
    <w:name w:val="ico37"/>
    <w:qFormat/>
    <w:uiPriority w:val="0"/>
  </w:style>
  <w:style w:type="character" w:customStyle="1" w:styleId="67">
    <w:name w:val="ico42"/>
    <w:qFormat/>
    <w:uiPriority w:val="0"/>
  </w:style>
  <w:style w:type="character" w:customStyle="1" w:styleId="68">
    <w:name w:val="icon52"/>
    <w:qFormat/>
    <w:uiPriority w:val="0"/>
  </w:style>
  <w:style w:type="character" w:customStyle="1" w:styleId="69">
    <w:name w:val="icon11"/>
    <w:qFormat/>
    <w:uiPriority w:val="0"/>
  </w:style>
  <w:style w:type="character" w:customStyle="1" w:styleId="70">
    <w:name w:val="ico111"/>
    <w:qFormat/>
    <w:uiPriority w:val="0"/>
  </w:style>
  <w:style w:type="character" w:customStyle="1" w:styleId="71">
    <w:name w:val="enter"/>
    <w:qFormat/>
    <w:uiPriority w:val="0"/>
    <w:rPr>
      <w:sz w:val="14"/>
      <w:szCs w:val="14"/>
    </w:rPr>
  </w:style>
  <w:style w:type="character" w:customStyle="1" w:styleId="72">
    <w:name w:val="gz_btn2"/>
    <w:qFormat/>
    <w:uiPriority w:val="0"/>
    <w:rPr>
      <w:color w:val="FFFFFF"/>
      <w:sz w:val="19"/>
      <w:szCs w:val="19"/>
      <w:shd w:val="clear" w:color="auto" w:fill="CCCCCC"/>
    </w:rPr>
  </w:style>
  <w:style w:type="character" w:customStyle="1" w:styleId="73">
    <w:name w:val="ico12"/>
    <w:qFormat/>
    <w:uiPriority w:val="0"/>
  </w:style>
  <w:style w:type="character" w:customStyle="1" w:styleId="74">
    <w:name w:val="hover32"/>
    <w:qFormat/>
    <w:uiPriority w:val="0"/>
    <w:rPr>
      <w:color w:val="FFFFFF"/>
      <w:u w:val="none"/>
      <w:bdr w:val="single" w:color="ED1E00" w:sz="4" w:space="0"/>
      <w:shd w:val="clear" w:color="auto" w:fill="ED1E00"/>
    </w:rPr>
  </w:style>
  <w:style w:type="character" w:customStyle="1" w:styleId="75">
    <w:name w:val="icon32"/>
    <w:qFormat/>
    <w:uiPriority w:val="0"/>
  </w:style>
  <w:style w:type="character" w:customStyle="1" w:styleId="76">
    <w:name w:val="ico28"/>
    <w:qFormat/>
    <w:uiPriority w:val="0"/>
  </w:style>
  <w:style w:type="character" w:customStyle="1" w:styleId="77">
    <w:name w:val="font41"/>
    <w:qFormat/>
    <w:uiPriority w:val="0"/>
    <w:rPr>
      <w:rFonts w:hint="eastAsia" w:ascii="楷体" w:hAnsi="楷体" w:eastAsia="楷体" w:cs="楷体"/>
      <w:color w:val="FF0000"/>
      <w:sz w:val="18"/>
      <w:szCs w:val="18"/>
      <w:u w:val="none"/>
    </w:rPr>
  </w:style>
  <w:style w:type="character" w:customStyle="1" w:styleId="78">
    <w:name w:val="ico102"/>
    <w:qFormat/>
    <w:uiPriority w:val="0"/>
  </w:style>
  <w:style w:type="character" w:customStyle="1" w:styleId="79">
    <w:name w:val="font31"/>
    <w:qFormat/>
    <w:uiPriority w:val="0"/>
    <w:rPr>
      <w:rFonts w:hint="eastAsia" w:ascii="楷体" w:hAnsi="楷体" w:eastAsia="楷体" w:cs="楷体"/>
      <w:color w:val="000000"/>
      <w:sz w:val="18"/>
      <w:szCs w:val="18"/>
      <w:u w:val="none"/>
    </w:rPr>
  </w:style>
  <w:style w:type="character" w:customStyle="1" w:styleId="80">
    <w:name w:val="ico25"/>
    <w:qFormat/>
    <w:uiPriority w:val="0"/>
  </w:style>
  <w:style w:type="character" w:customStyle="1" w:styleId="81">
    <w:name w:val="t_bg3"/>
    <w:qFormat/>
    <w:uiPriority w:val="0"/>
    <w:rPr>
      <w:color w:val="FFFFFF"/>
      <w:bdr w:val="single" w:color="01AEFF" w:sz="4" w:space="0"/>
      <w:shd w:val="clear" w:color="auto" w:fill="01AEFF"/>
    </w:rPr>
  </w:style>
  <w:style w:type="character" w:customStyle="1" w:styleId="82">
    <w:name w:val="ico7"/>
    <w:qFormat/>
    <w:uiPriority w:val="0"/>
  </w:style>
  <w:style w:type="character" w:customStyle="1" w:styleId="83">
    <w:name w:val="ico6"/>
    <w:qFormat/>
    <w:uiPriority w:val="0"/>
  </w:style>
  <w:style w:type="character" w:customStyle="1" w:styleId="84">
    <w:name w:val="ico45"/>
    <w:qFormat/>
    <w:uiPriority w:val="0"/>
  </w:style>
  <w:style w:type="character" w:customStyle="1" w:styleId="85">
    <w:name w:val="ico82"/>
    <w:qFormat/>
    <w:uiPriority w:val="0"/>
  </w:style>
  <w:style w:type="character" w:customStyle="1" w:styleId="86">
    <w:name w:val="ico32"/>
    <w:qFormat/>
    <w:uiPriority w:val="0"/>
  </w:style>
  <w:style w:type="character" w:customStyle="1" w:styleId="87">
    <w:name w:val="ico72"/>
    <w:qFormat/>
    <w:uiPriority w:val="0"/>
  </w:style>
  <w:style w:type="character" w:customStyle="1" w:styleId="88">
    <w:name w:val="ico101"/>
    <w:qFormat/>
    <w:uiPriority w:val="0"/>
  </w:style>
  <w:style w:type="character" w:customStyle="1" w:styleId="89">
    <w:name w:val="ico31"/>
    <w:qFormat/>
    <w:uiPriority w:val="0"/>
  </w:style>
  <w:style w:type="character" w:customStyle="1" w:styleId="90">
    <w:name w:val="ico11"/>
    <w:qFormat/>
    <w:uiPriority w:val="0"/>
  </w:style>
  <w:style w:type="character" w:customStyle="1" w:styleId="91">
    <w:name w:val="ico27"/>
    <w:qFormat/>
    <w:uiPriority w:val="0"/>
  </w:style>
  <w:style w:type="character" w:customStyle="1" w:styleId="92">
    <w:name w:val="icon2"/>
    <w:qFormat/>
    <w:uiPriority w:val="0"/>
  </w:style>
  <w:style w:type="character" w:customStyle="1" w:styleId="93">
    <w:name w:val="icon3"/>
    <w:qFormat/>
    <w:uiPriority w:val="0"/>
  </w:style>
  <w:style w:type="character" w:customStyle="1" w:styleId="94">
    <w:name w:val="纯文本 Char1"/>
    <w:semiHidden/>
    <w:qFormat/>
    <w:locked/>
    <w:uiPriority w:val="0"/>
    <w:rPr>
      <w:rFonts w:ascii="宋体" w:hAnsi="Courier New"/>
      <w:kern w:val="2"/>
      <w:sz w:val="28"/>
    </w:rPr>
  </w:style>
  <w:style w:type="character" w:customStyle="1" w:styleId="95">
    <w:name w:val="ico5"/>
    <w:qFormat/>
    <w:uiPriority w:val="0"/>
  </w:style>
  <w:style w:type="character" w:customStyle="1" w:styleId="96">
    <w:name w:val="renew1"/>
    <w:qFormat/>
    <w:uiPriority w:val="0"/>
    <w:rPr>
      <w:sz w:val="14"/>
      <w:szCs w:val="14"/>
    </w:rPr>
  </w:style>
  <w:style w:type="character" w:customStyle="1" w:styleId="97">
    <w:name w:val="ico44"/>
    <w:qFormat/>
    <w:uiPriority w:val="0"/>
  </w:style>
  <w:style w:type="character" w:customStyle="1" w:styleId="98">
    <w:name w:val="icon12"/>
    <w:qFormat/>
    <w:uiPriority w:val="0"/>
  </w:style>
  <w:style w:type="character" w:customStyle="1" w:styleId="99">
    <w:name w:val="ico121"/>
    <w:qFormat/>
    <w:uiPriority w:val="0"/>
  </w:style>
  <w:style w:type="character" w:customStyle="1" w:styleId="100">
    <w:name w:val="w16"/>
    <w:qFormat/>
    <w:uiPriority w:val="0"/>
  </w:style>
  <w:style w:type="character" w:customStyle="1" w:styleId="101">
    <w:name w:val="ico10"/>
    <w:qFormat/>
    <w:uiPriority w:val="0"/>
  </w:style>
  <w:style w:type="character" w:customStyle="1" w:styleId="102">
    <w:name w:val="w36"/>
    <w:qFormat/>
    <w:uiPriority w:val="0"/>
  </w:style>
  <w:style w:type="character" w:customStyle="1" w:styleId="103">
    <w:name w:val="ico81"/>
    <w:qFormat/>
    <w:uiPriority w:val="0"/>
  </w:style>
  <w:style w:type="character" w:customStyle="1" w:styleId="104">
    <w:name w:val="ico15"/>
    <w:qFormat/>
    <w:uiPriority w:val="0"/>
  </w:style>
  <w:style w:type="character" w:customStyle="1" w:styleId="105">
    <w:name w:val="ico13"/>
    <w:qFormat/>
    <w:uiPriority w:val="0"/>
  </w:style>
  <w:style w:type="character" w:customStyle="1" w:styleId="106">
    <w:name w:val="ico21"/>
    <w:qFormat/>
    <w:uiPriority w:val="0"/>
  </w:style>
  <w:style w:type="character" w:customStyle="1" w:styleId="107">
    <w:name w:val="disab"/>
    <w:qFormat/>
    <w:uiPriority w:val="0"/>
    <w:rPr>
      <w:bdr w:val="single" w:color="E4E4E4" w:sz="4" w:space="0"/>
      <w:shd w:val="clear" w:color="auto" w:fill="EEEEEE"/>
    </w:rPr>
  </w:style>
  <w:style w:type="character" w:customStyle="1" w:styleId="108">
    <w:name w:val="ico24"/>
    <w:qFormat/>
    <w:uiPriority w:val="0"/>
  </w:style>
  <w:style w:type="character" w:customStyle="1" w:styleId="109">
    <w:name w:val="ico112"/>
    <w:qFormat/>
    <w:uiPriority w:val="0"/>
  </w:style>
  <w:style w:type="character" w:customStyle="1" w:styleId="110">
    <w:name w:val="ico3"/>
    <w:qFormat/>
    <w:uiPriority w:val="0"/>
  </w:style>
  <w:style w:type="character" w:customStyle="1" w:styleId="111">
    <w:name w:val="ico33"/>
    <w:qFormat/>
    <w:uiPriority w:val="0"/>
  </w:style>
  <w:style w:type="character" w:customStyle="1" w:styleId="112">
    <w:name w:val="ico38"/>
    <w:qFormat/>
    <w:uiPriority w:val="0"/>
  </w:style>
  <w:style w:type="character" w:customStyle="1" w:styleId="113">
    <w:name w:val="ico41"/>
    <w:qFormat/>
    <w:uiPriority w:val="0"/>
  </w:style>
  <w:style w:type="character" w:customStyle="1" w:styleId="114">
    <w:name w:val="ico8"/>
    <w:qFormat/>
    <w:uiPriority w:val="0"/>
  </w:style>
  <w:style w:type="paragraph" w:customStyle="1" w:styleId="115">
    <w:name w:val="p0"/>
    <w:basedOn w:val="1"/>
    <w:qFormat/>
    <w:uiPriority w:val="0"/>
    <w:rPr>
      <w:kern w:val="0"/>
      <w:szCs w:val="21"/>
    </w:rPr>
  </w:style>
  <w:style w:type="paragraph" w:customStyle="1" w:styleId="116">
    <w:name w:val="1 Char Char Char Char Char Char Char Char Char1 Char Char Char Char Char Char"/>
    <w:basedOn w:val="1"/>
    <w:qFormat/>
    <w:uiPriority w:val="0"/>
    <w:rPr>
      <w:rFonts w:ascii="宋体" w:hAnsi="宋体" w:cs="宋体"/>
      <w:sz w:val="32"/>
      <w:szCs w:val="32"/>
    </w:rPr>
  </w:style>
  <w:style w:type="paragraph" w:customStyle="1" w:styleId="117">
    <w:name w:val="Char Char Char Char Char Char1 Char"/>
    <w:basedOn w:val="1"/>
    <w:qFormat/>
    <w:uiPriority w:val="0"/>
    <w:rPr>
      <w:rFonts w:ascii="宋体" w:hAnsi="宋体" w:cs="Courier New"/>
      <w:sz w:val="32"/>
      <w:szCs w:val="32"/>
    </w:rPr>
  </w:style>
  <w:style w:type="character" w:customStyle="1" w:styleId="118">
    <w:name w:val="font21"/>
    <w:qFormat/>
    <w:uiPriority w:val="0"/>
    <w:rPr>
      <w:rFonts w:hint="default" w:ascii="Times New Roman" w:hAnsi="Times New Roman" w:cs="Times New Roman"/>
      <w:color w:val="000000"/>
      <w:sz w:val="18"/>
      <w:szCs w:val="18"/>
      <w:u w:val="none"/>
    </w:rPr>
  </w:style>
  <w:style w:type="character" w:customStyle="1" w:styleId="119">
    <w:name w:val="批注框文本 字符"/>
    <w:link w:val="8"/>
    <w:qFormat/>
    <w:uiPriority w:val="0"/>
    <w:rPr>
      <w:kern w:val="2"/>
      <w:sz w:val="18"/>
      <w:szCs w:val="18"/>
    </w:rPr>
  </w:style>
  <w:style w:type="character" w:customStyle="1" w:styleId="120">
    <w:name w:val="qowt-font4-gb2312"/>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jpeg"/><Relationship Id="rId22" Type="http://schemas.openxmlformats.org/officeDocument/2006/relationships/image" Target="media/image7.jpeg"/><Relationship Id="rId21" Type="http://schemas.openxmlformats.org/officeDocument/2006/relationships/image" Target="media/image6.jpe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63FB6-BB4E-41CF-B500-64AEFBBCCF38}">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36</Pages>
  <Words>21803</Words>
  <Characters>23907</Characters>
  <Lines>187</Lines>
  <Paragraphs>52</Paragraphs>
  <TotalTime>1</TotalTime>
  <ScaleCrop>false</ScaleCrop>
  <LinksUpToDate>false</LinksUpToDate>
  <CharactersWithSpaces>24325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2022-04-22T01:42:00Z</dcterms:created>
  <dc:creator>微软用户</dc:creator>
  <cp:lastModifiedBy>郑泽龙</cp:lastModifiedBy>
  <cp:lastPrinted>2022-09-09T01:12:00Z</cp:lastPrinted>
  <dcterms:modified xsi:type="dcterms:W3CDTF">2022-09-22T10:08:02Z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BA5B8B2A774E4068905BFC99ADE6A6A2</vt:lpwstr>
  </property>
</Properties>
</file>