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_GB2312" w:eastAsia="仿宋_GB2312"/>
          <w:b/>
          <w:bCs/>
          <w:sz w:val="28"/>
          <w:szCs w:val="28"/>
        </w:rPr>
      </w:pPr>
      <w:bookmarkStart w:id="0" w:name="_Toc362509683"/>
    </w:p>
    <w:bookmarkEnd w:id="0"/>
    <w:p>
      <w:pPr>
        <w:spacing w:line="360" w:lineRule="auto"/>
        <w:rPr>
          <w:rFonts w:ascii="仿宋_GB2312" w:eastAsia="仿宋_GB2312"/>
          <w:sz w:val="30"/>
          <w:szCs w:val="30"/>
        </w:rPr>
      </w:pPr>
      <w:r>
        <w:drawing>
          <wp:anchor distT="0" distB="0" distL="114300" distR="114300" simplePos="0" relativeHeight="251664384" behindDoc="1" locked="0" layoutInCell="1" allowOverlap="1">
            <wp:simplePos x="0" y="0"/>
            <wp:positionH relativeFrom="column">
              <wp:posOffset>4231640</wp:posOffset>
            </wp:positionH>
            <wp:positionV relativeFrom="paragraph">
              <wp:posOffset>29845</wp:posOffset>
            </wp:positionV>
            <wp:extent cx="1771650" cy="536575"/>
            <wp:effectExtent l="0" t="0" r="6350" b="9525"/>
            <wp:wrapTight wrapText="bothSides">
              <wp:wrapPolygon>
                <wp:start x="0" y="0"/>
                <wp:lineTo x="0" y="20961"/>
                <wp:lineTo x="21523" y="20961"/>
                <wp:lineTo x="21523" y="0"/>
                <wp:lineTo x="0" y="0"/>
              </wp:wrapPolygon>
            </wp:wrapTight>
            <wp:docPr id="8" name="图片 9" descr="C:/Users/Administrator/AppData/Local/Temp/picturecompress_2022031813581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Local/Temp/picturecompress_20220318135811/output_1.pngoutput_1"/>
                    <pic:cNvPicPr>
                      <a:picLocks noChangeAspect="1" noChangeArrowheads="1"/>
                    </pic:cNvPicPr>
                  </pic:nvPicPr>
                  <pic:blipFill>
                    <a:blip r:embed="rId9"/>
                    <a:srcRect/>
                    <a:stretch>
                      <a:fillRect/>
                    </a:stretch>
                  </pic:blipFill>
                  <pic:spPr>
                    <a:xfrm>
                      <a:off x="0" y="0"/>
                      <a:ext cx="1771650" cy="536575"/>
                    </a:xfrm>
                    <a:prstGeom prst="rect">
                      <a:avLst/>
                    </a:prstGeom>
                    <a:noFill/>
                  </pic:spPr>
                </pic:pic>
              </a:graphicData>
            </a:graphic>
          </wp:anchor>
        </w:drawing>
      </w:r>
    </w:p>
    <w:p>
      <w:pPr>
        <w:spacing w:line="360" w:lineRule="auto"/>
        <w:rPr>
          <w:rFonts w:ascii="仿宋_GB2312" w:eastAsia="仿宋_GB2312"/>
          <w:sz w:val="30"/>
          <w:szCs w:val="30"/>
        </w:rPr>
      </w:pPr>
    </w:p>
    <w:p>
      <w:pPr>
        <w:spacing w:line="360" w:lineRule="auto"/>
        <w:rPr>
          <w:rFonts w:ascii="仿宋_GB2312" w:eastAsia="仿宋_GB2312"/>
          <w:sz w:val="30"/>
          <w:szCs w:val="30"/>
        </w:rPr>
      </w:pPr>
    </w:p>
    <w:p>
      <w:pPr>
        <w:spacing w:line="360" w:lineRule="auto"/>
        <w:rPr>
          <w:rFonts w:ascii="仿宋_GB2312" w:eastAsia="仿宋_GB2312"/>
          <w:sz w:val="30"/>
          <w:szCs w:val="30"/>
        </w:rPr>
      </w:pPr>
    </w:p>
    <w:p>
      <w:pPr>
        <w:spacing w:line="360" w:lineRule="auto"/>
        <w:rPr>
          <w:rFonts w:ascii="仿宋_GB2312" w:eastAsia="仿宋_GB2312"/>
          <w:sz w:val="30"/>
          <w:szCs w:val="30"/>
        </w:rPr>
      </w:pPr>
    </w:p>
    <w:p>
      <w:pPr>
        <w:tabs>
          <w:tab w:val="left" w:pos="709"/>
        </w:tabs>
        <w:adjustRightInd w:val="0"/>
        <w:snapToGrid w:val="0"/>
        <w:spacing w:line="600" w:lineRule="auto"/>
        <w:jc w:val="center"/>
        <w:rPr>
          <w:rFonts w:ascii="微软雅黑" w:hAnsi="微软雅黑" w:eastAsia="微软雅黑"/>
          <w:b/>
          <w:bCs/>
          <w:sz w:val="32"/>
          <w:szCs w:val="32"/>
        </w:rPr>
      </w:pPr>
      <w:bookmarkStart w:id="1" w:name="_Toc155258976"/>
      <w:r>
        <w:rPr>
          <w:rFonts w:hint="eastAsia" w:ascii="微软雅黑" w:hAnsi="微软雅黑" w:eastAsia="微软雅黑" w:cs="仿宋_GB2312"/>
          <w:b/>
          <w:bCs/>
          <w:sz w:val="32"/>
          <w:szCs w:val="32"/>
        </w:rPr>
        <w:t>房 地 产 司 法 评 估 报 告</w:t>
      </w:r>
    </w:p>
    <w:p>
      <w:pPr>
        <w:keepNext w:val="0"/>
        <w:keepLines w:val="0"/>
        <w:pageBreakBefore w:val="0"/>
        <w:widowControl w:val="0"/>
        <w:tabs>
          <w:tab w:val="left" w:pos="709"/>
        </w:tabs>
        <w:kinsoku/>
        <w:wordWrap/>
        <w:overflowPunct/>
        <w:topLinePunct w:val="0"/>
        <w:autoSpaceDE/>
        <w:autoSpaceDN/>
        <w:bidi w:val="0"/>
        <w:adjustRightInd w:val="0"/>
        <w:snapToGrid w:val="0"/>
        <w:spacing w:line="480" w:lineRule="auto"/>
        <w:ind w:left="2583" w:hanging="2583" w:hangingChars="659"/>
        <w:textAlignment w:val="auto"/>
        <w:rPr>
          <w:rFonts w:ascii="微软雅黑" w:hAnsi="微软雅黑" w:eastAsia="微软雅黑" w:cs="仿宋_GB2312"/>
          <w:sz w:val="28"/>
          <w:szCs w:val="28"/>
        </w:rPr>
      </w:pPr>
      <w:r>
        <w:rPr>
          <w:rFonts w:hint="eastAsia" w:ascii="微软雅黑" w:hAnsi="微软雅黑" w:eastAsia="微软雅黑" w:cs="仿宋_GB2312"/>
          <w:bCs/>
          <w:spacing w:val="56"/>
          <w:kern w:val="0"/>
          <w:sz w:val="28"/>
          <w:szCs w:val="28"/>
        </w:rPr>
        <w:t>估价项目名</w:t>
      </w:r>
      <w:r>
        <w:rPr>
          <w:rFonts w:hint="eastAsia" w:ascii="微软雅黑" w:hAnsi="微软雅黑" w:eastAsia="微软雅黑" w:cs="仿宋_GB2312"/>
          <w:bCs/>
          <w:kern w:val="0"/>
          <w:sz w:val="28"/>
          <w:szCs w:val="28"/>
        </w:rPr>
        <w:t>称</w:t>
      </w:r>
      <w:r>
        <w:rPr>
          <w:rFonts w:hint="eastAsia" w:ascii="微软雅黑" w:hAnsi="微软雅黑" w:eastAsia="微软雅黑" w:cs="仿宋_GB2312"/>
          <w:sz w:val="28"/>
          <w:szCs w:val="28"/>
        </w:rPr>
        <w:t>：</w:t>
      </w:r>
      <w:r>
        <w:rPr>
          <w:rFonts w:hint="eastAsia" w:ascii="微软雅黑" w:hAnsi="微软雅黑" w:eastAsia="微软雅黑" w:cs="仿宋_GB2312"/>
          <w:sz w:val="28"/>
          <w:szCs w:val="28"/>
          <w:lang w:eastAsia="zh-CN"/>
        </w:rPr>
        <w:t>淳安县千岛湖镇康盛花园19号3单元605室</w:t>
      </w:r>
      <w:r>
        <w:rPr>
          <w:rFonts w:hint="eastAsia" w:ascii="微软雅黑" w:hAnsi="微软雅黑" w:eastAsia="微软雅黑" w:cs="仿宋_GB2312"/>
          <w:sz w:val="28"/>
          <w:szCs w:val="28"/>
        </w:rPr>
        <w:t>住宅房地产市场价值评估</w:t>
      </w:r>
    </w:p>
    <w:p>
      <w:pPr>
        <w:tabs>
          <w:tab w:val="left" w:pos="709"/>
          <w:tab w:val="left" w:pos="851"/>
          <w:tab w:val="left" w:pos="993"/>
          <w:tab w:val="left" w:pos="1560"/>
        </w:tabs>
        <w:adjustRightInd w:val="0"/>
        <w:snapToGrid w:val="0"/>
        <w:spacing w:line="480" w:lineRule="auto"/>
        <w:rPr>
          <w:rFonts w:hint="eastAsia" w:ascii="微软雅黑" w:hAnsi="微软雅黑" w:eastAsia="微软雅黑" w:cs="仿宋_GB2312"/>
          <w:sz w:val="28"/>
          <w:szCs w:val="28"/>
          <w:lang w:eastAsia="zh-CN"/>
        </w:rPr>
      </w:pPr>
      <w:r>
        <w:rPr>
          <w:rFonts w:hint="eastAsia" w:ascii="微软雅黑" w:hAnsi="微软雅黑" w:eastAsia="微软雅黑" w:cs="仿宋_GB2312"/>
          <w:bCs/>
          <w:spacing w:val="105"/>
          <w:kern w:val="0"/>
          <w:sz w:val="28"/>
          <w:szCs w:val="28"/>
        </w:rPr>
        <w:t>估价委托</w:t>
      </w:r>
      <w:r>
        <w:rPr>
          <w:rFonts w:hint="eastAsia" w:ascii="微软雅黑" w:hAnsi="微软雅黑" w:eastAsia="微软雅黑" w:cs="仿宋_GB2312"/>
          <w:bCs/>
          <w:kern w:val="0"/>
          <w:sz w:val="28"/>
          <w:szCs w:val="28"/>
        </w:rPr>
        <w:t>人</w:t>
      </w:r>
      <w:r>
        <w:rPr>
          <w:rFonts w:hint="eastAsia" w:ascii="微软雅黑" w:hAnsi="微软雅黑" w:eastAsia="微软雅黑" w:cs="仿宋_GB2312"/>
          <w:sz w:val="28"/>
          <w:szCs w:val="28"/>
        </w:rPr>
        <w:t>：</w:t>
      </w:r>
      <w:r>
        <w:rPr>
          <w:rFonts w:hint="eastAsia" w:ascii="微软雅黑" w:hAnsi="微软雅黑" w:eastAsia="微软雅黑" w:cs="仿宋_GB2312"/>
          <w:sz w:val="28"/>
          <w:szCs w:val="28"/>
          <w:lang w:eastAsia="zh-CN"/>
        </w:rPr>
        <w:t>淳安县人民法院</w:t>
      </w:r>
    </w:p>
    <w:p>
      <w:pPr>
        <w:tabs>
          <w:tab w:val="left" w:pos="709"/>
        </w:tabs>
        <w:adjustRightInd w:val="0"/>
        <w:snapToGrid w:val="0"/>
        <w:spacing w:line="480" w:lineRule="auto"/>
        <w:rPr>
          <w:rFonts w:ascii="微软雅黑" w:hAnsi="微软雅黑" w:eastAsia="微软雅黑" w:cs="仿宋_GB2312"/>
          <w:sz w:val="28"/>
          <w:szCs w:val="28"/>
        </w:rPr>
      </w:pPr>
      <w:r>
        <w:rPr>
          <w:rFonts w:hint="eastAsia" w:ascii="微软雅黑" w:hAnsi="微软雅黑" w:eastAsia="微软雅黑" w:cs="仿宋_GB2312"/>
          <w:bCs/>
          <w:spacing w:val="23"/>
          <w:kern w:val="0"/>
          <w:sz w:val="28"/>
          <w:szCs w:val="28"/>
        </w:rPr>
        <w:t>房地产估价机</w:t>
      </w:r>
      <w:r>
        <w:rPr>
          <w:rFonts w:hint="eastAsia" w:ascii="微软雅黑" w:hAnsi="微软雅黑" w:eastAsia="微软雅黑" w:cs="仿宋_GB2312"/>
          <w:bCs/>
          <w:spacing w:val="2"/>
          <w:kern w:val="0"/>
          <w:sz w:val="28"/>
          <w:szCs w:val="28"/>
        </w:rPr>
        <w:t>构</w:t>
      </w:r>
      <w:r>
        <w:rPr>
          <w:rFonts w:hint="eastAsia" w:ascii="微软雅黑" w:hAnsi="微软雅黑" w:eastAsia="微软雅黑" w:cs="仿宋_GB2312"/>
          <w:sz w:val="28"/>
          <w:szCs w:val="28"/>
        </w:rPr>
        <w:t>：浙江嘉华房地产土地资产评估咨询有限公司</w:t>
      </w:r>
    </w:p>
    <w:p>
      <w:pPr>
        <w:tabs>
          <w:tab w:val="left" w:pos="2520"/>
        </w:tabs>
        <w:adjustRightInd w:val="0"/>
        <w:snapToGrid w:val="0"/>
        <w:spacing w:line="480" w:lineRule="auto"/>
        <w:rPr>
          <w:rFonts w:ascii="微软雅黑" w:hAnsi="微软雅黑" w:eastAsia="微软雅黑" w:cs="仿宋_GB2312"/>
          <w:sz w:val="28"/>
          <w:szCs w:val="28"/>
        </w:rPr>
      </w:pPr>
      <w:r>
        <w:rPr>
          <w:rFonts w:hint="eastAsia" w:ascii="微软雅黑" w:hAnsi="微软雅黑" w:eastAsia="微软雅黑" w:cs="仿宋_GB2312"/>
          <w:bCs/>
          <w:kern w:val="0"/>
          <w:sz w:val="28"/>
          <w:szCs w:val="28"/>
        </w:rPr>
        <w:t>注册房地产估价师</w:t>
      </w:r>
      <w:r>
        <w:rPr>
          <w:rFonts w:hint="eastAsia" w:ascii="微软雅黑" w:hAnsi="微软雅黑" w:eastAsia="微软雅黑" w:cs="仿宋_GB2312"/>
          <w:sz w:val="28"/>
          <w:szCs w:val="28"/>
        </w:rPr>
        <w:t xml:space="preserve">： 陈爱芳     </w:t>
      </w:r>
      <w:r>
        <w:rPr>
          <w:rFonts w:ascii="微软雅黑" w:hAnsi="微软雅黑" w:eastAsia="微软雅黑" w:cs="仿宋_GB2312"/>
          <w:sz w:val="28"/>
          <w:szCs w:val="28"/>
        </w:rPr>
        <w:t>3320150125</w:t>
      </w:r>
    </w:p>
    <w:p>
      <w:pPr>
        <w:tabs>
          <w:tab w:val="left" w:pos="2520"/>
        </w:tabs>
        <w:adjustRightInd w:val="0"/>
        <w:snapToGrid w:val="0"/>
        <w:spacing w:line="480" w:lineRule="auto"/>
        <w:ind w:firstLine="2660" w:firstLineChars="950"/>
        <w:rPr>
          <w:rFonts w:ascii="微软雅黑" w:hAnsi="微软雅黑" w:eastAsia="微软雅黑" w:cs="仿宋_GB2312"/>
          <w:sz w:val="28"/>
          <w:szCs w:val="28"/>
        </w:rPr>
      </w:pPr>
      <w:r>
        <w:rPr>
          <w:rFonts w:hint="eastAsia" w:ascii="微软雅黑" w:hAnsi="微软雅黑" w:eastAsia="微软雅黑" w:cs="仿宋_GB2312"/>
          <w:sz w:val="28"/>
          <w:szCs w:val="28"/>
        </w:rPr>
        <w:t xml:space="preserve">林小欣     </w:t>
      </w:r>
      <w:r>
        <w:rPr>
          <w:rFonts w:ascii="微软雅黑" w:hAnsi="微软雅黑" w:eastAsia="微软雅黑" w:cs="仿宋_GB2312"/>
          <w:sz w:val="28"/>
          <w:szCs w:val="28"/>
        </w:rPr>
        <w:t>3320090038</w:t>
      </w:r>
      <w:r>
        <w:rPr>
          <w:rFonts w:hint="eastAsia" w:ascii="微软雅黑" w:hAnsi="微软雅黑" w:eastAsia="微软雅黑" w:cs="仿宋_GB2312"/>
          <w:sz w:val="28"/>
          <w:szCs w:val="28"/>
        </w:rPr>
        <w:t xml:space="preserve">   </w:t>
      </w:r>
    </w:p>
    <w:p>
      <w:pPr>
        <w:tabs>
          <w:tab w:val="left" w:pos="540"/>
        </w:tabs>
        <w:snapToGrid w:val="0"/>
        <w:spacing w:line="480" w:lineRule="auto"/>
        <w:rPr>
          <w:rFonts w:hint="eastAsia" w:ascii="微软雅黑" w:hAnsi="微软雅黑" w:eastAsia="微软雅黑" w:cs="仿宋_GB2312"/>
          <w:sz w:val="28"/>
          <w:szCs w:val="28"/>
          <w:lang w:eastAsia="zh-CN"/>
        </w:rPr>
      </w:pPr>
      <w:r>
        <w:rPr>
          <w:rFonts w:hint="eastAsia" w:ascii="微软雅黑" w:hAnsi="微软雅黑" w:eastAsia="微软雅黑" w:cs="仿宋_GB2312"/>
          <w:bCs/>
          <w:kern w:val="0"/>
          <w:sz w:val="28"/>
          <w:szCs w:val="28"/>
        </w:rPr>
        <w:t>估价报告出具日期</w:t>
      </w:r>
      <w:r>
        <w:rPr>
          <w:rFonts w:hint="eastAsia" w:ascii="微软雅黑" w:hAnsi="微软雅黑" w:eastAsia="微软雅黑" w:cs="仿宋_GB2312"/>
          <w:sz w:val="28"/>
          <w:szCs w:val="28"/>
        </w:rPr>
        <w:t>：</w:t>
      </w:r>
      <w:r>
        <w:rPr>
          <w:rFonts w:hint="eastAsia" w:ascii="微软雅黑" w:hAnsi="微软雅黑" w:eastAsia="微软雅黑" w:cs="仿宋_GB2312"/>
          <w:sz w:val="28"/>
          <w:szCs w:val="28"/>
          <w:lang w:eastAsia="zh-CN"/>
        </w:rPr>
        <w:t>二〇二二年九月九日</w:t>
      </w:r>
    </w:p>
    <w:p>
      <w:pPr>
        <w:widowControl/>
        <w:topLinePunct/>
        <w:adjustRightInd w:val="0"/>
        <w:snapToGrid w:val="0"/>
        <w:spacing w:line="480" w:lineRule="auto"/>
        <w:jc w:val="left"/>
        <w:rPr>
          <w:rFonts w:ascii="微软雅黑" w:hAnsi="微软雅黑" w:eastAsia="微软雅黑" w:cs="仿宋_GB2312"/>
          <w:sz w:val="28"/>
          <w:szCs w:val="28"/>
        </w:rPr>
      </w:pPr>
      <w:r>
        <w:rPr>
          <w:rFonts w:hint="eastAsia" w:ascii="微软雅黑" w:hAnsi="微软雅黑" w:eastAsia="微软雅黑" w:cs="仿宋_GB2312"/>
          <w:bCs/>
          <w:spacing w:val="56"/>
          <w:kern w:val="0"/>
          <w:sz w:val="28"/>
          <w:szCs w:val="28"/>
          <w:fitText w:val="2240" w:id="642656936"/>
        </w:rPr>
        <w:t>估价报告编</w:t>
      </w:r>
      <w:r>
        <w:rPr>
          <w:rFonts w:hint="eastAsia" w:ascii="微软雅黑" w:hAnsi="微软雅黑" w:eastAsia="微软雅黑" w:cs="仿宋_GB2312"/>
          <w:bCs/>
          <w:spacing w:val="0"/>
          <w:kern w:val="0"/>
          <w:sz w:val="28"/>
          <w:szCs w:val="28"/>
          <w:fitText w:val="2240" w:id="642656936"/>
        </w:rPr>
        <w:t>号</w:t>
      </w:r>
      <w:r>
        <w:rPr>
          <w:rFonts w:hint="eastAsia" w:ascii="微软雅黑" w:hAnsi="微软雅黑" w:eastAsia="微软雅黑" w:cs="仿宋_GB2312"/>
          <w:sz w:val="28"/>
          <w:szCs w:val="28"/>
        </w:rPr>
        <w:t>：浙嘉评房字(2022)第</w:t>
      </w:r>
      <w:r>
        <w:rPr>
          <w:rFonts w:hint="eastAsia" w:ascii="微软雅黑" w:hAnsi="微软雅黑" w:eastAsia="微软雅黑" w:cs="仿宋_GB2312"/>
          <w:sz w:val="28"/>
          <w:szCs w:val="28"/>
          <w:highlight w:val="none"/>
        </w:rPr>
        <w:t>Q220</w:t>
      </w:r>
      <w:r>
        <w:rPr>
          <w:rFonts w:hint="eastAsia" w:ascii="微软雅黑" w:hAnsi="微软雅黑" w:eastAsia="微软雅黑" w:cs="仿宋_GB2312"/>
          <w:sz w:val="28"/>
          <w:szCs w:val="28"/>
          <w:highlight w:val="none"/>
          <w:lang w:val="en-US" w:eastAsia="zh-CN"/>
        </w:rPr>
        <w:t>9224</w:t>
      </w:r>
      <w:r>
        <w:rPr>
          <w:rFonts w:hint="eastAsia" w:ascii="微软雅黑" w:hAnsi="微软雅黑" w:eastAsia="微软雅黑" w:cs="仿宋_GB2312"/>
          <w:sz w:val="28"/>
          <w:szCs w:val="28"/>
        </w:rPr>
        <w:t>号</w:t>
      </w:r>
    </w:p>
    <w:p>
      <w:pPr>
        <w:tabs>
          <w:tab w:val="left" w:pos="540"/>
        </w:tabs>
        <w:snapToGrid w:val="0"/>
        <w:spacing w:line="480" w:lineRule="auto"/>
        <w:rPr>
          <w:rFonts w:hint="eastAsia" w:ascii="微软雅黑" w:hAnsi="微软雅黑" w:eastAsia="微软雅黑" w:cs="仿宋_GB2312"/>
          <w:bCs/>
          <w:kern w:val="0"/>
          <w:sz w:val="28"/>
          <w:szCs w:val="28"/>
          <w:lang w:eastAsia="zh-CN"/>
        </w:rPr>
      </w:pPr>
      <w:r>
        <w:rPr>
          <w:rFonts w:hint="eastAsia" w:ascii="微软雅黑" w:hAnsi="微软雅黑" w:eastAsia="微软雅黑" w:cs="仿宋_GB2312"/>
          <w:bCs/>
          <w:kern w:val="0"/>
          <w:sz w:val="28"/>
          <w:szCs w:val="28"/>
        </w:rPr>
        <w:t>委托函号：</w:t>
      </w:r>
      <w:r>
        <w:rPr>
          <w:rFonts w:hint="eastAsia" w:ascii="微软雅黑" w:hAnsi="微软雅黑" w:eastAsia="微软雅黑" w:cs="仿宋_GB2312"/>
          <w:bCs/>
          <w:kern w:val="0"/>
          <w:sz w:val="28"/>
          <w:szCs w:val="28"/>
          <w:lang w:eastAsia="zh-CN"/>
        </w:rPr>
        <w:t>（2022）浙0127委评字第122号</w:t>
      </w:r>
    </w:p>
    <w:p>
      <w:pPr>
        <w:topLinePunct/>
        <w:adjustRightInd w:val="0"/>
        <w:snapToGrid w:val="0"/>
        <w:spacing w:before="120" w:beforeLines="50"/>
        <w:jc w:val="center"/>
        <w:rPr>
          <w:rFonts w:ascii="微软雅黑" w:hAnsi="微软雅黑" w:eastAsia="微软雅黑"/>
          <w:b/>
          <w:spacing w:val="20"/>
          <w:sz w:val="32"/>
          <w:szCs w:val="32"/>
        </w:rPr>
      </w:pPr>
      <w:r>
        <w:rPr>
          <w:rFonts w:hint="eastAsia" w:ascii="微软雅黑" w:hAnsi="微软雅黑" w:eastAsia="微软雅黑"/>
          <w:b/>
          <w:spacing w:val="20"/>
          <w:sz w:val="32"/>
          <w:szCs w:val="32"/>
        </w:rPr>
        <w:t>致估价委托人函</w:t>
      </w:r>
    </w:p>
    <w:p>
      <w:pPr>
        <w:widowControl/>
        <w:topLinePunct/>
        <w:adjustRightInd w:val="0"/>
        <w:snapToGrid w:val="0"/>
        <w:spacing w:after="240" w:afterLines="100" w:line="160" w:lineRule="exact"/>
        <w:jc w:val="center"/>
        <w:rPr>
          <w:rFonts w:ascii="微软雅黑" w:hAnsi="微软雅黑" w:eastAsia="微软雅黑" w:cs="宋体"/>
          <w:b/>
          <w:kern w:val="0"/>
          <w:sz w:val="16"/>
          <w:szCs w:val="16"/>
        </w:rPr>
      </w:pPr>
      <w:r>
        <w:rPr>
          <w:rFonts w:ascii="微软雅黑" w:hAnsi="微软雅黑" w:eastAsia="微软雅黑" w:cs="宋体"/>
          <w:b/>
          <w:kern w:val="0"/>
          <w:sz w:val="16"/>
          <w:szCs w:val="16"/>
        </w:rPr>
        <w:t>Letter of Transmittal</w:t>
      </w:r>
    </w:p>
    <w:p>
      <w:pPr>
        <w:topLinePunct/>
        <w:adjustRightInd w:val="0"/>
        <w:snapToGrid w:val="0"/>
        <w:spacing w:line="312" w:lineRule="auto"/>
        <w:rPr>
          <w:rFonts w:ascii="微软雅黑" w:hAnsi="微软雅黑" w:eastAsia="微软雅黑" w:cs="微软雅黑"/>
          <w:b/>
          <w:bCs/>
          <w:sz w:val="24"/>
          <w:szCs w:val="24"/>
        </w:rPr>
      </w:pPr>
      <w:r>
        <w:rPr>
          <w:rFonts w:hint="eastAsia" w:ascii="微软雅黑" w:hAnsi="微软雅黑" w:eastAsia="微软雅黑" w:cs="仿宋_GB2312"/>
          <w:b/>
          <w:sz w:val="24"/>
          <w:szCs w:val="24"/>
          <w:lang w:eastAsia="zh-CN"/>
        </w:rPr>
        <w:t>淳安县人民法院</w:t>
      </w:r>
      <w:r>
        <w:rPr>
          <w:rFonts w:hint="eastAsia" w:ascii="微软雅黑" w:hAnsi="微软雅黑" w:eastAsia="微软雅黑" w:cs="仿宋_GB2312"/>
          <w:b/>
          <w:sz w:val="24"/>
          <w:szCs w:val="24"/>
        </w:rPr>
        <w:t>：</w:t>
      </w:r>
    </w:p>
    <w:p>
      <w:pPr>
        <w:spacing w:line="312" w:lineRule="auto"/>
        <w:ind w:firstLine="420" w:firstLineChars="200"/>
        <w:rPr>
          <w:rFonts w:ascii="微软雅黑" w:hAnsi="微软雅黑" w:eastAsia="微软雅黑" w:cs="仿宋_GB2312"/>
        </w:rPr>
      </w:pPr>
      <w:r>
        <w:rPr>
          <w:rFonts w:hint="eastAsia" w:ascii="微软雅黑" w:hAnsi="微软雅黑" w:eastAsia="微软雅黑" w:cs="仿宋_GB2312"/>
        </w:rPr>
        <w:t>承蒙委托，我公司对位于</w:t>
      </w:r>
      <w:r>
        <w:rPr>
          <w:rFonts w:hint="eastAsia" w:ascii="微软雅黑" w:hAnsi="微软雅黑" w:eastAsia="微软雅黑" w:cs="仿宋_GB2312"/>
          <w:lang w:eastAsia="zh-CN"/>
        </w:rPr>
        <w:t>淳安县千岛湖镇康盛花园19号3单元605室</w:t>
      </w:r>
      <w:r>
        <w:rPr>
          <w:rFonts w:hint="eastAsia" w:ascii="微软雅黑" w:hAnsi="微软雅黑" w:eastAsia="微软雅黑" w:cs="仿宋_GB2312"/>
        </w:rPr>
        <w:t>住宅房地产市场价值进行了评估。估价对象如下：</w:t>
      </w:r>
    </w:p>
    <w:p>
      <w:pPr>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1、估价对象状况</w:t>
      </w:r>
    </w:p>
    <w:p>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本次估价对象为</w:t>
      </w:r>
      <w:r>
        <w:rPr>
          <w:rFonts w:hint="eastAsia" w:ascii="微软雅黑" w:hAnsi="微软雅黑" w:eastAsia="微软雅黑" w:cs="微软雅黑"/>
          <w:kern w:val="0"/>
          <w:lang w:eastAsia="zh-CN"/>
        </w:rPr>
        <w:t>袁建国</w:t>
      </w:r>
      <w:r>
        <w:rPr>
          <w:rFonts w:hint="eastAsia" w:ascii="微软雅黑" w:hAnsi="微软雅黑" w:eastAsia="微软雅黑" w:cs="微软雅黑"/>
          <w:szCs w:val="21"/>
        </w:rPr>
        <w:t>所有的位于</w:t>
      </w:r>
      <w:r>
        <w:rPr>
          <w:rFonts w:hint="eastAsia" w:ascii="微软雅黑" w:hAnsi="微软雅黑" w:eastAsia="微软雅黑" w:cs="仿宋_GB2312"/>
          <w:lang w:eastAsia="zh-CN"/>
        </w:rPr>
        <w:t>淳安县千岛湖镇康盛花园19号3单元605室</w:t>
      </w:r>
      <w:r>
        <w:rPr>
          <w:rFonts w:hint="eastAsia" w:ascii="微软雅黑" w:hAnsi="微软雅黑" w:eastAsia="微软雅黑" w:cs="仿宋_GB2312"/>
        </w:rPr>
        <w:t>住宅房地产</w:t>
      </w:r>
      <w:r>
        <w:rPr>
          <w:rFonts w:hint="eastAsia" w:ascii="微软雅黑" w:hAnsi="微软雅黑" w:eastAsia="微软雅黑" w:cs="微软雅黑"/>
          <w:szCs w:val="21"/>
        </w:rPr>
        <w:t>，房屋建筑面积</w:t>
      </w:r>
      <w:r>
        <w:rPr>
          <w:rFonts w:hint="eastAsia" w:ascii="微软雅黑" w:hAnsi="微软雅黑" w:eastAsia="微软雅黑" w:cs="微软雅黑"/>
          <w:szCs w:val="21"/>
          <w:lang w:eastAsia="zh-CN"/>
        </w:rPr>
        <w:t>75.1</w:t>
      </w:r>
      <w:r>
        <w:rPr>
          <w:rFonts w:hint="eastAsia" w:ascii="微软雅黑" w:hAnsi="微软雅黑" w:eastAsia="微软雅黑" w:cs="微软雅黑"/>
          <w:szCs w:val="21"/>
        </w:rPr>
        <w:t>平方米，</w:t>
      </w:r>
      <w:r>
        <w:rPr>
          <w:rFonts w:hint="eastAsia" w:ascii="微软雅黑" w:hAnsi="微软雅黑" w:eastAsia="微软雅黑" w:cs="仿宋_GB2312"/>
        </w:rPr>
        <w:t>土地使用权面积</w:t>
      </w:r>
      <w:r>
        <w:rPr>
          <w:rFonts w:hint="eastAsia" w:ascii="微软雅黑" w:hAnsi="微软雅黑" w:eastAsia="微软雅黑" w:cs="仿宋_GB2312"/>
          <w:lang w:eastAsia="zh-CN"/>
        </w:rPr>
        <w:t>30.97</w:t>
      </w:r>
      <w:r>
        <w:rPr>
          <w:rFonts w:hint="eastAsia" w:ascii="微软雅黑" w:hAnsi="微软雅黑" w:eastAsia="微软雅黑" w:cs="仿宋_GB2312"/>
        </w:rPr>
        <w:t>平方米，用途为</w:t>
      </w:r>
      <w:r>
        <w:rPr>
          <w:rFonts w:hint="eastAsia" w:ascii="微软雅黑" w:hAnsi="微软雅黑" w:eastAsia="微软雅黑" w:cs="仿宋_GB2312"/>
          <w:lang w:eastAsia="zh-CN"/>
        </w:rPr>
        <w:t>城镇住宅用地/住宅</w:t>
      </w:r>
      <w:r>
        <w:rPr>
          <w:rFonts w:hint="eastAsia" w:ascii="微软雅黑" w:hAnsi="微软雅黑" w:eastAsia="微软雅黑" w:cs="仿宋_GB2312"/>
        </w:rPr>
        <w:t>，权利性质为</w:t>
      </w:r>
      <w:r>
        <w:rPr>
          <w:rFonts w:hint="eastAsia" w:ascii="微软雅黑" w:hAnsi="微软雅黑" w:eastAsia="微软雅黑" w:cs="仿宋_GB2312"/>
          <w:lang w:eastAsia="zh-CN"/>
        </w:rPr>
        <w:t>出让/存量房产</w:t>
      </w:r>
      <w:r>
        <w:rPr>
          <w:rFonts w:hint="eastAsia" w:ascii="微软雅黑" w:hAnsi="微软雅黑" w:eastAsia="微软雅黑" w:cs="仿宋_GB2312"/>
        </w:rPr>
        <w:t>,土地使用期限至</w:t>
      </w:r>
      <w:r>
        <w:rPr>
          <w:rFonts w:hint="eastAsia" w:ascii="微软雅黑" w:hAnsi="微软雅黑" w:eastAsia="微软雅黑" w:cs="仿宋_GB2312"/>
          <w:lang w:eastAsia="zh-CN"/>
        </w:rPr>
        <w:t>2080年01月16日</w:t>
      </w:r>
      <w:r>
        <w:rPr>
          <w:rFonts w:hint="eastAsia" w:ascii="微软雅黑" w:hAnsi="微软雅黑" w:eastAsia="微软雅黑" w:cs="微软雅黑"/>
          <w:szCs w:val="21"/>
        </w:rPr>
        <w:t>。</w:t>
      </w:r>
    </w:p>
    <w:p>
      <w:pPr>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2、估价目的</w:t>
      </w:r>
    </w:p>
    <w:p>
      <w:pPr>
        <w:spacing w:line="312" w:lineRule="auto"/>
        <w:ind w:firstLine="420" w:firstLineChars="200"/>
        <w:rPr>
          <w:rFonts w:ascii="微软雅黑" w:hAnsi="微软雅黑" w:eastAsia="微软雅黑" w:cs="仿宋_GB2312"/>
        </w:rPr>
      </w:pPr>
      <w:r>
        <w:rPr>
          <w:rFonts w:hint="eastAsia" w:ascii="微软雅黑" w:hAnsi="微软雅黑" w:eastAsia="微软雅黑" w:cs="仿宋_GB2312"/>
        </w:rPr>
        <w:t>为</w:t>
      </w:r>
      <w:r>
        <w:rPr>
          <w:rFonts w:hint="eastAsia" w:ascii="微软雅黑" w:hAnsi="微软雅黑" w:eastAsia="微软雅黑" w:cs="仿宋_GB2312"/>
          <w:lang w:eastAsia="zh-CN"/>
        </w:rPr>
        <w:t>淳安县人民法院</w:t>
      </w:r>
      <w:r>
        <w:rPr>
          <w:rFonts w:hint="eastAsia" w:ascii="微软雅黑" w:hAnsi="微软雅黑" w:eastAsia="微软雅黑" w:cs="仿宋_GB2312"/>
        </w:rPr>
        <w:t>确定财产处置参考价提供参考依据而评估房地产市场价值。</w:t>
      </w:r>
    </w:p>
    <w:p>
      <w:pPr>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3、价值时点</w:t>
      </w:r>
    </w:p>
    <w:p>
      <w:pPr>
        <w:spacing w:line="312" w:lineRule="auto"/>
        <w:ind w:firstLine="420" w:firstLineChars="200"/>
        <w:rPr>
          <w:rFonts w:ascii="微软雅黑" w:hAnsi="微软雅黑" w:eastAsia="微软雅黑" w:cs="仿宋_GB2312"/>
        </w:rPr>
      </w:pPr>
      <w:r>
        <w:rPr>
          <w:rFonts w:hint="eastAsia" w:ascii="微软雅黑" w:hAnsi="微软雅黑" w:eastAsia="微软雅黑" w:cs="仿宋_GB2312"/>
          <w:lang w:eastAsia="zh-CN"/>
        </w:rPr>
        <w:t>2022年9月2日</w:t>
      </w:r>
      <w:r>
        <w:rPr>
          <w:rFonts w:hint="eastAsia" w:ascii="微软雅黑" w:hAnsi="微软雅黑" w:eastAsia="微软雅黑" w:cs="仿宋_GB2312"/>
        </w:rPr>
        <w:t>（实地查勘日）。</w:t>
      </w:r>
    </w:p>
    <w:p>
      <w:pPr>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4、价值类型</w:t>
      </w:r>
    </w:p>
    <w:p>
      <w:pPr>
        <w:spacing w:line="312" w:lineRule="auto"/>
        <w:ind w:firstLine="420" w:firstLineChars="200"/>
        <w:rPr>
          <w:rFonts w:ascii="微软雅黑" w:hAnsi="微软雅黑" w:eastAsia="微软雅黑" w:cs="仿宋_GB2312"/>
        </w:rPr>
      </w:pPr>
      <w:r>
        <w:rPr>
          <w:rFonts w:hint="eastAsia" w:ascii="微软雅黑" w:hAnsi="微软雅黑" w:eastAsia="微软雅黑" w:cs="仿宋_GB2312"/>
        </w:rPr>
        <w:t>本次评估所确定的价值为估价对象在房地产公开市场条件下形成的市场价值。</w:t>
      </w:r>
    </w:p>
    <w:p>
      <w:pPr>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5、估价方法</w:t>
      </w:r>
    </w:p>
    <w:p>
      <w:pPr>
        <w:spacing w:line="312" w:lineRule="auto"/>
        <w:ind w:firstLine="420" w:firstLineChars="200"/>
        <w:rPr>
          <w:rFonts w:ascii="微软雅黑" w:hAnsi="微软雅黑" w:eastAsia="微软雅黑" w:cs="仿宋_GB2312"/>
        </w:rPr>
      </w:pPr>
      <w:r>
        <w:rPr>
          <w:rFonts w:hint="eastAsia" w:ascii="微软雅黑" w:hAnsi="微软雅黑" w:eastAsia="微软雅黑" w:cs="仿宋_GB2312"/>
        </w:rPr>
        <w:t>比较法。</w:t>
      </w:r>
    </w:p>
    <w:p>
      <w:pPr>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6、估价结果</w:t>
      </w:r>
    </w:p>
    <w:p>
      <w:pPr>
        <w:pStyle w:val="23"/>
        <w:tabs>
          <w:tab w:val="left" w:pos="709"/>
        </w:tabs>
        <w:topLinePunct/>
        <w:adjustRightInd w:val="0"/>
        <w:snapToGrid w:val="0"/>
        <w:spacing w:line="312" w:lineRule="auto"/>
        <w:rPr>
          <w:rFonts w:ascii="微软雅黑" w:hAnsi="微软雅黑" w:eastAsia="微软雅黑" w:cs="仿宋_GB2312"/>
        </w:rPr>
      </w:pPr>
      <w:r>
        <w:rPr>
          <w:rFonts w:hint="eastAsia" w:ascii="微软雅黑" w:hAnsi="微软雅黑" w:eastAsia="微软雅黑" w:cs="微软雅黑"/>
          <w:szCs w:val="21"/>
        </w:rPr>
        <w:t>估价人员根据估价目的，遵循估价原则，根据国家有关房地产估价的规范、规定，按照估价程序，经过实地查勘与市场调查，</w:t>
      </w:r>
      <w:r>
        <w:rPr>
          <w:rFonts w:hint="eastAsia" w:ascii="微软雅黑" w:hAnsi="微软雅黑" w:eastAsia="微软雅黑" w:cs="仿宋_GB2312"/>
          <w:szCs w:val="21"/>
        </w:rPr>
        <w:t>并进行了分析、测算和判断，</w:t>
      </w:r>
      <w:r>
        <w:rPr>
          <w:rFonts w:hint="eastAsia" w:ascii="微软雅黑" w:hAnsi="微软雅黑" w:eastAsia="微软雅黑" w:cs="微软雅黑"/>
          <w:szCs w:val="21"/>
        </w:rPr>
        <w:t>确定估价对象在满足全部假设和限制条件下于价值时点的估价结果如下（详见估价结果一览表）：</w:t>
      </w:r>
      <w:r>
        <w:rPr>
          <w:rFonts w:hint="eastAsia" w:ascii="微软雅黑" w:hAnsi="微软雅黑" w:eastAsia="微软雅黑" w:cs="仿宋_GB2312"/>
        </w:rPr>
        <w:t>（币种：人民币，其中总价取整至仟位，单价取整至个位）</w:t>
      </w:r>
      <w:bookmarkStart w:id="2" w:name="OLE_LINK40"/>
    </w:p>
    <w:p>
      <w:pPr>
        <w:pStyle w:val="23"/>
        <w:tabs>
          <w:tab w:val="left" w:pos="709"/>
        </w:tabs>
        <w:topLinePunct/>
        <w:adjustRightInd w:val="0"/>
        <w:snapToGrid w:val="0"/>
        <w:spacing w:line="312" w:lineRule="auto"/>
        <w:rPr>
          <w:rFonts w:ascii="微软雅黑" w:hAnsi="微软雅黑" w:eastAsia="微软雅黑" w:cs="仿宋_GB2312"/>
          <w:b/>
        </w:rPr>
      </w:pPr>
      <w:r>
        <w:rPr>
          <w:rFonts w:hint="eastAsia" w:ascii="微软雅黑" w:hAnsi="微软雅黑" w:eastAsia="微软雅黑" w:cs="仿宋_GB2312"/>
          <w:b/>
        </w:rPr>
        <w:t>房地产市场价值</w:t>
      </w:r>
      <w:r>
        <w:rPr>
          <w:rFonts w:ascii="微软雅黑" w:hAnsi="微软雅黑" w:eastAsia="微软雅黑" w:cs="仿宋_GB2312"/>
          <w:b/>
        </w:rPr>
        <w:t>:</w:t>
      </w:r>
      <w:r>
        <w:rPr>
          <w:rFonts w:hint="eastAsia" w:ascii="微软雅黑" w:hAnsi="微软雅黑" w:eastAsia="微软雅黑" w:cs="仿宋_GB2312"/>
          <w:b/>
          <w:lang w:val="en-US" w:eastAsia="zh-CN"/>
        </w:rPr>
        <w:t>64.6</w:t>
      </w:r>
      <w:r>
        <w:rPr>
          <w:rFonts w:hint="eastAsia" w:ascii="微软雅黑" w:hAnsi="微软雅黑" w:eastAsia="微软雅黑" w:cs="仿宋_GB2312"/>
          <w:b/>
        </w:rPr>
        <w:t>万元(保留仟位取整)</w:t>
      </w:r>
    </w:p>
    <w:p>
      <w:pPr>
        <w:pStyle w:val="23"/>
        <w:tabs>
          <w:tab w:val="left" w:pos="709"/>
        </w:tabs>
        <w:topLinePunct/>
        <w:adjustRightInd w:val="0"/>
        <w:snapToGrid w:val="0"/>
        <w:spacing w:line="312" w:lineRule="auto"/>
        <w:rPr>
          <w:rFonts w:ascii="微软雅黑" w:hAnsi="微软雅黑" w:eastAsia="微软雅黑" w:cs="仿宋_GB2312"/>
        </w:rPr>
      </w:pPr>
      <w:r>
        <w:rPr>
          <w:rFonts w:hint="eastAsia" w:ascii="微软雅黑" w:hAnsi="微软雅黑" w:eastAsia="微软雅黑" w:cs="仿宋_GB2312"/>
          <w:b/>
        </w:rPr>
        <w:t>大写金额：</w:t>
      </w:r>
      <w:bookmarkEnd w:id="2"/>
      <w:r>
        <w:rPr>
          <w:rFonts w:hint="eastAsia" w:ascii="微软雅黑" w:hAnsi="微软雅黑" w:eastAsia="微软雅黑" w:cs="仿宋_GB2312"/>
          <w:b/>
          <w:lang w:eastAsia="zh-CN"/>
        </w:rPr>
        <w:t>陆拾肆万陆仟</w:t>
      </w:r>
      <w:r>
        <w:rPr>
          <w:rFonts w:hint="eastAsia" w:ascii="微软雅黑" w:hAnsi="微软雅黑" w:eastAsia="微软雅黑" w:cs="仿宋_GB2312"/>
          <w:b/>
        </w:rPr>
        <w:t>元整</w:t>
      </w:r>
    </w:p>
    <w:p>
      <w:pPr>
        <w:tabs>
          <w:tab w:val="left" w:pos="993"/>
        </w:tabs>
        <w:adjustRightInd w:val="0"/>
        <w:snapToGrid w:val="0"/>
        <w:spacing w:line="360" w:lineRule="auto"/>
        <w:ind w:firstLine="840" w:firstLineChars="400"/>
        <w:jc w:val="center"/>
        <w:rPr>
          <w:rFonts w:ascii="微软雅黑" w:hAnsi="微软雅黑" w:eastAsia="微软雅黑" w:cs="仿宋_GB2312"/>
          <w:b/>
        </w:rPr>
      </w:pPr>
      <w:r>
        <w:rPr>
          <w:rFonts w:ascii="微软雅黑" w:hAnsi="微软雅黑" w:eastAsia="微软雅黑" w:cs="仿宋_GB2312"/>
        </w:rPr>
        <w:br w:type="page"/>
      </w:r>
    </w:p>
    <w:p>
      <w:pPr>
        <w:spacing w:line="360" w:lineRule="auto"/>
        <w:jc w:val="center"/>
        <w:rPr>
          <w:rFonts w:ascii="微软雅黑" w:hAnsi="微软雅黑" w:eastAsia="微软雅黑"/>
          <w:b/>
          <w:bCs/>
          <w:sz w:val="24"/>
          <w:szCs w:val="24"/>
        </w:rPr>
      </w:pPr>
      <w:r>
        <w:rPr>
          <w:rFonts w:hint="eastAsia" w:ascii="微软雅黑" w:hAnsi="微软雅黑" w:eastAsia="微软雅黑" w:cs="仿宋_GB2312"/>
          <w:b/>
          <w:bCs/>
          <w:sz w:val="24"/>
          <w:szCs w:val="24"/>
        </w:rPr>
        <w:t>估价结果一览表</w:t>
      </w:r>
    </w:p>
    <w:tbl>
      <w:tblPr>
        <w:tblStyle w:val="17"/>
        <w:tblW w:w="8924" w:type="dxa"/>
        <w:jc w:val="right"/>
        <w:tblLayout w:type="fixed"/>
        <w:tblCellMar>
          <w:top w:w="0" w:type="dxa"/>
          <w:left w:w="108" w:type="dxa"/>
          <w:bottom w:w="0" w:type="dxa"/>
          <w:right w:w="108" w:type="dxa"/>
        </w:tblCellMar>
      </w:tblPr>
      <w:tblGrid>
        <w:gridCol w:w="2552"/>
        <w:gridCol w:w="992"/>
        <w:gridCol w:w="1417"/>
        <w:gridCol w:w="1985"/>
        <w:gridCol w:w="1978"/>
      </w:tblGrid>
      <w:tr>
        <w:tblPrEx>
          <w:tblCellMar>
            <w:top w:w="0" w:type="dxa"/>
            <w:left w:w="108" w:type="dxa"/>
            <w:bottom w:w="0" w:type="dxa"/>
            <w:right w:w="108" w:type="dxa"/>
          </w:tblCellMar>
        </w:tblPrEx>
        <w:trPr>
          <w:trHeight w:val="397" w:hRule="atLeast"/>
          <w:jc w:val="right"/>
        </w:trPr>
        <w:tc>
          <w:tcPr>
            <w:tcW w:w="2552" w:type="dxa"/>
            <w:vMerge w:val="restart"/>
            <w:tcBorders>
              <w:top w:val="single" w:color="auto" w:sz="4" w:space="0"/>
              <w:left w:val="single" w:color="auto" w:sz="4" w:space="0"/>
              <w:bottom w:val="single" w:color="000000" w:sz="4" w:space="0"/>
              <w:right w:val="single" w:color="auto" w:sz="4" w:space="0"/>
            </w:tcBorders>
            <w:shd w:val="clear" w:color="auto" w:fill="C0AD72"/>
            <w:vAlign w:val="center"/>
          </w:tcPr>
          <w:p>
            <w:pPr>
              <w:jc w:val="center"/>
              <w:rPr>
                <w:rFonts w:ascii="微软雅黑" w:hAnsi="微软雅黑" w:eastAsia="微软雅黑" w:cs="仿宋_GB2312"/>
              </w:rPr>
            </w:pPr>
            <w:r>
              <w:rPr>
                <w:rFonts w:hint="eastAsia" w:ascii="微软雅黑" w:hAnsi="微软雅黑" w:eastAsia="微软雅黑" w:cs="仿宋_GB2312"/>
              </w:rPr>
              <w:t>房屋坐落</w:t>
            </w:r>
          </w:p>
        </w:tc>
        <w:tc>
          <w:tcPr>
            <w:tcW w:w="992" w:type="dxa"/>
            <w:vMerge w:val="restart"/>
            <w:tcBorders>
              <w:top w:val="single" w:color="auto" w:sz="4" w:space="0"/>
              <w:left w:val="single" w:color="auto" w:sz="4" w:space="0"/>
              <w:bottom w:val="single" w:color="000000" w:sz="4" w:space="0"/>
              <w:right w:val="single" w:color="auto" w:sz="4" w:space="0"/>
            </w:tcBorders>
            <w:shd w:val="clear" w:color="auto" w:fill="C0AD72"/>
            <w:vAlign w:val="center"/>
          </w:tcPr>
          <w:p>
            <w:pPr>
              <w:widowControl/>
              <w:jc w:val="center"/>
              <w:rPr>
                <w:rFonts w:ascii="微软雅黑" w:hAnsi="微软雅黑" w:eastAsia="微软雅黑" w:cs="仿宋_GB2312"/>
              </w:rPr>
            </w:pPr>
            <w:r>
              <w:rPr>
                <w:rFonts w:hint="eastAsia" w:ascii="微软雅黑" w:hAnsi="微软雅黑" w:eastAsia="微软雅黑" w:cs="仿宋_GB2312"/>
              </w:rPr>
              <w:t>建筑面积（㎡）</w:t>
            </w:r>
          </w:p>
        </w:tc>
        <w:tc>
          <w:tcPr>
            <w:tcW w:w="1417" w:type="dxa"/>
            <w:vMerge w:val="restart"/>
            <w:tcBorders>
              <w:top w:val="single" w:color="auto" w:sz="4" w:space="0"/>
              <w:left w:val="single" w:color="auto" w:sz="4" w:space="0"/>
              <w:bottom w:val="single" w:color="000000" w:sz="4" w:space="0"/>
              <w:right w:val="single" w:color="auto" w:sz="4" w:space="0"/>
            </w:tcBorders>
            <w:shd w:val="clear" w:color="auto" w:fill="C0AD72"/>
            <w:vAlign w:val="center"/>
          </w:tcPr>
          <w:p>
            <w:pPr>
              <w:widowControl/>
              <w:jc w:val="center"/>
              <w:rPr>
                <w:rFonts w:ascii="微软雅黑" w:hAnsi="微软雅黑" w:eastAsia="微软雅黑" w:cs="仿宋_GB2312"/>
              </w:rPr>
            </w:pPr>
            <w:r>
              <w:rPr>
                <w:rFonts w:hint="eastAsia" w:ascii="微软雅黑" w:hAnsi="微软雅黑" w:eastAsia="微软雅黑" w:cs="仿宋_GB2312"/>
              </w:rPr>
              <w:t>土地面积（㎡）</w:t>
            </w:r>
          </w:p>
        </w:tc>
        <w:tc>
          <w:tcPr>
            <w:tcW w:w="3963" w:type="dxa"/>
            <w:gridSpan w:val="2"/>
            <w:tcBorders>
              <w:top w:val="single" w:color="auto" w:sz="4" w:space="0"/>
              <w:left w:val="nil"/>
              <w:bottom w:val="single" w:color="auto" w:sz="4" w:space="0"/>
              <w:right w:val="single" w:color="auto" w:sz="4" w:space="0"/>
            </w:tcBorders>
            <w:shd w:val="clear" w:color="auto" w:fill="C0AD72"/>
          </w:tcPr>
          <w:p>
            <w:pPr>
              <w:widowControl/>
              <w:jc w:val="center"/>
              <w:rPr>
                <w:rFonts w:ascii="微软雅黑" w:hAnsi="微软雅黑" w:eastAsia="微软雅黑" w:cs="仿宋_GB2312"/>
              </w:rPr>
            </w:pPr>
            <w:r>
              <w:rPr>
                <w:rFonts w:hint="eastAsia" w:ascii="微软雅黑" w:hAnsi="微软雅黑" w:eastAsia="微软雅黑" w:cs="仿宋_GB2312"/>
              </w:rPr>
              <w:t>市场价值</w:t>
            </w:r>
          </w:p>
        </w:tc>
      </w:tr>
      <w:tr>
        <w:tblPrEx>
          <w:tblCellMar>
            <w:top w:w="0" w:type="dxa"/>
            <w:left w:w="108" w:type="dxa"/>
            <w:bottom w:w="0" w:type="dxa"/>
            <w:right w:w="108" w:type="dxa"/>
          </w:tblCellMar>
        </w:tblPrEx>
        <w:trPr>
          <w:trHeight w:val="737" w:hRule="atLeast"/>
          <w:jc w:val="right"/>
        </w:trPr>
        <w:tc>
          <w:tcPr>
            <w:tcW w:w="2552" w:type="dxa"/>
            <w:vMerge w:val="continue"/>
            <w:tcBorders>
              <w:top w:val="single" w:color="auto" w:sz="4" w:space="0"/>
              <w:left w:val="single" w:color="auto" w:sz="4" w:space="0"/>
              <w:bottom w:val="single" w:color="000000" w:sz="4" w:space="0"/>
              <w:right w:val="single" w:color="auto" w:sz="4" w:space="0"/>
            </w:tcBorders>
            <w:shd w:val="clear" w:color="auto" w:fill="C0AD72"/>
            <w:vAlign w:val="center"/>
          </w:tcPr>
          <w:p>
            <w:pPr>
              <w:widowControl/>
              <w:jc w:val="left"/>
              <w:rPr>
                <w:rFonts w:ascii="微软雅黑" w:hAnsi="微软雅黑" w:eastAsia="微软雅黑" w:cs="仿宋_GB2312"/>
              </w:rPr>
            </w:pPr>
          </w:p>
        </w:tc>
        <w:tc>
          <w:tcPr>
            <w:tcW w:w="992" w:type="dxa"/>
            <w:vMerge w:val="continue"/>
            <w:tcBorders>
              <w:top w:val="single" w:color="auto" w:sz="4" w:space="0"/>
              <w:left w:val="single" w:color="auto" w:sz="4" w:space="0"/>
              <w:bottom w:val="single" w:color="000000" w:sz="4" w:space="0"/>
              <w:right w:val="single" w:color="auto" w:sz="4" w:space="0"/>
            </w:tcBorders>
            <w:shd w:val="clear" w:color="auto" w:fill="C0AD72"/>
            <w:vAlign w:val="center"/>
          </w:tcPr>
          <w:p>
            <w:pPr>
              <w:widowControl/>
              <w:jc w:val="left"/>
              <w:rPr>
                <w:rFonts w:ascii="微软雅黑" w:hAnsi="微软雅黑" w:eastAsia="微软雅黑" w:cs="仿宋_GB2312"/>
              </w:rPr>
            </w:pPr>
          </w:p>
        </w:tc>
        <w:tc>
          <w:tcPr>
            <w:tcW w:w="1417" w:type="dxa"/>
            <w:vMerge w:val="continue"/>
            <w:tcBorders>
              <w:top w:val="single" w:color="auto" w:sz="4" w:space="0"/>
              <w:left w:val="single" w:color="auto" w:sz="4" w:space="0"/>
              <w:bottom w:val="single" w:color="000000" w:sz="4" w:space="0"/>
              <w:right w:val="single" w:color="auto" w:sz="4" w:space="0"/>
            </w:tcBorders>
            <w:shd w:val="clear" w:color="auto" w:fill="C0AD72"/>
            <w:vAlign w:val="center"/>
          </w:tcPr>
          <w:p>
            <w:pPr>
              <w:widowControl/>
              <w:jc w:val="left"/>
              <w:rPr>
                <w:rFonts w:ascii="微软雅黑" w:hAnsi="微软雅黑" w:eastAsia="微软雅黑" w:cs="仿宋_GB2312"/>
              </w:rPr>
            </w:pPr>
          </w:p>
        </w:tc>
        <w:tc>
          <w:tcPr>
            <w:tcW w:w="1985" w:type="dxa"/>
            <w:tcBorders>
              <w:top w:val="nil"/>
              <w:left w:val="nil"/>
              <w:bottom w:val="single" w:color="auto" w:sz="4" w:space="0"/>
              <w:right w:val="single" w:color="auto" w:sz="4" w:space="0"/>
            </w:tcBorders>
            <w:shd w:val="clear" w:color="auto" w:fill="C0AD72"/>
            <w:vAlign w:val="center"/>
          </w:tcPr>
          <w:p>
            <w:pPr>
              <w:widowControl/>
              <w:jc w:val="center"/>
              <w:rPr>
                <w:rFonts w:ascii="微软雅黑" w:hAnsi="微软雅黑" w:eastAsia="微软雅黑" w:cs="仿宋_GB2312"/>
              </w:rPr>
            </w:pPr>
            <w:r>
              <w:rPr>
                <w:rFonts w:hint="eastAsia" w:ascii="微软雅黑" w:hAnsi="微软雅黑" w:eastAsia="微软雅黑" w:cs="仿宋_GB2312"/>
              </w:rPr>
              <w:t>评估单价</w:t>
            </w:r>
          </w:p>
          <w:p>
            <w:pPr>
              <w:widowControl/>
              <w:jc w:val="center"/>
              <w:rPr>
                <w:rFonts w:ascii="微软雅黑" w:hAnsi="微软雅黑" w:eastAsia="微软雅黑" w:cs="仿宋_GB2312"/>
              </w:rPr>
            </w:pPr>
            <w:r>
              <w:rPr>
                <w:rFonts w:hint="eastAsia" w:ascii="微软雅黑" w:hAnsi="微软雅黑" w:eastAsia="微软雅黑" w:cs="仿宋_GB2312"/>
              </w:rPr>
              <w:t>（元</w:t>
            </w:r>
            <w:r>
              <w:rPr>
                <w:rFonts w:ascii="微软雅黑" w:hAnsi="微软雅黑" w:eastAsia="微软雅黑" w:cs="仿宋_GB2312"/>
              </w:rPr>
              <w:t>/</w:t>
            </w:r>
            <w:r>
              <w:rPr>
                <w:rFonts w:hint="eastAsia" w:ascii="微软雅黑" w:hAnsi="微软雅黑" w:cs="宋体"/>
                <w:kern w:val="0"/>
              </w:rPr>
              <w:t>㎡</w:t>
            </w:r>
            <w:r>
              <w:rPr>
                <w:rFonts w:hint="eastAsia" w:ascii="微软雅黑" w:hAnsi="微软雅黑" w:eastAsia="微软雅黑" w:cs="仿宋_GB2312"/>
              </w:rPr>
              <w:t>）</w:t>
            </w:r>
          </w:p>
        </w:tc>
        <w:tc>
          <w:tcPr>
            <w:tcW w:w="1978" w:type="dxa"/>
            <w:tcBorders>
              <w:top w:val="nil"/>
              <w:left w:val="nil"/>
              <w:bottom w:val="single" w:color="auto" w:sz="4" w:space="0"/>
              <w:right w:val="single" w:color="auto" w:sz="4" w:space="0"/>
            </w:tcBorders>
            <w:shd w:val="clear" w:color="auto" w:fill="C0AD72"/>
          </w:tcPr>
          <w:p>
            <w:pPr>
              <w:widowControl/>
              <w:jc w:val="center"/>
              <w:rPr>
                <w:rFonts w:ascii="微软雅黑" w:hAnsi="微软雅黑" w:eastAsia="微软雅黑" w:cs="仿宋_GB2312"/>
              </w:rPr>
            </w:pPr>
            <w:r>
              <w:rPr>
                <w:rFonts w:hint="eastAsia" w:ascii="微软雅黑" w:hAnsi="微软雅黑" w:eastAsia="微软雅黑" w:cs="仿宋_GB2312"/>
              </w:rPr>
              <w:t>总价（万元）</w:t>
            </w:r>
          </w:p>
          <w:p>
            <w:pPr>
              <w:widowControl/>
              <w:jc w:val="center"/>
              <w:rPr>
                <w:rFonts w:ascii="微软雅黑" w:hAnsi="微软雅黑" w:eastAsia="微软雅黑" w:cs="仿宋_GB2312"/>
              </w:rPr>
            </w:pPr>
            <w:r>
              <w:rPr>
                <w:rFonts w:hint="eastAsia" w:ascii="微软雅黑" w:hAnsi="微软雅黑" w:eastAsia="微软雅黑" w:cs="仿宋_GB2312"/>
              </w:rPr>
              <w:t>（保留仟位取整）</w:t>
            </w:r>
          </w:p>
        </w:tc>
      </w:tr>
      <w:tr>
        <w:tblPrEx>
          <w:tblCellMar>
            <w:top w:w="0" w:type="dxa"/>
            <w:left w:w="108" w:type="dxa"/>
            <w:bottom w:w="0" w:type="dxa"/>
            <w:right w:w="108" w:type="dxa"/>
          </w:tblCellMar>
        </w:tblPrEx>
        <w:trPr>
          <w:trHeight w:val="802" w:hRule="atLeast"/>
          <w:jc w:val="right"/>
        </w:trPr>
        <w:tc>
          <w:tcPr>
            <w:tcW w:w="2552" w:type="dxa"/>
            <w:tcBorders>
              <w:top w:val="nil"/>
              <w:left w:val="single" w:color="auto" w:sz="4" w:space="0"/>
              <w:bottom w:val="single" w:color="auto" w:sz="4" w:space="0"/>
              <w:right w:val="single" w:color="auto" w:sz="4" w:space="0"/>
            </w:tcBorders>
            <w:vAlign w:val="center"/>
          </w:tcPr>
          <w:p>
            <w:pPr>
              <w:jc w:val="center"/>
              <w:rPr>
                <w:rFonts w:hint="eastAsia" w:ascii="微软雅黑" w:hAnsi="微软雅黑" w:eastAsia="微软雅黑" w:cs="仿宋_GB2312"/>
                <w:lang w:eastAsia="zh-CN"/>
              </w:rPr>
            </w:pPr>
            <w:r>
              <w:rPr>
                <w:rFonts w:hint="eastAsia" w:ascii="微软雅黑" w:hAnsi="微软雅黑" w:eastAsia="微软雅黑" w:cs="仿宋_GB2312"/>
                <w:lang w:eastAsia="zh-CN"/>
              </w:rPr>
              <w:t>淳安县千岛湖镇康盛花园19号3单元605室</w:t>
            </w:r>
          </w:p>
        </w:tc>
        <w:tc>
          <w:tcPr>
            <w:tcW w:w="992" w:type="dxa"/>
            <w:tcBorders>
              <w:top w:val="nil"/>
              <w:left w:val="nil"/>
              <w:bottom w:val="single" w:color="auto" w:sz="4" w:space="0"/>
              <w:right w:val="single" w:color="auto" w:sz="4" w:space="0"/>
            </w:tcBorders>
            <w:vAlign w:val="center"/>
          </w:tcPr>
          <w:p>
            <w:pPr>
              <w:jc w:val="center"/>
              <w:rPr>
                <w:rFonts w:hint="eastAsia" w:ascii="微软雅黑" w:hAnsi="微软雅黑" w:eastAsia="微软雅黑" w:cs="仿宋_GB2312"/>
                <w:lang w:eastAsia="zh-CN"/>
              </w:rPr>
            </w:pPr>
            <w:r>
              <w:rPr>
                <w:rFonts w:hint="eastAsia" w:ascii="微软雅黑" w:hAnsi="微软雅黑" w:eastAsia="微软雅黑" w:cs="宋体"/>
                <w:color w:val="000000"/>
                <w:kern w:val="0"/>
                <w:sz w:val="20"/>
                <w:szCs w:val="20"/>
                <w:lang w:eastAsia="zh-CN"/>
              </w:rPr>
              <w:t>75.1</w:t>
            </w:r>
          </w:p>
        </w:tc>
        <w:tc>
          <w:tcPr>
            <w:tcW w:w="1417" w:type="dxa"/>
            <w:tcBorders>
              <w:top w:val="nil"/>
              <w:left w:val="nil"/>
              <w:bottom w:val="single" w:color="auto" w:sz="4" w:space="0"/>
              <w:right w:val="single" w:color="auto" w:sz="4" w:space="0"/>
            </w:tcBorders>
            <w:vAlign w:val="center"/>
          </w:tcPr>
          <w:p>
            <w:pPr>
              <w:widowControl/>
              <w:jc w:val="center"/>
              <w:rPr>
                <w:rFonts w:hint="eastAsia" w:ascii="微软雅黑" w:hAnsi="微软雅黑" w:eastAsia="微软雅黑" w:cs="仿宋_GB2312"/>
                <w:lang w:eastAsia="zh-CN"/>
              </w:rPr>
            </w:pPr>
            <w:r>
              <w:rPr>
                <w:rFonts w:hint="eastAsia" w:ascii="微软雅黑" w:hAnsi="微软雅黑" w:eastAsia="微软雅黑" w:cs="宋体"/>
                <w:color w:val="000000"/>
                <w:kern w:val="0"/>
                <w:sz w:val="20"/>
                <w:szCs w:val="20"/>
                <w:lang w:eastAsia="zh-CN"/>
              </w:rPr>
              <w:t>30.97</w:t>
            </w:r>
          </w:p>
        </w:tc>
        <w:tc>
          <w:tcPr>
            <w:tcW w:w="1985" w:type="dxa"/>
            <w:tcBorders>
              <w:top w:val="nil"/>
              <w:left w:val="nil"/>
              <w:bottom w:val="single" w:color="auto" w:sz="4" w:space="0"/>
              <w:right w:val="single" w:color="auto" w:sz="4" w:space="0"/>
            </w:tcBorders>
            <w:vAlign w:val="center"/>
          </w:tcPr>
          <w:p>
            <w:pPr>
              <w:jc w:val="center"/>
              <w:rPr>
                <w:rFonts w:hint="default" w:ascii="微软雅黑" w:hAnsi="微软雅黑" w:eastAsia="微软雅黑" w:cs="仿宋_GB2312"/>
                <w:lang w:val="en-US" w:eastAsia="zh-CN"/>
              </w:rPr>
            </w:pPr>
            <w:r>
              <w:rPr>
                <w:rFonts w:hint="eastAsia" w:ascii="微软雅黑" w:hAnsi="微软雅黑" w:eastAsia="微软雅黑" w:cs="仿宋_GB2312"/>
                <w:lang w:val="en-US" w:eastAsia="zh-CN"/>
              </w:rPr>
              <w:t>8599</w:t>
            </w:r>
          </w:p>
        </w:tc>
        <w:tc>
          <w:tcPr>
            <w:tcW w:w="1978" w:type="dxa"/>
            <w:tcBorders>
              <w:top w:val="single" w:color="auto" w:sz="4" w:space="0"/>
              <w:left w:val="nil"/>
              <w:bottom w:val="single" w:color="auto" w:sz="4" w:space="0"/>
              <w:right w:val="single" w:color="auto" w:sz="4" w:space="0"/>
            </w:tcBorders>
            <w:vAlign w:val="center"/>
          </w:tcPr>
          <w:p>
            <w:pPr>
              <w:jc w:val="center"/>
              <w:rPr>
                <w:rFonts w:hint="default" w:ascii="微软雅黑" w:hAnsi="微软雅黑" w:eastAsia="微软雅黑" w:cs="仿宋_GB2312"/>
                <w:lang w:val="en-US" w:eastAsia="zh-CN"/>
              </w:rPr>
            </w:pPr>
            <w:r>
              <w:rPr>
                <w:rFonts w:hint="eastAsia" w:ascii="微软雅黑" w:hAnsi="微软雅黑" w:eastAsia="微软雅黑" w:cs="仿宋_GB2312"/>
                <w:lang w:val="en-US" w:eastAsia="zh-CN"/>
              </w:rPr>
              <w:t>64.6</w:t>
            </w:r>
          </w:p>
        </w:tc>
      </w:tr>
    </w:tbl>
    <w:p>
      <w:pPr>
        <w:widowControl/>
        <w:jc w:val="left"/>
        <w:rPr>
          <w:rFonts w:ascii="微软雅黑" w:hAnsi="微软雅黑" w:eastAsia="微软雅黑" w:cs="仿宋_GB2312"/>
          <w:szCs w:val="24"/>
        </w:rPr>
      </w:pPr>
    </w:p>
    <w:p>
      <w:pPr>
        <w:tabs>
          <w:tab w:val="left" w:pos="6912"/>
        </w:tabs>
        <w:topLinePunct/>
        <w:adjustRightInd w:val="0"/>
        <w:snapToGrid w:val="0"/>
        <w:spacing w:line="276" w:lineRule="auto"/>
        <w:ind w:firstLine="420" w:firstLineChars="200"/>
        <w:rPr>
          <w:rFonts w:ascii="微软雅黑" w:hAnsi="微软雅黑" w:eastAsia="微软雅黑"/>
          <w:color w:val="FF0000"/>
          <w:szCs w:val="21"/>
        </w:rPr>
      </w:pPr>
      <w:r>
        <w:rPr>
          <w:rFonts w:hint="eastAsia" w:ascii="微软雅黑" w:hAnsi="微软雅黑" w:eastAsia="微软雅黑" w:cs="微软雅黑"/>
          <w:b/>
          <w:szCs w:val="21"/>
        </w:rPr>
        <w:t>特别提示（</w:t>
      </w:r>
      <w:r>
        <w:rPr>
          <w:rFonts w:ascii="微软雅黑" w:hAnsi="微软雅黑" w:eastAsia="微软雅黑" w:cs="微软雅黑"/>
          <w:b/>
          <w:szCs w:val="21"/>
        </w:rPr>
        <w:t>Special Notice</w:t>
      </w:r>
      <w:r>
        <w:rPr>
          <w:rFonts w:hint="eastAsia" w:ascii="微软雅黑" w:hAnsi="微软雅黑" w:eastAsia="微软雅黑" w:cs="微软雅黑"/>
          <w:b/>
          <w:szCs w:val="21"/>
        </w:rPr>
        <w:t>）：</w:t>
      </w:r>
    </w:p>
    <w:p>
      <w:pPr>
        <w:pStyle w:val="24"/>
        <w:tabs>
          <w:tab w:val="left" w:pos="1134"/>
        </w:tabs>
        <w:topLinePunct/>
        <w:adjustRightInd w:val="0"/>
        <w:snapToGrid w:val="0"/>
        <w:spacing w:line="276" w:lineRule="auto"/>
        <w:ind w:left="420" w:leftChars="200" w:firstLine="0" w:firstLineChars="0"/>
        <w:rPr>
          <w:rFonts w:ascii="微软雅黑" w:hAnsi="微软雅黑" w:eastAsia="微软雅黑"/>
          <w:szCs w:val="21"/>
        </w:rPr>
      </w:pPr>
      <w:r>
        <w:rPr>
          <w:rFonts w:hint="eastAsia" w:ascii="微软雅黑" w:hAnsi="微软雅黑" w:eastAsia="微软雅黑"/>
          <w:szCs w:val="21"/>
        </w:rPr>
        <w:t>为正确合理使用本估价结果，请报告使用者仔细阅读以下房地产估价报告内容，并提请报告使用者注意本报告的估价假设前提和限制条件，特此函告。</w:t>
      </w:r>
    </w:p>
    <w:p>
      <w:pPr>
        <w:pStyle w:val="24"/>
        <w:tabs>
          <w:tab w:val="left" w:pos="1134"/>
        </w:tabs>
        <w:topLinePunct/>
        <w:adjustRightInd w:val="0"/>
        <w:snapToGrid w:val="0"/>
        <w:spacing w:line="276" w:lineRule="auto"/>
        <w:ind w:left="420" w:firstLine="0" w:firstLineChars="0"/>
        <w:rPr>
          <w:rFonts w:ascii="微软雅黑" w:hAnsi="微软雅黑" w:eastAsia="微软雅黑"/>
          <w:color w:val="00B050"/>
          <w:szCs w:val="21"/>
        </w:rPr>
      </w:pPr>
    </w:p>
    <w:p>
      <w:pPr>
        <w:pStyle w:val="24"/>
        <w:tabs>
          <w:tab w:val="left" w:pos="1134"/>
        </w:tabs>
        <w:topLinePunct/>
        <w:adjustRightInd w:val="0"/>
        <w:snapToGrid w:val="0"/>
        <w:spacing w:line="276" w:lineRule="auto"/>
        <w:ind w:left="420" w:firstLine="0" w:firstLineChars="0"/>
        <w:rPr>
          <w:rFonts w:ascii="微软雅黑" w:hAnsi="微软雅黑" w:eastAsia="微软雅黑"/>
          <w:color w:val="00B050"/>
          <w:szCs w:val="21"/>
        </w:rPr>
      </w:pPr>
    </w:p>
    <w:p>
      <w:pPr>
        <w:tabs>
          <w:tab w:val="left" w:pos="6912"/>
        </w:tabs>
        <w:topLinePunct/>
        <w:adjustRightInd w:val="0"/>
        <w:snapToGrid w:val="0"/>
        <w:spacing w:before="240" w:beforeLines="100" w:after="240" w:afterLines="100" w:line="276" w:lineRule="auto"/>
        <w:ind w:firstLine="520" w:firstLineChars="200"/>
        <w:jc w:val="right"/>
        <w:rPr>
          <w:rFonts w:ascii="微软雅黑" w:hAnsi="微软雅黑" w:eastAsia="微软雅黑" w:cs="仿宋_GB2312"/>
          <w:b/>
          <w:bCs/>
          <w:spacing w:val="10"/>
          <w:sz w:val="24"/>
          <w:szCs w:val="24"/>
        </w:rPr>
      </w:pPr>
      <w:r>
        <w:rPr>
          <w:rFonts w:hint="eastAsia" w:ascii="微软雅黑" w:hAnsi="微软雅黑" w:eastAsia="微软雅黑" w:cs="仿宋_GB2312"/>
          <w:b/>
          <w:bCs/>
          <w:spacing w:val="10"/>
          <w:sz w:val="24"/>
          <w:szCs w:val="24"/>
        </w:rPr>
        <w:t>浙江嘉华房地产土地资产评估咨询有限公司</w:t>
      </w:r>
    </w:p>
    <w:p>
      <w:pPr>
        <w:adjustRightInd w:val="0"/>
        <w:snapToGrid w:val="0"/>
        <w:spacing w:line="360" w:lineRule="auto"/>
        <w:ind w:firstLine="4982" w:firstLineChars="2075"/>
        <w:rPr>
          <w:rFonts w:ascii="微软雅黑" w:hAnsi="微软雅黑" w:eastAsia="微软雅黑" w:cs="微软雅黑"/>
          <w:b/>
          <w:bCs/>
          <w:sz w:val="24"/>
          <w:szCs w:val="24"/>
        </w:rPr>
      </w:pPr>
      <w:r>
        <w:rPr>
          <w:rFonts w:hint="eastAsia" w:ascii="微软雅黑" w:hAnsi="微软雅黑" w:eastAsia="微软雅黑" w:cs="仿宋_GB2312"/>
          <w:b/>
          <w:bCs/>
          <w:sz w:val="24"/>
          <w:szCs w:val="24"/>
        </w:rPr>
        <w:t>法定代表人：</w:t>
      </w:r>
      <w:r>
        <w:rPr>
          <w:rFonts w:hint="eastAsia" w:ascii="微软雅黑" w:hAnsi="微软雅黑" w:eastAsia="微软雅黑" w:cs="微软雅黑"/>
          <w:b/>
          <w:bCs/>
          <w:sz w:val="24"/>
          <w:szCs w:val="24"/>
        </w:rPr>
        <w:t xml:space="preserve">                          </w:t>
      </w:r>
    </w:p>
    <w:p>
      <w:pPr>
        <w:widowControl/>
        <w:jc w:val="center"/>
        <w:rPr>
          <w:rFonts w:hint="eastAsia" w:ascii="微软雅黑" w:hAnsi="微软雅黑" w:eastAsia="微软雅黑"/>
          <w:b/>
          <w:color w:val="C3AD72"/>
          <w:spacing w:val="20"/>
          <w:sz w:val="24"/>
          <w:szCs w:val="24"/>
          <w:lang w:eastAsia="zh-CN"/>
        </w:rPr>
      </w:pP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eastAsia="zh-CN"/>
        </w:rPr>
        <w:t>二〇二二年九月九日</w:t>
      </w:r>
    </w:p>
    <w:p>
      <w:pPr>
        <w:widowControl/>
        <w:jc w:val="left"/>
        <w:rPr>
          <w:rFonts w:ascii="微软雅黑" w:hAnsi="微软雅黑" w:eastAsia="微软雅黑"/>
          <w:b/>
          <w:color w:val="C3AD72"/>
          <w:spacing w:val="20"/>
          <w:sz w:val="32"/>
          <w:szCs w:val="32"/>
        </w:rPr>
      </w:pPr>
      <w:r>
        <w:rPr>
          <w:rFonts w:ascii="微软雅黑" w:hAnsi="微软雅黑" w:eastAsia="微软雅黑"/>
          <w:b/>
          <w:color w:val="C3AD72"/>
          <w:spacing w:val="20"/>
          <w:sz w:val="32"/>
          <w:szCs w:val="32"/>
        </w:rPr>
        <w:br w:type="page"/>
      </w:r>
    </w:p>
    <w:p>
      <w:pPr>
        <w:topLinePunct/>
        <w:adjustRightInd w:val="0"/>
        <w:snapToGrid w:val="0"/>
        <w:spacing w:before="120" w:beforeLines="50"/>
        <w:jc w:val="center"/>
        <w:rPr>
          <w:rFonts w:ascii="微软雅黑" w:hAnsi="微软雅黑" w:eastAsia="微软雅黑"/>
          <w:b/>
          <w:color w:val="C3AD72"/>
          <w:spacing w:val="20"/>
          <w:sz w:val="32"/>
          <w:szCs w:val="32"/>
        </w:rPr>
      </w:pPr>
      <w:r>
        <w:rPr>
          <w:rFonts w:hint="eastAsia" w:ascii="微软雅黑" w:hAnsi="微软雅黑" w:eastAsia="微软雅黑"/>
          <w:b/>
          <w:color w:val="C3AD72"/>
          <w:spacing w:val="20"/>
          <w:sz w:val="32"/>
          <w:szCs w:val="32"/>
        </w:rPr>
        <w:t>目录</w:t>
      </w:r>
    </w:p>
    <w:p>
      <w:pPr>
        <w:widowControl/>
        <w:topLinePunct/>
        <w:adjustRightInd w:val="0"/>
        <w:snapToGrid w:val="0"/>
        <w:spacing w:after="240" w:afterLines="100" w:line="160" w:lineRule="exact"/>
        <w:jc w:val="center"/>
        <w:rPr>
          <w:rFonts w:ascii="微软雅黑" w:hAnsi="微软雅黑" w:eastAsia="微软雅黑" w:cs="宋体"/>
          <w:b/>
          <w:color w:val="C3AD72"/>
          <w:kern w:val="0"/>
          <w:sz w:val="16"/>
          <w:szCs w:val="16"/>
        </w:rPr>
      </w:pPr>
      <w:r>
        <w:rPr>
          <w:rFonts w:hint="eastAsia" w:ascii="微软雅黑" w:hAnsi="微软雅黑" w:eastAsia="微软雅黑" w:cs="宋体"/>
          <w:b/>
          <w:color w:val="C3AD72"/>
          <w:kern w:val="0"/>
          <w:sz w:val="16"/>
          <w:szCs w:val="16"/>
        </w:rPr>
        <w:t>C</w:t>
      </w:r>
      <w:r>
        <w:rPr>
          <w:rFonts w:ascii="微软雅黑" w:hAnsi="微软雅黑" w:eastAsia="微软雅黑" w:cs="宋体"/>
          <w:b/>
          <w:color w:val="C3AD72"/>
          <w:kern w:val="0"/>
          <w:sz w:val="16"/>
          <w:szCs w:val="16"/>
        </w:rPr>
        <w:t>ontents</w:t>
      </w:r>
    </w:p>
    <w:sdt>
      <w:sdtPr>
        <w:rPr>
          <w:rFonts w:ascii="微软雅黑" w:hAnsi="微软雅黑" w:eastAsia="微软雅黑"/>
          <w:lang w:val="zh-CN"/>
        </w:rPr>
        <w:id w:val="-61641293"/>
        <w:docPartObj>
          <w:docPartGallery w:val="Table of Contents"/>
          <w:docPartUnique/>
        </w:docPartObj>
      </w:sdtPr>
      <w:sdtEndPr>
        <w:rPr>
          <w:rFonts w:ascii="微软雅黑" w:hAnsi="微软雅黑" w:eastAsia="微软雅黑"/>
          <w:b/>
          <w:bCs/>
          <w:lang w:val="zh-CN"/>
        </w:rPr>
      </w:sdtEndPr>
      <w:sdtContent>
        <w:p>
          <w:pPr>
            <w:jc w:val="center"/>
          </w:pPr>
        </w:p>
        <w:p>
          <w:pPr>
            <w:pStyle w:val="13"/>
            <w:tabs>
              <w:tab w:val="right" w:leader="dot" w:pos="8787"/>
            </w:tabs>
          </w:pPr>
          <w:r>
            <w:rPr>
              <w:b w:val="0"/>
              <w:bCs w:val="0"/>
              <w:caps w:val="0"/>
            </w:rPr>
            <w:fldChar w:fldCharType="begin"/>
          </w:r>
          <w:r>
            <w:rPr>
              <w:b w:val="0"/>
              <w:bCs w:val="0"/>
              <w:caps w:val="0"/>
            </w:rPr>
            <w:instrText xml:space="preserve"> TOC \o "1-3"\n3-3 \h \z \u </w:instrText>
          </w:r>
          <w:r>
            <w:rPr>
              <w:b w:val="0"/>
              <w:bCs w:val="0"/>
              <w:caps w:val="0"/>
            </w:rPr>
            <w:fldChar w:fldCharType="separate"/>
          </w:r>
          <w:r>
            <w:rPr>
              <w:bCs w:val="0"/>
              <w:caps w:val="0"/>
            </w:rPr>
            <w:fldChar w:fldCharType="begin"/>
          </w:r>
          <w:r>
            <w:rPr>
              <w:bCs w:val="0"/>
              <w:caps w:val="0"/>
            </w:rPr>
            <w:instrText xml:space="preserve"> HYPERLINK \l _Toc19902 </w:instrText>
          </w:r>
          <w:r>
            <w:rPr>
              <w:bCs w:val="0"/>
              <w:caps w:val="0"/>
            </w:rPr>
            <w:fldChar w:fldCharType="separate"/>
          </w:r>
          <w:r>
            <w:rPr>
              <w:rFonts w:hint="eastAsia" w:ascii="微软雅黑" w:hAnsi="微软雅黑" w:eastAsia="微软雅黑"/>
              <w:spacing w:val="20"/>
              <w:szCs w:val="32"/>
            </w:rPr>
            <w:t>估价师声明</w:t>
          </w:r>
          <w:r>
            <w:tab/>
          </w:r>
          <w:r>
            <w:fldChar w:fldCharType="begin"/>
          </w:r>
          <w:r>
            <w:instrText xml:space="preserve"> PAGEREF _Toc19902 \h </w:instrText>
          </w:r>
          <w:r>
            <w:fldChar w:fldCharType="separate"/>
          </w:r>
          <w:r>
            <w:t>5</w:t>
          </w:r>
          <w:r>
            <w:fldChar w:fldCharType="end"/>
          </w:r>
          <w:r>
            <w:rPr>
              <w:bCs w:val="0"/>
              <w:caps w:val="0"/>
            </w:rPr>
            <w:fldChar w:fldCharType="end"/>
          </w:r>
        </w:p>
        <w:p>
          <w:pPr>
            <w:pStyle w:val="13"/>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_Toc31209 </w:instrText>
          </w:r>
          <w:r>
            <w:rPr>
              <w:rFonts w:ascii="微软雅黑" w:hAnsi="微软雅黑" w:eastAsia="微软雅黑"/>
              <w:bCs/>
              <w:caps/>
              <w:szCs w:val="20"/>
            </w:rPr>
            <w:fldChar w:fldCharType="separate"/>
          </w:r>
          <w:r>
            <w:rPr>
              <w:rFonts w:hint="eastAsia" w:ascii="微软雅黑" w:hAnsi="微软雅黑" w:eastAsia="微软雅黑"/>
              <w:spacing w:val="20"/>
              <w:szCs w:val="32"/>
            </w:rPr>
            <w:t>估价假设和限制条件</w:t>
          </w:r>
          <w:r>
            <w:tab/>
          </w:r>
          <w:r>
            <w:fldChar w:fldCharType="begin"/>
          </w:r>
          <w:r>
            <w:instrText xml:space="preserve"> PAGEREF _Toc31209 \h </w:instrText>
          </w:r>
          <w:r>
            <w:fldChar w:fldCharType="separate"/>
          </w:r>
          <w:r>
            <w:t>6</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_Toc2657 </w:instrText>
          </w:r>
          <w:r>
            <w:rPr>
              <w:rFonts w:ascii="微软雅黑" w:hAnsi="微软雅黑" w:eastAsia="微软雅黑"/>
              <w:bCs/>
              <w:caps/>
              <w:szCs w:val="20"/>
            </w:rPr>
            <w:fldChar w:fldCharType="separate"/>
          </w:r>
          <w:r>
            <w:rPr>
              <w:rFonts w:hint="eastAsia" w:ascii="微软雅黑" w:hAnsi="微软雅黑" w:eastAsia="微软雅黑"/>
              <w:szCs w:val="24"/>
            </w:rPr>
            <w:t>一、一般假设</w:t>
          </w:r>
          <w:r>
            <w:tab/>
          </w:r>
          <w:r>
            <w:fldChar w:fldCharType="begin"/>
          </w:r>
          <w:r>
            <w:instrText xml:space="preserve"> PAGEREF _Toc2657 \h </w:instrText>
          </w:r>
          <w:r>
            <w:fldChar w:fldCharType="separate"/>
          </w:r>
          <w:r>
            <w:t>6</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_Toc31291 </w:instrText>
          </w:r>
          <w:r>
            <w:rPr>
              <w:rFonts w:ascii="微软雅黑" w:hAnsi="微软雅黑" w:eastAsia="微软雅黑"/>
              <w:bCs/>
              <w:caps/>
              <w:szCs w:val="20"/>
            </w:rPr>
            <w:fldChar w:fldCharType="separate"/>
          </w:r>
          <w:r>
            <w:rPr>
              <w:rFonts w:hint="eastAsia" w:ascii="微软雅黑" w:hAnsi="微软雅黑" w:eastAsia="微软雅黑"/>
              <w:szCs w:val="24"/>
            </w:rPr>
            <w:t>二、未定事项假设</w:t>
          </w:r>
          <w:r>
            <w:tab/>
          </w:r>
          <w:r>
            <w:fldChar w:fldCharType="begin"/>
          </w:r>
          <w:r>
            <w:instrText xml:space="preserve"> PAGEREF _Toc31291 \h </w:instrText>
          </w:r>
          <w:r>
            <w:fldChar w:fldCharType="separate"/>
          </w:r>
          <w:r>
            <w:t>7</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_Toc26202 </w:instrText>
          </w:r>
          <w:r>
            <w:rPr>
              <w:rFonts w:ascii="微软雅黑" w:hAnsi="微软雅黑" w:eastAsia="微软雅黑"/>
              <w:bCs/>
              <w:caps/>
              <w:szCs w:val="20"/>
            </w:rPr>
            <w:fldChar w:fldCharType="separate"/>
          </w:r>
          <w:r>
            <w:rPr>
              <w:rFonts w:hint="eastAsia" w:ascii="微软雅黑" w:hAnsi="微软雅黑" w:eastAsia="微软雅黑"/>
              <w:szCs w:val="24"/>
            </w:rPr>
            <w:t>三、背离事实假设</w:t>
          </w:r>
          <w:r>
            <w:tab/>
          </w:r>
          <w:r>
            <w:fldChar w:fldCharType="begin"/>
          </w:r>
          <w:r>
            <w:instrText xml:space="preserve"> PAGEREF _Toc26202 \h </w:instrText>
          </w:r>
          <w:r>
            <w:fldChar w:fldCharType="separate"/>
          </w:r>
          <w:r>
            <w:t>7</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_Toc20646 </w:instrText>
          </w:r>
          <w:r>
            <w:rPr>
              <w:rFonts w:ascii="微软雅黑" w:hAnsi="微软雅黑" w:eastAsia="微软雅黑"/>
              <w:bCs/>
              <w:caps/>
              <w:szCs w:val="20"/>
            </w:rPr>
            <w:fldChar w:fldCharType="separate"/>
          </w:r>
          <w:r>
            <w:rPr>
              <w:rFonts w:hint="eastAsia" w:ascii="微软雅黑" w:hAnsi="微软雅黑" w:eastAsia="微软雅黑"/>
              <w:szCs w:val="24"/>
            </w:rPr>
            <w:t>四、不相一致假设</w:t>
          </w:r>
          <w:r>
            <w:tab/>
          </w:r>
          <w:r>
            <w:fldChar w:fldCharType="begin"/>
          </w:r>
          <w:r>
            <w:instrText xml:space="preserve"> PAGEREF _Toc20646 \h </w:instrText>
          </w:r>
          <w:r>
            <w:fldChar w:fldCharType="separate"/>
          </w:r>
          <w:r>
            <w:t>7</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_Toc8372 </w:instrText>
          </w:r>
          <w:r>
            <w:rPr>
              <w:rFonts w:ascii="微软雅黑" w:hAnsi="微软雅黑" w:eastAsia="微软雅黑"/>
              <w:bCs/>
              <w:caps/>
              <w:szCs w:val="20"/>
            </w:rPr>
            <w:fldChar w:fldCharType="separate"/>
          </w:r>
          <w:r>
            <w:rPr>
              <w:rFonts w:hint="eastAsia" w:ascii="微软雅黑" w:hAnsi="微软雅黑" w:eastAsia="微软雅黑"/>
              <w:szCs w:val="24"/>
            </w:rPr>
            <w:t>五、依据不足假设</w:t>
          </w:r>
          <w:r>
            <w:tab/>
          </w:r>
          <w:r>
            <w:fldChar w:fldCharType="begin"/>
          </w:r>
          <w:r>
            <w:instrText xml:space="preserve"> PAGEREF _Toc8372 \h </w:instrText>
          </w:r>
          <w:r>
            <w:fldChar w:fldCharType="separate"/>
          </w:r>
          <w:r>
            <w:t>7</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_Toc29413 </w:instrText>
          </w:r>
          <w:r>
            <w:rPr>
              <w:rFonts w:ascii="微软雅黑" w:hAnsi="微软雅黑" w:eastAsia="微软雅黑"/>
              <w:bCs/>
              <w:caps/>
              <w:szCs w:val="20"/>
            </w:rPr>
            <w:fldChar w:fldCharType="separate"/>
          </w:r>
          <w:r>
            <w:rPr>
              <w:rFonts w:hint="eastAsia" w:ascii="微软雅黑" w:hAnsi="微软雅黑" w:eastAsia="微软雅黑"/>
              <w:szCs w:val="24"/>
            </w:rPr>
            <w:t>六、 估价报告使用限制</w:t>
          </w:r>
          <w:r>
            <w:tab/>
          </w:r>
          <w:r>
            <w:fldChar w:fldCharType="begin"/>
          </w:r>
          <w:r>
            <w:instrText xml:space="preserve"> PAGEREF _Toc29413 \h </w:instrText>
          </w:r>
          <w:r>
            <w:fldChar w:fldCharType="separate"/>
          </w:r>
          <w:r>
            <w:t>7</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_Toc10165 </w:instrText>
          </w:r>
          <w:r>
            <w:rPr>
              <w:rFonts w:ascii="微软雅黑" w:hAnsi="微软雅黑" w:eastAsia="微软雅黑"/>
              <w:bCs/>
              <w:caps/>
              <w:szCs w:val="20"/>
            </w:rPr>
            <w:fldChar w:fldCharType="separate"/>
          </w:r>
          <w:r>
            <w:rPr>
              <w:rFonts w:hint="eastAsia" w:ascii="微软雅黑" w:hAnsi="微软雅黑" w:eastAsia="微软雅黑"/>
              <w:szCs w:val="24"/>
            </w:rPr>
            <w:t>七、 特别提示</w:t>
          </w:r>
          <w:r>
            <w:tab/>
          </w:r>
          <w:r>
            <w:fldChar w:fldCharType="begin"/>
          </w:r>
          <w:r>
            <w:instrText xml:space="preserve"> PAGEREF _Toc10165 \h </w:instrText>
          </w:r>
          <w:r>
            <w:fldChar w:fldCharType="separate"/>
          </w:r>
          <w:r>
            <w:t>8</w:t>
          </w:r>
          <w:r>
            <w:fldChar w:fldCharType="end"/>
          </w:r>
          <w:r>
            <w:rPr>
              <w:rFonts w:ascii="微软雅黑" w:hAnsi="微软雅黑" w:eastAsia="微软雅黑"/>
              <w:bCs/>
              <w:caps/>
              <w:szCs w:val="20"/>
            </w:rPr>
            <w:fldChar w:fldCharType="end"/>
          </w:r>
        </w:p>
        <w:p>
          <w:pPr>
            <w:pStyle w:val="13"/>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_Toc28621 </w:instrText>
          </w:r>
          <w:r>
            <w:rPr>
              <w:rFonts w:ascii="微软雅黑" w:hAnsi="微软雅黑" w:eastAsia="微软雅黑"/>
              <w:bCs/>
              <w:caps/>
              <w:szCs w:val="20"/>
            </w:rPr>
            <w:fldChar w:fldCharType="separate"/>
          </w:r>
          <w:r>
            <w:rPr>
              <w:rFonts w:hint="eastAsia" w:ascii="微软雅黑" w:hAnsi="微软雅黑" w:eastAsia="微软雅黑"/>
              <w:spacing w:val="20"/>
              <w:szCs w:val="32"/>
            </w:rPr>
            <w:t>估价结果报告</w:t>
          </w:r>
          <w:r>
            <w:tab/>
          </w:r>
          <w:r>
            <w:fldChar w:fldCharType="begin"/>
          </w:r>
          <w:r>
            <w:instrText xml:space="preserve"> PAGEREF _Toc28621 \h </w:instrText>
          </w:r>
          <w:r>
            <w:fldChar w:fldCharType="separate"/>
          </w:r>
          <w:r>
            <w:t>10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_Toc27099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一、估价</w:t>
          </w:r>
          <w:r>
            <w:rPr>
              <w:rFonts w:hint="eastAsia" w:ascii="微软雅黑" w:hAnsi="微软雅黑" w:eastAsia="微软雅黑"/>
              <w:szCs w:val="24"/>
            </w:rPr>
            <w:t>委托人</w:t>
          </w:r>
          <w:r>
            <w:tab/>
          </w:r>
          <w:r>
            <w:fldChar w:fldCharType="begin"/>
          </w:r>
          <w:r>
            <w:instrText xml:space="preserve"> PAGEREF _Toc27099 \h </w:instrText>
          </w:r>
          <w:r>
            <w:fldChar w:fldCharType="separate"/>
          </w:r>
          <w:r>
            <w:t>10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_Toc13025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二、房地产估价</w:t>
          </w:r>
          <w:r>
            <w:rPr>
              <w:rFonts w:hint="eastAsia" w:ascii="微软雅黑" w:hAnsi="微软雅黑" w:eastAsia="微软雅黑"/>
              <w:szCs w:val="24"/>
            </w:rPr>
            <w:t>机构</w:t>
          </w:r>
          <w:r>
            <w:tab/>
          </w:r>
          <w:r>
            <w:fldChar w:fldCharType="begin"/>
          </w:r>
          <w:r>
            <w:instrText xml:space="preserve"> PAGEREF _Toc13025 \h </w:instrText>
          </w:r>
          <w:r>
            <w:fldChar w:fldCharType="separate"/>
          </w:r>
          <w:r>
            <w:t>10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_Toc26546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三、</w:t>
          </w:r>
          <w:r>
            <w:rPr>
              <w:rFonts w:hint="eastAsia" w:ascii="微软雅黑" w:hAnsi="微软雅黑" w:eastAsia="微软雅黑"/>
              <w:szCs w:val="24"/>
            </w:rPr>
            <w:t>估价</w:t>
          </w:r>
          <w:r>
            <w:rPr>
              <w:rFonts w:hint="eastAsia" w:ascii="微软雅黑" w:hAnsi="微软雅黑" w:eastAsia="微软雅黑" w:cs="微软雅黑"/>
              <w:bCs w:val="0"/>
              <w:szCs w:val="24"/>
            </w:rPr>
            <w:t>目的</w:t>
          </w:r>
          <w:r>
            <w:tab/>
          </w:r>
          <w:r>
            <w:fldChar w:fldCharType="begin"/>
          </w:r>
          <w:r>
            <w:instrText xml:space="preserve"> PAGEREF _Toc26546 \h </w:instrText>
          </w:r>
          <w:r>
            <w:fldChar w:fldCharType="separate"/>
          </w:r>
          <w:r>
            <w:t>10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_Toc14659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四、估价对象</w:t>
          </w:r>
          <w:r>
            <w:tab/>
          </w:r>
          <w:r>
            <w:fldChar w:fldCharType="begin"/>
          </w:r>
          <w:r>
            <w:instrText xml:space="preserve"> PAGEREF _Toc14659 \h </w:instrText>
          </w:r>
          <w:r>
            <w:fldChar w:fldCharType="separate"/>
          </w:r>
          <w:r>
            <w:t>10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_Toc21877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五、价值时点</w:t>
          </w:r>
          <w:r>
            <w:tab/>
          </w:r>
          <w:r>
            <w:fldChar w:fldCharType="begin"/>
          </w:r>
          <w:r>
            <w:instrText xml:space="preserve"> PAGEREF _Toc21877 \h </w:instrText>
          </w:r>
          <w:r>
            <w:fldChar w:fldCharType="separate"/>
          </w:r>
          <w:r>
            <w:t>16</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_Toc27485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六、价值类型</w:t>
          </w:r>
          <w:r>
            <w:tab/>
          </w:r>
          <w:r>
            <w:fldChar w:fldCharType="begin"/>
          </w:r>
          <w:r>
            <w:instrText xml:space="preserve"> PAGEREF _Toc27485 \h </w:instrText>
          </w:r>
          <w:r>
            <w:fldChar w:fldCharType="separate"/>
          </w:r>
          <w:r>
            <w:t>16</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_Toc21144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七、估价原则</w:t>
          </w:r>
          <w:r>
            <w:tab/>
          </w:r>
          <w:r>
            <w:fldChar w:fldCharType="begin"/>
          </w:r>
          <w:r>
            <w:instrText xml:space="preserve"> PAGEREF _Toc21144 \h </w:instrText>
          </w:r>
          <w:r>
            <w:fldChar w:fldCharType="separate"/>
          </w:r>
          <w:r>
            <w:t>16</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_Toc10435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八、估价依据</w:t>
          </w:r>
          <w:r>
            <w:tab/>
          </w:r>
          <w:r>
            <w:fldChar w:fldCharType="begin"/>
          </w:r>
          <w:r>
            <w:instrText xml:space="preserve"> PAGEREF _Toc10435 \h </w:instrText>
          </w:r>
          <w:r>
            <w:fldChar w:fldCharType="separate"/>
          </w:r>
          <w:r>
            <w:t>17</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_Toc11938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九、估价方法</w:t>
          </w:r>
          <w:r>
            <w:tab/>
          </w:r>
          <w:r>
            <w:fldChar w:fldCharType="begin"/>
          </w:r>
          <w:r>
            <w:instrText xml:space="preserve"> PAGEREF _Toc11938 \h </w:instrText>
          </w:r>
          <w:r>
            <w:fldChar w:fldCharType="separate"/>
          </w:r>
          <w:r>
            <w:t>18</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_Toc16399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十、估价结果</w:t>
          </w:r>
          <w:r>
            <w:tab/>
          </w:r>
          <w:r>
            <w:fldChar w:fldCharType="begin"/>
          </w:r>
          <w:r>
            <w:instrText xml:space="preserve"> PAGEREF _Toc16399 \h </w:instrText>
          </w:r>
          <w:r>
            <w:fldChar w:fldCharType="separate"/>
          </w:r>
          <w:r>
            <w:t>19</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_Toc11796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十一、注册房地产估价师</w:t>
          </w:r>
          <w:r>
            <w:tab/>
          </w:r>
          <w:r>
            <w:fldChar w:fldCharType="begin"/>
          </w:r>
          <w:r>
            <w:instrText xml:space="preserve"> PAGEREF _Toc11796 \h </w:instrText>
          </w:r>
          <w:r>
            <w:fldChar w:fldCharType="separate"/>
          </w:r>
          <w:r>
            <w:t>20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_Toc6866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十二、实地查勘期</w:t>
          </w:r>
          <w:r>
            <w:tab/>
          </w:r>
          <w:r>
            <w:fldChar w:fldCharType="begin"/>
          </w:r>
          <w:r>
            <w:instrText xml:space="preserve"> PAGEREF _Toc6866 \h </w:instrText>
          </w:r>
          <w:r>
            <w:fldChar w:fldCharType="separate"/>
          </w:r>
          <w:r>
            <w:t>20</w:t>
          </w:r>
          <w:r>
            <w:fldChar w:fldCharType="end"/>
          </w:r>
          <w:r>
            <w:rPr>
              <w:rFonts w:ascii="微软雅黑" w:hAnsi="微软雅黑" w:eastAsia="微软雅黑"/>
              <w:bCs/>
              <w:caps/>
              <w:szCs w:val="20"/>
            </w:rPr>
            <w:fldChar w:fldCharType="end"/>
          </w:r>
        </w:p>
        <w:p>
          <w:pPr>
            <w:pStyle w:val="15"/>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_Toc5921 </w:instrText>
          </w:r>
          <w:r>
            <w:rPr>
              <w:rFonts w:ascii="微软雅黑" w:hAnsi="微软雅黑" w:eastAsia="微软雅黑"/>
              <w:bCs/>
              <w:caps/>
              <w:szCs w:val="20"/>
            </w:rPr>
            <w:fldChar w:fldCharType="separate"/>
          </w:r>
          <w:r>
            <w:rPr>
              <w:rFonts w:hint="eastAsia" w:ascii="微软雅黑" w:hAnsi="微软雅黑" w:eastAsia="微软雅黑" w:cs="微软雅黑"/>
              <w:bCs w:val="0"/>
              <w:szCs w:val="24"/>
            </w:rPr>
            <w:t>十三、估价作业期</w:t>
          </w:r>
          <w:r>
            <w:tab/>
          </w:r>
          <w:r>
            <w:fldChar w:fldCharType="begin"/>
          </w:r>
          <w:r>
            <w:instrText xml:space="preserve"> PAGEREF _Toc5921 \h </w:instrText>
          </w:r>
          <w:r>
            <w:fldChar w:fldCharType="separate"/>
          </w:r>
          <w:r>
            <w:t>20</w:t>
          </w:r>
          <w:r>
            <w:fldChar w:fldCharType="end"/>
          </w:r>
          <w:r>
            <w:rPr>
              <w:rFonts w:ascii="微软雅黑" w:hAnsi="微软雅黑" w:eastAsia="微软雅黑"/>
              <w:bCs/>
              <w:caps/>
              <w:szCs w:val="20"/>
            </w:rPr>
            <w:fldChar w:fldCharType="end"/>
          </w:r>
        </w:p>
        <w:p>
          <w:pPr>
            <w:pStyle w:val="13"/>
            <w:tabs>
              <w:tab w:val="right" w:leader="dot" w:pos="8787"/>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_Toc26058 </w:instrText>
          </w:r>
          <w:r>
            <w:rPr>
              <w:rFonts w:ascii="微软雅黑" w:hAnsi="微软雅黑" w:eastAsia="微软雅黑"/>
              <w:bCs/>
              <w:caps/>
              <w:szCs w:val="20"/>
            </w:rPr>
            <w:fldChar w:fldCharType="separate"/>
          </w:r>
          <w:r>
            <w:rPr>
              <w:rFonts w:hint="eastAsia" w:ascii="微软雅黑" w:hAnsi="微软雅黑" w:eastAsia="微软雅黑"/>
              <w:spacing w:val="20"/>
              <w:szCs w:val="32"/>
            </w:rPr>
            <w:t>附件</w:t>
          </w:r>
          <w:r>
            <w:tab/>
          </w:r>
          <w:r>
            <w:fldChar w:fldCharType="begin"/>
          </w:r>
          <w:r>
            <w:instrText xml:space="preserve"> PAGEREF _Toc26058 \h </w:instrText>
          </w:r>
          <w:r>
            <w:fldChar w:fldCharType="separate"/>
          </w:r>
          <w:r>
            <w:t>21</w:t>
          </w:r>
          <w:r>
            <w:fldChar w:fldCharType="end"/>
          </w:r>
          <w:r>
            <w:rPr>
              <w:rFonts w:ascii="微软雅黑" w:hAnsi="微软雅黑" w:eastAsia="微软雅黑"/>
              <w:bCs/>
              <w:caps/>
              <w:szCs w:val="20"/>
            </w:rPr>
            <w:fldChar w:fldCharType="end"/>
          </w:r>
        </w:p>
        <w:p>
          <w:pPr>
            <w:pStyle w:val="8"/>
            <w:tabs>
              <w:tab w:val="right" w:leader="dot" w:pos="8787"/>
              <w:tab w:val="clear" w:pos="1155"/>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_Toc19842 </w:instrText>
          </w:r>
          <w:r>
            <w:rPr>
              <w:rFonts w:ascii="微软雅黑" w:hAnsi="微软雅黑" w:eastAsia="微软雅黑"/>
              <w:bCs/>
              <w:caps/>
              <w:szCs w:val="20"/>
            </w:rPr>
            <w:fldChar w:fldCharType="separate"/>
          </w:r>
          <w:r>
            <w:rPr>
              <w:rFonts w:hint="eastAsia" w:ascii="微软雅黑" w:hAnsi="微软雅黑" w:eastAsia="微软雅黑"/>
              <w:szCs w:val="21"/>
            </w:rPr>
            <w:t xml:space="preserve">一、 </w:t>
          </w:r>
          <w:r>
            <w:rPr>
              <w:rFonts w:hint="eastAsia" w:eastAsia="微软雅黑"/>
            </w:rPr>
            <w:t>估价委托书复印件</w:t>
          </w:r>
          <w:r>
            <w:rPr>
              <w:rFonts w:ascii="微软雅黑" w:hAnsi="微软雅黑" w:eastAsia="微软雅黑"/>
              <w:bCs/>
              <w:caps/>
              <w:szCs w:val="20"/>
            </w:rPr>
            <w:fldChar w:fldCharType="end"/>
          </w:r>
        </w:p>
        <w:p>
          <w:pPr>
            <w:pStyle w:val="8"/>
            <w:tabs>
              <w:tab w:val="right" w:leader="dot" w:pos="8787"/>
              <w:tab w:val="clear" w:pos="1155"/>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_Toc32758 </w:instrText>
          </w:r>
          <w:r>
            <w:rPr>
              <w:rFonts w:ascii="微软雅黑" w:hAnsi="微软雅黑" w:eastAsia="微软雅黑"/>
              <w:bCs/>
              <w:caps/>
              <w:szCs w:val="20"/>
            </w:rPr>
            <w:fldChar w:fldCharType="separate"/>
          </w:r>
          <w:r>
            <w:rPr>
              <w:rFonts w:hint="eastAsia" w:ascii="微软雅黑" w:hAnsi="微软雅黑" w:eastAsia="微软雅黑"/>
              <w:szCs w:val="21"/>
            </w:rPr>
            <w:t xml:space="preserve">二、 </w:t>
          </w:r>
          <w:r>
            <w:rPr>
              <w:rFonts w:hint="eastAsia" w:eastAsia="微软雅黑"/>
            </w:rPr>
            <w:t>估价对象权属证明复印件</w:t>
          </w:r>
          <w:r>
            <w:rPr>
              <w:rFonts w:ascii="微软雅黑" w:hAnsi="微软雅黑" w:eastAsia="微软雅黑"/>
              <w:bCs/>
              <w:caps/>
              <w:szCs w:val="20"/>
            </w:rPr>
            <w:fldChar w:fldCharType="end"/>
          </w:r>
        </w:p>
        <w:p>
          <w:pPr>
            <w:pStyle w:val="8"/>
            <w:tabs>
              <w:tab w:val="right" w:leader="dot" w:pos="8787"/>
              <w:tab w:val="clear" w:pos="1155"/>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_Toc15798 </w:instrText>
          </w:r>
          <w:r>
            <w:rPr>
              <w:rFonts w:ascii="微软雅黑" w:hAnsi="微软雅黑" w:eastAsia="微软雅黑"/>
              <w:bCs/>
              <w:caps/>
              <w:szCs w:val="20"/>
            </w:rPr>
            <w:fldChar w:fldCharType="separate"/>
          </w:r>
          <w:r>
            <w:rPr>
              <w:rFonts w:hint="eastAsia" w:ascii="微软雅黑" w:hAnsi="微软雅黑" w:eastAsia="微软雅黑"/>
              <w:szCs w:val="21"/>
            </w:rPr>
            <w:t xml:space="preserve">三、 </w:t>
          </w:r>
          <w:r>
            <w:rPr>
              <w:rFonts w:hint="eastAsia" w:eastAsia="微软雅黑"/>
            </w:rPr>
            <w:t>房地产估价机构营业执照复印件</w:t>
          </w:r>
          <w:r>
            <w:rPr>
              <w:rFonts w:ascii="微软雅黑" w:hAnsi="微软雅黑" w:eastAsia="微软雅黑"/>
              <w:bCs/>
              <w:caps/>
              <w:szCs w:val="20"/>
            </w:rPr>
            <w:fldChar w:fldCharType="end"/>
          </w:r>
        </w:p>
        <w:p>
          <w:pPr>
            <w:pStyle w:val="8"/>
            <w:tabs>
              <w:tab w:val="right" w:leader="dot" w:pos="8787"/>
              <w:tab w:val="clear" w:pos="1155"/>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_Toc3919 </w:instrText>
          </w:r>
          <w:r>
            <w:rPr>
              <w:rFonts w:ascii="微软雅黑" w:hAnsi="微软雅黑" w:eastAsia="微软雅黑"/>
              <w:bCs/>
              <w:caps/>
              <w:szCs w:val="20"/>
            </w:rPr>
            <w:fldChar w:fldCharType="separate"/>
          </w:r>
          <w:r>
            <w:rPr>
              <w:rFonts w:hint="eastAsia" w:ascii="微软雅黑" w:hAnsi="微软雅黑" w:eastAsia="微软雅黑"/>
              <w:szCs w:val="21"/>
            </w:rPr>
            <w:t xml:space="preserve">四、 </w:t>
          </w:r>
          <w:r>
            <w:rPr>
              <w:rFonts w:hint="eastAsia" w:eastAsia="微软雅黑"/>
            </w:rPr>
            <w:t>房地产估价机构资质证书复印件</w:t>
          </w:r>
          <w:r>
            <w:rPr>
              <w:rFonts w:ascii="微软雅黑" w:hAnsi="微软雅黑" w:eastAsia="微软雅黑"/>
              <w:bCs/>
              <w:caps/>
              <w:szCs w:val="20"/>
            </w:rPr>
            <w:fldChar w:fldCharType="end"/>
          </w:r>
        </w:p>
        <w:p>
          <w:pPr>
            <w:pStyle w:val="8"/>
            <w:tabs>
              <w:tab w:val="right" w:leader="dot" w:pos="8787"/>
              <w:tab w:val="clear" w:pos="1155"/>
            </w:tabs>
          </w:pPr>
          <w:r>
            <w:rPr>
              <w:rFonts w:ascii="微软雅黑" w:hAnsi="微软雅黑" w:eastAsia="微软雅黑"/>
              <w:bCs/>
              <w:caps/>
              <w:szCs w:val="20"/>
            </w:rPr>
            <w:fldChar w:fldCharType="begin"/>
          </w:r>
          <w:r>
            <w:rPr>
              <w:rFonts w:ascii="微软雅黑" w:hAnsi="微软雅黑" w:eastAsia="微软雅黑"/>
              <w:bCs/>
              <w:caps/>
              <w:szCs w:val="20"/>
            </w:rPr>
            <w:instrText xml:space="preserve"> HYPERLINK \l _Toc7016 </w:instrText>
          </w:r>
          <w:r>
            <w:rPr>
              <w:rFonts w:ascii="微软雅黑" w:hAnsi="微软雅黑" w:eastAsia="微软雅黑"/>
              <w:bCs/>
              <w:caps/>
              <w:szCs w:val="20"/>
            </w:rPr>
            <w:fldChar w:fldCharType="separate"/>
          </w:r>
          <w:r>
            <w:rPr>
              <w:rFonts w:hint="eastAsia" w:ascii="微软雅黑" w:hAnsi="微软雅黑" w:eastAsia="微软雅黑"/>
              <w:szCs w:val="21"/>
            </w:rPr>
            <w:t xml:space="preserve">五、 </w:t>
          </w:r>
          <w:r>
            <w:rPr>
              <w:rFonts w:hint="eastAsia" w:eastAsia="微软雅黑"/>
            </w:rPr>
            <w:t>注册房地产估价师注册证书复印件</w:t>
          </w:r>
          <w:r>
            <w:rPr>
              <w:rFonts w:ascii="微软雅黑" w:hAnsi="微软雅黑" w:eastAsia="微软雅黑"/>
              <w:bCs/>
              <w:caps/>
              <w:szCs w:val="20"/>
            </w:rPr>
            <w:fldChar w:fldCharType="end"/>
          </w:r>
        </w:p>
        <w:p>
          <w:pPr>
            <w:rPr>
              <w:rFonts w:ascii="微软雅黑" w:hAnsi="微软雅黑" w:eastAsia="微软雅黑"/>
            </w:rPr>
          </w:pPr>
          <w:r>
            <w:rPr>
              <w:rFonts w:ascii="微软雅黑" w:hAnsi="微软雅黑" w:eastAsia="微软雅黑"/>
              <w:bCs/>
              <w:caps/>
              <w:szCs w:val="20"/>
            </w:rPr>
            <w:fldChar w:fldCharType="end"/>
          </w:r>
        </w:p>
      </w:sdtContent>
    </w:sdt>
    <w:p>
      <w:pPr>
        <w:topLinePunct/>
        <w:adjustRightInd w:val="0"/>
        <w:snapToGrid w:val="0"/>
        <w:rPr>
          <w:rFonts w:ascii="微软雅黑" w:hAnsi="微软雅黑" w:eastAsia="微软雅黑" w:cs="微软雅黑"/>
          <w:b/>
          <w:color w:val="FF0000"/>
          <w:szCs w:val="21"/>
        </w:rPr>
        <w:sectPr>
          <w:headerReference r:id="rId4" w:type="first"/>
          <w:headerReference r:id="rId3" w:type="default"/>
          <w:footerReference r:id="rId5" w:type="default"/>
          <w:pgSz w:w="11906" w:h="16838"/>
          <w:pgMar w:top="1701" w:right="1418" w:bottom="1417" w:left="1701" w:header="851" w:footer="794" w:gutter="0"/>
          <w:pgBorders>
            <w:top w:val="none" w:sz="0" w:space="0"/>
            <w:left w:val="none" w:sz="0" w:space="0"/>
            <w:bottom w:val="none" w:sz="0" w:space="0"/>
            <w:right w:val="none" w:sz="0" w:space="0"/>
          </w:pgBorders>
          <w:pgNumType w:start="1"/>
          <w:cols w:space="425" w:num="1"/>
          <w:titlePg/>
          <w:docGrid w:linePitch="312" w:charSpace="0"/>
        </w:sectPr>
      </w:pPr>
    </w:p>
    <w:p>
      <w:pPr>
        <w:topLinePunct/>
        <w:adjustRightInd w:val="0"/>
        <w:snapToGrid w:val="0"/>
        <w:jc w:val="center"/>
        <w:outlineLvl w:val="0"/>
        <w:rPr>
          <w:rFonts w:ascii="微软雅黑" w:hAnsi="微软雅黑" w:eastAsia="微软雅黑"/>
          <w:b/>
          <w:color w:val="C3AD72"/>
          <w:spacing w:val="20"/>
          <w:sz w:val="32"/>
          <w:szCs w:val="32"/>
        </w:rPr>
      </w:pPr>
      <w:bookmarkStart w:id="3" w:name="_Toc19902"/>
      <w:bookmarkStart w:id="4" w:name="_Toc503261497"/>
      <w:bookmarkStart w:id="5" w:name="_Toc492480511"/>
      <w:bookmarkStart w:id="6" w:name="_Toc490222995"/>
      <w:bookmarkStart w:id="7" w:name="_Toc382493607"/>
      <w:bookmarkStart w:id="8" w:name="_Toc492480510"/>
      <w:r>
        <w:rPr>
          <w:rFonts w:hint="eastAsia" w:ascii="微软雅黑" w:hAnsi="微软雅黑" w:eastAsia="微软雅黑"/>
          <w:b/>
          <w:color w:val="C3AD72"/>
          <w:spacing w:val="20"/>
          <w:sz w:val="32"/>
          <w:szCs w:val="32"/>
        </w:rPr>
        <w:t>估价师声明</w:t>
      </w:r>
      <w:bookmarkEnd w:id="3"/>
      <w:bookmarkEnd w:id="4"/>
      <w:bookmarkEnd w:id="5"/>
    </w:p>
    <w:p>
      <w:pPr>
        <w:widowControl/>
        <w:topLinePunct/>
        <w:adjustRightInd w:val="0"/>
        <w:snapToGrid w:val="0"/>
        <w:spacing w:after="624" w:afterLines="200"/>
        <w:jc w:val="center"/>
        <w:rPr>
          <w:rFonts w:ascii="微软雅黑" w:hAnsi="微软雅黑" w:eastAsia="微软雅黑" w:cs="宋体"/>
          <w:b/>
          <w:color w:val="C3AD72"/>
          <w:kern w:val="0"/>
          <w:sz w:val="16"/>
          <w:szCs w:val="16"/>
        </w:rPr>
      </w:pPr>
      <w:r>
        <w:rPr>
          <w:rFonts w:ascii="微软雅黑" w:hAnsi="微软雅黑" w:eastAsia="微软雅黑" w:cs="宋体"/>
          <w:b/>
          <w:color w:val="C3AD72"/>
          <w:kern w:val="0"/>
          <w:sz w:val="16"/>
          <w:szCs w:val="16"/>
        </w:rPr>
        <w:t>Declaration of Appraisers</w:t>
      </w:r>
      <w:bookmarkStart w:id="9" w:name="_Toc362509711"/>
    </w:p>
    <w:p>
      <w:pPr>
        <w:topLinePunct/>
        <w:adjustRightInd w:val="0"/>
        <w:snapToGrid w:val="0"/>
        <w:spacing w:after="312" w:afterLines="100" w:line="276" w:lineRule="auto"/>
        <w:rPr>
          <w:rFonts w:ascii="微软雅黑" w:hAnsi="微软雅黑" w:eastAsia="微软雅黑" w:cs="微软雅黑"/>
          <w:b/>
          <w:szCs w:val="21"/>
        </w:rPr>
      </w:pPr>
      <w:r>
        <w:rPr>
          <w:rFonts w:hint="eastAsia" w:ascii="微软雅黑" w:hAnsi="微软雅黑" w:eastAsia="微软雅黑" w:cs="微软雅黑"/>
          <w:b/>
          <w:sz w:val="24"/>
          <w:szCs w:val="24"/>
        </w:rPr>
        <w:t>我们郑重声明：</w:t>
      </w:r>
      <w:bookmarkEnd w:id="9"/>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我们在本估价报告中陈述的事实是真实的和准确的，没有虚假记载、误导性陈述和重大遗漏。</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本估价报告中的分析、意见和结论是我们自己独立、客观、公正的专业分析、意见和结论，但受到本估价报告中已说明的假设和限制条件的限制。</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我们与本估价报告中的估价对象没有现实或潜在的利益，也与估价委托人及估价利害关系人没有利害关系。</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我们对估价报告中的估价对象、估价委托人及估价利害关系人没有偏见。</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我们依照中华人民共和国国家标准《房地产估价规范》【GB/T 50291-2015】、《房地产估价基本术语标准》【GB/T 50899-2013】进行分析，形成意见和结论，撰写本估价报告。</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注册房地产估价师陈爱芳已于</w:t>
      </w:r>
      <w:r>
        <w:rPr>
          <w:rFonts w:hint="eastAsia" w:ascii="微软雅黑" w:hAnsi="微软雅黑" w:eastAsia="微软雅黑" w:cs="微软雅黑"/>
          <w:szCs w:val="21"/>
          <w:lang w:eastAsia="zh-CN"/>
        </w:rPr>
        <w:t>2022年9月2日</w:t>
      </w:r>
      <w:r>
        <w:rPr>
          <w:rFonts w:hint="eastAsia" w:ascii="微软雅黑" w:hAnsi="微软雅黑" w:eastAsia="微软雅黑" w:cs="微软雅黑"/>
          <w:szCs w:val="21"/>
        </w:rPr>
        <w:t>对估价报告中的估价对象进行了实地查勘，然而未使用专业检测仪器对其结构及设备进行检测。其建筑物及相关设备的质量情况最终应以有相关资质机构的鉴定结果为准。</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没有外部专家和单位对本估价报告提供重要专业帮助。</w:t>
      </w:r>
    </w:p>
    <w:p>
      <w:pPr>
        <w:pStyle w:val="25"/>
        <w:numPr>
          <w:ilvl w:val="0"/>
          <w:numId w:val="1"/>
        </w:numPr>
        <w:tabs>
          <w:tab w:val="left" w:pos="851"/>
          <w:tab w:val="clear" w:pos="0"/>
        </w:tabs>
        <w:topLinePunct/>
        <w:adjustRightInd w:val="0"/>
        <w:snapToGrid w:val="0"/>
        <w:spacing w:line="360" w:lineRule="auto"/>
        <w:ind w:firstLineChars="0"/>
        <w:rPr>
          <w:rFonts w:ascii="微软雅黑" w:hAnsi="微软雅黑" w:eastAsia="微软雅黑" w:cs="微软雅黑"/>
          <w:szCs w:val="21"/>
        </w:rPr>
      </w:pPr>
      <w:r>
        <w:rPr>
          <w:rFonts w:hint="eastAsia" w:ascii="微软雅黑" w:hAnsi="微软雅黑" w:eastAsia="微软雅黑" w:cs="微软雅黑"/>
          <w:szCs w:val="21"/>
        </w:rPr>
        <w:t>参加本次估价的注册房地产估价师为：</w:t>
      </w:r>
    </w:p>
    <w:tbl>
      <w:tblPr>
        <w:tblStyle w:val="17"/>
        <w:tblpPr w:leftFromText="181" w:rightFromText="181" w:bottomFromText="142" w:vertAnchor="text" w:tblpXSpec="center" w:tblpY="1"/>
        <w:tblOverlap w:val="never"/>
        <w:tblW w:w="900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85"/>
        <w:gridCol w:w="3293"/>
        <w:gridCol w:w="26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3085" w:type="dxa"/>
            <w:shd w:val="clear" w:color="auto" w:fill="C0AD72"/>
            <w:vAlign w:val="center"/>
          </w:tcPr>
          <w:p>
            <w:pPr>
              <w:topLinePunct/>
              <w:adjustRightInd w:val="0"/>
              <w:snapToGrid w:val="0"/>
              <w:jc w:val="center"/>
              <w:rPr>
                <w:rFonts w:ascii="微软雅黑" w:hAnsi="微软雅黑" w:eastAsia="微软雅黑" w:cs="宋体"/>
                <w:b/>
                <w:bCs/>
                <w:kern w:val="0"/>
                <w:sz w:val="16"/>
                <w:szCs w:val="16"/>
              </w:rPr>
            </w:pPr>
            <w:r>
              <w:rPr>
                <w:rFonts w:hint="eastAsia" w:ascii="微软雅黑" w:hAnsi="微软雅黑" w:eastAsia="微软雅黑" w:cs="宋体"/>
                <w:b/>
                <w:bCs/>
                <w:kern w:val="0"/>
                <w:sz w:val="16"/>
                <w:szCs w:val="16"/>
              </w:rPr>
              <w:t>姓名</w:t>
            </w:r>
          </w:p>
        </w:tc>
        <w:tc>
          <w:tcPr>
            <w:tcW w:w="3293" w:type="dxa"/>
            <w:shd w:val="clear" w:color="auto" w:fill="C0AD72"/>
            <w:vAlign w:val="center"/>
          </w:tcPr>
          <w:p>
            <w:pPr>
              <w:topLinePunct/>
              <w:adjustRightInd w:val="0"/>
              <w:snapToGrid w:val="0"/>
              <w:jc w:val="center"/>
              <w:rPr>
                <w:rFonts w:ascii="微软雅黑" w:hAnsi="微软雅黑" w:eastAsia="微软雅黑" w:cs="宋体"/>
                <w:b/>
                <w:sz w:val="18"/>
                <w:szCs w:val="18"/>
              </w:rPr>
            </w:pPr>
            <w:r>
              <w:rPr>
                <w:rFonts w:hint="eastAsia" w:ascii="微软雅黑" w:hAnsi="微软雅黑" w:eastAsia="微软雅黑" w:cs="宋体"/>
                <w:b/>
                <w:bCs/>
                <w:kern w:val="0"/>
                <w:sz w:val="16"/>
                <w:szCs w:val="16"/>
              </w:rPr>
              <w:t>签名</w:t>
            </w:r>
          </w:p>
        </w:tc>
        <w:tc>
          <w:tcPr>
            <w:tcW w:w="2625" w:type="dxa"/>
            <w:shd w:val="clear" w:color="auto" w:fill="C0AD72"/>
            <w:vAlign w:val="center"/>
          </w:tcPr>
          <w:p>
            <w:pPr>
              <w:topLinePunct/>
              <w:adjustRightInd w:val="0"/>
              <w:snapToGrid w:val="0"/>
              <w:jc w:val="center"/>
              <w:rPr>
                <w:rFonts w:ascii="微软雅黑" w:hAnsi="微软雅黑" w:eastAsia="微软雅黑" w:cs="宋体"/>
                <w:b/>
                <w:sz w:val="18"/>
                <w:szCs w:val="18"/>
              </w:rPr>
            </w:pPr>
            <w:r>
              <w:rPr>
                <w:rFonts w:hint="eastAsia" w:ascii="微软雅黑" w:hAnsi="微软雅黑" w:eastAsia="微软雅黑" w:cs="宋体"/>
                <w:b/>
                <w:bCs/>
                <w:kern w:val="0"/>
                <w:sz w:val="16"/>
                <w:szCs w:val="16"/>
              </w:rPr>
              <w:t>签名日期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9" w:hRule="atLeast"/>
        </w:trPr>
        <w:tc>
          <w:tcPr>
            <w:tcW w:w="3085" w:type="dxa"/>
            <w:shd w:val="clear" w:color="auto" w:fill="auto"/>
            <w:vAlign w:val="center"/>
          </w:tcPr>
          <w:p>
            <w:pPr>
              <w:topLinePunct/>
              <w:adjustRightInd w:val="0"/>
              <w:snapToGrid w:val="0"/>
              <w:jc w:val="center"/>
              <w:rPr>
                <w:rFonts w:ascii="微软雅黑" w:hAnsi="微软雅黑" w:eastAsia="微软雅黑" w:cs="微软雅黑"/>
                <w:szCs w:val="21"/>
              </w:rPr>
            </w:pPr>
            <w:r>
              <w:rPr>
                <w:rFonts w:hint="eastAsia" w:ascii="微软雅黑" w:hAnsi="微软雅黑" w:eastAsia="微软雅黑" w:cs="微软雅黑"/>
                <w:szCs w:val="21"/>
              </w:rPr>
              <w:t xml:space="preserve">陈爱芳 </w:t>
            </w:r>
          </w:p>
          <w:p>
            <w:pPr>
              <w:topLinePunct/>
              <w:adjustRightInd w:val="0"/>
              <w:snapToGrid w:val="0"/>
              <w:jc w:val="center"/>
              <w:rPr>
                <w:rFonts w:ascii="微软雅黑" w:hAnsi="微软雅黑" w:eastAsia="微软雅黑" w:cs="宋体"/>
                <w:bCs/>
                <w:kern w:val="0"/>
                <w:sz w:val="18"/>
                <w:szCs w:val="18"/>
              </w:rPr>
            </w:pPr>
            <w:r>
              <w:rPr>
                <w:rFonts w:hint="eastAsia" w:ascii="微软雅黑" w:hAnsi="微软雅黑" w:eastAsia="微软雅黑" w:cs="微软雅黑"/>
                <w:szCs w:val="21"/>
              </w:rPr>
              <w:t>（注册号3320150125)</w:t>
            </w:r>
          </w:p>
        </w:tc>
        <w:tc>
          <w:tcPr>
            <w:tcW w:w="3293"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c>
          <w:tcPr>
            <w:tcW w:w="2625"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01" w:hRule="atLeast"/>
        </w:trPr>
        <w:tc>
          <w:tcPr>
            <w:tcW w:w="3085" w:type="dxa"/>
            <w:shd w:val="clear" w:color="auto" w:fill="auto"/>
            <w:vAlign w:val="center"/>
          </w:tcPr>
          <w:p>
            <w:pPr>
              <w:topLinePunct/>
              <w:adjustRightInd w:val="0"/>
              <w:snapToGrid w:val="0"/>
              <w:jc w:val="center"/>
              <w:rPr>
                <w:rFonts w:ascii="微软雅黑" w:hAnsi="微软雅黑" w:eastAsia="微软雅黑" w:cs="微软雅黑"/>
                <w:szCs w:val="21"/>
              </w:rPr>
            </w:pPr>
            <w:r>
              <w:rPr>
                <w:rFonts w:hint="eastAsia" w:ascii="微软雅黑" w:hAnsi="微软雅黑" w:eastAsia="微软雅黑" w:cs="微软雅黑"/>
                <w:szCs w:val="21"/>
              </w:rPr>
              <w:t xml:space="preserve">林小欣  </w:t>
            </w:r>
          </w:p>
          <w:p>
            <w:pPr>
              <w:topLinePunct/>
              <w:adjustRightInd w:val="0"/>
              <w:snapToGrid w:val="0"/>
              <w:jc w:val="center"/>
              <w:rPr>
                <w:rFonts w:ascii="微软雅黑" w:hAnsi="微软雅黑" w:eastAsia="微软雅黑" w:cs="宋体"/>
                <w:bCs/>
                <w:kern w:val="0"/>
                <w:sz w:val="18"/>
                <w:szCs w:val="18"/>
              </w:rPr>
            </w:pPr>
            <w:r>
              <w:rPr>
                <w:rFonts w:hint="eastAsia" w:ascii="微软雅黑" w:hAnsi="微软雅黑" w:eastAsia="微软雅黑" w:cs="微软雅黑"/>
                <w:szCs w:val="21"/>
              </w:rPr>
              <w:t>（注册号3320090038)</w:t>
            </w:r>
          </w:p>
        </w:tc>
        <w:tc>
          <w:tcPr>
            <w:tcW w:w="3293"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c>
          <w:tcPr>
            <w:tcW w:w="2625"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r>
    </w:tbl>
    <w:p>
      <w:pPr>
        <w:topLinePunct/>
        <w:adjustRightInd w:val="0"/>
        <w:snapToGrid w:val="0"/>
        <w:jc w:val="center"/>
        <w:outlineLvl w:val="0"/>
        <w:rPr>
          <w:rFonts w:ascii="微软雅黑" w:hAnsi="微软雅黑" w:eastAsia="微软雅黑"/>
          <w:b/>
          <w:color w:val="C3AD72"/>
          <w:spacing w:val="20"/>
          <w:sz w:val="32"/>
          <w:szCs w:val="32"/>
        </w:rPr>
      </w:pPr>
      <w:bookmarkStart w:id="10" w:name="_Toc31209"/>
      <w:bookmarkStart w:id="11" w:name="_Toc503261498"/>
      <w:r>
        <w:rPr>
          <w:rFonts w:hint="eastAsia" w:ascii="微软雅黑" w:hAnsi="微软雅黑" w:eastAsia="微软雅黑"/>
          <w:b/>
          <w:color w:val="C3AD72"/>
          <w:spacing w:val="20"/>
          <w:sz w:val="32"/>
          <w:szCs w:val="32"/>
        </w:rPr>
        <w:t>估价假设和限制条件</w:t>
      </w:r>
      <w:bookmarkEnd w:id="6"/>
      <w:bookmarkEnd w:id="7"/>
      <w:bookmarkEnd w:id="8"/>
      <w:bookmarkEnd w:id="10"/>
      <w:bookmarkEnd w:id="11"/>
    </w:p>
    <w:p>
      <w:pPr>
        <w:widowControl/>
        <w:topLinePunct/>
        <w:adjustRightInd w:val="0"/>
        <w:snapToGrid w:val="0"/>
        <w:spacing w:after="624" w:afterLines="200"/>
        <w:jc w:val="center"/>
        <w:rPr>
          <w:rFonts w:ascii="微软雅黑" w:hAnsi="微软雅黑" w:eastAsia="微软雅黑" w:cs="宋体"/>
          <w:b/>
          <w:color w:val="C3AD72"/>
          <w:kern w:val="0"/>
          <w:sz w:val="16"/>
          <w:szCs w:val="16"/>
        </w:rPr>
      </w:pPr>
      <w:r>
        <w:rPr>
          <w:rFonts w:ascii="微软雅黑" w:hAnsi="微软雅黑" w:eastAsia="微软雅黑" w:cs="宋体"/>
          <w:b/>
          <w:color w:val="C3AD72"/>
          <w:kern w:val="0"/>
          <w:sz w:val="16"/>
          <w:szCs w:val="16"/>
        </w:rPr>
        <w:t>Appraisal Assumptions and Restrictions</w:t>
      </w:r>
    </w:p>
    <w:p>
      <w:pPr>
        <w:pStyle w:val="3"/>
        <w:topLinePunct/>
        <w:adjustRightInd w:val="0"/>
        <w:snapToGrid w:val="0"/>
        <w:spacing w:before="0" w:after="0" w:line="300" w:lineRule="auto"/>
        <w:rPr>
          <w:rFonts w:ascii="微软雅黑" w:hAnsi="微软雅黑" w:eastAsia="微软雅黑"/>
          <w:sz w:val="24"/>
          <w:szCs w:val="24"/>
        </w:rPr>
      </w:pPr>
      <w:bookmarkStart w:id="12" w:name="_Toc490812573"/>
      <w:bookmarkStart w:id="13" w:name="_Toc503261499"/>
      <w:bookmarkStart w:id="14" w:name="_Toc2657"/>
      <w:bookmarkStart w:id="15" w:name="_Toc499561843"/>
      <w:r>
        <w:rPr>
          <w:rFonts w:hint="eastAsia" w:ascii="微软雅黑" w:hAnsi="微软雅黑" w:eastAsia="微软雅黑"/>
          <w:sz w:val="24"/>
          <w:szCs w:val="24"/>
        </w:rPr>
        <w:t>一、一般假设</w:t>
      </w:r>
      <w:bookmarkEnd w:id="12"/>
      <w:bookmarkEnd w:id="13"/>
      <w:bookmarkEnd w:id="14"/>
      <w:bookmarkEnd w:id="15"/>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在价值时点的房地产市场为公开、平等、自愿的交易市场。</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估价对象产权明晰，手续齐全，可在公开市场上自由转让。</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任何有关估价对象的运作方式、程序均符合国家、地方的有关法律、法规。</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本次估价结果未考虑国家宏观经济政策发生重大变化以及遇有自然力和其他不可抗力对估价结论的影响。</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本报告是以估价对象在价值时点时的状况为依据进行的，且以该状况在估价报告使用期限内无重大变化为前提。</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本次估价未考虑除已披露事项外可能与估价对象产权人有关的债权及债务情况对估价结果的影响。</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本报告估价结果没有考虑快速变现、税费转嫁等特殊的交易方式，以及可能发生的办理抵押登记、权利转移相关费用对估价对象房地产价值的影响，如上述条件发生变化，估价结果需做相应调整。</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本次估价对象的土地权属情况</w:t>
      </w:r>
      <w:r>
        <w:rPr>
          <w:rFonts w:hint="eastAsia" w:ascii="微软雅黑" w:hAnsi="微软雅黑" w:eastAsia="微软雅黑" w:cs="微软雅黑"/>
          <w:color w:val="000000"/>
          <w:szCs w:val="21"/>
          <w:lang w:eastAsia="zh-CN"/>
        </w:rPr>
        <w:t>以</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淳安县不动产权属信息查询记录</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编号：CQ20220902-0000790</w:t>
      </w:r>
      <w:r>
        <w:rPr>
          <w:rFonts w:hint="eastAsia" w:ascii="微软雅黑" w:hAnsi="微软雅黑" w:eastAsia="微软雅黑" w:cs="微软雅黑"/>
          <w:color w:val="000000"/>
          <w:szCs w:val="21"/>
        </w:rPr>
        <w:t>）为依据。如上述情况发生变化，估价结果需做相应调整。</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本次估价对象的房屋权属情况以《</w:t>
      </w:r>
      <w:r>
        <w:rPr>
          <w:rFonts w:hint="eastAsia" w:ascii="微软雅黑" w:hAnsi="微软雅黑" w:eastAsia="微软雅黑" w:cs="微软雅黑"/>
          <w:color w:val="000000"/>
          <w:szCs w:val="21"/>
          <w:lang w:eastAsia="zh-CN"/>
        </w:rPr>
        <w:t>淳安县不动产权属信息查询记录</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编号：CQ20220902-0000790</w:t>
      </w:r>
      <w:r>
        <w:rPr>
          <w:rFonts w:hint="eastAsia" w:ascii="微软雅黑" w:hAnsi="微软雅黑" w:eastAsia="微软雅黑" w:cs="微软雅黑"/>
          <w:color w:val="000000"/>
          <w:szCs w:val="21"/>
        </w:rPr>
        <w:t>）为依据。如上述情况发生变化，估价结果需做相应调整。</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本次估价以</w:t>
      </w:r>
      <w:r>
        <w:rPr>
          <w:rFonts w:hint="eastAsia" w:ascii="微软雅黑" w:hAnsi="微软雅黑" w:eastAsia="微软雅黑" w:cs="微软雅黑"/>
          <w:color w:val="000000"/>
          <w:szCs w:val="21"/>
          <w:lang w:eastAsia="zh-CN"/>
        </w:rPr>
        <w:t>估价人员查询获取的</w:t>
      </w:r>
      <w:r>
        <w:rPr>
          <w:rFonts w:hint="eastAsia" w:ascii="微软雅黑" w:hAnsi="微软雅黑" w:eastAsia="微软雅黑" w:cs="微软雅黑"/>
          <w:color w:val="000000"/>
          <w:szCs w:val="21"/>
        </w:rPr>
        <w:t>与估价对象有关的法律文件、权属证明及相关资料真实、合法、准确、完整为前提。本次评估假定</w:t>
      </w:r>
      <w:r>
        <w:rPr>
          <w:rFonts w:hint="eastAsia" w:ascii="微软雅黑" w:hAnsi="微软雅黑" w:eastAsia="微软雅黑" w:cs="微软雅黑"/>
          <w:color w:val="000000"/>
          <w:szCs w:val="21"/>
          <w:lang w:eastAsia="zh-CN"/>
        </w:rPr>
        <w:t>提供</w:t>
      </w:r>
      <w:r>
        <w:rPr>
          <w:rFonts w:hint="eastAsia" w:ascii="微软雅黑" w:hAnsi="微软雅黑" w:eastAsia="微软雅黑" w:cs="微软雅黑"/>
          <w:color w:val="000000"/>
          <w:szCs w:val="21"/>
        </w:rPr>
        <w:t>的资料合法、真实、准确、完整。</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估价人员于</w:t>
      </w:r>
      <w:r>
        <w:rPr>
          <w:rFonts w:hint="eastAsia" w:ascii="微软雅黑" w:hAnsi="微软雅黑" w:eastAsia="微软雅黑" w:cs="微软雅黑"/>
          <w:color w:val="000000"/>
          <w:szCs w:val="21"/>
          <w:lang w:eastAsia="zh-CN"/>
        </w:rPr>
        <w:t>2022年9月2日</w:t>
      </w:r>
      <w:r>
        <w:rPr>
          <w:rFonts w:hint="eastAsia" w:ascii="微软雅黑" w:hAnsi="微软雅黑" w:eastAsia="微软雅黑" w:cs="微软雅黑"/>
          <w:color w:val="000000"/>
          <w:szCs w:val="21"/>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注册房地产估价师未对房屋建筑面积进行专业测量，经现场查勘观察，估价对象房屋建筑面积与《</w:t>
      </w:r>
      <w:r>
        <w:rPr>
          <w:rFonts w:hint="eastAsia" w:ascii="微软雅黑" w:hAnsi="微软雅黑" w:eastAsia="微软雅黑" w:cs="微软雅黑"/>
          <w:color w:val="000000"/>
          <w:szCs w:val="21"/>
          <w:lang w:eastAsia="zh-CN"/>
        </w:rPr>
        <w:t>淳安县不动产权属信息查询记录</w:t>
      </w:r>
      <w:r>
        <w:rPr>
          <w:rFonts w:hint="eastAsia" w:ascii="微软雅黑" w:hAnsi="微软雅黑" w:eastAsia="微软雅黑" w:cs="微软雅黑"/>
          <w:color w:val="000000"/>
          <w:szCs w:val="21"/>
        </w:rPr>
        <w:t>》（编号：</w:t>
      </w:r>
      <w:r>
        <w:rPr>
          <w:rFonts w:hint="eastAsia" w:ascii="微软雅黑" w:hAnsi="微软雅黑" w:eastAsia="微软雅黑" w:cs="微软雅黑"/>
          <w:color w:val="000000"/>
          <w:szCs w:val="21"/>
          <w:lang w:eastAsia="zh-CN"/>
        </w:rPr>
        <w:t>CQ20220902-0000790</w:t>
      </w:r>
      <w:r>
        <w:rPr>
          <w:rFonts w:hint="eastAsia" w:ascii="微软雅黑" w:hAnsi="微软雅黑" w:eastAsia="微软雅黑" w:cs="微软雅黑"/>
          <w:color w:val="000000"/>
          <w:szCs w:val="21"/>
        </w:rPr>
        <w:t>）记载建筑面积大体相当</w:t>
      </w:r>
      <w:r>
        <w:rPr>
          <w:rFonts w:hint="eastAsia" w:ascii="微软雅黑" w:hAnsi="微软雅黑" w:eastAsia="微软雅黑" w:cs="微软雅黑"/>
          <w:color w:val="000000"/>
          <w:szCs w:val="21"/>
          <w:lang w:eastAsia="zh-CN"/>
        </w:rPr>
        <w:t>。</w:t>
      </w:r>
    </w:p>
    <w:p>
      <w:pPr>
        <w:pStyle w:val="24"/>
        <w:numPr>
          <w:ilvl w:val="0"/>
          <w:numId w:val="2"/>
        </w:numPr>
        <w:tabs>
          <w:tab w:val="left" w:pos="1134"/>
        </w:tabs>
        <w:topLinePunct/>
        <w:adjustRightInd w:val="0"/>
        <w:snapToGrid w:val="0"/>
        <w:spacing w:line="300" w:lineRule="auto"/>
        <w:ind w:left="0" w:firstLine="420"/>
        <w:rPr>
          <w:rFonts w:ascii="微软雅黑" w:hAnsi="微软雅黑" w:eastAsia="微软雅黑" w:cs="微软雅黑"/>
          <w:color w:val="000000"/>
          <w:szCs w:val="21"/>
        </w:rPr>
      </w:pPr>
      <w:r>
        <w:rPr>
          <w:rFonts w:hint="eastAsia" w:ascii="微软雅黑" w:hAnsi="微软雅黑" w:eastAsia="微软雅黑" w:cs="微软雅黑"/>
          <w:color w:val="000000"/>
          <w:szCs w:val="21"/>
        </w:rPr>
        <w:t>估价对象应享有公共部位的通行权及水电等共用设施的使用。</w:t>
      </w:r>
    </w:p>
    <w:p>
      <w:pPr>
        <w:pStyle w:val="3"/>
        <w:topLinePunct/>
        <w:adjustRightInd w:val="0"/>
        <w:snapToGrid w:val="0"/>
        <w:spacing w:before="0" w:after="0" w:line="300" w:lineRule="auto"/>
        <w:rPr>
          <w:rFonts w:ascii="微软雅黑" w:hAnsi="微软雅黑" w:eastAsia="微软雅黑"/>
          <w:sz w:val="24"/>
          <w:szCs w:val="24"/>
        </w:rPr>
      </w:pPr>
      <w:bookmarkStart w:id="16" w:name="_Toc490812574"/>
      <w:bookmarkStart w:id="17" w:name="_Toc499561844"/>
      <w:bookmarkStart w:id="18" w:name="_Toc31291"/>
      <w:bookmarkStart w:id="19" w:name="_Toc503261500"/>
      <w:r>
        <w:rPr>
          <w:rFonts w:hint="eastAsia" w:ascii="微软雅黑" w:hAnsi="微软雅黑" w:eastAsia="微软雅黑"/>
          <w:sz w:val="24"/>
          <w:szCs w:val="24"/>
        </w:rPr>
        <w:t>二、未定事项假设</w:t>
      </w:r>
      <w:bookmarkEnd w:id="16"/>
      <w:bookmarkEnd w:id="17"/>
      <w:bookmarkEnd w:id="18"/>
      <w:bookmarkEnd w:id="19"/>
    </w:p>
    <w:p>
      <w:pPr>
        <w:pStyle w:val="24"/>
        <w:adjustRightInd w:val="0"/>
        <w:snapToGrid w:val="0"/>
        <w:spacing w:line="300" w:lineRule="auto"/>
        <w:rPr>
          <w:rFonts w:ascii="微软雅黑" w:hAnsi="微软雅黑" w:eastAsia="微软雅黑"/>
          <w:szCs w:val="21"/>
        </w:rPr>
      </w:pPr>
      <w:r>
        <w:rPr>
          <w:rFonts w:hint="eastAsia" w:ascii="微软雅黑" w:hAnsi="微软雅黑" w:eastAsia="微软雅黑"/>
          <w:szCs w:val="21"/>
        </w:rPr>
        <w:t>无未定事项假设。</w:t>
      </w:r>
    </w:p>
    <w:p>
      <w:pPr>
        <w:pStyle w:val="3"/>
        <w:topLinePunct/>
        <w:adjustRightInd w:val="0"/>
        <w:snapToGrid w:val="0"/>
        <w:spacing w:before="0" w:after="0" w:line="300" w:lineRule="auto"/>
        <w:rPr>
          <w:rFonts w:ascii="微软雅黑" w:hAnsi="微软雅黑" w:eastAsia="微软雅黑"/>
          <w:sz w:val="24"/>
          <w:szCs w:val="24"/>
        </w:rPr>
      </w:pPr>
      <w:bookmarkStart w:id="20" w:name="_Toc499561845"/>
      <w:bookmarkStart w:id="21" w:name="_Toc26202"/>
      <w:bookmarkStart w:id="22" w:name="_Toc490812575"/>
      <w:bookmarkStart w:id="23" w:name="_Toc503261501"/>
      <w:r>
        <w:rPr>
          <w:rFonts w:hint="eastAsia" w:ascii="微软雅黑" w:hAnsi="微软雅黑" w:eastAsia="微软雅黑"/>
          <w:sz w:val="24"/>
          <w:szCs w:val="24"/>
        </w:rPr>
        <w:t>三、背离事实假设</w:t>
      </w:r>
      <w:bookmarkEnd w:id="20"/>
      <w:bookmarkEnd w:id="21"/>
      <w:bookmarkEnd w:id="22"/>
      <w:bookmarkEnd w:id="23"/>
    </w:p>
    <w:p>
      <w:pPr>
        <w:pStyle w:val="24"/>
        <w:numPr>
          <w:ilvl w:val="0"/>
          <w:numId w:val="3"/>
        </w:numPr>
        <w:adjustRightInd w:val="0"/>
        <w:snapToGrid w:val="0"/>
        <w:spacing w:line="300" w:lineRule="auto"/>
        <w:ind w:firstLineChars="0"/>
        <w:rPr>
          <w:rFonts w:ascii="微软雅黑" w:hAnsi="微软雅黑" w:eastAsia="微软雅黑"/>
          <w:szCs w:val="21"/>
        </w:rPr>
      </w:pPr>
      <w:r>
        <w:rPr>
          <w:rFonts w:hint="eastAsia" w:ascii="微软雅黑" w:hAnsi="微软雅黑" w:eastAsia="微软雅黑"/>
          <w:szCs w:val="21"/>
        </w:rPr>
        <w:t>根据委托人提供的资料和介绍，估价对象已设定抵押他项权利，至价值时点，此项抵押他项权利尚未注销，根据估价目的，本次评估未考虑抵押他项权利对估价结果的影响，在此提请报告使用者注意。</w:t>
      </w:r>
    </w:p>
    <w:p>
      <w:pPr>
        <w:pStyle w:val="24"/>
        <w:numPr>
          <w:ilvl w:val="0"/>
          <w:numId w:val="3"/>
        </w:numPr>
        <w:adjustRightInd w:val="0"/>
        <w:snapToGrid w:val="0"/>
        <w:spacing w:line="300" w:lineRule="auto"/>
        <w:ind w:firstLineChars="0"/>
        <w:rPr>
          <w:rFonts w:ascii="微软雅黑" w:hAnsi="微软雅黑" w:eastAsia="微软雅黑"/>
          <w:szCs w:val="21"/>
        </w:rPr>
      </w:pPr>
      <w:r>
        <w:rPr>
          <w:rFonts w:hint="eastAsia" w:ascii="微软雅黑" w:hAnsi="微软雅黑" w:eastAsia="微软雅黑" w:cs="仿宋_GB2312"/>
        </w:rPr>
        <w:t>本次评估的估价对象已被查封，但鉴于估价目的，本次评估不考虑估价对象被查封情况，假设估价对象产权明晰、手续齐全，可在公开市场上自由转让。</w:t>
      </w:r>
    </w:p>
    <w:p>
      <w:pPr>
        <w:pStyle w:val="3"/>
        <w:topLinePunct/>
        <w:adjustRightInd w:val="0"/>
        <w:snapToGrid w:val="0"/>
        <w:spacing w:before="0" w:after="0" w:line="300" w:lineRule="auto"/>
        <w:rPr>
          <w:rFonts w:ascii="微软雅黑" w:hAnsi="微软雅黑" w:eastAsia="微软雅黑"/>
          <w:sz w:val="24"/>
          <w:szCs w:val="24"/>
        </w:rPr>
      </w:pPr>
      <w:bookmarkStart w:id="24" w:name="_Toc20646"/>
      <w:bookmarkStart w:id="25" w:name="_Toc503261502"/>
      <w:bookmarkStart w:id="26" w:name="_Toc499561846"/>
      <w:bookmarkStart w:id="27" w:name="_Toc490812576"/>
      <w:r>
        <w:rPr>
          <w:rFonts w:hint="eastAsia" w:ascii="微软雅黑" w:hAnsi="微软雅黑" w:eastAsia="微软雅黑"/>
          <w:sz w:val="24"/>
          <w:szCs w:val="24"/>
        </w:rPr>
        <w:t>四、不相一致假设</w:t>
      </w:r>
      <w:bookmarkEnd w:id="24"/>
      <w:bookmarkEnd w:id="25"/>
      <w:bookmarkEnd w:id="26"/>
      <w:bookmarkEnd w:id="27"/>
    </w:p>
    <w:p>
      <w:pPr>
        <w:pStyle w:val="24"/>
        <w:tabs>
          <w:tab w:val="left" w:pos="1134"/>
        </w:tabs>
        <w:topLinePunct/>
        <w:adjustRightInd w:val="0"/>
        <w:snapToGrid w:val="0"/>
        <w:spacing w:line="300" w:lineRule="auto"/>
        <w:rPr>
          <w:rFonts w:ascii="微软雅黑" w:hAnsi="微软雅黑" w:eastAsia="微软雅黑"/>
          <w:szCs w:val="21"/>
        </w:rPr>
      </w:pPr>
      <w:r>
        <w:rPr>
          <w:rFonts w:hint="eastAsia" w:ascii="微软雅黑" w:hAnsi="微软雅黑" w:eastAsia="微软雅黑"/>
          <w:szCs w:val="21"/>
          <w:lang w:eastAsia="zh-CN"/>
        </w:rPr>
        <w:t>无不相一致假设</w:t>
      </w:r>
      <w:r>
        <w:rPr>
          <w:rFonts w:hint="eastAsia" w:ascii="微软雅黑" w:hAnsi="微软雅黑" w:eastAsia="微软雅黑"/>
          <w:szCs w:val="21"/>
        </w:rPr>
        <w:t>。</w:t>
      </w:r>
    </w:p>
    <w:p>
      <w:pPr>
        <w:pStyle w:val="3"/>
        <w:topLinePunct/>
        <w:adjustRightInd w:val="0"/>
        <w:snapToGrid w:val="0"/>
        <w:spacing w:before="0" w:after="0" w:line="300" w:lineRule="auto"/>
        <w:rPr>
          <w:rFonts w:ascii="微软雅黑" w:hAnsi="微软雅黑" w:eastAsia="微软雅黑"/>
          <w:sz w:val="24"/>
          <w:szCs w:val="24"/>
        </w:rPr>
      </w:pPr>
      <w:bookmarkStart w:id="28" w:name="_Toc499561847"/>
      <w:bookmarkStart w:id="29" w:name="_Toc8372"/>
      <w:bookmarkStart w:id="30" w:name="_Toc490812577"/>
      <w:bookmarkStart w:id="31" w:name="_Toc503261503"/>
      <w:r>
        <w:rPr>
          <w:rFonts w:hint="eastAsia" w:ascii="微软雅黑" w:hAnsi="微软雅黑" w:eastAsia="微软雅黑"/>
          <w:sz w:val="24"/>
          <w:szCs w:val="24"/>
        </w:rPr>
        <w:t>五、依据不足假设</w:t>
      </w:r>
      <w:bookmarkEnd w:id="28"/>
      <w:bookmarkEnd w:id="29"/>
      <w:bookmarkEnd w:id="30"/>
      <w:bookmarkEnd w:id="31"/>
    </w:p>
    <w:p>
      <w:pPr>
        <w:pStyle w:val="24"/>
        <w:tabs>
          <w:tab w:val="left" w:pos="1134"/>
        </w:tabs>
        <w:topLinePunct/>
        <w:adjustRightInd w:val="0"/>
        <w:snapToGrid w:val="0"/>
        <w:spacing w:line="300" w:lineRule="auto"/>
        <w:ind w:left="420" w:leftChars="200" w:firstLine="0" w:firstLineChars="0"/>
        <w:rPr>
          <w:rFonts w:ascii="微软雅黑" w:hAnsi="微软雅黑" w:eastAsia="微软雅黑"/>
          <w:szCs w:val="21"/>
        </w:rPr>
      </w:pPr>
      <w:r>
        <w:rPr>
          <w:rFonts w:hint="eastAsia" w:ascii="微软雅黑" w:hAnsi="微软雅黑" w:eastAsia="微软雅黑"/>
          <w:szCs w:val="21"/>
        </w:rPr>
        <w:t>无依据不足假设。</w:t>
      </w:r>
    </w:p>
    <w:p>
      <w:pPr>
        <w:pStyle w:val="3"/>
        <w:numPr>
          <w:ilvl w:val="0"/>
          <w:numId w:val="4"/>
        </w:numPr>
        <w:topLinePunct/>
        <w:adjustRightInd w:val="0"/>
        <w:snapToGrid w:val="0"/>
        <w:spacing w:before="0" w:after="0" w:line="300" w:lineRule="auto"/>
        <w:rPr>
          <w:rFonts w:ascii="微软雅黑" w:hAnsi="微软雅黑" w:eastAsia="微软雅黑"/>
          <w:sz w:val="24"/>
          <w:szCs w:val="24"/>
        </w:rPr>
      </w:pPr>
      <w:bookmarkStart w:id="32" w:name="_Toc490812578"/>
      <w:bookmarkStart w:id="33" w:name="_Toc503261504"/>
      <w:bookmarkStart w:id="34" w:name="_Toc499561848"/>
      <w:bookmarkStart w:id="35" w:name="_Toc29413"/>
      <w:r>
        <w:rPr>
          <w:rFonts w:hint="eastAsia" w:ascii="微软雅黑" w:hAnsi="微软雅黑" w:eastAsia="微软雅黑"/>
          <w:sz w:val="24"/>
          <w:szCs w:val="24"/>
        </w:rPr>
        <w:t>估价报告使用限制</w:t>
      </w:r>
      <w:bookmarkEnd w:id="32"/>
      <w:bookmarkEnd w:id="33"/>
      <w:bookmarkEnd w:id="34"/>
      <w:bookmarkEnd w:id="35"/>
    </w:p>
    <w:p>
      <w:pPr>
        <w:pStyle w:val="25"/>
        <w:numPr>
          <w:ilvl w:val="0"/>
          <w:numId w:val="5"/>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本估价报告仅供</w:t>
      </w:r>
      <w:r>
        <w:rPr>
          <w:rFonts w:hint="eastAsia" w:ascii="微软雅黑" w:hAnsi="微软雅黑" w:eastAsia="微软雅黑" w:cs="仿宋_GB2312"/>
          <w:lang w:eastAsia="zh-CN"/>
        </w:rPr>
        <w:t>淳安县人民法院</w:t>
      </w:r>
      <w:r>
        <w:rPr>
          <w:rFonts w:hint="eastAsia" w:ascii="微软雅黑" w:hAnsi="微软雅黑" w:eastAsia="微软雅黑" w:cs="仿宋_GB2312"/>
        </w:rPr>
        <w:t>确定财产处置参考价提供参考依据而评估房地产市场价值，如果擅自将估价报告用于其他估价目的，本估价机构及估价人员不承担相应责任。</w:t>
      </w:r>
    </w:p>
    <w:p>
      <w:pPr>
        <w:pStyle w:val="25"/>
        <w:numPr>
          <w:ilvl w:val="0"/>
          <w:numId w:val="5"/>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未经本估价机构书面同意，本报告的全部或任何一部分均不得向估价委托人、报告使用者、报告审查部门之外的单位和个人提供，也不得以任何形式公开发表。</w:t>
      </w:r>
    </w:p>
    <w:p>
      <w:pPr>
        <w:pStyle w:val="25"/>
        <w:numPr>
          <w:ilvl w:val="0"/>
          <w:numId w:val="5"/>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本报告必须完整使用方为有效，对仅使用本报告中部分内容而导致可能的损失，本估价机构不承担责任。</w:t>
      </w:r>
    </w:p>
    <w:p>
      <w:pPr>
        <w:pStyle w:val="25"/>
        <w:numPr>
          <w:ilvl w:val="0"/>
          <w:numId w:val="5"/>
        </w:numPr>
        <w:adjustRightInd w:val="0"/>
        <w:snapToGrid w:val="0"/>
        <w:spacing w:line="288" w:lineRule="auto"/>
        <w:ind w:firstLineChars="0"/>
        <w:rPr>
          <w:rFonts w:ascii="微软雅黑" w:hAnsi="微软雅黑" w:eastAsia="微软雅黑" w:cs="微软雅黑"/>
          <w:b/>
          <w:color w:val="000000"/>
          <w:szCs w:val="21"/>
        </w:rPr>
      </w:pPr>
      <w:r>
        <w:rPr>
          <w:rFonts w:hint="eastAsia" w:ascii="微软雅黑" w:hAnsi="微软雅黑" w:eastAsia="微软雅黑" w:cs="仿宋_GB2312"/>
          <w:b/>
        </w:rPr>
        <w:t>本次估价结果受价值时点的限制，且本估价报告使用期限自估价报告出具之日</w:t>
      </w:r>
      <w:r>
        <w:rPr>
          <w:rFonts w:hint="eastAsia" w:ascii="微软雅黑" w:hAnsi="微软雅黑" w:eastAsia="微软雅黑" w:cs="仿宋_GB2312"/>
          <w:b/>
          <w:lang w:eastAsia="zh-CN"/>
        </w:rPr>
        <w:t>2022年9月9日</w:t>
      </w:r>
      <w:r>
        <w:rPr>
          <w:rFonts w:hint="eastAsia" w:ascii="微软雅黑" w:hAnsi="微软雅黑" w:eastAsia="微软雅黑" w:cs="仿宋_GB2312"/>
          <w:b/>
        </w:rPr>
        <w:t>起为壹年。若报告使用期限内，房地产市场、建筑市场或估价对象自身状况发生重大变化，</w:t>
      </w:r>
      <w:bookmarkStart w:id="36" w:name="OLE_LINK75"/>
      <w:bookmarkStart w:id="37" w:name="OLE_LINK55"/>
      <w:bookmarkStart w:id="38" w:name="OLE_LINK29"/>
      <w:bookmarkStart w:id="39" w:name="OLE_LINK67"/>
      <w:bookmarkStart w:id="40" w:name="OLE_LINK65"/>
      <w:bookmarkStart w:id="41" w:name="OLE_LINK63"/>
      <w:bookmarkStart w:id="42" w:name="OLE_LINK77"/>
      <w:bookmarkStart w:id="43" w:name="OLE_LINK59"/>
      <w:bookmarkStart w:id="44" w:name="OLE_LINK50"/>
      <w:bookmarkStart w:id="45" w:name="OLE_LINK69"/>
      <w:bookmarkStart w:id="46" w:name="OLE_LINK48"/>
      <w:bookmarkStart w:id="47" w:name="OLE_LINK74"/>
      <w:bookmarkStart w:id="48" w:name="OLE_LINK68"/>
      <w:bookmarkStart w:id="49" w:name="OLE_LINK52"/>
      <w:bookmarkStart w:id="50" w:name="OLE_LINK70"/>
      <w:bookmarkStart w:id="51" w:name="OLE_LINK73"/>
      <w:bookmarkStart w:id="52" w:name="OLE_LINK30"/>
      <w:bookmarkStart w:id="53" w:name="OLE_LINK58"/>
      <w:bookmarkStart w:id="54" w:name="OLE_LINK49"/>
      <w:bookmarkStart w:id="55" w:name="OLE_LINK66"/>
      <w:bookmarkStart w:id="56" w:name="OLE_LINK72"/>
      <w:bookmarkStart w:id="57" w:name="OLE_LINK62"/>
      <w:bookmarkStart w:id="58" w:name="OLE_LINK60"/>
      <w:bookmarkStart w:id="59" w:name="OLE_LINK47"/>
      <w:bookmarkStart w:id="60" w:name="OLE_LINK57"/>
      <w:bookmarkStart w:id="61" w:name="OLE_LINK64"/>
      <w:bookmarkStart w:id="62" w:name="OLE_LINK54"/>
      <w:bookmarkStart w:id="63" w:name="OLE_LINK45"/>
      <w:bookmarkStart w:id="64" w:name="OLE_LINK46"/>
      <w:bookmarkStart w:id="65" w:name="OLE_LINK51"/>
      <w:bookmarkStart w:id="66" w:name="OLE_LINK61"/>
      <w:bookmarkStart w:id="67" w:name="OLE_LINK53"/>
      <w:bookmarkStart w:id="68" w:name="OLE_LINK71"/>
      <w:bookmarkStart w:id="69" w:name="OLE_LINK76"/>
      <w:bookmarkStart w:id="70" w:name="OLE_LINK56"/>
      <w:r>
        <w:rPr>
          <w:rFonts w:hint="eastAsia" w:ascii="微软雅黑" w:hAnsi="微软雅黑" w:eastAsia="微软雅黑" w:cs="仿宋_GB2312"/>
          <w:b/>
        </w:rPr>
        <w:t>估价结果也需做相应调整或委托估价机构重新估价</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hint="eastAsia" w:ascii="微软雅黑" w:hAnsi="微软雅黑" w:eastAsia="微软雅黑" w:cs="仿宋_GB2312"/>
          <w:b/>
        </w:rPr>
        <w:t>。</w:t>
      </w:r>
    </w:p>
    <w:p>
      <w:pPr>
        <w:pStyle w:val="25"/>
        <w:numPr>
          <w:ilvl w:val="0"/>
          <w:numId w:val="5"/>
        </w:numPr>
        <w:adjustRightInd w:val="0"/>
        <w:snapToGrid w:val="0"/>
        <w:spacing w:line="288" w:lineRule="auto"/>
        <w:ind w:firstLineChars="0"/>
        <w:rPr>
          <w:rFonts w:ascii="微软雅黑" w:hAnsi="微软雅黑" w:eastAsia="微软雅黑" w:cs="仿宋_GB2312"/>
          <w:b/>
        </w:rPr>
      </w:pPr>
      <w:r>
        <w:rPr>
          <w:rFonts w:hint="eastAsia" w:ascii="微软雅黑" w:hAnsi="微软雅黑" w:eastAsia="微软雅黑" w:cs="仿宋_GB2312"/>
          <w:b/>
        </w:rPr>
        <w:t>本次估价结果是指在目前房地产市场状况下、估价对象在现状利用条件下的房地产市场价值，包括国有土地使用权价值和与房屋有关的土建、安装与估价对象房地产不可分割的满足其合理功能需要的其他功能设施，不包括室内其它可移动物品。</w:t>
      </w:r>
    </w:p>
    <w:p>
      <w:pPr>
        <w:pStyle w:val="3"/>
        <w:numPr>
          <w:ilvl w:val="0"/>
          <w:numId w:val="4"/>
        </w:numPr>
        <w:topLinePunct/>
        <w:adjustRightInd w:val="0"/>
        <w:snapToGrid w:val="0"/>
        <w:spacing w:before="0" w:after="0" w:line="300" w:lineRule="auto"/>
        <w:rPr>
          <w:rFonts w:ascii="微软雅黑" w:hAnsi="微软雅黑" w:eastAsia="微软雅黑"/>
          <w:sz w:val="24"/>
          <w:szCs w:val="24"/>
        </w:rPr>
      </w:pPr>
      <w:r>
        <w:rPr>
          <w:rFonts w:hint="eastAsia" w:ascii="微软雅黑" w:hAnsi="微软雅黑" w:eastAsia="微软雅黑"/>
          <w:sz w:val="24"/>
          <w:szCs w:val="24"/>
        </w:rPr>
        <w:t xml:space="preserve"> </w:t>
      </w:r>
      <w:bookmarkStart w:id="71" w:name="_Toc10165"/>
      <w:r>
        <w:rPr>
          <w:rFonts w:hint="eastAsia" w:ascii="微软雅黑" w:hAnsi="微软雅黑" w:eastAsia="微软雅黑"/>
          <w:sz w:val="24"/>
          <w:szCs w:val="24"/>
        </w:rPr>
        <w:t>特别提示</w:t>
      </w:r>
      <w:bookmarkEnd w:id="71"/>
    </w:p>
    <w:p>
      <w:pPr>
        <w:pStyle w:val="25"/>
        <w:numPr>
          <w:ilvl w:val="0"/>
          <w:numId w:val="6"/>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经估价人员对估价对象所在小区的物业管理公司（</w:t>
      </w:r>
      <w:r>
        <w:rPr>
          <w:rFonts w:hint="eastAsia" w:ascii="微软雅黑" w:hAnsi="微软雅黑" w:eastAsia="微软雅黑" w:cs="仿宋_GB2312"/>
          <w:lang w:val="en-US" w:eastAsia="zh-CN"/>
        </w:rPr>
        <w:t>浙江中物联物业管理有限公司</w:t>
      </w:r>
      <w:r>
        <w:rPr>
          <w:rFonts w:hint="eastAsia" w:ascii="微软雅黑" w:hAnsi="微软雅黑" w:eastAsia="微软雅黑" w:cs="仿宋_GB2312"/>
          <w:lang w:eastAsia="zh-CN"/>
        </w:rPr>
        <w:t>）</w:t>
      </w:r>
      <w:r>
        <w:rPr>
          <w:rFonts w:hint="eastAsia" w:ascii="微软雅黑" w:hAnsi="微软雅黑" w:eastAsia="微软雅黑" w:cs="仿宋_GB2312"/>
        </w:rPr>
        <w:t>核实物业费相关情况，根据物业公司提供的</w:t>
      </w:r>
      <w:r>
        <w:rPr>
          <w:rFonts w:hint="eastAsia" w:ascii="微软雅黑" w:hAnsi="微软雅黑" w:eastAsia="微软雅黑" w:cs="仿宋_GB2312"/>
          <w:lang w:eastAsia="zh-CN"/>
        </w:rPr>
        <w:t>《</w:t>
      </w:r>
      <w:r>
        <w:rPr>
          <w:rFonts w:hint="eastAsia" w:ascii="微软雅黑" w:hAnsi="微软雅黑" w:eastAsia="微软雅黑" w:cs="仿宋_GB2312"/>
          <w:lang w:val="en-US" w:eastAsia="zh-CN"/>
        </w:rPr>
        <w:t>物业情况说明</w:t>
      </w:r>
      <w:r>
        <w:rPr>
          <w:rFonts w:hint="eastAsia" w:ascii="微软雅黑" w:hAnsi="微软雅黑" w:eastAsia="微软雅黑" w:cs="仿宋_GB2312"/>
          <w:lang w:eastAsia="zh-CN"/>
        </w:rPr>
        <w:t>》</w:t>
      </w:r>
      <w:r>
        <w:rPr>
          <w:rFonts w:hint="eastAsia" w:ascii="微软雅黑" w:hAnsi="微软雅黑" w:eastAsia="微软雅黑" w:cs="仿宋_GB2312"/>
        </w:rPr>
        <w:t>，</w:t>
      </w:r>
      <w:r>
        <w:rPr>
          <w:rFonts w:hint="eastAsia" w:ascii="微软雅黑" w:hAnsi="微软雅黑" w:eastAsia="微软雅黑" w:cs="仿宋_GB2312"/>
          <w:highlight w:val="none"/>
        </w:rPr>
        <w:t>估价对象</w:t>
      </w:r>
      <w:r>
        <w:rPr>
          <w:rFonts w:hint="eastAsia" w:ascii="微软雅黑" w:hAnsi="微软雅黑" w:eastAsia="微软雅黑" w:cs="仿宋_GB2312"/>
          <w:highlight w:val="none"/>
          <w:lang w:val="en-US" w:eastAsia="zh-CN"/>
        </w:rPr>
        <w:t>2020年9月1日至2022年12月31日拖欠物业费共计840元，物业费缴纳标准：0.4元 /平方米.月</w:t>
      </w:r>
      <w:r>
        <w:rPr>
          <w:rFonts w:hint="eastAsia" w:ascii="微软雅黑" w:hAnsi="微软雅黑" w:eastAsia="微软雅黑" w:cs="仿宋_GB2312"/>
          <w:highlight w:val="none"/>
        </w:rPr>
        <w:t>。</w:t>
      </w:r>
      <w:r>
        <w:rPr>
          <w:rFonts w:hint="eastAsia" w:ascii="微软雅黑" w:hAnsi="微软雅黑" w:eastAsia="微软雅黑" w:cs="仿宋_GB2312"/>
        </w:rPr>
        <w:t>另估价对象是否存在</w:t>
      </w:r>
      <w:r>
        <w:rPr>
          <w:rFonts w:hint="eastAsia" w:ascii="微软雅黑" w:hAnsi="微软雅黑" w:eastAsia="微软雅黑" w:cs="仿宋_GB2312"/>
          <w:lang w:eastAsia="zh-CN"/>
        </w:rPr>
        <w:t>水费、宽带费</w:t>
      </w:r>
      <w:r>
        <w:rPr>
          <w:rFonts w:hint="eastAsia" w:ascii="微软雅黑" w:hAnsi="微软雅黑" w:eastAsia="微软雅黑" w:cs="仿宋_GB2312"/>
        </w:rPr>
        <w:t>以及其他等因物业使用而产生拖欠费用，特提请报告使用方自行关注及核实，本次估价结果未考虑上述费用对其市场价值的影响</w:t>
      </w:r>
      <w:r>
        <w:rPr>
          <w:rFonts w:hint="eastAsia" w:ascii="微软雅黑" w:hAnsi="微软雅黑" w:eastAsia="微软雅黑" w:cs="仿宋_GB2312"/>
          <w:lang w:eastAsia="zh-CN"/>
        </w:rPr>
        <w:t>。</w:t>
      </w:r>
    </w:p>
    <w:p>
      <w:pPr>
        <w:pStyle w:val="25"/>
        <w:numPr>
          <w:ilvl w:val="0"/>
          <w:numId w:val="6"/>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于价值时点，估价人员查询估价对象契税相关信息，纳税人</w:t>
      </w:r>
      <w:r>
        <w:rPr>
          <w:rFonts w:hint="eastAsia" w:ascii="微软雅黑" w:hAnsi="微软雅黑" w:eastAsia="微软雅黑" w:cs="仿宋_GB2312"/>
          <w:lang w:val="en-US" w:eastAsia="zh-CN"/>
        </w:rPr>
        <w:t>袁建国</w:t>
      </w:r>
      <w:r>
        <w:rPr>
          <w:rFonts w:hint="eastAsia" w:ascii="微软雅黑" w:hAnsi="微软雅黑" w:eastAsia="微软雅黑" w:cs="仿宋_GB2312"/>
        </w:rPr>
        <w:t>已于20</w:t>
      </w:r>
      <w:r>
        <w:rPr>
          <w:rFonts w:hint="eastAsia" w:ascii="微软雅黑" w:hAnsi="微软雅黑" w:eastAsia="微软雅黑" w:cs="仿宋_GB2312"/>
          <w:lang w:val="en-US" w:eastAsia="zh-CN"/>
        </w:rPr>
        <w:t>20</w:t>
      </w:r>
      <w:r>
        <w:rPr>
          <w:rFonts w:hint="eastAsia" w:ascii="微软雅黑" w:hAnsi="微软雅黑" w:eastAsia="微软雅黑" w:cs="仿宋_GB2312"/>
        </w:rPr>
        <w:t>年</w:t>
      </w:r>
      <w:r>
        <w:rPr>
          <w:rFonts w:hint="eastAsia" w:ascii="微软雅黑" w:hAnsi="微软雅黑" w:eastAsia="微软雅黑" w:cs="仿宋_GB2312"/>
          <w:lang w:val="en-US" w:eastAsia="zh-CN"/>
        </w:rPr>
        <w:t>08</w:t>
      </w:r>
      <w:r>
        <w:rPr>
          <w:rFonts w:hint="eastAsia" w:ascii="微软雅黑" w:hAnsi="微软雅黑" w:eastAsia="微软雅黑" w:cs="仿宋_GB2312"/>
        </w:rPr>
        <w:t>月</w:t>
      </w:r>
      <w:r>
        <w:rPr>
          <w:rFonts w:hint="eastAsia" w:ascii="微软雅黑" w:hAnsi="微软雅黑" w:eastAsia="微软雅黑" w:cs="仿宋_GB2312"/>
          <w:lang w:val="en-US" w:eastAsia="zh-CN"/>
        </w:rPr>
        <w:t>21</w:t>
      </w:r>
      <w:r>
        <w:rPr>
          <w:rFonts w:hint="eastAsia" w:ascii="微软雅黑" w:hAnsi="微软雅黑" w:eastAsia="微软雅黑" w:cs="仿宋_GB2312"/>
        </w:rPr>
        <w:t>日办理契税</w:t>
      </w:r>
      <w:r>
        <w:rPr>
          <w:rFonts w:hint="eastAsia" w:ascii="微软雅黑" w:hAnsi="微软雅黑" w:eastAsia="微软雅黑" w:cs="仿宋_GB2312"/>
          <w:lang w:val="en-US" w:eastAsia="zh-CN"/>
        </w:rPr>
        <w:t>事宜</w:t>
      </w:r>
      <w:r>
        <w:rPr>
          <w:rFonts w:hint="eastAsia" w:ascii="微软雅黑" w:hAnsi="微软雅黑" w:eastAsia="微软雅黑" w:cs="仿宋_GB2312"/>
        </w:rPr>
        <w:t>，</w:t>
      </w:r>
      <w:r>
        <w:rPr>
          <w:rFonts w:hint="eastAsia" w:ascii="微软雅黑" w:hAnsi="微软雅黑" w:eastAsia="微软雅黑" w:cs="仿宋_GB2312"/>
          <w:lang w:val="en-US" w:eastAsia="zh-CN"/>
        </w:rPr>
        <w:t>已交契税9000</w:t>
      </w:r>
      <w:r>
        <w:rPr>
          <w:rFonts w:hint="eastAsia" w:ascii="微软雅黑" w:hAnsi="微软雅黑" w:eastAsia="微软雅黑" w:cs="仿宋_GB2312"/>
        </w:rPr>
        <w:t>元（详见附件），特提醒报告使用方注意</w:t>
      </w:r>
      <w:r>
        <w:rPr>
          <w:rFonts w:hint="eastAsia" w:ascii="微软雅黑" w:hAnsi="微软雅黑" w:eastAsia="微软雅黑" w:cs="仿宋_GB2312"/>
          <w:lang w:eastAsia="zh-CN"/>
        </w:rPr>
        <w:t>。</w:t>
      </w:r>
    </w:p>
    <w:p>
      <w:pPr>
        <w:pStyle w:val="25"/>
        <w:numPr>
          <w:ilvl w:val="0"/>
          <w:numId w:val="6"/>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估价人员至国家税务总局淳安县税务局了解，根据工作人员口头介绍，估价对象交易过程中应缴纳的各项税费具体见下表，估价对象交易过程中应缴纳的各项税费具体见下表，具体金额以实际缴纳为准。本次评估结果不包含估价对象交易过程中应缴纳的各项税费，特提请报告使用方重点关注。</w:t>
      </w:r>
    </w:p>
    <w:tbl>
      <w:tblPr>
        <w:tblStyle w:val="1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665"/>
        <w:gridCol w:w="1134"/>
        <w:gridCol w:w="1275"/>
        <w:gridCol w:w="254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内容</w:t>
            </w:r>
          </w:p>
        </w:tc>
        <w:tc>
          <w:tcPr>
            <w:tcW w:w="1665" w:type="dxa"/>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税种</w:t>
            </w:r>
          </w:p>
        </w:tc>
        <w:tc>
          <w:tcPr>
            <w:tcW w:w="4955" w:type="dxa"/>
            <w:gridSpan w:val="3"/>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缴纳标准</w:t>
            </w:r>
          </w:p>
        </w:tc>
        <w:tc>
          <w:tcPr>
            <w:tcW w:w="850" w:type="dxa"/>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restart"/>
            <w:shd w:val="clear" w:color="auto" w:fill="auto"/>
            <w:vAlign w:val="center"/>
          </w:tcPr>
          <w:p>
            <w:pPr>
              <w:widowControl/>
              <w:spacing w:line="300" w:lineRule="exact"/>
              <w:jc w:val="center"/>
              <w:rPr>
                <w:rFonts w:ascii="微软雅黑" w:hAnsi="微软雅黑" w:eastAsia="微软雅黑" w:cs="宋体"/>
                <w:b/>
                <w:bCs/>
                <w:color w:val="000000"/>
                <w:kern w:val="0"/>
                <w:sz w:val="20"/>
                <w:szCs w:val="20"/>
              </w:rPr>
            </w:pPr>
            <w:r>
              <w:rPr>
                <w:rFonts w:hint="eastAsia" w:ascii="微软雅黑" w:hAnsi="微软雅黑" w:eastAsia="微软雅黑" w:cs="宋体"/>
                <w:b/>
                <w:bCs/>
                <w:color w:val="000000"/>
                <w:kern w:val="0"/>
                <w:sz w:val="20"/>
                <w:szCs w:val="20"/>
              </w:rPr>
              <w:t>出让方应负担的税费</w:t>
            </w:r>
          </w:p>
        </w:tc>
        <w:tc>
          <w:tcPr>
            <w:tcW w:w="1665" w:type="dxa"/>
            <w:vMerge w:val="restart"/>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增值税及附加（城市维护建设税、教育附加、地方教育附加）</w:t>
            </w:r>
          </w:p>
        </w:tc>
        <w:tc>
          <w:tcPr>
            <w:tcW w:w="4955" w:type="dxa"/>
            <w:gridSpan w:val="3"/>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1、未满2年，转让收入×5.25%</w:t>
            </w:r>
          </w:p>
        </w:tc>
        <w:tc>
          <w:tcPr>
            <w:tcW w:w="850" w:type="dxa"/>
            <w:vMerge w:val="restart"/>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4955" w:type="dxa"/>
            <w:gridSpan w:val="3"/>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2</w:t>
            </w:r>
            <w:r>
              <w:rPr>
                <w:rFonts w:hint="eastAsia" w:ascii="微软雅黑" w:hAnsi="微软雅黑" w:eastAsia="微软雅黑"/>
                <w:color w:val="000000"/>
                <w:kern w:val="0"/>
                <w:sz w:val="20"/>
                <w:szCs w:val="20"/>
              </w:rPr>
              <w:t>、超过2年（含），免征</w:t>
            </w:r>
          </w:p>
        </w:tc>
        <w:tc>
          <w:tcPr>
            <w:tcW w:w="850"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restart"/>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个人所得税</w:t>
            </w:r>
          </w:p>
        </w:tc>
        <w:tc>
          <w:tcPr>
            <w:tcW w:w="4955" w:type="dxa"/>
            <w:gridSpan w:val="3"/>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1</w:t>
            </w:r>
            <w:r>
              <w:rPr>
                <w:rFonts w:hint="eastAsia" w:ascii="微软雅黑" w:hAnsi="微软雅黑" w:eastAsia="微软雅黑"/>
                <w:color w:val="000000"/>
                <w:kern w:val="0"/>
                <w:sz w:val="20"/>
                <w:szCs w:val="20"/>
              </w:rPr>
              <w:t>、转让五年家庭唯一生活用房免征；</w:t>
            </w:r>
          </w:p>
        </w:tc>
        <w:tc>
          <w:tcPr>
            <w:tcW w:w="850" w:type="dxa"/>
            <w:vMerge w:val="restart"/>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4955" w:type="dxa"/>
            <w:gridSpan w:val="3"/>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2</w:t>
            </w:r>
            <w:r>
              <w:rPr>
                <w:rFonts w:hint="eastAsia" w:ascii="微软雅黑" w:hAnsi="微软雅黑" w:eastAsia="微软雅黑"/>
                <w:color w:val="000000"/>
                <w:kern w:val="0"/>
                <w:sz w:val="20"/>
                <w:szCs w:val="20"/>
              </w:rPr>
              <w:t>、（转让收入</w:t>
            </w:r>
            <w:r>
              <w:rPr>
                <w:rFonts w:ascii="微软雅黑" w:hAnsi="微软雅黑" w:eastAsia="微软雅黑"/>
                <w:color w:val="000000"/>
                <w:kern w:val="0"/>
                <w:sz w:val="20"/>
                <w:szCs w:val="20"/>
              </w:rPr>
              <w:t>-</w:t>
            </w:r>
            <w:r>
              <w:rPr>
                <w:rFonts w:hint="eastAsia" w:ascii="微软雅黑" w:hAnsi="微软雅黑" w:eastAsia="微软雅黑"/>
                <w:color w:val="000000"/>
                <w:kern w:val="0"/>
                <w:sz w:val="20"/>
                <w:szCs w:val="20"/>
              </w:rPr>
              <w:t>房屋原值</w:t>
            </w:r>
            <w:r>
              <w:rPr>
                <w:rFonts w:ascii="微软雅黑" w:hAnsi="微软雅黑" w:eastAsia="微软雅黑"/>
                <w:color w:val="000000"/>
                <w:kern w:val="0"/>
                <w:sz w:val="20"/>
                <w:szCs w:val="20"/>
              </w:rPr>
              <w:t>-</w:t>
            </w:r>
            <w:r>
              <w:rPr>
                <w:rFonts w:hint="eastAsia" w:ascii="微软雅黑" w:hAnsi="微软雅黑" w:eastAsia="微软雅黑"/>
                <w:color w:val="000000"/>
                <w:kern w:val="0"/>
                <w:sz w:val="20"/>
                <w:szCs w:val="20"/>
              </w:rPr>
              <w:t>合理费用</w:t>
            </w:r>
            <w:r>
              <w:rPr>
                <w:rFonts w:ascii="微软雅黑" w:hAnsi="微软雅黑" w:eastAsia="微软雅黑"/>
                <w:color w:val="000000"/>
                <w:kern w:val="0"/>
                <w:sz w:val="20"/>
                <w:szCs w:val="20"/>
              </w:rPr>
              <w:t>-</w:t>
            </w:r>
            <w:r>
              <w:rPr>
                <w:rFonts w:hint="eastAsia" w:ascii="微软雅黑" w:hAnsi="微软雅黑" w:eastAsia="微软雅黑"/>
                <w:color w:val="000000"/>
                <w:kern w:val="0"/>
                <w:sz w:val="20"/>
                <w:szCs w:val="20"/>
              </w:rPr>
              <w:t>转让过程中应缴纳的税金）×</w:t>
            </w:r>
            <w:r>
              <w:rPr>
                <w:rFonts w:ascii="微软雅黑" w:hAnsi="微软雅黑" w:eastAsia="微软雅黑"/>
                <w:color w:val="000000"/>
                <w:kern w:val="0"/>
                <w:sz w:val="20"/>
                <w:szCs w:val="20"/>
              </w:rPr>
              <w:t>20%</w:t>
            </w:r>
          </w:p>
        </w:tc>
        <w:tc>
          <w:tcPr>
            <w:tcW w:w="850"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4955" w:type="dxa"/>
            <w:gridSpan w:val="3"/>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3</w:t>
            </w:r>
            <w:r>
              <w:rPr>
                <w:rFonts w:hint="eastAsia" w:ascii="微软雅黑" w:hAnsi="微软雅黑" w:eastAsia="微软雅黑"/>
                <w:color w:val="000000"/>
                <w:kern w:val="0"/>
                <w:sz w:val="20"/>
                <w:szCs w:val="20"/>
              </w:rPr>
              <w:t>、未提供完整、准确的房屋原值凭证，法拍房屋转让收入的3</w:t>
            </w:r>
            <w:r>
              <w:rPr>
                <w:rFonts w:ascii="微软雅黑" w:hAnsi="微软雅黑" w:eastAsia="微软雅黑"/>
                <w:color w:val="000000"/>
                <w:kern w:val="0"/>
                <w:sz w:val="20"/>
                <w:szCs w:val="20"/>
              </w:rPr>
              <w:t>%</w:t>
            </w:r>
            <w:r>
              <w:rPr>
                <w:rFonts w:hint="eastAsia" w:ascii="微软雅黑" w:hAnsi="微软雅黑" w:eastAsia="微软雅黑"/>
                <w:color w:val="000000"/>
                <w:kern w:val="0"/>
                <w:sz w:val="20"/>
                <w:szCs w:val="20"/>
              </w:rPr>
              <w:t>核定征收</w:t>
            </w:r>
          </w:p>
        </w:tc>
        <w:tc>
          <w:tcPr>
            <w:tcW w:w="850"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土地增值税</w:t>
            </w:r>
          </w:p>
        </w:tc>
        <w:tc>
          <w:tcPr>
            <w:tcW w:w="4955" w:type="dxa"/>
            <w:gridSpan w:val="3"/>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免征</w:t>
            </w:r>
          </w:p>
        </w:tc>
        <w:tc>
          <w:tcPr>
            <w:tcW w:w="850" w:type="dxa"/>
            <w:shd w:val="clear" w:color="auto" w:fill="auto"/>
            <w:vAlign w:val="center"/>
          </w:tcPr>
          <w:p>
            <w:pPr>
              <w:widowControl/>
              <w:spacing w:line="300" w:lineRule="exact"/>
              <w:jc w:val="center"/>
              <w:rPr>
                <w:rFonts w:ascii="微软雅黑" w:hAnsi="微软雅黑" w:eastAsia="微软雅黑"/>
                <w:color w:val="000000"/>
                <w:kern w:val="0"/>
                <w:sz w:val="20"/>
                <w:szCs w:val="20"/>
              </w:rPr>
            </w:pPr>
            <w:r>
              <w:rPr>
                <w:rFonts w:ascii="微软雅黑" w:hAnsi="微软雅黑" w:eastAsia="微软雅黑"/>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印花税</w:t>
            </w:r>
          </w:p>
        </w:tc>
        <w:tc>
          <w:tcPr>
            <w:tcW w:w="4955" w:type="dxa"/>
            <w:gridSpan w:val="3"/>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免征（2008年11月1日前0.05%）</w:t>
            </w:r>
          </w:p>
        </w:tc>
        <w:tc>
          <w:tcPr>
            <w:tcW w:w="850" w:type="dxa"/>
            <w:shd w:val="clear" w:color="auto" w:fill="auto"/>
            <w:vAlign w:val="center"/>
          </w:tcPr>
          <w:p>
            <w:pPr>
              <w:widowControl/>
              <w:spacing w:line="300" w:lineRule="exact"/>
              <w:jc w:val="center"/>
              <w:rPr>
                <w:rFonts w:ascii="微软雅黑" w:hAnsi="微软雅黑" w:eastAsia="微软雅黑"/>
                <w:color w:val="000000"/>
                <w:kern w:val="0"/>
                <w:sz w:val="20"/>
                <w:szCs w:val="20"/>
              </w:rPr>
            </w:pPr>
            <w:r>
              <w:rPr>
                <w:rFonts w:ascii="微软雅黑" w:hAnsi="微软雅黑" w:eastAsia="微软雅黑"/>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restart"/>
            <w:shd w:val="clear" w:color="auto" w:fill="auto"/>
            <w:vAlign w:val="center"/>
          </w:tcPr>
          <w:p>
            <w:pPr>
              <w:widowControl/>
              <w:spacing w:line="300" w:lineRule="exact"/>
              <w:jc w:val="center"/>
              <w:rPr>
                <w:rFonts w:ascii="微软雅黑" w:hAnsi="微软雅黑" w:eastAsia="微软雅黑" w:cs="宋体"/>
                <w:b/>
                <w:bCs/>
                <w:color w:val="000000"/>
                <w:kern w:val="0"/>
                <w:sz w:val="20"/>
                <w:szCs w:val="20"/>
              </w:rPr>
            </w:pPr>
            <w:r>
              <w:rPr>
                <w:rFonts w:hint="eastAsia" w:ascii="微软雅黑" w:hAnsi="微软雅黑" w:eastAsia="微软雅黑" w:cs="宋体"/>
                <w:b/>
                <w:bCs/>
                <w:color w:val="000000"/>
                <w:kern w:val="0"/>
                <w:sz w:val="20"/>
                <w:szCs w:val="20"/>
              </w:rPr>
              <w:t>承受方应负担的税费</w:t>
            </w:r>
          </w:p>
        </w:tc>
        <w:tc>
          <w:tcPr>
            <w:tcW w:w="1665" w:type="dxa"/>
            <w:vMerge w:val="restart"/>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契税（个人）</w:t>
            </w:r>
          </w:p>
        </w:tc>
        <w:tc>
          <w:tcPr>
            <w:tcW w:w="1134" w:type="dxa"/>
            <w:vMerge w:val="restart"/>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转让收入</w:t>
            </w:r>
          </w:p>
        </w:tc>
        <w:tc>
          <w:tcPr>
            <w:tcW w:w="1275" w:type="dxa"/>
            <w:vMerge w:val="restart"/>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家庭唯一住房</w:t>
            </w:r>
          </w:p>
        </w:tc>
        <w:tc>
          <w:tcPr>
            <w:tcW w:w="2546" w:type="dxa"/>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90</w:t>
            </w:r>
            <w:r>
              <w:rPr>
                <w:rFonts w:hint="eastAsia" w:ascii="微软雅黑" w:hAnsi="宋体"/>
                <w:color w:val="000000"/>
                <w:kern w:val="0"/>
                <w:sz w:val="20"/>
                <w:szCs w:val="20"/>
              </w:rPr>
              <w:t>㎡</w:t>
            </w:r>
            <w:r>
              <w:rPr>
                <w:rFonts w:hint="eastAsia" w:ascii="微软雅黑" w:hAnsi="微软雅黑" w:eastAsia="微软雅黑"/>
                <w:color w:val="000000"/>
                <w:kern w:val="0"/>
                <w:sz w:val="20"/>
                <w:szCs w:val="20"/>
              </w:rPr>
              <w:t>及以下</w:t>
            </w:r>
            <w:r>
              <w:rPr>
                <w:rFonts w:ascii="微软雅黑" w:hAnsi="微软雅黑" w:eastAsia="微软雅黑"/>
                <w:color w:val="000000"/>
                <w:kern w:val="0"/>
                <w:sz w:val="20"/>
                <w:szCs w:val="20"/>
              </w:rPr>
              <w:t xml:space="preserve">      1%</w:t>
            </w:r>
          </w:p>
        </w:tc>
        <w:tc>
          <w:tcPr>
            <w:tcW w:w="850" w:type="dxa"/>
            <w:vMerge w:val="restart"/>
            <w:shd w:val="clear" w:color="auto" w:fill="auto"/>
            <w:vAlign w:val="center"/>
          </w:tcPr>
          <w:p>
            <w:pPr>
              <w:widowControl/>
              <w:spacing w:line="300" w:lineRule="exact"/>
              <w:jc w:val="center"/>
              <w:rPr>
                <w:rFonts w:ascii="微软雅黑" w:hAnsi="微软雅黑" w:eastAsia="微软雅黑"/>
                <w:color w:val="000000"/>
                <w:kern w:val="0"/>
                <w:sz w:val="20"/>
                <w:szCs w:val="20"/>
              </w:rPr>
            </w:pPr>
            <w:r>
              <w:rPr>
                <w:rFonts w:ascii="微软雅黑" w:hAnsi="微软雅黑" w:eastAsia="微软雅黑"/>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134"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27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2546" w:type="dxa"/>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90</w:t>
            </w:r>
            <w:r>
              <w:rPr>
                <w:rFonts w:hint="eastAsia" w:ascii="微软雅黑" w:hAnsi="宋体"/>
                <w:color w:val="000000"/>
                <w:kern w:val="0"/>
                <w:sz w:val="20"/>
                <w:szCs w:val="20"/>
              </w:rPr>
              <w:t>㎡</w:t>
            </w:r>
            <w:r>
              <w:rPr>
                <w:rFonts w:hint="eastAsia" w:ascii="微软雅黑" w:hAnsi="微软雅黑" w:eastAsia="微软雅黑"/>
                <w:color w:val="000000"/>
                <w:kern w:val="0"/>
                <w:sz w:val="20"/>
                <w:szCs w:val="20"/>
              </w:rPr>
              <w:t>以上</w:t>
            </w:r>
            <w:r>
              <w:rPr>
                <w:rFonts w:ascii="微软雅黑" w:hAnsi="微软雅黑" w:eastAsia="微软雅黑"/>
                <w:color w:val="000000"/>
                <w:kern w:val="0"/>
                <w:sz w:val="20"/>
                <w:szCs w:val="20"/>
              </w:rPr>
              <w:t xml:space="preserve"> </w:t>
            </w:r>
            <w:r>
              <w:rPr>
                <w:rFonts w:hint="eastAsia" w:ascii="微软雅黑" w:hAnsi="微软雅黑" w:eastAsia="微软雅黑"/>
                <w:color w:val="000000"/>
                <w:kern w:val="0"/>
                <w:sz w:val="20"/>
                <w:szCs w:val="20"/>
              </w:rPr>
              <w:t xml:space="preserve">   </w:t>
            </w:r>
            <w:r>
              <w:rPr>
                <w:rFonts w:ascii="微软雅黑" w:hAnsi="微软雅黑" w:eastAsia="微软雅黑"/>
                <w:color w:val="000000"/>
                <w:kern w:val="0"/>
                <w:sz w:val="20"/>
                <w:szCs w:val="20"/>
              </w:rPr>
              <w:t xml:space="preserve">   </w:t>
            </w:r>
            <w:r>
              <w:rPr>
                <w:rFonts w:hint="eastAsia" w:ascii="微软雅黑" w:hAnsi="微软雅黑" w:eastAsia="微软雅黑"/>
                <w:color w:val="000000"/>
                <w:kern w:val="0"/>
                <w:sz w:val="20"/>
                <w:szCs w:val="20"/>
              </w:rPr>
              <w:t xml:space="preserve"> </w:t>
            </w:r>
            <w:r>
              <w:rPr>
                <w:rFonts w:ascii="微软雅黑" w:hAnsi="微软雅黑" w:eastAsia="微软雅黑"/>
                <w:color w:val="000000"/>
                <w:kern w:val="0"/>
                <w:sz w:val="20"/>
                <w:szCs w:val="20"/>
              </w:rPr>
              <w:t>1.5%</w:t>
            </w:r>
          </w:p>
        </w:tc>
        <w:tc>
          <w:tcPr>
            <w:tcW w:w="850" w:type="dxa"/>
            <w:vMerge w:val="continue"/>
            <w:vAlign w:val="center"/>
          </w:tcPr>
          <w:p>
            <w:pPr>
              <w:widowControl/>
              <w:spacing w:line="300" w:lineRule="exact"/>
              <w:jc w:val="left"/>
              <w:rPr>
                <w:rFonts w:ascii="微软雅黑" w:hAnsi="微软雅黑" w:eastAsia="微软雅黑"/>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134"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275" w:type="dxa"/>
            <w:vMerge w:val="restart"/>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家庭第二套改善性住房</w:t>
            </w:r>
          </w:p>
        </w:tc>
        <w:tc>
          <w:tcPr>
            <w:tcW w:w="2546" w:type="dxa"/>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90</w:t>
            </w:r>
            <w:r>
              <w:rPr>
                <w:rFonts w:hint="eastAsia" w:ascii="微软雅黑" w:hAnsi="宋体"/>
                <w:color w:val="000000"/>
                <w:kern w:val="0"/>
                <w:sz w:val="20"/>
                <w:szCs w:val="20"/>
              </w:rPr>
              <w:t>㎡</w:t>
            </w:r>
            <w:r>
              <w:rPr>
                <w:rFonts w:hint="eastAsia" w:ascii="微软雅黑" w:hAnsi="微软雅黑" w:eastAsia="微软雅黑"/>
                <w:color w:val="000000"/>
                <w:kern w:val="0"/>
                <w:sz w:val="20"/>
                <w:szCs w:val="20"/>
              </w:rPr>
              <w:t>及以下</w:t>
            </w:r>
            <w:r>
              <w:rPr>
                <w:rFonts w:ascii="微软雅黑" w:hAnsi="微软雅黑" w:eastAsia="微软雅黑"/>
                <w:color w:val="000000"/>
                <w:kern w:val="0"/>
                <w:sz w:val="20"/>
                <w:szCs w:val="20"/>
              </w:rPr>
              <w:t xml:space="preserve">      1%</w:t>
            </w:r>
          </w:p>
        </w:tc>
        <w:tc>
          <w:tcPr>
            <w:tcW w:w="850" w:type="dxa"/>
            <w:vMerge w:val="continue"/>
            <w:vAlign w:val="center"/>
          </w:tcPr>
          <w:p>
            <w:pPr>
              <w:widowControl/>
              <w:spacing w:line="300" w:lineRule="exact"/>
              <w:jc w:val="left"/>
              <w:rPr>
                <w:rFonts w:ascii="微软雅黑" w:hAnsi="微软雅黑" w:eastAsia="微软雅黑"/>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134"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27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2546" w:type="dxa"/>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90</w:t>
            </w:r>
            <w:r>
              <w:rPr>
                <w:rFonts w:hint="eastAsia" w:ascii="微软雅黑" w:hAnsi="宋体"/>
                <w:color w:val="000000"/>
                <w:kern w:val="0"/>
                <w:sz w:val="20"/>
                <w:szCs w:val="20"/>
              </w:rPr>
              <w:t>㎡</w:t>
            </w:r>
            <w:r>
              <w:rPr>
                <w:rFonts w:hint="eastAsia" w:ascii="微软雅黑" w:hAnsi="微软雅黑" w:eastAsia="微软雅黑"/>
                <w:color w:val="000000"/>
                <w:kern w:val="0"/>
                <w:sz w:val="20"/>
                <w:szCs w:val="20"/>
              </w:rPr>
              <w:t>以上</w:t>
            </w:r>
            <w:r>
              <w:rPr>
                <w:rFonts w:ascii="微软雅黑" w:hAnsi="微软雅黑" w:eastAsia="微软雅黑"/>
                <w:color w:val="000000"/>
                <w:kern w:val="0"/>
                <w:sz w:val="20"/>
                <w:szCs w:val="20"/>
              </w:rPr>
              <w:t xml:space="preserve">  </w:t>
            </w:r>
            <w:r>
              <w:rPr>
                <w:rFonts w:hint="eastAsia" w:ascii="微软雅黑" w:hAnsi="微软雅黑" w:eastAsia="微软雅黑"/>
                <w:color w:val="000000"/>
                <w:kern w:val="0"/>
                <w:sz w:val="20"/>
                <w:szCs w:val="20"/>
              </w:rPr>
              <w:t xml:space="preserve">     </w:t>
            </w:r>
            <w:r>
              <w:rPr>
                <w:rFonts w:ascii="微软雅黑" w:hAnsi="微软雅黑" w:eastAsia="微软雅黑"/>
                <w:color w:val="000000"/>
                <w:kern w:val="0"/>
                <w:sz w:val="20"/>
                <w:szCs w:val="20"/>
              </w:rPr>
              <w:t xml:space="preserve"> 2%</w:t>
            </w:r>
          </w:p>
        </w:tc>
        <w:tc>
          <w:tcPr>
            <w:tcW w:w="850" w:type="dxa"/>
            <w:vMerge w:val="continue"/>
            <w:vAlign w:val="center"/>
          </w:tcPr>
          <w:p>
            <w:pPr>
              <w:widowControl/>
              <w:spacing w:line="300" w:lineRule="exact"/>
              <w:jc w:val="left"/>
              <w:rPr>
                <w:rFonts w:ascii="微软雅黑" w:hAnsi="微软雅黑" w:eastAsia="微软雅黑"/>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134" w:type="dxa"/>
            <w:vMerge w:val="continue"/>
            <w:vAlign w:val="center"/>
          </w:tcPr>
          <w:p>
            <w:pPr>
              <w:widowControl/>
              <w:spacing w:line="300" w:lineRule="exact"/>
              <w:jc w:val="left"/>
              <w:rPr>
                <w:rFonts w:ascii="微软雅黑" w:hAnsi="微软雅黑" w:eastAsia="微软雅黑" w:cs="宋体"/>
                <w:color w:val="000000"/>
                <w:kern w:val="0"/>
                <w:sz w:val="20"/>
                <w:szCs w:val="20"/>
              </w:rPr>
            </w:pPr>
          </w:p>
        </w:tc>
        <w:tc>
          <w:tcPr>
            <w:tcW w:w="1275" w:type="dxa"/>
            <w:shd w:val="clear" w:color="auto" w:fill="auto"/>
            <w:vAlign w:val="center"/>
          </w:tcPr>
          <w:p>
            <w:pPr>
              <w:widowControl/>
              <w:spacing w:line="3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其他</w:t>
            </w:r>
          </w:p>
        </w:tc>
        <w:tc>
          <w:tcPr>
            <w:tcW w:w="2546" w:type="dxa"/>
            <w:shd w:val="clear" w:color="auto" w:fill="auto"/>
            <w:vAlign w:val="center"/>
          </w:tcPr>
          <w:p>
            <w:pPr>
              <w:widowControl/>
              <w:spacing w:line="300" w:lineRule="exact"/>
              <w:jc w:val="left"/>
              <w:rPr>
                <w:rFonts w:ascii="微软雅黑" w:hAnsi="微软雅黑" w:eastAsia="微软雅黑"/>
                <w:color w:val="000000"/>
                <w:kern w:val="0"/>
                <w:sz w:val="20"/>
                <w:szCs w:val="20"/>
              </w:rPr>
            </w:pPr>
            <w:r>
              <w:rPr>
                <w:rFonts w:ascii="微软雅黑" w:hAnsi="微软雅黑" w:eastAsia="微软雅黑"/>
                <w:color w:val="000000"/>
                <w:kern w:val="0"/>
                <w:sz w:val="20"/>
                <w:szCs w:val="20"/>
              </w:rPr>
              <w:t>3%</w:t>
            </w:r>
          </w:p>
        </w:tc>
        <w:tc>
          <w:tcPr>
            <w:tcW w:w="850" w:type="dxa"/>
            <w:vMerge w:val="continue"/>
            <w:vAlign w:val="center"/>
          </w:tcPr>
          <w:p>
            <w:pPr>
              <w:widowControl/>
              <w:spacing w:line="300" w:lineRule="exact"/>
              <w:jc w:val="left"/>
              <w:rPr>
                <w:rFonts w:ascii="微软雅黑" w:hAnsi="微软雅黑" w:eastAsia="微软雅黑"/>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契税（单位）</w:t>
            </w:r>
          </w:p>
        </w:tc>
        <w:tc>
          <w:tcPr>
            <w:tcW w:w="1134"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转让收入</w:t>
            </w:r>
          </w:p>
        </w:tc>
        <w:tc>
          <w:tcPr>
            <w:tcW w:w="3821" w:type="dxa"/>
            <w:gridSpan w:val="2"/>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3%</w:t>
            </w:r>
          </w:p>
        </w:tc>
        <w:tc>
          <w:tcPr>
            <w:tcW w:w="850" w:type="dxa"/>
            <w:shd w:val="clear" w:color="auto" w:fill="auto"/>
            <w:vAlign w:val="center"/>
          </w:tcPr>
          <w:p>
            <w:pPr>
              <w:widowControl/>
              <w:spacing w:line="300" w:lineRule="exact"/>
              <w:jc w:val="center"/>
              <w:rPr>
                <w:rFonts w:ascii="微软雅黑" w:hAnsi="微软雅黑" w:eastAsia="微软雅黑"/>
                <w:color w:val="000000"/>
                <w:kern w:val="0"/>
                <w:sz w:val="20"/>
                <w:szCs w:val="20"/>
              </w:rPr>
            </w:pPr>
            <w:r>
              <w:rPr>
                <w:rFonts w:ascii="微软雅黑" w:hAnsi="微软雅黑" w:eastAsia="微软雅黑"/>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印花税（个人）</w:t>
            </w:r>
          </w:p>
        </w:tc>
        <w:tc>
          <w:tcPr>
            <w:tcW w:w="1134"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转让收入</w:t>
            </w:r>
          </w:p>
        </w:tc>
        <w:tc>
          <w:tcPr>
            <w:tcW w:w="3821" w:type="dxa"/>
            <w:gridSpan w:val="2"/>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免征（2008年11月1日前0.05%）</w:t>
            </w:r>
          </w:p>
        </w:tc>
        <w:tc>
          <w:tcPr>
            <w:tcW w:w="850" w:type="dxa"/>
            <w:shd w:val="clear" w:color="auto" w:fill="auto"/>
            <w:vAlign w:val="center"/>
          </w:tcPr>
          <w:p>
            <w:pPr>
              <w:widowControl/>
              <w:spacing w:line="300" w:lineRule="exact"/>
              <w:jc w:val="center"/>
              <w:rPr>
                <w:rFonts w:ascii="微软雅黑" w:hAnsi="微软雅黑" w:eastAsia="微软雅黑"/>
                <w:color w:val="000000"/>
                <w:kern w:val="0"/>
                <w:sz w:val="20"/>
                <w:szCs w:val="20"/>
              </w:rPr>
            </w:pPr>
            <w:r>
              <w:rPr>
                <w:rFonts w:ascii="微软雅黑" w:hAnsi="微软雅黑" w:eastAsia="微软雅黑"/>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40" w:type="dxa"/>
            <w:vMerge w:val="continue"/>
            <w:vAlign w:val="center"/>
          </w:tcPr>
          <w:p>
            <w:pPr>
              <w:widowControl/>
              <w:spacing w:line="300" w:lineRule="exact"/>
              <w:jc w:val="left"/>
              <w:rPr>
                <w:rFonts w:ascii="微软雅黑" w:hAnsi="微软雅黑" w:eastAsia="微软雅黑" w:cs="宋体"/>
                <w:b/>
                <w:bCs/>
                <w:color w:val="000000"/>
                <w:kern w:val="0"/>
                <w:sz w:val="20"/>
                <w:szCs w:val="20"/>
              </w:rPr>
            </w:pPr>
          </w:p>
        </w:tc>
        <w:tc>
          <w:tcPr>
            <w:tcW w:w="1665"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印花税（单位）</w:t>
            </w:r>
          </w:p>
        </w:tc>
        <w:tc>
          <w:tcPr>
            <w:tcW w:w="1134" w:type="dxa"/>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转让收入</w:t>
            </w:r>
          </w:p>
        </w:tc>
        <w:tc>
          <w:tcPr>
            <w:tcW w:w="3821" w:type="dxa"/>
            <w:gridSpan w:val="2"/>
            <w:shd w:val="clear" w:color="auto" w:fill="auto"/>
            <w:vAlign w:val="center"/>
          </w:tcPr>
          <w:p>
            <w:pPr>
              <w:widowControl/>
              <w:spacing w:line="300" w:lineRule="exact"/>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0.05%</w:t>
            </w:r>
          </w:p>
        </w:tc>
        <w:tc>
          <w:tcPr>
            <w:tcW w:w="850" w:type="dxa"/>
            <w:shd w:val="clear" w:color="auto" w:fill="auto"/>
            <w:vAlign w:val="center"/>
          </w:tcPr>
          <w:p>
            <w:pPr>
              <w:widowControl/>
              <w:spacing w:line="300" w:lineRule="exact"/>
              <w:jc w:val="center"/>
              <w:rPr>
                <w:rFonts w:ascii="微软雅黑" w:hAnsi="微软雅黑" w:eastAsia="微软雅黑"/>
                <w:color w:val="000000"/>
                <w:kern w:val="0"/>
                <w:sz w:val="20"/>
                <w:szCs w:val="20"/>
              </w:rPr>
            </w:pPr>
            <w:r>
              <w:rPr>
                <w:rFonts w:ascii="微软雅黑" w:hAnsi="微软雅黑" w:eastAsia="微软雅黑"/>
                <w:color w:val="000000"/>
                <w:kern w:val="0"/>
                <w:sz w:val="20"/>
                <w:szCs w:val="20"/>
              </w:rPr>
              <w:t>——</w:t>
            </w:r>
          </w:p>
        </w:tc>
      </w:tr>
    </w:tbl>
    <w:p>
      <w:pPr>
        <w:pStyle w:val="25"/>
        <w:adjustRightInd w:val="0"/>
        <w:snapToGrid w:val="0"/>
        <w:spacing w:line="288" w:lineRule="auto"/>
        <w:ind w:left="420" w:firstLine="0" w:firstLineChars="0"/>
        <w:rPr>
          <w:rFonts w:ascii="微软雅黑" w:hAnsi="微软雅黑" w:eastAsia="微软雅黑" w:cs="仿宋_GB2312"/>
        </w:rPr>
      </w:pPr>
      <w:r>
        <w:rPr>
          <w:rFonts w:hint="eastAsia" w:ascii="微软雅黑" w:hAnsi="微软雅黑" w:eastAsia="微软雅黑" w:cs="仿宋_GB2312"/>
        </w:rPr>
        <w:t>备注：增值税及附加说明：浙江省财政厅发布《关于浙江省实施小微企业“六税两费”减免政策的通知》（浙财税政〔2022〕4号）提到，对增值税小规模纳税人、小型微利企业和个体工商户可以在50%的税额幅度内减征资源税、城市维护建设税、房产税、城镇土地使用税、印花税（不含证券交易印花税）、耕地占用税和教育费附加、地方教育附加。</w:t>
      </w:r>
    </w:p>
    <w:p>
      <w:pPr>
        <w:pStyle w:val="25"/>
        <w:numPr>
          <w:ilvl w:val="0"/>
          <w:numId w:val="6"/>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于价值时点，</w:t>
      </w:r>
      <w:r>
        <w:rPr>
          <w:rFonts w:hint="eastAsia" w:ascii="微软雅黑" w:hAnsi="微软雅黑" w:eastAsia="微软雅黑" w:cs="仿宋_GB2312"/>
          <w:lang w:eastAsia="zh-CN"/>
        </w:rPr>
        <w:t>在委托方授权下由估价人员自行</w:t>
      </w:r>
      <w:r>
        <w:rPr>
          <w:rFonts w:hint="eastAsia" w:ascii="微软雅黑" w:hAnsi="微软雅黑" w:eastAsia="微软雅黑" w:cs="仿宋_GB2312"/>
        </w:rPr>
        <w:t>进入估价对象室内查勘，估价对象现</w:t>
      </w:r>
      <w:r>
        <w:rPr>
          <w:rFonts w:hint="eastAsia" w:ascii="微软雅黑" w:hAnsi="微软雅黑" w:eastAsia="微软雅黑" w:cs="仿宋_GB2312"/>
          <w:lang w:eastAsia="zh-CN"/>
        </w:rPr>
        <w:t>已空置</w:t>
      </w:r>
      <w:r>
        <w:rPr>
          <w:rFonts w:hint="eastAsia" w:ascii="微软雅黑" w:hAnsi="微软雅黑" w:eastAsia="微软雅黑" w:cs="仿宋_GB2312"/>
        </w:rPr>
        <w:t>，特提请报告使用方注意。</w:t>
      </w:r>
    </w:p>
    <w:p>
      <w:pPr>
        <w:pStyle w:val="25"/>
        <w:numPr>
          <w:ilvl w:val="0"/>
          <w:numId w:val="6"/>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本次评估结果仅为人民法院确定财产处置参考价服务，不是评估对象处置可实现的成交价格，也不应当被视为对评估对象处置成交价格的保证。</w:t>
      </w:r>
    </w:p>
    <w:p>
      <w:pPr>
        <w:pStyle w:val="25"/>
        <w:numPr>
          <w:ilvl w:val="0"/>
          <w:numId w:val="6"/>
        </w:numPr>
        <w:adjustRightInd w:val="0"/>
        <w:snapToGrid w:val="0"/>
        <w:spacing w:line="288" w:lineRule="auto"/>
        <w:ind w:firstLineChars="0"/>
        <w:rPr>
          <w:rFonts w:ascii="微软雅黑" w:hAnsi="微软雅黑" w:eastAsia="微软雅黑" w:cs="仿宋_GB2312"/>
        </w:rPr>
      </w:pPr>
      <w:r>
        <w:rPr>
          <w:rFonts w:hint="eastAsia" w:ascii="微软雅黑" w:hAnsi="微软雅黑" w:eastAsia="微软雅黑" w:cs="仿宋_GB2312"/>
        </w:rPr>
        <w:t>报告中数据全部采用电算化连续计算得出，由于在报告中计算的数据均按四舍五入取整，因此，可能出现个别等式左右不完全相等的情况，但不影响计算结果及最终评估结论的准确性。</w:t>
      </w:r>
    </w:p>
    <w:p>
      <w:pPr>
        <w:widowControl/>
        <w:jc w:val="left"/>
        <w:rPr>
          <w:rFonts w:ascii="微软雅黑" w:hAnsi="微软雅黑" w:eastAsia="微软雅黑"/>
          <w:b/>
          <w:color w:val="C3AD72"/>
          <w:spacing w:val="20"/>
          <w:sz w:val="32"/>
          <w:szCs w:val="32"/>
        </w:rPr>
      </w:pPr>
      <w:bookmarkStart w:id="72" w:name="_Toc492480512"/>
      <w:bookmarkStart w:id="73" w:name="_Toc503261505"/>
      <w:r>
        <w:rPr>
          <w:rFonts w:ascii="微软雅黑" w:hAnsi="微软雅黑" w:eastAsia="微软雅黑"/>
          <w:b/>
          <w:color w:val="C3AD72"/>
          <w:spacing w:val="20"/>
          <w:sz w:val="32"/>
          <w:szCs w:val="32"/>
        </w:rPr>
        <w:br w:type="page"/>
      </w:r>
    </w:p>
    <w:p>
      <w:pPr>
        <w:topLinePunct/>
        <w:adjustRightInd w:val="0"/>
        <w:snapToGrid w:val="0"/>
        <w:jc w:val="center"/>
        <w:outlineLvl w:val="0"/>
        <w:rPr>
          <w:rFonts w:ascii="微软雅黑" w:hAnsi="微软雅黑" w:eastAsia="微软雅黑"/>
          <w:b/>
          <w:color w:val="C3AD72"/>
          <w:spacing w:val="20"/>
          <w:sz w:val="32"/>
          <w:szCs w:val="32"/>
        </w:rPr>
      </w:pPr>
      <w:bookmarkStart w:id="74" w:name="_Toc28621"/>
      <w:r>
        <w:rPr>
          <w:rFonts w:hint="eastAsia" w:ascii="微软雅黑" w:hAnsi="微软雅黑" w:eastAsia="微软雅黑"/>
          <w:b/>
          <w:color w:val="C3AD72"/>
          <w:spacing w:val="20"/>
          <w:sz w:val="32"/>
          <w:szCs w:val="32"/>
        </w:rPr>
        <w:t>估价结果报告</w:t>
      </w:r>
      <w:bookmarkEnd w:id="72"/>
      <w:bookmarkEnd w:id="73"/>
      <w:bookmarkEnd w:id="74"/>
    </w:p>
    <w:p>
      <w:pPr>
        <w:widowControl/>
        <w:topLinePunct/>
        <w:adjustRightInd w:val="0"/>
        <w:snapToGrid w:val="0"/>
        <w:spacing w:after="624" w:afterLines="200"/>
        <w:jc w:val="center"/>
        <w:rPr>
          <w:rFonts w:ascii="微软雅黑" w:hAnsi="微软雅黑" w:eastAsia="微软雅黑" w:cs="宋体"/>
          <w:b/>
          <w:color w:val="C3AD72"/>
          <w:kern w:val="0"/>
          <w:sz w:val="16"/>
          <w:szCs w:val="16"/>
        </w:rPr>
      </w:pPr>
      <w:r>
        <w:rPr>
          <w:rFonts w:ascii="微软雅黑" w:hAnsi="微软雅黑" w:eastAsia="微软雅黑" w:cs="宋体"/>
          <w:b/>
          <w:color w:val="C3AD72"/>
          <w:kern w:val="0"/>
          <w:sz w:val="16"/>
          <w:szCs w:val="16"/>
        </w:rPr>
        <w:t>Summary Appraisal Report</w:t>
      </w:r>
    </w:p>
    <w:p>
      <w:pPr>
        <w:pStyle w:val="3"/>
        <w:topLinePunct/>
        <w:adjustRightInd w:val="0"/>
        <w:snapToGrid w:val="0"/>
        <w:spacing w:before="0" w:after="0" w:line="360" w:lineRule="auto"/>
        <w:rPr>
          <w:rFonts w:ascii="微软雅黑" w:hAnsi="微软雅黑" w:eastAsia="微软雅黑" w:cs="微软雅黑"/>
          <w:sz w:val="24"/>
          <w:szCs w:val="24"/>
        </w:rPr>
      </w:pPr>
      <w:bookmarkStart w:id="75" w:name="_Toc155258962"/>
      <w:bookmarkStart w:id="76" w:name="_Toc490299597"/>
      <w:bookmarkStart w:id="77" w:name="_Toc492480513"/>
      <w:bookmarkStart w:id="78" w:name="_Toc382493616"/>
      <w:bookmarkStart w:id="79" w:name="_Toc492461037"/>
      <w:bookmarkStart w:id="80" w:name="_Toc27099"/>
      <w:bookmarkStart w:id="81" w:name="_Toc503261506"/>
      <w:r>
        <w:rPr>
          <w:rFonts w:hint="eastAsia" w:ascii="微软雅黑" w:hAnsi="微软雅黑" w:eastAsia="微软雅黑" w:cs="微软雅黑"/>
          <w:bCs w:val="0"/>
          <w:sz w:val="24"/>
          <w:szCs w:val="24"/>
        </w:rPr>
        <w:t>一、估价</w:t>
      </w:r>
      <w:r>
        <w:rPr>
          <w:rFonts w:hint="eastAsia" w:ascii="微软雅黑" w:hAnsi="微软雅黑" w:eastAsia="微软雅黑"/>
          <w:sz w:val="24"/>
          <w:szCs w:val="24"/>
        </w:rPr>
        <w:t>委托人</w:t>
      </w:r>
      <w:bookmarkEnd w:id="75"/>
      <w:bookmarkEnd w:id="76"/>
      <w:bookmarkEnd w:id="77"/>
      <w:bookmarkEnd w:id="78"/>
      <w:bookmarkEnd w:id="79"/>
      <w:bookmarkEnd w:id="80"/>
      <w:bookmarkEnd w:id="81"/>
    </w:p>
    <w:p>
      <w:pPr>
        <w:pStyle w:val="25"/>
        <w:topLinePunct/>
        <w:adjustRightInd w:val="0"/>
        <w:snapToGrid w:val="0"/>
        <w:spacing w:line="360" w:lineRule="auto"/>
        <w:rPr>
          <w:rFonts w:hint="eastAsia" w:ascii="微软雅黑" w:hAnsi="微软雅黑" w:eastAsia="微软雅黑" w:cs="微软雅黑"/>
          <w:szCs w:val="21"/>
          <w:lang w:eastAsia="zh-CN"/>
        </w:rPr>
      </w:pPr>
      <w:bookmarkStart w:id="82" w:name="_Toc490299599"/>
      <w:bookmarkStart w:id="83" w:name="_Toc492480515"/>
      <w:bookmarkStart w:id="84" w:name="_Toc503261508"/>
      <w:bookmarkStart w:id="85" w:name="_Toc382493619"/>
      <w:bookmarkStart w:id="86" w:name="_Toc155258964"/>
      <w:r>
        <w:rPr>
          <w:rFonts w:hint="eastAsia" w:ascii="微软雅黑" w:hAnsi="微软雅黑" w:eastAsia="微软雅黑" w:cs="微软雅黑"/>
          <w:szCs w:val="21"/>
        </w:rPr>
        <w:t>名称：</w:t>
      </w:r>
      <w:r>
        <w:rPr>
          <w:rFonts w:hint="eastAsia" w:ascii="微软雅黑" w:hAnsi="微软雅黑" w:eastAsia="微软雅黑" w:cs="仿宋_GB2312"/>
          <w:szCs w:val="21"/>
          <w:lang w:eastAsia="zh-CN"/>
        </w:rPr>
        <w:t>淳安县人民法院</w:t>
      </w:r>
    </w:p>
    <w:p>
      <w:pPr>
        <w:pStyle w:val="3"/>
        <w:topLinePunct/>
        <w:adjustRightInd w:val="0"/>
        <w:snapToGrid w:val="0"/>
        <w:spacing w:before="0" w:after="0" w:line="360" w:lineRule="auto"/>
        <w:rPr>
          <w:rFonts w:ascii="微软雅黑" w:hAnsi="微软雅黑" w:eastAsia="微软雅黑" w:cs="微软雅黑"/>
          <w:bCs w:val="0"/>
          <w:sz w:val="24"/>
          <w:szCs w:val="24"/>
        </w:rPr>
      </w:pPr>
      <w:bookmarkStart w:id="87" w:name="_Toc13025"/>
      <w:bookmarkStart w:id="88" w:name="_Toc22651513"/>
      <w:r>
        <w:rPr>
          <w:rFonts w:hint="eastAsia" w:ascii="微软雅黑" w:hAnsi="微软雅黑" w:eastAsia="微软雅黑" w:cs="微软雅黑"/>
          <w:bCs w:val="0"/>
          <w:sz w:val="24"/>
          <w:szCs w:val="24"/>
        </w:rPr>
        <w:t>二、房地产估价</w:t>
      </w:r>
      <w:r>
        <w:rPr>
          <w:rFonts w:hint="eastAsia" w:ascii="微软雅黑" w:hAnsi="微软雅黑" w:eastAsia="微软雅黑"/>
          <w:sz w:val="24"/>
          <w:szCs w:val="24"/>
        </w:rPr>
        <w:t>机构</w:t>
      </w:r>
      <w:bookmarkEnd w:id="87"/>
      <w:bookmarkEnd w:id="88"/>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名称：</w:t>
      </w:r>
      <w:r>
        <w:rPr>
          <w:rFonts w:hint="eastAsia" w:ascii="微软雅黑" w:hAnsi="微软雅黑" w:eastAsia="微软雅黑" w:cs="仿宋_GB2312"/>
          <w:spacing w:val="10"/>
          <w:szCs w:val="21"/>
        </w:rPr>
        <w:t>浙江嘉华房地产土地资产评估咨询有限公司</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住所：</w:t>
      </w:r>
      <w:r>
        <w:rPr>
          <w:rFonts w:hint="eastAsia" w:ascii="微软雅黑" w:hAnsi="微软雅黑" w:eastAsia="微软雅黑" w:cs="仿宋_GB2312"/>
          <w:spacing w:val="10"/>
          <w:szCs w:val="21"/>
        </w:rPr>
        <w:t>杭州市上城区建国南路288号第八层803室</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法定代表人：</w:t>
      </w:r>
      <w:r>
        <w:rPr>
          <w:rFonts w:hint="eastAsia" w:ascii="微软雅黑" w:hAnsi="微软雅黑" w:eastAsia="微软雅黑" w:cs="仿宋_GB2312"/>
          <w:spacing w:val="10"/>
          <w:szCs w:val="21"/>
        </w:rPr>
        <w:t>张凡</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资质等级：</w:t>
      </w:r>
      <w:r>
        <w:rPr>
          <w:rFonts w:hint="eastAsia" w:ascii="微软雅黑" w:hAnsi="微软雅黑" w:eastAsia="微软雅黑" w:cs="仿宋_GB2312"/>
          <w:spacing w:val="10"/>
          <w:szCs w:val="21"/>
        </w:rPr>
        <w:t>一级</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资质证书编号：浙</w:t>
      </w:r>
      <w:r>
        <w:rPr>
          <w:rFonts w:hint="eastAsia" w:ascii="微软雅黑" w:hAnsi="微软雅黑" w:eastAsia="微软雅黑" w:cs="仿宋_GB2312"/>
          <w:spacing w:val="10"/>
          <w:szCs w:val="21"/>
        </w:rPr>
        <w:t>建房估证字[2016]002号</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资质证书有效期：</w:t>
      </w:r>
      <w:r>
        <w:rPr>
          <w:rFonts w:hint="eastAsia" w:ascii="微软雅黑" w:hAnsi="微软雅黑" w:eastAsia="微软雅黑" w:cs="仿宋_GB2312"/>
          <w:spacing w:val="10"/>
          <w:szCs w:val="21"/>
        </w:rPr>
        <w:t>2022年03月07日至2025年03月06日</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营业执照注册号（统一社会信用代码）：913301027544097501</w:t>
      </w:r>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联系人:陈女士</w:t>
      </w:r>
    </w:p>
    <w:p>
      <w:pPr>
        <w:topLinePunct/>
        <w:adjustRightInd w:val="0"/>
        <w:snapToGrid w:val="0"/>
        <w:spacing w:line="360" w:lineRule="auto"/>
        <w:ind w:firstLine="420" w:firstLineChars="200"/>
        <w:rPr>
          <w:rFonts w:ascii="微软雅黑" w:hAnsi="微软雅黑" w:eastAsia="微软雅黑" w:cs="仿宋_GB2312"/>
          <w:szCs w:val="21"/>
        </w:rPr>
      </w:pPr>
      <w:r>
        <w:rPr>
          <w:rFonts w:hint="eastAsia" w:ascii="微软雅黑" w:hAnsi="微软雅黑" w:eastAsia="微软雅黑"/>
          <w:szCs w:val="21"/>
        </w:rPr>
        <w:t>联系电话:（0571）8724 1931</w:t>
      </w:r>
    </w:p>
    <w:p>
      <w:pPr>
        <w:pStyle w:val="3"/>
        <w:topLinePunct/>
        <w:adjustRightInd w:val="0"/>
        <w:snapToGrid w:val="0"/>
        <w:spacing w:before="0" w:after="0" w:line="360" w:lineRule="auto"/>
        <w:rPr>
          <w:rFonts w:ascii="微软雅黑" w:hAnsi="微软雅黑" w:eastAsia="微软雅黑" w:cs="微软雅黑"/>
          <w:bCs w:val="0"/>
          <w:sz w:val="24"/>
          <w:szCs w:val="24"/>
        </w:rPr>
      </w:pPr>
      <w:bookmarkStart w:id="89" w:name="_Toc26546"/>
      <w:r>
        <w:rPr>
          <w:rFonts w:hint="eastAsia" w:ascii="微软雅黑" w:hAnsi="微软雅黑" w:eastAsia="微软雅黑" w:cs="微软雅黑"/>
          <w:bCs w:val="0"/>
          <w:sz w:val="24"/>
          <w:szCs w:val="24"/>
        </w:rPr>
        <w:t>三、</w:t>
      </w:r>
      <w:r>
        <w:rPr>
          <w:rFonts w:hint="eastAsia" w:ascii="微软雅黑" w:hAnsi="微软雅黑" w:eastAsia="微软雅黑"/>
          <w:sz w:val="24"/>
          <w:szCs w:val="24"/>
        </w:rPr>
        <w:t>估价</w:t>
      </w:r>
      <w:r>
        <w:rPr>
          <w:rFonts w:hint="eastAsia" w:ascii="微软雅黑" w:hAnsi="微软雅黑" w:eastAsia="微软雅黑" w:cs="微软雅黑"/>
          <w:bCs w:val="0"/>
          <w:sz w:val="24"/>
          <w:szCs w:val="24"/>
        </w:rPr>
        <w:t>目的</w:t>
      </w:r>
      <w:bookmarkEnd w:id="82"/>
      <w:bookmarkEnd w:id="83"/>
      <w:bookmarkEnd w:id="84"/>
      <w:bookmarkEnd w:id="89"/>
    </w:p>
    <w:p>
      <w:pPr>
        <w:pStyle w:val="25"/>
        <w:topLinePunct/>
        <w:adjustRightInd w:val="0"/>
        <w:snapToGrid w:val="0"/>
        <w:spacing w:line="360" w:lineRule="auto"/>
        <w:rPr>
          <w:rFonts w:ascii="微软雅黑" w:hAnsi="微软雅黑" w:eastAsia="微软雅黑"/>
          <w:color w:val="000000"/>
          <w:szCs w:val="21"/>
        </w:rPr>
      </w:pPr>
      <w:bookmarkStart w:id="90" w:name="_Toc492480516"/>
      <w:bookmarkStart w:id="91" w:name="_Toc490299600"/>
      <w:r>
        <w:rPr>
          <w:rFonts w:hint="eastAsia" w:ascii="微软雅黑" w:hAnsi="微软雅黑" w:eastAsia="微软雅黑" w:cs="仿宋_GB2312"/>
        </w:rPr>
        <w:t>为</w:t>
      </w:r>
      <w:r>
        <w:rPr>
          <w:rFonts w:hint="eastAsia" w:ascii="微软雅黑" w:hAnsi="微软雅黑" w:eastAsia="微软雅黑" w:cs="仿宋_GB2312"/>
          <w:lang w:eastAsia="zh-CN"/>
        </w:rPr>
        <w:t>淳安县人民法院</w:t>
      </w:r>
      <w:r>
        <w:rPr>
          <w:rFonts w:hint="eastAsia" w:ascii="微软雅黑" w:hAnsi="微软雅黑" w:eastAsia="微软雅黑" w:cs="仿宋_GB2312"/>
        </w:rPr>
        <w:t>确定财产处置参考价提供参考依据而评估房地产市场价值</w:t>
      </w:r>
      <w:r>
        <w:rPr>
          <w:rFonts w:hint="eastAsia" w:ascii="微软雅黑" w:hAnsi="微软雅黑" w:eastAsia="微软雅黑"/>
          <w:color w:val="000000"/>
          <w:szCs w:val="21"/>
        </w:rPr>
        <w:t>。</w:t>
      </w:r>
    </w:p>
    <w:p>
      <w:pPr>
        <w:pStyle w:val="3"/>
        <w:topLinePunct/>
        <w:adjustRightInd w:val="0"/>
        <w:snapToGrid w:val="0"/>
        <w:spacing w:before="0" w:after="0" w:line="360" w:lineRule="auto"/>
        <w:rPr>
          <w:rFonts w:ascii="微软雅黑" w:hAnsi="微软雅黑" w:eastAsia="微软雅黑" w:cs="微软雅黑"/>
          <w:bCs w:val="0"/>
          <w:sz w:val="24"/>
          <w:szCs w:val="24"/>
        </w:rPr>
      </w:pPr>
      <w:bookmarkStart w:id="92" w:name="_Toc14659"/>
      <w:bookmarkStart w:id="93" w:name="_Toc503261509"/>
      <w:r>
        <w:rPr>
          <w:rFonts w:hint="eastAsia" w:ascii="微软雅黑" w:hAnsi="微软雅黑" w:eastAsia="微软雅黑" w:cs="微软雅黑"/>
          <w:bCs w:val="0"/>
          <w:sz w:val="24"/>
          <w:szCs w:val="24"/>
        </w:rPr>
        <w:t>四、估价对象</w:t>
      </w:r>
      <w:bookmarkEnd w:id="85"/>
      <w:bookmarkEnd w:id="90"/>
      <w:bookmarkEnd w:id="91"/>
      <w:bookmarkEnd w:id="92"/>
      <w:bookmarkEnd w:id="93"/>
    </w:p>
    <w:p>
      <w:pPr>
        <w:pStyle w:val="25"/>
        <w:topLinePunct/>
        <w:adjustRightInd w:val="0"/>
        <w:snapToGrid w:val="0"/>
        <w:spacing w:line="360" w:lineRule="auto"/>
        <w:rPr>
          <w:rFonts w:ascii="微软雅黑" w:hAnsi="微软雅黑" w:eastAsia="微软雅黑" w:cs="微软雅黑"/>
          <w:b/>
          <w:szCs w:val="21"/>
        </w:rPr>
      </w:pPr>
      <w:bookmarkStart w:id="94" w:name="_Toc384813581"/>
      <w:bookmarkStart w:id="95" w:name="_Toc387827692"/>
      <w:bookmarkStart w:id="96" w:name="_Toc382493620"/>
      <w:bookmarkStart w:id="97" w:name="_Toc383068139"/>
      <w:r>
        <w:rPr>
          <w:rFonts w:hint="eastAsia" w:ascii="微软雅黑" w:hAnsi="微软雅黑" w:eastAsia="微软雅黑" w:cs="微软雅黑"/>
          <w:b/>
          <w:szCs w:val="21"/>
        </w:rPr>
        <w:t>（一）估价对象范围</w:t>
      </w:r>
      <w:bookmarkEnd w:id="86"/>
      <w:bookmarkEnd w:id="94"/>
      <w:bookmarkEnd w:id="95"/>
      <w:bookmarkEnd w:id="96"/>
      <w:bookmarkEnd w:id="97"/>
    </w:p>
    <w:p>
      <w:pPr>
        <w:topLinePunct/>
        <w:adjustRightInd w:val="0"/>
        <w:snapToGrid w:val="0"/>
        <w:spacing w:line="360" w:lineRule="auto"/>
        <w:ind w:firstLine="420" w:firstLineChars="200"/>
        <w:rPr>
          <w:rFonts w:ascii="微软雅黑" w:hAnsi="微软雅黑" w:eastAsia="微软雅黑" w:cs="仿宋_GB2312"/>
          <w:szCs w:val="21"/>
        </w:rPr>
      </w:pPr>
      <w:r>
        <w:rPr>
          <w:rFonts w:hint="eastAsia" w:ascii="微软雅黑" w:hAnsi="微软雅黑" w:eastAsia="微软雅黑" w:cs="仿宋_GB2312"/>
          <w:szCs w:val="21"/>
        </w:rPr>
        <w:t>根据估价委托人提供的委托资料，纳入本次评估范围的估价对象为</w:t>
      </w:r>
      <w:r>
        <w:rPr>
          <w:rFonts w:hint="eastAsia" w:ascii="微软雅黑" w:hAnsi="微软雅黑" w:eastAsia="微软雅黑" w:cs="仿宋_GB2312"/>
          <w:szCs w:val="21"/>
          <w:lang w:eastAsia="zh-CN"/>
        </w:rPr>
        <w:t>淳安县千岛湖镇康盛花园19号3单元605室</w:t>
      </w:r>
      <w:r>
        <w:rPr>
          <w:rFonts w:hint="eastAsia" w:ascii="微软雅黑" w:hAnsi="微软雅黑" w:eastAsia="微软雅黑" w:cs="仿宋_GB2312"/>
          <w:szCs w:val="21"/>
        </w:rPr>
        <w:t>住宅房地产，建筑面积为</w:t>
      </w:r>
      <w:r>
        <w:rPr>
          <w:rFonts w:hint="eastAsia" w:ascii="微软雅黑" w:hAnsi="微软雅黑" w:eastAsia="微软雅黑" w:cs="仿宋_GB2312"/>
          <w:szCs w:val="21"/>
          <w:lang w:eastAsia="zh-CN"/>
        </w:rPr>
        <w:t>75.1</w:t>
      </w:r>
      <w:r>
        <w:rPr>
          <w:rFonts w:hint="eastAsia" w:ascii="微软雅黑" w:hAnsi="微软雅黑" w:eastAsia="微软雅黑" w:cs="仿宋_GB2312"/>
          <w:szCs w:val="21"/>
        </w:rPr>
        <w:t>平方米，</w:t>
      </w:r>
      <w:r>
        <w:rPr>
          <w:rFonts w:hint="eastAsia" w:ascii="微软雅黑" w:hAnsi="微软雅黑" w:eastAsia="微软雅黑" w:cs="仿宋_GB2312"/>
          <w:szCs w:val="21"/>
          <w:lang w:val="en-US" w:eastAsia="zh-CN"/>
        </w:rPr>
        <w:t>土地使用权面积为30.97平方米，</w:t>
      </w:r>
      <w:r>
        <w:rPr>
          <w:rFonts w:hint="eastAsia" w:ascii="微软雅黑" w:hAnsi="微软雅黑" w:eastAsia="微软雅黑" w:cs="仿宋_GB2312"/>
          <w:szCs w:val="21"/>
        </w:rPr>
        <w:t>包括国有土地使用权价值和与房屋有关的土建、安装及与估价对象房地产不可分割的满足其合理功能需要的其他功能设施，不包括室内其它可移动物品。</w:t>
      </w:r>
    </w:p>
    <w:p>
      <w:pPr>
        <w:pStyle w:val="25"/>
        <w:topLinePunct/>
        <w:adjustRightInd w:val="0"/>
        <w:snapToGrid w:val="0"/>
        <w:spacing w:line="360" w:lineRule="auto"/>
        <w:rPr>
          <w:rFonts w:ascii="微软雅黑" w:hAnsi="微软雅黑" w:eastAsia="微软雅黑" w:cs="微软雅黑"/>
          <w:b/>
          <w:szCs w:val="21"/>
        </w:rPr>
      </w:pPr>
      <w:r>
        <w:rPr>
          <w:rFonts w:hint="eastAsia" w:ascii="微软雅黑" w:hAnsi="微软雅黑" w:eastAsia="微软雅黑" w:cs="微软雅黑"/>
          <w:b/>
          <w:szCs w:val="21"/>
        </w:rPr>
        <w:t>（二）估价对象基本状况</w:t>
      </w:r>
    </w:p>
    <w:p>
      <w:pPr>
        <w:topLinePunct/>
        <w:adjustRightInd w:val="0"/>
        <w:snapToGrid w:val="0"/>
        <w:spacing w:line="360" w:lineRule="auto"/>
        <w:ind w:firstLine="420" w:firstLineChars="200"/>
        <w:rPr>
          <w:rFonts w:ascii="微软雅黑" w:hAnsi="微软雅黑" w:eastAsia="微软雅黑"/>
          <w:b/>
          <w:bCs/>
          <w:szCs w:val="21"/>
        </w:rPr>
      </w:pPr>
      <w:bookmarkStart w:id="98" w:name="OLE_LINK42"/>
      <w:r>
        <w:rPr>
          <w:rFonts w:hint="eastAsia" w:ascii="微软雅黑" w:hAnsi="微软雅黑" w:eastAsia="微软雅黑"/>
          <w:b/>
          <w:bCs/>
          <w:szCs w:val="21"/>
        </w:rPr>
        <w:t>1、估价对象权益状况</w:t>
      </w:r>
    </w:p>
    <w:p>
      <w:pPr>
        <w:topLinePunct/>
        <w:adjustRightInd w:val="0"/>
        <w:snapToGrid w:val="0"/>
        <w:spacing w:line="360" w:lineRule="auto"/>
        <w:ind w:firstLine="420" w:firstLineChars="200"/>
        <w:rPr>
          <w:rFonts w:ascii="微软雅黑" w:hAnsi="微软雅黑" w:eastAsia="微软雅黑" w:cs="仿宋_GB2312"/>
          <w:szCs w:val="21"/>
        </w:rPr>
      </w:pPr>
      <w:r>
        <w:rPr>
          <w:rFonts w:hint="eastAsia" w:ascii="微软雅黑" w:hAnsi="微软雅黑" w:eastAsia="微软雅黑" w:cs="仿宋_GB2312"/>
          <w:szCs w:val="21"/>
        </w:rPr>
        <w:t>根据《</w:t>
      </w:r>
      <w:r>
        <w:rPr>
          <w:rFonts w:hint="eastAsia" w:ascii="微软雅黑" w:hAnsi="微软雅黑" w:eastAsia="微软雅黑" w:cs="仿宋_GB2312"/>
          <w:szCs w:val="21"/>
          <w:lang w:eastAsia="zh-CN"/>
        </w:rPr>
        <w:t>淳安县不动产权属信息查询记录</w:t>
      </w:r>
      <w:r>
        <w:rPr>
          <w:rFonts w:hint="eastAsia" w:ascii="微软雅黑" w:hAnsi="微软雅黑" w:eastAsia="微软雅黑" w:cs="仿宋_GB2312"/>
          <w:szCs w:val="21"/>
        </w:rPr>
        <w:t>》（</w:t>
      </w:r>
      <w:r>
        <w:rPr>
          <w:rFonts w:hint="eastAsia" w:ascii="微软雅黑" w:hAnsi="微软雅黑" w:eastAsia="微软雅黑" w:cs="仿宋_GB2312"/>
          <w:szCs w:val="21"/>
          <w:lang w:eastAsia="zh-CN"/>
        </w:rPr>
        <w:t>编号：CQ20220902-0000790</w:t>
      </w:r>
      <w:r>
        <w:rPr>
          <w:rFonts w:hint="eastAsia" w:ascii="微软雅黑" w:hAnsi="微软雅黑" w:eastAsia="微软雅黑" w:cs="仿宋_GB2312"/>
          <w:szCs w:val="21"/>
        </w:rPr>
        <w:t>），估价对象权利状况及分析如下：</w:t>
      </w:r>
    </w:p>
    <w:p>
      <w:pPr>
        <w:pStyle w:val="24"/>
        <w:numPr>
          <w:ilvl w:val="0"/>
          <w:numId w:val="7"/>
        </w:numPr>
        <w:topLinePunct/>
        <w:adjustRightInd w:val="0"/>
        <w:snapToGrid w:val="0"/>
        <w:spacing w:line="360" w:lineRule="auto"/>
        <w:ind w:firstLineChars="0"/>
        <w:rPr>
          <w:rFonts w:ascii="微软雅黑" w:hAnsi="微软雅黑" w:eastAsia="微软雅黑" w:cs="仿宋_GB2312"/>
          <w:b/>
          <w:bCs/>
          <w:szCs w:val="21"/>
        </w:rPr>
      </w:pPr>
      <w:r>
        <w:rPr>
          <w:rFonts w:hint="eastAsia" w:ascii="微软雅黑" w:hAnsi="微软雅黑" w:eastAsia="微软雅黑" w:cs="仿宋_GB2312"/>
          <w:b/>
          <w:bCs/>
          <w:szCs w:val="21"/>
          <w:lang w:eastAsia="zh-CN"/>
        </w:rPr>
        <w:t>不动产</w:t>
      </w:r>
      <w:r>
        <w:rPr>
          <w:rFonts w:hint="eastAsia" w:ascii="微软雅黑" w:hAnsi="微软雅黑" w:eastAsia="微软雅黑" w:cs="仿宋_GB2312"/>
          <w:b/>
          <w:bCs/>
          <w:szCs w:val="21"/>
        </w:rPr>
        <w:t>权益登记状况</w:t>
      </w:r>
    </w:p>
    <w:tbl>
      <w:tblPr>
        <w:tblStyle w:val="17"/>
        <w:tblW w:w="8575" w:type="dxa"/>
        <w:jc w:val="center"/>
        <w:tblLayout w:type="fixed"/>
        <w:tblCellMar>
          <w:top w:w="0" w:type="dxa"/>
          <w:left w:w="108" w:type="dxa"/>
          <w:bottom w:w="0" w:type="dxa"/>
          <w:right w:w="108" w:type="dxa"/>
        </w:tblCellMar>
      </w:tblPr>
      <w:tblGrid>
        <w:gridCol w:w="2000"/>
        <w:gridCol w:w="6575"/>
      </w:tblGrid>
      <w:tr>
        <w:tblPrEx>
          <w:tblCellMar>
            <w:top w:w="0" w:type="dxa"/>
            <w:left w:w="108" w:type="dxa"/>
            <w:bottom w:w="0" w:type="dxa"/>
            <w:right w:w="108" w:type="dxa"/>
          </w:tblCellMar>
        </w:tblPrEx>
        <w:trPr>
          <w:trHeight w:val="459" w:hRule="atLeast"/>
          <w:jc w:val="center"/>
        </w:trPr>
        <w:tc>
          <w:tcPr>
            <w:tcW w:w="2000" w:type="dxa"/>
            <w:tcBorders>
              <w:top w:val="single" w:color="auto" w:sz="12" w:space="0"/>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权证号（证明号）</w:t>
            </w:r>
          </w:p>
        </w:tc>
        <w:tc>
          <w:tcPr>
            <w:tcW w:w="6575" w:type="dxa"/>
            <w:tcBorders>
              <w:top w:val="single" w:color="auto" w:sz="12" w:space="0"/>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highlight w:val="none"/>
                <w:lang w:eastAsia="zh-CN"/>
              </w:rPr>
              <w:t>浙（</w:t>
            </w:r>
            <w:r>
              <w:rPr>
                <w:rFonts w:hint="eastAsia" w:ascii="微软雅黑" w:hAnsi="微软雅黑" w:eastAsia="微软雅黑" w:cs="微软雅黑"/>
                <w:sz w:val="20"/>
                <w:szCs w:val="20"/>
                <w:highlight w:val="none"/>
                <w:lang w:val="en-US" w:eastAsia="zh-CN"/>
              </w:rPr>
              <w:t>2020</w:t>
            </w:r>
            <w:r>
              <w:rPr>
                <w:rFonts w:hint="eastAsia" w:ascii="微软雅黑" w:hAnsi="微软雅黑" w:eastAsia="微软雅黑" w:cs="微软雅黑"/>
                <w:sz w:val="20"/>
                <w:szCs w:val="20"/>
                <w:highlight w:val="none"/>
                <w:lang w:eastAsia="zh-CN"/>
              </w:rPr>
              <w:t>）淳安县不动产权第</w:t>
            </w:r>
            <w:r>
              <w:rPr>
                <w:rFonts w:hint="eastAsia" w:ascii="微软雅黑" w:hAnsi="微软雅黑" w:eastAsia="微软雅黑" w:cs="微软雅黑"/>
                <w:sz w:val="20"/>
                <w:szCs w:val="20"/>
                <w:highlight w:val="none"/>
                <w:lang w:val="en-US" w:eastAsia="zh-CN"/>
              </w:rPr>
              <w:t>0025220号</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不动产坐落</w:t>
            </w:r>
          </w:p>
        </w:tc>
        <w:tc>
          <w:tcPr>
            <w:tcW w:w="6575" w:type="dxa"/>
            <w:tcBorders>
              <w:top w:val="dotted" w:color="auto" w:sz="4" w:space="0"/>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淳安县</w:t>
            </w:r>
            <w:r>
              <w:rPr>
                <w:rFonts w:hint="eastAsia" w:ascii="微软雅黑" w:hAnsi="微软雅黑" w:eastAsia="微软雅黑" w:cs="微软雅黑"/>
                <w:sz w:val="20"/>
                <w:szCs w:val="20"/>
                <w:lang w:eastAsia="zh-CN"/>
              </w:rPr>
              <w:t>千岛湖镇康盛花园19号3单元605室</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sz w:val="20"/>
                <w:szCs w:val="20"/>
              </w:rPr>
              <w:t>权利人</w:t>
            </w:r>
          </w:p>
        </w:tc>
        <w:tc>
          <w:tcPr>
            <w:tcW w:w="6575" w:type="dxa"/>
            <w:tcBorders>
              <w:top w:val="dotted" w:color="auto" w:sz="4" w:space="0"/>
              <w:left w:val="nil"/>
              <w:bottom w:val="dotted" w:color="auto" w:sz="4" w:space="0"/>
              <w:right w:val="single" w:color="auto" w:sz="12"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color w:val="000000"/>
                <w:kern w:val="0"/>
                <w:sz w:val="20"/>
                <w:szCs w:val="20"/>
                <w:lang w:eastAsia="zh-CN"/>
              </w:rPr>
            </w:pPr>
            <w:r>
              <w:rPr>
                <w:rFonts w:hint="eastAsia" w:ascii="微软雅黑" w:hAnsi="微软雅黑" w:eastAsia="微软雅黑" w:cs="微软雅黑"/>
                <w:sz w:val="20"/>
                <w:szCs w:val="20"/>
                <w:lang w:eastAsia="zh-CN"/>
              </w:rPr>
              <w:t>袁建国</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用途</w:t>
            </w:r>
          </w:p>
        </w:tc>
        <w:tc>
          <w:tcPr>
            <w:tcW w:w="6575" w:type="dxa"/>
            <w:tcBorders>
              <w:top w:val="dotted" w:color="auto" w:sz="4" w:space="0"/>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eastAsia="zh-CN"/>
              </w:rPr>
              <w:t>城镇住宅用地</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z w:val="20"/>
                <w:szCs w:val="20"/>
              </w:rPr>
              <w:t>住宅</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color w:val="000000"/>
                <w:kern w:val="0"/>
                <w:sz w:val="20"/>
                <w:szCs w:val="20"/>
              </w:rPr>
              <w:t>建筑面积</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75.1</w:t>
            </w:r>
            <w:r>
              <w:rPr>
                <w:rFonts w:hint="eastAsia" w:ascii="微软雅黑" w:hAnsi="微软雅黑" w:eastAsia="微软雅黑" w:cs="微软雅黑"/>
                <w:color w:val="000000"/>
                <w:kern w:val="0"/>
                <w:sz w:val="20"/>
                <w:szCs w:val="20"/>
              </w:rPr>
              <w:t>㎡</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土地使用权面积</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30.97</w:t>
            </w:r>
            <w:r>
              <w:rPr>
                <w:rFonts w:hint="eastAsia" w:ascii="微软雅黑" w:hAnsi="微软雅黑" w:eastAsia="微软雅黑" w:cs="微软雅黑"/>
                <w:color w:val="000000"/>
                <w:kern w:val="0"/>
                <w:sz w:val="20"/>
                <w:szCs w:val="20"/>
              </w:rPr>
              <w:t>㎡</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使用期限</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eastAsia="zh-CN"/>
              </w:rPr>
              <w:t>至</w:t>
            </w:r>
            <w:r>
              <w:rPr>
                <w:rFonts w:hint="eastAsia" w:ascii="微软雅黑" w:hAnsi="微软雅黑" w:eastAsia="微软雅黑" w:cs="微软雅黑"/>
                <w:sz w:val="20"/>
                <w:szCs w:val="20"/>
                <w:lang w:val="en-US" w:eastAsia="zh-CN"/>
              </w:rPr>
              <w:t>2080年01月16日</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限制信息</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该不动产有查封，有抵押</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权利类型</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国有建设用地使用权</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z w:val="20"/>
                <w:szCs w:val="20"/>
              </w:rPr>
              <w:t>房屋所有权</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权利性质</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出让/存量房产</w:t>
            </w:r>
          </w:p>
        </w:tc>
      </w:tr>
      <w:tr>
        <w:tblPrEx>
          <w:tblCellMar>
            <w:top w:w="0" w:type="dxa"/>
            <w:left w:w="108" w:type="dxa"/>
            <w:bottom w:w="0" w:type="dxa"/>
            <w:right w:w="108" w:type="dxa"/>
          </w:tblCellMar>
        </w:tblPrEx>
        <w:trPr>
          <w:trHeight w:val="459" w:hRule="atLeast"/>
          <w:jc w:val="center"/>
        </w:trPr>
        <w:tc>
          <w:tcPr>
            <w:tcW w:w="2000" w:type="dxa"/>
            <w:tcBorders>
              <w:top w:val="nil"/>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共有情况</w:t>
            </w:r>
          </w:p>
        </w:tc>
        <w:tc>
          <w:tcPr>
            <w:tcW w:w="6575" w:type="dxa"/>
            <w:tcBorders>
              <w:top w:val="nil"/>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单独所有</w:t>
            </w:r>
          </w:p>
        </w:tc>
      </w:tr>
      <w:tr>
        <w:tblPrEx>
          <w:tblCellMar>
            <w:top w:w="0" w:type="dxa"/>
            <w:left w:w="108" w:type="dxa"/>
            <w:bottom w:w="0" w:type="dxa"/>
            <w:right w:w="108" w:type="dxa"/>
          </w:tblCellMar>
        </w:tblPrEx>
        <w:trPr>
          <w:trHeight w:val="459" w:hRule="atLeast"/>
          <w:jc w:val="center"/>
        </w:trPr>
        <w:tc>
          <w:tcPr>
            <w:tcW w:w="2000" w:type="dxa"/>
            <w:tcBorders>
              <w:top w:val="dotted" w:color="auto" w:sz="4" w:space="0"/>
              <w:left w:val="single" w:color="auto" w:sz="12" w:space="0"/>
              <w:bottom w:val="dotted" w:color="auto" w:sz="4"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登记日期</w:t>
            </w:r>
          </w:p>
        </w:tc>
        <w:tc>
          <w:tcPr>
            <w:tcW w:w="6575" w:type="dxa"/>
            <w:tcBorders>
              <w:top w:val="dotted" w:color="auto" w:sz="4" w:space="0"/>
              <w:left w:val="nil"/>
              <w:bottom w:val="dotted" w:color="auto" w:sz="4"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2020</w:t>
            </w:r>
            <w:r>
              <w:rPr>
                <w:rFonts w:hint="eastAsia" w:ascii="微软雅黑" w:hAnsi="微软雅黑" w:eastAsia="微软雅黑" w:cs="微软雅黑"/>
                <w:sz w:val="20"/>
                <w:szCs w:val="20"/>
              </w:rPr>
              <w:t>年</w:t>
            </w:r>
            <w:r>
              <w:rPr>
                <w:rFonts w:hint="eastAsia" w:ascii="微软雅黑" w:hAnsi="微软雅黑" w:eastAsia="微软雅黑" w:cs="微软雅黑"/>
                <w:sz w:val="20"/>
                <w:szCs w:val="20"/>
                <w:lang w:val="en-US" w:eastAsia="zh-CN"/>
              </w:rPr>
              <w:t>08</w:t>
            </w:r>
            <w:r>
              <w:rPr>
                <w:rFonts w:hint="eastAsia" w:ascii="微软雅黑" w:hAnsi="微软雅黑" w:eastAsia="微软雅黑" w:cs="微软雅黑"/>
                <w:sz w:val="20"/>
                <w:szCs w:val="20"/>
              </w:rPr>
              <w:t>月</w:t>
            </w:r>
            <w:r>
              <w:rPr>
                <w:rFonts w:hint="eastAsia" w:ascii="微软雅黑" w:hAnsi="微软雅黑" w:eastAsia="微软雅黑" w:cs="微软雅黑"/>
                <w:sz w:val="20"/>
                <w:szCs w:val="20"/>
                <w:lang w:val="en-US" w:eastAsia="zh-CN"/>
              </w:rPr>
              <w:t>21</w:t>
            </w:r>
            <w:r>
              <w:rPr>
                <w:rFonts w:hint="eastAsia" w:ascii="微软雅黑" w:hAnsi="微软雅黑" w:eastAsia="微软雅黑" w:cs="微软雅黑"/>
                <w:sz w:val="20"/>
                <w:szCs w:val="20"/>
              </w:rPr>
              <w:t>日</w:t>
            </w:r>
          </w:p>
        </w:tc>
      </w:tr>
      <w:tr>
        <w:tblPrEx>
          <w:tblCellMar>
            <w:top w:w="0" w:type="dxa"/>
            <w:left w:w="108" w:type="dxa"/>
            <w:bottom w:w="0" w:type="dxa"/>
            <w:right w:w="108" w:type="dxa"/>
          </w:tblCellMar>
        </w:tblPrEx>
        <w:trPr>
          <w:trHeight w:val="459" w:hRule="atLeast"/>
          <w:jc w:val="center"/>
        </w:trPr>
        <w:tc>
          <w:tcPr>
            <w:tcW w:w="2000" w:type="dxa"/>
            <w:tcBorders>
              <w:top w:val="dotted" w:color="auto" w:sz="4" w:space="0"/>
              <w:left w:val="single" w:color="auto" w:sz="12" w:space="0"/>
              <w:bottom w:val="single" w:color="auto" w:sz="12" w:space="0"/>
              <w:right w:val="dotted" w:color="auto" w:sz="4"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权利状态</w:t>
            </w:r>
          </w:p>
        </w:tc>
        <w:tc>
          <w:tcPr>
            <w:tcW w:w="6575" w:type="dxa"/>
            <w:tcBorders>
              <w:top w:val="dotted" w:color="auto" w:sz="4" w:space="0"/>
              <w:left w:val="nil"/>
              <w:bottom w:val="single" w:color="auto" w:sz="12" w:space="0"/>
              <w:right w:val="single" w:color="auto" w:sz="12" w:space="0"/>
            </w:tcBorders>
            <w:shd w:val="clear" w:color="000000" w:fill="FFFFFF"/>
            <w:vAlign w:val="center"/>
          </w:tcPr>
          <w:p>
            <w:pPr>
              <w:pStyle w:val="42"/>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现状</w:t>
            </w:r>
          </w:p>
        </w:tc>
      </w:tr>
      <w:bookmarkEnd w:id="98"/>
    </w:tbl>
    <w:p>
      <w:pPr>
        <w:topLinePunct/>
        <w:adjustRightInd w:val="0"/>
        <w:snapToGrid w:val="0"/>
        <w:spacing w:line="360" w:lineRule="auto"/>
        <w:ind w:firstLine="420" w:firstLineChars="200"/>
        <w:rPr>
          <w:rFonts w:ascii="微软雅黑" w:hAnsi="微软雅黑" w:eastAsia="微软雅黑" w:cs="仿宋_GB2312"/>
          <w:b/>
          <w:bCs/>
          <w:szCs w:val="21"/>
        </w:rPr>
      </w:pPr>
      <w:r>
        <w:rPr>
          <w:rFonts w:hint="eastAsia" w:ascii="微软雅黑" w:hAnsi="微软雅黑" w:eastAsia="微软雅黑" w:cs="仿宋_GB2312"/>
          <w:b/>
          <w:bCs/>
          <w:szCs w:val="21"/>
        </w:rPr>
        <w:t>（2）他项权利设立情况</w:t>
      </w:r>
    </w:p>
    <w:p>
      <w:pPr>
        <w:topLinePunct/>
        <w:adjustRightInd w:val="0"/>
        <w:snapToGrid w:val="0"/>
        <w:spacing w:line="312" w:lineRule="auto"/>
        <w:ind w:firstLine="420" w:firstLineChars="200"/>
        <w:rPr>
          <w:rFonts w:ascii="微软雅黑" w:hAnsi="微软雅黑" w:eastAsia="微软雅黑" w:cs="仿宋_GB2312"/>
          <w:szCs w:val="21"/>
        </w:rPr>
      </w:pPr>
      <w:r>
        <w:rPr>
          <w:rFonts w:hint="eastAsia" w:ascii="微软雅黑" w:hAnsi="微软雅黑" w:eastAsia="微软雅黑"/>
          <w:szCs w:val="21"/>
        </w:rPr>
        <w:t>根据委托人提供的资料获知，估价对象已设定抵押他项权利，至价值时点，此项抵押他项权利尚未注销，根据估价目的，本次评估未考虑抵押他项权利对估价结果的影响，在此提请报告使用者注意</w:t>
      </w:r>
      <w:r>
        <w:rPr>
          <w:rFonts w:hint="eastAsia" w:ascii="微软雅黑" w:hAnsi="微软雅黑" w:eastAsia="微软雅黑" w:cs="仿宋_GB2312"/>
          <w:szCs w:val="21"/>
        </w:rPr>
        <w:t>。</w:t>
      </w:r>
    </w:p>
    <w:p>
      <w:pPr>
        <w:topLinePunct/>
        <w:adjustRightInd w:val="0"/>
        <w:snapToGrid w:val="0"/>
        <w:spacing w:line="312" w:lineRule="auto"/>
        <w:ind w:firstLine="420" w:firstLineChars="200"/>
        <w:rPr>
          <w:rFonts w:ascii="微软雅黑" w:hAnsi="微软雅黑" w:eastAsia="微软雅黑"/>
          <w:b/>
          <w:szCs w:val="21"/>
        </w:rPr>
      </w:pPr>
      <w:r>
        <w:rPr>
          <w:rFonts w:hint="eastAsia" w:ascii="微软雅黑" w:hAnsi="微软雅黑" w:eastAsia="微软雅黑"/>
          <w:b/>
          <w:szCs w:val="21"/>
        </w:rPr>
        <w:t>（3）其他特殊情况</w:t>
      </w:r>
    </w:p>
    <w:p>
      <w:pPr>
        <w:topLinePunct/>
        <w:adjustRightInd w:val="0"/>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仿宋_GB2312"/>
        </w:rPr>
        <w:t>根据委托人提供的资料获知</w:t>
      </w:r>
      <w:r>
        <w:rPr>
          <w:rFonts w:hint="eastAsia" w:ascii="微软雅黑" w:hAnsi="微软雅黑" w:eastAsia="微软雅黑" w:cs="仿宋_GB2312"/>
          <w:szCs w:val="21"/>
        </w:rPr>
        <w:t>，</w:t>
      </w:r>
      <w:r>
        <w:rPr>
          <w:rFonts w:hint="eastAsia" w:ascii="微软雅黑" w:hAnsi="微软雅黑" w:eastAsia="微软雅黑" w:cs="仿宋_GB2312"/>
        </w:rPr>
        <w:t>至价值时点，估价对象已被查封，根据估价目的，故本次评估不考虑查封对估价对象市场价值的影响，在此提请报告使用者注意</w:t>
      </w:r>
      <w:r>
        <w:rPr>
          <w:rFonts w:hint="eastAsia" w:ascii="微软雅黑" w:hAnsi="微软雅黑" w:eastAsia="微软雅黑" w:cs="仿宋_GB2312"/>
          <w:szCs w:val="21"/>
        </w:rPr>
        <w:t>。</w:t>
      </w:r>
    </w:p>
    <w:p>
      <w:pPr>
        <w:pStyle w:val="25"/>
        <w:topLinePunct/>
        <w:adjustRightInd w:val="0"/>
        <w:snapToGrid w:val="0"/>
        <w:spacing w:line="312" w:lineRule="auto"/>
        <w:rPr>
          <w:rFonts w:ascii="微软雅黑" w:hAnsi="微软雅黑" w:eastAsia="微软雅黑" w:cs="微软雅黑"/>
          <w:b/>
          <w:szCs w:val="21"/>
        </w:rPr>
      </w:pPr>
      <w:r>
        <w:rPr>
          <w:rFonts w:hint="eastAsia" w:ascii="微软雅黑" w:hAnsi="微软雅黑" w:eastAsia="微软雅黑" w:cs="微软雅黑"/>
          <w:b/>
          <w:szCs w:val="21"/>
        </w:rPr>
        <w:t>2、估价对象实物状况</w:t>
      </w:r>
    </w:p>
    <w:p>
      <w:pPr>
        <w:adjustRightInd w:val="0"/>
        <w:snapToGrid w:val="0"/>
        <w:spacing w:line="312" w:lineRule="auto"/>
        <w:ind w:firstLine="420" w:firstLineChars="200"/>
        <w:rPr>
          <w:rFonts w:ascii="微软雅黑" w:hAnsi="微软雅黑" w:eastAsia="微软雅黑" w:cs="仿宋_GB2312"/>
          <w:b/>
          <w:szCs w:val="21"/>
        </w:rPr>
      </w:pPr>
      <w:r>
        <w:rPr>
          <w:rFonts w:hint="eastAsia" w:ascii="微软雅黑" w:hAnsi="微软雅黑" w:eastAsia="微软雅黑" w:cs="仿宋_GB2312"/>
          <w:b/>
          <w:szCs w:val="21"/>
        </w:rPr>
        <w:t>（1）建筑物实物</w:t>
      </w:r>
      <w:r>
        <w:rPr>
          <w:rFonts w:ascii="微软雅黑" w:hAnsi="微软雅黑" w:eastAsia="微软雅黑" w:cs="仿宋_GB2312"/>
          <w:b/>
          <w:szCs w:val="21"/>
        </w:rPr>
        <w:t>状况</w:t>
      </w:r>
    </w:p>
    <w:p>
      <w:pPr>
        <w:topLinePunct/>
        <w:adjustRightInd w:val="0"/>
        <w:snapToGrid w:val="0"/>
        <w:spacing w:line="312" w:lineRule="auto"/>
        <w:ind w:firstLine="420" w:firstLineChars="200"/>
        <w:rPr>
          <w:rFonts w:ascii="微软雅黑" w:hAnsi="微软雅黑" w:eastAsia="微软雅黑" w:cs="仿宋_GB2312"/>
          <w:szCs w:val="21"/>
        </w:rPr>
      </w:pPr>
      <w:r>
        <w:rPr>
          <w:rFonts w:hint="eastAsia" w:ascii="微软雅黑" w:hAnsi="微软雅黑" w:eastAsia="微软雅黑" w:cs="仿宋_GB2312"/>
          <w:szCs w:val="21"/>
        </w:rPr>
        <w:t xml:space="preserve">◆建筑物状况： </w:t>
      </w:r>
      <w:r>
        <w:rPr>
          <w:rFonts w:hint="eastAsia" w:ascii="微软雅黑" w:hAnsi="微软雅黑" w:eastAsia="微软雅黑" w:cs="仿宋_GB2312"/>
        </w:rPr>
        <w:t>估价对象</w:t>
      </w:r>
      <w:r>
        <w:rPr>
          <w:rFonts w:hint="eastAsia" w:ascii="微软雅黑" w:hAnsi="微软雅黑" w:eastAsia="微软雅黑" w:cs="仿宋_GB2312"/>
          <w:lang w:val="en-US" w:eastAsia="zh-CN"/>
        </w:rPr>
        <w:t>所在小区为“康盛花园”，</w:t>
      </w:r>
      <w:r>
        <w:rPr>
          <w:rFonts w:hint="eastAsia" w:ascii="微软雅黑" w:hAnsi="微软雅黑" w:eastAsia="微软雅黑" w:cs="仿宋_GB2312"/>
        </w:rPr>
        <w:t>所在建筑物</w:t>
      </w:r>
      <w:r>
        <w:rPr>
          <w:rFonts w:hint="eastAsia" w:ascii="微软雅黑" w:hAnsi="微软雅黑" w:eastAsia="微软雅黑" w:cs="仿宋_GB2312"/>
          <w:lang w:val="en-US" w:eastAsia="zh-CN"/>
        </w:rPr>
        <w:t>为康盛花园19号</w:t>
      </w:r>
      <w:r>
        <w:rPr>
          <w:rFonts w:hint="eastAsia" w:ascii="微软雅黑" w:hAnsi="微软雅黑" w:eastAsia="微软雅黑" w:cs="仿宋_GB2312"/>
        </w:rPr>
        <w:t>，</w:t>
      </w:r>
      <w:r>
        <w:rPr>
          <w:rFonts w:hint="eastAsia" w:ascii="微软雅黑" w:hAnsi="微软雅黑" w:eastAsia="微软雅黑" w:cs="仿宋_GB2312"/>
          <w:lang w:val="en-US" w:eastAsia="zh-CN"/>
        </w:rPr>
        <w:t>钢筋混凝土</w:t>
      </w:r>
      <w:r>
        <w:rPr>
          <w:rFonts w:hint="eastAsia" w:ascii="微软雅黑" w:hAnsi="微软雅黑" w:eastAsia="微软雅黑" w:cs="仿宋_GB2312"/>
        </w:rPr>
        <w:t>结构，总层数</w:t>
      </w:r>
      <w:r>
        <w:rPr>
          <w:rFonts w:hint="eastAsia" w:ascii="微软雅黑" w:hAnsi="微软雅黑" w:eastAsia="微软雅黑" w:cs="仿宋_GB2312"/>
          <w:lang w:val="en-US" w:eastAsia="zh-CN"/>
        </w:rPr>
        <w:t>7</w:t>
      </w:r>
      <w:r>
        <w:rPr>
          <w:rFonts w:hint="eastAsia" w:ascii="微软雅黑" w:hAnsi="微软雅黑" w:eastAsia="微软雅黑" w:cs="仿宋_GB2312"/>
        </w:rPr>
        <w:t>层</w:t>
      </w:r>
      <w:r>
        <w:rPr>
          <w:rFonts w:hint="eastAsia" w:ascii="微软雅黑" w:hAnsi="微软雅黑" w:eastAsia="微软雅黑" w:cs="仿宋_GB2312"/>
          <w:lang w:eastAsia="zh-CN"/>
        </w:rPr>
        <w:t>（</w:t>
      </w:r>
      <w:r>
        <w:rPr>
          <w:rFonts w:hint="eastAsia" w:ascii="微软雅黑" w:hAnsi="微软雅黑" w:eastAsia="微软雅黑" w:cs="仿宋_GB2312"/>
          <w:lang w:val="en-US" w:eastAsia="zh-CN"/>
        </w:rPr>
        <w:t>含地下1层</w:t>
      </w:r>
      <w:r>
        <w:rPr>
          <w:rFonts w:hint="eastAsia" w:ascii="微软雅黑" w:hAnsi="微软雅黑" w:eastAsia="微软雅黑" w:cs="仿宋_GB2312"/>
          <w:lang w:eastAsia="zh-CN"/>
        </w:rPr>
        <w:t>）</w:t>
      </w:r>
      <w:r>
        <w:rPr>
          <w:rFonts w:hint="eastAsia" w:ascii="微软雅黑" w:hAnsi="微软雅黑" w:eastAsia="微软雅黑" w:cs="仿宋_GB2312"/>
        </w:rPr>
        <w:t>，建成于</w:t>
      </w:r>
      <w:r>
        <w:rPr>
          <w:rFonts w:hint="eastAsia" w:ascii="微软雅黑" w:hAnsi="微软雅黑" w:eastAsia="微软雅黑" w:cs="仿宋_GB2312"/>
          <w:lang w:val="en-US" w:eastAsia="zh-CN"/>
        </w:rPr>
        <w:t>2012</w:t>
      </w:r>
      <w:r>
        <w:rPr>
          <w:rFonts w:hint="eastAsia" w:ascii="微软雅黑" w:hAnsi="微软雅黑" w:eastAsia="微软雅黑" w:cs="仿宋_GB2312"/>
        </w:rPr>
        <w:t>年。</w:t>
      </w:r>
      <w:r>
        <w:rPr>
          <w:rFonts w:hint="eastAsia" w:ascii="微软雅黑" w:hAnsi="微软雅黑" w:eastAsia="微软雅黑" w:cs="仿宋_GB2312"/>
          <w:lang w:val="en-US" w:eastAsia="zh-CN"/>
        </w:rPr>
        <w:t>整幢建筑物</w:t>
      </w:r>
      <w:r>
        <w:rPr>
          <w:rFonts w:hint="eastAsia" w:ascii="微软雅黑" w:hAnsi="微软雅黑" w:eastAsia="微软雅黑" w:cs="仿宋_GB2312"/>
        </w:rPr>
        <w:t>外墙为</w:t>
      </w:r>
      <w:r>
        <w:rPr>
          <w:rFonts w:hint="eastAsia" w:ascii="微软雅黑" w:hAnsi="微软雅黑" w:eastAsia="微软雅黑" w:cs="仿宋_GB2312"/>
          <w:lang w:eastAsia="zh-CN"/>
        </w:rPr>
        <w:t>防水涂料</w:t>
      </w:r>
      <w:r>
        <w:rPr>
          <w:rFonts w:hint="eastAsia" w:ascii="微软雅黑" w:hAnsi="微软雅黑" w:eastAsia="微软雅黑" w:cs="仿宋_GB2312"/>
        </w:rPr>
        <w:t>，</w:t>
      </w:r>
      <w:r>
        <w:rPr>
          <w:rFonts w:hint="eastAsia" w:ascii="微软雅黑" w:hAnsi="微软雅黑" w:eastAsia="微软雅黑" w:cs="仿宋_GB2312"/>
          <w:highlight w:val="none"/>
          <w:lang w:val="en-US" w:eastAsia="zh-CN"/>
        </w:rPr>
        <w:t>内墙为</w:t>
      </w:r>
      <w:r>
        <w:rPr>
          <w:rFonts w:hint="eastAsia" w:ascii="微软雅黑" w:hAnsi="微软雅黑" w:eastAsia="微软雅黑" w:cs="仿宋_GB2312"/>
          <w:lang w:val="en-US" w:eastAsia="zh-CN"/>
        </w:rPr>
        <w:t>乳胶漆刷白，内外墙</w:t>
      </w:r>
      <w:r>
        <w:rPr>
          <w:rFonts w:hint="eastAsia" w:ascii="微软雅黑" w:hAnsi="微软雅黑" w:eastAsia="微软雅黑" w:cs="仿宋_GB2312"/>
        </w:rPr>
        <w:t>保养较好</w:t>
      </w:r>
      <w:r>
        <w:rPr>
          <w:rFonts w:hint="eastAsia" w:ascii="微软雅黑" w:hAnsi="微软雅黑" w:eastAsia="微软雅黑" w:cs="仿宋_GB2312"/>
          <w:szCs w:val="21"/>
        </w:rPr>
        <w:t>。</w:t>
      </w:r>
    </w:p>
    <w:p>
      <w:pPr>
        <w:topLinePunct/>
        <w:adjustRightInd w:val="0"/>
        <w:snapToGrid w:val="0"/>
        <w:spacing w:line="312" w:lineRule="auto"/>
        <w:ind w:firstLine="420" w:firstLineChars="200"/>
        <w:rPr>
          <w:rFonts w:hint="eastAsia" w:ascii="微软雅黑" w:hAnsi="微软雅黑" w:eastAsia="微软雅黑" w:cs="仿宋_GB2312"/>
        </w:rPr>
      </w:pPr>
      <w:r>
        <w:rPr>
          <w:rFonts w:hint="eastAsia" w:ascii="微软雅黑" w:hAnsi="微软雅黑" w:eastAsia="微软雅黑" w:cs="仿宋_GB2312"/>
          <w:szCs w:val="21"/>
        </w:rPr>
        <w:t>◆估价对象房屋状况：</w:t>
      </w:r>
      <w:r>
        <w:rPr>
          <w:rFonts w:hint="eastAsia" w:ascii="微软雅黑" w:hAnsi="微软雅黑" w:eastAsia="微软雅黑" w:cs="仿宋_GB2312"/>
        </w:rPr>
        <w:t>估价对象</w:t>
      </w:r>
      <w:r>
        <w:rPr>
          <w:rFonts w:hint="eastAsia" w:ascii="微软雅黑" w:hAnsi="微软雅黑" w:eastAsia="微软雅黑" w:cs="仿宋_GB2312"/>
          <w:lang w:val="en-US" w:eastAsia="zh-CN"/>
        </w:rPr>
        <w:t>为</w:t>
      </w:r>
      <w:r>
        <w:rPr>
          <w:rFonts w:hint="eastAsia" w:ascii="微软雅黑" w:hAnsi="微软雅黑" w:eastAsia="微软雅黑" w:cs="仿宋_GB2312"/>
          <w:szCs w:val="21"/>
          <w:lang w:eastAsia="zh-CN"/>
        </w:rPr>
        <w:t>淳安县千岛湖镇康盛花园19号3单元605室</w:t>
      </w:r>
      <w:r>
        <w:rPr>
          <w:rFonts w:hint="eastAsia" w:ascii="微软雅黑" w:hAnsi="微软雅黑" w:eastAsia="微软雅黑" w:cs="仿宋_GB2312"/>
          <w:szCs w:val="21"/>
          <w:lang w:val="en-US" w:eastAsia="zh-CN"/>
        </w:rPr>
        <w:t>住宅房地产</w:t>
      </w:r>
      <w:r>
        <w:rPr>
          <w:rFonts w:hint="eastAsia" w:ascii="微软雅黑" w:hAnsi="微软雅黑" w:eastAsia="微软雅黑" w:cs="仿宋_GB2312"/>
          <w:szCs w:val="21"/>
        </w:rPr>
        <w:t>，</w:t>
      </w:r>
      <w:r>
        <w:rPr>
          <w:rFonts w:hint="eastAsia" w:ascii="微软雅黑" w:hAnsi="微软雅黑" w:eastAsia="微软雅黑" w:cs="仿宋_GB2312"/>
        </w:rPr>
        <w:t>建筑面积为</w:t>
      </w:r>
      <w:r>
        <w:rPr>
          <w:rFonts w:hint="eastAsia" w:ascii="微软雅黑" w:hAnsi="微软雅黑" w:eastAsia="微软雅黑" w:cs="仿宋_GB2312"/>
          <w:lang w:eastAsia="zh-CN"/>
        </w:rPr>
        <w:t>75.1</w:t>
      </w:r>
      <w:r>
        <w:rPr>
          <w:rFonts w:hint="eastAsia" w:ascii="微软雅黑" w:hAnsi="微软雅黑" w:eastAsia="微软雅黑" w:cs="仿宋_GB2312"/>
        </w:rPr>
        <w:t>平方米</w:t>
      </w:r>
      <w:r>
        <w:rPr>
          <w:rFonts w:hint="eastAsia" w:ascii="微软雅黑" w:hAnsi="微软雅黑" w:eastAsia="微软雅黑" w:cs="仿宋_GB2312"/>
          <w:lang w:val="en-US" w:eastAsia="zh-CN"/>
        </w:rPr>
        <w:t>，</w:t>
      </w:r>
      <w:r>
        <w:rPr>
          <w:rFonts w:hint="eastAsia" w:ascii="微软雅黑" w:hAnsi="微软雅黑" w:eastAsia="微软雅黑" w:cs="仿宋_GB2312"/>
          <w:szCs w:val="21"/>
          <w:lang w:eastAsia="zh-CN"/>
        </w:rPr>
        <w:t>所在层次</w:t>
      </w:r>
      <w:r>
        <w:rPr>
          <w:rFonts w:hint="eastAsia" w:ascii="微软雅黑" w:hAnsi="微软雅黑" w:eastAsia="微软雅黑" w:cs="仿宋_GB2312"/>
          <w:szCs w:val="21"/>
          <w:lang w:val="en-US" w:eastAsia="zh-CN"/>
        </w:rPr>
        <w:t>6</w:t>
      </w:r>
      <w:r>
        <w:rPr>
          <w:rFonts w:hint="eastAsia" w:ascii="微软雅黑" w:hAnsi="微软雅黑" w:eastAsia="微软雅黑" w:cs="仿宋_GB2312"/>
          <w:szCs w:val="21"/>
        </w:rPr>
        <w:t>层</w:t>
      </w:r>
      <w:r>
        <w:rPr>
          <w:rFonts w:hint="eastAsia" w:ascii="微软雅黑" w:hAnsi="微软雅黑" w:eastAsia="微软雅黑" w:cs="仿宋_GB2312"/>
        </w:rPr>
        <w:t>。单元平面布局为</w:t>
      </w:r>
      <w:r>
        <w:rPr>
          <w:rFonts w:hint="eastAsia" w:ascii="微软雅黑" w:hAnsi="微软雅黑" w:eastAsia="微软雅黑" w:cs="仿宋_GB2312"/>
          <w:highlight w:val="none"/>
          <w:lang w:val="en-US" w:eastAsia="zh-CN"/>
        </w:rPr>
        <w:t>一梯</w:t>
      </w:r>
      <w:r>
        <w:rPr>
          <w:rFonts w:hint="eastAsia" w:ascii="微软雅黑" w:hAnsi="微软雅黑" w:eastAsia="微软雅黑" w:cs="仿宋_GB2312"/>
          <w:highlight w:val="none"/>
        </w:rPr>
        <w:t>二户</w:t>
      </w:r>
      <w:r>
        <w:rPr>
          <w:rFonts w:hint="eastAsia" w:ascii="微软雅黑" w:hAnsi="微软雅黑" w:eastAsia="微软雅黑" w:cs="仿宋_GB2312"/>
        </w:rPr>
        <w:t>、楼层形式为标准层、</w:t>
      </w:r>
      <w:r>
        <w:rPr>
          <w:rFonts w:hint="eastAsia" w:ascii="微软雅黑" w:hAnsi="微软雅黑" w:eastAsia="微软雅黑" w:cs="仿宋_GB2312"/>
          <w:lang w:val="en-US" w:eastAsia="zh-CN"/>
        </w:rPr>
        <w:t>南北朝向、</w:t>
      </w:r>
      <w:r>
        <w:rPr>
          <w:rFonts w:hint="eastAsia" w:ascii="微软雅黑" w:hAnsi="微软雅黑" w:eastAsia="微软雅黑" w:cs="仿宋_GB2312"/>
          <w:lang w:eastAsia="zh-CN"/>
        </w:rPr>
        <w:t>中间</w:t>
      </w:r>
      <w:r>
        <w:rPr>
          <w:rFonts w:hint="eastAsia" w:ascii="微软雅黑" w:hAnsi="微软雅黑" w:eastAsia="微软雅黑" w:cs="仿宋_GB2312"/>
        </w:rPr>
        <w:t>套</w:t>
      </w:r>
      <w:r>
        <w:rPr>
          <w:rFonts w:hint="eastAsia" w:ascii="微软雅黑" w:hAnsi="微软雅黑" w:eastAsia="微软雅黑" w:cs="仿宋_GB2312"/>
          <w:lang w:eastAsia="zh-CN"/>
        </w:rPr>
        <w:t>，</w:t>
      </w:r>
      <w:r>
        <w:rPr>
          <w:rFonts w:hint="eastAsia" w:ascii="微软雅黑" w:hAnsi="微软雅黑" w:eastAsia="微软雅黑" w:cs="仿宋_GB2312"/>
        </w:rPr>
        <w:t>现户型为</w:t>
      </w:r>
      <w:r>
        <w:rPr>
          <w:rFonts w:hint="eastAsia" w:ascii="微软雅黑" w:hAnsi="微软雅黑" w:eastAsia="微软雅黑" w:cs="仿宋_GB2312"/>
          <w:lang w:val="en-US" w:eastAsia="zh-CN"/>
        </w:rPr>
        <w:t>二</w:t>
      </w:r>
      <w:r>
        <w:rPr>
          <w:rFonts w:hint="eastAsia" w:ascii="微软雅黑" w:hAnsi="微软雅黑" w:eastAsia="微软雅黑" w:cs="仿宋_GB2312"/>
        </w:rPr>
        <w:t>室</w:t>
      </w:r>
      <w:r>
        <w:rPr>
          <w:rFonts w:hint="eastAsia" w:ascii="微软雅黑" w:hAnsi="微软雅黑" w:eastAsia="微软雅黑" w:cs="仿宋_GB2312"/>
          <w:lang w:val="en-US" w:eastAsia="zh-CN"/>
        </w:rPr>
        <w:t>二</w:t>
      </w:r>
      <w:r>
        <w:rPr>
          <w:rFonts w:hint="eastAsia" w:ascii="微软雅黑" w:hAnsi="微软雅黑" w:eastAsia="微软雅黑" w:cs="仿宋_GB2312"/>
        </w:rPr>
        <w:t>厅一厨一卫</w:t>
      </w:r>
      <w:r>
        <w:rPr>
          <w:rFonts w:hint="eastAsia" w:ascii="微软雅黑" w:hAnsi="微软雅黑" w:eastAsia="微软雅黑" w:cs="仿宋_GB2312"/>
          <w:lang w:val="en-US" w:eastAsia="zh-CN"/>
        </w:rPr>
        <w:t>一阳台</w:t>
      </w:r>
      <w:r>
        <w:rPr>
          <w:rFonts w:hint="eastAsia" w:ascii="微软雅黑" w:hAnsi="微软雅黑" w:eastAsia="微软雅黑" w:cs="仿宋_GB2312"/>
        </w:rPr>
        <w:t>，其中</w:t>
      </w:r>
      <w:r>
        <w:rPr>
          <w:rFonts w:hint="eastAsia" w:ascii="微软雅黑" w:hAnsi="微软雅黑" w:eastAsia="微软雅黑" w:cs="仿宋_GB2312"/>
          <w:lang w:eastAsia="zh-CN"/>
        </w:rPr>
        <w:t>二室、</w:t>
      </w:r>
      <w:r>
        <w:rPr>
          <w:rFonts w:hint="eastAsia" w:ascii="微软雅黑" w:hAnsi="微软雅黑" w:eastAsia="微软雅黑" w:cs="仿宋_GB2312"/>
          <w:lang w:val="en-US" w:eastAsia="zh-CN"/>
        </w:rPr>
        <w:t>一阳台</w:t>
      </w:r>
      <w:r>
        <w:rPr>
          <w:rFonts w:hint="eastAsia" w:ascii="微软雅黑" w:hAnsi="微软雅黑" w:eastAsia="微软雅黑" w:cs="仿宋_GB2312"/>
          <w:lang w:eastAsia="zh-CN"/>
        </w:rPr>
        <w:t>朝南</w:t>
      </w:r>
      <w:r>
        <w:rPr>
          <w:rFonts w:hint="eastAsia" w:ascii="微软雅黑" w:hAnsi="微软雅黑" w:eastAsia="微软雅黑" w:cs="仿宋_GB2312"/>
        </w:rPr>
        <w:t>；</w:t>
      </w:r>
      <w:r>
        <w:rPr>
          <w:rFonts w:hint="eastAsia" w:ascii="微软雅黑" w:hAnsi="微软雅黑" w:eastAsia="微软雅黑" w:cs="仿宋_GB2312"/>
          <w:lang w:val="en-US" w:eastAsia="zh-CN"/>
        </w:rPr>
        <w:t>一厅、</w:t>
      </w:r>
      <w:r>
        <w:rPr>
          <w:rFonts w:hint="eastAsia" w:ascii="微软雅黑" w:hAnsi="微软雅黑" w:eastAsia="微软雅黑" w:cs="仿宋_GB2312"/>
          <w:lang w:eastAsia="zh-CN"/>
        </w:rPr>
        <w:t>厨房、卫生间朝北；</w:t>
      </w:r>
      <w:r>
        <w:rPr>
          <w:rFonts w:hint="eastAsia" w:ascii="微软雅黑" w:hAnsi="微软雅黑" w:eastAsia="微软雅黑" w:cs="仿宋_GB2312"/>
          <w:lang w:val="en-US" w:eastAsia="zh-CN"/>
        </w:rPr>
        <w:t>一厅居中</w:t>
      </w:r>
      <w:r>
        <w:rPr>
          <w:rFonts w:hint="eastAsia" w:ascii="微软雅黑" w:hAnsi="微软雅黑" w:eastAsia="微软雅黑" w:cs="仿宋_GB2312"/>
        </w:rPr>
        <w:t>。</w:t>
      </w:r>
      <w:r>
        <w:rPr>
          <w:rFonts w:hint="eastAsia" w:ascii="微软雅黑" w:hAnsi="微软雅黑" w:eastAsia="微软雅黑" w:cs="仿宋_GB2312"/>
          <w:lang w:val="en-US" w:eastAsia="zh-CN"/>
        </w:rPr>
        <w:t>室内为毛坯</w:t>
      </w:r>
      <w:r>
        <w:rPr>
          <w:rFonts w:hint="eastAsia" w:ascii="微软雅黑" w:hAnsi="微软雅黑" w:eastAsia="微软雅黑" w:cs="宋体"/>
          <w:color w:val="000000"/>
          <w:kern w:val="0"/>
          <w:sz w:val="20"/>
          <w:szCs w:val="20"/>
          <w:lang w:eastAsia="zh-CN"/>
        </w:rPr>
        <w:t>，</w:t>
      </w:r>
      <w:r>
        <w:rPr>
          <w:rFonts w:hint="eastAsia" w:ascii="微软雅黑" w:hAnsi="微软雅黑" w:eastAsia="微软雅黑" w:cs="仿宋_GB2312"/>
        </w:rPr>
        <w:t>通风、采光较好，水、电</w:t>
      </w:r>
      <w:r>
        <w:rPr>
          <w:rFonts w:hint="eastAsia" w:ascii="微软雅黑" w:hAnsi="微软雅黑" w:eastAsia="微软雅黑" w:cs="仿宋_GB2312"/>
          <w:lang w:eastAsia="zh-CN"/>
        </w:rPr>
        <w:t>、</w:t>
      </w:r>
      <w:r>
        <w:rPr>
          <w:rFonts w:hint="eastAsia" w:ascii="微软雅黑" w:hAnsi="微软雅黑" w:eastAsia="微软雅黑" w:cs="仿宋_GB2312"/>
          <w:lang w:val="en-US" w:eastAsia="zh-CN"/>
        </w:rPr>
        <w:t>网络等设施设有端口</w:t>
      </w:r>
      <w:r>
        <w:rPr>
          <w:rFonts w:hint="eastAsia" w:ascii="微软雅黑" w:hAnsi="微软雅黑" w:eastAsia="微软雅黑" w:cs="仿宋_GB2312"/>
        </w:rPr>
        <w:t>；房屋总体使用与保养状况较好。</w:t>
      </w:r>
    </w:p>
    <w:p>
      <w:pPr>
        <w:topLinePunct/>
        <w:adjustRightInd w:val="0"/>
        <w:snapToGrid w:val="0"/>
        <w:spacing w:line="312" w:lineRule="auto"/>
        <w:ind w:firstLine="420" w:firstLineChars="200"/>
        <w:rPr>
          <w:rFonts w:hint="eastAsia" w:ascii="微软雅黑" w:hAnsi="微软雅黑" w:eastAsia="微软雅黑" w:cs="仿宋_GB2312"/>
          <w:b/>
          <w:bCs/>
          <w:lang w:val="en-US" w:eastAsia="zh-CN"/>
        </w:rPr>
      </w:pPr>
      <w:r>
        <w:rPr>
          <w:rFonts w:hint="eastAsia" w:ascii="微软雅黑" w:hAnsi="微软雅黑" w:eastAsia="微软雅黑" w:cs="仿宋_GB2312"/>
          <w:b/>
          <w:bCs/>
          <w:lang w:val="en-US" w:eastAsia="zh-CN"/>
        </w:rPr>
        <w:t>另估价对象位于顶层，顶部为坡屋顶，部分层高较高，附带一露台，由于室内尚未设计楼梯，未能对顶层露台进行查勘，具体状况未知，</w:t>
      </w:r>
      <w:r>
        <w:rPr>
          <w:rFonts w:hint="eastAsia" w:ascii="微软雅黑" w:hAnsi="微软雅黑" w:eastAsia="微软雅黑" w:cs="仿宋_GB2312"/>
          <w:b/>
          <w:bCs/>
          <w:szCs w:val="21"/>
        </w:rPr>
        <w:t>特提请报告使用者注意</w:t>
      </w:r>
      <w:r>
        <w:rPr>
          <w:rFonts w:hint="eastAsia" w:ascii="微软雅黑" w:hAnsi="微软雅黑" w:eastAsia="微软雅黑" w:cs="仿宋_GB2312"/>
          <w:b/>
          <w:bCs/>
          <w:szCs w:val="21"/>
          <w:lang w:eastAsia="zh-CN"/>
        </w:rPr>
        <w:t>。</w:t>
      </w:r>
    </w:p>
    <w:p>
      <w:pPr>
        <w:topLinePunct/>
        <w:adjustRightInd w:val="0"/>
        <w:snapToGrid w:val="0"/>
        <w:spacing w:line="312" w:lineRule="auto"/>
        <w:ind w:firstLine="420" w:firstLineChars="200"/>
        <w:rPr>
          <w:rFonts w:ascii="微软雅黑" w:hAnsi="微软雅黑" w:eastAsia="微软雅黑"/>
        </w:rPr>
      </w:pPr>
      <w:r>
        <w:rPr>
          <w:rFonts w:hint="eastAsia" w:ascii="微软雅黑" w:hAnsi="微软雅黑" w:eastAsia="微软雅黑" w:cs="仿宋_GB2312"/>
          <w:szCs w:val="21"/>
        </w:rPr>
        <w:t>◆估价对象利用现状：至价值时点，估价对象</w:t>
      </w:r>
      <w:r>
        <w:rPr>
          <w:rFonts w:hint="eastAsia" w:ascii="微软雅黑" w:hAnsi="微软雅黑" w:eastAsia="微软雅黑" w:cs="仿宋_GB2312"/>
          <w:szCs w:val="21"/>
          <w:lang w:val="en-US" w:eastAsia="zh-CN"/>
        </w:rPr>
        <w:t>为</w:t>
      </w:r>
      <w:r>
        <w:rPr>
          <w:rFonts w:hint="eastAsia" w:ascii="微软雅黑" w:hAnsi="微软雅黑" w:eastAsia="微软雅黑" w:cs="仿宋_GB2312"/>
          <w:szCs w:val="21"/>
          <w:lang w:eastAsia="zh-CN"/>
        </w:rPr>
        <w:t>空置</w:t>
      </w:r>
      <w:r>
        <w:rPr>
          <w:rFonts w:hint="eastAsia" w:ascii="微软雅黑" w:hAnsi="微软雅黑" w:eastAsia="微软雅黑" w:cs="仿宋_GB2312"/>
          <w:szCs w:val="21"/>
          <w:lang w:val="en-US" w:eastAsia="zh-CN"/>
        </w:rPr>
        <w:t>中</w:t>
      </w:r>
      <w:r>
        <w:rPr>
          <w:rFonts w:hint="eastAsia" w:ascii="微软雅黑" w:hAnsi="微软雅黑" w:eastAsia="微软雅黑" w:cs="仿宋_GB2312"/>
          <w:szCs w:val="21"/>
        </w:rPr>
        <w:t>。</w:t>
      </w:r>
    </w:p>
    <w:p>
      <w:pPr>
        <w:topLinePunct/>
        <w:adjustRightInd w:val="0"/>
        <w:snapToGrid w:val="0"/>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（2）土地实物状</w:t>
      </w:r>
    </w:p>
    <w:p>
      <w:pPr>
        <w:topLinePunct/>
        <w:adjustRightInd w:val="0"/>
        <w:snapToGrid w:val="0"/>
        <w:spacing w:line="312" w:lineRule="auto"/>
        <w:ind w:firstLine="420" w:firstLineChars="200"/>
        <w:rPr>
          <w:rFonts w:ascii="微软雅黑" w:hAnsi="微软雅黑" w:eastAsia="微软雅黑" w:cs="仿宋_GB2312"/>
          <w:szCs w:val="21"/>
        </w:rPr>
      </w:pPr>
      <w:r>
        <w:rPr>
          <w:rFonts w:hint="eastAsia" w:ascii="微软雅黑" w:hAnsi="微软雅黑" w:eastAsia="微软雅黑" w:cs="仿宋_GB2312"/>
          <w:szCs w:val="21"/>
        </w:rPr>
        <w:t>估价对象坐落于</w:t>
      </w:r>
      <w:r>
        <w:rPr>
          <w:rFonts w:hint="eastAsia" w:ascii="微软雅黑" w:hAnsi="微软雅黑" w:eastAsia="微软雅黑" w:cs="仿宋_GB2312"/>
          <w:szCs w:val="21"/>
          <w:lang w:eastAsia="zh-CN"/>
        </w:rPr>
        <w:t>淳安县千岛湖镇康盛花园19号3单元605室</w:t>
      </w:r>
      <w:r>
        <w:rPr>
          <w:rFonts w:hint="eastAsia" w:ascii="微软雅黑" w:hAnsi="微软雅黑" w:eastAsia="微软雅黑" w:cs="仿宋_GB2312"/>
          <w:szCs w:val="21"/>
        </w:rPr>
        <w:t>，</w:t>
      </w:r>
      <w:bookmarkStart w:id="99" w:name="OLE_LINK35"/>
      <w:bookmarkStart w:id="100" w:name="OLE_LINK25"/>
      <w:bookmarkStart w:id="101" w:name="OLE_LINK27"/>
      <w:bookmarkStart w:id="102" w:name="OLE_LINK24"/>
      <w:bookmarkStart w:id="103" w:name="OLE_LINK39"/>
      <w:bookmarkStart w:id="104" w:name="OLE_LINK26"/>
      <w:bookmarkStart w:id="105" w:name="OLE_LINK32"/>
      <w:bookmarkStart w:id="106" w:name="OLE_LINK34"/>
      <w:bookmarkStart w:id="107" w:name="OLE_LINK38"/>
      <w:bookmarkStart w:id="108" w:name="OLE_LINK28"/>
      <w:bookmarkStart w:id="109" w:name="OLE_LINK31"/>
      <w:bookmarkStart w:id="110" w:name="OLE_LINK37"/>
      <w:bookmarkStart w:id="111" w:name="OLE_LINK36"/>
      <w:bookmarkStart w:id="112" w:name="OLE_LINK23"/>
      <w:r>
        <w:rPr>
          <w:rFonts w:hint="eastAsia" w:ascii="微软雅黑" w:hAnsi="微软雅黑" w:eastAsia="微软雅黑" w:cs="仿宋_GB2312"/>
          <w:szCs w:val="21"/>
          <w:highlight w:val="none"/>
        </w:rPr>
        <w:t>所在</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hint="eastAsia" w:ascii="微软雅黑" w:hAnsi="微软雅黑" w:eastAsia="微软雅黑" w:cs="仿宋_GB2312"/>
          <w:szCs w:val="21"/>
          <w:highlight w:val="none"/>
        </w:rPr>
        <w:t>宗地</w:t>
      </w:r>
      <w:r>
        <w:rPr>
          <w:rFonts w:hint="eastAsia" w:ascii="微软雅黑" w:hAnsi="微软雅黑" w:eastAsia="微软雅黑" w:cs="仿宋_GB2312"/>
          <w:szCs w:val="21"/>
          <w:highlight w:val="none"/>
          <w:lang w:eastAsia="zh-CN"/>
        </w:rPr>
        <w:t>东、</w:t>
      </w:r>
      <w:r>
        <w:rPr>
          <w:rFonts w:hint="eastAsia" w:ascii="微软雅黑" w:hAnsi="微软雅黑" w:eastAsia="微软雅黑" w:cs="仿宋_GB2312"/>
          <w:szCs w:val="21"/>
          <w:highlight w:val="none"/>
          <w:lang w:val="en-US" w:eastAsia="zh-CN"/>
        </w:rPr>
        <w:t>南、北</w:t>
      </w:r>
      <w:r>
        <w:rPr>
          <w:rFonts w:hint="eastAsia" w:ascii="微软雅黑" w:hAnsi="微软雅黑" w:eastAsia="微软雅黑" w:cs="仿宋_GB2312"/>
          <w:szCs w:val="21"/>
          <w:highlight w:val="none"/>
          <w:lang w:eastAsia="zh-CN"/>
        </w:rPr>
        <w:t>至</w:t>
      </w:r>
      <w:r>
        <w:rPr>
          <w:rFonts w:hint="eastAsia" w:ascii="微软雅黑" w:hAnsi="微软雅黑" w:eastAsia="微软雅黑" w:cs="仿宋_GB2312"/>
          <w:szCs w:val="21"/>
          <w:highlight w:val="none"/>
          <w:lang w:val="en-US" w:eastAsia="zh-CN"/>
        </w:rPr>
        <w:t>其他建筑物</w:t>
      </w:r>
      <w:r>
        <w:rPr>
          <w:rFonts w:hint="eastAsia" w:ascii="微软雅黑" w:hAnsi="微软雅黑" w:eastAsia="微软雅黑" w:cs="仿宋_GB2312"/>
          <w:szCs w:val="21"/>
          <w:highlight w:val="none"/>
        </w:rPr>
        <w:t>，</w:t>
      </w:r>
      <w:r>
        <w:rPr>
          <w:rFonts w:hint="eastAsia" w:ascii="微软雅黑" w:hAnsi="微软雅黑" w:eastAsia="微软雅黑" w:cs="仿宋_GB2312"/>
          <w:szCs w:val="21"/>
          <w:highlight w:val="none"/>
          <w:lang w:val="en-US" w:eastAsia="zh-CN"/>
        </w:rPr>
        <w:t>西</w:t>
      </w:r>
      <w:r>
        <w:rPr>
          <w:rFonts w:hint="eastAsia" w:ascii="微软雅黑" w:hAnsi="微软雅黑" w:eastAsia="微软雅黑" w:cs="仿宋_GB2312"/>
          <w:szCs w:val="21"/>
          <w:highlight w:val="none"/>
          <w:lang w:eastAsia="zh-CN"/>
        </w:rPr>
        <w:t>至</w:t>
      </w:r>
      <w:r>
        <w:rPr>
          <w:rFonts w:hint="eastAsia" w:ascii="微软雅黑" w:hAnsi="微软雅黑" w:eastAsia="微软雅黑" w:cs="仿宋_GB2312"/>
          <w:szCs w:val="21"/>
          <w:highlight w:val="none"/>
          <w:lang w:val="en-US" w:eastAsia="zh-CN"/>
        </w:rPr>
        <w:t>丹桂路</w:t>
      </w:r>
      <w:r>
        <w:rPr>
          <w:rFonts w:hint="eastAsia" w:ascii="微软雅黑" w:hAnsi="微软雅黑" w:eastAsia="微软雅黑" w:cs="仿宋_GB2312"/>
          <w:szCs w:val="21"/>
          <w:highlight w:val="none"/>
        </w:rPr>
        <w:t>，</w:t>
      </w:r>
      <w:r>
        <w:rPr>
          <w:rFonts w:hint="eastAsia" w:ascii="微软雅黑" w:hAnsi="微软雅黑" w:eastAsia="微软雅黑" w:cs="仿宋_GB2312"/>
          <w:szCs w:val="21"/>
        </w:rPr>
        <w:t>地块呈较规则形状，水文地质条件较好，土壤无污染，环境质量较好，地质坚实，承载力适于建筑，地下水水质未发现污染，无不良地质现象。</w:t>
      </w:r>
    </w:p>
    <w:p>
      <w:pPr>
        <w:topLinePunct/>
        <w:adjustRightInd w:val="0"/>
        <w:snapToGrid w:val="0"/>
        <w:spacing w:line="312" w:lineRule="auto"/>
        <w:ind w:firstLine="420" w:firstLineChars="200"/>
        <w:rPr>
          <w:rFonts w:ascii="微软雅黑" w:hAnsi="微软雅黑" w:eastAsia="微软雅黑"/>
          <w:szCs w:val="21"/>
        </w:rPr>
      </w:pPr>
      <w:r>
        <w:rPr>
          <w:rFonts w:hint="eastAsia" w:ascii="微软雅黑" w:hAnsi="微软雅黑" w:eastAsia="微软雅黑" w:cs="仿宋_GB2312"/>
          <w:szCs w:val="21"/>
        </w:rPr>
        <w:t>估价对象土地使用权面积</w:t>
      </w:r>
      <w:r>
        <w:rPr>
          <w:rFonts w:hint="eastAsia" w:ascii="微软雅黑" w:hAnsi="微软雅黑" w:eastAsia="微软雅黑" w:cs="仿宋_GB2312"/>
          <w:szCs w:val="21"/>
          <w:lang w:eastAsia="zh-CN"/>
        </w:rPr>
        <w:t>30.97</w:t>
      </w:r>
      <w:r>
        <w:rPr>
          <w:rFonts w:hint="eastAsia" w:ascii="微软雅黑" w:hAnsi="微软雅黑" w:eastAsia="微软雅黑" w:cs="仿宋_GB2312"/>
          <w:szCs w:val="21"/>
        </w:rPr>
        <w:t>平方米，土地使用权人为</w:t>
      </w:r>
      <w:r>
        <w:rPr>
          <w:rFonts w:hint="eastAsia" w:ascii="微软雅黑" w:hAnsi="微软雅黑" w:eastAsia="微软雅黑" w:cs="仿宋_GB2312"/>
          <w:szCs w:val="21"/>
          <w:lang w:eastAsia="zh-CN"/>
        </w:rPr>
        <w:t>袁建国</w:t>
      </w:r>
      <w:r>
        <w:rPr>
          <w:rFonts w:hint="eastAsia" w:ascii="微软雅黑" w:hAnsi="微软雅黑" w:eastAsia="微软雅黑" w:cs="仿宋_GB2312"/>
          <w:szCs w:val="21"/>
        </w:rPr>
        <w:t>，用途为</w:t>
      </w:r>
      <w:r>
        <w:rPr>
          <w:rFonts w:hint="eastAsia" w:ascii="微软雅黑" w:hAnsi="微软雅黑" w:eastAsia="微软雅黑" w:cs="仿宋_GB2312"/>
          <w:szCs w:val="21"/>
          <w:lang w:eastAsia="zh-CN"/>
        </w:rPr>
        <w:t>城镇</w:t>
      </w:r>
      <w:r>
        <w:rPr>
          <w:rFonts w:hint="eastAsia" w:ascii="微软雅黑" w:hAnsi="微软雅黑" w:eastAsia="微软雅黑" w:cs="仿宋_GB2312"/>
          <w:szCs w:val="21"/>
        </w:rPr>
        <w:t>住宅用地，</w:t>
      </w:r>
      <w:r>
        <w:rPr>
          <w:rFonts w:hint="eastAsia" w:ascii="微软雅黑" w:hAnsi="微软雅黑" w:eastAsia="微软雅黑" w:cs="仿宋_GB2312"/>
          <w:szCs w:val="21"/>
          <w:lang w:val="en-US" w:eastAsia="zh-CN"/>
        </w:rPr>
        <w:t>土地权利性质为出让，</w:t>
      </w:r>
      <w:r>
        <w:rPr>
          <w:rFonts w:hint="eastAsia" w:ascii="微软雅黑" w:hAnsi="微软雅黑" w:eastAsia="微软雅黑" w:cs="仿宋_GB2312"/>
          <w:szCs w:val="21"/>
        </w:rPr>
        <w:t>终止日期为</w:t>
      </w:r>
      <w:r>
        <w:rPr>
          <w:rFonts w:hint="eastAsia" w:ascii="微软雅黑" w:hAnsi="微软雅黑" w:eastAsia="微软雅黑" w:cs="仿宋_GB2312"/>
          <w:szCs w:val="21"/>
          <w:lang w:eastAsia="zh-CN"/>
        </w:rPr>
        <w:t>2080年01月16日</w:t>
      </w:r>
      <w:r>
        <w:rPr>
          <w:rFonts w:hint="eastAsia" w:ascii="微软雅黑" w:hAnsi="微软雅黑" w:eastAsia="微软雅黑" w:cs="仿宋_GB2312"/>
          <w:szCs w:val="21"/>
        </w:rPr>
        <w:t>。至价值时点，该宗地外达到“六通”（通上水、通下水、通电、通路、通讯、通气），宗地内达到“六通一平” （通上水、通下水、通电、通路、通讯、通气及场地平整）</w:t>
      </w:r>
      <w:r>
        <w:rPr>
          <w:rFonts w:hint="eastAsia" w:ascii="微软雅黑" w:hAnsi="微软雅黑" w:eastAsia="微软雅黑"/>
          <w:szCs w:val="21"/>
        </w:rPr>
        <w:t>。</w:t>
      </w:r>
    </w:p>
    <w:p>
      <w:pPr>
        <w:topLinePunct/>
        <w:adjustRightInd w:val="0"/>
        <w:snapToGrid w:val="0"/>
        <w:spacing w:line="312" w:lineRule="auto"/>
        <w:ind w:firstLine="420" w:firstLineChars="200"/>
        <w:rPr>
          <w:rFonts w:ascii="微软雅黑" w:hAnsi="微软雅黑" w:eastAsia="微软雅黑" w:cs="仿宋_GB2312"/>
          <w:b/>
          <w:bCs/>
        </w:rPr>
      </w:pPr>
      <w:r>
        <w:rPr>
          <w:rFonts w:hint="eastAsia" w:ascii="微软雅黑" w:hAnsi="微软雅黑" w:eastAsia="微软雅黑" w:cs="仿宋_GB2312"/>
          <w:b/>
          <w:bCs/>
        </w:rPr>
        <w:t>（3）估价对象现场照片</w:t>
      </w:r>
    </w:p>
    <w:tbl>
      <w:tblPr>
        <w:tblStyle w:val="17"/>
        <w:tblW w:w="10313" w:type="dxa"/>
        <w:jc w:val="center"/>
        <w:tblLayout w:type="fixed"/>
        <w:tblCellMar>
          <w:top w:w="0" w:type="dxa"/>
          <w:left w:w="108" w:type="dxa"/>
          <w:bottom w:w="0" w:type="dxa"/>
          <w:right w:w="108" w:type="dxa"/>
        </w:tblCellMar>
      </w:tblPr>
      <w:tblGrid>
        <w:gridCol w:w="5181"/>
        <w:gridCol w:w="5132"/>
      </w:tblGrid>
      <w:tr>
        <w:tblPrEx>
          <w:tblCellMar>
            <w:top w:w="0" w:type="dxa"/>
            <w:left w:w="108" w:type="dxa"/>
            <w:bottom w:w="0" w:type="dxa"/>
            <w:right w:w="108" w:type="dxa"/>
          </w:tblCellMar>
        </w:tblPrEx>
        <w:trPr>
          <w:trHeight w:val="3732" w:hRule="atLeast"/>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23" name="图片 23" descr="IMG_20220902_1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20902_132454"/>
                          <pic:cNvPicPr>
                            <a:picLocks noChangeAspect="1"/>
                          </pic:cNvPicPr>
                        </pic:nvPicPr>
                        <pic:blipFill>
                          <a:blip r:embed="rId10"/>
                          <a:stretch>
                            <a:fillRect/>
                          </a:stretch>
                        </pic:blipFill>
                        <pic:spPr>
                          <a:xfrm>
                            <a:off x="0" y="0"/>
                            <a:ext cx="3098800" cy="23241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24" name="图片 24" descr="IMG_20220902_13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20902_132558"/>
                          <pic:cNvPicPr>
                            <a:picLocks noChangeAspect="1"/>
                          </pic:cNvPicPr>
                        </pic:nvPicPr>
                        <pic:blipFill>
                          <a:blip r:embed="rId11"/>
                          <a:stretch>
                            <a:fillRect/>
                          </a:stretch>
                        </pic:blipFill>
                        <pic:spPr>
                          <a:xfrm>
                            <a:off x="0" y="0"/>
                            <a:ext cx="3149600" cy="2362200"/>
                          </a:xfrm>
                          <a:prstGeom prst="rect">
                            <a:avLst/>
                          </a:prstGeom>
                        </pic:spPr>
                      </pic:pic>
                    </a:graphicData>
                  </a:graphic>
                </wp:inline>
              </w:drawing>
            </w:r>
          </w:p>
        </w:tc>
      </w:tr>
      <w:tr>
        <w:tblPrEx>
          <w:tblCellMar>
            <w:top w:w="0" w:type="dxa"/>
            <w:left w:w="108" w:type="dxa"/>
            <w:bottom w:w="0" w:type="dxa"/>
            <w:right w:w="108" w:type="dxa"/>
          </w:tblCellMar>
        </w:tblPrEx>
        <w:trPr>
          <w:trHeight w:val="505" w:hRule="exact"/>
          <w:jc w:val="center"/>
        </w:trPr>
        <w:tc>
          <w:tcPr>
            <w:tcW w:w="5181" w:type="dxa"/>
            <w:vAlign w:val="center"/>
          </w:tcPr>
          <w:p>
            <w:pPr>
              <w:jc w:val="center"/>
              <w:rPr>
                <w:rFonts w:hint="default" w:ascii="宋体" w:hAnsi="宋体" w:eastAsia="微软雅黑" w:cs="宋体"/>
                <w:b/>
                <w:lang w:val="en-US" w:eastAsia="zh-CN"/>
              </w:rPr>
            </w:pPr>
            <w:r>
              <w:rPr>
                <w:rFonts w:hint="eastAsia" w:ascii="微软雅黑" w:hAnsi="微软雅黑" w:eastAsia="微软雅黑" w:cs="仿宋_GB2312"/>
                <w:szCs w:val="21"/>
                <w:lang w:val="en-US" w:eastAsia="zh-CN"/>
              </w:rPr>
              <w:t>小区环境</w:t>
            </w:r>
          </w:p>
        </w:tc>
        <w:tc>
          <w:tcPr>
            <w:tcW w:w="5132" w:type="dxa"/>
            <w:vAlign w:val="center"/>
          </w:tcPr>
          <w:p>
            <w:pPr>
              <w:jc w:val="center"/>
              <w:rPr>
                <w:rFonts w:hint="default" w:ascii="宋体" w:hAnsi="宋体" w:eastAsia="微软雅黑" w:cs="宋体"/>
                <w:b/>
                <w:lang w:val="en-US" w:eastAsia="zh-CN"/>
              </w:rPr>
            </w:pPr>
            <w:r>
              <w:rPr>
                <w:rFonts w:hint="eastAsia" w:ascii="微软雅黑" w:hAnsi="微软雅黑" w:eastAsia="微软雅黑" w:cs="仿宋_GB2312"/>
                <w:szCs w:val="21"/>
                <w:lang w:val="en-US" w:eastAsia="zh-CN"/>
              </w:rPr>
              <w:t>建筑物外观</w:t>
            </w:r>
          </w:p>
        </w:tc>
      </w:tr>
      <w:tr>
        <w:tblPrEx>
          <w:tblCellMar>
            <w:top w:w="0" w:type="dxa"/>
            <w:left w:w="108" w:type="dxa"/>
            <w:bottom w:w="0" w:type="dxa"/>
            <w:right w:w="108" w:type="dxa"/>
          </w:tblCellMar>
        </w:tblPrEx>
        <w:trPr>
          <w:trHeight w:val="90" w:hRule="atLeast"/>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25" name="图片 25" descr="IMG_20220902_1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20902_132621"/>
                          <pic:cNvPicPr>
                            <a:picLocks noChangeAspect="1"/>
                          </pic:cNvPicPr>
                        </pic:nvPicPr>
                        <pic:blipFill>
                          <a:blip r:embed="rId12"/>
                          <a:stretch>
                            <a:fillRect/>
                          </a:stretch>
                        </pic:blipFill>
                        <pic:spPr>
                          <a:xfrm>
                            <a:off x="0" y="0"/>
                            <a:ext cx="3149600" cy="23622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9" name="图片 9" descr="IMG_20220902_1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0902_132650"/>
                          <pic:cNvPicPr>
                            <a:picLocks noChangeAspect="1"/>
                          </pic:cNvPicPr>
                        </pic:nvPicPr>
                        <pic:blipFill>
                          <a:blip r:embed="rId13"/>
                          <a:stretch>
                            <a:fillRect/>
                          </a:stretch>
                        </pic:blipFill>
                        <pic:spPr>
                          <a:xfrm>
                            <a:off x="0" y="0"/>
                            <a:ext cx="3098800" cy="2324100"/>
                          </a:xfrm>
                          <a:prstGeom prst="rect">
                            <a:avLst/>
                          </a:prstGeom>
                        </pic:spPr>
                      </pic:pic>
                    </a:graphicData>
                  </a:graphic>
                </wp:inline>
              </w:drawing>
            </w:r>
          </w:p>
        </w:tc>
      </w:tr>
      <w:tr>
        <w:tblPrEx>
          <w:tblCellMar>
            <w:top w:w="0" w:type="dxa"/>
            <w:left w:w="108" w:type="dxa"/>
            <w:bottom w:w="0" w:type="dxa"/>
            <w:right w:w="108" w:type="dxa"/>
          </w:tblCellMar>
        </w:tblPrEx>
        <w:trPr>
          <w:trHeight w:val="519" w:hRule="exact"/>
          <w:jc w:val="center"/>
        </w:trPr>
        <w:tc>
          <w:tcPr>
            <w:tcW w:w="5181" w:type="dxa"/>
          </w:tcPr>
          <w:p>
            <w:pPr>
              <w:jc w:val="center"/>
              <w:rPr>
                <w:rFonts w:hint="eastAsia" w:ascii="宋体" w:hAnsi="宋体" w:eastAsia="微软雅黑" w:cs="宋体"/>
                <w:b/>
                <w:lang w:eastAsia="zh-CN"/>
              </w:rPr>
            </w:pPr>
            <w:r>
              <w:rPr>
                <w:rFonts w:hint="eastAsia" w:ascii="微软雅黑" w:hAnsi="微软雅黑" w:eastAsia="微软雅黑" w:cs="仿宋_GB2312"/>
                <w:szCs w:val="21"/>
                <w:lang w:val="en-US" w:eastAsia="zh-CN"/>
              </w:rPr>
              <w:t>幢号</w:t>
            </w:r>
          </w:p>
        </w:tc>
        <w:tc>
          <w:tcPr>
            <w:tcW w:w="5132" w:type="dxa"/>
          </w:tcPr>
          <w:p>
            <w:pPr>
              <w:jc w:val="center"/>
              <w:rPr>
                <w:rFonts w:hint="eastAsia" w:ascii="宋体" w:hAnsi="宋体" w:eastAsia="宋体" w:cs="宋体"/>
                <w:b/>
                <w:lang w:eastAsia="zh-CN"/>
              </w:rPr>
            </w:pPr>
            <w:r>
              <w:rPr>
                <w:rFonts w:hint="eastAsia" w:ascii="微软雅黑" w:hAnsi="微软雅黑" w:eastAsia="微软雅黑" w:cs="仿宋_GB2312"/>
                <w:szCs w:val="21"/>
                <w:lang w:eastAsia="zh-CN"/>
              </w:rPr>
              <w:t>单元门</w:t>
            </w:r>
          </w:p>
        </w:tc>
      </w:tr>
      <w:tr>
        <w:tblPrEx>
          <w:tblCellMar>
            <w:top w:w="0" w:type="dxa"/>
            <w:left w:w="108" w:type="dxa"/>
            <w:bottom w:w="0" w:type="dxa"/>
            <w:right w:w="108" w:type="dxa"/>
          </w:tblCellMar>
        </w:tblPrEx>
        <w:trPr>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10" name="图片 10" descr="IMG_20220902_13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0902_132842"/>
                          <pic:cNvPicPr>
                            <a:picLocks noChangeAspect="1"/>
                          </pic:cNvPicPr>
                        </pic:nvPicPr>
                        <pic:blipFill>
                          <a:blip r:embed="rId14"/>
                          <a:stretch>
                            <a:fillRect/>
                          </a:stretch>
                        </pic:blipFill>
                        <pic:spPr>
                          <a:xfrm>
                            <a:off x="0" y="0"/>
                            <a:ext cx="3149600" cy="23622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11" name="图片 11" descr="IMG_20220902_13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20902_133002"/>
                          <pic:cNvPicPr>
                            <a:picLocks noChangeAspect="1"/>
                          </pic:cNvPicPr>
                        </pic:nvPicPr>
                        <pic:blipFill>
                          <a:blip r:embed="rId15"/>
                          <a:stretch>
                            <a:fillRect/>
                          </a:stretch>
                        </pic:blipFill>
                        <pic:spPr>
                          <a:xfrm>
                            <a:off x="0" y="0"/>
                            <a:ext cx="3098800" cy="2324100"/>
                          </a:xfrm>
                          <a:prstGeom prst="rect">
                            <a:avLst/>
                          </a:prstGeom>
                        </pic:spPr>
                      </pic:pic>
                    </a:graphicData>
                  </a:graphic>
                </wp:inline>
              </w:drawing>
            </w:r>
          </w:p>
        </w:tc>
      </w:tr>
      <w:tr>
        <w:tblPrEx>
          <w:tblCellMar>
            <w:top w:w="0" w:type="dxa"/>
            <w:left w:w="108" w:type="dxa"/>
            <w:bottom w:w="0" w:type="dxa"/>
            <w:right w:w="108" w:type="dxa"/>
          </w:tblCellMar>
        </w:tblPrEx>
        <w:trPr>
          <w:trHeight w:val="483" w:hRule="exact"/>
          <w:jc w:val="center"/>
        </w:trPr>
        <w:tc>
          <w:tcPr>
            <w:tcW w:w="5181" w:type="dxa"/>
          </w:tcPr>
          <w:p>
            <w:pPr>
              <w:jc w:val="center"/>
              <w:rPr>
                <w:rFonts w:hint="eastAsia" w:ascii="宋体" w:hAnsi="宋体" w:eastAsia="宋体" w:cs="宋体"/>
                <w:b/>
                <w:sz w:val="28"/>
                <w:szCs w:val="28"/>
                <w:lang w:eastAsia="zh-CN"/>
              </w:rPr>
            </w:pPr>
            <w:r>
              <w:rPr>
                <w:rFonts w:hint="eastAsia" w:ascii="微软雅黑" w:hAnsi="微软雅黑" w:eastAsia="微软雅黑" w:cs="仿宋_GB2312"/>
                <w:szCs w:val="21"/>
                <w:lang w:val="en-US" w:eastAsia="zh-CN"/>
              </w:rPr>
              <w:t>楼道</w:t>
            </w:r>
          </w:p>
        </w:tc>
        <w:tc>
          <w:tcPr>
            <w:tcW w:w="5132" w:type="dxa"/>
          </w:tcPr>
          <w:p>
            <w:pPr>
              <w:jc w:val="center"/>
              <w:rPr>
                <w:rFonts w:hint="eastAsia" w:ascii="宋体" w:hAnsi="宋体" w:eastAsia="宋体" w:cs="宋体"/>
                <w:b/>
                <w:sz w:val="28"/>
                <w:szCs w:val="28"/>
                <w:lang w:eastAsia="zh-CN"/>
              </w:rPr>
            </w:pPr>
            <w:r>
              <w:rPr>
                <w:rFonts w:hint="eastAsia" w:ascii="微软雅黑" w:hAnsi="微软雅黑" w:eastAsia="微软雅黑" w:cs="仿宋_GB2312"/>
                <w:szCs w:val="21"/>
                <w:lang w:val="en-US" w:eastAsia="zh-CN"/>
              </w:rPr>
              <w:t>入户门</w:t>
            </w:r>
          </w:p>
        </w:tc>
      </w:tr>
      <w:tr>
        <w:tblPrEx>
          <w:tblCellMar>
            <w:top w:w="0" w:type="dxa"/>
            <w:left w:w="108" w:type="dxa"/>
            <w:bottom w:w="0" w:type="dxa"/>
            <w:right w:w="108" w:type="dxa"/>
          </w:tblCellMar>
        </w:tblPrEx>
        <w:trPr>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14" name="图片 14" descr="IMG_20220902_14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20902_140008"/>
                          <pic:cNvPicPr>
                            <a:picLocks noChangeAspect="1"/>
                          </pic:cNvPicPr>
                        </pic:nvPicPr>
                        <pic:blipFill>
                          <a:blip r:embed="rId16"/>
                          <a:stretch>
                            <a:fillRect/>
                          </a:stretch>
                        </pic:blipFill>
                        <pic:spPr>
                          <a:xfrm>
                            <a:off x="0" y="0"/>
                            <a:ext cx="3149600" cy="23622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15" name="图片 15" descr="IMG_20220902_13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0902_133915"/>
                          <pic:cNvPicPr>
                            <a:picLocks noChangeAspect="1"/>
                          </pic:cNvPicPr>
                        </pic:nvPicPr>
                        <pic:blipFill>
                          <a:blip r:embed="rId17"/>
                          <a:stretch>
                            <a:fillRect/>
                          </a:stretch>
                        </pic:blipFill>
                        <pic:spPr>
                          <a:xfrm>
                            <a:off x="0" y="0"/>
                            <a:ext cx="3098800" cy="2324100"/>
                          </a:xfrm>
                          <a:prstGeom prst="rect">
                            <a:avLst/>
                          </a:prstGeom>
                        </pic:spPr>
                      </pic:pic>
                    </a:graphicData>
                  </a:graphic>
                </wp:inline>
              </w:drawing>
            </w:r>
          </w:p>
        </w:tc>
      </w:tr>
      <w:tr>
        <w:tblPrEx>
          <w:tblCellMar>
            <w:top w:w="0" w:type="dxa"/>
            <w:left w:w="108" w:type="dxa"/>
            <w:bottom w:w="0" w:type="dxa"/>
            <w:right w:w="108" w:type="dxa"/>
          </w:tblCellMar>
        </w:tblPrEx>
        <w:trPr>
          <w:trHeight w:val="565" w:hRule="exact"/>
          <w:jc w:val="center"/>
        </w:trPr>
        <w:tc>
          <w:tcPr>
            <w:tcW w:w="10313" w:type="dxa"/>
            <w:gridSpan w:val="2"/>
          </w:tcPr>
          <w:p>
            <w:pPr>
              <w:jc w:val="center"/>
              <w:rPr>
                <w:rFonts w:ascii="宋体" w:hAnsi="宋体" w:eastAsia="微软雅黑" w:cs="宋体"/>
                <w:b/>
              </w:rPr>
            </w:pPr>
            <w:r>
              <w:rPr>
                <w:rFonts w:hint="eastAsia" w:ascii="微软雅黑" w:hAnsi="微软雅黑" w:eastAsia="微软雅黑" w:cs="仿宋_GB2312"/>
                <w:szCs w:val="21"/>
              </w:rPr>
              <w:t>室内状况</w:t>
            </w:r>
            <w:r>
              <w:rPr>
                <w:rFonts w:hint="eastAsia" w:ascii="微软雅黑" w:hAnsi="微软雅黑" w:eastAsia="微软雅黑" w:cs="仿宋_GB2312"/>
                <w:szCs w:val="21"/>
                <w:lang w:val="en-US" w:eastAsia="zh-CN"/>
              </w:rPr>
              <w:t>一</w:t>
            </w:r>
          </w:p>
        </w:tc>
      </w:tr>
      <w:tr>
        <w:tblPrEx>
          <w:tblCellMar>
            <w:top w:w="0" w:type="dxa"/>
            <w:left w:w="108" w:type="dxa"/>
            <w:bottom w:w="0" w:type="dxa"/>
            <w:right w:w="108" w:type="dxa"/>
          </w:tblCellMar>
        </w:tblPrEx>
        <w:trPr>
          <w:trHeight w:val="90" w:hRule="atLeast"/>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17" name="图片 17" descr="IMG_20220902_14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0902_140213"/>
                          <pic:cNvPicPr>
                            <a:picLocks noChangeAspect="1"/>
                          </pic:cNvPicPr>
                        </pic:nvPicPr>
                        <pic:blipFill>
                          <a:blip r:embed="rId18"/>
                          <a:stretch>
                            <a:fillRect/>
                          </a:stretch>
                        </pic:blipFill>
                        <pic:spPr>
                          <a:xfrm>
                            <a:off x="0" y="0"/>
                            <a:ext cx="3149600" cy="23622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18" name="图片 18" descr="IMG_20220902_14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0902_140156"/>
                          <pic:cNvPicPr>
                            <a:picLocks noChangeAspect="1"/>
                          </pic:cNvPicPr>
                        </pic:nvPicPr>
                        <pic:blipFill>
                          <a:blip r:embed="rId19"/>
                          <a:stretch>
                            <a:fillRect/>
                          </a:stretch>
                        </pic:blipFill>
                        <pic:spPr>
                          <a:xfrm>
                            <a:off x="0" y="0"/>
                            <a:ext cx="3098800" cy="2324100"/>
                          </a:xfrm>
                          <a:prstGeom prst="rect">
                            <a:avLst/>
                          </a:prstGeom>
                        </pic:spPr>
                      </pic:pic>
                    </a:graphicData>
                  </a:graphic>
                </wp:inline>
              </w:drawing>
            </w:r>
          </w:p>
        </w:tc>
      </w:tr>
      <w:tr>
        <w:tblPrEx>
          <w:tblCellMar>
            <w:top w:w="0" w:type="dxa"/>
            <w:left w:w="108" w:type="dxa"/>
            <w:bottom w:w="0" w:type="dxa"/>
            <w:right w:w="108" w:type="dxa"/>
          </w:tblCellMar>
        </w:tblPrEx>
        <w:trPr>
          <w:trHeight w:val="555" w:hRule="exact"/>
          <w:jc w:val="center"/>
        </w:trPr>
        <w:tc>
          <w:tcPr>
            <w:tcW w:w="10313" w:type="dxa"/>
            <w:gridSpan w:val="2"/>
          </w:tcPr>
          <w:p>
            <w:pPr>
              <w:jc w:val="center"/>
              <w:rPr>
                <w:rFonts w:hint="eastAsia" w:ascii="宋体" w:hAnsi="宋体" w:eastAsia="微软雅黑" w:cs="宋体"/>
                <w:b/>
                <w:lang w:eastAsia="zh-CN"/>
              </w:rPr>
            </w:pPr>
            <w:r>
              <w:rPr>
                <w:rFonts w:hint="eastAsia" w:ascii="微软雅黑" w:hAnsi="微软雅黑" w:eastAsia="微软雅黑" w:cs="仿宋_GB2312"/>
                <w:szCs w:val="21"/>
              </w:rPr>
              <w:t>室内状况</w:t>
            </w:r>
            <w:r>
              <w:rPr>
                <w:rFonts w:hint="eastAsia" w:ascii="微软雅黑" w:hAnsi="微软雅黑" w:eastAsia="微软雅黑" w:cs="仿宋_GB2312"/>
                <w:szCs w:val="21"/>
                <w:lang w:val="en-US" w:eastAsia="zh-CN"/>
              </w:rPr>
              <w:t>二</w:t>
            </w:r>
          </w:p>
        </w:tc>
      </w:tr>
      <w:tr>
        <w:tblPrEx>
          <w:tblCellMar>
            <w:top w:w="0" w:type="dxa"/>
            <w:left w:w="108" w:type="dxa"/>
            <w:bottom w:w="0" w:type="dxa"/>
            <w:right w:w="108" w:type="dxa"/>
          </w:tblCellMar>
        </w:tblPrEx>
        <w:trPr>
          <w:trHeight w:val="90" w:hRule="atLeast"/>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19" name="图片 19" descr="IMG_20220902_13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20902_133937"/>
                          <pic:cNvPicPr>
                            <a:picLocks noChangeAspect="1"/>
                          </pic:cNvPicPr>
                        </pic:nvPicPr>
                        <pic:blipFill>
                          <a:blip r:embed="rId20"/>
                          <a:stretch>
                            <a:fillRect/>
                          </a:stretch>
                        </pic:blipFill>
                        <pic:spPr>
                          <a:xfrm>
                            <a:off x="0" y="0"/>
                            <a:ext cx="3149600" cy="23622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20" name="图片 20" descr="IMG_20220902_13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20902_133955"/>
                          <pic:cNvPicPr>
                            <a:picLocks noChangeAspect="1"/>
                          </pic:cNvPicPr>
                        </pic:nvPicPr>
                        <pic:blipFill>
                          <a:blip r:embed="rId21"/>
                          <a:stretch>
                            <a:fillRect/>
                          </a:stretch>
                        </pic:blipFill>
                        <pic:spPr>
                          <a:xfrm>
                            <a:off x="0" y="0"/>
                            <a:ext cx="3098800" cy="2324100"/>
                          </a:xfrm>
                          <a:prstGeom prst="rect">
                            <a:avLst/>
                          </a:prstGeom>
                        </pic:spPr>
                      </pic:pic>
                    </a:graphicData>
                  </a:graphic>
                </wp:inline>
              </w:drawing>
            </w:r>
          </w:p>
        </w:tc>
      </w:tr>
      <w:tr>
        <w:tblPrEx>
          <w:tblCellMar>
            <w:top w:w="0" w:type="dxa"/>
            <w:left w:w="108" w:type="dxa"/>
            <w:bottom w:w="0" w:type="dxa"/>
            <w:right w:w="108" w:type="dxa"/>
          </w:tblCellMar>
        </w:tblPrEx>
        <w:trPr>
          <w:trHeight w:val="555" w:hRule="exact"/>
          <w:jc w:val="center"/>
        </w:trPr>
        <w:tc>
          <w:tcPr>
            <w:tcW w:w="10313" w:type="dxa"/>
            <w:gridSpan w:val="2"/>
          </w:tcPr>
          <w:p>
            <w:pPr>
              <w:jc w:val="center"/>
              <w:rPr>
                <w:rFonts w:hint="eastAsia" w:ascii="宋体" w:hAnsi="宋体" w:eastAsia="微软雅黑" w:cs="宋体"/>
                <w:b/>
                <w:lang w:eastAsia="zh-CN"/>
              </w:rPr>
            </w:pPr>
            <w:r>
              <w:rPr>
                <w:rFonts w:hint="eastAsia" w:ascii="微软雅黑" w:hAnsi="微软雅黑" w:eastAsia="微软雅黑" w:cs="仿宋_GB2312"/>
                <w:szCs w:val="21"/>
              </w:rPr>
              <w:t>室内状况</w:t>
            </w:r>
            <w:r>
              <w:rPr>
                <w:rFonts w:hint="eastAsia" w:ascii="微软雅黑" w:hAnsi="微软雅黑" w:eastAsia="微软雅黑" w:cs="仿宋_GB2312"/>
                <w:szCs w:val="21"/>
                <w:lang w:val="en-US" w:eastAsia="zh-CN"/>
              </w:rPr>
              <w:t>三</w:t>
            </w:r>
          </w:p>
        </w:tc>
      </w:tr>
    </w:tbl>
    <w:p>
      <w:pPr>
        <w:pStyle w:val="24"/>
        <w:adjustRightInd w:val="0"/>
        <w:snapToGrid w:val="0"/>
        <w:spacing w:line="240" w:lineRule="atLeast"/>
        <w:jc w:val="center"/>
        <w:rPr>
          <w:rFonts w:ascii="微软雅黑" w:hAnsi="微软雅黑" w:eastAsia="微软雅黑" w:cs="仿宋_GB2312"/>
          <w:szCs w:val="21"/>
        </w:rPr>
      </w:pPr>
      <w:r>
        <w:rPr>
          <w:rFonts w:hint="eastAsia" w:ascii="微软雅黑" w:hAnsi="微软雅黑" w:eastAsia="微软雅黑" w:cs="仿宋_GB2312"/>
          <w:szCs w:val="21"/>
        </w:rPr>
        <w:t xml:space="preserve"> </w:t>
      </w:r>
    </w:p>
    <w:p>
      <w:pPr>
        <w:pStyle w:val="25"/>
        <w:topLinePunct/>
        <w:adjustRightInd w:val="0"/>
        <w:snapToGrid w:val="0"/>
        <w:spacing w:line="312" w:lineRule="auto"/>
        <w:rPr>
          <w:rFonts w:ascii="微软雅黑" w:hAnsi="微软雅黑" w:eastAsia="微软雅黑" w:cs="微软雅黑"/>
          <w:b/>
          <w:szCs w:val="21"/>
        </w:rPr>
      </w:pPr>
      <w:r>
        <w:rPr>
          <w:rFonts w:hint="eastAsia" w:ascii="微软雅黑" w:hAnsi="微软雅黑" w:eastAsia="微软雅黑" w:cs="微软雅黑"/>
          <w:b/>
          <w:szCs w:val="21"/>
        </w:rPr>
        <w:t>3、区域状况描述与分析</w:t>
      </w:r>
    </w:p>
    <w:p>
      <w:pPr>
        <w:pStyle w:val="25"/>
        <w:topLinePunct/>
        <w:adjustRightInd w:val="0"/>
        <w:snapToGrid w:val="0"/>
        <w:spacing w:line="312" w:lineRule="auto"/>
        <w:rPr>
          <w:rFonts w:ascii="微软雅黑" w:hAnsi="微软雅黑" w:eastAsia="微软雅黑"/>
          <w:szCs w:val="21"/>
        </w:rPr>
      </w:pPr>
      <w:r>
        <w:rPr>
          <w:rFonts w:hint="eastAsia" w:ascii="微软雅黑" w:hAnsi="微软雅黑" w:eastAsia="微软雅黑"/>
          <w:szCs w:val="21"/>
        </w:rPr>
        <w:t>区位状况主要包括位置状况、交通状况、环境状况、公共配套状况等，本次主要分析如下：</w:t>
      </w:r>
    </w:p>
    <w:tbl>
      <w:tblPr>
        <w:tblStyle w:val="17"/>
        <w:tblW w:w="8999" w:type="dxa"/>
        <w:jc w:val="right"/>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top w:w="0" w:type="dxa"/>
          <w:left w:w="108" w:type="dxa"/>
          <w:bottom w:w="0" w:type="dxa"/>
          <w:right w:w="108" w:type="dxa"/>
        </w:tblCellMar>
      </w:tblPr>
      <w:tblGrid>
        <w:gridCol w:w="709"/>
        <w:gridCol w:w="1418"/>
        <w:gridCol w:w="6872"/>
      </w:tblGrid>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restart"/>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位置状况</w:t>
            </w: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坐落</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淳安县千岛湖镇康盛花园19号3单元605室</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方位</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eastAsia="zh-CN"/>
              </w:rPr>
              <w:t>位于淳安县</w:t>
            </w:r>
            <w:r>
              <w:rPr>
                <w:rFonts w:hint="eastAsia" w:ascii="微软雅黑" w:hAnsi="微软雅黑" w:eastAsia="微软雅黑" w:cs="微软雅黑"/>
                <w:sz w:val="20"/>
                <w:szCs w:val="20"/>
                <w:lang w:val="en-US" w:eastAsia="zh-CN"/>
              </w:rPr>
              <w:t>千岛湖镇康盛路与丹桂路交叉口西北侧，康盛学校北侧</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临路状况</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所在宗地</w:t>
            </w:r>
            <w:r>
              <w:rPr>
                <w:rFonts w:hint="eastAsia" w:ascii="微软雅黑" w:hAnsi="微软雅黑" w:eastAsia="微软雅黑" w:cs="微软雅黑"/>
                <w:sz w:val="20"/>
                <w:szCs w:val="20"/>
                <w:lang w:val="en-US" w:eastAsia="zh-CN"/>
              </w:rPr>
              <w:t>一面临路，</w:t>
            </w:r>
            <w:r>
              <w:rPr>
                <w:rFonts w:hint="eastAsia" w:ascii="微软雅黑" w:hAnsi="微软雅黑" w:eastAsia="微软雅黑" w:cs="微软雅黑"/>
                <w:sz w:val="20"/>
                <w:szCs w:val="20"/>
                <w:highlight w:val="none"/>
                <w:lang w:val="en-US" w:eastAsia="zh-CN"/>
              </w:rPr>
              <w:t>西</w:t>
            </w:r>
            <w:r>
              <w:rPr>
                <w:rFonts w:hint="eastAsia" w:ascii="微软雅黑" w:hAnsi="微软雅黑" w:eastAsia="微软雅黑" w:cs="微软雅黑"/>
                <w:sz w:val="20"/>
                <w:szCs w:val="20"/>
                <w:highlight w:val="none"/>
                <w:lang w:eastAsia="zh-CN"/>
              </w:rPr>
              <w:t>至</w:t>
            </w:r>
            <w:r>
              <w:rPr>
                <w:rFonts w:hint="eastAsia" w:ascii="微软雅黑" w:hAnsi="微软雅黑" w:eastAsia="微软雅黑" w:cs="微软雅黑"/>
                <w:sz w:val="20"/>
                <w:szCs w:val="20"/>
                <w:highlight w:val="none"/>
                <w:lang w:val="en-US" w:eastAsia="zh-CN"/>
              </w:rPr>
              <w:t>丹桂路</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距离</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距</w:t>
            </w:r>
            <w:r>
              <w:rPr>
                <w:rFonts w:hint="eastAsia" w:ascii="微软雅黑" w:hAnsi="微软雅黑" w:eastAsia="微软雅黑" w:cs="微软雅黑"/>
                <w:sz w:val="20"/>
                <w:szCs w:val="20"/>
              </w:rPr>
              <w:t>溧宁高速/千黄高速</w:t>
            </w:r>
            <w:r>
              <w:rPr>
                <w:rFonts w:hint="eastAsia" w:ascii="微软雅黑" w:hAnsi="微软雅黑" w:eastAsia="微软雅黑" w:cs="微软雅黑"/>
                <w:sz w:val="20"/>
                <w:szCs w:val="20"/>
                <w:lang w:val="en-US" w:eastAsia="zh-CN"/>
              </w:rPr>
              <w:t>出入口直线距离约1公里，距千岛湖客运中心直线距离约2.3公里</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朝向</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仿宋_GB2312"/>
                <w:sz w:val="20"/>
                <w:szCs w:val="20"/>
                <w:lang w:val="en-US" w:eastAsia="zh-CN"/>
              </w:rPr>
              <w:t>房屋主体朝向为南北朝向，</w:t>
            </w:r>
            <w:r>
              <w:rPr>
                <w:rFonts w:hint="eastAsia" w:ascii="微软雅黑" w:hAnsi="微软雅黑" w:eastAsia="微软雅黑" w:cs="仿宋_GB2312"/>
                <w:sz w:val="20"/>
                <w:szCs w:val="20"/>
              </w:rPr>
              <w:t>估价对象</w:t>
            </w:r>
            <w:r>
              <w:rPr>
                <w:rFonts w:hint="eastAsia" w:ascii="微软雅黑" w:hAnsi="微软雅黑" w:eastAsia="微软雅黑" w:cs="微软雅黑"/>
                <w:sz w:val="20"/>
                <w:szCs w:val="20"/>
                <w:lang w:eastAsia="zh-CN"/>
              </w:rPr>
              <w:t>南北朝向</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楼层</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总楼层</w:t>
            </w:r>
            <w:r>
              <w:rPr>
                <w:rFonts w:hint="eastAsia" w:ascii="微软雅黑" w:hAnsi="微软雅黑" w:eastAsia="微软雅黑" w:cs="微软雅黑"/>
                <w:sz w:val="20"/>
                <w:szCs w:val="20"/>
                <w:lang w:val="en-US" w:eastAsia="zh-CN"/>
              </w:rPr>
              <w:t>7</w:t>
            </w:r>
            <w:r>
              <w:rPr>
                <w:rFonts w:hint="eastAsia" w:ascii="微软雅黑" w:hAnsi="微软雅黑" w:eastAsia="微软雅黑" w:cs="微软雅黑"/>
                <w:sz w:val="20"/>
                <w:szCs w:val="20"/>
              </w:rPr>
              <w:t>层</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lang w:val="en-US" w:eastAsia="zh-CN"/>
              </w:rPr>
              <w:t>含地下1层</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rPr>
              <w:t>，估价对象位于</w:t>
            </w:r>
            <w:r>
              <w:rPr>
                <w:rFonts w:hint="eastAsia" w:ascii="微软雅黑" w:hAnsi="微软雅黑" w:eastAsia="微软雅黑" w:cs="微软雅黑"/>
                <w:sz w:val="20"/>
                <w:szCs w:val="20"/>
                <w:lang w:val="en-US" w:eastAsia="zh-CN"/>
              </w:rPr>
              <w:t>6</w:t>
            </w:r>
            <w:r>
              <w:rPr>
                <w:rFonts w:hint="eastAsia" w:ascii="微软雅黑" w:hAnsi="微软雅黑" w:eastAsia="微软雅黑" w:cs="微软雅黑"/>
                <w:sz w:val="20"/>
                <w:szCs w:val="20"/>
              </w:rPr>
              <w:t>层</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restart"/>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交通状况</w:t>
            </w: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道路</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highlight w:val="none"/>
                <w:lang w:val="en-US" w:eastAsia="zh-CN"/>
              </w:rPr>
              <w:t>周边有丹桂路、康盛路等</w:t>
            </w:r>
            <w:r>
              <w:rPr>
                <w:rFonts w:hint="eastAsia" w:ascii="微软雅黑" w:hAnsi="微软雅黑" w:eastAsia="微软雅黑" w:cs="微软雅黑"/>
                <w:sz w:val="20"/>
                <w:szCs w:val="20"/>
                <w:highlight w:val="none"/>
              </w:rPr>
              <w:t>，道</w:t>
            </w:r>
            <w:r>
              <w:rPr>
                <w:rFonts w:hint="eastAsia" w:ascii="微软雅黑" w:hAnsi="微软雅黑" w:eastAsia="微软雅黑" w:cs="微软雅黑"/>
                <w:sz w:val="20"/>
                <w:szCs w:val="20"/>
              </w:rPr>
              <w:t>路通达度</w:t>
            </w:r>
            <w:r>
              <w:rPr>
                <w:rFonts w:hint="eastAsia" w:ascii="微软雅黑" w:hAnsi="微软雅黑" w:eastAsia="微软雅黑" w:cs="微软雅黑"/>
                <w:sz w:val="20"/>
                <w:szCs w:val="20"/>
                <w:lang w:eastAsia="zh-CN"/>
              </w:rPr>
              <w:t>一般</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公共交通</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距“</w:t>
            </w:r>
            <w:r>
              <w:rPr>
                <w:rFonts w:hint="eastAsia" w:ascii="微软雅黑" w:hAnsi="微软雅黑" w:eastAsia="微软雅黑" w:cs="微软雅黑"/>
                <w:sz w:val="20"/>
                <w:szCs w:val="20"/>
                <w:lang w:eastAsia="zh-CN"/>
              </w:rPr>
              <w:t>前坞村</w:t>
            </w:r>
            <w:r>
              <w:rPr>
                <w:rFonts w:hint="eastAsia" w:ascii="微软雅黑" w:hAnsi="微软雅黑" w:eastAsia="微软雅黑" w:cs="微软雅黑"/>
                <w:sz w:val="20"/>
                <w:szCs w:val="20"/>
                <w:lang w:val="en-US" w:eastAsia="zh-CN"/>
              </w:rPr>
              <w:t>”公交站直线距离约550米，有</w:t>
            </w:r>
            <w:r>
              <w:rPr>
                <w:rFonts w:hint="eastAsia" w:ascii="微软雅黑" w:hAnsi="微软雅黑" w:eastAsia="微软雅黑" w:cs="微软雅黑"/>
                <w:sz w:val="20"/>
                <w:szCs w:val="20"/>
                <w:lang w:eastAsia="zh-CN"/>
              </w:rPr>
              <w:t>淳安K003路</w:t>
            </w:r>
            <w:r>
              <w:rPr>
                <w:rFonts w:hint="eastAsia" w:ascii="微软雅黑" w:hAnsi="微软雅黑" w:eastAsia="微软雅黑" w:cs="微软雅黑"/>
                <w:sz w:val="20"/>
                <w:szCs w:val="20"/>
                <w:lang w:val="en-US" w:eastAsia="zh-CN"/>
              </w:rPr>
              <w:t>公交线路通过，</w:t>
            </w:r>
            <w:r>
              <w:rPr>
                <w:rFonts w:hint="eastAsia" w:ascii="微软雅黑" w:hAnsi="微软雅黑" w:eastAsia="微软雅黑" w:cs="微软雅黑"/>
                <w:sz w:val="20"/>
                <w:szCs w:val="20"/>
                <w:lang w:eastAsia="zh-CN"/>
              </w:rPr>
              <w:t>公共交通便捷度一般</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交通管制</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无交通管制</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停车便利度</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rPr>
              <w:t>设有地面</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lang w:val="en-US" w:eastAsia="zh-CN"/>
              </w:rPr>
              <w:t>地下</w:t>
            </w:r>
            <w:r>
              <w:rPr>
                <w:rFonts w:hint="eastAsia" w:ascii="微软雅黑" w:hAnsi="微软雅黑" w:eastAsia="微软雅黑" w:cs="微软雅黑"/>
                <w:sz w:val="20"/>
                <w:szCs w:val="20"/>
              </w:rPr>
              <w:t>停车位，停车便捷程度</w:t>
            </w:r>
            <w:r>
              <w:rPr>
                <w:rFonts w:hint="eastAsia" w:ascii="微软雅黑" w:hAnsi="微软雅黑" w:eastAsia="微软雅黑" w:cs="微软雅黑"/>
                <w:sz w:val="20"/>
                <w:szCs w:val="20"/>
                <w:lang w:val="en-US" w:eastAsia="zh-CN"/>
              </w:rPr>
              <w:t>较好</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restart"/>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环境状况</w:t>
            </w: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自然环境</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自然环境较好</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人文环境</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rPr>
              <w:t>人文环境</w:t>
            </w:r>
            <w:r>
              <w:rPr>
                <w:rFonts w:hint="eastAsia" w:ascii="微软雅黑" w:hAnsi="微软雅黑" w:eastAsia="微软雅黑" w:cs="微软雅黑"/>
                <w:sz w:val="20"/>
                <w:szCs w:val="20"/>
                <w:lang w:val="en-US" w:eastAsia="zh-CN"/>
              </w:rPr>
              <w:t>一般</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restart"/>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公共配套状况</w:t>
            </w: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基础设施</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宗地外“</w:t>
            </w:r>
            <w:r>
              <w:rPr>
                <w:rFonts w:hint="eastAsia" w:ascii="微软雅黑" w:hAnsi="微软雅黑" w:eastAsia="微软雅黑" w:cs="微软雅黑"/>
                <w:sz w:val="20"/>
                <w:szCs w:val="20"/>
                <w:lang w:val="en-US" w:eastAsia="zh-CN"/>
              </w:rPr>
              <w:t>六</w:t>
            </w:r>
            <w:r>
              <w:rPr>
                <w:rFonts w:hint="eastAsia" w:ascii="微软雅黑" w:hAnsi="微软雅黑" w:eastAsia="微软雅黑" w:cs="微软雅黑"/>
                <w:sz w:val="20"/>
                <w:szCs w:val="20"/>
              </w:rPr>
              <w:t>通”，已完成开发建设</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70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微软雅黑" w:hAnsi="微软雅黑" w:eastAsia="微软雅黑" w:cs="微软雅黑"/>
                <w:color w:val="000000"/>
                <w:kern w:val="0"/>
                <w:sz w:val="20"/>
                <w:szCs w:val="20"/>
              </w:rPr>
            </w:pPr>
          </w:p>
        </w:tc>
        <w:tc>
          <w:tcPr>
            <w:tcW w:w="1418"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公共服务设施</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周边有中国邮政储蓄银行</w:t>
            </w:r>
            <w:r>
              <w:rPr>
                <w:rFonts w:hint="eastAsia" w:ascii="微软雅黑" w:hAnsi="微软雅黑" w:eastAsia="微软雅黑" w:cs="微软雅黑"/>
                <w:sz w:val="20"/>
                <w:szCs w:val="20"/>
                <w:lang w:eastAsia="zh-CN"/>
              </w:rPr>
              <w:t>、佰澜购物广场、</w:t>
            </w:r>
            <w:r>
              <w:rPr>
                <w:rFonts w:hint="eastAsia" w:ascii="微软雅黑" w:hAnsi="微软雅黑" w:eastAsia="微软雅黑" w:cs="微软雅黑"/>
                <w:sz w:val="20"/>
                <w:szCs w:val="20"/>
                <w:lang w:val="en-US" w:eastAsia="zh-CN"/>
              </w:rPr>
              <w:t>康盛学校</w:t>
            </w:r>
            <w:r>
              <w:rPr>
                <w:rFonts w:hint="eastAsia" w:ascii="微软雅黑" w:hAnsi="微软雅黑" w:eastAsia="微软雅黑" w:cs="微软雅黑"/>
                <w:sz w:val="20"/>
                <w:szCs w:val="20"/>
              </w:rPr>
              <w:t>等配套</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lang w:val="en-US" w:eastAsia="zh-CN"/>
              </w:rPr>
              <w:t>所在区域规划多为工业厂区，</w:t>
            </w:r>
            <w:r>
              <w:rPr>
                <w:rFonts w:hint="eastAsia" w:ascii="微软雅黑" w:hAnsi="微软雅黑" w:eastAsia="微软雅黑" w:cs="微软雅黑"/>
                <w:sz w:val="20"/>
                <w:szCs w:val="20"/>
              </w:rPr>
              <w:t>公共配套设施</w:t>
            </w:r>
            <w:r>
              <w:rPr>
                <w:rFonts w:hint="eastAsia" w:ascii="微软雅黑" w:hAnsi="微软雅黑" w:eastAsia="微软雅黑" w:cs="微软雅黑"/>
                <w:sz w:val="20"/>
                <w:szCs w:val="20"/>
                <w:lang w:val="en-US" w:eastAsia="zh-CN"/>
              </w:rPr>
              <w:t>尚待完善</w:t>
            </w:r>
            <w:r>
              <w:rPr>
                <w:rFonts w:hint="eastAsia" w:ascii="微软雅黑" w:hAnsi="微软雅黑" w:eastAsia="微软雅黑" w:cs="微软雅黑"/>
                <w:sz w:val="20"/>
                <w:szCs w:val="20"/>
              </w:rPr>
              <w:t xml:space="preserve">。 </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trHeight w:val="459" w:hRule="atLeast"/>
          <w:jc w:val="right"/>
        </w:trPr>
        <w:tc>
          <w:tcPr>
            <w:tcW w:w="2127" w:type="dxa"/>
            <w:gridSpan w:val="2"/>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区位状况及规划条件</w:t>
            </w:r>
          </w:p>
        </w:tc>
        <w:tc>
          <w:tcPr>
            <w:tcW w:w="6872"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估价对象位于</w:t>
            </w:r>
            <w:r>
              <w:rPr>
                <w:rFonts w:hint="eastAsia" w:ascii="微软雅黑" w:hAnsi="微软雅黑" w:eastAsia="微软雅黑" w:cs="微软雅黑"/>
                <w:sz w:val="20"/>
                <w:szCs w:val="20"/>
                <w:lang w:eastAsia="zh-CN"/>
              </w:rPr>
              <w:t>淳安县</w:t>
            </w:r>
            <w:r>
              <w:rPr>
                <w:rFonts w:hint="eastAsia" w:ascii="微软雅黑" w:hAnsi="微软雅黑" w:eastAsia="微软雅黑" w:cs="微软雅黑"/>
                <w:sz w:val="20"/>
                <w:szCs w:val="20"/>
                <w:lang w:val="en-US" w:eastAsia="zh-CN"/>
              </w:rPr>
              <w:t>千岛湖镇康盛路与丹桂路交叉口西北侧</w:t>
            </w:r>
            <w:r>
              <w:rPr>
                <w:rFonts w:hint="eastAsia" w:ascii="微软雅黑" w:hAnsi="微软雅黑" w:eastAsia="微软雅黑" w:cs="微软雅黑"/>
                <w:sz w:val="20"/>
                <w:szCs w:val="20"/>
              </w:rPr>
              <w:t>，公共配套设施</w:t>
            </w:r>
            <w:r>
              <w:rPr>
                <w:rFonts w:hint="eastAsia" w:ascii="微软雅黑" w:hAnsi="微软雅黑" w:eastAsia="微软雅黑" w:cs="微软雅黑"/>
                <w:sz w:val="20"/>
                <w:szCs w:val="20"/>
                <w:lang w:val="en-US" w:eastAsia="zh-CN"/>
              </w:rPr>
              <w:t>尚待完善，</w:t>
            </w:r>
            <w:r>
              <w:rPr>
                <w:rFonts w:hint="eastAsia" w:ascii="微软雅黑" w:hAnsi="微软雅黑" w:eastAsia="微软雅黑" w:cs="微软雅黑"/>
                <w:sz w:val="20"/>
                <w:szCs w:val="20"/>
                <w:lang w:eastAsia="zh-CN"/>
              </w:rPr>
              <w:t>公共交通便捷度一般，</w:t>
            </w:r>
            <w:r>
              <w:rPr>
                <w:rFonts w:hint="eastAsia" w:ascii="微软雅黑" w:hAnsi="微软雅黑" w:eastAsia="微软雅黑" w:cs="微软雅黑"/>
                <w:sz w:val="20"/>
                <w:szCs w:val="20"/>
                <w:lang w:val="en-US" w:eastAsia="zh-CN"/>
              </w:rPr>
              <w:t>综合分析估价对象</w:t>
            </w:r>
            <w:r>
              <w:rPr>
                <w:rFonts w:hint="eastAsia" w:ascii="微软雅黑" w:hAnsi="微软雅黑" w:eastAsia="微软雅黑" w:cs="微软雅黑"/>
                <w:sz w:val="20"/>
                <w:szCs w:val="20"/>
              </w:rPr>
              <w:t>区位状况</w:t>
            </w:r>
            <w:r>
              <w:rPr>
                <w:rFonts w:hint="eastAsia" w:ascii="微软雅黑" w:hAnsi="微软雅黑" w:eastAsia="微软雅黑" w:cs="微软雅黑"/>
                <w:sz w:val="20"/>
                <w:szCs w:val="20"/>
                <w:lang w:eastAsia="zh-CN"/>
              </w:rPr>
              <w:t>一般</w:t>
            </w:r>
            <w:r>
              <w:rPr>
                <w:rFonts w:hint="eastAsia" w:ascii="微软雅黑" w:hAnsi="微软雅黑" w:eastAsia="微软雅黑" w:cs="微软雅黑"/>
                <w:sz w:val="20"/>
                <w:szCs w:val="20"/>
              </w:rPr>
              <w:t>。</w:t>
            </w:r>
          </w:p>
        </w:tc>
      </w:tr>
    </w:tbl>
    <w:p>
      <w:pPr>
        <w:jc w:val="center"/>
      </w:pPr>
      <w:bookmarkStart w:id="113" w:name="_Toc22651516"/>
    </w:p>
    <w:p>
      <w:pPr>
        <w:jc w:val="center"/>
      </w:pPr>
      <w:r>
        <w:pict>
          <v:shape id="_x0000_s3074" o:spid="_x0000_s3074" o:spt="61" type="#_x0000_t61" style="position:absolute;left:0pt;flip:x;margin-left:197.6pt;margin-top:157.95pt;height:22.5pt;width:72.8pt;z-index:251670528;v-text-anchor:middle;mso-width-relative:page;mso-height-relative:page;" fillcolor="#FFFFFF" filled="t" stroked="t" coordsize="21600,21600" adj="24404,60144">
            <v:path/>
            <v:fill on="t" color2="#FFFFFF" focussize="0,0"/>
            <v:stroke color="#000000" joinstyle="miter"/>
            <v:imagedata o:title=""/>
            <o:lock v:ext="edit" aspectratio="f"/>
            <v:textbox>
              <w:txbxContent>
                <w:p>
                  <w:pPr>
                    <w:rPr>
                      <w:sz w:val="15"/>
                      <w:szCs w:val="15"/>
                    </w:rPr>
                  </w:pPr>
                  <w:r>
                    <w:rPr>
                      <w:rFonts w:hint="eastAsia"/>
                      <w:sz w:val="15"/>
                      <w:szCs w:val="15"/>
                    </w:rPr>
                    <w:t>估价对象位置</w:t>
                  </w:r>
                </w:p>
              </w:txbxContent>
            </v:textbox>
          </v:shape>
        </w:pict>
      </w:r>
      <w:r>
        <w:drawing>
          <wp:inline distT="0" distB="0" distL="114300" distR="114300">
            <wp:extent cx="5008245" cy="3780155"/>
            <wp:effectExtent l="0" t="0" r="1905" b="1079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2"/>
                    <a:stretch>
                      <a:fillRect/>
                    </a:stretch>
                  </pic:blipFill>
                  <pic:spPr>
                    <a:xfrm>
                      <a:off x="0" y="0"/>
                      <a:ext cx="5008245" cy="3780155"/>
                    </a:xfrm>
                    <a:prstGeom prst="rect">
                      <a:avLst/>
                    </a:prstGeom>
                    <a:noFill/>
                    <a:ln>
                      <a:noFill/>
                    </a:ln>
                  </pic:spPr>
                </pic:pic>
              </a:graphicData>
            </a:graphic>
          </wp:inline>
        </w:drawing>
      </w:r>
    </w:p>
    <w:p>
      <w:pPr>
        <w:jc w:val="center"/>
        <w:rPr>
          <w:rFonts w:ascii="微软雅黑" w:hAnsi="微软雅黑" w:eastAsia="微软雅黑" w:cs="仿宋_GB2312"/>
        </w:rPr>
      </w:pPr>
      <w:r>
        <w:rPr>
          <w:rFonts w:hint="eastAsia" w:ascii="微软雅黑" w:hAnsi="微软雅黑" w:eastAsia="微软雅黑" w:cs="仿宋_GB2312"/>
        </w:rPr>
        <w:t>估价对象区域位置</w:t>
      </w:r>
    </w:p>
    <w:tbl>
      <w:tblPr>
        <w:tblStyle w:val="17"/>
        <w:tblW w:w="10313" w:type="dxa"/>
        <w:jc w:val="center"/>
        <w:tblLayout w:type="fixed"/>
        <w:tblCellMar>
          <w:top w:w="0" w:type="dxa"/>
          <w:left w:w="108" w:type="dxa"/>
          <w:bottom w:w="0" w:type="dxa"/>
          <w:right w:w="108" w:type="dxa"/>
        </w:tblCellMar>
      </w:tblPr>
      <w:tblGrid>
        <w:gridCol w:w="5181"/>
        <w:gridCol w:w="5132"/>
      </w:tblGrid>
      <w:tr>
        <w:tblPrEx>
          <w:tblCellMar>
            <w:top w:w="0" w:type="dxa"/>
            <w:left w:w="108" w:type="dxa"/>
            <w:bottom w:w="0" w:type="dxa"/>
            <w:right w:w="108" w:type="dxa"/>
          </w:tblCellMar>
        </w:tblPrEx>
        <w:trPr>
          <w:jc w:val="center"/>
        </w:trPr>
        <w:tc>
          <w:tcPr>
            <w:tcW w:w="5181"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149600" cy="2362200"/>
                  <wp:effectExtent l="0" t="0" r="12700" b="0"/>
                  <wp:docPr id="22" name="图片 22" descr="IMG_20220902_13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20902_132241"/>
                          <pic:cNvPicPr>
                            <a:picLocks noChangeAspect="1"/>
                          </pic:cNvPicPr>
                        </pic:nvPicPr>
                        <pic:blipFill>
                          <a:blip r:embed="rId23"/>
                          <a:stretch>
                            <a:fillRect/>
                          </a:stretch>
                        </pic:blipFill>
                        <pic:spPr>
                          <a:xfrm>
                            <a:off x="0" y="0"/>
                            <a:ext cx="3149600" cy="2362200"/>
                          </a:xfrm>
                          <a:prstGeom prst="rect">
                            <a:avLst/>
                          </a:prstGeom>
                        </pic:spPr>
                      </pic:pic>
                    </a:graphicData>
                  </a:graphic>
                </wp:inline>
              </w:drawing>
            </w:r>
          </w:p>
        </w:tc>
        <w:tc>
          <w:tcPr>
            <w:tcW w:w="5132" w:type="dxa"/>
          </w:tcPr>
          <w:p>
            <w:pPr>
              <w:jc w:val="center"/>
              <w:rPr>
                <w:rFonts w:hint="eastAsia" w:eastAsia="微软雅黑"/>
                <w:b/>
                <w:sz w:val="28"/>
                <w:szCs w:val="28"/>
                <w:lang w:eastAsia="zh-CN"/>
              </w:rPr>
            </w:pPr>
            <w:r>
              <w:rPr>
                <w:rFonts w:hint="eastAsia" w:eastAsia="微软雅黑"/>
                <w:b/>
                <w:sz w:val="28"/>
                <w:szCs w:val="28"/>
                <w:lang w:eastAsia="zh-CN"/>
              </w:rPr>
              <w:drawing>
                <wp:inline distT="0" distB="0" distL="114300" distR="114300">
                  <wp:extent cx="3098800" cy="2324100"/>
                  <wp:effectExtent l="0" t="0" r="6350" b="0"/>
                  <wp:docPr id="27" name="图片 27" descr="IMG_20220902_1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20902_132433"/>
                          <pic:cNvPicPr>
                            <a:picLocks noChangeAspect="1"/>
                          </pic:cNvPicPr>
                        </pic:nvPicPr>
                        <pic:blipFill>
                          <a:blip r:embed="rId24"/>
                          <a:stretch>
                            <a:fillRect/>
                          </a:stretch>
                        </pic:blipFill>
                        <pic:spPr>
                          <a:xfrm>
                            <a:off x="0" y="0"/>
                            <a:ext cx="3098800" cy="2324100"/>
                          </a:xfrm>
                          <a:prstGeom prst="rect">
                            <a:avLst/>
                          </a:prstGeom>
                        </pic:spPr>
                      </pic:pic>
                    </a:graphicData>
                  </a:graphic>
                </wp:inline>
              </w:drawing>
            </w:r>
          </w:p>
        </w:tc>
      </w:tr>
      <w:tr>
        <w:tblPrEx>
          <w:tblCellMar>
            <w:top w:w="0" w:type="dxa"/>
            <w:left w:w="108" w:type="dxa"/>
            <w:bottom w:w="0" w:type="dxa"/>
            <w:right w:w="108" w:type="dxa"/>
          </w:tblCellMar>
        </w:tblPrEx>
        <w:trPr>
          <w:trHeight w:val="507" w:hRule="exact"/>
          <w:jc w:val="center"/>
        </w:trPr>
        <w:tc>
          <w:tcPr>
            <w:tcW w:w="5181" w:type="dxa"/>
          </w:tcPr>
          <w:p>
            <w:pPr>
              <w:jc w:val="center"/>
              <w:rPr>
                <w:rFonts w:ascii="宋体" w:hAnsi="宋体" w:eastAsia="宋体" w:cs="宋体"/>
                <w:b/>
                <w:sz w:val="28"/>
                <w:szCs w:val="28"/>
              </w:rPr>
            </w:pPr>
            <w:r>
              <w:rPr>
                <w:rFonts w:hint="eastAsia" w:ascii="微软雅黑" w:hAnsi="微软雅黑" w:eastAsia="微软雅黑" w:cs="仿宋_GB2312"/>
                <w:szCs w:val="21"/>
              </w:rPr>
              <w:t>周边道路</w:t>
            </w:r>
          </w:p>
        </w:tc>
        <w:tc>
          <w:tcPr>
            <w:tcW w:w="5132" w:type="dxa"/>
          </w:tcPr>
          <w:p>
            <w:pPr>
              <w:jc w:val="center"/>
              <w:rPr>
                <w:rFonts w:hint="default" w:ascii="宋体" w:hAnsi="宋体" w:eastAsia="宋体" w:cs="宋体"/>
                <w:b/>
                <w:sz w:val="28"/>
                <w:szCs w:val="28"/>
                <w:lang w:val="en-US" w:eastAsia="zh-CN"/>
              </w:rPr>
            </w:pPr>
            <w:r>
              <w:rPr>
                <w:rFonts w:hint="eastAsia" w:ascii="微软雅黑" w:hAnsi="微软雅黑" w:eastAsia="微软雅黑" w:cs="仿宋_GB2312"/>
                <w:szCs w:val="21"/>
                <w:lang w:val="en-US" w:eastAsia="zh-CN"/>
              </w:rPr>
              <w:t>小区出入口</w:t>
            </w:r>
          </w:p>
        </w:tc>
      </w:tr>
    </w:tbl>
    <w:p>
      <w:pPr>
        <w:pStyle w:val="3"/>
        <w:topLinePunct/>
        <w:adjustRightInd w:val="0"/>
        <w:snapToGrid w:val="0"/>
        <w:spacing w:before="0" w:after="0" w:line="312" w:lineRule="auto"/>
        <w:rPr>
          <w:rFonts w:ascii="微软雅黑" w:hAnsi="微软雅黑" w:eastAsia="微软雅黑" w:cs="微软雅黑"/>
          <w:bCs w:val="0"/>
          <w:sz w:val="24"/>
          <w:szCs w:val="24"/>
        </w:rPr>
      </w:pPr>
      <w:bookmarkStart w:id="114" w:name="_Toc21877"/>
      <w:r>
        <w:rPr>
          <w:rFonts w:hint="eastAsia" w:ascii="微软雅黑" w:hAnsi="微软雅黑" w:eastAsia="微软雅黑" w:cs="微软雅黑"/>
          <w:bCs w:val="0"/>
          <w:sz w:val="24"/>
          <w:szCs w:val="24"/>
        </w:rPr>
        <w:t>五、价值时点</w:t>
      </w:r>
      <w:bookmarkEnd w:id="113"/>
      <w:bookmarkEnd w:id="114"/>
    </w:p>
    <w:p>
      <w:pPr>
        <w:topLinePunct/>
        <w:adjustRightInd w:val="0"/>
        <w:snapToGrid w:val="0"/>
        <w:spacing w:before="156" w:beforeLines="50" w:line="312" w:lineRule="auto"/>
        <w:ind w:firstLine="420" w:firstLineChars="200"/>
        <w:rPr>
          <w:rFonts w:ascii="微软雅黑" w:hAnsi="微软雅黑" w:eastAsia="微软雅黑" w:cs="微软雅黑"/>
          <w:szCs w:val="21"/>
        </w:rPr>
      </w:pPr>
      <w:bookmarkStart w:id="115" w:name="_Toc384323577"/>
      <w:bookmarkStart w:id="116" w:name="_Toc384364487"/>
      <w:r>
        <w:rPr>
          <w:rFonts w:hint="eastAsia" w:ascii="微软雅黑" w:hAnsi="微软雅黑" w:eastAsia="微软雅黑" w:cs="仿宋_GB2312"/>
          <w:szCs w:val="21"/>
        </w:rPr>
        <w:t>本次估价完成估价对象实地查勘之日为</w:t>
      </w:r>
      <w:r>
        <w:rPr>
          <w:rFonts w:hint="eastAsia" w:ascii="微软雅黑" w:hAnsi="微软雅黑" w:eastAsia="微软雅黑"/>
          <w:szCs w:val="21"/>
          <w:lang w:eastAsia="zh-CN"/>
        </w:rPr>
        <w:t>2022年9月2日</w:t>
      </w:r>
      <w:r>
        <w:rPr>
          <w:rFonts w:hint="eastAsia" w:ascii="微软雅黑" w:hAnsi="微软雅黑" w:eastAsia="微软雅黑" w:cs="仿宋_GB2312"/>
          <w:szCs w:val="21"/>
        </w:rPr>
        <w:t>，根据估价目的，价值时点确定为</w:t>
      </w:r>
      <w:r>
        <w:rPr>
          <w:rFonts w:hint="eastAsia" w:ascii="微软雅黑" w:hAnsi="微软雅黑" w:eastAsia="微软雅黑"/>
          <w:szCs w:val="21"/>
          <w:lang w:eastAsia="zh-CN"/>
        </w:rPr>
        <w:t>2022年9月2日</w:t>
      </w:r>
      <w:r>
        <w:rPr>
          <w:rFonts w:hint="eastAsia" w:ascii="微软雅黑" w:hAnsi="微软雅黑" w:eastAsia="微软雅黑" w:cs="仿宋_GB2312"/>
          <w:szCs w:val="21"/>
        </w:rPr>
        <w:t>。</w:t>
      </w:r>
      <w:bookmarkEnd w:id="115"/>
      <w:bookmarkEnd w:id="116"/>
    </w:p>
    <w:p>
      <w:pPr>
        <w:pStyle w:val="3"/>
        <w:topLinePunct/>
        <w:adjustRightInd w:val="0"/>
        <w:snapToGrid w:val="0"/>
        <w:spacing w:before="0" w:after="0" w:line="312" w:lineRule="auto"/>
        <w:rPr>
          <w:rFonts w:ascii="微软雅黑" w:hAnsi="微软雅黑" w:eastAsia="微软雅黑" w:cs="微软雅黑"/>
          <w:bCs w:val="0"/>
          <w:sz w:val="24"/>
          <w:szCs w:val="24"/>
        </w:rPr>
      </w:pPr>
      <w:bookmarkStart w:id="117" w:name="_Toc22651517"/>
      <w:bookmarkStart w:id="118" w:name="_Toc27485"/>
      <w:r>
        <w:rPr>
          <w:rFonts w:hint="eastAsia" w:ascii="微软雅黑" w:hAnsi="微软雅黑" w:eastAsia="微软雅黑" w:cs="微软雅黑"/>
          <w:bCs w:val="0"/>
          <w:sz w:val="24"/>
          <w:szCs w:val="24"/>
        </w:rPr>
        <w:t>六、价值类型</w:t>
      </w:r>
      <w:bookmarkEnd w:id="117"/>
      <w:bookmarkEnd w:id="118"/>
    </w:p>
    <w:p>
      <w:pPr>
        <w:pStyle w:val="25"/>
        <w:topLinePunct/>
        <w:adjustRightInd w:val="0"/>
        <w:snapToGrid w:val="0"/>
        <w:spacing w:line="312" w:lineRule="auto"/>
        <w:rPr>
          <w:rFonts w:ascii="微软雅黑" w:hAnsi="微软雅黑" w:eastAsia="微软雅黑" w:cs="微软雅黑"/>
          <w:bCs/>
          <w:snapToGrid w:val="0"/>
          <w:kern w:val="0"/>
        </w:rPr>
      </w:pPr>
      <w:r>
        <w:rPr>
          <w:rFonts w:hint="eastAsia" w:ascii="微软雅黑" w:hAnsi="微软雅黑" w:eastAsia="微软雅黑" w:cs="微软雅黑"/>
          <w:bCs/>
          <w:snapToGrid w:val="0"/>
          <w:kern w:val="0"/>
        </w:rPr>
        <w:t>本报告的房地产价值是指估价对象在在房地产公开市场条件下形成的于价值时点</w:t>
      </w:r>
      <w:r>
        <w:rPr>
          <w:rFonts w:hint="eastAsia" w:ascii="微软雅黑" w:hAnsi="微软雅黑" w:eastAsia="微软雅黑"/>
          <w:szCs w:val="21"/>
          <w:lang w:eastAsia="zh-CN"/>
        </w:rPr>
        <w:t>2022年9月2日</w:t>
      </w:r>
      <w:r>
        <w:rPr>
          <w:rFonts w:hint="eastAsia" w:ascii="微软雅黑" w:hAnsi="微软雅黑" w:eastAsia="微软雅黑" w:cs="微软雅黑"/>
          <w:bCs/>
          <w:snapToGrid w:val="0"/>
          <w:kern w:val="0"/>
        </w:rPr>
        <w:t>的市场价值。</w:t>
      </w:r>
    </w:p>
    <w:p>
      <w:pPr>
        <w:pStyle w:val="25"/>
        <w:topLinePunct/>
        <w:adjustRightInd w:val="0"/>
        <w:snapToGrid w:val="0"/>
        <w:spacing w:line="312" w:lineRule="auto"/>
        <w:rPr>
          <w:rFonts w:ascii="微软雅黑" w:hAnsi="微软雅黑" w:eastAsia="微软雅黑" w:cs="微软雅黑"/>
          <w:bCs/>
          <w:snapToGrid w:val="0"/>
          <w:kern w:val="0"/>
        </w:rPr>
      </w:pPr>
      <w:r>
        <w:rPr>
          <w:rFonts w:hint="eastAsia" w:ascii="微软雅黑" w:hAnsi="微软雅黑" w:eastAsia="微软雅黑" w:cs="微软雅黑"/>
          <w:bCs/>
          <w:snapToGrid w:val="0"/>
          <w:kern w:val="0"/>
        </w:rPr>
        <w:t>◆设定状态如下：涉案的估价对象权属清晰，不考虑设定的抵押权、附带相关的拖欠物业管理费用、宽带、水电费等情况，能正常持续使用。</w:t>
      </w:r>
    </w:p>
    <w:p>
      <w:pPr>
        <w:pStyle w:val="25"/>
        <w:topLinePunct/>
        <w:adjustRightInd w:val="0"/>
        <w:snapToGrid w:val="0"/>
        <w:spacing w:line="312" w:lineRule="auto"/>
        <w:rPr>
          <w:rFonts w:ascii="微软雅黑" w:hAnsi="微软雅黑" w:eastAsia="微软雅黑" w:cs="微软雅黑"/>
          <w:bCs/>
          <w:snapToGrid w:val="0"/>
          <w:kern w:val="0"/>
        </w:rPr>
      </w:pPr>
      <w:r>
        <w:rPr>
          <w:rFonts w:hint="eastAsia" w:ascii="微软雅黑" w:hAnsi="微软雅黑" w:eastAsia="微软雅黑" w:cs="微软雅黑"/>
          <w:bCs/>
          <w:snapToGrid w:val="0"/>
          <w:kern w:val="0"/>
        </w:rPr>
        <w:t>◆房地产公开市场条件是指在下列交易条件下最可能实现的价格：①交易双方是自愿地进行交易的——一个卖者并不是被迫将房地产卖给特定的买者，一个买者也不是被迫从特定的卖者那里购买房地产；②交易双方进行交易的目的是追求各自利益的最大化；③交易双方具有必要的专业知识并了解交易对象；④交易双方掌握必要的市场信息；⑤交易双方有较充裕的时间进行交易；⑥不存在买者因特殊兴趣而给予附加出价。</w:t>
      </w:r>
    </w:p>
    <w:p>
      <w:pPr>
        <w:pStyle w:val="25"/>
        <w:topLinePunct/>
        <w:adjustRightInd w:val="0"/>
        <w:snapToGrid w:val="0"/>
        <w:spacing w:line="312" w:lineRule="auto"/>
        <w:rPr>
          <w:rFonts w:ascii="微软雅黑" w:hAnsi="微软雅黑" w:eastAsia="微软雅黑" w:cs="微软雅黑"/>
          <w:bCs/>
          <w:snapToGrid w:val="0"/>
          <w:kern w:val="0"/>
        </w:rPr>
      </w:pPr>
      <w:r>
        <w:rPr>
          <w:rFonts w:hint="eastAsia" w:ascii="微软雅黑" w:hAnsi="微软雅黑" w:eastAsia="微软雅黑" w:cs="微软雅黑"/>
          <w:bCs/>
          <w:snapToGrid w:val="0"/>
          <w:kern w:val="0"/>
        </w:rPr>
        <w:t>◆本报告价格货币单位均为人民币。</w:t>
      </w:r>
    </w:p>
    <w:p>
      <w:pPr>
        <w:pStyle w:val="3"/>
        <w:tabs>
          <w:tab w:val="left" w:pos="993"/>
        </w:tabs>
        <w:topLinePunct/>
        <w:adjustRightInd w:val="0"/>
        <w:snapToGrid w:val="0"/>
        <w:spacing w:before="0" w:after="0" w:line="312" w:lineRule="auto"/>
        <w:rPr>
          <w:rFonts w:ascii="微软雅黑" w:hAnsi="微软雅黑" w:eastAsia="微软雅黑" w:cs="微软雅黑"/>
          <w:bCs w:val="0"/>
          <w:sz w:val="24"/>
          <w:szCs w:val="24"/>
        </w:rPr>
      </w:pPr>
      <w:bookmarkStart w:id="119" w:name="_Toc21144"/>
      <w:bookmarkStart w:id="120" w:name="_Toc22651518"/>
      <w:r>
        <w:rPr>
          <w:rFonts w:hint="eastAsia" w:ascii="微软雅黑" w:hAnsi="微软雅黑" w:eastAsia="微软雅黑" w:cs="微软雅黑"/>
          <w:bCs w:val="0"/>
          <w:sz w:val="24"/>
          <w:szCs w:val="24"/>
        </w:rPr>
        <w:t>七、估价原则</w:t>
      </w:r>
      <w:bookmarkEnd w:id="119"/>
      <w:bookmarkEnd w:id="120"/>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我们在本次估价时遵循了以下原则：</w:t>
      </w:r>
    </w:p>
    <w:p>
      <w:pPr>
        <w:pStyle w:val="25"/>
        <w:numPr>
          <w:ilvl w:val="0"/>
          <w:numId w:val="8"/>
        </w:numPr>
        <w:tabs>
          <w:tab w:val="left" w:pos="1134"/>
        </w:tabs>
        <w:topLinePunct/>
        <w:adjustRightInd w:val="0"/>
        <w:snapToGrid w:val="0"/>
        <w:spacing w:line="312" w:lineRule="auto"/>
        <w:ind w:left="0" w:firstLine="420"/>
        <w:rPr>
          <w:rFonts w:ascii="微软雅黑" w:hAnsi="微软雅黑" w:eastAsia="微软雅黑" w:cs="微软雅黑"/>
          <w:b/>
          <w:szCs w:val="21"/>
        </w:rPr>
      </w:pPr>
      <w:r>
        <w:rPr>
          <w:rFonts w:hint="eastAsia" w:ascii="微软雅黑" w:hAnsi="微软雅黑" w:eastAsia="微软雅黑" w:cs="微软雅黑"/>
          <w:b/>
          <w:szCs w:val="21"/>
        </w:rPr>
        <w:t>独立、客观、公正原则</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要求站在中立的立场上，实事求是、公平正直地评估出对各方估价利害关系人均是公平合理的价值或价格的原则。</w:t>
      </w:r>
    </w:p>
    <w:p>
      <w:pPr>
        <w:pStyle w:val="25"/>
        <w:numPr>
          <w:ilvl w:val="0"/>
          <w:numId w:val="8"/>
        </w:numPr>
        <w:tabs>
          <w:tab w:val="left" w:pos="1134"/>
        </w:tabs>
        <w:topLinePunct/>
        <w:adjustRightInd w:val="0"/>
        <w:snapToGrid w:val="0"/>
        <w:spacing w:line="312" w:lineRule="auto"/>
        <w:ind w:left="0" w:firstLine="420"/>
        <w:rPr>
          <w:rFonts w:ascii="微软雅黑" w:hAnsi="微软雅黑" w:eastAsia="微软雅黑" w:cs="微软雅黑"/>
          <w:b/>
          <w:szCs w:val="21"/>
        </w:rPr>
      </w:pPr>
      <w:r>
        <w:rPr>
          <w:rFonts w:hint="eastAsia" w:ascii="微软雅黑" w:hAnsi="微软雅黑" w:eastAsia="微软雅黑" w:cs="微软雅黑"/>
          <w:b/>
          <w:szCs w:val="21"/>
        </w:rPr>
        <w:t>合法原则</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要求估价结果是在依法判定的估价对象状况下的价值或价格的原则。</w:t>
      </w:r>
    </w:p>
    <w:p>
      <w:pPr>
        <w:pStyle w:val="25"/>
        <w:numPr>
          <w:ilvl w:val="0"/>
          <w:numId w:val="8"/>
        </w:numPr>
        <w:tabs>
          <w:tab w:val="left" w:pos="1134"/>
        </w:tabs>
        <w:topLinePunct/>
        <w:adjustRightInd w:val="0"/>
        <w:snapToGrid w:val="0"/>
        <w:spacing w:line="312" w:lineRule="auto"/>
        <w:ind w:left="0" w:firstLine="420"/>
        <w:rPr>
          <w:rFonts w:ascii="微软雅黑" w:hAnsi="微软雅黑" w:eastAsia="微软雅黑" w:cs="微软雅黑"/>
          <w:b/>
          <w:szCs w:val="21"/>
        </w:rPr>
      </w:pPr>
      <w:r>
        <w:rPr>
          <w:rFonts w:hint="eastAsia" w:ascii="微软雅黑" w:hAnsi="微软雅黑" w:eastAsia="微软雅黑" w:cs="微软雅黑"/>
          <w:b/>
          <w:szCs w:val="21"/>
        </w:rPr>
        <w:t>价值时点原则</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要求估价结果是在根据估价目的确定的某一特定时间的价值或价格的原则。</w:t>
      </w:r>
    </w:p>
    <w:p>
      <w:pPr>
        <w:pStyle w:val="25"/>
        <w:numPr>
          <w:ilvl w:val="0"/>
          <w:numId w:val="8"/>
        </w:numPr>
        <w:tabs>
          <w:tab w:val="left" w:pos="1134"/>
        </w:tabs>
        <w:topLinePunct/>
        <w:adjustRightInd w:val="0"/>
        <w:snapToGrid w:val="0"/>
        <w:spacing w:line="312" w:lineRule="auto"/>
        <w:ind w:left="0" w:firstLine="420"/>
        <w:rPr>
          <w:rFonts w:ascii="微软雅黑" w:hAnsi="微软雅黑" w:eastAsia="微软雅黑" w:cs="微软雅黑"/>
          <w:b/>
          <w:szCs w:val="21"/>
        </w:rPr>
      </w:pPr>
      <w:r>
        <w:rPr>
          <w:rFonts w:hint="eastAsia" w:ascii="微软雅黑" w:hAnsi="微软雅黑" w:eastAsia="微软雅黑" w:cs="微软雅黑"/>
          <w:b/>
          <w:szCs w:val="21"/>
        </w:rPr>
        <w:t>替代原则</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要求估价结果与估价对象的类似房地产在同等条件下的价值或价格偏差在合理范围内的原则。</w:t>
      </w:r>
    </w:p>
    <w:p>
      <w:pPr>
        <w:pStyle w:val="25"/>
        <w:numPr>
          <w:ilvl w:val="0"/>
          <w:numId w:val="8"/>
        </w:numPr>
        <w:tabs>
          <w:tab w:val="left" w:pos="1134"/>
        </w:tabs>
        <w:topLinePunct/>
        <w:adjustRightInd w:val="0"/>
        <w:snapToGrid w:val="0"/>
        <w:spacing w:line="312" w:lineRule="auto"/>
        <w:ind w:left="0" w:firstLine="420"/>
        <w:rPr>
          <w:rFonts w:ascii="微软雅黑" w:hAnsi="微软雅黑" w:eastAsia="微软雅黑" w:cs="微软雅黑"/>
          <w:b/>
          <w:szCs w:val="21"/>
        </w:rPr>
      </w:pPr>
      <w:r>
        <w:rPr>
          <w:rFonts w:hint="eastAsia" w:ascii="微软雅黑" w:hAnsi="微软雅黑" w:eastAsia="微软雅黑" w:cs="微软雅黑"/>
          <w:b/>
          <w:szCs w:val="21"/>
        </w:rPr>
        <w:t>最高最佳利用原则</w:t>
      </w:r>
    </w:p>
    <w:p>
      <w:pPr>
        <w:topLinePunct/>
        <w:adjustRightInd w:val="0"/>
        <w:snapToGrid w:val="0"/>
        <w:spacing w:line="312" w:lineRule="auto"/>
        <w:ind w:firstLine="420" w:firstLineChars="200"/>
        <w:rPr>
          <w:rFonts w:ascii="微软雅黑" w:hAnsi="微软雅黑" w:eastAsia="微软雅黑"/>
          <w:szCs w:val="21"/>
        </w:rPr>
      </w:pPr>
      <w:r>
        <w:rPr>
          <w:rFonts w:hint="eastAsia" w:ascii="微软雅黑" w:hAnsi="微软雅黑" w:eastAsia="微软雅黑"/>
          <w:szCs w:val="21"/>
        </w:rPr>
        <w:t>遵循最高最佳利用原则，估价结果应为在估价对象最高最佳利用状况下的价值。估价对象的最高最佳利用状况，应包括最佳的用途、规模和档次，并应按法律上允许、技术上可能、财务上可行、价值最大化的次序进行分析、筛选和判断确定。</w:t>
      </w:r>
    </w:p>
    <w:p>
      <w:pPr>
        <w:pStyle w:val="3"/>
        <w:tabs>
          <w:tab w:val="left" w:pos="993"/>
        </w:tabs>
        <w:topLinePunct/>
        <w:adjustRightInd w:val="0"/>
        <w:snapToGrid w:val="0"/>
        <w:spacing w:before="0" w:after="0" w:line="312" w:lineRule="auto"/>
        <w:rPr>
          <w:rFonts w:ascii="微软雅黑" w:hAnsi="微软雅黑" w:eastAsia="微软雅黑" w:cs="微软雅黑"/>
          <w:bCs w:val="0"/>
          <w:sz w:val="24"/>
          <w:szCs w:val="24"/>
        </w:rPr>
      </w:pPr>
      <w:bookmarkStart w:id="121" w:name="_Toc22651519"/>
      <w:bookmarkStart w:id="122" w:name="_Toc10435"/>
      <w:r>
        <w:rPr>
          <w:rFonts w:hint="eastAsia" w:ascii="微软雅黑" w:hAnsi="微软雅黑" w:eastAsia="微软雅黑" w:cs="微软雅黑"/>
          <w:bCs w:val="0"/>
          <w:sz w:val="24"/>
          <w:szCs w:val="24"/>
        </w:rPr>
        <w:t>八、估价依据</w:t>
      </w:r>
      <w:bookmarkEnd w:id="121"/>
      <w:bookmarkEnd w:id="122"/>
    </w:p>
    <w:p>
      <w:pPr>
        <w:pStyle w:val="25"/>
        <w:topLinePunct/>
        <w:adjustRightInd w:val="0"/>
        <w:snapToGrid w:val="0"/>
        <w:spacing w:line="312" w:lineRule="auto"/>
        <w:rPr>
          <w:rFonts w:ascii="微软雅黑" w:hAnsi="微软雅黑" w:eastAsia="微软雅黑" w:cs="微软雅黑"/>
          <w:b/>
          <w:szCs w:val="21"/>
        </w:rPr>
      </w:pPr>
      <w:r>
        <w:rPr>
          <w:rFonts w:hint="eastAsia" w:ascii="微软雅黑" w:hAnsi="微软雅黑" w:eastAsia="微软雅黑" w:cs="微软雅黑"/>
          <w:b/>
          <w:szCs w:val="21"/>
        </w:rPr>
        <w:t>（一）法律、法规和政策性文件</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《中华人民共和国民法典》（中华人民共和国主席令第45号，2021年1月1日起施行）；</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《中华人民共和国城市房地产管理法》（2019年修正）（中华人民共和国主席令第32号、2020年1月1日起施行，2019年8月26日由中华人民共和国第十三届全国人民代表大会常务委员会第十二次会议通过）；</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《中华人民共和国土地管理法》（2019年修正）（中华人民共和国主席令第32号、2020年1月1日起施行，2019年8月26日由中华人民共和国第十三届全国人民代表大会常务委员会第十二次会议通过）；</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《中华人民共和国资产评估法》（中华人民共和国主席令第46号、2016年12月1日起施行）；</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《最高人民法院关于人民法院确定财产处置参考价若干问题的规定》（法释[2018]15 号）；</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《关于发布&lt;浙江省房地产估价技术指引&gt;第 1 号的通知》（浙估协（2016）46 号）；</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《关于修订〈浙江省房地产司法评估指导意见（试行）〉的通知》（浙估协〔2021〕3号）；</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浙江省高级人民法院实施《人民法院对外委托司法鉴定管理规定》细则（浙高法[2010]299 号）；</w:t>
      </w:r>
    </w:p>
    <w:p>
      <w:pPr>
        <w:pStyle w:val="25"/>
        <w:numPr>
          <w:ilvl w:val="0"/>
          <w:numId w:val="9"/>
        </w:numPr>
        <w:tabs>
          <w:tab w:val="left" w:pos="709"/>
        </w:tabs>
        <w:topLinePunct/>
        <w:adjustRightInd w:val="0"/>
        <w:snapToGrid w:val="0"/>
        <w:spacing w:line="312" w:lineRule="auto"/>
        <w:ind w:left="0" w:firstLine="42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rPr>
        <w:t>关于印发《浙江省高级人民法院执行局关于规范不动产网络司法拍卖、变卖工作指引》的通知（浙高法执（2020）6 号）</w:t>
      </w:r>
      <w:r>
        <w:rPr>
          <w:rFonts w:hint="eastAsia" w:ascii="微软雅黑" w:hAnsi="微软雅黑" w:eastAsia="微软雅黑" w:cs="仿宋_GB2312"/>
          <w:bCs/>
          <w:snapToGrid w:val="0"/>
          <w:kern w:val="0"/>
          <w:lang w:eastAsia="zh-CN"/>
        </w:rPr>
        <w:t>。</w:t>
      </w:r>
    </w:p>
    <w:p>
      <w:pPr>
        <w:pStyle w:val="25"/>
        <w:topLinePunct/>
        <w:adjustRightInd w:val="0"/>
        <w:snapToGrid w:val="0"/>
        <w:spacing w:line="312" w:lineRule="auto"/>
        <w:rPr>
          <w:rFonts w:ascii="微软雅黑" w:hAnsi="微软雅黑" w:eastAsia="微软雅黑" w:cs="微软雅黑"/>
          <w:b/>
          <w:szCs w:val="21"/>
        </w:rPr>
      </w:pPr>
      <w:r>
        <w:rPr>
          <w:rFonts w:hint="eastAsia" w:ascii="微软雅黑" w:hAnsi="微软雅黑" w:eastAsia="微软雅黑" w:cs="微软雅黑"/>
          <w:b/>
          <w:szCs w:val="21"/>
        </w:rPr>
        <w:t>（二）技术标准、规程、规范</w:t>
      </w:r>
    </w:p>
    <w:p>
      <w:pPr>
        <w:pStyle w:val="25"/>
        <w:numPr>
          <w:ilvl w:val="0"/>
          <w:numId w:val="10"/>
        </w:numPr>
        <w:tabs>
          <w:tab w:val="left" w:pos="709"/>
        </w:tabs>
        <w:topLinePunct/>
        <w:adjustRightInd w:val="0"/>
        <w:snapToGrid w:val="0"/>
        <w:spacing w:line="312" w:lineRule="auto"/>
        <w:ind w:left="0" w:firstLine="420"/>
        <w:rPr>
          <w:rFonts w:ascii="微软雅黑" w:hAnsi="微软雅黑" w:eastAsia="微软雅黑"/>
          <w:color w:val="000000"/>
          <w:szCs w:val="21"/>
        </w:rPr>
      </w:pPr>
      <w:r>
        <w:rPr>
          <w:rFonts w:hint="eastAsia" w:ascii="微软雅黑" w:hAnsi="微软雅黑" w:eastAsia="微软雅黑"/>
          <w:szCs w:val="21"/>
        </w:rPr>
        <w:t>《房地产估价规范》（GB/T50291-2015）；</w:t>
      </w:r>
    </w:p>
    <w:p>
      <w:pPr>
        <w:pStyle w:val="25"/>
        <w:numPr>
          <w:ilvl w:val="0"/>
          <w:numId w:val="10"/>
        </w:numPr>
        <w:tabs>
          <w:tab w:val="left" w:pos="709"/>
        </w:tabs>
        <w:topLinePunct/>
        <w:adjustRightInd w:val="0"/>
        <w:snapToGrid w:val="0"/>
        <w:spacing w:line="312" w:lineRule="auto"/>
        <w:ind w:left="0" w:firstLine="420"/>
        <w:rPr>
          <w:rFonts w:ascii="微软雅黑" w:hAnsi="微软雅黑" w:eastAsia="微软雅黑"/>
          <w:color w:val="000000"/>
          <w:szCs w:val="21"/>
        </w:rPr>
      </w:pPr>
      <w:r>
        <w:rPr>
          <w:rFonts w:hint="eastAsia" w:ascii="微软雅黑" w:hAnsi="微软雅黑" w:eastAsia="微软雅黑"/>
          <w:color w:val="000000"/>
          <w:szCs w:val="21"/>
        </w:rPr>
        <w:t>《房地产估价基本术语标准》（GB/T50899-2013）。</w:t>
      </w:r>
    </w:p>
    <w:p>
      <w:pPr>
        <w:pStyle w:val="25"/>
        <w:topLinePunct/>
        <w:adjustRightInd w:val="0"/>
        <w:snapToGrid w:val="0"/>
        <w:spacing w:line="312" w:lineRule="auto"/>
        <w:rPr>
          <w:rFonts w:ascii="微软雅黑" w:hAnsi="微软雅黑" w:eastAsia="微软雅黑" w:cs="微软雅黑"/>
          <w:b/>
          <w:szCs w:val="21"/>
        </w:rPr>
      </w:pPr>
      <w:r>
        <w:rPr>
          <w:rFonts w:hint="eastAsia" w:ascii="微软雅黑" w:hAnsi="微软雅黑" w:eastAsia="微软雅黑" w:cs="微软雅黑"/>
          <w:b/>
          <w:szCs w:val="21"/>
        </w:rPr>
        <w:t>（三）</w:t>
      </w:r>
      <w:r>
        <w:rPr>
          <w:rFonts w:hint="eastAsia" w:ascii="微软雅黑" w:hAnsi="微软雅黑" w:eastAsia="微软雅黑"/>
          <w:b/>
          <w:szCs w:val="21"/>
        </w:rPr>
        <w:t>估价</w:t>
      </w:r>
      <w:r>
        <w:rPr>
          <w:rFonts w:ascii="微软雅黑" w:hAnsi="微软雅黑" w:eastAsia="微软雅黑"/>
          <w:b/>
          <w:szCs w:val="21"/>
        </w:rPr>
        <w:t>委托人提供的资料</w:t>
      </w:r>
    </w:p>
    <w:p>
      <w:pPr>
        <w:pStyle w:val="25"/>
        <w:numPr>
          <w:ilvl w:val="0"/>
          <w:numId w:val="11"/>
        </w:numPr>
        <w:tabs>
          <w:tab w:val="left" w:pos="709"/>
        </w:tabs>
        <w:topLinePunct/>
        <w:adjustRightInd w:val="0"/>
        <w:snapToGrid w:val="0"/>
        <w:spacing w:line="312" w:lineRule="auto"/>
        <w:ind w:left="0" w:firstLine="420"/>
        <w:rPr>
          <w:rFonts w:ascii="微软雅黑" w:hAnsi="微软雅黑" w:eastAsia="微软雅黑" w:cs="微软雅黑"/>
          <w:szCs w:val="21"/>
        </w:rPr>
      </w:pPr>
      <w:r>
        <w:rPr>
          <w:rFonts w:hint="eastAsia" w:ascii="微软雅黑" w:hAnsi="微软雅黑" w:eastAsia="微软雅黑"/>
          <w:szCs w:val="21"/>
        </w:rPr>
        <w:t>《</w:t>
      </w:r>
      <w:r>
        <w:rPr>
          <w:rFonts w:hint="eastAsia" w:ascii="微软雅黑" w:hAnsi="微软雅黑" w:eastAsia="微软雅黑"/>
          <w:szCs w:val="21"/>
          <w:lang w:eastAsia="zh-CN"/>
        </w:rPr>
        <w:t>浙江省淳安县人民法院资产价格评估委托书</w:t>
      </w:r>
      <w:r>
        <w:rPr>
          <w:rFonts w:hint="eastAsia" w:ascii="微软雅黑" w:hAnsi="微软雅黑" w:eastAsia="微软雅黑" w:cs="仿宋_GB2312"/>
        </w:rPr>
        <w:t>》</w:t>
      </w:r>
      <w:r>
        <w:rPr>
          <w:rFonts w:hint="eastAsia" w:ascii="微软雅黑" w:hAnsi="微软雅黑" w:eastAsia="微软雅黑" w:cs="仿宋_GB2312"/>
          <w:szCs w:val="21"/>
        </w:rPr>
        <w:t>（</w:t>
      </w:r>
      <w:r>
        <w:rPr>
          <w:rFonts w:hint="eastAsia" w:ascii="微软雅黑" w:hAnsi="微软雅黑" w:eastAsia="微软雅黑" w:cs="仿宋_GB2312"/>
        </w:rPr>
        <w:t>委托函号：</w:t>
      </w:r>
      <w:r>
        <w:rPr>
          <w:rFonts w:hint="eastAsia" w:ascii="微软雅黑" w:hAnsi="微软雅黑" w:eastAsia="微软雅黑" w:cs="仿宋_GB2312"/>
          <w:lang w:eastAsia="zh-CN"/>
        </w:rPr>
        <w:t>（2022）浙0127委评字第122号</w:t>
      </w:r>
      <w:r>
        <w:rPr>
          <w:rFonts w:hint="eastAsia" w:ascii="微软雅黑" w:hAnsi="微软雅黑" w:eastAsia="微软雅黑" w:cs="仿宋_GB2312"/>
        </w:rPr>
        <w:t>）；</w:t>
      </w:r>
    </w:p>
    <w:p>
      <w:pPr>
        <w:pStyle w:val="25"/>
        <w:topLinePunct/>
        <w:adjustRightInd w:val="0"/>
        <w:snapToGrid w:val="0"/>
        <w:spacing w:line="312" w:lineRule="auto"/>
        <w:rPr>
          <w:rFonts w:ascii="微软雅黑" w:hAnsi="微软雅黑" w:eastAsia="微软雅黑" w:cs="仿宋_GB2312"/>
          <w:bCs/>
          <w:snapToGrid w:val="0"/>
          <w:kern w:val="0"/>
        </w:rPr>
      </w:pPr>
      <w:r>
        <w:rPr>
          <w:rFonts w:hint="eastAsia" w:ascii="微软雅黑" w:hAnsi="微软雅黑" w:eastAsia="微软雅黑" w:cs="微软雅黑"/>
          <w:b/>
          <w:szCs w:val="21"/>
        </w:rPr>
        <w:t>（四）估价机构和估价人员掌握和搜集的有关资料</w:t>
      </w:r>
    </w:p>
    <w:p>
      <w:pPr>
        <w:pStyle w:val="25"/>
        <w:numPr>
          <w:ilvl w:val="0"/>
          <w:numId w:val="12"/>
        </w:numPr>
        <w:tabs>
          <w:tab w:val="left" w:pos="709"/>
        </w:tabs>
        <w:topLinePunct/>
        <w:adjustRightInd w:val="0"/>
        <w:snapToGrid w:val="0"/>
        <w:spacing w:line="312" w:lineRule="auto"/>
        <w:ind w:firstLineChars="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lang w:eastAsia="zh-CN"/>
        </w:rPr>
        <w:t>估价人员查询获取的</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淳安县不动产权属信息查询记录</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编号：CQ20220902-0000790</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w:t>
      </w:r>
    </w:p>
    <w:p>
      <w:pPr>
        <w:pStyle w:val="25"/>
        <w:numPr>
          <w:ilvl w:val="0"/>
          <w:numId w:val="12"/>
        </w:numPr>
        <w:tabs>
          <w:tab w:val="left" w:pos="709"/>
        </w:tabs>
        <w:topLinePunct/>
        <w:adjustRightInd w:val="0"/>
        <w:snapToGrid w:val="0"/>
        <w:spacing w:line="312" w:lineRule="auto"/>
        <w:ind w:firstLineChars="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lang w:eastAsia="zh-CN"/>
        </w:rPr>
        <w:t>注册</w:t>
      </w:r>
      <w:r>
        <w:rPr>
          <w:rFonts w:hint="eastAsia" w:ascii="微软雅黑" w:hAnsi="微软雅黑" w:eastAsia="微软雅黑" w:cs="仿宋_GB2312"/>
          <w:bCs/>
          <w:snapToGrid w:val="0"/>
          <w:kern w:val="0"/>
        </w:rPr>
        <w:t>房地产估价师实地查勘资料和估价机构掌握的房地产相关资料；</w:t>
      </w:r>
    </w:p>
    <w:p>
      <w:pPr>
        <w:pStyle w:val="25"/>
        <w:numPr>
          <w:ilvl w:val="0"/>
          <w:numId w:val="12"/>
        </w:numPr>
        <w:tabs>
          <w:tab w:val="left" w:pos="709"/>
        </w:tabs>
        <w:topLinePunct/>
        <w:adjustRightInd w:val="0"/>
        <w:snapToGrid w:val="0"/>
        <w:spacing w:line="312" w:lineRule="auto"/>
        <w:ind w:firstLineChars="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lang w:eastAsia="zh-CN"/>
        </w:rPr>
        <w:t>淳安县</w:t>
      </w:r>
      <w:r>
        <w:rPr>
          <w:rFonts w:hint="eastAsia" w:ascii="微软雅黑" w:hAnsi="微软雅黑" w:eastAsia="微软雅黑" w:cs="仿宋_GB2312"/>
          <w:bCs/>
          <w:snapToGrid w:val="0"/>
          <w:kern w:val="0"/>
        </w:rPr>
        <w:t>房地产市场信息及估价对象所在区域的房地产市场状况、同类房地产市场交易等数据资料；</w:t>
      </w:r>
    </w:p>
    <w:p>
      <w:pPr>
        <w:pStyle w:val="25"/>
        <w:numPr>
          <w:ilvl w:val="0"/>
          <w:numId w:val="12"/>
        </w:numPr>
        <w:tabs>
          <w:tab w:val="left" w:pos="709"/>
        </w:tabs>
        <w:topLinePunct/>
        <w:adjustRightInd w:val="0"/>
        <w:snapToGrid w:val="0"/>
        <w:spacing w:line="312" w:lineRule="auto"/>
        <w:ind w:firstLineChars="0"/>
        <w:rPr>
          <w:rFonts w:ascii="微软雅黑" w:hAnsi="微软雅黑" w:eastAsia="微软雅黑" w:cs="仿宋_GB2312"/>
          <w:bCs/>
          <w:snapToGrid w:val="0"/>
          <w:kern w:val="0"/>
        </w:rPr>
      </w:pPr>
      <w:r>
        <w:rPr>
          <w:rFonts w:hint="eastAsia" w:ascii="微软雅黑" w:hAnsi="微软雅黑" w:eastAsia="微软雅黑" w:cs="仿宋_GB2312"/>
          <w:bCs/>
          <w:snapToGrid w:val="0"/>
          <w:kern w:val="0"/>
          <w:lang w:eastAsia="zh-CN"/>
        </w:rPr>
        <w:t>淳安县</w:t>
      </w:r>
      <w:r>
        <w:rPr>
          <w:rFonts w:hint="eastAsia" w:ascii="微软雅黑" w:hAnsi="微软雅黑" w:eastAsia="微软雅黑" w:cs="仿宋_GB2312"/>
          <w:bCs/>
          <w:snapToGrid w:val="0"/>
          <w:kern w:val="0"/>
        </w:rPr>
        <w:t>城市概况、规划、经济发展及自然、人文环境资料。</w:t>
      </w:r>
    </w:p>
    <w:p>
      <w:pPr>
        <w:pStyle w:val="3"/>
        <w:tabs>
          <w:tab w:val="left" w:pos="993"/>
        </w:tabs>
        <w:topLinePunct/>
        <w:adjustRightInd w:val="0"/>
        <w:snapToGrid w:val="0"/>
        <w:spacing w:before="0" w:after="0" w:line="312" w:lineRule="auto"/>
        <w:rPr>
          <w:rFonts w:ascii="微软雅黑" w:hAnsi="微软雅黑" w:eastAsia="微软雅黑" w:cs="微软雅黑"/>
          <w:bCs w:val="0"/>
          <w:sz w:val="24"/>
          <w:szCs w:val="24"/>
        </w:rPr>
      </w:pPr>
      <w:bookmarkStart w:id="123" w:name="_Toc11938"/>
      <w:bookmarkStart w:id="124" w:name="_Toc22651520"/>
      <w:r>
        <w:rPr>
          <w:rFonts w:hint="eastAsia" w:ascii="微软雅黑" w:hAnsi="微软雅黑" w:eastAsia="微软雅黑" w:cs="微软雅黑"/>
          <w:bCs w:val="0"/>
          <w:sz w:val="24"/>
          <w:szCs w:val="24"/>
        </w:rPr>
        <w:t>九、估价方法</w:t>
      </w:r>
      <w:bookmarkEnd w:id="123"/>
      <w:bookmarkEnd w:id="124"/>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根据《房地产估价规范》（GB/T 50291-2015），通行的估价方法有比较法、收益法、成本法、假设开发法等。估价方法的选择应根据当地房地产市场发育情况并结合估价对象的具体特点及估价目的等，选择适当的估价方法。</w:t>
      </w:r>
    </w:p>
    <w:p>
      <w:pPr>
        <w:pStyle w:val="25"/>
        <w:numPr>
          <w:ilvl w:val="0"/>
          <w:numId w:val="13"/>
        </w:numPr>
        <w:topLinePunct/>
        <w:adjustRightInd w:val="0"/>
        <w:snapToGrid w:val="0"/>
        <w:spacing w:line="312" w:lineRule="auto"/>
        <w:rPr>
          <w:rFonts w:ascii="微软雅黑" w:hAnsi="微软雅黑" w:eastAsia="微软雅黑" w:cs="微软雅黑"/>
          <w:b/>
          <w:szCs w:val="21"/>
        </w:rPr>
      </w:pPr>
      <w:bookmarkStart w:id="125" w:name="OLE_LINK33"/>
      <w:r>
        <w:rPr>
          <w:rFonts w:hint="eastAsia" w:ascii="微软雅黑" w:hAnsi="微软雅黑" w:eastAsia="微软雅黑" w:cs="微软雅黑"/>
          <w:b/>
          <w:szCs w:val="21"/>
        </w:rPr>
        <w:t>估价方法选用分析</w:t>
      </w:r>
    </w:p>
    <w:p>
      <w:pPr>
        <w:pStyle w:val="25"/>
        <w:topLinePunct/>
        <w:adjustRightInd w:val="0"/>
        <w:snapToGrid w:val="0"/>
        <w:spacing w:line="312" w:lineRule="auto"/>
        <w:rPr>
          <w:rFonts w:ascii="微软雅黑" w:hAnsi="微软雅黑" w:eastAsia="微软雅黑" w:cs="微软雅黑"/>
          <w:b/>
          <w:szCs w:val="21"/>
        </w:rPr>
      </w:pPr>
      <w:r>
        <w:rPr>
          <w:rFonts w:hint="eastAsia" w:ascii="微软雅黑" w:hAnsi="微软雅黑" w:eastAsia="微软雅黑" w:cs="仿宋_GB2312"/>
          <w:szCs w:val="21"/>
        </w:rPr>
        <w:t>估价人员在认真分析所掌握的资料，并对估价对象进行了实地查勘以及对周边房地产市场进行调查后，根据《房地产估价规范》（</w:t>
      </w:r>
      <w:r>
        <w:rPr>
          <w:rFonts w:ascii="微软雅黑" w:hAnsi="微软雅黑" w:eastAsia="微软雅黑" w:cs="仿宋_GB2312"/>
          <w:szCs w:val="21"/>
        </w:rPr>
        <w:t>GB/T 50291-2015</w:t>
      </w:r>
      <w:r>
        <w:rPr>
          <w:rFonts w:hint="eastAsia" w:ascii="微软雅黑" w:hAnsi="微软雅黑" w:eastAsia="微软雅黑" w:cs="仿宋_GB2312"/>
          <w:szCs w:val="21"/>
        </w:rPr>
        <w:t>），遵照国家有关法律、法规、估价技术标准，经反复研究，最终选取比较法对估价对象进行评估，具体分析如下：</w:t>
      </w:r>
    </w:p>
    <w:tbl>
      <w:tblPr>
        <w:tblStyle w:val="17"/>
        <w:tblW w:w="9417" w:type="dxa"/>
        <w:jc w:val="center"/>
        <w:tblBorders>
          <w:top w:val="single" w:color="000000" w:sz="12" w:space="0"/>
          <w:left w:val="single" w:color="000000" w:sz="12" w:space="0"/>
          <w:bottom w:val="single" w:color="000000" w:sz="12" w:space="0"/>
          <w:right w:val="single" w:color="000000" w:sz="12" w:space="0"/>
          <w:insideH w:val="dotted" w:color="000000" w:sz="4" w:space="0"/>
          <w:insideV w:val="dotted" w:color="000000" w:sz="4" w:space="0"/>
        </w:tblBorders>
        <w:tblLayout w:type="fixed"/>
        <w:tblCellMar>
          <w:top w:w="0" w:type="dxa"/>
          <w:left w:w="108" w:type="dxa"/>
          <w:bottom w:w="0" w:type="dxa"/>
          <w:right w:w="108" w:type="dxa"/>
        </w:tblCellMar>
      </w:tblPr>
      <w:tblGrid>
        <w:gridCol w:w="993"/>
        <w:gridCol w:w="3284"/>
        <w:gridCol w:w="4270"/>
        <w:gridCol w:w="870"/>
      </w:tblGrid>
      <w:tr>
        <w:tblPrEx>
          <w:tblBorders>
            <w:top w:val="single" w:color="000000" w:sz="12" w:space="0"/>
            <w:left w:val="single" w:color="000000" w:sz="12" w:space="0"/>
            <w:bottom w:val="single" w:color="000000" w:sz="12" w:space="0"/>
            <w:right w:val="single" w:color="000000" w:sz="12" w:space="0"/>
            <w:insideH w:val="dotted" w:color="000000" w:sz="4" w:space="0"/>
            <w:insideV w:val="dotted" w:color="000000" w:sz="4" w:space="0"/>
          </w:tblBorders>
          <w:tblCellMar>
            <w:top w:w="0" w:type="dxa"/>
            <w:left w:w="108" w:type="dxa"/>
            <w:bottom w:w="0" w:type="dxa"/>
            <w:right w:w="108" w:type="dxa"/>
          </w:tblCellMar>
        </w:tblPrEx>
        <w:trPr>
          <w:trHeight w:val="585" w:hRule="atLeast"/>
          <w:jc w:val="center"/>
        </w:trPr>
        <w:tc>
          <w:tcPr>
            <w:tcW w:w="993"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可选估价方法</w:t>
            </w:r>
          </w:p>
        </w:tc>
        <w:tc>
          <w:tcPr>
            <w:tcW w:w="3284"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估价方法定义</w:t>
            </w:r>
          </w:p>
        </w:tc>
        <w:tc>
          <w:tcPr>
            <w:tcW w:w="42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估价方法是否选择理由</w:t>
            </w:r>
          </w:p>
        </w:tc>
        <w:tc>
          <w:tcPr>
            <w:tcW w:w="8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是否</w:t>
            </w:r>
          </w:p>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选取</w:t>
            </w:r>
          </w:p>
        </w:tc>
      </w:tr>
      <w:tr>
        <w:tblPrEx>
          <w:tblBorders>
            <w:top w:val="single" w:color="000000" w:sz="12" w:space="0"/>
            <w:left w:val="single" w:color="000000" w:sz="12" w:space="0"/>
            <w:bottom w:val="single" w:color="000000" w:sz="12" w:space="0"/>
            <w:right w:val="single" w:color="000000" w:sz="12" w:space="0"/>
            <w:insideH w:val="dotted" w:color="000000" w:sz="4" w:space="0"/>
            <w:insideV w:val="dotted" w:color="000000" w:sz="4" w:space="0"/>
          </w:tblBorders>
          <w:tblCellMar>
            <w:top w:w="0" w:type="dxa"/>
            <w:left w:w="108" w:type="dxa"/>
            <w:bottom w:w="0" w:type="dxa"/>
            <w:right w:w="108" w:type="dxa"/>
          </w:tblCellMar>
        </w:tblPrEx>
        <w:trPr>
          <w:trHeight w:val="1690" w:hRule="atLeast"/>
          <w:jc w:val="center"/>
        </w:trPr>
        <w:tc>
          <w:tcPr>
            <w:tcW w:w="993"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比较法</w:t>
            </w:r>
          </w:p>
        </w:tc>
        <w:tc>
          <w:tcPr>
            <w:tcW w:w="3284"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选取一定数量的可比实例，将它们与估价对象进行比较，根据其间的差异对可比实例成交价格进行处理后得到估价对象价值或价格的方法</w:t>
            </w:r>
          </w:p>
        </w:tc>
        <w:tc>
          <w:tcPr>
            <w:tcW w:w="42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估价对象用途为住宅，所在区域近期有类似住宅成交，故宜采用比较法进行评估</w:t>
            </w:r>
          </w:p>
        </w:tc>
        <w:tc>
          <w:tcPr>
            <w:tcW w:w="8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选取</w:t>
            </w:r>
          </w:p>
        </w:tc>
      </w:tr>
      <w:tr>
        <w:tblPrEx>
          <w:tblBorders>
            <w:top w:val="single" w:color="000000" w:sz="12" w:space="0"/>
            <w:left w:val="single" w:color="000000" w:sz="12" w:space="0"/>
            <w:bottom w:val="single" w:color="000000" w:sz="12" w:space="0"/>
            <w:right w:val="single" w:color="000000" w:sz="12" w:space="0"/>
            <w:insideH w:val="dotted" w:color="000000" w:sz="4" w:space="0"/>
            <w:insideV w:val="dotted" w:color="000000" w:sz="4" w:space="0"/>
          </w:tblBorders>
          <w:tblCellMar>
            <w:top w:w="0" w:type="dxa"/>
            <w:left w:w="108" w:type="dxa"/>
            <w:bottom w:w="0" w:type="dxa"/>
            <w:right w:w="108" w:type="dxa"/>
          </w:tblCellMar>
        </w:tblPrEx>
        <w:trPr>
          <w:trHeight w:val="2160" w:hRule="atLeast"/>
          <w:jc w:val="center"/>
        </w:trPr>
        <w:tc>
          <w:tcPr>
            <w:tcW w:w="993"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收益法</w:t>
            </w:r>
          </w:p>
        </w:tc>
        <w:tc>
          <w:tcPr>
            <w:tcW w:w="3284"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预测估价对象的未来收益，利用报酬率或资本化率、收益乘数将未来收益转换为价值得到估价对象价值或价格的方法</w:t>
            </w:r>
          </w:p>
        </w:tc>
        <w:tc>
          <w:tcPr>
            <w:tcW w:w="42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收益法适宜用于收益物业评估，即为有经济收益或有潜在经济收益的房地产，估价对象为住宅房地产，周边有同类物业出租，</w:t>
            </w:r>
            <w:r>
              <w:rPr>
                <w:rFonts w:hint="eastAsia" w:ascii="微软雅黑" w:hAnsi="微软雅黑" w:eastAsia="微软雅黑" w:cs="宋体"/>
                <w:color w:val="000000" w:themeColor="text1"/>
                <w:kern w:val="0"/>
                <w:sz w:val="20"/>
                <w:szCs w:val="20"/>
              </w:rPr>
              <w:t>但目前收益难以及时反映市场行情以及商品房租金的增长速度远远低于房地产本身价值的增值速度等实际情况</w:t>
            </w:r>
            <w:r>
              <w:rPr>
                <w:rFonts w:hint="eastAsia" w:ascii="微软雅黑" w:hAnsi="微软雅黑" w:eastAsia="微软雅黑" w:cs="宋体"/>
                <w:kern w:val="0"/>
                <w:sz w:val="20"/>
                <w:szCs w:val="20"/>
              </w:rPr>
              <w:t>，故不适合采用收益法进行评估</w:t>
            </w:r>
          </w:p>
        </w:tc>
        <w:tc>
          <w:tcPr>
            <w:tcW w:w="8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不选取</w:t>
            </w:r>
          </w:p>
        </w:tc>
      </w:tr>
      <w:tr>
        <w:tblPrEx>
          <w:tblBorders>
            <w:top w:val="single" w:color="000000" w:sz="12" w:space="0"/>
            <w:left w:val="single" w:color="000000" w:sz="12" w:space="0"/>
            <w:bottom w:val="single" w:color="000000" w:sz="12" w:space="0"/>
            <w:right w:val="single" w:color="000000" w:sz="12" w:space="0"/>
            <w:insideH w:val="dotted" w:color="000000" w:sz="4" w:space="0"/>
            <w:insideV w:val="dotted" w:color="000000" w:sz="4" w:space="0"/>
          </w:tblBorders>
          <w:tblCellMar>
            <w:top w:w="0" w:type="dxa"/>
            <w:left w:w="108" w:type="dxa"/>
            <w:bottom w:w="0" w:type="dxa"/>
            <w:right w:w="108" w:type="dxa"/>
          </w:tblCellMar>
        </w:tblPrEx>
        <w:trPr>
          <w:trHeight w:val="2385" w:hRule="atLeast"/>
          <w:jc w:val="center"/>
        </w:trPr>
        <w:tc>
          <w:tcPr>
            <w:tcW w:w="993"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假设开发法</w:t>
            </w:r>
          </w:p>
        </w:tc>
        <w:tc>
          <w:tcPr>
            <w:tcW w:w="3284"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在估算开发完成后不动产正常交易价格的基础上，扣除建筑物建造费用和与建筑物建造买卖有关的专业费、前期费用、利息、利润、税收等费用后，以价格余额来确定估价对象价格的一种估价方法</w:t>
            </w:r>
          </w:p>
        </w:tc>
        <w:tc>
          <w:tcPr>
            <w:tcW w:w="42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假设开发法适用于具有投资开发或再开发潜力的房地产，估价对象为住宅房地产，属于产成品，就目前状态，处于最佳使用，不存在重新开发利用可能，也无需改造或改变用途，故不适合采用假设开发法进行估价</w:t>
            </w:r>
          </w:p>
        </w:tc>
        <w:tc>
          <w:tcPr>
            <w:tcW w:w="8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不选取</w:t>
            </w:r>
          </w:p>
        </w:tc>
      </w:tr>
      <w:tr>
        <w:tblPrEx>
          <w:tblBorders>
            <w:top w:val="single" w:color="000000" w:sz="12" w:space="0"/>
            <w:left w:val="single" w:color="000000" w:sz="12" w:space="0"/>
            <w:bottom w:val="single" w:color="000000" w:sz="12" w:space="0"/>
            <w:right w:val="single" w:color="000000" w:sz="12" w:space="0"/>
            <w:insideH w:val="dotted" w:color="000000" w:sz="4" w:space="0"/>
            <w:insideV w:val="dotted" w:color="000000" w:sz="4" w:space="0"/>
          </w:tblBorders>
          <w:tblCellMar>
            <w:top w:w="0" w:type="dxa"/>
            <w:left w:w="108" w:type="dxa"/>
            <w:bottom w:w="0" w:type="dxa"/>
            <w:right w:w="108" w:type="dxa"/>
          </w:tblCellMar>
        </w:tblPrEx>
        <w:trPr>
          <w:trHeight w:val="451" w:hRule="atLeast"/>
          <w:jc w:val="center"/>
        </w:trPr>
        <w:tc>
          <w:tcPr>
            <w:tcW w:w="993"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成本法</w:t>
            </w:r>
          </w:p>
        </w:tc>
        <w:tc>
          <w:tcPr>
            <w:tcW w:w="3284"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测算估价对象在价值时点的重置成本或重建成本和折旧，将重置成本或重建成本减去折旧得到估价对象价值或价格的方法</w:t>
            </w:r>
          </w:p>
        </w:tc>
        <w:tc>
          <w:tcPr>
            <w:tcW w:w="42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住宅房地产的价格大部分取决于效用，而非取决于其成本，故采用成本法可能会与市场产生偏差，一般成本法适用于新开发房产、工业房产估价，故不适合采用成本法进行估价</w:t>
            </w:r>
          </w:p>
        </w:tc>
        <w:tc>
          <w:tcPr>
            <w:tcW w:w="870" w:type="dxa"/>
            <w:tcBorders>
              <w:tl2br w:val="nil"/>
              <w:tr2bl w:val="nil"/>
            </w:tcBorders>
            <w:shd w:val="clear" w:color="auto" w:fill="auto"/>
            <w:vAlign w:val="center"/>
          </w:tcPr>
          <w:p>
            <w:pPr>
              <w:widowControl/>
              <w:spacing w:line="400" w:lineRule="exact"/>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不选取</w:t>
            </w:r>
          </w:p>
        </w:tc>
      </w:tr>
    </w:tbl>
    <w:p>
      <w:pPr>
        <w:topLinePunct/>
        <w:adjustRightInd w:val="0"/>
        <w:snapToGrid w:val="0"/>
        <w:spacing w:before="156" w:beforeLines="50" w:line="360" w:lineRule="auto"/>
        <w:ind w:firstLine="420" w:firstLineChars="200"/>
        <w:rPr>
          <w:rFonts w:ascii="微软雅黑" w:hAnsi="微软雅黑" w:eastAsia="微软雅黑"/>
          <w:b/>
          <w:szCs w:val="21"/>
        </w:rPr>
      </w:pPr>
      <w:r>
        <w:rPr>
          <w:rFonts w:hint="eastAsia" w:ascii="微软雅黑" w:hAnsi="微软雅黑" w:eastAsia="微软雅黑" w:cs="微软雅黑"/>
          <w:b/>
          <w:szCs w:val="21"/>
        </w:rPr>
        <w:t>（二）</w:t>
      </w:r>
      <w:r>
        <w:rPr>
          <w:rFonts w:hint="eastAsia" w:ascii="微软雅黑" w:hAnsi="微软雅黑" w:eastAsia="微软雅黑" w:cs="仿宋_GB2312"/>
          <w:b/>
          <w:sz w:val="22"/>
        </w:rPr>
        <w:t>估价方法定义及基本公式</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比较法，是选取一定数量的可比实例，将它们与估价对象进行比较，根据其间的差异对可比实例成交价格进行处理后得到估价对象价值或价格的方法。</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运用比较法估价需要对可比实例的成交价格进行交易情况、市场状况、房地产状况三大方面的修正或调整，将可比实例的成交价格转变成估价对象的价值或价格。运用比较法求取估价对象的房地产价值，基本公式如下：</w:t>
      </w:r>
    </w:p>
    <w:p>
      <w:pPr>
        <w:pStyle w:val="25"/>
        <w:topLinePunct/>
        <w:adjustRightInd w:val="0"/>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比较价值＝可比实例成交价格×交易情况修正系数×市场状况调整系数×房地产状况调整系数</w:t>
      </w:r>
    </w:p>
    <w:bookmarkEnd w:id="125"/>
    <w:p>
      <w:pPr>
        <w:pStyle w:val="3"/>
        <w:tabs>
          <w:tab w:val="left" w:pos="993"/>
        </w:tabs>
        <w:topLinePunct/>
        <w:adjustRightInd w:val="0"/>
        <w:snapToGrid w:val="0"/>
        <w:spacing w:before="0" w:after="0" w:line="360" w:lineRule="auto"/>
        <w:rPr>
          <w:rFonts w:ascii="微软雅黑" w:hAnsi="微软雅黑" w:eastAsia="微软雅黑" w:cs="微软雅黑"/>
          <w:bCs w:val="0"/>
          <w:sz w:val="24"/>
          <w:szCs w:val="24"/>
        </w:rPr>
      </w:pPr>
      <w:bookmarkStart w:id="126" w:name="_Toc22651521"/>
      <w:bookmarkStart w:id="127" w:name="_Toc16399"/>
      <w:r>
        <w:rPr>
          <w:rFonts w:hint="eastAsia" w:ascii="微软雅黑" w:hAnsi="微软雅黑" w:eastAsia="微软雅黑" w:cs="微软雅黑"/>
          <w:bCs w:val="0"/>
          <w:sz w:val="24"/>
          <w:szCs w:val="24"/>
        </w:rPr>
        <w:t>十、估价结果</w:t>
      </w:r>
      <w:bookmarkEnd w:id="126"/>
      <w:bookmarkEnd w:id="127"/>
    </w:p>
    <w:p>
      <w:pPr>
        <w:topLinePunct/>
        <w:adjustRightInd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估价人员遵循各项估价原则，根据估价目的和国家有关房地产估价的规范、规定，按照估价程序，经过实地查勘与市场调查，并进行了分析、测算和判断，确定估价对象在满足全部假设和限制条件下于价值时点的估价结果</w:t>
      </w:r>
      <w:r>
        <w:rPr>
          <w:rFonts w:hint="eastAsia" w:ascii="微软雅黑" w:hAnsi="微软雅黑" w:eastAsia="微软雅黑" w:cs="仿宋_GB2312"/>
          <w:szCs w:val="21"/>
        </w:rPr>
        <w:t>如下</w:t>
      </w:r>
      <w:r>
        <w:rPr>
          <w:rFonts w:hint="eastAsia" w:ascii="微软雅黑" w:hAnsi="微软雅黑" w:eastAsia="微软雅黑"/>
          <w:szCs w:val="21"/>
        </w:rPr>
        <w:t>：</w:t>
      </w:r>
      <w:bookmarkStart w:id="128" w:name="_Toc22651522"/>
      <w:r>
        <w:rPr>
          <w:rFonts w:hint="eastAsia" w:ascii="微软雅黑" w:hAnsi="微软雅黑" w:eastAsia="微软雅黑" w:cs="仿宋_GB2312"/>
          <w:szCs w:val="21"/>
        </w:rPr>
        <w:t>（币种：人民币，其中总价保留到仟位，单价保留到个</w:t>
      </w:r>
      <w:bookmarkStart w:id="769" w:name="_GoBack"/>
      <w:bookmarkEnd w:id="769"/>
      <w:r>
        <w:rPr>
          <w:rFonts w:hint="eastAsia" w:ascii="微软雅黑" w:hAnsi="微软雅黑" w:eastAsia="微软雅黑" w:cs="仿宋_GB2312"/>
          <w:szCs w:val="21"/>
        </w:rPr>
        <w:t>位）</w:t>
      </w:r>
    </w:p>
    <w:p>
      <w:pPr>
        <w:pStyle w:val="23"/>
        <w:tabs>
          <w:tab w:val="left" w:pos="709"/>
        </w:tabs>
        <w:topLinePunct/>
        <w:adjustRightInd w:val="0"/>
        <w:snapToGrid w:val="0"/>
        <w:spacing w:line="312" w:lineRule="auto"/>
        <w:jc w:val="center"/>
        <w:rPr>
          <w:rFonts w:ascii="微软雅黑" w:hAnsi="微软雅黑" w:eastAsia="微软雅黑" w:cs="仿宋_GB2312"/>
          <w:b/>
        </w:rPr>
      </w:pPr>
      <w:r>
        <w:rPr>
          <w:rFonts w:hint="eastAsia" w:ascii="微软雅黑" w:hAnsi="微软雅黑" w:eastAsia="微软雅黑" w:cs="仿宋_GB2312"/>
          <w:b/>
        </w:rPr>
        <w:t>房地产市场价值</w:t>
      </w:r>
      <w:r>
        <w:rPr>
          <w:rFonts w:ascii="微软雅黑" w:hAnsi="微软雅黑" w:eastAsia="微软雅黑" w:cs="仿宋_GB2312"/>
          <w:b/>
        </w:rPr>
        <w:t>:</w:t>
      </w:r>
      <w:r>
        <w:rPr>
          <w:rFonts w:hint="eastAsia" w:ascii="微软雅黑" w:hAnsi="微软雅黑" w:eastAsia="微软雅黑" w:cs="仿宋_GB2312"/>
          <w:b/>
          <w:lang w:val="en-US" w:eastAsia="zh-CN"/>
        </w:rPr>
        <w:t>64.6</w:t>
      </w:r>
      <w:r>
        <w:rPr>
          <w:rFonts w:hint="eastAsia" w:ascii="微软雅黑" w:hAnsi="微软雅黑" w:eastAsia="微软雅黑" w:cs="仿宋_GB2312"/>
          <w:b/>
        </w:rPr>
        <w:t>万元(保留仟位取整)</w:t>
      </w:r>
    </w:p>
    <w:p>
      <w:pPr>
        <w:topLinePunct/>
        <w:adjustRightInd w:val="0"/>
        <w:snapToGrid w:val="0"/>
        <w:spacing w:line="360" w:lineRule="auto"/>
        <w:ind w:firstLine="420" w:firstLineChars="200"/>
        <w:jc w:val="center"/>
        <w:rPr>
          <w:rFonts w:ascii="微软雅黑" w:hAnsi="微软雅黑" w:eastAsia="微软雅黑" w:cs="仿宋_GB2312"/>
          <w:b/>
        </w:rPr>
      </w:pPr>
      <w:r>
        <w:rPr>
          <w:rFonts w:hint="eastAsia" w:ascii="微软雅黑" w:hAnsi="微软雅黑" w:eastAsia="微软雅黑" w:cs="仿宋_GB2312"/>
          <w:b/>
        </w:rPr>
        <w:t>大写金额：</w:t>
      </w:r>
      <w:r>
        <w:rPr>
          <w:rFonts w:hint="eastAsia" w:ascii="微软雅黑" w:hAnsi="微软雅黑" w:eastAsia="微软雅黑" w:cs="仿宋_GB2312"/>
          <w:b/>
          <w:lang w:eastAsia="zh-CN"/>
        </w:rPr>
        <w:t>陆拾肆万陆仟</w:t>
      </w:r>
      <w:r>
        <w:rPr>
          <w:rFonts w:hint="eastAsia" w:ascii="微软雅黑" w:hAnsi="微软雅黑" w:eastAsia="微软雅黑" w:cs="仿宋_GB2312"/>
          <w:b/>
        </w:rPr>
        <w:t>元整</w:t>
      </w:r>
    </w:p>
    <w:p>
      <w:pPr>
        <w:pStyle w:val="3"/>
        <w:tabs>
          <w:tab w:val="left" w:pos="993"/>
        </w:tabs>
        <w:topLinePunct/>
        <w:adjustRightInd w:val="0"/>
        <w:snapToGrid w:val="0"/>
        <w:spacing w:before="0" w:after="0" w:line="360" w:lineRule="auto"/>
        <w:rPr>
          <w:rFonts w:ascii="微软雅黑" w:hAnsi="微软雅黑" w:eastAsia="微软雅黑" w:cs="微软雅黑"/>
          <w:bCs w:val="0"/>
          <w:sz w:val="24"/>
          <w:szCs w:val="24"/>
        </w:rPr>
      </w:pPr>
      <w:bookmarkStart w:id="129" w:name="_Toc11796"/>
      <w:r>
        <w:rPr>
          <w:rFonts w:hint="eastAsia" w:ascii="微软雅黑" w:hAnsi="微软雅黑" w:eastAsia="微软雅黑" w:cs="微软雅黑"/>
          <w:bCs w:val="0"/>
          <w:sz w:val="24"/>
          <w:szCs w:val="24"/>
        </w:rPr>
        <w:t>十一、注册房地产估价师</w:t>
      </w:r>
      <w:bookmarkEnd w:id="128"/>
      <w:bookmarkEnd w:id="129"/>
    </w:p>
    <w:p>
      <w:pPr>
        <w:pStyle w:val="25"/>
        <w:topLinePunct/>
        <w:adjustRightInd w:val="0"/>
        <w:snapToGrid w:val="0"/>
        <w:spacing w:line="276" w:lineRule="auto"/>
        <w:ind w:firstLineChars="0"/>
        <w:rPr>
          <w:rFonts w:ascii="微软雅黑" w:hAnsi="微软雅黑" w:eastAsia="微软雅黑" w:cs="微软雅黑"/>
          <w:szCs w:val="21"/>
        </w:rPr>
      </w:pPr>
      <w:r>
        <w:rPr>
          <w:rFonts w:hint="eastAsia" w:ascii="微软雅黑" w:hAnsi="微软雅黑" w:eastAsia="微软雅黑" w:cs="微软雅黑"/>
          <w:szCs w:val="21"/>
        </w:rPr>
        <w:t>参加本次估价的注册房地产估价师为：</w:t>
      </w:r>
    </w:p>
    <w:tbl>
      <w:tblPr>
        <w:tblStyle w:val="17"/>
        <w:tblpPr w:leftFromText="181" w:rightFromText="181" w:bottomFromText="142" w:vertAnchor="text" w:tblpXSpec="center" w:tblpY="1"/>
        <w:tblOverlap w:val="never"/>
        <w:tblW w:w="900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85"/>
        <w:gridCol w:w="3293"/>
        <w:gridCol w:w="26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3085" w:type="dxa"/>
            <w:shd w:val="clear" w:color="auto" w:fill="C0AD72"/>
            <w:vAlign w:val="center"/>
          </w:tcPr>
          <w:p>
            <w:pPr>
              <w:topLinePunct/>
              <w:adjustRightInd w:val="0"/>
              <w:snapToGrid w:val="0"/>
              <w:jc w:val="center"/>
              <w:rPr>
                <w:rFonts w:ascii="微软雅黑" w:hAnsi="微软雅黑" w:eastAsia="微软雅黑" w:cs="宋体"/>
                <w:b/>
                <w:bCs/>
                <w:kern w:val="0"/>
                <w:sz w:val="16"/>
                <w:szCs w:val="16"/>
              </w:rPr>
            </w:pPr>
            <w:r>
              <w:rPr>
                <w:rFonts w:hint="eastAsia" w:ascii="微软雅黑" w:hAnsi="微软雅黑" w:eastAsia="微软雅黑" w:cs="宋体"/>
                <w:b/>
                <w:bCs/>
                <w:kern w:val="0"/>
                <w:sz w:val="16"/>
                <w:szCs w:val="16"/>
              </w:rPr>
              <w:t>姓名</w:t>
            </w:r>
          </w:p>
        </w:tc>
        <w:tc>
          <w:tcPr>
            <w:tcW w:w="3293" w:type="dxa"/>
            <w:shd w:val="clear" w:color="auto" w:fill="C0AD72"/>
            <w:vAlign w:val="center"/>
          </w:tcPr>
          <w:p>
            <w:pPr>
              <w:topLinePunct/>
              <w:adjustRightInd w:val="0"/>
              <w:snapToGrid w:val="0"/>
              <w:jc w:val="center"/>
              <w:rPr>
                <w:rFonts w:ascii="微软雅黑" w:hAnsi="微软雅黑" w:eastAsia="微软雅黑" w:cs="宋体"/>
                <w:b/>
                <w:sz w:val="18"/>
                <w:szCs w:val="18"/>
              </w:rPr>
            </w:pPr>
            <w:r>
              <w:rPr>
                <w:rFonts w:hint="eastAsia" w:ascii="微软雅黑" w:hAnsi="微软雅黑" w:eastAsia="微软雅黑" w:cs="宋体"/>
                <w:b/>
                <w:bCs/>
                <w:kern w:val="0"/>
                <w:sz w:val="16"/>
                <w:szCs w:val="16"/>
              </w:rPr>
              <w:t>签名</w:t>
            </w:r>
          </w:p>
        </w:tc>
        <w:tc>
          <w:tcPr>
            <w:tcW w:w="2625" w:type="dxa"/>
            <w:shd w:val="clear" w:color="auto" w:fill="C0AD72"/>
            <w:vAlign w:val="center"/>
          </w:tcPr>
          <w:p>
            <w:pPr>
              <w:topLinePunct/>
              <w:adjustRightInd w:val="0"/>
              <w:snapToGrid w:val="0"/>
              <w:jc w:val="center"/>
              <w:rPr>
                <w:rFonts w:ascii="微软雅黑" w:hAnsi="微软雅黑" w:eastAsia="微软雅黑" w:cs="宋体"/>
                <w:b/>
                <w:sz w:val="18"/>
                <w:szCs w:val="18"/>
              </w:rPr>
            </w:pPr>
            <w:r>
              <w:rPr>
                <w:rFonts w:hint="eastAsia" w:ascii="微软雅黑" w:hAnsi="微软雅黑" w:eastAsia="微软雅黑" w:cs="宋体"/>
                <w:b/>
                <w:bCs/>
                <w:kern w:val="0"/>
                <w:sz w:val="16"/>
                <w:szCs w:val="16"/>
              </w:rPr>
              <w:t>签名日期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9" w:hRule="atLeast"/>
        </w:trPr>
        <w:tc>
          <w:tcPr>
            <w:tcW w:w="3085" w:type="dxa"/>
            <w:shd w:val="clear" w:color="auto" w:fill="auto"/>
            <w:vAlign w:val="center"/>
          </w:tcPr>
          <w:p>
            <w:pPr>
              <w:topLinePunct/>
              <w:adjustRightInd w:val="0"/>
              <w:snapToGrid w:val="0"/>
              <w:jc w:val="center"/>
              <w:rPr>
                <w:rFonts w:ascii="微软雅黑" w:hAnsi="微软雅黑" w:eastAsia="微软雅黑" w:cs="微软雅黑"/>
                <w:szCs w:val="21"/>
              </w:rPr>
            </w:pPr>
            <w:r>
              <w:rPr>
                <w:rFonts w:hint="eastAsia" w:ascii="微软雅黑" w:hAnsi="微软雅黑" w:eastAsia="微软雅黑" w:cs="微软雅黑"/>
                <w:szCs w:val="21"/>
              </w:rPr>
              <w:t>陈爱芳 　</w:t>
            </w:r>
          </w:p>
          <w:p>
            <w:pPr>
              <w:topLinePunct/>
              <w:adjustRightInd w:val="0"/>
              <w:snapToGrid w:val="0"/>
              <w:jc w:val="center"/>
              <w:rPr>
                <w:rFonts w:ascii="微软雅黑" w:hAnsi="微软雅黑" w:eastAsia="微软雅黑" w:cs="宋体"/>
                <w:bCs/>
                <w:kern w:val="0"/>
                <w:sz w:val="18"/>
                <w:szCs w:val="18"/>
              </w:rPr>
            </w:pPr>
            <w:r>
              <w:rPr>
                <w:rFonts w:hint="eastAsia" w:ascii="微软雅黑" w:hAnsi="微软雅黑" w:eastAsia="微软雅黑" w:cs="微软雅黑"/>
                <w:szCs w:val="21"/>
              </w:rPr>
              <w:t>（注册号3320150125)</w:t>
            </w:r>
          </w:p>
        </w:tc>
        <w:tc>
          <w:tcPr>
            <w:tcW w:w="3293"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c>
          <w:tcPr>
            <w:tcW w:w="2625"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01" w:hRule="atLeast"/>
        </w:trPr>
        <w:tc>
          <w:tcPr>
            <w:tcW w:w="3085" w:type="dxa"/>
            <w:shd w:val="clear" w:color="auto" w:fill="auto"/>
            <w:vAlign w:val="center"/>
          </w:tcPr>
          <w:p>
            <w:pPr>
              <w:topLinePunct/>
              <w:adjustRightInd w:val="0"/>
              <w:snapToGrid w:val="0"/>
              <w:jc w:val="center"/>
              <w:rPr>
                <w:rFonts w:ascii="微软雅黑" w:hAnsi="微软雅黑" w:eastAsia="微软雅黑" w:cs="微软雅黑"/>
                <w:szCs w:val="21"/>
              </w:rPr>
            </w:pPr>
            <w:r>
              <w:rPr>
                <w:rFonts w:hint="eastAsia" w:ascii="微软雅黑" w:hAnsi="微软雅黑" w:eastAsia="微软雅黑" w:cs="微软雅黑"/>
                <w:szCs w:val="21"/>
              </w:rPr>
              <w:t xml:space="preserve">林小欣  </w:t>
            </w:r>
          </w:p>
          <w:p>
            <w:pPr>
              <w:topLinePunct/>
              <w:adjustRightInd w:val="0"/>
              <w:snapToGrid w:val="0"/>
              <w:jc w:val="center"/>
              <w:rPr>
                <w:rFonts w:ascii="微软雅黑" w:hAnsi="微软雅黑" w:eastAsia="微软雅黑" w:cs="宋体"/>
                <w:bCs/>
                <w:kern w:val="0"/>
                <w:sz w:val="18"/>
                <w:szCs w:val="18"/>
              </w:rPr>
            </w:pPr>
            <w:r>
              <w:rPr>
                <w:rFonts w:hint="eastAsia" w:ascii="微软雅黑" w:hAnsi="微软雅黑" w:eastAsia="微软雅黑" w:cs="微软雅黑"/>
                <w:szCs w:val="21"/>
              </w:rPr>
              <w:t>（注册号3320090038)</w:t>
            </w:r>
          </w:p>
        </w:tc>
        <w:tc>
          <w:tcPr>
            <w:tcW w:w="3293"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c>
          <w:tcPr>
            <w:tcW w:w="2625" w:type="dxa"/>
            <w:shd w:val="clear" w:color="auto" w:fill="auto"/>
            <w:vAlign w:val="center"/>
          </w:tcPr>
          <w:p>
            <w:pPr>
              <w:topLinePunct/>
              <w:adjustRightInd w:val="0"/>
              <w:snapToGrid w:val="0"/>
              <w:jc w:val="center"/>
              <w:rPr>
                <w:rFonts w:ascii="微软雅黑" w:hAnsi="微软雅黑" w:eastAsia="微软雅黑" w:cs="宋体"/>
                <w:bCs/>
                <w:kern w:val="0"/>
                <w:sz w:val="18"/>
                <w:szCs w:val="18"/>
              </w:rPr>
            </w:pPr>
          </w:p>
        </w:tc>
      </w:tr>
    </w:tbl>
    <w:p>
      <w:pPr>
        <w:pStyle w:val="3"/>
        <w:tabs>
          <w:tab w:val="left" w:pos="993"/>
        </w:tabs>
        <w:topLinePunct/>
        <w:adjustRightInd w:val="0"/>
        <w:snapToGrid w:val="0"/>
        <w:spacing w:before="0" w:after="0" w:line="276" w:lineRule="auto"/>
        <w:rPr>
          <w:rFonts w:ascii="微软雅黑" w:hAnsi="微软雅黑" w:eastAsia="微软雅黑" w:cs="微软雅黑"/>
          <w:bCs w:val="0"/>
          <w:sz w:val="24"/>
          <w:szCs w:val="24"/>
        </w:rPr>
      </w:pPr>
      <w:bookmarkStart w:id="130" w:name="_Toc22651523"/>
      <w:bookmarkStart w:id="131" w:name="_Toc6866"/>
      <w:r>
        <w:rPr>
          <w:rFonts w:hint="eastAsia" w:ascii="微软雅黑" w:hAnsi="微软雅黑" w:eastAsia="微软雅黑" w:cs="微软雅黑"/>
          <w:bCs w:val="0"/>
          <w:sz w:val="24"/>
          <w:szCs w:val="24"/>
        </w:rPr>
        <w:t>十二、实地查勘期</w:t>
      </w:r>
      <w:bookmarkEnd w:id="130"/>
      <w:bookmarkEnd w:id="131"/>
    </w:p>
    <w:p>
      <w:pPr>
        <w:pStyle w:val="25"/>
        <w:topLinePunct/>
        <w:adjustRightInd w:val="0"/>
        <w:snapToGrid w:val="0"/>
        <w:spacing w:line="276" w:lineRule="auto"/>
        <w:rPr>
          <w:rFonts w:ascii="微软雅黑" w:hAnsi="微软雅黑" w:eastAsia="微软雅黑"/>
          <w:szCs w:val="21"/>
        </w:rPr>
      </w:pPr>
      <w:r>
        <w:rPr>
          <w:rFonts w:hint="eastAsia" w:ascii="微软雅黑" w:hAnsi="微软雅黑" w:eastAsia="微软雅黑"/>
          <w:szCs w:val="21"/>
          <w:lang w:eastAsia="zh-CN"/>
        </w:rPr>
        <w:t>2022年9月2日</w:t>
      </w:r>
      <w:r>
        <w:rPr>
          <w:rFonts w:hint="eastAsia" w:ascii="微软雅黑" w:hAnsi="微软雅黑" w:eastAsia="微软雅黑"/>
          <w:szCs w:val="21"/>
        </w:rPr>
        <w:t>。</w:t>
      </w:r>
    </w:p>
    <w:p>
      <w:pPr>
        <w:pStyle w:val="3"/>
        <w:tabs>
          <w:tab w:val="left" w:pos="993"/>
        </w:tabs>
        <w:topLinePunct/>
        <w:adjustRightInd w:val="0"/>
        <w:snapToGrid w:val="0"/>
        <w:spacing w:before="0" w:after="0" w:line="276" w:lineRule="auto"/>
        <w:rPr>
          <w:rFonts w:ascii="微软雅黑" w:hAnsi="微软雅黑" w:eastAsia="微软雅黑" w:cs="微软雅黑"/>
          <w:bCs w:val="0"/>
          <w:sz w:val="24"/>
          <w:szCs w:val="24"/>
        </w:rPr>
      </w:pPr>
      <w:bookmarkStart w:id="132" w:name="_Toc22651524"/>
      <w:bookmarkStart w:id="133" w:name="_Toc5921"/>
      <w:r>
        <w:rPr>
          <w:rFonts w:hint="eastAsia" w:ascii="微软雅黑" w:hAnsi="微软雅黑" w:eastAsia="微软雅黑" w:cs="微软雅黑"/>
          <w:bCs w:val="0"/>
          <w:sz w:val="24"/>
          <w:szCs w:val="24"/>
        </w:rPr>
        <w:t>十三、估价作业期</w:t>
      </w:r>
      <w:bookmarkEnd w:id="132"/>
      <w:bookmarkEnd w:id="133"/>
    </w:p>
    <w:p>
      <w:pPr>
        <w:pStyle w:val="25"/>
        <w:topLinePunct/>
        <w:adjustRightInd w:val="0"/>
        <w:snapToGrid w:val="0"/>
        <w:spacing w:line="276" w:lineRule="auto"/>
        <w:rPr>
          <w:rFonts w:ascii="微软雅黑" w:hAnsi="微软雅黑" w:eastAsia="微软雅黑"/>
          <w:szCs w:val="21"/>
        </w:rPr>
      </w:pPr>
      <w:r>
        <w:rPr>
          <w:rFonts w:hint="eastAsia" w:ascii="微软雅黑" w:hAnsi="微软雅黑" w:eastAsia="微软雅黑"/>
          <w:szCs w:val="21"/>
          <w:highlight w:val="none"/>
        </w:rPr>
        <w:t>2022年</w:t>
      </w:r>
      <w:r>
        <w:rPr>
          <w:rFonts w:hint="eastAsia" w:ascii="微软雅黑" w:hAnsi="微软雅黑" w:eastAsia="微软雅黑"/>
          <w:szCs w:val="21"/>
          <w:highlight w:val="none"/>
          <w:lang w:val="en-US" w:eastAsia="zh-CN"/>
        </w:rPr>
        <w:t>8</w:t>
      </w:r>
      <w:r>
        <w:rPr>
          <w:rFonts w:hint="eastAsia" w:ascii="微软雅黑" w:hAnsi="微软雅黑" w:eastAsia="微软雅黑"/>
          <w:szCs w:val="21"/>
          <w:highlight w:val="none"/>
        </w:rPr>
        <w:t>月</w:t>
      </w:r>
      <w:r>
        <w:rPr>
          <w:rFonts w:hint="eastAsia" w:ascii="微软雅黑" w:hAnsi="微软雅黑" w:eastAsia="微软雅黑"/>
          <w:szCs w:val="21"/>
          <w:highlight w:val="none"/>
          <w:lang w:val="en-US" w:eastAsia="zh-CN"/>
        </w:rPr>
        <w:t>23</w:t>
      </w:r>
      <w:r>
        <w:rPr>
          <w:rFonts w:hint="eastAsia" w:ascii="微软雅黑" w:hAnsi="微软雅黑" w:eastAsia="微软雅黑"/>
          <w:szCs w:val="21"/>
          <w:highlight w:val="none"/>
        </w:rPr>
        <w:t>日</w:t>
      </w:r>
      <w:r>
        <w:rPr>
          <w:rFonts w:hint="eastAsia" w:ascii="微软雅黑" w:hAnsi="微软雅黑" w:eastAsia="微软雅黑"/>
          <w:szCs w:val="21"/>
        </w:rPr>
        <w:t>至</w:t>
      </w:r>
      <w:r>
        <w:rPr>
          <w:rFonts w:hint="eastAsia" w:ascii="微软雅黑" w:hAnsi="微软雅黑" w:eastAsia="微软雅黑"/>
          <w:szCs w:val="21"/>
          <w:lang w:eastAsia="zh-CN"/>
        </w:rPr>
        <w:t>2022年9月9日</w:t>
      </w:r>
      <w:r>
        <w:rPr>
          <w:rFonts w:hint="eastAsia" w:ascii="微软雅黑" w:hAnsi="微软雅黑" w:eastAsia="微软雅黑"/>
          <w:szCs w:val="21"/>
        </w:rPr>
        <w:t>。</w:t>
      </w:r>
    </w:p>
    <w:p>
      <w:pPr>
        <w:pStyle w:val="25"/>
        <w:topLinePunct/>
        <w:adjustRightInd w:val="0"/>
        <w:snapToGrid w:val="0"/>
        <w:spacing w:line="312" w:lineRule="auto"/>
        <w:ind w:firstLine="480"/>
        <w:rPr>
          <w:rFonts w:ascii="微软雅黑" w:hAnsi="微软雅黑" w:eastAsia="微软雅黑" w:cs="微软雅黑"/>
          <w:szCs w:val="21"/>
        </w:rPr>
      </w:pPr>
      <w:r>
        <w:rPr>
          <w:rFonts w:ascii="微软雅黑" w:hAnsi="微软雅黑" w:eastAsia="微软雅黑"/>
          <w:snapToGrid w:val="0"/>
          <w:kern w:val="0"/>
          <w:sz w:val="24"/>
        </w:rPr>
        <w:br w:type="page"/>
      </w:r>
      <w:bookmarkEnd w:id="1"/>
    </w:p>
    <w:p>
      <w:pPr>
        <w:topLinePunct/>
        <w:adjustRightInd w:val="0"/>
        <w:snapToGrid w:val="0"/>
        <w:jc w:val="center"/>
        <w:outlineLvl w:val="0"/>
        <w:rPr>
          <w:rFonts w:ascii="微软雅黑" w:hAnsi="微软雅黑" w:eastAsia="微软雅黑"/>
          <w:b/>
          <w:color w:val="C3AD72"/>
          <w:spacing w:val="20"/>
          <w:sz w:val="32"/>
          <w:szCs w:val="32"/>
        </w:rPr>
      </w:pPr>
      <w:bookmarkStart w:id="134" w:name="_Toc382493637"/>
      <w:bookmarkStart w:id="135" w:name="_Toc503261529"/>
      <w:bookmarkStart w:id="136" w:name="_Toc492480528"/>
      <w:bookmarkStart w:id="137" w:name="_Toc490223012"/>
      <w:bookmarkStart w:id="138" w:name="_Toc26058"/>
      <w:r>
        <w:rPr>
          <w:rFonts w:hint="eastAsia" w:ascii="微软雅黑" w:hAnsi="微软雅黑" w:eastAsia="微软雅黑"/>
          <w:b/>
          <w:color w:val="C3AD72"/>
          <w:spacing w:val="20"/>
          <w:sz w:val="32"/>
          <w:szCs w:val="32"/>
        </w:rPr>
        <w:t>附件</w:t>
      </w:r>
      <w:bookmarkEnd w:id="134"/>
      <w:bookmarkEnd w:id="135"/>
      <w:bookmarkEnd w:id="136"/>
      <w:bookmarkEnd w:id="137"/>
      <w:bookmarkEnd w:id="138"/>
    </w:p>
    <w:p>
      <w:pPr>
        <w:topLinePunct/>
        <w:adjustRightInd w:val="0"/>
        <w:snapToGrid w:val="0"/>
        <w:jc w:val="center"/>
        <w:rPr>
          <w:rFonts w:ascii="微软雅黑" w:hAnsi="微软雅黑" w:eastAsia="微软雅黑"/>
          <w:b/>
          <w:color w:val="C3AD72"/>
          <w:spacing w:val="20"/>
          <w:sz w:val="16"/>
          <w:szCs w:val="16"/>
        </w:rPr>
      </w:pPr>
      <w:r>
        <w:rPr>
          <w:rFonts w:hint="eastAsia" w:ascii="微软雅黑" w:hAnsi="微软雅黑" w:eastAsia="微软雅黑"/>
          <w:b/>
          <w:color w:val="C3AD72"/>
          <w:spacing w:val="20"/>
          <w:sz w:val="16"/>
          <w:szCs w:val="16"/>
        </w:rPr>
        <w:t>Appendix</w:t>
      </w:r>
    </w:p>
    <w:p>
      <w:pPr>
        <w:pStyle w:val="4"/>
        <w:numPr>
          <w:ilvl w:val="0"/>
          <w:numId w:val="14"/>
        </w:numPr>
        <w:tabs>
          <w:tab w:val="left" w:pos="993"/>
          <w:tab w:val="left" w:pos="3544"/>
        </w:tabs>
        <w:topLinePunct/>
        <w:adjustRightInd w:val="0"/>
        <w:snapToGrid w:val="0"/>
        <w:spacing w:before="0" w:after="0" w:line="360" w:lineRule="auto"/>
        <w:ind w:left="0" w:firstLine="480" w:firstLineChars="200"/>
        <w:rPr>
          <w:rFonts w:eastAsia="微软雅黑"/>
          <w:b w:val="0"/>
          <w:sz w:val="24"/>
        </w:rPr>
      </w:pPr>
      <w:bookmarkStart w:id="139" w:name="_Toc532832778"/>
      <w:bookmarkStart w:id="140" w:name="_Toc56612533"/>
      <w:bookmarkStart w:id="141" w:name="_Toc506107953"/>
      <w:bookmarkStart w:id="142" w:name="_Toc4429916"/>
      <w:bookmarkStart w:id="143" w:name="_Toc71216620"/>
      <w:bookmarkStart w:id="144" w:name="_Toc29913438"/>
      <w:bookmarkStart w:id="145" w:name="_Toc56678739"/>
      <w:bookmarkStart w:id="146" w:name="_Toc511233770"/>
      <w:bookmarkStart w:id="147" w:name="_Toc523416580"/>
      <w:bookmarkStart w:id="148" w:name="_Toc505960215"/>
      <w:bookmarkStart w:id="149" w:name="_Toc71554098"/>
      <w:bookmarkStart w:id="150" w:name="_Toc56615524"/>
      <w:bookmarkStart w:id="151" w:name="_Toc506107976"/>
      <w:bookmarkStart w:id="152" w:name="_Toc71387154"/>
      <w:bookmarkStart w:id="153" w:name="_Toc524626497"/>
      <w:bookmarkStart w:id="154" w:name="_Toc25249822"/>
      <w:bookmarkStart w:id="155" w:name="_Toc38035105"/>
      <w:bookmarkStart w:id="156" w:name="_Toc72756872"/>
      <w:bookmarkStart w:id="157" w:name="_Toc69401738"/>
      <w:bookmarkStart w:id="158" w:name="_Toc69401824"/>
      <w:bookmarkStart w:id="159" w:name="_Toc47533564"/>
      <w:bookmarkStart w:id="160" w:name="_Toc505960255"/>
      <w:bookmarkStart w:id="161" w:name="_Toc38982424"/>
      <w:bookmarkStart w:id="162" w:name="_Toc60833981"/>
      <w:bookmarkStart w:id="163" w:name="_Toc71388164"/>
      <w:bookmarkStart w:id="164" w:name="_Toc42273099"/>
      <w:bookmarkStart w:id="165" w:name="_Toc532826693"/>
      <w:bookmarkStart w:id="166" w:name="_Toc513192937"/>
      <w:bookmarkStart w:id="167" w:name="_Toc24620345"/>
      <w:bookmarkStart w:id="168" w:name="_Toc42272638"/>
      <w:bookmarkStart w:id="169" w:name="_Toc504038248"/>
      <w:bookmarkStart w:id="170" w:name="_Toc509406677"/>
      <w:bookmarkStart w:id="171" w:name="_Toc513124453"/>
      <w:bookmarkStart w:id="172" w:name="_Toc66453309"/>
      <w:bookmarkStart w:id="173" w:name="_Toc4424858"/>
      <w:bookmarkStart w:id="174" w:name="_Toc42273076"/>
      <w:bookmarkStart w:id="175" w:name="_Toc509408372"/>
      <w:bookmarkStart w:id="176" w:name="_Toc42273294"/>
      <w:bookmarkStart w:id="177" w:name="_Toc524616896"/>
      <w:bookmarkStart w:id="178" w:name="_Toc7453713"/>
      <w:bookmarkStart w:id="179" w:name="_Toc74037826"/>
      <w:bookmarkStart w:id="180" w:name="_Toc63614834"/>
      <w:bookmarkStart w:id="181" w:name="_Toc47703813"/>
      <w:bookmarkStart w:id="182" w:name="_Toc511291914"/>
      <w:bookmarkStart w:id="183" w:name="_Toc471213375"/>
      <w:bookmarkStart w:id="184" w:name="_Toc505960313"/>
      <w:bookmarkStart w:id="185" w:name="_Toc503888432"/>
      <w:bookmarkStart w:id="186" w:name="_Toc50727639"/>
      <w:bookmarkStart w:id="187" w:name="_Toc71202797"/>
      <w:bookmarkStart w:id="188" w:name="_Toc524616796"/>
      <w:bookmarkStart w:id="189" w:name="_Toc504120501"/>
      <w:bookmarkStart w:id="190" w:name="_Toc505958548"/>
      <w:bookmarkStart w:id="191" w:name="_Toc12281618"/>
      <w:bookmarkStart w:id="192" w:name="_Toc12271618"/>
      <w:bookmarkStart w:id="193" w:name="_Toc511317713"/>
      <w:bookmarkStart w:id="194" w:name="_Toc508391592"/>
      <w:bookmarkStart w:id="195" w:name="_Toc71386963"/>
      <w:bookmarkStart w:id="196" w:name="_Toc40972347"/>
      <w:bookmarkStart w:id="197" w:name="_Toc40894071"/>
      <w:bookmarkStart w:id="198" w:name="_Toc532826791"/>
      <w:bookmarkStart w:id="199" w:name="_Toc12350387"/>
      <w:bookmarkStart w:id="200" w:name="_Toc532907633"/>
      <w:bookmarkStart w:id="201" w:name="_Toc25253202"/>
      <w:bookmarkStart w:id="202" w:name="_Toc503888370"/>
      <w:bookmarkStart w:id="203" w:name="_Toc523414879"/>
      <w:bookmarkStart w:id="204" w:name="_Toc7515759"/>
      <w:bookmarkStart w:id="205" w:name="_Toc40893038"/>
      <w:bookmarkStart w:id="206" w:name="_Toc509414459"/>
      <w:bookmarkStart w:id="207" w:name="_Toc524626470"/>
      <w:bookmarkStart w:id="208" w:name="_Toc66716580"/>
      <w:bookmarkStart w:id="209" w:name="_Toc5114991"/>
      <w:bookmarkStart w:id="210" w:name="_Toc511232270"/>
      <w:bookmarkStart w:id="211" w:name="_Toc471215141"/>
      <w:bookmarkStart w:id="212" w:name="_Toc72751127"/>
      <w:bookmarkStart w:id="213" w:name="_Toc514156547"/>
      <w:bookmarkStart w:id="214" w:name="_Toc60833369"/>
      <w:bookmarkStart w:id="215" w:name="_Toc506104874"/>
      <w:bookmarkStart w:id="216" w:name="_Toc471892909"/>
      <w:bookmarkStart w:id="217" w:name="_Toc73980852"/>
      <w:bookmarkStart w:id="218" w:name="_Toc22724301"/>
      <w:bookmarkStart w:id="219" w:name="_Toc29916434"/>
      <w:bookmarkStart w:id="220" w:name="_Toc22725982"/>
      <w:bookmarkStart w:id="221" w:name="_Toc505961422"/>
      <w:bookmarkStart w:id="222" w:name="_Toc38016378"/>
      <w:bookmarkStart w:id="223" w:name="_Toc69402383"/>
      <w:bookmarkStart w:id="224" w:name="_Toc63614972"/>
      <w:bookmarkStart w:id="225" w:name="_Toc524616763"/>
      <w:bookmarkStart w:id="226" w:name="_Toc532826671"/>
      <w:bookmarkStart w:id="227" w:name="_Toc38016161"/>
      <w:bookmarkStart w:id="228" w:name="_Toc25598623"/>
      <w:bookmarkStart w:id="229" w:name="_Toc471213405"/>
      <w:bookmarkStart w:id="230" w:name="_Toc5030613"/>
      <w:bookmarkStart w:id="231" w:name="_Toc4426195"/>
      <w:bookmarkStart w:id="232" w:name="_Toc73980829"/>
      <w:bookmarkStart w:id="233" w:name="_Toc471824937"/>
      <w:bookmarkStart w:id="234" w:name="_Toc69739019"/>
      <w:bookmarkStart w:id="235" w:name="_Toc508634606"/>
      <w:bookmarkStart w:id="236" w:name="_Toc503960585"/>
      <w:bookmarkStart w:id="237" w:name="_Toc508391369"/>
      <w:bookmarkStart w:id="238" w:name="_Toc505960363"/>
      <w:bookmarkStart w:id="239" w:name="_Toc9267206"/>
      <w:bookmarkStart w:id="240" w:name="_Toc509406699"/>
      <w:bookmarkStart w:id="241" w:name="_Toc29993180"/>
      <w:bookmarkStart w:id="242" w:name="_Toc513193197"/>
      <w:bookmarkStart w:id="243" w:name="_Toc42271513"/>
      <w:bookmarkStart w:id="244" w:name="_Toc56615399"/>
      <w:bookmarkStart w:id="245" w:name="_Toc7452935"/>
      <w:bookmarkStart w:id="246" w:name="_Toc50735391"/>
      <w:bookmarkStart w:id="247" w:name="_Toc47532618"/>
      <w:bookmarkStart w:id="248" w:name="_Toc4425748"/>
      <w:bookmarkStart w:id="249" w:name="_Toc508390625"/>
      <w:bookmarkStart w:id="250" w:name="_Toc5114932"/>
      <w:bookmarkStart w:id="251" w:name="_Toc71193028"/>
      <w:bookmarkStart w:id="252" w:name="_Toc38809162"/>
      <w:bookmarkStart w:id="253" w:name="_Toc513212886"/>
      <w:bookmarkStart w:id="254" w:name="_Toc514226929"/>
      <w:bookmarkStart w:id="255" w:name="_Toc524627108"/>
      <w:bookmarkStart w:id="256" w:name="_Toc471213345"/>
      <w:bookmarkStart w:id="257" w:name="_Toc24474069"/>
      <w:bookmarkStart w:id="258" w:name="_Toc25245636"/>
      <w:bookmarkStart w:id="259" w:name="_Toc513047520"/>
      <w:bookmarkStart w:id="260" w:name="_Toc19842"/>
      <w:bookmarkStart w:id="261" w:name="_Toc25585648"/>
      <w:bookmarkStart w:id="262" w:name="_Toc66452095"/>
      <w:bookmarkStart w:id="263" w:name="_Toc511232825"/>
      <w:bookmarkStart w:id="264" w:name="_Toc38019591"/>
      <w:r>
        <w:rPr>
          <w:rFonts w:hint="eastAsia" w:eastAsia="微软雅黑"/>
          <w:b w:val="0"/>
          <w:sz w:val="24"/>
        </w:rPr>
        <w:t>估价委托书复印件</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4"/>
        <w:numPr>
          <w:ilvl w:val="0"/>
          <w:numId w:val="14"/>
        </w:numPr>
        <w:tabs>
          <w:tab w:val="left" w:pos="993"/>
          <w:tab w:val="left" w:pos="3544"/>
        </w:tabs>
        <w:topLinePunct/>
        <w:adjustRightInd w:val="0"/>
        <w:snapToGrid w:val="0"/>
        <w:spacing w:before="0" w:after="0" w:line="360" w:lineRule="auto"/>
        <w:ind w:left="0" w:firstLine="480" w:firstLineChars="200"/>
        <w:rPr>
          <w:rFonts w:eastAsia="微软雅黑"/>
          <w:b w:val="0"/>
          <w:sz w:val="24"/>
        </w:rPr>
      </w:pPr>
      <w:bookmarkStart w:id="265" w:name="_Toc47532619"/>
      <w:bookmarkStart w:id="266" w:name="_Toc471213379"/>
      <w:bookmarkStart w:id="267" w:name="_Toc38016379"/>
      <w:bookmarkStart w:id="268" w:name="_Toc506104875"/>
      <w:bookmarkStart w:id="269" w:name="_Toc509406700"/>
      <w:bookmarkStart w:id="270" w:name="_Toc505960364"/>
      <w:bookmarkStart w:id="271" w:name="_Toc504120502"/>
      <w:bookmarkStart w:id="272" w:name="_Toc511291915"/>
      <w:bookmarkStart w:id="273" w:name="_Toc9267207"/>
      <w:bookmarkStart w:id="274" w:name="_Toc63614973"/>
      <w:bookmarkStart w:id="275" w:name="_Toc38035106"/>
      <w:bookmarkStart w:id="276" w:name="_Toc63614835"/>
      <w:bookmarkStart w:id="277" w:name="_Toc508391593"/>
      <w:bookmarkStart w:id="278" w:name="_Toc471213409"/>
      <w:bookmarkStart w:id="279" w:name="_Toc508391370"/>
      <w:bookmarkStart w:id="280" w:name="_Toc29993181"/>
      <w:bookmarkStart w:id="281" w:name="_Toc524626471"/>
      <w:bookmarkStart w:id="282" w:name="_Toc71202798"/>
      <w:bookmarkStart w:id="283" w:name="_Toc38019592"/>
      <w:bookmarkStart w:id="284" w:name="_Toc513047521"/>
      <w:bookmarkStart w:id="285" w:name="_Toc40893039"/>
      <w:bookmarkStart w:id="286" w:name="_Toc56615525"/>
      <w:bookmarkStart w:id="287" w:name="_Toc72751128"/>
      <w:bookmarkStart w:id="288" w:name="_Toc73980853"/>
      <w:bookmarkStart w:id="289" w:name="_Toc5114992"/>
      <w:bookmarkStart w:id="290" w:name="_Toc29916435"/>
      <w:bookmarkStart w:id="291" w:name="_Toc72756873"/>
      <w:bookmarkStart w:id="292" w:name="_Toc523414880"/>
      <w:bookmarkStart w:id="293" w:name="_Toc513192938"/>
      <w:bookmarkStart w:id="294" w:name="_Toc4429917"/>
      <w:bookmarkStart w:id="295" w:name="_Toc71388165"/>
      <w:bookmarkStart w:id="296" w:name="_Toc12281619"/>
      <w:bookmarkStart w:id="297" w:name="_Toc56615400"/>
      <w:bookmarkStart w:id="298" w:name="_Toc71554099"/>
      <w:bookmarkStart w:id="299" w:name="_Toc32758"/>
      <w:bookmarkStart w:id="300" w:name="_Toc69739020"/>
      <w:bookmarkStart w:id="301" w:name="_Toc523416581"/>
      <w:bookmarkStart w:id="302" w:name="_Toc29913439"/>
      <w:bookmarkStart w:id="303" w:name="_Toc506107954"/>
      <w:bookmarkStart w:id="304" w:name="_Toc22725983"/>
      <w:bookmarkStart w:id="305" w:name="_Toc509408373"/>
      <w:bookmarkStart w:id="306" w:name="_Toc74037827"/>
      <w:bookmarkStart w:id="307" w:name="_Toc511232271"/>
      <w:bookmarkStart w:id="308" w:name="_Toc513212887"/>
      <w:bookmarkStart w:id="309" w:name="_Toc532826672"/>
      <w:bookmarkStart w:id="310" w:name="_Toc5030614"/>
      <w:bookmarkStart w:id="311" w:name="_Toc42272639"/>
      <w:bookmarkStart w:id="312" w:name="_Toc524616764"/>
      <w:bookmarkStart w:id="313" w:name="_Toc69401739"/>
      <w:bookmarkStart w:id="314" w:name="_Toc12350388"/>
      <w:bookmarkStart w:id="315" w:name="_Toc69402384"/>
      <w:bookmarkStart w:id="316" w:name="_Toc504038249"/>
      <w:bookmarkStart w:id="317" w:name="_Toc71216621"/>
      <w:bookmarkStart w:id="318" w:name="_Toc503960586"/>
      <w:bookmarkStart w:id="319" w:name="_Toc532832779"/>
      <w:bookmarkStart w:id="320" w:name="_Toc513193198"/>
      <w:bookmarkStart w:id="321" w:name="_Toc60833370"/>
      <w:bookmarkStart w:id="322" w:name="_Toc38016162"/>
      <w:bookmarkStart w:id="323" w:name="_Toc471892910"/>
      <w:bookmarkStart w:id="324" w:name="_Toc508634607"/>
      <w:bookmarkStart w:id="325" w:name="_Toc12271619"/>
      <w:bookmarkStart w:id="326" w:name="_Toc56612534"/>
      <w:bookmarkStart w:id="327" w:name="_Toc471213349"/>
      <w:bookmarkStart w:id="328" w:name="_Toc69401825"/>
      <w:bookmarkStart w:id="329" w:name="_Toc471824938"/>
      <w:bookmarkStart w:id="330" w:name="_Toc505958549"/>
      <w:bookmarkStart w:id="331" w:name="_Toc73980830"/>
      <w:bookmarkStart w:id="332" w:name="_Toc503888371"/>
      <w:bookmarkStart w:id="333" w:name="_Toc524616897"/>
      <w:bookmarkStart w:id="334" w:name="_Toc60833982"/>
      <w:bookmarkStart w:id="335" w:name="_Toc25245637"/>
      <w:bookmarkStart w:id="336" w:name="_Toc505960216"/>
      <w:bookmarkStart w:id="337" w:name="_Toc514226930"/>
      <w:bookmarkStart w:id="338" w:name="_Toc71387155"/>
      <w:bookmarkStart w:id="339" w:name="_Toc532907634"/>
      <w:bookmarkStart w:id="340" w:name="_Toc24474070"/>
      <w:bookmarkStart w:id="341" w:name="_Toc66453310"/>
      <w:bookmarkStart w:id="342" w:name="_Toc4426196"/>
      <w:bookmarkStart w:id="343" w:name="_Toc514156548"/>
      <w:bookmarkStart w:id="344" w:name="_Toc25253203"/>
      <w:bookmarkStart w:id="345" w:name="_Toc38982425"/>
      <w:bookmarkStart w:id="346" w:name="_Toc513124454"/>
      <w:bookmarkStart w:id="347" w:name="_Toc4424859"/>
      <w:bookmarkStart w:id="348" w:name="_Toc532826792"/>
      <w:bookmarkStart w:id="349" w:name="_Toc7515760"/>
      <w:bookmarkStart w:id="350" w:name="_Toc5114933"/>
      <w:bookmarkStart w:id="351" w:name="_Toc66452096"/>
      <w:bookmarkStart w:id="352" w:name="_Toc511232826"/>
      <w:bookmarkStart w:id="353" w:name="_Toc40972348"/>
      <w:bookmarkStart w:id="354" w:name="_Toc56678740"/>
      <w:bookmarkStart w:id="355" w:name="_Toc509406678"/>
      <w:bookmarkStart w:id="356" w:name="_Toc505961423"/>
      <w:bookmarkStart w:id="357" w:name="_Toc511233771"/>
      <w:bookmarkStart w:id="358" w:name="_Toc4425749"/>
      <w:bookmarkStart w:id="359" w:name="_Toc532826694"/>
      <w:bookmarkStart w:id="360" w:name="_Toc7453714"/>
      <w:bookmarkStart w:id="361" w:name="_Toc25249823"/>
      <w:bookmarkStart w:id="362" w:name="_Toc42271514"/>
      <w:bookmarkStart w:id="363" w:name="_Toc38809163"/>
      <w:bookmarkStart w:id="364" w:name="_Toc66716581"/>
      <w:bookmarkStart w:id="365" w:name="_Toc50735392"/>
      <w:bookmarkStart w:id="366" w:name="_Toc509414460"/>
      <w:bookmarkStart w:id="367" w:name="_Toc508390626"/>
      <w:bookmarkStart w:id="368" w:name="_Toc25585649"/>
      <w:bookmarkStart w:id="369" w:name="_Toc42273295"/>
      <w:bookmarkStart w:id="370" w:name="_Toc505960314"/>
      <w:bookmarkStart w:id="371" w:name="_Toc24620346"/>
      <w:bookmarkStart w:id="372" w:name="_Toc524627109"/>
      <w:bookmarkStart w:id="373" w:name="_Toc524626498"/>
      <w:bookmarkStart w:id="374" w:name="_Toc505960256"/>
      <w:bookmarkStart w:id="375" w:name="_Toc71193029"/>
      <w:bookmarkStart w:id="376" w:name="_Toc50727640"/>
      <w:bookmarkStart w:id="377" w:name="_Toc503888433"/>
      <w:bookmarkStart w:id="378" w:name="_Toc40894072"/>
      <w:bookmarkStart w:id="379" w:name="_Toc506107977"/>
      <w:bookmarkStart w:id="380" w:name="_Toc471215145"/>
      <w:bookmarkStart w:id="381" w:name="_Toc47533565"/>
      <w:bookmarkStart w:id="382" w:name="_Toc22724302"/>
      <w:bookmarkStart w:id="383" w:name="_Toc42273077"/>
      <w:bookmarkStart w:id="384" w:name="_Toc25598624"/>
      <w:bookmarkStart w:id="385" w:name="_Toc7452936"/>
      <w:bookmarkStart w:id="386" w:name="_Toc524616797"/>
      <w:bookmarkStart w:id="387" w:name="_Toc42273100"/>
      <w:bookmarkStart w:id="388" w:name="_Toc511317714"/>
      <w:bookmarkStart w:id="389" w:name="_Toc47703814"/>
      <w:bookmarkStart w:id="390" w:name="_Toc71386964"/>
      <w:r>
        <w:rPr>
          <w:rFonts w:hint="eastAsia" w:eastAsia="微软雅黑"/>
          <w:b w:val="0"/>
          <w:sz w:val="24"/>
        </w:rPr>
        <w:t>估价对象权属证明复印件</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pPr>
        <w:pStyle w:val="4"/>
        <w:numPr>
          <w:ilvl w:val="0"/>
          <w:numId w:val="14"/>
        </w:numPr>
        <w:tabs>
          <w:tab w:val="left" w:pos="993"/>
          <w:tab w:val="left" w:pos="3544"/>
        </w:tabs>
        <w:topLinePunct/>
        <w:adjustRightInd w:val="0"/>
        <w:snapToGrid w:val="0"/>
        <w:spacing w:before="0" w:after="0" w:line="360" w:lineRule="auto"/>
        <w:ind w:left="0" w:firstLine="480" w:firstLineChars="200"/>
        <w:rPr>
          <w:rFonts w:eastAsia="微软雅黑"/>
          <w:b w:val="0"/>
          <w:sz w:val="24"/>
        </w:rPr>
      </w:pPr>
      <w:bookmarkStart w:id="391" w:name="_Toc71216623"/>
      <w:bookmarkStart w:id="392" w:name="_Toc42272641"/>
      <w:bookmarkStart w:id="393" w:name="_Toc42271516"/>
      <w:bookmarkStart w:id="394" w:name="_Toc532826695"/>
      <w:bookmarkStart w:id="395" w:name="_Toc505961424"/>
      <w:bookmarkStart w:id="396" w:name="_Toc38016381"/>
      <w:bookmarkStart w:id="397" w:name="_Toc5114993"/>
      <w:bookmarkStart w:id="398" w:name="_Toc504038250"/>
      <w:bookmarkStart w:id="399" w:name="_Toc508390627"/>
      <w:bookmarkStart w:id="400" w:name="_Toc509406701"/>
      <w:bookmarkStart w:id="401" w:name="_Toc509414461"/>
      <w:bookmarkStart w:id="402" w:name="_Toc47703816"/>
      <w:bookmarkStart w:id="403" w:name="_Toc508634608"/>
      <w:bookmarkStart w:id="404" w:name="_Toc503960587"/>
      <w:bookmarkStart w:id="405" w:name="_Toc513047522"/>
      <w:bookmarkStart w:id="406" w:name="_Toc9267208"/>
      <w:bookmarkStart w:id="407" w:name="_Toc38809166"/>
      <w:bookmarkStart w:id="408" w:name="_Toc69401740"/>
      <w:bookmarkStart w:id="409" w:name="_Toc47533567"/>
      <w:bookmarkStart w:id="410" w:name="_Toc511232827"/>
      <w:bookmarkStart w:id="411" w:name="_Toc524616898"/>
      <w:bookmarkStart w:id="412" w:name="_Toc508391594"/>
      <w:bookmarkStart w:id="413" w:name="_Toc511291916"/>
      <w:bookmarkStart w:id="414" w:name="_Toc504120503"/>
      <w:bookmarkStart w:id="415" w:name="_Toc66453311"/>
      <w:bookmarkStart w:id="416" w:name="_Toc524627110"/>
      <w:bookmarkStart w:id="417" w:name="_Toc63614974"/>
      <w:bookmarkStart w:id="418" w:name="_Toc532826673"/>
      <w:bookmarkStart w:id="419" w:name="_Toc22725985"/>
      <w:bookmarkStart w:id="420" w:name="_Toc505958550"/>
      <w:bookmarkStart w:id="421" w:name="_Toc56615402"/>
      <w:bookmarkStart w:id="422" w:name="_Toc532907635"/>
      <w:bookmarkStart w:id="423" w:name="_Toc4426197"/>
      <w:bookmarkStart w:id="424" w:name="_Toc471215147"/>
      <w:bookmarkStart w:id="425" w:name="_Toc69401826"/>
      <w:bookmarkStart w:id="426" w:name="_Toc38035108"/>
      <w:bookmarkStart w:id="427" w:name="_Toc56612536"/>
      <w:bookmarkStart w:id="428" w:name="_Toc50727642"/>
      <w:bookmarkStart w:id="429" w:name="_Toc56678742"/>
      <w:bookmarkStart w:id="430" w:name="_Toc42273102"/>
      <w:bookmarkStart w:id="431" w:name="_Toc5114934"/>
      <w:bookmarkStart w:id="432" w:name="_Toc63614836"/>
      <w:bookmarkStart w:id="433" w:name="_Toc29916436"/>
      <w:bookmarkStart w:id="434" w:name="_Toc66716582"/>
      <w:bookmarkStart w:id="435" w:name="_Toc42273297"/>
      <w:bookmarkStart w:id="436" w:name="_Toc511232272"/>
      <w:bookmarkStart w:id="437" w:name="_Toc25598626"/>
      <w:bookmarkStart w:id="438" w:name="_Toc505960365"/>
      <w:bookmarkStart w:id="439" w:name="_Toc29993182"/>
      <w:bookmarkStart w:id="440" w:name="_Toc25253204"/>
      <w:bookmarkStart w:id="441" w:name="_Toc69739021"/>
      <w:bookmarkStart w:id="442" w:name="_Toc524616798"/>
      <w:bookmarkStart w:id="443" w:name="_Toc506107955"/>
      <w:bookmarkStart w:id="444" w:name="_Toc7452938"/>
      <w:bookmarkStart w:id="445" w:name="_Toc4425750"/>
      <w:bookmarkStart w:id="446" w:name="_Toc7515762"/>
      <w:bookmarkStart w:id="447" w:name="_Toc503888372"/>
      <w:bookmarkStart w:id="448" w:name="_Toc513192939"/>
      <w:bookmarkStart w:id="449" w:name="_Toc524616765"/>
      <w:bookmarkStart w:id="450" w:name="_Toc74037829"/>
      <w:bookmarkStart w:id="451" w:name="_Toc471213381"/>
      <w:bookmarkStart w:id="452" w:name="_Toc40894074"/>
      <w:bookmarkStart w:id="453" w:name="_Toc523414881"/>
      <w:bookmarkStart w:id="454" w:name="_Toc12271620"/>
      <w:bookmarkStart w:id="455" w:name="_Toc503888434"/>
      <w:bookmarkStart w:id="456" w:name="_Toc12350389"/>
      <w:bookmarkStart w:id="457" w:name="_Toc532832780"/>
      <w:bookmarkStart w:id="458" w:name="_Toc513193199"/>
      <w:bookmarkStart w:id="459" w:name="_Toc532826793"/>
      <w:bookmarkStart w:id="460" w:name="_Toc506104876"/>
      <w:bookmarkStart w:id="461" w:name="_Toc4429918"/>
      <w:bookmarkStart w:id="462" w:name="_Toc505960257"/>
      <w:bookmarkStart w:id="463" w:name="_Toc505960217"/>
      <w:bookmarkStart w:id="464" w:name="_Toc5030615"/>
      <w:bookmarkStart w:id="465" w:name="_Toc73980832"/>
      <w:bookmarkStart w:id="466" w:name="_Toc25585651"/>
      <w:bookmarkStart w:id="467" w:name="_Toc71388166"/>
      <w:bookmarkStart w:id="468" w:name="_Toc22724304"/>
      <w:bookmarkStart w:id="469" w:name="_Toc513212888"/>
      <w:bookmarkStart w:id="470" w:name="_Toc71202800"/>
      <w:bookmarkStart w:id="471" w:name="_Toc72751129"/>
      <w:bookmarkStart w:id="472" w:name="_Toc40893041"/>
      <w:bookmarkStart w:id="473" w:name="_Toc524626472"/>
      <w:bookmarkStart w:id="474" w:name="_Toc523416582"/>
      <w:bookmarkStart w:id="475" w:name="_Toc471892911"/>
      <w:bookmarkStart w:id="476" w:name="_Toc506107978"/>
      <w:bookmarkStart w:id="477" w:name="_Toc471213411"/>
      <w:bookmarkStart w:id="478" w:name="_Toc514156549"/>
      <w:bookmarkStart w:id="479" w:name="_Toc4424860"/>
      <w:bookmarkStart w:id="480" w:name="_Toc24620347"/>
      <w:bookmarkStart w:id="481" w:name="_Toc508391371"/>
      <w:bookmarkStart w:id="482" w:name="_Toc505960315"/>
      <w:bookmarkStart w:id="483" w:name="_Toc513124455"/>
      <w:bookmarkStart w:id="484" w:name="_Toc524626499"/>
      <w:bookmarkStart w:id="485" w:name="_Toc72756874"/>
      <w:bookmarkStart w:id="486" w:name="_Toc71387156"/>
      <w:bookmarkStart w:id="487" w:name="_Toc7453716"/>
      <w:bookmarkStart w:id="488" w:name="_Toc511233772"/>
      <w:bookmarkStart w:id="489" w:name="_Toc25245638"/>
      <w:bookmarkStart w:id="490" w:name="_Toc60833372"/>
      <w:bookmarkStart w:id="491" w:name="_Toc471824939"/>
      <w:bookmarkStart w:id="492" w:name="_Toc511317715"/>
      <w:bookmarkStart w:id="493" w:name="_Toc69402385"/>
      <w:bookmarkStart w:id="494" w:name="_Toc29913440"/>
      <w:bookmarkStart w:id="495" w:name="_Toc47532621"/>
      <w:bookmarkStart w:id="496" w:name="_Toc509406679"/>
      <w:bookmarkStart w:id="497" w:name="_Toc71554100"/>
      <w:bookmarkStart w:id="498" w:name="_Toc73980855"/>
      <w:bookmarkStart w:id="499" w:name="_Toc42273079"/>
      <w:bookmarkStart w:id="500" w:name="_Toc71386965"/>
      <w:bookmarkStart w:id="501" w:name="_Toc38016164"/>
      <w:bookmarkStart w:id="502" w:name="_Toc56615527"/>
      <w:bookmarkStart w:id="503" w:name="_Toc25249824"/>
      <w:bookmarkStart w:id="504" w:name="_Toc38019594"/>
      <w:bookmarkStart w:id="505" w:name="_Toc38982430"/>
      <w:bookmarkStart w:id="506" w:name="_Toc12281620"/>
      <w:bookmarkStart w:id="507" w:name="_Toc24474071"/>
      <w:bookmarkStart w:id="508" w:name="_Toc60833984"/>
      <w:bookmarkStart w:id="509" w:name="_Toc40972350"/>
      <w:bookmarkStart w:id="510" w:name="_Toc50735394"/>
      <w:bookmarkStart w:id="511" w:name="_Toc15798"/>
      <w:bookmarkStart w:id="512" w:name="_Toc509408374"/>
      <w:bookmarkStart w:id="513" w:name="_Toc514226931"/>
      <w:bookmarkStart w:id="514" w:name="_Toc71193031"/>
      <w:bookmarkStart w:id="515" w:name="_Toc471213351"/>
      <w:bookmarkStart w:id="516" w:name="_Toc66452097"/>
      <w:r>
        <w:rPr>
          <w:rFonts w:hint="eastAsia" w:eastAsia="微软雅黑"/>
          <w:b w:val="0"/>
          <w:sz w:val="24"/>
        </w:rPr>
        <w:t>房地产估价机构营业执照复印件</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4"/>
        <w:numPr>
          <w:ilvl w:val="0"/>
          <w:numId w:val="14"/>
        </w:numPr>
        <w:tabs>
          <w:tab w:val="left" w:pos="993"/>
          <w:tab w:val="left" w:pos="3544"/>
        </w:tabs>
        <w:topLinePunct/>
        <w:adjustRightInd w:val="0"/>
        <w:snapToGrid w:val="0"/>
        <w:spacing w:before="0" w:after="0" w:line="360" w:lineRule="auto"/>
        <w:ind w:left="0" w:firstLine="480" w:firstLineChars="200"/>
        <w:rPr>
          <w:rFonts w:eastAsia="微软雅黑"/>
          <w:b w:val="0"/>
          <w:sz w:val="24"/>
        </w:rPr>
      </w:pPr>
      <w:bookmarkStart w:id="517" w:name="_Toc71386966"/>
      <w:bookmarkStart w:id="518" w:name="_Toc511232273"/>
      <w:bookmarkStart w:id="519" w:name="_Toc38016165"/>
      <w:bookmarkStart w:id="520" w:name="_Toc4429919"/>
      <w:bookmarkStart w:id="521" w:name="_Toc25253205"/>
      <w:bookmarkStart w:id="522" w:name="_Toc508634609"/>
      <w:bookmarkStart w:id="523" w:name="_Toc63614837"/>
      <w:bookmarkStart w:id="524" w:name="_Toc506107956"/>
      <w:bookmarkStart w:id="525" w:name="_Toc7453717"/>
      <w:bookmarkStart w:id="526" w:name="_Toc60833373"/>
      <w:bookmarkStart w:id="527" w:name="_Toc505961425"/>
      <w:bookmarkStart w:id="528" w:name="_Toc4426198"/>
      <w:bookmarkStart w:id="529" w:name="_Toc50727643"/>
      <w:bookmarkStart w:id="530" w:name="_Toc71388167"/>
      <w:bookmarkStart w:id="531" w:name="_Toc524627111"/>
      <w:bookmarkStart w:id="532" w:name="_Toc471213352"/>
      <w:bookmarkStart w:id="533" w:name="_Toc40893042"/>
      <w:bookmarkStart w:id="534" w:name="_Toc511291917"/>
      <w:bookmarkStart w:id="535" w:name="_Toc50735395"/>
      <w:bookmarkStart w:id="536" w:name="_Toc66716583"/>
      <w:bookmarkStart w:id="537" w:name="_Toc504038251"/>
      <w:bookmarkStart w:id="538" w:name="_Toc7452939"/>
      <w:bookmarkStart w:id="539" w:name="_Toc513047523"/>
      <w:bookmarkStart w:id="540" w:name="_Toc504120504"/>
      <w:bookmarkStart w:id="541" w:name="_Toc511317716"/>
      <w:bookmarkStart w:id="542" w:name="_Toc532826794"/>
      <w:bookmarkStart w:id="543" w:name="_Toc71387157"/>
      <w:bookmarkStart w:id="544" w:name="_Toc40894075"/>
      <w:bookmarkStart w:id="545" w:name="_Toc513192940"/>
      <w:bookmarkStart w:id="546" w:name="_Toc532826674"/>
      <w:bookmarkStart w:id="547" w:name="_Toc29993183"/>
      <w:bookmarkStart w:id="548" w:name="_Toc509414462"/>
      <w:bookmarkStart w:id="549" w:name="_Toc12271621"/>
      <w:bookmarkStart w:id="550" w:name="_Toc42273103"/>
      <w:bookmarkStart w:id="551" w:name="_Toc12281621"/>
      <w:bookmarkStart w:id="552" w:name="_Toc38016382"/>
      <w:bookmarkStart w:id="553" w:name="_Toc5030616"/>
      <w:bookmarkStart w:id="554" w:name="_Toc25249825"/>
      <w:bookmarkStart w:id="555" w:name="_Toc524616799"/>
      <w:bookmarkStart w:id="556" w:name="_Toc471213412"/>
      <w:bookmarkStart w:id="557" w:name="_Toc42273298"/>
      <w:bookmarkStart w:id="558" w:name="_Toc509406680"/>
      <w:bookmarkStart w:id="559" w:name="_Toc69402386"/>
      <w:bookmarkStart w:id="560" w:name="_Toc56612537"/>
      <w:bookmarkStart w:id="561" w:name="_Toc38019595"/>
      <w:bookmarkStart w:id="562" w:name="_Toc524626473"/>
      <w:bookmarkStart w:id="563" w:name="_Toc524616766"/>
      <w:bookmarkStart w:id="564" w:name="_Toc38035109"/>
      <w:bookmarkStart w:id="565" w:name="_Toc25585652"/>
      <w:bookmarkStart w:id="566" w:name="_Toc73980856"/>
      <w:bookmarkStart w:id="567" w:name="_Toc40972351"/>
      <w:bookmarkStart w:id="568" w:name="_Toc505958551"/>
      <w:bookmarkStart w:id="569" w:name="_Toc47703817"/>
      <w:bookmarkStart w:id="570" w:name="_Toc42272642"/>
      <w:bookmarkStart w:id="571" w:name="_Toc4424861"/>
      <w:bookmarkStart w:id="572" w:name="_Toc24474072"/>
      <w:bookmarkStart w:id="573" w:name="_Toc47533568"/>
      <w:bookmarkStart w:id="574" w:name="_Toc506104877"/>
      <w:bookmarkStart w:id="575" w:name="_Toc471892912"/>
      <w:bookmarkStart w:id="576" w:name="_Toc532826696"/>
      <w:bookmarkStart w:id="577" w:name="_Toc22725986"/>
      <w:bookmarkStart w:id="578" w:name="_Toc24620348"/>
      <w:bookmarkStart w:id="579" w:name="_Toc42271517"/>
      <w:bookmarkStart w:id="580" w:name="_Toc471215148"/>
      <w:bookmarkStart w:id="581" w:name="_Toc532832781"/>
      <w:bookmarkStart w:id="582" w:name="_Toc509406702"/>
      <w:bookmarkStart w:id="583" w:name="_Toc506107979"/>
      <w:bookmarkStart w:id="584" w:name="_Toc524626500"/>
      <w:bookmarkStart w:id="585" w:name="_Toc5114994"/>
      <w:bookmarkStart w:id="586" w:name="_Toc69401827"/>
      <w:bookmarkStart w:id="587" w:name="_Toc29913441"/>
      <w:bookmarkStart w:id="588" w:name="_Toc505960316"/>
      <w:bookmarkStart w:id="589" w:name="_Toc71193032"/>
      <w:bookmarkStart w:id="590" w:name="_Toc69401741"/>
      <w:bookmarkStart w:id="591" w:name="_Toc38809167"/>
      <w:bookmarkStart w:id="592" w:name="_Toc25245639"/>
      <w:bookmarkStart w:id="593" w:name="_Toc71554101"/>
      <w:bookmarkStart w:id="594" w:name="_Toc60833985"/>
      <w:bookmarkStart w:id="595" w:name="_Toc508391595"/>
      <w:bookmarkStart w:id="596" w:name="_Toc505960218"/>
      <w:bookmarkStart w:id="597" w:name="_Toc508390628"/>
      <w:bookmarkStart w:id="598" w:name="_Toc509408375"/>
      <w:bookmarkStart w:id="599" w:name="_Toc514156550"/>
      <w:bookmarkStart w:id="600" w:name="_Toc511233773"/>
      <w:bookmarkStart w:id="601" w:name="_Toc63614975"/>
      <w:bookmarkStart w:id="602" w:name="_Toc513124456"/>
      <w:bookmarkStart w:id="603" w:name="_Toc9267209"/>
      <w:bookmarkStart w:id="604" w:name="_Toc524616899"/>
      <w:bookmarkStart w:id="605" w:name="_Toc56615528"/>
      <w:bookmarkStart w:id="606" w:name="_Toc471213382"/>
      <w:bookmarkStart w:id="607" w:name="_Toc72751130"/>
      <w:bookmarkStart w:id="608" w:name="_Toc5114935"/>
      <w:bookmarkStart w:id="609" w:name="_Toc511232828"/>
      <w:bookmarkStart w:id="610" w:name="_Toc532907636"/>
      <w:bookmarkStart w:id="611" w:name="_Toc22724305"/>
      <w:bookmarkStart w:id="612" w:name="_Toc71202801"/>
      <w:bookmarkStart w:id="613" w:name="_Toc505960258"/>
      <w:bookmarkStart w:id="614" w:name="_Toc3919"/>
      <w:bookmarkStart w:id="615" w:name="_Toc69739022"/>
      <w:bookmarkStart w:id="616" w:name="_Toc56615403"/>
      <w:bookmarkStart w:id="617" w:name="_Toc73980833"/>
      <w:bookmarkStart w:id="618" w:name="_Toc471824940"/>
      <w:bookmarkStart w:id="619" w:name="_Toc7515763"/>
      <w:bookmarkStart w:id="620" w:name="_Toc508391372"/>
      <w:bookmarkStart w:id="621" w:name="_Toc4425751"/>
      <w:bookmarkStart w:id="622" w:name="_Toc513212889"/>
      <w:bookmarkStart w:id="623" w:name="_Toc71216624"/>
      <w:bookmarkStart w:id="624" w:name="_Toc56678743"/>
      <w:bookmarkStart w:id="625" w:name="_Toc503888373"/>
      <w:bookmarkStart w:id="626" w:name="_Toc503888435"/>
      <w:bookmarkStart w:id="627" w:name="_Toc12350390"/>
      <w:bookmarkStart w:id="628" w:name="_Toc38982431"/>
      <w:bookmarkStart w:id="629" w:name="_Toc74037830"/>
      <w:bookmarkStart w:id="630" w:name="_Toc513193200"/>
      <w:bookmarkStart w:id="631" w:name="_Toc523416583"/>
      <w:bookmarkStart w:id="632" w:name="_Toc503960588"/>
      <w:bookmarkStart w:id="633" w:name="_Toc505960366"/>
      <w:bookmarkStart w:id="634" w:name="_Toc42273080"/>
      <w:bookmarkStart w:id="635" w:name="_Toc66453312"/>
      <w:bookmarkStart w:id="636" w:name="_Toc72756875"/>
      <w:bookmarkStart w:id="637" w:name="_Toc66452098"/>
      <w:bookmarkStart w:id="638" w:name="_Toc29916437"/>
      <w:bookmarkStart w:id="639" w:name="_Toc514226932"/>
      <w:bookmarkStart w:id="640" w:name="_Toc47532622"/>
      <w:bookmarkStart w:id="641" w:name="_Toc25598627"/>
      <w:bookmarkStart w:id="642" w:name="_Toc523414882"/>
      <w:r>
        <w:rPr>
          <w:rFonts w:hint="eastAsia" w:eastAsia="微软雅黑"/>
          <w:b w:val="0"/>
          <w:sz w:val="24"/>
        </w:rPr>
        <w:t>房地产估价机构资质证书复印件</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4"/>
        <w:numPr>
          <w:ilvl w:val="0"/>
          <w:numId w:val="14"/>
        </w:numPr>
        <w:tabs>
          <w:tab w:val="left" w:pos="993"/>
          <w:tab w:val="left" w:pos="3544"/>
        </w:tabs>
        <w:topLinePunct/>
        <w:adjustRightInd w:val="0"/>
        <w:snapToGrid w:val="0"/>
        <w:spacing w:before="0" w:after="0" w:line="360" w:lineRule="auto"/>
        <w:ind w:left="0" w:firstLine="480" w:firstLineChars="200"/>
        <w:rPr>
          <w:rFonts w:ascii="微软雅黑" w:hAnsi="微软雅黑" w:eastAsia="微软雅黑"/>
          <w:b w:val="0"/>
          <w:sz w:val="21"/>
          <w:szCs w:val="21"/>
        </w:rPr>
      </w:pPr>
      <w:bookmarkStart w:id="643" w:name="_Toc471892913"/>
      <w:bookmarkStart w:id="644" w:name="_Toc471215149"/>
      <w:bookmarkStart w:id="645" w:name="_Toc471824941"/>
      <w:bookmarkStart w:id="646" w:name="_Toc471213383"/>
      <w:bookmarkStart w:id="647" w:name="_Toc471213353"/>
      <w:bookmarkStart w:id="648" w:name="_Toc471213413"/>
      <w:bookmarkStart w:id="649" w:name="_Toc504038252"/>
      <w:bookmarkStart w:id="650" w:name="_Toc511232274"/>
      <w:bookmarkStart w:id="651" w:name="_Toc532832782"/>
      <w:bookmarkStart w:id="652" w:name="_Toc69739023"/>
      <w:bookmarkStart w:id="653" w:name="_Toc513192941"/>
      <w:bookmarkStart w:id="654" w:name="_Toc524616767"/>
      <w:bookmarkStart w:id="655" w:name="_Toc42272643"/>
      <w:bookmarkStart w:id="656" w:name="_Toc4425752"/>
      <w:bookmarkStart w:id="657" w:name="_Toc25253206"/>
      <w:bookmarkStart w:id="658" w:name="_Toc71388168"/>
      <w:bookmarkStart w:id="659" w:name="_Toc73980834"/>
      <w:bookmarkStart w:id="660" w:name="_Toc505960219"/>
      <w:bookmarkStart w:id="661" w:name="_Toc38019596"/>
      <w:bookmarkStart w:id="662" w:name="_Toc66716584"/>
      <w:bookmarkStart w:id="663" w:name="_Toc69401742"/>
      <w:bookmarkStart w:id="664" w:name="_Toc524627112"/>
      <w:bookmarkStart w:id="665" w:name="_Toc71193033"/>
      <w:bookmarkStart w:id="666" w:name="_Toc38982432"/>
      <w:bookmarkStart w:id="667" w:name="_Toc506107957"/>
      <w:bookmarkStart w:id="668" w:name="_Toc71202802"/>
      <w:bookmarkStart w:id="669" w:name="_Toc5030617"/>
      <w:bookmarkStart w:id="670" w:name="_Toc24474073"/>
      <w:bookmarkStart w:id="671" w:name="_Toc71387158"/>
      <w:bookmarkStart w:id="672" w:name="_Toc509408376"/>
      <w:bookmarkStart w:id="673" w:name="_Toc532826675"/>
      <w:bookmarkStart w:id="674" w:name="_Toc56678744"/>
      <w:bookmarkStart w:id="675" w:name="_Toc56615529"/>
      <w:bookmarkStart w:id="676" w:name="_Toc60833374"/>
      <w:bookmarkStart w:id="677" w:name="_Toc12271622"/>
      <w:bookmarkStart w:id="678" w:name="_Toc40894076"/>
      <w:bookmarkStart w:id="679" w:name="_Toc60833986"/>
      <w:bookmarkStart w:id="680" w:name="_Toc74037831"/>
      <w:bookmarkStart w:id="681" w:name="_Toc42273104"/>
      <w:bookmarkStart w:id="682" w:name="_Toc503960589"/>
      <w:bookmarkStart w:id="683" w:name="_Toc72751131"/>
      <w:bookmarkStart w:id="684" w:name="_Toc29913442"/>
      <w:bookmarkStart w:id="685" w:name="_Toc71554102"/>
      <w:bookmarkStart w:id="686" w:name="_Toc506107980"/>
      <w:bookmarkStart w:id="687" w:name="_Toc40972352"/>
      <w:bookmarkStart w:id="688" w:name="_Toc71216625"/>
      <w:bookmarkStart w:id="689" w:name="_Toc25249826"/>
      <w:bookmarkStart w:id="690" w:name="_Toc42273081"/>
      <w:bookmarkStart w:id="691" w:name="_Toc24620349"/>
      <w:bookmarkStart w:id="692" w:name="_Toc5114936"/>
      <w:bookmarkStart w:id="693" w:name="_Toc4429920"/>
      <w:bookmarkStart w:id="694" w:name="_Toc72756876"/>
      <w:bookmarkStart w:id="695" w:name="_Toc38016166"/>
      <w:bookmarkStart w:id="696" w:name="_Toc508634610"/>
      <w:bookmarkStart w:id="697" w:name="_Toc40893043"/>
      <w:bookmarkStart w:id="698" w:name="_Toc42271518"/>
      <w:bookmarkStart w:id="699" w:name="_Toc514156551"/>
      <w:bookmarkStart w:id="700" w:name="_Toc25598628"/>
      <w:bookmarkStart w:id="701" w:name="_Toc25585653"/>
      <w:bookmarkStart w:id="702" w:name="_Toc511232829"/>
      <w:bookmarkStart w:id="703" w:name="_Toc505961426"/>
      <w:bookmarkStart w:id="704" w:name="_Toc508390629"/>
      <w:bookmarkStart w:id="705" w:name="_Toc509406703"/>
      <w:bookmarkStart w:id="706" w:name="_Toc509406681"/>
      <w:bookmarkStart w:id="707" w:name="_Toc66453313"/>
      <w:bookmarkStart w:id="708" w:name="_Toc511291918"/>
      <w:bookmarkStart w:id="709" w:name="_Toc50727644"/>
      <w:bookmarkStart w:id="710" w:name="_Toc513124457"/>
      <w:bookmarkStart w:id="711" w:name="_Toc22725987"/>
      <w:bookmarkStart w:id="712" w:name="_Toc9267210"/>
      <w:bookmarkStart w:id="713" w:name="_Toc71386967"/>
      <w:bookmarkStart w:id="714" w:name="_Toc532826795"/>
      <w:bookmarkStart w:id="715" w:name="_Toc73980857"/>
      <w:bookmarkStart w:id="716" w:name="_Toc47533569"/>
      <w:bookmarkStart w:id="717" w:name="_Toc38809168"/>
      <w:bookmarkStart w:id="718" w:name="_Toc56612538"/>
      <w:bookmarkStart w:id="719" w:name="_Toc503888374"/>
      <w:bookmarkStart w:id="720" w:name="_Toc29916438"/>
      <w:bookmarkStart w:id="721" w:name="_Toc4424862"/>
      <w:bookmarkStart w:id="722" w:name="_Toc524626474"/>
      <w:bookmarkStart w:id="723" w:name="_Toc12281622"/>
      <w:bookmarkStart w:id="724" w:name="_Toc513193201"/>
      <w:bookmarkStart w:id="725" w:name="_Toc42273299"/>
      <w:bookmarkStart w:id="726" w:name="_Toc5114995"/>
      <w:bookmarkStart w:id="727" w:name="_Toc532826697"/>
      <w:bookmarkStart w:id="728" w:name="_Toc7453718"/>
      <w:bookmarkStart w:id="729" w:name="_Toc532907637"/>
      <w:bookmarkStart w:id="730" w:name="_Toc66452099"/>
      <w:bookmarkStart w:id="731" w:name="_Toc508391373"/>
      <w:bookmarkStart w:id="732" w:name="_Toc505960259"/>
      <w:bookmarkStart w:id="733" w:name="_Toc12350391"/>
      <w:bookmarkStart w:id="734" w:name="_Toc509414463"/>
      <w:bookmarkStart w:id="735" w:name="_Toc4426199"/>
      <w:bookmarkStart w:id="736" w:name="_Toc25245640"/>
      <w:bookmarkStart w:id="737" w:name="_Toc511317717"/>
      <w:bookmarkStart w:id="738" w:name="_Toc513047524"/>
      <w:bookmarkStart w:id="739" w:name="_Toc38035110"/>
      <w:bookmarkStart w:id="740" w:name="_Toc63614838"/>
      <w:bookmarkStart w:id="741" w:name="_Toc63614976"/>
      <w:bookmarkStart w:id="742" w:name="_Toc69401828"/>
      <w:bookmarkStart w:id="743" w:name="_Toc511233774"/>
      <w:bookmarkStart w:id="744" w:name="_Toc524626501"/>
      <w:bookmarkStart w:id="745" w:name="_Toc523414883"/>
      <w:bookmarkStart w:id="746" w:name="_Toc506104878"/>
      <w:bookmarkStart w:id="747" w:name="_Toc38016383"/>
      <w:bookmarkStart w:id="748" w:name="_Toc523416584"/>
      <w:bookmarkStart w:id="749" w:name="_Toc505960367"/>
      <w:bookmarkStart w:id="750" w:name="_Toc47703818"/>
      <w:bookmarkStart w:id="751" w:name="_Toc524616800"/>
      <w:bookmarkStart w:id="752" w:name="_Toc56615404"/>
      <w:bookmarkStart w:id="753" w:name="_Toc514226933"/>
      <w:bookmarkStart w:id="754" w:name="_Toc503888436"/>
      <w:bookmarkStart w:id="755" w:name="_Toc50735396"/>
      <w:bookmarkStart w:id="756" w:name="_Toc504120505"/>
      <w:bookmarkStart w:id="757" w:name="_Toc505960317"/>
      <w:bookmarkStart w:id="758" w:name="_Toc22724306"/>
      <w:bookmarkStart w:id="759" w:name="_Toc29993184"/>
      <w:bookmarkStart w:id="760" w:name="_Toc524616900"/>
      <w:bookmarkStart w:id="761" w:name="_Toc508391596"/>
      <w:bookmarkStart w:id="762" w:name="_Toc513212890"/>
      <w:bookmarkStart w:id="763" w:name="_Toc69402387"/>
      <w:bookmarkStart w:id="764" w:name="_Toc505958552"/>
      <w:bookmarkStart w:id="765" w:name="_Toc47532623"/>
      <w:bookmarkStart w:id="766" w:name="_Toc7016"/>
      <w:bookmarkStart w:id="767" w:name="_Toc7515764"/>
      <w:bookmarkStart w:id="768" w:name="_Toc7452940"/>
      <w:r>
        <w:rPr>
          <w:rFonts w:hint="eastAsia" w:eastAsia="微软雅黑"/>
          <w:b w:val="0"/>
          <w:sz w:val="24"/>
        </w:rPr>
        <w:t>注册房地产估价师注册证书复印</w:t>
      </w:r>
      <w:bookmarkEnd w:id="643"/>
      <w:bookmarkEnd w:id="644"/>
      <w:bookmarkEnd w:id="645"/>
      <w:bookmarkEnd w:id="646"/>
      <w:bookmarkEnd w:id="647"/>
      <w:bookmarkEnd w:id="648"/>
      <w:r>
        <w:rPr>
          <w:rFonts w:hint="eastAsia" w:eastAsia="微软雅黑"/>
          <w:b w:val="0"/>
          <w:sz w:val="24"/>
        </w:rPr>
        <w:t>件</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sectPr>
      <w:headerReference r:id="rId6" w:type="default"/>
      <w:footerReference r:id="rId7" w:type="default"/>
      <w:pgSz w:w="11906" w:h="16838"/>
      <w:pgMar w:top="1440" w:right="1474" w:bottom="1440" w:left="1587"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altName w:val="微软雅黑"/>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微软雅黑" w:hAnsi="微软雅黑" w:eastAsia="微软雅黑"/>
      </w:rPr>
    </w:pPr>
    <w:r>
      <w:rPr>
        <w:rFonts w:hint="eastAsia" w:ascii="微软雅黑" w:hAnsi="微软雅黑" w:eastAsia="微软雅黑" w:cs="微软雅黑"/>
        <w:bCs/>
        <w:sz w:val="15"/>
        <w:szCs w:val="15"/>
      </w:rPr>
      <w:t xml:space="preserve">地址：杭州市上城区建国南路288号第八层803室 </w:t>
    </w:r>
    <w:r>
      <w:rPr>
        <w:rFonts w:ascii="微软雅黑" w:hAnsi="微软雅黑" w:eastAsia="微软雅黑" w:cs="微软雅黑"/>
        <w:bCs/>
        <w:sz w:val="15"/>
        <w:szCs w:val="15"/>
      </w:rPr>
      <w:t xml:space="preserve">    </w:t>
    </w:r>
    <w:r>
      <w:rPr>
        <w:rFonts w:hint="eastAsia" w:ascii="微软雅黑" w:hAnsi="微软雅黑" w:eastAsia="微软雅黑" w:cs="微软雅黑"/>
        <w:bCs/>
        <w:sz w:val="15"/>
        <w:szCs w:val="15"/>
      </w:rPr>
      <w:t xml:space="preserve">          </w:t>
    </w:r>
    <w:r>
      <w:rPr>
        <w:rFonts w:ascii="微软雅黑" w:hAnsi="微软雅黑" w:eastAsia="微软雅黑" w:cs="微软雅黑"/>
        <w:bCs/>
        <w:sz w:val="15"/>
        <w:szCs w:val="15"/>
      </w:rPr>
      <w:t xml:space="preserve">   </w:t>
    </w:r>
    <w:r>
      <w:rPr>
        <w:rFonts w:ascii="微软雅黑" w:hAnsi="微软雅黑" w:eastAsia="微软雅黑" w:cs="微软雅黑"/>
        <w:sz w:val="15"/>
        <w:szCs w:val="15"/>
      </w:rPr>
      <w:t xml:space="preserve">   </w:t>
    </w:r>
    <w:r>
      <w:rPr>
        <w:rFonts w:hint="eastAsia" w:ascii="微软雅黑" w:hAnsi="微软雅黑" w:eastAsia="微软雅黑" w:cs="微软雅黑"/>
        <w:sz w:val="15"/>
        <w:szCs w:val="15"/>
      </w:rPr>
      <w:t xml:space="preserve"> </w:t>
    </w:r>
    <w:r>
      <w:rPr>
        <w:rFonts w:hint="eastAsia" w:ascii="微软雅黑" w:hAnsi="微软雅黑" w:eastAsia="微软雅黑" w:cs="微软雅黑"/>
        <w:bCs/>
        <w:sz w:val="15"/>
        <w:szCs w:val="15"/>
      </w:rPr>
      <w:t>联系电话/客服电话：（</w:t>
    </w:r>
    <w:r>
      <w:rPr>
        <w:rFonts w:ascii="微软雅黑" w:hAnsi="微软雅黑" w:eastAsia="微软雅黑" w:cs="微软雅黑"/>
        <w:bCs/>
        <w:sz w:val="15"/>
        <w:szCs w:val="15"/>
      </w:rPr>
      <w:t>0571</w:t>
    </w:r>
    <w:r>
      <w:rPr>
        <w:rFonts w:hint="eastAsia" w:ascii="微软雅黑" w:hAnsi="微软雅黑" w:eastAsia="微软雅黑" w:cs="微软雅黑"/>
        <w:bCs/>
        <w:sz w:val="15"/>
        <w:szCs w:val="15"/>
      </w:rPr>
      <w:t>）87241931</w:t>
    </w:r>
    <w:r>
      <w:rPr>
        <w:rFonts w:ascii="微软雅黑" w:hAnsi="微软雅黑" w:eastAsia="微软雅黑" w:cs="微软雅黑"/>
        <w:bCs/>
        <w:sz w:val="15"/>
        <w:szCs w:val="15"/>
      </w:rPr>
      <w:t xml:space="preserve">          </w:t>
    </w:r>
    <w:sdt>
      <w:sdtPr>
        <w:rPr>
          <w:rFonts w:ascii="微软雅黑" w:hAnsi="微软雅黑" w:eastAsia="微软雅黑" w:cs="微软雅黑"/>
          <w:bCs/>
          <w:sz w:val="15"/>
          <w:szCs w:val="15"/>
        </w:rPr>
        <w:id w:val="-382948109"/>
      </w:sdtPr>
      <w:sdtEndPr>
        <w:rPr>
          <w:rFonts w:ascii="微软雅黑" w:hAnsi="微软雅黑" w:eastAsia="微软雅黑" w:cstheme="minorBidi"/>
          <w:bCs w:val="0"/>
          <w:sz w:val="15"/>
          <w:szCs w:val="15"/>
        </w:rPr>
      </w:sdtEndPr>
      <w:sdtContent>
        <w:r>
          <w:rPr>
            <w:rFonts w:ascii="微软雅黑" w:hAnsi="微软雅黑" w:eastAsia="微软雅黑" w:cs="微软雅黑"/>
            <w:bCs/>
            <w:sz w:val="15"/>
            <w:szCs w:val="15"/>
          </w:rPr>
          <w:fldChar w:fldCharType="begin"/>
        </w:r>
        <w:r>
          <w:rPr>
            <w:rFonts w:ascii="微软雅黑" w:hAnsi="微软雅黑" w:eastAsia="微软雅黑" w:cs="微软雅黑"/>
            <w:bCs/>
            <w:sz w:val="15"/>
            <w:szCs w:val="15"/>
          </w:rPr>
          <w:instrText xml:space="preserve">PAGE   \* MERGEFORMAT</w:instrText>
        </w:r>
        <w:r>
          <w:rPr>
            <w:rFonts w:ascii="微软雅黑" w:hAnsi="微软雅黑" w:eastAsia="微软雅黑" w:cs="微软雅黑"/>
            <w:bCs/>
            <w:sz w:val="15"/>
            <w:szCs w:val="15"/>
          </w:rPr>
          <w:fldChar w:fldCharType="separate"/>
        </w:r>
        <w:r>
          <w:rPr>
            <w:rFonts w:ascii="微软雅黑" w:hAnsi="微软雅黑" w:eastAsia="微软雅黑" w:cs="微软雅黑"/>
            <w:bCs/>
            <w:sz w:val="15"/>
            <w:szCs w:val="15"/>
          </w:rPr>
          <w:t>1</w:t>
        </w:r>
        <w:r>
          <w:rPr>
            <w:rFonts w:ascii="微软雅黑" w:hAnsi="微软雅黑" w:eastAsia="微软雅黑" w:cs="微软雅黑"/>
            <w:bCs/>
            <w:sz w:val="15"/>
            <w:szCs w:val="15"/>
          </w:rPr>
          <w:fldChar w:fldCharType="end"/>
        </w:r>
      </w:sdtContent>
    </w:sdt>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微软雅黑" w:hAnsi="微软雅黑" w:eastAsia="微软雅黑"/>
      </w:rPr>
    </w:pPr>
    <w:r>
      <w:rPr>
        <w:rFonts w:hint="eastAsia" w:ascii="微软雅黑" w:hAnsi="微软雅黑" w:eastAsia="微软雅黑" w:cs="微软雅黑"/>
        <w:bCs/>
        <w:sz w:val="15"/>
        <w:szCs w:val="15"/>
      </w:rPr>
      <w:t xml:space="preserve">地址：杭州市上城区建国南路288号第八层803室 </w:t>
    </w:r>
    <w:r>
      <w:rPr>
        <w:rFonts w:ascii="微软雅黑" w:hAnsi="微软雅黑" w:eastAsia="微软雅黑" w:cs="微软雅黑"/>
        <w:bCs/>
        <w:sz w:val="15"/>
        <w:szCs w:val="15"/>
      </w:rPr>
      <w:t xml:space="preserve">    </w:t>
    </w:r>
    <w:r>
      <w:rPr>
        <w:rFonts w:hint="eastAsia" w:ascii="微软雅黑" w:hAnsi="微软雅黑" w:eastAsia="微软雅黑" w:cs="微软雅黑"/>
        <w:bCs/>
        <w:sz w:val="15"/>
        <w:szCs w:val="15"/>
      </w:rPr>
      <w:t xml:space="preserve">          </w:t>
    </w:r>
    <w:r>
      <w:rPr>
        <w:rFonts w:ascii="微软雅黑" w:hAnsi="微软雅黑" w:eastAsia="微软雅黑" w:cs="微软雅黑"/>
        <w:bCs/>
        <w:sz w:val="15"/>
        <w:szCs w:val="15"/>
      </w:rPr>
      <w:t xml:space="preserve">   </w:t>
    </w:r>
    <w:r>
      <w:rPr>
        <w:rFonts w:ascii="微软雅黑" w:hAnsi="微软雅黑" w:eastAsia="微软雅黑" w:cs="微软雅黑"/>
        <w:sz w:val="15"/>
        <w:szCs w:val="15"/>
      </w:rPr>
      <w:t xml:space="preserve">   </w:t>
    </w:r>
    <w:r>
      <w:rPr>
        <w:rFonts w:hint="eastAsia" w:ascii="微软雅黑" w:hAnsi="微软雅黑" w:eastAsia="微软雅黑" w:cs="微软雅黑"/>
        <w:sz w:val="15"/>
        <w:szCs w:val="15"/>
      </w:rPr>
      <w:t xml:space="preserve"> </w:t>
    </w:r>
    <w:r>
      <w:rPr>
        <w:rFonts w:hint="eastAsia" w:ascii="微软雅黑" w:hAnsi="微软雅黑" w:eastAsia="微软雅黑" w:cs="微软雅黑"/>
        <w:bCs/>
        <w:sz w:val="15"/>
        <w:szCs w:val="15"/>
      </w:rPr>
      <w:t>联系电话/客服电话：（</w:t>
    </w:r>
    <w:r>
      <w:rPr>
        <w:rFonts w:ascii="微软雅黑" w:hAnsi="微软雅黑" w:eastAsia="微软雅黑" w:cs="微软雅黑"/>
        <w:bCs/>
        <w:sz w:val="15"/>
        <w:szCs w:val="15"/>
      </w:rPr>
      <w:t>0571</w:t>
    </w:r>
    <w:r>
      <w:rPr>
        <w:rFonts w:hint="eastAsia" w:ascii="微软雅黑" w:hAnsi="微软雅黑" w:eastAsia="微软雅黑" w:cs="微软雅黑"/>
        <w:bCs/>
        <w:sz w:val="15"/>
        <w:szCs w:val="15"/>
      </w:rPr>
      <w:t>）87241931</w:t>
    </w:r>
    <w:r>
      <w:rPr>
        <w:rFonts w:ascii="微软雅黑" w:hAnsi="微软雅黑" w:eastAsia="微软雅黑" w:cs="微软雅黑"/>
        <w:bCs/>
        <w:sz w:val="15"/>
        <w:szCs w:val="15"/>
      </w:rPr>
      <w:t xml:space="preserve">          </w:t>
    </w:r>
    <w:r>
      <w:rPr>
        <w:rFonts w:ascii="微软雅黑" w:hAnsi="微软雅黑" w:eastAsia="微软雅黑" w:cs="微软雅黑"/>
        <w:bCs/>
        <w:sz w:val="15"/>
        <w:szCs w:val="15"/>
      </w:rPr>
      <w:fldChar w:fldCharType="begin"/>
    </w:r>
    <w:r>
      <w:rPr>
        <w:rFonts w:ascii="微软雅黑" w:hAnsi="微软雅黑" w:eastAsia="微软雅黑" w:cs="微软雅黑"/>
        <w:bCs/>
        <w:sz w:val="15"/>
        <w:szCs w:val="15"/>
      </w:rPr>
      <w:instrText xml:space="preserve">PAGE   \* MERGEFORMAT</w:instrText>
    </w:r>
    <w:r>
      <w:rPr>
        <w:rFonts w:ascii="微软雅黑" w:hAnsi="微软雅黑" w:eastAsia="微软雅黑" w:cs="微软雅黑"/>
        <w:bCs/>
        <w:sz w:val="15"/>
        <w:szCs w:val="15"/>
      </w:rPr>
      <w:fldChar w:fldCharType="separate"/>
    </w:r>
    <w:r>
      <w:rPr>
        <w:rFonts w:ascii="微软雅黑" w:hAnsi="微软雅黑" w:eastAsia="微软雅黑" w:cs="微软雅黑"/>
        <w:bCs/>
        <w:sz w:val="15"/>
        <w:szCs w:val="15"/>
      </w:rPr>
      <w:t>24</w:t>
    </w:r>
    <w:r>
      <w:rPr>
        <w:rFonts w:ascii="微软雅黑" w:hAnsi="微软雅黑" w:eastAsia="微软雅黑" w:cs="微软雅黑"/>
        <w:bCs/>
        <w:sz w:val="15"/>
        <w:szCs w:val="15"/>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514"/>
        <w:tab w:val="center" w:pos="4337"/>
      </w:tabs>
      <w:jc w:val="left"/>
      <w:rPr>
        <w:rFonts w:ascii="微软雅黑" w:hAnsi="微软雅黑" w:eastAsia="微软雅黑"/>
      </w:rPr>
    </w:pPr>
    <w:r>
      <w:drawing>
        <wp:anchor distT="0" distB="0" distL="114300" distR="114300" simplePos="0" relativeHeight="251671552" behindDoc="1" locked="0" layoutInCell="1" allowOverlap="1">
          <wp:simplePos x="0" y="0"/>
          <wp:positionH relativeFrom="column">
            <wp:posOffset>67310</wp:posOffset>
          </wp:positionH>
          <wp:positionV relativeFrom="paragraph">
            <wp:posOffset>-59055</wp:posOffset>
          </wp:positionV>
          <wp:extent cx="1725295" cy="415925"/>
          <wp:effectExtent l="0" t="0" r="8255" b="3175"/>
          <wp:wrapNone/>
          <wp:docPr id="64" name="图片 64" descr="E:\金嘉雯\04logo\嘉华顾问机构 (2).png嘉华顾问机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金嘉雯\04logo\嘉华顾问机构 (2).png嘉华顾问机构 (2)"/>
                  <pic:cNvPicPr>
                    <a:picLocks noChangeAspect="1" noChangeArrowheads="1"/>
                  </pic:cNvPicPr>
                </pic:nvPicPr>
                <pic:blipFill>
                  <a:blip r:embed="rId1"/>
                  <a:srcRect/>
                  <a:stretch>
                    <a:fillRect/>
                  </a:stretch>
                </pic:blipFill>
                <pic:spPr>
                  <a:xfrm>
                    <a:off x="0" y="0"/>
                    <a:ext cx="1725295" cy="415925"/>
                  </a:xfrm>
                  <a:prstGeom prst="rect">
                    <a:avLst/>
                  </a:prstGeom>
                  <a:noFill/>
                  <a:ln>
                    <a:noFill/>
                  </a:ln>
                </pic:spPr>
              </pic:pic>
            </a:graphicData>
          </a:graphic>
        </wp:anchor>
      </w:drawing>
    </w:r>
    <w:r>
      <w:rPr>
        <w:rFonts w:ascii="微软雅黑" w:hAnsi="微软雅黑" w:eastAsia="微软雅黑"/>
      </w:rPr>
      <w:drawing>
        <wp:anchor distT="0" distB="0" distL="114300" distR="114300" simplePos="0" relativeHeight="251666432" behindDoc="1" locked="0" layoutInCell="1" allowOverlap="1">
          <wp:simplePos x="0" y="0"/>
          <wp:positionH relativeFrom="column">
            <wp:posOffset>4170045</wp:posOffset>
          </wp:positionH>
          <wp:positionV relativeFrom="paragraph">
            <wp:posOffset>-66675</wp:posOffset>
          </wp:positionV>
          <wp:extent cx="1325245" cy="401320"/>
          <wp:effectExtent l="0" t="0" r="8255" b="1778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1325078" cy="401320"/>
                  </a:xfrm>
                  <a:prstGeom prst="rect">
                    <a:avLst/>
                  </a:prstGeom>
                  <a:noFill/>
                  <a:ln>
                    <a:noFill/>
                  </a:ln>
                </pic:spPr>
              </pic:pic>
            </a:graphicData>
          </a:graphic>
        </wp:anchor>
      </w:drawing>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cs="微软雅黑"/>
        <w:bCs/>
        <w:sz w:val="16"/>
      </w:rPr>
      <w:pict>
        <v:line id="_x0000_s1047" o:spid="_x0000_s1047" o:spt="20" style="position:absolute;left:0pt;margin-left:-0.4pt;margin-top:776.95pt;height:0pt;width:439.95pt;mso-position-vertical-relative:page;z-index:-251646976;mso-width-relative:page;mso-height-relative:page;" stroked="t" coordsize="21600,21600"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gku81AAA&#10;AAsBAAAPAAAAAAAAAAEAIAAAACIAAABkcnMvZG93bnJldi54bWxQSwECFAAUAAAACACHTuJA+lcJ&#10;FrABAAAtAwAADgAAAAAAAAABACAAAAAjAQAAZHJzL2Uyb0RvYy54bWxQSwUGAAAAAAYABgBZAQAA&#10;RQUAAAAA&#10;">
          <v:path arrowok="t"/>
          <v:fill focussize="0,0"/>
          <v:stroke weight="1.75pt" color="#C3AD72"/>
          <v:imagedata o:title=""/>
          <o:lock v:ext="edit"/>
        </v:line>
      </w:pict>
    </w:r>
  </w:p>
  <w:p>
    <w:pPr>
      <w:pStyle w:val="12"/>
      <w:pBdr>
        <w:bottom w:val="none" w:color="auto" w:sz="0" w:space="2"/>
      </w:pBdr>
      <w:tabs>
        <w:tab w:val="left" w:pos="150"/>
        <w:tab w:val="center" w:pos="4337"/>
      </w:tabs>
      <w:jc w:val="left"/>
      <w:rPr>
        <w:rFonts w:ascii="微软雅黑" w:hAnsi="微软雅黑" w:eastAsia="微软雅黑"/>
      </w:rPr>
    </w:pPr>
    <w:r>
      <w:rPr>
        <w:rFonts w:ascii="微软雅黑" w:hAnsi="微软雅黑" w:eastAsia="微软雅黑"/>
      </w:rPr>
      <w:tab/>
    </w:r>
    <w:r>
      <w:rPr>
        <w:rFonts w:ascii="微软雅黑" w:hAnsi="微软雅黑" w:eastAsia="微软雅黑" w:cs="微软雅黑"/>
        <w:bCs/>
        <w:sz w:val="16"/>
      </w:rPr>
      <w:pict>
        <v:line id="_x0000_s1048" o:spid="_x0000_s1048" o:spt="20" style="position:absolute;left:0pt;margin-left:-0.4pt;margin-top:776.95pt;height:0pt;width:439.95pt;mso-position-vertical-relative:page;z-index:-251649024;mso-width-relative:page;mso-height-relative:page;" stroked="t" coordsize="21600,21600"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uCS7zU&#10;AAAACwEAAA8AAAAAAAAAAQAgAAAAIgAAAGRycy9kb3ducmV2LnhtbFBLAQIUABQAAAAIAIdO4kCP&#10;FOPMsgEAAC0DAAAOAAAAAAAAAAEAIAAAACMBAABkcnMvZTJvRG9jLnhtbFBLBQYAAAAABgAGAFkB&#10;AABHBQAAAAA=&#10;">
          <v:path arrowok="t"/>
          <v:fill focussize="0,0"/>
          <v:stroke weight="1.75pt" color="#C3AD72"/>
          <v:imagedata o:title=""/>
          <o:lock v:ext="edit"/>
        </v:line>
      </w:pict>
    </w:r>
  </w:p>
  <w:p>
    <w:pPr>
      <w:tabs>
        <w:tab w:val="left" w:pos="1811"/>
      </w:tabs>
    </w:pPr>
    <w:r>
      <w:pict>
        <v:group id="_x0000_s1049" o:spid="_x0000_s1049" o:spt="203" style="position:absolute;left:0pt;margin-left:0pt;margin-top:75.15pt;height:0pt;width:439.35pt;mso-position-horizontal-relative:margin;mso-position-vertical-relative:page;z-index:-251648000;mso-width-relative:page;mso-height-relative:page;" coordorigin="14100,1692" coordsize="8845,203203" o:gfxdata="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exTvu1gAAAAgBAAAPAAAAAAAAAAEAIAAAACIA&#10;AABkcnMvZG93bnJldi54bWxQSwECFAAUAAAACACHTuJAe3D0GbYCAACuCAAADgAAAAAAAAABACAA&#10;AAAlAQAAZHJzL2Uyb0RvYy54bWxQSwUGAAAAAAYABgBZAQAATQYAAAAA&#10;">
          <o:lock v:ext="edit"/>
          <v:line id="_x0000_s1050" o:spid="_x0000_s1050" o:spt="20" style="position:absolute;left:14100;top:1692;height:0;width:4209;" stroked="t" coordsize="21600,21600" o:gfxdata="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Yu74A&#10;AADbAAAADwAAAAAAAAABACAAAAAiAAAAZHJzL2Rvd25yZXYueG1sUEsBAhQAFAAAAAgAh07iQDMv&#10;BZ47AAAAOQAAABAAAAAAAAAAAQAgAAAADQEAAGRycy9zaGFwZXhtbC54bWxQSwUGAAAAAAYABgBb&#10;AQAAtwMAAAAA&#10;">
            <v:path arrowok="t"/>
            <v:fill focussize="0,0"/>
            <v:stroke weight="4.5pt" color="#C3AD72" joinstyle="miter"/>
            <v:imagedata o:title=""/>
            <o:lock v:ext="edit"/>
          </v:line>
          <v:line id="_x0000_s1051" o:spid="_x0000_s1051" o:spt="20" style="position:absolute;left:18594;top:1692;height:0;width:4351;" stroked="t" coordsize="21600,21600" o:gfxdata="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qg22AAAA2wAAAA8A&#10;AAAAAAAAAQAgAAAAIgAAAGRycy9kb3ducmV2LnhtbFBLAQIUABQAAAAIAIdO4kAzLwWeOwAAADkA&#10;AAAQAAAAAAAAAAEAIAAAAAUBAABkcnMvc2hhcGV4bWwueG1sUEsFBgAAAAAGAAYAWwEAAK8DAAAA&#10;AA==&#10;">
            <v:path arrowok="t"/>
            <v:fill focussize="0,0"/>
            <v:stroke weight="4.5pt" color="#808080" joinstyle="miter"/>
            <v:imagedata o:title=""/>
            <o:lock v:ext="edit"/>
          </v:line>
          <v:line id="_x0000_s1052" o:spid="_x0000_s1052" o:spt="20" style="position:absolute;left:17089;top:1692;flip:y;height:0;width:1522;" stroked="t" coordsize="21600,21600" o:gfxdata="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fq74A&#10;AADbAAAADwAAAAAAAAABACAAAAAiAAAAZHJzL2Rvd25yZXYueG1sUEsBAhQAFAAAAAgAh07iQDMv&#10;BZ47AAAAOQAAABAAAAAAAAAAAQAgAAAADQEAAGRycy9zaGFwZXhtbC54bWxQSwUGAAAAAAYABgBb&#10;AQAAtwMAAAAA&#10;">
            <v:path arrowok="t"/>
            <v:fill focussize="0,0"/>
            <v:stroke weight="4.5pt" color="#A6A6A6" joinstyle="miter"/>
            <v:imagedata o:title=""/>
            <o:lock v:ext="edit"/>
          </v:line>
        </v:group>
      </w:pic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514"/>
        <w:tab w:val="center" w:pos="4337"/>
      </w:tabs>
      <w:jc w:val="left"/>
      <w:rPr>
        <w:rFonts w:ascii="微软雅黑" w:hAnsi="微软雅黑" w:eastAsia="微软雅黑"/>
      </w:rPr>
    </w:pPr>
    <w:r>
      <w:drawing>
        <wp:anchor distT="0" distB="0" distL="114300" distR="114300" simplePos="0" relativeHeight="251660288" behindDoc="1" locked="0" layoutInCell="1" allowOverlap="1">
          <wp:simplePos x="0" y="0"/>
          <wp:positionH relativeFrom="column">
            <wp:posOffset>67310</wp:posOffset>
          </wp:positionH>
          <wp:positionV relativeFrom="paragraph">
            <wp:posOffset>-59055</wp:posOffset>
          </wp:positionV>
          <wp:extent cx="1725295" cy="415925"/>
          <wp:effectExtent l="0" t="0" r="1905" b="0"/>
          <wp:wrapNone/>
          <wp:docPr id="13" name="图片 64" descr="E:\金嘉雯\04logo\嘉华顾问机构 (2).png嘉华顾问机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E:\金嘉雯\04logo\嘉华顾问机构 (2).png嘉华顾问机构 (2)"/>
                  <pic:cNvPicPr>
                    <a:picLocks noChangeAspect="1"/>
                  </pic:cNvPicPr>
                </pic:nvPicPr>
                <pic:blipFill>
                  <a:blip r:embed="rId1"/>
                  <a:stretch>
                    <a:fillRect/>
                  </a:stretch>
                </pic:blipFill>
                <pic:spPr>
                  <a:xfrm>
                    <a:off x="0" y="0"/>
                    <a:ext cx="1725295" cy="415925"/>
                  </a:xfrm>
                  <a:prstGeom prst="rect">
                    <a:avLst/>
                  </a:prstGeom>
                  <a:noFill/>
                  <a:ln w="9525">
                    <a:noFill/>
                  </a:ln>
                </pic:spPr>
              </pic:pic>
            </a:graphicData>
          </a:graphic>
        </wp:anchor>
      </w:drawing>
    </w:r>
    <w:r>
      <w:rPr>
        <w:rFonts w:ascii="微软雅黑" w:hAnsi="微软雅黑" w:eastAsia="微软雅黑"/>
      </w:rPr>
      <w:drawing>
        <wp:anchor distT="0" distB="0" distL="114300" distR="114300" simplePos="0" relativeHeight="251659264" behindDoc="1" locked="0" layoutInCell="1" allowOverlap="1">
          <wp:simplePos x="0" y="0"/>
          <wp:positionH relativeFrom="column">
            <wp:posOffset>4170045</wp:posOffset>
          </wp:positionH>
          <wp:positionV relativeFrom="paragraph">
            <wp:posOffset>-66675</wp:posOffset>
          </wp:positionV>
          <wp:extent cx="1325245" cy="401320"/>
          <wp:effectExtent l="0" t="0" r="8255" b="5080"/>
          <wp:wrapNone/>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2"/>
                  <a:stretch>
                    <a:fillRect/>
                  </a:stretch>
                </pic:blipFill>
                <pic:spPr>
                  <a:xfrm>
                    <a:off x="0" y="0"/>
                    <a:ext cx="1325245" cy="401320"/>
                  </a:xfrm>
                  <a:prstGeom prst="rect">
                    <a:avLst/>
                  </a:prstGeom>
                  <a:noFill/>
                  <a:ln w="9525">
                    <a:noFill/>
                  </a:ln>
                </pic:spPr>
              </pic:pic>
            </a:graphicData>
          </a:graphic>
        </wp:anchor>
      </w:drawing>
    </w:r>
    <w:r>
      <w:rPr>
        <w:rFonts w:ascii="微软雅黑" w:hAnsi="微软雅黑" w:eastAsia="微软雅黑"/>
      </w:rPr>
      <w:tab/>
    </w:r>
    <w:r>
      <w:rPr>
        <w:rFonts w:ascii="微软雅黑" w:hAnsi="微软雅黑" w:eastAsia="微软雅黑"/>
      </w:rPr>
      <w:tab/>
    </w:r>
    <w:r>
      <w:rPr>
        <w:rFonts w:ascii="微软雅黑" w:hAnsi="微软雅黑" w:eastAsia="微软雅黑"/>
      </w:rPr>
      <w:tab/>
    </w:r>
    <w:r>
      <w:rPr>
        <w:rFonts w:ascii="微软雅黑" w:hAnsi="微软雅黑" w:eastAsia="微软雅黑" w:cs="微软雅黑"/>
        <w:bCs/>
        <w:sz w:val="16"/>
      </w:rPr>
      <w:pict>
        <v:line id="_x0000_s1030" o:spid="_x0000_s1030" o:spt="20" style="position:absolute;left:0pt;margin-left:-0.4pt;margin-top:776.95pt;height:0pt;width:439.95pt;mso-position-vertical-relative:page;z-index:-251653120;mso-width-relative:page;mso-height-relative:page;" stroked="t" coordsize="21600,21600"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4JLvNQAAAALAQAADwAAAAAAAAABACAAAAAiAAAAZHJzL2Rvd25yZXYueG1sUEsBAhQAFAAAAAgA&#10;h07iQBou0463AQAAOwMAAA4AAAAAAAAAAQAgAAAAIwEAAGRycy9lMm9Eb2MueG1sUEsFBgAAAAAG&#10;AAYAWQEAAEwFAAAAAA==&#10;">
          <v:path arrowok="t"/>
          <v:fill focussize="0,0"/>
          <v:stroke weight="1.75pt" color="#C3AD72"/>
          <v:imagedata o:title=""/>
          <o:lock v:ext="edit"/>
        </v:line>
      </w:pict>
    </w:r>
  </w:p>
  <w:p>
    <w:pPr>
      <w:pStyle w:val="12"/>
      <w:pBdr>
        <w:bottom w:val="none" w:color="auto" w:sz="0" w:space="2"/>
      </w:pBdr>
      <w:tabs>
        <w:tab w:val="left" w:pos="150"/>
        <w:tab w:val="center" w:pos="4337"/>
      </w:tabs>
      <w:jc w:val="left"/>
      <w:rPr>
        <w:rFonts w:ascii="微软雅黑" w:hAnsi="微软雅黑" w:eastAsia="微软雅黑"/>
      </w:rPr>
    </w:pPr>
    <w:r>
      <w:rPr>
        <w:rFonts w:ascii="微软雅黑" w:hAnsi="微软雅黑" w:eastAsia="微软雅黑"/>
      </w:rPr>
      <w:tab/>
    </w:r>
    <w:r>
      <w:rPr>
        <w:rFonts w:ascii="微软雅黑" w:hAnsi="微软雅黑" w:eastAsia="微软雅黑" w:cs="微软雅黑"/>
        <w:bCs/>
        <w:sz w:val="16"/>
      </w:rPr>
      <w:pict>
        <v:line id="_x0000_s1029" o:spid="_x0000_s1029" o:spt="20" style="position:absolute;left:0pt;margin-left:-0.4pt;margin-top:776.95pt;height:0pt;width:439.95pt;mso-position-vertical-relative:page;z-index:-251655168;mso-width-relative:page;mso-height-relative:page;" stroked="t" coordsize="21600,21600"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4JLvNQAAAALAQAADwAAAAAAAAABACAAAAAiAAAAZHJzL2Rvd25yZXYueG1sUEsBAhQAFAAAAAgA&#10;h07iQOFVCq+3AQAAOwMAAA4AAAAAAAAAAQAgAAAAIwEAAGRycy9lMm9Eb2MueG1sUEsFBgAAAAAG&#10;AAYAWQEAAEwFAAAAAA==&#10;">
          <v:path arrowok="t"/>
          <v:fill focussize="0,0"/>
          <v:stroke weight="1.75pt" color="#C3AD72"/>
          <v:imagedata o:title=""/>
          <o:lock v:ext="edit"/>
        </v:line>
      </w:pict>
    </w:r>
  </w:p>
  <w:p>
    <w:pPr>
      <w:tabs>
        <w:tab w:val="left" w:pos="1811"/>
      </w:tabs>
    </w:pPr>
    <w:r>
      <w:pict>
        <v:group id="_x0000_s1025" o:spid="_x0000_s1025" o:spt="203" style="position:absolute;left:0pt;margin-left:0pt;margin-top:75.15pt;height:0pt;width:439.35pt;mso-position-horizontal-relative:margin;mso-position-vertical-relative:page;z-index:-251654144;mso-width-relative:page;mso-height-relative:page;" coordorigin="1,0" coordsize="0,20320" o:gfxdata="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exTvu1gAAAAgBAAAPAAAAAAAAAAEA&#10;IAAAACIAAABkcnMvZG93bnJldi54bWxQSwECFAAUAAAACACHTuJAVG4+T7wCAADmCAAADgAAAAAA&#10;AAABACAAAAAlAQAAZHJzL2Uyb0RvYy54bWxQSwUGAAAAAAYABgBZAQAAUwYAAAAA&#10;">
          <o:lock v:ext="edit"/>
          <v:line id="_x0000_s1028" o:spid="_x0000_s1028" o:spt="20" style="position:absolute;left:1;top:0;height:0;width:0;" stroked="t" coordsize="21600,21600" o:gfxdata="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Yu74A&#10;AADbAAAADwAAAAAAAAABACAAAAAiAAAAZHJzL2Rvd25yZXYueG1sUEsBAhQAFAAAAAgAh07iQDMv&#10;BZ47AAAAOQAAABAAAAAAAAAAAQAgAAAADQEAAGRycy9zaGFwZXhtbC54bWxQSwUGAAAAAAYABgBb&#10;AQAAtwMAAAAA&#10;">
            <v:path arrowok="t"/>
            <v:fill focussize="0,0"/>
            <v:stroke weight="4.5pt" color="#C3AD72" joinstyle="miter"/>
            <v:imagedata o:title=""/>
            <o:lock v:ext="edit"/>
          </v:line>
          <v:line id="_x0000_s1027" o:spid="_x0000_s1027" o:spt="20" style="position:absolute;left:1;top:0;height:0;width:1;" stroked="t" coordsize="21600,21600" o:gfxdata="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qg22AAAA2wAAAA8A&#10;AAAAAAAAAQAgAAAAIgAAAGRycy9kb3ducmV2LnhtbFBLAQIUABQAAAAIAIdO4kAzLwWeOwAAADkA&#10;AAAQAAAAAAAAAAEAIAAAAAUBAABkcnMvc2hhcGV4bWwueG1sUEsFBgAAAAAGAAYAWwEAAK8DAAAA&#10;AA==&#10;">
            <v:path arrowok="t"/>
            <v:fill focussize="0,0"/>
            <v:stroke weight="4.5pt" color="#808080" joinstyle="miter"/>
            <v:imagedata o:title=""/>
            <o:lock v:ext="edit"/>
          </v:line>
          <v:line id="_x0000_s1026" o:spid="_x0000_s1026" o:spt="20" style="position:absolute;left:1;top:0;flip:y;height:0;width:0;" stroked="t" coordsize="21600,21600" o:gfxdata="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fq74A&#10;AADbAAAADwAAAAAAAAABACAAAAAiAAAAZHJzL2Rvd25yZXYueG1sUEsBAhQAFAAAAAgAh07iQDMv&#10;BZ47AAAAOQAAABAAAAAAAAAAAQAgAAAADQEAAGRycy9zaGFwZXhtbC54bWxQSwUGAAAAAAYABgBb&#10;AQAAtwMAAAAA&#10;">
            <v:path arrowok="t"/>
            <v:fill focussize="0,0"/>
            <v:stroke weight="4.5pt" color="#A6A6A6" joinstyle="miter"/>
            <v:imagedata o:title=""/>
            <o:lock v:ext="edit"/>
          </v:line>
        </v:group>
      </w:pict>
    </w:r>
    <w:r>
      <w:tab/>
    </w:r>
    <w:r>
      <w:pict>
        <v:group id="_x0000_s1043" o:spid="_x0000_s1043" o:spt="203" style="position:absolute;left:0pt;margin-left:5.7pt;margin-top:75.15pt;height:0pt;width:439.35pt;mso-position-horizontal-relative:margin;mso-position-vertical-relative:page;z-index:-251651072;mso-width-relative:page;mso-height-relative:page;" coordorigin="14100,1692" coordsize="8845,203203" o:gfxdata="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exTvu1gAAAAgBAAAPAAAAAAAAAAEAIAAAACIA&#10;AABkcnMvZG93bnJldi54bWxQSwECFAAUAAAACACHTuJAe3D0GbYCAACuCAAADgAAAAAAAAABACAA&#10;AAAlAQAAZHJzL2Uyb0RvYy54bWxQSwUGAAAAAAYABgBZAQAATQYAAAAA&#10;">
          <o:lock v:ext="edit"/>
          <v:line id="_x0000_s1044" o:spid="_x0000_s1044" o:spt="20" style="position:absolute;left:14100;top:1692;height:0;width:4209;" stroked="t" coordsize="21600,21600" o:gfxdata="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Yu74A&#10;AADbAAAADwAAAAAAAAABACAAAAAiAAAAZHJzL2Rvd25yZXYueG1sUEsBAhQAFAAAAAgAh07iQDMv&#10;BZ47AAAAOQAAABAAAAAAAAAAAQAgAAAADQEAAGRycy9zaGFwZXhtbC54bWxQSwUGAAAAAAYABgBb&#10;AQAAtwMAAAAA&#10;">
            <v:path arrowok="t"/>
            <v:fill focussize="0,0"/>
            <v:stroke weight="4.5pt" color="#C3AD72" joinstyle="miter"/>
            <v:imagedata o:title=""/>
            <o:lock v:ext="edit"/>
          </v:line>
          <v:line id="_x0000_s1045" o:spid="_x0000_s1045" o:spt="20" style="position:absolute;left:18594;top:1692;height:0;width:4351;" stroked="t" coordsize="21600,21600" o:gfxdata="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qg22AAAA2wAAAA8A&#10;AAAAAAAAAQAgAAAAIgAAAGRycy9kb3ducmV2LnhtbFBLAQIUABQAAAAIAIdO4kAzLwWeOwAAADkA&#10;AAAQAAAAAAAAAAEAIAAAAAUBAABkcnMvc2hhcGV4bWwueG1sUEsFBgAAAAAGAAYAWwEAAK8DAAAA&#10;AA==&#10;">
            <v:path arrowok="t"/>
            <v:fill focussize="0,0"/>
            <v:stroke weight="4.5pt" color="#808080" joinstyle="miter"/>
            <v:imagedata o:title=""/>
            <o:lock v:ext="edit"/>
          </v:line>
          <v:line id="_x0000_s1046" o:spid="_x0000_s1046" o:spt="20" style="position:absolute;left:17089;top:1692;flip:y;height:0;width:1522;" stroked="t" coordsize="21600,21600" o:gfxdata="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fq74A&#10;AADbAAAADwAAAAAAAAABACAAAAAiAAAAZHJzL2Rvd25yZXYueG1sUEsBAhQAFAAAAAgAh07iQDMv&#10;BZ47AAAAOQAAABAAAAAAAAAAAQAgAAAADQEAAGRycy9zaGFwZXhtbC54bWxQSwUGAAAAAAYABgBb&#10;AQAAtwMAAAAA&#10;">
            <v:path arrowok="t"/>
            <v:fill focussize="0,0"/>
            <v:stroke weight="4.5pt" color="#A6A6A6" joinstyle="miter"/>
            <v:imagedata o:title=""/>
            <o:lock v:ext="edit"/>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51FD5"/>
    <w:multiLevelType w:val="singleLevel"/>
    <w:tmpl w:val="96651FD5"/>
    <w:lvl w:ilvl="0" w:tentative="0">
      <w:start w:val="1"/>
      <w:numFmt w:val="chineseCounting"/>
      <w:suff w:val="nothing"/>
      <w:lvlText w:val="（%1）"/>
      <w:lvlJc w:val="left"/>
      <w:pPr>
        <w:ind w:left="0" w:firstLine="420"/>
      </w:pPr>
      <w:rPr>
        <w:rFonts w:hint="eastAsia" w:eastAsia="微软雅黑"/>
      </w:rPr>
    </w:lvl>
  </w:abstractNum>
  <w:abstractNum w:abstractNumId="1">
    <w:nsid w:val="B63258F0"/>
    <w:multiLevelType w:val="singleLevel"/>
    <w:tmpl w:val="B63258F0"/>
    <w:lvl w:ilvl="0" w:tentative="0">
      <w:start w:val="1"/>
      <w:numFmt w:val="decimal"/>
      <w:suff w:val="nothing"/>
      <w:lvlText w:val="%1．"/>
      <w:lvlJc w:val="left"/>
      <w:pPr>
        <w:ind w:left="0" w:firstLine="403"/>
      </w:pPr>
      <w:rPr>
        <w:rFonts w:hint="default" w:eastAsia="微软雅黑"/>
      </w:rPr>
    </w:lvl>
  </w:abstractNum>
  <w:abstractNum w:abstractNumId="2">
    <w:nsid w:val="BE0DD1D4"/>
    <w:multiLevelType w:val="singleLevel"/>
    <w:tmpl w:val="BE0DD1D4"/>
    <w:lvl w:ilvl="0" w:tentative="0">
      <w:start w:val="1"/>
      <w:numFmt w:val="chineseCounting"/>
      <w:suff w:val="nothing"/>
      <w:lvlText w:val="（%1）"/>
      <w:lvlJc w:val="left"/>
      <w:pPr>
        <w:ind w:left="0" w:firstLine="420"/>
      </w:pPr>
      <w:rPr>
        <w:rFonts w:hint="eastAsia" w:eastAsia="微软雅黑"/>
      </w:rPr>
    </w:lvl>
  </w:abstractNum>
  <w:abstractNum w:abstractNumId="3">
    <w:nsid w:val="C27DE378"/>
    <w:multiLevelType w:val="singleLevel"/>
    <w:tmpl w:val="C27DE378"/>
    <w:lvl w:ilvl="0" w:tentative="0">
      <w:start w:val="1"/>
      <w:numFmt w:val="chineseCounting"/>
      <w:suff w:val="nothing"/>
      <w:lvlText w:val="（%1）"/>
      <w:lvlJc w:val="left"/>
      <w:rPr>
        <w:rFonts w:hint="eastAsia"/>
      </w:rPr>
    </w:lvl>
  </w:abstractNum>
  <w:abstractNum w:abstractNumId="4">
    <w:nsid w:val="11A52BEC"/>
    <w:multiLevelType w:val="multilevel"/>
    <w:tmpl w:val="11A52BEC"/>
    <w:lvl w:ilvl="0" w:tentative="0">
      <w:start w:val="1"/>
      <w:numFmt w:val="chineseCountingThousand"/>
      <w:lvlText w:val="%1、"/>
      <w:lvlJc w:val="left"/>
      <w:pPr>
        <w:tabs>
          <w:tab w:val="left" w:pos="0"/>
        </w:tabs>
        <w:ind w:left="0" w:firstLine="420"/>
      </w:pPr>
      <w:rPr>
        <w:rFonts w:hint="eastAsia"/>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D7929CD"/>
    <w:multiLevelType w:val="singleLevel"/>
    <w:tmpl w:val="1D7929CD"/>
    <w:lvl w:ilvl="0" w:tentative="0">
      <w:start w:val="1"/>
      <w:numFmt w:val="chineseCounting"/>
      <w:suff w:val="nothing"/>
      <w:lvlText w:val="（%1）"/>
      <w:lvlJc w:val="left"/>
      <w:pPr>
        <w:ind w:left="0" w:firstLine="420"/>
      </w:pPr>
      <w:rPr>
        <w:rFonts w:hint="eastAsia" w:eastAsia="微软雅黑"/>
      </w:rPr>
    </w:lvl>
  </w:abstractNum>
  <w:abstractNum w:abstractNumId="6">
    <w:nsid w:val="295A0D0B"/>
    <w:multiLevelType w:val="multilevel"/>
    <w:tmpl w:val="295A0D0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C724C27"/>
    <w:multiLevelType w:val="multilevel"/>
    <w:tmpl w:val="2C724C27"/>
    <w:lvl w:ilvl="0" w:tentative="0">
      <w:start w:val="1"/>
      <w:numFmt w:val="chineseCountingThousand"/>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CEE9543"/>
    <w:multiLevelType w:val="singleLevel"/>
    <w:tmpl w:val="2CEE9543"/>
    <w:lvl w:ilvl="0" w:tentative="0">
      <w:start w:val="6"/>
      <w:numFmt w:val="chineseCounting"/>
      <w:suff w:val="nothing"/>
      <w:lvlText w:val="%1、"/>
      <w:lvlJc w:val="left"/>
      <w:rPr>
        <w:rFonts w:hint="eastAsia"/>
      </w:rPr>
    </w:lvl>
  </w:abstractNum>
  <w:abstractNum w:abstractNumId="9">
    <w:nsid w:val="2D984916"/>
    <w:multiLevelType w:val="multilevel"/>
    <w:tmpl w:val="2D984916"/>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4B83F9D"/>
    <w:multiLevelType w:val="multilevel"/>
    <w:tmpl w:val="34B83F9D"/>
    <w:lvl w:ilvl="0" w:tentative="0">
      <w:start w:val="1"/>
      <w:numFmt w:val="chineseCountingThousand"/>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9C06D14"/>
    <w:multiLevelType w:val="multilevel"/>
    <w:tmpl w:val="59C06D14"/>
    <w:lvl w:ilvl="0" w:tentative="0">
      <w:start w:val="1"/>
      <w:numFmt w:val="decimal"/>
      <w:lvlText w:val="%1."/>
      <w:lvlJc w:val="left"/>
      <w:pPr>
        <w:ind w:left="840" w:hanging="420"/>
      </w:pPr>
      <w:rPr>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62CB5B3F"/>
    <w:multiLevelType w:val="multilevel"/>
    <w:tmpl w:val="62CB5B3F"/>
    <w:lvl w:ilvl="0" w:tentative="0">
      <w:start w:val="1"/>
      <w:numFmt w:val="chineseCountingThousand"/>
      <w:lvlText w:val="%1、"/>
      <w:lvlJc w:val="left"/>
      <w:pPr>
        <w:ind w:left="840" w:hanging="420"/>
      </w:pPr>
      <w:rPr>
        <w:rFonts w:hint="eastAsia" w:ascii="微软雅黑" w:hAnsi="微软雅黑" w:eastAsia="微软雅黑"/>
        <w:b w:val="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699665BF"/>
    <w:multiLevelType w:val="multilevel"/>
    <w:tmpl w:val="699665B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7"/>
  </w:num>
  <w:num w:numId="3">
    <w:abstractNumId w:val="0"/>
  </w:num>
  <w:num w:numId="4">
    <w:abstractNumId w:val="8"/>
  </w:num>
  <w:num w:numId="5">
    <w:abstractNumId w:val="5"/>
  </w:num>
  <w:num w:numId="6">
    <w:abstractNumId w:val="2"/>
  </w:num>
  <w:num w:numId="7">
    <w:abstractNumId w:val="9"/>
  </w:num>
  <w:num w:numId="8">
    <w:abstractNumId w:val="10"/>
  </w:num>
  <w:num w:numId="9">
    <w:abstractNumId w:val="6"/>
  </w:num>
  <w:num w:numId="10">
    <w:abstractNumId w:val="11"/>
  </w:num>
  <w:num w:numId="11">
    <w:abstractNumId w:val="13"/>
  </w:num>
  <w:num w:numId="12">
    <w:abstractNumId w:val="1"/>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gzNjU1ZGEwMWVjODA1ODIyNTRjMGZhNGE1ZWNhOTEifQ=="/>
  </w:docVars>
  <w:rsids>
    <w:rsidRoot w:val="0097449A"/>
    <w:rsid w:val="000E736E"/>
    <w:rsid w:val="001F5CDB"/>
    <w:rsid w:val="002D6131"/>
    <w:rsid w:val="002F213D"/>
    <w:rsid w:val="003C2EA3"/>
    <w:rsid w:val="004B79F4"/>
    <w:rsid w:val="00502FAA"/>
    <w:rsid w:val="00534B81"/>
    <w:rsid w:val="00585EAB"/>
    <w:rsid w:val="005B3E32"/>
    <w:rsid w:val="005C2FD4"/>
    <w:rsid w:val="005C3CEB"/>
    <w:rsid w:val="006D2710"/>
    <w:rsid w:val="008458EB"/>
    <w:rsid w:val="009543FA"/>
    <w:rsid w:val="0097449A"/>
    <w:rsid w:val="00A623E7"/>
    <w:rsid w:val="00B43EDD"/>
    <w:rsid w:val="00B97417"/>
    <w:rsid w:val="00BC2A78"/>
    <w:rsid w:val="00BE37D3"/>
    <w:rsid w:val="00C10E55"/>
    <w:rsid w:val="00C47500"/>
    <w:rsid w:val="00C67607"/>
    <w:rsid w:val="00C75D86"/>
    <w:rsid w:val="00CF3970"/>
    <w:rsid w:val="00D0260B"/>
    <w:rsid w:val="00DF66E2"/>
    <w:rsid w:val="00E757A0"/>
    <w:rsid w:val="00F17D34"/>
    <w:rsid w:val="00F4039E"/>
    <w:rsid w:val="00F43D50"/>
    <w:rsid w:val="00F84F87"/>
    <w:rsid w:val="01D73E9E"/>
    <w:rsid w:val="0225572D"/>
    <w:rsid w:val="02694328"/>
    <w:rsid w:val="02952554"/>
    <w:rsid w:val="03472158"/>
    <w:rsid w:val="03A91DE1"/>
    <w:rsid w:val="03C30842"/>
    <w:rsid w:val="03F147AC"/>
    <w:rsid w:val="04A65355"/>
    <w:rsid w:val="04F327E9"/>
    <w:rsid w:val="058E43DF"/>
    <w:rsid w:val="059A7534"/>
    <w:rsid w:val="060925E7"/>
    <w:rsid w:val="06A20BD7"/>
    <w:rsid w:val="06CC0CA3"/>
    <w:rsid w:val="07C42978"/>
    <w:rsid w:val="07CA4C73"/>
    <w:rsid w:val="08674686"/>
    <w:rsid w:val="08E0159B"/>
    <w:rsid w:val="092C7268"/>
    <w:rsid w:val="093734CB"/>
    <w:rsid w:val="093A27CB"/>
    <w:rsid w:val="09467134"/>
    <w:rsid w:val="09787BF9"/>
    <w:rsid w:val="09D058EC"/>
    <w:rsid w:val="0A137B86"/>
    <w:rsid w:val="0A972C43"/>
    <w:rsid w:val="0B4C125D"/>
    <w:rsid w:val="0BF368A0"/>
    <w:rsid w:val="0C0567CE"/>
    <w:rsid w:val="0C5053CB"/>
    <w:rsid w:val="0C89562C"/>
    <w:rsid w:val="0CBA065E"/>
    <w:rsid w:val="0CEB0979"/>
    <w:rsid w:val="0CEB1E57"/>
    <w:rsid w:val="0CEF504A"/>
    <w:rsid w:val="0CF34A10"/>
    <w:rsid w:val="0D0E7A69"/>
    <w:rsid w:val="0DB56C6C"/>
    <w:rsid w:val="0E9B2EC6"/>
    <w:rsid w:val="0F454C7E"/>
    <w:rsid w:val="0FD81CAA"/>
    <w:rsid w:val="0FF179C2"/>
    <w:rsid w:val="112361E8"/>
    <w:rsid w:val="12306C68"/>
    <w:rsid w:val="12D92DCC"/>
    <w:rsid w:val="1419134B"/>
    <w:rsid w:val="14710AD2"/>
    <w:rsid w:val="149C4DED"/>
    <w:rsid w:val="14AD6D4E"/>
    <w:rsid w:val="14B53F17"/>
    <w:rsid w:val="15917DB6"/>
    <w:rsid w:val="15EA7917"/>
    <w:rsid w:val="169F38DE"/>
    <w:rsid w:val="16A006BE"/>
    <w:rsid w:val="16FA696A"/>
    <w:rsid w:val="17004BCC"/>
    <w:rsid w:val="17641A28"/>
    <w:rsid w:val="17651A20"/>
    <w:rsid w:val="18136C13"/>
    <w:rsid w:val="18924B4D"/>
    <w:rsid w:val="19121BA1"/>
    <w:rsid w:val="195D494B"/>
    <w:rsid w:val="19CE7274"/>
    <w:rsid w:val="19F921F3"/>
    <w:rsid w:val="1A793C0A"/>
    <w:rsid w:val="1A9A60F6"/>
    <w:rsid w:val="1AE44D46"/>
    <w:rsid w:val="1AEB2462"/>
    <w:rsid w:val="1B8D4B8F"/>
    <w:rsid w:val="1BAD2C92"/>
    <w:rsid w:val="1BCB6D9B"/>
    <w:rsid w:val="1C2007F3"/>
    <w:rsid w:val="1C4A4BF6"/>
    <w:rsid w:val="1CE853C5"/>
    <w:rsid w:val="1D3E58B2"/>
    <w:rsid w:val="1E004204"/>
    <w:rsid w:val="1E7F37A4"/>
    <w:rsid w:val="1EE7145C"/>
    <w:rsid w:val="1F3E5D7E"/>
    <w:rsid w:val="1F600B7D"/>
    <w:rsid w:val="1F8548DF"/>
    <w:rsid w:val="1FD44170"/>
    <w:rsid w:val="1FEB76D0"/>
    <w:rsid w:val="1FF77E80"/>
    <w:rsid w:val="201955F1"/>
    <w:rsid w:val="206A6213"/>
    <w:rsid w:val="20A37102"/>
    <w:rsid w:val="20AD52D4"/>
    <w:rsid w:val="20C87760"/>
    <w:rsid w:val="21EB3060"/>
    <w:rsid w:val="22521B34"/>
    <w:rsid w:val="22573F67"/>
    <w:rsid w:val="227B47F6"/>
    <w:rsid w:val="22D12DFF"/>
    <w:rsid w:val="22F33691"/>
    <w:rsid w:val="232D3066"/>
    <w:rsid w:val="2344660D"/>
    <w:rsid w:val="243220F8"/>
    <w:rsid w:val="254C0E38"/>
    <w:rsid w:val="255A0C3F"/>
    <w:rsid w:val="25B17A45"/>
    <w:rsid w:val="2625429F"/>
    <w:rsid w:val="2642603D"/>
    <w:rsid w:val="26FD12E4"/>
    <w:rsid w:val="271C18DA"/>
    <w:rsid w:val="272452DD"/>
    <w:rsid w:val="27552A5E"/>
    <w:rsid w:val="27AF5E77"/>
    <w:rsid w:val="28627469"/>
    <w:rsid w:val="287715D8"/>
    <w:rsid w:val="28EA2661"/>
    <w:rsid w:val="29481D6D"/>
    <w:rsid w:val="2975614A"/>
    <w:rsid w:val="29F20B49"/>
    <w:rsid w:val="2A27578A"/>
    <w:rsid w:val="2A6E24CD"/>
    <w:rsid w:val="2A7A0E8A"/>
    <w:rsid w:val="2AD96EDD"/>
    <w:rsid w:val="2B18450E"/>
    <w:rsid w:val="2BAD1BB2"/>
    <w:rsid w:val="2BB76337"/>
    <w:rsid w:val="2BFA7A01"/>
    <w:rsid w:val="2C157E81"/>
    <w:rsid w:val="2C8B38AB"/>
    <w:rsid w:val="2CC338BC"/>
    <w:rsid w:val="2D117F65"/>
    <w:rsid w:val="2D126F2E"/>
    <w:rsid w:val="2D1D7907"/>
    <w:rsid w:val="2D552704"/>
    <w:rsid w:val="2DA4060D"/>
    <w:rsid w:val="2DB06D02"/>
    <w:rsid w:val="2E2F1046"/>
    <w:rsid w:val="2E5C3AC6"/>
    <w:rsid w:val="2E8F6228"/>
    <w:rsid w:val="2EFD1E75"/>
    <w:rsid w:val="2FE14059"/>
    <w:rsid w:val="2FFF266E"/>
    <w:rsid w:val="30426F7F"/>
    <w:rsid w:val="304B46C7"/>
    <w:rsid w:val="308856F0"/>
    <w:rsid w:val="30A012F9"/>
    <w:rsid w:val="30CB2E5D"/>
    <w:rsid w:val="30D80D32"/>
    <w:rsid w:val="30E12486"/>
    <w:rsid w:val="30F45A3E"/>
    <w:rsid w:val="328B5900"/>
    <w:rsid w:val="32A7516C"/>
    <w:rsid w:val="33383E62"/>
    <w:rsid w:val="34FE54D9"/>
    <w:rsid w:val="3590530F"/>
    <w:rsid w:val="35CB4D7F"/>
    <w:rsid w:val="35DF7ABE"/>
    <w:rsid w:val="36B57C5A"/>
    <w:rsid w:val="36E31D0E"/>
    <w:rsid w:val="37592DF2"/>
    <w:rsid w:val="37B1089B"/>
    <w:rsid w:val="37CD782A"/>
    <w:rsid w:val="37D855BA"/>
    <w:rsid w:val="37DE1117"/>
    <w:rsid w:val="380E25C7"/>
    <w:rsid w:val="38866C8D"/>
    <w:rsid w:val="39277A29"/>
    <w:rsid w:val="394A0260"/>
    <w:rsid w:val="39872F76"/>
    <w:rsid w:val="3A2E19A7"/>
    <w:rsid w:val="3A8C1059"/>
    <w:rsid w:val="3ADE3518"/>
    <w:rsid w:val="3AE346CF"/>
    <w:rsid w:val="3B373F65"/>
    <w:rsid w:val="3B8D6AEC"/>
    <w:rsid w:val="3BA30E27"/>
    <w:rsid w:val="3C05636E"/>
    <w:rsid w:val="3C363D83"/>
    <w:rsid w:val="3C545320"/>
    <w:rsid w:val="3C5462B4"/>
    <w:rsid w:val="3D1B05D4"/>
    <w:rsid w:val="3D60527D"/>
    <w:rsid w:val="3E2047EF"/>
    <w:rsid w:val="3EB20097"/>
    <w:rsid w:val="3EDF3C82"/>
    <w:rsid w:val="3F4E58C0"/>
    <w:rsid w:val="3F757CF7"/>
    <w:rsid w:val="40A44C03"/>
    <w:rsid w:val="40A70BBC"/>
    <w:rsid w:val="40DA4011"/>
    <w:rsid w:val="410652FC"/>
    <w:rsid w:val="414F32A7"/>
    <w:rsid w:val="417116E0"/>
    <w:rsid w:val="417277FD"/>
    <w:rsid w:val="41AE3381"/>
    <w:rsid w:val="41EB0D85"/>
    <w:rsid w:val="42247E02"/>
    <w:rsid w:val="425176BD"/>
    <w:rsid w:val="42721783"/>
    <w:rsid w:val="42A73B0E"/>
    <w:rsid w:val="42F56341"/>
    <w:rsid w:val="43DC058F"/>
    <w:rsid w:val="440C6167"/>
    <w:rsid w:val="4555160D"/>
    <w:rsid w:val="468A214F"/>
    <w:rsid w:val="46D30AA3"/>
    <w:rsid w:val="47595A73"/>
    <w:rsid w:val="47BA5E32"/>
    <w:rsid w:val="47E1165C"/>
    <w:rsid w:val="47E252C0"/>
    <w:rsid w:val="47E27198"/>
    <w:rsid w:val="47F80AF4"/>
    <w:rsid w:val="491855EA"/>
    <w:rsid w:val="493F230D"/>
    <w:rsid w:val="49FA67EB"/>
    <w:rsid w:val="4A862448"/>
    <w:rsid w:val="4A9232A4"/>
    <w:rsid w:val="4B04584C"/>
    <w:rsid w:val="4B2116CE"/>
    <w:rsid w:val="4B6A45AC"/>
    <w:rsid w:val="4BC436B6"/>
    <w:rsid w:val="4BFC4C13"/>
    <w:rsid w:val="4C3311E5"/>
    <w:rsid w:val="4C637355"/>
    <w:rsid w:val="4D585515"/>
    <w:rsid w:val="4DB2501C"/>
    <w:rsid w:val="4DEE57D1"/>
    <w:rsid w:val="4E426336"/>
    <w:rsid w:val="4E5E6F30"/>
    <w:rsid w:val="4E85793C"/>
    <w:rsid w:val="4FA15887"/>
    <w:rsid w:val="4FD25C3F"/>
    <w:rsid w:val="50482A9A"/>
    <w:rsid w:val="50C63490"/>
    <w:rsid w:val="50E72933"/>
    <w:rsid w:val="5110354C"/>
    <w:rsid w:val="518E4E56"/>
    <w:rsid w:val="51B105B8"/>
    <w:rsid w:val="51DB5ABD"/>
    <w:rsid w:val="522F64B8"/>
    <w:rsid w:val="52921FBD"/>
    <w:rsid w:val="52E8557B"/>
    <w:rsid w:val="532F190A"/>
    <w:rsid w:val="53E2520A"/>
    <w:rsid w:val="53F877AC"/>
    <w:rsid w:val="53FC6A1E"/>
    <w:rsid w:val="547815F0"/>
    <w:rsid w:val="5495703C"/>
    <w:rsid w:val="54AF55C4"/>
    <w:rsid w:val="556B1592"/>
    <w:rsid w:val="55FB01B1"/>
    <w:rsid w:val="56520B54"/>
    <w:rsid w:val="56AE435A"/>
    <w:rsid w:val="56F15552"/>
    <w:rsid w:val="57543426"/>
    <w:rsid w:val="576167E2"/>
    <w:rsid w:val="57AD1BE1"/>
    <w:rsid w:val="5808773F"/>
    <w:rsid w:val="58177B53"/>
    <w:rsid w:val="5869046C"/>
    <w:rsid w:val="58AC16A4"/>
    <w:rsid w:val="593F72B8"/>
    <w:rsid w:val="59475804"/>
    <w:rsid w:val="59F11963"/>
    <w:rsid w:val="59F73F8A"/>
    <w:rsid w:val="59FA7D07"/>
    <w:rsid w:val="5A0F5B85"/>
    <w:rsid w:val="5ADE245A"/>
    <w:rsid w:val="5B1F19EF"/>
    <w:rsid w:val="5B310C2D"/>
    <w:rsid w:val="5CAE12CF"/>
    <w:rsid w:val="5D0529D1"/>
    <w:rsid w:val="5D185ADA"/>
    <w:rsid w:val="5D8069C2"/>
    <w:rsid w:val="5D9B44C6"/>
    <w:rsid w:val="5DD32B71"/>
    <w:rsid w:val="5DD66A40"/>
    <w:rsid w:val="5DD978CF"/>
    <w:rsid w:val="5DEA61CB"/>
    <w:rsid w:val="5DED49F0"/>
    <w:rsid w:val="5E69774C"/>
    <w:rsid w:val="5F1A03A4"/>
    <w:rsid w:val="5F6F3154"/>
    <w:rsid w:val="6283787D"/>
    <w:rsid w:val="62B7146C"/>
    <w:rsid w:val="62C5559E"/>
    <w:rsid w:val="63063B36"/>
    <w:rsid w:val="63661BEC"/>
    <w:rsid w:val="63A8223E"/>
    <w:rsid w:val="63B370AC"/>
    <w:rsid w:val="63F2302F"/>
    <w:rsid w:val="640F3748"/>
    <w:rsid w:val="641407FA"/>
    <w:rsid w:val="64905CD6"/>
    <w:rsid w:val="64E313C3"/>
    <w:rsid w:val="65B17A4E"/>
    <w:rsid w:val="66190428"/>
    <w:rsid w:val="66353D2C"/>
    <w:rsid w:val="66A16CEE"/>
    <w:rsid w:val="672654B5"/>
    <w:rsid w:val="674F6BFD"/>
    <w:rsid w:val="68427352"/>
    <w:rsid w:val="687A2FE5"/>
    <w:rsid w:val="692B2FBE"/>
    <w:rsid w:val="693E01C7"/>
    <w:rsid w:val="69B0774A"/>
    <w:rsid w:val="69CF5C3C"/>
    <w:rsid w:val="6ADF3A43"/>
    <w:rsid w:val="6B297CCA"/>
    <w:rsid w:val="6BA31BDD"/>
    <w:rsid w:val="6BEA3CBA"/>
    <w:rsid w:val="6C234C48"/>
    <w:rsid w:val="6C684AC7"/>
    <w:rsid w:val="6C751755"/>
    <w:rsid w:val="6C82531E"/>
    <w:rsid w:val="6C9F5A1D"/>
    <w:rsid w:val="6CCC23E2"/>
    <w:rsid w:val="6D011267"/>
    <w:rsid w:val="6DDC4181"/>
    <w:rsid w:val="6F994160"/>
    <w:rsid w:val="705F660A"/>
    <w:rsid w:val="70616ECF"/>
    <w:rsid w:val="70893770"/>
    <w:rsid w:val="709927CD"/>
    <w:rsid w:val="709A6F01"/>
    <w:rsid w:val="70A63050"/>
    <w:rsid w:val="70B266D1"/>
    <w:rsid w:val="71402B01"/>
    <w:rsid w:val="715F38D8"/>
    <w:rsid w:val="71864485"/>
    <w:rsid w:val="722B39EA"/>
    <w:rsid w:val="729672A6"/>
    <w:rsid w:val="72A5555B"/>
    <w:rsid w:val="73301FFB"/>
    <w:rsid w:val="73687E9D"/>
    <w:rsid w:val="736F71F7"/>
    <w:rsid w:val="737A40E0"/>
    <w:rsid w:val="737D5A2E"/>
    <w:rsid w:val="738A63D1"/>
    <w:rsid w:val="739B704F"/>
    <w:rsid w:val="73BB1B96"/>
    <w:rsid w:val="73F548CD"/>
    <w:rsid w:val="75797854"/>
    <w:rsid w:val="7598166E"/>
    <w:rsid w:val="75AE3711"/>
    <w:rsid w:val="767A5CAA"/>
    <w:rsid w:val="76A76FD1"/>
    <w:rsid w:val="76C55FB6"/>
    <w:rsid w:val="76EA1012"/>
    <w:rsid w:val="771D115E"/>
    <w:rsid w:val="774631AC"/>
    <w:rsid w:val="774E7FB0"/>
    <w:rsid w:val="77586827"/>
    <w:rsid w:val="77593FE6"/>
    <w:rsid w:val="776E39F1"/>
    <w:rsid w:val="78455C42"/>
    <w:rsid w:val="78590856"/>
    <w:rsid w:val="78EA16A3"/>
    <w:rsid w:val="794C3CFF"/>
    <w:rsid w:val="79BB76AC"/>
    <w:rsid w:val="7A2A4C46"/>
    <w:rsid w:val="7AF90563"/>
    <w:rsid w:val="7B3531E4"/>
    <w:rsid w:val="7B7F679F"/>
    <w:rsid w:val="7C7C7E8D"/>
    <w:rsid w:val="7CA85E82"/>
    <w:rsid w:val="7D04014F"/>
    <w:rsid w:val="7D323235"/>
    <w:rsid w:val="7F1B7025"/>
    <w:rsid w:val="7F6D7888"/>
    <w:rsid w:val="7FB36334"/>
    <w:rsid w:val="7FD642D7"/>
    <w:rsid w:val="7FD72C37"/>
    <w:rsid w:val="7FE96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0"/>
    <w:qFormat/>
    <w:uiPriority w:val="0"/>
    <w:pPr>
      <w:jc w:val="left"/>
    </w:pPr>
  </w:style>
  <w:style w:type="paragraph" w:styleId="6">
    <w:name w:val="Body Text"/>
    <w:basedOn w:val="1"/>
    <w:qFormat/>
    <w:uiPriority w:val="0"/>
    <w:rPr>
      <w:rFonts w:ascii="Times New Roman" w:hAnsi="Times New Roman" w:eastAsia="宋体"/>
      <w:spacing w:val="20"/>
      <w:sz w:val="24"/>
      <w:szCs w:val="24"/>
    </w:rPr>
  </w:style>
  <w:style w:type="paragraph" w:styleId="7">
    <w:name w:val="Body Text Indent"/>
    <w:basedOn w:val="1"/>
    <w:unhideWhenUsed/>
    <w:qFormat/>
    <w:uiPriority w:val="0"/>
    <w:pPr>
      <w:spacing w:after="120"/>
      <w:ind w:left="420" w:leftChars="200"/>
    </w:pPr>
  </w:style>
  <w:style w:type="paragraph" w:styleId="8">
    <w:name w:val="toc 3"/>
    <w:basedOn w:val="1"/>
    <w:next w:val="1"/>
    <w:unhideWhenUsed/>
    <w:qFormat/>
    <w:uiPriority w:val="39"/>
    <w:pPr>
      <w:tabs>
        <w:tab w:val="left" w:pos="1155"/>
      </w:tabs>
      <w:adjustRightInd w:val="0"/>
      <w:snapToGrid w:val="0"/>
      <w:ind w:left="420"/>
      <w:jc w:val="left"/>
    </w:pPr>
    <w:rPr>
      <w:rFonts w:eastAsia="微软雅黑"/>
      <w:iCs/>
      <w:szCs w:val="20"/>
    </w:rPr>
  </w:style>
  <w:style w:type="paragraph" w:styleId="9">
    <w:name w:val="Plain Text"/>
    <w:basedOn w:val="1"/>
    <w:qFormat/>
    <w:uiPriority w:val="0"/>
    <w:rPr>
      <w:rFonts w:ascii="宋体" w:hAnsi="Courier New" w:eastAsia="宋体"/>
      <w:szCs w:val="20"/>
      <w:lang w:val="zh-CN"/>
    </w:rPr>
  </w:style>
  <w:style w:type="paragraph" w:styleId="10">
    <w:name w:val="Balloon Text"/>
    <w:basedOn w:val="1"/>
    <w:link w:val="34"/>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adjustRightInd w:val="0"/>
      <w:snapToGrid w:val="0"/>
      <w:jc w:val="left"/>
    </w:pPr>
    <w:rPr>
      <w:rFonts w:ascii="微软雅黑" w:hAnsi="微软雅黑" w:eastAsia="微软雅黑"/>
      <w:b/>
      <w:bCs/>
      <w:caps/>
      <w:szCs w:val="20"/>
    </w:rPr>
  </w:style>
  <w:style w:type="paragraph" w:styleId="14">
    <w:name w:val="Body Text Indent 3"/>
    <w:basedOn w:val="1"/>
    <w:qFormat/>
    <w:uiPriority w:val="0"/>
    <w:pPr>
      <w:ind w:firstLine="588"/>
    </w:pPr>
    <w:rPr>
      <w:rFonts w:ascii="仿宋_GB2312" w:hAnsi="Times New Roman" w:eastAsia="仿宋_GB2312"/>
      <w:sz w:val="28"/>
      <w:szCs w:val="20"/>
    </w:rPr>
  </w:style>
  <w:style w:type="paragraph" w:styleId="15">
    <w:name w:val="toc 2"/>
    <w:basedOn w:val="1"/>
    <w:next w:val="1"/>
    <w:unhideWhenUsed/>
    <w:qFormat/>
    <w:uiPriority w:val="39"/>
    <w:pPr>
      <w:adjustRightInd w:val="0"/>
      <w:snapToGrid w:val="0"/>
      <w:ind w:firstLine="200" w:firstLineChars="200"/>
      <w:jc w:val="left"/>
    </w:pPr>
    <w:rPr>
      <w:rFonts w:ascii="微软雅黑" w:hAnsi="微软雅黑" w:eastAsia="微软雅黑"/>
      <w:smallCaps/>
      <w:szCs w:val="20"/>
    </w:rPr>
  </w:style>
  <w:style w:type="paragraph" w:styleId="16">
    <w:name w:val="annotation subject"/>
    <w:basedOn w:val="5"/>
    <w:next w:val="5"/>
    <w:link w:val="41"/>
    <w:qFormat/>
    <w:uiPriority w:val="0"/>
    <w:rPr>
      <w:b/>
      <w:bCs/>
    </w:rPr>
  </w:style>
  <w:style w:type="table" w:styleId="18">
    <w:name w:val="Table Grid"/>
    <w:basedOn w:val="1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unhideWhenUsed/>
    <w:qFormat/>
    <w:uiPriority w:val="0"/>
  </w:style>
  <w:style w:type="character" w:styleId="21">
    <w:name w:val="Hyperlink"/>
    <w:basedOn w:val="19"/>
    <w:unhideWhenUsed/>
    <w:qFormat/>
    <w:uiPriority w:val="99"/>
    <w:rPr>
      <w:color w:val="0563C1" w:themeColor="hyperlink"/>
      <w:u w:val="single"/>
    </w:rPr>
  </w:style>
  <w:style w:type="character" w:styleId="22">
    <w:name w:val="annotation reference"/>
    <w:basedOn w:val="19"/>
    <w:qFormat/>
    <w:uiPriority w:val="0"/>
    <w:rPr>
      <w:sz w:val="21"/>
      <w:szCs w:val="21"/>
    </w:rPr>
  </w:style>
  <w:style w:type="paragraph" w:customStyle="1" w:styleId="23">
    <w:name w:val="列出段落3"/>
    <w:basedOn w:val="1"/>
    <w:qFormat/>
    <w:uiPriority w:val="34"/>
    <w:pPr>
      <w:ind w:firstLine="420" w:firstLineChars="200"/>
    </w:pPr>
    <w:rPr>
      <w:rFonts w:ascii="Times New Roman" w:hAnsi="Times New Roman" w:eastAsia="宋体"/>
      <w:szCs w:val="24"/>
    </w:rPr>
  </w:style>
  <w:style w:type="paragraph" w:styleId="24">
    <w:name w:val="List Paragraph"/>
    <w:basedOn w:val="1"/>
    <w:qFormat/>
    <w:uiPriority w:val="34"/>
    <w:pPr>
      <w:ind w:firstLine="420" w:firstLineChars="200"/>
    </w:pPr>
    <w:rPr>
      <w:rFonts w:ascii="Times New Roman" w:hAnsi="Times New Roman" w:eastAsia="宋体"/>
      <w:szCs w:val="24"/>
    </w:rPr>
  </w:style>
  <w:style w:type="paragraph" w:customStyle="1" w:styleId="25">
    <w:name w:val="列出段落1"/>
    <w:basedOn w:val="1"/>
    <w:qFormat/>
    <w:uiPriority w:val="99"/>
    <w:pPr>
      <w:ind w:firstLine="420" w:firstLineChars="200"/>
    </w:pPr>
    <w:rPr>
      <w:szCs w:val="24"/>
    </w:rPr>
  </w:style>
  <w:style w:type="paragraph" w:customStyle="1" w:styleId="26">
    <w:name w:val="列出段落5"/>
    <w:basedOn w:val="1"/>
    <w:qFormat/>
    <w:uiPriority w:val="34"/>
    <w:pPr>
      <w:ind w:firstLine="420" w:firstLineChars="200"/>
    </w:pPr>
    <w:rPr>
      <w:szCs w:val="24"/>
    </w:rPr>
  </w:style>
  <w:style w:type="paragraph" w:customStyle="1" w:styleId="27">
    <w:name w:val="列出段落4"/>
    <w:basedOn w:val="1"/>
    <w:qFormat/>
    <w:uiPriority w:val="34"/>
    <w:pPr>
      <w:ind w:firstLine="420" w:firstLineChars="200"/>
    </w:pPr>
    <w:rPr>
      <w:rFonts w:ascii="Times New Roman" w:hAnsi="Times New Roman" w:eastAsia="宋体"/>
      <w:szCs w:val="24"/>
    </w:rPr>
  </w:style>
  <w:style w:type="character" w:customStyle="1" w:styleId="28">
    <w:name w:val="font131"/>
    <w:basedOn w:val="19"/>
    <w:qFormat/>
    <w:uiPriority w:val="0"/>
    <w:rPr>
      <w:rFonts w:hint="eastAsia" w:ascii="宋体" w:hAnsi="宋体" w:eastAsia="宋体" w:cs="宋体"/>
      <w:color w:val="FF0000"/>
      <w:sz w:val="20"/>
      <w:szCs w:val="20"/>
      <w:u w:val="none"/>
    </w:rPr>
  </w:style>
  <w:style w:type="character" w:customStyle="1" w:styleId="29">
    <w:name w:val="font111"/>
    <w:basedOn w:val="19"/>
    <w:qFormat/>
    <w:uiPriority w:val="0"/>
    <w:rPr>
      <w:rFonts w:hint="eastAsia" w:ascii="宋体" w:hAnsi="宋体" w:eastAsia="宋体" w:cs="宋体"/>
      <w:b/>
      <w:color w:val="000000"/>
      <w:sz w:val="20"/>
      <w:szCs w:val="20"/>
      <w:u w:val="none"/>
    </w:rPr>
  </w:style>
  <w:style w:type="character" w:customStyle="1" w:styleId="30">
    <w:name w:val="font51"/>
    <w:basedOn w:val="19"/>
    <w:qFormat/>
    <w:uiPriority w:val="0"/>
    <w:rPr>
      <w:rFonts w:hint="eastAsia" w:ascii="宋体" w:hAnsi="宋体" w:eastAsia="宋体" w:cs="宋体"/>
      <w:b/>
      <w:color w:val="000000"/>
      <w:sz w:val="20"/>
      <w:szCs w:val="20"/>
      <w:u w:val="none"/>
    </w:rPr>
  </w:style>
  <w:style w:type="character" w:customStyle="1" w:styleId="31">
    <w:name w:val="font91"/>
    <w:basedOn w:val="19"/>
    <w:qFormat/>
    <w:uiPriority w:val="0"/>
    <w:rPr>
      <w:rFonts w:hint="default" w:ascii="Times New Roman" w:hAnsi="Times New Roman" w:cs="Times New Roman"/>
      <w:b/>
      <w:color w:val="000000"/>
      <w:sz w:val="20"/>
      <w:szCs w:val="20"/>
      <w:u w:val="none"/>
    </w:rPr>
  </w:style>
  <w:style w:type="character" w:customStyle="1" w:styleId="32">
    <w:name w:val="font11"/>
    <w:basedOn w:val="19"/>
    <w:qFormat/>
    <w:uiPriority w:val="0"/>
    <w:rPr>
      <w:rFonts w:hint="eastAsia" w:ascii="宋体" w:hAnsi="宋体" w:eastAsia="宋体" w:cs="宋体"/>
      <w:color w:val="000000"/>
      <w:sz w:val="20"/>
      <w:szCs w:val="20"/>
      <w:u w:val="none"/>
    </w:rPr>
  </w:style>
  <w:style w:type="character" w:customStyle="1" w:styleId="33">
    <w:name w:val="font01"/>
    <w:basedOn w:val="19"/>
    <w:qFormat/>
    <w:uiPriority w:val="0"/>
    <w:rPr>
      <w:rFonts w:hint="eastAsia" w:ascii="宋体" w:hAnsi="宋体" w:eastAsia="宋体" w:cs="宋体"/>
      <w:color w:val="FF0000"/>
      <w:sz w:val="20"/>
      <w:szCs w:val="20"/>
      <w:u w:val="none"/>
    </w:rPr>
  </w:style>
  <w:style w:type="character" w:customStyle="1" w:styleId="34">
    <w:name w:val="批注框文本 字符"/>
    <w:basedOn w:val="19"/>
    <w:link w:val="10"/>
    <w:qFormat/>
    <w:uiPriority w:val="0"/>
    <w:rPr>
      <w:rFonts w:ascii="等线" w:hAnsi="等线" w:eastAsia="等线"/>
      <w:kern w:val="2"/>
      <w:sz w:val="18"/>
      <w:szCs w:val="18"/>
    </w:rPr>
  </w:style>
  <w:style w:type="character" w:customStyle="1" w:styleId="35">
    <w:name w:val="font71"/>
    <w:basedOn w:val="19"/>
    <w:qFormat/>
    <w:uiPriority w:val="0"/>
    <w:rPr>
      <w:rFonts w:hint="default" w:ascii="Times New Roman" w:hAnsi="Times New Roman" w:cs="Times New Roman"/>
      <w:color w:val="auto"/>
      <w:sz w:val="20"/>
      <w:szCs w:val="20"/>
      <w:u w:val="none"/>
    </w:rPr>
  </w:style>
  <w:style w:type="character" w:customStyle="1" w:styleId="36">
    <w:name w:val="font21"/>
    <w:basedOn w:val="19"/>
    <w:qFormat/>
    <w:uiPriority w:val="0"/>
    <w:rPr>
      <w:rFonts w:hint="default" w:ascii="Times New Roman" w:hAnsi="Times New Roman" w:cs="Times New Roman"/>
      <w:color w:val="000000"/>
      <w:sz w:val="18"/>
      <w:szCs w:val="18"/>
      <w:u w:val="none"/>
    </w:rPr>
  </w:style>
  <w:style w:type="character" w:customStyle="1" w:styleId="37">
    <w:name w:val="font31"/>
    <w:basedOn w:val="19"/>
    <w:qFormat/>
    <w:uiPriority w:val="0"/>
    <w:rPr>
      <w:rFonts w:hint="eastAsia" w:ascii="仿宋" w:hAnsi="仿宋" w:eastAsia="仿宋" w:cs="仿宋"/>
      <w:b/>
      <w:color w:val="000000"/>
      <w:sz w:val="20"/>
      <w:szCs w:val="20"/>
      <w:u w:val="none"/>
    </w:rPr>
  </w:style>
  <w:style w:type="character" w:customStyle="1" w:styleId="38">
    <w:name w:val="font61"/>
    <w:basedOn w:val="19"/>
    <w:qFormat/>
    <w:uiPriority w:val="0"/>
    <w:rPr>
      <w:rFonts w:hint="eastAsia" w:ascii="仿宋" w:hAnsi="仿宋" w:eastAsia="仿宋" w:cs="仿宋"/>
      <w:b/>
      <w:color w:val="000000"/>
      <w:sz w:val="20"/>
      <w:szCs w:val="20"/>
      <w:u w:val="none"/>
    </w:rPr>
  </w:style>
  <w:style w:type="character" w:customStyle="1" w:styleId="39">
    <w:name w:val="font41"/>
    <w:basedOn w:val="19"/>
    <w:qFormat/>
    <w:uiPriority w:val="0"/>
    <w:rPr>
      <w:rFonts w:hint="eastAsia" w:ascii="仿宋" w:hAnsi="仿宋" w:eastAsia="仿宋" w:cs="仿宋"/>
      <w:color w:val="000000"/>
      <w:sz w:val="20"/>
      <w:szCs w:val="20"/>
      <w:u w:val="none"/>
    </w:rPr>
  </w:style>
  <w:style w:type="character" w:customStyle="1" w:styleId="40">
    <w:name w:val="批注文字 字符"/>
    <w:basedOn w:val="19"/>
    <w:link w:val="5"/>
    <w:qFormat/>
    <w:uiPriority w:val="0"/>
    <w:rPr>
      <w:rFonts w:ascii="等线" w:hAnsi="等线" w:eastAsia="等线"/>
      <w:kern w:val="2"/>
      <w:sz w:val="21"/>
      <w:szCs w:val="22"/>
    </w:rPr>
  </w:style>
  <w:style w:type="character" w:customStyle="1" w:styleId="41">
    <w:name w:val="批注主题 字符"/>
    <w:basedOn w:val="40"/>
    <w:link w:val="16"/>
    <w:qFormat/>
    <w:uiPriority w:val="0"/>
    <w:rPr>
      <w:rFonts w:ascii="等线" w:hAnsi="等线" w:eastAsia="等线"/>
      <w:b/>
      <w:bCs/>
      <w:kern w:val="2"/>
      <w:sz w:val="21"/>
      <w:szCs w:val="22"/>
    </w:rPr>
  </w:style>
  <w:style w:type="paragraph" w:customStyle="1" w:styleId="42">
    <w:name w:val="无间隔1"/>
    <w:qFormat/>
    <w:uiPriority w:val="1"/>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7"/>
    <customShpInfo spid="_x0000_s1048"/>
    <customShpInfo spid="_x0000_s1050"/>
    <customShpInfo spid="_x0000_s1051"/>
    <customShpInfo spid="_x0000_s1052"/>
    <customShpInfo spid="_x0000_s1049"/>
    <customShpInfo spid="_x0000_s1030"/>
    <customShpInfo spid="_x0000_s1029"/>
    <customShpInfo spid="_x0000_s1028"/>
    <customShpInfo spid="_x0000_s1027"/>
    <customShpInfo spid="_x0000_s1026"/>
    <customShpInfo spid="_x0000_s1025"/>
    <customShpInfo spid="_x0000_s1044"/>
    <customShpInfo spid="_x0000_s1045"/>
    <customShpInfo spid="_x0000_s1046"/>
    <customShpInfo spid="_x0000_s1043"/>
    <customShpInfo spid="_x0000_s307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ABEB6-771A-46A9-9404-E89C332508A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8707</Words>
  <Characters>9393</Characters>
  <Lines>84</Lines>
  <Paragraphs>23</Paragraphs>
  <TotalTime>7</TotalTime>
  <ScaleCrop>false</ScaleCrop>
  <LinksUpToDate>false</LinksUpToDate>
  <CharactersWithSpaces>9613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Administrator</cp:lastModifiedBy>
  <cp:lastPrinted>2022-09-13T04:08:01Z</cp:lastPrinted>
  <dcterms:modified xsi:type="dcterms:W3CDTF">2022-09-13T04:12:21Z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53FBDD4018654D9D83131442AEE82B23</vt:lpwstr>
  </property>
</Properties>
</file>