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ascii="宋体" w:hAnsi="宋体" w:eastAsia="宋体" w:cs="宋体"/>
          <w:szCs w:val="21"/>
        </w:rPr>
      </w:pPr>
      <w:r>
        <w:rPr>
          <w:rFonts w:hint="eastAsia" w:ascii="宋体" w:hAnsi="宋体" w:eastAsia="宋体" w:cs="宋体"/>
          <w:szCs w:val="21"/>
        </w:rPr>
        <w:t>本报告依据中国资产评估准则</w:t>
      </w:r>
    </w:p>
    <w:p>
      <w:pPr>
        <w:autoSpaceDE w:val="0"/>
        <w:autoSpaceDN w:val="0"/>
        <w:spacing w:line="276" w:lineRule="auto"/>
        <w:rPr>
          <w:rFonts w:ascii="宋体" w:hAnsi="宋体" w:eastAsia="宋体" w:cs="宋体"/>
          <w:szCs w:val="21"/>
        </w:rPr>
      </w:pPr>
      <w:r>
        <w:rPr>
          <w:rFonts w:hint="eastAsia" w:ascii="宋体" w:hAnsi="宋体" w:eastAsia="宋体" w:cs="宋体"/>
          <w:szCs w:val="21"/>
        </w:rPr>
        <w:t>人民法院委托财产处置评估指导意见编制</w:t>
      </w:r>
    </w:p>
    <w:p>
      <w:pPr>
        <w:autoSpaceDE w:val="0"/>
        <w:autoSpaceDN w:val="0"/>
        <w:adjustRightInd w:val="0"/>
        <w:spacing w:line="600" w:lineRule="exact"/>
        <w:rPr>
          <w:rFonts w:ascii="宋体" w:hAnsi="宋体" w:eastAsia="宋体" w:cs="宋体"/>
        </w:rPr>
      </w:pPr>
    </w:p>
    <w:p>
      <w:pPr>
        <w:rPr>
          <w:rFonts w:ascii="宋体" w:hAnsi="宋体" w:eastAsia="宋体" w:cs="宋体"/>
          <w:b/>
          <w:bCs/>
          <w:sz w:val="24"/>
        </w:rPr>
      </w:pPr>
    </w:p>
    <w:p>
      <w:pPr>
        <w:spacing w:line="360" w:lineRule="auto"/>
        <w:rPr>
          <w:rFonts w:ascii="宋体" w:hAnsi="宋体" w:eastAsia="宋体" w:cs="宋体"/>
          <w:b/>
          <w:bCs/>
          <w:sz w:val="24"/>
        </w:rPr>
      </w:pPr>
    </w:p>
    <w:p>
      <w:pPr>
        <w:spacing w:line="360" w:lineRule="auto"/>
        <w:ind w:right="-2" w:rightChars="-1" w:firstLine="723" w:firstLineChars="200"/>
        <w:jc w:val="center"/>
        <w:rPr>
          <w:rFonts w:ascii="宋体" w:hAnsi="宋体" w:eastAsia="宋体" w:cs="宋体"/>
          <w:b/>
          <w:sz w:val="36"/>
          <w:szCs w:val="36"/>
        </w:rPr>
      </w:pPr>
    </w:p>
    <w:p>
      <w:pPr>
        <w:spacing w:line="360" w:lineRule="auto"/>
        <w:ind w:right="-2" w:rightChars="-1"/>
        <w:jc w:val="center"/>
        <w:rPr>
          <w:rFonts w:hint="eastAsia" w:ascii="宋体" w:hAnsi="宋体" w:eastAsia="宋体" w:cs="宋体"/>
          <w:b/>
          <w:sz w:val="32"/>
          <w:szCs w:val="32"/>
        </w:rPr>
      </w:pPr>
      <w:bookmarkStart w:id="0" w:name="_Hlk93491395"/>
      <w:r>
        <w:rPr>
          <w:rFonts w:hint="eastAsia" w:ascii="宋体" w:hAnsi="宋体" w:eastAsia="宋体" w:cs="宋体"/>
          <w:b/>
          <w:sz w:val="32"/>
          <w:szCs w:val="32"/>
        </w:rPr>
        <w:t>杭州市富阳区人民法院拟财产处置涉及的</w:t>
      </w:r>
    </w:p>
    <w:p>
      <w:pPr>
        <w:spacing w:line="360" w:lineRule="auto"/>
        <w:ind w:right="-2" w:rightChars="-1"/>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胡春强、张蒙蒙所有的登记在浙江三江房地产开发有限公司名下位于</w:t>
      </w:r>
      <w:r>
        <w:rPr>
          <w:rFonts w:hint="eastAsia" w:ascii="宋体" w:hAnsi="宋体" w:eastAsia="宋体" w:cs="宋体"/>
          <w:b/>
          <w:sz w:val="32"/>
          <w:szCs w:val="32"/>
        </w:rPr>
        <w:t>杭州市富阳区新登镇澳海澜庭</w:t>
      </w:r>
      <w:r>
        <w:rPr>
          <w:rFonts w:hint="eastAsia" w:ascii="宋体" w:hAnsi="宋体" w:eastAsia="宋体" w:cs="宋体"/>
          <w:b/>
          <w:sz w:val="32"/>
          <w:szCs w:val="32"/>
          <w:lang w:eastAsia="zh-CN"/>
        </w:rPr>
        <w:t>57号808室</w:t>
      </w:r>
    </w:p>
    <w:p>
      <w:pPr>
        <w:spacing w:line="360" w:lineRule="auto"/>
        <w:ind w:right="-2" w:rightChars="-1"/>
        <w:jc w:val="center"/>
        <w:rPr>
          <w:rFonts w:ascii="宋体" w:hAnsi="宋体" w:eastAsia="宋体" w:cs="宋体"/>
          <w:b/>
          <w:sz w:val="32"/>
          <w:szCs w:val="32"/>
        </w:rPr>
      </w:pPr>
      <w:r>
        <w:rPr>
          <w:rFonts w:hint="eastAsia" w:ascii="宋体" w:hAnsi="宋体" w:eastAsia="宋体" w:cs="宋体"/>
          <w:b/>
          <w:sz w:val="32"/>
          <w:szCs w:val="32"/>
        </w:rPr>
        <w:t>房地产市场价值司法评估项目</w:t>
      </w:r>
    </w:p>
    <w:bookmarkEnd w:id="0"/>
    <w:p>
      <w:pPr>
        <w:pStyle w:val="2"/>
        <w:tabs>
          <w:tab w:val="center" w:pos="4153"/>
          <w:tab w:val="right" w:pos="8306"/>
        </w:tabs>
        <w:spacing w:line="360" w:lineRule="auto"/>
        <w:rPr>
          <w:rFonts w:hAnsi="宋体"/>
          <w:sz w:val="48"/>
          <w:szCs w:val="48"/>
        </w:rPr>
      </w:pPr>
      <w:r>
        <w:rPr>
          <w:rFonts w:hint="eastAsia" w:hAnsi="宋体"/>
          <w:b/>
          <w:sz w:val="48"/>
          <w:szCs w:val="48"/>
        </w:rPr>
        <w:tab/>
      </w:r>
      <w:r>
        <w:rPr>
          <w:rFonts w:hint="eastAsia" w:hAnsi="宋体"/>
          <w:b/>
          <w:sz w:val="48"/>
          <w:szCs w:val="48"/>
        </w:rPr>
        <w:t>资产评估报告</w:t>
      </w:r>
      <w:r>
        <w:rPr>
          <w:rFonts w:hint="eastAsia" w:hAnsi="宋体"/>
          <w:b/>
          <w:sz w:val="48"/>
          <w:szCs w:val="48"/>
        </w:rPr>
        <w:tab/>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t>富资评字【2022】SF第</w:t>
      </w:r>
      <w:r>
        <w:rPr>
          <w:rFonts w:hint="eastAsia" w:ascii="宋体" w:hAnsi="宋体" w:eastAsia="宋体" w:cs="宋体"/>
          <w:color w:val="000000"/>
          <w:sz w:val="24"/>
          <w:lang w:val="en-US" w:eastAsia="zh-CN"/>
        </w:rPr>
        <w:t>0076</w:t>
      </w:r>
      <w:r>
        <w:rPr>
          <w:rFonts w:hint="eastAsia" w:ascii="宋体" w:hAnsi="宋体" w:eastAsia="宋体" w:cs="宋体"/>
          <w:color w:val="000000"/>
          <w:sz w:val="24"/>
        </w:rPr>
        <w:t>号</w:t>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t>（第一册 共一册）</w:t>
      </w:r>
    </w:p>
    <w:p>
      <w:pPr>
        <w:spacing w:before="156" w:beforeLines="50" w:line="480" w:lineRule="auto"/>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rPr>
          <w:rFonts w:ascii="宋体" w:hAnsi="宋体" w:eastAsia="宋体" w:cs="宋体"/>
          <w:b/>
          <w:bCs/>
          <w:sz w:val="32"/>
          <w:szCs w:val="32"/>
        </w:rPr>
      </w:pPr>
    </w:p>
    <w:p>
      <w:pPr>
        <w:spacing w:line="560" w:lineRule="exact"/>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杭州富诚资产评估有限公司</w:t>
      </w:r>
    </w:p>
    <w:p>
      <w:pPr>
        <w:spacing w:line="560" w:lineRule="exact"/>
        <w:jc w:val="center"/>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二〇二二年十月二十八日</w:t>
      </w:r>
    </w:p>
    <w:p>
      <w:pPr>
        <w:rPr>
          <w:rFonts w:ascii="宋体" w:hAnsi="宋体" w:eastAsia="宋体" w:cs="宋体"/>
        </w:rPr>
      </w:pPr>
    </w:p>
    <w:p>
      <w:pPr>
        <w:pStyle w:val="2"/>
        <w:rPr>
          <w:rFonts w:hAnsi="宋体"/>
        </w:rPr>
      </w:pPr>
    </w:p>
    <w:p>
      <w:pPr>
        <w:pStyle w:val="2"/>
        <w:rPr>
          <w:rFonts w:hAnsi="宋体"/>
        </w:rPr>
      </w:pPr>
    </w:p>
    <w:p>
      <w:pPr>
        <w:pStyle w:val="2"/>
        <w:rPr>
          <w:rFonts w:hAnsi="宋体"/>
        </w:rPr>
      </w:pPr>
    </w:p>
    <w:p>
      <w:pPr>
        <w:pStyle w:val="20"/>
        <w:jc w:val="both"/>
        <w:rPr>
          <w:rFonts w:ascii="宋体" w:hAnsi="宋体" w:cs="宋体"/>
          <w:color w:val="000000"/>
          <w:sz w:val="44"/>
          <w:szCs w:val="44"/>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20"/>
        <w:jc w:val="center"/>
        <w:rPr>
          <w:rFonts w:ascii="宋体" w:hAnsi="宋体" w:cs="宋体"/>
          <w:color w:val="000000"/>
          <w:sz w:val="44"/>
          <w:szCs w:val="44"/>
          <w:lang w:val="zh-CN"/>
        </w:rPr>
      </w:pPr>
      <w:r>
        <w:rPr>
          <w:rFonts w:hint="eastAsia" w:ascii="宋体" w:hAnsi="宋体" w:cs="宋体"/>
          <w:color w:val="000000"/>
          <w:sz w:val="44"/>
          <w:szCs w:val="44"/>
          <w:lang w:val="zh-CN"/>
        </w:rPr>
        <w:t>目录</w:t>
      </w:r>
    </w:p>
    <w:sdt>
      <w:sdtPr>
        <w:rPr>
          <w:rFonts w:hint="eastAsia" w:ascii="宋体" w:hAnsi="宋体" w:eastAsia="宋体" w:cs="宋体"/>
          <w:kern w:val="0"/>
          <w:sz w:val="20"/>
          <w:szCs w:val="20"/>
        </w:rPr>
        <w:id w:val="-1117755627"/>
        <w15:color w:val="DBDBDB"/>
      </w:sdtPr>
      <w:sdtEndPr>
        <w:rPr>
          <w:rFonts w:hint="eastAsia" w:ascii="宋体" w:hAnsi="宋体" w:eastAsia="宋体" w:cs="宋体"/>
          <w:kern w:val="0"/>
          <w:sz w:val="20"/>
          <w:szCs w:val="20"/>
        </w:rPr>
      </w:sdtEndPr>
      <w:sdtContent>
        <w:p>
          <w:pPr>
            <w:jc w:val="both"/>
            <w:rPr>
              <w:rFonts w:ascii="宋体" w:hAnsi="宋体" w:eastAsia="宋体" w:cs="宋体"/>
            </w:rPr>
          </w:pPr>
          <w:bookmarkStart w:id="1" w:name="_Toc498855171_WPSOffice_Type1"/>
          <w:bookmarkStart w:id="2" w:name="_Toc37185834"/>
        </w:p>
        <w:p>
          <w:pPr>
            <w:pStyle w:val="22"/>
            <w:tabs>
              <w:tab w:val="right" w:leader="dot" w:pos="8306"/>
            </w:tabs>
            <w:rPr>
              <w:rFonts w:ascii="宋体" w:hAnsi="宋体" w:eastAsia="宋体" w:cs="宋体"/>
              <w:sz w:val="28"/>
              <w:szCs w:val="28"/>
            </w:rPr>
          </w:pPr>
          <w:r>
            <w:fldChar w:fldCharType="begin"/>
          </w:r>
          <w:r>
            <w:instrText xml:space="preserve"> HYPERLINK \l "_Toc74592687_WPSOffice_Level1" </w:instrText>
          </w:r>
          <w:r>
            <w:fldChar w:fldCharType="separate"/>
          </w:r>
          <w:sdt>
            <w:sdtPr>
              <w:rPr>
                <w:rFonts w:hint="eastAsia" w:ascii="宋体" w:hAnsi="宋体" w:eastAsia="宋体" w:cs="宋体"/>
                <w:b/>
                <w:bCs/>
                <w:kern w:val="2"/>
                <w:sz w:val="28"/>
                <w:szCs w:val="28"/>
              </w:rPr>
              <w:id w:val="157770182"/>
              <w:placeholder>
                <w:docPart w:val="{693f6577-25f3-4dd3-8068-a434f0419ed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声明</w:t>
              </w:r>
            </w:sdtContent>
          </w:sdt>
          <w:r>
            <w:rPr>
              <w:rFonts w:hint="eastAsia" w:ascii="宋体" w:hAnsi="宋体" w:eastAsia="宋体" w:cs="宋体"/>
              <w:sz w:val="28"/>
              <w:szCs w:val="28"/>
            </w:rPr>
            <w:tab/>
          </w:r>
          <w:bookmarkStart w:id="3" w:name="_Toc74592687_WPSOffice_Level1Page"/>
          <w:r>
            <w:rPr>
              <w:rFonts w:hint="eastAsia" w:ascii="宋体" w:hAnsi="宋体" w:eastAsia="宋体" w:cs="宋体"/>
              <w:sz w:val="28"/>
              <w:szCs w:val="28"/>
            </w:rPr>
            <w:t>3</w:t>
          </w:r>
          <w:bookmarkEnd w:id="3"/>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rPr>
              <w:rFonts w:hint="eastAsia" w:ascii="宋体" w:hAnsi="宋体" w:eastAsia="宋体" w:cs="宋体"/>
              <w:sz w:val="28"/>
              <w:szCs w:val="28"/>
            </w:rPr>
            <w:t>摘要</w:t>
          </w:r>
          <w:r>
            <w:rPr>
              <w:rFonts w:hint="eastAsia" w:ascii="宋体" w:hAnsi="宋体" w:eastAsia="宋体" w:cs="宋体"/>
              <w:sz w:val="28"/>
              <w:szCs w:val="28"/>
            </w:rPr>
            <w:tab/>
          </w:r>
          <w:r>
            <w:rPr>
              <w:rFonts w:hint="eastAsia" w:ascii="宋体" w:hAnsi="宋体" w:eastAsia="宋体" w:cs="宋体"/>
              <w:sz w:val="28"/>
              <w:szCs w:val="28"/>
            </w:rPr>
            <w:t>4</w:t>
          </w:r>
        </w:p>
        <w:p>
          <w:pPr>
            <w:pStyle w:val="22"/>
            <w:tabs>
              <w:tab w:val="right" w:leader="dot" w:pos="8306"/>
            </w:tabs>
            <w:rPr>
              <w:rFonts w:ascii="宋体" w:hAnsi="宋体" w:eastAsia="宋体" w:cs="宋体"/>
              <w:sz w:val="28"/>
              <w:szCs w:val="28"/>
            </w:rPr>
          </w:pPr>
          <w:r>
            <w:rPr>
              <w:rFonts w:hint="eastAsia" w:ascii="宋体" w:hAnsi="宋体" w:eastAsia="宋体" w:cs="宋体"/>
              <w:sz w:val="28"/>
              <w:szCs w:val="28"/>
            </w:rPr>
            <w:t>正文</w:t>
          </w:r>
          <w:r>
            <w:rPr>
              <w:rFonts w:hint="eastAsia" w:ascii="宋体" w:hAnsi="宋体" w:eastAsia="宋体" w:cs="宋体"/>
              <w:sz w:val="28"/>
              <w:szCs w:val="28"/>
            </w:rPr>
            <w:tab/>
          </w:r>
          <w:r>
            <w:rPr>
              <w:rFonts w:ascii="宋体" w:hAnsi="宋体" w:eastAsia="宋体" w:cs="宋体"/>
              <w:sz w:val="28"/>
              <w:szCs w:val="28"/>
            </w:rPr>
            <w:t>6</w:t>
          </w:r>
        </w:p>
        <w:p>
          <w:pPr>
            <w:pStyle w:val="22"/>
            <w:tabs>
              <w:tab w:val="right" w:leader="dot" w:pos="8306"/>
            </w:tabs>
            <w:rPr>
              <w:rFonts w:ascii="宋体" w:hAnsi="宋体" w:eastAsia="宋体" w:cs="宋体"/>
              <w:sz w:val="28"/>
              <w:szCs w:val="28"/>
            </w:rPr>
          </w:pPr>
          <w:r>
            <w:fldChar w:fldCharType="begin"/>
          </w:r>
          <w:r>
            <w:instrText xml:space="preserve"> HYPERLINK \l "_Toc498855171_WPSOffice_Level1" </w:instrText>
          </w:r>
          <w:r>
            <w:fldChar w:fldCharType="separate"/>
          </w:r>
          <w:sdt>
            <w:sdtPr>
              <w:rPr>
                <w:rFonts w:hint="eastAsia" w:ascii="宋体" w:hAnsi="宋体" w:eastAsia="宋体" w:cs="宋体"/>
                <w:b/>
                <w:bCs/>
                <w:kern w:val="2"/>
                <w:sz w:val="28"/>
                <w:szCs w:val="28"/>
              </w:rPr>
              <w:id w:val="595832924"/>
              <w:placeholder>
                <w:docPart w:val="{5db44a22-710c-44ab-a5e4-1792c8158ba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一、委托人、产权持有人和资产评估委托合同约定的其他资产评估报告使用人</w:t>
              </w:r>
            </w:sdtContent>
          </w:sdt>
          <w:r>
            <w:rPr>
              <w:rFonts w:hint="eastAsia" w:ascii="宋体" w:hAnsi="宋体" w:eastAsia="宋体" w:cs="宋体"/>
              <w:sz w:val="28"/>
              <w:szCs w:val="28"/>
            </w:rPr>
            <w:tab/>
          </w:r>
          <w:r>
            <w:rPr>
              <w:rFonts w:ascii="宋体" w:hAnsi="宋体" w:eastAsia="宋体" w:cs="宋体"/>
              <w:sz w:val="28"/>
              <w:szCs w:val="28"/>
            </w:rPr>
            <w:t>6</w:t>
          </w:r>
          <w:r>
            <w:rPr>
              <w:rFonts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"_Toc482701109_WPSOffice_Level1" </w:instrText>
          </w:r>
          <w:r>
            <w:fldChar w:fldCharType="separate"/>
          </w:r>
          <w:sdt>
            <w:sdtPr>
              <w:rPr>
                <w:rFonts w:hint="eastAsia" w:ascii="宋体" w:hAnsi="宋体" w:eastAsia="宋体" w:cs="宋体"/>
                <w:b/>
                <w:bCs/>
                <w:kern w:val="2"/>
                <w:sz w:val="28"/>
                <w:szCs w:val="28"/>
              </w:rPr>
              <w:id w:val="389150167"/>
              <w:placeholder>
                <w:docPart w:val="{46956840-d113-48e8-89ac-5fa39eae4a2a}"/>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二、评估目的</w:t>
              </w:r>
            </w:sdtContent>
          </w:sdt>
          <w:r>
            <w:rPr>
              <w:rFonts w:hint="eastAsia" w:ascii="宋体" w:hAnsi="宋体" w:eastAsia="宋体" w:cs="宋体"/>
              <w:sz w:val="28"/>
              <w:szCs w:val="28"/>
            </w:rPr>
            <w:tab/>
          </w:r>
          <w:bookmarkStart w:id="4" w:name="_Toc482701109_WPSOffice_Level1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"_Toc1711804244_WPSOffice_Level1" </w:instrText>
          </w:r>
          <w:r>
            <w:fldChar w:fldCharType="separate"/>
          </w:r>
          <w:sdt>
            <w:sdtPr>
              <w:rPr>
                <w:rFonts w:hint="eastAsia" w:ascii="宋体" w:hAnsi="宋体" w:eastAsia="宋体" w:cs="宋体"/>
                <w:b/>
                <w:bCs/>
                <w:kern w:val="2"/>
                <w:sz w:val="28"/>
                <w:szCs w:val="28"/>
              </w:rPr>
              <w:id w:val="-1360263247"/>
              <w:placeholder>
                <w:docPart w:val="{c871e4e8-8654-4588-bf74-1ca2489500e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三、评估对象及范围</w:t>
              </w:r>
            </w:sdtContent>
          </w:sdt>
          <w:r>
            <w:rPr>
              <w:rFonts w:hint="eastAsia" w:ascii="宋体" w:hAnsi="宋体" w:eastAsia="宋体" w:cs="宋体"/>
              <w:sz w:val="28"/>
              <w:szCs w:val="28"/>
            </w:rPr>
            <w:tab/>
          </w:r>
          <w:bookmarkStart w:id="5" w:name="_Toc1711804244_WPSOffice_Level1Page"/>
          <w:r>
            <w:rPr>
              <w:rFonts w:hint="eastAsia" w:ascii="宋体" w:hAnsi="宋体" w:eastAsia="宋体" w:cs="宋体"/>
              <w:sz w:val="28"/>
              <w:szCs w:val="28"/>
            </w:rPr>
            <w:t>7</w:t>
          </w:r>
          <w:bookmarkEnd w:id="5"/>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"_Toc455510049_WPSOffice_Level1" </w:instrText>
          </w:r>
          <w:r>
            <w:fldChar w:fldCharType="separate"/>
          </w:r>
          <w:sdt>
            <w:sdtPr>
              <w:rPr>
                <w:rFonts w:hint="eastAsia" w:ascii="宋体" w:hAnsi="宋体" w:eastAsia="宋体" w:cs="宋体"/>
                <w:b/>
                <w:bCs/>
                <w:kern w:val="2"/>
                <w:sz w:val="28"/>
                <w:szCs w:val="28"/>
              </w:rPr>
              <w:id w:val="1670137741"/>
              <w:placeholder>
                <w:docPart w:val="{e71e5423-e652-4c65-b080-31dcbd204a7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四、价值类型</w:t>
              </w:r>
            </w:sdtContent>
          </w:sdt>
          <w:r>
            <w:rPr>
              <w:rFonts w:hint="eastAsia" w:ascii="宋体" w:hAnsi="宋体" w:eastAsia="宋体" w:cs="宋体"/>
              <w:sz w:val="28"/>
              <w:szCs w:val="28"/>
            </w:rPr>
            <w:tab/>
          </w:r>
          <w:bookmarkStart w:id="6" w:name="_Toc455510049_WPSOffice_Level1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"_Toc2125675635_WPSOffice_Level1" </w:instrText>
          </w:r>
          <w:r>
            <w:fldChar w:fldCharType="separate"/>
          </w:r>
          <w:sdt>
            <w:sdtPr>
              <w:rPr>
                <w:rFonts w:hint="eastAsia" w:ascii="宋体" w:hAnsi="宋体" w:eastAsia="宋体" w:cs="宋体"/>
                <w:b/>
                <w:bCs/>
                <w:kern w:val="2"/>
                <w:sz w:val="28"/>
                <w:szCs w:val="28"/>
              </w:rPr>
              <w:id w:val="1385597721"/>
              <w:placeholder>
                <w:docPart w:val="{c4d4b21c-d43f-44f9-b8ca-a0fb6f66fa0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五、评估基准日</w:t>
              </w:r>
            </w:sdtContent>
          </w:sdt>
          <w:r>
            <w:rPr>
              <w:rFonts w:hint="eastAsia" w:ascii="宋体" w:hAnsi="宋体" w:eastAsia="宋体" w:cs="宋体"/>
              <w:sz w:val="28"/>
              <w:szCs w:val="28"/>
            </w:rPr>
            <w:tab/>
          </w:r>
          <w:bookmarkStart w:id="7" w:name="_Toc2125675635_WPSOffice_Level1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"_Toc692445953_WPSOffice_Level1" </w:instrText>
          </w:r>
          <w:r>
            <w:fldChar w:fldCharType="separate"/>
          </w:r>
          <w:sdt>
            <w:sdtPr>
              <w:rPr>
                <w:rFonts w:hint="eastAsia" w:ascii="宋体" w:hAnsi="宋体" w:eastAsia="宋体" w:cs="宋体"/>
                <w:b/>
                <w:bCs/>
                <w:kern w:val="2"/>
                <w:sz w:val="28"/>
                <w:szCs w:val="28"/>
              </w:rPr>
              <w:id w:val="-1984686064"/>
              <w:placeholder>
                <w:docPart w:val="{1298ea4a-cd1c-4637-9d5c-246c79d9c77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六、评估假设</w:t>
              </w:r>
            </w:sdtContent>
          </w:sdt>
          <w:r>
            <w:rPr>
              <w:rFonts w:hint="eastAsia" w:ascii="宋体" w:hAnsi="宋体" w:eastAsia="宋体" w:cs="宋体"/>
              <w:sz w:val="28"/>
              <w:szCs w:val="28"/>
            </w:rPr>
            <w:tab/>
          </w:r>
          <w:bookmarkStart w:id="8" w:name="_Toc692445953_WPSOffice_Level1Page"/>
          <w:r>
            <w:rPr>
              <w:rFonts w:hint="eastAsia" w:ascii="宋体" w:hAnsi="宋体" w:eastAsia="宋体" w:cs="宋体"/>
              <w:sz w:val="28"/>
              <w:szCs w:val="28"/>
            </w:rPr>
            <w:t>9</w:t>
          </w:r>
          <w:bookmarkEnd w:id="8"/>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"_Toc725248978_WPSOffice_Level1" </w:instrText>
          </w:r>
          <w:r>
            <w:fldChar w:fldCharType="separate"/>
          </w:r>
          <w:sdt>
            <w:sdtPr>
              <w:rPr>
                <w:rFonts w:hint="eastAsia" w:ascii="宋体" w:hAnsi="宋体" w:eastAsia="宋体" w:cs="宋体"/>
                <w:b/>
                <w:bCs/>
                <w:kern w:val="2"/>
                <w:sz w:val="28"/>
                <w:szCs w:val="28"/>
              </w:rPr>
              <w:id w:val="1644156659"/>
              <w:placeholder>
                <w:docPart w:val="{e57bfa72-7b7e-465f-bcd0-6964f032d2a9}"/>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七、评估依据</w:t>
              </w:r>
            </w:sdtContent>
          </w:sdt>
          <w:r>
            <w:rPr>
              <w:rFonts w:hint="eastAsia" w:ascii="宋体" w:hAnsi="宋体" w:eastAsia="宋体" w:cs="宋体"/>
              <w:sz w:val="28"/>
              <w:szCs w:val="28"/>
            </w:rPr>
            <w:tab/>
          </w:r>
          <w:bookmarkStart w:id="9" w:name="_Toc725248978_WPSOffice_Level1Page"/>
          <w:r>
            <w:rPr>
              <w:rFonts w:hint="eastAsia" w:ascii="宋体" w:hAnsi="宋体" w:eastAsia="宋体" w:cs="宋体"/>
              <w:sz w:val="28"/>
              <w:szCs w:val="28"/>
            </w:rPr>
            <w:t>10</w:t>
          </w:r>
          <w:bookmarkEnd w:id="9"/>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"_Toc142392874_WPSOffice_Level1" </w:instrText>
          </w:r>
          <w:r>
            <w:fldChar w:fldCharType="separate"/>
          </w:r>
          <w:sdt>
            <w:sdtPr>
              <w:rPr>
                <w:rFonts w:hint="eastAsia" w:ascii="宋体" w:hAnsi="宋体" w:eastAsia="宋体" w:cs="宋体"/>
                <w:b/>
                <w:bCs/>
                <w:kern w:val="2"/>
                <w:sz w:val="28"/>
                <w:szCs w:val="28"/>
              </w:rPr>
              <w:id w:val="-1599242422"/>
              <w:placeholder>
                <w:docPart w:val="{14eb227b-7283-410c-9201-a18d1f81045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八、评估方法</w:t>
              </w:r>
            </w:sdtContent>
          </w:sdt>
          <w:r>
            <w:rPr>
              <w:rFonts w:hint="eastAsia" w:ascii="宋体" w:hAnsi="宋体" w:eastAsia="宋体" w:cs="宋体"/>
              <w:sz w:val="28"/>
              <w:szCs w:val="28"/>
            </w:rPr>
            <w:tab/>
          </w:r>
          <w:bookmarkStart w:id="10" w:name="_Toc142392874_WPSOffice_Level1Page"/>
          <w:r>
            <w:rPr>
              <w:rFonts w:hint="eastAsia" w:ascii="宋体" w:hAnsi="宋体" w:eastAsia="宋体" w:cs="宋体"/>
              <w:sz w:val="28"/>
              <w:szCs w:val="28"/>
            </w:rPr>
            <w:t>12</w:t>
          </w:r>
          <w:bookmarkEnd w:id="10"/>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"_Toc900250560_WPSOffice_Level1" </w:instrText>
          </w:r>
          <w:r>
            <w:fldChar w:fldCharType="separate"/>
          </w:r>
          <w:sdt>
            <w:sdtPr>
              <w:rPr>
                <w:rFonts w:hint="eastAsia" w:ascii="宋体" w:hAnsi="宋体" w:eastAsia="宋体" w:cs="宋体"/>
                <w:b/>
                <w:bCs/>
                <w:kern w:val="2"/>
                <w:sz w:val="28"/>
                <w:szCs w:val="28"/>
              </w:rPr>
              <w:id w:val="-1663466498"/>
              <w:placeholder>
                <w:docPart w:val="{cc485ca2-c1dd-4cf8-a5ef-e9511dd8289d}"/>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九、评估过程</w:t>
              </w:r>
            </w:sdtContent>
          </w:sdt>
          <w:r>
            <w:rPr>
              <w:rFonts w:hint="eastAsia" w:ascii="宋体" w:hAnsi="宋体" w:eastAsia="宋体" w:cs="宋体"/>
              <w:sz w:val="28"/>
              <w:szCs w:val="28"/>
            </w:rPr>
            <w:tab/>
          </w:r>
          <w:bookmarkStart w:id="11" w:name="_Toc900250560_WPSOffice_Level1Page"/>
          <w:r>
            <w:rPr>
              <w:rFonts w:hint="eastAsia" w:ascii="宋体" w:hAnsi="宋体" w:eastAsia="宋体" w:cs="宋体"/>
              <w:sz w:val="28"/>
              <w:szCs w:val="28"/>
            </w:rPr>
            <w:t>13</w:t>
          </w:r>
          <w:bookmarkEnd w:id="11"/>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"_Toc1488868805_WPSOffice_Level1" </w:instrText>
          </w:r>
          <w:r>
            <w:fldChar w:fldCharType="separate"/>
          </w:r>
          <w:sdt>
            <w:sdtPr>
              <w:rPr>
                <w:rFonts w:hint="eastAsia" w:ascii="宋体" w:hAnsi="宋体" w:eastAsia="宋体" w:cs="宋体"/>
                <w:b/>
                <w:bCs/>
                <w:kern w:val="2"/>
                <w:sz w:val="28"/>
                <w:szCs w:val="28"/>
              </w:rPr>
              <w:id w:val="134839360"/>
              <w:placeholder>
                <w:docPart w:val="{26ba7ea4-0fa4-4f8b-9938-1fbf7252fad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十、评估结论</w:t>
              </w:r>
            </w:sdtContent>
          </w:sdt>
          <w:r>
            <w:rPr>
              <w:rFonts w:hint="eastAsia" w:ascii="宋体" w:hAnsi="宋体" w:eastAsia="宋体" w:cs="宋体"/>
              <w:sz w:val="28"/>
              <w:szCs w:val="28"/>
            </w:rPr>
            <w:tab/>
          </w:r>
          <w:bookmarkStart w:id="12" w:name="_Toc1488868805_WPSOffice_Level1Page"/>
          <w:r>
            <w:rPr>
              <w:rFonts w:hint="eastAsia" w:ascii="宋体" w:hAnsi="宋体" w:eastAsia="宋体" w:cs="宋体"/>
              <w:sz w:val="28"/>
              <w:szCs w:val="28"/>
            </w:rPr>
            <w:t>14</w:t>
          </w:r>
          <w:bookmarkEnd w:id="12"/>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"_Toc938550791_WPSOffice_Level1" </w:instrText>
          </w:r>
          <w:r>
            <w:fldChar w:fldCharType="separate"/>
          </w:r>
          <w:sdt>
            <w:sdtPr>
              <w:rPr>
                <w:rFonts w:hint="eastAsia" w:ascii="宋体" w:hAnsi="宋体" w:eastAsia="宋体" w:cs="宋体"/>
                <w:b/>
                <w:bCs/>
                <w:kern w:val="2"/>
                <w:sz w:val="28"/>
                <w:szCs w:val="28"/>
              </w:rPr>
              <w:id w:val="98996235"/>
              <w:placeholder>
                <w:docPart w:val="{71391b02-8c8b-4a97-80b1-a14f973e6cb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十一、特别事项说明</w:t>
              </w:r>
            </w:sdtContent>
          </w:sdt>
          <w:r>
            <w:rPr>
              <w:rFonts w:hint="eastAsia" w:ascii="宋体" w:hAnsi="宋体" w:eastAsia="宋体" w:cs="宋体"/>
              <w:sz w:val="28"/>
              <w:szCs w:val="28"/>
            </w:rPr>
            <w:tab/>
          </w:r>
          <w:bookmarkStart w:id="13" w:name="_Toc938550791_WPSOffice_Level1Page"/>
          <w:r>
            <w:rPr>
              <w:rFonts w:hint="eastAsia" w:ascii="宋体" w:hAnsi="宋体" w:eastAsia="宋体" w:cs="宋体"/>
              <w:sz w:val="28"/>
              <w:szCs w:val="28"/>
            </w:rPr>
            <w:t>14</w:t>
          </w:r>
          <w:bookmarkEnd w:id="13"/>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"_Toc955757122_WPSOffice_Level1" </w:instrText>
          </w:r>
          <w:r>
            <w:fldChar w:fldCharType="separate"/>
          </w:r>
          <w:sdt>
            <w:sdtPr>
              <w:rPr>
                <w:rFonts w:hint="eastAsia" w:ascii="宋体" w:hAnsi="宋体" w:eastAsia="宋体" w:cs="宋体"/>
                <w:b/>
                <w:bCs/>
                <w:kern w:val="2"/>
                <w:sz w:val="28"/>
                <w:szCs w:val="28"/>
              </w:rPr>
              <w:id w:val="1668365315"/>
              <w:placeholder>
                <w:docPart w:val="{d0deffe7-dd1c-45d7-a6ea-cb7765e91527}"/>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十二、评估报告使用限制说明</w:t>
              </w:r>
            </w:sdtContent>
          </w:sdt>
          <w:r>
            <w:rPr>
              <w:rFonts w:hint="eastAsia" w:ascii="宋体" w:hAnsi="宋体" w:eastAsia="宋体" w:cs="宋体"/>
              <w:sz w:val="28"/>
              <w:szCs w:val="28"/>
            </w:rPr>
            <w:tab/>
          </w:r>
          <w:bookmarkStart w:id="14" w:name="_Toc955757122_WPSOffice_Level1Page"/>
          <w:r>
            <w:rPr>
              <w:rFonts w:hint="eastAsia" w:ascii="宋体" w:hAnsi="宋体" w:eastAsia="宋体" w:cs="宋体"/>
              <w:sz w:val="28"/>
              <w:szCs w:val="28"/>
            </w:rPr>
            <w:t>15</w:t>
          </w:r>
          <w:bookmarkEnd w:id="14"/>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"_Toc232269894_WPSOffice_Level1" </w:instrText>
          </w:r>
          <w:r>
            <w:fldChar w:fldCharType="separate"/>
          </w:r>
          <w:sdt>
            <w:sdtPr>
              <w:rPr>
                <w:rFonts w:hint="eastAsia" w:ascii="宋体" w:hAnsi="宋体" w:eastAsia="宋体" w:cs="宋体"/>
                <w:b/>
                <w:bCs/>
                <w:kern w:val="2"/>
                <w:sz w:val="28"/>
                <w:szCs w:val="28"/>
              </w:rPr>
              <w:id w:val="-1800835636"/>
              <w:placeholder>
                <w:docPart w:val="{224f95e1-72fb-413f-ba99-74ed28fcad9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十三、评估报告日</w:t>
              </w:r>
            </w:sdtContent>
          </w:sdt>
          <w:r>
            <w:rPr>
              <w:rFonts w:hint="eastAsia" w:ascii="宋体" w:hAnsi="宋体" w:eastAsia="宋体" w:cs="宋体"/>
              <w:sz w:val="28"/>
              <w:szCs w:val="28"/>
            </w:rPr>
            <w:tab/>
          </w:r>
          <w:bookmarkStart w:id="15" w:name="_Toc232269894_WPSOffice_Level1Page"/>
          <w:r>
            <w:rPr>
              <w:rFonts w:hint="eastAsia" w:ascii="宋体" w:hAnsi="宋体" w:eastAsia="宋体" w:cs="宋体"/>
              <w:sz w:val="28"/>
              <w:szCs w:val="28"/>
            </w:rPr>
            <w:t>16</w:t>
          </w:r>
          <w:bookmarkEnd w:id="15"/>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"_Toc1782321859_WPSOffice_Level1" </w:instrText>
          </w:r>
          <w:r>
            <w:fldChar w:fldCharType="separate"/>
          </w:r>
          <w:sdt>
            <w:sdtPr>
              <w:rPr>
                <w:rFonts w:hint="eastAsia" w:ascii="宋体" w:hAnsi="宋体" w:eastAsia="宋体" w:cs="宋体"/>
                <w:b/>
                <w:bCs/>
                <w:kern w:val="2"/>
                <w:sz w:val="28"/>
                <w:szCs w:val="28"/>
              </w:rPr>
              <w:id w:val="2051952416"/>
              <w:placeholder>
                <w:docPart w:val="{7fb97ca2-7e41-44b3-af96-6d847ba470d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十四、 资产评估专业人员签名和资产评估机构印章</w:t>
              </w:r>
            </w:sdtContent>
          </w:sdt>
          <w:r>
            <w:rPr>
              <w:rFonts w:hint="eastAsia" w:ascii="宋体" w:hAnsi="宋体" w:eastAsia="宋体" w:cs="宋体"/>
              <w:sz w:val="28"/>
              <w:szCs w:val="28"/>
            </w:rPr>
            <w:tab/>
          </w:r>
          <w:bookmarkStart w:id="16" w:name="_Toc1782321859_WPSOffice_Level1Page"/>
          <w:r>
            <w:rPr>
              <w:rFonts w:hint="eastAsia" w:ascii="宋体" w:hAnsi="宋体" w:eastAsia="宋体" w:cs="宋体"/>
              <w:sz w:val="28"/>
              <w:szCs w:val="28"/>
            </w:rPr>
            <w:t>16</w:t>
          </w:r>
          <w:bookmarkEnd w:id="16"/>
          <w:r>
            <w:rPr>
              <w:rFonts w:hint="eastAsia" w:ascii="宋体" w:hAnsi="宋体" w:eastAsia="宋体" w:cs="宋体"/>
              <w:sz w:val="28"/>
              <w:szCs w:val="28"/>
            </w:rPr>
            <w:fldChar w:fldCharType="end"/>
          </w:r>
        </w:p>
        <w:p>
          <w:pPr>
            <w:pStyle w:val="22"/>
            <w:tabs>
              <w:tab w:val="right" w:leader="dot" w:pos="8306"/>
            </w:tabs>
            <w:rPr>
              <w:rFonts w:ascii="宋体" w:hAnsi="宋体" w:eastAsia="宋体" w:cs="宋体"/>
              <w:sz w:val="28"/>
              <w:szCs w:val="28"/>
            </w:rPr>
          </w:pPr>
          <w:r>
            <w:fldChar w:fldCharType="begin"/>
          </w:r>
          <w:r>
            <w:instrText xml:space="preserve"> HYPERLINK \l "_Toc234092210_WPSOffice_Level1" </w:instrText>
          </w:r>
          <w:r>
            <w:fldChar w:fldCharType="separate"/>
          </w:r>
          <w:sdt>
            <w:sdtPr>
              <w:rPr>
                <w:rFonts w:hint="eastAsia" w:ascii="宋体" w:hAnsi="宋体" w:eastAsia="宋体" w:cs="宋体"/>
                <w:b/>
                <w:bCs/>
                <w:kern w:val="2"/>
                <w:sz w:val="28"/>
                <w:szCs w:val="28"/>
              </w:rPr>
              <w:id w:val="-998344358"/>
              <w:placeholder>
                <w:docPart w:val="{39b15929-bde2-40d4-a840-6c9dda42d73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备查文件目录</w:t>
              </w:r>
            </w:sdtContent>
          </w:sdt>
          <w:r>
            <w:rPr>
              <w:rFonts w:hint="eastAsia" w:ascii="宋体" w:hAnsi="宋体" w:eastAsia="宋体" w:cs="宋体"/>
              <w:sz w:val="28"/>
              <w:szCs w:val="28"/>
            </w:rPr>
            <w:tab/>
          </w:r>
          <w:bookmarkStart w:id="17" w:name="_Toc234092210_WPSOffice_Level1Page"/>
          <w:r>
            <w:rPr>
              <w:rFonts w:hint="eastAsia" w:ascii="宋体" w:hAnsi="宋体" w:eastAsia="宋体" w:cs="宋体"/>
              <w:sz w:val="28"/>
              <w:szCs w:val="28"/>
            </w:rPr>
            <w:t>1</w:t>
          </w:r>
          <w:bookmarkEnd w:id="17"/>
          <w:r>
            <w:rPr>
              <w:rFonts w:ascii="宋体" w:hAnsi="宋体" w:eastAsia="宋体" w:cs="宋体"/>
              <w:sz w:val="28"/>
              <w:szCs w:val="28"/>
            </w:rPr>
            <w:t>7</w:t>
          </w:r>
          <w:r>
            <w:rPr>
              <w:rFonts w:ascii="宋体" w:hAnsi="宋体" w:eastAsia="宋体" w:cs="宋体"/>
              <w:sz w:val="28"/>
              <w:szCs w:val="28"/>
            </w:rPr>
            <w:fldChar w:fldCharType="end"/>
          </w:r>
        </w:p>
      </w:sdtContent>
    </w:sdt>
    <w:bookmarkEnd w:id="1"/>
    <w:bookmarkEnd w:id="2"/>
    <w:p>
      <w:pPr>
        <w:pStyle w:val="13"/>
        <w:rPr>
          <w:rFonts w:ascii="宋体" w:hAnsi="宋体" w:eastAsia="宋体" w:cs="宋体"/>
          <w:szCs w:val="28"/>
        </w:rPr>
      </w:pPr>
      <w:bookmarkStart w:id="18" w:name="_Toc74592687_WPSOffice_Level1"/>
      <w:bookmarkEnd w:id="18"/>
      <w:r>
        <w:rPr>
          <w:rFonts w:hint="eastAsia" w:ascii="宋体" w:hAnsi="宋体" w:eastAsia="宋体" w:cs="宋体"/>
          <w:bCs w:val="0"/>
          <w:sz w:val="44"/>
          <w:szCs w:val="44"/>
        </w:rPr>
        <w:t>声   明</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评估对象涉及的资产清单由委托人、产权持有人申报并经其采用签名、盖章或法律允许的其他方式确认；委托人和其他相关当事人依法对其提供资料的真实性、完整性、合法性负责。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ascii="宋体" w:hAnsi="宋体" w:eastAsia="宋体" w:cs="宋体"/>
          <w:color w:val="000000"/>
          <w:sz w:val="24"/>
        </w:rPr>
      </w:pPr>
      <w:r>
        <w:rPr>
          <w:rFonts w:hint="eastAsia" w:ascii="宋体" w:hAnsi="宋体" w:eastAsia="宋体" w:cs="宋体"/>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eastAsia" w:ascii="宋体" w:hAnsi="宋体" w:eastAsia="宋体" w:cs="宋体"/>
        </w:rPr>
        <w:t xml:space="preserve">   </w:t>
      </w:r>
    </w:p>
    <w:p>
      <w:pPr>
        <w:pStyle w:val="2"/>
        <w:spacing w:line="360" w:lineRule="auto"/>
        <w:ind w:left="-420" w:leftChars="-200" w:right="-420" w:rightChars="-200" w:firstLine="480" w:firstLineChars="200"/>
        <w:rPr>
          <w:rFonts w:hAnsi="宋体"/>
        </w:rPr>
      </w:pPr>
      <w:r>
        <w:rPr>
          <w:rFonts w:hint="eastAsia" w:hAnsi="宋体"/>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ascii="宋体" w:hAnsi="宋体" w:eastAsia="宋体" w:cs="宋体"/>
          <w:b/>
          <w:sz w:val="28"/>
          <w:szCs w:val="28"/>
        </w:rPr>
      </w:pPr>
      <w:r>
        <w:rPr>
          <w:rFonts w:hint="eastAsia" w:ascii="宋体" w:hAnsi="宋体" w:eastAsia="宋体" w:cs="宋体"/>
          <w:b/>
          <w:sz w:val="28"/>
          <w:szCs w:val="28"/>
        </w:rPr>
        <w:t>杭州市富阳区人民法院拟财产处置涉及的</w:t>
      </w:r>
    </w:p>
    <w:p>
      <w:pPr>
        <w:spacing w:line="360" w:lineRule="auto"/>
        <w:ind w:right="-2" w:rightChars="-1"/>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胡春强、张蒙蒙所有的登记在浙江三江房地产开发有限公司名下位于</w:t>
      </w:r>
      <w:r>
        <w:rPr>
          <w:rFonts w:hint="eastAsia" w:ascii="宋体" w:hAnsi="宋体" w:eastAsia="宋体" w:cs="宋体"/>
          <w:b/>
          <w:sz w:val="28"/>
          <w:szCs w:val="28"/>
        </w:rPr>
        <w:t>杭州市富阳区新登镇澳海澜庭</w:t>
      </w:r>
      <w:r>
        <w:rPr>
          <w:rFonts w:hint="eastAsia" w:ascii="宋体" w:hAnsi="宋体" w:eastAsia="宋体" w:cs="宋体"/>
          <w:b/>
          <w:sz w:val="28"/>
          <w:szCs w:val="28"/>
          <w:lang w:eastAsia="zh-CN"/>
        </w:rPr>
        <w:t>57号808室</w:t>
      </w:r>
    </w:p>
    <w:p>
      <w:pPr>
        <w:spacing w:line="360" w:lineRule="auto"/>
        <w:ind w:right="-2" w:rightChars="-1"/>
        <w:jc w:val="center"/>
        <w:rPr>
          <w:rFonts w:ascii="宋体" w:hAnsi="宋体" w:eastAsia="宋体" w:cs="宋体"/>
          <w:b/>
          <w:sz w:val="28"/>
          <w:szCs w:val="28"/>
        </w:rPr>
      </w:pPr>
      <w:r>
        <w:rPr>
          <w:rFonts w:hint="eastAsia" w:ascii="宋体" w:hAnsi="宋体" w:eastAsia="宋体" w:cs="宋体"/>
          <w:b/>
          <w:sz w:val="28"/>
          <w:szCs w:val="28"/>
        </w:rPr>
        <w:t>房地产市场价值司法评估项目</w:t>
      </w:r>
    </w:p>
    <w:p>
      <w:pPr>
        <w:pStyle w:val="13"/>
        <w:spacing w:before="0" w:after="0" w:line="360" w:lineRule="auto"/>
        <w:rPr>
          <w:rFonts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ascii="宋体" w:hAnsi="宋体" w:eastAsia="宋体" w:cs="宋体"/>
          <w:b/>
          <w:color w:val="000000"/>
          <w:sz w:val="24"/>
        </w:rPr>
      </w:pPr>
      <w:r>
        <w:rPr>
          <w:rFonts w:hint="eastAsia" w:ascii="宋体" w:hAnsi="宋体" w:eastAsia="宋体" w:cs="宋体"/>
          <w:b/>
          <w:color w:val="000000"/>
          <w:sz w:val="24"/>
        </w:rPr>
        <w:t>富资评字【2022】SF第</w:t>
      </w:r>
      <w:r>
        <w:rPr>
          <w:rFonts w:hint="eastAsia" w:ascii="宋体" w:hAnsi="宋体" w:eastAsia="宋体" w:cs="宋体"/>
          <w:b/>
          <w:color w:val="000000"/>
          <w:sz w:val="24"/>
          <w:lang w:val="en-US" w:eastAsia="zh-CN"/>
        </w:rPr>
        <w:t>0076</w:t>
      </w:r>
      <w:r>
        <w:rPr>
          <w:rFonts w:hint="eastAsia" w:ascii="宋体" w:hAnsi="宋体" w:eastAsia="宋体" w:cs="宋体"/>
          <w:b/>
          <w:color w:val="000000"/>
          <w:sz w:val="24"/>
        </w:rPr>
        <w:t>号</w:t>
      </w:r>
    </w:p>
    <w:p>
      <w:pPr>
        <w:pStyle w:val="13"/>
        <w:spacing w:before="0" w:after="0" w:line="360" w:lineRule="auto"/>
        <w:rPr>
          <w:rFonts w:ascii="宋体" w:hAnsi="宋体" w:eastAsia="宋体" w:cs="宋体"/>
          <w:color w:val="000000"/>
        </w:rPr>
      </w:pPr>
      <w:bookmarkStart w:id="19" w:name="_Toc37185836"/>
      <w:r>
        <w:rPr>
          <w:rFonts w:hint="eastAsia" w:ascii="宋体" w:hAnsi="宋体" w:eastAsia="宋体" w:cs="宋体"/>
        </w:rPr>
        <w:t>摘 要</w:t>
      </w:r>
      <w:bookmarkEnd w:id="19"/>
    </w:p>
    <w:p>
      <w:pPr>
        <w:spacing w:line="360" w:lineRule="auto"/>
        <w:ind w:firstLine="480" w:firstLineChars="200"/>
        <w:rPr>
          <w:rFonts w:ascii="宋体" w:hAnsi="宋体" w:eastAsia="宋体" w:cs="宋体"/>
          <w:sz w:val="24"/>
        </w:rPr>
      </w:pPr>
      <w:r>
        <w:rPr>
          <w:rFonts w:hint="eastAsia" w:ascii="宋体" w:hAnsi="宋体" w:eastAsia="宋体" w:cs="宋体"/>
          <w:sz w:val="24"/>
        </w:rPr>
        <w:t>杭州富诚资产评估有限公司接受杭州市富阳区人民法院的委托，根据法律、行政法规和资产评估准则的规定，坚持独立、客观和公正的原则，采用市场法，</w:t>
      </w:r>
      <w:r>
        <w:rPr>
          <w:rFonts w:hint="eastAsia" w:ascii="宋体" w:hAnsi="宋体" w:eastAsia="宋体" w:cs="宋体"/>
          <w:color w:val="000000"/>
          <w:sz w:val="24"/>
        </w:rPr>
        <w:t>对申请执行人中国邮政储蓄银行股份有限公司杭州市富阳区支行与被执行人</w:t>
      </w:r>
      <w:r>
        <w:rPr>
          <w:rFonts w:hint="eastAsia" w:ascii="宋体" w:hAnsi="宋体" w:eastAsia="宋体" w:cs="宋体"/>
          <w:color w:val="000000"/>
          <w:sz w:val="24"/>
          <w:lang w:eastAsia="zh-CN"/>
        </w:rPr>
        <w:t>胡春强、张蒙蒙、</w:t>
      </w:r>
      <w:r>
        <w:rPr>
          <w:rFonts w:hint="eastAsia" w:ascii="宋体" w:hAnsi="宋体" w:eastAsia="宋体" w:cs="宋体"/>
          <w:color w:val="000000"/>
          <w:sz w:val="24"/>
          <w:lang w:val="en-US" w:eastAsia="zh-CN"/>
        </w:rPr>
        <w:t>浙江三江房地产开发有限公司</w:t>
      </w:r>
      <w:r>
        <w:rPr>
          <w:rFonts w:hint="eastAsia" w:ascii="宋体" w:hAnsi="宋体" w:eastAsia="宋体" w:cs="宋体"/>
          <w:color w:val="000000"/>
          <w:sz w:val="24"/>
        </w:rPr>
        <w:t>金融借款合同纠纷一案中涉及的</w:t>
      </w:r>
      <w:r>
        <w:rPr>
          <w:rFonts w:hint="eastAsia" w:ascii="宋体" w:hAnsi="宋体" w:eastAsia="宋体" w:cs="宋体"/>
          <w:sz w:val="24"/>
        </w:rPr>
        <w:t>房地产价值</w:t>
      </w:r>
      <w:r>
        <w:rPr>
          <w:rFonts w:hint="eastAsia" w:ascii="宋体" w:hAnsi="宋体" w:eastAsia="宋体" w:cs="宋体"/>
          <w:color w:val="000000"/>
          <w:sz w:val="24"/>
        </w:rPr>
        <w:t>进行评估</w:t>
      </w:r>
      <w:r>
        <w:rPr>
          <w:rFonts w:hint="eastAsia" w:ascii="宋体" w:hAnsi="宋体" w:eastAsia="宋体" w:cs="宋体"/>
          <w:sz w:val="24"/>
        </w:rPr>
        <w:t>。本公司评估人员按照必要的评估程序，对委托评估的资产实施了实地查勘、市场调查，根据《资产评估准则》及相关专业规范性文件发表价值意见。</w:t>
      </w:r>
    </w:p>
    <w:p>
      <w:pPr>
        <w:spacing w:line="360" w:lineRule="auto"/>
        <w:ind w:firstLine="480" w:firstLineChars="200"/>
        <w:rPr>
          <w:rFonts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2022年10月21日</w:t>
      </w:r>
      <w:r>
        <w:rPr>
          <w:rFonts w:hint="eastAsia" w:ascii="宋体" w:hAnsi="宋体" w:eastAsia="宋体" w:cs="宋体"/>
          <w:sz w:val="24"/>
        </w:rPr>
        <w:t>所表现的市场价值作出了恰当的反映。现将评估报告摘要如下：</w:t>
      </w:r>
    </w:p>
    <w:p>
      <w:pPr>
        <w:pStyle w:val="6"/>
        <w:numPr>
          <w:ilvl w:val="0"/>
          <w:numId w:val="3"/>
        </w:numPr>
        <w:adjustRightInd w:val="0"/>
        <w:snapToGrid w:val="0"/>
        <w:spacing w:after="0" w:line="360" w:lineRule="auto"/>
        <w:ind w:firstLine="480"/>
        <w:rPr>
          <w:rFonts w:ascii="宋体" w:hAnsi="宋体" w:eastAsia="宋体" w:cs="宋体"/>
          <w:sz w:val="24"/>
        </w:rPr>
      </w:pPr>
      <w:r>
        <w:rPr>
          <w:rFonts w:hint="eastAsia" w:ascii="宋体" w:hAnsi="宋体" w:eastAsia="宋体" w:cs="宋体"/>
          <w:sz w:val="24"/>
        </w:rPr>
        <w:t>评估目的：因执行（2022）浙0111执</w:t>
      </w:r>
      <w:r>
        <w:rPr>
          <w:rFonts w:hint="eastAsia" w:ascii="宋体" w:hAnsi="宋体" w:eastAsia="宋体" w:cs="宋体"/>
          <w:sz w:val="24"/>
          <w:lang w:val="en-US" w:eastAsia="zh-CN"/>
        </w:rPr>
        <w:t>2877</w:t>
      </w:r>
      <w:r>
        <w:rPr>
          <w:rFonts w:hint="eastAsia" w:ascii="宋体" w:hAnsi="宋体" w:eastAsia="宋体" w:cs="宋体"/>
          <w:sz w:val="24"/>
        </w:rPr>
        <w:t>号申请执行人中国邮政储蓄银行股份有限公司杭州市富阳区支行与被执行人</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浙江三江房地产开发有限公司</w:t>
      </w:r>
      <w:r>
        <w:rPr>
          <w:rFonts w:hint="eastAsia" w:ascii="宋体" w:hAnsi="宋体" w:eastAsia="宋体" w:cs="宋体"/>
          <w:sz w:val="24"/>
        </w:rPr>
        <w:t>金融借款合同纠纷一案中，对案件中涉及的位于杭州市富阳区新登镇澳海澜庭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房地产市场价值进行评估。本次评估目的是为人民法院确定财产处置参考价提供服务</w:t>
      </w:r>
      <w:r>
        <w:rPr>
          <w:rFonts w:hint="eastAsia" w:ascii="宋体" w:hAnsi="宋体" w:eastAsia="宋体" w:cs="宋体"/>
          <w:color w:val="000000"/>
          <w:sz w:val="24"/>
        </w:rPr>
        <w:t>。</w:t>
      </w:r>
    </w:p>
    <w:p>
      <w:pPr>
        <w:pStyle w:val="6"/>
        <w:numPr>
          <w:ilvl w:val="0"/>
          <w:numId w:val="3"/>
        </w:numPr>
        <w:adjustRightInd w:val="0"/>
        <w:snapToGrid w:val="0"/>
        <w:spacing w:after="0" w:line="360" w:lineRule="auto"/>
        <w:ind w:firstLine="480"/>
        <w:rPr>
          <w:rFonts w:ascii="宋体" w:hAnsi="宋体" w:eastAsia="宋体" w:cs="宋体"/>
          <w:sz w:val="24"/>
        </w:rPr>
      </w:pPr>
      <w:r>
        <w:rPr>
          <w:rFonts w:hint="eastAsia" w:ascii="宋体" w:hAnsi="宋体" w:eastAsia="宋体" w:cs="宋体"/>
          <w:sz w:val="24"/>
        </w:rPr>
        <w:t>评估对象及范围：评估对象是</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所有的登记在浙江三江房地产开发有限公司</w:t>
      </w:r>
      <w:r>
        <w:rPr>
          <w:rFonts w:hint="eastAsia" w:ascii="宋体" w:hAnsi="宋体" w:eastAsia="宋体" w:cs="宋体"/>
          <w:sz w:val="24"/>
        </w:rPr>
        <w:t>名下的</w:t>
      </w:r>
      <w:r>
        <w:rPr>
          <w:rFonts w:hint="eastAsia" w:ascii="宋体" w:hAnsi="宋体" w:eastAsia="宋体" w:cs="宋体"/>
          <w:sz w:val="24"/>
          <w:lang w:val="en-US" w:eastAsia="zh-CN"/>
        </w:rPr>
        <w:t>位于</w:t>
      </w:r>
      <w:r>
        <w:rPr>
          <w:rFonts w:hint="eastAsia" w:ascii="宋体" w:hAnsi="宋体" w:eastAsia="宋体" w:cs="宋体"/>
          <w:sz w:val="24"/>
        </w:rPr>
        <w:t>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房地产的市场价值。评估范围为</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所有的登记在浙江三江房地产开发有限公司</w:t>
      </w:r>
      <w:r>
        <w:rPr>
          <w:rFonts w:hint="eastAsia" w:ascii="宋体" w:hAnsi="宋体" w:eastAsia="宋体" w:cs="宋体"/>
          <w:sz w:val="24"/>
        </w:rPr>
        <w:t>名下的杭州市富阳区新登镇澳海澜庭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w:t>
      </w:r>
      <w:r>
        <w:rPr>
          <w:rFonts w:hint="eastAsia" w:ascii="宋体" w:hAnsi="宋体" w:eastAsia="宋体" w:cs="宋体"/>
          <w:color w:val="auto"/>
          <w:sz w:val="24"/>
        </w:rPr>
        <w:t>建筑面积为</w:t>
      </w:r>
      <w:r>
        <w:rPr>
          <w:rFonts w:hint="eastAsia" w:ascii="宋体" w:hAnsi="宋体" w:eastAsia="宋体" w:cs="宋体"/>
          <w:color w:val="auto"/>
          <w:sz w:val="24"/>
          <w:lang w:eastAsia="zh-CN"/>
        </w:rPr>
        <w:t>123.07</w:t>
      </w:r>
      <w:r>
        <w:rPr>
          <w:rFonts w:hint="eastAsia" w:ascii="宋体" w:hAnsi="宋体" w:eastAsia="宋体" w:cs="宋体"/>
          <w:color w:val="auto"/>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三、价值类型：市场价值</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四、评估基准日：</w:t>
      </w:r>
      <w:r>
        <w:rPr>
          <w:rFonts w:hint="eastAsia" w:ascii="宋体" w:hAnsi="宋体" w:eastAsia="宋体" w:cs="宋体"/>
          <w:sz w:val="24"/>
          <w:lang w:eastAsia="zh-CN"/>
        </w:rPr>
        <w:t>2022年10月21日</w:t>
      </w:r>
    </w:p>
    <w:p>
      <w:pPr>
        <w:spacing w:line="360" w:lineRule="auto"/>
        <w:ind w:firstLine="480" w:firstLineChars="200"/>
        <w:rPr>
          <w:rFonts w:ascii="宋体" w:hAnsi="宋体" w:eastAsia="宋体" w:cs="宋体"/>
          <w:sz w:val="24"/>
        </w:rPr>
      </w:pPr>
      <w:r>
        <w:rPr>
          <w:rFonts w:hint="eastAsia" w:ascii="宋体" w:hAnsi="宋体" w:eastAsia="宋体" w:cs="宋体"/>
          <w:sz w:val="24"/>
        </w:rPr>
        <w:t>五、评估方法：市场法</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六、评估结论：</w:t>
      </w:r>
      <w:bookmarkStart w:id="20" w:name="_Hlk93586035"/>
      <w:r>
        <w:rPr>
          <w:rFonts w:hint="eastAsia" w:ascii="宋体" w:hAnsi="宋体" w:eastAsia="宋体" w:cs="宋体"/>
          <w:sz w:val="24"/>
        </w:rPr>
        <w:t>经实施评估程序后，在评估基准日</w:t>
      </w:r>
      <w:r>
        <w:rPr>
          <w:rFonts w:hint="eastAsia" w:ascii="宋体" w:hAnsi="宋体" w:eastAsia="宋体" w:cs="宋体"/>
          <w:sz w:val="24"/>
          <w:lang w:eastAsia="zh-CN"/>
        </w:rPr>
        <w:t>2022年10月21日</w:t>
      </w:r>
      <w:r>
        <w:rPr>
          <w:rFonts w:hint="eastAsia" w:ascii="宋体" w:hAnsi="宋体" w:eastAsia="宋体" w:cs="宋体"/>
          <w:sz w:val="24"/>
        </w:rPr>
        <w:t>，在本报告所揭示的假设前提条件基础上，委评资产的评估价值为</w:t>
      </w:r>
      <w:r>
        <w:rPr>
          <w:rFonts w:hint="eastAsia" w:ascii="宋体" w:hAnsi="宋体" w:eastAsia="宋体" w:cs="宋体"/>
          <w:sz w:val="24"/>
          <w:lang w:eastAsia="zh-CN"/>
        </w:rPr>
        <w:t xml:space="preserve">1,298,500.00  </w:t>
      </w:r>
      <w:r>
        <w:rPr>
          <w:rFonts w:hint="eastAsia" w:ascii="宋体" w:hAnsi="宋体" w:eastAsia="宋体" w:cs="宋体"/>
          <w:sz w:val="24"/>
        </w:rPr>
        <w:t>元（大写人民币</w:t>
      </w:r>
      <w:r>
        <w:rPr>
          <w:rFonts w:hint="eastAsia" w:ascii="宋体" w:hAnsi="宋体" w:eastAsia="宋体" w:cs="宋体"/>
          <w:sz w:val="24"/>
          <w:lang w:eastAsia="zh-CN"/>
        </w:rPr>
        <w:t>壹佰贰拾玖万捌仟伍佰元</w:t>
      </w:r>
      <w:r>
        <w:rPr>
          <w:rFonts w:hint="eastAsia" w:ascii="宋体" w:hAnsi="宋体" w:eastAsia="宋体" w:cs="宋体"/>
          <w:sz w:val="24"/>
        </w:rPr>
        <w:t>整）。</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4205"/>
        <w:gridCol w:w="127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序号</w:t>
            </w:r>
          </w:p>
        </w:tc>
        <w:tc>
          <w:tcPr>
            <w:tcW w:w="246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资产名称</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面积（㎡）</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1</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杭州市富阳区新登镇澳海澜庭57号808室房地产</w:t>
            </w:r>
          </w:p>
        </w:tc>
        <w:tc>
          <w:tcPr>
            <w:tcW w:w="748" w:type="pct"/>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123.07</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1,298,500.00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8" w:type="pct"/>
            <w:vAlign w:val="top"/>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748"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35"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1,298,500.00  </w:t>
            </w:r>
          </w:p>
        </w:tc>
      </w:tr>
    </w:tbl>
    <w:p>
      <w:pPr>
        <w:pStyle w:val="2"/>
      </w:pPr>
    </w:p>
    <w:bookmarkEnd w:id="20"/>
    <w:p>
      <w:pPr>
        <w:spacing w:line="360" w:lineRule="auto"/>
        <w:ind w:firstLine="480" w:firstLineChars="200"/>
        <w:rPr>
          <w:rFonts w:ascii="宋体" w:hAnsi="宋体" w:eastAsia="宋体" w:cs="宋体"/>
          <w:sz w:val="24"/>
        </w:rPr>
      </w:pPr>
      <w:r>
        <w:rPr>
          <w:rFonts w:hint="eastAsia" w:ascii="宋体" w:hAnsi="宋体" w:eastAsia="宋体" w:cs="宋体"/>
          <w:sz w:val="24"/>
        </w:rPr>
        <w:t>评估结论的详细情况见评估明细表。</w:t>
      </w:r>
    </w:p>
    <w:p>
      <w:pPr>
        <w:spacing w:line="360" w:lineRule="auto"/>
        <w:ind w:firstLine="480" w:firstLineChars="200"/>
        <w:rPr>
          <w:rFonts w:ascii="宋体" w:hAnsi="宋体" w:eastAsia="宋体" w:cs="宋体"/>
          <w:sz w:val="24"/>
        </w:rPr>
      </w:pPr>
      <w:r>
        <w:rPr>
          <w:rFonts w:hint="eastAsia" w:ascii="宋体" w:hAnsi="宋体" w:eastAsia="宋体" w:cs="宋体"/>
          <w:sz w:val="24"/>
        </w:rPr>
        <w:t>本报告书评估结论的有效期限为壹年，自评估基准日</w:t>
      </w:r>
      <w:r>
        <w:rPr>
          <w:rFonts w:hint="eastAsia" w:ascii="宋体" w:hAnsi="宋体" w:eastAsia="宋体" w:cs="宋体"/>
          <w:sz w:val="24"/>
          <w:lang w:eastAsia="zh-CN"/>
        </w:rPr>
        <w:t>2022年10月21日</w:t>
      </w:r>
      <w:r>
        <w:rPr>
          <w:rFonts w:hint="eastAsia" w:ascii="宋体" w:hAnsi="宋体" w:eastAsia="宋体" w:cs="宋体"/>
          <w:sz w:val="24"/>
        </w:rPr>
        <w:t>起2023年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20</w:t>
      </w:r>
      <w:r>
        <w:rPr>
          <w:rFonts w:hint="eastAsia" w:ascii="宋体" w:hAnsi="宋体" w:eastAsia="宋体" w:cs="宋体"/>
          <w:sz w:val="24"/>
        </w:rPr>
        <w:t>日止，只有当评估基准日与经济行为实现日期不超过一年时，才可以使用本评估报告，超过期限，需重新确定评估结论。</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Style w:val="2"/>
      </w:pPr>
    </w:p>
    <w:p>
      <w:pPr>
        <w:pStyle w:val="2"/>
      </w:pPr>
    </w:p>
    <w:p>
      <w:pPr>
        <w:pStyle w:val="2"/>
        <w:spacing w:line="360" w:lineRule="auto"/>
        <w:ind w:firstLine="602" w:firstLineChars="200"/>
        <w:rPr>
          <w:rFonts w:hAnsi="宋体"/>
          <w:b/>
          <w:bCs/>
          <w:sz w:val="30"/>
          <w:szCs w:val="30"/>
        </w:rPr>
      </w:pPr>
      <w:r>
        <w:rPr>
          <w:rFonts w:hint="eastAsia" w:hAnsi="宋体"/>
          <w:b/>
          <w:bCs/>
          <w:sz w:val="30"/>
          <w:szCs w:val="30"/>
        </w:rPr>
        <w:t>以上摘自评估报告正文，欲了解本评估项目的详细情况和合理理解评估结论，应当阅读评估报告正文，同时提请资产评估报告使用人关注资产评估报告中的评估假设、限制使用条件以及特别事项说明。</w:t>
      </w:r>
    </w:p>
    <w:p>
      <w:pPr>
        <w:pStyle w:val="2"/>
        <w:spacing w:line="360" w:lineRule="auto"/>
        <w:ind w:firstLine="602" w:firstLineChars="200"/>
        <w:rPr>
          <w:rFonts w:hAnsi="宋体"/>
          <w:b/>
          <w:bCs/>
          <w:sz w:val="30"/>
          <w:szCs w:val="30"/>
          <w:shd w:val="clear" w:color="auto" w:fill="FFFFFF"/>
        </w:rPr>
      </w:pPr>
    </w:p>
    <w:p>
      <w:pPr>
        <w:pStyle w:val="2"/>
        <w:spacing w:line="360" w:lineRule="auto"/>
        <w:ind w:firstLine="602" w:firstLineChars="200"/>
        <w:rPr>
          <w:rFonts w:hAnsi="宋体"/>
          <w:b/>
          <w:bCs/>
          <w:sz w:val="30"/>
          <w:szCs w:val="30"/>
          <w:shd w:val="clear" w:color="auto" w:fill="FFFFFF"/>
        </w:rPr>
      </w:pPr>
    </w:p>
    <w:p>
      <w:pPr>
        <w:pStyle w:val="2"/>
        <w:spacing w:line="360" w:lineRule="auto"/>
        <w:ind w:firstLine="602" w:firstLineChars="200"/>
        <w:rPr>
          <w:rFonts w:hAnsi="宋体"/>
          <w:b/>
          <w:bCs/>
          <w:sz w:val="30"/>
          <w:szCs w:val="30"/>
          <w:shd w:val="clear" w:color="auto" w:fill="FFFFFF"/>
        </w:rPr>
      </w:pPr>
    </w:p>
    <w:p>
      <w:pPr>
        <w:pStyle w:val="2"/>
        <w:spacing w:line="360" w:lineRule="auto"/>
        <w:ind w:firstLine="602" w:firstLineChars="200"/>
        <w:rPr>
          <w:rFonts w:hAnsi="宋体"/>
          <w:b/>
          <w:bCs/>
          <w:sz w:val="30"/>
          <w:szCs w:val="30"/>
          <w:shd w:val="clear" w:color="auto" w:fill="FFFFFF"/>
        </w:rPr>
      </w:pPr>
    </w:p>
    <w:p>
      <w:pPr>
        <w:pStyle w:val="2"/>
        <w:spacing w:line="360" w:lineRule="auto"/>
        <w:rPr>
          <w:rFonts w:hAnsi="宋体"/>
          <w:b/>
          <w:bCs/>
          <w:sz w:val="30"/>
          <w:szCs w:val="30"/>
          <w:shd w:val="clear" w:color="auto" w:fill="FFFFFF"/>
        </w:rPr>
      </w:pP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杭州市富阳区人民法院拟财产处置涉及的</w:t>
      </w:r>
    </w:p>
    <w:p>
      <w:pPr>
        <w:spacing w:line="360" w:lineRule="auto"/>
        <w:ind w:right="-2" w:rightChars="-1"/>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胡春强、张蒙蒙所有的登记在浙江三江房地产开发有限公司名下位于</w:t>
      </w:r>
      <w:r>
        <w:rPr>
          <w:rFonts w:hint="eastAsia" w:ascii="宋体" w:hAnsi="宋体" w:eastAsia="宋体" w:cs="宋体"/>
          <w:b/>
          <w:sz w:val="28"/>
          <w:szCs w:val="28"/>
        </w:rPr>
        <w:t>杭州市富阳区新登镇澳海澜庭</w:t>
      </w:r>
      <w:r>
        <w:rPr>
          <w:rFonts w:hint="eastAsia" w:ascii="宋体" w:hAnsi="宋体" w:eastAsia="宋体" w:cs="宋体"/>
          <w:b/>
          <w:sz w:val="28"/>
          <w:szCs w:val="28"/>
          <w:lang w:eastAsia="zh-CN"/>
        </w:rPr>
        <w:t>57号808室</w:t>
      </w:r>
    </w:p>
    <w:p>
      <w:pPr>
        <w:spacing w:line="360" w:lineRule="auto"/>
        <w:ind w:right="-2" w:rightChars="-1"/>
        <w:jc w:val="center"/>
        <w:rPr>
          <w:rFonts w:ascii="宋体" w:hAnsi="宋体" w:eastAsia="宋体" w:cs="宋体"/>
          <w:b/>
          <w:sz w:val="28"/>
          <w:szCs w:val="28"/>
        </w:rPr>
      </w:pPr>
      <w:r>
        <w:rPr>
          <w:rFonts w:hint="eastAsia" w:ascii="宋体" w:hAnsi="宋体" w:eastAsia="宋体" w:cs="宋体"/>
          <w:b/>
          <w:sz w:val="28"/>
          <w:szCs w:val="28"/>
        </w:rPr>
        <w:t>房地产市场价值司法评估项目</w:t>
      </w:r>
    </w:p>
    <w:p>
      <w:pPr>
        <w:pStyle w:val="13"/>
        <w:spacing w:before="0" w:after="0" w:line="360" w:lineRule="auto"/>
        <w:rPr>
          <w:rFonts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ascii="宋体" w:hAnsi="宋体" w:eastAsia="宋体" w:cs="宋体"/>
          <w:b/>
          <w:bCs/>
          <w:sz w:val="24"/>
        </w:rPr>
      </w:pPr>
      <w:r>
        <w:rPr>
          <w:rFonts w:hint="eastAsia" w:ascii="宋体" w:hAnsi="宋体" w:eastAsia="宋体" w:cs="宋体"/>
          <w:b/>
          <w:bCs/>
          <w:sz w:val="24"/>
        </w:rPr>
        <w:t>富资评字【2022】SF第</w:t>
      </w:r>
      <w:r>
        <w:rPr>
          <w:rFonts w:hint="eastAsia" w:ascii="宋体" w:hAnsi="宋体" w:eastAsia="宋体" w:cs="宋体"/>
          <w:b/>
          <w:bCs/>
          <w:sz w:val="24"/>
          <w:lang w:val="en-US" w:eastAsia="zh-CN"/>
        </w:rPr>
        <w:t>0076</w:t>
      </w:r>
      <w:r>
        <w:rPr>
          <w:rFonts w:hint="eastAsia" w:ascii="宋体" w:hAnsi="宋体" w:eastAsia="宋体" w:cs="宋体"/>
          <w:b/>
          <w:bCs/>
          <w:sz w:val="24"/>
        </w:rPr>
        <w:t>号</w:t>
      </w:r>
    </w:p>
    <w:p>
      <w:pPr>
        <w:pStyle w:val="13"/>
        <w:spacing w:before="0" w:after="0" w:line="360" w:lineRule="auto"/>
        <w:rPr>
          <w:rFonts w:ascii="宋体" w:hAnsi="宋体" w:eastAsia="宋体" w:cs="宋体"/>
        </w:rPr>
      </w:pPr>
      <w:bookmarkStart w:id="81" w:name="_GoBack"/>
      <w:bookmarkEnd w:id="81"/>
      <w:bookmarkStart w:id="21" w:name="_Toc37185837"/>
      <w:r>
        <w:rPr>
          <w:rFonts w:hint="eastAsia" w:ascii="宋体" w:hAnsi="宋体" w:eastAsia="宋体" w:cs="宋体"/>
        </w:rPr>
        <w:t>正  文</w:t>
      </w:r>
      <w:bookmarkEnd w:id="21"/>
    </w:p>
    <w:p>
      <w:pPr>
        <w:spacing w:line="360" w:lineRule="auto"/>
        <w:rPr>
          <w:rFonts w:ascii="宋体" w:hAnsi="宋体" w:eastAsia="宋体" w:cs="宋体"/>
          <w:sz w:val="24"/>
        </w:rPr>
      </w:pPr>
      <w:r>
        <w:rPr>
          <w:rFonts w:hint="eastAsia" w:ascii="宋体" w:hAnsi="宋体" w:eastAsia="宋体" w:cs="宋体"/>
          <w:sz w:val="24"/>
        </w:rPr>
        <w:t>杭州市富阳区人民法院：</w:t>
      </w:r>
    </w:p>
    <w:p>
      <w:pPr>
        <w:spacing w:line="360" w:lineRule="auto"/>
        <w:ind w:firstLine="480" w:firstLineChars="200"/>
        <w:rPr>
          <w:rFonts w:ascii="宋体" w:hAnsi="宋体" w:eastAsia="宋体" w:cs="宋体"/>
          <w:sz w:val="24"/>
        </w:rPr>
      </w:pPr>
      <w:r>
        <w:rPr>
          <w:rFonts w:hint="eastAsia" w:ascii="宋体" w:hAnsi="宋体" w:eastAsia="宋体" w:cs="宋体"/>
          <w:sz w:val="24"/>
        </w:rPr>
        <w:t>杭州富诚资产评估有限公司接受贵单位的委托，根据国家有关资产评估的规定，本着客观、独立、公正的原则，采用公认的资产评估方法，对申请执行人</w:t>
      </w:r>
      <w:r>
        <w:rPr>
          <w:rFonts w:hint="eastAsia" w:ascii="宋体" w:hAnsi="宋体" w:eastAsia="宋体" w:cs="宋体"/>
          <w:color w:val="000000"/>
          <w:sz w:val="24"/>
        </w:rPr>
        <w:t>中国邮政储蓄银行股份有限公司杭州市富阳区支行与被执行人</w:t>
      </w:r>
      <w:r>
        <w:rPr>
          <w:rFonts w:hint="eastAsia" w:ascii="宋体" w:hAnsi="宋体" w:eastAsia="宋体" w:cs="宋体"/>
          <w:color w:val="000000"/>
          <w:sz w:val="24"/>
          <w:lang w:eastAsia="zh-CN"/>
        </w:rPr>
        <w:t>胡春强、张蒙蒙、</w:t>
      </w:r>
      <w:r>
        <w:rPr>
          <w:rFonts w:hint="eastAsia" w:ascii="宋体" w:hAnsi="宋体" w:eastAsia="宋体" w:cs="宋体"/>
          <w:color w:val="000000"/>
          <w:sz w:val="24"/>
          <w:lang w:val="en-US" w:eastAsia="zh-CN"/>
        </w:rPr>
        <w:t>浙江三江房地产开发有限公司</w:t>
      </w:r>
      <w:r>
        <w:rPr>
          <w:rFonts w:hint="eastAsia" w:ascii="宋体" w:hAnsi="宋体" w:eastAsia="宋体" w:cs="宋体"/>
          <w:color w:val="000000"/>
          <w:sz w:val="24"/>
        </w:rPr>
        <w:t>金融借款合同纠纷一案中</w:t>
      </w:r>
      <w:r>
        <w:rPr>
          <w:rFonts w:hint="eastAsia" w:ascii="宋体" w:hAnsi="宋体" w:eastAsia="宋体" w:cs="宋体"/>
          <w:sz w:val="24"/>
        </w:rPr>
        <w:t>涉及的房地产市场价值进行评估。本公司评估人员按照必要的评估程序，对委托评估的资产实施了实地查勘、市场调查。本公司在此基础上根据《资产评估准则》及相关专业规范性文件发表价值意见。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2022年10月21日</w:t>
      </w:r>
      <w:r>
        <w:rPr>
          <w:rFonts w:hint="eastAsia" w:ascii="宋体" w:hAnsi="宋体" w:eastAsia="宋体" w:cs="宋体"/>
          <w:sz w:val="24"/>
        </w:rPr>
        <w:t>所表现的市场价值作出了恰当的反映。现将资产评估情况及评估结果报告如下：</w:t>
      </w:r>
    </w:p>
    <w:p>
      <w:pPr>
        <w:tabs>
          <w:tab w:val="left" w:pos="540"/>
        </w:tabs>
        <w:spacing w:line="360" w:lineRule="auto"/>
        <w:outlineLvl w:val="0"/>
        <w:rPr>
          <w:rFonts w:ascii="宋体" w:hAnsi="宋体" w:eastAsia="宋体" w:cs="宋体"/>
          <w:b/>
          <w:sz w:val="24"/>
          <w:lang w:eastAsia="zh-Hans"/>
        </w:rPr>
      </w:pPr>
      <w:bookmarkStart w:id="22" w:name="_Toc498855171_WPSOffice_Level1"/>
      <w:bookmarkStart w:id="23" w:name="_Toc37185838"/>
      <w:bookmarkStart w:id="24" w:name="_Toc37165316"/>
      <w:r>
        <w:rPr>
          <w:rFonts w:hint="eastAsia" w:ascii="宋体" w:hAnsi="宋体" w:eastAsia="宋体" w:cs="宋体"/>
          <w:b/>
          <w:sz w:val="24"/>
          <w:lang w:eastAsia="zh-Hans"/>
        </w:rPr>
        <w:t>一、委托人、产权持有人和资产评估委托合同约定的其他资产评估报告使用人</w:t>
      </w:r>
      <w:bookmarkEnd w:id="22"/>
      <w:bookmarkEnd w:id="23"/>
      <w:bookmarkEnd w:id="24"/>
    </w:p>
    <w:p>
      <w:pPr>
        <w:spacing w:line="360" w:lineRule="auto"/>
        <w:ind w:left="420" w:leftChars="200"/>
        <w:rPr>
          <w:rFonts w:ascii="宋体" w:hAnsi="宋体" w:eastAsia="宋体" w:cs="宋体"/>
          <w:sz w:val="24"/>
        </w:rPr>
      </w:pPr>
      <w:r>
        <w:rPr>
          <w:rFonts w:hint="eastAsia" w:ascii="宋体" w:hAnsi="宋体" w:eastAsia="宋体" w:cs="宋体"/>
          <w:sz w:val="24"/>
        </w:rPr>
        <w:t>（一）委托人基本概况</w:t>
      </w:r>
    </w:p>
    <w:p>
      <w:pPr>
        <w:spacing w:line="360" w:lineRule="auto"/>
        <w:ind w:firstLine="480" w:firstLineChars="200"/>
        <w:rPr>
          <w:rFonts w:ascii="宋体" w:hAnsi="宋体" w:eastAsia="宋体" w:cs="宋体"/>
          <w:sz w:val="24"/>
        </w:rPr>
      </w:pPr>
      <w:r>
        <w:rPr>
          <w:rFonts w:hint="eastAsia" w:ascii="宋体" w:hAnsi="宋体" w:eastAsia="宋体" w:cs="宋体"/>
          <w:sz w:val="24"/>
        </w:rPr>
        <w:t>名称：杭州市富阳区人民法院；</w:t>
      </w:r>
    </w:p>
    <w:p>
      <w:pPr>
        <w:spacing w:line="360" w:lineRule="auto"/>
        <w:ind w:firstLine="480" w:firstLineChars="200"/>
        <w:rPr>
          <w:rFonts w:ascii="宋体" w:hAnsi="宋体" w:eastAsia="宋体" w:cs="宋体"/>
          <w:sz w:val="24"/>
        </w:rPr>
      </w:pPr>
      <w:r>
        <w:rPr>
          <w:rFonts w:hint="eastAsia" w:ascii="宋体" w:hAnsi="宋体" w:eastAsia="宋体" w:cs="宋体"/>
          <w:sz w:val="24"/>
        </w:rPr>
        <w:t>注册地址：杭州市富阳区文居街282号；</w:t>
      </w:r>
    </w:p>
    <w:p>
      <w:pPr>
        <w:pStyle w:val="2"/>
        <w:spacing w:line="360" w:lineRule="auto"/>
        <w:ind w:firstLine="480"/>
        <w:rPr>
          <w:rFonts w:hint="eastAsia" w:hAnsi="宋体"/>
        </w:rPr>
      </w:pPr>
      <w:r>
        <w:rPr>
          <w:rFonts w:hint="eastAsia" w:hAnsi="宋体"/>
        </w:rPr>
        <w:t>类型：机关单位；</w:t>
      </w:r>
    </w:p>
    <w:p>
      <w:pPr>
        <w:pStyle w:val="2"/>
        <w:spacing w:line="360" w:lineRule="auto"/>
        <w:ind w:firstLine="480"/>
        <w:rPr>
          <w:rFonts w:hAnsi="宋体"/>
        </w:rPr>
      </w:pPr>
      <w:r>
        <w:rPr>
          <w:rFonts w:hint="eastAsia" w:hAnsi="宋体"/>
        </w:rPr>
        <w:t>法定代表人：赵平。</w:t>
      </w:r>
    </w:p>
    <w:p>
      <w:pPr>
        <w:spacing w:line="360" w:lineRule="auto"/>
        <w:ind w:left="420" w:leftChars="200"/>
        <w:rPr>
          <w:rFonts w:ascii="宋体" w:hAnsi="宋体" w:eastAsia="宋体" w:cs="宋体"/>
          <w:sz w:val="24"/>
        </w:rPr>
      </w:pPr>
      <w:r>
        <w:rPr>
          <w:rFonts w:hint="eastAsia" w:ascii="宋体" w:hAnsi="宋体" w:eastAsia="宋体" w:cs="宋体"/>
          <w:sz w:val="24"/>
        </w:rPr>
        <w:t>（二）产权持有人概况</w:t>
      </w:r>
    </w:p>
    <w:p>
      <w:pPr>
        <w:tabs>
          <w:tab w:val="left" w:pos="1080"/>
        </w:tabs>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权利人</w:t>
      </w:r>
      <w:r>
        <w:rPr>
          <w:rFonts w:hint="eastAsia" w:ascii="宋体" w:hAnsi="宋体" w:eastAsia="宋体" w:cs="宋体"/>
          <w:sz w:val="24"/>
        </w:rPr>
        <w:t>：</w:t>
      </w:r>
      <w:r>
        <w:rPr>
          <w:rFonts w:hint="eastAsia" w:ascii="宋体" w:hAnsi="宋体" w:eastAsia="宋体" w:cs="宋体"/>
          <w:sz w:val="24"/>
          <w:lang w:val="en-US" w:eastAsia="zh-CN"/>
        </w:rPr>
        <w:t>浙江三江房地产开发有限公司</w:t>
      </w:r>
    </w:p>
    <w:p>
      <w:pPr>
        <w:spacing w:line="360" w:lineRule="auto"/>
        <w:ind w:left="420" w:leftChars="200"/>
        <w:rPr>
          <w:rFonts w:ascii="宋体" w:hAnsi="宋体" w:eastAsia="宋体" w:cs="宋体"/>
          <w:sz w:val="24"/>
        </w:rPr>
      </w:pPr>
      <w:r>
        <w:rPr>
          <w:rFonts w:hint="eastAsia" w:ascii="宋体" w:hAnsi="宋体" w:eastAsia="宋体" w:cs="宋体"/>
          <w:sz w:val="24"/>
        </w:rPr>
        <w:t>（三）委托人、产权持有人关系</w:t>
      </w:r>
    </w:p>
    <w:p>
      <w:pPr>
        <w:pStyle w:val="2"/>
        <w:spacing w:line="360" w:lineRule="auto"/>
        <w:rPr>
          <w:rFonts w:hAnsi="宋体"/>
        </w:rPr>
      </w:pPr>
      <w:r>
        <w:rPr>
          <w:rFonts w:hint="eastAsia" w:hAnsi="宋体"/>
        </w:rPr>
        <w:t xml:space="preserve">    委托人与产权持有人的关系为资产处置的权利主体与被执行人。</w:t>
      </w:r>
    </w:p>
    <w:p>
      <w:pPr>
        <w:tabs>
          <w:tab w:val="left" w:pos="720"/>
        </w:tabs>
        <w:spacing w:line="360" w:lineRule="auto"/>
        <w:ind w:left="420" w:leftChars="200"/>
        <w:rPr>
          <w:rFonts w:ascii="宋体" w:hAnsi="宋体" w:eastAsia="宋体" w:cs="宋体"/>
          <w:sz w:val="24"/>
        </w:rPr>
      </w:pPr>
      <w:r>
        <w:rPr>
          <w:rFonts w:hint="eastAsia" w:ascii="宋体" w:hAnsi="宋体" w:eastAsia="宋体" w:cs="宋体"/>
          <w:sz w:val="24"/>
        </w:rPr>
        <w:t>（四</w:t>
      </w:r>
      <w:r>
        <w:rPr>
          <w:rFonts w:hint="eastAsia" w:ascii="宋体" w:hAnsi="宋体" w:eastAsia="宋体" w:cs="宋体"/>
          <w:sz w:val="24"/>
          <w:lang w:eastAsia="zh-Hans"/>
        </w:rPr>
        <w:t>）</w:t>
      </w:r>
      <w:r>
        <w:rPr>
          <w:rFonts w:hint="eastAsia" w:ascii="宋体" w:hAnsi="宋体" w:eastAsia="宋体" w:cs="宋体"/>
          <w:sz w:val="24"/>
        </w:rPr>
        <w:t>资产评估委托合同约定的其他资产评估报告使用人</w:t>
      </w:r>
    </w:p>
    <w:p>
      <w:pPr>
        <w:spacing w:line="360" w:lineRule="auto"/>
        <w:ind w:firstLine="480" w:firstLineChars="200"/>
        <w:rPr>
          <w:rFonts w:ascii="宋体" w:hAnsi="宋体" w:eastAsia="宋体" w:cs="宋体"/>
          <w:sz w:val="24"/>
        </w:rPr>
      </w:pPr>
      <w:r>
        <w:rPr>
          <w:rFonts w:hint="eastAsia" w:ascii="宋体" w:hAnsi="宋体" w:eastAsia="宋体" w:cs="宋体"/>
          <w:sz w:val="24"/>
        </w:rPr>
        <w:t>本资产评估报告的使用人包括委托人和资产评估委托合同约定的其他资产评估报告使用人。</w:t>
      </w:r>
    </w:p>
    <w:p>
      <w:pPr>
        <w:tabs>
          <w:tab w:val="left" w:pos="540"/>
        </w:tabs>
        <w:spacing w:line="360" w:lineRule="auto"/>
        <w:outlineLvl w:val="0"/>
        <w:rPr>
          <w:rFonts w:ascii="宋体" w:hAnsi="宋体" w:eastAsia="宋体" w:cs="宋体"/>
          <w:b/>
          <w:sz w:val="24"/>
        </w:rPr>
      </w:pPr>
      <w:bookmarkStart w:id="25" w:name="_Toc37185839"/>
      <w:bookmarkStart w:id="26" w:name="_Toc275872920"/>
      <w:bookmarkStart w:id="27" w:name="_Toc482701109_WPSOffice_Level1"/>
      <w:r>
        <w:rPr>
          <w:rFonts w:hint="eastAsia" w:ascii="宋体" w:hAnsi="宋体" w:eastAsia="宋体" w:cs="宋体"/>
          <w:b/>
          <w:sz w:val="24"/>
          <w:lang w:eastAsia="zh-Hans"/>
        </w:rPr>
        <w:t>二、</w:t>
      </w:r>
      <w:r>
        <w:rPr>
          <w:rFonts w:hint="eastAsia" w:ascii="宋体" w:hAnsi="宋体" w:eastAsia="宋体" w:cs="宋体"/>
          <w:b/>
          <w:sz w:val="24"/>
        </w:rPr>
        <w:t>评估目的</w:t>
      </w:r>
      <w:bookmarkEnd w:id="25"/>
      <w:bookmarkEnd w:id="26"/>
      <w:bookmarkEnd w:id="27"/>
    </w:p>
    <w:p>
      <w:pPr>
        <w:pStyle w:val="6"/>
        <w:adjustRightInd w:val="0"/>
        <w:snapToGrid w:val="0"/>
        <w:spacing w:after="0" w:line="360" w:lineRule="auto"/>
        <w:ind w:firstLine="480" w:firstLineChars="200"/>
        <w:rPr>
          <w:rFonts w:ascii="宋体" w:hAnsi="宋体" w:eastAsia="宋体" w:cs="宋体"/>
          <w:sz w:val="24"/>
        </w:rPr>
      </w:pPr>
      <w:bookmarkStart w:id="28" w:name="_Hlk93491997"/>
      <w:r>
        <w:rPr>
          <w:rFonts w:hint="eastAsia" w:ascii="宋体" w:hAnsi="宋体" w:eastAsia="宋体" w:cs="宋体"/>
          <w:sz w:val="24"/>
        </w:rPr>
        <w:t>因执行（2022）浙0111执</w:t>
      </w:r>
      <w:r>
        <w:rPr>
          <w:rFonts w:hint="eastAsia" w:ascii="宋体" w:hAnsi="宋体" w:eastAsia="宋体" w:cs="宋体"/>
          <w:sz w:val="24"/>
          <w:lang w:val="en-US" w:eastAsia="zh-CN"/>
        </w:rPr>
        <w:t>2877</w:t>
      </w:r>
      <w:r>
        <w:rPr>
          <w:rFonts w:hint="eastAsia" w:ascii="宋体" w:hAnsi="宋体" w:eastAsia="宋体" w:cs="宋体"/>
          <w:sz w:val="24"/>
        </w:rPr>
        <w:t>号申请执行人中国邮政储蓄银行股份有限公司杭州市富阳区支行与被执行人</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浙江三江房地产开发有限公司</w:t>
      </w:r>
      <w:r>
        <w:rPr>
          <w:rFonts w:hint="eastAsia" w:ascii="宋体" w:hAnsi="宋体" w:eastAsia="宋体" w:cs="宋体"/>
          <w:sz w:val="24"/>
        </w:rPr>
        <w:t>金融借款合同纠纷一案中，对案件中涉及的位于杭州市富阳区新登镇澳海澜庭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房地产市场价值进行评估。本次评估目的是为人民法院确定财产处置参考价提供服务</w:t>
      </w:r>
      <w:r>
        <w:rPr>
          <w:rFonts w:hint="eastAsia" w:ascii="宋体" w:hAnsi="宋体" w:eastAsia="宋体" w:cs="宋体"/>
          <w:color w:val="000000"/>
          <w:sz w:val="24"/>
        </w:rPr>
        <w:t>。</w:t>
      </w:r>
    </w:p>
    <w:p>
      <w:pPr>
        <w:pStyle w:val="6"/>
        <w:adjustRightInd w:val="0"/>
        <w:snapToGrid w:val="0"/>
        <w:spacing w:after="0" w:line="360" w:lineRule="auto"/>
        <w:ind w:firstLine="480" w:firstLineChars="200"/>
        <w:rPr>
          <w:rFonts w:ascii="宋体" w:hAnsi="宋体" w:eastAsia="宋体" w:cs="宋体"/>
          <w:sz w:val="24"/>
        </w:rPr>
      </w:pPr>
      <w:r>
        <w:rPr>
          <w:rFonts w:hint="eastAsia" w:ascii="宋体" w:hAnsi="宋体" w:eastAsia="宋体" w:cs="宋体"/>
          <w:sz w:val="24"/>
        </w:rPr>
        <w:t>本次经济行为依据为杭州市富阳区人民法院提供的（2022）杭富法委评字第</w:t>
      </w:r>
      <w:r>
        <w:rPr>
          <w:rFonts w:hint="eastAsia" w:ascii="宋体" w:hAnsi="宋体" w:eastAsia="宋体" w:cs="宋体"/>
          <w:sz w:val="24"/>
          <w:lang w:val="en-US" w:eastAsia="zh-CN"/>
        </w:rPr>
        <w:t>131</w:t>
      </w:r>
      <w:r>
        <w:rPr>
          <w:rFonts w:hint="eastAsia" w:ascii="宋体" w:hAnsi="宋体" w:eastAsia="宋体" w:cs="宋体"/>
          <w:sz w:val="24"/>
        </w:rPr>
        <w:t>号《司法评估委托书》。</w:t>
      </w:r>
    </w:p>
    <w:bookmarkEnd w:id="28"/>
    <w:p>
      <w:pPr>
        <w:tabs>
          <w:tab w:val="left" w:pos="540"/>
        </w:tabs>
        <w:spacing w:line="360" w:lineRule="auto"/>
        <w:outlineLvl w:val="0"/>
        <w:rPr>
          <w:rFonts w:ascii="宋体" w:hAnsi="宋体" w:eastAsia="宋体" w:cs="宋体"/>
          <w:b/>
          <w:sz w:val="24"/>
        </w:rPr>
      </w:pPr>
      <w:bookmarkStart w:id="29" w:name="_Toc275872921"/>
      <w:bookmarkStart w:id="30" w:name="_Toc1711804244_WPSOffice_Level1"/>
      <w:bookmarkStart w:id="31" w:name="_Toc37185840"/>
      <w:r>
        <w:rPr>
          <w:rFonts w:hint="eastAsia" w:ascii="宋体" w:hAnsi="宋体" w:eastAsia="宋体" w:cs="宋体"/>
          <w:b/>
          <w:sz w:val="24"/>
          <w:lang w:eastAsia="zh-Hans"/>
        </w:rPr>
        <w:t>三、</w:t>
      </w:r>
      <w:r>
        <w:rPr>
          <w:rFonts w:hint="eastAsia" w:ascii="宋体" w:hAnsi="宋体" w:eastAsia="宋体" w:cs="宋体"/>
          <w:b/>
          <w:sz w:val="24"/>
        </w:rPr>
        <w:t>评估对象及</w:t>
      </w:r>
      <w:bookmarkEnd w:id="29"/>
      <w:r>
        <w:rPr>
          <w:rFonts w:hint="eastAsia" w:ascii="宋体" w:hAnsi="宋体" w:eastAsia="宋体" w:cs="宋体"/>
          <w:b/>
          <w:sz w:val="24"/>
        </w:rPr>
        <w:t>范围</w:t>
      </w:r>
      <w:bookmarkEnd w:id="30"/>
      <w:bookmarkEnd w:id="31"/>
    </w:p>
    <w:p>
      <w:pPr>
        <w:pStyle w:val="6"/>
        <w:adjustRightInd w:val="0"/>
        <w:snapToGrid w:val="0"/>
        <w:spacing w:after="0" w:line="360" w:lineRule="auto"/>
        <w:ind w:firstLine="480" w:firstLineChars="200"/>
        <w:rPr>
          <w:rFonts w:ascii="宋体" w:hAnsi="宋体" w:eastAsia="宋体" w:cs="宋体"/>
          <w:sz w:val="24"/>
        </w:rPr>
      </w:pPr>
      <w:r>
        <w:rPr>
          <w:rFonts w:hint="eastAsia" w:ascii="宋体" w:hAnsi="宋体" w:eastAsia="宋体" w:cs="宋体"/>
          <w:sz w:val="24"/>
        </w:rPr>
        <w:t>评估对象是</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所有的登记在浙江三江房地产开发有限公司</w:t>
      </w:r>
      <w:r>
        <w:rPr>
          <w:rFonts w:hint="eastAsia" w:ascii="宋体" w:hAnsi="宋体" w:eastAsia="宋体" w:cs="宋体"/>
          <w:sz w:val="24"/>
        </w:rPr>
        <w:t>名下的杭州市富阳区新登镇澳海澜庭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房地产的市场价值。</w:t>
      </w:r>
    </w:p>
    <w:p>
      <w:pPr>
        <w:pStyle w:val="6"/>
        <w:adjustRightInd w:val="0"/>
        <w:snapToGrid w:val="0"/>
        <w:spacing w:after="0" w:line="360" w:lineRule="auto"/>
        <w:ind w:firstLine="480" w:firstLineChars="200"/>
        <w:rPr>
          <w:rFonts w:ascii="宋体" w:hAnsi="宋体" w:eastAsia="宋体" w:cs="宋体"/>
          <w:sz w:val="24"/>
        </w:rPr>
      </w:pPr>
      <w:r>
        <w:rPr>
          <w:rFonts w:hint="eastAsia" w:ascii="宋体" w:hAnsi="宋体" w:eastAsia="宋体" w:cs="宋体"/>
          <w:sz w:val="24"/>
        </w:rPr>
        <w:t>评估范围为</w:t>
      </w:r>
      <w:r>
        <w:rPr>
          <w:rFonts w:hint="eastAsia" w:ascii="宋体" w:hAnsi="宋体" w:eastAsia="宋体" w:cs="宋体"/>
          <w:sz w:val="24"/>
          <w:lang w:eastAsia="zh-CN"/>
        </w:rPr>
        <w:t>胡春强、张蒙蒙</w:t>
      </w:r>
      <w:r>
        <w:rPr>
          <w:rFonts w:hint="eastAsia" w:ascii="宋体" w:hAnsi="宋体" w:eastAsia="宋体" w:cs="宋体"/>
          <w:sz w:val="24"/>
          <w:lang w:val="en-US" w:eastAsia="zh-CN"/>
        </w:rPr>
        <w:t>所有的登记在浙江三江房地产开发有限公司</w:t>
      </w:r>
      <w:r>
        <w:rPr>
          <w:rFonts w:hint="eastAsia" w:ascii="宋体" w:hAnsi="宋体" w:eastAsia="宋体" w:cs="宋体"/>
          <w:sz w:val="24"/>
        </w:rPr>
        <w:t>名下的杭州市富阳区新登镇澳海澜庭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房地产，主要资产的概况：</w:t>
      </w:r>
    </w:p>
    <w:p>
      <w:pPr>
        <w:pStyle w:val="6"/>
        <w:adjustRightInd w:val="0"/>
        <w:snapToGrid w:val="0"/>
        <w:spacing w:after="0" w:line="360" w:lineRule="auto"/>
        <w:ind w:firstLine="480" w:firstLineChars="200"/>
        <w:rPr>
          <w:rFonts w:ascii="宋体" w:hAnsi="宋体" w:eastAsia="宋体" w:cs="宋体"/>
          <w:sz w:val="24"/>
        </w:rPr>
      </w:pPr>
      <w:r>
        <w:rPr>
          <w:rFonts w:hint="eastAsia" w:ascii="宋体" w:hAnsi="宋体" w:eastAsia="宋体" w:cs="宋体"/>
          <w:sz w:val="24"/>
        </w:rPr>
        <w:t>1、房地产权利状况</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41"/>
        <w:gridCol w:w="4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restart"/>
          </w:tcPr>
          <w:p>
            <w:pPr>
              <w:spacing w:line="72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项目</w:t>
            </w:r>
          </w:p>
        </w:tc>
        <w:tc>
          <w:tcPr>
            <w:tcW w:w="6683" w:type="dxa"/>
            <w:gridSpan w:val="3"/>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continue"/>
          </w:tcPr>
          <w:p>
            <w:pPr>
              <w:spacing w:line="360" w:lineRule="auto"/>
              <w:jc w:val="center"/>
              <w:rPr>
                <w:color w:val="auto"/>
              </w:rPr>
            </w:pPr>
          </w:p>
        </w:tc>
        <w:tc>
          <w:tcPr>
            <w:tcW w:w="3341" w:type="dxa"/>
          </w:tcPr>
          <w:p>
            <w:pPr>
              <w:spacing w:line="360" w:lineRule="auto"/>
              <w:jc w:val="center"/>
              <w:rPr>
                <w:color w:val="auto"/>
              </w:rPr>
            </w:pPr>
            <w:r>
              <w:rPr>
                <w:rFonts w:hint="eastAsia" w:ascii="Times New Roman" w:hAnsi="Times New Roman" w:eastAsia="宋体" w:cs="Times New Roman"/>
                <w:color w:val="auto"/>
                <w:sz w:val="24"/>
              </w:rPr>
              <w:t>房产</w:t>
            </w:r>
          </w:p>
        </w:tc>
        <w:tc>
          <w:tcPr>
            <w:tcW w:w="3342" w:type="dxa"/>
            <w:gridSpan w:val="2"/>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权利人</w:t>
            </w:r>
          </w:p>
        </w:tc>
        <w:tc>
          <w:tcPr>
            <w:tcW w:w="6683" w:type="dxa"/>
            <w:gridSpan w:val="3"/>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浙江三江房地产开发有限公司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坐落</w:t>
            </w:r>
          </w:p>
        </w:tc>
        <w:tc>
          <w:tcPr>
            <w:tcW w:w="6683" w:type="dxa"/>
            <w:gridSpan w:val="3"/>
          </w:tcPr>
          <w:p>
            <w:pPr>
              <w:spacing w:line="360" w:lineRule="auto"/>
              <w:jc w:val="center"/>
              <w:rPr>
                <w:rFonts w:hint="eastAsia" w:ascii="Times New Roman" w:hAnsi="Times New Roman" w:eastAsia="宋体" w:cs="Times New Roman"/>
                <w:color w:val="auto"/>
                <w:sz w:val="24"/>
                <w:lang w:eastAsia="zh-CN"/>
              </w:rPr>
            </w:pPr>
            <w:r>
              <w:rPr>
                <w:rFonts w:hint="eastAsia" w:ascii="宋体" w:hAnsi="宋体" w:eastAsia="宋体" w:cs="宋体"/>
                <w:color w:val="auto"/>
                <w:sz w:val="24"/>
              </w:rPr>
              <w:t>杭州市富阳区新登镇澳海澜庭</w:t>
            </w:r>
            <w:r>
              <w:rPr>
                <w:rFonts w:hint="eastAsia" w:ascii="宋体" w:hAnsi="宋体" w:eastAsia="宋体" w:cs="宋体"/>
                <w:color w:val="auto"/>
                <w:sz w:val="24"/>
                <w:lang w:eastAsia="zh-CN"/>
              </w:rPr>
              <w:t>57号808室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证载面积（㎡）</w:t>
            </w:r>
          </w:p>
        </w:tc>
        <w:tc>
          <w:tcPr>
            <w:tcW w:w="3390" w:type="dxa"/>
            <w:gridSpan w:val="2"/>
          </w:tcPr>
          <w:p>
            <w:pPr>
              <w:spacing w:line="36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123.07</w:t>
            </w:r>
          </w:p>
        </w:tc>
        <w:tc>
          <w:tcPr>
            <w:tcW w:w="3293" w:type="dxa"/>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权证号</w:t>
            </w:r>
          </w:p>
        </w:tc>
        <w:tc>
          <w:tcPr>
            <w:tcW w:w="6683" w:type="dxa"/>
            <w:gridSpan w:val="3"/>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浙（2</w:t>
            </w:r>
            <w:r>
              <w:rPr>
                <w:rFonts w:ascii="Times New Roman" w:hAnsi="Times New Roman" w:eastAsia="宋体" w:cs="Times New Roman"/>
                <w:color w:val="auto"/>
                <w:sz w:val="24"/>
              </w:rPr>
              <w:t>02</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rPr>
              <w:t>）富阳区不动产</w:t>
            </w:r>
            <w:r>
              <w:rPr>
                <w:rFonts w:hint="eastAsia" w:ascii="Times New Roman" w:hAnsi="Times New Roman" w:eastAsia="宋体" w:cs="Times New Roman"/>
                <w:color w:val="auto"/>
                <w:sz w:val="24"/>
                <w:lang w:val="en-US" w:eastAsia="zh-CN"/>
              </w:rPr>
              <w:t>权</w:t>
            </w:r>
            <w:r>
              <w:rPr>
                <w:rFonts w:hint="eastAsia" w:ascii="Times New Roman" w:hAnsi="Times New Roman" w:eastAsia="宋体" w:cs="Times New Roman"/>
                <w:color w:val="auto"/>
                <w:sz w:val="24"/>
              </w:rPr>
              <w:t>第</w:t>
            </w:r>
            <w:r>
              <w:rPr>
                <w:rFonts w:hint="eastAsia" w:ascii="Times New Roman" w:hAnsi="Times New Roman" w:eastAsia="宋体" w:cs="Times New Roman"/>
                <w:color w:val="auto"/>
                <w:sz w:val="24"/>
                <w:lang w:val="en-US" w:eastAsia="zh-CN"/>
              </w:rPr>
              <w:t>0029469</w:t>
            </w:r>
            <w:r>
              <w:rPr>
                <w:rFonts w:hint="eastAsia" w:ascii="Times New Roman" w:hAnsi="Times New Roman" w:eastAsia="宋体" w:cs="Times New Roman"/>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权利类型</w:t>
            </w:r>
          </w:p>
        </w:tc>
        <w:tc>
          <w:tcPr>
            <w:tcW w:w="3390" w:type="dxa"/>
            <w:gridSpan w:val="2"/>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房屋(构筑物)所有权</w:t>
            </w:r>
          </w:p>
        </w:tc>
        <w:tc>
          <w:tcPr>
            <w:tcW w:w="3293"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权利性质</w:t>
            </w:r>
          </w:p>
        </w:tc>
        <w:tc>
          <w:tcPr>
            <w:tcW w:w="3390" w:type="dxa"/>
            <w:gridSpan w:val="2"/>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商品房</w:t>
            </w:r>
          </w:p>
        </w:tc>
        <w:tc>
          <w:tcPr>
            <w:tcW w:w="3293" w:type="dxa"/>
          </w:tcPr>
          <w:p>
            <w:pPr>
              <w:spacing w:line="360" w:lineRule="auto"/>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共有情况</w:t>
            </w:r>
          </w:p>
        </w:tc>
        <w:tc>
          <w:tcPr>
            <w:tcW w:w="6683" w:type="dxa"/>
            <w:gridSpan w:val="3"/>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登记日期</w:t>
            </w:r>
          </w:p>
        </w:tc>
        <w:tc>
          <w:tcPr>
            <w:tcW w:w="6683" w:type="dxa"/>
            <w:gridSpan w:val="3"/>
          </w:tcPr>
          <w:p>
            <w:pPr>
              <w:spacing w:line="360" w:lineRule="auto"/>
              <w:jc w:val="center"/>
              <w:rPr>
                <w:rFonts w:ascii="Times New Roman" w:hAnsi="Times New Roman" w:eastAsia="宋体" w:cs="Times New Roman"/>
                <w:color w:val="auto"/>
                <w:sz w:val="24"/>
              </w:rPr>
            </w:pPr>
            <w:r>
              <w:rPr>
                <w:rFonts w:hint="eastAsia" w:ascii="宋体" w:hAnsi="宋体" w:eastAsia="宋体" w:cs="宋体"/>
                <w:color w:val="auto"/>
                <w:sz w:val="24"/>
              </w:rPr>
              <w:t>20</w:t>
            </w:r>
            <w:r>
              <w:rPr>
                <w:rFonts w:ascii="宋体" w:hAnsi="宋体" w:eastAsia="宋体" w:cs="宋体"/>
                <w:color w:val="auto"/>
                <w:sz w:val="24"/>
              </w:rPr>
              <w:t>2</w:t>
            </w:r>
            <w:r>
              <w:rPr>
                <w:rFonts w:hint="eastAsia" w:ascii="宋体" w:hAnsi="宋体" w:eastAsia="宋体" w:cs="宋体"/>
                <w:color w:val="auto"/>
                <w:sz w:val="24"/>
                <w:lang w:val="en-US" w:eastAsia="zh-CN"/>
              </w:rPr>
              <w:t>1</w:t>
            </w:r>
            <w:r>
              <w:rPr>
                <w:rFonts w:hint="eastAsia" w:ascii="宋体" w:hAnsi="宋体" w:eastAsia="宋体" w:cs="宋体"/>
                <w:color w:val="auto"/>
                <w:sz w:val="24"/>
              </w:rPr>
              <w:t>年</w:t>
            </w:r>
            <w:r>
              <w:rPr>
                <w:rFonts w:ascii="宋体" w:hAnsi="宋体" w:eastAsia="宋体" w:cs="宋体"/>
                <w:color w:val="auto"/>
                <w:sz w:val="24"/>
              </w:rPr>
              <w:t>0</w:t>
            </w:r>
            <w:r>
              <w:rPr>
                <w:rFonts w:hint="eastAsia" w:ascii="宋体" w:hAnsi="宋体" w:eastAsia="宋体" w:cs="宋体"/>
                <w:color w:val="auto"/>
                <w:sz w:val="24"/>
                <w:lang w:val="en-US" w:eastAsia="zh-CN"/>
              </w:rPr>
              <w:t>7</w:t>
            </w:r>
            <w:r>
              <w:rPr>
                <w:rFonts w:hint="eastAsia" w:ascii="宋体" w:hAnsi="宋体" w:eastAsia="宋体" w:cs="宋体"/>
                <w:color w:val="auto"/>
                <w:sz w:val="24"/>
              </w:rPr>
              <w:t>月</w:t>
            </w:r>
            <w:r>
              <w:rPr>
                <w:rFonts w:hint="eastAsia" w:ascii="宋体" w:hAnsi="宋体" w:eastAsia="宋体" w:cs="宋体"/>
                <w:color w:val="auto"/>
                <w:sz w:val="24"/>
                <w:lang w:val="en-US" w:eastAsia="zh-CN"/>
              </w:rPr>
              <w:t>21</w:t>
            </w:r>
            <w:r>
              <w:rPr>
                <w:rFonts w:hint="eastAsia" w:ascii="宋体" w:hAnsi="宋体" w:eastAsia="宋体" w:cs="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权利状况</w:t>
            </w:r>
          </w:p>
        </w:tc>
        <w:tc>
          <w:tcPr>
            <w:tcW w:w="6683" w:type="dxa"/>
            <w:gridSpan w:val="3"/>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使用期限</w:t>
            </w:r>
          </w:p>
        </w:tc>
        <w:tc>
          <w:tcPr>
            <w:tcW w:w="6683" w:type="dxa"/>
            <w:gridSpan w:val="3"/>
          </w:tcPr>
          <w:p>
            <w:pPr>
              <w:spacing w:line="360" w:lineRule="auto"/>
              <w:jc w:val="center"/>
              <w:rPr>
                <w:rFonts w:ascii="Times New Roman" w:hAnsi="Times New Roman" w:eastAsia="宋体" w:cs="Times New Roman"/>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附记</w:t>
            </w:r>
          </w:p>
        </w:tc>
        <w:tc>
          <w:tcPr>
            <w:tcW w:w="6683" w:type="dxa"/>
            <w:gridSpan w:val="3"/>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宗地内未作分摊的建设用地使用权属全体业主共有</w:t>
            </w:r>
          </w:p>
        </w:tc>
      </w:tr>
    </w:tbl>
    <w:p>
      <w:pPr>
        <w:pStyle w:val="2"/>
      </w:pPr>
    </w:p>
    <w:tbl>
      <w:tblPr>
        <w:tblStyle w:val="16"/>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219"/>
        <w:gridCol w:w="2866"/>
        <w:gridCol w:w="2098"/>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项目</w:t>
            </w:r>
          </w:p>
        </w:tc>
        <w:tc>
          <w:tcPr>
            <w:tcW w:w="8786" w:type="dxa"/>
            <w:gridSpan w:val="4"/>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限制信息</w:t>
            </w:r>
          </w:p>
        </w:tc>
        <w:tc>
          <w:tcPr>
            <w:tcW w:w="8786" w:type="dxa"/>
            <w:gridSpan w:val="4"/>
          </w:tcPr>
          <w:p>
            <w:pPr>
              <w:spacing w:line="360" w:lineRule="auto"/>
              <w:jc w:val="center"/>
              <w:rPr>
                <w:rFonts w:hint="default" w:ascii="Times New Roman" w:hAnsi="Times New Roman" w:eastAsia="宋体" w:cs="Times New Roman"/>
                <w:color w:val="auto"/>
                <w:sz w:val="24"/>
                <w:lang w:val="en-US" w:eastAsia="zh-CN"/>
              </w:rPr>
            </w:pPr>
            <w:r>
              <w:rPr>
                <w:rFonts w:hint="eastAsia" w:ascii="宋体" w:hAnsi="宋体" w:eastAsia="宋体" w:cs="宋体"/>
                <w:color w:val="auto"/>
                <w:sz w:val="24"/>
              </w:rPr>
              <w:t>房产：有查封，有</w:t>
            </w:r>
            <w:r>
              <w:rPr>
                <w:rFonts w:hint="eastAsia" w:ascii="宋体" w:hAnsi="宋体" w:eastAsia="宋体" w:cs="宋体"/>
                <w:color w:val="auto"/>
                <w:sz w:val="24"/>
                <w:lang w:val="en-US" w:eastAsia="zh-CN"/>
              </w:rPr>
              <w:t>预告、预告抵押，无抵押，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204" w:type="dxa"/>
            <w:vMerge w:val="restart"/>
            <w:vAlign w:val="center"/>
          </w:tcPr>
          <w:p>
            <w:pPr>
              <w:spacing w:line="72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抵押状况</w:t>
            </w:r>
          </w:p>
        </w:tc>
        <w:tc>
          <w:tcPr>
            <w:tcW w:w="1219" w:type="dxa"/>
          </w:tcPr>
          <w:p>
            <w:pPr>
              <w:spacing w:line="84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抵押权人</w:t>
            </w:r>
          </w:p>
        </w:tc>
        <w:tc>
          <w:tcPr>
            <w:tcW w:w="2866" w:type="dxa"/>
            <w:vAlign w:val="center"/>
          </w:tcPr>
          <w:p>
            <w:pPr>
              <w:spacing w:line="360" w:lineRule="auto"/>
              <w:jc w:val="center"/>
              <w:rPr>
                <w:rFonts w:ascii="Times New Roman" w:hAnsi="Times New Roman" w:eastAsia="宋体" w:cs="Times New Roman"/>
                <w:color w:val="auto"/>
                <w:sz w:val="24"/>
              </w:rPr>
            </w:pPr>
            <w:r>
              <w:rPr>
                <w:rFonts w:hint="eastAsia" w:ascii="宋体" w:hAnsi="宋体" w:eastAsia="宋体" w:cs="宋体"/>
                <w:color w:val="auto"/>
                <w:sz w:val="24"/>
              </w:rPr>
              <w:t>中国邮政储蓄银行股份有限公司杭州市富阳区支行</w:t>
            </w:r>
          </w:p>
        </w:tc>
        <w:tc>
          <w:tcPr>
            <w:tcW w:w="2098" w:type="dxa"/>
            <w:vAlign w:val="center"/>
          </w:tcPr>
          <w:p>
            <w:pPr>
              <w:spacing w:line="84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登记证</w:t>
            </w:r>
            <w:r>
              <w:rPr>
                <w:rFonts w:hint="eastAsia" w:ascii="Times New Roman" w:hAnsi="Times New Roman" w:eastAsia="宋体" w:cs="Times New Roman"/>
                <w:color w:val="auto"/>
                <w:sz w:val="24"/>
              </w:rPr>
              <w:t>明</w:t>
            </w:r>
            <w:r>
              <w:rPr>
                <w:rFonts w:ascii="Times New Roman" w:hAnsi="Times New Roman" w:eastAsia="宋体" w:cs="Times New Roman"/>
                <w:color w:val="auto"/>
                <w:sz w:val="24"/>
              </w:rPr>
              <w:t>号</w:t>
            </w:r>
          </w:p>
        </w:tc>
        <w:tc>
          <w:tcPr>
            <w:tcW w:w="2603" w:type="dxa"/>
            <w:vAlign w:val="center"/>
          </w:tcPr>
          <w:p>
            <w:pPr>
              <w:spacing w:line="360" w:lineRule="auto"/>
              <w:jc w:val="center"/>
              <w:rPr>
                <w:rFonts w:ascii="Times New Roman" w:hAnsi="Times New Roman" w:eastAsia="宋体" w:cs="Times New Roman"/>
                <w:color w:val="auto"/>
                <w:sz w:val="24"/>
              </w:rPr>
            </w:pPr>
            <w:r>
              <w:rPr>
                <w:rFonts w:hint="eastAsia" w:ascii="宋体" w:hAnsi="宋体" w:eastAsia="宋体" w:cs="宋体"/>
                <w:color w:val="auto"/>
                <w:sz w:val="24"/>
              </w:rPr>
              <w:t>浙（202</w:t>
            </w:r>
            <w:r>
              <w:rPr>
                <w:rFonts w:hint="eastAsia" w:ascii="宋体" w:hAnsi="宋体" w:eastAsia="宋体" w:cs="宋体"/>
                <w:color w:val="auto"/>
                <w:sz w:val="24"/>
                <w:lang w:val="en-US" w:eastAsia="zh-CN"/>
              </w:rPr>
              <w:t>0</w:t>
            </w:r>
            <w:r>
              <w:rPr>
                <w:rFonts w:hint="eastAsia" w:ascii="宋体" w:hAnsi="宋体" w:eastAsia="宋体" w:cs="宋体"/>
                <w:color w:val="auto"/>
                <w:sz w:val="24"/>
              </w:rPr>
              <w:t>）富阳区不动产证明第</w:t>
            </w:r>
            <w:r>
              <w:rPr>
                <w:rFonts w:hint="eastAsia" w:ascii="宋体" w:hAnsi="宋体" w:eastAsia="宋体" w:cs="宋体"/>
                <w:color w:val="auto"/>
                <w:sz w:val="24"/>
                <w:lang w:val="en-US" w:eastAsia="zh-CN"/>
              </w:rPr>
              <w:t>0000754</w:t>
            </w:r>
            <w:r>
              <w:rPr>
                <w:rFonts w:hint="eastAsia" w:ascii="宋体" w:hAnsi="宋体" w:eastAsia="宋体" w:cs="宋体"/>
                <w:color w:val="auto"/>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vMerge w:val="continue"/>
          </w:tcPr>
          <w:p>
            <w:pPr>
              <w:spacing w:line="360" w:lineRule="auto"/>
              <w:jc w:val="center"/>
              <w:rPr>
                <w:rFonts w:ascii="Times New Roman" w:hAnsi="Times New Roman" w:eastAsia="宋体" w:cs="Times New Roman"/>
                <w:color w:val="auto"/>
                <w:sz w:val="24"/>
              </w:rPr>
            </w:pPr>
          </w:p>
        </w:tc>
        <w:tc>
          <w:tcPr>
            <w:tcW w:w="121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抵押方式</w:t>
            </w:r>
          </w:p>
        </w:tc>
        <w:tc>
          <w:tcPr>
            <w:tcW w:w="2866"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一般</w:t>
            </w:r>
            <w:r>
              <w:rPr>
                <w:rFonts w:ascii="Times New Roman" w:hAnsi="Times New Roman" w:eastAsia="宋体" w:cs="Times New Roman"/>
                <w:color w:val="auto"/>
                <w:sz w:val="24"/>
              </w:rPr>
              <w:t>抵押</w:t>
            </w:r>
          </w:p>
        </w:tc>
        <w:tc>
          <w:tcPr>
            <w:tcW w:w="2098"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债权数额</w:t>
            </w:r>
          </w:p>
        </w:tc>
        <w:tc>
          <w:tcPr>
            <w:tcW w:w="2603" w:type="dxa"/>
          </w:tcPr>
          <w:p>
            <w:pPr>
              <w:spacing w:line="360" w:lineRule="auto"/>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84</w:t>
            </w:r>
            <w:r>
              <w:rPr>
                <w:rFonts w:ascii="Times New Roman" w:hAnsi="Times New Roman" w:eastAsia="宋体" w:cs="Times New Roman"/>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vMerge w:val="continue"/>
          </w:tcPr>
          <w:p>
            <w:pPr>
              <w:spacing w:line="360" w:lineRule="auto"/>
              <w:jc w:val="center"/>
              <w:rPr>
                <w:rFonts w:ascii="Times New Roman" w:hAnsi="Times New Roman" w:eastAsia="宋体" w:cs="Times New Roman"/>
                <w:color w:val="auto"/>
                <w:sz w:val="24"/>
              </w:rPr>
            </w:pPr>
          </w:p>
        </w:tc>
        <w:tc>
          <w:tcPr>
            <w:tcW w:w="1219" w:type="dxa"/>
          </w:tcPr>
          <w:p>
            <w:pPr>
              <w:spacing w:line="72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登记日期</w:t>
            </w:r>
          </w:p>
        </w:tc>
        <w:tc>
          <w:tcPr>
            <w:tcW w:w="2866" w:type="dxa"/>
          </w:tcPr>
          <w:p>
            <w:pPr>
              <w:spacing w:line="720" w:lineRule="auto"/>
              <w:jc w:val="center"/>
              <w:rPr>
                <w:rFonts w:ascii="Times New Roman" w:hAnsi="Times New Roman" w:eastAsia="宋体" w:cs="Times New Roman"/>
                <w:color w:val="auto"/>
                <w:sz w:val="24"/>
              </w:rPr>
            </w:pPr>
            <w:r>
              <w:rPr>
                <w:rFonts w:hint="eastAsia" w:ascii="宋体" w:hAnsi="宋体" w:eastAsia="宋体" w:cs="宋体"/>
                <w:color w:val="auto"/>
                <w:sz w:val="24"/>
              </w:rPr>
              <w:t>202</w:t>
            </w:r>
            <w:r>
              <w:rPr>
                <w:rFonts w:hint="eastAsia" w:ascii="宋体" w:hAnsi="宋体" w:eastAsia="宋体" w:cs="宋体"/>
                <w:color w:val="auto"/>
                <w:sz w:val="24"/>
                <w:lang w:val="en-US" w:eastAsia="zh-CN"/>
              </w:rPr>
              <w:t>0</w:t>
            </w:r>
            <w:r>
              <w:rPr>
                <w:rFonts w:hint="eastAsia" w:ascii="宋体" w:hAnsi="宋体" w:eastAsia="宋体" w:cs="宋体"/>
                <w:color w:val="auto"/>
                <w:sz w:val="24"/>
              </w:rPr>
              <w:t>年</w:t>
            </w:r>
            <w:r>
              <w:rPr>
                <w:rFonts w:ascii="宋体" w:hAnsi="宋体" w:eastAsia="宋体" w:cs="宋体"/>
                <w:color w:val="auto"/>
                <w:sz w:val="24"/>
              </w:rPr>
              <w:t>0</w:t>
            </w:r>
            <w:r>
              <w:rPr>
                <w:rFonts w:hint="eastAsia" w:ascii="宋体" w:hAnsi="宋体" w:eastAsia="宋体" w:cs="宋体"/>
                <w:color w:val="auto"/>
                <w:sz w:val="24"/>
                <w:lang w:val="en-US" w:eastAsia="zh-CN"/>
              </w:rPr>
              <w:t>1</w:t>
            </w:r>
            <w:r>
              <w:rPr>
                <w:rFonts w:hint="eastAsia" w:ascii="宋体" w:hAnsi="宋体" w:eastAsia="宋体" w:cs="宋体"/>
                <w:color w:val="auto"/>
                <w:sz w:val="24"/>
              </w:rPr>
              <w:t>月</w:t>
            </w:r>
            <w:r>
              <w:rPr>
                <w:rFonts w:ascii="宋体" w:hAnsi="宋体" w:eastAsia="宋体" w:cs="宋体"/>
                <w:color w:val="auto"/>
                <w:sz w:val="24"/>
              </w:rPr>
              <w:t>0</w:t>
            </w:r>
            <w:r>
              <w:rPr>
                <w:rFonts w:hint="eastAsia" w:ascii="宋体" w:hAnsi="宋体" w:eastAsia="宋体" w:cs="宋体"/>
                <w:color w:val="auto"/>
                <w:sz w:val="24"/>
                <w:lang w:val="en-US" w:eastAsia="zh-CN"/>
              </w:rPr>
              <w:t>9</w:t>
            </w:r>
            <w:r>
              <w:rPr>
                <w:rFonts w:hint="eastAsia" w:ascii="宋体" w:hAnsi="宋体" w:eastAsia="宋体" w:cs="宋体"/>
                <w:color w:val="auto"/>
                <w:sz w:val="24"/>
              </w:rPr>
              <w:t>日</w:t>
            </w:r>
          </w:p>
        </w:tc>
        <w:tc>
          <w:tcPr>
            <w:tcW w:w="2098"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债权履行期限（债权确定期限）</w:t>
            </w:r>
          </w:p>
        </w:tc>
        <w:tc>
          <w:tcPr>
            <w:tcW w:w="2603" w:type="dxa"/>
          </w:tcPr>
          <w:p>
            <w:pPr>
              <w:spacing w:line="360" w:lineRule="auto"/>
              <w:jc w:val="center"/>
              <w:rPr>
                <w:rFonts w:ascii="Times New Roman" w:hAnsi="Times New Roman" w:eastAsia="宋体" w:cs="Times New Roman"/>
                <w:color w:val="auto"/>
                <w:sz w:val="24"/>
              </w:rPr>
            </w:pPr>
            <w:r>
              <w:rPr>
                <w:rFonts w:hint="eastAsia" w:ascii="宋体" w:hAnsi="宋体" w:eastAsia="宋体" w:cs="宋体"/>
                <w:color w:val="auto"/>
                <w:sz w:val="24"/>
              </w:rPr>
              <w:t>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w:t>
            </w:r>
            <w:r>
              <w:rPr>
                <w:rFonts w:hint="eastAsia" w:ascii="宋体" w:hAnsi="宋体" w:eastAsia="宋体" w:cs="宋体"/>
                <w:color w:val="auto"/>
                <w:sz w:val="24"/>
                <w:lang w:val="en-US" w:eastAsia="zh-CN"/>
              </w:rPr>
              <w:t>01</w:t>
            </w:r>
            <w:r>
              <w:rPr>
                <w:rFonts w:hint="eastAsia" w:ascii="宋体" w:hAnsi="宋体" w:eastAsia="宋体" w:cs="宋体"/>
                <w:color w:val="auto"/>
                <w:sz w:val="24"/>
              </w:rPr>
              <w:t>月</w:t>
            </w:r>
            <w:r>
              <w:rPr>
                <w:rFonts w:hint="eastAsia" w:ascii="宋体" w:hAnsi="宋体" w:eastAsia="宋体" w:cs="宋体"/>
                <w:color w:val="auto"/>
                <w:sz w:val="24"/>
                <w:lang w:val="en-US" w:eastAsia="zh-CN"/>
              </w:rPr>
              <w:t>03</w:t>
            </w:r>
            <w:r>
              <w:rPr>
                <w:rFonts w:hint="eastAsia" w:ascii="宋体" w:hAnsi="宋体" w:eastAsia="宋体" w:cs="宋体"/>
                <w:color w:val="auto"/>
                <w:sz w:val="24"/>
              </w:rPr>
              <w:t>日起20</w:t>
            </w:r>
            <w:r>
              <w:rPr>
                <w:rFonts w:hint="eastAsia" w:ascii="宋体" w:hAnsi="宋体" w:eastAsia="宋体" w:cs="宋体"/>
                <w:color w:val="auto"/>
                <w:sz w:val="24"/>
                <w:lang w:val="en-US" w:eastAsia="zh-CN"/>
              </w:rPr>
              <w:t>50</w:t>
            </w:r>
            <w:r>
              <w:rPr>
                <w:rFonts w:hint="eastAsia" w:ascii="宋体" w:hAnsi="宋体" w:eastAsia="宋体" w:cs="宋体"/>
                <w:color w:val="auto"/>
                <w:sz w:val="24"/>
              </w:rPr>
              <w:t>年</w:t>
            </w:r>
            <w:r>
              <w:rPr>
                <w:rFonts w:hint="eastAsia" w:ascii="宋体" w:hAnsi="宋体" w:eastAsia="宋体" w:cs="宋体"/>
                <w:color w:val="auto"/>
                <w:sz w:val="24"/>
                <w:lang w:val="en-US" w:eastAsia="zh-CN"/>
              </w:rPr>
              <w:t>01</w:t>
            </w:r>
            <w:r>
              <w:rPr>
                <w:rFonts w:hint="eastAsia" w:ascii="宋体" w:hAnsi="宋体" w:eastAsia="宋体" w:cs="宋体"/>
                <w:color w:val="auto"/>
                <w:sz w:val="24"/>
              </w:rPr>
              <w:t>月</w:t>
            </w:r>
            <w:r>
              <w:rPr>
                <w:rFonts w:hint="eastAsia" w:ascii="宋体" w:hAnsi="宋体" w:eastAsia="宋体" w:cs="宋体"/>
                <w:color w:val="auto"/>
                <w:sz w:val="24"/>
                <w:lang w:val="en-US" w:eastAsia="zh-CN"/>
              </w:rPr>
              <w:t>03</w:t>
            </w:r>
            <w:r>
              <w:rPr>
                <w:rFonts w:hint="eastAsia" w:ascii="宋体" w:hAnsi="宋体" w:eastAsia="宋体" w:cs="宋体"/>
                <w:color w:val="auto"/>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vMerge w:val="continue"/>
          </w:tcPr>
          <w:p>
            <w:pPr>
              <w:spacing w:line="360" w:lineRule="auto"/>
              <w:jc w:val="center"/>
              <w:rPr>
                <w:rFonts w:ascii="Times New Roman" w:hAnsi="Times New Roman" w:eastAsia="宋体" w:cs="Times New Roman"/>
                <w:color w:val="auto"/>
                <w:sz w:val="24"/>
              </w:rPr>
            </w:pPr>
          </w:p>
        </w:tc>
        <w:tc>
          <w:tcPr>
            <w:tcW w:w="1219" w:type="dxa"/>
          </w:tcPr>
          <w:p>
            <w:pPr>
              <w:spacing w:line="360" w:lineRule="auto"/>
              <w:jc w:val="center"/>
              <w:rPr>
                <w:rFonts w:ascii="Times New Roman" w:hAnsi="Times New Roman" w:eastAsia="宋体" w:cs="Times New Roman"/>
                <w:color w:val="auto"/>
                <w:sz w:val="24"/>
              </w:rPr>
            </w:pPr>
            <w:r>
              <w:rPr>
                <w:rFonts w:ascii="Times New Roman" w:hAnsi="Times New Roman" w:eastAsia="宋体" w:cs="Times New Roman"/>
                <w:color w:val="auto"/>
                <w:sz w:val="24"/>
              </w:rPr>
              <w:t>附记</w:t>
            </w:r>
          </w:p>
        </w:tc>
        <w:tc>
          <w:tcPr>
            <w:tcW w:w="7567" w:type="dxa"/>
            <w:gridSpan w:val="3"/>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04" w:type="dxa"/>
            <w:vMerge w:val="restart"/>
          </w:tcPr>
          <w:p>
            <w:pPr>
              <w:spacing w:line="360" w:lineRule="auto"/>
              <w:rPr>
                <w:rFonts w:ascii="Times New Roman" w:hAnsi="Times New Roman" w:eastAsia="宋体" w:cs="Times New Roman"/>
                <w:color w:val="auto"/>
                <w:sz w:val="24"/>
              </w:rPr>
            </w:pPr>
          </w:p>
          <w:p>
            <w:pPr>
              <w:spacing w:line="360" w:lineRule="auto"/>
              <w:rPr>
                <w:rFonts w:ascii="Times New Roman" w:hAnsi="Times New Roman" w:eastAsia="宋体" w:cs="Times New Roman"/>
                <w:color w:val="auto"/>
                <w:sz w:val="24"/>
              </w:rPr>
            </w:pPr>
            <w:r>
              <w:rPr>
                <w:rFonts w:ascii="Times New Roman" w:hAnsi="Times New Roman" w:eastAsia="宋体" w:cs="Times New Roman"/>
                <w:color w:val="auto"/>
                <w:sz w:val="24"/>
              </w:rPr>
              <w:t>查封状况</w:t>
            </w:r>
          </w:p>
          <w:p>
            <w:pPr>
              <w:spacing w:line="360" w:lineRule="auto"/>
              <w:jc w:val="center"/>
              <w:rPr>
                <w:rFonts w:ascii="Times New Roman" w:hAnsi="Times New Roman" w:eastAsia="宋体" w:cs="Times New Roman"/>
                <w:color w:val="auto"/>
                <w:sz w:val="24"/>
              </w:rPr>
            </w:pPr>
          </w:p>
        </w:tc>
        <w:tc>
          <w:tcPr>
            <w:tcW w:w="1219" w:type="dxa"/>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查封文号</w:t>
            </w:r>
          </w:p>
        </w:tc>
        <w:tc>
          <w:tcPr>
            <w:tcW w:w="7567" w:type="dxa"/>
            <w:gridSpan w:val="3"/>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2022</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浙0111执2877号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vMerge w:val="continue"/>
          </w:tcPr>
          <w:p>
            <w:pPr>
              <w:spacing w:line="360" w:lineRule="auto"/>
              <w:jc w:val="center"/>
              <w:rPr>
                <w:rFonts w:ascii="Times New Roman" w:hAnsi="Times New Roman" w:eastAsia="宋体" w:cs="Times New Roman"/>
                <w:color w:val="auto"/>
                <w:sz w:val="24"/>
              </w:rPr>
            </w:pPr>
          </w:p>
        </w:tc>
        <w:tc>
          <w:tcPr>
            <w:tcW w:w="1219" w:type="dxa"/>
          </w:tcPr>
          <w:p>
            <w:pPr>
              <w:spacing w:line="360" w:lineRule="auto"/>
              <w:jc w:val="center"/>
              <w:rPr>
                <w:rFonts w:hint="default" w:ascii="Times New Roman" w:hAnsi="Times New Roman" w:eastAsia="宋体" w:cs="Times New Roman"/>
                <w:color w:val="auto"/>
                <w:sz w:val="24"/>
                <w:lang w:val="en-US"/>
              </w:rPr>
            </w:pPr>
            <w:r>
              <w:rPr>
                <w:rFonts w:hint="eastAsia" w:ascii="Times New Roman" w:hAnsi="Times New Roman" w:eastAsia="宋体" w:cs="Times New Roman"/>
                <w:color w:val="auto"/>
                <w:sz w:val="24"/>
                <w:lang w:val="en-US" w:eastAsia="zh-CN"/>
              </w:rPr>
              <w:t>查封机关</w:t>
            </w:r>
          </w:p>
        </w:tc>
        <w:tc>
          <w:tcPr>
            <w:tcW w:w="7567" w:type="dxa"/>
            <w:gridSpan w:val="3"/>
          </w:tcPr>
          <w:p>
            <w:pPr>
              <w:spacing w:line="360" w:lineRule="auto"/>
              <w:jc w:val="center"/>
              <w:rPr>
                <w:rFonts w:hint="default"/>
                <w:color w:val="auto"/>
                <w:lang w:val="en-US" w:eastAsia="zh-CN"/>
              </w:rPr>
            </w:pPr>
            <w:r>
              <w:rPr>
                <w:rFonts w:hint="eastAsia" w:ascii="Times New Roman" w:hAnsi="Times New Roman" w:eastAsia="宋体" w:cs="Times New Roman"/>
                <w:color w:val="auto"/>
                <w:sz w:val="24"/>
                <w:lang w:val="en-US" w:eastAsia="zh-CN"/>
              </w:rPr>
              <w:t>杭州市富阳区人民法院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vMerge w:val="continue"/>
          </w:tcPr>
          <w:p>
            <w:pPr>
              <w:spacing w:line="360" w:lineRule="auto"/>
              <w:jc w:val="center"/>
              <w:rPr>
                <w:rFonts w:ascii="Times New Roman" w:hAnsi="Times New Roman" w:eastAsia="宋体" w:cs="Times New Roman"/>
                <w:color w:val="auto"/>
                <w:sz w:val="24"/>
              </w:rPr>
            </w:pPr>
          </w:p>
        </w:tc>
        <w:tc>
          <w:tcPr>
            <w:tcW w:w="1219" w:type="dxa"/>
          </w:tcPr>
          <w:p>
            <w:pPr>
              <w:spacing w:line="360" w:lineRule="auto"/>
              <w:jc w:val="center"/>
              <w:rPr>
                <w:rFonts w:hint="default" w:ascii="Times New Roman" w:hAnsi="Times New Roman" w:eastAsia="宋体" w:cs="Times New Roman"/>
                <w:color w:val="auto"/>
                <w:sz w:val="24"/>
                <w:lang w:val="en-US"/>
              </w:rPr>
            </w:pPr>
            <w:r>
              <w:rPr>
                <w:rFonts w:hint="eastAsia" w:ascii="Times New Roman" w:hAnsi="Times New Roman" w:eastAsia="宋体" w:cs="Times New Roman"/>
                <w:color w:val="auto"/>
                <w:sz w:val="24"/>
                <w:lang w:val="en-US" w:eastAsia="zh-CN"/>
              </w:rPr>
              <w:t>查封期限</w:t>
            </w:r>
          </w:p>
        </w:tc>
        <w:tc>
          <w:tcPr>
            <w:tcW w:w="7567" w:type="dxa"/>
            <w:gridSpan w:val="3"/>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2022年10月19日起2025年10月18日止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4" w:type="dxa"/>
          </w:tcPr>
          <w:p>
            <w:pPr>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异议状况</w:t>
            </w:r>
          </w:p>
        </w:tc>
        <w:tc>
          <w:tcPr>
            <w:tcW w:w="8786" w:type="dxa"/>
            <w:gridSpan w:val="4"/>
          </w:tcPr>
          <w:p>
            <w:pPr>
              <w:tabs>
                <w:tab w:val="left" w:pos="2627"/>
              </w:tabs>
              <w:spacing w:line="360" w:lineRule="auto"/>
              <w:jc w:val="center"/>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无</w:t>
            </w:r>
          </w:p>
        </w:tc>
      </w:tr>
    </w:tbl>
    <w:p>
      <w:pPr>
        <w:spacing w:line="360" w:lineRule="auto"/>
        <w:ind w:firstLine="480" w:firstLineChars="200"/>
        <w:rPr>
          <w:rFonts w:ascii="宋体" w:hAnsi="宋体" w:eastAsia="宋体" w:cs="宋体"/>
          <w:sz w:val="24"/>
        </w:rPr>
      </w:pPr>
      <w:r>
        <w:rPr>
          <w:rFonts w:hint="eastAsia" w:ascii="宋体" w:hAnsi="宋体" w:eastAsia="宋体" w:cs="宋体"/>
          <w:sz w:val="24"/>
        </w:rPr>
        <w:t>2、房地产实物状况</w:t>
      </w:r>
    </w:p>
    <w:p>
      <w:pPr>
        <w:spacing w:line="360" w:lineRule="auto"/>
        <w:ind w:firstLine="480" w:firstLineChars="200"/>
        <w:rPr>
          <w:rFonts w:ascii="宋体" w:hAnsi="宋体" w:eastAsia="宋体" w:cs="宋体"/>
          <w:sz w:val="24"/>
        </w:rPr>
      </w:pPr>
      <w:r>
        <w:rPr>
          <w:rFonts w:hint="eastAsia" w:ascii="宋体" w:hAnsi="宋体" w:eastAsia="宋体" w:cs="宋体"/>
          <w:sz w:val="24"/>
        </w:rPr>
        <w:t>（1）土地实物状况描述分析</w:t>
      </w:r>
    </w:p>
    <w:p>
      <w:pPr>
        <w:spacing w:line="360" w:lineRule="auto"/>
        <w:ind w:firstLine="480" w:firstLineChars="200"/>
        <w:rPr>
          <w:rFonts w:ascii="宋体" w:hAnsi="宋体" w:eastAsia="宋体" w:cs="宋体"/>
          <w:sz w:val="24"/>
        </w:rPr>
      </w:pPr>
      <w:r>
        <w:rPr>
          <w:rFonts w:hint="eastAsia" w:ascii="宋体" w:hAnsi="宋体" w:eastAsia="宋体" w:cs="宋体"/>
          <w:sz w:val="24"/>
        </w:rPr>
        <w:t>评估对象位于杭州市富阳区新登镇，土地使用权面积</w:t>
      </w:r>
      <w:r>
        <w:rPr>
          <w:rFonts w:hint="eastAsia" w:ascii="宋体" w:hAnsi="宋体" w:eastAsia="宋体" w:cs="宋体"/>
          <w:sz w:val="24"/>
          <w:lang w:val="en-US" w:eastAsia="zh-CN"/>
        </w:rPr>
        <w:t>6.28</w:t>
      </w:r>
      <w:r>
        <w:rPr>
          <w:rFonts w:hint="eastAsia" w:ascii="宋体" w:hAnsi="宋体" w:eastAsia="宋体" w:cs="宋体"/>
          <w:sz w:val="24"/>
        </w:rPr>
        <w:t>平方米。土地四至：东临村道，南靠近S</w:t>
      </w:r>
      <w:r>
        <w:rPr>
          <w:rFonts w:ascii="宋体" w:hAnsi="宋体" w:eastAsia="宋体" w:cs="宋体"/>
          <w:sz w:val="24"/>
        </w:rPr>
        <w:t>305</w:t>
      </w:r>
      <w:r>
        <w:rPr>
          <w:rFonts w:hint="eastAsia" w:ascii="宋体" w:hAnsi="宋体" w:eastAsia="宋体" w:cs="宋体"/>
          <w:sz w:val="24"/>
        </w:rPr>
        <w:t>，西面与北面均为山林。土地形状较为不规则，地质状况良好，地基承载性较好，土地平整，地势不平坦。基础设施完备程度为六通一平，水、电、供排水接入市政管网。</w:t>
      </w:r>
    </w:p>
    <w:p>
      <w:pPr>
        <w:spacing w:line="360" w:lineRule="auto"/>
        <w:ind w:firstLine="480" w:firstLineChars="200"/>
        <w:rPr>
          <w:rFonts w:ascii="宋体" w:hAnsi="宋体" w:eastAsia="宋体" w:cs="宋体"/>
          <w:sz w:val="24"/>
        </w:rPr>
      </w:pPr>
      <w:r>
        <w:rPr>
          <w:rFonts w:hint="eastAsia" w:ascii="宋体" w:hAnsi="宋体" w:eastAsia="宋体" w:cs="宋体"/>
          <w:sz w:val="24"/>
        </w:rPr>
        <w:t>（2）建筑物实物状况描述分析</w:t>
      </w:r>
    </w:p>
    <w:p>
      <w:pPr>
        <w:spacing w:line="360" w:lineRule="auto"/>
        <w:ind w:firstLine="480" w:firstLineChars="200"/>
        <w:rPr>
          <w:rFonts w:ascii="宋体" w:hAnsi="宋体" w:eastAsia="宋体" w:cs="宋体"/>
          <w:sz w:val="24"/>
        </w:rPr>
      </w:pPr>
      <w:r>
        <w:rPr>
          <w:rFonts w:hint="eastAsia" w:ascii="宋体" w:hAnsi="宋体" w:eastAsia="宋体" w:cs="宋体"/>
          <w:sz w:val="24"/>
        </w:rPr>
        <w:t>评估对象位于杭州市富阳区新登镇澳海澜庭</w:t>
      </w:r>
      <w:r>
        <w:rPr>
          <w:rFonts w:hint="eastAsia" w:ascii="宋体" w:hAnsi="宋体" w:eastAsia="宋体" w:cs="宋体"/>
          <w:sz w:val="24"/>
          <w:lang w:eastAsia="zh-CN"/>
        </w:rPr>
        <w:t>57号808室</w:t>
      </w:r>
      <w:r>
        <w:rPr>
          <w:rFonts w:hint="eastAsia" w:ascii="宋体" w:hAnsi="宋体" w:eastAsia="宋体" w:cs="宋体"/>
          <w:sz w:val="24"/>
        </w:rPr>
        <w:t>，建筑面积</w:t>
      </w:r>
      <w:r>
        <w:rPr>
          <w:rFonts w:hint="eastAsia" w:ascii="宋体" w:hAnsi="宋体" w:eastAsia="宋体" w:cs="宋体"/>
          <w:sz w:val="24"/>
          <w:lang w:eastAsia="zh-CN"/>
        </w:rPr>
        <w:t>123.07</w:t>
      </w:r>
      <w:r>
        <w:rPr>
          <w:rFonts w:hint="eastAsia" w:ascii="宋体" w:hAnsi="宋体" w:eastAsia="宋体" w:cs="宋体"/>
          <w:sz w:val="24"/>
        </w:rPr>
        <w:t>平方米，评估对象为</w:t>
      </w:r>
      <w:r>
        <w:rPr>
          <w:rFonts w:hint="eastAsia" w:ascii="宋体" w:hAnsi="宋体" w:eastAsia="宋体" w:cs="宋体"/>
          <w:sz w:val="24"/>
          <w:lang w:val="en-US" w:eastAsia="zh-CN"/>
        </w:rPr>
        <w:t>住宅平层</w:t>
      </w:r>
      <w:r>
        <w:rPr>
          <w:rFonts w:hint="eastAsia" w:ascii="宋体" w:hAnsi="宋体" w:eastAsia="宋体" w:cs="宋体"/>
          <w:sz w:val="24"/>
        </w:rPr>
        <w:t>，</w:t>
      </w:r>
      <w:r>
        <w:rPr>
          <w:rFonts w:hint="eastAsia" w:ascii="宋体" w:hAnsi="宋体" w:eastAsia="宋体" w:cs="宋体"/>
          <w:sz w:val="24"/>
          <w:lang w:val="en-US" w:eastAsia="zh-CN"/>
        </w:rPr>
        <w:t>3室1厅，1厨1卫</w:t>
      </w:r>
      <w:r>
        <w:rPr>
          <w:rFonts w:hint="eastAsia" w:ascii="宋体" w:hAnsi="宋体" w:eastAsia="宋体" w:cs="宋体"/>
          <w:sz w:val="24"/>
        </w:rPr>
        <w:t>。评估范围内房地产为钢筋混凝土结构，房子整体朝南，毛坯状态，</w:t>
      </w:r>
      <w:bookmarkStart w:id="32" w:name="_Hlk94096246"/>
      <w:r>
        <w:rPr>
          <w:rFonts w:hint="eastAsia" w:ascii="宋体" w:hAnsi="宋体" w:eastAsia="宋体" w:cs="宋体"/>
          <w:sz w:val="24"/>
        </w:rPr>
        <w:t>用途</w:t>
      </w:r>
      <w:bookmarkEnd w:id="32"/>
      <w:r>
        <w:rPr>
          <w:rFonts w:hint="eastAsia" w:ascii="宋体" w:hAnsi="宋体" w:eastAsia="宋体" w:cs="宋体"/>
          <w:sz w:val="24"/>
        </w:rPr>
        <w:t>为住宅。截至评估基准日，房屋为空置状态。建筑物建筑质量较好，保养和使用情况为完好，房屋完损等级为完好房。</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3、区域状况分析  </w:t>
      </w:r>
    </w:p>
    <w:p>
      <w:pPr>
        <w:spacing w:line="360" w:lineRule="auto"/>
        <w:ind w:firstLine="480" w:firstLineChars="200"/>
        <w:rPr>
          <w:rFonts w:ascii="宋体" w:hAnsi="宋体" w:eastAsia="宋体" w:cs="宋体"/>
          <w:sz w:val="24"/>
        </w:rPr>
      </w:pPr>
      <w:r>
        <w:rPr>
          <w:rFonts w:hint="eastAsia" w:ascii="宋体" w:hAnsi="宋体" w:eastAsia="宋体" w:cs="宋体"/>
          <w:sz w:val="24"/>
        </w:rPr>
        <w:t>评估对象位于杭州市富阳区新登镇，东临村道，南靠近S</w:t>
      </w:r>
      <w:r>
        <w:rPr>
          <w:rFonts w:ascii="宋体" w:hAnsi="宋体" w:eastAsia="宋体" w:cs="宋体"/>
          <w:sz w:val="24"/>
        </w:rPr>
        <w:t>305</w:t>
      </w:r>
      <w:r>
        <w:rPr>
          <w:rFonts w:hint="eastAsia" w:ascii="宋体" w:hAnsi="宋体" w:eastAsia="宋体" w:cs="宋体"/>
          <w:sz w:val="24"/>
        </w:rPr>
        <w:t>，西面与北面均为山林，交通较便捷，有635路公交车,富阳南站至枫林专线，富阳南站至万市专线，富阳至万市专线，富阳至新登专线设有停靠站，区域联内联外交通较便捷，可通达各交通要道；评估对象距汽车站、城区商业街、购物中心、学校、幼儿园、农贸市场、医院、银行网点等均较远。</w:t>
      </w:r>
    </w:p>
    <w:p>
      <w:pPr>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上述评估对象和评估范围与委托评估时确定的评估对象和评估范围一致。</w:t>
      </w:r>
    </w:p>
    <w:p>
      <w:pPr>
        <w:tabs>
          <w:tab w:val="left" w:pos="540"/>
        </w:tabs>
        <w:spacing w:line="360" w:lineRule="auto"/>
        <w:outlineLvl w:val="0"/>
        <w:rPr>
          <w:rFonts w:ascii="宋体" w:hAnsi="宋体" w:eastAsia="宋体" w:cs="宋体"/>
          <w:b/>
          <w:sz w:val="24"/>
        </w:rPr>
      </w:pPr>
      <w:bookmarkStart w:id="33" w:name="_Toc37185841"/>
      <w:bookmarkStart w:id="34" w:name="_Toc275872922"/>
      <w:bookmarkStart w:id="35" w:name="_Toc455510049_WPSOffice_Level1"/>
      <w:r>
        <w:rPr>
          <w:rFonts w:hint="eastAsia" w:ascii="宋体" w:hAnsi="宋体" w:eastAsia="宋体" w:cs="宋体"/>
          <w:b/>
          <w:sz w:val="24"/>
          <w:lang w:eastAsia="zh-Hans"/>
        </w:rPr>
        <w:t>四、</w:t>
      </w:r>
      <w:r>
        <w:rPr>
          <w:rFonts w:hint="eastAsia" w:ascii="宋体" w:hAnsi="宋体" w:eastAsia="宋体" w:cs="宋体"/>
          <w:b/>
          <w:sz w:val="24"/>
        </w:rPr>
        <w:t>价值类型</w:t>
      </w:r>
      <w:bookmarkEnd w:id="33"/>
      <w:bookmarkEnd w:id="34"/>
      <w:bookmarkEnd w:id="35"/>
    </w:p>
    <w:p>
      <w:pPr>
        <w:spacing w:line="360" w:lineRule="auto"/>
        <w:ind w:firstLine="480" w:firstLineChars="200"/>
        <w:rPr>
          <w:rFonts w:ascii="宋体" w:hAnsi="宋体" w:eastAsia="宋体" w:cs="宋体"/>
          <w:sz w:val="24"/>
        </w:rPr>
      </w:pPr>
      <w:bookmarkStart w:id="36" w:name="_Toc275872923"/>
      <w:r>
        <w:rPr>
          <w:rFonts w:hint="eastAsia" w:ascii="宋体" w:hAnsi="宋体" w:eastAsia="宋体" w:cs="宋体"/>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ascii="宋体" w:hAnsi="宋体" w:eastAsia="宋体" w:cs="宋体"/>
          <w:sz w:val="24"/>
        </w:rPr>
      </w:pPr>
      <w:r>
        <w:rPr>
          <w:rFonts w:hint="eastAsia" w:ascii="宋体" w:hAnsi="宋体" w:eastAsia="宋体" w:cs="宋体"/>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ascii="宋体" w:hAnsi="宋体" w:eastAsia="宋体" w:cs="宋体"/>
          <w:b/>
          <w:sz w:val="24"/>
        </w:rPr>
      </w:pPr>
      <w:bookmarkStart w:id="37" w:name="_Toc37185842"/>
      <w:bookmarkStart w:id="38" w:name="_Toc2125675635_WPSOffice_Level1"/>
      <w:r>
        <w:rPr>
          <w:rFonts w:hint="eastAsia" w:ascii="宋体" w:hAnsi="宋体" w:eastAsia="宋体" w:cs="宋体"/>
          <w:b/>
          <w:sz w:val="24"/>
          <w:lang w:eastAsia="zh-Hans"/>
        </w:rPr>
        <w:t>五、</w:t>
      </w:r>
      <w:r>
        <w:rPr>
          <w:rFonts w:hint="eastAsia" w:ascii="宋体" w:hAnsi="宋体" w:eastAsia="宋体" w:cs="宋体"/>
          <w:b/>
          <w:sz w:val="24"/>
        </w:rPr>
        <w:t>评估基准日</w:t>
      </w:r>
      <w:bookmarkEnd w:id="36"/>
      <w:bookmarkEnd w:id="37"/>
      <w:bookmarkEnd w:id="38"/>
    </w:p>
    <w:p>
      <w:pPr>
        <w:spacing w:line="360" w:lineRule="auto"/>
        <w:ind w:left="-4" w:leftChars="-2" w:firstLine="480" w:firstLineChars="200"/>
        <w:rPr>
          <w:rFonts w:ascii="宋体" w:hAnsi="宋体" w:eastAsia="宋体" w:cs="宋体"/>
          <w:sz w:val="24"/>
        </w:rPr>
      </w:pPr>
      <w:r>
        <w:rPr>
          <w:rFonts w:hint="eastAsia" w:ascii="宋体" w:hAnsi="宋体" w:eastAsia="宋体" w:cs="宋体"/>
          <w:sz w:val="24"/>
        </w:rPr>
        <w:t>本次资产评估的基准日为</w:t>
      </w:r>
      <w:r>
        <w:rPr>
          <w:rFonts w:hint="eastAsia" w:ascii="宋体" w:hAnsi="宋体" w:eastAsia="宋体" w:cs="宋体"/>
          <w:sz w:val="24"/>
          <w:lang w:eastAsia="zh-CN"/>
        </w:rPr>
        <w:t>2022年10月21日</w:t>
      </w:r>
      <w:r>
        <w:rPr>
          <w:rFonts w:hint="eastAsia" w:ascii="宋体" w:hAnsi="宋体" w:eastAsia="宋体" w:cs="宋体"/>
          <w:sz w:val="24"/>
        </w:rPr>
        <w:t>。</w:t>
      </w:r>
    </w:p>
    <w:p>
      <w:pPr>
        <w:spacing w:line="360" w:lineRule="auto"/>
        <w:ind w:left="-4" w:leftChars="-2" w:firstLine="480" w:firstLineChars="200"/>
        <w:rPr>
          <w:rFonts w:ascii="宋体" w:hAnsi="宋体" w:eastAsia="宋体" w:cs="宋体"/>
          <w:sz w:val="24"/>
        </w:rPr>
      </w:pPr>
      <w:r>
        <w:rPr>
          <w:rFonts w:hint="eastAsia" w:ascii="宋体" w:hAnsi="宋体" w:eastAsia="宋体" w:cs="宋体"/>
          <w:sz w:val="24"/>
        </w:rPr>
        <w:t>选取上述日期为评估基准日的理由是:</w:t>
      </w:r>
    </w:p>
    <w:p>
      <w:pPr>
        <w:spacing w:line="360" w:lineRule="auto"/>
        <w:ind w:left="-4" w:leftChars="-2" w:firstLine="480" w:firstLineChars="200"/>
        <w:rPr>
          <w:rFonts w:ascii="宋体" w:hAnsi="宋体" w:eastAsia="宋体" w:cs="宋体"/>
          <w:sz w:val="24"/>
        </w:rPr>
      </w:pPr>
      <w:r>
        <w:rPr>
          <w:rFonts w:hint="eastAsia" w:ascii="宋体" w:hAnsi="宋体" w:eastAsia="宋体" w:cs="宋体"/>
          <w:sz w:val="24"/>
        </w:rPr>
        <w:t>根据评估目的由委托人确定评估基准日。主要考虑使评估基准日尽可能与评估目的实现日接近，使评估结论较合理地为评估目的服务。</w:t>
      </w:r>
    </w:p>
    <w:p>
      <w:pPr>
        <w:tabs>
          <w:tab w:val="left" w:pos="540"/>
        </w:tabs>
        <w:spacing w:line="360" w:lineRule="auto"/>
        <w:outlineLvl w:val="0"/>
        <w:rPr>
          <w:rFonts w:ascii="宋体" w:hAnsi="宋体" w:eastAsia="宋体" w:cs="宋体"/>
          <w:b/>
          <w:sz w:val="24"/>
        </w:rPr>
      </w:pPr>
      <w:bookmarkStart w:id="39" w:name="_Toc692445953_WPSOffice_Level1"/>
      <w:bookmarkStart w:id="40" w:name="_Toc37185843"/>
      <w:r>
        <w:rPr>
          <w:rFonts w:hint="eastAsia" w:ascii="宋体" w:hAnsi="宋体" w:eastAsia="宋体" w:cs="宋体"/>
          <w:b/>
          <w:sz w:val="24"/>
          <w:lang w:eastAsia="zh-Hans"/>
        </w:rPr>
        <w:t>六、</w:t>
      </w:r>
      <w:r>
        <w:rPr>
          <w:rFonts w:hint="eastAsia" w:ascii="宋体" w:hAnsi="宋体" w:eastAsia="宋体" w:cs="宋体"/>
          <w:b/>
          <w:sz w:val="24"/>
        </w:rPr>
        <w:t>评估假设</w:t>
      </w:r>
      <w:bookmarkEnd w:id="39"/>
      <w:bookmarkEnd w:id="40"/>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(一)基础性假设</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1、交易假设:假设评估对象处于交易过程中，评估师根据评估对象的交易条件等模拟市场进行评估，评估结果是对评估对象最可能达成交易价格的估计。</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(二)宏观经济环境假设</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1、国家现行的经济政策方针无重大变化;</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2、在评估结论有效期内银行信贷利率、汇率、税率无重大变化;</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3、评估对象所在地区的社会经济环境无重大变化。</w:t>
      </w:r>
    </w:p>
    <w:p>
      <w:pPr>
        <w:tabs>
          <w:tab w:val="left" w:pos="945"/>
        </w:tabs>
        <w:adjustRightInd w:val="0"/>
        <w:snapToGrid w:val="0"/>
        <w:spacing w:line="360" w:lineRule="auto"/>
        <w:ind w:firstLine="240" w:firstLineChars="100"/>
        <w:rPr>
          <w:rFonts w:ascii="宋体" w:hAnsi="宋体" w:eastAsia="宋体" w:cs="宋体"/>
          <w:sz w:val="24"/>
        </w:rPr>
      </w:pPr>
      <w:r>
        <w:rPr>
          <w:rFonts w:hint="eastAsia" w:ascii="宋体" w:hAnsi="宋体" w:eastAsia="宋体" w:cs="宋体"/>
          <w:sz w:val="24"/>
        </w:rPr>
        <w:t xml:space="preserve">  (三)评估对象于评估基准日状态假设</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2、除评估师所知范围之外，假设评估对象及其所涉及资产均无附带影响其价格的权利瑕疵、负债和限制，假设评估对象及其所涉及资产之价款、税费、各种应付款项均已付清。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(四)限制性假设</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2、除非另有说明，本资产评估报告假设通过可见实体外表对评估范围内有形资 产视察的现场调查结果，与其实际经济使用寿命基本相符。本次评估未对该等资产的结构、装修等进行专项技术检测。</w:t>
      </w:r>
    </w:p>
    <w:p>
      <w:pPr>
        <w:tabs>
          <w:tab w:val="left" w:pos="945"/>
        </w:tabs>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ascii="宋体" w:hAnsi="宋体" w:eastAsia="宋体" w:cs="宋体"/>
          <w:sz w:val="24"/>
        </w:rPr>
      </w:pPr>
      <w:bookmarkStart w:id="41" w:name="_Toc37185844"/>
      <w:bookmarkStart w:id="42" w:name="_Toc725248978_WPSOffice_Level1"/>
      <w:r>
        <w:rPr>
          <w:rFonts w:hint="eastAsia" w:ascii="宋体" w:hAnsi="宋体" w:eastAsia="宋体" w:cs="宋体"/>
          <w:b/>
          <w:sz w:val="24"/>
          <w:lang w:eastAsia="zh-Hans"/>
        </w:rPr>
        <w:t>七、</w:t>
      </w:r>
      <w:r>
        <w:rPr>
          <w:rFonts w:hint="eastAsia" w:ascii="宋体" w:hAnsi="宋体" w:eastAsia="宋体" w:cs="宋体"/>
          <w:b/>
          <w:sz w:val="24"/>
        </w:rPr>
        <w:t>评估依据</w:t>
      </w:r>
      <w:bookmarkEnd w:id="41"/>
      <w:bookmarkEnd w:id="42"/>
    </w:p>
    <w:p>
      <w:pPr>
        <w:tabs>
          <w:tab w:val="left" w:pos="540"/>
        </w:tabs>
        <w:adjustRightInd w:val="0"/>
        <w:spacing w:line="360" w:lineRule="auto"/>
        <w:ind w:firstLine="480" w:firstLineChars="200"/>
        <w:outlineLvl w:val="0"/>
        <w:rPr>
          <w:rFonts w:ascii="宋体" w:hAnsi="宋体" w:eastAsia="宋体" w:cs="宋体"/>
          <w:sz w:val="24"/>
        </w:rPr>
      </w:pPr>
      <w:r>
        <w:rPr>
          <w:rFonts w:hint="eastAsia" w:ascii="宋体" w:hAnsi="宋体" w:eastAsia="宋体" w:cs="宋体"/>
          <w:sz w:val="24"/>
        </w:rPr>
        <w:t>（一）行为依据</w:t>
      </w:r>
    </w:p>
    <w:p>
      <w:pPr>
        <w:adjustRightInd w:val="0"/>
        <w:spacing w:line="360" w:lineRule="auto"/>
        <w:ind w:firstLine="480" w:firstLineChars="200"/>
        <w:rPr>
          <w:rFonts w:ascii="宋体" w:hAnsi="宋体" w:eastAsia="宋体" w:cs="宋体"/>
          <w:color w:val="000000"/>
          <w:sz w:val="24"/>
        </w:rPr>
      </w:pPr>
      <w:r>
        <w:rPr>
          <w:rFonts w:hint="eastAsia" w:ascii="宋体" w:hAnsi="宋体" w:eastAsia="宋体" w:cs="宋体"/>
          <w:sz w:val="24"/>
        </w:rPr>
        <w:t>杭州市富阳区人民法院（2022）杭富法委评字第</w:t>
      </w:r>
      <w:r>
        <w:rPr>
          <w:rFonts w:hint="eastAsia" w:ascii="宋体" w:hAnsi="宋体" w:eastAsia="宋体" w:cs="宋体"/>
          <w:sz w:val="24"/>
          <w:lang w:val="en-US" w:eastAsia="zh-CN"/>
        </w:rPr>
        <w:t>131</w:t>
      </w:r>
      <w:r>
        <w:rPr>
          <w:rFonts w:hint="eastAsia" w:ascii="宋体" w:hAnsi="宋体" w:eastAsia="宋体" w:cs="宋体"/>
          <w:sz w:val="24"/>
        </w:rPr>
        <w:t>号《司法评估委托书》。</w:t>
      </w:r>
    </w:p>
    <w:p>
      <w:pPr>
        <w:tabs>
          <w:tab w:val="left" w:pos="0"/>
        </w:tabs>
        <w:adjustRightInd w:val="0"/>
        <w:spacing w:line="360" w:lineRule="auto"/>
        <w:ind w:firstLine="480" w:firstLineChars="200"/>
        <w:rPr>
          <w:rFonts w:ascii="宋体" w:hAnsi="宋体" w:eastAsia="宋体" w:cs="宋体"/>
          <w:sz w:val="24"/>
        </w:rPr>
      </w:pPr>
      <w:r>
        <w:rPr>
          <w:rFonts w:hint="eastAsia" w:ascii="宋体" w:hAnsi="宋体" w:eastAsia="宋体" w:cs="宋体"/>
          <w:sz w:val="24"/>
        </w:rPr>
        <w:t>（二）法律法规依据</w:t>
      </w:r>
    </w:p>
    <w:p>
      <w:pPr>
        <w:spacing w:line="360" w:lineRule="auto"/>
        <w:ind w:firstLine="480" w:firstLineChars="200"/>
        <w:rPr>
          <w:rFonts w:ascii="宋体" w:hAnsi="宋体" w:eastAsia="宋体" w:cs="宋体"/>
          <w:sz w:val="24"/>
        </w:rPr>
      </w:pPr>
      <w:r>
        <w:rPr>
          <w:rFonts w:hint="eastAsia" w:ascii="宋体" w:hAnsi="宋体" w:eastAsia="宋体" w:cs="宋体"/>
          <w:sz w:val="24"/>
        </w:rPr>
        <w:t>1、《中华人民共和国资产评估法》（2016年7月2日全国人大常委会发布）；</w:t>
      </w:r>
    </w:p>
    <w:p>
      <w:pPr>
        <w:spacing w:line="360" w:lineRule="auto"/>
        <w:ind w:firstLine="480" w:firstLineChars="200"/>
        <w:rPr>
          <w:rFonts w:ascii="宋体" w:hAnsi="宋体" w:eastAsia="宋体" w:cs="宋体"/>
          <w:sz w:val="24"/>
        </w:rPr>
      </w:pPr>
      <w:r>
        <w:rPr>
          <w:rFonts w:hint="eastAsia" w:ascii="宋体" w:hAnsi="宋体" w:eastAsia="宋体" w:cs="宋体"/>
          <w:sz w:val="24"/>
        </w:rPr>
        <w:t>2、《中华人民共和国拍卖法》（2015年4月24日第十二届全国人大常委会第十次会议修正）；</w:t>
      </w:r>
    </w:p>
    <w:p>
      <w:pPr>
        <w:adjustRightInd w:val="0"/>
        <w:spacing w:line="360" w:lineRule="auto"/>
        <w:ind w:firstLine="480" w:firstLineChars="200"/>
        <w:jc w:val="left"/>
        <w:rPr>
          <w:rFonts w:ascii="宋体" w:hAnsi="宋体" w:eastAsia="宋体" w:cs="宋体"/>
        </w:rPr>
      </w:pPr>
      <w:r>
        <w:rPr>
          <w:rFonts w:hint="eastAsia" w:ascii="宋体" w:hAnsi="宋体" w:eastAsia="宋体" w:cs="宋体"/>
          <w:sz w:val="24"/>
        </w:rPr>
        <w:t>3、《中华人民共和国民法典》（2020年5月28日第十三届全国人大常委会三次会议表决通过）；</w:t>
      </w:r>
    </w:p>
    <w:p>
      <w:pPr>
        <w:pStyle w:val="2"/>
        <w:ind w:firstLine="480"/>
        <w:rPr>
          <w:rFonts w:hAnsi="宋体"/>
        </w:rPr>
      </w:pPr>
      <w:r>
        <w:rPr>
          <w:rFonts w:hint="eastAsia" w:hAnsi="宋体"/>
        </w:rPr>
        <w:t>4、《中华人民共和国增值税暂行条例》（2017年11月19日国务院令第691号公布）；</w:t>
      </w:r>
    </w:p>
    <w:p>
      <w:pPr>
        <w:pStyle w:val="2"/>
        <w:spacing w:line="360" w:lineRule="auto"/>
        <w:ind w:firstLine="482"/>
        <w:rPr>
          <w:rFonts w:hAnsi="宋体"/>
        </w:rPr>
      </w:pPr>
      <w:r>
        <w:rPr>
          <w:rFonts w:hint="eastAsia" w:hAnsi="宋体"/>
        </w:rPr>
        <w:t>5、《司法鉴定程序通则》（2016年5月1日，司法部令第132号）；</w:t>
      </w:r>
    </w:p>
    <w:p>
      <w:pPr>
        <w:pStyle w:val="2"/>
        <w:spacing w:line="360" w:lineRule="auto"/>
        <w:ind w:firstLine="482"/>
        <w:rPr>
          <w:rFonts w:hAnsi="宋体"/>
        </w:rPr>
      </w:pPr>
      <w:r>
        <w:rPr>
          <w:rFonts w:hint="eastAsia" w:hAnsi="宋体"/>
        </w:rPr>
        <w:t>6、《浙江省人民法院实施〈人民法院对外委托司法鉴定管理规定〉细则》（浙高法[2010]299号）；</w:t>
      </w:r>
    </w:p>
    <w:p>
      <w:pPr>
        <w:spacing w:line="360" w:lineRule="auto"/>
        <w:ind w:firstLine="480" w:firstLineChars="200"/>
        <w:rPr>
          <w:rFonts w:ascii="宋体" w:hAnsi="宋体" w:eastAsia="宋体" w:cs="宋体"/>
          <w:sz w:val="24"/>
        </w:rPr>
      </w:pPr>
      <w:r>
        <w:rPr>
          <w:rFonts w:hint="eastAsia" w:ascii="宋体" w:hAnsi="宋体" w:eastAsia="宋体" w:cs="宋体"/>
          <w:sz w:val="24"/>
        </w:rPr>
        <w:t>7、《最高人民法院关于人民法院确定财产处置参考价若干问题的规定》（2018年6月4日最高人民法院审判委员会第1741次会议通过）；</w:t>
      </w:r>
    </w:p>
    <w:p>
      <w:pPr>
        <w:spacing w:line="360" w:lineRule="auto"/>
        <w:ind w:firstLine="480" w:firstLineChars="200"/>
        <w:rPr>
          <w:rFonts w:ascii="宋体" w:hAnsi="宋体" w:eastAsia="宋体" w:cs="宋体"/>
          <w:sz w:val="24"/>
        </w:rPr>
      </w:pPr>
      <w:r>
        <w:rPr>
          <w:rFonts w:hint="eastAsia" w:ascii="宋体" w:hAnsi="宋体" w:eastAsia="宋体" w:cs="宋体"/>
          <w:sz w:val="24"/>
        </w:rPr>
        <w:t>8、《资产评估行业财政监督管理办法》（2017年4月21日中华人民共和国财政部令第86号）；</w:t>
      </w:r>
    </w:p>
    <w:p>
      <w:pPr>
        <w:pStyle w:val="2"/>
        <w:spacing w:line="360" w:lineRule="auto"/>
        <w:ind w:firstLine="480" w:firstLineChars="200"/>
        <w:rPr>
          <w:rFonts w:hAnsi="宋体"/>
          <w:color w:val="auto"/>
          <w:kern w:val="2"/>
        </w:rPr>
      </w:pPr>
      <w:r>
        <w:rPr>
          <w:rFonts w:hint="eastAsia" w:hAnsi="宋体"/>
        </w:rPr>
        <w:t>9、</w:t>
      </w:r>
      <w:r>
        <w:rPr>
          <w:rFonts w:hint="eastAsia" w:hAnsi="宋体"/>
          <w:color w:val="auto"/>
          <w:kern w:val="2"/>
        </w:rPr>
        <w:t>《中华人民共和国城市房地产管理法》（2019年8月26日第十三届全国人民代表大会常务委员会第十二次会议）；</w:t>
      </w:r>
    </w:p>
    <w:p>
      <w:pPr>
        <w:spacing w:line="360" w:lineRule="auto"/>
        <w:ind w:firstLine="480" w:firstLineChars="200"/>
        <w:rPr>
          <w:rFonts w:ascii="宋体" w:hAnsi="宋体" w:eastAsia="宋体" w:cs="宋体"/>
          <w:sz w:val="24"/>
        </w:rPr>
      </w:pPr>
      <w:r>
        <w:rPr>
          <w:rFonts w:hint="eastAsia" w:ascii="宋体" w:hAnsi="宋体" w:eastAsia="宋体" w:cs="宋体"/>
          <w:sz w:val="24"/>
        </w:rPr>
        <w:t>10、国家有关部门颁布的其他相关的法律、法规及规章。</w:t>
      </w:r>
    </w:p>
    <w:p>
      <w:pPr>
        <w:adjustRightIn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kern w:val="0"/>
          <w:sz w:val="24"/>
        </w:rPr>
        <w:t>（三）评估准则依据</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1、《资产评估基本准则》（财资[2017]43号）；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2、《资产评估职业道德准则》（中评协[2017]30号）；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3、《资产评估执业准则——资产评估程序》（中评协[2018]36号）；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4、《资产评估执业准则——不动产》（中评协[2017]38号）；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5、《资产评估执业准则——资产评估报告》（中评协[2018]35号）；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6、《资产评估执业准则——资产评估委托合同》（中评协[2017]33号）；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7、《资产评估执业准则——资产评估档案》（中评协[2018]37号）；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8、《资产评估对象法律权属指导意见》（中评协[2017]48号）；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9、《资产评估机构业务质量控制指南》（中评协[2017]46号）；</w:t>
      </w:r>
    </w:p>
    <w:p>
      <w:pPr>
        <w:tabs>
          <w:tab w:val="left" w:pos="1069"/>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10、《资产评估价值类型指导意见》（中评协[2017]47号）；</w:t>
      </w:r>
    </w:p>
    <w:p>
      <w:pPr>
        <w:tabs>
          <w:tab w:val="left" w:pos="1069"/>
        </w:tabs>
        <w:spacing w:line="360" w:lineRule="auto"/>
        <w:ind w:firstLine="480" w:firstLineChars="200"/>
        <w:rPr>
          <w:rFonts w:ascii="宋体" w:hAnsi="宋体" w:eastAsia="宋体" w:cs="宋体"/>
        </w:rPr>
      </w:pPr>
      <w:r>
        <w:rPr>
          <w:rFonts w:hint="eastAsia" w:ascii="宋体" w:hAnsi="宋体" w:eastAsia="宋体" w:cs="宋体"/>
          <w:color w:val="000000"/>
          <w:sz w:val="24"/>
        </w:rPr>
        <w:t>11、《人民法院委托司法相关财产处置资产评估指导意见》（中评协[2019]14号）；</w:t>
      </w:r>
    </w:p>
    <w:p>
      <w:pPr>
        <w:pStyle w:val="2"/>
        <w:spacing w:line="360" w:lineRule="auto"/>
        <w:ind w:firstLine="480" w:firstLineChars="200"/>
        <w:rPr>
          <w:rFonts w:hAnsi="宋体"/>
        </w:rPr>
      </w:pPr>
      <w:r>
        <w:rPr>
          <w:rFonts w:hint="eastAsia" w:hAnsi="宋体"/>
        </w:rPr>
        <w:t>12、《资产评估执业准则——评估方法》（中评协[2019]35号）；</w:t>
      </w:r>
    </w:p>
    <w:p>
      <w:pPr>
        <w:pStyle w:val="2"/>
        <w:spacing w:line="360" w:lineRule="auto"/>
        <w:ind w:firstLine="480" w:firstLineChars="200"/>
        <w:rPr>
          <w:rFonts w:hAnsi="宋体"/>
        </w:rPr>
      </w:pPr>
      <w:r>
        <w:rPr>
          <w:rFonts w:hint="eastAsia" w:hAnsi="宋体"/>
        </w:rPr>
        <w:t>13、《房地产估价规范》（国家标准GB/T50291-2015）。</w:t>
      </w:r>
    </w:p>
    <w:p>
      <w:pPr>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四）</w:t>
      </w:r>
      <w:r>
        <w:rPr>
          <w:rFonts w:hint="eastAsia" w:ascii="宋体" w:hAnsi="宋体" w:eastAsia="宋体" w:cs="宋体"/>
          <w:sz w:val="24"/>
        </w:rPr>
        <w:t>产权依据</w:t>
      </w:r>
    </w:p>
    <w:p>
      <w:pPr>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委托人提供的相关资料；</w:t>
      </w:r>
    </w:p>
    <w:p>
      <w:pPr>
        <w:pStyle w:val="12"/>
        <w:widowControl/>
        <w:numPr>
          <w:ilvl w:val="0"/>
          <w:numId w:val="4"/>
        </w:numPr>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杭州市富阳区人民法院《司法评估委托书》；</w:t>
      </w:r>
    </w:p>
    <w:p>
      <w:pPr>
        <w:pStyle w:val="12"/>
        <w:widowControl/>
        <w:numPr>
          <w:ilvl w:val="0"/>
          <w:numId w:val="4"/>
        </w:numPr>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评估人员现场勘查的相关资料；</w:t>
      </w:r>
    </w:p>
    <w:p>
      <w:pPr>
        <w:pStyle w:val="12"/>
        <w:widowControl/>
        <w:numPr>
          <w:ilvl w:val="0"/>
          <w:numId w:val="4"/>
        </w:numPr>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杭州市不动产权属信息查询记录。</w:t>
      </w:r>
    </w:p>
    <w:p>
      <w:pPr>
        <w:tabs>
          <w:tab w:val="left" w:pos="0"/>
        </w:tabs>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五）</w:t>
      </w:r>
      <w:r>
        <w:rPr>
          <w:rFonts w:hint="eastAsia" w:ascii="宋体" w:hAnsi="宋体" w:eastAsia="宋体" w:cs="宋体"/>
          <w:sz w:val="24"/>
        </w:rPr>
        <w:t>取价依据</w:t>
      </w:r>
    </w:p>
    <w:p>
      <w:pPr>
        <w:spacing w:line="360" w:lineRule="auto"/>
        <w:ind w:firstLine="480" w:firstLineChars="200"/>
        <w:rPr>
          <w:rFonts w:ascii="宋体" w:hAnsi="宋体" w:eastAsia="宋体" w:cs="宋体"/>
          <w:sz w:val="24"/>
        </w:rPr>
      </w:pPr>
      <w:r>
        <w:rPr>
          <w:rFonts w:hint="eastAsia" w:ascii="宋体" w:hAnsi="宋体" w:eastAsia="宋体" w:cs="宋体"/>
          <w:sz w:val="24"/>
        </w:rPr>
        <w:t>1、委托评估资产的有关资产市场价格信息；</w:t>
      </w:r>
    </w:p>
    <w:p>
      <w:pPr>
        <w:spacing w:line="360" w:lineRule="auto"/>
        <w:ind w:firstLine="480" w:firstLineChars="200"/>
        <w:rPr>
          <w:rFonts w:ascii="宋体" w:hAnsi="宋体" w:eastAsia="宋体" w:cs="宋体"/>
          <w:sz w:val="24"/>
        </w:rPr>
      </w:pPr>
      <w:r>
        <w:rPr>
          <w:rFonts w:hint="eastAsia" w:ascii="宋体" w:hAnsi="宋体" w:eastAsia="宋体" w:cs="宋体"/>
          <w:sz w:val="24"/>
        </w:rPr>
        <w:t>2、评估人员现场勘察记录及收集的其他相关估价信息资料；</w:t>
      </w:r>
    </w:p>
    <w:p>
      <w:pPr>
        <w:spacing w:line="360" w:lineRule="auto"/>
        <w:ind w:firstLine="480" w:firstLineChars="200"/>
        <w:rPr>
          <w:rFonts w:ascii="宋体" w:hAnsi="宋体" w:eastAsia="宋体" w:cs="宋体"/>
          <w:sz w:val="24"/>
        </w:rPr>
      </w:pPr>
      <w:r>
        <w:rPr>
          <w:rFonts w:hint="eastAsia" w:ascii="宋体" w:hAnsi="宋体" w:eastAsia="宋体" w:cs="宋体"/>
          <w:sz w:val="24"/>
        </w:rPr>
        <w:t>3、国家有关部门颁布的统计资料和技术标准资料，以及本公司评估专业技术人员现场勘察和市场调查所取得的资料；</w:t>
      </w:r>
    </w:p>
    <w:p>
      <w:pPr>
        <w:spacing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、其他资料。</w:t>
      </w:r>
    </w:p>
    <w:p>
      <w:pPr>
        <w:tabs>
          <w:tab w:val="left" w:pos="540"/>
        </w:tabs>
        <w:spacing w:line="360" w:lineRule="auto"/>
        <w:outlineLvl w:val="0"/>
        <w:rPr>
          <w:rFonts w:ascii="宋体" w:hAnsi="宋体" w:eastAsia="宋体" w:cs="宋体"/>
          <w:sz w:val="24"/>
        </w:rPr>
      </w:pPr>
      <w:bookmarkStart w:id="43" w:name="_Toc142392874_WPSOffice_Level1"/>
      <w:r>
        <w:rPr>
          <w:rFonts w:hint="eastAsia" w:ascii="宋体" w:hAnsi="宋体" w:eastAsia="宋体" w:cs="宋体"/>
          <w:b/>
          <w:sz w:val="24"/>
          <w:lang w:eastAsia="zh-Hans"/>
        </w:rPr>
        <w:t>八、</w:t>
      </w:r>
      <w:bookmarkStart w:id="44" w:name="_Hlk94096399"/>
      <w:r>
        <w:rPr>
          <w:rFonts w:hint="eastAsia" w:ascii="宋体" w:hAnsi="宋体" w:eastAsia="宋体" w:cs="宋体"/>
          <w:b/>
          <w:sz w:val="24"/>
        </w:rPr>
        <w:t>评估方法</w:t>
      </w:r>
      <w:bookmarkEnd w:id="43"/>
      <w:bookmarkEnd w:id="44"/>
    </w:p>
    <w:p>
      <w:pPr>
        <w:spacing w:line="360" w:lineRule="auto"/>
        <w:ind w:firstLine="480" w:firstLineChars="200"/>
        <w:rPr>
          <w:rFonts w:ascii="宋体" w:hAnsi="宋体" w:eastAsia="宋体" w:cs="宋体"/>
          <w:sz w:val="24"/>
        </w:rPr>
      </w:pPr>
      <w:r>
        <w:rPr>
          <w:rFonts w:hint="eastAsia" w:ascii="宋体" w:hAnsi="宋体" w:eastAsia="宋体" w:cs="宋体"/>
          <w:sz w:val="24"/>
        </w:rPr>
        <w:t>（一）评估方法的介绍：</w:t>
      </w:r>
    </w:p>
    <w:p>
      <w:pPr>
        <w:spacing w:line="360" w:lineRule="auto"/>
        <w:ind w:firstLine="480" w:firstLineChars="200"/>
        <w:rPr>
          <w:rFonts w:ascii="宋体" w:hAnsi="宋体" w:eastAsia="宋体" w:cs="宋体"/>
          <w:sz w:val="24"/>
        </w:rPr>
      </w:pPr>
      <w:r>
        <w:rPr>
          <w:rFonts w:hint="eastAsia" w:ascii="宋体" w:hAnsi="宋体" w:eastAsia="宋体" w:cs="宋体"/>
          <w:sz w:val="24"/>
        </w:rPr>
        <w:t>按照《资产评估基本准则》，评估需根据评估目的、价值类型、资料收集情况等相关条件，恰当选择一种或多种资产评估方法。价值评估通常采用的评估方法有市场法、收益法和成本法。</w:t>
      </w:r>
      <w:bookmarkStart w:id="45" w:name="_Toc417635592"/>
    </w:p>
    <w:p>
      <w:pPr>
        <w:spacing w:line="360" w:lineRule="auto"/>
        <w:ind w:firstLine="480" w:firstLineChars="200"/>
        <w:rPr>
          <w:rFonts w:ascii="宋体" w:hAnsi="宋体" w:eastAsia="宋体" w:cs="宋体"/>
          <w:sz w:val="24"/>
        </w:rPr>
      </w:pPr>
      <w:r>
        <w:rPr>
          <w:rFonts w:hint="eastAsia" w:ascii="宋体" w:hAnsi="宋体" w:eastAsia="宋体" w:cs="宋体"/>
          <w:sz w:val="24"/>
        </w:rPr>
        <w:t>资产评估中的收益法，是指将预期收益资本化或者折现，确定评估对象价值的评估方法。收益法常用的具体方法包括股利折现法和现金流量折现法。</w:t>
      </w:r>
    </w:p>
    <w:p>
      <w:pPr>
        <w:spacing w:line="360" w:lineRule="auto"/>
        <w:ind w:firstLine="480" w:firstLineChars="200"/>
        <w:rPr>
          <w:rFonts w:ascii="宋体" w:hAnsi="宋体" w:eastAsia="宋体" w:cs="宋体"/>
          <w:sz w:val="24"/>
        </w:rPr>
      </w:pPr>
      <w:r>
        <w:rPr>
          <w:rFonts w:hint="eastAsia" w:ascii="宋体" w:hAnsi="宋体" w:eastAsia="宋体" w:cs="宋体"/>
          <w:sz w:val="24"/>
        </w:rPr>
        <w:t>资产评估中的市场法，是指将评估对象与可比上市公司或者可比交易案例进行比较，确定评估对象价值的评估方法。市场法常用的两种具体方法是上市公司比较法和交易案例比较法。</w:t>
      </w:r>
    </w:p>
    <w:p>
      <w:pPr>
        <w:spacing w:line="360" w:lineRule="auto"/>
        <w:ind w:firstLine="480" w:firstLineChars="200"/>
        <w:rPr>
          <w:rFonts w:ascii="宋体" w:hAnsi="宋体" w:eastAsia="宋体" w:cs="宋体"/>
          <w:sz w:val="24"/>
        </w:rPr>
      </w:pPr>
      <w:r>
        <w:rPr>
          <w:rFonts w:hint="eastAsia" w:ascii="宋体" w:hAnsi="宋体" w:eastAsia="宋体" w:cs="宋体"/>
          <w:sz w:val="24"/>
        </w:rPr>
        <w:t>资产评估中的成本法，是指按照重建或者重置被评估资产的思路，将评估对象的重建或者重置成本作为确定资产价值的基础，扣除相关贬值，以此确定资产价值的评估方法的总称。</w:t>
      </w:r>
    </w:p>
    <w:p>
      <w:pPr>
        <w:spacing w:line="360" w:lineRule="auto"/>
        <w:ind w:firstLine="480" w:firstLineChars="200"/>
        <w:rPr>
          <w:rFonts w:ascii="宋体" w:hAnsi="宋体" w:eastAsia="宋体" w:cs="宋体"/>
        </w:rPr>
      </w:pPr>
      <w:r>
        <w:rPr>
          <w:rFonts w:hint="eastAsia" w:ascii="宋体" w:hAnsi="宋体" w:eastAsia="宋体" w:cs="宋体"/>
          <w:sz w:val="24"/>
        </w:rPr>
        <w:t>（二）评估方法的选择：</w:t>
      </w:r>
    </w:p>
    <w:p>
      <w:pPr>
        <w:spacing w:line="360" w:lineRule="auto"/>
        <w:ind w:firstLine="480" w:firstLineChars="200"/>
        <w:rPr>
          <w:rFonts w:ascii="宋体" w:hAnsi="宋体" w:eastAsia="宋体" w:cs="宋体"/>
          <w:sz w:val="24"/>
        </w:rPr>
      </w:pPr>
      <w:r>
        <w:rPr>
          <w:rFonts w:hint="eastAsia" w:ascii="宋体" w:hAnsi="宋体" w:eastAsia="宋体" w:cs="宋体"/>
          <w:sz w:val="24"/>
        </w:rPr>
        <w:t>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富阳区，周边房地产市场较活跃，价值时点近期有一定量的类似房地产的交易，故可选用市场法进行测算。</w:t>
      </w:r>
    </w:p>
    <w:bookmarkEnd w:id="45"/>
    <w:p>
      <w:pPr>
        <w:overflowPunct w:val="0"/>
        <w:adjustRightInd w:val="0"/>
        <w:snapToGrid w:val="0"/>
        <w:spacing w:line="360" w:lineRule="auto"/>
        <w:ind w:firstLine="480" w:firstLineChars="200"/>
        <w:rPr>
          <w:rFonts w:ascii="宋体" w:hAnsi="宋体" w:eastAsia="宋体" w:cs="宋体"/>
          <w:color w:val="000000"/>
          <w:sz w:val="24"/>
        </w:rPr>
      </w:pPr>
      <w:bookmarkStart w:id="46" w:name="_Toc417635589"/>
      <w:bookmarkEnd w:id="46"/>
      <w:r>
        <w:rPr>
          <w:rFonts w:hint="eastAsia" w:ascii="宋体" w:hAnsi="宋体" w:eastAsia="宋体" w:cs="宋体"/>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pPr>
        <w:overflowPunct w:val="0"/>
        <w:adjustRightInd w:val="0"/>
        <w:snapToGrid w:val="0"/>
        <w:spacing w:line="360" w:lineRule="auto"/>
        <w:ind w:firstLine="480" w:firstLineChars="200"/>
        <w:rPr>
          <w:rFonts w:ascii="宋体" w:hAnsi="宋体" w:eastAsia="宋体" w:cs="宋体"/>
          <w:color w:val="000000"/>
          <w:sz w:val="24"/>
        </w:rPr>
      </w:pPr>
      <w:bookmarkStart w:id="47" w:name="_Hlk93493965"/>
      <w:r>
        <w:rPr>
          <w:rFonts w:hint="eastAsia" w:ascii="宋体" w:hAnsi="宋体" w:eastAsia="宋体" w:cs="宋体"/>
          <w:color w:val="000000"/>
          <w:sz w:val="24"/>
        </w:rPr>
        <w:t>V=VB×A×B×C×D×E</w:t>
      </w:r>
    </w:p>
    <w:bookmarkEnd w:id="47"/>
    <w:p>
      <w:pPr>
        <w:overflowPunct w:val="0"/>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式中： V：待估房屋价值 </w:t>
      </w:r>
    </w:p>
    <w:p>
      <w:pPr>
        <w:overflowPunct w:val="0"/>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VB：比较案例价格 </w:t>
      </w:r>
    </w:p>
    <w:p>
      <w:pPr>
        <w:overflowPunct w:val="0"/>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A：待估房屋交易情况指数/比较案例交易情况指数 </w:t>
      </w:r>
    </w:p>
    <w:p>
      <w:pPr>
        <w:overflowPunct w:val="0"/>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B：待估房屋期日价格指数/比较案例期日价格指数</w:t>
      </w:r>
    </w:p>
    <w:p>
      <w:pPr>
        <w:overflowPunct w:val="0"/>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C：待估房屋区域因素条件指数/比较案例区域因素条件指数 </w:t>
      </w:r>
    </w:p>
    <w:p>
      <w:pPr>
        <w:overflowPunct w:val="0"/>
        <w:adjustRightInd w:val="0"/>
        <w:snapToGrid w:val="0"/>
        <w:spacing w:line="360" w:lineRule="auto"/>
        <w:ind w:firstLine="480" w:firstLineChars="200"/>
        <w:rPr>
          <w:rFonts w:ascii="宋体" w:hAnsi="宋体" w:eastAsia="宋体" w:cs="宋体"/>
          <w:kern w:val="0"/>
          <w:sz w:val="24"/>
        </w:rPr>
      </w:pPr>
      <w:r>
        <w:rPr>
          <w:rFonts w:hint="eastAsia" w:ascii="宋体" w:hAnsi="宋体" w:eastAsia="宋体" w:cs="宋体"/>
          <w:color w:val="000000"/>
          <w:sz w:val="24"/>
        </w:rPr>
        <w:t>D：待估房屋实物因素条件指数/比较案例实物因素条</w:t>
      </w:r>
      <w:r>
        <w:rPr>
          <w:rFonts w:hint="eastAsia" w:ascii="宋体" w:hAnsi="宋体" w:eastAsia="宋体" w:cs="宋体"/>
          <w:kern w:val="0"/>
          <w:sz w:val="24"/>
        </w:rPr>
        <w:t>件指数</w:t>
      </w:r>
    </w:p>
    <w:p>
      <w:pPr>
        <w:autoSpaceDE w:val="0"/>
        <w:autoSpaceDN w:val="0"/>
        <w:adjustRightInd w:val="0"/>
        <w:jc w:val="left"/>
        <w:rPr>
          <w:rFonts w:ascii="宋体" w:hAnsi="宋体" w:eastAsia="宋体" w:cs="宋体"/>
          <w:color w:val="000000"/>
          <w:kern w:val="0"/>
          <w:sz w:val="24"/>
        </w:rPr>
      </w:pPr>
      <w:r>
        <w:rPr>
          <w:rFonts w:hint="eastAsia" w:ascii="宋体" w:hAnsi="宋体" w:eastAsia="宋体" w:cs="宋体"/>
          <w:color w:val="000000"/>
          <w:kern w:val="0"/>
          <w:sz w:val="24"/>
        </w:rPr>
        <w:t xml:space="preserve">    E：待估房屋权益因素条件指数/比较案例权益因素条件指数</w:t>
      </w:r>
    </w:p>
    <w:p>
      <w:pPr>
        <w:spacing w:line="360" w:lineRule="auto"/>
        <w:ind w:firstLine="480" w:firstLineChars="200"/>
        <w:rPr>
          <w:rFonts w:ascii="宋体" w:hAnsi="宋体" w:eastAsia="宋体" w:cs="宋体"/>
          <w:sz w:val="24"/>
        </w:rPr>
      </w:pPr>
      <w:r>
        <w:rPr>
          <w:rFonts w:hint="eastAsia" w:ascii="宋体" w:hAnsi="宋体" w:eastAsia="宋体" w:cs="宋体"/>
          <w:sz w:val="24"/>
        </w:rPr>
        <w:t>根据上述评估方法评估，得出房地产评估价值。</w:t>
      </w:r>
    </w:p>
    <w:p>
      <w:pPr>
        <w:tabs>
          <w:tab w:val="left" w:pos="540"/>
        </w:tabs>
        <w:spacing w:line="360" w:lineRule="auto"/>
        <w:ind w:firstLine="482" w:firstLineChars="200"/>
        <w:outlineLvl w:val="0"/>
        <w:rPr>
          <w:rFonts w:ascii="宋体" w:hAnsi="宋体" w:eastAsia="宋体" w:cs="宋体"/>
          <w:b/>
          <w:sz w:val="24"/>
        </w:rPr>
      </w:pPr>
      <w:bookmarkStart w:id="48" w:name="_Toc900250560_WPSOffice_Level1"/>
      <w:r>
        <w:rPr>
          <w:rFonts w:hint="eastAsia" w:ascii="宋体" w:hAnsi="宋体" w:eastAsia="宋体" w:cs="宋体"/>
          <w:b/>
          <w:sz w:val="24"/>
          <w:lang w:eastAsia="zh-Hans"/>
        </w:rPr>
        <w:t>九、</w:t>
      </w:r>
      <w:r>
        <w:rPr>
          <w:rFonts w:hint="eastAsia" w:ascii="宋体" w:hAnsi="宋体" w:eastAsia="宋体" w:cs="宋体"/>
          <w:b/>
          <w:sz w:val="24"/>
        </w:rPr>
        <w:t>评估过程</w:t>
      </w:r>
      <w:bookmarkEnd w:id="48"/>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整个评估工作分</w:t>
      </w:r>
      <w:r>
        <w:rPr>
          <w:rFonts w:hint="eastAsia" w:ascii="宋体" w:hAnsi="宋体" w:eastAsia="宋体" w:cs="宋体"/>
          <w:color w:val="000000"/>
          <w:sz w:val="24"/>
        </w:rPr>
        <w:t>五</w:t>
      </w:r>
      <w:r>
        <w:rPr>
          <w:rFonts w:hint="eastAsia" w:ascii="宋体" w:hAnsi="宋体" w:eastAsia="宋体" w:cs="宋体"/>
          <w:color w:val="000000"/>
          <w:sz w:val="24"/>
          <w:lang w:val="zh-CN"/>
        </w:rPr>
        <w:t>个阶段进行：</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（一）接受委托阶段</w:t>
      </w:r>
    </w:p>
    <w:p>
      <w:pPr>
        <w:tabs>
          <w:tab w:val="left" w:pos="0"/>
          <w:tab w:val="left" w:pos="1211"/>
        </w:tabs>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明确评估业务基本事项，了解项目的委托人、产权持有人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2、接受杭州市富阳区人民法院的</w:t>
      </w:r>
      <w:r>
        <w:rPr>
          <w:rFonts w:hint="eastAsia" w:ascii="宋体" w:hAnsi="宋体" w:eastAsia="宋体" w:cs="宋体"/>
          <w:sz w:val="24"/>
        </w:rPr>
        <w:t>出具的《司法评估委托书》</w:t>
      </w:r>
      <w:r>
        <w:rPr>
          <w:rFonts w:hint="eastAsia" w:ascii="宋体" w:hAnsi="宋体" w:eastAsia="宋体" w:cs="宋体"/>
          <w:color w:val="000000"/>
          <w:sz w:val="24"/>
        </w:rPr>
        <w:t>；</w:t>
      </w:r>
    </w:p>
    <w:p>
      <w:pPr>
        <w:tabs>
          <w:tab w:val="left" w:pos="0"/>
          <w:tab w:val="left" w:pos="1211"/>
        </w:tabs>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3、制定资产评估工作计划；</w:t>
      </w:r>
    </w:p>
    <w:p>
      <w:pPr>
        <w:tabs>
          <w:tab w:val="left" w:pos="0"/>
          <w:tab w:val="left" w:pos="1211"/>
        </w:tabs>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4、组成项目小组，并对项目组成员进行培训。</w:t>
      </w:r>
    </w:p>
    <w:p>
      <w:pPr>
        <w:tabs>
          <w:tab w:val="left" w:pos="1211"/>
        </w:tabs>
        <w:spacing w:line="360" w:lineRule="auto"/>
        <w:rPr>
          <w:rFonts w:ascii="宋体" w:hAnsi="宋体" w:eastAsia="宋体" w:cs="宋体"/>
          <w:color w:val="000000"/>
          <w:sz w:val="24"/>
        </w:rPr>
      </w:pPr>
      <w:r>
        <w:rPr>
          <w:rFonts w:hint="eastAsia" w:ascii="宋体" w:hAnsi="宋体" w:eastAsia="宋体" w:cs="宋体"/>
          <w:color w:val="000000"/>
          <w:sz w:val="24"/>
        </w:rPr>
        <w:t>（二）资产核实阶段</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1、根据评估工作的需要，向杭州市富阳区人民法院提供资产评估清单表样，并协助其进行资产清查工作；</w:t>
      </w:r>
    </w:p>
    <w:p>
      <w:pPr>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2、了解产权持有人基本情况及委评资产状况，并收集相关资料；</w:t>
      </w:r>
    </w:p>
    <w:p>
      <w:pPr>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3、审查核对杭州市富阳区人民法院提供的资产评估清单和相关资料；</w:t>
      </w:r>
    </w:p>
    <w:p>
      <w:pPr>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4、根据资产评估申报表的内容进行现场核实和勘察；</w:t>
      </w:r>
    </w:p>
    <w:p>
      <w:pPr>
        <w:spacing w:line="360" w:lineRule="auto"/>
        <w:ind w:left="420" w:leftChars="200"/>
        <w:rPr>
          <w:rFonts w:ascii="宋体" w:hAnsi="宋体" w:eastAsia="宋体" w:cs="宋体"/>
          <w:color w:val="000000"/>
          <w:sz w:val="24"/>
        </w:rPr>
      </w:pPr>
      <w:r>
        <w:rPr>
          <w:rFonts w:hint="eastAsia" w:ascii="宋体" w:hAnsi="宋体" w:eastAsia="宋体" w:cs="宋体"/>
          <w:color w:val="000000"/>
          <w:sz w:val="24"/>
        </w:rPr>
        <w:t>5、收集并查验资产评估所需的其他相关资料。</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（三）评定估算阶段</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1、根据委评资产的实际状况和特点，制订具体评估方法；</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2、开展市场调研、询价工作；</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3、对委评资产进行评估，测算其评估价值；</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4、分析并汇总分项资产的评估结果，汇集评估底稿；</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5、撰写评估报告、评估说明，编制评估明细表。</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（四）出具报告阶段</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1、征求有关各方意见；</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2、内部进行复核程序，验证评估结果；</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3、评估结果的分析调整和评估报告的完善；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4、正式出具资产评估报告。</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（五）整理归集评估档案</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ascii="宋体" w:hAnsi="宋体" w:eastAsia="宋体" w:cs="宋体"/>
          <w:b/>
          <w:sz w:val="24"/>
        </w:rPr>
      </w:pPr>
      <w:bookmarkStart w:id="49" w:name="_Toc275872929"/>
      <w:bookmarkStart w:id="50" w:name="_Toc37185847"/>
      <w:bookmarkStart w:id="51" w:name="_Toc1488868805_WPSOffice_Level1"/>
      <w:r>
        <w:rPr>
          <w:rFonts w:hint="eastAsia" w:ascii="宋体" w:hAnsi="宋体" w:eastAsia="宋体" w:cs="宋体"/>
          <w:b/>
          <w:sz w:val="24"/>
          <w:lang w:eastAsia="zh-Hans"/>
        </w:rPr>
        <w:t>十、</w:t>
      </w:r>
      <w:r>
        <w:rPr>
          <w:rFonts w:hint="eastAsia" w:ascii="宋体" w:hAnsi="宋体" w:eastAsia="宋体" w:cs="宋体"/>
          <w:b/>
          <w:sz w:val="24"/>
        </w:rPr>
        <w:t>评估结论</w:t>
      </w:r>
      <w:bookmarkEnd w:id="49"/>
      <w:bookmarkEnd w:id="50"/>
      <w:bookmarkEnd w:id="51"/>
    </w:p>
    <w:tbl>
      <w:tblPr>
        <w:tblStyle w:val="16"/>
        <w:tblpPr w:leftFromText="180" w:rightFromText="180" w:vertAnchor="text" w:horzAnchor="page" w:tblpX="1817" w:tblpY="1401"/>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4205"/>
        <w:gridCol w:w="127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bookmarkStart w:id="52" w:name="_Toc275872930"/>
            <w:r>
              <w:rPr>
                <w:rFonts w:hint="eastAsia" w:ascii="宋体" w:hAnsi="宋体" w:eastAsia="宋体" w:cs="宋体"/>
                <w:i w:val="0"/>
                <w:iCs w:val="0"/>
                <w:color w:val="000000"/>
                <w:kern w:val="0"/>
                <w:sz w:val="20"/>
                <w:szCs w:val="20"/>
                <w:u w:val="none"/>
                <w:lang w:val="en-US" w:eastAsia="zh-CN" w:bidi="ar"/>
              </w:rPr>
              <w:t>序号</w:t>
            </w:r>
          </w:p>
        </w:tc>
        <w:tc>
          <w:tcPr>
            <w:tcW w:w="246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资产名称</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面积（㎡）</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1</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杭州市富阳区新登镇澳海澜庭57号808室房地产</w:t>
            </w:r>
          </w:p>
        </w:tc>
        <w:tc>
          <w:tcPr>
            <w:tcW w:w="748" w:type="pct"/>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123.07</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1,298,500.00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7"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8" w:type="pct"/>
            <w:vAlign w:val="top"/>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748"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35"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1,298,500.00  </w:t>
            </w:r>
          </w:p>
        </w:tc>
      </w:tr>
    </w:tbl>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经实施评估程序后，在评估基准日</w:t>
      </w:r>
      <w:r>
        <w:rPr>
          <w:rFonts w:hint="eastAsia" w:ascii="宋体" w:hAnsi="宋体" w:eastAsia="宋体" w:cs="宋体"/>
          <w:sz w:val="24"/>
          <w:lang w:eastAsia="zh-CN"/>
        </w:rPr>
        <w:t>2022年10月21日</w:t>
      </w:r>
      <w:r>
        <w:rPr>
          <w:rFonts w:hint="eastAsia" w:ascii="宋体" w:hAnsi="宋体" w:eastAsia="宋体" w:cs="宋体"/>
          <w:sz w:val="24"/>
        </w:rPr>
        <w:t>，在本报告所揭示的假设前提条件基础上，委评资产的评估价值为</w:t>
      </w:r>
      <w:r>
        <w:rPr>
          <w:rFonts w:hint="eastAsia" w:ascii="宋体" w:hAnsi="宋体" w:eastAsia="宋体" w:cs="宋体"/>
          <w:sz w:val="24"/>
          <w:lang w:eastAsia="zh-CN"/>
        </w:rPr>
        <w:t>1,298,500.00</w:t>
      </w:r>
      <w:r>
        <w:rPr>
          <w:rFonts w:hint="eastAsia" w:ascii="宋体" w:hAnsi="宋体" w:eastAsia="宋体" w:cs="宋体"/>
          <w:sz w:val="24"/>
        </w:rPr>
        <w:t>元（大写人民币</w:t>
      </w:r>
      <w:r>
        <w:rPr>
          <w:rFonts w:hint="eastAsia" w:ascii="宋体" w:hAnsi="宋体" w:eastAsia="宋体" w:cs="宋体"/>
          <w:sz w:val="24"/>
          <w:lang w:eastAsia="zh-CN"/>
        </w:rPr>
        <w:t>壹佰贰拾玖万捌仟伍佰元</w:t>
      </w:r>
      <w:r>
        <w:rPr>
          <w:rFonts w:hint="eastAsia" w:ascii="宋体" w:hAnsi="宋体" w:eastAsia="宋体" w:cs="宋体"/>
          <w:sz w:val="24"/>
        </w:rPr>
        <w:t>整）。</w:t>
      </w:r>
    </w:p>
    <w:p>
      <w:pPr>
        <w:pStyle w:val="2"/>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评估结论的详细情况见评估明细表。</w:t>
      </w:r>
    </w:p>
    <w:p>
      <w:pPr>
        <w:tabs>
          <w:tab w:val="left" w:pos="540"/>
        </w:tabs>
        <w:spacing w:line="360" w:lineRule="auto"/>
        <w:outlineLvl w:val="0"/>
        <w:rPr>
          <w:rFonts w:ascii="宋体" w:hAnsi="宋体" w:eastAsia="宋体" w:cs="宋体"/>
          <w:sz w:val="24"/>
        </w:rPr>
      </w:pPr>
      <w:bookmarkStart w:id="53" w:name="_Toc37185848"/>
      <w:bookmarkStart w:id="54" w:name="_Toc938550791_WPSOffice_Level1"/>
      <w:r>
        <w:rPr>
          <w:rFonts w:hint="eastAsia" w:ascii="宋体" w:hAnsi="宋体" w:eastAsia="宋体" w:cs="宋体"/>
          <w:b/>
          <w:sz w:val="24"/>
          <w:lang w:eastAsia="zh-Hans"/>
        </w:rPr>
        <w:t>十一、</w:t>
      </w:r>
      <w:r>
        <w:rPr>
          <w:rFonts w:hint="eastAsia" w:ascii="宋体" w:hAnsi="宋体" w:eastAsia="宋体" w:cs="宋体"/>
          <w:b/>
          <w:sz w:val="24"/>
        </w:rPr>
        <w:t>特别事项说明</w:t>
      </w:r>
      <w:bookmarkEnd w:id="52"/>
      <w:bookmarkEnd w:id="53"/>
      <w:bookmarkEnd w:id="54"/>
    </w:p>
    <w:p>
      <w:pPr>
        <w:spacing w:line="360" w:lineRule="auto"/>
        <w:ind w:firstLine="480" w:firstLineChars="200"/>
        <w:rPr>
          <w:rFonts w:ascii="宋体" w:hAnsi="宋体" w:eastAsia="宋体" w:cs="宋体"/>
          <w:sz w:val="24"/>
        </w:rPr>
      </w:pPr>
      <w:r>
        <w:rPr>
          <w:rFonts w:hint="eastAsia" w:ascii="宋体" w:hAnsi="宋体" w:eastAsia="宋体" w:cs="宋体"/>
          <w:sz w:val="24"/>
        </w:rPr>
        <w:t>以下为在评估过程中已发现可能影响评估结论但非评估人员执业水平和能力所能评定估算的有关事项(包括但不限于以下)：</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（一）未决事项、法律纠纷等不确定因素</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本报告未发现未决事项、法律纠纷等不确定因素。</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（二）重大期后事项</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期后事项是指评估基准日之后出具评估报告之前发生的重大事项。</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本报告无重大期后事项。</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（三）其他需要说明的事项</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rPr>
        <w:t>1、</w:t>
      </w:r>
      <w:r>
        <w:rPr>
          <w:rFonts w:hint="eastAsia" w:ascii="宋体" w:hAnsi="宋体" w:eastAsia="宋体" w:cs="宋体"/>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2、 评估报告中涉及的有关权属证明文件及相关资料由委托人提供，委托人对其真实性、合法性承担法律责任。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color w:val="000000"/>
          <w:sz w:val="24"/>
        </w:rPr>
        <w:t>3、</w:t>
      </w:r>
      <w:r>
        <w:rPr>
          <w:rFonts w:hint="eastAsia" w:ascii="宋体" w:hAnsi="宋体" w:eastAsia="宋体" w:cs="宋体"/>
          <w:sz w:val="24"/>
        </w:rPr>
        <w:t>本次评估，评估专业人员在假定委托人提供的有关资料是真实、有效的前提下，通过现场勘查对委评资产在基准日的结构等物理现状进行判断，未对其结构等物理状况做专项技术检测。</w:t>
      </w:r>
    </w:p>
    <w:p>
      <w:pPr>
        <w:spacing w:line="360" w:lineRule="auto"/>
        <w:ind w:firstLine="480" w:firstLineChars="200"/>
        <w:rPr>
          <w:rFonts w:ascii="宋体" w:hAnsi="宋体" w:eastAsia="宋体" w:cs="宋体"/>
          <w:sz w:val="24"/>
        </w:rPr>
      </w:pPr>
      <w:r>
        <w:rPr>
          <w:rFonts w:hint="eastAsia" w:ascii="宋体" w:hAnsi="宋体" w:eastAsia="宋体" w:cs="宋体"/>
          <w:sz w:val="24"/>
        </w:rPr>
        <w:t>4、未考虑评估费、拍卖费、诉讼费、律师费以及交易税费等财产处置费用对评估结论的影响。</w:t>
      </w:r>
    </w:p>
    <w:p>
      <w:pPr>
        <w:pStyle w:val="2"/>
        <w:spacing w:line="360" w:lineRule="auto"/>
        <w:ind w:firstLine="480" w:firstLineChars="200"/>
        <w:rPr>
          <w:rFonts w:hAnsi="宋体"/>
        </w:rPr>
      </w:pPr>
      <w:r>
        <w:rPr>
          <w:rFonts w:hint="eastAsia" w:hAnsi="宋体"/>
        </w:rPr>
        <w:t>5、未考虑查封、设立担保物权和其他优先受偿权对其价值的任何影响。</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6、截至评估基准日，评估对象处于空置状态。</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rPr>
        <w:t>7、</w:t>
      </w:r>
      <w:r>
        <w:rPr>
          <w:rFonts w:hint="eastAsia" w:ascii="宋体" w:hAnsi="宋体" w:eastAsia="宋体" w:cs="宋体"/>
          <w:color w:val="000000"/>
          <w:sz w:val="24"/>
          <w:lang w:val="zh-CN"/>
        </w:rPr>
        <w:t>在评估基准日以后的有效期内，如果资产数量及作价标准发生变化时，应按以下原则处理：</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1）</w:t>
      </w:r>
      <w:r>
        <w:rPr>
          <w:rFonts w:hint="eastAsia" w:ascii="宋体" w:hAnsi="宋体" w:eastAsia="宋体" w:cs="宋体"/>
          <w:color w:val="000000"/>
          <w:sz w:val="24"/>
          <w:lang w:val="zh-CN"/>
        </w:rPr>
        <w:t>当资产数量发生变化时，应根据原评估方法对资产数额进行相应调整；</w:t>
      </w:r>
    </w:p>
    <w:p>
      <w:pPr>
        <w:spacing w:line="360" w:lineRule="auto"/>
        <w:ind w:firstLine="480" w:firstLineChars="200"/>
        <w:rPr>
          <w:rFonts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2）</w:t>
      </w:r>
      <w:r>
        <w:rPr>
          <w:rFonts w:hint="eastAsia" w:ascii="宋体" w:hAnsi="宋体" w:eastAsia="宋体" w:cs="宋体"/>
          <w:color w:val="000000"/>
          <w:sz w:val="24"/>
          <w:lang w:val="zh-CN"/>
        </w:rPr>
        <w:t>当资产价格标准发生变化、且对资产评估结果产生明显影响时，委托人应及时聘请有资格的资产评估机构重新确定评估价值；</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3）</w:t>
      </w:r>
      <w:r>
        <w:rPr>
          <w:rFonts w:hint="eastAsia" w:ascii="宋体" w:hAnsi="宋体" w:eastAsia="宋体" w:cs="宋体"/>
          <w:color w:val="000000"/>
          <w:sz w:val="24"/>
          <w:lang w:val="zh-CN"/>
        </w:rPr>
        <w:t>对评估基准日后，资产数量、价格标准的变化，委托人在资产实际作价时应给予充分考虑，进行相应调整。</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宋体" w:hAnsi="宋体" w:eastAsia="宋体" w:cs="宋体"/>
          <w:color w:val="000000"/>
          <w:kern w:val="2"/>
          <w:sz w:val="24"/>
          <w:szCs w:val="24"/>
          <w:lang w:val="en-US" w:eastAsia="zh-CN" w:bidi="ar-SA"/>
        </w:rPr>
      </w:pPr>
      <w:r>
        <w:rPr>
          <w:rFonts w:hint="eastAsia" w:hAnsi="宋体" w:cs="宋体"/>
          <w:color w:val="000000"/>
          <w:sz w:val="24"/>
          <w:lang w:val="en-US" w:eastAsia="zh-CN"/>
        </w:rPr>
        <w:t xml:space="preserve">     8、</w:t>
      </w:r>
      <w:r>
        <w:rPr>
          <w:rFonts w:hint="eastAsia" w:ascii="宋体" w:hAnsi="宋体" w:eastAsia="宋体" w:cs="宋体"/>
          <w:color w:val="000000"/>
          <w:kern w:val="2"/>
          <w:sz w:val="24"/>
          <w:szCs w:val="24"/>
          <w:lang w:val="en-US" w:eastAsia="zh-CN" w:bidi="ar-SA"/>
        </w:rPr>
        <w:t>从杭州市规划和自然资源局富阳分局取得的档案资料上预告登记与现状登记建筑面积不一致，本次评估，建筑面积以杭州市规划和自然资源局富阳分局提供的现状登记资料为准</w:t>
      </w:r>
      <w:r>
        <w:rPr>
          <w:rFonts w:hint="eastAsia" w:hAnsi="宋体" w:cs="宋体"/>
          <w:color w:val="000000"/>
          <w:kern w:val="2"/>
          <w:sz w:val="24"/>
          <w:szCs w:val="24"/>
          <w:lang w:val="en-US" w:eastAsia="zh-CN" w:bidi="ar-SA"/>
        </w:rPr>
        <w:t>。</w:t>
      </w:r>
    </w:p>
    <w:p>
      <w:pPr>
        <w:spacing w:line="360" w:lineRule="auto"/>
        <w:jc w:val="center"/>
        <w:rPr>
          <w:rFonts w:ascii="宋体" w:hAnsi="宋体" w:eastAsia="宋体" w:cs="宋体"/>
          <w:b/>
          <w:i/>
          <w:sz w:val="28"/>
          <w:szCs w:val="28"/>
        </w:rPr>
      </w:pPr>
      <w:r>
        <w:rPr>
          <w:rFonts w:hint="eastAsia" w:ascii="宋体" w:hAnsi="宋体" w:eastAsia="宋体" w:cs="宋体"/>
          <w:b/>
          <w:i/>
          <w:sz w:val="28"/>
          <w:szCs w:val="28"/>
        </w:rPr>
        <w:t>评估报告使用者应注意以上的特别事项对评估结论所产生的影响。</w:t>
      </w:r>
    </w:p>
    <w:p>
      <w:pPr>
        <w:tabs>
          <w:tab w:val="left" w:pos="540"/>
        </w:tabs>
        <w:spacing w:line="360" w:lineRule="auto"/>
        <w:outlineLvl w:val="0"/>
        <w:rPr>
          <w:rFonts w:ascii="宋体" w:hAnsi="宋体" w:eastAsia="宋体" w:cs="宋体"/>
          <w:b/>
          <w:sz w:val="24"/>
        </w:rPr>
      </w:pPr>
      <w:bookmarkStart w:id="55" w:name="_Toc275872931"/>
      <w:bookmarkStart w:id="56" w:name="_Toc37185849"/>
      <w:bookmarkStart w:id="57" w:name="_Toc955757122_WPSOffice_Level1"/>
      <w:r>
        <w:rPr>
          <w:rFonts w:hint="eastAsia" w:ascii="宋体" w:hAnsi="宋体" w:eastAsia="宋体" w:cs="宋体"/>
          <w:b/>
          <w:sz w:val="24"/>
          <w:lang w:eastAsia="zh-Hans"/>
        </w:rPr>
        <w:t>十二、</w:t>
      </w:r>
      <w:r>
        <w:rPr>
          <w:rFonts w:hint="eastAsia" w:ascii="宋体" w:hAnsi="宋体" w:eastAsia="宋体" w:cs="宋体"/>
          <w:b/>
          <w:sz w:val="24"/>
        </w:rPr>
        <w:t>评估报告使用限制说明</w:t>
      </w:r>
      <w:bookmarkEnd w:id="55"/>
      <w:bookmarkEnd w:id="56"/>
      <w:bookmarkEnd w:id="57"/>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（一）评估报告仅用于评估报告载明的评估目的和用途；</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（二）评估报告只能由评估报告载明的评估报告使用者使用；</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（三）评估报告未经核准或者备案，评估结论不得被使用；</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（七）评估报告及评估结论的使用有效期。本报告书评估结论的有效期限为壹年，自评估基准日</w:t>
      </w:r>
      <w:r>
        <w:rPr>
          <w:rFonts w:hint="eastAsia" w:ascii="宋体" w:hAnsi="宋体" w:eastAsia="宋体" w:cs="宋体"/>
          <w:bCs/>
          <w:sz w:val="24"/>
          <w:lang w:eastAsia="zh-CN"/>
        </w:rPr>
        <w:t>2022年10月21日</w:t>
      </w:r>
      <w:r>
        <w:rPr>
          <w:rFonts w:hint="eastAsia" w:ascii="宋体" w:hAnsi="宋体" w:eastAsia="宋体" w:cs="宋体"/>
          <w:bCs/>
          <w:sz w:val="24"/>
        </w:rPr>
        <w:t>起2023年</w:t>
      </w:r>
      <w:r>
        <w:rPr>
          <w:rFonts w:hint="eastAsia" w:ascii="宋体" w:hAnsi="宋体" w:eastAsia="宋体" w:cs="宋体"/>
          <w:bCs/>
          <w:sz w:val="24"/>
          <w:lang w:val="en-US" w:eastAsia="zh-CN"/>
        </w:rPr>
        <w:t>10</w:t>
      </w:r>
      <w:r>
        <w:rPr>
          <w:rFonts w:hint="eastAsia" w:ascii="宋体" w:hAnsi="宋体" w:eastAsia="宋体" w:cs="宋体"/>
          <w:bCs/>
          <w:sz w:val="24"/>
        </w:rPr>
        <w:t>月</w:t>
      </w:r>
      <w:r>
        <w:rPr>
          <w:rFonts w:hint="eastAsia" w:ascii="宋体" w:hAnsi="宋体" w:eastAsia="宋体" w:cs="宋体"/>
          <w:bCs/>
          <w:sz w:val="24"/>
          <w:lang w:val="en-US" w:eastAsia="zh-CN"/>
        </w:rPr>
        <w:t>20</w:t>
      </w:r>
      <w:r>
        <w:rPr>
          <w:rFonts w:hint="eastAsia" w:ascii="宋体" w:hAnsi="宋体" w:eastAsia="宋体" w:cs="宋体"/>
          <w:bCs/>
          <w:sz w:val="24"/>
        </w:rPr>
        <w:t>日止，当评估目的在有效期内实现时，以评估结论作为资产作价的依据，超过期限，需重新确定评估结论；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（八）本评估报告在评估机构签字盖章后，具有法律效力；</w:t>
      </w:r>
    </w:p>
    <w:p>
      <w:pPr>
        <w:tabs>
          <w:tab w:val="left" w:pos="540"/>
        </w:tabs>
        <w:adjustRightInd w:val="0"/>
        <w:spacing w:line="360" w:lineRule="auto"/>
        <w:ind w:firstLine="480" w:firstLineChars="200"/>
        <w:outlineLvl w:val="0"/>
        <w:rPr>
          <w:rFonts w:ascii="宋体" w:hAnsi="宋体" w:eastAsia="宋体" w:cs="宋体"/>
          <w:bCs/>
          <w:sz w:val="24"/>
        </w:rPr>
      </w:pPr>
      <w:r>
        <w:rPr>
          <w:rFonts w:hint="eastAsia" w:ascii="宋体" w:hAnsi="宋体" w:eastAsia="宋体" w:cs="宋体"/>
          <w:bCs/>
          <w:sz w:val="24"/>
        </w:rPr>
        <w:t>（九）本报告书的评估结论仅供委托人为本次评估目的使用，报告书的使用</w:t>
      </w:r>
    </w:p>
    <w:p>
      <w:pPr>
        <w:tabs>
          <w:tab w:val="left" w:pos="540"/>
        </w:tabs>
        <w:adjustRightInd w:val="0"/>
        <w:spacing w:line="360" w:lineRule="auto"/>
        <w:outlineLvl w:val="0"/>
        <w:rPr>
          <w:rFonts w:ascii="宋体" w:hAnsi="宋体" w:eastAsia="宋体" w:cs="宋体"/>
          <w:bCs/>
          <w:sz w:val="24"/>
        </w:rPr>
      </w:pPr>
      <w:r>
        <w:rPr>
          <w:rFonts w:hint="eastAsia" w:ascii="宋体" w:hAnsi="宋体" w:eastAsia="宋体" w:cs="宋体"/>
          <w:bCs/>
          <w:sz w:val="24"/>
        </w:rPr>
        <w:t>权归委托人所有，未经委托人许可，我公司不能随意向他人公开。</w:t>
      </w:r>
    </w:p>
    <w:p>
      <w:pPr>
        <w:tabs>
          <w:tab w:val="left" w:pos="540"/>
        </w:tabs>
        <w:spacing w:line="360" w:lineRule="auto"/>
        <w:outlineLvl w:val="0"/>
        <w:rPr>
          <w:rFonts w:ascii="宋体" w:hAnsi="宋体" w:eastAsia="宋体" w:cs="宋体"/>
          <w:b/>
          <w:sz w:val="24"/>
        </w:rPr>
      </w:pPr>
      <w:bookmarkStart w:id="58" w:name="_Toc275872932"/>
      <w:bookmarkStart w:id="59" w:name="_Toc232269894_WPSOffice_Level1"/>
      <w:bookmarkStart w:id="60" w:name="_Toc530303619"/>
      <w:bookmarkStart w:id="61" w:name="_Toc105580759"/>
      <w:bookmarkStart w:id="62" w:name="_Toc222741556"/>
      <w:bookmarkStart w:id="63" w:name="_Toc37185850"/>
      <w:r>
        <w:rPr>
          <w:rFonts w:hint="eastAsia" w:ascii="宋体" w:hAnsi="宋体" w:eastAsia="宋体" w:cs="宋体"/>
          <w:b/>
          <w:sz w:val="24"/>
          <w:lang w:eastAsia="zh-Hans"/>
        </w:rPr>
        <w:t>十三、</w:t>
      </w:r>
      <w:r>
        <w:rPr>
          <w:rFonts w:hint="eastAsia" w:ascii="宋体" w:hAnsi="宋体" w:eastAsia="宋体" w:cs="宋体"/>
          <w:b/>
          <w:sz w:val="24"/>
        </w:rPr>
        <w:t>评估报告日</w:t>
      </w:r>
      <w:bookmarkEnd w:id="58"/>
      <w:bookmarkEnd w:id="59"/>
      <w:bookmarkEnd w:id="60"/>
      <w:bookmarkEnd w:id="61"/>
      <w:bookmarkEnd w:id="62"/>
      <w:bookmarkEnd w:id="63"/>
    </w:p>
    <w:p>
      <w:pPr>
        <w:tabs>
          <w:tab w:val="left" w:pos="540"/>
        </w:tabs>
        <w:spacing w:line="360" w:lineRule="auto"/>
        <w:ind w:firstLine="480" w:firstLineChars="200"/>
        <w:outlineLvl w:val="0"/>
        <w:rPr>
          <w:rFonts w:hint="eastAsia" w:ascii="宋体" w:hAnsi="宋体" w:eastAsia="宋体" w:cs="宋体"/>
          <w:b/>
          <w:bCs/>
          <w:sz w:val="24"/>
        </w:rPr>
      </w:pPr>
      <w:bookmarkStart w:id="64" w:name="_Toc4697077"/>
      <w:bookmarkStart w:id="65" w:name="_Toc37185651"/>
      <w:bookmarkStart w:id="66" w:name="_Toc4697049"/>
      <w:bookmarkStart w:id="67" w:name="_Toc37185851"/>
      <w:r>
        <w:rPr>
          <w:rFonts w:hint="eastAsia" w:ascii="宋体" w:hAnsi="宋体" w:eastAsia="宋体" w:cs="宋体"/>
          <w:sz w:val="24"/>
          <w:lang w:eastAsia="zh-Hans"/>
        </w:rPr>
        <w:t>本</w:t>
      </w:r>
      <w:r>
        <w:rPr>
          <w:rFonts w:hint="eastAsia" w:ascii="宋体" w:hAnsi="宋体" w:eastAsia="宋体" w:cs="宋体"/>
          <w:sz w:val="24"/>
        </w:rPr>
        <w:t>评估报告的</w:t>
      </w:r>
      <w:r>
        <w:rPr>
          <w:rFonts w:hint="eastAsia" w:ascii="宋体" w:hAnsi="宋体" w:eastAsia="宋体" w:cs="宋体"/>
          <w:sz w:val="24"/>
          <w:lang w:eastAsia="zh-Hans"/>
        </w:rPr>
        <w:t>报告日为</w:t>
      </w:r>
      <w:r>
        <w:rPr>
          <w:rFonts w:hint="eastAsia" w:ascii="宋体" w:hAnsi="宋体" w:eastAsia="宋体" w:cs="宋体"/>
          <w:sz w:val="24"/>
        </w:rPr>
        <w:t>：</w:t>
      </w:r>
      <w:bookmarkEnd w:id="64"/>
      <w:bookmarkEnd w:id="65"/>
      <w:bookmarkEnd w:id="66"/>
      <w:bookmarkEnd w:id="67"/>
      <w:r>
        <w:rPr>
          <w:rFonts w:hint="eastAsia" w:ascii="宋体" w:hAnsi="宋体" w:eastAsia="宋体" w:cs="宋体"/>
          <w:sz w:val="24"/>
          <w:lang w:eastAsia="zh-CN"/>
        </w:rPr>
        <w:t>二〇二二年十月二十八日</w:t>
      </w:r>
      <w:r>
        <w:rPr>
          <w:rFonts w:hint="eastAsia" w:ascii="宋体" w:hAnsi="宋体" w:eastAsia="宋体" w:cs="宋体"/>
          <w:sz w:val="24"/>
        </w:rPr>
        <w:t>。</w:t>
      </w:r>
      <w:bookmarkStart w:id="68" w:name="_Toc1782321859_WPSOffice_Level1"/>
    </w:p>
    <w:p>
      <w:pPr>
        <w:numPr>
          <w:ilvl w:val="0"/>
          <w:numId w:val="5"/>
        </w:numPr>
        <w:spacing w:line="360" w:lineRule="auto"/>
        <w:rPr>
          <w:rFonts w:hint="eastAsia" w:ascii="宋体" w:hAnsi="宋体" w:eastAsia="宋体" w:cs="宋体"/>
          <w:b/>
          <w:bCs/>
          <w:sz w:val="24"/>
        </w:rPr>
      </w:pPr>
      <w:r>
        <w:rPr>
          <w:rFonts w:hint="eastAsia" w:ascii="宋体" w:hAnsi="宋体" w:eastAsia="宋体" w:cs="宋体"/>
          <w:b/>
          <w:bCs/>
          <w:sz w:val="24"/>
        </w:rPr>
        <w:t>资产评估专业人员签名和资产评估机构印章</w:t>
      </w:r>
      <w:bookmarkEnd w:id="68"/>
    </w:p>
    <w:p>
      <w:pPr>
        <w:pStyle w:val="2"/>
        <w:rPr>
          <w:rFonts w:hAnsi="宋体"/>
        </w:rPr>
      </w:pPr>
      <w:r>
        <w:rPr>
          <w:rFonts w:hint="eastAsia"/>
          <w:lang w:val="en-US" w:eastAsia="zh-CN"/>
        </w:rPr>
        <w:t xml:space="preserve">  </w:t>
      </w:r>
    </w:p>
    <w:p>
      <w:pPr>
        <w:spacing w:line="360" w:lineRule="auto"/>
        <w:rPr>
          <w:rFonts w:ascii="宋体" w:hAnsi="宋体" w:eastAsia="宋体" w:cs="宋体"/>
          <w:sz w:val="24"/>
        </w:rPr>
      </w:pPr>
      <w:r>
        <w:rPr>
          <w:rFonts w:hint="eastAsia" w:ascii="宋体" w:hAnsi="宋体" w:eastAsia="宋体" w:cs="宋体"/>
          <w:sz w:val="24"/>
        </w:rPr>
        <w:t>杭州富诚资产评估有限公司              资产评估师：</w:t>
      </w:r>
    </w:p>
    <w:p>
      <w:pPr>
        <w:spacing w:line="360" w:lineRule="auto"/>
        <w:ind w:firstLine="480" w:firstLineChars="200"/>
        <w:rPr>
          <w:rFonts w:ascii="宋体" w:hAnsi="宋体" w:eastAsia="宋体" w:cs="宋体"/>
          <w:sz w:val="24"/>
        </w:rPr>
      </w:pPr>
    </w:p>
    <w:p>
      <w:pPr>
        <w:pStyle w:val="2"/>
        <w:rPr>
          <w:rFonts w:hAnsi="宋体"/>
        </w:rPr>
      </w:pPr>
    </w:p>
    <w:p>
      <w:pPr>
        <w:pStyle w:val="4"/>
        <w:spacing w:line="360" w:lineRule="auto"/>
        <w:ind w:firstLine="4588" w:firstLineChars="1912"/>
        <w:rPr>
          <w:rFonts w:ascii="宋体" w:hAnsi="宋体" w:eastAsia="宋体" w:cs="宋体"/>
          <w:sz w:val="24"/>
          <w:szCs w:val="24"/>
        </w:rPr>
      </w:pPr>
      <w:r>
        <w:rPr>
          <w:rFonts w:hint="eastAsia" w:ascii="宋体" w:hAnsi="宋体" w:eastAsia="宋体" w:cs="宋体"/>
          <w:sz w:val="24"/>
          <w:szCs w:val="24"/>
        </w:rPr>
        <w:t xml:space="preserve">资产评估师：  </w:t>
      </w:r>
    </w:p>
    <w:p>
      <w:pPr>
        <w:spacing w:line="360" w:lineRule="auto"/>
        <w:ind w:firstLine="510"/>
        <w:rPr>
          <w:rFonts w:ascii="宋体" w:hAnsi="宋体" w:eastAsia="宋体" w:cs="宋体"/>
          <w:sz w:val="24"/>
        </w:rPr>
      </w:pPr>
    </w:p>
    <w:p>
      <w:pPr>
        <w:spacing w:line="360" w:lineRule="auto"/>
        <w:ind w:firstLine="510"/>
        <w:rPr>
          <w:rFonts w:ascii="宋体" w:hAnsi="宋体" w:eastAsia="宋体" w:cs="宋体"/>
          <w:sz w:val="24"/>
        </w:rPr>
      </w:pPr>
    </w:p>
    <w:p>
      <w:pPr>
        <w:spacing w:line="360" w:lineRule="auto"/>
        <w:ind w:firstLine="510"/>
        <w:rPr>
          <w:rFonts w:hint="eastAsia" w:ascii="宋体" w:hAnsi="宋体" w:eastAsia="宋体" w:cs="宋体"/>
          <w:sz w:val="24"/>
          <w:lang w:eastAsia="zh-CN"/>
        </w:rPr>
      </w:pPr>
      <w:r>
        <w:rPr>
          <w:rFonts w:hint="eastAsia" w:ascii="宋体" w:hAnsi="宋体" w:eastAsia="宋体" w:cs="宋体"/>
          <w:sz w:val="24"/>
        </w:rPr>
        <w:t>浙江・杭州</w:t>
      </w:r>
      <w:bookmarkStart w:id="69" w:name="_Toc530303620"/>
      <w:bookmarkStart w:id="70" w:name="_Toc530299041"/>
      <w:r>
        <w:rPr>
          <w:rFonts w:hint="eastAsia" w:ascii="宋体" w:hAnsi="宋体" w:eastAsia="宋体" w:cs="宋体"/>
          <w:sz w:val="24"/>
        </w:rPr>
        <w:t xml:space="preserve">  </w:t>
      </w:r>
      <w:bookmarkEnd w:id="69"/>
      <w:bookmarkEnd w:id="70"/>
      <w:bookmarkStart w:id="71" w:name="_Toc37185852"/>
      <w:bookmarkStart w:id="72" w:name="_Toc234092210_WPSOffice_Level1"/>
      <w:r>
        <w:rPr>
          <w:rFonts w:hint="eastAsia" w:ascii="宋体" w:hAnsi="宋体" w:eastAsia="宋体" w:cs="宋体"/>
          <w:sz w:val="24"/>
        </w:rPr>
        <w:t xml:space="preserve">                      </w:t>
      </w:r>
      <w:r>
        <w:rPr>
          <w:rFonts w:hint="eastAsia" w:ascii="宋体" w:hAnsi="宋体" w:eastAsia="宋体" w:cs="宋体"/>
          <w:sz w:val="24"/>
          <w:lang w:eastAsia="zh-CN"/>
        </w:rPr>
        <w:t>二〇二二年十月二十八日</w:t>
      </w:r>
    </w:p>
    <w:p>
      <w:pPr>
        <w:pStyle w:val="2"/>
        <w:rPr>
          <w:rFonts w:hAnsi="宋体"/>
        </w:rPr>
      </w:pPr>
    </w:p>
    <w:p>
      <w:pPr>
        <w:pStyle w:val="13"/>
        <w:rPr>
          <w:rFonts w:ascii="宋体" w:hAnsi="宋体" w:eastAsia="宋体" w:cs="宋体"/>
          <w:sz w:val="44"/>
          <w:szCs w:val="44"/>
        </w:rPr>
      </w:pPr>
    </w:p>
    <w:p>
      <w:pPr>
        <w:rPr>
          <w:rFonts w:ascii="宋体" w:hAnsi="宋体" w:eastAsia="宋体" w:cs="宋体"/>
          <w:sz w:val="44"/>
          <w:szCs w:val="44"/>
        </w:rPr>
      </w:pPr>
    </w:p>
    <w:p>
      <w:pPr>
        <w:pStyle w:val="2"/>
        <w:rPr>
          <w:rFonts w:hAnsi="宋体"/>
          <w:sz w:val="44"/>
          <w:szCs w:val="44"/>
        </w:rPr>
      </w:pPr>
    </w:p>
    <w:p>
      <w:pPr>
        <w:pStyle w:val="13"/>
        <w:rPr>
          <w:rFonts w:ascii="宋体" w:hAnsi="宋体" w:eastAsia="宋体" w:cs="宋体"/>
          <w:sz w:val="44"/>
          <w:szCs w:val="44"/>
        </w:rPr>
      </w:pPr>
      <w:r>
        <w:rPr>
          <w:rFonts w:hint="eastAsia" w:ascii="宋体" w:hAnsi="宋体" w:eastAsia="宋体" w:cs="宋体"/>
          <w:sz w:val="44"/>
          <w:szCs w:val="44"/>
        </w:rPr>
        <w:t>备查文件目录</w:t>
      </w:r>
      <w:bookmarkEnd w:id="71"/>
      <w:bookmarkEnd w:id="72"/>
    </w:p>
    <w:p>
      <w:pPr>
        <w:tabs>
          <w:tab w:val="left" w:pos="540"/>
        </w:tabs>
        <w:spacing w:before="156" w:beforeLines="50" w:line="360" w:lineRule="auto"/>
        <w:jc w:val="center"/>
        <w:outlineLvl w:val="0"/>
        <w:rPr>
          <w:rFonts w:ascii="宋体" w:hAnsi="宋体" w:eastAsia="宋体" w:cs="宋体"/>
          <w:b/>
          <w:sz w:val="44"/>
          <w:szCs w:val="44"/>
        </w:rPr>
      </w:pPr>
    </w:p>
    <w:p>
      <w:pPr>
        <w:tabs>
          <w:tab w:val="left" w:pos="900"/>
        </w:tabs>
        <w:spacing w:line="360" w:lineRule="auto"/>
        <w:ind w:left="750"/>
        <w:rPr>
          <w:rFonts w:ascii="宋体" w:hAnsi="宋体" w:eastAsia="宋体" w:cs="宋体"/>
          <w:color w:val="000000"/>
          <w:w w:val="90"/>
          <w:sz w:val="28"/>
          <w:szCs w:val="28"/>
        </w:rPr>
      </w:pPr>
      <w:bookmarkStart w:id="73" w:name="_Toc197732166_WPSOffice_Level1"/>
      <w:r>
        <w:rPr>
          <w:rFonts w:hint="eastAsia" w:ascii="宋体" w:hAnsi="宋体" w:eastAsia="宋体" w:cs="宋体"/>
          <w:color w:val="000000"/>
          <w:w w:val="90"/>
          <w:sz w:val="28"/>
          <w:szCs w:val="28"/>
        </w:rPr>
        <w:t>1、资产评估明细表</w:t>
      </w:r>
      <w:bookmarkEnd w:id="73"/>
    </w:p>
    <w:p>
      <w:pPr>
        <w:tabs>
          <w:tab w:val="left" w:pos="900"/>
        </w:tabs>
        <w:spacing w:line="360" w:lineRule="auto"/>
        <w:ind w:left="750"/>
        <w:jc w:val="left"/>
        <w:rPr>
          <w:rFonts w:ascii="宋体" w:hAnsi="宋体" w:eastAsia="宋体" w:cs="宋体"/>
          <w:color w:val="000000"/>
          <w:w w:val="90"/>
          <w:sz w:val="28"/>
          <w:szCs w:val="28"/>
        </w:rPr>
      </w:pPr>
      <w:bookmarkStart w:id="74" w:name="_Toc1127312053_WPSOffice_Level1"/>
      <w:r>
        <w:rPr>
          <w:rFonts w:hint="eastAsia" w:ascii="宋体" w:hAnsi="宋体" w:eastAsia="宋体" w:cs="宋体"/>
          <w:color w:val="000000"/>
          <w:w w:val="90"/>
          <w:sz w:val="28"/>
          <w:szCs w:val="28"/>
        </w:rPr>
        <w:t>2、</w:t>
      </w:r>
      <w:bookmarkEnd w:id="74"/>
      <w:r>
        <w:rPr>
          <w:rFonts w:hint="eastAsia" w:ascii="宋体" w:hAnsi="宋体" w:eastAsia="宋体" w:cs="宋体"/>
          <w:color w:val="000000"/>
          <w:w w:val="90"/>
          <w:sz w:val="28"/>
          <w:szCs w:val="28"/>
        </w:rPr>
        <w:t>司法评估委托书</w:t>
      </w:r>
    </w:p>
    <w:p>
      <w:pPr>
        <w:tabs>
          <w:tab w:val="left" w:pos="900"/>
        </w:tabs>
        <w:spacing w:line="360" w:lineRule="auto"/>
        <w:ind w:left="750"/>
        <w:rPr>
          <w:rFonts w:ascii="宋体" w:hAnsi="宋体" w:eastAsia="宋体" w:cs="宋体"/>
          <w:color w:val="000000"/>
          <w:w w:val="90"/>
          <w:sz w:val="28"/>
          <w:szCs w:val="28"/>
        </w:rPr>
      </w:pPr>
      <w:bookmarkStart w:id="75" w:name="_Toc45976280_WPSOffice_Level1"/>
      <w:r>
        <w:rPr>
          <w:rFonts w:hint="eastAsia" w:ascii="宋体" w:hAnsi="宋体" w:eastAsia="宋体" w:cs="宋体"/>
          <w:color w:val="000000"/>
          <w:w w:val="90"/>
          <w:sz w:val="28"/>
          <w:szCs w:val="28"/>
        </w:rPr>
        <w:t>3、资产评估对象权属资料</w:t>
      </w:r>
      <w:bookmarkEnd w:id="75"/>
    </w:p>
    <w:p>
      <w:pPr>
        <w:tabs>
          <w:tab w:val="left" w:pos="900"/>
        </w:tabs>
        <w:spacing w:line="360" w:lineRule="auto"/>
        <w:ind w:left="750"/>
        <w:rPr>
          <w:rFonts w:ascii="宋体" w:hAnsi="宋体" w:eastAsia="宋体" w:cs="宋体"/>
          <w:color w:val="000000"/>
          <w:w w:val="90"/>
          <w:sz w:val="28"/>
          <w:szCs w:val="28"/>
        </w:rPr>
      </w:pPr>
      <w:bookmarkStart w:id="76" w:name="_Toc1776708687_WPSOffice_Level1"/>
      <w:r>
        <w:rPr>
          <w:rFonts w:hint="eastAsia" w:ascii="宋体" w:hAnsi="宋体" w:eastAsia="宋体" w:cs="宋体"/>
          <w:color w:val="000000"/>
          <w:w w:val="90"/>
          <w:sz w:val="28"/>
          <w:szCs w:val="28"/>
        </w:rPr>
        <w:t>4、资产评估对象部分实景照片</w:t>
      </w:r>
      <w:bookmarkEnd w:id="76"/>
    </w:p>
    <w:p>
      <w:pPr>
        <w:tabs>
          <w:tab w:val="left" w:pos="900"/>
        </w:tabs>
        <w:spacing w:line="360" w:lineRule="auto"/>
        <w:ind w:left="750"/>
        <w:rPr>
          <w:rFonts w:ascii="宋体" w:hAnsi="宋体" w:eastAsia="宋体" w:cs="宋体"/>
          <w:color w:val="000000"/>
          <w:w w:val="90"/>
          <w:sz w:val="28"/>
          <w:szCs w:val="28"/>
        </w:rPr>
      </w:pPr>
      <w:bookmarkStart w:id="77" w:name="_Toc1852696553_WPSOffice_Level1"/>
      <w:r>
        <w:rPr>
          <w:rFonts w:hint="eastAsia" w:ascii="宋体" w:hAnsi="宋体" w:eastAsia="宋体" w:cs="宋体"/>
          <w:color w:val="000000"/>
          <w:w w:val="90"/>
          <w:sz w:val="28"/>
          <w:szCs w:val="28"/>
        </w:rPr>
        <w:t>5、资产评估师承诺函</w:t>
      </w:r>
      <w:bookmarkEnd w:id="77"/>
    </w:p>
    <w:p>
      <w:pPr>
        <w:tabs>
          <w:tab w:val="left" w:pos="900"/>
        </w:tabs>
        <w:spacing w:line="360" w:lineRule="auto"/>
        <w:ind w:left="750"/>
        <w:rPr>
          <w:rFonts w:ascii="宋体" w:hAnsi="宋体" w:eastAsia="宋体" w:cs="宋体"/>
          <w:color w:val="000000"/>
          <w:w w:val="90"/>
          <w:sz w:val="28"/>
          <w:szCs w:val="28"/>
        </w:rPr>
      </w:pPr>
      <w:bookmarkStart w:id="78" w:name="_Toc1905568418_WPSOffice_Level1"/>
      <w:r>
        <w:rPr>
          <w:rFonts w:hint="eastAsia" w:ascii="宋体" w:hAnsi="宋体" w:eastAsia="宋体" w:cs="宋体"/>
          <w:color w:val="000000"/>
          <w:w w:val="90"/>
          <w:sz w:val="28"/>
          <w:szCs w:val="28"/>
        </w:rPr>
        <w:t>6、资产评估人员资格证书复印件</w:t>
      </w:r>
      <w:bookmarkEnd w:id="78"/>
    </w:p>
    <w:p>
      <w:pPr>
        <w:tabs>
          <w:tab w:val="left" w:pos="900"/>
        </w:tabs>
        <w:spacing w:line="360" w:lineRule="auto"/>
        <w:ind w:left="750"/>
        <w:rPr>
          <w:rFonts w:ascii="宋体" w:hAnsi="宋体" w:eastAsia="宋体" w:cs="宋体"/>
          <w:color w:val="000000"/>
          <w:w w:val="90"/>
          <w:sz w:val="28"/>
          <w:szCs w:val="28"/>
        </w:rPr>
      </w:pPr>
      <w:bookmarkStart w:id="79" w:name="_Toc1464773615_WPSOffice_Level1"/>
      <w:r>
        <w:rPr>
          <w:rFonts w:hint="eastAsia" w:ascii="宋体" w:hAnsi="宋体" w:eastAsia="宋体" w:cs="宋体"/>
          <w:color w:val="000000"/>
          <w:w w:val="90"/>
          <w:sz w:val="28"/>
          <w:szCs w:val="28"/>
        </w:rPr>
        <w:t>7、资产评估机构营业执照复印件</w:t>
      </w:r>
      <w:bookmarkEnd w:id="79"/>
    </w:p>
    <w:p>
      <w:pPr>
        <w:tabs>
          <w:tab w:val="left" w:pos="900"/>
        </w:tabs>
        <w:spacing w:line="360" w:lineRule="auto"/>
        <w:ind w:left="750"/>
        <w:jc w:val="left"/>
        <w:rPr>
          <w:rFonts w:ascii="宋体" w:hAnsi="宋体" w:eastAsia="宋体" w:cs="宋体"/>
          <w:color w:val="000000"/>
          <w:sz w:val="28"/>
          <w:szCs w:val="28"/>
        </w:rPr>
      </w:pPr>
      <w:bookmarkStart w:id="80" w:name="_Toc1845101744_WPSOffice_Level1"/>
      <w:r>
        <w:rPr>
          <w:rFonts w:hint="eastAsia" w:ascii="宋体" w:hAnsi="宋体" w:eastAsia="宋体" w:cs="宋体"/>
          <w:color w:val="000000"/>
          <w:w w:val="90"/>
          <w:sz w:val="28"/>
          <w:szCs w:val="28"/>
        </w:rPr>
        <w:t>8、资产评估机构备案公告复印件</w:t>
      </w:r>
      <w:bookmarkEnd w:id="80"/>
    </w:p>
    <w:p>
      <w:pPr>
        <w:pStyle w:val="2"/>
        <w:rPr>
          <w:rFonts w:hAnsi="宋体"/>
          <w:color w:val="auto"/>
        </w:rPr>
      </w:pPr>
    </w:p>
    <w:p>
      <w:pPr>
        <w:pStyle w:val="2"/>
        <w:rPr>
          <w:rFonts w:hAnsi="宋体"/>
          <w:color w:val="auto"/>
        </w:rPr>
      </w:pPr>
    </w:p>
    <w:p>
      <w:pPr>
        <w:pStyle w:val="2"/>
        <w:rPr>
          <w:rFonts w:hAnsi="宋体"/>
          <w:color w:val="auto"/>
        </w:rPr>
      </w:pPr>
    </w:p>
    <w:p>
      <w:pPr>
        <w:pStyle w:val="2"/>
        <w:rPr>
          <w:rFonts w:hAnsi="宋体"/>
          <w:color w:val="auto"/>
        </w:rPr>
      </w:pPr>
    </w:p>
    <w:p>
      <w:pPr>
        <w:pStyle w:val="2"/>
        <w:rPr>
          <w:rFonts w:hAnsi="宋体"/>
          <w:color w:val="auto"/>
        </w:rPr>
      </w:pPr>
    </w:p>
    <w:p>
      <w:pPr>
        <w:pStyle w:val="2"/>
        <w:rPr>
          <w:rFonts w:hAnsi="宋体"/>
          <w:color w:val="auto"/>
        </w:rPr>
      </w:pPr>
    </w:p>
    <w:p>
      <w:pPr>
        <w:pStyle w:val="2"/>
        <w:rPr>
          <w:rFonts w:hAnsi="宋体"/>
          <w:color w:val="auto"/>
        </w:rPr>
      </w:pPr>
    </w:p>
    <w:p>
      <w:pPr>
        <w:pStyle w:val="2"/>
        <w:rPr>
          <w:rFonts w:hAnsi="宋体"/>
          <w:color w:val="auto"/>
        </w:rPr>
      </w:pPr>
    </w:p>
    <w:p>
      <w:pPr>
        <w:pStyle w:val="2"/>
        <w:tabs>
          <w:tab w:val="right" w:pos="8306"/>
        </w:tabs>
        <w:jc w:val="both"/>
        <w:rPr>
          <w:rFonts w:hAnsi="宋体"/>
          <w:spacing w:val="4"/>
          <w:sz w:val="28"/>
        </w:rPr>
      </w:pPr>
    </w:p>
    <w:p>
      <w:pPr>
        <w:pStyle w:val="2"/>
        <w:tabs>
          <w:tab w:val="right" w:pos="8306"/>
        </w:tabs>
        <w:jc w:val="right"/>
        <w:rPr>
          <w:rFonts w:hAnsi="宋体"/>
          <w:vanish/>
          <w:spacing w:val="6"/>
          <w:sz w:val="28"/>
        </w:rPr>
      </w:pPr>
    </w:p>
    <w:sectPr>
      <w:footerReference r:id="rId5"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00"/>
    <w:family w:val="roman"/>
    <w:pitch w:val="default"/>
    <w:sig w:usb0="00000000" w:usb1="00000000" w:usb2="0000001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r>
      <w:rPr>
        <w:sz w:val="21"/>
        <w:szCs w:val="21"/>
      </w:rPr>
      <w:t>杭州富诚资产评估有限公司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szCs w:val="18"/>
      </w:rPr>
    </w:pPr>
    <w:r>
      <w:rPr>
        <w:rFonts w:hint="eastAsia"/>
        <w:sz w:val="18"/>
        <w:szCs w:val="18"/>
      </w:rPr>
      <w:t>杭州市富阳区人民法院拟财产处置涉及的</w:t>
    </w:r>
    <w:r>
      <w:rPr>
        <w:rFonts w:hint="eastAsia"/>
        <w:sz w:val="18"/>
        <w:szCs w:val="18"/>
        <w:lang w:eastAsia="zh-CN"/>
      </w:rPr>
      <w:t>胡春强、张蒙蒙所有的登记在浙江三江房地产开发有限公司名下</w:t>
    </w:r>
    <w:r>
      <w:rPr>
        <w:rFonts w:hint="eastAsia"/>
        <w:sz w:val="18"/>
        <w:szCs w:val="18"/>
        <w:u w:val="single"/>
        <w:lang w:eastAsia="zh-CN"/>
      </w:rPr>
      <w:t>位于</w:t>
    </w:r>
    <w:r>
      <w:rPr>
        <w:rFonts w:hint="eastAsia"/>
        <w:sz w:val="18"/>
        <w:szCs w:val="18"/>
        <w:u w:val="single"/>
      </w:rPr>
      <w:t>杭州市富阳区新登镇澳海澜庭</w:t>
    </w:r>
    <w:r>
      <w:rPr>
        <w:rFonts w:hint="eastAsia"/>
        <w:sz w:val="18"/>
        <w:szCs w:val="18"/>
        <w:u w:val="single"/>
        <w:lang w:eastAsia="zh-CN"/>
      </w:rPr>
      <w:t>57号808室</w:t>
    </w:r>
    <w:r>
      <w:rPr>
        <w:rFonts w:hint="eastAsia"/>
        <w:sz w:val="18"/>
        <w:szCs w:val="18"/>
        <w:u w:val="single"/>
      </w:rPr>
      <w:t xml:space="preserve">房地产市场价值司法评估项目     </w:t>
    </w:r>
    <w:r>
      <w:rPr>
        <w:sz w:val="18"/>
        <w:szCs w:val="18"/>
        <w:u w:val="single"/>
      </w:rPr>
      <w:t xml:space="preserve">        </w:t>
    </w:r>
    <w:r>
      <w:rPr>
        <w:rFonts w:hint="eastAsia"/>
        <w:sz w:val="18"/>
        <w:szCs w:val="18"/>
        <w:u w:val="singl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075A4970"/>
    <w:multiLevelType w:val="singleLevel"/>
    <w:tmpl w:val="075A4970"/>
    <w:lvl w:ilvl="0" w:tentative="0">
      <w:start w:val="14"/>
      <w:numFmt w:val="chineseCounting"/>
      <w:suff w:val="space"/>
      <w:lvlText w:val="%1、"/>
      <w:lvlJc w:val="left"/>
      <w:rPr>
        <w:rFonts w:hint="eastAsia"/>
      </w:rPr>
    </w:lvl>
  </w:abstractNum>
  <w:abstractNum w:abstractNumId="3">
    <w:nsid w:val="5EA230F2"/>
    <w:multiLevelType w:val="singleLevel"/>
    <w:tmpl w:val="5EA230F2"/>
    <w:lvl w:ilvl="0" w:tentative="0">
      <w:start w:val="1"/>
      <w:numFmt w:val="chineseCounting"/>
      <w:suff w:val="nothing"/>
      <w:lvlText w:val="%1、"/>
      <w:lvlJc w:val="left"/>
    </w:lvl>
  </w:abstractNum>
  <w:abstractNum w:abstractNumId="4">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NTA4N2RlYTc5YzFlMDQ3ODI4OTdkMmY2MWMzNmUifQ=="/>
  </w:docVars>
  <w:rsids>
    <w:rsidRoot w:val="D7FB192B"/>
    <w:rsid w:val="00065848"/>
    <w:rsid w:val="0007639E"/>
    <w:rsid w:val="00140063"/>
    <w:rsid w:val="00150A47"/>
    <w:rsid w:val="001C6A74"/>
    <w:rsid w:val="00211EF8"/>
    <w:rsid w:val="00212EFB"/>
    <w:rsid w:val="00254550"/>
    <w:rsid w:val="002759CC"/>
    <w:rsid w:val="002959F9"/>
    <w:rsid w:val="002F1D16"/>
    <w:rsid w:val="002F4C1A"/>
    <w:rsid w:val="00305BF3"/>
    <w:rsid w:val="00357999"/>
    <w:rsid w:val="003657ED"/>
    <w:rsid w:val="003A51CB"/>
    <w:rsid w:val="003E6EA8"/>
    <w:rsid w:val="0047760F"/>
    <w:rsid w:val="004806AF"/>
    <w:rsid w:val="0048696E"/>
    <w:rsid w:val="00495C11"/>
    <w:rsid w:val="004E2BBD"/>
    <w:rsid w:val="004F556A"/>
    <w:rsid w:val="005010AF"/>
    <w:rsid w:val="005507F2"/>
    <w:rsid w:val="0055416C"/>
    <w:rsid w:val="005617D8"/>
    <w:rsid w:val="0056619A"/>
    <w:rsid w:val="00615998"/>
    <w:rsid w:val="00683F9B"/>
    <w:rsid w:val="006A69FE"/>
    <w:rsid w:val="006B1AA3"/>
    <w:rsid w:val="00706D16"/>
    <w:rsid w:val="00777922"/>
    <w:rsid w:val="00794039"/>
    <w:rsid w:val="007A303B"/>
    <w:rsid w:val="007B5CD4"/>
    <w:rsid w:val="007C5845"/>
    <w:rsid w:val="00821A2C"/>
    <w:rsid w:val="0082565C"/>
    <w:rsid w:val="00831C34"/>
    <w:rsid w:val="00860206"/>
    <w:rsid w:val="00865DFD"/>
    <w:rsid w:val="00870055"/>
    <w:rsid w:val="008C290C"/>
    <w:rsid w:val="008F6EB3"/>
    <w:rsid w:val="009441A1"/>
    <w:rsid w:val="009A08EE"/>
    <w:rsid w:val="009B10C5"/>
    <w:rsid w:val="009C6ED3"/>
    <w:rsid w:val="00A023FF"/>
    <w:rsid w:val="00A11914"/>
    <w:rsid w:val="00A20B6F"/>
    <w:rsid w:val="00A40069"/>
    <w:rsid w:val="00A579FC"/>
    <w:rsid w:val="00AC0B04"/>
    <w:rsid w:val="00AF7C62"/>
    <w:rsid w:val="00B06A12"/>
    <w:rsid w:val="00B37EB3"/>
    <w:rsid w:val="00BE392B"/>
    <w:rsid w:val="00C44176"/>
    <w:rsid w:val="00CD149A"/>
    <w:rsid w:val="00CD1799"/>
    <w:rsid w:val="00CD28E3"/>
    <w:rsid w:val="00CD612E"/>
    <w:rsid w:val="00CF53DE"/>
    <w:rsid w:val="00D127D5"/>
    <w:rsid w:val="00D14B90"/>
    <w:rsid w:val="00D724B0"/>
    <w:rsid w:val="00D93513"/>
    <w:rsid w:val="00DE1CA7"/>
    <w:rsid w:val="00DE628B"/>
    <w:rsid w:val="00E146B7"/>
    <w:rsid w:val="00E31E0A"/>
    <w:rsid w:val="00E44B64"/>
    <w:rsid w:val="00E53ED5"/>
    <w:rsid w:val="00E716BC"/>
    <w:rsid w:val="00EE47E3"/>
    <w:rsid w:val="00F163BA"/>
    <w:rsid w:val="00F34DC7"/>
    <w:rsid w:val="00F74C58"/>
    <w:rsid w:val="0106464C"/>
    <w:rsid w:val="013A1571"/>
    <w:rsid w:val="01512BE9"/>
    <w:rsid w:val="016D2CC6"/>
    <w:rsid w:val="01773D40"/>
    <w:rsid w:val="017C5973"/>
    <w:rsid w:val="019244F4"/>
    <w:rsid w:val="01987245"/>
    <w:rsid w:val="019A00CD"/>
    <w:rsid w:val="021A68F9"/>
    <w:rsid w:val="0224184B"/>
    <w:rsid w:val="02852B41"/>
    <w:rsid w:val="028D0A46"/>
    <w:rsid w:val="02AF6EE5"/>
    <w:rsid w:val="030D1CFA"/>
    <w:rsid w:val="031C2553"/>
    <w:rsid w:val="036208AE"/>
    <w:rsid w:val="037B54CB"/>
    <w:rsid w:val="039B5ABB"/>
    <w:rsid w:val="03BA4C2C"/>
    <w:rsid w:val="03F01A4A"/>
    <w:rsid w:val="040D423D"/>
    <w:rsid w:val="0434075E"/>
    <w:rsid w:val="04446F77"/>
    <w:rsid w:val="045F10E3"/>
    <w:rsid w:val="04A50AB3"/>
    <w:rsid w:val="04C7100A"/>
    <w:rsid w:val="05465C7D"/>
    <w:rsid w:val="055A51F9"/>
    <w:rsid w:val="05C6353D"/>
    <w:rsid w:val="05CA6960"/>
    <w:rsid w:val="06032205"/>
    <w:rsid w:val="062235DD"/>
    <w:rsid w:val="0636739F"/>
    <w:rsid w:val="064B334A"/>
    <w:rsid w:val="06590BF0"/>
    <w:rsid w:val="06680FFF"/>
    <w:rsid w:val="0689426A"/>
    <w:rsid w:val="0696473D"/>
    <w:rsid w:val="07202B9B"/>
    <w:rsid w:val="074739BD"/>
    <w:rsid w:val="077B65D0"/>
    <w:rsid w:val="082743FB"/>
    <w:rsid w:val="084A21A0"/>
    <w:rsid w:val="08B22395"/>
    <w:rsid w:val="08B7643D"/>
    <w:rsid w:val="08CD7531"/>
    <w:rsid w:val="0905484C"/>
    <w:rsid w:val="090D29A8"/>
    <w:rsid w:val="090E20CB"/>
    <w:rsid w:val="097525CD"/>
    <w:rsid w:val="0A3D2C6F"/>
    <w:rsid w:val="0A4838C3"/>
    <w:rsid w:val="0AD3711C"/>
    <w:rsid w:val="0AF42E55"/>
    <w:rsid w:val="0B04224A"/>
    <w:rsid w:val="0B231D14"/>
    <w:rsid w:val="0B337557"/>
    <w:rsid w:val="0B3A0842"/>
    <w:rsid w:val="0B55696F"/>
    <w:rsid w:val="0B68056A"/>
    <w:rsid w:val="0BBE36E2"/>
    <w:rsid w:val="0BF16788"/>
    <w:rsid w:val="0C8312E9"/>
    <w:rsid w:val="0CF33496"/>
    <w:rsid w:val="0D0066BE"/>
    <w:rsid w:val="0D023D59"/>
    <w:rsid w:val="0D024F41"/>
    <w:rsid w:val="0D03583D"/>
    <w:rsid w:val="0D5D2AD5"/>
    <w:rsid w:val="0DB53CD0"/>
    <w:rsid w:val="0DC2766E"/>
    <w:rsid w:val="0DC50156"/>
    <w:rsid w:val="0DC56830"/>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C21BF"/>
    <w:rsid w:val="12C10A21"/>
    <w:rsid w:val="12E91805"/>
    <w:rsid w:val="13BD2104"/>
    <w:rsid w:val="13E92F25"/>
    <w:rsid w:val="13F22C77"/>
    <w:rsid w:val="14304097"/>
    <w:rsid w:val="145F0C2D"/>
    <w:rsid w:val="14617BB5"/>
    <w:rsid w:val="1476458A"/>
    <w:rsid w:val="14C6122A"/>
    <w:rsid w:val="15012AD2"/>
    <w:rsid w:val="15896627"/>
    <w:rsid w:val="16AB496B"/>
    <w:rsid w:val="16F267BB"/>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E633FA"/>
    <w:rsid w:val="19600858"/>
    <w:rsid w:val="19863D32"/>
    <w:rsid w:val="1AC165D2"/>
    <w:rsid w:val="1B102A7F"/>
    <w:rsid w:val="1B2507BA"/>
    <w:rsid w:val="1B713A58"/>
    <w:rsid w:val="1BBC205B"/>
    <w:rsid w:val="1BE3046D"/>
    <w:rsid w:val="1C016F32"/>
    <w:rsid w:val="1C234B14"/>
    <w:rsid w:val="1C4079B2"/>
    <w:rsid w:val="1C697521"/>
    <w:rsid w:val="1C6E4AA6"/>
    <w:rsid w:val="1C8D6016"/>
    <w:rsid w:val="1CB93919"/>
    <w:rsid w:val="1CE963AA"/>
    <w:rsid w:val="1D0401EB"/>
    <w:rsid w:val="1D1F6D67"/>
    <w:rsid w:val="1D32104F"/>
    <w:rsid w:val="1DB52284"/>
    <w:rsid w:val="1DC92C2C"/>
    <w:rsid w:val="1E4E40D8"/>
    <w:rsid w:val="1E8C7EAB"/>
    <w:rsid w:val="1EB00FD2"/>
    <w:rsid w:val="1F3D288C"/>
    <w:rsid w:val="1F9957B9"/>
    <w:rsid w:val="200A38CA"/>
    <w:rsid w:val="20120316"/>
    <w:rsid w:val="20447098"/>
    <w:rsid w:val="206877A5"/>
    <w:rsid w:val="206A49DB"/>
    <w:rsid w:val="209B179A"/>
    <w:rsid w:val="20C21C18"/>
    <w:rsid w:val="211272BB"/>
    <w:rsid w:val="21395994"/>
    <w:rsid w:val="2154594E"/>
    <w:rsid w:val="21C154A8"/>
    <w:rsid w:val="221977B9"/>
    <w:rsid w:val="221F4C91"/>
    <w:rsid w:val="226C3577"/>
    <w:rsid w:val="22883309"/>
    <w:rsid w:val="22925F36"/>
    <w:rsid w:val="22A27024"/>
    <w:rsid w:val="22E20688"/>
    <w:rsid w:val="22E7350C"/>
    <w:rsid w:val="2359001E"/>
    <w:rsid w:val="242A2C87"/>
    <w:rsid w:val="2491243D"/>
    <w:rsid w:val="24950E62"/>
    <w:rsid w:val="24D838D4"/>
    <w:rsid w:val="24EA3088"/>
    <w:rsid w:val="25544AB2"/>
    <w:rsid w:val="25563E3A"/>
    <w:rsid w:val="2567772D"/>
    <w:rsid w:val="25743899"/>
    <w:rsid w:val="25CA694D"/>
    <w:rsid w:val="26370BF7"/>
    <w:rsid w:val="266D4C69"/>
    <w:rsid w:val="268B3F4E"/>
    <w:rsid w:val="26957637"/>
    <w:rsid w:val="26A81CA1"/>
    <w:rsid w:val="26F85860"/>
    <w:rsid w:val="270B3A39"/>
    <w:rsid w:val="27630423"/>
    <w:rsid w:val="276B1318"/>
    <w:rsid w:val="277C2603"/>
    <w:rsid w:val="283B361B"/>
    <w:rsid w:val="284E24FB"/>
    <w:rsid w:val="288B1059"/>
    <w:rsid w:val="28F02E78"/>
    <w:rsid w:val="2A744169"/>
    <w:rsid w:val="2ADE20DA"/>
    <w:rsid w:val="2AEE2579"/>
    <w:rsid w:val="2AF3371C"/>
    <w:rsid w:val="2AF74218"/>
    <w:rsid w:val="2B314FDA"/>
    <w:rsid w:val="2B5F4D79"/>
    <w:rsid w:val="2B8E4F46"/>
    <w:rsid w:val="2C2B6413"/>
    <w:rsid w:val="2C547BD4"/>
    <w:rsid w:val="2C5713C2"/>
    <w:rsid w:val="2CB84FCE"/>
    <w:rsid w:val="2CBC4F76"/>
    <w:rsid w:val="2CE8470A"/>
    <w:rsid w:val="2CEE3C8A"/>
    <w:rsid w:val="2CF93DEB"/>
    <w:rsid w:val="2D406CBA"/>
    <w:rsid w:val="2D9143A6"/>
    <w:rsid w:val="2D9817F4"/>
    <w:rsid w:val="2ECB2D2C"/>
    <w:rsid w:val="2ECD0019"/>
    <w:rsid w:val="2EE2756C"/>
    <w:rsid w:val="2EE82491"/>
    <w:rsid w:val="2F3D4C43"/>
    <w:rsid w:val="30131319"/>
    <w:rsid w:val="302B55A8"/>
    <w:rsid w:val="305C077F"/>
    <w:rsid w:val="306F0B05"/>
    <w:rsid w:val="30701104"/>
    <w:rsid w:val="30800CCB"/>
    <w:rsid w:val="30AF20CD"/>
    <w:rsid w:val="30CA4B57"/>
    <w:rsid w:val="315B6409"/>
    <w:rsid w:val="317776FC"/>
    <w:rsid w:val="319B58C5"/>
    <w:rsid w:val="31AA68B4"/>
    <w:rsid w:val="31CC50BA"/>
    <w:rsid w:val="31DB5AB3"/>
    <w:rsid w:val="320B147C"/>
    <w:rsid w:val="3218420C"/>
    <w:rsid w:val="321921D0"/>
    <w:rsid w:val="32470B0E"/>
    <w:rsid w:val="3276035D"/>
    <w:rsid w:val="32A4066D"/>
    <w:rsid w:val="32A44762"/>
    <w:rsid w:val="32AF725E"/>
    <w:rsid w:val="32B63E95"/>
    <w:rsid w:val="32C63D3D"/>
    <w:rsid w:val="32D6319D"/>
    <w:rsid w:val="3321063F"/>
    <w:rsid w:val="33367504"/>
    <w:rsid w:val="333B6843"/>
    <w:rsid w:val="33744B9C"/>
    <w:rsid w:val="338F3996"/>
    <w:rsid w:val="339C4C67"/>
    <w:rsid w:val="33C42631"/>
    <w:rsid w:val="33EF1FF3"/>
    <w:rsid w:val="33F446F4"/>
    <w:rsid w:val="33F96ACA"/>
    <w:rsid w:val="3485287F"/>
    <w:rsid w:val="34917F85"/>
    <w:rsid w:val="34C268C5"/>
    <w:rsid w:val="34DE7871"/>
    <w:rsid w:val="350D72ED"/>
    <w:rsid w:val="3529264C"/>
    <w:rsid w:val="35B5112C"/>
    <w:rsid w:val="35CD6AD9"/>
    <w:rsid w:val="35F83F56"/>
    <w:rsid w:val="36441BEE"/>
    <w:rsid w:val="366507C0"/>
    <w:rsid w:val="36801361"/>
    <w:rsid w:val="36FD5323"/>
    <w:rsid w:val="370C62E5"/>
    <w:rsid w:val="378656CC"/>
    <w:rsid w:val="37980C20"/>
    <w:rsid w:val="379C06E7"/>
    <w:rsid w:val="37AE54B1"/>
    <w:rsid w:val="37CA4776"/>
    <w:rsid w:val="37D61063"/>
    <w:rsid w:val="38461876"/>
    <w:rsid w:val="38D004F4"/>
    <w:rsid w:val="39353FF7"/>
    <w:rsid w:val="39761CB6"/>
    <w:rsid w:val="39E8699D"/>
    <w:rsid w:val="39EC7204"/>
    <w:rsid w:val="3A6366DE"/>
    <w:rsid w:val="3B8051A7"/>
    <w:rsid w:val="3BCD168D"/>
    <w:rsid w:val="3BE556AF"/>
    <w:rsid w:val="3BEA0439"/>
    <w:rsid w:val="3C094524"/>
    <w:rsid w:val="3C7B62FF"/>
    <w:rsid w:val="3CB75A06"/>
    <w:rsid w:val="3CF40024"/>
    <w:rsid w:val="3CF55B44"/>
    <w:rsid w:val="3D9F5C7F"/>
    <w:rsid w:val="3DD14280"/>
    <w:rsid w:val="3DDB3DAB"/>
    <w:rsid w:val="3DF07218"/>
    <w:rsid w:val="3DFB4605"/>
    <w:rsid w:val="3E104487"/>
    <w:rsid w:val="3E871E0D"/>
    <w:rsid w:val="3F3073CA"/>
    <w:rsid w:val="3FAC39B0"/>
    <w:rsid w:val="3FDB0AC5"/>
    <w:rsid w:val="40294794"/>
    <w:rsid w:val="406556DD"/>
    <w:rsid w:val="410A0F95"/>
    <w:rsid w:val="412E1D2A"/>
    <w:rsid w:val="413D4D74"/>
    <w:rsid w:val="4150545A"/>
    <w:rsid w:val="41BC1080"/>
    <w:rsid w:val="41D30FA4"/>
    <w:rsid w:val="41E14844"/>
    <w:rsid w:val="421B5948"/>
    <w:rsid w:val="42327C8E"/>
    <w:rsid w:val="424429BC"/>
    <w:rsid w:val="42D461C1"/>
    <w:rsid w:val="42EE53E5"/>
    <w:rsid w:val="4331666D"/>
    <w:rsid w:val="439A2962"/>
    <w:rsid w:val="43BF0F58"/>
    <w:rsid w:val="43E053E0"/>
    <w:rsid w:val="44353A8E"/>
    <w:rsid w:val="448C0A09"/>
    <w:rsid w:val="448F0E66"/>
    <w:rsid w:val="44916FB5"/>
    <w:rsid w:val="449E4C2F"/>
    <w:rsid w:val="44B1118C"/>
    <w:rsid w:val="44D70430"/>
    <w:rsid w:val="454B27E6"/>
    <w:rsid w:val="45815036"/>
    <w:rsid w:val="45DE3962"/>
    <w:rsid w:val="45DF27CC"/>
    <w:rsid w:val="46243CB2"/>
    <w:rsid w:val="46B27B1F"/>
    <w:rsid w:val="46FA1722"/>
    <w:rsid w:val="471B2D25"/>
    <w:rsid w:val="476734FD"/>
    <w:rsid w:val="47B7A9D9"/>
    <w:rsid w:val="47DB03E8"/>
    <w:rsid w:val="47E30BEF"/>
    <w:rsid w:val="47F00E85"/>
    <w:rsid w:val="482D6FDC"/>
    <w:rsid w:val="48696BD4"/>
    <w:rsid w:val="48801A9B"/>
    <w:rsid w:val="488E3760"/>
    <w:rsid w:val="491F7173"/>
    <w:rsid w:val="4921579A"/>
    <w:rsid w:val="49323174"/>
    <w:rsid w:val="496C10E7"/>
    <w:rsid w:val="4A691401"/>
    <w:rsid w:val="4A98079C"/>
    <w:rsid w:val="4A9C6C86"/>
    <w:rsid w:val="4A9E768B"/>
    <w:rsid w:val="4AF23067"/>
    <w:rsid w:val="4B5868B9"/>
    <w:rsid w:val="4B880BEC"/>
    <w:rsid w:val="4BBF1B49"/>
    <w:rsid w:val="4C2475CA"/>
    <w:rsid w:val="4C3E53A8"/>
    <w:rsid w:val="4C8D34BC"/>
    <w:rsid w:val="4CCB288B"/>
    <w:rsid w:val="4D2C0595"/>
    <w:rsid w:val="4D2E19F5"/>
    <w:rsid w:val="4D48321A"/>
    <w:rsid w:val="4D545B8B"/>
    <w:rsid w:val="4D7F4CE0"/>
    <w:rsid w:val="4D9C7CC1"/>
    <w:rsid w:val="4DA42D6F"/>
    <w:rsid w:val="4DB4746A"/>
    <w:rsid w:val="4DF94417"/>
    <w:rsid w:val="4E4A4A72"/>
    <w:rsid w:val="50624B42"/>
    <w:rsid w:val="50943276"/>
    <w:rsid w:val="509A0908"/>
    <w:rsid w:val="50A14D40"/>
    <w:rsid w:val="50C13896"/>
    <w:rsid w:val="50EE5A4F"/>
    <w:rsid w:val="50F1569F"/>
    <w:rsid w:val="50FE2B43"/>
    <w:rsid w:val="51123E15"/>
    <w:rsid w:val="51275918"/>
    <w:rsid w:val="513717D3"/>
    <w:rsid w:val="51DA4853"/>
    <w:rsid w:val="51F2795F"/>
    <w:rsid w:val="524C6761"/>
    <w:rsid w:val="52EC169D"/>
    <w:rsid w:val="52FE4928"/>
    <w:rsid w:val="536A5B12"/>
    <w:rsid w:val="53A3335E"/>
    <w:rsid w:val="53E63BA6"/>
    <w:rsid w:val="53F03F18"/>
    <w:rsid w:val="544E66F5"/>
    <w:rsid w:val="549F2468"/>
    <w:rsid w:val="55256612"/>
    <w:rsid w:val="55381A23"/>
    <w:rsid w:val="55655A8A"/>
    <w:rsid w:val="55717E7C"/>
    <w:rsid w:val="55B72A90"/>
    <w:rsid w:val="55C80355"/>
    <w:rsid w:val="56375EDF"/>
    <w:rsid w:val="563C6DC4"/>
    <w:rsid w:val="566058B2"/>
    <w:rsid w:val="567F4F7E"/>
    <w:rsid w:val="56CB6CEC"/>
    <w:rsid w:val="573C0FC8"/>
    <w:rsid w:val="576D5612"/>
    <w:rsid w:val="5781070B"/>
    <w:rsid w:val="57F458A1"/>
    <w:rsid w:val="58616670"/>
    <w:rsid w:val="589D4D6D"/>
    <w:rsid w:val="592D0598"/>
    <w:rsid w:val="59407EBE"/>
    <w:rsid w:val="598368A3"/>
    <w:rsid w:val="59914757"/>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B4787F"/>
    <w:rsid w:val="5D0B1D75"/>
    <w:rsid w:val="5D280D95"/>
    <w:rsid w:val="5D3D1B00"/>
    <w:rsid w:val="5D5C1C11"/>
    <w:rsid w:val="5D786CFE"/>
    <w:rsid w:val="5D7B27BE"/>
    <w:rsid w:val="5DB93C6D"/>
    <w:rsid w:val="5E035C0E"/>
    <w:rsid w:val="5E215048"/>
    <w:rsid w:val="5E836C4D"/>
    <w:rsid w:val="5EBE461E"/>
    <w:rsid w:val="5EBF6BE8"/>
    <w:rsid w:val="5EDF0C56"/>
    <w:rsid w:val="5EE30824"/>
    <w:rsid w:val="5EFA76B2"/>
    <w:rsid w:val="5F047CD6"/>
    <w:rsid w:val="5F051193"/>
    <w:rsid w:val="5F661E0C"/>
    <w:rsid w:val="5F683325"/>
    <w:rsid w:val="5F8D45C0"/>
    <w:rsid w:val="5FE41504"/>
    <w:rsid w:val="5FED1DAD"/>
    <w:rsid w:val="5FF345A2"/>
    <w:rsid w:val="60036491"/>
    <w:rsid w:val="601D2EC6"/>
    <w:rsid w:val="603A3756"/>
    <w:rsid w:val="609E3CF8"/>
    <w:rsid w:val="60A264F2"/>
    <w:rsid w:val="60A34233"/>
    <w:rsid w:val="60DF146D"/>
    <w:rsid w:val="60E953A3"/>
    <w:rsid w:val="60ED76A9"/>
    <w:rsid w:val="60EE7BB6"/>
    <w:rsid w:val="6135783D"/>
    <w:rsid w:val="617216AF"/>
    <w:rsid w:val="61972646"/>
    <w:rsid w:val="619E3B67"/>
    <w:rsid w:val="61E77707"/>
    <w:rsid w:val="62162436"/>
    <w:rsid w:val="624B1D0A"/>
    <w:rsid w:val="626940EA"/>
    <w:rsid w:val="62966D01"/>
    <w:rsid w:val="62A46F1A"/>
    <w:rsid w:val="62A828E9"/>
    <w:rsid w:val="62B363AF"/>
    <w:rsid w:val="637F12D7"/>
    <w:rsid w:val="63A45F6C"/>
    <w:rsid w:val="63AE4223"/>
    <w:rsid w:val="63B92C94"/>
    <w:rsid w:val="63C613AF"/>
    <w:rsid w:val="63D90BE8"/>
    <w:rsid w:val="63F33BC2"/>
    <w:rsid w:val="640826E4"/>
    <w:rsid w:val="64334010"/>
    <w:rsid w:val="64514552"/>
    <w:rsid w:val="64A81A58"/>
    <w:rsid w:val="64CE2219"/>
    <w:rsid w:val="64D82D6C"/>
    <w:rsid w:val="655A7ACF"/>
    <w:rsid w:val="656B1BD6"/>
    <w:rsid w:val="65AD73C0"/>
    <w:rsid w:val="65B72D51"/>
    <w:rsid w:val="6624169D"/>
    <w:rsid w:val="664A347E"/>
    <w:rsid w:val="664D392A"/>
    <w:rsid w:val="66C82E92"/>
    <w:rsid w:val="66F20DB6"/>
    <w:rsid w:val="67444BFA"/>
    <w:rsid w:val="67B37C4A"/>
    <w:rsid w:val="6800763D"/>
    <w:rsid w:val="681D56FB"/>
    <w:rsid w:val="682B479B"/>
    <w:rsid w:val="68902444"/>
    <w:rsid w:val="68F0361B"/>
    <w:rsid w:val="69104C1D"/>
    <w:rsid w:val="6943123A"/>
    <w:rsid w:val="69492603"/>
    <w:rsid w:val="6957280E"/>
    <w:rsid w:val="696741E0"/>
    <w:rsid w:val="69B913D2"/>
    <w:rsid w:val="6A045B47"/>
    <w:rsid w:val="6A4F400D"/>
    <w:rsid w:val="6A8864E3"/>
    <w:rsid w:val="6A9A1A96"/>
    <w:rsid w:val="6A9B6291"/>
    <w:rsid w:val="6AA74716"/>
    <w:rsid w:val="6AD711E3"/>
    <w:rsid w:val="6BF571E0"/>
    <w:rsid w:val="6BF9633B"/>
    <w:rsid w:val="6C137C75"/>
    <w:rsid w:val="6C203D75"/>
    <w:rsid w:val="6C2412AB"/>
    <w:rsid w:val="6CD57ABD"/>
    <w:rsid w:val="6CEB63DC"/>
    <w:rsid w:val="6CF91106"/>
    <w:rsid w:val="6D892450"/>
    <w:rsid w:val="6DAE571E"/>
    <w:rsid w:val="6DDF4F5E"/>
    <w:rsid w:val="6E077A51"/>
    <w:rsid w:val="6E0D1E4C"/>
    <w:rsid w:val="6E326CA2"/>
    <w:rsid w:val="6EA55B2A"/>
    <w:rsid w:val="6EE4639C"/>
    <w:rsid w:val="6F370FC4"/>
    <w:rsid w:val="6F510F15"/>
    <w:rsid w:val="6FCA5905"/>
    <w:rsid w:val="6FD41F04"/>
    <w:rsid w:val="700D146B"/>
    <w:rsid w:val="70161521"/>
    <w:rsid w:val="709F0CC5"/>
    <w:rsid w:val="71194E20"/>
    <w:rsid w:val="71205B10"/>
    <w:rsid w:val="716D2E22"/>
    <w:rsid w:val="71FE798C"/>
    <w:rsid w:val="72523709"/>
    <w:rsid w:val="72535C26"/>
    <w:rsid w:val="728C4004"/>
    <w:rsid w:val="7341481D"/>
    <w:rsid w:val="734A0B54"/>
    <w:rsid w:val="73A75F11"/>
    <w:rsid w:val="73AA445A"/>
    <w:rsid w:val="73C5252D"/>
    <w:rsid w:val="73CE4CA1"/>
    <w:rsid w:val="73FE08B5"/>
    <w:rsid w:val="7429507D"/>
    <w:rsid w:val="74F5191F"/>
    <w:rsid w:val="752779FF"/>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A323B5"/>
    <w:rsid w:val="79A431E5"/>
    <w:rsid w:val="79AB1E0F"/>
    <w:rsid w:val="7A5D252C"/>
    <w:rsid w:val="7A650012"/>
    <w:rsid w:val="7A91779A"/>
    <w:rsid w:val="7AE6600B"/>
    <w:rsid w:val="7B4C0F01"/>
    <w:rsid w:val="7B4D03D9"/>
    <w:rsid w:val="7BD209FE"/>
    <w:rsid w:val="7BE37E82"/>
    <w:rsid w:val="7BFC00ED"/>
    <w:rsid w:val="7C134B67"/>
    <w:rsid w:val="7C49283E"/>
    <w:rsid w:val="7CE57BE4"/>
    <w:rsid w:val="7CF027C3"/>
    <w:rsid w:val="7D133473"/>
    <w:rsid w:val="7D1D1609"/>
    <w:rsid w:val="7D1E7A04"/>
    <w:rsid w:val="7D31799A"/>
    <w:rsid w:val="7D490128"/>
    <w:rsid w:val="7D767639"/>
    <w:rsid w:val="7DA214AB"/>
    <w:rsid w:val="7DA46D63"/>
    <w:rsid w:val="7DD37A85"/>
    <w:rsid w:val="7DE33FF1"/>
    <w:rsid w:val="7DF76841"/>
    <w:rsid w:val="7E5A18F3"/>
    <w:rsid w:val="7E8437DF"/>
    <w:rsid w:val="7F1729BC"/>
    <w:rsid w:val="7F4734A5"/>
    <w:rsid w:val="7F823A23"/>
    <w:rsid w:val="7F8E5310"/>
    <w:rsid w:val="7FD4034D"/>
    <w:rsid w:val="7FD57821"/>
    <w:rsid w:val="7FD928DA"/>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snapToGrid w:val="0"/>
      <w:spacing w:line="300" w:lineRule="auto"/>
      <w:ind w:firstLine="556"/>
    </w:pPr>
    <w:rPr>
      <w:rFonts w:ascii="仿宋_GB2312" w:eastAsia="仿宋_GB2312"/>
      <w:sz w:val="28"/>
      <w:szCs w:val="20"/>
    </w:rPr>
  </w:style>
  <w:style w:type="paragraph" w:styleId="5">
    <w:name w:val="annotation text"/>
    <w:basedOn w:val="1"/>
    <w:link w:val="23"/>
    <w:qFormat/>
    <w:uiPriority w:val="0"/>
    <w:pPr>
      <w:jc w:val="left"/>
    </w:pPr>
  </w:style>
  <w:style w:type="paragraph" w:styleId="6">
    <w:name w:val="Body Text"/>
    <w:basedOn w:val="1"/>
    <w:qFormat/>
    <w:uiPriority w:val="0"/>
    <w:pPr>
      <w:spacing w:after="120"/>
    </w:pPr>
  </w:style>
  <w:style w:type="paragraph" w:styleId="7">
    <w:name w:val="Date"/>
    <w:basedOn w:val="1"/>
    <w:next w:val="1"/>
    <w:link w:val="25"/>
    <w:qFormat/>
    <w:uiPriority w:val="0"/>
    <w:pPr>
      <w:ind w:left="100" w:leftChars="2500"/>
    </w:pPr>
  </w:style>
  <w:style w:type="paragraph" w:styleId="8">
    <w:name w:val="Balloon Text"/>
    <w:basedOn w:val="1"/>
    <w:link w:val="2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1">
    <w:name w:val="toc 1"/>
    <w:basedOn w:val="1"/>
    <w:next w:val="1"/>
    <w:qFormat/>
    <w:uiPriority w:val="0"/>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paragraph" w:styleId="14">
    <w:name w:val="annotation subject"/>
    <w:basedOn w:val="5"/>
    <w:next w:val="5"/>
    <w:link w:val="24"/>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0"/>
    <w:rPr>
      <w:color w:val="0000FF"/>
      <w:u w:val="single"/>
    </w:rPr>
  </w:style>
  <w:style w:type="character" w:styleId="19">
    <w:name w:val="annotation reference"/>
    <w:basedOn w:val="17"/>
    <w:qFormat/>
    <w:uiPriority w:val="0"/>
    <w:rPr>
      <w:sz w:val="21"/>
      <w:szCs w:val="21"/>
    </w:rPr>
  </w:style>
  <w:style w:type="paragraph" w:customStyle="1" w:styleId="20">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1">
    <w:name w:val="正文文本 31"/>
    <w:basedOn w:val="1"/>
    <w:link w:val="29"/>
    <w:qFormat/>
    <w:uiPriority w:val="0"/>
    <w:pPr>
      <w:spacing w:line="360" w:lineRule="auto"/>
    </w:pPr>
    <w:rPr>
      <w:rFonts w:hint="eastAsia" w:ascii="宋体"/>
      <w:b/>
      <w:sz w:val="28"/>
    </w:r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character" w:customStyle="1" w:styleId="23">
    <w:name w:val="批注文字 字符"/>
    <w:basedOn w:val="17"/>
    <w:link w:val="5"/>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14"/>
    <w:qFormat/>
    <w:uiPriority w:val="0"/>
    <w:rPr>
      <w:rFonts w:asciiTheme="minorHAnsi" w:hAnsiTheme="minorHAnsi" w:eastAsiaTheme="minorEastAsia" w:cstheme="minorBidi"/>
      <w:b/>
      <w:bCs/>
      <w:kern w:val="2"/>
      <w:sz w:val="21"/>
      <w:szCs w:val="24"/>
    </w:rPr>
  </w:style>
  <w:style w:type="character" w:customStyle="1" w:styleId="25">
    <w:name w:val="日期 字符"/>
    <w:basedOn w:val="17"/>
    <w:link w:val="7"/>
    <w:qFormat/>
    <w:uiPriority w:val="0"/>
    <w:rPr>
      <w:rFonts w:asciiTheme="minorHAnsi" w:hAnsiTheme="minorHAnsi" w:eastAsiaTheme="minorEastAsia" w:cstheme="minorBidi"/>
      <w:kern w:val="2"/>
      <w:sz w:val="21"/>
      <w:szCs w:val="24"/>
    </w:rPr>
  </w:style>
  <w:style w:type="paragraph" w:customStyle="1" w:styleId="26">
    <w:name w:val="zw"/>
    <w:basedOn w:val="1"/>
    <w:qFormat/>
    <w:uiPriority w:val="0"/>
    <w:pPr>
      <w:adjustRightInd w:val="0"/>
      <w:spacing w:line="360" w:lineRule="auto"/>
      <w:ind w:firstLine="482"/>
      <w:textAlignment w:val="baseline"/>
    </w:pPr>
    <w:rPr>
      <w:rFonts w:ascii="Arial Narrow" w:hAnsi="Arial Narrow" w:eastAsia="楷体_GB2312"/>
      <w:sz w:val="24"/>
    </w:rPr>
  </w:style>
  <w:style w:type="paragraph" w:customStyle="1" w:styleId="27">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28">
    <w:name w:val="批注框文本 字符"/>
    <w:basedOn w:val="17"/>
    <w:link w:val="8"/>
    <w:qFormat/>
    <w:uiPriority w:val="0"/>
    <w:rPr>
      <w:rFonts w:asciiTheme="minorHAnsi" w:hAnsiTheme="minorHAnsi" w:eastAsiaTheme="minorEastAsia" w:cstheme="minorBidi"/>
      <w:kern w:val="2"/>
      <w:sz w:val="18"/>
      <w:szCs w:val="18"/>
    </w:rPr>
  </w:style>
  <w:style w:type="character" w:customStyle="1" w:styleId="29">
    <w:name w:val="正文文本 31 Char"/>
    <w:link w:val="21"/>
    <w:qFormat/>
    <w:uiPriority w:val="0"/>
    <w:rPr>
      <w:rFonts w:hint="eastAsia" w:ascii="宋体"/>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A2121"/>
    <w:rsid w:val="000360EF"/>
    <w:rsid w:val="002A2121"/>
    <w:rsid w:val="00343AA9"/>
    <w:rsid w:val="004809E8"/>
    <w:rsid w:val="00560D37"/>
    <w:rsid w:val="0076142C"/>
    <w:rsid w:val="007A1698"/>
    <w:rsid w:val="00A218CF"/>
    <w:rsid w:val="00BD0F8C"/>
    <w:rsid w:val="00BD6D87"/>
    <w:rsid w:val="00C33937"/>
    <w:rsid w:val="00D4052C"/>
    <w:rsid w:val="00D8729B"/>
    <w:rsid w:val="00D93D20"/>
    <w:rsid w:val="00DB4A3C"/>
    <w:rsid w:val="00E2769E"/>
    <w:rsid w:val="00FC2DA0"/>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WB</Company>
  <Pages>17</Pages>
  <Words>1607</Words>
  <Characters>9161</Characters>
  <Lines>76</Lines>
  <Paragraphs>21</Paragraphs>
  <TotalTime>63</TotalTime>
  <ScaleCrop>false</ScaleCrop>
  <LinksUpToDate>false</LinksUpToDate>
  <CharactersWithSpaces>10747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姚大余</cp:lastModifiedBy>
  <cp:lastPrinted>2022-10-27T07:12:18Z</cp:lastPrinted>
  <dcterms:modified xsi:type="dcterms:W3CDTF">2022-10-27T07:18:04Z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FA775A37DB7C410EAFD1325B2F6A32DB</vt:lpwstr>
  </property>
  <property fmtid="{D5CDD505-2E9C-101B-9397-08002B2CF9AE}" pid="4" name="commondata">
    <vt:lpwstr>eyJoZGlkIjoiMGIxNmZlMmM3ZmM3ODg1NjFmYjBlMjVmZDA2ZWM3MzgifQ==</vt:lpwstr>
  </property>
</Properties>
</file>