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
          <w:sz w:val="36"/>
          <w:szCs w:val="30"/>
        </w:rPr>
      </w:pPr>
      <w:r>
        <w:rPr>
          <w:rFonts w:hint="eastAsia" w:ascii="宋体" w:hAnsi="宋体"/>
          <w:b/>
          <w:sz w:val="36"/>
          <w:szCs w:val="30"/>
        </w:rPr>
        <w:t>拟拍卖房地产询价报告书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4"/>
        </w:rPr>
      </w:pPr>
      <w:r>
        <w:rPr>
          <w:rFonts w:hint="eastAsia" w:ascii="宋体" w:hAnsi="宋体"/>
          <w:sz w:val="24"/>
        </w:rPr>
        <w:t>鸿烨咨评字（20</w:t>
      </w:r>
      <w:r>
        <w:rPr>
          <w:rFonts w:hint="eastAsia" w:ascii="宋体" w:hAnsi="宋体"/>
          <w:sz w:val="24"/>
          <w:lang w:val="en-US" w:eastAsia="zh-CN"/>
        </w:rPr>
        <w:t>22</w:t>
      </w:r>
      <w:r>
        <w:rPr>
          <w:rFonts w:hint="eastAsia" w:ascii="宋体" w:hAnsi="宋体"/>
          <w:sz w:val="24"/>
        </w:rPr>
        <w:t>）</w:t>
      </w:r>
      <w:r>
        <w:rPr>
          <w:rFonts w:hint="eastAsia" w:ascii="宋体" w:hAnsi="宋体"/>
          <w:sz w:val="24"/>
          <w:highlight w:val="none"/>
        </w:rPr>
        <w:t>第</w:t>
      </w:r>
      <w:r>
        <w:rPr>
          <w:rFonts w:hint="eastAsia" w:ascii="宋体" w:hAnsi="宋体"/>
          <w:sz w:val="24"/>
          <w:highlight w:val="none"/>
          <w:lang w:val="en-US" w:eastAsia="zh-CN"/>
        </w:rPr>
        <w:t>022</w:t>
      </w:r>
      <w:r>
        <w:rPr>
          <w:rFonts w:hint="eastAsia" w:ascii="宋体" w:hAnsi="宋体"/>
          <w:sz w:val="24"/>
        </w:rPr>
        <w:t>号</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hint="eastAsia" w:ascii="宋体" w:hAnsi="宋体"/>
          <w:sz w:val="28"/>
          <w:szCs w:val="28"/>
        </w:rPr>
      </w:pPr>
      <w:r>
        <w:rPr>
          <w:rFonts w:hint="eastAsia" w:ascii="宋体" w:hAnsi="宋体"/>
          <w:b/>
          <w:sz w:val="28"/>
          <w:szCs w:val="28"/>
        </w:rPr>
        <w:t>一、估价委托人：</w:t>
      </w:r>
      <w:r>
        <w:rPr>
          <w:rFonts w:hint="eastAsia" w:ascii="宋体" w:hAnsi="宋体"/>
          <w:sz w:val="28"/>
          <w:szCs w:val="28"/>
        </w:rPr>
        <w:t>山东海洋产权交易中心有限公司</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hint="eastAsia" w:ascii="宋体" w:hAnsi="宋体"/>
          <w:sz w:val="28"/>
          <w:szCs w:val="28"/>
        </w:rPr>
      </w:pPr>
      <w:r>
        <w:rPr>
          <w:rFonts w:hint="eastAsia" w:ascii="宋体" w:hAnsi="宋体"/>
          <w:b/>
          <w:sz w:val="28"/>
          <w:szCs w:val="28"/>
        </w:rPr>
        <w:t>二、估价目的：</w:t>
      </w:r>
      <w:r>
        <w:rPr>
          <w:rFonts w:hint="eastAsia" w:ascii="宋体" w:hAnsi="宋体"/>
          <w:sz w:val="28"/>
          <w:szCs w:val="28"/>
        </w:rPr>
        <w:t>为网络司法拍卖提供价值参考</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hint="eastAsia" w:ascii="宋体" w:hAnsi="宋体" w:eastAsia="宋体"/>
          <w:sz w:val="28"/>
          <w:szCs w:val="28"/>
          <w:lang w:eastAsia="zh-CN"/>
        </w:rPr>
      </w:pPr>
      <w:r>
        <w:rPr>
          <w:rFonts w:hint="eastAsia" w:ascii="宋体" w:hAnsi="宋体"/>
          <w:b/>
          <w:sz w:val="28"/>
          <w:szCs w:val="28"/>
        </w:rPr>
        <w:t>三、价值时点：</w:t>
      </w:r>
      <w:r>
        <w:rPr>
          <w:rFonts w:hint="eastAsia" w:ascii="宋体" w:hAnsi="宋体"/>
          <w:sz w:val="28"/>
          <w:szCs w:val="28"/>
          <w:lang w:eastAsia="zh-CN"/>
        </w:rPr>
        <w:t>2022年8月11日</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hint="eastAsia" w:ascii="宋体" w:hAnsi="宋体"/>
          <w:b/>
          <w:sz w:val="28"/>
          <w:szCs w:val="28"/>
        </w:rPr>
      </w:pPr>
      <w:r>
        <w:rPr>
          <w:rFonts w:hint="eastAsia" w:ascii="宋体" w:hAnsi="宋体"/>
          <w:b/>
          <w:sz w:val="28"/>
          <w:szCs w:val="28"/>
        </w:rPr>
        <w:t>四、估价依据：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rPr>
      </w:pPr>
      <w:r>
        <w:rPr>
          <w:rFonts w:hint="eastAsia" w:ascii="宋体" w:hAnsi="宋体"/>
          <w:sz w:val="28"/>
          <w:szCs w:val="28"/>
        </w:rPr>
        <w:t>1、《中华人民共和国城市房地产管理法》、《中华人民共和国土地管理法》、其他与评估相关法律、法规和规章制度等；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rPr>
      </w:pPr>
      <w:r>
        <w:rPr>
          <w:rFonts w:hint="eastAsia" w:ascii="宋体" w:hAnsi="宋体"/>
          <w:sz w:val="28"/>
          <w:szCs w:val="28"/>
        </w:rPr>
        <w:t>2、《房地产估价规范》(GB/T50291-2015)；</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w:t>
      </w:r>
      <w:r>
        <w:rPr>
          <w:rFonts w:hint="eastAsia" w:ascii="宋体" w:hAnsi="宋体"/>
          <w:sz w:val="28"/>
          <w:szCs w:val="28"/>
          <w:lang w:val="en-US" w:eastAsia="zh-CN"/>
        </w:rPr>
        <w:t>城镇土地估价规程</w:t>
      </w:r>
      <w:r>
        <w:rPr>
          <w:rFonts w:hint="eastAsia" w:ascii="宋体" w:hAnsi="宋体"/>
          <w:sz w:val="28"/>
          <w:szCs w:val="28"/>
          <w:lang w:eastAsia="zh-CN"/>
        </w:rPr>
        <w:t>》（</w:t>
      </w:r>
      <w:r>
        <w:rPr>
          <w:rFonts w:hint="eastAsia" w:ascii="宋体" w:hAnsi="宋体"/>
          <w:sz w:val="28"/>
          <w:szCs w:val="28"/>
          <w:lang w:val="en-US" w:eastAsia="zh-CN"/>
        </w:rPr>
        <w:t>GB/T 18508-2014</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lang w:eastAsia="zh-CN"/>
        </w:rPr>
      </w:pPr>
      <w:r>
        <w:rPr>
          <w:rFonts w:hint="eastAsia" w:ascii="宋体" w:hAnsi="宋体"/>
          <w:sz w:val="28"/>
          <w:szCs w:val="28"/>
          <w:lang w:val="en-US" w:eastAsia="zh-CN"/>
        </w:rPr>
        <w:t>4、</w:t>
      </w:r>
      <w:r>
        <w:rPr>
          <w:rFonts w:hint="eastAsia" w:ascii="宋体" w:hAnsi="宋体"/>
          <w:sz w:val="28"/>
          <w:szCs w:val="28"/>
          <w:lang w:eastAsia="zh-CN"/>
        </w:rPr>
        <w:t>《</w:t>
      </w:r>
      <w:r>
        <w:rPr>
          <w:rFonts w:hint="eastAsia" w:ascii="宋体" w:hAnsi="宋体"/>
          <w:sz w:val="28"/>
          <w:szCs w:val="28"/>
          <w:lang w:val="en-US" w:eastAsia="zh-CN"/>
        </w:rPr>
        <w:t>房地产估价基本术语标准</w:t>
      </w:r>
      <w:r>
        <w:rPr>
          <w:rFonts w:hint="eastAsia" w:ascii="宋体" w:hAnsi="宋体"/>
          <w:sz w:val="28"/>
          <w:szCs w:val="28"/>
          <w:lang w:eastAsia="zh-CN"/>
        </w:rPr>
        <w:t>》（</w:t>
      </w:r>
      <w:r>
        <w:rPr>
          <w:rFonts w:hint="eastAsia" w:ascii="宋体" w:hAnsi="宋体"/>
          <w:sz w:val="28"/>
          <w:szCs w:val="28"/>
          <w:lang w:val="en-US" w:eastAsia="zh-CN"/>
        </w:rPr>
        <w:t>GB/T 50899-2013</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w:t>
      </w:r>
      <w:r>
        <w:rPr>
          <w:rFonts w:hint="eastAsia" w:ascii="宋体" w:hAnsi="宋体"/>
          <w:sz w:val="28"/>
          <w:szCs w:val="28"/>
          <w:lang w:eastAsia="zh-CN"/>
        </w:rPr>
        <w:t>《烟台市不动产登记信息查询证明》</w:t>
      </w:r>
      <w:r>
        <w:rPr>
          <w:rFonts w:hint="eastAsia" w:ascii="宋体" w:hAnsi="宋体"/>
          <w:sz w:val="28"/>
          <w:szCs w:val="28"/>
        </w:rPr>
        <w:t>复印件；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、委托人提供的其他有关资料；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7</w:t>
      </w:r>
      <w:r>
        <w:rPr>
          <w:rFonts w:hint="eastAsia" w:ascii="宋体" w:hAnsi="宋体"/>
          <w:sz w:val="28"/>
          <w:szCs w:val="28"/>
        </w:rPr>
        <w:t>、估价人员现场</w:t>
      </w:r>
      <w:r>
        <w:rPr>
          <w:rFonts w:hint="eastAsia" w:ascii="宋体" w:hAnsi="宋体"/>
          <w:sz w:val="28"/>
          <w:szCs w:val="28"/>
          <w:lang w:val="en-US" w:eastAsia="zh-CN"/>
        </w:rPr>
        <w:t>查勘</w:t>
      </w:r>
      <w:r>
        <w:rPr>
          <w:rFonts w:hint="eastAsia" w:ascii="宋体" w:hAnsi="宋体"/>
          <w:sz w:val="28"/>
          <w:szCs w:val="28"/>
        </w:rPr>
        <w:t>和市场调查所获得的有关资料。</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hint="eastAsia" w:ascii="宋体" w:hAnsi="宋体"/>
          <w:b/>
          <w:sz w:val="28"/>
          <w:szCs w:val="28"/>
        </w:rPr>
      </w:pPr>
      <w:r>
        <w:rPr>
          <w:rFonts w:hint="eastAsia" w:ascii="宋体" w:hAnsi="宋体"/>
          <w:b/>
          <w:sz w:val="28"/>
          <w:szCs w:val="28"/>
        </w:rPr>
        <w:t>五、估价对象：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估价对象范围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sz w:val="26"/>
          <w:szCs w:val="26"/>
          <w:lang w:val="en-US" w:eastAsia="zh-CN"/>
        </w:rPr>
      </w:pPr>
      <w:r>
        <w:rPr>
          <w:rFonts w:hint="eastAsia" w:ascii="宋体" w:hAnsi="宋体"/>
          <w:sz w:val="28"/>
          <w:szCs w:val="28"/>
          <w:highlight w:val="none"/>
        </w:rPr>
        <w:t>估价对象为</w:t>
      </w:r>
      <w:bookmarkStart w:id="1" w:name="_GoBack"/>
      <w:bookmarkEnd w:id="1"/>
      <w:r>
        <w:rPr>
          <w:rFonts w:hint="eastAsia" w:ascii="宋体" w:hAnsi="宋体"/>
          <w:sz w:val="28"/>
          <w:szCs w:val="28"/>
          <w:highlight w:val="none"/>
          <w:lang w:eastAsia="zh-CN"/>
        </w:rPr>
        <w:t>宋东升所</w:t>
      </w:r>
      <w:r>
        <w:rPr>
          <w:rFonts w:hint="eastAsia" w:ascii="宋体" w:hAnsi="宋体"/>
          <w:sz w:val="28"/>
          <w:szCs w:val="28"/>
          <w:highlight w:val="none"/>
        </w:rPr>
        <w:t>有的</w:t>
      </w:r>
      <w:r>
        <w:rPr>
          <w:rFonts w:hint="eastAsia" w:ascii="宋体" w:hAnsi="宋体"/>
          <w:sz w:val="28"/>
          <w:szCs w:val="28"/>
          <w:highlight w:val="none"/>
          <w:lang w:val="en-US" w:eastAsia="zh-CN"/>
        </w:rPr>
        <w:t>位于牟平区鱼鸟河西路369号32号楼2602号的房地产（带阁楼），</w:t>
      </w:r>
      <w:r>
        <w:rPr>
          <w:rFonts w:hint="eastAsia" w:ascii="宋体" w:hAnsi="宋体"/>
          <w:sz w:val="28"/>
          <w:szCs w:val="28"/>
          <w:lang w:val="en-US" w:eastAsia="zh-CN"/>
        </w:rPr>
        <w:t>包括</w:t>
      </w:r>
      <w:r>
        <w:rPr>
          <w:rFonts w:hint="eastAsia" w:ascii="宋体" w:hAnsi="宋体"/>
          <w:sz w:val="28"/>
          <w:szCs w:val="28"/>
        </w:rPr>
        <w:t>房屋所有权</w:t>
      </w:r>
      <w:r>
        <w:rPr>
          <w:rFonts w:hint="eastAsia" w:ascii="宋体" w:hAnsi="宋体"/>
          <w:sz w:val="28"/>
          <w:szCs w:val="28"/>
          <w:lang w:eastAsia="zh-CN"/>
        </w:rPr>
        <w:t>、</w:t>
      </w:r>
      <w:r>
        <w:rPr>
          <w:rFonts w:hint="eastAsia" w:ascii="宋体" w:hAnsi="宋体"/>
          <w:sz w:val="28"/>
          <w:szCs w:val="28"/>
          <w:lang w:val="en-US" w:eastAsia="zh-CN"/>
        </w:rPr>
        <w:t>相应</w:t>
      </w:r>
      <w:r>
        <w:rPr>
          <w:rFonts w:hint="eastAsia" w:ascii="宋体" w:hAnsi="宋体"/>
          <w:sz w:val="28"/>
          <w:szCs w:val="28"/>
        </w:rPr>
        <w:t>分摊的土地使用权</w:t>
      </w:r>
      <w:r>
        <w:rPr>
          <w:rFonts w:hint="eastAsia" w:ascii="宋体" w:hAnsi="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560" w:firstLineChars="200"/>
        <w:jc w:val="left"/>
        <w:textAlignment w:val="auto"/>
        <w:rPr>
          <w:rFonts w:hint="eastAsia" w:ascii="宋体" w:hAnsi="宋体"/>
          <w:sz w:val="26"/>
          <w:szCs w:val="26"/>
        </w:rPr>
      </w:pPr>
      <w:r>
        <w:rPr>
          <w:rFonts w:hint="eastAsia" w:ascii="宋体" w:hAnsi="宋体"/>
          <w:sz w:val="28"/>
          <w:szCs w:val="28"/>
          <w:lang w:val="en-US" w:eastAsia="zh-CN"/>
        </w:rPr>
        <w:t>2、</w:t>
      </w:r>
      <w:r>
        <w:rPr>
          <w:rFonts w:hint="eastAsia" w:ascii="宋体" w:hAnsi="宋体"/>
          <w:sz w:val="28"/>
          <w:szCs w:val="28"/>
        </w:rPr>
        <w:t>估价对象权益状况</w:t>
      </w:r>
    </w:p>
    <w:p>
      <w:pPr>
        <w:keepNext w:val="0"/>
        <w:keepLines w:val="0"/>
        <w:pageBreakBefore w:val="0"/>
        <w:widowControl w:val="0"/>
        <w:kinsoku/>
        <w:wordWrap/>
        <w:overflowPunct/>
        <w:topLinePunct w:val="0"/>
        <w:autoSpaceDE/>
        <w:autoSpaceDN/>
        <w:bidi w:val="0"/>
        <w:adjustRightInd/>
        <w:snapToGrid/>
        <w:spacing w:after="156" w:afterLines="50" w:line="440" w:lineRule="atLeast"/>
        <w:jc w:val="center"/>
        <w:textAlignment w:val="auto"/>
        <w:rPr>
          <w:rFonts w:hint="eastAsia" w:ascii="宋体" w:hAnsi="宋体"/>
          <w:b/>
          <w:color w:val="000000"/>
          <w:sz w:val="24"/>
        </w:rPr>
      </w:pPr>
      <w:r>
        <w:rPr>
          <w:rFonts w:hint="eastAsia" w:ascii="宋体" w:hAnsi="宋体"/>
          <w:b/>
          <w:color w:val="000000"/>
          <w:sz w:val="24"/>
          <w:lang w:val="en-US" w:eastAsia="zh-CN"/>
        </w:rPr>
        <w:t>牟平区鱼鸟河西路369号32号楼2602号</w:t>
      </w:r>
      <w:r>
        <w:rPr>
          <w:rFonts w:hint="eastAsia" w:ascii="宋体" w:hAnsi="宋体"/>
          <w:b/>
          <w:color w:val="000000"/>
          <w:sz w:val="24"/>
        </w:rPr>
        <w:t>房地产基本状况一览表</w:t>
      </w:r>
    </w:p>
    <w:tbl>
      <w:tblPr>
        <w:tblStyle w:val="5"/>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46"/>
        <w:gridCol w:w="1920"/>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172" w:type="dxa"/>
            <w:noWrap w:val="0"/>
            <w:vAlign w:val="center"/>
          </w:tcPr>
          <w:p>
            <w:pPr>
              <w:jc w:val="center"/>
              <w:rPr>
                <w:rFonts w:hint="eastAsia" w:ascii="宋体" w:hAnsi="宋体" w:eastAsia="宋体"/>
                <w:b/>
                <w:color w:val="000000"/>
                <w:szCs w:val="21"/>
                <w:lang w:eastAsia="zh-CN"/>
              </w:rPr>
            </w:pPr>
            <w:r>
              <w:rPr>
                <w:rFonts w:hint="eastAsia" w:ascii="宋体" w:hAnsi="宋体"/>
                <w:b/>
                <w:color w:val="000000"/>
                <w:szCs w:val="21"/>
                <w:lang w:eastAsia="zh-CN"/>
              </w:rPr>
              <w:t>权利人</w:t>
            </w:r>
          </w:p>
        </w:tc>
        <w:tc>
          <w:tcPr>
            <w:tcW w:w="2146" w:type="dxa"/>
            <w:noWrap w:val="0"/>
            <w:vAlign w:val="center"/>
          </w:tcPr>
          <w:p>
            <w:pPr>
              <w:jc w:val="center"/>
              <w:rPr>
                <w:rFonts w:hint="default" w:ascii="宋体" w:hAnsi="宋体" w:eastAsia="宋体"/>
                <w:color w:val="000000"/>
                <w:szCs w:val="21"/>
                <w:lang w:val="en-US" w:eastAsia="zh-CN"/>
              </w:rPr>
            </w:pPr>
            <w:r>
              <w:rPr>
                <w:rFonts w:hint="eastAsia" w:ascii="宋体" w:hAnsi="宋体"/>
                <w:color w:val="000000"/>
                <w:szCs w:val="21"/>
                <w:lang w:val="en-US" w:eastAsia="zh-CN"/>
              </w:rPr>
              <w:t>宋东升</w:t>
            </w:r>
          </w:p>
        </w:tc>
        <w:tc>
          <w:tcPr>
            <w:tcW w:w="1920" w:type="dxa"/>
            <w:noWrap w:val="0"/>
            <w:vAlign w:val="center"/>
          </w:tcPr>
          <w:p>
            <w:pPr>
              <w:jc w:val="center"/>
              <w:rPr>
                <w:rFonts w:hint="eastAsia" w:ascii="宋体" w:hAnsi="宋体" w:eastAsia="宋体"/>
                <w:b/>
                <w:color w:val="000000"/>
                <w:szCs w:val="21"/>
                <w:lang w:eastAsia="zh-CN"/>
              </w:rPr>
            </w:pPr>
            <w:r>
              <w:rPr>
                <w:rFonts w:hint="eastAsia" w:ascii="宋体" w:hAnsi="宋体"/>
                <w:b/>
                <w:color w:val="000000"/>
                <w:szCs w:val="21"/>
                <w:lang w:eastAsia="zh-CN"/>
              </w:rPr>
              <w:t>房屋坐落</w:t>
            </w:r>
          </w:p>
        </w:tc>
        <w:tc>
          <w:tcPr>
            <w:tcW w:w="3101" w:type="dxa"/>
            <w:noWrap w:val="0"/>
            <w:vAlign w:val="center"/>
          </w:tcPr>
          <w:p>
            <w:pPr>
              <w:spacing w:line="360" w:lineRule="auto"/>
              <w:jc w:val="center"/>
              <w:rPr>
                <w:rFonts w:hint="default" w:eastAsia="宋体"/>
                <w:lang w:val="en-US" w:eastAsia="zh-CN"/>
              </w:rPr>
            </w:pPr>
            <w:r>
              <w:rPr>
                <w:rFonts w:hint="eastAsia" w:ascii="宋体" w:hAnsi="宋体"/>
                <w:b w:val="0"/>
                <w:bCs/>
                <w:color w:val="000000"/>
                <w:sz w:val="21"/>
                <w:szCs w:val="21"/>
                <w:lang w:val="en-US" w:eastAsia="zh-CN"/>
              </w:rPr>
              <w:t>牟平区鱼鸟河西路369号32号楼2602号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72" w:type="dxa"/>
            <w:noWrap w:val="0"/>
            <w:vAlign w:val="center"/>
          </w:tcPr>
          <w:p>
            <w:pPr>
              <w:jc w:val="center"/>
              <w:rPr>
                <w:rFonts w:hint="eastAsia" w:ascii="宋体" w:hAnsi="宋体" w:eastAsia="宋体"/>
                <w:b/>
                <w:color w:val="000000"/>
                <w:szCs w:val="21"/>
                <w:lang w:eastAsia="zh-CN"/>
              </w:rPr>
            </w:pPr>
            <w:r>
              <w:rPr>
                <w:rFonts w:hint="eastAsia" w:ascii="宋体" w:hAnsi="宋体"/>
                <w:b/>
                <w:color w:val="000000"/>
                <w:szCs w:val="21"/>
                <w:lang w:eastAsia="zh-CN"/>
              </w:rPr>
              <w:t>建筑面积</w:t>
            </w:r>
          </w:p>
        </w:tc>
        <w:tc>
          <w:tcPr>
            <w:tcW w:w="2146" w:type="dxa"/>
            <w:noWrap w:val="0"/>
            <w:vAlign w:val="center"/>
          </w:tcPr>
          <w:p>
            <w:pPr>
              <w:jc w:val="center"/>
              <w:rPr>
                <w:rFonts w:hint="default" w:ascii="宋体" w:hAnsi="宋体" w:eastAsia="宋体"/>
                <w:color w:val="000000"/>
                <w:szCs w:val="21"/>
                <w:lang w:val="en-US" w:eastAsia="zh-CN"/>
              </w:rPr>
            </w:pPr>
            <w:r>
              <w:rPr>
                <w:rFonts w:hint="eastAsia" w:ascii="宋体" w:hAnsi="宋体"/>
                <w:color w:val="000000"/>
                <w:szCs w:val="21"/>
                <w:lang w:val="en-US" w:eastAsia="zh-CN"/>
              </w:rPr>
              <w:t>87.97㎡</w:t>
            </w:r>
          </w:p>
        </w:tc>
        <w:tc>
          <w:tcPr>
            <w:tcW w:w="1920" w:type="dxa"/>
            <w:noWrap w:val="0"/>
            <w:vAlign w:val="center"/>
          </w:tcPr>
          <w:p>
            <w:pPr>
              <w:jc w:val="center"/>
              <w:rPr>
                <w:rFonts w:hint="eastAsia" w:ascii="宋体" w:hAnsi="宋体" w:eastAsia="宋体"/>
                <w:b/>
                <w:color w:val="000000"/>
                <w:szCs w:val="21"/>
                <w:lang w:eastAsia="zh-CN"/>
              </w:rPr>
            </w:pPr>
            <w:r>
              <w:rPr>
                <w:rFonts w:hint="eastAsia" w:ascii="宋体" w:hAnsi="宋体"/>
                <w:b/>
                <w:color w:val="000000"/>
                <w:szCs w:val="21"/>
                <w:lang w:eastAsia="zh-CN"/>
              </w:rPr>
              <w:t>房屋用途</w:t>
            </w:r>
          </w:p>
        </w:tc>
        <w:tc>
          <w:tcPr>
            <w:tcW w:w="3101" w:type="dxa"/>
            <w:noWrap w:val="0"/>
            <w:vAlign w:val="center"/>
          </w:tcPr>
          <w:p>
            <w:pPr>
              <w:jc w:val="center"/>
              <w:rPr>
                <w:rFonts w:hint="eastAsia" w:ascii="宋体" w:hAnsi="宋体" w:eastAsia="宋体"/>
                <w:color w:val="000000"/>
                <w:szCs w:val="21"/>
                <w:lang w:eastAsia="zh-CN"/>
              </w:rPr>
            </w:pPr>
            <w:r>
              <w:rPr>
                <w:rFonts w:hint="eastAsia" w:ascii="宋体" w:hAnsi="宋体"/>
                <w:color w:val="000000"/>
                <w:szCs w:val="21"/>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72" w:type="dxa"/>
            <w:noWrap w:val="0"/>
            <w:vAlign w:val="center"/>
          </w:tcPr>
          <w:p>
            <w:pPr>
              <w:jc w:val="center"/>
              <w:rPr>
                <w:rFonts w:hint="default" w:ascii="宋体" w:hAnsi="宋体" w:eastAsia="宋体"/>
                <w:b/>
                <w:color w:val="000000"/>
                <w:szCs w:val="21"/>
                <w:lang w:val="en-US" w:eastAsia="zh-CN"/>
              </w:rPr>
            </w:pPr>
            <w:r>
              <w:rPr>
                <w:rFonts w:hint="eastAsia" w:ascii="宋体" w:hAnsi="宋体"/>
                <w:b/>
                <w:color w:val="000000"/>
                <w:szCs w:val="21"/>
                <w:lang w:val="en-US" w:eastAsia="zh-CN"/>
              </w:rPr>
              <w:t>房屋总层数</w:t>
            </w:r>
          </w:p>
        </w:tc>
        <w:tc>
          <w:tcPr>
            <w:tcW w:w="2146" w:type="dxa"/>
            <w:noWrap w:val="0"/>
            <w:vAlign w:val="center"/>
          </w:tcPr>
          <w:p>
            <w:pPr>
              <w:jc w:val="center"/>
              <w:rPr>
                <w:rFonts w:hint="default" w:ascii="宋体" w:hAnsi="宋体" w:eastAsia="宋体"/>
                <w:color w:val="000000"/>
                <w:szCs w:val="21"/>
                <w:lang w:val="en-US" w:eastAsia="zh-CN"/>
              </w:rPr>
            </w:pPr>
            <w:r>
              <w:rPr>
                <w:rFonts w:hint="eastAsia" w:ascii="宋体" w:hAnsi="宋体"/>
                <w:color w:val="000000"/>
                <w:szCs w:val="21"/>
                <w:lang w:val="en-US" w:eastAsia="zh-CN"/>
              </w:rPr>
              <w:t>6</w:t>
            </w:r>
          </w:p>
        </w:tc>
        <w:tc>
          <w:tcPr>
            <w:tcW w:w="1920" w:type="dxa"/>
            <w:noWrap w:val="0"/>
            <w:vAlign w:val="center"/>
          </w:tcPr>
          <w:p>
            <w:pPr>
              <w:jc w:val="center"/>
              <w:rPr>
                <w:rFonts w:hint="default" w:ascii="宋体" w:hAnsi="宋体" w:eastAsia="宋体"/>
                <w:b/>
                <w:color w:val="000000"/>
                <w:szCs w:val="21"/>
                <w:lang w:val="en-US" w:eastAsia="zh-CN"/>
              </w:rPr>
            </w:pPr>
            <w:r>
              <w:rPr>
                <w:rFonts w:hint="eastAsia" w:ascii="宋体" w:hAnsi="宋体"/>
                <w:b/>
                <w:color w:val="000000"/>
                <w:szCs w:val="21"/>
                <w:lang w:val="en-US" w:eastAsia="zh-CN"/>
              </w:rPr>
              <w:t>所在层数</w:t>
            </w:r>
          </w:p>
        </w:tc>
        <w:tc>
          <w:tcPr>
            <w:tcW w:w="3101" w:type="dxa"/>
            <w:noWrap w:val="0"/>
            <w:vAlign w:val="center"/>
          </w:tcPr>
          <w:p>
            <w:pPr>
              <w:jc w:val="center"/>
              <w:rPr>
                <w:rFonts w:hint="default" w:ascii="宋体" w:hAnsi="宋体" w:eastAsia="宋体"/>
                <w:color w:val="000000"/>
                <w:szCs w:val="21"/>
                <w:lang w:val="en-US" w:eastAsia="zh-CN"/>
              </w:rPr>
            </w:pPr>
            <w:r>
              <w:rPr>
                <w:rFonts w:hint="eastAsia" w:ascii="宋体" w:hAnsi="宋体"/>
                <w:color w:val="000000"/>
                <w:szCs w:val="21"/>
                <w:lang w:val="en-US" w:eastAsia="zh-CN"/>
              </w:rPr>
              <w:t>6</w:t>
            </w:r>
          </w:p>
        </w:tc>
      </w:tr>
    </w:tbl>
    <w:p>
      <w:pPr>
        <w:widowControl w:val="0"/>
        <w:numPr>
          <w:ilvl w:val="0"/>
          <w:numId w:val="0"/>
        </w:numPr>
        <w:spacing w:line="360" w:lineRule="auto"/>
        <w:ind w:firstLine="560" w:firstLineChars="200"/>
        <w:jc w:val="left"/>
        <w:rPr>
          <w:rFonts w:hint="default" w:ascii="宋体" w:hAnsi="宋体"/>
          <w:sz w:val="28"/>
          <w:szCs w:val="28"/>
          <w:lang w:val="en-US" w:eastAsia="zh-CN"/>
        </w:rPr>
      </w:pPr>
      <w:r>
        <w:rPr>
          <w:rFonts w:hint="eastAsia" w:ascii="宋体" w:hAnsi="宋体"/>
          <w:sz w:val="28"/>
          <w:szCs w:val="28"/>
          <w:lang w:val="en-US" w:eastAsia="zh-CN"/>
        </w:rPr>
        <w:t>3、实物状况</w:t>
      </w:r>
    </w:p>
    <w:tbl>
      <w:tblPr>
        <w:tblStyle w:val="6"/>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3"/>
        <w:gridCol w:w="7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blHeader/>
          <w:jc w:val="center"/>
        </w:trPr>
        <w:tc>
          <w:tcPr>
            <w:tcW w:w="2203" w:type="dxa"/>
            <w:noWrap w:val="0"/>
            <w:vAlign w:val="center"/>
          </w:tcPr>
          <w:p>
            <w:pPr>
              <w:numPr>
                <w:ilvl w:val="0"/>
                <w:numId w:val="0"/>
              </w:numPr>
              <w:spacing w:line="240" w:lineRule="auto"/>
              <w:jc w:val="center"/>
              <w:rPr>
                <w:rFonts w:hint="default" w:ascii="宋体" w:hAnsi="宋体"/>
                <w:sz w:val="26"/>
                <w:szCs w:val="26"/>
                <w:vertAlign w:val="baseline"/>
                <w:lang w:val="en-US" w:eastAsia="zh-CN"/>
              </w:rPr>
            </w:pPr>
            <w:r>
              <w:rPr>
                <w:rFonts w:hint="eastAsia" w:ascii="宋体" w:hAnsi="宋体"/>
                <w:sz w:val="26"/>
                <w:szCs w:val="26"/>
                <w:vertAlign w:val="baseline"/>
                <w:lang w:val="en-US" w:eastAsia="zh-CN"/>
              </w:rPr>
              <w:t>房屋坐落</w:t>
            </w:r>
          </w:p>
        </w:tc>
        <w:tc>
          <w:tcPr>
            <w:tcW w:w="7107" w:type="dxa"/>
            <w:noWrap w:val="0"/>
            <w:vAlign w:val="center"/>
          </w:tcPr>
          <w:p>
            <w:pPr>
              <w:numPr>
                <w:ilvl w:val="0"/>
                <w:numId w:val="0"/>
              </w:numPr>
              <w:spacing w:line="240" w:lineRule="auto"/>
              <w:jc w:val="center"/>
              <w:rPr>
                <w:rFonts w:hint="default" w:ascii="宋体" w:hAnsi="宋体"/>
                <w:sz w:val="26"/>
                <w:szCs w:val="26"/>
                <w:vertAlign w:val="baseline"/>
                <w:lang w:val="en-US" w:eastAsia="zh-CN"/>
              </w:rPr>
            </w:pPr>
            <w:r>
              <w:rPr>
                <w:rFonts w:hint="eastAsia" w:ascii="宋体" w:hAnsi="宋体"/>
                <w:sz w:val="26"/>
                <w:szCs w:val="26"/>
                <w:vertAlign w:val="baseline"/>
                <w:lang w:val="en-US" w:eastAsia="zh-CN"/>
              </w:rPr>
              <w:t>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2203" w:type="dxa"/>
            <w:noWrap w:val="0"/>
            <w:vAlign w:val="center"/>
          </w:tcPr>
          <w:p>
            <w:pPr>
              <w:numPr>
                <w:ilvl w:val="0"/>
                <w:numId w:val="0"/>
              </w:numPr>
              <w:spacing w:line="240" w:lineRule="auto"/>
              <w:jc w:val="center"/>
              <w:rPr>
                <w:rFonts w:hint="default" w:ascii="宋体" w:hAnsi="宋体"/>
                <w:sz w:val="16"/>
                <w:szCs w:val="16"/>
                <w:vertAlign w:val="baseline"/>
                <w:lang w:val="en-US" w:eastAsia="zh-CN"/>
              </w:rPr>
            </w:pPr>
            <w:r>
              <w:rPr>
                <w:rFonts w:hint="eastAsia"/>
                <w:lang w:val="en-US" w:eastAsia="zh-CN"/>
              </w:rPr>
              <w:t>牟平区鱼鸟河西路369号32号楼2602号</w:t>
            </w:r>
          </w:p>
        </w:tc>
        <w:tc>
          <w:tcPr>
            <w:tcW w:w="7107" w:type="dxa"/>
            <w:noWrap w:val="0"/>
            <w:vAlign w:val="center"/>
          </w:tcPr>
          <w:p>
            <w:pPr>
              <w:numPr>
                <w:ilvl w:val="0"/>
                <w:numId w:val="0"/>
              </w:numPr>
              <w:spacing w:line="240" w:lineRule="auto"/>
              <w:jc w:val="center"/>
              <w:rPr>
                <w:rFonts w:hint="default" w:ascii="宋体" w:hAnsi="宋体" w:cs="宋体"/>
                <w:kern w:val="2"/>
                <w:sz w:val="21"/>
                <w:szCs w:val="24"/>
                <w:lang w:val="en-US" w:eastAsia="zh-CN" w:bidi="ar-SA"/>
              </w:rPr>
            </w:pPr>
            <w:r>
              <w:rPr>
                <w:rFonts w:hint="eastAsia" w:ascii="宋体" w:hAnsi="宋体" w:cs="宋体"/>
                <w:kern w:val="2"/>
                <w:sz w:val="21"/>
                <w:szCs w:val="24"/>
                <w:lang w:val="en-US" w:eastAsia="zh-CN" w:bidi="ar-SA"/>
              </w:rPr>
              <w:t>估价对象所在大楼外墙为涂料外墙，装塑钢窗，大楼安装单元防盗门，安装入室防盗门，室内客厅地铺瓷砖，部分墙刮大白，部分墙刷硅藻泥，卧室地铺木地板，墙刷硅藻泥，厨房及卫生间地铺地砖、墙贴面砖、吊顶；于价值时点水、电、燃气齐全、集体供暖，带阁楼，楼梯为木地板踏步，阁楼为水泥地面未装修。</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4、区位状况</w:t>
      </w:r>
      <w:bookmarkStart w:id="0" w:name="_Toc32717"/>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b/>
          <w:bCs/>
          <w:sz w:val="26"/>
          <w:szCs w:val="26"/>
          <w:lang w:val="en-US" w:eastAsia="zh-CN"/>
        </w:rPr>
      </w:pPr>
      <w:r>
        <w:rPr>
          <w:rFonts w:hint="eastAsia" w:ascii="宋体" w:hAnsi="宋体"/>
          <w:b w:val="0"/>
          <w:bCs w:val="0"/>
          <w:kern w:val="2"/>
          <w:sz w:val="28"/>
          <w:szCs w:val="30"/>
          <w:lang w:val="en-US" w:eastAsia="zh-CN" w:bidi="ar-SA"/>
        </w:rPr>
        <w:t>估价对象牟平区鱼鸟河西路369号32号楼2602号房地产</w:t>
      </w:r>
      <w:r>
        <w:rPr>
          <w:rFonts w:hint="eastAsia" w:ascii="宋体" w:hAnsi="宋体" w:eastAsia="宋体"/>
          <w:b w:val="0"/>
          <w:bCs w:val="0"/>
          <w:kern w:val="2"/>
          <w:sz w:val="28"/>
          <w:szCs w:val="30"/>
          <w:lang w:val="en-US" w:eastAsia="zh-CN" w:bidi="ar-SA"/>
        </w:rPr>
        <w:t>，</w:t>
      </w:r>
      <w:bookmarkEnd w:id="0"/>
      <w:r>
        <w:rPr>
          <w:rFonts w:hint="eastAsia" w:ascii="宋体" w:hAnsi="宋体"/>
          <w:b w:val="0"/>
          <w:bCs w:val="0"/>
          <w:kern w:val="2"/>
          <w:sz w:val="28"/>
          <w:szCs w:val="30"/>
          <w:lang w:val="en-US" w:eastAsia="zh-CN" w:bidi="ar-SA"/>
        </w:rPr>
        <w:t>位于牟平区云海香都小区内，该小区北距新城大街550米，西距官庄路440米，东靠鱼河西路，南临鱼河西路，周围市政基础设施齐全，附近有市场、商场、药店、饭店、河流、公园等生活配套设施与景观，有67路、68路、608路等多路公交车经过，出行方便，生活配套设施齐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2" w:firstLineChars="200"/>
        <w:jc w:val="left"/>
        <w:textAlignment w:val="auto"/>
        <w:rPr>
          <w:rFonts w:hint="eastAsia" w:ascii="宋体" w:hAnsi="宋体"/>
          <w:sz w:val="28"/>
          <w:szCs w:val="28"/>
          <w:lang w:val="en-US" w:eastAsia="zh-CN"/>
        </w:rPr>
      </w:pPr>
      <w:r>
        <w:rPr>
          <w:rFonts w:hint="eastAsia" w:ascii="宋体" w:hAnsi="宋体"/>
          <w:b/>
          <w:bCs/>
          <w:sz w:val="28"/>
          <w:szCs w:val="28"/>
          <w:lang w:val="en-US" w:eastAsia="zh-CN"/>
        </w:rPr>
        <w:t>六、价值类型：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b w:val="0"/>
          <w:bCs w:val="0"/>
          <w:kern w:val="2"/>
          <w:sz w:val="28"/>
          <w:szCs w:val="30"/>
          <w:lang w:val="en-US" w:eastAsia="zh-CN" w:bidi="ar-SA"/>
        </w:rPr>
      </w:pPr>
      <w:r>
        <w:rPr>
          <w:rFonts w:hint="eastAsia" w:ascii="宋体" w:hAnsi="宋体" w:eastAsia="宋体"/>
          <w:b w:val="0"/>
          <w:bCs w:val="0"/>
          <w:kern w:val="2"/>
          <w:sz w:val="28"/>
          <w:szCs w:val="30"/>
          <w:lang w:val="en-US" w:eastAsia="zh-CN" w:bidi="ar-SA"/>
        </w:rPr>
        <w:t>估价对象的估价结果，是在满足限制条件下于价值时点的市场价值。</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2" w:firstLineChars="200"/>
        <w:jc w:val="left"/>
        <w:textAlignment w:val="auto"/>
        <w:rPr>
          <w:rFonts w:hint="default" w:ascii="宋体" w:hAnsi="宋体"/>
          <w:b/>
          <w:bCs/>
          <w:sz w:val="26"/>
          <w:szCs w:val="26"/>
          <w:lang w:val="en-US" w:eastAsia="zh-CN"/>
        </w:rPr>
      </w:pPr>
      <w:r>
        <w:rPr>
          <w:rFonts w:hint="eastAsia" w:ascii="宋体" w:hAnsi="宋体"/>
          <w:b/>
          <w:bCs/>
          <w:sz w:val="28"/>
          <w:szCs w:val="28"/>
          <w:lang w:val="en-US" w:eastAsia="zh-CN"/>
        </w:rPr>
        <w:t>七、估价方法：</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b w:val="0"/>
          <w:bCs w:val="0"/>
          <w:kern w:val="2"/>
          <w:sz w:val="28"/>
          <w:szCs w:val="30"/>
          <w:lang w:val="en-US" w:eastAsia="zh-CN" w:bidi="ar-SA"/>
        </w:rPr>
      </w:pPr>
      <w:r>
        <w:rPr>
          <w:rFonts w:hint="eastAsia" w:ascii="宋体" w:hAnsi="宋体" w:eastAsia="宋体"/>
          <w:b w:val="0"/>
          <w:bCs w:val="0"/>
          <w:kern w:val="2"/>
          <w:sz w:val="28"/>
          <w:szCs w:val="30"/>
          <w:lang w:val="en-US" w:eastAsia="zh-CN" w:bidi="ar-SA"/>
        </w:rPr>
        <w:t>根据《房地产估价规范》房地产估价的方法主要有比较法、成本法、收益法、假设开发法以及这些估价方法的综合运用。有条件选用市场比较法进行估价的应以比较法为主要的估价方法。估价对象为个人住宅房屋，周围住宅交易市场活跃，容易获取相关信息，因而采用比较法进行估价。</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b/>
          <w:bCs/>
          <w:sz w:val="28"/>
          <w:szCs w:val="28"/>
          <w:lang w:val="en-US" w:eastAsia="zh-CN"/>
        </w:rPr>
      </w:pPr>
      <w:r>
        <w:rPr>
          <w:rFonts w:hint="eastAsia" w:ascii="宋体" w:hAnsi="宋体" w:eastAsia="宋体"/>
          <w:b w:val="0"/>
          <w:bCs w:val="0"/>
          <w:kern w:val="2"/>
          <w:sz w:val="28"/>
          <w:szCs w:val="30"/>
          <w:lang w:val="en-US" w:eastAsia="zh-CN" w:bidi="ar-SA"/>
        </w:rPr>
        <w:t>比较法是根据市场中的替代原理，将估价对象在与价值时点近期有过交易的类似房地产的已知价格作适当修正，以此估算估价对象的客观合理价格或价值的方法。</w:t>
      </w:r>
    </w:p>
    <w:p>
      <w:pPr>
        <w:widowControl w:val="0"/>
        <w:numPr>
          <w:ilvl w:val="0"/>
          <w:numId w:val="0"/>
        </w:numPr>
        <w:spacing w:line="360" w:lineRule="auto"/>
        <w:ind w:firstLine="562" w:firstLineChars="200"/>
        <w:jc w:val="left"/>
        <w:rPr>
          <w:rFonts w:hint="default" w:ascii="宋体" w:hAnsi="宋体"/>
          <w:b/>
          <w:bCs/>
          <w:sz w:val="28"/>
          <w:szCs w:val="28"/>
          <w:lang w:val="en-US" w:eastAsia="zh-CN"/>
        </w:rPr>
      </w:pPr>
      <w:r>
        <w:rPr>
          <w:rFonts w:hint="eastAsia" w:ascii="宋体" w:hAnsi="宋体"/>
          <w:b/>
          <w:bCs/>
          <w:sz w:val="28"/>
          <w:szCs w:val="28"/>
          <w:lang w:val="en-US" w:eastAsia="zh-CN"/>
        </w:rPr>
        <w:t>八、估价结果：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b w:val="0"/>
          <w:bCs w:val="0"/>
          <w:kern w:val="2"/>
          <w:sz w:val="28"/>
          <w:szCs w:val="30"/>
          <w:lang w:val="en-US" w:eastAsia="zh-CN" w:bidi="ar-SA"/>
        </w:rPr>
      </w:pPr>
      <w:r>
        <w:rPr>
          <w:rFonts w:hint="eastAsia" w:ascii="宋体" w:hAnsi="宋体"/>
          <w:b w:val="0"/>
          <w:bCs w:val="0"/>
          <w:kern w:val="2"/>
          <w:sz w:val="28"/>
          <w:szCs w:val="30"/>
          <w:lang w:val="en-US" w:eastAsia="zh-CN" w:bidi="ar-SA"/>
        </w:rPr>
        <w:t>在整个估价过程中，注册房地产估价师本着独立、客观、公正的原则，在对估价对象进行了实地查勘、广泛收集有关市场信息和估价对象信息的基础上，全面分析了影响估价对象市场价格的因素，运用科学的估价方法对估价对象进行了评估，并最终确定了估价对象在价值时点时的房地产总价值为人民币：478,205.00 元，大写人民币：肆拾柒万捌仟贰佰零伍元整（带阁楼）。具体价格详见下表：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20" w:firstLineChars="200"/>
        <w:jc w:val="center"/>
        <w:textAlignment w:val="auto"/>
        <w:rPr>
          <w:rFonts w:hint="default" w:ascii="宋体" w:hAnsi="宋体"/>
          <w:sz w:val="26"/>
          <w:szCs w:val="26"/>
          <w:lang w:val="en-US" w:eastAsia="zh-CN"/>
        </w:rPr>
      </w:pPr>
      <w:r>
        <w:rPr>
          <w:rFonts w:hint="eastAsia" w:ascii="宋体" w:hAnsi="宋体"/>
          <w:sz w:val="26"/>
          <w:szCs w:val="26"/>
          <w:lang w:val="en-US" w:eastAsia="zh-CN"/>
        </w:rPr>
        <w:t xml:space="preserve">         估价结果价值明细表 </w:t>
      </w:r>
      <w:r>
        <w:rPr>
          <w:rFonts w:hint="eastAsia" w:ascii="宋体" w:hAnsi="宋体"/>
          <w:sz w:val="22"/>
          <w:szCs w:val="22"/>
          <w:lang w:val="en-US" w:eastAsia="zh-CN"/>
        </w:rPr>
        <w:t>(估价结果精确到元)</w:t>
      </w:r>
    </w:p>
    <w:tbl>
      <w:tblPr>
        <w:tblStyle w:val="5"/>
        <w:tblW w:w="8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8"/>
        <w:gridCol w:w="2450"/>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3138" w:type="dxa"/>
            <w:noWrap w:val="0"/>
            <w:vAlign w:val="center"/>
          </w:tcPr>
          <w:p>
            <w:pPr>
              <w:widowControl/>
              <w:snapToGrid w:val="0"/>
              <w:spacing w:line="240" w:lineRule="auto"/>
              <w:jc w:val="center"/>
              <w:textAlignment w:val="bottom"/>
              <w:rPr>
                <w:rFonts w:hint="eastAsia" w:ascii="宋体" w:hAnsi="宋体"/>
                <w:b/>
                <w:color w:val="000000"/>
                <w:kern w:val="0"/>
                <w:sz w:val="22"/>
                <w:szCs w:val="22"/>
              </w:rPr>
            </w:pPr>
            <w:r>
              <w:rPr>
                <w:rFonts w:hint="eastAsia" w:ascii="宋体" w:hAnsi="宋体"/>
                <w:b/>
                <w:color w:val="000000"/>
                <w:kern w:val="0"/>
                <w:sz w:val="22"/>
                <w:szCs w:val="22"/>
              </w:rPr>
              <w:t>坐落</w:t>
            </w:r>
          </w:p>
        </w:tc>
        <w:tc>
          <w:tcPr>
            <w:tcW w:w="2450" w:type="dxa"/>
            <w:noWrap w:val="0"/>
            <w:vAlign w:val="center"/>
          </w:tcPr>
          <w:p>
            <w:pPr>
              <w:widowControl/>
              <w:snapToGrid w:val="0"/>
              <w:spacing w:line="240" w:lineRule="auto"/>
              <w:jc w:val="center"/>
              <w:textAlignment w:val="bottom"/>
              <w:rPr>
                <w:rFonts w:hint="eastAsia" w:ascii="宋体" w:hAnsi="宋体"/>
                <w:b/>
                <w:color w:val="000000"/>
                <w:kern w:val="0"/>
                <w:sz w:val="22"/>
                <w:szCs w:val="22"/>
              </w:rPr>
            </w:pPr>
            <w:r>
              <w:rPr>
                <w:rFonts w:hint="eastAsia" w:ascii="宋体" w:hAnsi="宋体"/>
                <w:b/>
                <w:color w:val="000000"/>
                <w:kern w:val="0"/>
                <w:sz w:val="22"/>
                <w:szCs w:val="22"/>
              </w:rPr>
              <w:t>建筑面积（㎡）</w:t>
            </w:r>
          </w:p>
        </w:tc>
        <w:tc>
          <w:tcPr>
            <w:tcW w:w="2500" w:type="dxa"/>
            <w:noWrap w:val="0"/>
            <w:vAlign w:val="center"/>
          </w:tcPr>
          <w:p>
            <w:pPr>
              <w:widowControl/>
              <w:snapToGrid w:val="0"/>
              <w:spacing w:line="240" w:lineRule="auto"/>
              <w:jc w:val="center"/>
              <w:textAlignment w:val="bottom"/>
              <w:rPr>
                <w:rFonts w:hint="eastAsia" w:ascii="宋体" w:hAnsi="宋体"/>
                <w:b/>
                <w:color w:val="000000"/>
                <w:kern w:val="0"/>
                <w:sz w:val="22"/>
                <w:szCs w:val="22"/>
              </w:rPr>
            </w:pPr>
            <w:r>
              <w:rPr>
                <w:rFonts w:hint="eastAsia" w:ascii="宋体" w:hAnsi="宋体"/>
                <w:b/>
                <w:color w:val="000000"/>
                <w:kern w:val="0"/>
                <w:sz w:val="22"/>
                <w:szCs w:val="22"/>
                <w:lang w:val="en-US" w:eastAsia="zh-CN"/>
              </w:rPr>
              <w:t>房地产单价（元/㎡）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3138" w:type="dxa"/>
            <w:noWrap w:val="0"/>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牟平区鱼鸟河西路369号32号楼2602号</w:t>
            </w:r>
          </w:p>
        </w:tc>
        <w:tc>
          <w:tcPr>
            <w:tcW w:w="2450" w:type="dxa"/>
            <w:noWrap w:val="0"/>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87.97</w:t>
            </w:r>
          </w:p>
        </w:tc>
        <w:tc>
          <w:tcPr>
            <w:tcW w:w="2500" w:type="dxa"/>
            <w:noWrap w:val="0"/>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3138"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房地产总价值（元）</w:t>
            </w:r>
          </w:p>
        </w:tc>
        <w:tc>
          <w:tcPr>
            <w:tcW w:w="4950" w:type="dxa"/>
            <w:gridSpan w:val="2"/>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b w:val="0"/>
                <w:bCs w:val="0"/>
                <w:kern w:val="2"/>
                <w:sz w:val="22"/>
                <w:szCs w:val="22"/>
                <w:lang w:val="en-US" w:eastAsia="zh-CN" w:bidi="ar-SA"/>
              </w:rPr>
              <w:t xml:space="preserve">478,205.00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3138"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人民币大写</w:t>
            </w:r>
          </w:p>
        </w:tc>
        <w:tc>
          <w:tcPr>
            <w:tcW w:w="4950" w:type="dxa"/>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肆拾柒万捌仟贰佰零伍元整</w:t>
            </w:r>
          </w:p>
        </w:tc>
      </w:tr>
    </w:tbl>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562"/>
        <w:jc w:val="left"/>
        <w:textAlignment w:val="auto"/>
        <w:rPr>
          <w:rFonts w:ascii="宋体" w:hAnsi="宋体"/>
          <w:b/>
          <w:bCs/>
          <w:sz w:val="28"/>
          <w:szCs w:val="28"/>
        </w:rPr>
      </w:pPr>
      <w:r>
        <w:rPr>
          <w:rFonts w:hint="eastAsia" w:ascii="宋体" w:hAnsi="宋体"/>
          <w:b/>
          <w:bCs/>
          <w:sz w:val="28"/>
          <w:szCs w:val="28"/>
        </w:rPr>
        <w:t>假设和限定条件：</w:t>
      </w:r>
    </w:p>
    <w:p>
      <w:pPr>
        <w:keepNext w:val="0"/>
        <w:keepLines w:val="0"/>
        <w:pageBreakBefore w:val="0"/>
        <w:widowControl w:val="0"/>
        <w:kinsoku/>
        <w:wordWrap/>
        <w:overflowPunct/>
        <w:topLinePunct w:val="0"/>
        <w:autoSpaceDE/>
        <w:autoSpaceDN/>
        <w:bidi w:val="0"/>
        <w:adjustRightInd/>
        <w:snapToGrid w:val="0"/>
        <w:spacing w:line="360" w:lineRule="auto"/>
        <w:ind w:firstLine="562"/>
        <w:jc w:val="left"/>
        <w:textAlignment w:val="auto"/>
        <w:rPr>
          <w:rFonts w:ascii="宋体" w:hAnsi="宋体"/>
          <w:sz w:val="28"/>
          <w:szCs w:val="28"/>
        </w:rPr>
      </w:pPr>
      <w:r>
        <w:rPr>
          <w:rFonts w:hint="eastAsia" w:ascii="宋体" w:hAnsi="宋体"/>
          <w:sz w:val="28"/>
          <w:szCs w:val="28"/>
        </w:rPr>
        <w:t>1、委估标的权属无异议；</w:t>
      </w:r>
    </w:p>
    <w:p>
      <w:pPr>
        <w:keepNext w:val="0"/>
        <w:keepLines w:val="0"/>
        <w:pageBreakBefore w:val="0"/>
        <w:widowControl w:val="0"/>
        <w:kinsoku/>
        <w:wordWrap/>
        <w:overflowPunct/>
        <w:topLinePunct w:val="0"/>
        <w:autoSpaceDE/>
        <w:autoSpaceDN/>
        <w:bidi w:val="0"/>
        <w:adjustRightInd/>
        <w:snapToGrid w:val="0"/>
        <w:spacing w:line="360" w:lineRule="auto"/>
        <w:ind w:firstLine="562"/>
        <w:jc w:val="left"/>
        <w:textAlignment w:val="auto"/>
        <w:rPr>
          <w:rFonts w:hint="eastAsia" w:ascii="宋体" w:hAnsi="宋体"/>
          <w:b/>
          <w:sz w:val="28"/>
          <w:szCs w:val="28"/>
          <w:lang w:val="en-US" w:eastAsia="zh-CN"/>
        </w:rPr>
      </w:pPr>
      <w:r>
        <w:rPr>
          <w:rFonts w:hint="eastAsia" w:ascii="宋体" w:hAnsi="宋体"/>
          <w:sz w:val="28"/>
          <w:szCs w:val="28"/>
        </w:rPr>
        <w:t>2、各方所提供的资料是客观、真实的。</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rPr>
          <w:rFonts w:hint="eastAsia" w:ascii="宋体" w:hAnsi="宋体"/>
          <w:sz w:val="28"/>
          <w:szCs w:val="28"/>
        </w:rPr>
      </w:pPr>
      <w:r>
        <w:rPr>
          <w:rFonts w:hint="eastAsia" w:ascii="宋体" w:hAnsi="宋体"/>
          <w:b/>
          <w:sz w:val="28"/>
          <w:szCs w:val="28"/>
          <w:lang w:eastAsia="zh-CN"/>
        </w:rPr>
        <w:t>十</w:t>
      </w:r>
      <w:r>
        <w:rPr>
          <w:rFonts w:hint="eastAsia" w:ascii="宋体" w:hAnsi="宋体"/>
          <w:b/>
          <w:sz w:val="28"/>
          <w:szCs w:val="28"/>
        </w:rPr>
        <w:t>、报告有效期：</w:t>
      </w:r>
      <w:r>
        <w:rPr>
          <w:rFonts w:hint="eastAsia" w:ascii="宋体" w:hAnsi="宋体"/>
          <w:sz w:val="28"/>
          <w:szCs w:val="28"/>
        </w:rPr>
        <w:t>评估有效期为1年，自询价报告出具之日起开始计算。</w:t>
      </w:r>
    </w:p>
    <w:p>
      <w:pPr>
        <w:keepNext w:val="0"/>
        <w:keepLines w:val="0"/>
        <w:pageBreakBefore w:val="0"/>
        <w:widowControl w:val="0"/>
        <w:kinsoku/>
        <w:wordWrap/>
        <w:overflowPunct/>
        <w:topLinePunct w:val="0"/>
        <w:autoSpaceDE/>
        <w:autoSpaceDN/>
        <w:bidi w:val="0"/>
        <w:adjustRightInd/>
        <w:snapToGrid w:val="0"/>
        <w:spacing w:line="360" w:lineRule="auto"/>
        <w:ind w:firstLine="442" w:firstLineChars="200"/>
        <w:jc w:val="left"/>
        <w:textAlignment w:val="auto"/>
        <w:rPr>
          <w:rFonts w:hint="eastAsia" w:ascii="宋体" w:hAnsi="宋体"/>
          <w:sz w:val="22"/>
          <w:szCs w:val="22"/>
        </w:rPr>
      </w:pPr>
      <w:r>
        <w:rPr>
          <w:rFonts w:hint="eastAsia" w:ascii="宋体" w:hAnsi="宋体"/>
          <w:b/>
          <w:sz w:val="22"/>
          <w:szCs w:val="22"/>
        </w:rPr>
        <w:t>备注：</w:t>
      </w:r>
      <w:r>
        <w:rPr>
          <w:rFonts w:hint="eastAsia" w:ascii="宋体" w:hAnsi="宋体"/>
          <w:sz w:val="22"/>
          <w:szCs w:val="22"/>
        </w:rPr>
        <w:t>1、本次询价报告中所陈述的事实是真实的和准确的，所提供资料的真实性由提供方负责；</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440" w:firstLineChars="200"/>
        <w:jc w:val="left"/>
        <w:textAlignment w:val="auto"/>
        <w:rPr>
          <w:rFonts w:hint="eastAsia" w:ascii="宋体" w:hAnsi="宋体"/>
          <w:sz w:val="22"/>
          <w:szCs w:val="22"/>
        </w:rPr>
      </w:pPr>
      <w:r>
        <w:rPr>
          <w:rFonts w:hint="eastAsia" w:ascii="宋体" w:hAnsi="宋体"/>
          <w:sz w:val="22"/>
          <w:szCs w:val="22"/>
        </w:rPr>
        <w:t>本询价结论是估价人员通过客观、公正的专业分析、计算所得的结论，但受本报告中的假设和限制条件的限制；</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440" w:firstLineChars="200"/>
        <w:jc w:val="left"/>
        <w:textAlignment w:val="auto"/>
        <w:rPr>
          <w:rFonts w:hint="eastAsia" w:ascii="宋体" w:hAnsi="宋体"/>
          <w:sz w:val="22"/>
          <w:szCs w:val="22"/>
        </w:rPr>
      </w:pPr>
      <w:r>
        <w:rPr>
          <w:rFonts w:hint="eastAsia" w:ascii="宋体" w:hAnsi="宋体"/>
          <w:sz w:val="22"/>
          <w:szCs w:val="22"/>
        </w:rPr>
        <w:t>估价人员与本次委估标的没有利害关系，也与有关当事人没有利害关系或偏见；</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jc w:val="left"/>
        <w:textAlignment w:val="auto"/>
        <w:rPr>
          <w:rFonts w:hint="eastAsia" w:ascii="宋体" w:hAnsi="宋体"/>
          <w:b/>
          <w:sz w:val="22"/>
          <w:szCs w:val="22"/>
        </w:rPr>
      </w:pPr>
      <w:r>
        <w:rPr>
          <w:rFonts w:hint="eastAsia" w:ascii="宋体" w:hAnsi="宋体"/>
          <w:sz w:val="22"/>
          <w:szCs w:val="22"/>
        </w:rPr>
        <w:t>4、本次询价结论仅对本次委托有效，不作他用；</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jc w:val="left"/>
        <w:textAlignment w:val="auto"/>
        <w:rPr>
          <w:rFonts w:hint="eastAsia" w:ascii="宋体" w:hAnsi="宋体"/>
          <w:sz w:val="22"/>
          <w:szCs w:val="22"/>
        </w:rPr>
      </w:pPr>
      <w:r>
        <w:rPr>
          <w:rFonts w:hint="eastAsia" w:ascii="宋体" w:hAnsi="宋体"/>
          <w:sz w:val="22"/>
          <w:szCs w:val="22"/>
          <w:lang w:val="en-US" w:eastAsia="zh-CN"/>
        </w:rPr>
        <w:t>5</w:t>
      </w:r>
      <w:r>
        <w:rPr>
          <w:rFonts w:hint="eastAsia" w:ascii="宋体" w:hAnsi="宋体"/>
          <w:sz w:val="22"/>
          <w:szCs w:val="22"/>
        </w:rPr>
        <w:t>、本次询价结果受评估人员调查范围、特殊交易方式的影响；</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jc w:val="left"/>
        <w:textAlignment w:val="auto"/>
        <w:rPr>
          <w:rFonts w:hint="eastAsia" w:ascii="宋体" w:hAnsi="宋体"/>
          <w:b/>
          <w:sz w:val="22"/>
          <w:szCs w:val="22"/>
          <w:lang w:val="en-US" w:eastAsia="zh-CN"/>
        </w:rPr>
      </w:pPr>
      <w:r>
        <w:rPr>
          <w:rFonts w:hint="eastAsia" w:ascii="宋体" w:hAnsi="宋体"/>
          <w:sz w:val="22"/>
          <w:szCs w:val="22"/>
          <w:lang w:val="en-US" w:eastAsia="zh-CN"/>
        </w:rPr>
        <w:t>6</w:t>
      </w:r>
      <w:r>
        <w:rPr>
          <w:rFonts w:hint="eastAsia" w:ascii="宋体" w:hAnsi="宋体"/>
          <w:sz w:val="22"/>
          <w:szCs w:val="22"/>
        </w:rPr>
        <w:t>、本次询价结果仅为拍卖参考底价，不具有法律强制性，也不代表估价对象最终能实现的成交价格。</w:t>
      </w:r>
    </w:p>
    <w:p>
      <w:pPr>
        <w:spacing w:line="360" w:lineRule="auto"/>
        <w:ind w:firstLine="562" w:firstLineChars="200"/>
        <w:jc w:val="both"/>
        <w:rPr>
          <w:rFonts w:hint="eastAsia" w:ascii="宋体" w:hAnsi="宋体"/>
          <w:b/>
          <w:sz w:val="26"/>
          <w:szCs w:val="26"/>
          <w:lang w:val="en-US" w:eastAsia="zh-CN"/>
        </w:rPr>
      </w:pPr>
      <w:r>
        <w:rPr>
          <w:rFonts w:hint="eastAsia" w:ascii="宋体" w:hAnsi="宋体"/>
          <w:b/>
          <w:sz w:val="28"/>
          <w:szCs w:val="28"/>
          <w:lang w:val="en-US" w:eastAsia="zh-CN"/>
        </w:rPr>
        <w:t>十一、注册房地产估价师</w:t>
      </w:r>
    </w:p>
    <w:p>
      <w:pPr>
        <w:spacing w:line="360" w:lineRule="auto"/>
        <w:jc w:val="center"/>
        <w:rPr>
          <w:rFonts w:hint="eastAsia" w:ascii="宋体" w:hAnsi="宋体"/>
          <w:b/>
          <w:color w:val="000000"/>
          <w:sz w:val="28"/>
          <w:szCs w:val="28"/>
        </w:rPr>
      </w:pPr>
      <w:r>
        <w:rPr>
          <w:rFonts w:hint="eastAsia" w:ascii="宋体" w:hAnsi="宋体"/>
          <w:b/>
          <w:color w:val="000000"/>
          <w:sz w:val="24"/>
          <w:szCs w:val="24"/>
        </w:rPr>
        <w:t>参加估价的注册房地产估价师</w:t>
      </w:r>
    </w:p>
    <w:tbl>
      <w:tblPr>
        <w:tblStyle w:val="5"/>
        <w:tblW w:w="0" w:type="auto"/>
        <w:tblInd w:w="31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600"/>
        <w:gridCol w:w="3130"/>
        <w:gridCol w:w="22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1190" w:type="dxa"/>
            <w:noWrap w:val="0"/>
            <w:vAlign w:val="center"/>
          </w:tcPr>
          <w:p>
            <w:pPr>
              <w:widowControl/>
              <w:jc w:val="center"/>
              <w:rPr>
                <w:rFonts w:hint="eastAsia" w:ascii="宋体" w:hAnsi="宋体"/>
                <w:b/>
                <w:color w:val="000000"/>
                <w:sz w:val="24"/>
              </w:rPr>
            </w:pPr>
            <w:r>
              <w:rPr>
                <w:rFonts w:hint="eastAsia" w:ascii="宋体" w:hAnsi="宋体"/>
                <w:b/>
                <w:color w:val="000000"/>
                <w:sz w:val="24"/>
              </w:rPr>
              <w:t>姓  名</w:t>
            </w:r>
          </w:p>
        </w:tc>
        <w:tc>
          <w:tcPr>
            <w:tcW w:w="1600" w:type="dxa"/>
            <w:noWrap w:val="0"/>
            <w:vAlign w:val="center"/>
          </w:tcPr>
          <w:p>
            <w:pPr>
              <w:widowControl/>
              <w:jc w:val="center"/>
              <w:rPr>
                <w:rFonts w:hint="eastAsia" w:ascii="宋体" w:hAnsi="宋体"/>
                <w:b/>
                <w:color w:val="000000"/>
                <w:sz w:val="24"/>
              </w:rPr>
            </w:pPr>
            <w:r>
              <w:rPr>
                <w:rFonts w:hint="eastAsia" w:ascii="宋体" w:hAnsi="宋体"/>
                <w:b/>
                <w:color w:val="000000"/>
                <w:sz w:val="24"/>
              </w:rPr>
              <w:t>注册号</w:t>
            </w:r>
          </w:p>
        </w:tc>
        <w:tc>
          <w:tcPr>
            <w:tcW w:w="3130" w:type="dxa"/>
            <w:noWrap w:val="0"/>
            <w:vAlign w:val="center"/>
          </w:tcPr>
          <w:p>
            <w:pPr>
              <w:widowControl/>
              <w:jc w:val="center"/>
              <w:rPr>
                <w:rFonts w:hint="eastAsia" w:ascii="宋体" w:hAnsi="宋体"/>
                <w:b/>
                <w:color w:val="000000"/>
                <w:sz w:val="24"/>
              </w:rPr>
            </w:pPr>
            <w:r>
              <w:rPr>
                <w:rFonts w:hint="eastAsia" w:ascii="宋体" w:hAnsi="宋体"/>
                <w:b/>
                <w:color w:val="000000"/>
                <w:sz w:val="24"/>
              </w:rPr>
              <w:t>签  名</w:t>
            </w:r>
          </w:p>
        </w:tc>
        <w:tc>
          <w:tcPr>
            <w:tcW w:w="2280" w:type="dxa"/>
            <w:noWrap w:val="0"/>
            <w:vAlign w:val="center"/>
          </w:tcPr>
          <w:p>
            <w:pPr>
              <w:widowControl/>
              <w:jc w:val="center"/>
              <w:rPr>
                <w:rFonts w:hint="eastAsia" w:ascii="宋体" w:hAnsi="宋体"/>
                <w:b/>
                <w:color w:val="000000"/>
                <w:sz w:val="24"/>
              </w:rPr>
            </w:pPr>
            <w:r>
              <w:rPr>
                <w:rFonts w:hint="eastAsia" w:ascii="宋体" w:hAnsi="宋体"/>
                <w:b/>
                <w:color w:val="000000"/>
                <w:sz w:val="24"/>
              </w:rPr>
              <w:t>签名日期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6" w:hRule="exact"/>
        </w:trPr>
        <w:tc>
          <w:tcPr>
            <w:tcW w:w="1190" w:type="dxa"/>
            <w:noWrap w:val="0"/>
            <w:vAlign w:val="center"/>
          </w:tcPr>
          <w:p>
            <w:pPr>
              <w:widowControl/>
              <w:jc w:val="center"/>
              <w:rPr>
                <w:rFonts w:hint="eastAsia" w:ascii="宋体" w:hAnsi="宋体" w:eastAsia="宋体"/>
                <w:color w:val="000000"/>
                <w:szCs w:val="21"/>
                <w:lang w:eastAsia="zh-CN"/>
              </w:rPr>
            </w:pPr>
            <w:r>
              <w:rPr>
                <w:rFonts w:hint="eastAsia" w:ascii="宋体" w:hAnsi="宋体"/>
                <w:color w:val="000000"/>
                <w:szCs w:val="21"/>
                <w:lang w:val="en-US" w:eastAsia="zh-CN"/>
              </w:rPr>
              <w:t>孙华鹏</w:t>
            </w:r>
          </w:p>
        </w:tc>
        <w:tc>
          <w:tcPr>
            <w:tcW w:w="1600" w:type="dxa"/>
            <w:noWrap w:val="0"/>
            <w:vAlign w:val="center"/>
          </w:tcPr>
          <w:p>
            <w:pPr>
              <w:widowControl/>
              <w:jc w:val="center"/>
              <w:rPr>
                <w:rFonts w:hint="default" w:ascii="宋体" w:hAnsi="宋体" w:eastAsia="宋体"/>
                <w:color w:val="000000"/>
                <w:szCs w:val="21"/>
                <w:lang w:val="en-US" w:eastAsia="zh-CN"/>
              </w:rPr>
            </w:pPr>
            <w:r>
              <w:rPr>
                <w:rFonts w:hint="eastAsia" w:ascii="宋体" w:hAnsi="宋体"/>
                <w:color w:val="000000"/>
                <w:szCs w:val="21"/>
              </w:rPr>
              <w:t>3720</w:t>
            </w:r>
            <w:r>
              <w:rPr>
                <w:rFonts w:hint="eastAsia" w:ascii="宋体" w:hAnsi="宋体"/>
                <w:color w:val="000000"/>
                <w:szCs w:val="21"/>
                <w:lang w:val="en-US" w:eastAsia="zh-CN"/>
              </w:rPr>
              <w:t>190032</w:t>
            </w:r>
          </w:p>
        </w:tc>
        <w:tc>
          <w:tcPr>
            <w:tcW w:w="3130" w:type="dxa"/>
            <w:noWrap w:val="0"/>
            <w:vAlign w:val="center"/>
          </w:tcPr>
          <w:p>
            <w:pPr>
              <w:widowControl/>
              <w:jc w:val="center"/>
              <w:rPr>
                <w:rFonts w:hint="eastAsia" w:ascii="宋体" w:hAnsi="宋体"/>
                <w:color w:val="000000"/>
                <w:szCs w:val="21"/>
              </w:rPr>
            </w:pPr>
          </w:p>
        </w:tc>
        <w:tc>
          <w:tcPr>
            <w:tcW w:w="2280" w:type="dxa"/>
            <w:noWrap w:val="0"/>
            <w:vAlign w:val="center"/>
          </w:tcPr>
          <w:p>
            <w:pPr>
              <w:widowControl/>
              <w:jc w:val="center"/>
              <w:rPr>
                <w:rFonts w:hint="default" w:ascii="宋体" w:hAnsi="宋体" w:eastAsia="宋体"/>
                <w:color w:val="000000"/>
                <w:szCs w:val="21"/>
                <w:lang w:val="en-US" w:eastAsia="zh-CN"/>
              </w:rPr>
            </w:pPr>
            <w:r>
              <w:rPr>
                <w:rFonts w:hint="eastAsia" w:ascii="宋体" w:hAnsi="宋体"/>
                <w:color w:val="000000"/>
                <w:szCs w:val="21"/>
                <w:lang w:val="en-US" w:eastAsia="zh-CN"/>
              </w:rPr>
              <w:t xml:space="preserve"> </w:t>
            </w:r>
            <w:r>
              <w:rPr>
                <w:rFonts w:hint="eastAsia" w:ascii="宋体" w:hAnsi="宋体"/>
                <w:color w:val="000000"/>
                <w:szCs w:val="21"/>
              </w:rPr>
              <w:t>年</w:t>
            </w:r>
            <w:r>
              <w:rPr>
                <w:rFonts w:hint="eastAsia" w:ascii="宋体" w:hAnsi="宋体"/>
                <w:color w:val="000000"/>
                <w:szCs w:val="21"/>
                <w:lang w:val="en-US" w:eastAsia="zh-CN"/>
              </w:rPr>
              <w:t xml:space="preserve">  </w:t>
            </w:r>
            <w:r>
              <w:rPr>
                <w:rFonts w:hint="eastAsia" w:ascii="宋体" w:hAnsi="宋体"/>
                <w:color w:val="000000"/>
                <w:szCs w:val="21"/>
              </w:rPr>
              <w:t>月</w:t>
            </w:r>
            <w:r>
              <w:rPr>
                <w:rFonts w:hint="eastAsia" w:ascii="宋体" w:hAnsi="宋体"/>
                <w:color w:val="000000"/>
                <w:szCs w:val="21"/>
                <w:lang w:val="en-US" w:eastAsia="zh-CN"/>
              </w:rPr>
              <w:t xml:space="preserve">  </w:t>
            </w:r>
            <w:r>
              <w:rPr>
                <w:rFonts w:hint="eastAsia" w:ascii="宋体" w:hAnsi="宋体"/>
                <w:color w:val="000000"/>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0" w:hRule="exact"/>
        </w:trPr>
        <w:tc>
          <w:tcPr>
            <w:tcW w:w="1190" w:type="dxa"/>
            <w:noWrap w:val="0"/>
            <w:vAlign w:val="center"/>
          </w:tcPr>
          <w:p>
            <w:pPr>
              <w:widowControl/>
              <w:jc w:val="center"/>
              <w:rPr>
                <w:rFonts w:hint="eastAsia" w:ascii="宋体" w:hAnsi="宋体"/>
                <w:color w:val="000000"/>
                <w:szCs w:val="21"/>
              </w:rPr>
            </w:pPr>
            <w:r>
              <w:rPr>
                <w:rFonts w:hint="eastAsia" w:ascii="宋体" w:hAnsi="宋体"/>
                <w:color w:val="000000"/>
                <w:szCs w:val="21"/>
              </w:rPr>
              <w:t>周文明</w:t>
            </w:r>
          </w:p>
        </w:tc>
        <w:tc>
          <w:tcPr>
            <w:tcW w:w="1600" w:type="dxa"/>
            <w:noWrap w:val="0"/>
            <w:vAlign w:val="center"/>
          </w:tcPr>
          <w:p>
            <w:pPr>
              <w:widowControl/>
              <w:jc w:val="center"/>
              <w:rPr>
                <w:rFonts w:hint="eastAsia" w:ascii="宋体" w:hAnsi="宋体"/>
                <w:color w:val="000000"/>
                <w:szCs w:val="21"/>
              </w:rPr>
            </w:pPr>
            <w:r>
              <w:rPr>
                <w:rFonts w:hint="eastAsia" w:ascii="宋体" w:hAnsi="宋体"/>
                <w:color w:val="000000"/>
                <w:szCs w:val="21"/>
              </w:rPr>
              <w:t>3719970102</w:t>
            </w:r>
          </w:p>
        </w:tc>
        <w:tc>
          <w:tcPr>
            <w:tcW w:w="3130" w:type="dxa"/>
            <w:noWrap w:val="0"/>
            <w:vAlign w:val="center"/>
          </w:tcPr>
          <w:p>
            <w:pPr>
              <w:widowControl/>
              <w:jc w:val="center"/>
              <w:rPr>
                <w:rFonts w:hint="eastAsia" w:ascii="宋体" w:hAnsi="宋体"/>
                <w:color w:val="000000"/>
                <w:szCs w:val="21"/>
              </w:rPr>
            </w:pPr>
          </w:p>
        </w:tc>
        <w:tc>
          <w:tcPr>
            <w:tcW w:w="2280" w:type="dxa"/>
            <w:noWrap w:val="0"/>
            <w:vAlign w:val="center"/>
          </w:tcPr>
          <w:p>
            <w:pPr>
              <w:widowControl/>
              <w:jc w:val="center"/>
              <w:rPr>
                <w:rFonts w:hint="eastAsia" w:ascii="宋体" w:hAnsi="宋体"/>
                <w:color w:val="000000"/>
                <w:szCs w:val="21"/>
              </w:rPr>
            </w:pPr>
            <w:r>
              <w:rPr>
                <w:rFonts w:hint="eastAsia" w:ascii="宋体" w:hAnsi="宋体"/>
                <w:color w:val="000000"/>
                <w:szCs w:val="21"/>
                <w:lang w:val="en-US" w:eastAsia="zh-CN"/>
              </w:rPr>
              <w:t xml:space="preserve"> </w:t>
            </w:r>
            <w:r>
              <w:rPr>
                <w:rFonts w:hint="eastAsia" w:ascii="宋体" w:hAnsi="宋体"/>
                <w:color w:val="000000"/>
                <w:szCs w:val="21"/>
              </w:rPr>
              <w:t>年</w:t>
            </w:r>
            <w:r>
              <w:rPr>
                <w:rFonts w:hint="eastAsia" w:ascii="宋体" w:hAnsi="宋体"/>
                <w:color w:val="000000"/>
                <w:szCs w:val="21"/>
                <w:lang w:val="en-US" w:eastAsia="zh-CN"/>
              </w:rPr>
              <w:t xml:space="preserve">  </w:t>
            </w:r>
            <w:r>
              <w:rPr>
                <w:rFonts w:hint="eastAsia" w:ascii="宋体" w:hAnsi="宋体"/>
                <w:color w:val="000000"/>
                <w:szCs w:val="21"/>
              </w:rPr>
              <w:t>月</w:t>
            </w:r>
            <w:r>
              <w:rPr>
                <w:rFonts w:hint="eastAsia" w:ascii="宋体" w:hAnsi="宋体"/>
                <w:color w:val="000000"/>
                <w:szCs w:val="21"/>
                <w:lang w:val="en-US" w:eastAsia="zh-CN"/>
              </w:rPr>
              <w:t xml:space="preserve">  </w:t>
            </w:r>
            <w:r>
              <w:rPr>
                <w:rFonts w:hint="eastAsia" w:ascii="宋体" w:hAnsi="宋体"/>
                <w:color w:val="000000"/>
                <w:szCs w:val="21"/>
              </w:rPr>
              <w:t>日</w:t>
            </w:r>
          </w:p>
        </w:tc>
      </w:tr>
    </w:tbl>
    <w:p>
      <w:pPr>
        <w:keepNext w:val="0"/>
        <w:keepLines w:val="0"/>
        <w:pageBreakBefore w:val="0"/>
        <w:widowControl w:val="0"/>
        <w:kinsoku/>
        <w:wordWrap/>
        <w:overflowPunct/>
        <w:topLinePunct w:val="0"/>
        <w:autoSpaceDE/>
        <w:autoSpaceDN/>
        <w:bidi w:val="0"/>
        <w:adjustRightInd/>
        <w:snapToGrid/>
        <w:spacing w:line="360" w:lineRule="auto"/>
        <w:ind w:firstLine="3360" w:firstLineChars="1200"/>
        <w:jc w:val="left"/>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200"/>
        <w:jc w:val="left"/>
        <w:textAlignment w:val="auto"/>
        <w:rPr>
          <w:rFonts w:hint="eastAsia" w:ascii="宋体" w:hAnsi="宋体"/>
          <w:sz w:val="28"/>
          <w:szCs w:val="28"/>
        </w:rPr>
      </w:pPr>
      <w:r>
        <w:rPr>
          <w:rFonts w:hint="eastAsia" w:ascii="宋体" w:hAnsi="宋体"/>
          <w:sz w:val="28"/>
          <w:szCs w:val="28"/>
        </w:rPr>
        <w:t>山东鸿烨土地房地产资产评估有限公司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b/>
          <w:bCs/>
          <w:sz w:val="40"/>
          <w:szCs w:val="40"/>
          <w:lang w:val="en-US" w:eastAsia="zh-CN"/>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lang w:eastAsia="zh-CN"/>
        </w:rPr>
        <w:t>二〇二二年八月十六日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4312C"/>
    <w:multiLevelType w:val="singleLevel"/>
    <w:tmpl w:val="18F4312C"/>
    <w:lvl w:ilvl="0" w:tentative="0">
      <w:start w:val="9"/>
      <w:numFmt w:val="chineseCounting"/>
      <w:suff w:val="nothing"/>
      <w:lvlText w:val="%1、"/>
      <w:lvlJc w:val="left"/>
      <w:rPr>
        <w:rFonts w:hint="eastAsia"/>
      </w:rPr>
    </w:lvl>
  </w:abstractNum>
  <w:abstractNum w:abstractNumId="1">
    <w:nsid w:val="276FBCC6"/>
    <w:multiLevelType w:val="singleLevel"/>
    <w:tmpl w:val="276FBCC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4ODA1MGVmYTMwYzZlYmMwOGQ0ZGExOTFkYzI4MTkifQ=="/>
  </w:docVars>
  <w:rsids>
    <w:rsidRoot w:val="35D66CE6"/>
    <w:rsid w:val="01972BB1"/>
    <w:rsid w:val="02C27C0A"/>
    <w:rsid w:val="046E039E"/>
    <w:rsid w:val="04B012B8"/>
    <w:rsid w:val="04CE5EAB"/>
    <w:rsid w:val="0755553E"/>
    <w:rsid w:val="076A78C6"/>
    <w:rsid w:val="085A793D"/>
    <w:rsid w:val="0A3E31AF"/>
    <w:rsid w:val="0A9A5605"/>
    <w:rsid w:val="0C806C2A"/>
    <w:rsid w:val="0D697FD5"/>
    <w:rsid w:val="0D706DEC"/>
    <w:rsid w:val="102B12C4"/>
    <w:rsid w:val="108C22F3"/>
    <w:rsid w:val="111717FE"/>
    <w:rsid w:val="12AE5C3C"/>
    <w:rsid w:val="136C3DDA"/>
    <w:rsid w:val="13E04D0C"/>
    <w:rsid w:val="14483FC7"/>
    <w:rsid w:val="14C76D6C"/>
    <w:rsid w:val="169228B3"/>
    <w:rsid w:val="17E06A7C"/>
    <w:rsid w:val="1A990810"/>
    <w:rsid w:val="1B562FDD"/>
    <w:rsid w:val="1D50290D"/>
    <w:rsid w:val="1DE52C51"/>
    <w:rsid w:val="1E093344"/>
    <w:rsid w:val="1E1147D3"/>
    <w:rsid w:val="1E1F7C87"/>
    <w:rsid w:val="1EC914A3"/>
    <w:rsid w:val="1F7D7B68"/>
    <w:rsid w:val="1FDE602C"/>
    <w:rsid w:val="210730D1"/>
    <w:rsid w:val="23251C17"/>
    <w:rsid w:val="23C815B3"/>
    <w:rsid w:val="247D1FC3"/>
    <w:rsid w:val="248F2E4B"/>
    <w:rsid w:val="24C60864"/>
    <w:rsid w:val="250F4945"/>
    <w:rsid w:val="25590FF5"/>
    <w:rsid w:val="25622070"/>
    <w:rsid w:val="26056F16"/>
    <w:rsid w:val="26DE7549"/>
    <w:rsid w:val="26F53782"/>
    <w:rsid w:val="27D862B7"/>
    <w:rsid w:val="28D4058A"/>
    <w:rsid w:val="29C027C8"/>
    <w:rsid w:val="29F254E2"/>
    <w:rsid w:val="2A551283"/>
    <w:rsid w:val="2A8E11B3"/>
    <w:rsid w:val="2CDD57BA"/>
    <w:rsid w:val="2E0F337C"/>
    <w:rsid w:val="2F121AED"/>
    <w:rsid w:val="2FB82360"/>
    <w:rsid w:val="32CD18F6"/>
    <w:rsid w:val="338D7C5A"/>
    <w:rsid w:val="35BF692E"/>
    <w:rsid w:val="35D66CE6"/>
    <w:rsid w:val="372E61DB"/>
    <w:rsid w:val="39FA51B9"/>
    <w:rsid w:val="3AFF3F1A"/>
    <w:rsid w:val="3B5C1E36"/>
    <w:rsid w:val="3B7C7857"/>
    <w:rsid w:val="3C9E0FEB"/>
    <w:rsid w:val="3DB602F0"/>
    <w:rsid w:val="3E4549C3"/>
    <w:rsid w:val="4403763F"/>
    <w:rsid w:val="445A52F3"/>
    <w:rsid w:val="459A78A5"/>
    <w:rsid w:val="466B2E8B"/>
    <w:rsid w:val="46824E9C"/>
    <w:rsid w:val="46C0216D"/>
    <w:rsid w:val="486F553E"/>
    <w:rsid w:val="4923757D"/>
    <w:rsid w:val="498E6703"/>
    <w:rsid w:val="4A7F0619"/>
    <w:rsid w:val="4BFD6222"/>
    <w:rsid w:val="4CE14D91"/>
    <w:rsid w:val="4D7478BD"/>
    <w:rsid w:val="4EAF34BE"/>
    <w:rsid w:val="4FC917FB"/>
    <w:rsid w:val="504909C5"/>
    <w:rsid w:val="50B858DF"/>
    <w:rsid w:val="5137219E"/>
    <w:rsid w:val="51461100"/>
    <w:rsid w:val="51E917E8"/>
    <w:rsid w:val="535F0FCE"/>
    <w:rsid w:val="53692DEA"/>
    <w:rsid w:val="53B36E76"/>
    <w:rsid w:val="54AC2904"/>
    <w:rsid w:val="54FE6998"/>
    <w:rsid w:val="553327B9"/>
    <w:rsid w:val="56967B76"/>
    <w:rsid w:val="577B6F3F"/>
    <w:rsid w:val="580B1D98"/>
    <w:rsid w:val="58A06005"/>
    <w:rsid w:val="5A0730AA"/>
    <w:rsid w:val="5B35321A"/>
    <w:rsid w:val="5BF674C8"/>
    <w:rsid w:val="5CF57B75"/>
    <w:rsid w:val="5D545DA0"/>
    <w:rsid w:val="613D7BB3"/>
    <w:rsid w:val="6175187E"/>
    <w:rsid w:val="62481901"/>
    <w:rsid w:val="65E76930"/>
    <w:rsid w:val="663739F9"/>
    <w:rsid w:val="667B25E5"/>
    <w:rsid w:val="69AC5818"/>
    <w:rsid w:val="6AD81B01"/>
    <w:rsid w:val="6B4F5A44"/>
    <w:rsid w:val="6C2D7C1F"/>
    <w:rsid w:val="6C574E1A"/>
    <w:rsid w:val="6ECF45AA"/>
    <w:rsid w:val="70611E7B"/>
    <w:rsid w:val="730A4C5D"/>
    <w:rsid w:val="73ED3777"/>
    <w:rsid w:val="742662A2"/>
    <w:rsid w:val="76E968C5"/>
    <w:rsid w:val="77131B59"/>
    <w:rsid w:val="77C92CC0"/>
    <w:rsid w:val="77D3288C"/>
    <w:rsid w:val="77FC1AF7"/>
    <w:rsid w:val="78874C5B"/>
    <w:rsid w:val="7B070E2A"/>
    <w:rsid w:val="7B724DEC"/>
    <w:rsid w:val="7F1A4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0"/>
    <w:basedOn w:val="1"/>
    <w:qFormat/>
    <w:uiPriority w:val="0"/>
    <w:pPr>
      <w:widowControl/>
      <w:snapToGrid w:val="0"/>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1598</Words>
  <Characters>1737</Characters>
  <Lines>0</Lines>
  <Paragraphs>0</Paragraphs>
  <TotalTime>189</TotalTime>
  <ScaleCrop>false</ScaleCrop>
  <LinksUpToDate>false</LinksUpToDate>
  <CharactersWithSpaces>1792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2020-11-17T06:43:00Z</dcterms:created>
  <dc:creator>正在加载中</dc:creator>
  <cp:lastModifiedBy>琉璃</cp:lastModifiedBy>
  <cp:lastPrinted>2022-08-22T02:02:42Z</cp:lastPrinted>
  <dcterms:modified xsi:type="dcterms:W3CDTF">2022-08-22T06:32:39Z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EECFA235BE644F89BE72B4C8DEE6D886</vt:lpwstr>
  </property>
</Properties>
</file>