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二、存量房交易</w:t>
      </w:r>
      <w:r>
        <w:rPr>
          <w:rFonts w:hint="eastAsia" w:ascii="宋体" w:cs="宋体"/>
          <w:b/>
          <w:bCs/>
          <w:color w:val="000000"/>
          <w:kern w:val="0"/>
          <w:szCs w:val="21"/>
        </w:rPr>
        <w:t xml:space="preserve"> 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</w:rPr>
        <w:t>（一）房屋买卖</w:t>
      </w:r>
      <w:r>
        <w:rPr>
          <w:rFonts w:hint="eastAsia" w:ascii="宋体" w:cs="宋体"/>
          <w:b/>
          <w:bCs/>
          <w:color w:val="333333"/>
          <w:kern w:val="0"/>
          <w:szCs w:val="21"/>
        </w:rPr>
        <w:t xml:space="preserve"> 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Times New Roman" w:hAnsi="Times New Roman" w:cs="Times New Roman"/>
          <w:b/>
          <w:bCs/>
          <w:color w:val="000000"/>
          <w:kern w:val="0"/>
          <w:szCs w:val="21"/>
        </w:rPr>
        <w:t>1.</w:t>
      </w:r>
      <w:r>
        <w:rPr>
          <w:rFonts w:hint="eastAsia" w:ascii="&amp;apos" w:hAnsi="&amp;apos" w:cs="宋体"/>
          <w:b/>
          <w:bCs/>
          <w:color w:val="000000"/>
          <w:kern w:val="0"/>
          <w:szCs w:val="21"/>
        </w:rPr>
        <w:t>承受方应缴纳的税费种类及税率：</w:t>
      </w:r>
      <w:r>
        <w:rPr>
          <w:rFonts w:hint="eastAsia" w:ascii="宋体" w:cs="宋体"/>
          <w:b/>
          <w:bCs/>
          <w:color w:val="000000"/>
          <w:kern w:val="0"/>
          <w:szCs w:val="21"/>
        </w:rPr>
        <w:t xml:space="preserve"> </w:t>
      </w:r>
    </w:p>
    <w:tbl>
      <w:tblPr>
        <w:tblStyle w:val="4"/>
        <w:tblW w:w="8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07"/>
        <w:gridCol w:w="1717"/>
        <w:gridCol w:w="2100"/>
        <w:gridCol w:w="922"/>
        <w:gridCol w:w="96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税种 </w:t>
            </w:r>
          </w:p>
        </w:tc>
        <w:tc>
          <w:tcPr>
            <w:tcW w:w="1307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计税金额 </w:t>
            </w:r>
          </w:p>
        </w:tc>
        <w:tc>
          <w:tcPr>
            <w:tcW w:w="3817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房屋类型 </w:t>
            </w:r>
          </w:p>
        </w:tc>
        <w:tc>
          <w:tcPr>
            <w:tcW w:w="188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税率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04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个人 </w:t>
            </w: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单位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契税 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成交价格 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非住宅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3%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3%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第三套及以上住宅 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3%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家庭唯一住宅 </w:t>
            </w:r>
          </w:p>
        </w:tc>
        <w:tc>
          <w:tcPr>
            <w:tcW w:w="21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90方及以下 </w:t>
            </w: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90方以上 </w:t>
            </w: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1.5%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第二套住宅 </w:t>
            </w:r>
          </w:p>
        </w:tc>
        <w:tc>
          <w:tcPr>
            <w:tcW w:w="21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90方及以下 </w:t>
            </w: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1%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90方以上 </w:t>
            </w: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2%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印花税 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成交价格 </w:t>
            </w:r>
          </w:p>
        </w:tc>
        <w:tc>
          <w:tcPr>
            <w:tcW w:w="381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住宅 </w:t>
            </w: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免征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0.05%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非住宅 </w:t>
            </w:r>
          </w:p>
        </w:tc>
        <w:tc>
          <w:tcPr>
            <w:tcW w:w="92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"http://144.20.28.46:9000/zhishiku/jsp/subject/subjectDetail.jsp?treeproject=3" \l "neirongName"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0.05%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土地出让金 </w:t>
            </w:r>
          </w:p>
        </w:tc>
        <w:tc>
          <w:tcPr>
            <w:tcW w:w="7011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划拨用地上标准住宅转让，土地等级相对应的出让金标准*土地分摊面积 （土地出让金是否仍由税务部门代征，建议与当地办理部门核实）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 xml:space="preserve">    </w:t>
      </w:r>
      <w:r>
        <w:rPr>
          <w:rFonts w:hint="eastAsia" w:ascii="宋体" w:hAnsi="Arial" w:cs="Arial"/>
          <w:b/>
          <w:bCs/>
          <w:color w:val="000000"/>
          <w:kern w:val="0"/>
          <w:szCs w:val="21"/>
        </w:rPr>
        <w:t>2.出让方应缴纳的税费种类及税率：</w:t>
      </w:r>
    </w:p>
    <w:tbl>
      <w:tblPr>
        <w:tblStyle w:val="4"/>
        <w:tblW w:w="8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14"/>
        <w:gridCol w:w="1973"/>
        <w:gridCol w:w="2643"/>
        <w:gridCol w:w="779"/>
        <w:gridCol w:w="1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6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税种 </w:t>
            </w:r>
          </w:p>
        </w:tc>
        <w:tc>
          <w:tcPr>
            <w:tcW w:w="27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个人 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个体工商户 </w:t>
            </w:r>
          </w:p>
        </w:tc>
        <w:tc>
          <w:tcPr>
            <w:tcW w:w="22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单位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增值税及附加 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非住宅（不含自建） </w:t>
            </w:r>
          </w:p>
        </w:tc>
        <w:tc>
          <w:tcPr>
            <w:tcW w:w="1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(不含税收入-不含税购置原价)×5.6% 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按(不含税收入-不含税购置原价) ×5.6%预缴税款，后向机构所在地主管国税机关进行纳税申报 </w:t>
            </w:r>
          </w:p>
        </w:tc>
        <w:tc>
          <w:tcPr>
            <w:tcW w:w="77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非自建的不动产 </w:t>
            </w:r>
          </w:p>
        </w:tc>
        <w:tc>
          <w:tcPr>
            <w:tcW w:w="1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按(不含税收入-不含税购置原价)×5.6%预缴税款，后向机构所在地主管国税机关进行纳税申报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非住宅（自建） </w:t>
            </w:r>
          </w:p>
        </w:tc>
        <w:tc>
          <w:tcPr>
            <w:tcW w:w="1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不含税收入×5.6% 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不含税收入×5.6%预缴税款，后向机构所在地主管国税机关进行纳税申报 </w:t>
            </w:r>
          </w:p>
        </w:tc>
        <w:tc>
          <w:tcPr>
            <w:tcW w:w="7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住宅（不含自建） </w:t>
            </w:r>
          </w:p>
        </w:tc>
        <w:tc>
          <w:tcPr>
            <w:tcW w:w="1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未满2年，不含税收入×5.6% 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未满2年， 不含税收入×5.6%预缴税款，后向机构所在地主管国税机关进行纳税申报 </w:t>
            </w:r>
          </w:p>
        </w:tc>
        <w:tc>
          <w:tcPr>
            <w:tcW w:w="7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超过2年(含)，免征 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超过2年(含)，免征 </w:t>
            </w:r>
          </w:p>
        </w:tc>
        <w:tc>
          <w:tcPr>
            <w:tcW w:w="77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自建的不动产 </w:t>
            </w:r>
          </w:p>
        </w:tc>
        <w:tc>
          <w:tcPr>
            <w:tcW w:w="1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不含税收入×5.6%预缴税款，后向机构所在地主管国税机关进行纳税申报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住宅（自建） </w:t>
            </w:r>
          </w:p>
        </w:tc>
        <w:tc>
          <w:tcPr>
            <w:tcW w:w="1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免征 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免征 </w:t>
            </w:r>
          </w:p>
        </w:tc>
        <w:tc>
          <w:tcPr>
            <w:tcW w:w="7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个人所得税 </w:t>
            </w:r>
          </w:p>
        </w:tc>
        <w:tc>
          <w:tcPr>
            <w:tcW w:w="8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住宅 </w:t>
            </w: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(转让收入-住房原值-合理费用-转让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过程中缴纳的税金)×20% </w:t>
            </w:r>
          </w:p>
        </w:tc>
        <w:tc>
          <w:tcPr>
            <w:tcW w:w="221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未提供完整、准确的房屋原值凭证，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按住房转让收入的3%核定征收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2021年1月1日起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22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54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转让五年唯一生活用房免征 </w:t>
            </w:r>
          </w:p>
        </w:tc>
        <w:tc>
          <w:tcPr>
            <w:tcW w:w="22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非住宅 </w:t>
            </w: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(转让收入-房屋原值-合理费用-转让 </w:t>
            </w:r>
          </w:p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过程中缴纳的税金)×20% </w:t>
            </w:r>
          </w:p>
        </w:tc>
        <w:tc>
          <w:tcPr>
            <w:tcW w:w="22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未提供完整、准确的房屋原值凭证，由主管地税核定征收 </w:t>
            </w:r>
          </w:p>
        </w:tc>
        <w:tc>
          <w:tcPr>
            <w:tcW w:w="22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土地增值税 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住宅 </w:t>
            </w: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免征 </w:t>
            </w:r>
          </w:p>
        </w:tc>
        <w:tc>
          <w:tcPr>
            <w:tcW w:w="221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参照个人转让非住宅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非住宅 </w:t>
            </w: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（转让收入-扣除项目金额）×四级超率累进税率 </w:t>
            </w:r>
          </w:p>
        </w:tc>
        <w:tc>
          <w:tcPr>
            <w:tcW w:w="22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既不能提供购房发票，又不能提供房屋及建筑物价格评估报告，税务机关核定征收 </w:t>
            </w:r>
          </w:p>
        </w:tc>
        <w:tc>
          <w:tcPr>
            <w:tcW w:w="22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印花税 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住宅 </w:t>
            </w: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免征 </w:t>
            </w:r>
          </w:p>
        </w:tc>
        <w:tc>
          <w:tcPr>
            <w:tcW w:w="221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成交价格的0.05%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6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6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非住宅 </w:t>
            </w:r>
          </w:p>
        </w:tc>
        <w:tc>
          <w:tcPr>
            <w:tcW w:w="4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6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成交价格的0.05% </w:t>
            </w:r>
          </w:p>
        </w:tc>
        <w:tc>
          <w:tcPr>
            <w:tcW w:w="2215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0" w:hRule="atLeast"/>
          <w:jc w:val="center"/>
        </w:trPr>
        <w:tc>
          <w:tcPr>
            <w:tcW w:w="6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土地出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让金 </w:t>
            </w:r>
          </w:p>
        </w:tc>
        <w:tc>
          <w:tcPr>
            <w:tcW w:w="764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农居房上市交易，土地等级相对应的出让金标准*土地分摊面积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（土地出让金是否仍由税务部门代征，建议与当地办理部门核实）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apo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7A4"/>
    <w:rsid w:val="004E77A4"/>
    <w:rsid w:val="00852724"/>
    <w:rsid w:val="00AD0149"/>
    <w:rsid w:val="00F14786"/>
    <w:rsid w:val="3F5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338</Words>
  <Characters>1933</Characters>
  <Lines>16</Lines>
  <Paragraphs>4</Paragraphs>
  <TotalTime>1</TotalTime>
  <ScaleCrop>false</ScaleCrop>
  <LinksUpToDate>false</LinksUpToDate>
  <CharactersWithSpaces>2267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2020-05-22T00:12:00Z</dcterms:created>
  <dc:creator>杨扬</dc:creator>
  <cp:lastModifiedBy>何佳平</cp:lastModifiedBy>
  <dcterms:modified xsi:type="dcterms:W3CDTF">2022-06-16T00:43:21Z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