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仿宋" w:hAnsi="仿宋" w:eastAsia="仿宋" w:cs="仿宋"/>
          <w:b/>
          <w:bCs/>
          <w:color w:val="auto"/>
          <w:sz w:val="44"/>
          <w:szCs w:val="44"/>
        </w:rPr>
      </w:pPr>
    </w:p>
    <w:p>
      <w:pPr>
        <w:tabs>
          <w:tab w:val="left" w:pos="1076"/>
        </w:tabs>
        <w:spacing w:line="560" w:lineRule="exact"/>
        <w:rPr>
          <w:rFonts w:ascii="仿宋" w:hAnsi="仿宋" w:eastAsia="仿宋" w:cs="仿宋"/>
          <w:b/>
          <w:bCs/>
          <w:color w:val="auto"/>
          <w:sz w:val="44"/>
          <w:szCs w:val="44"/>
        </w:rPr>
      </w:pPr>
    </w:p>
    <w:p>
      <w:pPr>
        <w:spacing w:line="800" w:lineRule="exact"/>
        <w:jc w:val="center"/>
        <w:rPr>
          <w:rFonts w:eastAsia="仿宋"/>
          <w:b/>
          <w:bCs/>
          <w:color w:val="auto"/>
          <w:sz w:val="72"/>
          <w:szCs w:val="72"/>
        </w:rPr>
      </w:pPr>
      <w:r>
        <w:rPr>
          <w:rFonts w:hint="eastAsia" w:eastAsia="仿宋"/>
          <w:b/>
          <w:bCs/>
          <w:color w:val="auto"/>
          <w:sz w:val="72"/>
          <w:szCs w:val="72"/>
        </w:rPr>
        <w:t>涉执房地产处置司法</w:t>
      </w:r>
    </w:p>
    <w:p>
      <w:pPr>
        <w:spacing w:line="800" w:lineRule="exact"/>
        <w:jc w:val="center"/>
        <w:rPr>
          <w:rFonts w:eastAsia="仿宋"/>
          <w:b/>
          <w:bCs/>
          <w:color w:val="auto"/>
          <w:sz w:val="72"/>
          <w:szCs w:val="72"/>
        </w:rPr>
      </w:pPr>
      <w:r>
        <w:rPr>
          <w:rFonts w:hint="eastAsia" w:eastAsia="仿宋"/>
          <w:b/>
          <w:bCs/>
          <w:color w:val="auto"/>
          <w:sz w:val="72"/>
          <w:szCs w:val="72"/>
        </w:rPr>
        <w:t>评估报告</w:t>
      </w:r>
    </w:p>
    <w:p>
      <w:pPr>
        <w:spacing w:line="800" w:lineRule="exact"/>
        <w:jc w:val="center"/>
        <w:rPr>
          <w:rFonts w:ascii="仿宋" w:hAnsi="仿宋" w:eastAsia="仿宋" w:cs="仿宋"/>
          <w:b/>
          <w:bCs/>
          <w:color w:val="auto"/>
          <w:sz w:val="72"/>
          <w:szCs w:val="72"/>
        </w:rPr>
      </w:pPr>
    </w:p>
    <w:p>
      <w:pPr>
        <w:spacing w:line="800" w:lineRule="exact"/>
        <w:jc w:val="center"/>
        <w:rPr>
          <w:rFonts w:ascii="仿宋" w:hAnsi="仿宋" w:eastAsia="仿宋" w:cs="仿宋"/>
          <w:b/>
          <w:bCs/>
          <w:color w:val="auto"/>
          <w:sz w:val="72"/>
          <w:szCs w:val="72"/>
        </w:rPr>
      </w:pPr>
    </w:p>
    <w:p>
      <w:pPr>
        <w:spacing w:line="240" w:lineRule="auto"/>
        <w:jc w:val="left"/>
        <w:rPr>
          <w:rFonts w:ascii="仿宋" w:hAnsi="仿宋" w:eastAsia="仿宋" w:cs="仿宋"/>
          <w:b/>
          <w:bCs/>
          <w:color w:val="auto"/>
          <w:sz w:val="44"/>
          <w:szCs w:val="44"/>
        </w:rPr>
      </w:pPr>
      <w:r>
        <w:rPr>
          <w:rFonts w:hint="eastAsia" w:ascii="仿宋" w:hAnsi="仿宋" w:eastAsia="仿宋" w:cs="仿宋"/>
          <w:b/>
          <w:color w:val="auto"/>
          <w:spacing w:val="68"/>
          <w:sz w:val="32"/>
          <w:szCs w:val="32"/>
        </w:rPr>
        <w:t>委托书</w:t>
      </w:r>
      <w:r>
        <w:rPr>
          <w:rFonts w:hint="eastAsia" w:ascii="仿宋" w:hAnsi="仿宋" w:eastAsia="仿宋" w:cs="仿宋"/>
          <w:b/>
          <w:color w:val="auto"/>
          <w:spacing w:val="68"/>
          <w:sz w:val="32"/>
          <w:szCs w:val="32"/>
          <w:lang w:val="zh-CN"/>
        </w:rPr>
        <w:t>编号：（2022）黑</w:t>
      </w:r>
      <w:r>
        <w:rPr>
          <w:rFonts w:hint="eastAsia" w:ascii="仿宋" w:hAnsi="仿宋" w:eastAsia="仿宋" w:cs="仿宋"/>
          <w:b/>
          <w:color w:val="auto"/>
          <w:spacing w:val="68"/>
          <w:sz w:val="32"/>
          <w:szCs w:val="32"/>
          <w:lang w:val="en-US" w:eastAsia="zh-CN"/>
        </w:rPr>
        <w:t>1083</w:t>
      </w:r>
      <w:r>
        <w:rPr>
          <w:rFonts w:hint="eastAsia" w:ascii="仿宋" w:hAnsi="仿宋" w:eastAsia="仿宋" w:cs="仿宋"/>
          <w:b/>
          <w:color w:val="auto"/>
          <w:spacing w:val="68"/>
          <w:sz w:val="32"/>
          <w:szCs w:val="32"/>
          <w:lang w:val="zh-CN"/>
        </w:rPr>
        <w:t>执</w:t>
      </w:r>
      <w:r>
        <w:rPr>
          <w:rFonts w:hint="eastAsia" w:ascii="仿宋" w:hAnsi="仿宋" w:eastAsia="仿宋" w:cs="仿宋"/>
          <w:b/>
          <w:color w:val="auto"/>
          <w:spacing w:val="68"/>
          <w:sz w:val="32"/>
          <w:szCs w:val="32"/>
          <w:lang w:val="en-US" w:eastAsia="zh-CN"/>
        </w:rPr>
        <w:t>216</w:t>
      </w:r>
      <w:r>
        <w:rPr>
          <w:rFonts w:hint="eastAsia" w:ascii="仿宋" w:hAnsi="仿宋" w:eastAsia="仿宋" w:cs="仿宋"/>
          <w:b/>
          <w:color w:val="auto"/>
          <w:spacing w:val="68"/>
          <w:sz w:val="32"/>
          <w:szCs w:val="32"/>
          <w:lang w:val="zh-CN"/>
        </w:rPr>
        <w:t>号</w:t>
      </w:r>
    </w:p>
    <w:p>
      <w:pPr>
        <w:adjustRightInd w:val="0"/>
        <w:snapToGrid w:val="0"/>
        <w:spacing w:line="1000" w:lineRule="exact"/>
        <w:rPr>
          <w:rFonts w:ascii="仿宋" w:hAnsi="仿宋" w:eastAsia="仿宋" w:cs="仿宋"/>
          <w:b/>
          <w:color w:val="auto"/>
          <w:sz w:val="32"/>
          <w:szCs w:val="32"/>
          <w:lang w:val="zh-CN"/>
        </w:rPr>
      </w:pPr>
      <w:r>
        <w:rPr>
          <w:rFonts w:hint="eastAsia" w:ascii="仿宋" w:hAnsi="仿宋" w:eastAsia="仿宋" w:cs="仿宋"/>
          <w:b/>
          <w:color w:val="auto"/>
          <w:spacing w:val="68"/>
          <w:sz w:val="32"/>
          <w:szCs w:val="32"/>
          <w:lang w:val="zh-CN"/>
        </w:rPr>
        <w:t>估价报告编</w:t>
      </w:r>
      <w:r>
        <w:rPr>
          <w:rFonts w:hint="eastAsia" w:ascii="仿宋" w:hAnsi="仿宋" w:eastAsia="仿宋" w:cs="仿宋"/>
          <w:b/>
          <w:color w:val="auto"/>
          <w:sz w:val="32"/>
          <w:szCs w:val="32"/>
          <w:lang w:val="zh-CN"/>
        </w:rPr>
        <w:t>号：黑天之骄[2022]法执房评第</w:t>
      </w:r>
      <w:r>
        <w:rPr>
          <w:rFonts w:hint="eastAsia" w:ascii="仿宋" w:hAnsi="仿宋" w:eastAsia="仿宋" w:cs="仿宋"/>
          <w:b/>
          <w:color w:val="auto"/>
          <w:sz w:val="32"/>
          <w:szCs w:val="32"/>
          <w:lang w:val="en-US" w:eastAsia="zh-CN"/>
        </w:rPr>
        <w:t>98</w:t>
      </w:r>
      <w:r>
        <w:rPr>
          <w:rFonts w:hint="eastAsia" w:ascii="仿宋" w:hAnsi="仿宋" w:eastAsia="仿宋" w:cs="仿宋"/>
          <w:b/>
          <w:color w:val="auto"/>
          <w:sz w:val="32"/>
          <w:szCs w:val="32"/>
          <w:lang w:val="zh-CN"/>
        </w:rPr>
        <w:t>号</w:t>
      </w:r>
    </w:p>
    <w:p>
      <w:pPr>
        <w:autoSpaceDE w:val="0"/>
        <w:autoSpaceDN w:val="0"/>
        <w:adjustRightInd w:val="0"/>
        <w:spacing w:line="700" w:lineRule="exact"/>
        <w:ind w:left="2945" w:right="120" w:rightChars="57" w:hanging="2945" w:hangingChars="644"/>
        <w:rPr>
          <w:rFonts w:ascii="仿宋" w:hAnsi="仿宋" w:eastAsia="仿宋" w:cs="仿宋"/>
          <w:b/>
          <w:color w:val="auto"/>
          <w:sz w:val="32"/>
          <w:szCs w:val="32"/>
          <w:lang w:val="zh-CN"/>
        </w:rPr>
      </w:pPr>
      <w:r>
        <w:rPr>
          <w:rFonts w:hint="eastAsia" w:ascii="仿宋" w:hAnsi="仿宋" w:eastAsia="仿宋" w:cs="仿宋"/>
          <w:b/>
          <w:color w:val="auto"/>
          <w:spacing w:val="68"/>
          <w:sz w:val="32"/>
          <w:szCs w:val="32"/>
          <w:lang w:val="zh-CN"/>
        </w:rPr>
        <w:t>估价项目名</w:t>
      </w:r>
      <w:r>
        <w:rPr>
          <w:rFonts w:hint="eastAsia" w:ascii="仿宋" w:hAnsi="仿宋" w:eastAsia="仿宋" w:cs="仿宋"/>
          <w:b/>
          <w:color w:val="auto"/>
          <w:sz w:val="32"/>
          <w:szCs w:val="32"/>
          <w:lang w:val="zh-CN"/>
        </w:rPr>
        <w:t>称：海林市海烟路东友谊街北和兴瀚城5#楼斗银东区7委1单元14层04室、05室、06室、07室、08室、09室、10室、11室、12室、13室、13A室、15室</w:t>
      </w:r>
      <w:r>
        <w:rPr>
          <w:rFonts w:hint="eastAsia" w:ascii="仿宋" w:hAnsi="仿宋" w:eastAsia="仿宋" w:cs="仿宋"/>
          <w:b/>
          <w:color w:val="auto"/>
          <w:sz w:val="32"/>
          <w:szCs w:val="32"/>
          <w:lang w:val="en-US" w:eastAsia="zh-CN"/>
        </w:rPr>
        <w:t>12</w:t>
      </w:r>
      <w:r>
        <w:rPr>
          <w:rFonts w:hint="eastAsia" w:ascii="仿宋" w:hAnsi="仿宋" w:eastAsia="仿宋" w:cs="仿宋"/>
          <w:b/>
          <w:color w:val="auto"/>
          <w:sz w:val="32"/>
          <w:szCs w:val="32"/>
          <w:lang w:val="zh-CN"/>
        </w:rPr>
        <w:t>户住宅房</w:t>
      </w:r>
      <w:r>
        <w:rPr>
          <w:rFonts w:hint="eastAsia" w:ascii="仿宋" w:hAnsi="仿宋" w:eastAsia="仿宋" w:cs="仿宋"/>
          <w:b/>
          <w:color w:val="auto"/>
          <w:sz w:val="32"/>
          <w:szCs w:val="32"/>
        </w:rPr>
        <w:t>地产市场价值</w:t>
      </w:r>
      <w:r>
        <w:rPr>
          <w:rFonts w:hint="eastAsia" w:ascii="仿宋" w:hAnsi="仿宋" w:eastAsia="仿宋" w:cs="仿宋"/>
          <w:b/>
          <w:color w:val="auto"/>
          <w:sz w:val="32"/>
          <w:szCs w:val="32"/>
          <w:lang w:val="zh-CN"/>
        </w:rPr>
        <w:t>评估</w:t>
      </w:r>
    </w:p>
    <w:p>
      <w:pPr>
        <w:autoSpaceDE w:val="0"/>
        <w:autoSpaceDN w:val="0"/>
        <w:adjustRightInd w:val="0"/>
        <w:spacing w:line="1000" w:lineRule="exact"/>
        <w:rPr>
          <w:rFonts w:ascii="仿宋" w:hAnsi="仿宋" w:eastAsia="仿宋" w:cs="仿宋"/>
          <w:b/>
          <w:color w:val="auto"/>
          <w:sz w:val="32"/>
          <w:szCs w:val="32"/>
          <w:lang w:val="zh-CN"/>
        </w:rPr>
      </w:pPr>
      <w:r>
        <w:rPr>
          <w:rFonts w:hint="eastAsia" w:ascii="仿宋" w:hAnsi="仿宋" w:eastAsia="仿宋" w:cs="仿宋"/>
          <w:b/>
          <w:color w:val="auto"/>
          <w:spacing w:val="125"/>
          <w:sz w:val="32"/>
          <w:szCs w:val="32"/>
          <w:lang w:val="zh-CN"/>
        </w:rPr>
        <w:t>估价委托</w:t>
      </w:r>
      <w:r>
        <w:rPr>
          <w:rFonts w:hint="eastAsia" w:ascii="仿宋" w:hAnsi="仿宋" w:eastAsia="仿宋" w:cs="仿宋"/>
          <w:b/>
          <w:color w:val="auto"/>
          <w:sz w:val="32"/>
          <w:szCs w:val="32"/>
          <w:lang w:val="zh-CN"/>
        </w:rPr>
        <w:t>人：海林市人民法院</w:t>
      </w:r>
    </w:p>
    <w:p>
      <w:pPr>
        <w:autoSpaceDE w:val="0"/>
        <w:autoSpaceDN w:val="0"/>
        <w:adjustRightInd w:val="0"/>
        <w:spacing w:line="1000" w:lineRule="exact"/>
        <w:rPr>
          <w:rFonts w:ascii="仿宋" w:hAnsi="仿宋" w:eastAsia="仿宋" w:cs="仿宋"/>
          <w:b/>
          <w:color w:val="auto"/>
          <w:sz w:val="32"/>
          <w:szCs w:val="32"/>
          <w:lang w:val="zh-CN"/>
        </w:rPr>
      </w:pPr>
      <w:r>
        <w:rPr>
          <w:rFonts w:hint="eastAsia" w:ascii="仿宋" w:hAnsi="仿宋" w:eastAsia="仿宋" w:cs="仿宋"/>
          <w:b/>
          <w:color w:val="auto"/>
          <w:spacing w:val="210"/>
          <w:sz w:val="32"/>
          <w:szCs w:val="32"/>
          <w:lang w:val="zh-CN"/>
        </w:rPr>
        <w:t>估价机</w:t>
      </w:r>
      <w:r>
        <w:rPr>
          <w:rFonts w:hint="eastAsia" w:ascii="仿宋" w:hAnsi="仿宋" w:eastAsia="仿宋" w:cs="仿宋"/>
          <w:b/>
          <w:color w:val="auto"/>
          <w:sz w:val="32"/>
          <w:szCs w:val="32"/>
          <w:lang w:val="zh-CN"/>
        </w:rPr>
        <w:t>构：</w:t>
      </w:r>
      <w:r>
        <w:rPr>
          <w:rFonts w:hint="eastAsia" w:ascii="仿宋" w:hAnsi="仿宋" w:eastAsia="仿宋" w:cs="仿宋"/>
          <w:b/>
          <w:bCs/>
          <w:color w:val="auto"/>
          <w:sz w:val="32"/>
          <w:szCs w:val="32"/>
        </w:rPr>
        <w:t>黑龙江天之骄房地产资产评估有限公司</w:t>
      </w:r>
    </w:p>
    <w:p>
      <w:pPr>
        <w:autoSpaceDE w:val="0"/>
        <w:autoSpaceDN w:val="0"/>
        <w:adjustRightInd w:val="0"/>
        <w:spacing w:line="1000" w:lineRule="exact"/>
        <w:rPr>
          <w:rFonts w:hint="eastAsia" w:ascii="仿宋" w:hAnsi="仿宋" w:eastAsia="仿宋" w:cs="仿宋"/>
          <w:b/>
          <w:color w:val="auto"/>
          <w:sz w:val="32"/>
          <w:szCs w:val="32"/>
          <w:lang w:val="zh-CN" w:eastAsia="zh-CN"/>
        </w:rPr>
      </w:pPr>
      <w:r>
        <w:rPr>
          <w:rFonts w:hint="eastAsia" w:ascii="仿宋" w:hAnsi="仿宋" w:eastAsia="仿宋" w:cs="仿宋"/>
          <w:b/>
          <w:color w:val="auto"/>
          <w:sz w:val="32"/>
          <w:szCs w:val="32"/>
          <w:lang w:val="zh-CN"/>
        </w:rPr>
        <w:t>注册房地产估价师：</w:t>
      </w:r>
      <w:r>
        <w:rPr>
          <w:rFonts w:hint="eastAsia" w:ascii="仿宋" w:hAnsi="仿宋" w:eastAsia="仿宋" w:cs="仿宋"/>
          <w:b/>
          <w:color w:val="auto"/>
          <w:sz w:val="32"/>
          <w:szCs w:val="32"/>
          <w:lang w:eastAsia="zh-CN"/>
        </w:rPr>
        <w:t>王诗光</w:t>
      </w:r>
      <w:r>
        <w:rPr>
          <w:rFonts w:hint="eastAsia" w:ascii="仿宋" w:hAnsi="仿宋" w:eastAsia="仿宋" w:cs="仿宋"/>
          <w:b/>
          <w:color w:val="auto"/>
          <w:sz w:val="32"/>
          <w:szCs w:val="32"/>
          <w:lang w:val="zh-CN"/>
        </w:rPr>
        <w:t xml:space="preserve">  </w:t>
      </w:r>
      <w:r>
        <w:rPr>
          <w:rFonts w:hint="eastAsia" w:ascii="仿宋" w:hAnsi="仿宋" w:eastAsia="仿宋" w:cs="仿宋"/>
          <w:b/>
          <w:color w:val="auto"/>
          <w:sz w:val="32"/>
          <w:szCs w:val="32"/>
        </w:rPr>
        <w:t xml:space="preserve">    </w:t>
      </w:r>
      <w:r>
        <w:rPr>
          <w:rFonts w:hint="eastAsia" w:ascii="仿宋" w:hAnsi="仿宋" w:eastAsia="仿宋" w:cs="仿宋"/>
          <w:b/>
          <w:color w:val="auto"/>
          <w:sz w:val="32"/>
          <w:szCs w:val="32"/>
          <w:lang w:val="zh-CN"/>
        </w:rPr>
        <w:t>注册号：</w:t>
      </w:r>
      <w:r>
        <w:rPr>
          <w:rFonts w:hint="eastAsia" w:ascii="仿宋" w:hAnsi="仿宋" w:eastAsia="仿宋" w:cs="仿宋"/>
          <w:b/>
          <w:color w:val="auto"/>
          <w:sz w:val="32"/>
          <w:szCs w:val="32"/>
          <w:lang w:eastAsia="zh-CN"/>
        </w:rPr>
        <w:t>2320210026</w:t>
      </w:r>
    </w:p>
    <w:p>
      <w:pPr>
        <w:autoSpaceDE w:val="0"/>
        <w:autoSpaceDN w:val="0"/>
        <w:adjustRightInd w:val="0"/>
        <w:spacing w:line="1000" w:lineRule="exact"/>
        <w:ind w:firstLine="2891" w:firstLineChars="900"/>
        <w:rPr>
          <w:rFonts w:ascii="仿宋" w:hAnsi="仿宋" w:eastAsia="仿宋" w:cs="仿宋"/>
          <w:b/>
          <w:color w:val="auto"/>
          <w:sz w:val="32"/>
          <w:szCs w:val="32"/>
        </w:rPr>
      </w:pPr>
      <w:r>
        <w:rPr>
          <w:rFonts w:hint="eastAsia" w:ascii="仿宋" w:hAnsi="仿宋" w:eastAsia="仿宋" w:cs="仿宋"/>
          <w:b/>
          <w:color w:val="auto"/>
          <w:sz w:val="32"/>
          <w:szCs w:val="32"/>
          <w:lang w:val="zh-CN"/>
        </w:rPr>
        <w:t>陈廷江</w:t>
      </w:r>
      <w:r>
        <w:rPr>
          <w:rFonts w:hint="eastAsia" w:ascii="仿宋" w:hAnsi="仿宋" w:eastAsia="仿宋" w:cs="仿宋"/>
          <w:b/>
          <w:color w:val="auto"/>
          <w:sz w:val="32"/>
          <w:szCs w:val="32"/>
        </w:rPr>
        <w:t xml:space="preserve">     </w:t>
      </w:r>
      <w:r>
        <w:rPr>
          <w:rFonts w:hint="eastAsia" w:ascii="仿宋" w:hAnsi="仿宋" w:eastAsia="仿宋" w:cs="仿宋"/>
          <w:b/>
          <w:color w:val="auto"/>
          <w:sz w:val="32"/>
          <w:szCs w:val="32"/>
          <w:lang w:val="zh-CN"/>
        </w:rPr>
        <w:t xml:space="preserve"> 注册号：2320110100</w:t>
      </w:r>
    </w:p>
    <w:p>
      <w:pPr>
        <w:autoSpaceDE w:val="0"/>
        <w:autoSpaceDN w:val="0"/>
        <w:adjustRightInd w:val="0"/>
        <w:spacing w:line="1000" w:lineRule="exact"/>
        <w:rPr>
          <w:rFonts w:ascii="仿宋" w:hAnsi="仿宋" w:eastAsia="仿宋" w:cs="仿宋"/>
          <w:b/>
          <w:color w:val="auto"/>
          <w:sz w:val="32"/>
          <w:szCs w:val="32"/>
          <w:lang w:val="zh-CN"/>
        </w:rPr>
      </w:pPr>
      <w:r>
        <w:rPr>
          <w:rFonts w:hint="eastAsia" w:ascii="仿宋" w:hAnsi="仿宋" w:eastAsia="仿宋" w:cs="仿宋"/>
          <w:b/>
          <w:color w:val="auto"/>
          <w:sz w:val="32"/>
          <w:szCs w:val="32"/>
          <w:lang w:val="zh-CN"/>
        </w:rPr>
        <w:t>估价报告出具日期：</w:t>
      </w:r>
      <w:r>
        <w:rPr>
          <w:rFonts w:hint="eastAsia" w:ascii="仿宋" w:hAnsi="仿宋" w:eastAsia="仿宋" w:cs="仿宋"/>
          <w:b/>
          <w:color w:val="auto"/>
          <w:sz w:val="32"/>
          <w:szCs w:val="32"/>
        </w:rPr>
        <w:t xml:space="preserve"> </w:t>
      </w:r>
      <w:r>
        <w:rPr>
          <w:rFonts w:hint="eastAsia" w:ascii="仿宋" w:hAnsi="仿宋" w:eastAsia="仿宋" w:cs="仿宋"/>
          <w:b/>
          <w:color w:val="auto"/>
          <w:sz w:val="32"/>
          <w:szCs w:val="32"/>
          <w:lang w:val="zh-CN"/>
        </w:rPr>
        <w:t>二〇二二年八月二十四日</w:t>
      </w:r>
    </w:p>
    <w:p>
      <w:pPr>
        <w:autoSpaceDE w:val="0"/>
        <w:autoSpaceDN w:val="0"/>
        <w:adjustRightInd w:val="0"/>
        <w:spacing w:line="1000" w:lineRule="exact"/>
        <w:rPr>
          <w:rFonts w:ascii="仿宋" w:hAnsi="仿宋" w:eastAsia="仿宋" w:cs="仿宋"/>
          <w:b/>
          <w:color w:val="auto"/>
          <w:sz w:val="32"/>
          <w:szCs w:val="32"/>
          <w:lang w:val="zh-CN"/>
        </w:rPr>
        <w:sectPr>
          <w:headerReference r:id="rId5" w:type="default"/>
          <w:footerReference r:id="rId6" w:type="default"/>
          <w:pgSz w:w="11906" w:h="16838"/>
          <w:pgMar w:top="1417" w:right="1134" w:bottom="1134" w:left="1474" w:header="737" w:footer="992" w:gutter="0"/>
          <w:pgNumType w:fmt="numberInDash" w:start="1"/>
          <w:cols w:space="0" w:num="1"/>
          <w:docGrid w:type="lines" w:linePitch="325" w:charSpace="0"/>
        </w:sectPr>
      </w:pPr>
    </w:p>
    <w:p>
      <w:pPr>
        <w:widowControl/>
        <w:spacing w:line="520" w:lineRule="exact"/>
        <w:rPr>
          <w:rFonts w:ascii="仿宋" w:hAnsi="仿宋" w:eastAsia="仿宋" w:cs="仿宋"/>
          <w:b/>
          <w:color w:val="auto"/>
          <w:kern w:val="0"/>
          <w:sz w:val="44"/>
          <w:szCs w:val="44"/>
        </w:rPr>
      </w:pPr>
    </w:p>
    <w:p>
      <w:pPr>
        <w:widowControl/>
        <w:spacing w:line="520" w:lineRule="exact"/>
        <w:jc w:val="center"/>
        <w:rPr>
          <w:rFonts w:ascii="仿宋" w:hAnsi="仿宋" w:eastAsia="仿宋" w:cs="仿宋"/>
          <w:b/>
          <w:color w:val="auto"/>
          <w:kern w:val="0"/>
          <w:sz w:val="44"/>
          <w:szCs w:val="44"/>
        </w:rPr>
      </w:pPr>
      <w:r>
        <w:rPr>
          <w:rFonts w:hint="eastAsia" w:ascii="仿宋" w:hAnsi="仿宋" w:eastAsia="仿宋" w:cs="仿宋"/>
          <w:b/>
          <w:color w:val="auto"/>
          <w:kern w:val="0"/>
          <w:sz w:val="44"/>
          <w:szCs w:val="44"/>
        </w:rPr>
        <w:t>致估价委托人函</w:t>
      </w:r>
    </w:p>
    <w:p>
      <w:pPr>
        <w:widowControl/>
        <w:spacing w:line="520" w:lineRule="exact"/>
        <w:jc w:val="center"/>
        <w:rPr>
          <w:rFonts w:ascii="仿宋" w:hAnsi="仿宋" w:eastAsia="仿宋" w:cs="仿宋"/>
          <w:b/>
          <w:color w:val="auto"/>
          <w:kern w:val="0"/>
          <w:sz w:val="44"/>
          <w:szCs w:val="44"/>
        </w:rPr>
      </w:pPr>
    </w:p>
    <w:p>
      <w:pPr>
        <w:widowControl/>
        <w:spacing w:line="560" w:lineRule="exact"/>
        <w:rPr>
          <w:rFonts w:ascii="仿宋" w:hAnsi="仿宋" w:eastAsia="仿宋" w:cs="仿宋"/>
          <w:b/>
          <w:bCs/>
          <w:color w:val="auto"/>
          <w:kern w:val="0"/>
          <w:sz w:val="28"/>
          <w:szCs w:val="28"/>
        </w:rPr>
      </w:pPr>
      <w:r>
        <w:rPr>
          <w:rFonts w:hint="eastAsia" w:ascii="仿宋" w:hAnsi="仿宋" w:eastAsia="仿宋" w:cs="仿宋"/>
          <w:b/>
          <w:bCs/>
          <w:color w:val="auto"/>
          <w:kern w:val="0"/>
          <w:sz w:val="28"/>
          <w:szCs w:val="28"/>
          <w:lang w:eastAsia="zh-CN"/>
        </w:rPr>
        <w:t>海林市人民法院</w:t>
      </w:r>
      <w:r>
        <w:rPr>
          <w:rFonts w:hint="eastAsia" w:ascii="仿宋" w:hAnsi="仿宋" w:eastAsia="仿宋" w:cs="仿宋"/>
          <w:b/>
          <w:bCs/>
          <w:color w:val="auto"/>
          <w:kern w:val="0"/>
          <w:sz w:val="28"/>
          <w:szCs w:val="28"/>
        </w:rPr>
        <w:t>：</w:t>
      </w:r>
    </w:p>
    <w:p>
      <w:pPr>
        <w:adjustRightInd w:val="0"/>
        <w:snapToGrid w:val="0"/>
        <w:spacing w:beforeLines="30" w:afterLines="30" w:line="500" w:lineRule="exact"/>
        <w:ind w:firstLine="470" w:firstLineChars="168"/>
        <w:rPr>
          <w:rFonts w:ascii="仿宋" w:hAnsi="仿宋" w:eastAsia="仿宋" w:cs="仿宋"/>
          <w:color w:val="auto"/>
          <w:kern w:val="0"/>
          <w:sz w:val="28"/>
          <w:szCs w:val="28"/>
        </w:rPr>
      </w:pPr>
      <w:r>
        <w:rPr>
          <w:rFonts w:hint="eastAsia" w:ascii="仿宋" w:hAnsi="仿宋" w:eastAsia="仿宋" w:cs="仿宋"/>
          <w:color w:val="auto"/>
          <w:kern w:val="0"/>
          <w:sz w:val="28"/>
          <w:szCs w:val="28"/>
        </w:rPr>
        <w:t>我公司受贵院委托，委派注册房地产估价师对估价对象进行评估。</w:t>
      </w:r>
    </w:p>
    <w:p>
      <w:pPr>
        <w:adjustRightInd w:val="0"/>
        <w:snapToGrid w:val="0"/>
        <w:spacing w:beforeLines="30" w:afterLines="30" w:line="500" w:lineRule="exact"/>
        <w:ind w:firstLine="470" w:firstLineChars="168"/>
        <w:rPr>
          <w:rFonts w:ascii="仿宋" w:hAnsi="仿宋" w:eastAsia="仿宋" w:cs="仿宋"/>
          <w:color w:val="auto"/>
          <w:kern w:val="0"/>
          <w:sz w:val="28"/>
          <w:szCs w:val="28"/>
        </w:rPr>
      </w:pPr>
      <w:r>
        <w:rPr>
          <w:rFonts w:hint="eastAsia" w:ascii="仿宋" w:hAnsi="仿宋" w:eastAsia="仿宋" w:cs="仿宋"/>
          <w:color w:val="auto"/>
          <w:kern w:val="0"/>
          <w:sz w:val="28"/>
          <w:szCs w:val="28"/>
        </w:rPr>
        <w:t>估价目的：</w:t>
      </w:r>
      <w:r>
        <w:rPr>
          <w:rFonts w:hint="eastAsia" w:ascii="仿宋" w:hAnsi="仿宋" w:eastAsia="仿宋" w:cs="仿宋"/>
          <w:color w:val="auto"/>
          <w:sz w:val="28"/>
          <w:szCs w:val="28"/>
        </w:rPr>
        <w:t>为人民法院确定财产处置参考价提供参考依据。</w:t>
      </w:r>
    </w:p>
    <w:p>
      <w:pPr>
        <w:adjustRightInd w:val="0"/>
        <w:snapToGrid w:val="0"/>
        <w:spacing w:beforeLines="30" w:afterLines="30" w:line="500" w:lineRule="exact"/>
        <w:ind w:firstLine="470" w:firstLineChars="168"/>
        <w:rPr>
          <w:rFonts w:ascii="仿宋" w:hAnsi="仿宋" w:eastAsia="仿宋" w:cs="仿宋"/>
          <w:color w:val="auto"/>
          <w:kern w:val="0"/>
          <w:sz w:val="28"/>
          <w:szCs w:val="28"/>
        </w:rPr>
      </w:pPr>
      <w:r>
        <w:rPr>
          <w:rFonts w:hint="eastAsia" w:ascii="仿宋" w:hAnsi="仿宋" w:eastAsia="仿宋" w:cs="仿宋"/>
          <w:color w:val="auto"/>
          <w:kern w:val="0"/>
          <w:sz w:val="28"/>
          <w:szCs w:val="28"/>
        </w:rPr>
        <w:t>估价对象：根据委托方提供的《委托书》原件、</w:t>
      </w:r>
      <w:r>
        <w:rPr>
          <w:rFonts w:hint="eastAsia" w:ascii="仿宋" w:hAnsi="仿宋" w:eastAsia="仿宋" w:cs="仿宋"/>
          <w:color w:val="auto"/>
          <w:kern w:val="0"/>
          <w:sz w:val="28"/>
          <w:szCs w:val="28"/>
          <w:lang w:eastAsia="zh-CN"/>
        </w:rPr>
        <w:t>海林市不动产权证复印件</w:t>
      </w:r>
      <w:r>
        <w:rPr>
          <w:rFonts w:hint="eastAsia" w:ascii="仿宋" w:hAnsi="仿宋" w:eastAsia="仿宋" w:cs="仿宋"/>
          <w:color w:val="auto"/>
          <w:kern w:val="0"/>
          <w:sz w:val="28"/>
          <w:szCs w:val="28"/>
        </w:rPr>
        <w:t>确定本次估价的财产范围为房屋所有权及应分摊的合理范围内的土地使用权（包含房屋的装饰装修和设备设施），不包括动产、债权债务等其他财产或权益，估价对象坐落于</w:t>
      </w:r>
      <w:r>
        <w:rPr>
          <w:rFonts w:hint="eastAsia" w:ascii="仿宋" w:hAnsi="仿宋" w:eastAsia="仿宋" w:cs="仿宋"/>
          <w:bCs/>
          <w:color w:val="auto"/>
          <w:sz w:val="28"/>
          <w:szCs w:val="28"/>
          <w:lang w:eastAsia="zh-CN"/>
        </w:rPr>
        <w:t>海林市和兴瀚城5#楼斗银东区7委1单元14层04室、05室、06室、07室、08室、09室、10室、11室、12室、13室、13A室、15室</w:t>
      </w:r>
      <w:r>
        <w:rPr>
          <w:rFonts w:hint="eastAsia" w:ascii="仿宋" w:hAnsi="仿宋" w:eastAsia="仿宋" w:cs="仿宋"/>
          <w:bCs/>
          <w:color w:val="auto"/>
          <w:sz w:val="28"/>
          <w:szCs w:val="28"/>
        </w:rPr>
        <w:t>，</w:t>
      </w:r>
      <w:r>
        <w:rPr>
          <w:rFonts w:hint="eastAsia" w:ascii="仿宋" w:hAnsi="仿宋" w:eastAsia="仿宋" w:cs="仿宋"/>
          <w:bCs/>
          <w:color w:val="auto"/>
          <w:sz w:val="28"/>
          <w:szCs w:val="28"/>
          <w:lang w:val="en-US" w:eastAsia="zh-CN"/>
        </w:rPr>
        <w:t>12</w:t>
      </w:r>
      <w:r>
        <w:rPr>
          <w:rFonts w:hint="eastAsia" w:ascii="仿宋" w:hAnsi="仿宋" w:eastAsia="仿宋" w:cs="仿宋"/>
          <w:bCs/>
          <w:color w:val="auto"/>
          <w:sz w:val="28"/>
          <w:szCs w:val="28"/>
        </w:rPr>
        <w:t>户住宅房屋</w:t>
      </w:r>
      <w:r>
        <w:rPr>
          <w:rFonts w:hint="eastAsia" w:ascii="仿宋" w:hAnsi="仿宋" w:eastAsia="仿宋" w:cs="仿宋"/>
          <w:bCs/>
          <w:color w:val="auto"/>
          <w:kern w:val="0"/>
          <w:sz w:val="28"/>
          <w:szCs w:val="28"/>
        </w:rPr>
        <w:t>，</w:t>
      </w:r>
      <w:r>
        <w:rPr>
          <w:rFonts w:hint="eastAsia" w:ascii="仿宋" w:hAnsi="仿宋" w:eastAsia="仿宋" w:cs="仿宋"/>
          <w:color w:val="auto"/>
          <w:kern w:val="0"/>
          <w:sz w:val="28"/>
          <w:szCs w:val="28"/>
        </w:rPr>
        <w:t>建筑面积</w:t>
      </w:r>
      <w:r>
        <w:rPr>
          <w:rFonts w:hint="eastAsia" w:ascii="仿宋" w:hAnsi="仿宋" w:eastAsia="仿宋" w:cs="仿宋"/>
          <w:color w:val="auto"/>
          <w:kern w:val="0"/>
          <w:sz w:val="28"/>
          <w:szCs w:val="28"/>
          <w:lang w:eastAsia="zh-CN"/>
        </w:rPr>
        <w:t>：</w:t>
      </w:r>
      <w:r>
        <w:rPr>
          <w:rFonts w:hint="eastAsia" w:ascii="仿宋" w:hAnsi="仿宋" w:eastAsia="仿宋" w:cs="仿宋"/>
          <w:color w:val="auto"/>
          <w:sz w:val="28"/>
          <w:szCs w:val="28"/>
          <w:lang w:eastAsia="zh-CN"/>
        </w:rPr>
        <w:t>详见附表</w:t>
      </w:r>
      <w:r>
        <w:rPr>
          <w:rFonts w:hint="eastAsia" w:ascii="仿宋" w:hAnsi="仿宋" w:eastAsia="仿宋" w:cs="仿宋"/>
          <w:color w:val="auto"/>
          <w:kern w:val="0"/>
          <w:sz w:val="28"/>
          <w:szCs w:val="28"/>
        </w:rPr>
        <w:t>，房屋用途为住宅，房屋所有权人为</w:t>
      </w:r>
      <w:r>
        <w:rPr>
          <w:rFonts w:hint="eastAsia" w:ascii="仿宋" w:hAnsi="仿宋" w:eastAsia="仿宋" w:cs="仿宋"/>
          <w:color w:val="auto"/>
          <w:kern w:val="0"/>
          <w:sz w:val="28"/>
          <w:szCs w:val="28"/>
          <w:lang w:eastAsia="zh-CN"/>
        </w:rPr>
        <w:t>：</w:t>
      </w:r>
      <w:r>
        <w:rPr>
          <w:rFonts w:hint="eastAsia" w:ascii="仿宋" w:hAnsi="仿宋" w:eastAsia="仿宋" w:cs="仿宋"/>
          <w:color w:val="auto"/>
          <w:sz w:val="28"/>
          <w:szCs w:val="28"/>
          <w:lang w:eastAsia="zh-CN"/>
        </w:rPr>
        <w:t>郭欣</w:t>
      </w:r>
      <w:r>
        <w:rPr>
          <w:rFonts w:hint="eastAsia" w:ascii="仿宋" w:hAnsi="仿宋" w:eastAsia="仿宋" w:cs="仿宋"/>
          <w:color w:val="auto"/>
          <w:kern w:val="0"/>
          <w:sz w:val="28"/>
          <w:szCs w:val="28"/>
        </w:rPr>
        <w:t>。</w:t>
      </w:r>
    </w:p>
    <w:p>
      <w:pPr>
        <w:adjustRightInd w:val="0"/>
        <w:snapToGrid w:val="0"/>
        <w:spacing w:beforeLines="30" w:afterLines="30" w:line="500" w:lineRule="exact"/>
        <w:ind w:firstLine="470" w:firstLineChars="168"/>
        <w:rPr>
          <w:rFonts w:ascii="仿宋" w:hAnsi="仿宋" w:eastAsia="仿宋" w:cs="仿宋"/>
          <w:color w:val="auto"/>
          <w:kern w:val="0"/>
          <w:sz w:val="28"/>
          <w:szCs w:val="28"/>
        </w:rPr>
      </w:pPr>
      <w:r>
        <w:rPr>
          <w:rFonts w:hint="eastAsia" w:ascii="仿宋" w:hAnsi="仿宋" w:eastAsia="仿宋" w:cs="仿宋"/>
          <w:color w:val="auto"/>
          <w:kern w:val="0"/>
          <w:sz w:val="28"/>
          <w:szCs w:val="28"/>
        </w:rPr>
        <w:t>价值时点：</w:t>
      </w:r>
      <w:r>
        <w:rPr>
          <w:rFonts w:hint="eastAsia" w:ascii="仿宋" w:hAnsi="仿宋" w:eastAsia="仿宋" w:cs="仿宋"/>
          <w:color w:val="auto"/>
          <w:kern w:val="0"/>
          <w:sz w:val="28"/>
          <w:szCs w:val="28"/>
          <w:lang w:eastAsia="zh-CN"/>
        </w:rPr>
        <w:t>2022年8月16日</w:t>
      </w:r>
      <w:r>
        <w:rPr>
          <w:rFonts w:hint="eastAsia" w:ascii="仿宋" w:hAnsi="仿宋" w:eastAsia="仿宋" w:cs="仿宋"/>
          <w:color w:val="auto"/>
          <w:kern w:val="0"/>
          <w:sz w:val="28"/>
          <w:szCs w:val="28"/>
        </w:rPr>
        <w:t>。</w:t>
      </w:r>
    </w:p>
    <w:p>
      <w:pPr>
        <w:adjustRightInd w:val="0"/>
        <w:snapToGrid w:val="0"/>
        <w:spacing w:beforeLines="30" w:afterLines="30" w:line="500" w:lineRule="exact"/>
        <w:ind w:firstLine="470" w:firstLineChars="168"/>
        <w:rPr>
          <w:rFonts w:ascii="仿宋" w:hAnsi="仿宋" w:eastAsia="仿宋" w:cs="仿宋"/>
          <w:color w:val="auto"/>
          <w:kern w:val="0"/>
          <w:sz w:val="28"/>
          <w:szCs w:val="28"/>
        </w:rPr>
      </w:pPr>
      <w:r>
        <w:rPr>
          <w:rFonts w:hint="eastAsia" w:ascii="仿宋" w:hAnsi="仿宋" w:eastAsia="仿宋" w:cs="仿宋"/>
          <w:color w:val="auto"/>
          <w:kern w:val="0"/>
          <w:sz w:val="28"/>
          <w:szCs w:val="28"/>
        </w:rPr>
        <w:t>价值类型：市场价值。</w:t>
      </w:r>
    </w:p>
    <w:p>
      <w:pPr>
        <w:adjustRightInd w:val="0"/>
        <w:snapToGrid w:val="0"/>
        <w:spacing w:beforeLines="30" w:afterLines="30" w:line="500" w:lineRule="exact"/>
        <w:ind w:firstLine="470" w:firstLineChars="168"/>
        <w:rPr>
          <w:rFonts w:ascii="仿宋" w:hAnsi="仿宋" w:eastAsia="仿宋" w:cs="仿宋"/>
          <w:color w:val="auto"/>
          <w:kern w:val="0"/>
          <w:sz w:val="28"/>
          <w:szCs w:val="28"/>
        </w:rPr>
      </w:pPr>
      <w:r>
        <w:rPr>
          <w:rFonts w:hint="eastAsia" w:ascii="仿宋" w:hAnsi="仿宋" w:eastAsia="仿宋" w:cs="仿宋"/>
          <w:color w:val="auto"/>
          <w:kern w:val="0"/>
          <w:sz w:val="28"/>
          <w:szCs w:val="28"/>
        </w:rPr>
        <w:t>估价方法：比较法。</w:t>
      </w:r>
    </w:p>
    <w:p>
      <w:pPr>
        <w:ind w:firstLine="420"/>
        <w:rPr>
          <w:rFonts w:ascii="仿宋" w:hAnsi="仿宋" w:eastAsia="仿宋" w:cs="仿宋"/>
          <w:color w:val="auto"/>
          <w:sz w:val="28"/>
          <w:szCs w:val="28"/>
        </w:rPr>
      </w:pPr>
      <w:r>
        <w:rPr>
          <w:rFonts w:hint="eastAsia" w:ascii="仿宋" w:hAnsi="仿宋" w:eastAsia="仿宋" w:cs="仿宋"/>
          <w:color w:val="auto"/>
          <w:kern w:val="0"/>
          <w:sz w:val="28"/>
          <w:szCs w:val="28"/>
        </w:rPr>
        <w:t>本次估价按照估价程序，经过实地查勘和市场调查，遵照《中华人民共和国城市房地产管理法》《中华人民共和国资产评估法》《最高人民法院关于人民法院确定财产处置参考价若干问题的规定》《人民法院委托评估工作规范》等法律法规，以及《房地产估价规范》（GB/T50291-2015）《房地产估价基本术语标准》GB/T 50899-2013等标准规范，按照科学的估价程序，遵循独立、客观、公正原则，经过认真的测算，最终确定估价对象在本估价报告的假设和限制条件及价值时点的房地产市场价值为人民币：</w:t>
      </w:r>
      <w:r>
        <w:rPr>
          <w:rFonts w:hint="eastAsia" w:ascii="仿宋" w:hAnsi="仿宋" w:eastAsia="仿宋" w:cs="仿宋"/>
          <w:color w:val="auto"/>
          <w:kern w:val="0"/>
          <w:sz w:val="28"/>
          <w:szCs w:val="28"/>
          <w:lang w:eastAsia="zh-CN"/>
        </w:rPr>
        <w:t>1,223,732.00</w:t>
      </w:r>
      <w:r>
        <w:rPr>
          <w:rFonts w:hint="eastAsia" w:ascii="仿宋" w:hAnsi="仿宋" w:eastAsia="仿宋" w:cs="仿宋"/>
          <w:color w:val="auto"/>
          <w:sz w:val="28"/>
          <w:szCs w:val="28"/>
        </w:rPr>
        <w:t>元 大写（人民币）：</w:t>
      </w:r>
      <w:r>
        <w:rPr>
          <w:rFonts w:hint="eastAsia" w:ascii="仿宋" w:hAnsi="仿宋" w:eastAsia="仿宋" w:cs="仿宋"/>
          <w:color w:val="auto"/>
          <w:sz w:val="28"/>
          <w:szCs w:val="28"/>
          <w:lang w:eastAsia="zh-CN"/>
        </w:rPr>
        <w:t>壹佰贰拾贰万叁仟柒佰叁拾贰</w:t>
      </w:r>
      <w:r>
        <w:rPr>
          <w:rFonts w:hint="eastAsia" w:ascii="仿宋" w:hAnsi="仿宋" w:eastAsia="仿宋" w:cs="仿宋"/>
          <w:color w:val="auto"/>
          <w:sz w:val="28"/>
          <w:szCs w:val="28"/>
        </w:rPr>
        <w:t>元整；折合建筑面积平均单位价格或价值为：</w:t>
      </w:r>
      <w:r>
        <w:rPr>
          <w:rFonts w:hint="eastAsia" w:ascii="仿宋" w:hAnsi="仿宋" w:eastAsia="仿宋" w:cs="仿宋"/>
          <w:color w:val="auto"/>
          <w:sz w:val="28"/>
          <w:szCs w:val="28"/>
          <w:lang w:eastAsia="zh-CN"/>
        </w:rPr>
        <w:t>2,710.00</w:t>
      </w:r>
      <w:r>
        <w:rPr>
          <w:rFonts w:hint="eastAsia" w:ascii="仿宋" w:hAnsi="仿宋" w:eastAsia="仿宋" w:cs="仿宋"/>
          <w:color w:val="auto"/>
          <w:sz w:val="28"/>
          <w:szCs w:val="28"/>
        </w:rPr>
        <w:t>元/㎡</w:t>
      </w:r>
      <w:r>
        <w:rPr>
          <w:rFonts w:hint="eastAsia" w:ascii="仿宋" w:hAnsi="仿宋" w:eastAsia="仿宋" w:cs="仿宋"/>
          <w:color w:val="auto"/>
          <w:sz w:val="28"/>
          <w:szCs w:val="28"/>
          <w:lang w:eastAsia="zh-CN"/>
        </w:rPr>
        <w:t>详见附表</w:t>
      </w:r>
      <w:r>
        <w:rPr>
          <w:rFonts w:hint="eastAsia" w:ascii="仿宋" w:hAnsi="仿宋" w:eastAsia="仿宋" w:cs="仿宋"/>
          <w:color w:val="auto"/>
          <w:sz w:val="28"/>
          <w:szCs w:val="28"/>
        </w:rPr>
        <w:t>。</w:t>
      </w:r>
    </w:p>
    <w:p>
      <w:pPr>
        <w:autoSpaceDE w:val="0"/>
        <w:autoSpaceDN w:val="0"/>
        <w:adjustRightInd w:val="0"/>
        <w:snapToGrid w:val="0"/>
        <w:spacing w:line="5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评估报告使用特别提示：</w:t>
      </w:r>
    </w:p>
    <w:p>
      <w:pPr>
        <w:autoSpaceDE w:val="0"/>
        <w:autoSpaceDN w:val="0"/>
        <w:adjustRightInd w:val="0"/>
        <w:snapToGrid w:val="0"/>
        <w:spacing w:line="5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（一）财产拍卖（或者变卖）日期与评估报告载明的价值时点不一致的，评估对象状况或者房地产市场状况的变化会对评估结果产生影响；</w:t>
      </w:r>
    </w:p>
    <w:p>
      <w:pPr>
        <w:autoSpaceDE w:val="0"/>
        <w:autoSpaceDN w:val="0"/>
        <w:adjustRightInd w:val="0"/>
        <w:snapToGrid w:val="0"/>
        <w:spacing w:line="5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（二）在评估结果有效期内，评估对象状况或者房地产市场发生明显变化的，评估结果应当进行相应调整；</w:t>
      </w:r>
    </w:p>
    <w:p>
      <w:pPr>
        <w:autoSpaceDE w:val="0"/>
        <w:autoSpaceDN w:val="0"/>
        <w:adjustRightInd w:val="0"/>
        <w:snapToGrid w:val="0"/>
        <w:spacing w:line="5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（三）委托人或者评估报告使用人应当按照法律规定和评估报告载明的使用范围使用评估报告，违反该规定使用评估报告的，房地产估价机构和注册房地产估价师依法不承担责任；</w:t>
      </w:r>
    </w:p>
    <w:p>
      <w:pPr>
        <w:autoSpaceDE w:val="0"/>
        <w:autoSpaceDN w:val="0"/>
        <w:adjustRightInd w:val="0"/>
        <w:snapToGrid w:val="0"/>
        <w:spacing w:line="5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（四）评估结果不等于评估对象处置可实现的成交价，不应被认为是对评估对象处置成交价的保证；</w:t>
      </w:r>
    </w:p>
    <w:p>
      <w:pPr>
        <w:autoSpaceDE w:val="0"/>
        <w:autoSpaceDN w:val="0"/>
        <w:adjustRightInd w:val="0"/>
        <w:snapToGrid w:val="0"/>
        <w:spacing w:line="5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（五）</w:t>
      </w:r>
      <w:r>
        <w:rPr>
          <w:rFonts w:hint="eastAsia" w:ascii="仿宋" w:hAnsi="仿宋" w:eastAsia="仿宋" w:cs="仿宋"/>
          <w:color w:val="auto"/>
          <w:kern w:val="0"/>
          <w:sz w:val="28"/>
          <w:szCs w:val="28"/>
          <w:lang w:eastAsia="zh-CN"/>
        </w:rPr>
        <w:t>2022年8月16日</w:t>
      </w:r>
      <w:r>
        <w:rPr>
          <w:rFonts w:hint="eastAsia" w:ascii="仿宋" w:hAnsi="仿宋" w:eastAsia="仿宋" w:cs="仿宋"/>
          <w:color w:val="auto"/>
          <w:kern w:val="0"/>
          <w:sz w:val="28"/>
          <w:szCs w:val="28"/>
        </w:rPr>
        <w:t>案件申请执行人、注册房地产估价师进行实地查勘。</w:t>
      </w:r>
    </w:p>
    <w:p>
      <w:pPr>
        <w:autoSpaceDE w:val="0"/>
        <w:autoSpaceDN w:val="0"/>
        <w:adjustRightInd w:val="0"/>
        <w:snapToGrid w:val="0"/>
        <w:spacing w:line="5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报告使用人在使用本报告之前需对估价报告书全文，特别是“估价的假设和限制条件”认真阅读，以免使用不当，造成损失！</w:t>
      </w:r>
    </w:p>
    <w:p>
      <w:pPr>
        <w:autoSpaceDE w:val="0"/>
        <w:autoSpaceDN w:val="0"/>
        <w:adjustRightInd w:val="0"/>
        <w:snapToGrid w:val="0"/>
        <w:spacing w:line="540" w:lineRule="exact"/>
        <w:ind w:firstLine="5320" w:firstLineChars="1900"/>
        <w:rPr>
          <w:rFonts w:ascii="仿宋" w:hAnsi="仿宋" w:eastAsia="仿宋" w:cs="仿宋"/>
          <w:color w:val="auto"/>
          <w:kern w:val="0"/>
          <w:sz w:val="28"/>
          <w:szCs w:val="28"/>
        </w:rPr>
      </w:pPr>
    </w:p>
    <w:p>
      <w:pPr>
        <w:autoSpaceDE w:val="0"/>
        <w:autoSpaceDN w:val="0"/>
        <w:adjustRightInd w:val="0"/>
        <w:snapToGrid w:val="0"/>
        <w:spacing w:line="540" w:lineRule="exact"/>
        <w:ind w:firstLine="4200" w:firstLineChars="1500"/>
        <w:rPr>
          <w:rFonts w:ascii="仿宋" w:hAnsi="仿宋" w:eastAsia="仿宋" w:cs="仿宋"/>
          <w:color w:val="auto"/>
          <w:sz w:val="28"/>
          <w:szCs w:val="28"/>
        </w:rPr>
      </w:pPr>
      <w:r>
        <w:rPr>
          <w:rFonts w:hint="eastAsia" w:ascii="仿宋" w:hAnsi="仿宋" w:eastAsia="仿宋" w:cs="仿宋"/>
          <w:color w:val="auto"/>
          <w:sz w:val="28"/>
          <w:szCs w:val="28"/>
        </w:rPr>
        <w:t>黑龙江天之骄房地产资产评估有限公司</w:t>
      </w:r>
    </w:p>
    <w:p>
      <w:pPr>
        <w:autoSpaceDE w:val="0"/>
        <w:autoSpaceDN w:val="0"/>
        <w:adjustRightInd w:val="0"/>
        <w:snapToGrid w:val="0"/>
        <w:spacing w:line="540" w:lineRule="exact"/>
        <w:rPr>
          <w:rFonts w:ascii="仿宋" w:hAnsi="仿宋" w:eastAsia="仿宋" w:cs="仿宋"/>
          <w:bCs/>
          <w:color w:val="auto"/>
          <w:sz w:val="28"/>
          <w:szCs w:val="28"/>
        </w:rPr>
      </w:pPr>
      <w:r>
        <w:rPr>
          <w:rFonts w:hint="eastAsia" w:ascii="仿宋" w:hAnsi="仿宋" w:eastAsia="仿宋" w:cs="仿宋"/>
          <w:bCs/>
          <w:color w:val="auto"/>
          <w:sz w:val="28"/>
          <w:szCs w:val="28"/>
        </w:rPr>
        <w:t xml:space="preserve">                                  </w:t>
      </w:r>
      <w:r>
        <w:rPr>
          <w:rFonts w:hint="eastAsia" w:ascii="仿宋" w:hAnsi="仿宋" w:eastAsia="仿宋" w:cs="仿宋"/>
          <w:color w:val="auto"/>
          <w:kern w:val="0"/>
          <w:sz w:val="28"/>
          <w:szCs w:val="28"/>
        </w:rPr>
        <w:t>法定代表人：</w:t>
      </w:r>
    </w:p>
    <w:p>
      <w:pPr>
        <w:tabs>
          <w:tab w:val="left" w:pos="1572"/>
        </w:tabs>
        <w:spacing w:line="560" w:lineRule="exact"/>
        <w:ind w:firstLine="5341" w:firstLineChars="1900"/>
        <w:rPr>
          <w:rFonts w:ascii="仿宋" w:hAnsi="仿宋" w:eastAsia="仿宋" w:cs="仿宋"/>
          <w:b/>
          <w:color w:val="auto"/>
          <w:sz w:val="28"/>
          <w:szCs w:val="28"/>
          <w:lang w:val="zh-CN"/>
        </w:rPr>
      </w:pPr>
    </w:p>
    <w:p>
      <w:pPr>
        <w:tabs>
          <w:tab w:val="left" w:pos="1572"/>
        </w:tabs>
        <w:spacing w:line="560" w:lineRule="exact"/>
        <w:ind w:firstLine="5320" w:firstLineChars="1900"/>
        <w:rPr>
          <w:rFonts w:ascii="仿宋" w:hAnsi="仿宋" w:eastAsia="仿宋" w:cs="仿宋"/>
          <w:bCs/>
          <w:color w:val="auto"/>
          <w:sz w:val="28"/>
          <w:szCs w:val="28"/>
        </w:rPr>
        <w:sectPr>
          <w:footerReference r:id="rId7" w:type="default"/>
          <w:pgSz w:w="11906" w:h="16838"/>
          <w:pgMar w:top="1417" w:right="1134" w:bottom="1134" w:left="1474" w:header="737" w:footer="992" w:gutter="0"/>
          <w:pgNumType w:fmt="numberInDash" w:start="1"/>
          <w:cols w:space="0" w:num="1"/>
          <w:docGrid w:type="lines" w:linePitch="325" w:charSpace="0"/>
        </w:sectPr>
      </w:pPr>
      <w:r>
        <w:rPr>
          <w:rFonts w:hint="eastAsia" w:ascii="仿宋" w:hAnsi="仿宋" w:eastAsia="仿宋" w:cs="仿宋"/>
          <w:bCs/>
          <w:color w:val="auto"/>
          <w:sz w:val="28"/>
          <w:szCs w:val="28"/>
          <w:lang w:val="zh-CN"/>
        </w:rPr>
        <w:t>二〇二二年八月二十四日</w:t>
      </w:r>
    </w:p>
    <w:sdt>
      <w:sdtPr>
        <w:rPr>
          <w:rFonts w:hint="eastAsia" w:ascii="仿宋" w:hAnsi="仿宋" w:eastAsia="仿宋" w:cs="仿宋"/>
          <w:color w:val="auto"/>
        </w:rPr>
        <w:id w:val="147481843"/>
        <w:docPartObj>
          <w:docPartGallery w:val="Table of Contents"/>
          <w:docPartUnique/>
        </w:docPartObj>
      </w:sdtPr>
      <w:sdtEndPr>
        <w:rPr>
          <w:rFonts w:hint="eastAsia" w:ascii="仿宋" w:hAnsi="仿宋" w:eastAsia="仿宋" w:cs="仿宋"/>
          <w:b/>
          <w:color w:val="auto"/>
        </w:rPr>
      </w:sdtEndPr>
      <w:sdtContent>
        <w:p>
          <w:pPr>
            <w:spacing w:line="240" w:lineRule="auto"/>
            <w:jc w:val="center"/>
            <w:rPr>
              <w:rFonts w:ascii="仿宋" w:hAnsi="仿宋" w:eastAsia="仿宋" w:cs="仿宋"/>
              <w:color w:val="auto"/>
              <w:sz w:val="28"/>
              <w:szCs w:val="28"/>
            </w:rPr>
          </w:pPr>
          <w:r>
            <w:rPr>
              <w:rFonts w:hint="eastAsia" w:ascii="仿宋" w:hAnsi="仿宋" w:eastAsia="仿宋" w:cs="仿宋"/>
              <w:b/>
              <w:bCs/>
              <w:color w:val="auto"/>
              <w:sz w:val="32"/>
              <w:szCs w:val="32"/>
            </w:rPr>
            <w:t>目  录</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"1-2" \h \u </w:instrText>
          </w:r>
          <w:r>
            <w:rPr>
              <w:rFonts w:hint="eastAsia" w:ascii="仿宋" w:hAnsi="仿宋" w:eastAsia="仿宋" w:cs="仿宋"/>
              <w:color w:val="auto"/>
              <w:sz w:val="28"/>
              <w:szCs w:val="28"/>
            </w:rPr>
            <w:fldChar w:fldCharType="separate"/>
          </w:r>
        </w:p>
        <w:p>
          <w:pPr>
            <w:pStyle w:val="15"/>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"_Toc29002" </w:instrText>
          </w:r>
          <w:r>
            <w:rPr>
              <w:color w:val="auto"/>
            </w:rPr>
            <w:fldChar w:fldCharType="separate"/>
          </w:r>
          <w:r>
            <w:rPr>
              <w:rFonts w:hint="eastAsia" w:ascii="仿宋" w:hAnsi="仿宋" w:eastAsia="仿宋" w:cs="仿宋"/>
              <w:color w:val="auto"/>
              <w:sz w:val="28"/>
              <w:szCs w:val="28"/>
            </w:rPr>
            <w:t>估价师声明</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_Toc29002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- 1 -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5"/>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"_Toc8774" </w:instrText>
          </w:r>
          <w:r>
            <w:rPr>
              <w:color w:val="auto"/>
            </w:rPr>
            <w:fldChar w:fldCharType="separate"/>
          </w:r>
          <w:r>
            <w:rPr>
              <w:rFonts w:hint="eastAsia" w:ascii="仿宋" w:hAnsi="仿宋" w:eastAsia="仿宋" w:cs="仿宋"/>
              <w:color w:val="auto"/>
              <w:sz w:val="28"/>
              <w:szCs w:val="28"/>
            </w:rPr>
            <w:t>估价假设和限制条件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_Toc8774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- 2 -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"_Toc1883" </w:instrText>
          </w:r>
          <w:r>
            <w:rPr>
              <w:color w:val="auto"/>
            </w:rPr>
            <w:fldChar w:fldCharType="separate"/>
          </w:r>
          <w:r>
            <w:rPr>
              <w:rFonts w:hint="eastAsia" w:ascii="仿宋" w:hAnsi="仿宋" w:eastAsia="仿宋" w:cs="仿宋"/>
              <w:color w:val="auto"/>
              <w:sz w:val="28"/>
              <w:szCs w:val="28"/>
            </w:rPr>
            <w:t>一、一般假设</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_Toc1883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- 2 -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"_Toc21490" </w:instrText>
          </w:r>
          <w:r>
            <w:rPr>
              <w:color w:val="auto"/>
            </w:rPr>
            <w:fldChar w:fldCharType="separate"/>
          </w:r>
          <w:r>
            <w:rPr>
              <w:rFonts w:hint="eastAsia" w:ascii="仿宋" w:hAnsi="仿宋" w:eastAsia="仿宋" w:cs="仿宋"/>
              <w:color w:val="auto"/>
              <w:sz w:val="28"/>
              <w:szCs w:val="28"/>
            </w:rPr>
            <w:t>二、未定事项假设</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_Toc21490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- 3 -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"_Toc3800" </w:instrText>
          </w:r>
          <w:r>
            <w:rPr>
              <w:color w:val="auto"/>
            </w:rPr>
            <w:fldChar w:fldCharType="separate"/>
          </w:r>
          <w:r>
            <w:rPr>
              <w:rFonts w:hint="eastAsia" w:ascii="仿宋" w:hAnsi="仿宋" w:eastAsia="仿宋" w:cs="仿宋"/>
              <w:color w:val="auto"/>
              <w:sz w:val="28"/>
              <w:szCs w:val="28"/>
            </w:rPr>
            <w:t>三、背离事实假设</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_Toc3800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- 3 -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"_Toc32662" </w:instrText>
          </w:r>
          <w:r>
            <w:rPr>
              <w:color w:val="auto"/>
            </w:rPr>
            <w:fldChar w:fldCharType="separate"/>
          </w:r>
          <w:r>
            <w:rPr>
              <w:rFonts w:hint="eastAsia" w:ascii="仿宋" w:hAnsi="仿宋" w:eastAsia="仿宋" w:cs="仿宋"/>
              <w:color w:val="auto"/>
              <w:sz w:val="28"/>
              <w:szCs w:val="28"/>
            </w:rPr>
            <w:t>四、不相一致假设</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_Toc32662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- 3 -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"_Toc32439" </w:instrText>
          </w:r>
          <w:r>
            <w:rPr>
              <w:color w:val="auto"/>
            </w:rPr>
            <w:fldChar w:fldCharType="separate"/>
          </w:r>
          <w:r>
            <w:rPr>
              <w:rFonts w:hint="eastAsia" w:ascii="仿宋" w:hAnsi="仿宋" w:eastAsia="仿宋" w:cs="仿宋"/>
              <w:color w:val="auto"/>
              <w:sz w:val="28"/>
              <w:szCs w:val="28"/>
            </w:rPr>
            <w:t>五、依据不足假设</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_Toc32439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- 3 -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"_Toc11317" </w:instrText>
          </w:r>
          <w:r>
            <w:rPr>
              <w:color w:val="auto"/>
            </w:rPr>
            <w:fldChar w:fldCharType="separate"/>
          </w:r>
          <w:r>
            <w:rPr>
              <w:rFonts w:hint="eastAsia" w:ascii="仿宋" w:hAnsi="仿宋" w:eastAsia="仿宋" w:cs="仿宋"/>
              <w:color w:val="auto"/>
              <w:sz w:val="28"/>
              <w:szCs w:val="28"/>
            </w:rPr>
            <w:t>六、估价报告使用限制条件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_Toc11317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- 3 -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5"/>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"_Toc1613" </w:instrText>
          </w:r>
          <w:r>
            <w:rPr>
              <w:color w:val="auto"/>
            </w:rPr>
            <w:fldChar w:fldCharType="separate"/>
          </w:r>
          <w:r>
            <w:rPr>
              <w:rFonts w:hint="eastAsia" w:ascii="仿宋" w:hAnsi="仿宋" w:eastAsia="仿宋" w:cs="仿宋"/>
              <w:color w:val="auto"/>
              <w:sz w:val="28"/>
              <w:szCs w:val="28"/>
            </w:rPr>
            <w:t>房地产估价结果报告</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_Toc1613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- 5 -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"_Toc30197" </w:instrText>
          </w:r>
          <w:r>
            <w:rPr>
              <w:color w:val="auto"/>
            </w:rPr>
            <w:fldChar w:fldCharType="separate"/>
          </w:r>
          <w:r>
            <w:rPr>
              <w:rFonts w:hint="eastAsia" w:ascii="仿宋" w:hAnsi="仿宋" w:eastAsia="仿宋" w:cs="仿宋"/>
              <w:color w:val="auto"/>
              <w:sz w:val="28"/>
              <w:szCs w:val="28"/>
            </w:rPr>
            <w:t>一、委托人</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_Toc30197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- 5 -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"_Toc161" </w:instrText>
          </w:r>
          <w:r>
            <w:rPr>
              <w:color w:val="auto"/>
            </w:rPr>
            <w:fldChar w:fldCharType="separate"/>
          </w:r>
          <w:r>
            <w:rPr>
              <w:rFonts w:hint="eastAsia" w:ascii="仿宋" w:hAnsi="仿宋" w:eastAsia="仿宋" w:cs="仿宋"/>
              <w:color w:val="auto"/>
              <w:sz w:val="28"/>
              <w:szCs w:val="28"/>
            </w:rPr>
            <w:t>二、估价机构</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_Toc161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- 5 -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"_Toc6612" </w:instrText>
          </w:r>
          <w:r>
            <w:rPr>
              <w:color w:val="auto"/>
            </w:rPr>
            <w:fldChar w:fldCharType="separate"/>
          </w:r>
          <w:r>
            <w:rPr>
              <w:rFonts w:hint="eastAsia" w:ascii="仿宋" w:hAnsi="仿宋" w:eastAsia="仿宋" w:cs="仿宋"/>
              <w:color w:val="auto"/>
              <w:sz w:val="28"/>
              <w:szCs w:val="28"/>
            </w:rPr>
            <w:t>三、估价目的</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_Toc6612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- 5 -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"_Toc15365" </w:instrText>
          </w:r>
          <w:r>
            <w:rPr>
              <w:color w:val="auto"/>
            </w:rPr>
            <w:fldChar w:fldCharType="separate"/>
          </w:r>
          <w:r>
            <w:rPr>
              <w:rFonts w:hint="eastAsia" w:ascii="仿宋" w:hAnsi="仿宋" w:eastAsia="仿宋" w:cs="仿宋"/>
              <w:color w:val="auto"/>
              <w:sz w:val="28"/>
              <w:szCs w:val="28"/>
            </w:rPr>
            <w:t>四、估价对象</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_Toc15365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- 5 -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"_Toc30752" </w:instrText>
          </w:r>
          <w:r>
            <w:rPr>
              <w:color w:val="auto"/>
            </w:rPr>
            <w:fldChar w:fldCharType="separate"/>
          </w:r>
          <w:r>
            <w:rPr>
              <w:rFonts w:hint="eastAsia" w:ascii="仿宋" w:hAnsi="仿宋" w:eastAsia="仿宋" w:cs="仿宋"/>
              <w:color w:val="auto"/>
              <w:sz w:val="28"/>
              <w:szCs w:val="28"/>
            </w:rPr>
            <w:t>五、价值时点</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_Toc30752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- 7 -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"_Toc20512" </w:instrText>
          </w:r>
          <w:r>
            <w:rPr>
              <w:color w:val="auto"/>
            </w:rPr>
            <w:fldChar w:fldCharType="separate"/>
          </w:r>
          <w:r>
            <w:rPr>
              <w:rFonts w:hint="eastAsia" w:ascii="仿宋" w:hAnsi="仿宋" w:eastAsia="仿宋" w:cs="仿宋"/>
              <w:color w:val="auto"/>
              <w:sz w:val="28"/>
              <w:szCs w:val="28"/>
            </w:rPr>
            <w:t>六、价值类型</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_Toc20512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- 7 -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"_Toc13270" </w:instrText>
          </w:r>
          <w:r>
            <w:rPr>
              <w:color w:val="auto"/>
            </w:rPr>
            <w:fldChar w:fldCharType="separate"/>
          </w:r>
          <w:r>
            <w:rPr>
              <w:rFonts w:hint="eastAsia" w:ascii="仿宋" w:hAnsi="仿宋" w:eastAsia="仿宋" w:cs="仿宋"/>
              <w:color w:val="auto"/>
              <w:sz w:val="28"/>
              <w:szCs w:val="28"/>
            </w:rPr>
            <w:t>七、估价原则</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_Toc13270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- 8 -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"_Toc13573" </w:instrText>
          </w:r>
          <w:r>
            <w:rPr>
              <w:color w:val="auto"/>
            </w:rPr>
            <w:fldChar w:fldCharType="separate"/>
          </w:r>
          <w:r>
            <w:rPr>
              <w:rFonts w:hint="eastAsia" w:ascii="仿宋" w:hAnsi="仿宋" w:eastAsia="仿宋" w:cs="仿宋"/>
              <w:color w:val="auto"/>
              <w:sz w:val="28"/>
              <w:szCs w:val="28"/>
            </w:rPr>
            <w:t>八、估价依据</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_Toc13573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- 8 -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"_Toc7732" </w:instrText>
          </w:r>
          <w:r>
            <w:rPr>
              <w:color w:val="auto"/>
            </w:rPr>
            <w:fldChar w:fldCharType="separate"/>
          </w:r>
          <w:r>
            <w:rPr>
              <w:rFonts w:hint="eastAsia" w:ascii="仿宋" w:hAnsi="仿宋" w:eastAsia="仿宋" w:cs="仿宋"/>
              <w:color w:val="auto"/>
              <w:sz w:val="28"/>
              <w:szCs w:val="28"/>
            </w:rPr>
            <w:t>九、估价方法</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_Toc7732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- 9 -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"_Toc1886" </w:instrText>
          </w:r>
          <w:r>
            <w:rPr>
              <w:color w:val="auto"/>
            </w:rPr>
            <w:fldChar w:fldCharType="separate"/>
          </w:r>
          <w:r>
            <w:rPr>
              <w:rFonts w:hint="eastAsia" w:ascii="仿宋" w:hAnsi="仿宋" w:eastAsia="仿宋" w:cs="仿宋"/>
              <w:color w:val="auto"/>
              <w:sz w:val="28"/>
              <w:szCs w:val="28"/>
            </w:rPr>
            <w:t>十、估价结果</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_Toc1886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- 9 -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"_Toc23790" </w:instrText>
          </w:r>
          <w:r>
            <w:rPr>
              <w:color w:val="auto"/>
            </w:rPr>
            <w:fldChar w:fldCharType="separate"/>
          </w:r>
          <w:r>
            <w:rPr>
              <w:rFonts w:hint="eastAsia" w:ascii="仿宋" w:hAnsi="仿宋" w:eastAsia="仿宋" w:cs="仿宋"/>
              <w:color w:val="auto"/>
              <w:sz w:val="28"/>
              <w:szCs w:val="28"/>
            </w:rPr>
            <w:t>十一、 注册房地产估价师</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_Toc23790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- 12 -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"_Toc27524" </w:instrText>
          </w:r>
          <w:r>
            <w:rPr>
              <w:color w:val="auto"/>
            </w:rPr>
            <w:fldChar w:fldCharType="separate"/>
          </w:r>
          <w:r>
            <w:rPr>
              <w:rFonts w:hint="eastAsia" w:ascii="仿宋" w:hAnsi="仿宋" w:eastAsia="仿宋" w:cs="仿宋"/>
              <w:color w:val="auto"/>
              <w:sz w:val="28"/>
              <w:szCs w:val="28"/>
            </w:rPr>
            <w:t>十二、实地查勘期</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_Toc27524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- 12 -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"_Toc2721" </w:instrText>
          </w:r>
          <w:r>
            <w:rPr>
              <w:color w:val="auto"/>
            </w:rPr>
            <w:fldChar w:fldCharType="separate"/>
          </w:r>
          <w:r>
            <w:rPr>
              <w:rFonts w:hint="eastAsia" w:ascii="仿宋" w:hAnsi="仿宋" w:eastAsia="仿宋" w:cs="仿宋"/>
              <w:color w:val="auto"/>
              <w:sz w:val="28"/>
              <w:szCs w:val="28"/>
            </w:rPr>
            <w:t>十三、 估价作业期</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_Toc2721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- 12 -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tabs>
              <w:tab w:val="right" w:leader="dot" w:pos="9298"/>
            </w:tabs>
            <w:spacing w:line="360" w:lineRule="exact"/>
            <w:rPr>
              <w:rFonts w:ascii="仿宋" w:hAnsi="仿宋" w:eastAsia="仿宋" w:cs="仿宋"/>
              <w:color w:val="auto"/>
              <w:sz w:val="28"/>
              <w:szCs w:val="28"/>
            </w:rPr>
          </w:pPr>
          <w:r>
            <w:rPr>
              <w:color w:val="auto"/>
            </w:rPr>
            <w:fldChar w:fldCharType="begin"/>
          </w:r>
          <w:r>
            <w:rPr>
              <w:color w:val="auto"/>
            </w:rPr>
            <w:instrText xml:space="preserve"> HYPERLINK \l "_Toc8867" </w:instrText>
          </w:r>
          <w:r>
            <w:rPr>
              <w:color w:val="auto"/>
            </w:rPr>
            <w:fldChar w:fldCharType="separate"/>
          </w:r>
          <w:r>
            <w:rPr>
              <w:rFonts w:hint="eastAsia" w:ascii="仿宋" w:hAnsi="仿宋" w:eastAsia="仿宋" w:cs="仿宋"/>
              <w:color w:val="auto"/>
              <w:sz w:val="28"/>
              <w:szCs w:val="28"/>
            </w:rPr>
            <w:t>十四、 估价报告有效期</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_Toc8867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- 12 -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rPr>
              <w:rFonts w:ascii="仿宋" w:hAnsi="仿宋" w:eastAsia="仿宋" w:cs="仿宋"/>
              <w:color w:val="auto"/>
            </w:rPr>
          </w:pPr>
          <w:r>
            <w:rPr>
              <w:rFonts w:hint="eastAsia" w:ascii="仿宋" w:hAnsi="仿宋" w:eastAsia="仿宋" w:cs="仿宋"/>
              <w:color w:val="auto"/>
              <w:sz w:val="28"/>
              <w:szCs w:val="28"/>
            </w:rPr>
            <w:fldChar w:fldCharType="end"/>
          </w:r>
        </w:p>
      </w:sdtContent>
    </w:sdt>
    <w:p>
      <w:pPr>
        <w:widowControl/>
        <w:spacing w:line="320" w:lineRule="exact"/>
        <w:ind w:left="420" w:leftChars="200"/>
        <w:outlineLvl w:val="0"/>
        <w:rPr>
          <w:rFonts w:ascii="仿宋" w:hAnsi="仿宋" w:eastAsia="仿宋" w:cs="仿宋"/>
          <w:color w:val="auto"/>
          <w:sz w:val="28"/>
          <w:szCs w:val="28"/>
        </w:rPr>
      </w:pPr>
      <w:bookmarkStart w:id="0" w:name="_Toc24801"/>
      <w:r>
        <w:rPr>
          <w:rFonts w:hint="eastAsia" w:ascii="仿宋" w:hAnsi="仿宋" w:eastAsia="仿宋" w:cs="仿宋"/>
          <w:b/>
          <w:color w:val="auto"/>
          <w:kern w:val="0"/>
          <w:sz w:val="28"/>
          <w:szCs w:val="28"/>
        </w:rPr>
        <w:t>附    件</w:t>
      </w:r>
      <w:bookmarkEnd w:id="0"/>
    </w:p>
    <w:p>
      <w:pPr>
        <w:widowControl/>
        <w:spacing w:line="360" w:lineRule="exact"/>
        <w:ind w:left="420" w:leftChars="200"/>
        <w:rPr>
          <w:rFonts w:hint="default" w:ascii="仿宋" w:hAnsi="仿宋" w:eastAsia="仿宋" w:cs="仿宋"/>
          <w:color w:val="auto"/>
          <w:sz w:val="28"/>
          <w:szCs w:val="28"/>
          <w:lang w:val="en-US" w:eastAsia="zh-CN"/>
        </w:rPr>
      </w:pPr>
      <w:r>
        <w:rPr>
          <w:rFonts w:hint="eastAsia" w:ascii="仿宋" w:hAnsi="仿宋" w:eastAsia="仿宋" w:cs="仿宋"/>
          <w:color w:val="auto"/>
          <w:kern w:val="0"/>
          <w:sz w:val="28"/>
          <w:szCs w:val="28"/>
        </w:rPr>
        <w:t>一、估价委托书</w:t>
      </w:r>
      <w:r>
        <w:rPr>
          <w:rFonts w:hint="eastAsia" w:ascii="仿宋" w:hAnsi="仿宋" w:eastAsia="仿宋" w:cs="仿宋"/>
          <w:color w:val="auto"/>
          <w:kern w:val="0"/>
          <w:sz w:val="28"/>
          <w:szCs w:val="28"/>
          <w:lang w:eastAsia="zh-CN"/>
        </w:rPr>
        <w:t>、执行裁定</w:t>
      </w:r>
      <w:r>
        <w:rPr>
          <w:rFonts w:hint="eastAsia" w:ascii="仿宋" w:hAnsi="仿宋" w:eastAsia="仿宋" w:cs="仿宋"/>
          <w:color w:val="auto"/>
          <w:kern w:val="0"/>
          <w:sz w:val="28"/>
          <w:szCs w:val="28"/>
        </w:rPr>
        <w:t xml:space="preserve">复印件............................. </w:t>
      </w:r>
      <w:r>
        <w:rPr>
          <w:rFonts w:hint="eastAsia" w:ascii="仿宋" w:hAnsi="仿宋" w:eastAsia="仿宋" w:cs="仿宋"/>
          <w:color w:val="auto"/>
          <w:kern w:val="0"/>
          <w:sz w:val="28"/>
          <w:szCs w:val="28"/>
          <w:lang w:val="en-US" w:eastAsia="zh-CN"/>
        </w:rPr>
        <w:t>13</w:t>
      </w:r>
    </w:p>
    <w:p>
      <w:pPr>
        <w:widowControl/>
        <w:spacing w:line="360" w:lineRule="exact"/>
        <w:ind w:left="420" w:leftChars="200"/>
        <w:rPr>
          <w:rFonts w:ascii="仿宋" w:hAnsi="仿宋" w:eastAsia="仿宋" w:cs="仿宋"/>
          <w:color w:val="auto"/>
          <w:sz w:val="28"/>
          <w:szCs w:val="28"/>
        </w:rPr>
      </w:pPr>
      <w:r>
        <w:rPr>
          <w:rFonts w:hint="eastAsia" w:ascii="仿宋" w:hAnsi="仿宋" w:eastAsia="仿宋" w:cs="仿宋"/>
          <w:color w:val="auto"/>
          <w:kern w:val="0"/>
          <w:sz w:val="28"/>
          <w:szCs w:val="28"/>
        </w:rPr>
        <w:t>二、</w:t>
      </w:r>
      <w:r>
        <w:rPr>
          <w:rFonts w:hint="eastAsia" w:ascii="仿宋" w:hAnsi="仿宋" w:eastAsia="仿宋" w:cs="仿宋"/>
          <w:color w:val="auto"/>
          <w:kern w:val="0"/>
          <w:sz w:val="28"/>
          <w:szCs w:val="28"/>
          <w:lang w:eastAsia="zh-CN"/>
        </w:rPr>
        <w:t>不动产权证</w:t>
      </w:r>
      <w:r>
        <w:rPr>
          <w:rFonts w:hint="eastAsia" w:ascii="仿宋" w:hAnsi="仿宋" w:eastAsia="仿宋" w:cs="仿宋"/>
          <w:color w:val="auto"/>
          <w:kern w:val="0"/>
          <w:sz w:val="28"/>
          <w:szCs w:val="28"/>
        </w:rPr>
        <w:t>复印件.......</w:t>
      </w:r>
      <w:r>
        <w:rPr>
          <w:rFonts w:hint="eastAsia" w:ascii="仿宋" w:hAnsi="仿宋" w:eastAsia="仿宋" w:cs="仿宋"/>
          <w:color w:val="auto"/>
          <w:kern w:val="0"/>
          <w:sz w:val="28"/>
          <w:szCs w:val="28"/>
          <w:lang w:val="en-US" w:eastAsia="zh-CN"/>
        </w:rPr>
        <w:t>..........................</w:t>
      </w:r>
      <w:r>
        <w:rPr>
          <w:rFonts w:hint="eastAsia" w:ascii="仿宋" w:hAnsi="仿宋" w:eastAsia="仿宋" w:cs="仿宋"/>
          <w:color w:val="auto"/>
          <w:kern w:val="0"/>
          <w:sz w:val="28"/>
          <w:szCs w:val="28"/>
        </w:rPr>
        <w:t>.. .. .1</w:t>
      </w:r>
      <w:r>
        <w:rPr>
          <w:rFonts w:hint="eastAsia" w:ascii="仿宋" w:hAnsi="仿宋" w:eastAsia="仿宋" w:cs="仿宋"/>
          <w:color w:val="auto"/>
          <w:kern w:val="0"/>
          <w:sz w:val="28"/>
          <w:szCs w:val="28"/>
          <w:lang w:val="en-US" w:eastAsia="zh-CN"/>
        </w:rPr>
        <w:t>6</w:t>
      </w:r>
      <w:r>
        <w:rPr>
          <w:rFonts w:hint="eastAsia" w:ascii="仿宋" w:hAnsi="仿宋" w:eastAsia="仿宋" w:cs="仿宋"/>
          <w:color w:val="auto"/>
          <w:kern w:val="0"/>
          <w:sz w:val="28"/>
          <w:szCs w:val="28"/>
        </w:rPr>
        <w:t xml:space="preserve">  </w:t>
      </w:r>
    </w:p>
    <w:p>
      <w:pPr>
        <w:widowControl/>
        <w:spacing w:line="360" w:lineRule="exact"/>
        <w:ind w:left="420" w:leftChars="200"/>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rPr>
        <w:t>三、估价对象位置示意图........................ ...... ......</w:t>
      </w:r>
      <w:r>
        <w:rPr>
          <w:rFonts w:hint="eastAsia" w:ascii="仿宋" w:hAnsi="仿宋" w:eastAsia="仿宋" w:cs="仿宋"/>
          <w:color w:val="auto"/>
          <w:kern w:val="0"/>
          <w:sz w:val="28"/>
          <w:szCs w:val="28"/>
          <w:lang w:val="en-US" w:eastAsia="zh-CN"/>
        </w:rPr>
        <w:t>28</w:t>
      </w:r>
    </w:p>
    <w:p>
      <w:pPr>
        <w:widowControl/>
        <w:spacing w:line="360" w:lineRule="exact"/>
        <w:ind w:left="420" w:leftChars="200"/>
        <w:rPr>
          <w:rFonts w:ascii="仿宋" w:hAnsi="仿宋" w:eastAsia="仿宋" w:cs="仿宋"/>
          <w:color w:val="auto"/>
          <w:sz w:val="28"/>
          <w:szCs w:val="28"/>
        </w:rPr>
      </w:pPr>
      <w:r>
        <w:rPr>
          <w:rFonts w:hint="eastAsia" w:ascii="仿宋" w:hAnsi="仿宋" w:eastAsia="仿宋" w:cs="仿宋"/>
          <w:color w:val="auto"/>
          <w:kern w:val="0"/>
          <w:sz w:val="28"/>
          <w:szCs w:val="28"/>
        </w:rPr>
        <w:t>四、估价机构营业执照和房地产估价价格备案证明复印件..........</w:t>
      </w:r>
      <w:r>
        <w:rPr>
          <w:rFonts w:hint="eastAsia" w:ascii="仿宋" w:hAnsi="仿宋" w:eastAsia="仿宋" w:cs="仿宋"/>
          <w:color w:val="auto"/>
          <w:kern w:val="0"/>
          <w:sz w:val="28"/>
          <w:szCs w:val="28"/>
          <w:lang w:val="en-US" w:eastAsia="zh-CN"/>
        </w:rPr>
        <w:t>29</w:t>
      </w:r>
      <w:r>
        <w:rPr>
          <w:rFonts w:hint="eastAsia" w:ascii="仿宋" w:hAnsi="仿宋" w:eastAsia="仿宋" w:cs="仿宋"/>
          <w:color w:val="auto"/>
          <w:kern w:val="0"/>
          <w:sz w:val="28"/>
          <w:szCs w:val="28"/>
        </w:rPr>
        <w:t xml:space="preserve"> </w:t>
      </w:r>
    </w:p>
    <w:p>
      <w:pPr>
        <w:widowControl/>
        <w:spacing w:line="360" w:lineRule="exact"/>
        <w:ind w:left="420" w:leftChars="200"/>
        <w:rPr>
          <w:rFonts w:ascii="仿宋" w:hAnsi="仿宋" w:eastAsia="仿宋" w:cs="仿宋"/>
          <w:color w:val="auto"/>
          <w:sz w:val="28"/>
          <w:szCs w:val="28"/>
        </w:rPr>
      </w:pPr>
      <w:r>
        <w:rPr>
          <w:rFonts w:hint="eastAsia" w:ascii="仿宋" w:hAnsi="仿宋" w:eastAsia="仿宋" w:cs="仿宋"/>
          <w:color w:val="auto"/>
          <w:kern w:val="0"/>
          <w:sz w:val="28"/>
          <w:szCs w:val="28"/>
        </w:rPr>
        <w:t>五、注册房地产估价师证书复印件..............................</w:t>
      </w:r>
      <w:r>
        <w:rPr>
          <w:rFonts w:hint="eastAsia" w:ascii="仿宋" w:hAnsi="仿宋" w:eastAsia="仿宋" w:cs="仿宋"/>
          <w:color w:val="auto"/>
          <w:kern w:val="0"/>
          <w:sz w:val="28"/>
          <w:szCs w:val="28"/>
          <w:lang w:val="en-US" w:eastAsia="zh-CN"/>
        </w:rPr>
        <w:t>31</w:t>
      </w:r>
      <w:r>
        <w:rPr>
          <w:rFonts w:hint="eastAsia" w:ascii="仿宋" w:hAnsi="仿宋" w:eastAsia="仿宋" w:cs="仿宋"/>
          <w:color w:val="auto"/>
          <w:kern w:val="0"/>
          <w:sz w:val="28"/>
          <w:szCs w:val="28"/>
        </w:rPr>
        <w:t xml:space="preserve"> </w:t>
      </w:r>
    </w:p>
    <w:p>
      <w:pPr>
        <w:widowControl/>
        <w:spacing w:line="360" w:lineRule="exact"/>
        <w:ind w:left="420" w:leftChars="200"/>
        <w:rPr>
          <w:rFonts w:hint="default" w:ascii="仿宋" w:hAnsi="仿宋" w:eastAsia="仿宋" w:cs="仿宋"/>
          <w:color w:val="auto"/>
          <w:sz w:val="28"/>
          <w:szCs w:val="28"/>
          <w:lang w:val="en-US"/>
        </w:rPr>
      </w:pPr>
      <w:r>
        <w:rPr>
          <w:rFonts w:hint="eastAsia" w:ascii="仿宋" w:hAnsi="仿宋" w:eastAsia="仿宋" w:cs="仿宋"/>
          <w:color w:val="auto"/>
          <w:kern w:val="0"/>
          <w:sz w:val="28"/>
          <w:szCs w:val="28"/>
        </w:rPr>
        <w:t>六、估价对象实地查相关照片..................................</w:t>
      </w:r>
      <w:r>
        <w:rPr>
          <w:rFonts w:hint="eastAsia" w:ascii="仿宋" w:hAnsi="仿宋" w:eastAsia="仿宋" w:cs="仿宋"/>
          <w:color w:val="auto"/>
          <w:kern w:val="0"/>
          <w:sz w:val="28"/>
          <w:szCs w:val="28"/>
          <w:lang w:val="en-US" w:eastAsia="zh-CN"/>
        </w:rPr>
        <w:t>32</w:t>
      </w:r>
    </w:p>
    <w:p>
      <w:pPr>
        <w:widowControl/>
        <w:spacing w:line="320" w:lineRule="exact"/>
        <w:ind w:left="420" w:leftChars="200"/>
        <w:rPr>
          <w:rFonts w:ascii="仿宋" w:hAnsi="仿宋" w:eastAsia="仿宋" w:cs="仿宋"/>
          <w:b/>
          <w:color w:val="auto"/>
          <w:kern w:val="0"/>
          <w:sz w:val="28"/>
          <w:szCs w:val="28"/>
        </w:rPr>
        <w:sectPr>
          <w:footerReference r:id="rId8" w:type="default"/>
          <w:pgSz w:w="11906" w:h="16838"/>
          <w:pgMar w:top="1417" w:right="1134" w:bottom="1134" w:left="1474" w:header="737" w:footer="992" w:gutter="0"/>
          <w:pgNumType w:fmt="numberInDash" w:start="1"/>
          <w:cols w:space="0" w:num="1"/>
          <w:docGrid w:type="lines" w:linePitch="325" w:charSpace="0"/>
        </w:sectPr>
      </w:pPr>
    </w:p>
    <w:p>
      <w:pPr>
        <w:pStyle w:val="2"/>
        <w:jc w:val="center"/>
        <w:rPr>
          <w:rFonts w:ascii="仿宋" w:hAnsi="仿宋" w:eastAsia="仿宋" w:cs="仿宋"/>
          <w:color w:val="auto"/>
        </w:rPr>
      </w:pPr>
      <w:bookmarkStart w:id="1" w:name="_Toc29002"/>
      <w:r>
        <w:rPr>
          <w:rFonts w:hint="eastAsia" w:ascii="仿宋" w:hAnsi="仿宋" w:eastAsia="仿宋" w:cs="仿宋"/>
          <w:color w:val="auto"/>
        </w:rPr>
        <w:t>估价师声明</w:t>
      </w:r>
      <w:bookmarkEnd w:id="1"/>
    </w:p>
    <w:p>
      <w:pPr>
        <w:tabs>
          <w:tab w:val="left" w:pos="1017"/>
          <w:tab w:val="left" w:pos="1572"/>
        </w:tabs>
        <w:spacing w:line="450" w:lineRule="exact"/>
        <w:rPr>
          <w:rFonts w:ascii="仿宋" w:hAnsi="仿宋" w:eastAsia="仿宋" w:cs="仿宋"/>
          <w:color w:val="auto"/>
          <w:sz w:val="28"/>
          <w:szCs w:val="28"/>
        </w:rPr>
      </w:pPr>
      <w:r>
        <w:rPr>
          <w:rFonts w:hint="eastAsia" w:ascii="仿宋" w:hAnsi="仿宋" w:eastAsia="仿宋" w:cs="仿宋"/>
          <w:color w:val="auto"/>
          <w:sz w:val="28"/>
          <w:szCs w:val="28"/>
        </w:rPr>
        <w:t>我们根据自己的专业知识和职业道德，在此郑重声明：</w:t>
      </w:r>
      <w:r>
        <w:rPr>
          <w:rFonts w:hint="eastAsia" w:ascii="仿宋" w:hAnsi="仿宋" w:eastAsia="仿宋" w:cs="仿宋"/>
          <w:color w:val="auto"/>
          <w:sz w:val="28"/>
          <w:szCs w:val="28"/>
        </w:rPr>
        <w:tab/>
      </w:r>
    </w:p>
    <w:p>
      <w:pPr>
        <w:snapToGrid w:val="0"/>
        <w:spacing w:line="45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1、我们在本估价报告中陈述的事实是真实和准确的，没有虚假记载、误导性陈述和重大遗漏。</w:t>
      </w:r>
    </w:p>
    <w:p>
      <w:pPr>
        <w:widowControl/>
        <w:spacing w:line="45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2、本估价报告中的分析、意见和结论是我们独立、客观、公证的专业分析、意见和结论，但受到本估价报告中已说明的估价假设和限制条件的限制。</w:t>
      </w:r>
    </w:p>
    <w:p>
      <w:pPr>
        <w:snapToGrid w:val="0"/>
        <w:spacing w:line="45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3、我们与本估价报告中的估价对象没有现实或潜在的利益，与估价委托人及估价利害关系人没有利害关系，也对估价对象、估价委托人及估价利害关系人没有偏见。</w:t>
      </w:r>
    </w:p>
    <w:p>
      <w:pPr>
        <w:widowControl/>
        <w:spacing w:line="45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4、我们依照中华人民共和国国家标准《房地产估价规范》、《房地产估价基本术语标准》的规定进行估价工作，撰写本估价报告。</w:t>
      </w:r>
    </w:p>
    <w:p>
      <w:pPr>
        <w:snapToGrid w:val="0"/>
        <w:spacing w:line="45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我们与委托人及相关当事人共同对本估价报告中的估价对象进行了实地查勘，但未进行实地测量，报告内所载面积信息均依据估价委托人提供的材料；且我们对估价对象的现场查勘仅限于其外观和使用情况，对被遮蔽、未暴露及难以接触、观察到的部分，以估价委托人提供的资料为依据进行估价。我们不承担对估价对象内部建筑结构质量调查的责任。</w:t>
      </w:r>
    </w:p>
    <w:p>
      <w:pPr>
        <w:snapToGrid w:val="0"/>
        <w:spacing w:line="45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6、估价委托人应对其提供的估价资料的真实性负责，若其提供的资料失实，则可能导致估价结果失败，由此引起的法律责任由估价委托人负责。</w:t>
      </w:r>
    </w:p>
    <w:p>
      <w:pPr>
        <w:snapToGrid w:val="0"/>
        <w:spacing w:line="45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7、本房地产估价报告是依据委托人提供的资料和信息出具，资料和信息的真实性、完整性、合法性对于估价结论构成影响，如依据同一标的房地产的其他资料或者信息可能得出与本报告不一致的估价结论。</w:t>
      </w:r>
    </w:p>
    <w:p>
      <w:pPr>
        <w:snapToGrid w:val="0"/>
        <w:spacing w:line="45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8、没有人对本估价报告提供重要专业帮助。</w:t>
      </w:r>
    </w:p>
    <w:p>
      <w:pPr>
        <w:snapToGrid w:val="0"/>
        <w:spacing w:line="45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9、参加本次估价的注册房地产估价师人员：</w:t>
      </w:r>
    </w:p>
    <w:tbl>
      <w:tblPr>
        <w:tblStyle w:val="22"/>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auto"/>
                <w:kern w:val="0"/>
                <w:sz w:val="24"/>
                <w:lang w:eastAsia="zh-CN"/>
              </w:rPr>
            </w:pPr>
            <w:r>
              <w:rPr>
                <w:rFonts w:hint="eastAsia" w:ascii="仿宋" w:hAnsi="仿宋" w:eastAsia="仿宋" w:cs="仿宋"/>
                <w:color w:val="auto"/>
                <w:sz w:val="28"/>
                <w:szCs w:val="28"/>
                <w:lang w:eastAsia="zh-CN"/>
              </w:rPr>
              <w:t>王诗光</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2320210026</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color w:val="auto"/>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2022年08月24日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sz w:val="28"/>
                <w:szCs w:val="28"/>
                <w:lang w:val="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lang w:val="zh-CN"/>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color w:val="auto"/>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2022年08月24日</w:t>
            </w:r>
          </w:p>
        </w:tc>
      </w:tr>
    </w:tbl>
    <w:p>
      <w:pPr>
        <w:pStyle w:val="2"/>
        <w:spacing w:line="460" w:lineRule="exact"/>
        <w:ind w:firstLine="2650" w:firstLineChars="600"/>
        <w:rPr>
          <w:rFonts w:ascii="仿宋" w:hAnsi="仿宋" w:eastAsia="仿宋" w:cs="仿宋"/>
          <w:color w:val="auto"/>
        </w:rPr>
      </w:pPr>
      <w:bookmarkStart w:id="2" w:name="_Toc19715"/>
      <w:bookmarkStart w:id="3" w:name="_Toc15285"/>
      <w:bookmarkStart w:id="4" w:name="_Toc704"/>
      <w:bookmarkStart w:id="5" w:name="_Toc764"/>
      <w:bookmarkStart w:id="6" w:name="_Toc23458"/>
      <w:bookmarkStart w:id="7" w:name="_Toc8774"/>
      <w:bookmarkStart w:id="8" w:name="_Toc64"/>
      <w:bookmarkStart w:id="9" w:name="_Toc20358"/>
      <w:bookmarkStart w:id="10" w:name="_Toc18247"/>
      <w:bookmarkStart w:id="11" w:name="_Toc31497"/>
      <w:r>
        <w:rPr>
          <w:rFonts w:hint="eastAsia" w:ascii="仿宋" w:hAnsi="仿宋" w:eastAsia="仿宋" w:cs="仿宋"/>
          <w:color w:val="auto"/>
        </w:rPr>
        <w:t>估价假设和限制条件</w:t>
      </w:r>
      <w:bookmarkEnd w:id="2"/>
      <w:bookmarkEnd w:id="3"/>
      <w:bookmarkEnd w:id="4"/>
      <w:bookmarkEnd w:id="5"/>
      <w:bookmarkEnd w:id="6"/>
      <w:bookmarkEnd w:id="7"/>
      <w:bookmarkEnd w:id="8"/>
      <w:bookmarkEnd w:id="9"/>
      <w:bookmarkEnd w:id="10"/>
      <w:bookmarkEnd w:id="11"/>
    </w:p>
    <w:p>
      <w:pPr>
        <w:pStyle w:val="3"/>
        <w:spacing w:line="460" w:lineRule="exact"/>
        <w:ind w:firstLine="562" w:firstLineChars="200"/>
        <w:rPr>
          <w:rFonts w:ascii="仿宋" w:hAnsi="仿宋" w:eastAsia="仿宋" w:cs="仿宋"/>
          <w:color w:val="auto"/>
          <w:sz w:val="24"/>
        </w:rPr>
      </w:pPr>
      <w:bookmarkStart w:id="12" w:name="_Toc1883"/>
      <w:r>
        <w:rPr>
          <w:rFonts w:hint="eastAsia" w:ascii="仿宋" w:hAnsi="仿宋" w:eastAsia="仿宋" w:cs="仿宋"/>
          <w:color w:val="auto"/>
          <w:sz w:val="28"/>
          <w:szCs w:val="28"/>
        </w:rPr>
        <w:t>一、一般假设</w:t>
      </w:r>
      <w:bookmarkEnd w:id="12"/>
      <w:r>
        <w:rPr>
          <w:rFonts w:hint="eastAsia" w:ascii="仿宋" w:hAnsi="仿宋" w:eastAsia="仿宋" w:cs="仿宋"/>
          <w:color w:val="auto"/>
          <w:sz w:val="24"/>
        </w:rPr>
        <w:t xml:space="preserve"> </w:t>
      </w:r>
    </w:p>
    <w:p>
      <w:pPr>
        <w:tabs>
          <w:tab w:val="left" w:pos="4662"/>
        </w:tabs>
        <w:wordWrap w:val="0"/>
        <w:autoSpaceDE w:val="0"/>
        <w:autoSpaceDN w:val="0"/>
        <w:snapToGrid w:val="0"/>
        <w:spacing w:line="46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sz w:val="28"/>
          <w:szCs w:val="28"/>
        </w:rPr>
        <w:t>委托人提供了</w:t>
      </w:r>
      <w:r>
        <w:rPr>
          <w:rFonts w:hint="eastAsia" w:ascii="仿宋" w:hAnsi="仿宋" w:eastAsia="仿宋" w:cs="仿宋"/>
          <w:color w:val="auto"/>
          <w:sz w:val="28"/>
          <w:szCs w:val="28"/>
          <w:lang w:eastAsia="zh-CN"/>
        </w:rPr>
        <w:t>不动产权证、房产分层分户图、宗地图等</w:t>
      </w:r>
      <w:r>
        <w:rPr>
          <w:rFonts w:hint="eastAsia" w:ascii="仿宋" w:hAnsi="仿宋" w:eastAsia="仿宋" w:cs="仿宋"/>
          <w:color w:val="auto"/>
          <w:sz w:val="28"/>
          <w:szCs w:val="28"/>
        </w:rPr>
        <w:t>复印件，我们对权属证明上记载的权属、面积、用途等相关资料进行了审慎检查，</w:t>
      </w:r>
      <w:r>
        <w:rPr>
          <w:rFonts w:hint="eastAsia" w:ascii="仿宋" w:hAnsi="仿宋" w:eastAsia="仿宋" w:cs="仿宋"/>
          <w:color w:val="auto"/>
          <w:kern w:val="0"/>
          <w:sz w:val="28"/>
          <w:szCs w:val="28"/>
        </w:rPr>
        <w:t>在无理由怀疑其真实性、准确性、完整性及合法性且</w:t>
      </w:r>
      <w:r>
        <w:rPr>
          <w:rFonts w:hint="eastAsia" w:ascii="仿宋" w:hAnsi="仿宋" w:eastAsia="仿宋" w:cs="仿宋"/>
          <w:color w:val="auto"/>
          <w:sz w:val="28"/>
          <w:szCs w:val="28"/>
        </w:rPr>
        <w:t>未向有关部门进行核实</w:t>
      </w:r>
      <w:r>
        <w:rPr>
          <w:rFonts w:hint="eastAsia" w:ascii="仿宋" w:hAnsi="仿宋" w:eastAsia="仿宋" w:cs="仿宋"/>
          <w:color w:val="auto"/>
          <w:kern w:val="0"/>
          <w:sz w:val="28"/>
          <w:szCs w:val="28"/>
        </w:rPr>
        <w:t>的情况下，假定估价委托人提供的资料真实、准确、完整、合法。</w:t>
      </w:r>
    </w:p>
    <w:p>
      <w:pPr>
        <w:tabs>
          <w:tab w:val="left" w:pos="4662"/>
        </w:tabs>
        <w:wordWrap w:val="0"/>
        <w:autoSpaceDE w:val="0"/>
        <w:autoSpaceDN w:val="0"/>
        <w:snapToGrid w:val="0"/>
        <w:spacing w:line="46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2、注册房地产估价师对估价对象安全、污染环境等影响估价对象价值的重大因素给予了关注，在无理由怀疑估价对象存在安全隐患且无相应的专业机构进行鉴定、监测的情况下，假定估价对象可以正常安全的使用。</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本估价结果是在价值时点和本次估价目的下，假定估价对象未改变房屋结构和装修、使用用途、未转变产权所有人等情况下的结论。如估价对象的建筑面积、用途、装修、使用方法、权益状况有调整变化，本次结果应作相应调整。估价结果未考虑未来处置风险。</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4、假设在价值时点的房地产市场是公开、平等、自愿的交易市场，估价对象可以在公开市场上交易。交易双方都具有完全市场信息，对交易对象具有必要的专业知识，不存在特殊买者的附加出价。</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估价结果是反映估价对象在本次估价目的下的市场价格参考，估价时没有考虑国家宏观政策发生变化、市场供应关系变化、市场结构转变、遇有自然力和其他不可抗力等因素对房地产价值的影响，也没考虑估价对象将来可能承担违约责任的事宜，以特殊交易方式下的特殊交易价格等对估价价值的影响。当上述条件发生变化时，估价结果一般会发生变化。</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6、本次估价以估价对象出售时不附带任何他项权、租赁权、优先购买权、抵押权、售后回租、查封以及其他类似的可能影响其正常交易价值的权利约束和特殊条款等为假设前提。</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7、报告书中估价对象位置是依据委托人、申请方现场指认确定的，未取得房产部门、测绘部门的确认文件，本报告以委托人、申请方现场指认的位置为假设前提。</w:t>
      </w:r>
    </w:p>
    <w:p>
      <w:pPr>
        <w:tabs>
          <w:tab w:val="left" w:pos="4662"/>
        </w:tabs>
        <w:wordWrap w:val="0"/>
        <w:autoSpaceDE w:val="0"/>
        <w:autoSpaceDN w:val="0"/>
        <w:snapToGrid w:val="0"/>
        <w:spacing w:line="46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sz w:val="28"/>
          <w:szCs w:val="28"/>
        </w:rPr>
        <w:t>8、本估价报告仅是在报告中说明的假设条件下对估价对象正常市场价值进行的合理估算，报告中对估价对象权属情况的披露不能作为对其权属确认的依据，估价对象权属界定以产权管理部门认定为准。</w:t>
      </w:r>
    </w:p>
    <w:p>
      <w:pPr>
        <w:pStyle w:val="3"/>
        <w:spacing w:line="460" w:lineRule="exact"/>
        <w:ind w:firstLine="562" w:firstLineChars="200"/>
        <w:rPr>
          <w:rFonts w:hint="eastAsia" w:ascii="仿宋" w:hAnsi="仿宋" w:eastAsia="仿宋" w:cs="仿宋"/>
          <w:color w:val="auto"/>
          <w:sz w:val="28"/>
          <w:szCs w:val="28"/>
          <w:lang w:eastAsia="zh-CN"/>
        </w:rPr>
      </w:pPr>
      <w:bookmarkStart w:id="13" w:name="_Toc21490"/>
      <w:r>
        <w:rPr>
          <w:rFonts w:hint="eastAsia" w:ascii="仿宋" w:hAnsi="仿宋" w:eastAsia="仿宋" w:cs="仿宋"/>
          <w:color w:val="auto"/>
          <w:sz w:val="28"/>
          <w:szCs w:val="28"/>
        </w:rPr>
        <w:t>二、未定事项假设</w:t>
      </w:r>
      <w:bookmarkEnd w:id="13"/>
      <w:r>
        <w:rPr>
          <w:rFonts w:hint="eastAsia" w:ascii="仿宋" w:hAnsi="仿宋" w:eastAsia="仿宋" w:cs="仿宋"/>
          <w:color w:val="auto"/>
          <w:sz w:val="28"/>
          <w:szCs w:val="28"/>
        </w:rPr>
        <w:t xml:space="preserve"> </w:t>
      </w:r>
      <w:r>
        <w:rPr>
          <w:rFonts w:hint="eastAsia" w:ascii="仿宋" w:hAnsi="仿宋" w:eastAsia="仿宋" w:cs="仿宋"/>
          <w:b/>
          <w:color w:val="auto"/>
          <w:kern w:val="2"/>
          <w:sz w:val="28"/>
          <w:szCs w:val="28"/>
          <w:lang w:val="en-US" w:eastAsia="zh-CN" w:bidi="ar-SA"/>
        </w:rPr>
        <w:t>无。</w:t>
      </w:r>
      <w:bookmarkStart w:id="14" w:name="_Toc3800"/>
      <w:r>
        <w:rPr>
          <w:rFonts w:hint="eastAsia" w:ascii="仿宋" w:hAnsi="仿宋" w:eastAsia="仿宋" w:cs="仿宋"/>
          <w:b/>
          <w:color w:val="auto"/>
          <w:kern w:val="2"/>
          <w:sz w:val="28"/>
          <w:szCs w:val="28"/>
          <w:lang w:val="en-US" w:eastAsia="zh-CN" w:bidi="ar-SA"/>
        </w:rPr>
        <w:t xml:space="preserve">       </w:t>
      </w: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rPr>
        <w:t>背离事实假设</w:t>
      </w:r>
      <w:bookmarkEnd w:id="14"/>
      <w:r>
        <w:rPr>
          <w:rFonts w:hint="eastAsia" w:ascii="仿宋" w:hAnsi="仿宋" w:eastAsia="仿宋" w:cs="仿宋"/>
          <w:color w:val="auto"/>
          <w:sz w:val="28"/>
          <w:szCs w:val="28"/>
        </w:rPr>
        <w:t xml:space="preserve"> 无</w:t>
      </w:r>
      <w:bookmarkStart w:id="15" w:name="_Toc32662"/>
      <w:r>
        <w:rPr>
          <w:rFonts w:hint="eastAsia" w:ascii="仿宋" w:hAnsi="仿宋" w:eastAsia="仿宋" w:cs="仿宋"/>
          <w:color w:val="auto"/>
          <w:sz w:val="28"/>
          <w:szCs w:val="28"/>
          <w:lang w:eastAsia="zh-CN"/>
        </w:rPr>
        <w:t>。</w:t>
      </w:r>
    </w:p>
    <w:p>
      <w:pPr>
        <w:pStyle w:val="3"/>
        <w:numPr>
          <w:numId w:val="0"/>
        </w:numPr>
        <w:spacing w:line="460" w:lineRule="exact"/>
        <w:rPr>
          <w:rFonts w:ascii="仿宋" w:hAnsi="仿宋" w:eastAsia="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四、不相一致假设</w:t>
      </w:r>
      <w:bookmarkEnd w:id="15"/>
      <w:r>
        <w:rPr>
          <w:rFonts w:hint="eastAsia" w:ascii="仿宋" w:hAnsi="仿宋" w:eastAsia="仿宋" w:cs="仿宋"/>
          <w:color w:val="auto"/>
          <w:sz w:val="28"/>
          <w:szCs w:val="28"/>
        </w:rPr>
        <w:t xml:space="preserve"> </w:t>
      </w:r>
      <w:r>
        <w:rPr>
          <w:rFonts w:hint="eastAsia" w:ascii="仿宋" w:hAnsi="仿宋" w:eastAsia="仿宋" w:cs="仿宋"/>
          <w:color w:val="auto"/>
          <w:kern w:val="0"/>
          <w:sz w:val="28"/>
          <w:szCs w:val="28"/>
        </w:rPr>
        <w:t>无。</w:t>
      </w:r>
      <w:bookmarkStart w:id="16" w:name="_Toc32439"/>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sz w:val="28"/>
          <w:szCs w:val="28"/>
        </w:rPr>
        <w:t>五、依据不足假设</w:t>
      </w:r>
      <w:bookmarkEnd w:id="16"/>
      <w:r>
        <w:rPr>
          <w:rFonts w:hint="eastAsia" w:ascii="仿宋" w:hAnsi="仿宋" w:eastAsia="仿宋" w:cs="仿宋"/>
          <w:color w:val="auto"/>
          <w:sz w:val="28"/>
          <w:szCs w:val="28"/>
          <w:lang w:val="en-US" w:eastAsia="zh-CN"/>
        </w:rPr>
        <w:t xml:space="preserve"> </w:t>
      </w:r>
      <w:r>
        <w:rPr>
          <w:rFonts w:hint="eastAsia" w:ascii="仿宋" w:hAnsi="仿宋" w:eastAsia="仿宋"/>
          <w:color w:val="auto"/>
          <w:sz w:val="28"/>
          <w:szCs w:val="28"/>
        </w:rPr>
        <w:t>无。</w:t>
      </w:r>
    </w:p>
    <w:p>
      <w:pPr>
        <w:pStyle w:val="3"/>
        <w:spacing w:line="460" w:lineRule="exact"/>
        <w:ind w:firstLine="562" w:firstLineChars="200"/>
        <w:rPr>
          <w:rFonts w:ascii="仿宋" w:hAnsi="仿宋" w:eastAsia="仿宋" w:cs="仿宋"/>
          <w:color w:val="auto"/>
          <w:sz w:val="28"/>
          <w:szCs w:val="28"/>
        </w:rPr>
      </w:pPr>
      <w:bookmarkStart w:id="17" w:name="_Toc11317"/>
      <w:r>
        <w:rPr>
          <w:rFonts w:hint="eastAsia" w:ascii="仿宋" w:hAnsi="仿宋" w:eastAsia="仿宋" w:cs="仿宋"/>
          <w:color w:val="auto"/>
          <w:sz w:val="28"/>
          <w:szCs w:val="28"/>
        </w:rPr>
        <w:t>六、估价报告使用限制条件</w:t>
      </w:r>
      <w:bookmarkEnd w:id="17"/>
    </w:p>
    <w:p>
      <w:pPr>
        <w:spacing w:line="460" w:lineRule="exact"/>
        <w:ind w:firstLine="560" w:firstLineChars="200"/>
        <w:rPr>
          <w:rFonts w:ascii="仿宋" w:hAnsi="仿宋" w:eastAsia="仿宋" w:cs="仿宋"/>
          <w:color w:val="auto"/>
          <w:sz w:val="28"/>
        </w:rPr>
      </w:pPr>
      <w:r>
        <w:rPr>
          <w:rFonts w:hint="eastAsia" w:ascii="仿宋" w:hAnsi="仿宋" w:eastAsia="仿宋" w:cs="仿宋"/>
          <w:color w:val="auto"/>
          <w:sz w:val="28"/>
        </w:rPr>
        <w:t>1、本次估价结果是在估价委托人提供的资料合法、真实、准确、完整基础之上得出的。估价委托人对其所提供的相关资料及各种数据的真实性和有效性负责，并承担相应的法律责任；因估价委托人提供的资料失真造成估价结果有误，估价机构和注册房地产估价师不承担责任。</w:t>
      </w:r>
    </w:p>
    <w:p>
      <w:pPr>
        <w:spacing w:line="460" w:lineRule="exact"/>
        <w:ind w:firstLine="560" w:firstLineChars="200"/>
        <w:rPr>
          <w:rFonts w:ascii="仿宋" w:hAnsi="仿宋" w:eastAsia="仿宋" w:cs="仿宋"/>
          <w:color w:val="auto"/>
          <w:sz w:val="28"/>
        </w:rPr>
      </w:pPr>
      <w:r>
        <w:rPr>
          <w:rFonts w:hint="eastAsia" w:ascii="仿宋" w:hAnsi="仿宋" w:eastAsia="仿宋" w:cs="仿宋"/>
          <w:color w:val="auto"/>
          <w:sz w:val="28"/>
          <w:szCs w:val="28"/>
        </w:rPr>
        <w:t>2、本报告估价结果是估价对象在满足全部假设与限制条件下，于价值时点在现状利用条件下的市场价值；本次估价的范围以《</w:t>
      </w:r>
      <w:r>
        <w:rPr>
          <w:rFonts w:hint="eastAsia" w:ascii="仿宋" w:hAnsi="仿宋" w:eastAsia="仿宋" w:cs="仿宋"/>
          <w:color w:val="auto"/>
          <w:sz w:val="28"/>
          <w:szCs w:val="28"/>
          <w:lang w:eastAsia="zh-CN"/>
        </w:rPr>
        <w:t>海林市人民法院</w:t>
      </w:r>
      <w:r>
        <w:rPr>
          <w:rFonts w:hint="eastAsia" w:ascii="仿宋" w:hAnsi="仿宋" w:eastAsia="仿宋" w:cs="仿宋"/>
          <w:color w:val="auto"/>
          <w:sz w:val="28"/>
          <w:szCs w:val="28"/>
        </w:rPr>
        <w:t>委托书（2022）黑</w:t>
      </w:r>
      <w:r>
        <w:rPr>
          <w:rFonts w:hint="eastAsia" w:ascii="仿宋" w:hAnsi="仿宋" w:eastAsia="仿宋" w:cs="仿宋"/>
          <w:color w:val="auto"/>
          <w:sz w:val="28"/>
          <w:szCs w:val="28"/>
          <w:lang w:val="en-US" w:eastAsia="zh-CN"/>
        </w:rPr>
        <w:t>1083</w:t>
      </w:r>
      <w:r>
        <w:rPr>
          <w:rFonts w:hint="eastAsia" w:ascii="仿宋" w:hAnsi="仿宋" w:eastAsia="仿宋" w:cs="仿宋"/>
          <w:color w:val="auto"/>
          <w:sz w:val="28"/>
          <w:szCs w:val="28"/>
        </w:rPr>
        <w:t>执</w:t>
      </w:r>
      <w:r>
        <w:rPr>
          <w:rFonts w:hint="eastAsia" w:ascii="仿宋" w:hAnsi="仿宋" w:eastAsia="仿宋" w:cs="仿宋"/>
          <w:color w:val="auto"/>
          <w:sz w:val="28"/>
          <w:szCs w:val="28"/>
          <w:lang w:val="en-US" w:eastAsia="zh-CN"/>
        </w:rPr>
        <w:t>216</w:t>
      </w:r>
      <w:r>
        <w:rPr>
          <w:rFonts w:hint="eastAsia" w:ascii="仿宋" w:hAnsi="仿宋" w:eastAsia="仿宋" w:cs="仿宋"/>
          <w:color w:val="auto"/>
          <w:sz w:val="28"/>
          <w:szCs w:val="28"/>
        </w:rPr>
        <w:t>号》确定的范围为限。本次估价中房屋建筑面积、用途、坐落位置等以委托人提供的《</w:t>
      </w:r>
      <w:r>
        <w:rPr>
          <w:rFonts w:hint="eastAsia" w:ascii="仿宋" w:hAnsi="仿宋" w:eastAsia="仿宋" w:cs="仿宋"/>
          <w:color w:val="auto"/>
          <w:kern w:val="0"/>
          <w:sz w:val="28"/>
          <w:szCs w:val="28"/>
        </w:rPr>
        <w:t>委托书</w:t>
      </w:r>
      <w:r>
        <w:rPr>
          <w:rFonts w:hint="eastAsia" w:ascii="仿宋" w:hAnsi="仿宋" w:eastAsia="仿宋" w:cs="仿宋"/>
          <w:color w:val="auto"/>
          <w:sz w:val="28"/>
          <w:szCs w:val="28"/>
        </w:rPr>
        <w:t>》</w:t>
      </w:r>
      <w:r>
        <w:rPr>
          <w:rFonts w:hint="eastAsia" w:ascii="仿宋" w:hAnsi="仿宋" w:eastAsia="仿宋" w:cs="仿宋"/>
          <w:color w:val="auto"/>
          <w:kern w:val="0"/>
          <w:sz w:val="28"/>
          <w:szCs w:val="28"/>
        </w:rPr>
        <w:t>和</w:t>
      </w:r>
      <w:r>
        <w:rPr>
          <w:rFonts w:hint="eastAsia" w:ascii="仿宋" w:hAnsi="仿宋" w:eastAsia="仿宋" w:cs="仿宋"/>
          <w:color w:val="auto"/>
          <w:kern w:val="0"/>
          <w:sz w:val="28"/>
          <w:szCs w:val="28"/>
          <w:lang w:eastAsia="zh-CN"/>
        </w:rPr>
        <w:t>不动产权证、房产分层分户图、宗地图等</w:t>
      </w:r>
      <w:r>
        <w:rPr>
          <w:rFonts w:hint="eastAsia" w:ascii="仿宋" w:hAnsi="仿宋" w:eastAsia="仿宋" w:cs="仿宋"/>
          <w:color w:val="auto"/>
          <w:kern w:val="0"/>
          <w:sz w:val="28"/>
          <w:szCs w:val="28"/>
        </w:rPr>
        <w:t>结果复印件上记载的信息为准</w:t>
      </w:r>
      <w:r>
        <w:rPr>
          <w:rFonts w:hint="eastAsia" w:ascii="仿宋" w:hAnsi="仿宋" w:eastAsia="仿宋" w:cs="仿宋"/>
          <w:color w:val="auto"/>
          <w:sz w:val="28"/>
          <w:szCs w:val="28"/>
        </w:rPr>
        <w:t>，若其用途、建筑面积、房屋利用状况等影响房地产价值的因素发生变化时则估价价值应作相应调整，如有异议请收到报告后三日内提出。</w:t>
      </w:r>
      <w:r>
        <w:rPr>
          <w:rFonts w:hint="eastAsia" w:ascii="仿宋" w:hAnsi="仿宋" w:eastAsia="仿宋" w:cs="仿宋"/>
          <w:color w:val="auto"/>
          <w:sz w:val="28"/>
        </w:rPr>
        <w:t xml:space="preserve"> </w:t>
      </w:r>
    </w:p>
    <w:p>
      <w:pPr>
        <w:wordWrap w:val="0"/>
        <w:snapToGrid w:val="0"/>
        <w:spacing w:line="460" w:lineRule="exact"/>
        <w:ind w:firstLine="544" w:firstLineChars="200"/>
        <w:rPr>
          <w:rFonts w:ascii="仿宋" w:hAnsi="仿宋" w:eastAsia="仿宋" w:cs="仿宋"/>
          <w:color w:val="auto"/>
          <w:spacing w:val="-4"/>
          <w:sz w:val="28"/>
          <w:szCs w:val="28"/>
        </w:rPr>
      </w:pPr>
      <w:r>
        <w:rPr>
          <w:rFonts w:hint="eastAsia" w:ascii="仿宋" w:hAnsi="仿宋" w:eastAsia="仿宋" w:cs="仿宋"/>
          <w:color w:val="auto"/>
          <w:spacing w:val="-4"/>
          <w:sz w:val="28"/>
          <w:szCs w:val="28"/>
        </w:rPr>
        <w:t>3本估价报告结果是估价对象在价值时点时的正常的经济环境及正常的市场价值基础上的估算价值。未考虑国家经济政策发生变化、未来市场变化风险、短期强制处分及不可抗力等因素对房地产价值的不利影响。</w:t>
      </w:r>
    </w:p>
    <w:p>
      <w:pPr>
        <w:tabs>
          <w:tab w:val="left" w:pos="402"/>
        </w:tabs>
        <w:snapToGrid w:val="0"/>
        <w:spacing w:line="460" w:lineRule="exact"/>
        <w:ind w:right="-43" w:firstLine="544" w:firstLineChars="200"/>
        <w:rPr>
          <w:rFonts w:ascii="仿宋" w:hAnsi="仿宋" w:eastAsia="仿宋" w:cs="仿宋"/>
          <w:color w:val="auto"/>
          <w:spacing w:val="-4"/>
          <w:sz w:val="28"/>
          <w:szCs w:val="28"/>
        </w:rPr>
      </w:pPr>
      <w:r>
        <w:rPr>
          <w:rFonts w:hint="eastAsia" w:ascii="仿宋" w:hAnsi="仿宋" w:eastAsia="仿宋" w:cs="仿宋"/>
          <w:color w:val="auto"/>
          <w:spacing w:val="-4"/>
          <w:sz w:val="28"/>
          <w:szCs w:val="28"/>
        </w:rPr>
        <w:t>4、本估价结果未考虑房地产交易时应向国家缴纳的税费，如需转让、变更、拍卖、处置房地产应按国家有关规定办理。</w:t>
      </w:r>
    </w:p>
    <w:p>
      <w:pPr>
        <w:tabs>
          <w:tab w:val="left" w:pos="402"/>
        </w:tabs>
        <w:snapToGrid w:val="0"/>
        <w:spacing w:line="460" w:lineRule="exact"/>
        <w:ind w:right="-43" w:firstLine="544" w:firstLineChars="200"/>
        <w:rPr>
          <w:rFonts w:ascii="仿宋" w:hAnsi="仿宋" w:eastAsia="仿宋" w:cs="仿宋"/>
          <w:color w:val="auto"/>
          <w:sz w:val="28"/>
          <w:szCs w:val="28"/>
        </w:rPr>
      </w:pPr>
      <w:r>
        <w:rPr>
          <w:rFonts w:hint="eastAsia" w:ascii="仿宋" w:hAnsi="仿宋" w:eastAsia="仿宋" w:cs="仿宋"/>
          <w:color w:val="auto"/>
          <w:spacing w:val="-4"/>
          <w:sz w:val="28"/>
          <w:szCs w:val="28"/>
        </w:rPr>
        <w:t>5、本次估价结果有效期为一年（</w:t>
      </w:r>
      <w:r>
        <w:rPr>
          <w:rFonts w:hint="eastAsia" w:ascii="仿宋" w:hAnsi="仿宋" w:eastAsia="仿宋" w:cs="仿宋"/>
          <w:color w:val="auto"/>
          <w:sz w:val="28"/>
          <w:szCs w:val="28"/>
          <w:lang w:eastAsia="zh-CN"/>
        </w:rPr>
        <w:t>2022年08月24日</w:t>
      </w:r>
      <w:r>
        <w:rPr>
          <w:rFonts w:hint="eastAsia" w:ascii="仿宋" w:hAnsi="仿宋" w:eastAsia="仿宋" w:cs="仿宋"/>
          <w:color w:val="auto"/>
          <w:sz w:val="28"/>
          <w:szCs w:val="28"/>
        </w:rPr>
        <w:t>至2023年0</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23</w:t>
      </w:r>
      <w:r>
        <w:rPr>
          <w:rFonts w:hint="eastAsia" w:ascii="仿宋" w:hAnsi="仿宋" w:eastAsia="仿宋" w:cs="仿宋"/>
          <w:color w:val="auto"/>
          <w:sz w:val="28"/>
          <w:szCs w:val="28"/>
        </w:rPr>
        <w:t>日</w:t>
      </w:r>
      <w:r>
        <w:rPr>
          <w:rFonts w:hint="eastAsia" w:ascii="仿宋" w:hAnsi="仿宋" w:eastAsia="仿宋" w:cs="仿宋"/>
          <w:color w:val="auto"/>
          <w:spacing w:val="-4"/>
          <w:sz w:val="28"/>
          <w:szCs w:val="28"/>
        </w:rPr>
        <w:t>）。超过使用期限使用估价报告，相关责任由估价报告使用者负责。当房地产市场价格变化较快或房地产的作价标准发生重大变化时，应对房地产市场价值进行再估价。</w:t>
      </w:r>
      <w:r>
        <w:rPr>
          <w:rFonts w:hint="eastAsia" w:ascii="仿宋" w:hAnsi="仿宋" w:eastAsia="仿宋" w:cs="仿宋"/>
          <w:color w:val="auto"/>
          <w:sz w:val="28"/>
          <w:szCs w:val="28"/>
        </w:rPr>
        <w:t>若价值时点发生变化，估价结论需进行调整。本次估价的价值时点为完成估价对象现场勘察之日，即</w:t>
      </w:r>
      <w:r>
        <w:rPr>
          <w:rFonts w:hint="eastAsia" w:ascii="仿宋" w:hAnsi="仿宋" w:eastAsia="仿宋" w:cs="仿宋"/>
          <w:color w:val="auto"/>
          <w:sz w:val="28"/>
          <w:szCs w:val="28"/>
          <w:lang w:eastAsia="zh-CN"/>
        </w:rPr>
        <w:t>2022年8月16日</w:t>
      </w:r>
      <w:r>
        <w:rPr>
          <w:rFonts w:hint="eastAsia" w:ascii="仿宋" w:hAnsi="仿宋" w:eastAsia="仿宋" w:cs="仿宋"/>
          <w:color w:val="auto"/>
          <w:sz w:val="28"/>
          <w:szCs w:val="28"/>
        </w:rPr>
        <w:t>。</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6、本估价报告是应估价委托人要求，为</w:t>
      </w:r>
      <w:r>
        <w:rPr>
          <w:rFonts w:hint="eastAsia" w:ascii="仿宋" w:hAnsi="仿宋" w:eastAsia="仿宋" w:cs="仿宋"/>
          <w:color w:val="auto"/>
          <w:sz w:val="28"/>
          <w:szCs w:val="28"/>
          <w:lang w:eastAsia="zh-CN"/>
        </w:rPr>
        <w:t>海林市人民法院</w:t>
      </w:r>
      <w:r>
        <w:rPr>
          <w:rFonts w:hint="eastAsia" w:ascii="仿宋" w:hAnsi="仿宋" w:eastAsia="仿宋" w:cs="仿宋"/>
          <w:color w:val="auto"/>
          <w:sz w:val="28"/>
          <w:szCs w:val="28"/>
        </w:rPr>
        <w:t>确定财产处置参考价值提供参考依据，不得用于其他目的，改变估价目的及估价对象的使用条件应对其重新进行估价。</w:t>
      </w:r>
    </w:p>
    <w:p>
      <w:pPr>
        <w:tabs>
          <w:tab w:val="left" w:pos="4662"/>
        </w:tabs>
        <w:wordWrap w:val="0"/>
        <w:autoSpaceDE w:val="0"/>
        <w:autoSpaceDN w:val="0"/>
        <w:snapToGrid w:val="0"/>
        <w:spacing w:line="460" w:lineRule="exact"/>
        <w:ind w:firstLine="560" w:firstLineChars="200"/>
        <w:rPr>
          <w:rFonts w:ascii="仿宋" w:hAnsi="仿宋" w:eastAsia="仿宋" w:cs="仿宋"/>
          <w:color w:val="auto"/>
          <w:spacing w:val="-6"/>
          <w:sz w:val="28"/>
          <w:szCs w:val="28"/>
        </w:rPr>
      </w:pPr>
      <w:r>
        <w:rPr>
          <w:rFonts w:hint="eastAsia" w:ascii="仿宋" w:hAnsi="仿宋" w:eastAsia="仿宋" w:cs="仿宋"/>
          <w:color w:val="auto"/>
          <w:sz w:val="28"/>
          <w:szCs w:val="28"/>
        </w:rPr>
        <w:t>7、本报告仅限于委托人为本报告所列明的评估目的</w:t>
      </w:r>
      <w:r>
        <w:rPr>
          <w:rFonts w:hint="eastAsia" w:ascii="仿宋" w:hAnsi="仿宋" w:eastAsia="仿宋" w:cs="仿宋"/>
          <w:color w:val="auto"/>
          <w:spacing w:val="-6"/>
          <w:sz w:val="28"/>
          <w:szCs w:val="28"/>
        </w:rPr>
        <w:t>使用，估价委托人不得向人民法院及相关当事人以外的任何单位和个人提供，未经估价机构书面同意，本报告书的全部或部分及任何参考资料均不允许在任何公开发表的文件、通告或声明中引用，亦不得以其他任何方式公开发表。房地产估价机构不承担上述以外的任何单位和个人对报告书的全文或部分内容提出任何责任。</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8、本估价报告及附件须同时完整使用方为有效，分割使用及复印件无效，如报告书内文字、数字或图片印校有误时，请告知本公司。本估价机构不对仅使用报告部分内容或使用不当所可能导致的任何损失承担责任。</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9、本估价报告必须经估价机构加盖公章，并经注册房地产估价师签章、签字后方可使用。</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10、本次报告只供委托法院办理此次案件时确定财产处置参考</w:t>
      </w:r>
      <w:r>
        <w:rPr>
          <w:rFonts w:hint="eastAsia" w:ascii="仿宋" w:hAnsi="仿宋" w:eastAsia="仿宋" w:cs="仿宋"/>
          <w:color w:val="auto"/>
          <w:spacing w:val="-4"/>
          <w:sz w:val="28"/>
          <w:szCs w:val="28"/>
        </w:rPr>
        <w:t>价值的</w:t>
      </w:r>
      <w:r>
        <w:rPr>
          <w:rFonts w:hint="eastAsia" w:ascii="仿宋" w:hAnsi="仿宋" w:eastAsia="仿宋" w:cs="仿宋"/>
          <w:color w:val="auto"/>
          <w:sz w:val="28"/>
          <w:szCs w:val="28"/>
        </w:rPr>
        <w:t>使用，不应作为处置涉案房屋可实现价格的保证，案件承办单位及案件承办人应在估价结论的基础上，结合处置时的房屋状况和市场状况等因素进行合理决策。任何单位和个人不得改变此报告的使用目的，如改变估价目的需另行委托评估。</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11、本次估价项目未考虑未来处置风险，国家宏观经济政策发生变化，市场供求关系发生变化，市场结构转变，遇有自然力和其他不可抗力等因素对房屋建筑价值的影响，也没有考虑特殊交易方式下的交易价格等对房地产价值的影响。</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12、本次估价结论包含估价对象应分摊的合理范围内的土地使用权价值。</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13、本报告中估价对象的物理状况如有隐蔽之处而无法核实，按照通常状态下即所能观察到的房屋状况下进行客观价值评估。如对评估结果有异议请收到报告后三日内提出。</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14、当估价对象处置后，应首先支付相关税费、评估费、拍卖费及抵押贷款余额等其他法定优先受偿款，这些因素可能会使估价对象实际处置价值低于评估价值。</w:t>
      </w:r>
    </w:p>
    <w:p>
      <w:pPr>
        <w:tabs>
          <w:tab w:val="left" w:pos="4662"/>
        </w:tabs>
        <w:wordWrap w:val="0"/>
        <w:autoSpaceDE w:val="0"/>
        <w:autoSpaceDN w:val="0"/>
        <w:snapToGrid w:val="0"/>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15、本估价报告由黑龙江天之骄房地产资产评估有限公司负责解释。</w:t>
      </w:r>
    </w:p>
    <w:p>
      <w:pPr>
        <w:tabs>
          <w:tab w:val="left" w:pos="4662"/>
        </w:tabs>
        <w:wordWrap w:val="0"/>
        <w:autoSpaceDE w:val="0"/>
        <w:autoSpaceDN w:val="0"/>
        <w:snapToGrid w:val="0"/>
        <w:spacing w:line="460" w:lineRule="exact"/>
        <w:ind w:firstLine="560" w:firstLineChars="200"/>
        <w:rPr>
          <w:rFonts w:ascii="仿宋" w:hAnsi="仿宋" w:eastAsia="仿宋" w:cs="仿宋"/>
          <w:b/>
          <w:bCs/>
          <w:color w:val="auto"/>
          <w:sz w:val="44"/>
          <w:szCs w:val="44"/>
        </w:rPr>
      </w:pPr>
      <w:r>
        <w:rPr>
          <w:rFonts w:hint="eastAsia" w:ascii="仿宋" w:hAnsi="仿宋" w:eastAsia="仿宋" w:cs="仿宋"/>
          <w:color w:val="auto"/>
          <w:sz w:val="28"/>
          <w:szCs w:val="28"/>
        </w:rPr>
        <w:t>16、估价机构仅对本估价报告的原件承担责任，对任何形式的复印件概不认可且不承担责任。</w:t>
      </w:r>
    </w:p>
    <w:p>
      <w:pPr>
        <w:pStyle w:val="2"/>
        <w:spacing w:line="380" w:lineRule="exact"/>
        <w:rPr>
          <w:rFonts w:hint="eastAsia" w:ascii="仿宋" w:hAnsi="仿宋" w:eastAsia="仿宋" w:cs="仿宋"/>
          <w:color w:val="auto"/>
        </w:rPr>
      </w:pPr>
      <w:bookmarkStart w:id="18" w:name="_Toc1613"/>
    </w:p>
    <w:p>
      <w:pPr>
        <w:pStyle w:val="2"/>
        <w:keepNext/>
        <w:keepLines/>
        <w:pageBreakBefore w:val="0"/>
        <w:widowControl w:val="0"/>
        <w:kinsoku/>
        <w:wordWrap/>
        <w:overflowPunct/>
        <w:topLinePunct w:val="0"/>
        <w:autoSpaceDE/>
        <w:autoSpaceDN/>
        <w:bidi w:val="0"/>
        <w:adjustRightInd/>
        <w:snapToGrid/>
        <w:spacing w:before="460" w:line="380" w:lineRule="exact"/>
        <w:jc w:val="center"/>
        <w:textAlignment w:val="auto"/>
        <w:rPr>
          <w:rFonts w:ascii="仿宋" w:hAnsi="仿宋" w:eastAsia="仿宋" w:cs="仿宋"/>
          <w:color w:val="auto"/>
        </w:rPr>
      </w:pPr>
      <w:r>
        <w:rPr>
          <w:rFonts w:hint="eastAsia" w:ascii="仿宋" w:hAnsi="仿宋" w:eastAsia="仿宋" w:cs="仿宋"/>
          <w:color w:val="auto"/>
        </w:rPr>
        <w:t>房地产估价结果报告</w:t>
      </w:r>
      <w:bookmarkEnd w:id="18"/>
    </w:p>
    <w:p>
      <w:pPr>
        <w:spacing w:line="380" w:lineRule="exact"/>
        <w:jc w:val="right"/>
        <w:outlineLvl w:val="0"/>
        <w:rPr>
          <w:rFonts w:ascii="仿宋" w:hAnsi="仿宋" w:eastAsia="仿宋" w:cs="仿宋"/>
          <w:color w:val="auto"/>
          <w:sz w:val="24"/>
        </w:rPr>
      </w:pPr>
      <w:bookmarkStart w:id="19" w:name="_Toc26301"/>
      <w:r>
        <w:rPr>
          <w:rFonts w:hint="eastAsia" w:ascii="仿宋" w:hAnsi="仿宋" w:eastAsia="仿宋" w:cs="仿宋"/>
          <w:color w:val="auto"/>
          <w:sz w:val="24"/>
        </w:rPr>
        <w:t>编号：</w:t>
      </w:r>
      <w:bookmarkEnd w:id="19"/>
      <w:r>
        <w:rPr>
          <w:rFonts w:hint="eastAsia" w:ascii="仿宋" w:hAnsi="仿宋" w:eastAsia="仿宋" w:cs="仿宋"/>
          <w:color w:val="auto"/>
          <w:sz w:val="24"/>
        </w:rPr>
        <w:t>黑天之骄[2022]法执房评第</w:t>
      </w:r>
      <w:r>
        <w:rPr>
          <w:rFonts w:hint="eastAsia" w:ascii="仿宋" w:hAnsi="仿宋" w:eastAsia="仿宋" w:cs="仿宋"/>
          <w:color w:val="auto"/>
          <w:sz w:val="24"/>
          <w:lang w:val="en-US" w:eastAsia="zh-CN"/>
        </w:rPr>
        <w:t>98</w:t>
      </w:r>
      <w:r>
        <w:rPr>
          <w:rFonts w:hint="eastAsia" w:ascii="仿宋" w:hAnsi="仿宋" w:eastAsia="仿宋" w:cs="仿宋"/>
          <w:color w:val="auto"/>
          <w:sz w:val="24"/>
        </w:rPr>
        <w:t>号</w:t>
      </w:r>
    </w:p>
    <w:p>
      <w:pPr>
        <w:pStyle w:val="3"/>
        <w:spacing w:line="440" w:lineRule="exact"/>
        <w:ind w:firstLine="562" w:firstLineChars="200"/>
        <w:rPr>
          <w:rFonts w:ascii="仿宋" w:hAnsi="仿宋" w:eastAsia="仿宋" w:cs="仿宋"/>
          <w:b w:val="0"/>
          <w:color w:val="auto"/>
          <w:sz w:val="28"/>
          <w:szCs w:val="28"/>
        </w:rPr>
      </w:pPr>
      <w:bookmarkStart w:id="20" w:name="_Toc30197"/>
      <w:bookmarkStart w:id="21" w:name="_Toc21784"/>
      <w:r>
        <w:rPr>
          <w:rStyle w:val="69"/>
          <w:rFonts w:hint="eastAsia" w:ascii="仿宋" w:hAnsi="仿宋" w:eastAsia="仿宋" w:cs="仿宋"/>
          <w:b/>
          <w:color w:val="auto"/>
          <w:sz w:val="28"/>
          <w:szCs w:val="28"/>
        </w:rPr>
        <w:t>一</w:t>
      </w:r>
      <w:r>
        <w:rPr>
          <w:rFonts w:hint="eastAsia" w:ascii="仿宋" w:hAnsi="仿宋" w:eastAsia="仿宋" w:cs="仿宋"/>
          <w:color w:val="auto"/>
          <w:sz w:val="28"/>
          <w:szCs w:val="28"/>
        </w:rPr>
        <w:t>、委托人</w:t>
      </w:r>
      <w:r>
        <w:rPr>
          <w:rFonts w:hint="eastAsia" w:ascii="仿宋" w:hAnsi="仿宋" w:eastAsia="仿宋" w:cs="仿宋"/>
          <w:b w:val="0"/>
          <w:color w:val="auto"/>
          <w:sz w:val="28"/>
          <w:szCs w:val="28"/>
        </w:rPr>
        <w:t>：</w:t>
      </w:r>
      <w:bookmarkEnd w:id="20"/>
      <w:bookmarkEnd w:id="21"/>
    </w:p>
    <w:p>
      <w:pPr>
        <w:adjustRightInd w:val="0"/>
        <w:snapToGrid w:val="0"/>
        <w:spacing w:beforeLines="30" w:afterLines="30" w:line="44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估价委托人：</w:t>
      </w:r>
      <w:r>
        <w:rPr>
          <w:rFonts w:hint="eastAsia" w:ascii="仿宋" w:hAnsi="仿宋" w:eastAsia="仿宋" w:cs="仿宋"/>
          <w:color w:val="auto"/>
          <w:sz w:val="28"/>
          <w:szCs w:val="28"/>
          <w:lang w:eastAsia="zh-CN"/>
        </w:rPr>
        <w:t>海林市人民法院</w:t>
      </w:r>
    </w:p>
    <w:p>
      <w:pPr>
        <w:adjustRightInd w:val="0"/>
        <w:snapToGrid w:val="0"/>
        <w:spacing w:beforeLines="30" w:afterLines="30" w:line="440" w:lineRule="exact"/>
        <w:rPr>
          <w:rFonts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b/>
          <w:bCs/>
          <w:color w:val="auto"/>
          <w:sz w:val="28"/>
          <w:szCs w:val="28"/>
        </w:rPr>
        <w:t xml:space="preserve"> </w:t>
      </w:r>
      <w:bookmarkStart w:id="22" w:name="_Toc161"/>
      <w:bookmarkStart w:id="23" w:name="_Toc29631"/>
      <w:r>
        <w:rPr>
          <w:rFonts w:hint="eastAsia" w:ascii="仿宋" w:hAnsi="仿宋" w:eastAsia="仿宋" w:cs="仿宋"/>
          <w:b/>
          <w:bCs/>
          <w:color w:val="auto"/>
          <w:sz w:val="28"/>
          <w:szCs w:val="28"/>
        </w:rPr>
        <w:t>二、估价机构</w:t>
      </w:r>
      <w:r>
        <w:rPr>
          <w:rFonts w:hint="eastAsia" w:ascii="仿宋" w:hAnsi="仿宋" w:eastAsia="仿宋" w:cs="仿宋"/>
          <w:color w:val="auto"/>
          <w:sz w:val="28"/>
          <w:szCs w:val="28"/>
        </w:rPr>
        <w:t>：</w:t>
      </w:r>
      <w:bookmarkEnd w:id="22"/>
    </w:p>
    <w:bookmarkEnd w:id="23"/>
    <w:p>
      <w:pPr>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名称：黑龙江天之骄房地产资产评估有限公司</w:t>
      </w:r>
    </w:p>
    <w:p>
      <w:pPr>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住所：牡丹江市西安区新宏基大厦803室</w:t>
      </w:r>
    </w:p>
    <w:p>
      <w:pPr>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法定代表人：</w:t>
      </w:r>
      <w:r>
        <w:rPr>
          <w:rFonts w:hint="eastAsia" w:ascii="仿宋" w:hAnsi="仿宋" w:eastAsia="仿宋" w:cs="仿宋"/>
          <w:color w:val="auto"/>
          <w:sz w:val="28"/>
          <w:szCs w:val="28"/>
          <w:lang w:eastAsia="zh-CN"/>
        </w:rPr>
        <w:t>孙克伟</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资格备案等级：国家一级 证书编号：23030016 </w:t>
      </w:r>
    </w:p>
    <w:p>
      <w:pPr>
        <w:adjustRightInd w:val="0"/>
        <w:snapToGrid w:val="0"/>
        <w:spacing w:beforeLines="30" w:afterLines="30" w:line="440" w:lineRule="exact"/>
        <w:ind w:firstLine="472" w:firstLineChars="168"/>
        <w:rPr>
          <w:rFonts w:ascii="仿宋" w:hAnsi="仿宋" w:eastAsia="仿宋" w:cs="仿宋"/>
          <w:color w:val="auto"/>
          <w:sz w:val="28"/>
          <w:szCs w:val="28"/>
        </w:rPr>
      </w:pPr>
      <w:bookmarkStart w:id="24" w:name="_Toc13990"/>
      <w:bookmarkStart w:id="25" w:name="_Toc6612"/>
      <w:r>
        <w:rPr>
          <w:rFonts w:hint="eastAsia" w:ascii="仿宋" w:hAnsi="仿宋" w:eastAsia="仿宋" w:cs="仿宋"/>
          <w:b/>
          <w:bCs/>
          <w:color w:val="auto"/>
          <w:sz w:val="28"/>
          <w:szCs w:val="28"/>
        </w:rPr>
        <w:t>三、估价目的</w:t>
      </w:r>
      <w:r>
        <w:rPr>
          <w:rFonts w:hint="eastAsia" w:ascii="仿宋" w:hAnsi="仿宋" w:eastAsia="仿宋" w:cs="仿宋"/>
          <w:color w:val="auto"/>
          <w:sz w:val="28"/>
          <w:szCs w:val="28"/>
        </w:rPr>
        <w:t>：</w:t>
      </w:r>
      <w:bookmarkEnd w:id="24"/>
      <w:bookmarkEnd w:id="25"/>
      <w:bookmarkStart w:id="26" w:name="_Toc3021"/>
      <w:r>
        <w:rPr>
          <w:rFonts w:hint="eastAsia" w:ascii="仿宋" w:hAnsi="仿宋" w:eastAsia="仿宋" w:cs="仿宋"/>
          <w:color w:val="auto"/>
          <w:sz w:val="28"/>
          <w:szCs w:val="28"/>
        </w:rPr>
        <w:t>为人民法院确定财产处置参考价提供参考依据。</w:t>
      </w:r>
    </w:p>
    <w:p>
      <w:pPr>
        <w:adjustRightInd w:val="0"/>
        <w:snapToGrid w:val="0"/>
        <w:spacing w:beforeLines="30" w:afterLines="30" w:line="440" w:lineRule="exact"/>
        <w:ind w:firstLine="472" w:firstLineChars="168"/>
        <w:rPr>
          <w:rFonts w:ascii="仿宋" w:hAnsi="仿宋" w:eastAsia="仿宋" w:cs="仿宋"/>
          <w:color w:val="auto"/>
          <w:sz w:val="28"/>
          <w:szCs w:val="28"/>
        </w:rPr>
      </w:pPr>
      <w:bookmarkStart w:id="27" w:name="_Toc15365"/>
      <w:r>
        <w:rPr>
          <w:rFonts w:hint="eastAsia" w:ascii="仿宋" w:hAnsi="仿宋" w:eastAsia="仿宋" w:cs="仿宋"/>
          <w:b/>
          <w:bCs/>
          <w:color w:val="auto"/>
          <w:sz w:val="28"/>
          <w:szCs w:val="28"/>
        </w:rPr>
        <w:t>四、估价对象</w:t>
      </w:r>
      <w:r>
        <w:rPr>
          <w:rFonts w:hint="eastAsia" w:ascii="仿宋" w:hAnsi="仿宋" w:eastAsia="仿宋" w:cs="仿宋"/>
          <w:color w:val="auto"/>
          <w:sz w:val="28"/>
          <w:szCs w:val="28"/>
        </w:rPr>
        <w:t>：</w:t>
      </w:r>
    </w:p>
    <w:bookmarkEnd w:id="26"/>
    <w:bookmarkEnd w:id="27"/>
    <w:p>
      <w:pPr>
        <w:tabs>
          <w:tab w:val="left" w:pos="3780"/>
        </w:tabs>
        <w:adjustRightInd w:val="0"/>
        <w:snapToGrid w:val="0"/>
        <w:spacing w:line="440" w:lineRule="exact"/>
        <w:ind w:left="638" w:leftChars="304"/>
        <w:outlineLvl w:val="0"/>
        <w:rPr>
          <w:rFonts w:ascii="仿宋" w:hAnsi="仿宋" w:eastAsia="仿宋" w:cs="仿宋"/>
          <w:color w:val="auto"/>
          <w:sz w:val="28"/>
          <w:szCs w:val="28"/>
        </w:rPr>
      </w:pPr>
      <w:bookmarkStart w:id="28" w:name="_Toc32710"/>
      <w:r>
        <w:rPr>
          <w:rFonts w:hint="eastAsia" w:ascii="仿宋" w:hAnsi="仿宋" w:eastAsia="仿宋" w:cs="仿宋"/>
          <w:color w:val="auto"/>
          <w:sz w:val="28"/>
          <w:szCs w:val="28"/>
        </w:rPr>
        <w:t>（一）估价对象基本状况的说明：</w:t>
      </w:r>
      <w:bookmarkEnd w:id="28"/>
    </w:p>
    <w:p>
      <w:pPr>
        <w:tabs>
          <w:tab w:val="left" w:pos="3780"/>
        </w:tabs>
        <w:adjustRightInd w:val="0"/>
        <w:snapToGrid w:val="0"/>
        <w:spacing w:line="4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sz w:val="28"/>
          <w:szCs w:val="28"/>
        </w:rPr>
        <w:t>1、本次估价财产范围以《</w:t>
      </w:r>
      <w:r>
        <w:rPr>
          <w:rFonts w:hint="eastAsia" w:ascii="仿宋" w:hAnsi="仿宋" w:eastAsia="仿宋" w:cs="仿宋"/>
          <w:color w:val="auto"/>
          <w:sz w:val="28"/>
          <w:szCs w:val="28"/>
          <w:lang w:eastAsia="zh-CN"/>
        </w:rPr>
        <w:t>海林市人民法院</w:t>
      </w:r>
      <w:r>
        <w:rPr>
          <w:rFonts w:hint="eastAsia" w:ascii="仿宋" w:hAnsi="仿宋" w:eastAsia="仿宋" w:cs="仿宋"/>
          <w:color w:val="auto"/>
          <w:sz w:val="28"/>
          <w:szCs w:val="28"/>
        </w:rPr>
        <w:t>委托书</w:t>
      </w:r>
      <w:r>
        <w:rPr>
          <w:rFonts w:hint="eastAsia" w:ascii="仿宋" w:hAnsi="仿宋" w:eastAsia="仿宋" w:cs="仿宋"/>
          <w:color w:val="auto"/>
          <w:sz w:val="28"/>
          <w:szCs w:val="28"/>
          <w:lang w:eastAsia="zh-CN"/>
        </w:rPr>
        <w:t>（2022）黑1083执216号</w:t>
      </w:r>
      <w:r>
        <w:rPr>
          <w:rFonts w:hint="eastAsia" w:ascii="仿宋" w:hAnsi="仿宋" w:eastAsia="仿宋" w:cs="仿宋"/>
          <w:color w:val="auto"/>
          <w:sz w:val="28"/>
          <w:szCs w:val="28"/>
        </w:rPr>
        <w:t>委托内容为准，包括估价对象的</w:t>
      </w:r>
      <w:r>
        <w:rPr>
          <w:rFonts w:hint="eastAsia" w:ascii="仿宋" w:hAnsi="仿宋" w:eastAsia="仿宋" w:cs="仿宋"/>
          <w:color w:val="auto"/>
          <w:kern w:val="0"/>
          <w:sz w:val="28"/>
          <w:szCs w:val="28"/>
        </w:rPr>
        <w:t>房屋所有权及应分摊的合理范围内的土地使用权（包含房屋的装饰装修和设备设施）；</w:t>
      </w:r>
    </w:p>
    <w:p>
      <w:pPr>
        <w:tabs>
          <w:tab w:val="left" w:pos="3780"/>
        </w:tabs>
        <w:adjustRightInd w:val="0"/>
        <w:snapToGrid w:val="0"/>
        <w:spacing w:line="440" w:lineRule="exact"/>
        <w:ind w:firstLine="560" w:firstLineChars="200"/>
        <w:rPr>
          <w:rFonts w:hint="default" w:ascii="仿宋" w:hAnsi="仿宋" w:eastAsia="仿宋" w:cs="仿宋"/>
          <w:bCs/>
          <w:color w:val="auto"/>
          <w:sz w:val="28"/>
          <w:szCs w:val="28"/>
          <w:lang w:val="en-US" w:eastAsia="zh-CN"/>
        </w:rPr>
      </w:pPr>
      <w:r>
        <w:rPr>
          <w:rFonts w:hint="eastAsia" w:ascii="仿宋" w:hAnsi="仿宋" w:eastAsia="仿宋" w:cs="仿宋"/>
          <w:color w:val="auto"/>
          <w:kern w:val="0"/>
          <w:sz w:val="28"/>
          <w:szCs w:val="28"/>
        </w:rPr>
        <w:t>2、估价对象的名称和坐落：</w:t>
      </w:r>
      <w:r>
        <w:rPr>
          <w:rFonts w:hint="eastAsia" w:ascii="仿宋" w:hAnsi="仿宋" w:eastAsia="仿宋" w:cs="仿宋"/>
          <w:color w:val="auto"/>
          <w:kern w:val="0"/>
          <w:sz w:val="28"/>
          <w:szCs w:val="28"/>
          <w:lang w:eastAsia="zh-CN"/>
        </w:rPr>
        <w:t>估价对象坐落于海林市和兴瀚城5#楼斗银东区7委1单元14层04室、05室、06室、07室、08室、09室、10室、11室、12室、13室、13A室、15室。共有</w:t>
      </w:r>
      <w:r>
        <w:rPr>
          <w:rFonts w:hint="eastAsia" w:ascii="仿宋" w:hAnsi="仿宋" w:eastAsia="仿宋" w:cs="仿宋"/>
          <w:color w:val="auto"/>
          <w:kern w:val="0"/>
          <w:sz w:val="28"/>
          <w:szCs w:val="28"/>
          <w:lang w:val="en-US" w:eastAsia="zh-CN"/>
        </w:rPr>
        <w:t>12户。</w:t>
      </w:r>
    </w:p>
    <w:p>
      <w:pPr>
        <w:numPr>
          <w:ilvl w:val="0"/>
          <w:numId w:val="1"/>
        </w:numPr>
        <w:tabs>
          <w:tab w:val="left" w:pos="3780"/>
        </w:tabs>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规模：</w:t>
      </w:r>
      <w:r>
        <w:rPr>
          <w:rFonts w:hint="eastAsia" w:ascii="仿宋" w:hAnsi="仿宋" w:eastAsia="仿宋" w:cs="仿宋"/>
          <w:color w:val="auto"/>
          <w:sz w:val="28"/>
          <w:szCs w:val="28"/>
          <w:lang w:eastAsia="zh-CN"/>
        </w:rPr>
        <w:t>估价对象</w:t>
      </w:r>
      <w:r>
        <w:rPr>
          <w:rFonts w:hint="eastAsia" w:ascii="仿宋" w:hAnsi="仿宋" w:eastAsia="仿宋" w:cs="仿宋"/>
          <w:color w:val="auto"/>
          <w:sz w:val="28"/>
          <w:szCs w:val="28"/>
        </w:rPr>
        <w:t>建筑面积</w:t>
      </w:r>
      <w:r>
        <w:rPr>
          <w:rFonts w:hint="eastAsia" w:ascii="仿宋" w:hAnsi="仿宋" w:eastAsia="仿宋" w:cs="仿宋"/>
          <w:color w:val="auto"/>
          <w:sz w:val="28"/>
          <w:szCs w:val="28"/>
          <w:lang w:eastAsia="zh-CN"/>
        </w:rPr>
        <w:t>分别是：37.85㎡、37.85㎡、37.85㎡、37.85㎡、37.85㎡、34.19㎡、37.90㎡、37.85㎡、37.27㎡37.27㎡、37.85㎡、39.98㎡</w:t>
      </w:r>
      <w:r>
        <w:rPr>
          <w:rFonts w:hint="eastAsia" w:ascii="仿宋" w:hAnsi="仿宋" w:eastAsia="仿宋" w:cs="仿宋"/>
          <w:color w:val="auto"/>
          <w:sz w:val="28"/>
          <w:szCs w:val="28"/>
        </w:rPr>
        <w:t>平方米；</w:t>
      </w:r>
    </w:p>
    <w:p>
      <w:pPr>
        <w:numPr>
          <w:ilvl w:val="0"/>
          <w:numId w:val="1"/>
        </w:numPr>
        <w:tabs>
          <w:tab w:val="left" w:pos="3780"/>
        </w:tabs>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用途：住宅；</w:t>
      </w:r>
    </w:p>
    <w:p>
      <w:pPr>
        <w:numPr>
          <w:ilvl w:val="0"/>
          <w:numId w:val="1"/>
        </w:numPr>
        <w:tabs>
          <w:tab w:val="left" w:pos="3780"/>
        </w:tabs>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权属：根据委托方提供的委托材料确定</w:t>
      </w:r>
      <w:r>
        <w:rPr>
          <w:rFonts w:hint="eastAsia" w:ascii="仿宋" w:hAnsi="仿宋" w:eastAsia="仿宋" w:cs="仿宋"/>
          <w:color w:val="auto"/>
          <w:kern w:val="0"/>
          <w:sz w:val="28"/>
          <w:szCs w:val="28"/>
        </w:rPr>
        <w:t>房屋所有权人为</w:t>
      </w:r>
      <w:r>
        <w:rPr>
          <w:rFonts w:hint="eastAsia" w:ascii="仿宋" w:hAnsi="仿宋" w:eastAsia="仿宋" w:cs="仿宋"/>
          <w:color w:val="auto"/>
          <w:sz w:val="28"/>
          <w:szCs w:val="30"/>
          <w:lang w:eastAsia="zh-CN"/>
        </w:rPr>
        <w:t>郭欣</w:t>
      </w:r>
      <w:r>
        <w:rPr>
          <w:rFonts w:hint="eastAsia" w:ascii="仿宋" w:hAnsi="仿宋" w:eastAsia="仿宋" w:cs="仿宋"/>
          <w:color w:val="auto"/>
          <w:sz w:val="28"/>
          <w:szCs w:val="30"/>
        </w:rPr>
        <w:t>；</w:t>
      </w:r>
    </w:p>
    <w:p>
      <w:pPr>
        <w:tabs>
          <w:tab w:val="left" w:pos="3780"/>
        </w:tabs>
        <w:adjustRightInd w:val="0"/>
        <w:snapToGrid w:val="0"/>
        <w:spacing w:line="440" w:lineRule="exact"/>
        <w:ind w:firstLine="560" w:firstLineChars="200"/>
        <w:outlineLvl w:val="0"/>
        <w:rPr>
          <w:rFonts w:ascii="仿宋" w:hAnsi="仿宋" w:eastAsia="仿宋" w:cs="仿宋"/>
          <w:color w:val="auto"/>
          <w:sz w:val="28"/>
          <w:szCs w:val="28"/>
        </w:rPr>
      </w:pPr>
      <w:bookmarkStart w:id="29" w:name="_Toc6774"/>
      <w:r>
        <w:rPr>
          <w:rFonts w:hint="eastAsia" w:ascii="仿宋" w:hAnsi="仿宋" w:eastAsia="仿宋" w:cs="仿宋"/>
          <w:color w:val="auto"/>
          <w:sz w:val="28"/>
          <w:szCs w:val="28"/>
        </w:rPr>
        <w:t>（二）估价对象实物状况的说明：</w:t>
      </w:r>
      <w:bookmarkEnd w:id="29"/>
    </w:p>
    <w:p>
      <w:pPr>
        <w:tabs>
          <w:tab w:val="left" w:pos="3780"/>
        </w:tabs>
        <w:adjustRightInd w:val="0"/>
        <w:snapToGrid w:val="0"/>
        <w:spacing w:line="440" w:lineRule="exact"/>
        <w:ind w:firstLine="560" w:firstLineChars="200"/>
        <w:outlineLvl w:val="1"/>
        <w:rPr>
          <w:rFonts w:ascii="仿宋" w:hAnsi="仿宋" w:eastAsia="仿宋" w:cs="仿宋"/>
          <w:color w:val="auto"/>
          <w:sz w:val="28"/>
          <w:szCs w:val="28"/>
        </w:rPr>
      </w:pPr>
      <w:bookmarkStart w:id="30" w:name="_Toc10687"/>
      <w:r>
        <w:rPr>
          <w:rFonts w:hint="eastAsia" w:ascii="仿宋" w:hAnsi="仿宋" w:eastAsia="仿宋" w:cs="仿宋"/>
          <w:color w:val="auto"/>
          <w:sz w:val="28"/>
          <w:szCs w:val="28"/>
        </w:rPr>
        <w:t>1、建筑物实物状况</w:t>
      </w:r>
      <w:bookmarkEnd w:id="30"/>
    </w:p>
    <w:p>
      <w:pPr>
        <w:tabs>
          <w:tab w:val="left" w:pos="3780"/>
        </w:tabs>
        <w:adjustRightInd w:val="0"/>
        <w:snapToGrid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根据估价人员现场查勘，截止至估价时点，估价对象实物状况如下</w:t>
      </w:r>
      <w:r>
        <w:rPr>
          <w:rFonts w:hint="eastAsia" w:ascii="仿宋" w:hAnsi="仿宋" w:eastAsia="仿宋" w:cs="仿宋"/>
          <w:color w:val="auto"/>
          <w:sz w:val="28"/>
          <w:szCs w:val="28"/>
          <w:lang w:eastAsia="zh-CN"/>
        </w:rPr>
        <w:t>表</w:t>
      </w:r>
      <w:r>
        <w:rPr>
          <w:rFonts w:hint="eastAsia" w:ascii="仿宋" w:hAnsi="仿宋" w:eastAsia="仿宋" w:cs="仿宋"/>
          <w:color w:val="auto"/>
          <w:sz w:val="28"/>
          <w:szCs w:val="28"/>
        </w:rPr>
        <w:t>：</w:t>
      </w:r>
    </w:p>
    <w:p>
      <w:pPr>
        <w:tabs>
          <w:tab w:val="left" w:pos="3780"/>
        </w:tabs>
        <w:adjustRightInd w:val="0"/>
        <w:snapToGrid w:val="0"/>
        <w:spacing w:line="440" w:lineRule="exact"/>
        <w:ind w:firstLine="560" w:firstLineChars="200"/>
        <w:rPr>
          <w:rFonts w:hint="eastAsia" w:ascii="仿宋" w:hAnsi="仿宋" w:eastAsia="仿宋" w:cs="仿宋"/>
          <w:color w:val="auto"/>
          <w:sz w:val="28"/>
          <w:szCs w:val="28"/>
        </w:rPr>
      </w:pPr>
    </w:p>
    <w:p>
      <w:pPr>
        <w:tabs>
          <w:tab w:val="left" w:pos="3780"/>
        </w:tabs>
        <w:adjustRightInd w:val="0"/>
        <w:snapToGrid w:val="0"/>
        <w:spacing w:line="440" w:lineRule="exact"/>
        <w:ind w:firstLine="560" w:firstLineChars="200"/>
        <w:rPr>
          <w:rFonts w:hint="eastAsia" w:ascii="仿宋" w:hAnsi="仿宋" w:eastAsia="仿宋" w:cs="仿宋"/>
          <w:color w:val="auto"/>
          <w:sz w:val="28"/>
          <w:szCs w:val="28"/>
        </w:rPr>
      </w:pPr>
    </w:p>
    <w:tbl>
      <w:tblPr>
        <w:tblStyle w:val="22"/>
        <w:tblpPr w:leftFromText="180" w:rightFromText="180" w:vertAnchor="text" w:horzAnchor="page" w:tblpX="1711" w:tblpY="229"/>
        <w:tblOverlap w:val="never"/>
        <w:tblW w:w="8721" w:type="dxa"/>
        <w:tblInd w:w="0" w:type="dxa"/>
        <w:tblLayout w:type="fixed"/>
        <w:tblCellMar>
          <w:top w:w="0" w:type="dxa"/>
          <w:left w:w="0" w:type="dxa"/>
          <w:bottom w:w="0" w:type="dxa"/>
          <w:right w:w="0" w:type="dxa"/>
        </w:tblCellMar>
      </w:tblPr>
      <w:tblGrid>
        <w:gridCol w:w="449"/>
        <w:gridCol w:w="1127"/>
        <w:gridCol w:w="1682"/>
        <w:gridCol w:w="920"/>
        <w:gridCol w:w="4543"/>
      </w:tblGrid>
      <w:tr>
        <w:tblPrEx>
          <w:tblCellMar>
            <w:top w:w="0" w:type="dxa"/>
            <w:left w:w="0" w:type="dxa"/>
            <w:bottom w:w="0" w:type="dxa"/>
            <w:right w:w="0" w:type="dxa"/>
          </w:tblCellMar>
        </w:tblPrEx>
        <w:trPr>
          <w:trHeight w:val="610" w:hRule="atLeast"/>
        </w:trPr>
        <w:tc>
          <w:tcPr>
            <w:tcW w:w="449"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spacing w:line="22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序号</w:t>
            </w:r>
          </w:p>
        </w:tc>
        <w:tc>
          <w:tcPr>
            <w:tcW w:w="1127"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spacing w:line="220" w:lineRule="exact"/>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权利人</w:t>
            </w:r>
          </w:p>
        </w:tc>
        <w:tc>
          <w:tcPr>
            <w:tcW w:w="16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spacing w:line="220" w:lineRule="exact"/>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不动产权证</w:t>
            </w:r>
          </w:p>
        </w:tc>
        <w:tc>
          <w:tcPr>
            <w:tcW w:w="92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spacing w:line="22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建筑面积（㎡）</w:t>
            </w:r>
          </w:p>
        </w:tc>
        <w:tc>
          <w:tcPr>
            <w:tcW w:w="4543"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spacing w:line="22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房屋状况描述</w:t>
            </w:r>
          </w:p>
        </w:tc>
      </w:tr>
      <w:tr>
        <w:tblPrEx>
          <w:tblCellMar>
            <w:top w:w="0" w:type="dxa"/>
            <w:left w:w="0" w:type="dxa"/>
            <w:bottom w:w="0" w:type="dxa"/>
            <w:right w:w="0" w:type="dxa"/>
          </w:tblCellMar>
        </w:tblPrEx>
        <w:trPr>
          <w:trHeight w:val="1616" w:hRule="atLeast"/>
        </w:trPr>
        <w:tc>
          <w:tcPr>
            <w:tcW w:w="449" w:type="dxa"/>
            <w:tcBorders>
              <w:top w:val="nil"/>
              <w:left w:val="single" w:color="auto" w:sz="4" w:space="0"/>
              <w:bottom w:val="nil"/>
              <w:right w:val="single" w:color="auto" w:sz="4" w:space="0"/>
            </w:tcBorders>
            <w:shd w:val="clear" w:color="000000" w:fill="auto"/>
            <w:tcMar>
              <w:left w:w="108" w:type="dxa"/>
              <w:right w:w="108" w:type="dxa"/>
            </w:tcMar>
            <w:vAlign w:val="center"/>
          </w:tcPr>
          <w:p>
            <w:pPr>
              <w:spacing w:line="22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127"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郭欣</w:t>
            </w:r>
          </w:p>
        </w:tc>
        <w:tc>
          <w:tcPr>
            <w:tcW w:w="16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黑（20</w:t>
            </w:r>
            <w:r>
              <w:rPr>
                <w:rFonts w:hint="eastAsia" w:ascii="宋体" w:hAnsi="宋体" w:cs="宋体"/>
                <w:color w:val="auto"/>
                <w:sz w:val="18"/>
                <w:szCs w:val="18"/>
                <w:lang w:val="en-US" w:eastAsia="zh-CN"/>
              </w:rPr>
              <w:t>16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海林市</w:t>
            </w:r>
            <w:r>
              <w:rPr>
                <w:rFonts w:hint="eastAsia" w:ascii="宋体" w:hAnsi="宋体" w:eastAsia="宋体" w:cs="宋体"/>
                <w:color w:val="auto"/>
                <w:sz w:val="18"/>
                <w:szCs w:val="18"/>
                <w:lang w:val="en-US" w:eastAsia="zh-CN"/>
              </w:rPr>
              <w:t>不动产权第</w:t>
            </w:r>
            <w:r>
              <w:rPr>
                <w:rFonts w:hint="eastAsia" w:ascii="宋体" w:hAnsi="宋体" w:cs="宋体"/>
                <w:color w:val="auto"/>
                <w:sz w:val="18"/>
                <w:szCs w:val="18"/>
                <w:lang w:val="en-US" w:eastAsia="zh-CN"/>
              </w:rPr>
              <w:t>0000891</w:t>
            </w:r>
            <w:r>
              <w:rPr>
                <w:rFonts w:hint="eastAsia" w:ascii="宋体" w:hAnsi="宋体" w:eastAsia="宋体" w:cs="宋体"/>
                <w:color w:val="auto"/>
                <w:sz w:val="18"/>
                <w:szCs w:val="18"/>
                <w:lang w:val="en-US" w:eastAsia="zh-CN"/>
              </w:rPr>
              <w:t>号</w:t>
            </w:r>
          </w:p>
        </w:tc>
        <w:tc>
          <w:tcPr>
            <w:tcW w:w="92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37.85</w:t>
            </w:r>
          </w:p>
        </w:tc>
        <w:tc>
          <w:tcPr>
            <w:tcW w:w="4543"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left"/>
              <w:rPr>
                <w:rFonts w:hint="eastAsia" w:ascii="宋体" w:hAnsi="宋体" w:eastAsia="宋体" w:cs="宋体"/>
                <w:color w:val="auto"/>
                <w:sz w:val="18"/>
                <w:szCs w:val="18"/>
              </w:rPr>
            </w:pPr>
            <w:r>
              <w:rPr>
                <w:rFonts w:hint="eastAsia" w:ascii="宋体" w:hAnsi="宋体" w:cs="宋体"/>
                <w:color w:val="auto"/>
                <w:sz w:val="18"/>
                <w:szCs w:val="18"/>
                <w:lang w:val="en-US" w:eastAsia="zh-CN"/>
              </w:rPr>
              <w:t>共有情况为单独所有，钢筋混凝土</w:t>
            </w:r>
            <w:r>
              <w:rPr>
                <w:rFonts w:hint="eastAsia" w:ascii="宋体" w:hAnsi="宋体" w:eastAsia="宋体" w:cs="宋体"/>
                <w:color w:val="auto"/>
                <w:sz w:val="18"/>
                <w:szCs w:val="18"/>
              </w:rPr>
              <w:t>结构，楼层为</w:t>
            </w:r>
            <w:r>
              <w:rPr>
                <w:rFonts w:hint="eastAsia" w:ascii="宋体" w:hAnsi="宋体" w:cs="宋体"/>
                <w:color w:val="auto"/>
                <w:sz w:val="18"/>
                <w:szCs w:val="18"/>
                <w:lang w:val="en-US" w:eastAsia="zh-CN"/>
              </w:rPr>
              <w:t>14/17</w:t>
            </w:r>
            <w:r>
              <w:rPr>
                <w:rFonts w:hint="eastAsia" w:ascii="宋体" w:hAnsi="宋体" w:eastAsia="宋体" w:cs="宋体"/>
                <w:color w:val="auto"/>
                <w:sz w:val="18"/>
                <w:szCs w:val="18"/>
              </w:rPr>
              <w:t>层，室内净高</w:t>
            </w:r>
            <w:r>
              <w:rPr>
                <w:rFonts w:hint="eastAsia" w:ascii="宋体" w:hAnsi="宋体" w:cs="宋体"/>
                <w:color w:val="auto"/>
                <w:sz w:val="18"/>
                <w:szCs w:val="18"/>
                <w:lang w:val="en-US" w:eastAsia="zh-CN"/>
              </w:rPr>
              <w:t>2.80</w:t>
            </w:r>
            <w:r>
              <w:rPr>
                <w:rFonts w:hint="eastAsia" w:ascii="宋体" w:hAnsi="宋体" w:eastAsia="宋体" w:cs="宋体"/>
                <w:color w:val="auto"/>
                <w:sz w:val="18"/>
                <w:szCs w:val="18"/>
              </w:rPr>
              <w:t>m左右，</w:t>
            </w:r>
            <w:r>
              <w:rPr>
                <w:rFonts w:hint="eastAsia" w:ascii="宋体" w:hAnsi="宋体" w:eastAsia="宋体" w:cs="宋体"/>
                <w:color w:val="auto"/>
                <w:sz w:val="18"/>
                <w:szCs w:val="18"/>
                <w:lang w:eastAsia="zh-CN"/>
              </w:rPr>
              <w:t>建筑年代</w:t>
            </w:r>
            <w:r>
              <w:rPr>
                <w:rFonts w:hint="eastAsia" w:ascii="宋体" w:hAnsi="宋体" w:cs="宋体"/>
                <w:color w:val="auto"/>
                <w:sz w:val="18"/>
                <w:szCs w:val="18"/>
                <w:lang w:val="en-US" w:eastAsia="zh-CN"/>
              </w:rPr>
              <w:t>2012</w:t>
            </w:r>
            <w:r>
              <w:rPr>
                <w:rFonts w:hint="eastAsia" w:ascii="宋体" w:hAnsi="宋体" w:eastAsia="宋体" w:cs="宋体"/>
                <w:color w:val="auto"/>
                <w:sz w:val="18"/>
                <w:szCs w:val="18"/>
                <w:lang w:eastAsia="zh-CN"/>
              </w:rPr>
              <w:t>年</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墙体厚度</w:t>
            </w:r>
            <w:r>
              <w:rPr>
                <w:rFonts w:hint="eastAsia" w:ascii="宋体" w:hAnsi="宋体" w:cs="宋体"/>
                <w:color w:val="auto"/>
                <w:sz w:val="18"/>
                <w:szCs w:val="18"/>
                <w:lang w:val="en-US" w:eastAsia="zh-CN"/>
              </w:rPr>
              <w:t>40CM</w:t>
            </w:r>
            <w:r>
              <w:rPr>
                <w:rFonts w:hint="eastAsia" w:ascii="宋体" w:hAnsi="宋体" w:eastAsia="宋体" w:cs="宋体"/>
                <w:color w:val="auto"/>
                <w:sz w:val="18"/>
                <w:szCs w:val="18"/>
              </w:rPr>
              <w:t>，室外</w:t>
            </w:r>
            <w:r>
              <w:rPr>
                <w:rFonts w:hint="eastAsia" w:ascii="宋体" w:hAnsi="宋体" w:cs="宋体"/>
                <w:color w:val="auto"/>
                <w:sz w:val="18"/>
                <w:szCs w:val="18"/>
                <w:lang w:eastAsia="zh-CN"/>
              </w:rPr>
              <w:t>防盗门</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塑窗，室内墙刷白、室内</w:t>
            </w:r>
            <w:r>
              <w:rPr>
                <w:rFonts w:hint="eastAsia" w:ascii="宋体" w:hAnsi="宋体" w:eastAsia="宋体" w:cs="宋体"/>
                <w:color w:val="auto"/>
                <w:sz w:val="18"/>
                <w:szCs w:val="18"/>
                <w:lang w:eastAsia="zh-CN"/>
              </w:rPr>
              <w:t>地面</w:t>
            </w:r>
            <w:r>
              <w:rPr>
                <w:rFonts w:hint="eastAsia" w:ascii="宋体" w:hAnsi="宋体" w:cs="宋体"/>
                <w:color w:val="auto"/>
                <w:sz w:val="18"/>
                <w:szCs w:val="18"/>
                <w:lang w:eastAsia="zh-CN"/>
              </w:rPr>
              <w:t>地板、地砖</w:t>
            </w:r>
            <w:r>
              <w:rPr>
                <w:rFonts w:hint="eastAsia" w:ascii="宋体" w:hAnsi="宋体" w:cs="宋体"/>
                <w:color w:val="auto"/>
                <w:sz w:val="18"/>
                <w:szCs w:val="18"/>
                <w:lang w:val="en-US" w:eastAsia="zh-CN"/>
              </w:rPr>
              <w:t>，</w:t>
            </w:r>
            <w:r>
              <w:rPr>
                <w:rFonts w:hint="eastAsia" w:ascii="宋体" w:hAnsi="宋体" w:eastAsia="宋体" w:cs="宋体"/>
                <w:color w:val="auto"/>
                <w:sz w:val="18"/>
                <w:szCs w:val="18"/>
              </w:rPr>
              <w:t>室内</w:t>
            </w:r>
            <w:r>
              <w:rPr>
                <w:rFonts w:hint="eastAsia" w:ascii="宋体" w:hAnsi="宋体" w:cs="宋体"/>
                <w:color w:val="auto"/>
                <w:sz w:val="18"/>
                <w:szCs w:val="18"/>
                <w:lang w:val="en-US" w:eastAsia="zh-CN"/>
              </w:rPr>
              <w:t>装修为简装状态，朝向东西，</w:t>
            </w:r>
            <w:r>
              <w:rPr>
                <w:rFonts w:hint="eastAsia" w:ascii="宋体" w:hAnsi="宋体" w:eastAsia="宋体" w:cs="宋体"/>
                <w:color w:val="auto"/>
                <w:sz w:val="18"/>
                <w:szCs w:val="18"/>
              </w:rPr>
              <w:t>采暖、电照</w:t>
            </w:r>
            <w:r>
              <w:rPr>
                <w:rFonts w:hint="eastAsia" w:ascii="宋体" w:hAnsi="宋体" w:cs="宋体"/>
                <w:color w:val="auto"/>
                <w:sz w:val="18"/>
                <w:szCs w:val="18"/>
                <w:lang w:eastAsia="zh-CN"/>
              </w:rPr>
              <w:t>，上下水</w:t>
            </w:r>
            <w:r>
              <w:rPr>
                <w:rFonts w:hint="eastAsia" w:ascii="宋体" w:hAnsi="宋体" w:eastAsia="宋体" w:cs="宋体"/>
                <w:color w:val="auto"/>
                <w:sz w:val="18"/>
                <w:szCs w:val="18"/>
              </w:rPr>
              <w:t>等配套设施齐全。现处于</w:t>
            </w:r>
            <w:r>
              <w:rPr>
                <w:rFonts w:hint="eastAsia" w:ascii="宋体" w:hAnsi="宋体" w:cs="宋体"/>
                <w:color w:val="auto"/>
                <w:sz w:val="18"/>
                <w:szCs w:val="18"/>
                <w:lang w:eastAsia="zh-CN"/>
              </w:rPr>
              <w:t>出租</w:t>
            </w:r>
            <w:r>
              <w:rPr>
                <w:rFonts w:hint="eastAsia" w:ascii="宋体" w:hAnsi="宋体" w:eastAsia="宋体" w:cs="宋体"/>
                <w:color w:val="auto"/>
                <w:sz w:val="18"/>
                <w:szCs w:val="18"/>
              </w:rPr>
              <w:t>状态。</w:t>
            </w:r>
          </w:p>
        </w:tc>
      </w:tr>
      <w:tr>
        <w:tblPrEx>
          <w:tblCellMar>
            <w:top w:w="0" w:type="dxa"/>
            <w:left w:w="0" w:type="dxa"/>
            <w:bottom w:w="0" w:type="dxa"/>
            <w:right w:w="0" w:type="dxa"/>
          </w:tblCellMar>
        </w:tblPrEx>
        <w:trPr>
          <w:trHeight w:val="501" w:hRule="atLeast"/>
        </w:trPr>
        <w:tc>
          <w:tcPr>
            <w:tcW w:w="449" w:type="dxa"/>
            <w:tcBorders>
              <w:top w:val="nil"/>
              <w:left w:val="single" w:color="auto" w:sz="4" w:space="0"/>
              <w:bottom w:val="nil"/>
              <w:right w:val="single" w:color="auto" w:sz="4" w:space="0"/>
            </w:tcBorders>
            <w:shd w:val="clear" w:color="000000" w:fill="auto"/>
            <w:tcMar>
              <w:left w:w="108" w:type="dxa"/>
              <w:right w:w="108" w:type="dxa"/>
            </w:tcMar>
            <w:vAlign w:val="center"/>
          </w:tcPr>
          <w:p>
            <w:pPr>
              <w:spacing w:line="2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2</w:t>
            </w:r>
          </w:p>
        </w:tc>
        <w:tc>
          <w:tcPr>
            <w:tcW w:w="1127"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郭欣</w:t>
            </w:r>
          </w:p>
        </w:tc>
        <w:tc>
          <w:tcPr>
            <w:tcW w:w="16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黑（20</w:t>
            </w:r>
            <w:r>
              <w:rPr>
                <w:rFonts w:hint="eastAsia" w:ascii="宋体" w:hAnsi="宋体" w:cs="宋体"/>
                <w:color w:val="auto"/>
                <w:sz w:val="18"/>
                <w:szCs w:val="18"/>
                <w:lang w:val="en-US" w:eastAsia="zh-CN"/>
              </w:rPr>
              <w:t>16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海林市</w:t>
            </w:r>
            <w:r>
              <w:rPr>
                <w:rFonts w:hint="eastAsia" w:ascii="宋体" w:hAnsi="宋体" w:eastAsia="宋体" w:cs="宋体"/>
                <w:color w:val="auto"/>
                <w:sz w:val="18"/>
                <w:szCs w:val="18"/>
                <w:lang w:val="en-US" w:eastAsia="zh-CN"/>
              </w:rPr>
              <w:t>不动产权第</w:t>
            </w:r>
            <w:r>
              <w:rPr>
                <w:rFonts w:hint="eastAsia" w:ascii="宋体" w:hAnsi="宋体" w:cs="宋体"/>
                <w:color w:val="auto"/>
                <w:sz w:val="18"/>
                <w:szCs w:val="18"/>
                <w:lang w:val="en-US" w:eastAsia="zh-CN"/>
              </w:rPr>
              <w:t>0000851</w:t>
            </w:r>
            <w:r>
              <w:rPr>
                <w:rFonts w:hint="eastAsia" w:ascii="宋体" w:hAnsi="宋体" w:eastAsia="宋体" w:cs="宋体"/>
                <w:color w:val="auto"/>
                <w:sz w:val="18"/>
                <w:szCs w:val="18"/>
                <w:lang w:val="en-US" w:eastAsia="zh-CN"/>
              </w:rPr>
              <w:t>号</w:t>
            </w:r>
          </w:p>
        </w:tc>
        <w:tc>
          <w:tcPr>
            <w:tcW w:w="92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37.85</w:t>
            </w:r>
          </w:p>
        </w:tc>
        <w:tc>
          <w:tcPr>
            <w:tcW w:w="4543"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共有情况为单独所有，钢筋混凝土</w:t>
            </w:r>
            <w:r>
              <w:rPr>
                <w:rFonts w:hint="eastAsia" w:ascii="宋体" w:hAnsi="宋体" w:eastAsia="宋体" w:cs="宋体"/>
                <w:color w:val="auto"/>
                <w:sz w:val="18"/>
                <w:szCs w:val="18"/>
              </w:rPr>
              <w:t>结构，楼层为</w:t>
            </w:r>
            <w:r>
              <w:rPr>
                <w:rFonts w:hint="eastAsia" w:ascii="宋体" w:hAnsi="宋体" w:cs="宋体"/>
                <w:color w:val="auto"/>
                <w:sz w:val="18"/>
                <w:szCs w:val="18"/>
                <w:lang w:val="en-US" w:eastAsia="zh-CN"/>
              </w:rPr>
              <w:t>14/17</w:t>
            </w:r>
            <w:r>
              <w:rPr>
                <w:rFonts w:hint="eastAsia" w:ascii="宋体" w:hAnsi="宋体" w:eastAsia="宋体" w:cs="宋体"/>
                <w:color w:val="auto"/>
                <w:sz w:val="18"/>
                <w:szCs w:val="18"/>
              </w:rPr>
              <w:t>层，室内净高</w:t>
            </w:r>
            <w:r>
              <w:rPr>
                <w:rFonts w:hint="eastAsia" w:ascii="宋体" w:hAnsi="宋体" w:cs="宋体"/>
                <w:color w:val="auto"/>
                <w:sz w:val="18"/>
                <w:szCs w:val="18"/>
                <w:lang w:val="en-US" w:eastAsia="zh-CN"/>
              </w:rPr>
              <w:t>2.80</w:t>
            </w:r>
            <w:r>
              <w:rPr>
                <w:rFonts w:hint="eastAsia" w:ascii="宋体" w:hAnsi="宋体" w:eastAsia="宋体" w:cs="宋体"/>
                <w:color w:val="auto"/>
                <w:sz w:val="18"/>
                <w:szCs w:val="18"/>
              </w:rPr>
              <w:t>m左右，</w:t>
            </w:r>
            <w:r>
              <w:rPr>
                <w:rFonts w:hint="eastAsia" w:ascii="宋体" w:hAnsi="宋体" w:eastAsia="宋体" w:cs="宋体"/>
                <w:color w:val="auto"/>
                <w:sz w:val="18"/>
                <w:szCs w:val="18"/>
                <w:lang w:eastAsia="zh-CN"/>
              </w:rPr>
              <w:t>建筑年代</w:t>
            </w:r>
            <w:r>
              <w:rPr>
                <w:rFonts w:hint="eastAsia" w:ascii="宋体" w:hAnsi="宋体" w:cs="宋体"/>
                <w:color w:val="auto"/>
                <w:sz w:val="18"/>
                <w:szCs w:val="18"/>
                <w:lang w:val="en-US" w:eastAsia="zh-CN"/>
              </w:rPr>
              <w:t>2012</w:t>
            </w:r>
            <w:r>
              <w:rPr>
                <w:rFonts w:hint="eastAsia" w:ascii="宋体" w:hAnsi="宋体" w:eastAsia="宋体" w:cs="宋体"/>
                <w:color w:val="auto"/>
                <w:sz w:val="18"/>
                <w:szCs w:val="18"/>
                <w:lang w:eastAsia="zh-CN"/>
              </w:rPr>
              <w:t>年</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墙体厚度</w:t>
            </w:r>
            <w:r>
              <w:rPr>
                <w:rFonts w:hint="eastAsia" w:ascii="宋体" w:hAnsi="宋体" w:cs="宋体"/>
                <w:color w:val="auto"/>
                <w:sz w:val="18"/>
                <w:szCs w:val="18"/>
                <w:lang w:val="en-US" w:eastAsia="zh-CN"/>
              </w:rPr>
              <w:t>40CM</w:t>
            </w:r>
            <w:r>
              <w:rPr>
                <w:rFonts w:hint="eastAsia" w:ascii="宋体" w:hAnsi="宋体" w:eastAsia="宋体" w:cs="宋体"/>
                <w:color w:val="auto"/>
                <w:sz w:val="18"/>
                <w:szCs w:val="18"/>
              </w:rPr>
              <w:t>，室外</w:t>
            </w:r>
            <w:r>
              <w:rPr>
                <w:rFonts w:hint="eastAsia" w:ascii="宋体" w:hAnsi="宋体" w:cs="宋体"/>
                <w:color w:val="auto"/>
                <w:sz w:val="18"/>
                <w:szCs w:val="18"/>
                <w:lang w:eastAsia="zh-CN"/>
              </w:rPr>
              <w:t>防盗门</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室内墙刷白、塑窗，室内</w:t>
            </w:r>
            <w:r>
              <w:rPr>
                <w:rFonts w:hint="eastAsia" w:ascii="宋体" w:hAnsi="宋体" w:eastAsia="宋体" w:cs="宋体"/>
                <w:color w:val="auto"/>
                <w:sz w:val="18"/>
                <w:szCs w:val="18"/>
                <w:lang w:eastAsia="zh-CN"/>
              </w:rPr>
              <w:t>地面</w:t>
            </w:r>
            <w:r>
              <w:rPr>
                <w:rFonts w:hint="eastAsia" w:ascii="宋体" w:hAnsi="宋体" w:cs="宋体"/>
                <w:color w:val="auto"/>
                <w:sz w:val="18"/>
                <w:szCs w:val="18"/>
                <w:lang w:eastAsia="zh-CN"/>
              </w:rPr>
              <w:t>地板、地砖</w:t>
            </w:r>
            <w:r>
              <w:rPr>
                <w:rFonts w:hint="eastAsia" w:ascii="宋体" w:hAnsi="宋体" w:cs="宋体"/>
                <w:color w:val="auto"/>
                <w:sz w:val="18"/>
                <w:szCs w:val="18"/>
                <w:lang w:val="en-US" w:eastAsia="zh-CN"/>
              </w:rPr>
              <w:t>，</w:t>
            </w:r>
            <w:r>
              <w:rPr>
                <w:rFonts w:hint="eastAsia" w:ascii="宋体" w:hAnsi="宋体" w:eastAsia="宋体" w:cs="宋体"/>
                <w:color w:val="auto"/>
                <w:sz w:val="18"/>
                <w:szCs w:val="18"/>
              </w:rPr>
              <w:t>室内</w:t>
            </w:r>
            <w:r>
              <w:rPr>
                <w:rFonts w:hint="eastAsia" w:ascii="宋体" w:hAnsi="宋体" w:cs="宋体"/>
                <w:color w:val="auto"/>
                <w:sz w:val="18"/>
                <w:szCs w:val="18"/>
                <w:lang w:val="en-US" w:eastAsia="zh-CN"/>
              </w:rPr>
              <w:t>装修为简装状态，朝向东西，</w:t>
            </w:r>
            <w:r>
              <w:rPr>
                <w:rFonts w:hint="eastAsia" w:ascii="宋体" w:hAnsi="宋体" w:eastAsia="宋体" w:cs="宋体"/>
                <w:color w:val="auto"/>
                <w:sz w:val="18"/>
                <w:szCs w:val="18"/>
              </w:rPr>
              <w:t>采暖、电照</w:t>
            </w:r>
            <w:r>
              <w:rPr>
                <w:rFonts w:hint="eastAsia" w:ascii="宋体" w:hAnsi="宋体" w:cs="宋体"/>
                <w:color w:val="auto"/>
                <w:sz w:val="18"/>
                <w:szCs w:val="18"/>
                <w:lang w:eastAsia="zh-CN"/>
              </w:rPr>
              <w:t>，上下水</w:t>
            </w:r>
            <w:r>
              <w:rPr>
                <w:rFonts w:hint="eastAsia" w:ascii="宋体" w:hAnsi="宋体" w:eastAsia="宋体" w:cs="宋体"/>
                <w:color w:val="auto"/>
                <w:sz w:val="18"/>
                <w:szCs w:val="18"/>
              </w:rPr>
              <w:t>等配套设施齐全。现处于</w:t>
            </w:r>
            <w:r>
              <w:rPr>
                <w:rFonts w:hint="eastAsia" w:ascii="宋体" w:hAnsi="宋体" w:cs="宋体"/>
                <w:color w:val="auto"/>
                <w:sz w:val="18"/>
                <w:szCs w:val="18"/>
                <w:lang w:eastAsia="zh-CN"/>
              </w:rPr>
              <w:t>出租</w:t>
            </w:r>
            <w:r>
              <w:rPr>
                <w:rFonts w:hint="eastAsia" w:ascii="宋体" w:hAnsi="宋体" w:eastAsia="宋体" w:cs="宋体"/>
                <w:color w:val="auto"/>
                <w:sz w:val="18"/>
                <w:szCs w:val="18"/>
              </w:rPr>
              <w:t>状态。</w:t>
            </w:r>
          </w:p>
        </w:tc>
      </w:tr>
      <w:tr>
        <w:tblPrEx>
          <w:tblCellMar>
            <w:top w:w="0" w:type="dxa"/>
            <w:left w:w="0" w:type="dxa"/>
            <w:bottom w:w="0" w:type="dxa"/>
            <w:right w:w="0" w:type="dxa"/>
          </w:tblCellMar>
        </w:tblPrEx>
        <w:trPr>
          <w:trHeight w:val="501" w:hRule="atLeast"/>
        </w:trPr>
        <w:tc>
          <w:tcPr>
            <w:tcW w:w="449" w:type="dxa"/>
            <w:tcBorders>
              <w:top w:val="nil"/>
              <w:left w:val="single" w:color="auto" w:sz="4" w:space="0"/>
              <w:bottom w:val="nil"/>
              <w:right w:val="single" w:color="auto" w:sz="4" w:space="0"/>
            </w:tcBorders>
            <w:shd w:val="clear" w:color="000000" w:fill="auto"/>
            <w:tcMar>
              <w:left w:w="108" w:type="dxa"/>
              <w:right w:w="108" w:type="dxa"/>
            </w:tcMar>
            <w:vAlign w:val="center"/>
          </w:tcPr>
          <w:p>
            <w:pPr>
              <w:spacing w:line="2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3</w:t>
            </w:r>
          </w:p>
        </w:tc>
        <w:tc>
          <w:tcPr>
            <w:tcW w:w="1127"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郭欣</w:t>
            </w:r>
          </w:p>
        </w:tc>
        <w:tc>
          <w:tcPr>
            <w:tcW w:w="16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黑（20</w:t>
            </w:r>
            <w:r>
              <w:rPr>
                <w:rFonts w:hint="eastAsia" w:ascii="宋体" w:hAnsi="宋体" w:cs="宋体"/>
                <w:color w:val="auto"/>
                <w:sz w:val="18"/>
                <w:szCs w:val="18"/>
                <w:lang w:val="en-US" w:eastAsia="zh-CN"/>
              </w:rPr>
              <w:t>16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海林市</w:t>
            </w:r>
            <w:r>
              <w:rPr>
                <w:rFonts w:hint="eastAsia" w:ascii="宋体" w:hAnsi="宋体" w:eastAsia="宋体" w:cs="宋体"/>
                <w:color w:val="auto"/>
                <w:sz w:val="18"/>
                <w:szCs w:val="18"/>
                <w:lang w:val="en-US" w:eastAsia="zh-CN"/>
              </w:rPr>
              <w:t>不动产权第</w:t>
            </w:r>
            <w:r>
              <w:rPr>
                <w:rFonts w:hint="eastAsia" w:ascii="宋体" w:hAnsi="宋体" w:cs="宋体"/>
                <w:color w:val="auto"/>
                <w:sz w:val="18"/>
                <w:szCs w:val="18"/>
                <w:lang w:val="en-US" w:eastAsia="zh-CN"/>
              </w:rPr>
              <w:t>0000858</w:t>
            </w:r>
            <w:r>
              <w:rPr>
                <w:rFonts w:hint="eastAsia" w:ascii="宋体" w:hAnsi="宋体" w:eastAsia="宋体" w:cs="宋体"/>
                <w:color w:val="auto"/>
                <w:sz w:val="18"/>
                <w:szCs w:val="18"/>
                <w:lang w:val="en-US" w:eastAsia="zh-CN"/>
              </w:rPr>
              <w:t>号</w:t>
            </w:r>
          </w:p>
        </w:tc>
        <w:tc>
          <w:tcPr>
            <w:tcW w:w="92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37.85</w:t>
            </w:r>
          </w:p>
        </w:tc>
        <w:tc>
          <w:tcPr>
            <w:tcW w:w="4543"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共有情况为单独所有，钢筋混凝土</w:t>
            </w:r>
            <w:r>
              <w:rPr>
                <w:rFonts w:hint="eastAsia" w:ascii="宋体" w:hAnsi="宋体" w:eastAsia="宋体" w:cs="宋体"/>
                <w:color w:val="auto"/>
                <w:sz w:val="18"/>
                <w:szCs w:val="18"/>
              </w:rPr>
              <w:t>结构，楼层为</w:t>
            </w:r>
            <w:r>
              <w:rPr>
                <w:rFonts w:hint="eastAsia" w:ascii="宋体" w:hAnsi="宋体" w:cs="宋体"/>
                <w:color w:val="auto"/>
                <w:sz w:val="18"/>
                <w:szCs w:val="18"/>
                <w:lang w:val="en-US" w:eastAsia="zh-CN"/>
              </w:rPr>
              <w:t>14/17</w:t>
            </w:r>
            <w:r>
              <w:rPr>
                <w:rFonts w:hint="eastAsia" w:ascii="宋体" w:hAnsi="宋体" w:eastAsia="宋体" w:cs="宋体"/>
                <w:color w:val="auto"/>
                <w:sz w:val="18"/>
                <w:szCs w:val="18"/>
              </w:rPr>
              <w:t>层，室内净高</w:t>
            </w:r>
            <w:r>
              <w:rPr>
                <w:rFonts w:hint="eastAsia" w:ascii="宋体" w:hAnsi="宋体" w:cs="宋体"/>
                <w:color w:val="auto"/>
                <w:sz w:val="18"/>
                <w:szCs w:val="18"/>
                <w:lang w:val="en-US" w:eastAsia="zh-CN"/>
              </w:rPr>
              <w:t>2.80</w:t>
            </w:r>
            <w:r>
              <w:rPr>
                <w:rFonts w:hint="eastAsia" w:ascii="宋体" w:hAnsi="宋体" w:eastAsia="宋体" w:cs="宋体"/>
                <w:color w:val="auto"/>
                <w:sz w:val="18"/>
                <w:szCs w:val="18"/>
              </w:rPr>
              <w:t>m左右，</w:t>
            </w:r>
            <w:r>
              <w:rPr>
                <w:rFonts w:hint="eastAsia" w:ascii="宋体" w:hAnsi="宋体" w:eastAsia="宋体" w:cs="宋体"/>
                <w:color w:val="auto"/>
                <w:sz w:val="18"/>
                <w:szCs w:val="18"/>
                <w:lang w:eastAsia="zh-CN"/>
              </w:rPr>
              <w:t>建筑年代</w:t>
            </w:r>
            <w:r>
              <w:rPr>
                <w:rFonts w:hint="eastAsia" w:ascii="宋体" w:hAnsi="宋体" w:cs="宋体"/>
                <w:color w:val="auto"/>
                <w:sz w:val="18"/>
                <w:szCs w:val="18"/>
                <w:lang w:val="en-US" w:eastAsia="zh-CN"/>
              </w:rPr>
              <w:t>2012</w:t>
            </w:r>
            <w:r>
              <w:rPr>
                <w:rFonts w:hint="eastAsia" w:ascii="宋体" w:hAnsi="宋体" w:eastAsia="宋体" w:cs="宋体"/>
                <w:color w:val="auto"/>
                <w:sz w:val="18"/>
                <w:szCs w:val="18"/>
                <w:lang w:eastAsia="zh-CN"/>
              </w:rPr>
              <w:t>年</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墙体厚度</w:t>
            </w:r>
            <w:r>
              <w:rPr>
                <w:rFonts w:hint="eastAsia" w:ascii="宋体" w:hAnsi="宋体" w:cs="宋体"/>
                <w:color w:val="auto"/>
                <w:sz w:val="18"/>
                <w:szCs w:val="18"/>
                <w:lang w:val="en-US" w:eastAsia="zh-CN"/>
              </w:rPr>
              <w:t>40CM</w:t>
            </w:r>
            <w:r>
              <w:rPr>
                <w:rFonts w:hint="eastAsia" w:ascii="宋体" w:hAnsi="宋体" w:eastAsia="宋体" w:cs="宋体"/>
                <w:color w:val="auto"/>
                <w:sz w:val="18"/>
                <w:szCs w:val="18"/>
              </w:rPr>
              <w:t>，室外</w:t>
            </w:r>
            <w:r>
              <w:rPr>
                <w:rFonts w:hint="eastAsia" w:ascii="宋体" w:hAnsi="宋体" w:cs="宋体"/>
                <w:color w:val="auto"/>
                <w:sz w:val="18"/>
                <w:szCs w:val="18"/>
                <w:lang w:eastAsia="zh-CN"/>
              </w:rPr>
              <w:t>防盗门</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室内墙刷白、塑窗，室内</w:t>
            </w:r>
            <w:r>
              <w:rPr>
                <w:rFonts w:hint="eastAsia" w:ascii="宋体" w:hAnsi="宋体" w:eastAsia="宋体" w:cs="宋体"/>
                <w:color w:val="auto"/>
                <w:sz w:val="18"/>
                <w:szCs w:val="18"/>
                <w:lang w:eastAsia="zh-CN"/>
              </w:rPr>
              <w:t>地面</w:t>
            </w:r>
            <w:r>
              <w:rPr>
                <w:rFonts w:hint="eastAsia" w:ascii="宋体" w:hAnsi="宋体" w:cs="宋体"/>
                <w:color w:val="auto"/>
                <w:sz w:val="18"/>
                <w:szCs w:val="18"/>
                <w:lang w:eastAsia="zh-CN"/>
              </w:rPr>
              <w:t>地板、地砖</w:t>
            </w:r>
            <w:r>
              <w:rPr>
                <w:rFonts w:hint="eastAsia" w:ascii="宋体" w:hAnsi="宋体" w:cs="宋体"/>
                <w:color w:val="auto"/>
                <w:sz w:val="18"/>
                <w:szCs w:val="18"/>
                <w:lang w:val="en-US" w:eastAsia="zh-CN"/>
              </w:rPr>
              <w:t>，</w:t>
            </w:r>
            <w:r>
              <w:rPr>
                <w:rFonts w:hint="eastAsia" w:ascii="宋体" w:hAnsi="宋体" w:eastAsia="宋体" w:cs="宋体"/>
                <w:color w:val="auto"/>
                <w:sz w:val="18"/>
                <w:szCs w:val="18"/>
              </w:rPr>
              <w:t>室内</w:t>
            </w:r>
            <w:r>
              <w:rPr>
                <w:rFonts w:hint="eastAsia" w:ascii="宋体" w:hAnsi="宋体" w:cs="宋体"/>
                <w:color w:val="auto"/>
                <w:sz w:val="18"/>
                <w:szCs w:val="18"/>
                <w:lang w:val="en-US" w:eastAsia="zh-CN"/>
              </w:rPr>
              <w:t>装修为简装状态，朝向东西，</w:t>
            </w:r>
            <w:r>
              <w:rPr>
                <w:rFonts w:hint="eastAsia" w:ascii="宋体" w:hAnsi="宋体" w:eastAsia="宋体" w:cs="宋体"/>
                <w:color w:val="auto"/>
                <w:sz w:val="18"/>
                <w:szCs w:val="18"/>
              </w:rPr>
              <w:t>采暖、电照</w:t>
            </w:r>
            <w:r>
              <w:rPr>
                <w:rFonts w:hint="eastAsia" w:ascii="宋体" w:hAnsi="宋体" w:cs="宋体"/>
                <w:color w:val="auto"/>
                <w:sz w:val="18"/>
                <w:szCs w:val="18"/>
                <w:lang w:eastAsia="zh-CN"/>
              </w:rPr>
              <w:t>，上下水</w:t>
            </w:r>
            <w:r>
              <w:rPr>
                <w:rFonts w:hint="eastAsia" w:ascii="宋体" w:hAnsi="宋体" w:eastAsia="宋体" w:cs="宋体"/>
                <w:color w:val="auto"/>
                <w:sz w:val="18"/>
                <w:szCs w:val="18"/>
              </w:rPr>
              <w:t>等配套设施齐全。现处于</w:t>
            </w:r>
            <w:r>
              <w:rPr>
                <w:rFonts w:hint="eastAsia" w:ascii="宋体" w:hAnsi="宋体" w:cs="宋体"/>
                <w:color w:val="auto"/>
                <w:sz w:val="18"/>
                <w:szCs w:val="18"/>
                <w:lang w:eastAsia="zh-CN"/>
              </w:rPr>
              <w:t>出租</w:t>
            </w:r>
            <w:r>
              <w:rPr>
                <w:rFonts w:hint="eastAsia" w:ascii="宋体" w:hAnsi="宋体" w:eastAsia="宋体" w:cs="宋体"/>
                <w:color w:val="auto"/>
                <w:sz w:val="18"/>
                <w:szCs w:val="18"/>
              </w:rPr>
              <w:t>状态。</w:t>
            </w:r>
          </w:p>
        </w:tc>
      </w:tr>
      <w:tr>
        <w:tblPrEx>
          <w:tblCellMar>
            <w:top w:w="0" w:type="dxa"/>
            <w:left w:w="0" w:type="dxa"/>
            <w:bottom w:w="0" w:type="dxa"/>
            <w:right w:w="0" w:type="dxa"/>
          </w:tblCellMar>
        </w:tblPrEx>
        <w:trPr>
          <w:trHeight w:val="501" w:hRule="atLeast"/>
        </w:trPr>
        <w:tc>
          <w:tcPr>
            <w:tcW w:w="449" w:type="dxa"/>
            <w:tcBorders>
              <w:top w:val="nil"/>
              <w:left w:val="single" w:color="auto" w:sz="4" w:space="0"/>
              <w:bottom w:val="nil"/>
              <w:right w:val="single" w:color="auto" w:sz="4" w:space="0"/>
            </w:tcBorders>
            <w:shd w:val="clear" w:color="000000" w:fill="auto"/>
            <w:tcMar>
              <w:left w:w="108" w:type="dxa"/>
              <w:right w:w="108" w:type="dxa"/>
            </w:tcMar>
            <w:vAlign w:val="center"/>
          </w:tcPr>
          <w:p>
            <w:pPr>
              <w:spacing w:line="2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4</w:t>
            </w:r>
          </w:p>
        </w:tc>
        <w:tc>
          <w:tcPr>
            <w:tcW w:w="1127"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郭欣</w:t>
            </w:r>
          </w:p>
        </w:tc>
        <w:tc>
          <w:tcPr>
            <w:tcW w:w="16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黑（20</w:t>
            </w:r>
            <w:r>
              <w:rPr>
                <w:rFonts w:hint="eastAsia" w:ascii="宋体" w:hAnsi="宋体" w:cs="宋体"/>
                <w:color w:val="auto"/>
                <w:sz w:val="18"/>
                <w:szCs w:val="18"/>
                <w:lang w:val="en-US" w:eastAsia="zh-CN"/>
              </w:rPr>
              <w:t>16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海林市</w:t>
            </w:r>
            <w:r>
              <w:rPr>
                <w:rFonts w:hint="eastAsia" w:ascii="宋体" w:hAnsi="宋体" w:eastAsia="宋体" w:cs="宋体"/>
                <w:color w:val="auto"/>
                <w:sz w:val="18"/>
                <w:szCs w:val="18"/>
                <w:lang w:val="en-US" w:eastAsia="zh-CN"/>
              </w:rPr>
              <w:t>不动产权第</w:t>
            </w:r>
            <w:r>
              <w:rPr>
                <w:rFonts w:hint="eastAsia" w:ascii="宋体" w:hAnsi="宋体" w:cs="宋体"/>
                <w:color w:val="auto"/>
                <w:sz w:val="18"/>
                <w:szCs w:val="18"/>
                <w:lang w:val="en-US" w:eastAsia="zh-CN"/>
              </w:rPr>
              <w:t>0000875</w:t>
            </w:r>
            <w:r>
              <w:rPr>
                <w:rFonts w:hint="eastAsia" w:ascii="宋体" w:hAnsi="宋体" w:eastAsia="宋体" w:cs="宋体"/>
                <w:color w:val="auto"/>
                <w:sz w:val="18"/>
                <w:szCs w:val="18"/>
                <w:lang w:val="en-US" w:eastAsia="zh-CN"/>
              </w:rPr>
              <w:t>号</w:t>
            </w:r>
          </w:p>
        </w:tc>
        <w:tc>
          <w:tcPr>
            <w:tcW w:w="92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37.85</w:t>
            </w:r>
          </w:p>
        </w:tc>
        <w:tc>
          <w:tcPr>
            <w:tcW w:w="4543"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共有情况为单独所有，钢筋混凝土</w:t>
            </w:r>
            <w:r>
              <w:rPr>
                <w:rFonts w:hint="eastAsia" w:ascii="宋体" w:hAnsi="宋体" w:eastAsia="宋体" w:cs="宋体"/>
                <w:color w:val="auto"/>
                <w:sz w:val="18"/>
                <w:szCs w:val="18"/>
              </w:rPr>
              <w:t>结构，楼层为</w:t>
            </w:r>
            <w:r>
              <w:rPr>
                <w:rFonts w:hint="eastAsia" w:ascii="宋体" w:hAnsi="宋体" w:cs="宋体"/>
                <w:color w:val="auto"/>
                <w:sz w:val="18"/>
                <w:szCs w:val="18"/>
                <w:lang w:val="en-US" w:eastAsia="zh-CN"/>
              </w:rPr>
              <w:t>14/17</w:t>
            </w:r>
            <w:r>
              <w:rPr>
                <w:rFonts w:hint="eastAsia" w:ascii="宋体" w:hAnsi="宋体" w:eastAsia="宋体" w:cs="宋体"/>
                <w:color w:val="auto"/>
                <w:sz w:val="18"/>
                <w:szCs w:val="18"/>
              </w:rPr>
              <w:t>层，室内净高</w:t>
            </w:r>
            <w:r>
              <w:rPr>
                <w:rFonts w:hint="eastAsia" w:ascii="宋体" w:hAnsi="宋体" w:cs="宋体"/>
                <w:color w:val="auto"/>
                <w:sz w:val="18"/>
                <w:szCs w:val="18"/>
                <w:lang w:val="en-US" w:eastAsia="zh-CN"/>
              </w:rPr>
              <w:t>2.80</w:t>
            </w:r>
            <w:r>
              <w:rPr>
                <w:rFonts w:hint="eastAsia" w:ascii="宋体" w:hAnsi="宋体" w:eastAsia="宋体" w:cs="宋体"/>
                <w:color w:val="auto"/>
                <w:sz w:val="18"/>
                <w:szCs w:val="18"/>
              </w:rPr>
              <w:t>m左右，</w:t>
            </w:r>
            <w:r>
              <w:rPr>
                <w:rFonts w:hint="eastAsia" w:ascii="宋体" w:hAnsi="宋体" w:eastAsia="宋体" w:cs="宋体"/>
                <w:color w:val="auto"/>
                <w:sz w:val="18"/>
                <w:szCs w:val="18"/>
                <w:lang w:eastAsia="zh-CN"/>
              </w:rPr>
              <w:t>建筑年代</w:t>
            </w:r>
            <w:r>
              <w:rPr>
                <w:rFonts w:hint="eastAsia" w:ascii="宋体" w:hAnsi="宋体" w:cs="宋体"/>
                <w:color w:val="auto"/>
                <w:sz w:val="18"/>
                <w:szCs w:val="18"/>
                <w:lang w:val="en-US" w:eastAsia="zh-CN"/>
              </w:rPr>
              <w:t>2012</w:t>
            </w:r>
            <w:r>
              <w:rPr>
                <w:rFonts w:hint="eastAsia" w:ascii="宋体" w:hAnsi="宋体" w:eastAsia="宋体" w:cs="宋体"/>
                <w:color w:val="auto"/>
                <w:sz w:val="18"/>
                <w:szCs w:val="18"/>
                <w:lang w:eastAsia="zh-CN"/>
              </w:rPr>
              <w:t>年</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墙体厚度</w:t>
            </w:r>
            <w:r>
              <w:rPr>
                <w:rFonts w:hint="eastAsia" w:ascii="宋体" w:hAnsi="宋体" w:cs="宋体"/>
                <w:color w:val="auto"/>
                <w:sz w:val="18"/>
                <w:szCs w:val="18"/>
                <w:lang w:val="en-US" w:eastAsia="zh-CN"/>
              </w:rPr>
              <w:t>40CM</w:t>
            </w:r>
            <w:r>
              <w:rPr>
                <w:rFonts w:hint="eastAsia" w:ascii="宋体" w:hAnsi="宋体" w:eastAsia="宋体" w:cs="宋体"/>
                <w:color w:val="auto"/>
                <w:sz w:val="18"/>
                <w:szCs w:val="18"/>
              </w:rPr>
              <w:t>，室外</w:t>
            </w:r>
            <w:r>
              <w:rPr>
                <w:rFonts w:hint="eastAsia" w:ascii="宋体" w:hAnsi="宋体" w:cs="宋体"/>
                <w:color w:val="auto"/>
                <w:sz w:val="18"/>
                <w:szCs w:val="18"/>
                <w:lang w:eastAsia="zh-CN"/>
              </w:rPr>
              <w:t>防盗门</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室内墙刷白、塑窗，室内</w:t>
            </w:r>
            <w:r>
              <w:rPr>
                <w:rFonts w:hint="eastAsia" w:ascii="宋体" w:hAnsi="宋体" w:eastAsia="宋体" w:cs="宋体"/>
                <w:color w:val="auto"/>
                <w:sz w:val="18"/>
                <w:szCs w:val="18"/>
                <w:lang w:eastAsia="zh-CN"/>
              </w:rPr>
              <w:t>地面</w:t>
            </w:r>
            <w:r>
              <w:rPr>
                <w:rFonts w:hint="eastAsia" w:ascii="宋体" w:hAnsi="宋体" w:cs="宋体"/>
                <w:color w:val="auto"/>
                <w:sz w:val="18"/>
                <w:szCs w:val="18"/>
                <w:lang w:eastAsia="zh-CN"/>
              </w:rPr>
              <w:t>地板、地砖</w:t>
            </w:r>
            <w:r>
              <w:rPr>
                <w:rFonts w:hint="eastAsia" w:ascii="宋体" w:hAnsi="宋体" w:cs="宋体"/>
                <w:color w:val="auto"/>
                <w:sz w:val="18"/>
                <w:szCs w:val="18"/>
                <w:lang w:val="en-US" w:eastAsia="zh-CN"/>
              </w:rPr>
              <w:t>，</w:t>
            </w:r>
            <w:r>
              <w:rPr>
                <w:rFonts w:hint="eastAsia" w:ascii="宋体" w:hAnsi="宋体" w:eastAsia="宋体" w:cs="宋体"/>
                <w:color w:val="auto"/>
                <w:sz w:val="18"/>
                <w:szCs w:val="18"/>
              </w:rPr>
              <w:t>室内</w:t>
            </w:r>
            <w:r>
              <w:rPr>
                <w:rFonts w:hint="eastAsia" w:ascii="宋体" w:hAnsi="宋体" w:cs="宋体"/>
                <w:color w:val="auto"/>
                <w:sz w:val="18"/>
                <w:szCs w:val="18"/>
                <w:lang w:val="en-US" w:eastAsia="zh-CN"/>
              </w:rPr>
              <w:t>装修为简装状态，朝向东西，</w:t>
            </w:r>
            <w:r>
              <w:rPr>
                <w:rFonts w:hint="eastAsia" w:ascii="宋体" w:hAnsi="宋体" w:eastAsia="宋体" w:cs="宋体"/>
                <w:color w:val="auto"/>
                <w:sz w:val="18"/>
                <w:szCs w:val="18"/>
              </w:rPr>
              <w:t>采暖、电照</w:t>
            </w:r>
            <w:r>
              <w:rPr>
                <w:rFonts w:hint="eastAsia" w:ascii="宋体" w:hAnsi="宋体" w:cs="宋体"/>
                <w:color w:val="auto"/>
                <w:sz w:val="18"/>
                <w:szCs w:val="18"/>
                <w:lang w:eastAsia="zh-CN"/>
              </w:rPr>
              <w:t>，上下水</w:t>
            </w:r>
            <w:r>
              <w:rPr>
                <w:rFonts w:hint="eastAsia" w:ascii="宋体" w:hAnsi="宋体" w:eastAsia="宋体" w:cs="宋体"/>
                <w:color w:val="auto"/>
                <w:sz w:val="18"/>
                <w:szCs w:val="18"/>
              </w:rPr>
              <w:t>等配套设施齐全。现处于</w:t>
            </w:r>
            <w:r>
              <w:rPr>
                <w:rFonts w:hint="eastAsia" w:ascii="宋体" w:hAnsi="宋体" w:cs="宋体"/>
                <w:color w:val="auto"/>
                <w:sz w:val="18"/>
                <w:szCs w:val="18"/>
                <w:lang w:eastAsia="zh-CN"/>
              </w:rPr>
              <w:t>出租</w:t>
            </w:r>
            <w:r>
              <w:rPr>
                <w:rFonts w:hint="eastAsia" w:ascii="宋体" w:hAnsi="宋体" w:eastAsia="宋体" w:cs="宋体"/>
                <w:color w:val="auto"/>
                <w:sz w:val="18"/>
                <w:szCs w:val="18"/>
              </w:rPr>
              <w:t>状态。</w:t>
            </w:r>
          </w:p>
        </w:tc>
      </w:tr>
      <w:tr>
        <w:tblPrEx>
          <w:tblCellMar>
            <w:top w:w="0" w:type="dxa"/>
            <w:left w:w="0" w:type="dxa"/>
            <w:bottom w:w="0" w:type="dxa"/>
            <w:right w:w="0" w:type="dxa"/>
          </w:tblCellMar>
        </w:tblPrEx>
        <w:trPr>
          <w:trHeight w:val="501" w:hRule="atLeast"/>
        </w:trPr>
        <w:tc>
          <w:tcPr>
            <w:tcW w:w="449" w:type="dxa"/>
            <w:tcBorders>
              <w:top w:val="nil"/>
              <w:left w:val="single" w:color="auto" w:sz="4" w:space="0"/>
              <w:bottom w:val="nil"/>
              <w:right w:val="single" w:color="auto" w:sz="4" w:space="0"/>
            </w:tcBorders>
            <w:shd w:val="clear" w:color="000000" w:fill="auto"/>
            <w:tcMar>
              <w:left w:w="108" w:type="dxa"/>
              <w:right w:w="108" w:type="dxa"/>
            </w:tcMar>
            <w:vAlign w:val="center"/>
          </w:tcPr>
          <w:p>
            <w:pPr>
              <w:spacing w:line="220" w:lineRule="exact"/>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5</w:t>
            </w:r>
          </w:p>
        </w:tc>
        <w:tc>
          <w:tcPr>
            <w:tcW w:w="1127"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郭欣</w:t>
            </w:r>
          </w:p>
        </w:tc>
        <w:tc>
          <w:tcPr>
            <w:tcW w:w="16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黑（20</w:t>
            </w:r>
            <w:r>
              <w:rPr>
                <w:rFonts w:hint="eastAsia" w:ascii="宋体" w:hAnsi="宋体" w:cs="宋体"/>
                <w:color w:val="auto"/>
                <w:sz w:val="18"/>
                <w:szCs w:val="18"/>
                <w:lang w:val="en-US" w:eastAsia="zh-CN"/>
              </w:rPr>
              <w:t>16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海林市</w:t>
            </w:r>
            <w:r>
              <w:rPr>
                <w:rFonts w:hint="eastAsia" w:ascii="宋体" w:hAnsi="宋体" w:eastAsia="宋体" w:cs="宋体"/>
                <w:color w:val="auto"/>
                <w:sz w:val="18"/>
                <w:szCs w:val="18"/>
                <w:lang w:val="en-US" w:eastAsia="zh-CN"/>
              </w:rPr>
              <w:t>不动产权第</w:t>
            </w:r>
            <w:r>
              <w:rPr>
                <w:rFonts w:hint="eastAsia" w:ascii="宋体" w:hAnsi="宋体" w:cs="宋体"/>
                <w:color w:val="auto"/>
                <w:sz w:val="18"/>
                <w:szCs w:val="18"/>
                <w:lang w:val="en-US" w:eastAsia="zh-CN"/>
              </w:rPr>
              <w:t>0000881</w:t>
            </w:r>
            <w:r>
              <w:rPr>
                <w:rFonts w:hint="eastAsia" w:ascii="宋体" w:hAnsi="宋体" w:eastAsia="宋体" w:cs="宋体"/>
                <w:color w:val="auto"/>
                <w:sz w:val="18"/>
                <w:szCs w:val="18"/>
                <w:lang w:val="en-US" w:eastAsia="zh-CN"/>
              </w:rPr>
              <w:t>号</w:t>
            </w:r>
          </w:p>
        </w:tc>
        <w:tc>
          <w:tcPr>
            <w:tcW w:w="92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37.85</w:t>
            </w:r>
          </w:p>
        </w:tc>
        <w:tc>
          <w:tcPr>
            <w:tcW w:w="4543"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共有情况为单独所有，钢筋混凝土</w:t>
            </w:r>
            <w:r>
              <w:rPr>
                <w:rFonts w:hint="eastAsia" w:ascii="宋体" w:hAnsi="宋体" w:eastAsia="宋体" w:cs="宋体"/>
                <w:color w:val="auto"/>
                <w:sz w:val="18"/>
                <w:szCs w:val="18"/>
              </w:rPr>
              <w:t>结构，楼层为</w:t>
            </w:r>
            <w:r>
              <w:rPr>
                <w:rFonts w:hint="eastAsia" w:ascii="宋体" w:hAnsi="宋体" w:cs="宋体"/>
                <w:color w:val="auto"/>
                <w:sz w:val="18"/>
                <w:szCs w:val="18"/>
                <w:lang w:val="en-US" w:eastAsia="zh-CN"/>
              </w:rPr>
              <w:t>14/17</w:t>
            </w:r>
            <w:r>
              <w:rPr>
                <w:rFonts w:hint="eastAsia" w:ascii="宋体" w:hAnsi="宋体" w:eastAsia="宋体" w:cs="宋体"/>
                <w:color w:val="auto"/>
                <w:sz w:val="18"/>
                <w:szCs w:val="18"/>
              </w:rPr>
              <w:t>层，室内净高</w:t>
            </w:r>
            <w:r>
              <w:rPr>
                <w:rFonts w:hint="eastAsia" w:ascii="宋体" w:hAnsi="宋体" w:cs="宋体"/>
                <w:color w:val="auto"/>
                <w:sz w:val="18"/>
                <w:szCs w:val="18"/>
                <w:lang w:val="en-US" w:eastAsia="zh-CN"/>
              </w:rPr>
              <w:t>2.80</w:t>
            </w:r>
            <w:r>
              <w:rPr>
                <w:rFonts w:hint="eastAsia" w:ascii="宋体" w:hAnsi="宋体" w:eastAsia="宋体" w:cs="宋体"/>
                <w:color w:val="auto"/>
                <w:sz w:val="18"/>
                <w:szCs w:val="18"/>
              </w:rPr>
              <w:t>m左右，</w:t>
            </w:r>
            <w:r>
              <w:rPr>
                <w:rFonts w:hint="eastAsia" w:ascii="宋体" w:hAnsi="宋体" w:eastAsia="宋体" w:cs="宋体"/>
                <w:color w:val="auto"/>
                <w:sz w:val="18"/>
                <w:szCs w:val="18"/>
                <w:lang w:eastAsia="zh-CN"/>
              </w:rPr>
              <w:t>建筑年代</w:t>
            </w:r>
            <w:r>
              <w:rPr>
                <w:rFonts w:hint="eastAsia" w:ascii="宋体" w:hAnsi="宋体" w:cs="宋体"/>
                <w:color w:val="auto"/>
                <w:sz w:val="18"/>
                <w:szCs w:val="18"/>
                <w:lang w:val="en-US" w:eastAsia="zh-CN"/>
              </w:rPr>
              <w:t>2012</w:t>
            </w:r>
            <w:r>
              <w:rPr>
                <w:rFonts w:hint="eastAsia" w:ascii="宋体" w:hAnsi="宋体" w:eastAsia="宋体" w:cs="宋体"/>
                <w:color w:val="auto"/>
                <w:sz w:val="18"/>
                <w:szCs w:val="18"/>
                <w:lang w:eastAsia="zh-CN"/>
              </w:rPr>
              <w:t>年</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墙体厚度</w:t>
            </w:r>
            <w:r>
              <w:rPr>
                <w:rFonts w:hint="eastAsia" w:ascii="宋体" w:hAnsi="宋体" w:cs="宋体"/>
                <w:color w:val="auto"/>
                <w:sz w:val="18"/>
                <w:szCs w:val="18"/>
                <w:lang w:val="en-US" w:eastAsia="zh-CN"/>
              </w:rPr>
              <w:t>40CM</w:t>
            </w:r>
            <w:r>
              <w:rPr>
                <w:rFonts w:hint="eastAsia" w:ascii="宋体" w:hAnsi="宋体" w:eastAsia="宋体" w:cs="宋体"/>
                <w:color w:val="auto"/>
                <w:sz w:val="18"/>
                <w:szCs w:val="18"/>
              </w:rPr>
              <w:t>，室外</w:t>
            </w:r>
            <w:r>
              <w:rPr>
                <w:rFonts w:hint="eastAsia" w:ascii="宋体" w:hAnsi="宋体" w:cs="宋体"/>
                <w:color w:val="auto"/>
                <w:sz w:val="18"/>
                <w:szCs w:val="18"/>
                <w:lang w:eastAsia="zh-CN"/>
              </w:rPr>
              <w:t>防盗门</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室内墙刷白、塑窗，室内</w:t>
            </w:r>
            <w:r>
              <w:rPr>
                <w:rFonts w:hint="eastAsia" w:ascii="宋体" w:hAnsi="宋体" w:eastAsia="宋体" w:cs="宋体"/>
                <w:color w:val="auto"/>
                <w:sz w:val="18"/>
                <w:szCs w:val="18"/>
                <w:lang w:eastAsia="zh-CN"/>
              </w:rPr>
              <w:t>地面</w:t>
            </w:r>
            <w:r>
              <w:rPr>
                <w:rFonts w:hint="eastAsia" w:ascii="宋体" w:hAnsi="宋体" w:cs="宋体"/>
                <w:color w:val="auto"/>
                <w:sz w:val="18"/>
                <w:szCs w:val="18"/>
                <w:lang w:eastAsia="zh-CN"/>
              </w:rPr>
              <w:t>地板、地砖</w:t>
            </w:r>
            <w:r>
              <w:rPr>
                <w:rFonts w:hint="eastAsia" w:ascii="宋体" w:hAnsi="宋体" w:cs="宋体"/>
                <w:color w:val="auto"/>
                <w:sz w:val="18"/>
                <w:szCs w:val="18"/>
                <w:lang w:val="en-US" w:eastAsia="zh-CN"/>
              </w:rPr>
              <w:t>，</w:t>
            </w:r>
            <w:r>
              <w:rPr>
                <w:rFonts w:hint="eastAsia" w:ascii="宋体" w:hAnsi="宋体" w:eastAsia="宋体" w:cs="宋体"/>
                <w:color w:val="auto"/>
                <w:sz w:val="18"/>
                <w:szCs w:val="18"/>
              </w:rPr>
              <w:t>室内</w:t>
            </w:r>
            <w:r>
              <w:rPr>
                <w:rFonts w:hint="eastAsia" w:ascii="宋体" w:hAnsi="宋体" w:cs="宋体"/>
                <w:color w:val="auto"/>
                <w:sz w:val="18"/>
                <w:szCs w:val="18"/>
                <w:lang w:val="en-US" w:eastAsia="zh-CN"/>
              </w:rPr>
              <w:t>装修为简装状态，朝向东西，</w:t>
            </w:r>
            <w:r>
              <w:rPr>
                <w:rFonts w:hint="eastAsia" w:ascii="宋体" w:hAnsi="宋体" w:eastAsia="宋体" w:cs="宋体"/>
                <w:color w:val="auto"/>
                <w:sz w:val="18"/>
                <w:szCs w:val="18"/>
              </w:rPr>
              <w:t>采暖、电照</w:t>
            </w:r>
            <w:r>
              <w:rPr>
                <w:rFonts w:hint="eastAsia" w:ascii="宋体" w:hAnsi="宋体" w:cs="宋体"/>
                <w:color w:val="auto"/>
                <w:sz w:val="18"/>
                <w:szCs w:val="18"/>
                <w:lang w:eastAsia="zh-CN"/>
              </w:rPr>
              <w:t>，上下水</w:t>
            </w:r>
            <w:r>
              <w:rPr>
                <w:rFonts w:hint="eastAsia" w:ascii="宋体" w:hAnsi="宋体" w:eastAsia="宋体" w:cs="宋体"/>
                <w:color w:val="auto"/>
                <w:sz w:val="18"/>
                <w:szCs w:val="18"/>
              </w:rPr>
              <w:t>等配套设施齐全。现处于</w:t>
            </w:r>
            <w:r>
              <w:rPr>
                <w:rFonts w:hint="eastAsia" w:ascii="宋体" w:hAnsi="宋体" w:cs="宋体"/>
                <w:color w:val="auto"/>
                <w:sz w:val="18"/>
                <w:szCs w:val="18"/>
                <w:lang w:eastAsia="zh-CN"/>
              </w:rPr>
              <w:t>出租</w:t>
            </w:r>
            <w:r>
              <w:rPr>
                <w:rFonts w:hint="eastAsia" w:ascii="宋体" w:hAnsi="宋体" w:eastAsia="宋体" w:cs="宋体"/>
                <w:color w:val="auto"/>
                <w:sz w:val="18"/>
                <w:szCs w:val="18"/>
              </w:rPr>
              <w:t>状态。</w:t>
            </w:r>
          </w:p>
        </w:tc>
      </w:tr>
      <w:tr>
        <w:tblPrEx>
          <w:tblCellMar>
            <w:top w:w="0" w:type="dxa"/>
            <w:left w:w="0" w:type="dxa"/>
            <w:bottom w:w="0" w:type="dxa"/>
            <w:right w:w="0" w:type="dxa"/>
          </w:tblCellMar>
        </w:tblPrEx>
        <w:trPr>
          <w:trHeight w:val="501" w:hRule="atLeast"/>
        </w:trPr>
        <w:tc>
          <w:tcPr>
            <w:tcW w:w="449" w:type="dxa"/>
            <w:tcBorders>
              <w:top w:val="nil"/>
              <w:left w:val="single" w:color="auto" w:sz="4" w:space="0"/>
              <w:bottom w:val="nil"/>
              <w:right w:val="single" w:color="auto" w:sz="4" w:space="0"/>
            </w:tcBorders>
            <w:shd w:val="clear" w:color="000000" w:fill="auto"/>
            <w:tcMar>
              <w:left w:w="108" w:type="dxa"/>
              <w:right w:w="108" w:type="dxa"/>
            </w:tcMar>
            <w:vAlign w:val="center"/>
          </w:tcPr>
          <w:p>
            <w:pPr>
              <w:spacing w:line="220" w:lineRule="exact"/>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6</w:t>
            </w:r>
          </w:p>
        </w:tc>
        <w:tc>
          <w:tcPr>
            <w:tcW w:w="1127"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郭欣</w:t>
            </w:r>
          </w:p>
        </w:tc>
        <w:tc>
          <w:tcPr>
            <w:tcW w:w="16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黑（20</w:t>
            </w:r>
            <w:r>
              <w:rPr>
                <w:rFonts w:hint="eastAsia" w:ascii="宋体" w:hAnsi="宋体" w:cs="宋体"/>
                <w:color w:val="auto"/>
                <w:sz w:val="18"/>
                <w:szCs w:val="18"/>
                <w:lang w:val="en-US" w:eastAsia="zh-CN"/>
              </w:rPr>
              <w:t>16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海林市</w:t>
            </w:r>
            <w:r>
              <w:rPr>
                <w:rFonts w:hint="eastAsia" w:ascii="宋体" w:hAnsi="宋体" w:eastAsia="宋体" w:cs="宋体"/>
                <w:color w:val="auto"/>
                <w:sz w:val="18"/>
                <w:szCs w:val="18"/>
                <w:lang w:val="en-US" w:eastAsia="zh-CN"/>
              </w:rPr>
              <w:t>不动产权第</w:t>
            </w:r>
            <w:r>
              <w:rPr>
                <w:rFonts w:hint="eastAsia" w:ascii="宋体" w:hAnsi="宋体" w:cs="宋体"/>
                <w:color w:val="auto"/>
                <w:sz w:val="18"/>
                <w:szCs w:val="18"/>
                <w:lang w:val="en-US" w:eastAsia="zh-CN"/>
              </w:rPr>
              <w:t>0000888</w:t>
            </w:r>
            <w:r>
              <w:rPr>
                <w:rFonts w:hint="eastAsia" w:ascii="宋体" w:hAnsi="宋体" w:eastAsia="宋体" w:cs="宋体"/>
                <w:color w:val="auto"/>
                <w:sz w:val="18"/>
                <w:szCs w:val="18"/>
                <w:lang w:val="en-US" w:eastAsia="zh-CN"/>
              </w:rPr>
              <w:t>号</w:t>
            </w:r>
          </w:p>
        </w:tc>
        <w:tc>
          <w:tcPr>
            <w:tcW w:w="92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default"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34.19</w:t>
            </w:r>
          </w:p>
        </w:tc>
        <w:tc>
          <w:tcPr>
            <w:tcW w:w="4543"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共有情况为单独所有，钢筋混凝土</w:t>
            </w:r>
            <w:r>
              <w:rPr>
                <w:rFonts w:hint="eastAsia" w:ascii="宋体" w:hAnsi="宋体" w:eastAsia="宋体" w:cs="宋体"/>
                <w:color w:val="auto"/>
                <w:sz w:val="18"/>
                <w:szCs w:val="18"/>
              </w:rPr>
              <w:t>结构，楼层为</w:t>
            </w:r>
            <w:r>
              <w:rPr>
                <w:rFonts w:hint="eastAsia" w:ascii="宋体" w:hAnsi="宋体" w:cs="宋体"/>
                <w:color w:val="auto"/>
                <w:sz w:val="18"/>
                <w:szCs w:val="18"/>
                <w:lang w:val="en-US" w:eastAsia="zh-CN"/>
              </w:rPr>
              <w:t>14/17</w:t>
            </w:r>
            <w:r>
              <w:rPr>
                <w:rFonts w:hint="eastAsia" w:ascii="宋体" w:hAnsi="宋体" w:eastAsia="宋体" w:cs="宋体"/>
                <w:color w:val="auto"/>
                <w:sz w:val="18"/>
                <w:szCs w:val="18"/>
              </w:rPr>
              <w:t>层，室内净高</w:t>
            </w:r>
            <w:r>
              <w:rPr>
                <w:rFonts w:hint="eastAsia" w:ascii="宋体" w:hAnsi="宋体" w:cs="宋体"/>
                <w:color w:val="auto"/>
                <w:sz w:val="18"/>
                <w:szCs w:val="18"/>
                <w:lang w:val="en-US" w:eastAsia="zh-CN"/>
              </w:rPr>
              <w:t>2.80</w:t>
            </w:r>
            <w:r>
              <w:rPr>
                <w:rFonts w:hint="eastAsia" w:ascii="宋体" w:hAnsi="宋体" w:eastAsia="宋体" w:cs="宋体"/>
                <w:color w:val="auto"/>
                <w:sz w:val="18"/>
                <w:szCs w:val="18"/>
              </w:rPr>
              <w:t>m左右，</w:t>
            </w:r>
            <w:r>
              <w:rPr>
                <w:rFonts w:hint="eastAsia" w:ascii="宋体" w:hAnsi="宋体" w:eastAsia="宋体" w:cs="宋体"/>
                <w:color w:val="auto"/>
                <w:sz w:val="18"/>
                <w:szCs w:val="18"/>
                <w:lang w:eastAsia="zh-CN"/>
              </w:rPr>
              <w:t>建筑年代</w:t>
            </w:r>
            <w:r>
              <w:rPr>
                <w:rFonts w:hint="eastAsia" w:ascii="宋体" w:hAnsi="宋体" w:cs="宋体"/>
                <w:color w:val="auto"/>
                <w:sz w:val="18"/>
                <w:szCs w:val="18"/>
                <w:lang w:val="en-US" w:eastAsia="zh-CN"/>
              </w:rPr>
              <w:t>2012</w:t>
            </w:r>
            <w:r>
              <w:rPr>
                <w:rFonts w:hint="eastAsia" w:ascii="宋体" w:hAnsi="宋体" w:eastAsia="宋体" w:cs="宋体"/>
                <w:color w:val="auto"/>
                <w:sz w:val="18"/>
                <w:szCs w:val="18"/>
                <w:lang w:eastAsia="zh-CN"/>
              </w:rPr>
              <w:t>年</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墙体厚度</w:t>
            </w:r>
            <w:r>
              <w:rPr>
                <w:rFonts w:hint="eastAsia" w:ascii="宋体" w:hAnsi="宋体" w:cs="宋体"/>
                <w:color w:val="auto"/>
                <w:sz w:val="18"/>
                <w:szCs w:val="18"/>
                <w:lang w:val="en-US" w:eastAsia="zh-CN"/>
              </w:rPr>
              <w:t>40CM</w:t>
            </w:r>
            <w:r>
              <w:rPr>
                <w:rFonts w:hint="eastAsia" w:ascii="宋体" w:hAnsi="宋体" w:eastAsia="宋体" w:cs="宋体"/>
                <w:color w:val="auto"/>
                <w:sz w:val="18"/>
                <w:szCs w:val="18"/>
              </w:rPr>
              <w:t>，室外</w:t>
            </w:r>
            <w:r>
              <w:rPr>
                <w:rFonts w:hint="eastAsia" w:ascii="宋体" w:hAnsi="宋体" w:cs="宋体"/>
                <w:color w:val="auto"/>
                <w:sz w:val="18"/>
                <w:szCs w:val="18"/>
                <w:lang w:eastAsia="zh-CN"/>
              </w:rPr>
              <w:t>防盗门</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室内墙刷白、塑窗，室内</w:t>
            </w:r>
            <w:r>
              <w:rPr>
                <w:rFonts w:hint="eastAsia" w:ascii="宋体" w:hAnsi="宋体" w:eastAsia="宋体" w:cs="宋体"/>
                <w:color w:val="auto"/>
                <w:sz w:val="18"/>
                <w:szCs w:val="18"/>
                <w:lang w:eastAsia="zh-CN"/>
              </w:rPr>
              <w:t>地面</w:t>
            </w:r>
            <w:r>
              <w:rPr>
                <w:rFonts w:hint="eastAsia" w:ascii="宋体" w:hAnsi="宋体" w:cs="宋体"/>
                <w:color w:val="auto"/>
                <w:sz w:val="18"/>
                <w:szCs w:val="18"/>
                <w:lang w:eastAsia="zh-CN"/>
              </w:rPr>
              <w:t>地板、地砖</w:t>
            </w:r>
            <w:r>
              <w:rPr>
                <w:rFonts w:hint="eastAsia" w:ascii="宋体" w:hAnsi="宋体" w:cs="宋体"/>
                <w:color w:val="auto"/>
                <w:sz w:val="18"/>
                <w:szCs w:val="18"/>
                <w:lang w:val="en-US" w:eastAsia="zh-CN"/>
              </w:rPr>
              <w:t>，</w:t>
            </w:r>
            <w:r>
              <w:rPr>
                <w:rFonts w:hint="eastAsia" w:ascii="宋体" w:hAnsi="宋体" w:eastAsia="宋体" w:cs="宋体"/>
                <w:color w:val="auto"/>
                <w:sz w:val="18"/>
                <w:szCs w:val="18"/>
              </w:rPr>
              <w:t>室内</w:t>
            </w:r>
            <w:r>
              <w:rPr>
                <w:rFonts w:hint="eastAsia" w:ascii="宋体" w:hAnsi="宋体" w:cs="宋体"/>
                <w:color w:val="auto"/>
                <w:sz w:val="18"/>
                <w:szCs w:val="18"/>
                <w:lang w:val="en-US" w:eastAsia="zh-CN"/>
              </w:rPr>
              <w:t>装修为简装状态，朝向东西，</w:t>
            </w:r>
            <w:r>
              <w:rPr>
                <w:rFonts w:hint="eastAsia" w:ascii="宋体" w:hAnsi="宋体" w:eastAsia="宋体" w:cs="宋体"/>
                <w:color w:val="auto"/>
                <w:sz w:val="18"/>
                <w:szCs w:val="18"/>
              </w:rPr>
              <w:t>采暖、电照</w:t>
            </w:r>
            <w:r>
              <w:rPr>
                <w:rFonts w:hint="eastAsia" w:ascii="宋体" w:hAnsi="宋体" w:cs="宋体"/>
                <w:color w:val="auto"/>
                <w:sz w:val="18"/>
                <w:szCs w:val="18"/>
                <w:lang w:eastAsia="zh-CN"/>
              </w:rPr>
              <w:t>，上下水</w:t>
            </w:r>
            <w:r>
              <w:rPr>
                <w:rFonts w:hint="eastAsia" w:ascii="宋体" w:hAnsi="宋体" w:eastAsia="宋体" w:cs="宋体"/>
                <w:color w:val="auto"/>
                <w:sz w:val="18"/>
                <w:szCs w:val="18"/>
              </w:rPr>
              <w:t>等配套设施齐全。现处于</w:t>
            </w:r>
            <w:r>
              <w:rPr>
                <w:rFonts w:hint="eastAsia" w:ascii="宋体" w:hAnsi="宋体" w:cs="宋体"/>
                <w:color w:val="auto"/>
                <w:sz w:val="18"/>
                <w:szCs w:val="18"/>
                <w:lang w:eastAsia="zh-CN"/>
              </w:rPr>
              <w:t>出租</w:t>
            </w:r>
            <w:r>
              <w:rPr>
                <w:rFonts w:hint="eastAsia" w:ascii="宋体" w:hAnsi="宋体" w:eastAsia="宋体" w:cs="宋体"/>
                <w:color w:val="auto"/>
                <w:sz w:val="18"/>
                <w:szCs w:val="18"/>
              </w:rPr>
              <w:t>状态。</w:t>
            </w:r>
          </w:p>
        </w:tc>
      </w:tr>
      <w:tr>
        <w:tblPrEx>
          <w:tblCellMar>
            <w:top w:w="0" w:type="dxa"/>
            <w:left w:w="0" w:type="dxa"/>
            <w:bottom w:w="0" w:type="dxa"/>
            <w:right w:w="0" w:type="dxa"/>
          </w:tblCellMar>
        </w:tblPrEx>
        <w:trPr>
          <w:trHeight w:val="501" w:hRule="atLeast"/>
        </w:trPr>
        <w:tc>
          <w:tcPr>
            <w:tcW w:w="449" w:type="dxa"/>
            <w:tcBorders>
              <w:top w:val="nil"/>
              <w:left w:val="single" w:color="auto" w:sz="4" w:space="0"/>
              <w:bottom w:val="nil"/>
              <w:right w:val="single" w:color="auto" w:sz="4" w:space="0"/>
            </w:tcBorders>
            <w:shd w:val="clear" w:color="000000" w:fill="auto"/>
            <w:tcMar>
              <w:left w:w="108" w:type="dxa"/>
              <w:right w:w="108" w:type="dxa"/>
            </w:tcMar>
            <w:vAlign w:val="center"/>
          </w:tcPr>
          <w:p>
            <w:pPr>
              <w:spacing w:line="220" w:lineRule="exact"/>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7</w:t>
            </w:r>
          </w:p>
        </w:tc>
        <w:tc>
          <w:tcPr>
            <w:tcW w:w="1127"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郭欣</w:t>
            </w:r>
          </w:p>
        </w:tc>
        <w:tc>
          <w:tcPr>
            <w:tcW w:w="16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黑（20</w:t>
            </w:r>
            <w:r>
              <w:rPr>
                <w:rFonts w:hint="eastAsia" w:ascii="宋体" w:hAnsi="宋体" w:cs="宋体"/>
                <w:color w:val="auto"/>
                <w:sz w:val="18"/>
                <w:szCs w:val="18"/>
                <w:lang w:val="en-US" w:eastAsia="zh-CN"/>
              </w:rPr>
              <w:t>16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海林市</w:t>
            </w:r>
            <w:r>
              <w:rPr>
                <w:rFonts w:hint="eastAsia" w:ascii="宋体" w:hAnsi="宋体" w:eastAsia="宋体" w:cs="宋体"/>
                <w:color w:val="auto"/>
                <w:sz w:val="18"/>
                <w:szCs w:val="18"/>
                <w:lang w:val="en-US" w:eastAsia="zh-CN"/>
              </w:rPr>
              <w:t>不动产权第</w:t>
            </w:r>
            <w:r>
              <w:rPr>
                <w:rFonts w:hint="eastAsia" w:ascii="宋体" w:hAnsi="宋体" w:cs="宋体"/>
                <w:color w:val="auto"/>
                <w:sz w:val="18"/>
                <w:szCs w:val="18"/>
                <w:lang w:val="en-US" w:eastAsia="zh-CN"/>
              </w:rPr>
              <w:t>0000872</w:t>
            </w:r>
            <w:r>
              <w:rPr>
                <w:rFonts w:hint="eastAsia" w:ascii="宋体" w:hAnsi="宋体" w:eastAsia="宋体" w:cs="宋体"/>
                <w:color w:val="auto"/>
                <w:sz w:val="18"/>
                <w:szCs w:val="18"/>
                <w:lang w:val="en-US" w:eastAsia="zh-CN"/>
              </w:rPr>
              <w:t>号</w:t>
            </w:r>
          </w:p>
        </w:tc>
        <w:tc>
          <w:tcPr>
            <w:tcW w:w="92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37.90</w:t>
            </w:r>
          </w:p>
        </w:tc>
        <w:tc>
          <w:tcPr>
            <w:tcW w:w="4543"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共有情况为单独所有，钢筋混凝土</w:t>
            </w:r>
            <w:r>
              <w:rPr>
                <w:rFonts w:hint="eastAsia" w:ascii="宋体" w:hAnsi="宋体" w:eastAsia="宋体" w:cs="宋体"/>
                <w:color w:val="auto"/>
                <w:sz w:val="18"/>
                <w:szCs w:val="18"/>
              </w:rPr>
              <w:t>结构，楼层为</w:t>
            </w:r>
            <w:r>
              <w:rPr>
                <w:rFonts w:hint="eastAsia" w:ascii="宋体" w:hAnsi="宋体" w:cs="宋体"/>
                <w:color w:val="auto"/>
                <w:sz w:val="18"/>
                <w:szCs w:val="18"/>
                <w:lang w:val="en-US" w:eastAsia="zh-CN"/>
              </w:rPr>
              <w:t>14/17</w:t>
            </w:r>
            <w:r>
              <w:rPr>
                <w:rFonts w:hint="eastAsia" w:ascii="宋体" w:hAnsi="宋体" w:eastAsia="宋体" w:cs="宋体"/>
                <w:color w:val="auto"/>
                <w:sz w:val="18"/>
                <w:szCs w:val="18"/>
              </w:rPr>
              <w:t>层，室内净高</w:t>
            </w:r>
            <w:r>
              <w:rPr>
                <w:rFonts w:hint="eastAsia" w:ascii="宋体" w:hAnsi="宋体" w:cs="宋体"/>
                <w:color w:val="auto"/>
                <w:sz w:val="18"/>
                <w:szCs w:val="18"/>
                <w:lang w:val="en-US" w:eastAsia="zh-CN"/>
              </w:rPr>
              <w:t>2.80</w:t>
            </w:r>
            <w:r>
              <w:rPr>
                <w:rFonts w:hint="eastAsia" w:ascii="宋体" w:hAnsi="宋体" w:eastAsia="宋体" w:cs="宋体"/>
                <w:color w:val="auto"/>
                <w:sz w:val="18"/>
                <w:szCs w:val="18"/>
              </w:rPr>
              <w:t>m左右，</w:t>
            </w:r>
            <w:r>
              <w:rPr>
                <w:rFonts w:hint="eastAsia" w:ascii="宋体" w:hAnsi="宋体" w:eastAsia="宋体" w:cs="宋体"/>
                <w:color w:val="auto"/>
                <w:sz w:val="18"/>
                <w:szCs w:val="18"/>
                <w:lang w:eastAsia="zh-CN"/>
              </w:rPr>
              <w:t>建筑年代</w:t>
            </w:r>
            <w:r>
              <w:rPr>
                <w:rFonts w:hint="eastAsia" w:ascii="宋体" w:hAnsi="宋体" w:cs="宋体"/>
                <w:color w:val="auto"/>
                <w:sz w:val="18"/>
                <w:szCs w:val="18"/>
                <w:lang w:val="en-US" w:eastAsia="zh-CN"/>
              </w:rPr>
              <w:t>2012</w:t>
            </w:r>
            <w:r>
              <w:rPr>
                <w:rFonts w:hint="eastAsia" w:ascii="宋体" w:hAnsi="宋体" w:eastAsia="宋体" w:cs="宋体"/>
                <w:color w:val="auto"/>
                <w:sz w:val="18"/>
                <w:szCs w:val="18"/>
                <w:lang w:eastAsia="zh-CN"/>
              </w:rPr>
              <w:t>年</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墙体厚度</w:t>
            </w:r>
            <w:r>
              <w:rPr>
                <w:rFonts w:hint="eastAsia" w:ascii="宋体" w:hAnsi="宋体" w:cs="宋体"/>
                <w:color w:val="auto"/>
                <w:sz w:val="18"/>
                <w:szCs w:val="18"/>
                <w:lang w:val="en-US" w:eastAsia="zh-CN"/>
              </w:rPr>
              <w:t>40CM</w:t>
            </w:r>
            <w:r>
              <w:rPr>
                <w:rFonts w:hint="eastAsia" w:ascii="宋体" w:hAnsi="宋体" w:eastAsia="宋体" w:cs="宋体"/>
                <w:color w:val="auto"/>
                <w:sz w:val="18"/>
                <w:szCs w:val="18"/>
              </w:rPr>
              <w:t>，室外</w:t>
            </w:r>
            <w:r>
              <w:rPr>
                <w:rFonts w:hint="eastAsia" w:ascii="宋体" w:hAnsi="宋体" w:cs="宋体"/>
                <w:color w:val="auto"/>
                <w:sz w:val="18"/>
                <w:szCs w:val="18"/>
                <w:lang w:eastAsia="zh-CN"/>
              </w:rPr>
              <w:t>防盗门</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室内墙刷白、塑窗，室内</w:t>
            </w:r>
            <w:r>
              <w:rPr>
                <w:rFonts w:hint="eastAsia" w:ascii="宋体" w:hAnsi="宋体" w:eastAsia="宋体" w:cs="宋体"/>
                <w:color w:val="auto"/>
                <w:sz w:val="18"/>
                <w:szCs w:val="18"/>
                <w:lang w:eastAsia="zh-CN"/>
              </w:rPr>
              <w:t>地面</w:t>
            </w:r>
            <w:r>
              <w:rPr>
                <w:rFonts w:hint="eastAsia" w:ascii="宋体" w:hAnsi="宋体" w:cs="宋体"/>
                <w:color w:val="auto"/>
                <w:sz w:val="18"/>
                <w:szCs w:val="18"/>
                <w:lang w:eastAsia="zh-CN"/>
              </w:rPr>
              <w:t>地板、地砖</w:t>
            </w:r>
            <w:r>
              <w:rPr>
                <w:rFonts w:hint="eastAsia" w:ascii="宋体" w:hAnsi="宋体" w:cs="宋体"/>
                <w:color w:val="auto"/>
                <w:sz w:val="18"/>
                <w:szCs w:val="18"/>
                <w:lang w:val="en-US" w:eastAsia="zh-CN"/>
              </w:rPr>
              <w:t>，</w:t>
            </w:r>
            <w:r>
              <w:rPr>
                <w:rFonts w:hint="eastAsia" w:ascii="宋体" w:hAnsi="宋体" w:eastAsia="宋体" w:cs="宋体"/>
                <w:color w:val="auto"/>
                <w:sz w:val="18"/>
                <w:szCs w:val="18"/>
              </w:rPr>
              <w:t>室内</w:t>
            </w:r>
            <w:r>
              <w:rPr>
                <w:rFonts w:hint="eastAsia" w:ascii="宋体" w:hAnsi="宋体" w:cs="宋体"/>
                <w:color w:val="auto"/>
                <w:sz w:val="18"/>
                <w:szCs w:val="18"/>
                <w:lang w:val="en-US" w:eastAsia="zh-CN"/>
              </w:rPr>
              <w:t>装修为简装状态，朝向东西，</w:t>
            </w:r>
            <w:r>
              <w:rPr>
                <w:rFonts w:hint="eastAsia" w:ascii="宋体" w:hAnsi="宋体" w:eastAsia="宋体" w:cs="宋体"/>
                <w:color w:val="auto"/>
                <w:sz w:val="18"/>
                <w:szCs w:val="18"/>
              </w:rPr>
              <w:t>采暖、电照</w:t>
            </w:r>
            <w:r>
              <w:rPr>
                <w:rFonts w:hint="eastAsia" w:ascii="宋体" w:hAnsi="宋体" w:cs="宋体"/>
                <w:color w:val="auto"/>
                <w:sz w:val="18"/>
                <w:szCs w:val="18"/>
                <w:lang w:eastAsia="zh-CN"/>
              </w:rPr>
              <w:t>，上下水</w:t>
            </w:r>
            <w:r>
              <w:rPr>
                <w:rFonts w:hint="eastAsia" w:ascii="宋体" w:hAnsi="宋体" w:eastAsia="宋体" w:cs="宋体"/>
                <w:color w:val="auto"/>
                <w:sz w:val="18"/>
                <w:szCs w:val="18"/>
              </w:rPr>
              <w:t>等配套设施齐全。现处于</w:t>
            </w:r>
            <w:r>
              <w:rPr>
                <w:rFonts w:hint="eastAsia" w:ascii="宋体" w:hAnsi="宋体" w:cs="宋体"/>
                <w:color w:val="auto"/>
                <w:sz w:val="18"/>
                <w:szCs w:val="18"/>
                <w:lang w:eastAsia="zh-CN"/>
              </w:rPr>
              <w:t>出租</w:t>
            </w:r>
            <w:r>
              <w:rPr>
                <w:rFonts w:hint="eastAsia" w:ascii="宋体" w:hAnsi="宋体" w:eastAsia="宋体" w:cs="宋体"/>
                <w:color w:val="auto"/>
                <w:sz w:val="18"/>
                <w:szCs w:val="18"/>
              </w:rPr>
              <w:t>状态。</w:t>
            </w:r>
          </w:p>
        </w:tc>
      </w:tr>
      <w:tr>
        <w:tblPrEx>
          <w:tblCellMar>
            <w:top w:w="0" w:type="dxa"/>
            <w:left w:w="0" w:type="dxa"/>
            <w:bottom w:w="0" w:type="dxa"/>
            <w:right w:w="0" w:type="dxa"/>
          </w:tblCellMar>
        </w:tblPrEx>
        <w:trPr>
          <w:trHeight w:val="501" w:hRule="atLeast"/>
        </w:trPr>
        <w:tc>
          <w:tcPr>
            <w:tcW w:w="449" w:type="dxa"/>
            <w:tcBorders>
              <w:top w:val="nil"/>
              <w:left w:val="single" w:color="auto" w:sz="4" w:space="0"/>
              <w:bottom w:val="nil"/>
              <w:right w:val="single" w:color="auto" w:sz="4" w:space="0"/>
            </w:tcBorders>
            <w:shd w:val="clear" w:color="000000" w:fill="auto"/>
            <w:tcMar>
              <w:left w:w="108" w:type="dxa"/>
              <w:right w:w="108" w:type="dxa"/>
            </w:tcMar>
            <w:vAlign w:val="center"/>
          </w:tcPr>
          <w:p>
            <w:pPr>
              <w:spacing w:line="220" w:lineRule="exact"/>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8</w:t>
            </w:r>
          </w:p>
        </w:tc>
        <w:tc>
          <w:tcPr>
            <w:tcW w:w="1127"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郭欣</w:t>
            </w:r>
          </w:p>
        </w:tc>
        <w:tc>
          <w:tcPr>
            <w:tcW w:w="16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黑（20</w:t>
            </w:r>
            <w:r>
              <w:rPr>
                <w:rFonts w:hint="eastAsia" w:ascii="宋体" w:hAnsi="宋体" w:cs="宋体"/>
                <w:color w:val="auto"/>
                <w:sz w:val="18"/>
                <w:szCs w:val="18"/>
                <w:lang w:val="en-US" w:eastAsia="zh-CN"/>
              </w:rPr>
              <w:t>16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海林市</w:t>
            </w:r>
            <w:r>
              <w:rPr>
                <w:rFonts w:hint="eastAsia" w:ascii="宋体" w:hAnsi="宋体" w:eastAsia="宋体" w:cs="宋体"/>
                <w:color w:val="auto"/>
                <w:sz w:val="18"/>
                <w:szCs w:val="18"/>
                <w:lang w:val="en-US" w:eastAsia="zh-CN"/>
              </w:rPr>
              <w:t>不动产权第</w:t>
            </w:r>
            <w:r>
              <w:rPr>
                <w:rFonts w:hint="eastAsia" w:ascii="宋体" w:hAnsi="宋体" w:cs="宋体"/>
                <w:color w:val="auto"/>
                <w:sz w:val="18"/>
                <w:szCs w:val="18"/>
                <w:lang w:val="en-US" w:eastAsia="zh-CN"/>
              </w:rPr>
              <w:t>0000882</w:t>
            </w:r>
            <w:r>
              <w:rPr>
                <w:rFonts w:hint="eastAsia" w:ascii="宋体" w:hAnsi="宋体" w:eastAsia="宋体" w:cs="宋体"/>
                <w:color w:val="auto"/>
                <w:sz w:val="18"/>
                <w:szCs w:val="18"/>
                <w:lang w:val="en-US" w:eastAsia="zh-CN"/>
              </w:rPr>
              <w:t>号</w:t>
            </w:r>
          </w:p>
        </w:tc>
        <w:tc>
          <w:tcPr>
            <w:tcW w:w="92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37.85</w:t>
            </w:r>
          </w:p>
        </w:tc>
        <w:tc>
          <w:tcPr>
            <w:tcW w:w="4543"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共有情况为单独所有，钢筋混凝土</w:t>
            </w:r>
            <w:r>
              <w:rPr>
                <w:rFonts w:hint="eastAsia" w:ascii="宋体" w:hAnsi="宋体" w:eastAsia="宋体" w:cs="宋体"/>
                <w:color w:val="auto"/>
                <w:sz w:val="18"/>
                <w:szCs w:val="18"/>
              </w:rPr>
              <w:t>结构，楼层为</w:t>
            </w:r>
            <w:r>
              <w:rPr>
                <w:rFonts w:hint="eastAsia" w:ascii="宋体" w:hAnsi="宋体" w:cs="宋体"/>
                <w:color w:val="auto"/>
                <w:sz w:val="18"/>
                <w:szCs w:val="18"/>
                <w:lang w:val="en-US" w:eastAsia="zh-CN"/>
              </w:rPr>
              <w:t>14/17</w:t>
            </w:r>
            <w:r>
              <w:rPr>
                <w:rFonts w:hint="eastAsia" w:ascii="宋体" w:hAnsi="宋体" w:eastAsia="宋体" w:cs="宋体"/>
                <w:color w:val="auto"/>
                <w:sz w:val="18"/>
                <w:szCs w:val="18"/>
              </w:rPr>
              <w:t>层，室内净高</w:t>
            </w:r>
            <w:r>
              <w:rPr>
                <w:rFonts w:hint="eastAsia" w:ascii="宋体" w:hAnsi="宋体" w:cs="宋体"/>
                <w:color w:val="auto"/>
                <w:sz w:val="18"/>
                <w:szCs w:val="18"/>
                <w:lang w:val="en-US" w:eastAsia="zh-CN"/>
              </w:rPr>
              <w:t>2.80</w:t>
            </w:r>
            <w:r>
              <w:rPr>
                <w:rFonts w:hint="eastAsia" w:ascii="宋体" w:hAnsi="宋体" w:eastAsia="宋体" w:cs="宋体"/>
                <w:color w:val="auto"/>
                <w:sz w:val="18"/>
                <w:szCs w:val="18"/>
              </w:rPr>
              <w:t>m左右，</w:t>
            </w:r>
            <w:r>
              <w:rPr>
                <w:rFonts w:hint="eastAsia" w:ascii="宋体" w:hAnsi="宋体" w:eastAsia="宋体" w:cs="宋体"/>
                <w:color w:val="auto"/>
                <w:sz w:val="18"/>
                <w:szCs w:val="18"/>
                <w:lang w:eastAsia="zh-CN"/>
              </w:rPr>
              <w:t>建筑年代</w:t>
            </w:r>
            <w:r>
              <w:rPr>
                <w:rFonts w:hint="eastAsia" w:ascii="宋体" w:hAnsi="宋体" w:cs="宋体"/>
                <w:color w:val="auto"/>
                <w:sz w:val="18"/>
                <w:szCs w:val="18"/>
                <w:lang w:val="en-US" w:eastAsia="zh-CN"/>
              </w:rPr>
              <w:t>2012</w:t>
            </w:r>
            <w:r>
              <w:rPr>
                <w:rFonts w:hint="eastAsia" w:ascii="宋体" w:hAnsi="宋体" w:eastAsia="宋体" w:cs="宋体"/>
                <w:color w:val="auto"/>
                <w:sz w:val="18"/>
                <w:szCs w:val="18"/>
                <w:lang w:eastAsia="zh-CN"/>
              </w:rPr>
              <w:t>年</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墙体厚度</w:t>
            </w:r>
            <w:r>
              <w:rPr>
                <w:rFonts w:hint="eastAsia" w:ascii="宋体" w:hAnsi="宋体" w:cs="宋体"/>
                <w:color w:val="auto"/>
                <w:sz w:val="18"/>
                <w:szCs w:val="18"/>
                <w:lang w:val="en-US" w:eastAsia="zh-CN"/>
              </w:rPr>
              <w:t>40CM</w:t>
            </w:r>
            <w:r>
              <w:rPr>
                <w:rFonts w:hint="eastAsia" w:ascii="宋体" w:hAnsi="宋体" w:eastAsia="宋体" w:cs="宋体"/>
                <w:color w:val="auto"/>
                <w:sz w:val="18"/>
                <w:szCs w:val="18"/>
              </w:rPr>
              <w:t>，室外</w:t>
            </w:r>
            <w:r>
              <w:rPr>
                <w:rFonts w:hint="eastAsia" w:ascii="宋体" w:hAnsi="宋体" w:cs="宋体"/>
                <w:color w:val="auto"/>
                <w:sz w:val="18"/>
                <w:szCs w:val="18"/>
                <w:lang w:eastAsia="zh-CN"/>
              </w:rPr>
              <w:t>防盗门</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室内墙刷白、塑窗，室内</w:t>
            </w:r>
            <w:r>
              <w:rPr>
                <w:rFonts w:hint="eastAsia" w:ascii="宋体" w:hAnsi="宋体" w:eastAsia="宋体" w:cs="宋体"/>
                <w:color w:val="auto"/>
                <w:sz w:val="18"/>
                <w:szCs w:val="18"/>
                <w:lang w:eastAsia="zh-CN"/>
              </w:rPr>
              <w:t>地面</w:t>
            </w:r>
            <w:r>
              <w:rPr>
                <w:rFonts w:hint="eastAsia" w:ascii="宋体" w:hAnsi="宋体" w:cs="宋体"/>
                <w:color w:val="auto"/>
                <w:sz w:val="18"/>
                <w:szCs w:val="18"/>
                <w:lang w:eastAsia="zh-CN"/>
              </w:rPr>
              <w:t>地板、地砖</w:t>
            </w:r>
            <w:r>
              <w:rPr>
                <w:rFonts w:hint="eastAsia" w:ascii="宋体" w:hAnsi="宋体" w:cs="宋体"/>
                <w:color w:val="auto"/>
                <w:sz w:val="18"/>
                <w:szCs w:val="18"/>
                <w:lang w:val="en-US" w:eastAsia="zh-CN"/>
              </w:rPr>
              <w:t>，</w:t>
            </w:r>
            <w:r>
              <w:rPr>
                <w:rFonts w:hint="eastAsia" w:ascii="宋体" w:hAnsi="宋体" w:eastAsia="宋体" w:cs="宋体"/>
                <w:color w:val="auto"/>
                <w:sz w:val="18"/>
                <w:szCs w:val="18"/>
              </w:rPr>
              <w:t>室内</w:t>
            </w:r>
            <w:r>
              <w:rPr>
                <w:rFonts w:hint="eastAsia" w:ascii="宋体" w:hAnsi="宋体" w:cs="宋体"/>
                <w:color w:val="auto"/>
                <w:sz w:val="18"/>
                <w:szCs w:val="18"/>
                <w:lang w:val="en-US" w:eastAsia="zh-CN"/>
              </w:rPr>
              <w:t>装修为简装状态，朝向东西，</w:t>
            </w:r>
            <w:r>
              <w:rPr>
                <w:rFonts w:hint="eastAsia" w:ascii="宋体" w:hAnsi="宋体" w:eastAsia="宋体" w:cs="宋体"/>
                <w:color w:val="auto"/>
                <w:sz w:val="18"/>
                <w:szCs w:val="18"/>
              </w:rPr>
              <w:t>采暖、电照</w:t>
            </w:r>
            <w:r>
              <w:rPr>
                <w:rFonts w:hint="eastAsia" w:ascii="宋体" w:hAnsi="宋体" w:cs="宋体"/>
                <w:color w:val="auto"/>
                <w:sz w:val="18"/>
                <w:szCs w:val="18"/>
                <w:lang w:eastAsia="zh-CN"/>
              </w:rPr>
              <w:t>，上下水</w:t>
            </w:r>
            <w:r>
              <w:rPr>
                <w:rFonts w:hint="eastAsia" w:ascii="宋体" w:hAnsi="宋体" w:eastAsia="宋体" w:cs="宋体"/>
                <w:color w:val="auto"/>
                <w:sz w:val="18"/>
                <w:szCs w:val="18"/>
              </w:rPr>
              <w:t>等配套设施齐全。现处于</w:t>
            </w:r>
            <w:r>
              <w:rPr>
                <w:rFonts w:hint="eastAsia" w:ascii="宋体" w:hAnsi="宋体" w:cs="宋体"/>
                <w:color w:val="auto"/>
                <w:sz w:val="18"/>
                <w:szCs w:val="18"/>
                <w:lang w:eastAsia="zh-CN"/>
              </w:rPr>
              <w:t>出租</w:t>
            </w:r>
            <w:r>
              <w:rPr>
                <w:rFonts w:hint="eastAsia" w:ascii="宋体" w:hAnsi="宋体" w:eastAsia="宋体" w:cs="宋体"/>
                <w:color w:val="auto"/>
                <w:sz w:val="18"/>
                <w:szCs w:val="18"/>
              </w:rPr>
              <w:t>状态。</w:t>
            </w:r>
          </w:p>
        </w:tc>
      </w:tr>
      <w:tr>
        <w:tblPrEx>
          <w:tblCellMar>
            <w:top w:w="0" w:type="dxa"/>
            <w:left w:w="0" w:type="dxa"/>
            <w:bottom w:w="0" w:type="dxa"/>
            <w:right w:w="0" w:type="dxa"/>
          </w:tblCellMar>
        </w:tblPrEx>
        <w:trPr>
          <w:trHeight w:val="501" w:hRule="atLeast"/>
        </w:trPr>
        <w:tc>
          <w:tcPr>
            <w:tcW w:w="449" w:type="dxa"/>
            <w:tcBorders>
              <w:top w:val="nil"/>
              <w:left w:val="single" w:color="auto" w:sz="4" w:space="0"/>
              <w:bottom w:val="nil"/>
              <w:right w:val="single" w:color="auto" w:sz="4" w:space="0"/>
            </w:tcBorders>
            <w:shd w:val="clear" w:color="000000" w:fill="auto"/>
            <w:tcMar>
              <w:left w:w="108" w:type="dxa"/>
              <w:right w:w="108" w:type="dxa"/>
            </w:tcMar>
            <w:vAlign w:val="center"/>
          </w:tcPr>
          <w:p>
            <w:pPr>
              <w:spacing w:line="220" w:lineRule="exact"/>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9</w:t>
            </w:r>
          </w:p>
        </w:tc>
        <w:tc>
          <w:tcPr>
            <w:tcW w:w="1127"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郭欣</w:t>
            </w:r>
          </w:p>
        </w:tc>
        <w:tc>
          <w:tcPr>
            <w:tcW w:w="16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黑（20</w:t>
            </w:r>
            <w:r>
              <w:rPr>
                <w:rFonts w:hint="eastAsia" w:ascii="宋体" w:hAnsi="宋体" w:cs="宋体"/>
                <w:color w:val="auto"/>
                <w:sz w:val="18"/>
                <w:szCs w:val="18"/>
                <w:lang w:val="en-US" w:eastAsia="zh-CN"/>
              </w:rPr>
              <w:t>16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海林市</w:t>
            </w:r>
            <w:r>
              <w:rPr>
                <w:rFonts w:hint="eastAsia" w:ascii="宋体" w:hAnsi="宋体" w:eastAsia="宋体" w:cs="宋体"/>
                <w:color w:val="auto"/>
                <w:sz w:val="18"/>
                <w:szCs w:val="18"/>
                <w:lang w:val="en-US" w:eastAsia="zh-CN"/>
              </w:rPr>
              <w:t>不动产权第</w:t>
            </w:r>
            <w:r>
              <w:rPr>
                <w:rFonts w:hint="eastAsia" w:ascii="宋体" w:hAnsi="宋体" w:cs="宋体"/>
                <w:color w:val="auto"/>
                <w:sz w:val="18"/>
                <w:szCs w:val="18"/>
                <w:lang w:val="en-US" w:eastAsia="zh-CN"/>
              </w:rPr>
              <w:t>0000890</w:t>
            </w:r>
            <w:r>
              <w:rPr>
                <w:rFonts w:hint="eastAsia" w:ascii="宋体" w:hAnsi="宋体" w:eastAsia="宋体" w:cs="宋体"/>
                <w:color w:val="auto"/>
                <w:sz w:val="18"/>
                <w:szCs w:val="18"/>
                <w:lang w:val="en-US" w:eastAsia="zh-CN"/>
              </w:rPr>
              <w:t>号</w:t>
            </w:r>
          </w:p>
        </w:tc>
        <w:tc>
          <w:tcPr>
            <w:tcW w:w="92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37.27</w:t>
            </w:r>
          </w:p>
        </w:tc>
        <w:tc>
          <w:tcPr>
            <w:tcW w:w="4543"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共有情况为单独所有，钢筋混凝土</w:t>
            </w:r>
            <w:r>
              <w:rPr>
                <w:rFonts w:hint="eastAsia" w:ascii="宋体" w:hAnsi="宋体" w:eastAsia="宋体" w:cs="宋体"/>
                <w:color w:val="auto"/>
                <w:sz w:val="18"/>
                <w:szCs w:val="18"/>
              </w:rPr>
              <w:t>结构，楼层为</w:t>
            </w:r>
            <w:r>
              <w:rPr>
                <w:rFonts w:hint="eastAsia" w:ascii="宋体" w:hAnsi="宋体" w:cs="宋体"/>
                <w:color w:val="auto"/>
                <w:sz w:val="18"/>
                <w:szCs w:val="18"/>
                <w:lang w:val="en-US" w:eastAsia="zh-CN"/>
              </w:rPr>
              <w:t>14/17</w:t>
            </w:r>
            <w:r>
              <w:rPr>
                <w:rFonts w:hint="eastAsia" w:ascii="宋体" w:hAnsi="宋体" w:eastAsia="宋体" w:cs="宋体"/>
                <w:color w:val="auto"/>
                <w:sz w:val="18"/>
                <w:szCs w:val="18"/>
              </w:rPr>
              <w:t>层，室内净高</w:t>
            </w:r>
            <w:r>
              <w:rPr>
                <w:rFonts w:hint="eastAsia" w:ascii="宋体" w:hAnsi="宋体" w:cs="宋体"/>
                <w:color w:val="auto"/>
                <w:sz w:val="18"/>
                <w:szCs w:val="18"/>
                <w:lang w:val="en-US" w:eastAsia="zh-CN"/>
              </w:rPr>
              <w:t>2.80</w:t>
            </w:r>
            <w:r>
              <w:rPr>
                <w:rFonts w:hint="eastAsia" w:ascii="宋体" w:hAnsi="宋体" w:eastAsia="宋体" w:cs="宋体"/>
                <w:color w:val="auto"/>
                <w:sz w:val="18"/>
                <w:szCs w:val="18"/>
              </w:rPr>
              <w:t>m左右，</w:t>
            </w:r>
            <w:r>
              <w:rPr>
                <w:rFonts w:hint="eastAsia" w:ascii="宋体" w:hAnsi="宋体" w:eastAsia="宋体" w:cs="宋体"/>
                <w:color w:val="auto"/>
                <w:sz w:val="18"/>
                <w:szCs w:val="18"/>
                <w:lang w:eastAsia="zh-CN"/>
              </w:rPr>
              <w:t>建筑年代</w:t>
            </w:r>
            <w:r>
              <w:rPr>
                <w:rFonts w:hint="eastAsia" w:ascii="宋体" w:hAnsi="宋体" w:cs="宋体"/>
                <w:color w:val="auto"/>
                <w:sz w:val="18"/>
                <w:szCs w:val="18"/>
                <w:lang w:val="en-US" w:eastAsia="zh-CN"/>
              </w:rPr>
              <w:t>2012</w:t>
            </w:r>
            <w:r>
              <w:rPr>
                <w:rFonts w:hint="eastAsia" w:ascii="宋体" w:hAnsi="宋体" w:eastAsia="宋体" w:cs="宋体"/>
                <w:color w:val="auto"/>
                <w:sz w:val="18"/>
                <w:szCs w:val="18"/>
                <w:lang w:eastAsia="zh-CN"/>
              </w:rPr>
              <w:t>年</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墙体厚度</w:t>
            </w:r>
            <w:r>
              <w:rPr>
                <w:rFonts w:hint="eastAsia" w:ascii="宋体" w:hAnsi="宋体" w:cs="宋体"/>
                <w:color w:val="auto"/>
                <w:sz w:val="18"/>
                <w:szCs w:val="18"/>
                <w:lang w:val="en-US" w:eastAsia="zh-CN"/>
              </w:rPr>
              <w:t>40CM</w:t>
            </w:r>
            <w:r>
              <w:rPr>
                <w:rFonts w:hint="eastAsia" w:ascii="宋体" w:hAnsi="宋体" w:eastAsia="宋体" w:cs="宋体"/>
                <w:color w:val="auto"/>
                <w:sz w:val="18"/>
                <w:szCs w:val="18"/>
              </w:rPr>
              <w:t>，室外</w:t>
            </w:r>
            <w:r>
              <w:rPr>
                <w:rFonts w:hint="eastAsia" w:ascii="宋体" w:hAnsi="宋体" w:cs="宋体"/>
                <w:color w:val="auto"/>
                <w:sz w:val="18"/>
                <w:szCs w:val="18"/>
                <w:lang w:eastAsia="zh-CN"/>
              </w:rPr>
              <w:t>防盗门</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室内墙刷白、塑窗，室内</w:t>
            </w:r>
            <w:r>
              <w:rPr>
                <w:rFonts w:hint="eastAsia" w:ascii="宋体" w:hAnsi="宋体" w:eastAsia="宋体" w:cs="宋体"/>
                <w:color w:val="auto"/>
                <w:sz w:val="18"/>
                <w:szCs w:val="18"/>
                <w:lang w:eastAsia="zh-CN"/>
              </w:rPr>
              <w:t>地面</w:t>
            </w:r>
            <w:r>
              <w:rPr>
                <w:rFonts w:hint="eastAsia" w:ascii="宋体" w:hAnsi="宋体" w:cs="宋体"/>
                <w:color w:val="auto"/>
                <w:sz w:val="18"/>
                <w:szCs w:val="18"/>
                <w:lang w:eastAsia="zh-CN"/>
              </w:rPr>
              <w:t>地板、地砖</w:t>
            </w:r>
            <w:r>
              <w:rPr>
                <w:rFonts w:hint="eastAsia" w:ascii="宋体" w:hAnsi="宋体" w:cs="宋体"/>
                <w:color w:val="auto"/>
                <w:sz w:val="18"/>
                <w:szCs w:val="18"/>
                <w:lang w:val="en-US" w:eastAsia="zh-CN"/>
              </w:rPr>
              <w:t>，</w:t>
            </w:r>
            <w:r>
              <w:rPr>
                <w:rFonts w:hint="eastAsia" w:ascii="宋体" w:hAnsi="宋体" w:eastAsia="宋体" w:cs="宋体"/>
                <w:color w:val="auto"/>
                <w:sz w:val="18"/>
                <w:szCs w:val="18"/>
              </w:rPr>
              <w:t>室内</w:t>
            </w:r>
            <w:r>
              <w:rPr>
                <w:rFonts w:hint="eastAsia" w:ascii="宋体" w:hAnsi="宋体" w:cs="宋体"/>
                <w:color w:val="auto"/>
                <w:sz w:val="18"/>
                <w:szCs w:val="18"/>
                <w:lang w:val="en-US" w:eastAsia="zh-CN"/>
              </w:rPr>
              <w:t>装修为简装状态，朝向东西，</w:t>
            </w:r>
            <w:r>
              <w:rPr>
                <w:rFonts w:hint="eastAsia" w:ascii="宋体" w:hAnsi="宋体" w:eastAsia="宋体" w:cs="宋体"/>
                <w:color w:val="auto"/>
                <w:sz w:val="18"/>
                <w:szCs w:val="18"/>
              </w:rPr>
              <w:t>采暖、电照</w:t>
            </w:r>
            <w:r>
              <w:rPr>
                <w:rFonts w:hint="eastAsia" w:ascii="宋体" w:hAnsi="宋体" w:cs="宋体"/>
                <w:color w:val="auto"/>
                <w:sz w:val="18"/>
                <w:szCs w:val="18"/>
                <w:lang w:eastAsia="zh-CN"/>
              </w:rPr>
              <w:t>，上下水</w:t>
            </w:r>
            <w:r>
              <w:rPr>
                <w:rFonts w:hint="eastAsia" w:ascii="宋体" w:hAnsi="宋体" w:eastAsia="宋体" w:cs="宋体"/>
                <w:color w:val="auto"/>
                <w:sz w:val="18"/>
                <w:szCs w:val="18"/>
              </w:rPr>
              <w:t>等配套设施齐全。现处于</w:t>
            </w:r>
            <w:r>
              <w:rPr>
                <w:rFonts w:hint="eastAsia" w:ascii="宋体" w:hAnsi="宋体" w:cs="宋体"/>
                <w:color w:val="auto"/>
                <w:sz w:val="18"/>
                <w:szCs w:val="18"/>
                <w:lang w:eastAsia="zh-CN"/>
              </w:rPr>
              <w:t>出租</w:t>
            </w:r>
            <w:r>
              <w:rPr>
                <w:rFonts w:hint="eastAsia" w:ascii="宋体" w:hAnsi="宋体" w:eastAsia="宋体" w:cs="宋体"/>
                <w:color w:val="auto"/>
                <w:sz w:val="18"/>
                <w:szCs w:val="18"/>
              </w:rPr>
              <w:t>状态。</w:t>
            </w:r>
          </w:p>
        </w:tc>
      </w:tr>
      <w:tr>
        <w:tblPrEx>
          <w:tblCellMar>
            <w:top w:w="0" w:type="dxa"/>
            <w:left w:w="0" w:type="dxa"/>
            <w:bottom w:w="0" w:type="dxa"/>
            <w:right w:w="0" w:type="dxa"/>
          </w:tblCellMar>
        </w:tblPrEx>
        <w:trPr>
          <w:trHeight w:val="501" w:hRule="atLeast"/>
        </w:trPr>
        <w:tc>
          <w:tcPr>
            <w:tcW w:w="449" w:type="dxa"/>
            <w:tcBorders>
              <w:top w:val="nil"/>
              <w:left w:val="single" w:color="auto" w:sz="4" w:space="0"/>
              <w:bottom w:val="nil"/>
              <w:right w:val="single" w:color="auto" w:sz="4" w:space="0"/>
            </w:tcBorders>
            <w:shd w:val="clear" w:color="000000" w:fill="auto"/>
            <w:tcMar>
              <w:left w:w="108" w:type="dxa"/>
              <w:right w:w="108" w:type="dxa"/>
            </w:tcMar>
            <w:vAlign w:val="center"/>
          </w:tcPr>
          <w:p>
            <w:pPr>
              <w:spacing w:line="220" w:lineRule="exact"/>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10</w:t>
            </w:r>
          </w:p>
        </w:tc>
        <w:tc>
          <w:tcPr>
            <w:tcW w:w="1127"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郭欣</w:t>
            </w:r>
          </w:p>
        </w:tc>
        <w:tc>
          <w:tcPr>
            <w:tcW w:w="16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黑（20</w:t>
            </w:r>
            <w:r>
              <w:rPr>
                <w:rFonts w:hint="eastAsia" w:ascii="宋体" w:hAnsi="宋体" w:cs="宋体"/>
                <w:color w:val="auto"/>
                <w:sz w:val="18"/>
                <w:szCs w:val="18"/>
                <w:lang w:val="en-US" w:eastAsia="zh-CN"/>
              </w:rPr>
              <w:t>16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海林市</w:t>
            </w:r>
            <w:r>
              <w:rPr>
                <w:rFonts w:hint="eastAsia" w:ascii="宋体" w:hAnsi="宋体" w:eastAsia="宋体" w:cs="宋体"/>
                <w:color w:val="auto"/>
                <w:sz w:val="18"/>
                <w:szCs w:val="18"/>
                <w:lang w:val="en-US" w:eastAsia="zh-CN"/>
              </w:rPr>
              <w:t>不动产权第</w:t>
            </w:r>
            <w:r>
              <w:rPr>
                <w:rFonts w:hint="eastAsia" w:ascii="宋体" w:hAnsi="宋体" w:cs="宋体"/>
                <w:color w:val="auto"/>
                <w:sz w:val="18"/>
                <w:szCs w:val="18"/>
                <w:lang w:val="en-US" w:eastAsia="zh-CN"/>
              </w:rPr>
              <w:t>0000886</w:t>
            </w:r>
            <w:r>
              <w:rPr>
                <w:rFonts w:hint="eastAsia" w:ascii="宋体" w:hAnsi="宋体" w:eastAsia="宋体" w:cs="宋体"/>
                <w:color w:val="auto"/>
                <w:sz w:val="18"/>
                <w:szCs w:val="18"/>
                <w:lang w:val="en-US" w:eastAsia="zh-CN"/>
              </w:rPr>
              <w:t>号</w:t>
            </w:r>
          </w:p>
        </w:tc>
        <w:tc>
          <w:tcPr>
            <w:tcW w:w="92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37.27</w:t>
            </w:r>
          </w:p>
        </w:tc>
        <w:tc>
          <w:tcPr>
            <w:tcW w:w="4543"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共有情况为单独所有，钢筋混凝土</w:t>
            </w:r>
            <w:r>
              <w:rPr>
                <w:rFonts w:hint="eastAsia" w:ascii="宋体" w:hAnsi="宋体" w:eastAsia="宋体" w:cs="宋体"/>
                <w:color w:val="auto"/>
                <w:sz w:val="18"/>
                <w:szCs w:val="18"/>
              </w:rPr>
              <w:t>结构，楼层为</w:t>
            </w:r>
            <w:r>
              <w:rPr>
                <w:rFonts w:hint="eastAsia" w:ascii="宋体" w:hAnsi="宋体" w:cs="宋体"/>
                <w:color w:val="auto"/>
                <w:sz w:val="18"/>
                <w:szCs w:val="18"/>
                <w:lang w:val="en-US" w:eastAsia="zh-CN"/>
              </w:rPr>
              <w:t>14/17</w:t>
            </w:r>
            <w:r>
              <w:rPr>
                <w:rFonts w:hint="eastAsia" w:ascii="宋体" w:hAnsi="宋体" w:eastAsia="宋体" w:cs="宋体"/>
                <w:color w:val="auto"/>
                <w:sz w:val="18"/>
                <w:szCs w:val="18"/>
              </w:rPr>
              <w:t>层，室内净高</w:t>
            </w:r>
            <w:r>
              <w:rPr>
                <w:rFonts w:hint="eastAsia" w:ascii="宋体" w:hAnsi="宋体" w:cs="宋体"/>
                <w:color w:val="auto"/>
                <w:sz w:val="18"/>
                <w:szCs w:val="18"/>
                <w:lang w:val="en-US" w:eastAsia="zh-CN"/>
              </w:rPr>
              <w:t>2.80</w:t>
            </w:r>
            <w:r>
              <w:rPr>
                <w:rFonts w:hint="eastAsia" w:ascii="宋体" w:hAnsi="宋体" w:eastAsia="宋体" w:cs="宋体"/>
                <w:color w:val="auto"/>
                <w:sz w:val="18"/>
                <w:szCs w:val="18"/>
              </w:rPr>
              <w:t>m左右，</w:t>
            </w:r>
            <w:r>
              <w:rPr>
                <w:rFonts w:hint="eastAsia" w:ascii="宋体" w:hAnsi="宋体" w:eastAsia="宋体" w:cs="宋体"/>
                <w:color w:val="auto"/>
                <w:sz w:val="18"/>
                <w:szCs w:val="18"/>
                <w:lang w:eastAsia="zh-CN"/>
              </w:rPr>
              <w:t>建筑年代</w:t>
            </w:r>
            <w:r>
              <w:rPr>
                <w:rFonts w:hint="eastAsia" w:ascii="宋体" w:hAnsi="宋体" w:cs="宋体"/>
                <w:color w:val="auto"/>
                <w:sz w:val="18"/>
                <w:szCs w:val="18"/>
                <w:lang w:val="en-US" w:eastAsia="zh-CN"/>
              </w:rPr>
              <w:t>2012</w:t>
            </w:r>
            <w:r>
              <w:rPr>
                <w:rFonts w:hint="eastAsia" w:ascii="宋体" w:hAnsi="宋体" w:eastAsia="宋体" w:cs="宋体"/>
                <w:color w:val="auto"/>
                <w:sz w:val="18"/>
                <w:szCs w:val="18"/>
                <w:lang w:eastAsia="zh-CN"/>
              </w:rPr>
              <w:t>年</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墙体厚度</w:t>
            </w:r>
            <w:r>
              <w:rPr>
                <w:rFonts w:hint="eastAsia" w:ascii="宋体" w:hAnsi="宋体" w:cs="宋体"/>
                <w:color w:val="auto"/>
                <w:sz w:val="18"/>
                <w:szCs w:val="18"/>
                <w:lang w:val="en-US" w:eastAsia="zh-CN"/>
              </w:rPr>
              <w:t>40CM</w:t>
            </w:r>
            <w:r>
              <w:rPr>
                <w:rFonts w:hint="eastAsia" w:ascii="宋体" w:hAnsi="宋体" w:eastAsia="宋体" w:cs="宋体"/>
                <w:color w:val="auto"/>
                <w:sz w:val="18"/>
                <w:szCs w:val="18"/>
              </w:rPr>
              <w:t>，室外</w:t>
            </w:r>
            <w:r>
              <w:rPr>
                <w:rFonts w:hint="eastAsia" w:ascii="宋体" w:hAnsi="宋体" w:cs="宋体"/>
                <w:color w:val="auto"/>
                <w:sz w:val="18"/>
                <w:szCs w:val="18"/>
                <w:lang w:eastAsia="zh-CN"/>
              </w:rPr>
              <w:t>防盗门</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室内墙刷白、塑窗，室内</w:t>
            </w:r>
            <w:r>
              <w:rPr>
                <w:rFonts w:hint="eastAsia" w:ascii="宋体" w:hAnsi="宋体" w:eastAsia="宋体" w:cs="宋体"/>
                <w:color w:val="auto"/>
                <w:sz w:val="18"/>
                <w:szCs w:val="18"/>
                <w:lang w:eastAsia="zh-CN"/>
              </w:rPr>
              <w:t>地面</w:t>
            </w:r>
            <w:r>
              <w:rPr>
                <w:rFonts w:hint="eastAsia" w:ascii="宋体" w:hAnsi="宋体" w:cs="宋体"/>
                <w:color w:val="auto"/>
                <w:sz w:val="18"/>
                <w:szCs w:val="18"/>
                <w:lang w:eastAsia="zh-CN"/>
              </w:rPr>
              <w:t>地板、地砖</w:t>
            </w:r>
            <w:r>
              <w:rPr>
                <w:rFonts w:hint="eastAsia" w:ascii="宋体" w:hAnsi="宋体" w:cs="宋体"/>
                <w:color w:val="auto"/>
                <w:sz w:val="18"/>
                <w:szCs w:val="18"/>
                <w:lang w:val="en-US" w:eastAsia="zh-CN"/>
              </w:rPr>
              <w:t>，</w:t>
            </w:r>
            <w:r>
              <w:rPr>
                <w:rFonts w:hint="eastAsia" w:ascii="宋体" w:hAnsi="宋体" w:eastAsia="宋体" w:cs="宋体"/>
                <w:color w:val="auto"/>
                <w:sz w:val="18"/>
                <w:szCs w:val="18"/>
              </w:rPr>
              <w:t>室内</w:t>
            </w:r>
            <w:r>
              <w:rPr>
                <w:rFonts w:hint="eastAsia" w:ascii="宋体" w:hAnsi="宋体" w:cs="宋体"/>
                <w:color w:val="auto"/>
                <w:sz w:val="18"/>
                <w:szCs w:val="18"/>
                <w:lang w:val="en-US" w:eastAsia="zh-CN"/>
              </w:rPr>
              <w:t>装修为简装状态，朝向东西</w:t>
            </w:r>
            <w:r>
              <w:rPr>
                <w:rFonts w:hint="eastAsia" w:ascii="宋体" w:hAnsi="宋体" w:eastAsia="宋体" w:cs="宋体"/>
                <w:color w:val="auto"/>
                <w:sz w:val="18"/>
                <w:szCs w:val="18"/>
              </w:rPr>
              <w:t>采暖、电照</w:t>
            </w:r>
            <w:r>
              <w:rPr>
                <w:rFonts w:hint="eastAsia" w:ascii="宋体" w:hAnsi="宋体" w:cs="宋体"/>
                <w:color w:val="auto"/>
                <w:sz w:val="18"/>
                <w:szCs w:val="18"/>
                <w:lang w:eastAsia="zh-CN"/>
              </w:rPr>
              <w:t>，上下水</w:t>
            </w:r>
            <w:r>
              <w:rPr>
                <w:rFonts w:hint="eastAsia" w:ascii="宋体" w:hAnsi="宋体" w:eastAsia="宋体" w:cs="宋体"/>
                <w:color w:val="auto"/>
                <w:sz w:val="18"/>
                <w:szCs w:val="18"/>
              </w:rPr>
              <w:t>等配套设施齐全。现处于</w:t>
            </w:r>
            <w:r>
              <w:rPr>
                <w:rFonts w:hint="eastAsia" w:ascii="宋体" w:hAnsi="宋体" w:cs="宋体"/>
                <w:color w:val="auto"/>
                <w:sz w:val="18"/>
                <w:szCs w:val="18"/>
                <w:lang w:eastAsia="zh-CN"/>
              </w:rPr>
              <w:t>出租</w:t>
            </w:r>
            <w:r>
              <w:rPr>
                <w:rFonts w:hint="eastAsia" w:ascii="宋体" w:hAnsi="宋体" w:eastAsia="宋体" w:cs="宋体"/>
                <w:color w:val="auto"/>
                <w:sz w:val="18"/>
                <w:szCs w:val="18"/>
              </w:rPr>
              <w:t>状态。</w:t>
            </w:r>
          </w:p>
        </w:tc>
      </w:tr>
      <w:tr>
        <w:tblPrEx>
          <w:tblCellMar>
            <w:top w:w="0" w:type="dxa"/>
            <w:left w:w="0" w:type="dxa"/>
            <w:bottom w:w="0" w:type="dxa"/>
            <w:right w:w="0" w:type="dxa"/>
          </w:tblCellMar>
        </w:tblPrEx>
        <w:trPr>
          <w:trHeight w:val="501" w:hRule="atLeast"/>
        </w:trPr>
        <w:tc>
          <w:tcPr>
            <w:tcW w:w="449" w:type="dxa"/>
            <w:tcBorders>
              <w:top w:val="nil"/>
              <w:left w:val="single" w:color="auto" w:sz="4" w:space="0"/>
              <w:bottom w:val="nil"/>
              <w:right w:val="single" w:color="auto" w:sz="4" w:space="0"/>
            </w:tcBorders>
            <w:shd w:val="clear" w:color="000000" w:fill="auto"/>
            <w:tcMar>
              <w:left w:w="108" w:type="dxa"/>
              <w:right w:w="108" w:type="dxa"/>
            </w:tcMar>
            <w:vAlign w:val="center"/>
          </w:tcPr>
          <w:p>
            <w:pPr>
              <w:spacing w:line="220" w:lineRule="exact"/>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11</w:t>
            </w:r>
          </w:p>
        </w:tc>
        <w:tc>
          <w:tcPr>
            <w:tcW w:w="1127"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郭欣</w:t>
            </w:r>
          </w:p>
        </w:tc>
        <w:tc>
          <w:tcPr>
            <w:tcW w:w="16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黑（20</w:t>
            </w:r>
            <w:r>
              <w:rPr>
                <w:rFonts w:hint="eastAsia" w:ascii="宋体" w:hAnsi="宋体" w:cs="宋体"/>
                <w:color w:val="auto"/>
                <w:sz w:val="18"/>
                <w:szCs w:val="18"/>
                <w:lang w:val="en-US" w:eastAsia="zh-CN"/>
              </w:rPr>
              <w:t>16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海林市</w:t>
            </w:r>
            <w:r>
              <w:rPr>
                <w:rFonts w:hint="eastAsia" w:ascii="宋体" w:hAnsi="宋体" w:eastAsia="宋体" w:cs="宋体"/>
                <w:color w:val="auto"/>
                <w:sz w:val="18"/>
                <w:szCs w:val="18"/>
                <w:lang w:val="en-US" w:eastAsia="zh-CN"/>
              </w:rPr>
              <w:t>不动产权第</w:t>
            </w:r>
            <w:r>
              <w:rPr>
                <w:rFonts w:hint="eastAsia" w:ascii="宋体" w:hAnsi="宋体" w:cs="宋体"/>
                <w:color w:val="auto"/>
                <w:sz w:val="18"/>
                <w:szCs w:val="18"/>
                <w:lang w:val="en-US" w:eastAsia="zh-CN"/>
              </w:rPr>
              <w:t>0000885</w:t>
            </w:r>
            <w:r>
              <w:rPr>
                <w:rFonts w:hint="eastAsia" w:ascii="宋体" w:hAnsi="宋体" w:eastAsia="宋体" w:cs="宋体"/>
                <w:color w:val="auto"/>
                <w:sz w:val="18"/>
                <w:szCs w:val="18"/>
                <w:lang w:val="en-US" w:eastAsia="zh-CN"/>
              </w:rPr>
              <w:t>号</w:t>
            </w:r>
          </w:p>
        </w:tc>
        <w:tc>
          <w:tcPr>
            <w:tcW w:w="92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37.85</w:t>
            </w:r>
          </w:p>
        </w:tc>
        <w:tc>
          <w:tcPr>
            <w:tcW w:w="4543"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共有情况为单独所有，钢筋混凝土</w:t>
            </w:r>
            <w:r>
              <w:rPr>
                <w:rFonts w:hint="eastAsia" w:ascii="宋体" w:hAnsi="宋体" w:eastAsia="宋体" w:cs="宋体"/>
                <w:color w:val="auto"/>
                <w:sz w:val="18"/>
                <w:szCs w:val="18"/>
              </w:rPr>
              <w:t>结构，楼层为</w:t>
            </w:r>
            <w:r>
              <w:rPr>
                <w:rFonts w:hint="eastAsia" w:ascii="宋体" w:hAnsi="宋体" w:cs="宋体"/>
                <w:color w:val="auto"/>
                <w:sz w:val="18"/>
                <w:szCs w:val="18"/>
                <w:lang w:val="en-US" w:eastAsia="zh-CN"/>
              </w:rPr>
              <w:t>14/17</w:t>
            </w:r>
            <w:r>
              <w:rPr>
                <w:rFonts w:hint="eastAsia" w:ascii="宋体" w:hAnsi="宋体" w:eastAsia="宋体" w:cs="宋体"/>
                <w:color w:val="auto"/>
                <w:sz w:val="18"/>
                <w:szCs w:val="18"/>
              </w:rPr>
              <w:t>层，室内净高</w:t>
            </w:r>
            <w:r>
              <w:rPr>
                <w:rFonts w:hint="eastAsia" w:ascii="宋体" w:hAnsi="宋体" w:cs="宋体"/>
                <w:color w:val="auto"/>
                <w:sz w:val="18"/>
                <w:szCs w:val="18"/>
                <w:lang w:val="en-US" w:eastAsia="zh-CN"/>
              </w:rPr>
              <w:t>2.80</w:t>
            </w:r>
            <w:r>
              <w:rPr>
                <w:rFonts w:hint="eastAsia" w:ascii="宋体" w:hAnsi="宋体" w:eastAsia="宋体" w:cs="宋体"/>
                <w:color w:val="auto"/>
                <w:sz w:val="18"/>
                <w:szCs w:val="18"/>
              </w:rPr>
              <w:t>m左右，</w:t>
            </w:r>
            <w:r>
              <w:rPr>
                <w:rFonts w:hint="eastAsia" w:ascii="宋体" w:hAnsi="宋体" w:eastAsia="宋体" w:cs="宋体"/>
                <w:color w:val="auto"/>
                <w:sz w:val="18"/>
                <w:szCs w:val="18"/>
                <w:lang w:eastAsia="zh-CN"/>
              </w:rPr>
              <w:t>建筑年代</w:t>
            </w:r>
            <w:r>
              <w:rPr>
                <w:rFonts w:hint="eastAsia" w:ascii="宋体" w:hAnsi="宋体" w:cs="宋体"/>
                <w:color w:val="auto"/>
                <w:sz w:val="18"/>
                <w:szCs w:val="18"/>
                <w:lang w:val="en-US" w:eastAsia="zh-CN"/>
              </w:rPr>
              <w:t>2012</w:t>
            </w:r>
            <w:r>
              <w:rPr>
                <w:rFonts w:hint="eastAsia" w:ascii="宋体" w:hAnsi="宋体" w:eastAsia="宋体" w:cs="宋体"/>
                <w:color w:val="auto"/>
                <w:sz w:val="18"/>
                <w:szCs w:val="18"/>
                <w:lang w:eastAsia="zh-CN"/>
              </w:rPr>
              <w:t>年</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墙体厚度</w:t>
            </w:r>
            <w:r>
              <w:rPr>
                <w:rFonts w:hint="eastAsia" w:ascii="宋体" w:hAnsi="宋体" w:cs="宋体"/>
                <w:color w:val="auto"/>
                <w:sz w:val="18"/>
                <w:szCs w:val="18"/>
                <w:lang w:val="en-US" w:eastAsia="zh-CN"/>
              </w:rPr>
              <w:t>40CM</w:t>
            </w:r>
            <w:r>
              <w:rPr>
                <w:rFonts w:hint="eastAsia" w:ascii="宋体" w:hAnsi="宋体" w:eastAsia="宋体" w:cs="宋体"/>
                <w:color w:val="auto"/>
                <w:sz w:val="18"/>
                <w:szCs w:val="18"/>
              </w:rPr>
              <w:t>，室外</w:t>
            </w:r>
            <w:r>
              <w:rPr>
                <w:rFonts w:hint="eastAsia" w:ascii="宋体" w:hAnsi="宋体" w:cs="宋体"/>
                <w:color w:val="auto"/>
                <w:sz w:val="18"/>
                <w:szCs w:val="18"/>
                <w:lang w:eastAsia="zh-CN"/>
              </w:rPr>
              <w:t>防盗门</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室内墙刷白、塑窗，室内</w:t>
            </w:r>
            <w:r>
              <w:rPr>
                <w:rFonts w:hint="eastAsia" w:ascii="宋体" w:hAnsi="宋体" w:eastAsia="宋体" w:cs="宋体"/>
                <w:color w:val="auto"/>
                <w:sz w:val="18"/>
                <w:szCs w:val="18"/>
                <w:lang w:eastAsia="zh-CN"/>
              </w:rPr>
              <w:t>地面</w:t>
            </w:r>
            <w:r>
              <w:rPr>
                <w:rFonts w:hint="eastAsia" w:ascii="宋体" w:hAnsi="宋体" w:cs="宋体"/>
                <w:color w:val="auto"/>
                <w:sz w:val="18"/>
                <w:szCs w:val="18"/>
                <w:lang w:eastAsia="zh-CN"/>
              </w:rPr>
              <w:t>地板、地砖</w:t>
            </w:r>
            <w:r>
              <w:rPr>
                <w:rFonts w:hint="eastAsia" w:ascii="宋体" w:hAnsi="宋体" w:cs="宋体"/>
                <w:color w:val="auto"/>
                <w:sz w:val="18"/>
                <w:szCs w:val="18"/>
                <w:lang w:val="en-US" w:eastAsia="zh-CN"/>
              </w:rPr>
              <w:t>，</w:t>
            </w:r>
            <w:r>
              <w:rPr>
                <w:rFonts w:hint="eastAsia" w:ascii="宋体" w:hAnsi="宋体" w:eastAsia="宋体" w:cs="宋体"/>
                <w:color w:val="auto"/>
                <w:sz w:val="18"/>
                <w:szCs w:val="18"/>
              </w:rPr>
              <w:t>室内</w:t>
            </w:r>
            <w:r>
              <w:rPr>
                <w:rFonts w:hint="eastAsia" w:ascii="宋体" w:hAnsi="宋体" w:cs="宋体"/>
                <w:color w:val="auto"/>
                <w:sz w:val="18"/>
                <w:szCs w:val="18"/>
                <w:lang w:val="en-US" w:eastAsia="zh-CN"/>
              </w:rPr>
              <w:t>装修为简装状态，朝向东西</w:t>
            </w:r>
            <w:r>
              <w:rPr>
                <w:rFonts w:hint="eastAsia" w:ascii="宋体" w:hAnsi="宋体" w:eastAsia="宋体" w:cs="宋体"/>
                <w:color w:val="auto"/>
                <w:sz w:val="18"/>
                <w:szCs w:val="18"/>
              </w:rPr>
              <w:t>采暖、电照</w:t>
            </w:r>
            <w:r>
              <w:rPr>
                <w:rFonts w:hint="eastAsia" w:ascii="宋体" w:hAnsi="宋体" w:cs="宋体"/>
                <w:color w:val="auto"/>
                <w:sz w:val="18"/>
                <w:szCs w:val="18"/>
                <w:lang w:eastAsia="zh-CN"/>
              </w:rPr>
              <w:t>，上下水</w:t>
            </w:r>
            <w:r>
              <w:rPr>
                <w:rFonts w:hint="eastAsia" w:ascii="宋体" w:hAnsi="宋体" w:eastAsia="宋体" w:cs="宋体"/>
                <w:color w:val="auto"/>
                <w:sz w:val="18"/>
                <w:szCs w:val="18"/>
              </w:rPr>
              <w:t>等配套设施齐全。现处于</w:t>
            </w:r>
            <w:r>
              <w:rPr>
                <w:rFonts w:hint="eastAsia" w:ascii="宋体" w:hAnsi="宋体" w:cs="宋体"/>
                <w:color w:val="auto"/>
                <w:sz w:val="18"/>
                <w:szCs w:val="18"/>
                <w:lang w:eastAsia="zh-CN"/>
              </w:rPr>
              <w:t>出租</w:t>
            </w:r>
            <w:r>
              <w:rPr>
                <w:rFonts w:hint="eastAsia" w:ascii="宋体" w:hAnsi="宋体" w:eastAsia="宋体" w:cs="宋体"/>
                <w:color w:val="auto"/>
                <w:sz w:val="18"/>
                <w:szCs w:val="18"/>
              </w:rPr>
              <w:t>状态。</w:t>
            </w:r>
          </w:p>
        </w:tc>
      </w:tr>
      <w:tr>
        <w:tblPrEx>
          <w:tblCellMar>
            <w:top w:w="0" w:type="dxa"/>
            <w:left w:w="0" w:type="dxa"/>
            <w:bottom w:w="0" w:type="dxa"/>
            <w:right w:w="0" w:type="dxa"/>
          </w:tblCellMar>
        </w:tblPrEx>
        <w:trPr>
          <w:trHeight w:val="501" w:hRule="atLeast"/>
        </w:trPr>
        <w:tc>
          <w:tcPr>
            <w:tcW w:w="449" w:type="dxa"/>
            <w:tcBorders>
              <w:top w:val="nil"/>
              <w:left w:val="single" w:color="auto" w:sz="4" w:space="0"/>
              <w:bottom w:val="single" w:color="auto" w:sz="4" w:space="0"/>
              <w:right w:val="single" w:color="auto" w:sz="4" w:space="0"/>
            </w:tcBorders>
            <w:shd w:val="clear" w:color="000000" w:fill="auto"/>
            <w:tcMar>
              <w:left w:w="108" w:type="dxa"/>
              <w:right w:w="108" w:type="dxa"/>
            </w:tcMar>
            <w:vAlign w:val="center"/>
          </w:tcPr>
          <w:p>
            <w:pPr>
              <w:spacing w:line="220" w:lineRule="exact"/>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12</w:t>
            </w:r>
          </w:p>
        </w:tc>
        <w:tc>
          <w:tcPr>
            <w:tcW w:w="1127"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郭欣</w:t>
            </w:r>
          </w:p>
        </w:tc>
        <w:tc>
          <w:tcPr>
            <w:tcW w:w="16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黑（20</w:t>
            </w:r>
            <w:r>
              <w:rPr>
                <w:rFonts w:hint="eastAsia" w:ascii="宋体" w:hAnsi="宋体" w:cs="宋体"/>
                <w:color w:val="auto"/>
                <w:sz w:val="18"/>
                <w:szCs w:val="18"/>
                <w:lang w:val="en-US" w:eastAsia="zh-CN"/>
              </w:rPr>
              <w:t>16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海林市</w:t>
            </w:r>
            <w:r>
              <w:rPr>
                <w:rFonts w:hint="eastAsia" w:ascii="宋体" w:hAnsi="宋体" w:eastAsia="宋体" w:cs="宋体"/>
                <w:color w:val="auto"/>
                <w:sz w:val="18"/>
                <w:szCs w:val="18"/>
                <w:lang w:val="en-US" w:eastAsia="zh-CN"/>
              </w:rPr>
              <w:t>不动产权第</w:t>
            </w:r>
            <w:r>
              <w:rPr>
                <w:rFonts w:hint="eastAsia" w:ascii="宋体" w:hAnsi="宋体" w:cs="宋体"/>
                <w:color w:val="auto"/>
                <w:sz w:val="18"/>
                <w:szCs w:val="18"/>
                <w:lang w:val="en-US" w:eastAsia="zh-CN"/>
              </w:rPr>
              <w:t>0000938</w:t>
            </w:r>
            <w:r>
              <w:rPr>
                <w:rFonts w:hint="eastAsia" w:ascii="宋体" w:hAnsi="宋体" w:eastAsia="宋体" w:cs="宋体"/>
                <w:color w:val="auto"/>
                <w:sz w:val="18"/>
                <w:szCs w:val="18"/>
                <w:lang w:val="en-US" w:eastAsia="zh-CN"/>
              </w:rPr>
              <w:t>号</w:t>
            </w:r>
          </w:p>
        </w:tc>
        <w:tc>
          <w:tcPr>
            <w:tcW w:w="92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39.98</w:t>
            </w:r>
          </w:p>
        </w:tc>
        <w:tc>
          <w:tcPr>
            <w:tcW w:w="4543"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adjustRightInd w:val="0"/>
              <w:snapToGrid w:val="0"/>
              <w:spacing w:before="93" w:beforeLines="30" w:after="93" w:afterLines="30" w:line="300" w:lineRule="exact"/>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共有情况为单独所有，钢筋混凝土</w:t>
            </w:r>
            <w:r>
              <w:rPr>
                <w:rFonts w:hint="eastAsia" w:ascii="宋体" w:hAnsi="宋体" w:eastAsia="宋体" w:cs="宋体"/>
                <w:color w:val="auto"/>
                <w:sz w:val="18"/>
                <w:szCs w:val="18"/>
              </w:rPr>
              <w:t>结构，楼层为</w:t>
            </w:r>
            <w:r>
              <w:rPr>
                <w:rFonts w:hint="eastAsia" w:ascii="宋体" w:hAnsi="宋体" w:cs="宋体"/>
                <w:color w:val="auto"/>
                <w:sz w:val="18"/>
                <w:szCs w:val="18"/>
                <w:lang w:val="en-US" w:eastAsia="zh-CN"/>
              </w:rPr>
              <w:t>14/17</w:t>
            </w:r>
            <w:r>
              <w:rPr>
                <w:rFonts w:hint="eastAsia" w:ascii="宋体" w:hAnsi="宋体" w:eastAsia="宋体" w:cs="宋体"/>
                <w:color w:val="auto"/>
                <w:sz w:val="18"/>
                <w:szCs w:val="18"/>
              </w:rPr>
              <w:t>层，室内净高</w:t>
            </w:r>
            <w:r>
              <w:rPr>
                <w:rFonts w:hint="eastAsia" w:ascii="宋体" w:hAnsi="宋体" w:cs="宋体"/>
                <w:color w:val="auto"/>
                <w:sz w:val="18"/>
                <w:szCs w:val="18"/>
                <w:lang w:val="en-US" w:eastAsia="zh-CN"/>
              </w:rPr>
              <w:t>2.80</w:t>
            </w:r>
            <w:r>
              <w:rPr>
                <w:rFonts w:hint="eastAsia" w:ascii="宋体" w:hAnsi="宋体" w:eastAsia="宋体" w:cs="宋体"/>
                <w:color w:val="auto"/>
                <w:sz w:val="18"/>
                <w:szCs w:val="18"/>
              </w:rPr>
              <w:t>m左右，</w:t>
            </w:r>
            <w:r>
              <w:rPr>
                <w:rFonts w:hint="eastAsia" w:ascii="宋体" w:hAnsi="宋体" w:eastAsia="宋体" w:cs="宋体"/>
                <w:color w:val="auto"/>
                <w:sz w:val="18"/>
                <w:szCs w:val="18"/>
                <w:lang w:eastAsia="zh-CN"/>
              </w:rPr>
              <w:t>建筑年代</w:t>
            </w:r>
            <w:r>
              <w:rPr>
                <w:rFonts w:hint="eastAsia" w:ascii="宋体" w:hAnsi="宋体" w:cs="宋体"/>
                <w:color w:val="auto"/>
                <w:sz w:val="18"/>
                <w:szCs w:val="18"/>
                <w:lang w:val="en-US" w:eastAsia="zh-CN"/>
              </w:rPr>
              <w:t>2012</w:t>
            </w:r>
            <w:r>
              <w:rPr>
                <w:rFonts w:hint="eastAsia" w:ascii="宋体" w:hAnsi="宋体" w:eastAsia="宋体" w:cs="宋体"/>
                <w:color w:val="auto"/>
                <w:sz w:val="18"/>
                <w:szCs w:val="18"/>
                <w:lang w:eastAsia="zh-CN"/>
              </w:rPr>
              <w:t>年</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墙体厚度</w:t>
            </w:r>
            <w:r>
              <w:rPr>
                <w:rFonts w:hint="eastAsia" w:ascii="宋体" w:hAnsi="宋体" w:cs="宋体"/>
                <w:color w:val="auto"/>
                <w:sz w:val="18"/>
                <w:szCs w:val="18"/>
                <w:lang w:val="en-US" w:eastAsia="zh-CN"/>
              </w:rPr>
              <w:t>40CM</w:t>
            </w:r>
            <w:r>
              <w:rPr>
                <w:rFonts w:hint="eastAsia" w:ascii="宋体" w:hAnsi="宋体" w:eastAsia="宋体" w:cs="宋体"/>
                <w:color w:val="auto"/>
                <w:sz w:val="18"/>
                <w:szCs w:val="18"/>
              </w:rPr>
              <w:t>，室外</w:t>
            </w:r>
            <w:r>
              <w:rPr>
                <w:rFonts w:hint="eastAsia" w:ascii="宋体" w:hAnsi="宋体" w:cs="宋体"/>
                <w:color w:val="auto"/>
                <w:sz w:val="18"/>
                <w:szCs w:val="18"/>
                <w:lang w:eastAsia="zh-CN"/>
              </w:rPr>
              <w:t>防盗门</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室内墙刷白、塑窗，室内</w:t>
            </w:r>
            <w:r>
              <w:rPr>
                <w:rFonts w:hint="eastAsia" w:ascii="宋体" w:hAnsi="宋体" w:eastAsia="宋体" w:cs="宋体"/>
                <w:color w:val="auto"/>
                <w:sz w:val="18"/>
                <w:szCs w:val="18"/>
                <w:lang w:eastAsia="zh-CN"/>
              </w:rPr>
              <w:t>地面</w:t>
            </w:r>
            <w:r>
              <w:rPr>
                <w:rFonts w:hint="eastAsia" w:ascii="宋体" w:hAnsi="宋体" w:cs="宋体"/>
                <w:color w:val="auto"/>
                <w:sz w:val="18"/>
                <w:szCs w:val="18"/>
                <w:lang w:eastAsia="zh-CN"/>
              </w:rPr>
              <w:t>地板、地砖</w:t>
            </w:r>
            <w:r>
              <w:rPr>
                <w:rFonts w:hint="eastAsia" w:ascii="宋体" w:hAnsi="宋体" w:cs="宋体"/>
                <w:color w:val="auto"/>
                <w:sz w:val="18"/>
                <w:szCs w:val="18"/>
                <w:lang w:val="en-US" w:eastAsia="zh-CN"/>
              </w:rPr>
              <w:t>，</w:t>
            </w:r>
            <w:r>
              <w:rPr>
                <w:rFonts w:hint="eastAsia" w:ascii="宋体" w:hAnsi="宋体" w:eastAsia="宋体" w:cs="宋体"/>
                <w:color w:val="auto"/>
                <w:sz w:val="18"/>
                <w:szCs w:val="18"/>
              </w:rPr>
              <w:t>室内</w:t>
            </w:r>
            <w:r>
              <w:rPr>
                <w:rFonts w:hint="eastAsia" w:ascii="宋体" w:hAnsi="宋体" w:cs="宋体"/>
                <w:color w:val="auto"/>
                <w:sz w:val="18"/>
                <w:szCs w:val="18"/>
                <w:lang w:val="en-US" w:eastAsia="zh-CN"/>
              </w:rPr>
              <w:t>装修为简装状态，朝向东西</w:t>
            </w:r>
            <w:r>
              <w:rPr>
                <w:rFonts w:hint="eastAsia" w:ascii="宋体" w:hAnsi="宋体" w:eastAsia="宋体" w:cs="宋体"/>
                <w:color w:val="auto"/>
                <w:sz w:val="18"/>
                <w:szCs w:val="18"/>
              </w:rPr>
              <w:t>采暖、电照</w:t>
            </w:r>
            <w:r>
              <w:rPr>
                <w:rFonts w:hint="eastAsia" w:ascii="宋体" w:hAnsi="宋体" w:cs="宋体"/>
                <w:color w:val="auto"/>
                <w:sz w:val="18"/>
                <w:szCs w:val="18"/>
                <w:lang w:eastAsia="zh-CN"/>
              </w:rPr>
              <w:t>，上下水</w:t>
            </w:r>
            <w:r>
              <w:rPr>
                <w:rFonts w:hint="eastAsia" w:ascii="宋体" w:hAnsi="宋体" w:eastAsia="宋体" w:cs="宋体"/>
                <w:color w:val="auto"/>
                <w:sz w:val="18"/>
                <w:szCs w:val="18"/>
              </w:rPr>
              <w:t>等配套设施齐全。现处于</w:t>
            </w:r>
            <w:r>
              <w:rPr>
                <w:rFonts w:hint="eastAsia" w:ascii="宋体" w:hAnsi="宋体" w:cs="宋体"/>
                <w:color w:val="auto"/>
                <w:sz w:val="18"/>
                <w:szCs w:val="18"/>
                <w:lang w:eastAsia="zh-CN"/>
              </w:rPr>
              <w:t>出租</w:t>
            </w:r>
            <w:r>
              <w:rPr>
                <w:rFonts w:hint="eastAsia" w:ascii="宋体" w:hAnsi="宋体" w:eastAsia="宋体" w:cs="宋体"/>
                <w:color w:val="auto"/>
                <w:sz w:val="18"/>
                <w:szCs w:val="18"/>
              </w:rPr>
              <w:t>状态。</w:t>
            </w:r>
          </w:p>
        </w:tc>
      </w:tr>
    </w:tbl>
    <w:p>
      <w:pPr>
        <w:tabs>
          <w:tab w:val="left" w:pos="3780"/>
        </w:tabs>
        <w:adjustRightInd w:val="0"/>
        <w:snapToGrid w:val="0"/>
        <w:spacing w:line="440" w:lineRule="exact"/>
        <w:ind w:firstLine="560" w:firstLineChars="200"/>
        <w:rPr>
          <w:rFonts w:hint="eastAsia" w:ascii="仿宋" w:hAnsi="仿宋" w:eastAsia="仿宋" w:cs="仿宋"/>
          <w:color w:val="auto"/>
          <w:sz w:val="28"/>
          <w:szCs w:val="28"/>
        </w:rPr>
      </w:pPr>
    </w:p>
    <w:p>
      <w:pPr>
        <w:tabs>
          <w:tab w:val="left" w:pos="3780"/>
        </w:tabs>
        <w:adjustRightInd w:val="0"/>
        <w:snapToGrid w:val="0"/>
        <w:spacing w:line="440" w:lineRule="exact"/>
        <w:ind w:firstLine="560" w:firstLineChars="200"/>
        <w:outlineLvl w:val="1"/>
        <w:rPr>
          <w:rFonts w:ascii="仿宋" w:hAnsi="仿宋" w:eastAsia="仿宋" w:cs="仿宋"/>
          <w:color w:val="auto"/>
          <w:sz w:val="28"/>
          <w:szCs w:val="28"/>
        </w:rPr>
      </w:pPr>
      <w:bookmarkStart w:id="31" w:name="_Toc27211"/>
      <w:r>
        <w:rPr>
          <w:rFonts w:hint="eastAsia" w:ascii="仿宋" w:hAnsi="仿宋" w:eastAsia="仿宋" w:cs="仿宋"/>
          <w:color w:val="auto"/>
          <w:sz w:val="28"/>
          <w:szCs w:val="28"/>
        </w:rPr>
        <w:t>2、土地实物状况</w:t>
      </w:r>
      <w:bookmarkEnd w:id="31"/>
    </w:p>
    <w:p>
      <w:pPr>
        <w:tabs>
          <w:tab w:val="left" w:pos="3780"/>
        </w:tabs>
        <w:adjustRightInd w:val="0"/>
        <w:snapToGrid w:val="0"/>
        <w:spacing w:line="4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sz w:val="28"/>
          <w:szCs w:val="28"/>
        </w:rPr>
        <w:t>估价对象宗地位于</w:t>
      </w:r>
      <w:r>
        <w:rPr>
          <w:rFonts w:hint="eastAsia" w:ascii="仿宋" w:hAnsi="仿宋" w:eastAsia="仿宋" w:cs="仿宋"/>
          <w:bCs/>
          <w:color w:val="auto"/>
          <w:sz w:val="28"/>
          <w:szCs w:val="28"/>
          <w:lang w:eastAsia="zh-CN"/>
        </w:rPr>
        <w:t>黑龙江省海林市和兴瀚城5#楼斗银东区7委1单元14层04室、05室、06室、07室、08室、09室、10室、11室、12室、13室、13A室、15室。根据不动产权证书考虑其</w:t>
      </w:r>
      <w:r>
        <w:rPr>
          <w:rFonts w:hint="eastAsia" w:ascii="仿宋" w:hAnsi="仿宋" w:eastAsia="仿宋" w:cs="仿宋"/>
          <w:bCs/>
          <w:color w:val="auto"/>
          <w:sz w:val="28"/>
          <w:szCs w:val="28"/>
        </w:rPr>
        <w:t>土地</w:t>
      </w:r>
      <w:r>
        <w:rPr>
          <w:rFonts w:hint="eastAsia" w:ascii="仿宋" w:hAnsi="仿宋" w:eastAsia="仿宋" w:cs="仿宋"/>
          <w:bCs/>
          <w:color w:val="auto"/>
          <w:sz w:val="28"/>
          <w:szCs w:val="28"/>
          <w:lang w:eastAsia="zh-CN"/>
        </w:rPr>
        <w:t>楼面地价等因素</w:t>
      </w:r>
      <w:r>
        <w:rPr>
          <w:rFonts w:hint="eastAsia" w:ascii="仿宋" w:hAnsi="仿宋" w:eastAsia="仿宋" w:cs="仿宋"/>
          <w:bCs/>
          <w:color w:val="auto"/>
          <w:sz w:val="28"/>
          <w:szCs w:val="28"/>
        </w:rPr>
        <w:t>，</w:t>
      </w:r>
      <w:r>
        <w:rPr>
          <w:rFonts w:hint="eastAsia" w:ascii="仿宋" w:hAnsi="仿宋" w:eastAsia="仿宋" w:cs="仿宋"/>
          <w:color w:val="auto"/>
          <w:sz w:val="28"/>
          <w:szCs w:val="28"/>
        </w:rPr>
        <w:t>整宗土地为地势平坦，土地承载力较好、地基稳</w:t>
      </w:r>
      <w:r>
        <w:rPr>
          <w:rFonts w:hint="eastAsia" w:ascii="仿宋" w:hAnsi="仿宋" w:eastAsia="仿宋" w:cs="仿宋"/>
          <w:color w:val="auto"/>
          <w:kern w:val="0"/>
          <w:sz w:val="28"/>
          <w:szCs w:val="28"/>
        </w:rPr>
        <w:t>固，基础设施达</w:t>
      </w:r>
      <w:r>
        <w:rPr>
          <w:rFonts w:hint="eastAsia" w:ascii="仿宋" w:hAnsi="仿宋" w:eastAsia="仿宋" w:cs="仿宋"/>
          <w:color w:val="auto"/>
          <w:kern w:val="0"/>
          <w:sz w:val="28"/>
          <w:szCs w:val="28"/>
          <w:lang w:eastAsia="zh-CN"/>
        </w:rPr>
        <w:t>“七通”一平</w:t>
      </w:r>
      <w:r>
        <w:rPr>
          <w:rFonts w:hint="eastAsia" w:ascii="仿宋" w:hAnsi="仿宋" w:eastAsia="仿宋" w:cs="仿宋"/>
          <w:color w:val="auto"/>
          <w:kern w:val="0"/>
          <w:sz w:val="28"/>
          <w:szCs w:val="28"/>
        </w:rPr>
        <w:t>。</w:t>
      </w:r>
    </w:p>
    <w:p>
      <w:pPr>
        <w:tabs>
          <w:tab w:val="left" w:pos="3780"/>
        </w:tabs>
        <w:adjustRightInd w:val="0"/>
        <w:snapToGrid w:val="0"/>
        <w:spacing w:line="440" w:lineRule="exact"/>
        <w:ind w:firstLine="562" w:firstLineChars="200"/>
        <w:rPr>
          <w:rFonts w:ascii="仿宋" w:hAnsi="仿宋" w:eastAsia="仿宋" w:cs="仿宋"/>
          <w:color w:val="auto"/>
          <w:kern w:val="0"/>
          <w:sz w:val="28"/>
          <w:szCs w:val="28"/>
        </w:rPr>
      </w:pPr>
      <w:bookmarkStart w:id="32" w:name="_Toc882"/>
      <w:bookmarkStart w:id="33" w:name="_Toc30752"/>
      <w:r>
        <w:rPr>
          <w:rFonts w:hint="eastAsia" w:ascii="仿宋" w:hAnsi="仿宋" w:eastAsia="仿宋" w:cs="仿宋"/>
          <w:b/>
          <w:color w:val="auto"/>
          <w:kern w:val="0"/>
          <w:sz w:val="28"/>
          <w:szCs w:val="28"/>
        </w:rPr>
        <w:t>五、价值时点：</w:t>
      </w:r>
      <w:bookmarkEnd w:id="32"/>
      <w:r>
        <w:rPr>
          <w:rFonts w:hint="eastAsia" w:ascii="仿宋" w:hAnsi="仿宋" w:eastAsia="仿宋" w:cs="仿宋"/>
          <w:color w:val="auto"/>
          <w:kern w:val="0"/>
          <w:sz w:val="28"/>
          <w:szCs w:val="28"/>
        </w:rPr>
        <w:t>本次估价的价值时点为完成估价对象实地查勘之日</w:t>
      </w:r>
      <w:r>
        <w:rPr>
          <w:rFonts w:hint="eastAsia" w:ascii="仿宋" w:hAnsi="仿宋" w:eastAsia="仿宋" w:cs="仿宋"/>
          <w:color w:val="auto"/>
          <w:kern w:val="0"/>
          <w:sz w:val="28"/>
          <w:szCs w:val="28"/>
          <w:lang w:eastAsia="zh-CN"/>
        </w:rPr>
        <w:t>2022年8月16日</w:t>
      </w:r>
      <w:r>
        <w:rPr>
          <w:rFonts w:hint="eastAsia" w:ascii="仿宋" w:hAnsi="仿宋" w:eastAsia="仿宋" w:cs="仿宋"/>
          <w:color w:val="auto"/>
          <w:kern w:val="0"/>
          <w:sz w:val="28"/>
          <w:szCs w:val="28"/>
        </w:rPr>
        <w:t>。</w:t>
      </w:r>
      <w:bookmarkEnd w:id="33"/>
      <w:bookmarkStart w:id="34" w:name="_Toc1315"/>
    </w:p>
    <w:p>
      <w:pPr>
        <w:tabs>
          <w:tab w:val="left" w:pos="3780"/>
        </w:tabs>
        <w:adjustRightInd w:val="0"/>
        <w:snapToGrid w:val="0"/>
        <w:spacing w:line="440" w:lineRule="exact"/>
        <w:ind w:firstLine="562" w:firstLineChars="200"/>
        <w:rPr>
          <w:rFonts w:ascii="仿宋" w:hAnsi="仿宋" w:eastAsia="仿宋" w:cs="仿宋"/>
          <w:b/>
          <w:bCs/>
          <w:color w:val="auto"/>
          <w:kern w:val="0"/>
          <w:sz w:val="28"/>
          <w:szCs w:val="28"/>
        </w:rPr>
      </w:pPr>
      <w:bookmarkStart w:id="35" w:name="_Toc20512"/>
      <w:r>
        <w:rPr>
          <w:rFonts w:hint="eastAsia" w:ascii="仿宋" w:hAnsi="仿宋" w:eastAsia="仿宋" w:cs="仿宋"/>
          <w:b/>
          <w:bCs/>
          <w:color w:val="auto"/>
          <w:kern w:val="0"/>
          <w:sz w:val="28"/>
          <w:szCs w:val="28"/>
        </w:rPr>
        <w:t>六、价值类型：</w:t>
      </w:r>
      <w:bookmarkEnd w:id="34"/>
      <w:bookmarkEnd w:id="35"/>
      <w:bookmarkStart w:id="36" w:name="_Toc7266"/>
    </w:p>
    <w:p>
      <w:pPr>
        <w:tabs>
          <w:tab w:val="left" w:pos="3780"/>
        </w:tabs>
        <w:adjustRightInd w:val="0"/>
        <w:snapToGrid w:val="0"/>
        <w:spacing w:line="4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（一）、价值类型</w:t>
      </w:r>
    </w:p>
    <w:p>
      <w:pPr>
        <w:tabs>
          <w:tab w:val="left" w:pos="3780"/>
        </w:tabs>
        <w:adjustRightInd w:val="0"/>
        <w:snapToGrid w:val="0"/>
        <w:spacing w:line="4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根据本次估价的估价目的确定价值类型为市场价值。</w:t>
      </w:r>
    </w:p>
    <w:p>
      <w:pPr>
        <w:tabs>
          <w:tab w:val="left" w:pos="3780"/>
        </w:tabs>
        <w:adjustRightInd w:val="0"/>
        <w:snapToGrid w:val="0"/>
        <w:spacing w:line="4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（二）、价值定义</w:t>
      </w:r>
    </w:p>
    <w:p>
      <w:pPr>
        <w:tabs>
          <w:tab w:val="left" w:pos="3780"/>
        </w:tabs>
        <w:adjustRightInd w:val="0"/>
        <w:snapToGrid w:val="0"/>
        <w:spacing w:line="4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市场价值是估价对象经适当营销后，由熟悉情况、谨慎行事且不受强迫的交易双方，以公平交易方式在价值时点自愿进行交易的金额。</w:t>
      </w:r>
    </w:p>
    <w:p>
      <w:pPr>
        <w:tabs>
          <w:tab w:val="left" w:pos="3780"/>
        </w:tabs>
        <w:adjustRightInd w:val="0"/>
        <w:snapToGrid w:val="0"/>
        <w:spacing w:line="440" w:lineRule="exact"/>
        <w:ind w:firstLine="562" w:firstLineChars="200"/>
        <w:rPr>
          <w:rFonts w:ascii="仿宋" w:hAnsi="仿宋" w:eastAsia="仿宋" w:cs="仿宋"/>
          <w:color w:val="auto"/>
          <w:kern w:val="0"/>
          <w:sz w:val="28"/>
          <w:szCs w:val="28"/>
        </w:rPr>
      </w:pPr>
      <w:bookmarkStart w:id="37" w:name="_Toc13270"/>
      <w:r>
        <w:rPr>
          <w:rFonts w:hint="eastAsia" w:ascii="仿宋" w:hAnsi="仿宋" w:eastAsia="仿宋" w:cs="仿宋"/>
          <w:b/>
          <w:bCs/>
          <w:color w:val="auto"/>
          <w:kern w:val="0"/>
          <w:sz w:val="28"/>
          <w:szCs w:val="28"/>
        </w:rPr>
        <w:t>七、估价原则：</w:t>
      </w:r>
      <w:bookmarkEnd w:id="36"/>
      <w:bookmarkEnd w:id="37"/>
    </w:p>
    <w:p>
      <w:pPr>
        <w:tabs>
          <w:tab w:val="left" w:pos="3780"/>
        </w:tabs>
        <w:adjustRightInd w:val="0"/>
        <w:snapToGrid w:val="0"/>
        <w:spacing w:line="4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 xml:space="preserve">（一）遵循独立、客观、公正的原则——独立客观公正原则要求站在中立的立场上，实事求是、公平正直地评估出对各方估价利害关系人均是公平合理的价值或价格，即要求评估价值对各方估价利害关系人均是公平合理的。 </w:t>
      </w:r>
    </w:p>
    <w:p>
      <w:pPr>
        <w:tabs>
          <w:tab w:val="left" w:pos="3780"/>
        </w:tabs>
        <w:adjustRightInd w:val="0"/>
        <w:snapToGrid w:val="0"/>
        <w:spacing w:line="4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（二）遵循合法原则——合法原则要求评估价值是在依法判定的估价对象状况下的价值或价格。</w:t>
      </w:r>
    </w:p>
    <w:p>
      <w:pPr>
        <w:tabs>
          <w:tab w:val="left" w:pos="3780"/>
        </w:tabs>
        <w:adjustRightInd w:val="0"/>
        <w:snapToGrid w:val="0"/>
        <w:spacing w:line="4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三）遵循最高最佳使用原则——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tabs>
          <w:tab w:val="left" w:pos="3780"/>
        </w:tabs>
        <w:adjustRightInd w:val="0"/>
        <w:snapToGrid w:val="0"/>
        <w:spacing w:line="4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（四）遵循替代原则—— 替代原则要求评估价值与估价对象的类似房地产在同等条件下的价值或价格偏差在合理范围内。</w:t>
      </w:r>
    </w:p>
    <w:p>
      <w:pPr>
        <w:tabs>
          <w:tab w:val="left" w:pos="3780"/>
        </w:tabs>
        <w:adjustRightInd w:val="0"/>
        <w:snapToGrid w:val="0"/>
        <w:spacing w:line="44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（五）遵循估价时点原则—— 估价结果应是估价对象在估价时点的客观合理价格或价值。</w:t>
      </w:r>
    </w:p>
    <w:p>
      <w:pPr>
        <w:tabs>
          <w:tab w:val="left" w:pos="3780"/>
        </w:tabs>
        <w:adjustRightInd w:val="0"/>
        <w:snapToGrid w:val="0"/>
        <w:spacing w:line="440" w:lineRule="exact"/>
        <w:ind w:firstLine="562" w:firstLineChars="200"/>
        <w:rPr>
          <w:rFonts w:ascii="仿宋" w:hAnsi="仿宋" w:eastAsia="仿宋" w:cs="仿宋"/>
          <w:b/>
          <w:bCs/>
          <w:color w:val="auto"/>
          <w:kern w:val="0"/>
          <w:sz w:val="28"/>
          <w:szCs w:val="28"/>
        </w:rPr>
      </w:pPr>
      <w:bookmarkStart w:id="38" w:name="_Toc13573"/>
      <w:bookmarkStart w:id="39" w:name="_Toc16161"/>
      <w:r>
        <w:rPr>
          <w:rFonts w:hint="eastAsia" w:ascii="仿宋" w:hAnsi="仿宋" w:eastAsia="仿宋" w:cs="仿宋"/>
          <w:b/>
          <w:bCs/>
          <w:color w:val="auto"/>
          <w:kern w:val="0"/>
          <w:sz w:val="28"/>
          <w:szCs w:val="28"/>
        </w:rPr>
        <w:t>八、估价依据</w:t>
      </w:r>
      <w:bookmarkEnd w:id="38"/>
    </w:p>
    <w:p>
      <w:pPr>
        <w:tabs>
          <w:tab w:val="left" w:pos="3780"/>
        </w:tabs>
        <w:adjustRightInd w:val="0"/>
        <w:snapToGrid w:val="0"/>
        <w:spacing w:line="440" w:lineRule="exact"/>
        <w:ind w:firstLine="560" w:firstLineChars="200"/>
        <w:rPr>
          <w:rStyle w:val="55"/>
          <w:rFonts w:ascii="仿宋" w:hAnsi="仿宋" w:eastAsia="仿宋" w:cs="仿宋"/>
          <w:b w:val="0"/>
          <w:bCs w:val="0"/>
          <w:color w:val="auto"/>
          <w:sz w:val="28"/>
          <w:szCs w:val="28"/>
        </w:rPr>
      </w:pPr>
      <w:r>
        <w:rPr>
          <w:rFonts w:hint="eastAsia" w:ascii="仿宋" w:hAnsi="仿宋" w:eastAsia="仿宋" w:cs="仿宋"/>
          <w:color w:val="auto"/>
          <w:kern w:val="0"/>
          <w:sz w:val="28"/>
          <w:szCs w:val="28"/>
        </w:rPr>
        <w:t>（一）《中华人民共和国民法典》（中华人民共和国主席令第 45 号，中华人民共和国第十三届全</w:t>
      </w:r>
      <w:r>
        <w:rPr>
          <w:rStyle w:val="55"/>
          <w:rFonts w:hint="eastAsia" w:ascii="仿宋" w:hAnsi="仿宋" w:eastAsia="仿宋" w:cs="仿宋"/>
          <w:b w:val="0"/>
          <w:bCs w:val="0"/>
          <w:color w:val="auto"/>
          <w:sz w:val="28"/>
          <w:szCs w:val="28"/>
        </w:rPr>
        <w:t>国人民代表大会第三次会议通过，自 2021 年 1 月 1 日起施行）；</w:t>
      </w:r>
    </w:p>
    <w:p>
      <w:pPr>
        <w:snapToGrid w:val="0"/>
        <w:spacing w:line="440" w:lineRule="exact"/>
        <w:ind w:firstLine="560" w:firstLineChars="200"/>
        <w:rPr>
          <w:rStyle w:val="55"/>
          <w:rFonts w:ascii="仿宋" w:hAnsi="仿宋" w:eastAsia="仿宋" w:cs="仿宋"/>
          <w:b w:val="0"/>
          <w:bCs w:val="0"/>
          <w:color w:val="auto"/>
          <w:sz w:val="28"/>
          <w:szCs w:val="28"/>
        </w:rPr>
      </w:pPr>
      <w:r>
        <w:rPr>
          <w:rStyle w:val="55"/>
          <w:rFonts w:hint="eastAsia" w:ascii="仿宋" w:hAnsi="仿宋" w:eastAsia="仿宋" w:cs="仿宋"/>
          <w:b w:val="0"/>
          <w:bCs w:val="0"/>
          <w:color w:val="auto"/>
          <w:sz w:val="28"/>
          <w:szCs w:val="28"/>
        </w:rPr>
        <w:t>（二）《中华人民共和国城市房地产管理法》（中华人民共和国主席令 2019 第32 号，2019 年 8 月 26 日中华人民共和国第十三届全国人民代表大会常务委员会第十二次会议修订）；</w:t>
      </w:r>
    </w:p>
    <w:p>
      <w:pPr>
        <w:snapToGrid w:val="0"/>
        <w:spacing w:line="440" w:lineRule="exact"/>
        <w:ind w:firstLine="560" w:firstLineChars="200"/>
        <w:rPr>
          <w:rStyle w:val="55"/>
          <w:rFonts w:ascii="仿宋" w:hAnsi="仿宋" w:eastAsia="仿宋" w:cs="仿宋"/>
          <w:b w:val="0"/>
          <w:bCs w:val="0"/>
          <w:color w:val="auto"/>
          <w:sz w:val="28"/>
          <w:szCs w:val="28"/>
        </w:rPr>
      </w:pPr>
      <w:r>
        <w:rPr>
          <w:rStyle w:val="55"/>
          <w:rFonts w:hint="eastAsia" w:ascii="仿宋" w:hAnsi="仿宋" w:eastAsia="仿宋" w:cs="仿宋"/>
          <w:b w:val="0"/>
          <w:bCs w:val="0"/>
          <w:color w:val="auto"/>
          <w:sz w:val="28"/>
          <w:szCs w:val="28"/>
        </w:rPr>
        <w:t>（三）《中华人民共和国土地管理法》（中华人民共和国主席令 2019 第 32 号，2019 年 8 月 26 日中华人民共和国第十三届全国人民代表大会常务委员会第十二次会议修订）；</w:t>
      </w:r>
    </w:p>
    <w:p>
      <w:pPr>
        <w:snapToGrid w:val="0"/>
        <w:spacing w:line="440" w:lineRule="exact"/>
        <w:ind w:firstLine="560" w:firstLineChars="200"/>
        <w:rPr>
          <w:rStyle w:val="55"/>
          <w:rFonts w:ascii="仿宋" w:hAnsi="仿宋" w:eastAsia="仿宋" w:cs="仿宋"/>
          <w:b w:val="0"/>
          <w:bCs w:val="0"/>
          <w:color w:val="auto"/>
          <w:sz w:val="28"/>
          <w:szCs w:val="28"/>
        </w:rPr>
      </w:pPr>
      <w:r>
        <w:rPr>
          <w:rStyle w:val="55"/>
          <w:rFonts w:hint="eastAsia" w:ascii="仿宋" w:hAnsi="仿宋" w:eastAsia="仿宋" w:cs="仿宋"/>
          <w:b w:val="0"/>
          <w:bCs w:val="0"/>
          <w:color w:val="auto"/>
          <w:sz w:val="28"/>
          <w:szCs w:val="28"/>
        </w:rPr>
        <w:t>（四）《中华人民共和国城乡规划法》（中华人民共和国主席令第 74 号，中华人民共和国第十届全国人民代表大会常务委员会第三十次会议通过，自 2008 年 1 月 1 日起施行）</w:t>
      </w:r>
    </w:p>
    <w:p>
      <w:pPr>
        <w:snapToGrid w:val="0"/>
        <w:spacing w:line="440" w:lineRule="exact"/>
        <w:ind w:firstLine="560" w:firstLineChars="200"/>
        <w:rPr>
          <w:rStyle w:val="55"/>
          <w:rFonts w:ascii="仿宋" w:hAnsi="仿宋" w:eastAsia="仿宋" w:cs="仿宋"/>
          <w:b w:val="0"/>
          <w:bCs w:val="0"/>
          <w:color w:val="auto"/>
          <w:sz w:val="28"/>
          <w:szCs w:val="28"/>
        </w:rPr>
      </w:pPr>
      <w:r>
        <w:rPr>
          <w:rStyle w:val="55"/>
          <w:rFonts w:hint="eastAsia" w:ascii="仿宋" w:hAnsi="仿宋" w:eastAsia="仿宋" w:cs="仿宋"/>
          <w:b w:val="0"/>
          <w:bCs w:val="0"/>
          <w:color w:val="auto"/>
          <w:sz w:val="28"/>
          <w:szCs w:val="28"/>
        </w:rPr>
        <w:t>（五）《中华人民共和国城镇国有土地使用权出让和转让暂行条例》（国务院令第55号发布，自1990年5月19日起施行）；</w:t>
      </w:r>
    </w:p>
    <w:p>
      <w:pPr>
        <w:snapToGrid w:val="0"/>
        <w:spacing w:line="440" w:lineRule="exact"/>
        <w:ind w:firstLine="560" w:firstLineChars="200"/>
        <w:rPr>
          <w:rStyle w:val="55"/>
          <w:rFonts w:ascii="仿宋" w:hAnsi="仿宋" w:eastAsia="仿宋" w:cs="仿宋"/>
          <w:b w:val="0"/>
          <w:bCs w:val="0"/>
          <w:color w:val="auto"/>
          <w:sz w:val="28"/>
          <w:szCs w:val="28"/>
        </w:rPr>
      </w:pPr>
      <w:r>
        <w:rPr>
          <w:rStyle w:val="55"/>
          <w:rFonts w:hint="eastAsia" w:ascii="仿宋" w:hAnsi="仿宋" w:eastAsia="仿宋" w:cs="仿宋"/>
          <w:b w:val="0"/>
          <w:bCs w:val="0"/>
          <w:color w:val="auto"/>
          <w:sz w:val="28"/>
          <w:szCs w:val="28"/>
        </w:rPr>
        <w:t>（六）《中华人民共和国资产评估法》（中华人民共和国主席令第四十六号，中华人民共和国第十二届全国人民代表大会常务委员会第二十一次会议于2016年7月2日通过，自2016年12月1日起施行）；</w:t>
      </w:r>
    </w:p>
    <w:p>
      <w:pPr>
        <w:snapToGrid w:val="0"/>
        <w:spacing w:line="440" w:lineRule="exact"/>
        <w:ind w:firstLine="560" w:firstLineChars="200"/>
        <w:rPr>
          <w:rStyle w:val="55"/>
          <w:rFonts w:ascii="仿宋" w:hAnsi="仿宋" w:eastAsia="仿宋" w:cs="仿宋"/>
          <w:b w:val="0"/>
          <w:bCs w:val="0"/>
          <w:color w:val="auto"/>
          <w:sz w:val="28"/>
          <w:szCs w:val="28"/>
        </w:rPr>
      </w:pPr>
      <w:r>
        <w:rPr>
          <w:rStyle w:val="55"/>
          <w:rFonts w:hint="eastAsia" w:ascii="仿宋" w:hAnsi="仿宋" w:eastAsia="仿宋" w:cs="仿宋"/>
          <w:b w:val="0"/>
          <w:bCs w:val="0"/>
          <w:color w:val="auto"/>
          <w:sz w:val="28"/>
          <w:szCs w:val="28"/>
        </w:rPr>
        <w:t>（七）《最高人民法院关于人民法院确定财产处置参考价若干问题的规定》（2018年6月4日最高人民法院审判委员会第1741次会议通过，自2018年9月1日起施行）；</w:t>
      </w:r>
    </w:p>
    <w:p>
      <w:pPr>
        <w:snapToGrid w:val="0"/>
        <w:spacing w:line="440" w:lineRule="exact"/>
        <w:ind w:firstLine="560" w:firstLineChars="200"/>
        <w:rPr>
          <w:rStyle w:val="55"/>
          <w:rFonts w:ascii="仿宋" w:hAnsi="仿宋" w:eastAsia="仿宋" w:cs="仿宋"/>
          <w:b w:val="0"/>
          <w:bCs w:val="0"/>
          <w:color w:val="auto"/>
          <w:sz w:val="28"/>
          <w:szCs w:val="28"/>
        </w:rPr>
      </w:pPr>
      <w:r>
        <w:rPr>
          <w:rStyle w:val="55"/>
          <w:rFonts w:hint="eastAsia" w:ascii="仿宋" w:hAnsi="仿宋" w:eastAsia="仿宋" w:cs="仿宋"/>
          <w:b w:val="0"/>
          <w:bCs w:val="0"/>
          <w:color w:val="auto"/>
          <w:sz w:val="28"/>
          <w:szCs w:val="28"/>
        </w:rPr>
        <w:t>（八）国家标准《房地产估价规范》（GB/T50291－2015）（2015年04月08日中华人民共和国住房和城乡建设部、中华人民共和国国家质量监督检验检疫总局联合发布）；</w:t>
      </w:r>
    </w:p>
    <w:p>
      <w:pPr>
        <w:snapToGrid w:val="0"/>
        <w:spacing w:line="440" w:lineRule="exact"/>
        <w:ind w:firstLine="560" w:firstLineChars="200"/>
        <w:rPr>
          <w:rStyle w:val="55"/>
          <w:rFonts w:ascii="仿宋" w:hAnsi="仿宋" w:eastAsia="仿宋" w:cs="仿宋"/>
          <w:b w:val="0"/>
          <w:bCs w:val="0"/>
          <w:color w:val="auto"/>
          <w:sz w:val="28"/>
          <w:szCs w:val="28"/>
        </w:rPr>
      </w:pPr>
      <w:r>
        <w:rPr>
          <w:rStyle w:val="55"/>
          <w:rFonts w:hint="eastAsia" w:ascii="仿宋" w:hAnsi="仿宋" w:eastAsia="仿宋" w:cs="仿宋"/>
          <w:b w:val="0"/>
          <w:bCs w:val="0"/>
          <w:color w:val="auto"/>
          <w:sz w:val="28"/>
          <w:szCs w:val="28"/>
        </w:rPr>
        <w:t>（九）《房地产估价基本术语标准》（GB/T50899-2013）（2013年6月26日中华人民共和国住房和城乡建设部公告第84号）；</w:t>
      </w:r>
    </w:p>
    <w:p>
      <w:pPr>
        <w:snapToGrid w:val="0"/>
        <w:spacing w:line="440" w:lineRule="exact"/>
        <w:ind w:firstLine="560" w:firstLineChars="200"/>
        <w:rPr>
          <w:rStyle w:val="55"/>
          <w:rFonts w:ascii="仿宋" w:hAnsi="仿宋" w:eastAsia="仿宋" w:cs="仿宋"/>
          <w:b w:val="0"/>
          <w:bCs w:val="0"/>
          <w:color w:val="auto"/>
          <w:sz w:val="28"/>
          <w:szCs w:val="28"/>
        </w:rPr>
      </w:pPr>
      <w:r>
        <w:rPr>
          <w:rStyle w:val="55"/>
          <w:rFonts w:hint="eastAsia" w:ascii="仿宋" w:hAnsi="仿宋" w:eastAsia="仿宋" w:cs="仿宋"/>
          <w:b w:val="0"/>
          <w:bCs w:val="0"/>
          <w:color w:val="auto"/>
          <w:sz w:val="28"/>
          <w:szCs w:val="28"/>
        </w:rPr>
        <w:t>（十）《房屋完损等级评定标准（试行）》（城住建[1984]第678号）（1984年11月8日原城乡建设环境保护部发布）；</w:t>
      </w:r>
    </w:p>
    <w:p>
      <w:pPr>
        <w:snapToGrid w:val="0"/>
        <w:spacing w:line="440" w:lineRule="exact"/>
        <w:ind w:firstLine="560" w:firstLineChars="200"/>
        <w:rPr>
          <w:rStyle w:val="55"/>
          <w:rFonts w:ascii="仿宋" w:hAnsi="仿宋" w:eastAsia="仿宋" w:cs="仿宋"/>
          <w:b w:val="0"/>
          <w:bCs w:val="0"/>
          <w:color w:val="auto"/>
          <w:sz w:val="28"/>
          <w:szCs w:val="28"/>
        </w:rPr>
      </w:pPr>
      <w:r>
        <w:rPr>
          <w:rStyle w:val="55"/>
          <w:rFonts w:hint="eastAsia" w:ascii="仿宋" w:hAnsi="仿宋" w:eastAsia="仿宋" w:cs="仿宋"/>
          <w:b w:val="0"/>
          <w:bCs w:val="0"/>
          <w:color w:val="auto"/>
          <w:sz w:val="28"/>
          <w:szCs w:val="28"/>
        </w:rPr>
        <w:t>（十一）当事人提供的与本次估价有关的资料；</w:t>
      </w:r>
    </w:p>
    <w:p>
      <w:pPr>
        <w:snapToGrid w:val="0"/>
        <w:spacing w:line="440" w:lineRule="exact"/>
        <w:ind w:firstLine="560" w:firstLineChars="200"/>
        <w:rPr>
          <w:rStyle w:val="55"/>
          <w:rFonts w:ascii="仿宋" w:hAnsi="仿宋" w:eastAsia="仿宋" w:cs="仿宋"/>
          <w:b w:val="0"/>
          <w:bCs w:val="0"/>
          <w:color w:val="auto"/>
          <w:sz w:val="28"/>
          <w:szCs w:val="28"/>
        </w:rPr>
      </w:pPr>
      <w:r>
        <w:rPr>
          <w:rStyle w:val="55"/>
          <w:rFonts w:hint="eastAsia" w:ascii="仿宋" w:hAnsi="仿宋" w:eastAsia="仿宋" w:cs="仿宋"/>
          <w:b w:val="0"/>
          <w:bCs w:val="0"/>
          <w:color w:val="auto"/>
          <w:sz w:val="28"/>
          <w:szCs w:val="28"/>
        </w:rPr>
        <w:t>（十二）房屋相关产权证明；</w:t>
      </w:r>
    </w:p>
    <w:p>
      <w:pPr>
        <w:adjustRightInd w:val="0"/>
        <w:snapToGrid w:val="0"/>
        <w:spacing w:line="440" w:lineRule="exact"/>
        <w:ind w:firstLine="630" w:firstLineChars="225"/>
        <w:rPr>
          <w:rFonts w:ascii="仿宋" w:hAnsi="仿宋" w:eastAsia="仿宋" w:cs="仿宋"/>
          <w:color w:val="auto"/>
          <w:sz w:val="28"/>
          <w:szCs w:val="28"/>
        </w:rPr>
      </w:pPr>
      <w:r>
        <w:rPr>
          <w:rFonts w:hint="eastAsia" w:ascii="仿宋" w:hAnsi="仿宋" w:eastAsia="仿宋" w:cs="仿宋"/>
          <w:color w:val="auto"/>
          <w:sz w:val="28"/>
          <w:szCs w:val="28"/>
        </w:rPr>
        <w:t>（十三）估价对象现场勘察记录和调查走访的相关资料；</w:t>
      </w:r>
    </w:p>
    <w:p>
      <w:pPr>
        <w:adjustRightInd w:val="0"/>
        <w:snapToGrid w:val="0"/>
        <w:spacing w:line="440" w:lineRule="exact"/>
        <w:ind w:firstLine="630" w:firstLineChars="225"/>
        <w:rPr>
          <w:rFonts w:ascii="仿宋" w:hAnsi="仿宋" w:eastAsia="仿宋" w:cs="仿宋"/>
          <w:color w:val="auto"/>
          <w:sz w:val="28"/>
          <w:szCs w:val="28"/>
        </w:rPr>
      </w:pPr>
      <w:r>
        <w:rPr>
          <w:rFonts w:hint="eastAsia" w:ascii="仿宋" w:hAnsi="仿宋" w:eastAsia="仿宋" w:cs="仿宋"/>
          <w:color w:val="auto"/>
          <w:sz w:val="28"/>
          <w:szCs w:val="28"/>
        </w:rPr>
        <w:t>（十四）本估价机构掌握的房地产市场价格、信息等相关资料等。</w:t>
      </w:r>
      <w:bookmarkEnd w:id="39"/>
      <w:bookmarkStart w:id="40" w:name="_Toc9498"/>
    </w:p>
    <w:p>
      <w:pPr>
        <w:adjustRightInd w:val="0"/>
        <w:snapToGrid w:val="0"/>
        <w:spacing w:line="440" w:lineRule="exact"/>
        <w:ind w:firstLine="632" w:firstLineChars="225"/>
        <w:rPr>
          <w:rFonts w:ascii="仿宋" w:hAnsi="仿宋" w:eastAsia="仿宋" w:cs="仿宋"/>
          <w:color w:val="auto"/>
          <w:sz w:val="28"/>
          <w:szCs w:val="28"/>
          <w:lang w:val="zh-CN"/>
        </w:rPr>
      </w:pPr>
      <w:bookmarkStart w:id="41" w:name="_Toc7732"/>
      <w:r>
        <w:rPr>
          <w:rFonts w:hint="eastAsia" w:ascii="仿宋" w:hAnsi="仿宋" w:eastAsia="仿宋" w:cs="仿宋"/>
          <w:b/>
          <w:bCs/>
          <w:color w:val="auto"/>
          <w:sz w:val="28"/>
          <w:szCs w:val="28"/>
        </w:rPr>
        <w:t>九、估价方法</w:t>
      </w:r>
      <w:bookmarkEnd w:id="40"/>
      <w:r>
        <w:rPr>
          <w:rFonts w:hint="eastAsia" w:ascii="仿宋" w:hAnsi="仿宋" w:eastAsia="仿宋" w:cs="仿宋"/>
          <w:color w:val="auto"/>
          <w:sz w:val="28"/>
          <w:szCs w:val="28"/>
          <w:lang w:val="zh-CN"/>
        </w:rPr>
        <w:t>：</w:t>
      </w:r>
      <w:bookmarkEnd w:id="41"/>
    </w:p>
    <w:p>
      <w:pPr>
        <w:adjustRightInd w:val="0"/>
        <w:snapToGrid w:val="0"/>
        <w:spacing w:line="440" w:lineRule="exact"/>
        <w:ind w:firstLine="630" w:firstLineChars="225"/>
        <w:rPr>
          <w:rFonts w:ascii="仿宋" w:hAnsi="仿宋" w:eastAsia="仿宋" w:cs="仿宋"/>
          <w:color w:val="auto"/>
          <w:sz w:val="28"/>
          <w:szCs w:val="28"/>
        </w:rPr>
      </w:pPr>
      <w:bookmarkStart w:id="42" w:name="_Toc1886"/>
      <w:bookmarkStart w:id="43" w:name="_Toc12670"/>
      <w:r>
        <w:rPr>
          <w:rFonts w:hint="eastAsia" w:ascii="仿宋" w:hAnsi="仿宋" w:eastAsia="仿宋" w:cs="仿宋"/>
          <w:color w:val="auto"/>
          <w:sz w:val="28"/>
          <w:szCs w:val="28"/>
        </w:rPr>
        <w:t>在房地产估价中，通常涉及到的方法有比较法、收益法、成本法、假设开发法</w:t>
      </w:r>
      <w:r>
        <w:rPr>
          <w:rFonts w:hint="eastAsia" w:ascii="仿宋" w:hAnsi="仿宋" w:eastAsia="仿宋" w:cs="仿宋"/>
          <w:color w:val="auto"/>
          <w:sz w:val="28"/>
          <w:szCs w:val="28"/>
          <w:lang w:eastAsia="zh-CN"/>
        </w:rPr>
        <w:t>等估价方法，根据本次估价现场分析如下</w:t>
      </w:r>
      <w:r>
        <w:rPr>
          <w:rFonts w:hint="eastAsia" w:ascii="仿宋" w:hAnsi="仿宋" w:eastAsia="仿宋" w:cs="仿宋"/>
          <w:color w:val="auto"/>
          <w:sz w:val="28"/>
          <w:szCs w:val="28"/>
        </w:rPr>
        <w:t>。</w:t>
      </w:r>
    </w:p>
    <w:p>
      <w:pPr>
        <w:adjustRightInd w:val="0"/>
        <w:snapToGrid w:val="0"/>
        <w:spacing w:line="440" w:lineRule="exact"/>
        <w:ind w:firstLine="630" w:firstLineChars="225"/>
        <w:rPr>
          <w:rFonts w:ascii="仿宋" w:hAnsi="仿宋" w:eastAsia="仿宋" w:cs="仿宋"/>
          <w:color w:val="auto"/>
          <w:sz w:val="28"/>
          <w:szCs w:val="28"/>
        </w:rPr>
      </w:pPr>
      <w:r>
        <w:rPr>
          <w:rFonts w:hint="eastAsia" w:ascii="仿宋" w:hAnsi="仿宋" w:eastAsia="仿宋" w:cs="仿宋"/>
          <w:color w:val="auto"/>
          <w:sz w:val="28"/>
          <w:szCs w:val="28"/>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p>
    <w:p>
      <w:pPr>
        <w:adjustRightInd w:val="0"/>
        <w:snapToGrid w:val="0"/>
        <w:spacing w:line="440" w:lineRule="exact"/>
        <w:ind w:firstLine="630" w:firstLineChars="225"/>
        <w:rPr>
          <w:rFonts w:hint="eastAsia" w:ascii="仿宋" w:hAnsi="仿宋" w:eastAsia="仿宋" w:cs="仿宋"/>
          <w:color w:val="auto"/>
          <w:sz w:val="28"/>
          <w:szCs w:val="28"/>
        </w:rPr>
      </w:pPr>
      <w:r>
        <w:rPr>
          <w:rFonts w:hint="eastAsia" w:ascii="仿宋" w:hAnsi="仿宋" w:eastAsia="仿宋" w:cs="仿宋"/>
          <w:color w:val="auto"/>
          <w:sz w:val="28"/>
          <w:szCs w:val="28"/>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w:t>
      </w:r>
      <w:r>
        <w:rPr>
          <w:rFonts w:hint="eastAsia" w:ascii="仿宋" w:hAnsi="仿宋" w:eastAsia="仿宋" w:cs="仿宋"/>
          <w:color w:val="auto"/>
          <w:sz w:val="28"/>
          <w:szCs w:val="28"/>
          <w:lang w:eastAsia="zh-CN"/>
        </w:rPr>
        <w:t>经过分析</w:t>
      </w:r>
      <w:r>
        <w:rPr>
          <w:rFonts w:hint="eastAsia" w:ascii="仿宋" w:hAnsi="仿宋" w:eastAsia="仿宋" w:cs="仿宋"/>
          <w:color w:val="auto"/>
          <w:sz w:val="28"/>
          <w:szCs w:val="28"/>
        </w:rPr>
        <w:t>在估价对象周边区域内，类似房屋现用于出租使用以及获取稳定的租金</w:t>
      </w:r>
      <w:r>
        <w:rPr>
          <w:rFonts w:hint="eastAsia" w:ascii="仿宋" w:hAnsi="仿宋" w:eastAsia="仿宋" w:cs="仿宋"/>
          <w:color w:val="auto"/>
          <w:sz w:val="28"/>
          <w:szCs w:val="28"/>
          <w:lang w:eastAsia="zh-CN"/>
        </w:rPr>
        <w:t>实例较少</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估</w:t>
      </w:r>
      <w:r>
        <w:rPr>
          <w:rFonts w:hint="eastAsia" w:ascii="仿宋" w:hAnsi="仿宋" w:eastAsia="仿宋" w:cs="仿宋"/>
          <w:color w:val="auto"/>
          <w:sz w:val="28"/>
          <w:szCs w:val="28"/>
        </w:rPr>
        <w:t>不适宜选用收益法。</w:t>
      </w:r>
    </w:p>
    <w:p>
      <w:pPr>
        <w:pStyle w:val="7"/>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成本法是测算估价对象在价值时点的重置成本或重建成本和折旧，将重置成本或重建成本减去折旧得到的估价对象价值或价格的方法。成本法一般适用于测算可独立开发建设的整体房地产的价值或价格。</w:t>
      </w:r>
      <w:r>
        <w:rPr>
          <w:rFonts w:hint="eastAsia" w:ascii="仿宋" w:hAnsi="仿宋" w:eastAsia="仿宋" w:cs="仿宋"/>
          <w:color w:val="auto"/>
          <w:szCs w:val="28"/>
        </w:rPr>
        <w:t>考虑该估价对象房地产开发成本扣除建筑折旧后的价值不能准确反映房地产的实际市场价值，</w:t>
      </w:r>
      <w:r>
        <w:rPr>
          <w:rFonts w:hint="eastAsia" w:ascii="仿宋" w:hAnsi="仿宋" w:eastAsia="仿宋" w:cs="仿宋"/>
          <w:color w:val="auto"/>
          <w:szCs w:val="28"/>
          <w:lang w:eastAsia="zh-CN"/>
        </w:rPr>
        <w:t>故</w:t>
      </w:r>
      <w:r>
        <w:rPr>
          <w:rFonts w:hint="eastAsia" w:ascii="仿宋" w:hAnsi="仿宋" w:eastAsia="仿宋" w:cs="仿宋"/>
          <w:color w:val="auto"/>
          <w:szCs w:val="28"/>
        </w:rPr>
        <w:t>不选用成本法。</w:t>
      </w:r>
    </w:p>
    <w:p>
      <w:pPr>
        <w:pStyle w:val="7"/>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时点或价格的方法。</w:t>
      </w:r>
      <w:r>
        <w:rPr>
          <w:rFonts w:hint="eastAsia" w:ascii="仿宋" w:hAnsi="仿宋" w:eastAsia="仿宋" w:cs="仿宋"/>
          <w:color w:val="auto"/>
          <w:szCs w:val="28"/>
        </w:rPr>
        <w:t>估价对象属于建成并已投入使用的物业，不产生后续开发成本，不选用假设开发法。</w:t>
      </w:r>
    </w:p>
    <w:p>
      <w:pPr>
        <w:adjustRightInd w:val="0"/>
        <w:snapToGrid w:val="0"/>
        <w:spacing w:line="440" w:lineRule="exact"/>
        <w:ind w:firstLine="630" w:firstLineChars="225"/>
        <w:rPr>
          <w:rFonts w:ascii="仿宋" w:hAnsi="仿宋" w:eastAsia="仿宋" w:cs="仿宋"/>
          <w:color w:val="auto"/>
          <w:sz w:val="28"/>
          <w:szCs w:val="28"/>
        </w:rPr>
      </w:pPr>
      <w:r>
        <w:rPr>
          <w:rFonts w:hint="eastAsia" w:ascii="仿宋" w:hAnsi="仿宋" w:eastAsia="仿宋" w:cs="仿宋"/>
          <w:color w:val="auto"/>
          <w:sz w:val="28"/>
          <w:szCs w:val="28"/>
        </w:rPr>
        <w:t>本公司估价人员在认真分析所掌握的资料并进行了实地勘查和调查之后，根据估价对象房地产的特点及估价目的，综合考虑估价对象所处区域、用途、物业性质、特点及影响其市场价值的各类因素等，本次估价选用比较法进行估价。</w:t>
      </w:r>
    </w:p>
    <w:p>
      <w:pPr>
        <w:adjustRightInd w:val="0"/>
        <w:snapToGrid w:val="0"/>
        <w:spacing w:line="440" w:lineRule="exact"/>
        <w:ind w:firstLine="630" w:firstLineChars="225"/>
        <w:rPr>
          <w:rFonts w:hint="eastAsia" w:ascii="仿宋" w:hAnsi="仿宋" w:eastAsia="仿宋" w:cs="仿宋"/>
          <w:color w:val="auto"/>
          <w:sz w:val="28"/>
          <w:szCs w:val="28"/>
        </w:rPr>
      </w:pPr>
      <w:r>
        <w:rPr>
          <w:rFonts w:hint="eastAsia" w:ascii="仿宋" w:hAnsi="仿宋" w:eastAsia="仿宋" w:cs="仿宋"/>
          <w:color w:val="auto"/>
          <w:sz w:val="28"/>
          <w:szCs w:val="28"/>
        </w:rPr>
        <w:t>根据其估价对象所处的地理条件因素，其周边环境和功能相同或相近、产权性质、结构等类似估价对象实际出售的类似房地产的交易实例较多，适宜选用比较法。</w:t>
      </w:r>
    </w:p>
    <w:p>
      <w:pPr>
        <w:adjustRightInd w:val="0"/>
        <w:snapToGrid w:val="0"/>
        <w:spacing w:line="440" w:lineRule="exact"/>
        <w:ind w:firstLine="632" w:firstLineChars="225"/>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公式运用：</w:t>
      </w:r>
    </w:p>
    <w:tbl>
      <w:tblPr>
        <w:tblStyle w:val="22"/>
        <w:tblW w:w="9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910"/>
        <w:gridCol w:w="621"/>
        <w:gridCol w:w="935"/>
        <w:gridCol w:w="865"/>
        <w:gridCol w:w="1470"/>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exact"/>
        </w:trPr>
        <w:tc>
          <w:tcPr>
            <w:tcW w:w="1077" w:type="dxa"/>
            <w:tcBorders>
              <w:top w:val="single" w:color="auto" w:sz="12" w:space="0"/>
              <w:left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标的物</w:t>
            </w:r>
          </w:p>
        </w:tc>
        <w:tc>
          <w:tcPr>
            <w:tcW w:w="2910" w:type="dxa"/>
            <w:tcBorders>
              <w:top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坐落位置</w:t>
            </w:r>
          </w:p>
        </w:tc>
        <w:tc>
          <w:tcPr>
            <w:tcW w:w="621" w:type="dxa"/>
            <w:tcBorders>
              <w:top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结构</w:t>
            </w:r>
          </w:p>
        </w:tc>
        <w:tc>
          <w:tcPr>
            <w:tcW w:w="935" w:type="dxa"/>
            <w:tcBorders>
              <w:top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用途</w:t>
            </w:r>
          </w:p>
        </w:tc>
        <w:tc>
          <w:tcPr>
            <w:tcW w:w="865" w:type="dxa"/>
            <w:tcBorders>
              <w:top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成新</w:t>
            </w:r>
          </w:p>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470" w:type="dxa"/>
            <w:tcBorders>
              <w:top w:val="single" w:color="auto" w:sz="12" w:space="0"/>
            </w:tcBorders>
            <w:vAlign w:val="center"/>
          </w:tcPr>
          <w:p>
            <w:pPr>
              <w:snapToGrid w:val="0"/>
              <w:spacing w:line="320" w:lineRule="exact"/>
              <w:ind w:left="15" w:leftChars="7"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成交价</w:t>
            </w:r>
          </w:p>
          <w:p>
            <w:pPr>
              <w:snapToGrid w:val="0"/>
              <w:spacing w:line="320" w:lineRule="exact"/>
              <w:ind w:left="15" w:leftChars="7"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（元/m</w:t>
            </w:r>
            <w:r>
              <w:rPr>
                <w:rFonts w:hint="eastAsia" w:ascii="仿宋" w:hAnsi="仿宋" w:eastAsia="仿宋" w:cs="仿宋"/>
                <w:color w:val="auto"/>
                <w:sz w:val="24"/>
                <w:szCs w:val="24"/>
                <w:highlight w:val="none"/>
                <w:vertAlign w:val="superscript"/>
              </w:rPr>
              <w:t>2</w:t>
            </w:r>
            <w:r>
              <w:rPr>
                <w:rFonts w:hint="eastAsia" w:ascii="仿宋" w:hAnsi="仿宋" w:eastAsia="仿宋" w:cs="仿宋"/>
                <w:color w:val="auto"/>
                <w:sz w:val="24"/>
                <w:szCs w:val="24"/>
                <w:highlight w:val="none"/>
              </w:rPr>
              <w:t>）</w:t>
            </w:r>
          </w:p>
        </w:tc>
        <w:tc>
          <w:tcPr>
            <w:tcW w:w="1649" w:type="dxa"/>
            <w:tcBorders>
              <w:top w:val="single" w:color="auto" w:sz="12" w:space="0"/>
              <w:right w:val="single" w:color="auto" w:sz="12" w:space="0"/>
            </w:tcBorders>
            <w:vAlign w:val="center"/>
          </w:tcPr>
          <w:p>
            <w:pPr>
              <w:snapToGrid w:val="0"/>
              <w:spacing w:line="320" w:lineRule="exact"/>
              <w:ind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交易日期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1077" w:type="dxa"/>
            <w:tcBorders>
              <w:left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委估物</w:t>
            </w:r>
          </w:p>
        </w:tc>
        <w:tc>
          <w:tcPr>
            <w:tcW w:w="2910" w:type="dxa"/>
            <w:vAlign w:val="center"/>
          </w:tcPr>
          <w:p>
            <w:pPr>
              <w:snapToGrid w:val="0"/>
              <w:spacing w:line="320" w:lineRule="exact"/>
              <w:ind w:left="-105" w:leftChars="-50" w:right="-105" w:rightChars="-50"/>
              <w:jc w:val="center"/>
              <w:rPr>
                <w:rFonts w:hint="default" w:ascii="仿宋" w:hAnsi="仿宋" w:eastAsia="仿宋" w:cs="仿宋"/>
                <w:color w:val="auto"/>
                <w:sz w:val="24"/>
                <w:szCs w:val="24"/>
                <w:highlight w:val="none"/>
                <w:lang w:val="en-US" w:eastAsia="zh-CN"/>
              </w:rPr>
            </w:pPr>
            <w:r>
              <w:rPr>
                <w:rFonts w:hint="eastAsia" w:ascii="仿宋" w:hAnsi="仿宋" w:eastAsia="仿宋" w:cs="宋体"/>
                <w:color w:val="auto"/>
                <w:sz w:val="24"/>
                <w:szCs w:val="24"/>
                <w:lang w:eastAsia="zh-CN"/>
              </w:rPr>
              <w:t>海林市和兴瀚城</w:t>
            </w:r>
            <w:r>
              <w:rPr>
                <w:rFonts w:hint="eastAsia" w:ascii="仿宋" w:hAnsi="仿宋" w:eastAsia="仿宋" w:cs="宋体"/>
                <w:b w:val="0"/>
                <w:bCs/>
                <w:color w:val="auto"/>
                <w:sz w:val="24"/>
                <w:szCs w:val="24"/>
                <w:lang w:val="en-US" w:eastAsia="zh-CN"/>
              </w:rPr>
              <w:t>5#楼14楼</w:t>
            </w:r>
          </w:p>
        </w:tc>
        <w:tc>
          <w:tcPr>
            <w:tcW w:w="621" w:type="dxa"/>
            <w:vAlign w:val="center"/>
          </w:tcPr>
          <w:p>
            <w:pPr>
              <w:snapToGrid w:val="0"/>
              <w:spacing w:line="320" w:lineRule="exact"/>
              <w:ind w:left="-105" w:leftChars="-50" w:right="-105" w:rightChar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钢混</w:t>
            </w:r>
          </w:p>
        </w:tc>
        <w:tc>
          <w:tcPr>
            <w:tcW w:w="935" w:type="dxa"/>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住宅</w:t>
            </w:r>
          </w:p>
        </w:tc>
        <w:tc>
          <w:tcPr>
            <w:tcW w:w="865" w:type="dxa"/>
            <w:vAlign w:val="center"/>
          </w:tcPr>
          <w:p>
            <w:pPr>
              <w:snapToGrid w:val="0"/>
              <w:spacing w:line="320" w:lineRule="exact"/>
              <w:ind w:left="-105" w:leftChars="-50" w:right="-105" w:rightChar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90</w:t>
            </w:r>
          </w:p>
        </w:tc>
        <w:tc>
          <w:tcPr>
            <w:tcW w:w="1470" w:type="dxa"/>
            <w:vAlign w:val="center"/>
          </w:tcPr>
          <w:p>
            <w:pPr>
              <w:snapToGrid w:val="0"/>
              <w:spacing w:line="320" w:lineRule="exact"/>
              <w:ind w:left="-5" w:leftChars="-50" w:right="-105" w:rightChars="-50" w:hanging="100" w:hangingChars="42"/>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649" w:type="dxa"/>
            <w:tcBorders>
              <w:right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1077" w:type="dxa"/>
            <w:tcBorders>
              <w:left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实例A</w:t>
            </w:r>
          </w:p>
        </w:tc>
        <w:tc>
          <w:tcPr>
            <w:tcW w:w="2910" w:type="dxa"/>
            <w:vAlign w:val="center"/>
          </w:tcPr>
          <w:p>
            <w:pPr>
              <w:snapToGrid w:val="0"/>
              <w:spacing w:line="320" w:lineRule="exact"/>
              <w:ind w:left="-105" w:leftChars="-50" w:right="-105" w:rightChars="-50"/>
              <w:jc w:val="center"/>
              <w:rPr>
                <w:rFonts w:hint="default" w:ascii="仿宋" w:hAnsi="仿宋" w:eastAsia="仿宋" w:cs="仿宋"/>
                <w:color w:val="auto"/>
                <w:sz w:val="24"/>
                <w:szCs w:val="24"/>
                <w:highlight w:val="none"/>
                <w:lang w:val="en-US" w:eastAsia="zh-CN"/>
              </w:rPr>
            </w:pPr>
            <w:r>
              <w:rPr>
                <w:rFonts w:hint="eastAsia" w:ascii="仿宋" w:hAnsi="仿宋" w:eastAsia="仿宋" w:cs="宋体"/>
                <w:color w:val="auto"/>
                <w:sz w:val="24"/>
                <w:szCs w:val="24"/>
                <w:lang w:eastAsia="zh-CN"/>
              </w:rPr>
              <w:t>海林市和兴瀚城</w:t>
            </w:r>
            <w:r>
              <w:rPr>
                <w:rFonts w:hint="eastAsia" w:ascii="仿宋" w:hAnsi="仿宋" w:eastAsia="仿宋" w:cs="宋体"/>
                <w:b w:val="0"/>
                <w:bCs/>
                <w:color w:val="auto"/>
                <w:sz w:val="24"/>
                <w:szCs w:val="24"/>
                <w:lang w:val="en-US" w:eastAsia="zh-CN"/>
              </w:rPr>
              <w:t>5#楼5楼</w:t>
            </w:r>
          </w:p>
        </w:tc>
        <w:tc>
          <w:tcPr>
            <w:tcW w:w="621" w:type="dxa"/>
            <w:vAlign w:val="center"/>
          </w:tcPr>
          <w:p>
            <w:pPr>
              <w:snapToGrid w:val="0"/>
              <w:spacing w:line="320" w:lineRule="exact"/>
              <w:ind w:left="-105" w:leftChars="-50" w:right="-105" w:rightChar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钢混</w:t>
            </w:r>
          </w:p>
        </w:tc>
        <w:tc>
          <w:tcPr>
            <w:tcW w:w="935" w:type="dxa"/>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住宅</w:t>
            </w:r>
          </w:p>
        </w:tc>
        <w:tc>
          <w:tcPr>
            <w:tcW w:w="865" w:type="dxa"/>
            <w:vAlign w:val="center"/>
          </w:tcPr>
          <w:p>
            <w:pPr>
              <w:snapToGrid w:val="0"/>
              <w:spacing w:line="320" w:lineRule="exact"/>
              <w:ind w:left="-105" w:leftChars="-50" w:right="-105" w:rightChar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90</w:t>
            </w:r>
          </w:p>
        </w:tc>
        <w:tc>
          <w:tcPr>
            <w:tcW w:w="1470" w:type="dxa"/>
            <w:vAlign w:val="center"/>
          </w:tcPr>
          <w:p>
            <w:pPr>
              <w:snapToGrid w:val="0"/>
              <w:spacing w:line="320" w:lineRule="exact"/>
              <w:ind w:left="-105" w:leftChars="-50" w:right="-105" w:rightChars="-5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3,024.00</w:t>
            </w:r>
          </w:p>
        </w:tc>
        <w:tc>
          <w:tcPr>
            <w:tcW w:w="1649" w:type="dxa"/>
            <w:tcBorders>
              <w:right w:val="single" w:color="auto" w:sz="12" w:space="0"/>
            </w:tcBorders>
            <w:vAlign w:val="center"/>
          </w:tcPr>
          <w:p>
            <w:pPr>
              <w:snapToGrid w:val="0"/>
              <w:spacing w:line="320" w:lineRule="exact"/>
              <w:ind w:left="-105" w:leftChars="-50" w:right="-105" w:rightChars="-5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trPr>
        <w:tc>
          <w:tcPr>
            <w:tcW w:w="1077" w:type="dxa"/>
            <w:tcBorders>
              <w:left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实例B</w:t>
            </w:r>
          </w:p>
        </w:tc>
        <w:tc>
          <w:tcPr>
            <w:tcW w:w="2910" w:type="dxa"/>
            <w:vAlign w:val="center"/>
          </w:tcPr>
          <w:p>
            <w:pPr>
              <w:snapToGrid w:val="0"/>
              <w:spacing w:line="320" w:lineRule="exact"/>
              <w:ind w:left="-105" w:leftChars="-50" w:right="-105" w:rightChars="-50"/>
              <w:jc w:val="center"/>
              <w:rPr>
                <w:rFonts w:hint="default" w:ascii="仿宋" w:hAnsi="仿宋" w:eastAsia="仿宋" w:cs="仿宋"/>
                <w:color w:val="auto"/>
                <w:sz w:val="24"/>
                <w:szCs w:val="24"/>
                <w:highlight w:val="none"/>
                <w:lang w:val="en-US" w:eastAsia="zh-CN"/>
              </w:rPr>
            </w:pPr>
            <w:r>
              <w:rPr>
                <w:rFonts w:hint="eastAsia" w:ascii="仿宋" w:hAnsi="仿宋" w:eastAsia="仿宋" w:cs="宋体"/>
                <w:color w:val="auto"/>
                <w:sz w:val="24"/>
                <w:szCs w:val="24"/>
                <w:lang w:eastAsia="zh-CN"/>
              </w:rPr>
              <w:t>海林市和兴瀚城</w:t>
            </w:r>
            <w:r>
              <w:rPr>
                <w:rFonts w:hint="eastAsia" w:ascii="仿宋" w:hAnsi="仿宋" w:eastAsia="仿宋" w:cs="宋体"/>
                <w:b w:val="0"/>
                <w:bCs/>
                <w:color w:val="auto"/>
                <w:sz w:val="24"/>
                <w:szCs w:val="24"/>
                <w:lang w:val="en-US" w:eastAsia="zh-CN"/>
              </w:rPr>
              <w:t>5#楼4楼</w:t>
            </w:r>
          </w:p>
        </w:tc>
        <w:tc>
          <w:tcPr>
            <w:tcW w:w="621" w:type="dxa"/>
            <w:vAlign w:val="center"/>
          </w:tcPr>
          <w:p>
            <w:pPr>
              <w:snapToGrid w:val="0"/>
              <w:spacing w:line="320" w:lineRule="exact"/>
              <w:ind w:left="-105" w:leftChars="-50" w:right="-105" w:rightChar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钢混</w:t>
            </w:r>
          </w:p>
        </w:tc>
        <w:tc>
          <w:tcPr>
            <w:tcW w:w="935" w:type="dxa"/>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住宅</w:t>
            </w:r>
          </w:p>
        </w:tc>
        <w:tc>
          <w:tcPr>
            <w:tcW w:w="865" w:type="dxa"/>
            <w:vAlign w:val="center"/>
          </w:tcPr>
          <w:p>
            <w:pPr>
              <w:snapToGrid w:val="0"/>
              <w:spacing w:line="320" w:lineRule="exact"/>
              <w:ind w:left="-105" w:leftChars="-50" w:right="-105" w:rightChar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90</w:t>
            </w:r>
          </w:p>
        </w:tc>
        <w:tc>
          <w:tcPr>
            <w:tcW w:w="1470" w:type="dxa"/>
            <w:vAlign w:val="center"/>
          </w:tcPr>
          <w:p>
            <w:pPr>
              <w:snapToGrid w:val="0"/>
              <w:spacing w:line="320" w:lineRule="exact"/>
              <w:ind w:left="-105" w:leftChars="-50" w:right="-105" w:rightChar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2,632</w:t>
            </w:r>
            <w:r>
              <w:rPr>
                <w:rFonts w:hint="eastAsia" w:ascii="仿宋" w:hAnsi="仿宋" w:eastAsia="仿宋" w:cs="仿宋"/>
                <w:color w:val="auto"/>
                <w:sz w:val="24"/>
                <w:szCs w:val="24"/>
                <w:highlight w:val="none"/>
                <w:lang w:eastAsia="zh-CN"/>
              </w:rPr>
              <w:t>.00</w:t>
            </w:r>
          </w:p>
        </w:tc>
        <w:tc>
          <w:tcPr>
            <w:tcW w:w="1649" w:type="dxa"/>
            <w:tcBorders>
              <w:right w:val="single" w:color="auto" w:sz="12" w:space="0"/>
            </w:tcBorders>
            <w:vAlign w:val="center"/>
          </w:tcPr>
          <w:p>
            <w:pPr>
              <w:snapToGrid w:val="0"/>
              <w:spacing w:line="320" w:lineRule="exact"/>
              <w:ind w:left="-105" w:leftChars="-50" w:right="-105" w:rightChars="-5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1077" w:type="dxa"/>
            <w:tcBorders>
              <w:left w:val="single" w:color="auto" w:sz="12" w:space="0"/>
              <w:bottom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实例C</w:t>
            </w:r>
          </w:p>
        </w:tc>
        <w:tc>
          <w:tcPr>
            <w:tcW w:w="2910" w:type="dxa"/>
            <w:tcBorders>
              <w:bottom w:val="single" w:color="auto" w:sz="12" w:space="0"/>
            </w:tcBorders>
            <w:vAlign w:val="center"/>
          </w:tcPr>
          <w:p>
            <w:pPr>
              <w:snapToGrid w:val="0"/>
              <w:spacing w:line="320" w:lineRule="exact"/>
              <w:ind w:left="-105" w:leftChars="-50" w:right="-105" w:rightChars="-50"/>
              <w:jc w:val="center"/>
              <w:rPr>
                <w:rFonts w:hint="default" w:ascii="仿宋" w:hAnsi="仿宋" w:eastAsia="仿宋" w:cs="仿宋"/>
                <w:color w:val="auto"/>
                <w:sz w:val="24"/>
                <w:szCs w:val="24"/>
                <w:highlight w:val="none"/>
                <w:lang w:val="en-US" w:eastAsia="zh-CN"/>
              </w:rPr>
            </w:pPr>
            <w:r>
              <w:rPr>
                <w:rFonts w:hint="eastAsia" w:ascii="仿宋" w:hAnsi="仿宋" w:eastAsia="仿宋" w:cs="宋体"/>
                <w:color w:val="auto"/>
                <w:sz w:val="24"/>
                <w:szCs w:val="24"/>
                <w:lang w:eastAsia="zh-CN"/>
              </w:rPr>
              <w:t>海林市和兴瀚城</w:t>
            </w:r>
            <w:r>
              <w:rPr>
                <w:rFonts w:hint="eastAsia" w:ascii="仿宋" w:hAnsi="仿宋" w:eastAsia="仿宋" w:cs="宋体"/>
                <w:b w:val="0"/>
                <w:bCs/>
                <w:color w:val="auto"/>
                <w:sz w:val="24"/>
                <w:szCs w:val="24"/>
                <w:lang w:val="en-US" w:eastAsia="zh-CN"/>
              </w:rPr>
              <w:t>5#楼2楼</w:t>
            </w:r>
          </w:p>
        </w:tc>
        <w:tc>
          <w:tcPr>
            <w:tcW w:w="621" w:type="dxa"/>
            <w:tcBorders>
              <w:bottom w:val="single" w:color="auto" w:sz="12" w:space="0"/>
            </w:tcBorders>
            <w:vAlign w:val="center"/>
          </w:tcPr>
          <w:p>
            <w:pPr>
              <w:snapToGrid w:val="0"/>
              <w:spacing w:line="320" w:lineRule="exact"/>
              <w:ind w:left="-105" w:leftChars="-50" w:right="-105" w:rightChar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钢混</w:t>
            </w:r>
          </w:p>
        </w:tc>
        <w:tc>
          <w:tcPr>
            <w:tcW w:w="935" w:type="dxa"/>
            <w:tcBorders>
              <w:bottom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住宅</w:t>
            </w:r>
          </w:p>
        </w:tc>
        <w:tc>
          <w:tcPr>
            <w:tcW w:w="865" w:type="dxa"/>
            <w:tcBorders>
              <w:bottom w:val="single" w:color="auto" w:sz="12" w:space="0"/>
            </w:tcBorders>
            <w:vAlign w:val="center"/>
          </w:tcPr>
          <w:p>
            <w:pPr>
              <w:snapToGrid w:val="0"/>
              <w:spacing w:line="320" w:lineRule="exact"/>
              <w:ind w:left="-105" w:leftChars="-50" w:right="-105" w:rightChar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90</w:t>
            </w:r>
          </w:p>
        </w:tc>
        <w:tc>
          <w:tcPr>
            <w:tcW w:w="1470" w:type="dxa"/>
            <w:tcBorders>
              <w:bottom w:val="single" w:color="auto" w:sz="12" w:space="0"/>
            </w:tcBorders>
            <w:vAlign w:val="center"/>
          </w:tcPr>
          <w:p>
            <w:pPr>
              <w:snapToGrid w:val="0"/>
              <w:spacing w:line="320" w:lineRule="exact"/>
              <w:ind w:left="-105" w:leftChars="-50" w:right="-105" w:rightChar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2,100</w:t>
            </w:r>
            <w:r>
              <w:rPr>
                <w:rFonts w:hint="eastAsia" w:ascii="仿宋" w:hAnsi="仿宋" w:eastAsia="仿宋" w:cs="仿宋"/>
                <w:color w:val="auto"/>
                <w:sz w:val="24"/>
                <w:szCs w:val="24"/>
                <w:highlight w:val="none"/>
                <w:lang w:eastAsia="zh-CN"/>
              </w:rPr>
              <w:t>.00</w:t>
            </w:r>
          </w:p>
        </w:tc>
        <w:tc>
          <w:tcPr>
            <w:tcW w:w="1649" w:type="dxa"/>
            <w:tcBorders>
              <w:bottom w:val="single" w:color="auto" w:sz="12" w:space="0"/>
              <w:right w:val="single" w:color="auto" w:sz="12" w:space="0"/>
            </w:tcBorders>
            <w:vAlign w:val="center"/>
          </w:tcPr>
          <w:p>
            <w:pPr>
              <w:snapToGrid w:val="0"/>
              <w:spacing w:line="320" w:lineRule="exact"/>
              <w:ind w:left="-105" w:leftChars="-50" w:right="-105" w:rightChars="-5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20</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06</w:t>
            </w:r>
          </w:p>
        </w:tc>
      </w:tr>
    </w:tbl>
    <w:p>
      <w:pPr>
        <w:snapToGrid w:val="0"/>
        <w:spacing w:line="320" w:lineRule="exact"/>
        <w:rPr>
          <w:rFonts w:hint="eastAsia" w:ascii="仿宋" w:hAnsi="仿宋" w:eastAsia="仿宋" w:cs="仿宋"/>
          <w:color w:val="auto"/>
          <w:sz w:val="28"/>
          <w:szCs w:val="28"/>
          <w:highlight w:val="none"/>
        </w:rPr>
      </w:pPr>
    </w:p>
    <w:p>
      <w:pPr>
        <w:snapToGrid w:val="0"/>
        <w:spacing w:line="32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可比实例修正表</w:t>
      </w:r>
    </w:p>
    <w:tbl>
      <w:tblPr>
        <w:tblStyle w:val="22"/>
        <w:tblpPr w:leftFromText="180" w:rightFromText="180" w:vertAnchor="text" w:horzAnchor="page" w:tblpX="1449" w:tblpY="136"/>
        <w:tblOverlap w:val="never"/>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1"/>
        <w:gridCol w:w="2562"/>
        <w:gridCol w:w="2306"/>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2681" w:type="dxa"/>
            <w:tcBorders>
              <w:top w:val="single" w:color="auto" w:sz="12" w:space="0"/>
              <w:left w:val="single" w:color="auto" w:sz="12" w:space="0"/>
            </w:tcBorders>
            <w:vAlign w:val="center"/>
          </w:tcPr>
          <w:p>
            <w:pPr>
              <w:snapToGrid w:val="0"/>
              <w:spacing w:line="3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项    目</w:t>
            </w:r>
          </w:p>
        </w:tc>
        <w:tc>
          <w:tcPr>
            <w:tcW w:w="2562" w:type="dxa"/>
            <w:tcBorders>
              <w:top w:val="single" w:color="auto" w:sz="12" w:space="0"/>
            </w:tcBorders>
            <w:vAlign w:val="center"/>
          </w:tcPr>
          <w:p>
            <w:pPr>
              <w:snapToGrid w:val="0"/>
              <w:spacing w:line="3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实例A</w:t>
            </w:r>
          </w:p>
        </w:tc>
        <w:tc>
          <w:tcPr>
            <w:tcW w:w="2306" w:type="dxa"/>
            <w:tcBorders>
              <w:top w:val="single" w:color="auto" w:sz="12" w:space="0"/>
            </w:tcBorders>
            <w:vAlign w:val="center"/>
          </w:tcPr>
          <w:p>
            <w:pPr>
              <w:snapToGrid w:val="0"/>
              <w:spacing w:line="3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实例B</w:t>
            </w:r>
          </w:p>
        </w:tc>
        <w:tc>
          <w:tcPr>
            <w:tcW w:w="1821" w:type="dxa"/>
            <w:tcBorders>
              <w:top w:val="single" w:color="auto" w:sz="12" w:space="0"/>
              <w:right w:val="single" w:color="auto" w:sz="12" w:space="0"/>
            </w:tcBorders>
            <w:vAlign w:val="center"/>
          </w:tcPr>
          <w:p>
            <w:pPr>
              <w:snapToGrid w:val="0"/>
              <w:spacing w:line="3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681" w:type="dxa"/>
            <w:tcBorders>
              <w:left w:val="single" w:color="auto" w:sz="12" w:space="0"/>
            </w:tcBorders>
            <w:vAlign w:val="center"/>
          </w:tcPr>
          <w:p>
            <w:pPr>
              <w:spacing w:line="3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委估物交易价格</w:t>
            </w:r>
          </w:p>
        </w:tc>
        <w:tc>
          <w:tcPr>
            <w:tcW w:w="2562" w:type="dxa"/>
            <w:vAlign w:val="center"/>
          </w:tcPr>
          <w:p>
            <w:pPr>
              <w:snapToGrid w:val="0"/>
              <w:spacing w:line="320" w:lineRule="exact"/>
              <w:ind w:left="-105" w:leftChars="-50" w:right="-105" w:rightChars="-5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en-US" w:eastAsia="zh-CN"/>
              </w:rPr>
              <w:t>3,024.00</w:t>
            </w:r>
            <w:bookmarkStart w:id="51" w:name="_GoBack"/>
            <w:bookmarkEnd w:id="51"/>
          </w:p>
        </w:tc>
        <w:tc>
          <w:tcPr>
            <w:tcW w:w="2306" w:type="dxa"/>
            <w:vAlign w:val="center"/>
          </w:tcPr>
          <w:p>
            <w:pPr>
              <w:snapToGrid w:val="0"/>
              <w:spacing w:line="320" w:lineRule="exact"/>
              <w:ind w:left="-105" w:leftChars="-50" w:right="-105" w:rightChars="-5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szCs w:val="24"/>
                <w:highlight w:val="none"/>
                <w:lang w:val="en-US" w:eastAsia="zh-CN"/>
              </w:rPr>
              <w:t>2,632</w:t>
            </w:r>
            <w:r>
              <w:rPr>
                <w:rFonts w:hint="eastAsia" w:ascii="仿宋" w:hAnsi="仿宋" w:eastAsia="仿宋" w:cs="仿宋"/>
                <w:color w:val="auto"/>
                <w:sz w:val="24"/>
                <w:szCs w:val="24"/>
                <w:highlight w:val="none"/>
                <w:lang w:eastAsia="zh-CN"/>
              </w:rPr>
              <w:t>.00</w:t>
            </w:r>
          </w:p>
        </w:tc>
        <w:tc>
          <w:tcPr>
            <w:tcW w:w="1821" w:type="dxa"/>
            <w:tcBorders>
              <w:right w:val="single" w:color="auto" w:sz="12" w:space="0"/>
            </w:tcBorders>
            <w:vAlign w:val="center"/>
          </w:tcPr>
          <w:p>
            <w:pPr>
              <w:snapToGrid w:val="0"/>
              <w:spacing w:line="320" w:lineRule="exact"/>
              <w:ind w:left="-105" w:leftChars="-50" w:right="-105" w:rightChars="-5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szCs w:val="24"/>
                <w:highlight w:val="none"/>
                <w:lang w:val="en-US" w:eastAsia="zh-CN"/>
              </w:rPr>
              <w:t>2,100</w:t>
            </w:r>
            <w:r>
              <w:rPr>
                <w:rFonts w:hint="eastAsia" w:ascii="仿宋" w:hAnsi="仿宋" w:eastAsia="仿宋" w:cs="仿宋"/>
                <w:color w:val="auto"/>
                <w:sz w:val="24"/>
                <w:szCs w:val="24"/>
                <w:highlight w:val="none"/>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681" w:type="dxa"/>
            <w:tcBorders>
              <w:left w:val="single" w:color="auto" w:sz="12" w:space="0"/>
            </w:tcBorders>
            <w:vAlign w:val="center"/>
          </w:tcPr>
          <w:p>
            <w:pPr>
              <w:spacing w:line="3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交易情况修正</w:t>
            </w:r>
          </w:p>
        </w:tc>
        <w:tc>
          <w:tcPr>
            <w:tcW w:w="2562" w:type="dxa"/>
            <w:vAlign w:val="center"/>
          </w:tcPr>
          <w:p>
            <w:pPr>
              <w:snapToGrid w:val="0"/>
              <w:spacing w:line="320" w:lineRule="exact"/>
              <w:ind w:left="-105" w:leftChars="-50" w:right="-105" w:rightChars="-50"/>
              <w:jc w:val="center"/>
              <w:rPr>
                <w:rFonts w:ascii="仿宋" w:hAnsi="仿宋" w:eastAsia="仿宋" w:cs="仿宋"/>
                <w:color w:val="auto"/>
                <w:sz w:val="24"/>
                <w:highlight w:val="none"/>
              </w:rPr>
            </w:pPr>
            <w:r>
              <w:rPr>
                <w:rFonts w:hint="eastAsia" w:ascii="仿宋" w:hAnsi="仿宋" w:eastAsia="仿宋" w:cs="仿宋"/>
                <w:color w:val="auto"/>
                <w:sz w:val="24"/>
                <w:highlight w:val="none"/>
              </w:rPr>
              <w:t>100/100</w:t>
            </w:r>
          </w:p>
        </w:tc>
        <w:tc>
          <w:tcPr>
            <w:tcW w:w="2306" w:type="dxa"/>
            <w:vAlign w:val="center"/>
          </w:tcPr>
          <w:p>
            <w:pPr>
              <w:snapToGrid w:val="0"/>
              <w:spacing w:line="320" w:lineRule="exact"/>
              <w:ind w:left="-105" w:leftChars="-50" w:right="-105" w:rightChars="-50"/>
              <w:jc w:val="center"/>
              <w:rPr>
                <w:rFonts w:ascii="仿宋" w:hAnsi="仿宋" w:eastAsia="仿宋" w:cs="仿宋"/>
                <w:color w:val="auto"/>
                <w:sz w:val="24"/>
                <w:highlight w:val="none"/>
              </w:rPr>
            </w:pPr>
            <w:r>
              <w:rPr>
                <w:rFonts w:hint="eastAsia" w:ascii="仿宋" w:hAnsi="仿宋" w:eastAsia="仿宋" w:cs="仿宋"/>
                <w:color w:val="auto"/>
                <w:sz w:val="24"/>
                <w:highlight w:val="none"/>
              </w:rPr>
              <w:t>100/100</w:t>
            </w:r>
          </w:p>
        </w:tc>
        <w:tc>
          <w:tcPr>
            <w:tcW w:w="1821" w:type="dxa"/>
            <w:tcBorders>
              <w:right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highlight w:val="none"/>
              </w:rPr>
            </w:pPr>
            <w:r>
              <w:rPr>
                <w:rFonts w:hint="eastAsia" w:ascii="仿宋" w:hAnsi="仿宋" w:eastAsia="仿宋" w:cs="仿宋"/>
                <w:color w:val="auto"/>
                <w:sz w:val="24"/>
                <w:highlight w:val="none"/>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trPr>
        <w:tc>
          <w:tcPr>
            <w:tcW w:w="2681" w:type="dxa"/>
            <w:tcBorders>
              <w:left w:val="single" w:color="auto" w:sz="12" w:space="0"/>
            </w:tcBorders>
            <w:vAlign w:val="center"/>
          </w:tcPr>
          <w:p>
            <w:pPr>
              <w:spacing w:line="3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交易日期修正</w:t>
            </w:r>
          </w:p>
        </w:tc>
        <w:tc>
          <w:tcPr>
            <w:tcW w:w="2562" w:type="dxa"/>
            <w:vAlign w:val="center"/>
          </w:tcPr>
          <w:p>
            <w:pPr>
              <w:snapToGrid w:val="0"/>
              <w:spacing w:line="320" w:lineRule="exact"/>
              <w:ind w:left="-105" w:leftChars="-50" w:right="-105" w:rightChars="-50"/>
              <w:jc w:val="center"/>
              <w:rPr>
                <w:rFonts w:ascii="仿宋" w:hAnsi="仿宋" w:eastAsia="仿宋" w:cs="仿宋"/>
                <w:color w:val="auto"/>
                <w:sz w:val="24"/>
                <w:highlight w:val="none"/>
              </w:rPr>
            </w:pPr>
            <w:r>
              <w:rPr>
                <w:rFonts w:hint="eastAsia" w:ascii="仿宋" w:hAnsi="仿宋" w:eastAsia="仿宋" w:cs="仿宋"/>
                <w:color w:val="auto"/>
                <w:sz w:val="24"/>
                <w:highlight w:val="none"/>
              </w:rPr>
              <w:t>100/100</w:t>
            </w:r>
          </w:p>
        </w:tc>
        <w:tc>
          <w:tcPr>
            <w:tcW w:w="2306" w:type="dxa"/>
            <w:vAlign w:val="center"/>
          </w:tcPr>
          <w:p>
            <w:pPr>
              <w:snapToGrid w:val="0"/>
              <w:spacing w:line="320" w:lineRule="exact"/>
              <w:ind w:left="-105" w:leftChars="-50" w:right="-105" w:rightChars="-50"/>
              <w:jc w:val="center"/>
              <w:rPr>
                <w:rFonts w:ascii="仿宋" w:hAnsi="仿宋" w:eastAsia="仿宋" w:cs="仿宋"/>
                <w:color w:val="auto"/>
                <w:sz w:val="24"/>
                <w:highlight w:val="none"/>
              </w:rPr>
            </w:pPr>
            <w:r>
              <w:rPr>
                <w:rFonts w:hint="eastAsia" w:ascii="仿宋" w:hAnsi="仿宋" w:eastAsia="仿宋" w:cs="仿宋"/>
                <w:color w:val="auto"/>
                <w:sz w:val="24"/>
                <w:highlight w:val="none"/>
              </w:rPr>
              <w:t>100/100</w:t>
            </w:r>
          </w:p>
        </w:tc>
        <w:tc>
          <w:tcPr>
            <w:tcW w:w="1821" w:type="dxa"/>
            <w:tcBorders>
              <w:right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highlight w:val="none"/>
              </w:rPr>
            </w:pPr>
            <w:r>
              <w:rPr>
                <w:rFonts w:hint="eastAsia" w:ascii="仿宋" w:hAnsi="仿宋" w:eastAsia="仿宋" w:cs="仿宋"/>
                <w:color w:val="auto"/>
                <w:sz w:val="24"/>
                <w:highlight w:val="none"/>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trPr>
        <w:tc>
          <w:tcPr>
            <w:tcW w:w="2681" w:type="dxa"/>
            <w:tcBorders>
              <w:left w:val="single" w:color="auto" w:sz="12" w:space="0"/>
            </w:tcBorders>
            <w:vAlign w:val="center"/>
          </w:tcPr>
          <w:p>
            <w:pPr>
              <w:spacing w:line="3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区域因素修正</w:t>
            </w:r>
          </w:p>
        </w:tc>
        <w:tc>
          <w:tcPr>
            <w:tcW w:w="2562" w:type="dxa"/>
            <w:vAlign w:val="center"/>
          </w:tcPr>
          <w:p>
            <w:pPr>
              <w:snapToGrid w:val="0"/>
              <w:spacing w:line="320" w:lineRule="exact"/>
              <w:ind w:left="-105" w:leftChars="-50" w:right="-105" w:rightChars="-5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100/</w:t>
            </w:r>
            <w:r>
              <w:rPr>
                <w:rFonts w:hint="eastAsia" w:ascii="仿宋" w:hAnsi="仿宋" w:eastAsia="仿宋" w:cs="仿宋"/>
                <w:color w:val="auto"/>
                <w:sz w:val="24"/>
                <w:highlight w:val="none"/>
                <w:lang w:val="en-US" w:eastAsia="zh-CN"/>
              </w:rPr>
              <w:t>96</w:t>
            </w:r>
          </w:p>
        </w:tc>
        <w:tc>
          <w:tcPr>
            <w:tcW w:w="2306" w:type="dxa"/>
            <w:vAlign w:val="center"/>
          </w:tcPr>
          <w:p>
            <w:pPr>
              <w:snapToGrid w:val="0"/>
              <w:spacing w:line="320" w:lineRule="exact"/>
              <w:ind w:left="-105" w:leftChars="-50" w:right="-105" w:rightChars="-5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100/</w:t>
            </w:r>
            <w:r>
              <w:rPr>
                <w:rFonts w:hint="eastAsia" w:ascii="仿宋" w:hAnsi="仿宋" w:eastAsia="仿宋" w:cs="仿宋"/>
                <w:color w:val="auto"/>
                <w:sz w:val="24"/>
                <w:highlight w:val="none"/>
                <w:lang w:val="en-US" w:eastAsia="zh-CN"/>
              </w:rPr>
              <w:t>95</w:t>
            </w:r>
          </w:p>
        </w:tc>
        <w:tc>
          <w:tcPr>
            <w:tcW w:w="1821" w:type="dxa"/>
            <w:tcBorders>
              <w:right w:val="single" w:color="auto" w:sz="12" w:space="0"/>
            </w:tcBorders>
            <w:vAlign w:val="center"/>
          </w:tcPr>
          <w:p>
            <w:pPr>
              <w:snapToGrid w:val="0"/>
              <w:spacing w:line="320" w:lineRule="exact"/>
              <w:ind w:left="-105" w:leftChars="-50" w:right="-105" w:rightChars="-5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100/</w:t>
            </w:r>
            <w:r>
              <w:rPr>
                <w:rFonts w:hint="eastAsia" w:ascii="仿宋" w:hAnsi="仿宋" w:eastAsia="仿宋" w:cs="仿宋"/>
                <w:color w:val="auto"/>
                <w:sz w:val="24"/>
                <w:highlight w:val="no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2681" w:type="dxa"/>
            <w:tcBorders>
              <w:left w:val="single" w:color="auto" w:sz="12" w:space="0"/>
            </w:tcBorders>
            <w:vAlign w:val="center"/>
          </w:tcPr>
          <w:p>
            <w:pPr>
              <w:spacing w:line="3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个别因素修正</w:t>
            </w:r>
          </w:p>
        </w:tc>
        <w:tc>
          <w:tcPr>
            <w:tcW w:w="2562" w:type="dxa"/>
            <w:vAlign w:val="center"/>
          </w:tcPr>
          <w:p>
            <w:pPr>
              <w:snapToGrid w:val="0"/>
              <w:spacing w:line="320" w:lineRule="exact"/>
              <w:ind w:left="-105" w:leftChars="-50" w:right="-105" w:rightChars="-50"/>
              <w:jc w:val="center"/>
              <w:rPr>
                <w:rFonts w:ascii="仿宋" w:hAnsi="仿宋" w:eastAsia="仿宋" w:cs="仿宋"/>
                <w:color w:val="auto"/>
                <w:sz w:val="24"/>
                <w:highlight w:val="none"/>
              </w:rPr>
            </w:pPr>
            <w:r>
              <w:rPr>
                <w:rFonts w:hint="eastAsia" w:ascii="仿宋" w:hAnsi="仿宋" w:eastAsia="仿宋" w:cs="仿宋"/>
                <w:color w:val="auto"/>
                <w:sz w:val="24"/>
                <w:highlight w:val="none"/>
              </w:rPr>
              <w:t>100/101</w:t>
            </w:r>
          </w:p>
        </w:tc>
        <w:tc>
          <w:tcPr>
            <w:tcW w:w="2306" w:type="dxa"/>
            <w:vAlign w:val="center"/>
          </w:tcPr>
          <w:p>
            <w:pPr>
              <w:snapToGrid w:val="0"/>
              <w:spacing w:line="320" w:lineRule="exact"/>
              <w:ind w:left="-105" w:leftChars="-50" w:right="-105" w:rightChars="-50"/>
              <w:jc w:val="center"/>
              <w:rPr>
                <w:rFonts w:ascii="仿宋" w:hAnsi="仿宋" w:eastAsia="仿宋" w:cs="仿宋"/>
                <w:color w:val="auto"/>
                <w:sz w:val="24"/>
                <w:highlight w:val="none"/>
              </w:rPr>
            </w:pPr>
            <w:r>
              <w:rPr>
                <w:rFonts w:hint="eastAsia" w:ascii="仿宋" w:hAnsi="仿宋" w:eastAsia="仿宋" w:cs="仿宋"/>
                <w:color w:val="auto"/>
                <w:sz w:val="24"/>
                <w:highlight w:val="none"/>
              </w:rPr>
              <w:t>100/100</w:t>
            </w:r>
          </w:p>
        </w:tc>
        <w:tc>
          <w:tcPr>
            <w:tcW w:w="1821" w:type="dxa"/>
            <w:tcBorders>
              <w:right w:val="single" w:color="auto" w:sz="12" w:space="0"/>
            </w:tcBorders>
            <w:vAlign w:val="center"/>
          </w:tcPr>
          <w:p>
            <w:pPr>
              <w:snapToGrid w:val="0"/>
              <w:spacing w:line="320" w:lineRule="exact"/>
              <w:ind w:left="-105" w:leftChars="-50" w:right="-105" w:rightChars="-50"/>
              <w:jc w:val="center"/>
              <w:rPr>
                <w:rFonts w:ascii="仿宋" w:hAnsi="仿宋" w:eastAsia="仿宋" w:cs="仿宋"/>
                <w:color w:val="auto"/>
                <w:sz w:val="24"/>
                <w:highlight w:val="none"/>
              </w:rPr>
            </w:pPr>
            <w:r>
              <w:rPr>
                <w:rFonts w:hint="eastAsia" w:ascii="仿宋" w:hAnsi="仿宋" w:eastAsia="仿宋" w:cs="仿宋"/>
                <w:color w:val="auto"/>
                <w:sz w:val="24"/>
                <w:highlight w:val="none"/>
              </w:rPr>
              <w:t>100/99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2681" w:type="dxa"/>
            <w:tcBorders>
              <w:left w:val="single" w:color="auto" w:sz="12" w:space="0"/>
              <w:bottom w:val="single" w:color="auto" w:sz="12" w:space="0"/>
            </w:tcBorders>
            <w:vAlign w:val="center"/>
          </w:tcPr>
          <w:p>
            <w:pPr>
              <w:spacing w:line="3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委估物修正价格</w:t>
            </w:r>
          </w:p>
        </w:tc>
        <w:tc>
          <w:tcPr>
            <w:tcW w:w="2562" w:type="dxa"/>
            <w:tcBorders>
              <w:bottom w:val="single" w:color="auto" w:sz="12" w:space="0"/>
            </w:tcBorders>
            <w:vAlign w:val="center"/>
          </w:tcPr>
          <w:p>
            <w:pPr>
              <w:snapToGrid w:val="0"/>
              <w:spacing w:line="320" w:lineRule="exact"/>
              <w:ind w:left="-105" w:leftChars="-50" w:right="-105" w:rightChars="-5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3,150</w:t>
            </w:r>
            <w:r>
              <w:rPr>
                <w:rFonts w:hint="eastAsia" w:ascii="仿宋" w:hAnsi="仿宋" w:eastAsia="仿宋" w:cs="仿宋"/>
                <w:color w:val="auto"/>
                <w:sz w:val="24"/>
                <w:highlight w:val="none"/>
                <w:lang w:eastAsia="zh-CN"/>
              </w:rPr>
              <w:t>.00</w:t>
            </w:r>
          </w:p>
        </w:tc>
        <w:tc>
          <w:tcPr>
            <w:tcW w:w="2306" w:type="dxa"/>
            <w:tcBorders>
              <w:bottom w:val="single" w:color="auto" w:sz="12" w:space="0"/>
            </w:tcBorders>
            <w:vAlign w:val="center"/>
          </w:tcPr>
          <w:p>
            <w:pPr>
              <w:snapToGrid w:val="0"/>
              <w:spacing w:line="320" w:lineRule="exact"/>
              <w:ind w:left="-105" w:leftChars="-50" w:right="-105" w:rightChars="-5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2,771</w:t>
            </w:r>
            <w:r>
              <w:rPr>
                <w:rFonts w:hint="eastAsia" w:ascii="仿宋" w:hAnsi="仿宋" w:eastAsia="仿宋" w:cs="仿宋"/>
                <w:color w:val="auto"/>
                <w:sz w:val="24"/>
                <w:highlight w:val="none"/>
                <w:lang w:eastAsia="zh-CN"/>
              </w:rPr>
              <w:t>.00</w:t>
            </w:r>
          </w:p>
        </w:tc>
        <w:tc>
          <w:tcPr>
            <w:tcW w:w="1821" w:type="dxa"/>
            <w:tcBorders>
              <w:bottom w:val="single" w:color="auto" w:sz="12" w:space="0"/>
              <w:right w:val="single" w:color="auto" w:sz="12" w:space="0"/>
            </w:tcBorders>
            <w:vAlign w:val="center"/>
          </w:tcPr>
          <w:p>
            <w:pPr>
              <w:snapToGrid w:val="0"/>
              <w:spacing w:line="320" w:lineRule="exact"/>
              <w:ind w:left="-105" w:leftChars="-50" w:right="-105" w:rightChars="-5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2,211</w:t>
            </w:r>
            <w:r>
              <w:rPr>
                <w:rFonts w:hint="eastAsia" w:ascii="仿宋" w:hAnsi="仿宋" w:eastAsia="仿宋" w:cs="仿宋"/>
                <w:color w:val="auto"/>
                <w:sz w:val="24"/>
                <w:highlight w:val="none"/>
                <w:lang w:eastAsia="zh-CN"/>
              </w:rPr>
              <w:t>.00</w:t>
            </w:r>
          </w:p>
        </w:tc>
      </w:tr>
    </w:tbl>
    <w:p>
      <w:pPr>
        <w:snapToGrid w:val="0"/>
        <w:spacing w:line="3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（3）计算比准价格</w:t>
      </w:r>
    </w:p>
    <w:p>
      <w:pPr>
        <w:snapToGrid w:val="0"/>
        <w:spacing w:line="320" w:lineRule="exact"/>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对调整后的比准价格采用简单算术平均法进行综合平均，该估价对象住宅用房单位价格为:</w:t>
      </w:r>
    </w:p>
    <w:p>
      <w:pPr>
        <w:snapToGrid w:val="0"/>
        <w:spacing w:line="320" w:lineRule="exact"/>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3,150</w:t>
      </w:r>
      <w:r>
        <w:rPr>
          <w:rFonts w:hint="eastAsia" w:ascii="仿宋" w:hAnsi="仿宋" w:eastAsia="仿宋" w:cs="仿宋"/>
          <w:color w:val="auto"/>
          <w:sz w:val="28"/>
          <w:szCs w:val="28"/>
          <w:highlight w:val="none"/>
          <w:lang w:eastAsia="zh-CN"/>
        </w:rPr>
        <w:t>.00</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2,771</w:t>
      </w:r>
      <w:r>
        <w:rPr>
          <w:rFonts w:hint="eastAsia" w:ascii="仿宋" w:hAnsi="仿宋" w:eastAsia="仿宋" w:cs="仿宋"/>
          <w:color w:val="auto"/>
          <w:sz w:val="28"/>
          <w:szCs w:val="28"/>
          <w:highlight w:val="none"/>
          <w:lang w:eastAsia="zh-CN"/>
        </w:rPr>
        <w:t>.00</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2,211</w:t>
      </w:r>
      <w:r>
        <w:rPr>
          <w:rFonts w:hint="eastAsia" w:ascii="仿宋" w:hAnsi="仿宋" w:eastAsia="仿宋" w:cs="仿宋"/>
          <w:color w:val="auto"/>
          <w:sz w:val="28"/>
          <w:szCs w:val="28"/>
          <w:highlight w:val="none"/>
          <w:lang w:eastAsia="zh-CN"/>
        </w:rPr>
        <w:t>.00</w:t>
      </w: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132</w:t>
      </w:r>
      <w:r>
        <w:rPr>
          <w:rFonts w:hint="eastAsia" w:ascii="仿宋" w:hAnsi="仿宋" w:eastAsia="仿宋" w:cs="仿宋"/>
          <w:color w:val="auto"/>
          <w:sz w:val="28"/>
          <w:szCs w:val="28"/>
          <w:highlight w:val="none"/>
          <w:lang w:eastAsia="zh-CN"/>
        </w:rPr>
        <w:t>.00</w:t>
      </w:r>
      <w:r>
        <w:rPr>
          <w:rFonts w:hint="eastAsia" w:ascii="仿宋" w:hAnsi="仿宋" w:eastAsia="仿宋" w:cs="仿宋"/>
          <w:color w:val="auto"/>
          <w:sz w:val="28"/>
          <w:szCs w:val="28"/>
          <w:highlight w:val="none"/>
        </w:rPr>
        <w:t>元/m</w:t>
      </w:r>
      <w:r>
        <w:rPr>
          <w:rFonts w:hint="eastAsia" w:ascii="仿宋" w:hAnsi="仿宋" w:eastAsia="仿宋" w:cs="仿宋"/>
          <w:color w:val="auto"/>
          <w:sz w:val="28"/>
          <w:szCs w:val="28"/>
          <w:highlight w:val="none"/>
          <w:vertAlign w:val="superscript"/>
        </w:rPr>
        <w:t>2</w:t>
      </w:r>
    </w:p>
    <w:p>
      <w:pPr>
        <w:snapToGrid w:val="0"/>
        <w:spacing w:line="3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估价对象所有的房屋建筑面积为</w:t>
      </w:r>
      <w:r>
        <w:rPr>
          <w:rFonts w:hint="eastAsia" w:ascii="仿宋" w:hAnsi="仿宋" w:eastAsia="仿宋" w:cs="仿宋"/>
          <w:color w:val="auto"/>
          <w:sz w:val="28"/>
          <w:szCs w:val="28"/>
          <w:lang w:eastAsia="zh-CN"/>
        </w:rPr>
        <w:t>详见附表</w:t>
      </w:r>
      <w:r>
        <w:rPr>
          <w:rFonts w:hint="eastAsia" w:ascii="仿宋" w:hAnsi="仿宋" w:eastAsia="仿宋" w:cs="仿宋"/>
          <w:color w:val="auto"/>
          <w:sz w:val="28"/>
          <w:szCs w:val="28"/>
          <w:highlight w:val="none"/>
        </w:rPr>
        <w:t>的房地产市场评估价值为：</w:t>
      </w:r>
    </w:p>
    <w:p>
      <w:pPr>
        <w:snapToGrid w:val="0"/>
        <w:spacing w:line="3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V单位价值=</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71</w:t>
      </w:r>
      <w:r>
        <w:rPr>
          <w:rFonts w:hint="eastAsia" w:ascii="仿宋" w:hAnsi="仿宋" w:eastAsia="仿宋" w:cs="仿宋"/>
          <w:color w:val="auto"/>
          <w:sz w:val="28"/>
          <w:szCs w:val="28"/>
          <w:highlight w:val="none"/>
          <w:lang w:eastAsia="zh-CN"/>
        </w:rPr>
        <w:t>0.00</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lang w:eastAsia="zh-CN"/>
        </w:rPr>
        <w:t>。详见附表。</w:t>
      </w:r>
    </w:p>
    <w:p>
      <w:pPr>
        <w:pStyle w:val="7"/>
        <w:spacing w:line="440" w:lineRule="exact"/>
        <w:rPr>
          <w:rFonts w:ascii="仿宋" w:hAnsi="仿宋" w:eastAsia="仿宋" w:cs="仿宋"/>
          <w:b/>
          <w:color w:val="auto"/>
          <w:szCs w:val="28"/>
        </w:rPr>
      </w:pPr>
      <w:r>
        <w:rPr>
          <w:rStyle w:val="69"/>
          <w:rFonts w:hint="eastAsia" w:ascii="仿宋" w:hAnsi="仿宋" w:eastAsia="仿宋" w:cs="仿宋"/>
          <w:color w:val="auto"/>
          <w:sz w:val="28"/>
          <w:szCs w:val="28"/>
        </w:rPr>
        <w:t>十、估价结果</w:t>
      </w:r>
      <w:bookmarkEnd w:id="42"/>
      <w:r>
        <w:rPr>
          <w:rFonts w:hint="eastAsia" w:ascii="仿宋" w:hAnsi="仿宋" w:eastAsia="仿宋" w:cs="仿宋"/>
          <w:b/>
          <w:color w:val="auto"/>
          <w:szCs w:val="28"/>
        </w:rPr>
        <w:t>：</w:t>
      </w:r>
    </w:p>
    <w:p>
      <w:pPr>
        <w:ind w:firstLine="420"/>
        <w:rPr>
          <w:rFonts w:hint="eastAsia" w:ascii="仿宋" w:hAnsi="仿宋" w:eastAsia="仿宋" w:cs="仿宋"/>
          <w:color w:val="auto"/>
          <w:sz w:val="28"/>
          <w:szCs w:val="28"/>
        </w:rPr>
      </w:pPr>
      <w:r>
        <w:rPr>
          <w:rFonts w:hint="eastAsia" w:ascii="仿宋" w:hAnsi="仿宋" w:eastAsia="仿宋" w:cs="仿宋"/>
          <w:bCs/>
          <w:color w:val="auto"/>
          <w:sz w:val="28"/>
          <w:szCs w:val="28"/>
          <w:lang w:val="zh-CN"/>
        </w:rPr>
        <w:t>经评估，估价对象</w:t>
      </w:r>
      <w:r>
        <w:rPr>
          <w:rFonts w:hint="eastAsia" w:ascii="仿宋" w:hAnsi="仿宋" w:eastAsia="仿宋" w:cs="宋体"/>
          <w:color w:val="auto"/>
          <w:sz w:val="28"/>
          <w:szCs w:val="28"/>
          <w:lang w:eastAsia="zh-CN"/>
        </w:rPr>
        <w:t>海林市和兴瀚城</w:t>
      </w:r>
      <w:r>
        <w:rPr>
          <w:rFonts w:hint="eastAsia" w:ascii="仿宋" w:hAnsi="仿宋" w:eastAsia="仿宋" w:cs="宋体"/>
          <w:b w:val="0"/>
          <w:bCs/>
          <w:color w:val="auto"/>
          <w:sz w:val="30"/>
          <w:szCs w:val="30"/>
          <w:lang w:val="en-US" w:eastAsia="zh-CN"/>
        </w:rPr>
        <w:t>5#楼斗银东区7委1单元14层04室、05室、06室、07室、08室、09室、10室、11室、12室、13室、13A室、15室</w:t>
      </w:r>
      <w:r>
        <w:rPr>
          <w:rFonts w:hint="eastAsia" w:ascii="仿宋" w:hAnsi="仿宋" w:eastAsia="仿宋" w:cs="仿宋"/>
          <w:bCs/>
          <w:color w:val="auto"/>
          <w:sz w:val="28"/>
          <w:szCs w:val="28"/>
          <w:lang w:val="zh-CN"/>
        </w:rPr>
        <w:t>，</w:t>
      </w:r>
      <w:r>
        <w:rPr>
          <w:rFonts w:hint="eastAsia" w:ascii="仿宋" w:hAnsi="仿宋" w:eastAsia="仿宋" w:cs="仿宋"/>
          <w:bCs/>
          <w:color w:val="auto"/>
          <w:sz w:val="28"/>
          <w:szCs w:val="28"/>
          <w:lang w:val="en-US" w:eastAsia="zh-CN"/>
        </w:rPr>
        <w:t>12</w:t>
      </w:r>
      <w:r>
        <w:rPr>
          <w:rFonts w:hint="eastAsia" w:ascii="仿宋" w:hAnsi="仿宋" w:eastAsia="仿宋" w:cs="仿宋"/>
          <w:bCs/>
          <w:color w:val="auto"/>
          <w:sz w:val="28"/>
          <w:szCs w:val="28"/>
        </w:rPr>
        <w:t>户住宅房屋</w:t>
      </w:r>
      <w:r>
        <w:rPr>
          <w:rFonts w:hint="eastAsia" w:ascii="仿宋" w:hAnsi="仿宋" w:eastAsia="仿宋" w:cs="仿宋"/>
          <w:color w:val="auto"/>
          <w:sz w:val="28"/>
          <w:szCs w:val="28"/>
        </w:rPr>
        <w:t>。</w:t>
      </w:r>
      <w:r>
        <w:rPr>
          <w:rFonts w:hint="eastAsia" w:ascii="仿宋" w:hAnsi="仿宋" w:eastAsia="仿宋" w:cs="仿宋"/>
          <w:bCs/>
          <w:color w:val="auto"/>
          <w:sz w:val="28"/>
          <w:szCs w:val="28"/>
          <w:lang w:val="zh-CN"/>
        </w:rPr>
        <w:t>所有权人为郭欣，在价值时点的评估总值为人民币：</w:t>
      </w:r>
      <w:r>
        <w:rPr>
          <w:rFonts w:hint="eastAsia" w:ascii="仿宋" w:hAnsi="仿宋" w:eastAsia="仿宋" w:cs="仿宋"/>
          <w:color w:val="auto"/>
          <w:sz w:val="28"/>
          <w:szCs w:val="28"/>
          <w:lang w:val="zh-CN"/>
        </w:rPr>
        <w:t>1,223,732.00</w:t>
      </w:r>
      <w:r>
        <w:rPr>
          <w:rFonts w:hint="eastAsia" w:ascii="仿宋" w:hAnsi="仿宋" w:eastAsia="仿宋" w:cs="仿宋"/>
          <w:color w:val="auto"/>
          <w:sz w:val="28"/>
          <w:szCs w:val="28"/>
        </w:rPr>
        <w:t>元 人民币（大写）：</w:t>
      </w:r>
      <w:r>
        <w:rPr>
          <w:rFonts w:hint="eastAsia" w:ascii="仿宋" w:hAnsi="仿宋" w:eastAsia="仿宋" w:cs="仿宋"/>
          <w:color w:val="auto"/>
          <w:sz w:val="28"/>
          <w:szCs w:val="28"/>
          <w:lang w:eastAsia="zh-CN"/>
        </w:rPr>
        <w:t>壹佰贰拾贰万叁仟柒佰叁拾贰</w:t>
      </w:r>
      <w:r>
        <w:rPr>
          <w:rFonts w:hint="eastAsia" w:ascii="仿宋" w:hAnsi="仿宋" w:eastAsia="仿宋" w:cs="仿宋"/>
          <w:color w:val="auto"/>
          <w:sz w:val="28"/>
          <w:szCs w:val="28"/>
        </w:rPr>
        <w:t>元整，折合建筑面积平均单位价格或价值为：</w:t>
      </w:r>
      <w:r>
        <w:rPr>
          <w:rFonts w:hint="eastAsia" w:ascii="仿宋" w:hAnsi="仿宋" w:eastAsia="仿宋" w:cs="仿宋"/>
          <w:color w:val="auto"/>
          <w:sz w:val="28"/>
          <w:szCs w:val="28"/>
          <w:lang w:eastAsia="zh-CN"/>
        </w:rPr>
        <w:t>2,710.00</w:t>
      </w:r>
      <w:r>
        <w:rPr>
          <w:rFonts w:hint="eastAsia" w:ascii="仿宋" w:hAnsi="仿宋" w:eastAsia="仿宋" w:cs="仿宋"/>
          <w:color w:val="auto"/>
          <w:sz w:val="28"/>
          <w:szCs w:val="28"/>
        </w:rPr>
        <w:t>元/㎡。</w:t>
      </w:r>
      <w:r>
        <w:rPr>
          <w:rFonts w:hint="eastAsia" w:ascii="仿宋" w:hAnsi="仿宋" w:eastAsia="仿宋" w:cs="仿宋"/>
          <w:color w:val="auto"/>
          <w:sz w:val="28"/>
          <w:szCs w:val="28"/>
          <w:lang w:eastAsia="zh-CN"/>
        </w:rPr>
        <w:t>详见附表。</w:t>
      </w:r>
    </w:p>
    <w:tbl>
      <w:tblPr>
        <w:tblStyle w:val="22"/>
        <w:tblW w:w="9288" w:type="dxa"/>
        <w:tblInd w:w="93" w:type="dxa"/>
        <w:tblLayout w:type="fixed"/>
        <w:tblCellMar>
          <w:top w:w="0" w:type="dxa"/>
          <w:left w:w="108" w:type="dxa"/>
          <w:bottom w:w="0" w:type="dxa"/>
          <w:right w:w="108" w:type="dxa"/>
        </w:tblCellMar>
      </w:tblPr>
      <w:tblGrid>
        <w:gridCol w:w="499"/>
        <w:gridCol w:w="1248"/>
        <w:gridCol w:w="2837"/>
        <w:gridCol w:w="776"/>
        <w:gridCol w:w="955"/>
        <w:gridCol w:w="1309"/>
        <w:gridCol w:w="1664"/>
      </w:tblGrid>
      <w:tr>
        <w:tblPrEx>
          <w:tblCellMar>
            <w:top w:w="0" w:type="dxa"/>
            <w:left w:w="108" w:type="dxa"/>
            <w:bottom w:w="0" w:type="dxa"/>
            <w:right w:w="108" w:type="dxa"/>
          </w:tblCellMar>
        </w:tblPrEx>
        <w:trPr>
          <w:trHeight w:val="815" w:hRule="atLeast"/>
        </w:trPr>
        <w:tc>
          <w:tcPr>
            <w:tcW w:w="49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序号</w:t>
            </w:r>
          </w:p>
        </w:tc>
        <w:tc>
          <w:tcPr>
            <w:tcW w:w="124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权利人</w:t>
            </w:r>
          </w:p>
        </w:tc>
        <w:tc>
          <w:tcPr>
            <w:tcW w:w="283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坐落</w:t>
            </w:r>
          </w:p>
        </w:tc>
        <w:tc>
          <w:tcPr>
            <w:tcW w:w="77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用途</w:t>
            </w:r>
          </w:p>
        </w:tc>
        <w:tc>
          <w:tcPr>
            <w:tcW w:w="95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建筑面积（㎡）</w:t>
            </w:r>
          </w:p>
        </w:tc>
        <w:tc>
          <w:tcPr>
            <w:tcW w:w="130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单价（元/㎡）</w:t>
            </w:r>
          </w:p>
        </w:tc>
        <w:tc>
          <w:tcPr>
            <w:tcW w:w="166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总价（元）</w:t>
            </w:r>
          </w:p>
        </w:tc>
      </w:tr>
      <w:tr>
        <w:tblPrEx>
          <w:tblCellMar>
            <w:top w:w="0" w:type="dxa"/>
            <w:left w:w="108" w:type="dxa"/>
            <w:bottom w:w="0" w:type="dxa"/>
            <w:right w:w="108" w:type="dxa"/>
          </w:tblCellMar>
        </w:tblPrEx>
        <w:trPr>
          <w:trHeight w:val="757"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textAlignment w:val="center"/>
              <w:rPr>
                <w:rFonts w:hint="eastAsia" w:ascii="宋体" w:hAnsi="宋体" w:eastAsia="宋体" w:cs="宋体"/>
                <w:color w:val="auto"/>
                <w:sz w:val="18"/>
                <w:szCs w:val="18"/>
                <w:lang w:eastAsia="zh-CN"/>
              </w:rPr>
            </w:pPr>
            <w:r>
              <w:rPr>
                <w:rFonts w:hint="eastAsia" w:ascii="仿宋" w:hAnsi="仿宋" w:eastAsia="仿宋" w:cs="仿宋"/>
                <w:color w:val="auto"/>
                <w:szCs w:val="21"/>
                <w:lang w:eastAsia="zh-CN"/>
              </w:rPr>
              <w:t>郭欣</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仿宋" w:hAnsi="仿宋" w:eastAsia="仿宋" w:cs="仿宋"/>
                <w:color w:val="auto"/>
                <w:szCs w:val="21"/>
                <w:lang w:eastAsia="zh-CN"/>
              </w:rPr>
              <w:t>海林市和兴瀚城</w:t>
            </w:r>
            <w:r>
              <w:rPr>
                <w:rFonts w:hint="eastAsia" w:ascii="仿宋" w:hAnsi="仿宋" w:eastAsia="仿宋" w:cs="仿宋"/>
                <w:color w:val="auto"/>
                <w:szCs w:val="21"/>
                <w:lang w:val="en-US" w:eastAsia="zh-CN"/>
              </w:rPr>
              <w:t>5#楼斗银东区7委1单元14层04室</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住宅</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37.85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lang w:eastAsia="zh-CN"/>
              </w:rPr>
              <w:t>2,710.00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102,574.00</w:t>
            </w:r>
          </w:p>
        </w:tc>
      </w:tr>
      <w:tr>
        <w:tblPrEx>
          <w:tblCellMar>
            <w:top w:w="0" w:type="dxa"/>
            <w:left w:w="108" w:type="dxa"/>
            <w:bottom w:w="0" w:type="dxa"/>
            <w:right w:w="108" w:type="dxa"/>
          </w:tblCellMar>
        </w:tblPrEx>
        <w:trPr>
          <w:trHeight w:val="757"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郭欣</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海林市和兴瀚城</w:t>
            </w:r>
            <w:r>
              <w:rPr>
                <w:rFonts w:hint="eastAsia" w:ascii="仿宋" w:hAnsi="仿宋" w:eastAsia="仿宋" w:cs="仿宋"/>
                <w:color w:val="auto"/>
                <w:szCs w:val="21"/>
                <w:lang w:val="en-US" w:eastAsia="zh-CN"/>
              </w:rPr>
              <w:t>5#楼斗银东区7委1单元14层05室</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rPr>
              <w:t>住宅</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37.85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lang w:eastAsia="zh-CN"/>
              </w:rPr>
              <w:t>2,710.00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 xml:space="preserve">102,574.00 </w:t>
            </w:r>
          </w:p>
        </w:tc>
      </w:tr>
      <w:tr>
        <w:tblPrEx>
          <w:tblCellMar>
            <w:top w:w="0" w:type="dxa"/>
            <w:left w:w="108" w:type="dxa"/>
            <w:bottom w:w="0" w:type="dxa"/>
            <w:right w:w="108" w:type="dxa"/>
          </w:tblCellMar>
        </w:tblPrEx>
        <w:trPr>
          <w:trHeight w:val="757"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郭欣</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海林市和兴瀚城</w:t>
            </w:r>
            <w:r>
              <w:rPr>
                <w:rFonts w:hint="eastAsia" w:ascii="仿宋" w:hAnsi="仿宋" w:eastAsia="仿宋" w:cs="仿宋"/>
                <w:color w:val="auto"/>
                <w:szCs w:val="21"/>
                <w:lang w:val="en-US" w:eastAsia="zh-CN"/>
              </w:rPr>
              <w:t>5#楼斗银东区7委1单元14层06室</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rPr>
              <w:t>住宅</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37.85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lang w:eastAsia="zh-CN"/>
              </w:rPr>
              <w:t>2,710.00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102,574.00</w:t>
            </w:r>
          </w:p>
        </w:tc>
      </w:tr>
      <w:tr>
        <w:tblPrEx>
          <w:tblCellMar>
            <w:top w:w="0" w:type="dxa"/>
            <w:left w:w="108" w:type="dxa"/>
            <w:bottom w:w="0" w:type="dxa"/>
            <w:right w:w="108" w:type="dxa"/>
          </w:tblCellMar>
        </w:tblPrEx>
        <w:trPr>
          <w:trHeight w:val="757"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郭欣</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海林市和兴瀚城</w:t>
            </w:r>
            <w:r>
              <w:rPr>
                <w:rFonts w:hint="eastAsia" w:ascii="仿宋" w:hAnsi="仿宋" w:eastAsia="仿宋" w:cs="仿宋"/>
                <w:color w:val="auto"/>
                <w:szCs w:val="21"/>
                <w:lang w:val="en-US" w:eastAsia="zh-CN"/>
              </w:rPr>
              <w:t>5#楼斗银东区7委1单元14层07室</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rPr>
              <w:t>住宅</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37.85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lang w:eastAsia="zh-CN"/>
              </w:rPr>
              <w:t>2,710.00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 xml:space="preserve">102,574.00 </w:t>
            </w:r>
          </w:p>
        </w:tc>
      </w:tr>
      <w:tr>
        <w:tblPrEx>
          <w:tblCellMar>
            <w:top w:w="0" w:type="dxa"/>
            <w:left w:w="108" w:type="dxa"/>
            <w:bottom w:w="0" w:type="dxa"/>
            <w:right w:w="108" w:type="dxa"/>
          </w:tblCellMar>
        </w:tblPrEx>
        <w:trPr>
          <w:trHeight w:val="757"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郭欣</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海林市和兴瀚城</w:t>
            </w:r>
            <w:r>
              <w:rPr>
                <w:rFonts w:hint="eastAsia" w:ascii="仿宋" w:hAnsi="仿宋" w:eastAsia="仿宋" w:cs="仿宋"/>
                <w:color w:val="auto"/>
                <w:szCs w:val="21"/>
                <w:lang w:val="en-US" w:eastAsia="zh-CN"/>
              </w:rPr>
              <w:t>5#楼斗银东区7委1单元14层08室</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rPr>
              <w:t>住宅</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37.85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lang w:eastAsia="zh-CN"/>
              </w:rPr>
              <w:t>2,710.00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102,574.00</w:t>
            </w:r>
          </w:p>
        </w:tc>
      </w:tr>
      <w:tr>
        <w:tblPrEx>
          <w:tblCellMar>
            <w:top w:w="0" w:type="dxa"/>
            <w:left w:w="108" w:type="dxa"/>
            <w:bottom w:w="0" w:type="dxa"/>
            <w:right w:w="108" w:type="dxa"/>
          </w:tblCellMar>
        </w:tblPrEx>
        <w:trPr>
          <w:trHeight w:val="757"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6</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郭欣</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海林市和兴瀚城</w:t>
            </w:r>
            <w:r>
              <w:rPr>
                <w:rFonts w:hint="eastAsia" w:ascii="仿宋" w:hAnsi="仿宋" w:eastAsia="仿宋" w:cs="仿宋"/>
                <w:color w:val="auto"/>
                <w:szCs w:val="21"/>
                <w:lang w:val="en-US" w:eastAsia="zh-CN"/>
              </w:rPr>
              <w:t>5#楼斗银东区7委1单元14层09室</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rPr>
              <w:t>住宅</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34.19</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auto"/>
                <w:kern w:val="0"/>
                <w:sz w:val="18"/>
                <w:szCs w:val="18"/>
                <w:lang w:eastAsia="zh-CN"/>
              </w:rPr>
            </w:pPr>
            <w:r>
              <w:rPr>
                <w:rFonts w:hint="eastAsia" w:ascii="宋体" w:hAnsi="宋体" w:cs="宋体"/>
                <w:color w:val="auto"/>
                <w:kern w:val="0"/>
                <w:sz w:val="18"/>
                <w:szCs w:val="18"/>
                <w:lang w:eastAsia="zh-CN"/>
              </w:rPr>
              <w:t>2,710.00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 xml:space="preserve">92,655.00 </w:t>
            </w:r>
          </w:p>
        </w:tc>
      </w:tr>
      <w:tr>
        <w:tblPrEx>
          <w:tblCellMar>
            <w:top w:w="0" w:type="dxa"/>
            <w:left w:w="108" w:type="dxa"/>
            <w:bottom w:w="0" w:type="dxa"/>
            <w:right w:w="108" w:type="dxa"/>
          </w:tblCellMar>
        </w:tblPrEx>
        <w:trPr>
          <w:trHeight w:val="757"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郭欣</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海林市和兴瀚城</w:t>
            </w:r>
            <w:r>
              <w:rPr>
                <w:rFonts w:hint="eastAsia" w:ascii="仿宋" w:hAnsi="仿宋" w:eastAsia="仿宋" w:cs="仿宋"/>
                <w:color w:val="auto"/>
                <w:szCs w:val="21"/>
                <w:lang w:val="en-US" w:eastAsia="zh-CN"/>
              </w:rPr>
              <w:t>5#楼斗银东区7委1单元14层10室</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rPr>
              <w:t>住宅</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37.90</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auto"/>
                <w:kern w:val="0"/>
                <w:sz w:val="18"/>
                <w:szCs w:val="18"/>
                <w:lang w:eastAsia="zh-CN"/>
              </w:rPr>
            </w:pPr>
            <w:r>
              <w:rPr>
                <w:rFonts w:hint="eastAsia" w:ascii="宋体" w:hAnsi="宋体" w:cs="宋体"/>
                <w:color w:val="auto"/>
                <w:kern w:val="0"/>
                <w:sz w:val="18"/>
                <w:szCs w:val="18"/>
                <w:lang w:eastAsia="zh-CN"/>
              </w:rPr>
              <w:t>2,710.00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 xml:space="preserve">102,709.00 </w:t>
            </w:r>
          </w:p>
        </w:tc>
      </w:tr>
      <w:tr>
        <w:tblPrEx>
          <w:tblCellMar>
            <w:top w:w="0" w:type="dxa"/>
            <w:left w:w="108" w:type="dxa"/>
            <w:bottom w:w="0" w:type="dxa"/>
            <w:right w:w="108" w:type="dxa"/>
          </w:tblCellMar>
        </w:tblPrEx>
        <w:trPr>
          <w:trHeight w:val="757"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郭欣</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海林市和兴瀚城</w:t>
            </w:r>
            <w:r>
              <w:rPr>
                <w:rFonts w:hint="eastAsia" w:ascii="仿宋" w:hAnsi="仿宋" w:eastAsia="仿宋" w:cs="仿宋"/>
                <w:color w:val="auto"/>
                <w:szCs w:val="21"/>
                <w:lang w:val="en-US" w:eastAsia="zh-CN"/>
              </w:rPr>
              <w:t>5#楼斗银东区7委1单元14层11室</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rPr>
              <w:t>住宅</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37.85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lang w:eastAsia="zh-CN"/>
              </w:rPr>
              <w:t>2,710.00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lang w:val="en-US" w:eastAsia="zh-CN"/>
              </w:rPr>
              <w:t>102</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574.00</w:t>
            </w:r>
            <w:r>
              <w:rPr>
                <w:rFonts w:hint="eastAsia" w:ascii="宋体" w:hAnsi="宋体" w:cs="宋体"/>
                <w:color w:val="auto"/>
                <w:kern w:val="0"/>
                <w:sz w:val="18"/>
                <w:szCs w:val="18"/>
                <w:lang w:eastAsia="zh-CN"/>
              </w:rPr>
              <w:t xml:space="preserve"> </w:t>
            </w:r>
          </w:p>
        </w:tc>
      </w:tr>
      <w:tr>
        <w:tblPrEx>
          <w:tblCellMar>
            <w:top w:w="0" w:type="dxa"/>
            <w:left w:w="108" w:type="dxa"/>
            <w:bottom w:w="0" w:type="dxa"/>
            <w:right w:w="108" w:type="dxa"/>
          </w:tblCellMar>
        </w:tblPrEx>
        <w:trPr>
          <w:trHeight w:val="757"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郭欣</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海林市和兴瀚城</w:t>
            </w:r>
            <w:r>
              <w:rPr>
                <w:rFonts w:hint="eastAsia" w:ascii="仿宋" w:hAnsi="仿宋" w:eastAsia="仿宋" w:cs="仿宋"/>
                <w:color w:val="auto"/>
                <w:szCs w:val="21"/>
                <w:lang w:val="en-US" w:eastAsia="zh-CN"/>
              </w:rPr>
              <w:t>5#楼斗银东区7委1单元14层12室</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rPr>
              <w:t>住宅</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37.27</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lang w:eastAsia="zh-CN"/>
              </w:rPr>
              <w:t>2,710.00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101</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002.00</w:t>
            </w:r>
          </w:p>
        </w:tc>
      </w:tr>
      <w:tr>
        <w:tblPrEx>
          <w:tblCellMar>
            <w:top w:w="0" w:type="dxa"/>
            <w:left w:w="108" w:type="dxa"/>
            <w:bottom w:w="0" w:type="dxa"/>
            <w:right w:w="108" w:type="dxa"/>
          </w:tblCellMar>
        </w:tblPrEx>
        <w:trPr>
          <w:trHeight w:val="757"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郭欣</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海林市和兴瀚城</w:t>
            </w:r>
            <w:r>
              <w:rPr>
                <w:rFonts w:hint="eastAsia" w:ascii="仿宋" w:hAnsi="仿宋" w:eastAsia="仿宋" w:cs="仿宋"/>
                <w:color w:val="auto"/>
                <w:szCs w:val="21"/>
                <w:lang w:val="en-US" w:eastAsia="zh-CN"/>
              </w:rPr>
              <w:t>5#楼斗银东区7委1单元14层13室</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rPr>
              <w:t>住宅</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37.27</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lang w:eastAsia="zh-CN"/>
              </w:rPr>
              <w:t>2,710.00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101</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002.00</w:t>
            </w:r>
          </w:p>
        </w:tc>
      </w:tr>
      <w:tr>
        <w:tblPrEx>
          <w:tblCellMar>
            <w:top w:w="0" w:type="dxa"/>
            <w:left w:w="108" w:type="dxa"/>
            <w:bottom w:w="0" w:type="dxa"/>
            <w:right w:w="108" w:type="dxa"/>
          </w:tblCellMar>
        </w:tblPrEx>
        <w:trPr>
          <w:trHeight w:val="757"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11</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郭欣</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海林市和兴瀚城</w:t>
            </w:r>
            <w:r>
              <w:rPr>
                <w:rFonts w:hint="eastAsia" w:ascii="仿宋" w:hAnsi="仿宋" w:eastAsia="仿宋" w:cs="仿宋"/>
                <w:color w:val="auto"/>
                <w:szCs w:val="21"/>
                <w:lang w:val="en-US" w:eastAsia="zh-CN"/>
              </w:rPr>
              <w:t>5#楼斗银东区7委1单元14层13A室</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rPr>
              <w:t>住宅</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37.85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lang w:eastAsia="zh-CN"/>
              </w:rPr>
              <w:t>2,710.00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0"/>
                <w:sz w:val="18"/>
                <w:szCs w:val="18"/>
                <w:lang w:val="en-US" w:eastAsia="zh-CN"/>
              </w:rPr>
              <w:t>102</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274.00</w:t>
            </w:r>
          </w:p>
        </w:tc>
      </w:tr>
      <w:tr>
        <w:tblPrEx>
          <w:tblCellMar>
            <w:top w:w="0" w:type="dxa"/>
            <w:left w:w="108" w:type="dxa"/>
            <w:bottom w:w="0" w:type="dxa"/>
            <w:right w:w="108" w:type="dxa"/>
          </w:tblCellMar>
        </w:tblPrEx>
        <w:trPr>
          <w:trHeight w:val="757"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12</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郭欣</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仿宋" w:hAnsi="仿宋" w:eastAsia="仿宋" w:cs="仿宋"/>
                <w:color w:val="auto"/>
                <w:szCs w:val="21"/>
                <w:lang w:eastAsia="zh-CN"/>
              </w:rPr>
              <w:t>海林市和兴瀚城</w:t>
            </w:r>
            <w:r>
              <w:rPr>
                <w:rFonts w:hint="eastAsia" w:ascii="仿宋" w:hAnsi="仿宋" w:eastAsia="仿宋" w:cs="仿宋"/>
                <w:color w:val="auto"/>
                <w:szCs w:val="21"/>
                <w:lang w:val="en-US" w:eastAsia="zh-CN"/>
              </w:rPr>
              <w:t>5#楼斗银东区7委1单元14层15室</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rPr>
              <w:t>住宅</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39.98</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eastAsia="zh-CN"/>
              </w:rPr>
              <w:t>2,710.00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108</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346.00</w:t>
            </w:r>
          </w:p>
        </w:tc>
      </w:tr>
      <w:tr>
        <w:tblPrEx>
          <w:tblCellMar>
            <w:top w:w="0" w:type="dxa"/>
            <w:left w:w="108" w:type="dxa"/>
            <w:bottom w:w="0" w:type="dxa"/>
            <w:right w:w="108" w:type="dxa"/>
          </w:tblCellMar>
        </w:tblPrEx>
        <w:trPr>
          <w:trHeight w:val="757"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auto"/>
                <w:kern w:val="0"/>
                <w:sz w:val="18"/>
                <w:szCs w:val="18"/>
                <w:lang w:val="en-US" w:eastAsia="zh-CN"/>
              </w:rPr>
            </w:pP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textAlignment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合计：</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szCs w:val="21"/>
                <w:lang w:eastAsia="zh-CN"/>
              </w:rPr>
            </w:pP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auto"/>
                <w:kern w:val="0"/>
                <w:sz w:val="18"/>
                <w:szCs w:val="18"/>
              </w:rPr>
            </w:pP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auto"/>
                <w:sz w:val="18"/>
                <w:szCs w:val="18"/>
                <w:lang w:val="en-US" w:eastAsia="zh-CN"/>
              </w:rPr>
            </w:pP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auto"/>
                <w:kern w:val="0"/>
                <w:sz w:val="18"/>
                <w:szCs w:val="18"/>
                <w:lang w:eastAsia="zh-CN"/>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color w:val="auto"/>
                <w:kern w:val="0"/>
                <w:sz w:val="18"/>
                <w:szCs w:val="18"/>
                <w:lang w:val="en-US" w:eastAsia="zh-CN"/>
              </w:rPr>
              <w:t>1,223,732.00</w:t>
            </w:r>
          </w:p>
        </w:tc>
      </w:tr>
    </w:tbl>
    <w:p>
      <w:pPr>
        <w:ind w:firstLine="420"/>
        <w:rPr>
          <w:rFonts w:ascii="仿宋" w:hAnsi="仿宋" w:eastAsia="仿宋" w:cs="仿宋"/>
          <w:color w:val="auto"/>
          <w:kern w:val="0"/>
          <w:sz w:val="28"/>
          <w:szCs w:val="28"/>
        </w:rPr>
      </w:pPr>
    </w:p>
    <w:bookmarkEnd w:id="43"/>
    <w:p>
      <w:pPr>
        <w:numPr>
          <w:ilvl w:val="0"/>
          <w:numId w:val="2"/>
        </w:numPr>
        <w:adjustRightInd w:val="0"/>
        <w:snapToGrid w:val="0"/>
        <w:spacing w:beforeLines="30" w:afterLines="30" w:line="440" w:lineRule="exact"/>
        <w:ind w:firstLine="562" w:firstLineChars="200"/>
        <w:rPr>
          <w:rFonts w:ascii="仿宋" w:hAnsi="仿宋" w:eastAsia="仿宋" w:cs="仿宋"/>
          <w:b/>
          <w:color w:val="auto"/>
          <w:sz w:val="28"/>
          <w:szCs w:val="28"/>
        </w:rPr>
      </w:pPr>
      <w:bookmarkStart w:id="44" w:name="_Toc23790"/>
      <w:bookmarkStart w:id="45" w:name="_Toc14588"/>
      <w:r>
        <w:rPr>
          <w:rStyle w:val="69"/>
          <w:rFonts w:hint="eastAsia" w:ascii="仿宋" w:hAnsi="仿宋" w:eastAsia="仿宋" w:cs="仿宋"/>
          <w:color w:val="auto"/>
          <w:sz w:val="28"/>
          <w:szCs w:val="28"/>
        </w:rPr>
        <w:t>注册房地产估价师</w:t>
      </w:r>
      <w:bookmarkEnd w:id="44"/>
      <w:r>
        <w:rPr>
          <w:rFonts w:hint="eastAsia" w:ascii="仿宋" w:hAnsi="仿宋" w:eastAsia="仿宋" w:cs="仿宋"/>
          <w:b/>
          <w:color w:val="auto"/>
          <w:sz w:val="28"/>
          <w:szCs w:val="28"/>
        </w:rPr>
        <w:t>：</w:t>
      </w:r>
    </w:p>
    <w:tbl>
      <w:tblPr>
        <w:tblStyle w:val="22"/>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40" w:lineRule="exact"/>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440" w:lineRule="exact"/>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440" w:lineRule="exact"/>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440" w:lineRule="exact"/>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40" w:lineRule="exact"/>
              <w:jc w:val="center"/>
              <w:textAlignment w:val="center"/>
              <w:rPr>
                <w:rFonts w:hint="eastAsia" w:ascii="仿宋" w:hAnsi="仿宋" w:eastAsia="仿宋" w:cs="仿宋"/>
                <w:color w:val="auto"/>
                <w:kern w:val="0"/>
                <w:sz w:val="24"/>
                <w:lang w:eastAsia="zh-CN"/>
              </w:rPr>
            </w:pPr>
            <w:r>
              <w:rPr>
                <w:rFonts w:hint="eastAsia" w:ascii="仿宋" w:hAnsi="仿宋" w:eastAsia="仿宋" w:cs="仿宋"/>
                <w:color w:val="auto"/>
                <w:sz w:val="28"/>
                <w:szCs w:val="28"/>
                <w:lang w:eastAsia="zh-CN"/>
              </w:rPr>
              <w:t>王诗光</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440" w:lineRule="exact"/>
              <w:jc w:val="center"/>
              <w:textAlignment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2320210026</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440" w:lineRule="exact"/>
              <w:jc w:val="center"/>
              <w:textAlignment w:val="center"/>
              <w:rPr>
                <w:rFonts w:ascii="仿宋" w:hAnsi="仿宋" w:eastAsia="仿宋" w:cs="仿宋"/>
                <w:color w:val="auto"/>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440" w:lineRule="exact"/>
              <w:jc w:val="center"/>
              <w:textAlignment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2022年08月24日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40" w:lineRule="exact"/>
              <w:jc w:val="center"/>
              <w:textAlignment w:val="center"/>
              <w:rPr>
                <w:rFonts w:ascii="仿宋" w:hAnsi="仿宋" w:eastAsia="仿宋" w:cs="仿宋"/>
                <w:color w:val="auto"/>
                <w:kern w:val="0"/>
                <w:sz w:val="24"/>
              </w:rPr>
            </w:pPr>
            <w:r>
              <w:rPr>
                <w:rFonts w:hint="eastAsia" w:ascii="仿宋" w:hAnsi="仿宋" w:eastAsia="仿宋" w:cs="仿宋"/>
                <w:color w:val="auto"/>
                <w:sz w:val="28"/>
                <w:szCs w:val="28"/>
                <w:lang w:val="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440" w:lineRule="exact"/>
              <w:jc w:val="center"/>
              <w:textAlignment w:val="center"/>
              <w:rPr>
                <w:rFonts w:ascii="仿宋" w:hAnsi="仿宋" w:eastAsia="仿宋" w:cs="仿宋"/>
                <w:color w:val="auto"/>
                <w:kern w:val="0"/>
                <w:sz w:val="24"/>
              </w:rPr>
            </w:pPr>
            <w:r>
              <w:rPr>
                <w:rFonts w:hint="eastAsia" w:ascii="仿宋" w:hAnsi="仿宋" w:eastAsia="仿宋" w:cs="仿宋"/>
                <w:color w:val="auto"/>
                <w:kern w:val="0"/>
                <w:sz w:val="24"/>
                <w:lang w:val="zh-CN"/>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440" w:lineRule="exact"/>
              <w:jc w:val="center"/>
              <w:textAlignment w:val="center"/>
              <w:rPr>
                <w:rFonts w:ascii="仿宋" w:hAnsi="仿宋" w:eastAsia="仿宋" w:cs="仿宋"/>
                <w:color w:val="auto"/>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440" w:lineRule="exact"/>
              <w:jc w:val="center"/>
              <w:textAlignment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2022年08月24日</w:t>
            </w:r>
          </w:p>
        </w:tc>
      </w:tr>
    </w:tbl>
    <w:p>
      <w:pPr>
        <w:adjustRightInd w:val="0"/>
        <w:snapToGrid w:val="0"/>
        <w:spacing w:beforeLines="30" w:afterLines="30" w:line="440" w:lineRule="exact"/>
        <w:ind w:firstLine="562" w:firstLineChars="200"/>
        <w:rPr>
          <w:rStyle w:val="55"/>
          <w:rFonts w:hint="eastAsia" w:ascii="仿宋" w:hAnsi="仿宋" w:eastAsia="仿宋" w:cs="仿宋"/>
          <w:color w:val="auto"/>
          <w:sz w:val="28"/>
          <w:szCs w:val="28"/>
          <w:lang w:eastAsia="zh-CN"/>
        </w:rPr>
      </w:pPr>
      <w:bookmarkStart w:id="46" w:name="_Toc27524"/>
      <w:r>
        <w:rPr>
          <w:rStyle w:val="69"/>
          <w:rFonts w:hint="eastAsia" w:ascii="仿宋" w:hAnsi="仿宋" w:eastAsia="仿宋" w:cs="仿宋"/>
          <w:color w:val="auto"/>
          <w:sz w:val="28"/>
          <w:szCs w:val="28"/>
        </w:rPr>
        <w:t>十二、实地查勘期</w:t>
      </w:r>
      <w:bookmarkEnd w:id="46"/>
      <w:r>
        <w:rPr>
          <w:rStyle w:val="55"/>
          <w:rFonts w:hint="eastAsia" w:ascii="仿宋" w:hAnsi="仿宋" w:eastAsia="仿宋" w:cs="仿宋"/>
          <w:color w:val="auto"/>
          <w:sz w:val="28"/>
          <w:szCs w:val="28"/>
        </w:rPr>
        <w:t>：</w:t>
      </w:r>
      <w:r>
        <w:rPr>
          <w:rFonts w:hint="eastAsia" w:ascii="仿宋" w:hAnsi="仿宋" w:eastAsia="仿宋" w:cs="仿宋"/>
          <w:color w:val="auto"/>
          <w:sz w:val="28"/>
          <w:szCs w:val="28"/>
          <w:lang w:eastAsia="zh-CN"/>
        </w:rPr>
        <w:t>2022年8月16日</w:t>
      </w:r>
    </w:p>
    <w:bookmarkEnd w:id="45"/>
    <w:p>
      <w:pPr>
        <w:adjustRightInd w:val="0"/>
        <w:snapToGrid w:val="0"/>
        <w:spacing w:beforeLines="30" w:afterLines="30" w:line="440" w:lineRule="exact"/>
        <w:ind w:firstLine="562" w:firstLineChars="200"/>
        <w:rPr>
          <w:rStyle w:val="55"/>
          <w:rFonts w:ascii="仿宋" w:hAnsi="仿宋" w:eastAsia="仿宋" w:cs="仿宋"/>
          <w:color w:val="auto"/>
        </w:rPr>
      </w:pPr>
      <w:bookmarkStart w:id="47" w:name="_Toc2721"/>
      <w:bookmarkStart w:id="48" w:name="_Toc19314"/>
      <w:r>
        <w:rPr>
          <w:rStyle w:val="69"/>
          <w:rFonts w:hint="eastAsia" w:ascii="仿宋" w:hAnsi="仿宋" w:eastAsia="仿宋" w:cs="仿宋"/>
          <w:color w:val="auto"/>
          <w:sz w:val="28"/>
          <w:szCs w:val="28"/>
        </w:rPr>
        <w:t>十三、 估价作业期</w:t>
      </w:r>
      <w:bookmarkEnd w:id="47"/>
      <w:r>
        <w:rPr>
          <w:rStyle w:val="55"/>
          <w:rFonts w:hint="eastAsia" w:ascii="仿宋" w:hAnsi="仿宋" w:eastAsia="仿宋" w:cs="仿宋"/>
          <w:color w:val="auto"/>
          <w:sz w:val="28"/>
          <w:szCs w:val="28"/>
        </w:rPr>
        <w:t>：</w:t>
      </w:r>
      <w:bookmarkEnd w:id="48"/>
      <w:r>
        <w:rPr>
          <w:rFonts w:hint="eastAsia" w:ascii="仿宋" w:hAnsi="仿宋" w:eastAsia="仿宋" w:cs="仿宋"/>
          <w:color w:val="auto"/>
          <w:sz w:val="28"/>
          <w:szCs w:val="28"/>
          <w:lang w:eastAsia="zh-CN"/>
        </w:rPr>
        <w:t>2022年8月16日</w:t>
      </w:r>
      <w:r>
        <w:rPr>
          <w:rFonts w:hint="eastAsia" w:ascii="仿宋" w:hAnsi="仿宋" w:eastAsia="仿宋" w:cs="仿宋"/>
          <w:color w:val="auto"/>
          <w:sz w:val="28"/>
          <w:szCs w:val="28"/>
        </w:rPr>
        <w:t>——2022年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24</w:t>
      </w:r>
      <w:r>
        <w:rPr>
          <w:rFonts w:hint="eastAsia" w:ascii="仿宋" w:hAnsi="仿宋" w:eastAsia="仿宋" w:cs="仿宋"/>
          <w:color w:val="auto"/>
          <w:sz w:val="28"/>
          <w:szCs w:val="28"/>
        </w:rPr>
        <w:t>日。</w:t>
      </w:r>
    </w:p>
    <w:p>
      <w:pPr>
        <w:tabs>
          <w:tab w:val="left" w:pos="8280"/>
        </w:tabs>
        <w:adjustRightInd w:val="0"/>
        <w:snapToGrid w:val="0"/>
        <w:spacing w:line="440" w:lineRule="exact"/>
        <w:ind w:right="34" w:firstLine="562" w:firstLineChars="200"/>
        <w:rPr>
          <w:rStyle w:val="55"/>
          <w:rFonts w:hint="eastAsia" w:ascii="仿宋" w:hAnsi="仿宋" w:eastAsia="仿宋" w:cs="仿宋"/>
          <w:color w:val="auto"/>
          <w:sz w:val="28"/>
          <w:szCs w:val="28"/>
          <w:lang w:eastAsia="zh-CN"/>
        </w:rPr>
      </w:pPr>
      <w:bookmarkStart w:id="49" w:name="_Toc8867"/>
      <w:bookmarkStart w:id="50" w:name="_Toc6909"/>
      <w:r>
        <w:rPr>
          <w:rStyle w:val="69"/>
          <w:rFonts w:hint="eastAsia" w:ascii="仿宋" w:hAnsi="仿宋" w:eastAsia="仿宋" w:cs="仿宋"/>
          <w:color w:val="auto"/>
          <w:sz w:val="28"/>
          <w:szCs w:val="28"/>
        </w:rPr>
        <w:t>十四、 估价报告有效期</w:t>
      </w:r>
      <w:bookmarkEnd w:id="49"/>
      <w:r>
        <w:rPr>
          <w:rStyle w:val="55"/>
          <w:rFonts w:hint="eastAsia" w:ascii="仿宋" w:hAnsi="仿宋" w:eastAsia="仿宋" w:cs="仿宋"/>
          <w:color w:val="auto"/>
          <w:sz w:val="28"/>
          <w:szCs w:val="28"/>
        </w:rPr>
        <w:t>（一年）</w:t>
      </w:r>
      <w:bookmarkEnd w:id="50"/>
      <w:r>
        <w:rPr>
          <w:rStyle w:val="55"/>
          <w:rFonts w:hint="eastAsia" w:ascii="仿宋" w:hAnsi="仿宋" w:eastAsia="仿宋" w:cs="仿宋"/>
          <w:color w:val="auto"/>
          <w:sz w:val="28"/>
          <w:szCs w:val="28"/>
        </w:rPr>
        <w:t>：</w:t>
      </w:r>
      <w:r>
        <w:rPr>
          <w:rStyle w:val="55"/>
          <w:rFonts w:hint="eastAsia" w:ascii="仿宋" w:hAnsi="仿宋" w:eastAsia="仿宋" w:cs="仿宋"/>
          <w:color w:val="auto"/>
          <w:sz w:val="28"/>
          <w:szCs w:val="28"/>
          <w:lang w:eastAsia="zh-CN"/>
        </w:rPr>
        <w:t>自出具估价报告日起一年内有效</w:t>
      </w:r>
    </w:p>
    <w:p>
      <w:pPr>
        <w:tabs>
          <w:tab w:val="left" w:pos="8280"/>
        </w:tabs>
        <w:adjustRightInd w:val="0"/>
        <w:snapToGrid w:val="0"/>
        <w:spacing w:line="440" w:lineRule="exact"/>
        <w:ind w:right="34" w:firstLine="3920" w:firstLineChars="1400"/>
        <w:rPr>
          <w:rFonts w:hint="eastAsia" w:ascii="仿宋" w:hAnsi="仿宋" w:eastAsia="仿宋" w:cs="仿宋"/>
          <w:bCs/>
          <w:color w:val="auto"/>
          <w:sz w:val="28"/>
        </w:rPr>
      </w:pPr>
    </w:p>
    <w:p>
      <w:pPr>
        <w:tabs>
          <w:tab w:val="left" w:pos="8280"/>
        </w:tabs>
        <w:adjustRightInd w:val="0"/>
        <w:snapToGrid w:val="0"/>
        <w:spacing w:line="440" w:lineRule="exact"/>
        <w:ind w:right="34" w:firstLine="3920" w:firstLineChars="1400"/>
        <w:rPr>
          <w:rFonts w:hint="eastAsia" w:ascii="仿宋" w:hAnsi="仿宋" w:eastAsia="仿宋" w:cs="仿宋"/>
          <w:bCs/>
          <w:color w:val="auto"/>
          <w:sz w:val="28"/>
        </w:rPr>
      </w:pPr>
    </w:p>
    <w:p>
      <w:pPr>
        <w:tabs>
          <w:tab w:val="left" w:pos="8280"/>
        </w:tabs>
        <w:adjustRightInd w:val="0"/>
        <w:snapToGrid w:val="0"/>
        <w:spacing w:line="440" w:lineRule="exact"/>
        <w:ind w:right="34" w:firstLine="3920" w:firstLineChars="1400"/>
        <w:rPr>
          <w:rFonts w:hint="eastAsia" w:ascii="仿宋" w:hAnsi="仿宋" w:eastAsia="仿宋" w:cs="仿宋"/>
          <w:bCs/>
          <w:color w:val="auto"/>
          <w:sz w:val="28"/>
        </w:rPr>
      </w:pPr>
    </w:p>
    <w:p>
      <w:pPr>
        <w:tabs>
          <w:tab w:val="left" w:pos="8280"/>
        </w:tabs>
        <w:adjustRightInd w:val="0"/>
        <w:snapToGrid w:val="0"/>
        <w:spacing w:line="440" w:lineRule="exact"/>
        <w:ind w:right="34" w:firstLine="3920" w:firstLineChars="1400"/>
        <w:rPr>
          <w:rFonts w:ascii="仿宋" w:hAnsi="仿宋" w:eastAsia="仿宋" w:cs="仿宋"/>
          <w:bCs/>
          <w:color w:val="auto"/>
          <w:sz w:val="28"/>
        </w:rPr>
      </w:pPr>
      <w:r>
        <w:rPr>
          <w:rFonts w:hint="eastAsia" w:ascii="仿宋" w:hAnsi="仿宋" w:eastAsia="仿宋" w:cs="仿宋"/>
          <w:bCs/>
          <w:color w:val="auto"/>
          <w:sz w:val="28"/>
        </w:rPr>
        <w:t>黑龙江天之骄房地产资产评估有限公司</w:t>
      </w:r>
    </w:p>
    <w:p>
      <w:pPr>
        <w:tabs>
          <w:tab w:val="left" w:pos="8280"/>
        </w:tabs>
        <w:adjustRightInd w:val="0"/>
        <w:snapToGrid w:val="0"/>
        <w:spacing w:line="440" w:lineRule="exact"/>
        <w:ind w:right="34" w:firstLine="3239" w:firstLineChars="1157"/>
        <w:rPr>
          <w:rFonts w:hint="eastAsia" w:ascii="仿宋" w:hAnsi="仿宋" w:eastAsia="仿宋" w:cs="仿宋"/>
          <w:bCs/>
          <w:color w:val="auto"/>
          <w:sz w:val="28"/>
          <w:lang w:eastAsia="zh-CN"/>
        </w:rPr>
      </w:pPr>
      <w:r>
        <w:rPr>
          <w:rFonts w:hint="eastAsia" w:ascii="仿宋" w:hAnsi="仿宋" w:eastAsia="仿宋" w:cs="仿宋"/>
          <w:bCs/>
          <w:color w:val="auto"/>
          <w:sz w:val="28"/>
        </w:rPr>
        <w:t xml:space="preserve">     </w:t>
      </w:r>
      <w:r>
        <w:rPr>
          <w:rFonts w:hint="eastAsia" w:ascii="仿宋" w:hAnsi="仿宋" w:eastAsia="仿宋" w:cs="仿宋"/>
          <w:bCs/>
          <w:color w:val="auto"/>
          <w:sz w:val="28"/>
          <w:lang w:eastAsia="zh-CN"/>
        </w:rPr>
        <w:t>二〇二二年八月二十四日</w:t>
      </w:r>
    </w:p>
    <w:p>
      <w:pPr>
        <w:tabs>
          <w:tab w:val="left" w:pos="8280"/>
        </w:tabs>
        <w:adjustRightInd w:val="0"/>
        <w:snapToGrid w:val="0"/>
        <w:spacing w:line="500" w:lineRule="exact"/>
        <w:ind w:right="34"/>
        <w:rPr>
          <w:rFonts w:ascii="仿宋" w:hAnsi="仿宋" w:eastAsia="仿宋" w:cs="仿宋"/>
          <w:bCs/>
          <w:color w:val="auto"/>
          <w:sz w:val="28"/>
        </w:rPr>
      </w:pPr>
    </w:p>
    <w:sectPr>
      <w:footerReference r:id="rId9" w:type="default"/>
      <w:pgSz w:w="11906" w:h="16838"/>
      <w:pgMar w:top="1417" w:right="1134" w:bottom="1134" w:left="1474" w:header="737" w:footer="992" w:gutter="0"/>
      <w:pgNumType w:fmt="numberInDash" w:start="1"/>
      <w:cols w:space="0" w:num="1"/>
      <w:docGrid w:type="lines" w:linePitch="32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line id="_x0000_s4098" o:spid="_x0000_s4098" o:spt="20" style="position:absolute;left:0pt;flip:y;margin-left:-0.3pt;margin-top:7.65pt;height:0.7pt;width:465.7pt;z-index:251660288;mso-width-relative:page;mso-height-relative:page;"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ko2dgAAAAHAQAADwAAAAAAAAABACAAAAAiAAAAZHJzL2Rvd25yZXYueG1sUEsBAhQA&#10;FAAAAAgAh07iQIMMrlfyAQAAuQMAAA4AAAAAAAAAAQAgAAAAJwEAAGRycy9lMm9Eb2MueG1sUEsF&#10;BgAAAAAGAAYAWQEAAIsFAAAAAA==&#10;">
          <v:path arrowok="t"/>
          <v:fill focussize="0,0"/>
          <v:stroke weight="3.5pt" color="#000000" linestyle="thickThin"/>
          <v:imagedata o:title=""/>
          <o:lock v:ext="edit"/>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line id="_x0000_s4099" o:spid="_x0000_s4099" o:spt="20" style="position:absolute;left:0pt;flip:y;margin-left:-0.3pt;margin-top:7.65pt;height:0.7pt;width:465.7pt;z-index:251664384;mso-width-relative:page;mso-height-relative:page;"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ko2dgAAAAHAQAADwAAAAAAAAABACAAAAAiAAAAZHJzL2Rvd25yZXYueG1sUEsBAhQA&#10;FAAAAAgAh07iQEcxX2jyAQAAuQMAAA4AAAAAAAAAAQAgAAAAJwEAAGRycy9lMm9Eb2MueG1sUEsF&#10;BgAAAAAGAAYAWQEAAIsFAAAAAA==&#10;">
          <v:path arrowok="t"/>
          <v:fill focussize="0,0"/>
          <v:stroke weight="3.5pt" color="#000000" linestyle="thickThin"/>
          <v:imagedata o:title=""/>
          <o:lock v:ext="edit"/>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line id="_x0000_s4100" o:spid="_x0000_s4100" o:spt="20" style="position:absolute;left:0pt;flip:y;margin-left:-0.3pt;margin-top:7.65pt;height:0.7pt;width:465.7pt;z-index:251661312;mso-width-relative:page;mso-height-relative:page;"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ko2dgAAAAHAQAADwAAAAAAAAABACAAAAAiAAAAZHJzL2Rvd25yZXYueG1sUEsBAhQA&#10;FAAAAAgAh07iQJP7aqjyAQAAuQMAAA4AAAAAAAAAAQAgAAAAJwEAAGRycy9lMm9Eb2MueG1sUEsF&#10;BgAAAAAGAAYAWQEAAIsFAAAAAA==&#10;">
          <v:path arrowok="t"/>
          <v:fill focussize="0,0"/>
          <v:stroke weight="3.5pt" color="#000000" linestyle="thickThin"/>
          <v:imagedata o:title=""/>
          <o:lock v:ext="edit"/>
        </v:lin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649"/>
        <w:tab w:val="clear" w:pos="4153"/>
      </w:tabs>
    </w:pPr>
    <w:r>
      <w:pict>
        <v:shape id="_x0000_s4101" o:spid="_x0000_s4101" o:spt="202" type="#_x0000_t202" style="position:absolute;left:0pt;margin-left:225.95pt;margin-top:16.25pt;height:144pt;width:144pt;mso-position-horizontal-relative:margin;mso-wrap-style:none;z-index:251663360;mso-width-relative:page;mso-height-relative:page;" filled="f" stroked="f" coordsize="21600,21600" o:gfxdata="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MYuDi1wAAAAoBAAAPAAAAAAAAAAEAIAAAACIAAABkcnMvZG93bnJldi54bWxQ&#10;SwECFAAUAAAACACHTuJAqaivlTECAABjBAAADgAAAAAAAAABACAAAAAmAQAAZHJzL2Uyb0RvYy54&#10;bWxQSwUGAAAAAAYABgBZAQAAyQUAAAAA&#10;">
          <v:path/>
          <v:fill on="f" focussize="0,0"/>
          <v:stroke on="f" weight="0.5pt" joinstyle="miter"/>
          <v:imagedata o:title=""/>
          <o:lock v:ext="edit"/>
          <v:textbox inset="0mm,0mm,0mm,0mm" style="mso-fit-shape-to-text:t;">
            <w:txbxContent>
              <w:p>
                <w:pPr>
                  <w:pStyle w:val="13"/>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- 17 -</w:t>
                </w:r>
                <w:r>
                  <w:rPr>
                    <w:rFonts w:hint="eastAsia"/>
                    <w:sz w:val="21"/>
                    <w:szCs w:val="21"/>
                  </w:rPr>
                  <w:fldChar w:fldCharType="end"/>
                </w:r>
              </w:p>
            </w:txbxContent>
          </v:textbox>
        </v:shape>
      </w:pict>
    </w:r>
    <w:r>
      <w:pict>
        <v:line id="_x0000_s4102" o:spid="_x0000_s4102" o:spt="20" style="position:absolute;left:0pt;flip:y;margin-left:-0.3pt;margin-top:7.65pt;height:0.7pt;width:465.7pt;z-index:251662336;mso-width-relative:page;mso-height-relative:page;"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qSjZ2AAAAAcBAAAPAAAAAAAAAAEAIAAAACIAAABkcnMvZG93bnJldi54bWxQSwECFAAU&#10;AAAACACHTuJAemhw8/EBAAC5AwAADgAAAAAAAAABACAAAAAnAQAAZHJzL2Uyb0RvYy54bWxQSwUG&#10;AAAAAAYABgBZAQAAigUAAAAA&#10;">
          <v:path arrowok="t"/>
          <v:fill focussize="0,0"/>
          <v:stroke weight="3.5pt" color="#000000" linestyle="thickThin"/>
          <v:imagedata o:title=""/>
          <o:lock v:ext="edit"/>
        </v:line>
      </w:pic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240" w:lineRule="auto"/>
      <w:jc w:val="center"/>
      <w:rPr>
        <w:b/>
        <w:bCs/>
        <w:iCs/>
        <w:sz w:val="30"/>
        <w:szCs w:val="30"/>
      </w:rPr>
    </w:pPr>
    <w:r>
      <w:rPr>
        <w:rFonts w:hint="eastAsia"/>
        <w:b/>
        <w:bCs/>
        <w:iCs/>
        <w:sz w:val="30"/>
        <w:szCs w:val="30"/>
      </w:rPr>
      <w:t>黑龙江天之骄房地产资产评估有限公司</w:t>
    </w:r>
  </w:p>
  <w:p>
    <w:pPr>
      <w:pStyle w:val="14"/>
      <w:pBdr>
        <w:bottom w:val="none" w:color="auto" w:sz="0" w:space="0"/>
      </w:pBdr>
      <w:rPr>
        <w:rFonts w:hint="default" w:eastAsia="仿宋"/>
        <w:szCs w:val="18"/>
        <w:lang w:val="en-US" w:eastAsia="zh-CN"/>
      </w:rPr>
    </w:pPr>
    <w:r>
      <w:rPr>
        <w:rFonts w:eastAsia="仿宋"/>
        <w:szCs w:val="18"/>
      </w:rPr>
      <w:pict>
        <v:line id="_x0000_s4097" o:spid="_x0000_s4097" o:spt="20" style="position:absolute;left:0pt;flip:y;margin-left:0.15pt;margin-top:12.1pt;height:1.15pt;width:466.15pt;z-index:251659264;mso-width-relative:page;mso-height-relative:page;" stroked="t" coordsize="21600,21600" o:gfxdata="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xoriNgAAAAGAQAADwAAAAAAAAABACAAAAAiAAAAZHJzL2Rvd25yZXYueG1sUEsBAhQA&#10;FAAAAAgAh07iQEAqOPfyAQAAuQMAAA4AAAAAAAAAAQAgAAAAJwEAAGRycy9lMm9Eb2MueG1sUEsF&#10;BgAAAAAGAAYAWQEAAIsFAAAAAA==&#10;">
          <v:path arrowok="t"/>
          <v:fill focussize="0,0"/>
          <v:stroke weight="3.5pt" color="#000000" linestyle="thickThin"/>
          <v:imagedata o:title=""/>
          <o:lock v:ext="edit"/>
        </v:line>
      </w:pict>
    </w:r>
    <w:r>
      <w:rPr>
        <w:rFonts w:eastAsia="仿宋"/>
        <w:bCs/>
        <w:szCs w:val="18"/>
      </w:rPr>
      <w:t xml:space="preserve">  </w:t>
    </w:r>
    <w:r>
      <w:rPr>
        <w:rFonts w:hint="eastAsia" w:eastAsia="仿宋"/>
        <w:bCs/>
        <w:szCs w:val="18"/>
      </w:rPr>
      <w:t xml:space="preserve"> </w:t>
    </w:r>
    <w:r>
      <w:rPr>
        <w:rFonts w:eastAsia="仿宋"/>
        <w:bCs/>
        <w:szCs w:val="18"/>
      </w:rPr>
      <w:t xml:space="preserve">  </w:t>
    </w:r>
    <w:r>
      <w:rPr>
        <w:rFonts w:hint="eastAsia" w:eastAsia="仿宋"/>
        <w:bCs/>
        <w:szCs w:val="18"/>
      </w:rPr>
      <w:t xml:space="preserve">     </w:t>
    </w:r>
    <w:r>
      <w:rPr>
        <w:rFonts w:eastAsia="仿宋"/>
        <w:bCs/>
        <w:szCs w:val="18"/>
      </w:rPr>
      <w:t xml:space="preserve">  </w:t>
    </w:r>
    <w:r>
      <w:rPr>
        <w:rFonts w:hint="eastAsia" w:eastAsia="仿宋"/>
        <w:bCs/>
        <w:szCs w:val="18"/>
      </w:rPr>
      <w:t xml:space="preserve">                                                         </w:t>
    </w:r>
    <w:r>
      <w:rPr>
        <w:rFonts w:eastAsia="仿宋"/>
        <w:bCs/>
        <w:szCs w:val="18"/>
      </w:rPr>
      <w:t>电话：0453-5638700</w:t>
    </w:r>
    <w:r>
      <w:rPr>
        <w:rFonts w:hint="eastAsia" w:eastAsia="仿宋"/>
        <w:bCs/>
        <w:szCs w:val="18"/>
      </w:rPr>
      <w:t xml:space="preserve">    </w:t>
    </w:r>
    <w:r>
      <w:rPr>
        <w:rFonts w:hint="eastAsia" w:eastAsia="仿宋"/>
        <w:bCs/>
        <w:szCs w:val="18"/>
        <w:lang w:val="en-US" w:eastAsia="zh-CN"/>
      </w:rPr>
      <w:t>6189517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E2B8A"/>
    <w:multiLevelType w:val="singleLevel"/>
    <w:tmpl w:val="8A0E2B8A"/>
    <w:lvl w:ilvl="0" w:tentative="0">
      <w:start w:val="3"/>
      <w:numFmt w:val="decimal"/>
      <w:suff w:val="nothing"/>
      <w:lvlText w:val="%1、"/>
      <w:lvlJc w:val="left"/>
    </w:lvl>
  </w:abstractNum>
  <w:abstractNum w:abstractNumId="1">
    <w:nsid w:val="7DFCD908"/>
    <w:multiLevelType w:val="singleLevel"/>
    <w:tmpl w:val="7DFCD908"/>
    <w:lvl w:ilvl="0" w:tentative="0">
      <w:start w:val="1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62"/>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E2OTdjODY5OTE4YmZkNzI5ODhiOWI1ZGM1ZDVlYzkifQ=="/>
  </w:docVars>
  <w:rsids>
    <w:rsidRoot w:val="00172A27"/>
    <w:rsid w:val="0000078B"/>
    <w:rsid w:val="00001782"/>
    <w:rsid w:val="00002AA9"/>
    <w:rsid w:val="000036E7"/>
    <w:rsid w:val="00003AD3"/>
    <w:rsid w:val="00003D05"/>
    <w:rsid w:val="00003E23"/>
    <w:rsid w:val="00005358"/>
    <w:rsid w:val="0000733B"/>
    <w:rsid w:val="00007C75"/>
    <w:rsid w:val="00010693"/>
    <w:rsid w:val="000108CE"/>
    <w:rsid w:val="00010D69"/>
    <w:rsid w:val="00012100"/>
    <w:rsid w:val="00012DAA"/>
    <w:rsid w:val="0001313A"/>
    <w:rsid w:val="000133E9"/>
    <w:rsid w:val="00013BA6"/>
    <w:rsid w:val="00015D53"/>
    <w:rsid w:val="00016A22"/>
    <w:rsid w:val="0001765B"/>
    <w:rsid w:val="0001786D"/>
    <w:rsid w:val="00020006"/>
    <w:rsid w:val="00021625"/>
    <w:rsid w:val="00023EFA"/>
    <w:rsid w:val="00024144"/>
    <w:rsid w:val="0002567E"/>
    <w:rsid w:val="0002580A"/>
    <w:rsid w:val="00025D33"/>
    <w:rsid w:val="00026123"/>
    <w:rsid w:val="00032368"/>
    <w:rsid w:val="00032731"/>
    <w:rsid w:val="00032748"/>
    <w:rsid w:val="0003307B"/>
    <w:rsid w:val="000350CB"/>
    <w:rsid w:val="00035A90"/>
    <w:rsid w:val="00035F27"/>
    <w:rsid w:val="000362BB"/>
    <w:rsid w:val="00036670"/>
    <w:rsid w:val="0003769D"/>
    <w:rsid w:val="000400FE"/>
    <w:rsid w:val="000422EE"/>
    <w:rsid w:val="000426F2"/>
    <w:rsid w:val="0004531E"/>
    <w:rsid w:val="000463E4"/>
    <w:rsid w:val="00046F7A"/>
    <w:rsid w:val="00047005"/>
    <w:rsid w:val="00047ABF"/>
    <w:rsid w:val="00047E77"/>
    <w:rsid w:val="000506BD"/>
    <w:rsid w:val="000509E4"/>
    <w:rsid w:val="00051A11"/>
    <w:rsid w:val="0005339E"/>
    <w:rsid w:val="000534B2"/>
    <w:rsid w:val="000546AC"/>
    <w:rsid w:val="00054807"/>
    <w:rsid w:val="00055160"/>
    <w:rsid w:val="00055B23"/>
    <w:rsid w:val="00060CCB"/>
    <w:rsid w:val="00060EE9"/>
    <w:rsid w:val="000629C1"/>
    <w:rsid w:val="00062AED"/>
    <w:rsid w:val="00063C18"/>
    <w:rsid w:val="00063E10"/>
    <w:rsid w:val="0006496E"/>
    <w:rsid w:val="00064A3D"/>
    <w:rsid w:val="00065899"/>
    <w:rsid w:val="0006744D"/>
    <w:rsid w:val="00067BB2"/>
    <w:rsid w:val="000704D9"/>
    <w:rsid w:val="00070AB5"/>
    <w:rsid w:val="00071D5B"/>
    <w:rsid w:val="000720A4"/>
    <w:rsid w:val="0007282F"/>
    <w:rsid w:val="00072C97"/>
    <w:rsid w:val="000737F3"/>
    <w:rsid w:val="00074B16"/>
    <w:rsid w:val="00074E55"/>
    <w:rsid w:val="00076055"/>
    <w:rsid w:val="00076246"/>
    <w:rsid w:val="0008003C"/>
    <w:rsid w:val="00082CD3"/>
    <w:rsid w:val="00082ED2"/>
    <w:rsid w:val="00082FC1"/>
    <w:rsid w:val="00083146"/>
    <w:rsid w:val="00085ADA"/>
    <w:rsid w:val="00085C91"/>
    <w:rsid w:val="00090258"/>
    <w:rsid w:val="00090292"/>
    <w:rsid w:val="000913B0"/>
    <w:rsid w:val="00095232"/>
    <w:rsid w:val="0009571F"/>
    <w:rsid w:val="00095D34"/>
    <w:rsid w:val="0009622E"/>
    <w:rsid w:val="000A0172"/>
    <w:rsid w:val="000A0AAE"/>
    <w:rsid w:val="000A0D28"/>
    <w:rsid w:val="000A1205"/>
    <w:rsid w:val="000A1C83"/>
    <w:rsid w:val="000A3AE9"/>
    <w:rsid w:val="000A482E"/>
    <w:rsid w:val="000A6E78"/>
    <w:rsid w:val="000A713A"/>
    <w:rsid w:val="000A79EB"/>
    <w:rsid w:val="000A7B73"/>
    <w:rsid w:val="000B05C2"/>
    <w:rsid w:val="000B0C65"/>
    <w:rsid w:val="000B1489"/>
    <w:rsid w:val="000B1617"/>
    <w:rsid w:val="000B1C4D"/>
    <w:rsid w:val="000B2606"/>
    <w:rsid w:val="000B27B2"/>
    <w:rsid w:val="000B2EAB"/>
    <w:rsid w:val="000B3328"/>
    <w:rsid w:val="000B3DBF"/>
    <w:rsid w:val="000B42BD"/>
    <w:rsid w:val="000B6269"/>
    <w:rsid w:val="000B6F72"/>
    <w:rsid w:val="000B79D7"/>
    <w:rsid w:val="000C000C"/>
    <w:rsid w:val="000C0939"/>
    <w:rsid w:val="000C0E6A"/>
    <w:rsid w:val="000C50C4"/>
    <w:rsid w:val="000C6FF6"/>
    <w:rsid w:val="000C7E84"/>
    <w:rsid w:val="000D0A76"/>
    <w:rsid w:val="000D2825"/>
    <w:rsid w:val="000D45E6"/>
    <w:rsid w:val="000D4980"/>
    <w:rsid w:val="000D5298"/>
    <w:rsid w:val="000D6F9E"/>
    <w:rsid w:val="000E065F"/>
    <w:rsid w:val="000E0C04"/>
    <w:rsid w:val="000E1D6F"/>
    <w:rsid w:val="000E26EF"/>
    <w:rsid w:val="000E4115"/>
    <w:rsid w:val="000E4DC0"/>
    <w:rsid w:val="000E6B23"/>
    <w:rsid w:val="000E6D76"/>
    <w:rsid w:val="000E761F"/>
    <w:rsid w:val="000F1003"/>
    <w:rsid w:val="000F295B"/>
    <w:rsid w:val="000F4303"/>
    <w:rsid w:val="000F4B39"/>
    <w:rsid w:val="000F6FDB"/>
    <w:rsid w:val="000F79FB"/>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5D21"/>
    <w:rsid w:val="00116F2E"/>
    <w:rsid w:val="001173D5"/>
    <w:rsid w:val="00117CE1"/>
    <w:rsid w:val="001203C6"/>
    <w:rsid w:val="00120442"/>
    <w:rsid w:val="00121864"/>
    <w:rsid w:val="00121D51"/>
    <w:rsid w:val="00125007"/>
    <w:rsid w:val="001255A4"/>
    <w:rsid w:val="0013022E"/>
    <w:rsid w:val="00130425"/>
    <w:rsid w:val="001305A6"/>
    <w:rsid w:val="00130F06"/>
    <w:rsid w:val="00133E05"/>
    <w:rsid w:val="00134A93"/>
    <w:rsid w:val="00137606"/>
    <w:rsid w:val="001377E8"/>
    <w:rsid w:val="00140026"/>
    <w:rsid w:val="00141622"/>
    <w:rsid w:val="00141723"/>
    <w:rsid w:val="00142E18"/>
    <w:rsid w:val="001453CE"/>
    <w:rsid w:val="00146237"/>
    <w:rsid w:val="00146ABE"/>
    <w:rsid w:val="00147B64"/>
    <w:rsid w:val="00151F1E"/>
    <w:rsid w:val="001541BD"/>
    <w:rsid w:val="00160F48"/>
    <w:rsid w:val="00161157"/>
    <w:rsid w:val="00162413"/>
    <w:rsid w:val="00162426"/>
    <w:rsid w:val="00163E20"/>
    <w:rsid w:val="00163FB5"/>
    <w:rsid w:val="00164AB6"/>
    <w:rsid w:val="00165233"/>
    <w:rsid w:val="00165629"/>
    <w:rsid w:val="00165AE9"/>
    <w:rsid w:val="00166795"/>
    <w:rsid w:val="001723AB"/>
    <w:rsid w:val="00172A27"/>
    <w:rsid w:val="0017392F"/>
    <w:rsid w:val="00174DFF"/>
    <w:rsid w:val="0017566F"/>
    <w:rsid w:val="00175C64"/>
    <w:rsid w:val="00176C3D"/>
    <w:rsid w:val="001770FB"/>
    <w:rsid w:val="001779AC"/>
    <w:rsid w:val="00177FB6"/>
    <w:rsid w:val="001818FE"/>
    <w:rsid w:val="00183145"/>
    <w:rsid w:val="0018399C"/>
    <w:rsid w:val="00183A44"/>
    <w:rsid w:val="001863B5"/>
    <w:rsid w:val="00186743"/>
    <w:rsid w:val="00186A17"/>
    <w:rsid w:val="00186BF2"/>
    <w:rsid w:val="00190357"/>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DE3"/>
    <w:rsid w:val="001B0709"/>
    <w:rsid w:val="001B084E"/>
    <w:rsid w:val="001B3FA4"/>
    <w:rsid w:val="001B584A"/>
    <w:rsid w:val="001B5B45"/>
    <w:rsid w:val="001B6244"/>
    <w:rsid w:val="001B6A02"/>
    <w:rsid w:val="001B7582"/>
    <w:rsid w:val="001C29D6"/>
    <w:rsid w:val="001C31CE"/>
    <w:rsid w:val="001C3943"/>
    <w:rsid w:val="001C740A"/>
    <w:rsid w:val="001D072E"/>
    <w:rsid w:val="001D0C1D"/>
    <w:rsid w:val="001D1023"/>
    <w:rsid w:val="001D237B"/>
    <w:rsid w:val="001D376C"/>
    <w:rsid w:val="001D57D4"/>
    <w:rsid w:val="001D69DF"/>
    <w:rsid w:val="001E1BD6"/>
    <w:rsid w:val="001E376D"/>
    <w:rsid w:val="001E4F32"/>
    <w:rsid w:val="001E4FB0"/>
    <w:rsid w:val="001E6004"/>
    <w:rsid w:val="001E6899"/>
    <w:rsid w:val="001E6964"/>
    <w:rsid w:val="001E6AC3"/>
    <w:rsid w:val="001E714C"/>
    <w:rsid w:val="001E76A5"/>
    <w:rsid w:val="001E7819"/>
    <w:rsid w:val="001E7A92"/>
    <w:rsid w:val="001F091C"/>
    <w:rsid w:val="001F0920"/>
    <w:rsid w:val="001F1108"/>
    <w:rsid w:val="001F18DD"/>
    <w:rsid w:val="001F1C52"/>
    <w:rsid w:val="001F1F71"/>
    <w:rsid w:val="001F2275"/>
    <w:rsid w:val="001F2B51"/>
    <w:rsid w:val="001F404C"/>
    <w:rsid w:val="001F57B2"/>
    <w:rsid w:val="001F6DDE"/>
    <w:rsid w:val="002021E0"/>
    <w:rsid w:val="00202E58"/>
    <w:rsid w:val="0020435A"/>
    <w:rsid w:val="00204812"/>
    <w:rsid w:val="002050D9"/>
    <w:rsid w:val="00207029"/>
    <w:rsid w:val="0020758A"/>
    <w:rsid w:val="00207778"/>
    <w:rsid w:val="00210266"/>
    <w:rsid w:val="00210E10"/>
    <w:rsid w:val="00210FFB"/>
    <w:rsid w:val="00211303"/>
    <w:rsid w:val="002128FF"/>
    <w:rsid w:val="002138FE"/>
    <w:rsid w:val="00214F66"/>
    <w:rsid w:val="002162B8"/>
    <w:rsid w:val="002166FE"/>
    <w:rsid w:val="00217131"/>
    <w:rsid w:val="00217727"/>
    <w:rsid w:val="002178DC"/>
    <w:rsid w:val="00217F10"/>
    <w:rsid w:val="002201E7"/>
    <w:rsid w:val="0022072E"/>
    <w:rsid w:val="00220BCB"/>
    <w:rsid w:val="002210E9"/>
    <w:rsid w:val="00222A4F"/>
    <w:rsid w:val="00223F0B"/>
    <w:rsid w:val="00224B45"/>
    <w:rsid w:val="00226F2E"/>
    <w:rsid w:val="00227328"/>
    <w:rsid w:val="00227FA7"/>
    <w:rsid w:val="00230160"/>
    <w:rsid w:val="0023061A"/>
    <w:rsid w:val="00231A09"/>
    <w:rsid w:val="00232135"/>
    <w:rsid w:val="00232B8D"/>
    <w:rsid w:val="0023380F"/>
    <w:rsid w:val="0023385B"/>
    <w:rsid w:val="00233D35"/>
    <w:rsid w:val="002349B6"/>
    <w:rsid w:val="00236AA3"/>
    <w:rsid w:val="00237BC5"/>
    <w:rsid w:val="00237D4A"/>
    <w:rsid w:val="0024073E"/>
    <w:rsid w:val="00240A4B"/>
    <w:rsid w:val="0024243E"/>
    <w:rsid w:val="00242738"/>
    <w:rsid w:val="00242A82"/>
    <w:rsid w:val="00242CC3"/>
    <w:rsid w:val="00244052"/>
    <w:rsid w:val="0024533A"/>
    <w:rsid w:val="00250613"/>
    <w:rsid w:val="002534C1"/>
    <w:rsid w:val="00253EA2"/>
    <w:rsid w:val="00254681"/>
    <w:rsid w:val="0025493C"/>
    <w:rsid w:val="00254B5A"/>
    <w:rsid w:val="00255678"/>
    <w:rsid w:val="00256B96"/>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9BD"/>
    <w:rsid w:val="00272BA7"/>
    <w:rsid w:val="002730A8"/>
    <w:rsid w:val="00273D64"/>
    <w:rsid w:val="00274A22"/>
    <w:rsid w:val="00274A98"/>
    <w:rsid w:val="00274E2F"/>
    <w:rsid w:val="00276213"/>
    <w:rsid w:val="0027675A"/>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E08"/>
    <w:rsid w:val="00296857"/>
    <w:rsid w:val="00296F1F"/>
    <w:rsid w:val="00297534"/>
    <w:rsid w:val="002A0B81"/>
    <w:rsid w:val="002A1291"/>
    <w:rsid w:val="002A1C1C"/>
    <w:rsid w:val="002A2771"/>
    <w:rsid w:val="002A3B1B"/>
    <w:rsid w:val="002A4A57"/>
    <w:rsid w:val="002A4E9E"/>
    <w:rsid w:val="002A7157"/>
    <w:rsid w:val="002B0A42"/>
    <w:rsid w:val="002B0CDC"/>
    <w:rsid w:val="002B361F"/>
    <w:rsid w:val="002B3AAD"/>
    <w:rsid w:val="002B43D0"/>
    <w:rsid w:val="002B459D"/>
    <w:rsid w:val="002B46F8"/>
    <w:rsid w:val="002B5159"/>
    <w:rsid w:val="002C064E"/>
    <w:rsid w:val="002C0EBC"/>
    <w:rsid w:val="002C0F65"/>
    <w:rsid w:val="002C3204"/>
    <w:rsid w:val="002C540B"/>
    <w:rsid w:val="002C5C19"/>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525E"/>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2C60"/>
    <w:rsid w:val="003038A9"/>
    <w:rsid w:val="0030429F"/>
    <w:rsid w:val="0030431A"/>
    <w:rsid w:val="00305510"/>
    <w:rsid w:val="00307295"/>
    <w:rsid w:val="0031058D"/>
    <w:rsid w:val="00310952"/>
    <w:rsid w:val="003128E5"/>
    <w:rsid w:val="003131FA"/>
    <w:rsid w:val="00313CD5"/>
    <w:rsid w:val="00314E7A"/>
    <w:rsid w:val="00315416"/>
    <w:rsid w:val="003164EB"/>
    <w:rsid w:val="0031739E"/>
    <w:rsid w:val="00320212"/>
    <w:rsid w:val="00320B33"/>
    <w:rsid w:val="00320D1A"/>
    <w:rsid w:val="00320DA9"/>
    <w:rsid w:val="00321EAD"/>
    <w:rsid w:val="0032223A"/>
    <w:rsid w:val="00323558"/>
    <w:rsid w:val="00323CC3"/>
    <w:rsid w:val="003246AF"/>
    <w:rsid w:val="00324709"/>
    <w:rsid w:val="00324B5A"/>
    <w:rsid w:val="00325CB8"/>
    <w:rsid w:val="003274FE"/>
    <w:rsid w:val="00333117"/>
    <w:rsid w:val="00333B26"/>
    <w:rsid w:val="00334589"/>
    <w:rsid w:val="00334613"/>
    <w:rsid w:val="00335761"/>
    <w:rsid w:val="0033774F"/>
    <w:rsid w:val="0034034B"/>
    <w:rsid w:val="00340419"/>
    <w:rsid w:val="00341206"/>
    <w:rsid w:val="00341248"/>
    <w:rsid w:val="00342018"/>
    <w:rsid w:val="00342AD1"/>
    <w:rsid w:val="003444DB"/>
    <w:rsid w:val="00345D7E"/>
    <w:rsid w:val="00346475"/>
    <w:rsid w:val="00353052"/>
    <w:rsid w:val="00353420"/>
    <w:rsid w:val="00353A81"/>
    <w:rsid w:val="00355816"/>
    <w:rsid w:val="003559BE"/>
    <w:rsid w:val="00356775"/>
    <w:rsid w:val="00357314"/>
    <w:rsid w:val="003575F3"/>
    <w:rsid w:val="00360BD4"/>
    <w:rsid w:val="0036355E"/>
    <w:rsid w:val="00366D2F"/>
    <w:rsid w:val="003714CA"/>
    <w:rsid w:val="00373213"/>
    <w:rsid w:val="003738A3"/>
    <w:rsid w:val="00373BCD"/>
    <w:rsid w:val="0037510C"/>
    <w:rsid w:val="00375E74"/>
    <w:rsid w:val="003777D4"/>
    <w:rsid w:val="003800E6"/>
    <w:rsid w:val="0038039F"/>
    <w:rsid w:val="003809B4"/>
    <w:rsid w:val="00381C51"/>
    <w:rsid w:val="00381FE4"/>
    <w:rsid w:val="00384551"/>
    <w:rsid w:val="00384F03"/>
    <w:rsid w:val="0038637F"/>
    <w:rsid w:val="003863C2"/>
    <w:rsid w:val="00391E31"/>
    <w:rsid w:val="00392BE3"/>
    <w:rsid w:val="003930EB"/>
    <w:rsid w:val="00395173"/>
    <w:rsid w:val="00395560"/>
    <w:rsid w:val="0039733D"/>
    <w:rsid w:val="00397BF1"/>
    <w:rsid w:val="003A0BE1"/>
    <w:rsid w:val="003A151C"/>
    <w:rsid w:val="003A3A23"/>
    <w:rsid w:val="003A4B7B"/>
    <w:rsid w:val="003A6718"/>
    <w:rsid w:val="003A68F6"/>
    <w:rsid w:val="003A6BE7"/>
    <w:rsid w:val="003A7058"/>
    <w:rsid w:val="003B0EFA"/>
    <w:rsid w:val="003B3048"/>
    <w:rsid w:val="003B3DFA"/>
    <w:rsid w:val="003B3FF9"/>
    <w:rsid w:val="003B6DC3"/>
    <w:rsid w:val="003C08EE"/>
    <w:rsid w:val="003C1240"/>
    <w:rsid w:val="003C2F13"/>
    <w:rsid w:val="003C38F6"/>
    <w:rsid w:val="003C4A20"/>
    <w:rsid w:val="003C4F62"/>
    <w:rsid w:val="003C69E5"/>
    <w:rsid w:val="003C7605"/>
    <w:rsid w:val="003D2D6A"/>
    <w:rsid w:val="003D316B"/>
    <w:rsid w:val="003D3B40"/>
    <w:rsid w:val="003D5766"/>
    <w:rsid w:val="003D5B11"/>
    <w:rsid w:val="003D6E0A"/>
    <w:rsid w:val="003D7DAF"/>
    <w:rsid w:val="003E0B88"/>
    <w:rsid w:val="003E13BD"/>
    <w:rsid w:val="003E43DB"/>
    <w:rsid w:val="003E52B0"/>
    <w:rsid w:val="003E601C"/>
    <w:rsid w:val="003F0BF6"/>
    <w:rsid w:val="003F1DC3"/>
    <w:rsid w:val="003F3F17"/>
    <w:rsid w:val="003F3FE1"/>
    <w:rsid w:val="003F4C57"/>
    <w:rsid w:val="003F5870"/>
    <w:rsid w:val="003F5E89"/>
    <w:rsid w:val="00400260"/>
    <w:rsid w:val="00400E91"/>
    <w:rsid w:val="00402186"/>
    <w:rsid w:val="004044C9"/>
    <w:rsid w:val="00404B1D"/>
    <w:rsid w:val="004051D6"/>
    <w:rsid w:val="00405A48"/>
    <w:rsid w:val="00406BCE"/>
    <w:rsid w:val="004072E9"/>
    <w:rsid w:val="00407AD0"/>
    <w:rsid w:val="004101E3"/>
    <w:rsid w:val="00410E0C"/>
    <w:rsid w:val="00410F5E"/>
    <w:rsid w:val="004117FC"/>
    <w:rsid w:val="0041201D"/>
    <w:rsid w:val="004130F2"/>
    <w:rsid w:val="00414231"/>
    <w:rsid w:val="00414760"/>
    <w:rsid w:val="004160EA"/>
    <w:rsid w:val="00421273"/>
    <w:rsid w:val="004223D0"/>
    <w:rsid w:val="00424CBB"/>
    <w:rsid w:val="0042515E"/>
    <w:rsid w:val="004266F6"/>
    <w:rsid w:val="00426A5F"/>
    <w:rsid w:val="00426BD3"/>
    <w:rsid w:val="00427238"/>
    <w:rsid w:val="00430E3F"/>
    <w:rsid w:val="0043133B"/>
    <w:rsid w:val="00431502"/>
    <w:rsid w:val="00431613"/>
    <w:rsid w:val="00433422"/>
    <w:rsid w:val="00433FB0"/>
    <w:rsid w:val="004340AF"/>
    <w:rsid w:val="00436B04"/>
    <w:rsid w:val="0043723A"/>
    <w:rsid w:val="00440174"/>
    <w:rsid w:val="004410AA"/>
    <w:rsid w:val="00441819"/>
    <w:rsid w:val="0044248C"/>
    <w:rsid w:val="00443264"/>
    <w:rsid w:val="0044381B"/>
    <w:rsid w:val="004450CA"/>
    <w:rsid w:val="004452B5"/>
    <w:rsid w:val="004453B4"/>
    <w:rsid w:val="0044734B"/>
    <w:rsid w:val="00450CD4"/>
    <w:rsid w:val="004511BE"/>
    <w:rsid w:val="00452E0C"/>
    <w:rsid w:val="00452F67"/>
    <w:rsid w:val="00454A76"/>
    <w:rsid w:val="00454B46"/>
    <w:rsid w:val="00454EBA"/>
    <w:rsid w:val="004554EB"/>
    <w:rsid w:val="004555C4"/>
    <w:rsid w:val="00455898"/>
    <w:rsid w:val="0046074F"/>
    <w:rsid w:val="00461D65"/>
    <w:rsid w:val="0046201C"/>
    <w:rsid w:val="00462CB3"/>
    <w:rsid w:val="00464185"/>
    <w:rsid w:val="00464C01"/>
    <w:rsid w:val="00464E55"/>
    <w:rsid w:val="00466C22"/>
    <w:rsid w:val="0046737A"/>
    <w:rsid w:val="00467552"/>
    <w:rsid w:val="004715EC"/>
    <w:rsid w:val="004723E1"/>
    <w:rsid w:val="00472614"/>
    <w:rsid w:val="004751AA"/>
    <w:rsid w:val="004752F5"/>
    <w:rsid w:val="004765E6"/>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97CD4"/>
    <w:rsid w:val="004A1786"/>
    <w:rsid w:val="004A1988"/>
    <w:rsid w:val="004A203F"/>
    <w:rsid w:val="004A23C3"/>
    <w:rsid w:val="004A29F0"/>
    <w:rsid w:val="004A3A06"/>
    <w:rsid w:val="004A4777"/>
    <w:rsid w:val="004A4B82"/>
    <w:rsid w:val="004A5A8F"/>
    <w:rsid w:val="004B0BD9"/>
    <w:rsid w:val="004B35B5"/>
    <w:rsid w:val="004B4377"/>
    <w:rsid w:val="004B4B26"/>
    <w:rsid w:val="004B4CE6"/>
    <w:rsid w:val="004B6A13"/>
    <w:rsid w:val="004B6F19"/>
    <w:rsid w:val="004B770E"/>
    <w:rsid w:val="004B79C5"/>
    <w:rsid w:val="004C03BB"/>
    <w:rsid w:val="004C0FCB"/>
    <w:rsid w:val="004C1D16"/>
    <w:rsid w:val="004C1FA4"/>
    <w:rsid w:val="004C2264"/>
    <w:rsid w:val="004C2373"/>
    <w:rsid w:val="004C2895"/>
    <w:rsid w:val="004C32E8"/>
    <w:rsid w:val="004C4392"/>
    <w:rsid w:val="004C4792"/>
    <w:rsid w:val="004C4C3F"/>
    <w:rsid w:val="004C4CC8"/>
    <w:rsid w:val="004C4EC9"/>
    <w:rsid w:val="004C5D8F"/>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AF"/>
    <w:rsid w:val="004D7F6A"/>
    <w:rsid w:val="004E0374"/>
    <w:rsid w:val="004E0912"/>
    <w:rsid w:val="004E148D"/>
    <w:rsid w:val="004E168D"/>
    <w:rsid w:val="004E2182"/>
    <w:rsid w:val="004E3EAF"/>
    <w:rsid w:val="004E467B"/>
    <w:rsid w:val="004E573E"/>
    <w:rsid w:val="004E59F9"/>
    <w:rsid w:val="004E6920"/>
    <w:rsid w:val="004E6967"/>
    <w:rsid w:val="004F0380"/>
    <w:rsid w:val="004F0BDB"/>
    <w:rsid w:val="004F1670"/>
    <w:rsid w:val="004F2939"/>
    <w:rsid w:val="004F56DF"/>
    <w:rsid w:val="004F5C0A"/>
    <w:rsid w:val="004F5EFC"/>
    <w:rsid w:val="004F6336"/>
    <w:rsid w:val="004F717A"/>
    <w:rsid w:val="004F7D2D"/>
    <w:rsid w:val="005013F0"/>
    <w:rsid w:val="00502866"/>
    <w:rsid w:val="00503640"/>
    <w:rsid w:val="00504166"/>
    <w:rsid w:val="005055C9"/>
    <w:rsid w:val="005056E3"/>
    <w:rsid w:val="005059A1"/>
    <w:rsid w:val="005074D6"/>
    <w:rsid w:val="005100BC"/>
    <w:rsid w:val="005129F0"/>
    <w:rsid w:val="005131AE"/>
    <w:rsid w:val="00514BCD"/>
    <w:rsid w:val="00515F46"/>
    <w:rsid w:val="005203DE"/>
    <w:rsid w:val="00520D35"/>
    <w:rsid w:val="0052141D"/>
    <w:rsid w:val="00521DF9"/>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5A98"/>
    <w:rsid w:val="00536851"/>
    <w:rsid w:val="00536FA8"/>
    <w:rsid w:val="00541A0C"/>
    <w:rsid w:val="005427DF"/>
    <w:rsid w:val="00543B84"/>
    <w:rsid w:val="005457A6"/>
    <w:rsid w:val="005511C6"/>
    <w:rsid w:val="005549B1"/>
    <w:rsid w:val="005556FA"/>
    <w:rsid w:val="00557ECD"/>
    <w:rsid w:val="00560703"/>
    <w:rsid w:val="0056188D"/>
    <w:rsid w:val="00562201"/>
    <w:rsid w:val="00563F10"/>
    <w:rsid w:val="005660C7"/>
    <w:rsid w:val="00566834"/>
    <w:rsid w:val="00570234"/>
    <w:rsid w:val="00571213"/>
    <w:rsid w:val="00571768"/>
    <w:rsid w:val="00572390"/>
    <w:rsid w:val="00572ADF"/>
    <w:rsid w:val="005731ED"/>
    <w:rsid w:val="00575812"/>
    <w:rsid w:val="00576102"/>
    <w:rsid w:val="00576C93"/>
    <w:rsid w:val="005823BB"/>
    <w:rsid w:val="00583C5C"/>
    <w:rsid w:val="00583F46"/>
    <w:rsid w:val="00585D12"/>
    <w:rsid w:val="005867AF"/>
    <w:rsid w:val="00586BC9"/>
    <w:rsid w:val="0059110C"/>
    <w:rsid w:val="00591127"/>
    <w:rsid w:val="005924E0"/>
    <w:rsid w:val="00593150"/>
    <w:rsid w:val="0059430B"/>
    <w:rsid w:val="005945CF"/>
    <w:rsid w:val="0059615F"/>
    <w:rsid w:val="005976E0"/>
    <w:rsid w:val="005A1490"/>
    <w:rsid w:val="005A333B"/>
    <w:rsid w:val="005A5112"/>
    <w:rsid w:val="005A511A"/>
    <w:rsid w:val="005A5F78"/>
    <w:rsid w:val="005A67BF"/>
    <w:rsid w:val="005B11A7"/>
    <w:rsid w:val="005B1A24"/>
    <w:rsid w:val="005B1B16"/>
    <w:rsid w:val="005B218D"/>
    <w:rsid w:val="005B23BE"/>
    <w:rsid w:val="005B289D"/>
    <w:rsid w:val="005B36F8"/>
    <w:rsid w:val="005B4622"/>
    <w:rsid w:val="005B5449"/>
    <w:rsid w:val="005B5FCE"/>
    <w:rsid w:val="005B723F"/>
    <w:rsid w:val="005B7DD8"/>
    <w:rsid w:val="005C07DD"/>
    <w:rsid w:val="005C0935"/>
    <w:rsid w:val="005C0EBA"/>
    <w:rsid w:val="005C2B94"/>
    <w:rsid w:val="005C38D1"/>
    <w:rsid w:val="005C3A0A"/>
    <w:rsid w:val="005C4929"/>
    <w:rsid w:val="005C636A"/>
    <w:rsid w:val="005C6EE9"/>
    <w:rsid w:val="005C7890"/>
    <w:rsid w:val="005C7F3D"/>
    <w:rsid w:val="005D08C0"/>
    <w:rsid w:val="005D0E1E"/>
    <w:rsid w:val="005D133A"/>
    <w:rsid w:val="005D2C6E"/>
    <w:rsid w:val="005D4783"/>
    <w:rsid w:val="005D59A6"/>
    <w:rsid w:val="005D7240"/>
    <w:rsid w:val="005E04A0"/>
    <w:rsid w:val="005E2CA1"/>
    <w:rsid w:val="005E4E41"/>
    <w:rsid w:val="005E6BB6"/>
    <w:rsid w:val="005E72C4"/>
    <w:rsid w:val="005F0CC3"/>
    <w:rsid w:val="005F212B"/>
    <w:rsid w:val="005F381E"/>
    <w:rsid w:val="005F3FE7"/>
    <w:rsid w:val="005F47C8"/>
    <w:rsid w:val="005F5346"/>
    <w:rsid w:val="005F627B"/>
    <w:rsid w:val="005F68DB"/>
    <w:rsid w:val="006000F5"/>
    <w:rsid w:val="00600129"/>
    <w:rsid w:val="00600436"/>
    <w:rsid w:val="00600A56"/>
    <w:rsid w:val="00601406"/>
    <w:rsid w:val="0060164A"/>
    <w:rsid w:val="006028E4"/>
    <w:rsid w:val="006029AB"/>
    <w:rsid w:val="00602BD9"/>
    <w:rsid w:val="00602CA6"/>
    <w:rsid w:val="00602F45"/>
    <w:rsid w:val="006032F9"/>
    <w:rsid w:val="00603687"/>
    <w:rsid w:val="00604BDE"/>
    <w:rsid w:val="00605A63"/>
    <w:rsid w:val="00605D12"/>
    <w:rsid w:val="00605D78"/>
    <w:rsid w:val="006075C8"/>
    <w:rsid w:val="00607B0C"/>
    <w:rsid w:val="0061006F"/>
    <w:rsid w:val="006118D0"/>
    <w:rsid w:val="00611EB6"/>
    <w:rsid w:val="0061209C"/>
    <w:rsid w:val="006121C8"/>
    <w:rsid w:val="00612786"/>
    <w:rsid w:val="00614F27"/>
    <w:rsid w:val="00615A36"/>
    <w:rsid w:val="00615FC0"/>
    <w:rsid w:val="00617BC1"/>
    <w:rsid w:val="00620353"/>
    <w:rsid w:val="00621358"/>
    <w:rsid w:val="00621E8D"/>
    <w:rsid w:val="0062224D"/>
    <w:rsid w:val="00622E10"/>
    <w:rsid w:val="00623381"/>
    <w:rsid w:val="00624092"/>
    <w:rsid w:val="006243FF"/>
    <w:rsid w:val="00625BF7"/>
    <w:rsid w:val="0062659D"/>
    <w:rsid w:val="0062786D"/>
    <w:rsid w:val="00630107"/>
    <w:rsid w:val="00630C86"/>
    <w:rsid w:val="0063131D"/>
    <w:rsid w:val="0063351A"/>
    <w:rsid w:val="00633859"/>
    <w:rsid w:val="00633EE4"/>
    <w:rsid w:val="00635422"/>
    <w:rsid w:val="006360CE"/>
    <w:rsid w:val="00636265"/>
    <w:rsid w:val="00637823"/>
    <w:rsid w:val="0064059B"/>
    <w:rsid w:val="006418BB"/>
    <w:rsid w:val="00641E76"/>
    <w:rsid w:val="006431D6"/>
    <w:rsid w:val="006454E3"/>
    <w:rsid w:val="00645AEF"/>
    <w:rsid w:val="00645AF1"/>
    <w:rsid w:val="006505D4"/>
    <w:rsid w:val="00651385"/>
    <w:rsid w:val="00652403"/>
    <w:rsid w:val="006526CD"/>
    <w:rsid w:val="00652A5E"/>
    <w:rsid w:val="00654C10"/>
    <w:rsid w:val="00654E16"/>
    <w:rsid w:val="006552C4"/>
    <w:rsid w:val="00655630"/>
    <w:rsid w:val="0065669D"/>
    <w:rsid w:val="00664745"/>
    <w:rsid w:val="00664BB9"/>
    <w:rsid w:val="00665029"/>
    <w:rsid w:val="00665746"/>
    <w:rsid w:val="006666FC"/>
    <w:rsid w:val="00667A26"/>
    <w:rsid w:val="00671CB0"/>
    <w:rsid w:val="006725DB"/>
    <w:rsid w:val="00672806"/>
    <w:rsid w:val="006732E3"/>
    <w:rsid w:val="00673F72"/>
    <w:rsid w:val="0067423E"/>
    <w:rsid w:val="0067520B"/>
    <w:rsid w:val="00677A39"/>
    <w:rsid w:val="0068143A"/>
    <w:rsid w:val="00685BEC"/>
    <w:rsid w:val="00686E74"/>
    <w:rsid w:val="0068711F"/>
    <w:rsid w:val="00687664"/>
    <w:rsid w:val="00687F53"/>
    <w:rsid w:val="00690A4B"/>
    <w:rsid w:val="0069160D"/>
    <w:rsid w:val="00691B26"/>
    <w:rsid w:val="00692624"/>
    <w:rsid w:val="00696648"/>
    <w:rsid w:val="006A3CA3"/>
    <w:rsid w:val="006A40CC"/>
    <w:rsid w:val="006A7902"/>
    <w:rsid w:val="006B003C"/>
    <w:rsid w:val="006B0A9D"/>
    <w:rsid w:val="006B0CD9"/>
    <w:rsid w:val="006B1BFA"/>
    <w:rsid w:val="006B2D90"/>
    <w:rsid w:val="006B49EE"/>
    <w:rsid w:val="006B4BD0"/>
    <w:rsid w:val="006B4E2E"/>
    <w:rsid w:val="006B6629"/>
    <w:rsid w:val="006B6AE8"/>
    <w:rsid w:val="006C0E24"/>
    <w:rsid w:val="006C24EE"/>
    <w:rsid w:val="006C3085"/>
    <w:rsid w:val="006C34B3"/>
    <w:rsid w:val="006C3D71"/>
    <w:rsid w:val="006C449C"/>
    <w:rsid w:val="006C6052"/>
    <w:rsid w:val="006C6E4C"/>
    <w:rsid w:val="006C7905"/>
    <w:rsid w:val="006D1982"/>
    <w:rsid w:val="006D1A70"/>
    <w:rsid w:val="006D2274"/>
    <w:rsid w:val="006D40B6"/>
    <w:rsid w:val="006D60D9"/>
    <w:rsid w:val="006D6AF6"/>
    <w:rsid w:val="006D798D"/>
    <w:rsid w:val="006D7BC4"/>
    <w:rsid w:val="006E052B"/>
    <w:rsid w:val="006E1876"/>
    <w:rsid w:val="006E4C29"/>
    <w:rsid w:val="006E6158"/>
    <w:rsid w:val="006E61C5"/>
    <w:rsid w:val="006F0823"/>
    <w:rsid w:val="006F0968"/>
    <w:rsid w:val="006F0E3F"/>
    <w:rsid w:val="006F1795"/>
    <w:rsid w:val="006F26E0"/>
    <w:rsid w:val="006F2EFD"/>
    <w:rsid w:val="006F462E"/>
    <w:rsid w:val="006F4F7B"/>
    <w:rsid w:val="006F5700"/>
    <w:rsid w:val="007007C0"/>
    <w:rsid w:val="00700897"/>
    <w:rsid w:val="00701518"/>
    <w:rsid w:val="00702538"/>
    <w:rsid w:val="007030A4"/>
    <w:rsid w:val="00704A98"/>
    <w:rsid w:val="00705247"/>
    <w:rsid w:val="00706494"/>
    <w:rsid w:val="00714217"/>
    <w:rsid w:val="007146E9"/>
    <w:rsid w:val="00714E39"/>
    <w:rsid w:val="007153A9"/>
    <w:rsid w:val="007153D8"/>
    <w:rsid w:val="00716426"/>
    <w:rsid w:val="0071667D"/>
    <w:rsid w:val="00716DDA"/>
    <w:rsid w:val="00716E4D"/>
    <w:rsid w:val="0071706B"/>
    <w:rsid w:val="00720722"/>
    <w:rsid w:val="00721457"/>
    <w:rsid w:val="00721A36"/>
    <w:rsid w:val="00723FF4"/>
    <w:rsid w:val="00724E51"/>
    <w:rsid w:val="0072513E"/>
    <w:rsid w:val="0072705D"/>
    <w:rsid w:val="0073015D"/>
    <w:rsid w:val="00731DD0"/>
    <w:rsid w:val="007328FF"/>
    <w:rsid w:val="0073394F"/>
    <w:rsid w:val="007340BA"/>
    <w:rsid w:val="0073425E"/>
    <w:rsid w:val="00734913"/>
    <w:rsid w:val="00735A19"/>
    <w:rsid w:val="00736EE4"/>
    <w:rsid w:val="00737245"/>
    <w:rsid w:val="00737688"/>
    <w:rsid w:val="00737B55"/>
    <w:rsid w:val="007404B2"/>
    <w:rsid w:val="007405CB"/>
    <w:rsid w:val="00740D65"/>
    <w:rsid w:val="00741008"/>
    <w:rsid w:val="0074221B"/>
    <w:rsid w:val="00743B8B"/>
    <w:rsid w:val="00743D43"/>
    <w:rsid w:val="00743F23"/>
    <w:rsid w:val="007453CE"/>
    <w:rsid w:val="00746E59"/>
    <w:rsid w:val="007527AA"/>
    <w:rsid w:val="00753436"/>
    <w:rsid w:val="00754073"/>
    <w:rsid w:val="00754CA3"/>
    <w:rsid w:val="00756687"/>
    <w:rsid w:val="00756D4F"/>
    <w:rsid w:val="00757A0A"/>
    <w:rsid w:val="00760554"/>
    <w:rsid w:val="00760DF8"/>
    <w:rsid w:val="007634CE"/>
    <w:rsid w:val="007649BB"/>
    <w:rsid w:val="00764C5A"/>
    <w:rsid w:val="00765777"/>
    <w:rsid w:val="00765968"/>
    <w:rsid w:val="00765E7D"/>
    <w:rsid w:val="00765F43"/>
    <w:rsid w:val="00766C72"/>
    <w:rsid w:val="00771414"/>
    <w:rsid w:val="007717E5"/>
    <w:rsid w:val="0077529F"/>
    <w:rsid w:val="00776DF1"/>
    <w:rsid w:val="00776FC4"/>
    <w:rsid w:val="00777571"/>
    <w:rsid w:val="00781327"/>
    <w:rsid w:val="007825DE"/>
    <w:rsid w:val="007828BF"/>
    <w:rsid w:val="00784566"/>
    <w:rsid w:val="00785B15"/>
    <w:rsid w:val="00786677"/>
    <w:rsid w:val="0079081A"/>
    <w:rsid w:val="00791BD5"/>
    <w:rsid w:val="007929EB"/>
    <w:rsid w:val="00795C6D"/>
    <w:rsid w:val="007963E5"/>
    <w:rsid w:val="007A0255"/>
    <w:rsid w:val="007A23CB"/>
    <w:rsid w:val="007A2475"/>
    <w:rsid w:val="007A2A11"/>
    <w:rsid w:val="007A2FB5"/>
    <w:rsid w:val="007A36C1"/>
    <w:rsid w:val="007A4848"/>
    <w:rsid w:val="007A7333"/>
    <w:rsid w:val="007B10F9"/>
    <w:rsid w:val="007B327F"/>
    <w:rsid w:val="007B4E23"/>
    <w:rsid w:val="007B4EE0"/>
    <w:rsid w:val="007B5570"/>
    <w:rsid w:val="007B59A0"/>
    <w:rsid w:val="007B5A58"/>
    <w:rsid w:val="007B5EED"/>
    <w:rsid w:val="007B6C45"/>
    <w:rsid w:val="007B75C3"/>
    <w:rsid w:val="007C074D"/>
    <w:rsid w:val="007C135D"/>
    <w:rsid w:val="007C2CD9"/>
    <w:rsid w:val="007C75BF"/>
    <w:rsid w:val="007D00C8"/>
    <w:rsid w:val="007D0BF2"/>
    <w:rsid w:val="007D0F3E"/>
    <w:rsid w:val="007D0FF7"/>
    <w:rsid w:val="007D1749"/>
    <w:rsid w:val="007D1923"/>
    <w:rsid w:val="007D1E2D"/>
    <w:rsid w:val="007D2E97"/>
    <w:rsid w:val="007D38CD"/>
    <w:rsid w:val="007D6816"/>
    <w:rsid w:val="007D70D2"/>
    <w:rsid w:val="007D7872"/>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8F2"/>
    <w:rsid w:val="007F7DC0"/>
    <w:rsid w:val="00802619"/>
    <w:rsid w:val="00802625"/>
    <w:rsid w:val="00802905"/>
    <w:rsid w:val="00806272"/>
    <w:rsid w:val="00806734"/>
    <w:rsid w:val="00810FC7"/>
    <w:rsid w:val="00812161"/>
    <w:rsid w:val="008129ED"/>
    <w:rsid w:val="00814FEC"/>
    <w:rsid w:val="00815006"/>
    <w:rsid w:val="008150D6"/>
    <w:rsid w:val="00815DD2"/>
    <w:rsid w:val="008165A2"/>
    <w:rsid w:val="00816EEF"/>
    <w:rsid w:val="00817606"/>
    <w:rsid w:val="0082113C"/>
    <w:rsid w:val="008219B1"/>
    <w:rsid w:val="00822843"/>
    <w:rsid w:val="0082345F"/>
    <w:rsid w:val="00824AAD"/>
    <w:rsid w:val="00824F75"/>
    <w:rsid w:val="00825A94"/>
    <w:rsid w:val="00825E4F"/>
    <w:rsid w:val="00826A43"/>
    <w:rsid w:val="008270E3"/>
    <w:rsid w:val="00827D87"/>
    <w:rsid w:val="008312FA"/>
    <w:rsid w:val="0083151B"/>
    <w:rsid w:val="00831576"/>
    <w:rsid w:val="00833468"/>
    <w:rsid w:val="00833743"/>
    <w:rsid w:val="008349B4"/>
    <w:rsid w:val="0083503E"/>
    <w:rsid w:val="00835719"/>
    <w:rsid w:val="00835DFB"/>
    <w:rsid w:val="0083738A"/>
    <w:rsid w:val="0084119B"/>
    <w:rsid w:val="00841F84"/>
    <w:rsid w:val="00842069"/>
    <w:rsid w:val="00842109"/>
    <w:rsid w:val="00842E81"/>
    <w:rsid w:val="0084318F"/>
    <w:rsid w:val="00843F31"/>
    <w:rsid w:val="00844B19"/>
    <w:rsid w:val="00845906"/>
    <w:rsid w:val="008466CF"/>
    <w:rsid w:val="008467F4"/>
    <w:rsid w:val="00847377"/>
    <w:rsid w:val="00847829"/>
    <w:rsid w:val="00847C0A"/>
    <w:rsid w:val="0085198C"/>
    <w:rsid w:val="00851A73"/>
    <w:rsid w:val="008532DA"/>
    <w:rsid w:val="008533B5"/>
    <w:rsid w:val="00853C3E"/>
    <w:rsid w:val="00854E9B"/>
    <w:rsid w:val="00856732"/>
    <w:rsid w:val="00856A15"/>
    <w:rsid w:val="0085707E"/>
    <w:rsid w:val="00857FC8"/>
    <w:rsid w:val="008614A0"/>
    <w:rsid w:val="0086348F"/>
    <w:rsid w:val="00863499"/>
    <w:rsid w:val="00863D54"/>
    <w:rsid w:val="0086495C"/>
    <w:rsid w:val="00864F7F"/>
    <w:rsid w:val="008660DA"/>
    <w:rsid w:val="00874D10"/>
    <w:rsid w:val="008761FD"/>
    <w:rsid w:val="00876C39"/>
    <w:rsid w:val="0088007F"/>
    <w:rsid w:val="00880811"/>
    <w:rsid w:val="00880ECA"/>
    <w:rsid w:val="00881E66"/>
    <w:rsid w:val="00882317"/>
    <w:rsid w:val="00883EAE"/>
    <w:rsid w:val="00884169"/>
    <w:rsid w:val="008843C3"/>
    <w:rsid w:val="00884C90"/>
    <w:rsid w:val="0088658E"/>
    <w:rsid w:val="00886A0F"/>
    <w:rsid w:val="00887C3C"/>
    <w:rsid w:val="00890E93"/>
    <w:rsid w:val="0089138A"/>
    <w:rsid w:val="008913F4"/>
    <w:rsid w:val="008925D1"/>
    <w:rsid w:val="0089366C"/>
    <w:rsid w:val="00893D77"/>
    <w:rsid w:val="00896283"/>
    <w:rsid w:val="0089677B"/>
    <w:rsid w:val="00896B65"/>
    <w:rsid w:val="00897635"/>
    <w:rsid w:val="00897E7B"/>
    <w:rsid w:val="008A0E34"/>
    <w:rsid w:val="008A1405"/>
    <w:rsid w:val="008A1524"/>
    <w:rsid w:val="008A3505"/>
    <w:rsid w:val="008A4649"/>
    <w:rsid w:val="008A4DB2"/>
    <w:rsid w:val="008A626F"/>
    <w:rsid w:val="008A6D97"/>
    <w:rsid w:val="008A7451"/>
    <w:rsid w:val="008B02F5"/>
    <w:rsid w:val="008B049F"/>
    <w:rsid w:val="008B1078"/>
    <w:rsid w:val="008B26AC"/>
    <w:rsid w:val="008B276C"/>
    <w:rsid w:val="008B2D5C"/>
    <w:rsid w:val="008B38CB"/>
    <w:rsid w:val="008B3FCA"/>
    <w:rsid w:val="008B4620"/>
    <w:rsid w:val="008B53F5"/>
    <w:rsid w:val="008B55D3"/>
    <w:rsid w:val="008B60AE"/>
    <w:rsid w:val="008B637F"/>
    <w:rsid w:val="008C11D8"/>
    <w:rsid w:val="008C1899"/>
    <w:rsid w:val="008C44B0"/>
    <w:rsid w:val="008C5AA8"/>
    <w:rsid w:val="008C7EC7"/>
    <w:rsid w:val="008D008C"/>
    <w:rsid w:val="008D03BE"/>
    <w:rsid w:val="008D0F14"/>
    <w:rsid w:val="008D10AA"/>
    <w:rsid w:val="008D1B00"/>
    <w:rsid w:val="008D4D57"/>
    <w:rsid w:val="008D50DF"/>
    <w:rsid w:val="008D581B"/>
    <w:rsid w:val="008D662D"/>
    <w:rsid w:val="008D6B0A"/>
    <w:rsid w:val="008D7B9A"/>
    <w:rsid w:val="008E09FF"/>
    <w:rsid w:val="008E1437"/>
    <w:rsid w:val="008E252F"/>
    <w:rsid w:val="008E2B7B"/>
    <w:rsid w:val="008E5ED7"/>
    <w:rsid w:val="008F01A1"/>
    <w:rsid w:val="008F4F1E"/>
    <w:rsid w:val="008F5A62"/>
    <w:rsid w:val="008F6009"/>
    <w:rsid w:val="008F66DA"/>
    <w:rsid w:val="00900005"/>
    <w:rsid w:val="00900E9E"/>
    <w:rsid w:val="009010B8"/>
    <w:rsid w:val="009013AA"/>
    <w:rsid w:val="009059DA"/>
    <w:rsid w:val="009059F0"/>
    <w:rsid w:val="00906360"/>
    <w:rsid w:val="00906A65"/>
    <w:rsid w:val="00906B3E"/>
    <w:rsid w:val="00906C84"/>
    <w:rsid w:val="00907698"/>
    <w:rsid w:val="00907F69"/>
    <w:rsid w:val="00912426"/>
    <w:rsid w:val="00912614"/>
    <w:rsid w:val="009132BC"/>
    <w:rsid w:val="00913FE6"/>
    <w:rsid w:val="00915326"/>
    <w:rsid w:val="00915ACA"/>
    <w:rsid w:val="00915F84"/>
    <w:rsid w:val="00916D86"/>
    <w:rsid w:val="009170A5"/>
    <w:rsid w:val="00920834"/>
    <w:rsid w:val="00920A0F"/>
    <w:rsid w:val="00921278"/>
    <w:rsid w:val="009213EC"/>
    <w:rsid w:val="009214A3"/>
    <w:rsid w:val="0092153D"/>
    <w:rsid w:val="00925386"/>
    <w:rsid w:val="00927048"/>
    <w:rsid w:val="00930B22"/>
    <w:rsid w:val="009315C4"/>
    <w:rsid w:val="009321E3"/>
    <w:rsid w:val="00932712"/>
    <w:rsid w:val="009339AD"/>
    <w:rsid w:val="00934716"/>
    <w:rsid w:val="00936461"/>
    <w:rsid w:val="00936BF4"/>
    <w:rsid w:val="009403B9"/>
    <w:rsid w:val="00941366"/>
    <w:rsid w:val="00942287"/>
    <w:rsid w:val="009424C4"/>
    <w:rsid w:val="009429A7"/>
    <w:rsid w:val="00942B73"/>
    <w:rsid w:val="0094389A"/>
    <w:rsid w:val="00943A02"/>
    <w:rsid w:val="009440B5"/>
    <w:rsid w:val="00945568"/>
    <w:rsid w:val="009459BC"/>
    <w:rsid w:val="00946675"/>
    <w:rsid w:val="00946BA9"/>
    <w:rsid w:val="00947A13"/>
    <w:rsid w:val="009506F5"/>
    <w:rsid w:val="009508A1"/>
    <w:rsid w:val="00951979"/>
    <w:rsid w:val="00952595"/>
    <w:rsid w:val="009532CD"/>
    <w:rsid w:val="00953817"/>
    <w:rsid w:val="00953A58"/>
    <w:rsid w:val="00955BC3"/>
    <w:rsid w:val="00963B38"/>
    <w:rsid w:val="00963E55"/>
    <w:rsid w:val="00964502"/>
    <w:rsid w:val="009647EB"/>
    <w:rsid w:val="009702AF"/>
    <w:rsid w:val="00970459"/>
    <w:rsid w:val="0097090F"/>
    <w:rsid w:val="00970AAF"/>
    <w:rsid w:val="00970C5F"/>
    <w:rsid w:val="00971DA9"/>
    <w:rsid w:val="0097271C"/>
    <w:rsid w:val="00972929"/>
    <w:rsid w:val="00972BB9"/>
    <w:rsid w:val="00972C5D"/>
    <w:rsid w:val="00972D9B"/>
    <w:rsid w:val="00973203"/>
    <w:rsid w:val="0097513E"/>
    <w:rsid w:val="0097550A"/>
    <w:rsid w:val="0097594F"/>
    <w:rsid w:val="00975C86"/>
    <w:rsid w:val="00976C8B"/>
    <w:rsid w:val="00977208"/>
    <w:rsid w:val="009801F9"/>
    <w:rsid w:val="00980E5F"/>
    <w:rsid w:val="00981112"/>
    <w:rsid w:val="00982149"/>
    <w:rsid w:val="00982883"/>
    <w:rsid w:val="009838E6"/>
    <w:rsid w:val="009857B8"/>
    <w:rsid w:val="00987494"/>
    <w:rsid w:val="00990477"/>
    <w:rsid w:val="00991257"/>
    <w:rsid w:val="0099330F"/>
    <w:rsid w:val="009934F5"/>
    <w:rsid w:val="00993ABD"/>
    <w:rsid w:val="00994DCD"/>
    <w:rsid w:val="00995808"/>
    <w:rsid w:val="009958E1"/>
    <w:rsid w:val="00995BC7"/>
    <w:rsid w:val="009974A0"/>
    <w:rsid w:val="009A266B"/>
    <w:rsid w:val="009A27EE"/>
    <w:rsid w:val="009A3243"/>
    <w:rsid w:val="009A36AD"/>
    <w:rsid w:val="009A408B"/>
    <w:rsid w:val="009A40FD"/>
    <w:rsid w:val="009A4600"/>
    <w:rsid w:val="009A626F"/>
    <w:rsid w:val="009A7459"/>
    <w:rsid w:val="009A7658"/>
    <w:rsid w:val="009B3957"/>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3504"/>
    <w:rsid w:val="009D39CD"/>
    <w:rsid w:val="009D4093"/>
    <w:rsid w:val="009D61E3"/>
    <w:rsid w:val="009D76AC"/>
    <w:rsid w:val="009D79E8"/>
    <w:rsid w:val="009E0802"/>
    <w:rsid w:val="009E0B35"/>
    <w:rsid w:val="009E0CF9"/>
    <w:rsid w:val="009E28C6"/>
    <w:rsid w:val="009E2B32"/>
    <w:rsid w:val="009E3D7D"/>
    <w:rsid w:val="009E3F96"/>
    <w:rsid w:val="009E48CB"/>
    <w:rsid w:val="009E4B36"/>
    <w:rsid w:val="009E656E"/>
    <w:rsid w:val="009E710E"/>
    <w:rsid w:val="009E7F7C"/>
    <w:rsid w:val="009F161D"/>
    <w:rsid w:val="009F3EB5"/>
    <w:rsid w:val="009F4299"/>
    <w:rsid w:val="009F51E3"/>
    <w:rsid w:val="009F6854"/>
    <w:rsid w:val="009F6D96"/>
    <w:rsid w:val="009F6DB2"/>
    <w:rsid w:val="009F73D1"/>
    <w:rsid w:val="009F7F4F"/>
    <w:rsid w:val="00A0116B"/>
    <w:rsid w:val="00A018B9"/>
    <w:rsid w:val="00A0409D"/>
    <w:rsid w:val="00A05862"/>
    <w:rsid w:val="00A05FB2"/>
    <w:rsid w:val="00A0624A"/>
    <w:rsid w:val="00A0669F"/>
    <w:rsid w:val="00A070C3"/>
    <w:rsid w:val="00A074A6"/>
    <w:rsid w:val="00A105A2"/>
    <w:rsid w:val="00A10909"/>
    <w:rsid w:val="00A11D50"/>
    <w:rsid w:val="00A1231D"/>
    <w:rsid w:val="00A12ECB"/>
    <w:rsid w:val="00A1544C"/>
    <w:rsid w:val="00A16752"/>
    <w:rsid w:val="00A20733"/>
    <w:rsid w:val="00A2206B"/>
    <w:rsid w:val="00A22491"/>
    <w:rsid w:val="00A226B9"/>
    <w:rsid w:val="00A22D5F"/>
    <w:rsid w:val="00A23C77"/>
    <w:rsid w:val="00A23D25"/>
    <w:rsid w:val="00A24FEB"/>
    <w:rsid w:val="00A257FE"/>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55D"/>
    <w:rsid w:val="00A436B4"/>
    <w:rsid w:val="00A44166"/>
    <w:rsid w:val="00A45383"/>
    <w:rsid w:val="00A459EC"/>
    <w:rsid w:val="00A45F6C"/>
    <w:rsid w:val="00A4676E"/>
    <w:rsid w:val="00A4705E"/>
    <w:rsid w:val="00A50688"/>
    <w:rsid w:val="00A51457"/>
    <w:rsid w:val="00A53753"/>
    <w:rsid w:val="00A56239"/>
    <w:rsid w:val="00A56DF9"/>
    <w:rsid w:val="00A60D79"/>
    <w:rsid w:val="00A61856"/>
    <w:rsid w:val="00A62752"/>
    <w:rsid w:val="00A64F47"/>
    <w:rsid w:val="00A666D5"/>
    <w:rsid w:val="00A70794"/>
    <w:rsid w:val="00A71117"/>
    <w:rsid w:val="00A7219F"/>
    <w:rsid w:val="00A736FA"/>
    <w:rsid w:val="00A738A0"/>
    <w:rsid w:val="00A7545A"/>
    <w:rsid w:val="00A75C69"/>
    <w:rsid w:val="00A76C16"/>
    <w:rsid w:val="00A770D7"/>
    <w:rsid w:val="00A77FA6"/>
    <w:rsid w:val="00A80F6A"/>
    <w:rsid w:val="00A81EBF"/>
    <w:rsid w:val="00A827DF"/>
    <w:rsid w:val="00A8293C"/>
    <w:rsid w:val="00A83B18"/>
    <w:rsid w:val="00A83B36"/>
    <w:rsid w:val="00A85A08"/>
    <w:rsid w:val="00A94434"/>
    <w:rsid w:val="00A95F46"/>
    <w:rsid w:val="00A974EA"/>
    <w:rsid w:val="00A97B19"/>
    <w:rsid w:val="00AA076D"/>
    <w:rsid w:val="00AA2EAB"/>
    <w:rsid w:val="00AA547D"/>
    <w:rsid w:val="00AA6C7F"/>
    <w:rsid w:val="00AA6EC6"/>
    <w:rsid w:val="00AA7D32"/>
    <w:rsid w:val="00AB1010"/>
    <w:rsid w:val="00AB23D8"/>
    <w:rsid w:val="00AB3395"/>
    <w:rsid w:val="00AB4121"/>
    <w:rsid w:val="00AB4998"/>
    <w:rsid w:val="00AB618E"/>
    <w:rsid w:val="00AB68FC"/>
    <w:rsid w:val="00AC061D"/>
    <w:rsid w:val="00AC173F"/>
    <w:rsid w:val="00AC41FA"/>
    <w:rsid w:val="00AC4C05"/>
    <w:rsid w:val="00AC5800"/>
    <w:rsid w:val="00AC6F76"/>
    <w:rsid w:val="00AC75BC"/>
    <w:rsid w:val="00AD2EA6"/>
    <w:rsid w:val="00AD3B74"/>
    <w:rsid w:val="00AD5183"/>
    <w:rsid w:val="00AE2AE4"/>
    <w:rsid w:val="00AE2C9E"/>
    <w:rsid w:val="00AE3480"/>
    <w:rsid w:val="00AE52C2"/>
    <w:rsid w:val="00AE5FDB"/>
    <w:rsid w:val="00AE745A"/>
    <w:rsid w:val="00AE7F1E"/>
    <w:rsid w:val="00AF0BAB"/>
    <w:rsid w:val="00AF1395"/>
    <w:rsid w:val="00AF19E9"/>
    <w:rsid w:val="00AF3594"/>
    <w:rsid w:val="00AF4133"/>
    <w:rsid w:val="00AF4716"/>
    <w:rsid w:val="00AF538F"/>
    <w:rsid w:val="00AF5D7B"/>
    <w:rsid w:val="00AF7B03"/>
    <w:rsid w:val="00B015D5"/>
    <w:rsid w:val="00B01A33"/>
    <w:rsid w:val="00B03C85"/>
    <w:rsid w:val="00B04BBA"/>
    <w:rsid w:val="00B10993"/>
    <w:rsid w:val="00B12D88"/>
    <w:rsid w:val="00B13372"/>
    <w:rsid w:val="00B140F9"/>
    <w:rsid w:val="00B14243"/>
    <w:rsid w:val="00B153BC"/>
    <w:rsid w:val="00B16E80"/>
    <w:rsid w:val="00B22145"/>
    <w:rsid w:val="00B22FE3"/>
    <w:rsid w:val="00B23C50"/>
    <w:rsid w:val="00B23DA2"/>
    <w:rsid w:val="00B27A68"/>
    <w:rsid w:val="00B30DC1"/>
    <w:rsid w:val="00B30DD9"/>
    <w:rsid w:val="00B31607"/>
    <w:rsid w:val="00B318C9"/>
    <w:rsid w:val="00B31D58"/>
    <w:rsid w:val="00B320E1"/>
    <w:rsid w:val="00B33487"/>
    <w:rsid w:val="00B33879"/>
    <w:rsid w:val="00B3431D"/>
    <w:rsid w:val="00B34F8F"/>
    <w:rsid w:val="00B372DE"/>
    <w:rsid w:val="00B401AA"/>
    <w:rsid w:val="00B407BB"/>
    <w:rsid w:val="00B4118D"/>
    <w:rsid w:val="00B41559"/>
    <w:rsid w:val="00B42F65"/>
    <w:rsid w:val="00B43A68"/>
    <w:rsid w:val="00B44644"/>
    <w:rsid w:val="00B4596F"/>
    <w:rsid w:val="00B46EAE"/>
    <w:rsid w:val="00B47797"/>
    <w:rsid w:val="00B47B7F"/>
    <w:rsid w:val="00B47D7D"/>
    <w:rsid w:val="00B50227"/>
    <w:rsid w:val="00B50C59"/>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4997"/>
    <w:rsid w:val="00B75183"/>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840"/>
    <w:rsid w:val="00BB45AF"/>
    <w:rsid w:val="00BB4E88"/>
    <w:rsid w:val="00BB5DFE"/>
    <w:rsid w:val="00BB6621"/>
    <w:rsid w:val="00BB7F7A"/>
    <w:rsid w:val="00BC02AC"/>
    <w:rsid w:val="00BC21C5"/>
    <w:rsid w:val="00BD2F49"/>
    <w:rsid w:val="00BD36D7"/>
    <w:rsid w:val="00BD44FB"/>
    <w:rsid w:val="00BD4BC4"/>
    <w:rsid w:val="00BD580D"/>
    <w:rsid w:val="00BD799E"/>
    <w:rsid w:val="00BD7C17"/>
    <w:rsid w:val="00BD7FB6"/>
    <w:rsid w:val="00BE00E6"/>
    <w:rsid w:val="00BE0505"/>
    <w:rsid w:val="00BE0875"/>
    <w:rsid w:val="00BE0955"/>
    <w:rsid w:val="00BE1D4F"/>
    <w:rsid w:val="00BE218A"/>
    <w:rsid w:val="00BE2282"/>
    <w:rsid w:val="00BE2A0A"/>
    <w:rsid w:val="00BE2BEF"/>
    <w:rsid w:val="00BE331D"/>
    <w:rsid w:val="00BE3984"/>
    <w:rsid w:val="00BE49FE"/>
    <w:rsid w:val="00BE51A6"/>
    <w:rsid w:val="00BE62A0"/>
    <w:rsid w:val="00BE6A5C"/>
    <w:rsid w:val="00BE6BAB"/>
    <w:rsid w:val="00BE6EB4"/>
    <w:rsid w:val="00BF30F0"/>
    <w:rsid w:val="00BF3B02"/>
    <w:rsid w:val="00BF433C"/>
    <w:rsid w:val="00BF516B"/>
    <w:rsid w:val="00BF5BAC"/>
    <w:rsid w:val="00BF626A"/>
    <w:rsid w:val="00BF71F1"/>
    <w:rsid w:val="00BF72A5"/>
    <w:rsid w:val="00C00173"/>
    <w:rsid w:val="00C002C1"/>
    <w:rsid w:val="00C00CD9"/>
    <w:rsid w:val="00C019F9"/>
    <w:rsid w:val="00C02605"/>
    <w:rsid w:val="00C027D9"/>
    <w:rsid w:val="00C0455F"/>
    <w:rsid w:val="00C07A7D"/>
    <w:rsid w:val="00C10DB7"/>
    <w:rsid w:val="00C113BF"/>
    <w:rsid w:val="00C12743"/>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6D5"/>
    <w:rsid w:val="00C37812"/>
    <w:rsid w:val="00C40286"/>
    <w:rsid w:val="00C40385"/>
    <w:rsid w:val="00C4295E"/>
    <w:rsid w:val="00C43307"/>
    <w:rsid w:val="00C438B4"/>
    <w:rsid w:val="00C47E60"/>
    <w:rsid w:val="00C50019"/>
    <w:rsid w:val="00C513E4"/>
    <w:rsid w:val="00C52E3F"/>
    <w:rsid w:val="00C549F2"/>
    <w:rsid w:val="00C552D5"/>
    <w:rsid w:val="00C56D8C"/>
    <w:rsid w:val="00C57A0F"/>
    <w:rsid w:val="00C57FD0"/>
    <w:rsid w:val="00C60E08"/>
    <w:rsid w:val="00C62AD2"/>
    <w:rsid w:val="00C62F03"/>
    <w:rsid w:val="00C63BFD"/>
    <w:rsid w:val="00C65092"/>
    <w:rsid w:val="00C66599"/>
    <w:rsid w:val="00C67EFB"/>
    <w:rsid w:val="00C71A98"/>
    <w:rsid w:val="00C71AE0"/>
    <w:rsid w:val="00C7213E"/>
    <w:rsid w:val="00C73EC0"/>
    <w:rsid w:val="00C73F05"/>
    <w:rsid w:val="00C73F6E"/>
    <w:rsid w:val="00C7425B"/>
    <w:rsid w:val="00C74681"/>
    <w:rsid w:val="00C75459"/>
    <w:rsid w:val="00C7605D"/>
    <w:rsid w:val="00C76357"/>
    <w:rsid w:val="00C76E27"/>
    <w:rsid w:val="00C77058"/>
    <w:rsid w:val="00C80457"/>
    <w:rsid w:val="00C80CC4"/>
    <w:rsid w:val="00C8187F"/>
    <w:rsid w:val="00C821BE"/>
    <w:rsid w:val="00C82E85"/>
    <w:rsid w:val="00C83D65"/>
    <w:rsid w:val="00C8455C"/>
    <w:rsid w:val="00C85A3F"/>
    <w:rsid w:val="00C866E5"/>
    <w:rsid w:val="00C8687E"/>
    <w:rsid w:val="00C86980"/>
    <w:rsid w:val="00C86CB6"/>
    <w:rsid w:val="00C87A38"/>
    <w:rsid w:val="00C92EDA"/>
    <w:rsid w:val="00C933C4"/>
    <w:rsid w:val="00C93947"/>
    <w:rsid w:val="00C957A4"/>
    <w:rsid w:val="00C973A7"/>
    <w:rsid w:val="00C97729"/>
    <w:rsid w:val="00CA28B1"/>
    <w:rsid w:val="00CA3E96"/>
    <w:rsid w:val="00CA40B5"/>
    <w:rsid w:val="00CA40EA"/>
    <w:rsid w:val="00CA4757"/>
    <w:rsid w:val="00CA5683"/>
    <w:rsid w:val="00CA5C32"/>
    <w:rsid w:val="00CA5C43"/>
    <w:rsid w:val="00CA6C2E"/>
    <w:rsid w:val="00CA6F70"/>
    <w:rsid w:val="00CA75D8"/>
    <w:rsid w:val="00CA7E74"/>
    <w:rsid w:val="00CB0B10"/>
    <w:rsid w:val="00CB10BE"/>
    <w:rsid w:val="00CB18A5"/>
    <w:rsid w:val="00CB1CBC"/>
    <w:rsid w:val="00CB23B5"/>
    <w:rsid w:val="00CB23FD"/>
    <w:rsid w:val="00CB32CB"/>
    <w:rsid w:val="00CB5E95"/>
    <w:rsid w:val="00CB7C08"/>
    <w:rsid w:val="00CB7EF2"/>
    <w:rsid w:val="00CC1546"/>
    <w:rsid w:val="00CC2C92"/>
    <w:rsid w:val="00CC3DEA"/>
    <w:rsid w:val="00CC5C87"/>
    <w:rsid w:val="00CC6CBC"/>
    <w:rsid w:val="00CD0279"/>
    <w:rsid w:val="00CD03D0"/>
    <w:rsid w:val="00CD18B6"/>
    <w:rsid w:val="00CD310A"/>
    <w:rsid w:val="00CD69A3"/>
    <w:rsid w:val="00CD7C60"/>
    <w:rsid w:val="00CD7CB5"/>
    <w:rsid w:val="00CD7D82"/>
    <w:rsid w:val="00CE2BF5"/>
    <w:rsid w:val="00CE31F4"/>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570"/>
    <w:rsid w:val="00D06D9E"/>
    <w:rsid w:val="00D10BE5"/>
    <w:rsid w:val="00D14C63"/>
    <w:rsid w:val="00D14CAA"/>
    <w:rsid w:val="00D17A9A"/>
    <w:rsid w:val="00D17F96"/>
    <w:rsid w:val="00D202A5"/>
    <w:rsid w:val="00D20624"/>
    <w:rsid w:val="00D20A38"/>
    <w:rsid w:val="00D21A01"/>
    <w:rsid w:val="00D2383F"/>
    <w:rsid w:val="00D24DCC"/>
    <w:rsid w:val="00D26C9D"/>
    <w:rsid w:val="00D26E85"/>
    <w:rsid w:val="00D27E7E"/>
    <w:rsid w:val="00D31149"/>
    <w:rsid w:val="00D314C2"/>
    <w:rsid w:val="00D31940"/>
    <w:rsid w:val="00D32A06"/>
    <w:rsid w:val="00D33004"/>
    <w:rsid w:val="00D349C1"/>
    <w:rsid w:val="00D36FA4"/>
    <w:rsid w:val="00D37519"/>
    <w:rsid w:val="00D37D6A"/>
    <w:rsid w:val="00D40D8F"/>
    <w:rsid w:val="00D4170D"/>
    <w:rsid w:val="00D42311"/>
    <w:rsid w:val="00D43A0B"/>
    <w:rsid w:val="00D440B7"/>
    <w:rsid w:val="00D45BD6"/>
    <w:rsid w:val="00D45D35"/>
    <w:rsid w:val="00D474A6"/>
    <w:rsid w:val="00D523F2"/>
    <w:rsid w:val="00D52E03"/>
    <w:rsid w:val="00D53A56"/>
    <w:rsid w:val="00D540CC"/>
    <w:rsid w:val="00D54956"/>
    <w:rsid w:val="00D556A2"/>
    <w:rsid w:val="00D55A71"/>
    <w:rsid w:val="00D573EA"/>
    <w:rsid w:val="00D57FB1"/>
    <w:rsid w:val="00D612AE"/>
    <w:rsid w:val="00D62B52"/>
    <w:rsid w:val="00D6417A"/>
    <w:rsid w:val="00D65730"/>
    <w:rsid w:val="00D65841"/>
    <w:rsid w:val="00D65984"/>
    <w:rsid w:val="00D65CE3"/>
    <w:rsid w:val="00D67FD9"/>
    <w:rsid w:val="00D7058D"/>
    <w:rsid w:val="00D729F6"/>
    <w:rsid w:val="00D74172"/>
    <w:rsid w:val="00D76A82"/>
    <w:rsid w:val="00D76CB5"/>
    <w:rsid w:val="00D773AC"/>
    <w:rsid w:val="00D80179"/>
    <w:rsid w:val="00D80D74"/>
    <w:rsid w:val="00D81D79"/>
    <w:rsid w:val="00D8504F"/>
    <w:rsid w:val="00D85F5D"/>
    <w:rsid w:val="00D87ACB"/>
    <w:rsid w:val="00D91B28"/>
    <w:rsid w:val="00D936DC"/>
    <w:rsid w:val="00D96041"/>
    <w:rsid w:val="00D970AA"/>
    <w:rsid w:val="00DA2260"/>
    <w:rsid w:val="00DA3A97"/>
    <w:rsid w:val="00DA71EC"/>
    <w:rsid w:val="00DA7CFC"/>
    <w:rsid w:val="00DB0C0E"/>
    <w:rsid w:val="00DB14D9"/>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E1C"/>
    <w:rsid w:val="00DD7AEB"/>
    <w:rsid w:val="00DE1AA3"/>
    <w:rsid w:val="00DE2211"/>
    <w:rsid w:val="00DE2E00"/>
    <w:rsid w:val="00DE2E6F"/>
    <w:rsid w:val="00DE4797"/>
    <w:rsid w:val="00DE4EEF"/>
    <w:rsid w:val="00DE54DB"/>
    <w:rsid w:val="00DE7DE5"/>
    <w:rsid w:val="00DF1D8D"/>
    <w:rsid w:val="00DF2828"/>
    <w:rsid w:val="00DF3548"/>
    <w:rsid w:val="00DF56D3"/>
    <w:rsid w:val="00DF65BF"/>
    <w:rsid w:val="00DF7F02"/>
    <w:rsid w:val="00E00BCC"/>
    <w:rsid w:val="00E021ED"/>
    <w:rsid w:val="00E0267B"/>
    <w:rsid w:val="00E051C0"/>
    <w:rsid w:val="00E06545"/>
    <w:rsid w:val="00E06A8B"/>
    <w:rsid w:val="00E10068"/>
    <w:rsid w:val="00E1211A"/>
    <w:rsid w:val="00E1270B"/>
    <w:rsid w:val="00E12DA2"/>
    <w:rsid w:val="00E14347"/>
    <w:rsid w:val="00E14A07"/>
    <w:rsid w:val="00E16616"/>
    <w:rsid w:val="00E16CFA"/>
    <w:rsid w:val="00E17E08"/>
    <w:rsid w:val="00E17E91"/>
    <w:rsid w:val="00E211B9"/>
    <w:rsid w:val="00E21AF8"/>
    <w:rsid w:val="00E22ABE"/>
    <w:rsid w:val="00E22DB2"/>
    <w:rsid w:val="00E23081"/>
    <w:rsid w:val="00E25969"/>
    <w:rsid w:val="00E261E3"/>
    <w:rsid w:val="00E26C89"/>
    <w:rsid w:val="00E27577"/>
    <w:rsid w:val="00E27FAF"/>
    <w:rsid w:val="00E31BBD"/>
    <w:rsid w:val="00E33C0E"/>
    <w:rsid w:val="00E34223"/>
    <w:rsid w:val="00E3544C"/>
    <w:rsid w:val="00E365C6"/>
    <w:rsid w:val="00E37793"/>
    <w:rsid w:val="00E377B0"/>
    <w:rsid w:val="00E41EAA"/>
    <w:rsid w:val="00E43B15"/>
    <w:rsid w:val="00E440F8"/>
    <w:rsid w:val="00E443DD"/>
    <w:rsid w:val="00E44AA2"/>
    <w:rsid w:val="00E46173"/>
    <w:rsid w:val="00E46584"/>
    <w:rsid w:val="00E46844"/>
    <w:rsid w:val="00E47569"/>
    <w:rsid w:val="00E500E9"/>
    <w:rsid w:val="00E518D8"/>
    <w:rsid w:val="00E52B72"/>
    <w:rsid w:val="00E541C6"/>
    <w:rsid w:val="00E54302"/>
    <w:rsid w:val="00E60739"/>
    <w:rsid w:val="00E60E77"/>
    <w:rsid w:val="00E61DE6"/>
    <w:rsid w:val="00E626D8"/>
    <w:rsid w:val="00E66098"/>
    <w:rsid w:val="00E716EF"/>
    <w:rsid w:val="00E72150"/>
    <w:rsid w:val="00E73E13"/>
    <w:rsid w:val="00E74593"/>
    <w:rsid w:val="00E753C0"/>
    <w:rsid w:val="00E75D69"/>
    <w:rsid w:val="00E76374"/>
    <w:rsid w:val="00E801CF"/>
    <w:rsid w:val="00E8023D"/>
    <w:rsid w:val="00E808E4"/>
    <w:rsid w:val="00E81211"/>
    <w:rsid w:val="00E824B8"/>
    <w:rsid w:val="00E82A98"/>
    <w:rsid w:val="00E83237"/>
    <w:rsid w:val="00E83258"/>
    <w:rsid w:val="00E8337F"/>
    <w:rsid w:val="00E843C0"/>
    <w:rsid w:val="00E85439"/>
    <w:rsid w:val="00E85809"/>
    <w:rsid w:val="00E86EA2"/>
    <w:rsid w:val="00E87574"/>
    <w:rsid w:val="00E87AB3"/>
    <w:rsid w:val="00E91515"/>
    <w:rsid w:val="00E91837"/>
    <w:rsid w:val="00E91C76"/>
    <w:rsid w:val="00E92E42"/>
    <w:rsid w:val="00E94AB9"/>
    <w:rsid w:val="00E94C34"/>
    <w:rsid w:val="00E94D52"/>
    <w:rsid w:val="00E9532B"/>
    <w:rsid w:val="00EA215D"/>
    <w:rsid w:val="00EA2C4E"/>
    <w:rsid w:val="00EA4280"/>
    <w:rsid w:val="00EA4E85"/>
    <w:rsid w:val="00EA568B"/>
    <w:rsid w:val="00EA5DD5"/>
    <w:rsid w:val="00EA7AD1"/>
    <w:rsid w:val="00EA7ECF"/>
    <w:rsid w:val="00EB0AE7"/>
    <w:rsid w:val="00EB6F7E"/>
    <w:rsid w:val="00EB71E8"/>
    <w:rsid w:val="00EC0738"/>
    <w:rsid w:val="00EC105F"/>
    <w:rsid w:val="00EC341C"/>
    <w:rsid w:val="00EC3CDB"/>
    <w:rsid w:val="00EC431A"/>
    <w:rsid w:val="00EC4FFC"/>
    <w:rsid w:val="00EC5EEE"/>
    <w:rsid w:val="00EC6738"/>
    <w:rsid w:val="00EC7BBE"/>
    <w:rsid w:val="00ED0055"/>
    <w:rsid w:val="00ED02D3"/>
    <w:rsid w:val="00ED1AFE"/>
    <w:rsid w:val="00ED2186"/>
    <w:rsid w:val="00ED5664"/>
    <w:rsid w:val="00ED58C3"/>
    <w:rsid w:val="00ED63E1"/>
    <w:rsid w:val="00EE0549"/>
    <w:rsid w:val="00EE0DF0"/>
    <w:rsid w:val="00EE0F24"/>
    <w:rsid w:val="00EE13AB"/>
    <w:rsid w:val="00EE16AE"/>
    <w:rsid w:val="00EE1880"/>
    <w:rsid w:val="00EE1EE6"/>
    <w:rsid w:val="00EE219C"/>
    <w:rsid w:val="00EE281E"/>
    <w:rsid w:val="00EE2DFB"/>
    <w:rsid w:val="00EE4192"/>
    <w:rsid w:val="00EE45F7"/>
    <w:rsid w:val="00EE46AF"/>
    <w:rsid w:val="00EE488E"/>
    <w:rsid w:val="00EE4F35"/>
    <w:rsid w:val="00EE5E47"/>
    <w:rsid w:val="00EE68DD"/>
    <w:rsid w:val="00EE6C37"/>
    <w:rsid w:val="00EE7928"/>
    <w:rsid w:val="00EF0CA6"/>
    <w:rsid w:val="00EF12F2"/>
    <w:rsid w:val="00EF2DD4"/>
    <w:rsid w:val="00EF37EE"/>
    <w:rsid w:val="00EF44A1"/>
    <w:rsid w:val="00EF5F1F"/>
    <w:rsid w:val="00F003DA"/>
    <w:rsid w:val="00F02113"/>
    <w:rsid w:val="00F04288"/>
    <w:rsid w:val="00F04DF7"/>
    <w:rsid w:val="00F05EDA"/>
    <w:rsid w:val="00F069E6"/>
    <w:rsid w:val="00F06FBB"/>
    <w:rsid w:val="00F07336"/>
    <w:rsid w:val="00F075D5"/>
    <w:rsid w:val="00F113D9"/>
    <w:rsid w:val="00F116C7"/>
    <w:rsid w:val="00F117A8"/>
    <w:rsid w:val="00F125CB"/>
    <w:rsid w:val="00F125F3"/>
    <w:rsid w:val="00F1291B"/>
    <w:rsid w:val="00F132B6"/>
    <w:rsid w:val="00F17266"/>
    <w:rsid w:val="00F17A09"/>
    <w:rsid w:val="00F207CE"/>
    <w:rsid w:val="00F21CA4"/>
    <w:rsid w:val="00F21DB9"/>
    <w:rsid w:val="00F22E5C"/>
    <w:rsid w:val="00F2454A"/>
    <w:rsid w:val="00F25402"/>
    <w:rsid w:val="00F26EB0"/>
    <w:rsid w:val="00F27CF8"/>
    <w:rsid w:val="00F339B9"/>
    <w:rsid w:val="00F369C8"/>
    <w:rsid w:val="00F370DB"/>
    <w:rsid w:val="00F370E6"/>
    <w:rsid w:val="00F3725E"/>
    <w:rsid w:val="00F376E3"/>
    <w:rsid w:val="00F379B5"/>
    <w:rsid w:val="00F379FF"/>
    <w:rsid w:val="00F4074C"/>
    <w:rsid w:val="00F41557"/>
    <w:rsid w:val="00F415B5"/>
    <w:rsid w:val="00F41738"/>
    <w:rsid w:val="00F41E2A"/>
    <w:rsid w:val="00F41E39"/>
    <w:rsid w:val="00F42959"/>
    <w:rsid w:val="00F433D5"/>
    <w:rsid w:val="00F43758"/>
    <w:rsid w:val="00F44FF1"/>
    <w:rsid w:val="00F4712E"/>
    <w:rsid w:val="00F51201"/>
    <w:rsid w:val="00F512EB"/>
    <w:rsid w:val="00F5161F"/>
    <w:rsid w:val="00F54010"/>
    <w:rsid w:val="00F54A61"/>
    <w:rsid w:val="00F55BC1"/>
    <w:rsid w:val="00F602E1"/>
    <w:rsid w:val="00F602E3"/>
    <w:rsid w:val="00F606D9"/>
    <w:rsid w:val="00F60DFB"/>
    <w:rsid w:val="00F62A0C"/>
    <w:rsid w:val="00F63359"/>
    <w:rsid w:val="00F63C32"/>
    <w:rsid w:val="00F64A0E"/>
    <w:rsid w:val="00F64D2A"/>
    <w:rsid w:val="00F657BC"/>
    <w:rsid w:val="00F65B93"/>
    <w:rsid w:val="00F65E30"/>
    <w:rsid w:val="00F66078"/>
    <w:rsid w:val="00F66908"/>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478"/>
    <w:rsid w:val="00F91AF5"/>
    <w:rsid w:val="00F9242A"/>
    <w:rsid w:val="00F93C59"/>
    <w:rsid w:val="00F94300"/>
    <w:rsid w:val="00F94A36"/>
    <w:rsid w:val="00F95A57"/>
    <w:rsid w:val="00F95AA7"/>
    <w:rsid w:val="00F9736B"/>
    <w:rsid w:val="00FA25C4"/>
    <w:rsid w:val="00FA369B"/>
    <w:rsid w:val="00FA459D"/>
    <w:rsid w:val="00FA5700"/>
    <w:rsid w:val="00FA6BFF"/>
    <w:rsid w:val="00FA791C"/>
    <w:rsid w:val="00FB2825"/>
    <w:rsid w:val="00FB2F82"/>
    <w:rsid w:val="00FB4085"/>
    <w:rsid w:val="00FB4E40"/>
    <w:rsid w:val="00FB71E9"/>
    <w:rsid w:val="00FC2570"/>
    <w:rsid w:val="00FC296E"/>
    <w:rsid w:val="00FC2A6C"/>
    <w:rsid w:val="00FC3F31"/>
    <w:rsid w:val="00FC4CFC"/>
    <w:rsid w:val="00FC4F53"/>
    <w:rsid w:val="00FC66D2"/>
    <w:rsid w:val="00FC736B"/>
    <w:rsid w:val="00FD0E90"/>
    <w:rsid w:val="00FD55AE"/>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3992"/>
    <w:rsid w:val="00FF3AAE"/>
    <w:rsid w:val="00FF3B28"/>
    <w:rsid w:val="00FF3E16"/>
    <w:rsid w:val="00FF4EA2"/>
    <w:rsid w:val="00FF4F92"/>
    <w:rsid w:val="00FF5156"/>
    <w:rsid w:val="00FF5912"/>
    <w:rsid w:val="00FF7F9F"/>
    <w:rsid w:val="011A2F41"/>
    <w:rsid w:val="011F289D"/>
    <w:rsid w:val="014C7A8D"/>
    <w:rsid w:val="018C5E35"/>
    <w:rsid w:val="01A56C94"/>
    <w:rsid w:val="01A61D0C"/>
    <w:rsid w:val="01FF6497"/>
    <w:rsid w:val="02136A35"/>
    <w:rsid w:val="021D0BB6"/>
    <w:rsid w:val="023316E9"/>
    <w:rsid w:val="024D6BE7"/>
    <w:rsid w:val="02505BBE"/>
    <w:rsid w:val="02532F46"/>
    <w:rsid w:val="026F1E1C"/>
    <w:rsid w:val="027051C7"/>
    <w:rsid w:val="028F2BD1"/>
    <w:rsid w:val="02CA0C12"/>
    <w:rsid w:val="03014C0A"/>
    <w:rsid w:val="03034B11"/>
    <w:rsid w:val="033459B2"/>
    <w:rsid w:val="0340285C"/>
    <w:rsid w:val="03545D1A"/>
    <w:rsid w:val="0383272B"/>
    <w:rsid w:val="03903CDE"/>
    <w:rsid w:val="03B40CD6"/>
    <w:rsid w:val="03C343A7"/>
    <w:rsid w:val="03E2399A"/>
    <w:rsid w:val="03EC5754"/>
    <w:rsid w:val="03F06075"/>
    <w:rsid w:val="03F37F64"/>
    <w:rsid w:val="03F761C4"/>
    <w:rsid w:val="03F9074F"/>
    <w:rsid w:val="0402759E"/>
    <w:rsid w:val="04054A9E"/>
    <w:rsid w:val="0422628D"/>
    <w:rsid w:val="042C14E2"/>
    <w:rsid w:val="04412473"/>
    <w:rsid w:val="045A075C"/>
    <w:rsid w:val="046C0A67"/>
    <w:rsid w:val="0475134F"/>
    <w:rsid w:val="04821E14"/>
    <w:rsid w:val="048444AF"/>
    <w:rsid w:val="04890966"/>
    <w:rsid w:val="04B975CA"/>
    <w:rsid w:val="04C10142"/>
    <w:rsid w:val="04C837E3"/>
    <w:rsid w:val="04F449D1"/>
    <w:rsid w:val="0533154A"/>
    <w:rsid w:val="053834D8"/>
    <w:rsid w:val="054B352B"/>
    <w:rsid w:val="05880732"/>
    <w:rsid w:val="05900A20"/>
    <w:rsid w:val="059E5D45"/>
    <w:rsid w:val="05B931D9"/>
    <w:rsid w:val="05C61474"/>
    <w:rsid w:val="05CC2C01"/>
    <w:rsid w:val="05EC4147"/>
    <w:rsid w:val="06026D19"/>
    <w:rsid w:val="06312B95"/>
    <w:rsid w:val="06385FC4"/>
    <w:rsid w:val="065719D5"/>
    <w:rsid w:val="066C1A3F"/>
    <w:rsid w:val="067956A7"/>
    <w:rsid w:val="06911A73"/>
    <w:rsid w:val="06972B74"/>
    <w:rsid w:val="06F472D7"/>
    <w:rsid w:val="06F96CC3"/>
    <w:rsid w:val="0705662C"/>
    <w:rsid w:val="07057C19"/>
    <w:rsid w:val="0709002D"/>
    <w:rsid w:val="070A2741"/>
    <w:rsid w:val="07160901"/>
    <w:rsid w:val="07470F33"/>
    <w:rsid w:val="079D69DD"/>
    <w:rsid w:val="07A25249"/>
    <w:rsid w:val="07BC515E"/>
    <w:rsid w:val="07DF20B6"/>
    <w:rsid w:val="07FA21EC"/>
    <w:rsid w:val="080D6130"/>
    <w:rsid w:val="08720A42"/>
    <w:rsid w:val="08A50D6A"/>
    <w:rsid w:val="08A63161"/>
    <w:rsid w:val="08B369CE"/>
    <w:rsid w:val="08CA01ED"/>
    <w:rsid w:val="08D86D2B"/>
    <w:rsid w:val="08E24F5E"/>
    <w:rsid w:val="0902679D"/>
    <w:rsid w:val="090F3AE1"/>
    <w:rsid w:val="092A0376"/>
    <w:rsid w:val="092A51AA"/>
    <w:rsid w:val="092B41FB"/>
    <w:rsid w:val="094E2B2D"/>
    <w:rsid w:val="09702960"/>
    <w:rsid w:val="09B56B8F"/>
    <w:rsid w:val="09B84EEA"/>
    <w:rsid w:val="09BF5903"/>
    <w:rsid w:val="09C1452B"/>
    <w:rsid w:val="0A0D7A5E"/>
    <w:rsid w:val="0A1E6CE4"/>
    <w:rsid w:val="0A317416"/>
    <w:rsid w:val="0A3F34D8"/>
    <w:rsid w:val="0A70290F"/>
    <w:rsid w:val="0A9905F0"/>
    <w:rsid w:val="0ADA5210"/>
    <w:rsid w:val="0AE33B61"/>
    <w:rsid w:val="0B011385"/>
    <w:rsid w:val="0B116FD4"/>
    <w:rsid w:val="0B167657"/>
    <w:rsid w:val="0B3975F1"/>
    <w:rsid w:val="0B505360"/>
    <w:rsid w:val="0BAE09E4"/>
    <w:rsid w:val="0BB93DBD"/>
    <w:rsid w:val="0BBC3795"/>
    <w:rsid w:val="0BD47981"/>
    <w:rsid w:val="0BEF7EA9"/>
    <w:rsid w:val="0C0078A5"/>
    <w:rsid w:val="0C3910D0"/>
    <w:rsid w:val="0C467BA9"/>
    <w:rsid w:val="0C6E4B74"/>
    <w:rsid w:val="0C87035A"/>
    <w:rsid w:val="0C8A7DD9"/>
    <w:rsid w:val="0C955E4F"/>
    <w:rsid w:val="0C9B4A26"/>
    <w:rsid w:val="0CD75039"/>
    <w:rsid w:val="0CD93FD5"/>
    <w:rsid w:val="0CE05755"/>
    <w:rsid w:val="0CE11C2F"/>
    <w:rsid w:val="0D3F27B9"/>
    <w:rsid w:val="0D442E94"/>
    <w:rsid w:val="0D775FC4"/>
    <w:rsid w:val="0D866C48"/>
    <w:rsid w:val="0DAD04E0"/>
    <w:rsid w:val="0DB87F84"/>
    <w:rsid w:val="0DCA26B4"/>
    <w:rsid w:val="0DDE4E3E"/>
    <w:rsid w:val="0E0B2161"/>
    <w:rsid w:val="0E1F651D"/>
    <w:rsid w:val="0E634A9A"/>
    <w:rsid w:val="0E6F4F64"/>
    <w:rsid w:val="0E8459A5"/>
    <w:rsid w:val="0EA4516A"/>
    <w:rsid w:val="0EB9366B"/>
    <w:rsid w:val="0ED73C8C"/>
    <w:rsid w:val="0EE35C49"/>
    <w:rsid w:val="0EE71E80"/>
    <w:rsid w:val="0EF5098B"/>
    <w:rsid w:val="0F174567"/>
    <w:rsid w:val="0F825D2E"/>
    <w:rsid w:val="0F980AE7"/>
    <w:rsid w:val="0F9B7C7A"/>
    <w:rsid w:val="0FE1245D"/>
    <w:rsid w:val="0FFD0267"/>
    <w:rsid w:val="100E6510"/>
    <w:rsid w:val="1026272B"/>
    <w:rsid w:val="104B72C8"/>
    <w:rsid w:val="104C3EAF"/>
    <w:rsid w:val="1064555B"/>
    <w:rsid w:val="10650CF8"/>
    <w:rsid w:val="109A4EEF"/>
    <w:rsid w:val="10AA6308"/>
    <w:rsid w:val="10B66959"/>
    <w:rsid w:val="10FE4805"/>
    <w:rsid w:val="11053AC8"/>
    <w:rsid w:val="110E60EF"/>
    <w:rsid w:val="1133585B"/>
    <w:rsid w:val="11363BBB"/>
    <w:rsid w:val="1164226E"/>
    <w:rsid w:val="11794FAD"/>
    <w:rsid w:val="11D31EF9"/>
    <w:rsid w:val="122B75D6"/>
    <w:rsid w:val="12474677"/>
    <w:rsid w:val="12592FCD"/>
    <w:rsid w:val="12656B15"/>
    <w:rsid w:val="12D90668"/>
    <w:rsid w:val="12EE0036"/>
    <w:rsid w:val="13137F34"/>
    <w:rsid w:val="133E3ECE"/>
    <w:rsid w:val="13445BDE"/>
    <w:rsid w:val="13634471"/>
    <w:rsid w:val="13726F78"/>
    <w:rsid w:val="137E7B48"/>
    <w:rsid w:val="139162F3"/>
    <w:rsid w:val="13C97469"/>
    <w:rsid w:val="13CE5FD7"/>
    <w:rsid w:val="142C2F38"/>
    <w:rsid w:val="146907E4"/>
    <w:rsid w:val="14DC60B9"/>
    <w:rsid w:val="14E459A5"/>
    <w:rsid w:val="14F05E52"/>
    <w:rsid w:val="15726F59"/>
    <w:rsid w:val="15790A54"/>
    <w:rsid w:val="15C23C39"/>
    <w:rsid w:val="15D6736E"/>
    <w:rsid w:val="160C212C"/>
    <w:rsid w:val="162D0E6A"/>
    <w:rsid w:val="166C6A08"/>
    <w:rsid w:val="16A76A05"/>
    <w:rsid w:val="16B35639"/>
    <w:rsid w:val="16B71CED"/>
    <w:rsid w:val="16D932AB"/>
    <w:rsid w:val="17027F31"/>
    <w:rsid w:val="172014BB"/>
    <w:rsid w:val="17331594"/>
    <w:rsid w:val="17513E2A"/>
    <w:rsid w:val="17767B62"/>
    <w:rsid w:val="17781D7B"/>
    <w:rsid w:val="178C3ADD"/>
    <w:rsid w:val="17D86021"/>
    <w:rsid w:val="17DE42AE"/>
    <w:rsid w:val="17E60340"/>
    <w:rsid w:val="17F34EFF"/>
    <w:rsid w:val="18567745"/>
    <w:rsid w:val="18712F61"/>
    <w:rsid w:val="187B0ADC"/>
    <w:rsid w:val="18A10F9C"/>
    <w:rsid w:val="18A37048"/>
    <w:rsid w:val="18A647FD"/>
    <w:rsid w:val="18B258EE"/>
    <w:rsid w:val="18C8188B"/>
    <w:rsid w:val="18E229E5"/>
    <w:rsid w:val="191609EB"/>
    <w:rsid w:val="191F159D"/>
    <w:rsid w:val="194D675F"/>
    <w:rsid w:val="1980484A"/>
    <w:rsid w:val="19942D2D"/>
    <w:rsid w:val="19A17CD9"/>
    <w:rsid w:val="19CD7781"/>
    <w:rsid w:val="19D92203"/>
    <w:rsid w:val="19DF4F3D"/>
    <w:rsid w:val="19E0023E"/>
    <w:rsid w:val="19E06C5F"/>
    <w:rsid w:val="19E15655"/>
    <w:rsid w:val="19EF01FE"/>
    <w:rsid w:val="1A022711"/>
    <w:rsid w:val="1A126A40"/>
    <w:rsid w:val="1A197CD5"/>
    <w:rsid w:val="1A1B7038"/>
    <w:rsid w:val="1A1C7E5C"/>
    <w:rsid w:val="1A3046CC"/>
    <w:rsid w:val="1A7B5306"/>
    <w:rsid w:val="1A83768B"/>
    <w:rsid w:val="1AB20C72"/>
    <w:rsid w:val="1AFC0B5B"/>
    <w:rsid w:val="1B2A760A"/>
    <w:rsid w:val="1B3834F2"/>
    <w:rsid w:val="1B570F89"/>
    <w:rsid w:val="1B845173"/>
    <w:rsid w:val="1B86590E"/>
    <w:rsid w:val="1BD26C96"/>
    <w:rsid w:val="1BD94AC8"/>
    <w:rsid w:val="1C0B510C"/>
    <w:rsid w:val="1C315EFE"/>
    <w:rsid w:val="1C572EF0"/>
    <w:rsid w:val="1C87249A"/>
    <w:rsid w:val="1C894C01"/>
    <w:rsid w:val="1C911012"/>
    <w:rsid w:val="1CA664AA"/>
    <w:rsid w:val="1CA95133"/>
    <w:rsid w:val="1CD85FCA"/>
    <w:rsid w:val="1D06559F"/>
    <w:rsid w:val="1D75193B"/>
    <w:rsid w:val="1DCC2EE2"/>
    <w:rsid w:val="1DD060CA"/>
    <w:rsid w:val="1DD70F79"/>
    <w:rsid w:val="1DF408AE"/>
    <w:rsid w:val="1E195594"/>
    <w:rsid w:val="1E237B51"/>
    <w:rsid w:val="1E293EE9"/>
    <w:rsid w:val="1E2D40AE"/>
    <w:rsid w:val="1E4F2DEF"/>
    <w:rsid w:val="1E510303"/>
    <w:rsid w:val="1E6C1B47"/>
    <w:rsid w:val="1EAA499B"/>
    <w:rsid w:val="1F002B0E"/>
    <w:rsid w:val="1F144499"/>
    <w:rsid w:val="1F2D2FB7"/>
    <w:rsid w:val="1F433BBA"/>
    <w:rsid w:val="1F4D5BFB"/>
    <w:rsid w:val="1F6B2DA0"/>
    <w:rsid w:val="1F6B5269"/>
    <w:rsid w:val="1FC17D84"/>
    <w:rsid w:val="1FE47CA0"/>
    <w:rsid w:val="1FF23BBE"/>
    <w:rsid w:val="20117547"/>
    <w:rsid w:val="2023792B"/>
    <w:rsid w:val="203213A2"/>
    <w:rsid w:val="20387905"/>
    <w:rsid w:val="207166F4"/>
    <w:rsid w:val="208565B5"/>
    <w:rsid w:val="20936C39"/>
    <w:rsid w:val="209640E8"/>
    <w:rsid w:val="20CF4E7C"/>
    <w:rsid w:val="20FC30FE"/>
    <w:rsid w:val="213301F1"/>
    <w:rsid w:val="2141118F"/>
    <w:rsid w:val="21434C4D"/>
    <w:rsid w:val="21562E90"/>
    <w:rsid w:val="21AA0846"/>
    <w:rsid w:val="21CC65DF"/>
    <w:rsid w:val="21D361B0"/>
    <w:rsid w:val="21DC0F1D"/>
    <w:rsid w:val="21F1792F"/>
    <w:rsid w:val="22162FED"/>
    <w:rsid w:val="223E395A"/>
    <w:rsid w:val="22524289"/>
    <w:rsid w:val="225C148B"/>
    <w:rsid w:val="22807B43"/>
    <w:rsid w:val="228D29A3"/>
    <w:rsid w:val="229A1006"/>
    <w:rsid w:val="22A77DB6"/>
    <w:rsid w:val="22AE20B1"/>
    <w:rsid w:val="22BE3A97"/>
    <w:rsid w:val="230D7586"/>
    <w:rsid w:val="23437BA6"/>
    <w:rsid w:val="23646C78"/>
    <w:rsid w:val="237E7C95"/>
    <w:rsid w:val="238106F9"/>
    <w:rsid w:val="23FC7BD4"/>
    <w:rsid w:val="24156EA1"/>
    <w:rsid w:val="242A3029"/>
    <w:rsid w:val="243C1CC3"/>
    <w:rsid w:val="244B0A92"/>
    <w:rsid w:val="24680CF8"/>
    <w:rsid w:val="24750B97"/>
    <w:rsid w:val="24A02228"/>
    <w:rsid w:val="24A16B54"/>
    <w:rsid w:val="250065B7"/>
    <w:rsid w:val="250A7DF8"/>
    <w:rsid w:val="25131C1E"/>
    <w:rsid w:val="25271745"/>
    <w:rsid w:val="256049C6"/>
    <w:rsid w:val="25686213"/>
    <w:rsid w:val="2587240E"/>
    <w:rsid w:val="25925D7E"/>
    <w:rsid w:val="259E13D7"/>
    <w:rsid w:val="25BC0A54"/>
    <w:rsid w:val="25E7189C"/>
    <w:rsid w:val="26447E5C"/>
    <w:rsid w:val="26452B90"/>
    <w:rsid w:val="269362C5"/>
    <w:rsid w:val="26B46354"/>
    <w:rsid w:val="26BE7C25"/>
    <w:rsid w:val="26FD5B93"/>
    <w:rsid w:val="26FD6232"/>
    <w:rsid w:val="27007054"/>
    <w:rsid w:val="27217EAF"/>
    <w:rsid w:val="274C7619"/>
    <w:rsid w:val="27CE333F"/>
    <w:rsid w:val="280035B1"/>
    <w:rsid w:val="28181C1F"/>
    <w:rsid w:val="28A84FE2"/>
    <w:rsid w:val="28B6386B"/>
    <w:rsid w:val="28DF17A9"/>
    <w:rsid w:val="291C1783"/>
    <w:rsid w:val="295B6569"/>
    <w:rsid w:val="296774F8"/>
    <w:rsid w:val="29925E42"/>
    <w:rsid w:val="29AC0A10"/>
    <w:rsid w:val="29E9140D"/>
    <w:rsid w:val="29F2619E"/>
    <w:rsid w:val="2A0D7ED6"/>
    <w:rsid w:val="2A1A5886"/>
    <w:rsid w:val="2A6D228F"/>
    <w:rsid w:val="2A741979"/>
    <w:rsid w:val="2A7B29EB"/>
    <w:rsid w:val="2A855222"/>
    <w:rsid w:val="2A8B7ECF"/>
    <w:rsid w:val="2A8C56AE"/>
    <w:rsid w:val="2A9A6DD6"/>
    <w:rsid w:val="2AA07AB6"/>
    <w:rsid w:val="2AA776E7"/>
    <w:rsid w:val="2ACF6258"/>
    <w:rsid w:val="2AF17A89"/>
    <w:rsid w:val="2B00209C"/>
    <w:rsid w:val="2B026FB4"/>
    <w:rsid w:val="2B09571F"/>
    <w:rsid w:val="2B0E3B57"/>
    <w:rsid w:val="2B1920DF"/>
    <w:rsid w:val="2B335E35"/>
    <w:rsid w:val="2B4F10C6"/>
    <w:rsid w:val="2B4F71EA"/>
    <w:rsid w:val="2B534624"/>
    <w:rsid w:val="2B5A2C48"/>
    <w:rsid w:val="2B694DF3"/>
    <w:rsid w:val="2B6C2BE9"/>
    <w:rsid w:val="2B8925C0"/>
    <w:rsid w:val="2B9339ED"/>
    <w:rsid w:val="2BA03D1E"/>
    <w:rsid w:val="2BA52731"/>
    <w:rsid w:val="2BD552A0"/>
    <w:rsid w:val="2BDF4663"/>
    <w:rsid w:val="2BE51A5D"/>
    <w:rsid w:val="2BE704E2"/>
    <w:rsid w:val="2C031632"/>
    <w:rsid w:val="2CC81818"/>
    <w:rsid w:val="2CC91B40"/>
    <w:rsid w:val="2D1B4751"/>
    <w:rsid w:val="2D311250"/>
    <w:rsid w:val="2D625DC3"/>
    <w:rsid w:val="2D912760"/>
    <w:rsid w:val="2DB7476B"/>
    <w:rsid w:val="2DC873E8"/>
    <w:rsid w:val="2DF52125"/>
    <w:rsid w:val="2E69314F"/>
    <w:rsid w:val="2E9664E9"/>
    <w:rsid w:val="2E98579E"/>
    <w:rsid w:val="2EBE1669"/>
    <w:rsid w:val="2EDE68BE"/>
    <w:rsid w:val="2EE01A39"/>
    <w:rsid w:val="2F4277CC"/>
    <w:rsid w:val="2F4C48CB"/>
    <w:rsid w:val="2F5B6663"/>
    <w:rsid w:val="2F6A5588"/>
    <w:rsid w:val="2F6B3E71"/>
    <w:rsid w:val="2F88799A"/>
    <w:rsid w:val="2F9C2F32"/>
    <w:rsid w:val="2FA47CE5"/>
    <w:rsid w:val="2FC832B9"/>
    <w:rsid w:val="2FD45E8F"/>
    <w:rsid w:val="301454EC"/>
    <w:rsid w:val="301B79AE"/>
    <w:rsid w:val="301D0ADF"/>
    <w:rsid w:val="30685B23"/>
    <w:rsid w:val="306D10A3"/>
    <w:rsid w:val="306F25CD"/>
    <w:rsid w:val="308809CB"/>
    <w:rsid w:val="309B6583"/>
    <w:rsid w:val="30B45533"/>
    <w:rsid w:val="30FB138A"/>
    <w:rsid w:val="31041375"/>
    <w:rsid w:val="31087BAD"/>
    <w:rsid w:val="31236622"/>
    <w:rsid w:val="31297858"/>
    <w:rsid w:val="31BB01AE"/>
    <w:rsid w:val="31C479E1"/>
    <w:rsid w:val="31C56C1A"/>
    <w:rsid w:val="31ED0DC6"/>
    <w:rsid w:val="3201739B"/>
    <w:rsid w:val="32185672"/>
    <w:rsid w:val="32500E43"/>
    <w:rsid w:val="32635CE6"/>
    <w:rsid w:val="32644635"/>
    <w:rsid w:val="327862CE"/>
    <w:rsid w:val="327F265B"/>
    <w:rsid w:val="32853210"/>
    <w:rsid w:val="32EF7FD8"/>
    <w:rsid w:val="32FC0134"/>
    <w:rsid w:val="331C1561"/>
    <w:rsid w:val="335C3BF6"/>
    <w:rsid w:val="335C79E5"/>
    <w:rsid w:val="33655D88"/>
    <w:rsid w:val="3370128D"/>
    <w:rsid w:val="33917786"/>
    <w:rsid w:val="33976C92"/>
    <w:rsid w:val="33A3071F"/>
    <w:rsid w:val="33A42372"/>
    <w:rsid w:val="33AB16F8"/>
    <w:rsid w:val="33C222EB"/>
    <w:rsid w:val="33DD2D38"/>
    <w:rsid w:val="33E144EC"/>
    <w:rsid w:val="33E208DF"/>
    <w:rsid w:val="33F50020"/>
    <w:rsid w:val="33FE1E0E"/>
    <w:rsid w:val="34163887"/>
    <w:rsid w:val="341B48A9"/>
    <w:rsid w:val="341D3E5A"/>
    <w:rsid w:val="342C17D7"/>
    <w:rsid w:val="344C5398"/>
    <w:rsid w:val="3452333E"/>
    <w:rsid w:val="345244AD"/>
    <w:rsid w:val="345D4893"/>
    <w:rsid w:val="34E34957"/>
    <w:rsid w:val="34F9448B"/>
    <w:rsid w:val="35095F3D"/>
    <w:rsid w:val="352626C5"/>
    <w:rsid w:val="3565776A"/>
    <w:rsid w:val="35911F75"/>
    <w:rsid w:val="35AD07C7"/>
    <w:rsid w:val="35FA46E5"/>
    <w:rsid w:val="36036EAD"/>
    <w:rsid w:val="360527E0"/>
    <w:rsid w:val="360E74FB"/>
    <w:rsid w:val="3650466C"/>
    <w:rsid w:val="36583FFC"/>
    <w:rsid w:val="366A2313"/>
    <w:rsid w:val="36741121"/>
    <w:rsid w:val="368A35B6"/>
    <w:rsid w:val="368C25D3"/>
    <w:rsid w:val="36997A82"/>
    <w:rsid w:val="36C9161A"/>
    <w:rsid w:val="36D35231"/>
    <w:rsid w:val="371F37B1"/>
    <w:rsid w:val="37A230A8"/>
    <w:rsid w:val="37A622B6"/>
    <w:rsid w:val="37C31D66"/>
    <w:rsid w:val="37D54679"/>
    <w:rsid w:val="37DB7CE6"/>
    <w:rsid w:val="384239D9"/>
    <w:rsid w:val="386E765D"/>
    <w:rsid w:val="38B87367"/>
    <w:rsid w:val="38BB5B93"/>
    <w:rsid w:val="38C17453"/>
    <w:rsid w:val="38D37AF8"/>
    <w:rsid w:val="38E52E0C"/>
    <w:rsid w:val="38E673C6"/>
    <w:rsid w:val="38EB08E5"/>
    <w:rsid w:val="39342A69"/>
    <w:rsid w:val="395140E2"/>
    <w:rsid w:val="3957002A"/>
    <w:rsid w:val="39867110"/>
    <w:rsid w:val="39934900"/>
    <w:rsid w:val="399A535D"/>
    <w:rsid w:val="39A2165D"/>
    <w:rsid w:val="39B57BCE"/>
    <w:rsid w:val="39BC20C3"/>
    <w:rsid w:val="3A0606E8"/>
    <w:rsid w:val="3A1A6623"/>
    <w:rsid w:val="3A5C0875"/>
    <w:rsid w:val="3A78560D"/>
    <w:rsid w:val="3A9F0E1B"/>
    <w:rsid w:val="3AA6276F"/>
    <w:rsid w:val="3AB671A7"/>
    <w:rsid w:val="3ABD375C"/>
    <w:rsid w:val="3ACF5DD7"/>
    <w:rsid w:val="3ADA766B"/>
    <w:rsid w:val="3AE4135F"/>
    <w:rsid w:val="3AF879CD"/>
    <w:rsid w:val="3B2F4816"/>
    <w:rsid w:val="3B425E84"/>
    <w:rsid w:val="3B434C2E"/>
    <w:rsid w:val="3B4D5386"/>
    <w:rsid w:val="3B507DC8"/>
    <w:rsid w:val="3B584925"/>
    <w:rsid w:val="3B7E42AD"/>
    <w:rsid w:val="3BA755B9"/>
    <w:rsid w:val="3C1C3172"/>
    <w:rsid w:val="3C4143F3"/>
    <w:rsid w:val="3C6528A6"/>
    <w:rsid w:val="3CAC3AAC"/>
    <w:rsid w:val="3CB7025F"/>
    <w:rsid w:val="3CF00F09"/>
    <w:rsid w:val="3D11675F"/>
    <w:rsid w:val="3D192BA3"/>
    <w:rsid w:val="3D1A6029"/>
    <w:rsid w:val="3D225F25"/>
    <w:rsid w:val="3D2B17AF"/>
    <w:rsid w:val="3D5F4629"/>
    <w:rsid w:val="3D6435BC"/>
    <w:rsid w:val="3D7216B1"/>
    <w:rsid w:val="3D9963C7"/>
    <w:rsid w:val="3DC60157"/>
    <w:rsid w:val="3DC923BF"/>
    <w:rsid w:val="3DF334A4"/>
    <w:rsid w:val="3E210EBD"/>
    <w:rsid w:val="3E535102"/>
    <w:rsid w:val="3E6675F3"/>
    <w:rsid w:val="3E755730"/>
    <w:rsid w:val="3E8D3B49"/>
    <w:rsid w:val="3EAD088F"/>
    <w:rsid w:val="3EAE0F73"/>
    <w:rsid w:val="3ED64403"/>
    <w:rsid w:val="3ED82911"/>
    <w:rsid w:val="3F513F70"/>
    <w:rsid w:val="3F633BFB"/>
    <w:rsid w:val="3F91619D"/>
    <w:rsid w:val="3FA57F52"/>
    <w:rsid w:val="3FF343D1"/>
    <w:rsid w:val="40004109"/>
    <w:rsid w:val="40813C86"/>
    <w:rsid w:val="40CE43F7"/>
    <w:rsid w:val="40EF5D73"/>
    <w:rsid w:val="411254D7"/>
    <w:rsid w:val="41451D00"/>
    <w:rsid w:val="41582223"/>
    <w:rsid w:val="415864C7"/>
    <w:rsid w:val="41895777"/>
    <w:rsid w:val="41981AB2"/>
    <w:rsid w:val="41BB48C4"/>
    <w:rsid w:val="41DE254A"/>
    <w:rsid w:val="42014EC6"/>
    <w:rsid w:val="42117160"/>
    <w:rsid w:val="421D1242"/>
    <w:rsid w:val="422C2514"/>
    <w:rsid w:val="42400853"/>
    <w:rsid w:val="42544B8F"/>
    <w:rsid w:val="42763AFF"/>
    <w:rsid w:val="429640F8"/>
    <w:rsid w:val="42994FC6"/>
    <w:rsid w:val="42B16A6B"/>
    <w:rsid w:val="42B7486B"/>
    <w:rsid w:val="42D330E2"/>
    <w:rsid w:val="42E75DA7"/>
    <w:rsid w:val="432D5524"/>
    <w:rsid w:val="43461842"/>
    <w:rsid w:val="434C7B5E"/>
    <w:rsid w:val="436A5CC2"/>
    <w:rsid w:val="436E0702"/>
    <w:rsid w:val="437A4B46"/>
    <w:rsid w:val="43B652D7"/>
    <w:rsid w:val="43D16C0A"/>
    <w:rsid w:val="43E06266"/>
    <w:rsid w:val="440C0C23"/>
    <w:rsid w:val="44162686"/>
    <w:rsid w:val="44237EA2"/>
    <w:rsid w:val="44796512"/>
    <w:rsid w:val="44822ED2"/>
    <w:rsid w:val="44872C97"/>
    <w:rsid w:val="448C02B4"/>
    <w:rsid w:val="44E42A91"/>
    <w:rsid w:val="4511236A"/>
    <w:rsid w:val="451205A0"/>
    <w:rsid w:val="452E2FBF"/>
    <w:rsid w:val="454633E7"/>
    <w:rsid w:val="454B23E7"/>
    <w:rsid w:val="455C13D7"/>
    <w:rsid w:val="455E07E5"/>
    <w:rsid w:val="457B12C1"/>
    <w:rsid w:val="45941E4D"/>
    <w:rsid w:val="45C3630E"/>
    <w:rsid w:val="45E72F1C"/>
    <w:rsid w:val="45E816AF"/>
    <w:rsid w:val="45EA1EB3"/>
    <w:rsid w:val="460905C4"/>
    <w:rsid w:val="462D6B88"/>
    <w:rsid w:val="466C7713"/>
    <w:rsid w:val="467732D3"/>
    <w:rsid w:val="469152F0"/>
    <w:rsid w:val="46D30372"/>
    <w:rsid w:val="470A7839"/>
    <w:rsid w:val="47462468"/>
    <w:rsid w:val="475A40A5"/>
    <w:rsid w:val="4770662C"/>
    <w:rsid w:val="4795458D"/>
    <w:rsid w:val="47A86EF0"/>
    <w:rsid w:val="47DA1B6A"/>
    <w:rsid w:val="48683357"/>
    <w:rsid w:val="487D26CA"/>
    <w:rsid w:val="48AE36FB"/>
    <w:rsid w:val="48B42147"/>
    <w:rsid w:val="48B60CA2"/>
    <w:rsid w:val="48BF3D66"/>
    <w:rsid w:val="48EB473F"/>
    <w:rsid w:val="48F25BF0"/>
    <w:rsid w:val="49011E6F"/>
    <w:rsid w:val="490D384F"/>
    <w:rsid w:val="498F3AE1"/>
    <w:rsid w:val="499C00B7"/>
    <w:rsid w:val="499F7B39"/>
    <w:rsid w:val="49C86BF3"/>
    <w:rsid w:val="49DB3FC5"/>
    <w:rsid w:val="49F37012"/>
    <w:rsid w:val="4A053649"/>
    <w:rsid w:val="4A096646"/>
    <w:rsid w:val="4A542CB6"/>
    <w:rsid w:val="4A552C0C"/>
    <w:rsid w:val="4A6601E6"/>
    <w:rsid w:val="4A821FA7"/>
    <w:rsid w:val="4AE562A7"/>
    <w:rsid w:val="4B0F1E82"/>
    <w:rsid w:val="4B16443D"/>
    <w:rsid w:val="4B4405AA"/>
    <w:rsid w:val="4B745559"/>
    <w:rsid w:val="4B8548E1"/>
    <w:rsid w:val="4B8A00D1"/>
    <w:rsid w:val="4BE1614F"/>
    <w:rsid w:val="4C155C11"/>
    <w:rsid w:val="4C2E2644"/>
    <w:rsid w:val="4C426859"/>
    <w:rsid w:val="4C4B000D"/>
    <w:rsid w:val="4C5F5E78"/>
    <w:rsid w:val="4C7A7894"/>
    <w:rsid w:val="4C8267A3"/>
    <w:rsid w:val="4C8F6F67"/>
    <w:rsid w:val="4CB85F33"/>
    <w:rsid w:val="4CED4E3E"/>
    <w:rsid w:val="4CF75D95"/>
    <w:rsid w:val="4CFA1493"/>
    <w:rsid w:val="4D1560FB"/>
    <w:rsid w:val="4D8B7F33"/>
    <w:rsid w:val="4D927051"/>
    <w:rsid w:val="4DAE3DCE"/>
    <w:rsid w:val="4DB82C8B"/>
    <w:rsid w:val="4DC8212E"/>
    <w:rsid w:val="4DD52817"/>
    <w:rsid w:val="4DD57779"/>
    <w:rsid w:val="4DF328E5"/>
    <w:rsid w:val="4E1C7A35"/>
    <w:rsid w:val="4E2F6A8F"/>
    <w:rsid w:val="4E6F38BF"/>
    <w:rsid w:val="4E861A12"/>
    <w:rsid w:val="4E9F1753"/>
    <w:rsid w:val="4ED651D4"/>
    <w:rsid w:val="4EF426F3"/>
    <w:rsid w:val="4EFD0E6C"/>
    <w:rsid w:val="4F1C67F8"/>
    <w:rsid w:val="4F202FED"/>
    <w:rsid w:val="4F584F66"/>
    <w:rsid w:val="4F84137E"/>
    <w:rsid w:val="4FA84009"/>
    <w:rsid w:val="4FC1363A"/>
    <w:rsid w:val="4FC82BB3"/>
    <w:rsid w:val="4FC84249"/>
    <w:rsid w:val="4FE940C1"/>
    <w:rsid w:val="4FF54664"/>
    <w:rsid w:val="50104A8A"/>
    <w:rsid w:val="503D14F9"/>
    <w:rsid w:val="50516C6B"/>
    <w:rsid w:val="50813390"/>
    <w:rsid w:val="509A3FE7"/>
    <w:rsid w:val="509B4372"/>
    <w:rsid w:val="50CA014F"/>
    <w:rsid w:val="50DB5DBF"/>
    <w:rsid w:val="50FA4BB5"/>
    <w:rsid w:val="51136E8D"/>
    <w:rsid w:val="515A482D"/>
    <w:rsid w:val="515E2B8F"/>
    <w:rsid w:val="51AC4C6D"/>
    <w:rsid w:val="51B008C3"/>
    <w:rsid w:val="52256BC5"/>
    <w:rsid w:val="5240000B"/>
    <w:rsid w:val="52682C91"/>
    <w:rsid w:val="529152B7"/>
    <w:rsid w:val="5296798A"/>
    <w:rsid w:val="52CD36EC"/>
    <w:rsid w:val="52DB5EA3"/>
    <w:rsid w:val="52F855D7"/>
    <w:rsid w:val="53026D37"/>
    <w:rsid w:val="53410631"/>
    <w:rsid w:val="534B5826"/>
    <w:rsid w:val="53635000"/>
    <w:rsid w:val="53E1454D"/>
    <w:rsid w:val="53FA6ABD"/>
    <w:rsid w:val="54027D1D"/>
    <w:rsid w:val="541A3397"/>
    <w:rsid w:val="541F7034"/>
    <w:rsid w:val="542E2DA8"/>
    <w:rsid w:val="5434598E"/>
    <w:rsid w:val="54384D8F"/>
    <w:rsid w:val="54414BA6"/>
    <w:rsid w:val="54695497"/>
    <w:rsid w:val="54793936"/>
    <w:rsid w:val="548000FB"/>
    <w:rsid w:val="54881D28"/>
    <w:rsid w:val="54933372"/>
    <w:rsid w:val="549B0D8A"/>
    <w:rsid w:val="549D2CE1"/>
    <w:rsid w:val="54A13AA7"/>
    <w:rsid w:val="54B651F8"/>
    <w:rsid w:val="54B966F8"/>
    <w:rsid w:val="54E310EF"/>
    <w:rsid w:val="54F57F3B"/>
    <w:rsid w:val="551B50EF"/>
    <w:rsid w:val="551B7C76"/>
    <w:rsid w:val="552065C9"/>
    <w:rsid w:val="55BA03A6"/>
    <w:rsid w:val="55C7474B"/>
    <w:rsid w:val="55DC6579"/>
    <w:rsid w:val="55E61AD7"/>
    <w:rsid w:val="55E64BF4"/>
    <w:rsid w:val="561A7886"/>
    <w:rsid w:val="56392144"/>
    <w:rsid w:val="565E3639"/>
    <w:rsid w:val="567D723C"/>
    <w:rsid w:val="5691395D"/>
    <w:rsid w:val="56B47B92"/>
    <w:rsid w:val="56C66FDC"/>
    <w:rsid w:val="56CB0509"/>
    <w:rsid w:val="570C4194"/>
    <w:rsid w:val="571E4777"/>
    <w:rsid w:val="57465074"/>
    <w:rsid w:val="57540CE9"/>
    <w:rsid w:val="575513B0"/>
    <w:rsid w:val="57601682"/>
    <w:rsid w:val="57697B5A"/>
    <w:rsid w:val="577C530C"/>
    <w:rsid w:val="57800376"/>
    <w:rsid w:val="57812DC0"/>
    <w:rsid w:val="57937F5B"/>
    <w:rsid w:val="579A64E9"/>
    <w:rsid w:val="57A60659"/>
    <w:rsid w:val="57E62947"/>
    <w:rsid w:val="58006B9C"/>
    <w:rsid w:val="583F5E09"/>
    <w:rsid w:val="584F34E7"/>
    <w:rsid w:val="5852415B"/>
    <w:rsid w:val="585F3161"/>
    <w:rsid w:val="5893148F"/>
    <w:rsid w:val="58962B2F"/>
    <w:rsid w:val="589E6FBD"/>
    <w:rsid w:val="58A15465"/>
    <w:rsid w:val="58AF1188"/>
    <w:rsid w:val="58C954DF"/>
    <w:rsid w:val="58C97187"/>
    <w:rsid w:val="58D24712"/>
    <w:rsid w:val="58D772FB"/>
    <w:rsid w:val="58DD023B"/>
    <w:rsid w:val="58E066F2"/>
    <w:rsid w:val="59030A1C"/>
    <w:rsid w:val="59244320"/>
    <w:rsid w:val="594A7951"/>
    <w:rsid w:val="594E50AE"/>
    <w:rsid w:val="598359D5"/>
    <w:rsid w:val="59EF0DED"/>
    <w:rsid w:val="5A417455"/>
    <w:rsid w:val="5A4D509E"/>
    <w:rsid w:val="5A616A73"/>
    <w:rsid w:val="5A8D5E62"/>
    <w:rsid w:val="5A9C3A51"/>
    <w:rsid w:val="5AB410D7"/>
    <w:rsid w:val="5ACD3B16"/>
    <w:rsid w:val="5AD35148"/>
    <w:rsid w:val="5AD723ED"/>
    <w:rsid w:val="5AF01909"/>
    <w:rsid w:val="5B180DAA"/>
    <w:rsid w:val="5B1A33D6"/>
    <w:rsid w:val="5B260221"/>
    <w:rsid w:val="5B5116D2"/>
    <w:rsid w:val="5BBC5C84"/>
    <w:rsid w:val="5BC35DE9"/>
    <w:rsid w:val="5BE75355"/>
    <w:rsid w:val="5BEF1C73"/>
    <w:rsid w:val="5C053A57"/>
    <w:rsid w:val="5C0B50FA"/>
    <w:rsid w:val="5C315571"/>
    <w:rsid w:val="5C3A01F2"/>
    <w:rsid w:val="5C4F2086"/>
    <w:rsid w:val="5C793C7F"/>
    <w:rsid w:val="5C7E2026"/>
    <w:rsid w:val="5C8F4FA6"/>
    <w:rsid w:val="5CA43950"/>
    <w:rsid w:val="5CE3364A"/>
    <w:rsid w:val="5CF103AF"/>
    <w:rsid w:val="5D0F6503"/>
    <w:rsid w:val="5D273925"/>
    <w:rsid w:val="5D2F3CB0"/>
    <w:rsid w:val="5D3429FB"/>
    <w:rsid w:val="5D654CEF"/>
    <w:rsid w:val="5DF72A65"/>
    <w:rsid w:val="5E145558"/>
    <w:rsid w:val="5E1C0F80"/>
    <w:rsid w:val="5E297381"/>
    <w:rsid w:val="5E4D3755"/>
    <w:rsid w:val="5E5F5D6D"/>
    <w:rsid w:val="5E7C1B57"/>
    <w:rsid w:val="5E830C84"/>
    <w:rsid w:val="5E9D00DC"/>
    <w:rsid w:val="5EAC6329"/>
    <w:rsid w:val="5F0D637F"/>
    <w:rsid w:val="5F390541"/>
    <w:rsid w:val="5F4115CB"/>
    <w:rsid w:val="5F475AD8"/>
    <w:rsid w:val="5F54018E"/>
    <w:rsid w:val="5F566462"/>
    <w:rsid w:val="5F593FBE"/>
    <w:rsid w:val="5F6E784C"/>
    <w:rsid w:val="5F786AA5"/>
    <w:rsid w:val="5F9611F4"/>
    <w:rsid w:val="5F9967CE"/>
    <w:rsid w:val="5F9C5D32"/>
    <w:rsid w:val="5FA15A40"/>
    <w:rsid w:val="5FC0131E"/>
    <w:rsid w:val="60495205"/>
    <w:rsid w:val="60673F48"/>
    <w:rsid w:val="60762C7B"/>
    <w:rsid w:val="60825F1D"/>
    <w:rsid w:val="60B109EB"/>
    <w:rsid w:val="60CE0E7B"/>
    <w:rsid w:val="60D411D3"/>
    <w:rsid w:val="60F10056"/>
    <w:rsid w:val="60F51D20"/>
    <w:rsid w:val="61307DBB"/>
    <w:rsid w:val="61315539"/>
    <w:rsid w:val="616157FF"/>
    <w:rsid w:val="618A7C28"/>
    <w:rsid w:val="618D6982"/>
    <w:rsid w:val="618F0D2C"/>
    <w:rsid w:val="619A5274"/>
    <w:rsid w:val="61A549DC"/>
    <w:rsid w:val="61AA41D2"/>
    <w:rsid w:val="61B56E55"/>
    <w:rsid w:val="61CB20D0"/>
    <w:rsid w:val="6225378C"/>
    <w:rsid w:val="62276771"/>
    <w:rsid w:val="623140A3"/>
    <w:rsid w:val="623B57C4"/>
    <w:rsid w:val="62483BA5"/>
    <w:rsid w:val="626F3272"/>
    <w:rsid w:val="6283268E"/>
    <w:rsid w:val="628C129B"/>
    <w:rsid w:val="62BD5310"/>
    <w:rsid w:val="62C87FA7"/>
    <w:rsid w:val="62CF6BDC"/>
    <w:rsid w:val="62D05350"/>
    <w:rsid w:val="62DC5616"/>
    <w:rsid w:val="63025794"/>
    <w:rsid w:val="635763D7"/>
    <w:rsid w:val="636C1AFE"/>
    <w:rsid w:val="63C13209"/>
    <w:rsid w:val="63F57C34"/>
    <w:rsid w:val="641471BC"/>
    <w:rsid w:val="642817D2"/>
    <w:rsid w:val="64387BB5"/>
    <w:rsid w:val="643C7171"/>
    <w:rsid w:val="645B3149"/>
    <w:rsid w:val="648A7505"/>
    <w:rsid w:val="649742EE"/>
    <w:rsid w:val="64BB1322"/>
    <w:rsid w:val="64DA7F84"/>
    <w:rsid w:val="64E60340"/>
    <w:rsid w:val="64F94782"/>
    <w:rsid w:val="65004441"/>
    <w:rsid w:val="653071EF"/>
    <w:rsid w:val="6539719E"/>
    <w:rsid w:val="65727259"/>
    <w:rsid w:val="657A3F96"/>
    <w:rsid w:val="657C2411"/>
    <w:rsid w:val="657D61BB"/>
    <w:rsid w:val="65800D13"/>
    <w:rsid w:val="65A70D82"/>
    <w:rsid w:val="65EF6282"/>
    <w:rsid w:val="6621660D"/>
    <w:rsid w:val="662B5990"/>
    <w:rsid w:val="66381443"/>
    <w:rsid w:val="664F2279"/>
    <w:rsid w:val="66556BD7"/>
    <w:rsid w:val="666545CF"/>
    <w:rsid w:val="66666E12"/>
    <w:rsid w:val="6686515A"/>
    <w:rsid w:val="66900A5D"/>
    <w:rsid w:val="669F1713"/>
    <w:rsid w:val="66A5276B"/>
    <w:rsid w:val="66BE6753"/>
    <w:rsid w:val="66D313F2"/>
    <w:rsid w:val="66D8325B"/>
    <w:rsid w:val="66E1788A"/>
    <w:rsid w:val="66EE6340"/>
    <w:rsid w:val="66F92544"/>
    <w:rsid w:val="674003AC"/>
    <w:rsid w:val="676665A2"/>
    <w:rsid w:val="676C4108"/>
    <w:rsid w:val="67A045F3"/>
    <w:rsid w:val="67B04E80"/>
    <w:rsid w:val="67B664E7"/>
    <w:rsid w:val="67D3619B"/>
    <w:rsid w:val="67E22F21"/>
    <w:rsid w:val="67E82036"/>
    <w:rsid w:val="67EE5AE6"/>
    <w:rsid w:val="6897240C"/>
    <w:rsid w:val="68973053"/>
    <w:rsid w:val="68A80C0B"/>
    <w:rsid w:val="68AF1317"/>
    <w:rsid w:val="68B86CF6"/>
    <w:rsid w:val="69075F4F"/>
    <w:rsid w:val="69214D87"/>
    <w:rsid w:val="693E0CEB"/>
    <w:rsid w:val="69434640"/>
    <w:rsid w:val="696A2AB4"/>
    <w:rsid w:val="69745CBB"/>
    <w:rsid w:val="698B6555"/>
    <w:rsid w:val="69A87A70"/>
    <w:rsid w:val="69C86985"/>
    <w:rsid w:val="6A071B3E"/>
    <w:rsid w:val="6A244F7C"/>
    <w:rsid w:val="6A985DB3"/>
    <w:rsid w:val="6AC60152"/>
    <w:rsid w:val="6AC91394"/>
    <w:rsid w:val="6AD10581"/>
    <w:rsid w:val="6B3D6100"/>
    <w:rsid w:val="6B6B00A7"/>
    <w:rsid w:val="6B8B57A5"/>
    <w:rsid w:val="6B9D11F1"/>
    <w:rsid w:val="6C033AC9"/>
    <w:rsid w:val="6C08473F"/>
    <w:rsid w:val="6C235509"/>
    <w:rsid w:val="6C40043C"/>
    <w:rsid w:val="6C57078E"/>
    <w:rsid w:val="6C7D6A96"/>
    <w:rsid w:val="6CAA589B"/>
    <w:rsid w:val="6CB6672B"/>
    <w:rsid w:val="6CBF6FBD"/>
    <w:rsid w:val="6CC519D0"/>
    <w:rsid w:val="6CCE5BC6"/>
    <w:rsid w:val="6CCF239C"/>
    <w:rsid w:val="6CD140BB"/>
    <w:rsid w:val="6CD836BD"/>
    <w:rsid w:val="6CDB125F"/>
    <w:rsid w:val="6CFE1C3F"/>
    <w:rsid w:val="6D14523D"/>
    <w:rsid w:val="6D2F33FD"/>
    <w:rsid w:val="6D3F5A25"/>
    <w:rsid w:val="6D415A28"/>
    <w:rsid w:val="6D6F4B44"/>
    <w:rsid w:val="6D79562F"/>
    <w:rsid w:val="6D8200F2"/>
    <w:rsid w:val="6D877FD2"/>
    <w:rsid w:val="6D901A1D"/>
    <w:rsid w:val="6DD43F91"/>
    <w:rsid w:val="6DF32963"/>
    <w:rsid w:val="6DF70E31"/>
    <w:rsid w:val="6E9A22DC"/>
    <w:rsid w:val="6E9A2535"/>
    <w:rsid w:val="6ED668BC"/>
    <w:rsid w:val="6EEA496C"/>
    <w:rsid w:val="6EF215BE"/>
    <w:rsid w:val="6F1B47FB"/>
    <w:rsid w:val="6F850F57"/>
    <w:rsid w:val="6F9B497F"/>
    <w:rsid w:val="6FB51799"/>
    <w:rsid w:val="6FEF1FA9"/>
    <w:rsid w:val="702F2B45"/>
    <w:rsid w:val="705A4AB9"/>
    <w:rsid w:val="705E4A2A"/>
    <w:rsid w:val="707F09CE"/>
    <w:rsid w:val="70893CDB"/>
    <w:rsid w:val="708B4CA4"/>
    <w:rsid w:val="70A14E01"/>
    <w:rsid w:val="70CF40EE"/>
    <w:rsid w:val="70D06C34"/>
    <w:rsid w:val="70FC341B"/>
    <w:rsid w:val="71311E54"/>
    <w:rsid w:val="71337961"/>
    <w:rsid w:val="713D3B24"/>
    <w:rsid w:val="714B1575"/>
    <w:rsid w:val="715A01CD"/>
    <w:rsid w:val="715A2D12"/>
    <w:rsid w:val="716A3D5A"/>
    <w:rsid w:val="718D0892"/>
    <w:rsid w:val="719253CB"/>
    <w:rsid w:val="71B05167"/>
    <w:rsid w:val="71B4219A"/>
    <w:rsid w:val="71B66236"/>
    <w:rsid w:val="71CC043D"/>
    <w:rsid w:val="71CC461C"/>
    <w:rsid w:val="71D9745D"/>
    <w:rsid w:val="71DD2956"/>
    <w:rsid w:val="72303BB4"/>
    <w:rsid w:val="72407638"/>
    <w:rsid w:val="728B02DD"/>
    <w:rsid w:val="72AE419A"/>
    <w:rsid w:val="72D75341"/>
    <w:rsid w:val="72DD2AAB"/>
    <w:rsid w:val="72E7537F"/>
    <w:rsid w:val="730E66A8"/>
    <w:rsid w:val="734327B4"/>
    <w:rsid w:val="73465FB1"/>
    <w:rsid w:val="7361619B"/>
    <w:rsid w:val="736A6EC9"/>
    <w:rsid w:val="737369C6"/>
    <w:rsid w:val="73783004"/>
    <w:rsid w:val="737D6629"/>
    <w:rsid w:val="737F552B"/>
    <w:rsid w:val="73865EE2"/>
    <w:rsid w:val="739C403B"/>
    <w:rsid w:val="73B624A6"/>
    <w:rsid w:val="73C300B6"/>
    <w:rsid w:val="73C9192C"/>
    <w:rsid w:val="73D04B66"/>
    <w:rsid w:val="73DD310D"/>
    <w:rsid w:val="73F71E4C"/>
    <w:rsid w:val="74540290"/>
    <w:rsid w:val="74B70AA8"/>
    <w:rsid w:val="74DB4066"/>
    <w:rsid w:val="74EC6829"/>
    <w:rsid w:val="74FA2B1E"/>
    <w:rsid w:val="751723B2"/>
    <w:rsid w:val="753A32A4"/>
    <w:rsid w:val="755A3B76"/>
    <w:rsid w:val="755B36E2"/>
    <w:rsid w:val="757E3092"/>
    <w:rsid w:val="75816C6B"/>
    <w:rsid w:val="758455D8"/>
    <w:rsid w:val="75A12DC3"/>
    <w:rsid w:val="75ED24F3"/>
    <w:rsid w:val="75EE730D"/>
    <w:rsid w:val="76055ECB"/>
    <w:rsid w:val="76576545"/>
    <w:rsid w:val="76583239"/>
    <w:rsid w:val="766414E0"/>
    <w:rsid w:val="76694BEC"/>
    <w:rsid w:val="766A129A"/>
    <w:rsid w:val="768C7E9C"/>
    <w:rsid w:val="769E1FE8"/>
    <w:rsid w:val="76AA1A7E"/>
    <w:rsid w:val="76C4441E"/>
    <w:rsid w:val="76DB540C"/>
    <w:rsid w:val="76DF0DE6"/>
    <w:rsid w:val="76EC0820"/>
    <w:rsid w:val="76FC4623"/>
    <w:rsid w:val="7721710D"/>
    <w:rsid w:val="772F12E8"/>
    <w:rsid w:val="773D5787"/>
    <w:rsid w:val="77645FD0"/>
    <w:rsid w:val="776A44D4"/>
    <w:rsid w:val="778812A1"/>
    <w:rsid w:val="779B11FF"/>
    <w:rsid w:val="77E9472B"/>
    <w:rsid w:val="77E973F7"/>
    <w:rsid w:val="78230F6D"/>
    <w:rsid w:val="786B7CDB"/>
    <w:rsid w:val="786C3EF8"/>
    <w:rsid w:val="787E6FDF"/>
    <w:rsid w:val="78971491"/>
    <w:rsid w:val="78C54C9A"/>
    <w:rsid w:val="78C60656"/>
    <w:rsid w:val="791217C3"/>
    <w:rsid w:val="79345B1F"/>
    <w:rsid w:val="795D38E9"/>
    <w:rsid w:val="797549FD"/>
    <w:rsid w:val="79813307"/>
    <w:rsid w:val="799649F1"/>
    <w:rsid w:val="799A0B14"/>
    <w:rsid w:val="799D3A06"/>
    <w:rsid w:val="79C776C3"/>
    <w:rsid w:val="79D76C5A"/>
    <w:rsid w:val="7A076FC8"/>
    <w:rsid w:val="7A11541D"/>
    <w:rsid w:val="7A24072C"/>
    <w:rsid w:val="7A50553D"/>
    <w:rsid w:val="7A5A3203"/>
    <w:rsid w:val="7A7E2DD2"/>
    <w:rsid w:val="7A8C38B5"/>
    <w:rsid w:val="7A8C4C4A"/>
    <w:rsid w:val="7A966502"/>
    <w:rsid w:val="7A9D1510"/>
    <w:rsid w:val="7AD10C46"/>
    <w:rsid w:val="7AD86681"/>
    <w:rsid w:val="7B074467"/>
    <w:rsid w:val="7B271702"/>
    <w:rsid w:val="7B570B03"/>
    <w:rsid w:val="7B9C4976"/>
    <w:rsid w:val="7B9F791F"/>
    <w:rsid w:val="7B9F7A32"/>
    <w:rsid w:val="7BA3094A"/>
    <w:rsid w:val="7BD7422A"/>
    <w:rsid w:val="7BE62053"/>
    <w:rsid w:val="7BF90A9A"/>
    <w:rsid w:val="7BFE72E4"/>
    <w:rsid w:val="7C155842"/>
    <w:rsid w:val="7C161A73"/>
    <w:rsid w:val="7C280982"/>
    <w:rsid w:val="7C2B6F48"/>
    <w:rsid w:val="7C725C0E"/>
    <w:rsid w:val="7C791157"/>
    <w:rsid w:val="7CB83C04"/>
    <w:rsid w:val="7CBE7BF6"/>
    <w:rsid w:val="7CC560F2"/>
    <w:rsid w:val="7CF33A85"/>
    <w:rsid w:val="7D322691"/>
    <w:rsid w:val="7D35296E"/>
    <w:rsid w:val="7D451B73"/>
    <w:rsid w:val="7D4A6F9B"/>
    <w:rsid w:val="7D4E1DFC"/>
    <w:rsid w:val="7D6D1526"/>
    <w:rsid w:val="7D9C020E"/>
    <w:rsid w:val="7D9F646F"/>
    <w:rsid w:val="7DA30C24"/>
    <w:rsid w:val="7DAF32A7"/>
    <w:rsid w:val="7DB46964"/>
    <w:rsid w:val="7DD07A3C"/>
    <w:rsid w:val="7DDC313C"/>
    <w:rsid w:val="7DE729EA"/>
    <w:rsid w:val="7DEC7DC1"/>
    <w:rsid w:val="7DF04145"/>
    <w:rsid w:val="7DF26DF3"/>
    <w:rsid w:val="7E1D7F05"/>
    <w:rsid w:val="7E266FD9"/>
    <w:rsid w:val="7E463BAB"/>
    <w:rsid w:val="7E505E51"/>
    <w:rsid w:val="7E7878C6"/>
    <w:rsid w:val="7E7A6412"/>
    <w:rsid w:val="7E8F5820"/>
    <w:rsid w:val="7E95016C"/>
    <w:rsid w:val="7EA469A1"/>
    <w:rsid w:val="7EFC6E1B"/>
    <w:rsid w:val="7EFE5869"/>
    <w:rsid w:val="7F327FB4"/>
    <w:rsid w:val="7F4633FE"/>
    <w:rsid w:val="7F64578F"/>
    <w:rsid w:val="7F99366E"/>
    <w:rsid w:val="7FAA5A63"/>
    <w:rsid w:val="7FB21591"/>
    <w:rsid w:val="7FC41F90"/>
    <w:rsid w:val="7FCA6E04"/>
    <w:rsid w:val="7FE27A53"/>
    <w:rsid w:val="7FEA3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0"/>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9"/>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link w:val="55"/>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Salutation"/>
    <w:basedOn w:val="1"/>
    <w:next w:val="1"/>
    <w:qFormat/>
    <w:uiPriority w:val="0"/>
    <w:rPr>
      <w:sz w:val="30"/>
      <w:szCs w:val="30"/>
    </w:rPr>
  </w:style>
  <w:style w:type="paragraph" w:styleId="7">
    <w:name w:val="Body Text"/>
    <w:basedOn w:val="1"/>
    <w:link w:val="39"/>
    <w:qFormat/>
    <w:uiPriority w:val="0"/>
    <w:rPr>
      <w:rFonts w:ascii="仿宋_GB2312" w:eastAsia="仿宋_GB2312"/>
      <w:sz w:val="28"/>
    </w:rPr>
  </w:style>
  <w:style w:type="paragraph" w:styleId="8">
    <w:name w:val="Body Text Indent"/>
    <w:basedOn w:val="1"/>
    <w:qFormat/>
    <w:uiPriority w:val="0"/>
    <w:pPr>
      <w:spacing w:after="120"/>
      <w:ind w:left="420" w:leftChars="200"/>
    </w:pPr>
  </w:style>
  <w:style w:type="paragraph" w:styleId="9">
    <w:name w:val="Plain Text"/>
    <w:basedOn w:val="1"/>
    <w:link w:val="38"/>
    <w:qFormat/>
    <w:uiPriority w:val="0"/>
    <w:rPr>
      <w:rFonts w:ascii="宋体" w:hAnsi="Courier New"/>
    </w:rPr>
  </w:style>
  <w:style w:type="paragraph" w:styleId="10">
    <w:name w:val="Date"/>
    <w:basedOn w:val="1"/>
    <w:next w:val="1"/>
    <w:qFormat/>
    <w:uiPriority w:val="0"/>
    <w:pPr>
      <w:ind w:left="100" w:leftChars="2500"/>
    </w:pPr>
  </w:style>
  <w:style w:type="paragraph" w:styleId="11">
    <w:name w:val="Body Text Indent 2"/>
    <w:basedOn w:val="1"/>
    <w:link w:val="41"/>
    <w:qFormat/>
    <w:uiPriority w:val="0"/>
    <w:pPr>
      <w:spacing w:after="120" w:line="480" w:lineRule="auto"/>
      <w:ind w:left="420" w:leftChars="200"/>
    </w:pPr>
  </w:style>
  <w:style w:type="paragraph" w:styleId="12">
    <w:name w:val="Balloon Text"/>
    <w:basedOn w:val="1"/>
    <w:qFormat/>
    <w:uiPriority w:val="0"/>
    <w:rPr>
      <w:sz w:val="18"/>
    </w:rPr>
  </w:style>
  <w:style w:type="paragraph" w:styleId="13">
    <w:name w:val="footer"/>
    <w:basedOn w:val="1"/>
    <w:link w:val="46"/>
    <w:qFormat/>
    <w:uiPriority w:val="99"/>
    <w:pPr>
      <w:tabs>
        <w:tab w:val="center" w:pos="4153"/>
        <w:tab w:val="right" w:pos="8306"/>
      </w:tabs>
      <w:snapToGrid w:val="0"/>
      <w:jc w:val="left"/>
    </w:pPr>
    <w:rPr>
      <w:sz w:val="18"/>
    </w:rPr>
  </w:style>
  <w:style w:type="paragraph" w:styleId="14">
    <w:name w:val="header"/>
    <w:basedOn w:val="1"/>
    <w:link w:val="44"/>
    <w:qFormat/>
    <w:uiPriority w:val="99"/>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style>
  <w:style w:type="paragraph" w:styleId="16">
    <w:name w:val="Body Text Indent 3"/>
    <w:basedOn w:val="1"/>
    <w:qFormat/>
    <w:uiPriority w:val="0"/>
    <w:pPr>
      <w:snapToGrid w:val="0"/>
      <w:spacing w:line="288" w:lineRule="auto"/>
      <w:ind w:firstLine="560" w:firstLineChars="200"/>
    </w:pPr>
    <w:rPr>
      <w:rFonts w:ascii="宋体" w:hAnsi="宋体"/>
      <w:sz w:val="28"/>
    </w:rPr>
  </w:style>
  <w:style w:type="paragraph" w:styleId="17">
    <w:name w:val="toc 2"/>
    <w:basedOn w:val="1"/>
    <w:next w:val="1"/>
    <w:qFormat/>
    <w:uiPriority w:val="0"/>
    <w:pPr>
      <w:ind w:left="420" w:leftChars="200"/>
    </w:pPr>
  </w:style>
  <w:style w:type="paragraph" w:styleId="18">
    <w:name w:val="Body Text 2"/>
    <w:basedOn w:val="1"/>
    <w:link w:val="45"/>
    <w:qFormat/>
    <w:uiPriority w:val="0"/>
    <w:pPr>
      <w:spacing w:after="120" w:line="480" w:lineRule="auto"/>
    </w:p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20">
    <w:name w:val="Normal (Web)"/>
    <w:basedOn w:val="1"/>
    <w:qFormat/>
    <w:uiPriority w:val="0"/>
    <w:pPr>
      <w:spacing w:beforeAutospacing="1" w:afterAutospacing="1"/>
      <w:jc w:val="left"/>
    </w:pPr>
    <w:rPr>
      <w:kern w:val="0"/>
      <w:sz w:val="24"/>
    </w:rPr>
  </w:style>
  <w:style w:type="paragraph" w:styleId="21">
    <w:name w:val="annotation subject"/>
    <w:basedOn w:val="5"/>
    <w:next w:val="5"/>
    <w:qFormat/>
    <w:uiPriority w:val="0"/>
    <w:rPr>
      <w:b/>
    </w:rPr>
  </w:style>
  <w:style w:type="table" w:styleId="23">
    <w:name w:val="Table Grid"/>
    <w:basedOn w:val="22"/>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4F4F4F"/>
      <w:u w:val="none"/>
    </w:rPr>
  </w:style>
  <w:style w:type="character" w:styleId="28">
    <w:name w:val="Emphasis"/>
    <w:basedOn w:val="24"/>
    <w:qFormat/>
    <w:uiPriority w:val="0"/>
  </w:style>
  <w:style w:type="character" w:styleId="29">
    <w:name w:val="HTML Definition"/>
    <w:basedOn w:val="24"/>
    <w:qFormat/>
    <w:uiPriority w:val="0"/>
  </w:style>
  <w:style w:type="character" w:styleId="30">
    <w:name w:val="HTML Acronym"/>
    <w:basedOn w:val="24"/>
    <w:qFormat/>
    <w:uiPriority w:val="0"/>
  </w:style>
  <w:style w:type="character" w:styleId="31">
    <w:name w:val="HTML Variable"/>
    <w:basedOn w:val="24"/>
    <w:qFormat/>
    <w:uiPriority w:val="0"/>
  </w:style>
  <w:style w:type="character" w:styleId="32">
    <w:name w:val="Hyperlink"/>
    <w:basedOn w:val="24"/>
    <w:qFormat/>
    <w:uiPriority w:val="0"/>
    <w:rPr>
      <w:color w:val="0000FF"/>
      <w:u w:val="none"/>
    </w:rPr>
  </w:style>
  <w:style w:type="character" w:styleId="33">
    <w:name w:val="HTML Code"/>
    <w:basedOn w:val="24"/>
    <w:qFormat/>
    <w:uiPriority w:val="0"/>
    <w:rPr>
      <w:rFonts w:hint="default" w:ascii="Consolas" w:hAnsi="Consolas" w:eastAsia="Consolas" w:cs="Consolas"/>
      <w:sz w:val="21"/>
      <w:szCs w:val="21"/>
    </w:rPr>
  </w:style>
  <w:style w:type="character" w:styleId="34">
    <w:name w:val="annotation reference"/>
    <w:basedOn w:val="24"/>
    <w:qFormat/>
    <w:uiPriority w:val="0"/>
    <w:rPr>
      <w:sz w:val="21"/>
    </w:rPr>
  </w:style>
  <w:style w:type="character" w:styleId="35">
    <w:name w:val="HTML Cite"/>
    <w:basedOn w:val="24"/>
    <w:qFormat/>
    <w:uiPriority w:val="0"/>
  </w:style>
  <w:style w:type="character" w:styleId="36">
    <w:name w:val="HTML Keyboard"/>
    <w:basedOn w:val="24"/>
    <w:qFormat/>
    <w:uiPriority w:val="0"/>
    <w:rPr>
      <w:rFonts w:hint="default" w:ascii="Consolas" w:hAnsi="Consolas" w:eastAsia="Consolas" w:cs="Consolas"/>
      <w:sz w:val="21"/>
      <w:szCs w:val="21"/>
    </w:rPr>
  </w:style>
  <w:style w:type="character" w:styleId="37">
    <w:name w:val="HTML Sample"/>
    <w:basedOn w:val="24"/>
    <w:qFormat/>
    <w:uiPriority w:val="0"/>
    <w:rPr>
      <w:rFonts w:ascii="Consolas" w:hAnsi="Consolas" w:eastAsia="Consolas" w:cs="Consolas"/>
      <w:sz w:val="21"/>
      <w:szCs w:val="21"/>
    </w:rPr>
  </w:style>
  <w:style w:type="character" w:customStyle="1" w:styleId="38">
    <w:name w:val="纯文本 Char"/>
    <w:basedOn w:val="24"/>
    <w:link w:val="9"/>
    <w:qFormat/>
    <w:uiPriority w:val="0"/>
    <w:rPr>
      <w:rFonts w:hAnsi="Courier New"/>
      <w:kern w:val="2"/>
      <w:sz w:val="21"/>
      <w:szCs w:val="24"/>
    </w:rPr>
  </w:style>
  <w:style w:type="character" w:customStyle="1" w:styleId="39">
    <w:name w:val="正文文本 Char"/>
    <w:basedOn w:val="24"/>
    <w:link w:val="7"/>
    <w:qFormat/>
    <w:uiPriority w:val="0"/>
    <w:rPr>
      <w:rFonts w:ascii="仿宋_GB2312" w:eastAsia="仿宋_GB2312"/>
      <w:kern w:val="2"/>
      <w:sz w:val="28"/>
      <w:szCs w:val="24"/>
    </w:rPr>
  </w:style>
  <w:style w:type="character" w:customStyle="1" w:styleId="40">
    <w:name w:val="font41"/>
    <w:basedOn w:val="24"/>
    <w:qFormat/>
    <w:uiPriority w:val="0"/>
    <w:rPr>
      <w:rFonts w:hint="eastAsia" w:ascii="宋体" w:hAnsi="宋体" w:eastAsia="宋体"/>
      <w:color w:val="000000"/>
      <w:sz w:val="20"/>
      <w:szCs w:val="20"/>
      <w:u w:val="none"/>
    </w:rPr>
  </w:style>
  <w:style w:type="character" w:customStyle="1" w:styleId="41">
    <w:name w:val="正文文本缩进 2 Char"/>
    <w:basedOn w:val="24"/>
    <w:link w:val="11"/>
    <w:qFormat/>
    <w:uiPriority w:val="0"/>
    <w:rPr>
      <w:kern w:val="2"/>
      <w:sz w:val="21"/>
      <w:szCs w:val="24"/>
    </w:rPr>
  </w:style>
  <w:style w:type="character" w:customStyle="1" w:styleId="42">
    <w:name w:val="font71"/>
    <w:basedOn w:val="24"/>
    <w:qFormat/>
    <w:uiPriority w:val="0"/>
    <w:rPr>
      <w:rFonts w:hint="default" w:ascii="Times New Roman" w:hAnsi="Times New Roman" w:cs="Times New Roman"/>
      <w:color w:val="000000"/>
      <w:sz w:val="20"/>
      <w:szCs w:val="20"/>
      <w:u w:val="none"/>
    </w:rPr>
  </w:style>
  <w:style w:type="character" w:customStyle="1" w:styleId="43">
    <w:name w:val="font01"/>
    <w:basedOn w:val="24"/>
    <w:qFormat/>
    <w:uiPriority w:val="0"/>
    <w:rPr>
      <w:rFonts w:hint="default" w:ascii="Times New Roman" w:hAnsi="Times New Roman" w:cs="Times New Roman"/>
      <w:color w:val="000000"/>
      <w:sz w:val="24"/>
      <w:szCs w:val="24"/>
      <w:u w:val="none"/>
    </w:rPr>
  </w:style>
  <w:style w:type="character" w:customStyle="1" w:styleId="44">
    <w:name w:val="页眉 Char"/>
    <w:basedOn w:val="24"/>
    <w:link w:val="14"/>
    <w:qFormat/>
    <w:uiPriority w:val="99"/>
    <w:rPr>
      <w:kern w:val="2"/>
      <w:sz w:val="18"/>
      <w:szCs w:val="24"/>
    </w:rPr>
  </w:style>
  <w:style w:type="character" w:customStyle="1" w:styleId="45">
    <w:name w:val="正文文本 2 Char"/>
    <w:basedOn w:val="24"/>
    <w:link w:val="18"/>
    <w:qFormat/>
    <w:uiPriority w:val="0"/>
    <w:rPr>
      <w:kern w:val="2"/>
      <w:sz w:val="21"/>
      <w:szCs w:val="24"/>
    </w:rPr>
  </w:style>
  <w:style w:type="character" w:customStyle="1" w:styleId="46">
    <w:name w:val="页脚 Char"/>
    <w:basedOn w:val="24"/>
    <w:link w:val="13"/>
    <w:qFormat/>
    <w:uiPriority w:val="99"/>
    <w:rPr>
      <w:kern w:val="2"/>
      <w:sz w:val="18"/>
      <w:szCs w:val="24"/>
    </w:rPr>
  </w:style>
  <w:style w:type="character" w:customStyle="1" w:styleId="47">
    <w:name w:val="font21"/>
    <w:basedOn w:val="24"/>
    <w:qFormat/>
    <w:uiPriority w:val="0"/>
    <w:rPr>
      <w:rFonts w:hint="default" w:ascii="仿宋" w:hAnsi="仿宋" w:eastAsia="仿宋" w:cs="仿宋"/>
      <w:color w:val="000000"/>
      <w:sz w:val="24"/>
      <w:szCs w:val="24"/>
      <w:u w:val="none"/>
    </w:rPr>
  </w:style>
  <w:style w:type="paragraph" w:customStyle="1" w:styleId="48">
    <w:name w:val="p0"/>
    <w:basedOn w:val="1"/>
    <w:qFormat/>
    <w:uiPriority w:val="0"/>
    <w:pPr>
      <w:widowControl/>
      <w:jc w:val="left"/>
    </w:pPr>
    <w:rPr>
      <w:kern w:val="0"/>
      <w:sz w:val="20"/>
    </w:rPr>
  </w:style>
  <w:style w:type="paragraph" w:customStyle="1" w:styleId="49">
    <w:name w:val="Char Char Char1 Char Char Char Char"/>
    <w:basedOn w:val="1"/>
    <w:qFormat/>
    <w:uiPriority w:val="0"/>
    <w:rPr>
      <w:rFonts w:ascii="宋体" w:hAnsi="宋体" w:cs="Courier New"/>
      <w:sz w:val="32"/>
      <w:szCs w:val="32"/>
    </w:rPr>
  </w:style>
  <w:style w:type="paragraph" w:customStyle="1" w:styleId="50">
    <w:name w:val="样式3"/>
    <w:basedOn w:val="1"/>
    <w:qFormat/>
    <w:uiPriority w:val="0"/>
    <w:pPr>
      <w:jc w:val="center"/>
    </w:pPr>
    <w:rPr>
      <w:rFonts w:ascii="宋体"/>
      <w:spacing w:val="6"/>
      <w:szCs w:val="20"/>
    </w:rPr>
  </w:style>
  <w:style w:type="table" w:customStyle="1" w:styleId="51">
    <w:name w:val="网格型1"/>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2">
    <w:name w:val="font31"/>
    <w:basedOn w:val="24"/>
    <w:qFormat/>
    <w:uiPriority w:val="0"/>
    <w:rPr>
      <w:rFonts w:hint="eastAsia" w:ascii="宋体" w:hAnsi="宋体" w:eastAsia="宋体" w:cs="宋体"/>
      <w:color w:val="000000"/>
      <w:sz w:val="20"/>
      <w:szCs w:val="20"/>
      <w:u w:val="none"/>
    </w:rPr>
  </w:style>
  <w:style w:type="character" w:customStyle="1" w:styleId="53">
    <w:name w:val="font11"/>
    <w:qFormat/>
    <w:uiPriority w:val="0"/>
    <w:rPr>
      <w:rFonts w:ascii="宋体" w:hAnsi="宋体" w:eastAsia="宋体" w:cs="宋体"/>
      <w:color w:val="000000"/>
      <w:sz w:val="20"/>
      <w:szCs w:val="20"/>
      <w:u w:val="none"/>
    </w:rPr>
  </w:style>
  <w:style w:type="paragraph" w:styleId="54">
    <w:name w:val="List Paragraph"/>
    <w:basedOn w:val="1"/>
    <w:qFormat/>
    <w:uiPriority w:val="99"/>
    <w:pPr>
      <w:ind w:firstLine="420" w:firstLineChars="200"/>
    </w:pPr>
  </w:style>
  <w:style w:type="character" w:customStyle="1" w:styleId="55">
    <w:name w:val="标题 3 Char"/>
    <w:basedOn w:val="24"/>
    <w:link w:val="4"/>
    <w:qFormat/>
    <w:uiPriority w:val="0"/>
    <w:rPr>
      <w:b/>
      <w:bCs/>
      <w:sz w:val="32"/>
      <w:szCs w:val="32"/>
    </w:rPr>
  </w:style>
  <w:style w:type="character" w:customStyle="1" w:styleId="56">
    <w:name w:val="hover"/>
    <w:basedOn w:val="24"/>
    <w:qFormat/>
    <w:uiPriority w:val="0"/>
    <w:rPr>
      <w:shd w:val="clear" w:color="auto" w:fill="E4393C"/>
    </w:rPr>
  </w:style>
  <w:style w:type="character" w:customStyle="1" w:styleId="57">
    <w:name w:val="gz"/>
    <w:basedOn w:val="24"/>
    <w:qFormat/>
    <w:uiPriority w:val="0"/>
  </w:style>
  <w:style w:type="character" w:customStyle="1" w:styleId="58">
    <w:name w:val="app"/>
    <w:basedOn w:val="24"/>
    <w:qFormat/>
    <w:uiPriority w:val="0"/>
  </w:style>
  <w:style w:type="character" w:customStyle="1" w:styleId="59">
    <w:name w:val="disabled"/>
    <w:basedOn w:val="24"/>
    <w:qFormat/>
    <w:uiPriority w:val="0"/>
    <w:rPr>
      <w:color w:val="999999"/>
      <w:bdr w:val="single" w:color="DDDDDD" w:sz="6" w:space="0"/>
    </w:rPr>
  </w:style>
  <w:style w:type="character" w:customStyle="1" w:styleId="60">
    <w:name w:val="current"/>
    <w:basedOn w:val="24"/>
    <w:qFormat/>
    <w:uiPriority w:val="0"/>
    <w:rPr>
      <w:b/>
      <w:color w:val="FFFFFF"/>
      <w:shd w:val="clear" w:color="auto" w:fill="1F7BE3"/>
    </w:rPr>
  </w:style>
  <w:style w:type="character" w:customStyle="1" w:styleId="61">
    <w:name w:val="first-child"/>
    <w:basedOn w:val="24"/>
    <w:qFormat/>
    <w:uiPriority w:val="0"/>
  </w:style>
  <w:style w:type="character" w:customStyle="1" w:styleId="62">
    <w:name w:val="sidecatalog-index1"/>
    <w:basedOn w:val="24"/>
    <w:qFormat/>
    <w:uiPriority w:val="0"/>
    <w:rPr>
      <w:rFonts w:ascii="Arial" w:hAnsi="Arial" w:cs="Arial"/>
      <w:b/>
      <w:color w:val="999999"/>
      <w:sz w:val="21"/>
      <w:szCs w:val="21"/>
    </w:rPr>
  </w:style>
  <w:style w:type="character" w:customStyle="1" w:styleId="63">
    <w:name w:val="sidecatalog-dot3"/>
    <w:basedOn w:val="24"/>
    <w:qFormat/>
    <w:uiPriority w:val="0"/>
  </w:style>
  <w:style w:type="character" w:customStyle="1" w:styleId="64">
    <w:name w:val="lemmatitleh1"/>
    <w:basedOn w:val="24"/>
    <w:qFormat/>
    <w:uiPriority w:val="0"/>
  </w:style>
  <w:style w:type="character" w:customStyle="1" w:styleId="65">
    <w:name w:val="before"/>
    <w:basedOn w:val="24"/>
    <w:qFormat/>
    <w:uiPriority w:val="0"/>
    <w:rPr>
      <w:shd w:val="clear" w:color="auto" w:fill="E8E8E8"/>
    </w:rPr>
  </w:style>
  <w:style w:type="character" w:customStyle="1" w:styleId="66">
    <w:name w:val="layui-this"/>
    <w:basedOn w:val="24"/>
    <w:qFormat/>
    <w:uiPriority w:val="0"/>
    <w:rPr>
      <w:bdr w:val="single" w:color="EEEEEE" w:sz="6" w:space="0"/>
      <w:shd w:val="clear" w:color="auto" w:fill="FFFFFF"/>
    </w:rPr>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9">
    <w:name w:val="标题 2 Char"/>
    <w:link w:val="3"/>
    <w:qFormat/>
    <w:uiPriority w:val="0"/>
    <w:rPr>
      <w:rFonts w:ascii="Arial" w:hAnsi="Arial" w:eastAsia="黑体"/>
      <w:b/>
      <w:sz w:val="32"/>
    </w:rPr>
  </w:style>
  <w:style w:type="character" w:customStyle="1" w:styleId="70">
    <w:name w:val="标题 1 Char"/>
    <w:basedOn w:val="24"/>
    <w:link w:val="2"/>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4099"/>
    <customShpInfo spid="_x0000_s4100"/>
    <customShpInfo spid="_x0000_s410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9808</Words>
  <Characters>11266</Characters>
  <Lines>99</Lines>
  <Paragraphs>27</Paragraphs>
  <TotalTime>5</TotalTime>
  <ScaleCrop>false</ScaleCrop>
  <LinksUpToDate>false</LinksUpToDate>
  <CharactersWithSpaces>11753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冰城.晨橙</cp:lastModifiedBy>
  <cp:lastPrinted>2022-08-24T01:13:24Z</cp:lastPrinted>
  <dcterms:modified xsi:type="dcterms:W3CDTF">2022-08-24T01:52:41Z</dcterms:modified>
  <dc:title>××司法鉴定中心司法鉴定意见书</dc:title>
  <cp:revision>312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1605A0D6C4CE4D0287A49E57B53D6C8F</vt:lpwstr>
  </property>
</Properties>
</file>