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隶书" w:hAnsi="宋体" w:eastAsia="隶书"/>
          <w:b/>
          <w:spacing w:val="-22"/>
          <w:sz w:val="24"/>
        </w:rPr>
      </w:pPr>
    </w:p>
    <w:p>
      <w:pPr>
        <w:rPr>
          <w:rFonts w:hint="eastAsia" w:ascii="隶书" w:hAnsi="宋体" w:eastAsia="隶书"/>
          <w:b/>
          <w:spacing w:val="-22"/>
          <w:sz w:val="24"/>
          <w14:shadow w14:blurRad="50800" w14:dist="38100" w14:dir="2700000" w14:sx="100000" w14:sy="100000" w14:kx="0" w14:ky="0" w14:algn="tl">
            <w14:srgbClr w14:val="000000">
              <w14:alpha w14:val="60000"/>
            </w14:srgbClr>
          </w14:shadow>
        </w:rPr>
      </w:pPr>
    </w:p>
    <w:p>
      <w:pPr>
        <w:rPr>
          <w:rFonts w:hint="eastAsia" w:ascii="隶书" w:hAnsi="宋体" w:eastAsia="隶书"/>
          <w:b/>
          <w:spacing w:val="-22"/>
          <w:sz w:val="24"/>
          <w14:shadow w14:blurRad="50800" w14:dist="38100" w14:dir="2700000" w14:sx="100000" w14:sy="100000" w14:kx="0" w14:ky="0" w14:algn="tl">
            <w14:srgbClr w14:val="000000">
              <w14:alpha w14:val="60000"/>
            </w14:srgbClr>
          </w14:shadow>
        </w:rPr>
      </w:pPr>
    </w:p>
    <w:p>
      <w:pPr>
        <w:jc w:val="center"/>
        <w:rPr>
          <w:rFonts w:hint="eastAsia" w:ascii="隶书" w:hAnsi="宋体" w:eastAsia="隶书"/>
          <w:b/>
          <w:spacing w:val="-22"/>
          <w:sz w:val="96"/>
          <w:szCs w:val="96"/>
          <w14:shadow w14:blurRad="50800" w14:dist="38100" w14:dir="2700000" w14:sx="100000" w14:sy="100000" w14:kx="0" w14:ky="0" w14:algn="tl">
            <w14:srgbClr w14:val="000000">
              <w14:alpha w14:val="60000"/>
            </w14:srgbClr>
          </w14:shadow>
        </w:rPr>
      </w:pPr>
      <w:r>
        <w:rPr>
          <w:rFonts w:hint="eastAsia" w:ascii="隶书" w:hAnsi="宋体" w:eastAsia="隶书"/>
          <w:b/>
          <w:spacing w:val="-22"/>
          <w:sz w:val="96"/>
          <w:szCs w:val="96"/>
          <w:lang w:eastAsia="zh-CN"/>
          <w14:shadow w14:blurRad="50800" w14:dist="38100" w14:dir="2700000" w14:sx="100000" w14:sy="100000" w14:kx="0" w14:ky="0" w14:algn="tl">
            <w14:srgbClr w14:val="000000">
              <w14:alpha w14:val="60000"/>
            </w14:srgbClr>
          </w14:shadow>
        </w:rPr>
        <w:t>房地产</w:t>
      </w:r>
      <w:r>
        <w:rPr>
          <w:rFonts w:hint="eastAsia" w:ascii="隶书" w:hAnsi="宋体" w:eastAsia="隶书"/>
          <w:b/>
          <w:spacing w:val="-22"/>
          <w:sz w:val="96"/>
          <w:szCs w:val="96"/>
          <w14:shadow w14:blurRad="50800" w14:dist="38100" w14:dir="2700000" w14:sx="100000" w14:sy="100000" w14:kx="0" w14:ky="0" w14:algn="tl">
            <w14:srgbClr w14:val="000000">
              <w14:alpha w14:val="60000"/>
            </w14:srgbClr>
          </w14:shadow>
        </w:rPr>
        <w:t>估价报告</w:t>
      </w:r>
    </w:p>
    <w:p>
      <w:pPr>
        <w:pStyle w:val="2"/>
        <w:spacing w:line="540" w:lineRule="auto"/>
        <w:ind w:left="0" w:leftChars="0" w:right="0" w:rightChars="0" w:firstLine="0" w:firstLineChars="0"/>
        <w:jc w:val="center"/>
        <w:rPr>
          <w:rFonts w:hint="eastAsia" w:ascii="仿宋_GB2312"/>
          <w:b w:val="0"/>
          <w:bCs w:val="0"/>
          <w:color w:val="000000"/>
          <w:sz w:val="32"/>
        </w:rPr>
      </w:pPr>
      <w:r>
        <w:rPr>
          <w:rFonts w:hint="eastAsia" w:ascii="仿宋_GB2312"/>
          <w:color w:val="000000"/>
          <w:sz w:val="32"/>
        </w:rPr>
        <w:t>甬博估字第20</w:t>
      </w:r>
      <w:r>
        <w:rPr>
          <w:rFonts w:hint="eastAsia" w:ascii="仿宋_GB2312"/>
          <w:color w:val="000000"/>
          <w:sz w:val="32"/>
          <w:lang w:val="en-US" w:eastAsia="zh-CN"/>
        </w:rPr>
        <w:t>22</w:t>
      </w:r>
      <w:r>
        <w:rPr>
          <w:rFonts w:hint="eastAsia" w:ascii="仿宋_GB2312"/>
          <w:color w:val="000000"/>
          <w:sz w:val="32"/>
        </w:rPr>
        <w:t>S0</w:t>
      </w:r>
      <w:r>
        <w:rPr>
          <w:rFonts w:hint="eastAsia" w:ascii="仿宋_GB2312"/>
          <w:color w:val="000000"/>
          <w:sz w:val="32"/>
          <w:lang w:val="en-US" w:eastAsia="zh-CN"/>
        </w:rPr>
        <w:t>056-2</w:t>
      </w:r>
      <w:r>
        <w:rPr>
          <w:rFonts w:hint="eastAsia" w:ascii="仿宋_GB2312"/>
          <w:color w:val="000000"/>
          <w:sz w:val="32"/>
        </w:rPr>
        <w:t>号</w:t>
      </w:r>
    </w:p>
    <w:p>
      <w:pPr>
        <w:spacing w:line="480" w:lineRule="auto"/>
        <w:jc w:val="center"/>
        <w:rPr>
          <w:rFonts w:hint="eastAsia" w:ascii="仿宋" w:hAnsi="仿宋" w:eastAsia="仿宋" w:cs="仿宋"/>
          <w:sz w:val="32"/>
        </w:rPr>
      </w:pPr>
      <w:r>
        <w:rPr>
          <w:rFonts w:hint="eastAsia" w:ascii="仿宋" w:hAnsi="仿宋" w:eastAsia="仿宋" w:cs="仿宋"/>
        </w:rPr>
        <w:drawing>
          <wp:anchor distT="0" distB="0" distL="114300" distR="114300" simplePos="0" relativeHeight="251660288" behindDoc="0" locked="0" layoutInCell="1" allowOverlap="1">
            <wp:simplePos x="0" y="0"/>
            <wp:positionH relativeFrom="column">
              <wp:posOffset>2524125</wp:posOffset>
            </wp:positionH>
            <wp:positionV relativeFrom="paragraph">
              <wp:posOffset>333375</wp:posOffset>
            </wp:positionV>
            <wp:extent cx="379730" cy="502285"/>
            <wp:effectExtent l="0" t="0" r="1270" b="12065"/>
            <wp:wrapNone/>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pic:cNvPicPr>
                  </pic:nvPicPr>
                  <pic:blipFill>
                    <a:blip r:embed="rId6"/>
                    <a:stretch>
                      <a:fillRect/>
                    </a:stretch>
                  </pic:blipFill>
                  <pic:spPr>
                    <a:xfrm>
                      <a:off x="0" y="0"/>
                      <a:ext cx="379730" cy="502285"/>
                    </a:xfrm>
                    <a:prstGeom prst="rect">
                      <a:avLst/>
                    </a:prstGeom>
                    <a:noFill/>
                    <a:ln w="9525">
                      <a:noFill/>
                    </a:ln>
                  </pic:spPr>
                </pic:pic>
              </a:graphicData>
            </a:graphic>
          </wp:anchor>
        </w:drawing>
      </w:r>
    </w:p>
    <w:p>
      <w:pPr>
        <w:spacing w:line="480" w:lineRule="auto"/>
        <w:rPr>
          <w:rFonts w:hint="eastAsia" w:eastAsia="黑体"/>
          <w:sz w:val="18"/>
          <w:szCs w:val="18"/>
          <w:u w:val="thick"/>
        </w:rPr>
      </w:pPr>
      <w:r>
        <w:rPr>
          <w:rFonts w:hint="eastAsia"/>
          <w:sz w:val="18"/>
          <w:szCs w:val="18"/>
          <w:u w:val="thick"/>
        </w:rPr>
        <w:t xml:space="preserve">                     </w:t>
      </w:r>
      <w:r>
        <w:rPr>
          <w:rFonts w:hint="eastAsia" w:eastAsia="黑体"/>
          <w:sz w:val="18"/>
          <w:szCs w:val="18"/>
          <w:u w:val="thick"/>
        </w:rPr>
        <w:t xml:space="preserve">                                                                          </w:t>
      </w:r>
    </w:p>
    <w:p>
      <w:pPr>
        <w:widowControl/>
        <w:spacing w:before="145" w:line="420" w:lineRule="atLeast"/>
        <w:jc w:val="both"/>
        <w:rPr>
          <w:rFonts w:hint="eastAsia" w:ascii="仿宋_GB2312" w:eastAsia="仿宋_GB2312"/>
          <w:b/>
          <w:sz w:val="32"/>
          <w:szCs w:val="32"/>
        </w:rPr>
      </w:pPr>
      <w:r>
        <w:rPr>
          <w:rFonts w:hint="eastAsia" w:ascii="仿宋_GB2312" w:eastAsia="仿宋_GB2312"/>
          <w:b/>
          <w:sz w:val="32"/>
          <w:szCs w:val="32"/>
        </w:rPr>
        <w:t xml:space="preserve">  </w:t>
      </w:r>
    </w:p>
    <w:p>
      <w:pPr>
        <w:widowControl/>
        <w:spacing w:before="145" w:line="420" w:lineRule="atLeast"/>
        <w:ind w:left="2278" w:hanging="2278" w:hangingChars="709"/>
        <w:jc w:val="left"/>
        <w:rPr>
          <w:rFonts w:hint="eastAsia" w:ascii="仿宋_GB2312" w:eastAsia="仿宋_GB2312"/>
          <w:b/>
          <w:bCs/>
          <w:color w:val="000000"/>
          <w:sz w:val="32"/>
        </w:rPr>
      </w:pPr>
      <w:r>
        <w:rPr>
          <w:rFonts w:hint="eastAsia" w:ascii="仿宋_GB2312" w:eastAsia="仿宋_GB2312"/>
          <w:b/>
          <w:bCs/>
          <w:color w:val="000000"/>
          <w:sz w:val="32"/>
        </w:rPr>
        <w:t>估价项目名称：</w:t>
      </w:r>
      <w:r>
        <w:rPr>
          <w:rFonts w:hint="eastAsia" w:ascii="仿宋_GB2312" w:eastAsia="仿宋_GB2312"/>
          <w:b/>
          <w:bCs/>
          <w:color w:val="000000"/>
          <w:sz w:val="32"/>
          <w:lang w:eastAsia="zh-CN"/>
        </w:rPr>
        <w:t>宁波市海曙区西湾路137弄57号104.204室住宅房地产</w:t>
      </w:r>
      <w:r>
        <w:rPr>
          <w:rFonts w:hint="eastAsia" w:ascii="仿宋_GB2312" w:eastAsia="仿宋_GB2312"/>
          <w:b/>
          <w:bCs/>
          <w:color w:val="000000"/>
          <w:sz w:val="32"/>
        </w:rPr>
        <w:t>市场价值司法鉴定评估</w:t>
      </w:r>
    </w:p>
    <w:p>
      <w:pPr>
        <w:widowControl/>
        <w:spacing w:before="145" w:line="420" w:lineRule="atLeast"/>
        <w:ind w:left="1950" w:hanging="1949"/>
        <w:jc w:val="left"/>
        <w:rPr>
          <w:rFonts w:hint="eastAsia" w:ascii="仿宋_GB2312" w:eastAsia="仿宋_GB2312"/>
          <w:b/>
          <w:bCs/>
          <w:color w:val="000000"/>
          <w:sz w:val="32"/>
          <w:lang w:eastAsia="zh-CN"/>
        </w:rPr>
      </w:pPr>
      <w:r>
        <w:rPr>
          <w:rFonts w:hint="eastAsia" w:ascii="仿宋_GB2312" w:eastAsia="仿宋_GB2312"/>
          <w:b/>
          <w:bCs/>
          <w:color w:val="000000"/>
          <w:sz w:val="32"/>
        </w:rPr>
        <w:t>估价委托人：  </w:t>
      </w:r>
      <w:r>
        <w:rPr>
          <w:rFonts w:hint="eastAsia" w:ascii="仿宋_GB2312" w:eastAsia="仿宋_GB2312"/>
          <w:b/>
          <w:bCs/>
          <w:color w:val="000000"/>
          <w:sz w:val="32"/>
          <w:lang w:eastAsia="zh-CN"/>
        </w:rPr>
        <w:t>宁波市鄞州区人民法院</w:t>
      </w:r>
    </w:p>
    <w:p>
      <w:pPr>
        <w:pStyle w:val="2"/>
        <w:spacing w:line="540" w:lineRule="auto"/>
        <w:ind w:firstLine="0" w:firstLineChars="0"/>
        <w:jc w:val="both"/>
        <w:rPr>
          <w:rFonts w:hint="eastAsia" w:ascii="仿宋_GB2312"/>
          <w:color w:val="000000"/>
          <w:sz w:val="32"/>
        </w:rPr>
      </w:pPr>
      <w:r>
        <w:rPr>
          <w:rFonts w:hint="eastAsia" w:ascii="仿宋_GB2312"/>
          <w:color w:val="000000"/>
          <w:sz w:val="32"/>
        </w:rPr>
        <w:t>房地产估价机构：宁波市中博房地产估价有限公司</w:t>
      </w:r>
    </w:p>
    <w:p>
      <w:pPr>
        <w:pStyle w:val="2"/>
        <w:spacing w:line="540" w:lineRule="auto"/>
        <w:ind w:firstLine="0" w:firstLineChars="0"/>
        <w:jc w:val="both"/>
        <w:rPr>
          <w:rFonts w:hint="eastAsia" w:ascii="仿宋_GB2312" w:eastAsia="仿宋_GB2312"/>
          <w:color w:val="000000"/>
          <w:sz w:val="32"/>
          <w:lang w:val="en-US" w:eastAsia="zh-CN"/>
        </w:rPr>
      </w:pPr>
      <w:r>
        <w:rPr>
          <w:rFonts w:hint="eastAsia" w:ascii="仿宋_GB2312"/>
          <w:color w:val="000000"/>
          <w:sz w:val="32"/>
        </w:rPr>
        <w:t>注册房地产估价师：</w:t>
      </w:r>
      <w:r>
        <w:rPr>
          <w:rFonts w:hint="eastAsia" w:ascii="仿宋_GB2312"/>
          <w:color w:val="000000"/>
          <w:sz w:val="32"/>
          <w:lang w:eastAsia="zh-CN"/>
        </w:rPr>
        <w:t>****</w:t>
      </w:r>
      <w:r>
        <w:rPr>
          <w:rFonts w:hint="eastAsia" w:ascii="仿宋_GB2312"/>
          <w:color w:val="000000"/>
          <w:sz w:val="32"/>
        </w:rPr>
        <w:t>（注册号：</w:t>
      </w:r>
      <w:r>
        <w:rPr>
          <w:rFonts w:hint="eastAsia" w:ascii="仿宋_GB2312"/>
          <w:color w:val="000000"/>
          <w:sz w:val="32"/>
          <w:lang w:eastAsia="zh-CN"/>
        </w:rPr>
        <w:t>****</w:t>
      </w:r>
      <w:r>
        <w:rPr>
          <w:rFonts w:hint="eastAsia" w:ascii="仿宋_GB2312"/>
          <w:color w:val="000000"/>
          <w:sz w:val="32"/>
        </w:rPr>
        <w:t>）；</w:t>
      </w:r>
    </w:p>
    <w:p>
      <w:pPr>
        <w:pStyle w:val="2"/>
        <w:spacing w:line="540" w:lineRule="auto"/>
        <w:ind w:firstLine="2271"/>
        <w:jc w:val="both"/>
        <w:rPr>
          <w:rFonts w:hint="eastAsia" w:ascii="仿宋_GB2312"/>
          <w:color w:val="000000"/>
          <w:sz w:val="32"/>
        </w:rPr>
      </w:pPr>
      <w:r>
        <w:rPr>
          <w:rFonts w:hint="eastAsia" w:ascii="仿宋_GB2312"/>
          <w:color w:val="000000"/>
          <w:sz w:val="32"/>
        </w:rPr>
        <w:t xml:space="preserve">    </w:t>
      </w:r>
      <w:r>
        <w:rPr>
          <w:rFonts w:hint="eastAsia" w:ascii="仿宋_GB2312"/>
          <w:color w:val="000000"/>
          <w:sz w:val="32"/>
          <w:lang w:eastAsia="zh-CN"/>
        </w:rPr>
        <w:t>****</w:t>
      </w:r>
      <w:r>
        <w:rPr>
          <w:rFonts w:hint="eastAsia" w:ascii="仿宋_GB2312"/>
          <w:color w:val="000000"/>
          <w:sz w:val="32"/>
        </w:rPr>
        <w:t>（注册号：</w:t>
      </w:r>
      <w:r>
        <w:rPr>
          <w:rFonts w:hint="eastAsia" w:ascii="仿宋_GB2312"/>
          <w:color w:val="000000"/>
          <w:sz w:val="32"/>
          <w:lang w:eastAsia="zh-CN"/>
        </w:rPr>
        <w:t>****</w:t>
      </w:r>
      <w:r>
        <w:rPr>
          <w:rFonts w:hint="eastAsia" w:ascii="仿宋_GB2312"/>
          <w:color w:val="000000"/>
          <w:sz w:val="32"/>
        </w:rPr>
        <w:t>）</w:t>
      </w:r>
    </w:p>
    <w:p>
      <w:pPr>
        <w:pStyle w:val="2"/>
        <w:spacing w:line="540" w:lineRule="auto"/>
        <w:ind w:firstLine="0" w:firstLineChars="0"/>
        <w:jc w:val="both"/>
        <w:rPr>
          <w:rFonts w:hint="eastAsia" w:ascii="仿宋_GB2312" w:eastAsia="仿宋_GB2312"/>
          <w:color w:val="000000"/>
          <w:sz w:val="32"/>
          <w:lang w:eastAsia="zh-CN"/>
        </w:rPr>
      </w:pPr>
      <w:r>
        <w:rPr>
          <w:rFonts w:hint="eastAsia" w:ascii="仿宋_GB2312"/>
          <w:color w:val="000000"/>
          <w:sz w:val="32"/>
        </w:rPr>
        <w:t>估价报告出</w:t>
      </w:r>
      <w:r>
        <w:rPr>
          <w:bCs w:val="0"/>
          <w:color w:val="000000"/>
          <w:sz w:val="32"/>
          <w:szCs w:val="32"/>
          <w:lang w:val="zh-CN"/>
        </w:rPr>
        <w:t>具</w:t>
      </w:r>
      <w:r>
        <w:rPr>
          <w:rFonts w:hint="eastAsia" w:ascii="仿宋_GB2312"/>
          <w:color w:val="000000"/>
          <w:sz w:val="32"/>
        </w:rPr>
        <w:t>日期：</w:t>
      </w:r>
      <w:r>
        <w:rPr>
          <w:rFonts w:hint="eastAsia" w:ascii="仿宋_GB2312"/>
          <w:color w:val="000000"/>
          <w:sz w:val="32"/>
          <w:lang w:eastAsia="zh-CN"/>
        </w:rPr>
        <w:t>2022年8月22日</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jc w:val="center"/>
        <w:textAlignment w:val="auto"/>
        <w:outlineLvl w:val="9"/>
        <w:rPr>
          <w:rFonts w:hint="eastAsia" w:ascii="仿宋_GB2312" w:hAnsi="仿宋_GB2312" w:eastAsia="仿宋_GB2312" w:cs="仿宋_GB2312"/>
          <w:color w:val="000000"/>
          <w:sz w:val="28"/>
          <w:szCs w:val="28"/>
          <w:shd w:val="clear" w:color="auto" w:fill="FFFF00"/>
        </w:rPr>
      </w:pPr>
      <w:r>
        <w:rPr>
          <w:rFonts w:hint="eastAsia" w:ascii="仿宋_GB2312" w:hAnsi="仿宋_GB2312" w:eastAsia="仿宋_GB2312" w:cs="仿宋_GB2312"/>
          <w:color w:val="000000"/>
          <w:sz w:val="28"/>
          <w:szCs w:val="28"/>
          <w:shd w:val="clear" w:color="auto" w:fill="FFFF00"/>
        </w:rPr>
        <w:br w:type="page"/>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jc w:val="center"/>
        <w:textAlignment w:val="auto"/>
        <w:outlineLvl w:val="9"/>
        <w:rPr>
          <w:rFonts w:hint="eastAsia" w:ascii="仿宋_GB2312" w:hAnsi="仿宋_GB2312" w:eastAsia="仿宋_GB2312" w:cs="仿宋_GB2312"/>
          <w:b/>
          <w:bCs/>
          <w:color w:val="000000"/>
          <w:sz w:val="44"/>
          <w:szCs w:val="44"/>
          <w:shd w:val="clear" w:color="auto" w:fill="FFFFFF"/>
        </w:rPr>
      </w:pP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jc w:val="center"/>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b/>
          <w:bCs/>
          <w:color w:val="000000"/>
          <w:sz w:val="44"/>
          <w:szCs w:val="44"/>
          <w:shd w:val="clear" w:color="auto" w:fill="FFFFFF"/>
          <w:lang w:val="en-US" w:eastAsia="zh-CN"/>
        </w:rPr>
        <w:t xml:space="preserve"> </w:t>
      </w:r>
      <w:r>
        <w:rPr>
          <w:rFonts w:hint="eastAsia" w:ascii="仿宋_GB2312" w:hAnsi="仿宋_GB2312" w:eastAsia="仿宋_GB2312" w:cs="仿宋_GB2312"/>
          <w:b/>
          <w:bCs/>
          <w:color w:val="000000"/>
          <w:sz w:val="44"/>
          <w:szCs w:val="44"/>
          <w:shd w:val="clear" w:color="auto" w:fill="FFFFFF"/>
        </w:rPr>
        <w:t>致估价委托人函</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lang w:eastAsia="zh-CN"/>
        </w:rPr>
        <w:t>宁波市鄞州区人民法院</w:t>
      </w:r>
      <w:r>
        <w:rPr>
          <w:rFonts w:hint="eastAsia" w:ascii="仿宋_GB2312" w:hAnsi="仿宋_GB2312" w:eastAsia="仿宋_GB2312" w:cs="仿宋_GB2312"/>
          <w:color w:val="000000"/>
          <w:sz w:val="28"/>
          <w:szCs w:val="28"/>
          <w:shd w:val="clear" w:color="auto" w:fill="FFFFFF"/>
        </w:rPr>
        <w:t>：</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98" w:firstLineChars="178"/>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受贵院的委托，本公司组织专业估价人员对贵院编号为（20</w:t>
      </w:r>
      <w:r>
        <w:rPr>
          <w:rFonts w:hint="eastAsia" w:ascii="仿宋_GB2312" w:hAnsi="仿宋_GB2312" w:eastAsia="仿宋_GB2312" w:cs="仿宋_GB2312"/>
          <w:color w:val="000000"/>
          <w:sz w:val="28"/>
          <w:szCs w:val="28"/>
          <w:shd w:val="clear" w:color="auto" w:fill="FFFFFF"/>
          <w:lang w:val="en-US" w:eastAsia="zh-CN"/>
        </w:rPr>
        <w:t>22</w:t>
      </w:r>
      <w:r>
        <w:rPr>
          <w:rFonts w:hint="eastAsia" w:ascii="仿宋_GB2312" w:hAnsi="仿宋_GB2312" w:eastAsia="仿宋_GB2312" w:cs="仿宋_GB2312"/>
          <w:color w:val="000000"/>
          <w:sz w:val="28"/>
          <w:szCs w:val="28"/>
          <w:shd w:val="clear" w:color="auto" w:fill="FFFFFF"/>
        </w:rPr>
        <w:t>）</w:t>
      </w:r>
      <w:r>
        <w:rPr>
          <w:rFonts w:hint="eastAsia" w:ascii="仿宋_GB2312" w:hAnsi="仿宋_GB2312" w:eastAsia="仿宋_GB2312" w:cs="仿宋_GB2312"/>
          <w:color w:val="000000"/>
          <w:sz w:val="28"/>
          <w:szCs w:val="28"/>
          <w:shd w:val="clear" w:color="auto" w:fill="FFFFFF"/>
          <w:lang w:eastAsia="zh-CN"/>
        </w:rPr>
        <w:t>浙</w:t>
      </w:r>
      <w:r>
        <w:rPr>
          <w:rFonts w:hint="eastAsia" w:ascii="仿宋_GB2312" w:hAnsi="仿宋_GB2312" w:eastAsia="仿宋_GB2312" w:cs="仿宋_GB2312"/>
          <w:color w:val="000000"/>
          <w:sz w:val="28"/>
          <w:szCs w:val="28"/>
          <w:shd w:val="clear" w:color="auto" w:fill="FFFFFF"/>
          <w:lang w:val="en-US" w:eastAsia="zh-CN"/>
        </w:rPr>
        <w:t>0212评字第598-607</w:t>
      </w:r>
      <w:r>
        <w:rPr>
          <w:rFonts w:hint="eastAsia" w:ascii="仿宋_GB2312" w:hAnsi="仿宋_GB2312" w:eastAsia="仿宋_GB2312" w:cs="仿宋_GB2312"/>
          <w:color w:val="000000"/>
          <w:sz w:val="28"/>
          <w:szCs w:val="28"/>
          <w:shd w:val="clear" w:color="auto" w:fill="FFFFFF"/>
        </w:rPr>
        <w:t>号《司法评估委托书》中的估价对象进行估价作业。特此函告如下：</w:t>
      </w:r>
    </w:p>
    <w:p>
      <w:pPr>
        <w:pStyle w:val="10"/>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400" w:lineRule="exact"/>
        <w:ind w:firstLine="498" w:firstLineChars="178"/>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估价目的：确定估价房地产的市场价格，为委托方办理案件提供价格参考依据。</w:t>
      </w:r>
    </w:p>
    <w:p>
      <w:pPr>
        <w:pStyle w:val="10"/>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400" w:lineRule="exact"/>
        <w:ind w:firstLine="498" w:firstLineChars="178"/>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估价对象：</w:t>
      </w:r>
      <w:r>
        <w:rPr>
          <w:rFonts w:hint="eastAsia" w:ascii="仿宋_GB2312" w:hAnsi="仿宋_GB2312" w:eastAsia="仿宋_GB2312" w:cs="仿宋_GB2312"/>
          <w:color w:val="000000"/>
          <w:sz w:val="28"/>
          <w:szCs w:val="28"/>
          <w:shd w:val="clear" w:color="auto" w:fill="FFFFFF"/>
          <w:lang w:eastAsia="zh-CN"/>
        </w:rPr>
        <w:t>宁波市海曙区西湾路137弄57号104.204室住宅</w:t>
      </w:r>
      <w:r>
        <w:rPr>
          <w:rFonts w:hint="eastAsia" w:ascii="仿宋_GB2312" w:hAnsi="仿宋_GB2312" w:eastAsia="仿宋_GB2312" w:cs="仿宋_GB2312"/>
          <w:color w:val="000000"/>
          <w:sz w:val="28"/>
          <w:szCs w:val="28"/>
          <w:shd w:val="clear" w:color="auto" w:fill="FFFFFF"/>
        </w:rPr>
        <w:t>房地产，根据估价委托人提供的</w:t>
      </w:r>
      <w:r>
        <w:rPr>
          <w:rFonts w:hint="eastAsia" w:ascii="仿宋_GB2312" w:hAnsi="仿宋_GB2312" w:eastAsia="仿宋_GB2312" w:cs="仿宋_GB2312"/>
          <w:color w:val="000000"/>
          <w:sz w:val="28"/>
          <w:szCs w:val="28"/>
          <w:shd w:val="clear" w:color="auto" w:fill="FFFFFF"/>
          <w:lang w:eastAsia="zh-CN"/>
        </w:rPr>
        <w:t>产权证书</w:t>
      </w:r>
      <w:r>
        <w:rPr>
          <w:rFonts w:hint="eastAsia" w:ascii="仿宋_GB2312" w:hAnsi="仿宋_GB2312" w:eastAsia="仿宋_GB2312" w:cs="仿宋_GB2312"/>
          <w:color w:val="000000"/>
          <w:sz w:val="28"/>
          <w:szCs w:val="28"/>
          <w:shd w:val="clear" w:color="auto" w:fill="FFFFFF"/>
        </w:rPr>
        <w:t>记载，涉及房屋建筑面积</w:t>
      </w:r>
      <w:r>
        <w:rPr>
          <w:rFonts w:hint="eastAsia" w:ascii="仿宋_GB2312" w:hAnsi="仿宋_GB2312" w:eastAsia="仿宋_GB2312" w:cs="仿宋_GB2312"/>
          <w:color w:val="000000"/>
          <w:sz w:val="28"/>
          <w:szCs w:val="28"/>
          <w:shd w:val="clear" w:color="auto" w:fill="FFFFFF"/>
          <w:lang w:val="en-US" w:eastAsia="zh-CN"/>
        </w:rPr>
        <w:t>148.56</w:t>
      </w:r>
      <w:r>
        <w:rPr>
          <w:rFonts w:hint="eastAsia" w:ascii="仿宋_GB2312" w:hAnsi="仿宋_GB2312" w:eastAsia="仿宋_GB2312" w:cs="仿宋_GB2312"/>
          <w:color w:val="000000"/>
          <w:sz w:val="28"/>
          <w:szCs w:val="28"/>
          <w:shd w:val="clear" w:color="auto" w:fill="FFFFFF"/>
        </w:rPr>
        <w:t>平方米</w:t>
      </w:r>
      <w:r>
        <w:rPr>
          <w:rFonts w:hint="eastAsia" w:ascii="仿宋_GB2312" w:hAnsi="仿宋_GB2312" w:eastAsia="仿宋_GB2312" w:cs="仿宋_GB2312"/>
          <w:color w:val="auto"/>
          <w:sz w:val="28"/>
          <w:szCs w:val="28"/>
          <w:shd w:val="clear" w:color="auto" w:fill="FFFFFF"/>
          <w:lang w:eastAsia="zh-CN"/>
        </w:rPr>
        <w:t>、规划用途住宅；</w:t>
      </w:r>
      <w:r>
        <w:rPr>
          <w:rFonts w:hint="eastAsia" w:ascii="仿宋_GB2312" w:hAnsi="仿宋_GB2312" w:eastAsia="仿宋_GB2312" w:cs="仿宋_GB2312"/>
          <w:color w:val="000000"/>
          <w:sz w:val="28"/>
          <w:szCs w:val="28"/>
          <w:shd w:val="clear" w:color="auto" w:fill="FFFFFF"/>
          <w:lang w:eastAsia="zh-CN"/>
        </w:rPr>
        <w:t>土地使用权面积</w:t>
      </w:r>
      <w:r>
        <w:rPr>
          <w:rFonts w:hint="eastAsia" w:ascii="仿宋_GB2312" w:hAnsi="仿宋_GB2312" w:eastAsia="仿宋_GB2312" w:cs="仿宋_GB2312"/>
          <w:color w:val="000000"/>
          <w:sz w:val="28"/>
          <w:szCs w:val="28"/>
          <w:shd w:val="clear" w:color="auto" w:fill="FFFFFF"/>
          <w:lang w:val="en-US" w:eastAsia="zh-CN"/>
        </w:rPr>
        <w:t>24.76平方米，地类（用途）住宅用地。包</w:t>
      </w:r>
      <w:r>
        <w:rPr>
          <w:rFonts w:hint="eastAsia" w:ascii="仿宋_GB2312" w:eastAsia="仿宋_GB2312" w:cs="仿宋_GB2312"/>
          <w:sz w:val="28"/>
          <w:szCs w:val="28"/>
          <w:lang w:val="zh-CN"/>
        </w:rPr>
        <w:t>含房地产不可分割的满足其使用功能的水、电等相关的辅助配套设施及室内固定装修装饰价值，不包含室内可移动物品价值</w:t>
      </w:r>
      <w:r>
        <w:rPr>
          <w:rFonts w:hint="eastAsia" w:ascii="仿宋_GB2312" w:hAnsi="仿宋_GB2312" w:eastAsia="仿宋_GB2312" w:cs="仿宋_GB2312"/>
          <w:color w:val="000000"/>
          <w:sz w:val="28"/>
          <w:szCs w:val="28"/>
          <w:shd w:val="clear" w:color="auto" w:fill="FFFFFF"/>
        </w:rPr>
        <w:t>。权证记载权利人为</w:t>
      </w:r>
      <w:r>
        <w:rPr>
          <w:rFonts w:hint="eastAsia" w:ascii="仿宋_GB2312" w:hAnsi="仿宋_GB2312" w:eastAsia="仿宋_GB2312" w:cs="仿宋_GB2312"/>
          <w:color w:val="000000"/>
          <w:sz w:val="28"/>
          <w:szCs w:val="28"/>
          <w:shd w:val="clear" w:color="auto" w:fill="FFFFFF"/>
          <w:lang w:eastAsia="zh-CN"/>
        </w:rPr>
        <w:t>****</w:t>
      </w:r>
      <w:r>
        <w:rPr>
          <w:rFonts w:hint="eastAsia" w:ascii="仿宋_GB2312" w:hAnsi="仿宋_GB2312" w:eastAsia="仿宋_GB2312" w:cs="仿宋_GB2312"/>
          <w:color w:val="000000"/>
          <w:sz w:val="28"/>
          <w:szCs w:val="28"/>
          <w:shd w:val="clear" w:color="auto" w:fill="FFFFFF"/>
        </w:rPr>
        <w:t>。</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548" w:firstLineChars="200"/>
        <w:jc w:val="both"/>
        <w:textAlignment w:val="auto"/>
        <w:outlineLvl w:val="9"/>
        <w:rPr>
          <w:rFonts w:hint="eastAsia" w:ascii="仿宋_GB2312" w:hAnsi="仿宋_GB2312" w:eastAsia="仿宋_GB2312" w:cs="仿宋_GB2312"/>
          <w:b/>
          <w:bCs/>
          <w:color w:val="000000"/>
          <w:w w:val="98"/>
          <w:sz w:val="28"/>
          <w:szCs w:val="28"/>
          <w:shd w:val="clear" w:color="auto" w:fill="FFFFFF"/>
        </w:rPr>
      </w:pPr>
      <w:r>
        <w:rPr>
          <w:rFonts w:hint="eastAsia" w:ascii="仿宋_GB2312" w:hAnsi="仿宋_GB2312" w:eastAsia="仿宋_GB2312" w:cs="仿宋_GB2312"/>
          <w:color w:val="000000"/>
          <w:w w:val="98"/>
          <w:sz w:val="28"/>
          <w:szCs w:val="28"/>
          <w:shd w:val="clear" w:color="auto" w:fill="FFFFFF"/>
        </w:rPr>
        <w:t>三、价值时点：以实地查勘日</w:t>
      </w:r>
      <w:r>
        <w:rPr>
          <w:rFonts w:hint="eastAsia" w:ascii="仿宋_GB2312" w:hAnsi="仿宋_GB2312" w:eastAsia="仿宋_GB2312" w:cs="仿宋_GB2312"/>
          <w:color w:val="000000"/>
          <w:w w:val="98"/>
          <w:sz w:val="28"/>
          <w:szCs w:val="28"/>
          <w:shd w:val="clear" w:color="auto" w:fill="FFFFFF"/>
          <w:lang w:eastAsia="zh-CN"/>
        </w:rPr>
        <w:t>2022年8月15日</w:t>
      </w:r>
      <w:r>
        <w:rPr>
          <w:rFonts w:hint="eastAsia" w:ascii="仿宋_GB2312" w:hAnsi="仿宋_GB2312" w:eastAsia="仿宋_GB2312" w:cs="仿宋_GB2312"/>
          <w:color w:val="000000"/>
          <w:w w:val="98"/>
          <w:sz w:val="28"/>
          <w:szCs w:val="28"/>
          <w:shd w:val="clear" w:color="auto" w:fill="FFFFFF"/>
        </w:rPr>
        <w:t>为本次价值时点。</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四、价值类型：本估价结果为估价对象在价值时点的市场价值。</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五、估价方法：比较法。</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lang w:val="en-US" w:eastAsia="zh-CN"/>
        </w:rPr>
      </w:pPr>
      <w:r>
        <w:rPr>
          <w:rFonts w:hint="eastAsia" w:ascii="仿宋_GB2312" w:hAnsi="仿宋_GB2312" w:eastAsia="仿宋_GB2312" w:cs="仿宋_GB2312"/>
          <w:color w:val="000000"/>
          <w:sz w:val="28"/>
          <w:szCs w:val="28"/>
          <w:shd w:val="clear" w:color="auto" w:fill="FFFFFF"/>
        </w:rPr>
        <w:t>六、估价结果：估价对象市场价值为人民币</w:t>
      </w:r>
      <w:r>
        <w:rPr>
          <w:rFonts w:hint="eastAsia" w:ascii="仿宋_GB2312" w:hAnsi="仿宋_GB2312" w:eastAsia="仿宋_GB2312" w:cs="仿宋_GB2312"/>
          <w:b/>
          <w:bCs/>
          <w:color w:val="000000"/>
          <w:sz w:val="28"/>
          <w:szCs w:val="28"/>
          <w:shd w:val="clear" w:color="auto" w:fill="FFFFFF"/>
          <w:lang w:eastAsia="zh-CN"/>
        </w:rPr>
        <w:t>叁佰陆拾柒万元整</w:t>
      </w:r>
      <w:r>
        <w:rPr>
          <w:rFonts w:hint="eastAsia" w:ascii="仿宋_GB2312" w:hAnsi="仿宋_GB2312" w:eastAsia="仿宋_GB2312" w:cs="仿宋_GB2312"/>
          <w:b/>
          <w:bCs/>
          <w:color w:val="000000"/>
          <w:sz w:val="28"/>
          <w:szCs w:val="28"/>
          <w:shd w:val="clear" w:color="auto" w:fill="FFFFFF"/>
        </w:rPr>
        <w:t>(￥</w:t>
      </w:r>
      <w:r>
        <w:rPr>
          <w:rFonts w:hint="eastAsia" w:ascii="仿宋_GB2312" w:hAnsi="仿宋_GB2312" w:eastAsia="仿宋_GB2312" w:cs="仿宋_GB2312"/>
          <w:b/>
          <w:bCs/>
          <w:color w:val="000000"/>
          <w:sz w:val="28"/>
          <w:szCs w:val="28"/>
          <w:shd w:val="clear" w:color="auto" w:fill="FFFFFF"/>
          <w:lang w:eastAsia="zh-CN"/>
        </w:rPr>
        <w:t>：</w:t>
      </w:r>
      <w:r>
        <w:rPr>
          <w:rFonts w:hint="eastAsia" w:ascii="仿宋_GB2312" w:hAnsi="仿宋_GB2312" w:eastAsia="仿宋_GB2312" w:cs="仿宋_GB2312"/>
          <w:b/>
          <w:bCs/>
          <w:color w:val="000000"/>
          <w:sz w:val="28"/>
          <w:szCs w:val="28"/>
          <w:shd w:val="clear" w:color="auto" w:fill="FFFFFF"/>
          <w:lang w:val="en-US" w:eastAsia="zh-CN"/>
        </w:rPr>
        <w:t>367万</w:t>
      </w:r>
      <w:r>
        <w:rPr>
          <w:rFonts w:hint="eastAsia" w:ascii="仿宋_GB2312" w:hAnsi="仿宋_GB2312" w:eastAsia="仿宋_GB2312" w:cs="仿宋_GB2312"/>
          <w:b/>
          <w:bCs/>
          <w:color w:val="000000"/>
          <w:sz w:val="28"/>
          <w:szCs w:val="28"/>
          <w:shd w:val="clear" w:color="auto" w:fill="FFFFFF"/>
        </w:rPr>
        <w:t>元)</w:t>
      </w:r>
      <w:r>
        <w:rPr>
          <w:rFonts w:hint="eastAsia" w:ascii="仿宋_GB2312" w:hAnsi="仿宋_GB2312" w:eastAsia="仿宋_GB2312" w:cs="仿宋_GB2312"/>
          <w:b/>
          <w:bCs/>
          <w:color w:val="000000"/>
          <w:sz w:val="28"/>
          <w:szCs w:val="28"/>
          <w:shd w:val="clear" w:color="auto" w:fill="FFFFFF"/>
          <w:lang w:eastAsia="zh-CN"/>
        </w:rPr>
        <w:t>。</w:t>
      </w:r>
    </w:p>
    <w:p>
      <w:pPr>
        <w:pStyle w:val="10"/>
        <w:spacing w:before="0" w:beforeAutospacing="0" w:after="0" w:afterAutospacing="0" w:line="320" w:lineRule="exact"/>
        <w:ind w:firstLine="482" w:firstLineChars="200"/>
        <w:jc w:val="center"/>
        <w:rPr>
          <w:rFonts w:hint="eastAsia" w:ascii="仿宋_GB2312" w:hAnsi="仿宋_GB2312" w:eastAsia="仿宋_GB2312" w:cs="仿宋_GB2312"/>
          <w:b/>
          <w:bCs/>
          <w:color w:val="000000"/>
          <w:shd w:val="clear" w:color="auto" w:fill="FFFFFF"/>
        </w:rPr>
      </w:pPr>
      <w:r>
        <w:rPr>
          <w:rFonts w:hint="eastAsia" w:ascii="仿宋_GB2312" w:hAnsi="仿宋_GB2312" w:eastAsia="仿宋_GB2312" w:cs="仿宋_GB2312"/>
          <w:b/>
          <w:bCs/>
          <w:color w:val="000000"/>
          <w:shd w:val="clear" w:color="auto" w:fill="FFFFFF"/>
        </w:rPr>
        <w:t>评估结果汇总表</w:t>
      </w:r>
    </w:p>
    <w:tbl>
      <w:tblPr>
        <w:tblStyle w:val="11"/>
        <w:tblW w:w="9108" w:type="dxa"/>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1800"/>
        <w:gridCol w:w="1110"/>
        <w:gridCol w:w="1305"/>
        <w:gridCol w:w="1125"/>
        <w:gridCol w:w="1140"/>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545" w:type="dxa"/>
            <w:noWrap w:val="0"/>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房屋坐落</w:t>
            </w:r>
          </w:p>
        </w:tc>
        <w:tc>
          <w:tcPr>
            <w:tcW w:w="1800" w:type="dxa"/>
            <w:noWrap w:val="0"/>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lang w:eastAsia="zh-CN"/>
              </w:rPr>
            </w:pPr>
            <w:r>
              <w:rPr>
                <w:rFonts w:hint="eastAsia" w:ascii="仿宋_GB2312" w:hAnsi="仿宋_GB2312" w:eastAsia="仿宋_GB2312" w:cs="仿宋_GB2312"/>
                <w:color w:val="000000"/>
                <w:sz w:val="21"/>
                <w:szCs w:val="21"/>
                <w:shd w:val="clear" w:color="auto" w:fill="FFFFFF"/>
                <w:lang w:eastAsia="zh-CN"/>
              </w:rPr>
              <w:t>房产证号</w:t>
            </w:r>
          </w:p>
        </w:tc>
        <w:tc>
          <w:tcPr>
            <w:tcW w:w="1110" w:type="dxa"/>
            <w:noWrap w:val="0"/>
            <w:vAlign w:val="center"/>
          </w:tcPr>
          <w:p>
            <w:pPr>
              <w:pStyle w:val="10"/>
              <w:spacing w:before="0" w:beforeAutospacing="0" w:after="0" w:afterAutospacing="0" w:line="320" w:lineRule="exact"/>
              <w:ind w:left="0" w:leftChars="0" w:right="0" w:rightChars="0" w:firstLine="0" w:firstLineChars="0"/>
              <w:jc w:val="center"/>
              <w:rPr>
                <w:rFonts w:hint="eastAsia" w:ascii="仿宋_GB2312" w:hAnsi="仿宋_GB2312" w:eastAsia="仿宋_GB2312" w:cs="仿宋_GB2312"/>
                <w:color w:val="000000"/>
                <w:sz w:val="21"/>
                <w:szCs w:val="21"/>
                <w:shd w:val="clear" w:color="auto" w:fill="FFFFFF"/>
                <w:lang w:eastAsia="zh-CN"/>
              </w:rPr>
            </w:pPr>
            <w:r>
              <w:rPr>
                <w:rFonts w:hint="eastAsia" w:ascii="仿宋_GB2312" w:hAnsi="仿宋_GB2312" w:eastAsia="仿宋_GB2312" w:cs="仿宋_GB2312"/>
                <w:color w:val="000000"/>
                <w:sz w:val="21"/>
                <w:szCs w:val="21"/>
                <w:shd w:val="clear" w:color="auto" w:fill="FFFFFF"/>
                <w:lang w:eastAsia="zh-CN"/>
              </w:rPr>
              <w:t>建筑面积（㎡）</w:t>
            </w:r>
          </w:p>
        </w:tc>
        <w:tc>
          <w:tcPr>
            <w:tcW w:w="1305" w:type="dxa"/>
            <w:noWrap w:val="0"/>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lang w:eastAsia="zh-CN"/>
              </w:rPr>
            </w:pPr>
            <w:r>
              <w:rPr>
                <w:rFonts w:hint="eastAsia" w:ascii="仿宋_GB2312" w:hAnsi="仿宋_GB2312" w:eastAsia="仿宋_GB2312" w:cs="仿宋_GB2312"/>
                <w:color w:val="000000"/>
                <w:sz w:val="21"/>
                <w:szCs w:val="21"/>
                <w:shd w:val="clear" w:color="auto" w:fill="FFFFFF"/>
                <w:lang w:eastAsia="zh-CN"/>
              </w:rPr>
              <w:t>土地证号</w:t>
            </w:r>
          </w:p>
        </w:tc>
        <w:tc>
          <w:tcPr>
            <w:tcW w:w="1125" w:type="dxa"/>
            <w:noWrap w:val="0"/>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lang w:eastAsia="zh-CN"/>
              </w:rPr>
            </w:pPr>
            <w:r>
              <w:rPr>
                <w:rFonts w:hint="eastAsia" w:ascii="仿宋_GB2312" w:hAnsi="仿宋_GB2312" w:eastAsia="仿宋_GB2312" w:cs="仿宋_GB2312"/>
                <w:color w:val="000000"/>
                <w:sz w:val="21"/>
                <w:szCs w:val="21"/>
                <w:shd w:val="clear" w:color="auto" w:fill="FFFFFF"/>
                <w:lang w:eastAsia="zh-CN"/>
              </w:rPr>
              <w:t>土地面积</w:t>
            </w:r>
            <w:r>
              <w:rPr>
                <w:rFonts w:hint="eastAsia" w:ascii="仿宋_GB2312" w:hAnsi="仿宋_GB2312" w:eastAsia="仿宋_GB2312" w:cs="仿宋_GB2312"/>
                <w:color w:val="000000"/>
                <w:sz w:val="21"/>
                <w:szCs w:val="21"/>
                <w:shd w:val="clear" w:color="auto" w:fill="FFFFFF"/>
              </w:rPr>
              <w:t>（㎡）</w:t>
            </w:r>
          </w:p>
        </w:tc>
        <w:tc>
          <w:tcPr>
            <w:tcW w:w="1140" w:type="dxa"/>
            <w:noWrap w:val="0"/>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lang w:eastAsia="zh-CN"/>
              </w:rPr>
            </w:pPr>
            <w:r>
              <w:rPr>
                <w:rFonts w:hint="eastAsia" w:ascii="仿宋_GB2312" w:hAnsi="仿宋_GB2312" w:eastAsia="仿宋_GB2312" w:cs="仿宋_GB2312"/>
                <w:color w:val="000000"/>
                <w:sz w:val="21"/>
                <w:szCs w:val="21"/>
                <w:shd w:val="clear" w:color="auto" w:fill="FFFFFF"/>
                <w:lang w:eastAsia="zh-CN"/>
              </w:rPr>
              <w:t>单价</w:t>
            </w:r>
          </w:p>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lang w:eastAsia="zh-CN"/>
              </w:rPr>
            </w:pPr>
            <w:r>
              <w:rPr>
                <w:rFonts w:hint="eastAsia" w:ascii="仿宋_GB2312" w:hAnsi="仿宋_GB2312" w:eastAsia="仿宋_GB2312" w:cs="仿宋_GB2312"/>
                <w:color w:val="000000"/>
                <w:sz w:val="21"/>
                <w:szCs w:val="21"/>
                <w:shd w:val="clear" w:color="auto" w:fill="FFFFFF"/>
              </w:rPr>
              <w:t>（</w:t>
            </w:r>
            <w:r>
              <w:rPr>
                <w:rFonts w:hint="eastAsia" w:ascii="仿宋_GB2312" w:hAnsi="仿宋_GB2312" w:eastAsia="仿宋_GB2312" w:cs="仿宋_GB2312"/>
                <w:color w:val="000000"/>
                <w:sz w:val="21"/>
                <w:szCs w:val="21"/>
                <w:shd w:val="clear" w:color="auto" w:fill="FFFFFF"/>
                <w:lang w:eastAsia="zh-CN"/>
              </w:rPr>
              <w:t>元</w:t>
            </w:r>
            <w:r>
              <w:rPr>
                <w:rFonts w:hint="eastAsia" w:ascii="仿宋_GB2312" w:hAnsi="仿宋_GB2312" w:eastAsia="仿宋_GB2312" w:cs="仿宋_GB2312"/>
                <w:color w:val="000000"/>
                <w:sz w:val="21"/>
                <w:szCs w:val="21"/>
                <w:shd w:val="clear" w:color="auto" w:fill="FFFFFF"/>
                <w:lang w:val="en-US" w:eastAsia="zh-CN"/>
              </w:rPr>
              <w:t>/</w:t>
            </w:r>
            <w:r>
              <w:rPr>
                <w:rFonts w:hint="eastAsia" w:ascii="仿宋_GB2312" w:hAnsi="仿宋_GB2312" w:eastAsia="仿宋_GB2312" w:cs="仿宋_GB2312"/>
                <w:color w:val="000000"/>
                <w:sz w:val="21"/>
                <w:szCs w:val="21"/>
                <w:shd w:val="clear" w:color="auto" w:fill="FFFFFF"/>
              </w:rPr>
              <w:t>㎡）</w:t>
            </w:r>
          </w:p>
        </w:tc>
        <w:tc>
          <w:tcPr>
            <w:tcW w:w="1083" w:type="dxa"/>
            <w:noWrap w:val="0"/>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总价</w:t>
            </w:r>
          </w:p>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lang w:eastAsia="zh-CN"/>
              </w:rPr>
            </w:pPr>
            <w:r>
              <w:rPr>
                <w:rFonts w:hint="eastAsia" w:ascii="仿宋_GB2312" w:hAnsi="仿宋_GB2312" w:eastAsia="仿宋_GB2312" w:cs="仿宋_GB2312"/>
                <w:color w:val="000000"/>
                <w:sz w:val="21"/>
                <w:szCs w:val="21"/>
                <w:shd w:val="clear" w:color="auto" w:fill="FFFFFF"/>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1545" w:type="dxa"/>
            <w:noWrap w:val="0"/>
            <w:vAlign w:val="center"/>
          </w:tcPr>
          <w:p>
            <w:pPr>
              <w:pStyle w:val="10"/>
              <w:tabs>
                <w:tab w:val="center" w:pos="850"/>
                <w:tab w:val="right" w:pos="1579"/>
              </w:tabs>
              <w:spacing w:before="0" w:beforeAutospacing="0" w:after="0" w:afterAutospacing="0" w:line="320" w:lineRule="exact"/>
              <w:ind w:left="0" w:leftChars="0" w:right="0" w:rightChars="0" w:firstLine="0" w:firstLineChars="0"/>
              <w:jc w:val="center"/>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西湾路137弄57号104.204</w:t>
            </w:r>
          </w:p>
        </w:tc>
        <w:tc>
          <w:tcPr>
            <w:tcW w:w="1800" w:type="dxa"/>
            <w:noWrap w:val="0"/>
            <w:vAlign w:val="center"/>
          </w:tcPr>
          <w:p>
            <w:pPr>
              <w:pStyle w:val="10"/>
              <w:spacing w:before="0" w:beforeAutospacing="0" w:after="0" w:afterAutospacing="0" w:line="320" w:lineRule="exact"/>
              <w:jc w:val="center"/>
              <w:rPr>
                <w:rFonts w:hint="default"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b w:val="0"/>
                <w:bCs w:val="0"/>
                <w:color w:val="000000"/>
                <w:sz w:val="21"/>
                <w:szCs w:val="21"/>
                <w:shd w:val="clear" w:color="auto" w:fill="FFFFFF"/>
                <w:lang w:val="en-US" w:eastAsia="zh-CN"/>
              </w:rPr>
              <w:t>甬房权证海曙字第20130018552号</w:t>
            </w:r>
          </w:p>
        </w:tc>
        <w:tc>
          <w:tcPr>
            <w:tcW w:w="1110" w:type="dxa"/>
            <w:noWrap w:val="0"/>
            <w:vAlign w:val="center"/>
          </w:tcPr>
          <w:p>
            <w:pPr>
              <w:pStyle w:val="10"/>
              <w:spacing w:before="0" w:beforeAutospacing="0" w:after="0" w:afterAutospacing="0" w:line="320" w:lineRule="exact"/>
              <w:jc w:val="center"/>
              <w:rPr>
                <w:rFonts w:hint="default"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148.56</w:t>
            </w:r>
          </w:p>
        </w:tc>
        <w:tc>
          <w:tcPr>
            <w:tcW w:w="1305" w:type="dxa"/>
            <w:noWrap w:val="0"/>
            <w:vAlign w:val="center"/>
          </w:tcPr>
          <w:p>
            <w:pPr>
              <w:pStyle w:val="10"/>
              <w:spacing w:before="0" w:beforeAutospacing="0" w:after="0" w:afterAutospacing="0" w:line="320" w:lineRule="exact"/>
              <w:jc w:val="center"/>
              <w:rPr>
                <w:rFonts w:hint="default"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甬国用（2013）第0100551号</w:t>
            </w:r>
          </w:p>
        </w:tc>
        <w:tc>
          <w:tcPr>
            <w:tcW w:w="1125" w:type="dxa"/>
            <w:noWrap w:val="0"/>
            <w:vAlign w:val="center"/>
          </w:tcPr>
          <w:p>
            <w:pPr>
              <w:pStyle w:val="10"/>
              <w:spacing w:before="0" w:beforeAutospacing="0" w:after="0" w:afterAutospacing="0" w:line="320" w:lineRule="exact"/>
              <w:jc w:val="center"/>
              <w:rPr>
                <w:rFonts w:hint="default"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24.76</w:t>
            </w:r>
          </w:p>
        </w:tc>
        <w:tc>
          <w:tcPr>
            <w:tcW w:w="1140" w:type="dxa"/>
            <w:noWrap w:val="0"/>
            <w:vAlign w:val="center"/>
          </w:tcPr>
          <w:p>
            <w:pPr>
              <w:pStyle w:val="10"/>
              <w:spacing w:before="0" w:beforeAutospacing="0" w:after="0" w:afterAutospacing="0" w:line="320" w:lineRule="exact"/>
              <w:jc w:val="center"/>
              <w:rPr>
                <w:rFonts w:hint="default"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auto"/>
                <w:sz w:val="21"/>
                <w:szCs w:val="21"/>
                <w:shd w:val="clear" w:color="auto" w:fill="FFFFFF"/>
                <w:lang w:val="en-US" w:eastAsia="zh-CN"/>
              </w:rPr>
              <w:t>24713</w:t>
            </w:r>
          </w:p>
        </w:tc>
        <w:tc>
          <w:tcPr>
            <w:tcW w:w="1083" w:type="dxa"/>
            <w:noWrap w:val="0"/>
            <w:vAlign w:val="center"/>
          </w:tcPr>
          <w:p>
            <w:pPr>
              <w:pStyle w:val="10"/>
              <w:spacing w:before="0" w:beforeAutospacing="0" w:after="0" w:afterAutospacing="0" w:line="320" w:lineRule="exact"/>
              <w:jc w:val="center"/>
              <w:rPr>
                <w:rFonts w:hint="default"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auto"/>
                <w:sz w:val="21"/>
                <w:szCs w:val="21"/>
                <w:shd w:val="clear" w:color="auto" w:fill="FFFFFF"/>
                <w:lang w:val="en-US" w:eastAsia="zh-CN"/>
              </w:rPr>
              <w:t>367</w:t>
            </w:r>
          </w:p>
        </w:tc>
      </w:tr>
    </w:tbl>
    <w:p>
      <w:pPr>
        <w:keepNext w:val="0"/>
        <w:keepLines w:val="0"/>
        <w:pageBreakBefore w:val="0"/>
        <w:numPr>
          <w:ilvl w:val="0"/>
          <w:numId w:val="0"/>
        </w:numPr>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特别提示：</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仿宋_GB2312" w:hAnsi="仿宋_GB2312" w:eastAsia="仿宋_GB2312" w:cs="仿宋_GB2312"/>
          <w:color w:val="000000"/>
          <w:kern w:val="0"/>
          <w:sz w:val="28"/>
          <w:szCs w:val="28"/>
          <w:shd w:val="clear" w:color="auto" w:fill="FFFFFF"/>
          <w:lang w:eastAsia="zh-CN"/>
        </w:rPr>
      </w:pPr>
      <w:r>
        <w:rPr>
          <w:rFonts w:hint="eastAsia" w:ascii="仿宋_GB2312" w:hAnsi="仿宋_GB2312" w:eastAsia="仿宋_GB2312" w:cs="仿宋_GB2312"/>
          <w:color w:val="000000"/>
          <w:sz w:val="24"/>
          <w:szCs w:val="24"/>
          <w:shd w:val="clear" w:color="auto" w:fill="FFFFFF"/>
        </w:rPr>
        <w:t>（一）本估价结果受到估价报告中已说明的估价假设和限制条件的限制。</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仿宋_GB2312" w:hAnsi="仿宋_GB2312" w:eastAsia="仿宋_GB2312" w:cs="仿宋_GB2312"/>
          <w:color w:val="000000"/>
          <w:sz w:val="24"/>
          <w:szCs w:val="24"/>
          <w:shd w:val="clear" w:color="auto" w:fill="FFFFFF"/>
        </w:rPr>
      </w:pPr>
      <w:r>
        <w:rPr>
          <w:rFonts w:hint="eastAsia" w:ascii="仿宋_GB2312" w:hAnsi="仿宋_GB2312" w:eastAsia="仿宋_GB2312" w:cs="仿宋_GB2312"/>
          <w:color w:val="000000"/>
          <w:sz w:val="24"/>
          <w:szCs w:val="24"/>
          <w:shd w:val="clear" w:color="auto" w:fill="FFFFFF"/>
        </w:rPr>
        <w:t>（二）本估价报告的使用期限为自</w:t>
      </w:r>
      <w:r>
        <w:rPr>
          <w:rFonts w:hint="eastAsia" w:ascii="仿宋_GB2312" w:hAnsi="仿宋_GB2312" w:eastAsia="仿宋_GB2312" w:cs="仿宋_GB2312"/>
          <w:color w:val="000000"/>
          <w:sz w:val="24"/>
          <w:szCs w:val="24"/>
          <w:shd w:val="clear" w:color="auto" w:fill="FFFFFF"/>
          <w:lang w:eastAsia="zh-CN"/>
        </w:rPr>
        <w:t>2022年8月22日</w:t>
      </w:r>
      <w:r>
        <w:rPr>
          <w:rFonts w:hint="eastAsia" w:ascii="仿宋_GB2312" w:hAnsi="仿宋_GB2312" w:eastAsia="仿宋_GB2312" w:cs="仿宋_GB2312"/>
          <w:color w:val="000000"/>
          <w:sz w:val="24"/>
          <w:szCs w:val="24"/>
          <w:shd w:val="clear" w:color="auto" w:fill="FFFFFF"/>
        </w:rPr>
        <w:t>起一年内。</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特此函告</w:t>
      </w:r>
      <w:r>
        <w:rPr>
          <w:rFonts w:hint="eastAsia" w:ascii="仿宋_GB2312" w:hAnsi="仿宋_GB2312" w:eastAsia="仿宋_GB2312" w:cs="仿宋_GB2312"/>
          <w:color w:val="000000"/>
          <w:sz w:val="28"/>
          <w:szCs w:val="28"/>
          <w:shd w:val="clear" w:color="auto" w:fill="FFFFFF"/>
          <w:lang w:eastAsia="zh-CN"/>
        </w:rPr>
        <w:t>！</w:t>
      </w:r>
      <w:r>
        <w:rPr>
          <w:rFonts w:hint="eastAsia" w:ascii="仿宋_GB2312" w:hAnsi="仿宋_GB2312" w:eastAsia="仿宋_GB2312" w:cs="仿宋_GB2312"/>
          <w:color w:val="000000"/>
          <w:sz w:val="28"/>
          <w:szCs w:val="28"/>
          <w:shd w:val="clear" w:color="auto" w:fill="FFFFFF"/>
        </w:rPr>
        <w:t xml:space="preserve">    </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200" w:firstLineChars="1500"/>
        <w:jc w:val="both"/>
        <w:textAlignment w:val="auto"/>
        <w:outlineLvl w:val="9"/>
        <w:rPr>
          <w:rFonts w:hint="eastAsia" w:ascii="仿宋_GB2312" w:hAnsi="仿宋_GB2312" w:eastAsia="仿宋_GB2312" w:cs="仿宋_GB2312"/>
          <w:color w:val="000000"/>
          <w:sz w:val="28"/>
          <w:szCs w:val="28"/>
          <w:shd w:val="clear" w:color="auto" w:fill="FFFFFF"/>
        </w:rPr>
      </w:pP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200" w:firstLineChars="1500"/>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 xml:space="preserve"> 宁波市中博房地产估价有限公司</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lang w:eastAsia="zh-CN"/>
        </w:rPr>
      </w:pPr>
      <w:r>
        <w:rPr>
          <w:rFonts w:hint="eastAsia" w:ascii="仿宋_GB2312" w:hAnsi="仿宋_GB2312" w:eastAsia="仿宋_GB2312" w:cs="仿宋_GB2312"/>
          <w:color w:val="000000"/>
          <w:sz w:val="28"/>
          <w:szCs w:val="28"/>
          <w:shd w:val="clear" w:color="auto" w:fill="FFFFFF"/>
        </w:rPr>
        <w:t xml:space="preserve">                                法定代表人：</w:t>
      </w:r>
      <w:r>
        <w:rPr>
          <w:rFonts w:hint="eastAsia" w:ascii="仿宋_GB2312" w:hAnsi="仿宋_GB2312" w:eastAsia="仿宋_GB2312" w:cs="仿宋_GB2312"/>
          <w:color w:val="000000"/>
          <w:sz w:val="28"/>
          <w:szCs w:val="28"/>
          <w:shd w:val="clear" w:color="auto" w:fill="FFFFFF"/>
          <w:lang w:eastAsia="zh-CN"/>
        </w:rPr>
        <w:t>****</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lang w:eastAsia="zh-CN"/>
        </w:rPr>
      </w:pPr>
      <w:r>
        <w:rPr>
          <w:rFonts w:hint="eastAsia" w:ascii="仿宋_GB2312" w:hAnsi="仿宋_GB2312" w:eastAsia="仿宋_GB2312" w:cs="仿宋_GB2312"/>
          <w:color w:val="000000"/>
          <w:sz w:val="28"/>
          <w:szCs w:val="28"/>
          <w:shd w:val="clear" w:color="auto" w:fill="FFFFFF"/>
        </w:rPr>
        <w:t xml:space="preserve">                                  </w:t>
      </w:r>
      <w:r>
        <w:rPr>
          <w:rFonts w:hint="eastAsia" w:ascii="仿宋_GB2312" w:hAnsi="仿宋_GB2312" w:eastAsia="仿宋_GB2312" w:cs="仿宋_GB2312"/>
          <w:color w:val="000000"/>
          <w:sz w:val="28"/>
          <w:szCs w:val="28"/>
          <w:shd w:val="clear" w:color="auto" w:fill="FFFFFF"/>
          <w:lang w:eastAsia="zh-CN"/>
        </w:rPr>
        <w:t>2022年8月22日</w:t>
      </w:r>
    </w:p>
    <w:p>
      <w:pPr>
        <w:pStyle w:val="2"/>
        <w:ind w:left="0" w:leftChars="0" w:firstLine="0" w:firstLineChars="0"/>
        <w:jc w:val="both"/>
        <w:rPr>
          <w:color w:val="000000"/>
          <w:sz w:val="44"/>
        </w:rPr>
      </w:pPr>
    </w:p>
    <w:p>
      <w:pPr>
        <w:pStyle w:val="2"/>
        <w:ind w:firstLine="3092" w:firstLineChars="700"/>
        <w:jc w:val="both"/>
        <w:rPr>
          <w:color w:val="000000"/>
          <w:sz w:val="44"/>
        </w:rPr>
      </w:pPr>
      <w:r>
        <w:rPr>
          <w:color w:val="000000"/>
          <w:sz w:val="44"/>
        </w:rPr>
        <w:t>目　　　录</w:t>
      </w:r>
    </w:p>
    <w:p>
      <w:pPr>
        <w:pStyle w:val="7"/>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color w:val="000000"/>
          <w:sz w:val="28"/>
          <w:szCs w:val="28"/>
          <w:shd w:val="clear" w:color="auto" w:fill="FFFFFF"/>
        </w:rPr>
        <w:instrText xml:space="preserve">TOC \o "1-2" \h \u </w:instrText>
      </w:r>
      <w:r>
        <w:rPr>
          <w:rFonts w:hint="eastAsia" w:ascii="仿宋" w:hAnsi="仿宋" w:eastAsia="仿宋" w:cs="仿宋"/>
          <w:color w:val="000000"/>
          <w:sz w:val="28"/>
          <w:szCs w:val="28"/>
          <w:shd w:val="clear" w:color="auto" w:fill="FFFFFF"/>
        </w:rPr>
        <w:fldChar w:fldCharType="separate"/>
      </w: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_Toc7219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估价师声明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_Toc7219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7"/>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_Toc17494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估价假设和限制条件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_Toc17494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7"/>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_Toc16791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估价结果报告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_Toc16791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_Toc27019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一、估价委托人</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_Toc27019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_Toc20601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二、房地产估价机构</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_Toc20601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_Toc1405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三、估价目的</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_Toc1405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_Toc22138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四、估价对象</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_Toc22138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_Toc19220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五、价值时点</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_Toc19220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_Toc20355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六、价值类型</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_Toc20355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_Toc4274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七、估价原则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_Toc4274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_Toc16925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八、估价依据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_Toc16925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_Toc28070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九、估价方法</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_Toc28070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_Toc4003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十、估价结果</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_Toc4003 </w:instrText>
      </w:r>
      <w:r>
        <w:rPr>
          <w:rFonts w:hint="eastAsia" w:ascii="仿宋" w:hAnsi="仿宋" w:eastAsia="仿宋" w:cs="仿宋"/>
          <w:sz w:val="28"/>
          <w:szCs w:val="28"/>
        </w:rPr>
        <w:fldChar w:fldCharType="separate"/>
      </w:r>
      <w:r>
        <w:rPr>
          <w:rFonts w:hint="eastAsia" w:ascii="仿宋" w:hAnsi="仿宋" w:eastAsia="仿宋" w:cs="仿宋"/>
          <w:sz w:val="28"/>
          <w:szCs w:val="28"/>
        </w:rPr>
        <w:t>10</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_Toc20502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十一、注册房地产估价师</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_Toc20502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_Toc7918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十二、实地查勘期</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_Toc7918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_Toc14208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十三、估价作业日期</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_Toc14208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7"/>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_Toc32104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 xml:space="preserve">附  </w:t>
      </w:r>
      <w:r>
        <w:rPr>
          <w:rFonts w:hint="eastAsia" w:ascii="宋体" w:hAnsi="宋体" w:cs="宋体"/>
          <w:bCs/>
          <w:sz w:val="28"/>
          <w:szCs w:val="28"/>
        </w:rPr>
        <w:t>  </w:t>
      </w:r>
      <w:r>
        <w:rPr>
          <w:rFonts w:hint="eastAsia" w:ascii="仿宋" w:hAnsi="仿宋" w:eastAsia="仿宋" w:cs="仿宋"/>
          <w:bCs/>
          <w:sz w:val="28"/>
          <w:szCs w:val="28"/>
        </w:rPr>
        <w:t>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_Toc32104 </w:instrText>
      </w:r>
      <w:r>
        <w:rPr>
          <w:rFonts w:hint="eastAsia" w:ascii="仿宋" w:hAnsi="仿宋" w:eastAsia="仿宋" w:cs="仿宋"/>
          <w:sz w:val="28"/>
          <w:szCs w:val="28"/>
        </w:rPr>
        <w:fldChar w:fldCharType="separate"/>
      </w:r>
      <w:r>
        <w:rPr>
          <w:rFonts w:hint="eastAsia" w:ascii="仿宋" w:hAnsi="仿宋" w:eastAsia="仿宋" w:cs="仿宋"/>
          <w:sz w:val="28"/>
          <w:szCs w:val="28"/>
        </w:rPr>
        <w:t>12</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 w:hAnsi="仿宋" w:eastAsia="仿宋" w:cs="仿宋"/>
          <w:color w:val="000000"/>
          <w:sz w:val="28"/>
          <w:szCs w:val="28"/>
          <w:shd w:val="clear" w:color="auto" w:fill="FFFFFF"/>
        </w:rPr>
        <w:fldChar w:fldCharType="end"/>
      </w:r>
      <w:r>
        <w:rPr>
          <w:rFonts w:hint="eastAsia" w:ascii="仿宋_GB2312" w:hAnsi="仿宋_GB2312" w:eastAsia="仿宋_GB2312" w:cs="仿宋_GB2312"/>
          <w:color w:val="000000"/>
          <w:kern w:val="0"/>
          <w:sz w:val="28"/>
          <w:szCs w:val="28"/>
          <w:shd w:val="clear" w:color="auto" w:fill="FFFFFF"/>
        </w:rPr>
        <w:t>1、估价对象位置示意图</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2、估价对象现场查勘照片</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3、《司法评估委托书》复印件</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sz w:val="28"/>
          <w:szCs w:val="28"/>
        </w:rPr>
      </w:pPr>
      <w:bookmarkStart w:id="0" w:name="_Toc423267907"/>
      <w:bookmarkEnd w:id="0"/>
      <w:bookmarkStart w:id="1" w:name="_Toc20514"/>
      <w:r>
        <w:rPr>
          <w:rFonts w:hint="eastAsia" w:ascii="仿宋_GB2312" w:hAnsi="仿宋_GB2312" w:eastAsia="仿宋_GB2312" w:cs="仿宋_GB2312"/>
          <w:color w:val="000000"/>
          <w:kern w:val="0"/>
          <w:sz w:val="28"/>
          <w:szCs w:val="28"/>
          <w:shd w:val="clear" w:color="auto" w:fill="FFFFFF"/>
        </w:rPr>
        <w:t>4、</w:t>
      </w:r>
      <w:r>
        <w:rPr>
          <w:rFonts w:hint="eastAsia" w:ascii="仿宋_GB2312" w:hAnsi="仿宋_GB2312" w:eastAsia="仿宋_GB2312" w:cs="仿宋_GB2312"/>
          <w:color w:val="000000"/>
          <w:kern w:val="0"/>
          <w:sz w:val="28"/>
          <w:szCs w:val="28"/>
          <w:shd w:val="clear" w:color="auto" w:fill="FFFFFF"/>
          <w:lang w:eastAsia="zh-CN"/>
        </w:rPr>
        <w:t>估价对象不动产登记情况证明及产权证</w:t>
      </w:r>
      <w:r>
        <w:rPr>
          <w:rFonts w:hint="eastAsia" w:ascii="仿宋_GB2312" w:hAnsi="仿宋_GB2312" w:eastAsia="仿宋_GB2312" w:cs="仿宋_GB2312"/>
          <w:color w:val="000000"/>
          <w:kern w:val="0"/>
          <w:sz w:val="28"/>
          <w:szCs w:val="28"/>
          <w:shd w:val="clear" w:color="auto" w:fill="FFFFFF"/>
        </w:rPr>
        <w:t>复印件</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shd w:val="clear" w:color="auto" w:fill="FFFFFF"/>
          <w:lang w:val="en-US" w:eastAsia="zh-CN"/>
        </w:rPr>
        <w:t>5</w:t>
      </w:r>
      <w:r>
        <w:rPr>
          <w:rFonts w:hint="eastAsia" w:ascii="仿宋_GB2312" w:hAnsi="仿宋_GB2312" w:eastAsia="仿宋_GB2312" w:cs="仿宋_GB2312"/>
          <w:color w:val="000000"/>
          <w:kern w:val="0"/>
          <w:sz w:val="28"/>
          <w:szCs w:val="28"/>
          <w:shd w:val="clear" w:color="auto" w:fill="FFFFFF"/>
        </w:rPr>
        <w:t>、估价机构营业执照复印件</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shd w:val="clear" w:color="auto" w:fill="FFFFFF"/>
          <w:lang w:val="en-US" w:eastAsia="zh-CN"/>
        </w:rPr>
        <w:t>6</w:t>
      </w:r>
      <w:r>
        <w:rPr>
          <w:rFonts w:hint="eastAsia" w:ascii="仿宋_GB2312" w:hAnsi="仿宋_GB2312" w:eastAsia="仿宋_GB2312" w:cs="仿宋_GB2312"/>
          <w:color w:val="000000"/>
          <w:kern w:val="0"/>
          <w:sz w:val="28"/>
          <w:szCs w:val="28"/>
          <w:shd w:val="clear" w:color="auto" w:fill="FFFFFF"/>
        </w:rPr>
        <w:t>、估价机构</w:t>
      </w:r>
      <w:r>
        <w:rPr>
          <w:rFonts w:hint="eastAsia" w:ascii="仿宋_GB2312" w:hAnsi="仿宋_GB2312" w:eastAsia="仿宋_GB2312" w:cs="仿宋_GB2312"/>
          <w:color w:val="000000"/>
          <w:kern w:val="0"/>
          <w:sz w:val="28"/>
          <w:szCs w:val="28"/>
          <w:shd w:val="clear" w:color="auto" w:fill="FFFFFF"/>
          <w:lang w:eastAsia="zh-CN"/>
        </w:rPr>
        <w:t>备案</w:t>
      </w:r>
      <w:r>
        <w:rPr>
          <w:rFonts w:hint="eastAsia" w:ascii="仿宋_GB2312" w:hAnsi="仿宋_GB2312" w:eastAsia="仿宋_GB2312" w:cs="仿宋_GB2312"/>
          <w:color w:val="000000"/>
          <w:kern w:val="0"/>
          <w:sz w:val="28"/>
          <w:szCs w:val="28"/>
          <w:shd w:val="clear" w:color="auto" w:fill="FFFFFF"/>
        </w:rPr>
        <w:t>证书复印件</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lang w:val="en-US" w:eastAsia="zh-CN"/>
        </w:rPr>
        <w:t>7</w:t>
      </w:r>
      <w:r>
        <w:rPr>
          <w:rFonts w:hint="eastAsia" w:ascii="仿宋_GB2312" w:hAnsi="仿宋_GB2312" w:eastAsia="仿宋_GB2312" w:cs="仿宋_GB2312"/>
          <w:color w:val="000000"/>
          <w:kern w:val="0"/>
          <w:sz w:val="28"/>
          <w:szCs w:val="28"/>
          <w:shd w:val="clear" w:color="auto" w:fill="FFFFFF"/>
        </w:rPr>
        <w:t>、估价师执业资格证书复印件</w:t>
      </w:r>
    </w:p>
    <w:p>
      <w:pPr>
        <w:pStyle w:val="4"/>
        <w:ind w:left="0" w:leftChars="0"/>
        <w:outlineLvl w:val="0"/>
        <w:rPr>
          <w:rFonts w:hint="eastAsia" w:ascii="仿宋_GB2312" w:hAnsi="仿宋_GB2312" w:cs="仿宋_GB2312"/>
          <w:color w:val="000000"/>
          <w:sz w:val="28"/>
          <w:szCs w:val="28"/>
          <w:shd w:val="clear" w:color="auto" w:fill="FFFFFF"/>
        </w:rPr>
      </w:pPr>
    </w:p>
    <w:p>
      <w:pPr>
        <w:rPr>
          <w:rFonts w:hint="eastAsia" w:ascii="仿宋_GB2312" w:eastAsia="仿宋_GB2312"/>
          <w:b/>
          <w:sz w:val="32"/>
          <w:szCs w:val="32"/>
        </w:rPr>
      </w:pPr>
    </w:p>
    <w:p>
      <w:pPr>
        <w:rPr>
          <w:rFonts w:hint="eastAsia" w:ascii="仿宋_GB2312" w:eastAsia="仿宋_GB2312"/>
          <w:b/>
          <w:sz w:val="32"/>
          <w:szCs w:val="32"/>
        </w:rPr>
      </w:pPr>
    </w:p>
    <w:p>
      <w:pPr>
        <w:pStyle w:val="4"/>
        <w:ind w:left="0" w:leftChars="0"/>
        <w:jc w:val="center"/>
        <w:outlineLvl w:val="0"/>
        <w:rPr>
          <w:b/>
          <w:color w:val="000000"/>
          <w:sz w:val="40"/>
          <w:szCs w:val="40"/>
        </w:rPr>
      </w:pPr>
      <w:r>
        <w:rPr>
          <w:rFonts w:hint="eastAsia"/>
          <w:b/>
          <w:color w:val="000000"/>
          <w:sz w:val="40"/>
          <w:szCs w:val="40"/>
        </w:rPr>
        <w:t xml:space="preserve"> </w:t>
      </w:r>
      <w:bookmarkStart w:id="2" w:name="_Toc7219"/>
      <w:r>
        <w:rPr>
          <w:b/>
          <w:color w:val="000000"/>
          <w:sz w:val="40"/>
          <w:szCs w:val="40"/>
        </w:rPr>
        <w:t>估价师声明</w:t>
      </w:r>
      <w:bookmarkEnd w:id="1"/>
      <w:bookmarkEnd w:id="2"/>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我们郑重声明：</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1、注册房地产估价师在本估价报告中陈述的事实是真实和准确的，没有虚假记载、误导性陈述和重大遗漏。</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2、本估价报告中的分析、意见和结论是注册房地产估价师独立、客观、公正的专业分析、意见和结论，但受到本估价报告中已说明的假设和限制条件的限制。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3、注册房地产估价师与本估价报告中的估价对象没有现实或潜在的利益，与估价委托人及估价利害关系人没有利害关系，也对估价对象、估价委托人及估价利害关系人没有偏见。</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4、注册房地产估价师是按照中华人民共和国国家标准《房地产估价规范》（GB/T 50291-2015）和《房地产估价基本术语标准》（GB/T 50899-2013）的规定进行分析，形成意见和结论，撰写本估价报告。</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5、注册房地产估价师</w:t>
      </w:r>
      <w:r>
        <w:rPr>
          <w:rFonts w:hint="eastAsia" w:ascii="仿宋" w:hAnsi="仿宋" w:eastAsia="仿宋" w:cs="仿宋"/>
          <w:sz w:val="28"/>
          <w:szCs w:val="28"/>
          <w:lang w:eastAsia="zh-CN"/>
        </w:rPr>
        <w:t>****</w:t>
      </w:r>
      <w:r>
        <w:rPr>
          <w:rFonts w:hint="eastAsia" w:ascii="仿宋_GB2312" w:hAnsi="仿宋_GB2312" w:eastAsia="仿宋_GB2312" w:cs="仿宋_GB2312"/>
          <w:color w:val="000000"/>
          <w:kern w:val="0"/>
          <w:sz w:val="28"/>
          <w:szCs w:val="28"/>
          <w:shd w:val="clear" w:color="auto" w:fill="FFFFFF"/>
        </w:rPr>
        <w:t>已于</w:t>
      </w:r>
      <w:r>
        <w:rPr>
          <w:rFonts w:hint="eastAsia" w:ascii="仿宋_GB2312" w:hAnsi="仿宋_GB2312" w:eastAsia="仿宋_GB2312" w:cs="仿宋_GB2312"/>
          <w:color w:val="000000"/>
          <w:kern w:val="0"/>
          <w:sz w:val="28"/>
          <w:szCs w:val="28"/>
          <w:shd w:val="clear" w:color="auto" w:fill="FFFFFF"/>
          <w:lang w:eastAsia="zh-CN"/>
        </w:rPr>
        <w:t>20</w:t>
      </w:r>
      <w:bookmarkStart w:id="54" w:name="_GoBack"/>
      <w:bookmarkEnd w:id="54"/>
      <w:r>
        <w:rPr>
          <w:rFonts w:hint="eastAsia" w:ascii="仿宋_GB2312" w:hAnsi="仿宋_GB2312" w:eastAsia="仿宋_GB2312" w:cs="仿宋_GB2312"/>
          <w:color w:val="000000"/>
          <w:kern w:val="0"/>
          <w:sz w:val="28"/>
          <w:szCs w:val="28"/>
          <w:shd w:val="clear" w:color="auto" w:fill="FFFFFF"/>
          <w:lang w:eastAsia="zh-CN"/>
        </w:rPr>
        <w:t>22年8月15日</w:t>
      </w:r>
      <w:r>
        <w:rPr>
          <w:rFonts w:hint="eastAsia" w:ascii="仿宋_GB2312" w:hAnsi="仿宋_GB2312" w:eastAsia="仿宋_GB2312" w:cs="仿宋_GB2312"/>
          <w:color w:val="000000"/>
          <w:kern w:val="0"/>
          <w:sz w:val="28"/>
          <w:szCs w:val="28"/>
          <w:shd w:val="clear" w:color="auto" w:fill="FFFFFF"/>
        </w:rPr>
        <w:t>对本估价报告中的估价对象进行了实地查勘并进行记录。</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宋体" w:hAnsi="宋体"/>
          <w:sz w:val="24"/>
        </w:rPr>
      </w:pPr>
      <w:r>
        <w:rPr>
          <w:rFonts w:hint="eastAsia" w:ascii="仿宋_GB2312" w:hAnsi="仿宋_GB2312" w:eastAsia="仿宋_GB2312" w:cs="仿宋_GB2312"/>
          <w:color w:val="000000"/>
          <w:kern w:val="0"/>
          <w:sz w:val="28"/>
          <w:szCs w:val="28"/>
          <w:shd w:val="clear" w:color="auto" w:fill="FFFFFF"/>
        </w:rPr>
        <w:t>6、没有本估价机构以外的专业人士对本估价报告提供重要专业帮助。</w:t>
      </w:r>
    </w:p>
    <w:tbl>
      <w:tblPr>
        <w:tblStyle w:val="11"/>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1948"/>
        <w:gridCol w:w="2525"/>
        <w:gridCol w:w="2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exact"/>
          <w:jc w:val="center"/>
        </w:trPr>
        <w:tc>
          <w:tcPr>
            <w:tcW w:w="1311"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姓名</w:t>
            </w:r>
          </w:p>
        </w:tc>
        <w:tc>
          <w:tcPr>
            <w:tcW w:w="1948"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注册号</w:t>
            </w:r>
          </w:p>
        </w:tc>
        <w:tc>
          <w:tcPr>
            <w:tcW w:w="2525"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签名</w:t>
            </w:r>
          </w:p>
        </w:tc>
        <w:tc>
          <w:tcPr>
            <w:tcW w:w="271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exact"/>
          <w:jc w:val="center"/>
        </w:trPr>
        <w:tc>
          <w:tcPr>
            <w:tcW w:w="1311" w:type="dxa"/>
            <w:noWrap w:val="0"/>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w:t>
            </w:r>
          </w:p>
        </w:tc>
        <w:tc>
          <w:tcPr>
            <w:tcW w:w="1948" w:type="dxa"/>
            <w:noWrap w:val="0"/>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w:t>
            </w:r>
          </w:p>
        </w:tc>
        <w:tc>
          <w:tcPr>
            <w:tcW w:w="2525" w:type="dxa"/>
            <w:noWrap w:val="0"/>
            <w:vAlign w:val="center"/>
          </w:tcPr>
          <w:p>
            <w:pPr>
              <w:jc w:val="center"/>
              <w:rPr>
                <w:rFonts w:hint="eastAsia" w:ascii="仿宋" w:hAnsi="仿宋" w:eastAsia="仿宋" w:cs="仿宋"/>
                <w:sz w:val="28"/>
                <w:szCs w:val="28"/>
              </w:rPr>
            </w:pPr>
          </w:p>
        </w:tc>
        <w:tc>
          <w:tcPr>
            <w:tcW w:w="271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exact"/>
          <w:jc w:val="center"/>
        </w:trPr>
        <w:tc>
          <w:tcPr>
            <w:tcW w:w="1311" w:type="dxa"/>
            <w:noWrap w:val="0"/>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 ****</w:t>
            </w:r>
          </w:p>
        </w:tc>
        <w:tc>
          <w:tcPr>
            <w:tcW w:w="1948" w:type="dxa"/>
            <w:noWrap w:val="0"/>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w:t>
            </w:r>
          </w:p>
        </w:tc>
        <w:tc>
          <w:tcPr>
            <w:tcW w:w="2525" w:type="dxa"/>
            <w:noWrap w:val="0"/>
            <w:vAlign w:val="center"/>
          </w:tcPr>
          <w:p>
            <w:pPr>
              <w:jc w:val="center"/>
              <w:rPr>
                <w:rFonts w:hint="eastAsia" w:ascii="仿宋" w:hAnsi="仿宋" w:eastAsia="仿宋" w:cs="仿宋"/>
                <w:sz w:val="28"/>
                <w:szCs w:val="28"/>
              </w:rPr>
            </w:pPr>
          </w:p>
        </w:tc>
        <w:tc>
          <w:tcPr>
            <w:tcW w:w="271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年   月   日</w:t>
            </w:r>
          </w:p>
        </w:tc>
      </w:tr>
    </w:tbl>
    <w:p>
      <w:pPr>
        <w:pStyle w:val="2"/>
        <w:spacing w:line="640" w:lineRule="exact"/>
        <w:ind w:firstLine="0" w:firstLineChars="0"/>
        <w:jc w:val="both"/>
        <w:rPr>
          <w:rFonts w:hint="eastAsia" w:ascii="仿宋_GB2312" w:hAnsi="仿宋_GB2312" w:cs="仿宋_GB2312"/>
          <w:b w:val="0"/>
          <w:color w:val="000000"/>
          <w:kern w:val="0"/>
          <w:sz w:val="40"/>
          <w:szCs w:val="40"/>
          <w:shd w:val="clear" w:color="auto" w:fill="FFFFFF"/>
        </w:rPr>
      </w:pPr>
      <w:bookmarkStart w:id="3" w:name="_Toc423267909"/>
      <w:bookmarkEnd w:id="3"/>
      <w:bookmarkStart w:id="4" w:name="_Toc378491504"/>
    </w:p>
    <w:p>
      <w:pPr>
        <w:pStyle w:val="2"/>
        <w:spacing w:line="640" w:lineRule="exact"/>
        <w:ind w:firstLine="0" w:firstLineChars="0"/>
        <w:jc w:val="both"/>
        <w:rPr>
          <w:rFonts w:hint="eastAsia" w:ascii="仿宋_GB2312" w:hAnsi="仿宋_GB2312" w:cs="仿宋_GB2312"/>
          <w:b w:val="0"/>
          <w:color w:val="000000"/>
          <w:kern w:val="0"/>
          <w:sz w:val="40"/>
          <w:szCs w:val="40"/>
          <w:shd w:val="clear" w:color="auto" w:fill="FFFFFF"/>
        </w:rPr>
      </w:pPr>
    </w:p>
    <w:p>
      <w:pPr>
        <w:pStyle w:val="2"/>
        <w:spacing w:line="640" w:lineRule="exact"/>
        <w:ind w:firstLine="0" w:firstLineChars="0"/>
        <w:jc w:val="both"/>
        <w:rPr>
          <w:rFonts w:hint="eastAsia" w:ascii="仿宋_GB2312" w:hAnsi="仿宋_GB2312" w:cs="仿宋_GB2312"/>
          <w:b w:val="0"/>
          <w:color w:val="000000"/>
          <w:kern w:val="0"/>
          <w:sz w:val="40"/>
          <w:szCs w:val="40"/>
          <w:shd w:val="clear" w:color="auto" w:fill="FFFFFF"/>
        </w:rPr>
      </w:pPr>
    </w:p>
    <w:bookmarkEnd w:id="4"/>
    <w:p>
      <w:pPr>
        <w:pStyle w:val="2"/>
        <w:keepNext w:val="0"/>
        <w:keepLines w:val="0"/>
        <w:pageBreakBefore w:val="0"/>
        <w:widowControl w:val="0"/>
        <w:kinsoku/>
        <w:wordWrap/>
        <w:overflowPunct/>
        <w:topLinePunct w:val="0"/>
        <w:autoSpaceDE/>
        <w:autoSpaceDN/>
        <w:bidi w:val="0"/>
        <w:spacing w:line="440" w:lineRule="exact"/>
        <w:ind w:firstLine="883" w:firstLineChars="200"/>
        <w:textAlignment w:val="auto"/>
        <w:outlineLvl w:val="0"/>
        <w:rPr>
          <w:rFonts w:hint="eastAsia" w:ascii="仿宋_GB2312"/>
          <w:color w:val="000000"/>
          <w:sz w:val="44"/>
          <w:szCs w:val="44"/>
        </w:rPr>
      </w:pPr>
      <w:bookmarkStart w:id="5" w:name="_Toc17494"/>
      <w:r>
        <w:rPr>
          <w:rFonts w:hint="eastAsia" w:ascii="仿宋_GB2312"/>
          <w:color w:val="000000"/>
          <w:sz w:val="44"/>
          <w:szCs w:val="44"/>
        </w:rPr>
        <w:t>估价假设和限制条件</w:t>
      </w:r>
      <w:bookmarkEnd w:id="5"/>
    </w:p>
    <w:p>
      <w:pPr>
        <w:keepNext w:val="0"/>
        <w:keepLines w:val="0"/>
        <w:pageBreakBefore w:val="0"/>
        <w:widowControl w:val="0"/>
        <w:kinsoku/>
        <w:wordWrap/>
        <w:overflowPunct/>
        <w:topLinePunct w:val="0"/>
        <w:autoSpaceDE/>
        <w:autoSpaceDN/>
        <w:bidi w:val="0"/>
        <w:spacing w:line="440" w:lineRule="exact"/>
        <w:textAlignment w:val="auto"/>
        <w:rPr>
          <w:rFonts w:hint="eastAsia" w:ascii="仿宋_GB2312" w:eastAsia="仿宋_GB2312"/>
          <w:b/>
          <w:color w:val="000000"/>
          <w:sz w:val="28"/>
          <w:lang w:val="zh-CN"/>
        </w:rPr>
      </w:pPr>
      <w:bookmarkStart w:id="6" w:name="_Toc423267910"/>
      <w:bookmarkEnd w:id="6"/>
      <w:bookmarkStart w:id="7" w:name="_Toc332177283"/>
      <w:bookmarkStart w:id="8" w:name="_Toc332191589"/>
      <w:bookmarkStart w:id="9" w:name="_Toc332191655"/>
      <w:r>
        <w:rPr>
          <w:rFonts w:hint="eastAsia" w:ascii="仿宋_GB2312" w:eastAsia="仿宋_GB2312"/>
          <w:b/>
          <w:color w:val="000000"/>
          <w:sz w:val="28"/>
          <w:lang w:val="zh-CN"/>
        </w:rPr>
        <w:t>一、一般假设</w:t>
      </w:r>
    </w:p>
    <w:bookmarkEnd w:id="7"/>
    <w:bookmarkEnd w:id="8"/>
    <w:bookmarkEnd w:id="9"/>
    <w:p>
      <w:pPr>
        <w:keepNext w:val="0"/>
        <w:keepLines w:val="0"/>
        <w:pageBreakBefore w:val="0"/>
        <w:widowControl w:val="0"/>
        <w:kinsoku/>
        <w:wordWrap/>
        <w:overflowPunct/>
        <w:topLinePunct w:val="0"/>
        <w:autoSpaceDE/>
        <w:autoSpaceDN/>
        <w:bidi w:val="0"/>
        <w:spacing w:line="440" w:lineRule="exact"/>
        <w:ind w:firstLine="645"/>
        <w:textAlignment w:val="auto"/>
        <w:rPr>
          <w:rFonts w:hint="eastAsia" w:ascii="仿宋_GB2312" w:eastAsia="仿宋_GB2312"/>
          <w:sz w:val="28"/>
        </w:rPr>
      </w:pPr>
      <w:r>
        <w:rPr>
          <w:rFonts w:hint="eastAsia" w:ascii="仿宋_GB2312" w:eastAsia="仿宋_GB2312"/>
          <w:sz w:val="28"/>
        </w:rPr>
        <w:t>1、</w:t>
      </w:r>
      <w:r>
        <w:rPr>
          <w:rFonts w:hint="eastAsia" w:ascii="仿宋_GB2312" w:hAnsi="仿宋" w:eastAsia="仿宋_GB2312" w:cs="新宋体-18030"/>
          <w:sz w:val="28"/>
          <w:szCs w:val="28"/>
        </w:rPr>
        <w:t>注册房地产估价师已对委托方提供的资料进行了检查，并将估价对象的权属、面积、用途等资料记载入估价报告，假设委托方提供资料合法、真实、准确，并且提供了与本次评估有关的所有资料，没有保留和隐瞒</w:t>
      </w:r>
      <w:r>
        <w:rPr>
          <w:rFonts w:hint="eastAsia" w:ascii="仿宋_GB2312" w:eastAsia="仿宋_GB2312"/>
          <w:sz w:val="28"/>
          <w:szCs w:val="28"/>
        </w:rPr>
        <w:t>。</w:t>
      </w:r>
    </w:p>
    <w:p>
      <w:pPr>
        <w:pStyle w:val="2"/>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_GB2312"/>
          <w:b w:val="0"/>
          <w:color w:val="000000"/>
          <w:sz w:val="28"/>
        </w:rPr>
      </w:pPr>
      <w:r>
        <w:rPr>
          <w:rFonts w:hint="eastAsia" w:ascii="仿宋_GB2312"/>
          <w:b w:val="0"/>
          <w:bCs w:val="0"/>
          <w:color w:val="000000"/>
          <w:sz w:val="28"/>
        </w:rPr>
        <w:t>2、本次估价是以提供给估价机构的估价对象房屋所有权及土地使用权权属清晰无异议，无法律、法规规定禁止按本次估价目的使用的其他情形为假设前提。</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3、市场供应关系、市场结构保持稳定，未发生重大变化或实质性改变。本报告中估价对象价值评估结果为该估价对象的公开市场价值，它依据了如下假设：</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（1）存在自愿的卖者和买者；</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（2）买卖双方的交易行为都是谨慎的、理性的；</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（3）在价值时点前，相对于物业的特性和房地产市场状态而言，为使交易完成及达至合理价格，有一个合理的谈判周期；</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（4）在此周期内，房地产市场状态是保持稳定的；</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（5）该房地产可以在公开市场上自由转让；</w:t>
      </w:r>
    </w:p>
    <w:p>
      <w:pPr>
        <w:keepNext w:val="0"/>
        <w:keepLines w:val="0"/>
        <w:pageBreakBefore w:val="0"/>
        <w:widowControl w:val="0"/>
        <w:kinsoku/>
        <w:wordWrap/>
        <w:overflowPunct/>
        <w:topLinePunct w:val="0"/>
        <w:autoSpaceDE/>
        <w:autoSpaceDN/>
        <w:bidi w:val="0"/>
        <w:spacing w:line="440" w:lineRule="exact"/>
        <w:ind w:firstLine="420" w:firstLineChars="150"/>
        <w:textAlignment w:val="auto"/>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 xml:space="preserve"> （6）不考虑买卖双方因特殊的因素或偏好对房地产价格的影响。</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hint="eastAsia" w:ascii="仿宋_GB2312" w:hAnsi="仿宋" w:eastAsia="仿宋_GB2312" w:cs="新宋体-18030"/>
          <w:sz w:val="28"/>
          <w:szCs w:val="28"/>
          <w:lang w:eastAsia="zh-CN"/>
        </w:rPr>
      </w:pPr>
      <w:r>
        <w:rPr>
          <w:rFonts w:hint="eastAsia" w:ascii="仿宋_GB2312" w:hAnsi="仿宋" w:eastAsia="仿宋_GB2312" w:cs="新宋体-18030"/>
          <w:sz w:val="28"/>
          <w:szCs w:val="28"/>
        </w:rPr>
        <w:t>4、估价对象面积来源于委托方提供的《</w:t>
      </w:r>
      <w:r>
        <w:rPr>
          <w:rFonts w:hint="eastAsia" w:ascii="仿宋_GB2312" w:hAnsi="仿宋" w:eastAsia="仿宋_GB2312" w:cs="新宋体-18030"/>
          <w:sz w:val="28"/>
          <w:szCs w:val="28"/>
          <w:lang w:eastAsia="zh-CN"/>
        </w:rPr>
        <w:t>房屋所有权证》、《土地使用证》</w:t>
      </w:r>
      <w:r>
        <w:rPr>
          <w:rFonts w:hint="eastAsia" w:ascii="仿宋_GB2312" w:hAnsi="仿宋" w:eastAsia="仿宋_GB2312" w:cs="新宋体-18030"/>
          <w:sz w:val="28"/>
          <w:szCs w:val="28"/>
        </w:rPr>
        <w:t>复印件。</w:t>
      </w:r>
    </w:p>
    <w:p>
      <w:pPr>
        <w:keepNext w:val="0"/>
        <w:keepLines w:val="0"/>
        <w:pageBreakBefore w:val="0"/>
        <w:widowControl w:val="0"/>
        <w:kinsoku/>
        <w:wordWrap/>
        <w:overflowPunct/>
        <w:topLinePunct w:val="0"/>
        <w:autoSpaceDE/>
        <w:autoSpaceDN/>
        <w:bidi w:val="0"/>
        <w:spacing w:line="440" w:lineRule="exact"/>
        <w:textAlignment w:val="auto"/>
        <w:rPr>
          <w:rFonts w:hint="eastAsia" w:ascii="仿宋_GB2312" w:eastAsia="仿宋_GB2312"/>
          <w:b/>
          <w:color w:val="000000"/>
          <w:sz w:val="28"/>
          <w:lang w:val="zh-CN"/>
        </w:rPr>
      </w:pPr>
      <w:r>
        <w:rPr>
          <w:rFonts w:hint="eastAsia" w:ascii="仿宋_GB2312" w:eastAsia="仿宋_GB2312"/>
          <w:b/>
          <w:color w:val="000000"/>
          <w:sz w:val="28"/>
          <w:lang w:val="zh-CN"/>
        </w:rPr>
        <w:t>二、未定事项假设</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hint="eastAsia" w:ascii="仿宋_GB2312" w:hAnsi="仿宋" w:eastAsia="仿宋_GB2312"/>
          <w:snapToGrid w:val="0"/>
          <w:kern w:val="0"/>
          <w:sz w:val="28"/>
          <w:szCs w:val="28"/>
          <w:lang w:eastAsia="zh-CN"/>
        </w:rPr>
      </w:pPr>
      <w:r>
        <w:rPr>
          <w:rFonts w:hint="eastAsia" w:ascii="仿宋_GB2312" w:eastAsia="仿宋_GB2312"/>
          <w:bCs/>
          <w:color w:val="000000"/>
          <w:sz w:val="28"/>
          <w:lang w:val="zh-CN"/>
        </w:rPr>
        <w:t>本次估价无未定事项，故估价报告无未定事项假设。</w:t>
      </w:r>
    </w:p>
    <w:p>
      <w:pPr>
        <w:keepNext w:val="0"/>
        <w:keepLines w:val="0"/>
        <w:pageBreakBefore w:val="0"/>
        <w:widowControl w:val="0"/>
        <w:kinsoku/>
        <w:wordWrap/>
        <w:overflowPunct/>
        <w:topLinePunct w:val="0"/>
        <w:autoSpaceDE/>
        <w:autoSpaceDN/>
        <w:bidi w:val="0"/>
        <w:spacing w:line="440" w:lineRule="exact"/>
        <w:textAlignment w:val="auto"/>
        <w:rPr>
          <w:rFonts w:hint="eastAsia" w:ascii="仿宋_GB2312" w:eastAsia="仿宋_GB2312"/>
          <w:b/>
          <w:color w:val="000000"/>
          <w:sz w:val="28"/>
          <w:lang w:val="zh-CN"/>
        </w:rPr>
      </w:pPr>
      <w:r>
        <w:rPr>
          <w:rFonts w:hint="eastAsia" w:ascii="仿宋_GB2312" w:eastAsia="仿宋_GB2312"/>
          <w:b/>
          <w:color w:val="000000"/>
          <w:sz w:val="28"/>
          <w:lang w:val="zh-CN"/>
        </w:rPr>
        <w:t>三、背离事实假设</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仿宋_GB2312"/>
          <w:b/>
          <w:color w:val="000000"/>
          <w:sz w:val="28"/>
        </w:rPr>
      </w:pPr>
      <w:r>
        <w:rPr>
          <w:rFonts w:hint="eastAsia" w:ascii="仿宋_GB2312" w:eastAsia="仿宋_GB2312"/>
          <w:snapToGrid w:val="0"/>
          <w:kern w:val="0"/>
          <w:sz w:val="28"/>
          <w:szCs w:val="28"/>
        </w:rPr>
        <w:t>本次估价目的是为</w:t>
      </w:r>
      <w:r>
        <w:rPr>
          <w:rFonts w:hint="eastAsia" w:ascii="仿宋_GB2312" w:hAnsi="仿宋_GB2312" w:eastAsia="仿宋_GB2312" w:cs="仿宋_GB2312"/>
          <w:color w:val="000000"/>
          <w:sz w:val="28"/>
          <w:szCs w:val="28"/>
          <w:shd w:val="clear" w:color="auto" w:fill="FFFFFF"/>
        </w:rPr>
        <w:t>确定估价房地产的市场价格，为委托方办理案件提供价格参考依据</w:t>
      </w:r>
      <w:r>
        <w:rPr>
          <w:rFonts w:hint="eastAsia" w:ascii="仿宋_GB2312" w:hAnsi="仿宋" w:eastAsia="仿宋_GB2312" w:cs="仿宋"/>
          <w:bCs/>
          <w:snapToGrid w:val="0"/>
          <w:color w:val="000000"/>
          <w:kern w:val="0"/>
          <w:sz w:val="28"/>
          <w:szCs w:val="28"/>
        </w:rPr>
        <w:t>进行评估</w:t>
      </w:r>
      <w:r>
        <w:rPr>
          <w:rFonts w:hint="eastAsia" w:ascii="仿宋_GB2312" w:hAnsi="仿宋" w:eastAsia="仿宋_GB2312"/>
          <w:snapToGrid w:val="0"/>
          <w:kern w:val="0"/>
          <w:sz w:val="28"/>
          <w:szCs w:val="28"/>
        </w:rPr>
        <w:t>，本估价结果未考虑因自然力或其它不可抗力而造成的房屋灭失及经济寿命非正常减短；未考虑查封、他项权利等因素对房地产价格的影响；也未考虑法院拍卖时产生的拍卖费、评估费、诉讼费、交易税费等相关费用。</w:t>
      </w:r>
    </w:p>
    <w:p>
      <w:pPr>
        <w:keepNext w:val="0"/>
        <w:keepLines w:val="0"/>
        <w:pageBreakBefore w:val="0"/>
        <w:widowControl w:val="0"/>
        <w:numPr>
          <w:ilvl w:val="0"/>
          <w:numId w:val="2"/>
        </w:numPr>
        <w:kinsoku/>
        <w:wordWrap/>
        <w:overflowPunct/>
        <w:topLinePunct w:val="0"/>
        <w:autoSpaceDE/>
        <w:autoSpaceDN/>
        <w:bidi w:val="0"/>
        <w:spacing w:line="440" w:lineRule="exact"/>
        <w:textAlignment w:val="auto"/>
        <w:rPr>
          <w:rFonts w:hint="eastAsia" w:ascii="仿宋_GB2312" w:eastAsia="仿宋_GB2312"/>
          <w:b/>
          <w:color w:val="000000"/>
          <w:sz w:val="28"/>
          <w:lang w:val="zh-CN"/>
        </w:rPr>
      </w:pPr>
      <w:r>
        <w:rPr>
          <w:rFonts w:hint="eastAsia" w:ascii="仿宋_GB2312" w:eastAsia="仿宋_GB2312"/>
          <w:b/>
          <w:color w:val="000000"/>
          <w:sz w:val="28"/>
          <w:lang w:val="zh-CN"/>
        </w:rPr>
        <w:t>不相一致假设</w:t>
      </w:r>
    </w:p>
    <w:p>
      <w:pPr>
        <w:keepNext w:val="0"/>
        <w:keepLines w:val="0"/>
        <w:pageBreakBefore w:val="0"/>
        <w:widowControl w:val="0"/>
        <w:kinsoku/>
        <w:wordWrap/>
        <w:overflowPunct/>
        <w:topLinePunct w:val="0"/>
        <w:autoSpaceDE/>
        <w:autoSpaceDN/>
        <w:bidi w:val="0"/>
        <w:spacing w:line="440" w:lineRule="exact"/>
        <w:textAlignment w:val="auto"/>
        <w:rPr>
          <w:rFonts w:hint="default" w:ascii="仿宋_GB2312" w:eastAsia="仿宋_GB2312"/>
          <w:b/>
          <w:color w:val="000000"/>
          <w:sz w:val="28"/>
          <w:lang w:val="en-US" w:eastAsia="zh-CN"/>
        </w:rPr>
      </w:pPr>
      <w:r>
        <w:rPr>
          <w:rFonts w:hint="eastAsia" w:ascii="仿宋_GB2312" w:eastAsia="仿宋_GB2312"/>
          <w:b/>
          <w:color w:val="000000"/>
          <w:sz w:val="28"/>
          <w:lang w:val="en-US" w:eastAsia="zh-CN"/>
        </w:rPr>
        <w:t xml:space="preserve">    </w:t>
      </w:r>
      <w:r>
        <w:rPr>
          <w:rFonts w:hint="eastAsia" w:ascii="仿宋_GB2312" w:eastAsia="仿宋_GB2312"/>
          <w:bCs/>
          <w:color w:val="000000"/>
          <w:sz w:val="28"/>
          <w:lang w:val="zh-CN"/>
        </w:rPr>
        <w:t>本次估价无不相一致事项，故估价报告无不相一致假设。</w:t>
      </w:r>
    </w:p>
    <w:p>
      <w:pPr>
        <w:keepNext w:val="0"/>
        <w:keepLines w:val="0"/>
        <w:pageBreakBefore w:val="0"/>
        <w:widowControl w:val="0"/>
        <w:kinsoku/>
        <w:wordWrap/>
        <w:overflowPunct/>
        <w:topLinePunct w:val="0"/>
        <w:autoSpaceDE/>
        <w:autoSpaceDN/>
        <w:bidi w:val="0"/>
        <w:spacing w:line="440" w:lineRule="exact"/>
        <w:textAlignment w:val="auto"/>
        <w:rPr>
          <w:rFonts w:hint="eastAsia" w:ascii="仿宋_GB2312" w:eastAsia="仿宋_GB2312"/>
          <w:b/>
          <w:color w:val="000000"/>
          <w:sz w:val="28"/>
          <w:lang w:val="zh-CN"/>
        </w:rPr>
      </w:pPr>
      <w:r>
        <w:rPr>
          <w:rFonts w:hint="eastAsia" w:ascii="仿宋_GB2312" w:eastAsia="仿宋_GB2312"/>
          <w:b/>
          <w:color w:val="000000"/>
          <w:sz w:val="28"/>
          <w:lang w:val="zh-CN"/>
        </w:rPr>
        <w:t>五、依据不足假设</w:t>
      </w:r>
    </w:p>
    <w:p>
      <w:pPr>
        <w:keepNext w:val="0"/>
        <w:keepLines w:val="0"/>
        <w:pageBreakBefore w:val="0"/>
        <w:widowControl w:val="0"/>
        <w:kinsoku/>
        <w:wordWrap/>
        <w:overflowPunct/>
        <w:topLinePunct w:val="0"/>
        <w:autoSpaceDE/>
        <w:autoSpaceDN/>
        <w:bidi w:val="0"/>
        <w:spacing w:line="440" w:lineRule="exact"/>
        <w:ind w:firstLine="200"/>
        <w:textAlignment w:val="auto"/>
        <w:rPr>
          <w:rFonts w:ascii="仿宋_GB2312" w:eastAsia="仿宋_GB2312"/>
          <w:bCs/>
          <w:color w:val="000000"/>
          <w:sz w:val="28"/>
          <w:lang w:val="zh-CN"/>
        </w:rPr>
      </w:pPr>
      <w:r>
        <w:rPr>
          <w:rFonts w:hint="eastAsia" w:ascii="仿宋_GB2312" w:eastAsia="仿宋_GB2312"/>
          <w:bCs/>
          <w:color w:val="000000"/>
          <w:sz w:val="28"/>
          <w:lang w:val="zh-CN"/>
        </w:rPr>
        <w:t xml:space="preserve">   本次估价无依据不足事项，故估价报告无依据不足假设。</w:t>
      </w:r>
    </w:p>
    <w:p>
      <w:pPr>
        <w:pStyle w:val="2"/>
        <w:keepNext w:val="0"/>
        <w:keepLines w:val="0"/>
        <w:pageBreakBefore w:val="0"/>
        <w:widowControl w:val="0"/>
        <w:kinsoku/>
        <w:wordWrap/>
        <w:overflowPunct/>
        <w:topLinePunct w:val="0"/>
        <w:autoSpaceDE/>
        <w:autoSpaceDN/>
        <w:bidi w:val="0"/>
        <w:spacing w:line="440" w:lineRule="exact"/>
        <w:ind w:firstLine="0" w:firstLineChars="0"/>
        <w:jc w:val="both"/>
        <w:textAlignment w:val="auto"/>
        <w:rPr>
          <w:rFonts w:ascii="仿宋_GB2312"/>
          <w:color w:val="000000"/>
          <w:sz w:val="28"/>
          <w:szCs w:val="28"/>
        </w:rPr>
      </w:pPr>
      <w:bookmarkStart w:id="10" w:name="_Toc353790792"/>
      <w:bookmarkStart w:id="11" w:name="_Toc353790672"/>
      <w:bookmarkStart w:id="12" w:name="_Toc353790174"/>
      <w:bookmarkStart w:id="13" w:name="_Toc7947"/>
      <w:bookmarkStart w:id="14" w:name="_Toc423267913"/>
      <w:r>
        <w:rPr>
          <w:rFonts w:hint="eastAsia" w:ascii="仿宋_GB2312"/>
          <w:color w:val="000000"/>
          <w:sz w:val="28"/>
          <w:szCs w:val="28"/>
        </w:rPr>
        <w:t>六、</w:t>
      </w:r>
      <w:bookmarkEnd w:id="10"/>
      <w:bookmarkEnd w:id="11"/>
      <w:bookmarkEnd w:id="12"/>
      <w:bookmarkEnd w:id="13"/>
      <w:r>
        <w:rPr>
          <w:rFonts w:hint="eastAsia" w:ascii="仿宋_GB2312"/>
          <w:snapToGrid w:val="0"/>
          <w:kern w:val="0"/>
          <w:sz w:val="28"/>
          <w:szCs w:val="28"/>
        </w:rPr>
        <w:t>估价报告使用限制</w:t>
      </w:r>
    </w:p>
    <w:bookmarkEnd w:id="14"/>
    <w:p>
      <w:pPr>
        <w:pStyle w:val="2"/>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_GB2312"/>
          <w:b w:val="0"/>
          <w:color w:val="000000"/>
          <w:sz w:val="28"/>
          <w:lang w:val="zh-CN"/>
        </w:rPr>
      </w:pPr>
      <w:r>
        <w:rPr>
          <w:rFonts w:hint="eastAsia" w:ascii="仿宋_GB2312"/>
          <w:b w:val="0"/>
          <w:color w:val="000000"/>
          <w:sz w:val="28"/>
        </w:rPr>
        <w:t>1</w:t>
      </w:r>
      <w:r>
        <w:rPr>
          <w:rFonts w:hint="eastAsia" w:ascii="仿宋_GB2312"/>
          <w:b w:val="0"/>
          <w:color w:val="000000"/>
          <w:sz w:val="28"/>
          <w:lang w:val="zh-CN"/>
        </w:rPr>
        <w:t>、本估价报告使用期限为一年（自2022年8月22日至20</w:t>
      </w:r>
      <w:r>
        <w:rPr>
          <w:rFonts w:hint="eastAsia" w:ascii="仿宋_GB2312"/>
          <w:b w:val="0"/>
          <w:color w:val="000000"/>
          <w:sz w:val="28"/>
          <w:lang w:val="en-US" w:eastAsia="zh-CN"/>
        </w:rPr>
        <w:t>23</w:t>
      </w:r>
      <w:r>
        <w:rPr>
          <w:rFonts w:hint="eastAsia" w:ascii="仿宋_GB2312"/>
          <w:b w:val="0"/>
          <w:color w:val="000000"/>
          <w:sz w:val="28"/>
          <w:lang w:val="zh-CN"/>
        </w:rPr>
        <w:t>年</w:t>
      </w:r>
      <w:r>
        <w:rPr>
          <w:rFonts w:hint="eastAsia" w:ascii="仿宋_GB2312"/>
          <w:b w:val="0"/>
          <w:color w:val="000000"/>
          <w:sz w:val="28"/>
          <w:lang w:val="en-US" w:eastAsia="zh-CN"/>
        </w:rPr>
        <w:t>8</w:t>
      </w:r>
      <w:r>
        <w:rPr>
          <w:rFonts w:hint="eastAsia" w:ascii="仿宋_GB2312"/>
          <w:b w:val="0"/>
          <w:color w:val="000000"/>
          <w:sz w:val="28"/>
          <w:lang w:val="zh-CN"/>
        </w:rPr>
        <w:t>月</w:t>
      </w:r>
      <w:r>
        <w:rPr>
          <w:rFonts w:hint="eastAsia" w:ascii="仿宋_GB2312"/>
          <w:b w:val="0"/>
          <w:color w:val="000000"/>
          <w:sz w:val="28"/>
          <w:lang w:val="en-US" w:eastAsia="zh-CN"/>
        </w:rPr>
        <w:t>21</w:t>
      </w:r>
      <w:r>
        <w:rPr>
          <w:rFonts w:hint="eastAsia" w:ascii="仿宋_GB2312"/>
          <w:b w:val="0"/>
          <w:color w:val="000000"/>
          <w:sz w:val="28"/>
          <w:lang w:val="zh-CN"/>
        </w:rPr>
        <w:t>日止），如使用本估价结果的时间超过估价报告之有效期，本公司对应用此结果而对有关方面造成的损失不负任何责任。</w:t>
      </w:r>
    </w:p>
    <w:p>
      <w:pPr>
        <w:pStyle w:val="2"/>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_GB2312"/>
          <w:b w:val="0"/>
          <w:color w:val="000000"/>
          <w:sz w:val="28"/>
          <w:lang w:val="zh-CN"/>
        </w:rPr>
      </w:pPr>
      <w:r>
        <w:rPr>
          <w:rFonts w:hint="eastAsia" w:ascii="仿宋_GB2312"/>
          <w:b w:val="0"/>
          <w:color w:val="000000"/>
          <w:sz w:val="28"/>
        </w:rPr>
        <w:t>2</w:t>
      </w:r>
      <w:r>
        <w:rPr>
          <w:rFonts w:hint="eastAsia" w:ascii="仿宋_GB2312"/>
          <w:b w:val="0"/>
          <w:color w:val="000000"/>
          <w:sz w:val="28"/>
          <w:lang w:val="zh-CN"/>
        </w:rPr>
        <w:t>、在估价报告有效期内，如估价对象的质量及价格标准发生变化，并对估价对象价值产生明显影响时，不能直接使用本估价结果。</w:t>
      </w:r>
    </w:p>
    <w:p>
      <w:pPr>
        <w:pStyle w:val="2"/>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_GB2312"/>
          <w:b w:val="0"/>
          <w:color w:val="000000"/>
          <w:sz w:val="28"/>
          <w:lang w:val="zh-CN"/>
        </w:rPr>
      </w:pPr>
      <w:r>
        <w:rPr>
          <w:rFonts w:hint="eastAsia" w:ascii="仿宋_GB2312"/>
          <w:b w:val="0"/>
          <w:color w:val="000000"/>
          <w:sz w:val="28"/>
        </w:rPr>
        <w:t>3</w:t>
      </w:r>
      <w:r>
        <w:rPr>
          <w:rFonts w:hint="eastAsia" w:ascii="仿宋_GB2312"/>
          <w:b w:val="0"/>
          <w:color w:val="000000"/>
          <w:sz w:val="28"/>
          <w:lang w:val="zh-CN"/>
        </w:rPr>
        <w:t>、</w:t>
      </w:r>
      <w:r>
        <w:rPr>
          <w:rFonts w:hint="eastAsia" w:ascii="仿宋_GB2312"/>
          <w:b w:val="0"/>
          <w:bCs w:val="0"/>
          <w:color w:val="000000"/>
          <w:sz w:val="28"/>
          <w:lang w:val="zh-CN"/>
        </w:rPr>
        <w:t>估价人员对估价对象的现场查勘仅限于估价对象的外观和目前维护管理使用状况，尤其因提供资料有限，我们不承担对估价对象建筑结构质量、建筑面积数量准确性和相应权益的责任，也不承担其他被遮盖，未暴露及难于接触到的部分进行检视的责任。我们不承担对建筑结构质量进行调查的责任。</w:t>
      </w:r>
    </w:p>
    <w:p>
      <w:pPr>
        <w:pStyle w:val="2"/>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_GB2312"/>
          <w:b w:val="0"/>
          <w:color w:val="000000"/>
          <w:sz w:val="28"/>
          <w:lang w:val="zh-CN"/>
        </w:rPr>
      </w:pPr>
      <w:r>
        <w:rPr>
          <w:rFonts w:hint="eastAsia" w:ascii="仿宋_GB2312"/>
          <w:b w:val="0"/>
          <w:color w:val="000000"/>
          <w:sz w:val="28"/>
        </w:rPr>
        <w:t>4</w:t>
      </w:r>
      <w:r>
        <w:rPr>
          <w:rFonts w:hint="eastAsia" w:ascii="仿宋_GB2312"/>
          <w:b w:val="0"/>
          <w:color w:val="000000"/>
          <w:sz w:val="28"/>
          <w:lang w:val="zh-CN"/>
        </w:rPr>
        <w:t>、根据《最高人民法院关于人民法院民事执行中拍卖、变卖财产的规定》，当事人或者其他利害关系人对估价报告有异议的，可以在收到估价报告十日内以书面形式向人民法院提出，逾期视为认同。</w:t>
      </w:r>
    </w:p>
    <w:p>
      <w:pPr>
        <w:spacing w:line="440" w:lineRule="exact"/>
        <w:ind w:firstLine="560" w:firstLineChars="200"/>
        <w:rPr>
          <w:rFonts w:hint="eastAsia" w:ascii="仿宋_GB2312" w:hAnsi="仿宋" w:eastAsia="仿宋_GB2312"/>
          <w:snapToGrid w:val="0"/>
          <w:kern w:val="0"/>
          <w:sz w:val="28"/>
          <w:szCs w:val="28"/>
          <w:lang w:val="en-US" w:eastAsia="zh-CN"/>
        </w:rPr>
      </w:pPr>
      <w:r>
        <w:rPr>
          <w:rFonts w:hint="eastAsia" w:ascii="仿宋_GB2312" w:hAnsi="仿宋" w:eastAsia="仿宋_GB2312"/>
          <w:snapToGrid w:val="0"/>
          <w:kern w:val="0"/>
          <w:sz w:val="28"/>
          <w:szCs w:val="28"/>
        </w:rPr>
        <w:t>5</w:t>
      </w:r>
      <w:r>
        <w:rPr>
          <w:rFonts w:hint="eastAsia" w:ascii="仿宋_GB2312" w:hAnsi="仿宋" w:eastAsia="仿宋_GB2312"/>
          <w:snapToGrid w:val="0"/>
          <w:kern w:val="0"/>
          <w:sz w:val="28"/>
          <w:szCs w:val="28"/>
          <w:lang w:val="zh-CN"/>
        </w:rPr>
        <w:t>、本次估价，</w:t>
      </w:r>
      <w:r>
        <w:rPr>
          <w:rFonts w:hint="eastAsia" w:ascii="仿宋_GB2312" w:hAnsi="仿宋" w:eastAsia="仿宋_GB2312"/>
          <w:snapToGrid w:val="0"/>
          <w:kern w:val="0"/>
          <w:sz w:val="28"/>
          <w:szCs w:val="28"/>
        </w:rPr>
        <w:t>估价对象</w:t>
      </w:r>
      <w:r>
        <w:rPr>
          <w:rFonts w:hint="eastAsia" w:ascii="仿宋_GB2312" w:hAnsi="仿宋" w:eastAsia="仿宋_GB2312"/>
          <w:snapToGrid w:val="0"/>
          <w:kern w:val="0"/>
          <w:sz w:val="28"/>
          <w:szCs w:val="28"/>
          <w:lang w:eastAsia="zh-CN"/>
        </w:rPr>
        <w:t>物业费、</w:t>
      </w:r>
      <w:r>
        <w:rPr>
          <w:rFonts w:hint="eastAsia" w:ascii="仿宋_GB2312" w:hAnsi="仿宋" w:eastAsia="仿宋_GB2312"/>
          <w:snapToGrid w:val="0"/>
          <w:kern w:val="0"/>
          <w:sz w:val="28"/>
          <w:szCs w:val="28"/>
          <w:lang w:val="en-US" w:eastAsia="zh-CN"/>
        </w:rPr>
        <w:t>水、电、电信等费用</w:t>
      </w:r>
      <w:r>
        <w:rPr>
          <w:rFonts w:hint="eastAsia" w:ascii="仿宋_GB2312" w:hAnsi="仿宋" w:eastAsia="仿宋_GB2312"/>
          <w:snapToGrid w:val="0"/>
          <w:kern w:val="0"/>
          <w:sz w:val="28"/>
          <w:szCs w:val="28"/>
          <w:lang w:eastAsia="zh-CN"/>
        </w:rPr>
        <w:t>情况不详</w:t>
      </w:r>
      <w:r>
        <w:rPr>
          <w:rFonts w:hint="eastAsia" w:ascii="仿宋_GB2312" w:hAnsi="仿宋" w:eastAsia="仿宋_GB2312"/>
          <w:snapToGrid w:val="0"/>
          <w:kern w:val="0"/>
          <w:sz w:val="28"/>
          <w:szCs w:val="28"/>
          <w:lang w:val="en-US" w:eastAsia="zh-CN"/>
        </w:rPr>
        <w:t>，具体咨询物业公司，</w:t>
      </w:r>
      <w:r>
        <w:rPr>
          <w:rFonts w:hint="eastAsia" w:ascii="仿宋_GB2312" w:hAnsi="仿宋" w:eastAsia="仿宋_GB2312"/>
          <w:snapToGrid w:val="0"/>
          <w:kern w:val="0"/>
          <w:sz w:val="28"/>
          <w:szCs w:val="28"/>
          <w:lang w:val="zh-CN"/>
        </w:rPr>
        <w:t>请报告使用者予以注意。</w:t>
      </w:r>
    </w:p>
    <w:p>
      <w:pPr>
        <w:spacing w:line="440" w:lineRule="exact"/>
        <w:ind w:firstLine="560" w:firstLineChars="200"/>
        <w:rPr>
          <w:rFonts w:hint="eastAsia" w:ascii="仿宋_GB2312" w:hAnsi="仿宋" w:eastAsia="仿宋_GB2312"/>
          <w:snapToGrid w:val="0"/>
          <w:kern w:val="0"/>
          <w:sz w:val="28"/>
          <w:szCs w:val="28"/>
          <w:lang w:val="zh-CN"/>
        </w:rPr>
      </w:pPr>
      <w:r>
        <w:rPr>
          <w:rFonts w:hint="eastAsia" w:ascii="仿宋_GB2312" w:hAnsi="仿宋" w:eastAsia="仿宋_GB2312"/>
          <w:snapToGrid w:val="0"/>
          <w:kern w:val="0"/>
          <w:sz w:val="28"/>
          <w:szCs w:val="28"/>
          <w:lang w:val="en-US" w:eastAsia="zh-CN"/>
        </w:rPr>
        <w:t>6</w:t>
      </w:r>
      <w:r>
        <w:rPr>
          <w:rFonts w:hint="eastAsia" w:ascii="仿宋_GB2312" w:hAnsi="仿宋" w:eastAsia="仿宋_GB2312"/>
          <w:snapToGrid w:val="0"/>
          <w:kern w:val="0"/>
          <w:sz w:val="28"/>
          <w:szCs w:val="28"/>
          <w:lang w:val="zh-CN"/>
        </w:rPr>
        <w:t>、本次估价目的为</w:t>
      </w:r>
      <w:r>
        <w:rPr>
          <w:rFonts w:hint="eastAsia" w:ascii="仿宋_GB2312" w:hAnsi="仿宋" w:eastAsia="仿宋_GB2312"/>
          <w:snapToGrid w:val="0"/>
          <w:kern w:val="0"/>
          <w:sz w:val="28"/>
          <w:szCs w:val="28"/>
        </w:rPr>
        <w:t>委托方办理案件提供价格参考依据而评估房地产市场价值</w:t>
      </w:r>
      <w:r>
        <w:rPr>
          <w:rFonts w:hint="eastAsia" w:ascii="仿宋_GB2312" w:hAnsi="仿宋" w:eastAsia="仿宋_GB2312"/>
          <w:snapToGrid w:val="0"/>
          <w:kern w:val="0"/>
          <w:sz w:val="28"/>
          <w:szCs w:val="28"/>
          <w:lang w:val="zh-CN"/>
        </w:rPr>
        <w:t>，本报告仅对该估价目的负责，超出此范围使用本评估机构不负法律责任。</w:t>
      </w:r>
    </w:p>
    <w:p>
      <w:pPr>
        <w:spacing w:line="440" w:lineRule="exact"/>
        <w:ind w:firstLine="560" w:firstLineChars="200"/>
        <w:rPr>
          <w:rFonts w:hint="eastAsia" w:ascii="仿宋_GB2312"/>
          <w:b/>
          <w:color w:val="000000"/>
          <w:sz w:val="28"/>
        </w:rPr>
      </w:pPr>
      <w:r>
        <w:rPr>
          <w:rFonts w:hint="eastAsia" w:ascii="仿宋_GB2312" w:hAnsi="仿宋" w:eastAsia="仿宋_GB2312"/>
          <w:snapToGrid w:val="0"/>
          <w:kern w:val="0"/>
          <w:sz w:val="28"/>
          <w:szCs w:val="28"/>
          <w:lang w:val="en-US" w:eastAsia="zh-CN"/>
        </w:rPr>
        <w:t>7</w:t>
      </w:r>
      <w:r>
        <w:rPr>
          <w:rFonts w:hint="eastAsia" w:ascii="仿宋_GB2312"/>
          <w:b w:val="0"/>
          <w:bCs w:val="0"/>
          <w:color w:val="000000"/>
          <w:sz w:val="28"/>
          <w:lang w:val="en-US" w:eastAsia="zh-CN"/>
        </w:rPr>
        <w:t>、</w:t>
      </w:r>
      <w:r>
        <w:rPr>
          <w:rFonts w:hint="eastAsia" w:ascii="仿宋_GB2312" w:hAnsi="仿宋" w:eastAsia="仿宋_GB2312"/>
          <w:snapToGrid w:val="0"/>
          <w:kern w:val="0"/>
          <w:sz w:val="28"/>
          <w:szCs w:val="28"/>
          <w:lang w:val="zh-CN"/>
        </w:rPr>
        <w:t>本估价报告仅限于本估价目的之用，未经本估价机构同意，估价报告的全部或任何一部分内容不得使用于其它与本项目无关的任何公开文件、通告或报告中，也不得以任何形式公开发表。</w:t>
      </w:r>
    </w:p>
    <w:p>
      <w:pPr>
        <w:pStyle w:val="2"/>
        <w:ind w:firstLine="560" w:firstLineChars="200"/>
        <w:jc w:val="both"/>
        <w:rPr>
          <w:rFonts w:hint="eastAsia" w:ascii="仿宋_GB2312"/>
          <w:b w:val="0"/>
          <w:color w:val="000000"/>
          <w:sz w:val="28"/>
        </w:rPr>
      </w:pP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outlineLvl w:val="0"/>
        <w:rPr>
          <w:rFonts w:hint="eastAsia" w:ascii="仿宋_GB2312"/>
          <w:color w:val="000000"/>
          <w:sz w:val="44"/>
          <w:szCs w:val="44"/>
        </w:rPr>
      </w:pPr>
      <w:r>
        <w:rPr>
          <w:rFonts w:hint="eastAsia" w:ascii="仿宋_GB2312" w:hAnsi="仿宋_GB2312" w:cs="仿宋_GB2312"/>
          <w:color w:val="000000"/>
          <w:sz w:val="28"/>
          <w:szCs w:val="28"/>
          <w:shd w:val="clear" w:color="auto" w:fill="FFFF00"/>
        </w:rPr>
        <w:br w:type="page"/>
      </w:r>
      <w:bookmarkStart w:id="15" w:name="_Toc16791"/>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outlineLvl w:val="0"/>
        <w:rPr>
          <w:rFonts w:hint="eastAsia" w:ascii="仿宋_GB2312"/>
          <w:color w:val="000000"/>
          <w:sz w:val="44"/>
          <w:szCs w:val="44"/>
        </w:rPr>
      </w:pP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outlineLvl w:val="0"/>
        <w:rPr>
          <w:rFonts w:hint="eastAsia" w:ascii="仿宋_GB2312"/>
          <w:color w:val="000000"/>
          <w:sz w:val="28"/>
        </w:rPr>
      </w:pPr>
      <w:r>
        <w:rPr>
          <w:rFonts w:hint="eastAsia" w:ascii="仿宋_GB2312"/>
          <w:color w:val="000000"/>
          <w:sz w:val="44"/>
          <w:szCs w:val="44"/>
        </w:rPr>
        <w:t>估价结果报告</w:t>
      </w:r>
      <w:bookmarkEnd w:id="15"/>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outlineLvl w:val="1"/>
        <w:rPr>
          <w:rFonts w:hint="eastAsia" w:ascii="仿宋_GB2312"/>
          <w:color w:val="000000"/>
          <w:sz w:val="28"/>
        </w:rPr>
      </w:pPr>
      <w:bookmarkStart w:id="16" w:name="_Toc423267915"/>
      <w:bookmarkEnd w:id="16"/>
      <w:bookmarkStart w:id="17" w:name="_Toc27019"/>
      <w:bookmarkStart w:id="18" w:name="_Toc378491510"/>
      <w:r>
        <w:rPr>
          <w:rFonts w:hint="eastAsia" w:ascii="仿宋_GB2312"/>
          <w:color w:val="000000"/>
          <w:sz w:val="28"/>
        </w:rPr>
        <w:t>一、估价委托人</w:t>
      </w:r>
      <w:bookmarkEnd w:id="17"/>
      <w:bookmarkEnd w:id="18"/>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eastAsia="仿宋_GB2312"/>
          <w:b w:val="0"/>
          <w:bCs w:val="0"/>
          <w:color w:val="000000"/>
          <w:sz w:val="28"/>
          <w:lang w:eastAsia="zh-CN"/>
        </w:rPr>
      </w:pPr>
      <w:r>
        <w:rPr>
          <w:rFonts w:hint="eastAsia" w:ascii="仿宋_GB2312"/>
          <w:b w:val="0"/>
          <w:bCs w:val="0"/>
          <w:color w:val="000000"/>
          <w:sz w:val="28"/>
        </w:rPr>
        <w:t>单位名称：</w:t>
      </w:r>
      <w:r>
        <w:rPr>
          <w:rFonts w:hint="eastAsia" w:ascii="仿宋_GB2312"/>
          <w:b w:val="0"/>
          <w:bCs w:val="0"/>
          <w:color w:val="000000"/>
          <w:sz w:val="28"/>
          <w:lang w:eastAsia="zh-CN"/>
        </w:rPr>
        <w:t>宁波市鄞州区人民法院</w:t>
      </w:r>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b w:val="0"/>
          <w:bCs w:val="0"/>
          <w:color w:val="000000"/>
          <w:sz w:val="28"/>
        </w:rPr>
      </w:pPr>
      <w:r>
        <w:rPr>
          <w:rFonts w:hint="eastAsia" w:ascii="仿宋_GB2312"/>
          <w:b w:val="0"/>
          <w:bCs w:val="0"/>
          <w:color w:val="000000"/>
          <w:sz w:val="28"/>
        </w:rPr>
        <w:t>住    所：宁波市鄞州区惠风西路88号</w:t>
      </w: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outlineLvl w:val="1"/>
        <w:rPr>
          <w:rFonts w:hint="eastAsia" w:ascii="仿宋_GB2312"/>
          <w:color w:val="000000"/>
          <w:sz w:val="28"/>
        </w:rPr>
      </w:pPr>
      <w:bookmarkStart w:id="19" w:name="_Toc423267916"/>
      <w:bookmarkEnd w:id="19"/>
      <w:bookmarkStart w:id="20" w:name="_Toc378491511"/>
      <w:bookmarkStart w:id="21" w:name="_Toc20601"/>
      <w:r>
        <w:rPr>
          <w:rFonts w:hint="eastAsia" w:ascii="仿宋_GB2312"/>
          <w:color w:val="000000"/>
          <w:sz w:val="28"/>
        </w:rPr>
        <w:t>二、房地产估价机构</w:t>
      </w:r>
      <w:bookmarkEnd w:id="20"/>
      <w:bookmarkEnd w:id="21"/>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b w:val="0"/>
          <w:bCs w:val="0"/>
          <w:color w:val="000000"/>
          <w:sz w:val="28"/>
        </w:rPr>
      </w:pPr>
      <w:r>
        <w:rPr>
          <w:rFonts w:hint="eastAsia" w:ascii="仿宋_GB2312"/>
          <w:b w:val="0"/>
          <w:bCs w:val="0"/>
          <w:color w:val="000000"/>
          <w:sz w:val="28"/>
        </w:rPr>
        <w:t>估价机构全称：宁波市中博房地产估价有限公司</w:t>
      </w:r>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eastAsia="仿宋_GB2312"/>
          <w:b w:val="0"/>
          <w:bCs w:val="0"/>
          <w:color w:val="000000"/>
          <w:sz w:val="28"/>
          <w:lang w:eastAsia="zh-CN"/>
        </w:rPr>
      </w:pPr>
      <w:r>
        <w:rPr>
          <w:rFonts w:hint="eastAsia" w:ascii="仿宋_GB2312"/>
          <w:b w:val="0"/>
          <w:bCs w:val="0"/>
          <w:color w:val="000000"/>
          <w:sz w:val="28"/>
        </w:rPr>
        <w:t xml:space="preserve">法定代表人: </w:t>
      </w:r>
      <w:r>
        <w:rPr>
          <w:rFonts w:hint="eastAsia" w:ascii="仿宋_GB2312"/>
          <w:b w:val="0"/>
          <w:bCs w:val="0"/>
          <w:color w:val="000000"/>
          <w:sz w:val="28"/>
          <w:lang w:eastAsia="zh-CN"/>
        </w:rPr>
        <w:t>****</w:t>
      </w:r>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b w:val="0"/>
          <w:bCs w:val="0"/>
          <w:color w:val="000000"/>
          <w:sz w:val="28"/>
        </w:rPr>
      </w:pPr>
      <w:r>
        <w:rPr>
          <w:rFonts w:hint="eastAsia" w:ascii="仿宋_GB2312"/>
          <w:b w:val="0"/>
          <w:bCs w:val="0"/>
          <w:color w:val="000000"/>
          <w:sz w:val="28"/>
        </w:rPr>
        <w:t>住所：宁波市海曙区丽园北路668号美丽园大厦3F</w:t>
      </w:r>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b w:val="0"/>
          <w:bCs w:val="0"/>
          <w:color w:val="000000"/>
          <w:sz w:val="28"/>
        </w:rPr>
      </w:pPr>
      <w:r>
        <w:rPr>
          <w:rFonts w:hint="eastAsia" w:ascii="仿宋_GB2312"/>
          <w:b w:val="0"/>
          <w:bCs w:val="0"/>
          <w:color w:val="000000"/>
          <w:sz w:val="28"/>
        </w:rPr>
        <w:t>估价资质等级：</w:t>
      </w:r>
      <w:r>
        <w:rPr>
          <w:rFonts w:hint="eastAsia" w:ascii="仿宋_GB2312" w:hAnsi="仿宋_GB2312" w:cs="仿宋_GB2312"/>
          <w:b w:val="0"/>
          <w:color w:val="000000"/>
          <w:kern w:val="0"/>
          <w:sz w:val="28"/>
          <w:szCs w:val="28"/>
          <w:shd w:val="clear" w:color="auto" w:fill="FFFFFF"/>
        </w:rPr>
        <w:t>国家贰级</w:t>
      </w:r>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b w:val="0"/>
          <w:bCs w:val="0"/>
          <w:color w:val="000000"/>
          <w:sz w:val="28"/>
        </w:rPr>
      </w:pPr>
      <w:r>
        <w:rPr>
          <w:rFonts w:hint="eastAsia" w:ascii="仿宋_GB2312"/>
          <w:b w:val="0"/>
          <w:bCs w:val="0"/>
          <w:color w:val="000000"/>
          <w:sz w:val="28"/>
        </w:rPr>
        <w:t>证书编号：浙建房估证字[2006]012号</w:t>
      </w: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outlineLvl w:val="1"/>
        <w:rPr>
          <w:rFonts w:hint="eastAsia"/>
          <w:sz w:val="28"/>
        </w:rPr>
      </w:pPr>
      <w:bookmarkStart w:id="22" w:name="_Toc1405"/>
      <w:r>
        <w:rPr>
          <w:rFonts w:hint="eastAsia"/>
          <w:sz w:val="28"/>
        </w:rPr>
        <w:t>三、估价目的</w:t>
      </w:r>
      <w:bookmarkEnd w:id="22"/>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ascii="仿宋_GB2312" w:hAnsi="仿宋_GB2312" w:eastAsia="仿宋_GB2312" w:cs="仿宋_GB2312"/>
          <w:color w:val="000000"/>
          <w:sz w:val="28"/>
          <w:szCs w:val="28"/>
          <w:shd w:val="clear" w:color="auto" w:fill="FFFFFF"/>
        </w:rPr>
        <w:t>确定估价房地产的市场价格，为委托方办理案件提供价格参考依据</w:t>
      </w:r>
      <w:r>
        <w:rPr>
          <w:rFonts w:hint="eastAsia" w:eastAsia="仿宋_GB2312"/>
          <w:sz w:val="28"/>
        </w:rPr>
        <w:t>。</w:t>
      </w: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outlineLvl w:val="1"/>
        <w:rPr>
          <w:rFonts w:hint="eastAsia" w:ascii="仿宋_GB2312"/>
          <w:color w:val="000000"/>
          <w:sz w:val="28"/>
        </w:rPr>
      </w:pPr>
      <w:bookmarkStart w:id="23" w:name="_Toc22138"/>
      <w:r>
        <w:rPr>
          <w:rFonts w:hint="eastAsia" w:ascii="仿宋_GB2312"/>
          <w:color w:val="000000"/>
          <w:sz w:val="28"/>
        </w:rPr>
        <w:t>四、</w:t>
      </w:r>
      <w:bookmarkStart w:id="24" w:name="_Toc423267917"/>
      <w:r>
        <w:rPr>
          <w:rFonts w:hint="eastAsia" w:ascii="仿宋_GB2312"/>
          <w:color w:val="000000"/>
          <w:sz w:val="28"/>
        </w:rPr>
        <w:t>估价对象</w:t>
      </w:r>
      <w:bookmarkEnd w:id="23"/>
      <w:bookmarkEnd w:id="24"/>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 w:eastAsia="仿宋_GB2312" w:cs="新宋体-18030"/>
          <w:sz w:val="28"/>
          <w:szCs w:val="28"/>
        </w:rPr>
      </w:pPr>
      <w:bookmarkStart w:id="25" w:name="_Toc378491514"/>
      <w:bookmarkStart w:id="26" w:name="_Toc19220"/>
      <w:r>
        <w:rPr>
          <w:rFonts w:hint="eastAsia" w:ascii="仿宋_GB2312" w:hAnsi="仿宋" w:eastAsia="仿宋_GB2312" w:cs="新宋体-18030"/>
          <w:sz w:val="28"/>
          <w:szCs w:val="28"/>
        </w:rPr>
        <w:t>估价对象为位于</w:t>
      </w:r>
      <w:r>
        <w:rPr>
          <w:rFonts w:hint="eastAsia" w:ascii="仿宋_GB2312" w:hAnsi="仿宋" w:eastAsia="仿宋_GB2312" w:cs="新宋体-18030"/>
          <w:sz w:val="28"/>
          <w:szCs w:val="28"/>
          <w:lang w:eastAsia="zh-CN"/>
        </w:rPr>
        <w:t>宁波市海曙区西湾路137弄57号104.204室住宅</w:t>
      </w:r>
      <w:r>
        <w:rPr>
          <w:rFonts w:hint="eastAsia" w:ascii="仿宋_GB2312" w:hAnsi="仿宋" w:eastAsia="仿宋_GB2312" w:cs="新宋体-18030"/>
          <w:sz w:val="28"/>
          <w:szCs w:val="28"/>
        </w:rPr>
        <w:t>房地产，证载建筑面积</w:t>
      </w:r>
      <w:r>
        <w:rPr>
          <w:rFonts w:hint="eastAsia" w:ascii="仿宋_GB2312" w:hAnsi="仿宋" w:eastAsia="仿宋_GB2312" w:cs="新宋体-18030"/>
          <w:sz w:val="28"/>
          <w:szCs w:val="28"/>
          <w:lang w:val="en-US" w:eastAsia="zh-CN"/>
        </w:rPr>
        <w:t>148.56</w:t>
      </w:r>
      <w:r>
        <w:rPr>
          <w:rFonts w:hint="eastAsia" w:ascii="仿宋_GB2312" w:hAnsi="仿宋" w:eastAsia="仿宋_GB2312" w:cs="新宋体-18030"/>
          <w:sz w:val="28"/>
          <w:szCs w:val="28"/>
        </w:rPr>
        <w:t>平方米</w:t>
      </w:r>
      <w:r>
        <w:rPr>
          <w:rFonts w:hint="eastAsia" w:ascii="仿宋_GB2312" w:hAnsi="仿宋" w:eastAsia="仿宋_GB2312" w:cs="新宋体-18030"/>
          <w:sz w:val="28"/>
          <w:szCs w:val="28"/>
          <w:lang w:eastAsia="zh-CN"/>
        </w:rPr>
        <w:t>，土地使用权面积</w:t>
      </w:r>
      <w:r>
        <w:rPr>
          <w:rFonts w:hint="eastAsia" w:ascii="仿宋_GB2312" w:hAnsi="仿宋" w:eastAsia="仿宋_GB2312" w:cs="新宋体-18030"/>
          <w:sz w:val="28"/>
          <w:szCs w:val="28"/>
          <w:lang w:val="en-US" w:eastAsia="zh-CN"/>
        </w:rPr>
        <w:t>24.76平方米</w:t>
      </w:r>
      <w:r>
        <w:rPr>
          <w:rFonts w:hint="eastAsia" w:ascii="仿宋_GB2312" w:hAnsi="仿宋" w:eastAsia="仿宋_GB2312" w:cs="新宋体-18030"/>
          <w:sz w:val="28"/>
          <w:szCs w:val="28"/>
        </w:rPr>
        <w:t>。根据委托方要求，本次估价范围为</w:t>
      </w:r>
      <w:r>
        <w:rPr>
          <w:rFonts w:hint="eastAsia" w:ascii="仿宋_GB2312" w:hAnsi="仿宋" w:eastAsia="仿宋_GB2312" w:cs="新宋体-18030"/>
          <w:sz w:val="28"/>
          <w:szCs w:val="28"/>
          <w:lang w:eastAsia="zh-CN"/>
        </w:rPr>
        <w:t>宁波市海曙区西湾路137弄57号104.204室住宅</w:t>
      </w:r>
      <w:r>
        <w:rPr>
          <w:rFonts w:hint="eastAsia" w:ascii="仿宋_GB2312" w:hAnsi="仿宋" w:eastAsia="仿宋_GB2312" w:cs="新宋体-18030"/>
          <w:sz w:val="28"/>
          <w:szCs w:val="28"/>
        </w:rPr>
        <w:t>房地产</w:t>
      </w:r>
      <w:r>
        <w:rPr>
          <w:rFonts w:hint="eastAsia" w:ascii="仿宋_GB2312" w:hAnsi="仿宋" w:eastAsia="仿宋_GB2312" w:cs="新宋体-18030"/>
          <w:sz w:val="28"/>
          <w:szCs w:val="28"/>
          <w:lang w:eastAsia="zh-CN"/>
        </w:rPr>
        <w:t>，</w:t>
      </w:r>
      <w:r>
        <w:rPr>
          <w:rFonts w:hint="eastAsia" w:ascii="仿宋_GB2312" w:hAnsi="仿宋_GB2312" w:eastAsia="仿宋_GB2312" w:cs="仿宋_GB2312"/>
          <w:color w:val="000000"/>
          <w:sz w:val="28"/>
          <w:szCs w:val="28"/>
          <w:shd w:val="clear" w:color="auto" w:fill="FFFFFF"/>
          <w:lang w:val="en-US" w:eastAsia="zh-CN"/>
        </w:rPr>
        <w:t>包</w:t>
      </w:r>
      <w:r>
        <w:rPr>
          <w:rFonts w:hint="eastAsia" w:ascii="仿宋_GB2312" w:eastAsia="仿宋_GB2312" w:cs="仿宋_GB2312"/>
          <w:sz w:val="28"/>
          <w:szCs w:val="28"/>
          <w:lang w:val="zh-CN"/>
        </w:rPr>
        <w:t>含房地产不可分割的满足其使用功能的水、电等相关的辅助配套设施及室内固定装修装饰价值，不包含室内可移动物品价值</w:t>
      </w:r>
      <w:r>
        <w:rPr>
          <w:rFonts w:hint="eastAsia" w:ascii="仿宋_GB2312" w:hAnsi="仿宋_GB2312" w:eastAsia="仿宋_GB2312" w:cs="仿宋_GB2312"/>
          <w:color w:val="000000"/>
          <w:sz w:val="28"/>
          <w:szCs w:val="28"/>
          <w:shd w:val="clear" w:color="auto" w:fill="FFFFFF"/>
        </w:rPr>
        <w:t>。</w:t>
      </w:r>
    </w:p>
    <w:p>
      <w:pPr>
        <w:numPr>
          <w:ilvl w:val="0"/>
          <w:numId w:val="3"/>
        </w:numPr>
        <w:spacing w:line="440" w:lineRule="exact"/>
        <w:rPr>
          <w:rFonts w:hint="eastAsia" w:ascii="仿宋_GB2312" w:hAnsi="仿宋" w:eastAsia="仿宋_GB2312" w:cs="新宋体-18030"/>
          <w:sz w:val="28"/>
          <w:szCs w:val="28"/>
          <w:lang w:eastAsia="zh-CN"/>
        </w:rPr>
      </w:pPr>
      <w:r>
        <w:rPr>
          <w:rFonts w:hint="eastAsia" w:ascii="仿宋_GB2312" w:hAnsi="仿宋" w:eastAsia="仿宋_GB2312" w:cs="新宋体-18030"/>
          <w:sz w:val="28"/>
          <w:szCs w:val="28"/>
        </w:rPr>
        <w:t>房地产权益状况</w:t>
      </w:r>
    </w:p>
    <w:p>
      <w:pPr>
        <w:numPr>
          <w:ilvl w:val="0"/>
          <w:numId w:val="0"/>
        </w:numPr>
        <w:spacing w:line="440" w:lineRule="exact"/>
        <w:ind w:firstLine="560" w:firstLineChars="200"/>
        <w:rPr>
          <w:rFonts w:hint="eastAsia" w:ascii="仿宋_GB2312" w:hAnsi="仿宋" w:eastAsia="仿宋_GB2312" w:cs="新宋体-18030"/>
          <w:sz w:val="28"/>
          <w:szCs w:val="28"/>
          <w:lang w:eastAsia="zh-CN"/>
        </w:rPr>
      </w:pPr>
      <w:r>
        <w:rPr>
          <w:rFonts w:hint="eastAsia" w:ascii="仿宋_GB2312" w:hAnsi="仿宋" w:eastAsia="仿宋_GB2312" w:cs="新宋体-18030"/>
          <w:sz w:val="28"/>
          <w:szCs w:val="28"/>
          <w:lang w:eastAsia="zh-CN"/>
        </w:rPr>
        <w:t>（</w:t>
      </w:r>
      <w:r>
        <w:rPr>
          <w:rFonts w:hint="eastAsia" w:ascii="仿宋_GB2312" w:hAnsi="仿宋" w:eastAsia="仿宋_GB2312" w:cs="新宋体-18030"/>
          <w:sz w:val="28"/>
          <w:szCs w:val="28"/>
          <w:lang w:val="en-US" w:eastAsia="zh-CN"/>
        </w:rPr>
        <w:t>1</w:t>
      </w:r>
      <w:r>
        <w:rPr>
          <w:rFonts w:hint="eastAsia" w:ascii="仿宋_GB2312" w:hAnsi="仿宋" w:eastAsia="仿宋_GB2312" w:cs="新宋体-18030"/>
          <w:sz w:val="28"/>
          <w:szCs w:val="28"/>
          <w:lang w:eastAsia="zh-CN"/>
        </w:rPr>
        <w:t>）房屋登记状况</w:t>
      </w:r>
    </w:p>
    <w:tbl>
      <w:tblPr>
        <w:tblStyle w:val="11"/>
        <w:tblW w:w="875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4"/>
        <w:gridCol w:w="2256"/>
        <w:gridCol w:w="2385"/>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74" w:type="dxa"/>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rPr>
              <w:t>房屋所有权证号</w:t>
            </w:r>
          </w:p>
        </w:tc>
        <w:tc>
          <w:tcPr>
            <w:tcW w:w="6585" w:type="dxa"/>
            <w:gridSpan w:val="3"/>
            <w:vAlign w:val="center"/>
          </w:tcPr>
          <w:p>
            <w:pPr>
              <w:widowControl/>
              <w:spacing w:line="400" w:lineRule="exact"/>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lang w:val="en-US" w:eastAsia="zh-CN" w:bidi="ar-SA"/>
              </w:rPr>
              <w:t>甬房权证海曙字第20130018552号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74" w:type="dxa"/>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rPr>
            </w:pPr>
            <w:r>
              <w:rPr>
                <w:rFonts w:hint="eastAsia" w:ascii="仿宋_GB2312" w:hAnsi="宋体" w:eastAsia="仿宋_GB2312" w:cs="宋体"/>
                <w:kern w:val="0"/>
                <w:sz w:val="24"/>
              </w:rPr>
              <w:t>房屋所有权人</w:t>
            </w:r>
          </w:p>
        </w:tc>
        <w:tc>
          <w:tcPr>
            <w:tcW w:w="6585" w:type="dxa"/>
            <w:gridSpan w:val="3"/>
            <w:vAlign w:val="center"/>
          </w:tcPr>
          <w:p>
            <w:pPr>
              <w:widowControl/>
              <w:spacing w:line="400" w:lineRule="exac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74" w:type="dxa"/>
            <w:tcBorders>
              <w:bottom w:val="single" w:color="auto" w:sz="4" w:space="0"/>
            </w:tcBorders>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共有情况</w:t>
            </w:r>
          </w:p>
        </w:tc>
        <w:tc>
          <w:tcPr>
            <w:tcW w:w="6585" w:type="dxa"/>
            <w:gridSpan w:val="3"/>
            <w:tcBorders>
              <w:bottom w:val="single" w:color="auto" w:sz="4" w:space="0"/>
            </w:tcBorders>
            <w:vAlign w:val="center"/>
          </w:tcPr>
          <w:p>
            <w:pPr>
              <w:widowControl/>
              <w:spacing w:line="40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7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rPr>
            </w:pPr>
            <w:r>
              <w:rPr>
                <w:rFonts w:hint="eastAsia" w:ascii="仿宋_GB2312" w:hAnsi="宋体" w:eastAsia="仿宋_GB2312" w:cs="宋体"/>
                <w:kern w:val="0"/>
                <w:sz w:val="24"/>
              </w:rPr>
              <w:t>房屋座落</w:t>
            </w:r>
          </w:p>
        </w:tc>
        <w:tc>
          <w:tcPr>
            <w:tcW w:w="658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仿宋_GB2312" w:hAnsi="宋体" w:eastAsia="仿宋_GB2312"/>
                <w:kern w:val="0"/>
                <w:sz w:val="24"/>
                <w:lang w:val="en-US" w:eastAsia="zh-CN"/>
              </w:rPr>
            </w:pPr>
            <w:r>
              <w:rPr>
                <w:rFonts w:hint="default" w:ascii="仿宋_GB2312" w:hAnsi="宋体" w:eastAsia="仿宋_GB2312"/>
                <w:kern w:val="0"/>
                <w:sz w:val="24"/>
                <w:lang w:val="en-US" w:eastAsia="zh-CN"/>
              </w:rPr>
              <w:t>西湾路137弄57号104.204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7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登记时间</w:t>
            </w:r>
          </w:p>
        </w:tc>
        <w:tc>
          <w:tcPr>
            <w:tcW w:w="658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val="en-US" w:eastAsia="zh-CN"/>
              </w:rPr>
              <w:t>2013年03月18日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174" w:type="dxa"/>
            <w:vAlign w:val="center"/>
          </w:tcPr>
          <w:p>
            <w:pPr>
              <w:widowControl/>
              <w:spacing w:line="400" w:lineRule="exac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规划用途</w:t>
            </w:r>
          </w:p>
        </w:tc>
        <w:tc>
          <w:tcPr>
            <w:tcW w:w="2256" w:type="dxa"/>
            <w:vAlign w:val="center"/>
          </w:tcPr>
          <w:p>
            <w:pPr>
              <w:widowControl/>
              <w:spacing w:line="40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住宅</w:t>
            </w:r>
          </w:p>
        </w:tc>
        <w:tc>
          <w:tcPr>
            <w:tcW w:w="2385" w:type="dxa"/>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总层数</w:t>
            </w:r>
          </w:p>
        </w:tc>
        <w:tc>
          <w:tcPr>
            <w:tcW w:w="1944" w:type="dxa"/>
            <w:tcBorders>
              <w:top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174" w:type="dxa"/>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rPr>
              <w:t>建筑面积(m</w:t>
            </w:r>
            <w:r>
              <w:rPr>
                <w:rFonts w:hint="eastAsia" w:ascii="仿宋_GB2312" w:hAnsi="宋体" w:eastAsia="仿宋_GB2312" w:cs="宋体"/>
                <w:kern w:val="0"/>
                <w:sz w:val="24"/>
                <w:vertAlign w:val="superscript"/>
              </w:rPr>
              <w:t>2</w:t>
            </w:r>
            <w:r>
              <w:rPr>
                <w:rFonts w:hint="eastAsia" w:ascii="仿宋_GB2312" w:hAnsi="宋体" w:eastAsia="仿宋_GB2312" w:cs="宋体"/>
                <w:kern w:val="0"/>
                <w:sz w:val="24"/>
              </w:rPr>
              <w:t>)</w:t>
            </w:r>
          </w:p>
        </w:tc>
        <w:tc>
          <w:tcPr>
            <w:tcW w:w="2256" w:type="dxa"/>
            <w:vAlign w:val="center"/>
          </w:tcPr>
          <w:p>
            <w:pPr>
              <w:widowControl/>
              <w:spacing w:line="40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148.56</w:t>
            </w:r>
          </w:p>
        </w:tc>
        <w:tc>
          <w:tcPr>
            <w:tcW w:w="2385" w:type="dxa"/>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套内</w:t>
            </w:r>
            <w:r>
              <w:rPr>
                <w:rFonts w:hint="eastAsia" w:ascii="仿宋_GB2312" w:hAnsi="宋体" w:eastAsia="仿宋_GB2312" w:cs="宋体"/>
                <w:kern w:val="0"/>
                <w:sz w:val="24"/>
              </w:rPr>
              <w:t>建筑面积(m</w:t>
            </w:r>
            <w:r>
              <w:rPr>
                <w:rFonts w:hint="eastAsia" w:ascii="仿宋_GB2312" w:hAnsi="宋体" w:eastAsia="仿宋_GB2312" w:cs="宋体"/>
                <w:kern w:val="0"/>
                <w:sz w:val="24"/>
                <w:vertAlign w:val="superscript"/>
              </w:rPr>
              <w:t>2</w:t>
            </w:r>
            <w:r>
              <w:rPr>
                <w:rFonts w:hint="eastAsia" w:ascii="仿宋_GB2312" w:hAnsi="宋体" w:eastAsia="仿宋_GB2312" w:cs="宋体"/>
                <w:kern w:val="0"/>
                <w:sz w:val="24"/>
              </w:rPr>
              <w:t>)</w:t>
            </w:r>
          </w:p>
        </w:tc>
        <w:tc>
          <w:tcPr>
            <w:tcW w:w="1944" w:type="dxa"/>
            <w:tcBorders>
              <w:top w:val="single" w:color="auto" w:sz="4" w:space="0"/>
              <w:bottom w:val="single" w:color="auto" w:sz="4" w:space="0"/>
              <w:right w:val="single" w:color="auto" w:sz="4" w:space="0"/>
            </w:tcBorders>
            <w:vAlign w:val="center"/>
          </w:tcPr>
          <w:p>
            <w:pPr>
              <w:widowControl/>
              <w:spacing w:line="40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135.69</w:t>
            </w:r>
          </w:p>
        </w:tc>
      </w:tr>
    </w:tbl>
    <w:p>
      <w:pPr>
        <w:numPr>
          <w:ilvl w:val="0"/>
          <w:numId w:val="0"/>
        </w:numPr>
        <w:spacing w:line="440" w:lineRule="exact"/>
        <w:ind w:firstLine="560" w:firstLineChars="200"/>
        <w:rPr>
          <w:rFonts w:hint="eastAsia" w:ascii="仿宋_GB2312" w:hAnsi="仿宋" w:eastAsia="仿宋_GB2312" w:cs="新宋体-18030"/>
          <w:sz w:val="28"/>
          <w:szCs w:val="28"/>
        </w:rPr>
      </w:pPr>
      <w:r>
        <w:rPr>
          <w:rFonts w:hint="eastAsia" w:ascii="仿宋_GB2312" w:hAnsi="仿宋" w:eastAsia="仿宋_GB2312" w:cs="新宋体-18030"/>
          <w:sz w:val="28"/>
          <w:szCs w:val="28"/>
          <w:lang w:eastAsia="zh-CN"/>
        </w:rPr>
        <w:t>（</w:t>
      </w:r>
      <w:r>
        <w:rPr>
          <w:rFonts w:hint="eastAsia" w:ascii="仿宋_GB2312" w:hAnsi="仿宋" w:eastAsia="仿宋_GB2312" w:cs="新宋体-18030"/>
          <w:sz w:val="28"/>
          <w:szCs w:val="28"/>
          <w:lang w:val="en-US" w:eastAsia="zh-CN"/>
        </w:rPr>
        <w:t>2</w:t>
      </w:r>
      <w:r>
        <w:rPr>
          <w:rFonts w:hint="eastAsia" w:ascii="仿宋_GB2312" w:hAnsi="仿宋" w:eastAsia="仿宋_GB2312" w:cs="新宋体-18030"/>
          <w:sz w:val="28"/>
          <w:szCs w:val="28"/>
          <w:lang w:eastAsia="zh-CN"/>
        </w:rPr>
        <w:t>）</w:t>
      </w:r>
      <w:r>
        <w:rPr>
          <w:rFonts w:hint="eastAsia" w:ascii="仿宋_GB2312" w:hAnsi="仿宋" w:eastAsia="仿宋_GB2312" w:cs="新宋体-18030"/>
          <w:sz w:val="28"/>
          <w:szCs w:val="28"/>
        </w:rPr>
        <w:t>土地登记状况</w:t>
      </w:r>
    </w:p>
    <w:tbl>
      <w:tblPr>
        <w:tblStyle w:val="11"/>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2559"/>
        <w:gridCol w:w="1845"/>
        <w:gridCol w:w="2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2100" w:type="dxa"/>
            <w:vAlign w:val="center"/>
          </w:tcPr>
          <w:p>
            <w:pPr>
              <w:widowControl/>
              <w:spacing w:line="440" w:lineRule="exact"/>
              <w:ind w:left="0" w:leftChars="0" w:right="0" w:rightChars="0" w:firstLine="0" w:firstLineChars="0"/>
              <w:jc w:val="center"/>
              <w:rPr>
                <w:rFonts w:hint="eastAsia" w:ascii="仿宋_GB2312" w:hAnsi="宋体" w:eastAsia="仿宋_GB2312" w:cs="宋体"/>
                <w:kern w:val="0"/>
                <w:sz w:val="24"/>
              </w:rPr>
            </w:pPr>
            <w:r>
              <w:rPr>
                <w:rFonts w:hint="eastAsia" w:ascii="仿宋_GB2312" w:hAnsi="宋体" w:eastAsia="仿宋_GB2312" w:cs="宋体"/>
                <w:kern w:val="0"/>
                <w:sz w:val="24"/>
              </w:rPr>
              <w:t>土地使用权证号</w:t>
            </w:r>
          </w:p>
        </w:tc>
        <w:tc>
          <w:tcPr>
            <w:tcW w:w="6689" w:type="dxa"/>
            <w:gridSpan w:val="3"/>
            <w:vAlign w:val="center"/>
          </w:tcPr>
          <w:p>
            <w:pPr>
              <w:widowControl/>
              <w:spacing w:line="440" w:lineRule="exac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甬国用（2013）第0100551号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00" w:type="dxa"/>
            <w:vAlign w:val="center"/>
          </w:tcPr>
          <w:p>
            <w:pPr>
              <w:widowControl/>
              <w:spacing w:line="440" w:lineRule="exact"/>
              <w:ind w:left="0" w:leftChars="0" w:right="0" w:rightChars="0" w:firstLine="0" w:firstLineChars="0"/>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rPr>
              <w:t>土地使用</w:t>
            </w:r>
            <w:r>
              <w:rPr>
                <w:rFonts w:hint="eastAsia" w:ascii="仿宋_GB2312" w:hAnsi="宋体" w:eastAsia="仿宋_GB2312" w:cs="宋体"/>
                <w:kern w:val="0"/>
                <w:sz w:val="24"/>
                <w:lang w:eastAsia="zh-CN"/>
              </w:rPr>
              <w:t>者</w:t>
            </w:r>
          </w:p>
        </w:tc>
        <w:tc>
          <w:tcPr>
            <w:tcW w:w="6689" w:type="dxa"/>
            <w:gridSpan w:val="3"/>
            <w:vAlign w:val="center"/>
          </w:tcPr>
          <w:p>
            <w:pPr>
              <w:widowControl/>
              <w:spacing w:line="440" w:lineRule="exac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00" w:type="dxa"/>
            <w:vAlign w:val="center"/>
          </w:tcPr>
          <w:p>
            <w:pPr>
              <w:widowControl/>
              <w:spacing w:line="440" w:lineRule="exact"/>
              <w:ind w:left="0" w:leftChars="0" w:right="0" w:rightChars="0" w:firstLine="0" w:firstLineChars="0"/>
              <w:jc w:val="center"/>
              <w:rPr>
                <w:rFonts w:hint="eastAsia" w:ascii="仿宋_GB2312" w:hAnsi="宋体" w:eastAsia="仿宋_GB2312" w:cs="宋体"/>
                <w:kern w:val="0"/>
                <w:sz w:val="24"/>
              </w:rPr>
            </w:pPr>
            <w:r>
              <w:rPr>
                <w:rFonts w:hint="eastAsia" w:ascii="仿宋_GB2312" w:hAnsi="宋体" w:eastAsia="仿宋_GB2312" w:cs="宋体"/>
                <w:kern w:val="0"/>
                <w:sz w:val="24"/>
              </w:rPr>
              <w:t>座落</w:t>
            </w:r>
          </w:p>
        </w:tc>
        <w:tc>
          <w:tcPr>
            <w:tcW w:w="6689" w:type="dxa"/>
            <w:gridSpan w:val="3"/>
            <w:vAlign w:val="center"/>
          </w:tcPr>
          <w:p>
            <w:pPr>
              <w:widowControl/>
              <w:spacing w:line="440" w:lineRule="exact"/>
              <w:jc w:val="center"/>
              <w:rPr>
                <w:rFonts w:hint="eastAsia" w:ascii="仿宋_GB2312" w:hAnsi="宋体" w:eastAsia="仿宋_GB2312" w:cs="宋体"/>
                <w:kern w:val="0"/>
                <w:sz w:val="24"/>
                <w:lang w:val="en-US" w:eastAsia="zh-CN"/>
              </w:rPr>
            </w:pPr>
            <w:r>
              <w:rPr>
                <w:rFonts w:hint="default" w:ascii="仿宋_GB2312" w:hAnsi="宋体" w:eastAsia="仿宋_GB2312"/>
                <w:kern w:val="0"/>
                <w:sz w:val="24"/>
                <w:lang w:val="en-US" w:eastAsia="zh-CN"/>
              </w:rPr>
              <w:t>西湾路137弄57号104</w:t>
            </w:r>
            <w:r>
              <w:rPr>
                <w:rFonts w:hint="eastAsia" w:ascii="仿宋_GB2312" w:hAnsi="宋体" w:eastAsia="仿宋_GB2312"/>
                <w:kern w:val="0"/>
                <w:sz w:val="24"/>
                <w:lang w:val="en-US" w:eastAsia="zh-CN"/>
              </w:rPr>
              <w:t>室，</w:t>
            </w:r>
            <w:r>
              <w:rPr>
                <w:rFonts w:hint="default" w:ascii="仿宋_GB2312" w:hAnsi="宋体" w:eastAsia="仿宋_GB2312"/>
                <w:kern w:val="0"/>
                <w:sz w:val="24"/>
                <w:lang w:val="en-US" w:eastAsia="zh-CN"/>
              </w:rPr>
              <w:t>204</w:t>
            </w:r>
            <w:r>
              <w:rPr>
                <w:rFonts w:hint="eastAsia" w:ascii="仿宋_GB2312" w:hAnsi="宋体" w:eastAsia="仿宋_GB2312"/>
                <w:kern w:val="0"/>
                <w:sz w:val="24"/>
                <w:lang w:val="en-US" w:eastAsia="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100" w:type="dxa"/>
            <w:vAlign w:val="center"/>
          </w:tcPr>
          <w:p>
            <w:pPr>
              <w:widowControl/>
              <w:spacing w:line="440" w:lineRule="exact"/>
              <w:ind w:left="0" w:leftChars="0" w:right="0" w:rightChars="0" w:firstLine="0" w:firstLineChars="0"/>
              <w:jc w:val="center"/>
              <w:rPr>
                <w:rFonts w:hint="eastAsia" w:ascii="仿宋_GB2312" w:hAnsi="宋体" w:eastAsia="仿宋_GB2312" w:cs="宋体"/>
                <w:kern w:val="0"/>
                <w:sz w:val="24"/>
                <w:lang w:val="en-US" w:eastAsia="zh-CN"/>
              </w:rPr>
            </w:pPr>
            <w:r>
              <w:rPr>
                <w:rFonts w:hint="eastAsia" w:ascii="仿宋_GB2312" w:hAnsi="宋体" w:eastAsia="仿宋_GB2312"/>
                <w:sz w:val="24"/>
              </w:rPr>
              <w:t>用途</w:t>
            </w:r>
          </w:p>
        </w:tc>
        <w:tc>
          <w:tcPr>
            <w:tcW w:w="2559" w:type="dxa"/>
            <w:vAlign w:val="center"/>
          </w:tcPr>
          <w:p>
            <w:pPr>
              <w:widowControl/>
              <w:spacing w:line="440" w:lineRule="exac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val="en-US" w:eastAsia="zh-CN"/>
              </w:rPr>
              <w:t>住宅用地</w:t>
            </w:r>
          </w:p>
        </w:tc>
        <w:tc>
          <w:tcPr>
            <w:tcW w:w="1845" w:type="dxa"/>
            <w:vAlign w:val="center"/>
          </w:tcPr>
          <w:p>
            <w:pPr>
              <w:widowControl/>
              <w:spacing w:line="440" w:lineRule="exact"/>
              <w:rPr>
                <w:rFonts w:hint="eastAsia" w:ascii="仿宋_GB2312" w:hAnsi="宋体" w:eastAsia="仿宋_GB2312" w:cs="宋体"/>
                <w:kern w:val="0"/>
                <w:sz w:val="24"/>
              </w:rPr>
            </w:pPr>
            <w:r>
              <w:rPr>
                <w:rFonts w:hint="eastAsia" w:ascii="仿宋_GB2312" w:hAnsi="宋体" w:eastAsia="仿宋_GB2312" w:cs="宋体"/>
                <w:kern w:val="0"/>
                <w:sz w:val="24"/>
              </w:rPr>
              <w:t>使用权面积(m</w:t>
            </w:r>
            <w:r>
              <w:rPr>
                <w:rFonts w:hint="eastAsia" w:ascii="仿宋_GB2312" w:hAnsi="宋体" w:eastAsia="仿宋_GB2312" w:cs="宋体"/>
                <w:kern w:val="0"/>
                <w:sz w:val="24"/>
                <w:vertAlign w:val="superscript"/>
              </w:rPr>
              <w:t>2</w:t>
            </w:r>
            <w:r>
              <w:rPr>
                <w:rFonts w:hint="eastAsia" w:ascii="仿宋_GB2312" w:hAnsi="宋体" w:eastAsia="仿宋_GB2312" w:cs="宋体"/>
                <w:kern w:val="0"/>
                <w:sz w:val="24"/>
              </w:rPr>
              <w:t>)</w:t>
            </w:r>
          </w:p>
        </w:tc>
        <w:tc>
          <w:tcPr>
            <w:tcW w:w="2285" w:type="dxa"/>
            <w:vAlign w:val="center"/>
          </w:tcPr>
          <w:p>
            <w:pPr>
              <w:widowControl/>
              <w:spacing w:line="4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00" w:type="dxa"/>
            <w:vAlign w:val="center"/>
          </w:tcPr>
          <w:p>
            <w:pPr>
              <w:widowControl/>
              <w:spacing w:line="440" w:lineRule="exact"/>
              <w:ind w:left="0" w:leftChars="0" w:right="0" w:rightChars="0" w:firstLine="0" w:firstLineChars="0"/>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使用权类型</w:t>
            </w:r>
          </w:p>
        </w:tc>
        <w:tc>
          <w:tcPr>
            <w:tcW w:w="2559" w:type="dxa"/>
            <w:vAlign w:val="center"/>
          </w:tcPr>
          <w:p>
            <w:pPr>
              <w:widowControl/>
              <w:spacing w:line="440" w:lineRule="exact"/>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val="en-US" w:eastAsia="zh-CN"/>
              </w:rPr>
              <w:t>出让</w:t>
            </w:r>
          </w:p>
        </w:tc>
        <w:tc>
          <w:tcPr>
            <w:tcW w:w="1845" w:type="dxa"/>
            <w:vAlign w:val="center"/>
          </w:tcPr>
          <w:p>
            <w:pPr>
              <w:widowControl/>
              <w:spacing w:line="440" w:lineRule="exact"/>
              <w:ind w:left="0" w:leftChars="0" w:right="0" w:rightChars="0" w:firstLine="0" w:firstLineChars="0"/>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终止</w:t>
            </w:r>
            <w:r>
              <w:rPr>
                <w:rFonts w:hint="eastAsia" w:ascii="仿宋_GB2312" w:hAnsi="宋体" w:eastAsia="仿宋_GB2312" w:cs="宋体"/>
                <w:kern w:val="0"/>
                <w:sz w:val="24"/>
              </w:rPr>
              <w:t>日期</w:t>
            </w:r>
          </w:p>
        </w:tc>
        <w:tc>
          <w:tcPr>
            <w:tcW w:w="2285" w:type="dxa"/>
            <w:vAlign w:val="center"/>
          </w:tcPr>
          <w:p>
            <w:pPr>
              <w:widowControl/>
              <w:spacing w:line="440" w:lineRule="exact"/>
              <w:jc w:val="center"/>
              <w:rPr>
                <w:rFonts w:hint="default" w:ascii="仿宋_GB2312" w:hAnsi="宋体" w:eastAsia="仿宋_GB2312" w:cs="宋体"/>
                <w:kern w:val="0"/>
                <w:sz w:val="24"/>
                <w:szCs w:val="24"/>
                <w:lang w:val="en-US" w:eastAsia="zh-CN" w:bidi="ar-SA"/>
              </w:rPr>
            </w:pPr>
            <w:r>
              <w:rPr>
                <w:rFonts w:hint="eastAsia" w:ascii="仿宋_GB2312" w:hAnsi="宋体" w:eastAsia="仿宋_GB2312" w:cs="宋体"/>
                <w:kern w:val="0"/>
                <w:sz w:val="24"/>
                <w:lang w:val="en-US" w:eastAsia="zh-CN"/>
              </w:rPr>
              <w:t>2064年10月18日</w:t>
            </w:r>
          </w:p>
        </w:tc>
      </w:tr>
    </w:tbl>
    <w:p>
      <w:pPr>
        <w:keepNext w:val="0"/>
        <w:keepLines w:val="0"/>
        <w:pageBreakBefore w:val="0"/>
        <w:numPr>
          <w:ilvl w:val="0"/>
          <w:numId w:val="0"/>
        </w:numPr>
        <w:kinsoku/>
        <w:wordWrap/>
        <w:overflowPunct/>
        <w:topLinePunct w:val="0"/>
        <w:autoSpaceDE/>
        <w:autoSpaceDN/>
        <w:bidi w:val="0"/>
        <w:adjustRightInd/>
        <w:snapToGrid w:val="0"/>
        <w:spacing w:line="440" w:lineRule="exact"/>
        <w:ind w:leftChars="200"/>
        <w:textAlignment w:val="auto"/>
        <w:outlineLvl w:val="9"/>
        <w:rPr>
          <w:rFonts w:hint="eastAsia" w:ascii="仿宋_GB2312" w:hAnsi="仿宋" w:eastAsia="仿宋_GB2312" w:cs="新宋体-18030"/>
          <w:color w:val="auto"/>
          <w:sz w:val="28"/>
          <w:szCs w:val="28"/>
          <w:lang w:val="en-US" w:eastAsia="zh-CN"/>
        </w:rPr>
      </w:pPr>
      <w:r>
        <w:rPr>
          <w:rFonts w:hint="eastAsia" w:ascii="仿宋_GB2312" w:hAnsi="仿宋" w:eastAsia="仿宋_GB2312" w:cs="新宋体-18030"/>
          <w:color w:val="auto"/>
          <w:sz w:val="28"/>
          <w:szCs w:val="28"/>
          <w:lang w:eastAsia="zh-CN"/>
        </w:rPr>
        <w:t>（</w:t>
      </w:r>
      <w:r>
        <w:rPr>
          <w:rFonts w:hint="eastAsia" w:ascii="仿宋_GB2312" w:hAnsi="仿宋" w:eastAsia="仿宋_GB2312" w:cs="新宋体-18030"/>
          <w:color w:val="auto"/>
          <w:sz w:val="28"/>
          <w:szCs w:val="28"/>
          <w:lang w:val="en-US" w:eastAsia="zh-CN"/>
        </w:rPr>
        <w:t>3</w:t>
      </w:r>
      <w:r>
        <w:rPr>
          <w:rFonts w:hint="eastAsia" w:ascii="仿宋_GB2312" w:hAnsi="仿宋" w:eastAsia="仿宋_GB2312" w:cs="新宋体-18030"/>
          <w:color w:val="auto"/>
          <w:sz w:val="28"/>
          <w:szCs w:val="28"/>
          <w:lang w:eastAsia="zh-CN"/>
        </w:rPr>
        <w:t>）其他权益</w:t>
      </w:r>
      <w:r>
        <w:rPr>
          <w:rFonts w:hint="eastAsia" w:ascii="仿宋_GB2312" w:hAnsi="仿宋" w:eastAsia="仿宋_GB2312" w:cs="新宋体-18030"/>
          <w:color w:val="auto"/>
          <w:sz w:val="28"/>
          <w:szCs w:val="28"/>
        </w:rPr>
        <w:t>状况</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eastAsia" w:ascii="仿宋_GB2312" w:hAnsi="仿宋" w:eastAsia="仿宋_GB2312" w:cs="新宋体-18030"/>
          <w:color w:val="auto"/>
          <w:sz w:val="28"/>
          <w:szCs w:val="28"/>
          <w:lang w:val="en-US" w:eastAsia="zh-CN"/>
        </w:rPr>
      </w:pPr>
      <w:r>
        <w:rPr>
          <w:rFonts w:hint="eastAsia" w:ascii="仿宋_GB2312" w:hAnsi="仿宋" w:eastAsia="仿宋_GB2312" w:cs="新宋体-18030"/>
          <w:color w:val="auto"/>
          <w:sz w:val="28"/>
          <w:szCs w:val="28"/>
          <w:lang w:val="en-US" w:eastAsia="zh-CN"/>
        </w:rPr>
        <w:t>抵押查封情况：房产：有查封，有抵押；宗地：有查封，有抵押。</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eastAsia" w:ascii="仿宋_GB2312" w:hAnsi="华文中宋" w:eastAsia="仿宋_GB2312"/>
          <w:color w:val="auto"/>
          <w:sz w:val="28"/>
          <w:szCs w:val="28"/>
          <w:lang w:eastAsia="zh-CN"/>
        </w:rPr>
      </w:pPr>
      <w:r>
        <w:rPr>
          <w:rFonts w:hint="eastAsia" w:ascii="仿宋_GB2312" w:hAnsi="华文中宋" w:eastAsia="仿宋_GB2312"/>
          <w:color w:val="auto"/>
          <w:sz w:val="28"/>
          <w:szCs w:val="28"/>
          <w:lang w:eastAsia="zh-CN"/>
        </w:rPr>
        <w:t>（</w:t>
      </w:r>
      <w:r>
        <w:rPr>
          <w:rFonts w:hint="eastAsia" w:ascii="仿宋_GB2312" w:hAnsi="华文中宋" w:eastAsia="仿宋_GB2312"/>
          <w:color w:val="auto"/>
          <w:sz w:val="28"/>
          <w:szCs w:val="28"/>
          <w:lang w:val="en-US" w:eastAsia="zh-CN"/>
        </w:rPr>
        <w:t>4</w:t>
      </w:r>
      <w:r>
        <w:rPr>
          <w:rFonts w:hint="eastAsia" w:ascii="仿宋_GB2312" w:hAnsi="华文中宋" w:eastAsia="仿宋_GB2312"/>
          <w:color w:val="auto"/>
          <w:sz w:val="28"/>
          <w:szCs w:val="28"/>
          <w:lang w:eastAsia="zh-CN"/>
        </w:rPr>
        <w:t xml:space="preserve">）估价对象权益状况分析 </w:t>
      </w:r>
    </w:p>
    <w:p>
      <w:pPr>
        <w:keepNext w:val="0"/>
        <w:keepLines w:val="0"/>
        <w:pageBreakBefore w:val="0"/>
        <w:kinsoku/>
        <w:wordWrap/>
        <w:overflowPunct/>
        <w:topLinePunct w:val="0"/>
        <w:autoSpaceDE/>
        <w:autoSpaceDN/>
        <w:bidi w:val="0"/>
        <w:adjustRightInd/>
        <w:snapToGrid w:val="0"/>
        <w:spacing w:line="440" w:lineRule="exact"/>
        <w:ind w:firstLine="560" w:firstLineChars="200"/>
        <w:textAlignment w:val="auto"/>
        <w:outlineLvl w:val="9"/>
        <w:rPr>
          <w:rFonts w:hint="eastAsia" w:ascii="仿宋_GB2312" w:hAnsi="华文中宋" w:eastAsia="仿宋_GB2312"/>
          <w:color w:val="auto"/>
          <w:sz w:val="28"/>
          <w:szCs w:val="28"/>
          <w:lang w:eastAsia="zh-CN"/>
        </w:rPr>
      </w:pPr>
      <w:r>
        <w:rPr>
          <w:rFonts w:hint="eastAsia" w:ascii="仿宋_GB2312" w:hAnsi="华文中宋" w:eastAsia="仿宋_GB2312"/>
          <w:color w:val="auto"/>
          <w:sz w:val="28"/>
          <w:szCs w:val="28"/>
          <w:lang w:eastAsia="zh-CN"/>
        </w:rPr>
        <w:t>鉴于此次估价目的，对于估价对象存在的影响其价值的权利瑕疵事项均不予以考虑，故估价对象可视为拥有完整合法产权。</w:t>
      </w:r>
    </w:p>
    <w:p>
      <w:pPr>
        <w:keepNext w:val="0"/>
        <w:keepLines w:val="0"/>
        <w:pageBreakBefore w:val="0"/>
        <w:kinsoku/>
        <w:wordWrap/>
        <w:overflowPunct/>
        <w:topLinePunct w:val="0"/>
        <w:autoSpaceDE/>
        <w:autoSpaceDN/>
        <w:bidi w:val="0"/>
        <w:adjustRightInd/>
        <w:snapToGrid w:val="0"/>
        <w:spacing w:line="440" w:lineRule="exact"/>
        <w:textAlignment w:val="auto"/>
        <w:outlineLvl w:val="9"/>
        <w:rPr>
          <w:rFonts w:hint="eastAsia" w:ascii="仿宋_GB2312" w:hAnsi="华文中宋" w:eastAsia="仿宋_GB2312"/>
          <w:sz w:val="28"/>
          <w:szCs w:val="28"/>
        </w:rPr>
      </w:pPr>
      <w:r>
        <w:rPr>
          <w:rFonts w:hint="eastAsia" w:ascii="仿宋_GB2312" w:hAnsi="华文中宋" w:eastAsia="仿宋_GB2312"/>
          <w:sz w:val="28"/>
          <w:szCs w:val="28"/>
        </w:rPr>
        <w:t>（二）区域状况</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eastAsia" w:ascii="仿宋_GB2312" w:hAnsi="华文中宋" w:eastAsia="仿宋_GB2312"/>
          <w:b/>
          <w:bCs/>
          <w:color w:val="auto"/>
          <w:sz w:val="28"/>
          <w:szCs w:val="28"/>
          <w:lang w:eastAsia="zh-CN"/>
        </w:rPr>
      </w:pPr>
      <w:r>
        <w:rPr>
          <w:rFonts w:hint="eastAsia" w:ascii="仿宋_GB2312" w:hAnsi="华文中宋" w:eastAsia="仿宋_GB2312"/>
          <w:sz w:val="28"/>
          <w:szCs w:val="28"/>
        </w:rPr>
        <w:t>估价对象</w:t>
      </w:r>
      <w:r>
        <w:rPr>
          <w:rFonts w:hint="eastAsia" w:ascii="仿宋_GB2312" w:hAnsi="华文中宋" w:eastAsia="仿宋_GB2312"/>
          <w:sz w:val="28"/>
          <w:szCs w:val="28"/>
          <w:lang w:eastAsia="zh-CN"/>
        </w:rPr>
        <w:t>为</w:t>
      </w:r>
      <w:r>
        <w:rPr>
          <w:rFonts w:hint="eastAsia" w:ascii="仿宋_GB2312" w:hAnsi="仿宋" w:eastAsia="仿宋_GB2312" w:cs="新宋体-18030"/>
          <w:sz w:val="28"/>
          <w:szCs w:val="28"/>
          <w:lang w:eastAsia="zh-CN"/>
        </w:rPr>
        <w:t>宁波市海曙区西湾路137弄57号104.204室住宅</w:t>
      </w:r>
      <w:r>
        <w:rPr>
          <w:rFonts w:hint="eastAsia" w:ascii="仿宋_GB2312" w:hAnsi="华文中宋" w:eastAsia="仿宋_GB2312"/>
          <w:sz w:val="28"/>
          <w:szCs w:val="28"/>
          <w:lang w:eastAsia="zh-CN"/>
        </w:rPr>
        <w:t>，为</w:t>
      </w:r>
      <w:r>
        <w:rPr>
          <w:rFonts w:hint="eastAsia" w:ascii="仿宋_GB2312" w:hAnsi="华文中宋" w:eastAsia="仿宋_GB2312"/>
          <w:sz w:val="28"/>
          <w:szCs w:val="28"/>
        </w:rPr>
        <w:t>该</w:t>
      </w:r>
      <w:r>
        <w:rPr>
          <w:rFonts w:hint="eastAsia" w:ascii="仿宋_GB2312" w:hAnsi="Times New Roman" w:eastAsia="仿宋_GB2312" w:cs="Times New Roman"/>
          <w:color w:val="000000"/>
          <w:sz w:val="28"/>
        </w:rPr>
        <w:t>小区东临</w:t>
      </w:r>
      <w:r>
        <w:rPr>
          <w:rFonts w:hint="eastAsia" w:ascii="仿宋_GB2312" w:eastAsia="仿宋_GB2312" w:cs="Times New Roman"/>
          <w:color w:val="000000"/>
          <w:sz w:val="28"/>
          <w:lang w:eastAsia="zh-CN"/>
        </w:rPr>
        <w:t>翠柏路</w:t>
      </w:r>
      <w:r>
        <w:rPr>
          <w:rFonts w:hint="eastAsia" w:ascii="仿宋_GB2312" w:hAnsi="Times New Roman" w:eastAsia="仿宋_GB2312" w:cs="Times New Roman"/>
          <w:color w:val="000000"/>
          <w:sz w:val="28"/>
        </w:rPr>
        <w:t>，南临</w:t>
      </w:r>
      <w:r>
        <w:rPr>
          <w:rFonts w:hint="eastAsia" w:ascii="仿宋_GB2312" w:eastAsia="仿宋_GB2312" w:cs="Times New Roman"/>
          <w:color w:val="000000"/>
          <w:sz w:val="28"/>
          <w:lang w:eastAsia="zh-CN"/>
        </w:rPr>
        <w:t>西湾路</w:t>
      </w:r>
      <w:r>
        <w:rPr>
          <w:rFonts w:hint="eastAsia" w:ascii="仿宋_GB2312" w:hAnsi="Times New Roman" w:eastAsia="仿宋_GB2312" w:cs="Times New Roman"/>
          <w:color w:val="000000"/>
          <w:sz w:val="28"/>
        </w:rPr>
        <w:t>，西临</w:t>
      </w:r>
      <w:r>
        <w:rPr>
          <w:rFonts w:hint="eastAsia" w:ascii="仿宋_GB2312" w:eastAsia="仿宋_GB2312" w:cs="Times New Roman"/>
          <w:color w:val="000000"/>
          <w:sz w:val="28"/>
          <w:lang w:eastAsia="zh-CN"/>
        </w:rPr>
        <w:t>文化</w:t>
      </w:r>
      <w:r>
        <w:rPr>
          <w:rFonts w:hint="eastAsia" w:ascii="仿宋_GB2312" w:hAnsi="Times New Roman" w:eastAsia="仿宋_GB2312" w:cs="Times New Roman"/>
          <w:color w:val="000000"/>
          <w:sz w:val="28"/>
        </w:rPr>
        <w:t>路，北临</w:t>
      </w:r>
      <w:r>
        <w:rPr>
          <w:rFonts w:hint="eastAsia" w:ascii="仿宋_GB2312" w:eastAsia="仿宋_GB2312" w:cs="Times New Roman"/>
          <w:color w:val="000000"/>
          <w:sz w:val="28"/>
          <w:lang w:eastAsia="zh-CN"/>
        </w:rPr>
        <w:t>永丰西路</w:t>
      </w:r>
      <w:r>
        <w:rPr>
          <w:rFonts w:hint="eastAsia" w:ascii="仿宋_GB2312" w:hAnsi="Times New Roman" w:eastAsia="仿宋_GB2312" w:cs="Times New Roman"/>
          <w:color w:val="000000"/>
          <w:sz w:val="28"/>
        </w:rPr>
        <w:t>。</w:t>
      </w:r>
      <w:r>
        <w:rPr>
          <w:rFonts w:hint="eastAsia" w:ascii="仿宋_GB2312" w:eastAsia="仿宋_GB2312" w:cs="Times New Roman"/>
          <w:color w:val="000000"/>
          <w:sz w:val="28"/>
          <w:lang w:eastAsia="zh-CN"/>
        </w:rPr>
        <w:t>估价对象地处市中心核心区域</w:t>
      </w:r>
      <w:r>
        <w:rPr>
          <w:rFonts w:hint="eastAsia" w:ascii="仿宋_GB2312" w:hAnsi="华文中宋" w:eastAsia="仿宋_GB2312"/>
          <w:sz w:val="28"/>
          <w:szCs w:val="28"/>
          <w:lang w:eastAsia="zh-CN"/>
        </w:rPr>
        <w:t>，道路通达度较好，</w:t>
      </w:r>
      <w:r>
        <w:rPr>
          <w:rFonts w:hint="eastAsia" w:ascii="仿宋_GB2312" w:hAnsi="华文中宋" w:eastAsia="仿宋_GB2312"/>
          <w:color w:val="auto"/>
          <w:sz w:val="28"/>
          <w:szCs w:val="28"/>
          <w:lang w:eastAsia="zh-CN"/>
        </w:rPr>
        <w:t>附近有</w:t>
      </w:r>
      <w:r>
        <w:rPr>
          <w:rFonts w:hint="eastAsia" w:ascii="仿宋_GB2312" w:hAnsi="华文中宋" w:eastAsia="仿宋_GB2312"/>
          <w:color w:val="auto"/>
          <w:sz w:val="28"/>
          <w:szCs w:val="28"/>
          <w:lang w:val="en-US" w:eastAsia="zh-CN"/>
        </w:rPr>
        <w:t>5</w:t>
      </w:r>
      <w:r>
        <w:rPr>
          <w:rFonts w:hint="eastAsia" w:ascii="仿宋_GB2312" w:hAnsi="华文中宋" w:eastAsia="仿宋_GB2312"/>
          <w:color w:val="auto"/>
          <w:sz w:val="28"/>
          <w:szCs w:val="28"/>
          <w:lang w:eastAsia="zh-CN"/>
        </w:rPr>
        <w:t>路、</w:t>
      </w:r>
      <w:r>
        <w:rPr>
          <w:rFonts w:hint="eastAsia" w:ascii="仿宋_GB2312" w:hAnsi="华文中宋" w:eastAsia="仿宋_GB2312"/>
          <w:color w:val="auto"/>
          <w:sz w:val="28"/>
          <w:szCs w:val="28"/>
          <w:lang w:val="en-US" w:eastAsia="zh-CN"/>
        </w:rPr>
        <w:t>15</w:t>
      </w:r>
      <w:r>
        <w:rPr>
          <w:rFonts w:hint="eastAsia" w:ascii="仿宋_GB2312" w:hAnsi="华文中宋" w:eastAsia="仿宋_GB2312"/>
          <w:color w:val="auto"/>
          <w:sz w:val="28"/>
          <w:szCs w:val="28"/>
          <w:lang w:eastAsia="zh-CN"/>
        </w:rPr>
        <w:t>路、</w:t>
      </w:r>
      <w:r>
        <w:rPr>
          <w:rFonts w:hint="eastAsia" w:ascii="仿宋_GB2312" w:hAnsi="华文中宋" w:eastAsia="仿宋_GB2312"/>
          <w:color w:val="auto"/>
          <w:sz w:val="28"/>
          <w:szCs w:val="28"/>
          <w:lang w:val="en-US" w:eastAsia="zh-CN"/>
        </w:rPr>
        <w:t>71</w:t>
      </w:r>
      <w:r>
        <w:rPr>
          <w:rFonts w:hint="eastAsia" w:ascii="仿宋_GB2312" w:hAnsi="华文中宋" w:eastAsia="仿宋_GB2312"/>
          <w:color w:val="auto"/>
          <w:sz w:val="28"/>
          <w:szCs w:val="28"/>
          <w:lang w:eastAsia="zh-CN"/>
        </w:rPr>
        <w:t>路</w:t>
      </w:r>
      <w:r>
        <w:rPr>
          <w:rFonts w:hint="eastAsia" w:ascii="仿宋_GB2312" w:hAnsi="华文中宋" w:eastAsia="仿宋_GB2312"/>
          <w:sz w:val="28"/>
          <w:szCs w:val="28"/>
          <w:lang w:val="en-US" w:eastAsia="zh-CN"/>
        </w:rPr>
        <w:t>等多路</w:t>
      </w:r>
      <w:r>
        <w:rPr>
          <w:rFonts w:hint="eastAsia" w:ascii="仿宋_GB2312" w:hAnsi="华文中宋" w:eastAsia="仿宋_GB2312"/>
          <w:color w:val="auto"/>
          <w:sz w:val="28"/>
          <w:szCs w:val="28"/>
          <w:lang w:eastAsia="zh-CN"/>
        </w:rPr>
        <w:t>公交路线经过</w:t>
      </w:r>
      <w:r>
        <w:rPr>
          <w:rFonts w:hint="eastAsia" w:ascii="仿宋_GB2312" w:hAnsi="华文中宋" w:eastAsia="仿宋_GB2312"/>
          <w:color w:val="auto"/>
          <w:sz w:val="28"/>
          <w:szCs w:val="28"/>
          <w:lang w:val="en-US" w:eastAsia="zh-CN"/>
        </w:rPr>
        <w:t>，</w:t>
      </w:r>
      <w:r>
        <w:rPr>
          <w:rFonts w:hint="eastAsia" w:ascii="仿宋_GB2312" w:hAnsi="华文中宋" w:eastAsia="仿宋_GB2312"/>
          <w:sz w:val="28"/>
          <w:szCs w:val="28"/>
        </w:rPr>
        <w:t>公共交通便捷度较好</w:t>
      </w:r>
      <w:r>
        <w:rPr>
          <w:rFonts w:hint="eastAsia" w:ascii="仿宋_GB2312" w:hAnsi="华文中宋" w:eastAsia="仿宋_GB2312"/>
          <w:color w:val="auto"/>
          <w:sz w:val="28"/>
          <w:szCs w:val="28"/>
          <w:lang w:eastAsia="zh-CN"/>
        </w:rPr>
        <w:t>。附近有</w:t>
      </w:r>
      <w:r>
        <w:rPr>
          <w:rFonts w:hint="eastAsia" w:ascii="仿宋_GB2312" w:hAnsi="仿宋" w:eastAsia="仿宋_GB2312"/>
          <w:color w:val="000000"/>
          <w:sz w:val="28"/>
          <w:szCs w:val="28"/>
          <w:lang w:eastAsia="zh-CN"/>
        </w:rPr>
        <w:t>翠中小区、高塘恒春、翠柏一里</w:t>
      </w:r>
      <w:r>
        <w:rPr>
          <w:rFonts w:hint="eastAsia" w:ascii="仿宋_GB2312" w:hAnsi="华文中宋" w:eastAsia="仿宋_GB2312"/>
          <w:sz w:val="28"/>
          <w:szCs w:val="28"/>
          <w:lang w:eastAsia="zh-CN"/>
        </w:rPr>
        <w:t>等成熟住宅小区，居住氛围较好，</w:t>
      </w:r>
      <w:r>
        <w:rPr>
          <w:rFonts w:hint="eastAsia" w:ascii="仿宋_GB2312" w:hAnsi="华文中宋" w:eastAsia="仿宋_GB2312"/>
          <w:sz w:val="28"/>
          <w:szCs w:val="28"/>
        </w:rPr>
        <w:t>人文环境</w:t>
      </w:r>
      <w:r>
        <w:rPr>
          <w:rFonts w:hint="eastAsia" w:ascii="仿宋_GB2312" w:hAnsi="华文中宋" w:eastAsia="仿宋_GB2312"/>
          <w:sz w:val="28"/>
          <w:szCs w:val="28"/>
          <w:lang w:eastAsia="zh-CN"/>
        </w:rPr>
        <w:t>较好</w:t>
      </w:r>
      <w:r>
        <w:rPr>
          <w:rFonts w:hint="eastAsia" w:ascii="仿宋_GB2312" w:hAnsi="华文中宋" w:eastAsia="仿宋_GB2312"/>
          <w:sz w:val="28"/>
          <w:szCs w:val="28"/>
        </w:rPr>
        <w:t>。</w:t>
      </w:r>
      <w:r>
        <w:rPr>
          <w:rFonts w:hint="eastAsia" w:ascii="仿宋_GB2312" w:hAnsi="华文中宋" w:eastAsia="仿宋_GB2312"/>
          <w:sz w:val="28"/>
          <w:szCs w:val="28"/>
          <w:lang w:eastAsia="zh-CN"/>
        </w:rPr>
        <w:t>附近有翠柏幼儿园、宁波工程学院翠柏校区、宁波市甬江职业高级中学、翠柏中学、海曙区少年宫、三江超市、沿街配套银行、便利店、药房、水果店等，所在区域基础配套设施齐全，公共服务设施较完善。</w:t>
      </w:r>
    </w:p>
    <w:p>
      <w:pPr>
        <w:spacing w:line="440" w:lineRule="exact"/>
        <w:rPr>
          <w:rFonts w:hint="eastAsia" w:ascii="仿宋_GB2312" w:hAnsi="仿宋" w:eastAsia="仿宋_GB2312" w:cs="新宋体-18030"/>
          <w:sz w:val="28"/>
          <w:szCs w:val="28"/>
        </w:rPr>
      </w:pPr>
      <w:r>
        <w:rPr>
          <w:rFonts w:hint="eastAsia" w:ascii="仿宋_GB2312" w:hAnsi="仿宋" w:eastAsia="仿宋_GB2312" w:cs="新宋体-18030"/>
          <w:sz w:val="28"/>
          <w:szCs w:val="28"/>
        </w:rPr>
        <w:t>（三）实物状况</w:t>
      </w:r>
    </w:p>
    <w:p>
      <w:pPr>
        <w:snapToGrid w:val="0"/>
        <w:spacing w:line="440" w:lineRule="exact"/>
        <w:ind w:firstLine="560" w:firstLineChars="200"/>
        <w:rPr>
          <w:rFonts w:hint="eastAsia" w:ascii="仿宋" w:hAnsi="仿宋" w:eastAsia="仿宋" w:cs="仿宋"/>
          <w:sz w:val="28"/>
        </w:rPr>
      </w:pPr>
      <w:r>
        <w:rPr>
          <w:rFonts w:hint="eastAsia" w:ascii="仿宋" w:hAnsi="仿宋" w:eastAsia="仿宋" w:cs="仿宋"/>
          <w:sz w:val="28"/>
        </w:rPr>
        <w:t>估价对象所在宗地的土地用途为住宅用地，房屋类型为住宅，所在宗地形状</w:t>
      </w:r>
      <w:r>
        <w:rPr>
          <w:rFonts w:hint="eastAsia" w:ascii="仿宋" w:hAnsi="仿宋" w:eastAsia="仿宋" w:cs="仿宋"/>
          <w:sz w:val="28"/>
          <w:lang w:eastAsia="zh-CN"/>
        </w:rPr>
        <w:t>较为规则</w:t>
      </w:r>
      <w:r>
        <w:rPr>
          <w:rFonts w:hint="eastAsia" w:ascii="仿宋" w:hAnsi="仿宋" w:eastAsia="仿宋" w:cs="仿宋"/>
          <w:sz w:val="28"/>
        </w:rPr>
        <w:t>，地势平坦</w:t>
      </w:r>
      <w:r>
        <w:rPr>
          <w:rFonts w:hint="eastAsia" w:ascii="仿宋" w:hAnsi="仿宋" w:eastAsia="仿宋" w:cs="仿宋"/>
          <w:sz w:val="28"/>
          <w:lang w:eastAsia="zh-CN"/>
        </w:rPr>
        <w:t>度一般</w:t>
      </w:r>
      <w:r>
        <w:rPr>
          <w:rFonts w:hint="eastAsia" w:ascii="仿宋" w:hAnsi="仿宋" w:eastAsia="仿宋" w:cs="仿宋"/>
          <w:sz w:val="28"/>
        </w:rPr>
        <w:t>，土壤环境未受污染，地基稳定、无不良水文地质现象，能满足建筑物对承载力的要求。至实地查勘日，所在区域及红线内市政基础设施条件达到</w:t>
      </w:r>
      <w:r>
        <w:rPr>
          <w:rFonts w:hint="eastAsia" w:ascii="仿宋" w:hAnsi="仿宋" w:eastAsia="仿宋" w:cs="仿宋"/>
          <w:sz w:val="28"/>
          <w:lang w:eastAsia="zh-CN"/>
        </w:rPr>
        <w:t>六</w:t>
      </w:r>
      <w:r>
        <w:rPr>
          <w:rFonts w:hint="eastAsia" w:ascii="仿宋" w:hAnsi="仿宋" w:eastAsia="仿宋" w:cs="仿宋"/>
          <w:sz w:val="28"/>
        </w:rPr>
        <w:t>通</w:t>
      </w:r>
      <w:r>
        <w:rPr>
          <w:rFonts w:hint="eastAsia" w:ascii="仿宋" w:hAnsi="仿宋" w:eastAsia="仿宋" w:cs="仿宋"/>
          <w:sz w:val="28"/>
          <w:lang w:eastAsia="zh-CN"/>
        </w:rPr>
        <w:t>一平</w:t>
      </w:r>
      <w:r>
        <w:rPr>
          <w:rFonts w:hint="eastAsia" w:ascii="仿宋" w:hAnsi="仿宋" w:eastAsia="仿宋" w:cs="仿宋"/>
          <w:sz w:val="28"/>
        </w:rPr>
        <w:t>。至价值时点宗地红线内建筑物已建成使用。</w:t>
      </w:r>
    </w:p>
    <w:p>
      <w:pPr>
        <w:snapToGrid w:val="0"/>
        <w:spacing w:line="440" w:lineRule="exact"/>
        <w:ind w:firstLine="560" w:firstLineChars="200"/>
        <w:rPr>
          <w:rFonts w:hint="eastAsia" w:ascii="仿宋" w:hAnsi="仿宋" w:eastAsia="仿宋" w:cs="仿宋"/>
          <w:sz w:val="28"/>
          <w:lang w:eastAsia="zh-CN"/>
        </w:rPr>
      </w:pPr>
      <w:r>
        <w:rPr>
          <w:rFonts w:hint="eastAsia" w:ascii="仿宋" w:hAnsi="仿宋" w:eastAsia="仿宋" w:cs="仿宋"/>
          <w:sz w:val="28"/>
        </w:rPr>
        <w:t>估</w:t>
      </w:r>
      <w:r>
        <w:rPr>
          <w:rFonts w:hint="eastAsia" w:ascii="仿宋" w:hAnsi="仿宋" w:eastAsia="仿宋" w:cs="仿宋"/>
          <w:color w:val="auto"/>
          <w:sz w:val="28"/>
        </w:rPr>
        <w:t>价对象</w:t>
      </w:r>
      <w:r>
        <w:rPr>
          <w:rFonts w:hint="eastAsia" w:ascii="仿宋_GB2312" w:hAnsi="华文中宋" w:eastAsia="仿宋_GB2312"/>
          <w:color w:val="auto"/>
          <w:sz w:val="28"/>
          <w:szCs w:val="28"/>
          <w:lang w:eastAsia="zh-CN"/>
        </w:rPr>
        <w:t>位于</w:t>
      </w:r>
      <w:r>
        <w:rPr>
          <w:rFonts w:hint="eastAsia" w:ascii="仿宋_GB2312" w:hAnsi="仿宋" w:eastAsia="仿宋_GB2312" w:cs="新宋体-18030"/>
          <w:sz w:val="28"/>
          <w:szCs w:val="28"/>
          <w:lang w:eastAsia="zh-CN"/>
        </w:rPr>
        <w:t>宁波市海曙区西湾路137弄57号104.204室</w:t>
      </w:r>
      <w:r>
        <w:rPr>
          <w:rFonts w:hint="eastAsia" w:ascii="仿宋_GB2312" w:hAnsi="仿宋" w:eastAsia="仿宋_GB2312" w:cs="新宋体-18030"/>
          <w:color w:val="auto"/>
          <w:sz w:val="28"/>
          <w:szCs w:val="28"/>
          <w:lang w:eastAsia="zh-CN"/>
        </w:rPr>
        <w:t>，为龙柏花园小区</w:t>
      </w:r>
      <w:r>
        <w:rPr>
          <w:rFonts w:hint="eastAsia" w:ascii="仿宋" w:hAnsi="仿宋" w:eastAsia="仿宋" w:cs="仿宋"/>
          <w:color w:val="auto"/>
          <w:sz w:val="28"/>
          <w:lang w:val="en-US" w:eastAsia="zh-CN"/>
        </w:rPr>
        <w:t>多层住宅，</w:t>
      </w:r>
      <w:r>
        <w:rPr>
          <w:rFonts w:hint="eastAsia" w:ascii="仿宋" w:hAnsi="仿宋" w:eastAsia="仿宋" w:cs="仿宋"/>
          <w:color w:val="auto"/>
          <w:sz w:val="28"/>
          <w:lang w:eastAsia="zh-CN"/>
        </w:rPr>
        <w:t>小区整体规模适中，绿化等基础设施较好，物业管理较好，居住环境良好。估价对象所在建筑物为混合结构，维护保养状况</w:t>
      </w:r>
      <w:r>
        <w:rPr>
          <w:rFonts w:hint="eastAsia" w:ascii="仿宋_GB2312" w:hAnsi="华文中宋" w:eastAsia="仿宋_GB2312"/>
          <w:color w:val="auto"/>
          <w:sz w:val="28"/>
          <w:szCs w:val="28"/>
          <w:lang w:eastAsia="zh-CN"/>
        </w:rPr>
        <w:t>较好</w:t>
      </w:r>
      <w:r>
        <w:rPr>
          <w:rFonts w:hint="eastAsia" w:ascii="仿宋" w:hAnsi="仿宋" w:eastAsia="仿宋" w:cs="仿宋"/>
          <w:color w:val="auto"/>
          <w:sz w:val="28"/>
          <w:lang w:eastAsia="zh-CN"/>
        </w:rPr>
        <w:t>，水、电、卫齐全；证载建筑面积</w:t>
      </w:r>
      <w:r>
        <w:rPr>
          <w:rFonts w:hint="eastAsia" w:ascii="仿宋" w:hAnsi="仿宋" w:eastAsia="仿宋" w:cs="仿宋"/>
          <w:color w:val="auto"/>
          <w:sz w:val="28"/>
          <w:lang w:val="en-US" w:eastAsia="zh-CN"/>
        </w:rPr>
        <w:t>148.56</w:t>
      </w:r>
      <w:r>
        <w:rPr>
          <w:rFonts w:hint="eastAsia" w:ascii="仿宋" w:hAnsi="仿宋" w:eastAsia="仿宋" w:cs="仿宋"/>
          <w:color w:val="auto"/>
          <w:sz w:val="28"/>
          <w:lang w:eastAsia="zh-CN"/>
        </w:rPr>
        <w:t>平方米，房屋总层数</w:t>
      </w:r>
      <w:r>
        <w:rPr>
          <w:rFonts w:hint="eastAsia" w:ascii="仿宋" w:hAnsi="仿宋" w:eastAsia="仿宋" w:cs="仿宋"/>
          <w:color w:val="auto"/>
          <w:sz w:val="28"/>
          <w:lang w:val="en-US" w:eastAsia="zh-CN"/>
        </w:rPr>
        <w:t>6</w:t>
      </w:r>
      <w:r>
        <w:rPr>
          <w:rFonts w:hint="eastAsia" w:ascii="仿宋" w:hAnsi="仿宋" w:eastAsia="仿宋" w:cs="仿宋"/>
          <w:color w:val="auto"/>
          <w:sz w:val="28"/>
          <w:lang w:eastAsia="zh-CN"/>
        </w:rPr>
        <w:t>层，</w:t>
      </w:r>
      <w:r>
        <w:rPr>
          <w:rFonts w:hint="eastAsia" w:ascii="仿宋_GB2312" w:hAnsi="华文中宋" w:eastAsia="仿宋_GB2312"/>
          <w:color w:val="auto"/>
          <w:sz w:val="28"/>
          <w:szCs w:val="28"/>
          <w:lang w:eastAsia="zh-CN"/>
        </w:rPr>
        <w:t>安装有电子门禁系统</w:t>
      </w:r>
      <w:r>
        <w:rPr>
          <w:rFonts w:hint="eastAsia" w:ascii="仿宋" w:hAnsi="仿宋" w:eastAsia="仿宋" w:cs="仿宋"/>
          <w:color w:val="auto"/>
          <w:sz w:val="28"/>
          <w:lang w:eastAsia="zh-CN"/>
        </w:rPr>
        <w:t>，一梯两户，</w:t>
      </w:r>
      <w:r>
        <w:rPr>
          <w:rFonts w:hint="eastAsia" w:ascii="仿宋" w:hAnsi="仿宋" w:eastAsia="仿宋" w:cs="仿宋"/>
          <w:sz w:val="28"/>
        </w:rPr>
        <w:t>入户防盗门</w:t>
      </w:r>
      <w:r>
        <w:rPr>
          <w:rFonts w:hint="eastAsia" w:ascii="仿宋" w:hAnsi="仿宋" w:eastAsia="仿宋" w:cs="仿宋"/>
          <w:color w:val="auto"/>
          <w:sz w:val="28"/>
          <w:lang w:val="en-US" w:eastAsia="zh-CN"/>
        </w:rPr>
        <w:t>，估价对象位于</w:t>
      </w:r>
      <w:r>
        <w:rPr>
          <w:rFonts w:hint="eastAsia" w:ascii="仿宋" w:hAnsi="仿宋" w:eastAsia="仿宋" w:cs="仿宋"/>
          <w:color w:val="auto"/>
          <w:sz w:val="28"/>
        </w:rPr>
        <w:t>第</w:t>
      </w:r>
      <w:r>
        <w:rPr>
          <w:rFonts w:hint="eastAsia" w:ascii="仿宋" w:hAnsi="仿宋" w:eastAsia="仿宋" w:cs="仿宋"/>
          <w:color w:val="auto"/>
          <w:sz w:val="28"/>
          <w:lang w:val="en-US" w:eastAsia="zh-CN"/>
        </w:rPr>
        <w:t>1-2</w:t>
      </w:r>
      <w:r>
        <w:rPr>
          <w:rFonts w:hint="eastAsia" w:ascii="仿宋" w:hAnsi="仿宋" w:eastAsia="仿宋" w:cs="仿宋"/>
          <w:color w:val="auto"/>
          <w:sz w:val="28"/>
        </w:rPr>
        <w:t>层</w:t>
      </w:r>
      <w:r>
        <w:rPr>
          <w:rFonts w:hint="eastAsia" w:ascii="仿宋" w:hAnsi="仿宋" w:eastAsia="仿宋" w:cs="仿宋"/>
          <w:color w:val="auto"/>
          <w:sz w:val="28"/>
          <w:lang w:eastAsia="zh-CN"/>
        </w:rPr>
        <w:t>，室内为复式结构，</w:t>
      </w:r>
      <w:r>
        <w:rPr>
          <w:rFonts w:hint="eastAsia" w:ascii="仿宋" w:hAnsi="仿宋" w:eastAsia="仿宋" w:cs="仿宋"/>
          <w:color w:val="auto"/>
          <w:sz w:val="28"/>
          <w:lang w:val="en-US" w:eastAsia="zh-CN"/>
        </w:rPr>
        <w:t>一层</w:t>
      </w:r>
      <w:r>
        <w:rPr>
          <w:rFonts w:hint="eastAsia" w:ascii="仿宋" w:hAnsi="仿宋" w:eastAsia="仿宋" w:cs="仿宋"/>
          <w:sz w:val="28"/>
          <w:lang w:eastAsia="zh-CN"/>
        </w:rPr>
        <w:t>室内平面呈两室</w:t>
      </w:r>
      <w:r>
        <w:rPr>
          <w:rFonts w:hint="eastAsia" w:ascii="仿宋" w:hAnsi="仿宋" w:eastAsia="仿宋" w:cs="仿宋"/>
          <w:sz w:val="28"/>
          <w:lang w:val="en-US" w:eastAsia="zh-CN"/>
        </w:rPr>
        <w:t>两</w:t>
      </w:r>
      <w:r>
        <w:rPr>
          <w:rFonts w:hint="eastAsia" w:ascii="仿宋" w:hAnsi="仿宋" w:eastAsia="仿宋" w:cs="仿宋"/>
          <w:sz w:val="28"/>
          <w:lang w:eastAsia="zh-CN"/>
        </w:rPr>
        <w:t>厅</w:t>
      </w:r>
      <w:r>
        <w:rPr>
          <w:rFonts w:hint="eastAsia" w:ascii="仿宋" w:hAnsi="仿宋" w:eastAsia="仿宋" w:cs="仿宋"/>
          <w:sz w:val="28"/>
          <w:lang w:val="en-US" w:eastAsia="zh-CN"/>
        </w:rPr>
        <w:t>一厨一</w:t>
      </w:r>
      <w:r>
        <w:rPr>
          <w:rFonts w:hint="eastAsia" w:ascii="仿宋" w:hAnsi="仿宋" w:eastAsia="仿宋" w:cs="仿宋"/>
          <w:sz w:val="28"/>
          <w:lang w:eastAsia="zh-CN"/>
        </w:rPr>
        <w:t>卫布局，二层室内平面呈三室一卫布局，室内普通装修。</w:t>
      </w:r>
    </w:p>
    <w:p>
      <w:pPr>
        <w:snapToGrid w:val="0"/>
        <w:spacing w:line="440" w:lineRule="exact"/>
        <w:ind w:firstLine="560" w:firstLineChars="200"/>
        <w:rPr>
          <w:rFonts w:hint="default" w:ascii="仿宋" w:hAnsi="仿宋" w:eastAsia="仿宋" w:cs="仿宋"/>
          <w:sz w:val="28"/>
          <w:lang w:val="en-US" w:eastAsia="zh-CN"/>
        </w:rPr>
      </w:pPr>
      <w:r>
        <w:rPr>
          <w:rFonts w:hint="eastAsia" w:ascii="仿宋" w:hAnsi="仿宋" w:eastAsia="仿宋" w:cs="仿宋"/>
          <w:sz w:val="28"/>
          <w:lang w:val="en-US" w:eastAsia="zh-CN"/>
        </w:rPr>
        <w:t>一层：</w:t>
      </w:r>
    </w:p>
    <w:p>
      <w:pPr>
        <w:snapToGrid w:val="0"/>
        <w:spacing w:line="440" w:lineRule="exact"/>
        <w:ind w:firstLine="560" w:firstLineChars="200"/>
        <w:rPr>
          <w:rFonts w:hint="eastAsia" w:ascii="仿宋_GB2312" w:hAnsi="华文中宋" w:eastAsia="仿宋_GB2312"/>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lang w:eastAsia="zh-CN"/>
          <w14:textFill>
            <w14:solidFill>
              <w14:schemeClr w14:val="tx1"/>
            </w14:solidFill>
          </w14:textFill>
        </w:rPr>
        <w:t>厅：地面地板</w:t>
      </w:r>
      <w:r>
        <w:rPr>
          <w:rFonts w:hint="eastAsia" w:ascii="仿宋_GB2312" w:hAnsi="华文中宋" w:eastAsia="仿宋_GB2312"/>
          <w:color w:val="000000" w:themeColor="text1"/>
          <w:sz w:val="28"/>
          <w:szCs w:val="28"/>
          <w:lang w:eastAsia="zh-CN"/>
          <w14:textFill>
            <w14:solidFill>
              <w14:schemeClr w14:val="tx1"/>
            </w14:solidFill>
          </w14:textFill>
        </w:rPr>
        <w:t>，墙面三夹板、涂料，三夹板顶；</w:t>
      </w:r>
    </w:p>
    <w:p>
      <w:pPr>
        <w:spacing w:line="440" w:lineRule="exact"/>
        <w:ind w:right="8" w:firstLine="560" w:firstLineChars="200"/>
        <w:rPr>
          <w:rFonts w:hint="eastAsia" w:ascii="仿宋_GB2312" w:hAnsi="华文中宋" w:eastAsia="仿宋_GB2312"/>
          <w:color w:val="auto"/>
          <w:sz w:val="28"/>
          <w:szCs w:val="28"/>
          <w:lang w:eastAsia="zh-CN"/>
        </w:rPr>
      </w:pPr>
      <w:r>
        <w:rPr>
          <w:rFonts w:hint="eastAsia" w:ascii="仿宋_GB2312" w:hAnsi="华文中宋" w:eastAsia="仿宋_GB2312"/>
          <w:color w:val="auto"/>
          <w:sz w:val="28"/>
          <w:szCs w:val="28"/>
          <w:lang w:eastAsia="zh-CN"/>
        </w:rPr>
        <w:t>卧室</w:t>
      </w:r>
      <w:r>
        <w:rPr>
          <w:rFonts w:hint="eastAsia" w:ascii="仿宋_GB2312" w:hAnsi="华文中宋" w:eastAsia="仿宋_GB2312"/>
          <w:color w:val="auto"/>
          <w:sz w:val="28"/>
          <w:szCs w:val="28"/>
          <w:lang w:val="en-US" w:eastAsia="zh-CN"/>
        </w:rPr>
        <w:t>1</w:t>
      </w:r>
      <w:r>
        <w:rPr>
          <w:rFonts w:hint="eastAsia" w:ascii="仿宋_GB2312" w:hAnsi="华文中宋" w:eastAsia="仿宋_GB2312"/>
          <w:color w:val="auto"/>
          <w:sz w:val="28"/>
          <w:szCs w:val="28"/>
          <w:lang w:eastAsia="zh-CN"/>
        </w:rPr>
        <w:t>：地面地板，</w:t>
      </w:r>
      <w:r>
        <w:rPr>
          <w:rFonts w:hint="eastAsia" w:ascii="仿宋_GB2312" w:hAnsi="华文中宋" w:eastAsia="仿宋_GB2312"/>
          <w:color w:val="000000" w:themeColor="text1"/>
          <w:sz w:val="28"/>
          <w:szCs w:val="28"/>
          <w:lang w:eastAsia="zh-CN"/>
          <w14:textFill>
            <w14:solidFill>
              <w14:schemeClr w14:val="tx1"/>
            </w14:solidFill>
          </w14:textFill>
        </w:rPr>
        <w:t>墙面三夹板、涂料，三夹板顶；</w:t>
      </w:r>
    </w:p>
    <w:p>
      <w:pPr>
        <w:spacing w:line="440" w:lineRule="exact"/>
        <w:ind w:right="8" w:firstLine="560" w:firstLineChars="200"/>
        <w:rPr>
          <w:rFonts w:hint="eastAsia" w:ascii="仿宋_GB2312" w:hAnsi="华文中宋" w:eastAsia="仿宋_GB2312"/>
          <w:color w:val="auto"/>
          <w:sz w:val="28"/>
          <w:szCs w:val="28"/>
          <w:lang w:eastAsia="zh-CN"/>
        </w:rPr>
      </w:pPr>
      <w:r>
        <w:rPr>
          <w:rFonts w:hint="eastAsia" w:ascii="仿宋_GB2312" w:hAnsi="华文中宋" w:eastAsia="仿宋_GB2312"/>
          <w:color w:val="000000" w:themeColor="text1"/>
          <w:sz w:val="28"/>
          <w:szCs w:val="28"/>
          <w:lang w:eastAsia="zh-CN"/>
          <w14:textFill>
            <w14:solidFill>
              <w14:schemeClr w14:val="tx1"/>
            </w14:solidFill>
          </w14:textFill>
        </w:rPr>
        <w:t>卧室</w:t>
      </w:r>
      <w:r>
        <w:rPr>
          <w:rFonts w:hint="eastAsia" w:ascii="仿宋_GB2312" w:hAnsi="华文中宋" w:eastAsia="仿宋_GB2312"/>
          <w:color w:val="000000" w:themeColor="text1"/>
          <w:sz w:val="28"/>
          <w:szCs w:val="28"/>
          <w:lang w:val="en-US" w:eastAsia="zh-CN"/>
          <w14:textFill>
            <w14:solidFill>
              <w14:schemeClr w14:val="tx1"/>
            </w14:solidFill>
          </w14:textFill>
        </w:rPr>
        <w:t>2</w:t>
      </w:r>
      <w:r>
        <w:rPr>
          <w:rFonts w:hint="eastAsia" w:ascii="仿宋_GB2312" w:hAnsi="华文中宋" w:eastAsia="仿宋_GB2312"/>
          <w:color w:val="000000" w:themeColor="text1"/>
          <w:sz w:val="28"/>
          <w:szCs w:val="28"/>
          <w:lang w:eastAsia="zh-CN"/>
          <w14:textFill>
            <w14:solidFill>
              <w14:schemeClr w14:val="tx1"/>
            </w14:solidFill>
          </w14:textFill>
        </w:rPr>
        <w:t>：</w:t>
      </w:r>
      <w:r>
        <w:rPr>
          <w:rFonts w:hint="eastAsia" w:ascii="仿宋_GB2312" w:hAnsi="华文中宋" w:eastAsia="仿宋_GB2312"/>
          <w:color w:val="auto"/>
          <w:sz w:val="28"/>
          <w:szCs w:val="28"/>
          <w:lang w:eastAsia="zh-CN"/>
        </w:rPr>
        <w:t>地面地板，墙面涂料及顶，并安设衣柜；</w:t>
      </w:r>
    </w:p>
    <w:p>
      <w:pPr>
        <w:spacing w:line="440" w:lineRule="exact"/>
        <w:ind w:right="8" w:firstLine="560" w:firstLineChars="200"/>
        <w:rPr>
          <w:rFonts w:hint="eastAsia" w:ascii="仿宋_GB2312" w:hAnsi="华文中宋" w:eastAsia="仿宋_GB2312"/>
          <w:color w:val="auto"/>
          <w:sz w:val="28"/>
          <w:szCs w:val="28"/>
          <w:lang w:eastAsia="zh-CN"/>
        </w:rPr>
      </w:pPr>
      <w:r>
        <w:rPr>
          <w:rFonts w:hint="eastAsia" w:ascii="仿宋_GB2312" w:hAnsi="华文中宋" w:eastAsia="仿宋_GB2312"/>
          <w:color w:val="000000" w:themeColor="text1"/>
          <w:sz w:val="28"/>
          <w:szCs w:val="28"/>
          <w:lang w:eastAsia="zh-CN"/>
          <w14:textFill>
            <w14:solidFill>
              <w14:schemeClr w14:val="tx1"/>
            </w14:solidFill>
          </w14:textFill>
        </w:rPr>
        <w:t>厨房：地面地砖，墙面墙砖，塑扣顶，并安设整体橱柜；</w:t>
      </w:r>
    </w:p>
    <w:p>
      <w:pPr>
        <w:spacing w:line="440" w:lineRule="exact"/>
        <w:ind w:right="8" w:firstLine="560" w:firstLineChars="200"/>
        <w:rPr>
          <w:rFonts w:hint="eastAsia" w:ascii="仿宋_GB2312" w:hAnsi="华文中宋" w:eastAsia="仿宋_GB2312"/>
          <w:color w:val="000000" w:themeColor="text1"/>
          <w:sz w:val="28"/>
          <w:szCs w:val="28"/>
          <w:lang w:eastAsia="zh-CN"/>
          <w14:textFill>
            <w14:solidFill>
              <w14:schemeClr w14:val="tx1"/>
            </w14:solidFill>
          </w14:textFill>
        </w:rPr>
      </w:pPr>
      <w:r>
        <w:rPr>
          <w:rFonts w:hint="eastAsia" w:ascii="仿宋_GB2312" w:hAnsi="华文中宋" w:eastAsia="仿宋_GB2312"/>
          <w:color w:val="000000" w:themeColor="text1"/>
          <w:sz w:val="28"/>
          <w:szCs w:val="28"/>
          <w:lang w:eastAsia="zh-CN"/>
          <w14:textFill>
            <w14:solidFill>
              <w14:schemeClr w14:val="tx1"/>
            </w14:solidFill>
          </w14:textFill>
        </w:rPr>
        <w:t>卫：地面地砖，墙面墙砖，塑扣顶，并安设洗漱台盆、坐便器、淋浴房等；</w:t>
      </w:r>
    </w:p>
    <w:p>
      <w:pPr>
        <w:snapToGrid w:val="0"/>
        <w:spacing w:line="440" w:lineRule="exact"/>
        <w:ind w:firstLine="560" w:firstLineChars="200"/>
        <w:rPr>
          <w:rFonts w:hint="eastAsia" w:ascii="仿宋_GB2312" w:hAnsi="华文中宋" w:eastAsia="仿宋_GB2312"/>
          <w:color w:val="000000" w:themeColor="text1"/>
          <w:sz w:val="28"/>
          <w:szCs w:val="28"/>
          <w:lang w:eastAsia="zh-CN"/>
          <w14:textFill>
            <w14:solidFill>
              <w14:schemeClr w14:val="tx1"/>
            </w14:solidFill>
          </w14:textFill>
        </w:rPr>
      </w:pPr>
      <w:r>
        <w:rPr>
          <w:rFonts w:hint="eastAsia" w:ascii="仿宋_GB2312" w:hAnsi="华文中宋" w:eastAsia="仿宋_GB2312"/>
          <w:color w:val="000000" w:themeColor="text1"/>
          <w:sz w:val="28"/>
          <w:szCs w:val="28"/>
          <w:lang w:eastAsia="zh-CN"/>
          <w14:textFill>
            <w14:solidFill>
              <w14:schemeClr w14:val="tx1"/>
            </w14:solidFill>
          </w14:textFill>
        </w:rPr>
        <w:t>二层：</w:t>
      </w:r>
    </w:p>
    <w:p>
      <w:pPr>
        <w:spacing w:line="440" w:lineRule="exact"/>
        <w:ind w:right="8" w:firstLine="560" w:firstLineChars="200"/>
        <w:rPr>
          <w:rFonts w:hint="eastAsia" w:ascii="仿宋_GB2312" w:hAnsi="华文中宋" w:eastAsia="仿宋_GB2312"/>
          <w:color w:val="auto"/>
          <w:sz w:val="28"/>
          <w:szCs w:val="28"/>
          <w:lang w:eastAsia="zh-CN"/>
        </w:rPr>
      </w:pPr>
      <w:r>
        <w:rPr>
          <w:rFonts w:hint="eastAsia" w:ascii="仿宋_GB2312" w:hAnsi="华文中宋" w:eastAsia="仿宋_GB2312"/>
          <w:color w:val="000000" w:themeColor="text1"/>
          <w:sz w:val="28"/>
          <w:szCs w:val="28"/>
          <w:lang w:eastAsia="zh-CN"/>
          <w14:textFill>
            <w14:solidFill>
              <w14:schemeClr w14:val="tx1"/>
            </w14:solidFill>
          </w14:textFill>
        </w:rPr>
        <w:t>卧室</w:t>
      </w:r>
      <w:r>
        <w:rPr>
          <w:rFonts w:hint="eastAsia" w:ascii="仿宋_GB2312" w:hAnsi="华文中宋" w:eastAsia="仿宋_GB2312"/>
          <w:color w:val="000000" w:themeColor="text1"/>
          <w:sz w:val="28"/>
          <w:szCs w:val="28"/>
          <w:lang w:val="en-US" w:eastAsia="zh-CN"/>
          <w14:textFill>
            <w14:solidFill>
              <w14:schemeClr w14:val="tx1"/>
            </w14:solidFill>
          </w14:textFill>
        </w:rPr>
        <w:t>1、2</w:t>
      </w:r>
      <w:r>
        <w:rPr>
          <w:rFonts w:hint="eastAsia" w:ascii="仿宋_GB2312" w:hAnsi="华文中宋" w:eastAsia="仿宋_GB2312"/>
          <w:color w:val="000000" w:themeColor="text1"/>
          <w:sz w:val="28"/>
          <w:szCs w:val="28"/>
          <w:lang w:eastAsia="zh-CN"/>
          <w14:textFill>
            <w14:solidFill>
              <w14:schemeClr w14:val="tx1"/>
            </w14:solidFill>
          </w14:textFill>
        </w:rPr>
        <w:t>：</w:t>
      </w:r>
      <w:r>
        <w:rPr>
          <w:rFonts w:hint="eastAsia" w:ascii="仿宋_GB2312" w:hAnsi="华文中宋" w:eastAsia="仿宋_GB2312"/>
          <w:color w:val="auto"/>
          <w:sz w:val="28"/>
          <w:szCs w:val="28"/>
          <w:lang w:eastAsia="zh-CN"/>
        </w:rPr>
        <w:t>地面地板，墙面涂料及顶，并安设衣柜；</w:t>
      </w:r>
    </w:p>
    <w:p>
      <w:pPr>
        <w:spacing w:line="440" w:lineRule="exact"/>
        <w:ind w:right="8" w:firstLine="560" w:firstLineChars="200"/>
        <w:rPr>
          <w:rFonts w:hint="eastAsia" w:ascii="仿宋_GB2312" w:hAnsi="华文中宋" w:eastAsia="仿宋_GB2312"/>
          <w:color w:val="auto"/>
          <w:sz w:val="28"/>
          <w:szCs w:val="28"/>
          <w:lang w:eastAsia="zh-CN"/>
        </w:rPr>
      </w:pPr>
      <w:r>
        <w:rPr>
          <w:rFonts w:hint="eastAsia" w:ascii="仿宋_GB2312" w:hAnsi="华文中宋" w:eastAsia="仿宋_GB2312"/>
          <w:color w:val="auto"/>
          <w:sz w:val="28"/>
          <w:szCs w:val="28"/>
          <w:lang w:eastAsia="zh-CN"/>
        </w:rPr>
        <w:t>卧室</w:t>
      </w:r>
      <w:r>
        <w:rPr>
          <w:rFonts w:hint="eastAsia" w:ascii="仿宋_GB2312" w:hAnsi="华文中宋" w:eastAsia="仿宋_GB2312"/>
          <w:color w:val="auto"/>
          <w:sz w:val="28"/>
          <w:szCs w:val="28"/>
          <w:lang w:val="en-US" w:eastAsia="zh-CN"/>
        </w:rPr>
        <w:t>3</w:t>
      </w:r>
      <w:r>
        <w:rPr>
          <w:rFonts w:hint="eastAsia" w:ascii="仿宋_GB2312" w:hAnsi="华文中宋" w:eastAsia="仿宋_GB2312"/>
          <w:color w:val="auto"/>
          <w:sz w:val="28"/>
          <w:szCs w:val="28"/>
          <w:lang w:eastAsia="zh-CN"/>
        </w:rPr>
        <w:t>：地面地板，</w:t>
      </w:r>
      <w:r>
        <w:rPr>
          <w:rFonts w:hint="eastAsia" w:ascii="仿宋_GB2312" w:hAnsi="华文中宋" w:eastAsia="仿宋_GB2312"/>
          <w:color w:val="000000" w:themeColor="text1"/>
          <w:sz w:val="28"/>
          <w:szCs w:val="28"/>
          <w:lang w:eastAsia="zh-CN"/>
          <w14:textFill>
            <w14:solidFill>
              <w14:schemeClr w14:val="tx1"/>
            </w14:solidFill>
          </w14:textFill>
        </w:rPr>
        <w:t>墙</w:t>
      </w:r>
      <w:r>
        <w:rPr>
          <w:rFonts w:hint="eastAsia" w:ascii="仿宋_GB2312" w:hAnsi="华文中宋" w:eastAsia="仿宋_GB2312"/>
          <w:color w:val="auto"/>
          <w:sz w:val="28"/>
          <w:szCs w:val="28"/>
          <w:lang w:eastAsia="zh-CN"/>
        </w:rPr>
        <w:t>面</w:t>
      </w:r>
      <w:r>
        <w:rPr>
          <w:rFonts w:hint="eastAsia" w:ascii="仿宋_GB2312" w:hAnsi="华文中宋" w:eastAsia="仿宋_GB2312"/>
          <w:color w:val="000000" w:themeColor="text1"/>
          <w:sz w:val="28"/>
          <w:szCs w:val="28"/>
          <w:lang w:eastAsia="zh-CN"/>
          <w14:textFill>
            <w14:solidFill>
              <w14:schemeClr w14:val="tx1"/>
            </w14:solidFill>
          </w14:textFill>
        </w:rPr>
        <w:t>涂料，三夹板顶</w:t>
      </w:r>
      <w:r>
        <w:rPr>
          <w:rFonts w:hint="eastAsia" w:ascii="仿宋_GB2312" w:hAnsi="华文中宋" w:eastAsia="仿宋_GB2312"/>
          <w:color w:val="000000" w:themeColor="text1"/>
          <w:sz w:val="28"/>
          <w:szCs w:val="28"/>
          <w:lang w:val="en-US" w:eastAsia="zh-CN"/>
          <w14:textFill>
            <w14:solidFill>
              <w14:schemeClr w14:val="tx1"/>
            </w14:solidFill>
          </w14:textFill>
        </w:rPr>
        <w:t>，</w:t>
      </w:r>
      <w:r>
        <w:rPr>
          <w:rFonts w:hint="eastAsia" w:ascii="仿宋_GB2312" w:hAnsi="华文中宋" w:eastAsia="仿宋_GB2312"/>
          <w:color w:val="auto"/>
          <w:sz w:val="28"/>
          <w:szCs w:val="28"/>
          <w:lang w:eastAsia="zh-CN"/>
        </w:rPr>
        <w:t>并安设</w:t>
      </w:r>
      <w:r>
        <w:rPr>
          <w:rFonts w:hint="eastAsia" w:ascii="仿宋_GB2312" w:hAnsi="华文中宋" w:eastAsia="仿宋_GB2312"/>
          <w:color w:val="000000" w:themeColor="text1"/>
          <w:sz w:val="28"/>
          <w:szCs w:val="28"/>
          <w:lang w:val="en-US" w:eastAsia="zh-CN"/>
          <w14:textFill>
            <w14:solidFill>
              <w14:schemeClr w14:val="tx1"/>
            </w14:solidFill>
          </w14:textFill>
        </w:rPr>
        <w:t>装饰柜、写字台</w:t>
      </w:r>
      <w:r>
        <w:rPr>
          <w:rFonts w:hint="eastAsia" w:ascii="仿宋_GB2312" w:hAnsi="华文中宋" w:eastAsia="仿宋_GB2312"/>
          <w:color w:val="000000" w:themeColor="text1"/>
          <w:sz w:val="28"/>
          <w:szCs w:val="28"/>
          <w:lang w:eastAsia="zh-CN"/>
          <w14:textFill>
            <w14:solidFill>
              <w14:schemeClr w14:val="tx1"/>
            </w14:solidFill>
          </w14:textFill>
        </w:rPr>
        <w:t>；</w:t>
      </w:r>
    </w:p>
    <w:p>
      <w:pPr>
        <w:spacing w:line="440" w:lineRule="exact"/>
        <w:ind w:right="8" w:firstLine="560" w:firstLineChars="200"/>
        <w:rPr>
          <w:rFonts w:hint="eastAsia" w:ascii="仿宋_GB2312" w:hAnsi="华文中宋" w:eastAsia="仿宋_GB2312"/>
          <w:color w:val="000000" w:themeColor="text1"/>
          <w:sz w:val="28"/>
          <w:szCs w:val="28"/>
          <w:lang w:eastAsia="zh-CN"/>
          <w14:textFill>
            <w14:solidFill>
              <w14:schemeClr w14:val="tx1"/>
            </w14:solidFill>
          </w14:textFill>
        </w:rPr>
      </w:pPr>
      <w:r>
        <w:rPr>
          <w:rFonts w:hint="eastAsia" w:ascii="仿宋_GB2312" w:hAnsi="华文中宋" w:eastAsia="仿宋_GB2312"/>
          <w:color w:val="000000" w:themeColor="text1"/>
          <w:sz w:val="28"/>
          <w:szCs w:val="28"/>
          <w:lang w:eastAsia="zh-CN"/>
          <w14:textFill>
            <w14:solidFill>
              <w14:schemeClr w14:val="tx1"/>
            </w14:solidFill>
          </w14:textFill>
        </w:rPr>
        <w:t>卫：地面地砖，墙面墙砖，塑扣顶，并安设洗漱台盆、坐便器、浴缸等；</w:t>
      </w:r>
    </w:p>
    <w:p>
      <w:pPr>
        <w:snapToGrid w:val="0"/>
        <w:spacing w:line="440" w:lineRule="exact"/>
        <w:ind w:firstLine="560" w:firstLineChars="200"/>
        <w:rPr>
          <w:rFonts w:hint="eastAsia" w:ascii="仿宋" w:hAnsi="仿宋" w:eastAsia="仿宋" w:cs="仿宋"/>
          <w:color w:val="auto"/>
          <w:sz w:val="28"/>
          <w:lang w:eastAsia="zh-CN"/>
        </w:rPr>
      </w:pPr>
      <w:r>
        <w:rPr>
          <w:rFonts w:hint="eastAsia" w:ascii="仿宋" w:hAnsi="仿宋" w:eastAsia="仿宋" w:cs="仿宋"/>
          <w:color w:val="auto"/>
          <w:sz w:val="28"/>
          <w:lang w:eastAsia="zh-CN"/>
        </w:rPr>
        <w:t>现场勘察之日，估价对象为空置状态。</w:t>
      </w:r>
    </w:p>
    <w:p>
      <w:pPr>
        <w:snapToGrid w:val="0"/>
        <w:spacing w:line="440" w:lineRule="exact"/>
        <w:ind w:firstLine="560" w:firstLineChars="200"/>
        <w:rPr>
          <w:rFonts w:hint="eastAsia" w:ascii="仿宋_GB2312" w:hAnsi="华文中宋" w:eastAsia="仿宋_GB2312"/>
          <w:sz w:val="28"/>
          <w:szCs w:val="28"/>
        </w:rPr>
      </w:pPr>
      <w:r>
        <w:rPr>
          <w:rFonts w:hint="eastAsia" w:ascii="仿宋_GB2312" w:hAnsi="华文中宋" w:eastAsia="仿宋_GB2312"/>
          <w:color w:val="auto"/>
          <w:sz w:val="28"/>
          <w:szCs w:val="28"/>
        </w:rPr>
        <w:t>估价对象建筑物经现场勘察，</w:t>
      </w:r>
      <w:r>
        <w:rPr>
          <w:rFonts w:hint="eastAsia" w:ascii="仿宋_GB2312" w:hAnsi="华文中宋" w:eastAsia="仿宋_GB2312"/>
          <w:color w:val="auto"/>
          <w:sz w:val="28"/>
          <w:szCs w:val="28"/>
          <w:lang w:eastAsia="zh-CN"/>
        </w:rPr>
        <w:t>房屋</w:t>
      </w:r>
      <w:r>
        <w:rPr>
          <w:rFonts w:hint="eastAsia" w:ascii="仿宋_GB2312" w:hAnsi="华文中宋" w:eastAsia="仿宋_GB2312"/>
          <w:color w:val="auto"/>
          <w:sz w:val="28"/>
          <w:szCs w:val="28"/>
        </w:rPr>
        <w:t>维护保养状况</w:t>
      </w:r>
      <w:r>
        <w:rPr>
          <w:rFonts w:hint="eastAsia" w:ascii="仿宋_GB2312" w:hAnsi="华文中宋" w:eastAsia="仿宋_GB2312"/>
          <w:color w:val="auto"/>
          <w:sz w:val="28"/>
          <w:szCs w:val="28"/>
          <w:lang w:eastAsia="zh-CN"/>
        </w:rPr>
        <w:t>一般</w:t>
      </w:r>
      <w:r>
        <w:rPr>
          <w:rFonts w:hint="eastAsia" w:ascii="仿宋_GB2312" w:hAnsi="华文中宋" w:eastAsia="仿宋_GB2312"/>
          <w:sz w:val="28"/>
          <w:szCs w:val="28"/>
        </w:rPr>
        <w:t>，承重结构</w:t>
      </w:r>
    </w:p>
    <w:p>
      <w:pPr>
        <w:keepNext w:val="0"/>
        <w:keepLines w:val="0"/>
        <w:pageBreakBefore w:val="0"/>
        <w:widowControl w:val="0"/>
        <w:kinsoku/>
        <w:wordWrap/>
        <w:overflowPunct/>
        <w:topLinePunct w:val="0"/>
        <w:autoSpaceDE/>
        <w:autoSpaceDN/>
        <w:bidi w:val="0"/>
        <w:adjustRightInd/>
        <w:snapToGrid/>
        <w:spacing w:line="440" w:lineRule="exact"/>
        <w:ind w:right="8"/>
        <w:textAlignment w:val="auto"/>
        <w:rPr>
          <w:rFonts w:hint="eastAsia" w:ascii="仿宋_GB2312" w:hAnsi="华文中宋" w:eastAsia="仿宋_GB2312"/>
          <w:sz w:val="28"/>
          <w:szCs w:val="28"/>
        </w:rPr>
      </w:pPr>
      <w:r>
        <w:rPr>
          <w:rFonts w:hint="eastAsia" w:ascii="仿宋_GB2312" w:hAnsi="华文中宋" w:eastAsia="仿宋_GB2312"/>
          <w:sz w:val="28"/>
          <w:szCs w:val="28"/>
        </w:rPr>
        <w:t>未见不均匀沉降，</w:t>
      </w:r>
      <w:r>
        <w:rPr>
          <w:rFonts w:hint="eastAsia" w:ascii="仿宋_GB2312" w:hAnsi="华文中宋" w:eastAsia="仿宋_GB2312"/>
          <w:sz w:val="28"/>
          <w:szCs w:val="28"/>
          <w:lang w:eastAsia="zh-CN"/>
        </w:rPr>
        <w:t>采光通风条件较好，</w:t>
      </w:r>
      <w:r>
        <w:rPr>
          <w:rFonts w:hint="eastAsia" w:ascii="仿宋_GB2312" w:hAnsi="华文中宋" w:eastAsia="仿宋_GB2312"/>
          <w:sz w:val="28"/>
          <w:szCs w:val="28"/>
        </w:rPr>
        <w:t>整体观感</w:t>
      </w:r>
      <w:r>
        <w:rPr>
          <w:rFonts w:hint="eastAsia" w:ascii="仿宋_GB2312" w:hAnsi="华文中宋" w:eastAsia="仿宋_GB2312"/>
          <w:color w:val="auto"/>
          <w:sz w:val="28"/>
          <w:szCs w:val="28"/>
          <w:lang w:eastAsia="zh-CN"/>
        </w:rPr>
        <w:t>一般</w:t>
      </w:r>
      <w:r>
        <w:rPr>
          <w:rFonts w:hint="eastAsia" w:ascii="仿宋_GB2312" w:hAnsi="华文中宋"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eastAsia="仿宋_GB2312"/>
          <w:b/>
          <w:bCs/>
          <w:sz w:val="28"/>
        </w:rPr>
      </w:pPr>
      <w:r>
        <w:rPr>
          <w:rFonts w:hint="eastAsia" w:eastAsia="仿宋_GB2312"/>
          <w:b/>
          <w:bCs/>
          <w:sz w:val="28"/>
        </w:rPr>
        <w:t>五、价值时点</w:t>
      </w:r>
      <w:bookmarkEnd w:id="25"/>
      <w:bookmarkEnd w:id="26"/>
    </w:p>
    <w:p>
      <w:pPr>
        <w:keepNext w:val="0"/>
        <w:keepLines w:val="0"/>
        <w:pageBreakBefore w:val="0"/>
        <w:widowControl w:val="0"/>
        <w:kinsoku/>
        <w:wordWrap/>
        <w:overflowPunct/>
        <w:topLinePunct w:val="0"/>
        <w:autoSpaceDE/>
        <w:autoSpaceDN/>
        <w:bidi w:val="0"/>
        <w:adjustRightInd/>
        <w:snapToGrid/>
        <w:spacing w:line="440" w:lineRule="exact"/>
        <w:ind w:right="8" w:firstLine="560" w:firstLineChars="200"/>
        <w:textAlignment w:val="auto"/>
        <w:rPr>
          <w:rFonts w:hint="eastAsia" w:eastAsia="仿宋_GB2312"/>
          <w:color w:val="FF0000"/>
          <w:sz w:val="28"/>
        </w:rPr>
      </w:pPr>
      <w:bookmarkStart w:id="27" w:name="_Toc20355"/>
      <w:bookmarkStart w:id="28" w:name="_Toc423267920"/>
      <w:r>
        <w:rPr>
          <w:rFonts w:hint="eastAsia" w:ascii="仿宋_GB2312" w:hAnsi="华文中宋" w:eastAsia="仿宋_GB2312"/>
          <w:sz w:val="28"/>
          <w:szCs w:val="28"/>
        </w:rPr>
        <w:t>本次价值时点委托人未作特别要求，估价人员根据《房地产估价规范》规定，以估价人员现场勘查之日</w:t>
      </w:r>
      <w:r>
        <w:rPr>
          <w:rFonts w:hint="eastAsia" w:ascii="仿宋_GB2312" w:hAnsi="华文中宋" w:eastAsia="仿宋_GB2312"/>
          <w:sz w:val="28"/>
          <w:szCs w:val="28"/>
          <w:lang w:eastAsia="zh-CN"/>
        </w:rPr>
        <w:t>2022年8月15日</w:t>
      </w:r>
      <w:r>
        <w:rPr>
          <w:rFonts w:hint="eastAsia" w:ascii="仿宋_GB2312" w:hAnsi="华文中宋" w:eastAsia="仿宋_GB2312"/>
          <w:sz w:val="28"/>
          <w:szCs w:val="28"/>
        </w:rPr>
        <w:t>作为本次估价对象的价值时点。</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outlineLvl w:val="1"/>
        <w:rPr>
          <w:rFonts w:hint="eastAsia" w:eastAsia="仿宋_GB2312"/>
          <w:b/>
          <w:bCs/>
          <w:sz w:val="28"/>
        </w:rPr>
      </w:pPr>
      <w:r>
        <w:rPr>
          <w:rFonts w:hint="eastAsia" w:eastAsia="仿宋_GB2312"/>
          <w:b/>
          <w:bCs/>
          <w:sz w:val="28"/>
        </w:rPr>
        <w:t>六、价值类型</w:t>
      </w:r>
      <w:bookmarkEnd w:id="27"/>
      <w:bookmarkEnd w:id="28"/>
    </w:p>
    <w:p>
      <w:pPr>
        <w:keepNext w:val="0"/>
        <w:keepLines w:val="0"/>
        <w:pageBreakBefore w:val="0"/>
        <w:widowControl w:val="0"/>
        <w:kinsoku/>
        <w:wordWrap/>
        <w:overflowPunct/>
        <w:topLinePunct w:val="0"/>
        <w:autoSpaceDE/>
        <w:autoSpaceDN/>
        <w:bidi w:val="0"/>
        <w:adjustRightInd/>
        <w:snapToGrid/>
        <w:spacing w:line="440" w:lineRule="exact"/>
        <w:ind w:right="8" w:firstLine="560" w:firstLineChars="200"/>
        <w:textAlignment w:val="auto"/>
        <w:rPr>
          <w:rFonts w:hint="eastAsia" w:ascii="仿宋_GB2312" w:hAnsi="华文中宋" w:eastAsia="仿宋_GB2312"/>
          <w:sz w:val="28"/>
          <w:szCs w:val="28"/>
        </w:rPr>
      </w:pPr>
      <w:bookmarkStart w:id="29" w:name="_Toc4274"/>
      <w:r>
        <w:rPr>
          <w:rFonts w:hint="eastAsia" w:ascii="仿宋_GB2312" w:hAnsi="华文中宋" w:eastAsia="仿宋_GB2312"/>
          <w:sz w:val="28"/>
          <w:szCs w:val="28"/>
        </w:rPr>
        <w:t>本次估价所指价格是：估价对象在公开市场标准及满足估价的假设和限制条件下在价值时点（</w:t>
      </w:r>
      <w:r>
        <w:rPr>
          <w:rFonts w:hint="eastAsia" w:ascii="仿宋_GB2312" w:hAnsi="华文中宋" w:eastAsia="仿宋_GB2312"/>
          <w:sz w:val="28"/>
          <w:szCs w:val="28"/>
          <w:lang w:eastAsia="zh-CN"/>
        </w:rPr>
        <w:t>2022年8月15日</w:t>
      </w:r>
      <w:r>
        <w:rPr>
          <w:rFonts w:hint="eastAsia" w:ascii="仿宋_GB2312" w:hAnsi="华文中宋" w:eastAsia="仿宋_GB2312"/>
          <w:sz w:val="28"/>
          <w:szCs w:val="28"/>
        </w:rPr>
        <w:t>）所具有的客观合理价值。</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outlineLvl w:val="1"/>
        <w:rPr>
          <w:rFonts w:hint="eastAsia" w:eastAsia="仿宋_GB2312"/>
          <w:b/>
          <w:bCs/>
          <w:sz w:val="28"/>
        </w:rPr>
      </w:pPr>
      <w:r>
        <w:rPr>
          <w:rFonts w:hint="eastAsia" w:eastAsia="仿宋_GB2312"/>
          <w:b/>
          <w:bCs/>
          <w:sz w:val="28"/>
        </w:rPr>
        <w:t>七、估价原则</w:t>
      </w:r>
      <w:bookmarkEnd w:id="29"/>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本项估价遵循独立、客观、公正原则、合法原则、价值时点原则、替代原则、最高最佳使用原则。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1、独立、客观、公正原则：要求站在中立的立场上，实事求是、公平正直地评估出对各方估价利害关系人均是公平合理的价值或价格的原则。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2、合法原则：要求估价结果是在依法判定的估价对象状况下的价值或价格的原则。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3、价值时点原则：要求估价结果是在根据估价目的确定的某一特定时间的价值或价格的原则。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4、替代原则：要求估价结果与估价对象的类似房地产在同等条件下的价值或价格偏差在合理范围内的原则。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lang w:val="zh-CN"/>
        </w:rPr>
      </w:pPr>
      <w:r>
        <w:rPr>
          <w:rFonts w:hint="eastAsia" w:eastAsia="仿宋_GB2312"/>
          <w:sz w:val="28"/>
        </w:rPr>
        <w:t>5、最高最佳利用原则：要求估价结果是在估价对象最高最佳利用状况下的价值或价格的原则，最高最佳利用指房地产在法律上允许、技术上可能、财务上可行并使价值最大的合理、可能的利用，包括最佳的用途、规模、档次等。</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outlineLvl w:val="1"/>
        <w:rPr>
          <w:rFonts w:hint="eastAsia" w:eastAsia="仿宋_GB2312"/>
          <w:b/>
          <w:bCs/>
          <w:sz w:val="28"/>
        </w:rPr>
      </w:pPr>
      <w:bookmarkStart w:id="30" w:name="_Toc423267921"/>
      <w:bookmarkEnd w:id="30"/>
      <w:bookmarkStart w:id="31" w:name="_Toc378491516"/>
      <w:bookmarkStart w:id="32" w:name="_Toc16925"/>
      <w:r>
        <w:rPr>
          <w:rFonts w:hint="eastAsia" w:eastAsia="仿宋_GB2312"/>
          <w:b/>
          <w:bCs/>
          <w:sz w:val="28"/>
        </w:rPr>
        <w:t>八、估价依据</w:t>
      </w:r>
      <w:bookmarkEnd w:id="31"/>
      <w:bookmarkEnd w:id="32"/>
    </w:p>
    <w:p>
      <w:pPr>
        <w:pStyle w:val="8"/>
        <w:keepNext w:val="0"/>
        <w:keepLines w:val="0"/>
        <w:pageBreakBefore w:val="0"/>
        <w:widowControl w:val="0"/>
        <w:kinsoku/>
        <w:wordWrap/>
        <w:overflowPunct/>
        <w:topLinePunct w:val="0"/>
        <w:autoSpaceDE/>
        <w:autoSpaceDN/>
        <w:bidi w:val="0"/>
        <w:adjustRightInd/>
        <w:snapToGrid/>
        <w:spacing w:after="0" w:line="440" w:lineRule="exact"/>
        <w:ind w:left="0" w:leftChars="0"/>
        <w:textAlignment w:val="auto"/>
        <w:rPr>
          <w:rFonts w:hint="eastAsia" w:ascii="仿宋_GB2312" w:hAnsi="华文仿宋" w:eastAsia="仿宋_GB2312"/>
          <w:bCs/>
          <w:sz w:val="28"/>
          <w:szCs w:val="28"/>
          <w:lang w:eastAsia="zh-CN"/>
        </w:rPr>
      </w:pPr>
      <w:bookmarkStart w:id="33" w:name="_Toc423267923"/>
      <w:bookmarkEnd w:id="33"/>
      <w:bookmarkStart w:id="34" w:name="_Toc423267922"/>
      <w:bookmarkEnd w:id="34"/>
      <w:bookmarkStart w:id="35" w:name="_Toc378491518"/>
      <w:bookmarkStart w:id="36" w:name="_Toc28070"/>
      <w:r>
        <w:rPr>
          <w:rFonts w:hint="eastAsia" w:ascii="仿宋_GB2312" w:hAnsi="华文仿宋" w:eastAsia="仿宋_GB2312"/>
          <w:bCs/>
          <w:sz w:val="28"/>
          <w:szCs w:val="28"/>
        </w:rPr>
        <w:t>（一）国家有关法律、行政法规、规章和估价行业技术标准</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1、</w:t>
      </w:r>
      <w:r>
        <w:rPr>
          <w:rFonts w:hint="eastAsia" w:eastAsia="仿宋_GB2312"/>
          <w:sz w:val="28"/>
          <w:highlight w:val="none"/>
        </w:rPr>
        <w:t>《中华人民共和国拍卖法》、</w:t>
      </w:r>
      <w:r>
        <w:rPr>
          <w:rFonts w:hint="eastAsia" w:eastAsia="仿宋_GB2312"/>
          <w:sz w:val="28"/>
          <w:highlight w:val="none"/>
          <w:lang w:eastAsia="zh-CN"/>
        </w:rPr>
        <w:t>《最高人民法院关于人民法院确定财产处置参考价若干问题的规定》、《人民法院委托评估工作规范》、</w:t>
      </w:r>
      <w:r>
        <w:rPr>
          <w:rFonts w:hint="eastAsia" w:eastAsia="仿宋_GB2312"/>
          <w:sz w:val="28"/>
          <w:highlight w:val="none"/>
        </w:rPr>
        <w:t>最高人民法院</w:t>
      </w:r>
      <w:r>
        <w:rPr>
          <w:rFonts w:hint="eastAsia" w:eastAsia="仿宋_GB2312"/>
          <w:sz w:val="28"/>
          <w:highlight w:val="none"/>
          <w:lang w:eastAsia="zh-CN"/>
        </w:rPr>
        <w:t>商业</w:t>
      </w:r>
      <w:r>
        <w:rPr>
          <w:rFonts w:hint="eastAsia" w:eastAsia="仿宋_GB2312"/>
          <w:sz w:val="28"/>
          <w:highlight w:val="none"/>
        </w:rPr>
        <w:t>厅关于印发《技术咨询、技术审核工作管理规定》和《对外委托鉴定、评估、拍卖等工作管理规定》的通知、最高人民法院关于人民法院民事执行中拍卖、变卖财产的规定；</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2、《中华人民共和国城市房地产管理法》(国家主席令第72号)；</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3、《中华人民共和国土地管理法》(国家主席令第28号)；</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4、《中华人民共和国资产评估法》(国家主席令第46号)；</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5、《房地产估价规范》(国标GB/T 50291—2015)；</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6、《房地产估价基本术语标准》(国标GB/T 50899—2013)；</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lang w:eastAsia="zh-CN"/>
        </w:rPr>
      </w:pPr>
      <w:r>
        <w:rPr>
          <w:rFonts w:hint="eastAsia" w:eastAsia="仿宋_GB2312"/>
          <w:sz w:val="28"/>
        </w:rPr>
        <w:t>7、</w:t>
      </w:r>
      <w:r>
        <w:rPr>
          <w:rFonts w:hint="eastAsia" w:eastAsia="仿宋_GB2312"/>
          <w:sz w:val="28"/>
          <w:lang w:eastAsia="zh-CN"/>
        </w:rPr>
        <w:t>《涉执房地产处置司法评估指导意见（试行）》（中房学[</w:t>
      </w:r>
      <w:r>
        <w:rPr>
          <w:rFonts w:hint="eastAsia" w:eastAsia="仿宋_GB2312"/>
          <w:sz w:val="28"/>
          <w:lang w:val="en-US" w:eastAsia="zh-CN"/>
        </w:rPr>
        <w:t>2021</w:t>
      </w:r>
      <w:r>
        <w:rPr>
          <w:rFonts w:hint="eastAsia" w:eastAsia="仿宋_GB2312"/>
          <w:sz w:val="28"/>
          <w:lang w:eastAsia="zh-CN"/>
        </w:rPr>
        <w:t>]</w:t>
      </w:r>
      <w:r>
        <w:rPr>
          <w:rFonts w:hint="eastAsia" w:eastAsia="仿宋_GB2312"/>
          <w:sz w:val="28"/>
          <w:lang w:val="en-US" w:eastAsia="zh-CN"/>
        </w:rPr>
        <w:t>37</w:t>
      </w:r>
      <w:r>
        <w:rPr>
          <w:rFonts w:hint="eastAsia" w:eastAsia="仿宋_GB2312"/>
          <w:sz w:val="28"/>
          <w:lang w:eastAsia="zh-CN"/>
        </w:rPr>
        <w:t>号）</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8、《浙江省房地产估价技术指引》（浙估协{2016}46号）</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lang w:val="en-US" w:eastAsia="zh-CN"/>
        </w:rPr>
      </w:pPr>
      <w:r>
        <w:rPr>
          <w:rFonts w:hint="eastAsia" w:eastAsia="仿宋_GB2312"/>
          <w:sz w:val="28"/>
          <w:lang w:val="en-US" w:eastAsia="zh-CN"/>
        </w:rPr>
        <w:t>9、《浙江省房地产司法评估指导意见（试行）》（浙估协[2021]3号）；</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lang w:eastAsia="zh-CN"/>
        </w:rPr>
      </w:pPr>
      <w:r>
        <w:rPr>
          <w:rFonts w:hint="eastAsia" w:eastAsia="仿宋_GB2312"/>
          <w:sz w:val="28"/>
          <w:lang w:val="en-US" w:eastAsia="zh-CN"/>
        </w:rPr>
        <w:t>10、</w:t>
      </w:r>
      <w:r>
        <w:rPr>
          <w:rFonts w:hint="eastAsia" w:eastAsia="仿宋_GB2312"/>
          <w:sz w:val="28"/>
        </w:rPr>
        <w:t>《浙江省人民法院实施&lt;人民法院对外委托司法鉴定管理规定&gt;细则》</w:t>
      </w:r>
      <w:r>
        <w:rPr>
          <w:rFonts w:hint="eastAsia" w:eastAsia="仿宋_GB2312"/>
          <w:sz w:val="28"/>
          <w:lang w:eastAsia="zh-CN"/>
        </w:rPr>
        <w:t>。</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rPr>
          <w:rFonts w:hint="eastAsia" w:eastAsia="仿宋_GB2312"/>
          <w:sz w:val="28"/>
        </w:rPr>
      </w:pPr>
      <w:r>
        <w:rPr>
          <w:rFonts w:hint="eastAsia" w:eastAsia="仿宋_GB2312"/>
          <w:sz w:val="28"/>
        </w:rPr>
        <w:t>（二）委托人提供的有关资料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700" w:firstLineChars="250"/>
        <w:jc w:val="left"/>
        <w:textAlignment w:val="auto"/>
        <w:rPr>
          <w:rFonts w:hint="eastAsia" w:eastAsia="仿宋_GB2312"/>
          <w:color w:val="FF0000"/>
          <w:sz w:val="28"/>
        </w:rPr>
      </w:pPr>
      <w:r>
        <w:rPr>
          <w:rFonts w:hint="eastAsia" w:eastAsia="仿宋_GB2312"/>
          <w:color w:val="000000" w:themeColor="text1"/>
          <w:sz w:val="28"/>
          <w14:textFill>
            <w14:solidFill>
              <w14:schemeClr w14:val="tx1"/>
            </w14:solidFill>
          </w14:textFill>
        </w:rPr>
        <w:t>委托方提供的</w:t>
      </w:r>
      <w:r>
        <w:rPr>
          <w:rFonts w:hint="eastAsia" w:ascii="仿宋_GB2312" w:hAnsi="仿宋_GB2312" w:eastAsia="仿宋_GB2312" w:cs="仿宋_GB2312"/>
          <w:color w:val="000000"/>
          <w:sz w:val="28"/>
          <w:szCs w:val="28"/>
          <w:shd w:val="clear" w:color="auto" w:fill="FFFFFF"/>
          <w:lang w:eastAsia="zh-CN"/>
        </w:rPr>
        <w:t>《司法委托书》</w:t>
      </w:r>
      <w:r>
        <w:rPr>
          <w:rFonts w:hint="eastAsia" w:ascii="仿宋_GB2312" w:hAnsi="仿宋" w:eastAsia="仿宋_GB2312" w:cs="新宋体-18030"/>
          <w:sz w:val="28"/>
          <w:szCs w:val="28"/>
          <w:lang w:eastAsia="zh-CN"/>
        </w:rPr>
        <w:t>、</w:t>
      </w:r>
      <w:r>
        <w:rPr>
          <w:rFonts w:hint="eastAsia" w:ascii="仿宋_GB2312" w:hAnsi="仿宋" w:eastAsia="仿宋_GB2312" w:cs="新宋体-18030"/>
          <w:sz w:val="28"/>
          <w:szCs w:val="28"/>
        </w:rPr>
        <w:t>《</w:t>
      </w:r>
      <w:r>
        <w:rPr>
          <w:rFonts w:hint="eastAsia" w:ascii="仿宋_GB2312" w:hAnsi="仿宋" w:eastAsia="仿宋_GB2312" w:cs="新宋体-18030"/>
          <w:sz w:val="28"/>
          <w:szCs w:val="28"/>
          <w:lang w:eastAsia="zh-CN"/>
        </w:rPr>
        <w:t>房屋所有权证》、《土地使用证》、《宁波市不动产登记情况证明》</w:t>
      </w:r>
      <w:r>
        <w:rPr>
          <w:rFonts w:hint="eastAsia" w:ascii="仿宋_GB2312" w:eastAsia="仿宋_GB2312"/>
          <w:color w:val="000000" w:themeColor="text1"/>
          <w:sz w:val="28"/>
          <w:lang w:eastAsia="zh-CN"/>
          <w14:textFill>
            <w14:solidFill>
              <w14:schemeClr w14:val="tx1"/>
            </w14:solidFill>
          </w14:textFill>
        </w:rPr>
        <w:t>复印件</w:t>
      </w:r>
      <w:r>
        <w:rPr>
          <w:rFonts w:hint="eastAsia" w:eastAsia="仿宋_GB2312"/>
          <w:color w:val="000000" w:themeColor="text1"/>
          <w:sz w:val="28"/>
          <w14:textFill>
            <w14:solidFill>
              <w14:schemeClr w14:val="tx1"/>
            </w14:solidFill>
          </w14:textFill>
        </w:rPr>
        <w:t>等资料；</w:t>
      </w:r>
      <w:r>
        <w:rPr>
          <w:rFonts w:hint="eastAsia" w:eastAsia="仿宋_GB2312"/>
          <w:color w:val="FF0000"/>
          <w:sz w:val="28"/>
        </w:rPr>
        <w:t xml:space="preserve">  </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rPr>
          <w:rFonts w:hint="eastAsia" w:eastAsia="仿宋_GB2312"/>
          <w:sz w:val="28"/>
        </w:rPr>
      </w:pPr>
      <w:r>
        <w:rPr>
          <w:rFonts w:hint="eastAsia" w:eastAsia="仿宋_GB2312"/>
          <w:color w:val="auto"/>
          <w:sz w:val="28"/>
        </w:rPr>
        <w:t>（三）估价机构调查取得的有关资</w:t>
      </w:r>
      <w:r>
        <w:rPr>
          <w:rFonts w:hint="eastAsia" w:eastAsia="仿宋_GB2312"/>
          <w:sz w:val="28"/>
        </w:rPr>
        <w:t>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560" w:firstLineChars="200"/>
        <w:jc w:val="both"/>
        <w:textAlignment w:val="auto"/>
        <w:rPr>
          <w:rFonts w:hint="eastAsia" w:eastAsia="仿宋_GB2312"/>
          <w:sz w:val="28"/>
        </w:rPr>
      </w:pPr>
      <w:r>
        <w:rPr>
          <w:rFonts w:hint="eastAsia" w:eastAsia="仿宋_GB2312"/>
          <w:sz w:val="28"/>
        </w:rPr>
        <w:t>1、</w:t>
      </w:r>
      <w:r>
        <w:rPr>
          <w:rFonts w:hint="eastAsia" w:eastAsia="仿宋_GB2312"/>
          <w:sz w:val="28"/>
          <w:lang w:eastAsia="zh-CN"/>
        </w:rPr>
        <w:t>宁波市</w:t>
      </w:r>
      <w:r>
        <w:rPr>
          <w:rFonts w:hint="eastAsia" w:ascii="仿宋_GB2312" w:hAnsi="仿宋" w:eastAsia="仿宋_GB2312"/>
          <w:snapToGrid w:val="0"/>
          <w:kern w:val="0"/>
          <w:sz w:val="28"/>
          <w:szCs w:val="28"/>
          <w:lang w:val="en-US" w:eastAsia="zh-CN"/>
        </w:rPr>
        <w:t>住宅</w:t>
      </w:r>
      <w:r>
        <w:rPr>
          <w:rFonts w:hint="eastAsia" w:eastAsia="仿宋_GB2312"/>
          <w:sz w:val="28"/>
        </w:rPr>
        <w:t>房地产市场行情；</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560" w:firstLineChars="200"/>
        <w:jc w:val="left"/>
        <w:textAlignment w:val="auto"/>
        <w:outlineLvl w:val="1"/>
        <w:rPr>
          <w:rFonts w:hint="eastAsia" w:eastAsia="仿宋_GB2312"/>
          <w:sz w:val="28"/>
        </w:rPr>
      </w:pPr>
      <w:r>
        <w:rPr>
          <w:rFonts w:hint="eastAsia" w:eastAsia="仿宋_GB2312"/>
          <w:sz w:val="28"/>
        </w:rPr>
        <w:t>2、估价机构和估价人员实地查勘、市场调查所收集的资料。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outlineLvl w:val="1"/>
        <w:rPr>
          <w:rFonts w:hint="eastAsia" w:eastAsia="仿宋_GB2312"/>
          <w:b/>
          <w:bCs/>
          <w:sz w:val="28"/>
        </w:rPr>
      </w:pPr>
      <w:r>
        <w:rPr>
          <w:rFonts w:hint="eastAsia" w:eastAsia="仿宋_GB2312"/>
          <w:b/>
          <w:bCs/>
          <w:sz w:val="28"/>
        </w:rPr>
        <w:t>九、估价方法</w:t>
      </w:r>
      <w:bookmarkEnd w:id="35"/>
      <w:bookmarkEnd w:id="36"/>
    </w:p>
    <w:p>
      <w:pPr>
        <w:pStyle w:val="2"/>
        <w:keepNext w:val="0"/>
        <w:keepLines w:val="0"/>
        <w:pageBreakBefore w:val="0"/>
        <w:widowControl w:val="0"/>
        <w:kinsoku/>
        <w:wordWrap/>
        <w:overflowPunct/>
        <w:topLinePunct w:val="0"/>
        <w:autoSpaceDE/>
        <w:autoSpaceDN/>
        <w:bidi w:val="0"/>
        <w:adjustRightInd/>
        <w:snapToGrid/>
        <w:spacing w:line="440" w:lineRule="exact"/>
        <w:ind w:firstLine="548" w:firstLineChars="196"/>
        <w:jc w:val="both"/>
        <w:textAlignment w:val="auto"/>
        <w:rPr>
          <w:rFonts w:hint="eastAsia"/>
          <w:b w:val="0"/>
          <w:color w:val="000000"/>
          <w:sz w:val="28"/>
          <w:szCs w:val="28"/>
        </w:rPr>
      </w:pPr>
      <w:bookmarkStart w:id="37" w:name="_Toc423267924"/>
      <w:bookmarkEnd w:id="37"/>
      <w:bookmarkStart w:id="38" w:name="_Toc4003"/>
      <w:bookmarkStart w:id="39" w:name="_Toc378491519"/>
      <w:r>
        <w:rPr>
          <w:rFonts w:hint="eastAsia"/>
          <w:b w:val="0"/>
          <w:color w:val="000000"/>
          <w:sz w:val="28"/>
          <w:szCs w:val="28"/>
        </w:rPr>
        <w:t>依照国家行业标准《房地产估价规范》GB/T 50291—2015，通常的估价方法有比较法、收益法、假设开发法、成本法等。根据估价委托人提供的资料及房地产估价师实地查勘、市场调查和向房地产管理部门了解的政策、规划等有关资料，在遵循估价原则的基础上，经综合分析确定本次估价采用比较法作为主要估价方法。</w:t>
      </w:r>
    </w:p>
    <w:p>
      <w:pPr>
        <w:pStyle w:val="2"/>
        <w:keepNext w:val="0"/>
        <w:keepLines w:val="0"/>
        <w:pageBreakBefore w:val="0"/>
        <w:widowControl w:val="0"/>
        <w:kinsoku/>
        <w:wordWrap/>
        <w:overflowPunct/>
        <w:topLinePunct w:val="0"/>
        <w:autoSpaceDE/>
        <w:autoSpaceDN/>
        <w:bidi w:val="0"/>
        <w:adjustRightInd/>
        <w:snapToGrid/>
        <w:spacing w:line="440" w:lineRule="exact"/>
        <w:ind w:firstLine="548" w:firstLineChars="196"/>
        <w:jc w:val="both"/>
        <w:textAlignment w:val="auto"/>
        <w:rPr>
          <w:rFonts w:hint="eastAsia"/>
          <w:b w:val="0"/>
          <w:color w:val="000000"/>
          <w:sz w:val="28"/>
          <w:szCs w:val="28"/>
        </w:rPr>
      </w:pPr>
      <w:r>
        <w:rPr>
          <w:rFonts w:hint="eastAsia"/>
          <w:b w:val="0"/>
          <w:color w:val="000000"/>
          <w:sz w:val="28"/>
          <w:szCs w:val="28"/>
        </w:rPr>
        <w:t>比较法</w:t>
      </w:r>
    </w:p>
    <w:p>
      <w:pPr>
        <w:pStyle w:val="2"/>
        <w:keepNext w:val="0"/>
        <w:keepLines w:val="0"/>
        <w:pageBreakBefore w:val="0"/>
        <w:widowControl w:val="0"/>
        <w:kinsoku/>
        <w:wordWrap/>
        <w:overflowPunct/>
        <w:topLinePunct w:val="0"/>
        <w:autoSpaceDE/>
        <w:autoSpaceDN/>
        <w:bidi w:val="0"/>
        <w:adjustRightInd/>
        <w:snapToGrid/>
        <w:spacing w:line="440" w:lineRule="exact"/>
        <w:ind w:firstLine="548" w:firstLineChars="196"/>
        <w:jc w:val="both"/>
        <w:textAlignment w:val="auto"/>
        <w:rPr>
          <w:rFonts w:hint="eastAsia"/>
          <w:b w:val="0"/>
          <w:sz w:val="28"/>
          <w:szCs w:val="28"/>
        </w:rPr>
      </w:pPr>
      <w:r>
        <w:rPr>
          <w:rFonts w:hint="eastAsia"/>
          <w:b w:val="0"/>
          <w:sz w:val="28"/>
          <w:szCs w:val="28"/>
        </w:rPr>
        <w:t>比较法是将估价对象与在价值时点近期有过交易的类似房地产进行比较，对这些类似房地产的已知价格作适当的修正，以此估算估价对象的客观合理价格或价值的方法。基本公式如下：</w:t>
      </w:r>
    </w:p>
    <w:p>
      <w:pPr>
        <w:pStyle w:val="2"/>
        <w:keepNext w:val="0"/>
        <w:keepLines w:val="0"/>
        <w:pageBreakBefore w:val="0"/>
        <w:widowControl w:val="0"/>
        <w:kinsoku/>
        <w:wordWrap/>
        <w:overflowPunct/>
        <w:topLinePunct w:val="0"/>
        <w:autoSpaceDE/>
        <w:autoSpaceDN/>
        <w:bidi w:val="0"/>
        <w:adjustRightInd/>
        <w:snapToGrid/>
        <w:spacing w:line="440" w:lineRule="exact"/>
        <w:ind w:firstLine="548" w:firstLineChars="196"/>
        <w:jc w:val="both"/>
        <w:textAlignment w:val="auto"/>
        <w:rPr>
          <w:rFonts w:hint="eastAsia"/>
          <w:b w:val="0"/>
          <w:sz w:val="28"/>
          <w:szCs w:val="28"/>
        </w:rPr>
      </w:pPr>
      <w:r>
        <w:rPr>
          <w:rFonts w:hint="eastAsia"/>
          <w:b w:val="0"/>
          <w:sz w:val="28"/>
          <w:szCs w:val="28"/>
        </w:rPr>
        <w:t>房地产价格（单价） = 可比实例成交价格×交易情况修正系数×市场状况调整系数×房地产状况调整系数。</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outlineLvl w:val="1"/>
        <w:rPr>
          <w:rFonts w:hint="eastAsia" w:eastAsia="仿宋_GB2312"/>
          <w:b/>
          <w:bCs/>
          <w:sz w:val="28"/>
        </w:rPr>
      </w:pPr>
      <w:r>
        <w:rPr>
          <w:rFonts w:hint="eastAsia" w:eastAsia="仿宋_GB2312"/>
          <w:b/>
          <w:bCs/>
          <w:sz w:val="28"/>
        </w:rPr>
        <w:t>十、估价结果</w:t>
      </w:r>
      <w:bookmarkEnd w:id="38"/>
      <w:bookmarkEnd w:id="39"/>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560" w:firstLineChars="200"/>
        <w:jc w:val="both"/>
        <w:textAlignment w:val="auto"/>
        <w:outlineLvl w:val="9"/>
        <w:rPr>
          <w:rFonts w:hint="eastAsia" w:ascii="仿宋_GB2312"/>
          <w:color w:val="000000"/>
          <w:sz w:val="28"/>
        </w:rPr>
      </w:pPr>
      <w:r>
        <w:rPr>
          <w:rFonts w:hint="eastAsia" w:eastAsia="仿宋_GB2312"/>
          <w:sz w:val="28"/>
        </w:rPr>
        <w:t>本公司根据估价目的，遵循估价原则，按照估价程序，科学合理的运用估价方法，通过对影响房地产价值的因素进行认真的分析、测算并结合估价师的估价经验，确定委估房地产在价值时点</w:t>
      </w:r>
      <w:r>
        <w:rPr>
          <w:rFonts w:hint="eastAsia" w:ascii="仿宋_GB2312" w:hAnsi="仿宋_GB2312" w:eastAsia="仿宋_GB2312" w:cs="仿宋_GB2312"/>
          <w:color w:val="000000"/>
          <w:sz w:val="28"/>
          <w:szCs w:val="28"/>
          <w:shd w:val="clear" w:color="auto" w:fill="FFFFFF"/>
        </w:rPr>
        <w:t>市场价值为</w:t>
      </w:r>
      <w:bookmarkStart w:id="40" w:name="_Toc417912514"/>
      <w:bookmarkEnd w:id="40"/>
      <w:bookmarkStart w:id="41" w:name="_Toc423267925"/>
      <w:bookmarkEnd w:id="41"/>
      <w:bookmarkStart w:id="42" w:name="_Toc10158"/>
      <w:bookmarkStart w:id="43" w:name="_Toc20502"/>
      <w:bookmarkStart w:id="44" w:name="_Toc378491520"/>
      <w:r>
        <w:rPr>
          <w:rFonts w:hint="eastAsia" w:ascii="仿宋_GB2312" w:hAnsi="仿宋_GB2312" w:eastAsia="仿宋_GB2312" w:cs="仿宋_GB2312"/>
          <w:color w:val="000000"/>
          <w:sz w:val="28"/>
          <w:szCs w:val="28"/>
          <w:shd w:val="clear" w:color="auto" w:fill="FFFFFF"/>
        </w:rPr>
        <w:t>人民币</w:t>
      </w:r>
      <w:r>
        <w:rPr>
          <w:rFonts w:hint="eastAsia" w:ascii="仿宋_GB2312" w:hAnsi="仿宋_GB2312" w:eastAsia="仿宋_GB2312" w:cs="仿宋_GB2312"/>
          <w:b/>
          <w:bCs/>
          <w:color w:val="000000"/>
          <w:sz w:val="28"/>
          <w:szCs w:val="28"/>
          <w:shd w:val="clear" w:color="auto" w:fill="FFFFFF"/>
          <w:lang w:eastAsia="zh-CN"/>
        </w:rPr>
        <w:t>叁佰陆拾柒万元整</w:t>
      </w:r>
      <w:r>
        <w:rPr>
          <w:rFonts w:hint="eastAsia" w:ascii="仿宋_GB2312" w:hAnsi="仿宋_GB2312" w:eastAsia="仿宋_GB2312" w:cs="仿宋_GB2312"/>
          <w:b/>
          <w:bCs/>
          <w:color w:val="000000"/>
          <w:sz w:val="28"/>
          <w:szCs w:val="28"/>
          <w:shd w:val="clear" w:color="auto" w:fill="FFFFFF"/>
        </w:rPr>
        <w:t>(￥</w:t>
      </w:r>
      <w:r>
        <w:rPr>
          <w:rFonts w:hint="eastAsia" w:ascii="仿宋_GB2312" w:hAnsi="仿宋_GB2312" w:eastAsia="仿宋_GB2312" w:cs="仿宋_GB2312"/>
          <w:b/>
          <w:bCs/>
          <w:color w:val="000000"/>
          <w:sz w:val="28"/>
          <w:szCs w:val="28"/>
          <w:shd w:val="clear" w:color="auto" w:fill="FFFFFF"/>
          <w:lang w:eastAsia="zh-CN"/>
        </w:rPr>
        <w:t>：</w:t>
      </w:r>
      <w:r>
        <w:rPr>
          <w:rFonts w:hint="eastAsia" w:ascii="仿宋_GB2312" w:hAnsi="仿宋_GB2312" w:eastAsia="仿宋_GB2312" w:cs="仿宋_GB2312"/>
          <w:b/>
          <w:bCs/>
          <w:color w:val="000000"/>
          <w:sz w:val="28"/>
          <w:szCs w:val="28"/>
          <w:shd w:val="clear" w:color="auto" w:fill="FFFFFF"/>
          <w:lang w:val="en-US" w:eastAsia="zh-CN"/>
        </w:rPr>
        <w:t>367万</w:t>
      </w:r>
      <w:r>
        <w:rPr>
          <w:rFonts w:hint="eastAsia" w:ascii="仿宋_GB2312" w:hAnsi="仿宋_GB2312" w:eastAsia="仿宋_GB2312" w:cs="仿宋_GB2312"/>
          <w:b/>
          <w:bCs/>
          <w:color w:val="000000"/>
          <w:sz w:val="28"/>
          <w:szCs w:val="28"/>
          <w:shd w:val="clear" w:color="auto" w:fill="FFFFFF"/>
        </w:rPr>
        <w:t>元)</w:t>
      </w:r>
      <w:r>
        <w:rPr>
          <w:rFonts w:hint="eastAsia" w:ascii="仿宋_GB2312" w:hAnsi="仿宋_GB2312" w:eastAsia="仿宋_GB2312" w:cs="仿宋_GB2312"/>
          <w:b/>
          <w:bCs/>
          <w:color w:val="000000"/>
          <w:sz w:val="28"/>
          <w:szCs w:val="28"/>
          <w:shd w:val="clear" w:color="auto" w:fill="FFFFFF"/>
          <w:lang w:eastAsia="zh-CN"/>
        </w:rPr>
        <w:t>。</w:t>
      </w:r>
    </w:p>
    <w:p>
      <w:pPr>
        <w:pStyle w:val="2"/>
        <w:keepNext w:val="0"/>
        <w:keepLines w:val="0"/>
        <w:pageBreakBefore w:val="0"/>
        <w:widowControl w:val="0"/>
        <w:kinsoku/>
        <w:wordWrap/>
        <w:overflowPunct/>
        <w:topLinePunct w:val="0"/>
        <w:autoSpaceDE/>
        <w:autoSpaceDN/>
        <w:bidi w:val="0"/>
        <w:spacing w:line="440" w:lineRule="exact"/>
        <w:ind w:firstLine="0" w:firstLineChars="0"/>
        <w:jc w:val="both"/>
        <w:textAlignment w:val="auto"/>
        <w:outlineLvl w:val="1"/>
        <w:rPr>
          <w:rFonts w:hint="eastAsia" w:ascii="仿宋_GB2312"/>
          <w:color w:val="000000"/>
          <w:sz w:val="28"/>
        </w:rPr>
      </w:pPr>
      <w:r>
        <w:rPr>
          <w:rFonts w:hint="eastAsia" w:ascii="仿宋_GB2312"/>
          <w:color w:val="000000"/>
          <w:sz w:val="28"/>
        </w:rPr>
        <w:t>十一、注册房地产估价师</w:t>
      </w:r>
      <w:bookmarkEnd w:id="42"/>
      <w:bookmarkEnd w:id="43"/>
    </w:p>
    <w:tbl>
      <w:tblPr>
        <w:tblStyle w:val="11"/>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1948"/>
        <w:gridCol w:w="2525"/>
        <w:gridCol w:w="2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exact"/>
          <w:jc w:val="center"/>
        </w:trPr>
        <w:tc>
          <w:tcPr>
            <w:tcW w:w="1311"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姓名</w:t>
            </w:r>
          </w:p>
        </w:tc>
        <w:tc>
          <w:tcPr>
            <w:tcW w:w="1948"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注册号</w:t>
            </w:r>
          </w:p>
        </w:tc>
        <w:tc>
          <w:tcPr>
            <w:tcW w:w="2525"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签名</w:t>
            </w:r>
          </w:p>
        </w:tc>
        <w:tc>
          <w:tcPr>
            <w:tcW w:w="271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exact"/>
          <w:jc w:val="center"/>
        </w:trPr>
        <w:tc>
          <w:tcPr>
            <w:tcW w:w="1311" w:type="dxa"/>
            <w:noWrap w:val="0"/>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w:t>
            </w:r>
          </w:p>
        </w:tc>
        <w:tc>
          <w:tcPr>
            <w:tcW w:w="1948" w:type="dxa"/>
            <w:noWrap w:val="0"/>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w:t>
            </w:r>
          </w:p>
        </w:tc>
        <w:tc>
          <w:tcPr>
            <w:tcW w:w="2525" w:type="dxa"/>
            <w:noWrap w:val="0"/>
            <w:vAlign w:val="center"/>
          </w:tcPr>
          <w:p>
            <w:pPr>
              <w:jc w:val="center"/>
              <w:rPr>
                <w:rFonts w:hint="eastAsia" w:ascii="仿宋" w:hAnsi="仿宋" w:eastAsia="仿宋" w:cs="仿宋"/>
                <w:sz w:val="28"/>
                <w:szCs w:val="28"/>
              </w:rPr>
            </w:pPr>
          </w:p>
        </w:tc>
        <w:tc>
          <w:tcPr>
            <w:tcW w:w="271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exact"/>
          <w:jc w:val="center"/>
        </w:trPr>
        <w:tc>
          <w:tcPr>
            <w:tcW w:w="1311" w:type="dxa"/>
            <w:noWrap w:val="0"/>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 ****</w:t>
            </w:r>
          </w:p>
        </w:tc>
        <w:tc>
          <w:tcPr>
            <w:tcW w:w="1948" w:type="dxa"/>
            <w:noWrap w:val="0"/>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w:t>
            </w:r>
          </w:p>
        </w:tc>
        <w:tc>
          <w:tcPr>
            <w:tcW w:w="2525" w:type="dxa"/>
            <w:noWrap w:val="0"/>
            <w:vAlign w:val="center"/>
          </w:tcPr>
          <w:p>
            <w:pPr>
              <w:jc w:val="center"/>
              <w:rPr>
                <w:rFonts w:hint="eastAsia" w:ascii="仿宋" w:hAnsi="仿宋" w:eastAsia="仿宋" w:cs="仿宋"/>
                <w:sz w:val="28"/>
                <w:szCs w:val="28"/>
              </w:rPr>
            </w:pPr>
          </w:p>
        </w:tc>
        <w:tc>
          <w:tcPr>
            <w:tcW w:w="271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年   月   日</w:t>
            </w:r>
          </w:p>
        </w:tc>
      </w:tr>
      <w:bookmarkEnd w:id="44"/>
    </w:tbl>
    <w:p>
      <w:pPr>
        <w:pStyle w:val="2"/>
        <w:keepNext w:val="0"/>
        <w:keepLines w:val="0"/>
        <w:pageBreakBefore w:val="0"/>
        <w:widowControl w:val="0"/>
        <w:kinsoku/>
        <w:wordWrap/>
        <w:overflowPunct/>
        <w:topLinePunct w:val="0"/>
        <w:autoSpaceDE/>
        <w:autoSpaceDN/>
        <w:bidi w:val="0"/>
        <w:spacing w:line="440" w:lineRule="exact"/>
        <w:ind w:firstLine="0" w:firstLineChars="0"/>
        <w:jc w:val="both"/>
        <w:textAlignment w:val="auto"/>
        <w:outlineLvl w:val="1"/>
        <w:rPr>
          <w:rFonts w:hint="eastAsia" w:ascii="仿宋_GB2312"/>
          <w:color w:val="000000"/>
          <w:sz w:val="28"/>
        </w:rPr>
      </w:pPr>
      <w:bookmarkStart w:id="45" w:name="_Toc7918"/>
      <w:bookmarkStart w:id="46" w:name="_Toc3011"/>
      <w:bookmarkStart w:id="47" w:name="_Toc378491521"/>
      <w:r>
        <w:rPr>
          <w:rFonts w:hint="eastAsia" w:ascii="仿宋_GB2312"/>
          <w:color w:val="000000"/>
          <w:sz w:val="28"/>
        </w:rPr>
        <w:t>十二、实地查勘期</w:t>
      </w:r>
      <w:bookmarkEnd w:id="45"/>
      <w:bookmarkEnd w:id="46"/>
    </w:p>
    <w:p>
      <w:pPr>
        <w:pStyle w:val="2"/>
        <w:keepNext w:val="0"/>
        <w:keepLines w:val="0"/>
        <w:pageBreakBefore w:val="0"/>
        <w:widowControl w:val="0"/>
        <w:kinsoku/>
        <w:wordWrap/>
        <w:overflowPunct/>
        <w:topLinePunct w:val="0"/>
        <w:autoSpaceDE/>
        <w:autoSpaceDN/>
        <w:bidi w:val="0"/>
        <w:spacing w:line="440" w:lineRule="exact"/>
        <w:ind w:firstLine="0" w:firstLineChars="0"/>
        <w:jc w:val="both"/>
        <w:textAlignment w:val="auto"/>
        <w:rPr>
          <w:rFonts w:hint="eastAsia" w:ascii="仿宋_GB2312" w:eastAsia="仿宋_GB2312"/>
          <w:color w:val="000000"/>
          <w:sz w:val="28"/>
          <w:lang w:eastAsia="zh-CN"/>
        </w:rPr>
      </w:pPr>
      <w:r>
        <w:rPr>
          <w:rFonts w:hint="eastAsia" w:ascii="仿宋_GB2312"/>
          <w:color w:val="000000"/>
          <w:sz w:val="28"/>
        </w:rPr>
        <w:t xml:space="preserve">     </w:t>
      </w:r>
      <w:r>
        <w:rPr>
          <w:rFonts w:hint="eastAsia" w:ascii="仿宋_GB2312"/>
          <w:b w:val="0"/>
          <w:bCs w:val="0"/>
          <w:color w:val="000000"/>
          <w:sz w:val="28"/>
          <w:lang w:eastAsia="zh-CN"/>
        </w:rPr>
        <w:t>2022年8月15日</w:t>
      </w:r>
    </w:p>
    <w:p>
      <w:pPr>
        <w:pStyle w:val="2"/>
        <w:keepNext w:val="0"/>
        <w:keepLines w:val="0"/>
        <w:pageBreakBefore w:val="0"/>
        <w:widowControl w:val="0"/>
        <w:kinsoku/>
        <w:wordWrap/>
        <w:overflowPunct/>
        <w:topLinePunct w:val="0"/>
        <w:autoSpaceDE/>
        <w:autoSpaceDN/>
        <w:bidi w:val="0"/>
        <w:spacing w:line="440" w:lineRule="exact"/>
        <w:ind w:firstLine="0" w:firstLineChars="0"/>
        <w:jc w:val="both"/>
        <w:textAlignment w:val="auto"/>
        <w:outlineLvl w:val="1"/>
        <w:rPr>
          <w:rFonts w:hint="eastAsia" w:ascii="仿宋_GB2312"/>
          <w:color w:val="000000"/>
          <w:sz w:val="28"/>
        </w:rPr>
      </w:pPr>
      <w:bookmarkStart w:id="48" w:name="_Toc14208"/>
      <w:r>
        <w:rPr>
          <w:rFonts w:hint="eastAsia" w:ascii="仿宋_GB2312"/>
          <w:color w:val="000000"/>
          <w:sz w:val="28"/>
        </w:rPr>
        <w:t>十三、</w:t>
      </w:r>
      <w:bookmarkEnd w:id="47"/>
      <w:r>
        <w:rPr>
          <w:rFonts w:hint="eastAsia" w:ascii="仿宋_GB2312"/>
          <w:color w:val="000000"/>
          <w:sz w:val="28"/>
        </w:rPr>
        <w:t>估价作业日期</w:t>
      </w:r>
      <w:bookmarkEnd w:id="48"/>
    </w:p>
    <w:p>
      <w:pPr>
        <w:pStyle w:val="2"/>
        <w:keepNext w:val="0"/>
        <w:keepLines w:val="0"/>
        <w:pageBreakBefore w:val="0"/>
        <w:widowControl w:val="0"/>
        <w:kinsoku/>
        <w:wordWrap/>
        <w:overflowPunct/>
        <w:topLinePunct w:val="0"/>
        <w:autoSpaceDE/>
        <w:autoSpaceDN/>
        <w:bidi w:val="0"/>
        <w:spacing w:line="440" w:lineRule="exact"/>
        <w:ind w:firstLine="140" w:firstLineChars="50"/>
        <w:jc w:val="both"/>
        <w:textAlignment w:val="auto"/>
        <w:rPr>
          <w:rFonts w:hint="eastAsia" w:ascii="仿宋_GB2312" w:eastAsia="仿宋_GB2312"/>
          <w:b w:val="0"/>
          <w:bCs w:val="0"/>
          <w:color w:val="000000"/>
          <w:sz w:val="28"/>
          <w:lang w:eastAsia="zh-CN"/>
        </w:rPr>
      </w:pPr>
      <w:bookmarkStart w:id="49" w:name="_Toc423267928"/>
      <w:bookmarkEnd w:id="49"/>
      <w:bookmarkStart w:id="50" w:name="_Toc378491522"/>
      <w:r>
        <w:rPr>
          <w:rFonts w:hint="eastAsia" w:ascii="仿宋_GB2312"/>
          <w:b w:val="0"/>
          <w:bCs w:val="0"/>
          <w:color w:val="000000"/>
          <w:sz w:val="28"/>
        </w:rPr>
        <w:t xml:space="preserve">    20</w:t>
      </w:r>
      <w:r>
        <w:rPr>
          <w:rFonts w:hint="eastAsia" w:ascii="仿宋_GB2312"/>
          <w:b w:val="0"/>
          <w:bCs w:val="0"/>
          <w:color w:val="000000"/>
          <w:sz w:val="28"/>
          <w:lang w:val="en-US" w:eastAsia="zh-CN"/>
        </w:rPr>
        <w:t>22</w:t>
      </w:r>
      <w:r>
        <w:rPr>
          <w:rFonts w:hint="eastAsia" w:ascii="仿宋_GB2312"/>
          <w:b w:val="0"/>
          <w:bCs w:val="0"/>
          <w:color w:val="000000"/>
          <w:sz w:val="28"/>
        </w:rPr>
        <w:t>年</w:t>
      </w:r>
      <w:r>
        <w:rPr>
          <w:rFonts w:hint="eastAsia" w:ascii="仿宋_GB2312"/>
          <w:b w:val="0"/>
          <w:bCs w:val="0"/>
          <w:color w:val="000000"/>
          <w:sz w:val="28"/>
          <w:lang w:val="en-US" w:eastAsia="zh-CN"/>
        </w:rPr>
        <w:t>7</w:t>
      </w:r>
      <w:r>
        <w:rPr>
          <w:rFonts w:hint="eastAsia" w:ascii="仿宋_GB2312"/>
          <w:b w:val="0"/>
          <w:bCs w:val="0"/>
          <w:color w:val="000000"/>
          <w:sz w:val="28"/>
        </w:rPr>
        <w:t>月</w:t>
      </w:r>
      <w:r>
        <w:rPr>
          <w:rFonts w:hint="eastAsia" w:ascii="仿宋_GB2312"/>
          <w:b w:val="0"/>
          <w:bCs w:val="0"/>
          <w:color w:val="000000"/>
          <w:sz w:val="28"/>
          <w:lang w:val="en-US" w:eastAsia="zh-CN"/>
        </w:rPr>
        <w:t>19</w:t>
      </w:r>
      <w:r>
        <w:rPr>
          <w:rFonts w:hint="eastAsia" w:ascii="仿宋_GB2312"/>
          <w:b w:val="0"/>
          <w:bCs w:val="0"/>
          <w:color w:val="000000"/>
          <w:sz w:val="28"/>
        </w:rPr>
        <w:t>日-</w:t>
      </w:r>
      <w:bookmarkEnd w:id="50"/>
      <w:bookmarkStart w:id="51" w:name="_Toc423267929"/>
      <w:r>
        <w:rPr>
          <w:rFonts w:hint="eastAsia" w:ascii="仿宋_GB2312"/>
          <w:b w:val="0"/>
          <w:bCs w:val="0"/>
          <w:color w:val="000000"/>
          <w:sz w:val="28"/>
          <w:lang w:eastAsia="zh-CN"/>
        </w:rPr>
        <w:t>2022年8月22日</w:t>
      </w:r>
    </w:p>
    <w:bookmarkEnd w:id="51"/>
    <w:p>
      <w:pPr>
        <w:pStyle w:val="2"/>
        <w:ind w:firstLine="0" w:firstLineChars="0"/>
        <w:jc w:val="both"/>
        <w:outlineLvl w:val="0"/>
        <w:rPr>
          <w:rFonts w:hint="eastAsia" w:ascii="仿宋" w:hAnsi="仿宋" w:eastAsia="仿宋" w:cs="仿宋"/>
          <w:color w:val="000000"/>
          <w:sz w:val="44"/>
          <w:szCs w:val="44"/>
        </w:rPr>
      </w:pPr>
      <w:bookmarkStart w:id="52" w:name="_Toc32104"/>
    </w:p>
    <w:p>
      <w:pPr>
        <w:pStyle w:val="2"/>
        <w:ind w:firstLine="0" w:firstLineChars="0"/>
        <w:outlineLvl w:val="0"/>
        <w:rPr>
          <w:rFonts w:hint="eastAsia" w:ascii="仿宋" w:hAnsi="仿宋" w:eastAsia="仿宋" w:cs="仿宋"/>
          <w:color w:val="000000"/>
          <w:sz w:val="44"/>
          <w:szCs w:val="44"/>
        </w:rPr>
      </w:pPr>
    </w:p>
    <w:p>
      <w:pPr>
        <w:pStyle w:val="2"/>
        <w:ind w:firstLine="0" w:firstLineChars="0"/>
        <w:outlineLvl w:val="0"/>
        <w:rPr>
          <w:rFonts w:hint="eastAsia" w:ascii="仿宋" w:hAnsi="仿宋" w:eastAsia="仿宋" w:cs="仿宋"/>
          <w:color w:val="000000"/>
          <w:sz w:val="44"/>
          <w:szCs w:val="44"/>
        </w:rPr>
      </w:pPr>
    </w:p>
    <w:p>
      <w:pPr>
        <w:pStyle w:val="2"/>
        <w:ind w:firstLine="0" w:firstLineChars="0"/>
        <w:outlineLvl w:val="0"/>
        <w:rPr>
          <w:rFonts w:hint="eastAsia" w:ascii="仿宋" w:hAnsi="仿宋" w:eastAsia="仿宋" w:cs="仿宋"/>
          <w:color w:val="000000"/>
          <w:sz w:val="44"/>
          <w:szCs w:val="44"/>
        </w:rPr>
      </w:pPr>
    </w:p>
    <w:p>
      <w:pPr>
        <w:pStyle w:val="2"/>
        <w:ind w:firstLine="0" w:firstLineChars="0"/>
        <w:outlineLvl w:val="0"/>
        <w:rPr>
          <w:rFonts w:hint="eastAsia" w:ascii="仿宋" w:hAnsi="仿宋" w:eastAsia="仿宋" w:cs="仿宋"/>
          <w:color w:val="000000"/>
          <w:sz w:val="44"/>
          <w:szCs w:val="44"/>
        </w:rPr>
      </w:pPr>
    </w:p>
    <w:p>
      <w:pPr>
        <w:pStyle w:val="2"/>
        <w:ind w:firstLine="0" w:firstLineChars="0"/>
        <w:outlineLvl w:val="0"/>
        <w:rPr>
          <w:rFonts w:hint="eastAsia" w:ascii="仿宋" w:hAnsi="仿宋" w:eastAsia="仿宋" w:cs="仿宋"/>
          <w:color w:val="000000"/>
          <w:sz w:val="44"/>
          <w:szCs w:val="44"/>
        </w:rPr>
      </w:pPr>
    </w:p>
    <w:p>
      <w:pPr>
        <w:pStyle w:val="2"/>
        <w:ind w:firstLine="0" w:firstLineChars="0"/>
        <w:outlineLvl w:val="0"/>
        <w:rPr>
          <w:rFonts w:hint="eastAsia" w:ascii="仿宋" w:hAnsi="仿宋" w:eastAsia="仿宋" w:cs="仿宋"/>
          <w:color w:val="000000"/>
          <w:sz w:val="44"/>
          <w:szCs w:val="44"/>
        </w:rPr>
      </w:pPr>
    </w:p>
    <w:p>
      <w:pPr>
        <w:pStyle w:val="2"/>
        <w:ind w:firstLine="0" w:firstLineChars="0"/>
        <w:outlineLvl w:val="0"/>
        <w:rPr>
          <w:rFonts w:hint="eastAsia" w:ascii="仿宋" w:hAnsi="仿宋" w:eastAsia="仿宋" w:cs="仿宋"/>
          <w:color w:val="000000"/>
          <w:sz w:val="44"/>
          <w:szCs w:val="44"/>
        </w:rPr>
      </w:pPr>
    </w:p>
    <w:p>
      <w:pPr>
        <w:pStyle w:val="2"/>
        <w:ind w:firstLine="0" w:firstLineChars="0"/>
        <w:outlineLvl w:val="0"/>
        <w:rPr>
          <w:rFonts w:hint="eastAsia" w:ascii="仿宋" w:hAnsi="仿宋" w:eastAsia="仿宋" w:cs="仿宋"/>
          <w:color w:val="000000"/>
          <w:sz w:val="44"/>
          <w:szCs w:val="44"/>
        </w:rPr>
      </w:pPr>
    </w:p>
    <w:p>
      <w:pPr>
        <w:pStyle w:val="2"/>
        <w:ind w:firstLine="0" w:firstLineChars="0"/>
        <w:outlineLvl w:val="0"/>
        <w:rPr>
          <w:rFonts w:hint="eastAsia" w:ascii="仿宋" w:hAnsi="仿宋" w:eastAsia="仿宋" w:cs="仿宋"/>
          <w:color w:val="000000"/>
          <w:sz w:val="44"/>
          <w:szCs w:val="44"/>
        </w:rPr>
      </w:pPr>
    </w:p>
    <w:p>
      <w:pPr>
        <w:pStyle w:val="2"/>
        <w:ind w:firstLine="0" w:firstLineChars="0"/>
        <w:outlineLvl w:val="0"/>
        <w:rPr>
          <w:rFonts w:hint="eastAsia" w:ascii="仿宋" w:hAnsi="仿宋" w:eastAsia="仿宋" w:cs="仿宋"/>
          <w:color w:val="000000"/>
          <w:sz w:val="44"/>
          <w:szCs w:val="44"/>
        </w:rPr>
      </w:pPr>
    </w:p>
    <w:p>
      <w:pPr>
        <w:pStyle w:val="2"/>
        <w:ind w:firstLine="0" w:firstLineChars="0"/>
        <w:outlineLvl w:val="0"/>
        <w:rPr>
          <w:rFonts w:hint="eastAsia" w:ascii="仿宋" w:hAnsi="仿宋" w:eastAsia="仿宋" w:cs="仿宋"/>
          <w:color w:val="000000"/>
          <w:sz w:val="44"/>
          <w:szCs w:val="44"/>
        </w:rPr>
      </w:pPr>
    </w:p>
    <w:p>
      <w:pPr>
        <w:pStyle w:val="2"/>
        <w:ind w:firstLine="0" w:firstLineChars="0"/>
        <w:outlineLvl w:val="0"/>
        <w:rPr>
          <w:rFonts w:hint="eastAsia" w:ascii="仿宋" w:hAnsi="仿宋" w:eastAsia="仿宋" w:cs="仿宋"/>
          <w:color w:val="000000"/>
          <w:sz w:val="44"/>
          <w:szCs w:val="44"/>
        </w:rPr>
      </w:pPr>
    </w:p>
    <w:p>
      <w:pPr>
        <w:pStyle w:val="2"/>
        <w:ind w:firstLine="0" w:firstLineChars="0"/>
        <w:outlineLvl w:val="0"/>
        <w:rPr>
          <w:rFonts w:hint="eastAsia" w:ascii="仿宋" w:hAnsi="仿宋" w:eastAsia="仿宋" w:cs="仿宋"/>
          <w:color w:val="000000"/>
          <w:sz w:val="44"/>
          <w:szCs w:val="44"/>
        </w:rPr>
      </w:pPr>
    </w:p>
    <w:p>
      <w:pPr>
        <w:pStyle w:val="2"/>
        <w:ind w:firstLine="0" w:firstLineChars="0"/>
        <w:outlineLvl w:val="0"/>
        <w:rPr>
          <w:rFonts w:hint="eastAsia" w:ascii="仿宋" w:hAnsi="仿宋" w:eastAsia="仿宋" w:cs="仿宋"/>
          <w:color w:val="000000"/>
          <w:sz w:val="44"/>
          <w:szCs w:val="44"/>
        </w:rPr>
      </w:pPr>
    </w:p>
    <w:p>
      <w:pPr>
        <w:pStyle w:val="2"/>
        <w:ind w:firstLine="0" w:firstLineChars="0"/>
        <w:outlineLvl w:val="0"/>
        <w:rPr>
          <w:rFonts w:hint="eastAsia" w:ascii="仿宋" w:hAnsi="仿宋" w:eastAsia="仿宋" w:cs="仿宋"/>
          <w:color w:val="000000"/>
          <w:sz w:val="44"/>
          <w:szCs w:val="44"/>
        </w:rPr>
      </w:pPr>
    </w:p>
    <w:p>
      <w:pPr>
        <w:pStyle w:val="2"/>
        <w:ind w:firstLine="0" w:firstLineChars="0"/>
        <w:jc w:val="both"/>
        <w:outlineLvl w:val="0"/>
        <w:rPr>
          <w:rFonts w:hint="eastAsia" w:ascii="仿宋" w:hAnsi="仿宋" w:eastAsia="仿宋" w:cs="仿宋"/>
          <w:color w:val="000000"/>
          <w:sz w:val="44"/>
          <w:szCs w:val="44"/>
        </w:rPr>
      </w:pPr>
    </w:p>
    <w:p>
      <w:pPr>
        <w:pStyle w:val="2"/>
        <w:ind w:firstLine="0" w:firstLineChars="0"/>
        <w:outlineLvl w:val="0"/>
        <w:rPr>
          <w:rFonts w:hint="eastAsia" w:ascii="仿宋" w:hAnsi="仿宋" w:eastAsia="仿宋" w:cs="仿宋"/>
          <w:color w:val="000000"/>
          <w:sz w:val="44"/>
          <w:szCs w:val="44"/>
        </w:rPr>
      </w:pPr>
      <w:r>
        <w:rPr>
          <w:rFonts w:hint="eastAsia" w:ascii="仿宋" w:hAnsi="仿宋" w:eastAsia="仿宋" w:cs="仿宋"/>
          <w:color w:val="000000"/>
          <w:sz w:val="44"/>
          <w:szCs w:val="44"/>
        </w:rPr>
        <w:t>附     件</w:t>
      </w:r>
      <w:bookmarkEnd w:id="52"/>
    </w:p>
    <w:p>
      <w:pPr>
        <w:pStyle w:val="2"/>
        <w:ind w:firstLine="0" w:firstLineChars="0"/>
        <w:jc w:val="both"/>
        <w:rPr>
          <w:rFonts w:hint="eastAsia" w:ascii="仿宋_GB2312"/>
          <w:b w:val="0"/>
          <w:bCs w:val="0"/>
          <w:color w:val="000000"/>
          <w:sz w:val="28"/>
        </w:rPr>
      </w:pP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1、估价对象位置示意图</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2、估价对象现场查勘照片</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3、《司法评估委托书》复印件</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shd w:val="clear" w:color="auto" w:fill="FFFFFF"/>
        </w:rPr>
        <w:t>4、</w:t>
      </w:r>
      <w:r>
        <w:rPr>
          <w:rFonts w:hint="eastAsia" w:ascii="仿宋_GB2312" w:hAnsi="仿宋_GB2312" w:eastAsia="仿宋_GB2312" w:cs="仿宋_GB2312"/>
          <w:color w:val="000000"/>
          <w:kern w:val="0"/>
          <w:sz w:val="28"/>
          <w:szCs w:val="28"/>
          <w:shd w:val="clear" w:color="auto" w:fill="FFFFFF"/>
          <w:lang w:eastAsia="zh-CN"/>
        </w:rPr>
        <w:t>估价对象不动产登记情况证明及产权证</w:t>
      </w:r>
      <w:r>
        <w:rPr>
          <w:rFonts w:hint="eastAsia" w:ascii="仿宋_GB2312" w:hAnsi="仿宋_GB2312" w:eastAsia="仿宋_GB2312" w:cs="仿宋_GB2312"/>
          <w:color w:val="000000"/>
          <w:kern w:val="0"/>
          <w:sz w:val="28"/>
          <w:szCs w:val="28"/>
          <w:shd w:val="clear" w:color="auto" w:fill="FFFFFF"/>
        </w:rPr>
        <w:t>复印件</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shd w:val="clear" w:color="auto" w:fill="FFFFFF"/>
          <w:lang w:val="en-US" w:eastAsia="zh-CN"/>
        </w:rPr>
        <w:t>5</w:t>
      </w:r>
      <w:r>
        <w:rPr>
          <w:rFonts w:hint="eastAsia" w:ascii="仿宋_GB2312" w:hAnsi="仿宋_GB2312" w:eastAsia="仿宋_GB2312" w:cs="仿宋_GB2312"/>
          <w:color w:val="000000"/>
          <w:kern w:val="0"/>
          <w:sz w:val="28"/>
          <w:szCs w:val="28"/>
          <w:shd w:val="clear" w:color="auto" w:fill="FFFFFF"/>
        </w:rPr>
        <w:t>、估价机构营业执照复印件</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shd w:val="clear" w:color="auto" w:fill="FFFFFF"/>
          <w:lang w:val="en-US" w:eastAsia="zh-CN"/>
        </w:rPr>
        <w:t>6</w:t>
      </w:r>
      <w:r>
        <w:rPr>
          <w:rFonts w:hint="eastAsia" w:ascii="仿宋_GB2312" w:hAnsi="仿宋_GB2312" w:eastAsia="仿宋_GB2312" w:cs="仿宋_GB2312"/>
          <w:color w:val="000000"/>
          <w:kern w:val="0"/>
          <w:sz w:val="28"/>
          <w:szCs w:val="28"/>
          <w:shd w:val="clear" w:color="auto" w:fill="FFFFFF"/>
        </w:rPr>
        <w:t>、估价机构</w:t>
      </w:r>
      <w:r>
        <w:rPr>
          <w:rFonts w:hint="eastAsia" w:ascii="仿宋_GB2312" w:hAnsi="仿宋_GB2312" w:eastAsia="仿宋_GB2312" w:cs="仿宋_GB2312"/>
          <w:color w:val="000000"/>
          <w:kern w:val="0"/>
          <w:sz w:val="28"/>
          <w:szCs w:val="28"/>
          <w:shd w:val="clear" w:color="auto" w:fill="FFFFFF"/>
          <w:lang w:eastAsia="zh-CN"/>
        </w:rPr>
        <w:t>备案</w:t>
      </w:r>
      <w:r>
        <w:rPr>
          <w:rFonts w:hint="eastAsia" w:ascii="仿宋_GB2312" w:hAnsi="仿宋_GB2312" w:eastAsia="仿宋_GB2312" w:cs="仿宋_GB2312"/>
          <w:color w:val="000000"/>
          <w:kern w:val="0"/>
          <w:sz w:val="28"/>
          <w:szCs w:val="28"/>
          <w:shd w:val="clear" w:color="auto" w:fill="FFFFFF"/>
        </w:rPr>
        <w:t>证书复印件</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lang w:val="en-US" w:eastAsia="zh-CN"/>
        </w:rPr>
        <w:t>7</w:t>
      </w:r>
      <w:r>
        <w:rPr>
          <w:rFonts w:hint="eastAsia" w:ascii="仿宋_GB2312" w:hAnsi="仿宋_GB2312" w:eastAsia="仿宋_GB2312" w:cs="仿宋_GB2312"/>
          <w:color w:val="000000"/>
          <w:kern w:val="0"/>
          <w:sz w:val="28"/>
          <w:szCs w:val="28"/>
          <w:shd w:val="clear" w:color="auto" w:fill="FFFFFF"/>
        </w:rPr>
        <w:t>、估价师执业资格证书复印件</w:t>
      </w:r>
    </w:p>
    <w:p>
      <w:pPr>
        <w:pStyle w:val="2"/>
        <w:ind w:firstLine="0" w:firstLineChars="0"/>
        <w:jc w:val="both"/>
        <w:rPr>
          <w:rFonts w:hint="eastAsia" w:ascii="仿宋_GB2312"/>
          <w:b w:val="0"/>
          <w:bCs w:val="0"/>
          <w:color w:val="000000"/>
          <w:sz w:val="28"/>
        </w:rPr>
      </w:pPr>
    </w:p>
    <w:p>
      <w:pPr>
        <w:pStyle w:val="2"/>
        <w:ind w:firstLine="0" w:firstLineChars="0"/>
        <w:jc w:val="both"/>
        <w:rPr>
          <w:rFonts w:hint="eastAsia" w:ascii="仿宋_GB2312"/>
          <w:b w:val="0"/>
          <w:bCs w:val="0"/>
          <w:color w:val="000000"/>
          <w:sz w:val="28"/>
        </w:rPr>
      </w:pPr>
    </w:p>
    <w:p>
      <w:pPr>
        <w:pStyle w:val="2"/>
        <w:ind w:firstLine="0" w:firstLineChars="0"/>
        <w:jc w:val="both"/>
        <w:rPr>
          <w:rFonts w:hint="eastAsia" w:ascii="仿宋_GB2312"/>
          <w:b w:val="0"/>
          <w:bCs w:val="0"/>
          <w:color w:val="000000"/>
          <w:sz w:val="28"/>
        </w:rPr>
      </w:pPr>
    </w:p>
    <w:p>
      <w:pPr>
        <w:pStyle w:val="2"/>
        <w:ind w:firstLine="0" w:firstLineChars="0"/>
        <w:jc w:val="both"/>
        <w:rPr>
          <w:rFonts w:hint="eastAsia" w:ascii="仿宋_GB2312"/>
          <w:b w:val="0"/>
          <w:bCs w:val="0"/>
          <w:color w:val="000000"/>
          <w:sz w:val="28"/>
        </w:rPr>
      </w:pPr>
    </w:p>
    <w:p>
      <w:pPr>
        <w:pStyle w:val="2"/>
        <w:ind w:firstLine="0" w:firstLineChars="0"/>
        <w:jc w:val="both"/>
        <w:rPr>
          <w:rFonts w:hint="eastAsia" w:ascii="仿宋_GB2312"/>
          <w:b w:val="0"/>
          <w:bCs w:val="0"/>
          <w:color w:val="000000"/>
          <w:sz w:val="28"/>
        </w:rPr>
      </w:pPr>
    </w:p>
    <w:p>
      <w:pPr>
        <w:pStyle w:val="2"/>
        <w:ind w:firstLine="0" w:firstLineChars="0"/>
        <w:jc w:val="both"/>
        <w:rPr>
          <w:rFonts w:hint="eastAsia" w:ascii="仿宋_GB2312"/>
          <w:b w:val="0"/>
          <w:bCs w:val="0"/>
          <w:color w:val="000000"/>
          <w:sz w:val="28"/>
        </w:rPr>
      </w:pPr>
    </w:p>
    <w:p>
      <w:pPr>
        <w:rPr>
          <w:rFonts w:hint="eastAsia" w:ascii="仿宋_GB2312" w:eastAsia="仿宋_GB2312"/>
          <w:b/>
          <w:color w:val="000000"/>
          <w:sz w:val="32"/>
          <w:szCs w:val="32"/>
        </w:rPr>
      </w:pPr>
    </w:p>
    <w:p>
      <w:pPr>
        <w:rPr>
          <w:rFonts w:hint="eastAsia" w:ascii="仿宋_GB2312" w:eastAsia="仿宋_GB2312"/>
          <w:b/>
          <w:color w:val="000000"/>
          <w:sz w:val="32"/>
          <w:szCs w:val="32"/>
        </w:rPr>
      </w:pPr>
    </w:p>
    <w:p>
      <w:pPr>
        <w:rPr>
          <w:rFonts w:hint="eastAsia" w:ascii="仿宋_GB2312" w:eastAsia="仿宋_GB2312"/>
          <w:b/>
          <w:color w:val="000000"/>
          <w:sz w:val="32"/>
          <w:szCs w:val="32"/>
        </w:rPr>
      </w:pPr>
    </w:p>
    <w:p>
      <w:pPr>
        <w:rPr>
          <w:rFonts w:hint="eastAsia" w:ascii="仿宋_GB2312" w:eastAsia="仿宋_GB2312"/>
          <w:b/>
          <w:color w:val="000000"/>
          <w:sz w:val="32"/>
          <w:szCs w:val="32"/>
        </w:rPr>
      </w:pPr>
    </w:p>
    <w:p>
      <w:pPr>
        <w:rPr>
          <w:rFonts w:hint="eastAsia" w:ascii="仿宋_GB2312" w:eastAsia="仿宋_GB2312"/>
          <w:b/>
          <w:color w:val="000000"/>
          <w:sz w:val="32"/>
          <w:szCs w:val="32"/>
        </w:rPr>
      </w:pPr>
    </w:p>
    <w:p>
      <w:pPr>
        <w:rPr>
          <w:rFonts w:hint="eastAsia" w:ascii="仿宋_GB2312" w:eastAsia="仿宋_GB2312"/>
          <w:b/>
          <w:color w:val="000000"/>
          <w:sz w:val="32"/>
          <w:szCs w:val="32"/>
        </w:rPr>
      </w:pPr>
    </w:p>
    <w:p>
      <w:pPr>
        <w:rPr>
          <w:rFonts w:hint="eastAsia" w:ascii="仿宋_GB2312" w:eastAsia="仿宋_GB2312"/>
          <w:b/>
          <w:color w:val="000000"/>
          <w:sz w:val="32"/>
          <w:szCs w:val="32"/>
        </w:rPr>
      </w:pPr>
    </w:p>
    <w:p>
      <w:pPr>
        <w:ind w:firstLine="2715" w:firstLineChars="845"/>
        <w:rPr>
          <w:rFonts w:hint="eastAsia" w:ascii="仿宋_GB2312" w:eastAsia="仿宋_GB2312"/>
          <w:b/>
          <w:color w:val="000000"/>
          <w:sz w:val="32"/>
          <w:szCs w:val="32"/>
        </w:rPr>
      </w:pPr>
    </w:p>
    <w:p>
      <w:pPr>
        <w:ind w:firstLine="2715" w:firstLineChars="845"/>
        <w:rPr>
          <w:rFonts w:ascii="宋体" w:hAnsi="宋体" w:cs="宋体"/>
          <w:color w:val="000000"/>
          <w:kern w:val="0"/>
          <w:sz w:val="24"/>
        </w:rPr>
      </w:pPr>
      <w:r>
        <w:rPr>
          <w:rFonts w:hint="eastAsia" w:ascii="仿宋_GB2312" w:eastAsia="仿宋_GB2312"/>
          <w:b/>
          <w:color w:val="000000"/>
          <w:sz w:val="32"/>
          <w:szCs w:val="32"/>
        </w:rPr>
        <w:t>房地产位置</w:t>
      </w:r>
      <w:r>
        <w:rPr>
          <w:rFonts w:hint="eastAsia" w:ascii="仿宋_GB2312" w:eastAsia="仿宋_GB2312"/>
          <w:b/>
          <w:color w:val="000000"/>
          <w:sz w:val="32"/>
          <w:szCs w:val="32"/>
          <w:lang w:eastAsia="zh-CN"/>
        </w:rPr>
        <w:t>示意</w:t>
      </w:r>
      <w:r>
        <w:rPr>
          <w:rFonts w:hint="eastAsia" w:ascii="仿宋_GB2312" w:eastAsia="仿宋_GB2312"/>
          <w:b/>
          <w:color w:val="000000"/>
          <w:sz w:val="32"/>
          <w:szCs w:val="32"/>
        </w:rPr>
        <w:t>图</w:t>
      </w:r>
    </w:p>
    <w:p>
      <w:pPr>
        <w:ind w:firstLine="315" w:firstLineChars="150"/>
        <w:rPr>
          <w:rFonts w:hint="eastAsia"/>
          <w:color w:val="000000"/>
        </w:rPr>
      </w:pPr>
    </w:p>
    <w:p>
      <w:r>
        <w:rPr>
          <w:rFonts w:hint="eastAsia"/>
          <w:color w:val="000000"/>
        </w:rPr>
        <mc:AlternateContent>
          <mc:Choice Requires="wps">
            <w:drawing>
              <wp:anchor distT="0" distB="0" distL="114300" distR="114300" simplePos="0" relativeHeight="251659264" behindDoc="0" locked="0" layoutInCell="1" allowOverlap="1">
                <wp:simplePos x="0" y="0"/>
                <wp:positionH relativeFrom="column">
                  <wp:posOffset>747395</wp:posOffset>
                </wp:positionH>
                <wp:positionV relativeFrom="paragraph">
                  <wp:posOffset>1249680</wp:posOffset>
                </wp:positionV>
                <wp:extent cx="1200150" cy="297180"/>
                <wp:effectExtent l="4445" t="4445" r="471805" b="688975"/>
                <wp:wrapNone/>
                <wp:docPr id="2" name="圆角矩形标注 2"/>
                <wp:cNvGraphicFramePr/>
                <a:graphic xmlns:a="http://schemas.openxmlformats.org/drawingml/2006/main">
                  <a:graphicData uri="http://schemas.microsoft.com/office/word/2010/wordprocessingShape">
                    <wps:wsp>
                      <wps:cNvSpPr/>
                      <wps:spPr>
                        <a:xfrm>
                          <a:off x="0" y="0"/>
                          <a:ext cx="1200150" cy="297180"/>
                        </a:xfrm>
                        <a:prstGeom prst="wedgeRoundRectCallout">
                          <a:avLst>
                            <a:gd name="adj1" fmla="val 86190"/>
                            <a:gd name="adj2" fmla="val 269019"/>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估价对象位置</w:t>
                            </w:r>
                          </w:p>
                        </w:txbxContent>
                      </wps:txbx>
                      <wps:bodyPr upright="1"/>
                    </wps:wsp>
                  </a:graphicData>
                </a:graphic>
              </wp:anchor>
            </w:drawing>
          </mc:Choice>
          <mc:Fallback>
            <w:pict>
              <v:shape id="_x0000_s1026" o:spid="_x0000_s1026" o:spt="62" type="#_x0000_t62" style="position:absolute;left:0pt;margin-left:58.85pt;margin-top:98.4pt;height:23.4pt;width:94.5pt;z-index:251659264;mso-width-relative:page;mso-height-relative:page;" fillcolor="#FFFFFF" filled="t" stroked="t" coordsize="21600,21600" o:gfxdata="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D4vOk2gAAAAsB&#10;AAAPAAAAAAAAAAEAIAAAACIAAABkcnMvZG93bnJldi54bWxQSwECFAAUAAAACACHTuJAoW90LVIC&#10;AAC8BAAADgAAAAAAAAABACAAAAApAQAAZHJzL2Uyb0RvYy54bWxQSwUGAAAAAAYABgBZAQAA7QUA&#10;AAAA&#10;" adj="29417,68908,14400">
                <v:fill on="t" focussize="0,0"/>
                <v:stroke color="#000000" joinstyle="miter"/>
                <v:imagedata o:title=""/>
                <o:lock v:ext="edit" aspectratio="f"/>
                <v:textbox>
                  <w:txbxContent>
                    <w:p>
                      <w:pPr>
                        <w:rPr>
                          <w:rFonts w:hint="eastAsia"/>
                        </w:rPr>
                      </w:pPr>
                      <w:r>
                        <w:rPr>
                          <w:rFonts w:hint="eastAsia"/>
                        </w:rPr>
                        <w:t>估价对象位置</w:t>
                      </w:r>
                    </w:p>
                  </w:txbxContent>
                </v:textbox>
              </v:shape>
            </w:pict>
          </mc:Fallback>
        </mc:AlternateContent>
      </w:r>
      <w:r>
        <w:drawing>
          <wp:inline distT="0" distB="0" distL="114300" distR="114300">
            <wp:extent cx="5275580" cy="3947160"/>
            <wp:effectExtent l="0" t="0" r="1270" b="1524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5275580" cy="3947160"/>
                    </a:xfrm>
                    <a:prstGeom prst="rect">
                      <a:avLst/>
                    </a:prstGeom>
                    <a:noFill/>
                    <a:ln>
                      <a:noFill/>
                    </a:ln>
                  </pic:spPr>
                </pic:pic>
              </a:graphicData>
            </a:graphic>
          </wp:inline>
        </w:drawing>
      </w:r>
    </w:p>
    <w:sectPr>
      <w:headerReference r:id="rId3" w:type="default"/>
      <w:footerReference r:id="rId4"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新宋体-18030">
    <w:altName w:val="宋体"/>
    <w:panose1 w:val="02010600060101010101"/>
    <w:charset w:val="86"/>
    <w:family w:val="auto"/>
    <w:pitch w:val="default"/>
    <w:sig w:usb0="00000000" w:usb1="00000000" w:usb2="0000001E" w:usb3="00000000" w:csb0="003C004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4"/>
        <w:rFonts w:hint="eastAsia"/>
        <w:u w:val="double"/>
      </w:rPr>
    </w:pPr>
    <w:r>
      <w:rPr>
        <w:rStyle w:val="14"/>
        <w:rFonts w:hint="eastAsia"/>
        <w:u w:val="double"/>
      </w:rPr>
      <w:t xml:space="preserve">                                                                                             </w:t>
    </w:r>
  </w:p>
  <w:p>
    <w:pPr>
      <w:pStyle w:val="5"/>
      <w:jc w:val="center"/>
      <w:rPr>
        <w:rStyle w:val="14"/>
        <w:rFonts w:hint="eastAsia"/>
      </w:rPr>
    </w:pPr>
  </w:p>
  <w:p>
    <w:pPr>
      <w:pStyle w:val="5"/>
      <w:jc w:val="center"/>
      <w:rPr>
        <w:rFonts w:hint="eastAsia" w:ascii="仿宋_GB2312" w:hAnsi="仿宋_GB2312" w:eastAsia="仿宋_GB2312" w:cs="仿宋_GB2312"/>
        <w:bCs/>
        <w:sz w:val="21"/>
        <w:szCs w:val="21"/>
      </w:rPr>
    </w:pPr>
    <w:r>
      <w:rPr>
        <w:rStyle w:val="14"/>
        <w:rFonts w:hint="eastAsia" w:hAnsi="仿宋_GB2312" w:cs="仿宋_GB2312"/>
        <w:b w:val="0"/>
        <w:bCs/>
        <w:sz w:val="21"/>
        <w:szCs w:val="21"/>
      </w:rPr>
      <w:t xml:space="preserve">第 </w:t>
    </w:r>
    <w:r>
      <w:rPr>
        <w:rFonts w:hint="eastAsia" w:ascii="仿宋_GB2312" w:hAnsi="仿宋_GB2312" w:eastAsia="仿宋_GB2312" w:cs="仿宋_GB2312"/>
        <w:bCs/>
        <w:sz w:val="21"/>
        <w:szCs w:val="21"/>
      </w:rPr>
      <w:fldChar w:fldCharType="begin"/>
    </w:r>
    <w:r>
      <w:rPr>
        <w:rStyle w:val="14"/>
        <w:rFonts w:hint="eastAsia" w:hAnsi="仿宋_GB2312" w:cs="仿宋_GB2312"/>
        <w:b w:val="0"/>
        <w:bCs/>
        <w:sz w:val="21"/>
        <w:szCs w:val="21"/>
      </w:rPr>
      <w:instrText xml:space="preserve"> PAGE </w:instrText>
    </w:r>
    <w:r>
      <w:rPr>
        <w:rFonts w:hint="eastAsia" w:ascii="仿宋_GB2312" w:hAnsi="仿宋_GB2312" w:eastAsia="仿宋_GB2312" w:cs="仿宋_GB2312"/>
        <w:bCs/>
        <w:sz w:val="21"/>
        <w:szCs w:val="21"/>
      </w:rPr>
      <w:fldChar w:fldCharType="separate"/>
    </w:r>
    <w:r>
      <w:rPr>
        <w:rStyle w:val="14"/>
        <w:rFonts w:hAnsi="仿宋_GB2312" w:cs="仿宋_GB2312"/>
        <w:b w:val="0"/>
        <w:bCs/>
        <w:sz w:val="21"/>
        <w:szCs w:val="21"/>
      </w:rPr>
      <w:t>1</w:t>
    </w:r>
    <w:r>
      <w:rPr>
        <w:rFonts w:hint="eastAsia" w:ascii="仿宋_GB2312" w:hAnsi="仿宋_GB2312" w:eastAsia="仿宋_GB2312" w:cs="仿宋_GB2312"/>
        <w:bCs/>
        <w:sz w:val="21"/>
        <w:szCs w:val="21"/>
      </w:rPr>
      <w:fldChar w:fldCharType="end"/>
    </w:r>
    <w:r>
      <w:rPr>
        <w:rStyle w:val="14"/>
        <w:rFonts w:hint="eastAsia" w:hAnsi="仿宋_GB2312" w:cs="仿宋_GB2312"/>
        <w:b w:val="0"/>
        <w:bCs/>
        <w:sz w:val="21"/>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W w:w="8528" w:type="dxa"/>
      <w:tblInd w:w="0" w:type="dxa"/>
      <w:tblLayout w:type="fixed"/>
      <w:tblCellMar>
        <w:top w:w="0" w:type="dxa"/>
        <w:left w:w="108" w:type="dxa"/>
        <w:bottom w:w="0" w:type="dxa"/>
        <w:right w:w="108" w:type="dxa"/>
      </w:tblCellMar>
    </w:tblPr>
    <w:tblGrid>
      <w:gridCol w:w="828"/>
      <w:gridCol w:w="7700"/>
    </w:tblGrid>
    <w:tr>
      <w:tblPrEx>
        <w:tblCellMar>
          <w:top w:w="0" w:type="dxa"/>
          <w:left w:w="108" w:type="dxa"/>
          <w:bottom w:w="0" w:type="dxa"/>
          <w:right w:w="108" w:type="dxa"/>
        </w:tblCellMar>
      </w:tblPrEx>
      <w:trPr>
        <w:cantSplit/>
        <w:trHeight w:val="309" w:hRule="atLeast"/>
      </w:trPr>
      <w:tc>
        <w:tcPr>
          <w:tcW w:w="828" w:type="dxa"/>
          <w:vMerge w:val="restart"/>
          <w:noWrap w:val="0"/>
          <w:vAlign w:val="center"/>
        </w:tcPr>
        <w:p>
          <w:pPr>
            <w:pStyle w:val="6"/>
            <w:pBdr>
              <w:bottom w:val="none" w:color="auto" w:sz="0" w:space="0"/>
            </w:pBdr>
            <w:rPr>
              <w:color w:val="000000"/>
            </w:rPr>
          </w:pPr>
          <w:bookmarkStart w:id="53" w:name="_1226234768"/>
          <w:bookmarkEnd w:id="53"/>
          <w:r>
            <w:rPr>
              <w:color w:val="000000"/>
            </w:rPr>
            <w:object>
              <v:shape id="_x0000_i1025" o:spt="75" type="#_x0000_t75" style="height:28.05pt;width:26.05pt;" o:ole="t" filled="f" stroked="f" coordsize="21600,21600">
                <v:path/>
                <v:fill on="f" focussize="0,0"/>
                <v:stroke on="f"/>
                <v:imagedata r:id="rId2" o:title=""/>
                <o:lock v:ext="edit" grouping="f" rotation="f" text="f" aspectratio="t"/>
                <w10:wrap type="none"/>
                <w10:anchorlock/>
              </v:shape>
              <o:OLEObject Type="Embed" ProgID="Word.Picture.8" ShapeID="_x0000_i1025" DrawAspect="Content" ObjectID="_1468075725" r:id="rId1">
                <o:LockedField>false</o:LockedField>
              </o:OLEObject>
            </w:object>
          </w:r>
        </w:p>
      </w:tc>
      <w:tc>
        <w:tcPr>
          <w:tcW w:w="7700" w:type="dxa"/>
          <w:noWrap w:val="0"/>
          <w:vAlign w:val="center"/>
        </w:tcPr>
        <w:p>
          <w:pPr>
            <w:pStyle w:val="6"/>
            <w:pBdr>
              <w:bottom w:val="none" w:color="auto" w:sz="0" w:space="0"/>
            </w:pBdr>
            <w:rPr>
              <w:color w:val="000000"/>
              <w:sz w:val="21"/>
            </w:rPr>
          </w:pPr>
          <w:r>
            <w:rPr>
              <w:rFonts w:hint="eastAsia" w:ascii="华文细黑" w:eastAsia="华文细黑"/>
              <w:b/>
              <w:bCs/>
              <w:color w:val="000000"/>
              <w:spacing w:val="40"/>
              <w:w w:val="105"/>
              <w:sz w:val="24"/>
              <w:szCs w:val="24"/>
            </w:rPr>
            <w:t>宁</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波</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市</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中</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博</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房</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地</w:t>
          </w:r>
          <w:r>
            <w:rPr>
              <w:rFonts w:hint="eastAsia" w:ascii="华文细黑" w:eastAsia="华文细黑"/>
              <w:b/>
              <w:bCs/>
              <w:color w:val="000000"/>
              <w:spacing w:val="40"/>
              <w:w w:val="105"/>
              <w:sz w:val="24"/>
              <w:szCs w:val="24"/>
              <w:lang w:val="en-US" w:eastAsia="zh-CN"/>
            </w:rPr>
            <w:t xml:space="preserve"> </w:t>
          </w:r>
          <w:r>
            <w:rPr>
              <w:rFonts w:hint="eastAsia" w:ascii="宋体" w:hAnsi="宋体" w:cs="宋体"/>
              <w:b/>
              <w:bCs/>
              <w:color w:val="000000"/>
              <w:spacing w:val="40"/>
              <w:w w:val="105"/>
              <w:sz w:val="24"/>
              <w:szCs w:val="24"/>
            </w:rPr>
            <w:t>产</w:t>
          </w:r>
          <w:r>
            <w:rPr>
              <w:rFonts w:hint="eastAsia" w:ascii="宋体" w:hAnsi="宋体" w:cs="宋体"/>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估</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价</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有</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限</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公</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司</w:t>
          </w:r>
        </w:p>
      </w:tc>
    </w:tr>
    <w:tr>
      <w:tblPrEx>
        <w:tblCellMar>
          <w:top w:w="0" w:type="dxa"/>
          <w:left w:w="108" w:type="dxa"/>
          <w:bottom w:w="0" w:type="dxa"/>
          <w:right w:w="108" w:type="dxa"/>
        </w:tblCellMar>
      </w:tblPrEx>
      <w:trPr>
        <w:cantSplit/>
      </w:trPr>
      <w:tc>
        <w:tcPr>
          <w:tcW w:w="828" w:type="dxa"/>
          <w:vMerge w:val="continue"/>
          <w:noWrap w:val="0"/>
          <w:vAlign w:val="center"/>
        </w:tcPr>
        <w:p>
          <w:pPr>
            <w:pStyle w:val="6"/>
            <w:pBdr>
              <w:bottom w:val="none" w:color="auto" w:sz="0" w:space="0"/>
            </w:pBdr>
            <w:rPr>
              <w:color w:val="000000"/>
            </w:rPr>
          </w:pPr>
        </w:p>
      </w:tc>
      <w:tc>
        <w:tcPr>
          <w:tcW w:w="7700" w:type="dxa"/>
          <w:noWrap w:val="0"/>
          <w:vAlign w:val="center"/>
        </w:tcPr>
        <w:p>
          <w:pPr>
            <w:pStyle w:val="6"/>
            <w:pBdr>
              <w:bottom w:val="none" w:color="auto" w:sz="0" w:space="0"/>
            </w:pBdr>
            <w:jc w:val="both"/>
            <w:rPr>
              <w:color w:val="000000"/>
            </w:rPr>
          </w:pPr>
          <w:r>
            <w:rPr>
              <w:rFonts w:hint="eastAsia" w:ascii="华文细黑" w:eastAsia="华文细黑"/>
              <w:color w:val="000000"/>
              <w:sz w:val="15"/>
            </w:rPr>
            <w:t>公司地址：宁波市海曙区丽园北路668号美丽园大厦3F   电话：87173687   87173691     传真：87173685</w:t>
          </w:r>
        </w:p>
      </w:tc>
    </w:tr>
  </w:tbl>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122E21"/>
    <w:multiLevelType w:val="singleLevel"/>
    <w:tmpl w:val="5A122E21"/>
    <w:lvl w:ilvl="0" w:tentative="0">
      <w:start w:val="1"/>
      <w:numFmt w:val="chineseCounting"/>
      <w:suff w:val="nothing"/>
      <w:lvlText w:val="%1、"/>
      <w:lvlJc w:val="left"/>
    </w:lvl>
  </w:abstractNum>
  <w:abstractNum w:abstractNumId="1">
    <w:nsid w:val="5A1B7340"/>
    <w:multiLevelType w:val="singleLevel"/>
    <w:tmpl w:val="5A1B7340"/>
    <w:lvl w:ilvl="0" w:tentative="0">
      <w:start w:val="4"/>
      <w:numFmt w:val="chineseCounting"/>
      <w:suff w:val="nothing"/>
      <w:lvlText w:val="%1、"/>
      <w:lvlJc w:val="left"/>
    </w:lvl>
  </w:abstractNum>
  <w:abstractNum w:abstractNumId="2">
    <w:nsid w:val="5D4535CF"/>
    <w:multiLevelType w:val="singleLevel"/>
    <w:tmpl w:val="5D4535CF"/>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xNWQ2N2E4Yzg3ZTYyMWJhMjE3MjMxMzI4ZjAzM2YifQ=="/>
  </w:docVars>
  <w:rsids>
    <w:rsidRoot w:val="77DC58EB"/>
    <w:rsid w:val="00315185"/>
    <w:rsid w:val="02B90FAC"/>
    <w:rsid w:val="03224562"/>
    <w:rsid w:val="03ED31A6"/>
    <w:rsid w:val="076313FE"/>
    <w:rsid w:val="08850002"/>
    <w:rsid w:val="0A527884"/>
    <w:rsid w:val="0AC31A99"/>
    <w:rsid w:val="0C134255"/>
    <w:rsid w:val="0C911282"/>
    <w:rsid w:val="0CF369AD"/>
    <w:rsid w:val="0D8104BD"/>
    <w:rsid w:val="10106EF7"/>
    <w:rsid w:val="1030098C"/>
    <w:rsid w:val="10A81405"/>
    <w:rsid w:val="11141BF4"/>
    <w:rsid w:val="116D0321"/>
    <w:rsid w:val="11877A0B"/>
    <w:rsid w:val="11E31E47"/>
    <w:rsid w:val="126378CD"/>
    <w:rsid w:val="128E6B0F"/>
    <w:rsid w:val="134B57E1"/>
    <w:rsid w:val="14326B60"/>
    <w:rsid w:val="15AB77B5"/>
    <w:rsid w:val="15B22E1C"/>
    <w:rsid w:val="15D96EA3"/>
    <w:rsid w:val="16AB47F5"/>
    <w:rsid w:val="16B42CF1"/>
    <w:rsid w:val="176302F9"/>
    <w:rsid w:val="179F2664"/>
    <w:rsid w:val="19523623"/>
    <w:rsid w:val="196F0EE9"/>
    <w:rsid w:val="1A7D3DC7"/>
    <w:rsid w:val="1A8D30E0"/>
    <w:rsid w:val="1CCA119B"/>
    <w:rsid w:val="1EAB08C9"/>
    <w:rsid w:val="1F5075EE"/>
    <w:rsid w:val="1FE009CB"/>
    <w:rsid w:val="201E47A4"/>
    <w:rsid w:val="20CE1EA5"/>
    <w:rsid w:val="21317C13"/>
    <w:rsid w:val="214921EE"/>
    <w:rsid w:val="21E41632"/>
    <w:rsid w:val="24475D50"/>
    <w:rsid w:val="27545B78"/>
    <w:rsid w:val="286909E6"/>
    <w:rsid w:val="293B074F"/>
    <w:rsid w:val="2AE06AD6"/>
    <w:rsid w:val="2B28426D"/>
    <w:rsid w:val="2B935000"/>
    <w:rsid w:val="2C8757A3"/>
    <w:rsid w:val="2E4D1C74"/>
    <w:rsid w:val="2E6526FD"/>
    <w:rsid w:val="2ED17FB6"/>
    <w:rsid w:val="30540FC8"/>
    <w:rsid w:val="31A71A6F"/>
    <w:rsid w:val="31D741F7"/>
    <w:rsid w:val="33450BB5"/>
    <w:rsid w:val="337C5049"/>
    <w:rsid w:val="33B923A6"/>
    <w:rsid w:val="33CE240A"/>
    <w:rsid w:val="348A6C1D"/>
    <w:rsid w:val="355C6E4B"/>
    <w:rsid w:val="35A40002"/>
    <w:rsid w:val="366F7AF0"/>
    <w:rsid w:val="377A47AA"/>
    <w:rsid w:val="380C77CA"/>
    <w:rsid w:val="397F2120"/>
    <w:rsid w:val="3A5B3460"/>
    <w:rsid w:val="3A98425C"/>
    <w:rsid w:val="3AAB7E33"/>
    <w:rsid w:val="3E8E1694"/>
    <w:rsid w:val="412F767A"/>
    <w:rsid w:val="44C455D1"/>
    <w:rsid w:val="45535E3E"/>
    <w:rsid w:val="45FD5993"/>
    <w:rsid w:val="46793BA9"/>
    <w:rsid w:val="46FA00FE"/>
    <w:rsid w:val="47514E93"/>
    <w:rsid w:val="479003E6"/>
    <w:rsid w:val="480C66E6"/>
    <w:rsid w:val="486F4FED"/>
    <w:rsid w:val="48AA54D8"/>
    <w:rsid w:val="49307B69"/>
    <w:rsid w:val="4AEF0D8B"/>
    <w:rsid w:val="4B2B1421"/>
    <w:rsid w:val="4EFD2A61"/>
    <w:rsid w:val="4F0C13C2"/>
    <w:rsid w:val="4F4A51D1"/>
    <w:rsid w:val="4F92407D"/>
    <w:rsid w:val="53011D1C"/>
    <w:rsid w:val="556E27EA"/>
    <w:rsid w:val="56BB667D"/>
    <w:rsid w:val="572E35C3"/>
    <w:rsid w:val="57F55CFE"/>
    <w:rsid w:val="59396826"/>
    <w:rsid w:val="59D8618B"/>
    <w:rsid w:val="5E3C4865"/>
    <w:rsid w:val="5E79231B"/>
    <w:rsid w:val="5FCF3B9C"/>
    <w:rsid w:val="61224B05"/>
    <w:rsid w:val="615F1B46"/>
    <w:rsid w:val="61F67DC6"/>
    <w:rsid w:val="624972A0"/>
    <w:rsid w:val="636111AE"/>
    <w:rsid w:val="64023F66"/>
    <w:rsid w:val="65D04C85"/>
    <w:rsid w:val="66EB35AA"/>
    <w:rsid w:val="685D7C07"/>
    <w:rsid w:val="69A61966"/>
    <w:rsid w:val="6B26541A"/>
    <w:rsid w:val="70066308"/>
    <w:rsid w:val="70E46358"/>
    <w:rsid w:val="70E753D5"/>
    <w:rsid w:val="715703F7"/>
    <w:rsid w:val="724177ED"/>
    <w:rsid w:val="756C0455"/>
    <w:rsid w:val="769D7501"/>
    <w:rsid w:val="77D60731"/>
    <w:rsid w:val="77DC58EB"/>
    <w:rsid w:val="78153B74"/>
    <w:rsid w:val="7A485BC3"/>
    <w:rsid w:val="7AD47F51"/>
    <w:rsid w:val="7B811751"/>
    <w:rsid w:val="7E7F2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2129" w:firstLineChars="707"/>
      <w:jc w:val="center"/>
    </w:pPr>
    <w:rPr>
      <w:rFonts w:eastAsia="仿宋_GB2312"/>
      <w:b/>
      <w:bCs/>
      <w:sz w:val="30"/>
    </w:rPr>
  </w:style>
  <w:style w:type="paragraph" w:styleId="3">
    <w:name w:val="Plain Text"/>
    <w:basedOn w:val="1"/>
    <w:qFormat/>
    <w:uiPriority w:val="0"/>
    <w:rPr>
      <w:rFonts w:ascii="宋体" w:hAnsi="Courier New" w:cs="宋体"/>
      <w:b/>
      <w:szCs w:val="21"/>
    </w:rPr>
  </w:style>
  <w:style w:type="paragraph" w:styleId="4">
    <w:name w:val="Date"/>
    <w:basedOn w:val="1"/>
    <w:next w:val="1"/>
    <w:qFormat/>
    <w:uiPriority w:val="0"/>
    <w:pPr>
      <w:ind w:left="100" w:leftChars="2500"/>
    </w:pPr>
    <w:rPr>
      <w:rFonts w:eastAsia="仿宋_GB2312"/>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style>
  <w:style w:type="paragraph" w:styleId="8">
    <w:name w:val="Body Text Indent 3"/>
    <w:basedOn w:val="1"/>
    <w:qFormat/>
    <w:uiPriority w:val="0"/>
    <w:pPr>
      <w:spacing w:after="120"/>
      <w:ind w:left="420" w:leftChars="200"/>
    </w:pPr>
    <w:rPr>
      <w:sz w:val="16"/>
      <w:szCs w:val="16"/>
    </w:rPr>
  </w:style>
  <w:style w:type="paragraph" w:styleId="9">
    <w:name w:val="toc 2"/>
    <w:basedOn w:val="1"/>
    <w:next w:val="1"/>
    <w:qFormat/>
    <w:uiPriority w:val="0"/>
    <w:pPr>
      <w:ind w:left="420" w:leftChars="200"/>
    </w:pPr>
  </w:style>
  <w:style w:type="paragraph" w:styleId="10">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2">
    <w:name w:val="Table Grid"/>
    <w:basedOn w:val="11"/>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Hyperlink"/>
    <w:basedOn w:val="13"/>
    <w:qFormat/>
    <w:uiPriority w:val="0"/>
    <w:rPr>
      <w:color w:val="0000FF"/>
      <w:u w:val="single"/>
    </w:rPr>
  </w:style>
  <w:style w:type="character" w:customStyle="1" w:styleId="16">
    <w:name w:val="content1"/>
    <w:qFormat/>
    <w:uiPriority w:val="0"/>
    <w:rPr>
      <w:color w:val="000000"/>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5603</Words>
  <Characters>6021</Characters>
  <Lines>0</Lines>
  <Paragraphs>0</Paragraphs>
  <TotalTime>1</TotalTime>
  <ScaleCrop>false</ScaleCrop>
  <LinksUpToDate>false</LinksUpToDate>
  <CharactersWithSpaces>6290</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2019-01-07T06:20:00Z</dcterms:created>
  <dc:creator>Administrator</dc:creator>
  <cp:lastModifiedBy>CJ</cp:lastModifiedBy>
  <cp:lastPrinted>2022-05-11T02:06:00Z</cp:lastPrinted>
  <dcterms:modified xsi:type="dcterms:W3CDTF">2022-09-02T01:39:19Z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1701A13BFB0C40C69B6AE4F3D333A4DF</vt:lpwstr>
  </property>
</Properties>
</file>