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s="黑体"/>
          <w:b/>
          <w:bCs/>
          <w:color w:val="000000" w:themeColor="text1"/>
          <w:sz w:val="44"/>
          <w:szCs w:val="44"/>
        </w:rPr>
      </w:pPr>
    </w:p>
    <w:p>
      <w:pPr>
        <w:jc w:val="center"/>
        <w:rPr>
          <w:rFonts w:ascii="黑体" w:eastAsia="黑体" w:cs="黑体"/>
          <w:b/>
          <w:bCs/>
          <w:color w:val="000000" w:themeColor="text1"/>
          <w:sz w:val="44"/>
          <w:szCs w:val="44"/>
        </w:rPr>
      </w:pPr>
    </w:p>
    <w:p>
      <w:pPr>
        <w:jc w:val="center"/>
        <w:rPr>
          <w:rFonts w:ascii="黑体" w:eastAsia="黑体" w:cs="黑体"/>
          <w:b/>
          <w:bCs/>
          <w:color w:val="000000" w:themeColor="text1"/>
          <w:sz w:val="44"/>
          <w:szCs w:val="44"/>
        </w:rPr>
      </w:pPr>
    </w:p>
    <w:p>
      <w:pPr>
        <w:jc w:val="center"/>
        <w:rPr>
          <w:rFonts w:ascii="黑体" w:eastAsia="黑体" w:cs="黑体"/>
          <w:b/>
          <w:bCs/>
          <w:color w:val="000000" w:themeColor="text1"/>
          <w:sz w:val="44"/>
          <w:szCs w:val="44"/>
        </w:rPr>
      </w:pPr>
    </w:p>
    <w:p>
      <w:pPr>
        <w:jc w:val="center"/>
        <w:rPr>
          <w:rFonts w:ascii="黑体" w:eastAsia="黑体" w:cs="黑体"/>
          <w:b/>
          <w:bCs/>
          <w:color w:val="000000" w:themeColor="text1"/>
          <w:sz w:val="44"/>
          <w:szCs w:val="44"/>
        </w:rPr>
      </w:pPr>
    </w:p>
    <w:p>
      <w:pPr>
        <w:jc w:val="center"/>
        <w:rPr>
          <w:rFonts w:ascii="黑体" w:eastAsia="黑体" w:cs="黑体"/>
          <w:b/>
          <w:bCs/>
          <w:color w:val="000000" w:themeColor="text1"/>
          <w:sz w:val="48"/>
          <w:szCs w:val="48"/>
        </w:rPr>
      </w:pPr>
      <w:r>
        <w:rPr>
          <w:rFonts w:hint="eastAsia" w:ascii="黑体" w:eastAsia="黑体" w:cs="黑体"/>
          <w:b/>
          <w:bCs/>
          <w:color w:val="000000" w:themeColor="text1"/>
          <w:sz w:val="48"/>
          <w:szCs w:val="48"/>
        </w:rPr>
        <w:t>房地产司法鉴定</w:t>
      </w:r>
    </w:p>
    <w:p>
      <w:pPr>
        <w:ind w:firstLine="3373" w:firstLineChars="700"/>
        <w:rPr>
          <w:color w:val="000000" w:themeColor="text1"/>
        </w:rPr>
      </w:pPr>
      <w:r>
        <w:rPr>
          <w:rFonts w:hint="eastAsia" w:ascii="黑体" w:eastAsia="黑体" w:cs="黑体"/>
          <w:b/>
          <w:bCs/>
          <w:color w:val="000000" w:themeColor="text1"/>
          <w:sz w:val="48"/>
          <w:szCs w:val="48"/>
        </w:rPr>
        <w:t>估价报告</w:t>
      </w:r>
    </w:p>
    <w:p>
      <w:pPr>
        <w:jc w:val="center"/>
        <w:rPr>
          <w:rFonts w:ascii="黑体" w:eastAsia="黑体" w:cs="黑体"/>
          <w:b/>
          <w:bCs/>
          <w:color w:val="000000" w:themeColor="text1"/>
          <w:sz w:val="44"/>
          <w:szCs w:val="44"/>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360" w:lineRule="auto"/>
        <w:ind w:left="1960" w:hanging="1960" w:hangingChars="700"/>
        <w:rPr>
          <w:rFonts w:ascii="黑体" w:eastAsia="黑体" w:cs="黑体"/>
          <w:color w:val="000000" w:themeColor="text1"/>
          <w:sz w:val="28"/>
          <w:szCs w:val="28"/>
        </w:rPr>
      </w:pPr>
      <w:r>
        <w:rPr>
          <w:rFonts w:hint="eastAsia" w:ascii="黑体" w:eastAsia="黑体" w:cs="黑体"/>
          <w:color w:val="000000" w:themeColor="text1"/>
          <w:sz w:val="28"/>
          <w:szCs w:val="28"/>
        </w:rPr>
        <w:t>估价项目名称</w:t>
      </w:r>
      <w:r>
        <w:rPr>
          <w:rFonts w:hint="eastAsia" w:ascii="黑体" w:hAnsi="黑体" w:eastAsia="黑体" w:cs="黑体"/>
          <w:color w:val="000000" w:themeColor="text1"/>
          <w:sz w:val="28"/>
          <w:szCs w:val="28"/>
        </w:rPr>
        <w:t>：</w:t>
      </w:r>
      <w:r>
        <w:rPr>
          <w:rFonts w:ascii="黑体" w:eastAsia="黑体" w:cs="黑体"/>
          <w:color w:val="000000" w:themeColor="text1"/>
          <w:sz w:val="28"/>
          <w:szCs w:val="28"/>
        </w:rPr>
        <w:t>张万明、成英菊共有的位于安康市汉滨区新城办</w:t>
      </w:r>
    </w:p>
    <w:p>
      <w:pPr>
        <w:spacing w:line="360" w:lineRule="auto"/>
        <w:ind w:left="1955" w:leftChars="931" w:firstLine="0" w:firstLineChars="0"/>
        <w:rPr>
          <w:rFonts w:ascii="黑体" w:eastAsia="黑体" w:cs="黑体"/>
          <w:color w:val="000000" w:themeColor="text1"/>
          <w:sz w:val="28"/>
          <w:szCs w:val="28"/>
        </w:rPr>
      </w:pPr>
      <w:r>
        <w:rPr>
          <w:rFonts w:ascii="黑体" w:eastAsia="黑体" w:cs="黑体"/>
          <w:color w:val="000000" w:themeColor="text1"/>
          <w:sz w:val="28"/>
          <w:szCs w:val="28"/>
        </w:rPr>
        <w:t>陈家沟三组7幢房产</w:t>
      </w:r>
      <w:r>
        <w:rPr>
          <w:rFonts w:hint="eastAsia" w:ascii="黑体" w:eastAsia="黑体" w:cs="黑体"/>
          <w:color w:val="000000" w:themeColor="text1"/>
          <w:sz w:val="28"/>
          <w:szCs w:val="28"/>
        </w:rPr>
        <w:t>司法鉴定评估</w:t>
      </w:r>
    </w:p>
    <w:p>
      <w:pPr>
        <w:spacing w:line="360" w:lineRule="auto"/>
        <w:rPr>
          <w:rFonts w:ascii="黑体" w:hAnsi="黑体" w:eastAsia="黑体" w:cs="黑体"/>
          <w:color w:val="000000" w:themeColor="text1"/>
          <w:sz w:val="28"/>
          <w:szCs w:val="28"/>
        </w:rPr>
      </w:pPr>
      <w:r>
        <w:rPr>
          <w:rFonts w:hint="eastAsia" w:ascii="黑体" w:hAnsi="黑体" w:eastAsia="黑体" w:cs="黑体"/>
          <w:color w:val="000000" w:themeColor="text1"/>
          <w:sz w:val="28"/>
          <w:szCs w:val="28"/>
        </w:rPr>
        <w:t>估价委托人：安康市汉滨区人民法院</w:t>
      </w:r>
    </w:p>
    <w:p>
      <w:pPr>
        <w:rPr>
          <w:rFonts w:ascii="黑体" w:eastAsia="黑体" w:cs="黑体"/>
          <w:color w:val="000000" w:themeColor="text1"/>
          <w:sz w:val="28"/>
          <w:szCs w:val="28"/>
        </w:rPr>
      </w:pPr>
      <w:r>
        <w:rPr>
          <w:rFonts w:hint="eastAsia" w:ascii="黑体" w:eastAsia="黑体" w:cs="黑体"/>
          <w:color w:val="000000" w:themeColor="text1"/>
          <w:sz w:val="28"/>
          <w:szCs w:val="28"/>
        </w:rPr>
        <w:t>房地产估价机构：陕西中大房地产评估有限责任公司</w:t>
      </w:r>
    </w:p>
    <w:p>
      <w:pPr>
        <w:spacing w:line="360" w:lineRule="auto"/>
        <w:rPr>
          <w:rFonts w:ascii="黑体" w:hAnsi="黑体" w:eastAsia="黑体" w:cs="黑体"/>
          <w:color w:val="000000" w:themeColor="text1"/>
          <w:sz w:val="28"/>
          <w:szCs w:val="28"/>
        </w:rPr>
      </w:pPr>
      <w:r>
        <w:rPr>
          <w:rFonts w:hint="eastAsia" w:ascii="黑体" w:eastAsia="黑体" w:cs="黑体"/>
          <w:color w:val="000000" w:themeColor="text1"/>
          <w:sz w:val="28"/>
          <w:szCs w:val="28"/>
        </w:rPr>
        <w:t>注册房地产估价师：</w:t>
      </w:r>
      <w:r>
        <w:rPr>
          <w:rFonts w:hint="eastAsia" w:ascii="黑体" w:hAnsi="黑体" w:eastAsia="黑体" w:cs="黑体"/>
          <w:color w:val="000000" w:themeColor="text1"/>
          <w:sz w:val="28"/>
          <w:szCs w:val="28"/>
        </w:rPr>
        <w:t xml:space="preserve">张武龙（注册号6120030050）   </w:t>
      </w:r>
    </w:p>
    <w:p>
      <w:pPr>
        <w:spacing w:line="360" w:lineRule="auto"/>
        <w:ind w:firstLine="2520" w:firstLineChars="900"/>
        <w:rPr>
          <w:rFonts w:ascii="黑体" w:hAnsi="黑体" w:eastAsia="黑体" w:cs="黑体"/>
          <w:color w:val="000000" w:themeColor="text1"/>
          <w:sz w:val="28"/>
          <w:szCs w:val="28"/>
        </w:rPr>
      </w:pPr>
      <w:r>
        <w:rPr>
          <w:rFonts w:hint="eastAsia" w:ascii="黑体" w:hAnsi="黑体" w:eastAsia="黑体" w:cs="黑体"/>
          <w:color w:val="000000" w:themeColor="text1"/>
          <w:sz w:val="28"/>
          <w:szCs w:val="28"/>
        </w:rPr>
        <w:t>张建民（注册号3320090004）</w:t>
      </w:r>
    </w:p>
    <w:p>
      <w:pPr>
        <w:rPr>
          <w:rFonts w:ascii="黑体" w:eastAsia="黑体" w:cs="黑体"/>
          <w:color w:val="000000" w:themeColor="text1"/>
          <w:sz w:val="28"/>
          <w:szCs w:val="28"/>
        </w:rPr>
      </w:pPr>
      <w:r>
        <w:rPr>
          <w:rFonts w:hint="eastAsia" w:ascii="黑体" w:eastAsia="黑体" w:cs="黑体"/>
          <w:color w:val="000000" w:themeColor="text1"/>
          <w:sz w:val="28"/>
          <w:szCs w:val="28"/>
        </w:rPr>
        <w:t>估价报告出具日期：2021年07月21日</w:t>
      </w:r>
    </w:p>
    <w:p>
      <w:pPr>
        <w:rPr>
          <w:rFonts w:ascii="黑体" w:eastAsia="黑体" w:cs="黑体"/>
          <w:color w:val="000000"/>
          <w:sz w:val="28"/>
          <w:szCs w:val="28"/>
        </w:rPr>
      </w:pPr>
      <w:r>
        <w:rPr>
          <w:rFonts w:hint="eastAsia" w:ascii="黑体" w:eastAsia="黑体" w:cs="黑体"/>
          <w:color w:val="000000"/>
          <w:sz w:val="28"/>
          <w:szCs w:val="28"/>
        </w:rPr>
        <w:t>估价报告使用期限：2021年07月21日至2022年07月20日</w:t>
      </w:r>
    </w:p>
    <w:p>
      <w:pPr>
        <w:rPr>
          <w:rFonts w:ascii="黑体" w:eastAsia="黑体" w:cs="黑体"/>
          <w:color w:val="000000" w:themeColor="text1"/>
          <w:sz w:val="28"/>
          <w:szCs w:val="28"/>
        </w:rPr>
      </w:pPr>
      <w:r>
        <w:rPr>
          <w:rFonts w:hint="eastAsia" w:ascii="黑体" w:eastAsia="黑体" w:cs="黑体"/>
          <w:color w:val="000000" w:themeColor="text1"/>
          <w:sz w:val="28"/>
          <w:szCs w:val="28"/>
        </w:rPr>
        <w:t>估价报告编号：陕中大房估字[2021]</w:t>
      </w:r>
      <w:r>
        <w:rPr>
          <w:rFonts w:hint="eastAsia"/>
        </w:rPr>
        <w:t xml:space="preserve"> </w:t>
      </w:r>
      <w:r>
        <w:rPr>
          <w:rFonts w:hint="eastAsia" w:ascii="黑体" w:hAnsi="黑体" w:eastAsia="黑体" w:cs="黑体"/>
          <w:color w:val="000000" w:themeColor="text1"/>
          <w:sz w:val="28"/>
          <w:szCs w:val="28"/>
        </w:rPr>
        <w:t>ZDSF-028</w:t>
      </w:r>
      <w:r>
        <w:rPr>
          <w:rFonts w:hint="eastAsia" w:ascii="黑体" w:eastAsia="黑体" w:cs="黑体"/>
          <w:color w:val="000000" w:themeColor="text1"/>
          <w:sz w:val="28"/>
          <w:szCs w:val="28"/>
        </w:rPr>
        <w:t>号</w:t>
      </w:r>
    </w:p>
    <w:p>
      <w:pPr>
        <w:spacing w:line="500" w:lineRule="exact"/>
        <w:jc w:val="center"/>
        <w:rPr>
          <w:rFonts w:ascii="黑体" w:eastAsia="黑体" w:cs="黑体"/>
          <w:color w:val="000000" w:themeColor="text1"/>
          <w:sz w:val="32"/>
          <w:szCs w:val="32"/>
        </w:rPr>
      </w:pPr>
    </w:p>
    <w:p>
      <w:pPr>
        <w:spacing w:line="500" w:lineRule="exact"/>
        <w:jc w:val="center"/>
        <w:rPr>
          <w:rFonts w:ascii="黑体" w:eastAsia="黑体" w:cs="黑体"/>
          <w:color w:val="000000" w:themeColor="text1"/>
          <w:sz w:val="32"/>
          <w:szCs w:val="32"/>
        </w:rPr>
      </w:pPr>
      <w:r>
        <w:rPr>
          <w:rFonts w:hint="eastAsia" w:ascii="黑体" w:eastAsia="黑体" w:cs="黑体"/>
          <w:color w:val="000000" w:themeColor="text1"/>
          <w:sz w:val="32"/>
          <w:szCs w:val="32"/>
        </w:rPr>
        <w:t>致估价委托人函</w:t>
      </w:r>
    </w:p>
    <w:p>
      <w:pPr>
        <w:spacing w:line="360" w:lineRule="auto"/>
        <w:ind w:firstLine="480" w:firstLineChars="200"/>
        <w:rPr>
          <w:rFonts w:asciiTheme="minorEastAsia" w:hAnsiTheme="minorEastAsia" w:eastAsiaTheme="minorEastAsia" w:cstheme="minorEastAsia"/>
          <w:color w:val="000000" w:themeColor="text1"/>
          <w:sz w:val="24"/>
        </w:rPr>
      </w:pPr>
    </w:p>
    <w:p>
      <w:pPr>
        <w:spacing w:line="360" w:lineRule="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安康市汉滨区人民法院：</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根据《安康市汉滨区人民法院委托书》（（2021）陕0902执483号）委托，我公司按照国家规定的技术标准和程序，在合理的假设下，对</w:t>
      </w:r>
      <w:r>
        <w:rPr>
          <w:rFonts w:asciiTheme="minorEastAsia" w:hAnsiTheme="minorEastAsia" w:eastAsiaTheme="minorEastAsia" w:cstheme="minorEastAsia"/>
          <w:color w:val="000000" w:themeColor="text1"/>
          <w:sz w:val="24"/>
        </w:rPr>
        <w:t>张万明、成英菊共有的位于安康市汉滨区新城办陈家沟三组7幢房产</w:t>
      </w:r>
      <w:r>
        <w:rPr>
          <w:rFonts w:hint="eastAsia" w:asciiTheme="minorEastAsia" w:hAnsiTheme="minorEastAsia" w:eastAsiaTheme="minorEastAsia" w:cstheme="minorEastAsia"/>
          <w:color w:val="000000" w:themeColor="text1"/>
          <w:sz w:val="24"/>
        </w:rPr>
        <w:t>（以下简称估价对象）的市场价值进行了专业分析、测算和判断（包含该房产所</w:t>
      </w:r>
      <w:r>
        <w:rPr>
          <w:rFonts w:asciiTheme="minorEastAsia" w:hAnsiTheme="minorEastAsia" w:eastAsiaTheme="minorEastAsia" w:cstheme="minorEastAsia"/>
          <w:color w:val="000000" w:themeColor="text1"/>
          <w:sz w:val="24"/>
        </w:rPr>
        <w:t>占有</w:t>
      </w:r>
      <w:r>
        <w:rPr>
          <w:rFonts w:hint="eastAsia" w:asciiTheme="minorEastAsia" w:hAnsiTheme="minorEastAsia" w:eastAsiaTheme="minorEastAsia" w:cstheme="minorEastAsia"/>
          <w:color w:val="000000" w:themeColor="text1"/>
          <w:sz w:val="24"/>
        </w:rPr>
        <w:t>的</w:t>
      </w:r>
      <w:r>
        <w:rPr>
          <w:rFonts w:asciiTheme="minorEastAsia" w:hAnsiTheme="minorEastAsia" w:eastAsiaTheme="minorEastAsia" w:cstheme="minorEastAsia"/>
          <w:color w:val="000000" w:themeColor="text1"/>
          <w:sz w:val="24"/>
        </w:rPr>
        <w:t>集体土地</w:t>
      </w:r>
      <w:r>
        <w:rPr>
          <w:rFonts w:hint="eastAsia" w:asciiTheme="minorEastAsia" w:hAnsiTheme="minorEastAsia" w:eastAsiaTheme="minorEastAsia" w:cstheme="minorEastAsia"/>
          <w:color w:val="000000" w:themeColor="text1"/>
          <w:sz w:val="24"/>
        </w:rPr>
        <w:t>使用权价格），现已完成评估工作，特此函告如下：</w:t>
      </w:r>
    </w:p>
    <w:p>
      <w:pPr>
        <w:spacing w:line="360" w:lineRule="auto"/>
        <w:ind w:firstLine="482"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b/>
          <w:bCs/>
          <w:color w:val="000000" w:themeColor="text1"/>
          <w:sz w:val="24"/>
        </w:rPr>
        <w:t>估价目的：</w:t>
      </w:r>
      <w:r>
        <w:rPr>
          <w:rFonts w:hint="eastAsia" w:asciiTheme="minorEastAsia" w:hAnsiTheme="minorEastAsia" w:eastAsiaTheme="minorEastAsia" w:cstheme="minorEastAsia"/>
          <w:color w:val="000000" w:themeColor="text1"/>
          <w:sz w:val="24"/>
        </w:rPr>
        <w:t>司法鉴定，即为人民法院办理案件提供涉案房地产的市场价值参考；</w:t>
      </w:r>
    </w:p>
    <w:p>
      <w:pPr>
        <w:spacing w:line="360" w:lineRule="auto"/>
        <w:ind w:firstLine="482"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b/>
          <w:bCs/>
          <w:color w:val="000000" w:themeColor="text1"/>
          <w:sz w:val="24"/>
        </w:rPr>
        <w:t>估价对象：</w:t>
      </w:r>
      <w:r>
        <w:rPr>
          <w:rFonts w:asciiTheme="minorEastAsia" w:hAnsiTheme="minorEastAsia" w:eastAsiaTheme="minorEastAsia" w:cstheme="minorEastAsia"/>
          <w:color w:val="000000" w:themeColor="text1"/>
          <w:sz w:val="24"/>
        </w:rPr>
        <w:t>张万明、成英菊共有的位于安康市汉滨区新城办陈家沟三组7幢房产</w:t>
      </w:r>
      <w:r>
        <w:rPr>
          <w:rFonts w:hint="eastAsia" w:asciiTheme="minorEastAsia" w:hAnsiTheme="minorEastAsia" w:eastAsiaTheme="minorEastAsia" w:cstheme="minorEastAsia"/>
          <w:color w:val="000000" w:themeColor="text1"/>
          <w:sz w:val="24"/>
        </w:rPr>
        <w:t>，</w:t>
      </w:r>
      <w:r>
        <w:rPr>
          <w:rFonts w:asciiTheme="minorEastAsia" w:hAnsiTheme="minorEastAsia" w:eastAsiaTheme="minorEastAsia" w:cstheme="minorEastAsia"/>
          <w:color w:val="000000" w:themeColor="text1"/>
          <w:sz w:val="24"/>
        </w:rPr>
        <w:t>建筑面积为1089.26平方米</w:t>
      </w:r>
      <w:r>
        <w:rPr>
          <w:rFonts w:hint="eastAsia" w:asciiTheme="minorEastAsia" w:hAnsiTheme="minorEastAsia" w:eastAsiaTheme="minorEastAsia" w:cstheme="minorEastAsia"/>
          <w:color w:val="000000" w:themeColor="text1"/>
          <w:sz w:val="24"/>
        </w:rPr>
        <w:t>，房屋所有人为张万明、成英菊；</w:t>
      </w:r>
    </w:p>
    <w:p>
      <w:pPr>
        <w:spacing w:line="360" w:lineRule="auto"/>
        <w:ind w:firstLine="482"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b/>
          <w:bCs/>
          <w:color w:val="000000" w:themeColor="text1"/>
          <w:sz w:val="24"/>
        </w:rPr>
        <w:t>价值时点：</w:t>
      </w:r>
      <w:r>
        <w:rPr>
          <w:rFonts w:hint="eastAsia" w:asciiTheme="minorEastAsia" w:hAnsiTheme="minorEastAsia" w:eastAsiaTheme="minorEastAsia" w:cstheme="minorEastAsia"/>
          <w:color w:val="000000" w:themeColor="text1"/>
          <w:sz w:val="24"/>
        </w:rPr>
        <w:t>2021年05月28日；</w:t>
      </w:r>
    </w:p>
    <w:p>
      <w:pPr>
        <w:spacing w:line="360" w:lineRule="auto"/>
        <w:ind w:firstLine="482"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b/>
          <w:bCs/>
          <w:color w:val="000000" w:themeColor="text1"/>
          <w:sz w:val="24"/>
        </w:rPr>
        <w:t>价值类型：</w:t>
      </w:r>
      <w:r>
        <w:rPr>
          <w:rFonts w:hint="eastAsia" w:asciiTheme="minorEastAsia" w:hAnsiTheme="minorEastAsia" w:eastAsiaTheme="minorEastAsia" w:cstheme="minorEastAsia"/>
          <w:color w:val="000000" w:themeColor="text1"/>
          <w:sz w:val="24"/>
        </w:rPr>
        <w:t>房地产市场价值；</w:t>
      </w:r>
    </w:p>
    <w:p>
      <w:pPr>
        <w:spacing w:line="360" w:lineRule="auto"/>
        <w:ind w:firstLine="482"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b/>
          <w:bCs/>
          <w:color w:val="000000" w:themeColor="text1"/>
          <w:sz w:val="24"/>
        </w:rPr>
        <w:t>估价方法：</w:t>
      </w:r>
      <w:r>
        <w:rPr>
          <w:rFonts w:hint="eastAsia" w:asciiTheme="minorEastAsia" w:hAnsiTheme="minorEastAsia" w:eastAsiaTheme="minorEastAsia" w:cstheme="minorEastAsia"/>
          <w:color w:val="000000" w:themeColor="text1"/>
          <w:sz w:val="24"/>
        </w:rPr>
        <w:t>比较法；</w:t>
      </w:r>
    </w:p>
    <w:p>
      <w:pPr>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000000" w:themeColor="text1"/>
          <w:sz w:val="24"/>
        </w:rPr>
        <w:t>估价结果：</w:t>
      </w:r>
      <w:r>
        <w:rPr>
          <w:rFonts w:hint="eastAsia" w:asciiTheme="minorEastAsia" w:hAnsiTheme="minorEastAsia" w:eastAsiaTheme="minorEastAsia" w:cstheme="minorEastAsia"/>
          <w:color w:val="000000" w:themeColor="text1"/>
          <w:sz w:val="24"/>
        </w:rPr>
        <w:t>市场价值总额为人民币</w:t>
      </w:r>
      <w:r>
        <w:rPr>
          <w:rFonts w:hint="eastAsia" w:asciiTheme="minorEastAsia" w:hAnsiTheme="minorEastAsia" w:eastAsiaTheme="minorEastAsia" w:cstheme="minorEastAsia"/>
          <w:color w:val="000000" w:themeColor="text1"/>
          <w:kern w:val="0"/>
          <w:sz w:val="24"/>
        </w:rPr>
        <w:t>伍佰伍拾柒万柒仟零壹拾壹元整</w:t>
      </w:r>
      <w:r>
        <w:rPr>
          <w:rFonts w:hint="eastAsia" w:asciiTheme="minorEastAsia" w:hAnsiTheme="minorEastAsia" w:eastAsiaTheme="minorEastAsia" w:cstheme="minorEastAsia"/>
          <w:color w:val="000000" w:themeColor="text1"/>
          <w:sz w:val="24"/>
        </w:rPr>
        <w:t>（RMB</w:t>
      </w:r>
      <w:r>
        <w:rPr>
          <w:rFonts w:hint="eastAsia" w:asciiTheme="minorEastAsia" w:hAnsiTheme="minorEastAsia" w:eastAsiaTheme="minorEastAsia" w:cstheme="minorEastAsia"/>
          <w:color w:val="000000" w:themeColor="text1"/>
          <w:kern w:val="0"/>
          <w:sz w:val="24"/>
        </w:rPr>
        <w:t>5577011元</w:t>
      </w:r>
      <w:r>
        <w:rPr>
          <w:rFonts w:hint="eastAsia" w:asciiTheme="minorEastAsia" w:hAnsiTheme="minorEastAsia" w:eastAsiaTheme="minorEastAsia" w:cstheme="minorEastAsia"/>
          <w:color w:val="000000" w:themeColor="text1"/>
          <w:sz w:val="24"/>
        </w:rPr>
        <w:t>）</w:t>
      </w:r>
      <w:r>
        <w:rPr>
          <w:rFonts w:asciiTheme="minorEastAsia" w:hAnsiTheme="minorEastAsia" w:eastAsiaTheme="minorEastAsia" w:cstheme="minorEastAsia"/>
          <w:color w:val="000000" w:themeColor="text1"/>
          <w:sz w:val="24"/>
        </w:rPr>
        <w:t>，</w:t>
      </w:r>
      <w:r>
        <w:rPr>
          <w:rFonts w:hint="eastAsia" w:asciiTheme="minorEastAsia" w:hAnsiTheme="minorEastAsia" w:eastAsiaTheme="minorEastAsia" w:cstheme="minorEastAsia"/>
          <w:color w:val="000000" w:themeColor="text1"/>
          <w:sz w:val="24"/>
        </w:rPr>
        <w:t>折合建筑面积单价</w:t>
      </w:r>
      <w:r>
        <w:rPr>
          <w:rFonts w:hint="eastAsia" w:asciiTheme="minorEastAsia" w:hAnsiTheme="minorEastAsia" w:eastAsiaTheme="minorEastAsia" w:cstheme="minorEastAsia"/>
          <w:color w:val="000000" w:themeColor="text1"/>
          <w:kern w:val="0"/>
          <w:sz w:val="24"/>
        </w:rPr>
        <w:t>5120</w:t>
      </w:r>
      <w:r>
        <w:rPr>
          <w:rFonts w:hint="eastAsia" w:asciiTheme="minorEastAsia" w:hAnsiTheme="minorEastAsia" w:eastAsiaTheme="minorEastAsia" w:cstheme="minorEastAsia"/>
          <w:color w:val="000000" w:themeColor="text1"/>
          <w:sz w:val="24"/>
        </w:rPr>
        <w:t>元/平方米</w:t>
      </w:r>
      <w:r>
        <w:rPr>
          <w:rFonts w:asciiTheme="minorEastAsia" w:hAnsiTheme="minorEastAsia" w:eastAsiaTheme="minorEastAsia" w:cstheme="minorEastAsia"/>
          <w:color w:val="FF0000"/>
          <w:sz w:val="24"/>
        </w:rPr>
        <w:t>。</w:t>
      </w:r>
    </w:p>
    <w:p>
      <w:pPr>
        <w:spacing w:line="360" w:lineRule="auto"/>
        <w:ind w:firstLine="482"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b/>
          <w:bCs/>
          <w:color w:val="000000" w:themeColor="text1"/>
          <w:sz w:val="24"/>
        </w:rPr>
        <w:t>特别提示：</w:t>
      </w:r>
      <w:r>
        <w:rPr>
          <w:rFonts w:hint="eastAsia" w:asciiTheme="minorEastAsia" w:hAnsiTheme="minorEastAsia" w:eastAsiaTheme="minorEastAsia" w:cstheme="minorEastAsia"/>
          <w:color w:val="000000" w:themeColor="text1"/>
          <w:sz w:val="24"/>
        </w:rPr>
        <w:t>本估价报告及估价结果的使用受到已载明的估价假设和限制条件的限制。本估价结论为不考虑抵押、查封影响下完全权利价值。</w:t>
      </w:r>
      <w:r>
        <w:rPr>
          <w:rFonts w:hint="eastAsia" w:ascii="宋体" w:hAnsi="宋体" w:cs="宋体"/>
          <w:b/>
          <w:bCs/>
          <w:sz w:val="24"/>
        </w:rPr>
        <w:t>本估价报告的使用期限为自报告出具之日起一年，本估价报告的异议期为自报告出具之日起十日。</w:t>
      </w:r>
    </w:p>
    <w:p>
      <w:pPr>
        <w:spacing w:line="360" w:lineRule="auto"/>
        <w:ind w:firstLine="480" w:firstLineChars="200"/>
        <w:rPr>
          <w:rFonts w:asciiTheme="minorEastAsia" w:hAnsiTheme="minorEastAsia" w:eastAsiaTheme="minorEastAsia" w:cstheme="minorEastAsia"/>
          <w:color w:val="000000" w:themeColor="text1"/>
          <w:sz w:val="24"/>
        </w:rPr>
      </w:pP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法人代表（盖章）：</w:t>
      </w:r>
    </w:p>
    <w:p>
      <w:pPr>
        <w:spacing w:line="360" w:lineRule="auto"/>
        <w:rPr>
          <w:rFonts w:asciiTheme="minorEastAsia" w:hAnsiTheme="minorEastAsia" w:eastAsiaTheme="minorEastAsia" w:cstheme="minorEastAsia"/>
          <w:color w:val="000000" w:themeColor="text1"/>
          <w:sz w:val="24"/>
        </w:rPr>
      </w:pPr>
    </w:p>
    <w:p>
      <w:pPr>
        <w:spacing w:line="360" w:lineRule="auto"/>
        <w:rPr>
          <w:rFonts w:asciiTheme="minorEastAsia" w:hAnsiTheme="minorEastAsia" w:eastAsiaTheme="minorEastAsia" w:cstheme="minorEastAsia"/>
          <w:color w:val="000000" w:themeColor="text1"/>
          <w:sz w:val="24"/>
        </w:rPr>
      </w:pPr>
    </w:p>
    <w:p>
      <w:pPr>
        <w:spacing w:line="360" w:lineRule="auto"/>
        <w:rPr>
          <w:rFonts w:asciiTheme="minorEastAsia" w:hAnsiTheme="minorEastAsia" w:eastAsiaTheme="minorEastAsia" w:cstheme="minorEastAsia"/>
          <w:color w:val="000000" w:themeColor="text1"/>
          <w:sz w:val="24"/>
        </w:rPr>
      </w:pPr>
    </w:p>
    <w:p>
      <w:pPr>
        <w:spacing w:line="360" w:lineRule="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 xml:space="preserve">                                       陕西中大房地产评估有限责任公司</w:t>
      </w:r>
    </w:p>
    <w:p>
      <w:pPr>
        <w:spacing w:line="360" w:lineRule="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 xml:space="preserve">                                             2021年07月21日</w:t>
      </w:r>
    </w:p>
    <w:p>
      <w:pPr>
        <w:spacing w:line="360" w:lineRule="auto"/>
        <w:jc w:val="center"/>
        <w:rPr>
          <w:rFonts w:ascii="宋体" w:cs="宋体"/>
          <w:b/>
          <w:bCs/>
          <w:color w:val="000000" w:themeColor="text1"/>
          <w:sz w:val="36"/>
          <w:szCs w:val="36"/>
        </w:rPr>
      </w:pPr>
      <w:r>
        <w:rPr>
          <w:rFonts w:hint="eastAsia" w:asciiTheme="minorEastAsia" w:hAnsiTheme="minorEastAsia" w:eastAsiaTheme="minorEastAsia" w:cstheme="minorEastAsia"/>
          <w:color w:val="000000" w:themeColor="text1"/>
          <w:sz w:val="24"/>
        </w:rPr>
        <w:br w:type="page"/>
      </w:r>
      <w:r>
        <w:rPr>
          <w:rFonts w:hint="eastAsia" w:ascii="宋体" w:cs="宋体"/>
          <w:b/>
          <w:bCs/>
          <w:color w:val="000000" w:themeColor="text1"/>
          <w:sz w:val="32"/>
          <w:szCs w:val="32"/>
        </w:rPr>
        <w:t>目     录</w:t>
      </w:r>
    </w:p>
    <w:p>
      <w:pPr>
        <w:spacing w:line="360" w:lineRule="auto"/>
        <w:jc w:val="distribute"/>
        <w:rPr>
          <w:rFonts w:ascii="宋体" w:cs="宋体"/>
          <w:color w:val="000000" w:themeColor="text1"/>
          <w:sz w:val="24"/>
        </w:rPr>
      </w:pPr>
      <w:r>
        <w:rPr>
          <w:rFonts w:hint="eastAsia" w:ascii="宋体" w:cs="宋体"/>
          <w:color w:val="000000" w:themeColor="text1"/>
          <w:sz w:val="24"/>
        </w:rPr>
        <w:t>注册房地产估价师声明………………………………………………………………………1</w:t>
      </w:r>
    </w:p>
    <w:p>
      <w:pPr>
        <w:spacing w:line="360" w:lineRule="auto"/>
        <w:jc w:val="distribute"/>
        <w:rPr>
          <w:rFonts w:ascii="宋体" w:cs="宋体"/>
          <w:color w:val="000000" w:themeColor="text1"/>
          <w:sz w:val="24"/>
        </w:rPr>
      </w:pPr>
      <w:r>
        <w:rPr>
          <w:rFonts w:hint="eastAsia" w:ascii="宋体" w:cs="宋体"/>
          <w:color w:val="000000" w:themeColor="text1"/>
          <w:sz w:val="24"/>
        </w:rPr>
        <w:t>估价的假设和限制条件………………………………………………………………………2</w:t>
      </w:r>
    </w:p>
    <w:p>
      <w:pPr>
        <w:ind w:firstLine="420" w:firstLineChars="200"/>
        <w:jc w:val="distribute"/>
        <w:rPr>
          <w:rFonts w:ascii="宋体" w:cs="宋体"/>
          <w:color w:val="000000" w:themeColor="text1"/>
          <w:szCs w:val="21"/>
        </w:rPr>
      </w:pPr>
      <w:r>
        <w:rPr>
          <w:rFonts w:hint="eastAsia" w:ascii="宋体" w:cs="宋体"/>
          <w:color w:val="000000" w:themeColor="text1"/>
          <w:szCs w:val="21"/>
        </w:rPr>
        <w:t>（一）一般假设…………………………………………………………………………………………2</w:t>
      </w:r>
    </w:p>
    <w:p>
      <w:pPr>
        <w:ind w:firstLine="420" w:firstLineChars="200"/>
        <w:jc w:val="distribute"/>
        <w:rPr>
          <w:rFonts w:ascii="宋体" w:cs="宋体"/>
          <w:color w:val="000000" w:themeColor="text1"/>
          <w:szCs w:val="21"/>
        </w:rPr>
      </w:pPr>
      <w:r>
        <w:rPr>
          <w:rFonts w:hint="eastAsia" w:ascii="宋体" w:cs="宋体"/>
          <w:color w:val="000000" w:themeColor="text1"/>
          <w:szCs w:val="21"/>
        </w:rPr>
        <w:t>（二）未定事项假设……………………………………………………………………………………2</w:t>
      </w:r>
    </w:p>
    <w:p>
      <w:pPr>
        <w:ind w:firstLine="420" w:firstLineChars="200"/>
        <w:jc w:val="distribute"/>
        <w:rPr>
          <w:rFonts w:ascii="宋体" w:cs="宋体"/>
          <w:color w:val="000000" w:themeColor="text1"/>
          <w:szCs w:val="21"/>
        </w:rPr>
      </w:pPr>
      <w:r>
        <w:rPr>
          <w:rFonts w:hint="eastAsia" w:ascii="宋体" w:cs="宋体"/>
          <w:color w:val="000000" w:themeColor="text1"/>
          <w:szCs w:val="21"/>
        </w:rPr>
        <w:t>（三）背离事实假设……………………………………………………………………………………2</w:t>
      </w:r>
    </w:p>
    <w:p>
      <w:pPr>
        <w:ind w:firstLine="420" w:firstLineChars="200"/>
        <w:jc w:val="distribute"/>
        <w:rPr>
          <w:rFonts w:ascii="宋体" w:cs="宋体"/>
          <w:color w:val="000000" w:themeColor="text1"/>
          <w:szCs w:val="21"/>
        </w:rPr>
      </w:pPr>
      <w:r>
        <w:rPr>
          <w:rFonts w:hint="eastAsia" w:ascii="宋体" w:cs="宋体"/>
          <w:color w:val="000000" w:themeColor="text1"/>
          <w:szCs w:val="21"/>
        </w:rPr>
        <w:t>（四）不相一致假设……………………………………………………………………………………2</w:t>
      </w:r>
    </w:p>
    <w:p>
      <w:pPr>
        <w:ind w:firstLine="420" w:firstLineChars="200"/>
        <w:jc w:val="distribute"/>
        <w:rPr>
          <w:rFonts w:ascii="宋体" w:cs="宋体"/>
          <w:color w:val="000000" w:themeColor="text1"/>
          <w:szCs w:val="21"/>
        </w:rPr>
      </w:pPr>
      <w:r>
        <w:rPr>
          <w:rFonts w:hint="eastAsia" w:ascii="宋体" w:cs="宋体"/>
          <w:color w:val="000000" w:themeColor="text1"/>
          <w:szCs w:val="21"/>
        </w:rPr>
        <w:t>（五）依据不足假设……………………………………………………………………………………3</w:t>
      </w:r>
    </w:p>
    <w:p>
      <w:pPr>
        <w:ind w:firstLine="420" w:firstLineChars="200"/>
        <w:jc w:val="distribute"/>
        <w:rPr>
          <w:rFonts w:ascii="宋体" w:cs="宋体"/>
          <w:color w:val="000000" w:themeColor="text1"/>
          <w:szCs w:val="21"/>
        </w:rPr>
      </w:pPr>
      <w:r>
        <w:rPr>
          <w:rFonts w:hint="eastAsia" w:ascii="宋体" w:cs="宋体"/>
          <w:color w:val="000000" w:themeColor="text1"/>
          <w:szCs w:val="21"/>
        </w:rPr>
        <w:t>（六）估价报告使用限制………………………………………………………………………………3</w:t>
      </w:r>
    </w:p>
    <w:p>
      <w:pPr>
        <w:ind w:firstLine="420" w:firstLineChars="200"/>
        <w:jc w:val="distribute"/>
        <w:rPr>
          <w:rFonts w:ascii="宋体" w:cs="宋体"/>
          <w:color w:val="000000" w:themeColor="text1"/>
          <w:szCs w:val="21"/>
        </w:rPr>
      </w:pPr>
      <w:r>
        <w:rPr>
          <w:rFonts w:hint="eastAsia" w:ascii="宋体" w:cs="宋体"/>
          <w:color w:val="000000" w:themeColor="text1"/>
          <w:szCs w:val="21"/>
        </w:rPr>
        <w:t>（七）其他需要说明的事项……………………………………………………………………………3</w:t>
      </w:r>
    </w:p>
    <w:p>
      <w:pPr>
        <w:spacing w:line="360" w:lineRule="auto"/>
        <w:jc w:val="distribute"/>
        <w:rPr>
          <w:rFonts w:ascii="宋体" w:cs="宋体"/>
          <w:color w:val="000000" w:themeColor="text1"/>
          <w:sz w:val="24"/>
        </w:rPr>
      </w:pPr>
      <w:r>
        <w:rPr>
          <w:rFonts w:hint="eastAsia" w:ascii="宋体" w:cs="宋体"/>
          <w:color w:val="000000" w:themeColor="text1"/>
          <w:sz w:val="24"/>
        </w:rPr>
        <w:t>房地产估价结果报告…………………………………………………………………………5</w:t>
      </w:r>
    </w:p>
    <w:p>
      <w:pPr>
        <w:ind w:firstLine="420" w:firstLineChars="200"/>
        <w:jc w:val="distribute"/>
        <w:rPr>
          <w:rFonts w:ascii="宋体" w:cs="宋体"/>
          <w:color w:val="000000" w:themeColor="text1"/>
          <w:szCs w:val="21"/>
        </w:rPr>
      </w:pPr>
      <w:r>
        <w:rPr>
          <w:rFonts w:hint="eastAsia" w:ascii="宋体" w:cs="宋体"/>
          <w:color w:val="000000" w:themeColor="text1"/>
          <w:szCs w:val="21"/>
        </w:rPr>
        <w:t>（一）估价委托人………………………………………………………………………………………5</w:t>
      </w:r>
    </w:p>
    <w:p>
      <w:pPr>
        <w:ind w:firstLine="420" w:firstLineChars="200"/>
        <w:jc w:val="distribute"/>
        <w:rPr>
          <w:rFonts w:ascii="宋体" w:cs="宋体"/>
          <w:color w:val="000000" w:themeColor="text1"/>
          <w:szCs w:val="21"/>
        </w:rPr>
      </w:pPr>
      <w:r>
        <w:rPr>
          <w:rFonts w:hint="eastAsia" w:ascii="宋体" w:cs="宋体"/>
          <w:color w:val="000000" w:themeColor="text1"/>
          <w:szCs w:val="21"/>
        </w:rPr>
        <w:t>（二）房地产估价机构…………………………………………………………………………………5</w:t>
      </w:r>
    </w:p>
    <w:p>
      <w:pPr>
        <w:ind w:firstLine="420" w:firstLineChars="200"/>
        <w:jc w:val="distribute"/>
        <w:rPr>
          <w:rFonts w:ascii="宋体" w:cs="宋体"/>
          <w:color w:val="000000" w:themeColor="text1"/>
          <w:szCs w:val="21"/>
        </w:rPr>
      </w:pPr>
      <w:r>
        <w:rPr>
          <w:rFonts w:hint="eastAsia" w:ascii="宋体" w:cs="宋体"/>
          <w:color w:val="000000" w:themeColor="text1"/>
          <w:szCs w:val="21"/>
        </w:rPr>
        <w:t>（三）估价目的…………………………………………………………………………………………5</w:t>
      </w:r>
    </w:p>
    <w:p>
      <w:pPr>
        <w:ind w:firstLine="420" w:firstLineChars="200"/>
        <w:jc w:val="distribute"/>
        <w:rPr>
          <w:rFonts w:ascii="宋体" w:cs="宋体"/>
          <w:color w:val="000000" w:themeColor="text1"/>
          <w:szCs w:val="21"/>
        </w:rPr>
      </w:pPr>
      <w:r>
        <w:rPr>
          <w:rFonts w:hint="eastAsia" w:ascii="宋体" w:cs="宋体"/>
          <w:color w:val="000000" w:themeColor="text1"/>
          <w:szCs w:val="21"/>
        </w:rPr>
        <w:t>（四）估价对象…………………………………………………………………………………………5</w:t>
      </w:r>
    </w:p>
    <w:p>
      <w:pPr>
        <w:ind w:firstLine="420" w:firstLineChars="200"/>
        <w:jc w:val="distribute"/>
        <w:rPr>
          <w:rFonts w:ascii="宋体" w:cs="宋体"/>
          <w:color w:val="000000" w:themeColor="text1"/>
          <w:szCs w:val="21"/>
        </w:rPr>
      </w:pPr>
      <w:r>
        <w:rPr>
          <w:rFonts w:hint="eastAsia" w:ascii="宋体" w:cs="宋体"/>
          <w:color w:val="000000" w:themeColor="text1"/>
          <w:szCs w:val="21"/>
        </w:rPr>
        <w:t>（五）价值时点…………………………………………………………………………………………8</w:t>
      </w:r>
    </w:p>
    <w:p>
      <w:pPr>
        <w:ind w:firstLine="420" w:firstLineChars="200"/>
        <w:jc w:val="distribute"/>
        <w:rPr>
          <w:rFonts w:ascii="宋体" w:cs="宋体"/>
          <w:color w:val="000000" w:themeColor="text1"/>
          <w:szCs w:val="21"/>
        </w:rPr>
      </w:pPr>
      <w:r>
        <w:rPr>
          <w:rFonts w:hint="eastAsia" w:ascii="宋体" w:cs="宋体"/>
          <w:color w:val="000000" w:themeColor="text1"/>
          <w:szCs w:val="21"/>
        </w:rPr>
        <w:t>（六）价值类型…………………………………………………………………………………………8</w:t>
      </w:r>
    </w:p>
    <w:p>
      <w:pPr>
        <w:ind w:firstLine="420" w:firstLineChars="200"/>
        <w:jc w:val="distribute"/>
        <w:rPr>
          <w:rFonts w:ascii="宋体" w:cs="宋体"/>
          <w:color w:val="000000" w:themeColor="text1"/>
          <w:szCs w:val="21"/>
        </w:rPr>
      </w:pPr>
      <w:r>
        <w:rPr>
          <w:rFonts w:hint="eastAsia" w:ascii="宋体" w:cs="宋体"/>
          <w:color w:val="000000" w:themeColor="text1"/>
          <w:szCs w:val="21"/>
        </w:rPr>
        <w:t>（七）估价原则…………………………………………………………………………………………9</w:t>
      </w:r>
    </w:p>
    <w:p>
      <w:pPr>
        <w:ind w:firstLine="420" w:firstLineChars="200"/>
        <w:jc w:val="distribute"/>
        <w:rPr>
          <w:rFonts w:ascii="宋体" w:cs="宋体"/>
          <w:color w:val="000000" w:themeColor="text1"/>
          <w:szCs w:val="21"/>
        </w:rPr>
      </w:pPr>
      <w:r>
        <w:rPr>
          <w:rFonts w:hint="eastAsia" w:ascii="宋体" w:cs="宋体"/>
          <w:color w:val="000000" w:themeColor="text1"/>
          <w:szCs w:val="21"/>
        </w:rPr>
        <w:t>（八）估价依据…………………………………………………………………………………………9</w:t>
      </w:r>
    </w:p>
    <w:p>
      <w:pPr>
        <w:ind w:firstLine="420" w:firstLineChars="200"/>
        <w:jc w:val="distribute"/>
        <w:rPr>
          <w:rFonts w:ascii="宋体" w:cs="宋体"/>
          <w:color w:val="000000" w:themeColor="text1"/>
          <w:szCs w:val="21"/>
        </w:rPr>
      </w:pPr>
      <w:r>
        <w:rPr>
          <w:rFonts w:hint="eastAsia" w:ascii="宋体" w:cs="宋体"/>
          <w:color w:val="000000" w:themeColor="text1"/>
          <w:szCs w:val="21"/>
        </w:rPr>
        <w:t>（九）估价方法………………………………………………………………………………………10</w:t>
      </w:r>
    </w:p>
    <w:p>
      <w:pPr>
        <w:ind w:firstLine="420" w:firstLineChars="200"/>
        <w:jc w:val="distribute"/>
        <w:rPr>
          <w:rFonts w:ascii="宋体" w:cs="宋体"/>
          <w:color w:val="000000" w:themeColor="text1"/>
          <w:szCs w:val="21"/>
        </w:rPr>
      </w:pPr>
      <w:r>
        <w:rPr>
          <w:rFonts w:hint="eastAsia" w:ascii="宋体" w:cs="宋体"/>
          <w:color w:val="000000" w:themeColor="text1"/>
          <w:szCs w:val="21"/>
        </w:rPr>
        <w:t>（十）估价结果………………………………………………………………………………………10</w:t>
      </w:r>
    </w:p>
    <w:p>
      <w:pPr>
        <w:ind w:firstLine="420" w:firstLineChars="200"/>
        <w:jc w:val="distribute"/>
        <w:rPr>
          <w:rFonts w:ascii="宋体" w:cs="宋体"/>
          <w:color w:val="000000" w:themeColor="text1"/>
          <w:szCs w:val="21"/>
        </w:rPr>
      </w:pPr>
      <w:r>
        <w:rPr>
          <w:rFonts w:hint="eastAsia" w:ascii="宋体" w:cs="宋体"/>
          <w:color w:val="000000" w:themeColor="text1"/>
          <w:szCs w:val="21"/>
        </w:rPr>
        <w:t>（十一）注册房地产估价师…………………………………………………………………………11</w:t>
      </w:r>
    </w:p>
    <w:p>
      <w:pPr>
        <w:ind w:firstLine="420" w:firstLineChars="200"/>
        <w:jc w:val="distribute"/>
        <w:rPr>
          <w:rFonts w:ascii="宋体" w:cs="宋体"/>
          <w:color w:val="000000" w:themeColor="text1"/>
          <w:szCs w:val="21"/>
        </w:rPr>
      </w:pPr>
      <w:r>
        <w:rPr>
          <w:rFonts w:hint="eastAsia" w:ascii="宋体" w:cs="宋体"/>
          <w:color w:val="000000" w:themeColor="text1"/>
          <w:szCs w:val="21"/>
        </w:rPr>
        <w:t>（十二）实地查勘期…………………………………………………………………………………11</w:t>
      </w:r>
    </w:p>
    <w:p>
      <w:pPr>
        <w:ind w:firstLine="420" w:firstLineChars="200"/>
        <w:jc w:val="distribute"/>
        <w:rPr>
          <w:rFonts w:ascii="宋体" w:cs="宋体"/>
          <w:color w:val="000000" w:themeColor="text1"/>
          <w:szCs w:val="21"/>
        </w:rPr>
      </w:pPr>
      <w:r>
        <w:rPr>
          <w:rFonts w:hint="eastAsia" w:ascii="宋体" w:cs="宋体"/>
          <w:color w:val="000000" w:themeColor="text1"/>
          <w:szCs w:val="21"/>
        </w:rPr>
        <w:t>（十三）估价作业期…………………………………………………………………………………11</w:t>
      </w:r>
    </w:p>
    <w:p>
      <w:pPr>
        <w:ind w:firstLine="420" w:firstLineChars="200"/>
        <w:jc w:val="distribute"/>
        <w:rPr>
          <w:rFonts w:ascii="宋体" w:cs="宋体"/>
          <w:color w:val="000000" w:themeColor="text1"/>
          <w:sz w:val="24"/>
        </w:rPr>
      </w:pPr>
      <w:r>
        <w:rPr>
          <w:rFonts w:hint="eastAsia" w:ascii="宋体" w:cs="宋体"/>
          <w:color w:val="000000" w:themeColor="text1"/>
          <w:szCs w:val="21"/>
        </w:rPr>
        <w:t>（十四）估价报告使用期限…………………………………………………………………………11</w:t>
      </w:r>
    </w:p>
    <w:p>
      <w:pPr>
        <w:spacing w:line="360" w:lineRule="auto"/>
        <w:jc w:val="left"/>
        <w:rPr>
          <w:rFonts w:ascii="宋体" w:cs="宋体"/>
          <w:color w:val="000000" w:themeColor="text1"/>
          <w:sz w:val="24"/>
        </w:rPr>
      </w:pPr>
      <w:r>
        <w:rPr>
          <w:rFonts w:hint="eastAsia" w:ascii="宋体" w:cs="宋体"/>
          <w:color w:val="000000" w:themeColor="text1"/>
          <w:sz w:val="24"/>
        </w:rPr>
        <w:t>附   件</w:t>
      </w:r>
    </w:p>
    <w:p>
      <w:pPr>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附件一、《安康市汉滨区人民法院委托书》（（2021）陕0902执483号）；</w:t>
      </w:r>
    </w:p>
    <w:p>
      <w:pPr>
        <w:ind w:left="1260" w:leftChars="200" w:hanging="840" w:hangingChars="4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附件二、《陕西省安康市汉滨区人民法院民事裁定书》（（2020）陕0902民初2836号）（复印件）；</w:t>
      </w:r>
    </w:p>
    <w:p>
      <w:pPr>
        <w:ind w:left="1260" w:leftChars="200" w:hanging="840" w:hangingChars="4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附件三、《集体土地使用证》（安集用（12）第2492号）；</w:t>
      </w:r>
    </w:p>
    <w:p>
      <w:pPr>
        <w:ind w:left="1260" w:leftChars="200" w:hanging="840" w:hangingChars="4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附件四、《房屋所有权证》（安房权证产字第B306700-00-0-7号）；</w:t>
      </w:r>
    </w:p>
    <w:p>
      <w:pPr>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附件</w:t>
      </w:r>
      <w:r>
        <w:rPr>
          <w:rFonts w:asciiTheme="minorEastAsia" w:hAnsiTheme="minorEastAsia" w:eastAsiaTheme="minorEastAsia" w:cstheme="minorEastAsia"/>
          <w:color w:val="000000" w:themeColor="text1"/>
          <w:szCs w:val="21"/>
        </w:rPr>
        <w:t>五</w:t>
      </w:r>
      <w:r>
        <w:rPr>
          <w:rFonts w:hint="eastAsia" w:asciiTheme="minorEastAsia" w:hAnsiTheme="minorEastAsia" w:eastAsiaTheme="minorEastAsia" w:cstheme="minorEastAsia"/>
          <w:color w:val="000000" w:themeColor="text1"/>
          <w:szCs w:val="21"/>
        </w:rPr>
        <w:t>、估价对象位置示意图；</w:t>
      </w:r>
    </w:p>
    <w:p>
      <w:pPr>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附件</w:t>
      </w:r>
      <w:r>
        <w:rPr>
          <w:rFonts w:asciiTheme="minorEastAsia" w:hAnsiTheme="minorEastAsia" w:eastAsiaTheme="minorEastAsia" w:cstheme="minorEastAsia"/>
          <w:color w:val="000000" w:themeColor="text1"/>
          <w:szCs w:val="21"/>
        </w:rPr>
        <w:t>六</w:t>
      </w:r>
      <w:r>
        <w:rPr>
          <w:rFonts w:hint="eastAsia" w:asciiTheme="minorEastAsia" w:hAnsiTheme="minorEastAsia" w:eastAsiaTheme="minorEastAsia" w:cstheme="minorEastAsia"/>
          <w:color w:val="000000" w:themeColor="text1"/>
          <w:szCs w:val="21"/>
        </w:rPr>
        <w:t>、估价对象现状照片及周围景观照片；</w:t>
      </w:r>
    </w:p>
    <w:p>
      <w:pPr>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附件</w:t>
      </w:r>
      <w:r>
        <w:rPr>
          <w:rFonts w:asciiTheme="minorEastAsia" w:hAnsiTheme="minorEastAsia" w:eastAsiaTheme="minorEastAsia" w:cstheme="minorEastAsia"/>
          <w:color w:val="000000" w:themeColor="text1"/>
          <w:szCs w:val="21"/>
        </w:rPr>
        <w:t>七</w:t>
      </w:r>
      <w:r>
        <w:rPr>
          <w:rFonts w:hint="eastAsia" w:asciiTheme="minorEastAsia" w:hAnsiTheme="minorEastAsia" w:eastAsiaTheme="minorEastAsia" w:cstheme="minorEastAsia"/>
          <w:color w:val="000000" w:themeColor="text1"/>
          <w:szCs w:val="21"/>
        </w:rPr>
        <w:t>、房地产估价机构营业执照和年度提交报告书（复印件）；</w:t>
      </w:r>
    </w:p>
    <w:p>
      <w:pPr>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附件</w:t>
      </w:r>
      <w:r>
        <w:rPr>
          <w:rFonts w:asciiTheme="minorEastAsia" w:hAnsiTheme="minorEastAsia" w:eastAsiaTheme="minorEastAsia" w:cstheme="minorEastAsia"/>
          <w:color w:val="000000" w:themeColor="text1"/>
          <w:szCs w:val="21"/>
        </w:rPr>
        <w:t>八</w:t>
      </w:r>
      <w:r>
        <w:rPr>
          <w:rFonts w:hint="eastAsia" w:asciiTheme="minorEastAsia" w:hAnsiTheme="minorEastAsia" w:eastAsiaTheme="minorEastAsia" w:cstheme="minorEastAsia"/>
          <w:color w:val="000000" w:themeColor="text1"/>
          <w:szCs w:val="21"/>
        </w:rPr>
        <w:t>、房地产估价机构资质证书（复印件）；</w:t>
      </w:r>
    </w:p>
    <w:p>
      <w:pPr>
        <w:ind w:firstLine="420" w:firstLineChars="200"/>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附件</w:t>
      </w:r>
      <w:r>
        <w:rPr>
          <w:rFonts w:asciiTheme="minorEastAsia" w:hAnsiTheme="minorEastAsia" w:eastAsiaTheme="minorEastAsia" w:cstheme="minorEastAsia"/>
          <w:color w:val="000000" w:themeColor="text1"/>
          <w:szCs w:val="21"/>
        </w:rPr>
        <w:t>九</w:t>
      </w:r>
      <w:r>
        <w:rPr>
          <w:rFonts w:hint="eastAsia" w:asciiTheme="minorEastAsia" w:hAnsiTheme="minorEastAsia" w:eastAsiaTheme="minorEastAsia" w:cstheme="minorEastAsia"/>
          <w:color w:val="000000" w:themeColor="text1"/>
          <w:szCs w:val="21"/>
        </w:rPr>
        <w:t>、注册房地产估价师注册证书（复印件）。</w:t>
      </w:r>
    </w:p>
    <w:p>
      <w:pPr>
        <w:spacing w:line="360" w:lineRule="auto"/>
        <w:jc w:val="center"/>
        <w:rPr>
          <w:rFonts w:ascii="仿宋" w:eastAsia="仿宋" w:cs="仿宋"/>
          <w:b/>
          <w:bCs/>
          <w:color w:val="000000" w:themeColor="text1"/>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01" w:right="1417" w:bottom="1417" w:left="1417" w:header="851" w:footer="992" w:gutter="0"/>
          <w:pgNumType w:start="1"/>
          <w:cols w:space="720" w:num="1"/>
          <w:docGrid w:type="lines" w:linePitch="319" w:charSpace="0"/>
        </w:sectPr>
      </w:pPr>
    </w:p>
    <w:p>
      <w:pPr>
        <w:spacing w:line="360" w:lineRule="auto"/>
        <w:jc w:val="center"/>
        <w:rPr>
          <w:rFonts w:ascii="仿宋" w:eastAsia="仿宋" w:cs="仿宋"/>
          <w:b/>
          <w:bCs/>
          <w:color w:val="000000" w:themeColor="text1"/>
          <w:sz w:val="36"/>
          <w:szCs w:val="36"/>
        </w:rPr>
      </w:pPr>
      <w:r>
        <w:rPr>
          <w:rFonts w:hint="eastAsia" w:ascii="仿宋" w:eastAsia="仿宋" w:cs="仿宋"/>
          <w:b/>
          <w:bCs/>
          <w:color w:val="000000" w:themeColor="text1"/>
          <w:sz w:val="32"/>
          <w:szCs w:val="32"/>
        </w:rPr>
        <w:t>估 价 师 声 明</w:t>
      </w:r>
    </w:p>
    <w:p>
      <w:pPr>
        <w:spacing w:line="440" w:lineRule="exact"/>
        <w:rPr>
          <w:rFonts w:ascii="仿宋" w:eastAsia="仿宋" w:cs="仿宋"/>
          <w:color w:val="000000" w:themeColor="text1"/>
          <w:sz w:val="28"/>
          <w:szCs w:val="28"/>
        </w:rPr>
      </w:pPr>
      <w:r>
        <w:rPr>
          <w:rFonts w:hint="eastAsia" w:ascii="仿宋" w:eastAsia="仿宋" w:cs="仿宋"/>
          <w:color w:val="000000" w:themeColor="text1"/>
          <w:sz w:val="28"/>
          <w:szCs w:val="28"/>
        </w:rPr>
        <w:t>我们根据自己的专业知识和职业道德，在此郑重声明：</w:t>
      </w:r>
    </w:p>
    <w:p>
      <w:pPr>
        <w:spacing w:line="440" w:lineRule="exact"/>
        <w:rPr>
          <w:rFonts w:ascii="仿宋" w:eastAsia="仿宋" w:cs="仿宋"/>
          <w:color w:val="000000" w:themeColor="text1"/>
          <w:sz w:val="28"/>
          <w:szCs w:val="28"/>
        </w:rPr>
      </w:pPr>
      <w:r>
        <w:rPr>
          <w:rFonts w:hint="eastAsia" w:ascii="仿宋" w:eastAsia="仿宋" w:cs="仿宋"/>
          <w:color w:val="000000" w:themeColor="text1"/>
          <w:sz w:val="28"/>
          <w:szCs w:val="28"/>
        </w:rPr>
        <w:t xml:space="preserve">    （一）注册房地产估价师在本估价报告中对事实的说明是真实和准确的，没有虚假记载、误导性陈述和重大遗漏。</w:t>
      </w:r>
    </w:p>
    <w:p>
      <w:pPr>
        <w:spacing w:line="440" w:lineRule="exact"/>
        <w:rPr>
          <w:rFonts w:ascii="仿宋" w:eastAsia="仿宋" w:cs="仿宋"/>
          <w:color w:val="000000" w:themeColor="text1"/>
          <w:sz w:val="28"/>
          <w:szCs w:val="28"/>
        </w:rPr>
      </w:pPr>
      <w:r>
        <w:rPr>
          <w:rFonts w:hint="eastAsia" w:ascii="仿宋" w:eastAsia="仿宋" w:cs="仿宋"/>
          <w:color w:val="000000" w:themeColor="text1"/>
          <w:sz w:val="28"/>
          <w:szCs w:val="28"/>
        </w:rPr>
        <w:t xml:space="preserve">    （二）本估价报告中的分析、意见和结论是注册房地产估价师独立、客观、公正的专业分析、意见和结论，但受到本估价报告中已说明的估价假设和限制条件的限制。</w:t>
      </w:r>
    </w:p>
    <w:p>
      <w:pPr>
        <w:spacing w:line="440" w:lineRule="exact"/>
        <w:rPr>
          <w:rFonts w:ascii="仿宋" w:eastAsia="仿宋" w:cs="仿宋"/>
          <w:color w:val="000000" w:themeColor="text1"/>
          <w:sz w:val="28"/>
          <w:szCs w:val="28"/>
        </w:rPr>
      </w:pPr>
      <w:r>
        <w:rPr>
          <w:rFonts w:hint="eastAsia" w:ascii="仿宋" w:eastAsia="仿宋" w:cs="仿宋"/>
          <w:color w:val="000000" w:themeColor="text1"/>
          <w:sz w:val="28"/>
          <w:szCs w:val="28"/>
        </w:rPr>
        <w:t xml:space="preserve">    （三）注册房地产估价师与本估价报告中的估价对象没有现实或潜在的利益，与估价委托人及估价利害关系人没有利害关系。</w:t>
      </w:r>
    </w:p>
    <w:p>
      <w:pPr>
        <w:spacing w:line="440" w:lineRule="exact"/>
        <w:rPr>
          <w:rFonts w:ascii="仿宋" w:eastAsia="仿宋" w:cs="仿宋"/>
          <w:color w:val="000000" w:themeColor="text1"/>
          <w:sz w:val="28"/>
          <w:szCs w:val="28"/>
        </w:rPr>
      </w:pPr>
      <w:r>
        <w:rPr>
          <w:rFonts w:hint="eastAsia" w:ascii="仿宋" w:eastAsia="仿宋" w:cs="仿宋"/>
          <w:color w:val="000000" w:themeColor="text1"/>
          <w:sz w:val="28"/>
          <w:szCs w:val="28"/>
        </w:rPr>
        <w:t xml:space="preserve">    （四）注册房地产估价师对本估价报告中的估价对象、估价委托人及估价利害关系人没有偏见。</w:t>
      </w:r>
    </w:p>
    <w:p>
      <w:pPr>
        <w:spacing w:line="440" w:lineRule="exact"/>
        <w:rPr>
          <w:rFonts w:ascii="仿宋" w:eastAsia="仿宋" w:cs="仿宋"/>
          <w:color w:val="000000" w:themeColor="text1"/>
          <w:sz w:val="28"/>
          <w:szCs w:val="28"/>
        </w:rPr>
      </w:pPr>
      <w:r>
        <w:rPr>
          <w:rFonts w:hint="eastAsia" w:ascii="仿宋" w:eastAsia="仿宋" w:cs="仿宋"/>
          <w:color w:val="000000" w:themeColor="text1"/>
          <w:sz w:val="28"/>
          <w:szCs w:val="28"/>
        </w:rPr>
        <w:t xml:space="preserve">    （五）注册房地产估价师是依照中华人民共和国国家标准《房地产估价规范》（GB/T50291-2015）、《房地产估价基本术语标准》（GB/T50899-2013）以及与估价目的相应的房地产估价专项标准进行分析，形成意见和结论，撰写本估价报告。</w:t>
      </w:r>
    </w:p>
    <w:p>
      <w:pPr>
        <w:spacing w:line="440" w:lineRule="exact"/>
        <w:rPr>
          <w:rFonts w:ascii="仿宋" w:eastAsia="仿宋" w:cs="仿宋"/>
          <w:color w:val="000000" w:themeColor="text1"/>
          <w:sz w:val="28"/>
          <w:szCs w:val="28"/>
        </w:rPr>
      </w:pPr>
      <w:r>
        <w:rPr>
          <w:rFonts w:hint="eastAsia" w:ascii="仿宋" w:eastAsia="仿宋" w:cs="仿宋"/>
          <w:color w:val="000000" w:themeColor="text1"/>
          <w:sz w:val="28"/>
          <w:szCs w:val="28"/>
        </w:rPr>
        <w:t xml:space="preserve">    （六）注册房地产估价师</w:t>
      </w:r>
      <w:r>
        <w:rPr>
          <w:rFonts w:hint="eastAsia" w:ascii="Times New Roman" w:hAnsi="Times New Roman" w:eastAsia="仿宋_GB2312" w:cs="仿宋_GB2312"/>
          <w:color w:val="000000" w:themeColor="text1"/>
          <w:sz w:val="28"/>
          <w:szCs w:val="28"/>
        </w:rPr>
        <w:t>张建民</w:t>
      </w:r>
      <w:r>
        <w:rPr>
          <w:rFonts w:hint="eastAsia" w:ascii="仿宋" w:eastAsia="仿宋" w:cs="仿宋"/>
          <w:color w:val="000000" w:themeColor="text1"/>
          <w:sz w:val="28"/>
          <w:szCs w:val="28"/>
        </w:rPr>
        <w:t>于2021年05月28日对本估价报告中的估价对象进行了实地查勘。</w:t>
      </w:r>
    </w:p>
    <w:p>
      <w:pPr>
        <w:spacing w:line="440" w:lineRule="exact"/>
        <w:rPr>
          <w:rFonts w:ascii="仿宋" w:eastAsia="仿宋" w:cs="仿宋"/>
          <w:color w:val="000000" w:themeColor="text1"/>
          <w:sz w:val="28"/>
          <w:szCs w:val="28"/>
        </w:rPr>
      </w:pPr>
      <w:r>
        <w:rPr>
          <w:rFonts w:hint="eastAsia" w:ascii="仿宋" w:eastAsia="仿宋" w:cs="仿宋"/>
          <w:color w:val="000000" w:themeColor="text1"/>
          <w:sz w:val="28"/>
          <w:szCs w:val="28"/>
        </w:rPr>
        <w:t xml:space="preserve">    （七）没有外部专家和单位对本估价报告提供专业帮助。</w:t>
      </w:r>
    </w:p>
    <w:p>
      <w:pPr>
        <w:spacing w:line="500" w:lineRule="exact"/>
        <w:jc w:val="center"/>
        <w:rPr>
          <w:rFonts w:ascii="仿宋" w:eastAsia="仿宋" w:cs="仿宋"/>
          <w:b/>
          <w:bCs/>
          <w:color w:val="000000" w:themeColor="text1"/>
          <w:sz w:val="30"/>
          <w:szCs w:val="30"/>
        </w:rPr>
      </w:pPr>
      <w:r>
        <w:rPr>
          <w:rFonts w:hint="eastAsia" w:ascii="仿宋" w:eastAsia="仿宋" w:cs="仿宋"/>
          <w:b/>
          <w:bCs/>
          <w:color w:val="000000" w:themeColor="text1"/>
          <w:sz w:val="28"/>
          <w:szCs w:val="28"/>
        </w:rPr>
        <w:t>注册房地产估价师</w:t>
      </w:r>
    </w:p>
    <w:tbl>
      <w:tblPr>
        <w:tblStyle w:val="8"/>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2162"/>
        <w:gridCol w:w="4243"/>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33"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仿宋_GB2312"/>
                <w:bCs/>
                <w:color w:val="000000" w:themeColor="text1"/>
              </w:rPr>
            </w:pPr>
            <w:r>
              <w:rPr>
                <w:rFonts w:ascii="Times New Roman" w:hAnsi="Times New Roman" w:eastAsia="仿宋_GB2312" w:cs="仿宋_GB2312"/>
                <w:bCs/>
                <w:color w:val="000000" w:themeColor="text1"/>
              </w:rPr>
              <w:t>姓</w:t>
            </w:r>
            <w:r>
              <w:rPr>
                <w:rFonts w:ascii="Times New Roman" w:hAnsi="Times New Roman" w:eastAsia="仿宋_GB2312" w:cs="Times New Roman"/>
                <w:bCs/>
                <w:color w:val="000000" w:themeColor="text1"/>
              </w:rPr>
              <w:t xml:space="preserve">  </w:t>
            </w:r>
            <w:r>
              <w:rPr>
                <w:rFonts w:ascii="Times New Roman" w:hAnsi="Times New Roman" w:eastAsia="仿宋_GB2312" w:cs="仿宋_GB2312"/>
                <w:bCs/>
                <w:color w:val="000000" w:themeColor="text1"/>
              </w:rPr>
              <w:t>名</w:t>
            </w:r>
          </w:p>
        </w:tc>
        <w:tc>
          <w:tcPr>
            <w:tcW w:w="2162"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仿宋_GB2312"/>
                <w:bCs/>
                <w:color w:val="000000" w:themeColor="text1"/>
              </w:rPr>
            </w:pPr>
            <w:r>
              <w:rPr>
                <w:rFonts w:ascii="Times New Roman" w:hAnsi="Times New Roman" w:eastAsia="仿宋_GB2312" w:cs="仿宋_GB2312"/>
                <w:bCs/>
                <w:color w:val="000000" w:themeColor="text1"/>
              </w:rPr>
              <w:t>注册号</w:t>
            </w:r>
          </w:p>
        </w:tc>
        <w:tc>
          <w:tcPr>
            <w:tcW w:w="4243"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仿宋_GB2312"/>
                <w:bCs/>
                <w:color w:val="000000" w:themeColor="text1"/>
              </w:rPr>
            </w:pPr>
            <w:r>
              <w:rPr>
                <w:rFonts w:ascii="Times New Roman" w:hAnsi="Times New Roman" w:eastAsia="仿宋_GB2312" w:cs="仿宋_GB2312"/>
                <w:bCs/>
                <w:color w:val="000000" w:themeColor="text1"/>
              </w:rPr>
              <w:t>签</w:t>
            </w:r>
            <w:r>
              <w:rPr>
                <w:rFonts w:ascii="Times New Roman" w:hAnsi="Times New Roman" w:eastAsia="仿宋_GB2312" w:cs="Times New Roman"/>
                <w:bCs/>
                <w:color w:val="000000" w:themeColor="text1"/>
              </w:rPr>
              <w:t xml:space="preserve">  </w:t>
            </w:r>
            <w:r>
              <w:rPr>
                <w:rFonts w:hint="eastAsia" w:ascii="Times New Roman" w:hAnsi="Times New Roman" w:eastAsia="仿宋_GB2312" w:cs="仿宋_GB2312"/>
                <w:bCs/>
                <w:color w:val="000000" w:themeColor="text1"/>
              </w:rPr>
              <w:t>章</w:t>
            </w:r>
          </w:p>
        </w:tc>
        <w:tc>
          <w:tcPr>
            <w:tcW w:w="1518"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仿宋_GB2312"/>
                <w:bCs/>
                <w:color w:val="000000" w:themeColor="text1"/>
              </w:rPr>
            </w:pPr>
            <w:r>
              <w:rPr>
                <w:rFonts w:ascii="Times New Roman" w:hAnsi="Times New Roman" w:eastAsia="仿宋_GB2312" w:cs="仿宋_GB2312"/>
                <w:bCs/>
                <w:color w:val="000000" w:themeColor="text1"/>
              </w:rPr>
              <w:t>日</w:t>
            </w:r>
            <w:r>
              <w:rPr>
                <w:rFonts w:hint="eastAsia" w:ascii="Times New Roman" w:hAnsi="Times New Roman" w:eastAsia="仿宋_GB2312" w:cs="仿宋_GB2312"/>
                <w:bCs/>
                <w:color w:val="000000" w:themeColor="text1"/>
              </w:rPr>
              <w:t xml:space="preserve">  </w:t>
            </w:r>
            <w:r>
              <w:rPr>
                <w:rFonts w:ascii="Times New Roman" w:hAnsi="Times New Roman" w:eastAsia="仿宋_GB2312" w:cs="仿宋_GB2312"/>
                <w:bCs/>
                <w:color w:val="000000" w:themeColor="text1"/>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8" w:hRule="atLeast"/>
          <w:jc w:val="center"/>
        </w:trPr>
        <w:tc>
          <w:tcPr>
            <w:tcW w:w="1333"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Times New Roman"/>
                <w:color w:val="FF0000"/>
              </w:rPr>
            </w:pPr>
            <w:r>
              <w:rPr>
                <w:rFonts w:hint="eastAsia" w:ascii="Times New Roman" w:hAnsi="Times New Roman" w:eastAsia="仿宋_GB2312" w:cs="仿宋_GB2312"/>
                <w:color w:val="000000" w:themeColor="text1"/>
              </w:rPr>
              <w:t>张武龙</w:t>
            </w:r>
          </w:p>
        </w:tc>
        <w:tc>
          <w:tcPr>
            <w:tcW w:w="2162"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Times New Roman"/>
                <w:color w:val="FF0000"/>
              </w:rPr>
            </w:pPr>
            <w:r>
              <w:rPr>
                <w:rFonts w:ascii="Times New Roman" w:hAnsi="Times New Roman" w:eastAsia="仿宋_GB2312" w:cs="Times New Roman"/>
                <w:color w:val="000000" w:themeColor="text1"/>
              </w:rPr>
              <w:t>6120</w:t>
            </w:r>
            <w:r>
              <w:rPr>
                <w:rFonts w:hint="eastAsia" w:ascii="Times New Roman" w:hAnsi="Times New Roman" w:eastAsia="仿宋_GB2312" w:cs="Times New Roman"/>
                <w:color w:val="000000" w:themeColor="text1"/>
              </w:rPr>
              <w:t>030050</w:t>
            </w:r>
          </w:p>
        </w:tc>
        <w:tc>
          <w:tcPr>
            <w:tcW w:w="4243"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Times New Roman"/>
                <w:color w:val="000000" w:themeColor="text1"/>
              </w:rPr>
            </w:pPr>
          </w:p>
        </w:tc>
        <w:tc>
          <w:tcPr>
            <w:tcW w:w="1518"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Times New Roman"/>
                <w:color w:val="000000" w:themeColor="text1"/>
              </w:rPr>
            </w:pPr>
            <w:r>
              <w:rPr>
                <w:rFonts w:hint="eastAsia" w:ascii="Times New Roman" w:hAnsi="Times New Roman" w:eastAsia="仿宋_GB2312" w:cs="Times New Roman"/>
                <w:color w:val="000000" w:themeColor="text1"/>
              </w:rPr>
              <w:t>2021.07.21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jc w:val="center"/>
        </w:trPr>
        <w:tc>
          <w:tcPr>
            <w:tcW w:w="1333"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Times New Roman"/>
                <w:color w:val="FF0000"/>
              </w:rPr>
            </w:pPr>
            <w:r>
              <w:rPr>
                <w:rFonts w:hint="eastAsia" w:ascii="Times New Roman" w:hAnsi="Times New Roman" w:eastAsia="仿宋_GB2312" w:cs="仿宋_GB2312"/>
                <w:color w:val="000000" w:themeColor="text1"/>
              </w:rPr>
              <w:t>张建民</w:t>
            </w:r>
          </w:p>
        </w:tc>
        <w:tc>
          <w:tcPr>
            <w:tcW w:w="2162"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Times New Roman"/>
                <w:color w:val="FF0000"/>
              </w:rPr>
            </w:pPr>
            <w:r>
              <w:rPr>
                <w:rFonts w:hint="eastAsia" w:ascii="Times New Roman" w:hAnsi="Times New Roman" w:eastAsia="仿宋_GB2312" w:cs="Times New Roman"/>
                <w:color w:val="000000" w:themeColor="text1"/>
              </w:rPr>
              <w:t>3320090004</w:t>
            </w:r>
          </w:p>
        </w:tc>
        <w:tc>
          <w:tcPr>
            <w:tcW w:w="4243" w:type="dxa"/>
            <w:tcBorders>
              <w:tl2br w:val="nil"/>
              <w:tr2bl w:val="nil"/>
            </w:tcBorders>
            <w:shd w:val="clear" w:color="auto" w:fill="auto"/>
            <w:vAlign w:val="center"/>
          </w:tcPr>
          <w:p>
            <w:pPr>
              <w:pStyle w:val="3"/>
              <w:autoSpaceDN w:val="0"/>
              <w:spacing w:line="500" w:lineRule="exact"/>
              <w:jc w:val="center"/>
              <w:outlineLvl w:val="0"/>
              <w:rPr>
                <w:rFonts w:ascii="Times New Roman" w:hAnsi="Times New Roman" w:eastAsia="仿宋_GB2312" w:cs="Times New Roman"/>
                <w:bCs/>
                <w:color w:val="000000" w:themeColor="text1"/>
              </w:rPr>
            </w:pPr>
          </w:p>
        </w:tc>
        <w:tc>
          <w:tcPr>
            <w:tcW w:w="1518" w:type="dxa"/>
            <w:tcBorders>
              <w:tl2br w:val="nil"/>
              <w:tr2bl w:val="nil"/>
            </w:tcBorders>
            <w:shd w:val="clear" w:color="auto" w:fill="auto"/>
            <w:vAlign w:val="center"/>
          </w:tcPr>
          <w:p>
            <w:pPr>
              <w:pStyle w:val="3"/>
              <w:autoSpaceDN w:val="0"/>
              <w:spacing w:line="500" w:lineRule="exact"/>
              <w:ind w:firstLine="0"/>
              <w:outlineLvl w:val="0"/>
              <w:rPr>
                <w:rFonts w:ascii="Times New Roman" w:hAnsi="Times New Roman" w:eastAsia="仿宋_GB2312" w:cs="Times New Roman"/>
                <w:bCs/>
                <w:color w:val="000000" w:themeColor="text1"/>
              </w:rPr>
            </w:pPr>
            <w:r>
              <w:rPr>
                <w:rFonts w:hint="eastAsia" w:ascii="Times New Roman" w:hAnsi="Times New Roman" w:eastAsia="仿宋_GB2312" w:cs="Times New Roman"/>
                <w:bCs/>
                <w:color w:val="000000" w:themeColor="text1"/>
              </w:rPr>
              <w:t>2021.07.21</w:t>
            </w:r>
          </w:p>
        </w:tc>
      </w:tr>
    </w:tbl>
    <w:p>
      <w:pPr>
        <w:spacing w:line="360" w:lineRule="auto"/>
        <w:ind w:firstLine="643" w:firstLineChars="200"/>
        <w:jc w:val="center"/>
        <w:rPr>
          <w:rFonts w:asciiTheme="minorEastAsia" w:hAnsiTheme="minorEastAsia" w:eastAsiaTheme="minorEastAsia" w:cstheme="minorEastAsia"/>
          <w:b/>
          <w:bCs/>
          <w:color w:val="000000" w:themeColor="text1"/>
          <w:sz w:val="32"/>
          <w:szCs w:val="32"/>
        </w:rPr>
      </w:pPr>
      <w:r>
        <w:rPr>
          <w:rFonts w:hint="eastAsia" w:asciiTheme="minorEastAsia" w:hAnsiTheme="minorEastAsia" w:eastAsiaTheme="minorEastAsia" w:cstheme="minorEastAsia"/>
          <w:b/>
          <w:bCs/>
          <w:color w:val="000000" w:themeColor="text1"/>
          <w:sz w:val="32"/>
          <w:szCs w:val="32"/>
        </w:rPr>
        <w:t>估价的假设和限制条件</w:t>
      </w:r>
    </w:p>
    <w:p>
      <w:pPr>
        <w:spacing w:line="360" w:lineRule="auto"/>
        <w:ind w:firstLine="480" w:firstLineChars="200"/>
        <w:rPr>
          <w:rFonts w:asciiTheme="minorEastAsia" w:hAnsiTheme="minorEastAsia" w:eastAsiaTheme="minorEastAsia" w:cstheme="minorEastAsia"/>
          <w:color w:val="000000" w:themeColor="text1"/>
          <w:sz w:val="24"/>
        </w:rPr>
      </w:pPr>
    </w:p>
    <w:p>
      <w:pPr>
        <w:spacing w:line="360" w:lineRule="auto"/>
        <w:ind w:firstLine="562" w:firstLineChars="20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（一）一般假设</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1、注册房地产估价师对估价所依据的估价委托人提供的估价对象权属、面积等资料进行了审慎检查，无理由怀疑其合法性、真实性、准确性和完整性，但未予以核实，假定它们是合法、真实、准确和完整的。</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2、注册房地产估价师对房屋安全、环境污染等影响估价对象价值的重大因素给予了必要关注，无理由怀疑估价对象存在安全隐患，但无相应的专业机构进行鉴定、检测，假定房屋结构等是安全的。</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3、价值时点的房地产市场是公开、平等、自愿的交易市场。没有任何方式的强迫出售估价对象的情况。</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4、估价对象可在市场上进行自由的交易，无司法机关、行政机关禁止其交易的情形。</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5、估价对象的使用、运作方式、处置程序符合国家、地方的有关法律法规。</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6、现行土地管理法除了允许乡镇企业因为破产兼并导致土地使用权进入市场之外，是禁止农村集体建设用地直接进入市场流转的。而且，现行土地管理法只允许农村集体建设用地由农村集体自己使用，包括宅基地、乡镇企业、乡村公共设施等公益事业建设。提请估价报告使用者注意。</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7、假定估价对象受让人具备该房屋的购买资格。</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8、估价对象转让时该房产和所占用的土地一并转让。</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9、估价对象能按照权属证明上登记的用途保持现状继续使用。</w:t>
      </w:r>
    </w:p>
    <w:p>
      <w:p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（二）未定事项假设</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估价对象为</w:t>
      </w:r>
      <w:r>
        <w:rPr>
          <w:rFonts w:asciiTheme="minorEastAsia" w:hAnsiTheme="minorEastAsia" w:eastAsiaTheme="minorEastAsia" w:cstheme="minorEastAsia"/>
          <w:color w:val="000000" w:themeColor="text1"/>
          <w:sz w:val="24"/>
        </w:rPr>
        <w:t>整栋房产</w:t>
      </w:r>
      <w:r>
        <w:rPr>
          <w:rFonts w:hint="eastAsia" w:asciiTheme="minorEastAsia" w:hAnsiTheme="minorEastAsia" w:eastAsiaTheme="minorEastAsia" w:cstheme="minorEastAsia"/>
          <w:color w:val="000000" w:themeColor="text1"/>
          <w:sz w:val="24"/>
        </w:rPr>
        <w:t>，</w:t>
      </w:r>
      <w:r>
        <w:rPr>
          <w:rFonts w:asciiTheme="minorEastAsia" w:hAnsiTheme="minorEastAsia" w:eastAsiaTheme="minorEastAsia" w:cstheme="minorEastAsia"/>
          <w:color w:val="000000" w:themeColor="text1"/>
          <w:sz w:val="24"/>
        </w:rPr>
        <w:t>已</w:t>
      </w:r>
      <w:r>
        <w:rPr>
          <w:rFonts w:hint="eastAsia" w:asciiTheme="minorEastAsia" w:hAnsiTheme="minorEastAsia" w:eastAsiaTheme="minorEastAsia" w:cstheme="minorEastAsia"/>
          <w:color w:val="000000" w:themeColor="text1"/>
          <w:sz w:val="24"/>
        </w:rPr>
        <w:t>独立取得土地权属证书，我们假定土地使用权面积、使用年期、使用权性质等权属信息对估价对象价值没有特别有利的或不利的影响。</w:t>
      </w:r>
    </w:p>
    <w:p>
      <w:pPr>
        <w:numPr>
          <w:ilvl w:val="0"/>
          <w:numId w:val="1"/>
        </w:numPr>
        <w:spacing w:line="360" w:lineRule="auto"/>
        <w:ind w:firstLine="562" w:firstLineChars="200"/>
        <w:outlineLvl w:val="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b/>
          <w:bCs/>
          <w:color w:val="000000" w:themeColor="text1"/>
          <w:sz w:val="28"/>
          <w:szCs w:val="28"/>
        </w:rPr>
        <w:t>背离事实假设</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根据委托方提供的《陕西省安康市汉滨区人民法院民事裁定书》（（2020）陕0902民初2836号）显示；查封被执行人张万明、成英菊名下位于安康市汉滨区新城办陈家沟村三组7幢房地产，土地面积134.17平方米，房屋面积1089.26平方米（房屋所有权证：安房权证产字第B306700-00-0-7号）。于价值时点，该查封尚未解封。</w:t>
      </w:r>
    </w:p>
    <w:p>
      <w:pPr>
        <w:spacing w:line="360" w:lineRule="auto"/>
        <w:ind w:firstLine="480" w:firstLineChars="200"/>
        <w:rPr>
          <w:rFonts w:asciiTheme="minorEastAsia" w:hAnsiTheme="minorEastAsia" w:eastAsiaTheme="minorEastAsia" w:cstheme="minorEastAsia"/>
          <w:color w:val="000000" w:themeColor="text1"/>
          <w:sz w:val="24"/>
        </w:rPr>
      </w:pPr>
      <w:r>
        <w:rPr>
          <w:rFonts w:asciiTheme="minorEastAsia" w:hAnsiTheme="minorEastAsia" w:eastAsiaTheme="minorEastAsia" w:cstheme="minorEastAsia"/>
          <w:color w:val="000000" w:themeColor="text1"/>
          <w:sz w:val="24"/>
        </w:rPr>
        <w:t>由于本次估价目的是为人民法院办理案件提供涉案房地产的市场价值参考而评估其在没有权利负担情况下的市场价值，因此评估不考虑估价对象于价值时点存在的查封、抵押对其价值的影响，亦不考虑其他可能存在的他项权利和权利限制对其价值的影响。</w:t>
      </w:r>
    </w:p>
    <w:p>
      <w:pPr>
        <w:spacing w:line="360" w:lineRule="auto"/>
        <w:ind w:firstLine="562" w:firstLineChars="200"/>
        <w:outlineLvl w:val="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bCs/>
          <w:color w:val="000000" w:themeColor="text1"/>
          <w:sz w:val="28"/>
          <w:szCs w:val="28"/>
        </w:rPr>
        <w:t>（四）不相一致假设</w:t>
      </w:r>
      <w:r>
        <w:rPr>
          <w:rFonts w:hint="eastAsia" w:asciiTheme="minorEastAsia" w:hAnsiTheme="minorEastAsia" w:eastAsiaTheme="minorEastAsia" w:cstheme="minorEastAsia"/>
          <w:color w:val="000000" w:themeColor="text1"/>
          <w:sz w:val="28"/>
          <w:szCs w:val="28"/>
        </w:rPr>
        <w:t xml:space="preserve"> </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无。</w:t>
      </w:r>
    </w:p>
    <w:p>
      <w:pPr>
        <w:numPr>
          <w:ilvl w:val="0"/>
          <w:numId w:val="1"/>
        </w:num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依据不足假设</w:t>
      </w:r>
    </w:p>
    <w:p>
      <w:pPr>
        <w:spacing w:line="360" w:lineRule="auto"/>
        <w:ind w:firstLine="480" w:firstLineChars="200"/>
        <w:rPr>
          <w:rFonts w:asciiTheme="minorEastAsia" w:hAnsiTheme="minorEastAsia" w:eastAsiaTheme="minorEastAsia" w:cstheme="minorEastAsia"/>
          <w:color w:val="000000" w:themeColor="text1"/>
          <w:sz w:val="24"/>
        </w:rPr>
      </w:pPr>
      <w:r>
        <w:rPr>
          <w:rFonts w:asciiTheme="minorEastAsia" w:hAnsiTheme="minorEastAsia" w:eastAsiaTheme="minorEastAsia" w:cstheme="minorEastAsia"/>
          <w:color w:val="000000" w:themeColor="text1"/>
          <w:sz w:val="24"/>
        </w:rPr>
        <w:t>无。</w:t>
      </w:r>
    </w:p>
    <w:p>
      <w:p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 xml:space="preserve">（六）估价报告使用限制 </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 xml:space="preserve">1、本报告在注册房地产估价师签字并加盖本公司公章后方能生效，报告文本的复印件无效。 </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 xml:space="preserve">2、本报告必须完整使用，对仅使用报告中的部分内容所导致的有关损失，房地产估价机构不承担责任。 </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 xml:space="preserve">3、本报告估价结果是仅为估价委托人实现本次评估目的而提供的专业估价意见，这个意见本身并无强制执行的效力，我们只对结论本身合乎执业规范要求负责，而不对资产定价决策负责。 </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4、本报告只能用于报告中载明的估价目的和报告使用者或应用方向，对任何第三者使用以及用于其他与本估价目的无关的经济行为无效，房地产估价机构不承担任何责任。</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 xml:space="preserve">5、未经本公司同意，不得向估价委托人及评估报告审查及使用部门以外的单位或个人提供，报告的全部或部分内容不得发表于任何公开媒体上。 </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 xml:space="preserve">6、本报告必须在使用期限内使用，本估价报告使用期限为自估价报告出具之日起一年。 </w:t>
      </w:r>
    </w:p>
    <w:p>
      <w:pPr>
        <w:spacing w:line="360" w:lineRule="auto"/>
        <w:ind w:firstLine="562" w:firstLineChars="200"/>
        <w:outlineLvl w:val="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b/>
          <w:bCs/>
          <w:color w:val="000000" w:themeColor="text1"/>
          <w:sz w:val="28"/>
          <w:szCs w:val="28"/>
        </w:rPr>
        <w:t>（七）其他需要说明的事项</w:t>
      </w:r>
      <w:r>
        <w:rPr>
          <w:rFonts w:hint="eastAsia" w:asciiTheme="minorEastAsia" w:hAnsiTheme="minorEastAsia" w:eastAsiaTheme="minorEastAsia" w:cstheme="minorEastAsia"/>
          <w:color w:val="000000" w:themeColor="text1"/>
          <w:sz w:val="28"/>
          <w:szCs w:val="28"/>
        </w:rPr>
        <w:t xml:space="preserve"> </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 xml:space="preserve">1、注册房地产估价师对估价对象的法律权属状况给予了必要的关注，但不对估价对象的法律权属作任何形式的保证，本报告也不可作为任何形式的产权证明。 </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2、现实房地产交易中，一般难以达到理想的公开市场条件，致使实际交易价格往往与估价结果不够一致。</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3、成交价格受处置方式、宣传推广力度和卖受人对估价对象的了解程度及对房地产市场的判断等因素有关，同时还应考虑转让过程中需缴纳的相关税费。</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4、本报告未考虑短期强制变现对估价结果的影响。若在短期内强制处分，受潜在购买群体受到限制、心理排斥、营销策略等因素影响，最终可能实现的价格一般比公开市场价格要低。</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 xml:space="preserve">5、本估价结果包括相应的土地使用权价值，并包括与估价对象房地产不可分割的、满足其功能需要的水、电等相关配套设施的价值，该土地使用权或被包括的配套设施等若与房屋分割处置时，不可直接应用本估价结论。 </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6、估价中无法考虑实地查勘后、处置完毕前，因不可抗力、人为破坏等产生的财产减损。</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7、处置房产时，应考虑是否拖欠水电费等。</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 xml:space="preserve">8、报告当事人或相关利害关系人在收到报告后，如有异议，请在本报告出具之日起十日内以书面形式向安康市汉滨区人民法院提出，逾期视为无异议。 </w:t>
      </w:r>
    </w:p>
    <w:p>
      <w:pPr>
        <w:spacing w:line="360" w:lineRule="auto"/>
        <w:ind w:firstLine="480" w:firstLineChars="200"/>
        <w:rPr>
          <w:rFonts w:asciiTheme="minorEastAsia" w:hAnsiTheme="minorEastAsia" w:eastAsiaTheme="minorEastAsia" w:cstheme="minorEastAsia"/>
          <w:b/>
          <w:bCs/>
          <w:color w:val="000000" w:themeColor="text1"/>
          <w:sz w:val="24"/>
        </w:rPr>
      </w:pPr>
      <w:r>
        <w:rPr>
          <w:rFonts w:hint="eastAsia" w:asciiTheme="minorEastAsia" w:hAnsiTheme="minorEastAsia" w:eastAsiaTheme="minorEastAsia" w:cstheme="minorEastAsia"/>
          <w:color w:val="000000" w:themeColor="text1"/>
          <w:sz w:val="24"/>
        </w:rPr>
        <w:t>9、本报告由陕西中大房地产评估有限责任公司负责解释。</w:t>
      </w:r>
      <w:r>
        <w:rPr>
          <w:rFonts w:hint="eastAsia" w:asciiTheme="minorEastAsia" w:hAnsiTheme="minorEastAsia" w:eastAsiaTheme="minorEastAsia" w:cstheme="minorEastAsia"/>
          <w:color w:val="000000" w:themeColor="text1"/>
          <w:sz w:val="24"/>
        </w:rPr>
        <w:br w:type="page"/>
      </w:r>
      <w:r>
        <w:rPr>
          <w:rFonts w:hint="eastAsia" w:asciiTheme="minorEastAsia" w:hAnsiTheme="minorEastAsia" w:eastAsiaTheme="minorEastAsia" w:cstheme="minorEastAsia"/>
          <w:color w:val="000000" w:themeColor="text1"/>
          <w:sz w:val="24"/>
        </w:rPr>
        <w:t xml:space="preserve">                       </w:t>
      </w:r>
      <w:r>
        <w:rPr>
          <w:rFonts w:hint="eastAsia" w:asciiTheme="minorEastAsia" w:hAnsiTheme="minorEastAsia" w:eastAsiaTheme="minorEastAsia" w:cstheme="minorEastAsia"/>
          <w:b/>
          <w:bCs/>
          <w:color w:val="000000" w:themeColor="text1"/>
          <w:sz w:val="32"/>
          <w:szCs w:val="32"/>
        </w:rPr>
        <w:t>房地产估价结果报告</w:t>
      </w:r>
    </w:p>
    <w:p>
      <w:pPr>
        <w:spacing w:line="360" w:lineRule="auto"/>
        <w:ind w:firstLine="480" w:firstLineChars="200"/>
        <w:rPr>
          <w:rFonts w:asciiTheme="minorEastAsia" w:hAnsiTheme="minorEastAsia" w:eastAsiaTheme="minorEastAsia" w:cstheme="minorEastAsia"/>
          <w:color w:val="000000" w:themeColor="text1"/>
          <w:sz w:val="24"/>
        </w:rPr>
      </w:pPr>
    </w:p>
    <w:p>
      <w:pPr>
        <w:spacing w:line="360" w:lineRule="auto"/>
        <w:ind w:firstLine="562" w:firstLineChars="20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（一）估价委托人</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 xml:space="preserve">名称：安康市汉滨区人民法院 </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住所：安康市汉滨区大桥北路96号</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联系人：涂法官</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联系电话：0915-3310063</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邮政编码：725000</w:t>
      </w:r>
    </w:p>
    <w:p>
      <w:pPr>
        <w:spacing w:line="360" w:lineRule="auto"/>
        <w:ind w:firstLine="562" w:firstLineChars="20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（二）房地产估价机构</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机构名称：陕西中大房地产评估有限责任公司</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住所：西安市高新区科技路亚美大厦聚福阁701室</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营业执照注册号：91610131730434257C</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法定代表人：张武龙</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估价资质等级：一级</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资质证书编号：陕房地评[2020]014号</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联系人：张建民</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联系电话：13389205100</w:t>
      </w:r>
    </w:p>
    <w:p>
      <w:pPr>
        <w:spacing w:line="360" w:lineRule="auto"/>
        <w:ind w:firstLine="562" w:firstLineChars="20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（三）估价目的</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本次评估目的是司法鉴定，即为人民法院办理案件提供涉案房地产的市场价值参考而评估的房地产市场价值。</w:t>
      </w:r>
    </w:p>
    <w:p>
      <w:p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（四）估价对象</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1、估价对象范围</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估价对象为位于</w:t>
      </w:r>
      <w:r>
        <w:rPr>
          <w:rFonts w:asciiTheme="minorEastAsia" w:hAnsiTheme="minorEastAsia" w:eastAsiaTheme="minorEastAsia" w:cstheme="minorEastAsia"/>
          <w:color w:val="000000" w:themeColor="text1"/>
          <w:sz w:val="24"/>
        </w:rPr>
        <w:t>张万明、成英菊共有的位于安康市汉滨区新城办陈家沟三组7幢房产</w:t>
      </w:r>
      <w:r>
        <w:rPr>
          <w:rFonts w:hint="eastAsia" w:asciiTheme="minorEastAsia" w:hAnsiTheme="minorEastAsia" w:eastAsiaTheme="minorEastAsia" w:cstheme="minorEastAsia"/>
          <w:color w:val="000000" w:themeColor="text1"/>
          <w:sz w:val="24"/>
        </w:rPr>
        <w:t>，</w:t>
      </w:r>
      <w:r>
        <w:rPr>
          <w:rFonts w:asciiTheme="minorEastAsia" w:hAnsiTheme="minorEastAsia" w:eastAsiaTheme="minorEastAsia" w:cstheme="minorEastAsia"/>
          <w:color w:val="000000" w:themeColor="text1"/>
          <w:sz w:val="24"/>
        </w:rPr>
        <w:t>房屋建筑面积为1089.26平方米</w:t>
      </w:r>
      <w:r>
        <w:rPr>
          <w:rFonts w:hint="eastAsia" w:asciiTheme="minorEastAsia" w:hAnsiTheme="minorEastAsia" w:eastAsiaTheme="minorEastAsia" w:cstheme="minorEastAsia"/>
          <w:color w:val="000000" w:themeColor="text1"/>
          <w:sz w:val="24"/>
        </w:rPr>
        <w:t>，并包含相应的集体土地使用权与估价对象相关的不可分割的相关配套设施的价值。</w:t>
      </w:r>
    </w:p>
    <w:p>
      <w:pPr>
        <w:spacing w:line="360" w:lineRule="auto"/>
        <w:ind w:firstLine="480" w:firstLineChars="200"/>
        <w:outlineLvl w:val="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2、估价对象实物状况</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估价对象所在楼为</w:t>
      </w:r>
      <w:r>
        <w:rPr>
          <w:rFonts w:asciiTheme="minorEastAsia" w:hAnsiTheme="minorEastAsia" w:eastAsiaTheme="minorEastAsia" w:cstheme="minorEastAsia"/>
          <w:color w:val="000000" w:themeColor="text1"/>
          <w:sz w:val="24"/>
        </w:rPr>
        <w:t>张万明、成英菊共有的位于安康市汉滨区新城办陈家沟三组7幢房产</w:t>
      </w:r>
      <w:r>
        <w:rPr>
          <w:rFonts w:hint="eastAsia" w:asciiTheme="minorEastAsia" w:hAnsiTheme="minorEastAsia" w:eastAsiaTheme="minorEastAsia" w:cstheme="minorEastAsia"/>
          <w:sz w:val="24"/>
        </w:rPr>
        <w:t>，整体占用的宗地为</w:t>
      </w:r>
      <w:r>
        <w:rPr>
          <w:rFonts w:asciiTheme="minorEastAsia" w:hAnsiTheme="minorEastAsia" w:eastAsiaTheme="minorEastAsia" w:cstheme="minorEastAsia"/>
          <w:sz w:val="24"/>
        </w:rPr>
        <w:t>集体土地</w:t>
      </w:r>
      <w:r>
        <w:rPr>
          <w:rFonts w:hint="eastAsia" w:asciiTheme="minorEastAsia" w:hAnsiTheme="minorEastAsia" w:eastAsiaTheme="minorEastAsia" w:cstheme="minorEastAsia"/>
          <w:sz w:val="24"/>
        </w:rPr>
        <w:t>，位于</w:t>
      </w:r>
      <w:r>
        <w:rPr>
          <w:rFonts w:hint="eastAsia" w:asciiTheme="minorEastAsia" w:hAnsiTheme="minorEastAsia" w:eastAsiaTheme="minorEastAsia" w:cstheme="minorEastAsia"/>
          <w:color w:val="000000" w:themeColor="text1"/>
          <w:sz w:val="24"/>
        </w:rPr>
        <w:t>安康市汉滨区新城办陈家沟三组</w:t>
      </w:r>
      <w:r>
        <w:rPr>
          <w:rFonts w:hint="eastAsia" w:asciiTheme="minorEastAsia" w:hAnsiTheme="minorEastAsia" w:eastAsiaTheme="minorEastAsia" w:cstheme="minorEastAsia"/>
          <w:sz w:val="24"/>
        </w:rPr>
        <w:t>。宗地四至为：</w:t>
      </w:r>
      <w:r>
        <w:rPr>
          <w:rFonts w:hint="eastAsia" w:asciiTheme="minorEastAsia" w:hAnsiTheme="minorEastAsia" w:eastAsiaTheme="minorEastAsia" w:cstheme="minorEastAsia"/>
          <w:color w:val="000000" w:themeColor="text1"/>
          <w:sz w:val="24"/>
        </w:rPr>
        <w:t>西</w:t>
      </w:r>
      <w:r>
        <w:rPr>
          <w:rFonts w:asciiTheme="minorEastAsia" w:hAnsiTheme="minorEastAsia" w:eastAsiaTheme="minorEastAsia" w:cstheme="minorEastAsia"/>
          <w:color w:val="000000" w:themeColor="text1"/>
          <w:sz w:val="24"/>
        </w:rPr>
        <w:t>临</w:t>
      </w:r>
      <w:r>
        <w:rPr>
          <w:rFonts w:hint="eastAsia" w:asciiTheme="minorEastAsia" w:hAnsiTheme="minorEastAsia" w:eastAsiaTheme="minorEastAsia" w:cstheme="minorEastAsia"/>
          <w:color w:val="000000" w:themeColor="text1"/>
          <w:sz w:val="24"/>
        </w:rPr>
        <w:t>南门小区，东临安康市人大，南临住宅小区，北临南环路</w:t>
      </w:r>
      <w:r>
        <w:rPr>
          <w:rFonts w:hint="eastAsia" w:asciiTheme="minorEastAsia" w:hAnsiTheme="minorEastAsia" w:eastAsiaTheme="minorEastAsia" w:cstheme="minorEastAsia"/>
          <w:sz w:val="24"/>
        </w:rPr>
        <w:t>。宗地形状规则，地势平坦，宗地开发程度达到宗地外“</w:t>
      </w:r>
      <w:r>
        <w:rPr>
          <w:rFonts w:asciiTheme="minorEastAsia" w:hAnsiTheme="minorEastAsia" w:eastAsiaTheme="minorEastAsia" w:cstheme="minorEastAsia"/>
          <w:sz w:val="24"/>
        </w:rPr>
        <w:t>五</w:t>
      </w:r>
      <w:r>
        <w:rPr>
          <w:rFonts w:hint="eastAsia" w:asciiTheme="minorEastAsia" w:hAnsiTheme="minorEastAsia" w:eastAsiaTheme="minorEastAsia" w:cstheme="minorEastAsia"/>
          <w:sz w:val="24"/>
        </w:rPr>
        <w:t>通”（供水、供电、排水、通讯、通路），宗地内“</w:t>
      </w:r>
      <w:r>
        <w:rPr>
          <w:rFonts w:asciiTheme="minorEastAsia" w:hAnsiTheme="minorEastAsia" w:eastAsiaTheme="minorEastAsia" w:cstheme="minorEastAsia"/>
          <w:sz w:val="24"/>
        </w:rPr>
        <w:t>五</w:t>
      </w:r>
      <w:r>
        <w:rPr>
          <w:rFonts w:hint="eastAsia" w:asciiTheme="minorEastAsia" w:hAnsiTheme="minorEastAsia" w:eastAsiaTheme="minorEastAsia" w:cstheme="minorEastAsia"/>
          <w:sz w:val="24"/>
        </w:rPr>
        <w:t>通一平”（供水、供电、排水、通讯、通路、场地平整）。</w:t>
      </w:r>
    </w:p>
    <w:p>
      <w:pPr>
        <w:spacing w:line="360" w:lineRule="auto"/>
        <w:ind w:left="480" w:hanging="480" w:hanging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 xml:space="preserve">     小区区位图如下：</w:t>
      </w:r>
    </w:p>
    <w:p>
      <w:pPr>
        <w:spacing w:line="360" w:lineRule="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drawing>
          <wp:inline distT="0" distB="0" distL="114300" distR="114300">
            <wp:extent cx="5847080" cy="4951730"/>
            <wp:effectExtent l="0" t="0" r="1270" b="1270"/>
            <wp:docPr id="5" name="图片 5" descr="E:\2021中大\安康汉滨陈家沟两栋\安康汉滨陈家沟两栋\位置图 (3).png位置图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2021中大\安康汉滨陈家沟两栋\安康汉滨陈家沟两栋\位置图 (3).png位置图 (3)"/>
                    <pic:cNvPicPr>
                      <a:picLocks noChangeAspect="1"/>
                    </pic:cNvPicPr>
                  </pic:nvPicPr>
                  <pic:blipFill>
                    <a:blip r:embed="rId12" cstate="print"/>
                    <a:stretch>
                      <a:fillRect/>
                    </a:stretch>
                  </pic:blipFill>
                  <pic:spPr>
                    <a:xfrm>
                      <a:off x="0" y="0"/>
                      <a:ext cx="5845175" cy="4951730"/>
                    </a:xfrm>
                    <a:prstGeom prst="rect">
                      <a:avLst/>
                    </a:prstGeom>
                  </pic:spPr>
                </pic:pic>
              </a:graphicData>
            </a:graphic>
          </wp:inline>
        </w:drawing>
      </w:r>
    </w:p>
    <w:p>
      <w:pPr>
        <w:spacing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color w:val="000000" w:themeColor="text1"/>
          <w:sz w:val="24"/>
        </w:rPr>
        <w:t>7幢房产</w:t>
      </w:r>
      <w:r>
        <w:rPr>
          <w:rFonts w:hint="eastAsia" w:asciiTheme="minorEastAsia" w:hAnsiTheme="minorEastAsia" w:eastAsiaTheme="minorEastAsia" w:cstheme="minorEastAsia"/>
          <w:color w:val="000000" w:themeColor="text1"/>
          <w:sz w:val="24"/>
        </w:rPr>
        <w:t>建成于约2012年</w:t>
      </w:r>
      <w:r>
        <w:rPr>
          <w:rFonts w:hint="eastAsia" w:asciiTheme="minorEastAsia" w:hAnsiTheme="minorEastAsia" w:eastAsiaTheme="minorEastAsia" w:cstheme="minorEastAsia"/>
          <w:sz w:val="24"/>
        </w:rPr>
        <w:t>，</w:t>
      </w:r>
      <w:r>
        <w:rPr>
          <w:rFonts w:asciiTheme="minorEastAsia" w:hAnsiTheme="minorEastAsia" w:eastAsiaTheme="minorEastAsia" w:cstheme="minorEastAsia"/>
          <w:sz w:val="24"/>
        </w:rPr>
        <w:t>砖混结构</w:t>
      </w:r>
      <w:r>
        <w:rPr>
          <w:rFonts w:hint="eastAsia" w:asciiTheme="minorEastAsia" w:hAnsiTheme="minorEastAsia" w:eastAsiaTheme="minorEastAsia" w:cstheme="minorEastAsia"/>
          <w:sz w:val="24"/>
        </w:rPr>
        <w:t>，地上</w:t>
      </w:r>
      <w:r>
        <w:rPr>
          <w:rFonts w:asciiTheme="minorEastAsia" w:hAnsiTheme="minorEastAsia" w:eastAsiaTheme="minorEastAsia" w:cstheme="minorEastAsia"/>
          <w:sz w:val="24"/>
        </w:rPr>
        <w:t>8</w:t>
      </w:r>
      <w:r>
        <w:rPr>
          <w:rFonts w:hint="eastAsia" w:asciiTheme="minorEastAsia" w:hAnsiTheme="minorEastAsia" w:eastAsiaTheme="minorEastAsia" w:cstheme="minorEastAsia"/>
          <w:sz w:val="24"/>
        </w:rPr>
        <w:t>层，设有电梯，该建筑物外墙</w:t>
      </w:r>
      <w:r>
        <w:rPr>
          <w:rFonts w:asciiTheme="minorEastAsia" w:hAnsiTheme="minorEastAsia" w:eastAsiaTheme="minorEastAsia" w:cstheme="minorEastAsia"/>
          <w:sz w:val="24"/>
        </w:rPr>
        <w:t>贴面砖</w:t>
      </w:r>
      <w:r>
        <w:rPr>
          <w:rFonts w:hint="eastAsia" w:asciiTheme="minorEastAsia" w:hAnsiTheme="minorEastAsia" w:eastAsiaTheme="minorEastAsia" w:cstheme="minorEastAsia"/>
          <w:sz w:val="24"/>
        </w:rPr>
        <w:t>。室内楼梯水磨石踏步，不锈钢栏杆扶手，公共通道地面地砖，内墙及顶刷白，。</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估价对象为</w:t>
      </w:r>
      <w:r>
        <w:rPr>
          <w:rFonts w:hint="eastAsia" w:asciiTheme="minorEastAsia" w:hAnsiTheme="minorEastAsia" w:eastAsiaTheme="minorEastAsia" w:cstheme="minorEastAsia"/>
          <w:color w:val="000000" w:themeColor="text1"/>
          <w:sz w:val="24"/>
        </w:rPr>
        <w:t>7幢</w:t>
      </w:r>
      <w:r>
        <w:rPr>
          <w:rFonts w:hint="eastAsia" w:asciiTheme="minorEastAsia" w:hAnsiTheme="minorEastAsia" w:eastAsiaTheme="minorEastAsia" w:cstheme="minorEastAsia"/>
          <w:sz w:val="24"/>
        </w:rPr>
        <w:t>1-8层，1层作商铺使用，现为空置，2-8层为办公房产，一层入户门为卷闸门，室内均为普通装修，地面铺地砖，内墙及顶刷白，现为使用状态；维护保养状况较好；未发现明显损毁，属完好房。</w:t>
      </w:r>
      <w:bookmarkStart w:id="0" w:name="_GoBack"/>
      <w:bookmarkEnd w:id="0"/>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估价对象内外部照片见下图。</w:t>
      </w:r>
    </w:p>
    <w:tbl>
      <w:tblPr>
        <w:tblStyle w:val="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spacing w:line="360" w:lineRule="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drawing>
                <wp:inline distT="0" distB="0" distL="114300" distR="114300">
                  <wp:extent cx="2786380" cy="2743200"/>
                  <wp:effectExtent l="0" t="0" r="13970" b="0"/>
                  <wp:docPr id="2" name="图片 1" descr="E:\2021中大\安康汉滨陈家沟两栋\安康汉滨陈家沟两栋\IMG_20210528_134501.jpgIMG_20210528_134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2021中大\安康汉滨陈家沟两栋\安康汉滨陈家沟两栋\IMG_20210528_134501.jpgIMG_20210528_134501"/>
                          <pic:cNvPicPr>
                            <a:picLocks noChangeAspect="1"/>
                          </pic:cNvPicPr>
                        </pic:nvPicPr>
                        <pic:blipFill>
                          <a:blip r:embed="rId13" cstate="print"/>
                          <a:srcRect/>
                          <a:stretch>
                            <a:fillRect/>
                          </a:stretch>
                        </pic:blipFill>
                        <pic:spPr>
                          <a:xfrm>
                            <a:off x="0" y="0"/>
                            <a:ext cx="2786380" cy="2743200"/>
                          </a:xfrm>
                          <a:prstGeom prst="rect">
                            <a:avLst/>
                          </a:prstGeom>
                        </pic:spPr>
                      </pic:pic>
                    </a:graphicData>
                  </a:graphic>
                </wp:inline>
              </w:drawing>
            </w:r>
          </w:p>
        </w:tc>
        <w:tc>
          <w:tcPr>
            <w:tcW w:w="4644" w:type="dxa"/>
          </w:tcPr>
          <w:p>
            <w:pPr>
              <w:spacing w:line="360" w:lineRule="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drawing>
                <wp:inline distT="0" distB="0" distL="114300" distR="114300">
                  <wp:extent cx="2799080" cy="2768600"/>
                  <wp:effectExtent l="0" t="0" r="1270" b="12700"/>
                  <wp:docPr id="6" name="图片 4" descr="E:\2021中大\安康汉滨陈家沟两栋\安康汉滨陈家沟两栋\IMG_20210528_132853.jpgIMG_20210528_13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E:\2021中大\安康汉滨陈家沟两栋\安康汉滨陈家沟两栋\IMG_20210528_132853.jpgIMG_20210528_132853"/>
                          <pic:cNvPicPr>
                            <a:picLocks noChangeAspect="1"/>
                          </pic:cNvPicPr>
                        </pic:nvPicPr>
                        <pic:blipFill>
                          <a:blip r:embed="rId14" cstate="print"/>
                          <a:srcRect/>
                          <a:stretch>
                            <a:fillRect/>
                          </a:stretch>
                        </pic:blipFill>
                        <pic:spPr>
                          <a:xfrm>
                            <a:off x="0" y="0"/>
                            <a:ext cx="2799080" cy="277431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spacing w:line="360" w:lineRule="auto"/>
              <w:jc w:val="center"/>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估价对象所在幢</w:t>
            </w:r>
          </w:p>
        </w:tc>
        <w:tc>
          <w:tcPr>
            <w:tcW w:w="4644" w:type="dxa"/>
          </w:tcPr>
          <w:p>
            <w:pPr>
              <w:spacing w:line="360" w:lineRule="auto"/>
              <w:jc w:val="center"/>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楼梯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tcPr>
          <w:p>
            <w:pPr>
              <w:spacing w:line="360" w:lineRule="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drawing>
                <wp:inline distT="0" distB="0" distL="114300" distR="114300">
                  <wp:extent cx="2800985" cy="2730500"/>
                  <wp:effectExtent l="0" t="0" r="18415" b="12700"/>
                  <wp:docPr id="7" name="图片 8" descr="E:\2021中大\2021.7.10————付3500\3、安康汉滨陈家沟2套（400）\安康汉滨陈家沟两栋\IMG_20210528_132925.jpgIMG_20210528_132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E:\2021中大\2021.7.10————付3500\3、安康汉滨陈家沟2套（400）\安康汉滨陈家沟两栋\IMG_20210528_132925.jpgIMG_20210528_132925"/>
                          <pic:cNvPicPr>
                            <a:picLocks noChangeAspect="1"/>
                          </pic:cNvPicPr>
                        </pic:nvPicPr>
                        <pic:blipFill>
                          <a:blip r:embed="rId15" cstate="print"/>
                          <a:srcRect/>
                          <a:stretch>
                            <a:fillRect/>
                          </a:stretch>
                        </pic:blipFill>
                        <pic:spPr>
                          <a:xfrm>
                            <a:off x="0" y="0"/>
                            <a:ext cx="2800985" cy="2735580"/>
                          </a:xfrm>
                          <a:prstGeom prst="rect">
                            <a:avLst/>
                          </a:prstGeom>
                        </pic:spPr>
                      </pic:pic>
                    </a:graphicData>
                  </a:graphic>
                </wp:inline>
              </w:drawing>
            </w:r>
          </w:p>
        </w:tc>
        <w:tc>
          <w:tcPr>
            <w:tcW w:w="4644" w:type="dxa"/>
          </w:tcPr>
          <w:p>
            <w:pPr>
              <w:spacing w:line="360" w:lineRule="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drawing>
                <wp:inline distT="0" distB="0" distL="114300" distR="114300">
                  <wp:extent cx="2799080" cy="2768600"/>
                  <wp:effectExtent l="0" t="0" r="1270" b="12700"/>
                  <wp:docPr id="9" name="图片 3" descr="E:\2021中大\2021.7.10————付3500\3、安康汉滨陈家沟2套（400）\安康汉滨陈家沟两栋\IMG_20210528_133118.jpgIMG_20210528_13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E:\2021中大\2021.7.10————付3500\3、安康汉滨陈家沟2套（400）\安康汉滨陈家沟两栋\IMG_20210528_133118.jpgIMG_20210528_133118"/>
                          <pic:cNvPicPr>
                            <a:picLocks noChangeAspect="1"/>
                          </pic:cNvPicPr>
                        </pic:nvPicPr>
                        <pic:blipFill>
                          <a:blip r:embed="rId16" cstate="print"/>
                          <a:srcRect/>
                          <a:stretch>
                            <a:fillRect/>
                          </a:stretch>
                        </pic:blipFill>
                        <pic:spPr>
                          <a:xfrm>
                            <a:off x="0" y="0"/>
                            <a:ext cx="2799080" cy="277397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44" w:type="dxa"/>
          </w:tcPr>
          <w:p>
            <w:pPr>
              <w:spacing w:line="360" w:lineRule="auto"/>
              <w:jc w:val="center"/>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电梯口</w:t>
            </w:r>
          </w:p>
        </w:tc>
        <w:tc>
          <w:tcPr>
            <w:tcW w:w="4644" w:type="dxa"/>
          </w:tcPr>
          <w:p>
            <w:pPr>
              <w:spacing w:line="360" w:lineRule="auto"/>
              <w:jc w:val="center"/>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室内</w:t>
            </w:r>
          </w:p>
        </w:tc>
      </w:tr>
    </w:tbl>
    <w:p>
      <w:pPr>
        <w:numPr>
          <w:ilvl w:val="0"/>
          <w:numId w:val="2"/>
        </w:num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估价对象权益状况</w:t>
      </w:r>
    </w:p>
    <w:p>
      <w:pPr>
        <w:spacing w:line="360" w:lineRule="auto"/>
        <w:ind w:firstLine="480" w:firstLineChars="200"/>
        <w:rPr>
          <w:rFonts w:asciiTheme="minorEastAsia" w:hAnsiTheme="minorEastAsia" w:eastAsiaTheme="minorEastAsia" w:cstheme="minorEastAsia"/>
          <w:color w:val="000000" w:themeColor="text1"/>
          <w:sz w:val="24"/>
        </w:rPr>
      </w:pPr>
      <w:r>
        <w:rPr>
          <w:rFonts w:asciiTheme="minorEastAsia" w:hAnsiTheme="minorEastAsia" w:eastAsiaTheme="minorEastAsia" w:cstheme="minorEastAsia"/>
          <w:color w:val="000000" w:themeColor="text1"/>
          <w:sz w:val="24"/>
        </w:rPr>
        <w:t>依据委托人提供的</w:t>
      </w:r>
      <w:r>
        <w:rPr>
          <w:rFonts w:hint="eastAsia" w:asciiTheme="minorEastAsia" w:hAnsiTheme="minorEastAsia" w:eastAsiaTheme="minorEastAsia" w:cstheme="minorEastAsia"/>
          <w:color w:val="000000" w:themeColor="text1"/>
          <w:sz w:val="24"/>
        </w:rPr>
        <w:t>《集体土地使用证》（安集用12第2492号</w:t>
      </w:r>
      <w:r>
        <w:rPr>
          <w:rFonts w:hint="eastAsia" w:ascii="宋体" w:hAnsi="宋体" w:cs="宋体"/>
          <w:color w:val="000000" w:themeColor="text1"/>
          <w:sz w:val="24"/>
        </w:rPr>
        <w:t>），</w:t>
      </w:r>
      <w:r>
        <w:rPr>
          <w:rFonts w:asciiTheme="minorEastAsia" w:hAnsiTheme="minorEastAsia" w:eastAsiaTheme="minorEastAsia" w:cstheme="minorEastAsia"/>
          <w:color w:val="000000" w:themeColor="text1"/>
          <w:sz w:val="24"/>
        </w:rPr>
        <w:t>估价对象权益信息如下：</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宋体" w:hAnsi="宋体" w:cs="宋体"/>
          <w:color w:val="000000" w:themeColor="text1"/>
          <w:sz w:val="24"/>
        </w:rPr>
        <w:t>土地使用权人张万明，坐落在安康市新城办陈家沟村三组，，地类（用途）农村宅基地，使用权类型为划拨，使用权面积为134.17平方米。</w:t>
      </w:r>
    </w:p>
    <w:p>
      <w:pPr>
        <w:spacing w:line="360" w:lineRule="auto"/>
        <w:ind w:firstLine="480" w:firstLineChars="200"/>
        <w:rPr>
          <w:rFonts w:asciiTheme="minorEastAsia" w:hAnsiTheme="minorEastAsia" w:eastAsiaTheme="minorEastAsia" w:cstheme="minorEastAsia"/>
          <w:color w:val="000000" w:themeColor="text1"/>
          <w:sz w:val="24"/>
        </w:rPr>
      </w:pPr>
      <w:r>
        <w:rPr>
          <w:rFonts w:asciiTheme="minorEastAsia" w:hAnsiTheme="minorEastAsia" w:eastAsiaTheme="minorEastAsia" w:cstheme="minorEastAsia"/>
          <w:color w:val="000000" w:themeColor="text1"/>
          <w:sz w:val="24"/>
        </w:rPr>
        <w:t>依据委托人提供的</w:t>
      </w:r>
      <w:r>
        <w:rPr>
          <w:rFonts w:hint="eastAsia" w:asciiTheme="minorEastAsia" w:hAnsiTheme="minorEastAsia" w:eastAsiaTheme="minorEastAsia" w:cstheme="minorEastAsia"/>
          <w:color w:val="000000" w:themeColor="text1"/>
          <w:sz w:val="24"/>
        </w:rPr>
        <w:t>《房屋所有权证》（安房权证产字第B306700-00-0-7号</w:t>
      </w:r>
      <w:r>
        <w:rPr>
          <w:rFonts w:hint="eastAsia" w:ascii="宋体" w:hAnsi="宋体" w:cs="宋体"/>
          <w:color w:val="000000" w:themeColor="text1"/>
          <w:sz w:val="24"/>
        </w:rPr>
        <w:t>）</w:t>
      </w:r>
      <w:r>
        <w:rPr>
          <w:rFonts w:asciiTheme="minorEastAsia" w:hAnsiTheme="minorEastAsia" w:eastAsiaTheme="minorEastAsia" w:cstheme="minorEastAsia"/>
          <w:color w:val="000000" w:themeColor="text1"/>
          <w:sz w:val="24"/>
        </w:rPr>
        <w:t>估价对象权益信息如下：</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房屋所有权人为张万明、成英菊，共有人数量2人，房屋坐落安康市汉滨区新城办陈家沟三组7幢，登记时间为2012年12月13日，房屋性质为其它房屋，规划用途为住宅，总层数8，建筑面积1089.26平方米。附记信息：1、土地使用证号:安集用（2012）第2492号 2、土地使用权面积：134.17平方米。</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根据委托方提供的《陕西省安康市汉滨区人民法院民事裁定书》（（2020）陕0902民初2836号）显示；查封被执行人张万明、成英菊名下位于安康市汉滨区新城办陈家沟村三组7幢房地产，土地面积134.17平方米，房屋面积1089.26平方米（房屋所有权证：安房权证产字第B306700-00-0-7号）。于价值时点，该查封尚未解封。</w:t>
      </w:r>
    </w:p>
    <w:p>
      <w:p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（五）价值时点</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价值时点确定为2021年05月28日，即房地产估价师现场查勘之日。一切取价标准均以价值时点有效的价格标准或加以修正。</w:t>
      </w:r>
    </w:p>
    <w:p>
      <w:p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（六）价值类型</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本次评估价值类型为估价对象现状权属条件下的市场价值。所谓市场价值是指估价对象经适当营销后，由熟悉情况、谨慎行事且不受强迫的交易双方，以公平交易方式在价值时点自愿进行交易的金额。</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具体到本次估价，估价对象于价值时点被人民法院查封。由于本次估价目的是为人民法院办理案件提供涉案房地产的市场价值参考而评估其在没有权利负担情况下的市场价值，因此本次评估估价对象的价值为估价对象在价值时点未被查封，也不存在其他他项权利和权利限制的条件下的公开市场价值。</w:t>
      </w:r>
    </w:p>
    <w:p>
      <w:p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 xml:space="preserve">（七）估价原则 </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1、独立、客观、公正原则：要求站在中立的立场上，实事求是、公平正直地评估出对各方估价利害关系人均是公平合理的价值的原则。</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2、合法原则：要求估价结果应是在依法判定的估价对象状况下的价值的原则。</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3、价值时点原则：要求估价结果是在根据估价目的确定的某一特定时间的价值的原则。</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4、替代原则：要求估价结果应与估价对象的类似房地产在同等条件下的价值偏差在合理范围内的原则。</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5、最高最佳利用原则：房地产在法律上允许、技术上可能、财务上可行并行使价值最大的合理、可能的利用，包括最佳的用途、规模、档次等。</w:t>
      </w:r>
    </w:p>
    <w:p>
      <w:p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（八）估价依据</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1、有关法律法规、政策和标准</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⑴《中华人民共和国城市房地产管理法》（中华人民共和国主席令十届第72号）；</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⑵《中华人民共和国土地管理法》（中华人民共和国主席令十届第28号）；</w:t>
      </w:r>
    </w:p>
    <w:p>
      <w:pPr>
        <w:spacing w:line="360" w:lineRule="auto"/>
        <w:ind w:firstLine="480" w:firstLineChars="200"/>
        <w:outlineLvl w:val="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⑶《中华人民共和国物权法》（中华人民共和国主席令十届第62号）；</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⑷《陕西省城市房地产市场管理条例》（陕西省第十届人民代表大会常务委员会第十一次会议第二次修正）；</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⑸《陕西省实施&lt;中华人民共和国土地管理法&gt;办法》（陕西省第九届人民代表大会常务委员会公告第17号）；</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⑹《最高人民法院关于人民法院民事执行中拍卖、变卖财产的规定》（法释[2004]16号）；</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⑺《最高人民法院关于人民法院委托评估、拍卖和变卖工作的若干规定》(法释［2009］16号)；</w:t>
      </w:r>
    </w:p>
    <w:p>
      <w:pPr>
        <w:spacing w:line="360" w:lineRule="auto"/>
        <w:ind w:firstLine="480" w:firstLineChars="200"/>
        <w:outlineLvl w:val="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⑻中华人民共和国国家标准《房地产估价规范》（GB/T50291-2015）；</w:t>
      </w:r>
    </w:p>
    <w:p>
      <w:pPr>
        <w:spacing w:line="360" w:lineRule="auto"/>
        <w:ind w:firstLine="480" w:firstLineChars="200"/>
        <w:outlineLvl w:val="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⑼中华人民共和国国家标准《房地产估价基本术语标准》（GB/T50899-2013）；</w:t>
      </w:r>
    </w:p>
    <w:p>
      <w:pPr>
        <w:spacing w:line="360" w:lineRule="auto"/>
        <w:ind w:firstLine="480" w:firstLineChars="200"/>
        <w:outlineLvl w:val="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2、估价委托人及估价利害关系人提供的资料</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⑴《安康市汉滨区人民法院委托书》（（2021）陕0902执483号）；</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⑵《陕西省安康市汉滨区人民法院民事裁定书》（（2020）陕0902民初2836号）（复印件）；</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⑶《集体土地使用证》（安集用（12）第2492号）；</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⑷《房屋所有权证》（安房权证产字第B306700-00-0-7）</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⑸房地产估价机构、注册房地产估价师掌握和搜集的有关资料。</w:t>
      </w:r>
    </w:p>
    <w:p>
      <w:p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（九）估价方法</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房地产价格评估的主要方法有比较法、收益法、成本法、假设开发法等估价方法。</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比较法：根据与估价对象相似的房地产的成交价格来求取估价对象价值或价格的方法；</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收益法：根据估价对象的预期收益来求取估价对象价值或价格的方法；</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成本法：根据估价对象的重置成本或重建成本来求取估价对象价值或价格的方法；</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假设开发法：根据估价对象预期开发完成后的价值来求取估价对象价值或价格的方法；</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以上各种估价方法都有一定的适用范围，由于估价对象为整栋房产，市场上存在较多同类房地产的交易案例，我们根据收集和掌握资料，对可选用的估价方法进行了筛选，最终选用比较法进行评估。</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比较法是将估价对象与在价值时点的近期有过交易的类似房地产进行比较，对这些类似房地产的成交价格做适当的修正和调整，以此估算估价对象的客观合理价格或价值。</w:t>
      </w:r>
    </w:p>
    <w:p>
      <w:p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（十）估价结果</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本次估价采用比较法一种方法求得估价对象市场价值，经过注册房地产估价师分析后认为，该价值能够客观反映估价对象市场价值。本报告最终确定估价对象在价值时点的市场价值总额为人民币</w:t>
      </w:r>
      <w:r>
        <w:rPr>
          <w:rFonts w:hint="eastAsia" w:asciiTheme="minorEastAsia" w:hAnsiTheme="minorEastAsia" w:eastAsiaTheme="minorEastAsia" w:cstheme="minorEastAsia"/>
          <w:color w:val="000000" w:themeColor="text1"/>
          <w:kern w:val="0"/>
          <w:sz w:val="24"/>
        </w:rPr>
        <w:t>伍佰伍拾柒万柒仟零壹拾壹元整</w:t>
      </w:r>
      <w:r>
        <w:rPr>
          <w:rFonts w:hint="eastAsia" w:asciiTheme="minorEastAsia" w:hAnsiTheme="minorEastAsia" w:eastAsiaTheme="minorEastAsia" w:cstheme="minorEastAsia"/>
          <w:color w:val="000000" w:themeColor="text1"/>
          <w:sz w:val="24"/>
        </w:rPr>
        <w:t>（RMB</w:t>
      </w:r>
      <w:r>
        <w:rPr>
          <w:rFonts w:hint="eastAsia" w:asciiTheme="minorEastAsia" w:hAnsiTheme="minorEastAsia" w:eastAsiaTheme="minorEastAsia" w:cstheme="minorEastAsia"/>
          <w:color w:val="000000" w:themeColor="text1"/>
          <w:kern w:val="0"/>
          <w:sz w:val="24"/>
        </w:rPr>
        <w:t>5577011元</w:t>
      </w:r>
      <w:r>
        <w:rPr>
          <w:rFonts w:hint="eastAsia" w:asciiTheme="minorEastAsia" w:hAnsiTheme="minorEastAsia" w:eastAsiaTheme="minorEastAsia" w:cstheme="minorEastAsia"/>
          <w:color w:val="000000" w:themeColor="text1"/>
          <w:sz w:val="24"/>
        </w:rPr>
        <w:t>），折合建筑面积单价</w:t>
      </w:r>
      <w:r>
        <w:rPr>
          <w:rFonts w:hint="eastAsia" w:asciiTheme="minorEastAsia" w:hAnsiTheme="minorEastAsia" w:eastAsiaTheme="minorEastAsia" w:cstheme="minorEastAsia"/>
          <w:color w:val="000000" w:themeColor="text1"/>
          <w:kern w:val="0"/>
          <w:sz w:val="24"/>
        </w:rPr>
        <w:t>5120</w:t>
      </w:r>
      <w:r>
        <w:rPr>
          <w:rFonts w:hint="eastAsia" w:asciiTheme="minorEastAsia" w:hAnsiTheme="minorEastAsia" w:eastAsiaTheme="minorEastAsia" w:cstheme="minorEastAsia"/>
          <w:color w:val="000000" w:themeColor="text1"/>
          <w:sz w:val="24"/>
        </w:rPr>
        <w:t>元/平方米。</w:t>
      </w:r>
    </w:p>
    <w:p>
      <w:pPr>
        <w:numPr>
          <w:ilvl w:val="0"/>
          <w:numId w:val="3"/>
        </w:num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注册房地产估价师</w:t>
      </w:r>
    </w:p>
    <w:tbl>
      <w:tblPr>
        <w:tblStyle w:val="8"/>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2162"/>
        <w:gridCol w:w="4243"/>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33"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仿宋_GB2312"/>
                <w:bCs/>
                <w:color w:val="000000" w:themeColor="text1"/>
              </w:rPr>
            </w:pPr>
            <w:r>
              <w:rPr>
                <w:rFonts w:ascii="Times New Roman" w:hAnsi="Times New Roman" w:eastAsia="仿宋_GB2312" w:cs="仿宋_GB2312"/>
                <w:bCs/>
                <w:color w:val="000000" w:themeColor="text1"/>
              </w:rPr>
              <w:t>姓</w:t>
            </w:r>
            <w:r>
              <w:rPr>
                <w:rFonts w:ascii="Times New Roman" w:hAnsi="Times New Roman" w:eastAsia="仿宋_GB2312" w:cs="Times New Roman"/>
                <w:bCs/>
                <w:color w:val="000000" w:themeColor="text1"/>
              </w:rPr>
              <w:t xml:space="preserve">  </w:t>
            </w:r>
            <w:r>
              <w:rPr>
                <w:rFonts w:ascii="Times New Roman" w:hAnsi="Times New Roman" w:eastAsia="仿宋_GB2312" w:cs="仿宋_GB2312"/>
                <w:bCs/>
                <w:color w:val="000000" w:themeColor="text1"/>
              </w:rPr>
              <w:t>名</w:t>
            </w:r>
          </w:p>
        </w:tc>
        <w:tc>
          <w:tcPr>
            <w:tcW w:w="2162"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仿宋_GB2312"/>
                <w:bCs/>
                <w:color w:val="000000" w:themeColor="text1"/>
              </w:rPr>
            </w:pPr>
            <w:r>
              <w:rPr>
                <w:rFonts w:ascii="Times New Roman" w:hAnsi="Times New Roman" w:eastAsia="仿宋_GB2312" w:cs="仿宋_GB2312"/>
                <w:bCs/>
                <w:color w:val="000000" w:themeColor="text1"/>
              </w:rPr>
              <w:t>注册号</w:t>
            </w:r>
          </w:p>
        </w:tc>
        <w:tc>
          <w:tcPr>
            <w:tcW w:w="4243"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仿宋_GB2312"/>
                <w:bCs/>
                <w:color w:val="000000" w:themeColor="text1"/>
              </w:rPr>
            </w:pPr>
            <w:r>
              <w:rPr>
                <w:rFonts w:ascii="Times New Roman" w:hAnsi="Times New Roman" w:eastAsia="仿宋_GB2312" w:cs="仿宋_GB2312"/>
                <w:bCs/>
                <w:color w:val="000000" w:themeColor="text1"/>
              </w:rPr>
              <w:t>签</w:t>
            </w:r>
            <w:r>
              <w:rPr>
                <w:rFonts w:ascii="Times New Roman" w:hAnsi="Times New Roman" w:eastAsia="仿宋_GB2312" w:cs="Times New Roman"/>
                <w:bCs/>
                <w:color w:val="000000" w:themeColor="text1"/>
              </w:rPr>
              <w:t xml:space="preserve">  </w:t>
            </w:r>
            <w:r>
              <w:rPr>
                <w:rFonts w:hint="eastAsia" w:ascii="Times New Roman" w:hAnsi="Times New Roman" w:eastAsia="仿宋_GB2312" w:cs="仿宋_GB2312"/>
                <w:bCs/>
                <w:color w:val="000000" w:themeColor="text1"/>
              </w:rPr>
              <w:t>章</w:t>
            </w:r>
          </w:p>
        </w:tc>
        <w:tc>
          <w:tcPr>
            <w:tcW w:w="1518"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仿宋_GB2312"/>
                <w:bCs/>
                <w:color w:val="000000" w:themeColor="text1"/>
              </w:rPr>
            </w:pPr>
            <w:r>
              <w:rPr>
                <w:rFonts w:ascii="Times New Roman" w:hAnsi="Times New Roman" w:eastAsia="仿宋_GB2312" w:cs="仿宋_GB2312"/>
                <w:bCs/>
                <w:color w:val="000000" w:themeColor="text1"/>
              </w:rPr>
              <w:t>日</w:t>
            </w:r>
            <w:r>
              <w:rPr>
                <w:rFonts w:hint="eastAsia" w:ascii="Times New Roman" w:hAnsi="Times New Roman" w:eastAsia="仿宋_GB2312" w:cs="仿宋_GB2312"/>
                <w:bCs/>
                <w:color w:val="000000" w:themeColor="text1"/>
              </w:rPr>
              <w:t xml:space="preserve">  </w:t>
            </w:r>
            <w:r>
              <w:rPr>
                <w:rFonts w:ascii="Times New Roman" w:hAnsi="Times New Roman" w:eastAsia="仿宋_GB2312" w:cs="仿宋_GB2312"/>
                <w:bCs/>
                <w:color w:val="000000" w:themeColor="text1"/>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jc w:val="center"/>
        </w:trPr>
        <w:tc>
          <w:tcPr>
            <w:tcW w:w="1333"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Times New Roman"/>
                <w:color w:val="FF0000"/>
              </w:rPr>
            </w:pPr>
            <w:r>
              <w:rPr>
                <w:rFonts w:hint="eastAsia" w:ascii="Times New Roman" w:hAnsi="Times New Roman" w:eastAsia="仿宋_GB2312" w:cs="仿宋_GB2312"/>
                <w:color w:val="000000" w:themeColor="text1"/>
              </w:rPr>
              <w:t>张武龙</w:t>
            </w:r>
          </w:p>
        </w:tc>
        <w:tc>
          <w:tcPr>
            <w:tcW w:w="2162"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Times New Roman"/>
                <w:color w:val="FF0000"/>
              </w:rPr>
            </w:pPr>
            <w:r>
              <w:rPr>
                <w:rFonts w:ascii="Times New Roman" w:hAnsi="Times New Roman" w:eastAsia="仿宋_GB2312" w:cs="Times New Roman"/>
                <w:color w:val="000000" w:themeColor="text1"/>
              </w:rPr>
              <w:t>6120</w:t>
            </w:r>
            <w:r>
              <w:rPr>
                <w:rFonts w:hint="eastAsia" w:ascii="Times New Roman" w:hAnsi="Times New Roman" w:eastAsia="仿宋_GB2312" w:cs="Times New Roman"/>
                <w:color w:val="000000" w:themeColor="text1"/>
              </w:rPr>
              <w:t>030050</w:t>
            </w:r>
          </w:p>
        </w:tc>
        <w:tc>
          <w:tcPr>
            <w:tcW w:w="4243"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Times New Roman"/>
                <w:color w:val="000000" w:themeColor="text1"/>
              </w:rPr>
            </w:pPr>
          </w:p>
        </w:tc>
        <w:tc>
          <w:tcPr>
            <w:tcW w:w="1518"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Times New Roman"/>
                <w:color w:val="000000" w:themeColor="text1"/>
              </w:rPr>
            </w:pPr>
            <w:r>
              <w:rPr>
                <w:rFonts w:hint="eastAsia" w:ascii="Times New Roman" w:hAnsi="Times New Roman" w:eastAsia="仿宋_GB2312" w:cs="Times New Roman"/>
                <w:color w:val="000000" w:themeColor="text1"/>
              </w:rPr>
              <w:t>2021.07.21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1333"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Times New Roman"/>
                <w:color w:val="FF0000"/>
              </w:rPr>
            </w:pPr>
            <w:r>
              <w:rPr>
                <w:rFonts w:hint="eastAsia" w:ascii="Times New Roman" w:hAnsi="Times New Roman" w:eastAsia="仿宋_GB2312" w:cs="仿宋_GB2312"/>
                <w:color w:val="000000" w:themeColor="text1"/>
              </w:rPr>
              <w:t>张建民</w:t>
            </w:r>
          </w:p>
        </w:tc>
        <w:tc>
          <w:tcPr>
            <w:tcW w:w="2162" w:type="dxa"/>
            <w:tcBorders>
              <w:tl2br w:val="nil"/>
              <w:tr2bl w:val="nil"/>
            </w:tcBorders>
            <w:shd w:val="clear" w:color="auto" w:fill="auto"/>
            <w:vAlign w:val="center"/>
          </w:tcPr>
          <w:p>
            <w:pPr>
              <w:pStyle w:val="3"/>
              <w:autoSpaceDN w:val="0"/>
              <w:spacing w:line="500" w:lineRule="exact"/>
              <w:ind w:firstLine="0"/>
              <w:jc w:val="center"/>
              <w:outlineLvl w:val="0"/>
              <w:rPr>
                <w:rFonts w:ascii="Times New Roman" w:hAnsi="Times New Roman" w:eastAsia="仿宋_GB2312" w:cs="Times New Roman"/>
                <w:color w:val="FF0000"/>
              </w:rPr>
            </w:pPr>
            <w:r>
              <w:rPr>
                <w:rFonts w:hint="eastAsia" w:ascii="Times New Roman" w:hAnsi="Times New Roman" w:eastAsia="仿宋_GB2312" w:cs="Times New Roman"/>
                <w:color w:val="000000" w:themeColor="text1"/>
              </w:rPr>
              <w:t>3320090004</w:t>
            </w:r>
          </w:p>
        </w:tc>
        <w:tc>
          <w:tcPr>
            <w:tcW w:w="4243" w:type="dxa"/>
            <w:tcBorders>
              <w:tl2br w:val="nil"/>
              <w:tr2bl w:val="nil"/>
            </w:tcBorders>
            <w:shd w:val="clear" w:color="auto" w:fill="auto"/>
            <w:vAlign w:val="center"/>
          </w:tcPr>
          <w:p>
            <w:pPr>
              <w:pStyle w:val="3"/>
              <w:autoSpaceDN w:val="0"/>
              <w:spacing w:line="500" w:lineRule="exact"/>
              <w:jc w:val="center"/>
              <w:outlineLvl w:val="0"/>
              <w:rPr>
                <w:rFonts w:ascii="Times New Roman" w:hAnsi="Times New Roman" w:eastAsia="仿宋_GB2312" w:cs="Times New Roman"/>
                <w:bCs/>
                <w:color w:val="000000" w:themeColor="text1"/>
              </w:rPr>
            </w:pPr>
          </w:p>
        </w:tc>
        <w:tc>
          <w:tcPr>
            <w:tcW w:w="1518" w:type="dxa"/>
            <w:tcBorders>
              <w:tl2br w:val="nil"/>
              <w:tr2bl w:val="nil"/>
            </w:tcBorders>
            <w:shd w:val="clear" w:color="auto" w:fill="auto"/>
            <w:vAlign w:val="center"/>
          </w:tcPr>
          <w:p>
            <w:pPr>
              <w:pStyle w:val="3"/>
              <w:autoSpaceDN w:val="0"/>
              <w:spacing w:line="500" w:lineRule="exact"/>
              <w:ind w:firstLine="0"/>
              <w:outlineLvl w:val="0"/>
              <w:rPr>
                <w:rFonts w:ascii="Times New Roman" w:hAnsi="Times New Roman" w:eastAsia="仿宋_GB2312" w:cs="Times New Roman"/>
                <w:bCs/>
                <w:color w:val="000000" w:themeColor="text1"/>
              </w:rPr>
            </w:pPr>
            <w:r>
              <w:rPr>
                <w:rFonts w:hint="eastAsia" w:ascii="Times New Roman" w:hAnsi="Times New Roman" w:eastAsia="仿宋_GB2312" w:cs="Times New Roman"/>
                <w:bCs/>
                <w:color w:val="000000" w:themeColor="text1"/>
              </w:rPr>
              <w:t>2021.07.21</w:t>
            </w:r>
          </w:p>
        </w:tc>
      </w:tr>
    </w:tbl>
    <w:p>
      <w:pPr>
        <w:spacing w:line="360" w:lineRule="auto"/>
        <w:ind w:firstLine="562" w:firstLineChars="20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（十二）实地查勘期</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注册房地产估价师于2021年05月28日对估价对象的外观及周边环境进行了现场查勘，于当日完成实地查勘。</w:t>
      </w:r>
    </w:p>
    <w:p>
      <w:p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（十三）估价作业期</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本次估价作业期为自2021年05月28日起至2021年07月21日止。</w:t>
      </w:r>
    </w:p>
    <w:p>
      <w:pPr>
        <w:spacing w:line="360" w:lineRule="auto"/>
        <w:ind w:firstLine="562" w:firstLineChars="200"/>
        <w:outlineLvl w:val="0"/>
        <w:rPr>
          <w:rFonts w:asciiTheme="minorEastAsia" w:hAnsiTheme="minorEastAsia" w:eastAsiaTheme="minorEastAsia" w:cstheme="minorEastAsia"/>
          <w:b/>
          <w:bCs/>
          <w:color w:val="000000" w:themeColor="text1"/>
          <w:sz w:val="28"/>
          <w:szCs w:val="28"/>
        </w:rPr>
      </w:pPr>
      <w:r>
        <w:rPr>
          <w:rFonts w:hint="eastAsia" w:asciiTheme="minorEastAsia" w:hAnsiTheme="minorEastAsia" w:eastAsiaTheme="minorEastAsia" w:cstheme="minorEastAsia"/>
          <w:b/>
          <w:bCs/>
          <w:color w:val="000000" w:themeColor="text1"/>
          <w:sz w:val="28"/>
          <w:szCs w:val="28"/>
        </w:rPr>
        <w:t>（十四）估价报告使用期限</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根据估价目的和预计房地产市场价格变化程度，确定本估价报告使用期限为自估价报告出具之日起一年。</w:t>
      </w:r>
    </w:p>
    <w:p>
      <w:pPr>
        <w:spacing w:line="360" w:lineRule="auto"/>
        <w:jc w:val="center"/>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br w:type="page"/>
      </w:r>
    </w:p>
    <w:p>
      <w:pPr>
        <w:spacing w:line="360" w:lineRule="auto"/>
        <w:rPr>
          <w:rFonts w:asciiTheme="minorEastAsia" w:hAnsiTheme="minorEastAsia" w:eastAsiaTheme="minorEastAsia" w:cstheme="minorEastAsia"/>
          <w:b/>
          <w:bCs/>
          <w:color w:val="000000" w:themeColor="text1"/>
          <w:sz w:val="32"/>
          <w:szCs w:val="32"/>
        </w:rPr>
      </w:pPr>
      <w:r>
        <w:rPr>
          <w:rFonts w:asciiTheme="minorEastAsia" w:hAnsiTheme="minorEastAsia" w:eastAsiaTheme="minorEastAsia" w:cstheme="minorEastAsia"/>
          <w:color w:val="000000" w:themeColor="text1"/>
          <w:sz w:val="24"/>
        </w:rPr>
        <w:t xml:space="preserve">                                </w:t>
      </w:r>
      <w:r>
        <w:rPr>
          <w:rFonts w:hint="eastAsia" w:asciiTheme="minorEastAsia" w:hAnsiTheme="minorEastAsia" w:eastAsiaTheme="minorEastAsia" w:cstheme="minorEastAsia"/>
          <w:b/>
          <w:bCs/>
          <w:color w:val="000000" w:themeColor="text1"/>
          <w:sz w:val="32"/>
          <w:szCs w:val="32"/>
        </w:rPr>
        <w:t>附   件</w:t>
      </w:r>
    </w:p>
    <w:p>
      <w:pPr>
        <w:spacing w:line="360" w:lineRule="auto"/>
        <w:rPr>
          <w:rFonts w:asciiTheme="minorEastAsia" w:hAnsiTheme="minorEastAsia" w:eastAsiaTheme="minorEastAsia" w:cstheme="minorEastAsia"/>
          <w:color w:val="000000" w:themeColor="text1"/>
          <w:sz w:val="24"/>
        </w:rPr>
      </w:pP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附件一、《安康市汉滨区人民法院委托书》（（2021）陕0902执483号）；</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附件二、《陕西省安康市汉滨区人民法院民事裁定书》（（2020）陕0902民初2836号）（复印件）；</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附件三、《集体土地使用证》（安集用（12）第2492号）；</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附件四、《房屋所有权证》（安房权证产字第B306700-00-0-7）；</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附件</w:t>
      </w:r>
      <w:r>
        <w:rPr>
          <w:rFonts w:asciiTheme="minorEastAsia" w:hAnsiTheme="minorEastAsia" w:eastAsiaTheme="minorEastAsia" w:cstheme="minorEastAsia"/>
          <w:color w:val="000000" w:themeColor="text1"/>
          <w:sz w:val="24"/>
        </w:rPr>
        <w:t>五</w:t>
      </w:r>
      <w:r>
        <w:rPr>
          <w:rFonts w:hint="eastAsia" w:asciiTheme="minorEastAsia" w:hAnsiTheme="minorEastAsia" w:eastAsiaTheme="minorEastAsia" w:cstheme="minorEastAsia"/>
          <w:color w:val="000000" w:themeColor="text1"/>
          <w:sz w:val="24"/>
        </w:rPr>
        <w:t>、估价对象位置示意图；</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附件</w:t>
      </w:r>
      <w:r>
        <w:rPr>
          <w:rFonts w:asciiTheme="minorEastAsia" w:hAnsiTheme="minorEastAsia" w:eastAsiaTheme="minorEastAsia" w:cstheme="minorEastAsia"/>
          <w:color w:val="000000" w:themeColor="text1"/>
          <w:sz w:val="24"/>
        </w:rPr>
        <w:t>六</w:t>
      </w:r>
      <w:r>
        <w:rPr>
          <w:rFonts w:hint="eastAsia" w:asciiTheme="minorEastAsia" w:hAnsiTheme="minorEastAsia" w:eastAsiaTheme="minorEastAsia" w:cstheme="minorEastAsia"/>
          <w:color w:val="000000" w:themeColor="text1"/>
          <w:sz w:val="24"/>
        </w:rPr>
        <w:t>、估价对象现状照片及周围景观照片；</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附件</w:t>
      </w:r>
      <w:r>
        <w:rPr>
          <w:rFonts w:asciiTheme="minorEastAsia" w:hAnsiTheme="minorEastAsia" w:eastAsiaTheme="minorEastAsia" w:cstheme="minorEastAsia"/>
          <w:color w:val="000000" w:themeColor="text1"/>
          <w:sz w:val="24"/>
        </w:rPr>
        <w:t>七</w:t>
      </w:r>
      <w:r>
        <w:rPr>
          <w:rFonts w:hint="eastAsia" w:asciiTheme="minorEastAsia" w:hAnsiTheme="minorEastAsia" w:eastAsiaTheme="minorEastAsia" w:cstheme="minorEastAsia"/>
          <w:color w:val="000000" w:themeColor="text1"/>
          <w:sz w:val="24"/>
        </w:rPr>
        <w:t>、房地产估价机构营业执照和年度提交报告书（复印件）；</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附件</w:t>
      </w:r>
      <w:r>
        <w:rPr>
          <w:rFonts w:asciiTheme="minorEastAsia" w:hAnsiTheme="minorEastAsia" w:eastAsiaTheme="minorEastAsia" w:cstheme="minorEastAsia"/>
          <w:color w:val="000000" w:themeColor="text1"/>
          <w:sz w:val="24"/>
        </w:rPr>
        <w:t>八</w:t>
      </w:r>
      <w:r>
        <w:rPr>
          <w:rFonts w:hint="eastAsia" w:asciiTheme="minorEastAsia" w:hAnsiTheme="minorEastAsia" w:eastAsiaTheme="minorEastAsia" w:cstheme="minorEastAsia"/>
          <w:color w:val="000000" w:themeColor="text1"/>
          <w:sz w:val="24"/>
        </w:rPr>
        <w:t>、房地产估价机构资质证书（复印件）；</w:t>
      </w:r>
    </w:p>
    <w:p>
      <w:pPr>
        <w:spacing w:line="360" w:lineRule="auto"/>
        <w:ind w:firstLine="480" w:firstLineChars="200"/>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附件</w:t>
      </w:r>
      <w:r>
        <w:rPr>
          <w:rFonts w:asciiTheme="minorEastAsia" w:hAnsiTheme="minorEastAsia" w:eastAsiaTheme="minorEastAsia" w:cstheme="minorEastAsia"/>
          <w:color w:val="000000" w:themeColor="text1"/>
          <w:sz w:val="24"/>
        </w:rPr>
        <w:t>九</w:t>
      </w:r>
      <w:r>
        <w:rPr>
          <w:rFonts w:hint="eastAsia" w:asciiTheme="minorEastAsia" w:hAnsiTheme="minorEastAsia" w:eastAsiaTheme="minorEastAsia" w:cstheme="minorEastAsia"/>
          <w:color w:val="000000" w:themeColor="text1"/>
          <w:sz w:val="24"/>
        </w:rPr>
        <w:t>、注册房地产估价师注册证书（复印件）。</w:t>
      </w:r>
    </w:p>
    <w:sectPr>
      <w:headerReference r:id="rId9" w:type="default"/>
      <w:footerReference r:id="rId10" w:type="default"/>
      <w:pgSz w:w="11906" w:h="16838"/>
      <w:pgMar w:top="1701" w:right="1417" w:bottom="1417" w:left="1417" w:header="851" w:footer="992" w:gutter="0"/>
      <w:pgNumType w:start="1"/>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ˎ̥">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pPr w:leftFromText="180" w:rightFromText="180" w:vertAnchor="text" w:horzAnchor="page" w:tblpX="1537" w:tblpY="1"/>
      <w:tblOverlap w:val="never"/>
      <w:tblW w:w="9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075" w:type="dxa"/>
        </w:tcPr>
        <w:p>
          <w:pPr>
            <w:pStyle w:val="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075" w:type="dxa"/>
        </w:tcPr>
        <w:p>
          <w:pPr>
            <w:pStyle w:val="5"/>
            <w:jc w:val="center"/>
            <w:rPr>
              <w:sz w:val="21"/>
            </w:rPr>
          </w:pPr>
          <w:r>
            <w:rPr>
              <w:rFonts w:hint="eastAsia"/>
              <w:sz w:val="21"/>
              <w:szCs w:val="21"/>
            </w:rPr>
            <w:t>SHAANXI  ZHONGDA   REAL   ESTATE   APPRAISAL   CO.LTD</w:t>
          </w:r>
        </w:p>
      </w:tc>
    </w:tr>
  </w:tbl>
  <w:p>
    <w:pPr>
      <w:pStyle w:val="5"/>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pPr w:leftFromText="180" w:rightFromText="180" w:vertAnchor="text" w:horzAnchor="page" w:tblpX="1537" w:tblpY="1"/>
      <w:tblOverlap w:val="never"/>
      <w:tblW w:w="9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9075" w:type="dxa"/>
        </w:tcPr>
        <w:p>
          <w:pPr>
            <w:pStyle w:val="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075" w:type="dxa"/>
        </w:tcPr>
        <w:p>
          <w:pPr>
            <w:pStyle w:val="5"/>
            <w:jc w:val="center"/>
            <w:rPr>
              <w:sz w:val="21"/>
            </w:rPr>
          </w:pPr>
          <w:r>
            <w:rPr>
              <w:rFonts w:hint="eastAsia"/>
              <w:sz w:val="21"/>
              <w:szCs w:val="21"/>
            </w:rPr>
            <w:t>SHAANXI  ZHONGDA   REAL   ESTATE   APPRAISAL   CO.LTD</w:t>
          </w:r>
        </w:p>
      </w:tc>
    </w:tr>
  </w:tbl>
  <w:p>
    <w:pPr>
      <w:pStyle w:val="5"/>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distribute"/>
      <w:rPr>
        <w:u w:val="single"/>
      </w:rPr>
    </w:pPr>
    <w:r>
      <w:rPr>
        <w:rFonts w:hint="eastAsia" w:ascii="黑体" w:eastAsia="黑体" w:cs="黑体"/>
        <w:sz w:val="24"/>
        <w:u w:val="single"/>
      </w:rPr>
      <w:t>陕西中大房地产评估有限责任公司                             TEL: 029-88326138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distribute"/>
      <w:rPr>
        <w:u w:val="single"/>
      </w:rPr>
    </w:pPr>
    <w:r>
      <w:rPr>
        <w:rFonts w:hint="eastAsia" w:ascii="黑体" w:eastAsia="黑体" w:cs="黑体"/>
        <w:sz w:val="24"/>
        <w:u w:val="single"/>
      </w:rPr>
      <w:t>陕西中大房地产评估有限责任公司                             TEL: 029-88326138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ACF9D0"/>
    <w:multiLevelType w:val="singleLevel"/>
    <w:tmpl w:val="BFACF9D0"/>
    <w:lvl w:ilvl="0" w:tentative="0">
      <w:start w:val="3"/>
      <w:numFmt w:val="decimal"/>
      <w:suff w:val="nothing"/>
      <w:lvlText w:val="%1、"/>
      <w:lvlJc w:val="left"/>
    </w:lvl>
  </w:abstractNum>
  <w:abstractNum w:abstractNumId="1">
    <w:nsid w:val="62A467F0"/>
    <w:multiLevelType w:val="singleLevel"/>
    <w:tmpl w:val="62A467F0"/>
    <w:lvl w:ilvl="0" w:tentative="0">
      <w:start w:val="11"/>
      <w:numFmt w:val="chineseCounting"/>
      <w:suff w:val="nothing"/>
      <w:lvlText w:val="（%1）"/>
      <w:lvlJc w:val="left"/>
      <w:rPr>
        <w:rFonts w:hint="eastAsia"/>
      </w:rPr>
    </w:lvl>
  </w:abstractNum>
  <w:abstractNum w:abstractNumId="2">
    <w:nsid w:val="6738431B"/>
    <w:multiLevelType w:val="singleLevel"/>
    <w:tmpl w:val="6738431B"/>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9"/>
  <w:noPunctuationKerning w:val="1"/>
  <w:characterSpacingControl w:val="compressPunctuation"/>
  <w:compat>
    <w:spaceForUL/>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M0YjViMGFiNGExMzZiZjk5ZDU4M2EyN2NlMDdiOWQifQ=="/>
  </w:docVars>
  <w:rsids>
    <w:rsidRoot w:val="00430C85"/>
    <w:rsid w:val="00004F8B"/>
    <w:rsid w:val="00011E20"/>
    <w:rsid w:val="00017484"/>
    <w:rsid w:val="000236BE"/>
    <w:rsid w:val="00044721"/>
    <w:rsid w:val="00064618"/>
    <w:rsid w:val="00083C9A"/>
    <w:rsid w:val="000843C2"/>
    <w:rsid w:val="000A0152"/>
    <w:rsid w:val="000A1C1E"/>
    <w:rsid w:val="000C03CD"/>
    <w:rsid w:val="000D1A07"/>
    <w:rsid w:val="000E4615"/>
    <w:rsid w:val="000E5C7C"/>
    <w:rsid w:val="000E6CF8"/>
    <w:rsid w:val="000F01D5"/>
    <w:rsid w:val="000F5CE4"/>
    <w:rsid w:val="0010568A"/>
    <w:rsid w:val="00112F7F"/>
    <w:rsid w:val="00120E4E"/>
    <w:rsid w:val="001251E2"/>
    <w:rsid w:val="00132DE7"/>
    <w:rsid w:val="00132E38"/>
    <w:rsid w:val="00143B84"/>
    <w:rsid w:val="00145B35"/>
    <w:rsid w:val="00151DA6"/>
    <w:rsid w:val="00153F63"/>
    <w:rsid w:val="00154369"/>
    <w:rsid w:val="00156F87"/>
    <w:rsid w:val="0016408C"/>
    <w:rsid w:val="001A4207"/>
    <w:rsid w:val="001A4335"/>
    <w:rsid w:val="001D3859"/>
    <w:rsid w:val="001E7C93"/>
    <w:rsid w:val="00202CF6"/>
    <w:rsid w:val="00210851"/>
    <w:rsid w:val="002433C3"/>
    <w:rsid w:val="00257128"/>
    <w:rsid w:val="00262F62"/>
    <w:rsid w:val="00270DD2"/>
    <w:rsid w:val="00291E8A"/>
    <w:rsid w:val="002A0934"/>
    <w:rsid w:val="002B7CEC"/>
    <w:rsid w:val="002C6F81"/>
    <w:rsid w:val="002D0F66"/>
    <w:rsid w:val="002E7489"/>
    <w:rsid w:val="0030357E"/>
    <w:rsid w:val="00312F41"/>
    <w:rsid w:val="00324A89"/>
    <w:rsid w:val="00334500"/>
    <w:rsid w:val="00334873"/>
    <w:rsid w:val="00337D0A"/>
    <w:rsid w:val="00342E5A"/>
    <w:rsid w:val="00345DF0"/>
    <w:rsid w:val="00352710"/>
    <w:rsid w:val="00353C3B"/>
    <w:rsid w:val="00360046"/>
    <w:rsid w:val="003620DB"/>
    <w:rsid w:val="003649E5"/>
    <w:rsid w:val="0037497E"/>
    <w:rsid w:val="003960BE"/>
    <w:rsid w:val="003C0D69"/>
    <w:rsid w:val="003D4D6A"/>
    <w:rsid w:val="003E2F35"/>
    <w:rsid w:val="003F07F7"/>
    <w:rsid w:val="003F5E7F"/>
    <w:rsid w:val="003F6815"/>
    <w:rsid w:val="004004BA"/>
    <w:rsid w:val="00406CA6"/>
    <w:rsid w:val="00407B1C"/>
    <w:rsid w:val="00410B55"/>
    <w:rsid w:val="004121B2"/>
    <w:rsid w:val="0041763E"/>
    <w:rsid w:val="00430C85"/>
    <w:rsid w:val="00430EC2"/>
    <w:rsid w:val="00436C4D"/>
    <w:rsid w:val="00455982"/>
    <w:rsid w:val="0045749C"/>
    <w:rsid w:val="0046297C"/>
    <w:rsid w:val="00476C2F"/>
    <w:rsid w:val="00480127"/>
    <w:rsid w:val="00481844"/>
    <w:rsid w:val="004B7DA5"/>
    <w:rsid w:val="004C0FD8"/>
    <w:rsid w:val="004C497C"/>
    <w:rsid w:val="004D15A6"/>
    <w:rsid w:val="004D1E36"/>
    <w:rsid w:val="004E14DC"/>
    <w:rsid w:val="004F7C83"/>
    <w:rsid w:val="00504F65"/>
    <w:rsid w:val="0051378C"/>
    <w:rsid w:val="005254A3"/>
    <w:rsid w:val="00525EBC"/>
    <w:rsid w:val="005442C1"/>
    <w:rsid w:val="005456F6"/>
    <w:rsid w:val="005512F2"/>
    <w:rsid w:val="0056226B"/>
    <w:rsid w:val="0057220B"/>
    <w:rsid w:val="00575B66"/>
    <w:rsid w:val="00580DBE"/>
    <w:rsid w:val="005A33D8"/>
    <w:rsid w:val="005A6739"/>
    <w:rsid w:val="005B22F3"/>
    <w:rsid w:val="005C3CAB"/>
    <w:rsid w:val="005C639A"/>
    <w:rsid w:val="005D1DC4"/>
    <w:rsid w:val="005D49D6"/>
    <w:rsid w:val="005E14CC"/>
    <w:rsid w:val="005E25D7"/>
    <w:rsid w:val="005E33B3"/>
    <w:rsid w:val="005F44C0"/>
    <w:rsid w:val="005F4537"/>
    <w:rsid w:val="005F6EFC"/>
    <w:rsid w:val="00604A74"/>
    <w:rsid w:val="00605BB4"/>
    <w:rsid w:val="00626148"/>
    <w:rsid w:val="00661A0D"/>
    <w:rsid w:val="0067556A"/>
    <w:rsid w:val="00676EE7"/>
    <w:rsid w:val="00683A78"/>
    <w:rsid w:val="006906B4"/>
    <w:rsid w:val="0069674D"/>
    <w:rsid w:val="006A2D20"/>
    <w:rsid w:val="006C115D"/>
    <w:rsid w:val="006C2D6F"/>
    <w:rsid w:val="006C5899"/>
    <w:rsid w:val="006D0572"/>
    <w:rsid w:val="006D723E"/>
    <w:rsid w:val="006E26F4"/>
    <w:rsid w:val="006F6558"/>
    <w:rsid w:val="007056DD"/>
    <w:rsid w:val="00710FA2"/>
    <w:rsid w:val="00723B45"/>
    <w:rsid w:val="00736E32"/>
    <w:rsid w:val="00755273"/>
    <w:rsid w:val="007613D3"/>
    <w:rsid w:val="007806E4"/>
    <w:rsid w:val="007C0721"/>
    <w:rsid w:val="007C5CE1"/>
    <w:rsid w:val="007C792E"/>
    <w:rsid w:val="007C7C73"/>
    <w:rsid w:val="007D3E04"/>
    <w:rsid w:val="007E0394"/>
    <w:rsid w:val="007E6C7A"/>
    <w:rsid w:val="00803A7C"/>
    <w:rsid w:val="00814018"/>
    <w:rsid w:val="0081471A"/>
    <w:rsid w:val="00821B5C"/>
    <w:rsid w:val="0082587E"/>
    <w:rsid w:val="00827E3C"/>
    <w:rsid w:val="00854195"/>
    <w:rsid w:val="00875E95"/>
    <w:rsid w:val="00881927"/>
    <w:rsid w:val="00886577"/>
    <w:rsid w:val="00893252"/>
    <w:rsid w:val="008A3DA6"/>
    <w:rsid w:val="008C2001"/>
    <w:rsid w:val="008D2F84"/>
    <w:rsid w:val="008D3182"/>
    <w:rsid w:val="008D6889"/>
    <w:rsid w:val="009017B6"/>
    <w:rsid w:val="0090481F"/>
    <w:rsid w:val="00904EB6"/>
    <w:rsid w:val="00913884"/>
    <w:rsid w:val="00932DC2"/>
    <w:rsid w:val="0093390C"/>
    <w:rsid w:val="00943602"/>
    <w:rsid w:val="00951081"/>
    <w:rsid w:val="00953FFF"/>
    <w:rsid w:val="00955E15"/>
    <w:rsid w:val="0095672C"/>
    <w:rsid w:val="009608F7"/>
    <w:rsid w:val="00962337"/>
    <w:rsid w:val="0097518B"/>
    <w:rsid w:val="00976C94"/>
    <w:rsid w:val="00976EB0"/>
    <w:rsid w:val="009809F6"/>
    <w:rsid w:val="00986940"/>
    <w:rsid w:val="00987D26"/>
    <w:rsid w:val="00991F52"/>
    <w:rsid w:val="009B4E42"/>
    <w:rsid w:val="009B6EA2"/>
    <w:rsid w:val="009D17F7"/>
    <w:rsid w:val="009D5AF9"/>
    <w:rsid w:val="00A03BD7"/>
    <w:rsid w:val="00A03CCB"/>
    <w:rsid w:val="00A10ED0"/>
    <w:rsid w:val="00A30D5F"/>
    <w:rsid w:val="00A31B24"/>
    <w:rsid w:val="00A34927"/>
    <w:rsid w:val="00A37C9F"/>
    <w:rsid w:val="00A43BD6"/>
    <w:rsid w:val="00A44A59"/>
    <w:rsid w:val="00A4721A"/>
    <w:rsid w:val="00A54420"/>
    <w:rsid w:val="00A657D5"/>
    <w:rsid w:val="00A66D05"/>
    <w:rsid w:val="00A73EC4"/>
    <w:rsid w:val="00A76B82"/>
    <w:rsid w:val="00A93879"/>
    <w:rsid w:val="00A9419E"/>
    <w:rsid w:val="00AA0792"/>
    <w:rsid w:val="00AA22C6"/>
    <w:rsid w:val="00AD02CF"/>
    <w:rsid w:val="00AD59F6"/>
    <w:rsid w:val="00AF1292"/>
    <w:rsid w:val="00B02DA0"/>
    <w:rsid w:val="00B02E1C"/>
    <w:rsid w:val="00B03273"/>
    <w:rsid w:val="00B1199E"/>
    <w:rsid w:val="00B27C67"/>
    <w:rsid w:val="00B40174"/>
    <w:rsid w:val="00B46B5E"/>
    <w:rsid w:val="00B51881"/>
    <w:rsid w:val="00B53263"/>
    <w:rsid w:val="00B547CF"/>
    <w:rsid w:val="00B616CF"/>
    <w:rsid w:val="00B71F04"/>
    <w:rsid w:val="00B72ECA"/>
    <w:rsid w:val="00B81761"/>
    <w:rsid w:val="00BA4526"/>
    <w:rsid w:val="00BA4EA0"/>
    <w:rsid w:val="00BB0BC1"/>
    <w:rsid w:val="00BB698A"/>
    <w:rsid w:val="00BD4A90"/>
    <w:rsid w:val="00BE4660"/>
    <w:rsid w:val="00BF14E9"/>
    <w:rsid w:val="00BF366D"/>
    <w:rsid w:val="00BF6BE9"/>
    <w:rsid w:val="00C12C26"/>
    <w:rsid w:val="00C21FA4"/>
    <w:rsid w:val="00C31B37"/>
    <w:rsid w:val="00C428F4"/>
    <w:rsid w:val="00C43737"/>
    <w:rsid w:val="00C4448A"/>
    <w:rsid w:val="00C6200F"/>
    <w:rsid w:val="00C62EEE"/>
    <w:rsid w:val="00C70AA2"/>
    <w:rsid w:val="00CA7180"/>
    <w:rsid w:val="00CB724D"/>
    <w:rsid w:val="00CC6CB2"/>
    <w:rsid w:val="00CD358D"/>
    <w:rsid w:val="00CD3F0C"/>
    <w:rsid w:val="00CE7951"/>
    <w:rsid w:val="00CF2333"/>
    <w:rsid w:val="00CF3BD1"/>
    <w:rsid w:val="00D151A4"/>
    <w:rsid w:val="00D169B0"/>
    <w:rsid w:val="00D42709"/>
    <w:rsid w:val="00D53738"/>
    <w:rsid w:val="00D61315"/>
    <w:rsid w:val="00D62FC1"/>
    <w:rsid w:val="00D63109"/>
    <w:rsid w:val="00D73C76"/>
    <w:rsid w:val="00D74E8D"/>
    <w:rsid w:val="00D805D0"/>
    <w:rsid w:val="00D80E2E"/>
    <w:rsid w:val="00DD6199"/>
    <w:rsid w:val="00DF0DC7"/>
    <w:rsid w:val="00E05E4E"/>
    <w:rsid w:val="00E21181"/>
    <w:rsid w:val="00E24513"/>
    <w:rsid w:val="00E4503D"/>
    <w:rsid w:val="00E53029"/>
    <w:rsid w:val="00E64EFF"/>
    <w:rsid w:val="00E7119D"/>
    <w:rsid w:val="00EA57B1"/>
    <w:rsid w:val="00EB4D03"/>
    <w:rsid w:val="00EB541D"/>
    <w:rsid w:val="00EC2525"/>
    <w:rsid w:val="00EF27EB"/>
    <w:rsid w:val="00EF4179"/>
    <w:rsid w:val="00F2517E"/>
    <w:rsid w:val="00F30B69"/>
    <w:rsid w:val="00F35AB9"/>
    <w:rsid w:val="00F37663"/>
    <w:rsid w:val="00F508ED"/>
    <w:rsid w:val="00F6167B"/>
    <w:rsid w:val="00F62AA3"/>
    <w:rsid w:val="00F648F2"/>
    <w:rsid w:val="00F76E98"/>
    <w:rsid w:val="00F82BB7"/>
    <w:rsid w:val="00FB2148"/>
    <w:rsid w:val="00FB625B"/>
    <w:rsid w:val="00FC0FCA"/>
    <w:rsid w:val="00FD11E5"/>
    <w:rsid w:val="00FF484B"/>
    <w:rsid w:val="01A17701"/>
    <w:rsid w:val="02C86AD4"/>
    <w:rsid w:val="03674E9D"/>
    <w:rsid w:val="04496CE5"/>
    <w:rsid w:val="048C5A7D"/>
    <w:rsid w:val="048F09FF"/>
    <w:rsid w:val="053F286E"/>
    <w:rsid w:val="0744182E"/>
    <w:rsid w:val="079308E4"/>
    <w:rsid w:val="07FF6103"/>
    <w:rsid w:val="08D804EC"/>
    <w:rsid w:val="0A7E3D01"/>
    <w:rsid w:val="0ACC247F"/>
    <w:rsid w:val="0BAC4AD5"/>
    <w:rsid w:val="0BF220FC"/>
    <w:rsid w:val="0C4D60F9"/>
    <w:rsid w:val="0C65624C"/>
    <w:rsid w:val="0D384EE5"/>
    <w:rsid w:val="0D727341"/>
    <w:rsid w:val="0E9E405F"/>
    <w:rsid w:val="0EA86B14"/>
    <w:rsid w:val="0EFB589E"/>
    <w:rsid w:val="10EE69D3"/>
    <w:rsid w:val="11557310"/>
    <w:rsid w:val="11D21ACF"/>
    <w:rsid w:val="129A66C4"/>
    <w:rsid w:val="13824EF2"/>
    <w:rsid w:val="166B47EE"/>
    <w:rsid w:val="169D52AF"/>
    <w:rsid w:val="171D683B"/>
    <w:rsid w:val="17F15E61"/>
    <w:rsid w:val="186D6A92"/>
    <w:rsid w:val="18841587"/>
    <w:rsid w:val="18977820"/>
    <w:rsid w:val="1A5F3B11"/>
    <w:rsid w:val="1A6B7AB2"/>
    <w:rsid w:val="1A851591"/>
    <w:rsid w:val="1A8A5287"/>
    <w:rsid w:val="1B6968B1"/>
    <w:rsid w:val="1B812EE5"/>
    <w:rsid w:val="1D3F6AB3"/>
    <w:rsid w:val="1E34686A"/>
    <w:rsid w:val="211779D9"/>
    <w:rsid w:val="225D7C9C"/>
    <w:rsid w:val="22845155"/>
    <w:rsid w:val="22B21068"/>
    <w:rsid w:val="22FA3C47"/>
    <w:rsid w:val="252B6304"/>
    <w:rsid w:val="2566554E"/>
    <w:rsid w:val="26037B06"/>
    <w:rsid w:val="261E5FFC"/>
    <w:rsid w:val="274B7C38"/>
    <w:rsid w:val="27B02D56"/>
    <w:rsid w:val="282C215B"/>
    <w:rsid w:val="282C4CAD"/>
    <w:rsid w:val="2B6131C6"/>
    <w:rsid w:val="2BED31E6"/>
    <w:rsid w:val="2C204C97"/>
    <w:rsid w:val="2C263259"/>
    <w:rsid w:val="2CAD6F99"/>
    <w:rsid w:val="2D4102FC"/>
    <w:rsid w:val="2D6D5AC5"/>
    <w:rsid w:val="2E502ACC"/>
    <w:rsid w:val="2FB4027A"/>
    <w:rsid w:val="2FE60690"/>
    <w:rsid w:val="30336940"/>
    <w:rsid w:val="30EB6FF7"/>
    <w:rsid w:val="31681A4E"/>
    <w:rsid w:val="325518E0"/>
    <w:rsid w:val="34DE02F5"/>
    <w:rsid w:val="35651781"/>
    <w:rsid w:val="36751F82"/>
    <w:rsid w:val="3BCD0BE7"/>
    <w:rsid w:val="3D703260"/>
    <w:rsid w:val="3E4975DA"/>
    <w:rsid w:val="401119E8"/>
    <w:rsid w:val="43A21371"/>
    <w:rsid w:val="43D666A1"/>
    <w:rsid w:val="451444B6"/>
    <w:rsid w:val="45FF0CAE"/>
    <w:rsid w:val="46C25406"/>
    <w:rsid w:val="48606CBF"/>
    <w:rsid w:val="48812FE5"/>
    <w:rsid w:val="48EA0B42"/>
    <w:rsid w:val="4A411FED"/>
    <w:rsid w:val="4C493400"/>
    <w:rsid w:val="4CCB695F"/>
    <w:rsid w:val="4D8E4FD1"/>
    <w:rsid w:val="4E186742"/>
    <w:rsid w:val="4E1A0310"/>
    <w:rsid w:val="4F49457E"/>
    <w:rsid w:val="4FA25F36"/>
    <w:rsid w:val="50713214"/>
    <w:rsid w:val="50AA150F"/>
    <w:rsid w:val="51CB7070"/>
    <w:rsid w:val="52B45323"/>
    <w:rsid w:val="52E11581"/>
    <w:rsid w:val="53C04800"/>
    <w:rsid w:val="55ED0981"/>
    <w:rsid w:val="55F60743"/>
    <w:rsid w:val="56B648D3"/>
    <w:rsid w:val="56FC7EBC"/>
    <w:rsid w:val="58007F19"/>
    <w:rsid w:val="58A003D5"/>
    <w:rsid w:val="58EB2242"/>
    <w:rsid w:val="5A5563F8"/>
    <w:rsid w:val="5A9B551C"/>
    <w:rsid w:val="5C2365BA"/>
    <w:rsid w:val="5C3A1DE8"/>
    <w:rsid w:val="5C4F50FE"/>
    <w:rsid w:val="5D9871B8"/>
    <w:rsid w:val="5FB86C9E"/>
    <w:rsid w:val="5FE6397E"/>
    <w:rsid w:val="60A262E5"/>
    <w:rsid w:val="60BC5A56"/>
    <w:rsid w:val="623B38A4"/>
    <w:rsid w:val="638113B1"/>
    <w:rsid w:val="653E1650"/>
    <w:rsid w:val="66DA1423"/>
    <w:rsid w:val="678542C2"/>
    <w:rsid w:val="68DB3124"/>
    <w:rsid w:val="6A1B08FB"/>
    <w:rsid w:val="6C1A6988"/>
    <w:rsid w:val="6CCE571A"/>
    <w:rsid w:val="6D4073EB"/>
    <w:rsid w:val="6D4604F5"/>
    <w:rsid w:val="6DEC3AEE"/>
    <w:rsid w:val="6E4E03BB"/>
    <w:rsid w:val="6E534FEA"/>
    <w:rsid w:val="6E5E2965"/>
    <w:rsid w:val="6EEA362A"/>
    <w:rsid w:val="712A1F9E"/>
    <w:rsid w:val="723866EC"/>
    <w:rsid w:val="7239520C"/>
    <w:rsid w:val="742427AB"/>
    <w:rsid w:val="759D63FF"/>
    <w:rsid w:val="75C71798"/>
    <w:rsid w:val="77291E20"/>
    <w:rsid w:val="77D941F5"/>
    <w:rsid w:val="7CAA23BF"/>
    <w:rsid w:val="7D886542"/>
    <w:rsid w:val="7EE970FC"/>
    <w:rsid w:val="7EEF2325"/>
    <w:rsid w:val="7F834CEF"/>
    <w:rsid w:val="7FCE7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6"/>
    <w:qFormat/>
    <w:uiPriority w:val="0"/>
    <w:rPr>
      <w:rFonts w:ascii="宋体"/>
      <w:sz w:val="18"/>
      <w:szCs w:val="18"/>
    </w:rPr>
  </w:style>
  <w:style w:type="paragraph" w:styleId="3">
    <w:name w:val="Plain Text"/>
    <w:basedOn w:val="1"/>
    <w:qFormat/>
    <w:uiPriority w:val="0"/>
    <w:pPr>
      <w:spacing w:line="312" w:lineRule="exact"/>
      <w:ind w:firstLine="425"/>
    </w:pPr>
    <w:rPr>
      <w:rFonts w:ascii="宋体" w:cs="宋体"/>
      <w:sz w:val="28"/>
      <w:szCs w:val="28"/>
    </w:rPr>
  </w:style>
  <w:style w:type="paragraph" w:styleId="4">
    <w:name w:val="Balloon Text"/>
    <w:basedOn w:val="1"/>
    <w:link w:val="2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FollowedHyperlink"/>
    <w:basedOn w:val="10"/>
    <w:qFormat/>
    <w:uiPriority w:val="0"/>
    <w:rPr>
      <w:color w:val="800080"/>
      <w:u w:val="single"/>
    </w:rPr>
  </w:style>
  <w:style w:type="character" w:styleId="13">
    <w:name w:val="Emphasis"/>
    <w:basedOn w:val="10"/>
    <w:qFormat/>
    <w:uiPriority w:val="0"/>
    <w:rPr>
      <w:i/>
      <w:iCs/>
    </w:rPr>
  </w:style>
  <w:style w:type="character" w:styleId="14">
    <w:name w:val="Hyperlink"/>
    <w:basedOn w:val="10"/>
    <w:qFormat/>
    <w:uiPriority w:val="0"/>
    <w:rPr>
      <w:color w:val="0000FF"/>
      <w:u w:val="single"/>
    </w:rPr>
  </w:style>
  <w:style w:type="character" w:styleId="15">
    <w:name w:val="annotation reference"/>
    <w:basedOn w:val="10"/>
    <w:qFormat/>
    <w:uiPriority w:val="0"/>
    <w:rPr>
      <w:sz w:val="21"/>
      <w:szCs w:val="21"/>
    </w:rPr>
  </w:style>
  <w:style w:type="character" w:customStyle="1" w:styleId="16">
    <w:name w:val="普通文字 Char Char Char Char Char Char Char1"/>
    <w:basedOn w:val="10"/>
    <w:qFormat/>
    <w:uiPriority w:val="0"/>
    <w:rPr>
      <w:rFonts w:ascii="宋体" w:eastAsia="宋体"/>
      <w:kern w:val="2"/>
      <w:sz w:val="21"/>
      <w:lang w:val="en-US" w:eastAsia="zh-CN"/>
    </w:rPr>
  </w:style>
  <w:style w:type="character" w:customStyle="1" w:styleId="17">
    <w:name w:val="明显强调1"/>
    <w:basedOn w:val="10"/>
    <w:qFormat/>
    <w:uiPriority w:val="0"/>
    <w:rPr>
      <w:rFonts w:ascii="华文细黑" w:hAnsi="华文细黑" w:eastAsia="黑体"/>
      <w:bCs/>
      <w:iCs/>
      <w:color w:val="auto"/>
      <w:sz w:val="22"/>
    </w:rPr>
  </w:style>
  <w:style w:type="character" w:customStyle="1" w:styleId="18">
    <w:name w:val="p1481"/>
    <w:basedOn w:val="10"/>
    <w:qFormat/>
    <w:uiPriority w:val="0"/>
    <w:rPr>
      <w:rFonts w:ascii="Times New Roman" w:hAnsi="Times New Roman" w:cs="Times New Roman"/>
      <w:sz w:val="22"/>
      <w:szCs w:val="22"/>
    </w:rPr>
  </w:style>
  <w:style w:type="character" w:customStyle="1" w:styleId="19">
    <w:name w:val="纯文本 Char1"/>
    <w:basedOn w:val="10"/>
    <w:qFormat/>
    <w:uiPriority w:val="0"/>
    <w:rPr>
      <w:rFonts w:ascii="宋体" w:eastAsia="宋体"/>
      <w:kern w:val="2"/>
      <w:sz w:val="21"/>
      <w:lang w:val="en-US" w:eastAsia="zh-CN"/>
    </w:rPr>
  </w:style>
  <w:style w:type="character" w:customStyle="1" w:styleId="20">
    <w:name w:val="8-11"/>
    <w:basedOn w:val="10"/>
    <w:qFormat/>
    <w:uiPriority w:val="0"/>
    <w:rPr>
      <w:color w:val="000000"/>
      <w:sz w:val="27"/>
      <w:szCs w:val="27"/>
      <w:u w:val="none"/>
    </w:rPr>
  </w:style>
  <w:style w:type="character" w:customStyle="1" w:styleId="21">
    <w:name w:val="yqlink"/>
    <w:basedOn w:val="10"/>
    <w:qFormat/>
    <w:uiPriority w:val="0"/>
  </w:style>
  <w:style w:type="character" w:customStyle="1" w:styleId="22">
    <w:name w:val="biaoti1"/>
    <w:basedOn w:val="10"/>
    <w:qFormat/>
    <w:uiPriority w:val="0"/>
    <w:rPr>
      <w:b/>
      <w:bCs/>
      <w:color w:val="000000"/>
      <w:sz w:val="27"/>
      <w:szCs w:val="27"/>
    </w:rPr>
  </w:style>
  <w:style w:type="character" w:customStyle="1" w:styleId="23">
    <w:name w:val="mainnewsinfo1"/>
    <w:basedOn w:val="10"/>
    <w:qFormat/>
    <w:uiPriority w:val="0"/>
    <w:rPr>
      <w:rFonts w:ascii="ˎ̥" w:hAnsi="ˎ̥"/>
      <w:sz w:val="18"/>
      <w:szCs w:val="18"/>
      <w:shd w:val="clear" w:color="auto" w:fill="F7F7F7"/>
    </w:rPr>
  </w:style>
  <w:style w:type="character" w:customStyle="1" w:styleId="24">
    <w:name w:val="apple-style-span"/>
    <w:basedOn w:val="10"/>
    <w:qFormat/>
    <w:uiPriority w:val="0"/>
  </w:style>
  <w:style w:type="character" w:customStyle="1" w:styleId="25">
    <w:name w:val="批注框文本 Char"/>
    <w:basedOn w:val="10"/>
    <w:link w:val="4"/>
    <w:qFormat/>
    <w:uiPriority w:val="0"/>
    <w:rPr>
      <w:rFonts w:ascii="Calibri" w:hAnsi="Calibri" w:cs="Arial"/>
      <w:kern w:val="2"/>
      <w:sz w:val="18"/>
      <w:szCs w:val="18"/>
    </w:rPr>
  </w:style>
  <w:style w:type="character" w:customStyle="1" w:styleId="26">
    <w:name w:val="文档结构图 Char"/>
    <w:basedOn w:val="10"/>
    <w:link w:val="2"/>
    <w:qFormat/>
    <w:uiPriority w:val="0"/>
    <w:rPr>
      <w:rFonts w:ascii="宋体" w:hAnsi="Calibri" w:cs="Arial"/>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F6A0B-15AF-4C53-A207-A2382F120EE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7089</Words>
  <Characters>7643</Characters>
  <Lines>8</Lines>
  <Paragraphs>16</Paragraphs>
  <TotalTime>165</TotalTime>
  <ScaleCrop>false</ScaleCrop>
  <LinksUpToDate>false</LinksUpToDate>
  <CharactersWithSpaces>7860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2020-12-27T13:49:00Z</dcterms:created>
  <dc:creator>lenovo</dc:creator>
  <cp:lastModifiedBy>顾哒顾哒小邱</cp:lastModifiedBy>
  <cp:lastPrinted>2021-07-22T01:47:00Z</cp:lastPrinted>
  <dcterms:modified xsi:type="dcterms:W3CDTF">2022-09-21T02:58:52Z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9CB9B125556C43F8B2B18C0715D7F633</vt:lpwstr>
  </property>
</Properties>
</file>