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rPr>
      </w:pPr>
      <w:r>
        <w:drawing>
          <wp:inline distT="0" distB="0" distL="114300" distR="114300">
            <wp:extent cx="722630" cy="720090"/>
            <wp:effectExtent l="0" t="0" r="127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722630" cy="720090"/>
                    </a:xfrm>
                    <a:prstGeom prst="rect">
                      <a:avLst/>
                    </a:prstGeom>
                    <a:noFill/>
                    <a:ln>
                      <a:noFill/>
                    </a:ln>
                  </pic:spPr>
                </pic:pic>
              </a:graphicData>
            </a:graphic>
          </wp:inline>
        </w:drawing>
      </w: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jc w:val="center"/>
        <w:rPr>
          <w:rFonts w:hint="eastAsia" w:ascii="仿宋_GB2312" w:hAnsi="宋体" w:eastAsia="仿宋_GB2312"/>
          <w:sz w:val="44"/>
          <w:szCs w:val="44"/>
        </w:rPr>
      </w:pPr>
      <w:r>
        <w:rPr>
          <w:rFonts w:hint="eastAsia" w:ascii="仿宋_GB2312" w:hAnsi="宋体" w:eastAsia="仿宋_GB2312"/>
          <w:sz w:val="44"/>
          <w:szCs w:val="44"/>
        </w:rPr>
        <w:t>涉执房地产处置司法评估报告</w:t>
      </w: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spacing w:line="560" w:lineRule="exact"/>
        <w:ind w:left="2559" w:leftChars="152" w:hanging="2240" w:hangingChars="700"/>
        <w:rPr>
          <w:rFonts w:hint="eastAsia" w:ascii="仿宋_GB2312" w:hAnsi="宋体" w:eastAsia="仿宋_GB2312"/>
          <w:spacing w:val="-20"/>
          <w:sz w:val="32"/>
          <w:szCs w:val="32"/>
        </w:rPr>
      </w:pPr>
      <w:r>
        <w:rPr>
          <w:rFonts w:hint="eastAsia" w:ascii="仿宋_GB2312" w:hAnsi="宋体" w:eastAsia="仿宋_GB2312"/>
          <w:sz w:val="32"/>
          <w:szCs w:val="32"/>
        </w:rPr>
        <w:t>估价项目名称：</w:t>
      </w:r>
      <w:r>
        <w:rPr>
          <w:rFonts w:hint="eastAsia" w:ascii="仿宋_GB2312" w:hAnsi="宋体" w:eastAsia="仿宋_GB2312"/>
          <w:sz w:val="32"/>
          <w:szCs w:val="32"/>
          <w:lang w:val="en-US" w:eastAsia="zh-CN"/>
        </w:rPr>
        <w:t>九江市浔阳区（开发区）旭日路管委会宿舍11-401住宅</w:t>
      </w:r>
      <w:r>
        <w:rPr>
          <w:rFonts w:hint="eastAsia" w:ascii="仿宋_GB2312" w:hAnsi="宋体" w:eastAsia="仿宋_GB2312"/>
          <w:spacing w:val="-6"/>
          <w:sz w:val="32"/>
          <w:szCs w:val="32"/>
          <w:lang w:val="en-US" w:eastAsia="zh-CN"/>
        </w:rPr>
        <w:t>房地产</w:t>
      </w:r>
      <w:r>
        <w:rPr>
          <w:rFonts w:hint="eastAsia" w:ascii="仿宋_GB2312" w:hAnsi="宋体" w:eastAsia="仿宋_GB2312"/>
          <w:spacing w:val="-6"/>
          <w:sz w:val="32"/>
          <w:szCs w:val="32"/>
        </w:rPr>
        <w:t>市场</w:t>
      </w:r>
      <w:r>
        <w:rPr>
          <w:rFonts w:hint="eastAsia" w:ascii="仿宋_GB2312" w:hAnsi="宋体" w:eastAsia="仿宋_GB2312"/>
          <w:spacing w:val="-6"/>
          <w:sz w:val="32"/>
          <w:szCs w:val="32"/>
          <w:lang w:eastAsia="zh-CN"/>
        </w:rPr>
        <w:t>价格</w:t>
      </w:r>
      <w:r>
        <w:rPr>
          <w:rFonts w:hint="eastAsia" w:ascii="仿宋_GB2312" w:hAnsi="宋体" w:eastAsia="仿宋_GB2312"/>
          <w:spacing w:val="-6"/>
          <w:sz w:val="32"/>
          <w:szCs w:val="32"/>
        </w:rPr>
        <w:t>评估</w:t>
      </w:r>
    </w:p>
    <w:p>
      <w:pPr>
        <w:spacing w:line="560" w:lineRule="exact"/>
        <w:ind w:left="3007" w:leftChars="152" w:hanging="2688" w:hangingChars="700"/>
        <w:rPr>
          <w:rFonts w:hint="eastAsia" w:ascii="仿宋_GB2312" w:hAnsi="宋体" w:eastAsia="仿宋_GB2312"/>
          <w:sz w:val="32"/>
          <w:szCs w:val="32"/>
        </w:rPr>
      </w:pPr>
      <w:r>
        <w:rPr>
          <w:rFonts w:hint="eastAsia" w:ascii="仿宋_GB2312" w:hAnsi="宋体" w:eastAsia="仿宋_GB2312"/>
          <w:spacing w:val="32"/>
          <w:sz w:val="32"/>
          <w:szCs w:val="32"/>
        </w:rPr>
        <w:t>估价委托人：</w:t>
      </w:r>
      <w:r>
        <w:rPr>
          <w:rFonts w:hint="eastAsia" w:ascii="仿宋_GB2312" w:hAnsi="宋体" w:eastAsia="仿宋_GB2312"/>
          <w:sz w:val="32"/>
          <w:szCs w:val="32"/>
          <w:lang w:eastAsia="zh-CN"/>
        </w:rPr>
        <w:t>九江市濂溪区人民法院</w:t>
      </w:r>
    </w:p>
    <w:p>
      <w:pPr>
        <w:spacing w:line="560" w:lineRule="exact"/>
        <w:ind w:firstLine="320" w:firstLineChars="100"/>
        <w:rPr>
          <w:rFonts w:hint="eastAsia" w:ascii="仿宋_GB2312" w:hAnsi="宋体" w:eastAsia="仿宋_GB2312"/>
          <w:sz w:val="32"/>
          <w:szCs w:val="32"/>
          <w:lang w:val="en-US"/>
        </w:rPr>
      </w:pPr>
      <w:r>
        <w:rPr>
          <w:rFonts w:hint="eastAsia" w:ascii="仿宋_GB2312" w:hAnsi="宋体" w:eastAsia="仿宋_GB2312"/>
          <w:sz w:val="32"/>
          <w:szCs w:val="32"/>
        </w:rPr>
        <w:t>产   权   人 ：</w:t>
      </w:r>
      <w:r>
        <w:rPr>
          <w:rFonts w:hint="eastAsia" w:ascii="仿宋_GB2312" w:hAnsi="宋体" w:eastAsia="仿宋_GB2312"/>
          <w:sz w:val="32"/>
          <w:szCs w:val="32"/>
          <w:lang w:eastAsia="zh-CN"/>
        </w:rPr>
        <w:t>刘均太</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   价   方：</w:t>
      </w:r>
      <w:r>
        <w:rPr>
          <w:rFonts w:hint="eastAsia" w:ascii="仿宋_GB2312" w:hAnsi="宋体" w:eastAsia="仿宋_GB2312"/>
          <w:sz w:val="32"/>
          <w:szCs w:val="32"/>
          <w:lang w:eastAsia="zh-CN"/>
        </w:rPr>
        <w:t>江西新源洪城房地产土地资产评估有限公司</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  价 人 员：</w:t>
      </w:r>
      <w:r>
        <w:rPr>
          <w:rFonts w:hint="eastAsia" w:ascii="仿宋_GB2312" w:hAnsi="宋体" w:eastAsia="仿宋_GB2312"/>
          <w:sz w:val="32"/>
          <w:szCs w:val="32"/>
          <w:lang w:eastAsia="zh-CN"/>
        </w:rPr>
        <w:t>万  群</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3620130004</w:t>
      </w:r>
    </w:p>
    <w:p>
      <w:pPr>
        <w:spacing w:line="560" w:lineRule="exact"/>
        <w:ind w:firstLine="2560" w:firstLineChars="800"/>
        <w:rPr>
          <w:rFonts w:hint="eastAsia" w:ascii="仿宋_GB2312" w:hAnsi="宋体" w:eastAsia="仿宋_GB2312"/>
          <w:sz w:val="32"/>
          <w:szCs w:val="32"/>
        </w:rPr>
      </w:pPr>
      <w:r>
        <w:rPr>
          <w:rFonts w:hint="eastAsia" w:ascii="仿宋_GB2312" w:hAnsi="宋体" w:eastAsia="仿宋_GB2312"/>
          <w:sz w:val="32"/>
          <w:szCs w:val="32"/>
          <w:lang w:eastAsia="zh-CN"/>
        </w:rPr>
        <w:t>万  鹃</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3620170036</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估价报告出具日期：</w:t>
      </w:r>
      <w:r>
        <w:rPr>
          <w:rFonts w:hint="eastAsia" w:ascii="仿宋_GB2312" w:hAnsi="宋体" w:eastAsia="仿宋_GB2312"/>
          <w:sz w:val="32"/>
          <w:szCs w:val="32"/>
          <w:lang w:eastAsia="zh-CN"/>
        </w:rPr>
        <w:t>2022年7月25日</w:t>
      </w:r>
    </w:p>
    <w:p>
      <w:pPr>
        <w:tabs>
          <w:tab w:val="left" w:pos="315"/>
        </w:tabs>
        <w:spacing w:line="560" w:lineRule="exact"/>
        <w:ind w:firstLine="320" w:firstLineChars="100"/>
        <w:rPr>
          <w:rFonts w:hint="eastAsia" w:ascii="仿宋_GB2312" w:hAnsi="宋体" w:eastAsia="仿宋_GB2312"/>
          <w:color w:val="000000"/>
          <w:sz w:val="32"/>
          <w:szCs w:val="32"/>
        </w:rPr>
      </w:pPr>
      <w:r>
        <w:rPr>
          <w:rFonts w:hint="eastAsia" w:ascii="仿宋_GB2312" w:hAnsi="宋体" w:eastAsia="仿宋_GB2312"/>
          <w:color w:val="000000"/>
          <w:sz w:val="32"/>
          <w:szCs w:val="32"/>
        </w:rPr>
        <w:t>估价报告编号：新洪房估字[202</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]第</w:t>
      </w:r>
      <w:r>
        <w:rPr>
          <w:rFonts w:hint="eastAsia" w:ascii="仿宋_GB2312" w:hAnsi="宋体" w:eastAsia="仿宋_GB2312"/>
          <w:color w:val="000000"/>
          <w:sz w:val="32"/>
          <w:szCs w:val="32"/>
          <w:lang w:val="en-US" w:eastAsia="zh-CN"/>
        </w:rPr>
        <w:t>299</w:t>
      </w:r>
      <w:r>
        <w:rPr>
          <w:rFonts w:hint="eastAsia" w:ascii="仿宋_GB2312" w:hAnsi="宋体" w:eastAsia="仿宋_GB2312"/>
          <w:color w:val="000000"/>
          <w:sz w:val="32"/>
          <w:szCs w:val="32"/>
        </w:rPr>
        <w:t>号</w:t>
      </w:r>
    </w:p>
    <w:p>
      <w:pPr>
        <w:spacing w:line="300" w:lineRule="exact"/>
        <w:jc w:val="center"/>
        <w:rPr>
          <w:rFonts w:hint="eastAsia" w:ascii="仿宋_GB2312" w:hAnsi="宋体" w:eastAsia="仿宋_GB2312"/>
          <w:b/>
          <w:sz w:val="32"/>
          <w:szCs w:val="32"/>
        </w:rPr>
      </w:pPr>
    </w:p>
    <w:p>
      <w:pPr>
        <w:spacing w:line="520" w:lineRule="exact"/>
        <w:jc w:val="center"/>
        <w:rPr>
          <w:rFonts w:hint="eastAsia" w:ascii="仿宋_GB2312" w:hAnsi="宋体" w:eastAsia="仿宋_GB2312"/>
          <w:b/>
          <w:sz w:val="32"/>
          <w:szCs w:val="32"/>
        </w:rPr>
      </w:pPr>
      <w:r>
        <w:rPr>
          <w:rFonts w:hint="eastAsia" w:ascii="仿宋_GB2312" w:hAnsi="宋体" w:eastAsia="仿宋_GB2312"/>
          <w:b/>
          <w:sz w:val="32"/>
          <w:szCs w:val="32"/>
        </w:rPr>
        <w:t>致估价委托人函</w:t>
      </w:r>
    </w:p>
    <w:p>
      <w:pPr>
        <w:spacing w:line="520" w:lineRule="exact"/>
        <w:rPr>
          <w:rFonts w:hint="eastAsia" w:ascii="仿宋_GB2312" w:hAnsi="仿宋_GB2312" w:eastAsia="仿宋_GB2312"/>
          <w:b/>
          <w:sz w:val="28"/>
          <w:szCs w:val="28"/>
        </w:rPr>
      </w:pPr>
      <w:r>
        <w:rPr>
          <w:rFonts w:hint="eastAsia" w:ascii="仿宋_GB2312" w:hAnsi="仿宋_GB2312" w:eastAsia="仿宋_GB2312"/>
          <w:b/>
          <w:sz w:val="28"/>
          <w:szCs w:val="28"/>
          <w:lang w:eastAsia="zh-CN"/>
        </w:rPr>
        <w:t>九江市濂溪区人民法院</w:t>
      </w:r>
      <w:r>
        <w:rPr>
          <w:rFonts w:hint="eastAsia" w:ascii="仿宋_GB2312" w:hAnsi="仿宋_GB2312" w:eastAsia="仿宋_GB2312"/>
          <w:b/>
          <w:sz w:val="28"/>
          <w:szCs w:val="28"/>
        </w:rPr>
        <w:t>：</w:t>
      </w:r>
    </w:p>
    <w:p>
      <w:pPr>
        <w:spacing w:line="520" w:lineRule="exact"/>
        <w:ind w:left="2" w:leftChars="1"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应贵院的书面委托[</w:t>
      </w:r>
      <w:r>
        <w:rPr>
          <w:rFonts w:hint="eastAsia" w:ascii="仿宋_GB2312" w:hAnsi="宋体" w:eastAsia="仿宋_GB2312"/>
          <w:sz w:val="28"/>
          <w:szCs w:val="28"/>
          <w:lang w:val="en-US" w:eastAsia="zh-CN"/>
        </w:rPr>
        <w:t>案</w:t>
      </w:r>
      <w:r>
        <w:rPr>
          <w:rFonts w:hint="eastAsia" w:ascii="仿宋_GB2312" w:hAnsi="宋体" w:eastAsia="仿宋_GB2312"/>
          <w:sz w:val="28"/>
          <w:szCs w:val="28"/>
        </w:rPr>
        <w:t>号：（202</w:t>
      </w:r>
      <w:r>
        <w:rPr>
          <w:rFonts w:hint="eastAsia" w:ascii="仿宋_GB2312" w:hAnsi="宋体" w:eastAsia="仿宋_GB2312"/>
          <w:sz w:val="28"/>
          <w:szCs w:val="28"/>
          <w:lang w:val="en-US" w:eastAsia="zh-CN"/>
        </w:rPr>
        <w:t>2</w:t>
      </w:r>
      <w:r>
        <w:rPr>
          <w:rFonts w:hint="eastAsia" w:ascii="仿宋_GB2312" w:hAnsi="宋体" w:eastAsia="仿宋_GB2312"/>
          <w:sz w:val="28"/>
          <w:szCs w:val="28"/>
        </w:rPr>
        <w:t>）赣0</w:t>
      </w:r>
      <w:r>
        <w:rPr>
          <w:rFonts w:hint="eastAsia" w:ascii="仿宋_GB2312" w:hAnsi="宋体" w:eastAsia="仿宋_GB2312"/>
          <w:sz w:val="28"/>
          <w:szCs w:val="28"/>
          <w:lang w:val="en-US" w:eastAsia="zh-CN"/>
        </w:rPr>
        <w:t>402</w:t>
      </w:r>
      <w:r>
        <w:rPr>
          <w:rFonts w:hint="eastAsia" w:ascii="仿宋_GB2312" w:hAnsi="宋体" w:eastAsia="仿宋_GB2312"/>
          <w:sz w:val="28"/>
          <w:szCs w:val="28"/>
        </w:rPr>
        <w:t>执</w:t>
      </w:r>
      <w:r>
        <w:rPr>
          <w:rFonts w:hint="eastAsia" w:ascii="仿宋_GB2312" w:hAnsi="宋体" w:eastAsia="仿宋_GB2312"/>
          <w:sz w:val="28"/>
          <w:szCs w:val="28"/>
          <w:lang w:val="en-US" w:eastAsia="zh-CN"/>
        </w:rPr>
        <w:t>恢190</w:t>
      </w:r>
      <w:r>
        <w:rPr>
          <w:rFonts w:hint="eastAsia" w:ascii="仿宋_GB2312" w:hAnsi="宋体" w:eastAsia="仿宋_GB2312"/>
          <w:sz w:val="28"/>
          <w:szCs w:val="28"/>
        </w:rPr>
        <w:t>号]，我公司派遣房地产专业估价人员，就贵院受理申请执行人</w:t>
      </w:r>
      <w:r>
        <w:rPr>
          <w:rFonts w:hint="eastAsia" w:ascii="仿宋_GB2312" w:hAnsi="宋体" w:eastAsia="仿宋_GB2312"/>
          <w:sz w:val="28"/>
          <w:szCs w:val="28"/>
          <w:lang w:val="en-US" w:eastAsia="zh-CN"/>
        </w:rPr>
        <w:t>程雄文</w:t>
      </w:r>
      <w:r>
        <w:rPr>
          <w:rFonts w:hint="eastAsia" w:ascii="仿宋_GB2312" w:hAnsi="宋体" w:eastAsia="仿宋_GB2312"/>
          <w:sz w:val="28"/>
          <w:szCs w:val="28"/>
        </w:rPr>
        <w:t>与被执行人</w:t>
      </w:r>
      <w:r>
        <w:rPr>
          <w:rFonts w:hint="eastAsia" w:ascii="仿宋_GB2312" w:hAnsi="宋体" w:eastAsia="仿宋_GB2312"/>
          <w:sz w:val="28"/>
          <w:szCs w:val="28"/>
          <w:lang w:val="en-US" w:eastAsia="zh-CN"/>
        </w:rPr>
        <w:t>九江经济技术开发区九方电器设备中心、刘均太买卖合同</w:t>
      </w:r>
      <w:r>
        <w:rPr>
          <w:rFonts w:hint="eastAsia" w:ascii="仿宋_GB2312" w:hAnsi="宋体" w:eastAsia="仿宋_GB2312"/>
          <w:sz w:val="28"/>
          <w:szCs w:val="28"/>
        </w:rPr>
        <w:t>纠纷一案中所涉及的</w:t>
      </w:r>
      <w:r>
        <w:rPr>
          <w:rFonts w:hint="eastAsia" w:ascii="仿宋_GB2312" w:hAnsi="宋体" w:eastAsia="仿宋_GB2312"/>
          <w:sz w:val="28"/>
          <w:szCs w:val="28"/>
          <w:lang w:val="en-US" w:eastAsia="zh-CN"/>
        </w:rPr>
        <w:t>被执行人刘均太</w:t>
      </w:r>
      <w:r>
        <w:rPr>
          <w:rFonts w:hint="eastAsia" w:ascii="仿宋_GB2312" w:hAnsi="宋体" w:eastAsia="仿宋_GB2312"/>
          <w:sz w:val="28"/>
          <w:szCs w:val="28"/>
        </w:rPr>
        <w:t>名下的位于</w:t>
      </w:r>
      <w:r>
        <w:rPr>
          <w:rFonts w:hint="eastAsia" w:ascii="仿宋_GB2312" w:hAnsi="宋体" w:eastAsia="仿宋_GB2312"/>
          <w:sz w:val="28"/>
          <w:szCs w:val="28"/>
          <w:lang w:val="en-US" w:eastAsia="zh-CN"/>
        </w:rPr>
        <w:t>九江市浔阳区（开发区）旭日路管委会宿舍11-401住宅</w:t>
      </w:r>
      <w:r>
        <w:rPr>
          <w:rFonts w:hint="eastAsia" w:ascii="仿宋_GB2312" w:hAnsi="宋体" w:eastAsia="仿宋_GB2312"/>
          <w:sz w:val="28"/>
          <w:szCs w:val="28"/>
        </w:rPr>
        <w:t>房地产的市场</w:t>
      </w:r>
      <w:r>
        <w:rPr>
          <w:rFonts w:hint="eastAsia" w:ascii="仿宋_GB2312" w:hAnsi="宋体" w:eastAsia="仿宋_GB2312"/>
          <w:sz w:val="28"/>
          <w:szCs w:val="28"/>
          <w:lang w:eastAsia="zh-CN"/>
        </w:rPr>
        <w:t>价格</w:t>
      </w:r>
      <w:r>
        <w:rPr>
          <w:rFonts w:hint="eastAsia" w:ascii="仿宋_GB2312" w:hAnsi="宋体" w:eastAsia="仿宋_GB2312"/>
          <w:sz w:val="28"/>
          <w:szCs w:val="28"/>
        </w:rPr>
        <w:t>进行评估</w:t>
      </w:r>
      <w:r>
        <w:rPr>
          <w:rFonts w:hint="eastAsia" w:ascii="仿宋_GB2312" w:hAnsi="宋体" w:eastAsia="仿宋_GB2312"/>
          <w:sz w:val="28"/>
          <w:szCs w:val="28"/>
          <w:lang w:eastAsia="zh-CN"/>
        </w:rPr>
        <w:t>，为贵院确定财产处置参考价提供参考依据</w:t>
      </w:r>
      <w:r>
        <w:rPr>
          <w:rFonts w:hint="eastAsia" w:ascii="仿宋_GB2312" w:hAnsi="宋体" w:eastAsia="仿宋_GB2312"/>
          <w:sz w:val="28"/>
          <w:szCs w:val="28"/>
        </w:rPr>
        <w:t>。</w:t>
      </w:r>
    </w:p>
    <w:p>
      <w:pPr>
        <w:spacing w:line="520" w:lineRule="exact"/>
        <w:ind w:left="2" w:leftChars="1"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由实地查看取得的及估价委托人提供的资料，结合平时估价实践中积累的资料、经验，我公司房地产专业估价人员根据估价目的，遵循估价原则，按照估价程序，选用</w:t>
      </w:r>
      <w:r>
        <w:rPr>
          <w:rFonts w:hint="eastAsia" w:ascii="仿宋_GB2312" w:hAnsi="宋体" w:eastAsia="仿宋_GB2312"/>
          <w:sz w:val="28"/>
          <w:szCs w:val="28"/>
          <w:lang w:val="en-US" w:eastAsia="zh-CN"/>
        </w:rPr>
        <w:t>比较</w:t>
      </w:r>
      <w:r>
        <w:rPr>
          <w:rFonts w:hint="eastAsia" w:ascii="仿宋_GB2312" w:hAnsi="宋体" w:eastAsia="仿宋_GB2312"/>
          <w:sz w:val="28"/>
          <w:szCs w:val="28"/>
        </w:rPr>
        <w:t>法，并在综合分析影响估价对象房地产价值因素的基础上，对估价对象在</w:t>
      </w:r>
      <w:r>
        <w:rPr>
          <w:rFonts w:hint="eastAsia" w:ascii="仿宋_GB2312" w:hAnsi="宋体" w:eastAsia="仿宋_GB2312"/>
          <w:sz w:val="28"/>
          <w:szCs w:val="28"/>
          <w:lang w:eastAsia="zh-CN"/>
        </w:rPr>
        <w:t>2022年7月22日</w:t>
      </w:r>
      <w:r>
        <w:rPr>
          <w:rFonts w:hint="eastAsia" w:ascii="仿宋_GB2312" w:hAnsi="宋体" w:eastAsia="仿宋_GB2312"/>
          <w:sz w:val="28"/>
          <w:szCs w:val="28"/>
        </w:rPr>
        <w:t>的客观合理价值进行估算和判定，得出估价结果——估价对象评估价值</w:t>
      </w:r>
      <w:r>
        <w:rPr>
          <w:rFonts w:hint="eastAsia" w:ascii="仿宋_GB2312" w:hAnsi="宋体" w:eastAsia="仿宋_GB2312"/>
          <w:sz w:val="28"/>
          <w:szCs w:val="28"/>
          <w:lang w:eastAsia="zh-CN"/>
        </w:rPr>
        <w:t>为</w:t>
      </w:r>
      <w:r>
        <w:rPr>
          <w:rFonts w:hint="eastAsia" w:ascii="仿宋_GB2312" w:hAnsi="宋体" w:eastAsia="仿宋_GB2312"/>
          <w:sz w:val="28"/>
          <w:szCs w:val="28"/>
        </w:rPr>
        <w:t>大写人民币</w:t>
      </w:r>
      <w:r>
        <w:rPr>
          <w:rFonts w:hint="eastAsia" w:ascii="仿宋_GB2312" w:hAnsi="宋体" w:eastAsia="仿宋_GB2312"/>
          <w:b/>
          <w:bCs/>
          <w:sz w:val="28"/>
          <w:szCs w:val="28"/>
        </w:rPr>
        <w:fldChar w:fldCharType="begin"/>
      </w:r>
      <w:r>
        <w:rPr>
          <w:rFonts w:hint="eastAsia" w:ascii="仿宋_GB2312" w:hAnsi="宋体" w:eastAsia="仿宋_GB2312"/>
          <w:b/>
          <w:bCs/>
          <w:sz w:val="28"/>
          <w:szCs w:val="28"/>
        </w:rPr>
        <w:instrText xml:space="preserve"> = 2888800 \* CHINESENUM2 \* MERGEFORMAT </w:instrText>
      </w:r>
      <w:r>
        <w:rPr>
          <w:rFonts w:hint="eastAsia" w:ascii="仿宋_GB2312" w:hAnsi="宋体" w:eastAsia="仿宋_GB2312"/>
          <w:b/>
          <w:bCs/>
          <w:sz w:val="28"/>
          <w:szCs w:val="28"/>
        </w:rPr>
        <w:fldChar w:fldCharType="separate"/>
      </w:r>
      <w:r>
        <w:rPr>
          <w:rFonts w:hint="eastAsia" w:ascii="仿宋_GB2312" w:hAnsi="宋体" w:eastAsia="仿宋_GB2312"/>
          <w:b/>
          <w:bCs/>
          <w:sz w:val="28"/>
          <w:szCs w:val="28"/>
          <w:lang w:eastAsia="zh-CN"/>
        </w:rPr>
        <w:t>叁拾伍万玖仟捌佰</w:t>
      </w:r>
      <w:r>
        <w:rPr>
          <w:rFonts w:hint="eastAsia" w:ascii="仿宋_GB2312" w:hAnsi="宋体" w:eastAsia="仿宋_GB2312"/>
          <w:b/>
          <w:bCs/>
          <w:sz w:val="28"/>
          <w:szCs w:val="28"/>
        </w:rPr>
        <w:fldChar w:fldCharType="end"/>
      </w:r>
      <w:r>
        <w:rPr>
          <w:rFonts w:hint="eastAsia" w:ascii="仿宋_GB2312" w:hAnsi="宋体" w:eastAsia="仿宋_GB2312"/>
          <w:sz w:val="28"/>
          <w:szCs w:val="28"/>
        </w:rPr>
        <w:t>元整</w:t>
      </w:r>
      <w:r>
        <w:rPr>
          <w:rFonts w:hint="eastAsia" w:ascii="仿宋_GB2312" w:hAnsi="宋体" w:eastAsia="仿宋_GB2312"/>
          <w:b/>
          <w:sz w:val="28"/>
          <w:szCs w:val="28"/>
        </w:rPr>
        <w:t>（¥</w:t>
      </w:r>
      <w:r>
        <w:rPr>
          <w:rFonts w:hint="eastAsia" w:ascii="仿宋_GB2312" w:hAnsi="宋体" w:eastAsia="仿宋_GB2312"/>
          <w:b/>
          <w:sz w:val="28"/>
          <w:szCs w:val="28"/>
          <w:lang w:eastAsia="zh-CN"/>
        </w:rPr>
        <w:t>35.98万</w:t>
      </w:r>
      <w:r>
        <w:rPr>
          <w:rFonts w:hint="eastAsia" w:ascii="仿宋_GB2312" w:hAnsi="宋体" w:eastAsia="仿宋_GB2312"/>
          <w:b/>
          <w:sz w:val="28"/>
          <w:szCs w:val="28"/>
        </w:rPr>
        <w:t>元）</w:t>
      </w:r>
      <w:r>
        <w:rPr>
          <w:rFonts w:hint="eastAsia" w:ascii="仿宋_GB2312" w:hAnsi="宋体" w:eastAsia="仿宋_GB2312"/>
          <w:sz w:val="28"/>
          <w:szCs w:val="28"/>
        </w:rPr>
        <w:t>。</w:t>
      </w:r>
    </w:p>
    <w:p>
      <w:pPr>
        <w:widowControl/>
        <w:spacing w:line="52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（详见P3《估价结果一览表》）</w:t>
      </w:r>
      <w:r>
        <w:rPr>
          <w:rFonts w:hint="eastAsia" w:ascii="仿宋_GB2312" w:hAnsi="宋体" w:eastAsia="仿宋_GB2312"/>
          <w:sz w:val="28"/>
          <w:szCs w:val="28"/>
          <w:lang w:eastAsia="zh-CN"/>
        </w:rPr>
        <w:t>。</w:t>
      </w:r>
    </w:p>
    <w:p>
      <w:pPr>
        <w:spacing w:line="520" w:lineRule="exact"/>
        <w:ind w:firstLine="556"/>
        <w:jc w:val="left"/>
        <w:rPr>
          <w:rFonts w:hint="eastAsia" w:ascii="仿宋_GB2312" w:hAnsi="宋体" w:eastAsia="仿宋_GB2312"/>
          <w:sz w:val="28"/>
          <w:szCs w:val="28"/>
          <w:lang w:val="en-US" w:eastAsia="zh-CN"/>
        </w:rPr>
      </w:pPr>
      <w:r>
        <w:rPr>
          <w:rFonts w:hint="eastAsia" w:ascii="仿宋_GB2312" w:hAnsi="宋体" w:eastAsia="仿宋_GB2312"/>
          <w:sz w:val="28"/>
          <w:szCs w:val="28"/>
        </w:rPr>
        <w:t>估价的有关情况和相关专业意见，请见附后的估价报告。本估价报告使用期限至20</w:t>
      </w:r>
      <w:r>
        <w:rPr>
          <w:rFonts w:hint="eastAsia" w:ascii="仿宋_GB2312" w:hAnsi="宋体" w:eastAsia="仿宋_GB2312"/>
          <w:sz w:val="28"/>
          <w:szCs w:val="28"/>
          <w:lang w:val="en-US" w:eastAsia="zh-CN"/>
        </w:rPr>
        <w:t>23</w:t>
      </w:r>
      <w:r>
        <w:rPr>
          <w:rFonts w:hint="eastAsia" w:ascii="仿宋_GB2312" w:hAnsi="宋体" w:eastAsia="仿宋_GB2312"/>
          <w:sz w:val="28"/>
          <w:szCs w:val="28"/>
        </w:rPr>
        <w:t>年</w:t>
      </w:r>
      <w:r>
        <w:rPr>
          <w:rFonts w:hint="eastAsia" w:ascii="仿宋_GB2312" w:hAnsi="宋体" w:eastAsia="仿宋_GB2312"/>
          <w:sz w:val="28"/>
          <w:szCs w:val="28"/>
          <w:lang w:val="en-US" w:eastAsia="zh-CN"/>
        </w:rPr>
        <w:t>7</w:t>
      </w:r>
      <w:r>
        <w:rPr>
          <w:rFonts w:hint="eastAsia" w:ascii="仿宋_GB2312" w:hAnsi="宋体" w:eastAsia="仿宋_GB2312"/>
          <w:sz w:val="28"/>
          <w:szCs w:val="28"/>
        </w:rPr>
        <w:t>月</w:t>
      </w:r>
      <w:r>
        <w:rPr>
          <w:rFonts w:hint="eastAsia" w:ascii="仿宋_GB2312" w:hAnsi="宋体" w:eastAsia="仿宋_GB2312"/>
          <w:sz w:val="28"/>
          <w:szCs w:val="28"/>
          <w:lang w:val="en-US" w:eastAsia="zh-CN"/>
        </w:rPr>
        <w:t>24</w:t>
      </w:r>
      <w:r>
        <w:rPr>
          <w:rFonts w:hint="eastAsia" w:ascii="仿宋_GB2312" w:hAnsi="宋体" w:eastAsia="仿宋_GB2312"/>
          <w:sz w:val="28"/>
          <w:szCs w:val="28"/>
        </w:rPr>
        <w:t>日止。另请关注本估价报告中的价值内涵和估价的假设及限制条件。</w:t>
      </w:r>
    </w:p>
    <w:p>
      <w:pPr>
        <w:spacing w:line="520" w:lineRule="exact"/>
        <w:ind w:firstLine="555"/>
        <w:jc w:val="left"/>
        <w:rPr>
          <w:rFonts w:hint="eastAsia" w:ascii="仿宋_GB2312" w:hAnsi="宋体" w:eastAsia="仿宋_GB2312"/>
          <w:sz w:val="28"/>
          <w:szCs w:val="28"/>
          <w:shd w:val="clear" w:color="FFFFFF" w:fill="D9D9D9"/>
          <w:lang w:val="en-US" w:eastAsia="zh-CN"/>
        </w:rPr>
      </w:pPr>
      <w:r>
        <w:rPr>
          <w:rFonts w:hint="eastAsia" w:ascii="仿宋_GB2312" w:hAnsi="宋体" w:eastAsia="仿宋_GB2312"/>
          <w:sz w:val="28"/>
          <w:szCs w:val="28"/>
        </w:rPr>
        <w:t>此致！</w:t>
      </w:r>
    </w:p>
    <w:p>
      <w:pPr>
        <w:spacing w:line="520" w:lineRule="exact"/>
        <w:ind w:firstLine="560"/>
        <w:jc w:val="left"/>
        <w:rPr>
          <w:rFonts w:hint="eastAsia" w:ascii="仿宋_GB2312" w:hAnsi="宋体" w:eastAsia="仿宋_GB2312"/>
          <w:sz w:val="28"/>
          <w:szCs w:val="28"/>
        </w:rPr>
      </w:pPr>
      <w:r>
        <w:rPr>
          <w:rFonts w:hint="eastAsia" w:ascii="仿宋_GB2312" w:hAnsi="宋体" w:eastAsia="仿宋_GB2312"/>
          <w:sz w:val="28"/>
          <w:szCs w:val="28"/>
        </w:rPr>
        <w:t>估价机构法定代表人签章：</w:t>
      </w:r>
    </w:p>
    <w:p>
      <w:pPr>
        <w:spacing w:line="520" w:lineRule="exact"/>
        <w:ind w:firstLine="560"/>
        <w:jc w:val="left"/>
        <w:rPr>
          <w:rFonts w:hint="eastAsia" w:ascii="仿宋_GB2312" w:hAnsi="宋体" w:eastAsia="仿宋_GB2312"/>
          <w:sz w:val="28"/>
          <w:szCs w:val="28"/>
        </w:rPr>
      </w:pPr>
    </w:p>
    <w:p>
      <w:pPr>
        <w:spacing w:line="520" w:lineRule="exact"/>
        <w:jc w:val="right"/>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eastAsia="zh-CN"/>
        </w:rPr>
        <w:t>江西新源洪城房地产土地资产评估有限公司</w:t>
      </w:r>
      <w:r>
        <w:rPr>
          <w:rFonts w:hint="eastAsia" w:ascii="仿宋_GB2312" w:hAnsi="宋体" w:eastAsia="仿宋_GB2312"/>
          <w:sz w:val="28"/>
          <w:szCs w:val="28"/>
        </w:rPr>
        <w:t xml:space="preserve">                          （机构公章）</w:t>
      </w:r>
    </w:p>
    <w:p>
      <w:pPr>
        <w:spacing w:line="520" w:lineRule="exact"/>
        <w:jc w:val="right"/>
        <w:rPr>
          <w:rFonts w:hint="eastAsia" w:ascii="仿宋_GB2312" w:hAnsi="宋体" w:eastAsia="仿宋_GB2312"/>
          <w:sz w:val="28"/>
          <w:szCs w:val="28"/>
          <w:lang w:eastAsia="zh-CN"/>
        </w:rPr>
      </w:pPr>
      <w:r>
        <w:rPr>
          <w:rFonts w:hint="eastAsia" w:ascii="仿宋_GB2312" w:hAnsi="宋体" w:eastAsia="仿宋_GB2312"/>
          <w:sz w:val="28"/>
          <w:szCs w:val="28"/>
          <w:lang w:eastAsia="zh-CN"/>
        </w:rPr>
        <w:t>2022年7月25日</w:t>
      </w:r>
    </w:p>
    <w:p>
      <w:pPr>
        <w:spacing w:line="480" w:lineRule="exact"/>
        <w:jc w:val="right"/>
        <w:rPr>
          <w:rFonts w:hint="eastAsia" w:ascii="仿宋_GB2312" w:hAnsi="宋体" w:eastAsia="仿宋_GB2312"/>
          <w:sz w:val="28"/>
          <w:szCs w:val="28"/>
          <w:lang w:eastAsia="zh-CN"/>
        </w:rPr>
      </w:pPr>
    </w:p>
    <w:p>
      <w:pPr>
        <w:spacing w:line="520" w:lineRule="exact"/>
        <w:ind w:firstLine="555"/>
        <w:jc w:val="center"/>
        <w:rPr>
          <w:rFonts w:hint="eastAsia" w:ascii="仿宋_GB2312" w:hAnsi="宋体" w:eastAsia="仿宋_GB2312"/>
          <w:sz w:val="28"/>
          <w:szCs w:val="28"/>
          <w:lang w:eastAsia="zh-CN"/>
        </w:rPr>
      </w:pPr>
      <w:r>
        <w:rPr>
          <w:rFonts w:hint="eastAsia" w:ascii="仿宋_GB2312" w:hAnsi="宋体" w:eastAsia="仿宋_GB2312"/>
          <w:b/>
          <w:sz w:val="28"/>
          <w:szCs w:val="28"/>
        </w:rPr>
        <w:t>估价结果一览表</w:t>
      </w:r>
    </w:p>
    <w:tbl>
      <w:tblPr>
        <w:tblStyle w:val="25"/>
        <w:tblW w:w="9331"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765"/>
        <w:gridCol w:w="905"/>
        <w:gridCol w:w="1322"/>
        <w:gridCol w:w="773"/>
        <w:gridCol w:w="588"/>
        <w:gridCol w:w="722"/>
        <w:gridCol w:w="925"/>
        <w:gridCol w:w="1188"/>
        <w:gridCol w:w="1143"/>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2" w:hRule="atLeast"/>
          <w:jc w:val="center"/>
        </w:trPr>
        <w:tc>
          <w:tcPr>
            <w:tcW w:w="176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不动产权证书号</w:t>
            </w:r>
          </w:p>
        </w:tc>
        <w:tc>
          <w:tcPr>
            <w:tcW w:w="90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所有权人</w:t>
            </w:r>
          </w:p>
        </w:tc>
        <w:tc>
          <w:tcPr>
            <w:tcW w:w="1322"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不动产坐落</w:t>
            </w:r>
          </w:p>
        </w:tc>
        <w:tc>
          <w:tcPr>
            <w:tcW w:w="773"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评估层/</w:t>
            </w:r>
            <w:r>
              <w:rPr>
                <w:rFonts w:hint="default" w:ascii="仿宋_GB2312" w:hAnsi="宋体" w:eastAsia="仿宋_GB2312" w:cs="仿宋_GB2312"/>
                <w:b/>
                <w:bCs/>
                <w:i w:val="0"/>
                <w:iCs w:val="0"/>
                <w:color w:val="000000"/>
                <w:kern w:val="0"/>
                <w:sz w:val="21"/>
                <w:szCs w:val="21"/>
                <w:u w:val="none"/>
                <w:lang w:val="en-US" w:eastAsia="zh-CN" w:bidi="ar"/>
              </w:rPr>
              <w:br w:type="textWrapping"/>
            </w:r>
            <w:r>
              <w:rPr>
                <w:rFonts w:hint="default" w:ascii="仿宋_GB2312" w:hAnsi="宋体" w:eastAsia="仿宋_GB2312" w:cs="仿宋_GB2312"/>
                <w:b/>
                <w:bCs/>
                <w:i w:val="0"/>
                <w:iCs w:val="0"/>
                <w:color w:val="000000"/>
                <w:kern w:val="0"/>
                <w:sz w:val="21"/>
                <w:szCs w:val="21"/>
                <w:u w:val="none"/>
                <w:lang w:val="en-US" w:eastAsia="zh-CN" w:bidi="ar"/>
              </w:rPr>
              <w:t>总楼层</w:t>
            </w:r>
          </w:p>
        </w:tc>
        <w:tc>
          <w:tcPr>
            <w:tcW w:w="588"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房屋用途</w:t>
            </w:r>
          </w:p>
        </w:tc>
        <w:tc>
          <w:tcPr>
            <w:tcW w:w="722"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1"/>
                <w:szCs w:val="21"/>
                <w:u w:val="none"/>
                <w:lang w:val="en-US" w:eastAsia="zh-CN" w:bidi="ar"/>
              </w:rPr>
            </w:pPr>
            <w:r>
              <w:rPr>
                <w:rFonts w:hint="default" w:ascii="仿宋_GB2312" w:hAnsi="宋体" w:eastAsia="仿宋_GB2312" w:cs="仿宋_GB2312"/>
                <w:b/>
                <w:bCs/>
                <w:i w:val="0"/>
                <w:iCs w:val="0"/>
                <w:color w:val="000000"/>
                <w:kern w:val="0"/>
                <w:sz w:val="21"/>
                <w:szCs w:val="21"/>
                <w:u w:val="none"/>
                <w:lang w:val="en-US" w:eastAsia="zh-CN" w:bidi="ar"/>
              </w:rPr>
              <w:t>房屋</w:t>
            </w:r>
          </w:p>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结构</w:t>
            </w:r>
          </w:p>
        </w:tc>
        <w:tc>
          <w:tcPr>
            <w:tcW w:w="92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建筑面积</w:t>
            </w:r>
            <w:r>
              <w:rPr>
                <w:rFonts w:hint="default" w:ascii="仿宋_GB2312" w:hAnsi="宋体" w:eastAsia="仿宋_GB2312" w:cs="仿宋_GB2312"/>
                <w:b/>
                <w:bCs/>
                <w:i w:val="0"/>
                <w:iCs w:val="0"/>
                <w:color w:val="000000"/>
                <w:kern w:val="0"/>
                <w:sz w:val="21"/>
                <w:szCs w:val="21"/>
                <w:u w:val="none"/>
                <w:lang w:val="en-US" w:eastAsia="zh-CN" w:bidi="ar"/>
              </w:rPr>
              <w:br w:type="textWrapping"/>
            </w:r>
            <w:r>
              <w:rPr>
                <w:rFonts w:hint="default" w:ascii="仿宋_GB2312" w:hAnsi="宋体" w:eastAsia="仿宋_GB2312" w:cs="仿宋_GB2312"/>
                <w:b/>
                <w:bCs/>
                <w:i w:val="0"/>
                <w:iCs w:val="0"/>
                <w:color w:val="000000"/>
                <w:kern w:val="0"/>
                <w:sz w:val="21"/>
                <w:szCs w:val="21"/>
                <w:u w:val="none"/>
                <w:lang w:val="en-US" w:eastAsia="zh-CN" w:bidi="ar"/>
              </w:rPr>
              <w:t>（</w:t>
            </w:r>
            <w:r>
              <w:rPr>
                <w:rFonts w:ascii="仿宋_GB2312" w:hAnsi="宋体" w:eastAsia="仿宋_GB2312" w:cs="仿宋_GB2312"/>
                <w:b/>
                <w:bCs/>
                <w:i w:val="0"/>
                <w:iCs w:val="0"/>
                <w:color w:val="000000"/>
                <w:kern w:val="0"/>
                <w:sz w:val="21"/>
                <w:szCs w:val="21"/>
                <w:u w:val="none"/>
                <w:lang w:val="en-US" w:eastAsia="zh-CN" w:bidi="ar"/>
              </w:rPr>
              <w:t>㎡）</w:t>
            </w:r>
          </w:p>
        </w:tc>
        <w:tc>
          <w:tcPr>
            <w:tcW w:w="1188"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划拨条件下的评估价格（元/㎡）</w:t>
            </w:r>
          </w:p>
        </w:tc>
        <w:tc>
          <w:tcPr>
            <w:tcW w:w="1143"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kern w:val="0"/>
                <w:sz w:val="21"/>
                <w:szCs w:val="21"/>
                <w:u w:val="none"/>
                <w:lang w:bidi="ar"/>
              </w:rPr>
            </w:pPr>
            <w:r>
              <w:rPr>
                <w:rFonts w:hint="default" w:ascii="仿宋_GB2312" w:hAnsi="宋体" w:eastAsia="仿宋_GB2312" w:cs="仿宋_GB2312"/>
                <w:b/>
                <w:bCs/>
                <w:i w:val="0"/>
                <w:iCs w:val="0"/>
                <w:color w:val="000000"/>
                <w:kern w:val="0"/>
                <w:sz w:val="21"/>
                <w:szCs w:val="21"/>
                <w:u w:val="none"/>
                <w:lang w:val="en-US" w:eastAsia="zh-CN" w:bidi="ar"/>
              </w:rPr>
              <w:t>划拨条件下的评估价值（万元）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7" w:hRule="atLeast"/>
          <w:jc w:val="center"/>
        </w:trPr>
        <w:tc>
          <w:tcPr>
            <w:tcW w:w="1765"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905"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1322"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773"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588"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722"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925"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1188"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1143" w:type="dxa"/>
            <w:vMerge w:val="continue"/>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77" w:hRule="atLeast"/>
          <w:jc w:val="center"/>
        </w:trPr>
        <w:tc>
          <w:tcPr>
            <w:tcW w:w="176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开1000156874</w:t>
            </w:r>
          </w:p>
        </w:tc>
        <w:tc>
          <w:tcPr>
            <w:tcW w:w="9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eastAsia="zh-CN" w:bidi="ar"/>
              </w:rPr>
            </w:pPr>
            <w:r>
              <w:rPr>
                <w:rFonts w:hint="eastAsia" w:ascii="仿宋_GB2312" w:hAnsi="宋体" w:eastAsia="仿宋_GB2312" w:cs="仿宋_GB2312"/>
                <w:i w:val="0"/>
                <w:color w:val="000000"/>
                <w:kern w:val="0"/>
                <w:sz w:val="20"/>
                <w:szCs w:val="20"/>
                <w:u w:val="none"/>
                <w:lang w:eastAsia="zh-CN" w:bidi="ar"/>
              </w:rPr>
              <w:t>刘均太</w:t>
            </w:r>
          </w:p>
        </w:tc>
        <w:tc>
          <w:tcPr>
            <w:tcW w:w="13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开发区旭日路管委会宿舍11-401</w:t>
            </w:r>
          </w:p>
        </w:tc>
        <w:tc>
          <w:tcPr>
            <w:tcW w:w="7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混合</w:t>
            </w:r>
          </w:p>
        </w:tc>
        <w:tc>
          <w:tcPr>
            <w:tcW w:w="58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住宅</w:t>
            </w:r>
          </w:p>
        </w:tc>
        <w:tc>
          <w:tcPr>
            <w:tcW w:w="72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4/7</w:t>
            </w:r>
          </w:p>
        </w:tc>
        <w:tc>
          <w:tcPr>
            <w:tcW w:w="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bidi="ar"/>
              </w:rPr>
            </w:pPr>
            <w:r>
              <w:rPr>
                <w:rFonts w:hint="eastAsia" w:ascii="仿宋_GB2312" w:hAnsi="宋体" w:eastAsia="仿宋_GB2312" w:cs="仿宋_GB2312"/>
                <w:i w:val="0"/>
                <w:iCs w:val="0"/>
                <w:color w:val="000000"/>
                <w:kern w:val="0"/>
                <w:sz w:val="20"/>
                <w:szCs w:val="20"/>
                <w:u w:val="none"/>
                <w:lang w:val="en-US" w:eastAsia="zh-CN" w:bidi="ar"/>
              </w:rPr>
              <w:t>71.77</w:t>
            </w:r>
          </w:p>
        </w:tc>
        <w:tc>
          <w:tcPr>
            <w:tcW w:w="118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5013</w:t>
            </w:r>
          </w:p>
        </w:tc>
        <w:tc>
          <w:tcPr>
            <w:tcW w:w="11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bidi="ar"/>
              </w:rPr>
            </w:pPr>
            <w:r>
              <w:rPr>
                <w:rFonts w:hint="eastAsia" w:ascii="仿宋_GB2312" w:hAnsi="宋体" w:eastAsia="仿宋_GB2312" w:cs="仿宋_GB2312"/>
                <w:i w:val="0"/>
                <w:iCs w:val="0"/>
                <w:color w:val="000000"/>
                <w:kern w:val="0"/>
                <w:sz w:val="20"/>
                <w:szCs w:val="20"/>
                <w:u w:val="none"/>
                <w:lang w:val="en-US" w:eastAsia="zh-CN" w:bidi="ar"/>
              </w:rPr>
              <w:t>35.98</w:t>
            </w:r>
          </w:p>
        </w:tc>
      </w:tr>
    </w:tbl>
    <w:p>
      <w:pPr>
        <w:tabs>
          <w:tab w:val="left" w:pos="315"/>
        </w:tabs>
        <w:spacing w:line="440" w:lineRule="exact"/>
        <w:ind w:left="0" w:leftChars="0" w:firstLine="0" w:firstLineChars="0"/>
        <w:jc w:val="both"/>
        <w:rPr>
          <w:rFonts w:hint="eastAsia" w:ascii="仿宋_GB2312" w:hAnsi="宋体" w:eastAsia="仿宋_GB2312"/>
          <w:szCs w:val="21"/>
          <w:lang w:val="en-US" w:eastAsia="zh-CN"/>
        </w:rPr>
      </w:pPr>
      <w:r>
        <w:rPr>
          <w:rFonts w:hint="eastAsia" w:ascii="仿宋_GB2312" w:hAnsi="宋体" w:eastAsia="仿宋_GB2312"/>
          <w:b w:val="0"/>
          <w:bCs/>
          <w:color w:val="000000"/>
          <w:sz w:val="21"/>
          <w:szCs w:val="21"/>
          <w:lang w:val="en-US" w:eastAsia="zh-CN"/>
        </w:rPr>
        <w:t>备注：1、</w:t>
      </w:r>
      <w:r>
        <w:rPr>
          <w:rFonts w:hint="eastAsia" w:ascii="仿宋_GB2312" w:hAnsi="宋体" w:eastAsia="仿宋_GB2312"/>
          <w:szCs w:val="21"/>
          <w:lang w:val="en-US" w:eastAsia="zh-CN"/>
        </w:rPr>
        <w:t>表中信息来源于估价委托人提供的《九江市濂溪区人民法院委托书》和《不动产产权情况表》。</w:t>
      </w:r>
    </w:p>
    <w:p>
      <w:pPr>
        <w:tabs>
          <w:tab w:val="left" w:pos="315"/>
        </w:tabs>
        <w:spacing w:line="440" w:lineRule="exact"/>
        <w:ind w:firstLine="630" w:firstLineChars="300"/>
        <w:jc w:val="both"/>
        <w:rPr>
          <w:rFonts w:hint="eastAsia" w:ascii="仿宋_GB2312" w:hAnsi="宋体" w:eastAsia="仿宋_GB2312"/>
          <w:b w:val="0"/>
          <w:bCs/>
          <w:color w:val="000000"/>
          <w:sz w:val="21"/>
          <w:szCs w:val="21"/>
          <w:lang w:val="en-US" w:eastAsia="zh-CN"/>
        </w:rPr>
      </w:pPr>
      <w:r>
        <w:rPr>
          <w:rFonts w:hint="eastAsia" w:ascii="仿宋_GB2312" w:hAnsi="宋体" w:eastAsia="仿宋_GB2312"/>
          <w:szCs w:val="21"/>
          <w:lang w:val="en-US" w:eastAsia="zh-CN"/>
        </w:rPr>
        <w:t>2、本次估价对象评估价值为房地合一的价值，包含房屋所有权、所对应的土地使用权价值以及室内装修价值（水、电、消防等房屋配套设施设备价值、不可拆除的装饰装修价值，不包含家具家电、机器设备、债权债务、特许经营权等其他财产价值）</w:t>
      </w:r>
      <w:r>
        <w:rPr>
          <w:rFonts w:hint="eastAsia" w:ascii="仿宋_GB2312" w:hAnsi="宋体" w:eastAsia="仿宋_GB2312"/>
          <w:b w:val="0"/>
          <w:bCs/>
          <w:color w:val="000000"/>
          <w:sz w:val="21"/>
          <w:szCs w:val="21"/>
          <w:lang w:val="en-US" w:eastAsia="zh-CN"/>
        </w:rPr>
        <w:t>。</w:t>
      </w:r>
    </w:p>
    <w:p>
      <w:pPr>
        <w:tabs>
          <w:tab w:val="left" w:pos="315"/>
        </w:tabs>
        <w:spacing w:line="440" w:lineRule="exact"/>
        <w:ind w:firstLine="630" w:firstLineChars="300"/>
        <w:jc w:val="both"/>
        <w:rPr>
          <w:rFonts w:hint="eastAsia" w:ascii="仿宋_GB2312" w:hAnsi="宋体" w:eastAsia="仿宋_GB2312"/>
          <w:b w:val="0"/>
          <w:bCs/>
          <w:sz w:val="21"/>
          <w:szCs w:val="21"/>
          <w:highlight w:val="none"/>
          <w:lang w:val="en-US" w:eastAsia="zh-CN"/>
        </w:rPr>
      </w:pPr>
      <w:r>
        <w:rPr>
          <w:rFonts w:hint="eastAsia" w:ascii="仿宋_GB2312" w:hAnsi="宋体" w:eastAsia="仿宋_GB2312"/>
          <w:b w:val="0"/>
          <w:bCs/>
          <w:color w:val="000000"/>
          <w:sz w:val="21"/>
          <w:szCs w:val="21"/>
          <w:lang w:val="en-US" w:eastAsia="zh-CN"/>
        </w:rPr>
        <w:t>3、</w:t>
      </w:r>
      <w:r>
        <w:rPr>
          <w:rFonts w:hint="eastAsia" w:ascii="仿宋_GB2312" w:hAnsi="宋体" w:eastAsia="仿宋_GB2312"/>
          <w:b w:val="0"/>
          <w:bCs/>
          <w:sz w:val="21"/>
          <w:szCs w:val="21"/>
          <w:highlight w:val="none"/>
          <w:lang w:val="en-US" w:eastAsia="zh-CN"/>
        </w:rPr>
        <w:t>本次划拨条件下估价对象价值测算的思路是先测算出让条件下的估价对象房地合一价值（评估价值44.93万元，评估价格6260元/㎡），再减去预计应缴土地出让金（1247元/平方米），最终得出估价对象划拨条件下评估价值为5013元/平方米。</w:t>
      </w:r>
    </w:p>
    <w:p>
      <w:pPr>
        <w:tabs>
          <w:tab w:val="left" w:pos="315"/>
        </w:tabs>
        <w:spacing w:line="440" w:lineRule="exact"/>
        <w:ind w:firstLine="630" w:firstLineChars="300"/>
        <w:jc w:val="both"/>
        <w:rPr>
          <w:rFonts w:hint="eastAsia" w:ascii="仿宋_GB2312" w:hAnsi="宋体" w:eastAsia="仿宋_GB2312"/>
          <w:b w:val="0"/>
          <w:bCs/>
          <w:color w:val="auto"/>
          <w:sz w:val="21"/>
          <w:szCs w:val="21"/>
          <w:highlight w:val="none"/>
          <w:lang w:val="en-US" w:eastAsia="zh-CN"/>
        </w:rPr>
      </w:pPr>
      <w:r>
        <w:rPr>
          <w:rFonts w:hint="eastAsia" w:ascii="仿宋_GB2312" w:hAnsi="宋体" w:eastAsia="仿宋_GB2312"/>
          <w:b w:val="0"/>
          <w:bCs/>
          <w:sz w:val="21"/>
          <w:szCs w:val="21"/>
          <w:highlight w:val="none"/>
          <w:lang w:val="en-US" w:eastAsia="zh-CN"/>
        </w:rPr>
        <w:t>4、按照《城镇土地估价规程》第10.6条，通过评估出让土地使用权扣减土地增值的方法测算划拨土地价格，应科学确定土地增值。由于九江市未公布经科学论证的土地增值收益数据，根据估价人员咨询九江市自然资源局，目前九江市自然资源局办理划拨转出让手续补缴出让金是按评估价的50%比例补缴。结合估价人员采用土地市场比较法测算出让条件下估价对象土地的楼面地价为2493元/平方米，故预计应缴土地出让金：2493×50% =1247元/平方米（取整）（仅供参考），最终数额以当地自然资源局确定补缴额为准。</w:t>
      </w:r>
    </w:p>
    <w:p>
      <w:pPr>
        <w:tabs>
          <w:tab w:val="left" w:pos="315"/>
        </w:tabs>
        <w:spacing w:line="440" w:lineRule="exact"/>
        <w:ind w:firstLine="840" w:firstLineChars="400"/>
        <w:jc w:val="both"/>
        <w:rPr>
          <w:rFonts w:hint="eastAsia" w:ascii="仿宋_GB2312" w:hAnsi="宋体" w:eastAsia="仿宋_GB2312"/>
          <w:b w:val="0"/>
          <w:bCs/>
          <w:color w:val="000000"/>
          <w:sz w:val="21"/>
          <w:szCs w:val="21"/>
          <w:lang w:val="en-US" w:eastAsia="zh-CN"/>
        </w:rPr>
      </w:pPr>
    </w:p>
    <w:p>
      <w:pPr>
        <w:tabs>
          <w:tab w:val="left" w:pos="315"/>
        </w:tabs>
        <w:spacing w:line="440" w:lineRule="exact"/>
        <w:ind w:firstLine="210" w:firstLineChars="100"/>
        <w:jc w:val="both"/>
        <w:rPr>
          <w:rFonts w:hint="eastAsia" w:ascii="仿宋_GB2312" w:hAnsi="宋体" w:eastAsia="仿宋_GB2312"/>
          <w:b w:val="0"/>
          <w:bCs/>
          <w:color w:val="000000"/>
          <w:sz w:val="21"/>
          <w:szCs w:val="21"/>
          <w:lang w:val="en-US" w:eastAsia="zh-CN"/>
        </w:rPr>
      </w:pPr>
      <w:r>
        <w:rPr>
          <w:rFonts w:hint="eastAsia" w:ascii="仿宋_GB2312" w:hAnsi="宋体" w:eastAsia="仿宋_GB2312"/>
          <w:b w:val="0"/>
          <w:bCs/>
          <w:color w:val="000000"/>
          <w:sz w:val="21"/>
          <w:szCs w:val="21"/>
          <w:lang w:val="en-US" w:eastAsia="zh-CN"/>
        </w:rPr>
        <w:t xml:space="preserve">   </w:t>
      </w:r>
    </w:p>
    <w:p>
      <w:pPr>
        <w:tabs>
          <w:tab w:val="left" w:pos="315"/>
        </w:tabs>
        <w:spacing w:line="440" w:lineRule="exact"/>
        <w:ind w:firstLine="210" w:firstLineChars="100"/>
        <w:jc w:val="both"/>
        <w:rPr>
          <w:rFonts w:hint="eastAsia" w:ascii="仿宋_GB2312" w:hAnsi="宋体" w:eastAsia="仿宋_GB2312"/>
          <w:b w:val="0"/>
          <w:bCs/>
          <w:color w:val="000000"/>
          <w:sz w:val="21"/>
          <w:szCs w:val="21"/>
          <w:lang w:val="en-US" w:eastAsia="zh-CN"/>
        </w:rPr>
      </w:pPr>
    </w:p>
    <w:p>
      <w:pPr>
        <w:tabs>
          <w:tab w:val="left" w:pos="315"/>
        </w:tabs>
        <w:spacing w:line="440" w:lineRule="exact"/>
        <w:ind w:firstLine="210" w:firstLineChars="100"/>
        <w:jc w:val="both"/>
        <w:rPr>
          <w:rFonts w:hint="default" w:ascii="仿宋_GB2312" w:hAnsi="宋体" w:eastAsia="仿宋_GB2312"/>
          <w:b w:val="0"/>
          <w:bCs/>
          <w:color w:val="000000"/>
          <w:sz w:val="21"/>
          <w:szCs w:val="21"/>
          <w:lang w:val="en-US" w:eastAsia="zh-CN"/>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 xml:space="preserve">目   </w:t>
      </w:r>
      <w:bookmarkStart w:id="34" w:name="_GoBack"/>
      <w:bookmarkEnd w:id="34"/>
      <w:r>
        <w:rPr>
          <w:rFonts w:hint="eastAsia" w:ascii="仿宋_GB2312" w:hAnsi="宋体" w:eastAsia="仿宋_GB2312"/>
          <w:b/>
          <w:color w:val="000000"/>
          <w:sz w:val="32"/>
          <w:szCs w:val="32"/>
        </w:rPr>
        <w:t xml:space="preserve">    录</w:t>
      </w:r>
    </w:p>
    <w:p>
      <w:pPr>
        <w:tabs>
          <w:tab w:val="left" w:pos="315"/>
        </w:tabs>
        <w:spacing w:line="400" w:lineRule="exact"/>
        <w:ind w:firstLine="210" w:firstLineChars="100"/>
        <w:jc w:val="center"/>
        <w:rPr>
          <w:rFonts w:hint="eastAsia" w:ascii="仿宋_GB2312" w:hAnsi="宋体" w:eastAsia="仿宋_GB2312"/>
          <w:color w:val="000000"/>
          <w:szCs w:val="21"/>
        </w:rPr>
      </w:pPr>
    </w:p>
    <w:p>
      <w:pPr>
        <w:pStyle w:val="20"/>
        <w:tabs>
          <w:tab w:val="right" w:leader="dot" w:pos="8568"/>
        </w:tabs>
        <w:spacing w:line="400" w:lineRule="exact"/>
        <w:rPr>
          <w:szCs w:val="21"/>
        </w:rPr>
      </w:pPr>
      <w:r>
        <w:rPr>
          <w:rFonts w:hint="eastAsia" w:ascii="仿宋_GB2312" w:hAnsi="宋体" w:eastAsia="仿宋_GB2312"/>
          <w:szCs w:val="21"/>
        </w:rPr>
        <w:fldChar w:fldCharType="begin"/>
      </w:r>
      <w:r>
        <w:rPr>
          <w:rFonts w:hint="eastAsia" w:ascii="仿宋_GB2312" w:hAnsi="宋体" w:eastAsia="仿宋_GB2312"/>
          <w:szCs w:val="21"/>
        </w:rPr>
        <w:instrText xml:space="preserve"> TOC \o "1-2" \h \z \u </w:instrText>
      </w:r>
      <w:r>
        <w:rPr>
          <w:rFonts w:hint="eastAsia" w:ascii="仿宋_GB2312" w:hAnsi="宋体" w:eastAsia="仿宋_GB2312"/>
          <w:szCs w:val="21"/>
        </w:rPr>
        <w:fldChar w:fldCharType="separate"/>
      </w:r>
      <w:r>
        <w:rPr>
          <w:b/>
          <w:sz w:val="21"/>
          <w:szCs w:val="21"/>
        </w:rPr>
        <w:fldChar w:fldCharType="begin"/>
      </w:r>
      <w:r>
        <w:rPr>
          <w:rStyle w:val="33"/>
          <w:b w:val="0"/>
          <w:sz w:val="21"/>
          <w:szCs w:val="21"/>
        </w:rPr>
        <w:instrText xml:space="preserve"> </w:instrText>
      </w:r>
      <w:r>
        <w:rPr>
          <w:szCs w:val="21"/>
        </w:rPr>
        <w:instrText xml:space="preserve">HYPERLINK \l "_Toc517794424"</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一、估价师声明</w:t>
      </w:r>
      <w:r>
        <w:rPr>
          <w:szCs w:val="21"/>
        </w:rPr>
        <w:tab/>
      </w:r>
      <w:r>
        <w:rPr>
          <w:szCs w:val="21"/>
        </w:rPr>
        <w:fldChar w:fldCharType="begin"/>
      </w:r>
      <w:r>
        <w:rPr>
          <w:szCs w:val="21"/>
        </w:rPr>
        <w:instrText xml:space="preserve"> PAGEREF _Toc517794424 \h </w:instrText>
      </w:r>
      <w:r>
        <w:rPr>
          <w:szCs w:val="21"/>
        </w:rPr>
        <w:fldChar w:fldCharType="separate"/>
      </w:r>
      <w:r>
        <w:rPr>
          <w:szCs w:val="21"/>
        </w:rPr>
        <w:t>5</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"_Toc517794425"</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二、估价的假设和限制条件</w:t>
      </w:r>
      <w:r>
        <w:rPr>
          <w:szCs w:val="21"/>
        </w:rPr>
        <w:tab/>
      </w:r>
      <w:r>
        <w:rPr>
          <w:szCs w:val="21"/>
        </w:rPr>
        <w:fldChar w:fldCharType="begin"/>
      </w:r>
      <w:r>
        <w:rPr>
          <w:szCs w:val="21"/>
        </w:rPr>
        <w:instrText xml:space="preserve"> PAGEREF _Toc517794425 \h </w:instrText>
      </w:r>
      <w:r>
        <w:rPr>
          <w:szCs w:val="21"/>
        </w:rPr>
        <w:fldChar w:fldCharType="separate"/>
      </w:r>
      <w:r>
        <w:rPr>
          <w:szCs w:val="21"/>
        </w:rPr>
        <w:t>6</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"_Toc517794426"</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三、估价结果报告</w:t>
      </w:r>
      <w:r>
        <w:rPr>
          <w:szCs w:val="21"/>
        </w:rPr>
        <w:tab/>
      </w:r>
      <w:r>
        <w:rPr>
          <w:szCs w:val="21"/>
        </w:rPr>
        <w:fldChar w:fldCharType="begin"/>
      </w:r>
      <w:r>
        <w:rPr>
          <w:szCs w:val="21"/>
        </w:rPr>
        <w:instrText xml:space="preserve"> PAGEREF _Toc517794426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"_Toc517794427"</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（一）估价委托人</w:t>
      </w:r>
      <w:r>
        <w:rPr>
          <w:szCs w:val="21"/>
        </w:rPr>
        <w:tab/>
      </w:r>
      <w:r>
        <w:rPr>
          <w:szCs w:val="21"/>
        </w:rPr>
        <w:fldChar w:fldCharType="begin"/>
      </w:r>
      <w:r>
        <w:rPr>
          <w:szCs w:val="21"/>
        </w:rPr>
        <w:instrText xml:space="preserve"> PAGEREF _Toc517794427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"_Toc517794428"</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（二）估价方</w:t>
      </w:r>
      <w:r>
        <w:rPr>
          <w:szCs w:val="21"/>
        </w:rPr>
        <w:tab/>
      </w:r>
      <w:r>
        <w:rPr>
          <w:szCs w:val="21"/>
        </w:rPr>
        <w:fldChar w:fldCharType="begin"/>
      </w:r>
      <w:r>
        <w:rPr>
          <w:szCs w:val="21"/>
        </w:rPr>
        <w:instrText xml:space="preserve"> PAGEREF _Toc517794428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"_Toc517794429"</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（三）估价目的</w:t>
      </w:r>
      <w:r>
        <w:rPr>
          <w:szCs w:val="21"/>
        </w:rPr>
        <w:tab/>
      </w:r>
      <w:r>
        <w:rPr>
          <w:szCs w:val="21"/>
        </w:rPr>
        <w:fldChar w:fldCharType="begin"/>
      </w:r>
      <w:r>
        <w:rPr>
          <w:szCs w:val="21"/>
        </w:rPr>
        <w:instrText xml:space="preserve"> PAGEREF _Toc517794429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"_Toc517794430"</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（四）估价对象</w:t>
      </w:r>
      <w:r>
        <w:rPr>
          <w:szCs w:val="21"/>
        </w:rPr>
        <w:tab/>
      </w:r>
      <w:r>
        <w:rPr>
          <w:szCs w:val="21"/>
        </w:rPr>
        <w:fldChar w:fldCharType="begin"/>
      </w:r>
      <w:r>
        <w:rPr>
          <w:szCs w:val="21"/>
        </w:rPr>
        <w:instrText xml:space="preserve"> PAGEREF _Toc517794430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"_Toc517794431"</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（五）价值时点</w:t>
      </w:r>
      <w:r>
        <w:rPr>
          <w:szCs w:val="21"/>
        </w:rPr>
        <w:tab/>
      </w:r>
      <w:r>
        <w:rPr>
          <w:szCs w:val="21"/>
        </w:rPr>
        <w:fldChar w:fldCharType="begin"/>
      </w:r>
      <w:r>
        <w:rPr>
          <w:szCs w:val="21"/>
        </w:rPr>
        <w:instrText xml:space="preserve"> PAGEREF _Toc517794431 \h </w:instrText>
      </w:r>
      <w:r>
        <w:rPr>
          <w:szCs w:val="21"/>
        </w:rPr>
        <w:fldChar w:fldCharType="separate"/>
      </w:r>
      <w:r>
        <w:rPr>
          <w:szCs w:val="21"/>
        </w:rPr>
        <w:t>11</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"_Toc517794432"</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（六）</w:t>
      </w:r>
      <w:r>
        <w:rPr>
          <w:rStyle w:val="33"/>
          <w:rFonts w:hint="eastAsia" w:ascii="仿宋_GB2312" w:eastAsia="仿宋_GB2312"/>
          <w:b w:val="0"/>
          <w:sz w:val="21"/>
          <w:szCs w:val="21"/>
          <w:lang w:bidi="ar"/>
        </w:rPr>
        <w:t>价值</w:t>
      </w:r>
      <w:r>
        <w:rPr>
          <w:rStyle w:val="33"/>
          <w:rFonts w:hint="eastAsia" w:ascii="仿宋_GB2312" w:eastAsia="仿宋_GB2312"/>
          <w:b w:val="0"/>
          <w:sz w:val="21"/>
          <w:szCs w:val="21"/>
          <w:lang w:val="en-US" w:eastAsia="zh-CN" w:bidi="ar"/>
        </w:rPr>
        <w:t>类型</w:t>
      </w:r>
      <w:r>
        <w:rPr>
          <w:szCs w:val="21"/>
        </w:rPr>
        <w:tab/>
      </w:r>
      <w:r>
        <w:rPr>
          <w:szCs w:val="21"/>
        </w:rPr>
        <w:fldChar w:fldCharType="begin"/>
      </w:r>
      <w:r>
        <w:rPr>
          <w:szCs w:val="21"/>
        </w:rPr>
        <w:instrText xml:space="preserve"> PAGEREF _Toc517794432 \h </w:instrText>
      </w:r>
      <w:r>
        <w:rPr>
          <w:szCs w:val="21"/>
        </w:rPr>
        <w:fldChar w:fldCharType="separate"/>
      </w:r>
      <w:r>
        <w:rPr>
          <w:szCs w:val="21"/>
        </w:rPr>
        <w:t>11</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"_Toc517794433"</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（七）估价依据</w:t>
      </w:r>
      <w:r>
        <w:rPr>
          <w:szCs w:val="21"/>
        </w:rPr>
        <w:tab/>
      </w:r>
      <w:r>
        <w:rPr>
          <w:szCs w:val="21"/>
        </w:rPr>
        <w:fldChar w:fldCharType="begin"/>
      </w:r>
      <w:r>
        <w:rPr>
          <w:szCs w:val="21"/>
        </w:rPr>
        <w:instrText xml:space="preserve"> PAGEREF _Toc517794433 \h </w:instrText>
      </w:r>
      <w:r>
        <w:rPr>
          <w:szCs w:val="21"/>
        </w:rPr>
        <w:fldChar w:fldCharType="separate"/>
      </w:r>
      <w:r>
        <w:rPr>
          <w:szCs w:val="21"/>
        </w:rPr>
        <w:t>12</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"_Toc517794434"</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（八）估价原则</w:t>
      </w:r>
      <w:r>
        <w:rPr>
          <w:szCs w:val="21"/>
        </w:rPr>
        <w:tab/>
      </w:r>
      <w:r>
        <w:rPr>
          <w:szCs w:val="21"/>
        </w:rPr>
        <w:fldChar w:fldCharType="begin"/>
      </w:r>
      <w:r>
        <w:rPr>
          <w:szCs w:val="21"/>
        </w:rPr>
        <w:instrText xml:space="preserve"> PAGEREF _Toc517794434 \h </w:instrText>
      </w:r>
      <w:r>
        <w:rPr>
          <w:szCs w:val="21"/>
        </w:rPr>
        <w:fldChar w:fldCharType="separate"/>
      </w:r>
      <w:r>
        <w:rPr>
          <w:szCs w:val="21"/>
        </w:rPr>
        <w:t>13</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"_Toc517794435"</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（九）估价方法</w:t>
      </w:r>
      <w:r>
        <w:rPr>
          <w:szCs w:val="21"/>
        </w:rPr>
        <w:tab/>
      </w:r>
      <w:r>
        <w:rPr>
          <w:szCs w:val="21"/>
        </w:rPr>
        <w:fldChar w:fldCharType="begin"/>
      </w:r>
      <w:r>
        <w:rPr>
          <w:szCs w:val="21"/>
        </w:rPr>
        <w:instrText xml:space="preserve"> PAGEREF _Toc517794435 \h </w:instrText>
      </w:r>
      <w:r>
        <w:rPr>
          <w:szCs w:val="21"/>
        </w:rPr>
        <w:fldChar w:fldCharType="separate"/>
      </w:r>
      <w:r>
        <w:rPr>
          <w:szCs w:val="21"/>
        </w:rPr>
        <w:t>14</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"_Toc517794436"</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（十）估价结果</w:t>
      </w:r>
      <w:r>
        <w:rPr>
          <w:szCs w:val="21"/>
        </w:rPr>
        <w:tab/>
      </w:r>
      <w:r>
        <w:rPr>
          <w:szCs w:val="21"/>
        </w:rPr>
        <w:fldChar w:fldCharType="begin"/>
      </w:r>
      <w:r>
        <w:rPr>
          <w:szCs w:val="21"/>
        </w:rPr>
        <w:instrText xml:space="preserve"> PAGEREF _Toc517794436 \h </w:instrText>
      </w:r>
      <w:r>
        <w:rPr>
          <w:szCs w:val="21"/>
        </w:rPr>
        <w:fldChar w:fldCharType="separate"/>
      </w:r>
      <w:r>
        <w:rPr>
          <w:szCs w:val="21"/>
        </w:rPr>
        <w:t>15</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"_Toc517794437"</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（十一）</w:t>
      </w:r>
      <w:r>
        <w:rPr>
          <w:rFonts w:eastAsia="仿宋_GB2312"/>
          <w:kern w:val="0"/>
        </w:rPr>
        <w:t>注册房地产估价师</w:t>
      </w:r>
      <w:r>
        <w:rPr>
          <w:szCs w:val="21"/>
        </w:rPr>
        <w:tab/>
      </w:r>
      <w:r>
        <w:rPr>
          <w:szCs w:val="21"/>
        </w:rPr>
        <w:fldChar w:fldCharType="begin"/>
      </w:r>
      <w:r>
        <w:rPr>
          <w:szCs w:val="21"/>
        </w:rPr>
        <w:instrText xml:space="preserve"> PAGEREF _Toc517794437 \h </w:instrText>
      </w:r>
      <w:r>
        <w:rPr>
          <w:szCs w:val="21"/>
        </w:rPr>
        <w:fldChar w:fldCharType="separate"/>
      </w:r>
      <w:r>
        <w:rPr>
          <w:szCs w:val="21"/>
        </w:rPr>
        <w:t>15</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"_Toc517794438"</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（十二）实地查勘日期</w:t>
      </w:r>
      <w:r>
        <w:rPr>
          <w:szCs w:val="21"/>
        </w:rPr>
        <w:tab/>
      </w:r>
      <w:r>
        <w:rPr>
          <w:szCs w:val="21"/>
        </w:rPr>
        <w:fldChar w:fldCharType="begin"/>
      </w:r>
      <w:r>
        <w:rPr>
          <w:szCs w:val="21"/>
        </w:rPr>
        <w:instrText xml:space="preserve"> PAGEREF _Toc517794438 \h </w:instrText>
      </w:r>
      <w:r>
        <w:rPr>
          <w:szCs w:val="21"/>
        </w:rPr>
        <w:fldChar w:fldCharType="separate"/>
      </w:r>
      <w:r>
        <w:rPr>
          <w:szCs w:val="21"/>
        </w:rPr>
        <w:t>16</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"_Toc517794439"</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（十三）估价作业日期</w:t>
      </w:r>
      <w:r>
        <w:rPr>
          <w:szCs w:val="21"/>
        </w:rPr>
        <w:tab/>
      </w:r>
      <w:r>
        <w:rPr>
          <w:szCs w:val="21"/>
        </w:rPr>
        <w:fldChar w:fldCharType="begin"/>
      </w:r>
      <w:r>
        <w:rPr>
          <w:szCs w:val="21"/>
        </w:rPr>
        <w:instrText xml:space="preserve"> PAGEREF _Toc517794439 \h </w:instrText>
      </w:r>
      <w:r>
        <w:rPr>
          <w:szCs w:val="21"/>
        </w:rPr>
        <w:fldChar w:fldCharType="separate"/>
      </w:r>
      <w:r>
        <w:rPr>
          <w:szCs w:val="21"/>
        </w:rPr>
        <w:t>16</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"_Toc517794440"</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四、附</w:t>
      </w:r>
      <w:r>
        <w:rPr>
          <w:rStyle w:val="33"/>
          <w:rFonts w:ascii="仿宋_GB2312" w:eastAsia="仿宋_GB2312"/>
          <w:b w:val="0"/>
          <w:sz w:val="21"/>
          <w:szCs w:val="21"/>
        </w:rPr>
        <w:t xml:space="preserve">  </w:t>
      </w:r>
      <w:r>
        <w:rPr>
          <w:rStyle w:val="33"/>
          <w:rFonts w:hint="eastAsia" w:ascii="仿宋_GB2312" w:eastAsia="仿宋_GB2312"/>
          <w:b w:val="0"/>
          <w:sz w:val="21"/>
          <w:szCs w:val="21"/>
        </w:rPr>
        <w:t>件</w:t>
      </w:r>
      <w:r>
        <w:rPr>
          <w:szCs w:val="21"/>
        </w:rPr>
        <w:tab/>
      </w:r>
      <w:r>
        <w:rPr>
          <w:szCs w:val="21"/>
        </w:rPr>
        <w:fldChar w:fldCharType="begin"/>
      </w:r>
      <w:r>
        <w:rPr>
          <w:szCs w:val="21"/>
        </w:rPr>
        <w:instrText xml:space="preserve"> PAGEREF _Toc517794440 \h </w:instrText>
      </w:r>
      <w:r>
        <w:rPr>
          <w:szCs w:val="21"/>
        </w:rPr>
        <w:fldChar w:fldCharType="separate"/>
      </w:r>
      <w:r>
        <w:rPr>
          <w:szCs w:val="21"/>
        </w:rPr>
        <w:t>17</w:t>
      </w:r>
      <w:r>
        <w:rPr>
          <w:szCs w:val="21"/>
        </w:rPr>
        <w:fldChar w:fldCharType="end"/>
      </w:r>
      <w:r>
        <w:rPr>
          <w:b/>
          <w:sz w:val="21"/>
          <w:szCs w:val="21"/>
        </w:rPr>
        <w:fldChar w:fldCharType="end"/>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宋体" w:eastAsia="仿宋_GB2312"/>
          <w:szCs w:val="21"/>
        </w:rPr>
        <w:fldChar w:fldCharType="end"/>
      </w:r>
      <w:r>
        <w:rPr>
          <w:rFonts w:hint="eastAsia" w:ascii="仿宋_GB2312" w:hAnsi="华文细黑" w:eastAsia="仿宋_GB2312"/>
          <w:bCs/>
          <w:caps/>
          <w:szCs w:val="21"/>
        </w:rPr>
        <w:t>（一）《</w:t>
      </w:r>
      <w:r>
        <w:rPr>
          <w:rFonts w:hint="eastAsia" w:ascii="仿宋_GB2312" w:hAnsi="华文细黑" w:eastAsia="仿宋_GB2312"/>
          <w:bCs/>
          <w:caps/>
          <w:szCs w:val="21"/>
          <w:lang w:eastAsia="zh-CN"/>
        </w:rPr>
        <w:t>九江市濂溪区人民法院价格评估委托书</w:t>
      </w:r>
      <w:r>
        <w:rPr>
          <w:rFonts w:hint="eastAsia" w:ascii="仿宋_GB2312" w:hAnsi="华文细黑" w:eastAsia="仿宋_GB2312"/>
          <w:bCs/>
          <w:caps/>
          <w:szCs w:val="21"/>
        </w:rPr>
        <w:t>》复印件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（二）估价对象位置图</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（三）估价对象现状照片</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（四）估价对象产权材料（复印件）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（五）评估机构《营业执照》（复印件）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（六）房地产评估机构</w:t>
      </w:r>
      <w:r>
        <w:rPr>
          <w:rFonts w:hint="eastAsia" w:ascii="仿宋_GB2312" w:hAnsi="华文细黑" w:eastAsia="仿宋_GB2312"/>
          <w:bCs/>
          <w:caps/>
          <w:szCs w:val="21"/>
          <w:lang w:eastAsia="zh-CN"/>
        </w:rPr>
        <w:t>备案</w:t>
      </w:r>
      <w:r>
        <w:rPr>
          <w:rFonts w:hint="eastAsia" w:ascii="仿宋_GB2312" w:hAnsi="华文细黑" w:eastAsia="仿宋_GB2312"/>
          <w:bCs/>
          <w:caps/>
          <w:szCs w:val="21"/>
        </w:rPr>
        <w:t>证书（复印件）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（七）房地产估价师注册证书（复印件）</w:t>
      </w: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4"/>
          <w:szCs w:val="24"/>
        </w:rPr>
      </w:pPr>
    </w:p>
    <w:p>
      <w:pPr>
        <w:spacing w:line="500" w:lineRule="exact"/>
        <w:rPr>
          <w:rFonts w:hint="eastAsia" w:ascii="仿宋_GB2312" w:hAnsi="宋体" w:eastAsia="仿宋_GB2312"/>
          <w:sz w:val="24"/>
          <w:szCs w:val="24"/>
        </w:rPr>
      </w:pPr>
    </w:p>
    <w:p>
      <w:pPr>
        <w:spacing w:line="500" w:lineRule="exact"/>
        <w:rPr>
          <w:rFonts w:hint="eastAsia" w:ascii="仿宋_GB2312" w:hAnsi="宋体" w:eastAsia="仿宋_GB2312"/>
          <w:sz w:val="24"/>
          <w:szCs w:val="24"/>
        </w:rPr>
      </w:pPr>
    </w:p>
    <w:p>
      <w:pPr>
        <w:pStyle w:val="3"/>
        <w:spacing w:after="93" w:line="520" w:lineRule="exact"/>
        <w:rPr>
          <w:rFonts w:hint="eastAsia" w:ascii="仿宋_GB2312" w:eastAsia="仿宋_GB2312"/>
          <w:b/>
        </w:rPr>
      </w:pPr>
      <w:bookmarkStart w:id="0" w:name="_Toc517794424"/>
      <w:bookmarkStart w:id="1" w:name="_Toc517794682"/>
      <w:r>
        <w:rPr>
          <w:rFonts w:hint="eastAsia" w:ascii="仿宋_GB2312" w:eastAsia="仿宋_GB2312"/>
          <w:b/>
        </w:rPr>
        <w:t>一、估价师声明</w:t>
      </w:r>
      <w:bookmarkEnd w:id="0"/>
      <w:bookmarkEnd w:id="1"/>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我们根据自己的专业知识和职业道德，在此郑重声明：</w:t>
      </w:r>
    </w:p>
    <w:p>
      <w:pPr>
        <w:spacing w:line="460" w:lineRule="exact"/>
        <w:rPr>
          <w:rFonts w:hint="eastAsia" w:ascii="仿宋_GB2312" w:hAnsi="宋体" w:eastAsia="仿宋_GB2312"/>
          <w:sz w:val="28"/>
          <w:szCs w:val="28"/>
        </w:rPr>
      </w:pPr>
      <w:r>
        <w:rPr>
          <w:rFonts w:hint="eastAsia" w:ascii="仿宋_GB2312" w:hAnsi="宋体" w:eastAsia="仿宋_GB2312"/>
          <w:sz w:val="30"/>
        </w:rPr>
        <w:t xml:space="preserve"> </w:t>
      </w:r>
      <w:r>
        <w:rPr>
          <w:rFonts w:hint="eastAsia" w:ascii="仿宋_GB2312" w:hAnsi="宋体" w:eastAsia="仿宋_GB2312"/>
          <w:sz w:val="28"/>
          <w:szCs w:val="28"/>
        </w:rPr>
        <w:t xml:space="preserve">   1、我们在本估价报告中对事实的陈述是真实的、准确的，没有虚假记载、误导性陈述和重大遗漏。</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2、估价报告中的分析，意见和结论，是我公正的专业分析、意见和结论，但要受估价报告中已说明的假设和限制条件的限制和影响。</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3、本估价报告所依据的有关资料均由估价委托人提供，其真实性、</w:t>
      </w:r>
      <w:r>
        <w:rPr>
          <w:rFonts w:hint="eastAsia" w:ascii="仿宋_GB2312" w:hAnsi="宋体" w:eastAsia="仿宋_GB2312"/>
          <w:sz w:val="28"/>
          <w:szCs w:val="28"/>
          <w:lang w:eastAsia="zh-CN"/>
        </w:rPr>
        <w:t>准确性、</w:t>
      </w:r>
      <w:r>
        <w:rPr>
          <w:rFonts w:hint="eastAsia" w:ascii="仿宋_GB2312" w:hAnsi="宋体" w:eastAsia="仿宋_GB2312"/>
          <w:sz w:val="28"/>
          <w:szCs w:val="28"/>
        </w:rPr>
        <w:t>合法性和完整性由估价委托人负责。估价人员与估价报告中的估价对象没有利害关系；对与估价对象相关的各方当事人没有偏见，也没有个人利害关系。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4、我们依照中华人民共和国国家标准《房地产估价规范》、《房地产估价基本术语标准》以及相关房地产估价专项标准进行分析，形成意见和结论，撰写本估价报告。</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5、本估价报告中，除使用政府部门、行业公布的价格资料和公开市场价格信息外，主要依据估价委托人提供的有关资料，包括但不限于其提供的权属证件等复印件，估价委托人应对其提供的全部资料</w:t>
      </w:r>
      <w:r>
        <w:rPr>
          <w:rFonts w:hint="eastAsia" w:ascii="仿宋_GB2312" w:hAnsi="宋体" w:eastAsia="仿宋_GB2312"/>
          <w:sz w:val="28"/>
          <w:szCs w:val="28"/>
          <w:lang w:eastAsia="zh-CN"/>
        </w:rPr>
        <w:t>和领勘指界</w:t>
      </w:r>
      <w:r>
        <w:rPr>
          <w:rFonts w:hint="eastAsia" w:ascii="仿宋_GB2312" w:hAnsi="宋体" w:eastAsia="仿宋_GB2312"/>
          <w:sz w:val="28"/>
          <w:szCs w:val="28"/>
        </w:rPr>
        <w:t>的真实性、</w:t>
      </w:r>
      <w:r>
        <w:rPr>
          <w:rFonts w:hint="eastAsia" w:ascii="仿宋_GB2312" w:hAnsi="宋体" w:eastAsia="仿宋_GB2312"/>
          <w:sz w:val="28"/>
          <w:szCs w:val="28"/>
          <w:lang w:eastAsia="zh-CN"/>
        </w:rPr>
        <w:t>准确性、</w:t>
      </w:r>
      <w:r>
        <w:rPr>
          <w:rFonts w:hint="eastAsia" w:ascii="仿宋_GB2312" w:hAnsi="宋体" w:eastAsia="仿宋_GB2312"/>
          <w:sz w:val="28"/>
          <w:szCs w:val="28"/>
        </w:rPr>
        <w:t>合法性和完整性承担全部法律责任。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6、我司估价人员已进行了实地查勘，但仅限于其外观和使用状况。估价人员不承担对估价对象的建筑结构、质量进行调查的责任和其他被遮盖、未暴露及难于触及的部分进行检视的责任。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7、没有其他行业的专业人员对估价报告提供了重要专业帮助。      </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8、相关权利人在收到报告后对估价报告有异议，</w:t>
      </w:r>
      <w:r>
        <w:rPr>
          <w:rFonts w:hint="eastAsia" w:ascii="仿宋_GB2312" w:hAnsi="宋体" w:eastAsia="仿宋_GB2312"/>
          <w:sz w:val="28"/>
          <w:szCs w:val="28"/>
          <w:lang w:val="en-US" w:eastAsia="zh-CN"/>
        </w:rPr>
        <w:t>五</w:t>
      </w:r>
      <w:r>
        <w:rPr>
          <w:rFonts w:hint="eastAsia" w:ascii="仿宋_GB2312" w:hAnsi="宋体" w:eastAsia="仿宋_GB2312"/>
          <w:sz w:val="28"/>
          <w:szCs w:val="28"/>
        </w:rPr>
        <w:t>天内提交书面意见；逾期未提交，视为对本次估价报告无意见。</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评估师签名：</w:t>
      </w:r>
    </w:p>
    <w:tbl>
      <w:tblPr>
        <w:tblStyle w:val="25"/>
        <w:tblW w:w="8794"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971" w:type="dxa"/>
            <w:tcBorders>
              <w:top w:val="double" w:color="auto" w:sz="2" w:space="0"/>
              <w:left w:val="double" w:color="auto" w:sz="2"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姓名</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注册号</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w:t>
            </w:r>
          </w:p>
        </w:tc>
        <w:tc>
          <w:tcPr>
            <w:tcW w:w="2879" w:type="dxa"/>
            <w:tcBorders>
              <w:top w:val="double" w:color="auto" w:sz="2" w:space="0"/>
              <w:left w:val="single" w:color="auto" w:sz="6" w:space="0"/>
              <w:bottom w:val="single" w:color="auto" w:sz="6" w:space="0"/>
              <w:right w:val="double" w:color="auto" w:sz="2"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签名日期</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1971" w:type="dxa"/>
            <w:tcBorders>
              <w:top w:val="single" w:color="auto" w:sz="6" w:space="0"/>
              <w:left w:val="double" w:color="auto" w:sz="2"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万  群</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kern w:val="0"/>
                <w:sz w:val="24"/>
                <w:szCs w:val="24"/>
                <w:lang w:eastAsia="zh-CN" w:bidi="ar"/>
              </w:rPr>
              <w:t>3620130004</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p>
        </w:tc>
        <w:tc>
          <w:tcPr>
            <w:tcW w:w="2879" w:type="dxa"/>
            <w:tcBorders>
              <w:top w:val="single" w:color="auto" w:sz="6" w:space="0"/>
              <w:left w:val="single" w:color="auto" w:sz="6" w:space="0"/>
              <w:bottom w:val="single" w:color="auto" w:sz="6" w:space="0"/>
              <w:right w:val="double" w:color="auto" w:sz="2"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2022年7月25日</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899" w:hRule="atLeast"/>
          <w:jc w:val="center"/>
        </w:trPr>
        <w:tc>
          <w:tcPr>
            <w:tcW w:w="1971" w:type="dxa"/>
            <w:tcBorders>
              <w:top w:val="single" w:color="auto" w:sz="6" w:space="0"/>
              <w:left w:val="double" w:color="auto" w:sz="2"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万  鹃</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3620170036</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p>
        </w:tc>
        <w:tc>
          <w:tcPr>
            <w:tcW w:w="2879" w:type="dxa"/>
            <w:tcBorders>
              <w:top w:val="single" w:color="auto" w:sz="6" w:space="0"/>
              <w:left w:val="single" w:color="auto" w:sz="6" w:space="0"/>
              <w:bottom w:val="double" w:color="auto" w:sz="2" w:space="0"/>
              <w:right w:val="double" w:color="auto" w:sz="2" w:space="0"/>
            </w:tcBorders>
            <w:noWrap w:val="0"/>
            <w:vAlign w:val="center"/>
          </w:tcPr>
          <w:p>
            <w:pPr>
              <w:adjustRightInd w:val="0"/>
              <w:snapToGrid w:val="0"/>
              <w:spacing w:line="240" w:lineRule="auto"/>
              <w:jc w:val="center"/>
              <w:rPr>
                <w:rFonts w:hint="eastAsia" w:eastAsia="仿宋_GB2312" w:cs="仿宋_GB2312"/>
                <w:kern w:val="0"/>
                <w:sz w:val="24"/>
                <w:szCs w:val="24"/>
                <w:lang w:eastAsia="zh-CN" w:bidi="ar"/>
              </w:rPr>
            </w:pPr>
            <w:r>
              <w:rPr>
                <w:rFonts w:hint="eastAsia" w:eastAsia="仿宋_GB2312" w:cs="仿宋_GB2312"/>
                <w:kern w:val="0"/>
                <w:sz w:val="24"/>
                <w:szCs w:val="24"/>
                <w:lang w:eastAsia="zh-CN" w:bidi="ar"/>
              </w:rPr>
              <w:t>2022年7月25日</w:t>
            </w:r>
          </w:p>
        </w:tc>
      </w:tr>
    </w:tbl>
    <w:p>
      <w:pPr>
        <w:spacing w:line="240" w:lineRule="exact"/>
        <w:ind w:firstLine="200"/>
        <w:jc w:val="center"/>
        <w:rPr>
          <w:rFonts w:hint="eastAsia" w:ascii="仿宋_GB2312" w:hAnsi="宋体" w:eastAsia="仿宋_GB2312"/>
          <w:bCs/>
          <w:sz w:val="28"/>
          <w:szCs w:val="28"/>
        </w:rPr>
      </w:pPr>
    </w:p>
    <w:p>
      <w:pPr>
        <w:pStyle w:val="3"/>
        <w:spacing w:after="93" w:line="520" w:lineRule="exact"/>
        <w:rPr>
          <w:rFonts w:hint="eastAsia" w:ascii="仿宋_GB2312" w:hAnsi="宋体" w:eastAsia="仿宋_GB2312"/>
          <w:b/>
        </w:rPr>
      </w:pPr>
      <w:bookmarkStart w:id="2" w:name="_Toc517794425"/>
      <w:bookmarkStart w:id="3" w:name="_Toc517794683"/>
      <w:r>
        <w:rPr>
          <w:rFonts w:hint="eastAsia" w:ascii="仿宋_GB2312" w:eastAsia="仿宋_GB2312"/>
          <w:b/>
        </w:rPr>
        <w:t>二、估价的假设和限制条件</w:t>
      </w:r>
      <w:bookmarkEnd w:id="2"/>
      <w:bookmarkEnd w:id="3"/>
    </w:p>
    <w:p>
      <w:pPr>
        <w:tabs>
          <w:tab w:val="left" w:pos="426"/>
          <w:tab w:val="left" w:pos="1065"/>
        </w:tabs>
        <w:spacing w:before="124" w:beforeLines="40" w:line="50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一、一般性假设</w:t>
      </w:r>
    </w:p>
    <w:p>
      <w:pPr>
        <w:tabs>
          <w:tab w:val="left" w:pos="3023"/>
        </w:tabs>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1、估价对象产权明晰，手续齐全，可在公开市场上自由转让。</w:t>
      </w:r>
    </w:p>
    <w:p>
      <w:pPr>
        <w:tabs>
          <w:tab w:val="left" w:pos="3023"/>
        </w:tabs>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2、估价对象合法、持续使用；市场供应关系、市场结构保持稳定、未发生重大变化或实质性改变。</w:t>
      </w:r>
    </w:p>
    <w:p>
      <w:pPr>
        <w:tabs>
          <w:tab w:val="left" w:pos="3023"/>
        </w:tabs>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3、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tabs>
          <w:tab w:val="left" w:pos="3023"/>
        </w:tabs>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4、估价委托人提供了估价对象的</w:t>
      </w:r>
      <w:r>
        <w:rPr>
          <w:rFonts w:hint="eastAsia" w:ascii="仿宋_GB2312" w:eastAsia="仿宋_GB2312"/>
          <w:sz w:val="28"/>
          <w:szCs w:val="28"/>
          <w:lang w:eastAsia="zh-CN"/>
        </w:rPr>
        <w:t>《</w:t>
      </w:r>
      <w:r>
        <w:rPr>
          <w:rFonts w:hint="eastAsia" w:ascii="仿宋_GB2312" w:eastAsia="仿宋_GB2312"/>
          <w:sz w:val="28"/>
          <w:szCs w:val="28"/>
          <w:lang w:val="en-US" w:eastAsia="zh-CN"/>
        </w:rPr>
        <w:t>不动产产权情况表</w:t>
      </w:r>
      <w:r>
        <w:rPr>
          <w:rFonts w:hint="eastAsia" w:ascii="仿宋_GB2312" w:eastAsia="仿宋_GB2312"/>
          <w:sz w:val="28"/>
          <w:szCs w:val="28"/>
          <w:lang w:eastAsia="zh-CN"/>
        </w:rPr>
        <w:t>》</w:t>
      </w:r>
      <w:r>
        <w:rPr>
          <w:rFonts w:hint="eastAsia" w:ascii="仿宋_GB2312" w:eastAsia="仿宋_GB2312"/>
          <w:sz w:val="28"/>
          <w:szCs w:val="28"/>
        </w:rPr>
        <w:t>，我们对权属证书上记载的权属、面积、用途等资料进行了必要的审慎检查，在无理由怀疑其合法性、真实性、准确性和完整性的情况下，假定估价委托人提供的资料合法、真实、准确、完整。</w:t>
      </w:r>
    </w:p>
    <w:p>
      <w:pPr>
        <w:tabs>
          <w:tab w:val="left" w:pos="3023"/>
        </w:tabs>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5、估价人员对估价对象仅进行了外观和利用状况的现场查勘，对被遮盖、未暴露及隐蔽工程未能进行专业的测试和检验，在估价过程中</w:t>
      </w:r>
      <w:r>
        <w:rPr>
          <w:rFonts w:hint="eastAsia" w:ascii="仿宋_GB2312" w:eastAsia="仿宋_GB2312"/>
          <w:sz w:val="28"/>
          <w:szCs w:val="28"/>
          <w:lang w:eastAsia="zh-CN"/>
        </w:rPr>
        <w:t>我们对房屋安全等影响估价对象价值或价格的重大因素给予了关注，在无理由怀疑估价对象存在安全隐患且无相应的专业机构进行鉴定、检测的情况下</w:t>
      </w:r>
      <w:r>
        <w:rPr>
          <w:rFonts w:hint="eastAsia" w:ascii="仿宋_GB2312" w:eastAsia="仿宋_GB2312"/>
          <w:sz w:val="28"/>
          <w:szCs w:val="28"/>
        </w:rPr>
        <w:t>，本次估价对被遮盖、未暴露及隐蔽工程以其状况良好为假设前提。</w:t>
      </w:r>
    </w:p>
    <w:p>
      <w:pPr>
        <w:widowControl/>
        <w:pBdr>
          <w:top w:val="none" w:color="auto" w:sz="0" w:space="0"/>
          <w:left w:val="none" w:color="auto" w:sz="0" w:space="0"/>
          <w:bottom w:val="none" w:color="auto" w:sz="0" w:space="0"/>
          <w:right w:val="none" w:color="auto" w:sz="0" w:space="0"/>
        </w:pBdr>
        <w:spacing w:line="500" w:lineRule="exact"/>
        <w:ind w:firstLine="560" w:firstLineChars="200"/>
        <w:jc w:val="left"/>
        <w:rPr>
          <w:rFonts w:hint="eastAsia" w:ascii="仿宋_GB2312" w:hAnsi="仿宋" w:eastAsia="仿宋_GB2312" w:cs="Times New Roman"/>
          <w:sz w:val="28"/>
          <w:szCs w:val="28"/>
          <w:lang w:val="en-US" w:eastAsia="zh-CN"/>
        </w:rPr>
      </w:pPr>
      <w:r>
        <w:rPr>
          <w:rFonts w:hint="eastAsia" w:ascii="仿宋_GB2312" w:hAnsi="仿宋" w:eastAsia="仿宋_GB2312" w:cs="Times New Roman"/>
          <w:sz w:val="28"/>
          <w:szCs w:val="28"/>
          <w:lang w:val="en-US" w:eastAsia="zh-CN"/>
        </w:rPr>
        <w:t>6、估价委托人提供的资料中未明确存在欠缴税金及相关费用，本次估价以估价对象不存在欠缴税金及相关费用为假设前提。</w:t>
      </w:r>
    </w:p>
    <w:p>
      <w:pPr>
        <w:tabs>
          <w:tab w:val="left" w:pos="426"/>
          <w:tab w:val="left" w:pos="1065"/>
        </w:tabs>
        <w:spacing w:before="124" w:beforeLines="40" w:line="50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二、未定事项假设</w:t>
      </w:r>
    </w:p>
    <w:p>
      <w:pPr>
        <w:tabs>
          <w:tab w:val="left" w:pos="3023"/>
        </w:tabs>
        <w:spacing w:line="500" w:lineRule="exact"/>
        <w:ind w:firstLine="560" w:firstLineChars="200"/>
        <w:rPr>
          <w:rFonts w:eastAsia="仿宋_GB2312"/>
          <w:sz w:val="28"/>
          <w:szCs w:val="28"/>
        </w:rPr>
      </w:pPr>
      <w:r>
        <w:rPr>
          <w:rFonts w:hint="eastAsia" w:hAnsi="仿宋_GB2312" w:eastAsia="仿宋_GB2312"/>
          <w:sz w:val="28"/>
          <w:szCs w:val="28"/>
          <w:lang w:val="en-US" w:eastAsia="zh-CN"/>
        </w:rPr>
        <w:t>按照《城镇土地估价规程》第10.6条，通过评估出让土地使用权扣减土地增值的方法测算划拨土地价格，应科学确定土地增值。由于九江市未公布经科学论证的土地增值收益数据，根据估价人员咨询九江市自然资源局，目前九江市自然资源局办理划拨转出让手续补缴出让金是按评估价的50%比例补缴。结合估价人员采用土地市场比较法测算出让条件下估价对象土地的楼面地价为2493元/平方米，故预计应缴土地出让金：2493×50% =1247元/平方米（取整）（仅供参考），最终数额以当地自然资源局确定补缴额为准</w:t>
      </w:r>
      <w:r>
        <w:rPr>
          <w:rFonts w:hAnsi="仿宋_GB2312" w:eastAsia="仿宋_GB2312"/>
          <w:sz w:val="28"/>
          <w:szCs w:val="28"/>
        </w:rPr>
        <w:t>。</w:t>
      </w:r>
    </w:p>
    <w:p>
      <w:pPr>
        <w:tabs>
          <w:tab w:val="left" w:pos="426"/>
          <w:tab w:val="left" w:pos="1065"/>
        </w:tabs>
        <w:spacing w:before="124" w:beforeLines="40" w:line="50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三、背离事实假设</w:t>
      </w:r>
    </w:p>
    <w:p>
      <w:pPr>
        <w:tabs>
          <w:tab w:val="left" w:pos="426"/>
          <w:tab w:val="left" w:pos="1065"/>
        </w:tabs>
        <w:spacing w:before="124" w:beforeLines="40" w:line="500" w:lineRule="exact"/>
        <w:ind w:right="68" w:firstLine="548" w:firstLineChars="196"/>
        <w:rPr>
          <w:rFonts w:hint="eastAsia" w:ascii="仿宋_GB2312" w:eastAsia="仿宋_GB2312"/>
          <w:snapToGrid w:val="0"/>
          <w:spacing w:val="4"/>
          <w:sz w:val="28"/>
          <w:szCs w:val="28"/>
        </w:rPr>
      </w:pPr>
      <w:r>
        <w:rPr>
          <w:rFonts w:ascii="仿宋_GB2312" w:hAnsi="宋体" w:eastAsia="仿宋_GB2312" w:cs="仿宋_GB2312"/>
          <w:i w:val="0"/>
          <w:iCs w:val="0"/>
          <w:caps w:val="0"/>
          <w:color w:val="000000"/>
          <w:spacing w:val="0"/>
          <w:sz w:val="28"/>
          <w:szCs w:val="28"/>
          <w:shd w:val="clear" w:fill="FFFFFF"/>
        </w:rPr>
        <w:t>根据估价委托人</w:t>
      </w:r>
      <w:r>
        <w:rPr>
          <w:rFonts w:hint="default" w:ascii="仿宋_GB2312" w:hAnsi="宋体" w:eastAsia="仿宋_GB2312" w:cs="仿宋_GB2312"/>
          <w:i w:val="0"/>
          <w:iCs w:val="0"/>
          <w:caps w:val="0"/>
          <w:color w:val="000000"/>
          <w:spacing w:val="0"/>
          <w:sz w:val="28"/>
          <w:szCs w:val="28"/>
          <w:shd w:val="clear" w:fill="FFFFFF"/>
        </w:rPr>
        <w:t>介绍及估价人员现场查勘，估价对象已被查封，结合本次估价目的，本次估价未考虑法院查封对估价对象价值的影响</w:t>
      </w:r>
      <w:r>
        <w:rPr>
          <w:rFonts w:hint="eastAsia" w:ascii="仿宋_GB2312" w:eastAsia="仿宋_GB2312"/>
          <w:snapToGrid w:val="0"/>
          <w:spacing w:val="4"/>
          <w:sz w:val="28"/>
          <w:szCs w:val="28"/>
        </w:rPr>
        <w:t>。</w:t>
      </w:r>
    </w:p>
    <w:p>
      <w:pPr>
        <w:tabs>
          <w:tab w:val="left" w:pos="426"/>
          <w:tab w:val="left" w:pos="1065"/>
        </w:tabs>
        <w:spacing w:before="124" w:beforeLines="40" w:line="50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四、不相一致假设</w:t>
      </w:r>
    </w:p>
    <w:p>
      <w:pPr>
        <w:tabs>
          <w:tab w:val="left" w:pos="3023"/>
        </w:tabs>
        <w:spacing w:line="50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根据估价委托人提供的资料显示，估价对象登记坐落为开发区旭日路管委会宿舍11-401，而通过估价人员现场查勘，估价对象实际坐落为开发区旭日路管委会宿舍1-1-401，存在不相一致，应估价委托人的要求，故本次以《不动产产权情况表》登记为准。</w:t>
      </w:r>
    </w:p>
    <w:p>
      <w:pPr>
        <w:tabs>
          <w:tab w:val="left" w:pos="426"/>
          <w:tab w:val="left" w:pos="1065"/>
        </w:tabs>
        <w:spacing w:before="124" w:beforeLines="40" w:line="50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五、依据不足假设</w:t>
      </w:r>
    </w:p>
    <w:p>
      <w:pPr>
        <w:tabs>
          <w:tab w:val="left" w:pos="3023"/>
        </w:tabs>
        <w:spacing w:line="500" w:lineRule="exact"/>
        <w:ind w:firstLine="560" w:firstLineChars="200"/>
        <w:rPr>
          <w:rFonts w:hint="eastAsia" w:hAnsi="仿宋_GB2312" w:eastAsia="仿宋_GB2312"/>
          <w:sz w:val="28"/>
          <w:szCs w:val="28"/>
          <w:lang w:val="en-US" w:eastAsia="zh-CN"/>
        </w:rPr>
      </w:pPr>
      <w:r>
        <w:rPr>
          <w:rFonts w:hint="eastAsia" w:hAnsi="仿宋_GB2312" w:eastAsia="仿宋_GB2312"/>
          <w:sz w:val="28"/>
          <w:szCs w:val="28"/>
          <w:lang w:val="en-US" w:eastAsia="zh-CN"/>
        </w:rPr>
        <w:t>1、由于被执行人未配合，我司估价人员未能进入该房产内部进行查勘拍照，无法确定该房地产内部装修情况。根据估价人员市场调查，应估价委托人的要求，故本次评估假设估价对象房屋内部装修为简装。</w:t>
      </w:r>
    </w:p>
    <w:p>
      <w:pPr>
        <w:pStyle w:val="2"/>
        <w:spacing w:line="500" w:lineRule="exact"/>
        <w:ind w:firstLine="560" w:firstLineChars="200"/>
        <w:rPr>
          <w:rFonts w:hint="default" w:ascii="Times New Roman" w:hAnsi="仿宋_GB2312" w:eastAsia="仿宋_GB2312" w:cs="Times New Roman"/>
          <w:bCs w:val="0"/>
          <w:kern w:val="2"/>
          <w:sz w:val="28"/>
          <w:lang w:val="en-US" w:eastAsia="zh-CN"/>
        </w:rPr>
      </w:pPr>
      <w:r>
        <w:rPr>
          <w:rFonts w:hint="eastAsia" w:ascii="Times New Roman" w:hAnsi="仿宋_GB2312" w:eastAsia="仿宋_GB2312" w:cs="Times New Roman"/>
          <w:bCs w:val="0"/>
          <w:kern w:val="2"/>
          <w:sz w:val="28"/>
          <w:szCs w:val="28"/>
          <w:lang w:val="en-US" w:eastAsia="zh-CN"/>
        </w:rPr>
        <w:t>2、因估价委托人未提供估价对象土地性质、土地用途相关产权资料，应估价委托人的要求，故本次估价以估价委托人提供的《九江市濂溪区人民法院价格评估委托书》记载的估价对象土地性质为划拨，土地用途为住宅用地。</w:t>
      </w:r>
    </w:p>
    <w:p>
      <w:pPr>
        <w:tabs>
          <w:tab w:val="left" w:pos="3023"/>
        </w:tabs>
        <w:spacing w:line="500" w:lineRule="exact"/>
        <w:ind w:firstLine="560" w:firstLineChars="200"/>
        <w:rPr>
          <w:rFonts w:hint="eastAsia" w:ascii="仿宋_GB2312" w:eastAsia="仿宋_GB2312"/>
          <w:sz w:val="28"/>
          <w:szCs w:val="28"/>
          <w:lang w:val="en-US" w:eastAsia="zh-CN"/>
        </w:rPr>
      </w:pPr>
      <w:r>
        <w:rPr>
          <w:rFonts w:hint="eastAsia" w:hAnsi="仿宋_GB2312" w:eastAsia="仿宋_GB2312"/>
          <w:sz w:val="28"/>
          <w:szCs w:val="28"/>
          <w:lang w:val="en-US" w:eastAsia="zh-CN"/>
        </w:rPr>
        <w:t>若上述条件有变动，则估价结果需调整，提请报告使用人注意</w:t>
      </w:r>
      <w:r>
        <w:rPr>
          <w:rFonts w:hint="eastAsia" w:ascii="仿宋_GB2312" w:eastAsia="仿宋_GB2312"/>
          <w:sz w:val="28"/>
          <w:szCs w:val="28"/>
          <w:lang w:val="en-US" w:eastAsia="zh-CN"/>
        </w:rPr>
        <w:t>。</w:t>
      </w:r>
    </w:p>
    <w:p>
      <w:pPr>
        <w:tabs>
          <w:tab w:val="left" w:pos="426"/>
          <w:tab w:val="left" w:pos="1065"/>
        </w:tabs>
        <w:spacing w:before="124" w:beforeLines="40" w:line="50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六、估价报告使用限制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00" w:lineRule="exact"/>
        <w:ind w:left="0" w:right="0" w:firstLine="560" w:firstLineChars="200"/>
        <w:jc w:val="left"/>
        <w:rPr>
          <w:rFonts w:hint="eastAsia" w:ascii="仿宋_GB2312" w:hAnsi="仿宋" w:eastAsia="仿宋_GB2312" w:cs="Times New Roman"/>
          <w:i w:val="0"/>
          <w:iCs w:val="0"/>
          <w:caps w:val="0"/>
          <w:spacing w:val="0"/>
          <w:kern w:val="2"/>
          <w:sz w:val="28"/>
          <w:szCs w:val="28"/>
          <w:shd w:val="clear"/>
          <w:lang w:eastAsia="zh-CN"/>
        </w:rPr>
      </w:pPr>
      <w:r>
        <w:rPr>
          <w:rFonts w:hint="eastAsia" w:ascii="仿宋_GB2312" w:hAnsi="仿宋" w:eastAsia="仿宋_GB2312" w:cs="Times New Roman"/>
          <w:sz w:val="28"/>
          <w:szCs w:val="28"/>
        </w:rPr>
        <w:t>1、本估价报告仅为</w:t>
      </w:r>
      <w:r>
        <w:rPr>
          <w:rFonts w:hint="eastAsia" w:ascii="仿宋_GB2312" w:hAnsi="仿宋" w:eastAsia="仿宋_GB2312" w:cs="Times New Roman"/>
          <w:b/>
          <w:bCs/>
          <w:sz w:val="28"/>
          <w:szCs w:val="28"/>
          <w:lang w:val="en-US" w:eastAsia="zh-CN"/>
        </w:rPr>
        <w:t>九江市濂溪区人民法院</w:t>
      </w:r>
      <w:r>
        <w:rPr>
          <w:rFonts w:hint="eastAsia" w:ascii="仿宋_GB2312" w:hAnsi="仿宋" w:eastAsia="仿宋_GB2312" w:cs="Times New Roman"/>
          <w:sz w:val="28"/>
          <w:szCs w:val="28"/>
          <w:lang w:eastAsia="zh-CN"/>
        </w:rPr>
        <w:t>确定财产</w:t>
      </w:r>
      <w:r>
        <w:rPr>
          <w:rFonts w:hint="eastAsia" w:ascii="仿宋_GB2312" w:hAnsi="仿宋" w:eastAsia="仿宋_GB2312" w:cs="Times New Roman"/>
          <w:sz w:val="28"/>
          <w:szCs w:val="28"/>
        </w:rPr>
        <w:t>处置</w:t>
      </w:r>
      <w:r>
        <w:rPr>
          <w:rFonts w:hint="eastAsia" w:ascii="仿宋_GB2312" w:hAnsi="仿宋" w:eastAsia="仿宋_GB2312" w:cs="Times New Roman"/>
          <w:sz w:val="28"/>
          <w:szCs w:val="28"/>
          <w:lang w:eastAsia="zh-CN"/>
        </w:rPr>
        <w:t>参考价</w:t>
      </w:r>
      <w:r>
        <w:rPr>
          <w:rFonts w:hint="eastAsia" w:ascii="仿宋_GB2312" w:hAnsi="仿宋" w:eastAsia="仿宋_GB2312" w:cs="Times New Roman"/>
          <w:sz w:val="28"/>
          <w:szCs w:val="28"/>
        </w:rPr>
        <w:t>提供</w:t>
      </w:r>
      <w:r>
        <w:rPr>
          <w:rFonts w:hint="eastAsia" w:ascii="仿宋_GB2312" w:hAnsi="仿宋" w:eastAsia="仿宋_GB2312" w:cs="Times New Roman"/>
          <w:sz w:val="28"/>
          <w:szCs w:val="28"/>
          <w:lang w:eastAsia="zh-CN"/>
        </w:rPr>
        <w:t>参考</w:t>
      </w:r>
      <w:r>
        <w:rPr>
          <w:rFonts w:hint="eastAsia" w:ascii="仿宋_GB2312" w:hAnsi="仿宋" w:eastAsia="仿宋_GB2312" w:cs="Times New Roman"/>
          <w:sz w:val="28"/>
          <w:szCs w:val="28"/>
        </w:rPr>
        <w:t>依据，不作它用；</w:t>
      </w:r>
      <w:r>
        <w:rPr>
          <w:rFonts w:hint="eastAsia" w:ascii="仿宋_GB2312" w:hAnsi="仿宋" w:eastAsia="仿宋_GB2312" w:cs="Times New Roman"/>
          <w:kern w:val="2"/>
          <w:sz w:val="28"/>
          <w:szCs w:val="28"/>
          <w:lang w:val="en-US" w:eastAsia="zh-CN"/>
        </w:rPr>
        <w:t>报告使用人</w:t>
      </w:r>
      <w:r>
        <w:rPr>
          <w:rFonts w:hint="eastAsia" w:ascii="仿宋_GB2312" w:hAnsi="仿宋" w:eastAsia="仿宋_GB2312" w:cs="Times New Roman"/>
          <w:i w:val="0"/>
          <w:iCs w:val="0"/>
          <w:caps w:val="0"/>
          <w:spacing w:val="0"/>
          <w:sz w:val="28"/>
          <w:szCs w:val="28"/>
          <w:shd w:val="clear"/>
        </w:rPr>
        <w:t>应当按照法律规定和报告</w:t>
      </w:r>
      <w:r>
        <w:rPr>
          <w:rFonts w:hint="eastAsia" w:ascii="仿宋_GB2312" w:hAnsi="仿宋" w:eastAsia="仿宋_GB2312" w:cs="Times New Roman"/>
          <w:i w:val="0"/>
          <w:iCs w:val="0"/>
          <w:caps w:val="0"/>
          <w:spacing w:val="0"/>
          <w:kern w:val="2"/>
          <w:sz w:val="28"/>
          <w:szCs w:val="28"/>
          <w:shd w:val="clear"/>
          <w:lang w:eastAsia="zh-CN"/>
        </w:rPr>
        <w:t>所</w:t>
      </w:r>
      <w:r>
        <w:rPr>
          <w:rFonts w:hint="eastAsia" w:ascii="仿宋_GB2312" w:hAnsi="仿宋" w:eastAsia="仿宋_GB2312" w:cs="Times New Roman"/>
          <w:i w:val="0"/>
          <w:iCs w:val="0"/>
          <w:caps w:val="0"/>
          <w:spacing w:val="0"/>
          <w:sz w:val="28"/>
          <w:szCs w:val="28"/>
          <w:shd w:val="clear"/>
        </w:rPr>
        <w:t>载明的用途、使用人、使用期限等使用范围使用</w:t>
      </w:r>
      <w:r>
        <w:rPr>
          <w:rFonts w:hint="eastAsia" w:ascii="仿宋_GB2312" w:hAnsi="仿宋" w:eastAsia="仿宋_GB2312" w:cs="Times New Roman"/>
          <w:i w:val="0"/>
          <w:iCs w:val="0"/>
          <w:caps w:val="0"/>
          <w:spacing w:val="0"/>
          <w:kern w:val="2"/>
          <w:sz w:val="28"/>
          <w:szCs w:val="28"/>
          <w:shd w:val="clear"/>
          <w:lang w:eastAsia="zh-CN"/>
        </w:rPr>
        <w:t>本估价</w:t>
      </w:r>
      <w:r>
        <w:rPr>
          <w:rFonts w:hint="eastAsia" w:ascii="仿宋_GB2312" w:hAnsi="仿宋" w:eastAsia="仿宋_GB2312" w:cs="Times New Roman"/>
          <w:i w:val="0"/>
          <w:iCs w:val="0"/>
          <w:caps w:val="0"/>
          <w:spacing w:val="0"/>
          <w:sz w:val="28"/>
          <w:szCs w:val="28"/>
          <w:shd w:val="clear"/>
        </w:rPr>
        <w:t>报告</w:t>
      </w:r>
      <w:r>
        <w:rPr>
          <w:rFonts w:hint="eastAsia" w:ascii="仿宋_GB2312" w:hAnsi="仿宋" w:eastAsia="仿宋_GB2312" w:cs="Times New Roman"/>
          <w:i w:val="0"/>
          <w:iCs w:val="0"/>
          <w:caps w:val="0"/>
          <w:spacing w:val="0"/>
          <w:sz w:val="28"/>
          <w:szCs w:val="28"/>
          <w:shd w:val="clear"/>
          <w:lang w:eastAsia="zh-CN"/>
        </w:rPr>
        <w:t>；</w:t>
      </w:r>
      <w:r>
        <w:rPr>
          <w:rFonts w:hint="eastAsia" w:ascii="仿宋_GB2312" w:hAnsi="仿宋" w:eastAsia="仿宋_GB2312" w:cs="Times New Roman"/>
          <w:i w:val="0"/>
          <w:iCs w:val="0"/>
          <w:caps w:val="0"/>
          <w:spacing w:val="0"/>
          <w:sz w:val="28"/>
          <w:szCs w:val="28"/>
          <w:shd w:val="clear"/>
        </w:rPr>
        <w:t>否则，房地产估价机构和注册房地产估价师依法不承担责任</w:t>
      </w:r>
      <w:r>
        <w:rPr>
          <w:rFonts w:hint="eastAsia" w:ascii="仿宋_GB2312" w:hAnsi="仿宋" w:eastAsia="仿宋_GB2312" w:cs="Times New Roman"/>
          <w:i w:val="0"/>
          <w:iCs w:val="0"/>
          <w:caps w:val="0"/>
          <w:spacing w:val="0"/>
          <w:kern w:val="2"/>
          <w:sz w:val="28"/>
          <w:szCs w:val="28"/>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00" w:lineRule="exact"/>
        <w:ind w:left="0" w:right="0" w:firstLine="560" w:firstLineChars="200"/>
        <w:jc w:val="left"/>
        <w:rPr>
          <w:rFonts w:hint="eastAsia" w:ascii="仿宋_GB2312" w:hAnsi="仿宋" w:eastAsia="仿宋_GB2312" w:cs="Times New Roman"/>
          <w:i w:val="0"/>
          <w:iCs w:val="0"/>
          <w:caps w:val="0"/>
          <w:spacing w:val="0"/>
          <w:kern w:val="2"/>
          <w:sz w:val="28"/>
          <w:szCs w:val="28"/>
          <w:shd w:val="clear"/>
          <w:lang w:eastAsia="zh-CN"/>
        </w:rPr>
      </w:pPr>
      <w:r>
        <w:rPr>
          <w:rFonts w:hint="eastAsia" w:ascii="仿宋_GB2312" w:hAnsi="仿宋" w:eastAsia="仿宋_GB2312" w:cs="Times New Roman"/>
          <w:sz w:val="28"/>
          <w:szCs w:val="28"/>
          <w:lang w:val="en-US" w:eastAsia="zh-CN"/>
        </w:rPr>
        <w:t>2、</w:t>
      </w:r>
      <w:r>
        <w:rPr>
          <w:rFonts w:hint="eastAsia" w:ascii="仿宋_GB2312" w:hAnsi="仿宋" w:eastAsia="仿宋_GB2312" w:cs="Times New Roman"/>
          <w:sz w:val="28"/>
          <w:szCs w:val="28"/>
        </w:rPr>
        <w:t>本估价报告自出具之日起一年内有效</w:t>
      </w:r>
      <w:r>
        <w:rPr>
          <w:rFonts w:hint="eastAsia" w:ascii="仿宋_GB2312" w:hAnsi="仿宋" w:eastAsia="仿宋_GB2312" w:cs="Times New Roman"/>
          <w:sz w:val="28"/>
          <w:szCs w:val="28"/>
          <w:lang w:eastAsia="zh-CN"/>
        </w:rPr>
        <w:t>。</w:t>
      </w:r>
      <w:r>
        <w:rPr>
          <w:rFonts w:hint="eastAsia" w:ascii="仿宋_GB2312" w:hAnsi="仿宋" w:eastAsia="仿宋_GB2312" w:cs="Times New Roman"/>
          <w:i w:val="0"/>
          <w:iCs w:val="0"/>
          <w:caps w:val="0"/>
          <w:spacing w:val="0"/>
          <w:sz w:val="28"/>
          <w:szCs w:val="28"/>
          <w:shd w:val="clear"/>
        </w:rPr>
        <w:t>在报告使用期限</w:t>
      </w:r>
      <w:r>
        <w:rPr>
          <w:rFonts w:hint="eastAsia" w:ascii="仿宋_GB2312" w:hAnsi="仿宋" w:eastAsia="仿宋_GB2312" w:cs="Times New Roman"/>
          <w:i w:val="0"/>
          <w:iCs w:val="0"/>
          <w:caps w:val="0"/>
          <w:spacing w:val="0"/>
          <w:sz w:val="28"/>
          <w:szCs w:val="28"/>
          <w:shd w:val="clear"/>
          <w:lang w:eastAsia="zh-CN"/>
        </w:rPr>
        <w:t>及</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结果有效期内，</w:t>
      </w:r>
      <w:r>
        <w:rPr>
          <w:rFonts w:hint="eastAsia" w:ascii="仿宋_GB2312" w:hAnsi="仿宋" w:eastAsia="仿宋_GB2312" w:cs="Times New Roman"/>
          <w:i w:val="0"/>
          <w:iCs w:val="0"/>
          <w:caps w:val="0"/>
          <w:spacing w:val="0"/>
          <w:sz w:val="28"/>
          <w:szCs w:val="28"/>
          <w:shd w:val="clear"/>
          <w:lang w:eastAsia="zh-CN"/>
        </w:rPr>
        <w:t>或者</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报告</w:t>
      </w:r>
      <w:r>
        <w:rPr>
          <w:rFonts w:hint="eastAsia" w:ascii="仿宋_GB2312" w:hAnsi="仿宋" w:eastAsia="仿宋_GB2312" w:cs="Times New Roman"/>
          <w:i w:val="0"/>
          <w:iCs w:val="0"/>
          <w:caps w:val="0"/>
          <w:spacing w:val="0"/>
          <w:sz w:val="28"/>
          <w:szCs w:val="28"/>
          <w:shd w:val="clear"/>
          <w:lang w:eastAsia="zh-CN"/>
        </w:rPr>
        <w:t>和</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结果未使用之前，如果</w:t>
      </w:r>
      <w:r>
        <w:rPr>
          <w:rFonts w:hint="eastAsia" w:ascii="仿宋_GB2312" w:hAnsi="仿宋" w:eastAsia="仿宋_GB2312" w:cs="Times New Roman"/>
          <w:i w:val="0"/>
          <w:iCs w:val="0"/>
          <w:caps w:val="0"/>
          <w:spacing w:val="0"/>
          <w:kern w:val="2"/>
          <w:sz w:val="28"/>
          <w:szCs w:val="28"/>
          <w:shd w:val="clear"/>
          <w:lang w:eastAsia="zh-CN"/>
        </w:rPr>
        <w:t>估价对象</w:t>
      </w:r>
      <w:r>
        <w:rPr>
          <w:rFonts w:hint="eastAsia" w:ascii="仿宋_GB2312" w:hAnsi="仿宋" w:eastAsia="仿宋_GB2312" w:cs="Times New Roman"/>
          <w:i w:val="0"/>
          <w:iCs w:val="0"/>
          <w:caps w:val="0"/>
          <w:spacing w:val="0"/>
          <w:sz w:val="28"/>
          <w:szCs w:val="28"/>
          <w:shd w:val="clear"/>
        </w:rPr>
        <w:t>状况或者房地产市场状况发生明显变化的，</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结果应当进行相应调整后才可使用</w:t>
      </w:r>
      <w:r>
        <w:rPr>
          <w:rFonts w:hint="eastAsia" w:ascii="仿宋_GB2312" w:hAnsi="仿宋" w:eastAsia="仿宋_GB2312" w:cs="Times New Roman"/>
          <w:i w:val="0"/>
          <w:iCs w:val="0"/>
          <w:caps w:val="0"/>
          <w:spacing w:val="0"/>
          <w:kern w:val="2"/>
          <w:sz w:val="28"/>
          <w:szCs w:val="28"/>
          <w:shd w:val="clear"/>
          <w:lang w:eastAsia="zh-CN"/>
        </w:rPr>
        <w:t>。</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00" w:lineRule="exact"/>
        <w:ind w:left="0" w:right="0" w:firstLine="560" w:firstLineChars="200"/>
        <w:jc w:val="left"/>
        <w:rPr>
          <w:rFonts w:hint="eastAsia" w:ascii="仿宋_GB2312" w:hAnsi="仿宋" w:eastAsia="仿宋_GB2312" w:cs="Times New Roman"/>
          <w:i w:val="0"/>
          <w:iCs w:val="0"/>
          <w:caps w:val="0"/>
          <w:spacing w:val="0"/>
          <w:kern w:val="2"/>
          <w:sz w:val="28"/>
          <w:szCs w:val="28"/>
          <w:shd w:val="clear"/>
          <w:lang w:eastAsia="zh-CN"/>
        </w:rPr>
      </w:pPr>
      <w:r>
        <w:rPr>
          <w:rFonts w:hint="eastAsia" w:ascii="仿宋_GB2312" w:hAnsi="仿宋" w:eastAsia="仿宋_GB2312" w:cs="Times New Roman"/>
          <w:i w:val="0"/>
          <w:iCs w:val="0"/>
          <w:caps w:val="0"/>
          <w:spacing w:val="0"/>
          <w:kern w:val="2"/>
          <w:sz w:val="28"/>
          <w:szCs w:val="28"/>
          <w:shd w:val="clear"/>
          <w:lang w:val="en-US" w:eastAsia="zh-CN"/>
        </w:rPr>
        <w:t>3、</w:t>
      </w:r>
      <w:r>
        <w:rPr>
          <w:rFonts w:hint="eastAsia" w:ascii="仿宋_GB2312" w:hAnsi="仿宋" w:eastAsia="仿宋_GB2312" w:cs="Times New Roman"/>
          <w:i w:val="0"/>
          <w:iCs w:val="0"/>
          <w:caps w:val="0"/>
          <w:spacing w:val="0"/>
          <w:kern w:val="2"/>
          <w:sz w:val="28"/>
          <w:szCs w:val="28"/>
          <w:shd w:val="clear"/>
          <w:lang w:eastAsia="zh-CN"/>
        </w:rPr>
        <w:t>若</w:t>
      </w:r>
      <w:r>
        <w:rPr>
          <w:rFonts w:hint="eastAsia" w:ascii="仿宋_GB2312" w:hAnsi="仿宋" w:eastAsia="仿宋_GB2312" w:cs="Times New Roman"/>
          <w:i w:val="0"/>
          <w:iCs w:val="0"/>
          <w:caps w:val="0"/>
          <w:spacing w:val="0"/>
          <w:sz w:val="28"/>
          <w:szCs w:val="28"/>
          <w:shd w:val="clear"/>
        </w:rPr>
        <w:t>财产拍卖或者变卖之日与价值时点不一致，可能导致</w:t>
      </w:r>
      <w:r>
        <w:rPr>
          <w:rFonts w:hint="eastAsia" w:ascii="仿宋_GB2312" w:hAnsi="仿宋" w:eastAsia="仿宋_GB2312" w:cs="Times New Roman"/>
          <w:i w:val="0"/>
          <w:iCs w:val="0"/>
          <w:caps w:val="0"/>
          <w:spacing w:val="0"/>
          <w:kern w:val="2"/>
          <w:sz w:val="28"/>
          <w:szCs w:val="28"/>
          <w:shd w:val="clear"/>
          <w:lang w:eastAsia="zh-CN"/>
        </w:rPr>
        <w:t>估价结果</w:t>
      </w:r>
      <w:r>
        <w:rPr>
          <w:rFonts w:hint="eastAsia" w:ascii="仿宋_GB2312" w:hAnsi="仿宋" w:eastAsia="仿宋_GB2312" w:cs="Times New Roman"/>
          <w:i w:val="0"/>
          <w:iCs w:val="0"/>
          <w:caps w:val="0"/>
          <w:spacing w:val="0"/>
          <w:sz w:val="28"/>
          <w:szCs w:val="28"/>
          <w:shd w:val="clear"/>
        </w:rPr>
        <w:t>对应的</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对象状况、房地产市场状况、欠缴税费状况等与财产拍卖或者变卖时的相应状况不一致，发生明显变化的，</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sz w:val="28"/>
          <w:szCs w:val="28"/>
          <w:shd w:val="clear"/>
        </w:rPr>
        <w:t>结果应当进行相应调整后才可使用</w:t>
      </w:r>
      <w:r>
        <w:rPr>
          <w:rFonts w:hint="eastAsia" w:ascii="仿宋_GB2312" w:hAnsi="仿宋" w:eastAsia="仿宋_GB2312" w:cs="Times New Roman"/>
          <w:i w:val="0"/>
          <w:iCs w:val="0"/>
          <w:caps w:val="0"/>
          <w:spacing w:val="0"/>
          <w:kern w:val="2"/>
          <w:sz w:val="28"/>
          <w:szCs w:val="28"/>
          <w:shd w:val="clear"/>
          <w:lang w:eastAsia="zh-CN"/>
        </w:rPr>
        <w:t>。</w:t>
      </w:r>
    </w:p>
    <w:p>
      <w:pPr>
        <w:widowControl/>
        <w:pBdr>
          <w:top w:val="none" w:color="auto" w:sz="0" w:space="0"/>
          <w:left w:val="none" w:color="auto" w:sz="0" w:space="0"/>
          <w:bottom w:val="none" w:color="auto" w:sz="0" w:space="0"/>
          <w:right w:val="none" w:color="auto" w:sz="0" w:space="0"/>
        </w:pBdr>
        <w:spacing w:line="500" w:lineRule="exact"/>
        <w:ind w:firstLine="560" w:firstLineChars="200"/>
        <w:jc w:val="left"/>
        <w:rPr>
          <w:rFonts w:hint="eastAsia" w:ascii="仿宋_GB2312" w:hAnsi="仿宋" w:eastAsia="仿宋_GB2312" w:cs="Times New Roman"/>
          <w:sz w:val="28"/>
          <w:szCs w:val="28"/>
        </w:rPr>
      </w:pPr>
      <w:r>
        <w:rPr>
          <w:rFonts w:hint="eastAsia" w:ascii="仿宋_GB2312" w:hAnsi="仿宋" w:eastAsia="仿宋_GB2312" w:cs="Times New Roman"/>
          <w:sz w:val="28"/>
          <w:szCs w:val="28"/>
          <w:lang w:val="en-US" w:eastAsia="zh-CN"/>
        </w:rPr>
        <w:t>4</w:t>
      </w:r>
      <w:r>
        <w:rPr>
          <w:rFonts w:hint="eastAsia" w:ascii="仿宋_GB2312" w:hAnsi="仿宋" w:eastAsia="仿宋_GB2312" w:cs="Times New Roman"/>
          <w:sz w:val="28"/>
          <w:szCs w:val="28"/>
        </w:rPr>
        <w:t>、本估价报告专为估价委托人所使用，未经本估价机构同意，不得向估价委托人、估价利害关系人和报告审查部门之外的单位和个人提供。本报告的全部或部分及任何参考资料均不允许在任何公开发表的文件、通告或声明中引用，亦不得以其他任何方式公开发表。本公司拥有估价报告的最终解释权。</w:t>
      </w:r>
    </w:p>
    <w:p>
      <w:pPr>
        <w:widowControl/>
        <w:pBdr>
          <w:top w:val="none" w:color="auto" w:sz="0" w:space="0"/>
          <w:left w:val="none" w:color="auto" w:sz="0" w:space="0"/>
          <w:bottom w:val="none" w:color="auto" w:sz="0" w:space="0"/>
          <w:right w:val="none" w:color="auto" w:sz="0" w:space="0"/>
        </w:pBdr>
        <w:spacing w:line="500" w:lineRule="exact"/>
        <w:ind w:firstLine="560" w:firstLineChars="200"/>
        <w:jc w:val="left"/>
        <w:rPr>
          <w:rFonts w:hint="eastAsia" w:ascii="仿宋_GB2312" w:hAnsi="仿宋" w:eastAsia="仿宋_GB2312" w:cs="Times New Roman"/>
          <w:sz w:val="28"/>
          <w:szCs w:val="28"/>
        </w:rPr>
      </w:pPr>
      <w:r>
        <w:rPr>
          <w:rFonts w:hint="eastAsia" w:ascii="仿宋_GB2312" w:hAnsi="仿宋" w:eastAsia="仿宋_GB2312" w:cs="Times New Roman"/>
          <w:sz w:val="28"/>
          <w:szCs w:val="28"/>
          <w:lang w:val="en-US" w:eastAsia="zh-CN"/>
        </w:rPr>
        <w:t>5</w:t>
      </w:r>
      <w:r>
        <w:rPr>
          <w:rFonts w:hint="eastAsia" w:ascii="仿宋_GB2312" w:hAnsi="仿宋" w:eastAsia="仿宋_GB2312" w:cs="Times New Roman"/>
          <w:sz w:val="28"/>
          <w:szCs w:val="28"/>
        </w:rPr>
        <w:t>、本报告必须经估价机构加盖公章后方可使用，估价机构仅对本报告的原件承担责任，对任何形式的复制件概不认可且不承担责任。</w:t>
      </w:r>
    </w:p>
    <w:p>
      <w:pPr>
        <w:tabs>
          <w:tab w:val="left" w:pos="3023"/>
        </w:tabs>
        <w:spacing w:line="500" w:lineRule="exact"/>
        <w:ind w:firstLine="562" w:firstLineChars="200"/>
        <w:rPr>
          <w:rFonts w:hint="eastAsia" w:ascii="仿宋_GB2312" w:eastAsia="仿宋_GB2312"/>
          <w:b/>
          <w:bCs/>
          <w:sz w:val="28"/>
          <w:szCs w:val="28"/>
        </w:rPr>
      </w:pPr>
      <w:r>
        <w:rPr>
          <w:rFonts w:hint="eastAsia" w:ascii="仿宋_GB2312" w:eastAsia="仿宋_GB2312"/>
          <w:b/>
          <w:bCs/>
          <w:sz w:val="28"/>
          <w:szCs w:val="28"/>
          <w:lang w:eastAsia="zh-CN"/>
        </w:rPr>
        <w:t>（</w:t>
      </w:r>
      <w:r>
        <w:rPr>
          <w:rFonts w:hint="eastAsia" w:ascii="仿宋_GB2312" w:eastAsia="仿宋_GB2312"/>
          <w:b/>
          <w:bCs/>
          <w:sz w:val="28"/>
          <w:szCs w:val="28"/>
        </w:rPr>
        <w:t>七</w:t>
      </w:r>
      <w:r>
        <w:rPr>
          <w:rFonts w:hint="eastAsia" w:ascii="仿宋_GB2312" w:eastAsia="仿宋_GB2312"/>
          <w:b/>
          <w:bCs/>
          <w:sz w:val="28"/>
          <w:szCs w:val="28"/>
          <w:lang w:eastAsia="zh-CN"/>
        </w:rPr>
        <w:t>）</w:t>
      </w:r>
      <w:r>
        <w:rPr>
          <w:rFonts w:hint="eastAsia" w:ascii="仿宋_GB2312" w:eastAsia="仿宋_GB2312"/>
          <w:b/>
          <w:bCs/>
          <w:sz w:val="28"/>
          <w:szCs w:val="28"/>
        </w:rPr>
        <w:t>需要特别说明的事项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00" w:lineRule="exact"/>
        <w:ind w:left="0" w:right="0" w:firstLine="560" w:firstLineChars="200"/>
        <w:jc w:val="left"/>
        <w:rPr>
          <w:rFonts w:hint="eastAsia" w:ascii="仿宋_GB2312" w:hAnsi="仿宋" w:eastAsia="仿宋_GB2312" w:cs="Times New Roman"/>
          <w:sz w:val="28"/>
          <w:szCs w:val="28"/>
        </w:rPr>
      </w:pPr>
      <w:r>
        <w:rPr>
          <w:rFonts w:hint="eastAsia" w:ascii="仿宋_GB2312" w:hAnsi="仿宋" w:eastAsia="仿宋_GB2312" w:cs="Times New Roman"/>
          <w:sz w:val="28"/>
          <w:szCs w:val="28"/>
          <w:lang w:val="en-US" w:eastAsia="zh-CN"/>
        </w:rPr>
        <w:t>1、本</w:t>
      </w:r>
      <w:r>
        <w:rPr>
          <w:rFonts w:hint="eastAsia" w:ascii="仿宋_GB2312" w:hAnsi="仿宋" w:eastAsia="仿宋_GB2312" w:cs="Times New Roman"/>
          <w:sz w:val="28"/>
          <w:szCs w:val="28"/>
        </w:rPr>
        <w:t>估价结果未扣除法定优先受偿款，也未计入估价对象处置时应交纳的拍卖费、契税、土地增值税、交易手续费、评估费、诉讼费、律师费</w:t>
      </w:r>
      <w:r>
        <w:rPr>
          <w:rFonts w:hint="eastAsia" w:ascii="仿宋_GB2312" w:hAnsi="仿宋" w:eastAsia="仿宋_GB2312" w:cs="Times New Roman"/>
          <w:sz w:val="28"/>
          <w:szCs w:val="28"/>
          <w:lang w:eastAsia="zh-CN"/>
        </w:rPr>
        <w:t>、</w:t>
      </w:r>
      <w:r>
        <w:rPr>
          <w:rFonts w:hint="eastAsia" w:ascii="仿宋_GB2312" w:hAnsi="仿宋" w:eastAsia="仿宋_GB2312" w:cs="Times New Roman"/>
          <w:sz w:val="28"/>
          <w:szCs w:val="28"/>
        </w:rPr>
        <w:t>发证费以及税收、物业费、水电气费等法律、法规规定应交纳的有关税费及费用。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00" w:lineRule="exact"/>
        <w:ind w:left="0" w:right="0" w:firstLine="560" w:firstLineChars="200"/>
        <w:jc w:val="left"/>
        <w:rPr>
          <w:rFonts w:hint="eastAsia" w:ascii="仿宋_GB2312" w:hAnsi="仿宋" w:eastAsia="仿宋_GB2312" w:cs="Times New Roman"/>
          <w:i w:val="0"/>
          <w:iCs w:val="0"/>
          <w:caps w:val="0"/>
          <w:spacing w:val="0"/>
          <w:kern w:val="2"/>
          <w:sz w:val="28"/>
          <w:szCs w:val="28"/>
          <w:shd w:val="clear"/>
          <w:lang w:eastAsia="zh-CN"/>
        </w:rPr>
      </w:pPr>
      <w:r>
        <w:rPr>
          <w:rFonts w:hint="eastAsia" w:ascii="仿宋_GB2312" w:hAnsi="仿宋" w:eastAsia="仿宋_GB2312" w:cs="Times New Roman"/>
          <w:i w:val="0"/>
          <w:iCs w:val="0"/>
          <w:caps w:val="0"/>
          <w:spacing w:val="0"/>
          <w:kern w:val="2"/>
          <w:sz w:val="28"/>
          <w:szCs w:val="28"/>
          <w:shd w:val="clear"/>
          <w:lang w:val="en-US" w:eastAsia="zh-CN"/>
        </w:rPr>
        <w:t>2、本</w:t>
      </w:r>
      <w:r>
        <w:rPr>
          <w:rFonts w:hint="eastAsia" w:ascii="仿宋_GB2312" w:hAnsi="仿宋" w:eastAsia="仿宋_GB2312" w:cs="Times New Roman"/>
          <w:i w:val="0"/>
          <w:iCs w:val="0"/>
          <w:caps w:val="0"/>
          <w:spacing w:val="0"/>
          <w:kern w:val="2"/>
          <w:sz w:val="28"/>
          <w:szCs w:val="28"/>
          <w:shd w:val="clear"/>
          <w:lang w:eastAsia="zh-CN"/>
        </w:rPr>
        <w:t>估价</w:t>
      </w:r>
      <w:r>
        <w:rPr>
          <w:rFonts w:hint="eastAsia" w:ascii="仿宋_GB2312" w:hAnsi="仿宋" w:eastAsia="仿宋_GB2312" w:cs="Times New Roman"/>
          <w:i w:val="0"/>
          <w:iCs w:val="0"/>
          <w:caps w:val="0"/>
          <w:spacing w:val="0"/>
          <w:kern w:val="2"/>
          <w:sz w:val="28"/>
          <w:szCs w:val="28"/>
          <w:shd w:val="clear"/>
        </w:rPr>
        <w:t>结果仅为人民法院确定财产处置参考价服务，不是</w:t>
      </w:r>
      <w:r>
        <w:rPr>
          <w:rFonts w:hint="eastAsia" w:ascii="仿宋_GB2312" w:hAnsi="仿宋" w:eastAsia="仿宋_GB2312" w:cs="Times New Roman"/>
          <w:i w:val="0"/>
          <w:iCs w:val="0"/>
          <w:caps w:val="0"/>
          <w:spacing w:val="0"/>
          <w:kern w:val="2"/>
          <w:sz w:val="28"/>
          <w:szCs w:val="28"/>
          <w:shd w:val="clear"/>
          <w:lang w:eastAsia="zh-CN"/>
        </w:rPr>
        <w:t>估价对象</w:t>
      </w:r>
      <w:r>
        <w:rPr>
          <w:rFonts w:hint="eastAsia" w:ascii="仿宋_GB2312" w:hAnsi="仿宋" w:eastAsia="仿宋_GB2312" w:cs="Times New Roman"/>
          <w:i w:val="0"/>
          <w:iCs w:val="0"/>
          <w:caps w:val="0"/>
          <w:spacing w:val="0"/>
          <w:kern w:val="2"/>
          <w:sz w:val="28"/>
          <w:szCs w:val="28"/>
          <w:shd w:val="clear"/>
        </w:rPr>
        <w:t>处置可实现的成交价格，也不应当被视为对</w:t>
      </w:r>
      <w:r>
        <w:rPr>
          <w:rFonts w:hint="eastAsia" w:ascii="仿宋_GB2312" w:hAnsi="仿宋" w:eastAsia="仿宋_GB2312" w:cs="Times New Roman"/>
          <w:i w:val="0"/>
          <w:iCs w:val="0"/>
          <w:caps w:val="0"/>
          <w:spacing w:val="0"/>
          <w:kern w:val="2"/>
          <w:sz w:val="28"/>
          <w:szCs w:val="28"/>
          <w:shd w:val="clear"/>
          <w:lang w:eastAsia="zh-CN"/>
        </w:rPr>
        <w:t>估价对象</w:t>
      </w:r>
      <w:r>
        <w:rPr>
          <w:rFonts w:hint="eastAsia" w:ascii="仿宋_GB2312" w:hAnsi="仿宋" w:eastAsia="仿宋_GB2312" w:cs="Times New Roman"/>
          <w:i w:val="0"/>
          <w:iCs w:val="0"/>
          <w:caps w:val="0"/>
          <w:spacing w:val="0"/>
          <w:kern w:val="2"/>
          <w:sz w:val="28"/>
          <w:szCs w:val="28"/>
          <w:shd w:val="clear"/>
        </w:rPr>
        <w:t>处置成交价格的保证</w:t>
      </w:r>
      <w:r>
        <w:rPr>
          <w:rFonts w:hint="eastAsia" w:ascii="仿宋_GB2312" w:hAnsi="仿宋" w:eastAsia="仿宋_GB2312" w:cs="Times New Roman"/>
          <w:i w:val="0"/>
          <w:iCs w:val="0"/>
          <w:caps w:val="0"/>
          <w:spacing w:val="0"/>
          <w:kern w:val="2"/>
          <w:sz w:val="28"/>
          <w:szCs w:val="28"/>
          <w:shd w:val="clear"/>
          <w:lang w:eastAsia="zh-CN"/>
        </w:rPr>
        <w:t>。</w:t>
      </w:r>
    </w:p>
    <w:p>
      <w:pPr>
        <w:tabs>
          <w:tab w:val="left" w:pos="3023"/>
        </w:tabs>
        <w:spacing w:line="510" w:lineRule="exact"/>
        <w:ind w:firstLine="560" w:firstLineChars="200"/>
        <w:rPr>
          <w:rFonts w:hint="eastAsia" w:ascii="仿宋_GB2312" w:eastAsia="仿宋_GB2312"/>
          <w:sz w:val="28"/>
          <w:szCs w:val="28"/>
          <w:lang w:val="en-US" w:eastAsia="zh-CN"/>
        </w:rPr>
      </w:pPr>
    </w:p>
    <w:p>
      <w:pPr>
        <w:tabs>
          <w:tab w:val="left" w:pos="3023"/>
        </w:tabs>
        <w:spacing w:line="510" w:lineRule="exact"/>
        <w:ind w:firstLine="560" w:firstLineChars="200"/>
        <w:rPr>
          <w:rFonts w:hint="eastAsia" w:ascii="仿宋_GB2312" w:eastAsia="仿宋_GB2312"/>
          <w:sz w:val="28"/>
          <w:szCs w:val="28"/>
          <w:lang w:val="en-US" w:eastAsia="zh-CN"/>
        </w:rPr>
      </w:pPr>
    </w:p>
    <w:p>
      <w:pPr>
        <w:pStyle w:val="3"/>
        <w:spacing w:after="93" w:line="200" w:lineRule="exact"/>
        <w:ind w:firstLine="108"/>
        <w:rPr>
          <w:rFonts w:hint="eastAsia" w:ascii="仿宋_GB2312" w:eastAsia="仿宋_GB2312"/>
          <w:b/>
          <w:bCs w:val="0"/>
        </w:rPr>
      </w:pPr>
      <w:bookmarkStart w:id="4" w:name="_Toc517794426"/>
      <w:bookmarkStart w:id="5" w:name="_Toc517794684"/>
    </w:p>
    <w:p>
      <w:pPr>
        <w:pStyle w:val="3"/>
        <w:spacing w:after="93" w:line="540" w:lineRule="exact"/>
        <w:ind w:firstLine="105"/>
        <w:rPr>
          <w:rFonts w:hint="eastAsia" w:ascii="仿宋_GB2312" w:eastAsia="仿宋_GB2312"/>
          <w:b/>
          <w:bCs w:val="0"/>
        </w:rPr>
      </w:pPr>
      <w:r>
        <w:rPr>
          <w:rFonts w:hint="eastAsia" w:ascii="仿宋_GB2312" w:eastAsia="仿宋_GB2312"/>
          <w:b/>
          <w:bCs w:val="0"/>
        </w:rPr>
        <w:t>三、估价结果报告</w:t>
      </w:r>
      <w:bookmarkEnd w:id="4"/>
      <w:bookmarkEnd w:id="5"/>
    </w:p>
    <w:p>
      <w:pPr>
        <w:pStyle w:val="2"/>
        <w:spacing w:line="540" w:lineRule="exact"/>
        <w:ind w:firstLine="420"/>
        <w:rPr>
          <w:rFonts w:hint="eastAsia" w:ascii="仿宋_GB2312" w:eastAsia="仿宋_GB2312"/>
          <w:b/>
        </w:rPr>
      </w:pPr>
      <w:bookmarkStart w:id="6" w:name="_Toc517794427"/>
      <w:bookmarkStart w:id="7" w:name="_Toc517794685"/>
      <w:r>
        <w:rPr>
          <w:rFonts w:hint="eastAsia" w:ascii="仿宋_GB2312" w:eastAsia="仿宋_GB2312"/>
          <w:b/>
        </w:rPr>
        <w:t>（一）估价委托人</w:t>
      </w:r>
      <w:bookmarkEnd w:id="6"/>
      <w:bookmarkEnd w:id="7"/>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估价委托人：</w:t>
      </w:r>
      <w:r>
        <w:rPr>
          <w:rFonts w:hint="eastAsia" w:ascii="仿宋_GB2312" w:hAnsi="宋体" w:eastAsia="仿宋_GB2312"/>
          <w:sz w:val="28"/>
          <w:szCs w:val="28"/>
          <w:lang w:eastAsia="zh-CN"/>
        </w:rPr>
        <w:t>九江市濂溪区人民法院</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40" w:lineRule="exact"/>
        <w:ind w:firstLine="420"/>
        <w:rPr>
          <w:rFonts w:hint="eastAsia" w:ascii="仿宋_GB2312" w:eastAsia="仿宋_GB2312"/>
          <w:b/>
        </w:rPr>
      </w:pPr>
      <w:bookmarkStart w:id="8" w:name="_Toc517794686"/>
      <w:bookmarkStart w:id="9" w:name="_Toc517794428"/>
      <w:r>
        <w:rPr>
          <w:rFonts w:hint="eastAsia" w:ascii="仿宋_GB2312" w:eastAsia="仿宋_GB2312"/>
          <w:b/>
        </w:rPr>
        <w:t>（二）估价方</w:t>
      </w:r>
      <w:bookmarkEnd w:id="8"/>
      <w:bookmarkEnd w:id="9"/>
    </w:p>
    <w:p>
      <w:pPr>
        <w:spacing w:line="520" w:lineRule="exact"/>
        <w:ind w:left="523" w:leftChars="249" w:firstLine="19" w:firstLineChars="7"/>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机构</w:t>
      </w:r>
      <w:r>
        <w:rPr>
          <w:rFonts w:hint="default" w:ascii="Times New Roman" w:hAnsi="Times New Roman" w:eastAsia="仿宋_GB2312" w:cs="Times New Roman"/>
          <w:spacing w:val="-4"/>
          <w:sz w:val="28"/>
          <w:szCs w:val="28"/>
          <w:lang w:val="en-US" w:eastAsia="zh-CN"/>
        </w:rPr>
        <w:t>名称</w:t>
      </w:r>
      <w:r>
        <w:rPr>
          <w:rFonts w:hint="default" w:ascii="Times New Roman" w:hAnsi="Times New Roman" w:eastAsia="仿宋_GB2312" w:cs="Times New Roman"/>
          <w:spacing w:val="-4"/>
          <w:sz w:val="28"/>
          <w:szCs w:val="28"/>
        </w:rPr>
        <w:t xml:space="preserve">：江西新源洪城房地产土地资产评估有限公司  </w:t>
      </w:r>
    </w:p>
    <w:p>
      <w:pPr>
        <w:spacing w:line="520" w:lineRule="exact"/>
        <w:ind w:left="523" w:leftChars="249" w:firstLine="19" w:firstLineChars="7"/>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证书编号：</w:t>
      </w:r>
      <w:r>
        <w:rPr>
          <w:rFonts w:hint="default" w:ascii="Times New Roman" w:hAnsi="Times New Roman" w:eastAsia="仿宋_GB2312" w:cs="Times New Roman"/>
          <w:spacing w:val="-4"/>
          <w:sz w:val="28"/>
          <w:szCs w:val="28"/>
        </w:rPr>
        <w:t>建房估证字[2012]122号</w:t>
      </w:r>
    </w:p>
    <w:p>
      <w:pPr>
        <w:spacing w:line="520" w:lineRule="exact"/>
        <w:ind w:left="523" w:leftChars="249" w:firstLine="19" w:firstLineChars="7"/>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备案等级：壹级</w:t>
      </w:r>
    </w:p>
    <w:p>
      <w:pPr>
        <w:spacing w:line="520" w:lineRule="exact"/>
        <w:ind w:left="523" w:leftChars="249" w:firstLine="19" w:firstLineChars="7"/>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统一社会信用代码：913601000958893237</w:t>
      </w:r>
    </w:p>
    <w:p>
      <w:pPr>
        <w:spacing w:line="520" w:lineRule="exact"/>
        <w:ind w:left="523" w:leftChars="249" w:firstLine="19" w:firstLineChars="7"/>
        <w:rPr>
          <w:rFonts w:hint="default" w:ascii="Times New Roman" w:hAnsi="Times New Roman" w:eastAsia="仿宋_GB2312" w:cs="Times New Roman"/>
          <w:spacing w:val="-4"/>
          <w:sz w:val="28"/>
          <w:szCs w:val="28"/>
          <w:lang w:eastAsia="zh-CN"/>
        </w:rPr>
      </w:pPr>
      <w:r>
        <w:rPr>
          <w:rFonts w:hint="default" w:ascii="Times New Roman" w:hAnsi="Times New Roman" w:eastAsia="仿宋_GB2312" w:cs="Times New Roman"/>
          <w:spacing w:val="-4"/>
          <w:sz w:val="28"/>
          <w:szCs w:val="28"/>
        </w:rPr>
        <w:t>法</w:t>
      </w:r>
      <w:r>
        <w:rPr>
          <w:rFonts w:hint="default" w:ascii="Times New Roman" w:hAnsi="Times New Roman" w:eastAsia="仿宋_GB2312" w:cs="Times New Roman"/>
          <w:spacing w:val="-4"/>
          <w:sz w:val="28"/>
          <w:szCs w:val="28"/>
          <w:lang w:val="en-US" w:eastAsia="zh-CN"/>
        </w:rPr>
        <w:t>定</w:t>
      </w:r>
      <w:r>
        <w:rPr>
          <w:rFonts w:hint="default" w:ascii="Times New Roman" w:hAnsi="Times New Roman" w:eastAsia="仿宋_GB2312" w:cs="Times New Roman"/>
          <w:spacing w:val="-4"/>
          <w:sz w:val="28"/>
          <w:szCs w:val="28"/>
        </w:rPr>
        <w:t>代表人：严兴中</w:t>
      </w:r>
    </w:p>
    <w:p>
      <w:pPr>
        <w:spacing w:line="520" w:lineRule="exact"/>
        <w:ind w:left="523" w:leftChars="249" w:firstLine="19" w:firstLineChars="7"/>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lang w:val="en-US" w:eastAsia="zh-CN"/>
        </w:rPr>
        <w:t>详细</w:t>
      </w:r>
      <w:r>
        <w:rPr>
          <w:rFonts w:hint="default" w:ascii="Times New Roman" w:hAnsi="Times New Roman" w:eastAsia="仿宋_GB2312" w:cs="Times New Roman"/>
          <w:spacing w:val="-4"/>
          <w:sz w:val="28"/>
          <w:szCs w:val="28"/>
        </w:rPr>
        <w:t>地址：江西省南昌市高新开发区紫阳大道3088号泰豪科技广场B栋12楼1211室</w:t>
      </w:r>
    </w:p>
    <w:p>
      <w:pPr>
        <w:spacing w:line="520" w:lineRule="exact"/>
        <w:ind w:firstLine="544"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pacing w:val="-4"/>
          <w:sz w:val="28"/>
          <w:szCs w:val="28"/>
        </w:rPr>
        <w:t>联系电话：</w:t>
      </w:r>
      <w:r>
        <w:rPr>
          <w:rFonts w:ascii="Times New Roman" w:hAnsi="Times New Roman" w:eastAsia="仿宋_GB2312" w:cs="Times New Roman"/>
          <w:spacing w:val="-4"/>
          <w:sz w:val="28"/>
          <w:szCs w:val="28"/>
        </w:rPr>
        <w:t>0791-86166688</w:t>
      </w:r>
      <w:r>
        <w:rPr>
          <w:rFonts w:hint="default" w:ascii="Times New Roman" w:hAnsi="Times New Roman" w:eastAsia="仿宋_GB2312" w:cs="Times New Roman"/>
          <w:spacing w:val="-4"/>
          <w:sz w:val="28"/>
          <w:szCs w:val="28"/>
        </w:rPr>
        <w:t>、</w:t>
      </w:r>
      <w:r>
        <w:rPr>
          <w:rFonts w:hint="default" w:ascii="Times New Roman" w:hAnsi="Times New Roman" w:eastAsia="仿宋_GB2312" w:cs="Times New Roman"/>
          <w:spacing w:val="-4"/>
          <w:sz w:val="28"/>
          <w:szCs w:val="28"/>
          <w:lang w:val="en-US" w:eastAsia="zh-CN"/>
        </w:rPr>
        <w:t>0791-</w:t>
      </w:r>
      <w:r>
        <w:rPr>
          <w:rFonts w:ascii="Times New Roman" w:hAnsi="Times New Roman" w:eastAsia="仿宋_GB2312" w:cs="Times New Roman"/>
          <w:spacing w:val="-4"/>
          <w:sz w:val="28"/>
          <w:szCs w:val="28"/>
        </w:rPr>
        <w:t>861</w:t>
      </w:r>
      <w:r>
        <w:rPr>
          <w:rFonts w:hint="default" w:ascii="Times New Roman" w:hAnsi="Times New Roman" w:eastAsia="仿宋_GB2312" w:cs="Times New Roman"/>
          <w:spacing w:val="-4"/>
          <w:sz w:val="28"/>
          <w:szCs w:val="28"/>
          <w:lang w:val="en-US" w:eastAsia="zh-CN"/>
        </w:rPr>
        <w:t>00755</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40" w:lineRule="exact"/>
        <w:ind w:firstLine="420"/>
        <w:rPr>
          <w:rFonts w:hint="eastAsia" w:ascii="仿宋_GB2312" w:eastAsia="仿宋_GB2312"/>
          <w:b/>
          <w:sz w:val="28"/>
        </w:rPr>
      </w:pPr>
      <w:bookmarkStart w:id="10" w:name="_Toc517794687"/>
      <w:bookmarkStart w:id="11" w:name="_Toc517794429"/>
      <w:r>
        <w:rPr>
          <w:rFonts w:hint="eastAsia" w:ascii="仿宋_GB2312" w:eastAsia="仿宋_GB2312"/>
          <w:b/>
        </w:rPr>
        <w:t>（三）估价目的</w:t>
      </w:r>
      <w:bookmarkEnd w:id="10"/>
      <w:bookmarkEnd w:id="11"/>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为估价委托人确定财产处置参考价提供参考依据</w:t>
      </w:r>
      <w:r>
        <w:rPr>
          <w:rFonts w:hint="eastAsia" w:ascii="仿宋_GB2312" w:hAnsi="宋体" w:eastAsia="仿宋_GB2312"/>
          <w:sz w:val="28"/>
          <w:szCs w:val="28"/>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40" w:lineRule="exact"/>
        <w:ind w:firstLine="420"/>
        <w:rPr>
          <w:rFonts w:hint="eastAsia" w:ascii="仿宋_GB2312" w:eastAsia="仿宋_GB2312"/>
          <w:b/>
        </w:rPr>
      </w:pPr>
      <w:bookmarkStart w:id="12" w:name="_Toc517794688"/>
      <w:bookmarkStart w:id="13" w:name="_Toc517794430"/>
      <w:r>
        <w:rPr>
          <w:rFonts w:hint="eastAsia" w:ascii="仿宋_GB2312" w:eastAsia="仿宋_GB2312"/>
          <w:b/>
        </w:rPr>
        <w:t>（四） 估价对象</w:t>
      </w:r>
      <w:bookmarkEnd w:id="12"/>
      <w:bookmarkEnd w:id="13"/>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估价对象为</w:t>
      </w:r>
      <w:r>
        <w:rPr>
          <w:rFonts w:hint="eastAsia" w:ascii="仿宋_GB2312" w:hAnsi="宋体" w:eastAsia="仿宋_GB2312"/>
          <w:sz w:val="28"/>
          <w:szCs w:val="28"/>
          <w:lang w:val="en-US" w:eastAsia="zh-CN"/>
        </w:rPr>
        <w:t>刘均太</w:t>
      </w:r>
      <w:r>
        <w:rPr>
          <w:rFonts w:hint="eastAsia" w:ascii="仿宋_GB2312" w:hAnsi="宋体" w:eastAsia="仿宋_GB2312"/>
          <w:sz w:val="28"/>
          <w:szCs w:val="28"/>
        </w:rPr>
        <w:t>名下的位于</w:t>
      </w:r>
      <w:r>
        <w:rPr>
          <w:rFonts w:hint="eastAsia" w:ascii="仿宋_GB2312" w:hAnsi="宋体" w:eastAsia="仿宋_GB2312"/>
          <w:sz w:val="28"/>
          <w:szCs w:val="28"/>
          <w:lang w:val="en-US" w:eastAsia="zh-CN"/>
        </w:rPr>
        <w:t>九江市浔阳区（开发区）旭日路管委会宿舍11-401住宅</w:t>
      </w:r>
      <w:r>
        <w:rPr>
          <w:rFonts w:hint="eastAsia" w:ascii="仿宋_GB2312" w:hAnsi="宋体" w:eastAsia="仿宋_GB2312"/>
          <w:bCs/>
          <w:sz w:val="28"/>
          <w:szCs w:val="28"/>
          <w:lang w:val="en-US" w:eastAsia="zh-CN"/>
        </w:rPr>
        <w:t>房屋</w:t>
      </w:r>
      <w:r>
        <w:rPr>
          <w:rFonts w:hint="eastAsia" w:ascii="仿宋_GB2312" w:hAnsi="宋体" w:eastAsia="仿宋_GB2312"/>
          <w:sz w:val="28"/>
          <w:szCs w:val="28"/>
        </w:rPr>
        <w:t>，包括了房屋所有权</w:t>
      </w:r>
      <w:r>
        <w:rPr>
          <w:rFonts w:hint="eastAsia" w:ascii="仿宋_GB2312" w:hAnsi="宋体" w:eastAsia="仿宋_GB2312"/>
          <w:sz w:val="28"/>
          <w:szCs w:val="28"/>
          <w:lang w:eastAsia="zh-CN"/>
        </w:rPr>
        <w:t>、</w:t>
      </w:r>
      <w:r>
        <w:rPr>
          <w:rFonts w:hint="eastAsia" w:ascii="仿宋_GB2312" w:hAnsi="宋体" w:eastAsia="仿宋_GB2312"/>
          <w:sz w:val="28"/>
          <w:szCs w:val="28"/>
        </w:rPr>
        <w:t>所</w:t>
      </w:r>
      <w:r>
        <w:rPr>
          <w:rFonts w:hint="eastAsia" w:ascii="仿宋_GB2312" w:hAnsi="宋体" w:eastAsia="仿宋_GB2312"/>
          <w:sz w:val="28"/>
          <w:szCs w:val="28"/>
          <w:lang w:eastAsia="zh-CN"/>
        </w:rPr>
        <w:t>对应</w:t>
      </w:r>
      <w:r>
        <w:rPr>
          <w:rFonts w:hint="eastAsia" w:ascii="仿宋_GB2312" w:hAnsi="宋体" w:eastAsia="仿宋_GB2312"/>
          <w:sz w:val="28"/>
          <w:szCs w:val="28"/>
        </w:rPr>
        <w:t>土地在剩余使用年期的使用权、以及房屋内部装修。房屋建筑面积为</w:t>
      </w:r>
      <w:r>
        <w:rPr>
          <w:rFonts w:hint="eastAsia" w:ascii="仿宋_GB2312" w:hAnsi="宋体" w:eastAsia="仿宋_GB2312"/>
          <w:sz w:val="28"/>
          <w:szCs w:val="28"/>
          <w:lang w:val="en-US" w:eastAsia="zh-CN"/>
        </w:rPr>
        <w:t>71.77</w:t>
      </w:r>
      <w:r>
        <w:rPr>
          <w:rFonts w:hint="eastAsia" w:ascii="仿宋_GB2312" w:hAnsi="宋体" w:eastAsia="仿宋_GB2312"/>
          <w:sz w:val="28"/>
          <w:szCs w:val="28"/>
        </w:rPr>
        <w:t>平方米。现将估价对象区位状况、实物状况、权益状况概述如下：</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1、区位状况</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（1）坐落</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估价对象位于</w:t>
      </w:r>
      <w:r>
        <w:rPr>
          <w:rFonts w:hint="eastAsia" w:ascii="仿宋_GB2312" w:hAnsi="宋体" w:eastAsia="仿宋_GB2312"/>
          <w:color w:val="000000"/>
          <w:sz w:val="28"/>
          <w:szCs w:val="28"/>
          <w:lang w:val="en-US" w:eastAsia="zh-CN"/>
        </w:rPr>
        <w:t>九江市浔阳区（开发区）旭日路管委会宿舍11-401</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（2）楼层</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估价对象为</w:t>
      </w:r>
      <w:r>
        <w:rPr>
          <w:rFonts w:hint="eastAsia" w:ascii="仿宋_GB2312" w:hAnsi="宋体" w:eastAsia="仿宋_GB2312"/>
          <w:color w:val="000000"/>
          <w:sz w:val="28"/>
          <w:szCs w:val="28"/>
          <w:lang w:val="en-US" w:eastAsia="zh-CN"/>
        </w:rPr>
        <w:t>7</w:t>
      </w:r>
      <w:r>
        <w:rPr>
          <w:rFonts w:hint="eastAsia" w:ascii="仿宋_GB2312" w:hAnsi="宋体" w:eastAsia="仿宋_GB2312"/>
          <w:color w:val="000000"/>
          <w:sz w:val="28"/>
          <w:szCs w:val="28"/>
        </w:rPr>
        <w:t>层建筑物的第</w:t>
      </w:r>
      <w:r>
        <w:rPr>
          <w:rFonts w:hint="eastAsia" w:ascii="仿宋_GB2312" w:hAnsi="宋体" w:eastAsia="仿宋_GB2312"/>
          <w:color w:val="000000"/>
          <w:sz w:val="28"/>
          <w:szCs w:val="28"/>
          <w:lang w:val="en-US" w:eastAsia="zh-CN"/>
        </w:rPr>
        <w:t>4层</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（3）交通</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w:t>
      </w:r>
      <w:r>
        <w:rPr>
          <w:rFonts w:hint="eastAsia" w:ascii="仿宋_GB2312" w:hAnsi="宋体" w:eastAsia="仿宋_GB2312"/>
          <w:sz w:val="28"/>
          <w:szCs w:val="28"/>
          <w:lang w:val="en-US" w:eastAsia="zh-CN"/>
        </w:rPr>
        <w:t>周边有12路、19路、21路等公交线路，距离九江汽车南站570米，距离九江站3千米，</w:t>
      </w:r>
      <w:r>
        <w:rPr>
          <w:rFonts w:hint="eastAsia" w:ascii="仿宋_GB2312" w:hAnsi="宋体" w:eastAsia="仿宋_GB2312"/>
          <w:sz w:val="28"/>
          <w:szCs w:val="28"/>
        </w:rPr>
        <w:t>交通</w:t>
      </w:r>
      <w:r>
        <w:rPr>
          <w:rFonts w:hint="eastAsia" w:ascii="仿宋_GB2312" w:hAnsi="宋体" w:eastAsia="仿宋_GB2312"/>
          <w:sz w:val="28"/>
          <w:szCs w:val="28"/>
          <w:lang w:val="en-US" w:eastAsia="zh-CN"/>
        </w:rPr>
        <w:t>较</w:t>
      </w:r>
      <w:r>
        <w:rPr>
          <w:rFonts w:hint="eastAsia" w:ascii="仿宋_GB2312" w:hAnsi="宋体" w:eastAsia="仿宋_GB2312"/>
          <w:sz w:val="28"/>
          <w:szCs w:val="28"/>
        </w:rPr>
        <w:t>便利</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（4）环境及配套设施</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估价对象位于</w:t>
      </w:r>
      <w:r>
        <w:rPr>
          <w:rFonts w:hint="eastAsia" w:ascii="仿宋_GB2312" w:hAnsi="宋体" w:eastAsia="仿宋_GB2312"/>
          <w:sz w:val="28"/>
          <w:szCs w:val="28"/>
          <w:lang w:val="en-US" w:eastAsia="zh-CN"/>
        </w:rPr>
        <w:t>九江市浔阳区（开发区）旭日路管委会宿舍11-401</w:t>
      </w:r>
      <w:r>
        <w:rPr>
          <w:rFonts w:hint="eastAsia" w:ascii="仿宋_GB2312" w:hAnsi="宋体" w:eastAsia="仿宋_GB2312"/>
          <w:sz w:val="28"/>
          <w:szCs w:val="28"/>
        </w:rPr>
        <w:t>，市政基础设施及生活配套设施</w:t>
      </w:r>
      <w:r>
        <w:rPr>
          <w:rFonts w:hint="eastAsia" w:ascii="仿宋_GB2312" w:hAnsi="宋体" w:eastAsia="仿宋_GB2312"/>
          <w:sz w:val="28"/>
          <w:szCs w:val="28"/>
          <w:lang w:val="en-US" w:eastAsia="zh-CN"/>
        </w:rPr>
        <w:t>较完善</w:t>
      </w:r>
      <w:r>
        <w:rPr>
          <w:rFonts w:hint="eastAsia" w:ascii="仿宋_GB2312" w:hAnsi="宋体" w:eastAsia="仿宋_GB2312"/>
          <w:sz w:val="28"/>
          <w:szCs w:val="28"/>
        </w:rPr>
        <w:t>，具体如下：</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教育：</w:t>
      </w:r>
      <w:r>
        <w:rPr>
          <w:rFonts w:hint="eastAsia" w:ascii="仿宋_GB2312" w:hAnsi="宋体" w:eastAsia="仿宋_GB2312"/>
          <w:sz w:val="28"/>
          <w:szCs w:val="28"/>
          <w:lang w:eastAsia="zh-CN"/>
        </w:rPr>
        <w:t>九江双语实验学校、九江市私立英才小学、步红实验幼儿园</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购物：</w:t>
      </w:r>
      <w:r>
        <w:rPr>
          <w:rFonts w:hint="eastAsia" w:ascii="仿宋_GB2312" w:hAnsi="宋体" w:eastAsia="仿宋_GB2312"/>
          <w:sz w:val="28"/>
          <w:szCs w:val="28"/>
          <w:lang w:eastAsia="zh-CN"/>
        </w:rPr>
        <w:t>联盛·九江快乐城、大润发、天天来超市</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医院：</w:t>
      </w:r>
      <w:r>
        <w:rPr>
          <w:rFonts w:hint="eastAsia" w:ascii="仿宋_GB2312" w:hAnsi="宋体" w:eastAsia="仿宋_GB2312"/>
          <w:sz w:val="28"/>
          <w:szCs w:val="28"/>
          <w:lang w:eastAsia="zh-CN"/>
        </w:rPr>
        <w:t>九江市第三人民医院、九江学院附属医院向阳医院</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银行：</w:t>
      </w:r>
      <w:r>
        <w:rPr>
          <w:rFonts w:hint="eastAsia" w:ascii="仿宋_GB2312" w:hAnsi="宋体" w:eastAsia="仿宋_GB2312"/>
          <w:sz w:val="28"/>
          <w:szCs w:val="28"/>
          <w:lang w:val="en-US" w:eastAsia="zh-CN"/>
        </w:rPr>
        <w:t>中国农业银行、中国工商银行、中国建设银行</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其他：</w:t>
      </w:r>
      <w:r>
        <w:rPr>
          <w:rFonts w:hint="eastAsia" w:ascii="仿宋_GB2312" w:hAnsi="宋体" w:eastAsia="仿宋_GB2312"/>
          <w:sz w:val="28"/>
          <w:szCs w:val="28"/>
          <w:lang w:eastAsia="zh-CN"/>
        </w:rPr>
        <w:t>九江麦谷酒店、联泰万泰城、龙开故道公园</w:t>
      </w:r>
      <w:r>
        <w:rPr>
          <w:rFonts w:hint="eastAsia" w:ascii="仿宋_GB2312" w:hAnsi="宋体" w:eastAsia="仿宋_GB2312"/>
          <w:sz w:val="28"/>
          <w:szCs w:val="28"/>
        </w:rPr>
        <w:t>等。</w:t>
      </w: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 xml:space="preserve">     2、实物状况</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lang w:eastAsia="zh-CN"/>
        </w:rPr>
        <w:t>估价对象</w:t>
      </w:r>
      <w:r>
        <w:rPr>
          <w:rFonts w:hint="eastAsia" w:ascii="仿宋_GB2312" w:hAnsi="仿宋" w:eastAsia="仿宋_GB2312"/>
          <w:sz w:val="28"/>
          <w:szCs w:val="28"/>
        </w:rPr>
        <w:t>位于</w:t>
      </w:r>
      <w:r>
        <w:rPr>
          <w:rFonts w:hint="eastAsia" w:ascii="仿宋_GB2312" w:hAnsi="仿宋" w:eastAsia="仿宋_GB2312"/>
          <w:sz w:val="28"/>
          <w:szCs w:val="28"/>
          <w:lang w:val="en-US" w:eastAsia="zh-CN"/>
        </w:rPr>
        <w:t>九江市浔阳区（开发区）旭日路管委会宿舍11-401</w:t>
      </w:r>
      <w:r>
        <w:rPr>
          <w:rFonts w:hint="eastAsia" w:ascii="仿宋_GB2312" w:hAnsi="仿宋" w:eastAsia="仿宋_GB2312"/>
          <w:sz w:val="28"/>
          <w:szCs w:val="28"/>
        </w:rPr>
        <w:t>，建筑面积为</w:t>
      </w:r>
      <w:r>
        <w:rPr>
          <w:rFonts w:hint="eastAsia" w:ascii="仿宋_GB2312" w:hAnsi="仿宋" w:eastAsia="仿宋_GB2312"/>
          <w:sz w:val="28"/>
          <w:szCs w:val="28"/>
          <w:lang w:val="en-US" w:eastAsia="zh-CN"/>
        </w:rPr>
        <w:t>71.77</w:t>
      </w:r>
      <w:r>
        <w:rPr>
          <w:rFonts w:hint="eastAsia" w:ascii="仿宋_GB2312" w:hAnsi="仿宋" w:eastAsia="仿宋_GB2312"/>
          <w:sz w:val="28"/>
          <w:szCs w:val="28"/>
        </w:rPr>
        <w:t>平方米。</w:t>
      </w:r>
      <w:r>
        <w:rPr>
          <w:rFonts w:hint="eastAsia" w:ascii="仿宋_GB2312" w:hAnsi="仿宋" w:eastAsia="仿宋_GB2312"/>
          <w:sz w:val="28"/>
          <w:szCs w:val="28"/>
          <w:lang w:val="en-US" w:eastAsia="zh-CN"/>
        </w:rPr>
        <w:t>根据估价人员现场查勘，</w:t>
      </w:r>
      <w:r>
        <w:rPr>
          <w:rFonts w:hint="eastAsia" w:hAnsi="仿宋_GB2312" w:eastAsia="仿宋_GB2312"/>
          <w:sz w:val="28"/>
          <w:szCs w:val="28"/>
          <w:lang w:val="en-US" w:eastAsia="zh-CN"/>
        </w:rPr>
        <w:t>由于被执行人未配合，我司估价人员未能进入该房产内部进行查勘拍照，无法确定该房地产内部装修情况。根据估价人员市场调查，应估价委托人的要求，故本次评估假设估价对象房屋内部装修为简装，</w:t>
      </w:r>
      <w:r>
        <w:rPr>
          <w:rFonts w:hint="eastAsia" w:ascii="仿宋_GB2312" w:hAnsi="仿宋" w:eastAsia="仿宋_GB2312"/>
          <w:sz w:val="28"/>
          <w:szCs w:val="28"/>
        </w:rPr>
        <w:t>该</w:t>
      </w:r>
      <w:r>
        <w:rPr>
          <w:rFonts w:hint="eastAsia" w:ascii="仿宋_GB2312" w:hAnsi="仿宋" w:eastAsia="仿宋_GB2312"/>
          <w:sz w:val="28"/>
          <w:szCs w:val="28"/>
          <w:lang w:val="en-US" w:eastAsia="zh-CN"/>
        </w:rPr>
        <w:t>房屋目前空置。</w:t>
      </w:r>
      <w:r>
        <w:rPr>
          <w:rFonts w:hint="eastAsia" w:ascii="仿宋_GB2312" w:hAnsi="仿宋" w:eastAsia="仿宋_GB2312"/>
          <w:sz w:val="28"/>
          <w:szCs w:val="28"/>
        </w:rPr>
        <w:t>其所处楼栋总楼层为</w:t>
      </w:r>
      <w:r>
        <w:rPr>
          <w:rFonts w:hint="eastAsia" w:ascii="仿宋_GB2312" w:hAnsi="仿宋" w:eastAsia="仿宋_GB2312"/>
          <w:sz w:val="28"/>
          <w:szCs w:val="28"/>
          <w:lang w:val="en-US" w:eastAsia="zh-CN"/>
        </w:rPr>
        <w:t>7</w:t>
      </w:r>
      <w:r>
        <w:rPr>
          <w:rFonts w:hint="eastAsia" w:ascii="仿宋_GB2312" w:hAnsi="仿宋" w:eastAsia="仿宋_GB2312"/>
          <w:sz w:val="28"/>
          <w:szCs w:val="28"/>
        </w:rPr>
        <w:t>层，评估层为</w:t>
      </w:r>
      <w:r>
        <w:rPr>
          <w:rFonts w:hint="eastAsia" w:ascii="仿宋_GB2312" w:hAnsi="仿宋" w:eastAsia="仿宋_GB2312"/>
          <w:sz w:val="28"/>
          <w:szCs w:val="28"/>
          <w:lang w:val="en-US" w:eastAsia="zh-CN"/>
        </w:rPr>
        <w:t>第4层</w:t>
      </w:r>
      <w:r>
        <w:rPr>
          <w:rFonts w:hint="eastAsia" w:ascii="仿宋_GB2312" w:hAnsi="仿宋" w:eastAsia="仿宋_GB2312"/>
          <w:sz w:val="28"/>
          <w:szCs w:val="28"/>
        </w:rPr>
        <w:t>，</w:t>
      </w:r>
      <w:r>
        <w:rPr>
          <w:rFonts w:hint="eastAsia" w:ascii="仿宋_GB2312" w:hAnsi="仿宋" w:eastAsia="仿宋_GB2312"/>
          <w:sz w:val="28"/>
          <w:szCs w:val="28"/>
          <w:lang w:eastAsia="zh-CN"/>
        </w:rPr>
        <w:t>房屋</w:t>
      </w:r>
      <w:r>
        <w:rPr>
          <w:rFonts w:hint="eastAsia" w:ascii="仿宋_GB2312" w:hAnsi="仿宋" w:eastAsia="仿宋_GB2312"/>
          <w:sz w:val="28"/>
          <w:szCs w:val="28"/>
          <w:lang w:val="en-US" w:eastAsia="zh-CN"/>
        </w:rPr>
        <w:t>规划</w:t>
      </w:r>
      <w:r>
        <w:rPr>
          <w:rFonts w:hint="eastAsia" w:ascii="仿宋_GB2312" w:hAnsi="仿宋" w:eastAsia="仿宋_GB2312"/>
          <w:sz w:val="28"/>
          <w:szCs w:val="28"/>
        </w:rPr>
        <w:t>用途为</w:t>
      </w:r>
      <w:r>
        <w:rPr>
          <w:rFonts w:hint="eastAsia" w:ascii="仿宋_GB2312" w:hAnsi="仿宋" w:eastAsia="仿宋_GB2312"/>
          <w:sz w:val="28"/>
          <w:szCs w:val="28"/>
          <w:lang w:val="en-US" w:eastAsia="zh-CN"/>
        </w:rPr>
        <w:t>住宅</w:t>
      </w:r>
      <w:r>
        <w:rPr>
          <w:rFonts w:hint="eastAsia" w:ascii="仿宋_GB2312" w:hAnsi="仿宋" w:eastAsia="仿宋_GB2312"/>
          <w:sz w:val="28"/>
          <w:szCs w:val="28"/>
        </w:rPr>
        <w:t>，为</w:t>
      </w:r>
      <w:r>
        <w:rPr>
          <w:rFonts w:hint="eastAsia" w:ascii="仿宋_GB2312" w:hAnsi="仿宋" w:eastAsia="仿宋_GB2312"/>
          <w:sz w:val="28"/>
          <w:szCs w:val="28"/>
          <w:lang w:val="en-US" w:eastAsia="zh-CN"/>
        </w:rPr>
        <w:t>混合</w:t>
      </w:r>
      <w:r>
        <w:rPr>
          <w:rFonts w:hint="eastAsia" w:ascii="仿宋_GB2312" w:hAnsi="仿宋" w:eastAsia="仿宋_GB2312"/>
          <w:sz w:val="28"/>
          <w:szCs w:val="28"/>
        </w:rPr>
        <w:t>结构，</w:t>
      </w:r>
      <w:r>
        <w:rPr>
          <w:rFonts w:hint="eastAsia" w:ascii="仿宋_GB2312" w:hAnsi="仿宋" w:eastAsia="仿宋_GB2312"/>
          <w:sz w:val="28"/>
          <w:szCs w:val="28"/>
          <w:lang w:val="en-US" w:eastAsia="zh-CN"/>
        </w:rPr>
        <w:t>层高约3.0米</w:t>
      </w:r>
      <w:r>
        <w:rPr>
          <w:rFonts w:hint="eastAsia" w:ascii="仿宋_GB2312" w:hAnsi="仿宋" w:eastAsia="仿宋_GB2312"/>
          <w:sz w:val="28"/>
          <w:szCs w:val="28"/>
        </w:rPr>
        <w:t>，于</w:t>
      </w:r>
      <w:r>
        <w:rPr>
          <w:rFonts w:hint="eastAsia" w:ascii="仿宋_GB2312" w:hAnsi="仿宋" w:eastAsia="仿宋_GB2312"/>
          <w:sz w:val="28"/>
          <w:szCs w:val="28"/>
          <w:lang w:val="en-US" w:eastAsia="zh-CN"/>
        </w:rPr>
        <w:t>1993年</w:t>
      </w:r>
      <w:r>
        <w:rPr>
          <w:rFonts w:hint="eastAsia" w:ascii="仿宋_GB2312" w:hAnsi="仿宋" w:eastAsia="仿宋_GB2312"/>
          <w:sz w:val="28"/>
          <w:szCs w:val="28"/>
        </w:rPr>
        <w:t>建成，成新度约为</w:t>
      </w:r>
      <w:r>
        <w:rPr>
          <w:rFonts w:hint="eastAsia" w:ascii="仿宋_GB2312" w:hAnsi="仿宋" w:eastAsia="仿宋_GB2312"/>
          <w:sz w:val="28"/>
          <w:szCs w:val="28"/>
          <w:lang w:val="en-US" w:eastAsia="zh-CN"/>
        </w:rPr>
        <w:t>六</w:t>
      </w:r>
      <w:r>
        <w:rPr>
          <w:rFonts w:hint="eastAsia" w:ascii="仿宋_GB2312" w:hAnsi="仿宋" w:eastAsia="仿宋_GB2312"/>
          <w:sz w:val="28"/>
          <w:szCs w:val="28"/>
        </w:rPr>
        <w:t>成新，朝向为</w:t>
      </w:r>
      <w:r>
        <w:rPr>
          <w:rFonts w:hint="eastAsia" w:ascii="仿宋_GB2312" w:hAnsi="仿宋" w:eastAsia="仿宋_GB2312"/>
          <w:sz w:val="28"/>
          <w:szCs w:val="28"/>
          <w:lang w:val="en-US" w:eastAsia="zh-CN"/>
        </w:rPr>
        <w:t>南北</w:t>
      </w:r>
      <w:r>
        <w:rPr>
          <w:rFonts w:hint="eastAsia" w:ascii="仿宋_GB2312" w:hAnsi="仿宋" w:eastAsia="仿宋_GB2312"/>
          <w:sz w:val="28"/>
          <w:szCs w:val="28"/>
        </w:rPr>
        <w:t>，采光、通风</w:t>
      </w:r>
      <w:r>
        <w:rPr>
          <w:rFonts w:hint="eastAsia" w:ascii="仿宋_GB2312" w:hAnsi="仿宋" w:eastAsia="仿宋_GB2312"/>
          <w:sz w:val="28"/>
          <w:szCs w:val="28"/>
          <w:lang w:val="en-US" w:eastAsia="zh-CN"/>
        </w:rPr>
        <w:t>均较好</w:t>
      </w:r>
      <w:r>
        <w:rPr>
          <w:rFonts w:hint="eastAsia" w:ascii="仿宋_GB2312" w:hAnsi="仿宋" w:eastAsia="仿宋_GB2312"/>
          <w:sz w:val="28"/>
          <w:szCs w:val="28"/>
        </w:rPr>
        <w:t>。</w:t>
      </w:r>
    </w:p>
    <w:p>
      <w:pPr>
        <w:spacing w:line="530" w:lineRule="exact"/>
        <w:ind w:firstLine="560" w:firstLineChars="200"/>
        <w:rPr>
          <w:rFonts w:hint="eastAsia" w:ascii="仿宋_GB2312" w:hAnsi="宋体" w:eastAsia="仿宋_GB2312"/>
          <w:sz w:val="28"/>
          <w:szCs w:val="28"/>
          <w:lang w:eastAsia="zh-CN"/>
        </w:rPr>
      </w:pPr>
      <w:r>
        <w:rPr>
          <w:rFonts w:hint="eastAsia" w:ascii="仿宋_GB2312" w:hAnsi="仿宋" w:eastAsia="仿宋_GB2312"/>
          <w:sz w:val="28"/>
          <w:szCs w:val="28"/>
        </w:rPr>
        <w:t>具体情况</w:t>
      </w:r>
      <w:r>
        <w:rPr>
          <w:rFonts w:hint="eastAsia" w:ascii="仿宋_GB2312" w:hAnsi="仿宋" w:eastAsia="仿宋_GB2312"/>
          <w:sz w:val="28"/>
          <w:szCs w:val="28"/>
          <w:lang w:eastAsia="zh-CN"/>
        </w:rPr>
        <w:t>详见《估价对象</w:t>
      </w:r>
      <w:r>
        <w:rPr>
          <w:rFonts w:hint="eastAsia" w:ascii="仿宋_GB2312" w:hAnsi="仿宋" w:eastAsia="仿宋_GB2312"/>
          <w:sz w:val="28"/>
          <w:szCs w:val="28"/>
          <w:lang w:val="en-US" w:eastAsia="zh-CN"/>
        </w:rPr>
        <w:t>现状</w:t>
      </w:r>
      <w:r>
        <w:rPr>
          <w:rFonts w:hint="eastAsia" w:ascii="仿宋_GB2312" w:hAnsi="仿宋" w:eastAsia="仿宋_GB2312"/>
          <w:sz w:val="28"/>
          <w:szCs w:val="28"/>
          <w:lang w:eastAsia="zh-CN"/>
        </w:rPr>
        <w:t>照片》</w:t>
      </w:r>
      <w:r>
        <w:rPr>
          <w:rFonts w:hint="eastAsia" w:ascii="仿宋_GB2312" w:hAnsi="宋体" w:eastAsia="仿宋_GB2312"/>
          <w:sz w:val="28"/>
          <w:szCs w:val="28"/>
          <w:lang w:eastAsia="zh-CN"/>
        </w:rPr>
        <w:t>。</w:t>
      </w:r>
    </w:p>
    <w:p>
      <w:pPr>
        <w:spacing w:line="530" w:lineRule="exact"/>
        <w:ind w:firstLine="560" w:firstLineChars="200"/>
        <w:rPr>
          <w:rFonts w:hint="eastAsia" w:ascii="仿宋_GB2312" w:hAnsi="仿宋" w:eastAsia="仿宋_GB2312"/>
          <w:sz w:val="28"/>
          <w:szCs w:val="28"/>
          <w:lang w:eastAsia="zh-CN"/>
        </w:rPr>
      </w:pPr>
      <w:r>
        <w:rPr>
          <w:rFonts w:hint="eastAsia" w:ascii="仿宋_GB2312" w:hAnsi="宋体" w:eastAsia="仿宋_GB2312"/>
          <w:sz w:val="28"/>
          <w:szCs w:val="28"/>
        </w:rPr>
        <w:t>至价值时点，</w:t>
      </w:r>
      <w:r>
        <w:rPr>
          <w:rFonts w:hint="eastAsia" w:ascii="仿宋_GB2312" w:hAnsi="宋体" w:eastAsia="仿宋_GB2312"/>
          <w:color w:val="000000"/>
          <w:sz w:val="28"/>
          <w:szCs w:val="28"/>
        </w:rPr>
        <w:t>根据对估价对象的外部观察，供电等设施较完善，</w:t>
      </w:r>
      <w:r>
        <w:rPr>
          <w:rFonts w:hint="eastAsia" w:ascii="仿宋_GB2312" w:hAnsi="宋体" w:eastAsia="仿宋_GB2312"/>
          <w:sz w:val="28"/>
          <w:szCs w:val="28"/>
        </w:rPr>
        <w:t>估价对象所在整栋建筑物维护保养</w:t>
      </w:r>
      <w:r>
        <w:rPr>
          <w:rFonts w:hint="eastAsia" w:ascii="仿宋_GB2312" w:hAnsi="宋体" w:eastAsia="仿宋_GB2312"/>
          <w:sz w:val="28"/>
          <w:szCs w:val="28"/>
          <w:lang w:val="en-US" w:eastAsia="zh-CN"/>
        </w:rPr>
        <w:t>一般</w:t>
      </w:r>
      <w:r>
        <w:rPr>
          <w:rFonts w:hint="eastAsia" w:ascii="仿宋_GB2312" w:hAnsi="宋体" w:eastAsia="仿宋_GB2312"/>
          <w:sz w:val="28"/>
          <w:szCs w:val="28"/>
          <w:lang w:eastAsia="zh-CN"/>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3、权益状况</w:t>
      </w:r>
    </w:p>
    <w:p>
      <w:pPr>
        <w:spacing w:line="520" w:lineRule="exact"/>
        <w:ind w:firstLine="560" w:firstLineChars="200"/>
        <w:rPr>
          <w:rFonts w:hint="eastAsia" w:ascii="仿宋_GB2312" w:hAnsi="仿宋" w:eastAsia="仿宋_GB2312" w:cs="仿宋_GB2312"/>
          <w:bCs/>
          <w:color w:val="000000"/>
          <w:sz w:val="28"/>
          <w:szCs w:val="28"/>
        </w:rPr>
      </w:pPr>
      <w:r>
        <w:rPr>
          <w:rFonts w:hint="eastAsia" w:ascii="仿宋_GB2312" w:hAnsi="仿宋" w:eastAsia="仿宋_GB2312" w:cs="仿宋_GB2312"/>
          <w:bCs/>
          <w:color w:val="000000"/>
          <w:sz w:val="28"/>
          <w:szCs w:val="28"/>
        </w:rPr>
        <w:t>（</w:t>
      </w:r>
      <w:r>
        <w:rPr>
          <w:rFonts w:hint="eastAsia" w:ascii="仿宋_GB2312" w:hAnsi="仿宋" w:eastAsia="仿宋_GB2312" w:cs="仿宋_GB2312"/>
          <w:bCs/>
          <w:color w:val="000000"/>
          <w:sz w:val="28"/>
          <w:szCs w:val="28"/>
          <w:lang w:val="en-US" w:eastAsia="zh-CN"/>
        </w:rPr>
        <w:t>1</w:t>
      </w:r>
      <w:r>
        <w:rPr>
          <w:rFonts w:hint="eastAsia" w:ascii="仿宋_GB2312" w:hAnsi="仿宋" w:eastAsia="仿宋_GB2312" w:cs="仿宋_GB2312"/>
          <w:bCs/>
          <w:color w:val="000000"/>
          <w:sz w:val="28"/>
          <w:szCs w:val="28"/>
        </w:rPr>
        <w:t>）</w:t>
      </w:r>
      <w:r>
        <w:rPr>
          <w:rFonts w:hint="eastAsia" w:ascii="仿宋_GB2312" w:hAnsi="仿宋" w:eastAsia="仿宋_GB2312" w:cs="仿宋_GB2312"/>
          <w:bCs/>
          <w:color w:val="000000"/>
          <w:sz w:val="28"/>
          <w:szCs w:val="28"/>
          <w:lang w:val="en-US" w:eastAsia="zh-CN"/>
        </w:rPr>
        <w:t>不动产</w:t>
      </w:r>
      <w:r>
        <w:rPr>
          <w:rFonts w:hint="eastAsia" w:ascii="仿宋_GB2312" w:hAnsi="仿宋" w:eastAsia="仿宋_GB2312" w:cs="仿宋_GB2312"/>
          <w:bCs/>
          <w:color w:val="000000"/>
          <w:sz w:val="28"/>
          <w:szCs w:val="28"/>
        </w:rPr>
        <w:t>权益状况</w:t>
      </w:r>
    </w:p>
    <w:p>
      <w:pPr>
        <w:spacing w:line="520" w:lineRule="exact"/>
        <w:ind w:firstLine="560" w:firstLineChars="200"/>
        <w:rPr>
          <w:rFonts w:hint="eastAsia" w:ascii="仿宋_GB2312" w:hAnsi="仿宋" w:eastAsia="仿宋_GB2312" w:cs="仿宋_GB2312"/>
          <w:color w:val="000000"/>
          <w:sz w:val="28"/>
          <w:szCs w:val="28"/>
        </w:rPr>
      </w:pPr>
      <w:r>
        <w:rPr>
          <w:rFonts w:ascii="仿宋_GB2312" w:hAnsi="宋体" w:eastAsia="仿宋_GB2312"/>
          <w:color w:val="000000"/>
          <w:sz w:val="28"/>
          <w:szCs w:val="28"/>
        </w:rPr>
        <w:t>根据估价委托人提供的</w:t>
      </w:r>
      <w:r>
        <w:rPr>
          <w:rFonts w:hint="eastAsia" w:ascii="仿宋_GB2312" w:eastAsia="仿宋_GB2312"/>
          <w:sz w:val="28"/>
          <w:szCs w:val="28"/>
          <w:lang w:eastAsia="zh-CN"/>
        </w:rPr>
        <w:t>《不动产产权情况表》</w:t>
      </w:r>
      <w:r>
        <w:rPr>
          <w:rFonts w:hint="eastAsia" w:ascii="仿宋_GB2312" w:eastAsia="仿宋_GB2312"/>
          <w:sz w:val="28"/>
          <w:szCs w:val="28"/>
          <w:lang w:val="en-US" w:eastAsia="zh-CN"/>
        </w:rPr>
        <w:t>记载</w:t>
      </w:r>
      <w:r>
        <w:rPr>
          <w:rFonts w:hint="eastAsia" w:ascii="仿宋_GB2312" w:hAnsi="仿宋" w:eastAsia="仿宋_GB2312" w:cs="仿宋_GB2312"/>
          <w:bCs/>
          <w:color w:val="000000"/>
          <w:sz w:val="28"/>
          <w:szCs w:val="28"/>
        </w:rPr>
        <w:t>，</w:t>
      </w:r>
      <w:r>
        <w:rPr>
          <w:rFonts w:hint="eastAsia" w:ascii="仿宋_GB2312" w:hAnsi="仿宋" w:eastAsia="仿宋_GB2312" w:cs="仿宋_GB2312"/>
          <w:bCs/>
          <w:color w:val="000000"/>
          <w:sz w:val="28"/>
          <w:szCs w:val="28"/>
          <w:lang w:val="en-US" w:eastAsia="zh-CN"/>
        </w:rPr>
        <w:t>不动产</w:t>
      </w:r>
      <w:r>
        <w:rPr>
          <w:rFonts w:hint="eastAsia" w:ascii="仿宋_GB2312" w:hAnsi="仿宋" w:eastAsia="仿宋_GB2312" w:cs="仿宋_GB2312"/>
          <w:color w:val="000000"/>
          <w:sz w:val="28"/>
          <w:szCs w:val="28"/>
        </w:rPr>
        <w:t>权益状况如下：</w:t>
      </w:r>
    </w:p>
    <w:p>
      <w:pPr>
        <w:spacing w:line="560" w:lineRule="exact"/>
        <w:jc w:val="center"/>
        <w:rPr>
          <w:rFonts w:ascii="宋体" w:hAnsi="宋体"/>
          <w:color w:val="000000"/>
          <w:sz w:val="28"/>
          <w:szCs w:val="28"/>
        </w:rPr>
      </w:pPr>
      <w:r>
        <w:rPr>
          <w:rFonts w:hint="eastAsia" w:ascii="仿宋_GB2312" w:hAnsi="宋体" w:eastAsia="仿宋_GB2312"/>
          <w:b/>
          <w:color w:val="000000"/>
          <w:sz w:val="28"/>
          <w:szCs w:val="28"/>
          <w:lang w:val="en-US" w:eastAsia="zh-CN"/>
        </w:rPr>
        <w:t>不动产</w:t>
      </w:r>
      <w:r>
        <w:rPr>
          <w:rFonts w:hint="eastAsia" w:ascii="仿宋_GB2312" w:hAnsi="宋体" w:eastAsia="仿宋_GB2312"/>
          <w:b/>
          <w:color w:val="000000"/>
          <w:sz w:val="28"/>
          <w:szCs w:val="28"/>
        </w:rPr>
        <w:t>权益状况表</w:t>
      </w:r>
    </w:p>
    <w:tbl>
      <w:tblPr>
        <w:tblStyle w:val="25"/>
        <w:tblW w:w="73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29"/>
        <w:gridCol w:w="47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29" w:type="dxa"/>
            <w:vAlign w:val="center"/>
          </w:tcPr>
          <w:p>
            <w:pPr>
              <w:widowControl/>
              <w:jc w:val="center"/>
              <w:rPr>
                <w:rFonts w:hint="eastAsia" w:ascii="仿宋_GB2312" w:hAnsi="宋体" w:eastAsia="仿宋_GB2312" w:cs="宋体"/>
                <w:b/>
                <w:kern w:val="0"/>
                <w:szCs w:val="21"/>
                <w:lang w:val="en-US" w:eastAsia="zh-CN"/>
              </w:rPr>
            </w:pPr>
            <w:r>
              <w:rPr>
                <w:rFonts w:hint="eastAsia" w:ascii="仿宋_GB2312" w:hAnsi="宋体" w:eastAsia="仿宋_GB2312" w:cs="宋体"/>
                <w:b/>
                <w:kern w:val="0"/>
                <w:szCs w:val="21"/>
                <w:lang w:val="en-US" w:eastAsia="zh-CN"/>
              </w:rPr>
              <w:t>不动产权证书号</w:t>
            </w:r>
          </w:p>
        </w:tc>
        <w:tc>
          <w:tcPr>
            <w:tcW w:w="4738" w:type="dxa"/>
            <w:vAlign w:val="center"/>
          </w:tcPr>
          <w:p>
            <w:pPr>
              <w:widowControl/>
              <w:jc w:val="center"/>
              <w:rPr>
                <w:rFonts w:hint="default" w:ascii="仿宋_GB2312" w:hAnsi="宋体" w:eastAsia="仿宋_GB2312" w:cs="宋体"/>
                <w:kern w:val="0"/>
                <w:szCs w:val="21"/>
                <w:lang w:val="en-US" w:eastAsia="zh-CN"/>
              </w:rPr>
            </w:pPr>
            <w:r>
              <w:rPr>
                <w:rFonts w:hint="default" w:ascii="仿宋_GB2312" w:hAnsi="宋体" w:eastAsia="仿宋_GB2312" w:cs="宋体"/>
                <w:kern w:val="0"/>
                <w:szCs w:val="21"/>
                <w:lang w:val="en-US" w:eastAsia="zh-CN"/>
              </w:rPr>
              <w:t>开1000156874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29" w:type="dxa"/>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不动产</w:t>
            </w:r>
            <w:r>
              <w:rPr>
                <w:rFonts w:hint="eastAsia" w:ascii="仿宋_GB2312" w:hAnsi="宋体" w:eastAsia="仿宋_GB2312" w:cs="宋体"/>
                <w:b/>
                <w:kern w:val="0"/>
                <w:szCs w:val="21"/>
              </w:rPr>
              <w:t>坐落</w:t>
            </w:r>
          </w:p>
        </w:tc>
        <w:tc>
          <w:tcPr>
            <w:tcW w:w="4738" w:type="dxa"/>
            <w:vAlign w:val="center"/>
          </w:tcPr>
          <w:p>
            <w:pPr>
              <w:widowControl/>
              <w:jc w:val="center"/>
              <w:rPr>
                <w:rFonts w:hint="default" w:ascii="仿宋_GB2312" w:hAnsi="宋体" w:eastAsia="仿宋_GB2312" w:cs="宋体"/>
                <w:kern w:val="0"/>
                <w:szCs w:val="21"/>
                <w:lang w:val="en-US" w:eastAsia="zh-CN"/>
              </w:rPr>
            </w:pPr>
            <w:r>
              <w:rPr>
                <w:rFonts w:hint="default" w:ascii="仿宋_GB2312" w:hAnsi="宋体" w:eastAsia="仿宋_GB2312" w:cs="宋体"/>
                <w:kern w:val="0"/>
                <w:szCs w:val="21"/>
                <w:lang w:val="en-US" w:eastAsia="zh-CN"/>
              </w:rPr>
              <w:t>开发区旭日路管委会宿舍11-401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29" w:type="dxa"/>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所有权</w:t>
            </w:r>
            <w:r>
              <w:rPr>
                <w:rFonts w:hint="eastAsia" w:ascii="仿宋_GB2312" w:hAnsi="宋体" w:eastAsia="仿宋_GB2312" w:cs="宋体"/>
                <w:b/>
                <w:kern w:val="0"/>
                <w:szCs w:val="21"/>
              </w:rPr>
              <w:t>人</w:t>
            </w:r>
          </w:p>
        </w:tc>
        <w:tc>
          <w:tcPr>
            <w:tcW w:w="4738" w:type="dxa"/>
            <w:vAlign w:val="center"/>
          </w:tcPr>
          <w:p>
            <w:pPr>
              <w:widowControl/>
              <w:jc w:val="center"/>
              <w:rPr>
                <w:rFonts w:hint="default" w:ascii="仿宋_GB2312" w:hAnsi="仿宋" w:eastAsia="仿宋_GB2312" w:cs="宋体"/>
                <w:kern w:val="0"/>
                <w:szCs w:val="21"/>
                <w:lang w:val="en-US" w:eastAsia="zh-CN"/>
              </w:rPr>
            </w:pPr>
            <w:r>
              <w:rPr>
                <w:rFonts w:hint="default" w:ascii="仿宋_GB2312" w:hAnsi="仿宋" w:eastAsia="仿宋_GB2312" w:cs="宋体"/>
                <w:kern w:val="0"/>
                <w:szCs w:val="21"/>
                <w:lang w:val="en-US" w:eastAsia="zh-CN"/>
              </w:rPr>
              <w:t>刘均太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29" w:type="dxa"/>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房屋</w:t>
            </w:r>
            <w:r>
              <w:rPr>
                <w:rFonts w:hint="eastAsia" w:ascii="仿宋_GB2312" w:hAnsi="宋体" w:eastAsia="仿宋_GB2312" w:cs="宋体"/>
                <w:b/>
                <w:kern w:val="0"/>
                <w:szCs w:val="21"/>
              </w:rPr>
              <w:t>用途</w:t>
            </w:r>
          </w:p>
        </w:tc>
        <w:tc>
          <w:tcPr>
            <w:tcW w:w="4738"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629" w:type="dxa"/>
            <w:vAlign w:val="center"/>
          </w:tcPr>
          <w:p>
            <w:pPr>
              <w:widowControl/>
              <w:jc w:val="center"/>
              <w:textAlignment w:val="center"/>
              <w:rPr>
                <w:rFonts w:ascii="仿宋_GB2312" w:hAnsi="宋体" w:eastAsia="仿宋_GB2312" w:cs="宋体"/>
                <w:b/>
                <w:kern w:val="0"/>
                <w:szCs w:val="21"/>
              </w:rPr>
            </w:pPr>
            <w:r>
              <w:rPr>
                <w:rFonts w:hint="eastAsia" w:ascii="仿宋_GB2312" w:hAnsi="宋体" w:eastAsia="仿宋_GB2312"/>
                <w:b/>
                <w:szCs w:val="21"/>
              </w:rPr>
              <w:t>评估层/总楼层</w:t>
            </w:r>
          </w:p>
        </w:tc>
        <w:tc>
          <w:tcPr>
            <w:tcW w:w="4738" w:type="dxa"/>
            <w:vAlign w:val="center"/>
          </w:tcPr>
          <w:p>
            <w:pPr>
              <w:widowControl/>
              <w:spacing w:line="240" w:lineRule="atLeast"/>
              <w:jc w:val="center"/>
              <w:textAlignment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29" w:type="dxa"/>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建筑面积（</w:t>
            </w:r>
            <w:r>
              <w:rPr>
                <w:rFonts w:hint="eastAsia" w:ascii="仿宋_GB2312" w:hAnsi="宋体" w:cs="宋体"/>
                <w:b/>
                <w:kern w:val="0"/>
                <w:szCs w:val="21"/>
              </w:rPr>
              <w:t>㎡</w:t>
            </w:r>
            <w:r>
              <w:rPr>
                <w:rFonts w:hint="eastAsia" w:ascii="仿宋_GB2312" w:hAnsi="宋体" w:eastAsia="仿宋_GB2312" w:cs="宋体"/>
                <w:b/>
                <w:kern w:val="0"/>
                <w:szCs w:val="21"/>
              </w:rPr>
              <w:t>）</w:t>
            </w:r>
          </w:p>
        </w:tc>
        <w:tc>
          <w:tcPr>
            <w:tcW w:w="4738" w:type="dxa"/>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71.77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29" w:type="dxa"/>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eastAsia="zh-CN"/>
              </w:rPr>
              <w:t>房屋结构</w:t>
            </w:r>
            <w:r>
              <w:rPr>
                <w:rFonts w:hint="eastAsia" w:ascii="仿宋_GB2312" w:hAnsi="宋体" w:eastAsia="仿宋_GB2312" w:cs="宋体"/>
                <w:b/>
                <w:kern w:val="0"/>
                <w:szCs w:val="21"/>
                <w:lang w:val="en-US" w:eastAsia="zh-CN"/>
              </w:rPr>
              <w:t xml:space="preserve"> </w:t>
            </w:r>
          </w:p>
        </w:tc>
        <w:tc>
          <w:tcPr>
            <w:tcW w:w="4738" w:type="dxa"/>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混合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29" w:type="dxa"/>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val="en-US" w:eastAsia="zh-CN"/>
              </w:rPr>
              <w:t>登记时间</w:t>
            </w:r>
          </w:p>
        </w:tc>
        <w:tc>
          <w:tcPr>
            <w:tcW w:w="4738" w:type="dxa"/>
            <w:vAlign w:val="center"/>
          </w:tcPr>
          <w:p>
            <w:pPr>
              <w:widowControl/>
              <w:jc w:val="center"/>
              <w:rPr>
                <w:rFonts w:hint="default" w:ascii="仿宋_GB2312" w:hAnsi="宋体" w:eastAsia="仿宋_GB2312" w:cs="宋体"/>
                <w:b w:val="0"/>
                <w:bCs/>
                <w:kern w:val="0"/>
                <w:szCs w:val="21"/>
                <w:lang w:val="en-US" w:eastAsia="zh-CN"/>
              </w:rPr>
            </w:pPr>
            <w:r>
              <w:rPr>
                <w:rFonts w:hint="eastAsia" w:ascii="仿宋_GB2312" w:hAnsi="宋体" w:eastAsia="仿宋_GB2312" w:cs="宋体"/>
                <w:b w:val="0"/>
                <w:bCs/>
                <w:kern w:val="0"/>
                <w:szCs w:val="21"/>
                <w:lang w:val="en-US" w:eastAsia="zh-CN"/>
              </w:rPr>
              <w:t>2014/3/26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29" w:type="dxa"/>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val="en-US" w:eastAsia="zh-CN"/>
              </w:rPr>
              <w:t>房屋性质</w:t>
            </w:r>
          </w:p>
        </w:tc>
        <w:tc>
          <w:tcPr>
            <w:tcW w:w="4738" w:type="dxa"/>
            <w:vAlign w:val="center"/>
          </w:tcPr>
          <w:p>
            <w:pPr>
              <w:widowControl/>
              <w:jc w:val="center"/>
              <w:rPr>
                <w:rFonts w:hint="default" w:ascii="仿宋_GB2312" w:hAnsi="宋体" w:eastAsia="仿宋_GB2312" w:cs="宋体"/>
                <w:b w:val="0"/>
                <w:bCs/>
                <w:kern w:val="0"/>
                <w:szCs w:val="21"/>
                <w:lang w:val="en-US" w:eastAsia="zh-CN"/>
              </w:rPr>
            </w:pPr>
            <w:r>
              <w:rPr>
                <w:rFonts w:hint="eastAsia" w:ascii="仿宋_GB2312" w:hAnsi="宋体" w:eastAsia="仿宋_GB2312" w:cs="宋体"/>
                <w:b w:val="0"/>
                <w:bCs/>
                <w:kern w:val="0"/>
                <w:szCs w:val="21"/>
                <w:lang w:val="en-US" w:eastAsia="zh-CN"/>
              </w:rPr>
              <w:t>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29" w:type="dxa"/>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val="en-US" w:eastAsia="zh-CN"/>
              </w:rPr>
              <w:t>不动产单元号</w:t>
            </w:r>
          </w:p>
        </w:tc>
        <w:tc>
          <w:tcPr>
            <w:tcW w:w="4738" w:type="dxa"/>
            <w:vAlign w:val="center"/>
          </w:tcPr>
          <w:p>
            <w:pPr>
              <w:widowControl/>
              <w:jc w:val="center"/>
              <w:rPr>
                <w:rFonts w:hint="default" w:ascii="仿宋_GB2312" w:hAnsi="宋体" w:eastAsia="仿宋_GB2312" w:cs="宋体"/>
                <w:b w:val="0"/>
                <w:bCs/>
                <w:kern w:val="0"/>
                <w:szCs w:val="21"/>
                <w:lang w:val="en-US" w:eastAsia="zh-CN"/>
              </w:rPr>
            </w:pPr>
            <w:r>
              <w:rPr>
                <w:rFonts w:hint="eastAsia" w:ascii="仿宋_GB2312" w:hAnsi="宋体" w:eastAsia="仿宋_GB2312" w:cs="宋体"/>
                <w:b w:val="0"/>
                <w:bCs/>
                <w:kern w:val="0"/>
                <w:szCs w:val="21"/>
                <w:lang w:val="en-US" w:eastAsia="zh-CN"/>
              </w:rPr>
              <w:t>360403013005GB00162F00010401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29" w:type="dxa"/>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val="en-US" w:eastAsia="zh-CN"/>
              </w:rPr>
              <w:t>竣工时间</w:t>
            </w:r>
          </w:p>
        </w:tc>
        <w:tc>
          <w:tcPr>
            <w:tcW w:w="4738" w:type="dxa"/>
            <w:vAlign w:val="center"/>
          </w:tcPr>
          <w:p>
            <w:pPr>
              <w:widowControl/>
              <w:jc w:val="center"/>
              <w:rPr>
                <w:rFonts w:hint="default" w:ascii="仿宋_GB2312" w:hAnsi="宋体" w:eastAsia="仿宋_GB2312" w:cs="宋体"/>
                <w:b w:val="0"/>
                <w:bCs/>
                <w:kern w:val="0"/>
                <w:szCs w:val="21"/>
                <w:lang w:val="en-US" w:eastAsia="zh-CN"/>
              </w:rPr>
            </w:pPr>
            <w:r>
              <w:rPr>
                <w:rFonts w:hint="eastAsia" w:ascii="仿宋_GB2312" w:hAnsi="宋体" w:eastAsia="仿宋_GB2312" w:cs="宋体"/>
                <w:b w:val="0"/>
                <w:bCs/>
                <w:kern w:val="0"/>
                <w:szCs w:val="21"/>
                <w:lang w:val="en-US" w:eastAsia="zh-CN"/>
              </w:rPr>
              <w:t>1993/1/1</w:t>
            </w:r>
          </w:p>
        </w:tc>
      </w:tr>
    </w:tbl>
    <w:p>
      <w:pPr>
        <w:spacing w:line="52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w:t>
      </w:r>
      <w:r>
        <w:rPr>
          <w:rFonts w:hint="eastAsia" w:ascii="仿宋_GB2312" w:hAnsi="宋体" w:eastAsia="仿宋_GB2312"/>
          <w:sz w:val="28"/>
          <w:szCs w:val="28"/>
        </w:rPr>
        <w:t>）他项权利</w:t>
      </w:r>
      <w:r>
        <w:rPr>
          <w:rFonts w:hint="eastAsia" w:ascii="仿宋_GB2312" w:hAnsi="宋体" w:eastAsia="仿宋_GB2312"/>
          <w:sz w:val="28"/>
          <w:szCs w:val="28"/>
          <w:lang w:val="en-US" w:eastAsia="zh-CN"/>
        </w:rPr>
        <w:t>状况</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根据</w:t>
      </w:r>
      <w:r>
        <w:rPr>
          <w:rFonts w:hint="eastAsia" w:ascii="仿宋_GB2312" w:hAnsi="宋体" w:eastAsia="仿宋_GB2312"/>
          <w:sz w:val="28"/>
          <w:szCs w:val="28"/>
          <w:lang w:eastAsia="zh-CN"/>
        </w:rPr>
        <w:t>估价委托人</w:t>
      </w:r>
      <w:r>
        <w:rPr>
          <w:rFonts w:hint="eastAsia" w:ascii="仿宋_GB2312" w:hAnsi="宋体" w:eastAsia="仿宋_GB2312"/>
          <w:sz w:val="28"/>
          <w:szCs w:val="28"/>
          <w:lang w:val="en-US" w:eastAsia="zh-CN"/>
        </w:rPr>
        <w:t>提供的资料及介绍，</w:t>
      </w:r>
      <w:r>
        <w:rPr>
          <w:rFonts w:hint="eastAsia" w:ascii="仿宋_GB2312" w:hAnsi="宋体" w:eastAsia="仿宋_GB2312"/>
          <w:sz w:val="28"/>
          <w:szCs w:val="28"/>
        </w:rPr>
        <w:t>截至价值时点，估价对象</w:t>
      </w:r>
      <w:r>
        <w:rPr>
          <w:rFonts w:hint="eastAsia" w:ascii="仿宋_GB2312" w:hAnsi="宋体" w:eastAsia="仿宋_GB2312"/>
          <w:sz w:val="28"/>
          <w:szCs w:val="28"/>
          <w:lang w:val="en-US" w:eastAsia="zh-CN"/>
        </w:rPr>
        <w:t>已被查封</w:t>
      </w:r>
      <w:r>
        <w:rPr>
          <w:rFonts w:hint="eastAsia" w:ascii="仿宋_GB2312" w:hAnsi="宋体" w:eastAsia="仿宋_GB2312"/>
          <w:sz w:val="28"/>
          <w:szCs w:val="28"/>
        </w:rPr>
        <w:t>，结合本次估价目的，本次评估未考虑</w:t>
      </w:r>
      <w:r>
        <w:rPr>
          <w:rFonts w:hint="eastAsia" w:ascii="仿宋_GB2312" w:hAnsi="宋体" w:eastAsia="仿宋_GB2312"/>
          <w:sz w:val="28"/>
          <w:szCs w:val="28"/>
          <w:lang w:eastAsia="zh-CN"/>
        </w:rPr>
        <w:t>抵查封等</w:t>
      </w:r>
      <w:r>
        <w:rPr>
          <w:rFonts w:hint="eastAsia" w:ascii="仿宋_GB2312" w:hAnsi="宋体" w:eastAsia="仿宋_GB2312"/>
          <w:sz w:val="28"/>
          <w:szCs w:val="28"/>
        </w:rPr>
        <w:t>他项权利的影响。</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40" w:lineRule="exact"/>
        <w:ind w:firstLine="420"/>
        <w:rPr>
          <w:rFonts w:hint="eastAsia" w:ascii="仿宋_GB2312" w:eastAsia="仿宋_GB2312"/>
          <w:b/>
          <w:spacing w:val="-20"/>
          <w:sz w:val="28"/>
        </w:rPr>
      </w:pPr>
      <w:bookmarkStart w:id="14" w:name="_Toc517794431"/>
      <w:bookmarkStart w:id="15" w:name="_Toc517794689"/>
      <w:r>
        <w:rPr>
          <w:rFonts w:hint="eastAsia" w:ascii="仿宋_GB2312" w:eastAsia="仿宋_GB2312"/>
          <w:b/>
        </w:rPr>
        <w:t>（五）价值时点</w:t>
      </w:r>
      <w:bookmarkEnd w:id="14"/>
      <w:bookmarkEnd w:id="15"/>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根据《房地产估价规范》及估价委托人所出具的委托书，</w:t>
      </w:r>
      <w:r>
        <w:rPr>
          <w:rFonts w:hint="eastAsia" w:ascii="仿宋_GB2312" w:hAnsi="宋体" w:eastAsia="仿宋_GB2312"/>
          <w:sz w:val="28"/>
          <w:szCs w:val="28"/>
          <w:lang w:eastAsia="zh-CN"/>
        </w:rPr>
        <w:t>本次估价</w:t>
      </w:r>
      <w:r>
        <w:rPr>
          <w:rFonts w:hint="eastAsia" w:ascii="仿宋_GB2312" w:hAnsi="宋体" w:eastAsia="仿宋_GB2312"/>
          <w:sz w:val="28"/>
          <w:szCs w:val="28"/>
        </w:rPr>
        <w:t>价值时点与估价师实地查勘之日一致，为</w:t>
      </w:r>
      <w:r>
        <w:rPr>
          <w:rFonts w:hint="eastAsia" w:ascii="仿宋_GB2312" w:hAnsi="宋体" w:eastAsia="仿宋_GB2312"/>
          <w:sz w:val="28"/>
          <w:szCs w:val="28"/>
          <w:lang w:eastAsia="zh-CN"/>
        </w:rPr>
        <w:t>2022年7月22日</w:t>
      </w:r>
      <w:r>
        <w:rPr>
          <w:rFonts w:hint="eastAsia" w:ascii="仿宋_GB2312" w:hAnsi="宋体" w:eastAsia="仿宋_GB2312"/>
          <w:sz w:val="28"/>
          <w:szCs w:val="28"/>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40" w:lineRule="exact"/>
        <w:ind w:firstLine="420"/>
        <w:rPr>
          <w:rFonts w:hint="eastAsia" w:ascii="仿宋_GB2312" w:eastAsia="仿宋_GB2312"/>
          <w:b/>
        </w:rPr>
      </w:pPr>
      <w:bookmarkStart w:id="16" w:name="_Toc517794432"/>
      <w:bookmarkStart w:id="17" w:name="_Toc517794690"/>
      <w:r>
        <w:rPr>
          <w:rFonts w:hint="eastAsia" w:ascii="仿宋_GB2312" w:eastAsia="仿宋_GB2312"/>
          <w:b/>
        </w:rPr>
        <w:t>（六）</w:t>
      </w:r>
      <w:r>
        <w:rPr>
          <w:rFonts w:hint="eastAsia" w:ascii="仿宋_GB2312" w:hAnsi="Times New Roman" w:eastAsia="仿宋_GB2312" w:cs="Times New Roman"/>
          <w:b/>
          <w:bCs w:val="0"/>
          <w:kern w:val="2"/>
          <w:szCs w:val="30"/>
          <w:lang w:bidi="ar"/>
        </w:rPr>
        <w:t>价值</w:t>
      </w:r>
      <w:r>
        <w:rPr>
          <w:rFonts w:hint="eastAsia" w:ascii="仿宋_GB2312" w:hAnsi="Times New Roman" w:eastAsia="仿宋_GB2312" w:cs="Times New Roman"/>
          <w:b/>
          <w:bCs w:val="0"/>
          <w:kern w:val="2"/>
          <w:szCs w:val="30"/>
          <w:lang w:val="en-US" w:eastAsia="zh-CN" w:bidi="ar"/>
        </w:rPr>
        <w:t>类型</w:t>
      </w:r>
      <w:bookmarkEnd w:id="16"/>
      <w:bookmarkEnd w:id="17"/>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在估价的假设和限制条件下的市场</w:t>
      </w:r>
      <w:r>
        <w:rPr>
          <w:rFonts w:hint="eastAsia" w:ascii="仿宋_GB2312" w:hAnsi="宋体" w:eastAsia="仿宋_GB2312"/>
          <w:color w:val="000000"/>
          <w:sz w:val="28"/>
          <w:szCs w:val="28"/>
          <w:lang w:eastAsia="zh-CN"/>
        </w:rPr>
        <w:t>价格</w:t>
      </w:r>
      <w:r>
        <w:rPr>
          <w:rFonts w:hint="eastAsia" w:ascii="仿宋_GB2312" w:hAnsi="宋体" w:eastAsia="仿宋_GB2312"/>
          <w:color w:val="000000"/>
          <w:sz w:val="28"/>
          <w:szCs w:val="28"/>
        </w:rPr>
        <w:t>。</w:t>
      </w:r>
    </w:p>
    <w:p>
      <w:pPr>
        <w:spacing w:line="540" w:lineRule="exact"/>
        <w:ind w:firstLine="562" w:firstLineChars="200"/>
        <w:rPr>
          <w:rFonts w:hint="eastAsia" w:ascii="仿宋_GB2312" w:hAnsi="宋体" w:eastAsia="仿宋_GB2312"/>
          <w:color w:val="000000"/>
          <w:sz w:val="28"/>
          <w:szCs w:val="28"/>
        </w:rPr>
      </w:pPr>
      <w:r>
        <w:rPr>
          <w:rFonts w:hint="eastAsia" w:ascii="仿宋_GB2312" w:hAnsi="宋体" w:eastAsia="仿宋_GB2312"/>
          <w:b/>
          <w:color w:val="000000"/>
          <w:sz w:val="28"/>
          <w:szCs w:val="28"/>
        </w:rPr>
        <w:t>市场</w:t>
      </w:r>
      <w:r>
        <w:rPr>
          <w:rFonts w:hint="eastAsia" w:ascii="仿宋_GB2312" w:hAnsi="宋体" w:eastAsia="仿宋_GB2312"/>
          <w:b/>
          <w:color w:val="000000"/>
          <w:sz w:val="28"/>
          <w:szCs w:val="28"/>
          <w:lang w:eastAsia="zh-CN"/>
        </w:rPr>
        <w:t>价格</w:t>
      </w:r>
      <w:r>
        <w:rPr>
          <w:rFonts w:hint="eastAsia" w:ascii="仿宋_GB2312" w:hAnsi="宋体" w:eastAsia="仿宋_GB2312"/>
          <w:b/>
          <w:color w:val="000000"/>
          <w:sz w:val="28"/>
          <w:szCs w:val="28"/>
        </w:rPr>
        <w:t>：</w:t>
      </w:r>
      <w:r>
        <w:rPr>
          <w:rFonts w:hint="eastAsia" w:ascii="仿宋_GB2312" w:hAnsi="宋体" w:eastAsia="仿宋_GB2312"/>
          <w:color w:val="000000"/>
          <w:sz w:val="28"/>
          <w:szCs w:val="28"/>
        </w:rPr>
        <w:t>简称市场价或市价，是某种房地产在市场上的平均交易价格，以一些类似房地产的成交价格为基础测算，剔除偶然的和不正常的因素造成的价格偏差，并消除房地产之间的状况不同造成的价格差异。</w:t>
      </w:r>
    </w:p>
    <w:p>
      <w:pPr>
        <w:keepNext w:val="0"/>
        <w:keepLines w:val="0"/>
        <w:tabs>
          <w:tab w:val="left" w:pos="315"/>
        </w:tabs>
        <w:adjustRightInd/>
        <w:snapToGrid/>
        <w:spacing w:line="360" w:lineRule="exact"/>
        <w:ind w:firstLine="281" w:firstLineChars="100"/>
        <w:jc w:val="center"/>
        <w:outlineLvl w:val="9"/>
        <w:rPr>
          <w:rFonts w:hint="eastAsia" w:ascii="仿宋_GB2312" w:hAnsi="宋体" w:eastAsia="仿宋_GB2312"/>
          <w:b/>
          <w:color w:val="000000"/>
          <w:sz w:val="28"/>
          <w:szCs w:val="28"/>
        </w:rPr>
      </w:pPr>
      <w:bookmarkStart w:id="18" w:name="_Toc517794433"/>
      <w:bookmarkStart w:id="19" w:name="_Toc517794691"/>
    </w:p>
    <w:p>
      <w:pPr>
        <w:pStyle w:val="2"/>
        <w:spacing w:line="540" w:lineRule="exact"/>
        <w:ind w:firstLine="420"/>
        <w:rPr>
          <w:rFonts w:hint="eastAsia" w:ascii="仿宋_GB2312" w:eastAsia="仿宋_GB2312"/>
          <w:b/>
          <w:color w:val="000000"/>
          <w:sz w:val="28"/>
        </w:rPr>
      </w:pPr>
      <w:r>
        <w:rPr>
          <w:rFonts w:hint="eastAsia" w:ascii="仿宋_GB2312" w:eastAsia="仿宋_GB2312"/>
          <w:b/>
        </w:rPr>
        <w:t>（七）估价依据</w:t>
      </w:r>
      <w:bookmarkEnd w:id="18"/>
      <w:bookmarkEnd w:id="19"/>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1、相关法律法规</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（1）《中华人民共和国城市房地产管理法》（根据2019年8月26日第十三届全国人民代表大会常务委员会第十二次会议《关于修改〈中华人民共和国土地管理法〉、〈中华人民共和国城市房地产管理法〉的决定</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第三次修</w:t>
      </w:r>
      <w:r>
        <w:rPr>
          <w:rFonts w:hint="eastAsia" w:ascii="仿宋_GB2312" w:hAnsi="宋体" w:eastAsia="仿宋_GB2312"/>
          <w:color w:val="000000"/>
          <w:sz w:val="28"/>
          <w:szCs w:val="28"/>
          <w:lang w:eastAsia="zh-CN"/>
        </w:rPr>
        <w:t>正</w:t>
      </w:r>
      <w:r>
        <w:rPr>
          <w:rFonts w:hint="eastAsia" w:ascii="仿宋_GB2312" w:hAnsi="宋体" w:eastAsia="仿宋_GB2312"/>
          <w:color w:val="000000"/>
          <w:sz w:val="28"/>
          <w:szCs w:val="28"/>
        </w:rPr>
        <w:t>，2020年1月1日起施行）；</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《中华人民共和国资产评估法》（2016年7月2日第十二届全国人民代表大会常务委员会第二十一次会议通过）；</w:t>
      </w:r>
    </w:p>
    <w:p>
      <w:pPr>
        <w:tabs>
          <w:tab w:val="left" w:pos="2912"/>
        </w:tabs>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中华人民共和国土地管理法》（根据2019年8月26日第十三届全国人民代表大会常务委员会第十二次会议《关于修改〈中华人民共和国土地管理法〉、〈中华人民共和国城市房地产管理法〉的决定》第三次修正，2020年1月1日起施行）;</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（4）《中华人民共和国民法典》（中华人民共和国第十三届全国人民代表大会第三次会议于2020年5月28日通过</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自2021年1月1日起施行）；</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（5）《中华人民共和国税收征收管理法》（2015年4月24日中华人民共和国主席令第23号发布）；</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（6）《中华人民共和国契税</w:t>
      </w:r>
      <w:r>
        <w:rPr>
          <w:rFonts w:hint="eastAsia" w:ascii="仿宋_GB2312" w:hAnsi="宋体" w:eastAsia="仿宋_GB2312"/>
          <w:color w:val="000000"/>
          <w:sz w:val="28"/>
          <w:szCs w:val="28"/>
          <w:lang w:eastAsia="zh-CN"/>
        </w:rPr>
        <w:t>法</w:t>
      </w:r>
      <w:r>
        <w:rPr>
          <w:rFonts w:hint="eastAsia" w:ascii="仿宋_GB2312" w:hAnsi="宋体" w:eastAsia="仿宋_GB2312"/>
          <w:color w:val="000000"/>
          <w:sz w:val="28"/>
          <w:szCs w:val="28"/>
        </w:rPr>
        <w:t>》（</w:t>
      </w:r>
      <w:r>
        <w:rPr>
          <w:rFonts w:hint="eastAsia" w:ascii="Times New Roman" w:hAnsi="Times New Roman" w:eastAsia="仿宋_GB2312" w:cs="Times New Roman"/>
          <w:sz w:val="28"/>
          <w:szCs w:val="28"/>
          <w:lang w:eastAsia="zh-CN"/>
        </w:rPr>
        <w:t>由</w:t>
      </w:r>
      <w:r>
        <w:rPr>
          <w:rFonts w:ascii="Times New Roman" w:hAnsi="Times New Roman" w:eastAsia="仿宋_GB2312" w:cs="Times New Roman"/>
          <w:i w:val="0"/>
          <w:iCs w:val="0"/>
          <w:caps w:val="0"/>
          <w:spacing w:val="0"/>
          <w:sz w:val="28"/>
          <w:szCs w:val="28"/>
          <w:shd w:val="clear" w:color="auto" w:fill="auto"/>
        </w:rPr>
        <w:t>中华人民共和国第十三届全国人民代表大会常务委员会第二十一次会议于2020年8月11日通过，自2021年9月1日起施行</w:t>
      </w:r>
      <w:r>
        <w:rPr>
          <w:rFonts w:hint="eastAsia" w:ascii="仿宋_GB2312" w:hAnsi="宋体" w:eastAsia="仿宋_GB2312"/>
          <w:color w:val="000000"/>
          <w:sz w:val="28"/>
          <w:szCs w:val="28"/>
        </w:rPr>
        <w:t>）；</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（7）《关于全面推开营业税改征增值税试点的通知》</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财税〔2016〕36号</w:t>
      </w:r>
      <w:r>
        <w:rPr>
          <w:rFonts w:hint="eastAsia" w:ascii="仿宋_GB2312" w:hAnsi="宋体" w:eastAsia="仿宋_GB2312"/>
          <w:color w:val="000000"/>
          <w:sz w:val="28"/>
          <w:szCs w:val="28"/>
          <w:lang w:eastAsia="zh-CN"/>
        </w:rPr>
        <w:t>）；</w:t>
      </w:r>
    </w:p>
    <w:p>
      <w:pPr>
        <w:spacing w:line="500" w:lineRule="exact"/>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（8）《中华人民共和国拍卖法》(中华人民共和国主席令第24号发布，自2015年4月24日起施行)</w:t>
      </w:r>
      <w:r>
        <w:rPr>
          <w:rFonts w:hint="eastAsia" w:ascii="仿宋_GB2312" w:hAnsi="宋体" w:eastAsia="仿宋_GB2312"/>
          <w:color w:val="000000"/>
          <w:sz w:val="28"/>
          <w:szCs w:val="28"/>
          <w:lang w:eastAsia="zh-CN"/>
        </w:rPr>
        <w:t>；</w:t>
      </w:r>
    </w:p>
    <w:p>
      <w:pPr>
        <w:spacing w:line="500" w:lineRule="exact"/>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（9）《最高人民法院关于人民法院委托评估、拍卖和变卖工作的若干规定》（2009年8月24日法释〔2009〕16号）</w:t>
      </w:r>
      <w:r>
        <w:rPr>
          <w:rFonts w:hint="eastAsia" w:ascii="仿宋_GB2312" w:hAnsi="宋体" w:eastAsia="仿宋_GB2312"/>
          <w:color w:val="000000"/>
          <w:sz w:val="28"/>
          <w:szCs w:val="28"/>
          <w:lang w:eastAsia="zh-CN"/>
        </w:rPr>
        <w:t>。</w:t>
      </w:r>
    </w:p>
    <w:p>
      <w:pPr>
        <w:spacing w:line="500" w:lineRule="exact"/>
        <w:ind w:firstLine="560" w:firstLineChars="200"/>
        <w:rPr>
          <w:rFonts w:hint="default" w:ascii="仿宋_GB2312" w:hAnsi="宋体" w:eastAsia="仿宋_GB2312"/>
          <w:color w:val="000000"/>
          <w:sz w:val="28"/>
          <w:szCs w:val="28"/>
          <w:lang w:val="en-US" w:eastAsia="zh-CN"/>
        </w:rPr>
      </w:pPr>
      <w:r>
        <w:rPr>
          <w:rFonts w:hint="eastAsia" w:ascii="仿宋_GB2312" w:hAnsi="宋体" w:eastAsia="仿宋_GB2312" w:cs="Times New Roman"/>
          <w:color w:val="000000"/>
          <w:sz w:val="28"/>
          <w:szCs w:val="28"/>
          <w:lang w:val="en-US" w:eastAsia="zh-CN"/>
        </w:rPr>
        <w:t>(10)《最高人民法院关于人民法院确定财产处置参考价若干问题的</w:t>
      </w:r>
      <w:r>
        <w:rPr>
          <w:rFonts w:hint="eastAsia" w:ascii="仿宋_GB2312" w:hAnsi="宋体" w:eastAsia="仿宋_GB2312"/>
          <w:color w:val="000000"/>
          <w:sz w:val="28"/>
          <w:szCs w:val="28"/>
          <w:lang w:val="en-US" w:eastAsia="zh-CN"/>
        </w:rPr>
        <w:t>规定》</w:t>
      </w:r>
      <w:r>
        <w:rPr>
          <w:rFonts w:hint="eastAsia" w:ascii="仿宋_GB2312" w:hAnsi="宋体" w:eastAsia="仿宋_GB2312"/>
          <w:color w:val="000000"/>
          <w:sz w:val="28"/>
          <w:szCs w:val="28"/>
        </w:rPr>
        <w:t>（2018年8月28日法释〔2018〕15号）</w:t>
      </w:r>
      <w:r>
        <w:rPr>
          <w:rFonts w:hint="eastAsia" w:ascii="仿宋_GB2312" w:hAnsi="宋体" w:eastAsia="仿宋_GB2312"/>
          <w:color w:val="000000"/>
          <w:sz w:val="28"/>
          <w:szCs w:val="28"/>
          <w:lang w:eastAsia="zh-CN"/>
        </w:rPr>
        <w:t>。</w:t>
      </w:r>
    </w:p>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2、技术标准、规程、规范</w:t>
      </w:r>
    </w:p>
    <w:p>
      <w:pPr>
        <w:spacing w:line="50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（1）《房地产估价规范》（GB/T50291-2015）</w:t>
      </w:r>
      <w:r>
        <w:rPr>
          <w:rFonts w:hint="eastAsia" w:ascii="仿宋_GB2312" w:hAnsi="仿宋" w:eastAsia="仿宋_GB2312"/>
          <w:sz w:val="28"/>
          <w:szCs w:val="28"/>
          <w:lang w:eastAsia="zh-CN"/>
        </w:rPr>
        <w:t>；</w:t>
      </w:r>
    </w:p>
    <w:p>
      <w:pPr>
        <w:spacing w:line="50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（2）《房地产估价基本术语标准》（GB/T50899-2013）</w:t>
      </w:r>
      <w:r>
        <w:rPr>
          <w:rFonts w:hint="eastAsia" w:ascii="仿宋_GB2312" w:hAnsi="仿宋" w:eastAsia="仿宋_GB2312"/>
          <w:sz w:val="28"/>
          <w:szCs w:val="28"/>
          <w:lang w:eastAsia="zh-CN"/>
        </w:rPr>
        <w:t>；</w:t>
      </w:r>
    </w:p>
    <w:p>
      <w:pPr>
        <w:spacing w:line="50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3</w:t>
      </w:r>
      <w:r>
        <w:rPr>
          <w:rFonts w:hint="eastAsia" w:ascii="仿宋_GB2312" w:hAnsi="仿宋" w:eastAsia="仿宋_GB2312"/>
          <w:sz w:val="28"/>
          <w:szCs w:val="28"/>
          <w:lang w:eastAsia="zh-CN"/>
        </w:rPr>
        <w:t>）关于印发《涉执房地产处置司法评估指导意见（试行）》的通知（中房学〔2021〕37号）。</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3、估价委托人提供的相关资料</w:t>
      </w:r>
    </w:p>
    <w:p>
      <w:pPr>
        <w:spacing w:line="52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1）《不动产产权情况表》</w:t>
      </w:r>
      <w:r>
        <w:rPr>
          <w:rFonts w:hint="eastAsia" w:ascii="仿宋_GB2312" w:hAnsi="仿宋" w:eastAsia="仿宋_GB2312"/>
          <w:sz w:val="28"/>
          <w:szCs w:val="28"/>
        </w:rPr>
        <w:t>复印件</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宋体" w:eastAsia="仿宋_GB2312"/>
          <w:sz w:val="28"/>
          <w:szCs w:val="28"/>
          <w:lang w:eastAsia="zh-CN"/>
        </w:rPr>
      </w:pPr>
      <w:r>
        <w:rPr>
          <w:rFonts w:hint="eastAsia" w:ascii="仿宋_GB2312" w:hAnsi="仿宋" w:eastAsia="仿宋_GB2312"/>
          <w:sz w:val="28"/>
          <w:szCs w:val="28"/>
        </w:rPr>
        <w:t>（</w:t>
      </w:r>
      <w:r>
        <w:rPr>
          <w:rFonts w:hint="eastAsia" w:ascii="仿宋_GB2312" w:hAnsi="仿宋" w:eastAsia="仿宋_GB2312"/>
          <w:sz w:val="28"/>
          <w:szCs w:val="28"/>
          <w:lang w:val="en-US" w:eastAsia="zh-CN"/>
        </w:rPr>
        <w:t>2</w:t>
      </w:r>
      <w:r>
        <w:rPr>
          <w:rFonts w:hint="eastAsia" w:ascii="仿宋_GB2312" w:hAnsi="仿宋" w:eastAsia="仿宋_GB2312"/>
          <w:sz w:val="28"/>
          <w:szCs w:val="28"/>
        </w:rPr>
        <w:t>）</w:t>
      </w:r>
      <w:r>
        <w:rPr>
          <w:rFonts w:hint="eastAsia" w:ascii="仿宋_GB2312" w:hAnsi="仿宋" w:eastAsia="仿宋_GB2312"/>
          <w:sz w:val="28"/>
          <w:szCs w:val="28"/>
          <w:lang w:val="en-US" w:eastAsia="zh-CN"/>
        </w:rPr>
        <w:t>九江市濂溪区人民法院</w:t>
      </w:r>
      <w:r>
        <w:rPr>
          <w:rFonts w:hint="eastAsia" w:ascii="仿宋_GB2312" w:hAnsi="宋体" w:eastAsia="仿宋_GB2312"/>
          <w:sz w:val="28"/>
          <w:szCs w:val="28"/>
        </w:rPr>
        <w:t>提供的相关资料</w:t>
      </w:r>
      <w:r>
        <w:rPr>
          <w:rFonts w:hint="eastAsia" w:ascii="仿宋_GB2312" w:hAnsi="宋体" w:eastAsia="仿宋_GB2312"/>
          <w:sz w:val="28"/>
          <w:szCs w:val="28"/>
          <w:lang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4、估价人员调查收集的相关资料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（1）估价人员实地查勘和估价机构掌握的其他相关资料；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（2）估价对象所在区域房地产市场状况、同类房地产市场交易等数据资料。</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20" w:lineRule="exact"/>
        <w:ind w:firstLine="420"/>
        <w:rPr>
          <w:rFonts w:hint="eastAsia" w:ascii="仿宋_GB2312" w:eastAsia="仿宋_GB2312"/>
          <w:b/>
        </w:rPr>
      </w:pPr>
      <w:bookmarkStart w:id="20" w:name="_Toc517794434"/>
      <w:bookmarkStart w:id="21" w:name="_Toc517794692"/>
      <w:r>
        <w:rPr>
          <w:rFonts w:hint="eastAsia" w:ascii="仿宋_GB2312" w:eastAsia="仿宋_GB2312"/>
          <w:b/>
        </w:rPr>
        <w:t>（八）估价原则</w:t>
      </w:r>
      <w:bookmarkEnd w:id="20"/>
      <w:bookmarkEnd w:id="21"/>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1、合法原则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要求房地产估价应以估价对象的合法权益为前提进行。</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合法权益包括合法产权、合法使用、合法处分等方面。</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 w:val="0"/>
          <w:bCs/>
          <w:sz w:val="28"/>
          <w:szCs w:val="28"/>
          <w:lang w:val="en-US" w:eastAsia="zh-CN"/>
        </w:rPr>
        <w:t>2</w:t>
      </w:r>
      <w:r>
        <w:rPr>
          <w:rFonts w:hint="eastAsia" w:ascii="仿宋_GB2312" w:hAnsi="宋体" w:eastAsia="仿宋_GB2312"/>
          <w:b w:val="0"/>
          <w:bCs/>
          <w:sz w:val="28"/>
          <w:szCs w:val="28"/>
        </w:rPr>
        <w:t>、独立、客观、公正原则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要求站在中立的立场上，实事求</w:t>
      </w:r>
      <w:r>
        <w:rPr>
          <w:rFonts w:hint="eastAsia" w:ascii="仿宋_GB2312" w:hAnsi="宋体" w:eastAsia="仿宋_GB2312"/>
          <w:bCs/>
          <w:sz w:val="28"/>
          <w:szCs w:val="28"/>
          <w:lang w:val="en-US" w:eastAsia="zh-CN"/>
        </w:rPr>
        <w:t>是</w:t>
      </w:r>
      <w:r>
        <w:rPr>
          <w:rFonts w:hint="eastAsia" w:ascii="仿宋_GB2312" w:hAnsi="宋体" w:eastAsia="仿宋_GB2312"/>
          <w:bCs/>
          <w:sz w:val="28"/>
          <w:szCs w:val="28"/>
        </w:rPr>
        <w:t>，公平正直地评估出对各方估价利害关系人均是公平合理价值或价格的原则。</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3、替代原则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要求房地产估价结果不得明显偏离类似房地产在同等条件下的正常价格。</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类似房地产是指与估价对象处在同一供求范围内，并在用途、规模、档次、建筑结构等方面与估价对象相同或相近的房地产。</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4、价值时点原则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要求房地产估价结果应是估价对象在价值时点时的客观合理价格或价值。价值时点是评估房地产价格的时间界定。</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lang w:val="en-US" w:eastAsia="zh-CN"/>
        </w:rPr>
        <w:t>5</w:t>
      </w:r>
      <w:r>
        <w:rPr>
          <w:rFonts w:hint="eastAsia" w:ascii="仿宋_GB2312" w:hAnsi="宋体" w:eastAsia="仿宋_GB2312"/>
          <w:b w:val="0"/>
          <w:bCs/>
          <w:sz w:val="28"/>
          <w:szCs w:val="28"/>
        </w:rPr>
        <w:t>、最高最佳使用原则</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要求房地产估价应以估价对象的最高最佳使用为前提进行。</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最高最佳使用指法律上允许、技术上可能、经济上可行，经过充分合理的论证，能使估价对象的价值达到最大的一种最可能的使用。</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20" w:lineRule="exact"/>
        <w:ind w:firstLine="420"/>
        <w:rPr>
          <w:rFonts w:hint="eastAsia" w:ascii="仿宋_GB2312" w:eastAsia="仿宋_GB2312"/>
          <w:b/>
        </w:rPr>
      </w:pPr>
      <w:bookmarkStart w:id="22" w:name="_Toc517794693"/>
      <w:bookmarkStart w:id="23" w:name="_Toc517794435"/>
      <w:r>
        <w:rPr>
          <w:rFonts w:hint="eastAsia" w:ascii="仿宋_GB2312" w:eastAsia="仿宋_GB2312"/>
          <w:b/>
        </w:rPr>
        <w:t>（九）估价方法</w:t>
      </w:r>
      <w:bookmarkEnd w:id="22"/>
      <w:bookmarkEnd w:id="23"/>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1、估价方法的选用</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根据《房地产估价规范》（GB/T50291-2015），通行的估价方法有比较法、收益法、成本法、假设开发法等。</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b w:val="0"/>
          <w:bCs w:val="0"/>
          <w:sz w:val="28"/>
          <w:szCs w:val="28"/>
          <w:highlight w:val="none"/>
          <w:lang w:val="en-US" w:eastAsia="zh-CN"/>
        </w:rPr>
        <w:t>根据估价委托人提供的资料显示，估价对象土地性质为划拨，土地用途为住宅用地；本次估价先是假定估价对象为出让条件下的评估价值，再是减去预计应缴土地出让金，得出估价对象划拨条件下的评估价值。</w:t>
      </w:r>
    </w:p>
    <w:p>
      <w:pPr>
        <w:spacing w:line="520" w:lineRule="exact"/>
        <w:ind w:firstLine="536" w:firstLineChars="200"/>
        <w:rPr>
          <w:rFonts w:hint="eastAsia" w:ascii="仿宋_GB2312" w:hAnsi="宋体" w:eastAsia="仿宋_GB2312"/>
          <w:spacing w:val="-6"/>
          <w:sz w:val="28"/>
          <w:szCs w:val="28"/>
        </w:rPr>
      </w:pPr>
      <w:r>
        <w:rPr>
          <w:rFonts w:hint="eastAsia" w:ascii="仿宋_GB2312" w:hAnsi="宋体" w:eastAsia="仿宋_GB2312"/>
          <w:spacing w:val="-6"/>
          <w:sz w:val="28"/>
          <w:szCs w:val="28"/>
        </w:rPr>
        <w:t>估价人员细致地分析了估价对象的特点和实际状况，并研究了估价委托人提供及估价方所掌握的资料后，确定采用比较法作为</w:t>
      </w:r>
      <w:r>
        <w:rPr>
          <w:rFonts w:hint="eastAsia" w:ascii="仿宋_GB2312" w:hAnsi="宋体" w:eastAsia="仿宋_GB2312"/>
          <w:b w:val="0"/>
          <w:bCs w:val="0"/>
          <w:sz w:val="28"/>
          <w:szCs w:val="28"/>
          <w:lang w:val="en-US" w:eastAsia="zh-CN"/>
        </w:rPr>
        <w:t>估价对象为出让条件下价值</w:t>
      </w:r>
      <w:r>
        <w:rPr>
          <w:rFonts w:hint="eastAsia" w:ascii="仿宋_GB2312" w:hAnsi="宋体" w:eastAsia="仿宋_GB2312"/>
          <w:spacing w:val="-6"/>
          <w:sz w:val="28"/>
          <w:szCs w:val="28"/>
        </w:rPr>
        <w:t>的测算方法。理由如下：</w:t>
      </w:r>
    </w:p>
    <w:p>
      <w:pPr>
        <w:spacing w:line="520" w:lineRule="exact"/>
        <w:ind w:firstLine="536" w:firstLineChars="200"/>
        <w:rPr>
          <w:rFonts w:eastAsia="仿宋_GB2312"/>
          <w:spacing w:val="-6"/>
          <w:sz w:val="28"/>
          <w:szCs w:val="28"/>
        </w:rPr>
      </w:pPr>
      <w:r>
        <w:rPr>
          <w:rFonts w:eastAsia="仿宋_GB2312"/>
          <w:spacing w:val="-6"/>
          <w:sz w:val="28"/>
          <w:szCs w:val="28"/>
        </w:rPr>
        <w:t>（1）选用方法的理由</w:t>
      </w:r>
    </w:p>
    <w:p>
      <w:pPr>
        <w:spacing w:line="520" w:lineRule="exact"/>
        <w:ind w:firstLine="536" w:firstLineChars="200"/>
        <w:rPr>
          <w:rFonts w:hint="eastAsia" w:ascii="仿宋_GB2312" w:hAnsi="宋体" w:eastAsia="仿宋_GB2312"/>
          <w:sz w:val="28"/>
          <w:szCs w:val="28"/>
        </w:rPr>
      </w:pPr>
      <w:r>
        <w:rPr>
          <w:rFonts w:eastAsia="仿宋_GB2312"/>
          <w:spacing w:val="-6"/>
          <w:sz w:val="28"/>
          <w:szCs w:val="28"/>
        </w:rPr>
        <w:t>估价对象</w:t>
      </w:r>
      <w:r>
        <w:rPr>
          <w:rFonts w:hint="eastAsia" w:eastAsia="仿宋_GB2312"/>
          <w:spacing w:val="-6"/>
          <w:sz w:val="28"/>
          <w:szCs w:val="28"/>
          <w:lang w:val="en-US" w:eastAsia="zh-CN"/>
        </w:rPr>
        <w:t>房屋登记</w:t>
      </w:r>
      <w:r>
        <w:rPr>
          <w:rFonts w:eastAsia="仿宋_GB2312"/>
          <w:spacing w:val="-6"/>
          <w:sz w:val="28"/>
          <w:szCs w:val="28"/>
        </w:rPr>
        <w:t>用途为</w:t>
      </w:r>
      <w:r>
        <w:rPr>
          <w:rFonts w:hint="eastAsia" w:eastAsia="仿宋_GB2312"/>
          <w:spacing w:val="-6"/>
          <w:sz w:val="28"/>
          <w:szCs w:val="28"/>
          <w:lang w:val="en-US" w:eastAsia="zh-CN"/>
        </w:rPr>
        <w:t>住宅</w:t>
      </w:r>
      <w:r>
        <w:rPr>
          <w:rFonts w:hint="eastAsia" w:eastAsia="仿宋_GB2312"/>
          <w:spacing w:val="-6"/>
          <w:sz w:val="28"/>
          <w:szCs w:val="28"/>
          <w:lang w:eastAsia="zh-CN"/>
        </w:rPr>
        <w:t>，</w:t>
      </w:r>
      <w:r>
        <w:rPr>
          <w:rFonts w:eastAsia="仿宋_GB2312"/>
          <w:sz w:val="28"/>
          <w:szCs w:val="28"/>
        </w:rPr>
        <w:t>所在区域近期内同类型房屋交易案例较丰富，故</w:t>
      </w:r>
      <w:r>
        <w:rPr>
          <w:rFonts w:hint="eastAsia" w:eastAsia="仿宋_GB2312"/>
          <w:sz w:val="28"/>
          <w:szCs w:val="28"/>
          <w:lang w:eastAsia="zh-CN"/>
        </w:rPr>
        <w:t>本次估价</w:t>
      </w:r>
      <w:r>
        <w:rPr>
          <w:rFonts w:eastAsia="仿宋_GB2312"/>
          <w:sz w:val="28"/>
          <w:szCs w:val="28"/>
        </w:rPr>
        <w:t>可选用比较法进行测算</w:t>
      </w:r>
      <w:r>
        <w:rPr>
          <w:rFonts w:hint="eastAsia" w:ascii="仿宋_GB2312" w:hAnsi="宋体" w:eastAsia="仿宋_GB2312"/>
          <w:sz w:val="28"/>
          <w:szCs w:val="28"/>
        </w:rPr>
        <w:t>。</w:t>
      </w:r>
    </w:p>
    <w:p>
      <w:pPr>
        <w:spacing w:line="520" w:lineRule="exact"/>
        <w:ind w:firstLine="536" w:firstLineChars="200"/>
        <w:rPr>
          <w:rFonts w:eastAsia="仿宋_GB2312"/>
          <w:spacing w:val="-6"/>
          <w:sz w:val="28"/>
          <w:szCs w:val="28"/>
        </w:rPr>
      </w:pPr>
      <w:r>
        <w:rPr>
          <w:rFonts w:eastAsia="仿宋_GB2312"/>
          <w:spacing w:val="-6"/>
          <w:sz w:val="28"/>
          <w:szCs w:val="28"/>
        </w:rPr>
        <w:t>（2）未选用方法的理由</w:t>
      </w:r>
    </w:p>
    <w:p>
      <w:pPr>
        <w:spacing w:line="52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cs="仿宋_GB2312"/>
          <w:sz w:val="28"/>
          <w:szCs w:val="28"/>
        </w:rPr>
        <w:t>估价对象</w:t>
      </w:r>
      <w:r>
        <w:rPr>
          <w:rFonts w:hint="eastAsia" w:ascii="仿宋_GB2312" w:hAnsi="宋体" w:eastAsia="仿宋_GB2312" w:cs="仿宋_GB2312"/>
          <w:sz w:val="28"/>
          <w:szCs w:val="28"/>
          <w:lang w:val="en-US" w:eastAsia="zh-CN"/>
        </w:rPr>
        <w:t>房屋规划用途</w:t>
      </w:r>
      <w:r>
        <w:rPr>
          <w:rFonts w:hint="eastAsia" w:ascii="仿宋_GB2312" w:hAnsi="宋体" w:eastAsia="仿宋_GB2312" w:cs="仿宋_GB2312"/>
          <w:sz w:val="28"/>
          <w:szCs w:val="28"/>
        </w:rPr>
        <w:t>为</w:t>
      </w:r>
      <w:r>
        <w:rPr>
          <w:rFonts w:hint="eastAsia" w:ascii="仿宋_GB2312" w:hAnsi="宋体" w:eastAsia="仿宋_GB2312" w:cs="仿宋_GB2312"/>
          <w:sz w:val="28"/>
          <w:szCs w:val="28"/>
          <w:lang w:val="en-US" w:eastAsia="zh-CN"/>
        </w:rPr>
        <w:t>住宅</w:t>
      </w:r>
      <w:r>
        <w:rPr>
          <w:rFonts w:hint="eastAsia" w:ascii="仿宋_GB2312" w:hAnsi="宋体" w:eastAsia="仿宋_GB2312" w:cs="仿宋_GB2312"/>
          <w:sz w:val="28"/>
          <w:szCs w:val="28"/>
        </w:rPr>
        <w:t>，采用成本法进行评估会一定程度上低估估价对象的价值，故不宜选用成本法</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rPr>
        <w:t>估价对象为已开发完成房地产，再投资开发潜力不高，故不宜选用假设开发法</w:t>
      </w:r>
      <w:r>
        <w:rPr>
          <w:rFonts w:hint="eastAsia" w:ascii="仿宋_GB2312" w:hAnsi="宋体" w:eastAsia="仿宋_GB2312" w:cs="仿宋_GB2312"/>
          <w:sz w:val="28"/>
          <w:szCs w:val="28"/>
          <w:lang w:eastAsia="zh-CN"/>
        </w:rPr>
        <w:t>；由于近年来房价涨幅远远超过租金的涨幅，采用收益法</w:t>
      </w:r>
      <w:r>
        <w:rPr>
          <w:rFonts w:hint="eastAsia" w:ascii="仿宋_GB2312" w:hAnsi="宋体" w:eastAsia="仿宋_GB2312" w:cs="仿宋_GB2312"/>
          <w:sz w:val="28"/>
          <w:szCs w:val="28"/>
        </w:rPr>
        <w:t>难以</w:t>
      </w:r>
      <w:r>
        <w:rPr>
          <w:rFonts w:hint="eastAsia" w:ascii="仿宋_GB2312" w:hAnsi="宋体" w:eastAsia="仿宋_GB2312" w:cs="仿宋_GB2312"/>
          <w:sz w:val="28"/>
          <w:szCs w:val="28"/>
          <w:lang w:eastAsia="zh-CN"/>
        </w:rPr>
        <w:t>反映房屋的市场价值</w:t>
      </w:r>
      <w:r>
        <w:rPr>
          <w:rFonts w:hint="eastAsia" w:ascii="仿宋_GB2312" w:hAnsi="宋体" w:eastAsia="仿宋_GB2312" w:cs="仿宋_GB2312"/>
          <w:sz w:val="28"/>
          <w:szCs w:val="28"/>
        </w:rPr>
        <w:t>，故不宜选用</w:t>
      </w:r>
      <w:r>
        <w:rPr>
          <w:rFonts w:hint="eastAsia" w:ascii="仿宋_GB2312" w:hAnsi="宋体" w:eastAsia="仿宋_GB2312" w:cs="仿宋_GB2312"/>
          <w:sz w:val="28"/>
          <w:szCs w:val="28"/>
          <w:lang w:eastAsia="zh-CN"/>
        </w:rPr>
        <w:t>收益</w:t>
      </w:r>
      <w:r>
        <w:rPr>
          <w:rFonts w:hint="eastAsia" w:ascii="仿宋_GB2312" w:hAnsi="宋体" w:eastAsia="仿宋_GB2312" w:cs="仿宋_GB2312"/>
          <w:sz w:val="28"/>
          <w:szCs w:val="28"/>
        </w:rPr>
        <w:t>法</w:t>
      </w:r>
      <w:r>
        <w:rPr>
          <w:rFonts w:hint="eastAsia" w:ascii="仿宋_GB2312" w:hAnsi="宋体" w:eastAsia="仿宋_GB2312" w:cs="仿宋_GB2312"/>
          <w:sz w:val="28"/>
          <w:szCs w:val="28"/>
          <w:lang w:eastAsia="zh-CN"/>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2、选用估价方法简介</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比较法是将估价对象与估价时点有过交易的类似房地产进行比较，对于这些类似房地产的已知价格作适当的修正，以此估算对象的客观合理价格或价值的方法。</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比较法公式：</w:t>
      </w:r>
    </w:p>
    <w:p>
      <w:pPr>
        <w:tabs>
          <w:tab w:val="left" w:pos="525"/>
        </w:tabs>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估价对象价格=可比实例价格×市场状况调整修正系数×交易情况修正系数×房地产状况调整系数。</w:t>
      </w:r>
    </w:p>
    <w:p>
      <w:pPr>
        <w:tabs>
          <w:tab w:val="left" w:pos="525"/>
        </w:tabs>
        <w:spacing w:line="510" w:lineRule="exact"/>
        <w:ind w:firstLine="560" w:firstLineChars="200"/>
        <w:rPr>
          <w:rFonts w:hint="eastAsia" w:ascii="仿宋_GB2312" w:hAnsi="宋体" w:eastAsia="仿宋_GB2312"/>
          <w:sz w:val="28"/>
          <w:szCs w:val="28"/>
        </w:rPr>
      </w:pPr>
    </w:p>
    <w:p>
      <w:pPr>
        <w:pStyle w:val="2"/>
        <w:spacing w:line="520" w:lineRule="exact"/>
        <w:ind w:firstLine="420"/>
        <w:rPr>
          <w:rFonts w:hint="eastAsia" w:ascii="仿宋_GB2312" w:eastAsia="仿宋_GB2312"/>
          <w:b/>
          <w:lang w:val="en-US" w:eastAsia="zh-CN"/>
        </w:rPr>
      </w:pPr>
      <w:bookmarkStart w:id="24" w:name="_Toc517794694"/>
      <w:bookmarkStart w:id="25" w:name="_Toc517794436"/>
      <w:r>
        <w:rPr>
          <w:rFonts w:hint="eastAsia" w:ascii="仿宋_GB2312" w:eastAsia="仿宋_GB2312"/>
          <w:b/>
        </w:rPr>
        <w:t>（十）估价结果</w:t>
      </w:r>
      <w:bookmarkEnd w:id="24"/>
      <w:bookmarkEnd w:id="25"/>
    </w:p>
    <w:p>
      <w:pPr>
        <w:spacing w:line="500" w:lineRule="exact"/>
        <w:ind w:firstLine="560" w:firstLineChars="200"/>
        <w:rPr>
          <w:rFonts w:hint="eastAsia" w:ascii="仿宋_GB2312" w:hAnsi="宋体" w:eastAsia="仿宋_GB2312" w:cs="仿宋_GB2312"/>
          <w:sz w:val="28"/>
          <w:szCs w:val="28"/>
          <w:lang w:bidi="ar"/>
        </w:rPr>
      </w:pPr>
      <w:r>
        <w:rPr>
          <w:rFonts w:hint="eastAsia" w:ascii="仿宋_GB2312" w:hAnsi="宋体" w:eastAsia="仿宋_GB2312"/>
          <w:sz w:val="28"/>
          <w:szCs w:val="28"/>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宋体" w:eastAsia="仿宋_GB2312"/>
          <w:sz w:val="28"/>
          <w:szCs w:val="28"/>
          <w:lang w:eastAsia="zh-CN"/>
        </w:rPr>
        <w:t>2022年7月22日</w:t>
      </w:r>
      <w:r>
        <w:rPr>
          <w:rFonts w:hint="eastAsia" w:ascii="仿宋_GB2312" w:hAnsi="宋体" w:eastAsia="仿宋_GB2312"/>
          <w:sz w:val="28"/>
          <w:szCs w:val="28"/>
        </w:rPr>
        <w:t>，</w:t>
      </w:r>
      <w:r>
        <w:rPr>
          <w:rFonts w:hint="eastAsia" w:ascii="仿宋_GB2312" w:hAnsi="宋体" w:eastAsia="仿宋_GB2312" w:cs="仿宋_GB2312"/>
          <w:sz w:val="28"/>
          <w:szCs w:val="28"/>
          <w:lang w:bidi="ar"/>
        </w:rPr>
        <w:t>在满足估价假设和限制条件下的价值进行估算和判定，得出估价结果——评估价值为大写人民币</w:t>
      </w:r>
      <w:r>
        <w:rPr>
          <w:rFonts w:hint="eastAsia" w:ascii="仿宋_GB2312" w:hAnsi="仿宋_GB2312" w:eastAsia="仿宋_GB2312" w:cs="仿宋_GB2312"/>
          <w:b/>
          <w:bCs/>
          <w:color w:val="000000"/>
          <w:sz w:val="28"/>
          <w:szCs w:val="28"/>
          <w:lang w:bidi="ar"/>
        </w:rPr>
        <w:fldChar w:fldCharType="begin"/>
      </w:r>
      <w:r>
        <w:rPr>
          <w:rFonts w:hint="eastAsia" w:ascii="仿宋_GB2312" w:hAnsi="仿宋_GB2312" w:eastAsia="仿宋_GB2312" w:cs="仿宋_GB2312"/>
          <w:b/>
          <w:bCs/>
          <w:color w:val="000000"/>
          <w:sz w:val="28"/>
          <w:szCs w:val="28"/>
          <w:lang w:bidi="ar"/>
        </w:rPr>
        <w:instrText xml:space="preserve"> = 2888800 \* CHINESENUM2 \* MERGEFORMAT </w:instrText>
      </w:r>
      <w:r>
        <w:rPr>
          <w:rFonts w:hint="eastAsia" w:ascii="仿宋_GB2312" w:hAnsi="仿宋_GB2312" w:eastAsia="仿宋_GB2312" w:cs="仿宋_GB2312"/>
          <w:b/>
          <w:bCs/>
          <w:color w:val="000000"/>
          <w:sz w:val="28"/>
          <w:szCs w:val="28"/>
          <w:lang w:bidi="ar"/>
        </w:rPr>
        <w:fldChar w:fldCharType="separate"/>
      </w:r>
      <w:r>
        <w:rPr>
          <w:rFonts w:hint="eastAsia" w:ascii="仿宋_GB2312" w:hAnsi="仿宋_GB2312" w:eastAsia="仿宋_GB2312" w:cs="仿宋_GB2312"/>
          <w:b/>
          <w:bCs/>
          <w:color w:val="000000"/>
          <w:sz w:val="28"/>
          <w:szCs w:val="28"/>
          <w:lang w:eastAsia="zh-CN"/>
        </w:rPr>
        <w:t>叁拾伍万玖仟捌佰</w:t>
      </w:r>
      <w:r>
        <w:rPr>
          <w:rFonts w:hint="eastAsia" w:ascii="仿宋_GB2312" w:hAnsi="仿宋_GB2312" w:eastAsia="仿宋_GB2312" w:cs="仿宋_GB2312"/>
          <w:b/>
          <w:bCs/>
          <w:color w:val="000000"/>
          <w:sz w:val="28"/>
          <w:szCs w:val="28"/>
          <w:lang w:bidi="ar"/>
        </w:rPr>
        <w:fldChar w:fldCharType="end"/>
      </w:r>
      <w:r>
        <w:rPr>
          <w:rFonts w:hint="eastAsia" w:ascii="仿宋_GB2312" w:hAnsi="仿宋_GB2312" w:eastAsia="仿宋_GB2312" w:cs="仿宋_GB2312"/>
          <w:color w:val="000000"/>
          <w:sz w:val="28"/>
          <w:szCs w:val="28"/>
        </w:rPr>
        <w:t>元整</w:t>
      </w:r>
      <w:r>
        <w:rPr>
          <w:rFonts w:hint="eastAsia" w:ascii="仿宋_GB2312" w:hAnsi="宋体" w:eastAsia="仿宋_GB2312"/>
          <w:sz w:val="28"/>
          <w:szCs w:val="28"/>
        </w:rPr>
        <w:t>（</w:t>
      </w:r>
      <w:r>
        <w:rPr>
          <w:rFonts w:hint="eastAsia" w:ascii="仿宋_GB2312" w:hAnsi="宋体" w:eastAsia="仿宋_GB2312"/>
          <w:b/>
          <w:bCs/>
          <w:sz w:val="28"/>
          <w:szCs w:val="28"/>
          <w:lang w:val="zh-CN"/>
        </w:rPr>
        <w:t>¥35.98万元</w:t>
      </w:r>
      <w:r>
        <w:rPr>
          <w:rFonts w:hint="eastAsia" w:ascii="仿宋_GB2312" w:hAnsi="宋体" w:eastAsia="仿宋_GB2312"/>
          <w:sz w:val="28"/>
          <w:szCs w:val="28"/>
        </w:rPr>
        <w:t>）</w:t>
      </w:r>
      <w:r>
        <w:rPr>
          <w:rFonts w:hint="eastAsia" w:ascii="仿宋_GB2312" w:hAnsi="宋体" w:eastAsia="仿宋_GB2312" w:cs="仿宋_GB2312"/>
          <w:sz w:val="28"/>
          <w:szCs w:val="28"/>
          <w:lang w:bidi="ar"/>
        </w:rPr>
        <w:t>，具体详见下表：</w:t>
      </w:r>
    </w:p>
    <w:p>
      <w:pPr>
        <w:spacing w:line="500" w:lineRule="exact"/>
        <w:ind w:firstLine="562" w:firstLineChars="2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估价结果汇总表</w:t>
      </w:r>
    </w:p>
    <w:tbl>
      <w:tblPr>
        <w:tblStyle w:val="25"/>
        <w:tblW w:w="633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90"/>
        <w:gridCol w:w="2239"/>
        <w:gridCol w:w="28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9" w:hRule="atLeast"/>
          <w:jc w:val="center"/>
        </w:trPr>
        <w:tc>
          <w:tcPr>
            <w:tcW w:w="3529" w:type="dxa"/>
            <w:gridSpan w:val="2"/>
            <w:tcBorders>
              <w:tl2br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Cs w:val="21"/>
              </w:rPr>
            </w:pPr>
            <w:bookmarkStart w:id="26" w:name="_Toc517794437"/>
            <w:bookmarkStart w:id="27" w:name="_Toc517794695"/>
            <w:r>
              <w:rPr>
                <w:rFonts w:hint="eastAsia" w:ascii="仿宋_GB2312" w:hAnsi="仿宋_GB2312" w:eastAsia="仿宋_GB2312" w:cs="仿宋_GB2312"/>
                <w:color w:val="000000"/>
                <w:kern w:val="0"/>
                <w:szCs w:val="21"/>
              </w:rPr>
              <w:t xml:space="preserve">                   估价对象</w:t>
            </w:r>
          </w:p>
          <w:p>
            <w:pPr>
              <w:widowControl/>
              <w:spacing w:line="240" w:lineRule="exact"/>
              <w:ind w:firstLine="315" w:firstLineChars="15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相关结果</w:t>
            </w:r>
          </w:p>
        </w:tc>
        <w:tc>
          <w:tcPr>
            <w:tcW w:w="2804" w:type="dxa"/>
            <w:noWrap w:val="0"/>
            <w:vAlign w:val="center"/>
          </w:tcPr>
          <w:p>
            <w:pPr>
              <w:widowControl/>
              <w:spacing w:line="240" w:lineRule="auto"/>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九江市浔阳区（开发区）旭日路管委会宿舍11-401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290" w:type="dxa"/>
            <w:vMerge w:val="restart"/>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测算结果</w:t>
            </w:r>
          </w:p>
        </w:tc>
        <w:tc>
          <w:tcPr>
            <w:tcW w:w="2239"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划拨条件下的</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评估</w:t>
            </w:r>
            <w:r>
              <w:rPr>
                <w:rFonts w:hint="eastAsia" w:ascii="仿宋_GB2312" w:hAnsi="仿宋_GB2312" w:eastAsia="仿宋_GB2312" w:cs="仿宋_GB2312"/>
                <w:color w:val="000000"/>
                <w:szCs w:val="21"/>
                <w:lang w:val="en-US" w:eastAsia="zh-CN"/>
              </w:rPr>
              <w:t>价格</w:t>
            </w:r>
            <w:r>
              <w:rPr>
                <w:rFonts w:hint="eastAsia" w:ascii="仿宋_GB2312" w:hAnsi="仿宋_GB2312" w:eastAsia="仿宋_GB2312" w:cs="仿宋_GB2312"/>
                <w:color w:val="000000"/>
                <w:szCs w:val="21"/>
              </w:rPr>
              <w:t>（元/</w:t>
            </w:r>
            <w:r>
              <w:rPr>
                <w:rFonts w:hint="eastAsia" w:ascii="仿宋_GB2312" w:hAnsi="宋体" w:cs="宋体"/>
                <w:color w:val="000000"/>
                <w:szCs w:val="21"/>
              </w:rPr>
              <w:t>㎡</w:t>
            </w:r>
            <w:r>
              <w:rPr>
                <w:rFonts w:hint="eastAsia" w:ascii="仿宋_GB2312" w:hAnsi="仿宋_GB2312" w:eastAsia="仿宋_GB2312" w:cs="仿宋_GB2312"/>
                <w:color w:val="000000"/>
                <w:szCs w:val="21"/>
              </w:rPr>
              <w:t>）</w:t>
            </w:r>
          </w:p>
        </w:tc>
        <w:tc>
          <w:tcPr>
            <w:tcW w:w="2804" w:type="dxa"/>
            <w:noWrap w:val="0"/>
            <w:vAlign w:val="center"/>
          </w:tcPr>
          <w:p>
            <w:pPr>
              <w:keepNext w:val="0"/>
              <w:keepLines w:val="0"/>
              <w:widowControl/>
              <w:suppressLineNumbers w:val="0"/>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i w:val="0"/>
                <w:color w:val="000000"/>
                <w:kern w:val="2"/>
                <w:sz w:val="21"/>
                <w:szCs w:val="21"/>
                <w:u w:val="none"/>
                <w:lang w:val="en-US" w:eastAsia="zh-CN" w:bidi="ar"/>
              </w:rPr>
              <w:t>5013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1290" w:type="dxa"/>
            <w:vMerge w:val="continue"/>
            <w:noWrap w:val="0"/>
            <w:vAlign w:val="center"/>
          </w:tcPr>
          <w:p>
            <w:pPr>
              <w:jc w:val="center"/>
              <w:rPr>
                <w:rFonts w:hint="eastAsia" w:ascii="仿宋_GB2312" w:hAnsi="仿宋_GB2312" w:eastAsia="仿宋_GB2312" w:cs="仿宋_GB2312"/>
                <w:color w:val="000000"/>
                <w:szCs w:val="21"/>
              </w:rPr>
            </w:pPr>
          </w:p>
        </w:tc>
        <w:tc>
          <w:tcPr>
            <w:tcW w:w="2239"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划拨条件下的</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评估</w:t>
            </w:r>
            <w:r>
              <w:rPr>
                <w:rFonts w:hint="eastAsia" w:ascii="仿宋_GB2312" w:hAnsi="仿宋_GB2312" w:eastAsia="仿宋_GB2312" w:cs="仿宋_GB2312"/>
                <w:color w:val="000000"/>
                <w:szCs w:val="21"/>
                <w:lang w:val="en-US" w:eastAsia="zh-CN"/>
              </w:rPr>
              <w:t>价</w:t>
            </w:r>
            <w:r>
              <w:rPr>
                <w:rFonts w:hint="eastAsia" w:ascii="仿宋_GB2312" w:hAnsi="仿宋_GB2312" w:eastAsia="仿宋_GB2312" w:cs="仿宋_GB2312"/>
                <w:color w:val="000000"/>
                <w:szCs w:val="21"/>
              </w:rPr>
              <w:t>值（</w:t>
            </w:r>
            <w:r>
              <w:rPr>
                <w:rFonts w:hint="eastAsia" w:ascii="仿宋_GB2312" w:hAnsi="仿宋_GB2312" w:eastAsia="仿宋_GB2312" w:cs="仿宋_GB2312"/>
                <w:color w:val="000000"/>
                <w:szCs w:val="21"/>
                <w:lang w:val="en-US" w:eastAsia="zh-CN"/>
              </w:rPr>
              <w:t>万</w:t>
            </w:r>
            <w:r>
              <w:rPr>
                <w:rFonts w:hint="eastAsia" w:ascii="仿宋_GB2312" w:hAnsi="仿宋_GB2312" w:eastAsia="仿宋_GB2312" w:cs="仿宋_GB2312"/>
                <w:color w:val="000000"/>
                <w:szCs w:val="21"/>
              </w:rPr>
              <w:t>元）</w:t>
            </w:r>
          </w:p>
        </w:tc>
        <w:tc>
          <w:tcPr>
            <w:tcW w:w="2804"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35.98</w:t>
            </w:r>
          </w:p>
        </w:tc>
      </w:tr>
    </w:tbl>
    <w:p>
      <w:pPr>
        <w:ind w:firstLine="560" w:firstLineChars="200"/>
        <w:rPr>
          <w:rFonts w:hint="eastAsia" w:ascii="仿宋_GB2312" w:hAnsi="宋体" w:eastAsia="仿宋_GB2312" w:cs="Times New Roman"/>
          <w:b w:val="0"/>
          <w:sz w:val="28"/>
          <w:szCs w:val="28"/>
        </w:rPr>
      </w:pPr>
    </w:p>
    <w:p>
      <w:pPr>
        <w:pStyle w:val="2"/>
        <w:spacing w:line="520" w:lineRule="exact"/>
        <w:ind w:firstLine="301" w:firstLineChars="100"/>
        <w:rPr>
          <w:rFonts w:hint="eastAsia" w:ascii="仿宋_GB2312" w:eastAsia="仿宋_GB2312"/>
          <w:b/>
        </w:rPr>
      </w:pPr>
      <w:r>
        <w:rPr>
          <w:rFonts w:hint="eastAsia" w:ascii="仿宋_GB2312" w:eastAsia="仿宋_GB2312"/>
          <w:b/>
        </w:rPr>
        <w:t>（十一）注册房地产估价师</w:t>
      </w:r>
      <w:bookmarkEnd w:id="26"/>
      <w:bookmarkEnd w:id="27"/>
    </w:p>
    <w:tbl>
      <w:tblPr>
        <w:tblStyle w:val="25"/>
        <w:tblW w:w="8794"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71" w:type="dxa"/>
            <w:tcBorders>
              <w:tl2br w:val="nil"/>
              <w:tr2bl w:val="nil"/>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姓名</w:t>
            </w:r>
          </w:p>
        </w:tc>
        <w:tc>
          <w:tcPr>
            <w:tcW w:w="1972" w:type="dxa"/>
            <w:tcBorders>
              <w:tl2br w:val="nil"/>
              <w:tr2bl w:val="nil"/>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注册号</w:t>
            </w:r>
          </w:p>
        </w:tc>
        <w:tc>
          <w:tcPr>
            <w:tcW w:w="1972" w:type="dxa"/>
            <w:tcBorders>
              <w:tl2br w:val="nil"/>
              <w:tr2bl w:val="nil"/>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w:t>
            </w:r>
          </w:p>
        </w:tc>
        <w:tc>
          <w:tcPr>
            <w:tcW w:w="2879" w:type="dxa"/>
            <w:tcBorders>
              <w:tl2br w:val="nil"/>
              <w:tr2bl w:val="nil"/>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签名日期</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971" w:type="dxa"/>
            <w:tcBorders>
              <w:tl2br w:val="nil"/>
              <w:tr2bl w:val="nil"/>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万  群</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kern w:val="0"/>
                <w:sz w:val="24"/>
                <w:szCs w:val="24"/>
                <w:lang w:eastAsia="zh-CN" w:bidi="ar"/>
              </w:rPr>
              <w:t>3620130004</w:t>
            </w:r>
          </w:p>
        </w:tc>
        <w:tc>
          <w:tcPr>
            <w:tcW w:w="1972" w:type="dxa"/>
            <w:tcBorders>
              <w:tl2br w:val="nil"/>
              <w:tr2bl w:val="nil"/>
            </w:tcBorders>
            <w:noWrap w:val="0"/>
            <w:vAlign w:val="center"/>
          </w:tcPr>
          <w:p>
            <w:pPr>
              <w:adjustRightInd w:val="0"/>
              <w:snapToGrid w:val="0"/>
              <w:jc w:val="center"/>
              <w:rPr>
                <w:rFonts w:hint="eastAsia" w:eastAsia="仿宋_GB2312"/>
                <w:kern w:val="0"/>
                <w:sz w:val="24"/>
                <w:szCs w:val="24"/>
              </w:rPr>
            </w:pPr>
          </w:p>
        </w:tc>
        <w:tc>
          <w:tcPr>
            <w:tcW w:w="2879" w:type="dxa"/>
            <w:tcBorders>
              <w:tl2br w:val="nil"/>
              <w:tr2bl w:val="nil"/>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2022年7月25日</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971"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万  鹃</w:t>
            </w:r>
          </w:p>
        </w:tc>
        <w:tc>
          <w:tcPr>
            <w:tcW w:w="1972"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3620170036</w:t>
            </w:r>
          </w:p>
        </w:tc>
        <w:tc>
          <w:tcPr>
            <w:tcW w:w="1972" w:type="dxa"/>
            <w:tcBorders>
              <w:tl2br w:val="nil"/>
              <w:tr2bl w:val="nil"/>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p>
        </w:tc>
        <w:tc>
          <w:tcPr>
            <w:tcW w:w="2879" w:type="dxa"/>
            <w:tcBorders>
              <w:tl2br w:val="nil"/>
              <w:tr2bl w:val="nil"/>
            </w:tcBorders>
            <w:noWrap w:val="0"/>
            <w:vAlign w:val="center"/>
          </w:tcPr>
          <w:p>
            <w:pPr>
              <w:adjustRightInd w:val="0"/>
              <w:snapToGrid w:val="0"/>
              <w:spacing w:line="240" w:lineRule="auto"/>
              <w:jc w:val="center"/>
              <w:rPr>
                <w:rFonts w:hint="eastAsia" w:eastAsia="仿宋_GB2312" w:cs="仿宋_GB2312"/>
                <w:kern w:val="0"/>
                <w:sz w:val="24"/>
                <w:szCs w:val="24"/>
                <w:lang w:eastAsia="zh-CN" w:bidi="ar"/>
              </w:rPr>
            </w:pPr>
            <w:r>
              <w:rPr>
                <w:rFonts w:hint="eastAsia" w:eastAsia="仿宋_GB2312" w:cs="仿宋_GB2312"/>
                <w:kern w:val="0"/>
                <w:sz w:val="24"/>
                <w:szCs w:val="24"/>
                <w:lang w:eastAsia="zh-CN" w:bidi="ar"/>
              </w:rPr>
              <w:t>2022年7月25日</w:t>
            </w:r>
          </w:p>
        </w:tc>
      </w:tr>
    </w:tbl>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2"/>
        <w:spacing w:line="520" w:lineRule="exact"/>
        <w:ind w:firstLine="301" w:firstLineChars="100"/>
        <w:rPr>
          <w:rFonts w:hint="eastAsia" w:ascii="仿宋_GB2312" w:eastAsia="仿宋_GB2312"/>
          <w:b/>
        </w:rPr>
      </w:pPr>
      <w:bookmarkStart w:id="28" w:name="_Toc517794696"/>
      <w:bookmarkStart w:id="29" w:name="_Toc517794438"/>
      <w:r>
        <w:rPr>
          <w:rFonts w:hint="eastAsia" w:ascii="仿宋_GB2312" w:eastAsia="仿宋_GB2312"/>
          <w:b/>
        </w:rPr>
        <w:t>（十二）实地查勘日期</w:t>
      </w:r>
      <w:bookmarkEnd w:id="28"/>
      <w:bookmarkEnd w:id="29"/>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2022年7月22日</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p>
    <w:p>
      <w:pPr>
        <w:pStyle w:val="2"/>
        <w:spacing w:line="520" w:lineRule="exact"/>
        <w:ind w:firstLine="301" w:firstLineChars="100"/>
        <w:rPr>
          <w:rFonts w:hint="eastAsia" w:ascii="仿宋_GB2312" w:eastAsia="仿宋_GB2312"/>
          <w:b/>
        </w:rPr>
      </w:pPr>
      <w:bookmarkStart w:id="30" w:name="_Toc517794697"/>
      <w:bookmarkStart w:id="31" w:name="_Toc517794439"/>
      <w:r>
        <w:rPr>
          <w:rFonts w:hint="eastAsia" w:ascii="仿宋_GB2312" w:eastAsia="仿宋_GB2312"/>
          <w:b/>
        </w:rPr>
        <w:t>（十三）估价作业日期</w:t>
      </w:r>
      <w:bookmarkEnd w:id="30"/>
      <w:bookmarkEnd w:id="31"/>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2022年7月22日（受理估价委托之日）</w:t>
      </w:r>
      <w:r>
        <w:rPr>
          <w:rFonts w:hint="eastAsia" w:ascii="仿宋_GB2312" w:hAnsi="宋体" w:eastAsia="仿宋_GB2312"/>
          <w:sz w:val="28"/>
          <w:szCs w:val="28"/>
        </w:rPr>
        <w:t>至</w:t>
      </w:r>
      <w:r>
        <w:rPr>
          <w:rFonts w:hint="eastAsia" w:ascii="仿宋_GB2312" w:hAnsi="宋体" w:eastAsia="仿宋_GB2312"/>
          <w:sz w:val="28"/>
          <w:szCs w:val="28"/>
          <w:lang w:eastAsia="zh-CN"/>
        </w:rPr>
        <w:t>2022年7月25日</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pStyle w:val="4"/>
        <w:rPr>
          <w:rFonts w:hint="eastAsia" w:ascii="仿宋_GB2312" w:eastAsia="仿宋_GB2312"/>
          <w:b/>
        </w:rPr>
      </w:pPr>
      <w:bookmarkStart w:id="32" w:name="_Toc517794440"/>
      <w:bookmarkStart w:id="33" w:name="_Toc517794698"/>
    </w:p>
    <w:p>
      <w:pPr>
        <w:pStyle w:val="3"/>
        <w:spacing w:after="93"/>
        <w:rPr>
          <w:rFonts w:hint="eastAsia" w:ascii="仿宋_GB2312" w:eastAsia="仿宋_GB2312"/>
          <w:b/>
        </w:rPr>
      </w:pPr>
      <w:r>
        <w:rPr>
          <w:rFonts w:hint="eastAsia" w:ascii="仿宋_GB2312" w:eastAsia="仿宋_GB2312"/>
          <w:b/>
        </w:rPr>
        <w:t>四、附  件</w:t>
      </w:r>
      <w:bookmarkEnd w:id="32"/>
      <w:bookmarkEnd w:id="33"/>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（一）《</w:t>
      </w:r>
      <w:r>
        <w:rPr>
          <w:rFonts w:hint="eastAsia" w:ascii="仿宋_GB2312" w:hAnsi="宋体" w:eastAsia="仿宋_GB2312"/>
          <w:bCs/>
          <w:sz w:val="28"/>
          <w:szCs w:val="28"/>
          <w:lang w:eastAsia="zh-CN"/>
        </w:rPr>
        <w:t>九江市濂溪区人民法院价格评估委托书</w:t>
      </w:r>
      <w:r>
        <w:rPr>
          <w:rFonts w:hint="eastAsia" w:ascii="仿宋_GB2312" w:hAnsi="宋体" w:eastAsia="仿宋_GB2312"/>
          <w:bCs/>
          <w:sz w:val="28"/>
          <w:szCs w:val="28"/>
        </w:rPr>
        <w:t>》复印件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（二）估价对象位置图</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（三）估价对象现状照片</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（四）估价对象产权材料（复印件）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（五）评估机构《营业执照》（复印件）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（六）房地产评估机构</w:t>
      </w:r>
      <w:r>
        <w:rPr>
          <w:rFonts w:hint="eastAsia" w:ascii="仿宋_GB2312" w:hAnsi="宋体" w:eastAsia="仿宋_GB2312"/>
          <w:bCs/>
          <w:sz w:val="28"/>
          <w:szCs w:val="28"/>
          <w:lang w:eastAsia="zh-CN"/>
        </w:rPr>
        <w:t>备案</w:t>
      </w:r>
      <w:r>
        <w:rPr>
          <w:rFonts w:hint="eastAsia" w:ascii="仿宋_GB2312" w:hAnsi="宋体" w:eastAsia="仿宋_GB2312"/>
          <w:bCs/>
          <w:sz w:val="28"/>
          <w:szCs w:val="28"/>
        </w:rPr>
        <w:t>证书（复印件）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（七）房地产估价师注册证书（复印件）</w:t>
      </w:r>
    </w:p>
    <w:p>
      <w:pPr>
        <w:spacing w:line="520" w:lineRule="exact"/>
        <w:ind w:firstLine="601"/>
        <w:rPr>
          <w:rFonts w:hint="eastAsia" w:ascii="仿宋_GB2312" w:hAnsi="宋体" w:eastAsia="仿宋_GB2312"/>
          <w:sz w:val="18"/>
          <w:szCs w:val="18"/>
        </w:rPr>
      </w:pPr>
    </w:p>
    <w:p>
      <w:pPr>
        <w:tabs>
          <w:tab w:val="left" w:pos="315"/>
        </w:tabs>
        <w:spacing w:line="500" w:lineRule="exact"/>
        <w:ind w:firstLine="440" w:firstLineChars="100"/>
        <w:jc w:val="center"/>
        <w:rPr>
          <w:rFonts w:hint="eastAsia" w:ascii="仿宋_GB2312" w:hAnsi="宋体" w:eastAsia="仿宋_GB2312"/>
          <w:color w:val="000000"/>
          <w:sz w:val="44"/>
          <w:szCs w:val="44"/>
        </w:rPr>
      </w:pPr>
    </w:p>
    <w:p>
      <w:pPr>
        <w:tabs>
          <w:tab w:val="left" w:pos="315"/>
        </w:tabs>
        <w:spacing w:line="500" w:lineRule="exact"/>
        <w:ind w:firstLine="440" w:firstLineChars="100"/>
        <w:jc w:val="center"/>
        <w:rPr>
          <w:rFonts w:hint="eastAsia" w:ascii="仿宋_GB2312" w:hAnsi="宋体" w:eastAsia="仿宋_GB2312"/>
          <w:color w:val="000000"/>
          <w:sz w:val="44"/>
          <w:szCs w:val="44"/>
        </w:rPr>
      </w:pPr>
    </w:p>
    <w:p>
      <w:pPr>
        <w:tabs>
          <w:tab w:val="left" w:pos="315"/>
        </w:tabs>
        <w:spacing w:line="500" w:lineRule="exact"/>
        <w:ind w:firstLine="440" w:firstLineChars="100"/>
        <w:jc w:val="center"/>
        <w:rPr>
          <w:rFonts w:hint="eastAsia" w:ascii="仿宋_GB2312" w:hAnsi="宋体" w:eastAsia="仿宋_GB2312"/>
          <w:color w:val="000000"/>
          <w:sz w:val="44"/>
          <w:szCs w:val="44"/>
        </w:rPr>
      </w:pPr>
    </w:p>
    <w:p>
      <w:pPr>
        <w:tabs>
          <w:tab w:val="left" w:pos="315"/>
        </w:tabs>
        <w:spacing w:line="500" w:lineRule="exact"/>
        <w:ind w:firstLine="440" w:firstLineChars="100"/>
        <w:jc w:val="center"/>
        <w:rPr>
          <w:rFonts w:hint="eastAsia" w:ascii="仿宋_GB2312" w:hAnsi="宋体" w:eastAsia="仿宋_GB2312"/>
          <w:color w:val="000000"/>
          <w:sz w:val="44"/>
          <w:szCs w:val="44"/>
        </w:rPr>
      </w:pPr>
    </w:p>
    <w:p/>
    <w:sectPr>
      <w:headerReference r:id="rId4" w:type="first"/>
      <w:footerReference r:id="rId6" w:type="first"/>
      <w:headerReference r:id="rId3" w:type="default"/>
      <w:footerReference r:id="rId5" w:type="default"/>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1YCvg+QBAAC9&#10;AwAADgAAAAAAAAABACAAAAAiAQAAZHJzL2Uyb0RvYy54bWxQSwUGAAAAAAYABgBZAQAAeA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x5ACleQBAAC9&#10;AwAADgAAAAAAAAABACAAAAAiAQAAZHJzL2Uyb0RvYy54bWxQSwUGAAAAAAYABgBZAQAAeA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jc w:val="both"/>
    </w:pPr>
    <w:r>
      <w:drawing>
        <wp:inline distT="0" distB="0" distL="114300" distR="114300">
          <wp:extent cx="5366385" cy="493395"/>
          <wp:effectExtent l="0" t="0" r="5715" b="1905"/>
          <wp:docPr id="8"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114300" distR="114300">
          <wp:extent cx="5366385" cy="493395"/>
          <wp:effectExtent l="0" t="0" r="5715" b="1905"/>
          <wp:docPr id="7"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mNGU3ZGIzYmQ2ZGQ1NDBjYmQ2NDBjMzFmOWVkN2MifQ=="/>
  </w:docVars>
  <w:rsids>
    <w:rsidRoot w:val="00A0723F"/>
    <w:rsid w:val="00022485"/>
    <w:rsid w:val="0002289B"/>
    <w:rsid w:val="00024FD9"/>
    <w:rsid w:val="000306FA"/>
    <w:rsid w:val="00033B3E"/>
    <w:rsid w:val="00041338"/>
    <w:rsid w:val="00051791"/>
    <w:rsid w:val="00052662"/>
    <w:rsid w:val="00061431"/>
    <w:rsid w:val="0006290A"/>
    <w:rsid w:val="00063F6B"/>
    <w:rsid w:val="0006749E"/>
    <w:rsid w:val="00077DDD"/>
    <w:rsid w:val="00082E3F"/>
    <w:rsid w:val="0009433D"/>
    <w:rsid w:val="00096DD9"/>
    <w:rsid w:val="000A4D19"/>
    <w:rsid w:val="000C65F6"/>
    <w:rsid w:val="000D34B9"/>
    <w:rsid w:val="000F1414"/>
    <w:rsid w:val="000F29C1"/>
    <w:rsid w:val="001021A7"/>
    <w:rsid w:val="0011052B"/>
    <w:rsid w:val="00113559"/>
    <w:rsid w:val="00120155"/>
    <w:rsid w:val="00127495"/>
    <w:rsid w:val="001371EA"/>
    <w:rsid w:val="00153D39"/>
    <w:rsid w:val="00155881"/>
    <w:rsid w:val="0018217D"/>
    <w:rsid w:val="00184B32"/>
    <w:rsid w:val="001875A5"/>
    <w:rsid w:val="0019409D"/>
    <w:rsid w:val="001A70DD"/>
    <w:rsid w:val="001B5A3E"/>
    <w:rsid w:val="001E282D"/>
    <w:rsid w:val="001F2E50"/>
    <w:rsid w:val="001F585E"/>
    <w:rsid w:val="0020021E"/>
    <w:rsid w:val="00200F83"/>
    <w:rsid w:val="0020247A"/>
    <w:rsid w:val="00207BF6"/>
    <w:rsid w:val="00212D3F"/>
    <w:rsid w:val="0021746E"/>
    <w:rsid w:val="00222D1C"/>
    <w:rsid w:val="00223BDD"/>
    <w:rsid w:val="00224348"/>
    <w:rsid w:val="00225DEA"/>
    <w:rsid w:val="0022715C"/>
    <w:rsid w:val="00230629"/>
    <w:rsid w:val="00254021"/>
    <w:rsid w:val="00256C18"/>
    <w:rsid w:val="00257C89"/>
    <w:rsid w:val="00294A94"/>
    <w:rsid w:val="002A2A3E"/>
    <w:rsid w:val="002A5E20"/>
    <w:rsid w:val="002B4B98"/>
    <w:rsid w:val="002C112A"/>
    <w:rsid w:val="002E2B55"/>
    <w:rsid w:val="002E486C"/>
    <w:rsid w:val="002E7859"/>
    <w:rsid w:val="0030033E"/>
    <w:rsid w:val="00312B4A"/>
    <w:rsid w:val="00320B3F"/>
    <w:rsid w:val="0032709A"/>
    <w:rsid w:val="00332BE1"/>
    <w:rsid w:val="00335EB2"/>
    <w:rsid w:val="00342970"/>
    <w:rsid w:val="003463B2"/>
    <w:rsid w:val="003548D2"/>
    <w:rsid w:val="0036121A"/>
    <w:rsid w:val="00362B73"/>
    <w:rsid w:val="00364B6B"/>
    <w:rsid w:val="00364D14"/>
    <w:rsid w:val="003737B8"/>
    <w:rsid w:val="00377481"/>
    <w:rsid w:val="003B4E56"/>
    <w:rsid w:val="003C0A8B"/>
    <w:rsid w:val="003C4451"/>
    <w:rsid w:val="003C5508"/>
    <w:rsid w:val="003D5DA1"/>
    <w:rsid w:val="003E6170"/>
    <w:rsid w:val="003F0EFF"/>
    <w:rsid w:val="004028F4"/>
    <w:rsid w:val="0041454E"/>
    <w:rsid w:val="00422D74"/>
    <w:rsid w:val="00425035"/>
    <w:rsid w:val="00432B76"/>
    <w:rsid w:val="00435DE0"/>
    <w:rsid w:val="00441D5C"/>
    <w:rsid w:val="00441F62"/>
    <w:rsid w:val="004504DA"/>
    <w:rsid w:val="004531CC"/>
    <w:rsid w:val="004571C1"/>
    <w:rsid w:val="00463B93"/>
    <w:rsid w:val="004758CA"/>
    <w:rsid w:val="00491CD4"/>
    <w:rsid w:val="004923A3"/>
    <w:rsid w:val="0049399A"/>
    <w:rsid w:val="00495BF8"/>
    <w:rsid w:val="00496D4A"/>
    <w:rsid w:val="004A7D12"/>
    <w:rsid w:val="004B6277"/>
    <w:rsid w:val="004B7525"/>
    <w:rsid w:val="004D0183"/>
    <w:rsid w:val="004D08F8"/>
    <w:rsid w:val="004D1691"/>
    <w:rsid w:val="004D2626"/>
    <w:rsid w:val="004D3557"/>
    <w:rsid w:val="004D456D"/>
    <w:rsid w:val="004E424B"/>
    <w:rsid w:val="004E43D1"/>
    <w:rsid w:val="004E66BB"/>
    <w:rsid w:val="004F509B"/>
    <w:rsid w:val="0050264B"/>
    <w:rsid w:val="005064F8"/>
    <w:rsid w:val="0050658E"/>
    <w:rsid w:val="0051342F"/>
    <w:rsid w:val="0051659C"/>
    <w:rsid w:val="00516761"/>
    <w:rsid w:val="00522131"/>
    <w:rsid w:val="00523263"/>
    <w:rsid w:val="00524095"/>
    <w:rsid w:val="005348FD"/>
    <w:rsid w:val="00537183"/>
    <w:rsid w:val="00541D06"/>
    <w:rsid w:val="00541EFB"/>
    <w:rsid w:val="005573AA"/>
    <w:rsid w:val="0057758E"/>
    <w:rsid w:val="005822F3"/>
    <w:rsid w:val="0059766D"/>
    <w:rsid w:val="005A60C0"/>
    <w:rsid w:val="005A7C13"/>
    <w:rsid w:val="005B2174"/>
    <w:rsid w:val="005B5467"/>
    <w:rsid w:val="005C06ED"/>
    <w:rsid w:val="005C0F16"/>
    <w:rsid w:val="005C50A7"/>
    <w:rsid w:val="005C61AF"/>
    <w:rsid w:val="005D6685"/>
    <w:rsid w:val="005F3DD5"/>
    <w:rsid w:val="005F3F00"/>
    <w:rsid w:val="0060012E"/>
    <w:rsid w:val="00604A75"/>
    <w:rsid w:val="00615093"/>
    <w:rsid w:val="0062210D"/>
    <w:rsid w:val="00622C4E"/>
    <w:rsid w:val="006325FA"/>
    <w:rsid w:val="00634D31"/>
    <w:rsid w:val="00637472"/>
    <w:rsid w:val="006416C7"/>
    <w:rsid w:val="00647E08"/>
    <w:rsid w:val="00650C5F"/>
    <w:rsid w:val="00657725"/>
    <w:rsid w:val="0066672F"/>
    <w:rsid w:val="00670463"/>
    <w:rsid w:val="0067767B"/>
    <w:rsid w:val="0068192D"/>
    <w:rsid w:val="00683331"/>
    <w:rsid w:val="00696A9E"/>
    <w:rsid w:val="006A011B"/>
    <w:rsid w:val="006A2443"/>
    <w:rsid w:val="006B203E"/>
    <w:rsid w:val="006C1084"/>
    <w:rsid w:val="006C4DBB"/>
    <w:rsid w:val="006D1FCA"/>
    <w:rsid w:val="006F488C"/>
    <w:rsid w:val="006F63B7"/>
    <w:rsid w:val="00701A7C"/>
    <w:rsid w:val="00706D91"/>
    <w:rsid w:val="00715D96"/>
    <w:rsid w:val="00716D77"/>
    <w:rsid w:val="007171EA"/>
    <w:rsid w:val="00722704"/>
    <w:rsid w:val="007251FA"/>
    <w:rsid w:val="007375CF"/>
    <w:rsid w:val="00750019"/>
    <w:rsid w:val="00751CA2"/>
    <w:rsid w:val="0077778B"/>
    <w:rsid w:val="00780D02"/>
    <w:rsid w:val="00791520"/>
    <w:rsid w:val="00791D67"/>
    <w:rsid w:val="00797427"/>
    <w:rsid w:val="00797AC2"/>
    <w:rsid w:val="007A0462"/>
    <w:rsid w:val="007A1739"/>
    <w:rsid w:val="007A4DAA"/>
    <w:rsid w:val="007A76D5"/>
    <w:rsid w:val="007B33F6"/>
    <w:rsid w:val="007B72E4"/>
    <w:rsid w:val="007C39B6"/>
    <w:rsid w:val="007C75C8"/>
    <w:rsid w:val="007D283D"/>
    <w:rsid w:val="007D7B16"/>
    <w:rsid w:val="007E1D3D"/>
    <w:rsid w:val="00805C79"/>
    <w:rsid w:val="00810436"/>
    <w:rsid w:val="00812F3D"/>
    <w:rsid w:val="00812F9C"/>
    <w:rsid w:val="00826F1F"/>
    <w:rsid w:val="00831D47"/>
    <w:rsid w:val="00843EF2"/>
    <w:rsid w:val="00851AB9"/>
    <w:rsid w:val="00852B30"/>
    <w:rsid w:val="00852BE3"/>
    <w:rsid w:val="00865135"/>
    <w:rsid w:val="00870065"/>
    <w:rsid w:val="008828ED"/>
    <w:rsid w:val="00883F52"/>
    <w:rsid w:val="00884485"/>
    <w:rsid w:val="008A01B4"/>
    <w:rsid w:val="008A15B9"/>
    <w:rsid w:val="008A34F3"/>
    <w:rsid w:val="008A63CE"/>
    <w:rsid w:val="008A6B96"/>
    <w:rsid w:val="008B0669"/>
    <w:rsid w:val="008C04B2"/>
    <w:rsid w:val="008C25B0"/>
    <w:rsid w:val="008C5C8C"/>
    <w:rsid w:val="008C70F0"/>
    <w:rsid w:val="008C75C6"/>
    <w:rsid w:val="008D0FAA"/>
    <w:rsid w:val="008D6739"/>
    <w:rsid w:val="008F3B4E"/>
    <w:rsid w:val="00900D28"/>
    <w:rsid w:val="00902AD1"/>
    <w:rsid w:val="00916EE8"/>
    <w:rsid w:val="00921BF4"/>
    <w:rsid w:val="009362EE"/>
    <w:rsid w:val="00943326"/>
    <w:rsid w:val="009456D1"/>
    <w:rsid w:val="00946C50"/>
    <w:rsid w:val="00952DFB"/>
    <w:rsid w:val="0095400F"/>
    <w:rsid w:val="00973A65"/>
    <w:rsid w:val="0097509F"/>
    <w:rsid w:val="009760AE"/>
    <w:rsid w:val="009775F0"/>
    <w:rsid w:val="00982992"/>
    <w:rsid w:val="00985C58"/>
    <w:rsid w:val="009900D0"/>
    <w:rsid w:val="009907DE"/>
    <w:rsid w:val="009A6FEB"/>
    <w:rsid w:val="009A7A6A"/>
    <w:rsid w:val="009B0618"/>
    <w:rsid w:val="009B076B"/>
    <w:rsid w:val="009B17AA"/>
    <w:rsid w:val="009B28B6"/>
    <w:rsid w:val="009C7A09"/>
    <w:rsid w:val="009F225F"/>
    <w:rsid w:val="00A03B47"/>
    <w:rsid w:val="00A0723F"/>
    <w:rsid w:val="00A109B7"/>
    <w:rsid w:val="00A1153F"/>
    <w:rsid w:val="00A17F3F"/>
    <w:rsid w:val="00A23142"/>
    <w:rsid w:val="00A3327E"/>
    <w:rsid w:val="00A33364"/>
    <w:rsid w:val="00A41CC4"/>
    <w:rsid w:val="00A46F56"/>
    <w:rsid w:val="00A50A57"/>
    <w:rsid w:val="00A72C46"/>
    <w:rsid w:val="00A75B93"/>
    <w:rsid w:val="00A81579"/>
    <w:rsid w:val="00A96808"/>
    <w:rsid w:val="00AA00CC"/>
    <w:rsid w:val="00AA1897"/>
    <w:rsid w:val="00AA4BE9"/>
    <w:rsid w:val="00AC0816"/>
    <w:rsid w:val="00AC2C74"/>
    <w:rsid w:val="00AE0261"/>
    <w:rsid w:val="00AE06EC"/>
    <w:rsid w:val="00AE0761"/>
    <w:rsid w:val="00AF067D"/>
    <w:rsid w:val="00AF7233"/>
    <w:rsid w:val="00B03F19"/>
    <w:rsid w:val="00B05CFB"/>
    <w:rsid w:val="00B1430D"/>
    <w:rsid w:val="00B349DC"/>
    <w:rsid w:val="00B7050B"/>
    <w:rsid w:val="00B70576"/>
    <w:rsid w:val="00B710F2"/>
    <w:rsid w:val="00B71146"/>
    <w:rsid w:val="00B76AFD"/>
    <w:rsid w:val="00B91E47"/>
    <w:rsid w:val="00B9225E"/>
    <w:rsid w:val="00BB7B85"/>
    <w:rsid w:val="00BC1019"/>
    <w:rsid w:val="00BC5B05"/>
    <w:rsid w:val="00BC7584"/>
    <w:rsid w:val="00BD1E13"/>
    <w:rsid w:val="00BD5350"/>
    <w:rsid w:val="00BD54FD"/>
    <w:rsid w:val="00BD6E92"/>
    <w:rsid w:val="00BE1A5D"/>
    <w:rsid w:val="00BE685A"/>
    <w:rsid w:val="00BF0DB9"/>
    <w:rsid w:val="00C058E5"/>
    <w:rsid w:val="00C2602E"/>
    <w:rsid w:val="00C31103"/>
    <w:rsid w:val="00C413DB"/>
    <w:rsid w:val="00C44C2F"/>
    <w:rsid w:val="00C476D9"/>
    <w:rsid w:val="00C51D48"/>
    <w:rsid w:val="00C532B7"/>
    <w:rsid w:val="00C53B23"/>
    <w:rsid w:val="00C57CC1"/>
    <w:rsid w:val="00C623E1"/>
    <w:rsid w:val="00C62D2C"/>
    <w:rsid w:val="00C66AD1"/>
    <w:rsid w:val="00C70A4F"/>
    <w:rsid w:val="00C72056"/>
    <w:rsid w:val="00CA0B95"/>
    <w:rsid w:val="00CA49DB"/>
    <w:rsid w:val="00CA5769"/>
    <w:rsid w:val="00CA5894"/>
    <w:rsid w:val="00CA683D"/>
    <w:rsid w:val="00CD7706"/>
    <w:rsid w:val="00CE0C58"/>
    <w:rsid w:val="00CE3676"/>
    <w:rsid w:val="00CE5211"/>
    <w:rsid w:val="00CE532A"/>
    <w:rsid w:val="00CF2184"/>
    <w:rsid w:val="00D00B8A"/>
    <w:rsid w:val="00D02B6C"/>
    <w:rsid w:val="00D20282"/>
    <w:rsid w:val="00D51A52"/>
    <w:rsid w:val="00D5667B"/>
    <w:rsid w:val="00D712AB"/>
    <w:rsid w:val="00D81582"/>
    <w:rsid w:val="00D874B1"/>
    <w:rsid w:val="00D966FC"/>
    <w:rsid w:val="00DB217A"/>
    <w:rsid w:val="00DC0E3C"/>
    <w:rsid w:val="00DE1B58"/>
    <w:rsid w:val="00DE2290"/>
    <w:rsid w:val="00DF5A67"/>
    <w:rsid w:val="00E220E7"/>
    <w:rsid w:val="00E22E71"/>
    <w:rsid w:val="00E31D86"/>
    <w:rsid w:val="00E3325C"/>
    <w:rsid w:val="00E4245B"/>
    <w:rsid w:val="00E43703"/>
    <w:rsid w:val="00E56AFC"/>
    <w:rsid w:val="00E66EA4"/>
    <w:rsid w:val="00E66ED6"/>
    <w:rsid w:val="00E71EE6"/>
    <w:rsid w:val="00E73268"/>
    <w:rsid w:val="00E73DDC"/>
    <w:rsid w:val="00E741CA"/>
    <w:rsid w:val="00E838D0"/>
    <w:rsid w:val="00E97890"/>
    <w:rsid w:val="00EB0B54"/>
    <w:rsid w:val="00EB2E97"/>
    <w:rsid w:val="00EB7BA9"/>
    <w:rsid w:val="00EC4347"/>
    <w:rsid w:val="00EC6E10"/>
    <w:rsid w:val="00ED6BA0"/>
    <w:rsid w:val="00ED7336"/>
    <w:rsid w:val="00EE009A"/>
    <w:rsid w:val="00EE5910"/>
    <w:rsid w:val="00F01373"/>
    <w:rsid w:val="00F03295"/>
    <w:rsid w:val="00F05D71"/>
    <w:rsid w:val="00F07A76"/>
    <w:rsid w:val="00F2357B"/>
    <w:rsid w:val="00F555FC"/>
    <w:rsid w:val="00F579C4"/>
    <w:rsid w:val="00F661AB"/>
    <w:rsid w:val="00F70434"/>
    <w:rsid w:val="00F71BF3"/>
    <w:rsid w:val="00F71D07"/>
    <w:rsid w:val="00F76C48"/>
    <w:rsid w:val="00F81F28"/>
    <w:rsid w:val="00F97C9A"/>
    <w:rsid w:val="00FA169C"/>
    <w:rsid w:val="00FA79A9"/>
    <w:rsid w:val="00FB3EBD"/>
    <w:rsid w:val="00FC0E49"/>
    <w:rsid w:val="00FC1615"/>
    <w:rsid w:val="00FC3ABA"/>
    <w:rsid w:val="00FD1FEF"/>
    <w:rsid w:val="00FD239F"/>
    <w:rsid w:val="00FD4DB9"/>
    <w:rsid w:val="00FD6C32"/>
    <w:rsid w:val="00FD77C7"/>
    <w:rsid w:val="00FE77A2"/>
    <w:rsid w:val="00FF1A9E"/>
    <w:rsid w:val="012E4683"/>
    <w:rsid w:val="01733101"/>
    <w:rsid w:val="017546AF"/>
    <w:rsid w:val="019B3F2B"/>
    <w:rsid w:val="01C16AB1"/>
    <w:rsid w:val="01F33EC3"/>
    <w:rsid w:val="02210538"/>
    <w:rsid w:val="02643D3D"/>
    <w:rsid w:val="02891CB6"/>
    <w:rsid w:val="0299418F"/>
    <w:rsid w:val="02A6200C"/>
    <w:rsid w:val="02E76063"/>
    <w:rsid w:val="02F55377"/>
    <w:rsid w:val="03036BD2"/>
    <w:rsid w:val="03076E6D"/>
    <w:rsid w:val="032B274B"/>
    <w:rsid w:val="0332763D"/>
    <w:rsid w:val="03350B6D"/>
    <w:rsid w:val="03782E39"/>
    <w:rsid w:val="03DF18D5"/>
    <w:rsid w:val="03DF241C"/>
    <w:rsid w:val="03F314D8"/>
    <w:rsid w:val="04170CE5"/>
    <w:rsid w:val="0421017A"/>
    <w:rsid w:val="0449749E"/>
    <w:rsid w:val="044B320C"/>
    <w:rsid w:val="04710E71"/>
    <w:rsid w:val="048816B8"/>
    <w:rsid w:val="048B0FC4"/>
    <w:rsid w:val="04983C87"/>
    <w:rsid w:val="04C07AE1"/>
    <w:rsid w:val="04C54D74"/>
    <w:rsid w:val="04D27ADE"/>
    <w:rsid w:val="050A40DA"/>
    <w:rsid w:val="051F2D36"/>
    <w:rsid w:val="05431D70"/>
    <w:rsid w:val="055545D8"/>
    <w:rsid w:val="05DB54EF"/>
    <w:rsid w:val="064E64DD"/>
    <w:rsid w:val="0652324F"/>
    <w:rsid w:val="065A7420"/>
    <w:rsid w:val="06640A44"/>
    <w:rsid w:val="066B3B0D"/>
    <w:rsid w:val="067B067C"/>
    <w:rsid w:val="06C70544"/>
    <w:rsid w:val="06CA37CD"/>
    <w:rsid w:val="06DF526B"/>
    <w:rsid w:val="070C081B"/>
    <w:rsid w:val="075061B9"/>
    <w:rsid w:val="07A7690B"/>
    <w:rsid w:val="07BD52F9"/>
    <w:rsid w:val="07BF2E74"/>
    <w:rsid w:val="07D665E0"/>
    <w:rsid w:val="08574477"/>
    <w:rsid w:val="087D0351"/>
    <w:rsid w:val="08837446"/>
    <w:rsid w:val="08BB3117"/>
    <w:rsid w:val="08EC6C80"/>
    <w:rsid w:val="09AF2509"/>
    <w:rsid w:val="09B84172"/>
    <w:rsid w:val="09BD15CA"/>
    <w:rsid w:val="09C73F9C"/>
    <w:rsid w:val="09FF2B67"/>
    <w:rsid w:val="09FF66EA"/>
    <w:rsid w:val="0A290307"/>
    <w:rsid w:val="0A7A1399"/>
    <w:rsid w:val="0AD414FD"/>
    <w:rsid w:val="0B09353A"/>
    <w:rsid w:val="0B60355E"/>
    <w:rsid w:val="0BB00A93"/>
    <w:rsid w:val="0BEB2A11"/>
    <w:rsid w:val="0C051AA9"/>
    <w:rsid w:val="0C82629B"/>
    <w:rsid w:val="0C8830D2"/>
    <w:rsid w:val="0CFF4BD6"/>
    <w:rsid w:val="0D1F6D33"/>
    <w:rsid w:val="0DB531D1"/>
    <w:rsid w:val="0DE44266"/>
    <w:rsid w:val="0E5E5583"/>
    <w:rsid w:val="0E703EFD"/>
    <w:rsid w:val="0E71269E"/>
    <w:rsid w:val="0E8B3429"/>
    <w:rsid w:val="0EB5073B"/>
    <w:rsid w:val="0EC00201"/>
    <w:rsid w:val="0EC57564"/>
    <w:rsid w:val="0ECA12B7"/>
    <w:rsid w:val="0ED03425"/>
    <w:rsid w:val="0EEA4512"/>
    <w:rsid w:val="0EEF112C"/>
    <w:rsid w:val="0F477BE1"/>
    <w:rsid w:val="0F6B1C7E"/>
    <w:rsid w:val="0F6C47C9"/>
    <w:rsid w:val="0F792CA2"/>
    <w:rsid w:val="0F962F6D"/>
    <w:rsid w:val="0FAA3245"/>
    <w:rsid w:val="0FC83A7B"/>
    <w:rsid w:val="100937F0"/>
    <w:rsid w:val="101832C0"/>
    <w:rsid w:val="10185E37"/>
    <w:rsid w:val="103A0076"/>
    <w:rsid w:val="104F2A38"/>
    <w:rsid w:val="105146F4"/>
    <w:rsid w:val="106664D2"/>
    <w:rsid w:val="106B119F"/>
    <w:rsid w:val="10A82413"/>
    <w:rsid w:val="11027E25"/>
    <w:rsid w:val="11107F3B"/>
    <w:rsid w:val="11661C09"/>
    <w:rsid w:val="11801F81"/>
    <w:rsid w:val="118243C0"/>
    <w:rsid w:val="118E639D"/>
    <w:rsid w:val="11A15408"/>
    <w:rsid w:val="11FF50DA"/>
    <w:rsid w:val="1209776A"/>
    <w:rsid w:val="120F5DCE"/>
    <w:rsid w:val="12D72616"/>
    <w:rsid w:val="12D9053A"/>
    <w:rsid w:val="13223F37"/>
    <w:rsid w:val="1331706A"/>
    <w:rsid w:val="13570CD5"/>
    <w:rsid w:val="136A3604"/>
    <w:rsid w:val="13AB181B"/>
    <w:rsid w:val="147A59BC"/>
    <w:rsid w:val="14E65A2F"/>
    <w:rsid w:val="1573659D"/>
    <w:rsid w:val="15C90EB0"/>
    <w:rsid w:val="169B60F6"/>
    <w:rsid w:val="16AB2AF2"/>
    <w:rsid w:val="16F341AE"/>
    <w:rsid w:val="173E4F2C"/>
    <w:rsid w:val="17475BAE"/>
    <w:rsid w:val="1765261F"/>
    <w:rsid w:val="177C25AB"/>
    <w:rsid w:val="17837DA8"/>
    <w:rsid w:val="17C12001"/>
    <w:rsid w:val="17CB73F6"/>
    <w:rsid w:val="17EA57A1"/>
    <w:rsid w:val="17EC1E2B"/>
    <w:rsid w:val="18560730"/>
    <w:rsid w:val="187379C7"/>
    <w:rsid w:val="187F03D4"/>
    <w:rsid w:val="18AA141F"/>
    <w:rsid w:val="18C166C6"/>
    <w:rsid w:val="18C2794C"/>
    <w:rsid w:val="18E92232"/>
    <w:rsid w:val="19617D14"/>
    <w:rsid w:val="196232A4"/>
    <w:rsid w:val="19A35132"/>
    <w:rsid w:val="19C5047F"/>
    <w:rsid w:val="19CE7805"/>
    <w:rsid w:val="19CF0C9A"/>
    <w:rsid w:val="19F902C9"/>
    <w:rsid w:val="1A290DB4"/>
    <w:rsid w:val="1A30090A"/>
    <w:rsid w:val="1A4468D0"/>
    <w:rsid w:val="1A4E036B"/>
    <w:rsid w:val="1A4F75D7"/>
    <w:rsid w:val="1A576313"/>
    <w:rsid w:val="1A6C2FE9"/>
    <w:rsid w:val="1A7A46C7"/>
    <w:rsid w:val="1AB738DC"/>
    <w:rsid w:val="1ADB4228"/>
    <w:rsid w:val="1B280C01"/>
    <w:rsid w:val="1B30509F"/>
    <w:rsid w:val="1B30723E"/>
    <w:rsid w:val="1B3B43EB"/>
    <w:rsid w:val="1B4D40AA"/>
    <w:rsid w:val="1B5E7A2D"/>
    <w:rsid w:val="1BA07501"/>
    <w:rsid w:val="1BB65B53"/>
    <w:rsid w:val="1C1E7846"/>
    <w:rsid w:val="1C346533"/>
    <w:rsid w:val="1C5E56F7"/>
    <w:rsid w:val="1C6E5957"/>
    <w:rsid w:val="1C6F4DB7"/>
    <w:rsid w:val="1C850B1F"/>
    <w:rsid w:val="1CBF58ED"/>
    <w:rsid w:val="1CE011EF"/>
    <w:rsid w:val="1CFE5FE4"/>
    <w:rsid w:val="1D6446A6"/>
    <w:rsid w:val="1D9674E6"/>
    <w:rsid w:val="1DE90309"/>
    <w:rsid w:val="1E1027EB"/>
    <w:rsid w:val="1E311F10"/>
    <w:rsid w:val="1E5C36C2"/>
    <w:rsid w:val="1E6B15DD"/>
    <w:rsid w:val="1E947B06"/>
    <w:rsid w:val="1E9A18D8"/>
    <w:rsid w:val="1E9C51D3"/>
    <w:rsid w:val="1E9E379A"/>
    <w:rsid w:val="1E9F391E"/>
    <w:rsid w:val="1EB60740"/>
    <w:rsid w:val="1EC55B74"/>
    <w:rsid w:val="1F1D3322"/>
    <w:rsid w:val="1F305853"/>
    <w:rsid w:val="1F386500"/>
    <w:rsid w:val="1F4201AC"/>
    <w:rsid w:val="1F58597C"/>
    <w:rsid w:val="1F5E2B38"/>
    <w:rsid w:val="1F613C00"/>
    <w:rsid w:val="1F61496A"/>
    <w:rsid w:val="1F8434C0"/>
    <w:rsid w:val="1F9250BC"/>
    <w:rsid w:val="1F944163"/>
    <w:rsid w:val="1F9B46E7"/>
    <w:rsid w:val="1FA87083"/>
    <w:rsid w:val="1FB86CB5"/>
    <w:rsid w:val="200A0366"/>
    <w:rsid w:val="20106291"/>
    <w:rsid w:val="203355D0"/>
    <w:rsid w:val="206275E3"/>
    <w:rsid w:val="20671013"/>
    <w:rsid w:val="206D65DC"/>
    <w:rsid w:val="206E258D"/>
    <w:rsid w:val="207E11CE"/>
    <w:rsid w:val="20921D9B"/>
    <w:rsid w:val="20AE55BD"/>
    <w:rsid w:val="20C2147F"/>
    <w:rsid w:val="20CB69A1"/>
    <w:rsid w:val="210B4169"/>
    <w:rsid w:val="212568FD"/>
    <w:rsid w:val="212F4452"/>
    <w:rsid w:val="214C3F99"/>
    <w:rsid w:val="216C19AD"/>
    <w:rsid w:val="218249D8"/>
    <w:rsid w:val="21983C9D"/>
    <w:rsid w:val="219B67D1"/>
    <w:rsid w:val="21AB1A12"/>
    <w:rsid w:val="21C92176"/>
    <w:rsid w:val="21EB36A6"/>
    <w:rsid w:val="21EE324B"/>
    <w:rsid w:val="220C3312"/>
    <w:rsid w:val="222B0ACC"/>
    <w:rsid w:val="22383586"/>
    <w:rsid w:val="228E1E39"/>
    <w:rsid w:val="22A05038"/>
    <w:rsid w:val="22A87D3A"/>
    <w:rsid w:val="22BC0B9E"/>
    <w:rsid w:val="22BC71BA"/>
    <w:rsid w:val="22C22041"/>
    <w:rsid w:val="22DC4337"/>
    <w:rsid w:val="22E7791E"/>
    <w:rsid w:val="22ED2CEB"/>
    <w:rsid w:val="22FD4065"/>
    <w:rsid w:val="2317647F"/>
    <w:rsid w:val="232B7C82"/>
    <w:rsid w:val="23347106"/>
    <w:rsid w:val="234336D9"/>
    <w:rsid w:val="236575D8"/>
    <w:rsid w:val="239A4258"/>
    <w:rsid w:val="23BA53F8"/>
    <w:rsid w:val="23C1635C"/>
    <w:rsid w:val="23C56EF6"/>
    <w:rsid w:val="23EB580D"/>
    <w:rsid w:val="24205BAF"/>
    <w:rsid w:val="242E3AA8"/>
    <w:rsid w:val="24956360"/>
    <w:rsid w:val="24B76DA8"/>
    <w:rsid w:val="25265C82"/>
    <w:rsid w:val="254B3D77"/>
    <w:rsid w:val="25A50235"/>
    <w:rsid w:val="25D67D40"/>
    <w:rsid w:val="25DC133F"/>
    <w:rsid w:val="26572B23"/>
    <w:rsid w:val="26725310"/>
    <w:rsid w:val="269B0941"/>
    <w:rsid w:val="26C45168"/>
    <w:rsid w:val="26E8097E"/>
    <w:rsid w:val="27074F3E"/>
    <w:rsid w:val="276A1E7D"/>
    <w:rsid w:val="2789508E"/>
    <w:rsid w:val="27A25B8D"/>
    <w:rsid w:val="27A9005A"/>
    <w:rsid w:val="27CE3575"/>
    <w:rsid w:val="27DC1D4B"/>
    <w:rsid w:val="27DD2663"/>
    <w:rsid w:val="28160D4A"/>
    <w:rsid w:val="28241089"/>
    <w:rsid w:val="28A56337"/>
    <w:rsid w:val="28CA1746"/>
    <w:rsid w:val="28D0546E"/>
    <w:rsid w:val="28DE4E2F"/>
    <w:rsid w:val="28E31F31"/>
    <w:rsid w:val="29272D91"/>
    <w:rsid w:val="292B7481"/>
    <w:rsid w:val="29342307"/>
    <w:rsid w:val="297D4B7B"/>
    <w:rsid w:val="29E47D71"/>
    <w:rsid w:val="2A02101B"/>
    <w:rsid w:val="2A2A1998"/>
    <w:rsid w:val="2A7B2735"/>
    <w:rsid w:val="2AA5771A"/>
    <w:rsid w:val="2AAC6A7C"/>
    <w:rsid w:val="2AF06AD4"/>
    <w:rsid w:val="2B1E0695"/>
    <w:rsid w:val="2B386D55"/>
    <w:rsid w:val="2B745883"/>
    <w:rsid w:val="2B7B7415"/>
    <w:rsid w:val="2B7D6B6B"/>
    <w:rsid w:val="2B88723D"/>
    <w:rsid w:val="2B891888"/>
    <w:rsid w:val="2BF66FD8"/>
    <w:rsid w:val="2C294A8D"/>
    <w:rsid w:val="2C76367F"/>
    <w:rsid w:val="2C7F752B"/>
    <w:rsid w:val="2C9F1ECD"/>
    <w:rsid w:val="2CB61DB2"/>
    <w:rsid w:val="2CBA1D72"/>
    <w:rsid w:val="2CF5520B"/>
    <w:rsid w:val="2D5F7CBC"/>
    <w:rsid w:val="2D600E75"/>
    <w:rsid w:val="2D74708A"/>
    <w:rsid w:val="2D9313EA"/>
    <w:rsid w:val="2DA71C2E"/>
    <w:rsid w:val="2DDE26F0"/>
    <w:rsid w:val="2DE4120D"/>
    <w:rsid w:val="2DF14C72"/>
    <w:rsid w:val="2E16039C"/>
    <w:rsid w:val="2E283B14"/>
    <w:rsid w:val="2E7801F9"/>
    <w:rsid w:val="2E8E5375"/>
    <w:rsid w:val="2EA35F63"/>
    <w:rsid w:val="2EAD16F6"/>
    <w:rsid w:val="2EE77E30"/>
    <w:rsid w:val="2EF72C8C"/>
    <w:rsid w:val="2F2C4DFE"/>
    <w:rsid w:val="2F326539"/>
    <w:rsid w:val="2F996519"/>
    <w:rsid w:val="2FC61653"/>
    <w:rsid w:val="300F2826"/>
    <w:rsid w:val="30225C4D"/>
    <w:rsid w:val="30327E11"/>
    <w:rsid w:val="304C5448"/>
    <w:rsid w:val="309D760A"/>
    <w:rsid w:val="30D67D50"/>
    <w:rsid w:val="313126C9"/>
    <w:rsid w:val="317D2916"/>
    <w:rsid w:val="31B61995"/>
    <w:rsid w:val="31B82D71"/>
    <w:rsid w:val="31DC63B1"/>
    <w:rsid w:val="32020DA6"/>
    <w:rsid w:val="321012B8"/>
    <w:rsid w:val="32496AB6"/>
    <w:rsid w:val="32542581"/>
    <w:rsid w:val="327162B8"/>
    <w:rsid w:val="328C01BE"/>
    <w:rsid w:val="32A22815"/>
    <w:rsid w:val="32CA465E"/>
    <w:rsid w:val="32D040A6"/>
    <w:rsid w:val="32DA7097"/>
    <w:rsid w:val="32E3156C"/>
    <w:rsid w:val="33412A9B"/>
    <w:rsid w:val="33470468"/>
    <w:rsid w:val="336A0E94"/>
    <w:rsid w:val="33746BEB"/>
    <w:rsid w:val="33862DEE"/>
    <w:rsid w:val="33905438"/>
    <w:rsid w:val="33A862A8"/>
    <w:rsid w:val="33AA302E"/>
    <w:rsid w:val="33F54E8F"/>
    <w:rsid w:val="34222A94"/>
    <w:rsid w:val="342A476B"/>
    <w:rsid w:val="34A8580A"/>
    <w:rsid w:val="34D9572E"/>
    <w:rsid w:val="35220AED"/>
    <w:rsid w:val="353E10D4"/>
    <w:rsid w:val="35413437"/>
    <w:rsid w:val="357941C9"/>
    <w:rsid w:val="3584501D"/>
    <w:rsid w:val="35A109F9"/>
    <w:rsid w:val="35D85CEB"/>
    <w:rsid w:val="35DB40D8"/>
    <w:rsid w:val="35E02809"/>
    <w:rsid w:val="35EC36D5"/>
    <w:rsid w:val="3606679E"/>
    <w:rsid w:val="361D50EE"/>
    <w:rsid w:val="3635001F"/>
    <w:rsid w:val="363A739E"/>
    <w:rsid w:val="36457C68"/>
    <w:rsid w:val="36564524"/>
    <w:rsid w:val="36802D23"/>
    <w:rsid w:val="36AC7555"/>
    <w:rsid w:val="36B06E37"/>
    <w:rsid w:val="36E2737F"/>
    <w:rsid w:val="37084FA0"/>
    <w:rsid w:val="370E53C4"/>
    <w:rsid w:val="37137A04"/>
    <w:rsid w:val="372A7772"/>
    <w:rsid w:val="382D591E"/>
    <w:rsid w:val="38352216"/>
    <w:rsid w:val="385B6441"/>
    <w:rsid w:val="3878752F"/>
    <w:rsid w:val="38835228"/>
    <w:rsid w:val="38C428A1"/>
    <w:rsid w:val="38EE1750"/>
    <w:rsid w:val="38F24B18"/>
    <w:rsid w:val="38F44A9B"/>
    <w:rsid w:val="39133BC4"/>
    <w:rsid w:val="39D66286"/>
    <w:rsid w:val="39DE062D"/>
    <w:rsid w:val="3A1E7D06"/>
    <w:rsid w:val="3A2406D3"/>
    <w:rsid w:val="3A2B6D34"/>
    <w:rsid w:val="3A386B9F"/>
    <w:rsid w:val="3AA27E45"/>
    <w:rsid w:val="3B76090E"/>
    <w:rsid w:val="3B7E286E"/>
    <w:rsid w:val="3B9A443B"/>
    <w:rsid w:val="3BB3202C"/>
    <w:rsid w:val="3BE54858"/>
    <w:rsid w:val="3C1F7539"/>
    <w:rsid w:val="3C7B702D"/>
    <w:rsid w:val="3CCF588F"/>
    <w:rsid w:val="3CD06291"/>
    <w:rsid w:val="3CD2323A"/>
    <w:rsid w:val="3CD56DD1"/>
    <w:rsid w:val="3D2E30BF"/>
    <w:rsid w:val="3D576C80"/>
    <w:rsid w:val="3D6848C8"/>
    <w:rsid w:val="3D8F5B01"/>
    <w:rsid w:val="3DA951EA"/>
    <w:rsid w:val="3DBF2E93"/>
    <w:rsid w:val="3DF55E77"/>
    <w:rsid w:val="3E212548"/>
    <w:rsid w:val="3E374C17"/>
    <w:rsid w:val="3E5201DD"/>
    <w:rsid w:val="3E8057F7"/>
    <w:rsid w:val="3E965D5C"/>
    <w:rsid w:val="3EA47656"/>
    <w:rsid w:val="3ED34A6E"/>
    <w:rsid w:val="3EFC47F8"/>
    <w:rsid w:val="3F09498D"/>
    <w:rsid w:val="3F125FDD"/>
    <w:rsid w:val="3F1B1653"/>
    <w:rsid w:val="3F20773C"/>
    <w:rsid w:val="3F5D1A50"/>
    <w:rsid w:val="3FBF5BFE"/>
    <w:rsid w:val="4038752C"/>
    <w:rsid w:val="403D71F7"/>
    <w:rsid w:val="407D2AA1"/>
    <w:rsid w:val="4092477E"/>
    <w:rsid w:val="40F212D4"/>
    <w:rsid w:val="41271F0F"/>
    <w:rsid w:val="412A5E2A"/>
    <w:rsid w:val="41416676"/>
    <w:rsid w:val="414F1885"/>
    <w:rsid w:val="414F2C60"/>
    <w:rsid w:val="4174334F"/>
    <w:rsid w:val="419B0F8E"/>
    <w:rsid w:val="41F86970"/>
    <w:rsid w:val="4224025B"/>
    <w:rsid w:val="42291924"/>
    <w:rsid w:val="425906F9"/>
    <w:rsid w:val="425A6AE3"/>
    <w:rsid w:val="42C055EB"/>
    <w:rsid w:val="42DD59CE"/>
    <w:rsid w:val="431C1B20"/>
    <w:rsid w:val="437E12E0"/>
    <w:rsid w:val="43B77325"/>
    <w:rsid w:val="43F20C93"/>
    <w:rsid w:val="43F952C2"/>
    <w:rsid w:val="446A27C5"/>
    <w:rsid w:val="449966EE"/>
    <w:rsid w:val="44D038F6"/>
    <w:rsid w:val="44EA49BE"/>
    <w:rsid w:val="44EB562A"/>
    <w:rsid w:val="45212CEE"/>
    <w:rsid w:val="45391373"/>
    <w:rsid w:val="453A1090"/>
    <w:rsid w:val="463B0E83"/>
    <w:rsid w:val="465240FD"/>
    <w:rsid w:val="466762DF"/>
    <w:rsid w:val="47426BBC"/>
    <w:rsid w:val="47AC72C0"/>
    <w:rsid w:val="47D07EA7"/>
    <w:rsid w:val="481B635E"/>
    <w:rsid w:val="481C5A61"/>
    <w:rsid w:val="48316972"/>
    <w:rsid w:val="48346D7B"/>
    <w:rsid w:val="48721B82"/>
    <w:rsid w:val="48E17FC3"/>
    <w:rsid w:val="48F8266E"/>
    <w:rsid w:val="49140CB7"/>
    <w:rsid w:val="49220A1C"/>
    <w:rsid w:val="49260C65"/>
    <w:rsid w:val="493D62FA"/>
    <w:rsid w:val="49805F93"/>
    <w:rsid w:val="4998485F"/>
    <w:rsid w:val="49A93B76"/>
    <w:rsid w:val="49B1577E"/>
    <w:rsid w:val="49BE0241"/>
    <w:rsid w:val="49C356DE"/>
    <w:rsid w:val="49C95693"/>
    <w:rsid w:val="49CA0211"/>
    <w:rsid w:val="49D64807"/>
    <w:rsid w:val="49E822BB"/>
    <w:rsid w:val="49FA1F6C"/>
    <w:rsid w:val="4A150153"/>
    <w:rsid w:val="4A4A5EED"/>
    <w:rsid w:val="4A5567B4"/>
    <w:rsid w:val="4A762D4C"/>
    <w:rsid w:val="4ABE2FFA"/>
    <w:rsid w:val="4AE619EB"/>
    <w:rsid w:val="4AF32A44"/>
    <w:rsid w:val="4B080B30"/>
    <w:rsid w:val="4B2737FD"/>
    <w:rsid w:val="4BA97B61"/>
    <w:rsid w:val="4BB35BFC"/>
    <w:rsid w:val="4BCC7955"/>
    <w:rsid w:val="4C2563E8"/>
    <w:rsid w:val="4C471016"/>
    <w:rsid w:val="4C505623"/>
    <w:rsid w:val="4D4E07D9"/>
    <w:rsid w:val="4DB07202"/>
    <w:rsid w:val="4DEF0270"/>
    <w:rsid w:val="4E846FB7"/>
    <w:rsid w:val="4E8E78EE"/>
    <w:rsid w:val="4EA31B59"/>
    <w:rsid w:val="4EB8591F"/>
    <w:rsid w:val="4F2636D4"/>
    <w:rsid w:val="4F3B7DB9"/>
    <w:rsid w:val="4FA677F0"/>
    <w:rsid w:val="4FDF7065"/>
    <w:rsid w:val="50113BA4"/>
    <w:rsid w:val="506747A8"/>
    <w:rsid w:val="5084138B"/>
    <w:rsid w:val="50E2154A"/>
    <w:rsid w:val="50E30D2E"/>
    <w:rsid w:val="51136059"/>
    <w:rsid w:val="5139564B"/>
    <w:rsid w:val="514B3CE9"/>
    <w:rsid w:val="5189439D"/>
    <w:rsid w:val="519B0EDC"/>
    <w:rsid w:val="51C82EEE"/>
    <w:rsid w:val="52015ED5"/>
    <w:rsid w:val="52023BCE"/>
    <w:rsid w:val="52173CCD"/>
    <w:rsid w:val="522A4D1E"/>
    <w:rsid w:val="5244504C"/>
    <w:rsid w:val="527441A8"/>
    <w:rsid w:val="53601AA9"/>
    <w:rsid w:val="538C2947"/>
    <w:rsid w:val="53C50CBE"/>
    <w:rsid w:val="541835A7"/>
    <w:rsid w:val="5457534E"/>
    <w:rsid w:val="545D1506"/>
    <w:rsid w:val="54A02ECF"/>
    <w:rsid w:val="54BA7621"/>
    <w:rsid w:val="54BC16CD"/>
    <w:rsid w:val="54F06C83"/>
    <w:rsid w:val="552E252C"/>
    <w:rsid w:val="55715D67"/>
    <w:rsid w:val="5595310E"/>
    <w:rsid w:val="55A2468D"/>
    <w:rsid w:val="55C81670"/>
    <w:rsid w:val="55D458DD"/>
    <w:rsid w:val="55E17A05"/>
    <w:rsid w:val="55FE3518"/>
    <w:rsid w:val="56131FB6"/>
    <w:rsid w:val="56645561"/>
    <w:rsid w:val="56AA7177"/>
    <w:rsid w:val="56AD3A82"/>
    <w:rsid w:val="56B06CDF"/>
    <w:rsid w:val="56F9783E"/>
    <w:rsid w:val="572B3D5A"/>
    <w:rsid w:val="57342455"/>
    <w:rsid w:val="57B73535"/>
    <w:rsid w:val="57CB7A77"/>
    <w:rsid w:val="57F472AC"/>
    <w:rsid w:val="581461F4"/>
    <w:rsid w:val="58B87771"/>
    <w:rsid w:val="58C2636A"/>
    <w:rsid w:val="5948189C"/>
    <w:rsid w:val="596607E2"/>
    <w:rsid w:val="596B434B"/>
    <w:rsid w:val="598A36AD"/>
    <w:rsid w:val="59C06918"/>
    <w:rsid w:val="59C14CD9"/>
    <w:rsid w:val="59CA5E79"/>
    <w:rsid w:val="5A13562A"/>
    <w:rsid w:val="5AA262D0"/>
    <w:rsid w:val="5ABB682F"/>
    <w:rsid w:val="5ACA133F"/>
    <w:rsid w:val="5B174B23"/>
    <w:rsid w:val="5B626DE6"/>
    <w:rsid w:val="5B675D6A"/>
    <w:rsid w:val="5BB2189C"/>
    <w:rsid w:val="5BEB38D1"/>
    <w:rsid w:val="5C3C34F3"/>
    <w:rsid w:val="5C476ED4"/>
    <w:rsid w:val="5C9B1828"/>
    <w:rsid w:val="5D2A62DC"/>
    <w:rsid w:val="5D555369"/>
    <w:rsid w:val="5D9910A9"/>
    <w:rsid w:val="5DE97F30"/>
    <w:rsid w:val="5E1C7F6D"/>
    <w:rsid w:val="5E9448B3"/>
    <w:rsid w:val="5EFE0D55"/>
    <w:rsid w:val="5F254E92"/>
    <w:rsid w:val="5F3A6606"/>
    <w:rsid w:val="5F4C3822"/>
    <w:rsid w:val="5F607623"/>
    <w:rsid w:val="5F6A2AE4"/>
    <w:rsid w:val="5F822038"/>
    <w:rsid w:val="5FB16EE5"/>
    <w:rsid w:val="60015026"/>
    <w:rsid w:val="601755E5"/>
    <w:rsid w:val="601D5D43"/>
    <w:rsid w:val="6082039A"/>
    <w:rsid w:val="6099150E"/>
    <w:rsid w:val="60C4788F"/>
    <w:rsid w:val="615B44C7"/>
    <w:rsid w:val="61AE4E29"/>
    <w:rsid w:val="61CB0C82"/>
    <w:rsid w:val="61CD36B8"/>
    <w:rsid w:val="61E647DF"/>
    <w:rsid w:val="61E81897"/>
    <w:rsid w:val="61FB2829"/>
    <w:rsid w:val="62155210"/>
    <w:rsid w:val="626A0D6C"/>
    <w:rsid w:val="62EF4030"/>
    <w:rsid w:val="62F82C2D"/>
    <w:rsid w:val="62FE75FF"/>
    <w:rsid w:val="6325603F"/>
    <w:rsid w:val="634F012F"/>
    <w:rsid w:val="6395380A"/>
    <w:rsid w:val="6399019D"/>
    <w:rsid w:val="639C5387"/>
    <w:rsid w:val="645B7DEE"/>
    <w:rsid w:val="64646F2A"/>
    <w:rsid w:val="64CF46EC"/>
    <w:rsid w:val="64D00A58"/>
    <w:rsid w:val="650329A3"/>
    <w:rsid w:val="651A3211"/>
    <w:rsid w:val="6571511B"/>
    <w:rsid w:val="65866387"/>
    <w:rsid w:val="658C7C81"/>
    <w:rsid w:val="65961EFB"/>
    <w:rsid w:val="65E64C72"/>
    <w:rsid w:val="664B41AA"/>
    <w:rsid w:val="66DB1A91"/>
    <w:rsid w:val="67112E9A"/>
    <w:rsid w:val="671D6A7E"/>
    <w:rsid w:val="67282862"/>
    <w:rsid w:val="67384285"/>
    <w:rsid w:val="67500136"/>
    <w:rsid w:val="675862E1"/>
    <w:rsid w:val="679F7011"/>
    <w:rsid w:val="67A20B9E"/>
    <w:rsid w:val="67A36BAE"/>
    <w:rsid w:val="67CF1F0D"/>
    <w:rsid w:val="6812693C"/>
    <w:rsid w:val="684D1F6F"/>
    <w:rsid w:val="685F364C"/>
    <w:rsid w:val="689939B1"/>
    <w:rsid w:val="68A40212"/>
    <w:rsid w:val="68B20F33"/>
    <w:rsid w:val="68BA5C46"/>
    <w:rsid w:val="690D26AC"/>
    <w:rsid w:val="697150E5"/>
    <w:rsid w:val="69DE11A4"/>
    <w:rsid w:val="6A1129BA"/>
    <w:rsid w:val="6A327841"/>
    <w:rsid w:val="6A531178"/>
    <w:rsid w:val="6A8D0E64"/>
    <w:rsid w:val="6AA0062F"/>
    <w:rsid w:val="6AC26CD3"/>
    <w:rsid w:val="6AEE6896"/>
    <w:rsid w:val="6AF232A7"/>
    <w:rsid w:val="6B113A02"/>
    <w:rsid w:val="6B68202E"/>
    <w:rsid w:val="6C1F29B4"/>
    <w:rsid w:val="6C5D70FB"/>
    <w:rsid w:val="6C742DA4"/>
    <w:rsid w:val="6C8F0BE9"/>
    <w:rsid w:val="6CFB6A9D"/>
    <w:rsid w:val="6D1B3F16"/>
    <w:rsid w:val="6D250C66"/>
    <w:rsid w:val="6D4941AD"/>
    <w:rsid w:val="6D5A617B"/>
    <w:rsid w:val="6D637AE8"/>
    <w:rsid w:val="6D97645B"/>
    <w:rsid w:val="6DA57BF5"/>
    <w:rsid w:val="6DB44495"/>
    <w:rsid w:val="6DDE36E9"/>
    <w:rsid w:val="6DE6727F"/>
    <w:rsid w:val="6E175FD6"/>
    <w:rsid w:val="6E2D640E"/>
    <w:rsid w:val="6E54681D"/>
    <w:rsid w:val="6E8B26A3"/>
    <w:rsid w:val="6EEE4D20"/>
    <w:rsid w:val="6F42007F"/>
    <w:rsid w:val="6F884D63"/>
    <w:rsid w:val="6F8D00C6"/>
    <w:rsid w:val="6F967023"/>
    <w:rsid w:val="6FA420B6"/>
    <w:rsid w:val="6FD30627"/>
    <w:rsid w:val="6FD9322F"/>
    <w:rsid w:val="6FDF1FFA"/>
    <w:rsid w:val="70203CAA"/>
    <w:rsid w:val="702A234C"/>
    <w:rsid w:val="70394698"/>
    <w:rsid w:val="70566023"/>
    <w:rsid w:val="70A373CA"/>
    <w:rsid w:val="70BC18FE"/>
    <w:rsid w:val="71012E2D"/>
    <w:rsid w:val="7105112F"/>
    <w:rsid w:val="713F4668"/>
    <w:rsid w:val="714E6C19"/>
    <w:rsid w:val="71FA3760"/>
    <w:rsid w:val="720D70BF"/>
    <w:rsid w:val="7219458B"/>
    <w:rsid w:val="72320198"/>
    <w:rsid w:val="72347EFE"/>
    <w:rsid w:val="72D35373"/>
    <w:rsid w:val="72F4309A"/>
    <w:rsid w:val="73676856"/>
    <w:rsid w:val="73982336"/>
    <w:rsid w:val="73C5124B"/>
    <w:rsid w:val="73CF4F2E"/>
    <w:rsid w:val="74216D11"/>
    <w:rsid w:val="746C0098"/>
    <w:rsid w:val="746E5A74"/>
    <w:rsid w:val="747D6113"/>
    <w:rsid w:val="74960197"/>
    <w:rsid w:val="750042AF"/>
    <w:rsid w:val="75237B58"/>
    <w:rsid w:val="7552623A"/>
    <w:rsid w:val="75656AFF"/>
    <w:rsid w:val="75701148"/>
    <w:rsid w:val="757442F9"/>
    <w:rsid w:val="76926E86"/>
    <w:rsid w:val="76AB2AED"/>
    <w:rsid w:val="76D32D78"/>
    <w:rsid w:val="76EC5602"/>
    <w:rsid w:val="773612D1"/>
    <w:rsid w:val="7746622A"/>
    <w:rsid w:val="774F2105"/>
    <w:rsid w:val="77657A2E"/>
    <w:rsid w:val="7788724B"/>
    <w:rsid w:val="77BF3A66"/>
    <w:rsid w:val="77F67838"/>
    <w:rsid w:val="78106856"/>
    <w:rsid w:val="783C0BC4"/>
    <w:rsid w:val="785F3DA1"/>
    <w:rsid w:val="789D7E54"/>
    <w:rsid w:val="78FA2463"/>
    <w:rsid w:val="793939A7"/>
    <w:rsid w:val="79B82157"/>
    <w:rsid w:val="79BF5FA3"/>
    <w:rsid w:val="7A0318B7"/>
    <w:rsid w:val="7A315E25"/>
    <w:rsid w:val="7A845ADF"/>
    <w:rsid w:val="7A966606"/>
    <w:rsid w:val="7ADA188B"/>
    <w:rsid w:val="7B10431F"/>
    <w:rsid w:val="7B246530"/>
    <w:rsid w:val="7B3A598C"/>
    <w:rsid w:val="7B913670"/>
    <w:rsid w:val="7B956E28"/>
    <w:rsid w:val="7BA85FEE"/>
    <w:rsid w:val="7BD60B27"/>
    <w:rsid w:val="7BDD2DCF"/>
    <w:rsid w:val="7C55204D"/>
    <w:rsid w:val="7C9870E3"/>
    <w:rsid w:val="7CB943EA"/>
    <w:rsid w:val="7CF864BE"/>
    <w:rsid w:val="7CFA1772"/>
    <w:rsid w:val="7DC40185"/>
    <w:rsid w:val="7DC806DC"/>
    <w:rsid w:val="7E2771D5"/>
    <w:rsid w:val="7E425F17"/>
    <w:rsid w:val="7E44164C"/>
    <w:rsid w:val="7E567B96"/>
    <w:rsid w:val="7E774EE7"/>
    <w:rsid w:val="7E8B6678"/>
    <w:rsid w:val="7EEF1B77"/>
    <w:rsid w:val="7EF93EFD"/>
    <w:rsid w:val="7F144340"/>
    <w:rsid w:val="7F1D4DEB"/>
    <w:rsid w:val="7F3714F9"/>
    <w:rsid w:val="7F7977F0"/>
    <w:rsid w:val="7F871387"/>
    <w:rsid w:val="7F94559A"/>
    <w:rsid w:val="7F9D5AC0"/>
    <w:rsid w:val="7FAC31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4"/>
    <w:next w:val="4"/>
    <w:qFormat/>
    <w:uiPriority w:val="0"/>
    <w:pPr>
      <w:keepNext/>
      <w:keepLines/>
      <w:spacing w:after="30" w:afterLines="30"/>
      <w:ind w:left="0"/>
      <w:jc w:val="center"/>
      <w:outlineLvl w:val="0"/>
    </w:pPr>
    <w:rPr>
      <w:rFonts w:ascii="Arial" w:hAnsi="Arial" w:eastAsia="宋体"/>
      <w:bCs/>
      <w:kern w:val="44"/>
      <w:sz w:val="32"/>
      <w:szCs w:val="32"/>
    </w:rPr>
  </w:style>
  <w:style w:type="paragraph" w:styleId="2">
    <w:name w:val="heading 2"/>
    <w:basedOn w:val="1"/>
    <w:next w:val="1"/>
    <w:qFormat/>
    <w:uiPriority w:val="0"/>
    <w:pPr>
      <w:keepNext/>
      <w:keepLines/>
      <w:tabs>
        <w:tab w:val="left" w:pos="5568"/>
      </w:tabs>
      <w:ind w:left="0"/>
      <w:jc w:val="left"/>
      <w:outlineLvl w:val="1"/>
    </w:pPr>
    <w:rPr>
      <w:rFonts w:ascii="Arial" w:hAnsi="Arial" w:eastAsia="宋体"/>
      <w:bCs/>
      <w:kern w:val="44"/>
      <w:sz w:val="30"/>
      <w:szCs w:val="28"/>
    </w:rPr>
  </w:style>
  <w:style w:type="paragraph" w:styleId="5">
    <w:name w:val="heading 4"/>
    <w:basedOn w:val="1"/>
    <w:next w:val="1"/>
    <w:qFormat/>
    <w:uiPriority w:val="0"/>
    <w:pPr>
      <w:keepNext/>
      <w:keepLines/>
      <w:tabs>
        <w:tab w:val="left" w:pos="6264"/>
      </w:tabs>
      <w:adjustRightInd w:val="0"/>
      <w:snapToGrid w:val="0"/>
      <w:spacing w:line="312" w:lineRule="auto"/>
      <w:ind w:left="5400"/>
      <w:outlineLvl w:val="3"/>
    </w:pPr>
    <w:rPr>
      <w:rFonts w:ascii="华文细黑" w:hAnsi="Arial" w:eastAsia="华文细黑"/>
      <w:b/>
      <w:bCs/>
      <w:sz w:val="22"/>
      <w:szCs w:val="22"/>
      <w:u w:val="single"/>
    </w:rPr>
  </w:style>
  <w:style w:type="paragraph" w:styleId="6">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7">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szCs w:val="24"/>
    </w:rPr>
  </w:style>
  <w:style w:type="paragraph" w:styleId="8">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szCs w:val="24"/>
    </w:rPr>
  </w:style>
  <w:style w:type="paragraph" w:styleId="9">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szCs w:val="24"/>
    </w:rPr>
  </w:style>
  <w:style w:type="paragraph" w:styleId="10">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6">
    <w:name w:val="Default Paragraph Font"/>
    <w:semiHidden/>
    <w:qFormat/>
    <w:uiPriority w:val="0"/>
    <w:rPr>
      <w:rFonts w:ascii="楷体_GB2312" w:eastAsia="楷体_GB2312"/>
      <w:b/>
      <w:bCs/>
      <w:sz w:val="30"/>
      <w:szCs w:val="24"/>
    </w:rPr>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4">
    <w:name w:val="报告正文 Char Char Char"/>
    <w:basedOn w:val="1"/>
    <w:link w:val="111"/>
    <w:qFormat/>
    <w:uiPriority w:val="0"/>
    <w:pPr>
      <w:adjustRightInd w:val="0"/>
      <w:snapToGrid w:val="0"/>
      <w:spacing w:line="336" w:lineRule="auto"/>
      <w:ind w:left="2603"/>
    </w:pPr>
    <w:rPr>
      <w:rFonts w:ascii="华文细黑" w:eastAsia="华文细黑" w:cs="宋体"/>
      <w:sz w:val="22"/>
      <w:szCs w:val="24"/>
    </w:rPr>
  </w:style>
  <w:style w:type="paragraph" w:styleId="11">
    <w:name w:val="annotation text"/>
    <w:basedOn w:val="1"/>
    <w:qFormat/>
    <w:uiPriority w:val="0"/>
    <w:pPr>
      <w:jc w:val="left"/>
    </w:pPr>
  </w:style>
  <w:style w:type="paragraph" w:styleId="12">
    <w:name w:val="Body Text Indent"/>
    <w:basedOn w:val="1"/>
    <w:qFormat/>
    <w:uiPriority w:val="0"/>
    <w:pPr>
      <w:ind w:left="420" w:firstLine="629"/>
    </w:pPr>
    <w:rPr>
      <w:rFonts w:ascii="楷体_GB2312" w:eastAsia="楷体_GB2312"/>
      <w:b/>
      <w:sz w:val="30"/>
    </w:rPr>
  </w:style>
  <w:style w:type="paragraph" w:styleId="13">
    <w:name w:val="Block Text"/>
    <w:basedOn w:val="1"/>
    <w:qFormat/>
    <w:uiPriority w:val="0"/>
    <w:pPr>
      <w:ind w:left="420" w:right="342"/>
    </w:pPr>
    <w:rPr>
      <w:rFonts w:ascii="楷体_GB2312" w:eastAsia="楷体_GB2312"/>
      <w:b/>
      <w:sz w:val="30"/>
    </w:rPr>
  </w:style>
  <w:style w:type="paragraph" w:styleId="14">
    <w:name w:val="Plain Text"/>
    <w:basedOn w:val="1"/>
    <w:link w:val="122"/>
    <w:qFormat/>
    <w:uiPriority w:val="0"/>
    <w:rPr>
      <w:rFonts w:ascii="宋体" w:hAnsi="Courier New"/>
      <w:szCs w:val="24"/>
    </w:rPr>
  </w:style>
  <w:style w:type="paragraph" w:styleId="15">
    <w:name w:val="Date"/>
    <w:basedOn w:val="1"/>
    <w:next w:val="1"/>
    <w:qFormat/>
    <w:uiPriority w:val="0"/>
    <w:rPr>
      <w:rFonts w:ascii="楷体_GB2312" w:eastAsia="楷体_GB2312"/>
      <w:b/>
      <w:sz w:val="30"/>
    </w:rPr>
  </w:style>
  <w:style w:type="paragraph" w:styleId="16">
    <w:name w:val="Body Text Indent 2"/>
    <w:basedOn w:val="1"/>
    <w:qFormat/>
    <w:uiPriority w:val="0"/>
    <w:pPr>
      <w:ind w:left="420" w:firstLine="602"/>
    </w:pPr>
    <w:rPr>
      <w:rFonts w:ascii="楷体_GB2312" w:eastAsia="楷体_GB2312"/>
      <w:b/>
      <w:sz w:val="30"/>
    </w:rPr>
  </w:style>
  <w:style w:type="paragraph" w:styleId="17">
    <w:name w:val="Balloon Text"/>
    <w:basedOn w:val="1"/>
    <w:link w:val="110"/>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Body Text Indent 3"/>
    <w:basedOn w:val="1"/>
    <w:qFormat/>
    <w:uiPriority w:val="0"/>
    <w:pPr>
      <w:ind w:left="420" w:firstLine="630"/>
    </w:pPr>
    <w:rPr>
      <w:rFonts w:ascii="楷体_GB2312" w:eastAsia="楷体_GB2312"/>
      <w:b/>
      <w:sz w:val="30"/>
    </w:rPr>
  </w:style>
  <w:style w:type="paragraph" w:styleId="22">
    <w:name w:val="toc 2"/>
    <w:basedOn w:val="1"/>
    <w:next w:val="1"/>
    <w:qFormat/>
    <w:uiPriority w:val="39"/>
    <w:pPr>
      <w:ind w:left="420" w:leftChars="200"/>
    </w:p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7">
    <w:name w:val="Strong"/>
    <w:basedOn w:val="26"/>
    <w:qFormat/>
    <w:uiPriority w:val="0"/>
    <w:rPr>
      <w:b w:val="0"/>
      <w:bCs w:val="0"/>
      <w:szCs w:val="24"/>
    </w:rPr>
  </w:style>
  <w:style w:type="character" w:styleId="28">
    <w:name w:val="page number"/>
    <w:basedOn w:val="26"/>
    <w:qFormat/>
    <w:uiPriority w:val="0"/>
    <w:rPr>
      <w:szCs w:val="24"/>
    </w:rPr>
  </w:style>
  <w:style w:type="character" w:styleId="29">
    <w:name w:val="FollowedHyperlink"/>
    <w:basedOn w:val="26"/>
    <w:qFormat/>
    <w:uiPriority w:val="0"/>
    <w:rPr>
      <w:color w:val="333333"/>
      <w:szCs w:val="24"/>
      <w:u w:val="none"/>
    </w:rPr>
  </w:style>
  <w:style w:type="character" w:styleId="30">
    <w:name w:val="Emphasis"/>
    <w:basedOn w:val="26"/>
    <w:qFormat/>
    <w:uiPriority w:val="0"/>
    <w:rPr>
      <w:szCs w:val="24"/>
    </w:rPr>
  </w:style>
  <w:style w:type="character" w:styleId="31">
    <w:name w:val="HTML Definition"/>
    <w:basedOn w:val="26"/>
    <w:qFormat/>
    <w:uiPriority w:val="0"/>
    <w:rPr>
      <w:szCs w:val="24"/>
    </w:rPr>
  </w:style>
  <w:style w:type="character" w:styleId="32">
    <w:name w:val="HTML Variable"/>
    <w:basedOn w:val="26"/>
    <w:qFormat/>
    <w:uiPriority w:val="0"/>
    <w:rPr>
      <w:szCs w:val="24"/>
    </w:rPr>
  </w:style>
  <w:style w:type="character" w:styleId="33">
    <w:name w:val="Hyperlink"/>
    <w:basedOn w:val="26"/>
    <w:qFormat/>
    <w:uiPriority w:val="99"/>
    <w:rPr>
      <w:color w:val="136EC2"/>
      <w:szCs w:val="24"/>
      <w:u w:val="single"/>
    </w:rPr>
  </w:style>
  <w:style w:type="character" w:styleId="34">
    <w:name w:val="HTML Code"/>
    <w:basedOn w:val="26"/>
    <w:qFormat/>
    <w:uiPriority w:val="0"/>
    <w:rPr>
      <w:rFonts w:ascii="Courier New" w:hAnsi="Courier New" w:eastAsia="Courier New" w:cs="Courier New"/>
      <w:sz w:val="20"/>
      <w:szCs w:val="24"/>
    </w:rPr>
  </w:style>
  <w:style w:type="character" w:styleId="35">
    <w:name w:val="HTML Cite"/>
    <w:basedOn w:val="26"/>
    <w:qFormat/>
    <w:uiPriority w:val="0"/>
    <w:rPr>
      <w:szCs w:val="24"/>
    </w:rPr>
  </w:style>
  <w:style w:type="character" w:styleId="36">
    <w:name w:val="HTML Keyboard"/>
    <w:basedOn w:val="26"/>
    <w:qFormat/>
    <w:uiPriority w:val="0"/>
    <w:rPr>
      <w:rFonts w:ascii="Courier New" w:hAnsi="Courier New" w:eastAsia="Courier New" w:cs="Courier New"/>
      <w:sz w:val="20"/>
      <w:szCs w:val="24"/>
    </w:rPr>
  </w:style>
  <w:style w:type="character" w:styleId="37">
    <w:name w:val="HTML Sample"/>
    <w:basedOn w:val="26"/>
    <w:qFormat/>
    <w:uiPriority w:val="0"/>
    <w:rPr>
      <w:rFonts w:ascii="Courier New" w:hAnsi="Courier New" w:eastAsia="Courier New" w:cs="Courier New"/>
      <w:szCs w:val="24"/>
    </w:rPr>
  </w:style>
  <w:style w:type="paragraph" w:customStyle="1" w:styleId="38">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39">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0">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1">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2">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3">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4">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
    <w:name w:val="Char"/>
    <w:basedOn w:val="1"/>
    <w:qFormat/>
    <w:uiPriority w:val="0"/>
    <w:pPr>
      <w:snapToGrid w:val="0"/>
      <w:spacing w:line="360" w:lineRule="auto"/>
      <w:ind w:firstLine="200" w:firstLineChars="200"/>
    </w:pPr>
    <w:rPr>
      <w:rFonts w:eastAsia="Times New Roman"/>
      <w:kern w:val="0"/>
      <w:sz w:val="20"/>
      <w:szCs w:val="24"/>
    </w:rPr>
  </w:style>
  <w:style w:type="paragraph" w:customStyle="1" w:styleId="46">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7">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8">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9">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0">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1">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2">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3">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4">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5">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6">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7">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8">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0">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1">
    <w:name w:val="147147"/>
    <w:basedOn w:val="1"/>
    <w:qFormat/>
    <w:uiPriority w:val="0"/>
    <w:pPr>
      <w:spacing w:before="100" w:beforeAutospacing="1" w:after="100" w:afterAutospacing="1" w:line="360" w:lineRule="auto"/>
      <w:ind w:firstLine="200" w:firstLineChars="200"/>
      <w:jc w:val="left"/>
    </w:pPr>
    <w:rPr>
      <w:rFonts w:ascii="宋体" w:hAnsi="宋体"/>
      <w:bCs/>
      <w:sz w:val="24"/>
      <w:szCs w:val="24"/>
    </w:rPr>
  </w:style>
  <w:style w:type="paragraph" w:customStyle="1" w:styleId="62">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3">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5">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6">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7">
    <w:name w:val="font6"/>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68">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9">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0">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1">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3">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4">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5">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76">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7">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8">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9">
    <w:name w:val="p0"/>
    <w:basedOn w:val="1"/>
    <w:qFormat/>
    <w:uiPriority w:val="0"/>
    <w:pPr>
      <w:widowControl/>
    </w:pPr>
    <w:rPr>
      <w:kern w:val="0"/>
      <w:szCs w:val="21"/>
    </w:rPr>
  </w:style>
  <w:style w:type="paragraph" w:customStyle="1" w:styleId="80">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1">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82">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3">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4">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5">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6">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7">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8">
    <w:name w:val="1"/>
    <w:basedOn w:val="1"/>
    <w:qFormat/>
    <w:uiPriority w:val="0"/>
    <w:pPr>
      <w:ind w:left="420" w:leftChars="200" w:firstLine="629" w:firstLineChars="209"/>
    </w:pPr>
    <w:rPr>
      <w:rFonts w:ascii="楷体_GB2312" w:eastAsia="楷体_GB2312"/>
      <w:b/>
      <w:bCs/>
      <w:sz w:val="30"/>
      <w:szCs w:val="24"/>
    </w:rPr>
  </w:style>
  <w:style w:type="paragraph" w:customStyle="1" w:styleId="89">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0">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91">
    <w:name w:val="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2">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4">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5">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6">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7">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8">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9">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0">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1">
    <w:name w:val=" Char"/>
    <w:basedOn w:val="1"/>
    <w:qFormat/>
    <w:uiPriority w:val="0"/>
    <w:pPr>
      <w:snapToGrid w:val="0"/>
      <w:spacing w:line="360" w:lineRule="auto"/>
      <w:ind w:firstLine="200" w:firstLineChars="200"/>
    </w:pPr>
    <w:rPr>
      <w:szCs w:val="24"/>
    </w:rPr>
  </w:style>
  <w:style w:type="paragraph" w:customStyle="1" w:styleId="102">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3">
    <w:name w:val="报告正文"/>
    <w:basedOn w:val="1"/>
    <w:link w:val="113"/>
    <w:qFormat/>
    <w:uiPriority w:val="0"/>
    <w:pPr>
      <w:adjustRightInd w:val="0"/>
      <w:snapToGrid w:val="0"/>
      <w:spacing w:line="336" w:lineRule="auto"/>
      <w:ind w:left="2603"/>
    </w:pPr>
    <w:rPr>
      <w:rFonts w:ascii="华文细黑" w:eastAsia="华文细黑" w:cs="宋体"/>
      <w:sz w:val="22"/>
      <w:szCs w:val="24"/>
    </w:rPr>
  </w:style>
  <w:style w:type="paragraph" w:customStyle="1" w:styleId="104">
    <w:name w:val="修订"/>
    <w:semiHidden/>
    <w:qFormat/>
    <w:uiPriority w:val="99"/>
    <w:rPr>
      <w:rFonts w:ascii="Times New Roman" w:hAnsi="Times New Roman" w:eastAsia="宋体" w:cs="Times New Roman"/>
      <w:kern w:val="2"/>
      <w:sz w:val="21"/>
      <w:lang w:val="en-US" w:eastAsia="zh-CN" w:bidi="ar-SA"/>
    </w:rPr>
  </w:style>
  <w:style w:type="character" w:customStyle="1" w:styleId="105">
    <w:name w:val="fwcdp02bhov"/>
    <w:basedOn w:val="26"/>
    <w:qFormat/>
    <w:uiPriority w:val="0"/>
    <w:rPr>
      <w:color w:val="C60003"/>
      <w:szCs w:val="24"/>
    </w:rPr>
  </w:style>
  <w:style w:type="character" w:customStyle="1" w:styleId="106">
    <w:name w:val="fwsxdlsphov"/>
    <w:basedOn w:val="26"/>
    <w:qFormat/>
    <w:uiPriority w:val="0"/>
    <w:rPr>
      <w:color w:val="000000"/>
      <w:szCs w:val="24"/>
      <w:u w:val="single"/>
    </w:rPr>
  </w:style>
  <w:style w:type="character" w:customStyle="1" w:styleId="107">
    <w:name w:val="fwcdp02a"/>
    <w:basedOn w:val="26"/>
    <w:qFormat/>
    <w:uiPriority w:val="0"/>
    <w:rPr>
      <w:szCs w:val="24"/>
    </w:rPr>
  </w:style>
  <w:style w:type="character" w:customStyle="1" w:styleId="108">
    <w:name w:val="fwcdp02chov"/>
    <w:basedOn w:val="26"/>
    <w:qFormat/>
    <w:uiPriority w:val="0"/>
    <w:rPr>
      <w:color w:val="C60003"/>
      <w:szCs w:val="24"/>
    </w:rPr>
  </w:style>
  <w:style w:type="character" w:customStyle="1" w:styleId="109">
    <w:name w:val="newtxt1"/>
    <w:basedOn w:val="26"/>
    <w:qFormat/>
    <w:uiPriority w:val="0"/>
    <w:rPr>
      <w:szCs w:val="24"/>
    </w:rPr>
  </w:style>
  <w:style w:type="character" w:customStyle="1" w:styleId="110">
    <w:name w:val="批注框文本 Char"/>
    <w:basedOn w:val="26"/>
    <w:link w:val="17"/>
    <w:qFormat/>
    <w:uiPriority w:val="0"/>
    <w:rPr>
      <w:kern w:val="2"/>
      <w:sz w:val="18"/>
      <w:szCs w:val="18"/>
    </w:rPr>
  </w:style>
  <w:style w:type="character" w:customStyle="1" w:styleId="111">
    <w:name w:val="报告正文 Char Char Char Char"/>
    <w:basedOn w:val="26"/>
    <w:link w:val="4"/>
    <w:qFormat/>
    <w:uiPriority w:val="0"/>
    <w:rPr>
      <w:rFonts w:ascii="华文细黑" w:eastAsia="华文细黑" w:cs="宋体"/>
      <w:kern w:val="2"/>
      <w:sz w:val="22"/>
      <w:szCs w:val="24"/>
      <w:lang w:val="en-US" w:eastAsia="zh-CN" w:bidi="ar-SA"/>
    </w:rPr>
  </w:style>
  <w:style w:type="character" w:customStyle="1" w:styleId="112">
    <w:name w:val="fwsxcdh3sping"/>
    <w:basedOn w:val="26"/>
    <w:qFormat/>
    <w:uiPriority w:val="0"/>
    <w:rPr>
      <w:szCs w:val="24"/>
    </w:rPr>
  </w:style>
  <w:style w:type="character" w:customStyle="1" w:styleId="113">
    <w:name w:val="报告正文 Char1"/>
    <w:basedOn w:val="26"/>
    <w:link w:val="103"/>
    <w:qFormat/>
    <w:uiPriority w:val="0"/>
    <w:rPr>
      <w:rFonts w:ascii="华文细黑" w:eastAsia="华文细黑" w:cs="宋体"/>
      <w:kern w:val="2"/>
      <w:sz w:val="22"/>
      <w:szCs w:val="24"/>
      <w:lang w:val="en-US" w:eastAsia="zh-CN" w:bidi="ar-SA"/>
    </w:rPr>
  </w:style>
  <w:style w:type="character" w:customStyle="1" w:styleId="114">
    <w:name w:val="apple-converted-space"/>
    <w:basedOn w:val="26"/>
    <w:qFormat/>
    <w:uiPriority w:val="0"/>
    <w:rPr>
      <w:szCs w:val="24"/>
    </w:rPr>
  </w:style>
  <w:style w:type="character" w:customStyle="1" w:styleId="115">
    <w:name w:val="gdimgri"/>
    <w:basedOn w:val="26"/>
    <w:qFormat/>
    <w:uiPriority w:val="0"/>
    <w:rPr>
      <w:szCs w:val="24"/>
    </w:rPr>
  </w:style>
  <w:style w:type="character" w:customStyle="1" w:styleId="116">
    <w:name w:val="fwsxcddmath02"/>
    <w:basedOn w:val="26"/>
    <w:qFormat/>
    <w:uiPriority w:val="0"/>
    <w:rPr>
      <w:szCs w:val="24"/>
    </w:rPr>
  </w:style>
  <w:style w:type="character" w:customStyle="1" w:styleId="117">
    <w:name w:val="fwcdp02c"/>
    <w:basedOn w:val="26"/>
    <w:qFormat/>
    <w:uiPriority w:val="0"/>
    <w:rPr>
      <w:szCs w:val="24"/>
    </w:rPr>
  </w:style>
  <w:style w:type="character" w:customStyle="1" w:styleId="118">
    <w:name w:val="h1501"/>
    <w:basedOn w:val="26"/>
    <w:qFormat/>
    <w:uiPriority w:val="0"/>
    <w:rPr>
      <w:rFonts w:hint="default" w:ascii="ˎ̥" w:hAnsi="ˎ̥"/>
      <w:sz w:val="21"/>
      <w:szCs w:val="21"/>
    </w:rPr>
  </w:style>
  <w:style w:type="character" w:customStyle="1" w:styleId="119">
    <w:name w:val="fwcdp02ahov"/>
    <w:basedOn w:val="26"/>
    <w:qFormat/>
    <w:uiPriority w:val="0"/>
    <w:rPr>
      <w:color w:val="C60003"/>
      <w:szCs w:val="24"/>
    </w:rPr>
  </w:style>
  <w:style w:type="character" w:customStyle="1" w:styleId="120">
    <w:name w:val="gdimgle"/>
    <w:basedOn w:val="26"/>
    <w:qFormat/>
    <w:uiPriority w:val="0"/>
    <w:rPr>
      <w:szCs w:val="24"/>
    </w:rPr>
  </w:style>
  <w:style w:type="character" w:customStyle="1" w:styleId="121">
    <w:name w:val="fdpfyhov"/>
    <w:basedOn w:val="26"/>
    <w:qFormat/>
    <w:uiPriority w:val="0"/>
    <w:rPr>
      <w:color w:val="000000"/>
      <w:szCs w:val="24"/>
      <w:shd w:val="clear" w:color="auto" w:fill="F9DF88"/>
    </w:rPr>
  </w:style>
  <w:style w:type="character" w:customStyle="1" w:styleId="122">
    <w:name w:val="纯文本 Char"/>
    <w:basedOn w:val="26"/>
    <w:link w:val="14"/>
    <w:qFormat/>
    <w:uiPriority w:val="0"/>
    <w:rPr>
      <w:rFonts w:ascii="宋体" w:hAnsi="Courier New" w:eastAsia="宋体"/>
      <w:kern w:val="2"/>
      <w:sz w:val="21"/>
      <w:szCs w:val="24"/>
      <w:lang w:val="en-US" w:eastAsia="zh-CN" w:bidi="ar-SA"/>
    </w:rPr>
  </w:style>
  <w:style w:type="character" w:customStyle="1" w:styleId="123">
    <w:name w:val="fwcdp02b"/>
    <w:basedOn w:val="26"/>
    <w:qFormat/>
    <w:uiPriority w:val="0"/>
    <w:rPr>
      <w:szCs w:val="24"/>
    </w:rPr>
  </w:style>
  <w:style w:type="character" w:customStyle="1" w:styleId="124">
    <w:name w:val="zxtime"/>
    <w:basedOn w:val="26"/>
    <w:qFormat/>
    <w:uiPriority w:val="0"/>
    <w:rPr>
      <w:color w:val="969696"/>
      <w:sz w:val="18"/>
      <w:szCs w:val="18"/>
    </w:rPr>
  </w:style>
  <w:style w:type="character" w:customStyle="1" w:styleId="125">
    <w:name w:val="bsharetext"/>
    <w:basedOn w:val="26"/>
    <w:qFormat/>
    <w:uiPriority w:val="0"/>
  </w:style>
  <w:style w:type="character" w:customStyle="1" w:styleId="126">
    <w:name w:val="topc1_2"/>
    <w:basedOn w:val="26"/>
    <w:qFormat/>
    <w:uiPriority w:val="0"/>
    <w:rPr>
      <w:rFonts w:ascii="黑体" w:hAnsi="宋体" w:eastAsia="黑体" w:cs="黑体"/>
      <w:color w:val="FA3902"/>
      <w:sz w:val="24"/>
      <w:szCs w:val="24"/>
    </w:rPr>
  </w:style>
  <w:style w:type="character" w:customStyle="1" w:styleId="127">
    <w:name w:val="toptit"/>
    <w:basedOn w:val="26"/>
    <w:qFormat/>
    <w:uiPriority w:val="0"/>
  </w:style>
  <w:style w:type="character" w:customStyle="1" w:styleId="128">
    <w:name w:val="toptit1"/>
    <w:basedOn w:val="26"/>
    <w:qFormat/>
    <w:uiPriority w:val="0"/>
    <w:rPr>
      <w:sz w:val="24"/>
      <w:szCs w:val="24"/>
    </w:rPr>
  </w:style>
  <w:style w:type="character" w:customStyle="1" w:styleId="129">
    <w:name w:val="topc0"/>
    <w:basedOn w:val="26"/>
    <w:qFormat/>
    <w:uiPriority w:val="0"/>
    <w:rPr>
      <w:rFonts w:ascii="微软雅黑" w:hAnsi="微软雅黑" w:eastAsia="微软雅黑" w:cs="微软雅黑"/>
      <w:b w:val="0"/>
      <w:color w:val="737373"/>
      <w:sz w:val="22"/>
      <w:szCs w:val="22"/>
    </w:rPr>
  </w:style>
  <w:style w:type="character" w:customStyle="1" w:styleId="130">
    <w:name w:val="topc1"/>
    <w:basedOn w:val="26"/>
    <w:qFormat/>
    <w:uiPriority w:val="0"/>
    <w:rPr>
      <w:rFonts w:hint="eastAsia" w:ascii="微软雅黑" w:hAnsi="微软雅黑" w:eastAsia="微软雅黑" w:cs="微软雅黑"/>
      <w:color w:val="FFFFFF"/>
      <w:spacing w:val="11"/>
      <w:sz w:val="22"/>
      <w:szCs w:val="22"/>
      <w:shd w:val="clear" w:fill="E74A05"/>
    </w:rPr>
  </w:style>
  <w:style w:type="character" w:customStyle="1" w:styleId="131">
    <w:name w:val="topc11"/>
    <w:basedOn w:val="26"/>
    <w:qFormat/>
    <w:uiPriority w:val="0"/>
    <w:rPr>
      <w:rFonts w:hint="eastAsia" w:ascii="黑体" w:hAnsi="宋体" w:eastAsia="黑体" w:cs="黑体"/>
      <w:color w:val="FA3902"/>
      <w:sz w:val="24"/>
      <w:szCs w:val="24"/>
    </w:rPr>
  </w:style>
  <w:style w:type="character" w:customStyle="1" w:styleId="132">
    <w:name w:val="topc1_3"/>
    <w:basedOn w:val="26"/>
    <w:qFormat/>
    <w:uiPriority w:val="0"/>
    <w:rPr>
      <w:color w:val="B80002"/>
      <w:spacing w:val="11"/>
      <w:sz w:val="21"/>
      <w:szCs w:val="21"/>
      <w:bdr w:val="single" w:color="0A8DD3" w:sz="6" w:space="0"/>
      <w:shd w:val="clear" w:fill="FFFFFF"/>
    </w:rPr>
  </w:style>
  <w:style w:type="character" w:customStyle="1" w:styleId="133">
    <w:name w:val="toptit_3"/>
    <w:basedOn w:val="26"/>
    <w:qFormat/>
    <w:uiPriority w:val="0"/>
  </w:style>
  <w:style w:type="character" w:customStyle="1" w:styleId="134">
    <w:name w:val="topc0_3"/>
    <w:basedOn w:val="26"/>
    <w:qFormat/>
    <w:uiPriority w:val="0"/>
    <w:rPr>
      <w:color w:val="000000"/>
      <w:sz w:val="21"/>
      <w:szCs w:val="21"/>
    </w:rPr>
  </w:style>
  <w:style w:type="character" w:customStyle="1" w:styleId="135">
    <w:name w:val="topc0_normal"/>
    <w:basedOn w:val="26"/>
    <w:qFormat/>
    <w:uiPriority w:val="0"/>
    <w:rPr>
      <w:rFonts w:hint="eastAsia" w:ascii="黑体" w:hAnsi="宋体" w:eastAsia="黑体" w:cs="黑体"/>
      <w:color w:val="939192"/>
      <w:sz w:val="24"/>
      <w:szCs w:val="24"/>
    </w:rPr>
  </w:style>
  <w:style w:type="character" w:customStyle="1" w:styleId="136">
    <w:name w:val="toptit_normal"/>
    <w:basedOn w:val="26"/>
    <w:qFormat/>
    <w:uiPriority w:val="0"/>
  </w:style>
  <w:style w:type="character" w:customStyle="1" w:styleId="137">
    <w:name w:val="topc1_normal"/>
    <w:basedOn w:val="26"/>
    <w:qFormat/>
    <w:uiPriority w:val="0"/>
    <w:rPr>
      <w:rFonts w:hint="eastAsia" w:ascii="黑体" w:hAnsi="宋体" w:eastAsia="黑体" w:cs="黑体"/>
      <w:color w:val="FA3902"/>
      <w:sz w:val="24"/>
      <w:szCs w:val="24"/>
    </w:rPr>
  </w:style>
  <w:style w:type="character" w:customStyle="1" w:styleId="138">
    <w:name w:val="topc0_2"/>
    <w:basedOn w:val="26"/>
    <w:qFormat/>
    <w:uiPriority w:val="0"/>
    <w:rPr>
      <w:rFonts w:hint="eastAsia" w:ascii="黑体" w:hAnsi="宋体" w:eastAsia="黑体" w:cs="黑体"/>
      <w:color w:val="939192"/>
      <w:sz w:val="24"/>
      <w:szCs w:val="24"/>
    </w:rPr>
  </w:style>
  <w:style w:type="character" w:customStyle="1" w:styleId="139">
    <w:name w:val="toptit_2"/>
    <w:basedOn w:val="26"/>
    <w:qFormat/>
    <w:uiPriority w:val="0"/>
  </w:style>
  <w:style w:type="character" w:customStyle="1" w:styleId="140">
    <w:name w:val="toptit_top"/>
    <w:basedOn w:val="26"/>
    <w:qFormat/>
    <w:uiPriority w:val="0"/>
  </w:style>
  <w:style w:type="character" w:customStyle="1" w:styleId="141">
    <w:name w:val="topc0_top"/>
    <w:basedOn w:val="26"/>
    <w:qFormat/>
    <w:uiPriority w:val="0"/>
    <w:rPr>
      <w:rFonts w:hint="eastAsia" w:ascii="黑体" w:hAnsi="宋体" w:eastAsia="黑体" w:cs="黑体"/>
      <w:color w:val="939192"/>
      <w:sz w:val="27"/>
      <w:szCs w:val="27"/>
    </w:rPr>
  </w:style>
  <w:style w:type="character" w:customStyle="1" w:styleId="142">
    <w:name w:val="topc1_top"/>
    <w:basedOn w:val="26"/>
    <w:qFormat/>
    <w:uiPriority w:val="0"/>
    <w:rPr>
      <w:rFonts w:hint="eastAsia" w:ascii="黑体" w:hAnsi="宋体" w:eastAsia="黑体" w:cs="黑体"/>
      <w:color w:val="FA3902"/>
      <w:sz w:val="27"/>
      <w:szCs w:val="27"/>
    </w:rPr>
  </w:style>
  <w:style w:type="character" w:customStyle="1" w:styleId="143">
    <w:name w:val="topc07"/>
    <w:basedOn w:val="26"/>
    <w:qFormat/>
    <w:uiPriority w:val="0"/>
    <w:rPr>
      <w:rFonts w:ascii="微软雅黑" w:hAnsi="微软雅黑" w:eastAsia="微软雅黑" w:cs="微软雅黑"/>
      <w:b w:val="0"/>
      <w:color w:val="737373"/>
      <w:sz w:val="22"/>
      <w:szCs w:val="22"/>
    </w:rPr>
  </w:style>
  <w:style w:type="character" w:customStyle="1" w:styleId="144">
    <w:name w:val="topc17"/>
    <w:basedOn w:val="26"/>
    <w:qFormat/>
    <w:uiPriority w:val="0"/>
    <w:rPr>
      <w:rFonts w:hint="eastAsia" w:ascii="微软雅黑" w:hAnsi="微软雅黑" w:eastAsia="微软雅黑" w:cs="微软雅黑"/>
      <w:color w:val="FFFFFF"/>
      <w:spacing w:val="11"/>
      <w:sz w:val="22"/>
      <w:szCs w:val="22"/>
      <w:shd w:val="clear" w:fill="E74A05"/>
    </w:rPr>
  </w:style>
  <w:style w:type="character" w:customStyle="1" w:styleId="145">
    <w:name w:val="topc18"/>
    <w:basedOn w:val="26"/>
    <w:qFormat/>
    <w:uiPriority w:val="0"/>
    <w:rPr>
      <w:rFonts w:ascii="黑体" w:hAnsi="宋体" w:eastAsia="黑体" w:cs="黑体"/>
      <w:color w:val="FA3902"/>
      <w:sz w:val="24"/>
      <w:szCs w:val="24"/>
    </w:rPr>
  </w:style>
  <w:style w:type="character" w:customStyle="1" w:styleId="146">
    <w:name w:val="toptit_32"/>
    <w:basedOn w:val="26"/>
    <w:qFormat/>
    <w:uiPriority w:val="0"/>
  </w:style>
  <w:style w:type="character" w:customStyle="1" w:styleId="147">
    <w:name w:val="font21"/>
    <w:basedOn w:val="26"/>
    <w:qFormat/>
    <w:uiPriority w:val="0"/>
    <w:rPr>
      <w:rFonts w:hint="default" w:ascii="仿宋_GB2312" w:eastAsia="仿宋_GB2312" w:cs="仿宋_GB2312"/>
      <w:color w:val="000000"/>
      <w:sz w:val="21"/>
      <w:szCs w:val="21"/>
      <w:u w:val="none"/>
    </w:rPr>
  </w:style>
  <w:style w:type="character" w:customStyle="1" w:styleId="148">
    <w:name w:val="font01"/>
    <w:basedOn w:val="26"/>
    <w:qFormat/>
    <w:uiPriority w:val="0"/>
    <w:rPr>
      <w:rFonts w:hint="eastAsia" w:ascii="宋体" w:hAnsi="宋体" w:eastAsia="宋体" w:cs="宋体"/>
      <w:color w:val="000000"/>
      <w:sz w:val="21"/>
      <w:szCs w:val="21"/>
      <w:u w:val="none"/>
    </w:rPr>
  </w:style>
  <w:style w:type="character" w:customStyle="1" w:styleId="149">
    <w:name w:val="span1"/>
    <w:basedOn w:val="26"/>
    <w:qFormat/>
    <w:uiPriority w:val="0"/>
    <w:rPr>
      <w:color w:val="1C1C1C"/>
      <w:sz w:val="21"/>
      <w:szCs w:val="21"/>
    </w:rPr>
  </w:style>
  <w:style w:type="character" w:customStyle="1" w:styleId="150">
    <w:name w:val="font31"/>
    <w:basedOn w:val="26"/>
    <w:qFormat/>
    <w:uiPriority w:val="0"/>
    <w:rPr>
      <w:rFonts w:hint="default" w:ascii="仿宋_GB2312" w:eastAsia="仿宋_GB2312" w:cs="仿宋_GB2312"/>
      <w:color w:val="000000"/>
      <w:sz w:val="21"/>
      <w:szCs w:val="21"/>
      <w:u w:val="none"/>
    </w:rPr>
  </w:style>
  <w:style w:type="character" w:customStyle="1" w:styleId="151">
    <w:name w:val="font41"/>
    <w:basedOn w:val="26"/>
    <w:qFormat/>
    <w:uiPriority w:val="0"/>
    <w:rPr>
      <w:rFonts w:hint="eastAsia" w:ascii="宋体" w:hAnsi="宋体" w:eastAsia="宋体" w:cs="宋体"/>
      <w:color w:val="000000"/>
      <w:sz w:val="21"/>
      <w:szCs w:val="21"/>
      <w:u w:val="none"/>
    </w:rPr>
  </w:style>
  <w:style w:type="character" w:customStyle="1" w:styleId="152">
    <w:name w:val="font11"/>
    <w:basedOn w:val="26"/>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35</Pages>
  <Words>16580</Words>
  <Characters>18630</Characters>
  <Lines>124</Lines>
  <Paragraphs>35</Paragraphs>
  <TotalTime>9</TotalTime>
  <ScaleCrop>false</ScaleCrop>
  <LinksUpToDate>false</LinksUpToDate>
  <CharactersWithSpaces>18950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2016-10-10T07:33:00Z</dcterms:created>
  <dc:creator>PC</dc:creator>
  <cp:lastModifiedBy>Administrator</cp:lastModifiedBy>
  <cp:lastPrinted>2019-08-23T07:24:00Z</cp:lastPrinted>
  <dcterms:modified xsi:type="dcterms:W3CDTF">2022-08-01T07:48:13Z</dcterms:modified>
  <dc:title>房地产估价报告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1069C71BD93A48BD9B8BEF16F224C936</vt:lpwstr>
  </property>
  <property fmtid="{D5CDD505-2E9C-101B-9397-08002B2CF9AE}" pid="4" name="commondata">
    <vt:lpwstr>eyJoZGlkIjoiZmEwYzc4MTFiZTBhMWU0ZDViODM1YWYzMWY1ZjEzZWQifQ==</vt:lpwstr>
  </property>
</Properties>
</file>