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hint="eastAsia" w:ascii="仿宋_GB2312"/>
          <w:sz w:val="44"/>
          <w:szCs w:val="44"/>
        </w:rPr>
      </w:pPr>
      <w:r>
        <w:rPr>
          <w:rFonts w:hint="eastAsia" w:ascii="仿宋_GB2312"/>
          <w:sz w:val="44"/>
          <w:szCs w:val="44"/>
        </w:rPr>
        <w:t>广东省阳春市人民法院</w:t>
      </w:r>
    </w:p>
    <w:p>
      <w:pPr>
        <w:spacing w:line="640" w:lineRule="exact"/>
        <w:jc w:val="center"/>
        <w:rPr>
          <w:rFonts w:hint="eastAsia" w:ascii="仿宋_GB2312" w:hAnsi="华文中宋"/>
          <w:szCs w:val="32"/>
        </w:rPr>
      </w:pPr>
      <w:r>
        <w:rPr>
          <w:rFonts w:hint="eastAsia" w:ascii="华文中宋" w:hAnsi="华文中宋" w:eastAsia="华文中宋"/>
          <w:sz w:val="48"/>
          <w:szCs w:val="48"/>
        </w:rPr>
        <w:t>执行裁定书</w:t>
      </w:r>
      <w:r>
        <w:rPr>
          <w:rFonts w:hint="eastAsia" w:ascii="仿宋_GB2312" w:hAnsi="华文中宋"/>
          <w:szCs w:val="32"/>
        </w:rPr>
        <w:t>　</w:t>
      </w:r>
    </w:p>
    <w:p>
      <w:pPr>
        <w:spacing w:line="640" w:lineRule="exact"/>
        <w:jc w:val="center"/>
        <w:rPr>
          <w:rFonts w:hint="eastAsia" w:ascii="仿宋_GB2312" w:hAnsi="华文中宋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（202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）粤1781执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2459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号之三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申请执行人：韦东玮，男，1963年12月16日出生，汉族，广东省阳春市人。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被执行人：黄琮铸，男，1954年11月12日出生，汉族，广东省阳春市人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</w:rPr>
        <w:t>本院在执行申请执行人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韦东玮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与被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执行人黄琮铸民间借贷纠纷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一案过程中，依据已发生法律效力的本院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（2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020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）粤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1781民特18号</w:t>
      </w:r>
      <w:r>
        <w:rPr>
          <w:rFonts w:hint="eastAsia" w:ascii="仿宋_GB2312" w:eastAsia="仿宋_GB2312"/>
          <w:color w:val="000000"/>
          <w:sz w:val="32"/>
        </w:rPr>
        <w:t>民事</w:t>
      </w:r>
      <w:r>
        <w:rPr>
          <w:rFonts w:hint="eastAsia" w:ascii="仿宋_GB2312" w:eastAsia="仿宋_GB2312"/>
          <w:color w:val="000000"/>
          <w:sz w:val="32"/>
          <w:lang w:eastAsia="zh-CN"/>
        </w:rPr>
        <w:t>判决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，向被执行人发出执行通知书，责令被执行人履行生效法律文书确定的义务，但被执行人至今未履行生效法律文书确定的义务。本院于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202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23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日作出（202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）粤1781执2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459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号之二执行裁定书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裁定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查封登记在被执行人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黄琮铸前妻黄少娜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名下位于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阳春市春城街道教育街九巷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8号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的房地产</w:t>
      </w:r>
      <w:r>
        <w:rPr>
          <w:rFonts w:hint="eastAsia" w:ascii="仿宋_GB2312" w:eastAsia="仿宋_GB2312"/>
          <w:color w:val="000000"/>
          <w:sz w:val="32"/>
        </w:rPr>
        <w:t>【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产权证号：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粤（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2021）阳春市不动产权第0012950号</w:t>
      </w:r>
      <w:r>
        <w:rPr>
          <w:rFonts w:hint="eastAsia" w:ascii="仿宋_GB2312" w:eastAsia="仿宋_GB2312"/>
          <w:color w:val="000000"/>
          <w:sz w:val="32"/>
        </w:rPr>
        <w:t>】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。依照《中华人民共和国民事诉讼法》第二百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五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十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一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条、第二百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五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十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四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条规定，裁定如下：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</w:rPr>
        <w:t>拍卖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黄少娜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名下位于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阳春市春城街道教育街九巷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8号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的房地产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【产权证号：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粤（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2021）阳春市不动产权第0012950号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】。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</w:rPr>
        <w:t>本裁定送达后立即生效。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</w:p>
    <w:p>
      <w:pPr>
        <w:pStyle w:val="2"/>
        <w:widowControl w:val="0"/>
        <w:wordWrap/>
        <w:adjustRightInd/>
        <w:snapToGrid/>
        <w:spacing w:before="0" w:after="0" w:line="600" w:lineRule="exact"/>
        <w:ind w:left="0" w:leftChars="0" w:right="0" w:firstLine="4320" w:firstLineChars="1350"/>
        <w:textAlignment w:val="auto"/>
        <w:outlineLvl w:val="9"/>
        <w:rPr>
          <w:rFonts w:hint="eastAsia"/>
        </w:rPr>
      </w:pPr>
      <w:r>
        <w:rPr>
          <w:rFonts w:hint="eastAsia"/>
        </w:rPr>
        <w:t>审  判  长   黄  祖  健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4320" w:firstLineChars="135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  判  员   谭  显  通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4320" w:firstLineChars="135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审  判  员   </w:t>
      </w:r>
      <w:r>
        <w:rPr>
          <w:rFonts w:hint="eastAsia" w:ascii="仿宋_GB2312" w:eastAsia="仿宋_GB2312"/>
          <w:sz w:val="32"/>
          <w:lang w:eastAsia="zh-CN"/>
        </w:rPr>
        <w:t>吴</w:t>
      </w:r>
      <w:r>
        <w:rPr>
          <w:rFonts w:hint="eastAsia" w:ascii="仿宋_GB2312" w:eastAsia="仿宋_GB2312"/>
          <w:sz w:val="32"/>
          <w:lang w:val="en-US" w:eastAsia="zh-CN"/>
        </w:rPr>
        <w:t xml:space="preserve">  勇  强</w:t>
      </w: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lang w:eastAsia="zh-CN"/>
        </w:rPr>
        <w:t>二〇二二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七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eastAsia="zh-CN"/>
        </w:rPr>
        <w:t>二十五</w:t>
      </w:r>
      <w:r>
        <w:rPr>
          <w:rFonts w:hint="eastAsia" w:ascii="仿宋_GB2312" w:eastAsia="仿宋_GB2312"/>
          <w:sz w:val="32"/>
        </w:rPr>
        <w:t>日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eastAsia="zh-CN"/>
        </w:rPr>
        <w:t>本件与原本核对无异</w:t>
      </w:r>
    </w:p>
    <w:p>
      <w:pPr>
        <w:pStyle w:val="2"/>
        <w:widowControl w:val="0"/>
        <w:tabs>
          <w:tab w:val="left" w:pos="4320"/>
          <w:tab w:val="left" w:pos="8100"/>
        </w:tabs>
        <w:wordWrap/>
        <w:adjustRightInd/>
        <w:snapToGrid/>
        <w:spacing w:before="0" w:after="0" w:line="600" w:lineRule="exact"/>
        <w:ind w:left="101" w:leftChars="48" w:right="0" w:firstLine="4160" w:firstLineChars="130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书  记  员   </w:t>
      </w:r>
      <w:r>
        <w:rPr>
          <w:rFonts w:hint="eastAsia"/>
          <w:lang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怡</w:t>
      </w:r>
    </w:p>
    <w:p/>
    <w:sectPr>
      <w:footerReference r:id="rId4" w:type="default"/>
      <w:footerReference r:id="rId5" w:type="even"/>
      <w:pgSz w:w="11906" w:h="16838"/>
      <w:pgMar w:top="1814" w:right="1474" w:bottom="1757" w:left="147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¿¬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1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新宋体-18030">
    <w:altName w:val="宋体"/>
    <w:panose1 w:val="02010609060101010101"/>
    <w:charset w:val="86"/>
    <w:family w:val="modern"/>
    <w:pitch w:val="default"/>
    <w:sig w:usb0="800022A7" w:usb1="880F3C78" w:usb2="0000005E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Vijay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等线">
    <w:altName w:val="宋体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方正书宋_GBK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1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ddenHorzOCl">
    <w:altName w:val="Arial Unicode MS"/>
    <w:panose1 w:val="00000000000000000000"/>
    <w:charset w:val="86"/>
    <w:family w:val="swiss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rPr>
        <w:rFonts w:hint="eastAsia"/>
      </w:rPr>
    </w:pPr>
    <w:r>
      <w:rPr>
        <w:rFonts w:hint="eastAsia"/>
      </w:rPr>
      <w:t xml:space="preserve">    </w:t>
    </w:r>
  </w:p>
  <w:p>
    <w:pPr>
      <w:pStyle w:val="3"/>
      <w:rPr>
        <w:rFonts w:hint="eastAsia"/>
      </w:rPr>
    </w:pP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7">
    <w:name w:val="page number"/>
    <w:basedOn w:val="5"/>
    <w:uiPriority w:val="0"/>
    <w:rPr>
      <w:rFonts w:hint="default" w:ascii="Times New Roman"/>
    </w:rPr>
  </w:style>
  <w:style w:type="paragraph" w:customStyle="1" w:styleId="8">
    <w:name w:val="默认段落字体 Para Char Char Char Char Char Char Char"/>
    <w:basedOn w:val="1"/>
    <w:uiPriority w:val="0"/>
    <w:rPr>
      <w:szCs w:val="20"/>
    </w:rPr>
  </w:style>
  <w:style w:type="paragraph" w:customStyle="1" w:styleId="9">
    <w:name w:val="默认段落字体 Para Char"/>
    <w:basedOn w:val="1"/>
    <w:uiPriority w:val="0"/>
    <w:pPr>
      <w:snapToGrid w:val="0"/>
    </w:pPr>
    <w:rPr>
      <w:rFonts w:asci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816</Characters>
  <Lines>6</Lines>
  <Paragraphs>1</Paragraphs>
  <ScaleCrop>false</ScaleCrop>
  <LinksUpToDate>false</LinksUpToDate>
  <CharactersWithSpaces>958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2020-09-17T01:34:00Z</dcterms:created>
  <dc:creator>admin</dc:creator>
  <cp:lastModifiedBy>Administrator</cp:lastModifiedBy>
  <cp:lastPrinted>2022-07-20T03:39:14Z</cp:lastPrinted>
  <dcterms:modified xsi:type="dcterms:W3CDTF">2022-11-07T01:01:44Z</dcterms:modified>
  <dc:title>阳春市人民法院裁判文书签发文稿纸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