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1"/>
        <w:rPr>
          <w:rFonts w:asciiTheme="majorEastAsia" w:hAnsiTheme="majorEastAsia" w:eastAsiaTheme="majorEastAsia" w:cstheme="majorEastAsia"/>
          <w:color w:val="000000" w:themeColor="text1"/>
          <w:highlight w:val="none"/>
          <w:lang w:eastAsia="zh-CN"/>
          <w14:textFill>
            <w14:solidFill>
              <w14:schemeClr w14:val="tx1"/>
            </w14:solidFill>
          </w14:textFill>
        </w:rPr>
      </w:pPr>
      <w:r>
        <w:rPr>
          <w:rFonts w:hint="eastAsia" w:asciiTheme="majorEastAsia" w:hAnsiTheme="majorEastAsia" w:eastAsiaTheme="majorEastAsia" w:cstheme="majorEastAsia"/>
          <w:color w:val="000000" w:themeColor="text1"/>
          <w:w w:val="95"/>
          <w:highlight w:val="none"/>
          <w:lang w:eastAsia="zh-CN"/>
          <w14:textFill>
            <w14:solidFill>
              <w14:schemeClr w14:val="tx1"/>
            </w14:solidFill>
          </w14:textFill>
        </w:rPr>
        <w:t>本报告依据中国资产评估准则编制</w:t>
      </w:r>
    </w:p>
    <w:p>
      <w:pPr>
        <w:pStyle w:val="5"/>
        <w:spacing w:before="202"/>
        <w:rPr>
          <w:rFonts w:asciiTheme="majorEastAsia" w:hAnsiTheme="majorEastAsia" w:eastAsiaTheme="majorEastAsia" w:cstheme="majorEastAsia"/>
          <w:color w:val="000000" w:themeColor="text1"/>
          <w:highlight w:val="none"/>
          <w:lang w:eastAsia="zh-CN"/>
          <w14:textFill>
            <w14:solidFill>
              <w14:schemeClr w14:val="tx1"/>
            </w14:solidFill>
          </w14:textFill>
        </w:rPr>
      </w:pPr>
      <w:r>
        <w:rPr>
          <w:rFonts w:hint="eastAsia" w:asciiTheme="majorEastAsia" w:hAnsiTheme="majorEastAsia" w:eastAsiaTheme="majorEastAsia" w:cstheme="majorEastAsia"/>
          <w:color w:val="000000" w:themeColor="text1"/>
          <w:w w:val="95"/>
          <w:highlight w:val="none"/>
          <w:lang w:eastAsia="zh-CN"/>
          <w14:textFill>
            <w14:solidFill>
              <w14:schemeClr w14:val="tx1"/>
            </w14:solidFill>
          </w14:textFill>
        </w:rPr>
        <w:t>人民法院委托司法拟执行财产处置参考价目的资产评估报告</w:t>
      </w:r>
    </w:p>
    <w:p>
      <w:pPr>
        <w:pStyle w:val="5"/>
        <w:tabs>
          <w:tab w:val="left" w:pos="660"/>
        </w:tabs>
        <w:rPr>
          <w:rFonts w:ascii="Microsoft JhengHei"/>
          <w:b/>
          <w:color w:val="000000" w:themeColor="text1"/>
          <w:highlight w:val="none"/>
          <w:lang w:eastAsia="zh-CN"/>
          <w14:textFill>
            <w14:solidFill>
              <w14:schemeClr w14:val="tx1"/>
            </w14:solidFill>
          </w14:textFill>
        </w:rPr>
      </w:pPr>
    </w:p>
    <w:p>
      <w:pPr>
        <w:pStyle w:val="5"/>
        <w:tabs>
          <w:tab w:val="left" w:pos="660"/>
        </w:tabs>
        <w:rPr>
          <w:rFonts w:ascii="Microsoft JhengHei"/>
          <w:b/>
          <w:color w:val="000000" w:themeColor="text1"/>
          <w:highlight w:val="none"/>
          <w:lang w:eastAsia="zh-CN"/>
          <w14:textFill>
            <w14:solidFill>
              <w14:schemeClr w14:val="tx1"/>
            </w14:solidFill>
          </w14:textFill>
        </w:rPr>
      </w:pPr>
    </w:p>
    <w:p>
      <w:pPr>
        <w:pStyle w:val="5"/>
        <w:tabs>
          <w:tab w:val="left" w:pos="660"/>
        </w:tabs>
        <w:spacing w:before="3"/>
        <w:rPr>
          <w:rFonts w:ascii="Microsoft JhengHei"/>
          <w:b/>
          <w:color w:val="000000" w:themeColor="text1"/>
          <w:sz w:val="23"/>
          <w:highlight w:val="none"/>
          <w:lang w:eastAsia="zh-CN"/>
          <w14:textFill>
            <w14:solidFill>
              <w14:schemeClr w14:val="tx1"/>
            </w14:solidFill>
          </w14:textFill>
        </w:rPr>
      </w:pPr>
    </w:p>
    <w:p>
      <w:pPr>
        <w:jc w:val="center"/>
        <w:rPr>
          <w:rFonts w:hint="eastAsia"/>
          <w:color w:val="000000" w:themeColor="text1"/>
          <w:sz w:val="36"/>
          <w:szCs w:val="36"/>
          <w:lang w:val="en-US" w:eastAsia="zh-CN"/>
          <w14:textFill>
            <w14:solidFill>
              <w14:schemeClr w14:val="tx1"/>
            </w14:solidFill>
          </w14:textFill>
        </w:rPr>
      </w:pPr>
      <w:bookmarkStart w:id="0" w:name="_Hlk39764115"/>
      <w:r>
        <w:rPr>
          <w:rFonts w:hint="eastAsia"/>
          <w:color w:val="000000" w:themeColor="text1"/>
          <w:sz w:val="36"/>
          <w:szCs w:val="36"/>
          <w:lang w:val="en-US" w:eastAsia="zh-CN"/>
          <w14:textFill>
            <w14:solidFill>
              <w14:schemeClr w14:val="tx1"/>
            </w14:solidFill>
          </w14:textFill>
        </w:rPr>
        <w:t>寿光市</w:t>
      </w:r>
      <w:r>
        <w:rPr>
          <w:rFonts w:hint="eastAsia"/>
          <w:color w:val="000000" w:themeColor="text1"/>
          <w:sz w:val="36"/>
          <w:szCs w:val="36"/>
          <w:lang w:eastAsia="zh-CN"/>
          <w14:textFill>
            <w14:solidFill>
              <w14:schemeClr w14:val="tx1"/>
            </w14:solidFill>
          </w14:textFill>
        </w:rPr>
        <w:t>人民法院拟执行</w:t>
      </w:r>
      <w:bookmarkEnd w:id="0"/>
      <w:r>
        <w:rPr>
          <w:rFonts w:hint="eastAsia"/>
          <w:color w:val="000000" w:themeColor="text1"/>
          <w:sz w:val="36"/>
          <w:szCs w:val="36"/>
          <w:lang w:val="en-US" w:eastAsia="zh-CN"/>
          <w14:textFill>
            <w14:solidFill>
              <w14:schemeClr w14:val="tx1"/>
            </w14:solidFill>
          </w14:textFill>
        </w:rPr>
        <w:t>姜国贤与陈洪明借款合同纠纷一案中涉及的固定资产-房屋建筑物的价值</w:t>
      </w:r>
    </w:p>
    <w:p>
      <w:pPr>
        <w:jc w:val="center"/>
        <w:rPr>
          <w:rFonts w:hint="eastAsia"/>
          <w:color w:val="000000" w:themeColor="text1"/>
          <w:sz w:val="36"/>
          <w:szCs w:val="36"/>
          <w:lang w:eastAsia="zh-CN"/>
          <w14:textFill>
            <w14:solidFill>
              <w14:schemeClr w14:val="tx1"/>
            </w14:solidFill>
          </w14:textFill>
        </w:rPr>
      </w:pPr>
      <w:r>
        <w:rPr>
          <w:rFonts w:hint="eastAsia"/>
          <w:color w:val="000000" w:themeColor="text1"/>
          <w:sz w:val="36"/>
          <w:szCs w:val="36"/>
          <w:lang w:eastAsia="zh-CN"/>
          <w14:textFill>
            <w14:solidFill>
              <w14:schemeClr w14:val="tx1"/>
            </w14:solidFill>
          </w14:textFill>
        </w:rPr>
        <w:t>资产评估报告</w:t>
      </w:r>
    </w:p>
    <w:p>
      <w:pPr>
        <w:pStyle w:val="5"/>
        <w:tabs>
          <w:tab w:val="left" w:pos="660"/>
        </w:tabs>
        <w:spacing w:before="27"/>
        <w:ind w:left="391" w:right="2066"/>
        <w:jc w:val="center"/>
        <w:rPr>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lang w:eastAsia="zh-CN"/>
          <w14:textFill>
            <w14:solidFill>
              <w14:schemeClr w14:val="tx1"/>
            </w14:solidFill>
          </w14:textFill>
        </w:rPr>
        <w:t>寿圣诚评报字(2021)第00</w:t>
      </w:r>
      <w:r>
        <w:rPr>
          <w:rFonts w:hint="eastAsia"/>
          <w:color w:val="000000" w:themeColor="text1"/>
          <w:highlight w:val="none"/>
          <w:lang w:val="en-US" w:eastAsia="zh-CN"/>
          <w14:textFill>
            <w14:solidFill>
              <w14:schemeClr w14:val="tx1"/>
            </w14:solidFill>
          </w14:textFill>
        </w:rPr>
        <w:t>9</w:t>
      </w:r>
      <w:r>
        <w:rPr>
          <w:rFonts w:hint="eastAsia"/>
          <w:color w:val="000000" w:themeColor="text1"/>
          <w:highlight w:val="none"/>
          <w:lang w:eastAsia="zh-CN"/>
          <w14:textFill>
            <w14:solidFill>
              <w14:schemeClr w14:val="tx1"/>
            </w14:solidFill>
          </w14:textFill>
        </w:rPr>
        <w:t>号</w:t>
      </w:r>
    </w:p>
    <w:p>
      <w:pPr>
        <w:pStyle w:val="5"/>
        <w:tabs>
          <w:tab w:val="left" w:pos="660"/>
        </w:tabs>
        <w:spacing w:before="87"/>
        <w:ind w:left="391" w:right="2069"/>
        <w:jc w:val="center"/>
        <w:rPr>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           </w:t>
      </w:r>
      <w:r>
        <w:rPr>
          <w:color w:val="000000" w:themeColor="text1"/>
          <w:highlight w:val="none"/>
          <w:lang w:eastAsia="zh-CN"/>
          <w14:textFill>
            <w14:solidFill>
              <w14:schemeClr w14:val="tx1"/>
            </w14:solidFill>
          </w14:textFill>
        </w:rPr>
        <w:t>（共一册，第一册）</w:t>
      </w:r>
    </w:p>
    <w:p>
      <w:pPr>
        <w:pStyle w:val="5"/>
        <w:tabs>
          <w:tab w:val="left" w:pos="660"/>
        </w:tabs>
        <w:rPr>
          <w:color w:val="000000" w:themeColor="text1"/>
          <w:highlight w:val="none"/>
          <w:lang w:eastAsia="zh-CN"/>
          <w14:textFill>
            <w14:solidFill>
              <w14:schemeClr w14:val="tx1"/>
            </w14:solidFill>
          </w14:textFill>
        </w:rPr>
      </w:pPr>
    </w:p>
    <w:p>
      <w:pPr>
        <w:pStyle w:val="5"/>
        <w:tabs>
          <w:tab w:val="left" w:pos="660"/>
        </w:tabs>
        <w:rPr>
          <w:color w:val="000000" w:themeColor="text1"/>
          <w:highlight w:val="none"/>
          <w:lang w:eastAsia="zh-CN"/>
          <w14:textFill>
            <w14:solidFill>
              <w14:schemeClr w14:val="tx1"/>
            </w14:solidFill>
          </w14:textFill>
        </w:rPr>
      </w:pPr>
    </w:p>
    <w:p>
      <w:pPr>
        <w:pStyle w:val="5"/>
        <w:tabs>
          <w:tab w:val="left" w:pos="660"/>
        </w:tabs>
        <w:rPr>
          <w:color w:val="000000" w:themeColor="text1"/>
          <w:highlight w:val="none"/>
          <w:lang w:eastAsia="zh-CN"/>
          <w14:textFill>
            <w14:solidFill>
              <w14:schemeClr w14:val="tx1"/>
            </w14:solidFill>
          </w14:textFill>
        </w:rPr>
      </w:pPr>
    </w:p>
    <w:p>
      <w:pPr>
        <w:pStyle w:val="5"/>
        <w:tabs>
          <w:tab w:val="left" w:pos="660"/>
        </w:tabs>
        <w:rPr>
          <w:color w:val="000000" w:themeColor="text1"/>
          <w:highlight w:val="none"/>
          <w:lang w:eastAsia="zh-CN"/>
          <w14:textFill>
            <w14:solidFill>
              <w14:schemeClr w14:val="tx1"/>
            </w14:solidFill>
          </w14:textFill>
        </w:rPr>
      </w:pPr>
    </w:p>
    <w:p>
      <w:pPr>
        <w:pStyle w:val="5"/>
        <w:tabs>
          <w:tab w:val="left" w:pos="660"/>
        </w:tabs>
        <w:rPr>
          <w:color w:val="000000" w:themeColor="text1"/>
          <w:highlight w:val="none"/>
          <w:lang w:eastAsia="zh-CN"/>
          <w14:textFill>
            <w14:solidFill>
              <w14:schemeClr w14:val="tx1"/>
            </w14:solidFill>
          </w14:textFill>
        </w:rPr>
      </w:pPr>
    </w:p>
    <w:p>
      <w:pPr>
        <w:pStyle w:val="5"/>
        <w:tabs>
          <w:tab w:val="left" w:pos="660"/>
        </w:tabs>
        <w:rPr>
          <w:color w:val="000000" w:themeColor="text1"/>
          <w:highlight w:val="none"/>
          <w:lang w:eastAsia="zh-CN"/>
          <w14:textFill>
            <w14:solidFill>
              <w14:schemeClr w14:val="tx1"/>
            </w14:solidFill>
          </w14:textFill>
        </w:rPr>
      </w:pPr>
    </w:p>
    <w:p>
      <w:pPr>
        <w:pStyle w:val="5"/>
        <w:tabs>
          <w:tab w:val="left" w:pos="660"/>
        </w:tabs>
        <w:rPr>
          <w:color w:val="000000" w:themeColor="text1"/>
          <w:highlight w:val="none"/>
          <w:lang w:eastAsia="zh-CN"/>
          <w14:textFill>
            <w14:solidFill>
              <w14:schemeClr w14:val="tx1"/>
            </w14:solidFill>
          </w14:textFill>
        </w:rPr>
      </w:pPr>
    </w:p>
    <w:p>
      <w:pPr>
        <w:pStyle w:val="5"/>
        <w:tabs>
          <w:tab w:val="left" w:pos="660"/>
        </w:tabs>
        <w:rPr>
          <w:color w:val="000000" w:themeColor="text1"/>
          <w:highlight w:val="none"/>
          <w:lang w:eastAsia="zh-CN"/>
          <w14:textFill>
            <w14:solidFill>
              <w14:schemeClr w14:val="tx1"/>
            </w14:solidFill>
          </w14:textFill>
        </w:rPr>
      </w:pPr>
    </w:p>
    <w:p>
      <w:pPr>
        <w:pStyle w:val="5"/>
        <w:tabs>
          <w:tab w:val="left" w:pos="660"/>
        </w:tabs>
        <w:rPr>
          <w:color w:val="000000" w:themeColor="text1"/>
          <w:highlight w:val="none"/>
          <w:lang w:eastAsia="zh-CN"/>
          <w14:textFill>
            <w14:solidFill>
              <w14:schemeClr w14:val="tx1"/>
            </w14:solidFill>
          </w14:textFill>
        </w:rPr>
      </w:pPr>
    </w:p>
    <w:p>
      <w:pPr>
        <w:pStyle w:val="5"/>
        <w:tabs>
          <w:tab w:val="left" w:pos="660"/>
        </w:tabs>
        <w:rPr>
          <w:color w:val="000000" w:themeColor="text1"/>
          <w:highlight w:val="none"/>
          <w:lang w:eastAsia="zh-CN"/>
          <w14:textFill>
            <w14:solidFill>
              <w14:schemeClr w14:val="tx1"/>
            </w14:solidFill>
          </w14:textFill>
        </w:rPr>
      </w:pPr>
    </w:p>
    <w:p>
      <w:pPr>
        <w:pStyle w:val="5"/>
        <w:tabs>
          <w:tab w:val="left" w:pos="660"/>
        </w:tabs>
        <w:rPr>
          <w:color w:val="000000" w:themeColor="text1"/>
          <w:highlight w:val="none"/>
          <w:lang w:eastAsia="zh-CN"/>
          <w14:textFill>
            <w14:solidFill>
              <w14:schemeClr w14:val="tx1"/>
            </w14:solidFill>
          </w14:textFill>
        </w:rPr>
      </w:pPr>
    </w:p>
    <w:p>
      <w:pPr>
        <w:pStyle w:val="5"/>
        <w:tabs>
          <w:tab w:val="left" w:pos="660"/>
        </w:tabs>
        <w:rPr>
          <w:color w:val="000000" w:themeColor="text1"/>
          <w:highlight w:val="none"/>
          <w:lang w:eastAsia="zh-CN"/>
          <w14:textFill>
            <w14:solidFill>
              <w14:schemeClr w14:val="tx1"/>
            </w14:solidFill>
          </w14:textFill>
        </w:rPr>
      </w:pPr>
    </w:p>
    <w:p>
      <w:pPr>
        <w:pStyle w:val="3"/>
        <w:bidi w:val="0"/>
        <w:ind w:left="0" w:leftChars="0" w:firstLine="0" w:firstLineChars="0"/>
        <w:jc w:val="both"/>
        <w:rPr>
          <w:rFonts w:hint="eastAsia"/>
          <w:color w:val="000000" w:themeColor="text1"/>
          <w:highlight w:val="none"/>
          <w:lang w:eastAsia="zh-CN"/>
          <w14:textFill>
            <w14:solidFill>
              <w14:schemeClr w14:val="tx1"/>
            </w14:solidFill>
          </w14:textFill>
        </w:rPr>
      </w:pPr>
    </w:p>
    <w:p>
      <w:pPr>
        <w:pStyle w:val="3"/>
        <w:bidi w:val="0"/>
        <w:ind w:left="0" w:leftChars="0" w:firstLine="0" w:firstLineChars="0"/>
        <w:jc w:val="both"/>
        <w:rPr>
          <w:rFonts w:hint="eastAsia"/>
          <w:color w:val="000000" w:themeColor="text1"/>
          <w:highlight w:val="none"/>
          <w:lang w:eastAsia="zh-CN"/>
          <w14:textFill>
            <w14:solidFill>
              <w14:schemeClr w14:val="tx1"/>
            </w14:solidFill>
          </w14:textFill>
        </w:rPr>
      </w:pPr>
    </w:p>
    <w:p>
      <w:pPr>
        <w:pStyle w:val="3"/>
        <w:bidi w:val="0"/>
        <w:ind w:left="0" w:leftChars="0" w:firstLine="0" w:firstLineChars="0"/>
        <w:jc w:val="both"/>
        <w:rPr>
          <w:rFonts w:hint="eastAsia"/>
          <w:color w:val="000000" w:themeColor="text1"/>
          <w:highlight w:val="none"/>
          <w:lang w:eastAsia="zh-CN"/>
          <w14:textFill>
            <w14:solidFill>
              <w14:schemeClr w14:val="tx1"/>
            </w14:solidFill>
          </w14:textFill>
        </w:rPr>
      </w:pPr>
    </w:p>
    <w:p>
      <w:pPr>
        <w:pStyle w:val="3"/>
        <w:bidi w:val="0"/>
        <w:ind w:left="0" w:leftChars="0" w:firstLine="0" w:firstLineChars="0"/>
        <w:jc w:val="center"/>
        <w:rPr>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寿光圣诚</w:t>
      </w:r>
      <w:r>
        <w:rPr>
          <w:color w:val="000000" w:themeColor="text1"/>
          <w:highlight w:val="none"/>
          <w:lang w:eastAsia="zh-CN"/>
          <w14:textFill>
            <w14:solidFill>
              <w14:schemeClr w14:val="tx1"/>
            </w14:solidFill>
          </w14:textFill>
        </w:rPr>
        <w:t>资产评估有限公司</w:t>
      </w:r>
    </w:p>
    <w:p>
      <w:pPr>
        <w:pStyle w:val="3"/>
        <w:bidi w:val="0"/>
        <w:ind w:left="0" w:leftChars="-318" w:right="-44" w:rightChars="-20" w:hanging="700" w:hangingChars="250"/>
        <w:jc w:val="center"/>
        <w:rPr>
          <w:color w:val="000000" w:themeColor="text1"/>
          <w:highlight w:val="none"/>
          <w:lang w:eastAsia="zh-CN"/>
          <w14:textFill>
            <w14:solidFill>
              <w14:schemeClr w14:val="tx1"/>
            </w14:solidFill>
          </w14:textFill>
        </w:rPr>
        <w:sectPr>
          <w:footerReference r:id="rId3" w:type="default"/>
          <w:pgSz w:w="11910" w:h="16840"/>
          <w:pgMar w:top="1701" w:right="1797" w:bottom="1701" w:left="1797" w:header="720" w:footer="505" w:gutter="0"/>
          <w:cols w:space="720" w:num="1"/>
          <w:docGrid w:linePitch="299" w:charSpace="0"/>
        </w:sectPr>
      </w:pPr>
      <w:r>
        <w:rPr>
          <w:rFonts w:hint="eastAsia"/>
          <w:color w:val="000000" w:themeColor="text1"/>
          <w:highlight w:val="none"/>
          <w:lang w:val="en-US" w:eastAsia="zh-CN"/>
          <w14:textFill>
            <w14:solidFill>
              <w14:schemeClr w14:val="tx1"/>
            </w14:solidFill>
          </w14:textFill>
        </w:rPr>
        <w:t xml:space="preserve">           二〇二一年十一月十八日</w:t>
      </w:r>
    </w:p>
    <w:p>
      <w:pPr>
        <w:pStyle w:val="5"/>
        <w:spacing w:before="2"/>
        <w:rPr>
          <w:rFonts w:ascii="黑体"/>
          <w:color w:val="000000" w:themeColor="text1"/>
          <w:sz w:val="20"/>
          <w:highlight w:val="none"/>
          <w:lang w:eastAsia="zh-CN"/>
          <w14:textFill>
            <w14:solidFill>
              <w14:schemeClr w14:val="tx1"/>
            </w14:solidFill>
          </w14:textFill>
        </w:rPr>
      </w:pPr>
    </w:p>
    <w:p>
      <w:pPr>
        <w:pStyle w:val="2"/>
        <w:tabs>
          <w:tab w:val="left" w:pos="599"/>
        </w:tabs>
        <w:ind w:right="1670" w:rightChars="759"/>
        <w:jc w:val="center"/>
        <w:rPr>
          <w:b w:val="0"/>
          <w:bCs w:val="0"/>
          <w:color w:val="000000" w:themeColor="text1"/>
          <w:highlight w:val="none"/>
          <w:lang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 xml:space="preserve">          </w:t>
      </w:r>
      <w:bookmarkStart w:id="1" w:name="_Toc28638"/>
      <w:r>
        <w:rPr>
          <w:b w:val="0"/>
          <w:bCs w:val="0"/>
          <w:color w:val="000000" w:themeColor="text1"/>
          <w:highlight w:val="none"/>
          <w:lang w:eastAsia="zh-CN"/>
          <w14:textFill>
            <w14:solidFill>
              <w14:schemeClr w14:val="tx1"/>
            </w14:solidFill>
          </w14:textFill>
        </w:rPr>
        <w:t>目</w:t>
      </w:r>
      <w:r>
        <w:rPr>
          <w:b w:val="0"/>
          <w:bCs w:val="0"/>
          <w:color w:val="000000" w:themeColor="text1"/>
          <w:highlight w:val="none"/>
          <w:lang w:eastAsia="zh-CN"/>
          <w14:textFill>
            <w14:solidFill>
              <w14:schemeClr w14:val="tx1"/>
            </w14:solidFill>
          </w14:textFill>
        </w:rPr>
        <w:tab/>
      </w:r>
      <w:r>
        <w:rPr>
          <w:b w:val="0"/>
          <w:bCs w:val="0"/>
          <w:color w:val="000000" w:themeColor="text1"/>
          <w:highlight w:val="none"/>
          <w:lang w:eastAsia="zh-CN"/>
          <w14:textFill>
            <w14:solidFill>
              <w14:schemeClr w14:val="tx1"/>
            </w14:solidFill>
          </w14:textFill>
        </w:rPr>
        <w:t>录</w:t>
      </w:r>
      <w:bookmarkEnd w:id="1"/>
    </w:p>
    <w:p>
      <w:pPr>
        <w:tabs>
          <w:tab w:val="left" w:pos="2465"/>
          <w:tab w:val="center" w:pos="4350"/>
        </w:tabs>
        <w:spacing w:before="0" w:beforeLines="0" w:after="0" w:afterLines="0" w:line="240" w:lineRule="auto"/>
        <w:ind w:left="0" w:leftChars="0" w:right="0" w:rightChars="0" w:firstLine="0" w:firstLineChars="0"/>
        <w:jc w:val="center"/>
        <w:rPr>
          <w:rFonts w:hint="eastAsia" w:cs="宋体"/>
          <w:color w:val="000000" w:themeColor="text1"/>
          <w:sz w:val="21"/>
          <w:szCs w:val="22"/>
          <w:highlight w:val="none"/>
          <w:lang w:val="en-US" w:eastAsia="zh-CN" w:bidi="ar-SA"/>
          <w14:textFill>
            <w14:solidFill>
              <w14:schemeClr w14:val="tx1"/>
            </w14:solidFill>
          </w14:textFill>
        </w:rPr>
      </w:pPr>
      <w:r>
        <w:rPr>
          <w:rFonts w:hint="eastAsia" w:cs="宋体"/>
          <w:color w:val="000000" w:themeColor="text1"/>
          <w:sz w:val="21"/>
          <w:szCs w:val="22"/>
          <w:highlight w:val="none"/>
          <w:lang w:val="en-US" w:eastAsia="zh-CN" w:bidi="ar-SA"/>
          <w14:textFill>
            <w14:solidFill>
              <w14:schemeClr w14:val="tx1"/>
            </w14:solidFill>
          </w14:textFill>
        </w:rPr>
        <w:tab/>
      </w:r>
    </w:p>
    <w:sdt>
      <w:sdtPr>
        <w:rPr>
          <w:rFonts w:ascii="宋体" w:hAnsi="宋体" w:eastAsia="宋体" w:cs="宋体"/>
          <w:color w:val="000000" w:themeColor="text1"/>
          <w:sz w:val="21"/>
          <w:szCs w:val="22"/>
          <w:highlight w:val="none"/>
          <w:lang w:val="en-US" w:eastAsia="en-US" w:bidi="ar-SA"/>
          <w14:textFill>
            <w14:solidFill>
              <w14:schemeClr w14:val="tx1"/>
            </w14:solidFill>
          </w14:textFill>
        </w:rPr>
        <w:id w:val="147472193"/>
        <w15:color w:val="DBDBDB"/>
        <w:docPartObj>
          <w:docPartGallery w:val="Table of Contents"/>
          <w:docPartUnique/>
        </w:docPartObj>
      </w:sdtPr>
      <w:sdtEndPr>
        <w:rPr>
          <w:rFonts w:ascii="Calibri" w:hAnsi="宋体" w:eastAsia="宋体" w:cs="宋体"/>
          <w:color w:val="000000" w:themeColor="text1"/>
          <w:sz w:val="28"/>
          <w:szCs w:val="28"/>
          <w:highlight w:val="none"/>
          <w:lang w:val="en-US" w:eastAsia="zh-CN" w:bidi="ar-SA"/>
          <w14:textFill>
            <w14:solidFill>
              <w14:schemeClr w14:val="tx1"/>
            </w14:solidFill>
          </w14:textFill>
        </w:rPr>
      </w:sdtEndPr>
      <w:sdtContent>
        <w:p>
          <w:pPr>
            <w:tabs>
              <w:tab w:val="left" w:pos="2465"/>
              <w:tab w:val="center" w:pos="4350"/>
            </w:tabs>
            <w:spacing w:before="0" w:beforeLines="0" w:after="0" w:afterLines="0" w:line="240" w:lineRule="auto"/>
            <w:ind w:left="0" w:leftChars="0" w:right="0" w:rightChars="0" w:firstLine="0" w:firstLineChars="0"/>
            <w:jc w:val="left"/>
            <w:rPr>
              <w:rFonts w:hint="eastAsia" w:eastAsia="宋体"/>
              <w:color w:val="000000" w:themeColor="text1"/>
              <w:highlight w:val="none"/>
              <w:lang w:eastAsia="zh-CN"/>
              <w14:textFill>
                <w14:solidFill>
                  <w14:schemeClr w14:val="tx1"/>
                </w14:solidFill>
              </w14:textFill>
            </w:rPr>
          </w:pPr>
          <w:r>
            <w:rPr>
              <w:rFonts w:hint="eastAsia" w:cs="宋体"/>
              <w:color w:val="000000" w:themeColor="text1"/>
              <w:sz w:val="21"/>
              <w:szCs w:val="22"/>
              <w:highlight w:val="none"/>
              <w:lang w:val="en-US" w:eastAsia="zh-CN" w:bidi="ar-SA"/>
              <w14:textFill>
                <w14:solidFill>
                  <w14:schemeClr w14:val="tx1"/>
                </w14:solidFill>
              </w14:textFill>
            </w:rPr>
            <w:tab/>
          </w:r>
        </w:p>
        <w:p>
          <w:pPr>
            <w:pStyle w:val="22"/>
            <w:tabs>
              <w:tab w:val="right" w:pos="2400"/>
              <w:tab w:val="right" w:leader="dot" w:pos="8580"/>
            </w:tabs>
            <w:rPr>
              <w:color w:val="000000" w:themeColor="text1"/>
              <w:highlight w:val="none"/>
              <w14:textFill>
                <w14:solidFill>
                  <w14:schemeClr w14:val="tx1"/>
                </w14:solidFill>
              </w14:textFill>
            </w:rPr>
          </w:pPr>
          <w:r>
            <w:rPr>
              <w:rFonts w:ascii="Calibri"/>
              <w:b/>
              <w:color w:val="000000" w:themeColor="text1"/>
              <w:sz w:val="20"/>
              <w:highlight w:val="none"/>
              <w:lang w:eastAsia="zh-CN"/>
              <w14:textFill>
                <w14:solidFill>
                  <w14:schemeClr w14:val="tx1"/>
                </w14:solidFill>
              </w14:textFill>
            </w:rPr>
            <w:fldChar w:fldCharType="begin"/>
          </w:r>
          <w:r>
            <w:rPr>
              <w:rFonts w:ascii="Calibri"/>
              <w:b/>
              <w:color w:val="000000" w:themeColor="text1"/>
              <w:sz w:val="20"/>
              <w:highlight w:val="none"/>
              <w:lang w:eastAsia="zh-CN"/>
              <w14:textFill>
                <w14:solidFill>
                  <w14:schemeClr w14:val="tx1"/>
                </w14:solidFill>
              </w14:textFill>
            </w:rPr>
            <w:instrText xml:space="preserve">TOC \o "1-3" \h \u </w:instrText>
          </w:r>
          <w:r>
            <w:rPr>
              <w:rFonts w:ascii="Calibri"/>
              <w:b/>
              <w:color w:val="000000" w:themeColor="text1"/>
              <w:sz w:val="20"/>
              <w:highlight w:val="none"/>
              <w:lang w:eastAsia="zh-CN"/>
              <w14:textFill>
                <w14:solidFill>
                  <w14:schemeClr w14:val="tx1"/>
                </w14:solidFill>
              </w14:textFill>
            </w:rPr>
            <w:fldChar w:fldCharType="separate"/>
          </w:r>
        </w:p>
        <w:p>
          <w:pPr>
            <w:pStyle w:val="22"/>
            <w:keepNext w:val="0"/>
            <w:keepLines w:val="0"/>
            <w:pageBreakBefore w:val="0"/>
            <w:widowControl/>
            <w:tabs>
              <w:tab w:val="right" w:pos="2400"/>
              <w:tab w:val="right" w:leader="dot" w:pos="8580"/>
            </w:tabs>
            <w:kinsoku/>
            <w:wordWrap/>
            <w:overflowPunct/>
            <w:topLinePunct w:val="0"/>
            <w:autoSpaceDE/>
            <w:autoSpaceDN/>
            <w:bidi w:val="0"/>
            <w:adjustRightInd/>
            <w:snapToGrid/>
            <w:spacing w:line="240" w:lineRule="auto"/>
            <w:ind w:left="271" w:leftChars="123"/>
            <w:textAlignment w:val="auto"/>
            <w:rPr>
              <w:rFonts w:hint="default" w:ascii="Microsoft Himalaya" w:hAnsi="Microsoft Himalaya" w:cs="Microsoft Himalaya"/>
              <w:b/>
              <w:bCs/>
              <w:color w:val="000000" w:themeColor="text1"/>
              <w:highlight w:val="none"/>
              <w14:textFill>
                <w14:solidFill>
                  <w14:schemeClr w14:val="tx1"/>
                </w14:solidFill>
              </w14:textFill>
            </w:rPr>
          </w:pPr>
          <w:r>
            <w:rPr>
              <w:rFonts w:hint="default" w:ascii="Microsoft Himalaya" w:hAnsi="Microsoft Himalaya" w:cs="Microsoft Himalaya"/>
              <w:b/>
              <w:bCs/>
              <w:color w:val="000000" w:themeColor="text1"/>
              <w:highlight w:val="none"/>
              <w:lang w:eastAsia="zh-CN"/>
              <w14:textFill>
                <w14:solidFill>
                  <w14:schemeClr w14:val="tx1"/>
                </w14:solidFill>
              </w14:textFill>
            </w:rPr>
            <w:fldChar w:fldCharType="begin"/>
          </w:r>
          <w:r>
            <w:rPr>
              <w:rFonts w:hint="default" w:ascii="Microsoft Himalaya" w:hAnsi="Microsoft Himalaya" w:cs="Microsoft Himalaya"/>
              <w:b/>
              <w:bCs/>
              <w:color w:val="000000" w:themeColor="text1"/>
              <w:highlight w:val="none"/>
              <w:lang w:eastAsia="zh-CN"/>
              <w14:textFill>
                <w14:solidFill>
                  <w14:schemeClr w14:val="tx1"/>
                </w14:solidFill>
              </w14:textFill>
            </w:rPr>
            <w:instrText xml:space="preserve"> HYPERLINK \l _Toc863 </w:instrText>
          </w:r>
          <w:r>
            <w:rPr>
              <w:rFonts w:hint="default" w:ascii="Microsoft Himalaya" w:hAnsi="Microsoft Himalaya" w:cs="Microsoft Himalaya"/>
              <w:b/>
              <w:bCs/>
              <w:color w:val="000000" w:themeColor="text1"/>
              <w:highlight w:val="none"/>
              <w:lang w:eastAsia="zh-CN"/>
              <w14:textFill>
                <w14:solidFill>
                  <w14:schemeClr w14:val="tx1"/>
                </w14:solidFill>
              </w14:textFill>
            </w:rPr>
            <w:fldChar w:fldCharType="separate"/>
          </w:r>
          <w:r>
            <w:rPr>
              <w:rFonts w:hint="default" w:ascii="Microsoft JhengHei" w:hAnsi="Microsoft JhengHei" w:eastAsia="Microsoft JhengHei" w:cs="Microsoft JhengHei"/>
              <w:b/>
              <w:bCs/>
              <w:color w:val="000000" w:themeColor="text1"/>
              <w:sz w:val="20"/>
              <w:szCs w:val="20"/>
              <w:highlight w:val="none"/>
              <w:lang w:val="en-US" w:eastAsia="zh-CN" w:bidi="ar-SA"/>
              <w14:textFill>
                <w14:solidFill>
                  <w14:schemeClr w14:val="tx1"/>
                </w14:solidFill>
              </w14:textFill>
            </w:rPr>
            <w:t>声</w:t>
          </w:r>
          <w:r>
            <w:rPr>
              <w:rFonts w:hint="default" w:ascii="Microsoft JhengHei" w:hAnsi="Microsoft JhengHei" w:eastAsia="Microsoft JhengHei" w:cs="Microsoft JhengHei"/>
              <w:b/>
              <w:bCs/>
              <w:color w:val="000000" w:themeColor="text1"/>
              <w:sz w:val="20"/>
              <w:szCs w:val="20"/>
              <w:highlight w:val="none"/>
              <w:lang w:val="en-US" w:eastAsia="zh-CN" w:bidi="ar-SA"/>
              <w14:textFill>
                <w14:solidFill>
                  <w14:schemeClr w14:val="tx1"/>
                </w14:solidFill>
              </w14:textFill>
            </w:rPr>
            <w:tab/>
          </w:r>
          <w:r>
            <w:rPr>
              <w:rFonts w:hint="default" w:ascii="Microsoft JhengHei" w:hAnsi="Microsoft JhengHei" w:eastAsia="Microsoft JhengHei" w:cs="Microsoft JhengHei"/>
              <w:b/>
              <w:bCs/>
              <w:color w:val="000000" w:themeColor="text1"/>
              <w:sz w:val="20"/>
              <w:szCs w:val="20"/>
              <w:highlight w:val="none"/>
              <w:lang w:val="en-US" w:eastAsia="zh-CN" w:bidi="ar-SA"/>
              <w14:textFill>
                <w14:solidFill>
                  <w14:schemeClr w14:val="tx1"/>
                </w14:solidFill>
              </w14:textFill>
            </w:rPr>
            <w:t>明</w:t>
          </w:r>
          <w:r>
            <w:rPr>
              <w:rFonts w:hint="default" w:ascii="Microsoft Himalaya" w:hAnsi="Microsoft Himalaya" w:cs="Microsoft Himalaya"/>
              <w:b/>
              <w:bCs/>
              <w:color w:val="000000" w:themeColor="text1"/>
              <w:highlight w:val="none"/>
              <w14:textFill>
                <w14:solidFill>
                  <w14:schemeClr w14:val="tx1"/>
                </w14:solidFill>
              </w14:textFill>
            </w:rPr>
            <w:tab/>
          </w:r>
          <w:r>
            <w:rPr>
              <w:rFonts w:hint="default" w:ascii="Microsoft Himalaya" w:hAnsi="Microsoft Himalaya" w:cs="Microsoft Himalaya"/>
              <w:b/>
              <w:bCs/>
              <w:color w:val="000000" w:themeColor="text1"/>
              <w:highlight w:val="none"/>
              <w14:textFill>
                <w14:solidFill>
                  <w14:schemeClr w14:val="tx1"/>
                </w14:solidFill>
              </w14:textFill>
            </w:rPr>
            <w:fldChar w:fldCharType="begin"/>
          </w:r>
          <w:r>
            <w:rPr>
              <w:rFonts w:hint="default" w:ascii="Microsoft Himalaya" w:hAnsi="Microsoft Himalaya" w:cs="Microsoft Himalaya"/>
              <w:b/>
              <w:bCs/>
              <w:color w:val="000000" w:themeColor="text1"/>
              <w:highlight w:val="none"/>
              <w14:textFill>
                <w14:solidFill>
                  <w14:schemeClr w14:val="tx1"/>
                </w14:solidFill>
              </w14:textFill>
            </w:rPr>
            <w:instrText xml:space="preserve"> PAGEREF _Toc863 </w:instrText>
          </w:r>
          <w:r>
            <w:rPr>
              <w:rFonts w:hint="default" w:ascii="Microsoft Himalaya" w:hAnsi="Microsoft Himalaya" w:cs="Microsoft Himalaya"/>
              <w:b/>
              <w:bCs/>
              <w:color w:val="000000" w:themeColor="text1"/>
              <w:highlight w:val="none"/>
              <w14:textFill>
                <w14:solidFill>
                  <w14:schemeClr w14:val="tx1"/>
                </w14:solidFill>
              </w14:textFill>
            </w:rPr>
            <w:fldChar w:fldCharType="separate"/>
          </w:r>
          <w:r>
            <w:rPr>
              <w:rFonts w:hint="default" w:ascii="Microsoft Himalaya" w:hAnsi="Microsoft Himalaya" w:cs="Microsoft Himalaya"/>
              <w:b/>
              <w:bCs/>
              <w:color w:val="000000" w:themeColor="text1"/>
              <w:highlight w:val="none"/>
              <w14:textFill>
                <w14:solidFill>
                  <w14:schemeClr w14:val="tx1"/>
                </w14:solidFill>
              </w14:textFill>
            </w:rPr>
            <w:t>1</w:t>
          </w:r>
          <w:r>
            <w:rPr>
              <w:rFonts w:hint="default" w:ascii="Microsoft Himalaya" w:hAnsi="Microsoft Himalaya" w:cs="Microsoft Himalaya"/>
              <w:b/>
              <w:bCs/>
              <w:color w:val="000000" w:themeColor="text1"/>
              <w:highlight w:val="none"/>
              <w14:textFill>
                <w14:solidFill>
                  <w14:schemeClr w14:val="tx1"/>
                </w14:solidFill>
              </w14:textFill>
            </w:rPr>
            <w:fldChar w:fldCharType="end"/>
          </w:r>
          <w:r>
            <w:rPr>
              <w:rFonts w:hint="default" w:ascii="Microsoft Himalaya" w:hAnsi="Microsoft Himalaya" w:cs="Microsoft Himalaya"/>
              <w:b/>
              <w:bCs/>
              <w:color w:val="000000" w:themeColor="text1"/>
              <w:highlight w:val="none"/>
              <w:lang w:eastAsia="zh-CN"/>
              <w14:textFill>
                <w14:solidFill>
                  <w14:schemeClr w14:val="tx1"/>
                </w14:solidFill>
              </w14:textFill>
            </w:rPr>
            <w:fldChar w:fldCharType="end"/>
          </w:r>
        </w:p>
        <w:p>
          <w:pPr>
            <w:pStyle w:val="22"/>
            <w:keepNext w:val="0"/>
            <w:keepLines w:val="0"/>
            <w:pageBreakBefore w:val="0"/>
            <w:widowControl/>
            <w:tabs>
              <w:tab w:val="right" w:leader="dot" w:pos="8580"/>
            </w:tabs>
            <w:kinsoku/>
            <w:wordWrap/>
            <w:overflowPunct/>
            <w:topLinePunct w:val="0"/>
            <w:autoSpaceDE/>
            <w:autoSpaceDN/>
            <w:bidi w:val="0"/>
            <w:adjustRightInd/>
            <w:snapToGrid/>
            <w:spacing w:line="240" w:lineRule="auto"/>
            <w:ind w:left="271" w:leftChars="123"/>
            <w:textAlignment w:val="auto"/>
            <w:rPr>
              <w:rFonts w:hint="default" w:ascii="Microsoft Himalaya" w:hAnsi="Microsoft Himalaya" w:cs="Microsoft Himalaya"/>
              <w:b/>
              <w:bCs/>
              <w:color w:val="000000" w:themeColor="text1"/>
              <w:highlight w:val="none"/>
              <w14:textFill>
                <w14:solidFill>
                  <w14:schemeClr w14:val="tx1"/>
                </w14:solidFill>
              </w14:textFill>
            </w:rPr>
          </w:pPr>
          <w:r>
            <w:rPr>
              <w:rFonts w:hint="default" w:ascii="Microsoft Himalaya" w:hAnsi="Microsoft Himalaya" w:cs="Microsoft Himalaya"/>
              <w:b/>
              <w:bCs/>
              <w:color w:val="000000" w:themeColor="text1"/>
              <w:highlight w:val="none"/>
              <w:lang w:eastAsia="zh-CN"/>
              <w14:textFill>
                <w14:solidFill>
                  <w14:schemeClr w14:val="tx1"/>
                </w14:solidFill>
              </w14:textFill>
            </w:rPr>
            <w:fldChar w:fldCharType="begin"/>
          </w:r>
          <w:r>
            <w:rPr>
              <w:rFonts w:hint="default" w:ascii="Microsoft Himalaya" w:hAnsi="Microsoft Himalaya" w:cs="Microsoft Himalaya"/>
              <w:b/>
              <w:bCs/>
              <w:color w:val="000000" w:themeColor="text1"/>
              <w:highlight w:val="none"/>
              <w:lang w:eastAsia="zh-CN"/>
              <w14:textFill>
                <w14:solidFill>
                  <w14:schemeClr w14:val="tx1"/>
                </w14:solidFill>
              </w14:textFill>
            </w:rPr>
            <w:instrText xml:space="preserve"> HYPERLINK \l _Toc30979 </w:instrText>
          </w:r>
          <w:r>
            <w:rPr>
              <w:rFonts w:hint="default" w:ascii="Microsoft Himalaya" w:hAnsi="Microsoft Himalaya" w:cs="Microsoft Himalaya"/>
              <w:b/>
              <w:bCs/>
              <w:color w:val="000000" w:themeColor="text1"/>
              <w:highlight w:val="none"/>
              <w:lang w:eastAsia="zh-CN"/>
              <w14:textFill>
                <w14:solidFill>
                  <w14:schemeClr w14:val="tx1"/>
                </w14:solidFill>
              </w14:textFill>
            </w:rPr>
            <w:fldChar w:fldCharType="separate"/>
          </w:r>
          <w:r>
            <w:rPr>
              <w:rFonts w:hint="default" w:ascii="Microsoft JhengHei" w:hAnsi="Microsoft JhengHei" w:eastAsia="Microsoft JhengHei" w:cs="Microsoft JhengHei"/>
              <w:b/>
              <w:bCs/>
              <w:color w:val="000000" w:themeColor="text1"/>
              <w:sz w:val="20"/>
              <w:szCs w:val="20"/>
              <w:highlight w:val="none"/>
              <w:lang w:val="en-US" w:eastAsia="zh-CN" w:bidi="ar-SA"/>
              <w14:textFill>
                <w14:solidFill>
                  <w14:schemeClr w14:val="tx1"/>
                </w14:solidFill>
              </w14:textFill>
            </w:rPr>
            <w:t>资产评估报告摘要</w:t>
          </w:r>
          <w:r>
            <w:rPr>
              <w:rFonts w:hint="default" w:ascii="Microsoft Himalaya" w:hAnsi="Microsoft Himalaya" w:cs="Microsoft Himalaya"/>
              <w:b/>
              <w:bCs/>
              <w:color w:val="000000" w:themeColor="text1"/>
              <w:highlight w:val="none"/>
              <w14:textFill>
                <w14:solidFill>
                  <w14:schemeClr w14:val="tx1"/>
                </w14:solidFill>
              </w14:textFill>
            </w:rPr>
            <w:tab/>
          </w:r>
          <w:r>
            <w:rPr>
              <w:rFonts w:hint="default" w:ascii="Microsoft Himalaya" w:hAnsi="Microsoft Himalaya" w:cs="Microsoft Himalaya"/>
              <w:b/>
              <w:bCs/>
              <w:color w:val="000000" w:themeColor="text1"/>
              <w:highlight w:val="none"/>
              <w14:textFill>
                <w14:solidFill>
                  <w14:schemeClr w14:val="tx1"/>
                </w14:solidFill>
              </w14:textFill>
            </w:rPr>
            <w:fldChar w:fldCharType="begin"/>
          </w:r>
          <w:r>
            <w:rPr>
              <w:rFonts w:hint="default" w:ascii="Microsoft Himalaya" w:hAnsi="Microsoft Himalaya" w:cs="Microsoft Himalaya"/>
              <w:b/>
              <w:bCs/>
              <w:color w:val="000000" w:themeColor="text1"/>
              <w:highlight w:val="none"/>
              <w14:textFill>
                <w14:solidFill>
                  <w14:schemeClr w14:val="tx1"/>
                </w14:solidFill>
              </w14:textFill>
            </w:rPr>
            <w:instrText xml:space="preserve"> PAGEREF _Toc30979 </w:instrText>
          </w:r>
          <w:r>
            <w:rPr>
              <w:rFonts w:hint="default" w:ascii="Microsoft Himalaya" w:hAnsi="Microsoft Himalaya" w:cs="Microsoft Himalaya"/>
              <w:b/>
              <w:bCs/>
              <w:color w:val="000000" w:themeColor="text1"/>
              <w:highlight w:val="none"/>
              <w14:textFill>
                <w14:solidFill>
                  <w14:schemeClr w14:val="tx1"/>
                </w14:solidFill>
              </w14:textFill>
            </w:rPr>
            <w:fldChar w:fldCharType="separate"/>
          </w:r>
          <w:r>
            <w:rPr>
              <w:rFonts w:hint="default" w:ascii="Microsoft Himalaya" w:hAnsi="Microsoft Himalaya" w:cs="Microsoft Himalaya"/>
              <w:b/>
              <w:bCs/>
              <w:color w:val="000000" w:themeColor="text1"/>
              <w:highlight w:val="none"/>
              <w14:textFill>
                <w14:solidFill>
                  <w14:schemeClr w14:val="tx1"/>
                </w14:solidFill>
              </w14:textFill>
            </w:rPr>
            <w:t>2</w:t>
          </w:r>
          <w:r>
            <w:rPr>
              <w:rFonts w:hint="default" w:ascii="Microsoft Himalaya" w:hAnsi="Microsoft Himalaya" w:cs="Microsoft Himalaya"/>
              <w:b/>
              <w:bCs/>
              <w:color w:val="000000" w:themeColor="text1"/>
              <w:highlight w:val="none"/>
              <w14:textFill>
                <w14:solidFill>
                  <w14:schemeClr w14:val="tx1"/>
                </w14:solidFill>
              </w14:textFill>
            </w:rPr>
            <w:fldChar w:fldCharType="end"/>
          </w:r>
          <w:r>
            <w:rPr>
              <w:rFonts w:hint="default" w:ascii="Microsoft Himalaya" w:hAnsi="Microsoft Himalaya" w:cs="Microsoft Himalaya"/>
              <w:b/>
              <w:bCs/>
              <w:color w:val="000000" w:themeColor="text1"/>
              <w:highlight w:val="none"/>
              <w:lang w:eastAsia="zh-CN"/>
              <w14:textFill>
                <w14:solidFill>
                  <w14:schemeClr w14:val="tx1"/>
                </w14:solidFill>
              </w14:textFill>
            </w:rPr>
            <w:fldChar w:fldCharType="end"/>
          </w:r>
        </w:p>
        <w:p>
          <w:pPr>
            <w:pStyle w:val="22"/>
            <w:keepNext w:val="0"/>
            <w:keepLines w:val="0"/>
            <w:pageBreakBefore w:val="0"/>
            <w:widowControl/>
            <w:tabs>
              <w:tab w:val="right" w:leader="dot" w:pos="8580"/>
            </w:tabs>
            <w:kinsoku/>
            <w:wordWrap/>
            <w:overflowPunct/>
            <w:topLinePunct w:val="0"/>
            <w:autoSpaceDE/>
            <w:autoSpaceDN/>
            <w:bidi w:val="0"/>
            <w:adjustRightInd/>
            <w:snapToGrid/>
            <w:spacing w:line="240" w:lineRule="auto"/>
            <w:ind w:left="271" w:leftChars="123"/>
            <w:textAlignment w:val="auto"/>
            <w:rPr>
              <w:color w:val="000000" w:themeColor="text1"/>
              <w:highlight w:val="none"/>
              <w14:textFill>
                <w14:solidFill>
                  <w14:schemeClr w14:val="tx1"/>
                </w14:solidFill>
              </w14:textFill>
            </w:rPr>
          </w:pPr>
          <w:r>
            <w:rPr>
              <w:rFonts w:hint="default" w:ascii="Microsoft Himalaya" w:hAnsi="Microsoft Himalaya" w:cs="Microsoft Himalaya"/>
              <w:b/>
              <w:bCs/>
              <w:color w:val="000000" w:themeColor="text1"/>
              <w:highlight w:val="none"/>
              <w:lang w:eastAsia="zh-CN"/>
              <w14:textFill>
                <w14:solidFill>
                  <w14:schemeClr w14:val="tx1"/>
                </w14:solidFill>
              </w14:textFill>
            </w:rPr>
            <w:fldChar w:fldCharType="begin"/>
          </w:r>
          <w:r>
            <w:rPr>
              <w:rFonts w:hint="default" w:ascii="Microsoft Himalaya" w:hAnsi="Microsoft Himalaya" w:cs="Microsoft Himalaya"/>
              <w:b/>
              <w:bCs/>
              <w:color w:val="000000" w:themeColor="text1"/>
              <w:highlight w:val="none"/>
              <w:lang w:eastAsia="zh-CN"/>
              <w14:textFill>
                <w14:solidFill>
                  <w14:schemeClr w14:val="tx1"/>
                </w14:solidFill>
              </w14:textFill>
            </w:rPr>
            <w:instrText xml:space="preserve"> HYPERLINK \l _Toc26992 </w:instrText>
          </w:r>
          <w:r>
            <w:rPr>
              <w:rFonts w:hint="default" w:ascii="Microsoft Himalaya" w:hAnsi="Microsoft Himalaya" w:cs="Microsoft Himalaya"/>
              <w:b/>
              <w:bCs/>
              <w:color w:val="000000" w:themeColor="text1"/>
              <w:highlight w:val="none"/>
              <w:lang w:eastAsia="zh-CN"/>
              <w14:textFill>
                <w14:solidFill>
                  <w14:schemeClr w14:val="tx1"/>
                </w14:solidFill>
              </w14:textFill>
            </w:rPr>
            <w:fldChar w:fldCharType="separate"/>
          </w:r>
          <w:r>
            <w:rPr>
              <w:rFonts w:hint="default" w:ascii="Microsoft JhengHei" w:hAnsi="Microsoft JhengHei" w:eastAsia="Microsoft JhengHei" w:cs="Microsoft JhengHei"/>
              <w:b/>
              <w:bCs/>
              <w:color w:val="000000" w:themeColor="text1"/>
              <w:sz w:val="20"/>
              <w:szCs w:val="20"/>
              <w:highlight w:val="none"/>
              <w:lang w:val="en-US" w:eastAsia="zh-CN" w:bidi="ar-SA"/>
              <w14:textFill>
                <w14:solidFill>
                  <w14:schemeClr w14:val="tx1"/>
                </w14:solidFill>
              </w14:textFill>
            </w:rPr>
            <w:t>资产评估报告正文</w:t>
          </w:r>
          <w:r>
            <w:rPr>
              <w:rFonts w:hint="default" w:ascii="Microsoft Himalaya" w:hAnsi="Microsoft Himalaya" w:cs="Microsoft Himalaya"/>
              <w:b/>
              <w:bCs/>
              <w:color w:val="000000" w:themeColor="text1"/>
              <w:highlight w:val="none"/>
              <w14:textFill>
                <w14:solidFill>
                  <w14:schemeClr w14:val="tx1"/>
                </w14:solidFill>
              </w14:textFill>
            </w:rPr>
            <w:tab/>
          </w:r>
          <w:r>
            <w:rPr>
              <w:rFonts w:hint="default" w:ascii="Microsoft Himalaya" w:hAnsi="Microsoft Himalaya" w:cs="Microsoft Himalaya"/>
              <w:b/>
              <w:bCs/>
              <w:color w:val="000000" w:themeColor="text1"/>
              <w:highlight w:val="none"/>
              <w14:textFill>
                <w14:solidFill>
                  <w14:schemeClr w14:val="tx1"/>
                </w14:solidFill>
              </w14:textFill>
            </w:rPr>
            <w:fldChar w:fldCharType="begin"/>
          </w:r>
          <w:r>
            <w:rPr>
              <w:rFonts w:hint="default" w:ascii="Microsoft Himalaya" w:hAnsi="Microsoft Himalaya" w:cs="Microsoft Himalaya"/>
              <w:b/>
              <w:bCs/>
              <w:color w:val="000000" w:themeColor="text1"/>
              <w:highlight w:val="none"/>
              <w14:textFill>
                <w14:solidFill>
                  <w14:schemeClr w14:val="tx1"/>
                </w14:solidFill>
              </w14:textFill>
            </w:rPr>
            <w:instrText xml:space="preserve"> PAGEREF _Toc26992 </w:instrText>
          </w:r>
          <w:r>
            <w:rPr>
              <w:rFonts w:hint="default" w:ascii="Microsoft Himalaya" w:hAnsi="Microsoft Himalaya" w:cs="Microsoft Himalaya"/>
              <w:b/>
              <w:bCs/>
              <w:color w:val="000000" w:themeColor="text1"/>
              <w:highlight w:val="none"/>
              <w14:textFill>
                <w14:solidFill>
                  <w14:schemeClr w14:val="tx1"/>
                </w14:solidFill>
              </w14:textFill>
            </w:rPr>
            <w:fldChar w:fldCharType="separate"/>
          </w:r>
          <w:r>
            <w:rPr>
              <w:rFonts w:hint="default" w:ascii="Microsoft Himalaya" w:hAnsi="Microsoft Himalaya" w:cs="Microsoft Himalaya"/>
              <w:b/>
              <w:bCs/>
              <w:color w:val="000000" w:themeColor="text1"/>
              <w:highlight w:val="none"/>
              <w14:textFill>
                <w14:solidFill>
                  <w14:schemeClr w14:val="tx1"/>
                </w14:solidFill>
              </w14:textFill>
            </w:rPr>
            <w:t>6</w:t>
          </w:r>
          <w:r>
            <w:rPr>
              <w:rFonts w:hint="default" w:ascii="Microsoft Himalaya" w:hAnsi="Microsoft Himalaya" w:cs="Microsoft Himalaya"/>
              <w:b/>
              <w:bCs/>
              <w:color w:val="000000" w:themeColor="text1"/>
              <w:highlight w:val="none"/>
              <w14:textFill>
                <w14:solidFill>
                  <w14:schemeClr w14:val="tx1"/>
                </w14:solidFill>
              </w14:textFill>
            </w:rPr>
            <w:fldChar w:fldCharType="end"/>
          </w:r>
          <w:r>
            <w:rPr>
              <w:rFonts w:hint="default" w:ascii="Microsoft Himalaya" w:hAnsi="Microsoft Himalaya" w:cs="Microsoft Himalaya"/>
              <w:b/>
              <w:bCs/>
              <w:color w:val="000000" w:themeColor="text1"/>
              <w:highlight w:val="none"/>
              <w:lang w:eastAsia="zh-CN"/>
              <w14:textFill>
                <w14:solidFill>
                  <w14:schemeClr w14:val="tx1"/>
                </w14:solidFill>
              </w14:textFill>
            </w:rPr>
            <w:fldChar w:fldCharType="end"/>
          </w:r>
        </w:p>
        <w:p>
          <w:pPr>
            <w:pStyle w:val="21"/>
            <w:tabs>
              <w:tab w:val="right" w:leader="dot" w:pos="8580"/>
            </w:tabs>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instrText xml:space="preserve"> HYPERLINK \l _Toc8238 </w:instrTex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fldChar w:fldCharType="separate"/>
          </w:r>
          <w:r>
            <w:rPr>
              <w:rFonts w:hint="eastAsia" w:asciiTheme="minorEastAsia" w:hAnsiTheme="minorEastAsia" w:eastAsiaTheme="minorEastAsia" w:cstheme="minorEastAsia"/>
              <w:color w:val="000000" w:themeColor="text1"/>
              <w:spacing w:val="-12"/>
              <w:highlight w:val="none"/>
              <w:lang w:eastAsia="zh-CN"/>
              <w14:textFill>
                <w14:solidFill>
                  <w14:schemeClr w14:val="tx1"/>
                </w14:solidFill>
              </w14:textFill>
            </w:rPr>
            <w:t xml:space="preserve">一、 </w:t>
          </w:r>
          <w:r>
            <w:rPr>
              <w:rFonts w:hint="eastAsia" w:asciiTheme="minorEastAsia" w:hAnsiTheme="minorEastAsia" w:eastAsiaTheme="minorEastAsia" w:cstheme="minorEastAsia"/>
              <w:color w:val="000000" w:themeColor="text1"/>
              <w:spacing w:val="-12"/>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2"/>
              <w:highlight w:val="none"/>
              <w:lang w:eastAsia="zh-CN"/>
              <w14:textFill>
                <w14:solidFill>
                  <w14:schemeClr w14:val="tx1"/>
                </w14:solidFill>
              </w14:textFill>
            </w:rPr>
            <w:t>委托人、被评估单位和资产评估委托合同约定的其他资产评估报告使用人</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14:textFill>
                <w14:solidFill>
                  <w14:schemeClr w14:val="tx1"/>
                </w14:solidFill>
              </w14:textFill>
            </w:rPr>
            <w:instrText xml:space="preserve"> PAGEREF _Toc8238 </w:instrTex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14:textFill>
                <w14:solidFill>
                  <w14:schemeClr w14:val="tx1"/>
                </w14:solidFill>
              </w14:textFill>
            </w:rPr>
            <w:t>6</w: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fldChar w:fldCharType="end"/>
          </w:r>
        </w:p>
        <w:p>
          <w:pPr>
            <w:pStyle w:val="21"/>
            <w:tabs>
              <w:tab w:val="right" w:leader="dot" w:pos="8580"/>
            </w:tabs>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instrText xml:space="preserve"> HYPERLINK \l _Toc17408 </w:instrTex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fldChar w:fldCharType="separate"/>
          </w:r>
          <w:r>
            <w:rPr>
              <w:rFonts w:hint="eastAsia" w:asciiTheme="minorEastAsia" w:hAnsiTheme="minorEastAsia" w:eastAsiaTheme="minorEastAsia" w:cstheme="minorEastAsia"/>
              <w:color w:val="000000" w:themeColor="text1"/>
              <w:spacing w:val="-12"/>
              <w:highlight w:val="none"/>
              <w:lang w:eastAsia="zh-CN"/>
              <w14:textFill>
                <w14:solidFill>
                  <w14:schemeClr w14:val="tx1"/>
                </w14:solidFill>
              </w14:textFill>
            </w:rPr>
            <w:t xml:space="preserve">二、 </w:t>
          </w:r>
          <w:r>
            <w:rPr>
              <w:rFonts w:hint="eastAsia" w:asciiTheme="minorEastAsia" w:hAnsiTheme="minorEastAsia" w:eastAsiaTheme="minorEastAsia" w:cstheme="minorEastAsia"/>
              <w:color w:val="000000" w:themeColor="text1"/>
              <w:spacing w:val="-12"/>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2"/>
              <w:highlight w:val="none"/>
              <w:lang w:eastAsia="zh-CN"/>
              <w14:textFill>
                <w14:solidFill>
                  <w14:schemeClr w14:val="tx1"/>
                </w14:solidFill>
              </w14:textFill>
            </w:rPr>
            <w:t>评估目的</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14:textFill>
                <w14:solidFill>
                  <w14:schemeClr w14:val="tx1"/>
                </w14:solidFill>
              </w14:textFill>
            </w:rPr>
            <w:instrText xml:space="preserve"> PAGEREF _Toc17408 </w:instrTex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14:textFill>
                <w14:solidFill>
                  <w14:schemeClr w14:val="tx1"/>
                </w14:solidFill>
              </w14:textFill>
            </w:rPr>
            <w:t>7</w: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fldChar w:fldCharType="end"/>
          </w:r>
        </w:p>
        <w:p>
          <w:pPr>
            <w:pStyle w:val="21"/>
            <w:tabs>
              <w:tab w:val="right" w:leader="dot" w:pos="8580"/>
            </w:tabs>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instrText xml:space="preserve"> HYPERLINK \l _Toc1167 </w:instrTex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 xml:space="preserve">三、 </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评估对象和评估范围</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14:textFill>
                <w14:solidFill>
                  <w14:schemeClr w14:val="tx1"/>
                </w14:solidFill>
              </w14:textFill>
            </w:rPr>
            <w:instrText xml:space="preserve"> PAGEREF _Toc1167 </w:instrTex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14:textFill>
                <w14:solidFill>
                  <w14:schemeClr w14:val="tx1"/>
                </w14:solidFill>
              </w14:textFill>
            </w:rPr>
            <w:t>7</w: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fldChar w:fldCharType="end"/>
          </w:r>
        </w:p>
        <w:p>
          <w:pPr>
            <w:pStyle w:val="21"/>
            <w:tabs>
              <w:tab w:val="right" w:leader="dot" w:pos="8580"/>
            </w:tabs>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instrText xml:space="preserve"> HYPERLINK \l _Toc32244 </w:instrTex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 xml:space="preserve">四、 </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价值类型</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14:textFill>
                <w14:solidFill>
                  <w14:schemeClr w14:val="tx1"/>
                </w14:solidFill>
              </w14:textFill>
            </w:rPr>
            <w:instrText xml:space="preserve"> PAGEREF _Toc32244 </w:instrTex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14:textFill>
                <w14:solidFill>
                  <w14:schemeClr w14:val="tx1"/>
                </w14:solidFill>
              </w14:textFill>
            </w:rPr>
            <w:t>7</w: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fldChar w:fldCharType="end"/>
          </w:r>
        </w:p>
        <w:p>
          <w:pPr>
            <w:pStyle w:val="21"/>
            <w:tabs>
              <w:tab w:val="right" w:leader="dot" w:pos="8580"/>
            </w:tabs>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instrText xml:space="preserve"> HYPERLINK \l _Toc16182 </w:instrTex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 xml:space="preserve">五、 </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评估基准日</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14:textFill>
                <w14:solidFill>
                  <w14:schemeClr w14:val="tx1"/>
                </w14:solidFill>
              </w14:textFill>
            </w:rPr>
            <w:instrText xml:space="preserve"> PAGEREF _Toc16182 </w:instrTex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14:textFill>
                <w14:solidFill>
                  <w14:schemeClr w14:val="tx1"/>
                </w14:solidFill>
              </w14:textFill>
            </w:rPr>
            <w:t>7</w: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fldChar w:fldCharType="end"/>
          </w:r>
        </w:p>
        <w:p>
          <w:pPr>
            <w:pStyle w:val="21"/>
            <w:tabs>
              <w:tab w:val="right" w:leader="dot" w:pos="8580"/>
            </w:tabs>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instrText xml:space="preserve"> HYPERLINK \l _Toc8774 </w:instrTex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六、</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 xml:space="preserve"> 评估依据</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14:textFill>
                <w14:solidFill>
                  <w14:schemeClr w14:val="tx1"/>
                </w14:solidFill>
              </w14:textFill>
            </w:rPr>
            <w:instrText xml:space="preserve"> PAGEREF _Toc8774 </w:instrTex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14:textFill>
                <w14:solidFill>
                  <w14:schemeClr w14:val="tx1"/>
                </w14:solidFill>
              </w14:textFill>
            </w:rPr>
            <w:t>8</w: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fldChar w:fldCharType="end"/>
          </w:r>
        </w:p>
        <w:p>
          <w:pPr>
            <w:pStyle w:val="21"/>
            <w:tabs>
              <w:tab w:val="right" w:leader="dot" w:pos="8580"/>
            </w:tabs>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instrText xml:space="preserve"> HYPERLINK \l _Toc32388 </w:instrTex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 xml:space="preserve">七、 </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评估方法</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14:textFill>
                <w14:solidFill>
                  <w14:schemeClr w14:val="tx1"/>
                </w14:solidFill>
              </w14:textFill>
            </w:rPr>
            <w:instrText xml:space="preserve"> PAGEREF _Toc32388 </w:instrTex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14:textFill>
                <w14:solidFill>
                  <w14:schemeClr w14:val="tx1"/>
                </w14:solidFill>
              </w14:textFill>
            </w:rPr>
            <w:t>10</w: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fldChar w:fldCharType="end"/>
          </w:r>
        </w:p>
        <w:p>
          <w:pPr>
            <w:pStyle w:val="21"/>
            <w:tabs>
              <w:tab w:val="right" w:leader="dot" w:pos="8580"/>
            </w:tabs>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instrText xml:space="preserve"> HYPERLINK \l _Toc7372 </w:instrTex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 xml:space="preserve">八、 </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评估程序实施过程和情况</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14:textFill>
                <w14:solidFill>
                  <w14:schemeClr w14:val="tx1"/>
                </w14:solidFill>
              </w14:textFill>
            </w:rPr>
            <w:instrText xml:space="preserve"> PAGEREF _Toc7372 </w:instrTex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14:textFill>
                <w14:solidFill>
                  <w14:schemeClr w14:val="tx1"/>
                </w14:solidFill>
              </w14:textFill>
            </w:rPr>
            <w:t>10</w: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fldChar w:fldCharType="end"/>
          </w:r>
        </w:p>
        <w:p>
          <w:pPr>
            <w:pStyle w:val="21"/>
            <w:tabs>
              <w:tab w:val="right" w:leader="dot" w:pos="8580"/>
            </w:tabs>
            <w:rPr>
              <w:rFonts w:hint="default" w:asciiTheme="minorEastAsia" w:hAnsiTheme="minorEastAsia" w:eastAsiaTheme="minorEastAsia" w:cstheme="minorEastAsia"/>
              <w:color w:val="000000" w:themeColor="text1"/>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instrText xml:space="preserve"> HYPERLINK \l _Toc8970 </w:instrTex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九、   评估假设</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14</w:t>
          </w:r>
        </w:p>
        <w:p>
          <w:pPr>
            <w:pStyle w:val="21"/>
            <w:tabs>
              <w:tab w:val="right" w:leader="dot" w:pos="8580"/>
            </w:tabs>
            <w:rPr>
              <w:rFonts w:hint="default" w:asciiTheme="minorEastAsia" w:hAnsiTheme="minorEastAsia" w:eastAsiaTheme="minorEastAsia" w:cstheme="minorEastAsia"/>
              <w:color w:val="000000" w:themeColor="text1"/>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instrText xml:space="preserve"> HYPERLINK \l _Toc25339 </w:instrTex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十、   评估结论</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4</w:t>
          </w:r>
        </w:p>
        <w:p>
          <w:pPr>
            <w:pStyle w:val="21"/>
            <w:tabs>
              <w:tab w:val="right" w:leader="dot" w:pos="8580"/>
            </w:tabs>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instrText xml:space="preserve"> HYPERLINK \l _Toc22533 </w:instrTex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十一、 特别事项说明</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14:textFill>
                <w14:solidFill>
                  <w14:schemeClr w14:val="tx1"/>
                </w14:solidFill>
              </w14:textFill>
            </w:rPr>
            <w:instrText xml:space="preserve"> PAGEREF _Toc22533 </w:instrTex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14:textFill>
                <w14:solidFill>
                  <w14:schemeClr w14:val="tx1"/>
                </w14:solidFill>
              </w14:textFill>
            </w:rPr>
            <w:t>14</w: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fldChar w:fldCharType="end"/>
          </w:r>
        </w:p>
        <w:p>
          <w:pPr>
            <w:pStyle w:val="21"/>
            <w:tabs>
              <w:tab w:val="right" w:leader="dot" w:pos="8580"/>
            </w:tabs>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instrText xml:space="preserve"> HYPERLINK \l _Toc29441 </w:instrTex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十二、 评估报告使用限制说明</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14:textFill>
                <w14:solidFill>
                  <w14:schemeClr w14:val="tx1"/>
                </w14:solidFill>
              </w14:textFill>
            </w:rPr>
            <w:instrText xml:space="preserve"> PAGEREF _Toc29441 </w:instrTex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14:textFill>
                <w14:solidFill>
                  <w14:schemeClr w14:val="tx1"/>
                </w14:solidFill>
              </w14:textFill>
            </w:rPr>
            <w:t>17</w: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fldChar w:fldCharType="end"/>
          </w:r>
        </w:p>
        <w:p>
          <w:pPr>
            <w:pStyle w:val="21"/>
            <w:tabs>
              <w:tab w:val="right" w:leader="dot" w:pos="8580"/>
            </w:tabs>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instrText xml:space="preserve"> HYPERLINK \l _Toc26643 </w:instrTex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十三、 资产评估报告日</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14:textFill>
                <w14:solidFill>
                  <w14:schemeClr w14:val="tx1"/>
                </w14:solidFill>
              </w14:textFill>
            </w:rPr>
            <w:instrText xml:space="preserve"> PAGEREF _Toc26643 </w:instrTex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14:textFill>
                <w14:solidFill>
                  <w14:schemeClr w14:val="tx1"/>
                </w14:solidFill>
              </w14:textFill>
            </w:rPr>
            <w:t>18</w: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fldChar w:fldCharType="end"/>
          </w:r>
        </w:p>
        <w:p>
          <w:pPr>
            <w:pStyle w:val="21"/>
            <w:tabs>
              <w:tab w:val="right" w:leader="dot" w:pos="8580"/>
            </w:tabs>
            <w:rPr>
              <w:rFonts w:hint="default"/>
              <w:color w:val="000000" w:themeColor="text1"/>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instrText xml:space="preserve"> HYPERLINK \l _Toc21500 </w:instrTex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十四、 资产评估专业人员签名和资产评估机构印章</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7</w:t>
          </w:r>
        </w:p>
        <w:p>
          <w:pPr>
            <w:pStyle w:val="22"/>
            <w:keepNext w:val="0"/>
            <w:keepLines w:val="0"/>
            <w:pageBreakBefore w:val="0"/>
            <w:widowControl/>
            <w:tabs>
              <w:tab w:val="right" w:leader="dot" w:pos="8580"/>
            </w:tabs>
            <w:kinsoku/>
            <w:wordWrap/>
            <w:overflowPunct/>
            <w:topLinePunct w:val="0"/>
            <w:autoSpaceDE/>
            <w:autoSpaceDN/>
            <w:bidi w:val="0"/>
            <w:adjustRightInd/>
            <w:snapToGrid/>
            <w:ind w:left="271" w:leftChars="123"/>
            <w:textAlignment w:val="auto"/>
            <w:rPr>
              <w:color w:val="000000" w:themeColor="text1"/>
              <w:highlight w:val="none"/>
              <w14:textFill>
                <w14:solidFill>
                  <w14:schemeClr w14:val="tx1"/>
                </w14:solidFill>
              </w14:textFill>
            </w:rPr>
          </w:pPr>
          <w:r>
            <w:rPr>
              <w:rFonts w:hint="default" w:ascii="Microsoft JhengHei" w:hAnsi="Microsoft JhengHei" w:eastAsia="Microsoft JhengHei" w:cs="Microsoft JhengHei"/>
              <w:b/>
              <w:bCs/>
              <w:color w:val="000000" w:themeColor="text1"/>
              <w:sz w:val="20"/>
              <w:szCs w:val="20"/>
              <w:highlight w:val="none"/>
              <w:lang w:val="en-US" w:eastAsia="zh-CN" w:bidi="ar-SA"/>
              <w14:textFill>
                <w14:solidFill>
                  <w14:schemeClr w14:val="tx1"/>
                </w14:solidFill>
              </w14:textFill>
            </w:rPr>
            <w:fldChar w:fldCharType="begin"/>
          </w:r>
          <w:r>
            <w:rPr>
              <w:rFonts w:hint="default" w:ascii="Microsoft JhengHei" w:hAnsi="Microsoft JhengHei" w:eastAsia="Microsoft JhengHei" w:cs="Microsoft JhengHei"/>
              <w:b/>
              <w:bCs/>
              <w:color w:val="000000" w:themeColor="text1"/>
              <w:sz w:val="20"/>
              <w:szCs w:val="20"/>
              <w:highlight w:val="none"/>
              <w:lang w:val="en-US" w:eastAsia="zh-CN" w:bidi="ar-SA"/>
              <w14:textFill>
                <w14:solidFill>
                  <w14:schemeClr w14:val="tx1"/>
                </w14:solidFill>
              </w14:textFill>
            </w:rPr>
            <w:instrText xml:space="preserve"> HYPERLINK \l _Toc16072 </w:instrText>
          </w:r>
          <w:r>
            <w:rPr>
              <w:rFonts w:hint="default" w:ascii="Microsoft JhengHei" w:hAnsi="Microsoft JhengHei" w:eastAsia="Microsoft JhengHei" w:cs="Microsoft JhengHei"/>
              <w:b/>
              <w:bCs/>
              <w:color w:val="000000" w:themeColor="text1"/>
              <w:sz w:val="20"/>
              <w:szCs w:val="20"/>
              <w:highlight w:val="none"/>
              <w:lang w:val="en-US" w:eastAsia="zh-CN" w:bidi="ar-SA"/>
              <w14:textFill>
                <w14:solidFill>
                  <w14:schemeClr w14:val="tx1"/>
                </w14:solidFill>
              </w14:textFill>
            </w:rPr>
            <w:fldChar w:fldCharType="separate"/>
          </w:r>
          <w:r>
            <w:rPr>
              <w:rFonts w:hint="default" w:ascii="Microsoft JhengHei" w:hAnsi="Microsoft JhengHei" w:eastAsia="Microsoft JhengHei" w:cs="Microsoft JhengHei"/>
              <w:b/>
              <w:bCs/>
              <w:color w:val="000000" w:themeColor="text1"/>
              <w:sz w:val="20"/>
              <w:szCs w:val="20"/>
              <w:highlight w:val="none"/>
              <w:lang w:val="en-US" w:eastAsia="zh-CN" w:bidi="ar-SA"/>
              <w14:textFill>
                <w14:solidFill>
                  <w14:schemeClr w14:val="tx1"/>
                </w14:solidFill>
              </w14:textFill>
            </w:rPr>
            <w:t>资产评估报告附件</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_Toc16072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19</w:t>
          </w:r>
          <w:r>
            <w:rPr>
              <w:color w:val="000000" w:themeColor="text1"/>
              <w:highlight w:val="none"/>
              <w14:textFill>
                <w14:solidFill>
                  <w14:schemeClr w14:val="tx1"/>
                </w14:solidFill>
              </w14:textFill>
            </w:rPr>
            <w:fldChar w:fldCharType="end"/>
          </w:r>
          <w:r>
            <w:rPr>
              <w:rFonts w:ascii="Calibri"/>
              <w:color w:val="000000" w:themeColor="text1"/>
              <w:highlight w:val="none"/>
              <w:lang w:eastAsia="zh-CN"/>
              <w14:textFill>
                <w14:solidFill>
                  <w14:schemeClr w14:val="tx1"/>
                </w14:solidFill>
              </w14:textFill>
            </w:rPr>
            <w:fldChar w:fldCharType="end"/>
          </w:r>
        </w:p>
        <w:p>
          <w:pPr>
            <w:pStyle w:val="22"/>
            <w:tabs>
              <w:tab w:val="right" w:leader="dot" w:pos="8580"/>
            </w:tabs>
            <w:rPr>
              <w:color w:val="000000" w:themeColor="text1"/>
              <w:highlight w:val="none"/>
              <w14:textFill>
                <w14:solidFill>
                  <w14:schemeClr w14:val="tx1"/>
                </w14:solidFill>
              </w14:textFill>
            </w:rPr>
          </w:pPr>
        </w:p>
        <w:p>
          <w:pPr>
            <w:pStyle w:val="5"/>
            <w:tabs>
              <w:tab w:val="right" w:pos="8580"/>
            </w:tabs>
            <w:ind w:right="0" w:rightChars="0"/>
            <w:rPr>
              <w:rFonts w:ascii="Calibri"/>
              <w:b/>
              <w:color w:val="000000" w:themeColor="text1"/>
              <w:sz w:val="20"/>
              <w:highlight w:val="none"/>
              <w:lang w:eastAsia="zh-CN"/>
              <w14:textFill>
                <w14:solidFill>
                  <w14:schemeClr w14:val="tx1"/>
                </w14:solidFill>
              </w14:textFill>
            </w:rPr>
          </w:pPr>
          <w:r>
            <w:rPr>
              <w:rFonts w:ascii="Calibri"/>
              <w:color w:val="000000" w:themeColor="text1"/>
              <w:highlight w:val="none"/>
              <w:lang w:eastAsia="zh-CN"/>
              <w14:textFill>
                <w14:solidFill>
                  <w14:schemeClr w14:val="tx1"/>
                </w14:solidFill>
              </w14:textFill>
            </w:rPr>
            <w:fldChar w:fldCharType="end"/>
          </w:r>
          <w:r>
            <w:rPr>
              <w:rFonts w:hint="eastAsia" w:ascii="Calibri"/>
              <w:color w:val="000000" w:themeColor="text1"/>
              <w:highlight w:val="none"/>
              <w:lang w:eastAsia="zh-CN"/>
              <w14:textFill>
                <w14:solidFill>
                  <w14:schemeClr w14:val="tx1"/>
                </w14:solidFill>
              </w14:textFill>
            </w:rPr>
            <w:tab/>
          </w:r>
        </w:p>
      </w:sdtContent>
    </w:sdt>
    <w:p>
      <w:pPr>
        <w:pStyle w:val="5"/>
        <w:ind w:right="0" w:rightChars="0"/>
        <w:rPr>
          <w:rFonts w:ascii="Calibri"/>
          <w:b/>
          <w:color w:val="000000" w:themeColor="text1"/>
          <w:sz w:val="20"/>
          <w:highlight w:val="none"/>
          <w:lang w:eastAsia="zh-CN"/>
          <w14:textFill>
            <w14:solidFill>
              <w14:schemeClr w14:val="tx1"/>
            </w14:solidFill>
          </w14:textFill>
        </w:rPr>
      </w:pPr>
    </w:p>
    <w:p>
      <w:pPr>
        <w:pStyle w:val="5"/>
        <w:ind w:right="0" w:rightChars="0"/>
        <w:rPr>
          <w:rFonts w:ascii="Calibri"/>
          <w:b/>
          <w:color w:val="000000" w:themeColor="text1"/>
          <w:sz w:val="20"/>
          <w:highlight w:val="none"/>
          <w:lang w:eastAsia="zh-CN"/>
          <w14:textFill>
            <w14:solidFill>
              <w14:schemeClr w14:val="tx1"/>
            </w14:solidFill>
          </w14:textFill>
        </w:rPr>
      </w:pPr>
    </w:p>
    <w:p>
      <w:pPr>
        <w:pStyle w:val="5"/>
        <w:ind w:right="0" w:rightChars="0"/>
        <w:rPr>
          <w:rFonts w:ascii="Calibri"/>
          <w:b/>
          <w:color w:val="000000" w:themeColor="text1"/>
          <w:sz w:val="20"/>
          <w:highlight w:val="none"/>
          <w:lang w:eastAsia="zh-CN"/>
          <w14:textFill>
            <w14:solidFill>
              <w14:schemeClr w14:val="tx1"/>
            </w14:solidFill>
          </w14:textFill>
        </w:rPr>
      </w:pPr>
    </w:p>
    <w:p>
      <w:pPr>
        <w:pStyle w:val="5"/>
        <w:ind w:right="0" w:rightChars="0"/>
        <w:rPr>
          <w:rFonts w:ascii="Calibri"/>
          <w:b/>
          <w:color w:val="000000" w:themeColor="text1"/>
          <w:sz w:val="20"/>
          <w:highlight w:val="none"/>
          <w:lang w:eastAsia="zh-CN"/>
          <w14:textFill>
            <w14:solidFill>
              <w14:schemeClr w14:val="tx1"/>
            </w14:solidFill>
          </w14:textFill>
        </w:rPr>
      </w:pPr>
    </w:p>
    <w:p>
      <w:pPr>
        <w:pStyle w:val="5"/>
        <w:ind w:right="0" w:rightChars="0"/>
        <w:rPr>
          <w:rFonts w:ascii="Calibri"/>
          <w:b/>
          <w:color w:val="000000" w:themeColor="text1"/>
          <w:sz w:val="20"/>
          <w:highlight w:val="none"/>
          <w:lang w:eastAsia="zh-CN"/>
          <w14:textFill>
            <w14:solidFill>
              <w14:schemeClr w14:val="tx1"/>
            </w14:solidFill>
          </w14:textFill>
        </w:rPr>
      </w:pPr>
    </w:p>
    <w:p>
      <w:pPr>
        <w:pStyle w:val="5"/>
        <w:ind w:right="0" w:rightChars="0"/>
        <w:rPr>
          <w:rFonts w:ascii="Calibri"/>
          <w:b/>
          <w:color w:val="000000" w:themeColor="text1"/>
          <w:sz w:val="20"/>
          <w:highlight w:val="none"/>
          <w:lang w:eastAsia="zh-CN"/>
          <w14:textFill>
            <w14:solidFill>
              <w14:schemeClr w14:val="tx1"/>
            </w14:solidFill>
          </w14:textFill>
        </w:rPr>
      </w:pPr>
    </w:p>
    <w:p>
      <w:pPr>
        <w:pStyle w:val="5"/>
        <w:ind w:right="0" w:rightChars="0"/>
        <w:rPr>
          <w:rFonts w:ascii="Calibri"/>
          <w:b/>
          <w:color w:val="000000" w:themeColor="text1"/>
          <w:sz w:val="20"/>
          <w:highlight w:val="none"/>
          <w:lang w:eastAsia="zh-CN"/>
          <w14:textFill>
            <w14:solidFill>
              <w14:schemeClr w14:val="tx1"/>
            </w14:solidFill>
          </w14:textFill>
        </w:rPr>
      </w:pPr>
    </w:p>
    <w:p>
      <w:pPr>
        <w:pStyle w:val="5"/>
        <w:ind w:right="0" w:rightChars="0"/>
        <w:rPr>
          <w:rFonts w:ascii="Calibri"/>
          <w:b/>
          <w:color w:val="000000" w:themeColor="text1"/>
          <w:sz w:val="20"/>
          <w:highlight w:val="none"/>
          <w:lang w:eastAsia="zh-CN"/>
          <w14:textFill>
            <w14:solidFill>
              <w14:schemeClr w14:val="tx1"/>
            </w14:solidFill>
          </w14:textFill>
        </w:rPr>
      </w:pPr>
    </w:p>
    <w:p>
      <w:pPr>
        <w:pStyle w:val="5"/>
        <w:ind w:right="0" w:rightChars="0"/>
        <w:rPr>
          <w:rFonts w:ascii="Calibri"/>
          <w:b/>
          <w:color w:val="000000" w:themeColor="text1"/>
          <w:sz w:val="20"/>
          <w:highlight w:val="none"/>
          <w:lang w:eastAsia="zh-CN"/>
          <w14:textFill>
            <w14:solidFill>
              <w14:schemeClr w14:val="tx1"/>
            </w14:solidFill>
          </w14:textFill>
        </w:rPr>
      </w:pPr>
    </w:p>
    <w:p>
      <w:pPr>
        <w:pStyle w:val="5"/>
        <w:ind w:right="0" w:rightChars="0"/>
        <w:rPr>
          <w:rFonts w:ascii="Calibri"/>
          <w:b/>
          <w:color w:val="000000" w:themeColor="text1"/>
          <w:sz w:val="20"/>
          <w:highlight w:val="none"/>
          <w:lang w:eastAsia="zh-CN"/>
          <w14:textFill>
            <w14:solidFill>
              <w14:schemeClr w14:val="tx1"/>
            </w14:solidFill>
          </w14:textFill>
        </w:rPr>
      </w:pPr>
    </w:p>
    <w:p>
      <w:pPr>
        <w:pStyle w:val="5"/>
        <w:ind w:right="0" w:rightChars="0"/>
        <w:rPr>
          <w:rFonts w:ascii="Calibri"/>
          <w:b/>
          <w:color w:val="000000" w:themeColor="text1"/>
          <w:sz w:val="20"/>
          <w:highlight w:val="none"/>
          <w:lang w:eastAsia="zh-CN"/>
          <w14:textFill>
            <w14:solidFill>
              <w14:schemeClr w14:val="tx1"/>
            </w14:solidFill>
          </w14:textFill>
        </w:rPr>
      </w:pPr>
    </w:p>
    <w:p>
      <w:pPr>
        <w:pStyle w:val="5"/>
        <w:ind w:right="0" w:rightChars="0"/>
        <w:rPr>
          <w:rFonts w:ascii="Calibri"/>
          <w:b/>
          <w:color w:val="000000" w:themeColor="text1"/>
          <w:sz w:val="20"/>
          <w:highlight w:val="none"/>
          <w:lang w:eastAsia="zh-CN"/>
          <w14:textFill>
            <w14:solidFill>
              <w14:schemeClr w14:val="tx1"/>
            </w14:solidFill>
          </w14:textFill>
        </w:rPr>
      </w:pPr>
    </w:p>
    <w:p>
      <w:pPr>
        <w:pStyle w:val="5"/>
        <w:ind w:right="0" w:rightChars="0"/>
        <w:rPr>
          <w:rFonts w:ascii="Calibri"/>
          <w:b/>
          <w:color w:val="000000" w:themeColor="text1"/>
          <w:sz w:val="20"/>
          <w:highlight w:val="none"/>
          <w:lang w:eastAsia="zh-CN"/>
          <w14:textFill>
            <w14:solidFill>
              <w14:schemeClr w14:val="tx1"/>
            </w14:solidFill>
          </w14:textFill>
        </w:rPr>
      </w:pPr>
    </w:p>
    <w:p>
      <w:pPr>
        <w:pStyle w:val="5"/>
        <w:ind w:right="0" w:rightChars="0"/>
        <w:rPr>
          <w:rFonts w:ascii="Calibri"/>
          <w:b/>
          <w:color w:val="000000" w:themeColor="text1"/>
          <w:sz w:val="20"/>
          <w:highlight w:val="none"/>
          <w:lang w:eastAsia="zh-CN"/>
          <w14:textFill>
            <w14:solidFill>
              <w14:schemeClr w14:val="tx1"/>
            </w14:solidFill>
          </w14:textFill>
        </w:rPr>
      </w:pPr>
    </w:p>
    <w:p>
      <w:pPr>
        <w:pStyle w:val="5"/>
        <w:ind w:right="0" w:rightChars="0"/>
        <w:rPr>
          <w:rFonts w:ascii="Calibri"/>
          <w:b/>
          <w:color w:val="000000" w:themeColor="text1"/>
          <w:sz w:val="20"/>
          <w:highlight w:val="none"/>
          <w:lang w:eastAsia="zh-CN"/>
          <w14:textFill>
            <w14:solidFill>
              <w14:schemeClr w14:val="tx1"/>
            </w14:solidFill>
          </w14:textFill>
        </w:rPr>
      </w:pPr>
    </w:p>
    <w:p>
      <w:pPr>
        <w:pStyle w:val="5"/>
        <w:ind w:right="0" w:rightChars="0"/>
        <w:rPr>
          <w:rFonts w:ascii="Calibri"/>
          <w:b/>
          <w:color w:val="000000" w:themeColor="text1"/>
          <w:sz w:val="20"/>
          <w:highlight w:val="none"/>
          <w:lang w:eastAsia="zh-CN"/>
          <w14:textFill>
            <w14:solidFill>
              <w14:schemeClr w14:val="tx1"/>
            </w14:solidFill>
          </w14:textFill>
        </w:rPr>
      </w:pPr>
    </w:p>
    <w:p>
      <w:pPr>
        <w:pStyle w:val="5"/>
        <w:ind w:right="0" w:rightChars="0"/>
        <w:rPr>
          <w:rFonts w:ascii="Calibri"/>
          <w:b/>
          <w:color w:val="000000" w:themeColor="text1"/>
          <w:sz w:val="20"/>
          <w:highlight w:val="none"/>
          <w:lang w:eastAsia="zh-CN"/>
          <w14:textFill>
            <w14:solidFill>
              <w14:schemeClr w14:val="tx1"/>
            </w14:solidFill>
          </w14:textFill>
        </w:rPr>
      </w:pPr>
    </w:p>
    <w:p>
      <w:pPr>
        <w:pStyle w:val="5"/>
        <w:ind w:right="0" w:rightChars="0"/>
        <w:rPr>
          <w:rFonts w:ascii="Calibri"/>
          <w:b/>
          <w:color w:val="000000" w:themeColor="text1"/>
          <w:sz w:val="20"/>
          <w:highlight w:val="none"/>
          <w:lang w:eastAsia="zh-CN"/>
          <w14:textFill>
            <w14:solidFill>
              <w14:schemeClr w14:val="tx1"/>
            </w14:solidFill>
          </w14:textFill>
        </w:rPr>
      </w:pPr>
    </w:p>
    <w:p>
      <w:pPr>
        <w:pStyle w:val="5"/>
        <w:ind w:right="0" w:rightChars="0"/>
        <w:rPr>
          <w:rFonts w:ascii="Calibri"/>
          <w:b/>
          <w:color w:val="000000" w:themeColor="text1"/>
          <w:sz w:val="20"/>
          <w:highlight w:val="none"/>
          <w:lang w:eastAsia="zh-CN"/>
          <w14:textFill>
            <w14:solidFill>
              <w14:schemeClr w14:val="tx1"/>
            </w14:solidFill>
          </w14:textFill>
        </w:rPr>
      </w:pPr>
    </w:p>
    <w:p>
      <w:pPr>
        <w:pStyle w:val="5"/>
        <w:ind w:right="0" w:rightChars="0"/>
        <w:rPr>
          <w:rFonts w:ascii="Calibri"/>
          <w:b/>
          <w:color w:val="000000" w:themeColor="text1"/>
          <w:sz w:val="20"/>
          <w:highlight w:val="none"/>
          <w:lang w:eastAsia="zh-CN"/>
          <w14:textFill>
            <w14:solidFill>
              <w14:schemeClr w14:val="tx1"/>
            </w14:solidFill>
          </w14:textFill>
        </w:rPr>
      </w:pPr>
    </w:p>
    <w:p>
      <w:pPr>
        <w:pStyle w:val="5"/>
        <w:ind w:right="0" w:rightChars="0"/>
        <w:rPr>
          <w:rFonts w:ascii="Calibri"/>
          <w:b/>
          <w:color w:val="000000" w:themeColor="text1"/>
          <w:sz w:val="20"/>
          <w:highlight w:val="none"/>
          <w:lang w:eastAsia="zh-CN"/>
          <w14:textFill>
            <w14:solidFill>
              <w14:schemeClr w14:val="tx1"/>
            </w14:solidFill>
          </w14:textFill>
        </w:rPr>
      </w:pPr>
    </w:p>
    <w:p>
      <w:pPr>
        <w:bidi w:val="0"/>
        <w:jc w:val="left"/>
        <w:rPr>
          <w:color w:val="000000" w:themeColor="text1"/>
          <w:highlight w:val="none"/>
          <w:lang w:eastAsia="zh-CN"/>
          <w14:textFill>
            <w14:solidFill>
              <w14:schemeClr w14:val="tx1"/>
            </w14:solidFill>
          </w14:textFill>
        </w:rPr>
      </w:pPr>
    </w:p>
    <w:p>
      <w:pPr>
        <w:pStyle w:val="2"/>
        <w:tabs>
          <w:tab w:val="left" w:pos="599"/>
        </w:tabs>
        <w:ind w:right="0" w:rightChars="0"/>
        <w:outlineLvl w:val="9"/>
        <w:rPr>
          <w:color w:val="000000" w:themeColor="text1"/>
          <w:highlight w:val="none"/>
          <w:lang w:eastAsia="zh-CN"/>
          <w14:textFill>
            <w14:solidFill>
              <w14:schemeClr w14:val="tx1"/>
            </w14:solidFill>
          </w14:textFill>
        </w:rPr>
      </w:pPr>
      <w:bookmarkStart w:id="2" w:name="声__明"/>
      <w:bookmarkEnd w:id="2"/>
    </w:p>
    <w:p>
      <w:pPr>
        <w:pStyle w:val="2"/>
        <w:tabs>
          <w:tab w:val="left" w:pos="599"/>
        </w:tabs>
        <w:ind w:right="0" w:rightChars="0"/>
        <w:outlineLvl w:val="9"/>
        <w:rPr>
          <w:color w:val="000000" w:themeColor="text1"/>
          <w:highlight w:val="none"/>
          <w:lang w:eastAsia="zh-CN"/>
          <w14:textFill>
            <w14:solidFill>
              <w14:schemeClr w14:val="tx1"/>
            </w14:solidFill>
          </w14:textFill>
        </w:rPr>
        <w:sectPr>
          <w:headerReference r:id="rId4" w:type="default"/>
          <w:footerReference r:id="rId5" w:type="default"/>
          <w:pgSz w:w="11910" w:h="16840"/>
          <w:pgMar w:top="1417" w:right="1670" w:bottom="1202" w:left="1660" w:header="879" w:footer="1003" w:gutter="0"/>
          <w:pgBorders>
            <w:top w:val="none" w:sz="0" w:space="0"/>
            <w:left w:val="none" w:sz="0" w:space="0"/>
            <w:bottom w:val="none" w:sz="0" w:space="0"/>
            <w:right w:val="none" w:sz="0" w:space="0"/>
          </w:pgBorders>
          <w:pgNumType w:fmt="decimal" w:start="1"/>
          <w:cols w:space="0" w:num="1"/>
          <w:rtlGutter w:val="0"/>
          <w:docGrid w:linePitch="0" w:charSpace="0"/>
        </w:sectPr>
      </w:pPr>
    </w:p>
    <w:p>
      <w:pPr>
        <w:pStyle w:val="2"/>
        <w:tabs>
          <w:tab w:val="left" w:pos="599"/>
        </w:tabs>
        <w:ind w:right="0" w:rightChars="0"/>
        <w:jc w:val="center"/>
        <w:rPr>
          <w:color w:val="000000" w:themeColor="text1"/>
          <w:highlight w:val="none"/>
          <w:lang w:eastAsia="zh-CN"/>
          <w14:textFill>
            <w14:solidFill>
              <w14:schemeClr w14:val="tx1"/>
            </w14:solidFill>
          </w14:textFill>
        </w:rPr>
      </w:pPr>
      <w:bookmarkStart w:id="3" w:name="_Toc863"/>
      <w:r>
        <w:rPr>
          <w:color w:val="000000" w:themeColor="text1"/>
          <w:highlight w:val="none"/>
          <w:lang w:eastAsia="zh-CN"/>
          <w14:textFill>
            <w14:solidFill>
              <w14:schemeClr w14:val="tx1"/>
            </w14:solidFill>
          </w14:textFill>
        </w:rPr>
        <w:t>声</w:t>
      </w:r>
      <w:r>
        <w:rPr>
          <w:color w:val="000000" w:themeColor="text1"/>
          <w:highlight w:val="none"/>
          <w:lang w:eastAsia="zh-CN"/>
          <w14:textFill>
            <w14:solidFill>
              <w14:schemeClr w14:val="tx1"/>
            </w14:solidFill>
          </w14:textFill>
        </w:rPr>
        <w:tab/>
      </w:r>
      <w:r>
        <w:rPr>
          <w:color w:val="000000" w:themeColor="text1"/>
          <w:highlight w:val="none"/>
          <w:lang w:eastAsia="zh-CN"/>
          <w14:textFill>
            <w14:solidFill>
              <w14:schemeClr w14:val="tx1"/>
            </w14:solidFill>
          </w14:textFill>
        </w:rPr>
        <w:t>明</w:t>
      </w:r>
      <w:bookmarkEnd w:id="3"/>
    </w:p>
    <w:p>
      <w:pPr>
        <w:pStyle w:val="5"/>
        <w:ind w:right="0" w:rightChars="0"/>
        <w:rPr>
          <w:rFonts w:ascii="黑体"/>
          <w:color w:val="000000" w:themeColor="text1"/>
          <w:sz w:val="30"/>
          <w:highlight w:val="none"/>
          <w:lang w:eastAsia="zh-CN"/>
          <w14:textFill>
            <w14:solidFill>
              <w14:schemeClr w14:val="tx1"/>
            </w14:solidFill>
          </w14:textFill>
        </w:rPr>
      </w:pPr>
    </w:p>
    <w:p>
      <w:pPr>
        <w:pStyle w:val="5"/>
        <w:spacing w:before="1"/>
        <w:ind w:right="0" w:rightChars="0"/>
        <w:rPr>
          <w:rFonts w:ascii="黑体"/>
          <w:color w:val="000000" w:themeColor="text1"/>
          <w:sz w:val="21"/>
          <w:highlight w:val="none"/>
          <w:lang w:eastAsia="zh-CN"/>
          <w14:textFill>
            <w14:solidFill>
              <w14:schemeClr w14:val="tx1"/>
            </w14:solidFill>
          </w14:textFill>
        </w:rPr>
      </w:pPr>
    </w:p>
    <w:p>
      <w:pPr>
        <w:pStyle w:val="5"/>
        <w:spacing w:before="1" w:line="297" w:lineRule="auto"/>
        <w:ind w:left="140" w:right="0" w:rightChars="0" w:firstLine="559"/>
        <w:jc w:val="both"/>
        <w:rPr>
          <w:color w:val="000000" w:themeColor="text1"/>
          <w:highlight w:val="none"/>
          <w:lang w:eastAsia="zh-CN"/>
          <w14:textFill>
            <w14:solidFill>
              <w14:schemeClr w14:val="tx1"/>
            </w14:solidFill>
          </w14:textFill>
        </w:rPr>
      </w:pPr>
      <w:r>
        <w:rPr>
          <w:color w:val="000000" w:themeColor="text1"/>
          <w:spacing w:val="-11"/>
          <w:highlight w:val="none"/>
          <w:lang w:eastAsia="zh-CN"/>
          <w14:textFill>
            <w14:solidFill>
              <w14:schemeClr w14:val="tx1"/>
            </w14:solidFill>
          </w14:textFill>
        </w:rPr>
        <w:t>一、本资产评估报告依据财政部发布的资产评估基本准则和中国</w:t>
      </w:r>
      <w:r>
        <w:rPr>
          <w:color w:val="000000" w:themeColor="text1"/>
          <w:spacing w:val="-7"/>
          <w:highlight w:val="none"/>
          <w:lang w:eastAsia="zh-CN"/>
          <w14:textFill>
            <w14:solidFill>
              <w14:schemeClr w14:val="tx1"/>
            </w14:solidFill>
          </w14:textFill>
        </w:rPr>
        <w:t>资产评估协会发布的资产评估执业准则和职业道德准则编制。</w:t>
      </w:r>
    </w:p>
    <w:p>
      <w:pPr>
        <w:pStyle w:val="5"/>
        <w:tabs>
          <w:tab w:val="left" w:pos="8800"/>
        </w:tabs>
        <w:spacing w:before="20" w:line="297" w:lineRule="auto"/>
        <w:ind w:left="140" w:right="0" w:rightChars="0" w:firstLine="559"/>
        <w:rPr>
          <w:color w:val="000000" w:themeColor="text1"/>
          <w:highlight w:val="none"/>
          <w:lang w:eastAsia="zh-CN"/>
          <w14:textFill>
            <w14:solidFill>
              <w14:schemeClr w14:val="tx1"/>
            </w14:solidFill>
          </w14:textFill>
        </w:rPr>
      </w:pPr>
      <w:r>
        <w:rPr>
          <w:rFonts w:hint="eastAsia"/>
          <w:color w:val="000000" w:themeColor="text1"/>
          <w:spacing w:val="1"/>
          <w:highlight w:val="none"/>
          <w:lang w:eastAsia="zh-CN"/>
          <w14:textFill>
            <w14:solidFill>
              <w14:schemeClr w14:val="tx1"/>
            </w14:solidFill>
          </w14:textFill>
        </w:rPr>
        <w:t>二</w:t>
      </w:r>
      <w:r>
        <w:rPr>
          <w:color w:val="000000" w:themeColor="text1"/>
          <w:spacing w:val="1"/>
          <w:highlight w:val="none"/>
          <w:lang w:eastAsia="zh-CN"/>
          <w14:textFill>
            <w14:solidFill>
              <w14:schemeClr w14:val="tx1"/>
            </w14:solidFill>
          </w14:textFill>
        </w:rPr>
        <w:t>、委托人或者其他资产评估报告使用人应当按照法律、行政法规规定和资产评估报告载明的使用范围使用资产评估报告；委托 人或者其他资产评估报告使用人违反前述规定使用资产评估报告的</w:t>
      </w:r>
      <w:r>
        <w:rPr>
          <w:rFonts w:hint="eastAsia"/>
          <w:color w:val="000000" w:themeColor="text1"/>
          <w:spacing w:val="1"/>
          <w:highlight w:val="none"/>
          <w:lang w:eastAsia="zh-CN"/>
          <w14:textFill>
            <w14:solidFill>
              <w14:schemeClr w14:val="tx1"/>
            </w14:solidFill>
          </w14:textFill>
        </w:rPr>
        <w:t>，</w:t>
      </w:r>
      <w:r>
        <w:rPr>
          <w:color w:val="000000" w:themeColor="text1"/>
          <w:spacing w:val="-3"/>
          <w:highlight w:val="none"/>
          <w:lang w:eastAsia="zh-CN"/>
          <w14:textFill>
            <w14:solidFill>
              <w14:schemeClr w14:val="tx1"/>
            </w14:solidFill>
          </w14:textFill>
        </w:rPr>
        <w:t>资产评估机构及其资产评估师不承担责任。</w:t>
      </w:r>
    </w:p>
    <w:p>
      <w:pPr>
        <w:pStyle w:val="5"/>
        <w:spacing w:before="22" w:line="297" w:lineRule="auto"/>
        <w:ind w:left="140" w:right="0" w:rightChars="0" w:firstLine="559"/>
        <w:jc w:val="both"/>
        <w:rPr>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三、</w:t>
      </w:r>
      <w:r>
        <w:rPr>
          <w:color w:val="000000" w:themeColor="text1"/>
          <w:highlight w:val="none"/>
          <w:lang w:eastAsia="zh-CN"/>
          <w14:textFill>
            <w14:solidFill>
              <w14:schemeClr w14:val="tx1"/>
            </w14:solidFill>
          </w14:textFill>
        </w:rPr>
        <w:t>本资产评估报告仅供委托人、资产评估委托合同中约定的其他资产评估报告使用人和法律、行政法规规定的资产评估报告使用人使用；除此之外，其他任何机构和个人不能成为资产评估报告的使用人。</w:t>
      </w:r>
    </w:p>
    <w:p>
      <w:pPr>
        <w:pStyle w:val="5"/>
        <w:spacing w:before="19" w:line="297" w:lineRule="auto"/>
        <w:ind w:left="140" w:right="0" w:rightChars="0" w:firstLine="559"/>
        <w:jc w:val="both"/>
        <w:rPr>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四、</w:t>
      </w:r>
      <w:r>
        <w:rPr>
          <w:color w:val="000000" w:themeColor="text1"/>
          <w:highlight w:val="none"/>
          <w:lang w:eastAsia="zh-CN"/>
          <w14:textFill>
            <w14:solidFill>
              <w14:schemeClr w14:val="tx1"/>
            </w14:solidFill>
          </w14:textFill>
        </w:rPr>
        <w:t>本资产评估机构及资产评估师提示资产评估报告使用人应当正确理解评估结论，评估结论不等同于评估对象可实现价格，评估结论不应当被认为是对评估对象可实现价格的保证。</w:t>
      </w:r>
    </w:p>
    <w:p>
      <w:pPr>
        <w:pStyle w:val="5"/>
        <w:spacing w:before="22" w:line="297" w:lineRule="auto"/>
        <w:ind w:left="140" w:right="0" w:rightChars="0" w:firstLine="559"/>
        <w:jc w:val="both"/>
        <w:rPr>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五、资产评估机构及其资产评估专业人员遵守法律、行政法规和资产评估准则，坚持独立、客观、公正的原则，并对所出具的资产评估报告依法承担责任</w:t>
      </w:r>
      <w:r>
        <w:rPr>
          <w:color w:val="000000" w:themeColor="text1"/>
          <w:highlight w:val="none"/>
          <w:lang w:eastAsia="zh-CN"/>
          <w14:textFill>
            <w14:solidFill>
              <w14:schemeClr w14:val="tx1"/>
            </w14:solidFill>
          </w14:textFill>
        </w:rPr>
        <w:t>。</w:t>
      </w:r>
    </w:p>
    <w:p>
      <w:pPr>
        <w:pStyle w:val="5"/>
        <w:spacing w:before="20" w:line="297" w:lineRule="auto"/>
        <w:ind w:left="140" w:right="0" w:rightChars="0" w:firstLine="559"/>
        <w:jc w:val="both"/>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六</w:t>
      </w:r>
      <w:r>
        <w:rPr>
          <w:color w:val="000000" w:themeColor="text1"/>
          <w:highlight w:val="none"/>
          <w:lang w:eastAsia="zh-CN"/>
          <w14:textFill>
            <w14:solidFill>
              <w14:schemeClr w14:val="tx1"/>
            </w14:solidFill>
          </w14:textFill>
        </w:rPr>
        <w:t>、</w:t>
      </w:r>
      <w:r>
        <w:rPr>
          <w:rFonts w:hint="eastAsia"/>
          <w:color w:val="000000" w:themeColor="text1"/>
          <w:highlight w:val="none"/>
          <w:lang w:eastAsia="zh-CN"/>
          <w14:textFill>
            <w14:solidFill>
              <w14:schemeClr w14:val="tx1"/>
            </w14:solidFill>
          </w14:textFill>
        </w:rPr>
        <w:t>资产评估报告使用人应当关注评估结论成立的假设前提、资产评估报告特别事项说明和使用限制。</w:t>
      </w:r>
    </w:p>
    <w:p>
      <w:pPr>
        <w:pStyle w:val="5"/>
        <w:spacing w:before="20" w:line="297" w:lineRule="auto"/>
        <w:ind w:left="140" w:right="0" w:rightChars="0" w:firstLine="559"/>
        <w:jc w:val="both"/>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七、评估对象涉及的资产、负债清单以及收益预测资料由被评估单位申报并经其签章确认，所提供资料的真实性、合法性、完整性是委托人、被评估单位和相关当事人的责任。</w:t>
      </w:r>
    </w:p>
    <w:p>
      <w:pPr>
        <w:pStyle w:val="5"/>
        <w:spacing w:before="20" w:line="297" w:lineRule="auto"/>
        <w:ind w:left="140" w:right="0" w:rightChars="0" w:firstLine="559"/>
        <w:jc w:val="both"/>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八、我们与评估报告中的评估对象无利益关系，与相关当事人无利益关系，对相关当事人不存在偏见。</w:t>
      </w:r>
    </w:p>
    <w:p>
      <w:pPr>
        <w:pStyle w:val="5"/>
        <w:spacing w:before="20" w:line="297" w:lineRule="auto"/>
        <w:ind w:left="140" w:right="0" w:rightChars="0" w:firstLine="559"/>
        <w:jc w:val="both"/>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九、我们已对评估报告中的评估对象进行现场勘察;我们已对评估对象的法律权属状况给予必要的关注，对评估对象法律权属资料进行查验，但无法对评估对象的法律权属真实性做任何形式的保证。</w:t>
      </w:r>
    </w:p>
    <w:p>
      <w:pPr>
        <w:pStyle w:val="5"/>
        <w:spacing w:before="20" w:line="297" w:lineRule="auto"/>
        <w:ind w:left="140" w:right="0" w:rightChars="0" w:firstLine="559"/>
        <w:jc w:val="both"/>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十、我们未考虑本次申报评估资产抵押、担保等任何限制因素对评估结论的影响。</w:t>
      </w:r>
    </w:p>
    <w:p>
      <w:pPr>
        <w:pStyle w:val="5"/>
        <w:spacing w:before="20" w:line="297" w:lineRule="auto"/>
        <w:ind w:left="140" w:right="0" w:rightChars="0" w:firstLine="559"/>
        <w:jc w:val="both"/>
        <w:rPr>
          <w:color w:val="000000" w:themeColor="text1"/>
          <w:highlight w:val="none"/>
          <w:lang w:eastAsia="zh-CN"/>
          <w14:textFill>
            <w14:solidFill>
              <w14:schemeClr w14:val="tx1"/>
            </w14:solidFill>
          </w14:textFill>
        </w:rPr>
        <w:sectPr>
          <w:footerReference r:id="rId6" w:type="default"/>
          <w:pgSz w:w="11910" w:h="16840"/>
          <w:pgMar w:top="1417" w:right="1670" w:bottom="1202" w:left="1660" w:header="879" w:footer="1003" w:gutter="0"/>
          <w:pgBorders>
            <w:top w:val="none" w:sz="0" w:space="0"/>
            <w:left w:val="none" w:sz="0" w:space="0"/>
            <w:bottom w:val="none" w:sz="0" w:space="0"/>
            <w:right w:val="none" w:sz="0" w:space="0"/>
          </w:pgBorders>
          <w:pgNumType w:fmt="decimal" w:start="1"/>
          <w:cols w:space="720" w:num="1"/>
        </w:sectPr>
      </w:pPr>
    </w:p>
    <w:p>
      <w:pPr>
        <w:pStyle w:val="5"/>
        <w:spacing w:before="12"/>
        <w:ind w:right="1450" w:rightChars="659"/>
        <w:rPr>
          <w:color w:val="000000" w:themeColor="text1"/>
          <w:sz w:val="3"/>
          <w:highlight w:val="none"/>
          <w:lang w:eastAsia="zh-CN"/>
          <w14:textFill>
            <w14:solidFill>
              <w14:schemeClr w14:val="tx1"/>
            </w14:solidFill>
          </w14:textFill>
        </w:rPr>
      </w:pPr>
    </w:p>
    <w:p>
      <w:pPr>
        <w:pStyle w:val="5"/>
        <w:spacing w:line="20" w:lineRule="exact"/>
        <w:ind w:right="1010" w:rightChars="459"/>
        <w:rPr>
          <w:color w:val="000000" w:themeColor="text1"/>
          <w:sz w:val="20"/>
          <w:highlight w:val="none"/>
          <w14:textFill>
            <w14:solidFill>
              <w14:schemeClr w14:val="tx1"/>
            </w14:solidFill>
          </w14:textFill>
        </w:rPr>
      </w:pPr>
    </w:p>
    <w:p>
      <w:pPr>
        <w:pStyle w:val="5"/>
        <w:spacing w:before="5"/>
        <w:rPr>
          <w:color w:val="000000" w:themeColor="text1"/>
          <w:sz w:val="19"/>
          <w:highlight w:val="none"/>
          <w14:textFill>
            <w14:solidFill>
              <w14:schemeClr w14:val="tx1"/>
            </w14:solidFill>
          </w14:textFill>
        </w:rPr>
      </w:pPr>
    </w:p>
    <w:p>
      <w:pPr>
        <w:pStyle w:val="2"/>
        <w:spacing w:before="8"/>
        <w:ind w:left="13" w:leftChars="0" w:hanging="13" w:firstLineChars="0"/>
        <w:jc w:val="center"/>
        <w:rPr>
          <w:color w:val="000000" w:themeColor="text1"/>
          <w:highlight w:val="none"/>
          <w:lang w:eastAsia="zh-CN"/>
          <w14:textFill>
            <w14:solidFill>
              <w14:schemeClr w14:val="tx1"/>
            </w14:solidFill>
          </w14:textFill>
        </w:rPr>
      </w:pPr>
      <w:bookmarkStart w:id="4" w:name="资产评估报告摘要"/>
      <w:bookmarkEnd w:id="4"/>
      <w:bookmarkStart w:id="5" w:name="_Toc30979"/>
      <w:r>
        <w:rPr>
          <w:color w:val="000000" w:themeColor="text1"/>
          <w:highlight w:val="none"/>
          <w:lang w:eastAsia="zh-CN"/>
          <w14:textFill>
            <w14:solidFill>
              <w14:schemeClr w14:val="tx1"/>
            </w14:solidFill>
          </w14:textFill>
        </w:rPr>
        <w:t>资产评估报告摘要</w:t>
      </w:r>
      <w:bookmarkEnd w:id="5"/>
    </w:p>
    <w:p>
      <w:pPr>
        <w:pStyle w:val="5"/>
        <w:spacing w:before="20" w:line="297" w:lineRule="auto"/>
        <w:ind w:right="0" w:rightChars="0"/>
        <w:jc w:val="center"/>
        <w:rPr>
          <w:rFonts w:ascii="黑体"/>
          <w:color w:val="000000" w:themeColor="text1"/>
          <w:sz w:val="24"/>
          <w:szCs w:val="24"/>
          <w:highlight w:val="none"/>
          <w:lang w:eastAsia="zh-CN"/>
          <w14:textFill>
            <w14:solidFill>
              <w14:schemeClr w14:val="tx1"/>
            </w14:solidFill>
          </w14:textFill>
        </w:rPr>
      </w:pPr>
      <w:r>
        <w:rPr>
          <w:rFonts w:hint="eastAsia"/>
          <w:color w:val="000000" w:themeColor="text1"/>
          <w:spacing w:val="1"/>
          <w:sz w:val="24"/>
          <w:szCs w:val="24"/>
          <w:highlight w:val="none"/>
          <w:lang w:eastAsia="zh-CN"/>
          <w14:textFill>
            <w14:solidFill>
              <w14:schemeClr w14:val="tx1"/>
            </w14:solidFill>
          </w14:textFill>
        </w:rPr>
        <w:t>寿圣诚评报字(2021)第00</w:t>
      </w:r>
      <w:r>
        <w:rPr>
          <w:rFonts w:hint="eastAsia"/>
          <w:color w:val="000000" w:themeColor="text1"/>
          <w:spacing w:val="1"/>
          <w:sz w:val="24"/>
          <w:szCs w:val="24"/>
          <w:highlight w:val="none"/>
          <w:lang w:val="en-US" w:eastAsia="zh-CN"/>
          <w14:textFill>
            <w14:solidFill>
              <w14:schemeClr w14:val="tx1"/>
            </w14:solidFill>
          </w14:textFill>
        </w:rPr>
        <w:t>9</w:t>
      </w:r>
      <w:r>
        <w:rPr>
          <w:rFonts w:hint="eastAsia"/>
          <w:color w:val="000000" w:themeColor="text1"/>
          <w:spacing w:val="1"/>
          <w:sz w:val="24"/>
          <w:szCs w:val="24"/>
          <w:highlight w:val="none"/>
          <w:lang w:eastAsia="zh-CN"/>
          <w14:textFill>
            <w14:solidFill>
              <w14:schemeClr w14:val="tx1"/>
            </w14:solidFill>
          </w14:textFill>
        </w:rPr>
        <w:t>号</w:t>
      </w:r>
    </w:p>
    <w:p>
      <w:pPr>
        <w:pStyle w:val="5"/>
        <w:spacing w:before="10"/>
        <w:rPr>
          <w:rFonts w:ascii="黑体"/>
          <w:color w:val="000000" w:themeColor="text1"/>
          <w:sz w:val="11"/>
          <w:highlight w:val="none"/>
          <w:lang w:eastAsia="zh-CN"/>
          <w14:textFill>
            <w14:solidFill>
              <w14:schemeClr w14:val="tx1"/>
            </w14:solidFill>
          </w14:textFill>
        </w:rPr>
      </w:pPr>
      <w:r>
        <w:rPr>
          <w:color w:val="000000" w:themeColor="text1"/>
          <w:highlight w:val="none"/>
          <w14:textFill>
            <w14:solidFill>
              <w14:schemeClr w14:val="tx1"/>
            </w14:solidFill>
          </w14:textFill>
        </w:rPr>
        <w:pict>
          <v:shape id="_x0000_s1031" o:spid="_x0000_s1031" o:spt="202" type="#_x0000_t202" style="position:absolute;left:0pt;margin-left:97.05pt;margin-top:9.75pt;height:84.65pt;width:423.25pt;mso-position-horizontal-relative:page;mso-wrap-distance-bottom:0pt;mso-wrap-distance-top:0pt;z-index:251659264;mso-width-relative:page;mso-height-relative:page;" fillcolor="#F1F1F1" filled="t" coordsize="21600,21600">
            <v:path/>
            <v:fill on="t" focussize="0,0"/>
            <v:stroke weight="0.14pt" joinstyle="miter"/>
            <v:imagedata o:title=""/>
            <o:lock v:ext="edit"/>
            <v:textbox inset="0mm,0mm,0mm,0mm">
              <w:txbxContent>
                <w:p>
                  <w:pPr>
                    <w:spacing w:before="22" w:line="392" w:lineRule="exact"/>
                    <w:ind w:left="3612" w:right="3613"/>
                    <w:jc w:val="center"/>
                    <w:rPr>
                      <w:sz w:val="30"/>
                    </w:rPr>
                  </w:pPr>
                  <w:r>
                    <w:rPr>
                      <w:sz w:val="30"/>
                    </w:rPr>
                    <w:t>重要提示</w:t>
                  </w:r>
                </w:p>
                <w:p>
                  <w:pPr>
                    <w:spacing w:before="2" w:line="237" w:lineRule="auto"/>
                    <w:ind w:left="132" w:right="138" w:firstLine="566"/>
                    <w:jc w:val="both"/>
                    <w:rPr>
                      <w:sz w:val="30"/>
                      <w:lang w:eastAsia="zh-CN"/>
                    </w:rPr>
                  </w:pPr>
                  <w:r>
                    <w:rPr>
                      <w:sz w:val="30"/>
                      <w:lang w:eastAsia="zh-CN"/>
                    </w:rPr>
                    <w:t>本摘要内容摘自资产评估报告正文，欲了解本评估项目的详细情况并合理理解和使用评估结论，应认真阅读资产评估报告正文。</w:t>
                  </w:r>
                </w:p>
              </w:txbxContent>
            </v:textbox>
            <w10:wrap type="topAndBottom"/>
          </v:shape>
        </w:pict>
      </w:r>
    </w:p>
    <w:p>
      <w:pPr>
        <w:pStyle w:val="5"/>
        <w:spacing w:before="15"/>
        <w:ind w:left="140"/>
        <w:rPr>
          <w:rFonts w:hint="eastAsia"/>
          <w:color w:val="000000" w:themeColor="text1"/>
          <w:highlight w:val="none"/>
          <w:lang w:eastAsia="zh-CN"/>
          <w14:textFill>
            <w14:solidFill>
              <w14:schemeClr w14:val="tx1"/>
            </w14:solidFill>
          </w14:textFill>
        </w:rPr>
      </w:pPr>
    </w:p>
    <w:p>
      <w:pPr>
        <w:pStyle w:val="5"/>
        <w:tabs>
          <w:tab w:val="left" w:pos="660"/>
        </w:tabs>
        <w:spacing w:before="15" w:line="360" w:lineRule="auto"/>
        <w:rPr>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寿光市人民法院</w:t>
      </w:r>
      <w:r>
        <w:rPr>
          <w:color w:val="000000" w:themeColor="text1"/>
          <w:lang w:eastAsia="zh-CN"/>
          <w14:textFill>
            <w14:solidFill>
              <w14:schemeClr w14:val="tx1"/>
            </w14:solidFill>
          </w14:textFill>
        </w:rPr>
        <w:t>：</w:t>
      </w:r>
    </w:p>
    <w:p>
      <w:pPr>
        <w:pStyle w:val="5"/>
        <w:spacing w:before="20" w:line="297" w:lineRule="auto"/>
        <w:ind w:left="140" w:right="0" w:rightChars="0" w:firstLine="556"/>
        <w:jc w:val="both"/>
        <w:rPr>
          <w:rFonts w:hint="eastAsia"/>
          <w:color w:val="000000" w:themeColor="text1"/>
          <w:spacing w:val="1"/>
          <w:lang w:eastAsia="zh-CN"/>
          <w14:textFill>
            <w14:solidFill>
              <w14:schemeClr w14:val="tx1"/>
            </w14:solidFill>
          </w14:textFill>
        </w:rPr>
      </w:pPr>
      <w:r>
        <w:rPr>
          <w:rFonts w:hint="eastAsia"/>
          <w:color w:val="000000" w:themeColor="text1"/>
          <w:spacing w:val="1"/>
          <w:lang w:eastAsia="zh-CN"/>
          <w14:textFill>
            <w14:solidFill>
              <w14:schemeClr w14:val="tx1"/>
            </w14:solidFill>
          </w14:textFill>
        </w:rPr>
        <w:t>寿光圣诚资产评估有限公司接受贵院的委托，按照法律、行政法规和资产评估准则的规定，坚持独立、客观、公正的原则，按照必要的评估程序，对寿光市人民法院在拟执行姜国贤与陈洪明借款合同纠纷一案中涉及的固定资产-房屋建筑物的价值进行了评估。现将资产评估报告摘要如下：</w:t>
      </w:r>
    </w:p>
    <w:p>
      <w:pPr>
        <w:pStyle w:val="5"/>
        <w:spacing w:line="297" w:lineRule="auto"/>
        <w:ind w:right="0" w:rightChars="0" w:firstLine="560" w:firstLineChars="200"/>
        <w:jc w:val="both"/>
        <w:rPr>
          <w:rFonts w:hint="eastAsia"/>
          <w:color w:val="000000" w:themeColor="text1"/>
          <w:spacing w:val="-6"/>
          <w:lang w:eastAsia="zh-CN"/>
          <w14:textFill>
            <w14:solidFill>
              <w14:schemeClr w14:val="tx1"/>
            </w14:solidFill>
          </w14:textFill>
        </w:rPr>
      </w:pPr>
      <w:r>
        <w:rPr>
          <w:color w:val="000000" w:themeColor="text1"/>
          <w:lang w:eastAsia="zh-CN"/>
          <w14:textFill>
            <w14:solidFill>
              <w14:schemeClr w14:val="tx1"/>
            </w14:solidFill>
          </w14:textFill>
        </w:rPr>
        <w:t>评估目的：</w:t>
      </w:r>
      <w:r>
        <w:rPr>
          <w:rFonts w:hint="eastAsia"/>
          <w:color w:val="000000" w:themeColor="text1"/>
          <w:spacing w:val="-6"/>
          <w:lang w:eastAsia="zh-CN"/>
          <w14:textFill>
            <w14:solidFill>
              <w14:schemeClr w14:val="tx1"/>
            </w14:solidFill>
          </w14:textFill>
        </w:rPr>
        <w:t>本次评估目的是确定评估基准日对被拟执行人姜国贤与陈洪明借款合同纠纷一案中涉及的寿光市晨鸣路东荟仕名苑11号楼6单元501室的处置市场价值，为寿光市人民法院提供上述</w:t>
      </w:r>
      <w:r>
        <w:rPr>
          <w:rFonts w:hint="eastAsia"/>
          <w:color w:val="000000" w:themeColor="text1"/>
          <w:spacing w:val="-6"/>
          <w:lang w:val="en-US" w:eastAsia="zh-CN"/>
          <w14:textFill>
            <w14:solidFill>
              <w14:schemeClr w14:val="tx1"/>
            </w14:solidFill>
          </w14:textFill>
        </w:rPr>
        <w:t>房屋建筑物</w:t>
      </w:r>
      <w:r>
        <w:rPr>
          <w:rFonts w:hint="eastAsia"/>
          <w:color w:val="000000" w:themeColor="text1"/>
          <w:spacing w:val="-6"/>
          <w:lang w:eastAsia="zh-CN"/>
          <w14:textFill>
            <w14:solidFill>
              <w14:schemeClr w14:val="tx1"/>
            </w14:solidFill>
          </w14:textFill>
        </w:rPr>
        <w:t>的处置参考价。</w:t>
      </w:r>
    </w:p>
    <w:p>
      <w:pPr>
        <w:pStyle w:val="5"/>
        <w:spacing w:before="20" w:line="297" w:lineRule="auto"/>
        <w:ind w:left="140" w:right="0" w:rightChars="0" w:firstLine="556"/>
        <w:jc w:val="both"/>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评估对象：</w:t>
      </w:r>
      <w:r>
        <w:rPr>
          <w:rFonts w:hint="eastAsia"/>
          <w:color w:val="000000" w:themeColor="text1"/>
          <w:lang w:eastAsia="zh-CN"/>
          <w14:textFill>
            <w14:solidFill>
              <w14:schemeClr w14:val="tx1"/>
            </w14:solidFill>
          </w14:textFill>
        </w:rPr>
        <w:t>评估对象为寿光市人民法院在拟执行姜国贤与陈洪明 借款合同纠纷一案中涉及的寿光市晨鸣路东荟仕名苑11号楼6单元501室的处置市场价值。</w:t>
      </w:r>
    </w:p>
    <w:p>
      <w:pPr>
        <w:pStyle w:val="5"/>
        <w:spacing w:before="20" w:line="297" w:lineRule="auto"/>
        <w:ind w:left="140" w:right="0" w:rightChars="0" w:firstLine="559"/>
        <w:jc w:val="both"/>
        <w:rPr>
          <w:rFonts w:hint="eastAsia"/>
          <w:color w:val="000000" w:themeColor="text1"/>
          <w:lang w:eastAsia="zh-CN"/>
          <w14:textFill>
            <w14:solidFill>
              <w14:schemeClr w14:val="tx1"/>
            </w14:solidFill>
          </w14:textFill>
        </w:rPr>
      </w:pPr>
      <w:r>
        <w:rPr>
          <w:color w:val="000000" w:themeColor="text1"/>
          <w:spacing w:val="-8"/>
          <w:lang w:eastAsia="zh-CN"/>
          <w14:textFill>
            <w14:solidFill>
              <w14:schemeClr w14:val="tx1"/>
            </w14:solidFill>
          </w14:textFill>
        </w:rPr>
        <w:t>评估范围：</w:t>
      </w:r>
      <w:r>
        <w:rPr>
          <w:rFonts w:hint="eastAsia"/>
          <w:color w:val="000000" w:themeColor="text1"/>
          <w:lang w:eastAsia="zh-CN"/>
          <w14:textFill>
            <w14:solidFill>
              <w14:schemeClr w14:val="tx1"/>
            </w14:solidFill>
          </w14:textFill>
        </w:rPr>
        <w:t>仅限于寿光市人民法院在拟执行姜国贤与陈洪明借款合同纠纷一案中涉及的寿光市晨鸣路东荟仕名苑11号楼6单元501室。</w:t>
      </w:r>
    </w:p>
    <w:p>
      <w:pPr>
        <w:pStyle w:val="5"/>
        <w:spacing w:before="20" w:line="297" w:lineRule="auto"/>
        <w:ind w:left="-220" w:leftChars="-100" w:right="0" w:rightChars="0" w:firstLine="914" w:firstLineChars="329"/>
        <w:rPr>
          <w:color w:val="000000" w:themeColor="text1"/>
          <w:spacing w:val="-36"/>
          <w:lang w:eastAsia="zh-CN"/>
          <w14:textFill>
            <w14:solidFill>
              <w14:schemeClr w14:val="tx1"/>
            </w14:solidFill>
          </w14:textFill>
        </w:rPr>
      </w:pPr>
      <w:r>
        <w:rPr>
          <w:color w:val="000000" w:themeColor="text1"/>
          <w:spacing w:val="-1"/>
          <w:lang w:eastAsia="zh-CN"/>
          <w14:textFill>
            <w14:solidFill>
              <w14:schemeClr w14:val="tx1"/>
            </w14:solidFill>
          </w14:textFill>
        </w:rPr>
        <w:t>评估基准日：</w:t>
      </w:r>
      <w:r>
        <w:rPr>
          <w:rFonts w:hint="eastAsia"/>
          <w:color w:val="000000" w:themeColor="text1"/>
          <w:spacing w:val="-9"/>
          <w:lang w:val="en-US" w:eastAsia="zh-CN"/>
          <w14:textFill>
            <w14:solidFill>
              <w14:schemeClr w14:val="tx1"/>
            </w14:solidFill>
          </w14:textFill>
        </w:rPr>
        <w:t>2021年11月04日</w:t>
      </w:r>
    </w:p>
    <w:p>
      <w:pPr>
        <w:pStyle w:val="5"/>
        <w:spacing w:before="20" w:line="297" w:lineRule="auto"/>
        <w:ind w:left="697" w:right="0" w:rightChars="0"/>
        <w:rPr>
          <w:color w:val="000000" w:themeColor="text1"/>
          <w:lang w:eastAsia="zh-CN"/>
          <w14:textFill>
            <w14:solidFill>
              <w14:schemeClr w14:val="tx1"/>
            </w14:solidFill>
          </w14:textFill>
        </w:rPr>
      </w:pPr>
      <w:r>
        <w:rPr>
          <w:color w:val="000000" w:themeColor="text1"/>
          <w:spacing w:val="-15"/>
          <w:lang w:eastAsia="zh-CN"/>
          <w14:textFill>
            <w14:solidFill>
              <w14:schemeClr w14:val="tx1"/>
            </w14:solidFill>
          </w14:textFill>
        </w:rPr>
        <w:t>价值类型：</w:t>
      </w:r>
      <w:r>
        <w:rPr>
          <w:rFonts w:hint="eastAsia"/>
          <w:color w:val="000000" w:themeColor="text1"/>
          <w:spacing w:val="-15"/>
          <w:lang w:eastAsia="zh-CN"/>
          <w14:textFill>
            <w14:solidFill>
              <w14:schemeClr w14:val="tx1"/>
            </w14:solidFill>
          </w14:textFill>
        </w:rPr>
        <w:t>本次评估价值类型为市场价值。</w:t>
      </w:r>
    </w:p>
    <w:p>
      <w:pPr>
        <w:pStyle w:val="5"/>
        <w:spacing w:before="20"/>
        <w:ind w:left="699" w:right="0" w:rightChars="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评估方法：</w:t>
      </w:r>
      <w:r>
        <w:rPr>
          <w:rFonts w:hint="eastAsia"/>
          <w:color w:val="000000" w:themeColor="text1"/>
          <w:lang w:eastAsia="zh-CN"/>
          <w14:textFill>
            <w14:solidFill>
              <w14:schemeClr w14:val="tx1"/>
            </w14:solidFill>
          </w14:textFill>
        </w:rPr>
        <w:t>本项目采用成本法评估方法进行评估。</w:t>
      </w:r>
    </w:p>
    <w:p>
      <w:pPr>
        <w:pStyle w:val="5"/>
        <w:spacing w:before="87" w:line="297" w:lineRule="auto"/>
        <w:ind w:left="140" w:right="0" w:rightChars="0" w:firstLine="559"/>
        <w:jc w:val="both"/>
        <w:rPr>
          <w:rFonts w:hint="eastAsia"/>
          <w:color w:val="000000" w:themeColor="text1"/>
          <w:lang w:eastAsia="zh-CN"/>
          <w14:textFill>
            <w14:solidFill>
              <w14:schemeClr w14:val="tx1"/>
            </w14:solidFill>
          </w14:textFill>
        </w:rPr>
      </w:pPr>
      <w:bookmarkStart w:id="6" w:name="_Toc25847"/>
      <w:r>
        <w:rPr>
          <w:color w:val="000000" w:themeColor="text1"/>
          <w:lang w:eastAsia="zh-CN"/>
          <w14:textFill>
            <w14:solidFill>
              <w14:schemeClr w14:val="tx1"/>
            </w14:solidFill>
          </w14:textFill>
        </w:rPr>
        <w:t>评估结论：</w:t>
      </w:r>
      <w:bookmarkStart w:id="7" w:name="_Toc7084"/>
      <w:r>
        <w:rPr>
          <w:rFonts w:hint="eastAsia"/>
          <w:color w:val="000000" w:themeColor="text1"/>
          <w:lang w:eastAsia="zh-CN"/>
          <w14:textFill>
            <w14:solidFill>
              <w14:schemeClr w14:val="tx1"/>
            </w14:solidFill>
          </w14:textFill>
        </w:rPr>
        <w:t>截至评估基准日，寿光市人民法院在拟执行姜国贤与陈洪明借款合同纠纷一案中涉及的寿光市晨鸣路东荟仕名苑11号楼6单元501室，</w:t>
      </w:r>
      <w:r>
        <w:rPr>
          <w:rFonts w:hint="eastAsia"/>
          <w:color w:val="000000" w:themeColor="text1"/>
          <w:lang w:val="en-US" w:eastAsia="zh-CN"/>
          <w14:textFill>
            <w14:solidFill>
              <w14:schemeClr w14:val="tx1"/>
            </w14:solidFill>
          </w14:textFill>
        </w:rPr>
        <w:t>资产</w:t>
      </w:r>
      <w:r>
        <w:rPr>
          <w:rFonts w:hint="eastAsia"/>
          <w:color w:val="000000" w:themeColor="text1"/>
          <w:lang w:eastAsia="zh-CN"/>
          <w14:textFill>
            <w14:solidFill>
              <w14:schemeClr w14:val="tx1"/>
            </w14:solidFill>
          </w14:textFill>
        </w:rPr>
        <w:t>评估值为人民币</w:t>
      </w:r>
      <w:r>
        <w:rPr>
          <w:rFonts w:hint="eastAsia"/>
          <w:color w:val="000000" w:themeColor="text1"/>
          <w:lang w:val="en-US" w:eastAsia="zh-CN"/>
          <w14:textFill>
            <w14:solidFill>
              <w14:schemeClr w14:val="tx1"/>
            </w14:solidFill>
          </w14:textFill>
        </w:rPr>
        <w:t>陆拾贰万肆仟玖佰陆拾元整</w:t>
      </w:r>
      <w:r>
        <w:rPr>
          <w:rFonts w:hint="eastAsia"/>
          <w:color w:val="000000" w:themeColor="text1"/>
          <w:lang w:eastAsia="zh-CN"/>
          <w14:textFill>
            <w14:solidFill>
              <w14:schemeClr w14:val="tx1"/>
            </w14:solidFill>
          </w14:textFill>
        </w:rPr>
        <w:t>（￥624,960.00）。评估结果见下表：</w:t>
      </w:r>
    </w:p>
    <w:bookmarkEnd w:id="7"/>
    <w:p>
      <w:pPr>
        <w:pStyle w:val="5"/>
        <w:spacing w:before="87" w:line="297" w:lineRule="auto"/>
        <w:ind w:left="699"/>
        <w:jc w:val="center"/>
        <w:rPr>
          <w:rFonts w:hint="eastAsia"/>
          <w:b/>
          <w:color w:val="000000" w:themeColor="text1"/>
          <w:sz w:val="24"/>
          <w:lang w:eastAsia="zh-CN"/>
          <w14:textFill>
            <w14:solidFill>
              <w14:schemeClr w14:val="tx1"/>
            </w14:solidFill>
          </w14:textFill>
        </w:rPr>
      </w:pPr>
      <w:bookmarkStart w:id="8" w:name="资产评估报告正文"/>
      <w:bookmarkEnd w:id="8"/>
    </w:p>
    <w:p>
      <w:pPr>
        <w:pStyle w:val="5"/>
        <w:spacing w:before="87" w:line="297" w:lineRule="auto"/>
        <w:ind w:left="699"/>
        <w:jc w:val="center"/>
        <w:rPr>
          <w:rFonts w:hint="eastAsia"/>
          <w:b/>
          <w:color w:val="000000" w:themeColor="text1"/>
          <w:sz w:val="24"/>
          <w:lang w:eastAsia="zh-CN"/>
          <w14:textFill>
            <w14:solidFill>
              <w14:schemeClr w14:val="tx1"/>
            </w14:solidFill>
          </w14:textFill>
        </w:rPr>
      </w:pPr>
    </w:p>
    <w:p>
      <w:pPr>
        <w:pStyle w:val="5"/>
        <w:spacing w:before="87" w:line="297" w:lineRule="auto"/>
        <w:ind w:left="699"/>
        <w:jc w:val="center"/>
        <w:rPr>
          <w:b/>
          <w:color w:val="000000" w:themeColor="text1"/>
          <w:sz w:val="24"/>
          <w14:textFill>
            <w14:solidFill>
              <w14:schemeClr w14:val="tx1"/>
            </w14:solidFill>
          </w14:textFill>
        </w:rPr>
      </w:pPr>
      <w:r>
        <w:rPr>
          <w:rFonts w:hint="eastAsia"/>
          <w:b/>
          <w:color w:val="000000" w:themeColor="text1"/>
          <w:sz w:val="24"/>
          <w:lang w:eastAsia="zh-CN"/>
          <w14:textFill>
            <w14:solidFill>
              <w14:schemeClr w14:val="tx1"/>
            </w14:solidFill>
          </w14:textFill>
        </w:rPr>
        <w:t>固定</w:t>
      </w:r>
      <w:r>
        <w:rPr>
          <w:b/>
          <w:color w:val="000000" w:themeColor="text1"/>
          <w:sz w:val="24"/>
          <w14:textFill>
            <w14:solidFill>
              <w14:schemeClr w14:val="tx1"/>
            </w14:solidFill>
          </w14:textFill>
        </w:rPr>
        <w:t>资产评估</w:t>
      </w:r>
      <w:r>
        <w:rPr>
          <w:rFonts w:hint="eastAsia"/>
          <w:b/>
          <w:color w:val="000000" w:themeColor="text1"/>
          <w:sz w:val="24"/>
          <w:lang w:eastAsia="zh-CN"/>
          <w14:textFill>
            <w14:solidFill>
              <w14:schemeClr w14:val="tx1"/>
            </w14:solidFill>
          </w14:textFill>
        </w:rPr>
        <w:t>明细</w:t>
      </w:r>
      <w:r>
        <w:rPr>
          <w:b/>
          <w:color w:val="000000" w:themeColor="text1"/>
          <w:sz w:val="24"/>
          <w14:textFill>
            <w14:solidFill>
              <w14:schemeClr w14:val="tx1"/>
            </w14:solidFill>
          </w14:textFill>
        </w:rPr>
        <w:t>表</w:t>
      </w:r>
    </w:p>
    <w:p>
      <w:pPr>
        <w:pStyle w:val="5"/>
        <w:spacing w:before="87" w:line="297" w:lineRule="auto"/>
        <w:jc w:val="both"/>
        <w:rPr>
          <w:rFonts w:ascii="Times New Roman" w:hAnsi="Times New Roman" w:cs="Times New Roman"/>
          <w:b/>
          <w:bCs/>
          <w:color w:val="000000" w:themeColor="text1"/>
          <w:sz w:val="20"/>
          <w:szCs w:val="20"/>
          <w:lang w:eastAsia="zh-CN"/>
          <w14:textFill>
            <w14:solidFill>
              <w14:schemeClr w14:val="tx1"/>
            </w14:solidFill>
          </w14:textFill>
        </w:rPr>
      </w:pPr>
      <w:r>
        <w:rPr>
          <w:rFonts w:hint="eastAsia" w:ascii="Times New Roman" w:hAnsi="Times New Roman" w:cs="Times New Roman"/>
          <w:b/>
          <w:bCs/>
          <w:color w:val="000000" w:themeColor="text1"/>
          <w:sz w:val="20"/>
          <w:szCs w:val="20"/>
          <w:lang w:eastAsia="zh-CN"/>
          <w14:textFill>
            <w14:solidFill>
              <w14:schemeClr w14:val="tx1"/>
            </w14:solidFill>
          </w14:textFill>
        </w:rPr>
        <w:t xml:space="preserve">被评估方：陈洪明                </w:t>
      </w:r>
      <w:r>
        <w:rPr>
          <w:rFonts w:hint="eastAsia" w:ascii="Times New Roman" w:hAnsi="Times New Roman" w:cs="Times New Roman"/>
          <w:b/>
          <w:bCs/>
          <w:color w:val="000000" w:themeColor="text1"/>
          <w:sz w:val="20"/>
          <w:szCs w:val="20"/>
          <w:lang w:val="en-US" w:eastAsia="zh-CN"/>
          <w14:textFill>
            <w14:solidFill>
              <w14:schemeClr w14:val="tx1"/>
            </w14:solidFill>
          </w14:textFill>
        </w:rPr>
        <w:t xml:space="preserve">                                                                                        </w:t>
      </w:r>
      <w:r>
        <w:rPr>
          <w:rFonts w:hint="eastAsia" w:ascii="Times New Roman" w:hAnsi="Times New Roman" w:cs="Times New Roman"/>
          <w:b/>
          <w:bCs/>
          <w:color w:val="000000" w:themeColor="text1"/>
          <w:sz w:val="20"/>
          <w:szCs w:val="20"/>
          <w:lang w:eastAsia="zh-CN"/>
          <w14:textFill>
            <w14:solidFill>
              <w14:schemeClr w14:val="tx1"/>
            </w14:solidFill>
          </w14:textFill>
        </w:rPr>
        <w:t xml:space="preserve"> 金额单位：人民币元</w:t>
      </w:r>
    </w:p>
    <w:tbl>
      <w:tblPr>
        <w:tblStyle w:val="13"/>
        <w:tblpPr w:leftFromText="180" w:rightFromText="180" w:vertAnchor="text" w:horzAnchor="page" w:tblpX="1879" w:tblpY="41"/>
        <w:tblOverlap w:val="never"/>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4"/>
        <w:gridCol w:w="2560"/>
        <w:gridCol w:w="2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534" w:type="dxa"/>
            <w:vAlign w:val="center"/>
          </w:tcPr>
          <w:p>
            <w:pPr>
              <w:widowControl w:val="0"/>
              <w:autoSpaceDE/>
              <w:autoSpaceDN/>
              <w:jc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名称</w:t>
            </w:r>
          </w:p>
        </w:tc>
        <w:tc>
          <w:tcPr>
            <w:tcW w:w="2560" w:type="dxa"/>
            <w:vAlign w:val="center"/>
          </w:tcPr>
          <w:p>
            <w:pPr>
              <w:widowControl w:val="0"/>
              <w:autoSpaceDE/>
              <w:autoSpaceDN/>
              <w:spacing w:line="380" w:lineRule="atLeast"/>
              <w:ind w:hanging="3"/>
              <w:jc w:val="cente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cs="Times New Roman"/>
                <w:color w:val="000000" w:themeColor="text1"/>
                <w:kern w:val="2"/>
                <w:sz w:val="24"/>
                <w:szCs w:val="24"/>
                <w:lang w:val="en-US" w:eastAsia="zh-CN" w:bidi="ar-SA"/>
                <w14:textFill>
                  <w14:solidFill>
                    <w14:schemeClr w14:val="tx1"/>
                  </w14:solidFill>
                </w14:textFill>
              </w:rPr>
              <w:t>面积</w:t>
            </w:r>
          </w:p>
        </w:tc>
        <w:tc>
          <w:tcPr>
            <w:tcW w:w="2425" w:type="dxa"/>
          </w:tcPr>
          <w:p>
            <w:pPr>
              <w:widowControl w:val="0"/>
              <w:autoSpaceDE/>
              <w:autoSpaceDN/>
              <w:spacing w:line="380" w:lineRule="atLeast"/>
              <w:ind w:left="-3"/>
              <w:jc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评估</w:t>
            </w:r>
            <w:r>
              <w:rPr>
                <w:rFonts w:hint="eastAsia" w:ascii="Times New Roman" w:hAnsi="Times New Roman" w:cs="Times New Roman"/>
                <w:color w:val="000000" w:themeColor="text1"/>
                <w:kern w:val="2"/>
                <w:sz w:val="24"/>
                <w:szCs w:val="24"/>
                <w:lang w:val="en-US" w:eastAsia="zh-CN" w:bidi="ar-SA"/>
                <w14:textFill>
                  <w14:solidFill>
                    <w14:schemeClr w14:val="tx1"/>
                  </w14:solidFill>
                </w14:textFill>
              </w:rPr>
              <w:t>价</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3534" w:type="dxa"/>
            <w:vAlign w:val="center"/>
          </w:tcPr>
          <w:p>
            <w:pPr>
              <w:keepNext w:val="0"/>
              <w:keepLines w:val="0"/>
              <w:widowControl/>
              <w:suppressLineNumbers w:val="0"/>
              <w:jc w:val="center"/>
              <w:textAlignment w:val="center"/>
              <w:rPr>
                <w:rFonts w:hint="default" w:ascii="宋体" w:eastAsia="宋体"/>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荟仕名苑11号楼6单元501室</w:t>
            </w:r>
          </w:p>
        </w:tc>
        <w:tc>
          <w:tcPr>
            <w:tcW w:w="2560"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138.88</w:t>
            </w:r>
          </w:p>
        </w:tc>
        <w:tc>
          <w:tcPr>
            <w:tcW w:w="2425" w:type="dxa"/>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cs="宋体"/>
                <w:i w:val="0"/>
                <w:color w:val="000000" w:themeColor="text1"/>
                <w:kern w:val="0"/>
                <w:sz w:val="20"/>
                <w:szCs w:val="20"/>
                <w:u w:val="none"/>
                <w:lang w:val="en-US" w:eastAsia="zh-CN" w:bidi="ar"/>
                <w14:textFill>
                  <w14:solidFill>
                    <w14:schemeClr w14:val="tx1"/>
                  </w14:solidFill>
                </w14:textFill>
              </w:rPr>
              <w:t>624,960.00</w:t>
            </w:r>
          </w:p>
        </w:tc>
      </w:tr>
    </w:tbl>
    <w:p>
      <w:pPr>
        <w:pStyle w:val="5"/>
        <w:tabs>
          <w:tab w:val="left" w:pos="660"/>
        </w:tabs>
        <w:spacing w:before="22" w:line="297" w:lineRule="auto"/>
        <w:ind w:left="140" w:right="0" w:rightChars="0" w:firstLine="559"/>
        <w:jc w:val="both"/>
        <w:rPr>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本资产评估报告仅为寿光市人民法院在拟执行姜国贤与陈洪明 借款合同纠纷一案中涉及的寿光市晨鸣路东荟仕名苑11号楼6单元501室财产处置价提供价值专业意见，评估结论的使用有效期限自评估基准日2021年</w:t>
      </w:r>
      <w:r>
        <w:rPr>
          <w:rFonts w:hint="eastAsia"/>
          <w:color w:val="000000" w:themeColor="text1"/>
          <w:lang w:val="en-US" w:eastAsia="zh-CN"/>
          <w14:textFill>
            <w14:solidFill>
              <w14:schemeClr w14:val="tx1"/>
            </w14:solidFill>
          </w14:textFill>
        </w:rPr>
        <w:t>11</w:t>
      </w:r>
      <w:r>
        <w:rPr>
          <w:rFonts w:hint="eastAsia"/>
          <w:color w:val="000000" w:themeColor="text1"/>
          <w:lang w:eastAsia="zh-CN"/>
          <w14:textFill>
            <w14:solidFill>
              <w14:schemeClr w14:val="tx1"/>
            </w14:solidFill>
          </w14:textFill>
        </w:rPr>
        <w:t>月</w:t>
      </w:r>
      <w:r>
        <w:rPr>
          <w:rFonts w:hint="eastAsia"/>
          <w:color w:val="000000" w:themeColor="text1"/>
          <w:lang w:val="en-US" w:eastAsia="zh-CN"/>
          <w14:textFill>
            <w14:solidFill>
              <w14:schemeClr w14:val="tx1"/>
            </w14:solidFill>
          </w14:textFill>
        </w:rPr>
        <w:t>04</w:t>
      </w:r>
      <w:r>
        <w:rPr>
          <w:rFonts w:hint="eastAsia"/>
          <w:color w:val="000000" w:themeColor="text1"/>
          <w:lang w:eastAsia="zh-CN"/>
          <w14:textFill>
            <w14:solidFill>
              <w14:schemeClr w14:val="tx1"/>
            </w14:solidFill>
          </w14:textFill>
        </w:rPr>
        <w:t>日至202</w:t>
      </w:r>
      <w:r>
        <w:rPr>
          <w:rFonts w:hint="eastAsia"/>
          <w:color w:val="000000" w:themeColor="text1"/>
          <w:lang w:val="en-US" w:eastAsia="zh-CN"/>
          <w14:textFill>
            <w14:solidFill>
              <w14:schemeClr w14:val="tx1"/>
            </w14:solidFill>
          </w14:textFill>
        </w:rPr>
        <w:t>2</w:t>
      </w:r>
      <w:r>
        <w:rPr>
          <w:rFonts w:hint="eastAsia"/>
          <w:color w:val="000000" w:themeColor="text1"/>
          <w:lang w:eastAsia="zh-CN"/>
          <w14:textFill>
            <w14:solidFill>
              <w14:schemeClr w14:val="tx1"/>
            </w14:solidFill>
          </w14:textFill>
        </w:rPr>
        <w:t>年</w:t>
      </w:r>
      <w:r>
        <w:rPr>
          <w:rFonts w:hint="eastAsia"/>
          <w:color w:val="000000" w:themeColor="text1"/>
          <w:lang w:val="en-US" w:eastAsia="zh-CN"/>
          <w14:textFill>
            <w14:solidFill>
              <w14:schemeClr w14:val="tx1"/>
            </w14:solidFill>
          </w14:textFill>
        </w:rPr>
        <w:t>11</w:t>
      </w:r>
      <w:r>
        <w:rPr>
          <w:rFonts w:hint="eastAsia"/>
          <w:color w:val="000000" w:themeColor="text1"/>
          <w:lang w:eastAsia="zh-CN"/>
          <w14:textFill>
            <w14:solidFill>
              <w14:schemeClr w14:val="tx1"/>
            </w14:solidFill>
          </w14:textFill>
        </w:rPr>
        <w:t>月</w:t>
      </w:r>
      <w:r>
        <w:rPr>
          <w:rFonts w:hint="eastAsia"/>
          <w:color w:val="000000" w:themeColor="text1"/>
          <w:lang w:val="en-US" w:eastAsia="zh-CN"/>
          <w14:textFill>
            <w14:solidFill>
              <w14:schemeClr w14:val="tx1"/>
            </w14:solidFill>
          </w14:textFill>
        </w:rPr>
        <w:t>03日</w:t>
      </w:r>
      <w:r>
        <w:rPr>
          <w:rFonts w:hint="eastAsia"/>
          <w:color w:val="000000" w:themeColor="text1"/>
          <w:lang w:eastAsia="zh-CN"/>
          <w14:textFill>
            <w14:solidFill>
              <w14:schemeClr w14:val="tx1"/>
            </w14:solidFill>
          </w14:textFill>
        </w:rPr>
        <w:t>。</w:t>
      </w:r>
    </w:p>
    <w:p>
      <w:pPr>
        <w:pStyle w:val="5"/>
        <w:tabs>
          <w:tab w:val="left" w:pos="660"/>
        </w:tabs>
        <w:spacing w:before="22" w:line="297" w:lineRule="auto"/>
        <w:ind w:left="140" w:right="0" w:rightChars="0" w:firstLine="559"/>
        <w:jc w:val="both"/>
        <w:rPr>
          <w:rFonts w:hint="eastAsia"/>
          <w:color w:val="000000" w:themeColor="text1"/>
          <w:highlight w:val="none"/>
          <w:lang w:eastAsia="zh-CN"/>
          <w14:textFill>
            <w14:solidFill>
              <w14:schemeClr w14:val="tx1"/>
            </w14:solidFill>
          </w14:textFill>
        </w:rPr>
      </w:pPr>
      <w:r>
        <w:rPr>
          <w:rFonts w:hint="eastAsia"/>
          <w:b/>
          <w:bCs/>
          <w:color w:val="000000" w:themeColor="text1"/>
          <w:highlight w:val="none"/>
          <w:lang w:eastAsia="zh-CN"/>
          <w14:textFill>
            <w14:solidFill>
              <w14:schemeClr w14:val="tx1"/>
            </w14:solidFill>
          </w14:textFill>
        </w:rPr>
        <w:t>特别事项说明</w:t>
      </w:r>
    </w:p>
    <w:p>
      <w:pPr>
        <w:pStyle w:val="5"/>
        <w:tabs>
          <w:tab w:val="left" w:pos="660"/>
        </w:tabs>
        <w:spacing w:before="22" w:line="297" w:lineRule="auto"/>
        <w:ind w:left="140" w:right="0" w:rightChars="0" w:firstLine="559"/>
        <w:jc w:val="both"/>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（1）本报告所称“评估价值”系指我们对所评估资产在现有用途不变并持续使用，以及在评估基准日之状况和外部经济环境前提下，为本报告书所列明的目的而提出的公允估值意见。</w:t>
      </w:r>
    </w:p>
    <w:p>
      <w:pPr>
        <w:pStyle w:val="5"/>
        <w:tabs>
          <w:tab w:val="left" w:pos="660"/>
        </w:tabs>
        <w:spacing w:before="22" w:line="297" w:lineRule="auto"/>
        <w:ind w:left="140" w:right="0" w:rightChars="0" w:firstLine="559"/>
        <w:jc w:val="both"/>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（2）本报告是在被评估企业提供基础文件数据资料的基础上做出的。被评估企业对所提供会计记录、会计凭证以及相关数据的真实性和可靠性负责；本报告评估结论是对2021年11月04日这一基准日被评估</w:t>
      </w:r>
      <w:r>
        <w:rPr>
          <w:rFonts w:hint="eastAsia"/>
          <w:color w:val="000000" w:themeColor="text1"/>
          <w:highlight w:val="none"/>
          <w:lang w:val="en-US" w:eastAsia="zh-CN"/>
          <w14:textFill>
            <w14:solidFill>
              <w14:schemeClr w14:val="tx1"/>
            </w14:solidFill>
          </w14:textFill>
        </w:rPr>
        <w:t>方</w:t>
      </w:r>
      <w:r>
        <w:rPr>
          <w:rFonts w:hint="eastAsia"/>
          <w:color w:val="000000" w:themeColor="text1"/>
          <w:highlight w:val="none"/>
          <w:lang w:eastAsia="zh-CN"/>
          <w14:textFill>
            <w14:solidFill>
              <w14:schemeClr w14:val="tx1"/>
            </w14:solidFill>
          </w14:textFill>
        </w:rPr>
        <w:t>固定资产-房屋建筑物的客观公允反映，我们对这一基准日以后该资产价值发生的重大变化不负任何责任。</w:t>
      </w:r>
    </w:p>
    <w:p>
      <w:pPr>
        <w:pStyle w:val="5"/>
        <w:tabs>
          <w:tab w:val="left" w:pos="660"/>
        </w:tabs>
        <w:spacing w:before="22" w:line="297" w:lineRule="auto"/>
        <w:ind w:left="140" w:right="0" w:rightChars="0" w:firstLine="559"/>
        <w:jc w:val="both"/>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（3）本评估结论未考虑评估值增减可能产生的纳税义务变化。在评估固定资产时，我们未考虑该等资产所欠付的抵押、担保以及如果该等资产出售，则应承担的费用和税项等。</w:t>
      </w:r>
    </w:p>
    <w:p>
      <w:pPr>
        <w:pStyle w:val="5"/>
        <w:tabs>
          <w:tab w:val="left" w:pos="660"/>
        </w:tabs>
        <w:spacing w:before="22" w:line="297" w:lineRule="auto"/>
        <w:ind w:left="140" w:right="0" w:rightChars="0" w:firstLine="559"/>
        <w:jc w:val="both"/>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（4）评估中由于条件所限，未对委估的设备进行各项性能指标测试，评估人员实施了现场勘察对其外观、品牌、型号等进行核查，测试其质量完好。</w:t>
      </w:r>
    </w:p>
    <w:p>
      <w:pPr>
        <w:pStyle w:val="5"/>
        <w:tabs>
          <w:tab w:val="left" w:pos="660"/>
        </w:tabs>
        <w:spacing w:before="22" w:line="297" w:lineRule="auto"/>
        <w:ind w:left="140" w:right="0" w:rightChars="0" w:firstLine="559"/>
        <w:jc w:val="both"/>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（5）本报告含有若干附件文件，附件构成本报告之重要组成部分，与本报告正文具有同等法律效力。</w:t>
      </w:r>
    </w:p>
    <w:p>
      <w:pPr>
        <w:pStyle w:val="5"/>
        <w:tabs>
          <w:tab w:val="left" w:pos="660"/>
        </w:tabs>
        <w:spacing w:before="22" w:line="297" w:lineRule="auto"/>
        <w:ind w:left="140" w:right="0" w:rightChars="0" w:firstLine="559"/>
        <w:jc w:val="both"/>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（6）评估基准日至评估报告日之间可能对评估结论产生影响的事</w:t>
      </w:r>
    </w:p>
    <w:p>
      <w:pPr>
        <w:pStyle w:val="5"/>
        <w:tabs>
          <w:tab w:val="left" w:pos="660"/>
        </w:tabs>
        <w:spacing w:before="22" w:line="297" w:lineRule="auto"/>
        <w:ind w:left="140" w:right="0" w:rightChars="0" w:firstLine="559"/>
        <w:jc w:val="both"/>
        <w:rPr>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项：</w:t>
      </w:r>
    </w:p>
    <w:p>
      <w:pPr>
        <w:pStyle w:val="5"/>
        <w:tabs>
          <w:tab w:val="left" w:pos="660"/>
        </w:tabs>
        <w:spacing w:before="22" w:line="297" w:lineRule="auto"/>
        <w:ind w:left="140" w:right="0" w:rightChars="0" w:firstLine="559"/>
        <w:jc w:val="both"/>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①据评估师尽职调查了解，在评估基准日期后，评估报告出具之前没有重大事项披露。</w:t>
      </w:r>
    </w:p>
    <w:p>
      <w:pPr>
        <w:pStyle w:val="5"/>
        <w:tabs>
          <w:tab w:val="left" w:pos="660"/>
        </w:tabs>
        <w:spacing w:before="22" w:line="297" w:lineRule="auto"/>
        <w:ind w:left="140" w:right="0" w:rightChars="0" w:firstLine="559"/>
        <w:jc w:val="both"/>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②在评估基准日后、评估结论使用有效期以内，如果资产数量及作价标准发生变化时，应按以下原则处理：</w:t>
      </w:r>
    </w:p>
    <w:p>
      <w:pPr>
        <w:pStyle w:val="5"/>
        <w:tabs>
          <w:tab w:val="left" w:pos="660"/>
        </w:tabs>
        <w:spacing w:before="22" w:line="297" w:lineRule="auto"/>
        <w:ind w:left="140" w:right="0" w:rightChars="0" w:firstLine="559"/>
        <w:jc w:val="both"/>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A．在评估基准日后使用有效期内，当资产数量及作价标准发生变化时，应根据原评估方法对资产额进行相应的调整。</w:t>
      </w:r>
    </w:p>
    <w:p>
      <w:pPr>
        <w:pStyle w:val="5"/>
        <w:tabs>
          <w:tab w:val="left" w:pos="660"/>
        </w:tabs>
        <w:spacing w:before="22" w:line="297" w:lineRule="auto"/>
        <w:ind w:left="140" w:right="0" w:rightChars="0" w:firstLine="559"/>
        <w:jc w:val="both"/>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B．当资产价格标准发生重大变化，并对资产评估价格产生严重影响时，委托方应及时聘请评估机构重新确认评估价。</w:t>
      </w:r>
    </w:p>
    <w:p>
      <w:pPr>
        <w:pStyle w:val="5"/>
        <w:tabs>
          <w:tab w:val="left" w:pos="660"/>
        </w:tabs>
        <w:spacing w:before="22" w:line="297" w:lineRule="auto"/>
        <w:ind w:left="140" w:right="0" w:rightChars="0" w:firstLine="559"/>
        <w:jc w:val="both"/>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C．由于评估基准日后资产的数量、价格标准的发生变化，委托方在资产实际作价时应给予充分考虑，并进行相应调整，一般说来，当发生评估基准日后事项时，不能直接使用评估结论。</w:t>
      </w:r>
    </w:p>
    <w:p>
      <w:pPr>
        <w:pStyle w:val="5"/>
        <w:tabs>
          <w:tab w:val="left" w:pos="660"/>
        </w:tabs>
        <w:spacing w:before="22" w:line="297" w:lineRule="auto"/>
        <w:ind w:left="140" w:right="0" w:rightChars="0" w:firstLine="559"/>
        <w:jc w:val="both"/>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 xml:space="preserve">上述评估结论若需经有关部门审核备案，在取得备案批复后方可正式使用，资产评估报告使用人应注意以上特别事项对评估结论产生的影响。 </w:t>
      </w:r>
    </w:p>
    <w:p>
      <w:pPr>
        <w:pStyle w:val="5"/>
        <w:tabs>
          <w:tab w:val="left" w:pos="660"/>
        </w:tabs>
        <w:spacing w:before="22" w:line="297" w:lineRule="auto"/>
        <w:ind w:left="140" w:right="0" w:rightChars="0" w:firstLine="559"/>
        <w:jc w:val="both"/>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 xml:space="preserve">资产评估报告使用人应当充分考虑资产评估报告中载明的假设、限定条件、特别事项说明对评估结论的影响。 </w:t>
      </w:r>
    </w:p>
    <w:p>
      <w:pPr>
        <w:pStyle w:val="5"/>
        <w:tabs>
          <w:tab w:val="left" w:pos="660"/>
        </w:tabs>
        <w:spacing w:before="22" w:line="297" w:lineRule="auto"/>
        <w:ind w:left="140" w:right="0" w:rightChars="0" w:firstLine="559"/>
        <w:jc w:val="both"/>
        <w:rPr>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 xml:space="preserve">以上内容摘自资产评估报告正文，欲了解本评估业务的详细情况和正确理解评估结论，应当阅读资产评估报告正文。 </w:t>
      </w:r>
    </w:p>
    <w:p>
      <w:pPr>
        <w:pStyle w:val="2"/>
        <w:spacing w:before="0"/>
        <w:ind w:right="0" w:rightChars="0"/>
        <w:jc w:val="both"/>
        <w:rPr>
          <w:rFonts w:hint="eastAsia" w:ascii="黑体" w:eastAsia="黑体"/>
          <w:b/>
          <w:color w:val="000000" w:themeColor="text1"/>
          <w:w w:val="95"/>
          <w:sz w:val="30"/>
          <w:highlight w:val="none"/>
          <w:lang w:eastAsia="zh-CN"/>
          <w14:textFill>
            <w14:solidFill>
              <w14:schemeClr w14:val="tx1"/>
            </w14:solidFill>
          </w14:textFill>
        </w:rPr>
      </w:pPr>
    </w:p>
    <w:bookmarkEnd w:id="6"/>
    <w:p>
      <w:pPr>
        <w:widowControl w:val="0"/>
        <w:autoSpaceDE w:val="0"/>
        <w:autoSpaceDN w:val="0"/>
        <w:bidi w:val="0"/>
        <w:spacing w:before="7"/>
        <w:jc w:val="center"/>
        <w:outlineLvl w:val="0"/>
        <w:rPr>
          <w:rFonts w:hint="eastAsia" w:ascii="黑体" w:hAnsi="黑体" w:eastAsia="黑体" w:cs="黑体"/>
          <w:color w:val="000000" w:themeColor="text1"/>
          <w:sz w:val="32"/>
          <w:szCs w:val="32"/>
          <w:highlight w:val="none"/>
          <w:lang w:val="en-US" w:eastAsia="zh-CN" w:bidi="ar-SA"/>
          <w14:textFill>
            <w14:solidFill>
              <w14:schemeClr w14:val="tx1"/>
            </w14:solidFill>
          </w14:textFill>
        </w:rPr>
      </w:pPr>
      <w:bookmarkStart w:id="9" w:name="_Toc26992"/>
    </w:p>
    <w:p>
      <w:pPr>
        <w:widowControl w:val="0"/>
        <w:autoSpaceDE w:val="0"/>
        <w:autoSpaceDN w:val="0"/>
        <w:bidi w:val="0"/>
        <w:spacing w:before="7"/>
        <w:jc w:val="center"/>
        <w:outlineLvl w:val="0"/>
        <w:rPr>
          <w:rFonts w:hint="eastAsia" w:ascii="黑体" w:hAnsi="黑体" w:eastAsia="黑体" w:cs="黑体"/>
          <w:color w:val="000000" w:themeColor="text1"/>
          <w:sz w:val="32"/>
          <w:szCs w:val="32"/>
          <w:highlight w:val="none"/>
          <w:lang w:val="en-US" w:eastAsia="zh-CN" w:bidi="ar-SA"/>
          <w14:textFill>
            <w14:solidFill>
              <w14:schemeClr w14:val="tx1"/>
            </w14:solidFill>
          </w14:textFill>
        </w:rPr>
      </w:pPr>
    </w:p>
    <w:p>
      <w:pPr>
        <w:widowControl w:val="0"/>
        <w:autoSpaceDE w:val="0"/>
        <w:autoSpaceDN w:val="0"/>
        <w:bidi w:val="0"/>
        <w:spacing w:before="7"/>
        <w:jc w:val="center"/>
        <w:outlineLvl w:val="0"/>
        <w:rPr>
          <w:rFonts w:hint="eastAsia" w:ascii="黑体" w:hAnsi="黑体" w:eastAsia="黑体" w:cs="黑体"/>
          <w:color w:val="000000" w:themeColor="text1"/>
          <w:sz w:val="32"/>
          <w:szCs w:val="32"/>
          <w:highlight w:val="none"/>
          <w:lang w:val="en-US" w:eastAsia="zh-CN" w:bidi="ar-SA"/>
          <w14:textFill>
            <w14:solidFill>
              <w14:schemeClr w14:val="tx1"/>
            </w14:solidFill>
          </w14:textFill>
        </w:rPr>
      </w:pPr>
    </w:p>
    <w:p>
      <w:pPr>
        <w:widowControl w:val="0"/>
        <w:autoSpaceDE w:val="0"/>
        <w:autoSpaceDN w:val="0"/>
        <w:bidi w:val="0"/>
        <w:spacing w:before="7"/>
        <w:jc w:val="center"/>
        <w:outlineLvl w:val="0"/>
        <w:rPr>
          <w:rFonts w:hint="eastAsia" w:ascii="黑体" w:hAnsi="黑体" w:eastAsia="黑体" w:cs="黑体"/>
          <w:color w:val="000000" w:themeColor="text1"/>
          <w:sz w:val="32"/>
          <w:szCs w:val="32"/>
          <w:highlight w:val="none"/>
          <w:lang w:val="en-US" w:eastAsia="zh-CN" w:bidi="ar-SA"/>
          <w14:textFill>
            <w14:solidFill>
              <w14:schemeClr w14:val="tx1"/>
            </w14:solidFill>
          </w14:textFill>
        </w:rPr>
      </w:pPr>
    </w:p>
    <w:p>
      <w:pPr>
        <w:widowControl w:val="0"/>
        <w:autoSpaceDE w:val="0"/>
        <w:autoSpaceDN w:val="0"/>
        <w:bidi w:val="0"/>
        <w:spacing w:before="7"/>
        <w:jc w:val="center"/>
        <w:outlineLvl w:val="0"/>
        <w:rPr>
          <w:rFonts w:hint="eastAsia" w:ascii="黑体" w:hAnsi="黑体" w:eastAsia="黑体" w:cs="黑体"/>
          <w:color w:val="000000" w:themeColor="text1"/>
          <w:sz w:val="32"/>
          <w:szCs w:val="32"/>
          <w:highlight w:val="none"/>
          <w:lang w:val="en-US" w:eastAsia="zh-CN" w:bidi="ar-SA"/>
          <w14:textFill>
            <w14:solidFill>
              <w14:schemeClr w14:val="tx1"/>
            </w14:solidFill>
          </w14:textFill>
        </w:rPr>
      </w:pPr>
    </w:p>
    <w:p>
      <w:pPr>
        <w:widowControl w:val="0"/>
        <w:autoSpaceDE w:val="0"/>
        <w:autoSpaceDN w:val="0"/>
        <w:bidi w:val="0"/>
        <w:spacing w:before="7"/>
        <w:jc w:val="center"/>
        <w:outlineLvl w:val="0"/>
        <w:rPr>
          <w:rFonts w:hint="eastAsia" w:ascii="黑体" w:hAnsi="黑体" w:eastAsia="黑体" w:cs="黑体"/>
          <w:color w:val="000000" w:themeColor="text1"/>
          <w:sz w:val="32"/>
          <w:szCs w:val="32"/>
          <w:highlight w:val="none"/>
          <w:lang w:val="en-US" w:eastAsia="zh-CN" w:bidi="ar-SA"/>
          <w14:textFill>
            <w14:solidFill>
              <w14:schemeClr w14:val="tx1"/>
            </w14:solidFill>
          </w14:textFill>
        </w:rPr>
      </w:pPr>
    </w:p>
    <w:p>
      <w:pPr>
        <w:widowControl w:val="0"/>
        <w:autoSpaceDE w:val="0"/>
        <w:autoSpaceDN w:val="0"/>
        <w:bidi w:val="0"/>
        <w:spacing w:before="7"/>
        <w:jc w:val="center"/>
        <w:outlineLvl w:val="0"/>
        <w:rPr>
          <w:rFonts w:hint="eastAsia" w:ascii="黑体" w:hAnsi="黑体" w:eastAsia="黑体" w:cs="黑体"/>
          <w:color w:val="000000" w:themeColor="text1"/>
          <w:sz w:val="32"/>
          <w:szCs w:val="32"/>
          <w:highlight w:val="none"/>
          <w:lang w:val="en-US" w:eastAsia="zh-CN" w:bidi="ar-SA"/>
          <w14:textFill>
            <w14:solidFill>
              <w14:schemeClr w14:val="tx1"/>
            </w14:solidFill>
          </w14:textFill>
        </w:rPr>
      </w:pPr>
    </w:p>
    <w:p>
      <w:pPr>
        <w:widowControl w:val="0"/>
        <w:autoSpaceDE w:val="0"/>
        <w:autoSpaceDN w:val="0"/>
        <w:bidi w:val="0"/>
        <w:spacing w:before="7"/>
        <w:jc w:val="center"/>
        <w:outlineLvl w:val="0"/>
        <w:rPr>
          <w:rFonts w:hint="eastAsia" w:ascii="黑体" w:hAnsi="黑体" w:eastAsia="黑体" w:cs="黑体"/>
          <w:color w:val="000000" w:themeColor="text1"/>
          <w:sz w:val="32"/>
          <w:szCs w:val="32"/>
          <w:highlight w:val="none"/>
          <w:lang w:val="en-US" w:eastAsia="zh-CN" w:bidi="ar-SA"/>
          <w14:textFill>
            <w14:solidFill>
              <w14:schemeClr w14:val="tx1"/>
            </w14:solidFill>
          </w14:textFill>
        </w:rPr>
      </w:pPr>
    </w:p>
    <w:p>
      <w:pPr>
        <w:widowControl w:val="0"/>
        <w:autoSpaceDE w:val="0"/>
        <w:autoSpaceDN w:val="0"/>
        <w:bidi w:val="0"/>
        <w:spacing w:before="7"/>
        <w:jc w:val="center"/>
        <w:outlineLvl w:val="0"/>
        <w:rPr>
          <w:rFonts w:hint="eastAsia" w:ascii="黑体" w:hAnsi="黑体" w:eastAsia="黑体" w:cs="黑体"/>
          <w:color w:val="000000" w:themeColor="text1"/>
          <w:sz w:val="32"/>
          <w:szCs w:val="32"/>
          <w:highlight w:val="none"/>
          <w:lang w:val="en-US" w:eastAsia="zh-CN" w:bidi="ar-SA"/>
          <w14:textFill>
            <w14:solidFill>
              <w14:schemeClr w14:val="tx1"/>
            </w14:solidFill>
          </w14:textFill>
        </w:rPr>
      </w:pPr>
    </w:p>
    <w:p>
      <w:pPr>
        <w:widowControl w:val="0"/>
        <w:autoSpaceDE w:val="0"/>
        <w:autoSpaceDN w:val="0"/>
        <w:bidi w:val="0"/>
        <w:spacing w:before="7"/>
        <w:jc w:val="center"/>
        <w:outlineLvl w:val="0"/>
        <w:rPr>
          <w:rFonts w:hint="eastAsia" w:ascii="黑体" w:hAnsi="黑体" w:eastAsia="黑体" w:cs="黑体"/>
          <w:color w:val="000000" w:themeColor="text1"/>
          <w:sz w:val="32"/>
          <w:szCs w:val="32"/>
          <w:highlight w:val="none"/>
          <w:lang w:val="en-US" w:eastAsia="zh-CN" w:bidi="ar-SA"/>
          <w14:textFill>
            <w14:solidFill>
              <w14:schemeClr w14:val="tx1"/>
            </w14:solidFill>
          </w14:textFill>
        </w:rPr>
      </w:pPr>
    </w:p>
    <w:p>
      <w:pPr>
        <w:widowControl w:val="0"/>
        <w:autoSpaceDE w:val="0"/>
        <w:autoSpaceDN w:val="0"/>
        <w:bidi w:val="0"/>
        <w:spacing w:before="7"/>
        <w:jc w:val="center"/>
        <w:outlineLvl w:val="0"/>
        <w:rPr>
          <w:rFonts w:hint="eastAsia" w:ascii="黑体" w:hAnsi="黑体" w:eastAsia="黑体" w:cs="黑体"/>
          <w:color w:val="000000" w:themeColor="text1"/>
          <w:sz w:val="32"/>
          <w:szCs w:val="32"/>
          <w:highlight w:val="none"/>
          <w:lang w:val="en-US" w:eastAsia="zh-CN" w:bidi="ar-SA"/>
          <w14:textFill>
            <w14:solidFill>
              <w14:schemeClr w14:val="tx1"/>
            </w14:solidFill>
          </w14:textFill>
        </w:rPr>
      </w:pPr>
    </w:p>
    <w:p>
      <w:pPr>
        <w:widowControl w:val="0"/>
        <w:autoSpaceDE w:val="0"/>
        <w:autoSpaceDN w:val="0"/>
        <w:bidi w:val="0"/>
        <w:spacing w:before="7"/>
        <w:jc w:val="center"/>
        <w:outlineLvl w:val="0"/>
        <w:rPr>
          <w:rFonts w:hint="eastAsia" w:ascii="黑体" w:hAnsi="黑体" w:eastAsia="黑体" w:cs="黑体"/>
          <w:color w:val="000000" w:themeColor="text1"/>
          <w:sz w:val="32"/>
          <w:szCs w:val="32"/>
          <w:highlight w:val="none"/>
          <w:lang w:val="en-US" w:eastAsia="zh-CN" w:bidi="ar-SA"/>
          <w14:textFill>
            <w14:solidFill>
              <w14:schemeClr w14:val="tx1"/>
            </w14:solidFill>
          </w14:textFill>
        </w:rPr>
      </w:pPr>
    </w:p>
    <w:p>
      <w:pPr>
        <w:widowControl w:val="0"/>
        <w:autoSpaceDE w:val="0"/>
        <w:autoSpaceDN w:val="0"/>
        <w:bidi w:val="0"/>
        <w:spacing w:before="7"/>
        <w:jc w:val="center"/>
        <w:outlineLvl w:val="0"/>
        <w:rPr>
          <w:rFonts w:hint="eastAsia" w:ascii="黑体" w:hAnsi="黑体" w:eastAsia="黑体" w:cs="黑体"/>
          <w:color w:val="000000" w:themeColor="text1"/>
          <w:sz w:val="32"/>
          <w:szCs w:val="32"/>
          <w:highlight w:val="none"/>
          <w:lang w:val="en-US" w:eastAsia="zh-CN" w:bidi="ar-SA"/>
          <w14:textFill>
            <w14:solidFill>
              <w14:schemeClr w14:val="tx1"/>
            </w14:solidFill>
          </w14:textFill>
        </w:rPr>
      </w:pPr>
    </w:p>
    <w:p>
      <w:pPr>
        <w:widowControl w:val="0"/>
        <w:autoSpaceDE w:val="0"/>
        <w:autoSpaceDN w:val="0"/>
        <w:bidi w:val="0"/>
        <w:spacing w:before="7"/>
        <w:jc w:val="center"/>
        <w:outlineLvl w:val="0"/>
        <w:rPr>
          <w:rFonts w:hint="eastAsia" w:ascii="黑体" w:hAnsi="黑体" w:eastAsia="黑体" w:cs="黑体"/>
          <w:color w:val="000000" w:themeColor="text1"/>
          <w:sz w:val="32"/>
          <w:szCs w:val="32"/>
          <w:highlight w:val="none"/>
          <w:lang w:val="en-US" w:eastAsia="zh-CN" w:bidi="ar-SA"/>
          <w14:textFill>
            <w14:solidFill>
              <w14:schemeClr w14:val="tx1"/>
            </w14:solidFill>
          </w14:textFill>
        </w:rPr>
      </w:pPr>
    </w:p>
    <w:p>
      <w:pPr>
        <w:widowControl w:val="0"/>
        <w:autoSpaceDE w:val="0"/>
        <w:autoSpaceDN w:val="0"/>
        <w:bidi w:val="0"/>
        <w:spacing w:before="7"/>
        <w:jc w:val="center"/>
        <w:outlineLvl w:val="0"/>
        <w:rPr>
          <w:rFonts w:hint="eastAsia" w:ascii="黑体" w:hAnsi="黑体" w:eastAsia="黑体" w:cs="黑体"/>
          <w:color w:val="000000" w:themeColor="text1"/>
          <w:sz w:val="32"/>
          <w:szCs w:val="32"/>
          <w:highlight w:val="none"/>
          <w:lang w:val="en-US" w:eastAsia="zh-CN" w:bidi="ar-SA"/>
          <w14:textFill>
            <w14:solidFill>
              <w14:schemeClr w14:val="tx1"/>
            </w14:solidFill>
          </w14:textFill>
        </w:rPr>
      </w:pPr>
    </w:p>
    <w:p>
      <w:pPr>
        <w:jc w:val="center"/>
        <w:rPr>
          <w:rFonts w:hint="eastAsia"/>
          <w:color w:val="000000" w:themeColor="text1"/>
          <w:sz w:val="36"/>
          <w:szCs w:val="36"/>
          <w:lang w:val="en-US" w:eastAsia="zh-CN"/>
          <w14:textFill>
            <w14:solidFill>
              <w14:schemeClr w14:val="tx1"/>
            </w14:solidFill>
          </w14:textFill>
        </w:rPr>
      </w:pPr>
    </w:p>
    <w:p>
      <w:pPr>
        <w:jc w:val="center"/>
        <w:rPr>
          <w:rFonts w:hint="eastAsia"/>
          <w:color w:val="000000" w:themeColor="text1"/>
          <w:sz w:val="36"/>
          <w:szCs w:val="36"/>
          <w:lang w:val="en-US" w:eastAsia="zh-CN"/>
          <w14:textFill>
            <w14:solidFill>
              <w14:schemeClr w14:val="tx1"/>
            </w14:solidFill>
          </w14:textFill>
        </w:rPr>
      </w:pPr>
      <w:r>
        <w:rPr>
          <w:rFonts w:hint="eastAsia"/>
          <w:color w:val="000000" w:themeColor="text1"/>
          <w:sz w:val="36"/>
          <w:szCs w:val="36"/>
          <w:lang w:val="en-US" w:eastAsia="zh-CN"/>
          <w14:textFill>
            <w14:solidFill>
              <w14:schemeClr w14:val="tx1"/>
            </w14:solidFill>
          </w14:textFill>
        </w:rPr>
        <w:t>寿光市</w:t>
      </w:r>
      <w:r>
        <w:rPr>
          <w:rFonts w:hint="eastAsia"/>
          <w:color w:val="000000" w:themeColor="text1"/>
          <w:sz w:val="36"/>
          <w:szCs w:val="36"/>
          <w:lang w:eastAsia="zh-CN"/>
          <w14:textFill>
            <w14:solidFill>
              <w14:schemeClr w14:val="tx1"/>
            </w14:solidFill>
          </w14:textFill>
        </w:rPr>
        <w:t>人民法院拟执行</w:t>
      </w:r>
      <w:r>
        <w:rPr>
          <w:rFonts w:hint="eastAsia"/>
          <w:color w:val="000000" w:themeColor="text1"/>
          <w:sz w:val="36"/>
          <w:szCs w:val="36"/>
          <w:lang w:val="en-US" w:eastAsia="zh-CN"/>
          <w14:textFill>
            <w14:solidFill>
              <w14:schemeClr w14:val="tx1"/>
            </w14:solidFill>
          </w14:textFill>
        </w:rPr>
        <w:t>姜国贤与陈洪明借款合同纠纷一案中涉及的固定资产-房屋建筑物的价值</w:t>
      </w:r>
    </w:p>
    <w:p>
      <w:pPr>
        <w:jc w:val="center"/>
        <w:rPr>
          <w:rFonts w:hint="eastAsia"/>
          <w:color w:val="000000" w:themeColor="text1"/>
          <w:sz w:val="36"/>
          <w:szCs w:val="36"/>
          <w:lang w:eastAsia="zh-CN"/>
          <w14:textFill>
            <w14:solidFill>
              <w14:schemeClr w14:val="tx1"/>
            </w14:solidFill>
          </w14:textFill>
        </w:rPr>
      </w:pPr>
      <w:r>
        <w:rPr>
          <w:rFonts w:hint="eastAsia"/>
          <w:color w:val="000000" w:themeColor="text1"/>
          <w:sz w:val="36"/>
          <w:szCs w:val="36"/>
          <w:lang w:eastAsia="zh-CN"/>
          <w14:textFill>
            <w14:solidFill>
              <w14:schemeClr w14:val="tx1"/>
            </w14:solidFill>
          </w14:textFill>
        </w:rPr>
        <w:t>资产评估报告</w:t>
      </w:r>
    </w:p>
    <w:p>
      <w:pPr>
        <w:pStyle w:val="5"/>
        <w:tabs>
          <w:tab w:val="left" w:pos="660"/>
        </w:tabs>
        <w:spacing w:before="27"/>
        <w:ind w:left="391" w:right="100" w:rightChars="0"/>
        <w:jc w:val="center"/>
        <w:rPr>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寿圣诚评报字(2021)第00</w:t>
      </w:r>
      <w:r>
        <w:rPr>
          <w:rFonts w:hint="eastAsia"/>
          <w:color w:val="000000" w:themeColor="text1"/>
          <w:highlight w:val="none"/>
          <w:lang w:val="en-US" w:eastAsia="zh-CN"/>
          <w14:textFill>
            <w14:solidFill>
              <w14:schemeClr w14:val="tx1"/>
            </w14:solidFill>
          </w14:textFill>
        </w:rPr>
        <w:t>9</w:t>
      </w:r>
      <w:r>
        <w:rPr>
          <w:rFonts w:hint="eastAsia"/>
          <w:color w:val="000000" w:themeColor="text1"/>
          <w:highlight w:val="none"/>
          <w:lang w:eastAsia="zh-CN"/>
          <w14:textFill>
            <w14:solidFill>
              <w14:schemeClr w14:val="tx1"/>
            </w14:solidFill>
          </w14:textFill>
        </w:rPr>
        <w:t>号</w:t>
      </w:r>
    </w:p>
    <w:bookmarkEnd w:id="9"/>
    <w:p>
      <w:pPr>
        <w:pStyle w:val="5"/>
        <w:tabs>
          <w:tab w:val="left" w:pos="660"/>
        </w:tabs>
        <w:ind w:right="-31"/>
        <w:rPr>
          <w:rFonts w:hint="eastAsia"/>
          <w:color w:val="000000" w:themeColor="text1"/>
          <w:highlight w:val="none"/>
          <w:lang w:eastAsia="zh-CN"/>
          <w14:textFill>
            <w14:solidFill>
              <w14:schemeClr w14:val="tx1"/>
            </w14:solidFill>
          </w14:textFill>
        </w:rPr>
      </w:pPr>
      <w:bookmarkStart w:id="10" w:name="一、_委托人、被评估单位和资产评估委托合同约定的其他资产评估报告使用人"/>
      <w:bookmarkEnd w:id="10"/>
      <w:bookmarkStart w:id="11" w:name="_Toc8238"/>
    </w:p>
    <w:p>
      <w:pPr>
        <w:pStyle w:val="5"/>
        <w:tabs>
          <w:tab w:val="left" w:pos="660"/>
        </w:tabs>
        <w:spacing w:before="15" w:line="360" w:lineRule="auto"/>
        <w:rPr>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寿光市人民法院</w:t>
      </w:r>
      <w:r>
        <w:rPr>
          <w:color w:val="000000" w:themeColor="text1"/>
          <w:lang w:eastAsia="zh-CN"/>
          <w14:textFill>
            <w14:solidFill>
              <w14:schemeClr w14:val="tx1"/>
            </w14:solidFill>
          </w14:textFill>
        </w:rPr>
        <w:t>：</w:t>
      </w:r>
    </w:p>
    <w:p>
      <w:pPr>
        <w:pStyle w:val="5"/>
        <w:spacing w:before="20" w:line="297" w:lineRule="auto"/>
        <w:ind w:left="140" w:right="0" w:rightChars="0" w:firstLine="556"/>
        <w:jc w:val="both"/>
        <w:rPr>
          <w:rFonts w:hint="eastAsia"/>
          <w:color w:val="000000" w:themeColor="text1"/>
          <w:spacing w:val="1"/>
          <w:lang w:eastAsia="zh-CN"/>
          <w14:textFill>
            <w14:solidFill>
              <w14:schemeClr w14:val="tx1"/>
            </w14:solidFill>
          </w14:textFill>
        </w:rPr>
      </w:pPr>
      <w:r>
        <w:rPr>
          <w:rFonts w:hint="eastAsia"/>
          <w:color w:val="000000" w:themeColor="text1"/>
          <w:spacing w:val="1"/>
          <w:lang w:eastAsia="zh-CN"/>
          <w14:textFill>
            <w14:solidFill>
              <w14:schemeClr w14:val="tx1"/>
            </w14:solidFill>
          </w14:textFill>
        </w:rPr>
        <w:t>寿光圣诚资产评估有限公司接受贵院的委托，按照法律、行政法规和资产评估准则的规定，坚持独立、客观、公正的原则，按照必要的评估程序，对寿光市人民法院在拟执行姜国贤与陈洪明借款合同纠纷一案中涉及的固定资产-房屋建筑物的价值进行了评估。现将资产评估报告摘要如下：</w:t>
      </w:r>
    </w:p>
    <w:p>
      <w:pPr>
        <w:pStyle w:val="3"/>
        <w:numPr>
          <w:ilvl w:val="0"/>
          <w:numId w:val="1"/>
        </w:numPr>
        <w:spacing w:before="234" w:line="223" w:lineRule="auto"/>
        <w:ind w:left="140" w:right="0" w:rightChars="0" w:firstLine="561"/>
        <w:outlineLvl w:val="0"/>
        <w:rPr>
          <w:color w:val="000000" w:themeColor="text1"/>
          <w:spacing w:val="-12"/>
          <w:highlight w:val="none"/>
          <w:lang w:eastAsia="zh-CN"/>
          <w14:textFill>
            <w14:solidFill>
              <w14:schemeClr w14:val="tx1"/>
            </w14:solidFill>
          </w14:textFill>
        </w:rPr>
      </w:pPr>
      <w:r>
        <w:rPr>
          <w:color w:val="000000" w:themeColor="text1"/>
          <w:spacing w:val="-12"/>
          <w:highlight w:val="none"/>
          <w:lang w:eastAsia="zh-CN"/>
          <w14:textFill>
            <w14:solidFill>
              <w14:schemeClr w14:val="tx1"/>
            </w14:solidFill>
          </w14:textFill>
        </w:rPr>
        <w:t>委托</w:t>
      </w:r>
      <w:r>
        <w:rPr>
          <w:rFonts w:hint="eastAsia"/>
          <w:color w:val="000000" w:themeColor="text1"/>
          <w:spacing w:val="-12"/>
          <w:highlight w:val="none"/>
          <w:lang w:eastAsia="zh-CN"/>
          <w14:textFill>
            <w14:solidFill>
              <w14:schemeClr w14:val="tx1"/>
            </w14:solidFill>
          </w14:textFill>
        </w:rPr>
        <w:t>方</w:t>
      </w:r>
      <w:r>
        <w:rPr>
          <w:color w:val="000000" w:themeColor="text1"/>
          <w:spacing w:val="-12"/>
          <w:highlight w:val="none"/>
          <w:lang w:eastAsia="zh-CN"/>
          <w14:textFill>
            <w14:solidFill>
              <w14:schemeClr w14:val="tx1"/>
            </w14:solidFill>
          </w14:textFill>
        </w:rPr>
        <w:t>、被评估单位和资产评估委托合同约定的其他资产评估报告使用人</w:t>
      </w:r>
      <w:bookmarkEnd w:id="11"/>
    </w:p>
    <w:p>
      <w:pPr>
        <w:pStyle w:val="5"/>
        <w:tabs>
          <w:tab w:val="left" w:pos="1320"/>
          <w:tab w:val="left" w:pos="8800"/>
        </w:tabs>
        <w:ind w:left="875" w:leftChars="300" w:right="0" w:rightChars="0" w:hanging="215" w:hangingChars="77"/>
        <w:rPr>
          <w:color w:val="000000" w:themeColor="text1"/>
          <w:highlight w:val="none"/>
          <w:lang w:eastAsia="zh-CN"/>
          <w14:textFill>
            <w14:solidFill>
              <w14:schemeClr w14:val="tx1"/>
            </w14:solidFill>
          </w14:textFill>
        </w:rPr>
      </w:pPr>
      <w:bookmarkStart w:id="12" w:name="_Toc9107"/>
      <w:r>
        <w:rPr>
          <w:color w:val="000000" w:themeColor="text1"/>
          <w:highlight w:val="none"/>
          <w:lang w:eastAsia="zh-CN"/>
          <w14:textFill>
            <w14:solidFill>
              <w14:schemeClr w14:val="tx1"/>
            </w14:solidFill>
          </w14:textFill>
        </w:rPr>
        <w:t>（一）委托</w:t>
      </w:r>
      <w:r>
        <w:rPr>
          <w:rFonts w:hint="eastAsia"/>
          <w:color w:val="000000" w:themeColor="text1"/>
          <w:highlight w:val="none"/>
          <w:lang w:eastAsia="zh-CN"/>
          <w14:textFill>
            <w14:solidFill>
              <w14:schemeClr w14:val="tx1"/>
            </w14:solidFill>
          </w14:textFill>
        </w:rPr>
        <w:t>方</w:t>
      </w:r>
      <w:r>
        <w:rPr>
          <w:color w:val="000000" w:themeColor="text1"/>
          <w:highlight w:val="none"/>
          <w:lang w:eastAsia="zh-CN"/>
          <w14:textFill>
            <w14:solidFill>
              <w14:schemeClr w14:val="tx1"/>
            </w14:solidFill>
          </w14:textFill>
        </w:rPr>
        <w:t>简介</w:t>
      </w:r>
    </w:p>
    <w:p>
      <w:pPr>
        <w:pStyle w:val="5"/>
        <w:tabs>
          <w:tab w:val="left" w:pos="660"/>
          <w:tab w:val="left" w:pos="8800"/>
        </w:tabs>
        <w:spacing w:before="22" w:line="297" w:lineRule="auto"/>
        <w:ind w:right="0" w:rightChars="0" w:firstLine="840" w:firstLineChars="300"/>
        <w:jc w:val="both"/>
        <w:rPr>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委托方名称：寿光市人民法院</w:t>
      </w:r>
    </w:p>
    <w:p>
      <w:pPr>
        <w:pStyle w:val="5"/>
        <w:tabs>
          <w:tab w:val="left" w:pos="660"/>
          <w:tab w:val="left" w:pos="8800"/>
        </w:tabs>
        <w:spacing w:before="22" w:line="297" w:lineRule="auto"/>
        <w:ind w:left="140" w:right="0" w:rightChars="0" w:firstLine="559"/>
        <w:jc w:val="both"/>
        <w:rPr>
          <w:color w:val="000000" w:themeColor="text1"/>
          <w:highlight w:val="none"/>
          <w:lang w:eastAsia="zh-CN"/>
          <w14:textFill>
            <w14:solidFill>
              <w14:schemeClr w14:val="tx1"/>
            </w14:solidFill>
          </w14:textFill>
        </w:rPr>
      </w:pPr>
      <w:r>
        <w:rPr>
          <w:color w:val="000000" w:themeColor="text1"/>
          <w:highlight w:val="none"/>
          <w:lang w:eastAsia="zh-CN"/>
          <w14:textFill>
            <w14:solidFill>
              <w14:schemeClr w14:val="tx1"/>
            </w14:solidFill>
          </w14:textFill>
        </w:rPr>
        <w:t>（二）被评估</w:t>
      </w:r>
      <w:r>
        <w:rPr>
          <w:rFonts w:hint="eastAsia"/>
          <w:color w:val="000000" w:themeColor="text1"/>
          <w:highlight w:val="none"/>
          <w:lang w:val="en-US" w:eastAsia="zh-CN"/>
          <w14:textFill>
            <w14:solidFill>
              <w14:schemeClr w14:val="tx1"/>
            </w14:solidFill>
          </w14:textFill>
        </w:rPr>
        <w:t>方</w:t>
      </w:r>
      <w:r>
        <w:rPr>
          <w:color w:val="000000" w:themeColor="text1"/>
          <w:highlight w:val="none"/>
          <w:lang w:eastAsia="zh-CN"/>
          <w14:textFill>
            <w14:solidFill>
              <w14:schemeClr w14:val="tx1"/>
            </w14:solidFill>
          </w14:textFill>
        </w:rPr>
        <w:t>简介</w:t>
      </w:r>
    </w:p>
    <w:p>
      <w:pPr>
        <w:pStyle w:val="5"/>
        <w:tabs>
          <w:tab w:val="left" w:pos="660"/>
          <w:tab w:val="left" w:pos="8800"/>
        </w:tabs>
        <w:spacing w:before="22" w:line="297" w:lineRule="auto"/>
        <w:ind w:left="140" w:right="0" w:rightChars="0" w:firstLine="559"/>
        <w:jc w:val="both"/>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1.</w:t>
      </w:r>
      <w:r>
        <w:rPr>
          <w:rFonts w:hint="eastAsia"/>
          <w:color w:val="000000" w:themeColor="text1"/>
          <w:highlight w:val="none"/>
          <w:lang w:val="en-US" w:eastAsia="zh-CN"/>
          <w14:textFill>
            <w14:solidFill>
              <w14:schemeClr w14:val="tx1"/>
            </w14:solidFill>
          </w14:textFill>
        </w:rPr>
        <w:t>名称</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陈洪明</w:t>
      </w:r>
    </w:p>
    <w:p>
      <w:pPr>
        <w:pStyle w:val="5"/>
        <w:tabs>
          <w:tab w:val="left" w:pos="660"/>
          <w:tab w:val="left" w:pos="8800"/>
        </w:tabs>
        <w:spacing w:before="22" w:line="297" w:lineRule="auto"/>
        <w:ind w:left="140" w:right="0" w:rightChars="0" w:firstLine="559"/>
        <w:jc w:val="both"/>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2</w:t>
      </w:r>
      <w:r>
        <w:rPr>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住所地：</w:t>
      </w:r>
      <w:r>
        <w:rPr>
          <w:rFonts w:hint="eastAsia"/>
          <w:color w:val="000000" w:themeColor="text1"/>
          <w:lang w:eastAsia="zh-CN"/>
          <w14:textFill>
            <w14:solidFill>
              <w14:schemeClr w14:val="tx1"/>
            </w14:solidFill>
          </w14:textFill>
        </w:rPr>
        <w:t>荟仕名苑11号楼6单元501室</w:t>
      </w:r>
    </w:p>
    <w:p>
      <w:pPr>
        <w:pStyle w:val="5"/>
        <w:tabs>
          <w:tab w:val="left" w:pos="660"/>
          <w:tab w:val="left" w:pos="8800"/>
        </w:tabs>
        <w:spacing w:before="22" w:line="297" w:lineRule="auto"/>
        <w:ind w:left="140" w:right="0" w:rightChars="0" w:firstLine="559"/>
        <w:jc w:val="both"/>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联系电话</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18765120666</w:t>
      </w:r>
    </w:p>
    <w:p>
      <w:pPr>
        <w:pStyle w:val="5"/>
        <w:tabs>
          <w:tab w:val="left" w:pos="660"/>
          <w:tab w:val="left" w:pos="8800"/>
        </w:tabs>
        <w:spacing w:before="22" w:line="297" w:lineRule="auto"/>
        <w:ind w:left="140" w:right="0" w:rightChars="0" w:firstLine="559"/>
        <w:jc w:val="both"/>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身份证件</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370723197601171365</w:t>
      </w:r>
    </w:p>
    <w:p>
      <w:pPr>
        <w:pStyle w:val="5"/>
        <w:spacing w:before="20" w:after="0" w:line="297" w:lineRule="auto"/>
        <w:ind w:left="140" w:right="1811"/>
        <w:jc w:val="left"/>
        <w:outlineLvl w:val="1"/>
        <w:rPr>
          <w:rFonts w:hint="eastAsia"/>
          <w:color w:val="000000" w:themeColor="text1"/>
          <w:spacing w:val="-8"/>
          <w:highlight w:val="none"/>
          <w:lang w:eastAsia="zh-CN"/>
          <w14:textFill>
            <w14:solidFill>
              <w14:schemeClr w14:val="tx1"/>
            </w14:solidFill>
          </w14:textFill>
        </w:rPr>
      </w:pPr>
      <w:r>
        <w:rPr>
          <w:rFonts w:hint="eastAsia"/>
          <w:color w:val="000000" w:themeColor="text1"/>
          <w:spacing w:val="-8"/>
          <w:highlight w:val="none"/>
          <w:lang w:eastAsia="zh-CN"/>
          <w14:textFill>
            <w14:solidFill>
              <w14:schemeClr w14:val="tx1"/>
            </w14:solidFill>
          </w14:textFill>
        </w:rPr>
        <w:t>（二）资产评估委托合同约定的其他评估报告使用者</w:t>
      </w:r>
      <w:bookmarkEnd w:id="12"/>
    </w:p>
    <w:p>
      <w:pPr>
        <w:pStyle w:val="5"/>
        <w:tabs>
          <w:tab w:val="left" w:pos="8800"/>
        </w:tabs>
        <w:spacing w:before="20" w:after="0" w:line="297" w:lineRule="auto"/>
        <w:ind w:right="0" w:rightChars="0" w:firstLine="528" w:firstLineChars="200"/>
        <w:jc w:val="left"/>
        <w:rPr>
          <w:rFonts w:hint="eastAsia"/>
          <w:color w:val="000000" w:themeColor="text1"/>
          <w:spacing w:val="-8"/>
          <w:highlight w:val="none"/>
          <w:lang w:eastAsia="zh-CN"/>
          <w14:textFill>
            <w14:solidFill>
              <w14:schemeClr w14:val="tx1"/>
            </w14:solidFill>
          </w14:textFill>
        </w:rPr>
      </w:pPr>
      <w:r>
        <w:rPr>
          <w:rFonts w:hint="eastAsia"/>
          <w:color w:val="000000" w:themeColor="text1"/>
          <w:spacing w:val="-8"/>
          <w:highlight w:val="none"/>
          <w:lang w:eastAsia="zh-CN"/>
          <w14:textFill>
            <w14:solidFill>
              <w14:schemeClr w14:val="tx1"/>
            </w14:solidFill>
          </w14:textFill>
        </w:rPr>
        <w:t>本报告使用者除委托方、被评估</w:t>
      </w:r>
      <w:r>
        <w:rPr>
          <w:rFonts w:hint="eastAsia"/>
          <w:color w:val="000000" w:themeColor="text1"/>
          <w:spacing w:val="-8"/>
          <w:highlight w:val="none"/>
          <w:lang w:val="en-US" w:eastAsia="zh-CN"/>
          <w14:textFill>
            <w14:solidFill>
              <w14:schemeClr w14:val="tx1"/>
            </w14:solidFill>
          </w14:textFill>
        </w:rPr>
        <w:t>方</w:t>
      </w:r>
      <w:r>
        <w:rPr>
          <w:rFonts w:hint="eastAsia"/>
          <w:color w:val="000000" w:themeColor="text1"/>
          <w:spacing w:val="-8"/>
          <w:highlight w:val="none"/>
          <w:lang w:eastAsia="zh-CN"/>
          <w14:textFill>
            <w14:solidFill>
              <w14:schemeClr w14:val="tx1"/>
            </w14:solidFill>
          </w14:textFill>
        </w:rPr>
        <w:t>外，按照相关规定，还有核准备案部门以及法律、法规规定的其他评估报告使用者。</w:t>
      </w:r>
    </w:p>
    <w:p>
      <w:pPr>
        <w:pStyle w:val="5"/>
        <w:tabs>
          <w:tab w:val="left" w:pos="8800"/>
        </w:tabs>
        <w:spacing w:before="20" w:after="0" w:line="297" w:lineRule="auto"/>
        <w:ind w:right="0" w:rightChars="0" w:firstLine="528" w:firstLineChars="200"/>
        <w:jc w:val="left"/>
        <w:rPr>
          <w:rFonts w:hint="eastAsia"/>
          <w:color w:val="000000" w:themeColor="text1"/>
          <w:spacing w:val="-8"/>
          <w:highlight w:val="none"/>
          <w:lang w:eastAsia="zh-CN"/>
          <w14:textFill>
            <w14:solidFill>
              <w14:schemeClr w14:val="tx1"/>
            </w14:solidFill>
          </w14:textFill>
        </w:rPr>
        <w:sectPr>
          <w:headerReference r:id="rId7" w:type="default"/>
          <w:footerReference r:id="rId8" w:type="default"/>
          <w:pgSz w:w="11910" w:h="16840"/>
          <w:pgMar w:top="1360" w:right="1450" w:bottom="1200" w:left="1660" w:header="882" w:footer="1003" w:gutter="0"/>
          <w:pgBorders>
            <w:top w:val="none" w:sz="0" w:space="0"/>
            <w:left w:val="none" w:sz="0" w:space="0"/>
            <w:bottom w:val="none" w:sz="0" w:space="0"/>
            <w:right w:val="none" w:sz="0" w:space="0"/>
          </w:pgBorders>
          <w:pgNumType w:fmt="decimal"/>
          <w:cols w:space="720" w:num="1"/>
        </w:sectPr>
      </w:pPr>
    </w:p>
    <w:p>
      <w:pPr>
        <w:pStyle w:val="3"/>
        <w:numPr>
          <w:ilvl w:val="0"/>
          <w:numId w:val="1"/>
        </w:numPr>
        <w:spacing w:before="234" w:line="223" w:lineRule="auto"/>
        <w:ind w:left="140" w:right="0" w:rightChars="0" w:firstLine="561"/>
        <w:outlineLvl w:val="0"/>
        <w:rPr>
          <w:color w:val="000000" w:themeColor="text1"/>
          <w:spacing w:val="-12"/>
          <w:highlight w:val="none"/>
          <w:lang w:eastAsia="zh-CN"/>
          <w14:textFill>
            <w14:solidFill>
              <w14:schemeClr w14:val="tx1"/>
            </w14:solidFill>
          </w14:textFill>
        </w:rPr>
      </w:pPr>
      <w:bookmarkStart w:id="13" w:name="二、_评估目的"/>
      <w:bookmarkEnd w:id="13"/>
      <w:bookmarkStart w:id="14" w:name="_Toc17408"/>
      <w:r>
        <w:rPr>
          <w:color w:val="000000" w:themeColor="text1"/>
          <w:spacing w:val="-12"/>
          <w:highlight w:val="none"/>
          <w:lang w:eastAsia="zh-CN"/>
          <w14:textFill>
            <w14:solidFill>
              <w14:schemeClr w14:val="tx1"/>
            </w14:solidFill>
          </w14:textFill>
        </w:rPr>
        <w:t>评估目的</w:t>
      </w:r>
      <w:bookmarkEnd w:id="14"/>
    </w:p>
    <w:p>
      <w:pPr>
        <w:pStyle w:val="5"/>
        <w:spacing w:line="297" w:lineRule="auto"/>
        <w:ind w:right="0" w:rightChars="0" w:firstLine="536" w:firstLineChars="200"/>
        <w:jc w:val="both"/>
        <w:rPr>
          <w:rFonts w:hint="eastAsia"/>
          <w:color w:val="000000" w:themeColor="text1"/>
          <w:spacing w:val="-6"/>
          <w:lang w:eastAsia="zh-CN"/>
          <w14:textFill>
            <w14:solidFill>
              <w14:schemeClr w14:val="tx1"/>
            </w14:solidFill>
          </w14:textFill>
        </w:rPr>
      </w:pPr>
      <w:bookmarkStart w:id="15" w:name="三、_评估对象和评估范围"/>
      <w:bookmarkEnd w:id="15"/>
      <w:bookmarkStart w:id="16" w:name="_Toc1167"/>
      <w:r>
        <w:rPr>
          <w:rFonts w:hint="eastAsia"/>
          <w:color w:val="000000" w:themeColor="text1"/>
          <w:spacing w:val="-6"/>
          <w:lang w:eastAsia="zh-CN"/>
          <w14:textFill>
            <w14:solidFill>
              <w14:schemeClr w14:val="tx1"/>
            </w14:solidFill>
          </w14:textFill>
        </w:rPr>
        <w:t>本次评估目的是确定评估基准日对被拟执行人姜国贤与陈洪明借款合同纠纷一案中涉及的寿光市晨鸣路东荟仕名苑11号楼6单元501室的处置市场价值，为寿光市人民法院提供上述</w:t>
      </w:r>
      <w:r>
        <w:rPr>
          <w:rFonts w:hint="eastAsia"/>
          <w:color w:val="000000" w:themeColor="text1"/>
          <w:spacing w:val="-6"/>
          <w:lang w:val="en-US" w:eastAsia="zh-CN"/>
          <w14:textFill>
            <w14:solidFill>
              <w14:schemeClr w14:val="tx1"/>
            </w14:solidFill>
          </w14:textFill>
        </w:rPr>
        <w:t>房屋建筑物</w:t>
      </w:r>
      <w:r>
        <w:rPr>
          <w:rFonts w:hint="eastAsia"/>
          <w:color w:val="000000" w:themeColor="text1"/>
          <w:spacing w:val="-6"/>
          <w:lang w:eastAsia="zh-CN"/>
          <w14:textFill>
            <w14:solidFill>
              <w14:schemeClr w14:val="tx1"/>
            </w14:solidFill>
          </w14:textFill>
        </w:rPr>
        <w:t>的处置参考价。</w:t>
      </w:r>
    </w:p>
    <w:p>
      <w:pPr>
        <w:pStyle w:val="3"/>
        <w:numPr>
          <w:ilvl w:val="0"/>
          <w:numId w:val="1"/>
        </w:numPr>
        <w:spacing w:before="234" w:line="223" w:lineRule="auto"/>
        <w:ind w:left="140" w:right="0" w:rightChars="0" w:firstLine="561"/>
        <w:outlineLvl w:val="0"/>
        <w:rPr>
          <w:color w:val="000000" w:themeColor="text1"/>
          <w:spacing w:val="-12"/>
          <w:highlight w:val="none"/>
          <w:lang w:eastAsia="zh-CN"/>
          <w14:textFill>
            <w14:solidFill>
              <w14:schemeClr w14:val="tx1"/>
            </w14:solidFill>
          </w14:textFill>
        </w:rPr>
      </w:pPr>
      <w:r>
        <w:rPr>
          <w:color w:val="000000" w:themeColor="text1"/>
          <w:spacing w:val="-12"/>
          <w:highlight w:val="none"/>
          <w:lang w:eastAsia="zh-CN"/>
          <w14:textFill>
            <w14:solidFill>
              <w14:schemeClr w14:val="tx1"/>
            </w14:solidFill>
          </w14:textFill>
        </w:rPr>
        <w:t>评估对象和评估范围</w:t>
      </w:r>
      <w:bookmarkEnd w:id="16"/>
    </w:p>
    <w:p>
      <w:pPr>
        <w:pStyle w:val="3"/>
        <w:numPr>
          <w:ilvl w:val="0"/>
          <w:numId w:val="0"/>
        </w:numPr>
        <w:spacing w:before="234" w:line="223" w:lineRule="auto"/>
        <w:ind w:left="701" w:leftChars="0" w:right="0" w:rightChars="0"/>
        <w:outlineLvl w:val="0"/>
        <w:rPr>
          <w:color w:val="000000" w:themeColor="text1"/>
          <w:spacing w:val="-12"/>
          <w:highlight w:val="none"/>
          <w:lang w:eastAsia="zh-CN"/>
          <w14:textFill>
            <w14:solidFill>
              <w14:schemeClr w14:val="tx1"/>
            </w14:solidFill>
          </w14:textFill>
        </w:rPr>
      </w:pPr>
      <w:r>
        <w:rPr>
          <w:rFonts w:hint="eastAsia" w:ascii="宋体" w:hAnsi="宋体" w:eastAsia="宋体" w:cs="宋体"/>
          <w:b/>
          <w:bCs/>
          <w:color w:val="000000" w:themeColor="text1"/>
          <w:kern w:val="0"/>
          <w:sz w:val="28"/>
          <w:szCs w:val="28"/>
          <w:highlight w:val="none"/>
          <w:lang w:val="en-US" w:eastAsia="zh-CN" w:bidi="ar-SA"/>
          <w14:textFill>
            <w14:solidFill>
              <w14:schemeClr w14:val="tx1"/>
            </w14:solidFill>
          </w14:textFill>
        </w:rPr>
        <w:t>(一)评估对象</w:t>
      </w:r>
    </w:p>
    <w:p>
      <w:pPr>
        <w:pStyle w:val="5"/>
        <w:spacing w:before="20" w:line="297" w:lineRule="auto"/>
        <w:ind w:left="140" w:right="0" w:rightChars="0" w:firstLine="556"/>
        <w:jc w:val="both"/>
        <w:rPr>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评估对象为寿光市人民法院在拟执行姜国贤与陈洪明借款合同纠纷一案中涉及的寿光市晨鸣路东荟仕名苑11号楼6单元501室的处置市场价值。</w:t>
      </w:r>
    </w:p>
    <w:p>
      <w:pPr>
        <w:adjustRightInd w:val="0"/>
        <w:spacing w:line="360" w:lineRule="auto"/>
        <w:ind w:right="0" w:rightChars="0" w:firstLine="525"/>
        <w:rPr>
          <w:rFonts w:hint="eastAsia"/>
          <w:b/>
          <w:bCs/>
          <w:color w:val="000000" w:themeColor="text1"/>
          <w:kern w:val="0"/>
          <w:sz w:val="28"/>
          <w:szCs w:val="28"/>
          <w:highlight w:val="none"/>
          <w14:textFill>
            <w14:solidFill>
              <w14:schemeClr w14:val="tx1"/>
            </w14:solidFill>
          </w14:textFill>
        </w:rPr>
      </w:pPr>
      <w:r>
        <w:rPr>
          <w:rFonts w:hint="eastAsia"/>
          <w:b/>
          <w:bCs/>
          <w:color w:val="000000" w:themeColor="text1"/>
          <w:kern w:val="0"/>
          <w:sz w:val="28"/>
          <w:szCs w:val="28"/>
          <w:highlight w:val="none"/>
          <w14:textFill>
            <w14:solidFill>
              <w14:schemeClr w14:val="tx1"/>
            </w14:solidFill>
          </w14:textFill>
        </w:rPr>
        <w:t>(二)评估范围</w:t>
      </w:r>
    </w:p>
    <w:p>
      <w:pPr>
        <w:adjustRightInd w:val="0"/>
        <w:spacing w:line="360" w:lineRule="auto"/>
        <w:ind w:left="220" w:leftChars="100" w:right="0" w:rightChars="0" w:firstLine="525" w:firstLineChars="0"/>
        <w:rPr>
          <w:rFonts w:hint="eastAsia"/>
          <w:color w:val="000000" w:themeColor="text1"/>
          <w:kern w:val="0"/>
          <w:sz w:val="28"/>
          <w:szCs w:val="28"/>
          <w:highlight w:val="none"/>
          <w:lang w:val="en-US" w:eastAsia="zh-CN"/>
          <w14:textFill>
            <w14:solidFill>
              <w14:schemeClr w14:val="tx1"/>
            </w14:solidFill>
          </w14:textFill>
        </w:rPr>
      </w:pPr>
      <w:r>
        <w:rPr>
          <w:rFonts w:hint="eastAsia"/>
          <w:color w:val="000000" w:themeColor="text1"/>
          <w:kern w:val="0"/>
          <w:sz w:val="28"/>
          <w:szCs w:val="28"/>
          <w:highlight w:val="none"/>
          <w14:textFill>
            <w14:solidFill>
              <w14:schemeClr w14:val="tx1"/>
            </w14:solidFill>
          </w14:textFill>
        </w:rPr>
        <w:t>仅限于寿光市人民法院在拟执行姜国贤与陈洪明借款合同纠纷一案中涉及的寿光市晨鸣路东荟仕名苑11号楼6单元501室。</w:t>
      </w:r>
      <w:r>
        <w:rPr>
          <w:rFonts w:hint="eastAsia"/>
          <w:color w:val="000000" w:themeColor="text1"/>
          <w:kern w:val="0"/>
          <w:sz w:val="28"/>
          <w:szCs w:val="28"/>
          <w:highlight w:val="none"/>
          <w:lang w:val="en-US" w:eastAsia="zh-CN"/>
          <w14:textFill>
            <w14:solidFill>
              <w14:schemeClr w14:val="tx1"/>
            </w14:solidFill>
          </w14:textFill>
        </w:rPr>
        <w:t xml:space="preserve">  </w:t>
      </w:r>
      <w:r>
        <w:rPr>
          <w:rFonts w:hint="eastAsia"/>
          <w:color w:val="000000" w:themeColor="text1"/>
          <w:kern w:val="0"/>
          <w:sz w:val="28"/>
          <w:szCs w:val="28"/>
          <w:highlight w:val="none"/>
          <w:lang w:val="en-US" w:eastAsia="zh-CN"/>
          <w14:textFill>
            <w14:solidFill>
              <w14:schemeClr w14:val="tx1"/>
            </w14:solidFill>
          </w14:textFill>
        </w:rPr>
        <w:t xml:space="preserve">                     </w:t>
      </w:r>
    </w:p>
    <w:p>
      <w:pPr>
        <w:adjustRightInd w:val="0"/>
        <w:spacing w:line="360" w:lineRule="auto"/>
        <w:ind w:left="220" w:leftChars="100" w:right="0" w:rightChars="0" w:firstLine="220" w:firstLineChars="0"/>
        <w:rPr>
          <w:rFonts w:hint="eastAsia"/>
          <w:b/>
          <w:bCs/>
          <w:color w:val="000000" w:themeColor="text1"/>
          <w:kern w:val="0"/>
          <w:sz w:val="28"/>
          <w:szCs w:val="28"/>
          <w:highlight w:val="none"/>
          <w14:textFill>
            <w14:solidFill>
              <w14:schemeClr w14:val="tx1"/>
            </w14:solidFill>
          </w14:textFill>
        </w:rPr>
      </w:pPr>
      <w:r>
        <w:rPr>
          <w:rFonts w:hint="eastAsia"/>
          <w:b/>
          <w:bCs/>
          <w:color w:val="000000" w:themeColor="text1"/>
          <w:kern w:val="0"/>
          <w:sz w:val="28"/>
          <w:szCs w:val="28"/>
          <w:highlight w:val="none"/>
          <w14:textFill>
            <w14:solidFill>
              <w14:schemeClr w14:val="tx1"/>
            </w14:solidFill>
          </w14:textFill>
        </w:rPr>
        <w:t>(</w:t>
      </w:r>
      <w:r>
        <w:rPr>
          <w:rFonts w:hint="eastAsia"/>
          <w:b/>
          <w:bCs/>
          <w:color w:val="000000" w:themeColor="text1"/>
          <w:kern w:val="0"/>
          <w:sz w:val="28"/>
          <w:szCs w:val="28"/>
          <w:highlight w:val="none"/>
          <w:lang w:val="en-US" w:eastAsia="zh-CN"/>
          <w14:textFill>
            <w14:solidFill>
              <w14:schemeClr w14:val="tx1"/>
            </w14:solidFill>
          </w14:textFill>
        </w:rPr>
        <w:t>三</w:t>
      </w:r>
      <w:r>
        <w:rPr>
          <w:rFonts w:hint="eastAsia"/>
          <w:b/>
          <w:bCs/>
          <w:color w:val="000000" w:themeColor="text1"/>
          <w:kern w:val="0"/>
          <w:sz w:val="28"/>
          <w:szCs w:val="28"/>
          <w:highlight w:val="none"/>
          <w14:textFill>
            <w14:solidFill>
              <w14:schemeClr w14:val="tx1"/>
            </w14:solidFill>
          </w14:textFill>
        </w:rPr>
        <w:t>)委托评估对象和评估范围与经济行为涉及的评估对象和评估范围一致。</w:t>
      </w:r>
    </w:p>
    <w:p>
      <w:pPr>
        <w:adjustRightInd w:val="0"/>
        <w:spacing w:line="360" w:lineRule="auto"/>
        <w:ind w:left="0" w:leftChars="0" w:right="0" w:rightChars="0" w:firstLine="218" w:firstLineChars="78"/>
        <w:rPr>
          <w:rFonts w:hint="eastAsia"/>
          <w:color w:val="000000" w:themeColor="text1"/>
          <w:kern w:val="0"/>
          <w:sz w:val="28"/>
          <w:szCs w:val="28"/>
          <w:highlight w:val="none"/>
          <w14:textFill>
            <w14:solidFill>
              <w14:schemeClr w14:val="tx1"/>
            </w14:solidFill>
          </w14:textFill>
        </w:rPr>
      </w:pPr>
      <w:r>
        <w:rPr>
          <w:rFonts w:hint="eastAsia"/>
          <w:color w:val="000000" w:themeColor="text1"/>
          <w:kern w:val="0"/>
          <w:sz w:val="28"/>
          <w:szCs w:val="28"/>
          <w:highlight w:val="none"/>
          <w14:textFill>
            <w14:solidFill>
              <w14:schemeClr w14:val="tx1"/>
            </w14:solidFill>
          </w14:textFill>
        </w:rPr>
        <w:t>（</w:t>
      </w:r>
      <w:r>
        <w:rPr>
          <w:rFonts w:hint="eastAsia"/>
          <w:b/>
          <w:bCs/>
          <w:color w:val="000000" w:themeColor="text1"/>
          <w:kern w:val="0"/>
          <w:sz w:val="28"/>
          <w:szCs w:val="28"/>
          <w:highlight w:val="none"/>
          <w14:textFill>
            <w14:solidFill>
              <w14:schemeClr w14:val="tx1"/>
            </w14:solidFill>
          </w14:textFill>
        </w:rPr>
        <w:t>四）引用其他机构出具的报告结论</w:t>
      </w:r>
    </w:p>
    <w:p>
      <w:pPr>
        <w:adjustRightInd w:val="0"/>
        <w:spacing w:line="360" w:lineRule="auto"/>
        <w:ind w:right="0" w:rightChars="0" w:firstLine="525"/>
        <w:rPr>
          <w:rFonts w:hint="eastAsia"/>
          <w:color w:val="000000" w:themeColor="text1"/>
          <w:kern w:val="0"/>
          <w:sz w:val="28"/>
          <w:szCs w:val="28"/>
          <w:highlight w:val="none"/>
          <w14:textFill>
            <w14:solidFill>
              <w14:schemeClr w14:val="tx1"/>
            </w14:solidFill>
          </w14:textFill>
        </w:rPr>
      </w:pPr>
      <w:r>
        <w:rPr>
          <w:rFonts w:hint="eastAsia"/>
          <w:color w:val="000000" w:themeColor="text1"/>
          <w:kern w:val="0"/>
          <w:sz w:val="28"/>
          <w:szCs w:val="28"/>
          <w:highlight w:val="none"/>
          <w14:textFill>
            <w14:solidFill>
              <w14:schemeClr w14:val="tx1"/>
            </w14:solidFill>
          </w14:textFill>
        </w:rPr>
        <w:t>本次评估报告中基准日资产未引用其他机构出具的报告结论。</w:t>
      </w:r>
    </w:p>
    <w:p>
      <w:pPr>
        <w:pStyle w:val="3"/>
        <w:numPr>
          <w:ilvl w:val="0"/>
          <w:numId w:val="0"/>
        </w:numPr>
        <w:spacing w:before="234" w:line="223" w:lineRule="auto"/>
        <w:ind w:right="0" w:rightChars="0" w:firstLine="512" w:firstLineChars="200"/>
        <w:outlineLvl w:val="0"/>
        <w:rPr>
          <w:rFonts w:hint="eastAsia"/>
          <w:color w:val="000000" w:themeColor="text1"/>
          <w:spacing w:val="-12"/>
          <w:highlight w:val="none"/>
          <w:lang w:eastAsia="zh-CN"/>
          <w14:textFill>
            <w14:solidFill>
              <w14:schemeClr w14:val="tx1"/>
            </w14:solidFill>
          </w14:textFill>
        </w:rPr>
      </w:pPr>
      <w:bookmarkStart w:id="17" w:name="_Toc32244"/>
      <w:r>
        <w:rPr>
          <w:rFonts w:hint="eastAsia"/>
          <w:color w:val="000000" w:themeColor="text1"/>
          <w:spacing w:val="-12"/>
          <w:highlight w:val="none"/>
          <w:lang w:eastAsia="zh-CN"/>
          <w14:textFill>
            <w14:solidFill>
              <w14:schemeClr w14:val="tx1"/>
            </w14:solidFill>
          </w14:textFill>
        </w:rPr>
        <w:t>四、价值类型</w:t>
      </w:r>
      <w:bookmarkEnd w:id="17"/>
    </w:p>
    <w:p>
      <w:pPr>
        <w:pStyle w:val="5"/>
        <w:tabs>
          <w:tab w:val="left" w:pos="660"/>
        </w:tabs>
        <w:spacing w:before="89" w:line="297" w:lineRule="auto"/>
        <w:ind w:right="-31" w:firstLine="798" w:firstLineChars="300"/>
        <w:rPr>
          <w:color w:val="000000" w:themeColor="text1"/>
          <w:spacing w:val="-7"/>
          <w:highlight w:val="none"/>
          <w:lang w:eastAsia="zh-CN"/>
          <w14:textFill>
            <w14:solidFill>
              <w14:schemeClr w14:val="tx1"/>
            </w14:solidFill>
          </w14:textFill>
        </w:rPr>
      </w:pPr>
      <w:bookmarkStart w:id="18" w:name="_Toc16182"/>
      <w:r>
        <w:rPr>
          <w:color w:val="000000" w:themeColor="text1"/>
          <w:spacing w:val="-7"/>
          <w:highlight w:val="none"/>
          <w:lang w:eastAsia="zh-CN"/>
          <w14:textFill>
            <w14:solidFill>
              <w14:schemeClr w14:val="tx1"/>
            </w14:solidFill>
          </w14:textFill>
        </w:rPr>
        <w:t>根据《资产评估价值类型指导意见》</w:t>
      </w:r>
      <w:r>
        <w:rPr>
          <w:rFonts w:hint="eastAsia"/>
          <w:color w:val="000000" w:themeColor="text1"/>
          <w:spacing w:val="-7"/>
          <w:highlight w:val="none"/>
          <w:lang w:eastAsia="zh-CN"/>
          <w14:textFill>
            <w14:solidFill>
              <w14:schemeClr w14:val="tx1"/>
            </w14:solidFill>
          </w14:textFill>
        </w:rPr>
        <w:t>第四条</w:t>
      </w:r>
      <w:r>
        <w:rPr>
          <w:color w:val="000000" w:themeColor="text1"/>
          <w:spacing w:val="-7"/>
          <w:highlight w:val="none"/>
          <w:lang w:eastAsia="zh-CN"/>
          <w14:textFill>
            <w14:solidFill>
              <w14:schemeClr w14:val="tx1"/>
            </w14:solidFill>
          </w14:textFill>
        </w:rPr>
        <w:t>：市场价值是指自愿买方和自愿卖方在各自理性行事且未受任何强迫的情况下，评估对象在评估基准日进行正常公平交易的价值估计数额</w:t>
      </w:r>
      <w:bookmarkStart w:id="19" w:name="_bookmark7"/>
      <w:bookmarkEnd w:id="19"/>
    </w:p>
    <w:p>
      <w:pPr>
        <w:pStyle w:val="5"/>
        <w:tabs>
          <w:tab w:val="left" w:pos="660"/>
        </w:tabs>
        <w:spacing w:before="89" w:line="297" w:lineRule="auto"/>
        <w:ind w:left="140" w:right="-31" w:firstLine="559"/>
        <w:rPr>
          <w:color w:val="000000" w:themeColor="text1"/>
          <w:spacing w:val="-7"/>
          <w:highlight w:val="none"/>
          <w:lang w:eastAsia="zh-CN"/>
          <w14:textFill>
            <w14:solidFill>
              <w14:schemeClr w14:val="tx1"/>
            </w14:solidFill>
          </w14:textFill>
        </w:rPr>
      </w:pPr>
      <w:r>
        <w:rPr>
          <w:rFonts w:hint="eastAsia"/>
          <w:color w:val="000000" w:themeColor="text1"/>
          <w:spacing w:val="-7"/>
          <w:highlight w:val="none"/>
          <w:lang w:eastAsia="zh-CN"/>
          <w14:textFill>
            <w14:solidFill>
              <w14:schemeClr w14:val="tx1"/>
            </w14:solidFill>
          </w14:textFill>
        </w:rPr>
        <w:t>根据本次评估目的、特定市场条件及评估对象状况，</w:t>
      </w:r>
      <w:r>
        <w:rPr>
          <w:color w:val="000000" w:themeColor="text1"/>
          <w:spacing w:val="-7"/>
          <w:highlight w:val="none"/>
          <w:lang w:eastAsia="zh-CN"/>
          <w14:textFill>
            <w14:solidFill>
              <w14:schemeClr w14:val="tx1"/>
            </w14:solidFill>
          </w14:textFill>
        </w:rPr>
        <w:t>确定本次资产评估所选取的价值类型为市场价值。</w:t>
      </w:r>
    </w:p>
    <w:p>
      <w:pPr>
        <w:pStyle w:val="3"/>
        <w:numPr>
          <w:ilvl w:val="0"/>
          <w:numId w:val="0"/>
        </w:numPr>
        <w:spacing w:before="234" w:line="223" w:lineRule="auto"/>
        <w:ind w:left="701" w:leftChars="0" w:right="0" w:rightChars="0"/>
        <w:outlineLvl w:val="0"/>
        <w:rPr>
          <w:rFonts w:hint="eastAsia"/>
          <w:color w:val="000000" w:themeColor="text1"/>
          <w:spacing w:val="-12"/>
          <w:highlight w:val="none"/>
          <w:lang w:eastAsia="zh-CN"/>
          <w14:textFill>
            <w14:solidFill>
              <w14:schemeClr w14:val="tx1"/>
            </w14:solidFill>
          </w14:textFill>
        </w:rPr>
      </w:pPr>
      <w:r>
        <w:rPr>
          <w:rFonts w:hint="eastAsia"/>
          <w:color w:val="000000" w:themeColor="text1"/>
          <w:spacing w:val="-12"/>
          <w:highlight w:val="none"/>
          <w:lang w:eastAsia="zh-CN"/>
          <w14:textFill>
            <w14:solidFill>
              <w14:schemeClr w14:val="tx1"/>
            </w14:solidFill>
          </w14:textFill>
        </w:rPr>
        <w:t>五、评估基准日</w:t>
      </w:r>
      <w:bookmarkEnd w:id="18"/>
    </w:p>
    <w:p>
      <w:pPr>
        <w:pStyle w:val="5"/>
        <w:tabs>
          <w:tab w:val="left" w:pos="660"/>
        </w:tabs>
        <w:ind w:left="699" w:right="-31"/>
        <w:rPr>
          <w:color w:val="000000" w:themeColor="text1"/>
          <w:highlight w:val="none"/>
          <w:lang w:eastAsia="zh-CN"/>
          <w14:textFill>
            <w14:solidFill>
              <w14:schemeClr w14:val="tx1"/>
            </w14:solidFill>
          </w14:textFill>
        </w:rPr>
      </w:pPr>
      <w:bookmarkStart w:id="20" w:name="_Toc8774"/>
      <w:r>
        <w:rPr>
          <w:color w:val="000000" w:themeColor="text1"/>
          <w:highlight w:val="none"/>
          <w:lang w:eastAsia="zh-CN"/>
          <w14:textFill>
            <w14:solidFill>
              <w14:schemeClr w14:val="tx1"/>
            </w14:solidFill>
          </w14:textFill>
        </w:rPr>
        <w:t xml:space="preserve">本报告评估基准日是 </w:t>
      </w:r>
      <w:r>
        <w:rPr>
          <w:rFonts w:hint="eastAsia"/>
          <w:color w:val="000000" w:themeColor="text1"/>
          <w:highlight w:val="none"/>
          <w:lang w:eastAsia="zh-CN"/>
          <w14:textFill>
            <w14:solidFill>
              <w14:schemeClr w14:val="tx1"/>
            </w14:solidFill>
          </w14:textFill>
        </w:rPr>
        <w:t>2021年11月04日</w:t>
      </w:r>
      <w:r>
        <w:rPr>
          <w:color w:val="000000" w:themeColor="text1"/>
          <w:highlight w:val="none"/>
          <w:lang w:eastAsia="zh-CN"/>
          <w14:textFill>
            <w14:solidFill>
              <w14:schemeClr w14:val="tx1"/>
            </w14:solidFill>
          </w14:textFill>
        </w:rPr>
        <w:t>。</w:t>
      </w:r>
    </w:p>
    <w:p>
      <w:pPr>
        <w:pStyle w:val="5"/>
        <w:tabs>
          <w:tab w:val="left" w:pos="660"/>
        </w:tabs>
        <w:spacing w:before="87" w:line="297" w:lineRule="auto"/>
        <w:ind w:left="140" w:right="-31" w:firstLine="559"/>
        <w:jc w:val="both"/>
        <w:rPr>
          <w:color w:val="000000" w:themeColor="text1"/>
          <w:highlight w:val="none"/>
          <w:lang w:eastAsia="zh-CN"/>
          <w14:textFill>
            <w14:solidFill>
              <w14:schemeClr w14:val="tx1"/>
            </w14:solidFill>
          </w14:textFill>
        </w:rPr>
      </w:pPr>
      <w:r>
        <w:rPr>
          <w:color w:val="000000" w:themeColor="text1"/>
          <w:spacing w:val="1"/>
          <w:highlight w:val="none"/>
          <w:lang w:eastAsia="zh-CN"/>
          <w14:textFill>
            <w14:solidFill>
              <w14:schemeClr w14:val="tx1"/>
            </w14:solidFill>
          </w14:textFill>
        </w:rPr>
        <w:t>确定该评估基准日主要考虑资产评估是对某一时点的资产提供</w:t>
      </w:r>
      <w:r>
        <w:rPr>
          <w:color w:val="000000" w:themeColor="text1"/>
          <w:spacing w:val="-10"/>
          <w:highlight w:val="none"/>
          <w:lang w:eastAsia="zh-CN"/>
          <w14:textFill>
            <w14:solidFill>
              <w14:schemeClr w14:val="tx1"/>
            </w14:solidFill>
          </w14:textFill>
        </w:rPr>
        <w:t>价值参考，</w:t>
      </w:r>
      <w:r>
        <w:rPr>
          <w:color w:val="000000" w:themeColor="text1"/>
          <w:spacing w:val="-9"/>
          <w:highlight w:val="none"/>
          <w:lang w:eastAsia="zh-CN"/>
          <w14:textFill>
            <w14:solidFill>
              <w14:schemeClr w14:val="tx1"/>
            </w14:solidFill>
          </w14:textFill>
        </w:rPr>
        <w:t>本次评估是为委托人</w:t>
      </w:r>
      <w:r>
        <w:rPr>
          <w:rFonts w:hint="eastAsia"/>
          <w:color w:val="000000" w:themeColor="text1"/>
          <w:spacing w:val="-9"/>
          <w:highlight w:val="none"/>
          <w:lang w:eastAsia="zh-CN"/>
          <w14:textFill>
            <w14:solidFill>
              <w14:schemeClr w14:val="tx1"/>
            </w14:solidFill>
          </w14:textFill>
        </w:rPr>
        <w:t>确定处置参考价</w:t>
      </w:r>
      <w:r>
        <w:rPr>
          <w:color w:val="000000" w:themeColor="text1"/>
          <w:spacing w:val="-8"/>
          <w:highlight w:val="none"/>
          <w:lang w:eastAsia="zh-CN"/>
          <w14:textFill>
            <w14:solidFill>
              <w14:schemeClr w14:val="tx1"/>
            </w14:solidFill>
          </w14:textFill>
        </w:rPr>
        <w:t>所用，</w:t>
      </w:r>
      <w:r>
        <w:rPr>
          <w:color w:val="000000" w:themeColor="text1"/>
          <w:spacing w:val="-16"/>
          <w:highlight w:val="none"/>
          <w:lang w:eastAsia="zh-CN"/>
          <w14:textFill>
            <w14:solidFill>
              <w14:schemeClr w14:val="tx1"/>
            </w14:solidFill>
          </w14:textFill>
        </w:rPr>
        <w:t>故选择</w:t>
      </w:r>
      <w:r>
        <w:rPr>
          <w:rFonts w:hint="eastAsia"/>
          <w:color w:val="000000" w:themeColor="text1"/>
          <w:highlight w:val="none"/>
          <w:lang w:eastAsia="zh-CN"/>
          <w14:textFill>
            <w14:solidFill>
              <w14:schemeClr w14:val="tx1"/>
            </w14:solidFill>
          </w14:textFill>
        </w:rPr>
        <w:t>2021年11月04日</w:t>
      </w:r>
      <w:r>
        <w:rPr>
          <w:color w:val="000000" w:themeColor="text1"/>
          <w:spacing w:val="-9"/>
          <w:highlight w:val="none"/>
          <w:lang w:eastAsia="zh-CN"/>
          <w14:textFill>
            <w14:solidFill>
              <w14:schemeClr w14:val="tx1"/>
            </w14:solidFill>
          </w14:textFill>
        </w:rPr>
        <w:t>作为评估基准日。本次评估基准日由委托</w:t>
      </w:r>
      <w:r>
        <w:rPr>
          <w:color w:val="000000" w:themeColor="text1"/>
          <w:spacing w:val="-6"/>
          <w:highlight w:val="none"/>
          <w:lang w:eastAsia="zh-CN"/>
          <w14:textFill>
            <w14:solidFill>
              <w14:schemeClr w14:val="tx1"/>
            </w14:solidFill>
          </w14:textFill>
        </w:rPr>
        <w:t>人确定，并在资产评估委托合同中作了相应约定。</w:t>
      </w:r>
    </w:p>
    <w:p>
      <w:pPr>
        <w:pStyle w:val="3"/>
        <w:numPr>
          <w:ilvl w:val="0"/>
          <w:numId w:val="0"/>
        </w:numPr>
        <w:spacing w:before="234" w:line="223" w:lineRule="auto"/>
        <w:ind w:left="701" w:leftChars="0" w:right="0" w:rightChars="0"/>
        <w:outlineLvl w:val="0"/>
        <w:rPr>
          <w:rFonts w:hint="eastAsia"/>
          <w:color w:val="000000" w:themeColor="text1"/>
          <w:spacing w:val="-12"/>
          <w:highlight w:val="none"/>
          <w:lang w:eastAsia="zh-CN"/>
          <w14:textFill>
            <w14:solidFill>
              <w14:schemeClr w14:val="tx1"/>
            </w14:solidFill>
          </w14:textFill>
        </w:rPr>
      </w:pPr>
      <w:r>
        <w:rPr>
          <w:rFonts w:hint="eastAsia"/>
          <w:color w:val="000000" w:themeColor="text1"/>
          <w:spacing w:val="-12"/>
          <w:highlight w:val="none"/>
          <w:lang w:eastAsia="zh-CN"/>
          <w14:textFill>
            <w14:solidFill>
              <w14:schemeClr w14:val="tx1"/>
            </w14:solidFill>
          </w14:textFill>
        </w:rPr>
        <w:t>六、评估依据</w:t>
      </w:r>
      <w:bookmarkEnd w:id="20"/>
    </w:p>
    <w:p>
      <w:pPr>
        <w:pStyle w:val="5"/>
        <w:numPr>
          <w:ilvl w:val="0"/>
          <w:numId w:val="2"/>
        </w:numPr>
        <w:ind w:firstLine="560" w:firstLineChars="200"/>
        <w:rPr>
          <w:color w:val="000000" w:themeColor="text1"/>
          <w:highlight w:val="none"/>
          <w:lang w:eastAsia="zh-CN"/>
          <w14:textFill>
            <w14:solidFill>
              <w14:schemeClr w14:val="tx1"/>
            </w14:solidFill>
          </w14:textFill>
        </w:rPr>
      </w:pPr>
      <w:r>
        <w:rPr>
          <w:color w:val="000000" w:themeColor="text1"/>
          <w:highlight w:val="none"/>
          <w:lang w:eastAsia="zh-CN"/>
          <w14:textFill>
            <w14:solidFill>
              <w14:schemeClr w14:val="tx1"/>
            </w14:solidFill>
          </w14:textFill>
        </w:rPr>
        <w:t>经济行为依据</w:t>
      </w:r>
    </w:p>
    <w:p>
      <w:pPr>
        <w:pStyle w:val="5"/>
        <w:tabs>
          <w:tab w:val="left" w:pos="660"/>
        </w:tabs>
        <w:ind w:left="699" w:right="-31"/>
        <w:rPr>
          <w:color w:val="000000" w:themeColor="text1"/>
          <w:highlight w:val="none"/>
          <w:lang w:eastAsia="zh-CN"/>
          <w14:textFill>
            <w14:solidFill>
              <w14:schemeClr w14:val="tx1"/>
            </w14:solidFill>
          </w14:textFill>
        </w:rPr>
      </w:pPr>
      <w:r>
        <w:rPr>
          <w:color w:val="000000" w:themeColor="text1"/>
          <w:highlight w:val="none"/>
          <w:lang w:eastAsia="zh-CN"/>
          <w14:textFill>
            <w14:solidFill>
              <w14:schemeClr w14:val="tx1"/>
            </w14:solidFill>
          </w14:textFill>
        </w:rPr>
        <w:t>1.</w:t>
      </w:r>
      <w:r>
        <w:rPr>
          <w:rFonts w:hint="eastAsia"/>
          <w:color w:val="000000" w:themeColor="text1"/>
          <w:highlight w:val="none"/>
          <w:lang w:eastAsia="zh-CN"/>
          <w14:textFill>
            <w14:solidFill>
              <w14:schemeClr w14:val="tx1"/>
            </w14:solidFill>
          </w14:textFill>
        </w:rPr>
        <w:t>《寿光市人民法院委托书》（2021</w:t>
      </w:r>
      <w:r>
        <w:rPr>
          <w:rFonts w:hint="eastAsia"/>
          <w:color w:val="000000" w:themeColor="text1"/>
          <w:highlight w:val="none"/>
          <w:lang w:val="en-US" w:eastAsia="zh-CN"/>
          <w14:textFill>
            <w14:solidFill>
              <w14:schemeClr w14:val="tx1"/>
            </w14:solidFill>
          </w14:textFill>
        </w:rPr>
        <w:t>)</w:t>
      </w:r>
      <w:r>
        <w:rPr>
          <w:rFonts w:hint="eastAsia"/>
          <w:color w:val="000000" w:themeColor="text1"/>
          <w:highlight w:val="none"/>
          <w:lang w:eastAsia="zh-CN"/>
          <w14:textFill>
            <w14:solidFill>
              <w14:schemeClr w14:val="tx1"/>
            </w14:solidFill>
          </w14:textFill>
        </w:rPr>
        <w:t>鲁0783执3116号</w:t>
      </w:r>
      <w:r>
        <w:rPr>
          <w:color w:val="000000" w:themeColor="text1"/>
          <w:highlight w:val="none"/>
          <w:lang w:eastAsia="zh-CN"/>
          <w14:textFill>
            <w14:solidFill>
              <w14:schemeClr w14:val="tx1"/>
            </w14:solidFill>
          </w14:textFill>
        </w:rPr>
        <w:t>。</w:t>
      </w:r>
    </w:p>
    <w:p>
      <w:pPr>
        <w:pStyle w:val="5"/>
        <w:numPr>
          <w:ilvl w:val="0"/>
          <w:numId w:val="2"/>
        </w:numPr>
        <w:ind w:firstLine="560" w:firstLineChars="20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法律法规依据</w:t>
      </w:r>
    </w:p>
    <w:p>
      <w:pPr>
        <w:pStyle w:val="5"/>
        <w:tabs>
          <w:tab w:val="left" w:pos="660"/>
          <w:tab w:val="left" w:pos="7040"/>
        </w:tabs>
        <w:spacing w:before="89" w:line="297" w:lineRule="auto"/>
        <w:ind w:left="141" w:leftChars="64" w:right="99" w:rightChars="45" w:firstLine="532" w:firstLineChars="200"/>
        <w:jc w:val="both"/>
        <w:rPr>
          <w:color w:val="000000" w:themeColor="text1"/>
          <w:highlight w:val="none"/>
          <w:lang w:eastAsia="zh-CN"/>
          <w14:textFill>
            <w14:solidFill>
              <w14:schemeClr w14:val="tx1"/>
            </w14:solidFill>
          </w14:textFill>
        </w:rPr>
      </w:pPr>
      <w:r>
        <w:rPr>
          <w:color w:val="000000" w:themeColor="text1"/>
          <w:spacing w:val="-7"/>
          <w:highlight w:val="none"/>
          <w:lang w:eastAsia="zh-CN"/>
          <w14:textFill>
            <w14:solidFill>
              <w14:schemeClr w14:val="tx1"/>
            </w14:solidFill>
          </w14:textFill>
        </w:rPr>
        <w:t>1</w:t>
      </w:r>
      <w:r>
        <w:rPr>
          <w:color w:val="000000" w:themeColor="text1"/>
          <w:spacing w:val="-4"/>
          <w:highlight w:val="none"/>
          <w:lang w:eastAsia="zh-CN"/>
          <w14:textFill>
            <w14:solidFill>
              <w14:schemeClr w14:val="tx1"/>
            </w14:solidFill>
          </w14:textFill>
        </w:rPr>
        <w:t>.《中华人民共和国资产评估法》</w:t>
      </w:r>
      <w:r>
        <w:rPr>
          <w:color w:val="000000" w:themeColor="text1"/>
          <w:highlight w:val="none"/>
          <w:lang w:eastAsia="zh-CN"/>
          <w14:textFill>
            <w14:solidFill>
              <w14:schemeClr w14:val="tx1"/>
            </w14:solidFill>
          </w14:textFill>
        </w:rPr>
        <w:t>(2016</w:t>
      </w:r>
      <w:r>
        <w:rPr>
          <w:color w:val="000000" w:themeColor="text1"/>
          <w:spacing w:val="-46"/>
          <w:highlight w:val="none"/>
          <w:lang w:eastAsia="zh-CN"/>
          <w14:textFill>
            <w14:solidFill>
              <w14:schemeClr w14:val="tx1"/>
            </w14:solidFill>
          </w14:textFill>
        </w:rPr>
        <w:t xml:space="preserve"> 年</w:t>
      </w:r>
      <w:r>
        <w:rPr>
          <w:rFonts w:hint="eastAsia"/>
          <w:color w:val="000000" w:themeColor="text1"/>
          <w:spacing w:val="-46"/>
          <w:highlight w:val="none"/>
          <w:lang w:val="en-US" w:eastAsia="zh-CN"/>
          <w14:textFill>
            <w14:solidFill>
              <w14:schemeClr w14:val="tx1"/>
            </w14:solidFill>
          </w14:textFill>
        </w:rPr>
        <w:t>7</w:t>
      </w:r>
      <w:r>
        <w:rPr>
          <w:color w:val="000000" w:themeColor="text1"/>
          <w:spacing w:val="-45"/>
          <w:highlight w:val="none"/>
          <w:lang w:eastAsia="zh-CN"/>
          <w14:textFill>
            <w14:solidFill>
              <w14:schemeClr w14:val="tx1"/>
            </w14:solidFill>
          </w14:textFill>
        </w:rPr>
        <w:t>月</w:t>
      </w:r>
      <w:r>
        <w:rPr>
          <w:rFonts w:hint="eastAsia"/>
          <w:color w:val="000000" w:themeColor="text1"/>
          <w:spacing w:val="-45"/>
          <w:highlight w:val="none"/>
          <w:lang w:val="en-US" w:eastAsia="zh-CN"/>
          <w14:textFill>
            <w14:solidFill>
              <w14:schemeClr w14:val="tx1"/>
            </w14:solidFill>
          </w14:textFill>
        </w:rPr>
        <w:t>2</w:t>
      </w:r>
      <w:r>
        <w:rPr>
          <w:color w:val="000000" w:themeColor="text1"/>
          <w:spacing w:val="-12"/>
          <w:highlight w:val="none"/>
          <w:lang w:eastAsia="zh-CN"/>
          <w14:textFill>
            <w14:solidFill>
              <w14:schemeClr w14:val="tx1"/>
            </w14:solidFill>
          </w14:textFill>
        </w:rPr>
        <w:t>日中华人民共</w:t>
      </w:r>
      <w:r>
        <w:rPr>
          <w:color w:val="000000" w:themeColor="text1"/>
          <w:spacing w:val="-7"/>
          <w:highlight w:val="none"/>
          <w:lang w:eastAsia="zh-CN"/>
          <w14:textFill>
            <w14:solidFill>
              <w14:schemeClr w14:val="tx1"/>
            </w14:solidFill>
          </w14:textFill>
        </w:rPr>
        <w:t>和国第十二届全国人民代表大会常务委员会第二十一次会议通过)；</w:t>
      </w:r>
    </w:p>
    <w:p>
      <w:pPr>
        <w:pStyle w:val="5"/>
        <w:tabs>
          <w:tab w:val="left" w:pos="660"/>
        </w:tabs>
        <w:spacing w:before="19" w:line="297" w:lineRule="auto"/>
        <w:ind w:left="140" w:right="-31" w:firstLine="559"/>
        <w:jc w:val="both"/>
        <w:rPr>
          <w:color w:val="000000" w:themeColor="text1"/>
          <w:spacing w:val="-3"/>
          <w:highlight w:val="none"/>
          <w:lang w:eastAsia="zh-CN"/>
          <w14:textFill>
            <w14:solidFill>
              <w14:schemeClr w14:val="tx1"/>
            </w14:solidFill>
          </w14:textFill>
        </w:rPr>
      </w:pPr>
      <w:r>
        <w:rPr>
          <w:color w:val="000000" w:themeColor="text1"/>
          <w:spacing w:val="-7"/>
          <w:highlight w:val="none"/>
          <w:lang w:eastAsia="zh-CN"/>
          <w14:textFill>
            <w14:solidFill>
              <w14:schemeClr w14:val="tx1"/>
            </w14:solidFill>
          </w14:textFill>
        </w:rPr>
        <w:t>2</w:t>
      </w:r>
      <w:r>
        <w:rPr>
          <w:color w:val="000000" w:themeColor="text1"/>
          <w:spacing w:val="-4"/>
          <w:highlight w:val="none"/>
          <w:lang w:eastAsia="zh-CN"/>
          <w14:textFill>
            <w14:solidFill>
              <w14:schemeClr w14:val="tx1"/>
            </w14:solidFill>
          </w14:textFill>
        </w:rPr>
        <w:t>.《中华人民共和国公司法》</w:t>
      </w:r>
      <w:r>
        <w:rPr>
          <w:color w:val="000000" w:themeColor="text1"/>
          <w:highlight w:val="none"/>
          <w:lang w:eastAsia="zh-CN"/>
          <w14:textFill>
            <w14:solidFill>
              <w14:schemeClr w14:val="tx1"/>
            </w14:solidFill>
          </w14:textFill>
        </w:rPr>
        <w:t>(2018</w:t>
      </w:r>
      <w:r>
        <w:rPr>
          <w:color w:val="000000" w:themeColor="text1"/>
          <w:spacing w:val="-47"/>
          <w:highlight w:val="none"/>
          <w:lang w:eastAsia="zh-CN"/>
          <w14:textFill>
            <w14:solidFill>
              <w14:schemeClr w14:val="tx1"/>
            </w14:solidFill>
          </w14:textFill>
        </w:rPr>
        <w:t xml:space="preserve"> 年 </w:t>
      </w:r>
      <w:r>
        <w:rPr>
          <w:color w:val="000000" w:themeColor="text1"/>
          <w:highlight w:val="none"/>
          <w:lang w:eastAsia="zh-CN"/>
          <w14:textFill>
            <w14:solidFill>
              <w14:schemeClr w14:val="tx1"/>
            </w14:solidFill>
          </w14:textFill>
        </w:rPr>
        <w:t>10</w:t>
      </w:r>
      <w:r>
        <w:rPr>
          <w:color w:val="000000" w:themeColor="text1"/>
          <w:spacing w:val="-47"/>
          <w:highlight w:val="none"/>
          <w:lang w:eastAsia="zh-CN"/>
          <w14:textFill>
            <w14:solidFill>
              <w14:schemeClr w14:val="tx1"/>
            </w14:solidFill>
          </w14:textFill>
        </w:rPr>
        <w:t xml:space="preserve"> 月 </w:t>
      </w:r>
      <w:r>
        <w:rPr>
          <w:color w:val="000000" w:themeColor="text1"/>
          <w:highlight w:val="none"/>
          <w:lang w:eastAsia="zh-CN"/>
          <w14:textFill>
            <w14:solidFill>
              <w14:schemeClr w14:val="tx1"/>
            </w14:solidFill>
          </w14:textFill>
        </w:rPr>
        <w:t>26</w:t>
      </w:r>
      <w:r>
        <w:rPr>
          <w:color w:val="000000" w:themeColor="text1"/>
          <w:spacing w:val="-11"/>
          <w:highlight w:val="none"/>
          <w:lang w:eastAsia="zh-CN"/>
          <w14:textFill>
            <w14:solidFill>
              <w14:schemeClr w14:val="tx1"/>
            </w14:solidFill>
          </w14:textFill>
        </w:rPr>
        <w:t xml:space="preserve"> 日第十三届全国</w:t>
      </w:r>
      <w:r>
        <w:rPr>
          <w:color w:val="000000" w:themeColor="text1"/>
          <w:spacing w:val="-3"/>
          <w:highlight w:val="none"/>
          <w:lang w:eastAsia="zh-CN"/>
          <w14:textFill>
            <w14:solidFill>
              <w14:schemeClr w14:val="tx1"/>
            </w14:solidFill>
          </w14:textFill>
        </w:rPr>
        <w:t>人民代表大会常务委员会第六次会议通过修正)；</w:t>
      </w:r>
    </w:p>
    <w:p>
      <w:pPr>
        <w:pStyle w:val="5"/>
        <w:tabs>
          <w:tab w:val="left" w:pos="660"/>
        </w:tabs>
        <w:spacing w:before="19" w:line="297" w:lineRule="auto"/>
        <w:ind w:left="140" w:right="-31" w:firstLine="559"/>
        <w:jc w:val="both"/>
        <w:rPr>
          <w:color w:val="000000" w:themeColor="text1"/>
          <w:spacing w:val="-9"/>
          <w:highlight w:val="none"/>
          <w:lang w:eastAsia="zh-CN"/>
          <w14:textFill>
            <w14:solidFill>
              <w14:schemeClr w14:val="tx1"/>
            </w14:solidFill>
          </w14:textFill>
        </w:rPr>
      </w:pPr>
      <w:r>
        <w:rPr>
          <w:rFonts w:hint="eastAsia"/>
          <w:color w:val="000000" w:themeColor="text1"/>
          <w:spacing w:val="-9"/>
          <w:highlight w:val="none"/>
          <w:lang w:eastAsia="zh-CN"/>
          <w14:textFill>
            <w14:solidFill>
              <w14:schemeClr w14:val="tx1"/>
            </w14:solidFill>
          </w14:textFill>
        </w:rPr>
        <w:t>3</w:t>
      </w:r>
      <w:r>
        <w:rPr>
          <w:color w:val="000000" w:themeColor="text1"/>
          <w:spacing w:val="-9"/>
          <w:highlight w:val="none"/>
          <w:lang w:eastAsia="zh-CN"/>
          <w14:textFill>
            <w14:solidFill>
              <w14:schemeClr w14:val="tx1"/>
            </w14:solidFill>
          </w14:textFill>
        </w:rPr>
        <w:t>.《</w:t>
      </w:r>
      <w:r>
        <w:rPr>
          <w:rFonts w:hint="eastAsia"/>
          <w:color w:val="000000" w:themeColor="text1"/>
          <w:spacing w:val="-9"/>
          <w:highlight w:val="none"/>
          <w:lang w:eastAsia="zh-CN"/>
          <w14:textFill>
            <w14:solidFill>
              <w14:schemeClr w14:val="tx1"/>
            </w14:solidFill>
          </w14:textFill>
        </w:rPr>
        <w:t>最高人民法院关于人民法院确定财产处置参考价若干问题的规定</w:t>
      </w:r>
      <w:r>
        <w:rPr>
          <w:color w:val="000000" w:themeColor="text1"/>
          <w:spacing w:val="-9"/>
          <w:highlight w:val="none"/>
          <w:lang w:eastAsia="zh-CN"/>
          <w14:textFill>
            <w14:solidFill>
              <w14:schemeClr w14:val="tx1"/>
            </w14:solidFill>
          </w14:textFill>
        </w:rPr>
        <w:t>》</w:t>
      </w:r>
      <w:r>
        <w:rPr>
          <w:color w:val="000000" w:themeColor="text1"/>
          <w:highlight w:val="none"/>
          <w:lang w:eastAsia="zh-CN"/>
          <w14:textFill>
            <w14:solidFill>
              <w14:schemeClr w14:val="tx1"/>
            </w14:solidFill>
          </w14:textFill>
        </w:rPr>
        <w:t>（</w:t>
      </w:r>
      <w:r>
        <w:rPr>
          <w:rFonts w:hint="eastAsia"/>
          <w:color w:val="000000" w:themeColor="text1"/>
          <w:highlight w:val="none"/>
          <w:lang w:eastAsia="zh-CN"/>
          <w14:textFill>
            <w14:solidFill>
              <w14:schemeClr w14:val="tx1"/>
            </w14:solidFill>
          </w14:textFill>
        </w:rPr>
        <w:t>法释〔</w:t>
      </w:r>
      <w:r>
        <w:rPr>
          <w:color w:val="000000" w:themeColor="text1"/>
          <w:highlight w:val="none"/>
          <w:lang w:eastAsia="zh-CN"/>
          <w14:textFill>
            <w14:solidFill>
              <w14:schemeClr w14:val="tx1"/>
            </w14:solidFill>
          </w14:textFill>
        </w:rPr>
        <w:t>2018〕15号</w:t>
      </w:r>
      <w:r>
        <w:rPr>
          <w:rFonts w:hint="eastAsia"/>
          <w:color w:val="000000" w:themeColor="text1"/>
          <w:highlight w:val="none"/>
          <w:lang w:eastAsia="zh-CN"/>
          <w14:textFill>
            <w14:solidFill>
              <w14:schemeClr w14:val="tx1"/>
            </w14:solidFill>
          </w14:textFill>
        </w:rPr>
        <w:t>）</w:t>
      </w:r>
      <w:r>
        <w:rPr>
          <w:color w:val="000000" w:themeColor="text1"/>
          <w:spacing w:val="-9"/>
          <w:highlight w:val="none"/>
          <w:lang w:eastAsia="zh-CN"/>
          <w14:textFill>
            <w14:solidFill>
              <w14:schemeClr w14:val="tx1"/>
            </w14:solidFill>
          </w14:textFill>
        </w:rPr>
        <w:t>；</w:t>
      </w:r>
    </w:p>
    <w:p>
      <w:pPr>
        <w:pStyle w:val="5"/>
        <w:tabs>
          <w:tab w:val="left" w:pos="660"/>
        </w:tabs>
        <w:spacing w:before="19" w:line="297" w:lineRule="auto"/>
        <w:ind w:left="140" w:right="-31" w:firstLine="559"/>
        <w:jc w:val="both"/>
        <w:rPr>
          <w:color w:val="000000" w:themeColor="text1"/>
          <w:highlight w:val="none"/>
          <w:lang w:eastAsia="zh-CN"/>
          <w14:textFill>
            <w14:solidFill>
              <w14:schemeClr w14:val="tx1"/>
            </w14:solidFill>
          </w14:textFill>
        </w:rPr>
      </w:pPr>
      <w:r>
        <w:rPr>
          <w:color w:val="000000" w:themeColor="text1"/>
          <w:spacing w:val="-17"/>
          <w:highlight w:val="none"/>
          <w:lang w:eastAsia="zh-CN"/>
          <w14:textFill>
            <w14:solidFill>
              <w14:schemeClr w14:val="tx1"/>
            </w14:solidFill>
          </w14:textFill>
        </w:rPr>
        <w:t>4</w:t>
      </w:r>
      <w:r>
        <w:rPr>
          <w:color w:val="000000" w:themeColor="text1"/>
          <w:spacing w:val="-9"/>
          <w:highlight w:val="none"/>
          <w:lang w:eastAsia="zh-CN"/>
          <w14:textFill>
            <w14:solidFill>
              <w14:schemeClr w14:val="tx1"/>
            </w14:solidFill>
          </w14:textFill>
        </w:rPr>
        <w:t>.《资产评估行业财政监督管理办法》</w:t>
      </w:r>
      <w:r>
        <w:rPr>
          <w:color w:val="000000" w:themeColor="text1"/>
          <w:highlight w:val="none"/>
          <w:lang w:eastAsia="zh-CN"/>
          <w14:textFill>
            <w14:solidFill>
              <w14:schemeClr w14:val="tx1"/>
            </w14:solidFill>
          </w14:textFill>
        </w:rPr>
        <w:t>（</w:t>
      </w:r>
      <w:r>
        <w:rPr>
          <w:color w:val="000000" w:themeColor="text1"/>
          <w:spacing w:val="-3"/>
          <w:highlight w:val="none"/>
          <w:lang w:eastAsia="zh-CN"/>
          <w14:textFill>
            <w14:solidFill>
              <w14:schemeClr w14:val="tx1"/>
            </w14:solidFill>
          </w14:textFill>
        </w:rPr>
        <w:t>中华人民共和国财政部</w:t>
      </w:r>
      <w:r>
        <w:rPr>
          <w:color w:val="000000" w:themeColor="text1"/>
          <w:spacing w:val="-26"/>
          <w:highlight w:val="none"/>
          <w:lang w:eastAsia="zh-CN"/>
          <w14:textFill>
            <w14:solidFill>
              <w14:schemeClr w14:val="tx1"/>
            </w14:solidFill>
          </w14:textFill>
        </w:rPr>
        <w:t xml:space="preserve">令第 </w:t>
      </w:r>
      <w:r>
        <w:rPr>
          <w:color w:val="000000" w:themeColor="text1"/>
          <w:highlight w:val="none"/>
          <w:lang w:eastAsia="zh-CN"/>
          <w14:textFill>
            <w14:solidFill>
              <w14:schemeClr w14:val="tx1"/>
            </w14:solidFill>
          </w14:textFill>
        </w:rPr>
        <w:t>86</w:t>
      </w:r>
      <w:r>
        <w:rPr>
          <w:color w:val="000000" w:themeColor="text1"/>
          <w:spacing w:val="-36"/>
          <w:highlight w:val="none"/>
          <w:lang w:eastAsia="zh-CN"/>
          <w14:textFill>
            <w14:solidFill>
              <w14:schemeClr w14:val="tx1"/>
            </w14:solidFill>
          </w14:textFill>
        </w:rPr>
        <w:t xml:space="preserve"> 号</w:t>
      </w:r>
      <w:r>
        <w:rPr>
          <w:color w:val="000000" w:themeColor="text1"/>
          <w:highlight w:val="none"/>
          <w:lang w:eastAsia="zh-CN"/>
          <w14:textFill>
            <w14:solidFill>
              <w14:schemeClr w14:val="tx1"/>
            </w14:solidFill>
          </w14:textFill>
        </w:rPr>
        <w:t>）；</w:t>
      </w:r>
    </w:p>
    <w:p>
      <w:pPr>
        <w:pStyle w:val="5"/>
        <w:tabs>
          <w:tab w:val="left" w:pos="660"/>
        </w:tabs>
        <w:spacing w:before="19"/>
        <w:ind w:left="699" w:right="-31"/>
        <w:jc w:val="both"/>
        <w:rPr>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5</w:t>
      </w:r>
      <w:r>
        <w:rPr>
          <w:color w:val="000000" w:themeColor="text1"/>
          <w:highlight w:val="none"/>
          <w:lang w:eastAsia="zh-CN"/>
          <w14:textFill>
            <w14:solidFill>
              <w14:schemeClr w14:val="tx1"/>
            </w14:solidFill>
          </w14:textFill>
        </w:rPr>
        <w:t>.《中华人民共和国增值税暂行条例实施细则》(财政部、国家</w:t>
      </w:r>
    </w:p>
    <w:p>
      <w:pPr>
        <w:pStyle w:val="5"/>
        <w:tabs>
          <w:tab w:val="left" w:pos="660"/>
        </w:tabs>
        <w:spacing w:before="12"/>
        <w:ind w:right="-31"/>
        <w:jc w:val="both"/>
        <w:rPr>
          <w:color w:val="000000" w:themeColor="text1"/>
          <w:sz w:val="3"/>
          <w:highlight w:val="none"/>
          <w:lang w:eastAsia="zh-CN"/>
          <w14:textFill>
            <w14:solidFill>
              <w14:schemeClr w14:val="tx1"/>
            </w14:solidFill>
          </w14:textFill>
        </w:rPr>
      </w:pPr>
    </w:p>
    <w:p>
      <w:pPr>
        <w:pStyle w:val="5"/>
        <w:tabs>
          <w:tab w:val="left" w:pos="660"/>
        </w:tabs>
        <w:spacing w:line="20" w:lineRule="exact"/>
        <w:ind w:left="106" w:right="-31"/>
        <w:jc w:val="both"/>
        <w:rPr>
          <w:color w:val="000000" w:themeColor="text1"/>
          <w:sz w:val="2"/>
          <w:highlight w:val="none"/>
          <w:lang w:eastAsia="zh-CN"/>
          <w14:textFill>
            <w14:solidFill>
              <w14:schemeClr w14:val="tx1"/>
            </w14:solidFill>
          </w14:textFill>
        </w:rPr>
      </w:pPr>
    </w:p>
    <w:p>
      <w:pPr>
        <w:pStyle w:val="5"/>
        <w:tabs>
          <w:tab w:val="left" w:pos="660"/>
        </w:tabs>
        <w:ind w:left="140" w:right="-31"/>
        <w:jc w:val="both"/>
        <w:rPr>
          <w:color w:val="000000" w:themeColor="text1"/>
          <w:highlight w:val="none"/>
          <w:lang w:eastAsia="zh-CN"/>
          <w14:textFill>
            <w14:solidFill>
              <w14:schemeClr w14:val="tx1"/>
            </w14:solidFill>
          </w14:textFill>
        </w:rPr>
      </w:pPr>
      <w:r>
        <w:rPr>
          <w:color w:val="000000" w:themeColor="text1"/>
          <w:highlight w:val="none"/>
          <w:lang w:eastAsia="zh-CN"/>
          <w14:textFill>
            <w14:solidFill>
              <w14:schemeClr w14:val="tx1"/>
            </w14:solidFill>
          </w14:textFill>
        </w:rPr>
        <w:t>税务总局令第 50 号，经财政部、国家税务总局令第 65 号修订)；</w:t>
      </w:r>
    </w:p>
    <w:p>
      <w:pPr>
        <w:pStyle w:val="5"/>
        <w:tabs>
          <w:tab w:val="left" w:pos="660"/>
        </w:tabs>
        <w:spacing w:before="87" w:line="297" w:lineRule="auto"/>
        <w:ind w:left="140" w:right="-31" w:firstLine="559"/>
        <w:jc w:val="both"/>
        <w:rPr>
          <w:color w:val="000000" w:themeColor="text1"/>
          <w:highlight w:val="none"/>
          <w:lang w:eastAsia="zh-CN"/>
          <w14:textFill>
            <w14:solidFill>
              <w14:schemeClr w14:val="tx1"/>
            </w14:solidFill>
          </w14:textFill>
        </w:rPr>
      </w:pPr>
      <w:r>
        <w:rPr>
          <w:rFonts w:hint="eastAsia"/>
          <w:color w:val="000000" w:themeColor="text1"/>
          <w:spacing w:val="-18"/>
          <w:highlight w:val="none"/>
          <w:lang w:eastAsia="zh-CN"/>
          <w14:textFill>
            <w14:solidFill>
              <w14:schemeClr w14:val="tx1"/>
            </w14:solidFill>
          </w14:textFill>
        </w:rPr>
        <w:t>6</w:t>
      </w:r>
      <w:r>
        <w:rPr>
          <w:color w:val="000000" w:themeColor="text1"/>
          <w:spacing w:val="-18"/>
          <w:highlight w:val="none"/>
          <w:lang w:eastAsia="zh-CN"/>
          <w14:textFill>
            <w14:solidFill>
              <w14:schemeClr w14:val="tx1"/>
            </w14:solidFill>
          </w14:textFill>
        </w:rPr>
        <w:t>.《财政部税务总局关于调整增值税税率的通知》(财税</w:t>
      </w:r>
      <w:r>
        <w:rPr>
          <w:color w:val="000000" w:themeColor="text1"/>
          <w:spacing w:val="-2"/>
          <w:highlight w:val="none"/>
          <w:lang w:eastAsia="zh-CN"/>
          <w14:textFill>
            <w14:solidFill>
              <w14:schemeClr w14:val="tx1"/>
            </w14:solidFill>
          </w14:textFill>
        </w:rPr>
        <w:t>[20</w:t>
      </w:r>
      <w:r>
        <w:rPr>
          <w:color w:val="000000" w:themeColor="text1"/>
          <w:highlight w:val="none"/>
          <w:lang w:eastAsia="zh-CN"/>
          <w14:textFill>
            <w14:solidFill>
              <w14:schemeClr w14:val="tx1"/>
            </w14:solidFill>
          </w14:textFill>
        </w:rPr>
        <w:t>1</w:t>
      </w:r>
      <w:r>
        <w:rPr>
          <w:color w:val="000000" w:themeColor="text1"/>
          <w:spacing w:val="-2"/>
          <w:highlight w:val="none"/>
          <w:lang w:eastAsia="zh-CN"/>
          <w14:textFill>
            <w14:solidFill>
              <w14:schemeClr w14:val="tx1"/>
            </w14:solidFill>
          </w14:textFill>
        </w:rPr>
        <w:t>8]</w:t>
      </w:r>
      <w:r>
        <w:rPr>
          <w:color w:val="000000" w:themeColor="text1"/>
          <w:highlight w:val="none"/>
          <w:lang w:eastAsia="zh-CN"/>
          <w14:textFill>
            <w14:solidFill>
              <w14:schemeClr w14:val="tx1"/>
            </w14:solidFill>
          </w14:textFill>
        </w:rPr>
        <w:t>32</w:t>
      </w:r>
      <w:r>
        <w:rPr>
          <w:color w:val="000000" w:themeColor="text1"/>
          <w:spacing w:val="-1"/>
          <w:highlight w:val="none"/>
          <w:lang w:eastAsia="zh-CN"/>
          <w14:textFill>
            <w14:solidFill>
              <w14:schemeClr w14:val="tx1"/>
            </w14:solidFill>
          </w14:textFill>
        </w:rPr>
        <w:t>号)；</w:t>
      </w:r>
    </w:p>
    <w:p>
      <w:pPr>
        <w:pStyle w:val="5"/>
        <w:tabs>
          <w:tab w:val="left" w:pos="660"/>
        </w:tabs>
        <w:spacing w:before="19" w:line="297" w:lineRule="auto"/>
        <w:ind w:left="140" w:right="-31" w:firstLine="559"/>
        <w:jc w:val="both"/>
        <w:rPr>
          <w:color w:val="000000" w:themeColor="text1"/>
          <w:highlight w:val="none"/>
          <w:lang w:eastAsia="zh-CN"/>
          <w14:textFill>
            <w14:solidFill>
              <w14:schemeClr w14:val="tx1"/>
            </w14:solidFill>
          </w14:textFill>
        </w:rPr>
      </w:pPr>
      <w:r>
        <w:rPr>
          <w:rFonts w:hint="eastAsia"/>
          <w:color w:val="000000" w:themeColor="text1"/>
          <w:spacing w:val="-18"/>
          <w:highlight w:val="none"/>
          <w:lang w:eastAsia="zh-CN"/>
          <w14:textFill>
            <w14:solidFill>
              <w14:schemeClr w14:val="tx1"/>
            </w14:solidFill>
          </w14:textFill>
        </w:rPr>
        <w:t>7</w:t>
      </w:r>
      <w:r>
        <w:rPr>
          <w:color w:val="000000" w:themeColor="text1"/>
          <w:spacing w:val="-18"/>
          <w:highlight w:val="none"/>
          <w:lang w:eastAsia="zh-CN"/>
          <w14:textFill>
            <w14:solidFill>
              <w14:schemeClr w14:val="tx1"/>
            </w14:solidFill>
          </w14:textFill>
        </w:rPr>
        <w:t>.《关于全面推开营业税改征增值税试点的通知》(财税</w:t>
      </w:r>
      <w:r>
        <w:rPr>
          <w:color w:val="000000" w:themeColor="text1"/>
          <w:spacing w:val="-2"/>
          <w:highlight w:val="none"/>
          <w:lang w:eastAsia="zh-CN"/>
          <w14:textFill>
            <w14:solidFill>
              <w14:schemeClr w14:val="tx1"/>
            </w14:solidFill>
          </w14:textFill>
        </w:rPr>
        <w:t>[20</w:t>
      </w:r>
      <w:r>
        <w:rPr>
          <w:color w:val="000000" w:themeColor="text1"/>
          <w:highlight w:val="none"/>
          <w:lang w:eastAsia="zh-CN"/>
          <w14:textFill>
            <w14:solidFill>
              <w14:schemeClr w14:val="tx1"/>
            </w14:solidFill>
          </w14:textFill>
        </w:rPr>
        <w:t>1</w:t>
      </w:r>
      <w:r>
        <w:rPr>
          <w:color w:val="000000" w:themeColor="text1"/>
          <w:spacing w:val="-2"/>
          <w:highlight w:val="none"/>
          <w:lang w:eastAsia="zh-CN"/>
          <w14:textFill>
            <w14:solidFill>
              <w14:schemeClr w14:val="tx1"/>
            </w14:solidFill>
          </w14:textFill>
        </w:rPr>
        <w:t>6]</w:t>
      </w:r>
      <w:r>
        <w:rPr>
          <w:color w:val="000000" w:themeColor="text1"/>
          <w:highlight w:val="none"/>
          <w:lang w:eastAsia="zh-CN"/>
          <w14:textFill>
            <w14:solidFill>
              <w14:schemeClr w14:val="tx1"/>
            </w14:solidFill>
          </w14:textFill>
        </w:rPr>
        <w:t>36</w:t>
      </w:r>
      <w:r>
        <w:rPr>
          <w:color w:val="000000" w:themeColor="text1"/>
          <w:spacing w:val="-1"/>
          <w:highlight w:val="none"/>
          <w:lang w:eastAsia="zh-CN"/>
          <w14:textFill>
            <w14:solidFill>
              <w14:schemeClr w14:val="tx1"/>
            </w14:solidFill>
          </w14:textFill>
        </w:rPr>
        <w:t>号)；</w:t>
      </w:r>
    </w:p>
    <w:p>
      <w:pPr>
        <w:pStyle w:val="5"/>
        <w:tabs>
          <w:tab w:val="left" w:pos="660"/>
        </w:tabs>
        <w:spacing w:before="86" w:line="297" w:lineRule="auto"/>
        <w:ind w:left="140" w:right="-31" w:firstLine="559"/>
        <w:jc w:val="both"/>
        <w:rPr>
          <w:color w:val="000000" w:themeColor="text1"/>
          <w:highlight w:val="none"/>
          <w:lang w:eastAsia="zh-CN"/>
          <w14:textFill>
            <w14:solidFill>
              <w14:schemeClr w14:val="tx1"/>
            </w14:solidFill>
          </w14:textFill>
        </w:rPr>
      </w:pPr>
      <w:r>
        <w:rPr>
          <w:rFonts w:hint="eastAsia"/>
          <w:color w:val="000000" w:themeColor="text1"/>
          <w:spacing w:val="-9"/>
          <w:highlight w:val="none"/>
          <w:lang w:eastAsia="zh-CN"/>
          <w14:textFill>
            <w14:solidFill>
              <w14:schemeClr w14:val="tx1"/>
            </w14:solidFill>
          </w14:textFill>
        </w:rPr>
        <w:t>8</w:t>
      </w:r>
      <w:r>
        <w:rPr>
          <w:color w:val="000000" w:themeColor="text1"/>
          <w:spacing w:val="-9"/>
          <w:highlight w:val="none"/>
          <w:lang w:eastAsia="zh-CN"/>
          <w14:textFill>
            <w14:solidFill>
              <w14:schemeClr w14:val="tx1"/>
            </w14:solidFill>
          </w14:textFill>
        </w:rPr>
        <w:t xml:space="preserve">.《资产评估专家指引第 </w:t>
      </w:r>
      <w:r>
        <w:rPr>
          <w:color w:val="000000" w:themeColor="text1"/>
          <w:highlight w:val="none"/>
          <w:lang w:eastAsia="zh-CN"/>
          <w14:textFill>
            <w14:solidFill>
              <w14:schemeClr w14:val="tx1"/>
            </w14:solidFill>
          </w14:textFill>
        </w:rPr>
        <w:t>8</w:t>
      </w:r>
      <w:r>
        <w:rPr>
          <w:color w:val="000000" w:themeColor="text1"/>
          <w:spacing w:val="-13"/>
          <w:highlight w:val="none"/>
          <w:lang w:eastAsia="zh-CN"/>
          <w14:textFill>
            <w14:solidFill>
              <w14:schemeClr w14:val="tx1"/>
            </w14:solidFill>
          </w14:textFill>
        </w:rPr>
        <w:t xml:space="preserve"> 号—资产评估中的核查验证》(中评协[2019]39</w:t>
      </w:r>
      <w:r>
        <w:rPr>
          <w:color w:val="000000" w:themeColor="text1"/>
          <w:spacing w:val="-17"/>
          <w:highlight w:val="none"/>
          <w:lang w:eastAsia="zh-CN"/>
          <w14:textFill>
            <w14:solidFill>
              <w14:schemeClr w14:val="tx1"/>
            </w14:solidFill>
          </w14:textFill>
        </w:rPr>
        <w:t xml:space="preserve"> 号 )；</w:t>
      </w:r>
    </w:p>
    <w:p>
      <w:pPr>
        <w:pStyle w:val="5"/>
        <w:tabs>
          <w:tab w:val="left" w:pos="660"/>
        </w:tabs>
        <w:spacing w:before="87"/>
        <w:ind w:left="699" w:right="-31"/>
        <w:jc w:val="both"/>
        <w:rPr>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9</w:t>
      </w:r>
      <w:r>
        <w:rPr>
          <w:color w:val="000000" w:themeColor="text1"/>
          <w:highlight w:val="none"/>
          <w:lang w:eastAsia="zh-CN"/>
          <w14:textFill>
            <w14:solidFill>
              <w14:schemeClr w14:val="tx1"/>
            </w14:solidFill>
          </w14:textFill>
        </w:rPr>
        <w:t>.《企业会计准则第 39 号—公允价值计量》；</w:t>
      </w:r>
    </w:p>
    <w:p>
      <w:pPr>
        <w:pStyle w:val="5"/>
        <w:tabs>
          <w:tab w:val="left" w:pos="660"/>
        </w:tabs>
        <w:spacing w:before="87"/>
        <w:ind w:left="699" w:right="-31"/>
        <w:jc w:val="both"/>
        <w:rPr>
          <w:rFonts w:hint="eastAsia"/>
          <w:color w:val="000000" w:themeColor="text1"/>
          <w:highlight w:val="none"/>
          <w:lang w:eastAsia="zh-CN"/>
          <w14:textFill>
            <w14:solidFill>
              <w14:schemeClr w14:val="tx1"/>
            </w14:solidFill>
          </w14:textFill>
        </w:rPr>
      </w:pPr>
      <w:r>
        <w:rPr>
          <w:color w:val="000000" w:themeColor="text1"/>
          <w:highlight w:val="none"/>
          <w:lang w:eastAsia="zh-CN"/>
          <w14:textFill>
            <w14:solidFill>
              <w14:schemeClr w14:val="tx1"/>
            </w14:solidFill>
          </w14:textFill>
        </w:rPr>
        <w:t>1</w:t>
      </w:r>
      <w:r>
        <w:rPr>
          <w:rFonts w:hint="eastAsia"/>
          <w:color w:val="000000" w:themeColor="text1"/>
          <w:highlight w:val="none"/>
          <w:lang w:eastAsia="zh-CN"/>
          <w14:textFill>
            <w14:solidFill>
              <w14:schemeClr w14:val="tx1"/>
            </w14:solidFill>
          </w14:textFill>
        </w:rPr>
        <w:t>0</w:t>
      </w:r>
      <w:r>
        <w:rPr>
          <w:color w:val="000000" w:themeColor="text1"/>
          <w:highlight w:val="none"/>
          <w:lang w:eastAsia="zh-CN"/>
          <w14:textFill>
            <w14:solidFill>
              <w14:schemeClr w14:val="tx1"/>
            </w14:solidFill>
          </w14:textFill>
        </w:rPr>
        <w:t>.有关其他法律、行政法规、通知文件等。</w:t>
      </w:r>
    </w:p>
    <w:p>
      <w:pPr>
        <w:pStyle w:val="5"/>
        <w:tabs>
          <w:tab w:val="left" w:pos="660"/>
        </w:tabs>
        <w:spacing w:before="87"/>
        <w:ind w:left="110" w:leftChars="50" w:right="220" w:rightChars="100" w:firstLine="560" w:firstLineChars="200"/>
        <w:jc w:val="both"/>
        <w:rPr>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11.《中华人民共和国物权法》（中华人民共和国主席令第六十二号，  2007年3月16日发布）</w:t>
      </w:r>
    </w:p>
    <w:p>
      <w:pPr>
        <w:pStyle w:val="5"/>
        <w:tabs>
          <w:tab w:val="left" w:pos="660"/>
        </w:tabs>
        <w:spacing w:before="19" w:line="297" w:lineRule="auto"/>
        <w:ind w:left="140" w:right="-31" w:firstLine="559"/>
        <w:jc w:val="both"/>
        <w:rPr>
          <w:color w:val="000000" w:themeColor="text1"/>
          <w:spacing w:val="-4"/>
          <w:highlight w:val="none"/>
          <w:lang w:eastAsia="zh-CN"/>
          <w14:textFill>
            <w14:solidFill>
              <w14:schemeClr w14:val="tx1"/>
            </w14:solidFill>
          </w14:textFill>
        </w:rPr>
      </w:pPr>
      <w:r>
        <w:rPr>
          <w:color w:val="000000" w:themeColor="text1"/>
          <w:spacing w:val="-4"/>
          <w:highlight w:val="none"/>
          <w:lang w:eastAsia="zh-CN"/>
          <w14:textFill>
            <w14:solidFill>
              <w14:schemeClr w14:val="tx1"/>
            </w14:solidFill>
          </w14:textFill>
        </w:rPr>
        <w:t>(三)评估准则依据</w:t>
      </w:r>
    </w:p>
    <w:p>
      <w:pPr>
        <w:pStyle w:val="5"/>
        <w:tabs>
          <w:tab w:val="left" w:pos="660"/>
        </w:tabs>
        <w:spacing w:before="19" w:line="297" w:lineRule="auto"/>
        <w:ind w:left="140" w:right="-31" w:firstLine="559"/>
        <w:jc w:val="both"/>
        <w:rPr>
          <w:color w:val="000000" w:themeColor="text1"/>
          <w:spacing w:val="-4"/>
          <w:highlight w:val="none"/>
          <w:lang w:eastAsia="zh-CN"/>
          <w14:textFill>
            <w14:solidFill>
              <w14:schemeClr w14:val="tx1"/>
            </w14:solidFill>
          </w14:textFill>
        </w:rPr>
      </w:pPr>
      <w:bookmarkStart w:id="21" w:name="(四)_权属依据"/>
      <w:bookmarkEnd w:id="21"/>
      <w:r>
        <w:rPr>
          <w:rFonts w:hint="eastAsia"/>
          <w:color w:val="000000" w:themeColor="text1"/>
          <w:spacing w:val="-4"/>
          <w:highlight w:val="none"/>
          <w:lang w:eastAsia="zh-CN"/>
          <w14:textFill>
            <w14:solidFill>
              <w14:schemeClr w14:val="tx1"/>
            </w14:solidFill>
          </w14:textFill>
        </w:rPr>
        <w:t>1.</w:t>
      </w:r>
      <w:r>
        <w:rPr>
          <w:color w:val="000000" w:themeColor="text1"/>
          <w:spacing w:val="-4"/>
          <w:highlight w:val="none"/>
          <w:lang w:eastAsia="zh-CN"/>
          <w14:textFill>
            <w14:solidFill>
              <w14:schemeClr w14:val="tx1"/>
            </w14:solidFill>
          </w14:textFill>
        </w:rPr>
        <w:t>《资产评估基本准则》（财资〔2017〕43 号）； </w:t>
      </w:r>
    </w:p>
    <w:p>
      <w:pPr>
        <w:pStyle w:val="5"/>
        <w:tabs>
          <w:tab w:val="left" w:pos="660"/>
        </w:tabs>
        <w:spacing w:before="19" w:line="297" w:lineRule="auto"/>
        <w:ind w:left="140" w:right="-31" w:firstLine="559"/>
        <w:jc w:val="both"/>
        <w:rPr>
          <w:color w:val="000000" w:themeColor="text1"/>
          <w:spacing w:val="-4"/>
          <w:highlight w:val="none"/>
          <w:lang w:eastAsia="zh-CN"/>
          <w14:textFill>
            <w14:solidFill>
              <w14:schemeClr w14:val="tx1"/>
            </w14:solidFill>
          </w14:textFill>
        </w:rPr>
      </w:pPr>
      <w:r>
        <w:rPr>
          <w:color w:val="000000" w:themeColor="text1"/>
          <w:spacing w:val="-4"/>
          <w:highlight w:val="none"/>
          <w:lang w:eastAsia="zh-CN"/>
          <w14:textFill>
            <w14:solidFill>
              <w14:schemeClr w14:val="tx1"/>
            </w14:solidFill>
          </w14:textFill>
        </w:rPr>
        <w:t>2.《资产评估职业道德准则》（中评协〔2017〕30 号）； </w:t>
      </w:r>
    </w:p>
    <w:p>
      <w:pPr>
        <w:pStyle w:val="5"/>
        <w:tabs>
          <w:tab w:val="left" w:pos="660"/>
        </w:tabs>
        <w:spacing w:before="19" w:line="297" w:lineRule="auto"/>
        <w:ind w:left="140" w:right="-31" w:firstLine="559"/>
        <w:jc w:val="both"/>
        <w:rPr>
          <w:color w:val="000000" w:themeColor="text1"/>
          <w:spacing w:val="-4"/>
          <w:highlight w:val="none"/>
          <w:lang w:eastAsia="zh-CN"/>
          <w14:textFill>
            <w14:solidFill>
              <w14:schemeClr w14:val="tx1"/>
            </w14:solidFill>
          </w14:textFill>
        </w:rPr>
      </w:pPr>
      <w:r>
        <w:rPr>
          <w:color w:val="000000" w:themeColor="text1"/>
          <w:spacing w:val="-4"/>
          <w:highlight w:val="none"/>
          <w:lang w:eastAsia="zh-CN"/>
          <w14:textFill>
            <w14:solidFill>
              <w14:schemeClr w14:val="tx1"/>
            </w14:solidFill>
          </w14:textFill>
        </w:rPr>
        <w:t>3.《资产评估执业准则—资产评估程序》（中评协〔2018〕36 号）； </w:t>
      </w:r>
    </w:p>
    <w:p>
      <w:pPr>
        <w:pStyle w:val="5"/>
        <w:tabs>
          <w:tab w:val="left" w:pos="660"/>
        </w:tabs>
        <w:spacing w:before="19" w:line="297" w:lineRule="auto"/>
        <w:ind w:left="140" w:right="-31" w:firstLine="559"/>
        <w:jc w:val="both"/>
        <w:rPr>
          <w:color w:val="000000" w:themeColor="text1"/>
          <w:spacing w:val="-4"/>
          <w:highlight w:val="none"/>
          <w:lang w:eastAsia="zh-CN"/>
          <w14:textFill>
            <w14:solidFill>
              <w14:schemeClr w14:val="tx1"/>
            </w14:solidFill>
          </w14:textFill>
        </w:rPr>
      </w:pPr>
      <w:r>
        <w:rPr>
          <w:color w:val="000000" w:themeColor="text1"/>
          <w:spacing w:val="-4"/>
          <w:highlight w:val="none"/>
          <w:lang w:eastAsia="zh-CN"/>
          <w14:textFill>
            <w14:solidFill>
              <w14:schemeClr w14:val="tx1"/>
            </w14:solidFill>
          </w14:textFill>
        </w:rPr>
        <w:t>4.《资产评估执业准则—资产评估方法》（中评协〔2019〕35 号）；</w:t>
      </w:r>
    </w:p>
    <w:p>
      <w:pPr>
        <w:pStyle w:val="5"/>
        <w:tabs>
          <w:tab w:val="left" w:pos="660"/>
        </w:tabs>
        <w:spacing w:before="19" w:line="297" w:lineRule="auto"/>
        <w:ind w:left="140" w:right="-31" w:firstLine="559"/>
        <w:jc w:val="both"/>
        <w:rPr>
          <w:color w:val="000000" w:themeColor="text1"/>
          <w:spacing w:val="-4"/>
          <w:highlight w:val="none"/>
          <w:lang w:eastAsia="zh-CN"/>
          <w14:textFill>
            <w14:solidFill>
              <w14:schemeClr w14:val="tx1"/>
            </w14:solidFill>
          </w14:textFill>
        </w:rPr>
      </w:pPr>
      <w:r>
        <w:rPr>
          <w:color w:val="000000" w:themeColor="text1"/>
          <w:spacing w:val="-4"/>
          <w:highlight w:val="none"/>
          <w:lang w:eastAsia="zh-CN"/>
          <w14:textFill>
            <w14:solidFill>
              <w14:schemeClr w14:val="tx1"/>
            </w14:solidFill>
          </w14:textFill>
        </w:rPr>
        <w:t>5.《资产评估执业准则—资产评估报告》（中评协〔2018〕35 号）； </w:t>
      </w:r>
    </w:p>
    <w:p>
      <w:pPr>
        <w:pStyle w:val="5"/>
        <w:tabs>
          <w:tab w:val="left" w:pos="660"/>
        </w:tabs>
        <w:spacing w:before="19" w:line="297" w:lineRule="auto"/>
        <w:ind w:left="140" w:right="-31" w:firstLine="559"/>
        <w:jc w:val="both"/>
        <w:rPr>
          <w:color w:val="000000" w:themeColor="text1"/>
          <w:spacing w:val="-4"/>
          <w:highlight w:val="none"/>
          <w:lang w:eastAsia="zh-CN"/>
          <w14:textFill>
            <w14:solidFill>
              <w14:schemeClr w14:val="tx1"/>
            </w14:solidFill>
          </w14:textFill>
        </w:rPr>
      </w:pPr>
      <w:r>
        <w:rPr>
          <w:color w:val="000000" w:themeColor="text1"/>
          <w:spacing w:val="-4"/>
          <w:highlight w:val="none"/>
          <w:lang w:eastAsia="zh-CN"/>
          <w14:textFill>
            <w14:solidFill>
              <w14:schemeClr w14:val="tx1"/>
            </w14:solidFill>
          </w14:textFill>
        </w:rPr>
        <w:t>6.《资产评估执业准则—资产评估委托合同》（中评协〔2017〕33 号）； </w:t>
      </w:r>
    </w:p>
    <w:p>
      <w:pPr>
        <w:pStyle w:val="5"/>
        <w:tabs>
          <w:tab w:val="left" w:pos="660"/>
        </w:tabs>
        <w:spacing w:before="19" w:line="297" w:lineRule="auto"/>
        <w:ind w:left="140" w:right="-31" w:firstLine="559"/>
        <w:jc w:val="both"/>
        <w:rPr>
          <w:color w:val="000000" w:themeColor="text1"/>
          <w:spacing w:val="-4"/>
          <w:highlight w:val="none"/>
          <w:lang w:eastAsia="zh-CN"/>
          <w14:textFill>
            <w14:solidFill>
              <w14:schemeClr w14:val="tx1"/>
            </w14:solidFill>
          </w14:textFill>
        </w:rPr>
      </w:pPr>
      <w:r>
        <w:rPr>
          <w:color w:val="000000" w:themeColor="text1"/>
          <w:spacing w:val="-4"/>
          <w:highlight w:val="none"/>
          <w:lang w:eastAsia="zh-CN"/>
          <w14:textFill>
            <w14:solidFill>
              <w14:schemeClr w14:val="tx1"/>
            </w14:solidFill>
          </w14:textFill>
        </w:rPr>
        <w:t>7.《资产评估执业准则—资产评估档案》（中评协〔2018〕37号）；  </w:t>
      </w:r>
    </w:p>
    <w:p>
      <w:pPr>
        <w:pStyle w:val="5"/>
        <w:tabs>
          <w:tab w:val="left" w:pos="660"/>
        </w:tabs>
        <w:spacing w:before="19" w:line="297" w:lineRule="auto"/>
        <w:ind w:left="140" w:right="-31" w:firstLine="559"/>
        <w:jc w:val="both"/>
        <w:rPr>
          <w:color w:val="000000" w:themeColor="text1"/>
          <w:spacing w:val="-4"/>
          <w:highlight w:val="none"/>
          <w:lang w:eastAsia="zh-CN"/>
          <w14:textFill>
            <w14:solidFill>
              <w14:schemeClr w14:val="tx1"/>
            </w14:solidFill>
          </w14:textFill>
        </w:rPr>
      </w:pPr>
      <w:r>
        <w:rPr>
          <w:rFonts w:hint="eastAsia"/>
          <w:color w:val="000000" w:themeColor="text1"/>
          <w:spacing w:val="-4"/>
          <w:highlight w:val="none"/>
          <w:lang w:eastAsia="zh-CN"/>
          <w14:textFill>
            <w14:solidFill>
              <w14:schemeClr w14:val="tx1"/>
            </w14:solidFill>
          </w14:textFill>
        </w:rPr>
        <w:t>8</w:t>
      </w:r>
      <w:r>
        <w:rPr>
          <w:color w:val="000000" w:themeColor="text1"/>
          <w:spacing w:val="-4"/>
          <w:highlight w:val="none"/>
          <w:lang w:eastAsia="zh-CN"/>
          <w14:textFill>
            <w14:solidFill>
              <w14:schemeClr w14:val="tx1"/>
            </w14:solidFill>
          </w14:textFill>
        </w:rPr>
        <w:t>.《资产评估执业准则—机器设备》（中评协〔2017〕39 号）； </w:t>
      </w:r>
    </w:p>
    <w:p>
      <w:pPr>
        <w:pStyle w:val="5"/>
        <w:tabs>
          <w:tab w:val="left" w:pos="660"/>
        </w:tabs>
        <w:spacing w:before="19" w:line="297" w:lineRule="auto"/>
        <w:ind w:left="140" w:right="-31" w:firstLine="559"/>
        <w:jc w:val="both"/>
        <w:rPr>
          <w:color w:val="000000" w:themeColor="text1"/>
          <w:spacing w:val="-4"/>
          <w:highlight w:val="none"/>
          <w:lang w:eastAsia="zh-CN"/>
          <w14:textFill>
            <w14:solidFill>
              <w14:schemeClr w14:val="tx1"/>
            </w14:solidFill>
          </w14:textFill>
        </w:rPr>
      </w:pPr>
      <w:r>
        <w:rPr>
          <w:rFonts w:hint="eastAsia"/>
          <w:color w:val="000000" w:themeColor="text1"/>
          <w:spacing w:val="-4"/>
          <w:highlight w:val="none"/>
          <w:lang w:eastAsia="zh-CN"/>
          <w14:textFill>
            <w14:solidFill>
              <w14:schemeClr w14:val="tx1"/>
            </w14:solidFill>
          </w14:textFill>
        </w:rPr>
        <w:t>9</w:t>
      </w:r>
      <w:r>
        <w:rPr>
          <w:color w:val="000000" w:themeColor="text1"/>
          <w:spacing w:val="-4"/>
          <w:highlight w:val="none"/>
          <w:lang w:eastAsia="zh-CN"/>
          <w14:textFill>
            <w14:solidFill>
              <w14:schemeClr w14:val="tx1"/>
            </w14:solidFill>
          </w14:textFill>
        </w:rPr>
        <w:t>.《资产评估机构业务质量控制指南》（中评协〔2017〕46 号）； </w:t>
      </w:r>
    </w:p>
    <w:p>
      <w:pPr>
        <w:pStyle w:val="5"/>
        <w:tabs>
          <w:tab w:val="left" w:pos="660"/>
        </w:tabs>
        <w:spacing w:before="19" w:line="297" w:lineRule="auto"/>
        <w:ind w:left="140" w:right="-31" w:firstLine="559"/>
        <w:jc w:val="both"/>
        <w:rPr>
          <w:color w:val="000000" w:themeColor="text1"/>
          <w:spacing w:val="-4"/>
          <w:highlight w:val="none"/>
          <w:lang w:eastAsia="zh-CN"/>
          <w14:textFill>
            <w14:solidFill>
              <w14:schemeClr w14:val="tx1"/>
            </w14:solidFill>
          </w14:textFill>
        </w:rPr>
      </w:pPr>
      <w:r>
        <w:rPr>
          <w:color w:val="000000" w:themeColor="text1"/>
          <w:spacing w:val="-4"/>
          <w:highlight w:val="none"/>
          <w:lang w:eastAsia="zh-CN"/>
          <w14:textFill>
            <w14:solidFill>
              <w14:schemeClr w14:val="tx1"/>
            </w14:solidFill>
          </w14:textFill>
        </w:rPr>
        <w:t>1</w:t>
      </w:r>
      <w:r>
        <w:rPr>
          <w:rFonts w:hint="eastAsia"/>
          <w:color w:val="000000" w:themeColor="text1"/>
          <w:spacing w:val="-4"/>
          <w:highlight w:val="none"/>
          <w:lang w:eastAsia="zh-CN"/>
          <w14:textFill>
            <w14:solidFill>
              <w14:schemeClr w14:val="tx1"/>
            </w14:solidFill>
          </w14:textFill>
        </w:rPr>
        <w:t>0</w:t>
      </w:r>
      <w:r>
        <w:rPr>
          <w:color w:val="000000" w:themeColor="text1"/>
          <w:spacing w:val="-4"/>
          <w:highlight w:val="none"/>
          <w:lang w:eastAsia="zh-CN"/>
          <w14:textFill>
            <w14:solidFill>
              <w14:schemeClr w14:val="tx1"/>
            </w14:solidFill>
          </w14:textFill>
        </w:rPr>
        <w:t>.《资产评估价值类型指导意见》（中评协〔2017〕47 号）；</w:t>
      </w:r>
    </w:p>
    <w:p>
      <w:pPr>
        <w:pStyle w:val="5"/>
        <w:tabs>
          <w:tab w:val="left" w:pos="660"/>
        </w:tabs>
        <w:spacing w:before="19" w:line="297" w:lineRule="auto"/>
        <w:ind w:left="140" w:right="-31" w:firstLine="559"/>
        <w:jc w:val="both"/>
        <w:rPr>
          <w:color w:val="000000" w:themeColor="text1"/>
          <w:spacing w:val="-4"/>
          <w:highlight w:val="none"/>
          <w:lang w:eastAsia="zh-CN"/>
          <w14:textFill>
            <w14:solidFill>
              <w14:schemeClr w14:val="tx1"/>
            </w14:solidFill>
          </w14:textFill>
        </w:rPr>
      </w:pPr>
      <w:r>
        <w:rPr>
          <w:color w:val="000000" w:themeColor="text1"/>
          <w:spacing w:val="-4"/>
          <w:highlight w:val="none"/>
          <w:lang w:eastAsia="zh-CN"/>
          <w14:textFill>
            <w14:solidFill>
              <w14:schemeClr w14:val="tx1"/>
            </w14:solidFill>
          </w14:textFill>
        </w:rPr>
        <w:t>1</w:t>
      </w:r>
      <w:r>
        <w:rPr>
          <w:rFonts w:hint="eastAsia"/>
          <w:color w:val="000000" w:themeColor="text1"/>
          <w:spacing w:val="-4"/>
          <w:highlight w:val="none"/>
          <w:lang w:eastAsia="zh-CN"/>
          <w14:textFill>
            <w14:solidFill>
              <w14:schemeClr w14:val="tx1"/>
            </w14:solidFill>
          </w14:textFill>
        </w:rPr>
        <w:t>1</w:t>
      </w:r>
      <w:r>
        <w:rPr>
          <w:color w:val="000000" w:themeColor="text1"/>
          <w:spacing w:val="-4"/>
          <w:highlight w:val="none"/>
          <w:lang w:eastAsia="zh-CN"/>
          <w14:textFill>
            <w14:solidFill>
              <w14:schemeClr w14:val="tx1"/>
            </w14:solidFill>
          </w14:textFill>
        </w:rPr>
        <w:t>.《资产评估执专家指引第8号—资产中的核查验证》（中评协〔2019〕39 号）；</w:t>
      </w:r>
    </w:p>
    <w:p>
      <w:pPr>
        <w:pStyle w:val="5"/>
        <w:tabs>
          <w:tab w:val="left" w:pos="660"/>
        </w:tabs>
        <w:spacing w:before="19" w:line="297" w:lineRule="auto"/>
        <w:ind w:left="140" w:right="-31" w:firstLine="559"/>
        <w:jc w:val="both"/>
        <w:rPr>
          <w:color w:val="000000" w:themeColor="text1"/>
          <w:spacing w:val="-4"/>
          <w:highlight w:val="none"/>
          <w:lang w:eastAsia="zh-CN"/>
          <w14:textFill>
            <w14:solidFill>
              <w14:schemeClr w14:val="tx1"/>
            </w14:solidFill>
          </w14:textFill>
        </w:rPr>
      </w:pPr>
      <w:r>
        <w:rPr>
          <w:color w:val="000000" w:themeColor="text1"/>
          <w:spacing w:val="-4"/>
          <w:highlight w:val="none"/>
          <w:lang w:eastAsia="zh-CN"/>
          <w14:textFill>
            <w14:solidFill>
              <w14:schemeClr w14:val="tx1"/>
            </w14:solidFill>
          </w14:textFill>
        </w:rPr>
        <w:t>1</w:t>
      </w:r>
      <w:r>
        <w:rPr>
          <w:rFonts w:hint="eastAsia"/>
          <w:color w:val="000000" w:themeColor="text1"/>
          <w:spacing w:val="-4"/>
          <w:highlight w:val="none"/>
          <w:lang w:eastAsia="zh-CN"/>
          <w14:textFill>
            <w14:solidFill>
              <w14:schemeClr w14:val="tx1"/>
            </w14:solidFill>
          </w14:textFill>
        </w:rPr>
        <w:t>2</w:t>
      </w:r>
      <w:r>
        <w:rPr>
          <w:color w:val="000000" w:themeColor="text1"/>
          <w:spacing w:val="-4"/>
          <w:highlight w:val="none"/>
          <w:lang w:eastAsia="zh-CN"/>
          <w14:textFill>
            <w14:solidFill>
              <w14:schemeClr w14:val="tx1"/>
            </w14:solidFill>
          </w14:textFill>
        </w:rPr>
        <w:t>.《资产评估执专家指引第1号—金融企业评估中应关联的金融监管指标》（中评协〔2015〕62 号）； </w:t>
      </w:r>
    </w:p>
    <w:p>
      <w:pPr>
        <w:pStyle w:val="5"/>
        <w:tabs>
          <w:tab w:val="left" w:pos="660"/>
        </w:tabs>
        <w:spacing w:before="19" w:line="297" w:lineRule="auto"/>
        <w:ind w:left="140" w:right="-31" w:firstLine="559"/>
        <w:jc w:val="both"/>
        <w:rPr>
          <w:color w:val="000000" w:themeColor="text1"/>
          <w:spacing w:val="-4"/>
          <w:highlight w:val="none"/>
          <w:lang w:eastAsia="zh-CN"/>
          <w14:textFill>
            <w14:solidFill>
              <w14:schemeClr w14:val="tx1"/>
            </w14:solidFill>
          </w14:textFill>
        </w:rPr>
      </w:pPr>
      <w:r>
        <w:rPr>
          <w:color w:val="000000" w:themeColor="text1"/>
          <w:spacing w:val="-4"/>
          <w:highlight w:val="none"/>
          <w:lang w:eastAsia="zh-CN"/>
          <w14:textFill>
            <w14:solidFill>
              <w14:schemeClr w14:val="tx1"/>
            </w14:solidFill>
          </w14:textFill>
        </w:rPr>
        <w:t>(四)权属依据</w:t>
      </w:r>
    </w:p>
    <w:p>
      <w:pPr>
        <w:pStyle w:val="5"/>
        <w:tabs>
          <w:tab w:val="left" w:pos="660"/>
        </w:tabs>
        <w:spacing w:before="19" w:line="297" w:lineRule="auto"/>
        <w:ind w:left="140" w:right="-31" w:firstLine="559"/>
        <w:jc w:val="both"/>
        <w:rPr>
          <w:color w:val="000000" w:themeColor="text1"/>
          <w:spacing w:val="-4"/>
          <w:highlight w:val="none"/>
          <w:lang w:eastAsia="zh-CN"/>
          <w14:textFill>
            <w14:solidFill>
              <w14:schemeClr w14:val="tx1"/>
            </w14:solidFill>
          </w14:textFill>
        </w:rPr>
      </w:pPr>
      <w:r>
        <w:rPr>
          <w:rFonts w:hint="eastAsia"/>
          <w:color w:val="000000" w:themeColor="text1"/>
          <w:spacing w:val="-4"/>
          <w:highlight w:val="none"/>
          <w:lang w:val="en-US" w:eastAsia="zh-CN"/>
          <w14:textFill>
            <w14:solidFill>
              <w14:schemeClr w14:val="tx1"/>
            </w14:solidFill>
          </w14:textFill>
        </w:rPr>
        <w:t>1</w:t>
      </w:r>
      <w:r>
        <w:rPr>
          <w:rFonts w:hint="eastAsia"/>
          <w:color w:val="000000" w:themeColor="text1"/>
          <w:spacing w:val="-4"/>
          <w:highlight w:val="none"/>
          <w:lang w:eastAsia="zh-CN"/>
          <w14:textFill>
            <w14:solidFill>
              <w14:schemeClr w14:val="tx1"/>
            </w14:solidFill>
          </w14:textFill>
        </w:rPr>
        <w:t>.</w:t>
      </w:r>
      <w:r>
        <w:rPr>
          <w:color w:val="000000" w:themeColor="text1"/>
          <w:spacing w:val="-4"/>
          <w:highlight w:val="none"/>
          <w:lang w:eastAsia="zh-CN"/>
          <w14:textFill>
            <w14:solidFill>
              <w14:schemeClr w14:val="tx1"/>
            </w14:solidFill>
          </w14:textFill>
        </w:rPr>
        <w:t>其他有关产权证明。</w:t>
      </w:r>
    </w:p>
    <w:p>
      <w:pPr>
        <w:pStyle w:val="5"/>
        <w:tabs>
          <w:tab w:val="left" w:pos="660"/>
        </w:tabs>
        <w:spacing w:before="19" w:line="297" w:lineRule="auto"/>
        <w:ind w:left="140" w:right="-31" w:firstLine="559"/>
        <w:jc w:val="both"/>
        <w:rPr>
          <w:color w:val="000000" w:themeColor="text1"/>
          <w:spacing w:val="-4"/>
          <w:highlight w:val="none"/>
          <w:lang w:eastAsia="zh-CN"/>
          <w14:textFill>
            <w14:solidFill>
              <w14:schemeClr w14:val="tx1"/>
            </w14:solidFill>
          </w14:textFill>
        </w:rPr>
      </w:pPr>
      <w:bookmarkStart w:id="22" w:name="(五)_取价依据"/>
      <w:bookmarkEnd w:id="22"/>
      <w:r>
        <w:rPr>
          <w:color w:val="000000" w:themeColor="text1"/>
          <w:spacing w:val="-4"/>
          <w:highlight w:val="none"/>
          <w:lang w:eastAsia="zh-CN"/>
          <w14:textFill>
            <w14:solidFill>
              <w14:schemeClr w14:val="tx1"/>
            </w14:solidFill>
          </w14:textFill>
        </w:rPr>
        <w:t>(五)取价依据</w:t>
      </w:r>
    </w:p>
    <w:p>
      <w:pPr>
        <w:pStyle w:val="5"/>
        <w:tabs>
          <w:tab w:val="left" w:pos="660"/>
        </w:tabs>
        <w:spacing w:before="19" w:line="297" w:lineRule="auto"/>
        <w:ind w:left="140" w:right="-31" w:firstLine="559"/>
        <w:jc w:val="both"/>
        <w:rPr>
          <w:color w:val="000000" w:themeColor="text1"/>
          <w:spacing w:val="-4"/>
          <w:highlight w:val="none"/>
          <w:lang w:eastAsia="zh-CN"/>
          <w14:textFill>
            <w14:solidFill>
              <w14:schemeClr w14:val="tx1"/>
            </w14:solidFill>
          </w14:textFill>
        </w:rPr>
      </w:pPr>
      <w:r>
        <w:rPr>
          <w:color w:val="000000" w:themeColor="text1"/>
          <w:spacing w:val="-4"/>
          <w:highlight w:val="none"/>
          <w:lang w:eastAsia="zh-CN"/>
          <w14:textFill>
            <w14:solidFill>
              <w14:schemeClr w14:val="tx1"/>
            </w14:solidFill>
          </w14:textFill>
        </w:rPr>
        <w:t>1.</w:t>
      </w:r>
      <w:r>
        <w:rPr>
          <w:rFonts w:hint="eastAsia"/>
          <w:color w:val="000000" w:themeColor="text1"/>
          <w:spacing w:val="-4"/>
          <w:highlight w:val="none"/>
          <w:lang w:eastAsia="zh-CN"/>
          <w14:textFill>
            <w14:solidFill>
              <w14:schemeClr w14:val="tx1"/>
            </w14:solidFill>
          </w14:textFill>
        </w:rPr>
        <w:t>寿光市销售信息价</w:t>
      </w:r>
      <w:r>
        <w:rPr>
          <w:color w:val="000000" w:themeColor="text1"/>
          <w:spacing w:val="-4"/>
          <w:highlight w:val="none"/>
          <w:lang w:eastAsia="zh-CN"/>
          <w14:textFill>
            <w14:solidFill>
              <w14:schemeClr w14:val="tx1"/>
            </w14:solidFill>
          </w14:textFill>
        </w:rPr>
        <w:t>；</w:t>
      </w:r>
    </w:p>
    <w:p>
      <w:pPr>
        <w:pStyle w:val="5"/>
        <w:tabs>
          <w:tab w:val="left" w:pos="660"/>
        </w:tabs>
        <w:spacing w:before="19" w:line="297" w:lineRule="auto"/>
        <w:ind w:left="140" w:right="-31" w:firstLine="559"/>
        <w:jc w:val="both"/>
        <w:rPr>
          <w:color w:val="000000" w:themeColor="text1"/>
          <w:spacing w:val="-4"/>
          <w:highlight w:val="none"/>
          <w:lang w:eastAsia="zh-CN"/>
          <w14:textFill>
            <w14:solidFill>
              <w14:schemeClr w14:val="tx1"/>
            </w14:solidFill>
          </w14:textFill>
        </w:rPr>
      </w:pPr>
      <w:r>
        <w:rPr>
          <w:color w:val="000000" w:themeColor="text1"/>
          <w:spacing w:val="-4"/>
          <w:highlight w:val="none"/>
          <w:lang w:eastAsia="zh-CN"/>
          <w14:textFill>
            <w14:solidFill>
              <w14:schemeClr w14:val="tx1"/>
            </w14:solidFill>
          </w14:textFill>
        </w:rPr>
        <w:t>2.资产评估专业人员</w:t>
      </w:r>
      <w:r>
        <w:rPr>
          <w:rFonts w:hint="eastAsia"/>
          <w:color w:val="000000" w:themeColor="text1"/>
          <w:spacing w:val="-4"/>
          <w:highlight w:val="none"/>
          <w:lang w:eastAsia="zh-CN"/>
          <w14:textFill>
            <w14:solidFill>
              <w14:schemeClr w14:val="tx1"/>
            </w14:solidFill>
          </w14:textFill>
        </w:rPr>
        <w:t>市场调查</w:t>
      </w:r>
      <w:r>
        <w:rPr>
          <w:color w:val="000000" w:themeColor="text1"/>
          <w:spacing w:val="-4"/>
          <w:highlight w:val="none"/>
          <w:lang w:eastAsia="zh-CN"/>
          <w14:textFill>
            <w14:solidFill>
              <w14:schemeClr w14:val="tx1"/>
            </w14:solidFill>
          </w14:textFill>
        </w:rPr>
        <w:t>记录及收集的其他相关估价信息资料；</w:t>
      </w:r>
    </w:p>
    <w:p>
      <w:pPr>
        <w:pStyle w:val="5"/>
        <w:tabs>
          <w:tab w:val="left" w:pos="660"/>
        </w:tabs>
        <w:spacing w:before="19" w:line="297" w:lineRule="auto"/>
        <w:ind w:left="140" w:right="-31" w:firstLine="559"/>
        <w:jc w:val="both"/>
        <w:rPr>
          <w:color w:val="000000" w:themeColor="text1"/>
          <w:spacing w:val="-4"/>
          <w:highlight w:val="none"/>
          <w:lang w:eastAsia="zh-CN"/>
          <w14:textFill>
            <w14:solidFill>
              <w14:schemeClr w14:val="tx1"/>
            </w14:solidFill>
          </w14:textFill>
        </w:rPr>
      </w:pPr>
      <w:r>
        <w:rPr>
          <w:rFonts w:hint="eastAsia"/>
          <w:color w:val="000000" w:themeColor="text1"/>
          <w:spacing w:val="-4"/>
          <w:highlight w:val="none"/>
          <w:lang w:eastAsia="zh-CN"/>
          <w14:textFill>
            <w14:solidFill>
              <w14:schemeClr w14:val="tx1"/>
            </w14:solidFill>
          </w14:textFill>
        </w:rPr>
        <w:t>3</w:t>
      </w:r>
      <w:r>
        <w:rPr>
          <w:color w:val="000000" w:themeColor="text1"/>
          <w:spacing w:val="-4"/>
          <w:highlight w:val="none"/>
          <w:lang w:eastAsia="zh-CN"/>
          <w14:textFill>
            <w14:solidFill>
              <w14:schemeClr w14:val="tx1"/>
            </w14:solidFill>
          </w14:textFill>
        </w:rPr>
        <w:t>.与此次资产评估有关的其他资料。</w:t>
      </w:r>
    </w:p>
    <w:p>
      <w:pPr>
        <w:pStyle w:val="3"/>
        <w:numPr>
          <w:ilvl w:val="0"/>
          <w:numId w:val="0"/>
        </w:numPr>
        <w:tabs>
          <w:tab w:val="left" w:pos="697"/>
        </w:tabs>
        <w:spacing w:before="234" w:line="223" w:lineRule="auto"/>
        <w:ind w:left="701" w:leftChars="0" w:right="0" w:rightChars="0"/>
        <w:outlineLvl w:val="0"/>
        <w:rPr>
          <w:rFonts w:hint="eastAsia"/>
          <w:color w:val="000000" w:themeColor="text1"/>
          <w:spacing w:val="-12"/>
          <w:highlight w:val="none"/>
          <w:lang w:eastAsia="zh-CN"/>
          <w14:textFill>
            <w14:solidFill>
              <w14:schemeClr w14:val="tx1"/>
            </w14:solidFill>
          </w14:textFill>
        </w:rPr>
      </w:pPr>
      <w:bookmarkStart w:id="23" w:name="_Toc32388"/>
      <w:r>
        <w:rPr>
          <w:rFonts w:hint="eastAsia"/>
          <w:color w:val="000000" w:themeColor="text1"/>
          <w:spacing w:val="-12"/>
          <w:highlight w:val="none"/>
          <w:lang w:eastAsia="zh-CN"/>
          <w14:textFill>
            <w14:solidFill>
              <w14:schemeClr w14:val="tx1"/>
            </w14:solidFill>
          </w14:textFill>
        </w:rPr>
        <w:tab/>
      </w:r>
      <w:r>
        <w:rPr>
          <w:rFonts w:hint="eastAsia"/>
          <w:color w:val="000000" w:themeColor="text1"/>
          <w:spacing w:val="-12"/>
          <w:highlight w:val="none"/>
          <w:lang w:eastAsia="zh-CN"/>
          <w14:textFill>
            <w14:solidFill>
              <w14:schemeClr w14:val="tx1"/>
            </w14:solidFill>
          </w14:textFill>
        </w:rPr>
        <w:t>七、评估方法</w:t>
      </w:r>
      <w:bookmarkEnd w:id="23"/>
    </w:p>
    <w:p>
      <w:pPr>
        <w:pStyle w:val="4"/>
        <w:tabs>
          <w:tab w:val="left" w:pos="660"/>
        </w:tabs>
        <w:spacing w:line="360" w:lineRule="auto"/>
        <w:ind w:right="1318" w:rightChars="599" w:firstLine="482" w:firstLineChars="200"/>
        <w:rPr>
          <w:rFonts w:ascii="Times New Roman"/>
          <w:b/>
          <w:color w:val="000000" w:themeColor="text1"/>
          <w:sz w:val="24"/>
          <w:highlight w:val="none"/>
          <w:lang w:eastAsia="zh-CN"/>
          <w14:textFill>
            <w14:solidFill>
              <w14:schemeClr w14:val="tx1"/>
            </w14:solidFill>
          </w14:textFill>
        </w:rPr>
      </w:pPr>
      <w:bookmarkStart w:id="24" w:name="_Toc7372"/>
      <w:r>
        <w:rPr>
          <w:rFonts w:ascii="Times New Roman"/>
          <w:b/>
          <w:color w:val="000000" w:themeColor="text1"/>
          <w:sz w:val="24"/>
          <w:highlight w:val="none"/>
          <w:lang w:eastAsia="zh-CN"/>
          <w14:textFill>
            <w14:solidFill>
              <w14:schemeClr w14:val="tx1"/>
            </w14:solidFill>
          </w14:textFill>
        </w:rPr>
        <w:t>（一）评估方法的选择</w:t>
      </w:r>
    </w:p>
    <w:p>
      <w:pPr>
        <w:pStyle w:val="5"/>
        <w:tabs>
          <w:tab w:val="left" w:pos="660"/>
        </w:tabs>
        <w:spacing w:before="87" w:line="297" w:lineRule="auto"/>
        <w:ind w:left="140" w:right="-31" w:firstLine="559"/>
        <w:jc w:val="both"/>
        <w:rPr>
          <w:color w:val="000000" w:themeColor="text1"/>
          <w:spacing w:val="1"/>
          <w:highlight w:val="none"/>
          <w:lang w:eastAsia="zh-CN"/>
          <w14:textFill>
            <w14:solidFill>
              <w14:schemeClr w14:val="tx1"/>
            </w14:solidFill>
          </w14:textFill>
        </w:rPr>
      </w:pPr>
      <w:r>
        <w:rPr>
          <w:rFonts w:hint="eastAsia" w:asciiTheme="minorEastAsia" w:hAnsiTheme="minorEastAsia" w:eastAsiaTheme="minorEastAsia"/>
          <w:color w:val="000000" w:themeColor="text1"/>
          <w:highlight w:val="none"/>
          <w:lang w:eastAsia="zh-CN"/>
          <w14:textFill>
            <w14:solidFill>
              <w14:schemeClr w14:val="tx1"/>
            </w14:solidFill>
          </w14:textFill>
        </w:rPr>
        <w:t>资产</w:t>
      </w:r>
      <w:r>
        <w:rPr>
          <w:rFonts w:asciiTheme="minorEastAsia" w:hAnsiTheme="minorEastAsia" w:eastAsiaTheme="minorEastAsia"/>
          <w:color w:val="000000" w:themeColor="text1"/>
          <w:highlight w:val="none"/>
          <w:lang w:eastAsia="zh-CN"/>
          <w14:textFill>
            <w14:solidFill>
              <w14:schemeClr w14:val="tx1"/>
            </w14:solidFill>
          </w14:textFill>
        </w:rPr>
        <w:t>评估的基本方法包括市场法、收益法和</w:t>
      </w:r>
      <w:r>
        <w:rPr>
          <w:rFonts w:hint="eastAsia" w:asciiTheme="minorEastAsia" w:hAnsiTheme="minorEastAsia" w:eastAsiaTheme="minorEastAsia"/>
          <w:color w:val="000000" w:themeColor="text1"/>
          <w:highlight w:val="none"/>
          <w:lang w:eastAsia="zh-CN"/>
          <w14:textFill>
            <w14:solidFill>
              <w14:schemeClr w14:val="tx1"/>
            </w14:solidFill>
          </w14:textFill>
        </w:rPr>
        <w:t>成本法</w:t>
      </w:r>
      <w:r>
        <w:rPr>
          <w:rFonts w:asciiTheme="minorEastAsia" w:hAnsiTheme="minorEastAsia" w:eastAsiaTheme="minorEastAsia"/>
          <w:color w:val="000000" w:themeColor="text1"/>
          <w:highlight w:val="none"/>
          <w:lang w:eastAsia="zh-CN"/>
          <w14:textFill>
            <w14:solidFill>
              <w14:schemeClr w14:val="tx1"/>
            </w14:solidFill>
          </w14:textFill>
        </w:rPr>
        <w:t>。应当根据评估</w:t>
      </w:r>
      <w:r>
        <w:rPr>
          <w:color w:val="000000" w:themeColor="text1"/>
          <w:spacing w:val="1"/>
          <w:highlight w:val="none"/>
          <w:lang w:eastAsia="zh-CN"/>
          <w14:textFill>
            <w14:solidFill>
              <w14:schemeClr w14:val="tx1"/>
            </w14:solidFill>
          </w14:textFill>
        </w:rPr>
        <w:t>对象、价值类型、资料收集情况等相关条件，分析三种基本方法的适用性，恰当选择一种或多种资产评估基本方法。</w:t>
      </w:r>
    </w:p>
    <w:p>
      <w:pPr>
        <w:pStyle w:val="5"/>
        <w:tabs>
          <w:tab w:val="left" w:pos="660"/>
        </w:tabs>
        <w:spacing w:before="87" w:line="297" w:lineRule="auto"/>
        <w:ind w:left="140" w:right="-31" w:firstLine="559"/>
        <w:jc w:val="both"/>
        <w:rPr>
          <w:color w:val="000000" w:themeColor="text1"/>
          <w:spacing w:val="1"/>
          <w:highlight w:val="none"/>
          <w:lang w:eastAsia="zh-CN"/>
          <w14:textFill>
            <w14:solidFill>
              <w14:schemeClr w14:val="tx1"/>
            </w14:solidFill>
          </w14:textFill>
        </w:rPr>
      </w:pPr>
      <w:r>
        <w:rPr>
          <w:rFonts w:hint="eastAsia"/>
          <w:color w:val="000000" w:themeColor="text1"/>
          <w:spacing w:val="1"/>
          <w:highlight w:val="none"/>
          <w:lang w:eastAsia="zh-CN"/>
          <w14:textFill>
            <w14:solidFill>
              <w14:schemeClr w14:val="tx1"/>
            </w14:solidFill>
          </w14:textFill>
        </w:rPr>
        <w:t>成本法是以评估对象的重置成本为基础的评估方法。成本法是指按照重建或者重置被评估对象的思路，将重建或者重置成本作为确定评估对象的基础，扣除相关贬值，以此确定评估对象的评估方法的总称。</w:t>
      </w:r>
    </w:p>
    <w:p>
      <w:pPr>
        <w:pStyle w:val="5"/>
        <w:tabs>
          <w:tab w:val="left" w:pos="660"/>
        </w:tabs>
        <w:spacing w:before="87" w:line="297" w:lineRule="auto"/>
        <w:ind w:left="140" w:right="-31" w:firstLine="559"/>
        <w:jc w:val="both"/>
        <w:rPr>
          <w:color w:val="000000" w:themeColor="text1"/>
          <w:spacing w:val="1"/>
          <w:highlight w:val="none"/>
          <w:lang w:eastAsia="zh-CN"/>
          <w14:textFill>
            <w14:solidFill>
              <w14:schemeClr w14:val="tx1"/>
            </w14:solidFill>
          </w14:textFill>
        </w:rPr>
      </w:pPr>
      <w:r>
        <w:rPr>
          <w:rFonts w:hint="eastAsia"/>
          <w:color w:val="000000" w:themeColor="text1"/>
          <w:spacing w:val="1"/>
          <w:highlight w:val="none"/>
          <w:lang w:eastAsia="zh-CN"/>
          <w14:textFill>
            <w14:solidFill>
              <w14:schemeClr w14:val="tx1"/>
            </w14:solidFill>
          </w14:textFill>
        </w:rPr>
        <w:t>评估价值=重置成本-实体性贬值-功能性贬值-经济性贬值</w:t>
      </w:r>
    </w:p>
    <w:p>
      <w:pPr>
        <w:pStyle w:val="5"/>
        <w:tabs>
          <w:tab w:val="left" w:pos="660"/>
        </w:tabs>
        <w:spacing w:before="87" w:line="297" w:lineRule="auto"/>
        <w:ind w:left="140" w:right="-31" w:firstLine="559"/>
        <w:jc w:val="both"/>
        <w:rPr>
          <w:color w:val="000000" w:themeColor="text1"/>
          <w:spacing w:val="1"/>
          <w:highlight w:val="none"/>
          <w:lang w:eastAsia="zh-CN"/>
          <w14:textFill>
            <w14:solidFill>
              <w14:schemeClr w14:val="tx1"/>
            </w14:solidFill>
          </w14:textFill>
        </w:rPr>
      </w:pPr>
      <w:r>
        <w:rPr>
          <w:rFonts w:hint="eastAsia"/>
          <w:color w:val="000000" w:themeColor="text1"/>
          <w:spacing w:val="1"/>
          <w:highlight w:val="none"/>
          <w:lang w:eastAsia="zh-CN"/>
          <w14:textFill>
            <w14:solidFill>
              <w14:schemeClr w14:val="tx1"/>
            </w14:solidFill>
          </w14:textFill>
        </w:rPr>
        <w:t>1.资产的重置成本</w:t>
      </w:r>
    </w:p>
    <w:p>
      <w:pPr>
        <w:pStyle w:val="5"/>
        <w:tabs>
          <w:tab w:val="left" w:pos="660"/>
        </w:tabs>
        <w:spacing w:before="87" w:line="297" w:lineRule="auto"/>
        <w:ind w:left="140" w:right="-31" w:firstLine="559"/>
        <w:jc w:val="both"/>
        <w:rPr>
          <w:color w:val="000000" w:themeColor="text1"/>
          <w:spacing w:val="1"/>
          <w:highlight w:val="none"/>
          <w:lang w:eastAsia="zh-CN"/>
          <w14:textFill>
            <w14:solidFill>
              <w14:schemeClr w14:val="tx1"/>
            </w14:solidFill>
          </w14:textFill>
        </w:rPr>
      </w:pPr>
      <w:r>
        <w:rPr>
          <w:rFonts w:hint="eastAsia"/>
          <w:color w:val="000000" w:themeColor="text1"/>
          <w:spacing w:val="1"/>
          <w:highlight w:val="none"/>
          <w:lang w:eastAsia="zh-CN"/>
          <w14:textFill>
            <w14:solidFill>
              <w14:schemeClr w14:val="tx1"/>
            </w14:solidFill>
          </w14:textFill>
        </w:rPr>
        <w:t>资产的重置成本就是资产的现行再取得成本。重置成本的构成要素一般包括建造或者购置评估对象的直接成本、间接成本、资金成本、税费及合理的利润。重置成本应当是社会一般生产力水平的客观必要成本，而不是个别成本。</w:t>
      </w:r>
    </w:p>
    <w:p>
      <w:pPr>
        <w:pStyle w:val="5"/>
        <w:tabs>
          <w:tab w:val="left" w:pos="660"/>
        </w:tabs>
        <w:spacing w:before="87" w:line="297" w:lineRule="auto"/>
        <w:ind w:left="140" w:right="-31" w:firstLine="559"/>
        <w:jc w:val="both"/>
        <w:rPr>
          <w:color w:val="000000" w:themeColor="text1"/>
          <w:spacing w:val="1"/>
          <w:highlight w:val="none"/>
          <w:lang w:eastAsia="zh-CN"/>
          <w14:textFill>
            <w14:solidFill>
              <w14:schemeClr w14:val="tx1"/>
            </w14:solidFill>
          </w14:textFill>
        </w:rPr>
      </w:pPr>
      <w:r>
        <w:rPr>
          <w:rFonts w:hint="eastAsia"/>
          <w:color w:val="000000" w:themeColor="text1"/>
          <w:spacing w:val="1"/>
          <w:highlight w:val="none"/>
          <w:lang w:eastAsia="zh-CN"/>
          <w14:textFill>
            <w14:solidFill>
              <w14:schemeClr w14:val="tx1"/>
            </w14:solidFill>
          </w14:textFill>
        </w:rPr>
        <w:t>2.资产的实体性贬值</w:t>
      </w:r>
    </w:p>
    <w:p>
      <w:pPr>
        <w:pStyle w:val="5"/>
        <w:tabs>
          <w:tab w:val="left" w:pos="660"/>
        </w:tabs>
        <w:spacing w:before="87" w:line="297" w:lineRule="auto"/>
        <w:ind w:left="140" w:right="-31" w:firstLine="559"/>
        <w:jc w:val="both"/>
        <w:rPr>
          <w:color w:val="000000" w:themeColor="text1"/>
          <w:spacing w:val="1"/>
          <w:highlight w:val="none"/>
          <w:lang w:eastAsia="zh-CN"/>
          <w14:textFill>
            <w14:solidFill>
              <w14:schemeClr w14:val="tx1"/>
            </w14:solidFill>
          </w14:textFill>
        </w:rPr>
      </w:pPr>
      <w:r>
        <w:rPr>
          <w:rFonts w:hint="eastAsia"/>
          <w:color w:val="000000" w:themeColor="text1"/>
          <w:spacing w:val="1"/>
          <w:highlight w:val="none"/>
          <w:lang w:eastAsia="zh-CN"/>
          <w14:textFill>
            <w14:solidFill>
              <w14:schemeClr w14:val="tx1"/>
            </w14:solidFill>
          </w14:textFill>
        </w:rPr>
        <w:t>资产的实体性贬值，亦称有形损耗，是指资产由于使用和自然力的作用导致资产的物理性能损耗或下降引起的资产价值损失。资产的实体性贬值通常采用相对数计量，即实体性贬值率，用公式表示为：</w:t>
      </w:r>
    </w:p>
    <w:p>
      <w:pPr>
        <w:pStyle w:val="5"/>
        <w:tabs>
          <w:tab w:val="left" w:pos="660"/>
        </w:tabs>
        <w:spacing w:before="87" w:line="297" w:lineRule="auto"/>
        <w:ind w:left="140" w:right="-31" w:firstLine="559"/>
        <w:jc w:val="both"/>
        <w:rPr>
          <w:color w:val="000000" w:themeColor="text1"/>
          <w:spacing w:val="1"/>
          <w:highlight w:val="none"/>
          <w:lang w:eastAsia="zh-CN"/>
          <w14:textFill>
            <w14:solidFill>
              <w14:schemeClr w14:val="tx1"/>
            </w14:solidFill>
          </w14:textFill>
        </w:rPr>
      </w:pPr>
      <w:r>
        <w:rPr>
          <w:rFonts w:hint="eastAsia"/>
          <w:color w:val="000000" w:themeColor="text1"/>
          <w:spacing w:val="1"/>
          <w:highlight w:val="none"/>
          <w:lang w:eastAsia="zh-CN"/>
          <w14:textFill>
            <w14:solidFill>
              <w14:schemeClr w14:val="tx1"/>
            </w14:solidFill>
          </w14:textFill>
        </w:rPr>
        <w:t>资产实体性贬值率=资产实体性贬值/资产重置成本*100%</w:t>
      </w:r>
    </w:p>
    <w:p>
      <w:pPr>
        <w:pStyle w:val="5"/>
        <w:tabs>
          <w:tab w:val="left" w:pos="660"/>
        </w:tabs>
        <w:spacing w:before="87" w:line="297" w:lineRule="auto"/>
        <w:ind w:left="140" w:right="-31" w:firstLine="559"/>
        <w:jc w:val="both"/>
        <w:rPr>
          <w:color w:val="000000" w:themeColor="text1"/>
          <w:spacing w:val="1"/>
          <w:highlight w:val="none"/>
          <w:lang w:eastAsia="zh-CN"/>
          <w14:textFill>
            <w14:solidFill>
              <w14:schemeClr w14:val="tx1"/>
            </w14:solidFill>
          </w14:textFill>
        </w:rPr>
      </w:pPr>
      <w:r>
        <w:rPr>
          <w:rFonts w:hint="eastAsia"/>
          <w:color w:val="000000" w:themeColor="text1"/>
          <w:spacing w:val="1"/>
          <w:highlight w:val="none"/>
          <w:lang w:eastAsia="zh-CN"/>
          <w14:textFill>
            <w14:solidFill>
              <w14:schemeClr w14:val="tx1"/>
            </w14:solidFill>
          </w14:textFill>
        </w:rPr>
        <w:t>3.资产的功能性贬值</w:t>
      </w:r>
    </w:p>
    <w:p>
      <w:pPr>
        <w:pStyle w:val="5"/>
        <w:tabs>
          <w:tab w:val="left" w:pos="660"/>
        </w:tabs>
        <w:spacing w:before="87" w:line="297" w:lineRule="auto"/>
        <w:ind w:left="140" w:right="-31" w:firstLine="559"/>
        <w:jc w:val="both"/>
        <w:rPr>
          <w:color w:val="000000" w:themeColor="text1"/>
          <w:spacing w:val="1"/>
          <w:highlight w:val="none"/>
          <w:lang w:eastAsia="zh-CN"/>
          <w14:textFill>
            <w14:solidFill>
              <w14:schemeClr w14:val="tx1"/>
            </w14:solidFill>
          </w14:textFill>
        </w:rPr>
      </w:pPr>
      <w:r>
        <w:rPr>
          <w:rFonts w:hint="eastAsia"/>
          <w:color w:val="000000" w:themeColor="text1"/>
          <w:spacing w:val="1"/>
          <w:highlight w:val="none"/>
          <w:lang w:eastAsia="zh-CN"/>
          <w14:textFill>
            <w14:solidFill>
              <w14:schemeClr w14:val="tx1"/>
            </w14:solidFill>
          </w14:textFill>
        </w:rPr>
        <w:t>资产的功能性贬值是指由于技术进步引起资产功能相对落后而造成的资产价值损失。它包括由于新工艺、新材料和新技术的采用，而使原有资产的建造成本超过现行建造成本的超支额以及原有资产超过体现技术进步的同类资产的运营成本的超支额。功能性贬值可以体现在两个方面：一是从运营成本角度看，在产出量相等的情况下，评估对象的运营成本要高于同类技术先进的技术；二是从产出能力角度看，在运营成本相类似的情形下，评估对象的产出能力要低于同类技术先进的资产。</w:t>
      </w:r>
    </w:p>
    <w:p>
      <w:pPr>
        <w:pStyle w:val="5"/>
        <w:tabs>
          <w:tab w:val="left" w:pos="660"/>
        </w:tabs>
        <w:spacing w:before="87" w:line="297" w:lineRule="auto"/>
        <w:ind w:left="140" w:right="-31" w:firstLine="559"/>
        <w:jc w:val="both"/>
        <w:rPr>
          <w:color w:val="000000" w:themeColor="text1"/>
          <w:spacing w:val="1"/>
          <w:highlight w:val="none"/>
          <w:lang w:eastAsia="zh-CN"/>
          <w14:textFill>
            <w14:solidFill>
              <w14:schemeClr w14:val="tx1"/>
            </w14:solidFill>
          </w14:textFill>
        </w:rPr>
      </w:pPr>
      <w:r>
        <w:rPr>
          <w:rFonts w:hint="eastAsia"/>
          <w:color w:val="000000" w:themeColor="text1"/>
          <w:spacing w:val="1"/>
          <w:highlight w:val="none"/>
          <w:lang w:eastAsia="zh-CN"/>
          <w14:textFill>
            <w14:solidFill>
              <w14:schemeClr w14:val="tx1"/>
            </w14:solidFill>
          </w14:textFill>
        </w:rPr>
        <w:t>估算功能性贬值时，主要根据资产的效用、生产加工能力、功耗、物耗、能耗水平等功能方面的差异造成的成本增加或效益降低，相应确定功能性贬值额。同时，还要重视技术进步因素，注意替代设备、替代技术、替代产品的影响以及行业技术装备水平现状和资产更新换代速度。</w:t>
      </w:r>
    </w:p>
    <w:p>
      <w:pPr>
        <w:pStyle w:val="5"/>
        <w:tabs>
          <w:tab w:val="left" w:pos="660"/>
        </w:tabs>
        <w:spacing w:before="87" w:line="297" w:lineRule="auto"/>
        <w:ind w:left="140" w:right="-31" w:firstLine="559"/>
        <w:jc w:val="both"/>
        <w:rPr>
          <w:color w:val="000000" w:themeColor="text1"/>
          <w:spacing w:val="1"/>
          <w:highlight w:val="none"/>
          <w:lang w:eastAsia="zh-CN"/>
          <w14:textFill>
            <w14:solidFill>
              <w14:schemeClr w14:val="tx1"/>
            </w14:solidFill>
          </w14:textFill>
        </w:rPr>
      </w:pPr>
      <w:r>
        <w:rPr>
          <w:rFonts w:hint="eastAsia"/>
          <w:color w:val="000000" w:themeColor="text1"/>
          <w:spacing w:val="1"/>
          <w:highlight w:val="none"/>
          <w:lang w:eastAsia="zh-CN"/>
          <w14:textFill>
            <w14:solidFill>
              <w14:schemeClr w14:val="tx1"/>
            </w14:solidFill>
          </w14:textFill>
        </w:rPr>
        <w:t>4.资产的经济性贬值</w:t>
      </w:r>
    </w:p>
    <w:p>
      <w:pPr>
        <w:pStyle w:val="5"/>
        <w:tabs>
          <w:tab w:val="left" w:pos="660"/>
        </w:tabs>
        <w:spacing w:before="87" w:line="297" w:lineRule="auto"/>
        <w:ind w:left="140" w:right="-31" w:firstLine="559"/>
        <w:jc w:val="both"/>
        <w:rPr>
          <w:color w:val="000000" w:themeColor="text1"/>
          <w:spacing w:val="1"/>
          <w:highlight w:val="none"/>
          <w:lang w:eastAsia="zh-CN"/>
          <w14:textFill>
            <w14:solidFill>
              <w14:schemeClr w14:val="tx1"/>
            </w14:solidFill>
          </w14:textFill>
        </w:rPr>
      </w:pPr>
      <w:r>
        <w:rPr>
          <w:rFonts w:hint="eastAsia"/>
          <w:color w:val="000000" w:themeColor="text1"/>
          <w:spacing w:val="1"/>
          <w:highlight w:val="none"/>
          <w:lang w:eastAsia="zh-CN"/>
          <w14:textFill>
            <w14:solidFill>
              <w14:schemeClr w14:val="tx1"/>
            </w14:solidFill>
          </w14:textFill>
        </w:rPr>
        <w:t>资产的经济性贬值是指由于外部条件变化引起的资产闲置、收益下降等造成的资产价值损失。就表现形式而言，资产的经济性贬值有两种：一是资产的利用率下降，甚至闲置等；二是资产的运营收益减少。</w:t>
      </w:r>
    </w:p>
    <w:p>
      <w:pPr>
        <w:pStyle w:val="5"/>
        <w:tabs>
          <w:tab w:val="left" w:pos="660"/>
        </w:tabs>
        <w:spacing w:before="87" w:line="297" w:lineRule="auto"/>
        <w:ind w:left="140" w:right="-31" w:firstLine="559"/>
        <w:jc w:val="both"/>
        <w:rPr>
          <w:color w:val="000000" w:themeColor="text1"/>
          <w:spacing w:val="1"/>
          <w:highlight w:val="none"/>
          <w:lang w:eastAsia="zh-CN"/>
          <w14:textFill>
            <w14:solidFill>
              <w14:schemeClr w14:val="tx1"/>
            </w14:solidFill>
          </w14:textFill>
        </w:rPr>
      </w:pPr>
      <w:r>
        <w:rPr>
          <w:rFonts w:hint="eastAsia"/>
          <w:color w:val="000000" w:themeColor="text1"/>
          <w:spacing w:val="1"/>
          <w:highlight w:val="none"/>
          <w:lang w:eastAsia="zh-CN"/>
          <w14:textFill>
            <w14:solidFill>
              <w14:schemeClr w14:val="tx1"/>
            </w14:solidFill>
          </w14:textFill>
        </w:rPr>
        <w:t>采用成本法评估资产的前提条件是：</w:t>
      </w:r>
    </w:p>
    <w:p>
      <w:pPr>
        <w:pStyle w:val="5"/>
        <w:tabs>
          <w:tab w:val="left" w:pos="660"/>
        </w:tabs>
        <w:spacing w:before="87" w:line="297" w:lineRule="auto"/>
        <w:ind w:left="140" w:right="-31" w:firstLine="559"/>
        <w:jc w:val="both"/>
        <w:rPr>
          <w:color w:val="000000" w:themeColor="text1"/>
          <w:spacing w:val="1"/>
          <w:highlight w:val="none"/>
          <w:lang w:eastAsia="zh-CN"/>
          <w14:textFill>
            <w14:solidFill>
              <w14:schemeClr w14:val="tx1"/>
            </w14:solidFill>
          </w14:textFill>
        </w:rPr>
      </w:pPr>
      <w:r>
        <w:rPr>
          <w:rFonts w:hint="eastAsia"/>
          <w:color w:val="000000" w:themeColor="text1"/>
          <w:spacing w:val="1"/>
          <w:highlight w:val="none"/>
          <w:lang w:eastAsia="zh-CN"/>
          <w14:textFill>
            <w14:solidFill>
              <w14:schemeClr w14:val="tx1"/>
            </w14:solidFill>
          </w14:textFill>
        </w:rPr>
        <w:t>评估对象能够正常使用或者在用。</w:t>
      </w:r>
    </w:p>
    <w:p>
      <w:pPr>
        <w:pStyle w:val="5"/>
        <w:tabs>
          <w:tab w:val="left" w:pos="660"/>
        </w:tabs>
        <w:spacing w:before="87" w:line="297" w:lineRule="auto"/>
        <w:ind w:left="140" w:right="-31" w:firstLine="559"/>
        <w:jc w:val="both"/>
        <w:rPr>
          <w:color w:val="000000" w:themeColor="text1"/>
          <w:spacing w:val="1"/>
          <w:highlight w:val="none"/>
          <w:lang w:eastAsia="zh-CN"/>
          <w14:textFill>
            <w14:solidFill>
              <w14:schemeClr w14:val="tx1"/>
            </w14:solidFill>
          </w14:textFill>
        </w:rPr>
      </w:pPr>
      <w:r>
        <w:rPr>
          <w:rFonts w:hint="eastAsia"/>
          <w:color w:val="000000" w:themeColor="text1"/>
          <w:spacing w:val="1"/>
          <w:highlight w:val="none"/>
          <w:lang w:eastAsia="zh-CN"/>
          <w14:textFill>
            <w14:solidFill>
              <w14:schemeClr w14:val="tx1"/>
            </w14:solidFill>
          </w14:textFill>
        </w:rPr>
        <w:t>评估对象能够通过重置途径获得。</w:t>
      </w:r>
    </w:p>
    <w:p>
      <w:pPr>
        <w:pStyle w:val="5"/>
        <w:tabs>
          <w:tab w:val="left" w:pos="660"/>
        </w:tabs>
        <w:spacing w:before="87" w:line="297" w:lineRule="auto"/>
        <w:ind w:left="140" w:right="-31" w:firstLine="559"/>
        <w:jc w:val="both"/>
        <w:rPr>
          <w:color w:val="000000" w:themeColor="text1"/>
          <w:spacing w:val="1"/>
          <w:highlight w:val="none"/>
          <w:lang w:eastAsia="zh-CN"/>
          <w14:textFill>
            <w14:solidFill>
              <w14:schemeClr w14:val="tx1"/>
            </w14:solidFill>
          </w14:textFill>
        </w:rPr>
      </w:pPr>
      <w:r>
        <w:rPr>
          <w:rFonts w:hint="eastAsia"/>
          <w:color w:val="000000" w:themeColor="text1"/>
          <w:spacing w:val="1"/>
          <w:highlight w:val="none"/>
          <w:lang w:eastAsia="zh-CN"/>
          <w14:textFill>
            <w14:solidFill>
              <w14:schemeClr w14:val="tx1"/>
            </w14:solidFill>
          </w14:textFill>
        </w:rPr>
        <w:t>评估对象的重置成本以及相关贬值能够合理估算。</w:t>
      </w:r>
    </w:p>
    <w:p>
      <w:pPr>
        <w:pStyle w:val="5"/>
        <w:tabs>
          <w:tab w:val="left" w:pos="660"/>
        </w:tabs>
        <w:spacing w:before="87" w:line="297" w:lineRule="auto"/>
        <w:ind w:left="140" w:right="-31" w:firstLine="559"/>
        <w:jc w:val="both"/>
        <w:rPr>
          <w:color w:val="000000" w:themeColor="text1"/>
          <w:spacing w:val="1"/>
          <w:highlight w:val="none"/>
          <w:lang w:eastAsia="zh-CN"/>
          <w14:textFill>
            <w14:solidFill>
              <w14:schemeClr w14:val="tx1"/>
            </w14:solidFill>
          </w14:textFill>
        </w:rPr>
      </w:pPr>
      <w:r>
        <w:rPr>
          <w:color w:val="000000" w:themeColor="text1"/>
          <w:spacing w:val="1"/>
          <w:highlight w:val="none"/>
          <w:lang w:eastAsia="zh-CN"/>
          <w14:textFill>
            <w14:solidFill>
              <w14:schemeClr w14:val="tx1"/>
            </w14:solidFill>
          </w14:textFill>
        </w:rPr>
        <w:t>市场法，是指将评估对象在市场上已有交易性案例的资产进行比较，以参考市场交易价格为基础，加以调整修正后确定其价值的评估方法。市场法以市场实际交易为参照来评价评估对象的现行公允市场价值，具有评估过程直观、评估数据取材于市场的特点。但运用市场法需要获得合适的市场交易参照物。</w:t>
      </w:r>
    </w:p>
    <w:p>
      <w:pPr>
        <w:pStyle w:val="5"/>
        <w:tabs>
          <w:tab w:val="left" w:pos="660"/>
        </w:tabs>
        <w:spacing w:before="87" w:line="297" w:lineRule="auto"/>
        <w:ind w:left="140" w:right="-31" w:firstLine="559"/>
        <w:jc w:val="both"/>
        <w:rPr>
          <w:color w:val="000000" w:themeColor="text1"/>
          <w:spacing w:val="1"/>
          <w:highlight w:val="none"/>
          <w:lang w:eastAsia="zh-CN"/>
          <w14:textFill>
            <w14:solidFill>
              <w14:schemeClr w14:val="tx1"/>
            </w14:solidFill>
          </w14:textFill>
        </w:rPr>
      </w:pPr>
      <w:r>
        <w:rPr>
          <w:color w:val="000000" w:themeColor="text1"/>
          <w:spacing w:val="1"/>
          <w:highlight w:val="none"/>
          <w:lang w:eastAsia="zh-CN"/>
          <w14:textFill>
            <w14:solidFill>
              <w14:schemeClr w14:val="tx1"/>
            </w14:solidFill>
          </w14:textFill>
        </w:rPr>
        <w:t>收益法，是指通过将被评估对象预期收益资本化或折现以确定评估对象价值的评估方法。收益法以决定资产内在价值的根本依据-未来盈利能力为基础评价资产价值，反应了资产对于所有者具有价值的本质方面。但预测未来收益和选取折现率难度较大，采用收益法需要一定的市场基础条件。</w:t>
      </w:r>
    </w:p>
    <w:p>
      <w:pPr>
        <w:pStyle w:val="5"/>
        <w:tabs>
          <w:tab w:val="left" w:pos="660"/>
        </w:tabs>
        <w:spacing w:before="87" w:line="297" w:lineRule="auto"/>
        <w:ind w:left="140" w:right="-31" w:firstLine="559"/>
        <w:jc w:val="both"/>
        <w:rPr>
          <w:color w:val="000000" w:themeColor="text1"/>
          <w:spacing w:val="1"/>
          <w:highlight w:val="none"/>
          <w:lang w:eastAsia="zh-CN"/>
          <w14:textFill>
            <w14:solidFill>
              <w14:schemeClr w14:val="tx1"/>
            </w14:solidFill>
          </w14:textFill>
        </w:rPr>
      </w:pPr>
      <w:r>
        <w:rPr>
          <w:color w:val="000000" w:themeColor="text1"/>
          <w:spacing w:val="1"/>
          <w:highlight w:val="none"/>
          <w:lang w:eastAsia="zh-CN"/>
          <w14:textFill>
            <w14:solidFill>
              <w14:schemeClr w14:val="tx1"/>
            </w14:solidFill>
          </w14:textFill>
        </w:rPr>
        <w:t>本次评估采用了</w:t>
      </w:r>
      <w:r>
        <w:rPr>
          <w:rFonts w:hint="eastAsia"/>
          <w:color w:val="000000" w:themeColor="text1"/>
          <w:spacing w:val="1"/>
          <w:highlight w:val="none"/>
          <w:lang w:eastAsia="zh-CN"/>
          <w14:textFill>
            <w14:solidFill>
              <w14:schemeClr w14:val="tx1"/>
            </w14:solidFill>
          </w14:textFill>
        </w:rPr>
        <w:t>成本法</w:t>
      </w:r>
      <w:r>
        <w:rPr>
          <w:color w:val="000000" w:themeColor="text1"/>
          <w:spacing w:val="1"/>
          <w:highlight w:val="none"/>
          <w:lang w:eastAsia="zh-CN"/>
          <w14:textFill>
            <w14:solidFill>
              <w14:schemeClr w14:val="tx1"/>
            </w14:solidFill>
          </w14:textFill>
        </w:rPr>
        <w:t>进行了评估。</w:t>
      </w:r>
    </w:p>
    <w:p>
      <w:pPr>
        <w:pStyle w:val="4"/>
        <w:tabs>
          <w:tab w:val="left" w:pos="660"/>
        </w:tabs>
        <w:spacing w:line="360" w:lineRule="auto"/>
        <w:ind w:left="0" w:leftChars="0" w:right="1318" w:rightChars="599" w:firstLine="482" w:firstLineChars="200"/>
        <w:rPr>
          <w:rFonts w:ascii="Times New Roman"/>
          <w:b/>
          <w:color w:val="000000" w:themeColor="text1"/>
          <w:sz w:val="24"/>
          <w:highlight w:val="none"/>
          <w:lang w:eastAsia="zh-CN"/>
          <w14:textFill>
            <w14:solidFill>
              <w14:schemeClr w14:val="tx1"/>
            </w14:solidFill>
          </w14:textFill>
        </w:rPr>
      </w:pPr>
      <w:r>
        <w:rPr>
          <w:rFonts w:ascii="Times New Roman"/>
          <w:b/>
          <w:color w:val="000000" w:themeColor="text1"/>
          <w:sz w:val="24"/>
          <w:highlight w:val="none"/>
          <w:lang w:eastAsia="zh-CN"/>
          <w14:textFill>
            <w14:solidFill>
              <w14:schemeClr w14:val="tx1"/>
            </w14:solidFill>
          </w14:textFill>
        </w:rPr>
        <w:t>（二）评估方法的具体运用</w:t>
      </w:r>
    </w:p>
    <w:p>
      <w:pPr>
        <w:pStyle w:val="5"/>
        <w:tabs>
          <w:tab w:val="left" w:pos="660"/>
        </w:tabs>
        <w:spacing w:before="87" w:line="297" w:lineRule="auto"/>
        <w:ind w:left="140" w:right="-31" w:firstLine="559"/>
        <w:jc w:val="both"/>
        <w:rPr>
          <w:color w:val="000000" w:themeColor="text1"/>
          <w:spacing w:val="1"/>
          <w:highlight w:val="none"/>
          <w:lang w:eastAsia="zh-CN"/>
          <w14:textFill>
            <w14:solidFill>
              <w14:schemeClr w14:val="tx1"/>
            </w14:solidFill>
          </w14:textFill>
        </w:rPr>
      </w:pPr>
      <w:r>
        <w:rPr>
          <w:rFonts w:hint="eastAsia"/>
          <w:color w:val="000000" w:themeColor="text1"/>
          <w:spacing w:val="1"/>
          <w:highlight w:val="none"/>
          <w:lang w:eastAsia="zh-CN"/>
          <w14:textFill>
            <w14:solidFill>
              <w14:schemeClr w14:val="tx1"/>
            </w14:solidFill>
          </w14:textFill>
        </w:rPr>
        <w:t>企业价值评估基本方法包括市场法、收益法和成本法。具体评估时要根据评估对象、价值类型、资料收集情况等相关条件，分析三种基本方法的适用性，恰当选择一种或多种资产评估基本方法。</w:t>
      </w:r>
    </w:p>
    <w:p>
      <w:pPr>
        <w:pStyle w:val="5"/>
        <w:tabs>
          <w:tab w:val="left" w:pos="660"/>
        </w:tabs>
        <w:spacing w:before="87" w:line="297" w:lineRule="auto"/>
        <w:ind w:left="140" w:right="-31" w:firstLine="559"/>
        <w:jc w:val="both"/>
        <w:rPr>
          <w:color w:val="000000" w:themeColor="text1"/>
          <w:spacing w:val="1"/>
          <w:highlight w:val="none"/>
          <w:lang w:eastAsia="zh-CN"/>
          <w14:textFill>
            <w14:solidFill>
              <w14:schemeClr w14:val="tx1"/>
            </w14:solidFill>
          </w14:textFill>
        </w:rPr>
      </w:pPr>
      <w:r>
        <w:rPr>
          <w:rFonts w:hint="eastAsia"/>
          <w:color w:val="000000" w:themeColor="text1"/>
          <w:spacing w:val="1"/>
          <w:highlight w:val="none"/>
          <w:lang w:eastAsia="zh-CN"/>
          <w14:textFill>
            <w14:solidFill>
              <w14:schemeClr w14:val="tx1"/>
            </w14:solidFill>
          </w14:textFill>
        </w:rPr>
        <w:t>本次评估系单项资产评估，需要和其他设备一并分析其未来收益，单项资产难以分析其盈利能力，因此不能满足收益法评估的要求；纳入评估范围的设备为专用设备，不存在比较活跃的二手交易市场，市场法的运用受到限制。</w:t>
      </w:r>
    </w:p>
    <w:p>
      <w:pPr>
        <w:pStyle w:val="3"/>
        <w:numPr>
          <w:ilvl w:val="0"/>
          <w:numId w:val="0"/>
        </w:numPr>
        <w:tabs>
          <w:tab w:val="left" w:pos="697"/>
        </w:tabs>
        <w:spacing w:before="234" w:line="223" w:lineRule="auto"/>
        <w:ind w:left="701" w:leftChars="0" w:right="0" w:rightChars="0"/>
        <w:outlineLvl w:val="0"/>
        <w:rPr>
          <w:rFonts w:hint="eastAsia"/>
          <w:color w:val="000000" w:themeColor="text1"/>
          <w:spacing w:val="-12"/>
          <w:highlight w:val="none"/>
          <w:lang w:eastAsia="zh-CN"/>
          <w14:textFill>
            <w14:solidFill>
              <w14:schemeClr w14:val="tx1"/>
            </w14:solidFill>
          </w14:textFill>
        </w:rPr>
      </w:pPr>
      <w:r>
        <w:rPr>
          <w:rFonts w:hint="eastAsia"/>
          <w:color w:val="000000" w:themeColor="text1"/>
          <w:spacing w:val="-12"/>
          <w:highlight w:val="none"/>
          <w:lang w:eastAsia="zh-CN"/>
          <w14:textFill>
            <w14:solidFill>
              <w14:schemeClr w14:val="tx1"/>
            </w14:solidFill>
          </w14:textFill>
        </w:rPr>
        <w:t>八、评估程序实施过程和情况</w:t>
      </w:r>
      <w:bookmarkEnd w:id="24"/>
    </w:p>
    <w:p>
      <w:pPr>
        <w:pStyle w:val="5"/>
        <w:tabs>
          <w:tab w:val="left" w:pos="660"/>
        </w:tabs>
        <w:spacing w:line="297" w:lineRule="auto"/>
        <w:ind w:left="140" w:right="-31" w:firstLine="559"/>
        <w:jc w:val="both"/>
        <w:rPr>
          <w:color w:val="000000" w:themeColor="text1"/>
          <w:spacing w:val="-10"/>
          <w:highlight w:val="none"/>
          <w:lang w:eastAsia="zh-CN"/>
          <w14:textFill>
            <w14:solidFill>
              <w14:schemeClr w14:val="tx1"/>
            </w14:solidFill>
          </w14:textFill>
        </w:rPr>
      </w:pPr>
      <w:bookmarkStart w:id="25" w:name="_Toc31352"/>
      <w:r>
        <w:rPr>
          <w:color w:val="000000" w:themeColor="text1"/>
          <w:spacing w:val="-10"/>
          <w:highlight w:val="none"/>
          <w:lang w:eastAsia="zh-CN"/>
          <w14:textFill>
            <w14:solidFill>
              <w14:schemeClr w14:val="tx1"/>
            </w14:solidFill>
          </w14:textFill>
        </w:rPr>
        <w:t>资产评估专业人员于</w:t>
      </w:r>
      <w:r>
        <w:rPr>
          <w:rFonts w:hint="eastAsia"/>
          <w:color w:val="000000" w:themeColor="text1"/>
          <w:spacing w:val="-10"/>
          <w:highlight w:val="none"/>
          <w:lang w:eastAsia="zh-CN"/>
          <w14:textFill>
            <w14:solidFill>
              <w14:schemeClr w14:val="tx1"/>
            </w14:solidFill>
          </w14:textFill>
        </w:rPr>
        <w:t>2021年11月04日</w:t>
      </w:r>
      <w:r>
        <w:rPr>
          <w:color w:val="000000" w:themeColor="text1"/>
          <w:spacing w:val="-10"/>
          <w:highlight w:val="none"/>
          <w:lang w:eastAsia="zh-CN"/>
          <w14:textFill>
            <w14:solidFill>
              <w14:schemeClr w14:val="tx1"/>
            </w14:solidFill>
          </w14:textFill>
        </w:rPr>
        <w:t>对评估对象涉及的</w:t>
      </w:r>
      <w:r>
        <w:rPr>
          <w:rFonts w:hint="eastAsia"/>
          <w:color w:val="000000" w:themeColor="text1"/>
          <w:spacing w:val="-10"/>
          <w:highlight w:val="none"/>
          <w:lang w:eastAsia="zh-CN"/>
          <w14:textFill>
            <w14:solidFill>
              <w14:schemeClr w14:val="tx1"/>
            </w14:solidFill>
          </w14:textFill>
        </w:rPr>
        <w:t>市场价值</w:t>
      </w:r>
      <w:r>
        <w:rPr>
          <w:color w:val="000000" w:themeColor="text1"/>
          <w:spacing w:val="-10"/>
          <w:highlight w:val="none"/>
          <w:lang w:eastAsia="zh-CN"/>
          <w14:textFill>
            <w14:solidFill>
              <w14:schemeClr w14:val="tx1"/>
            </w14:solidFill>
          </w14:textFill>
        </w:rPr>
        <w:t>实施了评估。主要评估程序实施过程和情况如下：</w:t>
      </w:r>
    </w:p>
    <w:p>
      <w:pPr>
        <w:pStyle w:val="5"/>
        <w:tabs>
          <w:tab w:val="left" w:pos="660"/>
        </w:tabs>
        <w:spacing w:before="19"/>
        <w:ind w:left="680" w:right="-31"/>
        <w:rPr>
          <w:color w:val="000000" w:themeColor="text1"/>
          <w:highlight w:val="none"/>
          <w:lang w:eastAsia="zh-CN"/>
          <w14:textFill>
            <w14:solidFill>
              <w14:schemeClr w14:val="tx1"/>
            </w14:solidFill>
          </w14:textFill>
        </w:rPr>
      </w:pPr>
      <w:r>
        <w:rPr>
          <w:color w:val="000000" w:themeColor="text1"/>
          <w:highlight w:val="none"/>
          <w:lang w:eastAsia="zh-CN"/>
          <w14:textFill>
            <w14:solidFill>
              <w14:schemeClr w14:val="tx1"/>
            </w14:solidFill>
          </w14:textFill>
        </w:rPr>
        <w:t>(一) 接受委托</w:t>
      </w:r>
    </w:p>
    <w:p>
      <w:pPr>
        <w:pStyle w:val="5"/>
        <w:tabs>
          <w:tab w:val="left" w:pos="660"/>
        </w:tabs>
        <w:spacing w:before="87" w:line="297" w:lineRule="auto"/>
        <w:ind w:left="140" w:right="-31" w:firstLine="559"/>
        <w:jc w:val="both"/>
        <w:rPr>
          <w:color w:val="000000" w:themeColor="text1"/>
          <w:highlight w:val="none"/>
          <w:lang w:eastAsia="zh-CN"/>
          <w14:textFill>
            <w14:solidFill>
              <w14:schemeClr w14:val="tx1"/>
            </w14:solidFill>
          </w14:textFill>
        </w:rPr>
      </w:pPr>
      <w:r>
        <w:rPr>
          <w:rFonts w:hint="eastAsia"/>
          <w:color w:val="000000" w:themeColor="text1"/>
          <w:spacing w:val="-10"/>
          <w:highlight w:val="none"/>
          <w:lang w:eastAsia="zh-CN"/>
          <w14:textFill>
            <w14:solidFill>
              <w14:schemeClr w14:val="tx1"/>
            </w14:solidFill>
          </w14:textFill>
        </w:rPr>
        <w:t>2021年11月04日</w:t>
      </w:r>
      <w:r>
        <w:rPr>
          <w:color w:val="000000" w:themeColor="text1"/>
          <w:spacing w:val="-10"/>
          <w:highlight w:val="none"/>
          <w:lang w:eastAsia="zh-CN"/>
          <w14:textFill>
            <w14:solidFill>
              <w14:schemeClr w14:val="tx1"/>
            </w14:solidFill>
          </w14:textFill>
        </w:rPr>
        <w:t>，我公司与委托人就</w:t>
      </w:r>
      <w:r>
        <w:rPr>
          <w:color w:val="000000" w:themeColor="text1"/>
          <w:spacing w:val="-11"/>
          <w:highlight w:val="none"/>
          <w:lang w:eastAsia="zh-CN"/>
          <w14:textFill>
            <w14:solidFill>
              <w14:schemeClr w14:val="tx1"/>
            </w14:solidFill>
          </w14:textFill>
        </w:rPr>
        <w:t>评估目的、评估对象和评</w:t>
      </w:r>
      <w:r>
        <w:rPr>
          <w:color w:val="000000" w:themeColor="text1"/>
          <w:spacing w:val="1"/>
          <w:highlight w:val="none"/>
          <w:lang w:eastAsia="zh-CN"/>
          <w14:textFill>
            <w14:solidFill>
              <w14:schemeClr w14:val="tx1"/>
            </w14:solidFill>
          </w14:textFill>
        </w:rPr>
        <w:t>估范围、评估基准日等评估业务基本事项，以及各方的权利、义务</w:t>
      </w:r>
      <w:r>
        <w:rPr>
          <w:color w:val="000000" w:themeColor="text1"/>
          <w:spacing w:val="-3"/>
          <w:highlight w:val="none"/>
          <w:lang w:eastAsia="zh-CN"/>
          <w14:textFill>
            <w14:solidFill>
              <w14:schemeClr w14:val="tx1"/>
            </w14:solidFill>
          </w14:textFill>
        </w:rPr>
        <w:t>等达成一致，并与委托人协商拟定了相应的评估计划。</w:t>
      </w:r>
    </w:p>
    <w:p>
      <w:pPr>
        <w:pStyle w:val="5"/>
        <w:tabs>
          <w:tab w:val="left" w:pos="660"/>
        </w:tabs>
        <w:spacing w:before="22"/>
        <w:ind w:left="699" w:right="-31"/>
        <w:rPr>
          <w:color w:val="000000" w:themeColor="text1"/>
          <w:highlight w:val="none"/>
          <w:lang w:eastAsia="zh-CN"/>
          <w14:textFill>
            <w14:solidFill>
              <w14:schemeClr w14:val="tx1"/>
            </w14:solidFill>
          </w14:textFill>
        </w:rPr>
      </w:pPr>
      <w:bookmarkStart w:id="26" w:name="(二)_前期准备"/>
      <w:bookmarkEnd w:id="26"/>
      <w:r>
        <w:rPr>
          <w:color w:val="000000" w:themeColor="text1"/>
          <w:highlight w:val="none"/>
          <w:lang w:eastAsia="zh-CN"/>
          <w14:textFill>
            <w14:solidFill>
              <w14:schemeClr w14:val="tx1"/>
            </w14:solidFill>
          </w14:textFill>
        </w:rPr>
        <w:t>(二)前期准备</w:t>
      </w:r>
    </w:p>
    <w:p>
      <w:pPr>
        <w:pStyle w:val="5"/>
        <w:tabs>
          <w:tab w:val="left" w:pos="660"/>
        </w:tabs>
        <w:spacing w:before="87"/>
        <w:ind w:left="699" w:right="-31"/>
        <w:rPr>
          <w:color w:val="000000" w:themeColor="text1"/>
          <w:highlight w:val="none"/>
          <w:lang w:eastAsia="zh-CN"/>
          <w14:textFill>
            <w14:solidFill>
              <w14:schemeClr w14:val="tx1"/>
            </w14:solidFill>
          </w14:textFill>
        </w:rPr>
      </w:pPr>
      <w:r>
        <w:rPr>
          <w:color w:val="000000" w:themeColor="text1"/>
          <w:highlight w:val="none"/>
          <w:lang w:eastAsia="zh-CN"/>
          <w14:textFill>
            <w14:solidFill>
              <w14:schemeClr w14:val="tx1"/>
            </w14:solidFill>
          </w14:textFill>
        </w:rPr>
        <w:t>1.拟定评估方案</w:t>
      </w:r>
    </w:p>
    <w:p>
      <w:pPr>
        <w:pStyle w:val="5"/>
        <w:tabs>
          <w:tab w:val="left" w:pos="660"/>
        </w:tabs>
        <w:spacing w:before="87"/>
        <w:ind w:left="699" w:right="-31"/>
        <w:rPr>
          <w:color w:val="000000" w:themeColor="text1"/>
          <w:highlight w:val="none"/>
          <w:lang w:eastAsia="zh-CN"/>
          <w14:textFill>
            <w14:solidFill>
              <w14:schemeClr w14:val="tx1"/>
            </w14:solidFill>
          </w14:textFill>
        </w:rPr>
      </w:pPr>
      <w:r>
        <w:rPr>
          <w:color w:val="000000" w:themeColor="text1"/>
          <w:highlight w:val="none"/>
          <w:lang w:eastAsia="zh-CN"/>
          <w14:textFill>
            <w14:solidFill>
              <w14:schemeClr w14:val="tx1"/>
            </w14:solidFill>
          </w14:textFill>
        </w:rPr>
        <w:t>2.组建评估团队</w:t>
      </w:r>
      <w:bookmarkStart w:id="27" w:name="(三)_现场调查"/>
      <w:bookmarkEnd w:id="27"/>
    </w:p>
    <w:p>
      <w:pPr>
        <w:pStyle w:val="5"/>
        <w:tabs>
          <w:tab w:val="left" w:pos="660"/>
        </w:tabs>
        <w:spacing w:before="22"/>
        <w:ind w:left="699" w:right="-31"/>
        <w:rPr>
          <w:color w:val="000000" w:themeColor="text1"/>
          <w:highlight w:val="none"/>
          <w:lang w:eastAsia="zh-CN"/>
          <w14:textFill>
            <w14:solidFill>
              <w14:schemeClr w14:val="tx1"/>
            </w14:solidFill>
          </w14:textFill>
        </w:rPr>
      </w:pPr>
      <w:r>
        <w:rPr>
          <w:color w:val="000000" w:themeColor="text1"/>
          <w:highlight w:val="none"/>
          <w:lang w:eastAsia="zh-CN"/>
          <w14:textFill>
            <w14:solidFill>
              <w14:schemeClr w14:val="tx1"/>
            </w14:solidFill>
          </w14:textFill>
        </w:rPr>
        <w:t>(三)</w:t>
      </w:r>
      <w:r>
        <w:rPr>
          <w:rFonts w:hint="eastAsia"/>
          <w:color w:val="000000" w:themeColor="text1"/>
          <w:highlight w:val="none"/>
          <w:lang w:eastAsia="zh-CN"/>
          <w14:textFill>
            <w14:solidFill>
              <w14:schemeClr w14:val="tx1"/>
            </w14:solidFill>
          </w14:textFill>
        </w:rPr>
        <w:t>市场</w:t>
      </w:r>
      <w:r>
        <w:rPr>
          <w:color w:val="000000" w:themeColor="text1"/>
          <w:highlight w:val="none"/>
          <w:lang w:eastAsia="zh-CN"/>
          <w14:textFill>
            <w14:solidFill>
              <w14:schemeClr w14:val="tx1"/>
            </w14:solidFill>
          </w14:textFill>
        </w:rPr>
        <w:t>调查</w:t>
      </w:r>
    </w:p>
    <w:p>
      <w:pPr>
        <w:pStyle w:val="5"/>
        <w:tabs>
          <w:tab w:val="left" w:pos="660"/>
        </w:tabs>
        <w:spacing w:before="87" w:line="297" w:lineRule="auto"/>
        <w:ind w:left="284" w:right="-31" w:firstLine="559"/>
        <w:jc w:val="both"/>
        <w:rPr>
          <w:color w:val="000000" w:themeColor="text1"/>
          <w:spacing w:val="1"/>
          <w:highlight w:val="none"/>
          <w:lang w:eastAsia="zh-CN"/>
          <w14:textFill>
            <w14:solidFill>
              <w14:schemeClr w14:val="tx1"/>
            </w14:solidFill>
          </w14:textFill>
        </w:rPr>
      </w:pPr>
      <w:r>
        <w:rPr>
          <w:color w:val="000000" w:themeColor="text1"/>
          <w:spacing w:val="-11"/>
          <w:highlight w:val="none"/>
          <w:lang w:eastAsia="zh-CN"/>
          <w14:textFill>
            <w14:solidFill>
              <w14:schemeClr w14:val="tx1"/>
            </w14:solidFill>
          </w14:textFill>
        </w:rPr>
        <w:t>资产评估专业人员于</w:t>
      </w:r>
      <w:r>
        <w:rPr>
          <w:rFonts w:hint="eastAsia"/>
          <w:color w:val="000000" w:themeColor="text1"/>
          <w:highlight w:val="none"/>
          <w:lang w:eastAsia="zh-CN"/>
          <w14:textFill>
            <w14:solidFill>
              <w14:schemeClr w14:val="tx1"/>
            </w14:solidFill>
          </w14:textFill>
        </w:rPr>
        <w:t>2021年11月04日</w:t>
      </w:r>
      <w:r>
        <w:rPr>
          <w:rFonts w:hint="eastAsia"/>
          <w:color w:val="000000" w:themeColor="text1"/>
          <w:highlight w:val="none"/>
          <w:lang w:val="en-US" w:eastAsia="zh-CN"/>
          <w14:textFill>
            <w14:solidFill>
              <w14:schemeClr w14:val="tx1"/>
            </w14:solidFill>
          </w14:textFill>
        </w:rPr>
        <w:t>-2021年11月08日</w:t>
      </w:r>
      <w:r>
        <w:rPr>
          <w:color w:val="000000" w:themeColor="text1"/>
          <w:spacing w:val="-11"/>
          <w:highlight w:val="none"/>
          <w:lang w:eastAsia="zh-CN"/>
          <w14:textFill>
            <w14:solidFill>
              <w14:schemeClr w14:val="tx1"/>
            </w14:solidFill>
          </w14:textFill>
        </w:rPr>
        <w:t>对评估</w:t>
      </w:r>
      <w:r>
        <w:rPr>
          <w:color w:val="000000" w:themeColor="text1"/>
          <w:spacing w:val="1"/>
          <w:highlight w:val="none"/>
          <w:lang w:eastAsia="zh-CN"/>
          <w14:textFill>
            <w14:solidFill>
              <w14:schemeClr w14:val="tx1"/>
            </w14:solidFill>
          </w14:textFill>
        </w:rPr>
        <w:t>对象涉及的资产进行了必要的</w:t>
      </w:r>
      <w:r>
        <w:rPr>
          <w:rFonts w:hint="eastAsia"/>
          <w:color w:val="000000" w:themeColor="text1"/>
          <w:spacing w:val="1"/>
          <w:highlight w:val="none"/>
          <w:lang w:eastAsia="zh-CN"/>
          <w14:textFill>
            <w14:solidFill>
              <w14:schemeClr w14:val="tx1"/>
            </w14:solidFill>
          </w14:textFill>
        </w:rPr>
        <w:t>市场调查。</w:t>
      </w:r>
    </w:p>
    <w:p>
      <w:pPr>
        <w:pStyle w:val="5"/>
        <w:tabs>
          <w:tab w:val="left" w:pos="660"/>
        </w:tabs>
        <w:spacing w:before="87" w:line="297" w:lineRule="auto"/>
        <w:ind w:left="284" w:right="-31" w:firstLine="282" w:firstLineChars="100"/>
        <w:jc w:val="both"/>
        <w:rPr>
          <w:color w:val="000000" w:themeColor="text1"/>
          <w:spacing w:val="1"/>
          <w:highlight w:val="none"/>
          <w:lang w:eastAsia="zh-CN"/>
          <w14:textFill>
            <w14:solidFill>
              <w14:schemeClr w14:val="tx1"/>
            </w14:solidFill>
          </w14:textFill>
        </w:rPr>
      </w:pPr>
      <w:r>
        <w:rPr>
          <w:rFonts w:hint="eastAsia"/>
          <w:color w:val="000000" w:themeColor="text1"/>
          <w:spacing w:val="1"/>
          <w:highlight w:val="none"/>
          <w:lang w:eastAsia="zh-CN"/>
          <w14:textFill>
            <w14:solidFill>
              <w14:schemeClr w14:val="tx1"/>
            </w14:solidFill>
          </w14:textFill>
        </w:rPr>
        <w:t xml:space="preserve">  ①搜集交易实例，即搜集大量发生过交易的</w:t>
      </w:r>
      <w:r>
        <w:rPr>
          <w:rFonts w:hint="eastAsia"/>
          <w:color w:val="000000" w:themeColor="text1"/>
          <w:spacing w:val="1"/>
          <w:highlight w:val="none"/>
          <w:lang w:val="en-US" w:eastAsia="zh-CN"/>
          <w14:textFill>
            <w14:solidFill>
              <w14:schemeClr w14:val="tx1"/>
            </w14:solidFill>
          </w14:textFill>
        </w:rPr>
        <w:t>机器</w:t>
      </w:r>
      <w:r>
        <w:rPr>
          <w:rFonts w:hint="eastAsia"/>
          <w:color w:val="000000" w:themeColor="text1"/>
          <w:spacing w:val="1"/>
          <w:highlight w:val="none"/>
          <w:lang w:eastAsia="zh-CN"/>
          <w14:textFill>
            <w14:solidFill>
              <w14:schemeClr w14:val="tx1"/>
            </w14:solidFill>
          </w14:textFill>
        </w:rPr>
        <w:t>价值拍卖及其成交价格、成交日期、付款方式等信息。</w:t>
      </w:r>
    </w:p>
    <w:p>
      <w:pPr>
        <w:pStyle w:val="5"/>
        <w:tabs>
          <w:tab w:val="left" w:pos="660"/>
        </w:tabs>
        <w:spacing w:before="87" w:line="297" w:lineRule="auto"/>
        <w:ind w:left="284" w:right="-31" w:firstLine="282" w:firstLineChars="100"/>
        <w:jc w:val="both"/>
        <w:rPr>
          <w:color w:val="000000" w:themeColor="text1"/>
          <w:spacing w:val="1"/>
          <w:highlight w:val="none"/>
          <w:lang w:eastAsia="zh-CN"/>
          <w14:textFill>
            <w14:solidFill>
              <w14:schemeClr w14:val="tx1"/>
            </w14:solidFill>
          </w14:textFill>
        </w:rPr>
      </w:pPr>
      <w:r>
        <w:rPr>
          <w:rFonts w:hint="eastAsia"/>
          <w:color w:val="000000" w:themeColor="text1"/>
          <w:spacing w:val="1"/>
          <w:highlight w:val="none"/>
          <w:lang w:eastAsia="zh-CN"/>
          <w14:textFill>
            <w14:solidFill>
              <w14:schemeClr w14:val="tx1"/>
            </w14:solidFill>
          </w14:textFill>
        </w:rPr>
        <w:t xml:space="preserve">  ②选取可比实例，即从搜集的大量交易实例中选取一定数量符合一定条件的交易实例。</w:t>
      </w:r>
    </w:p>
    <w:p>
      <w:pPr>
        <w:pStyle w:val="5"/>
        <w:tabs>
          <w:tab w:val="left" w:pos="660"/>
        </w:tabs>
        <w:spacing w:before="87" w:line="297" w:lineRule="auto"/>
        <w:ind w:left="284" w:right="-31"/>
        <w:jc w:val="both"/>
        <w:rPr>
          <w:color w:val="000000" w:themeColor="text1"/>
          <w:spacing w:val="1"/>
          <w:highlight w:val="none"/>
          <w:lang w:eastAsia="zh-CN"/>
          <w14:textFill>
            <w14:solidFill>
              <w14:schemeClr w14:val="tx1"/>
            </w14:solidFill>
          </w14:textFill>
        </w:rPr>
      </w:pPr>
      <w:r>
        <w:rPr>
          <w:rFonts w:hint="eastAsia"/>
          <w:color w:val="000000" w:themeColor="text1"/>
          <w:spacing w:val="1"/>
          <w:highlight w:val="none"/>
          <w:lang w:eastAsia="zh-CN"/>
          <w14:textFill>
            <w14:solidFill>
              <w14:schemeClr w14:val="tx1"/>
            </w14:solidFill>
          </w14:textFill>
        </w:rPr>
        <w:t xml:space="preserve"> </w:t>
      </w:r>
      <w:r>
        <w:rPr>
          <w:color w:val="000000" w:themeColor="text1"/>
          <w:spacing w:val="1"/>
          <w:highlight w:val="none"/>
          <w:lang w:eastAsia="zh-CN"/>
          <w14:textFill>
            <w14:solidFill>
              <w14:schemeClr w14:val="tx1"/>
            </w14:solidFill>
          </w14:textFill>
        </w:rPr>
        <w:t xml:space="preserve">   </w:t>
      </w:r>
      <w:r>
        <w:rPr>
          <w:rFonts w:hint="eastAsia"/>
          <w:color w:val="000000" w:themeColor="text1"/>
          <w:spacing w:val="1"/>
          <w:highlight w:val="none"/>
          <w:lang w:eastAsia="zh-CN"/>
          <w14:textFill>
            <w14:solidFill>
              <w14:schemeClr w14:val="tx1"/>
            </w14:solidFill>
          </w14:textFill>
        </w:rPr>
        <w:t>③对可比实例成交价格进行处理。根据处理的内涵不同，分为价格换算、价格修正和价格调整。价格换算主要是对可比实例成交价格的表现形式进行处理，使各个可比实例的成交价格之间口径一致、相互可比。这种处理称为建立比较基准。价格修正是把可比实例实际而可能是不正常的成交价格处理成正常价格，即对可比实例实际而可能是不正常的成交价格进行“改正”。</w:t>
      </w:r>
    </w:p>
    <w:p>
      <w:pPr>
        <w:pStyle w:val="5"/>
        <w:keepNext w:val="0"/>
        <w:keepLines w:val="0"/>
        <w:pageBreakBefore w:val="0"/>
        <w:widowControl w:val="0"/>
        <w:tabs>
          <w:tab w:val="left" w:pos="660"/>
        </w:tabs>
        <w:kinsoku/>
        <w:wordWrap/>
        <w:overflowPunct/>
        <w:topLinePunct w:val="0"/>
        <w:autoSpaceDE w:val="0"/>
        <w:autoSpaceDN w:val="0"/>
        <w:bidi w:val="0"/>
        <w:adjustRightInd/>
        <w:snapToGrid/>
        <w:spacing w:before="87" w:line="240" w:lineRule="auto"/>
        <w:ind w:left="284" w:right="-31" w:firstLine="282" w:firstLineChars="100"/>
        <w:jc w:val="both"/>
        <w:textAlignment w:val="auto"/>
        <w:rPr>
          <w:color w:val="000000" w:themeColor="text1"/>
          <w:spacing w:val="1"/>
          <w:highlight w:val="none"/>
          <w:lang w:eastAsia="zh-CN"/>
          <w14:textFill>
            <w14:solidFill>
              <w14:schemeClr w14:val="tx1"/>
            </w14:solidFill>
          </w14:textFill>
        </w:rPr>
      </w:pPr>
      <w:r>
        <w:rPr>
          <w:color w:val="000000" w:themeColor="text1"/>
          <w:spacing w:val="1"/>
          <w:highlight w:val="none"/>
          <w:lang w:eastAsia="zh-CN"/>
          <w14:textFill>
            <w14:solidFill>
              <w14:schemeClr w14:val="tx1"/>
            </w14:solidFill>
          </w14:textFill>
        </w:rPr>
        <w:t xml:space="preserve">  </w:t>
      </w:r>
      <w:r>
        <w:rPr>
          <w:rFonts w:hint="eastAsia"/>
          <w:color w:val="000000" w:themeColor="text1"/>
          <w:spacing w:val="1"/>
          <w:highlight w:val="none"/>
          <w:lang w:eastAsia="zh-CN"/>
          <w14:textFill>
            <w14:solidFill>
              <w14:schemeClr w14:val="tx1"/>
            </w14:solidFill>
          </w14:textFill>
        </w:rPr>
        <w:t>④求取比准价值，即把多个可比实例成交价格经过处理得到的多个比准价值综合为一个比准价值。</w:t>
      </w:r>
    </w:p>
    <w:p>
      <w:pPr>
        <w:pStyle w:val="3"/>
        <w:keepNext w:val="0"/>
        <w:keepLines w:val="0"/>
        <w:pageBreakBefore w:val="0"/>
        <w:widowControl w:val="0"/>
        <w:kinsoku/>
        <w:wordWrap/>
        <w:overflowPunct/>
        <w:topLinePunct w:val="0"/>
        <w:autoSpaceDE w:val="0"/>
        <w:autoSpaceDN w:val="0"/>
        <w:bidi w:val="0"/>
        <w:adjustRightInd/>
        <w:snapToGrid/>
        <w:spacing w:line="240" w:lineRule="auto"/>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九、评估假设</w:t>
      </w:r>
    </w:p>
    <w:p>
      <w:pPr>
        <w:pStyle w:val="5"/>
        <w:tabs>
          <w:tab w:val="left" w:pos="660"/>
        </w:tabs>
        <w:ind w:left="699" w:right="-31"/>
        <w:rPr>
          <w:color w:val="000000" w:themeColor="text1"/>
          <w:highlight w:val="none"/>
          <w:lang w:eastAsia="zh-CN"/>
          <w14:textFill>
            <w14:solidFill>
              <w14:schemeClr w14:val="tx1"/>
            </w14:solidFill>
          </w14:textFill>
        </w:rPr>
      </w:pPr>
      <w:r>
        <w:rPr>
          <w:color w:val="000000" w:themeColor="text1"/>
          <w:highlight w:val="none"/>
          <w:lang w:eastAsia="zh-CN"/>
          <w14:textFill>
            <w14:solidFill>
              <w14:schemeClr w14:val="tx1"/>
            </w14:solidFill>
          </w14:textFill>
        </w:rPr>
        <w:t>本资产评估报告分析估算采用的假设条件如下：</w:t>
      </w:r>
    </w:p>
    <w:p>
      <w:pPr>
        <w:pStyle w:val="5"/>
        <w:tabs>
          <w:tab w:val="left" w:pos="660"/>
        </w:tabs>
        <w:spacing w:before="86"/>
        <w:ind w:left="699" w:right="-31"/>
        <w:rPr>
          <w:color w:val="000000" w:themeColor="text1"/>
          <w:highlight w:val="none"/>
          <w:lang w:eastAsia="zh-CN"/>
          <w14:textFill>
            <w14:solidFill>
              <w14:schemeClr w14:val="tx1"/>
            </w14:solidFill>
          </w14:textFill>
        </w:rPr>
      </w:pPr>
      <w:r>
        <w:rPr>
          <w:color w:val="000000" w:themeColor="text1"/>
          <w:highlight w:val="none"/>
          <w:lang w:eastAsia="zh-CN"/>
          <w14:textFill>
            <w14:solidFill>
              <w14:schemeClr w14:val="tx1"/>
            </w14:solidFill>
          </w14:textFill>
        </w:rPr>
        <w:t>(一)一般假设</w:t>
      </w:r>
    </w:p>
    <w:p>
      <w:pPr>
        <w:pStyle w:val="5"/>
        <w:tabs>
          <w:tab w:val="left" w:pos="660"/>
        </w:tabs>
        <w:spacing w:before="86" w:line="300" w:lineRule="auto"/>
        <w:ind w:left="140" w:right="-31" w:firstLine="559"/>
        <w:jc w:val="both"/>
        <w:rPr>
          <w:color w:val="000000" w:themeColor="text1"/>
          <w:highlight w:val="none"/>
          <w:lang w:eastAsia="zh-CN"/>
          <w14:textFill>
            <w14:solidFill>
              <w14:schemeClr w14:val="tx1"/>
            </w14:solidFill>
          </w14:textFill>
        </w:rPr>
      </w:pPr>
      <w:r>
        <w:rPr>
          <w:color w:val="000000" w:themeColor="text1"/>
          <w:highlight w:val="none"/>
          <w:lang w:eastAsia="zh-CN"/>
          <w14:textFill>
            <w14:solidFill>
              <w14:schemeClr w14:val="tx1"/>
            </w14:solidFill>
          </w14:textFill>
        </w:rPr>
        <w:t>1.假设国家现行的有关法律法规及政策、国家宏观经济形势无重大变化，被评估单位经营环境相对稳定，所处地区的政治、经济和社会环境无重大变化。</w:t>
      </w:r>
    </w:p>
    <w:p>
      <w:pPr>
        <w:pStyle w:val="5"/>
        <w:tabs>
          <w:tab w:val="left" w:pos="660"/>
        </w:tabs>
        <w:spacing w:before="19" w:line="300" w:lineRule="auto"/>
        <w:ind w:left="699" w:right="-31"/>
        <w:rPr>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2</w:t>
      </w:r>
      <w:r>
        <w:rPr>
          <w:color w:val="000000" w:themeColor="text1"/>
          <w:highlight w:val="none"/>
          <w:lang w:eastAsia="zh-CN"/>
          <w14:textFill>
            <w14:solidFill>
              <w14:schemeClr w14:val="tx1"/>
            </w14:solidFill>
          </w14:textFill>
        </w:rPr>
        <w:t>.本次评估以产权人拥有评估对象的合法产权为假设前提。</w:t>
      </w:r>
    </w:p>
    <w:p>
      <w:pPr>
        <w:pStyle w:val="5"/>
        <w:tabs>
          <w:tab w:val="left" w:pos="660"/>
        </w:tabs>
        <w:spacing w:before="87" w:line="300" w:lineRule="auto"/>
        <w:ind w:left="140" w:right="-31" w:firstLine="559"/>
        <w:jc w:val="both"/>
        <w:rPr>
          <w:color w:val="000000" w:themeColor="text1"/>
          <w:sz w:val="3"/>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3</w:t>
      </w:r>
      <w:r>
        <w:rPr>
          <w:color w:val="000000" w:themeColor="text1"/>
          <w:highlight w:val="none"/>
          <w:lang w:eastAsia="zh-CN"/>
          <w14:textFill>
            <w14:solidFill>
              <w14:schemeClr w14:val="tx1"/>
            </w14:solidFill>
          </w14:textFill>
        </w:rPr>
        <w:t>.假设评估对象处于交易过程中，资产评估师根据评估对象的交易条件等模拟市场进行评估，评估结果是对评估对象最可能达成</w:t>
      </w:r>
    </w:p>
    <w:p>
      <w:pPr>
        <w:pStyle w:val="5"/>
        <w:tabs>
          <w:tab w:val="left" w:pos="660"/>
        </w:tabs>
        <w:spacing w:line="300" w:lineRule="auto"/>
        <w:ind w:left="106" w:right="-31"/>
        <w:rPr>
          <w:color w:val="000000" w:themeColor="text1"/>
          <w:sz w:val="2"/>
          <w:highlight w:val="none"/>
          <w:lang w:eastAsia="zh-CN"/>
          <w14:textFill>
            <w14:solidFill>
              <w14:schemeClr w14:val="tx1"/>
            </w14:solidFill>
          </w14:textFill>
        </w:rPr>
      </w:pPr>
    </w:p>
    <w:p>
      <w:pPr>
        <w:pStyle w:val="5"/>
        <w:tabs>
          <w:tab w:val="left" w:pos="660"/>
        </w:tabs>
        <w:spacing w:line="300" w:lineRule="auto"/>
        <w:ind w:left="140" w:right="-31"/>
        <w:rPr>
          <w:color w:val="000000" w:themeColor="text1"/>
          <w:highlight w:val="none"/>
          <w:lang w:eastAsia="zh-CN"/>
          <w14:textFill>
            <w14:solidFill>
              <w14:schemeClr w14:val="tx1"/>
            </w14:solidFill>
          </w14:textFill>
        </w:rPr>
      </w:pPr>
      <w:r>
        <w:rPr>
          <w:color w:val="000000" w:themeColor="text1"/>
          <w:highlight w:val="none"/>
          <w:lang w:eastAsia="zh-CN"/>
          <w14:textFill>
            <w14:solidFill>
              <w14:schemeClr w14:val="tx1"/>
            </w14:solidFill>
          </w14:textFill>
        </w:rPr>
        <w:t>交易价格的估计。</w:t>
      </w:r>
    </w:p>
    <w:p>
      <w:pPr>
        <w:pStyle w:val="5"/>
        <w:tabs>
          <w:tab w:val="left" w:pos="660"/>
        </w:tabs>
        <w:spacing w:before="21" w:line="300" w:lineRule="auto"/>
        <w:ind w:left="140" w:right="-31" w:firstLine="559"/>
        <w:jc w:val="both"/>
        <w:rPr>
          <w:rFonts w:ascii="Microsoft JhengHei" w:eastAsiaTheme="minorEastAsia"/>
          <w:b/>
          <w:color w:val="000000" w:themeColor="text1"/>
          <w:highlight w:val="none"/>
          <w:lang w:eastAsia="zh-CN"/>
          <w14:textFill>
            <w14:solidFill>
              <w14:schemeClr w14:val="tx1"/>
            </w14:solidFill>
          </w14:textFill>
        </w:rPr>
      </w:pPr>
      <w:r>
        <w:rPr>
          <w:color w:val="000000" w:themeColor="text1"/>
          <w:highlight w:val="none"/>
          <w:lang w:eastAsia="zh-CN"/>
          <w14:textFill>
            <w14:solidFill>
              <w14:schemeClr w14:val="tx1"/>
            </w14:solidFill>
          </w14:textFill>
        </w:rPr>
        <w:t>本资产评估报告评估结论在上述假设条件下在评估基准日时成立，当上述假设条件发生较大变化时，签名资产评估师及本资产评估机构将不承担由于假设条件改变而推导出不同评估结论的责任。</w:t>
      </w:r>
    </w:p>
    <w:p>
      <w:pPr>
        <w:pStyle w:val="3"/>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十、评估结论</w:t>
      </w:r>
    </w:p>
    <w:p>
      <w:pPr>
        <w:pStyle w:val="5"/>
        <w:tabs>
          <w:tab w:val="left" w:pos="660"/>
        </w:tabs>
        <w:spacing w:before="22" w:line="297" w:lineRule="auto"/>
        <w:ind w:left="140" w:right="-31" w:firstLine="559"/>
        <w:jc w:val="both"/>
        <w:rPr>
          <w:color w:val="000000" w:themeColor="text1"/>
          <w:spacing w:val="-11"/>
          <w:highlight w:val="none"/>
          <w:lang w:eastAsia="zh-CN"/>
          <w14:textFill>
            <w14:solidFill>
              <w14:schemeClr w14:val="tx1"/>
            </w14:solidFill>
          </w14:textFill>
        </w:rPr>
      </w:pPr>
      <w:r>
        <w:rPr>
          <w:color w:val="000000" w:themeColor="text1"/>
          <w:spacing w:val="-11"/>
          <w:highlight w:val="none"/>
          <w:lang w:eastAsia="zh-CN"/>
          <w14:textFill>
            <w14:solidFill>
              <w14:schemeClr w14:val="tx1"/>
            </w14:solidFill>
          </w14:textFill>
        </w:rPr>
        <w:t>按照有关法律、行政法规和资产评估准则的规定，坚持独立</w:t>
      </w:r>
      <w:r>
        <w:rPr>
          <w:rFonts w:hint="eastAsia"/>
          <w:color w:val="000000" w:themeColor="text1"/>
          <w:spacing w:val="-11"/>
          <w:highlight w:val="none"/>
          <w:lang w:eastAsia="zh-CN"/>
          <w14:textFill>
            <w14:solidFill>
              <w14:schemeClr w14:val="tx1"/>
            </w14:solidFill>
          </w14:textFill>
        </w:rPr>
        <w:t>、</w:t>
      </w:r>
      <w:r>
        <w:rPr>
          <w:color w:val="000000" w:themeColor="text1"/>
          <w:spacing w:val="-11"/>
          <w:highlight w:val="none"/>
          <w:lang w:eastAsia="zh-CN"/>
          <w14:textFill>
            <w14:solidFill>
              <w14:schemeClr w14:val="tx1"/>
            </w14:solidFill>
          </w14:textFill>
        </w:rPr>
        <w:t>客观、公正的原则，采用</w:t>
      </w:r>
      <w:r>
        <w:rPr>
          <w:rFonts w:hint="eastAsia"/>
          <w:color w:val="000000" w:themeColor="text1"/>
          <w:highlight w:val="none"/>
          <w:lang w:eastAsia="zh-CN"/>
          <w14:textFill>
            <w14:solidFill>
              <w14:schemeClr w14:val="tx1"/>
            </w14:solidFill>
          </w14:textFill>
        </w:rPr>
        <w:t>成本法</w:t>
      </w:r>
      <w:r>
        <w:rPr>
          <w:color w:val="000000" w:themeColor="text1"/>
          <w:spacing w:val="-11"/>
          <w:highlight w:val="none"/>
          <w:lang w:eastAsia="zh-CN"/>
          <w14:textFill>
            <w14:solidFill>
              <w14:schemeClr w14:val="tx1"/>
            </w14:solidFill>
          </w14:textFill>
        </w:rPr>
        <w:t>，按照必要的评估程序，对</w:t>
      </w:r>
      <w:r>
        <w:rPr>
          <w:rFonts w:hint="eastAsia"/>
          <w:color w:val="000000" w:themeColor="text1"/>
          <w:highlight w:val="none"/>
          <w:lang w:eastAsia="zh-CN"/>
          <w14:textFill>
            <w14:solidFill>
              <w14:schemeClr w14:val="tx1"/>
            </w14:solidFill>
          </w14:textFill>
        </w:rPr>
        <w:t>寿光市人民法院在拟执行</w:t>
      </w:r>
      <w:r>
        <w:rPr>
          <w:rFonts w:hint="eastAsia"/>
          <w:color w:val="000000" w:themeColor="text1"/>
          <w:spacing w:val="-6"/>
          <w:lang w:eastAsia="zh-CN"/>
          <w14:textFill>
            <w14:solidFill>
              <w14:schemeClr w14:val="tx1"/>
            </w14:solidFill>
          </w14:textFill>
        </w:rPr>
        <w:t>姜国贤与陈洪明 借款合同纠纷一案中涉及的寿光市晨鸣路东荟仕名苑11号楼6单元501室</w:t>
      </w:r>
      <w:r>
        <w:rPr>
          <w:rFonts w:hint="eastAsia"/>
          <w:color w:val="000000" w:themeColor="text1"/>
          <w:spacing w:val="-11"/>
          <w:highlight w:val="none"/>
          <w:lang w:eastAsia="zh-CN"/>
          <w14:textFill>
            <w14:solidFill>
              <w14:schemeClr w14:val="tx1"/>
            </w14:solidFill>
          </w14:textFill>
        </w:rPr>
        <w:t>市场价值</w:t>
      </w:r>
      <w:r>
        <w:rPr>
          <w:color w:val="000000" w:themeColor="text1"/>
          <w:spacing w:val="-11"/>
          <w:highlight w:val="none"/>
          <w:lang w:eastAsia="zh-CN"/>
          <w14:textFill>
            <w14:solidFill>
              <w14:schemeClr w14:val="tx1"/>
            </w14:solidFill>
          </w14:textFill>
        </w:rPr>
        <w:t>进行了评估。根据以上评估工作，得出如下评估结论：</w:t>
      </w:r>
    </w:p>
    <w:p>
      <w:pPr>
        <w:pStyle w:val="5"/>
        <w:spacing w:before="87" w:line="297" w:lineRule="auto"/>
        <w:ind w:left="140" w:right="0" w:rightChars="0" w:firstLine="559"/>
        <w:jc w:val="both"/>
        <w:rPr>
          <w:rFonts w:hint="eastAsia"/>
          <w:color w:val="000000" w:themeColor="text1"/>
          <w:lang w:eastAsia="zh-CN"/>
          <w14:textFill>
            <w14:solidFill>
              <w14:schemeClr w14:val="tx1"/>
            </w14:solidFill>
          </w14:textFill>
        </w:rPr>
      </w:pPr>
      <w:r>
        <w:rPr>
          <w:color w:val="000000" w:themeColor="text1"/>
          <w:highlight w:val="none"/>
          <w:lang w:eastAsia="zh-CN"/>
          <w14:textFill>
            <w14:solidFill>
              <w14:schemeClr w14:val="tx1"/>
            </w14:solidFill>
          </w14:textFill>
        </w:rPr>
        <w:t>截至评估基准日，</w:t>
      </w:r>
      <w:bookmarkEnd w:id="25"/>
      <w:bookmarkStart w:id="28" w:name="_Toc22533"/>
      <w:r>
        <w:rPr>
          <w:rFonts w:hint="eastAsia"/>
          <w:color w:val="000000" w:themeColor="text1"/>
          <w:lang w:eastAsia="zh-CN"/>
          <w14:textFill>
            <w14:solidFill>
              <w14:schemeClr w14:val="tx1"/>
            </w14:solidFill>
          </w14:textFill>
        </w:rPr>
        <w:t>寿光市人民法院在拟执行姜国贤与陈洪明 借款合同纠纷一案中涉及的寿光市晨鸣路东荟仕名苑11号楼6单元501室，</w:t>
      </w:r>
      <w:r>
        <w:rPr>
          <w:rFonts w:hint="eastAsia"/>
          <w:color w:val="000000" w:themeColor="text1"/>
          <w:lang w:val="en-US" w:eastAsia="zh-CN"/>
          <w14:textFill>
            <w14:solidFill>
              <w14:schemeClr w14:val="tx1"/>
            </w14:solidFill>
          </w14:textFill>
        </w:rPr>
        <w:t>资产</w:t>
      </w:r>
      <w:r>
        <w:rPr>
          <w:rFonts w:hint="eastAsia"/>
          <w:color w:val="000000" w:themeColor="text1"/>
          <w:lang w:eastAsia="zh-CN"/>
          <w14:textFill>
            <w14:solidFill>
              <w14:schemeClr w14:val="tx1"/>
            </w14:solidFill>
          </w14:textFill>
        </w:rPr>
        <w:t>评估值为人民币</w:t>
      </w:r>
      <w:r>
        <w:rPr>
          <w:rFonts w:hint="eastAsia"/>
          <w:color w:val="000000" w:themeColor="text1"/>
          <w:lang w:val="en-US" w:eastAsia="zh-CN"/>
          <w14:textFill>
            <w14:solidFill>
              <w14:schemeClr w14:val="tx1"/>
            </w14:solidFill>
          </w14:textFill>
        </w:rPr>
        <w:t>陆拾贰万肆仟玖佰陆拾元整</w:t>
      </w:r>
      <w:r>
        <w:rPr>
          <w:rFonts w:hint="eastAsia"/>
          <w:color w:val="000000" w:themeColor="text1"/>
          <w:lang w:eastAsia="zh-CN"/>
          <w14:textFill>
            <w14:solidFill>
              <w14:schemeClr w14:val="tx1"/>
            </w14:solidFill>
          </w14:textFill>
        </w:rPr>
        <w:t>（￥624,960.00）。评估结果见下表：</w:t>
      </w:r>
    </w:p>
    <w:p>
      <w:pPr>
        <w:pStyle w:val="5"/>
        <w:spacing w:before="87" w:line="297" w:lineRule="auto"/>
        <w:ind w:left="699"/>
        <w:jc w:val="center"/>
        <w:rPr>
          <w:b/>
          <w:color w:val="000000" w:themeColor="text1"/>
          <w:sz w:val="24"/>
          <w14:textFill>
            <w14:solidFill>
              <w14:schemeClr w14:val="tx1"/>
            </w14:solidFill>
          </w14:textFill>
        </w:rPr>
      </w:pPr>
      <w:r>
        <w:rPr>
          <w:rFonts w:hint="eastAsia"/>
          <w:b/>
          <w:color w:val="000000" w:themeColor="text1"/>
          <w:sz w:val="24"/>
          <w:lang w:eastAsia="zh-CN"/>
          <w14:textFill>
            <w14:solidFill>
              <w14:schemeClr w14:val="tx1"/>
            </w14:solidFill>
          </w14:textFill>
        </w:rPr>
        <w:t>固定</w:t>
      </w:r>
      <w:r>
        <w:rPr>
          <w:b/>
          <w:color w:val="000000" w:themeColor="text1"/>
          <w:sz w:val="24"/>
          <w14:textFill>
            <w14:solidFill>
              <w14:schemeClr w14:val="tx1"/>
            </w14:solidFill>
          </w14:textFill>
        </w:rPr>
        <w:t>资产评估</w:t>
      </w:r>
      <w:r>
        <w:rPr>
          <w:rFonts w:hint="eastAsia"/>
          <w:b/>
          <w:color w:val="000000" w:themeColor="text1"/>
          <w:sz w:val="24"/>
          <w:lang w:eastAsia="zh-CN"/>
          <w14:textFill>
            <w14:solidFill>
              <w14:schemeClr w14:val="tx1"/>
            </w14:solidFill>
          </w14:textFill>
        </w:rPr>
        <w:t>明细</w:t>
      </w:r>
      <w:r>
        <w:rPr>
          <w:b/>
          <w:color w:val="000000" w:themeColor="text1"/>
          <w:sz w:val="24"/>
          <w14:textFill>
            <w14:solidFill>
              <w14:schemeClr w14:val="tx1"/>
            </w14:solidFill>
          </w14:textFill>
        </w:rPr>
        <w:t>表</w:t>
      </w:r>
    </w:p>
    <w:p>
      <w:pPr>
        <w:pStyle w:val="5"/>
        <w:spacing w:before="87" w:line="297" w:lineRule="auto"/>
        <w:jc w:val="both"/>
        <w:rPr>
          <w:rFonts w:ascii="Times New Roman" w:hAnsi="Times New Roman" w:cs="Times New Roman"/>
          <w:b/>
          <w:bCs/>
          <w:color w:val="000000" w:themeColor="text1"/>
          <w:sz w:val="20"/>
          <w:szCs w:val="20"/>
          <w:lang w:eastAsia="zh-CN"/>
          <w14:textFill>
            <w14:solidFill>
              <w14:schemeClr w14:val="tx1"/>
            </w14:solidFill>
          </w14:textFill>
        </w:rPr>
      </w:pPr>
      <w:r>
        <w:rPr>
          <w:rFonts w:hint="eastAsia" w:ascii="Times New Roman" w:hAnsi="Times New Roman" w:cs="Times New Roman"/>
          <w:b/>
          <w:bCs/>
          <w:color w:val="000000" w:themeColor="text1"/>
          <w:sz w:val="20"/>
          <w:szCs w:val="20"/>
          <w:lang w:eastAsia="zh-CN"/>
          <w14:textFill>
            <w14:solidFill>
              <w14:schemeClr w14:val="tx1"/>
            </w14:solidFill>
          </w14:textFill>
        </w:rPr>
        <w:t xml:space="preserve">被评估方：陈洪明                </w:t>
      </w:r>
      <w:r>
        <w:rPr>
          <w:rFonts w:hint="eastAsia" w:ascii="Times New Roman" w:hAnsi="Times New Roman" w:cs="Times New Roman"/>
          <w:b/>
          <w:bCs/>
          <w:color w:val="000000" w:themeColor="text1"/>
          <w:sz w:val="20"/>
          <w:szCs w:val="20"/>
          <w:lang w:val="en-US" w:eastAsia="zh-CN"/>
          <w14:textFill>
            <w14:solidFill>
              <w14:schemeClr w14:val="tx1"/>
            </w14:solidFill>
          </w14:textFill>
        </w:rPr>
        <w:t xml:space="preserve">                                </w:t>
      </w:r>
      <w:r>
        <w:rPr>
          <w:rFonts w:hint="eastAsia" w:ascii="Times New Roman" w:hAnsi="Times New Roman" w:cs="Times New Roman"/>
          <w:b/>
          <w:bCs/>
          <w:color w:val="000000" w:themeColor="text1"/>
          <w:sz w:val="20"/>
          <w:szCs w:val="20"/>
          <w:lang w:eastAsia="zh-CN"/>
          <w14:textFill>
            <w14:solidFill>
              <w14:schemeClr w14:val="tx1"/>
            </w14:solidFill>
          </w14:textFill>
        </w:rPr>
        <w:t xml:space="preserve"> 金额单位：人民币元</w:t>
      </w:r>
    </w:p>
    <w:tbl>
      <w:tblPr>
        <w:tblStyle w:val="13"/>
        <w:tblpPr w:leftFromText="180" w:rightFromText="180" w:vertAnchor="text" w:horzAnchor="page" w:tblpX="1879" w:tblpY="41"/>
        <w:tblOverlap w:val="never"/>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4"/>
        <w:gridCol w:w="2560"/>
        <w:gridCol w:w="2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534" w:type="dxa"/>
            <w:vAlign w:val="center"/>
          </w:tcPr>
          <w:p>
            <w:pPr>
              <w:widowControl w:val="0"/>
              <w:autoSpaceDE/>
              <w:autoSpaceDN/>
              <w:jc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名称</w:t>
            </w:r>
          </w:p>
        </w:tc>
        <w:tc>
          <w:tcPr>
            <w:tcW w:w="2560" w:type="dxa"/>
            <w:vAlign w:val="center"/>
          </w:tcPr>
          <w:p>
            <w:pPr>
              <w:widowControl w:val="0"/>
              <w:autoSpaceDE/>
              <w:autoSpaceDN/>
              <w:spacing w:line="380" w:lineRule="atLeast"/>
              <w:ind w:hanging="3"/>
              <w:jc w:val="cente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cs="Times New Roman"/>
                <w:color w:val="000000" w:themeColor="text1"/>
                <w:kern w:val="2"/>
                <w:sz w:val="24"/>
                <w:szCs w:val="24"/>
                <w:lang w:val="en-US" w:eastAsia="zh-CN" w:bidi="ar-SA"/>
                <w14:textFill>
                  <w14:solidFill>
                    <w14:schemeClr w14:val="tx1"/>
                  </w14:solidFill>
                </w14:textFill>
              </w:rPr>
              <w:t>面积</w:t>
            </w:r>
          </w:p>
        </w:tc>
        <w:tc>
          <w:tcPr>
            <w:tcW w:w="2425" w:type="dxa"/>
          </w:tcPr>
          <w:p>
            <w:pPr>
              <w:widowControl w:val="0"/>
              <w:autoSpaceDE/>
              <w:autoSpaceDN/>
              <w:spacing w:line="380" w:lineRule="atLeast"/>
              <w:ind w:left="-3"/>
              <w:jc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评估</w:t>
            </w:r>
            <w:r>
              <w:rPr>
                <w:rFonts w:hint="eastAsia" w:ascii="Times New Roman" w:hAnsi="Times New Roman" w:cs="Times New Roman"/>
                <w:color w:val="000000" w:themeColor="text1"/>
                <w:kern w:val="2"/>
                <w:sz w:val="24"/>
                <w:szCs w:val="24"/>
                <w:lang w:val="en-US" w:eastAsia="zh-CN" w:bidi="ar-SA"/>
                <w14:textFill>
                  <w14:solidFill>
                    <w14:schemeClr w14:val="tx1"/>
                  </w14:solidFill>
                </w14:textFill>
              </w:rPr>
              <w:t>价</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3534" w:type="dxa"/>
            <w:vAlign w:val="center"/>
          </w:tcPr>
          <w:p>
            <w:pPr>
              <w:keepNext w:val="0"/>
              <w:keepLines w:val="0"/>
              <w:widowControl/>
              <w:suppressLineNumbers w:val="0"/>
              <w:jc w:val="center"/>
              <w:textAlignment w:val="center"/>
              <w:rPr>
                <w:rFonts w:hint="default" w:ascii="宋体" w:eastAsia="宋体"/>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荟仕名苑11号楼6单元501室</w:t>
            </w:r>
          </w:p>
        </w:tc>
        <w:tc>
          <w:tcPr>
            <w:tcW w:w="2560"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138.88</w:t>
            </w:r>
          </w:p>
        </w:tc>
        <w:tc>
          <w:tcPr>
            <w:tcW w:w="2425" w:type="dxa"/>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cs="宋体"/>
                <w:i w:val="0"/>
                <w:color w:val="000000" w:themeColor="text1"/>
                <w:kern w:val="0"/>
                <w:sz w:val="20"/>
                <w:szCs w:val="20"/>
                <w:u w:val="none"/>
                <w:lang w:val="en-US" w:eastAsia="zh-CN" w:bidi="ar"/>
                <w14:textFill>
                  <w14:solidFill>
                    <w14:schemeClr w14:val="tx1"/>
                  </w14:solidFill>
                </w14:textFill>
              </w:rPr>
              <w:t>624960.00</w:t>
            </w:r>
          </w:p>
        </w:tc>
      </w:tr>
    </w:tbl>
    <w:p>
      <w:pPr>
        <w:pStyle w:val="3"/>
        <w:numPr>
          <w:ilvl w:val="0"/>
          <w:numId w:val="0"/>
        </w:numPr>
        <w:tabs>
          <w:tab w:val="left" w:pos="697"/>
        </w:tabs>
        <w:spacing w:before="234" w:line="223" w:lineRule="auto"/>
        <w:ind w:left="701" w:leftChars="0" w:right="0" w:rightChars="0" w:firstLine="256" w:firstLineChars="100"/>
        <w:outlineLvl w:val="0"/>
        <w:rPr>
          <w:rFonts w:hint="eastAsia"/>
          <w:color w:val="000000" w:themeColor="text1"/>
          <w:spacing w:val="-12"/>
          <w:highlight w:val="none"/>
          <w:lang w:val="en-US" w:eastAsia="zh-CN"/>
          <w14:textFill>
            <w14:solidFill>
              <w14:schemeClr w14:val="tx1"/>
            </w14:solidFill>
          </w14:textFill>
        </w:rPr>
      </w:pPr>
      <w:r>
        <w:rPr>
          <w:rFonts w:hint="eastAsia"/>
          <w:color w:val="000000" w:themeColor="text1"/>
          <w:spacing w:val="-12"/>
          <w:highlight w:val="none"/>
          <w:lang w:val="en-US" w:eastAsia="zh-CN"/>
          <w14:textFill>
            <w14:solidFill>
              <w14:schemeClr w14:val="tx1"/>
            </w14:solidFill>
          </w14:textFill>
        </w:rPr>
        <w:t>十一、特别事项说明</w:t>
      </w:r>
      <w:bookmarkEnd w:id="28"/>
    </w:p>
    <w:p>
      <w:pPr>
        <w:pStyle w:val="5"/>
        <w:numPr>
          <w:ilvl w:val="0"/>
          <w:numId w:val="0"/>
        </w:numPr>
        <w:spacing w:before="56" w:line="309" w:lineRule="auto"/>
        <w:ind w:right="0" w:rightChars="0" w:firstLine="516" w:firstLineChars="200"/>
        <w:jc w:val="both"/>
        <w:rPr>
          <w:rFonts w:hint="default"/>
          <w:color w:val="000000" w:themeColor="text1"/>
          <w:spacing w:val="-11"/>
          <w:highlight w:val="none"/>
          <w:lang w:val="en-US" w:eastAsia="zh-CN"/>
          <w14:textFill>
            <w14:solidFill>
              <w14:schemeClr w14:val="tx1"/>
            </w14:solidFill>
          </w14:textFill>
        </w:rPr>
      </w:pPr>
      <w:r>
        <w:rPr>
          <w:rFonts w:hint="default"/>
          <w:color w:val="000000" w:themeColor="text1"/>
          <w:spacing w:val="-11"/>
          <w:highlight w:val="none"/>
          <w:lang w:val="en-US" w:eastAsia="zh-CN"/>
          <w14:textFill>
            <w14:solidFill>
              <w14:schemeClr w14:val="tx1"/>
            </w14:solidFill>
          </w14:textFill>
        </w:rPr>
        <w:t>本评估报告书存在如下特别事项，提请报告使用者予以关注：</w:t>
      </w:r>
    </w:p>
    <w:p>
      <w:pPr>
        <w:pStyle w:val="5"/>
        <w:numPr>
          <w:ilvl w:val="0"/>
          <w:numId w:val="0"/>
        </w:numPr>
        <w:spacing w:before="56" w:line="309" w:lineRule="auto"/>
        <w:ind w:left="0" w:leftChars="0" w:right="0" w:rightChars="0" w:firstLine="516" w:firstLineChars="200"/>
        <w:jc w:val="both"/>
        <w:rPr>
          <w:rFonts w:hint="default"/>
          <w:color w:val="000000" w:themeColor="text1"/>
          <w:spacing w:val="-11"/>
          <w:highlight w:val="none"/>
          <w:lang w:val="en-US" w:eastAsia="zh-CN"/>
          <w14:textFill>
            <w14:solidFill>
              <w14:schemeClr w14:val="tx1"/>
            </w14:solidFill>
          </w14:textFill>
        </w:rPr>
      </w:pPr>
      <w:r>
        <w:rPr>
          <w:rFonts w:hint="default"/>
          <w:color w:val="000000" w:themeColor="text1"/>
          <w:spacing w:val="-11"/>
          <w:highlight w:val="none"/>
          <w:lang w:val="en-US" w:eastAsia="zh-CN"/>
          <w14:textFill>
            <w14:solidFill>
              <w14:schemeClr w14:val="tx1"/>
            </w14:solidFill>
          </w14:textFill>
        </w:rPr>
        <w:t>（一）遵循相关法律、法规，评估师仅对评估对象价值进行估算并发表专业意见，对评估对象的法律权属状况给与必要的关注，但不对评估对象的法律权属做任何形式的保证，本评估报告的结论仅为本次评估目的服务，不能作为确认产权的依据；</w:t>
      </w:r>
    </w:p>
    <w:p>
      <w:pPr>
        <w:pStyle w:val="5"/>
        <w:numPr>
          <w:ilvl w:val="0"/>
          <w:numId w:val="0"/>
        </w:numPr>
        <w:spacing w:before="56" w:line="309" w:lineRule="auto"/>
        <w:ind w:left="0" w:leftChars="0" w:right="0" w:rightChars="0" w:firstLine="516" w:firstLineChars="200"/>
        <w:jc w:val="both"/>
        <w:rPr>
          <w:rFonts w:hint="default"/>
          <w:color w:val="000000" w:themeColor="text1"/>
          <w:spacing w:val="-11"/>
          <w:highlight w:val="none"/>
          <w:lang w:val="en-US" w:eastAsia="zh-CN"/>
          <w14:textFill>
            <w14:solidFill>
              <w14:schemeClr w14:val="tx1"/>
            </w14:solidFill>
          </w14:textFill>
        </w:rPr>
      </w:pPr>
      <w:r>
        <w:rPr>
          <w:rFonts w:hint="default"/>
          <w:color w:val="000000" w:themeColor="text1"/>
          <w:spacing w:val="-11"/>
          <w:highlight w:val="none"/>
          <w:lang w:val="en-US" w:eastAsia="zh-CN"/>
          <w14:textFill>
            <w14:solidFill>
              <w14:schemeClr w14:val="tx1"/>
            </w14:solidFill>
          </w14:textFill>
        </w:rPr>
        <w:t>（二）提供必要的资料并保证所提供资料的真实性、合法性和完整性，恰当使用评估报告是委托方和当事方的责任。本评估报告中涉及的资产状况原始资料及相关产权证明文件、财务数据及有关资料由委托方及被评估单位提供，委托方及被评估单位对上述资料的真实性、合法性、准确性及有效性已做出书面承诺；</w:t>
      </w:r>
    </w:p>
    <w:p>
      <w:pPr>
        <w:pStyle w:val="5"/>
        <w:numPr>
          <w:ilvl w:val="0"/>
          <w:numId w:val="0"/>
        </w:numPr>
        <w:spacing w:before="56" w:line="309" w:lineRule="auto"/>
        <w:ind w:left="0" w:leftChars="0" w:right="0" w:rightChars="0" w:firstLine="516" w:firstLineChars="200"/>
        <w:jc w:val="both"/>
        <w:rPr>
          <w:rFonts w:hint="default"/>
          <w:color w:val="000000" w:themeColor="text1"/>
          <w:spacing w:val="-11"/>
          <w:highlight w:val="none"/>
          <w:lang w:val="en-US" w:eastAsia="zh-CN"/>
          <w14:textFill>
            <w14:solidFill>
              <w14:schemeClr w14:val="tx1"/>
            </w14:solidFill>
          </w14:textFill>
        </w:rPr>
      </w:pPr>
      <w:r>
        <w:rPr>
          <w:rFonts w:hint="default"/>
          <w:color w:val="000000" w:themeColor="text1"/>
          <w:spacing w:val="-11"/>
          <w:highlight w:val="none"/>
          <w:lang w:val="en-US" w:eastAsia="zh-CN"/>
          <w14:textFill>
            <w14:solidFill>
              <w14:schemeClr w14:val="tx1"/>
            </w14:solidFill>
          </w14:textFill>
        </w:rPr>
        <w:t>（三）本评估结论未考虑评估值增减可能产生的纳税义务变化。在评估固定资产时，我们未考虑该等资产所欠付的抵押、担保以及如果该等资产出售，则应承担的费用和税项等。</w:t>
      </w:r>
    </w:p>
    <w:p>
      <w:pPr>
        <w:pStyle w:val="5"/>
        <w:numPr>
          <w:ilvl w:val="0"/>
          <w:numId w:val="0"/>
        </w:numPr>
        <w:spacing w:before="56" w:line="309" w:lineRule="auto"/>
        <w:ind w:right="0" w:rightChars="0" w:firstLine="516" w:firstLineChars="200"/>
        <w:jc w:val="both"/>
        <w:rPr>
          <w:rFonts w:hint="default"/>
          <w:color w:val="000000" w:themeColor="text1"/>
          <w:spacing w:val="-11"/>
          <w:highlight w:val="none"/>
          <w:lang w:val="en-US" w:eastAsia="zh-CN"/>
          <w14:textFill>
            <w14:solidFill>
              <w14:schemeClr w14:val="tx1"/>
            </w14:solidFill>
          </w14:textFill>
        </w:rPr>
      </w:pPr>
      <w:r>
        <w:rPr>
          <w:rFonts w:hint="default"/>
          <w:color w:val="000000" w:themeColor="text1"/>
          <w:spacing w:val="-11"/>
          <w:highlight w:val="none"/>
          <w:lang w:val="en-US" w:eastAsia="zh-CN"/>
          <w14:textFill>
            <w14:solidFill>
              <w14:schemeClr w14:val="tx1"/>
            </w14:solidFill>
          </w14:textFill>
        </w:rPr>
        <w:t>（</w:t>
      </w:r>
      <w:r>
        <w:rPr>
          <w:rFonts w:hint="eastAsia"/>
          <w:color w:val="000000" w:themeColor="text1"/>
          <w:spacing w:val="-11"/>
          <w:highlight w:val="none"/>
          <w:lang w:val="en-US" w:eastAsia="zh-CN"/>
          <w14:textFill>
            <w14:solidFill>
              <w14:schemeClr w14:val="tx1"/>
            </w14:solidFill>
          </w14:textFill>
        </w:rPr>
        <w:t>四</w:t>
      </w:r>
      <w:r>
        <w:rPr>
          <w:rFonts w:hint="default"/>
          <w:color w:val="000000" w:themeColor="text1"/>
          <w:spacing w:val="-11"/>
          <w:highlight w:val="none"/>
          <w:lang w:val="en-US" w:eastAsia="zh-CN"/>
          <w14:textFill>
            <w14:solidFill>
              <w14:schemeClr w14:val="tx1"/>
            </w14:solidFill>
          </w14:textFill>
        </w:rPr>
        <w:t>）评估中由于条件所限，未对委估的设备进行各项性能指标测试，评估人员实施了现场勘察对其外观、品牌、型号等进行核查，测试其质量完好。</w:t>
      </w:r>
    </w:p>
    <w:p>
      <w:pPr>
        <w:pStyle w:val="5"/>
        <w:numPr>
          <w:ilvl w:val="0"/>
          <w:numId w:val="0"/>
        </w:numPr>
        <w:spacing w:before="56" w:line="309" w:lineRule="auto"/>
        <w:ind w:left="0" w:leftChars="0" w:right="0" w:rightChars="0" w:firstLine="516" w:firstLineChars="200"/>
        <w:jc w:val="both"/>
        <w:rPr>
          <w:rFonts w:hint="default"/>
          <w:color w:val="000000" w:themeColor="text1"/>
          <w:spacing w:val="-11"/>
          <w:highlight w:val="none"/>
          <w:lang w:val="en-US" w:eastAsia="zh-CN"/>
          <w14:textFill>
            <w14:solidFill>
              <w14:schemeClr w14:val="tx1"/>
            </w14:solidFill>
          </w14:textFill>
        </w:rPr>
      </w:pPr>
      <w:r>
        <w:rPr>
          <w:rFonts w:hint="default"/>
          <w:color w:val="000000" w:themeColor="text1"/>
          <w:spacing w:val="-11"/>
          <w:highlight w:val="none"/>
          <w:lang w:val="en-US" w:eastAsia="zh-CN"/>
          <w14:textFill>
            <w14:solidFill>
              <w14:schemeClr w14:val="tx1"/>
            </w14:solidFill>
          </w14:textFill>
        </w:rPr>
        <w:t>（</w:t>
      </w:r>
      <w:r>
        <w:rPr>
          <w:rFonts w:hint="eastAsia"/>
          <w:color w:val="000000" w:themeColor="text1"/>
          <w:spacing w:val="-11"/>
          <w:highlight w:val="none"/>
          <w:lang w:val="en-US" w:eastAsia="zh-CN"/>
          <w14:textFill>
            <w14:solidFill>
              <w14:schemeClr w14:val="tx1"/>
            </w14:solidFill>
          </w14:textFill>
        </w:rPr>
        <w:t>五</w:t>
      </w:r>
      <w:r>
        <w:rPr>
          <w:rFonts w:hint="default"/>
          <w:color w:val="000000" w:themeColor="text1"/>
          <w:spacing w:val="-11"/>
          <w:highlight w:val="none"/>
          <w:lang w:val="en-US" w:eastAsia="zh-CN"/>
          <w14:textFill>
            <w14:solidFill>
              <w14:schemeClr w14:val="tx1"/>
            </w14:solidFill>
          </w14:textFill>
        </w:rPr>
        <w:t>）评估基准日期后重大事项：</w:t>
      </w:r>
    </w:p>
    <w:p>
      <w:pPr>
        <w:pStyle w:val="5"/>
        <w:numPr>
          <w:ilvl w:val="0"/>
          <w:numId w:val="0"/>
        </w:numPr>
        <w:spacing w:before="56" w:line="309" w:lineRule="auto"/>
        <w:ind w:right="0" w:rightChars="0" w:firstLine="516" w:firstLineChars="200"/>
        <w:jc w:val="both"/>
        <w:rPr>
          <w:rFonts w:hint="default"/>
          <w:color w:val="000000" w:themeColor="text1"/>
          <w:spacing w:val="-11"/>
          <w:highlight w:val="none"/>
          <w:lang w:val="en-US" w:eastAsia="zh-CN"/>
          <w14:textFill>
            <w14:solidFill>
              <w14:schemeClr w14:val="tx1"/>
            </w14:solidFill>
          </w14:textFill>
        </w:rPr>
      </w:pPr>
      <w:r>
        <w:rPr>
          <w:rFonts w:hint="default"/>
          <w:color w:val="000000" w:themeColor="text1"/>
          <w:spacing w:val="-11"/>
          <w:highlight w:val="none"/>
          <w:lang w:val="en-US" w:eastAsia="zh-CN"/>
          <w14:textFill>
            <w14:solidFill>
              <w14:schemeClr w14:val="tx1"/>
            </w14:solidFill>
          </w14:textFill>
        </w:rPr>
        <w:t>1．评估基准日期后事项系评估基准日至评估报告提出日期之间发生的重大事项；</w:t>
      </w:r>
    </w:p>
    <w:p>
      <w:pPr>
        <w:pStyle w:val="5"/>
        <w:numPr>
          <w:ilvl w:val="0"/>
          <w:numId w:val="0"/>
        </w:numPr>
        <w:spacing w:before="56" w:line="309" w:lineRule="auto"/>
        <w:ind w:left="0" w:leftChars="0" w:right="0" w:rightChars="0" w:firstLine="516" w:firstLineChars="200"/>
        <w:jc w:val="both"/>
        <w:rPr>
          <w:rFonts w:hint="default"/>
          <w:color w:val="000000" w:themeColor="text1"/>
          <w:spacing w:val="-11"/>
          <w:highlight w:val="none"/>
          <w:lang w:val="en-US" w:eastAsia="zh-CN"/>
          <w14:textFill>
            <w14:solidFill>
              <w14:schemeClr w14:val="tx1"/>
            </w14:solidFill>
          </w14:textFill>
        </w:rPr>
      </w:pPr>
      <w:r>
        <w:rPr>
          <w:rFonts w:hint="default"/>
          <w:color w:val="000000" w:themeColor="text1"/>
          <w:spacing w:val="-11"/>
          <w:highlight w:val="none"/>
          <w:lang w:val="en-US" w:eastAsia="zh-CN"/>
          <w14:textFill>
            <w14:solidFill>
              <w14:schemeClr w14:val="tx1"/>
            </w14:solidFill>
          </w14:textFill>
        </w:rPr>
        <w:t>2．在评估基准日后，当被评估资产因不可抗力而发生拆除、毁损、灭失，往来账款产生坏帐等影响资产价值的期后事项时，不能直接使用评估结论；</w:t>
      </w:r>
    </w:p>
    <w:p>
      <w:pPr>
        <w:pStyle w:val="5"/>
        <w:numPr>
          <w:ilvl w:val="0"/>
          <w:numId w:val="0"/>
        </w:numPr>
        <w:spacing w:before="56" w:line="309" w:lineRule="auto"/>
        <w:ind w:left="0" w:leftChars="0" w:right="0" w:rightChars="0" w:firstLine="516" w:firstLineChars="200"/>
        <w:jc w:val="both"/>
        <w:rPr>
          <w:rFonts w:hint="default"/>
          <w:color w:val="000000" w:themeColor="text1"/>
          <w:spacing w:val="-11"/>
          <w:highlight w:val="none"/>
          <w:lang w:val="en-US" w:eastAsia="zh-CN"/>
          <w14:textFill>
            <w14:solidFill>
              <w14:schemeClr w14:val="tx1"/>
            </w14:solidFill>
          </w14:textFill>
        </w:rPr>
      </w:pPr>
      <w:r>
        <w:rPr>
          <w:rFonts w:hint="default"/>
          <w:color w:val="000000" w:themeColor="text1"/>
          <w:spacing w:val="-11"/>
          <w:highlight w:val="none"/>
          <w:lang w:val="en-US" w:eastAsia="zh-CN"/>
          <w14:textFill>
            <w14:solidFill>
              <w14:schemeClr w14:val="tx1"/>
            </w14:solidFill>
          </w14:textFill>
        </w:rPr>
        <w:t>（</w:t>
      </w:r>
      <w:r>
        <w:rPr>
          <w:rFonts w:hint="eastAsia"/>
          <w:color w:val="000000" w:themeColor="text1"/>
          <w:spacing w:val="-11"/>
          <w:highlight w:val="none"/>
          <w:lang w:val="en-US" w:eastAsia="zh-CN"/>
          <w14:textFill>
            <w14:solidFill>
              <w14:schemeClr w14:val="tx1"/>
            </w14:solidFill>
          </w14:textFill>
        </w:rPr>
        <w:t>六</w:t>
      </w:r>
      <w:r>
        <w:rPr>
          <w:rFonts w:hint="default"/>
          <w:color w:val="000000" w:themeColor="text1"/>
          <w:spacing w:val="-11"/>
          <w:highlight w:val="none"/>
          <w:lang w:val="en-US" w:eastAsia="zh-CN"/>
          <w14:textFill>
            <w14:solidFill>
              <w14:schemeClr w14:val="tx1"/>
            </w14:solidFill>
          </w14:textFill>
        </w:rPr>
        <w:t>）本报告含有若干附件，附件构成报告之重要组成部分，与本报告正文具有同等效力。</w:t>
      </w:r>
      <w:bookmarkStart w:id="29" w:name="_Toc323374002"/>
      <w:bookmarkStart w:id="30" w:name="_Toc91384129"/>
    </w:p>
    <w:p>
      <w:pPr>
        <w:pStyle w:val="3"/>
        <w:numPr>
          <w:ilvl w:val="0"/>
          <w:numId w:val="0"/>
        </w:numPr>
        <w:tabs>
          <w:tab w:val="left" w:pos="697"/>
        </w:tabs>
        <w:spacing w:before="234" w:line="223" w:lineRule="auto"/>
        <w:ind w:left="701" w:leftChars="0" w:right="0" w:rightChars="0"/>
        <w:outlineLvl w:val="0"/>
        <w:rPr>
          <w:rFonts w:hint="eastAsia"/>
          <w:color w:val="000000" w:themeColor="text1"/>
          <w:spacing w:val="-12"/>
          <w:highlight w:val="none"/>
          <w:lang w:val="en-US" w:eastAsia="zh-CN"/>
          <w14:textFill>
            <w14:solidFill>
              <w14:schemeClr w14:val="tx1"/>
            </w14:solidFill>
          </w14:textFill>
        </w:rPr>
      </w:pPr>
      <w:bookmarkStart w:id="31" w:name="_Toc29441"/>
      <w:r>
        <w:rPr>
          <w:rFonts w:hint="eastAsia"/>
          <w:color w:val="000000" w:themeColor="text1"/>
          <w:spacing w:val="-12"/>
          <w:highlight w:val="none"/>
          <w:lang w:val="en-US" w:eastAsia="zh-CN"/>
          <w14:textFill>
            <w14:solidFill>
              <w14:schemeClr w14:val="tx1"/>
            </w14:solidFill>
          </w14:textFill>
        </w:rPr>
        <w:t>十二、评估报告使用限制说明</w:t>
      </w:r>
      <w:bookmarkEnd w:id="29"/>
      <w:bookmarkEnd w:id="30"/>
      <w:bookmarkEnd w:id="31"/>
    </w:p>
    <w:p>
      <w:pPr>
        <w:pStyle w:val="5"/>
        <w:numPr>
          <w:ilvl w:val="0"/>
          <w:numId w:val="0"/>
        </w:numPr>
        <w:spacing w:before="56" w:line="309" w:lineRule="auto"/>
        <w:ind w:right="0" w:rightChars="0" w:firstLine="516" w:firstLineChars="200"/>
        <w:jc w:val="both"/>
        <w:rPr>
          <w:rFonts w:hint="default"/>
          <w:color w:val="000000" w:themeColor="text1"/>
          <w:spacing w:val="-11"/>
          <w:highlight w:val="none"/>
          <w:lang w:val="en-US" w:eastAsia="zh-CN"/>
          <w14:textFill>
            <w14:solidFill>
              <w14:schemeClr w14:val="tx1"/>
            </w14:solidFill>
          </w14:textFill>
        </w:rPr>
      </w:pPr>
      <w:r>
        <w:rPr>
          <w:rFonts w:hint="default"/>
          <w:color w:val="000000" w:themeColor="text1"/>
          <w:spacing w:val="-11"/>
          <w:highlight w:val="none"/>
          <w:lang w:val="en-US" w:eastAsia="zh-CN"/>
          <w14:textFill>
            <w14:solidFill>
              <w14:schemeClr w14:val="tx1"/>
            </w14:solidFill>
          </w14:textFill>
        </w:rPr>
        <w:t>本评估报告有如下使用限制：</w:t>
      </w:r>
    </w:p>
    <w:p>
      <w:pPr>
        <w:pStyle w:val="5"/>
        <w:numPr>
          <w:ilvl w:val="0"/>
          <w:numId w:val="0"/>
        </w:numPr>
        <w:spacing w:before="56" w:line="309" w:lineRule="auto"/>
        <w:ind w:left="0" w:leftChars="0" w:right="0" w:rightChars="0" w:firstLine="516" w:firstLineChars="200"/>
        <w:jc w:val="both"/>
        <w:rPr>
          <w:rFonts w:hint="default"/>
          <w:color w:val="000000" w:themeColor="text1"/>
          <w:spacing w:val="-11"/>
          <w:highlight w:val="none"/>
          <w:lang w:val="en-US" w:eastAsia="zh-CN"/>
          <w14:textFill>
            <w14:solidFill>
              <w14:schemeClr w14:val="tx1"/>
            </w14:solidFill>
          </w14:textFill>
        </w:rPr>
      </w:pPr>
      <w:r>
        <w:rPr>
          <w:rFonts w:hint="default"/>
          <w:color w:val="000000" w:themeColor="text1"/>
          <w:spacing w:val="-11"/>
          <w:highlight w:val="none"/>
          <w:lang w:val="en-US" w:eastAsia="zh-CN"/>
          <w14:textFill>
            <w14:solidFill>
              <w14:schemeClr w14:val="tx1"/>
            </w14:solidFill>
          </w14:textFill>
        </w:rPr>
        <w:t>（一）本报告仅供委托方用于评估目的对应的经济行为和送交资产评估行政主管部门审查使用；评估报告书的使用权归委托方所有。</w:t>
      </w:r>
    </w:p>
    <w:p>
      <w:pPr>
        <w:pStyle w:val="5"/>
        <w:numPr>
          <w:ilvl w:val="0"/>
          <w:numId w:val="0"/>
        </w:numPr>
        <w:spacing w:before="56" w:line="309" w:lineRule="auto"/>
        <w:ind w:left="0" w:leftChars="0" w:right="0" w:rightChars="0" w:firstLine="516" w:firstLineChars="200"/>
        <w:jc w:val="both"/>
        <w:rPr>
          <w:rFonts w:hint="default"/>
          <w:color w:val="000000" w:themeColor="text1"/>
          <w:spacing w:val="-11"/>
          <w:highlight w:val="none"/>
          <w:lang w:val="en-US" w:eastAsia="zh-CN"/>
          <w14:textFill>
            <w14:solidFill>
              <w14:schemeClr w14:val="tx1"/>
            </w14:solidFill>
          </w14:textFill>
        </w:rPr>
      </w:pPr>
      <w:r>
        <w:rPr>
          <w:rFonts w:hint="default"/>
          <w:color w:val="000000" w:themeColor="text1"/>
          <w:spacing w:val="-11"/>
          <w:highlight w:val="none"/>
          <w:lang w:val="en-US" w:eastAsia="zh-CN"/>
          <w14:textFill>
            <w14:solidFill>
              <w14:schemeClr w14:val="tx1"/>
            </w14:solidFill>
          </w14:textFill>
        </w:rPr>
        <w:t>（二）本报告只能由评估报告载明的评估报告使用者使用。</w:t>
      </w:r>
    </w:p>
    <w:p>
      <w:pPr>
        <w:pStyle w:val="5"/>
        <w:numPr>
          <w:ilvl w:val="0"/>
          <w:numId w:val="0"/>
        </w:numPr>
        <w:spacing w:before="56" w:line="309" w:lineRule="auto"/>
        <w:ind w:left="0" w:leftChars="0" w:right="0" w:rightChars="0" w:firstLine="516" w:firstLineChars="200"/>
        <w:jc w:val="both"/>
        <w:rPr>
          <w:rFonts w:hint="default"/>
          <w:color w:val="000000" w:themeColor="text1"/>
          <w:spacing w:val="-11"/>
          <w:highlight w:val="none"/>
          <w:lang w:val="en-US" w:eastAsia="zh-CN"/>
          <w14:textFill>
            <w14:solidFill>
              <w14:schemeClr w14:val="tx1"/>
            </w14:solidFill>
          </w14:textFill>
        </w:rPr>
      </w:pPr>
      <w:r>
        <w:rPr>
          <w:rFonts w:hint="default"/>
          <w:color w:val="000000" w:themeColor="text1"/>
          <w:spacing w:val="-11"/>
          <w:highlight w:val="none"/>
          <w:lang w:val="en-US" w:eastAsia="zh-CN"/>
          <w14:textFill>
            <w14:solidFill>
              <w14:schemeClr w14:val="tx1"/>
            </w14:solidFill>
          </w14:textFill>
        </w:rPr>
        <w:t>（三）未经我公司同意委托方不得将报告的全部或部分内容发表于任何公开媒体上；对不当使用评估结果于其他经济行为而形成的结果，本公司不承担任何法律责任。</w:t>
      </w:r>
    </w:p>
    <w:p>
      <w:pPr>
        <w:pStyle w:val="5"/>
        <w:tabs>
          <w:tab w:val="left" w:pos="660"/>
        </w:tabs>
        <w:spacing w:before="86" w:line="297" w:lineRule="auto"/>
        <w:ind w:left="0" w:leftChars="0" w:right="-31" w:firstLine="0" w:firstLineChars="0"/>
        <w:jc w:val="both"/>
        <w:rPr>
          <w:color w:val="000000" w:themeColor="text1"/>
          <w:highlight w:val="none"/>
          <w:lang w:eastAsia="zh-CN"/>
          <w14:textFill>
            <w14:solidFill>
              <w14:schemeClr w14:val="tx1"/>
            </w14:solidFill>
          </w14:textFill>
        </w:rPr>
      </w:pPr>
      <w:r>
        <w:rPr>
          <w:rFonts w:hint="default"/>
          <w:color w:val="000000" w:themeColor="text1"/>
          <w:spacing w:val="-11"/>
          <w:highlight w:val="none"/>
          <w:lang w:val="en-US" w:eastAsia="zh-CN"/>
          <w14:textFill>
            <w14:solidFill>
              <w14:schemeClr w14:val="tx1"/>
            </w14:solidFill>
          </w14:textFill>
        </w:rPr>
        <w:t>（四）</w:t>
      </w:r>
      <w:r>
        <w:rPr>
          <w:color w:val="000000" w:themeColor="text1"/>
          <w:highlight w:val="none"/>
          <w:lang w:eastAsia="zh-CN"/>
          <w14:textFill>
            <w14:solidFill>
              <w14:schemeClr w14:val="tx1"/>
            </w14:solidFill>
          </w14:textFill>
        </w:rPr>
        <w:t>资产评估报告的评估结论使用有效期为自评估基准日</w:t>
      </w:r>
      <w:r>
        <w:rPr>
          <w:rFonts w:hint="eastAsia"/>
          <w:color w:val="000000" w:themeColor="text1"/>
          <w:highlight w:val="none"/>
          <w:lang w:eastAsia="zh-CN"/>
          <w14:textFill>
            <w14:solidFill>
              <w14:schemeClr w14:val="tx1"/>
            </w14:solidFill>
          </w14:textFill>
        </w:rPr>
        <w:t>2021年11月04日至202</w:t>
      </w: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lang w:eastAsia="zh-CN"/>
          <w14:textFill>
            <w14:solidFill>
              <w14:schemeClr w14:val="tx1"/>
            </w14:solidFill>
          </w14:textFill>
        </w:rPr>
        <w:t>年</w:t>
      </w:r>
      <w:r>
        <w:rPr>
          <w:rFonts w:hint="eastAsia"/>
          <w:color w:val="000000" w:themeColor="text1"/>
          <w:highlight w:val="none"/>
          <w:lang w:val="en-US" w:eastAsia="zh-CN"/>
          <w14:textFill>
            <w14:solidFill>
              <w14:schemeClr w14:val="tx1"/>
            </w14:solidFill>
          </w14:textFill>
        </w:rPr>
        <w:t>11</w:t>
      </w:r>
      <w:r>
        <w:rPr>
          <w:rFonts w:hint="eastAsia"/>
          <w:color w:val="000000" w:themeColor="text1"/>
          <w:highlight w:val="none"/>
          <w:lang w:eastAsia="zh-CN"/>
          <w14:textFill>
            <w14:solidFill>
              <w14:schemeClr w14:val="tx1"/>
            </w14:solidFill>
          </w14:textFill>
        </w:rPr>
        <w:t>月</w:t>
      </w:r>
      <w:r>
        <w:rPr>
          <w:rFonts w:hint="eastAsia"/>
          <w:color w:val="000000" w:themeColor="text1"/>
          <w:highlight w:val="none"/>
          <w:lang w:val="en-US" w:eastAsia="zh-CN"/>
          <w14:textFill>
            <w14:solidFill>
              <w14:schemeClr w14:val="tx1"/>
            </w14:solidFill>
          </w14:textFill>
        </w:rPr>
        <w:t>03</w:t>
      </w:r>
      <w:r>
        <w:rPr>
          <w:rFonts w:hint="eastAsia"/>
          <w:color w:val="000000" w:themeColor="text1"/>
          <w:highlight w:val="none"/>
          <w:lang w:eastAsia="zh-CN"/>
          <w14:textFill>
            <w14:solidFill>
              <w14:schemeClr w14:val="tx1"/>
            </w14:solidFill>
          </w14:textFill>
        </w:rPr>
        <w:t>日</w:t>
      </w:r>
      <w:r>
        <w:rPr>
          <w:color w:val="000000" w:themeColor="text1"/>
          <w:highlight w:val="none"/>
          <w:lang w:eastAsia="zh-CN"/>
          <w14:textFill>
            <w14:solidFill>
              <w14:schemeClr w14:val="tx1"/>
            </w14:solidFill>
          </w14:textFill>
        </w:rPr>
        <w:t>。委托人或者其他资产评估报告使用人应当在载明的评估结论使用有效期内使用资产评估报告。</w:t>
      </w:r>
    </w:p>
    <w:p>
      <w:pPr>
        <w:pStyle w:val="5"/>
        <w:numPr>
          <w:ilvl w:val="0"/>
          <w:numId w:val="0"/>
        </w:numPr>
        <w:spacing w:before="56" w:line="309" w:lineRule="auto"/>
        <w:ind w:left="0" w:leftChars="0" w:right="0" w:rightChars="0" w:firstLine="516" w:firstLineChars="200"/>
        <w:jc w:val="both"/>
        <w:rPr>
          <w:rFonts w:ascii="Times New Roman"/>
          <w:color w:val="000000" w:themeColor="text1"/>
          <w:sz w:val="24"/>
          <w:highlight w:val="none"/>
          <w14:textFill>
            <w14:solidFill>
              <w14:schemeClr w14:val="tx1"/>
            </w14:solidFill>
          </w14:textFill>
        </w:rPr>
      </w:pPr>
      <w:r>
        <w:rPr>
          <w:rFonts w:hint="default"/>
          <w:color w:val="000000" w:themeColor="text1"/>
          <w:spacing w:val="-11"/>
          <w:highlight w:val="none"/>
          <w:lang w:val="en-US" w:eastAsia="zh-CN"/>
          <w14:textFill>
            <w14:solidFill>
              <w14:schemeClr w14:val="tx1"/>
            </w14:solidFill>
          </w14:textFill>
        </w:rPr>
        <w:t>（五）本评估报告包含若干附件及资产评估说明和评估明细表，所有附件及资产评估说明和评估明细表亦构成本报告之重要组成部分，与本报告正文具有同等的法律效力。本资产评估报告书一经涂改、换页、复印，将自动失效。</w:t>
      </w:r>
    </w:p>
    <w:p>
      <w:pPr>
        <w:pStyle w:val="3"/>
        <w:numPr>
          <w:ilvl w:val="0"/>
          <w:numId w:val="0"/>
        </w:numPr>
        <w:tabs>
          <w:tab w:val="left" w:pos="697"/>
        </w:tabs>
        <w:spacing w:before="234" w:line="223" w:lineRule="auto"/>
        <w:ind w:right="0" w:rightChars="0" w:firstLine="512" w:firstLineChars="200"/>
        <w:outlineLvl w:val="0"/>
        <w:rPr>
          <w:rFonts w:hint="eastAsia"/>
          <w:color w:val="000000" w:themeColor="text1"/>
          <w:spacing w:val="-12"/>
          <w:highlight w:val="none"/>
          <w:lang w:val="en-US" w:eastAsia="zh-CN"/>
          <w14:textFill>
            <w14:solidFill>
              <w14:schemeClr w14:val="tx1"/>
            </w14:solidFill>
          </w14:textFill>
        </w:rPr>
      </w:pPr>
      <w:bookmarkStart w:id="32" w:name="_Toc26643"/>
      <w:r>
        <w:rPr>
          <w:rFonts w:hint="eastAsia"/>
          <w:color w:val="000000" w:themeColor="text1"/>
          <w:spacing w:val="-12"/>
          <w:highlight w:val="none"/>
          <w:lang w:val="en-US" w:eastAsia="zh-CN"/>
          <w14:textFill>
            <w14:solidFill>
              <w14:schemeClr w14:val="tx1"/>
            </w14:solidFill>
          </w14:textFill>
        </w:rPr>
        <w:t>十三、资产评估报告日</w:t>
      </w:r>
      <w:bookmarkEnd w:id="32"/>
    </w:p>
    <w:p>
      <w:pPr>
        <w:pStyle w:val="5"/>
        <w:keepNext w:val="0"/>
        <w:keepLines w:val="0"/>
        <w:pageBreakBefore w:val="0"/>
        <w:widowControl w:val="0"/>
        <w:tabs>
          <w:tab w:val="left" w:pos="660"/>
        </w:tabs>
        <w:kinsoku/>
        <w:wordWrap/>
        <w:overflowPunct/>
        <w:topLinePunct w:val="0"/>
        <w:autoSpaceDE w:val="0"/>
        <w:autoSpaceDN w:val="0"/>
        <w:bidi w:val="0"/>
        <w:adjustRightInd/>
        <w:snapToGrid/>
        <w:spacing w:before="1" w:line="298" w:lineRule="auto"/>
        <w:ind w:right="-28" w:firstLine="532" w:firstLineChars="200"/>
        <w:textAlignment w:val="auto"/>
        <w:rPr>
          <w:rFonts w:hint="eastAsia" w:ascii="宋体" w:hAnsi="宋体" w:eastAsia="宋体" w:cs="宋体"/>
          <w:color w:val="000000" w:themeColor="text1"/>
          <w:spacing w:val="-7"/>
          <w:sz w:val="28"/>
          <w:szCs w:val="28"/>
          <w:highlight w:val="none"/>
          <w:lang w:val="en-US" w:eastAsia="zh-CN" w:bidi="ar-SA"/>
          <w14:textFill>
            <w14:solidFill>
              <w14:schemeClr w14:val="tx1"/>
            </w14:solidFill>
          </w14:textFill>
        </w:rPr>
      </w:pPr>
      <w:bookmarkStart w:id="33" w:name="_Toc21500"/>
    </w:p>
    <w:p>
      <w:pPr>
        <w:pStyle w:val="5"/>
        <w:keepNext w:val="0"/>
        <w:keepLines w:val="0"/>
        <w:pageBreakBefore w:val="0"/>
        <w:widowControl w:val="0"/>
        <w:tabs>
          <w:tab w:val="left" w:pos="660"/>
        </w:tabs>
        <w:kinsoku/>
        <w:wordWrap/>
        <w:overflowPunct/>
        <w:topLinePunct w:val="0"/>
        <w:autoSpaceDE w:val="0"/>
        <w:autoSpaceDN w:val="0"/>
        <w:bidi w:val="0"/>
        <w:adjustRightInd/>
        <w:snapToGrid/>
        <w:spacing w:before="1" w:line="298" w:lineRule="auto"/>
        <w:ind w:right="-28" w:firstLine="532" w:firstLineChars="200"/>
        <w:textAlignment w:val="auto"/>
        <w:rPr>
          <w:rFonts w:ascii="宋体" w:hAnsi="宋体" w:eastAsia="宋体" w:cs="宋体"/>
          <w:color w:val="000000" w:themeColor="text1"/>
          <w:spacing w:val="-7"/>
          <w:sz w:val="28"/>
          <w:szCs w:val="28"/>
          <w:highlight w:val="none"/>
          <w:lang w:val="en-US" w:eastAsia="zh-CN" w:bidi="ar-SA"/>
          <w14:textFill>
            <w14:solidFill>
              <w14:schemeClr w14:val="tx1"/>
            </w14:solidFill>
          </w14:textFill>
        </w:rPr>
      </w:pPr>
      <w:r>
        <w:rPr>
          <w:rFonts w:hint="eastAsia" w:ascii="宋体" w:hAnsi="宋体" w:eastAsia="宋体" w:cs="宋体"/>
          <w:color w:val="000000" w:themeColor="text1"/>
          <w:spacing w:val="-7"/>
          <w:sz w:val="28"/>
          <w:szCs w:val="28"/>
          <w:highlight w:val="none"/>
          <w:lang w:val="en-US" w:eastAsia="zh-CN" w:bidi="ar-SA"/>
          <w14:textFill>
            <w14:solidFill>
              <w14:schemeClr w14:val="tx1"/>
            </w14:solidFill>
          </w14:textFill>
        </w:rPr>
        <w:t>评估报告日为注册资产评估师形成最终专业意见的日期，</w:t>
      </w:r>
      <w:r>
        <w:rPr>
          <w:rFonts w:ascii="宋体" w:hAnsi="宋体" w:eastAsia="宋体" w:cs="宋体"/>
          <w:color w:val="000000" w:themeColor="text1"/>
          <w:spacing w:val="-7"/>
          <w:sz w:val="28"/>
          <w:szCs w:val="28"/>
          <w:highlight w:val="none"/>
          <w:lang w:val="en-US" w:eastAsia="zh-CN" w:bidi="ar-SA"/>
          <w14:textFill>
            <w14:solidFill>
              <w14:schemeClr w14:val="tx1"/>
            </w14:solidFill>
          </w14:textFill>
        </w:rPr>
        <w:t>本资产评估报告提出日期</w:t>
      </w:r>
      <w:r>
        <w:rPr>
          <w:rFonts w:hint="eastAsia" w:ascii="宋体" w:hAnsi="宋体" w:eastAsia="宋体" w:cs="宋体"/>
          <w:color w:val="000000" w:themeColor="text1"/>
          <w:spacing w:val="-7"/>
          <w:sz w:val="28"/>
          <w:szCs w:val="28"/>
          <w:highlight w:val="none"/>
          <w:lang w:val="en-US" w:eastAsia="zh-CN" w:bidi="ar-SA"/>
          <w14:textFill>
            <w14:solidFill>
              <w14:schemeClr w14:val="tx1"/>
            </w14:solidFill>
          </w14:textFill>
        </w:rPr>
        <w:t>为</w:t>
      </w:r>
      <w:r>
        <w:rPr>
          <w:rFonts w:hint="eastAsia" w:cs="宋体"/>
          <w:color w:val="000000" w:themeColor="text1"/>
          <w:spacing w:val="-7"/>
          <w:sz w:val="28"/>
          <w:szCs w:val="28"/>
          <w:highlight w:val="none"/>
          <w:lang w:val="en-US" w:eastAsia="zh-CN" w:bidi="ar-SA"/>
          <w14:textFill>
            <w14:solidFill>
              <w14:schemeClr w14:val="tx1"/>
            </w14:solidFill>
          </w14:textFill>
        </w:rPr>
        <w:t>2021年11月18日</w:t>
      </w:r>
      <w:r>
        <w:rPr>
          <w:rFonts w:ascii="宋体" w:hAnsi="宋体" w:eastAsia="宋体" w:cs="宋体"/>
          <w:color w:val="000000" w:themeColor="text1"/>
          <w:spacing w:val="-7"/>
          <w:sz w:val="28"/>
          <w:szCs w:val="28"/>
          <w:highlight w:val="none"/>
          <w:lang w:val="en-US" w:eastAsia="zh-CN" w:bidi="ar-SA"/>
          <w14:textFill>
            <w14:solidFill>
              <w14:schemeClr w14:val="tx1"/>
            </w14:solidFill>
          </w14:textFill>
        </w:rPr>
        <w:t>。</w:t>
      </w:r>
    </w:p>
    <w:p>
      <w:pPr>
        <w:pStyle w:val="3"/>
        <w:numPr>
          <w:ilvl w:val="0"/>
          <w:numId w:val="0"/>
        </w:numPr>
        <w:tabs>
          <w:tab w:val="left" w:pos="697"/>
        </w:tabs>
        <w:spacing w:before="234" w:line="223" w:lineRule="auto"/>
        <w:ind w:right="0" w:rightChars="0" w:firstLine="512" w:firstLineChars="200"/>
        <w:outlineLvl w:val="0"/>
        <w:rPr>
          <w:rFonts w:hint="eastAsia"/>
          <w:color w:val="000000" w:themeColor="text1"/>
          <w:spacing w:val="-12"/>
          <w:highlight w:val="none"/>
          <w:lang w:val="en-US" w:eastAsia="zh-CN"/>
          <w14:textFill>
            <w14:solidFill>
              <w14:schemeClr w14:val="tx1"/>
            </w14:solidFill>
          </w14:textFill>
        </w:rPr>
      </w:pPr>
    </w:p>
    <w:p>
      <w:pPr>
        <w:pStyle w:val="3"/>
        <w:numPr>
          <w:ilvl w:val="0"/>
          <w:numId w:val="0"/>
        </w:numPr>
        <w:tabs>
          <w:tab w:val="left" w:pos="697"/>
        </w:tabs>
        <w:spacing w:before="234" w:line="223" w:lineRule="auto"/>
        <w:ind w:right="0" w:rightChars="0" w:firstLine="512" w:firstLineChars="200"/>
        <w:outlineLvl w:val="0"/>
        <w:rPr>
          <w:rFonts w:hint="eastAsia"/>
          <w:color w:val="000000" w:themeColor="text1"/>
          <w:spacing w:val="-12"/>
          <w:highlight w:val="none"/>
          <w:lang w:val="en-US" w:eastAsia="zh-CN"/>
          <w14:textFill>
            <w14:solidFill>
              <w14:schemeClr w14:val="tx1"/>
            </w14:solidFill>
          </w14:textFill>
        </w:rPr>
      </w:pPr>
    </w:p>
    <w:p>
      <w:pPr>
        <w:pStyle w:val="3"/>
        <w:numPr>
          <w:ilvl w:val="0"/>
          <w:numId w:val="0"/>
        </w:numPr>
        <w:tabs>
          <w:tab w:val="left" w:pos="697"/>
        </w:tabs>
        <w:spacing w:before="234" w:line="223" w:lineRule="auto"/>
        <w:ind w:right="0" w:rightChars="0" w:firstLine="512" w:firstLineChars="200"/>
        <w:outlineLvl w:val="0"/>
        <w:rPr>
          <w:rFonts w:hint="eastAsia"/>
          <w:color w:val="000000" w:themeColor="text1"/>
          <w:spacing w:val="-12"/>
          <w:highlight w:val="none"/>
          <w:lang w:val="en-US" w:eastAsia="zh-CN"/>
          <w14:textFill>
            <w14:solidFill>
              <w14:schemeClr w14:val="tx1"/>
            </w14:solidFill>
          </w14:textFill>
        </w:rPr>
      </w:pPr>
    </w:p>
    <w:p>
      <w:pPr>
        <w:pStyle w:val="3"/>
        <w:numPr>
          <w:ilvl w:val="0"/>
          <w:numId w:val="0"/>
        </w:numPr>
        <w:tabs>
          <w:tab w:val="left" w:pos="697"/>
        </w:tabs>
        <w:spacing w:before="234" w:line="223" w:lineRule="auto"/>
        <w:ind w:right="0" w:rightChars="0" w:firstLine="512" w:firstLineChars="200"/>
        <w:outlineLvl w:val="0"/>
        <w:rPr>
          <w:rFonts w:hint="eastAsia"/>
          <w:color w:val="000000" w:themeColor="text1"/>
          <w:spacing w:val="-12"/>
          <w:highlight w:val="none"/>
          <w:lang w:val="en-US" w:eastAsia="zh-CN"/>
          <w14:textFill>
            <w14:solidFill>
              <w14:schemeClr w14:val="tx1"/>
            </w14:solidFill>
          </w14:textFill>
        </w:rPr>
      </w:pPr>
    </w:p>
    <w:p>
      <w:pPr>
        <w:pStyle w:val="3"/>
        <w:numPr>
          <w:ilvl w:val="0"/>
          <w:numId w:val="0"/>
        </w:numPr>
        <w:tabs>
          <w:tab w:val="left" w:pos="697"/>
        </w:tabs>
        <w:spacing w:before="234" w:line="223" w:lineRule="auto"/>
        <w:ind w:right="0" w:rightChars="0" w:firstLine="512" w:firstLineChars="200"/>
        <w:outlineLvl w:val="0"/>
        <w:rPr>
          <w:rFonts w:hint="eastAsia"/>
          <w:color w:val="000000" w:themeColor="text1"/>
          <w:spacing w:val="-12"/>
          <w:highlight w:val="none"/>
          <w:lang w:val="en-US" w:eastAsia="zh-CN"/>
          <w14:textFill>
            <w14:solidFill>
              <w14:schemeClr w14:val="tx1"/>
            </w14:solidFill>
          </w14:textFill>
        </w:rPr>
      </w:pPr>
      <w:r>
        <w:rPr>
          <w:rFonts w:hint="eastAsia"/>
          <w:color w:val="000000" w:themeColor="text1"/>
          <w:spacing w:val="-12"/>
          <w:highlight w:val="none"/>
          <w:lang w:val="en-US" w:eastAsia="zh-CN"/>
          <w14:textFill>
            <w14:solidFill>
              <w14:schemeClr w14:val="tx1"/>
            </w14:solidFill>
          </w14:textFill>
        </w:rPr>
        <w:t>十四、资产评估专业人员签名和资产评估机构印章</w:t>
      </w:r>
      <w:bookmarkEnd w:id="33"/>
    </w:p>
    <w:p>
      <w:pPr>
        <w:pStyle w:val="5"/>
        <w:spacing w:before="0" w:after="0" w:line="240" w:lineRule="auto"/>
        <w:ind w:right="0" w:rightChars="0" w:firstLine="560" w:firstLineChars="200"/>
        <w:jc w:val="left"/>
        <w:rPr>
          <w:rFonts w:hint="eastAsia"/>
          <w:color w:val="000000" w:themeColor="text1"/>
          <w:highlight w:val="none"/>
          <w:lang w:eastAsia="zh-CN"/>
          <w14:textFill>
            <w14:solidFill>
              <w14:schemeClr w14:val="tx1"/>
            </w14:solidFill>
          </w14:textFill>
        </w:rPr>
      </w:pPr>
    </w:p>
    <w:p>
      <w:pPr>
        <w:pStyle w:val="5"/>
        <w:spacing w:before="0" w:after="0" w:line="240" w:lineRule="auto"/>
        <w:ind w:right="0" w:rightChars="0" w:firstLine="560" w:firstLineChars="200"/>
        <w:jc w:val="left"/>
        <w:rPr>
          <w:rFonts w:hint="eastAsia"/>
          <w:color w:val="000000" w:themeColor="text1"/>
          <w:highlight w:val="none"/>
          <w:lang w:eastAsia="zh-CN"/>
          <w14:textFill>
            <w14:solidFill>
              <w14:schemeClr w14:val="tx1"/>
            </w14:solidFill>
          </w14:textFill>
        </w:rPr>
      </w:pPr>
    </w:p>
    <w:p>
      <w:pPr>
        <w:pStyle w:val="5"/>
        <w:spacing w:before="0" w:after="0" w:line="240" w:lineRule="auto"/>
        <w:ind w:right="0" w:rightChars="0" w:firstLine="560" w:firstLineChars="200"/>
        <w:jc w:val="left"/>
        <w:rPr>
          <w:rFonts w:hint="eastAsia"/>
          <w:color w:val="000000" w:themeColor="text1"/>
          <w:highlight w:val="none"/>
          <w:lang w:eastAsia="zh-CN"/>
          <w14:textFill>
            <w14:solidFill>
              <w14:schemeClr w14:val="tx1"/>
            </w14:solidFill>
          </w14:textFill>
        </w:rPr>
      </w:pPr>
    </w:p>
    <w:p>
      <w:pPr>
        <w:pStyle w:val="5"/>
        <w:spacing w:before="0" w:after="0" w:line="240" w:lineRule="auto"/>
        <w:ind w:right="0" w:rightChars="0" w:firstLine="560" w:firstLineChars="200"/>
        <w:jc w:val="left"/>
        <w:rPr>
          <w:rFonts w:hint="eastAsia"/>
          <w:color w:val="000000" w:themeColor="text1"/>
          <w:highlight w:val="none"/>
          <w:lang w:eastAsia="zh-CN"/>
          <w14:textFill>
            <w14:solidFill>
              <w14:schemeClr w14:val="tx1"/>
            </w14:solidFill>
          </w14:textFill>
        </w:rPr>
      </w:pPr>
    </w:p>
    <w:p>
      <w:pPr>
        <w:pStyle w:val="5"/>
        <w:spacing w:before="0" w:after="0" w:line="240" w:lineRule="auto"/>
        <w:ind w:right="0" w:rightChars="0" w:firstLine="560" w:firstLineChars="200"/>
        <w:jc w:val="left"/>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评估机构法定代表人：</w:t>
      </w:r>
    </w:p>
    <w:p>
      <w:pPr>
        <w:pStyle w:val="5"/>
        <w:spacing w:before="0" w:after="0" w:line="240" w:lineRule="auto"/>
        <w:ind w:right="0" w:rightChars="0" w:firstLine="560" w:firstLineChars="200"/>
        <w:jc w:val="left"/>
        <w:rPr>
          <w:rFonts w:hint="eastAsia"/>
          <w:color w:val="000000" w:themeColor="text1"/>
          <w:highlight w:val="none"/>
          <w:lang w:eastAsia="zh-CN"/>
          <w14:textFill>
            <w14:solidFill>
              <w14:schemeClr w14:val="tx1"/>
            </w14:solidFill>
          </w14:textFill>
        </w:rPr>
      </w:pPr>
    </w:p>
    <w:p>
      <w:pPr>
        <w:pStyle w:val="5"/>
        <w:spacing w:before="0" w:after="0" w:line="240" w:lineRule="auto"/>
        <w:ind w:right="0" w:rightChars="0" w:firstLine="560" w:firstLineChars="200"/>
        <w:jc w:val="left"/>
        <w:rPr>
          <w:rFonts w:hint="eastAsia"/>
          <w:color w:val="000000" w:themeColor="text1"/>
          <w:highlight w:val="none"/>
          <w:lang w:eastAsia="zh-CN"/>
          <w14:textFill>
            <w14:solidFill>
              <w14:schemeClr w14:val="tx1"/>
            </w14:solidFill>
          </w14:textFill>
        </w:rPr>
      </w:pPr>
    </w:p>
    <w:p>
      <w:pPr>
        <w:pStyle w:val="5"/>
        <w:spacing w:before="0" w:after="0" w:line="240" w:lineRule="auto"/>
        <w:ind w:right="0" w:rightChars="0" w:firstLine="560" w:firstLineChars="200"/>
        <w:jc w:val="left"/>
        <w:rPr>
          <w:rFonts w:hint="eastAsia"/>
          <w:color w:val="000000" w:themeColor="text1"/>
          <w:highlight w:val="none"/>
          <w:lang w:eastAsia="zh-CN"/>
          <w14:textFill>
            <w14:solidFill>
              <w14:schemeClr w14:val="tx1"/>
            </w14:solidFill>
          </w14:textFill>
        </w:rPr>
      </w:pPr>
    </w:p>
    <w:p>
      <w:pPr>
        <w:pStyle w:val="5"/>
        <w:spacing w:before="0" w:after="0" w:line="240" w:lineRule="auto"/>
        <w:ind w:right="0" w:rightChars="0" w:firstLine="560" w:firstLineChars="200"/>
        <w:jc w:val="left"/>
        <w:rPr>
          <w:rFonts w:hint="eastAsia"/>
          <w:color w:val="000000" w:themeColor="text1"/>
          <w:highlight w:val="none"/>
          <w:lang w:eastAsia="zh-CN"/>
          <w14:textFill>
            <w14:solidFill>
              <w14:schemeClr w14:val="tx1"/>
            </w14:solidFill>
          </w14:textFill>
        </w:rPr>
      </w:pPr>
    </w:p>
    <w:p>
      <w:pPr>
        <w:pStyle w:val="5"/>
        <w:spacing w:before="0" w:after="0" w:line="240" w:lineRule="auto"/>
        <w:ind w:right="0" w:rightChars="0" w:firstLine="560" w:firstLineChars="200"/>
        <w:jc w:val="left"/>
        <w:rPr>
          <w:rFonts w:hint="eastAsia"/>
          <w:color w:val="000000" w:themeColor="text1"/>
          <w:highlight w:val="none"/>
          <w:lang w:eastAsia="zh-CN"/>
          <w14:textFill>
            <w14:solidFill>
              <w14:schemeClr w14:val="tx1"/>
            </w14:solidFill>
          </w14:textFill>
        </w:rPr>
      </w:pPr>
    </w:p>
    <w:p>
      <w:pPr>
        <w:pStyle w:val="5"/>
        <w:spacing w:before="0" w:after="0" w:line="240" w:lineRule="auto"/>
        <w:ind w:right="0" w:rightChars="0" w:firstLine="560" w:firstLineChars="200"/>
        <w:jc w:val="left"/>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资产评估师：</w:t>
      </w:r>
    </w:p>
    <w:p>
      <w:pPr>
        <w:pStyle w:val="5"/>
        <w:spacing w:before="0" w:after="0" w:line="240" w:lineRule="auto"/>
        <w:ind w:right="0" w:rightChars="0" w:firstLine="560" w:firstLineChars="200"/>
        <w:jc w:val="left"/>
        <w:rPr>
          <w:rFonts w:hint="eastAsia"/>
          <w:color w:val="000000" w:themeColor="text1"/>
          <w:highlight w:val="none"/>
          <w:lang w:eastAsia="zh-CN"/>
          <w14:textFill>
            <w14:solidFill>
              <w14:schemeClr w14:val="tx1"/>
            </w14:solidFill>
          </w14:textFill>
        </w:rPr>
      </w:pPr>
    </w:p>
    <w:p>
      <w:pPr>
        <w:pStyle w:val="5"/>
        <w:spacing w:before="0" w:after="0" w:line="240" w:lineRule="auto"/>
        <w:ind w:right="0" w:rightChars="0" w:firstLine="560" w:firstLineChars="200"/>
        <w:jc w:val="left"/>
        <w:rPr>
          <w:rFonts w:hint="eastAsia"/>
          <w:color w:val="000000" w:themeColor="text1"/>
          <w:highlight w:val="none"/>
          <w:lang w:eastAsia="zh-CN"/>
          <w14:textFill>
            <w14:solidFill>
              <w14:schemeClr w14:val="tx1"/>
            </w14:solidFill>
          </w14:textFill>
        </w:rPr>
      </w:pPr>
    </w:p>
    <w:p>
      <w:pPr>
        <w:pStyle w:val="5"/>
        <w:spacing w:before="0" w:after="0" w:line="240" w:lineRule="auto"/>
        <w:ind w:right="0" w:rightChars="0" w:firstLine="560" w:firstLineChars="200"/>
        <w:jc w:val="left"/>
        <w:rPr>
          <w:rFonts w:hint="eastAsia"/>
          <w:color w:val="000000" w:themeColor="text1"/>
          <w:highlight w:val="none"/>
          <w:lang w:eastAsia="zh-CN"/>
          <w14:textFill>
            <w14:solidFill>
              <w14:schemeClr w14:val="tx1"/>
            </w14:solidFill>
          </w14:textFill>
        </w:rPr>
      </w:pPr>
    </w:p>
    <w:p>
      <w:pPr>
        <w:pStyle w:val="5"/>
        <w:spacing w:before="0" w:after="0" w:line="240" w:lineRule="auto"/>
        <w:ind w:right="0" w:rightChars="0" w:firstLine="560" w:firstLineChars="200"/>
        <w:jc w:val="left"/>
        <w:rPr>
          <w:rFonts w:hint="eastAsia"/>
          <w:color w:val="000000" w:themeColor="text1"/>
          <w:highlight w:val="none"/>
          <w:lang w:eastAsia="zh-CN"/>
          <w14:textFill>
            <w14:solidFill>
              <w14:schemeClr w14:val="tx1"/>
            </w14:solidFill>
          </w14:textFill>
        </w:rPr>
      </w:pPr>
    </w:p>
    <w:p>
      <w:pPr>
        <w:pStyle w:val="5"/>
        <w:spacing w:before="0" w:after="0" w:line="240" w:lineRule="auto"/>
        <w:ind w:right="0" w:rightChars="0" w:firstLine="560" w:firstLineChars="200"/>
        <w:jc w:val="left"/>
        <w:rPr>
          <w:rFonts w:hint="eastAsia"/>
          <w:color w:val="000000" w:themeColor="text1"/>
          <w:highlight w:val="none"/>
          <w:lang w:eastAsia="zh-CN"/>
          <w14:textFill>
            <w14:solidFill>
              <w14:schemeClr w14:val="tx1"/>
            </w14:solidFill>
          </w14:textFill>
        </w:rPr>
      </w:pPr>
    </w:p>
    <w:p>
      <w:pPr>
        <w:pStyle w:val="5"/>
        <w:spacing w:before="0" w:after="0" w:line="240" w:lineRule="auto"/>
        <w:ind w:right="0" w:rightChars="0" w:firstLine="560" w:firstLineChars="200"/>
        <w:jc w:val="left"/>
        <w:rPr>
          <w:rFonts w:hint="eastAsia"/>
          <w:color w:val="000000" w:themeColor="text1"/>
          <w:highlight w:val="none"/>
          <w:lang w:eastAsia="zh-CN"/>
          <w14:textFill>
            <w14:solidFill>
              <w14:schemeClr w14:val="tx1"/>
            </w14:solidFill>
          </w14:textFill>
        </w:rPr>
      </w:pPr>
    </w:p>
    <w:p>
      <w:pPr>
        <w:pStyle w:val="5"/>
        <w:spacing w:before="0" w:after="0" w:line="240" w:lineRule="auto"/>
        <w:ind w:right="0" w:rightChars="0" w:firstLine="560" w:firstLineChars="200"/>
        <w:jc w:val="left"/>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资产评估师：</w:t>
      </w:r>
    </w:p>
    <w:p>
      <w:pPr>
        <w:pStyle w:val="5"/>
        <w:spacing w:before="0" w:after="0" w:line="240" w:lineRule="auto"/>
        <w:ind w:right="0" w:rightChars="0"/>
        <w:jc w:val="left"/>
        <w:rPr>
          <w:rFonts w:hint="eastAsia"/>
          <w:color w:val="000000" w:themeColor="text1"/>
          <w:highlight w:val="none"/>
          <w:lang w:eastAsia="zh-CN"/>
          <w14:textFill>
            <w14:solidFill>
              <w14:schemeClr w14:val="tx1"/>
            </w14:solidFill>
          </w14:textFill>
        </w:rPr>
      </w:pPr>
    </w:p>
    <w:p>
      <w:pPr>
        <w:spacing w:line="360" w:lineRule="auto"/>
        <w:ind w:right="0" w:rightChars="0" w:firstLine="4779" w:firstLineChars="1700"/>
        <w:jc w:val="both"/>
        <w:outlineLvl w:val="0"/>
        <w:rPr>
          <w:b/>
          <w:color w:val="000000" w:themeColor="text1"/>
          <w:sz w:val="28"/>
          <w:szCs w:val="28"/>
          <w:highlight w:val="none"/>
          <w14:textFill>
            <w14:solidFill>
              <w14:schemeClr w14:val="tx1"/>
            </w14:solidFill>
          </w14:textFill>
        </w:rPr>
      </w:pPr>
      <w:bookmarkStart w:id="34" w:name="_Toc5971"/>
    </w:p>
    <w:p>
      <w:pPr>
        <w:spacing w:line="360" w:lineRule="auto"/>
        <w:ind w:right="0" w:rightChars="0" w:firstLine="4779" w:firstLineChars="1700"/>
        <w:jc w:val="both"/>
        <w:outlineLvl w:val="0"/>
        <w:rPr>
          <w:b/>
          <w:color w:val="000000" w:themeColor="text1"/>
          <w:sz w:val="28"/>
          <w:szCs w:val="28"/>
          <w:highlight w:val="none"/>
          <w14:textFill>
            <w14:solidFill>
              <w14:schemeClr w14:val="tx1"/>
            </w14:solidFill>
          </w14:textFill>
        </w:rPr>
      </w:pPr>
    </w:p>
    <w:p>
      <w:pPr>
        <w:spacing w:line="360" w:lineRule="auto"/>
        <w:ind w:right="0" w:rightChars="0" w:firstLine="4779" w:firstLineChars="1700"/>
        <w:jc w:val="both"/>
        <w:outlineLvl w:val="0"/>
        <w:rPr>
          <w:b/>
          <w:color w:val="000000" w:themeColor="text1"/>
          <w:sz w:val="28"/>
          <w:szCs w:val="28"/>
          <w:highlight w:val="none"/>
          <w14:textFill>
            <w14:solidFill>
              <w14:schemeClr w14:val="tx1"/>
            </w14:solidFill>
          </w14:textFill>
        </w:rPr>
      </w:pPr>
    </w:p>
    <w:p>
      <w:pPr>
        <w:spacing w:line="360" w:lineRule="auto"/>
        <w:ind w:right="0" w:rightChars="0" w:firstLine="4779" w:firstLineChars="1700"/>
        <w:jc w:val="both"/>
        <w:outlineLvl w:val="0"/>
        <w:rPr>
          <w:b/>
          <w:color w:val="000000" w:themeColor="text1"/>
          <w:sz w:val="28"/>
          <w:szCs w:val="28"/>
          <w:highlight w:val="none"/>
          <w14:textFill>
            <w14:solidFill>
              <w14:schemeClr w14:val="tx1"/>
            </w14:solidFill>
          </w14:textFill>
        </w:rPr>
      </w:pPr>
    </w:p>
    <w:p>
      <w:pPr>
        <w:spacing w:line="360" w:lineRule="auto"/>
        <w:ind w:right="0" w:rightChars="0" w:firstLine="4779" w:firstLineChars="1700"/>
        <w:jc w:val="both"/>
        <w:outlineLvl w:val="0"/>
        <w:rPr>
          <w:b/>
          <w:color w:val="000000" w:themeColor="text1"/>
          <w:sz w:val="28"/>
          <w:szCs w:val="28"/>
          <w:highlight w:val="none"/>
          <w14:textFill>
            <w14:solidFill>
              <w14:schemeClr w14:val="tx1"/>
            </w14:solidFill>
          </w14:textFill>
        </w:rPr>
      </w:pPr>
      <w:r>
        <w:rPr>
          <w:b/>
          <w:color w:val="000000" w:themeColor="text1"/>
          <w:sz w:val="28"/>
          <w:szCs w:val="28"/>
          <w:highlight w:val="none"/>
          <w14:textFill>
            <w14:solidFill>
              <w14:schemeClr w14:val="tx1"/>
            </w14:solidFill>
          </w14:textFill>
        </w:rPr>
        <w:t>寿光圣诚资产评估有限公司</w:t>
      </w:r>
      <w:bookmarkEnd w:id="34"/>
    </w:p>
    <w:p>
      <w:pPr>
        <w:pStyle w:val="5"/>
        <w:numPr>
          <w:ilvl w:val="0"/>
          <w:numId w:val="0"/>
        </w:numPr>
        <w:spacing w:before="56" w:line="309" w:lineRule="auto"/>
        <w:ind w:right="0" w:rightChars="0" w:firstLine="562" w:firstLineChars="200"/>
        <w:jc w:val="both"/>
        <w:rPr>
          <w:rFonts w:hint="default"/>
          <w:color w:val="000000" w:themeColor="text1"/>
          <w:spacing w:val="-11"/>
          <w:highlight w:val="none"/>
          <w:lang w:val="en-US" w:eastAsia="zh-CN"/>
          <w14:textFill>
            <w14:solidFill>
              <w14:schemeClr w14:val="tx1"/>
            </w14:solidFill>
          </w14:textFill>
        </w:rPr>
        <w:sectPr>
          <w:headerReference r:id="rId9" w:type="default"/>
          <w:type w:val="continuous"/>
          <w:pgSz w:w="11910" w:h="16840"/>
          <w:pgMar w:top="1380" w:right="1490" w:bottom="700" w:left="1620" w:header="720" w:footer="720" w:gutter="0"/>
          <w:pgBorders>
            <w:top w:val="none" w:sz="0" w:space="0"/>
            <w:left w:val="none" w:sz="0" w:space="0"/>
            <w:bottom w:val="none" w:sz="0" w:space="0"/>
            <w:right w:val="none" w:sz="0" w:space="0"/>
          </w:pgBorders>
          <w:pgNumType w:fmt="decimal"/>
          <w:cols w:space="720" w:num="1"/>
        </w:sectPr>
      </w:pPr>
      <w:r>
        <w:rPr>
          <w:rFonts w:hint="eastAsia"/>
          <w:b/>
          <w:color w:val="000000" w:themeColor="text1"/>
          <w:sz w:val="28"/>
          <w:szCs w:val="28"/>
          <w:highlight w:val="none"/>
          <w14:textFill>
            <w14:solidFill>
              <w14:schemeClr w14:val="tx1"/>
            </w14:solidFill>
          </w14:textFill>
        </w:rPr>
        <w:t xml:space="preserve">                          </w:t>
      </w:r>
      <w:r>
        <w:rPr>
          <w:rFonts w:hint="eastAsia"/>
          <w:b/>
          <w:color w:val="000000" w:themeColor="text1"/>
          <w:sz w:val="28"/>
          <w:szCs w:val="28"/>
          <w:highlight w:val="none"/>
          <w:lang w:val="en-US" w:eastAsia="zh-CN"/>
          <w14:textFill>
            <w14:solidFill>
              <w14:schemeClr w14:val="tx1"/>
            </w14:solidFill>
          </w14:textFill>
        </w:rPr>
        <w:t xml:space="preserve">    二〇二一年十一月十八日</w:t>
      </w:r>
    </w:p>
    <w:p>
      <w:pPr>
        <w:pStyle w:val="2"/>
        <w:spacing w:before="8"/>
        <w:ind w:right="99" w:rightChars="45"/>
        <w:jc w:val="center"/>
        <w:rPr>
          <w:color w:val="000000" w:themeColor="text1"/>
          <w:highlight w:val="none"/>
          <w:lang w:eastAsia="zh-CN"/>
          <w14:textFill>
            <w14:solidFill>
              <w14:schemeClr w14:val="tx1"/>
            </w14:solidFill>
          </w14:textFill>
        </w:rPr>
      </w:pPr>
      <w:bookmarkStart w:id="35" w:name="五、_评估基准日"/>
      <w:bookmarkEnd w:id="35"/>
      <w:bookmarkStart w:id="36" w:name="四、_价值类型"/>
      <w:bookmarkEnd w:id="36"/>
      <w:bookmarkStart w:id="37" w:name="_Toc16072"/>
      <w:r>
        <w:rPr>
          <w:color w:val="000000" w:themeColor="text1"/>
          <w:highlight w:val="none"/>
          <w:lang w:eastAsia="zh-CN"/>
          <w14:textFill>
            <w14:solidFill>
              <w14:schemeClr w14:val="tx1"/>
            </w14:solidFill>
          </w14:textFill>
        </w:rPr>
        <w:br w:type="textWrapping"/>
      </w:r>
      <w:r>
        <w:rPr>
          <w:color w:val="000000" w:themeColor="text1"/>
          <w:highlight w:val="none"/>
          <w:lang w:eastAsia="zh-CN"/>
          <w14:textFill>
            <w14:solidFill>
              <w14:schemeClr w14:val="tx1"/>
            </w14:solidFill>
          </w14:textFill>
        </w:rPr>
        <w:t>资产评估报告附件</w:t>
      </w:r>
      <w:bookmarkEnd w:id="37"/>
    </w:p>
    <w:p>
      <w:pPr>
        <w:pStyle w:val="5"/>
        <w:ind w:right="99" w:rightChars="45"/>
        <w:rPr>
          <w:rFonts w:ascii="黑体"/>
          <w:color w:val="000000" w:themeColor="text1"/>
          <w:sz w:val="30"/>
          <w:highlight w:val="none"/>
          <w:lang w:eastAsia="zh-CN"/>
          <w14:textFill>
            <w14:solidFill>
              <w14:schemeClr w14:val="tx1"/>
            </w14:solidFill>
          </w14:textFill>
        </w:rPr>
      </w:pPr>
    </w:p>
    <w:p>
      <w:pPr>
        <w:pStyle w:val="5"/>
        <w:ind w:right="99" w:rightChars="45"/>
        <w:rPr>
          <w:rFonts w:ascii="黑体"/>
          <w:color w:val="000000" w:themeColor="text1"/>
          <w:sz w:val="21"/>
          <w:highlight w:val="none"/>
          <w:lang w:eastAsia="zh-CN"/>
          <w14:textFill>
            <w14:solidFill>
              <w14:schemeClr w14:val="tx1"/>
            </w14:solidFill>
          </w14:textFill>
        </w:rPr>
      </w:pPr>
    </w:p>
    <w:p>
      <w:pPr>
        <w:pStyle w:val="5"/>
        <w:spacing w:line="357" w:lineRule="auto"/>
        <w:ind w:left="699" w:right="99" w:rightChars="45"/>
        <w:outlineLvl w:val="0"/>
        <w:rPr>
          <w:color w:val="000000" w:themeColor="text1"/>
          <w:highlight w:val="none"/>
          <w:lang w:eastAsia="zh-CN"/>
          <w14:textFill>
            <w14:solidFill>
              <w14:schemeClr w14:val="tx1"/>
            </w14:solidFill>
          </w14:textFill>
        </w:rPr>
      </w:pPr>
      <w:r>
        <w:rPr>
          <w:color w:val="000000" w:themeColor="text1"/>
          <w:highlight w:val="none"/>
          <w:lang w:eastAsia="zh-CN"/>
          <w14:textFill>
            <w14:solidFill>
              <w14:schemeClr w14:val="tx1"/>
            </w14:solidFill>
          </w14:textFill>
        </w:rPr>
        <w:t>附件一、与评估目的相对应的经济行为文件；</w:t>
      </w:r>
    </w:p>
    <w:p>
      <w:pPr>
        <w:pStyle w:val="5"/>
        <w:spacing w:before="41" w:line="357" w:lineRule="auto"/>
        <w:ind w:left="699" w:right="99" w:rightChars="45"/>
        <w:outlineLvl w:val="0"/>
        <w:rPr>
          <w:color w:val="000000" w:themeColor="text1"/>
          <w:highlight w:val="none"/>
          <w:lang w:eastAsia="zh-CN"/>
          <w14:textFill>
            <w14:solidFill>
              <w14:schemeClr w14:val="tx1"/>
            </w14:solidFill>
          </w14:textFill>
        </w:rPr>
      </w:pPr>
      <w:r>
        <w:rPr>
          <w:color w:val="000000" w:themeColor="text1"/>
          <w:highlight w:val="none"/>
          <w:lang w:eastAsia="zh-CN"/>
          <w14:textFill>
            <w14:solidFill>
              <w14:schemeClr w14:val="tx1"/>
            </w14:solidFill>
          </w14:textFill>
        </w:rPr>
        <w:t>附件</w:t>
      </w:r>
      <w:r>
        <w:rPr>
          <w:rFonts w:hint="eastAsia"/>
          <w:color w:val="000000" w:themeColor="text1"/>
          <w:highlight w:val="none"/>
          <w:lang w:eastAsia="zh-CN"/>
          <w14:textFill>
            <w14:solidFill>
              <w14:schemeClr w14:val="tx1"/>
            </w14:solidFill>
          </w14:textFill>
        </w:rPr>
        <w:t>二</w:t>
      </w:r>
      <w:r>
        <w:rPr>
          <w:color w:val="000000" w:themeColor="text1"/>
          <w:highlight w:val="none"/>
          <w:lang w:eastAsia="zh-CN"/>
          <w14:textFill>
            <w14:solidFill>
              <w14:schemeClr w14:val="tx1"/>
            </w14:solidFill>
          </w14:textFill>
        </w:rPr>
        <w:t>、委托人和被评估单位的承诺函；</w:t>
      </w:r>
    </w:p>
    <w:p>
      <w:pPr>
        <w:pStyle w:val="5"/>
        <w:spacing w:before="41" w:line="357" w:lineRule="auto"/>
        <w:ind w:right="99" w:rightChars="45" w:firstLine="560" w:firstLineChars="200"/>
        <w:outlineLvl w:val="0"/>
        <w:rPr>
          <w:color w:val="000000" w:themeColor="text1"/>
          <w:highlight w:val="none"/>
          <w:lang w:eastAsia="zh-CN"/>
          <w14:textFill>
            <w14:solidFill>
              <w14:schemeClr w14:val="tx1"/>
            </w14:solidFill>
          </w14:textFill>
        </w:rPr>
      </w:pPr>
      <w:r>
        <w:rPr>
          <w:color w:val="000000" w:themeColor="text1"/>
          <w:highlight w:val="none"/>
          <w:lang w:eastAsia="zh-CN"/>
          <w14:textFill>
            <w14:solidFill>
              <w14:schemeClr w14:val="tx1"/>
            </w14:solidFill>
          </w14:textFill>
        </w:rPr>
        <w:t xml:space="preserve"> 附件</w:t>
      </w:r>
      <w:r>
        <w:rPr>
          <w:rFonts w:hint="eastAsia"/>
          <w:color w:val="000000" w:themeColor="text1"/>
          <w:highlight w:val="none"/>
          <w:lang w:eastAsia="zh-CN"/>
          <w14:textFill>
            <w14:solidFill>
              <w14:schemeClr w14:val="tx1"/>
            </w14:solidFill>
          </w14:textFill>
        </w:rPr>
        <w:t>三</w:t>
      </w:r>
      <w:r>
        <w:rPr>
          <w:color w:val="000000" w:themeColor="text1"/>
          <w:highlight w:val="none"/>
          <w:lang w:eastAsia="zh-CN"/>
          <w14:textFill>
            <w14:solidFill>
              <w14:schemeClr w14:val="tx1"/>
            </w14:solidFill>
          </w14:textFill>
        </w:rPr>
        <w:t>、签名资产评估师的承诺函；</w:t>
      </w:r>
    </w:p>
    <w:p>
      <w:pPr>
        <w:pStyle w:val="5"/>
        <w:spacing w:before="41"/>
        <w:ind w:left="699" w:right="99" w:rightChars="45"/>
        <w:outlineLvl w:val="0"/>
        <w:rPr>
          <w:color w:val="000000" w:themeColor="text1"/>
          <w:highlight w:val="none"/>
          <w:lang w:eastAsia="zh-CN"/>
          <w14:textFill>
            <w14:solidFill>
              <w14:schemeClr w14:val="tx1"/>
            </w14:solidFill>
          </w14:textFill>
        </w:rPr>
      </w:pPr>
      <w:r>
        <w:rPr>
          <w:color w:val="000000" w:themeColor="text1"/>
          <w:highlight w:val="none"/>
          <w:lang w:eastAsia="zh-CN"/>
          <w14:textFill>
            <w14:solidFill>
              <w14:schemeClr w14:val="tx1"/>
            </w14:solidFill>
          </w14:textFill>
        </w:rPr>
        <w:t>附件</w:t>
      </w:r>
      <w:r>
        <w:rPr>
          <w:rFonts w:hint="eastAsia"/>
          <w:color w:val="000000" w:themeColor="text1"/>
          <w:highlight w:val="none"/>
          <w:lang w:eastAsia="zh-CN"/>
          <w14:textFill>
            <w14:solidFill>
              <w14:schemeClr w14:val="tx1"/>
            </w14:solidFill>
          </w14:textFill>
        </w:rPr>
        <w:t>四</w:t>
      </w:r>
      <w:r>
        <w:rPr>
          <w:color w:val="000000" w:themeColor="text1"/>
          <w:highlight w:val="none"/>
          <w:lang w:eastAsia="zh-CN"/>
          <w14:textFill>
            <w14:solidFill>
              <w14:schemeClr w14:val="tx1"/>
            </w14:solidFill>
          </w14:textFill>
        </w:rPr>
        <w:t>、</w:t>
      </w:r>
      <w:r>
        <w:rPr>
          <w:rFonts w:hint="eastAsia"/>
          <w:color w:val="000000" w:themeColor="text1"/>
          <w:highlight w:val="none"/>
          <w:lang w:eastAsia="zh-CN"/>
          <w14:textFill>
            <w14:solidFill>
              <w14:schemeClr w14:val="tx1"/>
            </w14:solidFill>
          </w14:textFill>
        </w:rPr>
        <w:t>寿光圣诚资产评估有限公司</w:t>
      </w:r>
      <w:r>
        <w:rPr>
          <w:color w:val="000000" w:themeColor="text1"/>
          <w:highlight w:val="none"/>
          <w:lang w:eastAsia="zh-CN"/>
          <w14:textFill>
            <w14:solidFill>
              <w14:schemeClr w14:val="tx1"/>
            </w14:solidFill>
          </w14:textFill>
        </w:rPr>
        <w:t>营业执照副本复印件；</w:t>
      </w:r>
    </w:p>
    <w:p>
      <w:pPr>
        <w:pStyle w:val="5"/>
        <w:spacing w:before="179" w:line="357" w:lineRule="auto"/>
        <w:ind w:left="140" w:right="99" w:rightChars="45" w:firstLine="559"/>
        <w:outlineLvl w:val="0"/>
        <w:rPr>
          <w:color w:val="000000" w:themeColor="text1"/>
          <w:highlight w:val="none"/>
          <w:lang w:eastAsia="zh-CN"/>
          <w14:textFill>
            <w14:solidFill>
              <w14:schemeClr w14:val="tx1"/>
            </w14:solidFill>
          </w14:textFill>
        </w:rPr>
      </w:pPr>
      <w:r>
        <w:rPr>
          <w:color w:val="000000" w:themeColor="text1"/>
          <w:highlight w:val="none"/>
          <w:lang w:eastAsia="zh-CN"/>
          <w14:textFill>
            <w14:solidFill>
              <w14:schemeClr w14:val="tx1"/>
            </w14:solidFill>
          </w14:textFill>
        </w:rPr>
        <w:t>附件</w:t>
      </w:r>
      <w:r>
        <w:rPr>
          <w:rFonts w:hint="eastAsia"/>
          <w:color w:val="000000" w:themeColor="text1"/>
          <w:highlight w:val="none"/>
          <w:lang w:eastAsia="zh-CN"/>
          <w14:textFill>
            <w14:solidFill>
              <w14:schemeClr w14:val="tx1"/>
            </w14:solidFill>
          </w14:textFill>
        </w:rPr>
        <w:t>五</w:t>
      </w:r>
      <w:r>
        <w:rPr>
          <w:color w:val="000000" w:themeColor="text1"/>
          <w:highlight w:val="none"/>
          <w:lang w:eastAsia="zh-CN"/>
          <w14:textFill>
            <w14:solidFill>
              <w14:schemeClr w14:val="tx1"/>
            </w14:solidFill>
          </w14:textFill>
        </w:rPr>
        <w:t>、</w:t>
      </w:r>
      <w:r>
        <w:rPr>
          <w:rFonts w:hint="eastAsia"/>
          <w:color w:val="000000" w:themeColor="text1"/>
          <w:highlight w:val="none"/>
          <w:lang w:eastAsia="zh-CN"/>
          <w14:textFill>
            <w14:solidFill>
              <w14:schemeClr w14:val="tx1"/>
            </w14:solidFill>
          </w14:textFill>
        </w:rPr>
        <w:t>签名资产评估师职业资格证书登记卡复印件；</w:t>
      </w:r>
    </w:p>
    <w:p>
      <w:pPr>
        <w:pStyle w:val="5"/>
        <w:spacing w:before="41" w:line="357" w:lineRule="auto"/>
        <w:ind w:left="699" w:right="99" w:rightChars="45"/>
        <w:outlineLvl w:val="0"/>
        <w:rPr>
          <w:color w:val="000000" w:themeColor="text1"/>
          <w:highlight w:val="none"/>
          <w:lang w:eastAsia="zh-CN"/>
          <w14:textFill>
            <w14:solidFill>
              <w14:schemeClr w14:val="tx1"/>
            </w14:solidFill>
          </w14:textFill>
        </w:rPr>
      </w:pPr>
      <w:r>
        <w:rPr>
          <w:color w:val="000000" w:themeColor="text1"/>
          <w:highlight w:val="none"/>
          <w:lang w:eastAsia="zh-CN"/>
          <w14:textFill>
            <w14:solidFill>
              <w14:schemeClr w14:val="tx1"/>
            </w14:solidFill>
          </w14:textFill>
        </w:rPr>
        <w:t>附件</w:t>
      </w:r>
      <w:r>
        <w:rPr>
          <w:rFonts w:hint="eastAsia"/>
          <w:color w:val="000000" w:themeColor="text1"/>
          <w:highlight w:val="none"/>
          <w:lang w:eastAsia="zh-CN"/>
          <w14:textFill>
            <w14:solidFill>
              <w14:schemeClr w14:val="tx1"/>
            </w14:solidFill>
          </w14:textFill>
        </w:rPr>
        <w:t>六</w:t>
      </w:r>
      <w:r>
        <w:rPr>
          <w:color w:val="000000" w:themeColor="text1"/>
          <w:highlight w:val="none"/>
          <w:lang w:eastAsia="zh-CN"/>
          <w14:textFill>
            <w14:solidFill>
              <w14:schemeClr w14:val="tx1"/>
            </w14:solidFill>
          </w14:textFill>
        </w:rPr>
        <w:t>、</w:t>
      </w:r>
      <w:r>
        <w:rPr>
          <w:rFonts w:hint="eastAsia" w:eastAsia="宋体"/>
          <w:color w:val="000000" w:themeColor="text1"/>
          <w:highlight w:val="none"/>
          <w:lang w:eastAsia="zh-CN"/>
          <w14:textFill>
            <w14:solidFill>
              <w14:schemeClr w14:val="tx1"/>
            </w14:solidFill>
          </w14:textFill>
        </w:rPr>
        <w:t>中国资产评估协会执业会员证书复印件</w:t>
      </w:r>
      <w:r>
        <w:rPr>
          <w:rFonts w:hint="eastAsia"/>
          <w:color w:val="000000" w:themeColor="text1"/>
          <w:highlight w:val="none"/>
          <w:lang w:eastAsia="zh-CN"/>
          <w14:textFill>
            <w14:solidFill>
              <w14:schemeClr w14:val="tx1"/>
            </w14:solidFill>
          </w14:textFill>
        </w:rPr>
        <w:t>；</w:t>
      </w:r>
    </w:p>
    <w:p>
      <w:pPr>
        <w:pStyle w:val="5"/>
        <w:spacing w:before="41" w:line="357" w:lineRule="auto"/>
        <w:ind w:left="699" w:right="99" w:rightChars="45"/>
        <w:outlineLvl w:val="0"/>
        <w:rPr>
          <w:color w:val="000000" w:themeColor="text1"/>
          <w:highlight w:val="none"/>
          <w:lang w:eastAsia="zh-CN"/>
          <w14:textFill>
            <w14:solidFill>
              <w14:schemeClr w14:val="tx1"/>
            </w14:solidFill>
          </w14:textFill>
        </w:rPr>
      </w:pPr>
      <w:r>
        <w:rPr>
          <w:color w:val="000000" w:themeColor="text1"/>
          <w:highlight w:val="none"/>
          <w:lang w:eastAsia="zh-CN"/>
          <w14:textFill>
            <w14:solidFill>
              <w14:schemeClr w14:val="tx1"/>
            </w14:solidFill>
          </w14:textFill>
        </w:rPr>
        <w:t>附件</w:t>
      </w:r>
      <w:r>
        <w:rPr>
          <w:rFonts w:hint="eastAsia"/>
          <w:color w:val="000000" w:themeColor="text1"/>
          <w:highlight w:val="none"/>
          <w:lang w:eastAsia="zh-CN"/>
          <w14:textFill>
            <w14:solidFill>
              <w14:schemeClr w14:val="tx1"/>
            </w14:solidFill>
          </w14:textFill>
        </w:rPr>
        <w:t>七</w:t>
      </w:r>
      <w:r>
        <w:rPr>
          <w:color w:val="000000" w:themeColor="text1"/>
          <w:highlight w:val="none"/>
          <w:lang w:eastAsia="zh-CN"/>
          <w14:textFill>
            <w14:solidFill>
              <w14:schemeClr w14:val="tx1"/>
            </w14:solidFill>
          </w14:textFill>
        </w:rPr>
        <w:t>、</w:t>
      </w:r>
      <w:r>
        <w:rPr>
          <w:rFonts w:hint="eastAsia"/>
          <w:color w:val="000000" w:themeColor="text1"/>
          <w:highlight w:val="none"/>
          <w:lang w:eastAsia="zh-CN"/>
          <w14:textFill>
            <w14:solidFill>
              <w14:schemeClr w14:val="tx1"/>
            </w14:solidFill>
          </w14:textFill>
        </w:rPr>
        <w:t>资产评估明细表；</w:t>
      </w:r>
    </w:p>
    <w:p>
      <w:pPr>
        <w:pStyle w:val="5"/>
        <w:spacing w:before="41" w:line="357" w:lineRule="auto"/>
        <w:ind w:left="699" w:right="99" w:rightChars="45"/>
        <w:outlineLvl w:val="0"/>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附件</w:t>
      </w:r>
      <w:r>
        <w:rPr>
          <w:rFonts w:hint="eastAsia"/>
          <w:color w:val="000000" w:themeColor="text1"/>
          <w:highlight w:val="none"/>
          <w:lang w:val="en-US" w:eastAsia="zh-CN"/>
          <w14:textFill>
            <w14:solidFill>
              <w14:schemeClr w14:val="tx1"/>
            </w14:solidFill>
          </w14:textFill>
        </w:rPr>
        <w:t>八</w:t>
      </w:r>
      <w:r>
        <w:rPr>
          <w:rFonts w:hint="eastAsia"/>
          <w:color w:val="000000" w:themeColor="text1"/>
          <w:highlight w:val="none"/>
          <w:lang w:eastAsia="zh-CN"/>
          <w14:textFill>
            <w14:solidFill>
              <w14:schemeClr w14:val="tx1"/>
            </w14:solidFill>
          </w14:textFill>
        </w:rPr>
        <w:t>、《寿光市人民法院委托书》（2021）鲁0783执3116号；</w:t>
      </w:r>
      <w:bookmarkStart w:id="48" w:name="_GoBack"/>
      <w:bookmarkEnd w:id="48"/>
    </w:p>
    <w:p>
      <w:pPr>
        <w:pStyle w:val="5"/>
        <w:spacing w:before="41" w:line="357" w:lineRule="auto"/>
        <w:ind w:left="699" w:right="99" w:rightChars="45"/>
        <w:outlineLvl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附件</w:t>
      </w:r>
      <w:r>
        <w:rPr>
          <w:rFonts w:hint="eastAsia"/>
          <w:color w:val="000000" w:themeColor="text1"/>
          <w:highlight w:val="none"/>
          <w:lang w:val="en-US" w:eastAsia="zh-CN"/>
          <w14:textFill>
            <w14:solidFill>
              <w14:schemeClr w14:val="tx1"/>
            </w14:solidFill>
          </w14:textFill>
        </w:rPr>
        <w:t>九</w:t>
      </w:r>
      <w:r>
        <w:rPr>
          <w:rFonts w:hint="eastAsia"/>
          <w:color w:val="000000" w:themeColor="text1"/>
          <w:highlight w:val="none"/>
          <w:lang w:eastAsia="zh-CN"/>
          <w14:textFill>
            <w14:solidFill>
              <w14:schemeClr w14:val="tx1"/>
            </w14:solidFill>
          </w14:textFill>
        </w:rPr>
        <w:t>、资产评估机构备案信息表；</w:t>
      </w:r>
    </w:p>
    <w:p>
      <w:pPr>
        <w:pStyle w:val="5"/>
        <w:spacing w:before="41" w:line="357" w:lineRule="auto"/>
        <w:ind w:left="699" w:right="99" w:rightChars="45"/>
        <w:outlineLvl w:val="0"/>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附件十、山东省财政厅关于东营元盛资产评估有限公司等263家资产评估机构的备案公告；</w:t>
      </w:r>
    </w:p>
    <w:p>
      <w:pPr>
        <w:pStyle w:val="5"/>
        <w:spacing w:before="41" w:line="357" w:lineRule="auto"/>
        <w:ind w:left="699" w:right="99" w:rightChars="45"/>
        <w:outlineLvl w:val="0"/>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附件十</w:t>
      </w:r>
      <w:r>
        <w:rPr>
          <w:rFonts w:hint="eastAsia"/>
          <w:color w:val="000000" w:themeColor="text1"/>
          <w:highlight w:val="none"/>
          <w:lang w:val="en-US" w:eastAsia="zh-CN"/>
          <w14:textFill>
            <w14:solidFill>
              <w14:schemeClr w14:val="tx1"/>
            </w14:solidFill>
          </w14:textFill>
        </w:rPr>
        <w:t>一</w:t>
      </w:r>
      <w:r>
        <w:rPr>
          <w:rFonts w:hint="eastAsia"/>
          <w:color w:val="000000" w:themeColor="text1"/>
          <w:highlight w:val="none"/>
          <w:lang w:eastAsia="zh-CN"/>
          <w14:textFill>
            <w14:solidFill>
              <w14:schemeClr w14:val="tx1"/>
            </w14:solidFill>
          </w14:textFill>
        </w:rPr>
        <w:t>、资产评估委托合同。</w:t>
      </w:r>
    </w:p>
    <w:p>
      <w:pPr>
        <w:pStyle w:val="5"/>
        <w:spacing w:before="41" w:line="357" w:lineRule="auto"/>
        <w:ind w:left="699" w:right="99" w:rightChars="45"/>
        <w:outlineLvl w:val="0"/>
        <w:rPr>
          <w:color w:val="000000" w:themeColor="text1"/>
          <w:highlight w:val="none"/>
          <w:lang w:eastAsia="zh-CN"/>
          <w14:textFill>
            <w14:solidFill>
              <w14:schemeClr w14:val="tx1"/>
            </w14:solidFill>
          </w14:textFill>
        </w:rPr>
      </w:pPr>
    </w:p>
    <w:p>
      <w:pPr>
        <w:pStyle w:val="5"/>
        <w:spacing w:before="89" w:line="297" w:lineRule="auto"/>
        <w:ind w:right="1801"/>
        <w:jc w:val="both"/>
        <w:rPr>
          <w:rFonts w:hint="eastAsia"/>
          <w:color w:val="000000" w:themeColor="text1"/>
          <w:highlight w:val="none"/>
          <w:lang w:val="en-US" w:eastAsia="zh-CN"/>
          <w14:textFill>
            <w14:solidFill>
              <w14:schemeClr w14:val="tx1"/>
            </w14:solidFill>
          </w14:textFill>
        </w:rPr>
      </w:pPr>
    </w:p>
    <w:p>
      <w:pPr>
        <w:pStyle w:val="5"/>
        <w:spacing w:before="89" w:line="297" w:lineRule="auto"/>
        <w:ind w:right="1801"/>
        <w:jc w:val="both"/>
        <w:rPr>
          <w:rFonts w:hint="eastAsia"/>
          <w:color w:val="000000" w:themeColor="text1"/>
          <w:highlight w:val="none"/>
          <w:lang w:val="en-US" w:eastAsia="zh-CN"/>
          <w14:textFill>
            <w14:solidFill>
              <w14:schemeClr w14:val="tx1"/>
            </w14:solidFill>
          </w14:textFill>
        </w:rPr>
      </w:pPr>
    </w:p>
    <w:p>
      <w:pPr>
        <w:pStyle w:val="5"/>
        <w:spacing w:before="89" w:line="297" w:lineRule="auto"/>
        <w:ind w:right="1801"/>
        <w:jc w:val="both"/>
        <w:rPr>
          <w:rFonts w:hint="eastAsia"/>
          <w:color w:val="000000" w:themeColor="text1"/>
          <w:highlight w:val="none"/>
          <w:lang w:val="en-US" w:eastAsia="zh-CN"/>
          <w14:textFill>
            <w14:solidFill>
              <w14:schemeClr w14:val="tx1"/>
            </w14:solidFill>
          </w14:textFill>
        </w:rPr>
      </w:pPr>
    </w:p>
    <w:p>
      <w:pPr>
        <w:pStyle w:val="5"/>
        <w:spacing w:before="89" w:line="297" w:lineRule="auto"/>
        <w:ind w:right="1801"/>
        <w:jc w:val="both"/>
        <w:rPr>
          <w:rFonts w:hint="eastAsia"/>
          <w:color w:val="000000" w:themeColor="text1"/>
          <w:highlight w:val="none"/>
          <w:lang w:val="en-US" w:eastAsia="zh-CN"/>
          <w14:textFill>
            <w14:solidFill>
              <w14:schemeClr w14:val="tx1"/>
            </w14:solidFill>
          </w14:textFill>
        </w:rPr>
      </w:pPr>
    </w:p>
    <w:p>
      <w:pPr>
        <w:pStyle w:val="5"/>
        <w:spacing w:before="89" w:line="297" w:lineRule="auto"/>
        <w:ind w:right="1801"/>
        <w:jc w:val="both"/>
        <w:rPr>
          <w:rFonts w:hint="eastAsia"/>
          <w:color w:val="000000" w:themeColor="text1"/>
          <w:highlight w:val="none"/>
          <w:lang w:val="en-US" w:eastAsia="zh-CN"/>
          <w14:textFill>
            <w14:solidFill>
              <w14:schemeClr w14:val="tx1"/>
            </w14:solidFill>
          </w14:textFill>
        </w:rPr>
      </w:pPr>
    </w:p>
    <w:p>
      <w:pPr>
        <w:pStyle w:val="5"/>
        <w:spacing w:before="89" w:line="297" w:lineRule="auto"/>
        <w:ind w:right="1801"/>
        <w:jc w:val="both"/>
        <w:rPr>
          <w:rFonts w:hint="eastAsia"/>
          <w:color w:val="000000" w:themeColor="text1"/>
          <w:highlight w:val="none"/>
          <w:lang w:val="en-US" w:eastAsia="zh-CN"/>
          <w14:textFill>
            <w14:solidFill>
              <w14:schemeClr w14:val="tx1"/>
            </w14:solidFill>
          </w14:textFill>
        </w:rPr>
      </w:pPr>
    </w:p>
    <w:p>
      <w:pPr>
        <w:spacing w:line="360" w:lineRule="auto"/>
        <w:ind w:right="26"/>
        <w:jc w:val="both"/>
        <w:outlineLvl w:val="0"/>
        <w:rPr>
          <w:b/>
          <w:color w:val="000000" w:themeColor="text1"/>
          <w:sz w:val="36"/>
          <w:szCs w:val="36"/>
          <w:highlight w:val="none"/>
          <w14:textFill>
            <w14:solidFill>
              <w14:schemeClr w14:val="tx1"/>
            </w14:solidFill>
          </w14:textFill>
        </w:rPr>
      </w:pPr>
      <w:bookmarkStart w:id="38" w:name="_Toc26441"/>
    </w:p>
    <w:p>
      <w:pPr>
        <w:spacing w:line="360" w:lineRule="auto"/>
        <w:ind w:right="26"/>
        <w:jc w:val="center"/>
        <w:outlineLvl w:val="0"/>
        <w:rPr>
          <w:b/>
          <w:color w:val="000000" w:themeColor="text1"/>
          <w:sz w:val="36"/>
          <w:szCs w:val="36"/>
          <w:highlight w:val="none"/>
          <w14:textFill>
            <w14:solidFill>
              <w14:schemeClr w14:val="tx1"/>
            </w14:solidFill>
          </w14:textFill>
        </w:rPr>
      </w:pPr>
    </w:p>
    <w:p>
      <w:pPr>
        <w:spacing w:line="360" w:lineRule="auto"/>
        <w:ind w:right="26"/>
        <w:jc w:val="center"/>
        <w:outlineLvl w:val="0"/>
        <w:rPr>
          <w:b/>
          <w:color w:val="000000" w:themeColor="text1"/>
          <w:sz w:val="36"/>
          <w:szCs w:val="36"/>
          <w:highlight w:val="none"/>
          <w14:textFill>
            <w14:solidFill>
              <w14:schemeClr w14:val="tx1"/>
            </w14:solidFill>
          </w14:textFill>
        </w:rPr>
      </w:pPr>
    </w:p>
    <w:p>
      <w:pPr>
        <w:spacing w:line="360" w:lineRule="auto"/>
        <w:ind w:right="26"/>
        <w:jc w:val="center"/>
        <w:outlineLvl w:val="0"/>
        <w:rPr>
          <w:b/>
          <w:color w:val="000000" w:themeColor="text1"/>
          <w:sz w:val="36"/>
          <w:szCs w:val="36"/>
          <w:highlight w:val="none"/>
          <w14:textFill>
            <w14:solidFill>
              <w14:schemeClr w14:val="tx1"/>
            </w14:solidFill>
          </w14:textFill>
        </w:rPr>
      </w:pPr>
    </w:p>
    <w:p>
      <w:pPr>
        <w:spacing w:line="360" w:lineRule="auto"/>
        <w:ind w:right="26"/>
        <w:jc w:val="center"/>
        <w:outlineLvl w:val="0"/>
        <w:rPr>
          <w:b/>
          <w:color w:val="000000" w:themeColor="text1"/>
          <w:sz w:val="36"/>
          <w:szCs w:val="36"/>
          <w:highlight w:val="none"/>
          <w14:textFill>
            <w14:solidFill>
              <w14:schemeClr w14:val="tx1"/>
            </w14:solidFill>
          </w14:textFill>
        </w:rPr>
      </w:pPr>
      <w:r>
        <w:rPr>
          <w:b/>
          <w:color w:val="000000" w:themeColor="text1"/>
          <w:sz w:val="36"/>
          <w:szCs w:val="36"/>
          <w:highlight w:val="none"/>
          <w14:textFill>
            <w14:solidFill>
              <w14:schemeClr w14:val="tx1"/>
            </w14:solidFill>
          </w14:textFill>
        </w:rPr>
        <w:t>资产评估报告书附件使用范围的声明</w:t>
      </w:r>
      <w:bookmarkEnd w:id="38"/>
    </w:p>
    <w:p>
      <w:pPr>
        <w:spacing w:line="360" w:lineRule="auto"/>
        <w:ind w:right="26"/>
        <w:rPr>
          <w:b/>
          <w:color w:val="000000" w:themeColor="text1"/>
          <w:sz w:val="28"/>
          <w:szCs w:val="28"/>
          <w:highlight w:val="none"/>
          <w14:textFill>
            <w14:solidFill>
              <w14:schemeClr w14:val="tx1"/>
            </w14:solidFill>
          </w14:textFill>
        </w:rPr>
      </w:pPr>
    </w:p>
    <w:p>
      <w:pPr>
        <w:spacing w:line="360" w:lineRule="auto"/>
        <w:ind w:right="26"/>
        <w:rPr>
          <w:b/>
          <w:color w:val="000000" w:themeColor="text1"/>
          <w:sz w:val="28"/>
          <w:szCs w:val="28"/>
          <w:highlight w:val="none"/>
          <w14:textFill>
            <w14:solidFill>
              <w14:schemeClr w14:val="tx1"/>
            </w14:solidFill>
          </w14:textFill>
        </w:rPr>
      </w:pPr>
    </w:p>
    <w:p>
      <w:pPr>
        <w:spacing w:line="360" w:lineRule="auto"/>
        <w:ind w:right="26"/>
        <w:rPr>
          <w:b/>
          <w:color w:val="000000" w:themeColor="text1"/>
          <w:sz w:val="28"/>
          <w:szCs w:val="28"/>
          <w:highlight w:val="none"/>
          <w14:textFill>
            <w14:solidFill>
              <w14:schemeClr w14:val="tx1"/>
            </w14:solidFill>
          </w14:textFill>
        </w:rPr>
      </w:pPr>
    </w:p>
    <w:p>
      <w:pPr>
        <w:tabs>
          <w:tab w:val="left" w:pos="2552"/>
        </w:tabs>
        <w:autoSpaceDE w:val="0"/>
        <w:autoSpaceDN w:val="0"/>
        <w:snapToGrid w:val="0"/>
        <w:spacing w:line="360" w:lineRule="auto"/>
        <w:ind w:firstLine="551" w:firstLineChars="196"/>
        <w:textAlignment w:val="bottom"/>
        <w:rPr>
          <w:color w:val="000000" w:themeColor="text1"/>
          <w:highlight w:val="none"/>
          <w14:textFill>
            <w14:solidFill>
              <w14:schemeClr w14:val="tx1"/>
            </w14:solidFill>
          </w14:textFill>
        </w:rPr>
      </w:pPr>
      <w:r>
        <w:rPr>
          <w:b/>
          <w:snapToGrid w:val="0"/>
          <w:color w:val="000000" w:themeColor="text1"/>
          <w:sz w:val="28"/>
          <w:highlight w:val="none"/>
          <w14:textFill>
            <w14:solidFill>
              <w14:schemeClr w14:val="tx1"/>
            </w14:solidFill>
          </w14:textFill>
        </w:rPr>
        <w:t>本资产评估报告书附件附有委托方或委托方上级部门或国家有关部门的重要文件、档案资料或财务资料。本附件仅供委托方使用或与本报告有关的当事人用作了解评估有关情况并报送国有资产监督管理部门、企业主管部门审查而作。未经委托方及评估机构允许，附件的全部或部分内容不得提供给其他单位或个人，也不得见诸于公开媒体。</w:t>
      </w:r>
    </w:p>
    <w:p>
      <w:pPr>
        <w:tabs>
          <w:tab w:val="left" w:pos="2552"/>
        </w:tabs>
        <w:autoSpaceDE w:val="0"/>
        <w:autoSpaceDN w:val="0"/>
        <w:snapToGrid w:val="0"/>
        <w:spacing w:line="360" w:lineRule="auto"/>
        <w:ind w:firstLine="482"/>
        <w:textAlignment w:val="bottom"/>
        <w:rPr>
          <w:b/>
          <w:snapToGrid w:val="0"/>
          <w:color w:val="000000" w:themeColor="text1"/>
          <w:sz w:val="28"/>
          <w:highlight w:val="none"/>
          <w14:textFill>
            <w14:solidFill>
              <w14:schemeClr w14:val="tx1"/>
            </w14:solidFill>
          </w14:textFill>
        </w:rPr>
      </w:pPr>
    </w:p>
    <w:p>
      <w:pPr>
        <w:tabs>
          <w:tab w:val="left" w:pos="2552"/>
        </w:tabs>
        <w:autoSpaceDE w:val="0"/>
        <w:autoSpaceDN w:val="0"/>
        <w:snapToGrid w:val="0"/>
        <w:spacing w:line="360" w:lineRule="auto"/>
        <w:ind w:firstLine="482"/>
        <w:textAlignment w:val="bottom"/>
        <w:rPr>
          <w:b/>
          <w:snapToGrid w:val="0"/>
          <w:color w:val="000000" w:themeColor="text1"/>
          <w:sz w:val="28"/>
          <w:highlight w:val="none"/>
          <w14:textFill>
            <w14:solidFill>
              <w14:schemeClr w14:val="tx1"/>
            </w14:solidFill>
          </w14:textFill>
        </w:rPr>
      </w:pPr>
    </w:p>
    <w:p>
      <w:pPr>
        <w:tabs>
          <w:tab w:val="left" w:pos="2552"/>
        </w:tabs>
        <w:autoSpaceDE w:val="0"/>
        <w:autoSpaceDN w:val="0"/>
        <w:snapToGrid w:val="0"/>
        <w:spacing w:line="360" w:lineRule="auto"/>
        <w:ind w:firstLine="482"/>
        <w:textAlignment w:val="bottom"/>
        <w:rPr>
          <w:b/>
          <w:snapToGrid w:val="0"/>
          <w:color w:val="000000" w:themeColor="text1"/>
          <w:sz w:val="28"/>
          <w:highlight w:val="none"/>
          <w14:textFill>
            <w14:solidFill>
              <w14:schemeClr w14:val="tx1"/>
            </w14:solidFill>
          </w14:textFill>
        </w:rPr>
      </w:pPr>
    </w:p>
    <w:p>
      <w:pPr>
        <w:tabs>
          <w:tab w:val="left" w:pos="2552"/>
        </w:tabs>
        <w:autoSpaceDE w:val="0"/>
        <w:autoSpaceDN w:val="0"/>
        <w:snapToGrid w:val="0"/>
        <w:spacing w:line="360" w:lineRule="auto"/>
        <w:ind w:firstLine="482"/>
        <w:textAlignment w:val="bottom"/>
        <w:rPr>
          <w:b/>
          <w:snapToGrid w:val="0"/>
          <w:color w:val="000000" w:themeColor="text1"/>
          <w:sz w:val="28"/>
          <w:highlight w:val="none"/>
          <w14:textFill>
            <w14:solidFill>
              <w14:schemeClr w14:val="tx1"/>
            </w14:solidFill>
          </w14:textFill>
        </w:rPr>
      </w:pPr>
    </w:p>
    <w:p>
      <w:pPr>
        <w:tabs>
          <w:tab w:val="left" w:pos="2552"/>
        </w:tabs>
        <w:autoSpaceDE w:val="0"/>
        <w:autoSpaceDN w:val="0"/>
        <w:snapToGrid w:val="0"/>
        <w:spacing w:line="360" w:lineRule="auto"/>
        <w:ind w:firstLine="482"/>
        <w:textAlignment w:val="bottom"/>
        <w:rPr>
          <w:b/>
          <w:snapToGrid w:val="0"/>
          <w:color w:val="000000" w:themeColor="text1"/>
          <w:sz w:val="28"/>
          <w:highlight w:val="none"/>
          <w14:textFill>
            <w14:solidFill>
              <w14:schemeClr w14:val="tx1"/>
            </w14:solidFill>
          </w14:textFill>
        </w:rPr>
      </w:pPr>
    </w:p>
    <w:p>
      <w:pPr>
        <w:tabs>
          <w:tab w:val="left" w:pos="2552"/>
        </w:tabs>
        <w:autoSpaceDE w:val="0"/>
        <w:autoSpaceDN w:val="0"/>
        <w:snapToGrid w:val="0"/>
        <w:spacing w:line="360" w:lineRule="auto"/>
        <w:ind w:firstLine="482"/>
        <w:textAlignment w:val="bottom"/>
        <w:rPr>
          <w:b/>
          <w:snapToGrid w:val="0"/>
          <w:color w:val="000000" w:themeColor="text1"/>
          <w:sz w:val="28"/>
          <w:highlight w:val="none"/>
          <w14:textFill>
            <w14:solidFill>
              <w14:schemeClr w14:val="tx1"/>
            </w14:solidFill>
          </w14:textFill>
        </w:rPr>
      </w:pPr>
    </w:p>
    <w:p>
      <w:pPr>
        <w:tabs>
          <w:tab w:val="left" w:pos="2552"/>
        </w:tabs>
        <w:autoSpaceDE w:val="0"/>
        <w:autoSpaceDN w:val="0"/>
        <w:snapToGrid w:val="0"/>
        <w:spacing w:line="360" w:lineRule="auto"/>
        <w:ind w:firstLine="482"/>
        <w:textAlignment w:val="bottom"/>
        <w:rPr>
          <w:b/>
          <w:snapToGrid w:val="0"/>
          <w:color w:val="000000" w:themeColor="text1"/>
          <w:sz w:val="28"/>
          <w:highlight w:val="none"/>
          <w14:textFill>
            <w14:solidFill>
              <w14:schemeClr w14:val="tx1"/>
            </w14:solidFill>
          </w14:textFill>
        </w:rPr>
      </w:pPr>
    </w:p>
    <w:p>
      <w:pPr>
        <w:tabs>
          <w:tab w:val="left" w:pos="2552"/>
        </w:tabs>
        <w:autoSpaceDE w:val="0"/>
        <w:autoSpaceDN w:val="0"/>
        <w:snapToGrid w:val="0"/>
        <w:spacing w:line="360" w:lineRule="auto"/>
        <w:ind w:firstLine="482"/>
        <w:textAlignment w:val="bottom"/>
        <w:rPr>
          <w:b/>
          <w:snapToGrid w:val="0"/>
          <w:color w:val="000000" w:themeColor="text1"/>
          <w:sz w:val="28"/>
          <w:highlight w:val="none"/>
          <w14:textFill>
            <w14:solidFill>
              <w14:schemeClr w14:val="tx1"/>
            </w14:solidFill>
          </w14:textFill>
        </w:rPr>
      </w:pPr>
    </w:p>
    <w:p>
      <w:pPr>
        <w:tabs>
          <w:tab w:val="left" w:pos="2552"/>
        </w:tabs>
        <w:autoSpaceDE w:val="0"/>
        <w:autoSpaceDN w:val="0"/>
        <w:snapToGrid w:val="0"/>
        <w:spacing w:line="360" w:lineRule="auto"/>
        <w:ind w:firstLine="482"/>
        <w:textAlignment w:val="bottom"/>
        <w:rPr>
          <w:b/>
          <w:snapToGrid w:val="0"/>
          <w:color w:val="000000" w:themeColor="text1"/>
          <w:sz w:val="28"/>
          <w:highlight w:val="none"/>
          <w14:textFill>
            <w14:solidFill>
              <w14:schemeClr w14:val="tx1"/>
            </w14:solidFill>
          </w14:textFill>
        </w:rPr>
      </w:pPr>
    </w:p>
    <w:p>
      <w:pPr>
        <w:spacing w:line="360" w:lineRule="auto"/>
        <w:jc w:val="center"/>
        <w:outlineLvl w:val="0"/>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                     </w:t>
      </w:r>
      <w:bookmarkStart w:id="39" w:name="_Toc18577"/>
      <w:r>
        <w:rPr>
          <w:b/>
          <w:color w:val="000000" w:themeColor="text1"/>
          <w:sz w:val="28"/>
          <w:szCs w:val="28"/>
          <w:highlight w:val="none"/>
          <w14:textFill>
            <w14:solidFill>
              <w14:schemeClr w14:val="tx1"/>
            </w14:solidFill>
          </w14:textFill>
        </w:rPr>
        <w:t>寿光圣诚资产评估有限公司</w:t>
      </w:r>
      <w:bookmarkEnd w:id="39"/>
    </w:p>
    <w:p>
      <w:pPr>
        <w:spacing w:line="360" w:lineRule="auto"/>
        <w:jc w:val="center"/>
        <w:rPr>
          <w:rFonts w:hint="eastAsia" w:eastAsia="宋体"/>
          <w:b/>
          <w:color w:val="000000" w:themeColor="text1"/>
          <w:sz w:val="30"/>
          <w:highlight w:val="none"/>
          <w:lang w:val="en-US" w:eastAsia="zh-CN"/>
          <w14:textFill>
            <w14:solidFill>
              <w14:schemeClr w14:val="tx1"/>
            </w14:solidFill>
          </w14:textFill>
        </w:rPr>
        <w:sectPr>
          <w:headerReference r:id="rId10" w:type="default"/>
          <w:pgSz w:w="11906" w:h="16838"/>
          <w:pgMar w:top="1418" w:right="1418" w:bottom="1418" w:left="1588" w:header="964" w:footer="851" w:gutter="0"/>
          <w:pgBorders>
            <w:top w:val="none" w:sz="0" w:space="0"/>
            <w:left w:val="none" w:sz="0" w:space="0"/>
            <w:bottom w:val="none" w:sz="0" w:space="0"/>
            <w:right w:val="none" w:sz="0" w:space="0"/>
          </w:pgBorders>
          <w:pgNumType w:fmt="decimal"/>
          <w:cols w:space="720" w:num="1"/>
          <w:docGrid w:linePitch="312" w:charSpace="0"/>
        </w:sectPr>
      </w:pPr>
      <w:r>
        <w:rPr>
          <w:rFonts w:hint="eastAsia"/>
          <w:b/>
          <w:color w:val="000000" w:themeColor="text1"/>
          <w:sz w:val="28"/>
          <w:szCs w:val="28"/>
          <w:highlight w:val="none"/>
          <w14:textFill>
            <w14:solidFill>
              <w14:schemeClr w14:val="tx1"/>
            </w14:solidFill>
          </w14:textFill>
        </w:rPr>
        <w:t xml:space="preserve">                     </w:t>
      </w:r>
      <w:r>
        <w:rPr>
          <w:rFonts w:hint="eastAsia"/>
          <w:b/>
          <w:color w:val="000000" w:themeColor="text1"/>
          <w:sz w:val="28"/>
          <w:szCs w:val="28"/>
          <w:highlight w:val="none"/>
          <w:lang w:eastAsia="zh-CN"/>
          <w14:textFill>
            <w14:solidFill>
              <w14:schemeClr w14:val="tx1"/>
            </w14:solidFill>
          </w14:textFill>
        </w:rPr>
        <w:t xml:space="preserve"> 二〇二一年十一月十八日</w:t>
      </w:r>
    </w:p>
    <w:p>
      <w:pPr>
        <w:pStyle w:val="6"/>
        <w:keepNext w:val="0"/>
        <w:keepLines w:val="0"/>
        <w:pageBreakBefore w:val="0"/>
        <w:widowControl w:val="0"/>
        <w:kinsoku/>
        <w:wordWrap/>
        <w:overflowPunct/>
        <w:topLinePunct w:val="0"/>
        <w:autoSpaceDE/>
        <w:autoSpaceDN/>
        <w:bidi w:val="0"/>
        <w:adjustRightInd/>
        <w:snapToGrid/>
        <w:spacing w:before="480" w:after="120" w:line="360" w:lineRule="auto"/>
        <w:ind w:left="0" w:right="0" w:rightChars="0" w:firstLine="0"/>
        <w:jc w:val="center"/>
        <w:textAlignment w:val="auto"/>
        <w:outlineLvl w:val="0"/>
        <w:rPr>
          <w:rFonts w:ascii="宋体" w:hAnsi="宋体"/>
          <w:b/>
          <w:color w:val="000000" w:themeColor="text1"/>
          <w:sz w:val="28"/>
          <w:szCs w:val="28"/>
          <w:highlight w:val="none"/>
          <w14:textFill>
            <w14:solidFill>
              <w14:schemeClr w14:val="tx1"/>
            </w14:solidFill>
          </w14:textFill>
        </w:rPr>
      </w:pPr>
      <w:bookmarkStart w:id="40" w:name="_Toc2400"/>
      <w:r>
        <w:rPr>
          <w:rFonts w:ascii="宋体" w:hAnsi="宋体"/>
          <w:b/>
          <w:color w:val="000000" w:themeColor="text1"/>
          <w:sz w:val="28"/>
          <w:szCs w:val="28"/>
          <w:highlight w:val="none"/>
          <w14:textFill>
            <w14:solidFill>
              <w14:schemeClr w14:val="tx1"/>
            </w14:solidFill>
          </w14:textFill>
        </w:rPr>
        <w:t>资产评估师承诺函</w:t>
      </w:r>
      <w:bookmarkEnd w:id="40"/>
    </w:p>
    <w:p>
      <w:pPr>
        <w:pStyle w:val="6"/>
        <w:tabs>
          <w:tab w:val="left" w:pos="8280"/>
        </w:tabs>
        <w:spacing w:before="120" w:after="120"/>
        <w:ind w:left="0" w:right="869" w:rightChars="395" w:firstLine="0"/>
        <w:rPr>
          <w:rFonts w:ascii="宋体" w:hAnsi="宋体" w:cs="宋体-18030"/>
          <w:b/>
          <w:color w:val="000000" w:themeColor="text1"/>
          <w:szCs w:val="24"/>
          <w:highlight w:val="none"/>
          <w14:textFill>
            <w14:solidFill>
              <w14:schemeClr w14:val="tx1"/>
            </w14:solidFill>
          </w14:textFill>
        </w:rPr>
      </w:pPr>
      <w:bookmarkStart w:id="41" w:name="_Toc19583"/>
      <w:r>
        <w:rPr>
          <w:rFonts w:hint="eastAsia" w:ascii="宋体" w:hAnsi="宋体" w:cs="宋体-18030"/>
          <w:b/>
          <w:color w:val="000000" w:themeColor="text1"/>
          <w:szCs w:val="24"/>
          <w:highlight w:val="none"/>
          <w:lang w:eastAsia="zh-CN"/>
          <w14:textFill>
            <w14:solidFill>
              <w14:schemeClr w14:val="tx1"/>
            </w14:solidFill>
          </w14:textFill>
        </w:rPr>
        <w:t>寿光市人民法院</w:t>
      </w:r>
      <w:r>
        <w:rPr>
          <w:rFonts w:ascii="宋体" w:hAnsi="宋体" w:cs="宋体-18030"/>
          <w:b/>
          <w:color w:val="000000" w:themeColor="text1"/>
          <w:szCs w:val="24"/>
          <w:highlight w:val="none"/>
          <w14:textFill>
            <w14:solidFill>
              <w14:schemeClr w14:val="tx1"/>
            </w14:solidFill>
          </w14:textFill>
        </w:rPr>
        <w:t>：</w:t>
      </w:r>
    </w:p>
    <w:p>
      <w:pPr>
        <w:spacing w:line="360" w:lineRule="auto"/>
        <w:ind w:right="0" w:rightChars="0"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lang w:eastAsia="zh-CN"/>
          <w14:textFill>
            <w14:solidFill>
              <w14:schemeClr w14:val="tx1"/>
            </w14:solidFill>
          </w14:textFill>
        </w:rPr>
        <w:t>受贵院</w:t>
      </w:r>
      <w:r>
        <w:rPr>
          <w:color w:val="000000" w:themeColor="text1"/>
          <w:sz w:val="24"/>
          <w:highlight w:val="none"/>
          <w14:textFill>
            <w14:solidFill>
              <w14:schemeClr w14:val="tx1"/>
            </w14:solidFill>
          </w14:textFill>
        </w:rPr>
        <w:t>的委托，</w:t>
      </w:r>
      <w:r>
        <w:rPr>
          <w:rFonts w:hint="eastAsia"/>
          <w:color w:val="000000" w:themeColor="text1"/>
          <w:sz w:val="24"/>
          <w:highlight w:val="none"/>
          <w:lang w:eastAsia="zh-CN"/>
          <w14:textFill>
            <w14:solidFill>
              <w14:schemeClr w14:val="tx1"/>
            </w14:solidFill>
          </w14:textFill>
        </w:rPr>
        <w:t>我们对</w:t>
      </w:r>
      <w:r>
        <w:rPr>
          <w:rFonts w:hint="eastAsia"/>
          <w:color w:val="000000" w:themeColor="text1"/>
          <w:highlight w:val="none"/>
          <w:lang w:eastAsia="zh-CN"/>
          <w14:textFill>
            <w14:solidFill>
              <w14:schemeClr w14:val="tx1"/>
            </w14:solidFill>
          </w14:textFill>
        </w:rPr>
        <w:t>寿光市人民法院在拟执行姜国贤与陈洪明借款合同纠纷一案中涉及的固定资产-房屋建筑物的价值以2021年11月04日</w:t>
      </w:r>
      <w:r>
        <w:rPr>
          <w:color w:val="000000" w:themeColor="text1"/>
          <w:highlight w:val="none"/>
          <w:lang w:eastAsia="zh-CN"/>
          <w14:textFill>
            <w14:solidFill>
              <w14:schemeClr w14:val="tx1"/>
            </w14:solidFill>
          </w14:textFill>
        </w:rPr>
        <w:t>为基准日进行了评估，形成了资产评估报告。在本报告中披露的假设条件成立的</w:t>
      </w:r>
      <w:r>
        <w:rPr>
          <w:color w:val="000000" w:themeColor="text1"/>
          <w:sz w:val="24"/>
          <w:highlight w:val="none"/>
          <w14:textFill>
            <w14:solidFill>
              <w14:schemeClr w14:val="tx1"/>
            </w14:solidFill>
          </w14:textFill>
        </w:rPr>
        <w:t>前提下，我们承诺如下：</w:t>
      </w:r>
    </w:p>
    <w:p>
      <w:pPr>
        <w:numPr>
          <w:ilvl w:val="2"/>
          <w:numId w:val="3"/>
        </w:numPr>
        <w:tabs>
          <w:tab w:val="left" w:pos="900"/>
          <w:tab w:val="clear" w:pos="1560"/>
        </w:tabs>
        <w:spacing w:line="360" w:lineRule="auto"/>
        <w:ind w:right="0" w:rightChars="0" w:hanging="1020"/>
        <w:outlineLvl w:val="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具备相应的执业资格；</w:t>
      </w:r>
      <w:bookmarkEnd w:id="41"/>
    </w:p>
    <w:p>
      <w:pPr>
        <w:numPr>
          <w:ilvl w:val="2"/>
          <w:numId w:val="3"/>
        </w:numPr>
        <w:tabs>
          <w:tab w:val="left" w:pos="900"/>
          <w:tab w:val="clear" w:pos="1560"/>
        </w:tabs>
        <w:spacing w:line="360" w:lineRule="auto"/>
        <w:ind w:right="0" w:rightChars="0" w:hanging="1020"/>
        <w:outlineLvl w:val="0"/>
        <w:rPr>
          <w:rFonts w:ascii="宋体" w:hAnsi="宋体"/>
          <w:color w:val="000000" w:themeColor="text1"/>
          <w:sz w:val="24"/>
          <w:highlight w:val="none"/>
          <w14:textFill>
            <w14:solidFill>
              <w14:schemeClr w14:val="tx1"/>
            </w14:solidFill>
          </w14:textFill>
        </w:rPr>
      </w:pPr>
      <w:bookmarkStart w:id="42" w:name="_Toc6284"/>
      <w:r>
        <w:rPr>
          <w:rFonts w:ascii="宋体" w:hAnsi="宋体"/>
          <w:color w:val="000000" w:themeColor="text1"/>
          <w:sz w:val="24"/>
          <w:highlight w:val="none"/>
          <w14:textFill>
            <w14:solidFill>
              <w14:schemeClr w14:val="tx1"/>
            </w14:solidFill>
          </w14:textFill>
        </w:rPr>
        <w:t>评估对象和评估范围与</w:t>
      </w:r>
      <w:r>
        <w:rPr>
          <w:rFonts w:hint="eastAsia"/>
          <w:color w:val="000000" w:themeColor="text1"/>
          <w:sz w:val="24"/>
          <w:highlight w:val="none"/>
          <w:lang w:eastAsia="zh-CN"/>
          <w14:textFill>
            <w14:solidFill>
              <w14:schemeClr w14:val="tx1"/>
            </w14:solidFill>
          </w14:textFill>
        </w:rPr>
        <w:t>资产评估委托合同</w:t>
      </w:r>
      <w:r>
        <w:rPr>
          <w:rFonts w:ascii="宋体" w:hAnsi="宋体"/>
          <w:color w:val="000000" w:themeColor="text1"/>
          <w:sz w:val="24"/>
          <w:highlight w:val="none"/>
          <w14:textFill>
            <w14:solidFill>
              <w14:schemeClr w14:val="tx1"/>
            </w14:solidFill>
          </w14:textFill>
        </w:rPr>
        <w:t>的约定一致；</w:t>
      </w:r>
      <w:bookmarkEnd w:id="42"/>
    </w:p>
    <w:p>
      <w:pPr>
        <w:numPr>
          <w:ilvl w:val="2"/>
          <w:numId w:val="3"/>
        </w:numPr>
        <w:tabs>
          <w:tab w:val="left" w:pos="900"/>
          <w:tab w:val="clear" w:pos="1560"/>
        </w:tabs>
        <w:spacing w:line="360" w:lineRule="auto"/>
        <w:ind w:right="0" w:rightChars="0" w:hanging="1020"/>
        <w:outlineLvl w:val="0"/>
        <w:rPr>
          <w:rFonts w:ascii="宋体" w:hAnsi="宋体"/>
          <w:color w:val="000000" w:themeColor="text1"/>
          <w:sz w:val="24"/>
          <w:highlight w:val="none"/>
          <w14:textFill>
            <w14:solidFill>
              <w14:schemeClr w14:val="tx1"/>
            </w14:solidFill>
          </w14:textFill>
        </w:rPr>
      </w:pPr>
      <w:bookmarkStart w:id="43" w:name="_Toc6098"/>
      <w:r>
        <w:rPr>
          <w:rFonts w:ascii="宋体" w:hAnsi="宋体"/>
          <w:color w:val="000000" w:themeColor="text1"/>
          <w:sz w:val="24"/>
          <w:highlight w:val="none"/>
          <w14:textFill>
            <w14:solidFill>
              <w14:schemeClr w14:val="tx1"/>
            </w14:solidFill>
          </w14:textFill>
        </w:rPr>
        <w:t>对评估对象及其所涉及的资产进行了必要的核实；</w:t>
      </w:r>
      <w:bookmarkEnd w:id="43"/>
    </w:p>
    <w:p>
      <w:pPr>
        <w:numPr>
          <w:ilvl w:val="2"/>
          <w:numId w:val="3"/>
        </w:numPr>
        <w:tabs>
          <w:tab w:val="left" w:pos="900"/>
          <w:tab w:val="clear" w:pos="1560"/>
        </w:tabs>
        <w:spacing w:line="360" w:lineRule="auto"/>
        <w:ind w:right="0" w:rightChars="0" w:hanging="1020"/>
        <w:outlineLvl w:val="0"/>
        <w:rPr>
          <w:rFonts w:ascii="宋体" w:hAnsi="宋体"/>
          <w:color w:val="000000" w:themeColor="text1"/>
          <w:sz w:val="24"/>
          <w:highlight w:val="none"/>
          <w14:textFill>
            <w14:solidFill>
              <w14:schemeClr w14:val="tx1"/>
            </w14:solidFill>
          </w14:textFill>
        </w:rPr>
      </w:pPr>
      <w:bookmarkStart w:id="44" w:name="_Toc10153"/>
      <w:r>
        <w:rPr>
          <w:rFonts w:ascii="宋体" w:hAnsi="宋体"/>
          <w:color w:val="000000" w:themeColor="text1"/>
          <w:sz w:val="24"/>
          <w:highlight w:val="none"/>
          <w14:textFill>
            <w14:solidFill>
              <w14:schemeClr w14:val="tx1"/>
            </w14:solidFill>
          </w14:textFill>
        </w:rPr>
        <w:t>根据资产评估准则和相关评估规范选用了评估方法；</w:t>
      </w:r>
      <w:bookmarkEnd w:id="44"/>
    </w:p>
    <w:p>
      <w:pPr>
        <w:numPr>
          <w:ilvl w:val="2"/>
          <w:numId w:val="3"/>
        </w:numPr>
        <w:tabs>
          <w:tab w:val="left" w:pos="900"/>
          <w:tab w:val="clear" w:pos="1560"/>
        </w:tabs>
        <w:spacing w:line="360" w:lineRule="auto"/>
        <w:ind w:right="0" w:rightChars="0" w:hanging="1020"/>
        <w:outlineLvl w:val="0"/>
        <w:rPr>
          <w:rFonts w:ascii="宋体" w:hAnsi="宋体"/>
          <w:color w:val="000000" w:themeColor="text1"/>
          <w:sz w:val="24"/>
          <w:highlight w:val="none"/>
          <w14:textFill>
            <w14:solidFill>
              <w14:schemeClr w14:val="tx1"/>
            </w14:solidFill>
          </w14:textFill>
        </w:rPr>
      </w:pPr>
      <w:bookmarkStart w:id="45" w:name="_Toc26460"/>
      <w:r>
        <w:rPr>
          <w:rFonts w:ascii="宋体" w:hAnsi="宋体"/>
          <w:color w:val="000000" w:themeColor="text1"/>
          <w:sz w:val="24"/>
          <w:highlight w:val="none"/>
          <w14:textFill>
            <w14:solidFill>
              <w14:schemeClr w14:val="tx1"/>
            </w14:solidFill>
          </w14:textFill>
        </w:rPr>
        <w:t>充分考虑了影响评估价值的因素；</w:t>
      </w:r>
      <w:bookmarkEnd w:id="45"/>
    </w:p>
    <w:p>
      <w:pPr>
        <w:numPr>
          <w:ilvl w:val="2"/>
          <w:numId w:val="3"/>
        </w:numPr>
        <w:tabs>
          <w:tab w:val="left" w:pos="900"/>
          <w:tab w:val="clear" w:pos="1560"/>
        </w:tabs>
        <w:spacing w:line="360" w:lineRule="auto"/>
        <w:ind w:right="0" w:rightChars="0" w:hanging="1020"/>
        <w:outlineLvl w:val="0"/>
        <w:rPr>
          <w:rFonts w:hint="eastAsia" w:ascii="宋体" w:hAnsi="宋体"/>
          <w:color w:val="000000" w:themeColor="text1"/>
          <w:sz w:val="24"/>
          <w:highlight w:val="none"/>
          <w14:textFill>
            <w14:solidFill>
              <w14:schemeClr w14:val="tx1"/>
            </w14:solidFill>
          </w14:textFill>
        </w:rPr>
      </w:pPr>
      <w:bookmarkStart w:id="46" w:name="_Toc21006"/>
      <w:r>
        <w:rPr>
          <w:rFonts w:ascii="宋体" w:hAnsi="宋体"/>
          <w:color w:val="000000" w:themeColor="text1"/>
          <w:sz w:val="24"/>
          <w:highlight w:val="none"/>
          <w14:textFill>
            <w14:solidFill>
              <w14:schemeClr w14:val="tx1"/>
            </w14:solidFill>
          </w14:textFill>
        </w:rPr>
        <w:t>评估结论合理；</w:t>
      </w:r>
      <w:bookmarkEnd w:id="46"/>
    </w:p>
    <w:p>
      <w:pPr>
        <w:numPr>
          <w:ilvl w:val="2"/>
          <w:numId w:val="3"/>
        </w:numPr>
        <w:tabs>
          <w:tab w:val="left" w:pos="900"/>
          <w:tab w:val="clear" w:pos="1560"/>
        </w:tabs>
        <w:spacing w:line="360" w:lineRule="auto"/>
        <w:ind w:right="0" w:rightChars="0" w:hanging="1020"/>
        <w:outlineLvl w:val="0"/>
        <w:rPr>
          <w:rFonts w:hint="eastAsia" w:ascii="宋体" w:hAnsi="宋体"/>
          <w:color w:val="000000" w:themeColor="text1"/>
          <w:sz w:val="24"/>
          <w:highlight w:val="none"/>
          <w14:textFill>
            <w14:solidFill>
              <w14:schemeClr w14:val="tx1"/>
            </w14:solidFill>
          </w14:textFill>
        </w:rPr>
      </w:pPr>
      <w:bookmarkStart w:id="47" w:name="_Toc28231"/>
      <w:r>
        <w:rPr>
          <w:rFonts w:ascii="宋体" w:hAnsi="宋体"/>
          <w:color w:val="000000" w:themeColor="text1"/>
          <w:sz w:val="24"/>
          <w:highlight w:val="none"/>
          <w14:textFill>
            <w14:solidFill>
              <w14:schemeClr w14:val="tx1"/>
            </w14:solidFill>
          </w14:textFill>
        </w:rPr>
        <w:t>评估工作未受到干预并独立进行。</w:t>
      </w:r>
      <w:bookmarkEnd w:id="47"/>
    </w:p>
    <w:p>
      <w:pPr>
        <w:spacing w:line="360" w:lineRule="auto"/>
        <w:ind w:right="0" w:rightChars="0" w:firstLine="480" w:firstLineChars="200"/>
        <w:rPr>
          <w:rFonts w:hint="eastAsia" w:ascii="宋体" w:hAnsi="宋体"/>
          <w:color w:val="000000" w:themeColor="text1"/>
          <w:sz w:val="24"/>
          <w:highlight w:val="none"/>
          <w14:textFill>
            <w14:solidFill>
              <w14:schemeClr w14:val="tx1"/>
            </w14:solidFill>
          </w14:textFill>
        </w:rPr>
      </w:pPr>
    </w:p>
    <w:p>
      <w:pPr>
        <w:spacing w:line="240" w:lineRule="auto"/>
        <w:ind w:right="0" w:rightChars="0" w:firstLine="480" w:firstLineChars="200"/>
        <w:rPr>
          <w:rFonts w:hint="eastAsia"/>
          <w:color w:val="000000" w:themeColor="text1"/>
          <w:sz w:val="24"/>
          <w:highlight w:val="none"/>
          <w:lang w:eastAsia="zh-CN"/>
          <w14:textFill>
            <w14:solidFill>
              <w14:schemeClr w14:val="tx1"/>
            </w14:solidFill>
          </w14:textFill>
        </w:rPr>
      </w:pPr>
    </w:p>
    <w:p>
      <w:pPr>
        <w:spacing w:line="240" w:lineRule="auto"/>
        <w:ind w:right="0" w:rightChars="0" w:firstLine="480" w:firstLineChars="200"/>
        <w:rPr>
          <w:rFonts w:hint="eastAsia"/>
          <w:color w:val="000000" w:themeColor="text1"/>
          <w:sz w:val="24"/>
          <w:highlight w:val="none"/>
          <w:lang w:eastAsia="zh-CN"/>
          <w14:textFill>
            <w14:solidFill>
              <w14:schemeClr w14:val="tx1"/>
            </w14:solidFill>
          </w14:textFill>
        </w:rPr>
      </w:pPr>
    </w:p>
    <w:p>
      <w:pPr>
        <w:spacing w:line="240" w:lineRule="auto"/>
        <w:ind w:right="0" w:rightChars="0" w:firstLine="480" w:firstLineChars="200"/>
        <w:rPr>
          <w:rFonts w:hint="eastAsia"/>
          <w:color w:val="000000" w:themeColor="text1"/>
          <w:sz w:val="24"/>
          <w:highlight w:val="none"/>
          <w:lang w:eastAsia="zh-CN"/>
          <w14:textFill>
            <w14:solidFill>
              <w14:schemeClr w14:val="tx1"/>
            </w14:solidFill>
          </w14:textFill>
        </w:rPr>
      </w:pPr>
    </w:p>
    <w:p>
      <w:pPr>
        <w:spacing w:line="240" w:lineRule="auto"/>
        <w:ind w:right="0" w:rightChars="0" w:firstLine="480" w:firstLineChars="200"/>
        <w:rPr>
          <w:rFonts w:hint="eastAsia" w:ascii="宋体" w:hAnsi="宋体"/>
          <w:color w:val="000000" w:themeColor="text1"/>
          <w:sz w:val="24"/>
          <w:highlight w:val="none"/>
          <w14:textFill>
            <w14:solidFill>
              <w14:schemeClr w14:val="tx1"/>
            </w14:solidFill>
          </w14:textFill>
        </w:rPr>
      </w:pPr>
      <w:r>
        <w:rPr>
          <w:rFonts w:hint="eastAsia"/>
          <w:color w:val="000000" w:themeColor="text1"/>
          <w:sz w:val="24"/>
          <w:highlight w:val="none"/>
          <w:lang w:eastAsia="zh-CN"/>
          <w14:textFill>
            <w14:solidFill>
              <w14:schemeClr w14:val="tx1"/>
            </w14:solidFill>
          </w14:textFill>
        </w:rPr>
        <w:t>资产评估师签章</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 xml:space="preserve"> </w:t>
      </w:r>
    </w:p>
    <w:p>
      <w:pPr>
        <w:spacing w:line="240" w:lineRule="auto"/>
        <w:ind w:right="0" w:rightChars="0" w:firstLine="480" w:firstLineChars="200"/>
        <w:rPr>
          <w:rFonts w:hint="eastAsia" w:ascii="宋体" w:hAnsi="宋体"/>
          <w:color w:val="000000" w:themeColor="text1"/>
          <w:sz w:val="24"/>
          <w:highlight w:val="none"/>
          <w14:textFill>
            <w14:solidFill>
              <w14:schemeClr w14:val="tx1"/>
            </w14:solidFill>
          </w14:textFill>
        </w:rPr>
      </w:pPr>
    </w:p>
    <w:p>
      <w:pPr>
        <w:spacing w:line="360" w:lineRule="auto"/>
        <w:ind w:right="0" w:rightChars="0" w:firstLine="480" w:firstLineChars="200"/>
        <w:rPr>
          <w:rFonts w:hint="eastAsia" w:ascii="宋体" w:hAnsi="宋体"/>
          <w:color w:val="000000" w:themeColor="text1"/>
          <w:sz w:val="24"/>
          <w:highlight w:val="none"/>
          <w14:textFill>
            <w14:solidFill>
              <w14:schemeClr w14:val="tx1"/>
            </w14:solidFill>
          </w14:textFill>
        </w:rPr>
      </w:pPr>
    </w:p>
    <w:p>
      <w:pPr>
        <w:spacing w:line="360" w:lineRule="auto"/>
        <w:ind w:right="0" w:rightChars="0" w:firstLine="480" w:firstLineChars="200"/>
        <w:rPr>
          <w:rFonts w:hint="eastAsia"/>
          <w:color w:val="000000" w:themeColor="text1"/>
          <w:sz w:val="24"/>
          <w:highlight w:val="none"/>
          <w:lang w:eastAsia="zh-CN"/>
          <w14:textFill>
            <w14:solidFill>
              <w14:schemeClr w14:val="tx1"/>
            </w14:solidFill>
          </w14:textFill>
        </w:rPr>
      </w:pPr>
    </w:p>
    <w:p>
      <w:pPr>
        <w:spacing w:line="360" w:lineRule="auto"/>
        <w:ind w:right="0" w:rightChars="0" w:firstLine="480" w:firstLineChars="200"/>
        <w:rPr>
          <w:rFonts w:hint="eastAsia"/>
          <w:color w:val="000000" w:themeColor="text1"/>
          <w:sz w:val="24"/>
          <w:highlight w:val="none"/>
          <w:lang w:eastAsia="zh-CN"/>
          <w14:textFill>
            <w14:solidFill>
              <w14:schemeClr w14:val="tx1"/>
            </w14:solidFill>
          </w14:textFill>
        </w:rPr>
      </w:pPr>
    </w:p>
    <w:p>
      <w:pPr>
        <w:spacing w:line="360" w:lineRule="auto"/>
        <w:ind w:right="0" w:rightChars="0" w:firstLine="480" w:firstLineChars="200"/>
        <w:rPr>
          <w:rFonts w:hint="eastAsia" w:ascii="宋体" w:hAnsi="宋体"/>
          <w:color w:val="000000" w:themeColor="text1"/>
          <w:sz w:val="24"/>
          <w:highlight w:val="none"/>
          <w14:textFill>
            <w14:solidFill>
              <w14:schemeClr w14:val="tx1"/>
            </w14:solidFill>
          </w14:textFill>
        </w:rPr>
      </w:pPr>
      <w:r>
        <w:rPr>
          <w:rFonts w:hint="eastAsia"/>
          <w:color w:val="000000" w:themeColor="text1"/>
          <w:sz w:val="24"/>
          <w:highlight w:val="none"/>
          <w:lang w:eastAsia="zh-CN"/>
          <w14:textFill>
            <w14:solidFill>
              <w14:schemeClr w14:val="tx1"/>
            </w14:solidFill>
          </w14:textFill>
        </w:rPr>
        <w:t>资产评估师签章</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 xml:space="preserve"> </w:t>
      </w:r>
    </w:p>
    <w:p>
      <w:pPr>
        <w:spacing w:line="360" w:lineRule="auto"/>
        <w:ind w:right="0" w:rightChars="0" w:firstLine="480" w:firstLineChars="200"/>
        <w:rPr>
          <w:rFonts w:hint="eastAsia" w:ascii="宋体" w:hAnsi="宋体"/>
          <w:color w:val="000000" w:themeColor="text1"/>
          <w:sz w:val="24"/>
          <w:highlight w:val="none"/>
          <w14:textFill>
            <w14:solidFill>
              <w14:schemeClr w14:val="tx1"/>
            </w14:solidFill>
          </w14:textFill>
        </w:rPr>
      </w:pPr>
    </w:p>
    <w:p>
      <w:pPr>
        <w:spacing w:line="360" w:lineRule="auto"/>
        <w:ind w:right="0" w:rightChars="0" w:firstLine="480" w:firstLineChars="200"/>
        <w:rPr>
          <w:rFonts w:hint="eastAsia" w:ascii="宋体" w:hAnsi="宋体"/>
          <w:color w:val="000000" w:themeColor="text1"/>
          <w:sz w:val="24"/>
          <w:highlight w:val="none"/>
          <w14:textFill>
            <w14:solidFill>
              <w14:schemeClr w14:val="tx1"/>
            </w14:solidFill>
          </w14:textFill>
        </w:rPr>
      </w:pPr>
    </w:p>
    <w:p>
      <w:pPr>
        <w:spacing w:line="360" w:lineRule="auto"/>
        <w:ind w:right="0" w:rightChars="0" w:firstLine="480" w:firstLineChars="200"/>
        <w:jc w:val="right"/>
        <w:rPr>
          <w:rFonts w:hint="eastAsia" w:ascii="宋体" w:hAnsi="宋体"/>
          <w:color w:val="000000" w:themeColor="text1"/>
          <w:sz w:val="24"/>
          <w:highlight w:val="none"/>
          <w14:textFill>
            <w14:solidFill>
              <w14:schemeClr w14:val="tx1"/>
            </w14:solidFill>
          </w14:textFill>
        </w:rPr>
      </w:pPr>
    </w:p>
    <w:p>
      <w:pPr>
        <w:pStyle w:val="20"/>
        <w:adjustRightInd/>
        <w:spacing w:after="120" w:afterLines="50"/>
        <w:ind w:right="0" w:rightChars="0" w:firstLine="3840" w:firstLineChars="1600"/>
        <w:jc w:val="both"/>
        <w:textAlignment w:val="auto"/>
        <w:rPr>
          <w:rFonts w:hint="eastAsia" w:ascii="宋体" w:hAnsi="宋体"/>
          <w:color w:val="000000" w:themeColor="text1"/>
          <w:sz w:val="24"/>
          <w:highlight w:val="none"/>
          <w:lang w:eastAsia="zh-CN"/>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 xml:space="preserve">                   2021年11月18日</w:t>
      </w:r>
    </w:p>
    <w:p>
      <w:pPr>
        <w:pStyle w:val="5"/>
        <w:spacing w:before="89" w:line="297" w:lineRule="auto"/>
        <w:ind w:right="0" w:rightChars="0"/>
        <w:jc w:val="both"/>
        <w:rPr>
          <w:rFonts w:hint="eastAsia"/>
          <w:color w:val="000000" w:themeColor="text1"/>
          <w:highlight w:val="none"/>
          <w:lang w:val="en-US" w:eastAsia="zh-CN"/>
          <w14:textFill>
            <w14:solidFill>
              <w14:schemeClr w14:val="tx1"/>
            </w14:solidFill>
          </w14:textFill>
        </w:rPr>
      </w:pPr>
    </w:p>
    <w:sectPr>
      <w:pgSz w:w="11910" w:h="16840"/>
      <w:pgMar w:top="1360" w:right="1670" w:bottom="1200" w:left="1660" w:header="882" w:footer="1003" w:gutter="0"/>
      <w:pgBorders>
        <w:top w:val="none" w:sz="0" w:space="0"/>
        <w:left w:val="none" w:sz="0" w:space="0"/>
        <w:bottom w:val="none" w:sz="0" w:space="0"/>
        <w:right w:val="none" w:sz="0" w:space="0"/>
      </w:pgBorders>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Arial Narrow">
    <w:panose1 w:val="020B0606020202030204"/>
    <w:charset w:val="00"/>
    <w:family w:val="swiss"/>
    <w:pitch w:val="default"/>
    <w:sig w:usb0="00000287" w:usb1="00000800" w:usb2="00000000" w:usb3="00000000" w:csb0="2000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crosoft Himalaya">
    <w:panose1 w:val="01010100010101010101"/>
    <w:charset w:val="00"/>
    <w:family w:val="auto"/>
    <w:pitch w:val="default"/>
    <w:sig w:usb0="80000003" w:usb1="00010000" w:usb2="00000040" w:usb3="00000000" w:csb0="00000001" w:csb1="00000000"/>
  </w:font>
  <w:font w:name="宋体-18030">
    <w:altName w:val="宋体"/>
    <w:panose1 w:val="02010609060101010101"/>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ind w:right="0" w:rightChars="0"/>
      <w:rPr>
        <w:rFonts w:hint="eastAsia" w:eastAsia="宋体"/>
        <w:u w:val="none"/>
        <w:lang w:val="en-US" w:eastAsia="zh-CN"/>
      </w:rPr>
    </w:pPr>
    <w:r>
      <w:rPr>
        <w:sz w:val="18"/>
        <w:u w:val="none"/>
      </w:rPr>
      <w:pict>
        <v:shape id="_x0000_s2058" o:spid="_x0000_s2058"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8"/>
                  <w:rPr>
                    <w:rFonts w:hint="default" w:eastAsia="宋体"/>
                    <w:lang w:val="en-US" w:eastAsia="zh-CN"/>
                  </w:rPr>
                </w:pPr>
              </w:p>
              <w:p>
                <w:pPr>
                  <w:pStyle w:val="8"/>
                  <w:rPr>
                    <w:rFonts w:hint="eastAsia" w:eastAsia="宋体"/>
                    <w:lang w:eastAsia="zh-CN"/>
                  </w:rPr>
                </w:pPr>
              </w:p>
            </w:txbxContent>
          </v:textbox>
        </v:shape>
      </w:pict>
    </w:r>
    <w:r>
      <w:rPr>
        <w:rFonts w:hint="eastAsia"/>
        <w:sz w:val="18"/>
        <w:u w:val="none"/>
        <w:lang w:eastAsia="zh-CN"/>
      </w:rPr>
      <w:t>寿光圣诚资产评估有限公司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dotted" w:color="000000" w:sz="4" w:space="0"/>
      </w:pBdr>
      <w:rPr>
        <w:rFonts w:hint="default"/>
        <w:lang w:val="en-US" w:eastAsia="zh-CN"/>
      </w:rPr>
    </w:pPr>
    <w:r>
      <w:rPr>
        <w:sz w:val="18"/>
      </w:rPr>
      <w:pict>
        <v:shape id="_x0000_s2063" o:spid="_x0000_s2063" o:spt="202" type="#_x0000_t202" style="position:absolute;left:0pt;margin-top:0pt;height:144pt;width:144pt;mso-position-horizontal:right;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r>
      <w:rPr>
        <w:rFonts w:hint="eastAsia"/>
        <w:lang w:val="en-US" w:eastAsia="zh-CN"/>
      </w:rPr>
      <w:t>寿光圣诚资产评估有限公司</w:t>
    </w:r>
  </w:p>
  <w:p>
    <w:pPr>
      <w:pStyle w:val="8"/>
      <w:rPr>
        <w:rFonts w:hint="default"/>
        <w:lang w:val="en-US"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dotted" w:color="000000" w:sz="4" w:space="0"/>
      </w:pBdr>
      <w:rPr>
        <w:rFonts w:hint="default"/>
        <w:lang w:val="en-US" w:eastAsia="zh-CN"/>
      </w:rPr>
    </w:pPr>
    <w:r>
      <w:rPr>
        <w:sz w:val="18"/>
      </w:rPr>
      <w:pict>
        <v:shape id="_x0000_s2062" o:spid="_x0000_s2062"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r>
      <w:rPr>
        <w:rFonts w:hint="eastAsia"/>
        <w:lang w:val="en-US" w:eastAsia="zh-CN"/>
      </w:rPr>
      <w:t>寿光圣诚资产评估有限公司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pPr>
    <w:r>
      <w:rPr>
        <w:rFonts w:hint="eastAsia"/>
      </w:rPr>
      <w:t>寿光市人民法院拟执行姜国贤与陈洪明借款合同纠纷一案中涉及的固定资产-房屋建筑物的价值资产评估报告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pPr>
    <w:r>
      <w:rPr>
        <w:rFonts w:hint="eastAsia"/>
      </w:rPr>
      <w:t>寿光市人民法院拟执行姜国贤与陈洪明借款合同纠纷一案中涉及的固定资产-房屋建筑物的价值资产评估报告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pPr>
    <w:r>
      <w:rPr>
        <w:rFonts w:hint="eastAsia"/>
      </w:rPr>
      <w:t>寿光市人民法院拟执行姜国贤与陈洪明借款合同纠纷一案中涉及的固定资产-房屋建筑物的价值资产评估报告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tabs>
        <w:tab w:val="right" w:pos="9040"/>
        <w:tab w:val="left" w:pos="9240"/>
        <w:tab w:val="clear" w:pos="8306"/>
      </w:tabs>
      <w:ind w:left="-450" w:leftChars="-295" w:right="-768" w:rightChars="-349" w:hanging="199" w:hangingChars="111"/>
      <w:jc w:val="center"/>
      <w:rPr>
        <w:rFonts w:hint="eastAsia"/>
        <w:b/>
        <w:bCs/>
        <w:lang w:val="en-US" w:eastAsia="zh-CN"/>
      </w:rPr>
    </w:pPr>
    <w:r>
      <w:rPr>
        <w:rFonts w:hint="eastAsia"/>
      </w:rPr>
      <w:t>寿光市人民法院拟执行姜国贤与陈洪明借款合同纠纷一案中涉及的固定资产-房屋建筑物的价值资产评估报告</w:t>
    </w:r>
  </w:p>
  <w:p>
    <w:pPr>
      <w:pStyle w:val="9"/>
      <w:pBdr>
        <w:bottom w:val="single" w:color="auto" w:sz="4" w:space="1"/>
      </w:pBdr>
      <w:tabs>
        <w:tab w:val="right" w:pos="9040"/>
        <w:tab w:val="left" w:pos="9240"/>
        <w:tab w:val="clear" w:pos="8306"/>
      </w:tabs>
      <w:ind w:right="-768" w:rightChars="-349"/>
      <w:jc w:val="both"/>
      <w:rPr>
        <w:rFonts w:hint="eastAsia"/>
        <w:b/>
        <w:bCs/>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BF4EC7"/>
    <w:multiLevelType w:val="multilevel"/>
    <w:tmpl w:val="07BF4EC7"/>
    <w:lvl w:ilvl="0" w:tentative="0">
      <w:start w:val="1"/>
      <w:numFmt w:val="decimal"/>
      <w:lvlText w:val="（%1）"/>
      <w:lvlJc w:val="left"/>
      <w:pPr>
        <w:tabs>
          <w:tab w:val="left" w:pos="1080"/>
        </w:tabs>
        <w:ind w:left="1080" w:hanging="720"/>
      </w:pPr>
      <w:rPr>
        <w:rFonts w:hint="default"/>
      </w:rPr>
    </w:lvl>
    <w:lvl w:ilvl="1" w:tentative="0">
      <w:start w:val="1"/>
      <w:numFmt w:val="lowerLetter"/>
      <w:lvlText w:val="%2)"/>
      <w:lvlJc w:val="left"/>
      <w:pPr>
        <w:tabs>
          <w:tab w:val="left" w:pos="1200"/>
        </w:tabs>
        <w:ind w:left="1200" w:hanging="420"/>
      </w:pPr>
    </w:lvl>
    <w:lvl w:ilvl="2" w:tentative="0">
      <w:start w:val="1"/>
      <w:numFmt w:val="decimal"/>
      <w:lvlText w:val="%3、"/>
      <w:lvlJc w:val="left"/>
      <w:pPr>
        <w:tabs>
          <w:tab w:val="left" w:pos="1560"/>
        </w:tabs>
        <w:ind w:left="1560" w:hanging="360"/>
      </w:pPr>
      <w:rPr>
        <w:rFonts w:hint="default"/>
      </w:r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
    <w:nsid w:val="6027EE9A"/>
    <w:multiLevelType w:val="singleLevel"/>
    <w:tmpl w:val="6027EE9A"/>
    <w:lvl w:ilvl="0" w:tentative="0">
      <w:start w:val="1"/>
      <w:numFmt w:val="chineseCounting"/>
      <w:lvlText w:val="(%1)"/>
      <w:lvlJc w:val="left"/>
      <w:pPr>
        <w:tabs>
          <w:tab w:val="left" w:pos="312"/>
        </w:tabs>
      </w:pPr>
      <w:rPr>
        <w:rFonts w:hint="eastAsia"/>
      </w:rPr>
    </w:lvl>
  </w:abstractNum>
  <w:abstractNum w:abstractNumId="2">
    <w:nsid w:val="7F6F4C9F"/>
    <w:multiLevelType w:val="singleLevel"/>
    <w:tmpl w:val="7F6F4C9F"/>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9A7540"/>
    <w:rsid w:val="00722ED0"/>
    <w:rsid w:val="007742BA"/>
    <w:rsid w:val="0092485B"/>
    <w:rsid w:val="009A7540"/>
    <w:rsid w:val="00E55BC9"/>
    <w:rsid w:val="00FC7E8E"/>
    <w:rsid w:val="03852BAD"/>
    <w:rsid w:val="06067491"/>
    <w:rsid w:val="077D3017"/>
    <w:rsid w:val="07F87A28"/>
    <w:rsid w:val="09884C12"/>
    <w:rsid w:val="0C4A6383"/>
    <w:rsid w:val="0CF304A6"/>
    <w:rsid w:val="0D3D4086"/>
    <w:rsid w:val="0FB517FF"/>
    <w:rsid w:val="10FF37AD"/>
    <w:rsid w:val="1319292B"/>
    <w:rsid w:val="14721BE0"/>
    <w:rsid w:val="15164CDD"/>
    <w:rsid w:val="154A2319"/>
    <w:rsid w:val="159D265A"/>
    <w:rsid w:val="16A1374A"/>
    <w:rsid w:val="16B544D6"/>
    <w:rsid w:val="17C1139D"/>
    <w:rsid w:val="17FC50B8"/>
    <w:rsid w:val="1B3F3961"/>
    <w:rsid w:val="1BAB7899"/>
    <w:rsid w:val="1DB23278"/>
    <w:rsid w:val="20F41793"/>
    <w:rsid w:val="23F66122"/>
    <w:rsid w:val="24584623"/>
    <w:rsid w:val="26173E72"/>
    <w:rsid w:val="2A042E3F"/>
    <w:rsid w:val="2DA71ECD"/>
    <w:rsid w:val="2E1A7B3C"/>
    <w:rsid w:val="30924815"/>
    <w:rsid w:val="315C3DE4"/>
    <w:rsid w:val="330D4935"/>
    <w:rsid w:val="337C49B2"/>
    <w:rsid w:val="342609B2"/>
    <w:rsid w:val="3483007C"/>
    <w:rsid w:val="35DC4A8D"/>
    <w:rsid w:val="37555125"/>
    <w:rsid w:val="378E3E33"/>
    <w:rsid w:val="39332800"/>
    <w:rsid w:val="3A2746A3"/>
    <w:rsid w:val="3A771F27"/>
    <w:rsid w:val="3AE149BB"/>
    <w:rsid w:val="3C6557F7"/>
    <w:rsid w:val="3CC70CB1"/>
    <w:rsid w:val="3D1A2F91"/>
    <w:rsid w:val="3D584449"/>
    <w:rsid w:val="3D9C7C4F"/>
    <w:rsid w:val="3F552DD8"/>
    <w:rsid w:val="40E41F32"/>
    <w:rsid w:val="426F1F14"/>
    <w:rsid w:val="42E22A28"/>
    <w:rsid w:val="43105545"/>
    <w:rsid w:val="431B611D"/>
    <w:rsid w:val="437F4044"/>
    <w:rsid w:val="43811BAC"/>
    <w:rsid w:val="43E01411"/>
    <w:rsid w:val="44D97C8E"/>
    <w:rsid w:val="45353226"/>
    <w:rsid w:val="46F13D61"/>
    <w:rsid w:val="487D7135"/>
    <w:rsid w:val="49A56138"/>
    <w:rsid w:val="4BB34820"/>
    <w:rsid w:val="4C293AB3"/>
    <w:rsid w:val="4CE371BD"/>
    <w:rsid w:val="4F09769B"/>
    <w:rsid w:val="4F160401"/>
    <w:rsid w:val="4F56720C"/>
    <w:rsid w:val="4F974856"/>
    <w:rsid w:val="55223194"/>
    <w:rsid w:val="556A3B1A"/>
    <w:rsid w:val="562732C0"/>
    <w:rsid w:val="588A2D53"/>
    <w:rsid w:val="596A0C28"/>
    <w:rsid w:val="5A9D7050"/>
    <w:rsid w:val="5BCC41D9"/>
    <w:rsid w:val="5D0E627E"/>
    <w:rsid w:val="5D35084B"/>
    <w:rsid w:val="600A33AC"/>
    <w:rsid w:val="604F3AF6"/>
    <w:rsid w:val="61F466BB"/>
    <w:rsid w:val="61F65CB2"/>
    <w:rsid w:val="61F778EE"/>
    <w:rsid w:val="64BD7408"/>
    <w:rsid w:val="65C6385D"/>
    <w:rsid w:val="6777466D"/>
    <w:rsid w:val="68BE1BC4"/>
    <w:rsid w:val="6A244302"/>
    <w:rsid w:val="6BD96E5F"/>
    <w:rsid w:val="6C1A1CD5"/>
    <w:rsid w:val="6D41055A"/>
    <w:rsid w:val="6DD40E8D"/>
    <w:rsid w:val="6F447561"/>
    <w:rsid w:val="6FDC0846"/>
    <w:rsid w:val="72C42ACC"/>
    <w:rsid w:val="732822CD"/>
    <w:rsid w:val="75F912D4"/>
    <w:rsid w:val="7A3C0AA5"/>
    <w:rsid w:val="7A4B068C"/>
    <w:rsid w:val="7B326860"/>
    <w:rsid w:val="7E736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qFormat/>
    <w:uiPriority w:val="1"/>
    <w:pPr>
      <w:spacing w:before="7"/>
      <w:jc w:val="center"/>
      <w:outlineLvl w:val="0"/>
    </w:pPr>
    <w:rPr>
      <w:rFonts w:ascii="黑体" w:hAnsi="黑体" w:eastAsia="黑体" w:cs="黑体"/>
      <w:sz w:val="30"/>
      <w:szCs w:val="30"/>
    </w:rPr>
  </w:style>
  <w:style w:type="paragraph" w:styleId="3">
    <w:name w:val="heading 2"/>
    <w:basedOn w:val="1"/>
    <w:next w:val="1"/>
    <w:qFormat/>
    <w:uiPriority w:val="1"/>
    <w:pPr>
      <w:spacing w:before="199"/>
      <w:ind w:left="701"/>
      <w:outlineLvl w:val="1"/>
    </w:pPr>
    <w:rPr>
      <w:rFonts w:ascii="Microsoft JhengHei" w:hAnsi="Microsoft JhengHei" w:eastAsia="Microsoft JhengHei" w:cs="Microsoft JhengHei"/>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adjustRightInd w:val="0"/>
      <w:ind w:firstLine="420"/>
      <w:textAlignment w:val="baseline"/>
    </w:pPr>
    <w:rPr>
      <w:szCs w:val="20"/>
    </w:rPr>
  </w:style>
  <w:style w:type="paragraph" w:styleId="5">
    <w:name w:val="Body Text"/>
    <w:basedOn w:val="1"/>
    <w:qFormat/>
    <w:uiPriority w:val="1"/>
    <w:rPr>
      <w:sz w:val="28"/>
      <w:szCs w:val="28"/>
    </w:rPr>
  </w:style>
  <w:style w:type="paragraph" w:styleId="6">
    <w:name w:val="Block Text"/>
    <w:basedOn w:val="1"/>
    <w:qFormat/>
    <w:uiPriority w:val="0"/>
    <w:pPr>
      <w:spacing w:after="240" w:line="360" w:lineRule="auto"/>
      <w:ind w:left="1259" w:right="1259" w:firstLine="482"/>
    </w:pPr>
    <w:rPr>
      <w:rFonts w:ascii="Arial Narrow" w:hAnsi="Arial Narrow"/>
      <w:sz w:val="24"/>
    </w:rPr>
  </w:style>
  <w:style w:type="paragraph" w:styleId="7">
    <w:name w:val="Plain Text"/>
    <w:basedOn w:val="1"/>
    <w:qFormat/>
    <w:uiPriority w:val="0"/>
    <w:rPr>
      <w:rFonts w:ascii="宋体" w:hAnsi="Courier New" w:cs="Courier New"/>
      <w:szCs w:val="21"/>
    </w:rPr>
  </w:style>
  <w:style w:type="paragraph" w:styleId="8">
    <w:name w:val="footer"/>
    <w:basedOn w:val="1"/>
    <w:link w:val="19"/>
    <w:qFormat/>
    <w:uiPriority w:val="0"/>
    <w:pPr>
      <w:tabs>
        <w:tab w:val="center" w:pos="4153"/>
        <w:tab w:val="right" w:pos="8306"/>
      </w:tabs>
      <w:snapToGrid w:val="0"/>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0">
    <w:name w:val="toc 1"/>
    <w:basedOn w:val="1"/>
    <w:next w:val="1"/>
    <w:qFormat/>
    <w:uiPriority w:val="1"/>
    <w:pPr>
      <w:spacing w:before="92"/>
      <w:ind w:left="699"/>
    </w:pPr>
    <w:rPr>
      <w:rFonts w:ascii="Microsoft JhengHei" w:hAnsi="Microsoft JhengHei" w:eastAsia="Microsoft JhengHei" w:cs="Microsoft JhengHei"/>
      <w:b/>
      <w:bCs/>
      <w:sz w:val="20"/>
      <w:szCs w:val="20"/>
    </w:rPr>
  </w:style>
  <w:style w:type="paragraph" w:styleId="11">
    <w:name w:val="List"/>
    <w:basedOn w:val="1"/>
    <w:qFormat/>
    <w:uiPriority w:val="0"/>
    <w:pPr>
      <w:ind w:left="420" w:hanging="420"/>
    </w:pPr>
    <w:rPr>
      <w:szCs w:val="20"/>
    </w:rPr>
  </w:style>
  <w:style w:type="paragraph" w:styleId="12">
    <w:name w:val="toc 2"/>
    <w:basedOn w:val="1"/>
    <w:next w:val="1"/>
    <w:qFormat/>
    <w:uiPriority w:val="1"/>
    <w:pPr>
      <w:spacing w:before="36"/>
      <w:ind w:left="980"/>
    </w:pPr>
    <w:rPr>
      <w:sz w:val="20"/>
      <w:szCs w:val="20"/>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
    <w:name w:val="Table Normal"/>
    <w:semiHidden/>
    <w:unhideWhenUsed/>
    <w:qFormat/>
    <w:uiPriority w:val="2"/>
    <w:tblPr>
      <w:tblCellMar>
        <w:top w:w="0" w:type="dxa"/>
        <w:left w:w="0" w:type="dxa"/>
        <w:bottom w:w="0" w:type="dxa"/>
        <w:right w:w="0" w:type="dxa"/>
      </w:tblCellMar>
    </w:tblPr>
  </w:style>
  <w:style w:type="paragraph" w:styleId="17">
    <w:name w:val="List Paragraph"/>
    <w:basedOn w:val="1"/>
    <w:qFormat/>
    <w:uiPriority w:val="1"/>
  </w:style>
  <w:style w:type="paragraph" w:customStyle="1" w:styleId="18">
    <w:name w:val="Table Paragraph"/>
    <w:basedOn w:val="1"/>
    <w:qFormat/>
    <w:uiPriority w:val="1"/>
    <w:pPr>
      <w:jc w:val="center"/>
    </w:pPr>
    <w:rPr>
      <w:rFonts w:ascii="Arial Narrow" w:hAnsi="Arial Narrow" w:eastAsia="Arial Narrow" w:cs="Arial Narrow"/>
    </w:rPr>
  </w:style>
  <w:style w:type="character" w:customStyle="1" w:styleId="19">
    <w:name w:val="页脚 字符"/>
    <w:basedOn w:val="15"/>
    <w:link w:val="8"/>
    <w:qFormat/>
    <w:uiPriority w:val="0"/>
    <w:rPr>
      <w:rFonts w:ascii="宋体" w:hAnsi="宋体" w:eastAsia="宋体" w:cs="宋体"/>
      <w:sz w:val="18"/>
      <w:szCs w:val="18"/>
      <w:lang w:eastAsia="en-US"/>
    </w:rPr>
  </w:style>
  <w:style w:type="paragraph" w:customStyle="1" w:styleId="20">
    <w:name w:val="zw"/>
    <w:basedOn w:val="1"/>
    <w:qFormat/>
    <w:uiPriority w:val="0"/>
    <w:pPr>
      <w:adjustRightInd w:val="0"/>
      <w:spacing w:line="360" w:lineRule="auto"/>
      <w:ind w:firstLine="482"/>
      <w:textAlignment w:val="baseline"/>
    </w:pPr>
    <w:rPr>
      <w:rFonts w:ascii="Arial Narrow" w:hAnsi="Arial Narrow" w:eastAsia="仿宋_GB2312"/>
      <w:kern w:val="0"/>
      <w:sz w:val="24"/>
    </w:rPr>
  </w:style>
  <w:style w:type="paragraph" w:customStyle="1" w:styleId="21">
    <w:name w:val="WPSOffice手动目录 2"/>
    <w:qFormat/>
    <w:uiPriority w:val="0"/>
    <w:pPr>
      <w:ind w:leftChars="200"/>
    </w:pPr>
    <w:rPr>
      <w:rFonts w:ascii="Times New Roman" w:hAnsi="Times New Roman" w:eastAsia="宋体" w:cs="Times New Roman"/>
      <w:sz w:val="20"/>
      <w:szCs w:val="20"/>
    </w:rPr>
  </w:style>
  <w:style w:type="paragraph" w:customStyle="1" w:styleId="22">
    <w:name w:val="WPSOffice手动目录 1"/>
    <w:qFormat/>
    <w:uiPriority w:val="0"/>
    <w:pPr>
      <w:ind w:leftChars="0"/>
    </w:pPr>
    <w:rPr>
      <w:rFonts w:ascii="Times New Roman" w:hAnsi="Times New Roman" w:eastAsia="宋体" w:cs="Times New Roman"/>
      <w:sz w:val="20"/>
      <w:szCs w:val="20"/>
    </w:rPr>
  </w:style>
  <w:style w:type="paragraph" w:customStyle="1" w:styleId="23">
    <w:name w:val="WPSOffice手动目录 3"/>
    <w:qFormat/>
    <w:uiPriority w:val="0"/>
    <w:pPr>
      <w:ind w:leftChars="400"/>
    </w:pPr>
    <w:rPr>
      <w:rFonts w:ascii="Times New Roman" w:hAnsi="Times New Roman" w:eastAsia="宋体" w:cs="Times New Roman"/>
      <w:sz w:val="20"/>
      <w:szCs w:val="20"/>
    </w:rPr>
  </w:style>
  <w:style w:type="character" w:customStyle="1" w:styleId="24">
    <w:name w:val="font41"/>
    <w:basedOn w:val="15"/>
    <w:qFormat/>
    <w:uiPriority w:val="0"/>
    <w:rPr>
      <w:rFonts w:hint="eastAsia" w:ascii="宋体" w:hAnsi="宋体" w:eastAsia="宋体" w:cs="宋体"/>
      <w:color w:val="000000"/>
      <w:sz w:val="20"/>
      <w:szCs w:val="20"/>
      <w:u w:val="none"/>
    </w:rPr>
  </w:style>
  <w:style w:type="character" w:customStyle="1" w:styleId="25">
    <w:name w:val="font21"/>
    <w:basedOn w:val="15"/>
    <w:qFormat/>
    <w:uiPriority w:val="0"/>
    <w:rPr>
      <w:rFonts w:hint="default" w:ascii="Times New Roman" w:hAnsi="Times New Roman" w:cs="Times New Roman"/>
      <w:color w:val="000000"/>
      <w:sz w:val="20"/>
      <w:szCs w:val="20"/>
      <w:u w:val="none"/>
    </w:rPr>
  </w:style>
  <w:style w:type="character" w:customStyle="1" w:styleId="26">
    <w:name w:val="font01"/>
    <w:basedOn w:val="1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8" textRotate="1"/>
    <customShpInfo spid="_x0000_s2063" textRotate="1"/>
    <customShpInfo spid="_x0000_s2062" textRotate="1"/>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3598</Words>
  <Characters>20514</Characters>
  <Lines>170</Lines>
  <Paragraphs>48</Paragraphs>
  <TotalTime>15</TotalTime>
  <ScaleCrop>false</ScaleCrop>
  <LinksUpToDate>false</LinksUpToDate>
  <CharactersWithSpaces>24064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2020-04-25T16:31:00Z</dcterms:created>
  <dc:creator>lgm</dc:creator>
  <cp:lastModifiedBy>Admin</cp:lastModifiedBy>
  <cp:lastPrinted>2020-11-30T03:33:00Z</cp:lastPrinted>
  <dcterms:modified xsi:type="dcterms:W3CDTF">2021-11-18T03:13:42Z</dcterms:modified>
  <dc:title>河南天冠企业集团有限公司资产评估说明</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Creator">
    <vt:lpwstr>Microsoft® Office Word 2007</vt:lpwstr>
  </property>
  <property fmtid="{D5CDD505-2E9C-101B-9397-08002B2CF9AE}" pid="4" name="LastSaved">
    <vt:filetime>2020-04-25T00:00:00Z</vt:filetime>
  </property>
  <property fmtid="{D5CDD505-2E9C-101B-9397-08002B2CF9AE}" pid="5" name="KSOProductBuildVer">
    <vt:lpwstr>2052-11.1.0.11045</vt:lpwstr>
  </property>
  <property fmtid="{D5CDD505-2E9C-101B-9397-08002B2CF9AE}" pid="6" name="ICV">
    <vt:lpwstr>3FD5105ED24F4F2ABBE1C0496F94AC54</vt:lpwstr>
  </property>
</Properties>
</file>