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sz w:val="28"/>
          <w:szCs w:val="28"/>
        </w:rPr>
      </w:pPr>
      <w:bookmarkStart w:id="0" w:name="_Toc155258951"/>
      <w:bookmarkStart w:id="116" w:name="_GoBack"/>
      <w:bookmarkEnd w:id="116"/>
    </w:p>
    <w:p>
      <w:pPr>
        <w:rPr>
          <w:rFonts w:eastAsia="仿宋_GB2312"/>
          <w:b/>
          <w:sz w:val="28"/>
          <w:szCs w:val="28"/>
        </w:rPr>
      </w:pPr>
      <w:r>
        <w:rPr>
          <w:b/>
          <w:sz w:val="44"/>
        </w:rPr>
        <w:drawing>
          <wp:anchor distT="0" distB="0" distL="114300" distR="114300" simplePos="0" relativeHeight="251662336" behindDoc="0" locked="0" layoutInCell="1" allowOverlap="1">
            <wp:simplePos x="0" y="0"/>
            <wp:positionH relativeFrom="column">
              <wp:posOffset>4996815</wp:posOffset>
            </wp:positionH>
            <wp:positionV relativeFrom="paragraph">
              <wp:posOffset>81915</wp:posOffset>
            </wp:positionV>
            <wp:extent cx="895350" cy="8953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a:off x="0" y="0"/>
                      <a:ext cx="895350" cy="895350"/>
                    </a:xfrm>
                    <a:prstGeom prst="rect">
                      <a:avLst/>
                    </a:prstGeom>
                  </pic:spPr>
                </pic:pic>
              </a:graphicData>
            </a:graphic>
          </wp:anchor>
        </w:drawing>
      </w:r>
    </w:p>
    <w:p>
      <w:pPr>
        <w:rPr>
          <w:b/>
          <w:sz w:val="44"/>
        </w:rPr>
      </w:pPr>
    </w:p>
    <w:p>
      <w:pPr>
        <w:jc w:val="right"/>
        <w:rPr>
          <w:b/>
          <w:sz w:val="13"/>
          <w:szCs w:val="13"/>
        </w:rPr>
      </w:pPr>
    </w:p>
    <w:p>
      <w:pPr>
        <w:jc w:val="right"/>
        <w:rPr>
          <w:b/>
          <w:sz w:val="13"/>
          <w:szCs w:val="13"/>
        </w:rPr>
      </w:pPr>
    </w:p>
    <w:p>
      <w:pPr>
        <w:jc w:val="right"/>
        <w:rPr>
          <w:b/>
          <w:sz w:val="13"/>
          <w:szCs w:val="13"/>
        </w:rPr>
      </w:pPr>
    </w:p>
    <w:p>
      <w:pPr>
        <w:jc w:val="right"/>
        <w:rPr>
          <w:b/>
          <w:sz w:val="13"/>
          <w:szCs w:val="13"/>
        </w:rPr>
      </w:pPr>
    </w:p>
    <w:p>
      <w:pPr>
        <w:jc w:val="right"/>
        <w:rPr>
          <w:b/>
          <w:sz w:val="13"/>
          <w:szCs w:val="13"/>
        </w:rPr>
      </w:pPr>
    </w:p>
    <w:p>
      <w:pPr>
        <w:jc w:val="right"/>
        <w:rPr>
          <w:b/>
          <w:sz w:val="15"/>
          <w:szCs w:val="15"/>
        </w:rPr>
      </w:pPr>
      <w:r>
        <w:rPr>
          <w:b/>
          <w:sz w:val="15"/>
          <w:szCs w:val="15"/>
        </w:rPr>
        <w:t>防伪二维码</w:t>
      </w:r>
    </w:p>
    <w:p>
      <w:pPr>
        <w:jc w:val="right"/>
        <w:rPr>
          <w:b/>
          <w:sz w:val="13"/>
          <w:szCs w:val="13"/>
        </w:rPr>
      </w:pPr>
    </w:p>
    <w:p>
      <w:pPr>
        <w:jc w:val="right"/>
        <w:rPr>
          <w:b/>
          <w:sz w:val="13"/>
          <w:szCs w:val="13"/>
        </w:rPr>
      </w:pPr>
    </w:p>
    <w:p>
      <w:pPr>
        <w:tabs>
          <w:tab w:val="left" w:pos="709"/>
        </w:tabs>
        <w:adjustRightInd w:val="0"/>
        <w:snapToGrid w:val="0"/>
        <w:spacing w:line="480" w:lineRule="auto"/>
        <w:jc w:val="center"/>
        <w:rPr>
          <w:rFonts w:eastAsia="仿宋_GB2312"/>
          <w:b/>
          <w:sz w:val="44"/>
          <w:szCs w:val="44"/>
        </w:rPr>
      </w:pPr>
      <w:bookmarkStart w:id="1" w:name="_Toc387827675"/>
      <w:bookmarkStart w:id="2" w:name="_Toc384813564"/>
      <w:bookmarkStart w:id="3" w:name="_Toc382493596"/>
      <w:bookmarkStart w:id="4" w:name="_Toc383068114"/>
      <w:r>
        <w:rPr>
          <w:rFonts w:eastAsia="仿宋_GB2312"/>
          <w:b/>
          <w:sz w:val="44"/>
          <w:szCs w:val="44"/>
        </w:rPr>
        <w:t>房地产估价报告</w:t>
      </w:r>
      <w:bookmarkEnd w:id="0"/>
      <w:bookmarkEnd w:id="1"/>
      <w:bookmarkEnd w:id="2"/>
      <w:bookmarkEnd w:id="3"/>
      <w:bookmarkEnd w:id="4"/>
    </w:p>
    <w:p>
      <w:pPr>
        <w:tabs>
          <w:tab w:val="left" w:pos="540"/>
        </w:tabs>
        <w:snapToGrid w:val="0"/>
        <w:spacing w:line="480" w:lineRule="auto"/>
        <w:ind w:firstLine="630" w:firstLineChars="196"/>
        <w:rPr>
          <w:rFonts w:eastAsia="仿宋_GB2312"/>
          <w:b/>
          <w:sz w:val="32"/>
        </w:rPr>
      </w:pPr>
      <w:bookmarkStart w:id="5" w:name="_Toc155258952"/>
      <w:r>
        <w:rPr>
          <w:rFonts w:eastAsia="仿宋_GB2312"/>
          <w:b/>
          <w:sz w:val="32"/>
        </w:rPr>
        <w:t>估价报告编号</w:t>
      </w:r>
      <w:r>
        <w:rPr>
          <w:rFonts w:eastAsia="仿宋_GB2312"/>
          <w:sz w:val="32"/>
        </w:rPr>
        <w:t>：</w:t>
      </w:r>
      <w:r>
        <w:rPr>
          <w:rFonts w:hint="eastAsia" w:eastAsia="仿宋_GB2312"/>
          <w:sz w:val="32"/>
        </w:rPr>
        <w:t>（苏）国衡评房字（20</w:t>
      </w:r>
      <w:r>
        <w:rPr>
          <w:rFonts w:eastAsia="仿宋_GB2312"/>
          <w:sz w:val="32"/>
        </w:rPr>
        <w:t>2</w:t>
      </w:r>
      <w:r>
        <w:rPr>
          <w:rFonts w:hint="eastAsia" w:eastAsia="仿宋_GB2312"/>
          <w:sz w:val="32"/>
        </w:rPr>
        <w:t>2）第1155号</w:t>
      </w:r>
    </w:p>
    <w:p>
      <w:pPr>
        <w:tabs>
          <w:tab w:val="left" w:pos="709"/>
        </w:tabs>
        <w:adjustRightInd w:val="0"/>
        <w:snapToGrid w:val="0"/>
        <w:spacing w:line="480" w:lineRule="auto"/>
        <w:ind w:left="2889" w:leftChars="320" w:hanging="2249" w:hangingChars="700"/>
        <w:rPr>
          <w:rFonts w:eastAsia="仿宋_GB2312"/>
          <w:caps/>
        </w:rPr>
      </w:pPr>
      <w:r>
        <w:rPr>
          <w:rFonts w:eastAsia="仿宋_GB2312"/>
          <w:b/>
          <w:sz w:val="32"/>
        </w:rPr>
        <w:t>估价项目名称</w:t>
      </w:r>
      <w:r>
        <w:rPr>
          <w:rFonts w:eastAsia="仿宋_GB2312"/>
          <w:sz w:val="32"/>
        </w:rPr>
        <w:t>：南京市高淳区淳溪镇镇兴路177号银庭馨苑地下车库共13个车位及车库室市场价值评估</w:t>
      </w:r>
    </w:p>
    <w:p>
      <w:pPr>
        <w:tabs>
          <w:tab w:val="left" w:pos="709"/>
          <w:tab w:val="left" w:pos="851"/>
          <w:tab w:val="left" w:pos="993"/>
          <w:tab w:val="left" w:pos="1560"/>
        </w:tabs>
        <w:adjustRightInd w:val="0"/>
        <w:snapToGrid w:val="0"/>
        <w:spacing w:line="480" w:lineRule="auto"/>
        <w:ind w:firstLine="630" w:firstLineChars="196"/>
        <w:rPr>
          <w:rFonts w:eastAsia="仿宋_GB2312"/>
          <w:sz w:val="32"/>
        </w:rPr>
      </w:pPr>
      <w:r>
        <w:rPr>
          <w:rFonts w:eastAsia="仿宋_GB2312"/>
          <w:b/>
          <w:sz w:val="32"/>
        </w:rPr>
        <w:t>估价委托人</w:t>
      </w:r>
      <w:r>
        <w:rPr>
          <w:rFonts w:eastAsia="仿宋_GB2312"/>
          <w:sz w:val="32"/>
        </w:rPr>
        <w:t>：江苏快拍嘉网络科技有限公司</w:t>
      </w:r>
    </w:p>
    <w:p>
      <w:pPr>
        <w:tabs>
          <w:tab w:val="left" w:pos="709"/>
        </w:tabs>
        <w:adjustRightInd w:val="0"/>
        <w:snapToGrid w:val="0"/>
        <w:spacing w:line="480" w:lineRule="auto"/>
        <w:ind w:left="3162" w:leftChars="296" w:hanging="2570" w:hangingChars="800"/>
        <w:rPr>
          <w:rFonts w:eastAsia="仿宋_GB2312"/>
          <w:sz w:val="32"/>
        </w:rPr>
      </w:pPr>
      <w:r>
        <w:rPr>
          <w:rFonts w:eastAsia="仿宋_GB2312"/>
          <w:b/>
          <w:sz w:val="32"/>
        </w:rPr>
        <w:t>房地产估价机构</w:t>
      </w:r>
      <w:r>
        <w:rPr>
          <w:rFonts w:eastAsia="仿宋_GB2312"/>
          <w:sz w:val="32"/>
        </w:rPr>
        <w:t>：江苏国衡中测土地房地产资产评估咨询有限公司</w:t>
      </w:r>
    </w:p>
    <w:p>
      <w:pPr>
        <w:tabs>
          <w:tab w:val="left" w:pos="2520"/>
        </w:tabs>
        <w:adjustRightInd w:val="0"/>
        <w:snapToGrid w:val="0"/>
        <w:spacing w:line="480" w:lineRule="auto"/>
        <w:ind w:firstLine="630" w:firstLineChars="196"/>
        <w:rPr>
          <w:rFonts w:eastAsia="仿宋_GB2312"/>
          <w:sz w:val="32"/>
        </w:rPr>
      </w:pPr>
      <w:r>
        <w:rPr>
          <w:rFonts w:eastAsia="仿宋_GB2312"/>
          <w:b/>
          <w:sz w:val="32"/>
        </w:rPr>
        <w:t>注册房地产估价师</w:t>
      </w:r>
      <w:r>
        <w:rPr>
          <w:rFonts w:eastAsia="仿宋_GB2312"/>
          <w:sz w:val="32"/>
        </w:rPr>
        <w:t>：</w:t>
      </w:r>
      <w:r>
        <w:rPr>
          <w:rFonts w:hint="eastAsia" w:eastAsia="仿宋_GB2312"/>
          <w:sz w:val="32"/>
        </w:rPr>
        <w:t xml:space="preserve">李立令 </w:t>
      </w:r>
      <w:r>
        <w:rPr>
          <w:rFonts w:eastAsia="仿宋_GB2312"/>
          <w:sz w:val="32"/>
        </w:rPr>
        <w:t>注册号：3220170276</w:t>
      </w:r>
    </w:p>
    <w:p>
      <w:pPr>
        <w:tabs>
          <w:tab w:val="left" w:pos="2520"/>
        </w:tabs>
        <w:adjustRightInd w:val="0"/>
        <w:snapToGrid w:val="0"/>
        <w:spacing w:line="480" w:lineRule="auto"/>
        <w:ind w:firstLine="3507" w:firstLineChars="1096"/>
        <w:rPr>
          <w:rFonts w:eastAsia="仿宋_GB2312"/>
          <w:sz w:val="32"/>
          <w:szCs w:val="32"/>
        </w:rPr>
      </w:pPr>
      <w:r>
        <w:rPr>
          <w:rFonts w:hint="eastAsia" w:eastAsia="仿宋_GB2312"/>
          <w:sz w:val="32"/>
        </w:rPr>
        <w:t xml:space="preserve">赵  倩 </w:t>
      </w:r>
      <w:r>
        <w:rPr>
          <w:rFonts w:eastAsia="仿宋_GB2312"/>
          <w:sz w:val="32"/>
        </w:rPr>
        <w:t>注册号</w:t>
      </w:r>
      <w:r>
        <w:rPr>
          <w:rFonts w:eastAsia="仿宋_GB2312"/>
          <w:sz w:val="32"/>
          <w:szCs w:val="32"/>
        </w:rPr>
        <w:t>：</w:t>
      </w:r>
      <w:r>
        <w:rPr>
          <w:rFonts w:eastAsia="仿宋"/>
          <w:sz w:val="32"/>
          <w:szCs w:val="32"/>
        </w:rPr>
        <w:t>3220140172</w:t>
      </w:r>
    </w:p>
    <w:p>
      <w:pPr>
        <w:tabs>
          <w:tab w:val="left" w:pos="2520"/>
        </w:tabs>
        <w:adjustRightInd w:val="0"/>
        <w:snapToGrid w:val="0"/>
        <w:spacing w:line="480" w:lineRule="auto"/>
        <w:ind w:firstLine="630" w:firstLineChars="196"/>
        <w:rPr>
          <w:rFonts w:eastAsia="仿宋_GB2312"/>
          <w:sz w:val="32"/>
        </w:rPr>
      </w:pPr>
      <w:r>
        <w:rPr>
          <w:rFonts w:eastAsia="仿宋_GB2312"/>
          <w:b/>
          <w:sz w:val="32"/>
        </w:rPr>
        <w:t>估价报告出具日期：</w:t>
      </w:r>
      <w:r>
        <w:rPr>
          <w:rFonts w:eastAsia="仿宋_GB2312"/>
          <w:sz w:val="32"/>
          <w:szCs w:val="32"/>
        </w:rPr>
        <w:t>2022年08月18日</w:t>
      </w:r>
    </w:p>
    <w:bookmarkEnd w:id="5"/>
    <w:p>
      <w:pPr>
        <w:tabs>
          <w:tab w:val="left" w:pos="0"/>
        </w:tabs>
        <w:snapToGrid w:val="0"/>
        <w:spacing w:line="480" w:lineRule="auto"/>
        <w:ind w:firstLine="709"/>
        <w:rPr>
          <w:rFonts w:eastAsia="仿宋_GB2312"/>
          <w:b/>
          <w:snapToGrid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14" w:right="1276" w:bottom="1418" w:left="1701" w:header="1417" w:footer="737" w:gutter="0"/>
          <w:pgNumType w:start="0"/>
          <w:cols w:space="425" w:num="1"/>
          <w:titlePg/>
          <w:docGrid w:linePitch="312" w:charSpace="0"/>
        </w:sectPr>
      </w:pPr>
    </w:p>
    <w:p>
      <w:pPr>
        <w:snapToGrid w:val="0"/>
        <w:spacing w:line="360" w:lineRule="auto"/>
        <w:jc w:val="center"/>
        <w:rPr>
          <w:b/>
          <w:sz w:val="26"/>
          <w:szCs w:val="26"/>
        </w:rPr>
      </w:pPr>
      <w:r>
        <w:rPr>
          <w:rFonts w:eastAsia="仿宋_GB2312"/>
          <w:b/>
          <w:snapToGrid w:val="0"/>
          <w:sz w:val="36"/>
          <w:szCs w:val="36"/>
        </w:rPr>
        <w:t>致估价委托人函</w:t>
      </w:r>
      <w:r>
        <w:rPr>
          <w:b/>
          <w:sz w:val="26"/>
          <w:szCs w:val="26"/>
        </w:rPr>
        <w:fldChar w:fldCharType="begin"/>
      </w:r>
      <w:r>
        <w:rPr>
          <w:b/>
          <w:sz w:val="26"/>
          <w:szCs w:val="26"/>
        </w:rPr>
        <w:instrText xml:space="preserve"> TC "</w:instrText>
      </w:r>
      <w:bookmarkStart w:id="6" w:name="_Toc289260244"/>
      <w:bookmarkStart w:id="7" w:name="_Toc288212013"/>
      <w:r>
        <w:rPr>
          <w:b/>
          <w:sz w:val="26"/>
          <w:szCs w:val="26"/>
        </w:rPr>
        <w:instrText xml:space="preserve">一、致估价委托人函</w:instrText>
      </w:r>
      <w:bookmarkEnd w:id="6"/>
      <w:bookmarkEnd w:id="7"/>
      <w:r>
        <w:rPr>
          <w:b/>
          <w:sz w:val="26"/>
          <w:szCs w:val="26"/>
        </w:rPr>
        <w:instrText xml:space="preserve">" \f C \l "1"</w:instrText>
      </w:r>
      <w:r>
        <w:rPr>
          <w:b/>
          <w:sz w:val="26"/>
          <w:szCs w:val="26"/>
        </w:rPr>
        <w:fldChar w:fldCharType="end"/>
      </w:r>
    </w:p>
    <w:p>
      <w:pPr>
        <w:snapToGrid w:val="0"/>
        <w:spacing w:line="480" w:lineRule="exact"/>
        <w:jc w:val="both"/>
        <w:rPr>
          <w:rFonts w:eastAsia="仿宋_GB2312"/>
          <w:sz w:val="28"/>
          <w:szCs w:val="28"/>
        </w:rPr>
      </w:pPr>
      <w:bookmarkStart w:id="8" w:name="_Toc155258954"/>
      <w:bookmarkStart w:id="9" w:name="_Toc387827679"/>
      <w:bookmarkStart w:id="10" w:name="_Toc384813568"/>
      <w:bookmarkStart w:id="11" w:name="_Toc382493600"/>
      <w:bookmarkStart w:id="12" w:name="_Toc383068119"/>
      <w:r>
        <w:rPr>
          <w:rFonts w:eastAsia="仿宋_GB2312"/>
          <w:sz w:val="28"/>
          <w:szCs w:val="28"/>
        </w:rPr>
        <w:t>江苏快拍嘉网络科技有限公司：</w:t>
      </w:r>
      <w:bookmarkEnd w:id="8"/>
      <w:bookmarkEnd w:id="9"/>
      <w:bookmarkEnd w:id="10"/>
      <w:bookmarkEnd w:id="11"/>
      <w:bookmarkEnd w:id="12"/>
    </w:p>
    <w:p>
      <w:pPr>
        <w:snapToGrid w:val="0"/>
        <w:spacing w:afterLines="50" w:line="480" w:lineRule="exact"/>
        <w:ind w:firstLine="560" w:firstLineChars="200"/>
        <w:jc w:val="both"/>
        <w:rPr>
          <w:rFonts w:eastAsia="仿宋_GB2312"/>
          <w:sz w:val="28"/>
          <w:szCs w:val="28"/>
        </w:rPr>
      </w:pPr>
      <w:r>
        <w:rPr>
          <w:rFonts w:eastAsia="仿宋_GB2312"/>
          <w:sz w:val="28"/>
          <w:szCs w:val="28"/>
        </w:rPr>
        <w:t>承蒙委托，我公司对位于南京市高淳区淳溪镇镇兴路177号银庭馨苑地下车库共13个车位及车库室价值进行了估价，为估价委托人了解估价对象市场价值提供参考。估价对象基本情况如下：</w:t>
      </w:r>
    </w:p>
    <w:tbl>
      <w:tblPr>
        <w:tblStyle w:val="45"/>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25"/>
        <w:gridCol w:w="2692"/>
        <w:gridCol w:w="859"/>
        <w:gridCol w:w="706"/>
        <w:gridCol w:w="708"/>
        <w:gridCol w:w="847"/>
        <w:gridCol w:w="7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9"/>
            <w:vAlign w:val="center"/>
          </w:tcPr>
          <w:p>
            <w:pPr>
              <w:spacing w:line="240" w:lineRule="exact"/>
              <w:jc w:val="center"/>
              <w:rPr>
                <w:rFonts w:eastAsia="仿宋_GB2312"/>
                <w:szCs w:val="21"/>
              </w:rPr>
            </w:pPr>
            <w:bookmarkStart w:id="13" w:name="OLE_LINK8"/>
            <w:bookmarkStart w:id="14" w:name="OLE_LINK12"/>
            <w:bookmarkStart w:id="15" w:name="OLE_LINK7"/>
            <w:r>
              <w:rPr>
                <w:rFonts w:eastAsia="仿宋_GB2312"/>
                <w:szCs w:val="21"/>
              </w:rPr>
              <w:t>不动产登记</w:t>
            </w:r>
            <w:r>
              <w:rPr>
                <w:rFonts w:hint="eastAsia" w:eastAsia="仿宋_GB2312"/>
                <w:szCs w:val="21"/>
              </w:rPr>
              <w:t>资料</w:t>
            </w:r>
            <w:r>
              <w:rPr>
                <w:rFonts w:eastAsia="仿宋_GB2312"/>
                <w:szCs w:val="21"/>
              </w:rPr>
              <w:t>查询结果证明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19" w:type="pct"/>
            <w:vAlign w:val="center"/>
          </w:tcPr>
          <w:p>
            <w:pPr>
              <w:spacing w:line="240" w:lineRule="exact"/>
              <w:jc w:val="center"/>
              <w:rPr>
                <w:rFonts w:eastAsia="仿宋_GB2312"/>
                <w:szCs w:val="21"/>
              </w:rPr>
            </w:pPr>
            <w:r>
              <w:rPr>
                <w:rFonts w:eastAsia="仿宋_GB2312"/>
                <w:szCs w:val="21"/>
              </w:rPr>
              <w:t>证书号</w:t>
            </w:r>
          </w:p>
        </w:tc>
        <w:tc>
          <w:tcPr>
            <w:tcW w:w="239" w:type="pct"/>
            <w:vAlign w:val="center"/>
          </w:tcPr>
          <w:p>
            <w:pPr>
              <w:spacing w:line="240" w:lineRule="exact"/>
              <w:jc w:val="center"/>
              <w:rPr>
                <w:rFonts w:eastAsia="仿宋_GB2312"/>
                <w:szCs w:val="21"/>
              </w:rPr>
            </w:pPr>
            <w:r>
              <w:rPr>
                <w:rFonts w:eastAsia="仿宋_GB2312"/>
                <w:szCs w:val="21"/>
              </w:rPr>
              <w:t>权利人</w:t>
            </w:r>
          </w:p>
        </w:tc>
        <w:tc>
          <w:tcPr>
            <w:tcW w:w="1513" w:type="pct"/>
            <w:vAlign w:val="center"/>
          </w:tcPr>
          <w:p>
            <w:pPr>
              <w:spacing w:line="240" w:lineRule="exact"/>
              <w:jc w:val="center"/>
              <w:rPr>
                <w:rFonts w:eastAsia="仿宋_GB2312"/>
                <w:szCs w:val="21"/>
              </w:rPr>
            </w:pPr>
            <w:r>
              <w:rPr>
                <w:rFonts w:eastAsia="仿宋_GB2312"/>
                <w:szCs w:val="21"/>
              </w:rPr>
              <w:t>坐落</w:t>
            </w:r>
          </w:p>
        </w:tc>
        <w:tc>
          <w:tcPr>
            <w:tcW w:w="483" w:type="pct"/>
            <w:vAlign w:val="center"/>
          </w:tcPr>
          <w:p>
            <w:pPr>
              <w:spacing w:line="240" w:lineRule="exact"/>
              <w:jc w:val="center"/>
              <w:rPr>
                <w:rFonts w:eastAsia="仿宋_GB2312"/>
                <w:szCs w:val="21"/>
              </w:rPr>
            </w:pPr>
            <w:r>
              <w:rPr>
                <w:rFonts w:eastAsia="仿宋_GB2312"/>
                <w:szCs w:val="21"/>
              </w:rPr>
              <w:t>所在层数/总层数</w:t>
            </w:r>
          </w:p>
        </w:tc>
        <w:tc>
          <w:tcPr>
            <w:tcW w:w="397" w:type="pct"/>
            <w:vAlign w:val="center"/>
          </w:tcPr>
          <w:p>
            <w:pPr>
              <w:spacing w:line="240" w:lineRule="exact"/>
              <w:jc w:val="center"/>
              <w:rPr>
                <w:rFonts w:eastAsia="仿宋_GB2312"/>
                <w:szCs w:val="21"/>
              </w:rPr>
            </w:pPr>
            <w:r>
              <w:rPr>
                <w:rFonts w:hint="eastAsia" w:eastAsia="仿宋_GB2312"/>
                <w:szCs w:val="21"/>
              </w:rPr>
              <w:t>房屋</w:t>
            </w:r>
            <w:r>
              <w:rPr>
                <w:rFonts w:eastAsia="仿宋_GB2312"/>
                <w:szCs w:val="21"/>
              </w:rPr>
              <w:t>用途</w:t>
            </w:r>
          </w:p>
        </w:tc>
        <w:tc>
          <w:tcPr>
            <w:tcW w:w="398" w:type="pct"/>
            <w:vAlign w:val="center"/>
          </w:tcPr>
          <w:p>
            <w:pPr>
              <w:spacing w:line="240" w:lineRule="exact"/>
              <w:jc w:val="center"/>
              <w:rPr>
                <w:rFonts w:eastAsia="仿宋_GB2312"/>
                <w:szCs w:val="21"/>
              </w:rPr>
            </w:pPr>
            <w:r>
              <w:rPr>
                <w:rFonts w:eastAsia="仿宋_GB2312"/>
                <w:szCs w:val="21"/>
              </w:rPr>
              <w:t>土地权利性质</w:t>
            </w:r>
          </w:p>
        </w:tc>
        <w:tc>
          <w:tcPr>
            <w:tcW w:w="476" w:type="pct"/>
            <w:vAlign w:val="center"/>
          </w:tcPr>
          <w:p>
            <w:pPr>
              <w:spacing w:line="240" w:lineRule="exact"/>
              <w:jc w:val="center"/>
              <w:rPr>
                <w:rFonts w:eastAsia="仿宋_GB2312"/>
                <w:szCs w:val="21"/>
              </w:rPr>
            </w:pPr>
            <w:r>
              <w:rPr>
                <w:rFonts w:eastAsia="仿宋_GB2312"/>
                <w:szCs w:val="21"/>
              </w:rPr>
              <w:t>建筑面积(m</w:t>
            </w:r>
            <w:r>
              <w:rPr>
                <w:rFonts w:eastAsia="仿宋_GB2312"/>
                <w:szCs w:val="21"/>
                <w:vertAlign w:val="superscript"/>
              </w:rPr>
              <w:t>2</w:t>
            </w:r>
            <w:r>
              <w:rPr>
                <w:rFonts w:eastAsia="仿宋_GB2312"/>
                <w:szCs w:val="21"/>
              </w:rPr>
              <w:t>)</w:t>
            </w:r>
          </w:p>
        </w:tc>
        <w:tc>
          <w:tcPr>
            <w:tcW w:w="402" w:type="pct"/>
            <w:vAlign w:val="center"/>
          </w:tcPr>
          <w:p>
            <w:pPr>
              <w:spacing w:line="240" w:lineRule="exact"/>
              <w:jc w:val="center"/>
              <w:rPr>
                <w:rFonts w:eastAsia="仿宋_GB2312"/>
                <w:szCs w:val="21"/>
              </w:rPr>
            </w:pPr>
            <w:r>
              <w:rPr>
                <w:rFonts w:hint="eastAsia" w:eastAsia="仿宋_GB2312"/>
                <w:szCs w:val="21"/>
              </w:rPr>
              <w:t>土地用途</w:t>
            </w:r>
          </w:p>
        </w:tc>
        <w:tc>
          <w:tcPr>
            <w:tcW w:w="473" w:type="pct"/>
            <w:vAlign w:val="center"/>
          </w:tcPr>
          <w:p>
            <w:pPr>
              <w:spacing w:line="240" w:lineRule="exact"/>
              <w:jc w:val="center"/>
              <w:rPr>
                <w:rFonts w:eastAsia="仿宋_GB2312"/>
                <w:szCs w:val="21"/>
              </w:rPr>
            </w:pPr>
            <w:r>
              <w:rPr>
                <w:rFonts w:hint="eastAsia" w:eastAsia="仿宋_GB2312"/>
                <w:szCs w:val="21"/>
              </w:rPr>
              <w:t>土地使用权期限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淳初字第049313号</w:t>
            </w:r>
          </w:p>
        </w:tc>
        <w:tc>
          <w:tcPr>
            <w:tcW w:w="239" w:type="pct"/>
            <w:vMerge w:val="restart"/>
            <w:shd w:val="clear" w:color="000000" w:fill="FFFFFF"/>
            <w:vAlign w:val="center"/>
          </w:tcPr>
          <w:p>
            <w:pPr>
              <w:spacing w:line="240" w:lineRule="exact"/>
              <w:jc w:val="center"/>
              <w:rPr>
                <w:rFonts w:eastAsia="仿宋_GB2312"/>
                <w:szCs w:val="21"/>
              </w:rPr>
            </w:pPr>
            <w:r>
              <w:rPr>
                <w:rFonts w:eastAsia="仿宋_GB2312"/>
                <w:szCs w:val="21"/>
              </w:rPr>
              <w:t>南京银垣房地产开发有限公司</w:t>
            </w: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淳溪镇镇兴路177号银庭馨苑地下车库001号车库室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车库</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21.45</w:t>
            </w:r>
          </w:p>
        </w:tc>
        <w:tc>
          <w:tcPr>
            <w:tcW w:w="402" w:type="pct"/>
            <w:vMerge w:val="restart"/>
            <w:shd w:val="clear" w:color="000000" w:fill="FFFFFF"/>
            <w:vAlign w:val="center"/>
          </w:tcPr>
          <w:p>
            <w:pPr>
              <w:spacing w:line="240" w:lineRule="exact"/>
              <w:jc w:val="center"/>
              <w:rPr>
                <w:rFonts w:eastAsia="仿宋_GB2312"/>
                <w:szCs w:val="21"/>
              </w:rPr>
            </w:pPr>
            <w:r>
              <w:rPr>
                <w:rFonts w:hint="eastAsia" w:eastAsia="仿宋_GB2312"/>
                <w:szCs w:val="21"/>
              </w:rPr>
              <w:t>城镇单一住宅用地</w:t>
            </w:r>
          </w:p>
        </w:tc>
        <w:tc>
          <w:tcPr>
            <w:tcW w:w="473" w:type="pct"/>
            <w:vMerge w:val="restart"/>
            <w:shd w:val="clear" w:color="000000" w:fill="FFFFFF"/>
            <w:vAlign w:val="center"/>
          </w:tcPr>
          <w:p>
            <w:pPr>
              <w:spacing w:line="240" w:lineRule="exact"/>
              <w:jc w:val="center"/>
              <w:rPr>
                <w:rFonts w:eastAsia="仿宋_GB2312"/>
                <w:szCs w:val="21"/>
              </w:rPr>
            </w:pPr>
            <w:r>
              <w:rPr>
                <w:rFonts w:hint="eastAsia" w:eastAsia="仿宋_GB2312"/>
                <w:szCs w:val="21"/>
              </w:rPr>
              <w:t>2081-01-31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淳初字第049321号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淳溪镇镇兴路177号银庭馨苑地下车库009号车位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淳初字第049475号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淳溪镇镇兴路177号银庭馨苑地下车库163号车库室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26.47</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淳初字第049484号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淳溪镇镇兴路177号银庭馨苑地下车库172号车库室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27.87</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淳初字第049485号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淳溪镇镇兴路177号银庭馨苑地下车库173号车库室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23.51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淳初字第049492号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淳溪镇镇兴路177号银庭馨苑地下车库180号车位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淳溪镇镇兴路177号银庭馨苑地下车库183号车位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淳初字第049497号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淳溪镇镇兴路177号银庭馨苑地下车库185号车位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淳初字第049498号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淳溪镇镇兴路177号银庭馨苑地下车库186号车位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淳初字第049499号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淳溪镇镇兴路177号银庭馨苑地下车库187号车位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淳初字第049507号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淳溪镇镇兴路177号银庭馨苑地下车库195号车位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淳初字第049508号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淳溪镇镇兴路177号银庭馨苑地下车库196号车位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淳初字第049519号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淳溪镇镇兴路177号银庭馨苑地下车库207号车位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合计</w:t>
            </w:r>
          </w:p>
        </w:tc>
        <w:tc>
          <w:tcPr>
            <w:tcW w:w="239" w:type="pct"/>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p>
        </w:tc>
        <w:tc>
          <w:tcPr>
            <w:tcW w:w="483" w:type="pct"/>
            <w:shd w:val="clear" w:color="000000" w:fill="FFFFFF"/>
            <w:vAlign w:val="center"/>
          </w:tcPr>
          <w:p>
            <w:pPr>
              <w:spacing w:line="240" w:lineRule="exact"/>
              <w:jc w:val="center"/>
              <w:rPr>
                <w:rFonts w:eastAsia="仿宋_GB2312"/>
                <w:szCs w:val="21"/>
              </w:rPr>
            </w:pPr>
          </w:p>
        </w:tc>
        <w:tc>
          <w:tcPr>
            <w:tcW w:w="397" w:type="pct"/>
            <w:shd w:val="clear" w:color="000000" w:fill="FFFFFF"/>
            <w:vAlign w:val="center"/>
          </w:tcPr>
          <w:p>
            <w:pPr>
              <w:spacing w:line="240" w:lineRule="exact"/>
              <w:jc w:val="center"/>
              <w:rPr>
                <w:rFonts w:eastAsia="仿宋_GB2312"/>
                <w:szCs w:val="21"/>
              </w:rPr>
            </w:pPr>
          </w:p>
        </w:tc>
        <w:tc>
          <w:tcPr>
            <w:tcW w:w="398" w:type="pct"/>
            <w:shd w:val="clear" w:color="000000" w:fill="FFFFFF"/>
            <w:vAlign w:val="center"/>
          </w:tcPr>
          <w:p>
            <w:pPr>
              <w:spacing w:line="240" w:lineRule="exact"/>
              <w:jc w:val="center"/>
              <w:rPr>
                <w:rFonts w:eastAsia="仿宋_GB2312"/>
                <w:szCs w:val="21"/>
              </w:rPr>
            </w:pP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225.39</w:t>
            </w:r>
          </w:p>
        </w:tc>
        <w:tc>
          <w:tcPr>
            <w:tcW w:w="402" w:type="pct"/>
            <w:shd w:val="clear" w:color="000000" w:fill="FFFFFF"/>
            <w:vAlign w:val="center"/>
          </w:tcPr>
          <w:p>
            <w:pPr>
              <w:spacing w:line="240" w:lineRule="exact"/>
              <w:jc w:val="center"/>
              <w:rPr>
                <w:rFonts w:eastAsia="仿宋_GB2312"/>
                <w:szCs w:val="21"/>
              </w:rPr>
            </w:pPr>
          </w:p>
        </w:tc>
        <w:tc>
          <w:tcPr>
            <w:tcW w:w="473" w:type="pct"/>
            <w:shd w:val="clear" w:color="000000" w:fill="FFFFFF"/>
            <w:vAlign w:val="center"/>
          </w:tcPr>
          <w:p>
            <w:pPr>
              <w:spacing w:line="240" w:lineRule="exact"/>
              <w:jc w:val="center"/>
              <w:rPr>
                <w:rFonts w:eastAsia="仿宋_GB2312"/>
                <w:szCs w:val="21"/>
              </w:rPr>
            </w:pPr>
          </w:p>
        </w:tc>
      </w:tr>
      <w:bookmarkEnd w:id="13"/>
      <w:bookmarkEnd w:id="14"/>
      <w:bookmarkEnd w:id="15"/>
    </w:tbl>
    <w:p>
      <w:pPr>
        <w:snapToGrid w:val="0"/>
        <w:spacing w:beforeLines="50" w:line="480" w:lineRule="exact"/>
        <w:jc w:val="both"/>
        <w:rPr>
          <w:rFonts w:eastAsia="仿宋_GB2312"/>
          <w:sz w:val="28"/>
          <w:szCs w:val="28"/>
        </w:rPr>
      </w:pPr>
      <w:r>
        <w:rPr>
          <w:rFonts w:hint="eastAsia" w:eastAsia="仿宋_GB2312"/>
          <w:sz w:val="28"/>
          <w:szCs w:val="28"/>
        </w:rPr>
        <w:t xml:space="preserve">    </w:t>
      </w:r>
      <w:r>
        <w:rPr>
          <w:rFonts w:eastAsia="仿宋_GB2312"/>
          <w:sz w:val="28"/>
          <w:szCs w:val="28"/>
        </w:rPr>
        <w:t>价值时点：2022年08月09日。</w:t>
      </w:r>
    </w:p>
    <w:p>
      <w:pPr>
        <w:snapToGrid w:val="0"/>
        <w:spacing w:line="480" w:lineRule="exact"/>
        <w:ind w:firstLine="560" w:firstLineChars="200"/>
        <w:jc w:val="both"/>
        <w:rPr>
          <w:rFonts w:eastAsia="仿宋_GB2312"/>
          <w:sz w:val="28"/>
          <w:szCs w:val="28"/>
        </w:rPr>
      </w:pPr>
      <w:r>
        <w:rPr>
          <w:rFonts w:eastAsia="仿宋_GB2312"/>
          <w:sz w:val="28"/>
          <w:szCs w:val="28"/>
        </w:rPr>
        <w:t>价值类型：市场价值。</w:t>
      </w:r>
    </w:p>
    <w:p>
      <w:pPr>
        <w:snapToGrid w:val="0"/>
        <w:spacing w:line="480" w:lineRule="exact"/>
        <w:ind w:firstLine="560" w:firstLineChars="200"/>
        <w:jc w:val="both"/>
        <w:rPr>
          <w:rFonts w:eastAsia="仿宋_GB2312"/>
          <w:sz w:val="28"/>
          <w:szCs w:val="28"/>
        </w:rPr>
      </w:pPr>
      <w:r>
        <w:rPr>
          <w:rFonts w:eastAsia="仿宋_GB2312"/>
          <w:sz w:val="28"/>
          <w:szCs w:val="28"/>
        </w:rPr>
        <w:t>估价人员遵循各项估价原则，根据估价目的和国家有关房地产估价的规范、规定，按照估价程序，经过实地查勘与市场调查，选取比较法对估价对象进行了测算，确定估价对象在满足全部假设和限制条件下于价值时点2022年08月09日的估价结果如下：（币种：人民币）</w:t>
      </w:r>
    </w:p>
    <w:p>
      <w:pPr>
        <w:snapToGrid w:val="0"/>
        <w:spacing w:line="480" w:lineRule="exact"/>
        <w:ind w:firstLine="562" w:firstLineChars="200"/>
        <w:jc w:val="both"/>
        <w:rPr>
          <w:rFonts w:eastAsia="仿宋_GB2312"/>
          <w:b/>
          <w:kern w:val="2"/>
          <w:sz w:val="28"/>
          <w:szCs w:val="28"/>
        </w:rPr>
      </w:pPr>
      <w:r>
        <w:rPr>
          <w:rFonts w:hint="eastAsia" w:eastAsia="仿宋_GB2312"/>
          <w:b/>
          <w:kern w:val="2"/>
          <w:sz w:val="28"/>
          <w:szCs w:val="28"/>
        </w:rPr>
        <w:t>总价：95万元，大写金额：玖拾伍万元整。</w:t>
      </w:r>
    </w:p>
    <w:p>
      <w:pPr>
        <w:snapToGrid w:val="0"/>
        <w:spacing w:line="480" w:lineRule="exact"/>
        <w:ind w:firstLine="560" w:firstLineChars="200"/>
        <w:jc w:val="both"/>
        <w:rPr>
          <w:rFonts w:eastAsia="仿宋_GB2312"/>
          <w:kern w:val="2"/>
          <w:sz w:val="28"/>
          <w:szCs w:val="28"/>
        </w:rPr>
      </w:pPr>
      <w:r>
        <w:rPr>
          <w:rFonts w:hint="eastAsia" w:eastAsia="仿宋_GB2312"/>
          <w:kern w:val="2"/>
          <w:sz w:val="28"/>
          <w:szCs w:val="28"/>
        </w:rPr>
        <w:t>明细如下：</w:t>
      </w:r>
    </w:p>
    <w:tbl>
      <w:tblPr>
        <w:tblStyle w:val="45"/>
        <w:tblW w:w="5000" w:type="pct"/>
        <w:tblInd w:w="0" w:type="dxa"/>
        <w:tblLayout w:type="autofit"/>
        <w:tblCellMar>
          <w:top w:w="0" w:type="dxa"/>
          <w:left w:w="108" w:type="dxa"/>
          <w:bottom w:w="0" w:type="dxa"/>
          <w:right w:w="108" w:type="dxa"/>
        </w:tblCellMar>
      </w:tblPr>
      <w:tblGrid>
        <w:gridCol w:w="5069"/>
        <w:gridCol w:w="1418"/>
        <w:gridCol w:w="1277"/>
        <w:gridCol w:w="956"/>
      </w:tblGrid>
      <w:tr>
        <w:tblPrEx>
          <w:tblCellMar>
            <w:top w:w="0" w:type="dxa"/>
            <w:left w:w="108" w:type="dxa"/>
            <w:bottom w:w="0" w:type="dxa"/>
            <w:right w:w="108" w:type="dxa"/>
          </w:tblCellMar>
        </w:tblPrEx>
        <w:trPr>
          <w:trHeight w:val="85" w:hRule="atLeast"/>
        </w:trPr>
        <w:tc>
          <w:tcPr>
            <w:tcW w:w="29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eastAsia="仿宋_GB2312"/>
                <w:color w:val="000000"/>
              </w:rPr>
            </w:pPr>
            <w:r>
              <w:rPr>
                <w:rFonts w:eastAsia="仿宋_GB2312"/>
                <w:color w:val="000000"/>
              </w:rPr>
              <w:t>坐落</w:t>
            </w:r>
          </w:p>
        </w:tc>
        <w:tc>
          <w:tcPr>
            <w:tcW w:w="813" w:type="pc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eastAsia="仿宋_GB2312"/>
                <w:color w:val="000000"/>
              </w:rPr>
            </w:pPr>
            <w:r>
              <w:rPr>
                <w:rFonts w:eastAsia="仿宋_GB2312"/>
                <w:color w:val="000000"/>
              </w:rPr>
              <w:t>建筑面积(m</w:t>
            </w:r>
            <w:r>
              <w:rPr>
                <w:rFonts w:eastAsia="仿宋_GB2312"/>
                <w:color w:val="000000"/>
                <w:vertAlign w:val="superscript"/>
              </w:rPr>
              <w:t>2</w:t>
            </w:r>
            <w:r>
              <w:rPr>
                <w:rFonts w:eastAsia="仿宋_GB2312"/>
                <w:color w:val="000000"/>
              </w:rPr>
              <w:t>)</w:t>
            </w:r>
          </w:p>
        </w:tc>
        <w:tc>
          <w:tcPr>
            <w:tcW w:w="732" w:type="pc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eastAsia="仿宋_GB2312"/>
                <w:color w:val="000000"/>
              </w:rPr>
            </w:pPr>
            <w:r>
              <w:rPr>
                <w:rFonts w:eastAsia="仿宋_GB2312"/>
                <w:color w:val="000000"/>
              </w:rPr>
              <w:t>房屋用途</w:t>
            </w:r>
          </w:p>
        </w:tc>
        <w:tc>
          <w:tcPr>
            <w:tcW w:w="548" w:type="pc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eastAsia="仿宋_GB2312"/>
                <w:color w:val="000000"/>
              </w:rPr>
            </w:pPr>
            <w:r>
              <w:rPr>
                <w:rFonts w:eastAsia="仿宋_GB2312"/>
                <w:color w:val="000000"/>
              </w:rPr>
              <w:t>总价（万元）</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淳溪镇镇兴路177号银庭馨苑地下车库001号车库室</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21.45</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车库</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9 </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淳溪镇镇兴路177号银庭馨苑地下车库009号车位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淳溪镇镇兴路177号银庭馨苑地下车库163号车库室</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26.47</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11 </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淳溪镇镇兴路177号银庭馨苑地下车库172号车库室</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27.87</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11 </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淳溪镇镇兴路177号银庭馨苑地下车库173号车库室</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23.51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10 </w:t>
            </w:r>
          </w:p>
        </w:tc>
      </w:tr>
      <w:tr>
        <w:tblPrEx>
          <w:tblCellMar>
            <w:top w:w="0" w:type="dxa"/>
            <w:left w:w="108" w:type="dxa"/>
            <w:bottom w:w="0" w:type="dxa"/>
            <w:right w:w="108" w:type="dxa"/>
          </w:tblCellMar>
        </w:tblPrEx>
        <w:trPr>
          <w:trHeight w:val="70"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淳溪镇镇兴路177号银庭馨苑地下车库180号车位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淳溪镇镇兴路177号银庭馨苑地下车库183号车位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淳溪镇镇兴路177号银庭馨苑地下车库185号车位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淳溪镇镇兴路177号银庭馨苑地下车库186号车位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淳溪镇镇兴路177号银庭馨苑地下车库187号车位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淳溪镇镇兴路177号银庭馨苑地下车库195号车位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淳溪镇镇兴路177号银庭馨苑地下车库196号车位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103" w:hRule="atLeast"/>
        </w:trPr>
        <w:tc>
          <w:tcPr>
            <w:tcW w:w="2907" w:type="pct"/>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淳溪镇镇兴路177号银庭馨苑地下车库207号车位</w:t>
            </w:r>
          </w:p>
        </w:tc>
        <w:tc>
          <w:tcPr>
            <w:tcW w:w="813"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732" w:type="pct"/>
            <w:tcBorders>
              <w:top w:val="nil"/>
              <w:left w:val="nil"/>
              <w:bottom w:val="single" w:color="auto" w:sz="4" w:space="0"/>
              <w:right w:val="single" w:color="auto" w:sz="4" w:space="0"/>
            </w:tcBorders>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 xml:space="preserve">6 </w:t>
            </w:r>
          </w:p>
        </w:tc>
      </w:tr>
      <w:tr>
        <w:tblPrEx>
          <w:tblCellMar>
            <w:top w:w="0" w:type="dxa"/>
            <w:left w:w="108" w:type="dxa"/>
            <w:bottom w:w="0" w:type="dxa"/>
            <w:right w:w="108" w:type="dxa"/>
          </w:tblCellMar>
        </w:tblPrEx>
        <w:trPr>
          <w:trHeight w:val="270" w:hRule="atLeast"/>
        </w:trPr>
        <w:tc>
          <w:tcPr>
            <w:tcW w:w="2907"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eastAsia="仿宋_GB2312"/>
                <w:color w:val="000000"/>
              </w:rPr>
            </w:pPr>
            <w:r>
              <w:rPr>
                <w:rFonts w:eastAsia="仿宋_GB2312"/>
                <w:color w:val="000000"/>
              </w:rPr>
              <w:t>合计</w:t>
            </w:r>
          </w:p>
        </w:tc>
        <w:tc>
          <w:tcPr>
            <w:tcW w:w="813" w:type="pct"/>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hint="eastAsia" w:eastAsia="仿宋_GB2312"/>
                <w:szCs w:val="21"/>
              </w:rPr>
              <w:t>225.39</w:t>
            </w:r>
          </w:p>
        </w:tc>
        <w:tc>
          <w:tcPr>
            <w:tcW w:w="732"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rPr>
            </w:pPr>
            <w:r>
              <w:rPr>
                <w:rFonts w:eastAsia="仿宋_GB2312"/>
              </w:rPr>
              <w:t>—</w:t>
            </w:r>
          </w:p>
        </w:tc>
        <w:tc>
          <w:tcPr>
            <w:tcW w:w="54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eastAsia="仿宋_GB2312"/>
                <w:szCs w:val="21"/>
              </w:rPr>
            </w:pPr>
            <w:r>
              <w:rPr>
                <w:rFonts w:eastAsia="仿宋_GB2312"/>
                <w:szCs w:val="21"/>
              </w:rPr>
              <w:t>95</w:t>
            </w:r>
          </w:p>
        </w:tc>
      </w:tr>
    </w:tbl>
    <w:p>
      <w:pPr>
        <w:widowControl w:val="0"/>
        <w:spacing w:beforeLines="100" w:line="480" w:lineRule="exact"/>
        <w:ind w:left="420" w:right="17"/>
        <w:jc w:val="both"/>
        <w:rPr>
          <w:rFonts w:eastAsia="仿宋_GB2312"/>
          <w:bCs/>
          <w:sz w:val="28"/>
          <w:szCs w:val="28"/>
        </w:rPr>
      </w:pPr>
      <w:r>
        <w:rPr>
          <w:rFonts w:eastAsia="仿宋_GB2312"/>
          <w:bCs/>
          <w:sz w:val="28"/>
          <w:szCs w:val="28"/>
        </w:rPr>
        <w:t>特别提示</w:t>
      </w:r>
      <w:r>
        <w:rPr>
          <w:rFonts w:hint="eastAsia" w:eastAsia="仿宋_GB2312"/>
          <w:bCs/>
          <w:sz w:val="28"/>
          <w:szCs w:val="28"/>
        </w:rPr>
        <w:t>：</w:t>
      </w:r>
    </w:p>
    <w:p>
      <w:pPr>
        <w:tabs>
          <w:tab w:val="left" w:pos="993"/>
        </w:tabs>
        <w:adjustRightInd w:val="0"/>
        <w:snapToGrid w:val="0"/>
        <w:spacing w:line="480" w:lineRule="exact"/>
        <w:ind w:firstLine="560" w:firstLineChars="200"/>
        <w:jc w:val="both"/>
        <w:rPr>
          <w:rFonts w:eastAsia="仿宋_GB2312"/>
          <w:color w:val="000000" w:themeColor="text1"/>
          <w:sz w:val="28"/>
          <w:szCs w:val="28"/>
        </w:rPr>
      </w:pPr>
      <w:r>
        <w:rPr>
          <w:rFonts w:hint="eastAsia" w:eastAsia="仿宋_GB2312"/>
          <w:color w:val="000000" w:themeColor="text1"/>
          <w:sz w:val="28"/>
          <w:szCs w:val="28"/>
        </w:rPr>
        <w:t>1.</w:t>
      </w:r>
      <w:r>
        <w:rPr>
          <w:rFonts w:eastAsia="仿宋_GB2312"/>
          <w:color w:val="000000" w:themeColor="text1"/>
          <w:sz w:val="28"/>
          <w:szCs w:val="28"/>
        </w:rPr>
        <w:t>本报告仅限于估价委托人了解估价对象市场价值使用，不作他用。</w:t>
      </w:r>
    </w:p>
    <w:p>
      <w:pPr>
        <w:tabs>
          <w:tab w:val="left" w:pos="993"/>
        </w:tabs>
        <w:adjustRightInd w:val="0"/>
        <w:snapToGrid w:val="0"/>
        <w:spacing w:line="480" w:lineRule="exact"/>
        <w:ind w:firstLine="560" w:firstLineChars="200"/>
        <w:jc w:val="both"/>
        <w:rPr>
          <w:rFonts w:eastAsia="仿宋_GB2312"/>
          <w:color w:val="000000" w:themeColor="text1"/>
          <w:sz w:val="28"/>
          <w:szCs w:val="28"/>
        </w:rPr>
      </w:pPr>
      <w:r>
        <w:rPr>
          <w:rFonts w:hint="eastAsia" w:eastAsia="仿宋_GB2312"/>
          <w:color w:val="000000" w:themeColor="text1"/>
          <w:sz w:val="28"/>
          <w:szCs w:val="28"/>
        </w:rPr>
        <w:t>2</w:t>
      </w:r>
      <w:r>
        <w:rPr>
          <w:rFonts w:eastAsia="仿宋_GB2312"/>
          <w:color w:val="000000" w:themeColor="text1"/>
          <w:sz w:val="28"/>
          <w:szCs w:val="28"/>
        </w:rPr>
        <w:t>. 估价报告应用的有效期为自2022年08月18日至202</w:t>
      </w:r>
      <w:r>
        <w:rPr>
          <w:rFonts w:hint="eastAsia" w:eastAsia="仿宋_GB2312"/>
          <w:color w:val="000000" w:themeColor="text1"/>
          <w:sz w:val="28"/>
          <w:szCs w:val="28"/>
        </w:rPr>
        <w:t>3</w:t>
      </w:r>
      <w:r>
        <w:rPr>
          <w:rFonts w:eastAsia="仿宋_GB2312"/>
          <w:color w:val="000000" w:themeColor="text1"/>
          <w:sz w:val="28"/>
          <w:szCs w:val="28"/>
        </w:rPr>
        <w:t>年</w:t>
      </w:r>
      <w:r>
        <w:rPr>
          <w:rFonts w:hint="eastAsia" w:eastAsia="仿宋_GB2312"/>
          <w:color w:val="000000" w:themeColor="text1"/>
          <w:sz w:val="28"/>
          <w:szCs w:val="28"/>
        </w:rPr>
        <w:t>08</w:t>
      </w:r>
      <w:r>
        <w:rPr>
          <w:rFonts w:eastAsia="仿宋_GB2312"/>
          <w:color w:val="000000" w:themeColor="text1"/>
          <w:sz w:val="28"/>
          <w:szCs w:val="28"/>
        </w:rPr>
        <w:t>月</w:t>
      </w:r>
      <w:r>
        <w:rPr>
          <w:rFonts w:hint="eastAsia" w:eastAsia="仿宋_GB2312"/>
          <w:color w:val="000000" w:themeColor="text1"/>
          <w:sz w:val="28"/>
          <w:szCs w:val="28"/>
        </w:rPr>
        <w:t>17</w:t>
      </w:r>
      <w:r>
        <w:rPr>
          <w:rFonts w:eastAsia="仿宋_GB2312"/>
          <w:color w:val="000000" w:themeColor="text1"/>
          <w:sz w:val="28"/>
          <w:szCs w:val="28"/>
        </w:rPr>
        <w:t>日。</w:t>
      </w:r>
    </w:p>
    <w:p>
      <w:pPr>
        <w:tabs>
          <w:tab w:val="left" w:pos="993"/>
        </w:tabs>
        <w:adjustRightInd w:val="0"/>
        <w:snapToGrid w:val="0"/>
        <w:spacing w:line="480" w:lineRule="exact"/>
        <w:ind w:firstLine="560" w:firstLineChars="200"/>
        <w:jc w:val="both"/>
        <w:rPr>
          <w:rFonts w:eastAsia="仿宋_GB2312"/>
          <w:color w:val="000000" w:themeColor="text1"/>
          <w:sz w:val="28"/>
          <w:szCs w:val="28"/>
        </w:rPr>
      </w:pPr>
      <w:r>
        <w:rPr>
          <w:rFonts w:hint="eastAsia" w:eastAsia="仿宋_GB2312"/>
          <w:color w:val="000000" w:themeColor="text1"/>
          <w:sz w:val="28"/>
          <w:szCs w:val="28"/>
        </w:rPr>
        <w:t xml:space="preserve">3. </w:t>
      </w:r>
      <w:r>
        <w:rPr>
          <w:rFonts w:eastAsia="仿宋_GB2312"/>
          <w:color w:val="000000" w:themeColor="text1"/>
          <w:sz w:val="28"/>
          <w:szCs w:val="28"/>
        </w:rPr>
        <w:t>本估价报告的全文为一个不可分割的整体，报告使用者请详细查阅本报告的估价师声明、估价的假设与限制条件、房地产估价结果报告，以对本报告有一个全面正确的了解。</w:t>
      </w:r>
    </w:p>
    <w:p>
      <w:pPr>
        <w:tabs>
          <w:tab w:val="left" w:pos="993"/>
        </w:tabs>
        <w:adjustRightInd w:val="0"/>
        <w:snapToGrid w:val="0"/>
        <w:spacing w:line="480" w:lineRule="exact"/>
        <w:ind w:firstLine="560" w:firstLineChars="200"/>
        <w:jc w:val="both"/>
        <w:rPr>
          <w:rFonts w:eastAsia="仿宋_GB2312"/>
          <w:color w:val="000000" w:themeColor="text1"/>
          <w:sz w:val="28"/>
          <w:szCs w:val="28"/>
        </w:rPr>
      </w:pPr>
      <w:r>
        <w:rPr>
          <w:rFonts w:hint="eastAsia" w:eastAsia="仿宋_GB2312"/>
          <w:color w:val="000000" w:themeColor="text1"/>
          <w:sz w:val="28"/>
          <w:szCs w:val="28"/>
        </w:rPr>
        <w:t>4.</w:t>
      </w:r>
      <w:r>
        <w:rPr>
          <w:rFonts w:eastAsia="仿宋_GB2312"/>
          <w:color w:val="000000" w:themeColor="text1"/>
          <w:sz w:val="28"/>
          <w:szCs w:val="28"/>
        </w:rPr>
        <w:t xml:space="preserve"> 本次评估依据了估价委托人提供的</w:t>
      </w:r>
      <w:r>
        <w:rPr>
          <w:rFonts w:eastAsia="仿宋_GB2312"/>
          <w:sz w:val="28"/>
          <w:szCs w:val="28"/>
        </w:rPr>
        <w:t>《</w:t>
      </w:r>
      <w:r>
        <w:rPr>
          <w:rFonts w:hint="eastAsia" w:eastAsia="仿宋_GB2312"/>
          <w:sz w:val="28"/>
          <w:szCs w:val="28"/>
        </w:rPr>
        <w:t>不动产登记资料查询结果证明</w:t>
      </w:r>
      <w:r>
        <w:rPr>
          <w:rFonts w:eastAsia="仿宋_GB2312"/>
          <w:sz w:val="28"/>
          <w:szCs w:val="28"/>
        </w:rPr>
        <w:t>》</w:t>
      </w:r>
      <w:r>
        <w:rPr>
          <w:rFonts w:eastAsia="仿宋_GB2312"/>
          <w:color w:val="000000" w:themeColor="text1"/>
          <w:sz w:val="28"/>
          <w:szCs w:val="28"/>
        </w:rPr>
        <w:t>登记信息，并以估价对象</w:t>
      </w:r>
      <w:r>
        <w:rPr>
          <w:rFonts w:hint="eastAsia" w:eastAsia="仿宋_GB2312"/>
          <w:color w:val="000000" w:themeColor="text1"/>
          <w:sz w:val="28"/>
          <w:szCs w:val="28"/>
        </w:rPr>
        <w:t>能够取得</w:t>
      </w:r>
      <w:r>
        <w:rPr>
          <w:rFonts w:eastAsia="仿宋_GB2312"/>
          <w:color w:val="000000" w:themeColor="text1"/>
          <w:sz w:val="28"/>
          <w:szCs w:val="28"/>
        </w:rPr>
        <w:t>《不动产权证》为前提进行评估。</w:t>
      </w:r>
    </w:p>
    <w:p>
      <w:pPr>
        <w:snapToGrid w:val="0"/>
        <w:spacing w:line="480" w:lineRule="exact"/>
        <w:jc w:val="right"/>
        <w:rPr>
          <w:rFonts w:eastAsia="仿宋_GB2312"/>
          <w:color w:val="000000" w:themeColor="text1"/>
          <w:sz w:val="28"/>
          <w:szCs w:val="28"/>
        </w:rPr>
      </w:pPr>
      <w:r>
        <w:rPr>
          <w:rFonts w:eastAsia="仿宋_GB2312"/>
          <w:color w:val="000000" w:themeColor="text1"/>
          <w:sz w:val="28"/>
          <w:szCs w:val="28"/>
        </w:rPr>
        <w:t>江苏国衡中测土地房地产资产评估咨询有限公司</w:t>
      </w:r>
    </w:p>
    <w:p>
      <w:pPr>
        <w:snapToGrid w:val="0"/>
        <w:spacing w:line="480" w:lineRule="exact"/>
        <w:ind w:right="560" w:firstLine="4393" w:firstLineChars="1569"/>
        <w:rPr>
          <w:rFonts w:eastAsia="仿宋_GB2312"/>
          <w:color w:val="000000" w:themeColor="text1"/>
          <w:sz w:val="28"/>
          <w:szCs w:val="28"/>
        </w:rPr>
      </w:pPr>
      <w:bookmarkStart w:id="16" w:name="_Toc387827680"/>
      <w:bookmarkStart w:id="17" w:name="_Toc382493601"/>
      <w:bookmarkStart w:id="18" w:name="_Toc155258955"/>
      <w:bookmarkStart w:id="19" w:name="_Toc383068120"/>
      <w:bookmarkStart w:id="20" w:name="_Toc384813569"/>
      <w:r>
        <w:rPr>
          <w:rFonts w:eastAsia="仿宋_GB2312"/>
          <w:color w:val="000000" w:themeColor="text1"/>
          <w:sz w:val="28"/>
          <w:szCs w:val="28"/>
        </w:rPr>
        <w:t>法定代表人：</w:t>
      </w:r>
      <w:bookmarkEnd w:id="16"/>
      <w:bookmarkEnd w:id="17"/>
      <w:bookmarkEnd w:id="18"/>
      <w:bookmarkEnd w:id="19"/>
      <w:bookmarkEnd w:id="20"/>
    </w:p>
    <w:p>
      <w:pPr>
        <w:snapToGrid w:val="0"/>
        <w:spacing w:line="480" w:lineRule="exact"/>
        <w:ind w:right="560"/>
        <w:jc w:val="right"/>
        <w:rPr>
          <w:rFonts w:eastAsia="仿宋_GB2312"/>
          <w:sz w:val="28"/>
          <w:szCs w:val="28"/>
        </w:rPr>
      </w:pPr>
      <w:bookmarkStart w:id="21" w:name="_Toc384813570"/>
      <w:bookmarkStart w:id="22" w:name="_Toc383068121"/>
      <w:bookmarkStart w:id="23" w:name="_Toc387827681"/>
      <w:bookmarkStart w:id="24" w:name="_Toc382493602"/>
      <w:r>
        <w:rPr>
          <w:rFonts w:eastAsia="仿宋_GB2312"/>
          <w:sz w:val="28"/>
          <w:szCs w:val="28"/>
        </w:rPr>
        <w:t>二○二</w:t>
      </w:r>
      <w:r>
        <w:rPr>
          <w:rFonts w:hint="eastAsia" w:eastAsia="仿宋_GB2312"/>
          <w:sz w:val="28"/>
          <w:szCs w:val="28"/>
        </w:rPr>
        <w:t>二</w:t>
      </w:r>
      <w:r>
        <w:rPr>
          <w:rFonts w:eastAsia="仿宋_GB2312"/>
          <w:sz w:val="28"/>
          <w:szCs w:val="28"/>
        </w:rPr>
        <w:t>年</w:t>
      </w:r>
      <w:bookmarkEnd w:id="21"/>
      <w:bookmarkEnd w:id="22"/>
      <w:bookmarkEnd w:id="23"/>
      <w:bookmarkEnd w:id="24"/>
      <w:r>
        <w:rPr>
          <w:rFonts w:hint="eastAsia" w:eastAsia="仿宋_GB2312"/>
          <w:sz w:val="28"/>
          <w:szCs w:val="28"/>
        </w:rPr>
        <w:t>八月十八日</w:t>
      </w:r>
    </w:p>
    <w:p>
      <w:pPr>
        <w:snapToGrid w:val="0"/>
        <w:spacing w:line="480" w:lineRule="exact"/>
        <w:sectPr>
          <w:headerReference r:id="rId9" w:type="default"/>
          <w:pgSz w:w="11906" w:h="16838"/>
          <w:pgMar w:top="1814" w:right="1588" w:bottom="1701" w:left="1814" w:header="1418" w:footer="1134" w:gutter="0"/>
          <w:pgNumType w:start="1"/>
          <w:cols w:space="425" w:num="1"/>
          <w:docGrid w:linePitch="312" w:charSpace="0"/>
        </w:sectPr>
      </w:pPr>
    </w:p>
    <w:sdt>
      <w:sdtPr>
        <w:rPr>
          <w:lang w:val="zh-CN"/>
        </w:rPr>
        <w:id w:val="1188588"/>
        <w:docPartObj>
          <w:docPartGallery w:val="Table of Contents"/>
          <w:docPartUnique/>
        </w:docPartObj>
      </w:sdtPr>
      <w:sdtEndPr>
        <w:rPr>
          <w:lang w:val="en-US"/>
        </w:rPr>
      </w:sdtEndPr>
      <w:sdtContent>
        <w:p>
          <w:pPr>
            <w:spacing w:line="400" w:lineRule="exact"/>
            <w:ind w:left="400" w:leftChars="200"/>
            <w:jc w:val="center"/>
            <w:rPr>
              <w:rFonts w:ascii="仿宋" w:hAnsi="仿宋" w:eastAsia="仿宋" w:cs="仿宋"/>
              <w:b/>
              <w:bCs/>
              <w:sz w:val="36"/>
              <w:szCs w:val="36"/>
            </w:rPr>
          </w:pPr>
          <w:r>
            <w:rPr>
              <w:rFonts w:hint="eastAsia" w:ascii="仿宋" w:hAnsi="仿宋" w:eastAsia="仿宋" w:cs="仿宋"/>
              <w:b/>
              <w:bCs/>
              <w:sz w:val="36"/>
              <w:szCs w:val="36"/>
            </w:rPr>
            <w:t>目录</w:t>
          </w:r>
        </w:p>
        <w:p>
          <w:pPr>
            <w:pStyle w:val="31"/>
            <w:spacing w:before="156"/>
            <w:rPr>
              <w:rFonts w:asciiTheme="minorHAnsi" w:hAnsiTheme="minorHAnsi" w:cstheme="minorBidi"/>
              <w:b w:val="0"/>
              <w:snapToGrid/>
              <w:kern w:val="2"/>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"_Toc530993652" </w:instrText>
          </w:r>
          <w:r>
            <w:fldChar w:fldCharType="separate"/>
          </w:r>
          <w:r>
            <w:rPr>
              <w:rStyle w:val="55"/>
              <w:rFonts w:hint="eastAsia" w:eastAsia="仿宋_GB2312"/>
            </w:rPr>
            <w:t>估价师声明</w:t>
          </w:r>
          <w:r>
            <w:tab/>
          </w:r>
          <w:r>
            <w:fldChar w:fldCharType="begin"/>
          </w:r>
          <w:r>
            <w:instrText xml:space="preserve"> PAGEREF _Toc530993652 \h </w:instrText>
          </w:r>
          <w:r>
            <w:fldChar w:fldCharType="separate"/>
          </w:r>
          <w:r>
            <w:t>4</w:t>
          </w:r>
          <w:r>
            <w:fldChar w:fldCharType="end"/>
          </w:r>
          <w:r>
            <w:fldChar w:fldCharType="end"/>
          </w:r>
        </w:p>
        <w:p>
          <w:pPr>
            <w:pStyle w:val="31"/>
            <w:spacing w:before="156"/>
            <w:rPr>
              <w:rFonts w:asciiTheme="minorHAnsi" w:hAnsiTheme="minorHAnsi" w:cstheme="minorBidi"/>
              <w:b w:val="0"/>
              <w:snapToGrid/>
              <w:kern w:val="2"/>
              <w:sz w:val="21"/>
              <w:szCs w:val="22"/>
            </w:rPr>
          </w:pPr>
          <w:r>
            <w:fldChar w:fldCharType="begin"/>
          </w:r>
          <w:r>
            <w:instrText xml:space="preserve"> HYPERLINK \l "_Toc530993653" </w:instrText>
          </w:r>
          <w:r>
            <w:fldChar w:fldCharType="separate"/>
          </w:r>
          <w:r>
            <w:rPr>
              <w:rStyle w:val="55"/>
              <w:rFonts w:hint="eastAsia" w:eastAsia="仿宋_GB2312"/>
            </w:rPr>
            <w:t>估价假设和限制条件</w:t>
          </w:r>
          <w:r>
            <w:tab/>
          </w:r>
          <w:r>
            <w:fldChar w:fldCharType="begin"/>
          </w:r>
          <w:r>
            <w:instrText xml:space="preserve"> PAGEREF _Toc530993653 \h </w:instrText>
          </w:r>
          <w:r>
            <w:fldChar w:fldCharType="separate"/>
          </w:r>
          <w:r>
            <w:t>5</w:t>
          </w:r>
          <w:r>
            <w:fldChar w:fldCharType="end"/>
          </w:r>
          <w:r>
            <w:fldChar w:fldCharType="end"/>
          </w:r>
        </w:p>
        <w:p>
          <w:pPr>
            <w:pStyle w:val="31"/>
            <w:spacing w:before="156"/>
            <w:rPr>
              <w:rFonts w:asciiTheme="minorHAnsi" w:hAnsiTheme="minorHAnsi" w:cstheme="minorBidi"/>
              <w:b w:val="0"/>
              <w:snapToGrid/>
              <w:kern w:val="2"/>
              <w:sz w:val="21"/>
              <w:szCs w:val="22"/>
            </w:rPr>
          </w:pPr>
          <w:r>
            <w:fldChar w:fldCharType="begin"/>
          </w:r>
          <w:r>
            <w:instrText xml:space="preserve"> HYPERLINK \l "_Toc530993654" </w:instrText>
          </w:r>
          <w:r>
            <w:fldChar w:fldCharType="separate"/>
          </w:r>
          <w:r>
            <w:rPr>
              <w:rStyle w:val="55"/>
              <w:rFonts w:hint="eastAsia" w:eastAsia="仿宋_GB2312"/>
              <w:bCs/>
            </w:rPr>
            <w:t>估价结果报告</w:t>
          </w:r>
          <w:r>
            <w:tab/>
          </w:r>
          <w:r>
            <w:fldChar w:fldCharType="begin"/>
          </w:r>
          <w:r>
            <w:instrText xml:space="preserve"> PAGEREF _Toc530993654 \h </w:instrText>
          </w:r>
          <w:r>
            <w:fldChar w:fldCharType="separate"/>
          </w:r>
          <w:r>
            <w:t>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"_Toc530993655" </w:instrText>
          </w:r>
          <w:r>
            <w:fldChar w:fldCharType="separate"/>
          </w:r>
          <w:r>
            <w:rPr>
              <w:rStyle w:val="55"/>
              <w:rFonts w:hint="eastAsia" w:ascii="Times New Roman" w:hAnsi="Times New Roman"/>
            </w:rPr>
            <w:t>一、</w:t>
          </w:r>
          <w:r>
            <w:rPr>
              <w:rFonts w:asciiTheme="minorHAnsi" w:hAnsiTheme="minorHAnsi" w:eastAsiaTheme="minorEastAsia" w:cstheme="minorBidi"/>
              <w:kern w:val="2"/>
              <w:sz w:val="21"/>
              <w:szCs w:val="22"/>
            </w:rPr>
            <w:tab/>
          </w:r>
          <w:r>
            <w:rPr>
              <w:rStyle w:val="55"/>
              <w:rFonts w:hint="eastAsia" w:ascii="Times New Roman" w:hAnsi="Times New Roman"/>
            </w:rPr>
            <w:t>估价委托人</w:t>
          </w:r>
          <w:r>
            <w:tab/>
          </w:r>
          <w:r>
            <w:fldChar w:fldCharType="begin"/>
          </w:r>
          <w:r>
            <w:instrText xml:space="preserve"> PAGEREF _Toc530993655 \h </w:instrText>
          </w:r>
          <w:r>
            <w:fldChar w:fldCharType="separate"/>
          </w:r>
          <w:r>
            <w:t>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"_Toc530993656" </w:instrText>
          </w:r>
          <w:r>
            <w:fldChar w:fldCharType="separate"/>
          </w:r>
          <w:r>
            <w:rPr>
              <w:rStyle w:val="55"/>
              <w:rFonts w:hint="eastAsia" w:ascii="Times New Roman" w:hAnsi="Times New Roman"/>
            </w:rPr>
            <w:t>二、</w:t>
          </w:r>
          <w:r>
            <w:rPr>
              <w:rFonts w:asciiTheme="minorHAnsi" w:hAnsiTheme="minorHAnsi" w:eastAsiaTheme="minorEastAsia" w:cstheme="minorBidi"/>
              <w:kern w:val="2"/>
              <w:sz w:val="21"/>
              <w:szCs w:val="22"/>
            </w:rPr>
            <w:tab/>
          </w:r>
          <w:r>
            <w:rPr>
              <w:rStyle w:val="55"/>
              <w:rFonts w:hint="eastAsia" w:ascii="Times New Roman" w:hAnsi="Times New Roman"/>
            </w:rPr>
            <w:t>房地产估价机构</w:t>
          </w:r>
          <w:r>
            <w:tab/>
          </w:r>
          <w:r>
            <w:fldChar w:fldCharType="begin"/>
          </w:r>
          <w:r>
            <w:instrText xml:space="preserve"> PAGEREF _Toc530993656 \h </w:instrText>
          </w:r>
          <w:r>
            <w:fldChar w:fldCharType="separate"/>
          </w:r>
          <w:r>
            <w:t>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"_Toc530993657" </w:instrText>
          </w:r>
          <w:r>
            <w:fldChar w:fldCharType="separate"/>
          </w:r>
          <w:r>
            <w:rPr>
              <w:rStyle w:val="55"/>
              <w:rFonts w:hint="eastAsia" w:ascii="Times New Roman" w:hAnsi="Times New Roman"/>
            </w:rPr>
            <w:t>三、</w:t>
          </w:r>
          <w:r>
            <w:rPr>
              <w:rFonts w:asciiTheme="minorHAnsi" w:hAnsiTheme="minorHAnsi" w:eastAsiaTheme="minorEastAsia" w:cstheme="minorBidi"/>
              <w:kern w:val="2"/>
              <w:sz w:val="21"/>
              <w:szCs w:val="22"/>
            </w:rPr>
            <w:tab/>
          </w:r>
          <w:r>
            <w:rPr>
              <w:rStyle w:val="55"/>
              <w:rFonts w:hint="eastAsia" w:ascii="Times New Roman" w:hAnsi="Times New Roman"/>
            </w:rPr>
            <w:t>估价目的</w:t>
          </w:r>
          <w:r>
            <w:tab/>
          </w:r>
          <w:r>
            <w:fldChar w:fldCharType="begin"/>
          </w:r>
          <w:r>
            <w:instrText xml:space="preserve"> PAGEREF _Toc530993657 \h </w:instrText>
          </w:r>
          <w:r>
            <w:fldChar w:fldCharType="separate"/>
          </w:r>
          <w:r>
            <w:t>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"_Toc530993658" </w:instrText>
          </w:r>
          <w:r>
            <w:fldChar w:fldCharType="separate"/>
          </w:r>
          <w:r>
            <w:rPr>
              <w:rStyle w:val="55"/>
              <w:rFonts w:hint="eastAsia" w:ascii="Times New Roman" w:hAnsi="Times New Roman"/>
            </w:rPr>
            <w:t>四、</w:t>
          </w:r>
          <w:r>
            <w:rPr>
              <w:rFonts w:asciiTheme="minorHAnsi" w:hAnsiTheme="minorHAnsi" w:eastAsiaTheme="minorEastAsia" w:cstheme="minorBidi"/>
              <w:kern w:val="2"/>
              <w:sz w:val="21"/>
              <w:szCs w:val="22"/>
            </w:rPr>
            <w:tab/>
          </w:r>
          <w:r>
            <w:rPr>
              <w:rStyle w:val="55"/>
              <w:rFonts w:hint="eastAsia" w:ascii="Times New Roman" w:hAnsi="Times New Roman"/>
            </w:rPr>
            <w:t>估价对象</w:t>
          </w:r>
          <w:r>
            <w:tab/>
          </w:r>
          <w:r>
            <w:fldChar w:fldCharType="begin"/>
          </w:r>
          <w:r>
            <w:instrText xml:space="preserve"> PAGEREF _Toc530993658 \h </w:instrText>
          </w:r>
          <w:r>
            <w:fldChar w:fldCharType="separate"/>
          </w:r>
          <w:r>
            <w:t>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"_Toc530993659" </w:instrText>
          </w:r>
          <w:r>
            <w:fldChar w:fldCharType="separate"/>
          </w:r>
          <w:r>
            <w:rPr>
              <w:rStyle w:val="55"/>
              <w:rFonts w:hint="eastAsia" w:ascii="Times New Roman" w:hAnsi="Times New Roman"/>
            </w:rPr>
            <w:t>五、</w:t>
          </w:r>
          <w:r>
            <w:rPr>
              <w:rFonts w:asciiTheme="minorHAnsi" w:hAnsiTheme="minorHAnsi" w:eastAsiaTheme="minorEastAsia" w:cstheme="minorBidi"/>
              <w:kern w:val="2"/>
              <w:sz w:val="21"/>
              <w:szCs w:val="22"/>
            </w:rPr>
            <w:tab/>
          </w:r>
          <w:r>
            <w:rPr>
              <w:rStyle w:val="55"/>
              <w:rFonts w:hint="eastAsia" w:ascii="Times New Roman" w:hAnsi="Times New Roman"/>
            </w:rPr>
            <w:t>价值时点</w:t>
          </w:r>
          <w:r>
            <w:tab/>
          </w:r>
          <w:r>
            <w:fldChar w:fldCharType="begin"/>
          </w:r>
          <w:r>
            <w:instrText xml:space="preserve"> PAGEREF _Toc530993659 \h </w:instrText>
          </w:r>
          <w:r>
            <w:fldChar w:fldCharType="separate"/>
          </w:r>
          <w:r>
            <w:t>11</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"_Toc530993660" </w:instrText>
          </w:r>
          <w:r>
            <w:fldChar w:fldCharType="separate"/>
          </w:r>
          <w:r>
            <w:rPr>
              <w:rStyle w:val="55"/>
              <w:rFonts w:hint="eastAsia" w:ascii="Times New Roman" w:hAnsi="Times New Roman"/>
            </w:rPr>
            <w:t>六、</w:t>
          </w:r>
          <w:r>
            <w:rPr>
              <w:rFonts w:asciiTheme="minorHAnsi" w:hAnsiTheme="minorHAnsi" w:eastAsiaTheme="minorEastAsia" w:cstheme="minorBidi"/>
              <w:kern w:val="2"/>
              <w:sz w:val="21"/>
              <w:szCs w:val="22"/>
            </w:rPr>
            <w:tab/>
          </w:r>
          <w:r>
            <w:rPr>
              <w:rStyle w:val="55"/>
              <w:rFonts w:hint="eastAsia" w:ascii="Times New Roman" w:hAnsi="Times New Roman"/>
            </w:rPr>
            <w:t>价值类型</w:t>
          </w:r>
          <w:r>
            <w:tab/>
          </w:r>
          <w:r>
            <w:fldChar w:fldCharType="begin"/>
          </w:r>
          <w:r>
            <w:instrText xml:space="preserve"> PAGEREF _Toc530993660 \h </w:instrText>
          </w:r>
          <w:r>
            <w:fldChar w:fldCharType="separate"/>
          </w:r>
          <w:r>
            <w:t>11</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"_Toc530993661" </w:instrText>
          </w:r>
          <w:r>
            <w:fldChar w:fldCharType="separate"/>
          </w:r>
          <w:r>
            <w:rPr>
              <w:rStyle w:val="55"/>
              <w:rFonts w:hint="eastAsia" w:ascii="Times New Roman" w:hAnsi="Times New Roman"/>
            </w:rPr>
            <w:t>七、</w:t>
          </w:r>
          <w:r>
            <w:rPr>
              <w:rFonts w:asciiTheme="minorHAnsi" w:hAnsiTheme="minorHAnsi" w:eastAsiaTheme="minorEastAsia" w:cstheme="minorBidi"/>
              <w:kern w:val="2"/>
              <w:sz w:val="21"/>
              <w:szCs w:val="22"/>
            </w:rPr>
            <w:tab/>
          </w:r>
          <w:r>
            <w:rPr>
              <w:rStyle w:val="55"/>
              <w:rFonts w:hint="eastAsia" w:ascii="Times New Roman" w:hAnsi="Times New Roman"/>
            </w:rPr>
            <w:t>估价原则</w:t>
          </w:r>
          <w:r>
            <w:tab/>
          </w:r>
          <w:r>
            <w:fldChar w:fldCharType="begin"/>
          </w:r>
          <w:r>
            <w:instrText xml:space="preserve"> PAGEREF _Toc530993661 \h </w:instrText>
          </w:r>
          <w:r>
            <w:fldChar w:fldCharType="separate"/>
          </w:r>
          <w:r>
            <w:t>11</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"_Toc530993662" </w:instrText>
          </w:r>
          <w:r>
            <w:fldChar w:fldCharType="separate"/>
          </w:r>
          <w:r>
            <w:rPr>
              <w:rStyle w:val="55"/>
              <w:rFonts w:hint="eastAsia" w:ascii="Times New Roman" w:hAnsi="Times New Roman"/>
            </w:rPr>
            <w:t>八、</w:t>
          </w:r>
          <w:r>
            <w:rPr>
              <w:rFonts w:asciiTheme="minorHAnsi" w:hAnsiTheme="minorHAnsi" w:eastAsiaTheme="minorEastAsia" w:cstheme="minorBidi"/>
              <w:kern w:val="2"/>
              <w:sz w:val="21"/>
              <w:szCs w:val="22"/>
            </w:rPr>
            <w:tab/>
          </w:r>
          <w:r>
            <w:rPr>
              <w:rStyle w:val="55"/>
              <w:rFonts w:hint="eastAsia" w:ascii="Times New Roman" w:hAnsi="Times New Roman"/>
            </w:rPr>
            <w:t>估价依据</w:t>
          </w:r>
          <w:r>
            <w:tab/>
          </w:r>
          <w:r>
            <w:fldChar w:fldCharType="begin"/>
          </w:r>
          <w:r>
            <w:instrText xml:space="preserve"> PAGEREF _Toc530993662 \h </w:instrText>
          </w:r>
          <w:r>
            <w:fldChar w:fldCharType="separate"/>
          </w:r>
          <w:r>
            <w:t>14</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"_Toc530993663" </w:instrText>
          </w:r>
          <w:r>
            <w:fldChar w:fldCharType="separate"/>
          </w:r>
          <w:r>
            <w:rPr>
              <w:rStyle w:val="55"/>
              <w:rFonts w:hint="eastAsia" w:ascii="Times New Roman" w:hAnsi="Times New Roman"/>
            </w:rPr>
            <w:t>九、</w:t>
          </w:r>
          <w:r>
            <w:rPr>
              <w:rFonts w:asciiTheme="minorHAnsi" w:hAnsiTheme="minorHAnsi" w:eastAsiaTheme="minorEastAsia" w:cstheme="minorBidi"/>
              <w:kern w:val="2"/>
              <w:sz w:val="21"/>
              <w:szCs w:val="22"/>
            </w:rPr>
            <w:tab/>
          </w:r>
          <w:r>
            <w:rPr>
              <w:rStyle w:val="55"/>
              <w:rFonts w:hint="eastAsia" w:ascii="Times New Roman" w:hAnsi="Times New Roman"/>
            </w:rPr>
            <w:t>估价方法</w:t>
          </w:r>
          <w:r>
            <w:tab/>
          </w:r>
          <w:r>
            <w:fldChar w:fldCharType="begin"/>
          </w:r>
          <w:r>
            <w:instrText xml:space="preserve"> PAGEREF _Toc530993663 \h </w:instrText>
          </w:r>
          <w:r>
            <w:fldChar w:fldCharType="separate"/>
          </w:r>
          <w:r>
            <w:t>16</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"_Toc530993664" </w:instrText>
          </w:r>
          <w:r>
            <w:fldChar w:fldCharType="separate"/>
          </w:r>
          <w:r>
            <w:rPr>
              <w:rStyle w:val="55"/>
              <w:rFonts w:hint="eastAsia" w:ascii="Times New Roman" w:hAnsi="Times New Roman"/>
            </w:rPr>
            <w:t>十、</w:t>
          </w:r>
          <w:r>
            <w:rPr>
              <w:rFonts w:asciiTheme="minorHAnsi" w:hAnsiTheme="minorHAnsi" w:eastAsiaTheme="minorEastAsia" w:cstheme="minorBidi"/>
              <w:kern w:val="2"/>
              <w:sz w:val="21"/>
              <w:szCs w:val="22"/>
            </w:rPr>
            <w:tab/>
          </w:r>
          <w:r>
            <w:rPr>
              <w:rStyle w:val="55"/>
              <w:rFonts w:hint="eastAsia" w:ascii="Times New Roman" w:hAnsi="Times New Roman"/>
            </w:rPr>
            <w:t>估价结果</w:t>
          </w:r>
          <w:r>
            <w:tab/>
          </w:r>
          <w:r>
            <w:fldChar w:fldCharType="begin"/>
          </w:r>
          <w:r>
            <w:instrText xml:space="preserve"> PAGEREF _Toc530993664 \h </w:instrText>
          </w:r>
          <w:r>
            <w:fldChar w:fldCharType="separate"/>
          </w:r>
          <w:r>
            <w:t>17</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"_Toc530993665" </w:instrText>
          </w:r>
          <w:r>
            <w:fldChar w:fldCharType="separate"/>
          </w:r>
          <w:r>
            <w:rPr>
              <w:rStyle w:val="55"/>
              <w:rFonts w:hint="eastAsia" w:ascii="Times New Roman" w:hAnsi="Times New Roman"/>
            </w:rPr>
            <w:t>十一、</w:t>
          </w:r>
          <w:r>
            <w:rPr>
              <w:rFonts w:asciiTheme="minorHAnsi" w:hAnsiTheme="minorHAnsi" w:eastAsiaTheme="minorEastAsia" w:cstheme="minorBidi"/>
              <w:kern w:val="2"/>
              <w:sz w:val="21"/>
              <w:szCs w:val="22"/>
            </w:rPr>
            <w:tab/>
          </w:r>
          <w:r>
            <w:rPr>
              <w:rStyle w:val="55"/>
              <w:rFonts w:hint="eastAsia" w:ascii="Times New Roman" w:hAnsi="Times New Roman"/>
            </w:rPr>
            <w:t>注册房地产估价师</w:t>
          </w:r>
          <w:r>
            <w:tab/>
          </w:r>
          <w:r>
            <w:fldChar w:fldCharType="begin"/>
          </w:r>
          <w:r>
            <w:instrText xml:space="preserve"> PAGEREF _Toc530993665 \h </w:instrText>
          </w:r>
          <w:r>
            <w:fldChar w:fldCharType="separate"/>
          </w:r>
          <w:r>
            <w:t>18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"_Toc530993666" </w:instrText>
          </w:r>
          <w:r>
            <w:fldChar w:fldCharType="separate"/>
          </w:r>
          <w:r>
            <w:rPr>
              <w:rStyle w:val="55"/>
              <w:rFonts w:hint="eastAsia" w:ascii="Times New Roman" w:hAnsi="Times New Roman"/>
            </w:rPr>
            <w:t>十二、</w:t>
          </w:r>
          <w:r>
            <w:rPr>
              <w:rFonts w:asciiTheme="minorHAnsi" w:hAnsiTheme="minorHAnsi" w:eastAsiaTheme="minorEastAsia" w:cstheme="minorBidi"/>
              <w:kern w:val="2"/>
              <w:sz w:val="21"/>
              <w:szCs w:val="22"/>
            </w:rPr>
            <w:tab/>
          </w:r>
          <w:r>
            <w:rPr>
              <w:rStyle w:val="55"/>
              <w:rFonts w:hint="eastAsia" w:ascii="Times New Roman" w:hAnsi="Times New Roman"/>
            </w:rPr>
            <w:t>实地查勘期</w:t>
          </w:r>
          <w:r>
            <w:tab/>
          </w:r>
          <w:r>
            <w:fldChar w:fldCharType="begin"/>
          </w:r>
          <w:r>
            <w:instrText xml:space="preserve"> PAGEREF _Toc530993666 \h </w:instrText>
          </w:r>
          <w:r>
            <w:fldChar w:fldCharType="separate"/>
          </w:r>
          <w:r>
            <w:t>18</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"_Toc530993667" </w:instrText>
          </w:r>
          <w:r>
            <w:fldChar w:fldCharType="separate"/>
          </w:r>
          <w:r>
            <w:rPr>
              <w:rStyle w:val="55"/>
              <w:rFonts w:hint="eastAsia" w:ascii="Times New Roman" w:hAnsi="Times New Roman"/>
            </w:rPr>
            <w:t>十三、</w:t>
          </w:r>
          <w:r>
            <w:rPr>
              <w:rFonts w:asciiTheme="minorHAnsi" w:hAnsiTheme="minorHAnsi" w:eastAsiaTheme="minorEastAsia" w:cstheme="minorBidi"/>
              <w:kern w:val="2"/>
              <w:sz w:val="21"/>
              <w:szCs w:val="22"/>
            </w:rPr>
            <w:tab/>
          </w:r>
          <w:r>
            <w:rPr>
              <w:rStyle w:val="55"/>
              <w:rFonts w:hint="eastAsia" w:ascii="Times New Roman" w:hAnsi="Times New Roman"/>
            </w:rPr>
            <w:t>估价作业期</w:t>
          </w:r>
          <w:r>
            <w:tab/>
          </w:r>
          <w:r>
            <w:fldChar w:fldCharType="begin"/>
          </w:r>
          <w:r>
            <w:instrText xml:space="preserve"> PAGEREF _Toc530993667 \h </w:instrText>
          </w:r>
          <w:r>
            <w:fldChar w:fldCharType="separate"/>
          </w:r>
          <w:r>
            <w:t>18</w:t>
          </w:r>
          <w:r>
            <w:fldChar w:fldCharType="end"/>
          </w:r>
          <w:r>
            <w:fldChar w:fldCharType="end"/>
          </w:r>
        </w:p>
        <w:p>
          <w:pPr>
            <w:pStyle w:val="31"/>
            <w:spacing w:before="156"/>
            <w:rPr>
              <w:rFonts w:asciiTheme="minorHAnsi" w:hAnsiTheme="minorHAnsi" w:cstheme="minorBidi"/>
              <w:b w:val="0"/>
              <w:snapToGrid/>
              <w:kern w:val="2"/>
              <w:sz w:val="21"/>
              <w:szCs w:val="22"/>
            </w:rPr>
          </w:pPr>
          <w:r>
            <w:fldChar w:fldCharType="begin"/>
          </w:r>
          <w:r>
            <w:instrText xml:space="preserve"> HYPERLINK \l "_Toc530993668" </w:instrText>
          </w:r>
          <w:r>
            <w:fldChar w:fldCharType="separate"/>
          </w:r>
          <w:r>
            <w:rPr>
              <w:rStyle w:val="55"/>
              <w:rFonts w:hint="eastAsia" w:eastAsia="仿宋_GB2312"/>
            </w:rPr>
            <w:t>附件</w:t>
          </w:r>
          <w:r>
            <w:tab/>
          </w:r>
          <w:r>
            <w:fldChar w:fldCharType="begin"/>
          </w:r>
          <w:r>
            <w:instrText xml:space="preserve"> PAGEREF _Toc530993668 \h </w:instrText>
          </w:r>
          <w:r>
            <w:fldChar w:fldCharType="separate"/>
          </w:r>
          <w:r>
            <w:t>19</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"_Toc530993669" </w:instrText>
          </w:r>
          <w:r>
            <w:fldChar w:fldCharType="separate"/>
          </w:r>
          <w:r>
            <w:rPr>
              <w:rStyle w:val="55"/>
              <w:rFonts w:ascii="Times New Roman" w:hAnsi="Times New Roman"/>
            </w:rPr>
            <w:t>1</w:t>
          </w:r>
          <w:r>
            <w:rPr>
              <w:rStyle w:val="55"/>
              <w:rFonts w:hint="eastAsia" w:ascii="Times New Roman" w:hAnsi="Times New Roman"/>
            </w:rPr>
            <w:t>、估价对象实地查勘情况和相关照片；</w:t>
          </w:r>
          <w:r>
            <w:tab/>
          </w:r>
          <w:r>
            <w:fldChar w:fldCharType="begin"/>
          </w:r>
          <w:r>
            <w:instrText xml:space="preserve"> PAGEREF _Toc530993669 \h </w:instrText>
          </w:r>
          <w:r>
            <w:fldChar w:fldCharType="separate"/>
          </w:r>
          <w:r>
            <w:t>19</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"_Toc530993670" </w:instrText>
          </w:r>
          <w:r>
            <w:fldChar w:fldCharType="separate"/>
          </w:r>
          <w:r>
            <w:rPr>
              <w:rStyle w:val="55"/>
              <w:rFonts w:ascii="Times New Roman" w:hAnsi="Times New Roman"/>
            </w:rPr>
            <w:t>2</w:t>
          </w:r>
          <w:r>
            <w:rPr>
              <w:rStyle w:val="55"/>
              <w:rFonts w:hint="eastAsia" w:ascii="Times New Roman" w:hAnsi="Times New Roman"/>
            </w:rPr>
            <w:t>、估价对象权属证明复印件；</w:t>
          </w:r>
          <w:r>
            <w:tab/>
          </w:r>
          <w:r>
            <w:fldChar w:fldCharType="begin"/>
          </w:r>
          <w:r>
            <w:instrText xml:space="preserve"> PAGEREF _Toc530993670 \h </w:instrText>
          </w:r>
          <w:r>
            <w:fldChar w:fldCharType="separate"/>
          </w:r>
          <w:r>
            <w:t>19</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"_Toc530993671" </w:instrText>
          </w:r>
          <w:r>
            <w:fldChar w:fldCharType="separate"/>
          </w:r>
          <w:r>
            <w:rPr>
              <w:rStyle w:val="55"/>
              <w:rFonts w:ascii="Times New Roman" w:hAnsi="Times New Roman"/>
            </w:rPr>
            <w:t>3</w:t>
          </w:r>
          <w:r>
            <w:rPr>
              <w:rStyle w:val="55"/>
              <w:rFonts w:hint="eastAsia" w:ascii="Times New Roman" w:hAnsi="Times New Roman"/>
            </w:rPr>
            <w:t>、房地产估价机构营业执照复印件；</w:t>
          </w:r>
          <w:r>
            <w:tab/>
          </w:r>
          <w:r>
            <w:fldChar w:fldCharType="begin"/>
          </w:r>
          <w:r>
            <w:instrText xml:space="preserve"> PAGEREF _Toc530993671 \h </w:instrText>
          </w:r>
          <w:r>
            <w:fldChar w:fldCharType="separate"/>
          </w:r>
          <w:r>
            <w:t>19</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"_Toc530993672" </w:instrText>
          </w:r>
          <w:r>
            <w:fldChar w:fldCharType="separate"/>
          </w:r>
          <w:r>
            <w:rPr>
              <w:rStyle w:val="55"/>
              <w:rFonts w:ascii="Times New Roman" w:hAnsi="Times New Roman"/>
            </w:rPr>
            <w:t>4</w:t>
          </w:r>
          <w:r>
            <w:rPr>
              <w:rStyle w:val="55"/>
              <w:rFonts w:hint="eastAsia" w:ascii="Times New Roman" w:hAnsi="Times New Roman"/>
            </w:rPr>
            <w:t>、房地产估价机构资质证书复印件；</w:t>
          </w:r>
          <w:r>
            <w:tab/>
          </w:r>
          <w:r>
            <w:fldChar w:fldCharType="begin"/>
          </w:r>
          <w:r>
            <w:instrText xml:space="preserve"> PAGEREF _Toc530993672 \h </w:instrText>
          </w:r>
          <w:r>
            <w:fldChar w:fldCharType="separate"/>
          </w:r>
          <w:r>
            <w:t>19</w:t>
          </w:r>
          <w:r>
            <w:fldChar w:fldCharType="end"/>
          </w:r>
          <w:r>
            <w:fldChar w:fldCharType="end"/>
          </w:r>
        </w:p>
        <w:p>
          <w:pPr>
            <w:pStyle w:val="40"/>
            <w:rPr>
              <w:rFonts w:asciiTheme="minorHAnsi" w:hAnsiTheme="minorHAnsi" w:eastAsiaTheme="minorEastAsia" w:cstheme="minorBidi"/>
              <w:kern w:val="2"/>
              <w:sz w:val="21"/>
              <w:szCs w:val="22"/>
            </w:rPr>
          </w:pPr>
          <w:r>
            <w:fldChar w:fldCharType="begin"/>
          </w:r>
          <w:r>
            <w:instrText xml:space="preserve"> HYPERLINK \l "_Toc530993673" </w:instrText>
          </w:r>
          <w:r>
            <w:fldChar w:fldCharType="separate"/>
          </w:r>
          <w:r>
            <w:rPr>
              <w:rStyle w:val="55"/>
              <w:rFonts w:ascii="Times New Roman" w:hAnsi="Times New Roman"/>
            </w:rPr>
            <w:t>5</w:t>
          </w:r>
          <w:r>
            <w:rPr>
              <w:rStyle w:val="55"/>
              <w:rFonts w:hint="eastAsia" w:ascii="Times New Roman" w:hAnsi="Times New Roman"/>
            </w:rPr>
            <w:t>、注册房地产估价师注册证书复印件。</w:t>
          </w:r>
          <w:r>
            <w:tab/>
          </w:r>
          <w:r>
            <w:fldChar w:fldCharType="begin"/>
          </w:r>
          <w:r>
            <w:instrText xml:space="preserve"> PAGEREF _Toc530993673 \h </w:instrText>
          </w:r>
          <w:r>
            <w:fldChar w:fldCharType="separate"/>
          </w:r>
          <w:r>
            <w:t>19</w:t>
          </w:r>
          <w:r>
            <w:fldChar w:fldCharType="end"/>
          </w:r>
          <w:r>
            <w:fldChar w:fldCharType="end"/>
          </w:r>
        </w:p>
        <w:p>
          <w:pPr>
            <w:spacing w:line="400" w:lineRule="exact"/>
          </w:pPr>
          <w:r>
            <w:fldChar w:fldCharType="end"/>
          </w:r>
        </w:p>
      </w:sdtContent>
    </w:sdt>
    <w:p>
      <w:pPr>
        <w:pStyle w:val="2"/>
        <w:snapToGrid w:val="0"/>
        <w:spacing w:before="120" w:after="120" w:line="360" w:lineRule="auto"/>
        <w:jc w:val="center"/>
        <w:rPr>
          <w:sz w:val="36"/>
          <w:szCs w:val="36"/>
        </w:rPr>
      </w:pPr>
      <w:r>
        <w:rPr>
          <w:rFonts w:eastAsia="仿宋_GB2312"/>
          <w:snapToGrid w:val="0"/>
          <w:sz w:val="32"/>
          <w:szCs w:val="32"/>
        </w:rPr>
        <w:br w:type="page"/>
      </w:r>
      <w:bookmarkStart w:id="25" w:name="_Toc297122050"/>
      <w:bookmarkStart w:id="26" w:name="_Toc301369710"/>
      <w:bookmarkStart w:id="27" w:name="_Toc367869492"/>
      <w:bookmarkStart w:id="28" w:name="_Toc530993652"/>
      <w:bookmarkStart w:id="29" w:name="_Toc297196345"/>
      <w:bookmarkStart w:id="30" w:name="_Toc382493606"/>
      <w:r>
        <w:rPr>
          <w:rFonts w:eastAsia="仿宋_GB2312"/>
          <w:snapToGrid w:val="0"/>
          <w:kern w:val="0"/>
          <w:sz w:val="36"/>
          <w:szCs w:val="36"/>
        </w:rPr>
        <w:t>估价师声明</w:t>
      </w:r>
      <w:bookmarkEnd w:id="25"/>
      <w:bookmarkEnd w:id="26"/>
      <w:bookmarkEnd w:id="27"/>
      <w:bookmarkEnd w:id="28"/>
      <w:bookmarkEnd w:id="29"/>
      <w:bookmarkEnd w:id="30"/>
      <w:r>
        <w:rPr>
          <w:sz w:val="36"/>
          <w:szCs w:val="36"/>
        </w:rPr>
        <w:fldChar w:fldCharType="begin"/>
      </w:r>
      <w:r>
        <w:instrText xml:space="preserve"> TC "</w:instrText>
      </w:r>
      <w:bookmarkStart w:id="31" w:name="_Toc289260246"/>
      <w:bookmarkStart w:id="32" w:name="_Toc288212015"/>
      <w:r>
        <w:rPr>
          <w:sz w:val="36"/>
          <w:szCs w:val="36"/>
        </w:rPr>
        <w:instrText xml:space="preserve">三、注册房地产估价师声明</w:instrText>
      </w:r>
      <w:bookmarkEnd w:id="31"/>
      <w:bookmarkEnd w:id="32"/>
      <w:r>
        <w:instrText xml:space="preserve">" \f C \l "1"</w:instrText>
      </w:r>
      <w:r>
        <w:rPr>
          <w:sz w:val="36"/>
          <w:szCs w:val="36"/>
        </w:rPr>
        <w:fldChar w:fldCharType="end"/>
      </w:r>
    </w:p>
    <w:p>
      <w:pPr>
        <w:spacing w:line="360" w:lineRule="auto"/>
        <w:rPr>
          <w:rFonts w:eastAsia="仿宋_GB2312"/>
          <w:b/>
          <w:sz w:val="28"/>
          <w:szCs w:val="28"/>
        </w:rPr>
      </w:pPr>
      <w:bookmarkStart w:id="33" w:name="_Toc362509711"/>
      <w:r>
        <w:rPr>
          <w:rFonts w:eastAsia="仿宋_GB2312"/>
          <w:b/>
          <w:sz w:val="28"/>
          <w:szCs w:val="28"/>
        </w:rPr>
        <w:t>我们郑重声明：</w:t>
      </w:r>
      <w:bookmarkEnd w:id="33"/>
    </w:p>
    <w:p>
      <w:pPr>
        <w:pStyle w:val="81"/>
        <w:numPr>
          <w:ilvl w:val="0"/>
          <w:numId w:val="1"/>
        </w:numPr>
        <w:adjustRightInd w:val="0"/>
        <w:snapToGrid w:val="0"/>
        <w:spacing w:line="480" w:lineRule="exact"/>
        <w:ind w:left="0" w:firstLine="560"/>
        <w:rPr>
          <w:rFonts w:eastAsia="仿宋_GB2312"/>
          <w:sz w:val="28"/>
          <w:szCs w:val="28"/>
        </w:rPr>
      </w:pPr>
      <w:r>
        <w:rPr>
          <w:rFonts w:eastAsia="仿宋_GB2312"/>
          <w:sz w:val="28"/>
          <w:szCs w:val="28"/>
        </w:rPr>
        <w:t>注册房地产估价师在本估价报告中对事实的说明是真实和准确的，没有虚假记载、误导性陈述和重大遗漏。</w:t>
      </w:r>
    </w:p>
    <w:p>
      <w:pPr>
        <w:pStyle w:val="81"/>
        <w:numPr>
          <w:ilvl w:val="0"/>
          <w:numId w:val="1"/>
        </w:numPr>
        <w:adjustRightInd w:val="0"/>
        <w:snapToGrid w:val="0"/>
        <w:spacing w:line="480" w:lineRule="exact"/>
        <w:ind w:left="0" w:firstLine="560"/>
        <w:rPr>
          <w:rFonts w:eastAsia="仿宋_GB2312"/>
          <w:sz w:val="28"/>
          <w:szCs w:val="28"/>
        </w:rPr>
      </w:pPr>
      <w:r>
        <w:rPr>
          <w:rFonts w:eastAsia="仿宋_GB2312"/>
          <w:sz w:val="28"/>
          <w:szCs w:val="28"/>
        </w:rPr>
        <w:t>本估价报告中的分析、意见和结论是注册房地产估价师独立、客观、公正的专业分析、意见和结论，但受到本估价报告中已说明的估价假设和限制条件的限制。</w:t>
      </w:r>
    </w:p>
    <w:p>
      <w:pPr>
        <w:pStyle w:val="81"/>
        <w:numPr>
          <w:ilvl w:val="0"/>
          <w:numId w:val="1"/>
        </w:numPr>
        <w:adjustRightInd w:val="0"/>
        <w:snapToGrid w:val="0"/>
        <w:spacing w:line="480" w:lineRule="exact"/>
        <w:ind w:left="0" w:firstLine="560"/>
        <w:rPr>
          <w:rFonts w:eastAsia="仿宋_GB2312"/>
          <w:sz w:val="28"/>
          <w:szCs w:val="28"/>
        </w:rPr>
      </w:pPr>
      <w:r>
        <w:rPr>
          <w:rFonts w:eastAsia="仿宋_GB2312"/>
          <w:sz w:val="28"/>
          <w:szCs w:val="28"/>
        </w:rPr>
        <w:t>注册房地产估价师与本估价报告中的估价对象没有现实或潜在的利益，与估价委托人及估价利害关系人没有利害关系，也对估价对象、估价委托人及估价利害关系人没有偏见。</w:t>
      </w:r>
    </w:p>
    <w:p>
      <w:pPr>
        <w:pStyle w:val="81"/>
        <w:numPr>
          <w:ilvl w:val="0"/>
          <w:numId w:val="1"/>
        </w:numPr>
        <w:adjustRightInd w:val="0"/>
        <w:snapToGrid w:val="0"/>
        <w:spacing w:line="480" w:lineRule="exact"/>
        <w:ind w:left="0" w:firstLine="560"/>
        <w:rPr>
          <w:rFonts w:eastAsia="仿宋_GB2312"/>
          <w:sz w:val="28"/>
          <w:szCs w:val="28"/>
        </w:rPr>
      </w:pPr>
      <w:r>
        <w:rPr>
          <w:rFonts w:eastAsia="仿宋_GB2312"/>
          <w:sz w:val="28"/>
          <w:szCs w:val="28"/>
        </w:rPr>
        <w:t>注册房地产估价师是按照中华人民共和国国家标准《房地产估价规范》【GB/T 50291-2015】、《房地产估价基本术语标准》【GB/T 50899-2013】的规定进行估价工作，撰写本估价报告。</w:t>
      </w:r>
    </w:p>
    <w:p>
      <w:pPr>
        <w:pStyle w:val="81"/>
        <w:adjustRightInd w:val="0"/>
        <w:snapToGrid w:val="0"/>
        <w:spacing w:line="360" w:lineRule="auto"/>
        <w:ind w:firstLine="0" w:firstLineChars="0"/>
        <w:rPr>
          <w:rFonts w:eastAsia="仿宋_GB2312"/>
          <w:sz w:val="28"/>
          <w:szCs w:val="28"/>
        </w:rPr>
      </w:pPr>
    </w:p>
    <w:p>
      <w:pPr>
        <w:pStyle w:val="2"/>
        <w:snapToGrid w:val="0"/>
        <w:spacing w:before="120" w:after="120" w:line="360" w:lineRule="auto"/>
        <w:jc w:val="center"/>
        <w:rPr>
          <w:szCs w:val="36"/>
        </w:rPr>
      </w:pPr>
      <w:r>
        <w:br w:type="page"/>
      </w:r>
      <w:bookmarkStart w:id="34" w:name="_Toc382493607"/>
      <w:bookmarkStart w:id="35" w:name="_Toc530993653"/>
      <w:r>
        <w:rPr>
          <w:rFonts w:eastAsia="仿宋_GB2312"/>
          <w:snapToGrid w:val="0"/>
          <w:kern w:val="0"/>
          <w:sz w:val="36"/>
          <w:szCs w:val="36"/>
        </w:rPr>
        <w:t>估价假设和限制条件</w:t>
      </w:r>
      <w:bookmarkEnd w:id="34"/>
      <w:bookmarkEnd w:id="35"/>
      <w:r>
        <w:rPr>
          <w:szCs w:val="36"/>
        </w:rPr>
        <w:fldChar w:fldCharType="begin"/>
      </w:r>
      <w:r>
        <w:instrText xml:space="preserve"> TC "</w:instrText>
      </w:r>
      <w:bookmarkStart w:id="36" w:name="_Toc289260247"/>
      <w:bookmarkStart w:id="37" w:name="_Toc288212016"/>
      <w:r>
        <w:rPr>
          <w:szCs w:val="36"/>
        </w:rPr>
        <w:instrText xml:space="preserve">四、估价的假设和限制条件</w:instrText>
      </w:r>
      <w:bookmarkEnd w:id="36"/>
      <w:bookmarkEnd w:id="37"/>
      <w:r>
        <w:instrText xml:space="preserve">" \f C \l "1"</w:instrText>
      </w:r>
      <w:r>
        <w:rPr>
          <w:szCs w:val="36"/>
        </w:rPr>
        <w:fldChar w:fldCharType="end"/>
      </w:r>
    </w:p>
    <w:p>
      <w:pPr>
        <w:spacing w:line="360" w:lineRule="auto"/>
        <w:ind w:firstLine="562" w:firstLineChars="200"/>
        <w:rPr>
          <w:rFonts w:eastAsia="仿宋_GB2312"/>
          <w:b/>
          <w:sz w:val="28"/>
          <w:szCs w:val="28"/>
        </w:rPr>
      </w:pPr>
      <w:r>
        <w:rPr>
          <w:rFonts w:eastAsia="仿宋_GB2312"/>
          <w:b/>
          <w:sz w:val="28"/>
          <w:szCs w:val="28"/>
        </w:rPr>
        <w:t>1.一般假设</w:t>
      </w:r>
    </w:p>
    <w:p>
      <w:pPr>
        <w:spacing w:line="480" w:lineRule="exact"/>
        <w:ind w:firstLine="560" w:firstLineChars="200"/>
        <w:jc w:val="both"/>
        <w:rPr>
          <w:rFonts w:eastAsia="仿宋_GB2312"/>
          <w:sz w:val="28"/>
          <w:szCs w:val="28"/>
        </w:rPr>
      </w:pPr>
      <w:r>
        <w:rPr>
          <w:rFonts w:eastAsia="仿宋_GB2312"/>
          <w:sz w:val="28"/>
          <w:szCs w:val="28"/>
        </w:rPr>
        <w:t>（1）在价值时点的房地产市场为公开、平等、自愿的交易市场。</w:t>
      </w:r>
    </w:p>
    <w:p>
      <w:pPr>
        <w:spacing w:line="480" w:lineRule="exact"/>
        <w:ind w:firstLine="560" w:firstLineChars="200"/>
        <w:jc w:val="both"/>
        <w:rPr>
          <w:rFonts w:eastAsia="仿宋_GB2312"/>
          <w:sz w:val="28"/>
          <w:szCs w:val="28"/>
        </w:rPr>
      </w:pPr>
      <w:r>
        <w:rPr>
          <w:rFonts w:eastAsia="仿宋_GB2312"/>
          <w:sz w:val="28"/>
          <w:szCs w:val="28"/>
        </w:rPr>
        <w:t>（2）估价对象产权明晰，手续齐全，可在公开市场上自由转让。</w:t>
      </w:r>
    </w:p>
    <w:p>
      <w:pPr>
        <w:spacing w:line="480" w:lineRule="exact"/>
        <w:ind w:firstLine="560" w:firstLineChars="200"/>
        <w:jc w:val="both"/>
        <w:rPr>
          <w:rFonts w:eastAsia="仿宋_GB2312"/>
          <w:sz w:val="28"/>
          <w:szCs w:val="28"/>
        </w:rPr>
      </w:pPr>
      <w:r>
        <w:rPr>
          <w:rFonts w:eastAsia="仿宋_GB2312"/>
          <w:sz w:val="28"/>
          <w:szCs w:val="28"/>
        </w:rPr>
        <w:t>（3）任何有关估价对象的运作方式、程序均符合国家、地方的有关法律、法规。</w:t>
      </w:r>
    </w:p>
    <w:p>
      <w:pPr>
        <w:spacing w:line="480" w:lineRule="exact"/>
        <w:ind w:firstLine="560" w:firstLineChars="200"/>
        <w:jc w:val="both"/>
        <w:rPr>
          <w:rFonts w:eastAsia="仿宋_GB2312"/>
          <w:sz w:val="28"/>
          <w:szCs w:val="28"/>
        </w:rPr>
      </w:pPr>
      <w:r>
        <w:rPr>
          <w:rFonts w:eastAsia="仿宋_GB2312"/>
          <w:sz w:val="28"/>
          <w:szCs w:val="28"/>
        </w:rPr>
        <w:t>（4）本次估价结果未考虑国家宏观经济政策发生重大变化以及遇有自然力和其他不可抗力对估价结论的影响。</w:t>
      </w:r>
    </w:p>
    <w:p>
      <w:pPr>
        <w:spacing w:line="480" w:lineRule="exact"/>
        <w:ind w:firstLine="560" w:firstLineChars="200"/>
        <w:jc w:val="both"/>
        <w:rPr>
          <w:rFonts w:eastAsia="仿宋_GB2312"/>
          <w:sz w:val="28"/>
          <w:szCs w:val="28"/>
        </w:rPr>
      </w:pPr>
      <w:r>
        <w:rPr>
          <w:rFonts w:eastAsia="仿宋_GB2312"/>
          <w:sz w:val="28"/>
          <w:szCs w:val="28"/>
        </w:rPr>
        <w:t>（5）本报告以估价对象在价值时点时的状况为依据进行的，且以该状况在估价报告使用期限内无重大变化为前提。</w:t>
      </w:r>
    </w:p>
    <w:p>
      <w:pPr>
        <w:spacing w:line="480" w:lineRule="exact"/>
        <w:ind w:firstLine="560" w:firstLineChars="200"/>
        <w:jc w:val="both"/>
        <w:rPr>
          <w:rFonts w:eastAsia="仿宋_GB2312"/>
          <w:sz w:val="28"/>
          <w:szCs w:val="28"/>
        </w:rPr>
      </w:pPr>
      <w:r>
        <w:rPr>
          <w:rFonts w:eastAsia="仿宋_GB2312"/>
          <w:sz w:val="28"/>
          <w:szCs w:val="28"/>
        </w:rPr>
        <w:t>（6）本次估价未考虑除已披露事项外可能与估价对象产权人有关的债权及债务情况对估价结果的影响。</w:t>
      </w:r>
    </w:p>
    <w:p>
      <w:pPr>
        <w:spacing w:line="480" w:lineRule="exact"/>
        <w:ind w:firstLine="560" w:firstLineChars="200"/>
        <w:jc w:val="both"/>
        <w:rPr>
          <w:rFonts w:eastAsia="仿宋_GB2312"/>
          <w:sz w:val="28"/>
          <w:szCs w:val="28"/>
        </w:rPr>
      </w:pPr>
      <w:r>
        <w:rPr>
          <w:rFonts w:eastAsia="仿宋_GB2312"/>
          <w:sz w:val="28"/>
          <w:szCs w:val="28"/>
        </w:rPr>
        <w:t>（7）本报告估价结果没有考虑快速变现、税费转嫁等特殊的交易方式，以及可能发生的权利转移相关费用对估价对象房地产价值的影响，如上述条件发生变化，估价结果需做相应调整。</w:t>
      </w:r>
    </w:p>
    <w:p>
      <w:pPr>
        <w:spacing w:line="480" w:lineRule="exact"/>
        <w:ind w:firstLine="560" w:firstLineChars="200"/>
        <w:jc w:val="both"/>
        <w:rPr>
          <w:rFonts w:eastAsia="仿宋_GB2312"/>
          <w:sz w:val="28"/>
          <w:szCs w:val="28"/>
        </w:rPr>
      </w:pPr>
      <w:r>
        <w:rPr>
          <w:rFonts w:eastAsia="仿宋_GB2312"/>
          <w:sz w:val="28"/>
          <w:szCs w:val="28"/>
        </w:rPr>
        <w:t>（8）本次估价对象的权属情况均以《</w:t>
      </w:r>
      <w:r>
        <w:rPr>
          <w:rFonts w:hint="eastAsia" w:eastAsia="仿宋_GB2312"/>
          <w:sz w:val="28"/>
          <w:szCs w:val="28"/>
        </w:rPr>
        <w:t>不动产登记资料查询结果证明</w:t>
      </w:r>
      <w:r>
        <w:rPr>
          <w:rFonts w:eastAsia="仿宋_GB2312"/>
          <w:sz w:val="28"/>
          <w:szCs w:val="28"/>
        </w:rPr>
        <w:t>》为依据。如上述情况发生变化，估价结果需做相应调整。</w:t>
      </w:r>
    </w:p>
    <w:p>
      <w:pPr>
        <w:spacing w:line="480" w:lineRule="exact"/>
        <w:ind w:firstLine="560" w:firstLineChars="200"/>
        <w:jc w:val="both"/>
        <w:rPr>
          <w:rFonts w:eastAsia="仿宋_GB2312"/>
          <w:sz w:val="28"/>
          <w:szCs w:val="28"/>
        </w:rPr>
      </w:pPr>
      <w:r>
        <w:rPr>
          <w:rFonts w:eastAsia="仿宋_GB2312"/>
          <w:sz w:val="28"/>
          <w:szCs w:val="28"/>
        </w:rPr>
        <w:t>（</w:t>
      </w:r>
      <w:r>
        <w:rPr>
          <w:rFonts w:hint="eastAsia" w:eastAsia="仿宋_GB2312"/>
          <w:sz w:val="28"/>
          <w:szCs w:val="28"/>
        </w:rPr>
        <w:t>9</w:t>
      </w:r>
      <w:r>
        <w:rPr>
          <w:rFonts w:eastAsia="仿宋_GB2312"/>
          <w:sz w:val="28"/>
          <w:szCs w:val="28"/>
        </w:rPr>
        <w:t>）估价委托人未能按照估价人员要求出具</w:t>
      </w:r>
      <w:r>
        <w:rPr>
          <w:rFonts w:hint="eastAsia" w:eastAsia="仿宋_GB2312"/>
          <w:color w:val="000000" w:themeColor="text1"/>
          <w:sz w:val="28"/>
          <w:szCs w:val="28"/>
        </w:rPr>
        <w:t>《不动产权证》</w:t>
      </w:r>
      <w:r>
        <w:rPr>
          <w:rFonts w:eastAsia="仿宋_GB2312"/>
          <w:sz w:val="28"/>
          <w:szCs w:val="28"/>
        </w:rPr>
        <w:t>原件，估价人员无法核对原件与其所提供的产权资料复印件的一致性。且受房产、土地管理部门对档案查询资格的限制，房地产估价师无权到上述主管部门对权属证明材料及其记载的内容进行核实。本次估价是以估价委托人提供的与估价对象有关的法律文件、权属证明及相关资料真实、合法、准确、完整为前提。如因委托人提供资料有误而造成评估值失实，估价机构和估价人员不承担相应责任。</w:t>
      </w:r>
    </w:p>
    <w:p>
      <w:pPr>
        <w:spacing w:line="480" w:lineRule="exact"/>
        <w:ind w:firstLine="560" w:firstLineChars="200"/>
        <w:jc w:val="both"/>
        <w:rPr>
          <w:rFonts w:eastAsia="仿宋_GB2312"/>
          <w:sz w:val="28"/>
          <w:szCs w:val="28"/>
        </w:rPr>
      </w:pPr>
      <w:r>
        <w:rPr>
          <w:rFonts w:eastAsia="仿宋_GB2312"/>
          <w:sz w:val="28"/>
          <w:szCs w:val="28"/>
        </w:rPr>
        <w:t>（</w:t>
      </w:r>
      <w:r>
        <w:rPr>
          <w:rFonts w:hint="eastAsia" w:eastAsia="仿宋_GB2312"/>
          <w:sz w:val="28"/>
          <w:szCs w:val="28"/>
        </w:rPr>
        <w:t>10</w:t>
      </w:r>
      <w:r>
        <w:rPr>
          <w:rFonts w:eastAsia="仿宋_GB2312"/>
          <w:sz w:val="28"/>
          <w:szCs w:val="28"/>
        </w:rPr>
        <w:t>）估价</w:t>
      </w:r>
      <w:r>
        <w:rPr>
          <w:rFonts w:hint="eastAsia" w:eastAsia="仿宋_GB2312"/>
          <w:sz w:val="28"/>
          <w:szCs w:val="28"/>
        </w:rPr>
        <w:t>人员</w:t>
      </w:r>
      <w:r>
        <w:rPr>
          <w:rFonts w:eastAsia="仿宋_GB2312"/>
          <w:sz w:val="28"/>
          <w:szCs w:val="28"/>
        </w:rPr>
        <w:t>曾于2022年08月09日对估价对象进行了实地查勘，但估价</w:t>
      </w:r>
      <w:r>
        <w:rPr>
          <w:rFonts w:hint="eastAsia" w:eastAsia="仿宋_GB2312"/>
          <w:sz w:val="28"/>
          <w:szCs w:val="28"/>
        </w:rPr>
        <w:t>人员</w:t>
      </w:r>
      <w:r>
        <w:rPr>
          <w:rFonts w:eastAsia="仿宋_GB2312"/>
          <w:sz w:val="28"/>
          <w:szCs w:val="28"/>
        </w:rPr>
        <w:t>对估价对象的实地查勘仅限于估价对象的外观和使用状况、内部布局、装修及设备情况，并未对估价对象做建筑物基础、房屋结构上的测量和实验，因此无法确认其内部有无缺损、是否存在结构性损坏。对被遮盖、未暴露及难以接触到的房屋结构部分及其内部设施、设备，本报告假设其无建筑物基础、房屋结构等方面的重大质量问题，符合国家有关技术、质量、验收规范，且符合国家有关安全使用标准。</w:t>
      </w:r>
    </w:p>
    <w:p>
      <w:pPr>
        <w:spacing w:line="480" w:lineRule="exact"/>
        <w:ind w:firstLine="560" w:firstLineChars="200"/>
        <w:jc w:val="both"/>
        <w:rPr>
          <w:rFonts w:eastAsia="仿宋_GB2312"/>
          <w:sz w:val="28"/>
          <w:szCs w:val="28"/>
        </w:rPr>
      </w:pPr>
      <w:r>
        <w:rPr>
          <w:rFonts w:eastAsia="仿宋_GB2312"/>
          <w:sz w:val="28"/>
          <w:szCs w:val="28"/>
        </w:rPr>
        <w:t>（1</w:t>
      </w:r>
      <w:r>
        <w:rPr>
          <w:rFonts w:hint="eastAsia" w:eastAsia="仿宋_GB2312"/>
          <w:sz w:val="28"/>
          <w:szCs w:val="28"/>
        </w:rPr>
        <w:t>1</w:t>
      </w:r>
      <w:r>
        <w:rPr>
          <w:rFonts w:eastAsia="仿宋_GB2312"/>
          <w:sz w:val="28"/>
          <w:szCs w:val="28"/>
        </w:rPr>
        <w:t>）本次估价价值时点为2022年08月09日，实地查勘日期为2022年08月09日，价值时点与实地查勘日期一致。</w:t>
      </w:r>
    </w:p>
    <w:p>
      <w:pPr>
        <w:spacing w:line="480" w:lineRule="exact"/>
        <w:ind w:firstLine="562" w:firstLineChars="200"/>
        <w:rPr>
          <w:rFonts w:eastAsia="仿宋_GB2312"/>
          <w:b/>
          <w:sz w:val="28"/>
          <w:szCs w:val="28"/>
        </w:rPr>
      </w:pPr>
      <w:r>
        <w:rPr>
          <w:rFonts w:eastAsia="仿宋_GB2312"/>
          <w:b/>
          <w:sz w:val="28"/>
          <w:szCs w:val="28"/>
        </w:rPr>
        <w:t>2.未定事项假设</w:t>
      </w:r>
    </w:p>
    <w:p>
      <w:pPr>
        <w:spacing w:line="480" w:lineRule="exact"/>
        <w:ind w:firstLine="560" w:firstLineChars="200"/>
        <w:rPr>
          <w:rFonts w:eastAsia="仿宋_GB2312"/>
          <w:sz w:val="28"/>
          <w:szCs w:val="28"/>
        </w:rPr>
      </w:pPr>
      <w:r>
        <w:rPr>
          <w:rFonts w:eastAsia="仿宋_GB2312"/>
          <w:sz w:val="28"/>
          <w:szCs w:val="28"/>
        </w:rPr>
        <w:t>无未定事项假设。</w:t>
      </w:r>
    </w:p>
    <w:p>
      <w:pPr>
        <w:spacing w:line="480" w:lineRule="exact"/>
        <w:ind w:firstLine="562" w:firstLineChars="200"/>
        <w:rPr>
          <w:rFonts w:eastAsia="仿宋_GB2312"/>
          <w:b/>
          <w:sz w:val="28"/>
          <w:szCs w:val="28"/>
        </w:rPr>
      </w:pPr>
      <w:r>
        <w:rPr>
          <w:rFonts w:eastAsia="仿宋_GB2312"/>
          <w:b/>
          <w:sz w:val="28"/>
          <w:szCs w:val="28"/>
        </w:rPr>
        <w:t>3. 背离事实假设</w:t>
      </w:r>
    </w:p>
    <w:p>
      <w:pPr>
        <w:spacing w:line="480" w:lineRule="exact"/>
        <w:ind w:firstLine="560" w:firstLineChars="200"/>
        <w:rPr>
          <w:rFonts w:eastAsia="仿宋_GB2312"/>
          <w:sz w:val="28"/>
        </w:rPr>
      </w:pPr>
      <w:r>
        <w:rPr>
          <w:rFonts w:hint="eastAsia" w:eastAsia="仿宋_GB2312"/>
          <w:sz w:val="28"/>
        </w:rPr>
        <w:t>无背离事实假设。</w:t>
      </w:r>
    </w:p>
    <w:p>
      <w:pPr>
        <w:spacing w:line="480" w:lineRule="exact"/>
        <w:ind w:firstLine="562" w:firstLineChars="200"/>
        <w:rPr>
          <w:rFonts w:eastAsia="仿宋_GB2312"/>
          <w:b/>
          <w:sz w:val="28"/>
          <w:szCs w:val="28"/>
        </w:rPr>
      </w:pPr>
      <w:r>
        <w:rPr>
          <w:rFonts w:eastAsia="仿宋_GB2312"/>
          <w:b/>
          <w:sz w:val="28"/>
          <w:szCs w:val="28"/>
        </w:rPr>
        <w:t>4.不相一致假设</w:t>
      </w:r>
    </w:p>
    <w:p>
      <w:pPr>
        <w:spacing w:line="480" w:lineRule="exact"/>
        <w:ind w:firstLine="560" w:firstLineChars="200"/>
        <w:rPr>
          <w:rFonts w:eastAsia="仿宋_GB2312"/>
          <w:sz w:val="28"/>
          <w:szCs w:val="28"/>
        </w:rPr>
      </w:pPr>
      <w:r>
        <w:rPr>
          <w:rFonts w:hint="eastAsia" w:eastAsia="仿宋_GB2312"/>
          <w:sz w:val="28"/>
          <w:szCs w:val="28"/>
        </w:rPr>
        <w:t>无不相一致</w:t>
      </w:r>
      <w:r>
        <w:rPr>
          <w:rFonts w:eastAsia="仿宋_GB2312"/>
          <w:sz w:val="28"/>
          <w:szCs w:val="28"/>
        </w:rPr>
        <w:t>假设。</w:t>
      </w:r>
    </w:p>
    <w:p>
      <w:pPr>
        <w:spacing w:line="480" w:lineRule="exact"/>
        <w:ind w:firstLine="562" w:firstLineChars="200"/>
        <w:rPr>
          <w:rFonts w:eastAsia="仿宋_GB2312"/>
          <w:b/>
          <w:sz w:val="28"/>
          <w:szCs w:val="28"/>
        </w:rPr>
      </w:pPr>
      <w:r>
        <w:rPr>
          <w:rFonts w:eastAsia="仿宋_GB2312"/>
          <w:b/>
          <w:sz w:val="28"/>
          <w:szCs w:val="28"/>
        </w:rPr>
        <w:t>5. 依据不足假设</w:t>
      </w:r>
    </w:p>
    <w:p>
      <w:pPr>
        <w:tabs>
          <w:tab w:val="left" w:pos="993"/>
        </w:tabs>
        <w:adjustRightInd w:val="0"/>
        <w:snapToGrid w:val="0"/>
        <w:spacing w:line="480" w:lineRule="exact"/>
        <w:ind w:firstLine="560" w:firstLineChars="200"/>
        <w:jc w:val="both"/>
        <w:rPr>
          <w:rFonts w:eastAsia="仿宋_GB2312"/>
          <w:color w:val="000000" w:themeColor="text1"/>
          <w:sz w:val="28"/>
          <w:szCs w:val="28"/>
        </w:rPr>
      </w:pPr>
      <w:r>
        <w:rPr>
          <w:rFonts w:eastAsia="仿宋_GB2312"/>
          <w:color w:val="000000" w:themeColor="text1"/>
          <w:sz w:val="28"/>
          <w:szCs w:val="28"/>
        </w:rPr>
        <w:t>本次评估依据了估价委托人提供的</w:t>
      </w:r>
      <w:r>
        <w:rPr>
          <w:rFonts w:eastAsia="仿宋_GB2312"/>
          <w:sz w:val="28"/>
          <w:szCs w:val="28"/>
        </w:rPr>
        <w:t>《</w:t>
      </w:r>
      <w:r>
        <w:rPr>
          <w:rFonts w:hint="eastAsia" w:eastAsia="仿宋_GB2312"/>
          <w:sz w:val="28"/>
          <w:szCs w:val="28"/>
        </w:rPr>
        <w:t>不动产登记资料查询结果证明</w:t>
      </w:r>
      <w:r>
        <w:rPr>
          <w:rFonts w:eastAsia="仿宋_GB2312"/>
          <w:sz w:val="28"/>
          <w:szCs w:val="28"/>
        </w:rPr>
        <w:t>》</w:t>
      </w:r>
      <w:r>
        <w:rPr>
          <w:rFonts w:eastAsia="仿宋_GB2312"/>
          <w:color w:val="000000" w:themeColor="text1"/>
          <w:sz w:val="28"/>
          <w:szCs w:val="28"/>
        </w:rPr>
        <w:t>登记信息，并以估价对象</w:t>
      </w:r>
      <w:r>
        <w:rPr>
          <w:rFonts w:hint="eastAsia" w:eastAsia="仿宋_GB2312"/>
          <w:color w:val="000000" w:themeColor="text1"/>
          <w:sz w:val="28"/>
          <w:szCs w:val="28"/>
        </w:rPr>
        <w:t>能够取得</w:t>
      </w:r>
      <w:r>
        <w:rPr>
          <w:rFonts w:eastAsia="仿宋_GB2312"/>
          <w:color w:val="000000" w:themeColor="text1"/>
          <w:sz w:val="28"/>
          <w:szCs w:val="28"/>
        </w:rPr>
        <w:t>《不动产权证》为前提进行评估。</w:t>
      </w:r>
    </w:p>
    <w:p>
      <w:pPr>
        <w:spacing w:line="480" w:lineRule="exact"/>
        <w:ind w:firstLine="562" w:firstLineChars="200"/>
        <w:rPr>
          <w:rFonts w:eastAsia="仿宋_GB2312"/>
          <w:b/>
          <w:sz w:val="28"/>
          <w:szCs w:val="28"/>
        </w:rPr>
      </w:pPr>
      <w:r>
        <w:rPr>
          <w:rFonts w:eastAsia="仿宋_GB2312"/>
          <w:b/>
          <w:sz w:val="28"/>
          <w:szCs w:val="28"/>
        </w:rPr>
        <w:t>6. 估价报告使用限制</w:t>
      </w:r>
    </w:p>
    <w:p>
      <w:pPr>
        <w:spacing w:line="480" w:lineRule="exact"/>
        <w:ind w:firstLine="560" w:firstLineChars="200"/>
        <w:jc w:val="both"/>
        <w:rPr>
          <w:rFonts w:eastAsia="仿宋_GB2312"/>
          <w:sz w:val="28"/>
          <w:szCs w:val="28"/>
        </w:rPr>
      </w:pPr>
      <w:r>
        <w:rPr>
          <w:rFonts w:eastAsia="仿宋_GB2312"/>
          <w:sz w:val="28"/>
          <w:szCs w:val="28"/>
        </w:rPr>
        <w:t>（1）</w:t>
      </w:r>
      <w:r>
        <w:rPr>
          <w:rFonts w:eastAsia="仿宋_GB2312"/>
          <w:sz w:val="28"/>
        </w:rPr>
        <w:t>本报告估价结论仅为估价委托人在上述已有假设条件下，为估价委托人了解待估对象市场价值提供参考，不得做其它用途。</w:t>
      </w:r>
    </w:p>
    <w:p>
      <w:pPr>
        <w:spacing w:line="480" w:lineRule="exact"/>
        <w:ind w:firstLine="560" w:firstLineChars="200"/>
        <w:jc w:val="both"/>
        <w:rPr>
          <w:rFonts w:eastAsia="仿宋_GB2312"/>
          <w:sz w:val="28"/>
          <w:szCs w:val="28"/>
        </w:rPr>
      </w:pPr>
      <w:r>
        <w:rPr>
          <w:rFonts w:eastAsia="仿宋_GB2312"/>
          <w:sz w:val="28"/>
          <w:szCs w:val="28"/>
        </w:rPr>
        <w:t>（2）未经本估价机构书面同意，本报告的全部或任何一部分均不得向估价委托人、报告使用者、报告审查部门之外的单位和个人提供，也不得以任何形式公开发表。</w:t>
      </w:r>
    </w:p>
    <w:p>
      <w:pPr>
        <w:spacing w:line="480" w:lineRule="exact"/>
        <w:ind w:firstLine="560" w:firstLineChars="200"/>
        <w:jc w:val="both"/>
        <w:rPr>
          <w:rFonts w:eastAsia="仿宋_GB2312"/>
          <w:sz w:val="28"/>
          <w:szCs w:val="28"/>
        </w:rPr>
      </w:pPr>
      <w:r>
        <w:rPr>
          <w:rFonts w:eastAsia="仿宋_GB2312"/>
          <w:sz w:val="28"/>
          <w:szCs w:val="28"/>
        </w:rPr>
        <w:t>（3）本报告必须完整使用方为有效，对仅使用本报告中部分内容而导致可能的损失，本估价机构不承担责任。</w:t>
      </w:r>
    </w:p>
    <w:p>
      <w:pPr>
        <w:spacing w:line="480" w:lineRule="exact"/>
        <w:ind w:firstLine="560" w:firstLineChars="200"/>
        <w:jc w:val="both"/>
        <w:rPr>
          <w:rFonts w:eastAsia="仿宋_GB2312"/>
          <w:sz w:val="28"/>
          <w:szCs w:val="28"/>
        </w:rPr>
      </w:pPr>
      <w:r>
        <w:rPr>
          <w:rFonts w:eastAsia="仿宋_GB2312"/>
          <w:sz w:val="28"/>
          <w:szCs w:val="28"/>
        </w:rPr>
        <w:t>（4）本次估价结果受价值时点的限制，且本估价报告使用期限自估价报告出具之日</w:t>
      </w:r>
      <w:r>
        <w:rPr>
          <w:rFonts w:hint="eastAsia" w:eastAsia="仿宋_GB2312"/>
          <w:sz w:val="28"/>
          <w:szCs w:val="28"/>
        </w:rPr>
        <w:t>2022年08月18日</w:t>
      </w:r>
      <w:r>
        <w:rPr>
          <w:rFonts w:eastAsia="仿宋_GB2312"/>
          <w:sz w:val="28"/>
          <w:szCs w:val="28"/>
        </w:rPr>
        <w:t>起为壹年。若报告使用期限内，房地产市场、建筑市场或估价对象自身状况发生重大变化，估价结果也需做相应调整或委托估价机构重新估价。</w:t>
      </w:r>
    </w:p>
    <w:p>
      <w:pPr>
        <w:spacing w:line="480" w:lineRule="exact"/>
        <w:ind w:firstLine="560" w:firstLineChars="200"/>
        <w:jc w:val="both"/>
        <w:rPr>
          <w:rFonts w:eastAsia="仿宋_GB2312"/>
          <w:sz w:val="28"/>
          <w:szCs w:val="28"/>
        </w:rPr>
      </w:pPr>
      <w:r>
        <w:rPr>
          <w:rFonts w:eastAsia="仿宋_GB2312"/>
          <w:sz w:val="28"/>
          <w:szCs w:val="28"/>
        </w:rPr>
        <w:t>（5）</w:t>
      </w:r>
      <w:r>
        <w:rPr>
          <w:rFonts w:eastAsia="仿宋_GB2312"/>
          <w:caps/>
          <w:kern w:val="2"/>
          <w:sz w:val="28"/>
          <w:szCs w:val="28"/>
        </w:rPr>
        <w:t>本次估价结果是指在目前房地产市场状况下、估价对象在规划利用条件下的房地产价值，包括国有</w:t>
      </w:r>
      <w:r>
        <w:rPr>
          <w:rFonts w:eastAsia="仿宋_GB2312"/>
          <w:sz w:val="28"/>
          <w:szCs w:val="28"/>
        </w:rPr>
        <w:t>出让</w:t>
      </w:r>
      <w:r>
        <w:rPr>
          <w:rFonts w:eastAsia="仿宋_GB2312"/>
          <w:caps/>
          <w:kern w:val="2"/>
          <w:sz w:val="28"/>
          <w:szCs w:val="28"/>
        </w:rPr>
        <w:t>土地使用权价值和与房屋有关的土建、安装及室外附属工程价值，不包括可移动的家具、电器等物品价值</w:t>
      </w:r>
      <w:r>
        <w:rPr>
          <w:rFonts w:eastAsia="仿宋_GB2312"/>
          <w:sz w:val="28"/>
          <w:szCs w:val="28"/>
        </w:rPr>
        <w:t>。</w:t>
      </w:r>
    </w:p>
    <w:p>
      <w:pPr>
        <w:snapToGrid w:val="0"/>
        <w:spacing w:line="480" w:lineRule="exact"/>
        <w:ind w:firstLine="200"/>
        <w:jc w:val="center"/>
        <w:outlineLvl w:val="0"/>
        <w:rPr>
          <w:rFonts w:eastAsia="仿宋_GB2312"/>
          <w:b/>
          <w:bCs/>
          <w:sz w:val="36"/>
        </w:rPr>
      </w:pPr>
      <w:bookmarkStart w:id="38" w:name="_Toc155258961"/>
      <w:r>
        <w:rPr>
          <w:rFonts w:eastAsia="仿宋_GB2312"/>
          <w:b/>
          <w:bCs/>
          <w:sz w:val="36"/>
        </w:rPr>
        <w:br w:type="page"/>
      </w:r>
      <w:bookmarkStart w:id="39" w:name="_Toc382493615"/>
      <w:bookmarkStart w:id="40" w:name="_Toc530993654"/>
      <w:r>
        <w:rPr>
          <w:rFonts w:eastAsia="仿宋_GB2312"/>
          <w:b/>
          <w:bCs/>
          <w:sz w:val="36"/>
        </w:rPr>
        <w:t>估价结果报告</w:t>
      </w:r>
      <w:bookmarkEnd w:id="38"/>
      <w:bookmarkEnd w:id="39"/>
      <w:bookmarkEnd w:id="40"/>
      <w:r>
        <w:rPr>
          <w:rFonts w:eastAsia="仿宋_GB2312"/>
          <w:b/>
          <w:bCs/>
          <w:sz w:val="36"/>
        </w:rPr>
        <w:fldChar w:fldCharType="begin"/>
      </w:r>
      <w:r>
        <w:rPr>
          <w:rFonts w:eastAsia="仿宋_GB2312"/>
          <w:b/>
          <w:bCs/>
          <w:sz w:val="36"/>
        </w:rPr>
        <w:instrText xml:space="preserve"> TC "</w:instrText>
      </w:r>
      <w:bookmarkStart w:id="41" w:name="_Toc288212017"/>
      <w:bookmarkStart w:id="42" w:name="_Toc289260248"/>
      <w:r>
        <w:rPr>
          <w:rFonts w:eastAsia="仿宋_GB2312"/>
          <w:b/>
          <w:bCs/>
          <w:sz w:val="36"/>
        </w:rPr>
        <w:instrText xml:space="preserve">五、估价结果报告</w:instrText>
      </w:r>
      <w:bookmarkEnd w:id="41"/>
      <w:bookmarkEnd w:id="42"/>
      <w:r>
        <w:rPr>
          <w:rFonts w:eastAsia="仿宋_GB2312"/>
          <w:b/>
          <w:bCs/>
          <w:sz w:val="36"/>
        </w:rPr>
        <w:instrText xml:space="preserve">" \f C \l "1"</w:instrText>
      </w:r>
      <w:r>
        <w:rPr>
          <w:rFonts w:eastAsia="仿宋_GB2312"/>
          <w:b/>
          <w:bCs/>
          <w:sz w:val="36"/>
        </w:rPr>
        <w:fldChar w:fldCharType="end"/>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43" w:name="_Toc155258962"/>
      <w:bookmarkStart w:id="44" w:name="_Toc382493616"/>
      <w:bookmarkStart w:id="45" w:name="_Toc530993655"/>
      <w:r>
        <w:rPr>
          <w:rFonts w:ascii="Times New Roman" w:hAnsi="Times New Roman" w:eastAsia="仿宋_GB2312"/>
          <w:sz w:val="28"/>
          <w:szCs w:val="28"/>
        </w:rPr>
        <w:t>估价委托人</w:t>
      </w:r>
      <w:bookmarkEnd w:id="43"/>
      <w:bookmarkEnd w:id="44"/>
      <w:bookmarkEnd w:id="45"/>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46" w:name="_Toc289260249"/>
      <w:bookmarkStart w:id="47" w:name="_Toc288212018"/>
      <w:r>
        <w:rPr>
          <w:rFonts w:ascii="Times New Roman" w:hAnsi="Times New Roman" w:eastAsia="仿宋_GB2312"/>
          <w:sz w:val="28"/>
          <w:szCs w:val="28"/>
        </w:rPr>
        <w:instrText xml:space="preserve">1、估价委托人</w:instrText>
      </w:r>
      <w:bookmarkEnd w:id="46"/>
      <w:bookmarkEnd w:id="47"/>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adjustRightInd w:val="0"/>
        <w:snapToGrid w:val="0"/>
        <w:spacing w:line="480" w:lineRule="exact"/>
        <w:ind w:firstLine="560" w:firstLineChars="200"/>
        <w:rPr>
          <w:rFonts w:eastAsia="仿宋_GB2312"/>
          <w:sz w:val="28"/>
          <w:szCs w:val="28"/>
        </w:rPr>
      </w:pPr>
      <w:bookmarkStart w:id="48" w:name="_Toc155258963"/>
      <w:r>
        <w:rPr>
          <w:rFonts w:hint="eastAsia" w:eastAsia="仿宋_GB2312"/>
          <w:sz w:val="28"/>
          <w:szCs w:val="28"/>
        </w:rPr>
        <w:t>名称：</w:t>
      </w:r>
      <w:r>
        <w:rPr>
          <w:rFonts w:eastAsia="仿宋_GB2312"/>
          <w:sz w:val="28"/>
          <w:szCs w:val="28"/>
        </w:rPr>
        <w:t>江苏快拍嘉网络科技有限公司</w:t>
      </w:r>
    </w:p>
    <w:p>
      <w:pPr>
        <w:pStyle w:val="3"/>
        <w:widowControl w:val="0"/>
        <w:numPr>
          <w:ilvl w:val="1"/>
          <w:numId w:val="2"/>
        </w:numPr>
        <w:snapToGrid w:val="0"/>
        <w:spacing w:before="240" w:after="120" w:line="360" w:lineRule="auto"/>
        <w:ind w:left="567" w:hanging="6"/>
        <w:rPr>
          <w:rFonts w:ascii="Times New Roman" w:hAnsi="Times New Roman" w:eastAsia="仿宋_GB2312"/>
          <w:b w:val="0"/>
          <w:bCs w:val="0"/>
          <w:sz w:val="28"/>
          <w:szCs w:val="28"/>
        </w:rPr>
      </w:pPr>
      <w:bookmarkStart w:id="49" w:name="_Toc530993656"/>
      <w:bookmarkStart w:id="50" w:name="_Toc382493617"/>
      <w:r>
        <w:rPr>
          <w:rFonts w:ascii="Times New Roman" w:hAnsi="Times New Roman" w:eastAsia="仿宋_GB2312"/>
          <w:sz w:val="28"/>
          <w:szCs w:val="28"/>
        </w:rPr>
        <w:t>房地产估价机构</w:t>
      </w:r>
      <w:bookmarkEnd w:id="48"/>
      <w:bookmarkEnd w:id="49"/>
      <w:bookmarkEnd w:id="50"/>
      <w:r>
        <w:rPr>
          <w:rFonts w:ascii="Times New Roman" w:hAnsi="Times New Roman" w:eastAsia="仿宋_GB2312"/>
          <w:b w:val="0"/>
          <w:bCs w:val="0"/>
          <w:sz w:val="28"/>
          <w:szCs w:val="28"/>
        </w:rPr>
        <w:fldChar w:fldCharType="begin"/>
      </w:r>
      <w:r>
        <w:rPr>
          <w:rFonts w:ascii="Times New Roman" w:hAnsi="Times New Roman" w:eastAsia="仿宋_GB2312"/>
          <w:b w:val="0"/>
          <w:bCs w:val="0"/>
          <w:sz w:val="28"/>
          <w:szCs w:val="28"/>
        </w:rPr>
        <w:instrText xml:space="preserve"> TC "</w:instrText>
      </w:r>
      <w:bookmarkStart w:id="51" w:name="_Toc288212019"/>
      <w:bookmarkStart w:id="52" w:name="_Toc289260250"/>
      <w:r>
        <w:rPr>
          <w:rFonts w:ascii="Times New Roman" w:hAnsi="Times New Roman" w:eastAsia="仿宋_GB2312"/>
          <w:b w:val="0"/>
          <w:bCs w:val="0"/>
          <w:sz w:val="28"/>
          <w:szCs w:val="28"/>
        </w:rPr>
        <w:instrText xml:space="preserve">2、估价机构</w:instrText>
      </w:r>
      <w:bookmarkEnd w:id="51"/>
      <w:bookmarkEnd w:id="52"/>
      <w:r>
        <w:rPr>
          <w:rFonts w:ascii="Times New Roman" w:hAnsi="Times New Roman" w:eastAsia="仿宋_GB2312"/>
          <w:b w:val="0"/>
          <w:bCs w:val="0"/>
          <w:sz w:val="28"/>
          <w:szCs w:val="28"/>
        </w:rPr>
        <w:instrText xml:space="preserve">" \f C \l "2"</w:instrText>
      </w:r>
      <w:r>
        <w:rPr>
          <w:rFonts w:ascii="Times New Roman" w:hAnsi="Times New Roman" w:eastAsia="仿宋_GB2312"/>
          <w:b w:val="0"/>
          <w:bCs w:val="0"/>
          <w:sz w:val="28"/>
          <w:szCs w:val="28"/>
        </w:rPr>
        <w:fldChar w:fldCharType="end"/>
      </w:r>
    </w:p>
    <w:p>
      <w:pPr>
        <w:spacing w:line="480" w:lineRule="exact"/>
        <w:ind w:firstLine="560" w:firstLineChars="200"/>
        <w:rPr>
          <w:rFonts w:eastAsia="仿宋_GB2312"/>
          <w:sz w:val="28"/>
          <w:szCs w:val="28"/>
        </w:rPr>
      </w:pPr>
      <w:r>
        <w:rPr>
          <w:rFonts w:eastAsia="仿宋_GB2312"/>
          <w:sz w:val="28"/>
          <w:szCs w:val="28"/>
        </w:rPr>
        <w:t>单位名称：江苏国衡中测土地房地产资产评估咨询有限公司</w:t>
      </w:r>
    </w:p>
    <w:p>
      <w:pPr>
        <w:adjustRightInd w:val="0"/>
        <w:snapToGrid w:val="0"/>
        <w:spacing w:line="480" w:lineRule="exact"/>
        <w:ind w:firstLine="560" w:firstLineChars="200"/>
        <w:rPr>
          <w:rFonts w:eastAsia="仿宋_GB2312"/>
          <w:sz w:val="28"/>
          <w:szCs w:val="28"/>
        </w:rPr>
      </w:pPr>
      <w:r>
        <w:rPr>
          <w:rFonts w:eastAsia="仿宋_GB2312"/>
          <w:sz w:val="28"/>
          <w:szCs w:val="28"/>
        </w:rPr>
        <w:t>住所：南京市浦口区星甸镇</w:t>
      </w:r>
      <w:r>
        <w:rPr>
          <w:rFonts w:hint="eastAsia" w:eastAsia="仿宋_GB2312"/>
          <w:sz w:val="28"/>
          <w:szCs w:val="28"/>
        </w:rPr>
        <w:t>育才北路20号-58</w:t>
      </w:r>
    </w:p>
    <w:p>
      <w:pPr>
        <w:adjustRightInd w:val="0"/>
        <w:snapToGrid w:val="0"/>
        <w:spacing w:line="480" w:lineRule="exact"/>
        <w:ind w:firstLine="560" w:firstLineChars="200"/>
        <w:rPr>
          <w:rFonts w:eastAsia="仿宋_GB2312"/>
          <w:sz w:val="28"/>
          <w:szCs w:val="28"/>
        </w:rPr>
      </w:pPr>
      <w:r>
        <w:rPr>
          <w:rFonts w:eastAsia="仿宋_GB2312"/>
          <w:sz w:val="28"/>
          <w:szCs w:val="28"/>
        </w:rPr>
        <w:t>房地产估价机构资质证书编号：苏建房估备（壹）南京000</w:t>
      </w:r>
      <w:r>
        <w:rPr>
          <w:rFonts w:hint="eastAsia" w:eastAsia="仿宋_GB2312"/>
          <w:sz w:val="28"/>
          <w:szCs w:val="28"/>
        </w:rPr>
        <w:t>86</w:t>
      </w:r>
    </w:p>
    <w:p>
      <w:pPr>
        <w:adjustRightInd w:val="0"/>
        <w:snapToGrid w:val="0"/>
        <w:spacing w:line="480" w:lineRule="exact"/>
        <w:ind w:firstLine="560" w:firstLineChars="200"/>
        <w:rPr>
          <w:rFonts w:eastAsia="仿宋_GB2312"/>
          <w:sz w:val="28"/>
          <w:szCs w:val="28"/>
        </w:rPr>
      </w:pPr>
      <w:r>
        <w:rPr>
          <w:rFonts w:eastAsia="仿宋_GB2312"/>
          <w:sz w:val="28"/>
          <w:szCs w:val="28"/>
        </w:rPr>
        <w:t>资质等级：壹级</w:t>
      </w:r>
    </w:p>
    <w:p>
      <w:pPr>
        <w:adjustRightInd w:val="0"/>
        <w:snapToGrid w:val="0"/>
        <w:spacing w:line="480" w:lineRule="exact"/>
        <w:ind w:firstLine="560" w:firstLineChars="200"/>
        <w:rPr>
          <w:rFonts w:eastAsia="仿宋_GB2312"/>
          <w:sz w:val="28"/>
          <w:szCs w:val="28"/>
        </w:rPr>
      </w:pPr>
      <w:r>
        <w:rPr>
          <w:rFonts w:eastAsia="仿宋_GB2312"/>
          <w:sz w:val="28"/>
          <w:szCs w:val="28"/>
        </w:rPr>
        <w:t>资质证书有效期：2015年04月08日至202</w:t>
      </w:r>
      <w:r>
        <w:rPr>
          <w:rFonts w:hint="eastAsia" w:eastAsia="仿宋_GB2312"/>
          <w:sz w:val="28"/>
          <w:szCs w:val="28"/>
        </w:rPr>
        <w:t>4</w:t>
      </w:r>
      <w:r>
        <w:rPr>
          <w:rFonts w:eastAsia="仿宋_GB2312"/>
          <w:sz w:val="28"/>
          <w:szCs w:val="28"/>
        </w:rPr>
        <w:t>年06月25日</w:t>
      </w:r>
    </w:p>
    <w:p>
      <w:pPr>
        <w:adjustRightInd w:val="0"/>
        <w:snapToGrid w:val="0"/>
        <w:spacing w:line="480" w:lineRule="exact"/>
        <w:ind w:left="567"/>
        <w:rPr>
          <w:rFonts w:eastAsia="仿宋_GB2312"/>
          <w:sz w:val="28"/>
          <w:szCs w:val="28"/>
        </w:rPr>
      </w:pPr>
      <w:r>
        <w:rPr>
          <w:rFonts w:eastAsia="仿宋_GB2312"/>
          <w:sz w:val="28"/>
          <w:szCs w:val="28"/>
        </w:rPr>
        <w:t>法定代表人：</w:t>
      </w:r>
      <w:r>
        <w:rPr>
          <w:rFonts w:hint="eastAsia" w:eastAsia="仿宋_GB2312"/>
          <w:sz w:val="28"/>
          <w:szCs w:val="28"/>
        </w:rPr>
        <w:t>刘清军</w:t>
      </w:r>
    </w:p>
    <w:p>
      <w:pPr>
        <w:adjustRightInd w:val="0"/>
        <w:snapToGrid w:val="0"/>
        <w:spacing w:line="480" w:lineRule="exact"/>
        <w:ind w:left="567"/>
        <w:rPr>
          <w:rFonts w:eastAsia="仿宋_GB2312"/>
          <w:sz w:val="28"/>
          <w:szCs w:val="28"/>
        </w:rPr>
      </w:pPr>
      <w:r>
        <w:rPr>
          <w:rFonts w:hAnsi="仿宋_GB2312" w:eastAsia="仿宋_GB2312"/>
          <w:sz w:val="28"/>
          <w:szCs w:val="28"/>
        </w:rPr>
        <w:t>联系人：徐琳</w:t>
      </w:r>
    </w:p>
    <w:p>
      <w:pPr>
        <w:spacing w:line="480" w:lineRule="exact"/>
        <w:ind w:firstLine="560" w:firstLineChars="200"/>
        <w:jc w:val="both"/>
        <w:rPr>
          <w:rFonts w:eastAsia="仿宋_GB2312"/>
          <w:sz w:val="28"/>
          <w:szCs w:val="28"/>
        </w:rPr>
      </w:pPr>
      <w:r>
        <w:rPr>
          <w:rFonts w:hAnsi="仿宋_GB2312" w:eastAsia="仿宋_GB2312"/>
          <w:sz w:val="28"/>
          <w:szCs w:val="28"/>
        </w:rPr>
        <w:t>联系电话：</w:t>
      </w:r>
      <w:r>
        <w:rPr>
          <w:rFonts w:eastAsia="仿宋_GB2312"/>
          <w:sz w:val="28"/>
          <w:szCs w:val="28"/>
        </w:rPr>
        <w:t>025-83312698-8020</w:t>
      </w:r>
    </w:p>
    <w:p>
      <w:pPr>
        <w:spacing w:line="480" w:lineRule="exact"/>
        <w:ind w:firstLine="560" w:firstLineChars="200"/>
        <w:rPr>
          <w:rFonts w:eastAsia="仿宋_GB2312"/>
          <w:sz w:val="28"/>
          <w:szCs w:val="28"/>
        </w:rPr>
      </w:pPr>
      <w:bookmarkStart w:id="53" w:name="_Toc362509735"/>
      <w:r>
        <w:rPr>
          <w:rFonts w:eastAsia="仿宋_GB2312"/>
          <w:sz w:val="28"/>
          <w:szCs w:val="28"/>
        </w:rPr>
        <w:t>邮政编码：</w:t>
      </w:r>
      <w:bookmarkEnd w:id="53"/>
      <w:r>
        <w:rPr>
          <w:rFonts w:eastAsia="仿宋_GB2312"/>
          <w:sz w:val="28"/>
          <w:szCs w:val="28"/>
        </w:rPr>
        <w:t>210012</w:t>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54" w:name="_Toc530993657"/>
      <w:bookmarkStart w:id="55" w:name="_Toc382493619"/>
      <w:bookmarkStart w:id="56" w:name="_Toc155258964"/>
      <w:r>
        <w:rPr>
          <w:rFonts w:ascii="Times New Roman" w:hAnsi="Times New Roman" w:eastAsia="仿宋_GB2312"/>
          <w:sz w:val="28"/>
          <w:szCs w:val="28"/>
        </w:rPr>
        <w:t>估价目的</w:t>
      </w:r>
      <w:bookmarkEnd w:id="54"/>
    </w:p>
    <w:p>
      <w:pPr>
        <w:adjustRightInd w:val="0"/>
        <w:snapToGrid w:val="0"/>
        <w:spacing w:line="480" w:lineRule="exact"/>
        <w:ind w:firstLine="560" w:firstLineChars="200"/>
        <w:rPr>
          <w:rFonts w:eastAsia="仿宋_GB2312"/>
          <w:sz w:val="28"/>
          <w:szCs w:val="28"/>
        </w:rPr>
      </w:pPr>
      <w:r>
        <w:rPr>
          <w:rFonts w:eastAsia="仿宋_GB2312"/>
          <w:sz w:val="28"/>
          <w:szCs w:val="28"/>
        </w:rPr>
        <w:t>为估价委托人了解该房地产市场价值提供参考。</w:t>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57" w:name="_Toc530993658"/>
      <w:r>
        <w:rPr>
          <w:rFonts w:ascii="Times New Roman" w:hAnsi="Times New Roman" w:eastAsia="仿宋_GB2312"/>
          <w:sz w:val="28"/>
          <w:szCs w:val="28"/>
        </w:rPr>
        <w:t>估价对象</w:t>
      </w:r>
      <w:bookmarkEnd w:id="55"/>
      <w:bookmarkEnd w:id="57"/>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58" w:name="_Toc288212021"/>
      <w:bookmarkStart w:id="59" w:name="_Toc289260252"/>
      <w:r>
        <w:rPr>
          <w:rFonts w:ascii="Times New Roman" w:hAnsi="Times New Roman" w:eastAsia="仿宋_GB2312"/>
          <w:sz w:val="28"/>
          <w:szCs w:val="28"/>
        </w:rPr>
        <w:instrText xml:space="preserve">4、估价对象</w:instrText>
      </w:r>
      <w:bookmarkEnd w:id="58"/>
      <w:bookmarkEnd w:id="59"/>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adjustRightInd w:val="0"/>
        <w:snapToGrid w:val="0"/>
        <w:spacing w:line="360" w:lineRule="auto"/>
        <w:ind w:firstLine="562" w:firstLineChars="200"/>
        <w:rPr>
          <w:rFonts w:eastAsia="仿宋_GB2312"/>
          <w:sz w:val="28"/>
          <w:szCs w:val="28"/>
        </w:rPr>
      </w:pPr>
      <w:bookmarkStart w:id="60" w:name="_Toc384813581"/>
      <w:bookmarkStart w:id="61" w:name="_Toc387827692"/>
      <w:bookmarkStart w:id="62" w:name="_Toc383068139"/>
      <w:bookmarkStart w:id="63" w:name="_Toc382493620"/>
      <w:r>
        <w:rPr>
          <w:rFonts w:eastAsia="仿宋_GB2312"/>
          <w:b/>
          <w:sz w:val="28"/>
          <w:szCs w:val="28"/>
        </w:rPr>
        <w:t>1.估价对象范围及基本状况</w:t>
      </w:r>
    </w:p>
    <w:p>
      <w:pPr>
        <w:adjustRightInd w:val="0"/>
        <w:snapToGrid w:val="0"/>
        <w:spacing w:line="480" w:lineRule="exact"/>
        <w:ind w:firstLine="560" w:firstLineChars="200"/>
        <w:rPr>
          <w:rFonts w:eastAsia="仿宋_GB2312"/>
          <w:sz w:val="28"/>
          <w:szCs w:val="28"/>
        </w:rPr>
      </w:pPr>
      <w:r>
        <w:rPr>
          <w:rFonts w:hAnsi="仿宋_GB2312" w:eastAsia="仿宋_GB2312"/>
          <w:sz w:val="28"/>
          <w:szCs w:val="28"/>
        </w:rPr>
        <w:t>估价对象位于</w:t>
      </w:r>
      <w:r>
        <w:rPr>
          <w:rFonts w:hint="eastAsia" w:eastAsia="仿宋_GB2312"/>
          <w:sz w:val="28"/>
          <w:szCs w:val="28"/>
        </w:rPr>
        <w:t>南京市高淳区淳溪镇镇兴路177号银庭馨苑地下车库</w:t>
      </w:r>
      <w:r>
        <w:rPr>
          <w:rFonts w:hint="eastAsia" w:hAnsi="仿宋_GB2312" w:eastAsia="仿宋_GB2312"/>
          <w:sz w:val="28"/>
          <w:szCs w:val="28"/>
        </w:rPr>
        <w:t>。估价对象东临北漪路、南临镇兴路、西临固城湖北路、北临康乐路</w:t>
      </w:r>
      <w:r>
        <w:rPr>
          <w:rFonts w:hAnsi="仿宋_GB2312" w:eastAsia="仿宋_GB2312"/>
          <w:sz w:val="28"/>
          <w:szCs w:val="28"/>
        </w:rPr>
        <w:t>。</w:t>
      </w:r>
    </w:p>
    <w:p>
      <w:pPr>
        <w:adjustRightInd w:val="0"/>
        <w:snapToGrid w:val="0"/>
        <w:spacing w:line="480" w:lineRule="exact"/>
        <w:ind w:firstLine="560" w:firstLineChars="200"/>
        <w:rPr>
          <w:rFonts w:eastAsia="仿宋_GB2312"/>
          <w:sz w:val="28"/>
          <w:szCs w:val="28"/>
        </w:rPr>
      </w:pPr>
      <w:r>
        <w:rPr>
          <w:rFonts w:eastAsia="仿宋_GB2312"/>
          <w:sz w:val="28"/>
          <w:szCs w:val="28"/>
        </w:rPr>
        <w:t>根据委托人提供的</w:t>
      </w:r>
      <w:r>
        <w:rPr>
          <w:rFonts w:hint="eastAsia" w:eastAsia="仿宋_GB2312"/>
          <w:sz w:val="28"/>
          <w:szCs w:val="28"/>
        </w:rPr>
        <w:t>资料，</w:t>
      </w:r>
      <w:r>
        <w:rPr>
          <w:rFonts w:eastAsia="仿宋_GB2312"/>
          <w:sz w:val="28"/>
          <w:szCs w:val="28"/>
        </w:rPr>
        <w:t>估价对象</w:t>
      </w:r>
      <w:r>
        <w:rPr>
          <w:rFonts w:hint="eastAsia" w:eastAsia="仿宋_GB2312"/>
          <w:sz w:val="28"/>
          <w:szCs w:val="28"/>
        </w:rPr>
        <w:t>为南京银垣房地产开发有限公司所属的</w:t>
      </w:r>
      <w:r>
        <w:rPr>
          <w:rFonts w:eastAsia="仿宋_GB2312"/>
          <w:sz w:val="28"/>
          <w:szCs w:val="28"/>
        </w:rPr>
        <w:t>位于南京市高淳区淳溪镇镇兴路177号银庭馨苑地下车库共13个车位及车库室，建筑面积</w:t>
      </w:r>
      <w:r>
        <w:rPr>
          <w:rFonts w:hint="eastAsia" w:eastAsia="仿宋_GB2312"/>
          <w:sz w:val="28"/>
          <w:szCs w:val="28"/>
        </w:rPr>
        <w:t>合计</w:t>
      </w:r>
      <w:r>
        <w:rPr>
          <w:rFonts w:eastAsia="仿宋_GB2312"/>
          <w:sz w:val="28"/>
          <w:szCs w:val="28"/>
        </w:rPr>
        <w:t>为225.39平方米及相应分摊的土地面积</w:t>
      </w:r>
      <w:r>
        <w:rPr>
          <w:rFonts w:hint="eastAsia" w:eastAsia="仿宋_GB2312"/>
          <w:sz w:val="28"/>
          <w:szCs w:val="28"/>
        </w:rPr>
        <w:t>，规划用途为车库、车位，实际用途为车库、车位</w:t>
      </w:r>
      <w:r>
        <w:rPr>
          <w:rFonts w:eastAsia="仿宋_GB2312"/>
          <w:sz w:val="28"/>
          <w:szCs w:val="28"/>
        </w:rPr>
        <w:t>。</w:t>
      </w:r>
    </w:p>
    <w:p>
      <w:pPr>
        <w:adjustRightInd w:val="0"/>
        <w:snapToGrid w:val="0"/>
        <w:spacing w:line="480" w:lineRule="exact"/>
        <w:ind w:firstLine="560" w:firstLineChars="200"/>
        <w:rPr>
          <w:rFonts w:eastAsia="仿宋_GB2312"/>
          <w:sz w:val="28"/>
          <w:szCs w:val="28"/>
        </w:rPr>
      </w:pPr>
      <w:r>
        <w:rPr>
          <w:rFonts w:eastAsia="仿宋_GB2312"/>
          <w:sz w:val="28"/>
          <w:szCs w:val="28"/>
        </w:rPr>
        <w:t>估价对象范围包含证载面积房地产以及附着在建筑物上的、与估价对象功能相匹配的、不可移动的设施设备。</w:t>
      </w:r>
    </w:p>
    <w:bookmarkEnd w:id="56"/>
    <w:bookmarkEnd w:id="60"/>
    <w:bookmarkEnd w:id="61"/>
    <w:bookmarkEnd w:id="62"/>
    <w:bookmarkEnd w:id="63"/>
    <w:p>
      <w:pPr>
        <w:snapToGrid w:val="0"/>
        <w:spacing w:line="360" w:lineRule="auto"/>
        <w:ind w:firstLine="562" w:firstLineChars="200"/>
        <w:rPr>
          <w:rFonts w:eastAsia="仿宋_GB2312"/>
          <w:b/>
          <w:caps/>
          <w:sz w:val="28"/>
          <w:szCs w:val="28"/>
        </w:rPr>
      </w:pPr>
      <w:bookmarkStart w:id="64" w:name="_Toc155258965"/>
      <w:r>
        <w:rPr>
          <w:rFonts w:hint="eastAsia" w:eastAsia="仿宋_GB2312"/>
          <w:b/>
          <w:caps/>
          <w:sz w:val="28"/>
          <w:szCs w:val="28"/>
        </w:rPr>
        <w:t>2</w:t>
      </w:r>
      <w:r>
        <w:rPr>
          <w:rFonts w:eastAsia="仿宋_GB2312"/>
          <w:b/>
          <w:caps/>
          <w:sz w:val="28"/>
          <w:szCs w:val="28"/>
        </w:rPr>
        <w:t>.建筑物基本情况</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51"/>
        <w:gridCol w:w="708"/>
        <w:gridCol w:w="708"/>
        <w:gridCol w:w="569"/>
        <w:gridCol w:w="708"/>
        <w:gridCol w:w="993"/>
        <w:gridCol w:w="858"/>
        <w:gridCol w:w="98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37" w:type="pct"/>
            <w:vAlign w:val="center"/>
          </w:tcPr>
          <w:p>
            <w:pPr>
              <w:adjustRightInd w:val="0"/>
              <w:snapToGrid w:val="0"/>
              <w:jc w:val="center"/>
              <w:rPr>
                <w:rFonts w:eastAsia="仿宋_GB2312"/>
                <w:b/>
                <w:caps/>
                <w:sz w:val="21"/>
                <w:szCs w:val="21"/>
              </w:rPr>
            </w:pPr>
            <w:r>
              <w:rPr>
                <w:rFonts w:eastAsia="仿宋_GB2312"/>
                <w:b/>
                <w:bCs/>
                <w:sz w:val="21"/>
                <w:szCs w:val="21"/>
              </w:rPr>
              <w:t>估价对象地址</w:t>
            </w:r>
          </w:p>
        </w:tc>
        <w:tc>
          <w:tcPr>
            <w:tcW w:w="488" w:type="pct"/>
            <w:vAlign w:val="center"/>
          </w:tcPr>
          <w:p>
            <w:pPr>
              <w:adjustRightInd w:val="0"/>
              <w:snapToGrid w:val="0"/>
              <w:jc w:val="center"/>
              <w:rPr>
                <w:rFonts w:eastAsia="仿宋_GB2312"/>
                <w:b/>
                <w:caps/>
                <w:sz w:val="21"/>
                <w:szCs w:val="21"/>
              </w:rPr>
            </w:pPr>
            <w:r>
              <w:rPr>
                <w:rFonts w:eastAsia="仿宋_GB2312"/>
                <w:b/>
                <w:caps/>
                <w:sz w:val="21"/>
                <w:szCs w:val="21"/>
              </w:rPr>
              <w:t>建筑面积（</w:t>
            </w:r>
            <w:r>
              <w:rPr>
                <w:b/>
                <w:caps/>
                <w:sz w:val="21"/>
                <w:szCs w:val="21"/>
              </w:rPr>
              <w:t>㎡</w:t>
            </w:r>
            <w:r>
              <w:rPr>
                <w:rFonts w:eastAsia="仿宋_GB2312"/>
                <w:b/>
                <w:caps/>
                <w:sz w:val="21"/>
                <w:szCs w:val="21"/>
              </w:rPr>
              <w:t>）</w:t>
            </w:r>
          </w:p>
        </w:tc>
        <w:tc>
          <w:tcPr>
            <w:tcW w:w="406" w:type="pct"/>
            <w:vAlign w:val="center"/>
          </w:tcPr>
          <w:p>
            <w:pPr>
              <w:adjustRightInd w:val="0"/>
              <w:snapToGrid w:val="0"/>
              <w:jc w:val="center"/>
              <w:rPr>
                <w:rFonts w:eastAsia="仿宋_GB2312"/>
                <w:b/>
                <w:caps/>
                <w:sz w:val="21"/>
                <w:szCs w:val="21"/>
              </w:rPr>
            </w:pPr>
            <w:r>
              <w:rPr>
                <w:rFonts w:eastAsia="仿宋_GB2312"/>
                <w:b/>
                <w:caps/>
                <w:sz w:val="21"/>
                <w:szCs w:val="21"/>
              </w:rPr>
              <w:t>实际用途</w:t>
            </w:r>
          </w:p>
        </w:tc>
        <w:tc>
          <w:tcPr>
            <w:tcW w:w="406" w:type="pct"/>
            <w:vAlign w:val="center"/>
          </w:tcPr>
          <w:p>
            <w:pPr>
              <w:adjustRightInd w:val="0"/>
              <w:snapToGrid w:val="0"/>
              <w:jc w:val="center"/>
              <w:rPr>
                <w:rFonts w:eastAsia="仿宋_GB2312"/>
                <w:b/>
                <w:caps/>
                <w:sz w:val="21"/>
                <w:szCs w:val="21"/>
              </w:rPr>
            </w:pPr>
            <w:r>
              <w:rPr>
                <w:rFonts w:eastAsia="仿宋_GB2312"/>
                <w:b/>
                <w:caps/>
                <w:sz w:val="21"/>
                <w:szCs w:val="21"/>
              </w:rPr>
              <w:t>目前使用状况</w:t>
            </w:r>
          </w:p>
        </w:tc>
        <w:tc>
          <w:tcPr>
            <w:tcW w:w="326" w:type="pct"/>
            <w:vAlign w:val="center"/>
          </w:tcPr>
          <w:p>
            <w:pPr>
              <w:adjustRightInd w:val="0"/>
              <w:snapToGrid w:val="0"/>
              <w:jc w:val="center"/>
              <w:rPr>
                <w:rFonts w:eastAsia="仿宋_GB2312"/>
                <w:b/>
                <w:caps/>
                <w:sz w:val="21"/>
                <w:szCs w:val="21"/>
              </w:rPr>
            </w:pPr>
            <w:r>
              <w:rPr>
                <w:rFonts w:hint="eastAsia" w:eastAsia="仿宋_GB2312"/>
                <w:b/>
                <w:caps/>
                <w:sz w:val="21"/>
                <w:szCs w:val="21"/>
              </w:rPr>
              <w:t>楼层</w:t>
            </w:r>
          </w:p>
        </w:tc>
        <w:tc>
          <w:tcPr>
            <w:tcW w:w="406" w:type="pct"/>
            <w:vAlign w:val="center"/>
          </w:tcPr>
          <w:p>
            <w:pPr>
              <w:adjustRightInd w:val="0"/>
              <w:snapToGrid w:val="0"/>
              <w:jc w:val="center"/>
              <w:rPr>
                <w:rFonts w:eastAsia="仿宋_GB2312"/>
                <w:b/>
                <w:caps/>
                <w:sz w:val="21"/>
                <w:szCs w:val="21"/>
              </w:rPr>
            </w:pPr>
            <w:r>
              <w:rPr>
                <w:rFonts w:hint="eastAsia" w:eastAsia="仿宋_GB2312"/>
                <w:b/>
                <w:caps/>
                <w:sz w:val="21"/>
                <w:szCs w:val="21"/>
              </w:rPr>
              <w:t>结构</w:t>
            </w:r>
          </w:p>
        </w:tc>
        <w:tc>
          <w:tcPr>
            <w:tcW w:w="569" w:type="pct"/>
            <w:vAlign w:val="center"/>
          </w:tcPr>
          <w:p>
            <w:pPr>
              <w:adjustRightInd w:val="0"/>
              <w:snapToGrid w:val="0"/>
              <w:jc w:val="center"/>
              <w:rPr>
                <w:rFonts w:eastAsia="仿宋_GB2312"/>
                <w:b/>
                <w:caps/>
                <w:sz w:val="21"/>
                <w:szCs w:val="21"/>
              </w:rPr>
            </w:pPr>
            <w:r>
              <w:rPr>
                <w:rFonts w:eastAsia="仿宋_GB2312"/>
                <w:b/>
                <w:caps/>
                <w:sz w:val="21"/>
                <w:szCs w:val="21"/>
              </w:rPr>
              <w:t>空间布局</w:t>
            </w:r>
          </w:p>
        </w:tc>
        <w:tc>
          <w:tcPr>
            <w:tcW w:w="492" w:type="pct"/>
            <w:vAlign w:val="center"/>
          </w:tcPr>
          <w:p>
            <w:pPr>
              <w:adjustRightInd w:val="0"/>
              <w:snapToGrid w:val="0"/>
              <w:jc w:val="center"/>
              <w:rPr>
                <w:rFonts w:eastAsia="仿宋_GB2312"/>
                <w:b/>
                <w:caps/>
                <w:sz w:val="21"/>
                <w:szCs w:val="21"/>
              </w:rPr>
            </w:pPr>
            <w:r>
              <w:rPr>
                <w:rFonts w:eastAsia="仿宋_GB2312"/>
                <w:b/>
                <w:caps/>
                <w:sz w:val="21"/>
                <w:szCs w:val="21"/>
              </w:rPr>
              <w:t>设施设备</w:t>
            </w:r>
          </w:p>
        </w:tc>
        <w:tc>
          <w:tcPr>
            <w:tcW w:w="562" w:type="pct"/>
            <w:vAlign w:val="center"/>
          </w:tcPr>
          <w:p>
            <w:pPr>
              <w:adjustRightInd w:val="0"/>
              <w:snapToGrid w:val="0"/>
              <w:jc w:val="center"/>
              <w:rPr>
                <w:rFonts w:eastAsia="仿宋_GB2312"/>
                <w:b/>
                <w:caps/>
                <w:sz w:val="21"/>
                <w:szCs w:val="21"/>
              </w:rPr>
            </w:pPr>
            <w:r>
              <w:rPr>
                <w:rFonts w:eastAsia="仿宋_GB2312"/>
                <w:b/>
                <w:caps/>
                <w:sz w:val="21"/>
                <w:szCs w:val="21"/>
              </w:rPr>
              <w:t>使用及维护状况</w:t>
            </w:r>
          </w:p>
        </w:tc>
        <w:tc>
          <w:tcPr>
            <w:tcW w:w="309" w:type="pct"/>
            <w:vAlign w:val="center"/>
          </w:tcPr>
          <w:p>
            <w:pPr>
              <w:adjustRightInd w:val="0"/>
              <w:snapToGrid w:val="0"/>
              <w:jc w:val="center"/>
              <w:rPr>
                <w:rFonts w:eastAsia="仿宋_GB2312"/>
                <w:b/>
                <w:caps/>
                <w:sz w:val="21"/>
                <w:szCs w:val="21"/>
              </w:rPr>
            </w:pPr>
            <w:r>
              <w:rPr>
                <w:rFonts w:eastAsia="仿宋_GB2312"/>
                <w:b/>
                <w:caps/>
                <w:sz w:val="21"/>
                <w:szCs w:val="21"/>
              </w:rPr>
              <w:t>成新率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vAlign w:val="center"/>
          </w:tcPr>
          <w:p>
            <w:pPr>
              <w:adjustRightInd w:val="0"/>
              <w:snapToGrid w:val="0"/>
              <w:jc w:val="center"/>
              <w:rPr>
                <w:rFonts w:eastAsia="仿宋_GB2312"/>
                <w:sz w:val="21"/>
                <w:szCs w:val="21"/>
              </w:rPr>
            </w:pPr>
            <w:r>
              <w:rPr>
                <w:rFonts w:hint="eastAsia" w:eastAsia="仿宋_GB2312"/>
                <w:caps/>
                <w:sz w:val="21"/>
                <w:szCs w:val="21"/>
              </w:rPr>
              <w:t>南京市高淳区淳溪镇镇兴路177号银庭馨苑地下车库共13个车位及车库室</w:t>
            </w:r>
          </w:p>
        </w:tc>
        <w:tc>
          <w:tcPr>
            <w:tcW w:w="488" w:type="pct"/>
            <w:vAlign w:val="center"/>
          </w:tcPr>
          <w:p>
            <w:pPr>
              <w:adjustRightInd w:val="0"/>
              <w:snapToGrid w:val="0"/>
              <w:jc w:val="center"/>
              <w:rPr>
                <w:rFonts w:eastAsia="仿宋_GB2312"/>
                <w:sz w:val="21"/>
                <w:szCs w:val="21"/>
              </w:rPr>
            </w:pPr>
            <w:r>
              <w:rPr>
                <w:rFonts w:hint="eastAsia" w:eastAsia="仿宋_GB2312"/>
                <w:sz w:val="21"/>
                <w:szCs w:val="21"/>
              </w:rPr>
              <w:t>合计225.39</w:t>
            </w:r>
            <w:r>
              <w:rPr>
                <w:rFonts w:eastAsia="仿宋_GB2312"/>
                <w:sz w:val="21"/>
                <w:szCs w:val="21"/>
              </w:rPr>
              <w:t xml:space="preserve"> </w:t>
            </w:r>
          </w:p>
        </w:tc>
        <w:tc>
          <w:tcPr>
            <w:tcW w:w="406" w:type="pct"/>
            <w:vAlign w:val="center"/>
          </w:tcPr>
          <w:p>
            <w:pPr>
              <w:adjustRightInd w:val="0"/>
              <w:snapToGrid w:val="0"/>
              <w:jc w:val="center"/>
              <w:rPr>
                <w:rFonts w:eastAsia="仿宋_GB2312"/>
                <w:sz w:val="21"/>
                <w:szCs w:val="21"/>
              </w:rPr>
            </w:pPr>
            <w:r>
              <w:rPr>
                <w:rFonts w:hint="eastAsia" w:eastAsia="仿宋_GB2312"/>
                <w:sz w:val="21"/>
                <w:szCs w:val="21"/>
              </w:rPr>
              <w:t>车库车位</w:t>
            </w:r>
          </w:p>
        </w:tc>
        <w:tc>
          <w:tcPr>
            <w:tcW w:w="406" w:type="pct"/>
            <w:vAlign w:val="center"/>
          </w:tcPr>
          <w:p>
            <w:pPr>
              <w:adjustRightInd w:val="0"/>
              <w:snapToGrid w:val="0"/>
              <w:jc w:val="center"/>
              <w:rPr>
                <w:rFonts w:eastAsia="仿宋_GB2312"/>
                <w:sz w:val="21"/>
                <w:szCs w:val="21"/>
              </w:rPr>
            </w:pPr>
            <w:r>
              <w:rPr>
                <w:rFonts w:hint="eastAsia" w:eastAsia="仿宋_GB2312"/>
                <w:sz w:val="21"/>
                <w:szCs w:val="21"/>
              </w:rPr>
              <w:t>车库车位</w:t>
            </w:r>
          </w:p>
        </w:tc>
        <w:tc>
          <w:tcPr>
            <w:tcW w:w="326" w:type="pct"/>
            <w:vAlign w:val="center"/>
          </w:tcPr>
          <w:p>
            <w:pPr>
              <w:adjustRightInd w:val="0"/>
              <w:snapToGrid w:val="0"/>
              <w:jc w:val="center"/>
              <w:rPr>
                <w:rFonts w:eastAsia="仿宋_GB2312"/>
                <w:sz w:val="21"/>
                <w:szCs w:val="21"/>
              </w:rPr>
            </w:pPr>
            <w:r>
              <w:rPr>
                <w:rFonts w:hint="eastAsia" w:eastAsia="仿宋_GB2312"/>
                <w:sz w:val="21"/>
                <w:szCs w:val="21"/>
              </w:rPr>
              <w:t>-1层</w:t>
            </w:r>
          </w:p>
        </w:tc>
        <w:tc>
          <w:tcPr>
            <w:tcW w:w="406" w:type="pct"/>
            <w:vAlign w:val="center"/>
          </w:tcPr>
          <w:p>
            <w:pPr>
              <w:adjustRightInd w:val="0"/>
              <w:snapToGrid w:val="0"/>
              <w:jc w:val="center"/>
              <w:rPr>
                <w:rFonts w:eastAsia="仿宋_GB2312"/>
                <w:caps/>
                <w:sz w:val="21"/>
                <w:szCs w:val="21"/>
              </w:rPr>
            </w:pPr>
            <w:r>
              <w:rPr>
                <w:rFonts w:hint="eastAsia" w:eastAsia="仿宋_GB2312"/>
                <w:caps/>
                <w:sz w:val="21"/>
                <w:szCs w:val="21"/>
              </w:rPr>
              <w:t>钢混</w:t>
            </w:r>
          </w:p>
        </w:tc>
        <w:tc>
          <w:tcPr>
            <w:tcW w:w="569" w:type="pct"/>
            <w:vAlign w:val="center"/>
          </w:tcPr>
          <w:p>
            <w:pPr>
              <w:adjustRightInd w:val="0"/>
              <w:snapToGrid w:val="0"/>
              <w:jc w:val="center"/>
              <w:rPr>
                <w:rFonts w:eastAsia="仿宋_GB2312"/>
                <w:caps/>
                <w:sz w:val="21"/>
                <w:szCs w:val="21"/>
              </w:rPr>
            </w:pPr>
            <w:r>
              <w:rPr>
                <w:rFonts w:hint="eastAsia" w:eastAsia="仿宋_GB2312"/>
                <w:caps/>
                <w:sz w:val="21"/>
                <w:szCs w:val="21"/>
              </w:rPr>
              <w:t>空间布局较合理</w:t>
            </w:r>
          </w:p>
        </w:tc>
        <w:tc>
          <w:tcPr>
            <w:tcW w:w="492" w:type="pct"/>
            <w:vAlign w:val="center"/>
          </w:tcPr>
          <w:p>
            <w:pPr>
              <w:adjustRightInd w:val="0"/>
              <w:snapToGrid w:val="0"/>
              <w:jc w:val="center"/>
              <w:rPr>
                <w:rFonts w:eastAsia="仿宋_GB2312"/>
                <w:caps/>
                <w:sz w:val="21"/>
                <w:szCs w:val="21"/>
              </w:rPr>
            </w:pPr>
            <w:r>
              <w:rPr>
                <w:rFonts w:hint="eastAsia" w:eastAsia="仿宋_GB2312"/>
                <w:sz w:val="21"/>
                <w:szCs w:val="21"/>
              </w:rPr>
              <w:t>消防等设施设备齐全</w:t>
            </w:r>
          </w:p>
        </w:tc>
        <w:tc>
          <w:tcPr>
            <w:tcW w:w="562" w:type="pct"/>
            <w:vAlign w:val="center"/>
          </w:tcPr>
          <w:p>
            <w:pPr>
              <w:adjustRightInd w:val="0"/>
              <w:snapToGrid w:val="0"/>
              <w:jc w:val="center"/>
              <w:rPr>
                <w:rFonts w:eastAsia="仿宋_GB2312"/>
                <w:caps/>
                <w:sz w:val="21"/>
                <w:szCs w:val="21"/>
              </w:rPr>
            </w:pPr>
            <w:r>
              <w:rPr>
                <w:rFonts w:eastAsia="仿宋_GB2312"/>
                <w:sz w:val="21"/>
                <w:szCs w:val="21"/>
              </w:rPr>
              <w:t>维护保养</w:t>
            </w:r>
            <w:r>
              <w:rPr>
                <w:rFonts w:hint="eastAsia" w:eastAsia="仿宋_GB2312"/>
                <w:sz w:val="21"/>
                <w:szCs w:val="21"/>
              </w:rPr>
              <w:t>较优</w:t>
            </w:r>
          </w:p>
        </w:tc>
        <w:tc>
          <w:tcPr>
            <w:tcW w:w="309" w:type="pct"/>
            <w:vAlign w:val="center"/>
          </w:tcPr>
          <w:p>
            <w:pPr>
              <w:adjustRightInd w:val="0"/>
              <w:snapToGrid w:val="0"/>
              <w:jc w:val="center"/>
              <w:rPr>
                <w:rFonts w:eastAsia="仿宋_GB2312"/>
                <w:sz w:val="21"/>
                <w:szCs w:val="21"/>
              </w:rPr>
            </w:pPr>
            <w:r>
              <w:rPr>
                <w:rFonts w:hint="eastAsia" w:eastAsia="仿宋_GB2312"/>
                <w:sz w:val="21"/>
                <w:szCs w:val="21"/>
              </w:rPr>
              <w:t>90</w:t>
            </w:r>
            <w:r>
              <w:rPr>
                <w:rFonts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vAlign w:val="center"/>
          </w:tcPr>
          <w:p>
            <w:pPr>
              <w:adjustRightInd w:val="0"/>
              <w:snapToGrid w:val="0"/>
              <w:jc w:val="center"/>
              <w:rPr>
                <w:rFonts w:eastAsia="仿宋_GB2312"/>
                <w:caps/>
                <w:sz w:val="21"/>
                <w:szCs w:val="21"/>
              </w:rPr>
            </w:pPr>
            <w:r>
              <w:rPr>
                <w:rFonts w:eastAsia="仿宋_GB2312"/>
                <w:b/>
                <w:caps/>
                <w:sz w:val="21"/>
                <w:szCs w:val="21"/>
              </w:rPr>
              <w:t>装饰装修</w:t>
            </w:r>
          </w:p>
        </w:tc>
        <w:tc>
          <w:tcPr>
            <w:tcW w:w="3963" w:type="pct"/>
            <w:gridSpan w:val="9"/>
            <w:vAlign w:val="center"/>
          </w:tcPr>
          <w:p>
            <w:pPr>
              <w:adjustRightInd w:val="0"/>
              <w:snapToGrid w:val="0"/>
              <w:jc w:val="center"/>
              <w:rPr>
                <w:rFonts w:eastAsia="仿宋_GB2312"/>
                <w:sz w:val="21"/>
                <w:szCs w:val="21"/>
              </w:rPr>
            </w:pPr>
            <w:r>
              <w:rPr>
                <w:rFonts w:hint="eastAsia" w:eastAsia="仿宋_GB2312"/>
                <w:sz w:val="21"/>
                <w:szCs w:val="21"/>
              </w:rPr>
              <w:t>估价对象地面为环氧漆地面。</w:t>
            </w:r>
          </w:p>
        </w:tc>
      </w:tr>
    </w:tbl>
    <w:p>
      <w:pPr>
        <w:pStyle w:val="37"/>
        <w:spacing w:line="480" w:lineRule="exact"/>
        <w:ind w:left="567" w:firstLine="0"/>
        <w:rPr>
          <w:rFonts w:ascii="Times New Roman"/>
          <w:b/>
          <w:szCs w:val="28"/>
        </w:rPr>
      </w:pPr>
      <w:r>
        <w:rPr>
          <w:rFonts w:hint="eastAsia" w:ascii="Times New Roman"/>
          <w:b/>
          <w:szCs w:val="28"/>
        </w:rPr>
        <w:t>3.</w:t>
      </w:r>
      <w:r>
        <w:rPr>
          <w:rFonts w:ascii="Times New Roman"/>
          <w:b/>
          <w:szCs w:val="28"/>
        </w:rPr>
        <w:t>估价对象权益状况</w:t>
      </w:r>
    </w:p>
    <w:p>
      <w:pPr>
        <w:pStyle w:val="37"/>
        <w:spacing w:line="480" w:lineRule="exact"/>
        <w:ind w:left="567" w:firstLine="0"/>
        <w:rPr>
          <w:rFonts w:ascii="Times New Roman"/>
          <w:b/>
          <w:szCs w:val="28"/>
        </w:rPr>
      </w:pPr>
      <w:r>
        <w:rPr>
          <w:rFonts w:hint="eastAsia" w:ascii="Times New Roman"/>
          <w:b/>
          <w:szCs w:val="28"/>
        </w:rPr>
        <w:t>3</w:t>
      </w:r>
      <w:r>
        <w:rPr>
          <w:rFonts w:ascii="Times New Roman"/>
          <w:b/>
          <w:szCs w:val="28"/>
        </w:rPr>
        <w:t>.1房屋权属登记状况</w:t>
      </w:r>
    </w:p>
    <w:tbl>
      <w:tblPr>
        <w:tblStyle w:val="45"/>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
        <w:gridCol w:w="2693"/>
        <w:gridCol w:w="860"/>
        <w:gridCol w:w="707"/>
        <w:gridCol w:w="708"/>
        <w:gridCol w:w="847"/>
        <w:gridCol w:w="7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9"/>
            <w:vAlign w:val="center"/>
          </w:tcPr>
          <w:p>
            <w:pPr>
              <w:spacing w:line="240" w:lineRule="exact"/>
              <w:jc w:val="center"/>
              <w:rPr>
                <w:rFonts w:eastAsia="仿宋_GB2312"/>
                <w:szCs w:val="21"/>
              </w:rPr>
            </w:pPr>
            <w:r>
              <w:rPr>
                <w:rFonts w:eastAsia="仿宋_GB2312"/>
                <w:szCs w:val="21"/>
              </w:rPr>
              <w:t>不动产登记</w:t>
            </w:r>
            <w:r>
              <w:rPr>
                <w:rFonts w:hint="eastAsia" w:eastAsia="仿宋_GB2312"/>
                <w:szCs w:val="21"/>
              </w:rPr>
              <w:t>资料</w:t>
            </w:r>
            <w:r>
              <w:rPr>
                <w:rFonts w:eastAsia="仿宋_GB2312"/>
                <w:szCs w:val="21"/>
              </w:rPr>
              <w:t>查询结果证明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19" w:type="pct"/>
            <w:vAlign w:val="center"/>
          </w:tcPr>
          <w:p>
            <w:pPr>
              <w:spacing w:line="240" w:lineRule="exact"/>
              <w:jc w:val="center"/>
              <w:rPr>
                <w:rFonts w:eastAsia="仿宋_GB2312"/>
                <w:szCs w:val="21"/>
              </w:rPr>
            </w:pPr>
            <w:r>
              <w:rPr>
                <w:rFonts w:eastAsia="仿宋_GB2312"/>
                <w:szCs w:val="21"/>
              </w:rPr>
              <w:t>证书号</w:t>
            </w:r>
          </w:p>
        </w:tc>
        <w:tc>
          <w:tcPr>
            <w:tcW w:w="239" w:type="pct"/>
            <w:vAlign w:val="center"/>
          </w:tcPr>
          <w:p>
            <w:pPr>
              <w:spacing w:line="240" w:lineRule="exact"/>
              <w:jc w:val="center"/>
              <w:rPr>
                <w:rFonts w:eastAsia="仿宋_GB2312"/>
                <w:szCs w:val="21"/>
              </w:rPr>
            </w:pPr>
            <w:r>
              <w:rPr>
                <w:rFonts w:eastAsia="仿宋_GB2312"/>
                <w:szCs w:val="21"/>
              </w:rPr>
              <w:t>权利人</w:t>
            </w:r>
          </w:p>
        </w:tc>
        <w:tc>
          <w:tcPr>
            <w:tcW w:w="1513" w:type="pct"/>
            <w:vAlign w:val="center"/>
          </w:tcPr>
          <w:p>
            <w:pPr>
              <w:spacing w:line="240" w:lineRule="exact"/>
              <w:jc w:val="center"/>
              <w:rPr>
                <w:rFonts w:eastAsia="仿宋_GB2312"/>
                <w:szCs w:val="21"/>
              </w:rPr>
            </w:pPr>
            <w:r>
              <w:rPr>
                <w:rFonts w:eastAsia="仿宋_GB2312"/>
                <w:szCs w:val="21"/>
              </w:rPr>
              <w:t>坐落</w:t>
            </w:r>
          </w:p>
        </w:tc>
        <w:tc>
          <w:tcPr>
            <w:tcW w:w="483" w:type="pct"/>
            <w:vAlign w:val="center"/>
          </w:tcPr>
          <w:p>
            <w:pPr>
              <w:spacing w:line="240" w:lineRule="exact"/>
              <w:jc w:val="center"/>
              <w:rPr>
                <w:rFonts w:eastAsia="仿宋_GB2312"/>
                <w:szCs w:val="21"/>
              </w:rPr>
            </w:pPr>
            <w:r>
              <w:rPr>
                <w:rFonts w:eastAsia="仿宋_GB2312"/>
                <w:szCs w:val="21"/>
              </w:rPr>
              <w:t>所在层数/总层数</w:t>
            </w:r>
          </w:p>
        </w:tc>
        <w:tc>
          <w:tcPr>
            <w:tcW w:w="397" w:type="pct"/>
            <w:vAlign w:val="center"/>
          </w:tcPr>
          <w:p>
            <w:pPr>
              <w:spacing w:line="240" w:lineRule="exact"/>
              <w:jc w:val="center"/>
              <w:rPr>
                <w:rFonts w:eastAsia="仿宋_GB2312"/>
                <w:szCs w:val="21"/>
              </w:rPr>
            </w:pPr>
            <w:r>
              <w:rPr>
                <w:rFonts w:hint="eastAsia" w:eastAsia="仿宋_GB2312"/>
                <w:szCs w:val="21"/>
              </w:rPr>
              <w:t>房屋</w:t>
            </w:r>
            <w:r>
              <w:rPr>
                <w:rFonts w:eastAsia="仿宋_GB2312"/>
                <w:szCs w:val="21"/>
              </w:rPr>
              <w:t>用途</w:t>
            </w:r>
          </w:p>
        </w:tc>
        <w:tc>
          <w:tcPr>
            <w:tcW w:w="398" w:type="pct"/>
            <w:vAlign w:val="center"/>
          </w:tcPr>
          <w:p>
            <w:pPr>
              <w:spacing w:line="240" w:lineRule="exact"/>
              <w:jc w:val="center"/>
              <w:rPr>
                <w:rFonts w:eastAsia="仿宋_GB2312"/>
                <w:szCs w:val="21"/>
              </w:rPr>
            </w:pPr>
            <w:r>
              <w:rPr>
                <w:rFonts w:eastAsia="仿宋_GB2312"/>
                <w:szCs w:val="21"/>
              </w:rPr>
              <w:t>土地权利性质</w:t>
            </w:r>
          </w:p>
        </w:tc>
        <w:tc>
          <w:tcPr>
            <w:tcW w:w="476" w:type="pct"/>
            <w:vAlign w:val="center"/>
          </w:tcPr>
          <w:p>
            <w:pPr>
              <w:spacing w:line="240" w:lineRule="exact"/>
              <w:jc w:val="center"/>
              <w:rPr>
                <w:rFonts w:eastAsia="仿宋_GB2312"/>
                <w:szCs w:val="21"/>
              </w:rPr>
            </w:pPr>
            <w:r>
              <w:rPr>
                <w:rFonts w:eastAsia="仿宋_GB2312"/>
                <w:szCs w:val="21"/>
              </w:rPr>
              <w:t>建筑面积(m</w:t>
            </w:r>
            <w:r>
              <w:rPr>
                <w:rFonts w:eastAsia="仿宋_GB2312"/>
                <w:szCs w:val="21"/>
                <w:vertAlign w:val="superscript"/>
              </w:rPr>
              <w:t>2</w:t>
            </w:r>
            <w:r>
              <w:rPr>
                <w:rFonts w:eastAsia="仿宋_GB2312"/>
                <w:szCs w:val="21"/>
              </w:rPr>
              <w:t>)</w:t>
            </w:r>
          </w:p>
        </w:tc>
        <w:tc>
          <w:tcPr>
            <w:tcW w:w="402" w:type="pct"/>
            <w:vAlign w:val="center"/>
          </w:tcPr>
          <w:p>
            <w:pPr>
              <w:spacing w:line="240" w:lineRule="exact"/>
              <w:jc w:val="center"/>
              <w:rPr>
                <w:rFonts w:eastAsia="仿宋_GB2312"/>
                <w:szCs w:val="21"/>
              </w:rPr>
            </w:pPr>
            <w:r>
              <w:rPr>
                <w:rFonts w:hint="eastAsia" w:eastAsia="仿宋_GB2312"/>
                <w:szCs w:val="21"/>
              </w:rPr>
              <w:t>土地用途</w:t>
            </w:r>
          </w:p>
        </w:tc>
        <w:tc>
          <w:tcPr>
            <w:tcW w:w="473" w:type="pct"/>
            <w:vAlign w:val="center"/>
          </w:tcPr>
          <w:p>
            <w:pPr>
              <w:spacing w:line="240" w:lineRule="exact"/>
              <w:jc w:val="center"/>
              <w:rPr>
                <w:rFonts w:eastAsia="仿宋_GB2312"/>
                <w:szCs w:val="21"/>
              </w:rPr>
            </w:pPr>
            <w:r>
              <w:rPr>
                <w:rFonts w:hint="eastAsia" w:eastAsia="仿宋_GB2312"/>
                <w:szCs w:val="21"/>
              </w:rPr>
              <w:t>土地使用权期限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淳初字第049313号</w:t>
            </w:r>
          </w:p>
        </w:tc>
        <w:tc>
          <w:tcPr>
            <w:tcW w:w="239" w:type="pct"/>
            <w:vMerge w:val="restart"/>
            <w:shd w:val="clear" w:color="000000" w:fill="FFFFFF"/>
            <w:vAlign w:val="center"/>
          </w:tcPr>
          <w:p>
            <w:pPr>
              <w:spacing w:line="240" w:lineRule="exact"/>
              <w:jc w:val="center"/>
              <w:rPr>
                <w:rFonts w:eastAsia="仿宋_GB2312"/>
                <w:szCs w:val="21"/>
              </w:rPr>
            </w:pPr>
            <w:r>
              <w:rPr>
                <w:rFonts w:eastAsia="仿宋_GB2312"/>
                <w:szCs w:val="21"/>
              </w:rPr>
              <w:t>南京银垣房地产开发有限公司</w:t>
            </w: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淳溪镇镇兴路177号银庭馨苑地下车库001号车库室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车库</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21.45</w:t>
            </w:r>
          </w:p>
        </w:tc>
        <w:tc>
          <w:tcPr>
            <w:tcW w:w="402" w:type="pct"/>
            <w:vMerge w:val="restart"/>
            <w:shd w:val="clear" w:color="000000" w:fill="FFFFFF"/>
            <w:vAlign w:val="center"/>
          </w:tcPr>
          <w:p>
            <w:pPr>
              <w:spacing w:line="240" w:lineRule="exact"/>
              <w:jc w:val="center"/>
              <w:rPr>
                <w:rFonts w:eastAsia="仿宋_GB2312"/>
                <w:szCs w:val="21"/>
              </w:rPr>
            </w:pPr>
            <w:r>
              <w:rPr>
                <w:rFonts w:hint="eastAsia" w:eastAsia="仿宋_GB2312"/>
                <w:szCs w:val="21"/>
              </w:rPr>
              <w:t>城镇单一住宅用地</w:t>
            </w:r>
          </w:p>
        </w:tc>
        <w:tc>
          <w:tcPr>
            <w:tcW w:w="473" w:type="pct"/>
            <w:vMerge w:val="restart"/>
            <w:shd w:val="clear" w:color="000000" w:fill="FFFFFF"/>
            <w:vAlign w:val="center"/>
          </w:tcPr>
          <w:p>
            <w:pPr>
              <w:spacing w:line="240" w:lineRule="exact"/>
              <w:jc w:val="center"/>
              <w:rPr>
                <w:rFonts w:eastAsia="仿宋_GB2312"/>
                <w:szCs w:val="21"/>
              </w:rPr>
            </w:pPr>
            <w:r>
              <w:rPr>
                <w:rFonts w:hint="eastAsia" w:eastAsia="仿宋_GB2312"/>
                <w:szCs w:val="21"/>
              </w:rPr>
              <w:t>2081-01-31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淳初字第049321号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淳溪镇镇兴路177号银庭馨苑地下车库009号车位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淳初字第049475号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淳溪镇镇兴路177号银庭馨苑地下车库163号车库室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26.47</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淳初字第049484号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淳溪镇镇兴路177号银庭馨苑地下车库172号车库室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27.87</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淳初字第049485号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淳溪镇镇兴路177号银庭馨苑地下车库173号车库室</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23.51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淳初字第049492号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淳溪镇镇兴路177号银庭馨苑地下车库180号车位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淳初字第049495号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淳溪镇镇兴路177号银庭馨苑地下车库183号车位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淳初字第049497号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淳溪镇镇兴路177号银庭馨苑地下车库185号车位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淳初字第049498号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淳溪镇镇兴路177号银庭馨苑地下车库186号车位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淳初字第049499号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淳溪镇镇兴路177号银庭馨苑地下车库187号车位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淳初字第049507号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淳溪镇镇兴路177号银庭馨苑地下车库195号车位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淳初字第049508号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淳溪镇镇兴路177号银庭馨苑地下车库196号车位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淳初字第049519号</w:t>
            </w:r>
          </w:p>
        </w:tc>
        <w:tc>
          <w:tcPr>
            <w:tcW w:w="239" w:type="pct"/>
            <w:vMerge w:val="continue"/>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r>
              <w:rPr>
                <w:rFonts w:hint="eastAsia" w:eastAsia="仿宋_GB2312"/>
                <w:szCs w:val="21"/>
              </w:rPr>
              <w:t>淳溪镇镇兴路177号银庭馨苑地下车库207号车位</w:t>
            </w:r>
          </w:p>
        </w:tc>
        <w:tc>
          <w:tcPr>
            <w:tcW w:w="483" w:type="pct"/>
            <w:shd w:val="clear" w:color="000000" w:fill="FFFFFF"/>
            <w:vAlign w:val="center"/>
          </w:tcPr>
          <w:p>
            <w:pPr>
              <w:spacing w:line="240" w:lineRule="exact"/>
              <w:jc w:val="center"/>
              <w:rPr>
                <w:rFonts w:eastAsia="仿宋_GB2312"/>
                <w:szCs w:val="21"/>
              </w:rPr>
            </w:pPr>
            <w:r>
              <w:rPr>
                <w:rFonts w:hint="eastAsia" w:eastAsia="仿宋_GB2312"/>
                <w:szCs w:val="21"/>
              </w:rPr>
              <w:t>-1/1</w:t>
            </w:r>
          </w:p>
        </w:tc>
        <w:tc>
          <w:tcPr>
            <w:tcW w:w="397" w:type="pct"/>
            <w:shd w:val="clear" w:color="000000" w:fill="FFFFFF"/>
            <w:vAlign w:val="center"/>
          </w:tcPr>
          <w:p>
            <w:pPr>
              <w:spacing w:line="240" w:lineRule="exact"/>
              <w:jc w:val="center"/>
              <w:rPr>
                <w:rFonts w:eastAsia="仿宋_GB2312"/>
                <w:szCs w:val="21"/>
              </w:rPr>
            </w:pPr>
            <w:r>
              <w:rPr>
                <w:rFonts w:hint="eastAsia" w:eastAsia="仿宋_GB2312"/>
                <w:szCs w:val="21"/>
              </w:rPr>
              <w:t>车位</w:t>
            </w:r>
          </w:p>
        </w:tc>
        <w:tc>
          <w:tcPr>
            <w:tcW w:w="398" w:type="pct"/>
            <w:shd w:val="clear" w:color="000000" w:fill="FFFFFF"/>
            <w:vAlign w:val="center"/>
          </w:tcPr>
          <w:p>
            <w:pPr>
              <w:spacing w:line="240" w:lineRule="exact"/>
              <w:jc w:val="center"/>
              <w:rPr>
                <w:rFonts w:eastAsia="仿宋_GB2312"/>
                <w:szCs w:val="21"/>
              </w:rPr>
            </w:pPr>
            <w:r>
              <w:rPr>
                <w:rFonts w:hint="eastAsia" w:eastAsia="仿宋_GB2312"/>
                <w:szCs w:val="21"/>
              </w:rPr>
              <w:t>出让</w:t>
            </w: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14.01</w:t>
            </w:r>
          </w:p>
        </w:tc>
        <w:tc>
          <w:tcPr>
            <w:tcW w:w="402" w:type="pct"/>
            <w:vMerge w:val="continue"/>
            <w:shd w:val="clear" w:color="000000" w:fill="FFFFFF"/>
            <w:vAlign w:val="center"/>
          </w:tcPr>
          <w:p>
            <w:pPr>
              <w:spacing w:line="240" w:lineRule="exact"/>
              <w:jc w:val="center"/>
              <w:rPr>
                <w:rFonts w:eastAsia="仿宋_GB2312"/>
                <w:szCs w:val="21"/>
              </w:rPr>
            </w:pPr>
          </w:p>
        </w:tc>
        <w:tc>
          <w:tcPr>
            <w:tcW w:w="473" w:type="pct"/>
            <w:vMerge w:val="continue"/>
            <w:shd w:val="clear" w:color="000000" w:fill="FFFFFF"/>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9" w:type="pct"/>
            <w:shd w:val="clear" w:color="000000" w:fill="FFFFFF"/>
            <w:vAlign w:val="center"/>
          </w:tcPr>
          <w:p>
            <w:pPr>
              <w:spacing w:line="240" w:lineRule="exact"/>
              <w:jc w:val="center"/>
              <w:rPr>
                <w:rFonts w:eastAsia="仿宋_GB2312"/>
                <w:szCs w:val="21"/>
              </w:rPr>
            </w:pPr>
            <w:r>
              <w:rPr>
                <w:rFonts w:hint="eastAsia" w:eastAsia="仿宋_GB2312"/>
                <w:szCs w:val="21"/>
              </w:rPr>
              <w:t>合计</w:t>
            </w:r>
          </w:p>
        </w:tc>
        <w:tc>
          <w:tcPr>
            <w:tcW w:w="239" w:type="pct"/>
            <w:shd w:val="clear" w:color="000000" w:fill="FFFFFF"/>
            <w:vAlign w:val="center"/>
          </w:tcPr>
          <w:p>
            <w:pPr>
              <w:spacing w:line="240" w:lineRule="exact"/>
              <w:jc w:val="center"/>
              <w:rPr>
                <w:rFonts w:eastAsia="仿宋_GB2312"/>
                <w:szCs w:val="21"/>
              </w:rPr>
            </w:pPr>
          </w:p>
        </w:tc>
        <w:tc>
          <w:tcPr>
            <w:tcW w:w="1513" w:type="pct"/>
            <w:shd w:val="clear" w:color="000000" w:fill="FFFFFF"/>
            <w:vAlign w:val="center"/>
          </w:tcPr>
          <w:p>
            <w:pPr>
              <w:spacing w:line="240" w:lineRule="exact"/>
              <w:jc w:val="center"/>
              <w:rPr>
                <w:rFonts w:eastAsia="仿宋_GB2312"/>
                <w:szCs w:val="21"/>
              </w:rPr>
            </w:pPr>
          </w:p>
        </w:tc>
        <w:tc>
          <w:tcPr>
            <w:tcW w:w="483" w:type="pct"/>
            <w:shd w:val="clear" w:color="000000" w:fill="FFFFFF"/>
            <w:vAlign w:val="center"/>
          </w:tcPr>
          <w:p>
            <w:pPr>
              <w:spacing w:line="240" w:lineRule="exact"/>
              <w:jc w:val="center"/>
              <w:rPr>
                <w:rFonts w:eastAsia="仿宋_GB2312"/>
                <w:szCs w:val="21"/>
              </w:rPr>
            </w:pPr>
          </w:p>
        </w:tc>
        <w:tc>
          <w:tcPr>
            <w:tcW w:w="397" w:type="pct"/>
            <w:shd w:val="clear" w:color="000000" w:fill="FFFFFF"/>
            <w:vAlign w:val="center"/>
          </w:tcPr>
          <w:p>
            <w:pPr>
              <w:spacing w:line="240" w:lineRule="exact"/>
              <w:jc w:val="center"/>
              <w:rPr>
                <w:rFonts w:eastAsia="仿宋_GB2312"/>
                <w:szCs w:val="21"/>
              </w:rPr>
            </w:pPr>
          </w:p>
        </w:tc>
        <w:tc>
          <w:tcPr>
            <w:tcW w:w="398" w:type="pct"/>
            <w:shd w:val="clear" w:color="000000" w:fill="FFFFFF"/>
            <w:vAlign w:val="center"/>
          </w:tcPr>
          <w:p>
            <w:pPr>
              <w:spacing w:line="240" w:lineRule="exact"/>
              <w:jc w:val="center"/>
              <w:rPr>
                <w:rFonts w:eastAsia="仿宋_GB2312"/>
                <w:szCs w:val="21"/>
              </w:rPr>
            </w:pPr>
          </w:p>
        </w:tc>
        <w:tc>
          <w:tcPr>
            <w:tcW w:w="476" w:type="pct"/>
            <w:shd w:val="clear" w:color="000000" w:fill="FFFFFF"/>
            <w:vAlign w:val="center"/>
          </w:tcPr>
          <w:p>
            <w:pPr>
              <w:spacing w:line="240" w:lineRule="exact"/>
              <w:jc w:val="center"/>
              <w:rPr>
                <w:rFonts w:eastAsia="仿宋_GB2312"/>
                <w:szCs w:val="21"/>
              </w:rPr>
            </w:pPr>
            <w:r>
              <w:rPr>
                <w:rFonts w:hint="eastAsia" w:eastAsia="仿宋_GB2312"/>
                <w:szCs w:val="21"/>
              </w:rPr>
              <w:t>225.39</w:t>
            </w:r>
          </w:p>
        </w:tc>
        <w:tc>
          <w:tcPr>
            <w:tcW w:w="402" w:type="pct"/>
            <w:shd w:val="clear" w:color="000000" w:fill="FFFFFF"/>
            <w:vAlign w:val="center"/>
          </w:tcPr>
          <w:p>
            <w:pPr>
              <w:spacing w:line="240" w:lineRule="exact"/>
              <w:jc w:val="center"/>
              <w:rPr>
                <w:rFonts w:eastAsia="仿宋_GB2312"/>
                <w:szCs w:val="21"/>
              </w:rPr>
            </w:pPr>
          </w:p>
        </w:tc>
        <w:tc>
          <w:tcPr>
            <w:tcW w:w="473" w:type="pct"/>
            <w:shd w:val="clear" w:color="000000" w:fill="FFFFFF"/>
            <w:vAlign w:val="center"/>
          </w:tcPr>
          <w:p>
            <w:pPr>
              <w:spacing w:line="240" w:lineRule="exact"/>
              <w:jc w:val="center"/>
              <w:rPr>
                <w:rFonts w:eastAsia="仿宋_GB2312"/>
                <w:szCs w:val="21"/>
              </w:rPr>
            </w:pPr>
          </w:p>
        </w:tc>
      </w:tr>
    </w:tbl>
    <w:p>
      <w:pPr>
        <w:adjustRightInd w:val="0"/>
        <w:snapToGrid w:val="0"/>
        <w:spacing w:line="480" w:lineRule="exact"/>
        <w:ind w:firstLine="562" w:firstLineChars="200"/>
        <w:rPr>
          <w:rFonts w:eastAsia="仿宋_GB2312"/>
          <w:b/>
          <w:sz w:val="28"/>
          <w:szCs w:val="28"/>
        </w:rPr>
      </w:pPr>
      <w:r>
        <w:rPr>
          <w:rFonts w:hint="eastAsia" w:eastAsia="仿宋_GB2312"/>
          <w:b/>
          <w:sz w:val="28"/>
          <w:szCs w:val="28"/>
        </w:rPr>
        <w:t>3.2权利状况</w:t>
      </w:r>
    </w:p>
    <w:p>
      <w:pPr>
        <w:adjustRightInd w:val="0"/>
        <w:snapToGrid w:val="0"/>
        <w:spacing w:line="480" w:lineRule="exact"/>
        <w:ind w:firstLine="560" w:firstLineChars="200"/>
        <w:rPr>
          <w:rFonts w:eastAsia="仿宋_GB2312"/>
          <w:sz w:val="28"/>
          <w:szCs w:val="28"/>
        </w:rPr>
      </w:pPr>
      <w:r>
        <w:rPr>
          <w:rFonts w:eastAsia="仿宋_GB2312"/>
          <w:sz w:val="28"/>
          <w:szCs w:val="28"/>
        </w:rPr>
        <w:t>根据估价委托人提供的资料，</w:t>
      </w:r>
      <w:r>
        <w:rPr>
          <w:rFonts w:hint="eastAsia" w:eastAsia="仿宋_GB2312"/>
          <w:sz w:val="28"/>
          <w:szCs w:val="28"/>
        </w:rPr>
        <w:t>至价值时点，</w:t>
      </w:r>
      <w:r>
        <w:rPr>
          <w:rFonts w:eastAsia="仿宋_GB2312"/>
          <w:sz w:val="28"/>
          <w:szCs w:val="28"/>
        </w:rPr>
        <w:t>估价对象</w:t>
      </w:r>
      <w:r>
        <w:rPr>
          <w:rFonts w:hint="eastAsia" w:eastAsia="仿宋_GB2312"/>
          <w:sz w:val="28"/>
          <w:szCs w:val="28"/>
        </w:rPr>
        <w:t>无注册他项权利的记载</w:t>
      </w:r>
      <w:r>
        <w:rPr>
          <w:rFonts w:eastAsia="仿宋_GB2312"/>
          <w:sz w:val="28"/>
          <w:szCs w:val="28"/>
        </w:rPr>
        <w:t>。本次估价未考虑可能与估价对象产权人有关的债权及债务情况对估价结果的影响。</w:t>
      </w:r>
    </w:p>
    <w:p>
      <w:pPr>
        <w:adjustRightInd w:val="0"/>
        <w:snapToGrid w:val="0"/>
        <w:spacing w:line="480" w:lineRule="exact"/>
        <w:ind w:firstLine="562" w:firstLineChars="200"/>
        <w:rPr>
          <w:rFonts w:eastAsia="仿宋_GB2312"/>
          <w:b/>
          <w:sz w:val="28"/>
          <w:szCs w:val="28"/>
        </w:rPr>
      </w:pPr>
      <w:r>
        <w:rPr>
          <w:rFonts w:hint="eastAsia" w:eastAsia="仿宋_GB2312"/>
          <w:b/>
          <w:sz w:val="28"/>
          <w:szCs w:val="28"/>
        </w:rPr>
        <w:t>3.3限制</w:t>
      </w:r>
      <w:r>
        <w:rPr>
          <w:rFonts w:eastAsia="仿宋_GB2312"/>
          <w:b/>
          <w:sz w:val="28"/>
          <w:szCs w:val="28"/>
        </w:rPr>
        <w:t>状况</w:t>
      </w:r>
    </w:p>
    <w:p>
      <w:pPr>
        <w:adjustRightInd w:val="0"/>
        <w:snapToGrid w:val="0"/>
        <w:spacing w:line="480" w:lineRule="exact"/>
        <w:ind w:firstLine="560" w:firstLineChars="200"/>
        <w:rPr>
          <w:rFonts w:eastAsia="仿宋_GB2312"/>
          <w:sz w:val="28"/>
          <w:szCs w:val="28"/>
        </w:rPr>
      </w:pPr>
      <w:r>
        <w:rPr>
          <w:rFonts w:hint="eastAsia" w:eastAsia="仿宋_GB2312"/>
          <w:sz w:val="28"/>
        </w:rPr>
        <w:t>根据估价委托人提供的资料，未发现估价对象存在权利限制状况。</w:t>
      </w:r>
    </w:p>
    <w:p>
      <w:pPr>
        <w:adjustRightInd w:val="0"/>
        <w:snapToGrid w:val="0"/>
        <w:spacing w:beforeLines="100" w:line="360" w:lineRule="auto"/>
        <w:ind w:firstLine="562" w:firstLineChars="200"/>
        <w:rPr>
          <w:rFonts w:eastAsia="仿宋_GB2312"/>
          <w:snapToGrid w:val="0"/>
          <w:sz w:val="28"/>
          <w:szCs w:val="28"/>
        </w:rPr>
      </w:pPr>
      <w:r>
        <w:rPr>
          <w:rFonts w:hint="eastAsia" w:eastAsia="仿宋_GB2312"/>
          <w:b/>
          <w:snapToGrid w:val="0"/>
          <w:sz w:val="28"/>
          <w:szCs w:val="28"/>
        </w:rPr>
        <w:t>4</w:t>
      </w:r>
      <w:r>
        <w:rPr>
          <w:rFonts w:eastAsia="仿宋_GB2312"/>
          <w:b/>
          <w:snapToGrid w:val="0"/>
          <w:sz w:val="28"/>
          <w:szCs w:val="28"/>
        </w:rPr>
        <w:t>.区位状况描述与分析</w:t>
      </w:r>
    </w:p>
    <w:p>
      <w:pPr>
        <w:adjustRightInd w:val="0"/>
        <w:snapToGrid w:val="0"/>
        <w:spacing w:line="480" w:lineRule="exact"/>
        <w:ind w:firstLine="560" w:firstLineChars="200"/>
        <w:rPr>
          <w:rFonts w:eastAsia="仿宋_GB2312"/>
          <w:sz w:val="28"/>
          <w:szCs w:val="28"/>
        </w:rPr>
      </w:pPr>
      <w:r>
        <w:rPr>
          <w:rFonts w:eastAsia="仿宋_GB2312"/>
          <w:sz w:val="28"/>
          <w:szCs w:val="28"/>
        </w:rPr>
        <w:t>区位状况主要包括位置状况、交通状况、环境状况、外部配套设施状况、区位状况及规划条件、区位状况分析等，本次主要分析如下：</w:t>
      </w:r>
    </w:p>
    <w:p>
      <w:pPr>
        <w:spacing w:line="360" w:lineRule="auto"/>
        <w:ind w:firstLine="560" w:firstLineChars="200"/>
        <w:rPr>
          <w:rFonts w:eastAsia="仿宋_GB2312"/>
          <w:kern w:val="2"/>
        </w:rPr>
      </w:pPr>
      <w:r>
        <w:rPr>
          <w:rFonts w:eastAsia="仿宋_GB2312"/>
          <w:sz w:val="28"/>
          <w:szCs w:val="28"/>
        </w:rPr>
        <w:t>（1）位置状况</w:t>
      </w:r>
    </w:p>
    <w:tbl>
      <w:tblPr>
        <w:tblStyle w:val="4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坐落与方位</w:t>
            </w:r>
          </w:p>
        </w:tc>
        <w:tc>
          <w:tcPr>
            <w:tcW w:w="7761" w:type="dxa"/>
            <w:shd w:val="clear" w:color="auto" w:fill="auto"/>
            <w:vAlign w:val="center"/>
          </w:tcPr>
          <w:p>
            <w:pPr>
              <w:spacing w:line="320" w:lineRule="exact"/>
              <w:jc w:val="both"/>
              <w:rPr>
                <w:rFonts w:eastAsia="仿宋_GB2312"/>
                <w:sz w:val="21"/>
                <w:szCs w:val="21"/>
                <w:lang w:bidi="ta-IN"/>
              </w:rPr>
            </w:pPr>
            <w:r>
              <w:rPr>
                <w:rFonts w:eastAsia="仿宋_GB2312"/>
                <w:sz w:val="21"/>
                <w:szCs w:val="21"/>
                <w:lang w:bidi="ta-IN"/>
              </w:rPr>
              <w:t>南京市高淳区淳溪镇镇兴路177号银庭馨苑地下车库，估价对象位于</w:t>
            </w:r>
            <w:r>
              <w:rPr>
                <w:rFonts w:hint="eastAsia" w:eastAsia="仿宋_GB2312"/>
                <w:sz w:val="21"/>
                <w:szCs w:val="21"/>
                <w:lang w:bidi="ta-IN"/>
              </w:rPr>
              <w:t>镇兴路北侧</w:t>
            </w:r>
            <w:r>
              <w:rPr>
                <w:rFonts w:eastAsia="仿宋_GB2312"/>
                <w:sz w:val="21"/>
                <w:szCs w:val="21"/>
                <w:lang w:bidi="ta-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商业繁华程度</w:t>
            </w:r>
          </w:p>
        </w:tc>
        <w:tc>
          <w:tcPr>
            <w:tcW w:w="7761" w:type="dxa"/>
            <w:shd w:val="clear" w:color="auto" w:fill="auto"/>
            <w:vAlign w:val="center"/>
          </w:tcPr>
          <w:p>
            <w:pPr>
              <w:pStyle w:val="37"/>
              <w:spacing w:line="320" w:lineRule="exact"/>
              <w:ind w:firstLine="0"/>
              <w:rPr>
                <w:rFonts w:ascii="Times New Roman"/>
                <w:sz w:val="21"/>
                <w:szCs w:val="21"/>
                <w:lang w:bidi="ta-IN"/>
              </w:rPr>
            </w:pPr>
            <w:r>
              <w:rPr>
                <w:rFonts w:ascii="Times New Roman"/>
                <w:sz w:val="21"/>
                <w:szCs w:val="21"/>
                <w:lang w:bidi="ta-IN"/>
              </w:rPr>
              <w:t>估价对象</w:t>
            </w:r>
            <w:r>
              <w:rPr>
                <w:rFonts w:hint="eastAsia" w:ascii="Times New Roman"/>
                <w:sz w:val="21"/>
                <w:szCs w:val="21"/>
                <w:lang w:bidi="ta-IN"/>
              </w:rPr>
              <w:t>距离八佰伴(高淳店)约800米，</w:t>
            </w:r>
            <w:r>
              <w:rPr>
                <w:rFonts w:ascii="Times New Roman"/>
                <w:sz w:val="21"/>
                <w:szCs w:val="21"/>
                <w:lang w:bidi="ta-IN"/>
              </w:rPr>
              <w:t>商业氛围</w:t>
            </w:r>
            <w:r>
              <w:rPr>
                <w:rFonts w:hint="eastAsia" w:ascii="Times New Roman"/>
                <w:sz w:val="21"/>
                <w:szCs w:val="21"/>
                <w:lang w:bidi="ta-IN"/>
              </w:rPr>
              <w:t>较优</w:t>
            </w:r>
            <w:r>
              <w:rPr>
                <w:rFonts w:ascii="Times New Roman"/>
                <w:sz w:val="21"/>
                <w:szCs w:val="21"/>
                <w:lang w:bidi="ta-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楼层</w:t>
            </w:r>
          </w:p>
        </w:tc>
        <w:tc>
          <w:tcPr>
            <w:tcW w:w="7761" w:type="dxa"/>
            <w:shd w:val="clear" w:color="auto" w:fill="auto"/>
            <w:vAlign w:val="center"/>
          </w:tcPr>
          <w:p>
            <w:pPr>
              <w:spacing w:line="320" w:lineRule="exact"/>
              <w:jc w:val="both"/>
              <w:rPr>
                <w:rFonts w:eastAsia="仿宋_GB2312"/>
                <w:sz w:val="21"/>
                <w:szCs w:val="21"/>
                <w:lang w:bidi="ta-IN"/>
              </w:rPr>
            </w:pPr>
            <w:r>
              <w:rPr>
                <w:rFonts w:hint="eastAsia" w:eastAsia="仿宋_GB2312"/>
                <w:sz w:val="21"/>
                <w:szCs w:val="21"/>
                <w:lang w:bidi="ta-IN"/>
              </w:rPr>
              <w:t>估价对象位于第-1层</w:t>
            </w:r>
            <w:r>
              <w:rPr>
                <w:rFonts w:eastAsia="仿宋_GB2312"/>
                <w:sz w:val="21"/>
                <w:szCs w:val="21"/>
                <w:lang w:bidi="ta-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朝向</w:t>
            </w:r>
          </w:p>
        </w:tc>
        <w:tc>
          <w:tcPr>
            <w:tcW w:w="7761" w:type="dxa"/>
            <w:shd w:val="clear" w:color="auto" w:fill="auto"/>
            <w:vAlign w:val="center"/>
          </w:tcPr>
          <w:p>
            <w:pPr>
              <w:spacing w:line="320" w:lineRule="exact"/>
              <w:jc w:val="both"/>
              <w:rPr>
                <w:rFonts w:eastAsia="仿宋_GB2312"/>
                <w:sz w:val="21"/>
                <w:szCs w:val="21"/>
                <w:lang w:bidi="ta-IN"/>
              </w:rPr>
            </w:pPr>
            <w:r>
              <w:rPr>
                <w:rFonts w:hint="eastAsia" w:eastAsia="仿宋_GB2312"/>
                <w:sz w:val="21"/>
                <w:szCs w:val="21"/>
                <w:lang w:bidi="ta-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临路状况</w:t>
            </w:r>
          </w:p>
        </w:tc>
        <w:tc>
          <w:tcPr>
            <w:tcW w:w="7761" w:type="dxa"/>
            <w:shd w:val="clear" w:color="auto" w:fill="auto"/>
            <w:vAlign w:val="center"/>
          </w:tcPr>
          <w:p>
            <w:pPr>
              <w:spacing w:line="320" w:lineRule="exact"/>
              <w:jc w:val="both"/>
              <w:rPr>
                <w:rFonts w:eastAsia="仿宋_GB2312"/>
                <w:sz w:val="21"/>
                <w:szCs w:val="21"/>
                <w:lang w:bidi="ta-IN"/>
              </w:rPr>
            </w:pPr>
            <w:r>
              <w:rPr>
                <w:rFonts w:hint="eastAsia" w:eastAsia="仿宋_GB2312"/>
                <w:caps/>
                <w:sz w:val="21"/>
                <w:szCs w:val="21"/>
              </w:rPr>
              <w:t>临</w:t>
            </w:r>
            <w:r>
              <w:rPr>
                <w:rFonts w:hint="eastAsia" w:eastAsia="仿宋_GB2312"/>
                <w:sz w:val="21"/>
                <w:szCs w:val="21"/>
                <w:lang w:bidi="ta-IN"/>
              </w:rPr>
              <w:t>镇兴路</w:t>
            </w:r>
            <w:r>
              <w:rPr>
                <w:rFonts w:eastAsia="仿宋_GB2312"/>
                <w:sz w:val="21"/>
                <w:szCs w:val="21"/>
                <w:lang w:bidi="ta-IN"/>
              </w:rPr>
              <w:t>。</w:t>
            </w:r>
          </w:p>
        </w:tc>
      </w:tr>
    </w:tbl>
    <w:p>
      <w:pPr>
        <w:tabs>
          <w:tab w:val="right" w:pos="8506"/>
        </w:tabs>
        <w:spacing w:line="360" w:lineRule="auto"/>
        <w:ind w:firstLine="560" w:firstLineChars="200"/>
        <w:rPr>
          <w:rFonts w:eastAsia="仿宋_GB2312"/>
          <w:kern w:val="2"/>
        </w:rPr>
      </w:pPr>
      <w:r>
        <w:rPr>
          <w:rFonts w:eastAsia="仿宋_GB2312"/>
          <w:sz w:val="28"/>
          <w:szCs w:val="28"/>
        </w:rPr>
        <w:t>（2）交通状况</w:t>
      </w:r>
      <w:r>
        <w:rPr>
          <w:rFonts w:eastAsia="仿宋_GB2312"/>
          <w:sz w:val="28"/>
          <w:szCs w:val="28"/>
        </w:rPr>
        <w:tab/>
      </w:r>
    </w:p>
    <w:tbl>
      <w:tblPr>
        <w:tblStyle w:val="4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道路</w:t>
            </w:r>
          </w:p>
        </w:tc>
        <w:tc>
          <w:tcPr>
            <w:tcW w:w="7807" w:type="dxa"/>
            <w:shd w:val="clear" w:color="auto" w:fill="auto"/>
            <w:vAlign w:val="center"/>
          </w:tcPr>
          <w:p>
            <w:pPr>
              <w:spacing w:line="320" w:lineRule="exact"/>
              <w:rPr>
                <w:rFonts w:eastAsia="仿宋_GB2312"/>
                <w:sz w:val="21"/>
                <w:szCs w:val="21"/>
                <w:lang w:bidi="ta-IN"/>
              </w:rPr>
            </w:pPr>
            <w:r>
              <w:rPr>
                <w:rFonts w:hint="eastAsia" w:eastAsia="仿宋_GB2312"/>
                <w:caps/>
                <w:sz w:val="21"/>
                <w:szCs w:val="21"/>
              </w:rPr>
              <w:t>临</w:t>
            </w:r>
            <w:r>
              <w:rPr>
                <w:rFonts w:hint="eastAsia" w:eastAsia="仿宋_GB2312"/>
                <w:sz w:val="21"/>
                <w:szCs w:val="21"/>
                <w:lang w:bidi="ta-IN"/>
              </w:rPr>
              <w:t>镇兴路</w:t>
            </w:r>
            <w:r>
              <w:rPr>
                <w:rFonts w:eastAsia="仿宋_GB2312"/>
                <w:sz w:val="21"/>
                <w:szCs w:val="21"/>
                <w:lang w:bidi="ta-IN"/>
              </w:rPr>
              <w:t>，道路通达度</w:t>
            </w:r>
            <w:r>
              <w:rPr>
                <w:rFonts w:hint="eastAsia" w:eastAsia="仿宋_GB2312"/>
                <w:sz w:val="21"/>
                <w:szCs w:val="21"/>
                <w:lang w:bidi="ta-IN"/>
              </w:rPr>
              <w:t>较</w:t>
            </w:r>
            <w:r>
              <w:rPr>
                <w:rFonts w:eastAsia="仿宋_GB2312"/>
                <w:sz w:val="21"/>
                <w:szCs w:val="21"/>
                <w:lang w:bidi="ta-I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公共交通</w:t>
            </w:r>
          </w:p>
        </w:tc>
        <w:tc>
          <w:tcPr>
            <w:tcW w:w="7807" w:type="dxa"/>
            <w:shd w:val="clear" w:color="auto" w:fill="auto"/>
            <w:vAlign w:val="center"/>
          </w:tcPr>
          <w:p>
            <w:pPr>
              <w:spacing w:line="320" w:lineRule="exact"/>
              <w:rPr>
                <w:rFonts w:eastAsia="仿宋_GB2312"/>
                <w:sz w:val="21"/>
                <w:szCs w:val="21"/>
                <w:lang w:bidi="ta-IN"/>
              </w:rPr>
            </w:pPr>
            <w:r>
              <w:rPr>
                <w:rFonts w:hint="eastAsia" w:eastAsia="仿宋_GB2312"/>
                <w:sz w:val="21"/>
                <w:szCs w:val="21"/>
                <w:lang w:bidi="ta-IN"/>
              </w:rPr>
              <w:t>距离红太阳广场公交站较近，有较多条公交线路经过，公交便捷度较优</w:t>
            </w:r>
            <w:r>
              <w:rPr>
                <w:rFonts w:eastAsia="仿宋_GB2312"/>
                <w:sz w:val="21"/>
                <w:szCs w:val="21"/>
                <w:lang w:bidi="ta-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交通管制</w:t>
            </w:r>
          </w:p>
        </w:tc>
        <w:tc>
          <w:tcPr>
            <w:tcW w:w="7807" w:type="dxa"/>
            <w:shd w:val="clear" w:color="auto" w:fill="auto"/>
            <w:vAlign w:val="center"/>
          </w:tcPr>
          <w:p>
            <w:pPr>
              <w:spacing w:line="320" w:lineRule="exact"/>
              <w:rPr>
                <w:rFonts w:eastAsia="仿宋_GB2312"/>
                <w:sz w:val="21"/>
                <w:szCs w:val="21"/>
                <w:lang w:bidi="ta-IN"/>
              </w:rPr>
            </w:pPr>
            <w:r>
              <w:rPr>
                <w:rFonts w:eastAsia="仿宋_GB2312"/>
                <w:sz w:val="21"/>
                <w:szCs w:val="21"/>
                <w:lang w:bidi="ta-IN"/>
              </w:rPr>
              <w:t>有一定的交通管制。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停车便利度</w:t>
            </w:r>
          </w:p>
        </w:tc>
        <w:tc>
          <w:tcPr>
            <w:tcW w:w="7807" w:type="dxa"/>
            <w:shd w:val="clear" w:color="auto" w:fill="auto"/>
            <w:vAlign w:val="center"/>
          </w:tcPr>
          <w:p>
            <w:pPr>
              <w:spacing w:line="320" w:lineRule="exact"/>
              <w:rPr>
                <w:rFonts w:eastAsia="仿宋_GB2312"/>
                <w:sz w:val="21"/>
                <w:szCs w:val="21"/>
                <w:lang w:bidi="ta-IN"/>
              </w:rPr>
            </w:pPr>
            <w:r>
              <w:rPr>
                <w:rFonts w:eastAsia="仿宋_GB2312"/>
                <w:sz w:val="21"/>
                <w:szCs w:val="21"/>
                <w:lang w:bidi="ta-IN"/>
              </w:rPr>
              <w:t>停车便利度较优。</w:t>
            </w:r>
          </w:p>
        </w:tc>
      </w:tr>
    </w:tbl>
    <w:p>
      <w:pPr>
        <w:spacing w:line="360" w:lineRule="auto"/>
        <w:ind w:firstLine="560" w:firstLineChars="200"/>
        <w:rPr>
          <w:rFonts w:eastAsia="仿宋_GB2312"/>
          <w:kern w:val="2"/>
        </w:rPr>
      </w:pPr>
      <w:r>
        <w:rPr>
          <w:rFonts w:eastAsia="仿宋_GB2312"/>
          <w:sz w:val="28"/>
          <w:szCs w:val="28"/>
        </w:rPr>
        <w:t>（3）周围环境状况</w:t>
      </w:r>
    </w:p>
    <w:tbl>
      <w:tblPr>
        <w:tblStyle w:val="4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自然环境</w:t>
            </w:r>
          </w:p>
        </w:tc>
        <w:tc>
          <w:tcPr>
            <w:tcW w:w="7807" w:type="dxa"/>
            <w:shd w:val="clear" w:color="auto" w:fill="auto"/>
            <w:vAlign w:val="center"/>
          </w:tcPr>
          <w:p>
            <w:pPr>
              <w:spacing w:line="320" w:lineRule="exact"/>
              <w:ind w:left="3" w:leftChars="-31" w:hanging="65" w:hangingChars="31"/>
              <w:rPr>
                <w:rFonts w:eastAsia="仿宋_GB2312"/>
                <w:sz w:val="21"/>
                <w:szCs w:val="21"/>
                <w:lang w:bidi="ta-IN"/>
              </w:rPr>
            </w:pPr>
            <w:r>
              <w:rPr>
                <w:rFonts w:eastAsia="仿宋_GB2312"/>
                <w:sz w:val="21"/>
                <w:szCs w:val="21"/>
                <w:lang w:bidi="ta-IN"/>
              </w:rPr>
              <w:t>周边环境较整洁，无空气、辐射、水、噪音、固体废物等污染，环境卫生状况较优。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人文环境</w:t>
            </w:r>
          </w:p>
        </w:tc>
        <w:tc>
          <w:tcPr>
            <w:tcW w:w="7807" w:type="dxa"/>
            <w:shd w:val="clear" w:color="auto" w:fill="auto"/>
            <w:vAlign w:val="center"/>
          </w:tcPr>
          <w:p>
            <w:pPr>
              <w:spacing w:line="320" w:lineRule="exact"/>
              <w:ind w:left="3" w:leftChars="-31" w:hanging="65" w:hangingChars="31"/>
              <w:rPr>
                <w:rFonts w:eastAsia="仿宋_GB2312"/>
                <w:sz w:val="21"/>
                <w:szCs w:val="21"/>
                <w:lang w:bidi="ta-IN"/>
              </w:rPr>
            </w:pPr>
            <w:r>
              <w:rPr>
                <w:rFonts w:eastAsia="仿宋_GB2312"/>
                <w:sz w:val="21"/>
                <w:szCs w:val="21"/>
                <w:lang w:bidi="ta-IN"/>
              </w:rPr>
              <w:t>估价对象所在区域居民受教育程度较好；治安状况较好；人文环境较优。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9"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景观</w:t>
            </w:r>
          </w:p>
        </w:tc>
        <w:tc>
          <w:tcPr>
            <w:tcW w:w="7807" w:type="dxa"/>
            <w:shd w:val="clear" w:color="auto" w:fill="auto"/>
            <w:vAlign w:val="center"/>
          </w:tcPr>
          <w:p>
            <w:pPr>
              <w:spacing w:line="320" w:lineRule="exact"/>
              <w:ind w:left="3" w:leftChars="-31" w:hanging="65" w:hangingChars="31"/>
              <w:rPr>
                <w:rFonts w:eastAsia="仿宋_GB2312"/>
                <w:sz w:val="21"/>
                <w:szCs w:val="21"/>
                <w:lang w:bidi="ta-IN"/>
              </w:rPr>
            </w:pPr>
            <w:r>
              <w:rPr>
                <w:rFonts w:eastAsia="仿宋_GB2312"/>
                <w:sz w:val="21"/>
                <w:szCs w:val="21"/>
                <w:lang w:bidi="ta-IN"/>
              </w:rPr>
              <w:t>估价对象</w:t>
            </w:r>
            <w:r>
              <w:rPr>
                <w:rFonts w:hint="eastAsia" w:eastAsia="仿宋_GB2312"/>
                <w:sz w:val="21"/>
                <w:szCs w:val="21"/>
                <w:lang w:bidi="ta-IN"/>
              </w:rPr>
              <w:t>所在区域</w:t>
            </w:r>
            <w:r>
              <w:rPr>
                <w:rFonts w:eastAsia="仿宋_GB2312"/>
                <w:sz w:val="21"/>
                <w:szCs w:val="21"/>
                <w:lang w:bidi="ta-IN"/>
              </w:rPr>
              <w:t>景观条件</w:t>
            </w:r>
            <w:r>
              <w:rPr>
                <w:rFonts w:hint="eastAsia" w:eastAsia="仿宋_GB2312"/>
                <w:sz w:val="21"/>
                <w:szCs w:val="21"/>
                <w:lang w:bidi="ta-IN"/>
              </w:rPr>
              <w:t>较优</w:t>
            </w:r>
            <w:r>
              <w:rPr>
                <w:rFonts w:eastAsia="仿宋_GB2312"/>
                <w:sz w:val="21"/>
                <w:szCs w:val="21"/>
                <w:lang w:bidi="ta-IN"/>
              </w:rPr>
              <w:t>。</w:t>
            </w:r>
          </w:p>
        </w:tc>
      </w:tr>
    </w:tbl>
    <w:p>
      <w:pPr>
        <w:spacing w:line="360" w:lineRule="auto"/>
        <w:ind w:firstLine="560" w:firstLineChars="200"/>
        <w:rPr>
          <w:rFonts w:eastAsia="仿宋_GB2312"/>
          <w:kern w:val="2"/>
        </w:rPr>
      </w:pPr>
      <w:r>
        <w:rPr>
          <w:rFonts w:eastAsia="仿宋_GB2312"/>
          <w:sz w:val="28"/>
          <w:szCs w:val="28"/>
        </w:rPr>
        <w:t>（4）外部配套设施状况</w:t>
      </w:r>
    </w:p>
    <w:tbl>
      <w:tblPr>
        <w:tblStyle w:val="4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基础设施</w:t>
            </w:r>
          </w:p>
        </w:tc>
        <w:tc>
          <w:tcPr>
            <w:tcW w:w="7761" w:type="dxa"/>
            <w:shd w:val="clear" w:color="auto" w:fill="auto"/>
            <w:vAlign w:val="center"/>
          </w:tcPr>
          <w:p>
            <w:pPr>
              <w:spacing w:line="320" w:lineRule="exact"/>
              <w:rPr>
                <w:rFonts w:eastAsia="仿宋_GB2312"/>
                <w:sz w:val="21"/>
                <w:szCs w:val="21"/>
                <w:lang w:bidi="ta-IN"/>
              </w:rPr>
            </w:pPr>
            <w:r>
              <w:rPr>
                <w:rFonts w:eastAsia="仿宋_GB2312"/>
                <w:sz w:val="21"/>
                <w:szCs w:val="21"/>
                <w:lang w:bidi="ta-IN"/>
              </w:rPr>
              <w:t>估价对象所在区域外部基础设施配套齐备，道路、供水、排水（雨水、污水）、供电、通信、有线电视、供气等设施保障率高。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85" w:type="dxa"/>
            <w:shd w:val="clear" w:color="auto" w:fill="auto"/>
            <w:vAlign w:val="center"/>
          </w:tcPr>
          <w:p>
            <w:pPr>
              <w:spacing w:line="320" w:lineRule="exact"/>
              <w:jc w:val="center"/>
              <w:rPr>
                <w:rFonts w:eastAsia="仿宋_GB2312"/>
                <w:sz w:val="21"/>
                <w:szCs w:val="21"/>
                <w:lang w:bidi="ta-IN"/>
              </w:rPr>
            </w:pPr>
            <w:r>
              <w:rPr>
                <w:rFonts w:eastAsia="仿宋_GB2312"/>
                <w:sz w:val="21"/>
                <w:szCs w:val="21"/>
                <w:lang w:bidi="ta-IN"/>
              </w:rPr>
              <w:t>公共配套设施</w:t>
            </w:r>
          </w:p>
        </w:tc>
        <w:tc>
          <w:tcPr>
            <w:tcW w:w="7761" w:type="dxa"/>
            <w:shd w:val="clear" w:color="auto" w:fill="auto"/>
            <w:vAlign w:val="center"/>
          </w:tcPr>
          <w:p>
            <w:pPr>
              <w:spacing w:line="320" w:lineRule="exact"/>
              <w:rPr>
                <w:rFonts w:eastAsia="仿宋_GB2312"/>
                <w:sz w:val="21"/>
                <w:szCs w:val="21"/>
                <w:lang w:bidi="ta-IN"/>
              </w:rPr>
            </w:pPr>
            <w:r>
              <w:rPr>
                <w:rFonts w:eastAsia="仿宋_GB2312"/>
                <w:sz w:val="21"/>
                <w:szCs w:val="21"/>
                <w:lang w:bidi="ta-IN"/>
              </w:rPr>
              <w:t>估价对象</w:t>
            </w:r>
            <w:r>
              <w:rPr>
                <w:rFonts w:hint="eastAsia" w:eastAsia="仿宋_GB2312"/>
                <w:sz w:val="21"/>
                <w:szCs w:val="21"/>
                <w:lang w:bidi="ta-IN"/>
              </w:rPr>
              <w:t>所在区域内有北京银行(南京高淳支行)等金融机构；有高淳区第三中学、江苏省高淳高级中学等教育机构；有南京市高淳中医院等医疗机构，公共配套设施较优</w:t>
            </w:r>
            <w:r>
              <w:rPr>
                <w:rFonts w:eastAsia="仿宋_GB2312"/>
                <w:sz w:val="21"/>
                <w:szCs w:val="21"/>
                <w:lang w:bidi="ta-IN"/>
              </w:rPr>
              <w:t>。</w:t>
            </w:r>
          </w:p>
        </w:tc>
      </w:tr>
    </w:tbl>
    <w:p>
      <w:pPr>
        <w:spacing w:line="360" w:lineRule="auto"/>
        <w:ind w:firstLine="560" w:firstLineChars="200"/>
        <w:rPr>
          <w:rFonts w:eastAsia="仿宋_GB2312"/>
          <w:kern w:val="2"/>
        </w:rPr>
      </w:pPr>
      <w:r>
        <w:rPr>
          <w:rFonts w:eastAsia="仿宋_GB2312"/>
          <w:sz w:val="28"/>
          <w:szCs w:val="28"/>
        </w:rPr>
        <w:t>（5）区位状况分析</w:t>
      </w:r>
    </w:p>
    <w:bookmarkEnd w:id="64"/>
    <w:tbl>
      <w:tblPr>
        <w:tblStyle w:val="4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15" w:type="dxa"/>
            <w:shd w:val="clear" w:color="auto" w:fill="auto"/>
            <w:vAlign w:val="center"/>
          </w:tcPr>
          <w:p>
            <w:pPr>
              <w:spacing w:line="320" w:lineRule="exact"/>
              <w:jc w:val="center"/>
              <w:rPr>
                <w:rFonts w:eastAsia="仿宋_GB2312"/>
                <w:sz w:val="21"/>
                <w:szCs w:val="21"/>
                <w:lang w:bidi="ta-IN"/>
              </w:rPr>
            </w:pPr>
            <w:bookmarkStart w:id="65" w:name="_Toc382493624"/>
            <w:bookmarkStart w:id="66" w:name="_Toc530993659"/>
            <w:bookmarkStart w:id="67" w:name="_Toc155258967"/>
            <w:r>
              <w:rPr>
                <w:rFonts w:eastAsia="仿宋_GB2312"/>
                <w:sz w:val="21"/>
                <w:szCs w:val="21"/>
                <w:lang w:bidi="ta-IN"/>
              </w:rPr>
              <w:t>区位状况优劣性分析</w:t>
            </w:r>
          </w:p>
        </w:tc>
        <w:tc>
          <w:tcPr>
            <w:tcW w:w="7631" w:type="dxa"/>
            <w:shd w:val="clear" w:color="auto" w:fill="auto"/>
            <w:vAlign w:val="center"/>
          </w:tcPr>
          <w:p>
            <w:pPr>
              <w:spacing w:line="320" w:lineRule="exact"/>
              <w:rPr>
                <w:rFonts w:eastAsia="仿宋_GB2312"/>
                <w:sz w:val="21"/>
                <w:szCs w:val="21"/>
                <w:lang w:bidi="ta-IN"/>
              </w:rPr>
            </w:pPr>
            <w:r>
              <w:rPr>
                <w:rFonts w:eastAsia="仿宋_GB2312"/>
                <w:sz w:val="21"/>
                <w:szCs w:val="21"/>
                <w:lang w:bidi="ta-IN"/>
              </w:rPr>
              <w:t>估价对象位于南京市高淳区淳溪镇镇兴路177号银庭馨苑地下车库，该区域主要用地类型为住宅用地，区域内住宅聚集度</w:t>
            </w:r>
            <w:r>
              <w:rPr>
                <w:rFonts w:hint="eastAsia" w:eastAsia="仿宋_GB2312"/>
                <w:sz w:val="21"/>
                <w:szCs w:val="21"/>
                <w:lang w:bidi="ta-IN"/>
              </w:rPr>
              <w:t>较高</w:t>
            </w:r>
            <w:r>
              <w:rPr>
                <w:rFonts w:eastAsia="仿宋_GB2312"/>
                <w:sz w:val="21"/>
                <w:szCs w:val="21"/>
                <w:lang w:bidi="ta-IN"/>
              </w:rPr>
              <w:t>，</w:t>
            </w:r>
            <w:r>
              <w:rPr>
                <w:rFonts w:hint="eastAsia" w:eastAsia="仿宋_GB2312"/>
                <w:sz w:val="21"/>
                <w:szCs w:val="21"/>
                <w:lang w:bidi="ta-IN"/>
              </w:rPr>
              <w:t>公共设施完备度较优</w:t>
            </w:r>
            <w:r>
              <w:rPr>
                <w:rFonts w:eastAsia="仿宋_GB2312"/>
                <w:sz w:val="21"/>
                <w:szCs w:val="21"/>
                <w:lang w:bidi="ta-IN"/>
              </w:rPr>
              <w:t>。</w:t>
            </w:r>
          </w:p>
        </w:tc>
      </w:tr>
    </w:tbl>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r>
        <w:rPr>
          <w:rFonts w:ascii="Times New Roman" w:hAnsi="Times New Roman" w:eastAsia="仿宋_GB2312"/>
          <w:sz w:val="28"/>
          <w:szCs w:val="28"/>
        </w:rPr>
        <w:t>价值时点</w:t>
      </w:r>
      <w:bookmarkEnd w:id="65"/>
      <w:bookmarkEnd w:id="66"/>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68" w:name="_Toc288212022"/>
      <w:bookmarkStart w:id="69" w:name="_Toc289260253"/>
      <w:r>
        <w:rPr>
          <w:rFonts w:ascii="Times New Roman" w:hAnsi="Times New Roman" w:eastAsia="仿宋_GB2312"/>
          <w:sz w:val="28"/>
          <w:szCs w:val="28"/>
        </w:rPr>
        <w:instrText xml:space="preserve">5、估价时点</w:instrText>
      </w:r>
      <w:bookmarkEnd w:id="68"/>
      <w:bookmarkEnd w:id="69"/>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adjustRightInd w:val="0"/>
        <w:snapToGrid w:val="0"/>
        <w:spacing w:line="480" w:lineRule="exact"/>
        <w:ind w:firstLine="560" w:firstLineChars="200"/>
        <w:rPr>
          <w:rFonts w:eastAsia="仿宋_GB2312"/>
          <w:sz w:val="28"/>
          <w:szCs w:val="28"/>
        </w:rPr>
      </w:pPr>
      <w:r>
        <w:rPr>
          <w:rFonts w:eastAsia="仿宋_GB2312"/>
          <w:sz w:val="28"/>
          <w:szCs w:val="28"/>
        </w:rPr>
        <w:t>2022年08月09日</w:t>
      </w:r>
    </w:p>
    <w:bookmarkEnd w:id="67"/>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70" w:name="_Toc382493625"/>
      <w:bookmarkStart w:id="71" w:name="_Toc530993660"/>
      <w:r>
        <w:rPr>
          <w:rFonts w:ascii="Times New Roman" w:hAnsi="Times New Roman" w:eastAsia="仿宋_GB2312"/>
          <w:sz w:val="28"/>
          <w:szCs w:val="28"/>
        </w:rPr>
        <w:t>价值类型</w:t>
      </w:r>
      <w:bookmarkEnd w:id="70"/>
      <w:bookmarkEnd w:id="71"/>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72" w:name="_Toc289260254"/>
      <w:bookmarkStart w:id="73" w:name="_Toc288212023"/>
      <w:r>
        <w:rPr>
          <w:rFonts w:ascii="Times New Roman" w:hAnsi="Times New Roman" w:eastAsia="仿宋_GB2312"/>
          <w:sz w:val="28"/>
          <w:szCs w:val="28"/>
        </w:rPr>
        <w:instrText xml:space="preserve">6、价值类型</w:instrText>
      </w:r>
      <w:bookmarkEnd w:id="72"/>
      <w:bookmarkEnd w:id="73"/>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adjustRightInd w:val="0"/>
        <w:snapToGrid w:val="0"/>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本报告的估价结果是指估价对象在价值时点二О二二年八月九日正常使用的条件下、土地开发程度为宗地红线内、外通路、通电、通讯、通上水、通下水、通气和宗地红线内场地平整条件下的</w:t>
      </w:r>
      <w:r>
        <w:rPr>
          <w:rFonts w:eastAsia="仿宋_GB2312"/>
          <w:sz w:val="28"/>
          <w:szCs w:val="28"/>
        </w:rPr>
        <w:t>车位</w:t>
      </w:r>
      <w:r>
        <w:rPr>
          <w:rFonts w:hint="eastAsia" w:eastAsia="仿宋_GB2312"/>
          <w:sz w:val="28"/>
          <w:szCs w:val="28"/>
        </w:rPr>
        <w:t>用途房地产市场价值。</w:t>
      </w:r>
    </w:p>
    <w:p>
      <w:pPr>
        <w:adjustRightInd w:val="0"/>
        <w:snapToGrid w:val="0"/>
        <w:spacing w:line="480" w:lineRule="exact"/>
        <w:ind w:firstLine="560" w:firstLineChars="200"/>
        <w:rPr>
          <w:rFonts w:eastAsia="仿宋_GB2312"/>
          <w:sz w:val="28"/>
          <w:szCs w:val="28"/>
        </w:rPr>
      </w:pPr>
      <w:r>
        <w:rPr>
          <w:rFonts w:hint="eastAsia" w:eastAsia="仿宋_GB2312"/>
          <w:sz w:val="28"/>
          <w:szCs w:val="28"/>
        </w:rPr>
        <w:t>2.市场价值：估价对象经适当营销后，由熟悉情况、谨慎行事且不受强迫的交易双方，以公平交易方式在价值时点自愿进行交易的金额。</w:t>
      </w:r>
    </w:p>
    <w:p>
      <w:pPr>
        <w:adjustRightInd w:val="0"/>
        <w:snapToGrid w:val="0"/>
        <w:spacing w:line="480" w:lineRule="exact"/>
        <w:ind w:firstLine="560" w:firstLineChars="200"/>
        <w:rPr>
          <w:rFonts w:eastAsia="仿宋_GB2312"/>
          <w:sz w:val="28"/>
          <w:szCs w:val="28"/>
        </w:rPr>
      </w:pPr>
      <w:r>
        <w:rPr>
          <w:rFonts w:hint="eastAsia" w:eastAsia="仿宋_GB2312"/>
          <w:sz w:val="28"/>
          <w:szCs w:val="28"/>
        </w:rPr>
        <w:t>3</w:t>
      </w:r>
      <w:r>
        <w:rPr>
          <w:rFonts w:eastAsia="仿宋_GB2312"/>
          <w:sz w:val="28"/>
          <w:szCs w:val="28"/>
        </w:rPr>
        <w:t>.本报告价格货币单位均为人民币。</w:t>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74" w:name="_Toc155258970"/>
      <w:bookmarkStart w:id="75" w:name="_Toc382493627"/>
      <w:bookmarkStart w:id="76" w:name="_Toc530993661"/>
      <w:r>
        <w:rPr>
          <w:rFonts w:ascii="Times New Roman" w:hAnsi="Times New Roman" w:eastAsia="仿宋_GB2312"/>
          <w:sz w:val="28"/>
          <w:szCs w:val="28"/>
        </w:rPr>
        <w:t>估价原则</w:t>
      </w:r>
      <w:bookmarkEnd w:id="74"/>
      <w:bookmarkEnd w:id="75"/>
      <w:bookmarkEnd w:id="76"/>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77" w:name="_Toc288212025"/>
      <w:bookmarkStart w:id="78" w:name="_Toc289260256"/>
      <w:r>
        <w:rPr>
          <w:rFonts w:ascii="Times New Roman" w:hAnsi="Times New Roman" w:eastAsia="仿宋_GB2312"/>
          <w:sz w:val="28"/>
          <w:szCs w:val="28"/>
        </w:rPr>
        <w:instrText xml:space="preserve">8、估价原则</w:instrText>
      </w:r>
      <w:bookmarkEnd w:id="77"/>
      <w:bookmarkEnd w:id="78"/>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adjustRightInd w:val="0"/>
        <w:snapToGrid w:val="0"/>
        <w:spacing w:line="480" w:lineRule="exact"/>
        <w:ind w:firstLine="560" w:firstLineChars="200"/>
        <w:rPr>
          <w:rFonts w:eastAsia="仿宋_GB2312"/>
          <w:sz w:val="28"/>
          <w:szCs w:val="28"/>
        </w:rPr>
      </w:pPr>
      <w:r>
        <w:rPr>
          <w:rFonts w:eastAsia="仿宋_GB2312"/>
          <w:sz w:val="28"/>
          <w:szCs w:val="28"/>
        </w:rPr>
        <w:t>我们在本次估价时遵循了以下原则：</w:t>
      </w:r>
    </w:p>
    <w:p>
      <w:pPr>
        <w:snapToGrid w:val="0"/>
        <w:spacing w:line="480" w:lineRule="exact"/>
        <w:ind w:left="560"/>
        <w:rPr>
          <w:rFonts w:eastAsia="仿宋_GB2312"/>
          <w:sz w:val="28"/>
          <w:szCs w:val="28"/>
        </w:rPr>
      </w:pPr>
      <w:r>
        <w:rPr>
          <w:rFonts w:hint="eastAsia" w:eastAsia="仿宋_GB2312"/>
          <w:sz w:val="28"/>
          <w:szCs w:val="28"/>
        </w:rPr>
        <w:t>1.</w:t>
      </w:r>
      <w:r>
        <w:rPr>
          <w:rFonts w:eastAsia="仿宋_GB2312"/>
          <w:sz w:val="28"/>
          <w:szCs w:val="28"/>
        </w:rPr>
        <w:t>独立、客观、公正原则</w:t>
      </w:r>
    </w:p>
    <w:p>
      <w:pPr>
        <w:adjustRightInd w:val="0"/>
        <w:snapToGrid w:val="0"/>
        <w:spacing w:line="480" w:lineRule="exact"/>
        <w:ind w:firstLine="520"/>
        <w:jc w:val="both"/>
        <w:rPr>
          <w:rFonts w:eastAsia="仿宋_GB2312"/>
          <w:sz w:val="28"/>
          <w:szCs w:val="28"/>
        </w:rPr>
      </w:pPr>
      <w:r>
        <w:rPr>
          <w:rFonts w:eastAsia="仿宋_GB2312"/>
          <w:sz w:val="28"/>
          <w:szCs w:val="28"/>
        </w:rPr>
        <w:t>要求站在中立的立场上，实事求是、公平正直地评估出对各方估价利害关系人均是公平合理的价值或价格的原则。</w:t>
      </w:r>
    </w:p>
    <w:p>
      <w:pPr>
        <w:adjustRightInd w:val="0"/>
        <w:snapToGrid w:val="0"/>
        <w:spacing w:line="480" w:lineRule="exact"/>
        <w:ind w:firstLine="520"/>
        <w:jc w:val="both"/>
        <w:rPr>
          <w:rFonts w:eastAsia="仿宋_GB2312"/>
          <w:sz w:val="28"/>
          <w:szCs w:val="28"/>
        </w:rPr>
      </w:pPr>
      <w:r>
        <w:rPr>
          <w:rFonts w:eastAsia="仿宋_GB2312"/>
          <w:sz w:val="28"/>
          <w:szCs w:val="28"/>
        </w:rPr>
        <w:t>所谓“独立”，就是要求注册房地产估价师和房地产估价机构与估价委托人及估价利害关系人没有利害关系，在估价中不受包括估价委托人在内的任何单位和个人的影响，应凭自己的专业知识、经验和职业道德进行估价。所谓“客观”，就是要求注册房地产估价师和房地产估价机构在估价中不带着自己的情感、好恶和偏见，应按照事物的本来面目、实事求是地进行估价。所谓“公正”，就是要求注册房地产估价师和房地产估价机构在估价中不偏袒估价利害关系人中的任何一方，应坚持原则、公平正直地进行估价。</w:t>
      </w:r>
    </w:p>
    <w:p>
      <w:pPr>
        <w:adjustRightInd w:val="0"/>
        <w:snapToGrid w:val="0"/>
        <w:spacing w:line="480" w:lineRule="exact"/>
        <w:ind w:firstLine="520"/>
        <w:jc w:val="both"/>
        <w:rPr>
          <w:rFonts w:eastAsia="仿宋_GB2312"/>
          <w:sz w:val="28"/>
          <w:szCs w:val="28"/>
        </w:rPr>
      </w:pPr>
      <w:r>
        <w:rPr>
          <w:rFonts w:eastAsia="仿宋_GB2312"/>
          <w:sz w:val="28"/>
          <w:szCs w:val="28"/>
        </w:rPr>
        <w:t>本次估价坚守独立、客观、公正原则，估价机构建立了行之有效的内部审核制度，以保证评估过程规范有序，既不受其他单位和个人的非法干预和影响，也不因房地产估价师个人好恶或主观偏见影响其分析、判断的客观性。</w:t>
      </w:r>
    </w:p>
    <w:p>
      <w:pPr>
        <w:snapToGrid w:val="0"/>
        <w:spacing w:line="480" w:lineRule="exact"/>
        <w:ind w:left="560"/>
        <w:rPr>
          <w:rFonts w:eastAsia="仿宋_GB2312"/>
          <w:sz w:val="28"/>
          <w:szCs w:val="28"/>
        </w:rPr>
      </w:pPr>
      <w:r>
        <w:rPr>
          <w:rFonts w:hint="eastAsia" w:eastAsia="仿宋_GB2312"/>
          <w:sz w:val="28"/>
          <w:szCs w:val="28"/>
        </w:rPr>
        <w:t>2.</w:t>
      </w:r>
      <w:r>
        <w:rPr>
          <w:rFonts w:eastAsia="仿宋_GB2312"/>
          <w:sz w:val="28"/>
          <w:szCs w:val="28"/>
        </w:rPr>
        <w:t>合法原则</w:t>
      </w:r>
    </w:p>
    <w:p>
      <w:pPr>
        <w:widowControl w:val="0"/>
        <w:snapToGrid w:val="0"/>
        <w:spacing w:line="480" w:lineRule="exact"/>
        <w:ind w:firstLine="517"/>
        <w:jc w:val="both"/>
        <w:rPr>
          <w:rFonts w:eastAsia="仿宋_GB2312"/>
          <w:sz w:val="28"/>
          <w:szCs w:val="28"/>
        </w:rPr>
      </w:pPr>
      <w:r>
        <w:rPr>
          <w:rFonts w:eastAsia="仿宋_GB2312"/>
          <w:sz w:val="28"/>
          <w:szCs w:val="28"/>
        </w:rPr>
        <w:t>要求估价结果是在依法判定的估价对象状况下的价值或价格的原则。</w:t>
      </w:r>
    </w:p>
    <w:p>
      <w:pPr>
        <w:widowControl w:val="0"/>
        <w:snapToGrid w:val="0"/>
        <w:spacing w:line="480" w:lineRule="exact"/>
        <w:ind w:firstLine="517"/>
        <w:jc w:val="both"/>
        <w:rPr>
          <w:rFonts w:eastAsia="仿宋_GB2312"/>
          <w:sz w:val="28"/>
          <w:szCs w:val="28"/>
        </w:rPr>
      </w:pPr>
      <w:r>
        <w:rPr>
          <w:rFonts w:eastAsia="仿宋_GB2312"/>
          <w:sz w:val="28"/>
          <w:szCs w:val="28"/>
        </w:rPr>
        <w:t>依法是指不仅要依据有关法律、行政法规、最高人民法院和最高人民检察院发布的有关司法解释，还要依据估价对象所在地的有关地方性法规（民族自治地方应同时依据有关自治条例和单行条例），国务院所属部门颁发的有关部门规章和政策，估价对象所在地人民政府颁发的有关地方政府规章和政策，以及估价对象的不动产登记簿（房屋登记簿、土地登记簿）、权属证书、有关批文和合同等（如规划意见书、国有建设用地使用权出让招标文件、国有建设用地使用权出让合同、房地产转让合同、房屋租赁合同等）。</w:t>
      </w:r>
    </w:p>
    <w:p>
      <w:pPr>
        <w:widowControl w:val="0"/>
        <w:snapToGrid w:val="0"/>
        <w:spacing w:line="480" w:lineRule="exact"/>
        <w:ind w:firstLine="517"/>
        <w:jc w:val="both"/>
        <w:rPr>
          <w:rFonts w:eastAsia="仿宋_GB2312"/>
          <w:sz w:val="28"/>
          <w:szCs w:val="28"/>
        </w:rPr>
      </w:pPr>
      <w:r>
        <w:rPr>
          <w:rFonts w:eastAsia="仿宋_GB2312"/>
          <w:sz w:val="28"/>
          <w:szCs w:val="28"/>
        </w:rPr>
        <w:t>遵循合法原则并不意味着只有合法的房地产才能成为估价对象，而是指依法判定估价对象是哪种状况的房地产，就应将其作为那种状况的房地产来估价。</w:t>
      </w:r>
    </w:p>
    <w:p>
      <w:pPr>
        <w:widowControl w:val="0"/>
        <w:snapToGrid w:val="0"/>
        <w:spacing w:line="480" w:lineRule="exact"/>
        <w:ind w:firstLine="517"/>
        <w:jc w:val="both"/>
        <w:rPr>
          <w:rFonts w:eastAsia="仿宋_GB2312"/>
          <w:sz w:val="28"/>
          <w:szCs w:val="28"/>
        </w:rPr>
      </w:pPr>
      <w:r>
        <w:rPr>
          <w:rFonts w:hint="eastAsia" w:eastAsia="仿宋_GB2312"/>
          <w:sz w:val="28"/>
          <w:szCs w:val="28"/>
        </w:rPr>
        <w:t>本次估价以估价对象合法用途为前提，根据估价委托人提供的合法权属证明等资料进行评估。</w:t>
      </w:r>
    </w:p>
    <w:p>
      <w:pPr>
        <w:snapToGrid w:val="0"/>
        <w:spacing w:line="480" w:lineRule="exact"/>
        <w:ind w:left="560"/>
        <w:rPr>
          <w:rFonts w:eastAsia="仿宋_GB2312"/>
          <w:sz w:val="28"/>
          <w:szCs w:val="28"/>
        </w:rPr>
      </w:pPr>
      <w:r>
        <w:rPr>
          <w:rFonts w:eastAsia="仿宋_GB2312"/>
          <w:sz w:val="28"/>
          <w:szCs w:val="28"/>
        </w:rPr>
        <w:t>3.价值时点原则</w:t>
      </w:r>
    </w:p>
    <w:p>
      <w:pPr>
        <w:widowControl w:val="0"/>
        <w:snapToGrid w:val="0"/>
        <w:spacing w:line="480" w:lineRule="exact"/>
        <w:ind w:firstLine="551" w:firstLineChars="197"/>
        <w:jc w:val="both"/>
        <w:rPr>
          <w:rFonts w:eastAsia="仿宋_GB2312"/>
          <w:sz w:val="28"/>
          <w:szCs w:val="28"/>
        </w:rPr>
      </w:pPr>
      <w:r>
        <w:rPr>
          <w:rFonts w:eastAsia="仿宋_GB2312"/>
          <w:sz w:val="28"/>
          <w:szCs w:val="28"/>
        </w:rPr>
        <w:t>要求估价结果是在根据估价目的确定的某一特定时间的价值或价格的原则。</w:t>
      </w:r>
    </w:p>
    <w:p>
      <w:pPr>
        <w:widowControl w:val="0"/>
        <w:snapToGrid w:val="0"/>
        <w:spacing w:line="480" w:lineRule="exact"/>
        <w:ind w:firstLine="560" w:firstLineChars="200"/>
        <w:jc w:val="both"/>
        <w:rPr>
          <w:rFonts w:eastAsia="仿宋_GB2312"/>
          <w:sz w:val="28"/>
          <w:szCs w:val="28"/>
        </w:rPr>
      </w:pPr>
      <w:r>
        <w:rPr>
          <w:rFonts w:eastAsia="仿宋_GB2312"/>
          <w:sz w:val="28"/>
          <w:szCs w:val="28"/>
        </w:rPr>
        <w:t>价值时点原则强调的是估价结论具有很强的时间相关性和时效性。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同一估价对象在不同时点会具不同的市场价格。</w:t>
      </w:r>
    </w:p>
    <w:p>
      <w:pPr>
        <w:snapToGrid w:val="0"/>
        <w:spacing w:line="480" w:lineRule="exact"/>
        <w:ind w:firstLine="560" w:firstLineChars="200"/>
        <w:jc w:val="both"/>
        <w:rPr>
          <w:rFonts w:eastAsia="仿宋_GB2312"/>
          <w:caps/>
          <w:sz w:val="28"/>
          <w:szCs w:val="28"/>
        </w:rPr>
      </w:pPr>
      <w:r>
        <w:rPr>
          <w:rFonts w:eastAsia="仿宋_GB2312"/>
          <w:caps/>
          <w:sz w:val="28"/>
          <w:szCs w:val="28"/>
        </w:rPr>
        <w:t>本次估价以价值时点原则为前提，根据价值时点原则确定政府有关房地产的法律、法规、税收政策、估价标准等的发布、变更、实施日期等估价依据。估价结果是根据估价目的确定的价值时点对应的市场价值。</w:t>
      </w:r>
    </w:p>
    <w:p>
      <w:pPr>
        <w:snapToGrid w:val="0"/>
        <w:spacing w:line="480" w:lineRule="exact"/>
        <w:ind w:firstLine="560" w:firstLineChars="200"/>
        <w:jc w:val="both"/>
        <w:rPr>
          <w:rFonts w:eastAsia="仿宋_GB2312"/>
          <w:caps/>
          <w:sz w:val="28"/>
          <w:szCs w:val="28"/>
        </w:rPr>
      </w:pPr>
      <w:r>
        <w:rPr>
          <w:rFonts w:hint="eastAsia" w:eastAsia="仿宋_GB2312"/>
          <w:caps/>
          <w:sz w:val="28"/>
          <w:szCs w:val="28"/>
        </w:rPr>
        <w:t>运用比较法时，对可比案例的期日修正体现了价值时点原则。</w:t>
      </w:r>
    </w:p>
    <w:p>
      <w:pPr>
        <w:snapToGrid w:val="0"/>
        <w:spacing w:line="480" w:lineRule="exact"/>
        <w:ind w:left="560"/>
        <w:rPr>
          <w:rFonts w:eastAsia="仿宋_GB2312"/>
          <w:sz w:val="28"/>
          <w:szCs w:val="28"/>
        </w:rPr>
      </w:pPr>
      <w:r>
        <w:rPr>
          <w:rFonts w:eastAsia="仿宋_GB2312"/>
          <w:sz w:val="28"/>
          <w:szCs w:val="28"/>
        </w:rPr>
        <w:t>4.替代原则</w:t>
      </w:r>
    </w:p>
    <w:p>
      <w:pPr>
        <w:widowControl w:val="0"/>
        <w:snapToGrid w:val="0"/>
        <w:spacing w:line="480" w:lineRule="exact"/>
        <w:ind w:firstLine="540"/>
        <w:jc w:val="both"/>
        <w:rPr>
          <w:rFonts w:eastAsia="仿宋_GB2312"/>
          <w:sz w:val="28"/>
          <w:szCs w:val="28"/>
        </w:rPr>
      </w:pPr>
      <w:r>
        <w:rPr>
          <w:rFonts w:eastAsia="仿宋_GB2312"/>
          <w:sz w:val="28"/>
          <w:szCs w:val="28"/>
        </w:rPr>
        <w:t>要求估价结果与估价对象的类似房地产在同等条件下的价值或价格偏差在合理范围内的原则。</w:t>
      </w:r>
    </w:p>
    <w:p>
      <w:pPr>
        <w:widowControl w:val="0"/>
        <w:snapToGrid w:val="0"/>
        <w:spacing w:line="480" w:lineRule="exact"/>
        <w:ind w:firstLine="540"/>
        <w:jc w:val="both"/>
        <w:rPr>
          <w:rFonts w:eastAsia="仿宋_GB2312"/>
          <w:sz w:val="28"/>
          <w:szCs w:val="28"/>
        </w:rPr>
      </w:pPr>
      <w:r>
        <w:rPr>
          <w:rFonts w:eastAsia="仿宋_GB2312"/>
          <w:sz w:val="28"/>
          <w:szCs w:val="28"/>
        </w:rPr>
        <w:t>根据经济学原理，在同一个市场上相同的商品有相同的价格。因为任何理性的买者在购买商品之前都会在市场上搜寻并“货比三家”，然后购买其中效用最大（或质量、性能最好）而价格最低的，即购买“性价比”高或“物美价廉”的。卖者为了使其产品能够卖出，相互之间也会进行价格竞争。市场上买者、卖者的这些行为导致的结果，是在相同的商品之间形成相同的价格。</w:t>
      </w:r>
    </w:p>
    <w:p>
      <w:pPr>
        <w:widowControl w:val="0"/>
        <w:snapToGrid w:val="0"/>
        <w:spacing w:line="480" w:lineRule="exact"/>
        <w:ind w:firstLine="540"/>
        <w:jc w:val="both"/>
        <w:rPr>
          <w:rFonts w:eastAsia="仿宋_GB2312"/>
          <w:sz w:val="28"/>
          <w:szCs w:val="28"/>
        </w:rPr>
      </w:pPr>
      <w:r>
        <w:rPr>
          <w:rFonts w:eastAsia="仿宋_GB2312"/>
          <w:sz w:val="28"/>
          <w:szCs w:val="28"/>
        </w:rPr>
        <w:t>房地产价格的形成一般也如此，只是由于房地产的独一无二特性，使得完全相同的房地产几乎没有，但在同一个房地产市场上，相似的房地产会有相近的价格。因为在现实房地产交易中，任何理性的买者和卖者，都会将其拟买或拟卖的房地产与市场上相似的房地产进行比较，从而任何理性的买者不会接受比市场上相似的房地产的正常价格过高的价格，任何理性的卖者不会接受比市场上相似的房地产的正常价格过低的价格。这种相似的房地产之间价格相互牵掣的结果，是他们的价格相互接近。</w:t>
      </w:r>
    </w:p>
    <w:p>
      <w:pPr>
        <w:widowControl w:val="0"/>
        <w:snapToGrid w:val="0"/>
        <w:spacing w:line="480" w:lineRule="exact"/>
        <w:ind w:firstLine="540"/>
        <w:jc w:val="both"/>
        <w:rPr>
          <w:rFonts w:eastAsia="仿宋_GB2312"/>
          <w:sz w:val="28"/>
          <w:szCs w:val="28"/>
        </w:rPr>
      </w:pPr>
      <w:r>
        <w:rPr>
          <w:rFonts w:hint="eastAsia" w:eastAsia="仿宋_GB2312"/>
          <w:sz w:val="28"/>
          <w:szCs w:val="28"/>
        </w:rPr>
        <w:t>本次评估中，比较法选取具有替代性的案例就遵循了替代原则。</w:t>
      </w:r>
    </w:p>
    <w:p>
      <w:pPr>
        <w:snapToGrid w:val="0"/>
        <w:spacing w:line="48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w:t>
      </w:r>
      <w:r>
        <w:rPr>
          <w:rFonts w:eastAsia="仿宋_GB2312"/>
          <w:sz w:val="28"/>
          <w:szCs w:val="28"/>
        </w:rPr>
        <w:t>最高最佳利用原则</w:t>
      </w:r>
    </w:p>
    <w:p>
      <w:pPr>
        <w:widowControl w:val="0"/>
        <w:snapToGrid w:val="0"/>
        <w:spacing w:line="480" w:lineRule="exact"/>
        <w:ind w:firstLine="520"/>
        <w:jc w:val="both"/>
        <w:rPr>
          <w:rFonts w:eastAsia="仿宋_GB2312"/>
          <w:sz w:val="28"/>
          <w:szCs w:val="28"/>
        </w:rPr>
      </w:pPr>
      <w:r>
        <w:rPr>
          <w:rFonts w:eastAsia="仿宋_GB2312"/>
          <w:sz w:val="28"/>
          <w:szCs w:val="28"/>
        </w:rPr>
        <w:t>要求估价结果是在估价对象最高最佳利用状况下的价值或价格的原则。</w:t>
      </w:r>
    </w:p>
    <w:p>
      <w:pPr>
        <w:widowControl w:val="0"/>
        <w:snapToGrid w:val="0"/>
        <w:spacing w:line="480" w:lineRule="exact"/>
        <w:ind w:firstLine="520"/>
        <w:jc w:val="both"/>
        <w:rPr>
          <w:rFonts w:eastAsia="仿宋_GB2312"/>
          <w:sz w:val="28"/>
          <w:szCs w:val="28"/>
        </w:rPr>
      </w:pPr>
      <w:r>
        <w:rPr>
          <w:rFonts w:eastAsia="仿宋_GB2312"/>
          <w:sz w:val="28"/>
          <w:szCs w:val="28"/>
        </w:rPr>
        <w:t>最高最佳利用必须同时满足四个条件：一是法律上允许；二是技术上可能；三是财务上可行；四是价值最大化。实际估价中在选取估价对象的最高最佳利用时，往往容易忽视“法律上允许”这个前提，甚至误以为最高最佳利用原则与合法原则有时是冲突的。实际上，最高最佳利用不是无条件的最高最佳利用，而是在法律、法规、政策以及建设用地使用权出让合同等允许范围内的最高最佳利用。因此，最高最佳利用原则与合法原则的关系是：遵循了合法原则，并不意味着会遵循最高最佳利用原则；而遵循了最高最佳利用原则，则必然符合了合法原则中对估价对象依法利用的要求，但并不意味着符合了合法原则中的其他要求。</w:t>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79" w:name="_Toc530993662"/>
      <w:r>
        <w:rPr>
          <w:rFonts w:ascii="Times New Roman" w:hAnsi="Times New Roman" w:eastAsia="仿宋_GB2312"/>
          <w:sz w:val="28"/>
          <w:szCs w:val="28"/>
        </w:rPr>
        <w:t>估价依据</w:t>
      </w:r>
      <w:bookmarkEnd w:id="79"/>
      <w:r>
        <w:rPr>
          <w:rFonts w:ascii="Times New Roman" w:hAnsi="Times New Roman" w:eastAsia="仿宋_GB2312"/>
          <w:kern w:val="2"/>
          <w:sz w:val="28"/>
          <w:szCs w:val="28"/>
        </w:rPr>
        <w:fldChar w:fldCharType="begin"/>
      </w:r>
      <w:r>
        <w:rPr>
          <w:rFonts w:ascii="Times New Roman" w:hAnsi="Times New Roman" w:eastAsia="仿宋_GB2312"/>
          <w:kern w:val="2"/>
          <w:sz w:val="28"/>
          <w:szCs w:val="28"/>
        </w:rPr>
        <w:instrText xml:space="preserve"> TC "</w:instrText>
      </w:r>
      <w:bookmarkStart w:id="80" w:name="_Toc288212024"/>
      <w:bookmarkStart w:id="81" w:name="_Toc289260255"/>
      <w:r>
        <w:rPr>
          <w:rFonts w:ascii="Times New Roman" w:hAnsi="Times New Roman" w:eastAsia="仿宋_GB2312"/>
          <w:kern w:val="2"/>
          <w:sz w:val="28"/>
          <w:szCs w:val="28"/>
        </w:rPr>
        <w:instrText xml:space="preserve">7、估价依据</w:instrText>
      </w:r>
      <w:bookmarkEnd w:id="80"/>
      <w:bookmarkEnd w:id="81"/>
      <w:r>
        <w:rPr>
          <w:rFonts w:ascii="Times New Roman" w:hAnsi="Times New Roman" w:eastAsia="仿宋_GB2312"/>
          <w:kern w:val="2"/>
          <w:sz w:val="28"/>
          <w:szCs w:val="28"/>
        </w:rPr>
        <w:instrText xml:space="preserve">" \f C \l "2"</w:instrText>
      </w:r>
      <w:r>
        <w:rPr>
          <w:rFonts w:ascii="Times New Roman" w:hAnsi="Times New Roman" w:eastAsia="仿宋_GB2312"/>
          <w:kern w:val="2"/>
          <w:sz w:val="28"/>
          <w:szCs w:val="28"/>
        </w:rPr>
        <w:fldChar w:fldCharType="end"/>
      </w:r>
    </w:p>
    <w:p>
      <w:pPr>
        <w:adjustRightInd w:val="0"/>
        <w:snapToGrid w:val="0"/>
        <w:spacing w:line="480" w:lineRule="exact"/>
        <w:ind w:firstLine="562" w:firstLineChars="200"/>
        <w:rPr>
          <w:rFonts w:eastAsia="仿宋_GB2312"/>
          <w:b/>
          <w:sz w:val="28"/>
          <w:szCs w:val="28"/>
        </w:rPr>
      </w:pPr>
      <w:bookmarkStart w:id="82" w:name="_Toc155258971"/>
      <w:bookmarkStart w:id="83" w:name="_Toc382493628"/>
      <w:r>
        <w:rPr>
          <w:rFonts w:eastAsia="仿宋_GB2312"/>
          <w:b/>
          <w:caps/>
          <w:sz w:val="28"/>
          <w:szCs w:val="28"/>
        </w:rPr>
        <w:t>（一）法律、法规和政策性文件</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1.国家法律、法规和政策性文件</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（1）</w:t>
      </w:r>
      <w:r>
        <w:rPr>
          <w:rFonts w:eastAsia="仿宋_GB2312"/>
          <w:sz w:val="28"/>
          <w:szCs w:val="28"/>
        </w:rPr>
        <w:t>《中华人民共和国</w:t>
      </w:r>
      <w:r>
        <w:rPr>
          <w:rFonts w:hint="eastAsia" w:eastAsia="仿宋_GB2312"/>
          <w:sz w:val="28"/>
          <w:szCs w:val="28"/>
        </w:rPr>
        <w:t>民法典</w:t>
      </w:r>
      <w:r>
        <w:rPr>
          <w:rFonts w:eastAsia="仿宋_GB2312"/>
          <w:sz w:val="28"/>
          <w:szCs w:val="28"/>
        </w:rPr>
        <w:t>》（中华人民共和国主席令第</w:t>
      </w:r>
      <w:r>
        <w:rPr>
          <w:rFonts w:hint="eastAsia" w:eastAsia="仿宋_GB2312"/>
          <w:sz w:val="28"/>
          <w:szCs w:val="28"/>
        </w:rPr>
        <w:t>45</w:t>
      </w:r>
      <w:r>
        <w:rPr>
          <w:rFonts w:eastAsia="仿宋_GB2312"/>
          <w:sz w:val="28"/>
          <w:szCs w:val="28"/>
        </w:rPr>
        <w:t>号、20</w:t>
      </w:r>
      <w:r>
        <w:rPr>
          <w:rFonts w:hint="eastAsia" w:eastAsia="仿宋_GB2312"/>
          <w:sz w:val="28"/>
          <w:szCs w:val="28"/>
        </w:rPr>
        <w:t>21</w:t>
      </w:r>
      <w:r>
        <w:rPr>
          <w:rFonts w:eastAsia="仿宋_GB2312"/>
          <w:sz w:val="28"/>
          <w:szCs w:val="28"/>
        </w:rPr>
        <w:t>年</w:t>
      </w:r>
      <w:r>
        <w:rPr>
          <w:rFonts w:hint="eastAsia" w:eastAsia="仿宋_GB2312"/>
          <w:sz w:val="28"/>
          <w:szCs w:val="28"/>
        </w:rPr>
        <w:t>1</w:t>
      </w:r>
      <w:r>
        <w:rPr>
          <w:rFonts w:eastAsia="仿宋_GB2312"/>
          <w:sz w:val="28"/>
          <w:szCs w:val="28"/>
        </w:rPr>
        <w:t>月1日起施行）</w:t>
      </w:r>
      <w:r>
        <w:rPr>
          <w:rFonts w:eastAsia="仿宋_GB2312"/>
          <w:caps/>
          <w:sz w:val="28"/>
          <w:szCs w:val="28"/>
        </w:rPr>
        <w:t>；</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（2）</w:t>
      </w:r>
      <w:r>
        <w:rPr>
          <w:rFonts w:hint="eastAsia" w:eastAsia="仿宋_GB2312"/>
          <w:sz w:val="28"/>
          <w:szCs w:val="28"/>
        </w:rPr>
        <w:t>《中华人民共和国城市房地产管理法》（2019年8月26日第十三届全国人民代表大会常务委员会第十二次会议修订，2020年01月01日施行）</w:t>
      </w:r>
      <w:r>
        <w:rPr>
          <w:rFonts w:eastAsia="仿宋_GB2312"/>
          <w:caps/>
          <w:sz w:val="28"/>
          <w:szCs w:val="28"/>
        </w:rPr>
        <w:t>；</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（3）</w:t>
      </w:r>
      <w:r>
        <w:rPr>
          <w:rFonts w:hint="eastAsia" w:eastAsia="仿宋_GB2312"/>
          <w:sz w:val="28"/>
          <w:szCs w:val="28"/>
        </w:rPr>
        <w:t>《中华人民共和国土地管理法》（2019年8月26日第十三届全国人民代表大会常务委员会第十二次会议修订，2020年01月01日施行）</w:t>
      </w:r>
      <w:r>
        <w:rPr>
          <w:rFonts w:eastAsia="仿宋_GB2312"/>
          <w:caps/>
          <w:sz w:val="28"/>
          <w:szCs w:val="28"/>
        </w:rPr>
        <w:t>；</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（4）《中华人民共和国土地管理法实施条例》（2021年4月21日，国务院第132次会议修订通过，自2021年9月1日起施行）</w:t>
      </w:r>
      <w:r>
        <w:rPr>
          <w:rFonts w:eastAsia="仿宋_GB2312"/>
          <w:caps/>
          <w:sz w:val="28"/>
          <w:szCs w:val="28"/>
        </w:rPr>
        <w:t>；</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（5）</w:t>
      </w:r>
      <w:r>
        <w:rPr>
          <w:rFonts w:hint="eastAsia" w:eastAsia="仿宋_GB2312"/>
          <w:sz w:val="28"/>
        </w:rPr>
        <w:t>《中华人民共和国城镇国有土地使用权出让和转让暂行条例》（国务院[90]55号令、1990年5月19日起施行），《国务院关于修改和废止部分行政法规的决定》（2020年11月29日修订）</w:t>
      </w:r>
      <w:r>
        <w:rPr>
          <w:rFonts w:eastAsia="仿宋_GB2312"/>
          <w:caps/>
          <w:sz w:val="28"/>
          <w:szCs w:val="28"/>
        </w:rPr>
        <w:t>；</w:t>
      </w:r>
    </w:p>
    <w:p>
      <w:pPr>
        <w:adjustRightInd w:val="0"/>
        <w:snapToGrid w:val="0"/>
        <w:spacing w:line="480" w:lineRule="exact"/>
        <w:ind w:firstLine="562" w:firstLineChars="200"/>
        <w:rPr>
          <w:rFonts w:eastAsia="仿宋_GB2312"/>
          <w:b/>
          <w:caps/>
          <w:sz w:val="28"/>
          <w:szCs w:val="28"/>
        </w:rPr>
      </w:pPr>
      <w:r>
        <w:rPr>
          <w:rFonts w:eastAsia="仿宋_GB2312"/>
          <w:b/>
          <w:caps/>
          <w:sz w:val="28"/>
          <w:szCs w:val="28"/>
        </w:rPr>
        <w:t>（二）技术标准、规程、规范</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1.</w:t>
      </w:r>
      <w:r>
        <w:rPr>
          <w:rFonts w:eastAsia="仿宋_GB2312"/>
          <w:caps/>
          <w:sz w:val="28"/>
          <w:szCs w:val="28"/>
        </w:rPr>
        <w:t>《房地产估价基本术语标准》（GB/T50899-2013、中华人民共和国住房和城乡建设部、中华人民共和国国家质量监督检验检疫总局2013年6月26日联合发布、2014年2月1日实施）；</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2.</w:t>
      </w:r>
      <w:r>
        <w:rPr>
          <w:rFonts w:eastAsia="仿宋_GB2312"/>
          <w:caps/>
          <w:sz w:val="28"/>
          <w:szCs w:val="28"/>
        </w:rPr>
        <w:t>《城镇土地估价规程》（GB/T18508-2014、中华人民共和国国家质量监督检验检疫总局、中国国家标准化管理委员会2014年7月24日发布、2014年12月1日实施）；</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3</w:t>
      </w:r>
      <w:r>
        <w:rPr>
          <w:rFonts w:eastAsia="仿宋_GB2312"/>
          <w:caps/>
          <w:sz w:val="28"/>
          <w:szCs w:val="28"/>
        </w:rPr>
        <w:t>.《房地产估价规范》（GB/T50291-2015、中华人民共和国住房和城乡建设部、中华人民共和国国家质量监督检验检疫总局联合发布、2015年4月8日发布、2015年12月1日实施）；</w:t>
      </w:r>
    </w:p>
    <w:p>
      <w:pPr>
        <w:adjustRightInd w:val="0"/>
        <w:snapToGrid w:val="0"/>
        <w:spacing w:line="500" w:lineRule="exact"/>
        <w:ind w:firstLine="560" w:firstLineChars="200"/>
        <w:rPr>
          <w:rFonts w:eastAsia="仿宋_GB2312"/>
          <w:caps/>
          <w:sz w:val="28"/>
          <w:szCs w:val="28"/>
        </w:rPr>
      </w:pPr>
      <w:r>
        <w:rPr>
          <w:rFonts w:hint="eastAsia" w:eastAsia="仿宋_GB2312"/>
          <w:caps/>
          <w:sz w:val="28"/>
          <w:szCs w:val="28"/>
        </w:rPr>
        <w:t>4.《国土空间调查、规划、用途管制用地用海分类指南（试行）》（2020）；</w:t>
      </w:r>
    </w:p>
    <w:p>
      <w:pPr>
        <w:adjustRightInd w:val="0"/>
        <w:snapToGrid w:val="0"/>
        <w:spacing w:line="500" w:lineRule="exact"/>
        <w:ind w:firstLine="560" w:firstLineChars="200"/>
        <w:rPr>
          <w:rFonts w:eastAsia="仿宋_GB2312"/>
          <w:caps/>
          <w:sz w:val="28"/>
          <w:szCs w:val="28"/>
        </w:rPr>
      </w:pPr>
      <w:r>
        <w:rPr>
          <w:rFonts w:hint="eastAsia" w:eastAsia="仿宋_GB2312"/>
          <w:caps/>
          <w:sz w:val="28"/>
          <w:szCs w:val="28"/>
        </w:rPr>
        <w:t>5.中华人民共和国自然资源部发布的《自然资源分等定级通则》（TD/T 1060-2021）；</w:t>
      </w:r>
    </w:p>
    <w:p>
      <w:pPr>
        <w:adjustRightInd w:val="0"/>
        <w:snapToGrid w:val="0"/>
        <w:spacing w:line="480" w:lineRule="exact"/>
        <w:ind w:firstLine="560" w:firstLineChars="200"/>
        <w:rPr>
          <w:rFonts w:eastAsia="仿宋_GB2312"/>
          <w:caps/>
          <w:sz w:val="28"/>
          <w:szCs w:val="28"/>
        </w:rPr>
      </w:pPr>
      <w:r>
        <w:rPr>
          <w:rFonts w:hint="eastAsia" w:eastAsia="仿宋_GB2312"/>
          <w:caps/>
          <w:sz w:val="28"/>
          <w:szCs w:val="28"/>
        </w:rPr>
        <w:t>6.中华人民共和国自然资源部发布的《自然资源价格评估通则》（TD/T 1061-2021）。</w:t>
      </w:r>
    </w:p>
    <w:p>
      <w:pPr>
        <w:adjustRightInd w:val="0"/>
        <w:snapToGrid w:val="0"/>
        <w:spacing w:line="480" w:lineRule="exact"/>
        <w:ind w:firstLine="562" w:firstLineChars="200"/>
        <w:rPr>
          <w:rFonts w:eastAsia="仿宋_GB2312"/>
          <w:b/>
          <w:caps/>
          <w:sz w:val="28"/>
          <w:szCs w:val="28"/>
        </w:rPr>
      </w:pPr>
      <w:r>
        <w:rPr>
          <w:rFonts w:eastAsia="仿宋_GB2312"/>
          <w:b/>
          <w:caps/>
          <w:sz w:val="28"/>
          <w:szCs w:val="28"/>
        </w:rPr>
        <w:t>（三）估价委托人提供的有关资料</w:t>
      </w:r>
    </w:p>
    <w:p>
      <w:pPr>
        <w:adjustRightInd w:val="0"/>
        <w:snapToGrid w:val="0"/>
        <w:spacing w:line="480" w:lineRule="exact"/>
        <w:ind w:firstLine="560" w:firstLineChars="200"/>
        <w:rPr>
          <w:rFonts w:eastAsia="仿宋_GB2312"/>
          <w:caps/>
          <w:sz w:val="28"/>
          <w:szCs w:val="28"/>
        </w:rPr>
      </w:pPr>
      <w:r>
        <w:rPr>
          <w:rFonts w:hint="eastAsia" w:eastAsia="仿宋_GB2312"/>
          <w:bCs/>
          <w:sz w:val="28"/>
          <w:szCs w:val="28"/>
        </w:rPr>
        <w:t>（1）《不动产登记资料查询结果证明》</w:t>
      </w:r>
      <w:r>
        <w:rPr>
          <w:rFonts w:eastAsia="仿宋_GB2312"/>
          <w:caps/>
          <w:sz w:val="28"/>
          <w:szCs w:val="28"/>
        </w:rPr>
        <w:t>复印件；</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3</w:t>
      </w:r>
      <w:r>
        <w:rPr>
          <w:rFonts w:eastAsia="仿宋_GB2312"/>
          <w:caps/>
          <w:sz w:val="28"/>
          <w:szCs w:val="28"/>
        </w:rPr>
        <w:t>）估价委托人提供的其他资料。</w:t>
      </w:r>
    </w:p>
    <w:p>
      <w:pPr>
        <w:adjustRightInd w:val="0"/>
        <w:snapToGrid w:val="0"/>
        <w:spacing w:line="480" w:lineRule="exact"/>
        <w:ind w:firstLine="562" w:firstLineChars="200"/>
        <w:rPr>
          <w:rFonts w:eastAsia="仿宋_GB2312"/>
          <w:b/>
          <w:caps/>
          <w:sz w:val="28"/>
          <w:szCs w:val="28"/>
        </w:rPr>
      </w:pPr>
      <w:r>
        <w:rPr>
          <w:rFonts w:eastAsia="仿宋_GB2312"/>
          <w:b/>
          <w:caps/>
          <w:sz w:val="28"/>
          <w:szCs w:val="28"/>
        </w:rPr>
        <w:t>（四）估价机构和估价人员掌握和搜集的有关资料</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（1）实地查勘、摄影和记录；</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2</w:t>
      </w:r>
      <w:r>
        <w:rPr>
          <w:rFonts w:eastAsia="仿宋_GB2312"/>
          <w:caps/>
          <w:sz w:val="28"/>
          <w:szCs w:val="28"/>
        </w:rPr>
        <w:t>）</w:t>
      </w:r>
      <w:r>
        <w:rPr>
          <w:rFonts w:hint="eastAsia" w:eastAsia="仿宋_GB2312"/>
          <w:caps/>
          <w:sz w:val="28"/>
          <w:szCs w:val="28"/>
        </w:rPr>
        <w:t>南京市</w:t>
      </w:r>
      <w:r>
        <w:rPr>
          <w:rFonts w:eastAsia="仿宋_GB2312"/>
          <w:caps/>
          <w:sz w:val="28"/>
          <w:szCs w:val="28"/>
        </w:rPr>
        <w:t>房地产市场信息；</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3</w:t>
      </w:r>
      <w:r>
        <w:rPr>
          <w:rFonts w:eastAsia="仿宋_GB2312"/>
          <w:caps/>
          <w:sz w:val="28"/>
          <w:szCs w:val="28"/>
        </w:rPr>
        <w:t>）</w:t>
      </w:r>
      <w:r>
        <w:rPr>
          <w:rFonts w:hint="eastAsia" w:eastAsia="仿宋_GB2312"/>
          <w:caps/>
          <w:sz w:val="28"/>
          <w:szCs w:val="28"/>
        </w:rPr>
        <w:t>南京市</w:t>
      </w:r>
      <w:r>
        <w:rPr>
          <w:rFonts w:eastAsia="仿宋_GB2312"/>
          <w:caps/>
          <w:sz w:val="28"/>
          <w:szCs w:val="28"/>
        </w:rPr>
        <w:t>建筑工程造价信息；</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4</w:t>
      </w:r>
      <w:r>
        <w:rPr>
          <w:rFonts w:eastAsia="仿宋_GB2312"/>
          <w:caps/>
          <w:sz w:val="28"/>
          <w:szCs w:val="28"/>
        </w:rPr>
        <w:t>）人民银行公布的资金存、贷款利率；</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5</w:t>
      </w:r>
      <w:r>
        <w:rPr>
          <w:rFonts w:eastAsia="仿宋_GB2312"/>
          <w:caps/>
          <w:sz w:val="28"/>
          <w:szCs w:val="28"/>
        </w:rPr>
        <w:t>）估价对象附近房地产投资回报状况；</w:t>
      </w:r>
    </w:p>
    <w:p>
      <w:pPr>
        <w:adjustRightInd w:val="0"/>
        <w:snapToGrid w:val="0"/>
        <w:spacing w:line="480" w:lineRule="exact"/>
        <w:ind w:firstLine="560" w:firstLineChars="200"/>
        <w:rPr>
          <w:rFonts w:eastAsia="仿宋_GB2312"/>
          <w:caps/>
          <w:sz w:val="28"/>
          <w:szCs w:val="28"/>
        </w:rPr>
      </w:pPr>
      <w:r>
        <w:rPr>
          <w:rFonts w:eastAsia="仿宋_GB2312"/>
          <w:caps/>
          <w:sz w:val="28"/>
          <w:szCs w:val="28"/>
        </w:rPr>
        <w:t>（</w:t>
      </w:r>
      <w:r>
        <w:rPr>
          <w:rFonts w:hint="eastAsia" w:eastAsia="仿宋_GB2312"/>
          <w:caps/>
          <w:sz w:val="28"/>
          <w:szCs w:val="28"/>
        </w:rPr>
        <w:t>6</w:t>
      </w:r>
      <w:r>
        <w:rPr>
          <w:rFonts w:eastAsia="仿宋_GB2312"/>
          <w:caps/>
          <w:sz w:val="28"/>
          <w:szCs w:val="28"/>
        </w:rPr>
        <w:t>）估价机构及估价人员掌握的其他相关信息资料。</w:t>
      </w:r>
    </w:p>
    <w:p>
      <w:pPr>
        <w:pStyle w:val="3"/>
        <w:widowControl w:val="0"/>
        <w:numPr>
          <w:ilvl w:val="1"/>
          <w:numId w:val="2"/>
        </w:numPr>
        <w:snapToGrid w:val="0"/>
        <w:spacing w:before="240" w:after="120" w:line="360" w:lineRule="auto"/>
        <w:ind w:left="567" w:hanging="6"/>
        <w:rPr>
          <w:rFonts w:ascii="Times New Roman" w:hAnsi="Times New Roman" w:eastAsia="仿宋_GB2312"/>
          <w:sz w:val="26"/>
          <w:szCs w:val="26"/>
        </w:rPr>
      </w:pPr>
      <w:bookmarkStart w:id="84" w:name="_Toc530993663"/>
      <w:r>
        <w:rPr>
          <w:rFonts w:ascii="Times New Roman" w:hAnsi="Times New Roman" w:eastAsia="仿宋_GB2312"/>
          <w:sz w:val="28"/>
          <w:szCs w:val="28"/>
        </w:rPr>
        <w:t>估价方法</w:t>
      </w:r>
      <w:bookmarkEnd w:id="82"/>
      <w:bookmarkEnd w:id="83"/>
      <w:bookmarkEnd w:id="84"/>
      <w:r>
        <w:rPr>
          <w:rFonts w:ascii="Times New Roman" w:hAnsi="Times New Roman" w:eastAsia="仿宋_GB2312"/>
          <w:sz w:val="26"/>
          <w:szCs w:val="26"/>
        </w:rPr>
        <w:fldChar w:fldCharType="begin"/>
      </w:r>
      <w:r>
        <w:rPr>
          <w:rFonts w:ascii="Times New Roman" w:hAnsi="Times New Roman" w:eastAsia="仿宋_GB2312"/>
          <w:sz w:val="26"/>
          <w:szCs w:val="26"/>
        </w:rPr>
        <w:instrText xml:space="preserve"> TC "</w:instrText>
      </w:r>
      <w:bookmarkStart w:id="85" w:name="_Toc288212026"/>
      <w:bookmarkStart w:id="86" w:name="_Toc289260257"/>
      <w:r>
        <w:rPr>
          <w:rFonts w:ascii="Times New Roman" w:hAnsi="Times New Roman" w:eastAsia="仿宋_GB2312"/>
          <w:sz w:val="26"/>
          <w:szCs w:val="26"/>
        </w:rPr>
        <w:instrText xml:space="preserve">9、估价方法</w:instrText>
      </w:r>
      <w:bookmarkEnd w:id="85"/>
      <w:bookmarkEnd w:id="86"/>
      <w:r>
        <w:rPr>
          <w:rFonts w:ascii="Times New Roman" w:hAnsi="Times New Roman" w:eastAsia="仿宋_GB2312"/>
          <w:sz w:val="26"/>
          <w:szCs w:val="26"/>
        </w:rPr>
        <w:instrText xml:space="preserve">" \f C \l "2"</w:instrText>
      </w:r>
      <w:r>
        <w:rPr>
          <w:rFonts w:ascii="Times New Roman" w:hAnsi="Times New Roman" w:eastAsia="仿宋_GB2312"/>
          <w:sz w:val="26"/>
          <w:szCs w:val="26"/>
        </w:rPr>
        <w:fldChar w:fldCharType="end"/>
      </w:r>
    </w:p>
    <w:p>
      <w:pPr>
        <w:adjustRightInd w:val="0"/>
        <w:snapToGrid w:val="0"/>
        <w:spacing w:line="480" w:lineRule="exact"/>
        <w:ind w:firstLine="560" w:firstLineChars="200"/>
        <w:rPr>
          <w:rFonts w:eastAsia="仿宋_GB2312"/>
          <w:sz w:val="28"/>
          <w:szCs w:val="28"/>
        </w:rPr>
      </w:pPr>
      <w:bookmarkStart w:id="87" w:name="_Toc155258972"/>
      <w:r>
        <w:rPr>
          <w:rFonts w:eastAsia="仿宋_GB2312"/>
          <w:sz w:val="28"/>
          <w:szCs w:val="28"/>
        </w:rPr>
        <w:t>根据《房地产估价规范》（GB/T 50291-2015），通行的估价方法有比较法、收益法、成本法、假设开发法等。估价方法的选择应根据当地房地产市场发育情况并结合估价对象的具体特点及估价目的等，选择适当的估价方法。</w:t>
      </w:r>
    </w:p>
    <w:p>
      <w:pPr>
        <w:snapToGrid w:val="0"/>
        <w:spacing w:beforeLines="50" w:line="360" w:lineRule="auto"/>
        <w:ind w:firstLine="567"/>
        <w:rPr>
          <w:rFonts w:eastAsia="仿宋_GB2312"/>
          <w:b/>
          <w:sz w:val="28"/>
          <w:szCs w:val="28"/>
        </w:rPr>
      </w:pPr>
      <w:r>
        <w:rPr>
          <w:rFonts w:eastAsia="仿宋_GB2312"/>
          <w:b/>
          <w:sz w:val="28"/>
          <w:szCs w:val="28"/>
        </w:rPr>
        <w:t>1、方法选用分析</w:t>
      </w:r>
    </w:p>
    <w:p>
      <w:pPr>
        <w:adjustRightInd w:val="0"/>
        <w:snapToGrid w:val="0"/>
        <w:spacing w:line="480" w:lineRule="exact"/>
        <w:ind w:firstLine="560" w:firstLineChars="200"/>
        <w:rPr>
          <w:rFonts w:eastAsia="仿宋_GB2312"/>
          <w:sz w:val="28"/>
          <w:szCs w:val="28"/>
        </w:rPr>
      </w:pPr>
      <w:r>
        <w:rPr>
          <w:rFonts w:eastAsia="仿宋_GB2312"/>
          <w:sz w:val="28"/>
          <w:szCs w:val="28"/>
        </w:rPr>
        <w:t>估价人员在认真分析所掌握的资料，并对估价对象进行了实地查勘以及对周边房地产市场进行调查后，根据《房地产估价规范》（GB/T 50291-2015）、《房地产估价基本术语标准》（GB/T50899-2013），遵照国家有关法律、法规、估价技术标准，经过反复研究，最终选取比较法对估价对象南京市高淳区淳溪镇镇兴路177号银庭馨苑地下车库共13个车位及车库室建筑面积</w:t>
      </w:r>
      <w:r>
        <w:rPr>
          <w:rFonts w:hint="eastAsia" w:eastAsia="仿宋_GB2312"/>
          <w:sz w:val="28"/>
          <w:szCs w:val="28"/>
        </w:rPr>
        <w:t>合计为</w:t>
      </w:r>
      <w:r>
        <w:rPr>
          <w:rFonts w:eastAsia="仿宋_GB2312"/>
          <w:sz w:val="28"/>
          <w:szCs w:val="28"/>
        </w:rPr>
        <w:t>225.39平方米房地产进行估价，具体分析如下表：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924"/>
        <w:gridCol w:w="2943"/>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9" w:type="pct"/>
            <w:vAlign w:val="center"/>
          </w:tcPr>
          <w:p>
            <w:pPr>
              <w:pStyle w:val="27"/>
              <w:tabs>
                <w:tab w:val="left" w:pos="630"/>
              </w:tabs>
              <w:spacing w:after="0" w:line="240" w:lineRule="atLeast"/>
              <w:ind w:left="-26" w:leftChars="-71" w:hanging="116"/>
              <w:jc w:val="center"/>
              <w:rPr>
                <w:rFonts w:eastAsia="仿宋_GB2312"/>
                <w:b/>
                <w:bCs/>
              </w:rPr>
            </w:pPr>
            <w:r>
              <w:rPr>
                <w:rFonts w:eastAsia="仿宋_GB2312"/>
                <w:b/>
              </w:rPr>
              <w:t>可选估价方法</w:t>
            </w:r>
          </w:p>
        </w:tc>
        <w:tc>
          <w:tcPr>
            <w:tcW w:w="1676" w:type="pct"/>
            <w:vAlign w:val="center"/>
          </w:tcPr>
          <w:p>
            <w:pPr>
              <w:pStyle w:val="27"/>
              <w:tabs>
                <w:tab w:val="left" w:pos="630"/>
              </w:tabs>
              <w:spacing w:after="0" w:line="240" w:lineRule="atLeast"/>
              <w:ind w:left="0" w:leftChars="0"/>
              <w:jc w:val="center"/>
              <w:rPr>
                <w:rFonts w:eastAsia="仿宋_GB2312"/>
                <w:b/>
                <w:bCs/>
              </w:rPr>
            </w:pPr>
            <w:r>
              <w:rPr>
                <w:rFonts w:eastAsia="仿宋_GB2312"/>
                <w:b/>
              </w:rPr>
              <w:t>估价方法定义</w:t>
            </w:r>
          </w:p>
        </w:tc>
        <w:tc>
          <w:tcPr>
            <w:tcW w:w="1687" w:type="pct"/>
            <w:vAlign w:val="center"/>
          </w:tcPr>
          <w:p>
            <w:pPr>
              <w:pStyle w:val="27"/>
              <w:tabs>
                <w:tab w:val="left" w:pos="630"/>
              </w:tabs>
              <w:spacing w:after="0" w:line="240" w:lineRule="atLeast"/>
              <w:ind w:left="-12" w:leftChars="-6" w:firstLine="258"/>
              <w:jc w:val="center"/>
              <w:rPr>
                <w:rFonts w:eastAsia="仿宋_GB2312"/>
                <w:b/>
                <w:bCs/>
              </w:rPr>
            </w:pPr>
            <w:r>
              <w:rPr>
                <w:rFonts w:eastAsia="仿宋_GB2312"/>
                <w:b/>
                <w:bCs/>
              </w:rPr>
              <w:t>估价方法是否选择理由</w:t>
            </w:r>
          </w:p>
        </w:tc>
        <w:tc>
          <w:tcPr>
            <w:tcW w:w="569" w:type="pct"/>
            <w:vAlign w:val="center"/>
          </w:tcPr>
          <w:p>
            <w:pPr>
              <w:pStyle w:val="27"/>
              <w:tabs>
                <w:tab w:val="left" w:pos="630"/>
              </w:tabs>
              <w:spacing w:after="0" w:line="240" w:lineRule="atLeast"/>
              <w:ind w:left="-118" w:leftChars="-59"/>
              <w:jc w:val="center"/>
              <w:rPr>
                <w:rFonts w:eastAsia="仿宋_GB2312"/>
                <w:b/>
                <w:bCs/>
              </w:rPr>
            </w:pPr>
            <w:r>
              <w:rPr>
                <w:rFonts w:eastAsia="仿宋_GB2312"/>
                <w:b/>
                <w:bCs/>
              </w:rPr>
              <w:t>是否选取</w:t>
            </w:r>
          </w:p>
        </w:tc>
        <w:tc>
          <w:tcPr>
            <w:tcW w:w="569" w:type="pct"/>
            <w:vAlign w:val="center"/>
          </w:tcPr>
          <w:p>
            <w:pPr>
              <w:pStyle w:val="27"/>
              <w:tabs>
                <w:tab w:val="left" w:pos="630"/>
              </w:tabs>
              <w:spacing w:after="0" w:line="240" w:lineRule="atLeast"/>
              <w:ind w:left="-140" w:leftChars="-70" w:firstLine="425"/>
              <w:jc w:val="center"/>
              <w:rPr>
                <w:rFonts w:eastAsia="仿宋_GB2312"/>
                <w:b/>
                <w:bCs/>
              </w:rPr>
            </w:pPr>
            <w:r>
              <w:rPr>
                <w:rFonts w:eastAsia="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9" w:type="pct"/>
            <w:vAlign w:val="center"/>
          </w:tcPr>
          <w:p>
            <w:pPr>
              <w:spacing w:line="240" w:lineRule="atLeast"/>
              <w:jc w:val="center"/>
              <w:rPr>
                <w:rFonts w:eastAsia="仿宋_GB2312"/>
                <w:b/>
                <w:bCs/>
              </w:rPr>
            </w:pPr>
            <w:r>
              <w:rPr>
                <w:rFonts w:eastAsia="仿宋_GB2312"/>
                <w:b/>
                <w:bCs/>
              </w:rPr>
              <w:t>比较法</w:t>
            </w:r>
          </w:p>
        </w:tc>
        <w:tc>
          <w:tcPr>
            <w:tcW w:w="1676" w:type="pct"/>
            <w:vAlign w:val="center"/>
          </w:tcPr>
          <w:p>
            <w:pPr>
              <w:spacing w:line="240" w:lineRule="atLeast"/>
              <w:jc w:val="center"/>
              <w:rPr>
                <w:rFonts w:eastAsia="仿宋_GB2312"/>
              </w:rPr>
            </w:pPr>
            <w:r>
              <w:rPr>
                <w:rFonts w:eastAsia="仿宋_GB2312"/>
              </w:rPr>
              <w:t>选取一定数量的可比实例，将它们与估价对象进行比较，根据其间的差异对可比实例成交价格进行处理后得到估价对象价值或价格的方法。</w:t>
            </w:r>
          </w:p>
        </w:tc>
        <w:tc>
          <w:tcPr>
            <w:tcW w:w="1687" w:type="pct"/>
            <w:vAlign w:val="center"/>
          </w:tcPr>
          <w:p>
            <w:pPr>
              <w:pStyle w:val="27"/>
              <w:tabs>
                <w:tab w:val="left" w:pos="630"/>
              </w:tabs>
              <w:spacing w:after="0" w:line="240" w:lineRule="atLeast"/>
              <w:ind w:left="-12" w:leftChars="-6" w:firstLine="258"/>
              <w:jc w:val="center"/>
              <w:rPr>
                <w:rFonts w:eastAsia="仿宋_GB2312"/>
              </w:rPr>
            </w:pPr>
            <w:r>
              <w:rPr>
                <w:rFonts w:eastAsia="仿宋_GB2312"/>
              </w:rPr>
              <w:t>估价对象规划用途为</w:t>
            </w:r>
            <w:r>
              <w:rPr>
                <w:rFonts w:hint="eastAsia" w:eastAsia="仿宋_GB2312"/>
              </w:rPr>
              <w:t>车位</w:t>
            </w:r>
            <w:r>
              <w:rPr>
                <w:rFonts w:eastAsia="仿宋_GB2312"/>
              </w:rPr>
              <w:t>，所在区域与估价对象相似的出售可比案例（同一供需圈内、用途一致、邻近区域）较多，故本次评估选取比较法对估价对象进行估价。</w:t>
            </w:r>
          </w:p>
        </w:tc>
        <w:tc>
          <w:tcPr>
            <w:tcW w:w="569" w:type="pct"/>
            <w:vAlign w:val="center"/>
          </w:tcPr>
          <w:p>
            <w:pPr>
              <w:spacing w:line="240" w:lineRule="atLeast"/>
              <w:jc w:val="center"/>
              <w:rPr>
                <w:rFonts w:eastAsia="仿宋_GB2312"/>
                <w:bCs/>
              </w:rPr>
            </w:pPr>
            <w:r>
              <w:rPr>
                <w:rFonts w:eastAsia="仿宋_GB2312"/>
                <w:bCs/>
              </w:rPr>
              <w:t>选取</w:t>
            </w:r>
          </w:p>
        </w:tc>
        <w:tc>
          <w:tcPr>
            <w:tcW w:w="569" w:type="pct"/>
            <w:vAlign w:val="center"/>
          </w:tcPr>
          <w:p>
            <w:pPr>
              <w:spacing w:line="240" w:lineRule="atLeas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9" w:type="pct"/>
            <w:vAlign w:val="center"/>
          </w:tcPr>
          <w:p>
            <w:pPr>
              <w:spacing w:line="240" w:lineRule="atLeast"/>
              <w:jc w:val="center"/>
              <w:rPr>
                <w:rFonts w:eastAsia="仿宋_GB2312"/>
                <w:b/>
                <w:bCs/>
              </w:rPr>
            </w:pPr>
            <w:r>
              <w:rPr>
                <w:rFonts w:eastAsia="仿宋_GB2312"/>
                <w:b/>
                <w:bCs/>
              </w:rPr>
              <w:t>收益法</w:t>
            </w:r>
          </w:p>
        </w:tc>
        <w:tc>
          <w:tcPr>
            <w:tcW w:w="1676" w:type="pct"/>
            <w:vAlign w:val="center"/>
          </w:tcPr>
          <w:p>
            <w:pPr>
              <w:spacing w:line="240" w:lineRule="atLeast"/>
              <w:jc w:val="center"/>
              <w:rPr>
                <w:rFonts w:eastAsia="仿宋_GB2312"/>
              </w:rPr>
            </w:pPr>
            <w:r>
              <w:rPr>
                <w:rFonts w:eastAsia="仿宋_GB2312"/>
              </w:rPr>
              <w:t>预测估价对象的未来收益，利用报酬率或资本化率、收益乘数将未来收益转换为价值得到估价对象价值或价格的方法。</w:t>
            </w:r>
          </w:p>
        </w:tc>
        <w:tc>
          <w:tcPr>
            <w:tcW w:w="1687" w:type="pct"/>
            <w:vAlign w:val="center"/>
          </w:tcPr>
          <w:p>
            <w:pPr>
              <w:spacing w:line="240" w:lineRule="atLeast"/>
              <w:ind w:firstLine="200" w:firstLineChars="100"/>
              <w:jc w:val="center"/>
              <w:rPr>
                <w:rFonts w:eastAsia="仿宋_GB2312"/>
              </w:rPr>
            </w:pPr>
            <w:r>
              <w:rPr>
                <w:rFonts w:eastAsia="仿宋_GB2312"/>
              </w:rPr>
              <w:t>收益法适宜用于收益性物业评估，即为有经济收益或有潜在经济收益的房地产，估价对象为</w:t>
            </w:r>
            <w:r>
              <w:rPr>
                <w:rFonts w:hint="eastAsia" w:eastAsia="仿宋_GB2312"/>
              </w:rPr>
              <w:t>车位</w:t>
            </w:r>
            <w:r>
              <w:rPr>
                <w:rFonts w:eastAsia="仿宋_GB2312"/>
              </w:rPr>
              <w:t>，周边</w:t>
            </w:r>
            <w:r>
              <w:rPr>
                <w:rFonts w:hint="eastAsia" w:eastAsia="仿宋_GB2312"/>
              </w:rPr>
              <w:t>同类型</w:t>
            </w:r>
            <w:r>
              <w:rPr>
                <w:rFonts w:eastAsia="仿宋_GB2312"/>
              </w:rPr>
              <w:t>物业出租较</w:t>
            </w:r>
            <w:r>
              <w:rPr>
                <w:rFonts w:hint="eastAsia" w:eastAsia="仿宋_GB2312"/>
              </w:rPr>
              <w:t>少</w:t>
            </w:r>
            <w:r>
              <w:rPr>
                <w:rFonts w:eastAsia="仿宋_GB2312"/>
              </w:rPr>
              <w:t>，</w:t>
            </w:r>
            <w:r>
              <w:rPr>
                <w:rFonts w:hint="eastAsia" w:eastAsia="仿宋_GB2312"/>
              </w:rPr>
              <w:t>较难</w:t>
            </w:r>
            <w:r>
              <w:rPr>
                <w:rFonts w:eastAsia="仿宋_GB2312"/>
              </w:rPr>
              <w:t>收集、了解租金水平，故本次评估不选取收益法</w:t>
            </w:r>
            <w:r>
              <w:rPr>
                <w:rFonts w:hint="eastAsia" w:eastAsia="仿宋_GB2312"/>
              </w:rPr>
              <w:t>对估价对象</w:t>
            </w:r>
            <w:r>
              <w:rPr>
                <w:rFonts w:eastAsia="仿宋_GB2312"/>
              </w:rPr>
              <w:t>进行估价。</w:t>
            </w:r>
          </w:p>
        </w:tc>
        <w:tc>
          <w:tcPr>
            <w:tcW w:w="569" w:type="pct"/>
            <w:vAlign w:val="center"/>
          </w:tcPr>
          <w:p>
            <w:pPr>
              <w:spacing w:line="240" w:lineRule="atLeast"/>
              <w:jc w:val="center"/>
              <w:rPr>
                <w:rFonts w:eastAsia="仿宋_GB2312"/>
                <w:bCs/>
              </w:rPr>
            </w:pPr>
            <w:r>
              <w:rPr>
                <w:rFonts w:eastAsia="仿宋_GB2312"/>
                <w:bCs/>
              </w:rPr>
              <w:t>不选取</w:t>
            </w:r>
          </w:p>
        </w:tc>
        <w:tc>
          <w:tcPr>
            <w:tcW w:w="569" w:type="pct"/>
            <w:vAlign w:val="center"/>
          </w:tcPr>
          <w:p>
            <w:pPr>
              <w:spacing w:line="240" w:lineRule="atLeas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499" w:type="pct"/>
            <w:vAlign w:val="center"/>
          </w:tcPr>
          <w:p>
            <w:pPr>
              <w:spacing w:line="240" w:lineRule="atLeast"/>
              <w:jc w:val="center"/>
              <w:rPr>
                <w:rFonts w:eastAsia="仿宋_GB2312"/>
                <w:b/>
                <w:bCs/>
              </w:rPr>
            </w:pPr>
            <w:r>
              <w:rPr>
                <w:rFonts w:eastAsia="仿宋_GB2312"/>
                <w:b/>
                <w:bCs/>
              </w:rPr>
              <w:t>假设开发法</w:t>
            </w:r>
          </w:p>
        </w:tc>
        <w:tc>
          <w:tcPr>
            <w:tcW w:w="1676" w:type="pct"/>
            <w:vAlign w:val="center"/>
          </w:tcPr>
          <w:p>
            <w:pPr>
              <w:spacing w:line="240" w:lineRule="atLeast"/>
              <w:jc w:val="center"/>
              <w:rPr>
                <w:rFonts w:eastAsia="仿宋_GB2312"/>
              </w:rPr>
            </w:pPr>
            <w:r>
              <w:rPr>
                <w:rFonts w:eastAsia="仿宋_GB2312"/>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tc>
        <w:tc>
          <w:tcPr>
            <w:tcW w:w="1687" w:type="pct"/>
            <w:vAlign w:val="center"/>
          </w:tcPr>
          <w:p>
            <w:pPr>
              <w:spacing w:line="240" w:lineRule="atLeast"/>
              <w:ind w:firstLine="200" w:firstLineChars="100"/>
              <w:jc w:val="center"/>
              <w:rPr>
                <w:rFonts w:eastAsia="仿宋_GB2312"/>
              </w:rPr>
            </w:pPr>
            <w:r>
              <w:rPr>
                <w:rFonts w:eastAsia="仿宋_GB2312"/>
              </w:rPr>
              <w:t>假设开发法适用于评估具有投资开发价值或再开发潜力的房地产，估价对象为已完成开发的物业，故本次评估不选取假设开发法作为估价方法。</w:t>
            </w:r>
          </w:p>
        </w:tc>
        <w:tc>
          <w:tcPr>
            <w:tcW w:w="569" w:type="pct"/>
            <w:vAlign w:val="center"/>
          </w:tcPr>
          <w:p>
            <w:pPr>
              <w:spacing w:line="240" w:lineRule="atLeast"/>
              <w:jc w:val="center"/>
              <w:rPr>
                <w:rFonts w:eastAsia="仿宋_GB2312"/>
                <w:bCs/>
              </w:rPr>
            </w:pPr>
            <w:r>
              <w:rPr>
                <w:rFonts w:eastAsia="仿宋_GB2312"/>
                <w:bCs/>
              </w:rPr>
              <w:t>不选取</w:t>
            </w:r>
          </w:p>
        </w:tc>
        <w:tc>
          <w:tcPr>
            <w:tcW w:w="569" w:type="pct"/>
            <w:vAlign w:val="center"/>
          </w:tcPr>
          <w:p>
            <w:pPr>
              <w:spacing w:line="240" w:lineRule="atLeas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99" w:type="pct"/>
            <w:vAlign w:val="center"/>
          </w:tcPr>
          <w:p>
            <w:pPr>
              <w:spacing w:line="240" w:lineRule="atLeast"/>
              <w:jc w:val="center"/>
              <w:rPr>
                <w:rFonts w:eastAsia="仿宋_GB2312"/>
                <w:b/>
                <w:bCs/>
              </w:rPr>
            </w:pPr>
            <w:r>
              <w:rPr>
                <w:rFonts w:eastAsia="仿宋_GB2312"/>
                <w:b/>
                <w:bCs/>
              </w:rPr>
              <w:t>成本法</w:t>
            </w:r>
          </w:p>
        </w:tc>
        <w:tc>
          <w:tcPr>
            <w:tcW w:w="1676" w:type="pct"/>
            <w:vAlign w:val="center"/>
          </w:tcPr>
          <w:p>
            <w:pPr>
              <w:spacing w:line="240" w:lineRule="atLeast"/>
              <w:jc w:val="center"/>
              <w:rPr>
                <w:rFonts w:eastAsia="仿宋_GB2312"/>
              </w:rPr>
            </w:pPr>
            <w:r>
              <w:rPr>
                <w:rFonts w:eastAsia="仿宋_GB2312"/>
              </w:rPr>
              <w:t>测算估价对象在价值时点的重置成本或重建成本和折旧，将重置成本或重建成本减去折旧得到估价对象价值或价格的方法。</w:t>
            </w:r>
          </w:p>
        </w:tc>
        <w:tc>
          <w:tcPr>
            <w:tcW w:w="1687" w:type="pct"/>
            <w:vAlign w:val="center"/>
          </w:tcPr>
          <w:p>
            <w:pPr>
              <w:spacing w:line="240" w:lineRule="atLeast"/>
              <w:ind w:firstLine="200" w:firstLineChars="100"/>
              <w:jc w:val="center"/>
              <w:rPr>
                <w:rFonts w:eastAsia="仿宋_GB2312"/>
              </w:rPr>
            </w:pPr>
            <w:r>
              <w:rPr>
                <w:rFonts w:eastAsia="仿宋_GB2312"/>
              </w:rPr>
              <w:t>运用成本法测算的结果不能较好反映估价对象市场价值，故不选取成本法进行评估。</w:t>
            </w:r>
          </w:p>
        </w:tc>
        <w:tc>
          <w:tcPr>
            <w:tcW w:w="569" w:type="pct"/>
            <w:vAlign w:val="center"/>
          </w:tcPr>
          <w:p>
            <w:pPr>
              <w:spacing w:line="240" w:lineRule="atLeast"/>
              <w:jc w:val="center"/>
              <w:rPr>
                <w:rFonts w:eastAsia="仿宋_GB2312"/>
                <w:bCs/>
              </w:rPr>
            </w:pPr>
            <w:r>
              <w:rPr>
                <w:rFonts w:eastAsia="仿宋_GB2312"/>
                <w:bCs/>
              </w:rPr>
              <w:t>不选取</w:t>
            </w:r>
          </w:p>
        </w:tc>
        <w:tc>
          <w:tcPr>
            <w:tcW w:w="569" w:type="pct"/>
            <w:vAlign w:val="center"/>
          </w:tcPr>
          <w:p>
            <w:pPr>
              <w:spacing w:line="240" w:lineRule="atLeast"/>
              <w:jc w:val="center"/>
              <w:rPr>
                <w:rFonts w:eastAsia="仿宋_GB2312"/>
                <w:bCs/>
              </w:rPr>
            </w:pPr>
          </w:p>
        </w:tc>
      </w:tr>
    </w:tbl>
    <w:p>
      <w:pPr>
        <w:snapToGrid w:val="0"/>
        <w:spacing w:beforeLines="50" w:line="360" w:lineRule="auto"/>
        <w:ind w:firstLine="567"/>
        <w:rPr>
          <w:rFonts w:eastAsia="仿宋_GB2312"/>
          <w:b/>
          <w:sz w:val="28"/>
          <w:szCs w:val="28"/>
        </w:rPr>
      </w:pPr>
      <w:r>
        <w:rPr>
          <w:rFonts w:eastAsia="仿宋_GB2312"/>
          <w:b/>
          <w:sz w:val="28"/>
          <w:szCs w:val="28"/>
        </w:rPr>
        <w:t>2.本次选用估价方法定义及基本公式</w:t>
      </w:r>
    </w:p>
    <w:p>
      <w:pPr>
        <w:adjustRightInd w:val="0"/>
        <w:snapToGrid w:val="0"/>
        <w:spacing w:line="480" w:lineRule="exact"/>
        <w:ind w:firstLine="584"/>
        <w:rPr>
          <w:rFonts w:eastAsia="仿宋_GB2312"/>
          <w:b/>
          <w:sz w:val="28"/>
        </w:rPr>
      </w:pPr>
      <w:bookmarkStart w:id="88" w:name="_Toc382493629"/>
      <w:r>
        <w:rPr>
          <w:rFonts w:eastAsia="仿宋_GB2312"/>
          <w:b/>
          <w:sz w:val="28"/>
        </w:rPr>
        <w:t>（1）比较法</w:t>
      </w:r>
    </w:p>
    <w:p>
      <w:pPr>
        <w:snapToGrid w:val="0"/>
        <w:spacing w:line="480" w:lineRule="exact"/>
        <w:ind w:firstLine="560" w:firstLineChars="200"/>
        <w:rPr>
          <w:rFonts w:eastAsia="仿宋_GB2312"/>
          <w:sz w:val="28"/>
        </w:rPr>
      </w:pPr>
      <w:r>
        <w:rPr>
          <w:rFonts w:eastAsia="仿宋_GB2312"/>
          <w:sz w:val="28"/>
        </w:rPr>
        <w:t>比较法是选取一定数量的可比实例，将它们与估价对象进行比较，根据其间的差异对可比实例成交价格进行处理后得到估价对象价值或价格的方法。</w:t>
      </w:r>
    </w:p>
    <w:p>
      <w:pPr>
        <w:snapToGrid w:val="0"/>
        <w:spacing w:line="480" w:lineRule="exact"/>
        <w:ind w:firstLine="537" w:firstLineChars="192"/>
        <w:rPr>
          <w:rFonts w:eastAsia="仿宋_GB2312"/>
          <w:sz w:val="28"/>
        </w:rPr>
      </w:pPr>
      <w:r>
        <w:rPr>
          <w:rFonts w:eastAsia="仿宋_GB2312"/>
          <w:sz w:val="28"/>
        </w:rPr>
        <w:t>运用比较法求取估价对象的比较价值，基本公式如下：</w:t>
      </w:r>
    </w:p>
    <w:p>
      <w:pPr>
        <w:adjustRightInd w:val="0"/>
        <w:snapToGrid w:val="0"/>
        <w:spacing w:line="480" w:lineRule="exact"/>
        <w:ind w:firstLine="584"/>
        <w:rPr>
          <w:rFonts w:eastAsia="仿宋_GB2312"/>
          <w:sz w:val="28"/>
        </w:rPr>
      </w:pPr>
      <w:r>
        <w:rPr>
          <w:rFonts w:eastAsia="仿宋_GB2312"/>
          <w:sz w:val="28"/>
        </w:rPr>
        <w:t>比较价值＝可比实例成交价格×交易情况修正系数×市场状况调整系数×房地产状况调整系数</w:t>
      </w:r>
    </w:p>
    <w:p>
      <w:pPr>
        <w:pStyle w:val="3"/>
        <w:widowControl w:val="0"/>
        <w:numPr>
          <w:ilvl w:val="1"/>
          <w:numId w:val="2"/>
        </w:numPr>
        <w:snapToGrid w:val="0"/>
        <w:spacing w:before="120" w:after="0" w:line="360" w:lineRule="auto"/>
        <w:ind w:left="567" w:hanging="6"/>
        <w:rPr>
          <w:rFonts w:ascii="Times New Roman" w:hAnsi="Times New Roman" w:eastAsia="仿宋_GB2312"/>
          <w:sz w:val="28"/>
          <w:szCs w:val="28"/>
        </w:rPr>
      </w:pPr>
      <w:bookmarkStart w:id="89" w:name="_Toc530993664"/>
      <w:r>
        <w:rPr>
          <w:rFonts w:ascii="Times New Roman" w:hAnsi="Times New Roman" w:eastAsia="仿宋_GB2312"/>
          <w:sz w:val="28"/>
          <w:szCs w:val="28"/>
        </w:rPr>
        <w:t>估价结果</w:t>
      </w:r>
      <w:bookmarkEnd w:id="87"/>
      <w:bookmarkEnd w:id="88"/>
      <w:bookmarkEnd w:id="89"/>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90" w:name="_Toc288212027"/>
      <w:bookmarkStart w:id="91" w:name="_Toc289260258"/>
      <w:r>
        <w:rPr>
          <w:rFonts w:ascii="Times New Roman" w:hAnsi="Times New Roman" w:eastAsia="仿宋_GB2312"/>
          <w:sz w:val="28"/>
          <w:szCs w:val="28"/>
        </w:rPr>
        <w:instrText xml:space="preserve">10、估价结果</w:instrText>
      </w:r>
      <w:bookmarkEnd w:id="90"/>
      <w:bookmarkEnd w:id="91"/>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snapToGrid w:val="0"/>
        <w:spacing w:line="480" w:lineRule="exact"/>
        <w:ind w:firstLine="560" w:firstLineChars="200"/>
        <w:jc w:val="both"/>
        <w:rPr>
          <w:rFonts w:eastAsia="仿宋_GB2312"/>
          <w:sz w:val="28"/>
          <w:szCs w:val="28"/>
        </w:rPr>
      </w:pPr>
      <w:bookmarkStart w:id="92" w:name="_Toc155258973"/>
      <w:r>
        <w:rPr>
          <w:rFonts w:eastAsia="仿宋_GB2312"/>
          <w:sz w:val="28"/>
          <w:szCs w:val="28"/>
        </w:rPr>
        <w:t>估价人员遵循各项估价原则，根据估价目的和国家有关房地产估价的规范、规定，按照估价程序，经过实地查勘与市场调查，选取比较法对估价对象进行了测算，确定估价对象在满足全部假设和限制条件下于价值时点2022年08月09日的估价结果如下：（币种：人民币）</w:t>
      </w:r>
    </w:p>
    <w:p>
      <w:pPr>
        <w:snapToGrid w:val="0"/>
        <w:spacing w:line="480" w:lineRule="exact"/>
        <w:ind w:firstLine="551" w:firstLineChars="196"/>
        <w:jc w:val="both"/>
        <w:rPr>
          <w:rFonts w:eastAsia="仿宋_GB2312"/>
          <w:b/>
          <w:kern w:val="2"/>
          <w:sz w:val="28"/>
          <w:szCs w:val="28"/>
        </w:rPr>
      </w:pPr>
      <w:r>
        <w:rPr>
          <w:rFonts w:hint="eastAsia" w:eastAsia="仿宋_GB2312"/>
          <w:b/>
          <w:kern w:val="2"/>
          <w:sz w:val="28"/>
          <w:szCs w:val="28"/>
        </w:rPr>
        <w:t>车位价值总价：95万元，大写金额：玖拾伍万元整</w:t>
      </w:r>
    </w:p>
    <w:p>
      <w:pPr>
        <w:snapToGrid w:val="0"/>
        <w:spacing w:line="480" w:lineRule="exact"/>
        <w:ind w:firstLine="551" w:firstLineChars="196"/>
        <w:jc w:val="both"/>
        <w:rPr>
          <w:rFonts w:eastAsia="仿宋_GB2312"/>
          <w:b/>
          <w:kern w:val="2"/>
          <w:sz w:val="28"/>
          <w:szCs w:val="28"/>
        </w:rPr>
      </w:pP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93" w:name="_Toc530993665"/>
      <w:r>
        <w:rPr>
          <w:rFonts w:ascii="Times New Roman" w:hAnsi="Times New Roman" w:eastAsia="仿宋_GB2312"/>
          <w:sz w:val="28"/>
          <w:szCs w:val="28"/>
        </w:rPr>
        <w:t>注册房地产估价师</w:t>
      </w:r>
      <w:bookmarkEnd w:id="93"/>
    </w:p>
    <w:p>
      <w:pPr>
        <w:adjustRightInd w:val="0"/>
        <w:snapToGrid w:val="0"/>
        <w:spacing w:line="360" w:lineRule="auto"/>
        <w:ind w:firstLine="560" w:firstLineChars="200"/>
        <w:rPr>
          <w:rFonts w:eastAsia="仿宋_GB2312"/>
          <w:sz w:val="28"/>
          <w:szCs w:val="28"/>
        </w:rPr>
      </w:pPr>
      <w:r>
        <w:rPr>
          <w:rFonts w:eastAsia="仿宋_GB2312"/>
          <w:sz w:val="28"/>
          <w:szCs w:val="28"/>
        </w:rPr>
        <w:t>参加本次估价的注册房地产估价师为</w:t>
      </w:r>
      <w:r>
        <w:rPr>
          <w:rFonts w:eastAsia="仿宋_GB2312"/>
          <w:sz w:val="26"/>
          <w:szCs w:val="26"/>
        </w:rPr>
        <w:t>：</w:t>
      </w:r>
    </w:p>
    <w:tbl>
      <w:tblPr>
        <w:tblStyle w:val="4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590"/>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tabs>
                <w:tab w:val="left" w:pos="735"/>
              </w:tabs>
              <w:overflowPunct w:val="0"/>
              <w:spacing w:line="312" w:lineRule="auto"/>
              <w:jc w:val="center"/>
              <w:rPr>
                <w:rFonts w:eastAsia="仿宋_GB2312"/>
                <w:sz w:val="28"/>
              </w:rPr>
            </w:pPr>
            <w:r>
              <w:rPr>
                <w:rFonts w:eastAsia="仿宋_GB2312"/>
                <w:sz w:val="28"/>
              </w:rPr>
              <w:t>姓名</w:t>
            </w:r>
          </w:p>
        </w:tc>
        <w:tc>
          <w:tcPr>
            <w:tcW w:w="2590" w:type="dxa"/>
            <w:vAlign w:val="center"/>
          </w:tcPr>
          <w:p>
            <w:pPr>
              <w:tabs>
                <w:tab w:val="left" w:pos="735"/>
              </w:tabs>
              <w:wordWrap w:val="0"/>
              <w:overflowPunct w:val="0"/>
              <w:spacing w:line="312" w:lineRule="auto"/>
              <w:jc w:val="center"/>
              <w:rPr>
                <w:rFonts w:eastAsia="仿宋_GB2312"/>
                <w:sz w:val="28"/>
              </w:rPr>
            </w:pPr>
            <w:r>
              <w:rPr>
                <w:rFonts w:eastAsia="仿宋_GB2312"/>
                <w:sz w:val="28"/>
              </w:rPr>
              <w:t>注册号</w:t>
            </w:r>
          </w:p>
        </w:tc>
        <w:tc>
          <w:tcPr>
            <w:tcW w:w="2185" w:type="dxa"/>
            <w:vAlign w:val="center"/>
          </w:tcPr>
          <w:p>
            <w:pPr>
              <w:tabs>
                <w:tab w:val="left" w:pos="735"/>
              </w:tabs>
              <w:wordWrap w:val="0"/>
              <w:overflowPunct w:val="0"/>
              <w:spacing w:line="312" w:lineRule="auto"/>
              <w:jc w:val="center"/>
              <w:rPr>
                <w:rFonts w:eastAsia="仿宋_GB2312"/>
                <w:sz w:val="28"/>
              </w:rPr>
            </w:pPr>
            <w:r>
              <w:rPr>
                <w:rFonts w:eastAsia="仿宋_GB2312"/>
                <w:sz w:val="28"/>
              </w:rPr>
              <w:t>签名</w:t>
            </w:r>
          </w:p>
        </w:tc>
        <w:tc>
          <w:tcPr>
            <w:tcW w:w="2177" w:type="dxa"/>
            <w:vAlign w:val="center"/>
          </w:tcPr>
          <w:p>
            <w:pPr>
              <w:tabs>
                <w:tab w:val="left" w:pos="735"/>
              </w:tabs>
              <w:wordWrap w:val="0"/>
              <w:overflowPunct w:val="0"/>
              <w:spacing w:line="312" w:lineRule="auto"/>
              <w:jc w:val="center"/>
              <w:rPr>
                <w:rFonts w:eastAsia="仿宋_GB2312"/>
                <w:sz w:val="28"/>
              </w:rPr>
            </w:pPr>
            <w:r>
              <w:rPr>
                <w:rFonts w:eastAsia="仿宋_GB2312"/>
                <w:sz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tabs>
                <w:tab w:val="left" w:pos="735"/>
              </w:tabs>
              <w:wordWrap w:val="0"/>
              <w:overflowPunct w:val="0"/>
              <w:spacing w:line="312" w:lineRule="auto"/>
              <w:jc w:val="center"/>
              <w:rPr>
                <w:rFonts w:eastAsia="仿宋"/>
                <w:sz w:val="28"/>
              </w:rPr>
            </w:pPr>
            <w:r>
              <w:rPr>
                <w:rFonts w:hint="eastAsia" w:eastAsia="仿宋"/>
                <w:sz w:val="28"/>
              </w:rPr>
              <w:t>李立令</w:t>
            </w:r>
          </w:p>
        </w:tc>
        <w:tc>
          <w:tcPr>
            <w:tcW w:w="2590" w:type="dxa"/>
            <w:vAlign w:val="center"/>
          </w:tcPr>
          <w:p>
            <w:pPr>
              <w:tabs>
                <w:tab w:val="left" w:pos="735"/>
              </w:tabs>
              <w:wordWrap w:val="0"/>
              <w:overflowPunct w:val="0"/>
              <w:spacing w:line="312" w:lineRule="auto"/>
              <w:jc w:val="center"/>
              <w:rPr>
                <w:rFonts w:eastAsia="仿宋"/>
                <w:sz w:val="28"/>
              </w:rPr>
            </w:pPr>
            <w:r>
              <w:rPr>
                <w:rFonts w:eastAsia="仿宋"/>
                <w:sz w:val="28"/>
              </w:rPr>
              <w:t>3220170276</w:t>
            </w:r>
          </w:p>
        </w:tc>
        <w:tc>
          <w:tcPr>
            <w:tcW w:w="2185" w:type="dxa"/>
            <w:vAlign w:val="center"/>
          </w:tcPr>
          <w:p>
            <w:pPr>
              <w:tabs>
                <w:tab w:val="left" w:pos="735"/>
              </w:tabs>
              <w:wordWrap w:val="0"/>
              <w:overflowPunct w:val="0"/>
              <w:spacing w:line="312" w:lineRule="auto"/>
              <w:jc w:val="center"/>
              <w:rPr>
                <w:rFonts w:eastAsia="仿宋"/>
              </w:rPr>
            </w:pPr>
          </w:p>
        </w:tc>
        <w:tc>
          <w:tcPr>
            <w:tcW w:w="2177" w:type="dxa"/>
          </w:tcPr>
          <w:p>
            <w:pPr>
              <w:tabs>
                <w:tab w:val="left" w:pos="735"/>
              </w:tabs>
              <w:wordWrap w:val="0"/>
              <w:overflowPunct w:val="0"/>
              <w:spacing w:line="312" w:lineRule="auto"/>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tabs>
                <w:tab w:val="left" w:pos="735"/>
              </w:tabs>
              <w:overflowPunct w:val="0"/>
              <w:spacing w:line="312" w:lineRule="auto"/>
              <w:jc w:val="center"/>
              <w:rPr>
                <w:rFonts w:eastAsia="仿宋"/>
                <w:sz w:val="28"/>
              </w:rPr>
            </w:pPr>
            <w:r>
              <w:rPr>
                <w:rFonts w:hint="eastAsia" w:eastAsia="仿宋"/>
                <w:sz w:val="28"/>
              </w:rPr>
              <w:t>赵倩</w:t>
            </w:r>
          </w:p>
        </w:tc>
        <w:tc>
          <w:tcPr>
            <w:tcW w:w="2590" w:type="dxa"/>
            <w:vAlign w:val="center"/>
          </w:tcPr>
          <w:p>
            <w:pPr>
              <w:tabs>
                <w:tab w:val="left" w:pos="735"/>
              </w:tabs>
              <w:wordWrap w:val="0"/>
              <w:overflowPunct w:val="0"/>
              <w:spacing w:line="312" w:lineRule="auto"/>
              <w:jc w:val="center"/>
              <w:rPr>
                <w:rFonts w:eastAsia="仿宋"/>
                <w:sz w:val="28"/>
              </w:rPr>
            </w:pPr>
            <w:r>
              <w:rPr>
                <w:rFonts w:eastAsia="仿宋"/>
                <w:sz w:val="28"/>
              </w:rPr>
              <w:t>3220140172</w:t>
            </w:r>
          </w:p>
        </w:tc>
        <w:tc>
          <w:tcPr>
            <w:tcW w:w="2185" w:type="dxa"/>
            <w:vAlign w:val="center"/>
          </w:tcPr>
          <w:p>
            <w:pPr>
              <w:tabs>
                <w:tab w:val="left" w:pos="735"/>
              </w:tabs>
              <w:wordWrap w:val="0"/>
              <w:overflowPunct w:val="0"/>
              <w:spacing w:line="312" w:lineRule="auto"/>
              <w:jc w:val="center"/>
              <w:rPr>
                <w:rFonts w:eastAsia="仿宋"/>
              </w:rPr>
            </w:pPr>
          </w:p>
        </w:tc>
        <w:tc>
          <w:tcPr>
            <w:tcW w:w="2177" w:type="dxa"/>
          </w:tcPr>
          <w:p>
            <w:pPr>
              <w:tabs>
                <w:tab w:val="left" w:pos="735"/>
              </w:tabs>
              <w:wordWrap w:val="0"/>
              <w:overflowPunct w:val="0"/>
              <w:spacing w:line="312" w:lineRule="auto"/>
              <w:jc w:val="center"/>
              <w:rPr>
                <w:rFonts w:eastAsia="仿宋"/>
              </w:rPr>
            </w:pPr>
          </w:p>
        </w:tc>
      </w:tr>
    </w:tbl>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94" w:name="_Toc155258974"/>
      <w:bookmarkStart w:id="95" w:name="_Toc382493631"/>
      <w:bookmarkStart w:id="96" w:name="_Toc530993666"/>
      <w:r>
        <w:rPr>
          <w:rFonts w:ascii="Times New Roman" w:hAnsi="Times New Roman" w:eastAsia="仿宋_GB2312"/>
          <w:sz w:val="28"/>
          <w:szCs w:val="28"/>
        </w:rPr>
        <w:t>实地查勘期</w:t>
      </w:r>
      <w:bookmarkEnd w:id="94"/>
      <w:bookmarkEnd w:id="95"/>
      <w:bookmarkEnd w:id="96"/>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TC "</w:instrText>
      </w:r>
      <w:bookmarkStart w:id="97" w:name="_Toc289260260"/>
      <w:bookmarkStart w:id="98" w:name="_Toc288212029"/>
      <w:r>
        <w:rPr>
          <w:rFonts w:ascii="Times New Roman" w:hAnsi="Times New Roman" w:eastAsia="仿宋_GB2312"/>
          <w:sz w:val="28"/>
          <w:szCs w:val="28"/>
        </w:rPr>
        <w:instrText xml:space="preserve">12、估价作业日期</w:instrText>
      </w:r>
      <w:bookmarkEnd w:id="97"/>
      <w:bookmarkEnd w:id="98"/>
      <w:r>
        <w:rPr>
          <w:rFonts w:ascii="Times New Roman" w:hAnsi="Times New Roman" w:eastAsia="仿宋_GB2312"/>
          <w:sz w:val="28"/>
          <w:szCs w:val="28"/>
        </w:rPr>
        <w:instrText xml:space="preserve">" \f C \l "2"</w:instrText>
      </w:r>
      <w:r>
        <w:rPr>
          <w:rFonts w:ascii="Times New Roman" w:hAnsi="Times New Roman" w:eastAsia="仿宋_GB2312"/>
          <w:sz w:val="28"/>
          <w:szCs w:val="28"/>
        </w:rPr>
        <w:fldChar w:fldCharType="end"/>
      </w:r>
    </w:p>
    <w:p>
      <w:pPr>
        <w:pStyle w:val="26"/>
        <w:spacing w:line="360" w:lineRule="auto"/>
        <w:ind w:firstLine="700" w:firstLineChars="250"/>
        <w:rPr>
          <w:rFonts w:eastAsia="仿宋_GB2312"/>
          <w:szCs w:val="28"/>
        </w:rPr>
      </w:pPr>
      <w:r>
        <w:rPr>
          <w:rFonts w:eastAsia="仿宋_GB2312"/>
          <w:szCs w:val="28"/>
        </w:rPr>
        <w:t>2022年08月09日至2022年08月09日</w:t>
      </w:r>
    </w:p>
    <w:p>
      <w:pPr>
        <w:pStyle w:val="3"/>
        <w:widowControl w:val="0"/>
        <w:numPr>
          <w:ilvl w:val="1"/>
          <w:numId w:val="2"/>
        </w:numPr>
        <w:snapToGrid w:val="0"/>
        <w:spacing w:before="240" w:after="120" w:line="360" w:lineRule="auto"/>
        <w:ind w:left="567" w:hanging="6"/>
        <w:rPr>
          <w:rFonts w:ascii="Times New Roman" w:hAnsi="Times New Roman" w:eastAsia="仿宋_GB2312"/>
          <w:sz w:val="28"/>
          <w:szCs w:val="28"/>
        </w:rPr>
      </w:pPr>
      <w:bookmarkStart w:id="99" w:name="_Toc382493632"/>
      <w:bookmarkStart w:id="100" w:name="_Toc530993667"/>
      <w:r>
        <w:rPr>
          <w:rFonts w:ascii="Times New Roman" w:hAnsi="Times New Roman" w:eastAsia="仿宋_GB2312"/>
          <w:sz w:val="28"/>
          <w:szCs w:val="28"/>
        </w:rPr>
        <w:t>估价作业期</w:t>
      </w:r>
      <w:bookmarkEnd w:id="99"/>
      <w:bookmarkEnd w:id="100"/>
    </w:p>
    <w:p>
      <w:pPr>
        <w:pStyle w:val="26"/>
        <w:spacing w:line="360" w:lineRule="auto"/>
        <w:ind w:firstLine="700" w:firstLineChars="250"/>
        <w:rPr>
          <w:rFonts w:eastAsia="仿宋_GB2312"/>
          <w:szCs w:val="28"/>
        </w:rPr>
      </w:pPr>
      <w:r>
        <w:rPr>
          <w:rFonts w:eastAsia="仿宋_GB2312"/>
          <w:szCs w:val="28"/>
        </w:rPr>
        <w:t>2022年08月09日至2022年08月18日</w:t>
      </w:r>
      <w:bookmarkEnd w:id="92"/>
      <w:bookmarkStart w:id="101" w:name="_Toc382493637"/>
    </w:p>
    <w:p>
      <w:pPr>
        <w:pStyle w:val="26"/>
        <w:spacing w:line="360" w:lineRule="auto"/>
        <w:ind w:firstLine="900" w:firstLineChars="250"/>
        <w:jc w:val="center"/>
        <w:rPr>
          <w:rFonts w:eastAsia="仿宋_GB2312"/>
          <w:snapToGrid w:val="0"/>
          <w:kern w:val="0"/>
          <w:sz w:val="36"/>
          <w:szCs w:val="36"/>
        </w:rPr>
      </w:pPr>
      <w:r>
        <w:rPr>
          <w:rFonts w:eastAsia="仿宋_GB2312"/>
          <w:snapToGrid w:val="0"/>
          <w:kern w:val="0"/>
          <w:sz w:val="36"/>
          <w:szCs w:val="36"/>
        </w:rPr>
        <w:br w:type="page"/>
      </w:r>
      <w:bookmarkStart w:id="102" w:name="_Toc530993668"/>
      <w:r>
        <w:rPr>
          <w:rFonts w:eastAsia="仿宋_GB2312"/>
          <w:b/>
          <w:snapToGrid w:val="0"/>
          <w:kern w:val="0"/>
          <w:sz w:val="36"/>
          <w:szCs w:val="36"/>
        </w:rPr>
        <w:t>附件</w:t>
      </w:r>
      <w:bookmarkEnd w:id="101"/>
      <w:bookmarkEnd w:id="102"/>
    </w:p>
    <w:p>
      <w:pPr>
        <w:pStyle w:val="3"/>
        <w:widowControl w:val="0"/>
        <w:jc w:val="both"/>
        <w:rPr>
          <w:rFonts w:ascii="Times New Roman" w:hAnsi="Times New Roman" w:eastAsia="仿宋_GB2312"/>
          <w:b w:val="0"/>
          <w:kern w:val="2"/>
          <w:sz w:val="28"/>
          <w:szCs w:val="28"/>
        </w:rPr>
      </w:pPr>
      <w:bookmarkStart w:id="103" w:name="_Toc516340948"/>
      <w:bookmarkStart w:id="104" w:name="_Toc470535427"/>
      <w:bookmarkStart w:id="105" w:name="_Toc530993669"/>
      <w:r>
        <w:rPr>
          <w:rFonts w:hint="eastAsia" w:ascii="Times New Roman" w:hAnsi="Times New Roman" w:eastAsia="仿宋_GB2312"/>
          <w:b w:val="0"/>
          <w:kern w:val="2"/>
          <w:sz w:val="28"/>
          <w:szCs w:val="28"/>
        </w:rPr>
        <w:t>1、估价对象实地查勘情况和相关照片；</w:t>
      </w:r>
      <w:bookmarkEnd w:id="103"/>
      <w:bookmarkEnd w:id="104"/>
      <w:bookmarkEnd w:id="105"/>
    </w:p>
    <w:p>
      <w:pPr>
        <w:pStyle w:val="3"/>
        <w:widowControl w:val="0"/>
        <w:jc w:val="both"/>
        <w:rPr>
          <w:rFonts w:ascii="Times New Roman" w:hAnsi="Times New Roman" w:eastAsia="仿宋_GB2312"/>
          <w:b w:val="0"/>
          <w:kern w:val="2"/>
          <w:sz w:val="28"/>
          <w:szCs w:val="28"/>
        </w:rPr>
      </w:pPr>
      <w:bookmarkStart w:id="106" w:name="_Toc516340949"/>
      <w:bookmarkStart w:id="107" w:name="_Toc470535428"/>
      <w:bookmarkStart w:id="108" w:name="_Toc530993670"/>
      <w:r>
        <w:rPr>
          <w:rFonts w:hint="eastAsia" w:ascii="Times New Roman" w:hAnsi="Times New Roman" w:eastAsia="仿宋_GB2312"/>
          <w:b w:val="0"/>
          <w:kern w:val="2"/>
          <w:sz w:val="28"/>
          <w:szCs w:val="28"/>
        </w:rPr>
        <w:t>2、估价对象权属证明复印件；</w:t>
      </w:r>
      <w:bookmarkEnd w:id="106"/>
      <w:bookmarkEnd w:id="107"/>
      <w:bookmarkEnd w:id="108"/>
    </w:p>
    <w:p>
      <w:pPr>
        <w:pStyle w:val="3"/>
        <w:widowControl w:val="0"/>
        <w:jc w:val="both"/>
        <w:rPr>
          <w:rFonts w:ascii="Times New Roman" w:hAnsi="Times New Roman" w:eastAsia="仿宋_GB2312"/>
          <w:b w:val="0"/>
          <w:kern w:val="2"/>
          <w:sz w:val="28"/>
          <w:szCs w:val="28"/>
        </w:rPr>
      </w:pPr>
      <w:bookmarkStart w:id="109" w:name="_Toc530993671"/>
      <w:bookmarkStart w:id="110" w:name="_Toc470535433"/>
      <w:bookmarkStart w:id="111" w:name="_Toc516340954"/>
      <w:r>
        <w:rPr>
          <w:rFonts w:hint="eastAsia" w:ascii="Times New Roman" w:hAnsi="Times New Roman" w:eastAsia="仿宋_GB2312"/>
          <w:b w:val="0"/>
          <w:kern w:val="2"/>
          <w:sz w:val="28"/>
          <w:szCs w:val="28"/>
        </w:rPr>
        <w:t>3、房地产估价机构营业执照复印件；</w:t>
      </w:r>
      <w:bookmarkEnd w:id="109"/>
    </w:p>
    <w:p>
      <w:pPr>
        <w:pStyle w:val="3"/>
        <w:widowControl w:val="0"/>
        <w:jc w:val="both"/>
        <w:rPr>
          <w:rFonts w:ascii="Times New Roman" w:hAnsi="Times New Roman" w:eastAsia="仿宋_GB2312"/>
          <w:b w:val="0"/>
          <w:kern w:val="2"/>
          <w:sz w:val="28"/>
          <w:szCs w:val="28"/>
        </w:rPr>
      </w:pPr>
      <w:bookmarkStart w:id="112" w:name="_Toc530993672"/>
      <w:r>
        <w:rPr>
          <w:rFonts w:hint="eastAsia" w:ascii="Times New Roman" w:hAnsi="Times New Roman" w:eastAsia="仿宋_GB2312"/>
          <w:b w:val="0"/>
          <w:kern w:val="2"/>
          <w:sz w:val="28"/>
          <w:szCs w:val="28"/>
        </w:rPr>
        <w:t>4、房地产估价机构资质证书复印件；</w:t>
      </w:r>
      <w:bookmarkEnd w:id="110"/>
      <w:bookmarkEnd w:id="111"/>
      <w:bookmarkEnd w:id="112"/>
    </w:p>
    <w:p>
      <w:pPr>
        <w:pStyle w:val="3"/>
        <w:widowControl w:val="0"/>
        <w:jc w:val="both"/>
        <w:rPr>
          <w:rFonts w:ascii="Times New Roman" w:hAnsi="Times New Roman" w:eastAsia="仿宋_GB2312"/>
          <w:b w:val="0"/>
          <w:kern w:val="2"/>
          <w:sz w:val="28"/>
          <w:szCs w:val="28"/>
        </w:rPr>
      </w:pPr>
      <w:bookmarkStart w:id="113" w:name="_Toc516340955"/>
      <w:bookmarkStart w:id="114" w:name="_Toc470535434"/>
      <w:bookmarkStart w:id="115" w:name="_Toc530993673"/>
      <w:r>
        <w:rPr>
          <w:rFonts w:hint="eastAsia" w:ascii="Times New Roman" w:hAnsi="Times New Roman" w:eastAsia="仿宋_GB2312"/>
          <w:b w:val="0"/>
          <w:kern w:val="2"/>
          <w:sz w:val="28"/>
          <w:szCs w:val="28"/>
        </w:rPr>
        <w:t>5、注册房地产估价师注册证书复印件。</w:t>
      </w:r>
      <w:bookmarkEnd w:id="113"/>
      <w:bookmarkEnd w:id="114"/>
      <w:bookmarkEnd w:id="115"/>
    </w:p>
    <w:p>
      <w:pPr>
        <w:snapToGrid w:val="0"/>
        <w:spacing w:line="480" w:lineRule="exact"/>
        <w:ind w:firstLine="562" w:firstLineChars="200"/>
        <w:jc w:val="both"/>
        <w:rPr>
          <w:rFonts w:eastAsia="仿宋_GB2312"/>
          <w:b/>
          <w:kern w:val="2"/>
          <w:sz w:val="28"/>
          <w:szCs w:val="28"/>
        </w:rPr>
      </w:pPr>
    </w:p>
    <w:sectPr>
      <w:headerReference r:id="rId10" w:type="default"/>
      <w:footerReference r:id="rId11" w:type="default"/>
      <w:pgSz w:w="11907" w:h="16840"/>
      <w:pgMar w:top="1814" w:right="1587" w:bottom="1701" w:left="1814" w:header="1417"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Lines="50"/>
      <w:rPr>
        <w:szCs w:val="18"/>
      </w:rPr>
    </w:pPr>
    <w:r>
      <w:rPr>
        <w:szCs w:val="1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57150</wp:posOffset>
              </wp:positionV>
              <wp:extent cx="5413375" cy="0"/>
              <wp:effectExtent l="0" t="0" r="0" b="0"/>
              <wp:wrapNone/>
              <wp:docPr id="8" name="自选图形 2"/>
              <wp:cNvGraphicFramePr/>
              <a:graphic xmlns:a="http://schemas.openxmlformats.org/drawingml/2006/main">
                <a:graphicData uri="http://schemas.microsoft.com/office/word/2010/wordprocessingShape">
                  <wps:wsp>
                    <wps:cNvCnPr/>
                    <wps:spPr>
                      <a:xfrm>
                        <a:off x="0" y="0"/>
                        <a:ext cx="5413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4pt;margin-top:4.5pt;height:0pt;width:426.25pt;z-index:251664384;mso-width-relative:page;mso-height-relative:page;" filled="f" stroked="t" coordsize="21600,21600" o:gfxdata="UEsDBAoAAAAAAIdO4kAAAAAAAAAAAAAAAAAEAAAAZHJzL1BLAwQUAAAACACHTuJA3CfPKNMAAAAF&#10;AQAADwAAAGRycy9kb3ducmV2LnhtbE2PwU7DMBBE70j8g7VIXBC1U6nQhmwqhMSBI20lrtt4SQLx&#10;OoqdpvTrcbnQ42hGM2+K9dF16sBDaL0gZDMDiqXytpUaYbd9vV+CCpHEUueFEX44wLq8vioot36S&#10;dz5sYq1SiYScEJoY+1zrUDXsKMx8z5K8Tz84ikkOtbYDTancdXpuzIN21EpaaKjnl4ar783oEDiM&#10;i8w8r1y9eztNdx/z09fUbxFvbzLzBCryMf6H4Yyf0KFMTHs/ig2qQziDR4RVOpTc5SJ7BLX/07os&#10;9CV9+QtQSwMEFAAAAAgAh07iQIur6Pf0AQAA4wMAAA4AAABkcnMvZTJvRG9jLnhtbK1TS44TMRDd&#10;I3EHy3vSSYbwidKZRcKwQRAJOEDFdndb8k8uTzrZsUOcgR1L7sDcZiS4BWV3JgPDJgt64S7bVa/q&#10;vSovLvfWsJ2KqL2r+WQ05kw54aV2bc0/frh68oIzTOAkGO9UzQ8K+eXy8aNFH+Zq6jtvpIqMQBzO&#10;+1DzLqUwryoUnbKAIx+Uo8vGRwuJtrGtZISe0K2ppuPxs6r3UYbohUKk0/VwyY+I8RxA3zRaqLUX&#10;11a5NKBGZSARJex0QL4s1TaNEuld06BKzNScmKayUhKyt3mtlguYtxFCp8WxBDinhAecLGhHSU9Q&#10;a0jArqP+B8pqET36Jo2Et9VApChCLCbjB9q87yCowoWkxnASHf8frHi720SmZc2p7Q4sNfzn5++/&#10;Pn25/Xpz++Mbm2aF+oBzcly5TTzuMGxiprtvos1/IsL2RdXDSVW1T0zQ4ezp5OLi+YwzcXdX3QeG&#10;iOm18pZlo+aYIui2SyvvHPXOx0lRFXZvMFFqCrwLyFmNY33NX86mGRxoFhuaATJtID7o2hKL3mh5&#10;pY3JERjb7cpEtoM8D+XLBAn3L7ecZA3YDX7lapiUToF85SRLh0BKOXogPJdgleTMKHpP2SJAmCfQ&#10;5hxPSm0cVZA1HlTN1tbLQxG7nFPvS43HOc3D9ee+RN+/z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CfPKNMAAAAFAQAADwAAAAAAAAABACAAAAAiAAAAZHJzL2Rvd25yZXYueG1sUEsBAhQAFAAA&#10;AAgAh07iQIur6Pf0AQAA4wMAAA4AAAAAAAAAAQAgAAAAIgEAAGRycy9lMm9Eb2MueG1sUEsFBgAA&#10;AAAGAAYAWQEAAIgFAAAAAA==&#10;">
              <v:fill on="f" focussize="0,0"/>
              <v:stroke color="#000000" joinstyle="round"/>
              <v:imagedata o:title=""/>
              <o:lock v:ext="edit" aspectratio="f"/>
            </v:shape>
          </w:pict>
        </mc:Fallback>
      </mc:AlternateContent>
    </w:r>
    <w:r>
      <w:rPr>
        <w:rFonts w:hint="eastAsia" w:ascii="方正姚体" w:eastAsia="方正姚体"/>
        <w:szCs w:val="18"/>
      </w:rPr>
      <w:t>地址：江苏省南京市雨花台区软件大道66号华通科技园2楼联系电话/客服电话：025-83312598 83312698</w:t>
    </w:r>
  </w:p>
  <w:p>
    <w:pPr>
      <w:pStyle w:val="29"/>
      <w:jc w:val="right"/>
      <w:rPr>
        <w:rStyle w:val="50"/>
      </w:rPr>
    </w:pPr>
    <w:r>
      <w:rPr>
        <w:rFonts w:hint="eastAsia" w:ascii="方正姚体" w:eastAsia="方正姚体"/>
        <w:szCs w:val="18"/>
      </w:rPr>
      <w:t xml:space="preserve">第 </w:t>
    </w:r>
    <w:r>
      <w:rPr>
        <w:rFonts w:hint="eastAsia" w:ascii="方正姚体" w:eastAsia="方正姚体"/>
        <w:szCs w:val="18"/>
      </w:rPr>
      <w:fldChar w:fldCharType="begin"/>
    </w:r>
    <w:r>
      <w:rPr>
        <w:rFonts w:hint="eastAsia" w:ascii="方正姚体" w:eastAsia="方正姚体"/>
        <w:szCs w:val="18"/>
      </w:rPr>
      <w:instrText xml:space="preserve"> PAGE   \* MERGEFORMAT </w:instrText>
    </w:r>
    <w:r>
      <w:rPr>
        <w:rFonts w:hint="eastAsia" w:ascii="方正姚体" w:eastAsia="方正姚体"/>
        <w:szCs w:val="18"/>
      </w:rPr>
      <w:fldChar w:fldCharType="separate"/>
    </w:r>
    <w:r>
      <w:rPr>
        <w:rFonts w:ascii="方正姚体" w:eastAsia="方正姚体"/>
        <w:szCs w:val="18"/>
        <w:lang w:val="zh-CN"/>
      </w:rPr>
      <w:t>1</w:t>
    </w:r>
    <w:r>
      <w:rPr>
        <w:rFonts w:hint="eastAsia" w:ascii="方正姚体" w:eastAsia="方正姚体"/>
        <w:szCs w:val="18"/>
      </w:rPr>
      <w:fldChar w:fldCharType="end"/>
    </w:r>
    <w:r>
      <w:rPr>
        <w:rFonts w:hint="eastAsia" w:ascii="方正姚体" w:eastAsia="方正姚体"/>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Lines="50"/>
      <w:rPr>
        <w:szCs w:val="18"/>
      </w:rPr>
    </w:pPr>
    <w:r>
      <w:rPr>
        <w:szCs w:val="18"/>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57150</wp:posOffset>
              </wp:positionV>
              <wp:extent cx="5413375" cy="0"/>
              <wp:effectExtent l="0" t="0" r="0" b="0"/>
              <wp:wrapNone/>
              <wp:docPr id="9" name="自选图形 3"/>
              <wp:cNvGraphicFramePr/>
              <a:graphic xmlns:a="http://schemas.openxmlformats.org/drawingml/2006/main">
                <a:graphicData uri="http://schemas.microsoft.com/office/word/2010/wordprocessingShape">
                  <wps:wsp>
                    <wps:cNvCnPr/>
                    <wps:spPr>
                      <a:xfrm>
                        <a:off x="0" y="0"/>
                        <a:ext cx="5413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4.5pt;height:0pt;width:426.25pt;z-index:251665408;mso-width-relative:page;mso-height-relative:page;" filled="f" stroked="t" coordsize="21600,21600" o:gfxdata="UEsDBAoAAAAAAIdO4kAAAAAAAAAAAAAAAAAEAAAAZHJzL1BLAwQUAAAACACHTuJA3CfPKNMAAAAF&#10;AQAADwAAAGRycy9kb3ducmV2LnhtbE2PwU7DMBBE70j8g7VIXBC1U6nQhmwqhMSBI20lrtt4SQLx&#10;OoqdpvTrcbnQ42hGM2+K9dF16sBDaL0gZDMDiqXytpUaYbd9vV+CCpHEUueFEX44wLq8vioot36S&#10;dz5sYq1SiYScEJoY+1zrUDXsKMx8z5K8Tz84ikkOtbYDTancdXpuzIN21EpaaKjnl4ar783oEDiM&#10;i8w8r1y9eztNdx/z09fUbxFvbzLzBCryMf6H4Yyf0KFMTHs/ig2qQziDR4RVOpTc5SJ7BLX/07os&#10;9CV9+QtQSwMEFAAAAAgAh07iQMlzUXD0AQAA4wMAAA4AAABkcnMvZTJvRG9jLnhtbK1TS44TMRDd&#10;I3EHy3vS+RAYWunMImHYIIgEHKDidndb8k8uTzrZsUOcgR1L7sDcZiS4xZTdmQwMmyzohbvsqnpV&#10;77m8uNwbzXYyoHK24pPRmDNphauVbSv+6ePVswvOMIKtQTsrK36QyC+XT58sel/KqeucrmVgBGKx&#10;7H3Fuxh9WRQoOmkAR85LS87GBQORtqEt6gA9oRtdTMfjF0XvQu2DExKRTteDkx8RwzmArmmUkGsn&#10;ro20cUANUkMkStgpj3yZu20aKeL7pkEZma44MY15pSJkb9NaLBdQtgF8p8SxBTinhUecDChLRU9Q&#10;a4jAroP6B8ooERy6Jo6EM8VAJCtCLCbjR9p86MDLzIWkRn8SHf8frHi32wSm6oq/4syCoQv/9eXH&#10;789fb7/d3P78zmZJod5jSYEruwnHHfpNSHT3TTDpT0TYPqt6OKkq95EJOpw/n8xmL+eciXtf8ZDo&#10;A8Y30hmWjIpjDKDaLq6ctXR3LkyyqrB7i5FKU+J9QqqqLeup8fk0gQPNYkMzQKbxxAdtm3PRaVVf&#10;Ka1TBoZ2u9KB7SDNQ/4SQcL9KywVWQN2Q1x2DZPSSahf25rFgyelLD0QnlowsuZMS3pPySJAKCMo&#10;fU4kldaWOkgaD6oma+vqQxY7n9Pd5x6Pc5qG6899zn54m8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CfPKNMAAAAFAQAADwAAAAAAAAABACAAAAAiAAAAZHJzL2Rvd25yZXYueG1sUEsBAhQAFAAA&#10;AAgAh07iQMlzUXD0AQAA4wMAAA4AAAAAAAAAAQAgAAAAIgEAAGRycy9lMm9Eb2MueG1sUEsFBgAA&#10;AAAGAAYAWQEAAIgFAAAAAA==&#10;">
              <v:fill on="f" focussize="0,0"/>
              <v:stroke color="#000000" joinstyle="round"/>
              <v:imagedata o:title=""/>
              <o:lock v:ext="edit" aspectratio="f"/>
            </v:shape>
          </w:pict>
        </mc:Fallback>
      </mc:AlternateContent>
    </w:r>
    <w:r>
      <w:rPr>
        <w:rFonts w:hint="eastAsia" w:ascii="方正姚体" w:eastAsia="方正姚体"/>
        <w:szCs w:val="18"/>
      </w:rPr>
      <w:t>地址：江苏省南京市雨花台区软件大道66号华通科技园2楼 联系电话/客服电话：025-83312598 83312698</w:t>
    </w:r>
  </w:p>
  <w:p>
    <w:pPr>
      <w:pStyle w:val="29"/>
      <w:jc w:val="right"/>
    </w:pPr>
    <w:r>
      <w:rPr>
        <w:rFonts w:hint="eastAsia" w:ascii="方正姚体" w:eastAsia="方正姚体"/>
        <w:szCs w:val="18"/>
      </w:rPr>
      <w:t xml:space="preserve">第 </w:t>
    </w:r>
    <w:r>
      <w:rPr>
        <w:rFonts w:hint="eastAsia" w:ascii="方正姚体" w:eastAsia="方正姚体"/>
        <w:szCs w:val="18"/>
      </w:rPr>
      <w:fldChar w:fldCharType="begin"/>
    </w:r>
    <w:r>
      <w:rPr>
        <w:rFonts w:hint="eastAsia" w:ascii="方正姚体" w:eastAsia="方正姚体"/>
        <w:szCs w:val="18"/>
      </w:rPr>
      <w:instrText xml:space="preserve"> PAGE   \* MERGEFORMAT </w:instrText>
    </w:r>
    <w:r>
      <w:rPr>
        <w:rFonts w:hint="eastAsia" w:ascii="方正姚体" w:eastAsia="方正姚体"/>
        <w:szCs w:val="18"/>
      </w:rPr>
      <w:fldChar w:fldCharType="separate"/>
    </w:r>
    <w:r>
      <w:rPr>
        <w:rFonts w:ascii="方正姚体" w:eastAsia="方正姚体"/>
        <w:szCs w:val="18"/>
        <w:lang w:val="zh-CN"/>
      </w:rPr>
      <w:t>3</w:t>
    </w:r>
    <w:r>
      <w:rPr>
        <w:rFonts w:hint="eastAsia" w:ascii="方正姚体" w:eastAsia="方正姚体"/>
        <w:szCs w:val="18"/>
      </w:rPr>
      <w:fldChar w:fldCharType="end"/>
    </w:r>
    <w:r>
      <w:rPr>
        <w:rFonts w:hint="eastAsia" w:ascii="方正姚体" w:eastAsia="方正姚体"/>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column">
                <wp:posOffset>4483100</wp:posOffset>
              </wp:positionH>
              <wp:positionV relativeFrom="paragraph">
                <wp:posOffset>-226060</wp:posOffset>
              </wp:positionV>
              <wp:extent cx="1243965" cy="371475"/>
              <wp:effectExtent l="0" t="0" r="13335" b="9525"/>
              <wp:wrapNone/>
              <wp:docPr id="2" name="文本框 1"/>
              <wp:cNvGraphicFramePr/>
              <a:graphic xmlns:a="http://schemas.openxmlformats.org/drawingml/2006/main">
                <a:graphicData uri="http://schemas.microsoft.com/office/word/2010/wordprocessingShape">
                  <wps:wsp>
                    <wps:cNvSpPr txBox="1"/>
                    <wps:spPr>
                      <a:xfrm>
                        <a:off x="0" y="0"/>
                        <a:ext cx="1243965" cy="371475"/>
                      </a:xfrm>
                      <a:prstGeom prst="rect">
                        <a:avLst/>
                      </a:prstGeom>
                      <a:solidFill>
                        <a:srgbClr val="FFFFFF"/>
                      </a:solidFill>
                      <a:ln>
                        <a:noFill/>
                      </a:ln>
                    </wps:spPr>
                    <wps:txbx>
                      <w:txbxContent>
                        <w:p>
                          <w:pPr>
                            <w:rPr>
                              <w:rFonts w:ascii="楷体" w:hAnsi="楷体" w:eastAsia="楷体"/>
                              <w:b/>
                              <w:color w:val="948A54"/>
                              <w:sz w:val="32"/>
                              <w:szCs w:val="32"/>
                            </w:rPr>
                          </w:pPr>
                          <w:r>
                            <w:rPr>
                              <w:rFonts w:hint="eastAsia" w:ascii="楷体" w:hAnsi="楷体" w:eastAsia="楷体"/>
                              <w:b/>
                              <w:color w:val="948A54"/>
                              <w:sz w:val="32"/>
                              <w:szCs w:val="32"/>
                            </w:rPr>
                            <w:t>各公司LOGO</w:t>
                          </w:r>
                        </w:p>
                      </w:txbxContent>
                    </wps:txbx>
                    <wps:bodyPr upright="1"/>
                  </wps:wsp>
                </a:graphicData>
              </a:graphic>
            </wp:anchor>
          </w:drawing>
        </mc:Choice>
        <mc:Fallback>
          <w:pict>
            <v:shape id="文本框 1" o:spid="_x0000_s1026" o:spt="202" type="#_x0000_t202" style="position:absolute;left:0pt;margin-left:353pt;margin-top:-17.8pt;height:29.25pt;width:97.95pt;z-index:251663360;mso-width-relative:margin;mso-height-relative:margin;" fillcolor="#FFFFFF" filled="t" stroked="f" coordsize="21600,21600" o:gfxdata="UEsDBAoAAAAAAIdO4kAAAAAAAAAAAAAAAAAEAAAAZHJzL1BLAwQUAAAACACHTuJAnJie3dgAAAAK&#10;AQAADwAAAGRycy9kb3ducmV2LnhtbE2PwU7DMBBE70j8g7VIXFBrJ9CEhDiVQAJxbekHbOJtEhGv&#10;o9ht2r/HnOA4mtHMm2p7saM40+wHxxqStQJB3DozcKfh8PW+egbhA7LB0TFpuJKHbX17U2Fp3MI7&#10;Ou9DJ2IJ+xI19CFMpZS+7cmiX7uJOHpHN1sMUc6dNDMusdyOMlUqkxYHjgs9TvTWU/u9P1kNx8/l&#10;YVMszUc45Lun7BWHvHFXre/vEvUCItAl/IXhFz+iQx2ZGndi48WoIVdZ/BI0rB43GYiYKFRSgGg0&#10;pGkBsq7k/wv1D1BLAwQUAAAACACHTuJAT/YNDcABAAB3AwAADgAAAGRycy9lMm9Eb2MueG1srVPN&#10;jtMwEL4j8Q6W7zRt9w+ipitBVS4IkBYewHWcxJL/NOM26QvAG3Diwp3n6nPs2Ml2YbnsgRwce+bz&#10;5/m+sVe3gzXsoAC1dxVfzOacKSd9rV1b8a9ftq9ec4ZRuFoY71TFjwr57frli1UfSrX0nTe1AkYk&#10;Dss+VLyLMZRFgbJTVuDMB+Uo2XiwItIS2qIG0RO7NcVyPr8ueg91AC8VIkU3Y5JPjPAcQt80WqqN&#10;l3urXBxZQRkRSRJ2OiBf52qbRsn4qWlQRWYqTkpjHukQmu/SWKxXomxBhE7LqQTxnBKeaLJCOzr0&#10;TLURUbA96H+orJbg0TdxJr0tRiHZEVKxmD/x5q4TQWUtZDWGs+n4/2jlx8NnYLqu+JIzJyw1/PTj&#10;++nn79Ovb2yR7OkDloS6C4SLw1s/0KV5iCMFk+qhAZv+pIdRnsw9ns1VQ2QybVpeXry5vuJMUu7i&#10;ZnF5c5VoisfdATC+V96yNKk4UPOyp+LwAeMIfYCkw9AbXW+1MXkB7e6dAXYQ1Oht/ib2v2DGJbDz&#10;advImCJF0jhqSbM47IZJ+M7XR9K9D6DbjmrKyjOc+pGLn+5Oavif60z6+F7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yYnt3YAAAACgEAAA8AAAAAAAAAAQAgAAAAIgAAAGRycy9kb3ducmV2Lnht&#10;bFBLAQIUABQAAAAIAIdO4kBP9g0NwAEAAHcDAAAOAAAAAAAAAAEAIAAAACcBAABkcnMvZTJvRG9j&#10;LnhtbFBLBQYAAAAABgAGAFkBAABZBQAAAAA=&#10;">
              <v:fill on="t" focussize="0,0"/>
              <v:stroke on="f"/>
              <v:imagedata o:title=""/>
              <o:lock v:ext="edit" aspectratio="f"/>
              <v:textbox>
                <w:txbxContent>
                  <w:p>
                    <w:pPr>
                      <w:rPr>
                        <w:rFonts w:ascii="楷体" w:hAnsi="楷体" w:eastAsia="楷体"/>
                        <w:b/>
                        <w:color w:val="948A54"/>
                        <w:sz w:val="32"/>
                        <w:szCs w:val="32"/>
                      </w:rPr>
                    </w:pPr>
                    <w:r>
                      <w:rPr>
                        <w:rFonts w:hint="eastAsia" w:ascii="楷体" w:hAnsi="楷体" w:eastAsia="楷体"/>
                        <w:b/>
                        <w:color w:val="948A54"/>
                        <w:sz w:val="32"/>
                        <w:szCs w:val="32"/>
                      </w:rPr>
                      <w:t>各公司LOGO</w:t>
                    </w:r>
                  </w:p>
                </w:txbxContent>
              </v:textbox>
            </v:shape>
          </w:pict>
        </mc:Fallback>
      </mc:AlternateContent>
    </w:r>
    <w:r>
      <w:drawing>
        <wp:anchor distT="0" distB="0" distL="114300" distR="114300" simplePos="0" relativeHeight="251659264" behindDoc="1" locked="0" layoutInCell="1" allowOverlap="1">
          <wp:simplePos x="0" y="0"/>
          <wp:positionH relativeFrom="column">
            <wp:posOffset>-76835</wp:posOffset>
          </wp:positionH>
          <wp:positionV relativeFrom="paragraph">
            <wp:posOffset>-292735</wp:posOffset>
          </wp:positionV>
          <wp:extent cx="1325245" cy="400050"/>
          <wp:effectExtent l="19050" t="0" r="8255" b="0"/>
          <wp:wrapTight wrapText="bothSides">
            <wp:wrapPolygon>
              <wp:start x="-310" y="0"/>
              <wp:lineTo x="-310" y="20571"/>
              <wp:lineTo x="21735" y="20571"/>
              <wp:lineTo x="21735" y="0"/>
              <wp:lineTo x="-31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
                  <a:srcRect/>
                  <a:stretch>
                    <a:fillRect/>
                  </a:stretch>
                </pic:blipFill>
                <pic:spPr>
                  <a:xfrm>
                    <a:off x="0" y="0"/>
                    <a:ext cx="1325245" cy="400050"/>
                  </a:xfrm>
                  <a:prstGeom prst="rect">
                    <a:avLst/>
                  </a:prstGeom>
                  <a:noFill/>
                  <a:ln w="9525">
                    <a:noFill/>
                    <a:miter lim="800000"/>
                    <a:headEnd/>
                    <a:tailEnd/>
                  </a:ln>
                </pic:spPr>
              </pic:pic>
            </a:graphicData>
          </a:graphic>
        </wp:anchor>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ascii="宋体" w:hAnsi="宋体" w:cs="宋体"/>
        <w:sz w:val="24"/>
        <w:szCs w:val="24"/>
      </w:rPr>
      <w:drawing>
        <wp:anchor distT="0" distB="0" distL="114300" distR="114300" simplePos="0" relativeHeight="251666432" behindDoc="0" locked="0" layoutInCell="1" allowOverlap="1">
          <wp:simplePos x="0" y="0"/>
          <wp:positionH relativeFrom="column">
            <wp:posOffset>4925060</wp:posOffset>
          </wp:positionH>
          <wp:positionV relativeFrom="paragraph">
            <wp:posOffset>-347980</wp:posOffset>
          </wp:positionV>
          <wp:extent cx="429260" cy="447675"/>
          <wp:effectExtent l="19050" t="0" r="8890" b="0"/>
          <wp:wrapNone/>
          <wp:docPr id="7" name="图片 6" descr="微信图片_20180327085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180327085435.png"/>
                  <pic:cNvPicPr>
                    <a:picLocks noChangeAspect="1"/>
                  </pic:cNvPicPr>
                </pic:nvPicPr>
                <pic:blipFill>
                  <a:blip r:embed="rId1"/>
                  <a:stretch>
                    <a:fillRect/>
                  </a:stretch>
                </pic:blipFill>
                <pic:spPr>
                  <a:xfrm>
                    <a:off x="0" y="0"/>
                    <a:ext cx="429260" cy="447675"/>
                  </a:xfrm>
                  <a:prstGeom prst="rect">
                    <a:avLst/>
                  </a:prstGeom>
                </pic:spPr>
              </pic:pic>
            </a:graphicData>
          </a:graphic>
        </wp:anchor>
      </w:drawing>
    </w:r>
    <w:r>
      <w:rPr>
        <w:rFonts w:ascii="宋体" w:hAnsi="宋体" w:cs="宋体"/>
        <w:sz w:val="24"/>
        <w:szCs w:val="24"/>
      </w:rPr>
      <w:drawing>
        <wp:anchor distT="0" distB="0" distL="114300" distR="114300" simplePos="0" relativeHeight="251662336" behindDoc="1" locked="0" layoutInCell="1" allowOverlap="1">
          <wp:simplePos x="0" y="0"/>
          <wp:positionH relativeFrom="column">
            <wp:posOffset>-32385</wp:posOffset>
          </wp:positionH>
          <wp:positionV relativeFrom="paragraph">
            <wp:posOffset>-281305</wp:posOffset>
          </wp:positionV>
          <wp:extent cx="1325245" cy="400050"/>
          <wp:effectExtent l="19050" t="0" r="8255" b="0"/>
          <wp:wrapTight wrapText="bothSides">
            <wp:wrapPolygon>
              <wp:start x="-310" y="0"/>
              <wp:lineTo x="-310" y="20571"/>
              <wp:lineTo x="21735" y="20571"/>
              <wp:lineTo x="21735" y="0"/>
              <wp:lineTo x="-31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
                  <a:srcRect/>
                  <a:stretch>
                    <a:fillRect/>
                  </a:stretch>
                </pic:blipFill>
                <pic:spPr>
                  <a:xfrm>
                    <a:off x="0" y="0"/>
                    <a:ext cx="1325245" cy="40005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2"/>
      </w:pBdr>
      <w:jc w:val="left"/>
      <w:rPr>
        <w:rFonts w:ascii="隶书" w:eastAsia="隶书"/>
        <w:color w:val="000000"/>
      </w:rPr>
    </w:pPr>
    <w:r>
      <w:rPr>
        <w:rFonts w:ascii="宋体" w:hAnsi="宋体" w:cs="宋体"/>
        <w:sz w:val="24"/>
        <w:szCs w:val="24"/>
      </w:rPr>
      <w:drawing>
        <wp:anchor distT="0" distB="0" distL="114300" distR="114300" simplePos="0" relativeHeight="251661312" behindDoc="0" locked="0" layoutInCell="1" allowOverlap="1">
          <wp:simplePos x="0" y="0"/>
          <wp:positionH relativeFrom="column">
            <wp:posOffset>4925060</wp:posOffset>
          </wp:positionH>
          <wp:positionV relativeFrom="paragraph">
            <wp:posOffset>-347345</wp:posOffset>
          </wp:positionV>
          <wp:extent cx="429260" cy="447675"/>
          <wp:effectExtent l="0" t="0" r="8890" b="9525"/>
          <wp:wrapNone/>
          <wp:docPr id="5" name="图片 6" descr="微信图片_20180327085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微信图片_20180327085435.png"/>
                  <pic:cNvPicPr>
                    <a:picLocks noChangeAspect="1"/>
                  </pic:cNvPicPr>
                </pic:nvPicPr>
                <pic:blipFill>
                  <a:blip r:embed="rId1"/>
                  <a:stretch>
                    <a:fillRect/>
                  </a:stretch>
                </pic:blipFill>
                <pic:spPr>
                  <a:xfrm>
                    <a:off x="0" y="0"/>
                    <a:ext cx="429260" cy="447675"/>
                  </a:xfrm>
                  <a:prstGeom prst="rect">
                    <a:avLst/>
                  </a:prstGeom>
                </pic:spPr>
              </pic:pic>
            </a:graphicData>
          </a:graphic>
        </wp:anchor>
      </w:drawing>
    </w:r>
    <w:r>
      <w:rPr>
        <w:rFonts w:ascii="宋体" w:hAnsi="宋体" w:cs="宋体"/>
        <w:sz w:val="24"/>
        <w:szCs w:val="24"/>
      </w:rPr>
      <w:drawing>
        <wp:anchor distT="0" distB="0" distL="114300" distR="114300" simplePos="0" relativeHeight="251660288" behindDoc="1" locked="0" layoutInCell="1" allowOverlap="1">
          <wp:simplePos x="0" y="0"/>
          <wp:positionH relativeFrom="column">
            <wp:posOffset>-32385</wp:posOffset>
          </wp:positionH>
          <wp:positionV relativeFrom="paragraph">
            <wp:posOffset>-280670</wp:posOffset>
          </wp:positionV>
          <wp:extent cx="1325245" cy="400050"/>
          <wp:effectExtent l="0" t="0" r="8255" b="0"/>
          <wp:wrapTight wrapText="bothSides">
            <wp:wrapPolygon>
              <wp:start x="0" y="0"/>
              <wp:lineTo x="0" y="20571"/>
              <wp:lineTo x="21424" y="20571"/>
              <wp:lineTo x="2142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
                  <a:srcRect/>
                  <a:stretch>
                    <a:fillRect/>
                  </a:stretch>
                </pic:blipFill>
                <pic:spPr>
                  <a:xfrm>
                    <a:off x="0" y="0"/>
                    <a:ext cx="1325245" cy="400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D36DC"/>
    <w:multiLevelType w:val="multilevel"/>
    <w:tmpl w:val="4EDD36DC"/>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04A3CA6"/>
    <w:multiLevelType w:val="multilevel"/>
    <w:tmpl w:val="604A3CA6"/>
    <w:lvl w:ilvl="0" w:tentative="0">
      <w:start w:val="1"/>
      <w:numFmt w:val="decimal"/>
      <w:lvlText w:val="（%1）"/>
      <w:lvlJc w:val="left"/>
      <w:pPr>
        <w:ind w:left="987" w:hanging="420"/>
      </w:pPr>
      <w:rPr>
        <w:rFonts w:hint="eastAsia"/>
        <w:lang w:val="en-US"/>
      </w:rPr>
    </w:lvl>
    <w:lvl w:ilvl="1" w:tentative="0">
      <w:start w:val="1"/>
      <w:numFmt w:val="chineseCountingThousand"/>
      <w:lvlText w:val="%2、"/>
      <w:lvlJc w:val="left"/>
      <w:pPr>
        <w:ind w:left="2782" w:hanging="1080"/>
      </w:pPr>
      <w:rPr>
        <w:rFonts w:hint="eastAsia"/>
        <w:b/>
      </w:rPr>
    </w:lvl>
    <w:lvl w:ilvl="2" w:tentative="0">
      <w:start w:val="1"/>
      <w:numFmt w:val="decimal"/>
      <w:lvlText w:val="%3）"/>
      <w:lvlJc w:val="left"/>
      <w:pPr>
        <w:ind w:left="2127" w:hanging="720"/>
      </w:pPr>
      <w:rPr>
        <w:rFonts w:hint="eastAsia"/>
      </w:rPr>
    </w:lvl>
    <w:lvl w:ilvl="3" w:tentative="0">
      <w:start w:val="1"/>
      <w:numFmt w:val="decimal"/>
      <w:lvlText w:val="%4、"/>
      <w:lvlJc w:val="left"/>
      <w:pPr>
        <w:ind w:left="2652" w:hanging="825"/>
      </w:pPr>
      <w:rPr>
        <w:rFonts w:hint="default"/>
      </w:r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4C"/>
    <w:rsid w:val="000008AB"/>
    <w:rsid w:val="0000100D"/>
    <w:rsid w:val="0000143F"/>
    <w:rsid w:val="000018B1"/>
    <w:rsid w:val="000021B3"/>
    <w:rsid w:val="00002A72"/>
    <w:rsid w:val="00002DF3"/>
    <w:rsid w:val="00002FF0"/>
    <w:rsid w:val="00003147"/>
    <w:rsid w:val="000033E8"/>
    <w:rsid w:val="00003942"/>
    <w:rsid w:val="00003C39"/>
    <w:rsid w:val="0000401F"/>
    <w:rsid w:val="00004277"/>
    <w:rsid w:val="000045AE"/>
    <w:rsid w:val="000048AE"/>
    <w:rsid w:val="00004CFF"/>
    <w:rsid w:val="00005029"/>
    <w:rsid w:val="00005110"/>
    <w:rsid w:val="00005443"/>
    <w:rsid w:val="00005F92"/>
    <w:rsid w:val="0000635C"/>
    <w:rsid w:val="000067D1"/>
    <w:rsid w:val="000101D0"/>
    <w:rsid w:val="00010951"/>
    <w:rsid w:val="00010AC0"/>
    <w:rsid w:val="00010F45"/>
    <w:rsid w:val="0001129C"/>
    <w:rsid w:val="00011473"/>
    <w:rsid w:val="000122D1"/>
    <w:rsid w:val="0001241E"/>
    <w:rsid w:val="0001275C"/>
    <w:rsid w:val="00012C02"/>
    <w:rsid w:val="00013443"/>
    <w:rsid w:val="00013576"/>
    <w:rsid w:val="000138B3"/>
    <w:rsid w:val="00013F6C"/>
    <w:rsid w:val="00013FAC"/>
    <w:rsid w:val="00014477"/>
    <w:rsid w:val="0001483B"/>
    <w:rsid w:val="000150E2"/>
    <w:rsid w:val="000159DB"/>
    <w:rsid w:val="00015B32"/>
    <w:rsid w:val="00015BDA"/>
    <w:rsid w:val="00015BE7"/>
    <w:rsid w:val="00015F54"/>
    <w:rsid w:val="000160D7"/>
    <w:rsid w:val="0001665A"/>
    <w:rsid w:val="00016AC5"/>
    <w:rsid w:val="000173E3"/>
    <w:rsid w:val="000176D9"/>
    <w:rsid w:val="0001776B"/>
    <w:rsid w:val="000177C4"/>
    <w:rsid w:val="00017A76"/>
    <w:rsid w:val="00017CD1"/>
    <w:rsid w:val="00017F9A"/>
    <w:rsid w:val="00017FD1"/>
    <w:rsid w:val="00020533"/>
    <w:rsid w:val="00020839"/>
    <w:rsid w:val="00020A92"/>
    <w:rsid w:val="00020F84"/>
    <w:rsid w:val="000211EC"/>
    <w:rsid w:val="00021206"/>
    <w:rsid w:val="00021C9A"/>
    <w:rsid w:val="000220EF"/>
    <w:rsid w:val="0002212D"/>
    <w:rsid w:val="000225A4"/>
    <w:rsid w:val="00022D65"/>
    <w:rsid w:val="00022FF8"/>
    <w:rsid w:val="00023260"/>
    <w:rsid w:val="00023379"/>
    <w:rsid w:val="00023732"/>
    <w:rsid w:val="00023847"/>
    <w:rsid w:val="00024050"/>
    <w:rsid w:val="00024C39"/>
    <w:rsid w:val="00024E0C"/>
    <w:rsid w:val="000254F3"/>
    <w:rsid w:val="00025631"/>
    <w:rsid w:val="000258C0"/>
    <w:rsid w:val="00025AD5"/>
    <w:rsid w:val="00025EA3"/>
    <w:rsid w:val="00025F51"/>
    <w:rsid w:val="0002619D"/>
    <w:rsid w:val="00026DB0"/>
    <w:rsid w:val="00026ED9"/>
    <w:rsid w:val="00026EE1"/>
    <w:rsid w:val="00026EF6"/>
    <w:rsid w:val="0002713F"/>
    <w:rsid w:val="000277FB"/>
    <w:rsid w:val="0003018C"/>
    <w:rsid w:val="0003026E"/>
    <w:rsid w:val="00030D31"/>
    <w:rsid w:val="000311D7"/>
    <w:rsid w:val="0003163F"/>
    <w:rsid w:val="00031909"/>
    <w:rsid w:val="00031BF1"/>
    <w:rsid w:val="00031C42"/>
    <w:rsid w:val="00031FB6"/>
    <w:rsid w:val="00032108"/>
    <w:rsid w:val="0003222A"/>
    <w:rsid w:val="000323A5"/>
    <w:rsid w:val="00032750"/>
    <w:rsid w:val="00032A52"/>
    <w:rsid w:val="00032A69"/>
    <w:rsid w:val="00033812"/>
    <w:rsid w:val="00033B88"/>
    <w:rsid w:val="00033ED1"/>
    <w:rsid w:val="00034551"/>
    <w:rsid w:val="00034646"/>
    <w:rsid w:val="000347D7"/>
    <w:rsid w:val="00034831"/>
    <w:rsid w:val="00034DE5"/>
    <w:rsid w:val="000357BE"/>
    <w:rsid w:val="0003634A"/>
    <w:rsid w:val="00036C21"/>
    <w:rsid w:val="00036E85"/>
    <w:rsid w:val="00040362"/>
    <w:rsid w:val="000403C5"/>
    <w:rsid w:val="000405AC"/>
    <w:rsid w:val="0004073A"/>
    <w:rsid w:val="000419EC"/>
    <w:rsid w:val="00041E58"/>
    <w:rsid w:val="00041FA9"/>
    <w:rsid w:val="00042168"/>
    <w:rsid w:val="000423F9"/>
    <w:rsid w:val="00042A0B"/>
    <w:rsid w:val="00042B55"/>
    <w:rsid w:val="00043305"/>
    <w:rsid w:val="00043F85"/>
    <w:rsid w:val="0004442A"/>
    <w:rsid w:val="000444A3"/>
    <w:rsid w:val="00044610"/>
    <w:rsid w:val="00044783"/>
    <w:rsid w:val="000447DB"/>
    <w:rsid w:val="00045257"/>
    <w:rsid w:val="00045317"/>
    <w:rsid w:val="000457A8"/>
    <w:rsid w:val="000458B7"/>
    <w:rsid w:val="00045933"/>
    <w:rsid w:val="00045E05"/>
    <w:rsid w:val="00045EA1"/>
    <w:rsid w:val="00045FBA"/>
    <w:rsid w:val="0004610D"/>
    <w:rsid w:val="00046AF0"/>
    <w:rsid w:val="00047111"/>
    <w:rsid w:val="000477BA"/>
    <w:rsid w:val="00047B89"/>
    <w:rsid w:val="00050268"/>
    <w:rsid w:val="0005050F"/>
    <w:rsid w:val="0005082D"/>
    <w:rsid w:val="00050CB8"/>
    <w:rsid w:val="000512FC"/>
    <w:rsid w:val="0005130E"/>
    <w:rsid w:val="000514CC"/>
    <w:rsid w:val="00051642"/>
    <w:rsid w:val="00051887"/>
    <w:rsid w:val="000519A9"/>
    <w:rsid w:val="00051AFF"/>
    <w:rsid w:val="00051FC0"/>
    <w:rsid w:val="000525D6"/>
    <w:rsid w:val="00053255"/>
    <w:rsid w:val="00053954"/>
    <w:rsid w:val="00053BEF"/>
    <w:rsid w:val="00053F27"/>
    <w:rsid w:val="0005433A"/>
    <w:rsid w:val="00056026"/>
    <w:rsid w:val="00056F4D"/>
    <w:rsid w:val="00057187"/>
    <w:rsid w:val="00057BF1"/>
    <w:rsid w:val="00057C66"/>
    <w:rsid w:val="00060A31"/>
    <w:rsid w:val="00060B9D"/>
    <w:rsid w:val="00060E20"/>
    <w:rsid w:val="0006118E"/>
    <w:rsid w:val="0006176C"/>
    <w:rsid w:val="0006232F"/>
    <w:rsid w:val="0006246E"/>
    <w:rsid w:val="00062D0D"/>
    <w:rsid w:val="0006305E"/>
    <w:rsid w:val="0006333D"/>
    <w:rsid w:val="00063CF6"/>
    <w:rsid w:val="00063FE9"/>
    <w:rsid w:val="0006422B"/>
    <w:rsid w:val="000643AB"/>
    <w:rsid w:val="0006440C"/>
    <w:rsid w:val="00064975"/>
    <w:rsid w:val="00064B6A"/>
    <w:rsid w:val="000653B8"/>
    <w:rsid w:val="00065805"/>
    <w:rsid w:val="00065FA8"/>
    <w:rsid w:val="00066565"/>
    <w:rsid w:val="00066A73"/>
    <w:rsid w:val="00066CCF"/>
    <w:rsid w:val="00066FA1"/>
    <w:rsid w:val="000676AA"/>
    <w:rsid w:val="00070B23"/>
    <w:rsid w:val="00070DF7"/>
    <w:rsid w:val="00070ED5"/>
    <w:rsid w:val="00071037"/>
    <w:rsid w:val="00071047"/>
    <w:rsid w:val="00071478"/>
    <w:rsid w:val="00071D42"/>
    <w:rsid w:val="00071D57"/>
    <w:rsid w:val="00071ECF"/>
    <w:rsid w:val="00072019"/>
    <w:rsid w:val="000720A6"/>
    <w:rsid w:val="00072130"/>
    <w:rsid w:val="00072CF9"/>
    <w:rsid w:val="00072FEF"/>
    <w:rsid w:val="00073035"/>
    <w:rsid w:val="0007364A"/>
    <w:rsid w:val="0007370E"/>
    <w:rsid w:val="00073FBC"/>
    <w:rsid w:val="000746E6"/>
    <w:rsid w:val="000747C3"/>
    <w:rsid w:val="0007496D"/>
    <w:rsid w:val="00074AC4"/>
    <w:rsid w:val="000752A5"/>
    <w:rsid w:val="00075716"/>
    <w:rsid w:val="00076981"/>
    <w:rsid w:val="0007704F"/>
    <w:rsid w:val="00077648"/>
    <w:rsid w:val="0008013A"/>
    <w:rsid w:val="0008081E"/>
    <w:rsid w:val="00081505"/>
    <w:rsid w:val="00081E1B"/>
    <w:rsid w:val="000824A4"/>
    <w:rsid w:val="00082720"/>
    <w:rsid w:val="00082BEC"/>
    <w:rsid w:val="00082E78"/>
    <w:rsid w:val="000838A4"/>
    <w:rsid w:val="00083AF5"/>
    <w:rsid w:val="00083B8D"/>
    <w:rsid w:val="00083BF4"/>
    <w:rsid w:val="00084440"/>
    <w:rsid w:val="00084BF7"/>
    <w:rsid w:val="0008526A"/>
    <w:rsid w:val="00085AF2"/>
    <w:rsid w:val="00085CD4"/>
    <w:rsid w:val="00085CEF"/>
    <w:rsid w:val="000866AF"/>
    <w:rsid w:val="00086C77"/>
    <w:rsid w:val="00086CDC"/>
    <w:rsid w:val="0008713C"/>
    <w:rsid w:val="000872CF"/>
    <w:rsid w:val="000877C0"/>
    <w:rsid w:val="00087E0B"/>
    <w:rsid w:val="00090FC9"/>
    <w:rsid w:val="0009138D"/>
    <w:rsid w:val="00091675"/>
    <w:rsid w:val="000917FC"/>
    <w:rsid w:val="00091C4D"/>
    <w:rsid w:val="00091CFB"/>
    <w:rsid w:val="000922BE"/>
    <w:rsid w:val="00092BC8"/>
    <w:rsid w:val="00092D58"/>
    <w:rsid w:val="00092FFE"/>
    <w:rsid w:val="0009336F"/>
    <w:rsid w:val="00093405"/>
    <w:rsid w:val="000934DB"/>
    <w:rsid w:val="0009372F"/>
    <w:rsid w:val="00093BC9"/>
    <w:rsid w:val="00094075"/>
    <w:rsid w:val="0009433C"/>
    <w:rsid w:val="00094DEB"/>
    <w:rsid w:val="00094F4D"/>
    <w:rsid w:val="00095607"/>
    <w:rsid w:val="000957B1"/>
    <w:rsid w:val="00095AD3"/>
    <w:rsid w:val="00095F88"/>
    <w:rsid w:val="000962DC"/>
    <w:rsid w:val="00096351"/>
    <w:rsid w:val="000965F2"/>
    <w:rsid w:val="00096774"/>
    <w:rsid w:val="0009688C"/>
    <w:rsid w:val="000968AD"/>
    <w:rsid w:val="00096BDC"/>
    <w:rsid w:val="00096DEC"/>
    <w:rsid w:val="00096EA9"/>
    <w:rsid w:val="00097AC3"/>
    <w:rsid w:val="00097F4F"/>
    <w:rsid w:val="000A0223"/>
    <w:rsid w:val="000A04D9"/>
    <w:rsid w:val="000A0DF0"/>
    <w:rsid w:val="000A0F72"/>
    <w:rsid w:val="000A2849"/>
    <w:rsid w:val="000A2CB8"/>
    <w:rsid w:val="000A349E"/>
    <w:rsid w:val="000A35D0"/>
    <w:rsid w:val="000A3A10"/>
    <w:rsid w:val="000A3A3F"/>
    <w:rsid w:val="000A436C"/>
    <w:rsid w:val="000A49FE"/>
    <w:rsid w:val="000A4D56"/>
    <w:rsid w:val="000A51F6"/>
    <w:rsid w:val="000A53E6"/>
    <w:rsid w:val="000A554F"/>
    <w:rsid w:val="000A567C"/>
    <w:rsid w:val="000A5EDF"/>
    <w:rsid w:val="000A5F07"/>
    <w:rsid w:val="000A646A"/>
    <w:rsid w:val="000A670E"/>
    <w:rsid w:val="000A6A87"/>
    <w:rsid w:val="000A7796"/>
    <w:rsid w:val="000A7932"/>
    <w:rsid w:val="000B062D"/>
    <w:rsid w:val="000B06A5"/>
    <w:rsid w:val="000B07E9"/>
    <w:rsid w:val="000B2235"/>
    <w:rsid w:val="000B2787"/>
    <w:rsid w:val="000B291E"/>
    <w:rsid w:val="000B2B55"/>
    <w:rsid w:val="000B2D5C"/>
    <w:rsid w:val="000B3893"/>
    <w:rsid w:val="000B3B07"/>
    <w:rsid w:val="000B3DD1"/>
    <w:rsid w:val="000B4125"/>
    <w:rsid w:val="000B4B94"/>
    <w:rsid w:val="000B4FFF"/>
    <w:rsid w:val="000B51D7"/>
    <w:rsid w:val="000B542A"/>
    <w:rsid w:val="000B54ED"/>
    <w:rsid w:val="000B5C40"/>
    <w:rsid w:val="000B5FFC"/>
    <w:rsid w:val="000B6242"/>
    <w:rsid w:val="000B6721"/>
    <w:rsid w:val="000B686D"/>
    <w:rsid w:val="000B6C34"/>
    <w:rsid w:val="000B6C97"/>
    <w:rsid w:val="000B71DA"/>
    <w:rsid w:val="000B7EB5"/>
    <w:rsid w:val="000C06AB"/>
    <w:rsid w:val="000C097B"/>
    <w:rsid w:val="000C1331"/>
    <w:rsid w:val="000C1364"/>
    <w:rsid w:val="000C170D"/>
    <w:rsid w:val="000C2351"/>
    <w:rsid w:val="000C2776"/>
    <w:rsid w:val="000C28A4"/>
    <w:rsid w:val="000C2ACA"/>
    <w:rsid w:val="000C2DE2"/>
    <w:rsid w:val="000C316B"/>
    <w:rsid w:val="000C3529"/>
    <w:rsid w:val="000C3C08"/>
    <w:rsid w:val="000C3FA3"/>
    <w:rsid w:val="000C4C3C"/>
    <w:rsid w:val="000C5260"/>
    <w:rsid w:val="000C528A"/>
    <w:rsid w:val="000C53B3"/>
    <w:rsid w:val="000C5824"/>
    <w:rsid w:val="000C5B6D"/>
    <w:rsid w:val="000C6A96"/>
    <w:rsid w:val="000C6F51"/>
    <w:rsid w:val="000C7010"/>
    <w:rsid w:val="000C7B9C"/>
    <w:rsid w:val="000C7E59"/>
    <w:rsid w:val="000D0477"/>
    <w:rsid w:val="000D0489"/>
    <w:rsid w:val="000D0C7E"/>
    <w:rsid w:val="000D0E74"/>
    <w:rsid w:val="000D0EF5"/>
    <w:rsid w:val="000D12F2"/>
    <w:rsid w:val="000D1504"/>
    <w:rsid w:val="000D1CE0"/>
    <w:rsid w:val="000D1D8A"/>
    <w:rsid w:val="000D24CB"/>
    <w:rsid w:val="000D28E9"/>
    <w:rsid w:val="000D2A43"/>
    <w:rsid w:val="000D3621"/>
    <w:rsid w:val="000D377E"/>
    <w:rsid w:val="000D38BA"/>
    <w:rsid w:val="000D3BAA"/>
    <w:rsid w:val="000D4048"/>
    <w:rsid w:val="000D422C"/>
    <w:rsid w:val="000D430B"/>
    <w:rsid w:val="000D518C"/>
    <w:rsid w:val="000D5597"/>
    <w:rsid w:val="000D5E80"/>
    <w:rsid w:val="000D5EE8"/>
    <w:rsid w:val="000D60D5"/>
    <w:rsid w:val="000D61C7"/>
    <w:rsid w:val="000D645D"/>
    <w:rsid w:val="000D6F3B"/>
    <w:rsid w:val="000D709B"/>
    <w:rsid w:val="000D7150"/>
    <w:rsid w:val="000D7329"/>
    <w:rsid w:val="000D748D"/>
    <w:rsid w:val="000D77B1"/>
    <w:rsid w:val="000D7898"/>
    <w:rsid w:val="000D7C17"/>
    <w:rsid w:val="000D7D0E"/>
    <w:rsid w:val="000E095B"/>
    <w:rsid w:val="000E09D8"/>
    <w:rsid w:val="000E0CFC"/>
    <w:rsid w:val="000E18DB"/>
    <w:rsid w:val="000E196A"/>
    <w:rsid w:val="000E19DD"/>
    <w:rsid w:val="000E1B9F"/>
    <w:rsid w:val="000E1F29"/>
    <w:rsid w:val="000E2868"/>
    <w:rsid w:val="000E2878"/>
    <w:rsid w:val="000E2926"/>
    <w:rsid w:val="000E2941"/>
    <w:rsid w:val="000E2D18"/>
    <w:rsid w:val="000E31F5"/>
    <w:rsid w:val="000E32D6"/>
    <w:rsid w:val="000E362A"/>
    <w:rsid w:val="000E39AB"/>
    <w:rsid w:val="000E3CF2"/>
    <w:rsid w:val="000E3FD2"/>
    <w:rsid w:val="000E45EB"/>
    <w:rsid w:val="000E4B44"/>
    <w:rsid w:val="000E4B95"/>
    <w:rsid w:val="000E4C68"/>
    <w:rsid w:val="000E5266"/>
    <w:rsid w:val="000E5AB0"/>
    <w:rsid w:val="000E5D40"/>
    <w:rsid w:val="000E62A2"/>
    <w:rsid w:val="000E6545"/>
    <w:rsid w:val="000E66D4"/>
    <w:rsid w:val="000E694D"/>
    <w:rsid w:val="000E6DDB"/>
    <w:rsid w:val="000E711B"/>
    <w:rsid w:val="000E73BD"/>
    <w:rsid w:val="000E74F7"/>
    <w:rsid w:val="000F004B"/>
    <w:rsid w:val="000F01E3"/>
    <w:rsid w:val="000F0A9B"/>
    <w:rsid w:val="000F0C80"/>
    <w:rsid w:val="000F0D5B"/>
    <w:rsid w:val="000F12DD"/>
    <w:rsid w:val="000F181A"/>
    <w:rsid w:val="000F1A61"/>
    <w:rsid w:val="000F21CD"/>
    <w:rsid w:val="000F28EB"/>
    <w:rsid w:val="000F2918"/>
    <w:rsid w:val="000F2C5C"/>
    <w:rsid w:val="000F2F99"/>
    <w:rsid w:val="000F3E39"/>
    <w:rsid w:val="000F4249"/>
    <w:rsid w:val="000F428B"/>
    <w:rsid w:val="000F4C3F"/>
    <w:rsid w:val="000F4F0E"/>
    <w:rsid w:val="000F4F51"/>
    <w:rsid w:val="000F5286"/>
    <w:rsid w:val="000F602C"/>
    <w:rsid w:val="000F636E"/>
    <w:rsid w:val="000F6E64"/>
    <w:rsid w:val="000F793A"/>
    <w:rsid w:val="000F7B7B"/>
    <w:rsid w:val="001001C2"/>
    <w:rsid w:val="00100528"/>
    <w:rsid w:val="0010071F"/>
    <w:rsid w:val="00100C6E"/>
    <w:rsid w:val="0010110E"/>
    <w:rsid w:val="001018B8"/>
    <w:rsid w:val="00101DDD"/>
    <w:rsid w:val="00101DE6"/>
    <w:rsid w:val="0010229A"/>
    <w:rsid w:val="0010237A"/>
    <w:rsid w:val="001024A7"/>
    <w:rsid w:val="00102657"/>
    <w:rsid w:val="00102770"/>
    <w:rsid w:val="00102799"/>
    <w:rsid w:val="001029C3"/>
    <w:rsid w:val="0010359E"/>
    <w:rsid w:val="0010373A"/>
    <w:rsid w:val="00103A27"/>
    <w:rsid w:val="001046E5"/>
    <w:rsid w:val="0010487B"/>
    <w:rsid w:val="00104BDB"/>
    <w:rsid w:val="00104DE7"/>
    <w:rsid w:val="00105057"/>
    <w:rsid w:val="0010530D"/>
    <w:rsid w:val="0010553B"/>
    <w:rsid w:val="00105AEE"/>
    <w:rsid w:val="001060CA"/>
    <w:rsid w:val="00106777"/>
    <w:rsid w:val="001067AA"/>
    <w:rsid w:val="0010689D"/>
    <w:rsid w:val="00107668"/>
    <w:rsid w:val="00110616"/>
    <w:rsid w:val="00110907"/>
    <w:rsid w:val="00110D54"/>
    <w:rsid w:val="00110F81"/>
    <w:rsid w:val="00111305"/>
    <w:rsid w:val="001115BA"/>
    <w:rsid w:val="0011209D"/>
    <w:rsid w:val="001125AF"/>
    <w:rsid w:val="00112824"/>
    <w:rsid w:val="001128CB"/>
    <w:rsid w:val="001129C3"/>
    <w:rsid w:val="0011375B"/>
    <w:rsid w:val="00113837"/>
    <w:rsid w:val="00113E53"/>
    <w:rsid w:val="00114039"/>
    <w:rsid w:val="0011407E"/>
    <w:rsid w:val="0011460F"/>
    <w:rsid w:val="0011484B"/>
    <w:rsid w:val="001151DA"/>
    <w:rsid w:val="001153E2"/>
    <w:rsid w:val="001155F5"/>
    <w:rsid w:val="00115658"/>
    <w:rsid w:val="001157CE"/>
    <w:rsid w:val="001157E4"/>
    <w:rsid w:val="001158AE"/>
    <w:rsid w:val="00116138"/>
    <w:rsid w:val="001161D9"/>
    <w:rsid w:val="001162D1"/>
    <w:rsid w:val="001163AF"/>
    <w:rsid w:val="001164BC"/>
    <w:rsid w:val="00116557"/>
    <w:rsid w:val="00116ADD"/>
    <w:rsid w:val="00116B2A"/>
    <w:rsid w:val="00116B2D"/>
    <w:rsid w:val="00117432"/>
    <w:rsid w:val="00117A9B"/>
    <w:rsid w:val="00117C1C"/>
    <w:rsid w:val="00117CE4"/>
    <w:rsid w:val="00120B65"/>
    <w:rsid w:val="001223AF"/>
    <w:rsid w:val="0012241E"/>
    <w:rsid w:val="00122762"/>
    <w:rsid w:val="001228EF"/>
    <w:rsid w:val="00122D38"/>
    <w:rsid w:val="00122E13"/>
    <w:rsid w:val="001236CF"/>
    <w:rsid w:val="0012435F"/>
    <w:rsid w:val="00124460"/>
    <w:rsid w:val="00125E50"/>
    <w:rsid w:val="00126241"/>
    <w:rsid w:val="001270B7"/>
    <w:rsid w:val="0012724E"/>
    <w:rsid w:val="00127C70"/>
    <w:rsid w:val="00127D9C"/>
    <w:rsid w:val="0013039F"/>
    <w:rsid w:val="00130BBC"/>
    <w:rsid w:val="0013103F"/>
    <w:rsid w:val="00131456"/>
    <w:rsid w:val="001317B1"/>
    <w:rsid w:val="001318B4"/>
    <w:rsid w:val="00132104"/>
    <w:rsid w:val="00132520"/>
    <w:rsid w:val="0013262F"/>
    <w:rsid w:val="00133527"/>
    <w:rsid w:val="001337FF"/>
    <w:rsid w:val="00133D83"/>
    <w:rsid w:val="00133E0E"/>
    <w:rsid w:val="00133EFE"/>
    <w:rsid w:val="00134239"/>
    <w:rsid w:val="00134BCD"/>
    <w:rsid w:val="00134ECF"/>
    <w:rsid w:val="00134F38"/>
    <w:rsid w:val="0013541D"/>
    <w:rsid w:val="00135849"/>
    <w:rsid w:val="00135BCA"/>
    <w:rsid w:val="00136492"/>
    <w:rsid w:val="001369EF"/>
    <w:rsid w:val="001371C7"/>
    <w:rsid w:val="001371CE"/>
    <w:rsid w:val="001372C9"/>
    <w:rsid w:val="00137480"/>
    <w:rsid w:val="001375FB"/>
    <w:rsid w:val="00137852"/>
    <w:rsid w:val="00137C3A"/>
    <w:rsid w:val="001404CA"/>
    <w:rsid w:val="001404D9"/>
    <w:rsid w:val="00140613"/>
    <w:rsid w:val="001409C9"/>
    <w:rsid w:val="00140B5E"/>
    <w:rsid w:val="00140C78"/>
    <w:rsid w:val="00140DAE"/>
    <w:rsid w:val="001417D6"/>
    <w:rsid w:val="00141B45"/>
    <w:rsid w:val="00142897"/>
    <w:rsid w:val="001428A6"/>
    <w:rsid w:val="00142C81"/>
    <w:rsid w:val="00142DA7"/>
    <w:rsid w:val="001431D4"/>
    <w:rsid w:val="00143264"/>
    <w:rsid w:val="00143530"/>
    <w:rsid w:val="001435EB"/>
    <w:rsid w:val="00143A59"/>
    <w:rsid w:val="00143BC3"/>
    <w:rsid w:val="0014402E"/>
    <w:rsid w:val="00144727"/>
    <w:rsid w:val="00144797"/>
    <w:rsid w:val="0014481F"/>
    <w:rsid w:val="00144AFB"/>
    <w:rsid w:val="00144FED"/>
    <w:rsid w:val="001452A5"/>
    <w:rsid w:val="00145789"/>
    <w:rsid w:val="00145822"/>
    <w:rsid w:val="00145B88"/>
    <w:rsid w:val="00146886"/>
    <w:rsid w:val="001468F2"/>
    <w:rsid w:val="00146B85"/>
    <w:rsid w:val="00146C82"/>
    <w:rsid w:val="00147077"/>
    <w:rsid w:val="0014725F"/>
    <w:rsid w:val="00147265"/>
    <w:rsid w:val="00147965"/>
    <w:rsid w:val="00147D2E"/>
    <w:rsid w:val="00147F56"/>
    <w:rsid w:val="00150044"/>
    <w:rsid w:val="001508F3"/>
    <w:rsid w:val="0015099B"/>
    <w:rsid w:val="00150B10"/>
    <w:rsid w:val="00150FB0"/>
    <w:rsid w:val="00150FED"/>
    <w:rsid w:val="00151565"/>
    <w:rsid w:val="00151731"/>
    <w:rsid w:val="00152B07"/>
    <w:rsid w:val="00152E8B"/>
    <w:rsid w:val="001533D3"/>
    <w:rsid w:val="00153498"/>
    <w:rsid w:val="001535AC"/>
    <w:rsid w:val="001535AF"/>
    <w:rsid w:val="0015424C"/>
    <w:rsid w:val="0015475B"/>
    <w:rsid w:val="00154ACA"/>
    <w:rsid w:val="00154BF6"/>
    <w:rsid w:val="00154D82"/>
    <w:rsid w:val="00154E45"/>
    <w:rsid w:val="0015555C"/>
    <w:rsid w:val="0015598B"/>
    <w:rsid w:val="00155A29"/>
    <w:rsid w:val="00155B5A"/>
    <w:rsid w:val="00155DB7"/>
    <w:rsid w:val="00155F71"/>
    <w:rsid w:val="00156286"/>
    <w:rsid w:val="00156B99"/>
    <w:rsid w:val="00157085"/>
    <w:rsid w:val="00157539"/>
    <w:rsid w:val="00157B07"/>
    <w:rsid w:val="00157E87"/>
    <w:rsid w:val="0016125C"/>
    <w:rsid w:val="00161490"/>
    <w:rsid w:val="001614EC"/>
    <w:rsid w:val="00161E78"/>
    <w:rsid w:val="00162548"/>
    <w:rsid w:val="00162743"/>
    <w:rsid w:val="001627C9"/>
    <w:rsid w:val="001628C5"/>
    <w:rsid w:val="00162CDF"/>
    <w:rsid w:val="00163261"/>
    <w:rsid w:val="00163362"/>
    <w:rsid w:val="00163753"/>
    <w:rsid w:val="00163956"/>
    <w:rsid w:val="00163D11"/>
    <w:rsid w:val="00163D1D"/>
    <w:rsid w:val="00163DF1"/>
    <w:rsid w:val="00163F63"/>
    <w:rsid w:val="00164AB1"/>
    <w:rsid w:val="00164BBD"/>
    <w:rsid w:val="00165284"/>
    <w:rsid w:val="00165620"/>
    <w:rsid w:val="00165D30"/>
    <w:rsid w:val="00165EE2"/>
    <w:rsid w:val="00166185"/>
    <w:rsid w:val="001665DE"/>
    <w:rsid w:val="00166BB8"/>
    <w:rsid w:val="00166F51"/>
    <w:rsid w:val="00167DA4"/>
    <w:rsid w:val="001700BF"/>
    <w:rsid w:val="00170FCD"/>
    <w:rsid w:val="001710C9"/>
    <w:rsid w:val="00171383"/>
    <w:rsid w:val="001716A0"/>
    <w:rsid w:val="00171AD5"/>
    <w:rsid w:val="00171E90"/>
    <w:rsid w:val="0017229B"/>
    <w:rsid w:val="001727BF"/>
    <w:rsid w:val="00172D8B"/>
    <w:rsid w:val="00173095"/>
    <w:rsid w:val="0017382E"/>
    <w:rsid w:val="001739E8"/>
    <w:rsid w:val="00173D52"/>
    <w:rsid w:val="00173D57"/>
    <w:rsid w:val="00174120"/>
    <w:rsid w:val="001754B4"/>
    <w:rsid w:val="00175875"/>
    <w:rsid w:val="0017592B"/>
    <w:rsid w:val="00175C37"/>
    <w:rsid w:val="00175D24"/>
    <w:rsid w:val="00175E75"/>
    <w:rsid w:val="00175F73"/>
    <w:rsid w:val="0017626C"/>
    <w:rsid w:val="001762D5"/>
    <w:rsid w:val="0017662A"/>
    <w:rsid w:val="001768AC"/>
    <w:rsid w:val="00176AE6"/>
    <w:rsid w:val="00176D58"/>
    <w:rsid w:val="00176E25"/>
    <w:rsid w:val="0017715C"/>
    <w:rsid w:val="00177193"/>
    <w:rsid w:val="00177381"/>
    <w:rsid w:val="0017755A"/>
    <w:rsid w:val="00177704"/>
    <w:rsid w:val="00177795"/>
    <w:rsid w:val="0017799A"/>
    <w:rsid w:val="001804AC"/>
    <w:rsid w:val="0018073C"/>
    <w:rsid w:val="00180E39"/>
    <w:rsid w:val="0018130C"/>
    <w:rsid w:val="0018172E"/>
    <w:rsid w:val="00182CC4"/>
    <w:rsid w:val="001849D5"/>
    <w:rsid w:val="00184E56"/>
    <w:rsid w:val="00185980"/>
    <w:rsid w:val="00186943"/>
    <w:rsid w:val="0018696E"/>
    <w:rsid w:val="00186C8C"/>
    <w:rsid w:val="00186F1F"/>
    <w:rsid w:val="00187000"/>
    <w:rsid w:val="00187086"/>
    <w:rsid w:val="00187720"/>
    <w:rsid w:val="00187B2E"/>
    <w:rsid w:val="00187C94"/>
    <w:rsid w:val="0019016F"/>
    <w:rsid w:val="00190943"/>
    <w:rsid w:val="00191829"/>
    <w:rsid w:val="00191EBF"/>
    <w:rsid w:val="0019203E"/>
    <w:rsid w:val="001920D8"/>
    <w:rsid w:val="00192457"/>
    <w:rsid w:val="00192BE7"/>
    <w:rsid w:val="00193369"/>
    <w:rsid w:val="001940F6"/>
    <w:rsid w:val="00194513"/>
    <w:rsid w:val="001949BF"/>
    <w:rsid w:val="00195AE8"/>
    <w:rsid w:val="001963CA"/>
    <w:rsid w:val="0019701D"/>
    <w:rsid w:val="0019703B"/>
    <w:rsid w:val="0019718E"/>
    <w:rsid w:val="00197C69"/>
    <w:rsid w:val="00197CEE"/>
    <w:rsid w:val="00197F07"/>
    <w:rsid w:val="001A0869"/>
    <w:rsid w:val="001A0BEA"/>
    <w:rsid w:val="001A0E82"/>
    <w:rsid w:val="001A125A"/>
    <w:rsid w:val="001A1F6F"/>
    <w:rsid w:val="001A2084"/>
    <w:rsid w:val="001A284D"/>
    <w:rsid w:val="001A2942"/>
    <w:rsid w:val="001A2B92"/>
    <w:rsid w:val="001A2F15"/>
    <w:rsid w:val="001A37A3"/>
    <w:rsid w:val="001A3AEA"/>
    <w:rsid w:val="001A3CB7"/>
    <w:rsid w:val="001A4790"/>
    <w:rsid w:val="001A4BEE"/>
    <w:rsid w:val="001A4EDB"/>
    <w:rsid w:val="001A4F54"/>
    <w:rsid w:val="001A5103"/>
    <w:rsid w:val="001A5161"/>
    <w:rsid w:val="001A51D0"/>
    <w:rsid w:val="001A5638"/>
    <w:rsid w:val="001A5C12"/>
    <w:rsid w:val="001A60FA"/>
    <w:rsid w:val="001A7054"/>
    <w:rsid w:val="001A71E2"/>
    <w:rsid w:val="001A75C2"/>
    <w:rsid w:val="001A76CB"/>
    <w:rsid w:val="001B0A02"/>
    <w:rsid w:val="001B0E3F"/>
    <w:rsid w:val="001B1020"/>
    <w:rsid w:val="001B1113"/>
    <w:rsid w:val="001B147D"/>
    <w:rsid w:val="001B155B"/>
    <w:rsid w:val="001B173C"/>
    <w:rsid w:val="001B182A"/>
    <w:rsid w:val="001B1E8E"/>
    <w:rsid w:val="001B2442"/>
    <w:rsid w:val="001B2A3E"/>
    <w:rsid w:val="001B2A9F"/>
    <w:rsid w:val="001B2B18"/>
    <w:rsid w:val="001B3EDB"/>
    <w:rsid w:val="001B4627"/>
    <w:rsid w:val="001B528E"/>
    <w:rsid w:val="001B55E0"/>
    <w:rsid w:val="001B57FF"/>
    <w:rsid w:val="001B5A17"/>
    <w:rsid w:val="001B5B9B"/>
    <w:rsid w:val="001B68ED"/>
    <w:rsid w:val="001B6E5C"/>
    <w:rsid w:val="001B721D"/>
    <w:rsid w:val="001B7259"/>
    <w:rsid w:val="001B72AF"/>
    <w:rsid w:val="001B7918"/>
    <w:rsid w:val="001B7C65"/>
    <w:rsid w:val="001B7D86"/>
    <w:rsid w:val="001C0080"/>
    <w:rsid w:val="001C0111"/>
    <w:rsid w:val="001C0922"/>
    <w:rsid w:val="001C0BB3"/>
    <w:rsid w:val="001C12FC"/>
    <w:rsid w:val="001C18A1"/>
    <w:rsid w:val="001C20FD"/>
    <w:rsid w:val="001C2191"/>
    <w:rsid w:val="001C237B"/>
    <w:rsid w:val="001C2CA3"/>
    <w:rsid w:val="001C2F29"/>
    <w:rsid w:val="001C31BA"/>
    <w:rsid w:val="001C32FA"/>
    <w:rsid w:val="001C38A4"/>
    <w:rsid w:val="001C3BE3"/>
    <w:rsid w:val="001C4422"/>
    <w:rsid w:val="001C442E"/>
    <w:rsid w:val="001C4C5B"/>
    <w:rsid w:val="001C52A0"/>
    <w:rsid w:val="001C59AD"/>
    <w:rsid w:val="001C60CE"/>
    <w:rsid w:val="001C618E"/>
    <w:rsid w:val="001C6D03"/>
    <w:rsid w:val="001C71A9"/>
    <w:rsid w:val="001C757D"/>
    <w:rsid w:val="001C77BE"/>
    <w:rsid w:val="001C7DD6"/>
    <w:rsid w:val="001D010A"/>
    <w:rsid w:val="001D0435"/>
    <w:rsid w:val="001D06AD"/>
    <w:rsid w:val="001D0F60"/>
    <w:rsid w:val="001D0F70"/>
    <w:rsid w:val="001D10D5"/>
    <w:rsid w:val="001D125B"/>
    <w:rsid w:val="001D165A"/>
    <w:rsid w:val="001D167D"/>
    <w:rsid w:val="001D1C9B"/>
    <w:rsid w:val="001D1E52"/>
    <w:rsid w:val="001D324D"/>
    <w:rsid w:val="001D35E7"/>
    <w:rsid w:val="001D3CB2"/>
    <w:rsid w:val="001D4021"/>
    <w:rsid w:val="001D42C7"/>
    <w:rsid w:val="001D497D"/>
    <w:rsid w:val="001D49EB"/>
    <w:rsid w:val="001D4EEC"/>
    <w:rsid w:val="001D4F64"/>
    <w:rsid w:val="001D4F6E"/>
    <w:rsid w:val="001D4F7A"/>
    <w:rsid w:val="001D5173"/>
    <w:rsid w:val="001D51F7"/>
    <w:rsid w:val="001D5529"/>
    <w:rsid w:val="001D5909"/>
    <w:rsid w:val="001D59C1"/>
    <w:rsid w:val="001D6036"/>
    <w:rsid w:val="001D61CD"/>
    <w:rsid w:val="001D693B"/>
    <w:rsid w:val="001D6A39"/>
    <w:rsid w:val="001D6B5E"/>
    <w:rsid w:val="001D6BA1"/>
    <w:rsid w:val="001D76DC"/>
    <w:rsid w:val="001D771C"/>
    <w:rsid w:val="001E00FD"/>
    <w:rsid w:val="001E068B"/>
    <w:rsid w:val="001E0723"/>
    <w:rsid w:val="001E0812"/>
    <w:rsid w:val="001E10C1"/>
    <w:rsid w:val="001E11DA"/>
    <w:rsid w:val="001E1BEC"/>
    <w:rsid w:val="001E1D45"/>
    <w:rsid w:val="001E2135"/>
    <w:rsid w:val="001E2608"/>
    <w:rsid w:val="001E2622"/>
    <w:rsid w:val="001E26B9"/>
    <w:rsid w:val="001E2947"/>
    <w:rsid w:val="001E2F56"/>
    <w:rsid w:val="001E3C66"/>
    <w:rsid w:val="001E4231"/>
    <w:rsid w:val="001E4270"/>
    <w:rsid w:val="001E4343"/>
    <w:rsid w:val="001E434E"/>
    <w:rsid w:val="001E446B"/>
    <w:rsid w:val="001E4D78"/>
    <w:rsid w:val="001E515B"/>
    <w:rsid w:val="001E55F8"/>
    <w:rsid w:val="001E577D"/>
    <w:rsid w:val="001E5C46"/>
    <w:rsid w:val="001E605E"/>
    <w:rsid w:val="001E6264"/>
    <w:rsid w:val="001E6D43"/>
    <w:rsid w:val="001E6E8B"/>
    <w:rsid w:val="001E70B3"/>
    <w:rsid w:val="001E72EB"/>
    <w:rsid w:val="001E7902"/>
    <w:rsid w:val="001E7956"/>
    <w:rsid w:val="001E7B07"/>
    <w:rsid w:val="001F02FD"/>
    <w:rsid w:val="001F052B"/>
    <w:rsid w:val="001F08AB"/>
    <w:rsid w:val="001F0974"/>
    <w:rsid w:val="001F0AC8"/>
    <w:rsid w:val="001F1184"/>
    <w:rsid w:val="001F149E"/>
    <w:rsid w:val="001F25E4"/>
    <w:rsid w:val="001F2928"/>
    <w:rsid w:val="001F2B05"/>
    <w:rsid w:val="001F3628"/>
    <w:rsid w:val="001F3972"/>
    <w:rsid w:val="001F399F"/>
    <w:rsid w:val="001F3CB7"/>
    <w:rsid w:val="001F457C"/>
    <w:rsid w:val="001F47B9"/>
    <w:rsid w:val="001F4C33"/>
    <w:rsid w:val="001F4C7F"/>
    <w:rsid w:val="001F601B"/>
    <w:rsid w:val="001F6123"/>
    <w:rsid w:val="001F6257"/>
    <w:rsid w:val="001F660B"/>
    <w:rsid w:val="001F6A42"/>
    <w:rsid w:val="001F745C"/>
    <w:rsid w:val="001F756E"/>
    <w:rsid w:val="001F77C3"/>
    <w:rsid w:val="001F7A13"/>
    <w:rsid w:val="001F7CE7"/>
    <w:rsid w:val="001F7EDA"/>
    <w:rsid w:val="00200041"/>
    <w:rsid w:val="00200ACF"/>
    <w:rsid w:val="002015BE"/>
    <w:rsid w:val="00201A1F"/>
    <w:rsid w:val="00202140"/>
    <w:rsid w:val="00202B62"/>
    <w:rsid w:val="00202E50"/>
    <w:rsid w:val="00203961"/>
    <w:rsid w:val="002043FC"/>
    <w:rsid w:val="0020454C"/>
    <w:rsid w:val="0020468F"/>
    <w:rsid w:val="00204821"/>
    <w:rsid w:val="002049D2"/>
    <w:rsid w:val="00204A2E"/>
    <w:rsid w:val="002054E8"/>
    <w:rsid w:val="002055F0"/>
    <w:rsid w:val="00205B54"/>
    <w:rsid w:val="00205FC9"/>
    <w:rsid w:val="002063FD"/>
    <w:rsid w:val="0020672B"/>
    <w:rsid w:val="00206CF2"/>
    <w:rsid w:val="0020779B"/>
    <w:rsid w:val="0020779E"/>
    <w:rsid w:val="00207C18"/>
    <w:rsid w:val="00207CEA"/>
    <w:rsid w:val="00210146"/>
    <w:rsid w:val="002103C5"/>
    <w:rsid w:val="002104B7"/>
    <w:rsid w:val="00210752"/>
    <w:rsid w:val="00211330"/>
    <w:rsid w:val="002113B4"/>
    <w:rsid w:val="002119F0"/>
    <w:rsid w:val="00211BDC"/>
    <w:rsid w:val="00211E1A"/>
    <w:rsid w:val="00212751"/>
    <w:rsid w:val="00212E77"/>
    <w:rsid w:val="002133B5"/>
    <w:rsid w:val="00213581"/>
    <w:rsid w:val="00213C4D"/>
    <w:rsid w:val="00213D42"/>
    <w:rsid w:val="0021408E"/>
    <w:rsid w:val="002144B3"/>
    <w:rsid w:val="00214560"/>
    <w:rsid w:val="00214EDF"/>
    <w:rsid w:val="00214EEF"/>
    <w:rsid w:val="00214F85"/>
    <w:rsid w:val="00215035"/>
    <w:rsid w:val="002151A2"/>
    <w:rsid w:val="002160CD"/>
    <w:rsid w:val="00216105"/>
    <w:rsid w:val="0021612C"/>
    <w:rsid w:val="002163C9"/>
    <w:rsid w:val="00216A6E"/>
    <w:rsid w:val="00217120"/>
    <w:rsid w:val="00217273"/>
    <w:rsid w:val="002172CF"/>
    <w:rsid w:val="0022037D"/>
    <w:rsid w:val="002203A6"/>
    <w:rsid w:val="002207BD"/>
    <w:rsid w:val="00220ED8"/>
    <w:rsid w:val="00221192"/>
    <w:rsid w:val="00221CB5"/>
    <w:rsid w:val="0022267F"/>
    <w:rsid w:val="00222C50"/>
    <w:rsid w:val="00223607"/>
    <w:rsid w:val="002238E3"/>
    <w:rsid w:val="00224513"/>
    <w:rsid w:val="0022455E"/>
    <w:rsid w:val="00225EB5"/>
    <w:rsid w:val="00226609"/>
    <w:rsid w:val="002266B5"/>
    <w:rsid w:val="0022763B"/>
    <w:rsid w:val="00227706"/>
    <w:rsid w:val="00227742"/>
    <w:rsid w:val="00227BA9"/>
    <w:rsid w:val="00230221"/>
    <w:rsid w:val="00230CB1"/>
    <w:rsid w:val="00231525"/>
    <w:rsid w:val="00231586"/>
    <w:rsid w:val="0023189B"/>
    <w:rsid w:val="00231E6F"/>
    <w:rsid w:val="00231F6B"/>
    <w:rsid w:val="00231FED"/>
    <w:rsid w:val="00232004"/>
    <w:rsid w:val="002321B3"/>
    <w:rsid w:val="002325D7"/>
    <w:rsid w:val="002326F8"/>
    <w:rsid w:val="00232E01"/>
    <w:rsid w:val="00233495"/>
    <w:rsid w:val="00233F2E"/>
    <w:rsid w:val="00234720"/>
    <w:rsid w:val="00234995"/>
    <w:rsid w:val="00235ACC"/>
    <w:rsid w:val="00235FE8"/>
    <w:rsid w:val="00236036"/>
    <w:rsid w:val="00236303"/>
    <w:rsid w:val="00236501"/>
    <w:rsid w:val="00236574"/>
    <w:rsid w:val="00236B82"/>
    <w:rsid w:val="00236DC6"/>
    <w:rsid w:val="00237558"/>
    <w:rsid w:val="002375C3"/>
    <w:rsid w:val="0023774F"/>
    <w:rsid w:val="00237A13"/>
    <w:rsid w:val="00237BE8"/>
    <w:rsid w:val="00240604"/>
    <w:rsid w:val="00240A99"/>
    <w:rsid w:val="002416C8"/>
    <w:rsid w:val="00241D4F"/>
    <w:rsid w:val="00242C75"/>
    <w:rsid w:val="00242FE1"/>
    <w:rsid w:val="00243267"/>
    <w:rsid w:val="002437B6"/>
    <w:rsid w:val="00243DEF"/>
    <w:rsid w:val="00244478"/>
    <w:rsid w:val="00244707"/>
    <w:rsid w:val="00245ED5"/>
    <w:rsid w:val="00246027"/>
    <w:rsid w:val="00246106"/>
    <w:rsid w:val="00246AD1"/>
    <w:rsid w:val="00246D0D"/>
    <w:rsid w:val="002478B2"/>
    <w:rsid w:val="00247A46"/>
    <w:rsid w:val="00250260"/>
    <w:rsid w:val="0025033A"/>
    <w:rsid w:val="00250B6B"/>
    <w:rsid w:val="0025122F"/>
    <w:rsid w:val="00251359"/>
    <w:rsid w:val="00251459"/>
    <w:rsid w:val="00251851"/>
    <w:rsid w:val="00251A49"/>
    <w:rsid w:val="00252282"/>
    <w:rsid w:val="002526C8"/>
    <w:rsid w:val="002528B4"/>
    <w:rsid w:val="00252912"/>
    <w:rsid w:val="00252C8D"/>
    <w:rsid w:val="00252D7E"/>
    <w:rsid w:val="00253D96"/>
    <w:rsid w:val="00254642"/>
    <w:rsid w:val="00255AB7"/>
    <w:rsid w:val="00255FB4"/>
    <w:rsid w:val="0025602D"/>
    <w:rsid w:val="002561F4"/>
    <w:rsid w:val="0025621C"/>
    <w:rsid w:val="002564CA"/>
    <w:rsid w:val="00256691"/>
    <w:rsid w:val="00256E3D"/>
    <w:rsid w:val="00257374"/>
    <w:rsid w:val="002575C8"/>
    <w:rsid w:val="00257AAD"/>
    <w:rsid w:val="00260183"/>
    <w:rsid w:val="00261405"/>
    <w:rsid w:val="00261D5B"/>
    <w:rsid w:val="002622F9"/>
    <w:rsid w:val="00262E32"/>
    <w:rsid w:val="00263283"/>
    <w:rsid w:val="00263BF4"/>
    <w:rsid w:val="0026443B"/>
    <w:rsid w:val="00266717"/>
    <w:rsid w:val="00266782"/>
    <w:rsid w:val="00266963"/>
    <w:rsid w:val="00266C7A"/>
    <w:rsid w:val="00266CA4"/>
    <w:rsid w:val="00266D1D"/>
    <w:rsid w:val="00266FF9"/>
    <w:rsid w:val="002679E4"/>
    <w:rsid w:val="00267E58"/>
    <w:rsid w:val="00270835"/>
    <w:rsid w:val="002712B3"/>
    <w:rsid w:val="002712BA"/>
    <w:rsid w:val="00271715"/>
    <w:rsid w:val="00271887"/>
    <w:rsid w:val="00271A08"/>
    <w:rsid w:val="0027272D"/>
    <w:rsid w:val="00272813"/>
    <w:rsid w:val="002738F9"/>
    <w:rsid w:val="002740C7"/>
    <w:rsid w:val="0027418A"/>
    <w:rsid w:val="002745DF"/>
    <w:rsid w:val="0027486D"/>
    <w:rsid w:val="00274BF2"/>
    <w:rsid w:val="00274C68"/>
    <w:rsid w:val="00275013"/>
    <w:rsid w:val="00275180"/>
    <w:rsid w:val="0027573D"/>
    <w:rsid w:val="002757A6"/>
    <w:rsid w:val="0027597E"/>
    <w:rsid w:val="00275CFF"/>
    <w:rsid w:val="00276288"/>
    <w:rsid w:val="0027635A"/>
    <w:rsid w:val="00276BC1"/>
    <w:rsid w:val="0027725D"/>
    <w:rsid w:val="0027729C"/>
    <w:rsid w:val="00277AE5"/>
    <w:rsid w:val="0028007F"/>
    <w:rsid w:val="00280802"/>
    <w:rsid w:val="002809F7"/>
    <w:rsid w:val="00280A76"/>
    <w:rsid w:val="00280B7B"/>
    <w:rsid w:val="0028179C"/>
    <w:rsid w:val="00281CBE"/>
    <w:rsid w:val="0028204C"/>
    <w:rsid w:val="00282077"/>
    <w:rsid w:val="0028215F"/>
    <w:rsid w:val="00282840"/>
    <w:rsid w:val="00283425"/>
    <w:rsid w:val="002834C5"/>
    <w:rsid w:val="00283589"/>
    <w:rsid w:val="00283806"/>
    <w:rsid w:val="00283B32"/>
    <w:rsid w:val="002846C3"/>
    <w:rsid w:val="00285494"/>
    <w:rsid w:val="00285694"/>
    <w:rsid w:val="00285AC8"/>
    <w:rsid w:val="002868D2"/>
    <w:rsid w:val="002877AB"/>
    <w:rsid w:val="00287AC6"/>
    <w:rsid w:val="002915DB"/>
    <w:rsid w:val="00291AFB"/>
    <w:rsid w:val="00291C9C"/>
    <w:rsid w:val="00292563"/>
    <w:rsid w:val="00293566"/>
    <w:rsid w:val="002935D1"/>
    <w:rsid w:val="00293654"/>
    <w:rsid w:val="00293D77"/>
    <w:rsid w:val="00293E63"/>
    <w:rsid w:val="002944E9"/>
    <w:rsid w:val="0029464C"/>
    <w:rsid w:val="002947F5"/>
    <w:rsid w:val="00294863"/>
    <w:rsid w:val="0029529D"/>
    <w:rsid w:val="00295A44"/>
    <w:rsid w:val="00295B57"/>
    <w:rsid w:val="00295C4B"/>
    <w:rsid w:val="002960DF"/>
    <w:rsid w:val="0029675E"/>
    <w:rsid w:val="00296DDC"/>
    <w:rsid w:val="0029750B"/>
    <w:rsid w:val="0029780B"/>
    <w:rsid w:val="00297B65"/>
    <w:rsid w:val="002A0109"/>
    <w:rsid w:val="002A0283"/>
    <w:rsid w:val="002A0420"/>
    <w:rsid w:val="002A06E2"/>
    <w:rsid w:val="002A0757"/>
    <w:rsid w:val="002A10AB"/>
    <w:rsid w:val="002A1258"/>
    <w:rsid w:val="002A145E"/>
    <w:rsid w:val="002A16A9"/>
    <w:rsid w:val="002A1C04"/>
    <w:rsid w:val="002A1F41"/>
    <w:rsid w:val="002A20C6"/>
    <w:rsid w:val="002A27DE"/>
    <w:rsid w:val="002A2AB0"/>
    <w:rsid w:val="002A30AB"/>
    <w:rsid w:val="002A34DA"/>
    <w:rsid w:val="002A34E9"/>
    <w:rsid w:val="002A40A1"/>
    <w:rsid w:val="002A4F14"/>
    <w:rsid w:val="002A4FEB"/>
    <w:rsid w:val="002A59A0"/>
    <w:rsid w:val="002A5C61"/>
    <w:rsid w:val="002A5CE2"/>
    <w:rsid w:val="002A5D90"/>
    <w:rsid w:val="002A6810"/>
    <w:rsid w:val="002A7112"/>
    <w:rsid w:val="002A7C16"/>
    <w:rsid w:val="002B000E"/>
    <w:rsid w:val="002B0A17"/>
    <w:rsid w:val="002B0B4A"/>
    <w:rsid w:val="002B0C89"/>
    <w:rsid w:val="002B0F8C"/>
    <w:rsid w:val="002B1480"/>
    <w:rsid w:val="002B1806"/>
    <w:rsid w:val="002B21D6"/>
    <w:rsid w:val="002B2551"/>
    <w:rsid w:val="002B27C7"/>
    <w:rsid w:val="002B2EF2"/>
    <w:rsid w:val="002B2FA3"/>
    <w:rsid w:val="002B3408"/>
    <w:rsid w:val="002B3871"/>
    <w:rsid w:val="002B3A9F"/>
    <w:rsid w:val="002B3D2A"/>
    <w:rsid w:val="002B3EDA"/>
    <w:rsid w:val="002B44C7"/>
    <w:rsid w:val="002B480C"/>
    <w:rsid w:val="002B4A3C"/>
    <w:rsid w:val="002B4A53"/>
    <w:rsid w:val="002B4CC9"/>
    <w:rsid w:val="002B50BD"/>
    <w:rsid w:val="002B5B41"/>
    <w:rsid w:val="002B6048"/>
    <w:rsid w:val="002B622A"/>
    <w:rsid w:val="002B634A"/>
    <w:rsid w:val="002B662F"/>
    <w:rsid w:val="002B6808"/>
    <w:rsid w:val="002B6AD7"/>
    <w:rsid w:val="002B6B5E"/>
    <w:rsid w:val="002B6BD1"/>
    <w:rsid w:val="002B6FBD"/>
    <w:rsid w:val="002B7EE9"/>
    <w:rsid w:val="002C0161"/>
    <w:rsid w:val="002C07AD"/>
    <w:rsid w:val="002C0817"/>
    <w:rsid w:val="002C0977"/>
    <w:rsid w:val="002C1222"/>
    <w:rsid w:val="002C185F"/>
    <w:rsid w:val="002C1A9D"/>
    <w:rsid w:val="002C2345"/>
    <w:rsid w:val="002C2D3A"/>
    <w:rsid w:val="002C3058"/>
    <w:rsid w:val="002C32F5"/>
    <w:rsid w:val="002C34C2"/>
    <w:rsid w:val="002C3559"/>
    <w:rsid w:val="002C3660"/>
    <w:rsid w:val="002C3718"/>
    <w:rsid w:val="002C38EF"/>
    <w:rsid w:val="002C3DD6"/>
    <w:rsid w:val="002C40AA"/>
    <w:rsid w:val="002C48B3"/>
    <w:rsid w:val="002C4E64"/>
    <w:rsid w:val="002C57F0"/>
    <w:rsid w:val="002C61DC"/>
    <w:rsid w:val="002C692E"/>
    <w:rsid w:val="002C69D8"/>
    <w:rsid w:val="002C6E50"/>
    <w:rsid w:val="002C7192"/>
    <w:rsid w:val="002D0582"/>
    <w:rsid w:val="002D06FC"/>
    <w:rsid w:val="002D09D4"/>
    <w:rsid w:val="002D0D93"/>
    <w:rsid w:val="002D117A"/>
    <w:rsid w:val="002D12B7"/>
    <w:rsid w:val="002D1B99"/>
    <w:rsid w:val="002D1F37"/>
    <w:rsid w:val="002D31E9"/>
    <w:rsid w:val="002D3BA0"/>
    <w:rsid w:val="002D3C1E"/>
    <w:rsid w:val="002D3D76"/>
    <w:rsid w:val="002D4CE9"/>
    <w:rsid w:val="002D5043"/>
    <w:rsid w:val="002D50BF"/>
    <w:rsid w:val="002D5B77"/>
    <w:rsid w:val="002D604D"/>
    <w:rsid w:val="002D6C45"/>
    <w:rsid w:val="002D7454"/>
    <w:rsid w:val="002D7A80"/>
    <w:rsid w:val="002D7B59"/>
    <w:rsid w:val="002D7FA3"/>
    <w:rsid w:val="002E0358"/>
    <w:rsid w:val="002E06D7"/>
    <w:rsid w:val="002E09FA"/>
    <w:rsid w:val="002E1081"/>
    <w:rsid w:val="002E16C8"/>
    <w:rsid w:val="002E1C66"/>
    <w:rsid w:val="002E1CF6"/>
    <w:rsid w:val="002E1DB4"/>
    <w:rsid w:val="002E1EF3"/>
    <w:rsid w:val="002E1FBB"/>
    <w:rsid w:val="002E23B9"/>
    <w:rsid w:val="002E26C9"/>
    <w:rsid w:val="002E3A86"/>
    <w:rsid w:val="002E3CD1"/>
    <w:rsid w:val="002E4032"/>
    <w:rsid w:val="002E419E"/>
    <w:rsid w:val="002E421F"/>
    <w:rsid w:val="002E479C"/>
    <w:rsid w:val="002E4C86"/>
    <w:rsid w:val="002E4CB1"/>
    <w:rsid w:val="002E5323"/>
    <w:rsid w:val="002E5A02"/>
    <w:rsid w:val="002E5AFA"/>
    <w:rsid w:val="002E6745"/>
    <w:rsid w:val="002E68CC"/>
    <w:rsid w:val="002E68DA"/>
    <w:rsid w:val="002E698E"/>
    <w:rsid w:val="002E6E3E"/>
    <w:rsid w:val="002E702C"/>
    <w:rsid w:val="002E7102"/>
    <w:rsid w:val="002E7432"/>
    <w:rsid w:val="002F11D6"/>
    <w:rsid w:val="002F1303"/>
    <w:rsid w:val="002F2D07"/>
    <w:rsid w:val="002F376E"/>
    <w:rsid w:val="002F3782"/>
    <w:rsid w:val="002F38FA"/>
    <w:rsid w:val="002F3926"/>
    <w:rsid w:val="002F3949"/>
    <w:rsid w:val="002F412A"/>
    <w:rsid w:val="002F44C1"/>
    <w:rsid w:val="002F4FD2"/>
    <w:rsid w:val="002F58F5"/>
    <w:rsid w:val="002F5A21"/>
    <w:rsid w:val="002F5A28"/>
    <w:rsid w:val="002F5B4C"/>
    <w:rsid w:val="002F608D"/>
    <w:rsid w:val="002F622D"/>
    <w:rsid w:val="002F635E"/>
    <w:rsid w:val="002F656B"/>
    <w:rsid w:val="002F6ACD"/>
    <w:rsid w:val="002F716F"/>
    <w:rsid w:val="002F7C0F"/>
    <w:rsid w:val="0030072A"/>
    <w:rsid w:val="003007BD"/>
    <w:rsid w:val="003017E1"/>
    <w:rsid w:val="00301808"/>
    <w:rsid w:val="003018A5"/>
    <w:rsid w:val="00301AC2"/>
    <w:rsid w:val="00301C99"/>
    <w:rsid w:val="00301FFE"/>
    <w:rsid w:val="00302022"/>
    <w:rsid w:val="0030220C"/>
    <w:rsid w:val="003022AB"/>
    <w:rsid w:val="00302850"/>
    <w:rsid w:val="00302945"/>
    <w:rsid w:val="00302A33"/>
    <w:rsid w:val="0030305C"/>
    <w:rsid w:val="00303577"/>
    <w:rsid w:val="00303795"/>
    <w:rsid w:val="00303AB2"/>
    <w:rsid w:val="00303B7A"/>
    <w:rsid w:val="00303D92"/>
    <w:rsid w:val="00303E20"/>
    <w:rsid w:val="00304516"/>
    <w:rsid w:val="0030474B"/>
    <w:rsid w:val="003048EB"/>
    <w:rsid w:val="00304F3F"/>
    <w:rsid w:val="00305218"/>
    <w:rsid w:val="003058E0"/>
    <w:rsid w:val="00305B0C"/>
    <w:rsid w:val="00305B9A"/>
    <w:rsid w:val="00305D56"/>
    <w:rsid w:val="00306323"/>
    <w:rsid w:val="003064AB"/>
    <w:rsid w:val="003066B3"/>
    <w:rsid w:val="00306B6B"/>
    <w:rsid w:val="00306D8D"/>
    <w:rsid w:val="0030721C"/>
    <w:rsid w:val="00307666"/>
    <w:rsid w:val="003104C3"/>
    <w:rsid w:val="00311210"/>
    <w:rsid w:val="003112F3"/>
    <w:rsid w:val="003114C5"/>
    <w:rsid w:val="003117B1"/>
    <w:rsid w:val="00311C55"/>
    <w:rsid w:val="003125B8"/>
    <w:rsid w:val="00312762"/>
    <w:rsid w:val="0031289F"/>
    <w:rsid w:val="003131F3"/>
    <w:rsid w:val="0031339E"/>
    <w:rsid w:val="0031364F"/>
    <w:rsid w:val="003137C0"/>
    <w:rsid w:val="00313D74"/>
    <w:rsid w:val="003150BA"/>
    <w:rsid w:val="003151CE"/>
    <w:rsid w:val="0031560A"/>
    <w:rsid w:val="00315BBB"/>
    <w:rsid w:val="003162A0"/>
    <w:rsid w:val="003165CE"/>
    <w:rsid w:val="0031791F"/>
    <w:rsid w:val="00317CEF"/>
    <w:rsid w:val="00317DB4"/>
    <w:rsid w:val="00320152"/>
    <w:rsid w:val="00320650"/>
    <w:rsid w:val="00320CDC"/>
    <w:rsid w:val="00320FB2"/>
    <w:rsid w:val="00322D15"/>
    <w:rsid w:val="003231DB"/>
    <w:rsid w:val="00324219"/>
    <w:rsid w:val="0032469F"/>
    <w:rsid w:val="003248EF"/>
    <w:rsid w:val="00324D97"/>
    <w:rsid w:val="00324EB2"/>
    <w:rsid w:val="00324F1C"/>
    <w:rsid w:val="00324F39"/>
    <w:rsid w:val="00325161"/>
    <w:rsid w:val="003253CB"/>
    <w:rsid w:val="003259D1"/>
    <w:rsid w:val="003262A1"/>
    <w:rsid w:val="00326315"/>
    <w:rsid w:val="00326392"/>
    <w:rsid w:val="003266C4"/>
    <w:rsid w:val="003269B5"/>
    <w:rsid w:val="00326DAF"/>
    <w:rsid w:val="0032705F"/>
    <w:rsid w:val="00327313"/>
    <w:rsid w:val="00327822"/>
    <w:rsid w:val="003303C9"/>
    <w:rsid w:val="003304F1"/>
    <w:rsid w:val="00330FC6"/>
    <w:rsid w:val="00331770"/>
    <w:rsid w:val="00332784"/>
    <w:rsid w:val="00332851"/>
    <w:rsid w:val="0033299B"/>
    <w:rsid w:val="00332A2D"/>
    <w:rsid w:val="00332D89"/>
    <w:rsid w:val="00332F7F"/>
    <w:rsid w:val="0033343D"/>
    <w:rsid w:val="00333528"/>
    <w:rsid w:val="0033353B"/>
    <w:rsid w:val="0033360B"/>
    <w:rsid w:val="00333D02"/>
    <w:rsid w:val="00333D82"/>
    <w:rsid w:val="00333FF1"/>
    <w:rsid w:val="00334CD9"/>
    <w:rsid w:val="003350B6"/>
    <w:rsid w:val="003352A1"/>
    <w:rsid w:val="00335325"/>
    <w:rsid w:val="003362C5"/>
    <w:rsid w:val="0033647A"/>
    <w:rsid w:val="00336840"/>
    <w:rsid w:val="003369C1"/>
    <w:rsid w:val="0033739B"/>
    <w:rsid w:val="003374D3"/>
    <w:rsid w:val="0033777A"/>
    <w:rsid w:val="00340470"/>
    <w:rsid w:val="00340A56"/>
    <w:rsid w:val="00340C58"/>
    <w:rsid w:val="003414F7"/>
    <w:rsid w:val="00341727"/>
    <w:rsid w:val="00341B79"/>
    <w:rsid w:val="00341F75"/>
    <w:rsid w:val="003423B1"/>
    <w:rsid w:val="0034270C"/>
    <w:rsid w:val="00342711"/>
    <w:rsid w:val="00342A81"/>
    <w:rsid w:val="00342A9C"/>
    <w:rsid w:val="00342D15"/>
    <w:rsid w:val="0034358E"/>
    <w:rsid w:val="00343595"/>
    <w:rsid w:val="00344053"/>
    <w:rsid w:val="00344262"/>
    <w:rsid w:val="003447A2"/>
    <w:rsid w:val="00344B14"/>
    <w:rsid w:val="0034511A"/>
    <w:rsid w:val="0034535D"/>
    <w:rsid w:val="003458A8"/>
    <w:rsid w:val="00345972"/>
    <w:rsid w:val="003464D1"/>
    <w:rsid w:val="00347139"/>
    <w:rsid w:val="00347232"/>
    <w:rsid w:val="003472A6"/>
    <w:rsid w:val="003473DC"/>
    <w:rsid w:val="00350073"/>
    <w:rsid w:val="003500B5"/>
    <w:rsid w:val="00350872"/>
    <w:rsid w:val="003509A9"/>
    <w:rsid w:val="00350F80"/>
    <w:rsid w:val="00351AF2"/>
    <w:rsid w:val="00351C5D"/>
    <w:rsid w:val="003523E3"/>
    <w:rsid w:val="00352E0B"/>
    <w:rsid w:val="0035366C"/>
    <w:rsid w:val="00353EAD"/>
    <w:rsid w:val="003541AF"/>
    <w:rsid w:val="0035424D"/>
    <w:rsid w:val="00354439"/>
    <w:rsid w:val="00354D8B"/>
    <w:rsid w:val="00355458"/>
    <w:rsid w:val="0035583C"/>
    <w:rsid w:val="00355905"/>
    <w:rsid w:val="003559E2"/>
    <w:rsid w:val="00355DB0"/>
    <w:rsid w:val="003566CF"/>
    <w:rsid w:val="0035685E"/>
    <w:rsid w:val="00356E96"/>
    <w:rsid w:val="00357120"/>
    <w:rsid w:val="00357755"/>
    <w:rsid w:val="003578C3"/>
    <w:rsid w:val="003601E3"/>
    <w:rsid w:val="00360400"/>
    <w:rsid w:val="00360478"/>
    <w:rsid w:val="003605C1"/>
    <w:rsid w:val="00360702"/>
    <w:rsid w:val="00360A48"/>
    <w:rsid w:val="00360AB7"/>
    <w:rsid w:val="00360C8E"/>
    <w:rsid w:val="00360DF6"/>
    <w:rsid w:val="0036150D"/>
    <w:rsid w:val="00361547"/>
    <w:rsid w:val="003615DC"/>
    <w:rsid w:val="00361681"/>
    <w:rsid w:val="003621CD"/>
    <w:rsid w:val="00362489"/>
    <w:rsid w:val="003625B2"/>
    <w:rsid w:val="003626CD"/>
    <w:rsid w:val="003627BD"/>
    <w:rsid w:val="00362F70"/>
    <w:rsid w:val="00362F8D"/>
    <w:rsid w:val="0036309F"/>
    <w:rsid w:val="003634DD"/>
    <w:rsid w:val="003637B9"/>
    <w:rsid w:val="003639BF"/>
    <w:rsid w:val="00363A8A"/>
    <w:rsid w:val="0036403F"/>
    <w:rsid w:val="003646FC"/>
    <w:rsid w:val="00364728"/>
    <w:rsid w:val="00364A9A"/>
    <w:rsid w:val="003652FD"/>
    <w:rsid w:val="003656F3"/>
    <w:rsid w:val="00366052"/>
    <w:rsid w:val="00366226"/>
    <w:rsid w:val="00366B9A"/>
    <w:rsid w:val="00366E3B"/>
    <w:rsid w:val="00366E99"/>
    <w:rsid w:val="00367052"/>
    <w:rsid w:val="003672A1"/>
    <w:rsid w:val="003700A4"/>
    <w:rsid w:val="00370A3B"/>
    <w:rsid w:val="00370CC9"/>
    <w:rsid w:val="00371110"/>
    <w:rsid w:val="003716CA"/>
    <w:rsid w:val="003718EA"/>
    <w:rsid w:val="003719E6"/>
    <w:rsid w:val="00371E6F"/>
    <w:rsid w:val="003727AE"/>
    <w:rsid w:val="00372F65"/>
    <w:rsid w:val="00373625"/>
    <w:rsid w:val="003736E8"/>
    <w:rsid w:val="00374393"/>
    <w:rsid w:val="00374975"/>
    <w:rsid w:val="00374BBB"/>
    <w:rsid w:val="003752AA"/>
    <w:rsid w:val="003764AB"/>
    <w:rsid w:val="003775B8"/>
    <w:rsid w:val="0037763F"/>
    <w:rsid w:val="00377914"/>
    <w:rsid w:val="00377A69"/>
    <w:rsid w:val="003806F2"/>
    <w:rsid w:val="00380B96"/>
    <w:rsid w:val="00380CC8"/>
    <w:rsid w:val="00380D1C"/>
    <w:rsid w:val="00380E5C"/>
    <w:rsid w:val="003811B2"/>
    <w:rsid w:val="00381605"/>
    <w:rsid w:val="00381A31"/>
    <w:rsid w:val="00381CBA"/>
    <w:rsid w:val="00381DFD"/>
    <w:rsid w:val="003821EC"/>
    <w:rsid w:val="00382259"/>
    <w:rsid w:val="003828EE"/>
    <w:rsid w:val="00382A40"/>
    <w:rsid w:val="00382BF9"/>
    <w:rsid w:val="00382EF9"/>
    <w:rsid w:val="00383755"/>
    <w:rsid w:val="00383BFB"/>
    <w:rsid w:val="0038416E"/>
    <w:rsid w:val="00384476"/>
    <w:rsid w:val="00384594"/>
    <w:rsid w:val="00384F3C"/>
    <w:rsid w:val="00385287"/>
    <w:rsid w:val="0038626F"/>
    <w:rsid w:val="003863CA"/>
    <w:rsid w:val="00386546"/>
    <w:rsid w:val="003865D6"/>
    <w:rsid w:val="003867C6"/>
    <w:rsid w:val="00386DFA"/>
    <w:rsid w:val="00386E6C"/>
    <w:rsid w:val="00387753"/>
    <w:rsid w:val="003877AF"/>
    <w:rsid w:val="00390A5C"/>
    <w:rsid w:val="00391028"/>
    <w:rsid w:val="00391BF0"/>
    <w:rsid w:val="00391F01"/>
    <w:rsid w:val="00392637"/>
    <w:rsid w:val="003927AC"/>
    <w:rsid w:val="00392853"/>
    <w:rsid w:val="00392A87"/>
    <w:rsid w:val="00392D94"/>
    <w:rsid w:val="0039322E"/>
    <w:rsid w:val="00393796"/>
    <w:rsid w:val="0039379F"/>
    <w:rsid w:val="00393832"/>
    <w:rsid w:val="00393A00"/>
    <w:rsid w:val="00393A28"/>
    <w:rsid w:val="00393DA8"/>
    <w:rsid w:val="00394D10"/>
    <w:rsid w:val="00394F64"/>
    <w:rsid w:val="0039538B"/>
    <w:rsid w:val="0039538E"/>
    <w:rsid w:val="003953FE"/>
    <w:rsid w:val="003955E9"/>
    <w:rsid w:val="00395676"/>
    <w:rsid w:val="00395D68"/>
    <w:rsid w:val="00395E22"/>
    <w:rsid w:val="00395F22"/>
    <w:rsid w:val="003961E2"/>
    <w:rsid w:val="00396840"/>
    <w:rsid w:val="00396A7F"/>
    <w:rsid w:val="00396DAD"/>
    <w:rsid w:val="00396DB2"/>
    <w:rsid w:val="00397046"/>
    <w:rsid w:val="003970DC"/>
    <w:rsid w:val="003974D4"/>
    <w:rsid w:val="00397EC7"/>
    <w:rsid w:val="003A0CD0"/>
    <w:rsid w:val="003A0D29"/>
    <w:rsid w:val="003A1556"/>
    <w:rsid w:val="003A1577"/>
    <w:rsid w:val="003A19AE"/>
    <w:rsid w:val="003A1CA1"/>
    <w:rsid w:val="003A2030"/>
    <w:rsid w:val="003A223A"/>
    <w:rsid w:val="003A2741"/>
    <w:rsid w:val="003A28F5"/>
    <w:rsid w:val="003A300E"/>
    <w:rsid w:val="003A3064"/>
    <w:rsid w:val="003A3D53"/>
    <w:rsid w:val="003A3D6B"/>
    <w:rsid w:val="003A3EAA"/>
    <w:rsid w:val="003A4297"/>
    <w:rsid w:val="003A46DF"/>
    <w:rsid w:val="003A47E8"/>
    <w:rsid w:val="003A4E86"/>
    <w:rsid w:val="003A5B31"/>
    <w:rsid w:val="003A5D76"/>
    <w:rsid w:val="003A5E3D"/>
    <w:rsid w:val="003A5E92"/>
    <w:rsid w:val="003A662A"/>
    <w:rsid w:val="003A722D"/>
    <w:rsid w:val="003A771C"/>
    <w:rsid w:val="003A7806"/>
    <w:rsid w:val="003A7D52"/>
    <w:rsid w:val="003A7E5A"/>
    <w:rsid w:val="003B062B"/>
    <w:rsid w:val="003B123A"/>
    <w:rsid w:val="003B135F"/>
    <w:rsid w:val="003B13A2"/>
    <w:rsid w:val="003B1C97"/>
    <w:rsid w:val="003B1F78"/>
    <w:rsid w:val="003B2453"/>
    <w:rsid w:val="003B24D3"/>
    <w:rsid w:val="003B27D6"/>
    <w:rsid w:val="003B2AA9"/>
    <w:rsid w:val="003B3025"/>
    <w:rsid w:val="003B3103"/>
    <w:rsid w:val="003B3445"/>
    <w:rsid w:val="003B4488"/>
    <w:rsid w:val="003B4536"/>
    <w:rsid w:val="003B47BB"/>
    <w:rsid w:val="003B4C43"/>
    <w:rsid w:val="003B51AC"/>
    <w:rsid w:val="003B5342"/>
    <w:rsid w:val="003B54D5"/>
    <w:rsid w:val="003B54FA"/>
    <w:rsid w:val="003B5DE5"/>
    <w:rsid w:val="003B5F45"/>
    <w:rsid w:val="003B6AD5"/>
    <w:rsid w:val="003B6E33"/>
    <w:rsid w:val="003B7C9C"/>
    <w:rsid w:val="003B7FE7"/>
    <w:rsid w:val="003C03D3"/>
    <w:rsid w:val="003C047B"/>
    <w:rsid w:val="003C061D"/>
    <w:rsid w:val="003C0ABA"/>
    <w:rsid w:val="003C12CB"/>
    <w:rsid w:val="003C1599"/>
    <w:rsid w:val="003C1A33"/>
    <w:rsid w:val="003C21AA"/>
    <w:rsid w:val="003C2293"/>
    <w:rsid w:val="003C257E"/>
    <w:rsid w:val="003C261D"/>
    <w:rsid w:val="003C295A"/>
    <w:rsid w:val="003C2A10"/>
    <w:rsid w:val="003C338A"/>
    <w:rsid w:val="003C3AA3"/>
    <w:rsid w:val="003C3AC0"/>
    <w:rsid w:val="003C3B84"/>
    <w:rsid w:val="003C43E6"/>
    <w:rsid w:val="003C4645"/>
    <w:rsid w:val="003C46DA"/>
    <w:rsid w:val="003C4A22"/>
    <w:rsid w:val="003C4A6E"/>
    <w:rsid w:val="003C4E95"/>
    <w:rsid w:val="003C50A0"/>
    <w:rsid w:val="003C528E"/>
    <w:rsid w:val="003C5CFC"/>
    <w:rsid w:val="003C6C0A"/>
    <w:rsid w:val="003C6FE4"/>
    <w:rsid w:val="003C77CB"/>
    <w:rsid w:val="003D001F"/>
    <w:rsid w:val="003D16E0"/>
    <w:rsid w:val="003D26A8"/>
    <w:rsid w:val="003D2B38"/>
    <w:rsid w:val="003D2DA8"/>
    <w:rsid w:val="003D2FBB"/>
    <w:rsid w:val="003D31BB"/>
    <w:rsid w:val="003D428E"/>
    <w:rsid w:val="003D455B"/>
    <w:rsid w:val="003D46DE"/>
    <w:rsid w:val="003D476C"/>
    <w:rsid w:val="003D4C97"/>
    <w:rsid w:val="003D514A"/>
    <w:rsid w:val="003D52C2"/>
    <w:rsid w:val="003D5A2C"/>
    <w:rsid w:val="003D5B67"/>
    <w:rsid w:val="003D6164"/>
    <w:rsid w:val="003D619A"/>
    <w:rsid w:val="003D6C0F"/>
    <w:rsid w:val="003D75CF"/>
    <w:rsid w:val="003D77FD"/>
    <w:rsid w:val="003E0238"/>
    <w:rsid w:val="003E0B2D"/>
    <w:rsid w:val="003E0F7B"/>
    <w:rsid w:val="003E1140"/>
    <w:rsid w:val="003E13A0"/>
    <w:rsid w:val="003E14A9"/>
    <w:rsid w:val="003E158E"/>
    <w:rsid w:val="003E171D"/>
    <w:rsid w:val="003E1A8D"/>
    <w:rsid w:val="003E22C7"/>
    <w:rsid w:val="003E2786"/>
    <w:rsid w:val="003E2794"/>
    <w:rsid w:val="003E2855"/>
    <w:rsid w:val="003E2900"/>
    <w:rsid w:val="003E2A1A"/>
    <w:rsid w:val="003E2A26"/>
    <w:rsid w:val="003E37D5"/>
    <w:rsid w:val="003E3995"/>
    <w:rsid w:val="003E3F6B"/>
    <w:rsid w:val="003E4640"/>
    <w:rsid w:val="003E5A66"/>
    <w:rsid w:val="003E5E6B"/>
    <w:rsid w:val="003E6150"/>
    <w:rsid w:val="003E615B"/>
    <w:rsid w:val="003E626F"/>
    <w:rsid w:val="003E6809"/>
    <w:rsid w:val="003E685B"/>
    <w:rsid w:val="003E6B36"/>
    <w:rsid w:val="003E6E52"/>
    <w:rsid w:val="003E6F34"/>
    <w:rsid w:val="003F0562"/>
    <w:rsid w:val="003F07C3"/>
    <w:rsid w:val="003F0BF2"/>
    <w:rsid w:val="003F0D42"/>
    <w:rsid w:val="003F117A"/>
    <w:rsid w:val="003F127A"/>
    <w:rsid w:val="003F188A"/>
    <w:rsid w:val="003F203B"/>
    <w:rsid w:val="003F20B8"/>
    <w:rsid w:val="003F3363"/>
    <w:rsid w:val="003F3DB5"/>
    <w:rsid w:val="003F4113"/>
    <w:rsid w:val="003F413A"/>
    <w:rsid w:val="003F43A4"/>
    <w:rsid w:val="003F454A"/>
    <w:rsid w:val="003F476A"/>
    <w:rsid w:val="003F4E29"/>
    <w:rsid w:val="003F53E7"/>
    <w:rsid w:val="003F5E0D"/>
    <w:rsid w:val="003F63BD"/>
    <w:rsid w:val="003F677C"/>
    <w:rsid w:val="003F7125"/>
    <w:rsid w:val="003F7390"/>
    <w:rsid w:val="003F7860"/>
    <w:rsid w:val="003F7FA7"/>
    <w:rsid w:val="004001CA"/>
    <w:rsid w:val="00400EAF"/>
    <w:rsid w:val="0040143F"/>
    <w:rsid w:val="0040196C"/>
    <w:rsid w:val="00401C9F"/>
    <w:rsid w:val="004022EC"/>
    <w:rsid w:val="00402754"/>
    <w:rsid w:val="00402F17"/>
    <w:rsid w:val="00403392"/>
    <w:rsid w:val="00403412"/>
    <w:rsid w:val="00404028"/>
    <w:rsid w:val="00404D2E"/>
    <w:rsid w:val="004051C9"/>
    <w:rsid w:val="004053E6"/>
    <w:rsid w:val="00405EB1"/>
    <w:rsid w:val="004060EC"/>
    <w:rsid w:val="0040638D"/>
    <w:rsid w:val="004063E4"/>
    <w:rsid w:val="00406405"/>
    <w:rsid w:val="0040696E"/>
    <w:rsid w:val="00406ACC"/>
    <w:rsid w:val="004073A4"/>
    <w:rsid w:val="00407840"/>
    <w:rsid w:val="00407902"/>
    <w:rsid w:val="00407D1F"/>
    <w:rsid w:val="004104B5"/>
    <w:rsid w:val="00410993"/>
    <w:rsid w:val="00410E00"/>
    <w:rsid w:val="0041167F"/>
    <w:rsid w:val="004116DA"/>
    <w:rsid w:val="004117CF"/>
    <w:rsid w:val="004118DB"/>
    <w:rsid w:val="00411A94"/>
    <w:rsid w:val="004120D5"/>
    <w:rsid w:val="004122AA"/>
    <w:rsid w:val="00412952"/>
    <w:rsid w:val="00412B38"/>
    <w:rsid w:val="004133C4"/>
    <w:rsid w:val="00413FE5"/>
    <w:rsid w:val="004141B9"/>
    <w:rsid w:val="00414439"/>
    <w:rsid w:val="004144C1"/>
    <w:rsid w:val="004144E8"/>
    <w:rsid w:val="0041472D"/>
    <w:rsid w:val="00414740"/>
    <w:rsid w:val="004152CE"/>
    <w:rsid w:val="0041565C"/>
    <w:rsid w:val="004159EC"/>
    <w:rsid w:val="00416120"/>
    <w:rsid w:val="00416381"/>
    <w:rsid w:val="00416672"/>
    <w:rsid w:val="00416882"/>
    <w:rsid w:val="00416D42"/>
    <w:rsid w:val="00417C9D"/>
    <w:rsid w:val="00420136"/>
    <w:rsid w:val="004205AA"/>
    <w:rsid w:val="004206D0"/>
    <w:rsid w:val="00420AE5"/>
    <w:rsid w:val="00420D74"/>
    <w:rsid w:val="004211AD"/>
    <w:rsid w:val="00421266"/>
    <w:rsid w:val="00421569"/>
    <w:rsid w:val="004219FE"/>
    <w:rsid w:val="00421A94"/>
    <w:rsid w:val="00422257"/>
    <w:rsid w:val="0042253F"/>
    <w:rsid w:val="00422DD6"/>
    <w:rsid w:val="00423035"/>
    <w:rsid w:val="0042344A"/>
    <w:rsid w:val="0042366B"/>
    <w:rsid w:val="0042368A"/>
    <w:rsid w:val="004239E6"/>
    <w:rsid w:val="00423D5E"/>
    <w:rsid w:val="00424121"/>
    <w:rsid w:val="00424262"/>
    <w:rsid w:val="0042457F"/>
    <w:rsid w:val="00424BEA"/>
    <w:rsid w:val="00424CF7"/>
    <w:rsid w:val="00425BCA"/>
    <w:rsid w:val="00426041"/>
    <w:rsid w:val="00426A9F"/>
    <w:rsid w:val="00426ADE"/>
    <w:rsid w:val="00426B00"/>
    <w:rsid w:val="00426B8F"/>
    <w:rsid w:val="00426EB1"/>
    <w:rsid w:val="00427293"/>
    <w:rsid w:val="004274A5"/>
    <w:rsid w:val="0042756B"/>
    <w:rsid w:val="0042790F"/>
    <w:rsid w:val="0042791D"/>
    <w:rsid w:val="00427BDE"/>
    <w:rsid w:val="00427BEF"/>
    <w:rsid w:val="0043011F"/>
    <w:rsid w:val="0043146E"/>
    <w:rsid w:val="00431DC3"/>
    <w:rsid w:val="004320F4"/>
    <w:rsid w:val="00432242"/>
    <w:rsid w:val="0043225C"/>
    <w:rsid w:val="00432320"/>
    <w:rsid w:val="004328E9"/>
    <w:rsid w:val="00433462"/>
    <w:rsid w:val="00433550"/>
    <w:rsid w:val="00433565"/>
    <w:rsid w:val="00433A7E"/>
    <w:rsid w:val="004343BF"/>
    <w:rsid w:val="00434712"/>
    <w:rsid w:val="004364E5"/>
    <w:rsid w:val="00436B20"/>
    <w:rsid w:val="00437437"/>
    <w:rsid w:val="00437625"/>
    <w:rsid w:val="004377B1"/>
    <w:rsid w:val="00437AAA"/>
    <w:rsid w:val="00437DFE"/>
    <w:rsid w:val="00437FCF"/>
    <w:rsid w:val="00440DB7"/>
    <w:rsid w:val="00440F02"/>
    <w:rsid w:val="00441492"/>
    <w:rsid w:val="004415CE"/>
    <w:rsid w:val="00441664"/>
    <w:rsid w:val="00441800"/>
    <w:rsid w:val="00441F4E"/>
    <w:rsid w:val="00442375"/>
    <w:rsid w:val="00442533"/>
    <w:rsid w:val="0044255A"/>
    <w:rsid w:val="00442AB1"/>
    <w:rsid w:val="00442B0E"/>
    <w:rsid w:val="0044337E"/>
    <w:rsid w:val="00443763"/>
    <w:rsid w:val="00443791"/>
    <w:rsid w:val="00443C77"/>
    <w:rsid w:val="00444258"/>
    <w:rsid w:val="00444A18"/>
    <w:rsid w:val="00444E52"/>
    <w:rsid w:val="00444ECB"/>
    <w:rsid w:val="00444FCD"/>
    <w:rsid w:val="004451DA"/>
    <w:rsid w:val="00445F7F"/>
    <w:rsid w:val="00446569"/>
    <w:rsid w:val="0044670B"/>
    <w:rsid w:val="004467AB"/>
    <w:rsid w:val="004472AD"/>
    <w:rsid w:val="004474C1"/>
    <w:rsid w:val="004474E0"/>
    <w:rsid w:val="00447806"/>
    <w:rsid w:val="00447BA0"/>
    <w:rsid w:val="00447E52"/>
    <w:rsid w:val="0045006C"/>
    <w:rsid w:val="0045033E"/>
    <w:rsid w:val="00450A35"/>
    <w:rsid w:val="00450BF4"/>
    <w:rsid w:val="00450FF0"/>
    <w:rsid w:val="004515DB"/>
    <w:rsid w:val="004519D1"/>
    <w:rsid w:val="00451F78"/>
    <w:rsid w:val="004530DB"/>
    <w:rsid w:val="00453459"/>
    <w:rsid w:val="00453B31"/>
    <w:rsid w:val="00453D1D"/>
    <w:rsid w:val="00453EC0"/>
    <w:rsid w:val="004543AB"/>
    <w:rsid w:val="004543F6"/>
    <w:rsid w:val="00454DC9"/>
    <w:rsid w:val="00454E08"/>
    <w:rsid w:val="004556ED"/>
    <w:rsid w:val="00455748"/>
    <w:rsid w:val="004557B3"/>
    <w:rsid w:val="004560A6"/>
    <w:rsid w:val="00456343"/>
    <w:rsid w:val="004565B7"/>
    <w:rsid w:val="004565F2"/>
    <w:rsid w:val="004573DC"/>
    <w:rsid w:val="00457DAD"/>
    <w:rsid w:val="00460578"/>
    <w:rsid w:val="00460DDE"/>
    <w:rsid w:val="00460E06"/>
    <w:rsid w:val="00462257"/>
    <w:rsid w:val="0046263F"/>
    <w:rsid w:val="00462749"/>
    <w:rsid w:val="00462AEB"/>
    <w:rsid w:val="00462BE8"/>
    <w:rsid w:val="00462D4F"/>
    <w:rsid w:val="00462E4A"/>
    <w:rsid w:val="00463402"/>
    <w:rsid w:val="00463BD7"/>
    <w:rsid w:val="00464123"/>
    <w:rsid w:val="0046556F"/>
    <w:rsid w:val="00465795"/>
    <w:rsid w:val="00465976"/>
    <w:rsid w:val="004661BE"/>
    <w:rsid w:val="00466508"/>
    <w:rsid w:val="00466C9A"/>
    <w:rsid w:val="00466FFE"/>
    <w:rsid w:val="00467155"/>
    <w:rsid w:val="004673C3"/>
    <w:rsid w:val="00467808"/>
    <w:rsid w:val="00467BA8"/>
    <w:rsid w:val="00467C0D"/>
    <w:rsid w:val="00467D67"/>
    <w:rsid w:val="0047051F"/>
    <w:rsid w:val="004708B8"/>
    <w:rsid w:val="00471250"/>
    <w:rsid w:val="004713E6"/>
    <w:rsid w:val="00471821"/>
    <w:rsid w:val="00471D18"/>
    <w:rsid w:val="004720CD"/>
    <w:rsid w:val="0047217F"/>
    <w:rsid w:val="00472789"/>
    <w:rsid w:val="00472DF0"/>
    <w:rsid w:val="00472E2F"/>
    <w:rsid w:val="00472EB2"/>
    <w:rsid w:val="00472F9C"/>
    <w:rsid w:val="004731BF"/>
    <w:rsid w:val="00473254"/>
    <w:rsid w:val="00473596"/>
    <w:rsid w:val="0047399F"/>
    <w:rsid w:val="004739B0"/>
    <w:rsid w:val="00473CBA"/>
    <w:rsid w:val="004742ED"/>
    <w:rsid w:val="00474802"/>
    <w:rsid w:val="00474C13"/>
    <w:rsid w:val="0047514C"/>
    <w:rsid w:val="00475479"/>
    <w:rsid w:val="00475787"/>
    <w:rsid w:val="00475825"/>
    <w:rsid w:val="00476203"/>
    <w:rsid w:val="00476228"/>
    <w:rsid w:val="0047640C"/>
    <w:rsid w:val="00476A51"/>
    <w:rsid w:val="0047794D"/>
    <w:rsid w:val="00477BD0"/>
    <w:rsid w:val="00480CB4"/>
    <w:rsid w:val="00480D6F"/>
    <w:rsid w:val="004810B8"/>
    <w:rsid w:val="004816E4"/>
    <w:rsid w:val="00481C5E"/>
    <w:rsid w:val="004826C6"/>
    <w:rsid w:val="00482E8F"/>
    <w:rsid w:val="00483783"/>
    <w:rsid w:val="00483C1C"/>
    <w:rsid w:val="00483E6F"/>
    <w:rsid w:val="004842F4"/>
    <w:rsid w:val="00484841"/>
    <w:rsid w:val="00484AF5"/>
    <w:rsid w:val="00484B3C"/>
    <w:rsid w:val="00484D9B"/>
    <w:rsid w:val="00484FB2"/>
    <w:rsid w:val="00485119"/>
    <w:rsid w:val="00485308"/>
    <w:rsid w:val="00485D27"/>
    <w:rsid w:val="00486350"/>
    <w:rsid w:val="0048665A"/>
    <w:rsid w:val="004870F5"/>
    <w:rsid w:val="0048710A"/>
    <w:rsid w:val="0048718D"/>
    <w:rsid w:val="004871C1"/>
    <w:rsid w:val="00487502"/>
    <w:rsid w:val="00487AF4"/>
    <w:rsid w:val="00490787"/>
    <w:rsid w:val="00490A6D"/>
    <w:rsid w:val="00491A2B"/>
    <w:rsid w:val="0049239B"/>
    <w:rsid w:val="004923CA"/>
    <w:rsid w:val="00492EDD"/>
    <w:rsid w:val="00492EE4"/>
    <w:rsid w:val="00492F66"/>
    <w:rsid w:val="004932A6"/>
    <w:rsid w:val="004933D7"/>
    <w:rsid w:val="00493A7D"/>
    <w:rsid w:val="00493FEB"/>
    <w:rsid w:val="004947AD"/>
    <w:rsid w:val="00494C0D"/>
    <w:rsid w:val="00495FDB"/>
    <w:rsid w:val="004970F3"/>
    <w:rsid w:val="004A0710"/>
    <w:rsid w:val="004A0B15"/>
    <w:rsid w:val="004A0DE5"/>
    <w:rsid w:val="004A0EB6"/>
    <w:rsid w:val="004A0FB4"/>
    <w:rsid w:val="004A1A06"/>
    <w:rsid w:val="004A1CEF"/>
    <w:rsid w:val="004A1FDE"/>
    <w:rsid w:val="004A2A7F"/>
    <w:rsid w:val="004A2F78"/>
    <w:rsid w:val="004A310F"/>
    <w:rsid w:val="004A34A6"/>
    <w:rsid w:val="004A357E"/>
    <w:rsid w:val="004A38B9"/>
    <w:rsid w:val="004A39A2"/>
    <w:rsid w:val="004A402E"/>
    <w:rsid w:val="004A42FE"/>
    <w:rsid w:val="004A44A4"/>
    <w:rsid w:val="004A44C2"/>
    <w:rsid w:val="004A51D1"/>
    <w:rsid w:val="004A59F4"/>
    <w:rsid w:val="004A714F"/>
    <w:rsid w:val="004A75AC"/>
    <w:rsid w:val="004A7C5E"/>
    <w:rsid w:val="004A7CBE"/>
    <w:rsid w:val="004B01B0"/>
    <w:rsid w:val="004B01F1"/>
    <w:rsid w:val="004B05E6"/>
    <w:rsid w:val="004B0BF6"/>
    <w:rsid w:val="004B0C03"/>
    <w:rsid w:val="004B171B"/>
    <w:rsid w:val="004B1D33"/>
    <w:rsid w:val="004B1F66"/>
    <w:rsid w:val="004B1F99"/>
    <w:rsid w:val="004B215D"/>
    <w:rsid w:val="004B24BE"/>
    <w:rsid w:val="004B28B2"/>
    <w:rsid w:val="004B3147"/>
    <w:rsid w:val="004B338B"/>
    <w:rsid w:val="004B41F4"/>
    <w:rsid w:val="004B4AA2"/>
    <w:rsid w:val="004B4ADE"/>
    <w:rsid w:val="004B4BBF"/>
    <w:rsid w:val="004B4F96"/>
    <w:rsid w:val="004B53B1"/>
    <w:rsid w:val="004B5532"/>
    <w:rsid w:val="004B55C7"/>
    <w:rsid w:val="004B5847"/>
    <w:rsid w:val="004B60A8"/>
    <w:rsid w:val="004B6DA8"/>
    <w:rsid w:val="004B71FA"/>
    <w:rsid w:val="004B720C"/>
    <w:rsid w:val="004B73EB"/>
    <w:rsid w:val="004B7D11"/>
    <w:rsid w:val="004C0299"/>
    <w:rsid w:val="004C077D"/>
    <w:rsid w:val="004C08AD"/>
    <w:rsid w:val="004C09A3"/>
    <w:rsid w:val="004C0A97"/>
    <w:rsid w:val="004C0B4C"/>
    <w:rsid w:val="004C12EE"/>
    <w:rsid w:val="004C1868"/>
    <w:rsid w:val="004C18E0"/>
    <w:rsid w:val="004C1A8A"/>
    <w:rsid w:val="004C1FD3"/>
    <w:rsid w:val="004C1FFD"/>
    <w:rsid w:val="004C2A89"/>
    <w:rsid w:val="004C2BC4"/>
    <w:rsid w:val="004C2BF6"/>
    <w:rsid w:val="004C2C83"/>
    <w:rsid w:val="004C2FC3"/>
    <w:rsid w:val="004C3A0B"/>
    <w:rsid w:val="004C3C5E"/>
    <w:rsid w:val="004C3D75"/>
    <w:rsid w:val="004C471B"/>
    <w:rsid w:val="004C48E6"/>
    <w:rsid w:val="004C4C5C"/>
    <w:rsid w:val="004C4F9A"/>
    <w:rsid w:val="004C50DB"/>
    <w:rsid w:val="004C54A7"/>
    <w:rsid w:val="004C6203"/>
    <w:rsid w:val="004C6900"/>
    <w:rsid w:val="004C70CD"/>
    <w:rsid w:val="004C790C"/>
    <w:rsid w:val="004C7C49"/>
    <w:rsid w:val="004D012F"/>
    <w:rsid w:val="004D01E1"/>
    <w:rsid w:val="004D0431"/>
    <w:rsid w:val="004D0B21"/>
    <w:rsid w:val="004D0D1A"/>
    <w:rsid w:val="004D0EBB"/>
    <w:rsid w:val="004D1053"/>
    <w:rsid w:val="004D10EC"/>
    <w:rsid w:val="004D1328"/>
    <w:rsid w:val="004D13D7"/>
    <w:rsid w:val="004D245B"/>
    <w:rsid w:val="004D248A"/>
    <w:rsid w:val="004D26FF"/>
    <w:rsid w:val="004D2B79"/>
    <w:rsid w:val="004D2DB0"/>
    <w:rsid w:val="004D2EAE"/>
    <w:rsid w:val="004D362C"/>
    <w:rsid w:val="004D3963"/>
    <w:rsid w:val="004D3C75"/>
    <w:rsid w:val="004D3CDF"/>
    <w:rsid w:val="004D4598"/>
    <w:rsid w:val="004D4C33"/>
    <w:rsid w:val="004D53D2"/>
    <w:rsid w:val="004D53E6"/>
    <w:rsid w:val="004D5627"/>
    <w:rsid w:val="004D5FFC"/>
    <w:rsid w:val="004D6005"/>
    <w:rsid w:val="004D62F9"/>
    <w:rsid w:val="004D6C81"/>
    <w:rsid w:val="004D6CB5"/>
    <w:rsid w:val="004D6F2B"/>
    <w:rsid w:val="004D7589"/>
    <w:rsid w:val="004D7B11"/>
    <w:rsid w:val="004D7BC6"/>
    <w:rsid w:val="004D7C2C"/>
    <w:rsid w:val="004E0888"/>
    <w:rsid w:val="004E0DF2"/>
    <w:rsid w:val="004E1305"/>
    <w:rsid w:val="004E1917"/>
    <w:rsid w:val="004E1EEF"/>
    <w:rsid w:val="004E2780"/>
    <w:rsid w:val="004E2AF8"/>
    <w:rsid w:val="004E2BA9"/>
    <w:rsid w:val="004E2F64"/>
    <w:rsid w:val="004E3294"/>
    <w:rsid w:val="004E33F8"/>
    <w:rsid w:val="004E348A"/>
    <w:rsid w:val="004E36FB"/>
    <w:rsid w:val="004E380D"/>
    <w:rsid w:val="004E4314"/>
    <w:rsid w:val="004E45D7"/>
    <w:rsid w:val="004E4A44"/>
    <w:rsid w:val="004E4F86"/>
    <w:rsid w:val="004E4FAB"/>
    <w:rsid w:val="004E516A"/>
    <w:rsid w:val="004E5299"/>
    <w:rsid w:val="004E572C"/>
    <w:rsid w:val="004E5A3B"/>
    <w:rsid w:val="004E6049"/>
    <w:rsid w:val="004E639D"/>
    <w:rsid w:val="004E6AEF"/>
    <w:rsid w:val="004E6D6F"/>
    <w:rsid w:val="004E7076"/>
    <w:rsid w:val="004E74EC"/>
    <w:rsid w:val="004E757B"/>
    <w:rsid w:val="004E7D38"/>
    <w:rsid w:val="004E7EA8"/>
    <w:rsid w:val="004E7FF0"/>
    <w:rsid w:val="004F0A2E"/>
    <w:rsid w:val="004F0EEC"/>
    <w:rsid w:val="004F1091"/>
    <w:rsid w:val="004F1342"/>
    <w:rsid w:val="004F13BF"/>
    <w:rsid w:val="004F1790"/>
    <w:rsid w:val="004F18D3"/>
    <w:rsid w:val="004F18EC"/>
    <w:rsid w:val="004F1C98"/>
    <w:rsid w:val="004F2027"/>
    <w:rsid w:val="004F2177"/>
    <w:rsid w:val="004F263C"/>
    <w:rsid w:val="004F2B4F"/>
    <w:rsid w:val="004F340F"/>
    <w:rsid w:val="004F3A4E"/>
    <w:rsid w:val="004F3A80"/>
    <w:rsid w:val="004F3D6A"/>
    <w:rsid w:val="004F3F9A"/>
    <w:rsid w:val="004F416F"/>
    <w:rsid w:val="004F41F4"/>
    <w:rsid w:val="004F4FDF"/>
    <w:rsid w:val="004F501F"/>
    <w:rsid w:val="004F517C"/>
    <w:rsid w:val="004F5886"/>
    <w:rsid w:val="004F5DA3"/>
    <w:rsid w:val="004F5E3F"/>
    <w:rsid w:val="004F604E"/>
    <w:rsid w:val="004F63C9"/>
    <w:rsid w:val="004F6BA4"/>
    <w:rsid w:val="004F6BA8"/>
    <w:rsid w:val="004F6C4B"/>
    <w:rsid w:val="004F6F06"/>
    <w:rsid w:val="004F6F8F"/>
    <w:rsid w:val="004F73E6"/>
    <w:rsid w:val="004F7724"/>
    <w:rsid w:val="004F78D3"/>
    <w:rsid w:val="004F7B83"/>
    <w:rsid w:val="004F7FA4"/>
    <w:rsid w:val="005008A6"/>
    <w:rsid w:val="005008B1"/>
    <w:rsid w:val="00500A20"/>
    <w:rsid w:val="00501101"/>
    <w:rsid w:val="0050147B"/>
    <w:rsid w:val="00501918"/>
    <w:rsid w:val="00501AC3"/>
    <w:rsid w:val="00501B45"/>
    <w:rsid w:val="0050278A"/>
    <w:rsid w:val="005027C1"/>
    <w:rsid w:val="0050297C"/>
    <w:rsid w:val="00502B0F"/>
    <w:rsid w:val="00502E83"/>
    <w:rsid w:val="00503230"/>
    <w:rsid w:val="005035D1"/>
    <w:rsid w:val="00503777"/>
    <w:rsid w:val="00503902"/>
    <w:rsid w:val="00503ACC"/>
    <w:rsid w:val="00503EDB"/>
    <w:rsid w:val="00503FFE"/>
    <w:rsid w:val="00504277"/>
    <w:rsid w:val="005045E8"/>
    <w:rsid w:val="00504F52"/>
    <w:rsid w:val="0050508B"/>
    <w:rsid w:val="00505880"/>
    <w:rsid w:val="00505E12"/>
    <w:rsid w:val="00506135"/>
    <w:rsid w:val="00506452"/>
    <w:rsid w:val="00506533"/>
    <w:rsid w:val="005068DC"/>
    <w:rsid w:val="00506AB5"/>
    <w:rsid w:val="005070D5"/>
    <w:rsid w:val="00507462"/>
    <w:rsid w:val="00507944"/>
    <w:rsid w:val="00507AD6"/>
    <w:rsid w:val="00507BC2"/>
    <w:rsid w:val="00511797"/>
    <w:rsid w:val="00511A5D"/>
    <w:rsid w:val="00511B42"/>
    <w:rsid w:val="00511BEA"/>
    <w:rsid w:val="00512953"/>
    <w:rsid w:val="00512DA4"/>
    <w:rsid w:val="005130A5"/>
    <w:rsid w:val="00513185"/>
    <w:rsid w:val="005136C5"/>
    <w:rsid w:val="005138A5"/>
    <w:rsid w:val="00513A4A"/>
    <w:rsid w:val="00513D9B"/>
    <w:rsid w:val="00514274"/>
    <w:rsid w:val="00514E02"/>
    <w:rsid w:val="00514F38"/>
    <w:rsid w:val="0051503E"/>
    <w:rsid w:val="00516171"/>
    <w:rsid w:val="005162D0"/>
    <w:rsid w:val="00516F2C"/>
    <w:rsid w:val="00517418"/>
    <w:rsid w:val="0051796A"/>
    <w:rsid w:val="00517AD8"/>
    <w:rsid w:val="00517F93"/>
    <w:rsid w:val="0052016C"/>
    <w:rsid w:val="00520373"/>
    <w:rsid w:val="00520D28"/>
    <w:rsid w:val="00521395"/>
    <w:rsid w:val="005213E2"/>
    <w:rsid w:val="005218E9"/>
    <w:rsid w:val="00521DCF"/>
    <w:rsid w:val="005223E4"/>
    <w:rsid w:val="005228D1"/>
    <w:rsid w:val="00522C4A"/>
    <w:rsid w:val="00522EF1"/>
    <w:rsid w:val="00523619"/>
    <w:rsid w:val="005236B7"/>
    <w:rsid w:val="00523A82"/>
    <w:rsid w:val="00523CCC"/>
    <w:rsid w:val="00524182"/>
    <w:rsid w:val="00524281"/>
    <w:rsid w:val="00524300"/>
    <w:rsid w:val="005243E2"/>
    <w:rsid w:val="0052483E"/>
    <w:rsid w:val="005251AA"/>
    <w:rsid w:val="00525B45"/>
    <w:rsid w:val="00525EE7"/>
    <w:rsid w:val="00526015"/>
    <w:rsid w:val="00526167"/>
    <w:rsid w:val="0052617C"/>
    <w:rsid w:val="00526863"/>
    <w:rsid w:val="00526A3E"/>
    <w:rsid w:val="00526CFF"/>
    <w:rsid w:val="00526F64"/>
    <w:rsid w:val="00527265"/>
    <w:rsid w:val="00530261"/>
    <w:rsid w:val="00530278"/>
    <w:rsid w:val="0053043B"/>
    <w:rsid w:val="00530568"/>
    <w:rsid w:val="005309DB"/>
    <w:rsid w:val="00530E9A"/>
    <w:rsid w:val="00530F8C"/>
    <w:rsid w:val="005318CA"/>
    <w:rsid w:val="0053193E"/>
    <w:rsid w:val="005319EB"/>
    <w:rsid w:val="00531A60"/>
    <w:rsid w:val="00531B38"/>
    <w:rsid w:val="005320B3"/>
    <w:rsid w:val="0053287B"/>
    <w:rsid w:val="00532BDB"/>
    <w:rsid w:val="00532F3D"/>
    <w:rsid w:val="00534156"/>
    <w:rsid w:val="005362B5"/>
    <w:rsid w:val="005363F4"/>
    <w:rsid w:val="005365EE"/>
    <w:rsid w:val="00536BA0"/>
    <w:rsid w:val="00536DA4"/>
    <w:rsid w:val="00537525"/>
    <w:rsid w:val="00537839"/>
    <w:rsid w:val="00537C8E"/>
    <w:rsid w:val="0054055F"/>
    <w:rsid w:val="00540801"/>
    <w:rsid w:val="00540C75"/>
    <w:rsid w:val="0054128E"/>
    <w:rsid w:val="005413D0"/>
    <w:rsid w:val="0054183B"/>
    <w:rsid w:val="005418E0"/>
    <w:rsid w:val="00541ACD"/>
    <w:rsid w:val="00541D25"/>
    <w:rsid w:val="005426F7"/>
    <w:rsid w:val="00542AE5"/>
    <w:rsid w:val="00542D55"/>
    <w:rsid w:val="00542D8D"/>
    <w:rsid w:val="00542EC2"/>
    <w:rsid w:val="00542F97"/>
    <w:rsid w:val="0054316F"/>
    <w:rsid w:val="00543A4F"/>
    <w:rsid w:val="00543A94"/>
    <w:rsid w:val="00544164"/>
    <w:rsid w:val="00544500"/>
    <w:rsid w:val="00544FAB"/>
    <w:rsid w:val="00545704"/>
    <w:rsid w:val="0054587E"/>
    <w:rsid w:val="00545963"/>
    <w:rsid w:val="0054653C"/>
    <w:rsid w:val="00546CC2"/>
    <w:rsid w:val="00546CE3"/>
    <w:rsid w:val="00546E42"/>
    <w:rsid w:val="00546F4E"/>
    <w:rsid w:val="00546F87"/>
    <w:rsid w:val="00547C87"/>
    <w:rsid w:val="00550223"/>
    <w:rsid w:val="00550303"/>
    <w:rsid w:val="0055077C"/>
    <w:rsid w:val="00551AD3"/>
    <w:rsid w:val="00551C86"/>
    <w:rsid w:val="00551D7F"/>
    <w:rsid w:val="00551E66"/>
    <w:rsid w:val="00551F96"/>
    <w:rsid w:val="00552153"/>
    <w:rsid w:val="00552506"/>
    <w:rsid w:val="00552536"/>
    <w:rsid w:val="00552575"/>
    <w:rsid w:val="00552831"/>
    <w:rsid w:val="00552992"/>
    <w:rsid w:val="00552A40"/>
    <w:rsid w:val="00552E16"/>
    <w:rsid w:val="00553E23"/>
    <w:rsid w:val="00554F3E"/>
    <w:rsid w:val="00555145"/>
    <w:rsid w:val="005557A0"/>
    <w:rsid w:val="00555D14"/>
    <w:rsid w:val="00555E88"/>
    <w:rsid w:val="00556084"/>
    <w:rsid w:val="0055626C"/>
    <w:rsid w:val="00556785"/>
    <w:rsid w:val="0055699C"/>
    <w:rsid w:val="0055712D"/>
    <w:rsid w:val="00557350"/>
    <w:rsid w:val="00557F24"/>
    <w:rsid w:val="00560064"/>
    <w:rsid w:val="00560B47"/>
    <w:rsid w:val="00560CB8"/>
    <w:rsid w:val="00560D9B"/>
    <w:rsid w:val="00560FBE"/>
    <w:rsid w:val="00561054"/>
    <w:rsid w:val="005619C7"/>
    <w:rsid w:val="00561C4E"/>
    <w:rsid w:val="00562A09"/>
    <w:rsid w:val="00562A43"/>
    <w:rsid w:val="00562B2B"/>
    <w:rsid w:val="00562E5C"/>
    <w:rsid w:val="00562E8B"/>
    <w:rsid w:val="00563A75"/>
    <w:rsid w:val="0056418E"/>
    <w:rsid w:val="0056455D"/>
    <w:rsid w:val="005647AC"/>
    <w:rsid w:val="00564A2C"/>
    <w:rsid w:val="00564D55"/>
    <w:rsid w:val="005650A7"/>
    <w:rsid w:val="005650AD"/>
    <w:rsid w:val="00565A7A"/>
    <w:rsid w:val="0056632D"/>
    <w:rsid w:val="0056633F"/>
    <w:rsid w:val="005665E6"/>
    <w:rsid w:val="00567469"/>
    <w:rsid w:val="0056775E"/>
    <w:rsid w:val="00567ABA"/>
    <w:rsid w:val="005701F3"/>
    <w:rsid w:val="005707C4"/>
    <w:rsid w:val="00570AFF"/>
    <w:rsid w:val="005711EA"/>
    <w:rsid w:val="00571E23"/>
    <w:rsid w:val="00572298"/>
    <w:rsid w:val="00572324"/>
    <w:rsid w:val="00572864"/>
    <w:rsid w:val="005730D3"/>
    <w:rsid w:val="00573174"/>
    <w:rsid w:val="00573211"/>
    <w:rsid w:val="00573298"/>
    <w:rsid w:val="00573995"/>
    <w:rsid w:val="00573A1F"/>
    <w:rsid w:val="00573EE6"/>
    <w:rsid w:val="00573F54"/>
    <w:rsid w:val="0057406C"/>
    <w:rsid w:val="0057411B"/>
    <w:rsid w:val="005746FF"/>
    <w:rsid w:val="00574D78"/>
    <w:rsid w:val="0057542F"/>
    <w:rsid w:val="005760E5"/>
    <w:rsid w:val="00576C95"/>
    <w:rsid w:val="00576D47"/>
    <w:rsid w:val="00576EBC"/>
    <w:rsid w:val="005777DB"/>
    <w:rsid w:val="00580307"/>
    <w:rsid w:val="0058043F"/>
    <w:rsid w:val="00580F81"/>
    <w:rsid w:val="0058143A"/>
    <w:rsid w:val="0058171C"/>
    <w:rsid w:val="005821CD"/>
    <w:rsid w:val="005823FC"/>
    <w:rsid w:val="0058255C"/>
    <w:rsid w:val="00582744"/>
    <w:rsid w:val="00582E7F"/>
    <w:rsid w:val="005832EA"/>
    <w:rsid w:val="00583477"/>
    <w:rsid w:val="00583A73"/>
    <w:rsid w:val="00583D8B"/>
    <w:rsid w:val="00583E19"/>
    <w:rsid w:val="00583EC5"/>
    <w:rsid w:val="00584162"/>
    <w:rsid w:val="00584335"/>
    <w:rsid w:val="005844F2"/>
    <w:rsid w:val="0058484A"/>
    <w:rsid w:val="00584C7B"/>
    <w:rsid w:val="00584F5E"/>
    <w:rsid w:val="005850A7"/>
    <w:rsid w:val="0058537C"/>
    <w:rsid w:val="0058547B"/>
    <w:rsid w:val="005856D2"/>
    <w:rsid w:val="005862E4"/>
    <w:rsid w:val="00586376"/>
    <w:rsid w:val="00586461"/>
    <w:rsid w:val="00586539"/>
    <w:rsid w:val="00586728"/>
    <w:rsid w:val="0058673F"/>
    <w:rsid w:val="005869B9"/>
    <w:rsid w:val="0058705C"/>
    <w:rsid w:val="005872D0"/>
    <w:rsid w:val="00590382"/>
    <w:rsid w:val="005903B9"/>
    <w:rsid w:val="005903DE"/>
    <w:rsid w:val="00590BDD"/>
    <w:rsid w:val="00590CB1"/>
    <w:rsid w:val="0059191B"/>
    <w:rsid w:val="00591A63"/>
    <w:rsid w:val="00591A7D"/>
    <w:rsid w:val="00591B4C"/>
    <w:rsid w:val="00591E12"/>
    <w:rsid w:val="00591F3B"/>
    <w:rsid w:val="0059237C"/>
    <w:rsid w:val="00592923"/>
    <w:rsid w:val="00593956"/>
    <w:rsid w:val="00593C73"/>
    <w:rsid w:val="00593EE4"/>
    <w:rsid w:val="00595245"/>
    <w:rsid w:val="00595353"/>
    <w:rsid w:val="00595B87"/>
    <w:rsid w:val="00595E69"/>
    <w:rsid w:val="00595FFC"/>
    <w:rsid w:val="005973F8"/>
    <w:rsid w:val="00597443"/>
    <w:rsid w:val="00597476"/>
    <w:rsid w:val="00597C01"/>
    <w:rsid w:val="00597C8E"/>
    <w:rsid w:val="00597D87"/>
    <w:rsid w:val="00597F72"/>
    <w:rsid w:val="005A0410"/>
    <w:rsid w:val="005A04A4"/>
    <w:rsid w:val="005A0716"/>
    <w:rsid w:val="005A0AFC"/>
    <w:rsid w:val="005A16AF"/>
    <w:rsid w:val="005A187B"/>
    <w:rsid w:val="005A1AE8"/>
    <w:rsid w:val="005A1F8B"/>
    <w:rsid w:val="005A259F"/>
    <w:rsid w:val="005A2D2F"/>
    <w:rsid w:val="005A2F87"/>
    <w:rsid w:val="005A325E"/>
    <w:rsid w:val="005A336A"/>
    <w:rsid w:val="005A3885"/>
    <w:rsid w:val="005A38EF"/>
    <w:rsid w:val="005A3C68"/>
    <w:rsid w:val="005A3D5A"/>
    <w:rsid w:val="005A4133"/>
    <w:rsid w:val="005A4A19"/>
    <w:rsid w:val="005A4B0D"/>
    <w:rsid w:val="005A6F5F"/>
    <w:rsid w:val="005A71D9"/>
    <w:rsid w:val="005A78DE"/>
    <w:rsid w:val="005A7A45"/>
    <w:rsid w:val="005B022B"/>
    <w:rsid w:val="005B0C10"/>
    <w:rsid w:val="005B125F"/>
    <w:rsid w:val="005B324C"/>
    <w:rsid w:val="005B3521"/>
    <w:rsid w:val="005B36FF"/>
    <w:rsid w:val="005B381A"/>
    <w:rsid w:val="005B3D1E"/>
    <w:rsid w:val="005B3F7F"/>
    <w:rsid w:val="005B416C"/>
    <w:rsid w:val="005B4B27"/>
    <w:rsid w:val="005B4E35"/>
    <w:rsid w:val="005B5489"/>
    <w:rsid w:val="005B5DA8"/>
    <w:rsid w:val="005B5FF3"/>
    <w:rsid w:val="005B61E2"/>
    <w:rsid w:val="005B62CA"/>
    <w:rsid w:val="005B679A"/>
    <w:rsid w:val="005B6E91"/>
    <w:rsid w:val="005B775A"/>
    <w:rsid w:val="005B7A04"/>
    <w:rsid w:val="005B7D76"/>
    <w:rsid w:val="005B7EA7"/>
    <w:rsid w:val="005C12D0"/>
    <w:rsid w:val="005C17EE"/>
    <w:rsid w:val="005C1CB4"/>
    <w:rsid w:val="005C1D8B"/>
    <w:rsid w:val="005C1DB0"/>
    <w:rsid w:val="005C223A"/>
    <w:rsid w:val="005C2EAD"/>
    <w:rsid w:val="005C3380"/>
    <w:rsid w:val="005C3697"/>
    <w:rsid w:val="005C3BA8"/>
    <w:rsid w:val="005C40B5"/>
    <w:rsid w:val="005C4104"/>
    <w:rsid w:val="005C411D"/>
    <w:rsid w:val="005C41FF"/>
    <w:rsid w:val="005C4420"/>
    <w:rsid w:val="005C47B2"/>
    <w:rsid w:val="005C487F"/>
    <w:rsid w:val="005C4AE5"/>
    <w:rsid w:val="005C4E43"/>
    <w:rsid w:val="005C4F9D"/>
    <w:rsid w:val="005C5167"/>
    <w:rsid w:val="005C54C9"/>
    <w:rsid w:val="005C5914"/>
    <w:rsid w:val="005C5BE9"/>
    <w:rsid w:val="005C6722"/>
    <w:rsid w:val="005C68A0"/>
    <w:rsid w:val="005C6AC7"/>
    <w:rsid w:val="005C6C5A"/>
    <w:rsid w:val="005C6DF3"/>
    <w:rsid w:val="005C6EE3"/>
    <w:rsid w:val="005C733C"/>
    <w:rsid w:val="005C7A46"/>
    <w:rsid w:val="005D0036"/>
    <w:rsid w:val="005D049B"/>
    <w:rsid w:val="005D09A5"/>
    <w:rsid w:val="005D1014"/>
    <w:rsid w:val="005D1A19"/>
    <w:rsid w:val="005D1B32"/>
    <w:rsid w:val="005D1B6A"/>
    <w:rsid w:val="005D2223"/>
    <w:rsid w:val="005D2454"/>
    <w:rsid w:val="005D2C37"/>
    <w:rsid w:val="005D347D"/>
    <w:rsid w:val="005D3FEB"/>
    <w:rsid w:val="005D44CC"/>
    <w:rsid w:val="005D4753"/>
    <w:rsid w:val="005D4761"/>
    <w:rsid w:val="005D47E4"/>
    <w:rsid w:val="005D4AC3"/>
    <w:rsid w:val="005D4BE4"/>
    <w:rsid w:val="005D4D9B"/>
    <w:rsid w:val="005D513D"/>
    <w:rsid w:val="005D561A"/>
    <w:rsid w:val="005D573A"/>
    <w:rsid w:val="005D58E6"/>
    <w:rsid w:val="005D5A6C"/>
    <w:rsid w:val="005D6773"/>
    <w:rsid w:val="005D700F"/>
    <w:rsid w:val="005D716C"/>
    <w:rsid w:val="005D74CB"/>
    <w:rsid w:val="005D776C"/>
    <w:rsid w:val="005D7AD5"/>
    <w:rsid w:val="005D7F2A"/>
    <w:rsid w:val="005E048E"/>
    <w:rsid w:val="005E0839"/>
    <w:rsid w:val="005E0A4C"/>
    <w:rsid w:val="005E12F2"/>
    <w:rsid w:val="005E1398"/>
    <w:rsid w:val="005E1720"/>
    <w:rsid w:val="005E1A24"/>
    <w:rsid w:val="005E1D24"/>
    <w:rsid w:val="005E2936"/>
    <w:rsid w:val="005E2B0D"/>
    <w:rsid w:val="005E2B26"/>
    <w:rsid w:val="005E2C07"/>
    <w:rsid w:val="005E3021"/>
    <w:rsid w:val="005E318C"/>
    <w:rsid w:val="005E364C"/>
    <w:rsid w:val="005E3870"/>
    <w:rsid w:val="005E3EE3"/>
    <w:rsid w:val="005E451B"/>
    <w:rsid w:val="005E4BCE"/>
    <w:rsid w:val="005E4EDF"/>
    <w:rsid w:val="005E5662"/>
    <w:rsid w:val="005E5F0C"/>
    <w:rsid w:val="005E663B"/>
    <w:rsid w:val="005E707A"/>
    <w:rsid w:val="005E72FB"/>
    <w:rsid w:val="005E772C"/>
    <w:rsid w:val="005F023C"/>
    <w:rsid w:val="005F040E"/>
    <w:rsid w:val="005F0678"/>
    <w:rsid w:val="005F1213"/>
    <w:rsid w:val="005F16E5"/>
    <w:rsid w:val="005F1DC1"/>
    <w:rsid w:val="005F26F8"/>
    <w:rsid w:val="005F3357"/>
    <w:rsid w:val="005F4050"/>
    <w:rsid w:val="005F43AF"/>
    <w:rsid w:val="005F4489"/>
    <w:rsid w:val="005F4589"/>
    <w:rsid w:val="005F4722"/>
    <w:rsid w:val="005F4805"/>
    <w:rsid w:val="005F4B22"/>
    <w:rsid w:val="005F4F36"/>
    <w:rsid w:val="005F588B"/>
    <w:rsid w:val="005F5949"/>
    <w:rsid w:val="005F6501"/>
    <w:rsid w:val="005F65F7"/>
    <w:rsid w:val="005F66B6"/>
    <w:rsid w:val="005F66DE"/>
    <w:rsid w:val="005F762C"/>
    <w:rsid w:val="005F762D"/>
    <w:rsid w:val="005F7920"/>
    <w:rsid w:val="005F7ABF"/>
    <w:rsid w:val="005F7BC9"/>
    <w:rsid w:val="006005CA"/>
    <w:rsid w:val="00600AD0"/>
    <w:rsid w:val="00600B46"/>
    <w:rsid w:val="00600C03"/>
    <w:rsid w:val="00600F64"/>
    <w:rsid w:val="006012BA"/>
    <w:rsid w:val="0060136E"/>
    <w:rsid w:val="006014F2"/>
    <w:rsid w:val="0060188A"/>
    <w:rsid w:val="00601FA7"/>
    <w:rsid w:val="00602084"/>
    <w:rsid w:val="006022E5"/>
    <w:rsid w:val="006022E7"/>
    <w:rsid w:val="00602376"/>
    <w:rsid w:val="00602382"/>
    <w:rsid w:val="00602465"/>
    <w:rsid w:val="0060267E"/>
    <w:rsid w:val="00602778"/>
    <w:rsid w:val="00602AF2"/>
    <w:rsid w:val="006032FC"/>
    <w:rsid w:val="00603B03"/>
    <w:rsid w:val="00603D92"/>
    <w:rsid w:val="00603E88"/>
    <w:rsid w:val="00604478"/>
    <w:rsid w:val="006045F8"/>
    <w:rsid w:val="006047CE"/>
    <w:rsid w:val="00604DB9"/>
    <w:rsid w:val="006053CC"/>
    <w:rsid w:val="00605666"/>
    <w:rsid w:val="006056F8"/>
    <w:rsid w:val="00605AAC"/>
    <w:rsid w:val="00605C63"/>
    <w:rsid w:val="0060605B"/>
    <w:rsid w:val="0060651A"/>
    <w:rsid w:val="00606AB5"/>
    <w:rsid w:val="00606FA5"/>
    <w:rsid w:val="0060713C"/>
    <w:rsid w:val="006074E8"/>
    <w:rsid w:val="006075C5"/>
    <w:rsid w:val="006077F3"/>
    <w:rsid w:val="00607FF7"/>
    <w:rsid w:val="00610466"/>
    <w:rsid w:val="006106DE"/>
    <w:rsid w:val="00611001"/>
    <w:rsid w:val="00611465"/>
    <w:rsid w:val="00611AEA"/>
    <w:rsid w:val="00611B2D"/>
    <w:rsid w:val="00611CEA"/>
    <w:rsid w:val="00611D33"/>
    <w:rsid w:val="0061201C"/>
    <w:rsid w:val="00612143"/>
    <w:rsid w:val="006121B3"/>
    <w:rsid w:val="00612D70"/>
    <w:rsid w:val="00612EC3"/>
    <w:rsid w:val="006133F4"/>
    <w:rsid w:val="006136F2"/>
    <w:rsid w:val="0061382B"/>
    <w:rsid w:val="00613D27"/>
    <w:rsid w:val="00613DC9"/>
    <w:rsid w:val="00614138"/>
    <w:rsid w:val="0061456B"/>
    <w:rsid w:val="006145B7"/>
    <w:rsid w:val="0061497A"/>
    <w:rsid w:val="00614C3E"/>
    <w:rsid w:val="00614FCC"/>
    <w:rsid w:val="006156FA"/>
    <w:rsid w:val="00615740"/>
    <w:rsid w:val="00615C48"/>
    <w:rsid w:val="00615E1E"/>
    <w:rsid w:val="006163EA"/>
    <w:rsid w:val="0061674C"/>
    <w:rsid w:val="00616B5E"/>
    <w:rsid w:val="00617043"/>
    <w:rsid w:val="00617568"/>
    <w:rsid w:val="006176C0"/>
    <w:rsid w:val="00617715"/>
    <w:rsid w:val="00617CEE"/>
    <w:rsid w:val="0062069A"/>
    <w:rsid w:val="0062089D"/>
    <w:rsid w:val="006216E9"/>
    <w:rsid w:val="0062176F"/>
    <w:rsid w:val="00621AD1"/>
    <w:rsid w:val="0062213D"/>
    <w:rsid w:val="00622162"/>
    <w:rsid w:val="00622727"/>
    <w:rsid w:val="00622972"/>
    <w:rsid w:val="00622B68"/>
    <w:rsid w:val="00622F0F"/>
    <w:rsid w:val="00623351"/>
    <w:rsid w:val="00623A30"/>
    <w:rsid w:val="00623BF8"/>
    <w:rsid w:val="00623ED2"/>
    <w:rsid w:val="0062404F"/>
    <w:rsid w:val="00624314"/>
    <w:rsid w:val="006245EA"/>
    <w:rsid w:val="00624C9F"/>
    <w:rsid w:val="006253BA"/>
    <w:rsid w:val="00625D55"/>
    <w:rsid w:val="00625F1E"/>
    <w:rsid w:val="006262F1"/>
    <w:rsid w:val="0062636B"/>
    <w:rsid w:val="00626561"/>
    <w:rsid w:val="006266CF"/>
    <w:rsid w:val="006267AA"/>
    <w:rsid w:val="00626827"/>
    <w:rsid w:val="00626C81"/>
    <w:rsid w:val="00626CFE"/>
    <w:rsid w:val="00626F5C"/>
    <w:rsid w:val="00627A67"/>
    <w:rsid w:val="0063004E"/>
    <w:rsid w:val="00630262"/>
    <w:rsid w:val="006306F6"/>
    <w:rsid w:val="00630711"/>
    <w:rsid w:val="00630773"/>
    <w:rsid w:val="00630C37"/>
    <w:rsid w:val="00630F3B"/>
    <w:rsid w:val="0063201E"/>
    <w:rsid w:val="0063222F"/>
    <w:rsid w:val="0063274E"/>
    <w:rsid w:val="0063292B"/>
    <w:rsid w:val="00632A57"/>
    <w:rsid w:val="006334E3"/>
    <w:rsid w:val="00633854"/>
    <w:rsid w:val="00633917"/>
    <w:rsid w:val="00633D43"/>
    <w:rsid w:val="00634789"/>
    <w:rsid w:val="00634823"/>
    <w:rsid w:val="00634C1C"/>
    <w:rsid w:val="00634C6F"/>
    <w:rsid w:val="00635723"/>
    <w:rsid w:val="006357AE"/>
    <w:rsid w:val="006364B1"/>
    <w:rsid w:val="0063678C"/>
    <w:rsid w:val="006373D6"/>
    <w:rsid w:val="00637F72"/>
    <w:rsid w:val="00640130"/>
    <w:rsid w:val="0064043E"/>
    <w:rsid w:val="006404F1"/>
    <w:rsid w:val="00640544"/>
    <w:rsid w:val="006405EF"/>
    <w:rsid w:val="00640AAB"/>
    <w:rsid w:val="00640CE4"/>
    <w:rsid w:val="00640DDA"/>
    <w:rsid w:val="00640F3B"/>
    <w:rsid w:val="00641A6D"/>
    <w:rsid w:val="00641CA1"/>
    <w:rsid w:val="00641CEA"/>
    <w:rsid w:val="00641E36"/>
    <w:rsid w:val="00641E63"/>
    <w:rsid w:val="006421F7"/>
    <w:rsid w:val="00643088"/>
    <w:rsid w:val="00643714"/>
    <w:rsid w:val="006438CF"/>
    <w:rsid w:val="00643F67"/>
    <w:rsid w:val="00644DF9"/>
    <w:rsid w:val="006451B2"/>
    <w:rsid w:val="006455F0"/>
    <w:rsid w:val="006464DC"/>
    <w:rsid w:val="006468D7"/>
    <w:rsid w:val="00647568"/>
    <w:rsid w:val="00647F48"/>
    <w:rsid w:val="00651B19"/>
    <w:rsid w:val="00651B47"/>
    <w:rsid w:val="006521D8"/>
    <w:rsid w:val="00652520"/>
    <w:rsid w:val="00652925"/>
    <w:rsid w:val="00652A44"/>
    <w:rsid w:val="0065334F"/>
    <w:rsid w:val="006533C4"/>
    <w:rsid w:val="006535A3"/>
    <w:rsid w:val="006538B1"/>
    <w:rsid w:val="0065396E"/>
    <w:rsid w:val="00653A43"/>
    <w:rsid w:val="006543BA"/>
    <w:rsid w:val="006548C9"/>
    <w:rsid w:val="00656198"/>
    <w:rsid w:val="00656B4D"/>
    <w:rsid w:val="00656D9D"/>
    <w:rsid w:val="00656FA2"/>
    <w:rsid w:val="0065708C"/>
    <w:rsid w:val="00657120"/>
    <w:rsid w:val="0065771C"/>
    <w:rsid w:val="00660522"/>
    <w:rsid w:val="00660A23"/>
    <w:rsid w:val="0066104E"/>
    <w:rsid w:val="00662322"/>
    <w:rsid w:val="00662490"/>
    <w:rsid w:val="00662836"/>
    <w:rsid w:val="0066288B"/>
    <w:rsid w:val="00662EE2"/>
    <w:rsid w:val="00663346"/>
    <w:rsid w:val="006637CF"/>
    <w:rsid w:val="006638E6"/>
    <w:rsid w:val="00663CA8"/>
    <w:rsid w:val="00663FFB"/>
    <w:rsid w:val="006641C5"/>
    <w:rsid w:val="00664449"/>
    <w:rsid w:val="006645AF"/>
    <w:rsid w:val="00664659"/>
    <w:rsid w:val="006652ED"/>
    <w:rsid w:val="00665332"/>
    <w:rsid w:val="00665517"/>
    <w:rsid w:val="006655F9"/>
    <w:rsid w:val="0066647B"/>
    <w:rsid w:val="006669FF"/>
    <w:rsid w:val="00667605"/>
    <w:rsid w:val="00671439"/>
    <w:rsid w:val="00671BC6"/>
    <w:rsid w:val="00672094"/>
    <w:rsid w:val="0067241B"/>
    <w:rsid w:val="00672A81"/>
    <w:rsid w:val="00672B75"/>
    <w:rsid w:val="00672BC6"/>
    <w:rsid w:val="0067357C"/>
    <w:rsid w:val="0067362B"/>
    <w:rsid w:val="00673AA1"/>
    <w:rsid w:val="00673D21"/>
    <w:rsid w:val="00674AD5"/>
    <w:rsid w:val="00674E33"/>
    <w:rsid w:val="00675405"/>
    <w:rsid w:val="0067577A"/>
    <w:rsid w:val="00676868"/>
    <w:rsid w:val="0067697D"/>
    <w:rsid w:val="00676A02"/>
    <w:rsid w:val="00676DDD"/>
    <w:rsid w:val="0067773D"/>
    <w:rsid w:val="00677A75"/>
    <w:rsid w:val="00677DDB"/>
    <w:rsid w:val="006803CC"/>
    <w:rsid w:val="00680526"/>
    <w:rsid w:val="0068187A"/>
    <w:rsid w:val="006819E8"/>
    <w:rsid w:val="00681E2E"/>
    <w:rsid w:val="006823CF"/>
    <w:rsid w:val="006824EB"/>
    <w:rsid w:val="006826C9"/>
    <w:rsid w:val="006827DD"/>
    <w:rsid w:val="00683895"/>
    <w:rsid w:val="00683F6F"/>
    <w:rsid w:val="00684C40"/>
    <w:rsid w:val="00685249"/>
    <w:rsid w:val="00685990"/>
    <w:rsid w:val="00685D7C"/>
    <w:rsid w:val="00686241"/>
    <w:rsid w:val="00686269"/>
    <w:rsid w:val="0068627B"/>
    <w:rsid w:val="00686297"/>
    <w:rsid w:val="006863BB"/>
    <w:rsid w:val="006865B8"/>
    <w:rsid w:val="00686AAC"/>
    <w:rsid w:val="00686AD3"/>
    <w:rsid w:val="00686D51"/>
    <w:rsid w:val="00686F2C"/>
    <w:rsid w:val="0068766E"/>
    <w:rsid w:val="0068799B"/>
    <w:rsid w:val="00687DDC"/>
    <w:rsid w:val="00690553"/>
    <w:rsid w:val="00690BDF"/>
    <w:rsid w:val="00690EEA"/>
    <w:rsid w:val="00691138"/>
    <w:rsid w:val="00691574"/>
    <w:rsid w:val="006928EB"/>
    <w:rsid w:val="00692A24"/>
    <w:rsid w:val="00692BDB"/>
    <w:rsid w:val="00692E83"/>
    <w:rsid w:val="006931C2"/>
    <w:rsid w:val="00693587"/>
    <w:rsid w:val="0069388B"/>
    <w:rsid w:val="006939D1"/>
    <w:rsid w:val="00693A0A"/>
    <w:rsid w:val="00693A53"/>
    <w:rsid w:val="00693DB4"/>
    <w:rsid w:val="00693F08"/>
    <w:rsid w:val="0069435F"/>
    <w:rsid w:val="00694BD7"/>
    <w:rsid w:val="0069527F"/>
    <w:rsid w:val="006959F0"/>
    <w:rsid w:val="00695C58"/>
    <w:rsid w:val="0069625F"/>
    <w:rsid w:val="00696524"/>
    <w:rsid w:val="006972A5"/>
    <w:rsid w:val="006975B4"/>
    <w:rsid w:val="00697851"/>
    <w:rsid w:val="006A07F1"/>
    <w:rsid w:val="006A084F"/>
    <w:rsid w:val="006A10E6"/>
    <w:rsid w:val="006A1239"/>
    <w:rsid w:val="006A1C73"/>
    <w:rsid w:val="006A1E15"/>
    <w:rsid w:val="006A1F7C"/>
    <w:rsid w:val="006A2265"/>
    <w:rsid w:val="006A23E3"/>
    <w:rsid w:val="006A28A5"/>
    <w:rsid w:val="006A30C2"/>
    <w:rsid w:val="006A3A06"/>
    <w:rsid w:val="006A3A0A"/>
    <w:rsid w:val="006A3DD1"/>
    <w:rsid w:val="006A3E59"/>
    <w:rsid w:val="006A4175"/>
    <w:rsid w:val="006A4210"/>
    <w:rsid w:val="006A428E"/>
    <w:rsid w:val="006A44DC"/>
    <w:rsid w:val="006A51E7"/>
    <w:rsid w:val="006A5DEE"/>
    <w:rsid w:val="006A5E43"/>
    <w:rsid w:val="006A62A6"/>
    <w:rsid w:val="006A6B25"/>
    <w:rsid w:val="006A6BF1"/>
    <w:rsid w:val="006A6C17"/>
    <w:rsid w:val="006A6C2A"/>
    <w:rsid w:val="006A7299"/>
    <w:rsid w:val="006A7887"/>
    <w:rsid w:val="006A7A7A"/>
    <w:rsid w:val="006B025F"/>
    <w:rsid w:val="006B0415"/>
    <w:rsid w:val="006B17F0"/>
    <w:rsid w:val="006B1898"/>
    <w:rsid w:val="006B19AA"/>
    <w:rsid w:val="006B1BD9"/>
    <w:rsid w:val="006B1F4A"/>
    <w:rsid w:val="006B2466"/>
    <w:rsid w:val="006B2586"/>
    <w:rsid w:val="006B2620"/>
    <w:rsid w:val="006B2AA3"/>
    <w:rsid w:val="006B2F2B"/>
    <w:rsid w:val="006B2F33"/>
    <w:rsid w:val="006B2FC4"/>
    <w:rsid w:val="006B301B"/>
    <w:rsid w:val="006B323F"/>
    <w:rsid w:val="006B38BB"/>
    <w:rsid w:val="006B3B24"/>
    <w:rsid w:val="006B3C5F"/>
    <w:rsid w:val="006B3D9A"/>
    <w:rsid w:val="006B3F19"/>
    <w:rsid w:val="006B47A3"/>
    <w:rsid w:val="006B4A5F"/>
    <w:rsid w:val="006B4B65"/>
    <w:rsid w:val="006B4D8C"/>
    <w:rsid w:val="006B58BD"/>
    <w:rsid w:val="006B58F3"/>
    <w:rsid w:val="006B5A60"/>
    <w:rsid w:val="006B600E"/>
    <w:rsid w:val="006B6022"/>
    <w:rsid w:val="006B668E"/>
    <w:rsid w:val="006B7574"/>
    <w:rsid w:val="006B7BDE"/>
    <w:rsid w:val="006B7F19"/>
    <w:rsid w:val="006B7FF1"/>
    <w:rsid w:val="006C064D"/>
    <w:rsid w:val="006C0A2D"/>
    <w:rsid w:val="006C0D55"/>
    <w:rsid w:val="006C0FA4"/>
    <w:rsid w:val="006C1247"/>
    <w:rsid w:val="006C1553"/>
    <w:rsid w:val="006C16C9"/>
    <w:rsid w:val="006C1EB8"/>
    <w:rsid w:val="006C251E"/>
    <w:rsid w:val="006C291B"/>
    <w:rsid w:val="006C29B8"/>
    <w:rsid w:val="006C2EB2"/>
    <w:rsid w:val="006C3159"/>
    <w:rsid w:val="006C3280"/>
    <w:rsid w:val="006C34C1"/>
    <w:rsid w:val="006C3699"/>
    <w:rsid w:val="006C37CA"/>
    <w:rsid w:val="006C37FB"/>
    <w:rsid w:val="006C3959"/>
    <w:rsid w:val="006C4848"/>
    <w:rsid w:val="006C4BA5"/>
    <w:rsid w:val="006C540C"/>
    <w:rsid w:val="006C551A"/>
    <w:rsid w:val="006C5802"/>
    <w:rsid w:val="006C59F0"/>
    <w:rsid w:val="006C5FEA"/>
    <w:rsid w:val="006C60A0"/>
    <w:rsid w:val="006C7855"/>
    <w:rsid w:val="006D04E3"/>
    <w:rsid w:val="006D075A"/>
    <w:rsid w:val="006D07E5"/>
    <w:rsid w:val="006D07F9"/>
    <w:rsid w:val="006D0FC0"/>
    <w:rsid w:val="006D1840"/>
    <w:rsid w:val="006D203F"/>
    <w:rsid w:val="006D216E"/>
    <w:rsid w:val="006D22BC"/>
    <w:rsid w:val="006D22DE"/>
    <w:rsid w:val="006D23DE"/>
    <w:rsid w:val="006D2D89"/>
    <w:rsid w:val="006D2EB6"/>
    <w:rsid w:val="006D310C"/>
    <w:rsid w:val="006D38C2"/>
    <w:rsid w:val="006D3A9A"/>
    <w:rsid w:val="006D3E9A"/>
    <w:rsid w:val="006D48C2"/>
    <w:rsid w:val="006D4A8C"/>
    <w:rsid w:val="006D4CA4"/>
    <w:rsid w:val="006D4D51"/>
    <w:rsid w:val="006D4FFC"/>
    <w:rsid w:val="006D52B8"/>
    <w:rsid w:val="006D5ACA"/>
    <w:rsid w:val="006D67D3"/>
    <w:rsid w:val="006D67E4"/>
    <w:rsid w:val="006D6D2D"/>
    <w:rsid w:val="006D72E6"/>
    <w:rsid w:val="006D7E3F"/>
    <w:rsid w:val="006D7F0C"/>
    <w:rsid w:val="006E03D3"/>
    <w:rsid w:val="006E0A87"/>
    <w:rsid w:val="006E13AD"/>
    <w:rsid w:val="006E13D8"/>
    <w:rsid w:val="006E1504"/>
    <w:rsid w:val="006E1887"/>
    <w:rsid w:val="006E1A9E"/>
    <w:rsid w:val="006E1ED5"/>
    <w:rsid w:val="006E2AFD"/>
    <w:rsid w:val="006E2BDC"/>
    <w:rsid w:val="006E3D73"/>
    <w:rsid w:val="006E43E5"/>
    <w:rsid w:val="006E44C8"/>
    <w:rsid w:val="006E487D"/>
    <w:rsid w:val="006E4D25"/>
    <w:rsid w:val="006E51CE"/>
    <w:rsid w:val="006E54CC"/>
    <w:rsid w:val="006E6315"/>
    <w:rsid w:val="006E6381"/>
    <w:rsid w:val="006E6496"/>
    <w:rsid w:val="006E66C1"/>
    <w:rsid w:val="006E7574"/>
    <w:rsid w:val="006E7575"/>
    <w:rsid w:val="006E7E40"/>
    <w:rsid w:val="006F0B95"/>
    <w:rsid w:val="006F1227"/>
    <w:rsid w:val="006F139B"/>
    <w:rsid w:val="006F1CC9"/>
    <w:rsid w:val="006F1E29"/>
    <w:rsid w:val="006F2001"/>
    <w:rsid w:val="006F2272"/>
    <w:rsid w:val="006F2C20"/>
    <w:rsid w:val="006F33FF"/>
    <w:rsid w:val="006F34AC"/>
    <w:rsid w:val="006F354E"/>
    <w:rsid w:val="006F39C7"/>
    <w:rsid w:val="006F3BED"/>
    <w:rsid w:val="006F3C23"/>
    <w:rsid w:val="006F3E31"/>
    <w:rsid w:val="006F4ACF"/>
    <w:rsid w:val="006F4B25"/>
    <w:rsid w:val="006F4CCE"/>
    <w:rsid w:val="006F4DD8"/>
    <w:rsid w:val="006F53EE"/>
    <w:rsid w:val="006F566A"/>
    <w:rsid w:val="006F595A"/>
    <w:rsid w:val="006F5A2B"/>
    <w:rsid w:val="006F5D62"/>
    <w:rsid w:val="006F606D"/>
    <w:rsid w:val="006F621D"/>
    <w:rsid w:val="006F682E"/>
    <w:rsid w:val="006F689D"/>
    <w:rsid w:val="006F68DE"/>
    <w:rsid w:val="006F6BCE"/>
    <w:rsid w:val="006F70F7"/>
    <w:rsid w:val="006F7301"/>
    <w:rsid w:val="006F74F6"/>
    <w:rsid w:val="006F77FB"/>
    <w:rsid w:val="006F7A5D"/>
    <w:rsid w:val="006F7ADD"/>
    <w:rsid w:val="0070013B"/>
    <w:rsid w:val="007008DA"/>
    <w:rsid w:val="00700A9A"/>
    <w:rsid w:val="007013F8"/>
    <w:rsid w:val="00701BA5"/>
    <w:rsid w:val="00702158"/>
    <w:rsid w:val="007021E5"/>
    <w:rsid w:val="007024A3"/>
    <w:rsid w:val="00702D37"/>
    <w:rsid w:val="00702DD2"/>
    <w:rsid w:val="00702F23"/>
    <w:rsid w:val="0070318A"/>
    <w:rsid w:val="0070380F"/>
    <w:rsid w:val="0070397B"/>
    <w:rsid w:val="007039F4"/>
    <w:rsid w:val="00704102"/>
    <w:rsid w:val="0070411E"/>
    <w:rsid w:val="00704A46"/>
    <w:rsid w:val="00704E9E"/>
    <w:rsid w:val="00705660"/>
    <w:rsid w:val="00705CDB"/>
    <w:rsid w:val="00706328"/>
    <w:rsid w:val="00706382"/>
    <w:rsid w:val="007065A2"/>
    <w:rsid w:val="00706F1E"/>
    <w:rsid w:val="007077E7"/>
    <w:rsid w:val="00707C6C"/>
    <w:rsid w:val="00707DE5"/>
    <w:rsid w:val="00707DF8"/>
    <w:rsid w:val="00707F05"/>
    <w:rsid w:val="00710223"/>
    <w:rsid w:val="007109DA"/>
    <w:rsid w:val="007109E5"/>
    <w:rsid w:val="00710A45"/>
    <w:rsid w:val="00710E87"/>
    <w:rsid w:val="00710ECF"/>
    <w:rsid w:val="00711059"/>
    <w:rsid w:val="00711262"/>
    <w:rsid w:val="007113B2"/>
    <w:rsid w:val="007118B2"/>
    <w:rsid w:val="00711AEA"/>
    <w:rsid w:val="00711EEA"/>
    <w:rsid w:val="007120A3"/>
    <w:rsid w:val="007120E7"/>
    <w:rsid w:val="0071227E"/>
    <w:rsid w:val="0071228B"/>
    <w:rsid w:val="007122A2"/>
    <w:rsid w:val="0071254C"/>
    <w:rsid w:val="0071276C"/>
    <w:rsid w:val="00712EEE"/>
    <w:rsid w:val="00713076"/>
    <w:rsid w:val="00713571"/>
    <w:rsid w:val="00713974"/>
    <w:rsid w:val="00713E1C"/>
    <w:rsid w:val="007140C5"/>
    <w:rsid w:val="00714791"/>
    <w:rsid w:val="00714E19"/>
    <w:rsid w:val="00715045"/>
    <w:rsid w:val="0071528A"/>
    <w:rsid w:val="00715576"/>
    <w:rsid w:val="00715BA9"/>
    <w:rsid w:val="00716103"/>
    <w:rsid w:val="007161FE"/>
    <w:rsid w:val="00717780"/>
    <w:rsid w:val="00717A25"/>
    <w:rsid w:val="00717D7E"/>
    <w:rsid w:val="0072058B"/>
    <w:rsid w:val="007215C3"/>
    <w:rsid w:val="00721A6C"/>
    <w:rsid w:val="00721ADB"/>
    <w:rsid w:val="00721D16"/>
    <w:rsid w:val="00721F41"/>
    <w:rsid w:val="00722212"/>
    <w:rsid w:val="00722775"/>
    <w:rsid w:val="007228AC"/>
    <w:rsid w:val="0072290C"/>
    <w:rsid w:val="00722946"/>
    <w:rsid w:val="007229DF"/>
    <w:rsid w:val="00723519"/>
    <w:rsid w:val="00723596"/>
    <w:rsid w:val="007236EE"/>
    <w:rsid w:val="00723DCD"/>
    <w:rsid w:val="007246C1"/>
    <w:rsid w:val="007251C7"/>
    <w:rsid w:val="00725532"/>
    <w:rsid w:val="007255A7"/>
    <w:rsid w:val="007258D5"/>
    <w:rsid w:val="00726411"/>
    <w:rsid w:val="0072645D"/>
    <w:rsid w:val="00726745"/>
    <w:rsid w:val="00726B42"/>
    <w:rsid w:val="00726FD3"/>
    <w:rsid w:val="007274E2"/>
    <w:rsid w:val="00727DD9"/>
    <w:rsid w:val="0073109A"/>
    <w:rsid w:val="0073151D"/>
    <w:rsid w:val="00731650"/>
    <w:rsid w:val="00731B64"/>
    <w:rsid w:val="00731F1D"/>
    <w:rsid w:val="00732400"/>
    <w:rsid w:val="0073252D"/>
    <w:rsid w:val="00732DD4"/>
    <w:rsid w:val="007330CB"/>
    <w:rsid w:val="007331E8"/>
    <w:rsid w:val="007334C9"/>
    <w:rsid w:val="00733500"/>
    <w:rsid w:val="007335DC"/>
    <w:rsid w:val="00734BAF"/>
    <w:rsid w:val="0073501C"/>
    <w:rsid w:val="0073594A"/>
    <w:rsid w:val="007359FE"/>
    <w:rsid w:val="00735D94"/>
    <w:rsid w:val="00735E1A"/>
    <w:rsid w:val="0073616D"/>
    <w:rsid w:val="007362AB"/>
    <w:rsid w:val="00736E42"/>
    <w:rsid w:val="00740333"/>
    <w:rsid w:val="00740638"/>
    <w:rsid w:val="00740B35"/>
    <w:rsid w:val="00740C84"/>
    <w:rsid w:val="00740E6D"/>
    <w:rsid w:val="00740F5B"/>
    <w:rsid w:val="007414D7"/>
    <w:rsid w:val="00743659"/>
    <w:rsid w:val="00743A4A"/>
    <w:rsid w:val="00743A66"/>
    <w:rsid w:val="00743D6E"/>
    <w:rsid w:val="00744132"/>
    <w:rsid w:val="0074424B"/>
    <w:rsid w:val="00744510"/>
    <w:rsid w:val="007446AE"/>
    <w:rsid w:val="00744FFA"/>
    <w:rsid w:val="0074501E"/>
    <w:rsid w:val="0074506D"/>
    <w:rsid w:val="007450D6"/>
    <w:rsid w:val="007459AC"/>
    <w:rsid w:val="00746042"/>
    <w:rsid w:val="007461DF"/>
    <w:rsid w:val="00746A91"/>
    <w:rsid w:val="00747211"/>
    <w:rsid w:val="007474E0"/>
    <w:rsid w:val="00747601"/>
    <w:rsid w:val="00747604"/>
    <w:rsid w:val="00747688"/>
    <w:rsid w:val="00750007"/>
    <w:rsid w:val="007505D2"/>
    <w:rsid w:val="00750630"/>
    <w:rsid w:val="0075090F"/>
    <w:rsid w:val="00750AC4"/>
    <w:rsid w:val="0075154C"/>
    <w:rsid w:val="0075181B"/>
    <w:rsid w:val="00751AF4"/>
    <w:rsid w:val="00751B25"/>
    <w:rsid w:val="00751CDC"/>
    <w:rsid w:val="0075208A"/>
    <w:rsid w:val="00752E40"/>
    <w:rsid w:val="00753631"/>
    <w:rsid w:val="00754377"/>
    <w:rsid w:val="00754605"/>
    <w:rsid w:val="007551B1"/>
    <w:rsid w:val="00755767"/>
    <w:rsid w:val="00755A25"/>
    <w:rsid w:val="00755D93"/>
    <w:rsid w:val="00755E70"/>
    <w:rsid w:val="007560F9"/>
    <w:rsid w:val="00756463"/>
    <w:rsid w:val="0075663F"/>
    <w:rsid w:val="00756A8A"/>
    <w:rsid w:val="00756D6F"/>
    <w:rsid w:val="00757331"/>
    <w:rsid w:val="0075743B"/>
    <w:rsid w:val="0075752F"/>
    <w:rsid w:val="00757E7E"/>
    <w:rsid w:val="00757E8E"/>
    <w:rsid w:val="00760338"/>
    <w:rsid w:val="0076074A"/>
    <w:rsid w:val="00760F6E"/>
    <w:rsid w:val="007610BE"/>
    <w:rsid w:val="0076141F"/>
    <w:rsid w:val="007617BA"/>
    <w:rsid w:val="00761EAF"/>
    <w:rsid w:val="007622C3"/>
    <w:rsid w:val="0076239F"/>
    <w:rsid w:val="0076260F"/>
    <w:rsid w:val="00762B37"/>
    <w:rsid w:val="007631F6"/>
    <w:rsid w:val="007634E5"/>
    <w:rsid w:val="00763516"/>
    <w:rsid w:val="00763C23"/>
    <w:rsid w:val="007640D1"/>
    <w:rsid w:val="00764160"/>
    <w:rsid w:val="0076431C"/>
    <w:rsid w:val="0076498D"/>
    <w:rsid w:val="00764E6B"/>
    <w:rsid w:val="007653D8"/>
    <w:rsid w:val="0076572E"/>
    <w:rsid w:val="0076588F"/>
    <w:rsid w:val="0076602A"/>
    <w:rsid w:val="007661BD"/>
    <w:rsid w:val="00767579"/>
    <w:rsid w:val="007675DE"/>
    <w:rsid w:val="0076781D"/>
    <w:rsid w:val="007679E9"/>
    <w:rsid w:val="00767A7F"/>
    <w:rsid w:val="00767B33"/>
    <w:rsid w:val="007707A1"/>
    <w:rsid w:val="0077086F"/>
    <w:rsid w:val="00770D8E"/>
    <w:rsid w:val="00771004"/>
    <w:rsid w:val="0077136E"/>
    <w:rsid w:val="0077147F"/>
    <w:rsid w:val="00771797"/>
    <w:rsid w:val="00772854"/>
    <w:rsid w:val="00773735"/>
    <w:rsid w:val="007754C2"/>
    <w:rsid w:val="007759D2"/>
    <w:rsid w:val="00775DA0"/>
    <w:rsid w:val="007762CE"/>
    <w:rsid w:val="0077692D"/>
    <w:rsid w:val="00777711"/>
    <w:rsid w:val="00777D83"/>
    <w:rsid w:val="0078006A"/>
    <w:rsid w:val="0078035F"/>
    <w:rsid w:val="00780A88"/>
    <w:rsid w:val="00780B32"/>
    <w:rsid w:val="00781410"/>
    <w:rsid w:val="00781838"/>
    <w:rsid w:val="00781915"/>
    <w:rsid w:val="00782011"/>
    <w:rsid w:val="007822D2"/>
    <w:rsid w:val="0078245A"/>
    <w:rsid w:val="007831CE"/>
    <w:rsid w:val="007832B3"/>
    <w:rsid w:val="00783BE9"/>
    <w:rsid w:val="00784392"/>
    <w:rsid w:val="00785643"/>
    <w:rsid w:val="00785B49"/>
    <w:rsid w:val="007860C2"/>
    <w:rsid w:val="0078614A"/>
    <w:rsid w:val="0078675A"/>
    <w:rsid w:val="007868AF"/>
    <w:rsid w:val="00786EA6"/>
    <w:rsid w:val="00787379"/>
    <w:rsid w:val="00787AAC"/>
    <w:rsid w:val="00790492"/>
    <w:rsid w:val="0079124E"/>
    <w:rsid w:val="00791F25"/>
    <w:rsid w:val="00791F76"/>
    <w:rsid w:val="00791FFF"/>
    <w:rsid w:val="00792259"/>
    <w:rsid w:val="0079228E"/>
    <w:rsid w:val="0079246A"/>
    <w:rsid w:val="0079251D"/>
    <w:rsid w:val="00792703"/>
    <w:rsid w:val="00792B00"/>
    <w:rsid w:val="00792F3C"/>
    <w:rsid w:val="00792F66"/>
    <w:rsid w:val="007937B9"/>
    <w:rsid w:val="00794013"/>
    <w:rsid w:val="00794D7F"/>
    <w:rsid w:val="00794DD7"/>
    <w:rsid w:val="00794E8A"/>
    <w:rsid w:val="007950FC"/>
    <w:rsid w:val="00795CBB"/>
    <w:rsid w:val="00795E70"/>
    <w:rsid w:val="00795F28"/>
    <w:rsid w:val="0079645B"/>
    <w:rsid w:val="00796469"/>
    <w:rsid w:val="007968B9"/>
    <w:rsid w:val="007969F1"/>
    <w:rsid w:val="00796E75"/>
    <w:rsid w:val="0079799F"/>
    <w:rsid w:val="00797B93"/>
    <w:rsid w:val="00797D09"/>
    <w:rsid w:val="00797EE7"/>
    <w:rsid w:val="007A065C"/>
    <w:rsid w:val="007A0677"/>
    <w:rsid w:val="007A0DE5"/>
    <w:rsid w:val="007A0E1D"/>
    <w:rsid w:val="007A10D7"/>
    <w:rsid w:val="007A12E2"/>
    <w:rsid w:val="007A137C"/>
    <w:rsid w:val="007A19F5"/>
    <w:rsid w:val="007A203E"/>
    <w:rsid w:val="007A207E"/>
    <w:rsid w:val="007A21DC"/>
    <w:rsid w:val="007A2369"/>
    <w:rsid w:val="007A243E"/>
    <w:rsid w:val="007A2611"/>
    <w:rsid w:val="007A2E1B"/>
    <w:rsid w:val="007A3617"/>
    <w:rsid w:val="007A3713"/>
    <w:rsid w:val="007A5507"/>
    <w:rsid w:val="007A55DA"/>
    <w:rsid w:val="007A5AB7"/>
    <w:rsid w:val="007A5BFE"/>
    <w:rsid w:val="007A6ED3"/>
    <w:rsid w:val="007A70AA"/>
    <w:rsid w:val="007A746A"/>
    <w:rsid w:val="007A79FA"/>
    <w:rsid w:val="007A7C28"/>
    <w:rsid w:val="007B0D4B"/>
    <w:rsid w:val="007B12AD"/>
    <w:rsid w:val="007B1B28"/>
    <w:rsid w:val="007B21CC"/>
    <w:rsid w:val="007B235C"/>
    <w:rsid w:val="007B2376"/>
    <w:rsid w:val="007B2421"/>
    <w:rsid w:val="007B26E6"/>
    <w:rsid w:val="007B29AA"/>
    <w:rsid w:val="007B2C22"/>
    <w:rsid w:val="007B335F"/>
    <w:rsid w:val="007B35DC"/>
    <w:rsid w:val="007B3F30"/>
    <w:rsid w:val="007B4395"/>
    <w:rsid w:val="007B49E6"/>
    <w:rsid w:val="007B4BAC"/>
    <w:rsid w:val="007B4E5C"/>
    <w:rsid w:val="007B5575"/>
    <w:rsid w:val="007B6EAE"/>
    <w:rsid w:val="007B6EF8"/>
    <w:rsid w:val="007B6F66"/>
    <w:rsid w:val="007B7254"/>
    <w:rsid w:val="007B7805"/>
    <w:rsid w:val="007C0088"/>
    <w:rsid w:val="007C00AC"/>
    <w:rsid w:val="007C0B86"/>
    <w:rsid w:val="007C10CB"/>
    <w:rsid w:val="007C1B5E"/>
    <w:rsid w:val="007C1BEA"/>
    <w:rsid w:val="007C32F8"/>
    <w:rsid w:val="007C44EA"/>
    <w:rsid w:val="007C479D"/>
    <w:rsid w:val="007C4AA9"/>
    <w:rsid w:val="007C4EA1"/>
    <w:rsid w:val="007C599D"/>
    <w:rsid w:val="007C5CF3"/>
    <w:rsid w:val="007C5FFF"/>
    <w:rsid w:val="007C620E"/>
    <w:rsid w:val="007C62CD"/>
    <w:rsid w:val="007C679F"/>
    <w:rsid w:val="007C6A5A"/>
    <w:rsid w:val="007C6A62"/>
    <w:rsid w:val="007C6F60"/>
    <w:rsid w:val="007C71DD"/>
    <w:rsid w:val="007C7865"/>
    <w:rsid w:val="007C7A65"/>
    <w:rsid w:val="007C7B89"/>
    <w:rsid w:val="007C7D40"/>
    <w:rsid w:val="007C7EE0"/>
    <w:rsid w:val="007D013E"/>
    <w:rsid w:val="007D0A6B"/>
    <w:rsid w:val="007D155C"/>
    <w:rsid w:val="007D16BB"/>
    <w:rsid w:val="007D16E9"/>
    <w:rsid w:val="007D1F0C"/>
    <w:rsid w:val="007D2001"/>
    <w:rsid w:val="007D2781"/>
    <w:rsid w:val="007D2912"/>
    <w:rsid w:val="007D3992"/>
    <w:rsid w:val="007D3B9C"/>
    <w:rsid w:val="007D42AF"/>
    <w:rsid w:val="007D5701"/>
    <w:rsid w:val="007D6155"/>
    <w:rsid w:val="007D62AA"/>
    <w:rsid w:val="007D650C"/>
    <w:rsid w:val="007D685C"/>
    <w:rsid w:val="007D68FF"/>
    <w:rsid w:val="007D6BE7"/>
    <w:rsid w:val="007D6CF5"/>
    <w:rsid w:val="007D72E1"/>
    <w:rsid w:val="007D7917"/>
    <w:rsid w:val="007D79CF"/>
    <w:rsid w:val="007D7B5E"/>
    <w:rsid w:val="007E0323"/>
    <w:rsid w:val="007E0631"/>
    <w:rsid w:val="007E0B3B"/>
    <w:rsid w:val="007E1132"/>
    <w:rsid w:val="007E1140"/>
    <w:rsid w:val="007E175C"/>
    <w:rsid w:val="007E1CA2"/>
    <w:rsid w:val="007E1EBF"/>
    <w:rsid w:val="007E24D2"/>
    <w:rsid w:val="007E2710"/>
    <w:rsid w:val="007E3156"/>
    <w:rsid w:val="007E354E"/>
    <w:rsid w:val="007E3842"/>
    <w:rsid w:val="007E391A"/>
    <w:rsid w:val="007E3F81"/>
    <w:rsid w:val="007E4F7A"/>
    <w:rsid w:val="007E5094"/>
    <w:rsid w:val="007E5104"/>
    <w:rsid w:val="007E51AB"/>
    <w:rsid w:val="007E583B"/>
    <w:rsid w:val="007E5DA7"/>
    <w:rsid w:val="007E5F5E"/>
    <w:rsid w:val="007E6287"/>
    <w:rsid w:val="007E634F"/>
    <w:rsid w:val="007E6743"/>
    <w:rsid w:val="007E6CB2"/>
    <w:rsid w:val="007E6D6A"/>
    <w:rsid w:val="007F06CD"/>
    <w:rsid w:val="007F09B9"/>
    <w:rsid w:val="007F18A8"/>
    <w:rsid w:val="007F1960"/>
    <w:rsid w:val="007F19B1"/>
    <w:rsid w:val="007F19DF"/>
    <w:rsid w:val="007F1BEE"/>
    <w:rsid w:val="007F1D85"/>
    <w:rsid w:val="007F1EC4"/>
    <w:rsid w:val="007F213D"/>
    <w:rsid w:val="007F23F8"/>
    <w:rsid w:val="007F2696"/>
    <w:rsid w:val="007F2806"/>
    <w:rsid w:val="007F2CAB"/>
    <w:rsid w:val="007F2D62"/>
    <w:rsid w:val="007F30A0"/>
    <w:rsid w:val="007F3461"/>
    <w:rsid w:val="007F3703"/>
    <w:rsid w:val="007F37F7"/>
    <w:rsid w:val="007F3E2C"/>
    <w:rsid w:val="007F3FE0"/>
    <w:rsid w:val="007F4A10"/>
    <w:rsid w:val="007F4A45"/>
    <w:rsid w:val="007F4D9D"/>
    <w:rsid w:val="007F4DF6"/>
    <w:rsid w:val="007F5B22"/>
    <w:rsid w:val="007F61D7"/>
    <w:rsid w:val="007F6637"/>
    <w:rsid w:val="007F719C"/>
    <w:rsid w:val="007F74F9"/>
    <w:rsid w:val="007F7546"/>
    <w:rsid w:val="007F7752"/>
    <w:rsid w:val="007F7CF7"/>
    <w:rsid w:val="007F7D3C"/>
    <w:rsid w:val="008000D4"/>
    <w:rsid w:val="00800116"/>
    <w:rsid w:val="00800A67"/>
    <w:rsid w:val="00800CCF"/>
    <w:rsid w:val="00800D19"/>
    <w:rsid w:val="00801097"/>
    <w:rsid w:val="0080110A"/>
    <w:rsid w:val="008014A1"/>
    <w:rsid w:val="00801DB1"/>
    <w:rsid w:val="00801ED5"/>
    <w:rsid w:val="00801F88"/>
    <w:rsid w:val="008020BF"/>
    <w:rsid w:val="008033D3"/>
    <w:rsid w:val="0080361F"/>
    <w:rsid w:val="00803992"/>
    <w:rsid w:val="008039E4"/>
    <w:rsid w:val="00803CA0"/>
    <w:rsid w:val="00803D76"/>
    <w:rsid w:val="00803E0A"/>
    <w:rsid w:val="00804EF9"/>
    <w:rsid w:val="00804F81"/>
    <w:rsid w:val="00805597"/>
    <w:rsid w:val="0080589F"/>
    <w:rsid w:val="008058B0"/>
    <w:rsid w:val="00805ACC"/>
    <w:rsid w:val="00805E2B"/>
    <w:rsid w:val="00805E73"/>
    <w:rsid w:val="00805EBC"/>
    <w:rsid w:val="00805F65"/>
    <w:rsid w:val="00806399"/>
    <w:rsid w:val="00806405"/>
    <w:rsid w:val="00806683"/>
    <w:rsid w:val="00807642"/>
    <w:rsid w:val="008076FC"/>
    <w:rsid w:val="00807A97"/>
    <w:rsid w:val="00807ABB"/>
    <w:rsid w:val="00807C3A"/>
    <w:rsid w:val="00807EBC"/>
    <w:rsid w:val="00810BDD"/>
    <w:rsid w:val="00810C3A"/>
    <w:rsid w:val="00810CF8"/>
    <w:rsid w:val="00810EFF"/>
    <w:rsid w:val="008112F1"/>
    <w:rsid w:val="008115EA"/>
    <w:rsid w:val="008117ED"/>
    <w:rsid w:val="0081242B"/>
    <w:rsid w:val="00812E74"/>
    <w:rsid w:val="0081302C"/>
    <w:rsid w:val="00813413"/>
    <w:rsid w:val="00813439"/>
    <w:rsid w:val="008138CA"/>
    <w:rsid w:val="00813AFF"/>
    <w:rsid w:val="00813E92"/>
    <w:rsid w:val="00813EEA"/>
    <w:rsid w:val="008141C6"/>
    <w:rsid w:val="008150F1"/>
    <w:rsid w:val="008151D6"/>
    <w:rsid w:val="008152E6"/>
    <w:rsid w:val="008160D4"/>
    <w:rsid w:val="00816774"/>
    <w:rsid w:val="00816818"/>
    <w:rsid w:val="00816E31"/>
    <w:rsid w:val="00816F46"/>
    <w:rsid w:val="008174FC"/>
    <w:rsid w:val="0081786A"/>
    <w:rsid w:val="00820800"/>
    <w:rsid w:val="00820DC7"/>
    <w:rsid w:val="00820DCB"/>
    <w:rsid w:val="00821BEC"/>
    <w:rsid w:val="00821DE5"/>
    <w:rsid w:val="00821E0D"/>
    <w:rsid w:val="00822428"/>
    <w:rsid w:val="00822964"/>
    <w:rsid w:val="00822FB3"/>
    <w:rsid w:val="008233D1"/>
    <w:rsid w:val="008237A6"/>
    <w:rsid w:val="008240EC"/>
    <w:rsid w:val="008242D8"/>
    <w:rsid w:val="00824D3B"/>
    <w:rsid w:val="00824E28"/>
    <w:rsid w:val="008254A4"/>
    <w:rsid w:val="008257EF"/>
    <w:rsid w:val="008259B4"/>
    <w:rsid w:val="00826047"/>
    <w:rsid w:val="00826C27"/>
    <w:rsid w:val="008271A7"/>
    <w:rsid w:val="008273F6"/>
    <w:rsid w:val="008275C6"/>
    <w:rsid w:val="00827C81"/>
    <w:rsid w:val="00827EC0"/>
    <w:rsid w:val="00827EEC"/>
    <w:rsid w:val="0083039E"/>
    <w:rsid w:val="00830636"/>
    <w:rsid w:val="00831535"/>
    <w:rsid w:val="008316F1"/>
    <w:rsid w:val="008317EB"/>
    <w:rsid w:val="0083191B"/>
    <w:rsid w:val="0083193F"/>
    <w:rsid w:val="008324FF"/>
    <w:rsid w:val="008325D6"/>
    <w:rsid w:val="00832D54"/>
    <w:rsid w:val="00832DDF"/>
    <w:rsid w:val="008330C0"/>
    <w:rsid w:val="008339A9"/>
    <w:rsid w:val="00833A4F"/>
    <w:rsid w:val="00833D56"/>
    <w:rsid w:val="008341F9"/>
    <w:rsid w:val="00834322"/>
    <w:rsid w:val="008345EF"/>
    <w:rsid w:val="008346C4"/>
    <w:rsid w:val="00834AFD"/>
    <w:rsid w:val="00835112"/>
    <w:rsid w:val="0083636B"/>
    <w:rsid w:val="00836703"/>
    <w:rsid w:val="0083688B"/>
    <w:rsid w:val="00836921"/>
    <w:rsid w:val="00837392"/>
    <w:rsid w:val="0083797F"/>
    <w:rsid w:val="008400FD"/>
    <w:rsid w:val="00840437"/>
    <w:rsid w:val="008405BD"/>
    <w:rsid w:val="00840BC3"/>
    <w:rsid w:val="00840DBC"/>
    <w:rsid w:val="008412BB"/>
    <w:rsid w:val="00841CD5"/>
    <w:rsid w:val="00841D62"/>
    <w:rsid w:val="00841D6C"/>
    <w:rsid w:val="008426B4"/>
    <w:rsid w:val="00842DF6"/>
    <w:rsid w:val="00842E38"/>
    <w:rsid w:val="00843101"/>
    <w:rsid w:val="008433E0"/>
    <w:rsid w:val="0084367D"/>
    <w:rsid w:val="00843942"/>
    <w:rsid w:val="00843C6B"/>
    <w:rsid w:val="008447C9"/>
    <w:rsid w:val="00844B2A"/>
    <w:rsid w:val="00845129"/>
    <w:rsid w:val="008452A7"/>
    <w:rsid w:val="00845DC0"/>
    <w:rsid w:val="00845FA6"/>
    <w:rsid w:val="008461EB"/>
    <w:rsid w:val="00846C51"/>
    <w:rsid w:val="00846CD4"/>
    <w:rsid w:val="00846D6A"/>
    <w:rsid w:val="008477FD"/>
    <w:rsid w:val="00847A27"/>
    <w:rsid w:val="00847BAD"/>
    <w:rsid w:val="00847BCD"/>
    <w:rsid w:val="00847CE4"/>
    <w:rsid w:val="00847DDD"/>
    <w:rsid w:val="00847DF1"/>
    <w:rsid w:val="008504E7"/>
    <w:rsid w:val="00850974"/>
    <w:rsid w:val="008513BF"/>
    <w:rsid w:val="0085152A"/>
    <w:rsid w:val="00851E79"/>
    <w:rsid w:val="00852760"/>
    <w:rsid w:val="00852E58"/>
    <w:rsid w:val="00853A88"/>
    <w:rsid w:val="008543C1"/>
    <w:rsid w:val="00854F62"/>
    <w:rsid w:val="00855460"/>
    <w:rsid w:val="008558B2"/>
    <w:rsid w:val="00855966"/>
    <w:rsid w:val="00855BDF"/>
    <w:rsid w:val="00855E05"/>
    <w:rsid w:val="00856580"/>
    <w:rsid w:val="00856A85"/>
    <w:rsid w:val="00856CF9"/>
    <w:rsid w:val="00857096"/>
    <w:rsid w:val="00860133"/>
    <w:rsid w:val="0086035A"/>
    <w:rsid w:val="0086041A"/>
    <w:rsid w:val="0086059D"/>
    <w:rsid w:val="00860C97"/>
    <w:rsid w:val="00860DB0"/>
    <w:rsid w:val="00860DFF"/>
    <w:rsid w:val="0086172E"/>
    <w:rsid w:val="00861C38"/>
    <w:rsid w:val="00861D96"/>
    <w:rsid w:val="00861DC4"/>
    <w:rsid w:val="00861EFC"/>
    <w:rsid w:val="00862704"/>
    <w:rsid w:val="008627EE"/>
    <w:rsid w:val="00862888"/>
    <w:rsid w:val="00862A82"/>
    <w:rsid w:val="00862E09"/>
    <w:rsid w:val="00863D82"/>
    <w:rsid w:val="008643BC"/>
    <w:rsid w:val="00864432"/>
    <w:rsid w:val="00865562"/>
    <w:rsid w:val="008655D0"/>
    <w:rsid w:val="00865FBD"/>
    <w:rsid w:val="00866293"/>
    <w:rsid w:val="008663CF"/>
    <w:rsid w:val="00866BF5"/>
    <w:rsid w:val="00866C95"/>
    <w:rsid w:val="00866CF0"/>
    <w:rsid w:val="00867033"/>
    <w:rsid w:val="0086764B"/>
    <w:rsid w:val="00867723"/>
    <w:rsid w:val="00867979"/>
    <w:rsid w:val="00867E6C"/>
    <w:rsid w:val="00867F06"/>
    <w:rsid w:val="008703F2"/>
    <w:rsid w:val="00870535"/>
    <w:rsid w:val="008706AE"/>
    <w:rsid w:val="00870E13"/>
    <w:rsid w:val="00871437"/>
    <w:rsid w:val="008715C5"/>
    <w:rsid w:val="00871650"/>
    <w:rsid w:val="00871A2A"/>
    <w:rsid w:val="00871D31"/>
    <w:rsid w:val="00871FDC"/>
    <w:rsid w:val="0087203E"/>
    <w:rsid w:val="00872195"/>
    <w:rsid w:val="00872377"/>
    <w:rsid w:val="00872599"/>
    <w:rsid w:val="00872ECC"/>
    <w:rsid w:val="00873897"/>
    <w:rsid w:val="008738F1"/>
    <w:rsid w:val="00873F7B"/>
    <w:rsid w:val="00874373"/>
    <w:rsid w:val="0087473D"/>
    <w:rsid w:val="00874CCF"/>
    <w:rsid w:val="00875027"/>
    <w:rsid w:val="008750BD"/>
    <w:rsid w:val="008756CF"/>
    <w:rsid w:val="00875DF4"/>
    <w:rsid w:val="0087643A"/>
    <w:rsid w:val="0087680B"/>
    <w:rsid w:val="0087699F"/>
    <w:rsid w:val="00876A70"/>
    <w:rsid w:val="0087720E"/>
    <w:rsid w:val="0087753D"/>
    <w:rsid w:val="00877A76"/>
    <w:rsid w:val="00877BFD"/>
    <w:rsid w:val="00877DDE"/>
    <w:rsid w:val="00877E61"/>
    <w:rsid w:val="00880324"/>
    <w:rsid w:val="008807B5"/>
    <w:rsid w:val="008810AF"/>
    <w:rsid w:val="00881401"/>
    <w:rsid w:val="00881E15"/>
    <w:rsid w:val="00882264"/>
    <w:rsid w:val="0088250E"/>
    <w:rsid w:val="00883007"/>
    <w:rsid w:val="00883B09"/>
    <w:rsid w:val="00883CBE"/>
    <w:rsid w:val="00883D75"/>
    <w:rsid w:val="00883DED"/>
    <w:rsid w:val="00883DF1"/>
    <w:rsid w:val="008842CB"/>
    <w:rsid w:val="008842F7"/>
    <w:rsid w:val="00884669"/>
    <w:rsid w:val="008846AB"/>
    <w:rsid w:val="00884BDE"/>
    <w:rsid w:val="00885584"/>
    <w:rsid w:val="008855B8"/>
    <w:rsid w:val="00885633"/>
    <w:rsid w:val="00885750"/>
    <w:rsid w:val="00885847"/>
    <w:rsid w:val="00885F6A"/>
    <w:rsid w:val="00886619"/>
    <w:rsid w:val="00886AB8"/>
    <w:rsid w:val="00886F61"/>
    <w:rsid w:val="0088701B"/>
    <w:rsid w:val="00887A3D"/>
    <w:rsid w:val="00887D8A"/>
    <w:rsid w:val="00890584"/>
    <w:rsid w:val="00890CED"/>
    <w:rsid w:val="0089121C"/>
    <w:rsid w:val="0089375E"/>
    <w:rsid w:val="008938CB"/>
    <w:rsid w:val="00893B30"/>
    <w:rsid w:val="00893CA5"/>
    <w:rsid w:val="0089406B"/>
    <w:rsid w:val="008946BB"/>
    <w:rsid w:val="00896336"/>
    <w:rsid w:val="008964D8"/>
    <w:rsid w:val="00896BD2"/>
    <w:rsid w:val="00896FBA"/>
    <w:rsid w:val="0089709B"/>
    <w:rsid w:val="0089711A"/>
    <w:rsid w:val="008973EC"/>
    <w:rsid w:val="008A05D8"/>
    <w:rsid w:val="008A099A"/>
    <w:rsid w:val="008A1727"/>
    <w:rsid w:val="008A186F"/>
    <w:rsid w:val="008A18A1"/>
    <w:rsid w:val="008A191C"/>
    <w:rsid w:val="008A1C83"/>
    <w:rsid w:val="008A2131"/>
    <w:rsid w:val="008A2836"/>
    <w:rsid w:val="008A2B89"/>
    <w:rsid w:val="008A2EA1"/>
    <w:rsid w:val="008A2FDE"/>
    <w:rsid w:val="008A3032"/>
    <w:rsid w:val="008A33E2"/>
    <w:rsid w:val="008A39DC"/>
    <w:rsid w:val="008A3C89"/>
    <w:rsid w:val="008A3EAC"/>
    <w:rsid w:val="008A448C"/>
    <w:rsid w:val="008A47ED"/>
    <w:rsid w:val="008A4B25"/>
    <w:rsid w:val="008A4D54"/>
    <w:rsid w:val="008A4EC2"/>
    <w:rsid w:val="008A5216"/>
    <w:rsid w:val="008A5EEE"/>
    <w:rsid w:val="008A60F0"/>
    <w:rsid w:val="008A620E"/>
    <w:rsid w:val="008A644F"/>
    <w:rsid w:val="008A68A8"/>
    <w:rsid w:val="008A6D5E"/>
    <w:rsid w:val="008A6F33"/>
    <w:rsid w:val="008A703A"/>
    <w:rsid w:val="008A706B"/>
    <w:rsid w:val="008A757E"/>
    <w:rsid w:val="008A7ABD"/>
    <w:rsid w:val="008A7CD1"/>
    <w:rsid w:val="008B0171"/>
    <w:rsid w:val="008B04BB"/>
    <w:rsid w:val="008B0C95"/>
    <w:rsid w:val="008B1768"/>
    <w:rsid w:val="008B1998"/>
    <w:rsid w:val="008B212B"/>
    <w:rsid w:val="008B2247"/>
    <w:rsid w:val="008B2301"/>
    <w:rsid w:val="008B30D3"/>
    <w:rsid w:val="008B3173"/>
    <w:rsid w:val="008B44C3"/>
    <w:rsid w:val="008B45E2"/>
    <w:rsid w:val="008B4EBA"/>
    <w:rsid w:val="008B5835"/>
    <w:rsid w:val="008B604A"/>
    <w:rsid w:val="008B6BCA"/>
    <w:rsid w:val="008B6BE4"/>
    <w:rsid w:val="008B7252"/>
    <w:rsid w:val="008C0262"/>
    <w:rsid w:val="008C03AE"/>
    <w:rsid w:val="008C041A"/>
    <w:rsid w:val="008C0556"/>
    <w:rsid w:val="008C0FE3"/>
    <w:rsid w:val="008C1129"/>
    <w:rsid w:val="008C12D8"/>
    <w:rsid w:val="008C1715"/>
    <w:rsid w:val="008C1A02"/>
    <w:rsid w:val="008C1C9E"/>
    <w:rsid w:val="008C1CA3"/>
    <w:rsid w:val="008C244D"/>
    <w:rsid w:val="008C2493"/>
    <w:rsid w:val="008C2C18"/>
    <w:rsid w:val="008C2CA1"/>
    <w:rsid w:val="008C2E9B"/>
    <w:rsid w:val="008C43B9"/>
    <w:rsid w:val="008C4856"/>
    <w:rsid w:val="008C4A85"/>
    <w:rsid w:val="008C5169"/>
    <w:rsid w:val="008C52D3"/>
    <w:rsid w:val="008C5344"/>
    <w:rsid w:val="008C6577"/>
    <w:rsid w:val="008C65F1"/>
    <w:rsid w:val="008C7738"/>
    <w:rsid w:val="008C7E59"/>
    <w:rsid w:val="008C7FAE"/>
    <w:rsid w:val="008D05FD"/>
    <w:rsid w:val="008D07F5"/>
    <w:rsid w:val="008D1321"/>
    <w:rsid w:val="008D1B81"/>
    <w:rsid w:val="008D1E89"/>
    <w:rsid w:val="008D21A9"/>
    <w:rsid w:val="008D260E"/>
    <w:rsid w:val="008D289A"/>
    <w:rsid w:val="008D2A06"/>
    <w:rsid w:val="008D2BEE"/>
    <w:rsid w:val="008D32D5"/>
    <w:rsid w:val="008D369D"/>
    <w:rsid w:val="008D4059"/>
    <w:rsid w:val="008D45FA"/>
    <w:rsid w:val="008D4803"/>
    <w:rsid w:val="008D5825"/>
    <w:rsid w:val="008D5857"/>
    <w:rsid w:val="008D5B58"/>
    <w:rsid w:val="008D67C0"/>
    <w:rsid w:val="008D6F71"/>
    <w:rsid w:val="008D713F"/>
    <w:rsid w:val="008D7523"/>
    <w:rsid w:val="008D7645"/>
    <w:rsid w:val="008D794C"/>
    <w:rsid w:val="008E0E51"/>
    <w:rsid w:val="008E1365"/>
    <w:rsid w:val="008E137E"/>
    <w:rsid w:val="008E1991"/>
    <w:rsid w:val="008E1A4B"/>
    <w:rsid w:val="008E1D8C"/>
    <w:rsid w:val="008E246E"/>
    <w:rsid w:val="008E26CE"/>
    <w:rsid w:val="008E3191"/>
    <w:rsid w:val="008E3B2F"/>
    <w:rsid w:val="008E3DCF"/>
    <w:rsid w:val="008E3E2A"/>
    <w:rsid w:val="008E40F4"/>
    <w:rsid w:val="008E42F6"/>
    <w:rsid w:val="008E461B"/>
    <w:rsid w:val="008E487C"/>
    <w:rsid w:val="008E499B"/>
    <w:rsid w:val="008E499D"/>
    <w:rsid w:val="008E4D70"/>
    <w:rsid w:val="008E5005"/>
    <w:rsid w:val="008E5F7D"/>
    <w:rsid w:val="008E609B"/>
    <w:rsid w:val="008E628E"/>
    <w:rsid w:val="008E7094"/>
    <w:rsid w:val="008E71B2"/>
    <w:rsid w:val="008E7290"/>
    <w:rsid w:val="008E73DA"/>
    <w:rsid w:val="008E752D"/>
    <w:rsid w:val="008E75CE"/>
    <w:rsid w:val="008E7CED"/>
    <w:rsid w:val="008F0275"/>
    <w:rsid w:val="008F05B0"/>
    <w:rsid w:val="008F08BB"/>
    <w:rsid w:val="008F0951"/>
    <w:rsid w:val="008F0B68"/>
    <w:rsid w:val="008F0D08"/>
    <w:rsid w:val="008F0D57"/>
    <w:rsid w:val="008F165A"/>
    <w:rsid w:val="008F1C7B"/>
    <w:rsid w:val="008F1EA0"/>
    <w:rsid w:val="008F2263"/>
    <w:rsid w:val="008F22B1"/>
    <w:rsid w:val="008F234B"/>
    <w:rsid w:val="008F282B"/>
    <w:rsid w:val="008F2860"/>
    <w:rsid w:val="008F2B54"/>
    <w:rsid w:val="008F2CFC"/>
    <w:rsid w:val="008F2E51"/>
    <w:rsid w:val="008F2FC6"/>
    <w:rsid w:val="008F3CD0"/>
    <w:rsid w:val="008F3D6B"/>
    <w:rsid w:val="008F3ED2"/>
    <w:rsid w:val="008F43C2"/>
    <w:rsid w:val="008F48DD"/>
    <w:rsid w:val="008F4A74"/>
    <w:rsid w:val="008F64BC"/>
    <w:rsid w:val="008F67C3"/>
    <w:rsid w:val="008F71AD"/>
    <w:rsid w:val="008F7A53"/>
    <w:rsid w:val="008F7C0D"/>
    <w:rsid w:val="008F7E28"/>
    <w:rsid w:val="008F7FA7"/>
    <w:rsid w:val="0090057B"/>
    <w:rsid w:val="009006A3"/>
    <w:rsid w:val="009007B5"/>
    <w:rsid w:val="00900B72"/>
    <w:rsid w:val="00900C8D"/>
    <w:rsid w:val="00900D06"/>
    <w:rsid w:val="00901087"/>
    <w:rsid w:val="00901328"/>
    <w:rsid w:val="00901F67"/>
    <w:rsid w:val="009020E2"/>
    <w:rsid w:val="00902B33"/>
    <w:rsid w:val="00902C2E"/>
    <w:rsid w:val="00903586"/>
    <w:rsid w:val="00903698"/>
    <w:rsid w:val="0090374C"/>
    <w:rsid w:val="00903A2D"/>
    <w:rsid w:val="00903E06"/>
    <w:rsid w:val="009044AB"/>
    <w:rsid w:val="0090455C"/>
    <w:rsid w:val="00904634"/>
    <w:rsid w:val="00904ACA"/>
    <w:rsid w:val="00904E92"/>
    <w:rsid w:val="00905180"/>
    <w:rsid w:val="009053F1"/>
    <w:rsid w:val="00905801"/>
    <w:rsid w:val="009061FF"/>
    <w:rsid w:val="00906312"/>
    <w:rsid w:val="00906534"/>
    <w:rsid w:val="00906EA6"/>
    <w:rsid w:val="009079DE"/>
    <w:rsid w:val="00911431"/>
    <w:rsid w:val="00911A41"/>
    <w:rsid w:val="00911BA7"/>
    <w:rsid w:val="00911F48"/>
    <w:rsid w:val="0091272F"/>
    <w:rsid w:val="00913465"/>
    <w:rsid w:val="009136B1"/>
    <w:rsid w:val="009143B2"/>
    <w:rsid w:val="00914D24"/>
    <w:rsid w:val="009150B2"/>
    <w:rsid w:val="00915227"/>
    <w:rsid w:val="00915C9E"/>
    <w:rsid w:val="0091656E"/>
    <w:rsid w:val="009172FE"/>
    <w:rsid w:val="009173DA"/>
    <w:rsid w:val="0091749F"/>
    <w:rsid w:val="0091764C"/>
    <w:rsid w:val="00917D43"/>
    <w:rsid w:val="00920293"/>
    <w:rsid w:val="00920B75"/>
    <w:rsid w:val="00921281"/>
    <w:rsid w:val="009216FC"/>
    <w:rsid w:val="00921AA9"/>
    <w:rsid w:val="0092401F"/>
    <w:rsid w:val="009245E0"/>
    <w:rsid w:val="009248DC"/>
    <w:rsid w:val="00924BDB"/>
    <w:rsid w:val="00924C83"/>
    <w:rsid w:val="00925054"/>
    <w:rsid w:val="009266A8"/>
    <w:rsid w:val="00926D67"/>
    <w:rsid w:val="009274A2"/>
    <w:rsid w:val="00927580"/>
    <w:rsid w:val="0092798C"/>
    <w:rsid w:val="00927B4F"/>
    <w:rsid w:val="00927BAA"/>
    <w:rsid w:val="00927BFB"/>
    <w:rsid w:val="00927D65"/>
    <w:rsid w:val="00927E45"/>
    <w:rsid w:val="009303C3"/>
    <w:rsid w:val="009304C9"/>
    <w:rsid w:val="009305C8"/>
    <w:rsid w:val="00930756"/>
    <w:rsid w:val="0093078F"/>
    <w:rsid w:val="00930817"/>
    <w:rsid w:val="009309F8"/>
    <w:rsid w:val="009310C0"/>
    <w:rsid w:val="009311D2"/>
    <w:rsid w:val="00931423"/>
    <w:rsid w:val="00931DB8"/>
    <w:rsid w:val="00931F52"/>
    <w:rsid w:val="00931F64"/>
    <w:rsid w:val="00932148"/>
    <w:rsid w:val="00932683"/>
    <w:rsid w:val="00932F15"/>
    <w:rsid w:val="009331EB"/>
    <w:rsid w:val="00933476"/>
    <w:rsid w:val="0093359A"/>
    <w:rsid w:val="009335DA"/>
    <w:rsid w:val="009337E6"/>
    <w:rsid w:val="00933CBA"/>
    <w:rsid w:val="0093404B"/>
    <w:rsid w:val="0093415D"/>
    <w:rsid w:val="00934415"/>
    <w:rsid w:val="009350EE"/>
    <w:rsid w:val="0093535D"/>
    <w:rsid w:val="00935546"/>
    <w:rsid w:val="009357B1"/>
    <w:rsid w:val="00935FC1"/>
    <w:rsid w:val="00937119"/>
    <w:rsid w:val="00937774"/>
    <w:rsid w:val="009405CF"/>
    <w:rsid w:val="0094070A"/>
    <w:rsid w:val="009408D4"/>
    <w:rsid w:val="009411C6"/>
    <w:rsid w:val="009411F8"/>
    <w:rsid w:val="009414DF"/>
    <w:rsid w:val="0094194E"/>
    <w:rsid w:val="00942381"/>
    <w:rsid w:val="0094286F"/>
    <w:rsid w:val="0094294A"/>
    <w:rsid w:val="0094306E"/>
    <w:rsid w:val="00943178"/>
    <w:rsid w:val="00943429"/>
    <w:rsid w:val="00943602"/>
    <w:rsid w:val="0094375E"/>
    <w:rsid w:val="009439DE"/>
    <w:rsid w:val="00943FD1"/>
    <w:rsid w:val="0094401B"/>
    <w:rsid w:val="009442CB"/>
    <w:rsid w:val="00944354"/>
    <w:rsid w:val="00944AFB"/>
    <w:rsid w:val="009451A8"/>
    <w:rsid w:val="0094595D"/>
    <w:rsid w:val="00945A83"/>
    <w:rsid w:val="00945D71"/>
    <w:rsid w:val="00945D8A"/>
    <w:rsid w:val="00945EE7"/>
    <w:rsid w:val="0094608C"/>
    <w:rsid w:val="0094619D"/>
    <w:rsid w:val="009463A5"/>
    <w:rsid w:val="009468E5"/>
    <w:rsid w:val="00946AF9"/>
    <w:rsid w:val="00946FD4"/>
    <w:rsid w:val="0094735B"/>
    <w:rsid w:val="00947676"/>
    <w:rsid w:val="0094778C"/>
    <w:rsid w:val="009477EA"/>
    <w:rsid w:val="00947B93"/>
    <w:rsid w:val="009503E1"/>
    <w:rsid w:val="0095098A"/>
    <w:rsid w:val="009509F5"/>
    <w:rsid w:val="00950B33"/>
    <w:rsid w:val="00950E9C"/>
    <w:rsid w:val="00951657"/>
    <w:rsid w:val="00951685"/>
    <w:rsid w:val="00951883"/>
    <w:rsid w:val="00951943"/>
    <w:rsid w:val="00951CF4"/>
    <w:rsid w:val="0095218A"/>
    <w:rsid w:val="009523DC"/>
    <w:rsid w:val="00952499"/>
    <w:rsid w:val="00952AF4"/>
    <w:rsid w:val="00952E7D"/>
    <w:rsid w:val="00952EA2"/>
    <w:rsid w:val="00952F4D"/>
    <w:rsid w:val="0095348B"/>
    <w:rsid w:val="00953A73"/>
    <w:rsid w:val="00953C88"/>
    <w:rsid w:val="00953F3D"/>
    <w:rsid w:val="00954966"/>
    <w:rsid w:val="00955636"/>
    <w:rsid w:val="009557A6"/>
    <w:rsid w:val="00955895"/>
    <w:rsid w:val="00955EF5"/>
    <w:rsid w:val="00956068"/>
    <w:rsid w:val="009561F7"/>
    <w:rsid w:val="00956890"/>
    <w:rsid w:val="00956B2D"/>
    <w:rsid w:val="00956BAF"/>
    <w:rsid w:val="00956BFA"/>
    <w:rsid w:val="00956E24"/>
    <w:rsid w:val="0095704C"/>
    <w:rsid w:val="009600D4"/>
    <w:rsid w:val="00960869"/>
    <w:rsid w:val="0096090D"/>
    <w:rsid w:val="00960B81"/>
    <w:rsid w:val="00960C43"/>
    <w:rsid w:val="00960F77"/>
    <w:rsid w:val="00961011"/>
    <w:rsid w:val="00961156"/>
    <w:rsid w:val="0096151B"/>
    <w:rsid w:val="0096162C"/>
    <w:rsid w:val="00961800"/>
    <w:rsid w:val="009619F4"/>
    <w:rsid w:val="00962CBF"/>
    <w:rsid w:val="00963179"/>
    <w:rsid w:val="00963711"/>
    <w:rsid w:val="0096410F"/>
    <w:rsid w:val="009644FE"/>
    <w:rsid w:val="009646FA"/>
    <w:rsid w:val="009648CC"/>
    <w:rsid w:val="00964CEE"/>
    <w:rsid w:val="00964E71"/>
    <w:rsid w:val="0096534C"/>
    <w:rsid w:val="0096548B"/>
    <w:rsid w:val="0096563D"/>
    <w:rsid w:val="0096630F"/>
    <w:rsid w:val="00966C53"/>
    <w:rsid w:val="0096739A"/>
    <w:rsid w:val="00967A72"/>
    <w:rsid w:val="00967B25"/>
    <w:rsid w:val="00967C44"/>
    <w:rsid w:val="00967EFA"/>
    <w:rsid w:val="00970486"/>
    <w:rsid w:val="00970B73"/>
    <w:rsid w:val="0097185C"/>
    <w:rsid w:val="00971E70"/>
    <w:rsid w:val="00972144"/>
    <w:rsid w:val="00972464"/>
    <w:rsid w:val="00972928"/>
    <w:rsid w:val="00972B3A"/>
    <w:rsid w:val="00973191"/>
    <w:rsid w:val="009733D5"/>
    <w:rsid w:val="00973C2C"/>
    <w:rsid w:val="00974111"/>
    <w:rsid w:val="009743D9"/>
    <w:rsid w:val="00974668"/>
    <w:rsid w:val="00974727"/>
    <w:rsid w:val="00974938"/>
    <w:rsid w:val="00974A52"/>
    <w:rsid w:val="00974DFA"/>
    <w:rsid w:val="009750D7"/>
    <w:rsid w:val="00975159"/>
    <w:rsid w:val="00975D40"/>
    <w:rsid w:val="00975E75"/>
    <w:rsid w:val="00975FC0"/>
    <w:rsid w:val="009769CE"/>
    <w:rsid w:val="009772D7"/>
    <w:rsid w:val="009772EA"/>
    <w:rsid w:val="00977710"/>
    <w:rsid w:val="00977718"/>
    <w:rsid w:val="00977908"/>
    <w:rsid w:val="00977B5F"/>
    <w:rsid w:val="00977F3E"/>
    <w:rsid w:val="00980652"/>
    <w:rsid w:val="0098093A"/>
    <w:rsid w:val="009809C6"/>
    <w:rsid w:val="00980D30"/>
    <w:rsid w:val="0098157B"/>
    <w:rsid w:val="00981D1E"/>
    <w:rsid w:val="00982199"/>
    <w:rsid w:val="00982AE5"/>
    <w:rsid w:val="00982B44"/>
    <w:rsid w:val="00982C5A"/>
    <w:rsid w:val="00982F39"/>
    <w:rsid w:val="0098375F"/>
    <w:rsid w:val="00983938"/>
    <w:rsid w:val="0098393D"/>
    <w:rsid w:val="0098394A"/>
    <w:rsid w:val="00983CE4"/>
    <w:rsid w:val="009844F1"/>
    <w:rsid w:val="009846AD"/>
    <w:rsid w:val="0098474B"/>
    <w:rsid w:val="00984C90"/>
    <w:rsid w:val="00984FE7"/>
    <w:rsid w:val="0098510E"/>
    <w:rsid w:val="009857D6"/>
    <w:rsid w:val="00985974"/>
    <w:rsid w:val="00985995"/>
    <w:rsid w:val="00985CD3"/>
    <w:rsid w:val="009861B2"/>
    <w:rsid w:val="00986246"/>
    <w:rsid w:val="009865ED"/>
    <w:rsid w:val="009869E5"/>
    <w:rsid w:val="00986E9F"/>
    <w:rsid w:val="00986F7B"/>
    <w:rsid w:val="00986FB8"/>
    <w:rsid w:val="00987B54"/>
    <w:rsid w:val="00987CBC"/>
    <w:rsid w:val="00990096"/>
    <w:rsid w:val="009904F1"/>
    <w:rsid w:val="00990B0A"/>
    <w:rsid w:val="00990ECB"/>
    <w:rsid w:val="00991680"/>
    <w:rsid w:val="00991D78"/>
    <w:rsid w:val="00991EF3"/>
    <w:rsid w:val="0099236F"/>
    <w:rsid w:val="0099293A"/>
    <w:rsid w:val="0099314D"/>
    <w:rsid w:val="00993E06"/>
    <w:rsid w:val="009940D2"/>
    <w:rsid w:val="0099422D"/>
    <w:rsid w:val="009942AD"/>
    <w:rsid w:val="009942E0"/>
    <w:rsid w:val="0099436F"/>
    <w:rsid w:val="009944BC"/>
    <w:rsid w:val="00994572"/>
    <w:rsid w:val="0099495A"/>
    <w:rsid w:val="00994A71"/>
    <w:rsid w:val="00994B74"/>
    <w:rsid w:val="00994D2A"/>
    <w:rsid w:val="0099552F"/>
    <w:rsid w:val="00995ACE"/>
    <w:rsid w:val="0099673E"/>
    <w:rsid w:val="00996DAF"/>
    <w:rsid w:val="0099707B"/>
    <w:rsid w:val="009970D6"/>
    <w:rsid w:val="009972CB"/>
    <w:rsid w:val="00997311"/>
    <w:rsid w:val="00997576"/>
    <w:rsid w:val="00997A6B"/>
    <w:rsid w:val="00997BD8"/>
    <w:rsid w:val="00997C96"/>
    <w:rsid w:val="009A0A0D"/>
    <w:rsid w:val="009A0C23"/>
    <w:rsid w:val="009A0E00"/>
    <w:rsid w:val="009A1141"/>
    <w:rsid w:val="009A1645"/>
    <w:rsid w:val="009A16D1"/>
    <w:rsid w:val="009A177B"/>
    <w:rsid w:val="009A1FF6"/>
    <w:rsid w:val="009A2602"/>
    <w:rsid w:val="009A2699"/>
    <w:rsid w:val="009A282C"/>
    <w:rsid w:val="009A2873"/>
    <w:rsid w:val="009A34A1"/>
    <w:rsid w:val="009A34FD"/>
    <w:rsid w:val="009A3974"/>
    <w:rsid w:val="009A414E"/>
    <w:rsid w:val="009A49DB"/>
    <w:rsid w:val="009A561F"/>
    <w:rsid w:val="009A5961"/>
    <w:rsid w:val="009A6BAC"/>
    <w:rsid w:val="009A6F41"/>
    <w:rsid w:val="009A7296"/>
    <w:rsid w:val="009A7594"/>
    <w:rsid w:val="009A7648"/>
    <w:rsid w:val="009A7C1B"/>
    <w:rsid w:val="009A7D22"/>
    <w:rsid w:val="009A7DFF"/>
    <w:rsid w:val="009B0010"/>
    <w:rsid w:val="009B0A70"/>
    <w:rsid w:val="009B156C"/>
    <w:rsid w:val="009B20D9"/>
    <w:rsid w:val="009B3003"/>
    <w:rsid w:val="009B31A9"/>
    <w:rsid w:val="009B3426"/>
    <w:rsid w:val="009B3713"/>
    <w:rsid w:val="009B3C9D"/>
    <w:rsid w:val="009B4362"/>
    <w:rsid w:val="009B47B0"/>
    <w:rsid w:val="009B5343"/>
    <w:rsid w:val="009B54AF"/>
    <w:rsid w:val="009B5AAA"/>
    <w:rsid w:val="009B5CE1"/>
    <w:rsid w:val="009B6338"/>
    <w:rsid w:val="009B64C6"/>
    <w:rsid w:val="009B6A45"/>
    <w:rsid w:val="009B6F88"/>
    <w:rsid w:val="009B775F"/>
    <w:rsid w:val="009B790F"/>
    <w:rsid w:val="009B7EBF"/>
    <w:rsid w:val="009C005E"/>
    <w:rsid w:val="009C0155"/>
    <w:rsid w:val="009C04F2"/>
    <w:rsid w:val="009C0658"/>
    <w:rsid w:val="009C1881"/>
    <w:rsid w:val="009C1D37"/>
    <w:rsid w:val="009C2758"/>
    <w:rsid w:val="009C2779"/>
    <w:rsid w:val="009C295C"/>
    <w:rsid w:val="009C2EE8"/>
    <w:rsid w:val="009C3F22"/>
    <w:rsid w:val="009C4145"/>
    <w:rsid w:val="009C4306"/>
    <w:rsid w:val="009C4F4E"/>
    <w:rsid w:val="009C5297"/>
    <w:rsid w:val="009C5BD0"/>
    <w:rsid w:val="009C600B"/>
    <w:rsid w:val="009C62F0"/>
    <w:rsid w:val="009C65A2"/>
    <w:rsid w:val="009C764A"/>
    <w:rsid w:val="009D0944"/>
    <w:rsid w:val="009D14E6"/>
    <w:rsid w:val="009D16EB"/>
    <w:rsid w:val="009D1BE5"/>
    <w:rsid w:val="009D1FE1"/>
    <w:rsid w:val="009D20EC"/>
    <w:rsid w:val="009D2300"/>
    <w:rsid w:val="009D26E6"/>
    <w:rsid w:val="009D2A3D"/>
    <w:rsid w:val="009D2C99"/>
    <w:rsid w:val="009D2D57"/>
    <w:rsid w:val="009D2D6A"/>
    <w:rsid w:val="009D3154"/>
    <w:rsid w:val="009D34F8"/>
    <w:rsid w:val="009D35FC"/>
    <w:rsid w:val="009D3C29"/>
    <w:rsid w:val="009D3E85"/>
    <w:rsid w:val="009D4748"/>
    <w:rsid w:val="009D4849"/>
    <w:rsid w:val="009D5087"/>
    <w:rsid w:val="009D5433"/>
    <w:rsid w:val="009D5516"/>
    <w:rsid w:val="009D5641"/>
    <w:rsid w:val="009D5930"/>
    <w:rsid w:val="009D5A1E"/>
    <w:rsid w:val="009D5FE6"/>
    <w:rsid w:val="009D6073"/>
    <w:rsid w:val="009D62F2"/>
    <w:rsid w:val="009D6337"/>
    <w:rsid w:val="009D7588"/>
    <w:rsid w:val="009D7C0F"/>
    <w:rsid w:val="009D7F70"/>
    <w:rsid w:val="009D7FF6"/>
    <w:rsid w:val="009E07D0"/>
    <w:rsid w:val="009E0C77"/>
    <w:rsid w:val="009E0C96"/>
    <w:rsid w:val="009E0E42"/>
    <w:rsid w:val="009E146E"/>
    <w:rsid w:val="009E2029"/>
    <w:rsid w:val="009E20C9"/>
    <w:rsid w:val="009E210C"/>
    <w:rsid w:val="009E217D"/>
    <w:rsid w:val="009E2414"/>
    <w:rsid w:val="009E27C0"/>
    <w:rsid w:val="009E2924"/>
    <w:rsid w:val="009E2A0A"/>
    <w:rsid w:val="009E2FC0"/>
    <w:rsid w:val="009E385A"/>
    <w:rsid w:val="009E3DA7"/>
    <w:rsid w:val="009E4A56"/>
    <w:rsid w:val="009E5431"/>
    <w:rsid w:val="009E5F07"/>
    <w:rsid w:val="009E655A"/>
    <w:rsid w:val="009E69D4"/>
    <w:rsid w:val="009E7947"/>
    <w:rsid w:val="009E7A8C"/>
    <w:rsid w:val="009E7D65"/>
    <w:rsid w:val="009F01AA"/>
    <w:rsid w:val="009F0382"/>
    <w:rsid w:val="009F0961"/>
    <w:rsid w:val="009F0DEF"/>
    <w:rsid w:val="009F0F6C"/>
    <w:rsid w:val="009F135A"/>
    <w:rsid w:val="009F1924"/>
    <w:rsid w:val="009F1C1C"/>
    <w:rsid w:val="009F201B"/>
    <w:rsid w:val="009F2050"/>
    <w:rsid w:val="009F23AF"/>
    <w:rsid w:val="009F2455"/>
    <w:rsid w:val="009F24FA"/>
    <w:rsid w:val="009F293F"/>
    <w:rsid w:val="009F2A9C"/>
    <w:rsid w:val="009F2E44"/>
    <w:rsid w:val="009F2F3D"/>
    <w:rsid w:val="009F2F5C"/>
    <w:rsid w:val="009F3404"/>
    <w:rsid w:val="009F3749"/>
    <w:rsid w:val="009F3AA5"/>
    <w:rsid w:val="009F3BFA"/>
    <w:rsid w:val="009F3F95"/>
    <w:rsid w:val="009F44BA"/>
    <w:rsid w:val="009F4F39"/>
    <w:rsid w:val="009F5867"/>
    <w:rsid w:val="009F5928"/>
    <w:rsid w:val="009F5C99"/>
    <w:rsid w:val="009F6068"/>
    <w:rsid w:val="009F60CC"/>
    <w:rsid w:val="009F66B3"/>
    <w:rsid w:val="009F6889"/>
    <w:rsid w:val="009F6AED"/>
    <w:rsid w:val="009F6B43"/>
    <w:rsid w:val="009F7546"/>
    <w:rsid w:val="009F7583"/>
    <w:rsid w:val="009F77FB"/>
    <w:rsid w:val="00A00562"/>
    <w:rsid w:val="00A0061D"/>
    <w:rsid w:val="00A013EF"/>
    <w:rsid w:val="00A01453"/>
    <w:rsid w:val="00A01AB2"/>
    <w:rsid w:val="00A020A5"/>
    <w:rsid w:val="00A02517"/>
    <w:rsid w:val="00A0278B"/>
    <w:rsid w:val="00A02B94"/>
    <w:rsid w:val="00A032EA"/>
    <w:rsid w:val="00A0359C"/>
    <w:rsid w:val="00A038E1"/>
    <w:rsid w:val="00A03B65"/>
    <w:rsid w:val="00A03F58"/>
    <w:rsid w:val="00A03FCF"/>
    <w:rsid w:val="00A0412D"/>
    <w:rsid w:val="00A04744"/>
    <w:rsid w:val="00A066DC"/>
    <w:rsid w:val="00A067AD"/>
    <w:rsid w:val="00A06806"/>
    <w:rsid w:val="00A06F23"/>
    <w:rsid w:val="00A070E9"/>
    <w:rsid w:val="00A0743D"/>
    <w:rsid w:val="00A10891"/>
    <w:rsid w:val="00A10B04"/>
    <w:rsid w:val="00A10D9B"/>
    <w:rsid w:val="00A113D3"/>
    <w:rsid w:val="00A12297"/>
    <w:rsid w:val="00A12680"/>
    <w:rsid w:val="00A12969"/>
    <w:rsid w:val="00A12FB0"/>
    <w:rsid w:val="00A13279"/>
    <w:rsid w:val="00A132F8"/>
    <w:rsid w:val="00A134D5"/>
    <w:rsid w:val="00A13922"/>
    <w:rsid w:val="00A13D95"/>
    <w:rsid w:val="00A13E68"/>
    <w:rsid w:val="00A14F7E"/>
    <w:rsid w:val="00A15568"/>
    <w:rsid w:val="00A15614"/>
    <w:rsid w:val="00A15BEA"/>
    <w:rsid w:val="00A16DDF"/>
    <w:rsid w:val="00A16EC9"/>
    <w:rsid w:val="00A17332"/>
    <w:rsid w:val="00A177A9"/>
    <w:rsid w:val="00A17E03"/>
    <w:rsid w:val="00A2073E"/>
    <w:rsid w:val="00A20BD3"/>
    <w:rsid w:val="00A21F23"/>
    <w:rsid w:val="00A228CA"/>
    <w:rsid w:val="00A22A84"/>
    <w:rsid w:val="00A234F1"/>
    <w:rsid w:val="00A23A70"/>
    <w:rsid w:val="00A24061"/>
    <w:rsid w:val="00A243BA"/>
    <w:rsid w:val="00A2485B"/>
    <w:rsid w:val="00A24BDA"/>
    <w:rsid w:val="00A24C09"/>
    <w:rsid w:val="00A24F78"/>
    <w:rsid w:val="00A2530A"/>
    <w:rsid w:val="00A25565"/>
    <w:rsid w:val="00A264A6"/>
    <w:rsid w:val="00A26C9B"/>
    <w:rsid w:val="00A26DF6"/>
    <w:rsid w:val="00A26FF2"/>
    <w:rsid w:val="00A270A7"/>
    <w:rsid w:val="00A2743A"/>
    <w:rsid w:val="00A27B65"/>
    <w:rsid w:val="00A3078B"/>
    <w:rsid w:val="00A30797"/>
    <w:rsid w:val="00A30AB0"/>
    <w:rsid w:val="00A312A6"/>
    <w:rsid w:val="00A3178C"/>
    <w:rsid w:val="00A3181C"/>
    <w:rsid w:val="00A3193A"/>
    <w:rsid w:val="00A32144"/>
    <w:rsid w:val="00A3227C"/>
    <w:rsid w:val="00A32B45"/>
    <w:rsid w:val="00A32B64"/>
    <w:rsid w:val="00A32D33"/>
    <w:rsid w:val="00A32FE4"/>
    <w:rsid w:val="00A331AC"/>
    <w:rsid w:val="00A3331B"/>
    <w:rsid w:val="00A33607"/>
    <w:rsid w:val="00A3524A"/>
    <w:rsid w:val="00A35417"/>
    <w:rsid w:val="00A355B3"/>
    <w:rsid w:val="00A3589F"/>
    <w:rsid w:val="00A35C1A"/>
    <w:rsid w:val="00A3624A"/>
    <w:rsid w:val="00A366EA"/>
    <w:rsid w:val="00A36A30"/>
    <w:rsid w:val="00A36A8E"/>
    <w:rsid w:val="00A36F6A"/>
    <w:rsid w:val="00A371AC"/>
    <w:rsid w:val="00A374EB"/>
    <w:rsid w:val="00A379DF"/>
    <w:rsid w:val="00A40003"/>
    <w:rsid w:val="00A40405"/>
    <w:rsid w:val="00A409D4"/>
    <w:rsid w:val="00A40BA4"/>
    <w:rsid w:val="00A410FC"/>
    <w:rsid w:val="00A4183E"/>
    <w:rsid w:val="00A41855"/>
    <w:rsid w:val="00A418E5"/>
    <w:rsid w:val="00A41946"/>
    <w:rsid w:val="00A419E2"/>
    <w:rsid w:val="00A41E58"/>
    <w:rsid w:val="00A4215A"/>
    <w:rsid w:val="00A42430"/>
    <w:rsid w:val="00A42533"/>
    <w:rsid w:val="00A43FDE"/>
    <w:rsid w:val="00A44456"/>
    <w:rsid w:val="00A44595"/>
    <w:rsid w:val="00A4473B"/>
    <w:rsid w:val="00A44C87"/>
    <w:rsid w:val="00A44D66"/>
    <w:rsid w:val="00A44E0F"/>
    <w:rsid w:val="00A45320"/>
    <w:rsid w:val="00A454AD"/>
    <w:rsid w:val="00A461D5"/>
    <w:rsid w:val="00A46231"/>
    <w:rsid w:val="00A46239"/>
    <w:rsid w:val="00A4663A"/>
    <w:rsid w:val="00A467F2"/>
    <w:rsid w:val="00A46831"/>
    <w:rsid w:val="00A46DFB"/>
    <w:rsid w:val="00A47008"/>
    <w:rsid w:val="00A4736D"/>
    <w:rsid w:val="00A4760E"/>
    <w:rsid w:val="00A47B29"/>
    <w:rsid w:val="00A47FF9"/>
    <w:rsid w:val="00A502E5"/>
    <w:rsid w:val="00A506D2"/>
    <w:rsid w:val="00A5070A"/>
    <w:rsid w:val="00A50DC0"/>
    <w:rsid w:val="00A511BC"/>
    <w:rsid w:val="00A51569"/>
    <w:rsid w:val="00A51796"/>
    <w:rsid w:val="00A5182A"/>
    <w:rsid w:val="00A51C4C"/>
    <w:rsid w:val="00A520F4"/>
    <w:rsid w:val="00A52204"/>
    <w:rsid w:val="00A523A4"/>
    <w:rsid w:val="00A52786"/>
    <w:rsid w:val="00A52B66"/>
    <w:rsid w:val="00A5318B"/>
    <w:rsid w:val="00A5373A"/>
    <w:rsid w:val="00A541A1"/>
    <w:rsid w:val="00A542C1"/>
    <w:rsid w:val="00A54F4E"/>
    <w:rsid w:val="00A55483"/>
    <w:rsid w:val="00A55F61"/>
    <w:rsid w:val="00A56548"/>
    <w:rsid w:val="00A56809"/>
    <w:rsid w:val="00A56D94"/>
    <w:rsid w:val="00A573FF"/>
    <w:rsid w:val="00A57452"/>
    <w:rsid w:val="00A57756"/>
    <w:rsid w:val="00A57DA6"/>
    <w:rsid w:val="00A57E5B"/>
    <w:rsid w:val="00A60B41"/>
    <w:rsid w:val="00A60DEF"/>
    <w:rsid w:val="00A610E6"/>
    <w:rsid w:val="00A622E1"/>
    <w:rsid w:val="00A623B7"/>
    <w:rsid w:val="00A624D6"/>
    <w:rsid w:val="00A62573"/>
    <w:rsid w:val="00A629BD"/>
    <w:rsid w:val="00A62E38"/>
    <w:rsid w:val="00A630BD"/>
    <w:rsid w:val="00A634C8"/>
    <w:rsid w:val="00A63A9F"/>
    <w:rsid w:val="00A64014"/>
    <w:rsid w:val="00A64203"/>
    <w:rsid w:val="00A64494"/>
    <w:rsid w:val="00A645A3"/>
    <w:rsid w:val="00A645D6"/>
    <w:rsid w:val="00A64FB9"/>
    <w:rsid w:val="00A66176"/>
    <w:rsid w:val="00A66415"/>
    <w:rsid w:val="00A66460"/>
    <w:rsid w:val="00A665E1"/>
    <w:rsid w:val="00A66AEC"/>
    <w:rsid w:val="00A6716D"/>
    <w:rsid w:val="00A67325"/>
    <w:rsid w:val="00A67797"/>
    <w:rsid w:val="00A67AA3"/>
    <w:rsid w:val="00A67F74"/>
    <w:rsid w:val="00A70959"/>
    <w:rsid w:val="00A70C00"/>
    <w:rsid w:val="00A71AC6"/>
    <w:rsid w:val="00A71BD2"/>
    <w:rsid w:val="00A72A2A"/>
    <w:rsid w:val="00A72B64"/>
    <w:rsid w:val="00A72C1C"/>
    <w:rsid w:val="00A72CBF"/>
    <w:rsid w:val="00A7333A"/>
    <w:rsid w:val="00A73353"/>
    <w:rsid w:val="00A737DD"/>
    <w:rsid w:val="00A738A5"/>
    <w:rsid w:val="00A73951"/>
    <w:rsid w:val="00A73987"/>
    <w:rsid w:val="00A739C5"/>
    <w:rsid w:val="00A7442A"/>
    <w:rsid w:val="00A74890"/>
    <w:rsid w:val="00A7499F"/>
    <w:rsid w:val="00A751E5"/>
    <w:rsid w:val="00A753B4"/>
    <w:rsid w:val="00A754B8"/>
    <w:rsid w:val="00A756FC"/>
    <w:rsid w:val="00A7675F"/>
    <w:rsid w:val="00A76A17"/>
    <w:rsid w:val="00A76CBC"/>
    <w:rsid w:val="00A76EA0"/>
    <w:rsid w:val="00A7722A"/>
    <w:rsid w:val="00A77668"/>
    <w:rsid w:val="00A800D6"/>
    <w:rsid w:val="00A80194"/>
    <w:rsid w:val="00A801A0"/>
    <w:rsid w:val="00A803AC"/>
    <w:rsid w:val="00A808F1"/>
    <w:rsid w:val="00A812E3"/>
    <w:rsid w:val="00A8156B"/>
    <w:rsid w:val="00A81982"/>
    <w:rsid w:val="00A819F6"/>
    <w:rsid w:val="00A81A20"/>
    <w:rsid w:val="00A81C9E"/>
    <w:rsid w:val="00A81D70"/>
    <w:rsid w:val="00A8216A"/>
    <w:rsid w:val="00A828F4"/>
    <w:rsid w:val="00A8350E"/>
    <w:rsid w:val="00A83567"/>
    <w:rsid w:val="00A8384C"/>
    <w:rsid w:val="00A8398B"/>
    <w:rsid w:val="00A83E8E"/>
    <w:rsid w:val="00A8450D"/>
    <w:rsid w:val="00A84730"/>
    <w:rsid w:val="00A8480C"/>
    <w:rsid w:val="00A84AC9"/>
    <w:rsid w:val="00A84F0F"/>
    <w:rsid w:val="00A85D80"/>
    <w:rsid w:val="00A866C6"/>
    <w:rsid w:val="00A86964"/>
    <w:rsid w:val="00A87344"/>
    <w:rsid w:val="00A87643"/>
    <w:rsid w:val="00A879E2"/>
    <w:rsid w:val="00A900A5"/>
    <w:rsid w:val="00A9024F"/>
    <w:rsid w:val="00A90742"/>
    <w:rsid w:val="00A90A14"/>
    <w:rsid w:val="00A9124B"/>
    <w:rsid w:val="00A91387"/>
    <w:rsid w:val="00A91A4A"/>
    <w:rsid w:val="00A91C7C"/>
    <w:rsid w:val="00A92652"/>
    <w:rsid w:val="00A926AA"/>
    <w:rsid w:val="00A92EEC"/>
    <w:rsid w:val="00A943A5"/>
    <w:rsid w:val="00A9449E"/>
    <w:rsid w:val="00A949CD"/>
    <w:rsid w:val="00A94ADD"/>
    <w:rsid w:val="00A94DC4"/>
    <w:rsid w:val="00A95539"/>
    <w:rsid w:val="00A95CF4"/>
    <w:rsid w:val="00A9661B"/>
    <w:rsid w:val="00A970B8"/>
    <w:rsid w:val="00A97DFE"/>
    <w:rsid w:val="00AA02B0"/>
    <w:rsid w:val="00AA0E99"/>
    <w:rsid w:val="00AA0EC0"/>
    <w:rsid w:val="00AA0F55"/>
    <w:rsid w:val="00AA110E"/>
    <w:rsid w:val="00AA1A8C"/>
    <w:rsid w:val="00AA2B75"/>
    <w:rsid w:val="00AA2CF7"/>
    <w:rsid w:val="00AA2E4D"/>
    <w:rsid w:val="00AA2F4D"/>
    <w:rsid w:val="00AA30E8"/>
    <w:rsid w:val="00AA3BFB"/>
    <w:rsid w:val="00AA4014"/>
    <w:rsid w:val="00AA407F"/>
    <w:rsid w:val="00AA4581"/>
    <w:rsid w:val="00AA472F"/>
    <w:rsid w:val="00AA4B9C"/>
    <w:rsid w:val="00AA511F"/>
    <w:rsid w:val="00AA5544"/>
    <w:rsid w:val="00AA5717"/>
    <w:rsid w:val="00AA5BC0"/>
    <w:rsid w:val="00AA5FA2"/>
    <w:rsid w:val="00AA63E3"/>
    <w:rsid w:val="00AA6426"/>
    <w:rsid w:val="00AA672A"/>
    <w:rsid w:val="00AA6DE7"/>
    <w:rsid w:val="00AA71E7"/>
    <w:rsid w:val="00AA73E2"/>
    <w:rsid w:val="00AA7927"/>
    <w:rsid w:val="00AA7CB1"/>
    <w:rsid w:val="00AB065C"/>
    <w:rsid w:val="00AB19A2"/>
    <w:rsid w:val="00AB1C9C"/>
    <w:rsid w:val="00AB1D00"/>
    <w:rsid w:val="00AB20B3"/>
    <w:rsid w:val="00AB22B7"/>
    <w:rsid w:val="00AB238D"/>
    <w:rsid w:val="00AB3DD3"/>
    <w:rsid w:val="00AB3E41"/>
    <w:rsid w:val="00AB3E7B"/>
    <w:rsid w:val="00AB41CB"/>
    <w:rsid w:val="00AB434C"/>
    <w:rsid w:val="00AB43FB"/>
    <w:rsid w:val="00AB4D0F"/>
    <w:rsid w:val="00AB4F43"/>
    <w:rsid w:val="00AB50DE"/>
    <w:rsid w:val="00AB5687"/>
    <w:rsid w:val="00AB5D10"/>
    <w:rsid w:val="00AB6538"/>
    <w:rsid w:val="00AB6941"/>
    <w:rsid w:val="00AB6EC2"/>
    <w:rsid w:val="00AB7173"/>
    <w:rsid w:val="00AB7B0A"/>
    <w:rsid w:val="00AC013B"/>
    <w:rsid w:val="00AC09A7"/>
    <w:rsid w:val="00AC1920"/>
    <w:rsid w:val="00AC2149"/>
    <w:rsid w:val="00AC23D8"/>
    <w:rsid w:val="00AC2681"/>
    <w:rsid w:val="00AC351C"/>
    <w:rsid w:val="00AC3A4E"/>
    <w:rsid w:val="00AC486B"/>
    <w:rsid w:val="00AC5042"/>
    <w:rsid w:val="00AC57F8"/>
    <w:rsid w:val="00AC5832"/>
    <w:rsid w:val="00AC5D56"/>
    <w:rsid w:val="00AC5EC8"/>
    <w:rsid w:val="00AC5F63"/>
    <w:rsid w:val="00AC6BB3"/>
    <w:rsid w:val="00AC6BDA"/>
    <w:rsid w:val="00AC6E15"/>
    <w:rsid w:val="00AC7B3D"/>
    <w:rsid w:val="00AD0FAD"/>
    <w:rsid w:val="00AD1147"/>
    <w:rsid w:val="00AD1383"/>
    <w:rsid w:val="00AD165A"/>
    <w:rsid w:val="00AD1691"/>
    <w:rsid w:val="00AD1AD8"/>
    <w:rsid w:val="00AD2BD7"/>
    <w:rsid w:val="00AD3B1B"/>
    <w:rsid w:val="00AD4362"/>
    <w:rsid w:val="00AD43A5"/>
    <w:rsid w:val="00AD4637"/>
    <w:rsid w:val="00AD4B32"/>
    <w:rsid w:val="00AD4CAE"/>
    <w:rsid w:val="00AD4F73"/>
    <w:rsid w:val="00AD5583"/>
    <w:rsid w:val="00AD61D2"/>
    <w:rsid w:val="00AD6274"/>
    <w:rsid w:val="00AD69AC"/>
    <w:rsid w:val="00AD69C8"/>
    <w:rsid w:val="00AD6D35"/>
    <w:rsid w:val="00AD7024"/>
    <w:rsid w:val="00AD718C"/>
    <w:rsid w:val="00AD7483"/>
    <w:rsid w:val="00AD75F5"/>
    <w:rsid w:val="00AD79F7"/>
    <w:rsid w:val="00AE04F6"/>
    <w:rsid w:val="00AE0825"/>
    <w:rsid w:val="00AE1131"/>
    <w:rsid w:val="00AE157F"/>
    <w:rsid w:val="00AE1F00"/>
    <w:rsid w:val="00AE1F3B"/>
    <w:rsid w:val="00AE1F45"/>
    <w:rsid w:val="00AE26CB"/>
    <w:rsid w:val="00AE2CFB"/>
    <w:rsid w:val="00AE3136"/>
    <w:rsid w:val="00AE3B4B"/>
    <w:rsid w:val="00AE3BA7"/>
    <w:rsid w:val="00AE3F28"/>
    <w:rsid w:val="00AE432C"/>
    <w:rsid w:val="00AE43D6"/>
    <w:rsid w:val="00AE4B33"/>
    <w:rsid w:val="00AE4E35"/>
    <w:rsid w:val="00AE570A"/>
    <w:rsid w:val="00AE5B88"/>
    <w:rsid w:val="00AE6063"/>
    <w:rsid w:val="00AE60D7"/>
    <w:rsid w:val="00AE6143"/>
    <w:rsid w:val="00AE638D"/>
    <w:rsid w:val="00AE653E"/>
    <w:rsid w:val="00AE6732"/>
    <w:rsid w:val="00AE6EF4"/>
    <w:rsid w:val="00AE7081"/>
    <w:rsid w:val="00AE73FF"/>
    <w:rsid w:val="00AE7462"/>
    <w:rsid w:val="00AE7A33"/>
    <w:rsid w:val="00AE7D8E"/>
    <w:rsid w:val="00AE7FEE"/>
    <w:rsid w:val="00AF043D"/>
    <w:rsid w:val="00AF0DB1"/>
    <w:rsid w:val="00AF1432"/>
    <w:rsid w:val="00AF1468"/>
    <w:rsid w:val="00AF1927"/>
    <w:rsid w:val="00AF1A08"/>
    <w:rsid w:val="00AF1A8A"/>
    <w:rsid w:val="00AF2C27"/>
    <w:rsid w:val="00AF2E31"/>
    <w:rsid w:val="00AF3757"/>
    <w:rsid w:val="00AF3A57"/>
    <w:rsid w:val="00AF41AB"/>
    <w:rsid w:val="00AF41E7"/>
    <w:rsid w:val="00AF467E"/>
    <w:rsid w:val="00AF5063"/>
    <w:rsid w:val="00AF57F9"/>
    <w:rsid w:val="00AF5979"/>
    <w:rsid w:val="00AF5AC9"/>
    <w:rsid w:val="00AF60DB"/>
    <w:rsid w:val="00AF6183"/>
    <w:rsid w:val="00AF66E9"/>
    <w:rsid w:val="00AF6949"/>
    <w:rsid w:val="00AF6AC7"/>
    <w:rsid w:val="00AF6BD5"/>
    <w:rsid w:val="00AF6D0E"/>
    <w:rsid w:val="00AF6EFA"/>
    <w:rsid w:val="00AF7232"/>
    <w:rsid w:val="00AF734C"/>
    <w:rsid w:val="00AF7619"/>
    <w:rsid w:val="00AF7ECB"/>
    <w:rsid w:val="00B007FF"/>
    <w:rsid w:val="00B0112F"/>
    <w:rsid w:val="00B01690"/>
    <w:rsid w:val="00B018AF"/>
    <w:rsid w:val="00B01AF2"/>
    <w:rsid w:val="00B01C1C"/>
    <w:rsid w:val="00B01C75"/>
    <w:rsid w:val="00B01D1E"/>
    <w:rsid w:val="00B02050"/>
    <w:rsid w:val="00B0206D"/>
    <w:rsid w:val="00B02E07"/>
    <w:rsid w:val="00B03216"/>
    <w:rsid w:val="00B034B2"/>
    <w:rsid w:val="00B039C2"/>
    <w:rsid w:val="00B039E5"/>
    <w:rsid w:val="00B03B5E"/>
    <w:rsid w:val="00B0414A"/>
    <w:rsid w:val="00B04C7D"/>
    <w:rsid w:val="00B051D2"/>
    <w:rsid w:val="00B0545D"/>
    <w:rsid w:val="00B0596A"/>
    <w:rsid w:val="00B059DD"/>
    <w:rsid w:val="00B05F25"/>
    <w:rsid w:val="00B060B4"/>
    <w:rsid w:val="00B06834"/>
    <w:rsid w:val="00B06DC5"/>
    <w:rsid w:val="00B06FF0"/>
    <w:rsid w:val="00B076F2"/>
    <w:rsid w:val="00B07F28"/>
    <w:rsid w:val="00B10232"/>
    <w:rsid w:val="00B103C9"/>
    <w:rsid w:val="00B10C24"/>
    <w:rsid w:val="00B11158"/>
    <w:rsid w:val="00B112B0"/>
    <w:rsid w:val="00B11370"/>
    <w:rsid w:val="00B114EA"/>
    <w:rsid w:val="00B1160A"/>
    <w:rsid w:val="00B1252D"/>
    <w:rsid w:val="00B128C4"/>
    <w:rsid w:val="00B129E9"/>
    <w:rsid w:val="00B12CBD"/>
    <w:rsid w:val="00B12FC3"/>
    <w:rsid w:val="00B13080"/>
    <w:rsid w:val="00B13085"/>
    <w:rsid w:val="00B13300"/>
    <w:rsid w:val="00B13522"/>
    <w:rsid w:val="00B136FC"/>
    <w:rsid w:val="00B13D58"/>
    <w:rsid w:val="00B13D96"/>
    <w:rsid w:val="00B14184"/>
    <w:rsid w:val="00B149A6"/>
    <w:rsid w:val="00B15778"/>
    <w:rsid w:val="00B157F2"/>
    <w:rsid w:val="00B15910"/>
    <w:rsid w:val="00B15BF6"/>
    <w:rsid w:val="00B16068"/>
    <w:rsid w:val="00B16179"/>
    <w:rsid w:val="00B16863"/>
    <w:rsid w:val="00B16AB8"/>
    <w:rsid w:val="00B16EF9"/>
    <w:rsid w:val="00B17393"/>
    <w:rsid w:val="00B17AA9"/>
    <w:rsid w:val="00B17ABA"/>
    <w:rsid w:val="00B17E79"/>
    <w:rsid w:val="00B201FE"/>
    <w:rsid w:val="00B20378"/>
    <w:rsid w:val="00B20B68"/>
    <w:rsid w:val="00B21069"/>
    <w:rsid w:val="00B21224"/>
    <w:rsid w:val="00B212A4"/>
    <w:rsid w:val="00B21669"/>
    <w:rsid w:val="00B21BA0"/>
    <w:rsid w:val="00B21D1B"/>
    <w:rsid w:val="00B22B63"/>
    <w:rsid w:val="00B2312A"/>
    <w:rsid w:val="00B23143"/>
    <w:rsid w:val="00B23B59"/>
    <w:rsid w:val="00B23B79"/>
    <w:rsid w:val="00B23D3B"/>
    <w:rsid w:val="00B2452A"/>
    <w:rsid w:val="00B2482B"/>
    <w:rsid w:val="00B24EF7"/>
    <w:rsid w:val="00B25376"/>
    <w:rsid w:val="00B2543E"/>
    <w:rsid w:val="00B25461"/>
    <w:rsid w:val="00B25599"/>
    <w:rsid w:val="00B25686"/>
    <w:rsid w:val="00B258AE"/>
    <w:rsid w:val="00B25B7A"/>
    <w:rsid w:val="00B25C9D"/>
    <w:rsid w:val="00B25F42"/>
    <w:rsid w:val="00B26CE0"/>
    <w:rsid w:val="00B27098"/>
    <w:rsid w:val="00B27296"/>
    <w:rsid w:val="00B2773C"/>
    <w:rsid w:val="00B277C7"/>
    <w:rsid w:val="00B27D41"/>
    <w:rsid w:val="00B30116"/>
    <w:rsid w:val="00B305D9"/>
    <w:rsid w:val="00B3060D"/>
    <w:rsid w:val="00B306D0"/>
    <w:rsid w:val="00B3128A"/>
    <w:rsid w:val="00B3135B"/>
    <w:rsid w:val="00B31592"/>
    <w:rsid w:val="00B3161F"/>
    <w:rsid w:val="00B319EE"/>
    <w:rsid w:val="00B320C1"/>
    <w:rsid w:val="00B3238F"/>
    <w:rsid w:val="00B33030"/>
    <w:rsid w:val="00B33166"/>
    <w:rsid w:val="00B33200"/>
    <w:rsid w:val="00B33355"/>
    <w:rsid w:val="00B339F9"/>
    <w:rsid w:val="00B34F82"/>
    <w:rsid w:val="00B354DD"/>
    <w:rsid w:val="00B35B32"/>
    <w:rsid w:val="00B36530"/>
    <w:rsid w:val="00B36FCB"/>
    <w:rsid w:val="00B37123"/>
    <w:rsid w:val="00B3765E"/>
    <w:rsid w:val="00B3798B"/>
    <w:rsid w:val="00B37A3E"/>
    <w:rsid w:val="00B4036B"/>
    <w:rsid w:val="00B4169A"/>
    <w:rsid w:val="00B41829"/>
    <w:rsid w:val="00B4183B"/>
    <w:rsid w:val="00B41A15"/>
    <w:rsid w:val="00B41AA2"/>
    <w:rsid w:val="00B41AD9"/>
    <w:rsid w:val="00B41BD0"/>
    <w:rsid w:val="00B424C9"/>
    <w:rsid w:val="00B42726"/>
    <w:rsid w:val="00B42E7F"/>
    <w:rsid w:val="00B4322C"/>
    <w:rsid w:val="00B433FA"/>
    <w:rsid w:val="00B4428B"/>
    <w:rsid w:val="00B44B44"/>
    <w:rsid w:val="00B44E18"/>
    <w:rsid w:val="00B44E2B"/>
    <w:rsid w:val="00B45C9C"/>
    <w:rsid w:val="00B45FD3"/>
    <w:rsid w:val="00B46018"/>
    <w:rsid w:val="00B462B6"/>
    <w:rsid w:val="00B46B3C"/>
    <w:rsid w:val="00B47145"/>
    <w:rsid w:val="00B474B2"/>
    <w:rsid w:val="00B475CB"/>
    <w:rsid w:val="00B508B6"/>
    <w:rsid w:val="00B50B48"/>
    <w:rsid w:val="00B50DE4"/>
    <w:rsid w:val="00B5127D"/>
    <w:rsid w:val="00B512F2"/>
    <w:rsid w:val="00B524A3"/>
    <w:rsid w:val="00B526A7"/>
    <w:rsid w:val="00B5317D"/>
    <w:rsid w:val="00B5392F"/>
    <w:rsid w:val="00B5393A"/>
    <w:rsid w:val="00B53B9C"/>
    <w:rsid w:val="00B53CE9"/>
    <w:rsid w:val="00B541CE"/>
    <w:rsid w:val="00B54C8A"/>
    <w:rsid w:val="00B552A5"/>
    <w:rsid w:val="00B5530E"/>
    <w:rsid w:val="00B55756"/>
    <w:rsid w:val="00B55CFD"/>
    <w:rsid w:val="00B55F52"/>
    <w:rsid w:val="00B565DB"/>
    <w:rsid w:val="00B56814"/>
    <w:rsid w:val="00B56FB7"/>
    <w:rsid w:val="00B571A7"/>
    <w:rsid w:val="00B57463"/>
    <w:rsid w:val="00B57FD2"/>
    <w:rsid w:val="00B57FE9"/>
    <w:rsid w:val="00B60076"/>
    <w:rsid w:val="00B607FD"/>
    <w:rsid w:val="00B60DD8"/>
    <w:rsid w:val="00B61F04"/>
    <w:rsid w:val="00B625B9"/>
    <w:rsid w:val="00B62F38"/>
    <w:rsid w:val="00B630AC"/>
    <w:rsid w:val="00B63481"/>
    <w:rsid w:val="00B634F0"/>
    <w:rsid w:val="00B63CE4"/>
    <w:rsid w:val="00B642B6"/>
    <w:rsid w:val="00B64595"/>
    <w:rsid w:val="00B646A8"/>
    <w:rsid w:val="00B64952"/>
    <w:rsid w:val="00B6508C"/>
    <w:rsid w:val="00B6541C"/>
    <w:rsid w:val="00B654FC"/>
    <w:rsid w:val="00B65BF9"/>
    <w:rsid w:val="00B65DC9"/>
    <w:rsid w:val="00B667D6"/>
    <w:rsid w:val="00B6725F"/>
    <w:rsid w:val="00B67584"/>
    <w:rsid w:val="00B679AA"/>
    <w:rsid w:val="00B67EC3"/>
    <w:rsid w:val="00B70D64"/>
    <w:rsid w:val="00B70F74"/>
    <w:rsid w:val="00B71111"/>
    <w:rsid w:val="00B71183"/>
    <w:rsid w:val="00B712E0"/>
    <w:rsid w:val="00B716DC"/>
    <w:rsid w:val="00B71A3B"/>
    <w:rsid w:val="00B71B72"/>
    <w:rsid w:val="00B7254B"/>
    <w:rsid w:val="00B7258E"/>
    <w:rsid w:val="00B72599"/>
    <w:rsid w:val="00B726B3"/>
    <w:rsid w:val="00B7274D"/>
    <w:rsid w:val="00B72D20"/>
    <w:rsid w:val="00B72F62"/>
    <w:rsid w:val="00B73544"/>
    <w:rsid w:val="00B73693"/>
    <w:rsid w:val="00B73ADD"/>
    <w:rsid w:val="00B73B71"/>
    <w:rsid w:val="00B73E6C"/>
    <w:rsid w:val="00B74B25"/>
    <w:rsid w:val="00B7570C"/>
    <w:rsid w:val="00B758C0"/>
    <w:rsid w:val="00B76106"/>
    <w:rsid w:val="00B76F88"/>
    <w:rsid w:val="00B77227"/>
    <w:rsid w:val="00B774E3"/>
    <w:rsid w:val="00B77529"/>
    <w:rsid w:val="00B77536"/>
    <w:rsid w:val="00B77A33"/>
    <w:rsid w:val="00B77C60"/>
    <w:rsid w:val="00B803C9"/>
    <w:rsid w:val="00B80432"/>
    <w:rsid w:val="00B80E0C"/>
    <w:rsid w:val="00B8108E"/>
    <w:rsid w:val="00B8176D"/>
    <w:rsid w:val="00B81E2C"/>
    <w:rsid w:val="00B81F9D"/>
    <w:rsid w:val="00B82632"/>
    <w:rsid w:val="00B827F2"/>
    <w:rsid w:val="00B827F3"/>
    <w:rsid w:val="00B83103"/>
    <w:rsid w:val="00B8313D"/>
    <w:rsid w:val="00B83FF1"/>
    <w:rsid w:val="00B84E2F"/>
    <w:rsid w:val="00B855E6"/>
    <w:rsid w:val="00B8584C"/>
    <w:rsid w:val="00B858C9"/>
    <w:rsid w:val="00B86081"/>
    <w:rsid w:val="00B86742"/>
    <w:rsid w:val="00B86883"/>
    <w:rsid w:val="00B869DD"/>
    <w:rsid w:val="00B86AF0"/>
    <w:rsid w:val="00B86D36"/>
    <w:rsid w:val="00B86E30"/>
    <w:rsid w:val="00B86E52"/>
    <w:rsid w:val="00B87FDB"/>
    <w:rsid w:val="00B90047"/>
    <w:rsid w:val="00B90067"/>
    <w:rsid w:val="00B9019C"/>
    <w:rsid w:val="00B9056F"/>
    <w:rsid w:val="00B90A5E"/>
    <w:rsid w:val="00B90DFE"/>
    <w:rsid w:val="00B90F46"/>
    <w:rsid w:val="00B91672"/>
    <w:rsid w:val="00B9225B"/>
    <w:rsid w:val="00B92AF5"/>
    <w:rsid w:val="00B92D33"/>
    <w:rsid w:val="00B92E79"/>
    <w:rsid w:val="00B92FBA"/>
    <w:rsid w:val="00B935EE"/>
    <w:rsid w:val="00B94AE5"/>
    <w:rsid w:val="00B94E42"/>
    <w:rsid w:val="00B94FA3"/>
    <w:rsid w:val="00B95362"/>
    <w:rsid w:val="00B95699"/>
    <w:rsid w:val="00B95D5B"/>
    <w:rsid w:val="00B95EEA"/>
    <w:rsid w:val="00B9617C"/>
    <w:rsid w:val="00B9675C"/>
    <w:rsid w:val="00B973CC"/>
    <w:rsid w:val="00B97409"/>
    <w:rsid w:val="00B9771A"/>
    <w:rsid w:val="00B97726"/>
    <w:rsid w:val="00B97AAB"/>
    <w:rsid w:val="00BA13F4"/>
    <w:rsid w:val="00BA147F"/>
    <w:rsid w:val="00BA184B"/>
    <w:rsid w:val="00BA2135"/>
    <w:rsid w:val="00BA228F"/>
    <w:rsid w:val="00BA3447"/>
    <w:rsid w:val="00BA3848"/>
    <w:rsid w:val="00BA3E77"/>
    <w:rsid w:val="00BA4B8A"/>
    <w:rsid w:val="00BA4CA9"/>
    <w:rsid w:val="00BA5252"/>
    <w:rsid w:val="00BA526D"/>
    <w:rsid w:val="00BA5796"/>
    <w:rsid w:val="00BA5902"/>
    <w:rsid w:val="00BA590A"/>
    <w:rsid w:val="00BA617A"/>
    <w:rsid w:val="00BA68F4"/>
    <w:rsid w:val="00BA6965"/>
    <w:rsid w:val="00BA6B24"/>
    <w:rsid w:val="00BA6D35"/>
    <w:rsid w:val="00BA70D9"/>
    <w:rsid w:val="00BA7355"/>
    <w:rsid w:val="00BA738E"/>
    <w:rsid w:val="00BA78D2"/>
    <w:rsid w:val="00BA7B77"/>
    <w:rsid w:val="00BA7C47"/>
    <w:rsid w:val="00BB0193"/>
    <w:rsid w:val="00BB068E"/>
    <w:rsid w:val="00BB0D07"/>
    <w:rsid w:val="00BB101A"/>
    <w:rsid w:val="00BB2625"/>
    <w:rsid w:val="00BB28F7"/>
    <w:rsid w:val="00BB33D5"/>
    <w:rsid w:val="00BB3597"/>
    <w:rsid w:val="00BB3CFC"/>
    <w:rsid w:val="00BB41A2"/>
    <w:rsid w:val="00BB4668"/>
    <w:rsid w:val="00BB4BB1"/>
    <w:rsid w:val="00BB4CBA"/>
    <w:rsid w:val="00BB5054"/>
    <w:rsid w:val="00BB5058"/>
    <w:rsid w:val="00BB58D4"/>
    <w:rsid w:val="00BB59B2"/>
    <w:rsid w:val="00BB5FDD"/>
    <w:rsid w:val="00BB62E8"/>
    <w:rsid w:val="00BB6C4D"/>
    <w:rsid w:val="00BB7BA2"/>
    <w:rsid w:val="00BC028F"/>
    <w:rsid w:val="00BC0703"/>
    <w:rsid w:val="00BC09E3"/>
    <w:rsid w:val="00BC10B5"/>
    <w:rsid w:val="00BC15CA"/>
    <w:rsid w:val="00BC1881"/>
    <w:rsid w:val="00BC1F2E"/>
    <w:rsid w:val="00BC29BC"/>
    <w:rsid w:val="00BC316C"/>
    <w:rsid w:val="00BC32D6"/>
    <w:rsid w:val="00BC3793"/>
    <w:rsid w:val="00BC3B73"/>
    <w:rsid w:val="00BC47D6"/>
    <w:rsid w:val="00BC495D"/>
    <w:rsid w:val="00BC4A7B"/>
    <w:rsid w:val="00BC4CC7"/>
    <w:rsid w:val="00BC4D06"/>
    <w:rsid w:val="00BC4DA1"/>
    <w:rsid w:val="00BC4E3C"/>
    <w:rsid w:val="00BC553D"/>
    <w:rsid w:val="00BC566F"/>
    <w:rsid w:val="00BC5C89"/>
    <w:rsid w:val="00BC66E7"/>
    <w:rsid w:val="00BC6B44"/>
    <w:rsid w:val="00BC71AB"/>
    <w:rsid w:val="00BC7279"/>
    <w:rsid w:val="00BC7A21"/>
    <w:rsid w:val="00BC7A7C"/>
    <w:rsid w:val="00BC7DE5"/>
    <w:rsid w:val="00BC7EB9"/>
    <w:rsid w:val="00BC7FD8"/>
    <w:rsid w:val="00BD0777"/>
    <w:rsid w:val="00BD07CC"/>
    <w:rsid w:val="00BD085C"/>
    <w:rsid w:val="00BD1002"/>
    <w:rsid w:val="00BD13F7"/>
    <w:rsid w:val="00BD1718"/>
    <w:rsid w:val="00BD1FC9"/>
    <w:rsid w:val="00BD2039"/>
    <w:rsid w:val="00BD2DB3"/>
    <w:rsid w:val="00BD3181"/>
    <w:rsid w:val="00BD31AB"/>
    <w:rsid w:val="00BD31E1"/>
    <w:rsid w:val="00BD3415"/>
    <w:rsid w:val="00BD4416"/>
    <w:rsid w:val="00BD4EC9"/>
    <w:rsid w:val="00BD5100"/>
    <w:rsid w:val="00BD526C"/>
    <w:rsid w:val="00BD54A6"/>
    <w:rsid w:val="00BD561C"/>
    <w:rsid w:val="00BD5B8F"/>
    <w:rsid w:val="00BD5BED"/>
    <w:rsid w:val="00BD5D01"/>
    <w:rsid w:val="00BD61E2"/>
    <w:rsid w:val="00BD628F"/>
    <w:rsid w:val="00BD6591"/>
    <w:rsid w:val="00BD6593"/>
    <w:rsid w:val="00BD6608"/>
    <w:rsid w:val="00BD6968"/>
    <w:rsid w:val="00BD76D3"/>
    <w:rsid w:val="00BD797A"/>
    <w:rsid w:val="00BE03A9"/>
    <w:rsid w:val="00BE0F64"/>
    <w:rsid w:val="00BE11A9"/>
    <w:rsid w:val="00BE17A7"/>
    <w:rsid w:val="00BE21FD"/>
    <w:rsid w:val="00BE2575"/>
    <w:rsid w:val="00BE3094"/>
    <w:rsid w:val="00BE3137"/>
    <w:rsid w:val="00BE376E"/>
    <w:rsid w:val="00BE39B6"/>
    <w:rsid w:val="00BE3B8D"/>
    <w:rsid w:val="00BE3D35"/>
    <w:rsid w:val="00BE4216"/>
    <w:rsid w:val="00BE49F5"/>
    <w:rsid w:val="00BE4F35"/>
    <w:rsid w:val="00BE5682"/>
    <w:rsid w:val="00BE592E"/>
    <w:rsid w:val="00BE5970"/>
    <w:rsid w:val="00BE664E"/>
    <w:rsid w:val="00BE6C1F"/>
    <w:rsid w:val="00BE6E1E"/>
    <w:rsid w:val="00BE6FE6"/>
    <w:rsid w:val="00BE7195"/>
    <w:rsid w:val="00BE72DE"/>
    <w:rsid w:val="00BE7AE3"/>
    <w:rsid w:val="00BE7D89"/>
    <w:rsid w:val="00BF02BA"/>
    <w:rsid w:val="00BF0579"/>
    <w:rsid w:val="00BF07BB"/>
    <w:rsid w:val="00BF0B01"/>
    <w:rsid w:val="00BF100B"/>
    <w:rsid w:val="00BF1011"/>
    <w:rsid w:val="00BF1280"/>
    <w:rsid w:val="00BF16AA"/>
    <w:rsid w:val="00BF1C42"/>
    <w:rsid w:val="00BF1EFE"/>
    <w:rsid w:val="00BF2044"/>
    <w:rsid w:val="00BF25AE"/>
    <w:rsid w:val="00BF2878"/>
    <w:rsid w:val="00BF2C9D"/>
    <w:rsid w:val="00BF3026"/>
    <w:rsid w:val="00BF320B"/>
    <w:rsid w:val="00BF3EA6"/>
    <w:rsid w:val="00BF4BB4"/>
    <w:rsid w:val="00BF51EF"/>
    <w:rsid w:val="00BF5902"/>
    <w:rsid w:val="00BF5C99"/>
    <w:rsid w:val="00BF5F28"/>
    <w:rsid w:val="00BF5FC5"/>
    <w:rsid w:val="00BF6813"/>
    <w:rsid w:val="00BF6A9A"/>
    <w:rsid w:val="00BF6B82"/>
    <w:rsid w:val="00BF6EBD"/>
    <w:rsid w:val="00BF7B52"/>
    <w:rsid w:val="00BF7CFC"/>
    <w:rsid w:val="00BF7E2A"/>
    <w:rsid w:val="00BF7E42"/>
    <w:rsid w:val="00C00500"/>
    <w:rsid w:val="00C00746"/>
    <w:rsid w:val="00C00B70"/>
    <w:rsid w:val="00C01BB8"/>
    <w:rsid w:val="00C02166"/>
    <w:rsid w:val="00C02729"/>
    <w:rsid w:val="00C029D5"/>
    <w:rsid w:val="00C03F6D"/>
    <w:rsid w:val="00C04550"/>
    <w:rsid w:val="00C047A9"/>
    <w:rsid w:val="00C0493D"/>
    <w:rsid w:val="00C05020"/>
    <w:rsid w:val="00C05293"/>
    <w:rsid w:val="00C05F08"/>
    <w:rsid w:val="00C061BC"/>
    <w:rsid w:val="00C061E6"/>
    <w:rsid w:val="00C06F1C"/>
    <w:rsid w:val="00C075F8"/>
    <w:rsid w:val="00C0793B"/>
    <w:rsid w:val="00C07F07"/>
    <w:rsid w:val="00C103D1"/>
    <w:rsid w:val="00C105FE"/>
    <w:rsid w:val="00C106B9"/>
    <w:rsid w:val="00C10B3E"/>
    <w:rsid w:val="00C10D85"/>
    <w:rsid w:val="00C11245"/>
    <w:rsid w:val="00C114D4"/>
    <w:rsid w:val="00C11C6D"/>
    <w:rsid w:val="00C11D7D"/>
    <w:rsid w:val="00C11F21"/>
    <w:rsid w:val="00C124A0"/>
    <w:rsid w:val="00C1262A"/>
    <w:rsid w:val="00C12A78"/>
    <w:rsid w:val="00C12A8C"/>
    <w:rsid w:val="00C12F7C"/>
    <w:rsid w:val="00C1389E"/>
    <w:rsid w:val="00C13A2D"/>
    <w:rsid w:val="00C13E05"/>
    <w:rsid w:val="00C151C1"/>
    <w:rsid w:val="00C15848"/>
    <w:rsid w:val="00C16428"/>
    <w:rsid w:val="00C17620"/>
    <w:rsid w:val="00C17CC1"/>
    <w:rsid w:val="00C17E24"/>
    <w:rsid w:val="00C20269"/>
    <w:rsid w:val="00C2059F"/>
    <w:rsid w:val="00C205B0"/>
    <w:rsid w:val="00C2067B"/>
    <w:rsid w:val="00C20CEB"/>
    <w:rsid w:val="00C20FB4"/>
    <w:rsid w:val="00C213EC"/>
    <w:rsid w:val="00C214E2"/>
    <w:rsid w:val="00C2208A"/>
    <w:rsid w:val="00C2265D"/>
    <w:rsid w:val="00C2298C"/>
    <w:rsid w:val="00C22ACC"/>
    <w:rsid w:val="00C22F54"/>
    <w:rsid w:val="00C2322A"/>
    <w:rsid w:val="00C2325A"/>
    <w:rsid w:val="00C23671"/>
    <w:rsid w:val="00C23AB1"/>
    <w:rsid w:val="00C23CAC"/>
    <w:rsid w:val="00C23FFC"/>
    <w:rsid w:val="00C24150"/>
    <w:rsid w:val="00C2503D"/>
    <w:rsid w:val="00C25727"/>
    <w:rsid w:val="00C25E97"/>
    <w:rsid w:val="00C265FB"/>
    <w:rsid w:val="00C2667B"/>
    <w:rsid w:val="00C26FBB"/>
    <w:rsid w:val="00C271CF"/>
    <w:rsid w:val="00C2743C"/>
    <w:rsid w:val="00C27A20"/>
    <w:rsid w:val="00C27A46"/>
    <w:rsid w:val="00C27AD3"/>
    <w:rsid w:val="00C27DBA"/>
    <w:rsid w:val="00C30382"/>
    <w:rsid w:val="00C31088"/>
    <w:rsid w:val="00C3174D"/>
    <w:rsid w:val="00C318EC"/>
    <w:rsid w:val="00C31FB7"/>
    <w:rsid w:val="00C32BE6"/>
    <w:rsid w:val="00C32CBC"/>
    <w:rsid w:val="00C32CDC"/>
    <w:rsid w:val="00C33C0F"/>
    <w:rsid w:val="00C33DC7"/>
    <w:rsid w:val="00C34090"/>
    <w:rsid w:val="00C34098"/>
    <w:rsid w:val="00C34913"/>
    <w:rsid w:val="00C34A03"/>
    <w:rsid w:val="00C34B98"/>
    <w:rsid w:val="00C34C7A"/>
    <w:rsid w:val="00C358E8"/>
    <w:rsid w:val="00C35F07"/>
    <w:rsid w:val="00C360C3"/>
    <w:rsid w:val="00C360C4"/>
    <w:rsid w:val="00C36693"/>
    <w:rsid w:val="00C36875"/>
    <w:rsid w:val="00C369D6"/>
    <w:rsid w:val="00C36D3F"/>
    <w:rsid w:val="00C372B5"/>
    <w:rsid w:val="00C373F1"/>
    <w:rsid w:val="00C375C4"/>
    <w:rsid w:val="00C378FF"/>
    <w:rsid w:val="00C37959"/>
    <w:rsid w:val="00C37AA8"/>
    <w:rsid w:val="00C37B72"/>
    <w:rsid w:val="00C37EC6"/>
    <w:rsid w:val="00C40122"/>
    <w:rsid w:val="00C4018A"/>
    <w:rsid w:val="00C401E5"/>
    <w:rsid w:val="00C40937"/>
    <w:rsid w:val="00C40BE7"/>
    <w:rsid w:val="00C40E94"/>
    <w:rsid w:val="00C40EC6"/>
    <w:rsid w:val="00C4122A"/>
    <w:rsid w:val="00C41DA4"/>
    <w:rsid w:val="00C42C2C"/>
    <w:rsid w:val="00C43264"/>
    <w:rsid w:val="00C43A4D"/>
    <w:rsid w:val="00C43EF0"/>
    <w:rsid w:val="00C45413"/>
    <w:rsid w:val="00C4580C"/>
    <w:rsid w:val="00C45A05"/>
    <w:rsid w:val="00C46261"/>
    <w:rsid w:val="00C46663"/>
    <w:rsid w:val="00C46981"/>
    <w:rsid w:val="00C46BD4"/>
    <w:rsid w:val="00C47332"/>
    <w:rsid w:val="00C47ADF"/>
    <w:rsid w:val="00C509DF"/>
    <w:rsid w:val="00C50F40"/>
    <w:rsid w:val="00C50FE9"/>
    <w:rsid w:val="00C510C7"/>
    <w:rsid w:val="00C51234"/>
    <w:rsid w:val="00C513B2"/>
    <w:rsid w:val="00C528FE"/>
    <w:rsid w:val="00C52A3B"/>
    <w:rsid w:val="00C53060"/>
    <w:rsid w:val="00C53138"/>
    <w:rsid w:val="00C53141"/>
    <w:rsid w:val="00C533FE"/>
    <w:rsid w:val="00C536A5"/>
    <w:rsid w:val="00C53798"/>
    <w:rsid w:val="00C53A8E"/>
    <w:rsid w:val="00C5450E"/>
    <w:rsid w:val="00C546C4"/>
    <w:rsid w:val="00C54B40"/>
    <w:rsid w:val="00C54EC1"/>
    <w:rsid w:val="00C5505C"/>
    <w:rsid w:val="00C55DE5"/>
    <w:rsid w:val="00C565AE"/>
    <w:rsid w:val="00C56B1D"/>
    <w:rsid w:val="00C57DAF"/>
    <w:rsid w:val="00C57F69"/>
    <w:rsid w:val="00C6012E"/>
    <w:rsid w:val="00C60410"/>
    <w:rsid w:val="00C60A31"/>
    <w:rsid w:val="00C60D0E"/>
    <w:rsid w:val="00C61010"/>
    <w:rsid w:val="00C61976"/>
    <w:rsid w:val="00C61AEC"/>
    <w:rsid w:val="00C61B78"/>
    <w:rsid w:val="00C61F3E"/>
    <w:rsid w:val="00C62B59"/>
    <w:rsid w:val="00C62DC4"/>
    <w:rsid w:val="00C63117"/>
    <w:rsid w:val="00C63605"/>
    <w:rsid w:val="00C6391D"/>
    <w:rsid w:val="00C639A1"/>
    <w:rsid w:val="00C64742"/>
    <w:rsid w:val="00C64BD3"/>
    <w:rsid w:val="00C64EE6"/>
    <w:rsid w:val="00C6520B"/>
    <w:rsid w:val="00C6550C"/>
    <w:rsid w:val="00C6574D"/>
    <w:rsid w:val="00C6595D"/>
    <w:rsid w:val="00C65A0A"/>
    <w:rsid w:val="00C65B64"/>
    <w:rsid w:val="00C65DB4"/>
    <w:rsid w:val="00C6613E"/>
    <w:rsid w:val="00C66182"/>
    <w:rsid w:val="00C661AA"/>
    <w:rsid w:val="00C661BA"/>
    <w:rsid w:val="00C66332"/>
    <w:rsid w:val="00C66388"/>
    <w:rsid w:val="00C664EF"/>
    <w:rsid w:val="00C665F4"/>
    <w:rsid w:val="00C66B95"/>
    <w:rsid w:val="00C66CD8"/>
    <w:rsid w:val="00C6717E"/>
    <w:rsid w:val="00C678BA"/>
    <w:rsid w:val="00C67BF0"/>
    <w:rsid w:val="00C701F2"/>
    <w:rsid w:val="00C7043F"/>
    <w:rsid w:val="00C715EE"/>
    <w:rsid w:val="00C71CCC"/>
    <w:rsid w:val="00C72505"/>
    <w:rsid w:val="00C7270A"/>
    <w:rsid w:val="00C72BFC"/>
    <w:rsid w:val="00C72F8D"/>
    <w:rsid w:val="00C73144"/>
    <w:rsid w:val="00C73218"/>
    <w:rsid w:val="00C74071"/>
    <w:rsid w:val="00C744C8"/>
    <w:rsid w:val="00C74979"/>
    <w:rsid w:val="00C754DF"/>
    <w:rsid w:val="00C755A3"/>
    <w:rsid w:val="00C7567D"/>
    <w:rsid w:val="00C75E87"/>
    <w:rsid w:val="00C76569"/>
    <w:rsid w:val="00C768C3"/>
    <w:rsid w:val="00C76EB4"/>
    <w:rsid w:val="00C7753B"/>
    <w:rsid w:val="00C77CC4"/>
    <w:rsid w:val="00C77E8B"/>
    <w:rsid w:val="00C8013D"/>
    <w:rsid w:val="00C80BEC"/>
    <w:rsid w:val="00C81B84"/>
    <w:rsid w:val="00C81F31"/>
    <w:rsid w:val="00C8201A"/>
    <w:rsid w:val="00C82156"/>
    <w:rsid w:val="00C82394"/>
    <w:rsid w:val="00C823B2"/>
    <w:rsid w:val="00C829EB"/>
    <w:rsid w:val="00C82E6D"/>
    <w:rsid w:val="00C82ECF"/>
    <w:rsid w:val="00C83254"/>
    <w:rsid w:val="00C839BB"/>
    <w:rsid w:val="00C8419B"/>
    <w:rsid w:val="00C84203"/>
    <w:rsid w:val="00C842B4"/>
    <w:rsid w:val="00C8547D"/>
    <w:rsid w:val="00C85A1C"/>
    <w:rsid w:val="00C85AC4"/>
    <w:rsid w:val="00C85EF8"/>
    <w:rsid w:val="00C8651C"/>
    <w:rsid w:val="00C872E5"/>
    <w:rsid w:val="00C87470"/>
    <w:rsid w:val="00C874BE"/>
    <w:rsid w:val="00C87A79"/>
    <w:rsid w:val="00C90515"/>
    <w:rsid w:val="00C90689"/>
    <w:rsid w:val="00C90AD6"/>
    <w:rsid w:val="00C91107"/>
    <w:rsid w:val="00C91594"/>
    <w:rsid w:val="00C917B6"/>
    <w:rsid w:val="00C917F1"/>
    <w:rsid w:val="00C91B02"/>
    <w:rsid w:val="00C91D38"/>
    <w:rsid w:val="00C91E91"/>
    <w:rsid w:val="00C9232E"/>
    <w:rsid w:val="00C925B9"/>
    <w:rsid w:val="00C92952"/>
    <w:rsid w:val="00C92CC2"/>
    <w:rsid w:val="00C92FA6"/>
    <w:rsid w:val="00C93E62"/>
    <w:rsid w:val="00C941D8"/>
    <w:rsid w:val="00C94547"/>
    <w:rsid w:val="00C94A44"/>
    <w:rsid w:val="00C95043"/>
    <w:rsid w:val="00C95107"/>
    <w:rsid w:val="00C952CD"/>
    <w:rsid w:val="00C95DF8"/>
    <w:rsid w:val="00C96016"/>
    <w:rsid w:val="00C9604F"/>
    <w:rsid w:val="00C96180"/>
    <w:rsid w:val="00C96225"/>
    <w:rsid w:val="00C96734"/>
    <w:rsid w:val="00C967E0"/>
    <w:rsid w:val="00C96A19"/>
    <w:rsid w:val="00C97073"/>
    <w:rsid w:val="00C9750A"/>
    <w:rsid w:val="00C97636"/>
    <w:rsid w:val="00C97929"/>
    <w:rsid w:val="00C97AE9"/>
    <w:rsid w:val="00CA0291"/>
    <w:rsid w:val="00CA02DC"/>
    <w:rsid w:val="00CA0355"/>
    <w:rsid w:val="00CA03B4"/>
    <w:rsid w:val="00CA06FE"/>
    <w:rsid w:val="00CA09CE"/>
    <w:rsid w:val="00CA0D39"/>
    <w:rsid w:val="00CA0DB3"/>
    <w:rsid w:val="00CA0E28"/>
    <w:rsid w:val="00CA0E49"/>
    <w:rsid w:val="00CA14A8"/>
    <w:rsid w:val="00CA1712"/>
    <w:rsid w:val="00CA1DEE"/>
    <w:rsid w:val="00CA1E9D"/>
    <w:rsid w:val="00CA1EF9"/>
    <w:rsid w:val="00CA20BD"/>
    <w:rsid w:val="00CA2394"/>
    <w:rsid w:val="00CA258C"/>
    <w:rsid w:val="00CA29E3"/>
    <w:rsid w:val="00CA30CC"/>
    <w:rsid w:val="00CA3BAC"/>
    <w:rsid w:val="00CA4411"/>
    <w:rsid w:val="00CA460B"/>
    <w:rsid w:val="00CA49F6"/>
    <w:rsid w:val="00CA4B03"/>
    <w:rsid w:val="00CA664B"/>
    <w:rsid w:val="00CA6A86"/>
    <w:rsid w:val="00CA6FF3"/>
    <w:rsid w:val="00CA7881"/>
    <w:rsid w:val="00CA7980"/>
    <w:rsid w:val="00CA7A6E"/>
    <w:rsid w:val="00CA7A88"/>
    <w:rsid w:val="00CA7E2A"/>
    <w:rsid w:val="00CB004A"/>
    <w:rsid w:val="00CB052D"/>
    <w:rsid w:val="00CB05AE"/>
    <w:rsid w:val="00CB0994"/>
    <w:rsid w:val="00CB0C86"/>
    <w:rsid w:val="00CB0F96"/>
    <w:rsid w:val="00CB10BF"/>
    <w:rsid w:val="00CB161F"/>
    <w:rsid w:val="00CB18D2"/>
    <w:rsid w:val="00CB1B62"/>
    <w:rsid w:val="00CB1CC7"/>
    <w:rsid w:val="00CB2025"/>
    <w:rsid w:val="00CB206C"/>
    <w:rsid w:val="00CB2A93"/>
    <w:rsid w:val="00CB2BC1"/>
    <w:rsid w:val="00CB2C06"/>
    <w:rsid w:val="00CB2E85"/>
    <w:rsid w:val="00CB2EE8"/>
    <w:rsid w:val="00CB2F91"/>
    <w:rsid w:val="00CB3094"/>
    <w:rsid w:val="00CB3461"/>
    <w:rsid w:val="00CB370A"/>
    <w:rsid w:val="00CB3CA1"/>
    <w:rsid w:val="00CB3EA6"/>
    <w:rsid w:val="00CB428E"/>
    <w:rsid w:val="00CB48CE"/>
    <w:rsid w:val="00CB48E6"/>
    <w:rsid w:val="00CB4E30"/>
    <w:rsid w:val="00CB5031"/>
    <w:rsid w:val="00CB510B"/>
    <w:rsid w:val="00CB51F7"/>
    <w:rsid w:val="00CB530B"/>
    <w:rsid w:val="00CB589E"/>
    <w:rsid w:val="00CB58B4"/>
    <w:rsid w:val="00CB5C22"/>
    <w:rsid w:val="00CB5EAB"/>
    <w:rsid w:val="00CB5F9B"/>
    <w:rsid w:val="00CB60F0"/>
    <w:rsid w:val="00CB6707"/>
    <w:rsid w:val="00CB6E9D"/>
    <w:rsid w:val="00CB707A"/>
    <w:rsid w:val="00CB76A8"/>
    <w:rsid w:val="00CC0336"/>
    <w:rsid w:val="00CC0671"/>
    <w:rsid w:val="00CC09FD"/>
    <w:rsid w:val="00CC0A87"/>
    <w:rsid w:val="00CC0B9B"/>
    <w:rsid w:val="00CC0D5D"/>
    <w:rsid w:val="00CC0E5B"/>
    <w:rsid w:val="00CC142A"/>
    <w:rsid w:val="00CC18E4"/>
    <w:rsid w:val="00CC1BC6"/>
    <w:rsid w:val="00CC21DA"/>
    <w:rsid w:val="00CC2350"/>
    <w:rsid w:val="00CC2D41"/>
    <w:rsid w:val="00CC2D9C"/>
    <w:rsid w:val="00CC2FA3"/>
    <w:rsid w:val="00CC30B5"/>
    <w:rsid w:val="00CC30BB"/>
    <w:rsid w:val="00CC315C"/>
    <w:rsid w:val="00CC3849"/>
    <w:rsid w:val="00CC39F6"/>
    <w:rsid w:val="00CC3D86"/>
    <w:rsid w:val="00CC4652"/>
    <w:rsid w:val="00CC470A"/>
    <w:rsid w:val="00CC4807"/>
    <w:rsid w:val="00CC4F93"/>
    <w:rsid w:val="00CC5187"/>
    <w:rsid w:val="00CC573D"/>
    <w:rsid w:val="00CC6242"/>
    <w:rsid w:val="00CC64BB"/>
    <w:rsid w:val="00CC6B91"/>
    <w:rsid w:val="00CC6E1C"/>
    <w:rsid w:val="00CC6E3D"/>
    <w:rsid w:val="00CC6F4A"/>
    <w:rsid w:val="00CC70E1"/>
    <w:rsid w:val="00CC7314"/>
    <w:rsid w:val="00CC739E"/>
    <w:rsid w:val="00CC761A"/>
    <w:rsid w:val="00CD00CF"/>
    <w:rsid w:val="00CD07DB"/>
    <w:rsid w:val="00CD0C6D"/>
    <w:rsid w:val="00CD19AE"/>
    <w:rsid w:val="00CD3211"/>
    <w:rsid w:val="00CD323A"/>
    <w:rsid w:val="00CD35D1"/>
    <w:rsid w:val="00CD35FA"/>
    <w:rsid w:val="00CD3772"/>
    <w:rsid w:val="00CD3BED"/>
    <w:rsid w:val="00CD3C70"/>
    <w:rsid w:val="00CD3F70"/>
    <w:rsid w:val="00CD405C"/>
    <w:rsid w:val="00CD45CA"/>
    <w:rsid w:val="00CD4908"/>
    <w:rsid w:val="00CD4942"/>
    <w:rsid w:val="00CD49C2"/>
    <w:rsid w:val="00CD51C9"/>
    <w:rsid w:val="00CD55CE"/>
    <w:rsid w:val="00CD6088"/>
    <w:rsid w:val="00CD75D0"/>
    <w:rsid w:val="00CD7C37"/>
    <w:rsid w:val="00CE0128"/>
    <w:rsid w:val="00CE0AFE"/>
    <w:rsid w:val="00CE0BEE"/>
    <w:rsid w:val="00CE17E8"/>
    <w:rsid w:val="00CE18EF"/>
    <w:rsid w:val="00CE1D5B"/>
    <w:rsid w:val="00CE1F5F"/>
    <w:rsid w:val="00CE2251"/>
    <w:rsid w:val="00CE3328"/>
    <w:rsid w:val="00CE339A"/>
    <w:rsid w:val="00CE368C"/>
    <w:rsid w:val="00CE376A"/>
    <w:rsid w:val="00CE4287"/>
    <w:rsid w:val="00CE4423"/>
    <w:rsid w:val="00CE45A2"/>
    <w:rsid w:val="00CE466D"/>
    <w:rsid w:val="00CE4AD8"/>
    <w:rsid w:val="00CE4E68"/>
    <w:rsid w:val="00CE4F65"/>
    <w:rsid w:val="00CE4F94"/>
    <w:rsid w:val="00CE50A4"/>
    <w:rsid w:val="00CE5869"/>
    <w:rsid w:val="00CE5E2A"/>
    <w:rsid w:val="00CE6FF3"/>
    <w:rsid w:val="00CE73ED"/>
    <w:rsid w:val="00CE763C"/>
    <w:rsid w:val="00CE78E1"/>
    <w:rsid w:val="00CE7CCE"/>
    <w:rsid w:val="00CF1453"/>
    <w:rsid w:val="00CF1905"/>
    <w:rsid w:val="00CF1BE7"/>
    <w:rsid w:val="00CF2390"/>
    <w:rsid w:val="00CF2B44"/>
    <w:rsid w:val="00CF321D"/>
    <w:rsid w:val="00CF3B00"/>
    <w:rsid w:val="00CF404F"/>
    <w:rsid w:val="00CF4140"/>
    <w:rsid w:val="00CF4440"/>
    <w:rsid w:val="00CF6282"/>
    <w:rsid w:val="00CF6E80"/>
    <w:rsid w:val="00CF6EAB"/>
    <w:rsid w:val="00CF6ED8"/>
    <w:rsid w:val="00CF764C"/>
    <w:rsid w:val="00CF797C"/>
    <w:rsid w:val="00CF7CD6"/>
    <w:rsid w:val="00D0034B"/>
    <w:rsid w:val="00D00591"/>
    <w:rsid w:val="00D00EFF"/>
    <w:rsid w:val="00D012C6"/>
    <w:rsid w:val="00D0149F"/>
    <w:rsid w:val="00D01CDD"/>
    <w:rsid w:val="00D0275D"/>
    <w:rsid w:val="00D029B9"/>
    <w:rsid w:val="00D02AF2"/>
    <w:rsid w:val="00D02CDB"/>
    <w:rsid w:val="00D03AD3"/>
    <w:rsid w:val="00D041F6"/>
    <w:rsid w:val="00D04274"/>
    <w:rsid w:val="00D04719"/>
    <w:rsid w:val="00D0517C"/>
    <w:rsid w:val="00D05498"/>
    <w:rsid w:val="00D06695"/>
    <w:rsid w:val="00D069B1"/>
    <w:rsid w:val="00D06C3C"/>
    <w:rsid w:val="00D071CA"/>
    <w:rsid w:val="00D07699"/>
    <w:rsid w:val="00D07B5C"/>
    <w:rsid w:val="00D07F4D"/>
    <w:rsid w:val="00D105DE"/>
    <w:rsid w:val="00D109FB"/>
    <w:rsid w:val="00D10C31"/>
    <w:rsid w:val="00D10EA9"/>
    <w:rsid w:val="00D11535"/>
    <w:rsid w:val="00D1178C"/>
    <w:rsid w:val="00D118F5"/>
    <w:rsid w:val="00D11EB8"/>
    <w:rsid w:val="00D1221C"/>
    <w:rsid w:val="00D129EB"/>
    <w:rsid w:val="00D12DBA"/>
    <w:rsid w:val="00D137D3"/>
    <w:rsid w:val="00D13F94"/>
    <w:rsid w:val="00D140D0"/>
    <w:rsid w:val="00D14A5F"/>
    <w:rsid w:val="00D15529"/>
    <w:rsid w:val="00D15B6D"/>
    <w:rsid w:val="00D16086"/>
    <w:rsid w:val="00D16452"/>
    <w:rsid w:val="00D17139"/>
    <w:rsid w:val="00D17C00"/>
    <w:rsid w:val="00D20194"/>
    <w:rsid w:val="00D20279"/>
    <w:rsid w:val="00D202C9"/>
    <w:rsid w:val="00D207E7"/>
    <w:rsid w:val="00D20CE7"/>
    <w:rsid w:val="00D20E2A"/>
    <w:rsid w:val="00D211B2"/>
    <w:rsid w:val="00D215DE"/>
    <w:rsid w:val="00D217B1"/>
    <w:rsid w:val="00D217CC"/>
    <w:rsid w:val="00D21943"/>
    <w:rsid w:val="00D21B70"/>
    <w:rsid w:val="00D21C07"/>
    <w:rsid w:val="00D22E4D"/>
    <w:rsid w:val="00D2305D"/>
    <w:rsid w:val="00D231DF"/>
    <w:rsid w:val="00D23818"/>
    <w:rsid w:val="00D238F0"/>
    <w:rsid w:val="00D23E03"/>
    <w:rsid w:val="00D247A6"/>
    <w:rsid w:val="00D25B1B"/>
    <w:rsid w:val="00D26055"/>
    <w:rsid w:val="00D26D82"/>
    <w:rsid w:val="00D277A8"/>
    <w:rsid w:val="00D27875"/>
    <w:rsid w:val="00D304E8"/>
    <w:rsid w:val="00D30523"/>
    <w:rsid w:val="00D310A4"/>
    <w:rsid w:val="00D310EE"/>
    <w:rsid w:val="00D3117E"/>
    <w:rsid w:val="00D311DE"/>
    <w:rsid w:val="00D311F6"/>
    <w:rsid w:val="00D31268"/>
    <w:rsid w:val="00D31361"/>
    <w:rsid w:val="00D31D5D"/>
    <w:rsid w:val="00D330A0"/>
    <w:rsid w:val="00D34055"/>
    <w:rsid w:val="00D34734"/>
    <w:rsid w:val="00D34B81"/>
    <w:rsid w:val="00D34EF2"/>
    <w:rsid w:val="00D356A6"/>
    <w:rsid w:val="00D35A2E"/>
    <w:rsid w:val="00D36223"/>
    <w:rsid w:val="00D36D79"/>
    <w:rsid w:val="00D374CE"/>
    <w:rsid w:val="00D375CF"/>
    <w:rsid w:val="00D37807"/>
    <w:rsid w:val="00D37B39"/>
    <w:rsid w:val="00D403D6"/>
    <w:rsid w:val="00D40813"/>
    <w:rsid w:val="00D41615"/>
    <w:rsid w:val="00D4165F"/>
    <w:rsid w:val="00D419A8"/>
    <w:rsid w:val="00D41DFC"/>
    <w:rsid w:val="00D4231B"/>
    <w:rsid w:val="00D4243D"/>
    <w:rsid w:val="00D427AC"/>
    <w:rsid w:val="00D42EDE"/>
    <w:rsid w:val="00D42FD7"/>
    <w:rsid w:val="00D4332C"/>
    <w:rsid w:val="00D43B4D"/>
    <w:rsid w:val="00D44177"/>
    <w:rsid w:val="00D444AD"/>
    <w:rsid w:val="00D4578E"/>
    <w:rsid w:val="00D45DAA"/>
    <w:rsid w:val="00D460BB"/>
    <w:rsid w:val="00D4611F"/>
    <w:rsid w:val="00D46E42"/>
    <w:rsid w:val="00D470B6"/>
    <w:rsid w:val="00D47228"/>
    <w:rsid w:val="00D47660"/>
    <w:rsid w:val="00D479EE"/>
    <w:rsid w:val="00D500C5"/>
    <w:rsid w:val="00D50892"/>
    <w:rsid w:val="00D50AF3"/>
    <w:rsid w:val="00D50BE8"/>
    <w:rsid w:val="00D50C8E"/>
    <w:rsid w:val="00D510D6"/>
    <w:rsid w:val="00D515FE"/>
    <w:rsid w:val="00D51D87"/>
    <w:rsid w:val="00D521B3"/>
    <w:rsid w:val="00D5254D"/>
    <w:rsid w:val="00D52845"/>
    <w:rsid w:val="00D52BA1"/>
    <w:rsid w:val="00D52F07"/>
    <w:rsid w:val="00D534F9"/>
    <w:rsid w:val="00D53A14"/>
    <w:rsid w:val="00D53A66"/>
    <w:rsid w:val="00D541CD"/>
    <w:rsid w:val="00D54BD1"/>
    <w:rsid w:val="00D54D4E"/>
    <w:rsid w:val="00D556B6"/>
    <w:rsid w:val="00D558A2"/>
    <w:rsid w:val="00D55CF3"/>
    <w:rsid w:val="00D5646E"/>
    <w:rsid w:val="00D5684A"/>
    <w:rsid w:val="00D56D08"/>
    <w:rsid w:val="00D56F20"/>
    <w:rsid w:val="00D56FEF"/>
    <w:rsid w:val="00D57237"/>
    <w:rsid w:val="00D5729E"/>
    <w:rsid w:val="00D57524"/>
    <w:rsid w:val="00D57945"/>
    <w:rsid w:val="00D57BE8"/>
    <w:rsid w:val="00D57CE9"/>
    <w:rsid w:val="00D602D5"/>
    <w:rsid w:val="00D604F3"/>
    <w:rsid w:val="00D60682"/>
    <w:rsid w:val="00D609E8"/>
    <w:rsid w:val="00D60A32"/>
    <w:rsid w:val="00D60BBB"/>
    <w:rsid w:val="00D60C11"/>
    <w:rsid w:val="00D614D5"/>
    <w:rsid w:val="00D6169F"/>
    <w:rsid w:val="00D61706"/>
    <w:rsid w:val="00D61FBC"/>
    <w:rsid w:val="00D6219D"/>
    <w:rsid w:val="00D6249B"/>
    <w:rsid w:val="00D62D10"/>
    <w:rsid w:val="00D62DB7"/>
    <w:rsid w:val="00D63018"/>
    <w:rsid w:val="00D6320D"/>
    <w:rsid w:val="00D634F6"/>
    <w:rsid w:val="00D63AE8"/>
    <w:rsid w:val="00D63B58"/>
    <w:rsid w:val="00D63C03"/>
    <w:rsid w:val="00D63FD9"/>
    <w:rsid w:val="00D64214"/>
    <w:rsid w:val="00D64AC5"/>
    <w:rsid w:val="00D65239"/>
    <w:rsid w:val="00D653A1"/>
    <w:rsid w:val="00D65613"/>
    <w:rsid w:val="00D65744"/>
    <w:rsid w:val="00D65BD6"/>
    <w:rsid w:val="00D669D3"/>
    <w:rsid w:val="00D66D7D"/>
    <w:rsid w:val="00D66FA8"/>
    <w:rsid w:val="00D67060"/>
    <w:rsid w:val="00D67403"/>
    <w:rsid w:val="00D67447"/>
    <w:rsid w:val="00D6793A"/>
    <w:rsid w:val="00D67E77"/>
    <w:rsid w:val="00D703E9"/>
    <w:rsid w:val="00D7063C"/>
    <w:rsid w:val="00D707C7"/>
    <w:rsid w:val="00D70ADD"/>
    <w:rsid w:val="00D7150D"/>
    <w:rsid w:val="00D717BD"/>
    <w:rsid w:val="00D7189C"/>
    <w:rsid w:val="00D71C57"/>
    <w:rsid w:val="00D72091"/>
    <w:rsid w:val="00D726BB"/>
    <w:rsid w:val="00D727B7"/>
    <w:rsid w:val="00D72AA6"/>
    <w:rsid w:val="00D72DBD"/>
    <w:rsid w:val="00D730C0"/>
    <w:rsid w:val="00D73479"/>
    <w:rsid w:val="00D73531"/>
    <w:rsid w:val="00D73B54"/>
    <w:rsid w:val="00D73B6B"/>
    <w:rsid w:val="00D73BA6"/>
    <w:rsid w:val="00D73C58"/>
    <w:rsid w:val="00D73DD0"/>
    <w:rsid w:val="00D74223"/>
    <w:rsid w:val="00D74614"/>
    <w:rsid w:val="00D746ED"/>
    <w:rsid w:val="00D74778"/>
    <w:rsid w:val="00D74C2F"/>
    <w:rsid w:val="00D74DCA"/>
    <w:rsid w:val="00D74FC9"/>
    <w:rsid w:val="00D74FD5"/>
    <w:rsid w:val="00D75456"/>
    <w:rsid w:val="00D75869"/>
    <w:rsid w:val="00D7595F"/>
    <w:rsid w:val="00D766FB"/>
    <w:rsid w:val="00D770FD"/>
    <w:rsid w:val="00D776D2"/>
    <w:rsid w:val="00D80622"/>
    <w:rsid w:val="00D809E2"/>
    <w:rsid w:val="00D80E42"/>
    <w:rsid w:val="00D81351"/>
    <w:rsid w:val="00D81A6D"/>
    <w:rsid w:val="00D81B13"/>
    <w:rsid w:val="00D81F8F"/>
    <w:rsid w:val="00D8237F"/>
    <w:rsid w:val="00D82659"/>
    <w:rsid w:val="00D83D10"/>
    <w:rsid w:val="00D840C8"/>
    <w:rsid w:val="00D846D6"/>
    <w:rsid w:val="00D8488C"/>
    <w:rsid w:val="00D84EA5"/>
    <w:rsid w:val="00D85836"/>
    <w:rsid w:val="00D85EA2"/>
    <w:rsid w:val="00D85EC1"/>
    <w:rsid w:val="00D8671B"/>
    <w:rsid w:val="00D8692E"/>
    <w:rsid w:val="00D86E3B"/>
    <w:rsid w:val="00D87EBF"/>
    <w:rsid w:val="00D901FC"/>
    <w:rsid w:val="00D9027D"/>
    <w:rsid w:val="00D9087E"/>
    <w:rsid w:val="00D90F4F"/>
    <w:rsid w:val="00D91065"/>
    <w:rsid w:val="00D9133E"/>
    <w:rsid w:val="00D91428"/>
    <w:rsid w:val="00D917BD"/>
    <w:rsid w:val="00D91EE9"/>
    <w:rsid w:val="00D92018"/>
    <w:rsid w:val="00D92422"/>
    <w:rsid w:val="00D92720"/>
    <w:rsid w:val="00D929E5"/>
    <w:rsid w:val="00D92E90"/>
    <w:rsid w:val="00D937A9"/>
    <w:rsid w:val="00D942C9"/>
    <w:rsid w:val="00D94F27"/>
    <w:rsid w:val="00D95606"/>
    <w:rsid w:val="00D956FA"/>
    <w:rsid w:val="00D95A78"/>
    <w:rsid w:val="00D97269"/>
    <w:rsid w:val="00D972E9"/>
    <w:rsid w:val="00D97321"/>
    <w:rsid w:val="00D975F7"/>
    <w:rsid w:val="00DA0FB3"/>
    <w:rsid w:val="00DA10A6"/>
    <w:rsid w:val="00DA18DE"/>
    <w:rsid w:val="00DA1FCC"/>
    <w:rsid w:val="00DA226F"/>
    <w:rsid w:val="00DA2328"/>
    <w:rsid w:val="00DA29CF"/>
    <w:rsid w:val="00DA30C7"/>
    <w:rsid w:val="00DA30C9"/>
    <w:rsid w:val="00DA31DA"/>
    <w:rsid w:val="00DA3C01"/>
    <w:rsid w:val="00DA4716"/>
    <w:rsid w:val="00DA483B"/>
    <w:rsid w:val="00DA49A9"/>
    <w:rsid w:val="00DA4B12"/>
    <w:rsid w:val="00DA4BFA"/>
    <w:rsid w:val="00DA4E09"/>
    <w:rsid w:val="00DA55E6"/>
    <w:rsid w:val="00DA5B30"/>
    <w:rsid w:val="00DA5CF1"/>
    <w:rsid w:val="00DA5E53"/>
    <w:rsid w:val="00DA6493"/>
    <w:rsid w:val="00DA65A3"/>
    <w:rsid w:val="00DA687F"/>
    <w:rsid w:val="00DA6994"/>
    <w:rsid w:val="00DA6F24"/>
    <w:rsid w:val="00DA7051"/>
    <w:rsid w:val="00DA7180"/>
    <w:rsid w:val="00DA7391"/>
    <w:rsid w:val="00DA78B4"/>
    <w:rsid w:val="00DB01B5"/>
    <w:rsid w:val="00DB02B9"/>
    <w:rsid w:val="00DB04B4"/>
    <w:rsid w:val="00DB07D8"/>
    <w:rsid w:val="00DB086F"/>
    <w:rsid w:val="00DB0B2C"/>
    <w:rsid w:val="00DB0CDC"/>
    <w:rsid w:val="00DB0F44"/>
    <w:rsid w:val="00DB1586"/>
    <w:rsid w:val="00DB1A13"/>
    <w:rsid w:val="00DB22EF"/>
    <w:rsid w:val="00DB2E77"/>
    <w:rsid w:val="00DB3C87"/>
    <w:rsid w:val="00DB3D0D"/>
    <w:rsid w:val="00DB3D15"/>
    <w:rsid w:val="00DB4220"/>
    <w:rsid w:val="00DB46F6"/>
    <w:rsid w:val="00DB4A7D"/>
    <w:rsid w:val="00DB4DFA"/>
    <w:rsid w:val="00DB53A3"/>
    <w:rsid w:val="00DB57CF"/>
    <w:rsid w:val="00DB593A"/>
    <w:rsid w:val="00DB5CD8"/>
    <w:rsid w:val="00DB68CE"/>
    <w:rsid w:val="00DB7758"/>
    <w:rsid w:val="00DB7BB9"/>
    <w:rsid w:val="00DB7BE0"/>
    <w:rsid w:val="00DB7EA5"/>
    <w:rsid w:val="00DC04E4"/>
    <w:rsid w:val="00DC08A1"/>
    <w:rsid w:val="00DC08D5"/>
    <w:rsid w:val="00DC0992"/>
    <w:rsid w:val="00DC109C"/>
    <w:rsid w:val="00DC136C"/>
    <w:rsid w:val="00DC14D1"/>
    <w:rsid w:val="00DC15C5"/>
    <w:rsid w:val="00DC1CC0"/>
    <w:rsid w:val="00DC1CC5"/>
    <w:rsid w:val="00DC1E0B"/>
    <w:rsid w:val="00DC2405"/>
    <w:rsid w:val="00DC2D56"/>
    <w:rsid w:val="00DC36DF"/>
    <w:rsid w:val="00DC4A95"/>
    <w:rsid w:val="00DC5B66"/>
    <w:rsid w:val="00DC60F3"/>
    <w:rsid w:val="00DC67BD"/>
    <w:rsid w:val="00DD001B"/>
    <w:rsid w:val="00DD03B6"/>
    <w:rsid w:val="00DD04C3"/>
    <w:rsid w:val="00DD0939"/>
    <w:rsid w:val="00DD135A"/>
    <w:rsid w:val="00DD16EB"/>
    <w:rsid w:val="00DD1BB3"/>
    <w:rsid w:val="00DD1D6C"/>
    <w:rsid w:val="00DD21F0"/>
    <w:rsid w:val="00DD285A"/>
    <w:rsid w:val="00DD2943"/>
    <w:rsid w:val="00DD2EBF"/>
    <w:rsid w:val="00DD2F82"/>
    <w:rsid w:val="00DD3179"/>
    <w:rsid w:val="00DD3C43"/>
    <w:rsid w:val="00DD3E9D"/>
    <w:rsid w:val="00DD3F93"/>
    <w:rsid w:val="00DD40F4"/>
    <w:rsid w:val="00DD428C"/>
    <w:rsid w:val="00DD4643"/>
    <w:rsid w:val="00DD47D2"/>
    <w:rsid w:val="00DD49C5"/>
    <w:rsid w:val="00DD520F"/>
    <w:rsid w:val="00DD52CF"/>
    <w:rsid w:val="00DD585C"/>
    <w:rsid w:val="00DD5AE5"/>
    <w:rsid w:val="00DD6045"/>
    <w:rsid w:val="00DD67ED"/>
    <w:rsid w:val="00DD6C9C"/>
    <w:rsid w:val="00DD71DB"/>
    <w:rsid w:val="00DD7395"/>
    <w:rsid w:val="00DD78C6"/>
    <w:rsid w:val="00DE0AB7"/>
    <w:rsid w:val="00DE0F22"/>
    <w:rsid w:val="00DE120D"/>
    <w:rsid w:val="00DE13C0"/>
    <w:rsid w:val="00DE14FC"/>
    <w:rsid w:val="00DE1DAF"/>
    <w:rsid w:val="00DE1EF9"/>
    <w:rsid w:val="00DE2655"/>
    <w:rsid w:val="00DE2DE6"/>
    <w:rsid w:val="00DE2F7C"/>
    <w:rsid w:val="00DE313E"/>
    <w:rsid w:val="00DE387A"/>
    <w:rsid w:val="00DE389F"/>
    <w:rsid w:val="00DE4613"/>
    <w:rsid w:val="00DE4F7B"/>
    <w:rsid w:val="00DE5495"/>
    <w:rsid w:val="00DE54CF"/>
    <w:rsid w:val="00DE5D43"/>
    <w:rsid w:val="00DE68CA"/>
    <w:rsid w:val="00DE6988"/>
    <w:rsid w:val="00DE6C14"/>
    <w:rsid w:val="00DE6CF9"/>
    <w:rsid w:val="00DE74C3"/>
    <w:rsid w:val="00DE797C"/>
    <w:rsid w:val="00DF00D3"/>
    <w:rsid w:val="00DF02C5"/>
    <w:rsid w:val="00DF09A8"/>
    <w:rsid w:val="00DF0D9D"/>
    <w:rsid w:val="00DF0E7E"/>
    <w:rsid w:val="00DF1277"/>
    <w:rsid w:val="00DF19C2"/>
    <w:rsid w:val="00DF1BB0"/>
    <w:rsid w:val="00DF1DFF"/>
    <w:rsid w:val="00DF1EF2"/>
    <w:rsid w:val="00DF27D7"/>
    <w:rsid w:val="00DF28A5"/>
    <w:rsid w:val="00DF2AFC"/>
    <w:rsid w:val="00DF2CFD"/>
    <w:rsid w:val="00DF3212"/>
    <w:rsid w:val="00DF3275"/>
    <w:rsid w:val="00DF39FF"/>
    <w:rsid w:val="00DF3EFF"/>
    <w:rsid w:val="00DF3FBE"/>
    <w:rsid w:val="00DF40B0"/>
    <w:rsid w:val="00DF41F2"/>
    <w:rsid w:val="00DF5297"/>
    <w:rsid w:val="00DF5516"/>
    <w:rsid w:val="00DF58F4"/>
    <w:rsid w:val="00DF59D1"/>
    <w:rsid w:val="00DF60EB"/>
    <w:rsid w:val="00DF61AC"/>
    <w:rsid w:val="00DF6205"/>
    <w:rsid w:val="00DF66B4"/>
    <w:rsid w:val="00DF67F1"/>
    <w:rsid w:val="00DF6B95"/>
    <w:rsid w:val="00DF6BB9"/>
    <w:rsid w:val="00DF7103"/>
    <w:rsid w:val="00DF7113"/>
    <w:rsid w:val="00DF717F"/>
    <w:rsid w:val="00DF7C87"/>
    <w:rsid w:val="00E00255"/>
    <w:rsid w:val="00E004D3"/>
    <w:rsid w:val="00E00A26"/>
    <w:rsid w:val="00E00ADB"/>
    <w:rsid w:val="00E00FD4"/>
    <w:rsid w:val="00E0187F"/>
    <w:rsid w:val="00E018DF"/>
    <w:rsid w:val="00E01F0A"/>
    <w:rsid w:val="00E01FD0"/>
    <w:rsid w:val="00E02132"/>
    <w:rsid w:val="00E0224C"/>
    <w:rsid w:val="00E02706"/>
    <w:rsid w:val="00E02712"/>
    <w:rsid w:val="00E02C4E"/>
    <w:rsid w:val="00E03720"/>
    <w:rsid w:val="00E03741"/>
    <w:rsid w:val="00E03E97"/>
    <w:rsid w:val="00E0426A"/>
    <w:rsid w:val="00E046A2"/>
    <w:rsid w:val="00E04A13"/>
    <w:rsid w:val="00E0502D"/>
    <w:rsid w:val="00E055D7"/>
    <w:rsid w:val="00E06600"/>
    <w:rsid w:val="00E06696"/>
    <w:rsid w:val="00E07958"/>
    <w:rsid w:val="00E1012A"/>
    <w:rsid w:val="00E10556"/>
    <w:rsid w:val="00E107E5"/>
    <w:rsid w:val="00E109B6"/>
    <w:rsid w:val="00E10A9F"/>
    <w:rsid w:val="00E117D4"/>
    <w:rsid w:val="00E11E78"/>
    <w:rsid w:val="00E11F53"/>
    <w:rsid w:val="00E12470"/>
    <w:rsid w:val="00E125C5"/>
    <w:rsid w:val="00E12D08"/>
    <w:rsid w:val="00E12DCF"/>
    <w:rsid w:val="00E13C24"/>
    <w:rsid w:val="00E141DC"/>
    <w:rsid w:val="00E14997"/>
    <w:rsid w:val="00E14B5B"/>
    <w:rsid w:val="00E152D4"/>
    <w:rsid w:val="00E15F80"/>
    <w:rsid w:val="00E16268"/>
    <w:rsid w:val="00E1629D"/>
    <w:rsid w:val="00E167DE"/>
    <w:rsid w:val="00E16911"/>
    <w:rsid w:val="00E16E0C"/>
    <w:rsid w:val="00E16EB2"/>
    <w:rsid w:val="00E173F2"/>
    <w:rsid w:val="00E174F5"/>
    <w:rsid w:val="00E201DD"/>
    <w:rsid w:val="00E2073A"/>
    <w:rsid w:val="00E207C3"/>
    <w:rsid w:val="00E209A0"/>
    <w:rsid w:val="00E210E6"/>
    <w:rsid w:val="00E2131F"/>
    <w:rsid w:val="00E214AE"/>
    <w:rsid w:val="00E21559"/>
    <w:rsid w:val="00E21E8A"/>
    <w:rsid w:val="00E21EBB"/>
    <w:rsid w:val="00E22B39"/>
    <w:rsid w:val="00E22C5F"/>
    <w:rsid w:val="00E22D9E"/>
    <w:rsid w:val="00E22E86"/>
    <w:rsid w:val="00E22EEA"/>
    <w:rsid w:val="00E231AC"/>
    <w:rsid w:val="00E23894"/>
    <w:rsid w:val="00E239D5"/>
    <w:rsid w:val="00E23F18"/>
    <w:rsid w:val="00E2456F"/>
    <w:rsid w:val="00E2476B"/>
    <w:rsid w:val="00E24A42"/>
    <w:rsid w:val="00E24AC7"/>
    <w:rsid w:val="00E250C0"/>
    <w:rsid w:val="00E25189"/>
    <w:rsid w:val="00E25613"/>
    <w:rsid w:val="00E25B3B"/>
    <w:rsid w:val="00E25D64"/>
    <w:rsid w:val="00E26258"/>
    <w:rsid w:val="00E265CB"/>
    <w:rsid w:val="00E268D2"/>
    <w:rsid w:val="00E26CCA"/>
    <w:rsid w:val="00E26D4D"/>
    <w:rsid w:val="00E279DC"/>
    <w:rsid w:val="00E27B1A"/>
    <w:rsid w:val="00E3003C"/>
    <w:rsid w:val="00E30736"/>
    <w:rsid w:val="00E31921"/>
    <w:rsid w:val="00E32697"/>
    <w:rsid w:val="00E327C5"/>
    <w:rsid w:val="00E333E0"/>
    <w:rsid w:val="00E3392D"/>
    <w:rsid w:val="00E33D1F"/>
    <w:rsid w:val="00E33F29"/>
    <w:rsid w:val="00E34556"/>
    <w:rsid w:val="00E351FC"/>
    <w:rsid w:val="00E356A6"/>
    <w:rsid w:val="00E357CF"/>
    <w:rsid w:val="00E36B1D"/>
    <w:rsid w:val="00E36D4B"/>
    <w:rsid w:val="00E37656"/>
    <w:rsid w:val="00E37764"/>
    <w:rsid w:val="00E37ADD"/>
    <w:rsid w:val="00E37E9A"/>
    <w:rsid w:val="00E37ED9"/>
    <w:rsid w:val="00E40869"/>
    <w:rsid w:val="00E41701"/>
    <w:rsid w:val="00E41CB2"/>
    <w:rsid w:val="00E425F7"/>
    <w:rsid w:val="00E427BD"/>
    <w:rsid w:val="00E427FC"/>
    <w:rsid w:val="00E428AB"/>
    <w:rsid w:val="00E43544"/>
    <w:rsid w:val="00E436A8"/>
    <w:rsid w:val="00E43C0B"/>
    <w:rsid w:val="00E4432F"/>
    <w:rsid w:val="00E448CB"/>
    <w:rsid w:val="00E450C1"/>
    <w:rsid w:val="00E45C47"/>
    <w:rsid w:val="00E460B8"/>
    <w:rsid w:val="00E466D2"/>
    <w:rsid w:val="00E507BE"/>
    <w:rsid w:val="00E51590"/>
    <w:rsid w:val="00E516DC"/>
    <w:rsid w:val="00E51B43"/>
    <w:rsid w:val="00E52E55"/>
    <w:rsid w:val="00E532A0"/>
    <w:rsid w:val="00E53CC0"/>
    <w:rsid w:val="00E53DF7"/>
    <w:rsid w:val="00E54FB3"/>
    <w:rsid w:val="00E550ED"/>
    <w:rsid w:val="00E555FF"/>
    <w:rsid w:val="00E5582B"/>
    <w:rsid w:val="00E55B53"/>
    <w:rsid w:val="00E55C14"/>
    <w:rsid w:val="00E55ED4"/>
    <w:rsid w:val="00E56D36"/>
    <w:rsid w:val="00E570EF"/>
    <w:rsid w:val="00E57368"/>
    <w:rsid w:val="00E578CA"/>
    <w:rsid w:val="00E60324"/>
    <w:rsid w:val="00E60536"/>
    <w:rsid w:val="00E605AC"/>
    <w:rsid w:val="00E6094D"/>
    <w:rsid w:val="00E60CED"/>
    <w:rsid w:val="00E61CAA"/>
    <w:rsid w:val="00E61E11"/>
    <w:rsid w:val="00E62668"/>
    <w:rsid w:val="00E632C2"/>
    <w:rsid w:val="00E632C5"/>
    <w:rsid w:val="00E6356A"/>
    <w:rsid w:val="00E63971"/>
    <w:rsid w:val="00E6457B"/>
    <w:rsid w:val="00E6465E"/>
    <w:rsid w:val="00E646FB"/>
    <w:rsid w:val="00E6481D"/>
    <w:rsid w:val="00E65996"/>
    <w:rsid w:val="00E6670F"/>
    <w:rsid w:val="00E66C95"/>
    <w:rsid w:val="00E66C97"/>
    <w:rsid w:val="00E66D1F"/>
    <w:rsid w:val="00E6703A"/>
    <w:rsid w:val="00E6761F"/>
    <w:rsid w:val="00E67AB6"/>
    <w:rsid w:val="00E70041"/>
    <w:rsid w:val="00E70629"/>
    <w:rsid w:val="00E706B0"/>
    <w:rsid w:val="00E7071B"/>
    <w:rsid w:val="00E70B09"/>
    <w:rsid w:val="00E70CCC"/>
    <w:rsid w:val="00E70DEA"/>
    <w:rsid w:val="00E71796"/>
    <w:rsid w:val="00E71BFD"/>
    <w:rsid w:val="00E7288E"/>
    <w:rsid w:val="00E72E59"/>
    <w:rsid w:val="00E72F3A"/>
    <w:rsid w:val="00E72F6F"/>
    <w:rsid w:val="00E7398C"/>
    <w:rsid w:val="00E73AE4"/>
    <w:rsid w:val="00E73C16"/>
    <w:rsid w:val="00E7400A"/>
    <w:rsid w:val="00E740F6"/>
    <w:rsid w:val="00E747A4"/>
    <w:rsid w:val="00E74B3A"/>
    <w:rsid w:val="00E75582"/>
    <w:rsid w:val="00E75A74"/>
    <w:rsid w:val="00E763AD"/>
    <w:rsid w:val="00E765D5"/>
    <w:rsid w:val="00E7663E"/>
    <w:rsid w:val="00E7664D"/>
    <w:rsid w:val="00E776B9"/>
    <w:rsid w:val="00E77DF8"/>
    <w:rsid w:val="00E8039A"/>
    <w:rsid w:val="00E80424"/>
    <w:rsid w:val="00E80457"/>
    <w:rsid w:val="00E80465"/>
    <w:rsid w:val="00E805FD"/>
    <w:rsid w:val="00E80EFB"/>
    <w:rsid w:val="00E81083"/>
    <w:rsid w:val="00E81401"/>
    <w:rsid w:val="00E814F0"/>
    <w:rsid w:val="00E81632"/>
    <w:rsid w:val="00E81F1A"/>
    <w:rsid w:val="00E8224A"/>
    <w:rsid w:val="00E8270A"/>
    <w:rsid w:val="00E827FF"/>
    <w:rsid w:val="00E82D15"/>
    <w:rsid w:val="00E8352D"/>
    <w:rsid w:val="00E8381B"/>
    <w:rsid w:val="00E83AA2"/>
    <w:rsid w:val="00E83D5F"/>
    <w:rsid w:val="00E83F57"/>
    <w:rsid w:val="00E83FF1"/>
    <w:rsid w:val="00E8419E"/>
    <w:rsid w:val="00E842AA"/>
    <w:rsid w:val="00E845CE"/>
    <w:rsid w:val="00E84668"/>
    <w:rsid w:val="00E84963"/>
    <w:rsid w:val="00E84D04"/>
    <w:rsid w:val="00E8594B"/>
    <w:rsid w:val="00E859A3"/>
    <w:rsid w:val="00E85AF1"/>
    <w:rsid w:val="00E85B9C"/>
    <w:rsid w:val="00E85F2E"/>
    <w:rsid w:val="00E860A4"/>
    <w:rsid w:val="00E861BC"/>
    <w:rsid w:val="00E86376"/>
    <w:rsid w:val="00E865E9"/>
    <w:rsid w:val="00E86815"/>
    <w:rsid w:val="00E86D6B"/>
    <w:rsid w:val="00E86D6E"/>
    <w:rsid w:val="00E86DC9"/>
    <w:rsid w:val="00E871FF"/>
    <w:rsid w:val="00E8729C"/>
    <w:rsid w:val="00E905B5"/>
    <w:rsid w:val="00E905D6"/>
    <w:rsid w:val="00E90728"/>
    <w:rsid w:val="00E914CB"/>
    <w:rsid w:val="00E91815"/>
    <w:rsid w:val="00E91C41"/>
    <w:rsid w:val="00E91E28"/>
    <w:rsid w:val="00E921DA"/>
    <w:rsid w:val="00E92724"/>
    <w:rsid w:val="00E928EE"/>
    <w:rsid w:val="00E9316A"/>
    <w:rsid w:val="00E93500"/>
    <w:rsid w:val="00E93639"/>
    <w:rsid w:val="00E938A1"/>
    <w:rsid w:val="00E938F0"/>
    <w:rsid w:val="00E93D7F"/>
    <w:rsid w:val="00E93D93"/>
    <w:rsid w:val="00E942C9"/>
    <w:rsid w:val="00E9431C"/>
    <w:rsid w:val="00E94DAF"/>
    <w:rsid w:val="00E9513D"/>
    <w:rsid w:val="00E9519C"/>
    <w:rsid w:val="00E9530F"/>
    <w:rsid w:val="00E95753"/>
    <w:rsid w:val="00E95892"/>
    <w:rsid w:val="00E96BDF"/>
    <w:rsid w:val="00E96FAD"/>
    <w:rsid w:val="00E97B8A"/>
    <w:rsid w:val="00E97C0C"/>
    <w:rsid w:val="00E97F14"/>
    <w:rsid w:val="00EA058A"/>
    <w:rsid w:val="00EA063E"/>
    <w:rsid w:val="00EA069C"/>
    <w:rsid w:val="00EA078D"/>
    <w:rsid w:val="00EA0BA8"/>
    <w:rsid w:val="00EA133E"/>
    <w:rsid w:val="00EA14F0"/>
    <w:rsid w:val="00EA15DB"/>
    <w:rsid w:val="00EA28E9"/>
    <w:rsid w:val="00EA2D33"/>
    <w:rsid w:val="00EA311C"/>
    <w:rsid w:val="00EA3191"/>
    <w:rsid w:val="00EA365A"/>
    <w:rsid w:val="00EA3861"/>
    <w:rsid w:val="00EA3B83"/>
    <w:rsid w:val="00EA3D13"/>
    <w:rsid w:val="00EA4234"/>
    <w:rsid w:val="00EA425B"/>
    <w:rsid w:val="00EA43FB"/>
    <w:rsid w:val="00EA4454"/>
    <w:rsid w:val="00EA4841"/>
    <w:rsid w:val="00EA4A9E"/>
    <w:rsid w:val="00EA4AA0"/>
    <w:rsid w:val="00EA4F52"/>
    <w:rsid w:val="00EA5879"/>
    <w:rsid w:val="00EA6050"/>
    <w:rsid w:val="00EA6C6B"/>
    <w:rsid w:val="00EA6ED0"/>
    <w:rsid w:val="00EA6FE6"/>
    <w:rsid w:val="00EA71C9"/>
    <w:rsid w:val="00EA72C4"/>
    <w:rsid w:val="00EA7714"/>
    <w:rsid w:val="00EA7C52"/>
    <w:rsid w:val="00EA7E06"/>
    <w:rsid w:val="00EA7E16"/>
    <w:rsid w:val="00EA7F19"/>
    <w:rsid w:val="00EB02E7"/>
    <w:rsid w:val="00EB07CD"/>
    <w:rsid w:val="00EB0930"/>
    <w:rsid w:val="00EB0CE9"/>
    <w:rsid w:val="00EB0D05"/>
    <w:rsid w:val="00EB0F36"/>
    <w:rsid w:val="00EB1640"/>
    <w:rsid w:val="00EB1D9D"/>
    <w:rsid w:val="00EB1E11"/>
    <w:rsid w:val="00EB2107"/>
    <w:rsid w:val="00EB2D8D"/>
    <w:rsid w:val="00EB315B"/>
    <w:rsid w:val="00EB3A0F"/>
    <w:rsid w:val="00EB3D56"/>
    <w:rsid w:val="00EB3DD5"/>
    <w:rsid w:val="00EB3F67"/>
    <w:rsid w:val="00EB40D4"/>
    <w:rsid w:val="00EB47A3"/>
    <w:rsid w:val="00EB48A6"/>
    <w:rsid w:val="00EB4A7D"/>
    <w:rsid w:val="00EB595B"/>
    <w:rsid w:val="00EB5B6F"/>
    <w:rsid w:val="00EB63C7"/>
    <w:rsid w:val="00EB651F"/>
    <w:rsid w:val="00EB652A"/>
    <w:rsid w:val="00EB6845"/>
    <w:rsid w:val="00EB68FD"/>
    <w:rsid w:val="00EB69AF"/>
    <w:rsid w:val="00EB6C06"/>
    <w:rsid w:val="00EB72F2"/>
    <w:rsid w:val="00EB7F4C"/>
    <w:rsid w:val="00EB7F62"/>
    <w:rsid w:val="00EC0FA8"/>
    <w:rsid w:val="00EC1367"/>
    <w:rsid w:val="00EC1544"/>
    <w:rsid w:val="00EC15BC"/>
    <w:rsid w:val="00EC2146"/>
    <w:rsid w:val="00EC2433"/>
    <w:rsid w:val="00EC27F1"/>
    <w:rsid w:val="00EC33FB"/>
    <w:rsid w:val="00EC3476"/>
    <w:rsid w:val="00EC3ED7"/>
    <w:rsid w:val="00EC4144"/>
    <w:rsid w:val="00EC44A8"/>
    <w:rsid w:val="00EC4D15"/>
    <w:rsid w:val="00EC5124"/>
    <w:rsid w:val="00EC5826"/>
    <w:rsid w:val="00EC5A31"/>
    <w:rsid w:val="00EC5CC8"/>
    <w:rsid w:val="00EC6074"/>
    <w:rsid w:val="00EC6682"/>
    <w:rsid w:val="00EC6954"/>
    <w:rsid w:val="00EC6B5B"/>
    <w:rsid w:val="00EC6E26"/>
    <w:rsid w:val="00EC76CB"/>
    <w:rsid w:val="00EC7959"/>
    <w:rsid w:val="00EC795A"/>
    <w:rsid w:val="00EC7E1A"/>
    <w:rsid w:val="00ED0339"/>
    <w:rsid w:val="00ED05F3"/>
    <w:rsid w:val="00ED0980"/>
    <w:rsid w:val="00ED0CFB"/>
    <w:rsid w:val="00ED11C6"/>
    <w:rsid w:val="00ED127F"/>
    <w:rsid w:val="00ED16C4"/>
    <w:rsid w:val="00ED1861"/>
    <w:rsid w:val="00ED228B"/>
    <w:rsid w:val="00ED2FB9"/>
    <w:rsid w:val="00ED305C"/>
    <w:rsid w:val="00ED35F0"/>
    <w:rsid w:val="00ED370C"/>
    <w:rsid w:val="00ED46CC"/>
    <w:rsid w:val="00ED4BC7"/>
    <w:rsid w:val="00ED525C"/>
    <w:rsid w:val="00ED5389"/>
    <w:rsid w:val="00ED5BC7"/>
    <w:rsid w:val="00ED621D"/>
    <w:rsid w:val="00ED622E"/>
    <w:rsid w:val="00ED6387"/>
    <w:rsid w:val="00ED660C"/>
    <w:rsid w:val="00ED6B50"/>
    <w:rsid w:val="00ED70C9"/>
    <w:rsid w:val="00ED72C0"/>
    <w:rsid w:val="00ED7C80"/>
    <w:rsid w:val="00ED7D8A"/>
    <w:rsid w:val="00ED7E35"/>
    <w:rsid w:val="00EE0271"/>
    <w:rsid w:val="00EE040F"/>
    <w:rsid w:val="00EE0B63"/>
    <w:rsid w:val="00EE1B30"/>
    <w:rsid w:val="00EE2417"/>
    <w:rsid w:val="00EE24D5"/>
    <w:rsid w:val="00EE26FD"/>
    <w:rsid w:val="00EE27CE"/>
    <w:rsid w:val="00EE3598"/>
    <w:rsid w:val="00EE3F22"/>
    <w:rsid w:val="00EE4066"/>
    <w:rsid w:val="00EE4270"/>
    <w:rsid w:val="00EE4947"/>
    <w:rsid w:val="00EE4E20"/>
    <w:rsid w:val="00EE4F8A"/>
    <w:rsid w:val="00EE53D4"/>
    <w:rsid w:val="00EE5B07"/>
    <w:rsid w:val="00EE638B"/>
    <w:rsid w:val="00EE65E2"/>
    <w:rsid w:val="00EE77F5"/>
    <w:rsid w:val="00EE7911"/>
    <w:rsid w:val="00EE7B7C"/>
    <w:rsid w:val="00EF077E"/>
    <w:rsid w:val="00EF11F2"/>
    <w:rsid w:val="00EF1365"/>
    <w:rsid w:val="00EF195A"/>
    <w:rsid w:val="00EF1AF5"/>
    <w:rsid w:val="00EF2937"/>
    <w:rsid w:val="00EF2A1C"/>
    <w:rsid w:val="00EF2D1D"/>
    <w:rsid w:val="00EF3385"/>
    <w:rsid w:val="00EF3854"/>
    <w:rsid w:val="00EF3C95"/>
    <w:rsid w:val="00EF3F0D"/>
    <w:rsid w:val="00EF4061"/>
    <w:rsid w:val="00EF4180"/>
    <w:rsid w:val="00EF4357"/>
    <w:rsid w:val="00EF44A5"/>
    <w:rsid w:val="00EF44F9"/>
    <w:rsid w:val="00EF4A4A"/>
    <w:rsid w:val="00EF4A79"/>
    <w:rsid w:val="00EF4FBE"/>
    <w:rsid w:val="00EF504B"/>
    <w:rsid w:val="00EF53AC"/>
    <w:rsid w:val="00EF56B2"/>
    <w:rsid w:val="00EF57B8"/>
    <w:rsid w:val="00EF63E7"/>
    <w:rsid w:val="00EF647D"/>
    <w:rsid w:val="00EF67FC"/>
    <w:rsid w:val="00EF69D6"/>
    <w:rsid w:val="00EF6B6A"/>
    <w:rsid w:val="00EF6C40"/>
    <w:rsid w:val="00EF6DBD"/>
    <w:rsid w:val="00EF72F2"/>
    <w:rsid w:val="00EF76F1"/>
    <w:rsid w:val="00EF7E47"/>
    <w:rsid w:val="00F0035E"/>
    <w:rsid w:val="00F003C6"/>
    <w:rsid w:val="00F004A3"/>
    <w:rsid w:val="00F00AC2"/>
    <w:rsid w:val="00F00DAF"/>
    <w:rsid w:val="00F00DDE"/>
    <w:rsid w:val="00F01302"/>
    <w:rsid w:val="00F01536"/>
    <w:rsid w:val="00F01A1E"/>
    <w:rsid w:val="00F01D90"/>
    <w:rsid w:val="00F01E93"/>
    <w:rsid w:val="00F021E9"/>
    <w:rsid w:val="00F023E9"/>
    <w:rsid w:val="00F02DFB"/>
    <w:rsid w:val="00F037A5"/>
    <w:rsid w:val="00F043EE"/>
    <w:rsid w:val="00F047B4"/>
    <w:rsid w:val="00F05D0F"/>
    <w:rsid w:val="00F062CF"/>
    <w:rsid w:val="00F0673A"/>
    <w:rsid w:val="00F06D0F"/>
    <w:rsid w:val="00F06DFB"/>
    <w:rsid w:val="00F06E99"/>
    <w:rsid w:val="00F07033"/>
    <w:rsid w:val="00F07D2C"/>
    <w:rsid w:val="00F102DC"/>
    <w:rsid w:val="00F104DE"/>
    <w:rsid w:val="00F10BBF"/>
    <w:rsid w:val="00F11236"/>
    <w:rsid w:val="00F11C8A"/>
    <w:rsid w:val="00F11D68"/>
    <w:rsid w:val="00F11E39"/>
    <w:rsid w:val="00F12157"/>
    <w:rsid w:val="00F12576"/>
    <w:rsid w:val="00F125B5"/>
    <w:rsid w:val="00F125ED"/>
    <w:rsid w:val="00F12614"/>
    <w:rsid w:val="00F12758"/>
    <w:rsid w:val="00F12AC8"/>
    <w:rsid w:val="00F1317E"/>
    <w:rsid w:val="00F135F3"/>
    <w:rsid w:val="00F13845"/>
    <w:rsid w:val="00F1471C"/>
    <w:rsid w:val="00F14B73"/>
    <w:rsid w:val="00F14D00"/>
    <w:rsid w:val="00F14DDF"/>
    <w:rsid w:val="00F15491"/>
    <w:rsid w:val="00F15CB8"/>
    <w:rsid w:val="00F16EBB"/>
    <w:rsid w:val="00F175E8"/>
    <w:rsid w:val="00F17CC7"/>
    <w:rsid w:val="00F206CE"/>
    <w:rsid w:val="00F207F0"/>
    <w:rsid w:val="00F212BA"/>
    <w:rsid w:val="00F213ED"/>
    <w:rsid w:val="00F21972"/>
    <w:rsid w:val="00F21975"/>
    <w:rsid w:val="00F21C55"/>
    <w:rsid w:val="00F22CDA"/>
    <w:rsid w:val="00F23583"/>
    <w:rsid w:val="00F23C1C"/>
    <w:rsid w:val="00F23EB7"/>
    <w:rsid w:val="00F2447F"/>
    <w:rsid w:val="00F248C0"/>
    <w:rsid w:val="00F2504C"/>
    <w:rsid w:val="00F251A1"/>
    <w:rsid w:val="00F25E40"/>
    <w:rsid w:val="00F2615E"/>
    <w:rsid w:val="00F26171"/>
    <w:rsid w:val="00F263F5"/>
    <w:rsid w:val="00F26999"/>
    <w:rsid w:val="00F26E1C"/>
    <w:rsid w:val="00F26E8E"/>
    <w:rsid w:val="00F271A3"/>
    <w:rsid w:val="00F27306"/>
    <w:rsid w:val="00F27361"/>
    <w:rsid w:val="00F27479"/>
    <w:rsid w:val="00F274C6"/>
    <w:rsid w:val="00F27560"/>
    <w:rsid w:val="00F27944"/>
    <w:rsid w:val="00F27ACF"/>
    <w:rsid w:val="00F27B9F"/>
    <w:rsid w:val="00F27DCD"/>
    <w:rsid w:val="00F302AC"/>
    <w:rsid w:val="00F3032C"/>
    <w:rsid w:val="00F3035A"/>
    <w:rsid w:val="00F3081F"/>
    <w:rsid w:val="00F31D96"/>
    <w:rsid w:val="00F32093"/>
    <w:rsid w:val="00F3266F"/>
    <w:rsid w:val="00F32F4E"/>
    <w:rsid w:val="00F331E1"/>
    <w:rsid w:val="00F333DD"/>
    <w:rsid w:val="00F336C8"/>
    <w:rsid w:val="00F3405F"/>
    <w:rsid w:val="00F34887"/>
    <w:rsid w:val="00F35255"/>
    <w:rsid w:val="00F35392"/>
    <w:rsid w:val="00F36257"/>
    <w:rsid w:val="00F365E5"/>
    <w:rsid w:val="00F371E3"/>
    <w:rsid w:val="00F37ABB"/>
    <w:rsid w:val="00F37AEB"/>
    <w:rsid w:val="00F37E9A"/>
    <w:rsid w:val="00F40454"/>
    <w:rsid w:val="00F41099"/>
    <w:rsid w:val="00F41A88"/>
    <w:rsid w:val="00F41A9C"/>
    <w:rsid w:val="00F42C3A"/>
    <w:rsid w:val="00F42CD5"/>
    <w:rsid w:val="00F42F1D"/>
    <w:rsid w:val="00F432FC"/>
    <w:rsid w:val="00F43A81"/>
    <w:rsid w:val="00F43AB6"/>
    <w:rsid w:val="00F43B4B"/>
    <w:rsid w:val="00F43D30"/>
    <w:rsid w:val="00F43D60"/>
    <w:rsid w:val="00F4408D"/>
    <w:rsid w:val="00F442D4"/>
    <w:rsid w:val="00F4475A"/>
    <w:rsid w:val="00F44988"/>
    <w:rsid w:val="00F45895"/>
    <w:rsid w:val="00F45969"/>
    <w:rsid w:val="00F45A93"/>
    <w:rsid w:val="00F45BEC"/>
    <w:rsid w:val="00F4676B"/>
    <w:rsid w:val="00F46E47"/>
    <w:rsid w:val="00F46E6A"/>
    <w:rsid w:val="00F47098"/>
    <w:rsid w:val="00F4745C"/>
    <w:rsid w:val="00F47BE7"/>
    <w:rsid w:val="00F47C92"/>
    <w:rsid w:val="00F5007A"/>
    <w:rsid w:val="00F50230"/>
    <w:rsid w:val="00F50480"/>
    <w:rsid w:val="00F50799"/>
    <w:rsid w:val="00F5174B"/>
    <w:rsid w:val="00F51A28"/>
    <w:rsid w:val="00F51B40"/>
    <w:rsid w:val="00F51E4E"/>
    <w:rsid w:val="00F529D1"/>
    <w:rsid w:val="00F52BA7"/>
    <w:rsid w:val="00F52F6E"/>
    <w:rsid w:val="00F52F82"/>
    <w:rsid w:val="00F5377D"/>
    <w:rsid w:val="00F5395A"/>
    <w:rsid w:val="00F540E9"/>
    <w:rsid w:val="00F5413F"/>
    <w:rsid w:val="00F54BA1"/>
    <w:rsid w:val="00F54D75"/>
    <w:rsid w:val="00F54F10"/>
    <w:rsid w:val="00F55AC9"/>
    <w:rsid w:val="00F56401"/>
    <w:rsid w:val="00F5674B"/>
    <w:rsid w:val="00F56F21"/>
    <w:rsid w:val="00F56F33"/>
    <w:rsid w:val="00F56FBA"/>
    <w:rsid w:val="00F57831"/>
    <w:rsid w:val="00F60030"/>
    <w:rsid w:val="00F6120E"/>
    <w:rsid w:val="00F612BD"/>
    <w:rsid w:val="00F614A0"/>
    <w:rsid w:val="00F61A62"/>
    <w:rsid w:val="00F61DD5"/>
    <w:rsid w:val="00F61E3A"/>
    <w:rsid w:val="00F61F53"/>
    <w:rsid w:val="00F62023"/>
    <w:rsid w:val="00F62122"/>
    <w:rsid w:val="00F624C8"/>
    <w:rsid w:val="00F62867"/>
    <w:rsid w:val="00F62F78"/>
    <w:rsid w:val="00F63933"/>
    <w:rsid w:val="00F63AAA"/>
    <w:rsid w:val="00F6402B"/>
    <w:rsid w:val="00F64114"/>
    <w:rsid w:val="00F64909"/>
    <w:rsid w:val="00F64981"/>
    <w:rsid w:val="00F64E3B"/>
    <w:rsid w:val="00F6504E"/>
    <w:rsid w:val="00F6548F"/>
    <w:rsid w:val="00F654C9"/>
    <w:rsid w:val="00F65928"/>
    <w:rsid w:val="00F65977"/>
    <w:rsid w:val="00F660A8"/>
    <w:rsid w:val="00F665A3"/>
    <w:rsid w:val="00F66C12"/>
    <w:rsid w:val="00F6719C"/>
    <w:rsid w:val="00F67831"/>
    <w:rsid w:val="00F67D57"/>
    <w:rsid w:val="00F67F11"/>
    <w:rsid w:val="00F70051"/>
    <w:rsid w:val="00F7008C"/>
    <w:rsid w:val="00F70BDE"/>
    <w:rsid w:val="00F71146"/>
    <w:rsid w:val="00F711D5"/>
    <w:rsid w:val="00F7169D"/>
    <w:rsid w:val="00F7217B"/>
    <w:rsid w:val="00F7245B"/>
    <w:rsid w:val="00F72604"/>
    <w:rsid w:val="00F72753"/>
    <w:rsid w:val="00F734A6"/>
    <w:rsid w:val="00F73F60"/>
    <w:rsid w:val="00F74988"/>
    <w:rsid w:val="00F74ADC"/>
    <w:rsid w:val="00F74BA0"/>
    <w:rsid w:val="00F74C57"/>
    <w:rsid w:val="00F752A3"/>
    <w:rsid w:val="00F759EE"/>
    <w:rsid w:val="00F760EE"/>
    <w:rsid w:val="00F763B7"/>
    <w:rsid w:val="00F76471"/>
    <w:rsid w:val="00F769D6"/>
    <w:rsid w:val="00F76B46"/>
    <w:rsid w:val="00F775F9"/>
    <w:rsid w:val="00F8054A"/>
    <w:rsid w:val="00F80A9A"/>
    <w:rsid w:val="00F8145F"/>
    <w:rsid w:val="00F81EBE"/>
    <w:rsid w:val="00F81F1D"/>
    <w:rsid w:val="00F823CB"/>
    <w:rsid w:val="00F827FD"/>
    <w:rsid w:val="00F8289D"/>
    <w:rsid w:val="00F82E3C"/>
    <w:rsid w:val="00F832B1"/>
    <w:rsid w:val="00F83354"/>
    <w:rsid w:val="00F8384F"/>
    <w:rsid w:val="00F83E93"/>
    <w:rsid w:val="00F84F11"/>
    <w:rsid w:val="00F84F64"/>
    <w:rsid w:val="00F85372"/>
    <w:rsid w:val="00F857E1"/>
    <w:rsid w:val="00F86592"/>
    <w:rsid w:val="00F86905"/>
    <w:rsid w:val="00F87317"/>
    <w:rsid w:val="00F874FB"/>
    <w:rsid w:val="00F876B8"/>
    <w:rsid w:val="00F87914"/>
    <w:rsid w:val="00F87D35"/>
    <w:rsid w:val="00F90241"/>
    <w:rsid w:val="00F91724"/>
    <w:rsid w:val="00F91C88"/>
    <w:rsid w:val="00F9271E"/>
    <w:rsid w:val="00F93472"/>
    <w:rsid w:val="00F940DB"/>
    <w:rsid w:val="00F9412B"/>
    <w:rsid w:val="00F941CD"/>
    <w:rsid w:val="00F94D1F"/>
    <w:rsid w:val="00F94D74"/>
    <w:rsid w:val="00F951F0"/>
    <w:rsid w:val="00F95758"/>
    <w:rsid w:val="00F95DF5"/>
    <w:rsid w:val="00F95FD2"/>
    <w:rsid w:val="00F965DB"/>
    <w:rsid w:val="00F96868"/>
    <w:rsid w:val="00F96DA9"/>
    <w:rsid w:val="00F973A2"/>
    <w:rsid w:val="00F97C73"/>
    <w:rsid w:val="00F97D57"/>
    <w:rsid w:val="00F97E4A"/>
    <w:rsid w:val="00FA0542"/>
    <w:rsid w:val="00FA0B9B"/>
    <w:rsid w:val="00FA13AA"/>
    <w:rsid w:val="00FA1937"/>
    <w:rsid w:val="00FA1C9B"/>
    <w:rsid w:val="00FA24D7"/>
    <w:rsid w:val="00FA2681"/>
    <w:rsid w:val="00FA2E15"/>
    <w:rsid w:val="00FA31B3"/>
    <w:rsid w:val="00FA36BA"/>
    <w:rsid w:val="00FA3A5C"/>
    <w:rsid w:val="00FA3EA9"/>
    <w:rsid w:val="00FA459B"/>
    <w:rsid w:val="00FA538E"/>
    <w:rsid w:val="00FA5A59"/>
    <w:rsid w:val="00FA72B4"/>
    <w:rsid w:val="00FA742C"/>
    <w:rsid w:val="00FA7EFE"/>
    <w:rsid w:val="00FB0D88"/>
    <w:rsid w:val="00FB0F3D"/>
    <w:rsid w:val="00FB11A5"/>
    <w:rsid w:val="00FB1306"/>
    <w:rsid w:val="00FB15A7"/>
    <w:rsid w:val="00FB1B78"/>
    <w:rsid w:val="00FB1B7A"/>
    <w:rsid w:val="00FB1D19"/>
    <w:rsid w:val="00FB2C75"/>
    <w:rsid w:val="00FB30BB"/>
    <w:rsid w:val="00FB3590"/>
    <w:rsid w:val="00FB3618"/>
    <w:rsid w:val="00FB37DA"/>
    <w:rsid w:val="00FB3D6E"/>
    <w:rsid w:val="00FB41D8"/>
    <w:rsid w:val="00FB56D4"/>
    <w:rsid w:val="00FB6203"/>
    <w:rsid w:val="00FB6488"/>
    <w:rsid w:val="00FB66E2"/>
    <w:rsid w:val="00FB69DF"/>
    <w:rsid w:val="00FB7097"/>
    <w:rsid w:val="00FB753B"/>
    <w:rsid w:val="00FB7A32"/>
    <w:rsid w:val="00FB7BCA"/>
    <w:rsid w:val="00FC0128"/>
    <w:rsid w:val="00FC01F1"/>
    <w:rsid w:val="00FC0933"/>
    <w:rsid w:val="00FC1B0C"/>
    <w:rsid w:val="00FC1BA2"/>
    <w:rsid w:val="00FC1D6F"/>
    <w:rsid w:val="00FC1E98"/>
    <w:rsid w:val="00FC1F00"/>
    <w:rsid w:val="00FC21CB"/>
    <w:rsid w:val="00FC23A2"/>
    <w:rsid w:val="00FC25AA"/>
    <w:rsid w:val="00FC2E66"/>
    <w:rsid w:val="00FC3692"/>
    <w:rsid w:val="00FC3947"/>
    <w:rsid w:val="00FC3C03"/>
    <w:rsid w:val="00FC3F14"/>
    <w:rsid w:val="00FC4019"/>
    <w:rsid w:val="00FC431E"/>
    <w:rsid w:val="00FC457C"/>
    <w:rsid w:val="00FC4691"/>
    <w:rsid w:val="00FC5816"/>
    <w:rsid w:val="00FC5E7E"/>
    <w:rsid w:val="00FC6355"/>
    <w:rsid w:val="00FC6543"/>
    <w:rsid w:val="00FC67A2"/>
    <w:rsid w:val="00FC68DF"/>
    <w:rsid w:val="00FC6C88"/>
    <w:rsid w:val="00FC74BC"/>
    <w:rsid w:val="00FC78EB"/>
    <w:rsid w:val="00FC79B5"/>
    <w:rsid w:val="00FC7E88"/>
    <w:rsid w:val="00FD02D8"/>
    <w:rsid w:val="00FD06D1"/>
    <w:rsid w:val="00FD06D8"/>
    <w:rsid w:val="00FD0928"/>
    <w:rsid w:val="00FD0A9B"/>
    <w:rsid w:val="00FD0B9A"/>
    <w:rsid w:val="00FD0D1B"/>
    <w:rsid w:val="00FD17AE"/>
    <w:rsid w:val="00FD191B"/>
    <w:rsid w:val="00FD257F"/>
    <w:rsid w:val="00FD2B36"/>
    <w:rsid w:val="00FD32C8"/>
    <w:rsid w:val="00FD3BBD"/>
    <w:rsid w:val="00FD4090"/>
    <w:rsid w:val="00FD4101"/>
    <w:rsid w:val="00FD468C"/>
    <w:rsid w:val="00FD46E0"/>
    <w:rsid w:val="00FD4AC6"/>
    <w:rsid w:val="00FD5734"/>
    <w:rsid w:val="00FD58F9"/>
    <w:rsid w:val="00FD5954"/>
    <w:rsid w:val="00FD5E03"/>
    <w:rsid w:val="00FD5EFF"/>
    <w:rsid w:val="00FD6207"/>
    <w:rsid w:val="00FD6531"/>
    <w:rsid w:val="00FD773C"/>
    <w:rsid w:val="00FD7E91"/>
    <w:rsid w:val="00FE10D3"/>
    <w:rsid w:val="00FE10F0"/>
    <w:rsid w:val="00FE15D8"/>
    <w:rsid w:val="00FE166E"/>
    <w:rsid w:val="00FE1D1D"/>
    <w:rsid w:val="00FE1FC7"/>
    <w:rsid w:val="00FE3752"/>
    <w:rsid w:val="00FE39FB"/>
    <w:rsid w:val="00FE4258"/>
    <w:rsid w:val="00FE425B"/>
    <w:rsid w:val="00FE4433"/>
    <w:rsid w:val="00FE45DC"/>
    <w:rsid w:val="00FE4A56"/>
    <w:rsid w:val="00FE4B76"/>
    <w:rsid w:val="00FE4C64"/>
    <w:rsid w:val="00FE4E6F"/>
    <w:rsid w:val="00FE5093"/>
    <w:rsid w:val="00FE53CB"/>
    <w:rsid w:val="00FE5656"/>
    <w:rsid w:val="00FE5AAF"/>
    <w:rsid w:val="00FE5C22"/>
    <w:rsid w:val="00FE6046"/>
    <w:rsid w:val="00FE60F1"/>
    <w:rsid w:val="00FE6340"/>
    <w:rsid w:val="00FE6556"/>
    <w:rsid w:val="00FE6CC9"/>
    <w:rsid w:val="00FE6ECD"/>
    <w:rsid w:val="00FE739D"/>
    <w:rsid w:val="00FE7A34"/>
    <w:rsid w:val="00FE7E93"/>
    <w:rsid w:val="00FF0353"/>
    <w:rsid w:val="00FF107C"/>
    <w:rsid w:val="00FF1084"/>
    <w:rsid w:val="00FF1206"/>
    <w:rsid w:val="00FF1264"/>
    <w:rsid w:val="00FF17C7"/>
    <w:rsid w:val="00FF2089"/>
    <w:rsid w:val="00FF239B"/>
    <w:rsid w:val="00FF2698"/>
    <w:rsid w:val="00FF2980"/>
    <w:rsid w:val="00FF3155"/>
    <w:rsid w:val="00FF34E3"/>
    <w:rsid w:val="00FF3B5C"/>
    <w:rsid w:val="00FF4283"/>
    <w:rsid w:val="00FF57FD"/>
    <w:rsid w:val="00FF5878"/>
    <w:rsid w:val="00FF6283"/>
    <w:rsid w:val="00FF69C5"/>
    <w:rsid w:val="00FF710C"/>
    <w:rsid w:val="00FF7409"/>
    <w:rsid w:val="00FF7957"/>
    <w:rsid w:val="04884795"/>
    <w:rsid w:val="3CB46778"/>
    <w:rsid w:val="653B0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link w:val="62"/>
    <w:qFormat/>
    <w:uiPriority w:val="0"/>
    <w:pPr>
      <w:keepNext/>
      <w:keepLines/>
      <w:widowControl w:val="0"/>
      <w:spacing w:before="280" w:after="290" w:line="376" w:lineRule="auto"/>
      <w:jc w:val="both"/>
      <w:outlineLvl w:val="3"/>
    </w:pPr>
    <w:rPr>
      <w:rFonts w:ascii="Cambria" w:hAnsi="Cambria"/>
      <w:b/>
      <w:bCs/>
      <w:kern w:val="2"/>
      <w:sz w:val="28"/>
      <w:szCs w:val="28"/>
    </w:rPr>
  </w:style>
  <w:style w:type="paragraph" w:styleId="6">
    <w:name w:val="heading 5"/>
    <w:basedOn w:val="1"/>
    <w:next w:val="1"/>
    <w:link w:val="63"/>
    <w:unhideWhenUsed/>
    <w:qFormat/>
    <w:uiPriority w:val="0"/>
    <w:pPr>
      <w:keepNext/>
      <w:keepLines/>
      <w:widowControl w:val="0"/>
      <w:spacing w:before="280" w:after="290" w:line="376" w:lineRule="auto"/>
      <w:jc w:val="both"/>
      <w:outlineLvl w:val="4"/>
    </w:pPr>
    <w:rPr>
      <w:b/>
      <w:bCs/>
      <w:kern w:val="2"/>
      <w:sz w:val="28"/>
      <w:szCs w:val="28"/>
    </w:rPr>
  </w:style>
  <w:style w:type="paragraph" w:styleId="7">
    <w:name w:val="heading 9"/>
    <w:basedOn w:val="1"/>
    <w:next w:val="1"/>
    <w:link w:val="64"/>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48">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widowControl w:val="0"/>
      <w:ind w:left="1260"/>
    </w:pPr>
    <w:rPr>
      <w:kern w:val="2"/>
    </w:rPr>
  </w:style>
  <w:style w:type="paragraph" w:styleId="9">
    <w:name w:val="index 8"/>
    <w:basedOn w:val="1"/>
    <w:next w:val="1"/>
    <w:qFormat/>
    <w:uiPriority w:val="0"/>
    <w:pPr>
      <w:widowControl w:val="0"/>
      <w:ind w:left="1400" w:leftChars="1400"/>
      <w:jc w:val="both"/>
    </w:pPr>
    <w:rPr>
      <w:kern w:val="2"/>
      <w:sz w:val="21"/>
    </w:rPr>
  </w:style>
  <w:style w:type="paragraph" w:styleId="10">
    <w:name w:val="Normal Indent"/>
    <w:basedOn w:val="1"/>
    <w:qFormat/>
    <w:uiPriority w:val="0"/>
    <w:pPr>
      <w:ind w:firstLine="420"/>
    </w:pPr>
  </w:style>
  <w:style w:type="paragraph" w:styleId="11">
    <w:name w:val="index 5"/>
    <w:basedOn w:val="1"/>
    <w:next w:val="1"/>
    <w:qFormat/>
    <w:uiPriority w:val="0"/>
    <w:pPr>
      <w:widowControl w:val="0"/>
      <w:ind w:left="800" w:leftChars="800"/>
      <w:jc w:val="both"/>
    </w:pPr>
    <w:rPr>
      <w:kern w:val="2"/>
      <w:sz w:val="21"/>
    </w:rPr>
  </w:style>
  <w:style w:type="paragraph" w:styleId="12">
    <w:name w:val="Document Map"/>
    <w:basedOn w:val="1"/>
    <w:link w:val="86"/>
    <w:qFormat/>
    <w:uiPriority w:val="0"/>
    <w:rPr>
      <w:rFonts w:ascii="宋体"/>
      <w:sz w:val="18"/>
      <w:szCs w:val="18"/>
    </w:rPr>
  </w:style>
  <w:style w:type="paragraph" w:styleId="13">
    <w:name w:val="annotation text"/>
    <w:basedOn w:val="1"/>
    <w:link w:val="69"/>
    <w:qFormat/>
    <w:uiPriority w:val="0"/>
    <w:pPr>
      <w:widowControl w:val="0"/>
    </w:pPr>
    <w:rPr>
      <w:kern w:val="2"/>
      <w:sz w:val="21"/>
    </w:rPr>
  </w:style>
  <w:style w:type="paragraph" w:styleId="14">
    <w:name w:val="index 6"/>
    <w:basedOn w:val="1"/>
    <w:next w:val="1"/>
    <w:qFormat/>
    <w:uiPriority w:val="0"/>
    <w:pPr>
      <w:widowControl w:val="0"/>
      <w:ind w:left="1000" w:leftChars="1000"/>
      <w:jc w:val="both"/>
    </w:pPr>
    <w:rPr>
      <w:kern w:val="2"/>
      <w:sz w:val="21"/>
    </w:rPr>
  </w:style>
  <w:style w:type="paragraph" w:styleId="15">
    <w:name w:val="Salutation"/>
    <w:basedOn w:val="1"/>
    <w:next w:val="1"/>
    <w:link w:val="218"/>
    <w:uiPriority w:val="0"/>
    <w:pPr>
      <w:widowControl w:val="0"/>
      <w:jc w:val="both"/>
    </w:pPr>
    <w:rPr>
      <w:kern w:val="2"/>
      <w:sz w:val="21"/>
      <w:szCs w:val="24"/>
    </w:rPr>
  </w:style>
  <w:style w:type="paragraph" w:styleId="16">
    <w:name w:val="Closing"/>
    <w:basedOn w:val="1"/>
    <w:link w:val="214"/>
    <w:uiPriority w:val="0"/>
    <w:pPr>
      <w:widowControl w:val="0"/>
      <w:ind w:left="100" w:leftChars="2100"/>
      <w:jc w:val="both"/>
    </w:pPr>
    <w:rPr>
      <w:kern w:val="2"/>
      <w:sz w:val="21"/>
      <w:szCs w:val="24"/>
    </w:rPr>
  </w:style>
  <w:style w:type="paragraph" w:styleId="17">
    <w:name w:val="Body Text"/>
    <w:basedOn w:val="1"/>
    <w:link w:val="114"/>
    <w:qFormat/>
    <w:uiPriority w:val="0"/>
    <w:pPr>
      <w:widowControl w:val="0"/>
      <w:jc w:val="both"/>
    </w:pPr>
    <w:rPr>
      <w:spacing w:val="20"/>
      <w:kern w:val="2"/>
      <w:sz w:val="24"/>
      <w:szCs w:val="24"/>
    </w:rPr>
  </w:style>
  <w:style w:type="paragraph" w:styleId="18">
    <w:name w:val="Body Text Indent"/>
    <w:basedOn w:val="1"/>
    <w:link w:val="73"/>
    <w:qFormat/>
    <w:uiPriority w:val="0"/>
    <w:pPr>
      <w:spacing w:after="120"/>
      <w:ind w:left="420" w:leftChars="200"/>
    </w:pPr>
  </w:style>
  <w:style w:type="paragraph" w:styleId="19">
    <w:name w:val="Block Text"/>
    <w:basedOn w:val="1"/>
    <w:qFormat/>
    <w:uiPriority w:val="0"/>
    <w:pPr>
      <w:widowControl w:val="0"/>
      <w:ind w:left="540" w:right="-90" w:firstLine="570"/>
      <w:jc w:val="both"/>
    </w:pPr>
    <w:rPr>
      <w:kern w:val="2"/>
      <w:sz w:val="28"/>
    </w:rPr>
  </w:style>
  <w:style w:type="paragraph" w:styleId="20">
    <w:name w:val="index 4"/>
    <w:basedOn w:val="1"/>
    <w:next w:val="1"/>
    <w:qFormat/>
    <w:uiPriority w:val="0"/>
    <w:pPr>
      <w:widowControl w:val="0"/>
      <w:ind w:left="600" w:leftChars="600"/>
      <w:jc w:val="both"/>
    </w:pPr>
    <w:rPr>
      <w:kern w:val="2"/>
      <w:sz w:val="21"/>
    </w:rPr>
  </w:style>
  <w:style w:type="paragraph" w:styleId="21">
    <w:name w:val="toc 5"/>
    <w:basedOn w:val="1"/>
    <w:next w:val="1"/>
    <w:qFormat/>
    <w:uiPriority w:val="0"/>
    <w:pPr>
      <w:widowControl w:val="0"/>
      <w:ind w:left="840"/>
    </w:pPr>
    <w:rPr>
      <w:kern w:val="2"/>
    </w:rPr>
  </w:style>
  <w:style w:type="paragraph" w:styleId="22">
    <w:name w:val="toc 3"/>
    <w:basedOn w:val="1"/>
    <w:next w:val="1"/>
    <w:unhideWhenUsed/>
    <w:qFormat/>
    <w:uiPriority w:val="39"/>
    <w:pPr>
      <w:spacing w:after="100" w:line="276" w:lineRule="auto"/>
      <w:ind w:left="440"/>
    </w:pPr>
    <w:rPr>
      <w:rFonts w:asciiTheme="minorHAnsi" w:hAnsiTheme="minorHAnsi" w:eastAsiaTheme="minorEastAsia" w:cstheme="minorBidi"/>
      <w:sz w:val="22"/>
      <w:szCs w:val="22"/>
    </w:rPr>
  </w:style>
  <w:style w:type="paragraph" w:styleId="23">
    <w:name w:val="Plain Text"/>
    <w:basedOn w:val="1"/>
    <w:link w:val="71"/>
    <w:qFormat/>
    <w:uiPriority w:val="0"/>
    <w:pPr>
      <w:widowControl w:val="0"/>
      <w:jc w:val="both"/>
    </w:pPr>
    <w:rPr>
      <w:rFonts w:ascii="宋体" w:hAnsi="Courier New"/>
      <w:kern w:val="2"/>
      <w:sz w:val="21"/>
    </w:rPr>
  </w:style>
  <w:style w:type="paragraph" w:styleId="24">
    <w:name w:val="toc 8"/>
    <w:basedOn w:val="1"/>
    <w:next w:val="1"/>
    <w:qFormat/>
    <w:uiPriority w:val="0"/>
    <w:pPr>
      <w:widowControl w:val="0"/>
      <w:ind w:left="1470"/>
    </w:pPr>
    <w:rPr>
      <w:kern w:val="2"/>
    </w:rPr>
  </w:style>
  <w:style w:type="paragraph" w:styleId="25">
    <w:name w:val="index 3"/>
    <w:basedOn w:val="1"/>
    <w:next w:val="1"/>
    <w:qFormat/>
    <w:uiPriority w:val="0"/>
    <w:pPr>
      <w:widowControl w:val="0"/>
      <w:ind w:left="400" w:leftChars="400"/>
      <w:jc w:val="both"/>
    </w:pPr>
    <w:rPr>
      <w:kern w:val="2"/>
      <w:sz w:val="21"/>
    </w:rPr>
  </w:style>
  <w:style w:type="paragraph" w:styleId="26">
    <w:name w:val="Date"/>
    <w:basedOn w:val="1"/>
    <w:next w:val="1"/>
    <w:link w:val="66"/>
    <w:qFormat/>
    <w:uiPriority w:val="0"/>
    <w:pPr>
      <w:widowControl w:val="0"/>
      <w:jc w:val="both"/>
    </w:pPr>
    <w:rPr>
      <w:kern w:val="2"/>
      <w:sz w:val="28"/>
    </w:rPr>
  </w:style>
  <w:style w:type="paragraph" w:styleId="27">
    <w:name w:val="Body Text Indent 2"/>
    <w:basedOn w:val="1"/>
    <w:link w:val="72"/>
    <w:qFormat/>
    <w:uiPriority w:val="0"/>
    <w:pPr>
      <w:spacing w:after="120" w:line="480" w:lineRule="auto"/>
      <w:ind w:left="420" w:leftChars="200"/>
    </w:pPr>
  </w:style>
  <w:style w:type="paragraph" w:styleId="28">
    <w:name w:val="Balloon Text"/>
    <w:basedOn w:val="1"/>
    <w:link w:val="80"/>
    <w:qFormat/>
    <w:uiPriority w:val="0"/>
    <w:rPr>
      <w:sz w:val="18"/>
      <w:szCs w:val="18"/>
    </w:rPr>
  </w:style>
  <w:style w:type="paragraph" w:styleId="29">
    <w:name w:val="footer"/>
    <w:basedOn w:val="1"/>
    <w:link w:val="68"/>
    <w:qFormat/>
    <w:uiPriority w:val="0"/>
    <w:pPr>
      <w:widowControl w:val="0"/>
      <w:tabs>
        <w:tab w:val="center" w:pos="4153"/>
        <w:tab w:val="right" w:pos="8306"/>
      </w:tabs>
      <w:snapToGrid w:val="0"/>
    </w:pPr>
    <w:rPr>
      <w:kern w:val="2"/>
      <w:sz w:val="18"/>
    </w:rPr>
  </w:style>
  <w:style w:type="paragraph" w:styleId="30">
    <w:name w:val="header"/>
    <w:basedOn w:val="1"/>
    <w:link w:val="67"/>
    <w:qFormat/>
    <w:uiPriority w:val="0"/>
    <w:pPr>
      <w:widowControl w:val="0"/>
      <w:pBdr>
        <w:bottom w:val="single" w:color="auto" w:sz="6" w:space="1"/>
      </w:pBdr>
      <w:tabs>
        <w:tab w:val="center" w:pos="4153"/>
        <w:tab w:val="right" w:pos="8306"/>
      </w:tabs>
      <w:snapToGrid w:val="0"/>
      <w:jc w:val="center"/>
    </w:pPr>
    <w:rPr>
      <w:kern w:val="2"/>
      <w:sz w:val="18"/>
    </w:rPr>
  </w:style>
  <w:style w:type="paragraph" w:styleId="31">
    <w:name w:val="toc 1"/>
    <w:basedOn w:val="1"/>
    <w:next w:val="1"/>
    <w:qFormat/>
    <w:uiPriority w:val="39"/>
    <w:pPr>
      <w:tabs>
        <w:tab w:val="right" w:leader="dot" w:pos="9118"/>
      </w:tabs>
      <w:spacing w:beforeLines="50" w:line="440" w:lineRule="exact"/>
      <w:ind w:left="400" w:leftChars="200"/>
    </w:pPr>
    <w:rPr>
      <w:rFonts w:cs="仿宋_GB2312" w:asciiTheme="minorEastAsia" w:hAnsiTheme="minorEastAsia" w:eastAsiaTheme="minorEastAsia"/>
      <w:b/>
      <w:snapToGrid w:val="0"/>
      <w:sz w:val="24"/>
      <w:szCs w:val="24"/>
    </w:rPr>
  </w:style>
  <w:style w:type="paragraph" w:styleId="32">
    <w:name w:val="toc 4"/>
    <w:basedOn w:val="1"/>
    <w:next w:val="1"/>
    <w:qFormat/>
    <w:uiPriority w:val="0"/>
    <w:pPr>
      <w:widowControl w:val="0"/>
      <w:ind w:left="630"/>
    </w:pPr>
    <w:rPr>
      <w:kern w:val="2"/>
    </w:rPr>
  </w:style>
  <w:style w:type="paragraph" w:styleId="33">
    <w:name w:val="index heading"/>
    <w:basedOn w:val="1"/>
    <w:next w:val="34"/>
    <w:qFormat/>
    <w:uiPriority w:val="0"/>
    <w:pPr>
      <w:widowControl w:val="0"/>
      <w:jc w:val="both"/>
    </w:pPr>
    <w:rPr>
      <w:kern w:val="2"/>
      <w:sz w:val="21"/>
    </w:rPr>
  </w:style>
  <w:style w:type="paragraph" w:styleId="34">
    <w:name w:val="index 1"/>
    <w:basedOn w:val="1"/>
    <w:next w:val="1"/>
    <w:qFormat/>
    <w:uiPriority w:val="0"/>
    <w:pPr>
      <w:widowControl w:val="0"/>
      <w:spacing w:line="360" w:lineRule="auto"/>
      <w:jc w:val="center"/>
    </w:pPr>
    <w:rPr>
      <w:b/>
      <w:bCs/>
      <w:snapToGrid w:val="0"/>
      <w:sz w:val="30"/>
    </w:rPr>
  </w:style>
  <w:style w:type="paragraph" w:styleId="35">
    <w:name w:val="Subtitle"/>
    <w:basedOn w:val="1"/>
    <w:next w:val="1"/>
    <w:link w:val="135"/>
    <w:qFormat/>
    <w:uiPriority w:val="0"/>
    <w:pPr>
      <w:widowControl w:val="0"/>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widowControl w:val="0"/>
      <w:ind w:left="1050"/>
    </w:pPr>
    <w:rPr>
      <w:kern w:val="2"/>
    </w:rPr>
  </w:style>
  <w:style w:type="paragraph" w:styleId="37">
    <w:name w:val="Body Text Indent 3"/>
    <w:basedOn w:val="1"/>
    <w:link w:val="70"/>
    <w:qFormat/>
    <w:uiPriority w:val="0"/>
    <w:pPr>
      <w:widowControl w:val="0"/>
      <w:ind w:firstLine="588"/>
      <w:jc w:val="both"/>
    </w:pPr>
    <w:rPr>
      <w:rFonts w:ascii="仿宋_GB2312" w:eastAsia="仿宋_GB2312"/>
      <w:kern w:val="2"/>
      <w:sz w:val="28"/>
    </w:rPr>
  </w:style>
  <w:style w:type="paragraph" w:styleId="38">
    <w:name w:val="index 7"/>
    <w:basedOn w:val="1"/>
    <w:next w:val="1"/>
    <w:qFormat/>
    <w:uiPriority w:val="0"/>
    <w:pPr>
      <w:widowControl w:val="0"/>
      <w:ind w:left="1200" w:leftChars="1200"/>
      <w:jc w:val="both"/>
    </w:pPr>
    <w:rPr>
      <w:kern w:val="2"/>
      <w:sz w:val="21"/>
    </w:rPr>
  </w:style>
  <w:style w:type="paragraph" w:styleId="39">
    <w:name w:val="index 9"/>
    <w:basedOn w:val="1"/>
    <w:next w:val="1"/>
    <w:qFormat/>
    <w:uiPriority w:val="0"/>
    <w:pPr>
      <w:widowControl w:val="0"/>
      <w:ind w:left="1600" w:leftChars="1600"/>
      <w:jc w:val="both"/>
    </w:pPr>
    <w:rPr>
      <w:kern w:val="2"/>
      <w:sz w:val="21"/>
    </w:rPr>
  </w:style>
  <w:style w:type="paragraph" w:styleId="40">
    <w:name w:val="toc 2"/>
    <w:basedOn w:val="1"/>
    <w:next w:val="1"/>
    <w:qFormat/>
    <w:uiPriority w:val="39"/>
    <w:pPr>
      <w:tabs>
        <w:tab w:val="left" w:pos="1560"/>
        <w:tab w:val="left" w:pos="1680"/>
        <w:tab w:val="right" w:leader="dot" w:pos="9118"/>
      </w:tabs>
      <w:spacing w:line="500" w:lineRule="exact"/>
      <w:ind w:left="400" w:leftChars="200"/>
    </w:pPr>
    <w:rPr>
      <w:rFonts w:ascii="仿宋_GB2312" w:hAnsi="仿宋_GB2312" w:eastAsia="仿宋_GB2312" w:cs="仿宋_GB2312"/>
      <w:sz w:val="24"/>
      <w:szCs w:val="24"/>
    </w:rPr>
  </w:style>
  <w:style w:type="paragraph" w:styleId="41">
    <w:name w:val="toc 9"/>
    <w:basedOn w:val="1"/>
    <w:next w:val="1"/>
    <w:qFormat/>
    <w:uiPriority w:val="0"/>
    <w:pPr>
      <w:widowControl w:val="0"/>
      <w:ind w:left="1680"/>
    </w:pPr>
    <w:rPr>
      <w:kern w:val="2"/>
    </w:rPr>
  </w:style>
  <w:style w:type="paragraph" w:styleId="42">
    <w:name w:val="Normal (Web)"/>
    <w:basedOn w:val="1"/>
    <w:qFormat/>
    <w:uiPriority w:val="99"/>
    <w:pPr>
      <w:spacing w:before="100" w:beforeAutospacing="1" w:after="100" w:afterAutospacing="1"/>
    </w:pPr>
    <w:rPr>
      <w:rFonts w:ascii="宋体" w:hAnsi="宋体" w:cs="宋体"/>
      <w:color w:val="000000"/>
      <w:sz w:val="24"/>
      <w:szCs w:val="24"/>
    </w:rPr>
  </w:style>
  <w:style w:type="paragraph" w:styleId="43">
    <w:name w:val="index 2"/>
    <w:basedOn w:val="1"/>
    <w:next w:val="1"/>
    <w:qFormat/>
    <w:uiPriority w:val="0"/>
    <w:pPr>
      <w:widowControl w:val="0"/>
      <w:ind w:left="200" w:leftChars="200"/>
      <w:jc w:val="both"/>
    </w:pPr>
    <w:rPr>
      <w:kern w:val="2"/>
      <w:sz w:val="21"/>
    </w:rPr>
  </w:style>
  <w:style w:type="paragraph" w:styleId="44">
    <w:name w:val="annotation subject"/>
    <w:basedOn w:val="13"/>
    <w:next w:val="13"/>
    <w:link w:val="79"/>
    <w:qFormat/>
    <w:uiPriority w:val="0"/>
    <w:pPr>
      <w:widowControl/>
    </w:pPr>
    <w:rPr>
      <w:b/>
      <w:bCs/>
      <w:kern w:val="0"/>
      <w:sz w:val="20"/>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Light Shading Accent 5"/>
    <w:basedOn w:val="45"/>
    <w:qFormat/>
    <w:uiPriority w:val="60"/>
    <w:rPr>
      <w:rFonts w:ascii="Calibri" w:hAnsi="Calibri"/>
      <w:color w:val="31849B"/>
      <w:kern w:val="2"/>
      <w:sz w:val="21"/>
      <w:szCs w:val="22"/>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rPr>
      <w:u w:val="none"/>
    </w:rPr>
  </w:style>
  <w:style w:type="character" w:styleId="53">
    <w:name w:val="HTML Definition"/>
    <w:basedOn w:val="48"/>
    <w:uiPriority w:val="0"/>
    <w:rPr>
      <w:u w:val="none"/>
    </w:rPr>
  </w:style>
  <w:style w:type="character" w:styleId="54">
    <w:name w:val="HTML Variable"/>
    <w:basedOn w:val="48"/>
    <w:uiPriority w:val="0"/>
    <w:rPr>
      <w:u w:val="none"/>
    </w:rPr>
  </w:style>
  <w:style w:type="character" w:styleId="55">
    <w:name w:val="Hyperlink"/>
    <w:basedOn w:val="48"/>
    <w:qFormat/>
    <w:uiPriority w:val="99"/>
    <w:rPr>
      <w:color w:val="0000FF"/>
      <w:u w:val="single"/>
    </w:rPr>
  </w:style>
  <w:style w:type="character" w:styleId="56">
    <w:name w:val="HTML Code"/>
    <w:basedOn w:val="48"/>
    <w:uiPriority w:val="0"/>
    <w:rPr>
      <w:rFonts w:ascii="Courier New" w:hAnsi="Courier New"/>
      <w:sz w:val="20"/>
      <w:u w:val="none"/>
    </w:rPr>
  </w:style>
  <w:style w:type="character" w:styleId="57">
    <w:name w:val="annotation reference"/>
    <w:basedOn w:val="48"/>
    <w:qFormat/>
    <w:uiPriority w:val="0"/>
    <w:rPr>
      <w:sz w:val="21"/>
      <w:szCs w:val="21"/>
    </w:rPr>
  </w:style>
  <w:style w:type="character" w:styleId="58">
    <w:name w:val="HTML Cite"/>
    <w:basedOn w:val="48"/>
    <w:uiPriority w:val="0"/>
    <w:rPr>
      <w:u w:val="none"/>
    </w:rPr>
  </w:style>
  <w:style w:type="character" w:customStyle="1" w:styleId="59">
    <w:name w:val="标题 1 Char"/>
    <w:basedOn w:val="48"/>
    <w:link w:val="2"/>
    <w:qFormat/>
    <w:locked/>
    <w:uiPriority w:val="0"/>
    <w:rPr>
      <w:b/>
      <w:bCs/>
      <w:kern w:val="44"/>
      <w:sz w:val="44"/>
      <w:szCs w:val="44"/>
    </w:rPr>
  </w:style>
  <w:style w:type="character" w:customStyle="1" w:styleId="60">
    <w:name w:val="标题 2 Char"/>
    <w:basedOn w:val="48"/>
    <w:link w:val="3"/>
    <w:qFormat/>
    <w:uiPriority w:val="0"/>
    <w:rPr>
      <w:rFonts w:ascii="Arial" w:hAnsi="Arial" w:eastAsia="黑体"/>
      <w:b/>
      <w:bCs/>
      <w:sz w:val="32"/>
      <w:szCs w:val="32"/>
    </w:rPr>
  </w:style>
  <w:style w:type="character" w:customStyle="1" w:styleId="61">
    <w:name w:val="标题 3 Char"/>
    <w:basedOn w:val="48"/>
    <w:link w:val="4"/>
    <w:qFormat/>
    <w:uiPriority w:val="0"/>
    <w:rPr>
      <w:b/>
      <w:bCs/>
      <w:kern w:val="2"/>
      <w:sz w:val="32"/>
      <w:szCs w:val="32"/>
    </w:rPr>
  </w:style>
  <w:style w:type="character" w:customStyle="1" w:styleId="62">
    <w:name w:val="标题 4 Char"/>
    <w:basedOn w:val="48"/>
    <w:link w:val="5"/>
    <w:qFormat/>
    <w:uiPriority w:val="0"/>
    <w:rPr>
      <w:rFonts w:ascii="Cambria" w:hAnsi="Cambria"/>
      <w:b/>
      <w:bCs/>
      <w:kern w:val="2"/>
      <w:sz w:val="28"/>
      <w:szCs w:val="28"/>
    </w:rPr>
  </w:style>
  <w:style w:type="character" w:customStyle="1" w:styleId="63">
    <w:name w:val="标题 5 Char"/>
    <w:basedOn w:val="48"/>
    <w:link w:val="6"/>
    <w:uiPriority w:val="0"/>
    <w:rPr>
      <w:b/>
      <w:bCs/>
      <w:kern w:val="2"/>
      <w:sz w:val="28"/>
      <w:szCs w:val="28"/>
    </w:rPr>
  </w:style>
  <w:style w:type="character" w:customStyle="1" w:styleId="64">
    <w:name w:val="标题 9 Char"/>
    <w:basedOn w:val="48"/>
    <w:link w:val="7"/>
    <w:qFormat/>
    <w:uiPriority w:val="0"/>
    <w:rPr>
      <w:rFonts w:asciiTheme="majorHAnsi" w:hAnsiTheme="majorHAnsi" w:eastAsiaTheme="majorEastAsia" w:cstheme="majorBidi"/>
      <w:sz w:val="21"/>
      <w:szCs w:val="21"/>
    </w:rPr>
  </w:style>
  <w:style w:type="paragraph" w:customStyle="1" w:styleId="65">
    <w:name w:val="Char1"/>
    <w:basedOn w:val="1"/>
    <w:qFormat/>
    <w:uiPriority w:val="0"/>
    <w:pPr>
      <w:spacing w:after="160" w:line="240" w:lineRule="exact"/>
    </w:pPr>
    <w:rPr>
      <w:rFonts w:ascii="Verdana" w:hAnsi="Verdana"/>
      <w:lang w:eastAsia="en-US"/>
    </w:rPr>
  </w:style>
  <w:style w:type="character" w:customStyle="1" w:styleId="66">
    <w:name w:val="日期 Char"/>
    <w:basedOn w:val="48"/>
    <w:link w:val="26"/>
    <w:locked/>
    <w:uiPriority w:val="0"/>
    <w:rPr>
      <w:kern w:val="2"/>
      <w:sz w:val="28"/>
    </w:rPr>
  </w:style>
  <w:style w:type="character" w:customStyle="1" w:styleId="67">
    <w:name w:val="页眉 Char"/>
    <w:basedOn w:val="48"/>
    <w:link w:val="30"/>
    <w:qFormat/>
    <w:uiPriority w:val="0"/>
    <w:rPr>
      <w:kern w:val="2"/>
      <w:sz w:val="18"/>
    </w:rPr>
  </w:style>
  <w:style w:type="character" w:customStyle="1" w:styleId="68">
    <w:name w:val="页脚 Char"/>
    <w:basedOn w:val="48"/>
    <w:link w:val="29"/>
    <w:qFormat/>
    <w:uiPriority w:val="0"/>
    <w:rPr>
      <w:kern w:val="2"/>
      <w:sz w:val="18"/>
    </w:rPr>
  </w:style>
  <w:style w:type="character" w:customStyle="1" w:styleId="69">
    <w:name w:val="批注文字 Char"/>
    <w:basedOn w:val="48"/>
    <w:link w:val="13"/>
    <w:qFormat/>
    <w:uiPriority w:val="0"/>
    <w:rPr>
      <w:kern w:val="2"/>
      <w:sz w:val="21"/>
    </w:rPr>
  </w:style>
  <w:style w:type="character" w:customStyle="1" w:styleId="70">
    <w:name w:val="正文文本缩进 3 Char"/>
    <w:basedOn w:val="48"/>
    <w:link w:val="37"/>
    <w:qFormat/>
    <w:locked/>
    <w:uiPriority w:val="0"/>
    <w:rPr>
      <w:rFonts w:ascii="仿宋_GB2312" w:eastAsia="仿宋_GB2312"/>
      <w:kern w:val="2"/>
      <w:sz w:val="28"/>
    </w:rPr>
  </w:style>
  <w:style w:type="character" w:customStyle="1" w:styleId="71">
    <w:name w:val="纯文本 Char"/>
    <w:link w:val="23"/>
    <w:qFormat/>
    <w:uiPriority w:val="0"/>
    <w:rPr>
      <w:rFonts w:ascii="宋体" w:hAnsi="Courier New"/>
      <w:kern w:val="2"/>
      <w:sz w:val="21"/>
    </w:rPr>
  </w:style>
  <w:style w:type="character" w:customStyle="1" w:styleId="72">
    <w:name w:val="正文文本缩进 2 Char"/>
    <w:basedOn w:val="48"/>
    <w:link w:val="27"/>
    <w:qFormat/>
    <w:locked/>
    <w:uiPriority w:val="0"/>
  </w:style>
  <w:style w:type="character" w:customStyle="1" w:styleId="73">
    <w:name w:val="正文文本缩进 Char"/>
    <w:basedOn w:val="48"/>
    <w:link w:val="18"/>
    <w:qFormat/>
    <w:locked/>
    <w:uiPriority w:val="0"/>
  </w:style>
  <w:style w:type="paragraph" w:customStyle="1" w:styleId="74">
    <w:name w:val="报告正文"/>
    <w:basedOn w:val="1"/>
    <w:qFormat/>
    <w:uiPriority w:val="0"/>
    <w:pPr>
      <w:widowControl w:val="0"/>
      <w:spacing w:line="500" w:lineRule="atLeast"/>
      <w:ind w:firstLine="567"/>
      <w:jc w:val="both"/>
    </w:pPr>
    <w:rPr>
      <w:rFonts w:hint="eastAsia" w:ascii="仿宋_GB2312" w:hAnsi="Courier New" w:eastAsia="仿宋_GB2312"/>
      <w:kern w:val="2"/>
      <w:sz w:val="28"/>
    </w:rPr>
  </w:style>
  <w:style w:type="character" w:customStyle="1" w:styleId="75">
    <w:name w:val="newstitle1"/>
    <w:basedOn w:val="48"/>
    <w:qFormat/>
    <w:uiPriority w:val="0"/>
    <w:rPr>
      <w:rFonts w:hint="default" w:ascii="ˎ̥" w:hAnsi="ˎ̥"/>
      <w:b/>
      <w:bCs/>
      <w:sz w:val="21"/>
      <w:szCs w:val="21"/>
    </w:rPr>
  </w:style>
  <w:style w:type="character" w:customStyle="1" w:styleId="76">
    <w:name w:val="f14b1"/>
    <w:basedOn w:val="48"/>
    <w:qFormat/>
    <w:uiPriority w:val="0"/>
    <w:rPr>
      <w:b/>
      <w:bCs/>
      <w:sz w:val="21"/>
      <w:szCs w:val="21"/>
    </w:rPr>
  </w:style>
  <w:style w:type="character" w:customStyle="1" w:styleId="77">
    <w:name w:val="text_big1"/>
    <w:basedOn w:val="48"/>
    <w:qFormat/>
    <w:uiPriority w:val="0"/>
    <w:rPr>
      <w:color w:val="000000"/>
      <w:sz w:val="21"/>
      <w:szCs w:val="21"/>
    </w:rPr>
  </w:style>
  <w:style w:type="paragraph" w:customStyle="1" w:styleId="78">
    <w:name w:val="c_memo"/>
    <w:basedOn w:val="1"/>
    <w:qFormat/>
    <w:uiPriority w:val="0"/>
    <w:pPr>
      <w:spacing w:before="100" w:beforeAutospacing="1" w:after="100" w:afterAutospacing="1"/>
    </w:pPr>
    <w:rPr>
      <w:rFonts w:ascii="宋体" w:hAnsi="宋体" w:cs="宋体"/>
      <w:color w:val="333333"/>
      <w:sz w:val="24"/>
      <w:szCs w:val="24"/>
    </w:rPr>
  </w:style>
  <w:style w:type="character" w:customStyle="1" w:styleId="79">
    <w:name w:val="批注主题 Char"/>
    <w:basedOn w:val="69"/>
    <w:link w:val="44"/>
    <w:qFormat/>
    <w:uiPriority w:val="0"/>
    <w:rPr>
      <w:kern w:val="2"/>
      <w:sz w:val="21"/>
    </w:rPr>
  </w:style>
  <w:style w:type="character" w:customStyle="1" w:styleId="80">
    <w:name w:val="批注框文本 Char"/>
    <w:basedOn w:val="48"/>
    <w:link w:val="28"/>
    <w:qFormat/>
    <w:uiPriority w:val="0"/>
    <w:rPr>
      <w:sz w:val="18"/>
      <w:szCs w:val="18"/>
    </w:rPr>
  </w:style>
  <w:style w:type="paragraph" w:styleId="81">
    <w:name w:val="List Paragraph"/>
    <w:basedOn w:val="1"/>
    <w:qFormat/>
    <w:uiPriority w:val="34"/>
    <w:pPr>
      <w:widowControl w:val="0"/>
      <w:ind w:firstLine="420" w:firstLineChars="200"/>
      <w:jc w:val="both"/>
    </w:pPr>
    <w:rPr>
      <w:kern w:val="2"/>
      <w:sz w:val="21"/>
      <w:szCs w:val="24"/>
    </w:rPr>
  </w:style>
  <w:style w:type="paragraph" w:customStyle="1" w:styleId="82">
    <w:name w:val="xl28"/>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83">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paragraph" w:styleId="84">
    <w:name w:val="No Spacing"/>
    <w:link w:val="85"/>
    <w:qFormat/>
    <w:uiPriority w:val="1"/>
    <w:rPr>
      <w:rFonts w:asciiTheme="minorHAnsi" w:hAnsiTheme="minorHAnsi" w:eastAsiaTheme="minorEastAsia" w:cstheme="minorBidi"/>
      <w:sz w:val="22"/>
      <w:szCs w:val="22"/>
      <w:lang w:val="en-US" w:eastAsia="zh-CN" w:bidi="ar-SA"/>
    </w:rPr>
  </w:style>
  <w:style w:type="character" w:customStyle="1" w:styleId="85">
    <w:name w:val="无间隔 Char"/>
    <w:basedOn w:val="48"/>
    <w:link w:val="84"/>
    <w:qFormat/>
    <w:uiPriority w:val="1"/>
    <w:rPr>
      <w:rFonts w:asciiTheme="minorHAnsi" w:hAnsiTheme="minorHAnsi" w:eastAsiaTheme="minorEastAsia" w:cstheme="minorBidi"/>
      <w:sz w:val="22"/>
      <w:szCs w:val="22"/>
    </w:rPr>
  </w:style>
  <w:style w:type="character" w:customStyle="1" w:styleId="86">
    <w:name w:val="文档结构图 Char"/>
    <w:basedOn w:val="48"/>
    <w:link w:val="12"/>
    <w:qFormat/>
    <w:uiPriority w:val="0"/>
    <w:rPr>
      <w:rFonts w:ascii="宋体"/>
      <w:sz w:val="18"/>
      <w:szCs w:val="18"/>
    </w:rPr>
  </w:style>
  <w:style w:type="paragraph" w:customStyle="1" w:styleId="87">
    <w:name w:val="列出段落1"/>
    <w:basedOn w:val="1"/>
    <w:qFormat/>
    <w:uiPriority w:val="34"/>
    <w:pPr>
      <w:widowControl w:val="0"/>
      <w:ind w:firstLine="420" w:firstLineChars="200"/>
      <w:jc w:val="both"/>
    </w:pPr>
    <w:rPr>
      <w:kern w:val="2"/>
      <w:sz w:val="21"/>
    </w:rPr>
  </w:style>
  <w:style w:type="paragraph" w:customStyle="1" w:styleId="88">
    <w:name w:val="纯文本1"/>
    <w:basedOn w:val="1"/>
    <w:qFormat/>
    <w:uiPriority w:val="0"/>
    <w:pPr>
      <w:widowControl w:val="0"/>
      <w:adjustRightInd w:val="0"/>
      <w:jc w:val="both"/>
      <w:textAlignment w:val="baseline"/>
    </w:pPr>
    <w:rPr>
      <w:rFonts w:ascii="宋体" w:hAnsi="Courier New"/>
      <w:kern w:val="2"/>
      <w:sz w:val="21"/>
    </w:rPr>
  </w:style>
  <w:style w:type="character" w:customStyle="1" w:styleId="89">
    <w:name w:val="纯文本 Char1"/>
    <w:basedOn w:val="48"/>
    <w:qFormat/>
    <w:uiPriority w:val="0"/>
    <w:rPr>
      <w:rFonts w:ascii="宋体" w:hAnsi="Courier New" w:eastAsia="宋体"/>
      <w:kern w:val="2"/>
      <w:sz w:val="21"/>
      <w:lang w:val="en-US" w:eastAsia="zh-CN" w:bidi="ar-SA"/>
    </w:rPr>
  </w:style>
  <w:style w:type="paragraph" w:customStyle="1" w:styleId="90">
    <w:name w:val="纯文本2"/>
    <w:basedOn w:val="1"/>
    <w:qFormat/>
    <w:uiPriority w:val="0"/>
    <w:pPr>
      <w:widowControl w:val="0"/>
      <w:adjustRightInd w:val="0"/>
      <w:jc w:val="both"/>
      <w:textAlignment w:val="baseline"/>
    </w:pPr>
    <w:rPr>
      <w:rFonts w:ascii="宋体" w:hAnsi="Courier New"/>
      <w:kern w:val="2"/>
      <w:sz w:val="21"/>
    </w:rPr>
  </w:style>
  <w:style w:type="paragraph" w:customStyle="1" w:styleId="91">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92">
    <w:name w:val="font6"/>
    <w:basedOn w:val="1"/>
    <w:qFormat/>
    <w:uiPriority w:val="0"/>
    <w:pPr>
      <w:spacing w:before="100" w:beforeAutospacing="1" w:after="100" w:afterAutospacing="1"/>
    </w:pPr>
    <w:rPr>
      <w:rFonts w:eastAsia="Arial Unicode MS"/>
      <w:sz w:val="18"/>
      <w:szCs w:val="18"/>
    </w:rPr>
  </w:style>
  <w:style w:type="paragraph" w:customStyle="1" w:styleId="93">
    <w:name w:val="font7"/>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94">
    <w:name w:val="font8"/>
    <w:basedOn w:val="1"/>
    <w:qFormat/>
    <w:uiPriority w:val="0"/>
    <w:pPr>
      <w:spacing w:before="100" w:beforeAutospacing="1" w:after="100" w:afterAutospacing="1"/>
    </w:pPr>
    <w:rPr>
      <w:rFonts w:hint="eastAsia" w:ascii="宋体" w:hAnsi="宋体" w:cs="Arial Unicode MS"/>
      <w:sz w:val="16"/>
      <w:szCs w:val="16"/>
    </w:rPr>
  </w:style>
  <w:style w:type="paragraph" w:customStyle="1" w:styleId="95">
    <w:name w:val="font9"/>
    <w:basedOn w:val="1"/>
    <w:qFormat/>
    <w:uiPriority w:val="0"/>
    <w:pPr>
      <w:spacing w:before="100" w:beforeAutospacing="1" w:after="100" w:afterAutospacing="1"/>
    </w:pPr>
    <w:rPr>
      <w:rFonts w:hint="eastAsia" w:ascii="宋体" w:hAnsi="宋体" w:cs="Arial Unicode MS"/>
      <w:sz w:val="16"/>
      <w:szCs w:val="16"/>
    </w:rPr>
  </w:style>
  <w:style w:type="paragraph" w:customStyle="1" w:styleId="96">
    <w:name w:val="font10"/>
    <w:basedOn w:val="1"/>
    <w:qFormat/>
    <w:uiPriority w:val="0"/>
    <w:pPr>
      <w:spacing w:before="100" w:beforeAutospacing="1" w:after="100" w:afterAutospacing="1"/>
    </w:pPr>
    <w:rPr>
      <w:rFonts w:eastAsia="Arial Unicode MS"/>
      <w:color w:val="000000"/>
      <w:sz w:val="18"/>
      <w:szCs w:val="18"/>
    </w:rPr>
  </w:style>
  <w:style w:type="paragraph" w:customStyle="1" w:styleId="97">
    <w:name w:val="font11"/>
    <w:basedOn w:val="1"/>
    <w:qFormat/>
    <w:uiPriority w:val="0"/>
    <w:pPr>
      <w:spacing w:before="100" w:beforeAutospacing="1" w:after="100" w:afterAutospacing="1"/>
    </w:pPr>
    <w:rPr>
      <w:rFonts w:eastAsia="Arial Unicode MS"/>
      <w:sz w:val="16"/>
      <w:szCs w:val="16"/>
    </w:rPr>
  </w:style>
  <w:style w:type="paragraph" w:customStyle="1" w:styleId="98">
    <w:name w:val="xl2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99">
    <w:name w:val="xl2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0">
    <w:name w:val="xl2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1">
    <w:name w:val="xl2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2">
    <w:name w:val="xl29"/>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3">
    <w:name w:val="xl3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4">
    <w:name w:val="xl3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5">
    <w:name w:val="xl3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6">
    <w:name w:val="xl3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7">
    <w:name w:val="xl3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8">
    <w:name w:val="xl35"/>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09">
    <w:name w:val="xl36"/>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10">
    <w:name w:val="xl37"/>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11">
    <w:name w:val="xl3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12">
    <w:name w:val="xl39"/>
    <w:basedOn w:val="1"/>
    <w:qFormat/>
    <w:uiPriority w:val="0"/>
    <w:pPr>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6"/>
      <w:szCs w:val="16"/>
    </w:rPr>
  </w:style>
  <w:style w:type="paragraph" w:customStyle="1" w:styleId="113">
    <w:name w:val="font1"/>
    <w:basedOn w:val="1"/>
    <w:qFormat/>
    <w:uiPriority w:val="0"/>
    <w:pPr>
      <w:spacing w:before="100" w:beforeAutospacing="1" w:after="100" w:afterAutospacing="1"/>
    </w:pPr>
    <w:rPr>
      <w:rFonts w:hint="eastAsia" w:ascii="宋体" w:hAnsi="宋体" w:cs="Arial Unicode MS"/>
      <w:b/>
      <w:bCs/>
      <w:sz w:val="24"/>
      <w:szCs w:val="24"/>
    </w:rPr>
  </w:style>
  <w:style w:type="character" w:customStyle="1" w:styleId="114">
    <w:name w:val="正文文本 Char"/>
    <w:basedOn w:val="48"/>
    <w:link w:val="17"/>
    <w:qFormat/>
    <w:uiPriority w:val="0"/>
    <w:rPr>
      <w:spacing w:val="20"/>
      <w:kern w:val="2"/>
      <w:sz w:val="24"/>
      <w:szCs w:val="24"/>
    </w:rPr>
  </w:style>
  <w:style w:type="paragraph" w:customStyle="1" w:styleId="115">
    <w:name w:val="xl40"/>
    <w:basedOn w:val="1"/>
    <w:qFormat/>
    <w:uiPriority w:val="0"/>
    <w:pPr>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16">
    <w:name w:val="Char1 Char Char Char"/>
    <w:basedOn w:val="1"/>
    <w:qFormat/>
    <w:uiPriority w:val="0"/>
    <w:pPr>
      <w:spacing w:after="160" w:line="240" w:lineRule="exact"/>
    </w:pPr>
    <w:rPr>
      <w:rFonts w:ascii="Tahoma" w:hAnsi="Tahoma"/>
      <w:sz w:val="24"/>
      <w:szCs w:val="24"/>
      <w:lang w:eastAsia="en-US"/>
    </w:rPr>
  </w:style>
  <w:style w:type="paragraph" w:customStyle="1" w:styleId="117">
    <w:name w:val="Char1 Char Char Char1"/>
    <w:basedOn w:val="1"/>
    <w:qFormat/>
    <w:uiPriority w:val="0"/>
    <w:pPr>
      <w:spacing w:after="160" w:line="240" w:lineRule="exact"/>
    </w:pPr>
    <w:rPr>
      <w:rFonts w:ascii="Tahoma" w:hAnsi="Tahoma"/>
      <w:sz w:val="24"/>
      <w:szCs w:val="24"/>
      <w:lang w:eastAsia="en-US"/>
    </w:rPr>
  </w:style>
  <w:style w:type="character" w:customStyle="1" w:styleId="118">
    <w:name w:val="short_text1"/>
    <w:basedOn w:val="48"/>
    <w:qFormat/>
    <w:uiPriority w:val="0"/>
    <w:rPr>
      <w:sz w:val="29"/>
      <w:szCs w:val="29"/>
    </w:rPr>
  </w:style>
  <w:style w:type="paragraph" w:customStyle="1" w:styleId="11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20">
    <w:name w:val="apple-style-span"/>
    <w:basedOn w:val="48"/>
    <w:qFormat/>
    <w:uiPriority w:val="0"/>
  </w:style>
  <w:style w:type="character" w:customStyle="1" w:styleId="121">
    <w:name w:val="apple-converted-space"/>
    <w:basedOn w:val="48"/>
    <w:qFormat/>
    <w:uiPriority w:val="0"/>
  </w:style>
  <w:style w:type="paragraph" w:customStyle="1" w:styleId="122">
    <w:name w:val="Char"/>
    <w:basedOn w:val="1"/>
    <w:qFormat/>
    <w:uiPriority w:val="0"/>
    <w:pPr>
      <w:widowControl w:val="0"/>
      <w:jc w:val="both"/>
    </w:pPr>
    <w:rPr>
      <w:kern w:val="2"/>
      <w:sz w:val="21"/>
      <w:szCs w:val="24"/>
    </w:rPr>
  </w:style>
  <w:style w:type="paragraph" w:customStyle="1" w:styleId="123">
    <w:name w:val="Char2"/>
    <w:basedOn w:val="1"/>
    <w:qFormat/>
    <w:uiPriority w:val="0"/>
    <w:pPr>
      <w:widowControl w:val="0"/>
      <w:jc w:val="both"/>
    </w:pPr>
    <w:rPr>
      <w:kern w:val="2"/>
      <w:sz w:val="21"/>
      <w:szCs w:val="24"/>
    </w:rPr>
  </w:style>
  <w:style w:type="character" w:customStyle="1" w:styleId="124">
    <w:name w:val="clampword generalhead-titlename"/>
    <w:basedOn w:val="48"/>
    <w:qFormat/>
    <w:uiPriority w:val="0"/>
  </w:style>
  <w:style w:type="character" w:customStyle="1" w:styleId="125">
    <w:name w:val="name"/>
    <w:basedOn w:val="48"/>
    <w:qFormat/>
    <w:uiPriority w:val="0"/>
  </w:style>
  <w:style w:type="character" w:customStyle="1" w:styleId="126">
    <w:name w:val="Heading 2 Char"/>
    <w:basedOn w:val="48"/>
    <w:qFormat/>
    <w:locked/>
    <w:uiPriority w:val="0"/>
    <w:rPr>
      <w:rFonts w:ascii="Arial" w:hAnsi="Arial" w:eastAsia="黑体" w:cs="Times New Roman"/>
      <w:b/>
      <w:bCs/>
      <w:kern w:val="2"/>
      <w:sz w:val="32"/>
      <w:szCs w:val="32"/>
    </w:rPr>
  </w:style>
  <w:style w:type="character" w:customStyle="1" w:styleId="127">
    <w:name w:val="Header Char"/>
    <w:basedOn w:val="48"/>
    <w:qFormat/>
    <w:locked/>
    <w:uiPriority w:val="0"/>
    <w:rPr>
      <w:rFonts w:cs="Times New Roman"/>
      <w:kern w:val="2"/>
      <w:sz w:val="18"/>
      <w:szCs w:val="18"/>
    </w:rPr>
  </w:style>
  <w:style w:type="character" w:customStyle="1" w:styleId="128">
    <w:name w:val="Footer Char"/>
    <w:basedOn w:val="48"/>
    <w:qFormat/>
    <w:locked/>
    <w:uiPriority w:val="0"/>
    <w:rPr>
      <w:rFonts w:cs="Times New Roman"/>
      <w:kern w:val="2"/>
      <w:sz w:val="18"/>
      <w:szCs w:val="18"/>
    </w:rPr>
  </w:style>
  <w:style w:type="character" w:customStyle="1" w:styleId="129">
    <w:name w:val="Balloon Text Char"/>
    <w:basedOn w:val="48"/>
    <w:qFormat/>
    <w:locked/>
    <w:uiPriority w:val="0"/>
    <w:rPr>
      <w:rFonts w:cs="Times New Roman"/>
      <w:kern w:val="2"/>
      <w:sz w:val="18"/>
      <w:szCs w:val="18"/>
    </w:rPr>
  </w:style>
  <w:style w:type="paragraph" w:customStyle="1" w:styleId="130">
    <w:name w:val="Char Char Char Char Char Char"/>
    <w:basedOn w:val="1"/>
    <w:qFormat/>
    <w:uiPriority w:val="0"/>
    <w:pPr>
      <w:spacing w:after="160" w:line="240" w:lineRule="exact"/>
    </w:pPr>
    <w:rPr>
      <w:rFonts w:ascii="Verdana" w:hAnsi="Verdana" w:cs="Verdana"/>
      <w:lang w:eastAsia="en-US"/>
    </w:rPr>
  </w:style>
  <w:style w:type="paragraph" w:customStyle="1" w:styleId="131">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132">
    <w:name w:val="reader-word-layer"/>
    <w:basedOn w:val="1"/>
    <w:qFormat/>
    <w:uiPriority w:val="0"/>
    <w:pPr>
      <w:spacing w:before="100" w:beforeAutospacing="1" w:after="100" w:afterAutospacing="1"/>
    </w:pPr>
    <w:rPr>
      <w:rFonts w:ascii="宋体" w:hAnsi="宋体" w:cs="宋体"/>
      <w:sz w:val="24"/>
      <w:szCs w:val="24"/>
    </w:rPr>
  </w:style>
  <w:style w:type="character" w:customStyle="1" w:styleId="133">
    <w:name w:val="Comment Text Char"/>
    <w:basedOn w:val="48"/>
    <w:qFormat/>
    <w:locked/>
    <w:uiPriority w:val="0"/>
    <w:rPr>
      <w:rFonts w:cs="Times New Roman"/>
      <w:kern w:val="2"/>
      <w:sz w:val="21"/>
    </w:rPr>
  </w:style>
  <w:style w:type="character" w:customStyle="1" w:styleId="134">
    <w:name w:val="Comment Subject Char"/>
    <w:basedOn w:val="133"/>
    <w:qFormat/>
    <w:locked/>
    <w:uiPriority w:val="0"/>
    <w:rPr>
      <w:rFonts w:cs="Times New Roman"/>
      <w:b/>
      <w:bCs/>
      <w:kern w:val="2"/>
      <w:sz w:val="21"/>
    </w:rPr>
  </w:style>
  <w:style w:type="character" w:customStyle="1" w:styleId="135">
    <w:name w:val="副标题 Char"/>
    <w:basedOn w:val="48"/>
    <w:link w:val="35"/>
    <w:qFormat/>
    <w:uiPriority w:val="0"/>
    <w:rPr>
      <w:rFonts w:ascii="Cambria" w:hAnsi="Cambria"/>
      <w:b/>
      <w:bCs/>
      <w:kern w:val="28"/>
      <w:sz w:val="32"/>
      <w:szCs w:val="32"/>
    </w:rPr>
  </w:style>
  <w:style w:type="paragraph" w:customStyle="1" w:styleId="136">
    <w:name w:val="默认段落字体 Para Char Char Char Char Char Char Char"/>
    <w:basedOn w:val="1"/>
    <w:qFormat/>
    <w:uiPriority w:val="0"/>
    <w:pPr>
      <w:widowControl w:val="0"/>
      <w:jc w:val="both"/>
    </w:pPr>
    <w:rPr>
      <w:rFonts w:ascii="Tahoma" w:hAnsi="Tahoma"/>
      <w:kern w:val="2"/>
      <w:sz w:val="24"/>
    </w:rPr>
  </w:style>
  <w:style w:type="character" w:customStyle="1" w:styleId="137">
    <w:name w:val="Plain Text Char"/>
    <w:basedOn w:val="48"/>
    <w:qFormat/>
    <w:locked/>
    <w:uiPriority w:val="0"/>
    <w:rPr>
      <w:rFonts w:ascii="宋体" w:hAnsi="Courier New" w:cs="Times New Roman"/>
      <w:kern w:val="2"/>
      <w:sz w:val="21"/>
    </w:rPr>
  </w:style>
  <w:style w:type="paragraph" w:customStyle="1" w:styleId="138">
    <w:name w:val="正文文本缩进 21"/>
    <w:basedOn w:val="1"/>
    <w:qFormat/>
    <w:uiPriority w:val="0"/>
    <w:pPr>
      <w:widowControl w:val="0"/>
      <w:spacing w:after="120" w:line="480" w:lineRule="auto"/>
      <w:ind w:left="420" w:leftChars="200"/>
      <w:jc w:val="both"/>
    </w:pPr>
    <w:rPr>
      <w:kern w:val="2"/>
      <w:sz w:val="21"/>
    </w:rPr>
  </w:style>
  <w:style w:type="paragraph" w:customStyle="1" w:styleId="139">
    <w:name w:val="样式1"/>
    <w:basedOn w:val="1"/>
    <w:qFormat/>
    <w:uiPriority w:val="0"/>
    <w:pPr>
      <w:widowControl w:val="0"/>
      <w:spacing w:line="360" w:lineRule="auto"/>
      <w:ind w:firstLine="360" w:firstLineChars="150"/>
      <w:jc w:val="both"/>
    </w:pPr>
    <w:rPr>
      <w:rFonts w:ascii="仿宋_GB2312" w:hAnsi="宋体" w:eastAsia="仿宋_GB2312"/>
      <w:kern w:val="2"/>
      <w:sz w:val="24"/>
      <w:szCs w:val="24"/>
    </w:rPr>
  </w:style>
  <w:style w:type="paragraph" w:customStyle="1" w:styleId="140">
    <w:name w:val="font12"/>
    <w:basedOn w:val="1"/>
    <w:qFormat/>
    <w:uiPriority w:val="0"/>
    <w:pPr>
      <w:spacing w:before="100" w:beforeAutospacing="1" w:after="100" w:afterAutospacing="1"/>
    </w:pPr>
    <w:rPr>
      <w:b/>
      <w:bCs/>
      <w:color w:val="000000"/>
      <w:sz w:val="18"/>
      <w:szCs w:val="18"/>
    </w:rPr>
  </w:style>
  <w:style w:type="character" w:customStyle="1" w:styleId="141">
    <w:name w:val="unnamed11"/>
    <w:qFormat/>
    <w:uiPriority w:val="0"/>
    <w:rPr>
      <w:rFonts w:ascii="宋体" w:hAnsi="宋体" w:eastAsia="宋体"/>
      <w:spacing w:val="240"/>
      <w:sz w:val="18"/>
    </w:rPr>
  </w:style>
  <w:style w:type="character" w:customStyle="1" w:styleId="142">
    <w:name w:val="duanl"/>
    <w:basedOn w:val="48"/>
    <w:qFormat/>
    <w:uiPriority w:val="0"/>
    <w:rPr>
      <w:rFonts w:cs="Times New Roman"/>
    </w:rPr>
  </w:style>
  <w:style w:type="character" w:customStyle="1" w:styleId="143">
    <w:name w:val="divtxt1"/>
    <w:qFormat/>
    <w:uiPriority w:val="0"/>
    <w:rPr>
      <w:color w:val="000000"/>
      <w:spacing w:val="15"/>
    </w:rPr>
  </w:style>
  <w:style w:type="character" w:customStyle="1" w:styleId="144">
    <w:name w:val="Document Map Char"/>
    <w:basedOn w:val="48"/>
    <w:qFormat/>
    <w:locked/>
    <w:uiPriority w:val="0"/>
    <w:rPr>
      <w:rFonts w:cs="Times New Roman"/>
      <w:kern w:val="2"/>
      <w:sz w:val="21"/>
      <w:shd w:val="clear" w:color="auto" w:fill="000080"/>
    </w:rPr>
  </w:style>
  <w:style w:type="character" w:customStyle="1" w:styleId="145">
    <w:name w:val="bb1"/>
    <w:qFormat/>
    <w:uiPriority w:val="0"/>
    <w:rPr>
      <w:sz w:val="24"/>
    </w:rPr>
  </w:style>
  <w:style w:type="paragraph" w:customStyle="1" w:styleId="146">
    <w:name w:val="4"/>
    <w:basedOn w:val="1"/>
    <w:next w:val="37"/>
    <w:qFormat/>
    <w:uiPriority w:val="0"/>
    <w:pPr>
      <w:widowControl w:val="0"/>
      <w:adjustRightInd w:val="0"/>
      <w:spacing w:line="360" w:lineRule="auto"/>
      <w:ind w:left="600" w:firstLine="555"/>
      <w:textAlignment w:val="baseline"/>
      <w:outlineLvl w:val="0"/>
    </w:pPr>
    <w:rPr>
      <w:rFonts w:ascii="楷体_GB2312" w:eastAsia="楷体_GB2312"/>
      <w:kern w:val="2"/>
      <w:sz w:val="28"/>
    </w:rPr>
  </w:style>
  <w:style w:type="paragraph" w:customStyle="1" w:styleId="147">
    <w:name w:val="3"/>
    <w:basedOn w:val="1"/>
    <w:next w:val="42"/>
    <w:qFormat/>
    <w:uiPriority w:val="0"/>
    <w:pPr>
      <w:spacing w:before="100" w:after="100"/>
    </w:pPr>
    <w:rPr>
      <w:rFonts w:ascii="宋体" w:hAnsi="宋体"/>
      <w:sz w:val="18"/>
    </w:rPr>
  </w:style>
  <w:style w:type="paragraph" w:customStyle="1" w:styleId="148">
    <w:name w:val="2"/>
    <w:basedOn w:val="1"/>
    <w:next w:val="37"/>
    <w:qFormat/>
    <w:uiPriority w:val="0"/>
    <w:pPr>
      <w:widowControl w:val="0"/>
      <w:adjustRightInd w:val="0"/>
      <w:spacing w:line="360" w:lineRule="auto"/>
      <w:ind w:left="600" w:firstLine="555"/>
      <w:textAlignment w:val="baseline"/>
      <w:outlineLvl w:val="0"/>
    </w:pPr>
    <w:rPr>
      <w:rFonts w:ascii="楷体_GB2312" w:eastAsia="楷体_GB2312"/>
      <w:kern w:val="2"/>
      <w:sz w:val="28"/>
    </w:rPr>
  </w:style>
  <w:style w:type="paragraph" w:customStyle="1" w:styleId="149">
    <w:name w:val="1"/>
    <w:basedOn w:val="1"/>
    <w:next w:val="42"/>
    <w:qFormat/>
    <w:uiPriority w:val="0"/>
    <w:pPr>
      <w:spacing w:before="100" w:after="100"/>
    </w:pPr>
    <w:rPr>
      <w:rFonts w:ascii="宋体" w:hAnsi="宋体"/>
      <w:sz w:val="18"/>
    </w:rPr>
  </w:style>
  <w:style w:type="paragraph" w:customStyle="1" w:styleId="150">
    <w:name w:val="正文 + 宋体"/>
    <w:basedOn w:val="1"/>
    <w:link w:val="151"/>
    <w:qFormat/>
    <w:uiPriority w:val="0"/>
    <w:pPr>
      <w:widowControl w:val="0"/>
      <w:adjustRightInd w:val="0"/>
      <w:snapToGrid w:val="0"/>
      <w:spacing w:line="360" w:lineRule="auto"/>
      <w:ind w:firstLine="527"/>
      <w:jc w:val="both"/>
    </w:pPr>
    <w:rPr>
      <w:rFonts w:ascii="宋体" w:hAnsi="宋体"/>
      <w:kern w:val="2"/>
      <w:sz w:val="26"/>
    </w:rPr>
  </w:style>
  <w:style w:type="character" w:customStyle="1" w:styleId="151">
    <w:name w:val="正文 + 宋体 Char"/>
    <w:link w:val="150"/>
    <w:qFormat/>
    <w:locked/>
    <w:uiPriority w:val="0"/>
    <w:rPr>
      <w:rFonts w:ascii="宋体" w:hAnsi="宋体"/>
      <w:kern w:val="2"/>
      <w:sz w:val="26"/>
    </w:rPr>
  </w:style>
  <w:style w:type="character" w:customStyle="1" w:styleId="152">
    <w:name w:val="f101"/>
    <w:qFormat/>
    <w:uiPriority w:val="0"/>
    <w:rPr>
      <w:rFonts w:ascii="Arial" w:hAnsi="Arial"/>
      <w:spacing w:val="480"/>
      <w:sz w:val="18"/>
    </w:rPr>
  </w:style>
  <w:style w:type="character" w:customStyle="1" w:styleId="153">
    <w:name w:val="f131"/>
    <w:basedOn w:val="48"/>
    <w:qFormat/>
    <w:uiPriority w:val="0"/>
    <w:rPr>
      <w:rFonts w:cs="Times New Roman"/>
    </w:rPr>
  </w:style>
  <w:style w:type="character" w:customStyle="1" w:styleId="154">
    <w:name w:val="ts2"/>
    <w:qFormat/>
    <w:uiPriority w:val="0"/>
    <w:rPr>
      <w:rFonts w:ascii="楷体" w:eastAsia="楷体"/>
      <w:sz w:val="24"/>
    </w:rPr>
  </w:style>
  <w:style w:type="paragraph" w:customStyle="1" w:styleId="155">
    <w:name w:val="font0"/>
    <w:basedOn w:val="1"/>
    <w:qFormat/>
    <w:uiPriority w:val="0"/>
    <w:pPr>
      <w:spacing w:before="100" w:beforeAutospacing="1" w:after="100" w:afterAutospacing="1"/>
    </w:pPr>
    <w:rPr>
      <w:rFonts w:ascii="宋体" w:hAnsi="宋体" w:cs="Arial Unicode MS"/>
      <w:sz w:val="24"/>
      <w:szCs w:val="24"/>
    </w:rPr>
  </w:style>
  <w:style w:type="paragraph" w:customStyle="1" w:styleId="15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rPr>
  </w:style>
  <w:style w:type="paragraph" w:customStyle="1" w:styleId="15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rPr>
  </w:style>
  <w:style w:type="paragraph" w:customStyle="1" w:styleId="15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rPr>
  </w:style>
  <w:style w:type="character" w:customStyle="1" w:styleId="159">
    <w:name w:val="正文 + 宋体 Char1"/>
    <w:qFormat/>
    <w:uiPriority w:val="0"/>
    <w:rPr>
      <w:rFonts w:eastAsia="宋体"/>
      <w:kern w:val="2"/>
      <w:sz w:val="21"/>
      <w:lang w:val="en-US" w:eastAsia="zh-CN"/>
    </w:rPr>
  </w:style>
  <w:style w:type="paragraph" w:customStyle="1" w:styleId="160">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rPr>
  </w:style>
  <w:style w:type="paragraph" w:customStyle="1" w:styleId="161">
    <w:name w:val="xl42"/>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Unicode MS" w:hAnsi="Arial Unicode MS"/>
    </w:rPr>
  </w:style>
  <w:style w:type="paragraph" w:customStyle="1" w:styleId="162">
    <w:name w:val="xl4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rPr>
  </w:style>
  <w:style w:type="paragraph" w:customStyle="1" w:styleId="163">
    <w:name w:val="普通(网站)1"/>
    <w:basedOn w:val="1"/>
    <w:qFormat/>
    <w:uiPriority w:val="0"/>
    <w:pPr>
      <w:spacing w:before="100" w:after="100"/>
    </w:pPr>
    <w:rPr>
      <w:rFonts w:ascii="宋体" w:hAnsi="宋体"/>
      <w:sz w:val="18"/>
    </w:rPr>
  </w:style>
  <w:style w:type="paragraph" w:customStyle="1" w:styleId="164">
    <w:name w:val="样式3"/>
    <w:basedOn w:val="1"/>
    <w:qFormat/>
    <w:uiPriority w:val="0"/>
    <w:pPr>
      <w:widowControl w:val="0"/>
      <w:adjustRightInd w:val="0"/>
      <w:spacing w:line="400" w:lineRule="exact"/>
      <w:ind w:firstLine="737"/>
      <w:textAlignment w:val="baseline"/>
    </w:pPr>
    <w:rPr>
      <w:rFonts w:ascii="仿宋体"/>
      <w:spacing w:val="24"/>
      <w:sz w:val="30"/>
    </w:rPr>
  </w:style>
  <w:style w:type="character" w:customStyle="1" w:styleId="165">
    <w:name w:val="批注引用1"/>
    <w:qFormat/>
    <w:uiPriority w:val="0"/>
    <w:rPr>
      <w:sz w:val="21"/>
    </w:rPr>
  </w:style>
  <w:style w:type="paragraph" w:customStyle="1" w:styleId="166">
    <w:name w:val="彩色列表 - 强调文字颜色 11"/>
    <w:basedOn w:val="1"/>
    <w:qFormat/>
    <w:uiPriority w:val="0"/>
    <w:pPr>
      <w:widowControl w:val="0"/>
      <w:ind w:firstLine="420" w:firstLineChars="200"/>
      <w:jc w:val="both"/>
    </w:pPr>
    <w:rPr>
      <w:rFonts w:ascii="Calibri" w:hAnsi="Calibri"/>
      <w:kern w:val="2"/>
      <w:sz w:val="21"/>
      <w:szCs w:val="22"/>
    </w:rPr>
  </w:style>
  <w:style w:type="paragraph" w:customStyle="1" w:styleId="167">
    <w:name w:val="Char11"/>
    <w:basedOn w:val="1"/>
    <w:qFormat/>
    <w:uiPriority w:val="0"/>
    <w:pPr>
      <w:spacing w:after="160" w:line="240" w:lineRule="exact"/>
    </w:pPr>
    <w:rPr>
      <w:rFonts w:ascii="Verdana" w:hAnsi="Verdana"/>
      <w:lang w:eastAsia="en-US"/>
    </w:rPr>
  </w:style>
  <w:style w:type="paragraph" w:customStyle="1" w:styleId="168">
    <w:name w:val="正文文本缩进 211"/>
    <w:basedOn w:val="1"/>
    <w:qFormat/>
    <w:uiPriority w:val="0"/>
    <w:pPr>
      <w:widowControl w:val="0"/>
      <w:spacing w:after="120" w:line="480" w:lineRule="auto"/>
      <w:ind w:left="420" w:leftChars="200"/>
      <w:jc w:val="both"/>
    </w:pPr>
    <w:rPr>
      <w:kern w:val="2"/>
      <w:sz w:val="21"/>
    </w:rPr>
  </w:style>
  <w:style w:type="paragraph" w:customStyle="1" w:styleId="169">
    <w:name w:val="引用1"/>
    <w:basedOn w:val="1"/>
    <w:next w:val="1"/>
    <w:link w:val="170"/>
    <w:qFormat/>
    <w:uiPriority w:val="0"/>
    <w:pPr>
      <w:widowControl w:val="0"/>
      <w:jc w:val="both"/>
    </w:pPr>
    <w:rPr>
      <w:i/>
      <w:iCs/>
      <w:color w:val="000000"/>
      <w:kern w:val="2"/>
      <w:sz w:val="21"/>
    </w:rPr>
  </w:style>
  <w:style w:type="character" w:customStyle="1" w:styleId="170">
    <w:name w:val="Quote Char"/>
    <w:basedOn w:val="48"/>
    <w:link w:val="169"/>
    <w:qFormat/>
    <w:locked/>
    <w:uiPriority w:val="0"/>
    <w:rPr>
      <w:i/>
      <w:iCs/>
      <w:color w:val="000000"/>
      <w:kern w:val="2"/>
      <w:sz w:val="21"/>
    </w:rPr>
  </w:style>
  <w:style w:type="paragraph" w:customStyle="1" w:styleId="171">
    <w:name w:val="纯文本3"/>
    <w:basedOn w:val="1"/>
    <w:qFormat/>
    <w:uiPriority w:val="0"/>
    <w:pPr>
      <w:widowControl w:val="0"/>
      <w:adjustRightInd w:val="0"/>
      <w:jc w:val="both"/>
      <w:textAlignment w:val="baseline"/>
    </w:pPr>
    <w:rPr>
      <w:rFonts w:ascii="宋体" w:hAnsi="Courier New"/>
      <w:kern w:val="2"/>
      <w:sz w:val="21"/>
    </w:rPr>
  </w:style>
  <w:style w:type="paragraph" w:customStyle="1" w:styleId="172">
    <w:name w:val="24磅报告正文"/>
    <w:basedOn w:val="1"/>
    <w:link w:val="173"/>
    <w:qFormat/>
    <w:uiPriority w:val="0"/>
    <w:pPr>
      <w:widowControl w:val="0"/>
      <w:spacing w:line="480" w:lineRule="exact"/>
      <w:ind w:firstLine="200" w:firstLineChars="200"/>
      <w:jc w:val="both"/>
    </w:pPr>
    <w:rPr>
      <w:rFonts w:eastAsia="仿宋_GB2312" w:cs="宋体"/>
      <w:kern w:val="2"/>
      <w:sz w:val="28"/>
    </w:rPr>
  </w:style>
  <w:style w:type="character" w:customStyle="1" w:styleId="173">
    <w:name w:val="24磅报告正文 Char"/>
    <w:basedOn w:val="48"/>
    <w:link w:val="172"/>
    <w:qFormat/>
    <w:uiPriority w:val="0"/>
    <w:rPr>
      <w:rFonts w:eastAsia="仿宋_GB2312" w:cs="宋体"/>
      <w:kern w:val="2"/>
      <w:sz w:val="28"/>
    </w:rPr>
  </w:style>
  <w:style w:type="paragraph" w:customStyle="1" w:styleId="174">
    <w:name w:val="纯文本4"/>
    <w:basedOn w:val="1"/>
    <w:qFormat/>
    <w:uiPriority w:val="0"/>
    <w:pPr>
      <w:widowControl w:val="0"/>
      <w:adjustRightInd w:val="0"/>
      <w:jc w:val="both"/>
      <w:textAlignment w:val="baseline"/>
    </w:pPr>
    <w:rPr>
      <w:rFonts w:ascii="宋体" w:hAnsi="Courier New"/>
      <w:kern w:val="2"/>
      <w:sz w:val="21"/>
    </w:rPr>
  </w:style>
  <w:style w:type="paragraph" w:customStyle="1" w:styleId="175">
    <w:name w:val="列出段落3"/>
    <w:basedOn w:val="1"/>
    <w:qFormat/>
    <w:uiPriority w:val="0"/>
    <w:pPr>
      <w:widowControl w:val="0"/>
      <w:ind w:firstLine="420" w:firstLineChars="200"/>
      <w:jc w:val="both"/>
    </w:pPr>
    <w:rPr>
      <w:kern w:val="2"/>
      <w:sz w:val="21"/>
      <w:szCs w:val="24"/>
    </w:rPr>
  </w:style>
  <w:style w:type="character" w:customStyle="1" w:styleId="176">
    <w:name w:val="description"/>
    <w:basedOn w:val="48"/>
    <w:qFormat/>
    <w:uiPriority w:val="0"/>
  </w:style>
  <w:style w:type="character" w:customStyle="1" w:styleId="177">
    <w:name w:val="number"/>
    <w:basedOn w:val="48"/>
    <w:qFormat/>
    <w:uiPriority w:val="0"/>
  </w:style>
  <w:style w:type="paragraph" w:customStyle="1" w:styleId="178">
    <w:name w:val="纯文本5"/>
    <w:basedOn w:val="1"/>
    <w:qFormat/>
    <w:uiPriority w:val="0"/>
    <w:pPr>
      <w:widowControl w:val="0"/>
      <w:adjustRightInd w:val="0"/>
      <w:jc w:val="both"/>
      <w:textAlignment w:val="baseline"/>
    </w:pPr>
    <w:rPr>
      <w:rFonts w:ascii="宋体" w:hAnsi="Courier New"/>
      <w:kern w:val="2"/>
      <w:sz w:val="21"/>
    </w:rPr>
  </w:style>
  <w:style w:type="paragraph" w:customStyle="1" w:styleId="179">
    <w:name w:val="TOC 标题11"/>
    <w:basedOn w:val="2"/>
    <w:next w:val="1"/>
    <w:unhideWhenUsed/>
    <w:qFormat/>
    <w:uiPriority w:val="39"/>
    <w:pPr>
      <w:spacing w:before="480" w:after="0" w:line="276" w:lineRule="auto"/>
      <w:outlineLvl w:val="9"/>
    </w:pPr>
    <w:rPr>
      <w:rFonts w:ascii="Cambria" w:hAnsi="Cambria"/>
      <w:color w:val="365F91"/>
      <w:kern w:val="0"/>
      <w:sz w:val="28"/>
      <w:szCs w:val="28"/>
    </w:rPr>
  </w:style>
  <w:style w:type="paragraph" w:customStyle="1" w:styleId="180">
    <w:name w:val="估价项目名称"/>
    <w:basedOn w:val="1"/>
    <w:qFormat/>
    <w:uiPriority w:val="0"/>
    <w:pPr>
      <w:widowControl w:val="0"/>
      <w:spacing w:line="480" w:lineRule="exact"/>
      <w:ind w:firstLine="560" w:firstLineChars="200"/>
      <w:jc w:val="both"/>
    </w:pPr>
    <w:rPr>
      <w:rFonts w:eastAsia="仿宋_GB2312"/>
      <w:kern w:val="2"/>
      <w:sz w:val="28"/>
    </w:rPr>
  </w:style>
  <w:style w:type="character" w:styleId="181">
    <w:name w:val="Placeholder Text"/>
    <w:basedOn w:val="48"/>
    <w:qFormat/>
    <w:uiPriority w:val="99"/>
    <w:rPr>
      <w:color w:val="808080"/>
    </w:rPr>
  </w:style>
  <w:style w:type="character" w:customStyle="1" w:styleId="182">
    <w:name w:val="tpc_content1"/>
    <w:qFormat/>
    <w:uiPriority w:val="0"/>
    <w:rPr>
      <w:rFonts w:cs="Times New Roman"/>
      <w:sz w:val="20"/>
      <w:szCs w:val="20"/>
    </w:rPr>
  </w:style>
  <w:style w:type="paragraph" w:customStyle="1" w:styleId="183">
    <w:name w:val="q2"/>
    <w:basedOn w:val="1"/>
    <w:qFormat/>
    <w:uiPriority w:val="0"/>
    <w:pPr>
      <w:spacing w:before="100" w:beforeAutospacing="1" w:after="100" w:afterAutospacing="1" w:line="270" w:lineRule="atLeast"/>
    </w:pPr>
    <w:rPr>
      <w:rFonts w:ascii="Arial" w:hAnsi="Arial" w:cs="Arial"/>
      <w:color w:val="000000"/>
      <w:sz w:val="18"/>
      <w:szCs w:val="18"/>
    </w:rPr>
  </w:style>
  <w:style w:type="paragraph" w:customStyle="1" w:styleId="184">
    <w:name w:val="TOC Heading"/>
    <w:basedOn w:val="2"/>
    <w:next w:val="1"/>
    <w:qFormat/>
    <w:uiPriority w:val="39"/>
    <w:pPr>
      <w:spacing w:before="480" w:after="0" w:line="276" w:lineRule="auto"/>
      <w:outlineLvl w:val="9"/>
    </w:pPr>
    <w:rPr>
      <w:rFonts w:ascii="Calibri" w:hAnsi="Calibri"/>
      <w:color w:val="365F91"/>
      <w:kern w:val="0"/>
      <w:sz w:val="28"/>
      <w:szCs w:val="28"/>
    </w:rPr>
  </w:style>
  <w:style w:type="paragraph" w:customStyle="1" w:styleId="185">
    <w:name w:val="_Style 177"/>
    <w:qFormat/>
    <w:uiPriority w:val="60"/>
    <w:rPr>
      <w:rFonts w:ascii="Calibri" w:hAnsi="Calibri" w:eastAsia="宋体" w:cs="Times New Roman"/>
      <w:color w:val="31849B"/>
      <w:kern w:val="2"/>
      <w:sz w:val="21"/>
      <w:szCs w:val="22"/>
      <w:lang w:val="en-US" w:eastAsia="zh-CN" w:bidi="ar-SA"/>
    </w:rPr>
  </w:style>
  <w:style w:type="paragraph" w:customStyle="1" w:styleId="186">
    <w:name w:val="列出段落4"/>
    <w:basedOn w:val="1"/>
    <w:qFormat/>
    <w:uiPriority w:val="0"/>
    <w:pPr>
      <w:widowControl w:val="0"/>
      <w:ind w:firstLine="420" w:firstLineChars="200"/>
      <w:jc w:val="both"/>
    </w:pPr>
    <w:rPr>
      <w:kern w:val="2"/>
      <w:sz w:val="21"/>
      <w:szCs w:val="24"/>
    </w:rPr>
  </w:style>
  <w:style w:type="paragraph" w:customStyle="1" w:styleId="187">
    <w:name w:val="纯文本6"/>
    <w:basedOn w:val="1"/>
    <w:qFormat/>
    <w:uiPriority w:val="0"/>
    <w:pPr>
      <w:widowControl w:val="0"/>
      <w:adjustRightInd w:val="0"/>
      <w:jc w:val="both"/>
      <w:textAlignment w:val="baseline"/>
    </w:pPr>
    <w:rPr>
      <w:rFonts w:ascii="宋体" w:hAnsi="Courier New"/>
      <w:kern w:val="2"/>
      <w:sz w:val="21"/>
    </w:rPr>
  </w:style>
  <w:style w:type="paragraph" w:customStyle="1" w:styleId="188">
    <w:name w:val="列出段落5"/>
    <w:basedOn w:val="1"/>
    <w:uiPriority w:val="0"/>
    <w:pPr>
      <w:widowControl w:val="0"/>
      <w:ind w:firstLine="420" w:firstLineChars="200"/>
      <w:jc w:val="both"/>
    </w:pPr>
    <w:rPr>
      <w:kern w:val="2"/>
      <w:sz w:val="21"/>
      <w:szCs w:val="24"/>
    </w:rPr>
  </w:style>
  <w:style w:type="paragraph" w:customStyle="1" w:styleId="189">
    <w:name w:val="纯文本7"/>
    <w:basedOn w:val="1"/>
    <w:uiPriority w:val="0"/>
    <w:pPr>
      <w:widowControl w:val="0"/>
      <w:adjustRightInd w:val="0"/>
      <w:jc w:val="both"/>
      <w:textAlignment w:val="baseline"/>
    </w:pPr>
    <w:rPr>
      <w:rFonts w:ascii="宋体" w:hAnsi="Courier New"/>
      <w:kern w:val="2"/>
      <w:sz w:val="21"/>
    </w:rPr>
  </w:style>
  <w:style w:type="character" w:customStyle="1" w:styleId="190">
    <w:name w:val="font31"/>
    <w:basedOn w:val="48"/>
    <w:uiPriority w:val="0"/>
    <w:rPr>
      <w:rFonts w:hint="eastAsia" w:ascii="宋体" w:hAnsi="宋体" w:eastAsia="宋体" w:cs="宋体"/>
      <w:color w:val="000000"/>
      <w:sz w:val="22"/>
      <w:szCs w:val="22"/>
      <w:u w:val="none"/>
    </w:rPr>
  </w:style>
  <w:style w:type="character" w:customStyle="1" w:styleId="191">
    <w:name w:val="font41"/>
    <w:basedOn w:val="48"/>
    <w:uiPriority w:val="0"/>
    <w:rPr>
      <w:rFonts w:hint="eastAsia" w:ascii="宋体" w:hAnsi="宋体" w:eastAsia="宋体" w:cs="宋体"/>
      <w:color w:val="000000"/>
      <w:sz w:val="22"/>
      <w:szCs w:val="22"/>
      <w:u w:val="none"/>
    </w:rPr>
  </w:style>
  <w:style w:type="character" w:customStyle="1" w:styleId="192">
    <w:name w:val="font01"/>
    <w:basedOn w:val="48"/>
    <w:uiPriority w:val="0"/>
    <w:rPr>
      <w:rFonts w:hint="eastAsia" w:ascii="宋体" w:hAnsi="宋体" w:eastAsia="宋体" w:cs="宋体"/>
      <w:color w:val="000000"/>
      <w:sz w:val="20"/>
      <w:szCs w:val="20"/>
      <w:u w:val="none"/>
    </w:rPr>
  </w:style>
  <w:style w:type="character" w:customStyle="1" w:styleId="193">
    <w:name w:val="Char Char8"/>
    <w:basedOn w:val="48"/>
    <w:uiPriority w:val="0"/>
    <w:rPr>
      <w:kern w:val="2"/>
      <w:sz w:val="21"/>
    </w:rPr>
  </w:style>
  <w:style w:type="character" w:customStyle="1" w:styleId="194">
    <w:name w:val="标题 4 字符"/>
    <w:locked/>
    <w:uiPriority w:val="0"/>
    <w:rPr>
      <w:rFonts w:ascii="Cambria" w:hAnsi="Cambria" w:eastAsia="宋体"/>
      <w:b/>
      <w:bCs/>
      <w:kern w:val="2"/>
      <w:sz w:val="28"/>
      <w:szCs w:val="28"/>
      <w:lang w:val="en-US" w:eastAsia="zh-CN" w:bidi="ar-SA"/>
    </w:rPr>
  </w:style>
  <w:style w:type="character" w:customStyle="1" w:styleId="195">
    <w:name w:val="Char Char15"/>
    <w:basedOn w:val="48"/>
    <w:uiPriority w:val="0"/>
    <w:rPr>
      <w:rFonts w:ascii="Arial" w:hAnsi="Arial" w:eastAsia="黑体"/>
      <w:b/>
      <w:bCs/>
      <w:sz w:val="32"/>
      <w:szCs w:val="32"/>
    </w:rPr>
  </w:style>
  <w:style w:type="character" w:customStyle="1" w:styleId="196">
    <w:name w:val="标题 2 字符"/>
    <w:qFormat/>
    <w:uiPriority w:val="0"/>
    <w:rPr>
      <w:rFonts w:ascii="Arial" w:hAnsi="Arial" w:eastAsia="黑体"/>
      <w:b/>
      <w:bCs/>
      <w:sz w:val="32"/>
      <w:szCs w:val="32"/>
    </w:rPr>
  </w:style>
  <w:style w:type="character" w:customStyle="1" w:styleId="197">
    <w:name w:val="纯文本 字符"/>
    <w:uiPriority w:val="0"/>
    <w:rPr>
      <w:rFonts w:ascii="宋体" w:hAnsi="Courier New"/>
      <w:kern w:val="2"/>
      <w:sz w:val="21"/>
    </w:rPr>
  </w:style>
  <w:style w:type="character" w:customStyle="1" w:styleId="198">
    <w:name w:val="正文文本缩进 2 字符"/>
    <w:locked/>
    <w:uiPriority w:val="0"/>
    <w:rPr>
      <w:rFonts w:eastAsia="宋体"/>
      <w:lang w:val="en-US" w:eastAsia="zh-CN" w:bidi="ar-SA"/>
    </w:rPr>
  </w:style>
  <w:style w:type="character" w:customStyle="1" w:styleId="199">
    <w:name w:val="标题 3 字符"/>
    <w:locked/>
    <w:uiPriority w:val="0"/>
    <w:rPr>
      <w:rFonts w:eastAsia="宋体"/>
      <w:b/>
      <w:bCs/>
      <w:kern w:val="2"/>
      <w:sz w:val="32"/>
      <w:szCs w:val="32"/>
      <w:lang w:val="en-US" w:eastAsia="zh-CN" w:bidi="ar-SA"/>
    </w:rPr>
  </w:style>
  <w:style w:type="character" w:customStyle="1" w:styleId="200">
    <w:name w:val="font21"/>
    <w:uiPriority w:val="0"/>
    <w:rPr>
      <w:rFonts w:hint="eastAsia" w:ascii="楷体" w:hAnsi="楷体" w:eastAsia="楷体" w:cs="楷体"/>
      <w:color w:val="000000"/>
      <w:sz w:val="18"/>
      <w:szCs w:val="18"/>
      <w:u w:val="none"/>
    </w:rPr>
  </w:style>
  <w:style w:type="character" w:customStyle="1" w:styleId="201">
    <w:name w:val="文档结构图 字符"/>
    <w:uiPriority w:val="0"/>
    <w:rPr>
      <w:rFonts w:ascii="宋体"/>
      <w:sz w:val="18"/>
      <w:szCs w:val="18"/>
    </w:rPr>
  </w:style>
  <w:style w:type="character" w:customStyle="1" w:styleId="202">
    <w:name w:val="标题 9 字符"/>
    <w:uiPriority w:val="0"/>
    <w:rPr>
      <w:rFonts w:ascii="Calibri" w:hAnsi="Calibri" w:eastAsia="宋体" w:cs="Times New Roman"/>
      <w:sz w:val="21"/>
      <w:szCs w:val="21"/>
    </w:rPr>
  </w:style>
  <w:style w:type="character" w:customStyle="1" w:styleId="203">
    <w:name w:val="称呼 字符"/>
    <w:uiPriority w:val="0"/>
    <w:rPr>
      <w:kern w:val="2"/>
      <w:sz w:val="21"/>
      <w:szCs w:val="24"/>
    </w:rPr>
  </w:style>
  <w:style w:type="character" w:customStyle="1" w:styleId="204">
    <w:name w:val="页脚 字符"/>
    <w:uiPriority w:val="99"/>
    <w:rPr>
      <w:kern w:val="2"/>
      <w:sz w:val="18"/>
    </w:rPr>
  </w:style>
  <w:style w:type="character" w:customStyle="1" w:styleId="205">
    <w:name w:val="nums"/>
    <w:basedOn w:val="48"/>
    <w:uiPriority w:val="0"/>
  </w:style>
  <w:style w:type="character" w:customStyle="1" w:styleId="206">
    <w:name w:val="fl8"/>
    <w:basedOn w:val="48"/>
    <w:uiPriority w:val="0"/>
  </w:style>
  <w:style w:type="character" w:customStyle="1" w:styleId="207">
    <w:name w:val="正文文本缩进 字符"/>
    <w:locked/>
    <w:uiPriority w:val="0"/>
    <w:rPr>
      <w:rFonts w:eastAsia="宋体"/>
      <w:lang w:val="en-US" w:eastAsia="zh-CN" w:bidi="ar-SA"/>
    </w:rPr>
  </w:style>
  <w:style w:type="character" w:customStyle="1" w:styleId="208">
    <w:name w:val="无间隔 字符"/>
    <w:uiPriority w:val="1"/>
    <w:rPr>
      <w:rFonts w:ascii="Cambria" w:hAnsi="Cambria"/>
      <w:sz w:val="22"/>
      <w:szCs w:val="22"/>
      <w:lang w:val="en-US" w:eastAsia="zh-CN" w:bidi="ar-SA"/>
    </w:rPr>
  </w:style>
  <w:style w:type="character" w:customStyle="1" w:styleId="209">
    <w:name w:val="日期 字符"/>
    <w:locked/>
    <w:uiPriority w:val="0"/>
    <w:rPr>
      <w:rFonts w:eastAsia="宋体"/>
      <w:kern w:val="2"/>
      <w:sz w:val="28"/>
      <w:lang w:val="en-US" w:eastAsia="zh-CN" w:bidi="ar-SA"/>
    </w:rPr>
  </w:style>
  <w:style w:type="character" w:customStyle="1" w:styleId="210">
    <w:name w:val="Char Char12"/>
    <w:basedOn w:val="48"/>
    <w:uiPriority w:val="0"/>
    <w:rPr>
      <w:rFonts w:ascii="Calibri" w:hAnsi="Calibri" w:eastAsia="宋体" w:cs="Times New Roman"/>
      <w:sz w:val="21"/>
      <w:szCs w:val="21"/>
    </w:rPr>
  </w:style>
  <w:style w:type="character" w:customStyle="1" w:styleId="211">
    <w:name w:val="标题 5 字符"/>
    <w:locked/>
    <w:uiPriority w:val="0"/>
    <w:rPr>
      <w:rFonts w:eastAsia="宋体"/>
      <w:b/>
      <w:bCs/>
      <w:kern w:val="2"/>
      <w:sz w:val="28"/>
      <w:szCs w:val="28"/>
      <w:lang w:val="en-US" w:eastAsia="zh-CN" w:bidi="ar-SA"/>
    </w:rPr>
  </w:style>
  <w:style w:type="character" w:customStyle="1" w:styleId="212">
    <w:name w:val="副标题 字符"/>
    <w:locked/>
    <w:uiPriority w:val="0"/>
    <w:rPr>
      <w:rFonts w:ascii="Cambria" w:hAnsi="Cambria" w:eastAsia="宋体"/>
      <w:b/>
      <w:bCs/>
      <w:kern w:val="28"/>
      <w:sz w:val="32"/>
      <w:szCs w:val="32"/>
      <w:lang w:val="en-US" w:eastAsia="zh-CN" w:bidi="ar-SA"/>
    </w:rPr>
  </w:style>
  <w:style w:type="character" w:customStyle="1" w:styleId="213">
    <w:name w:val="结束语 Char"/>
    <w:basedOn w:val="48"/>
    <w:link w:val="16"/>
    <w:uiPriority w:val="0"/>
    <w:rPr>
      <w:kern w:val="2"/>
      <w:sz w:val="21"/>
      <w:szCs w:val="24"/>
    </w:rPr>
  </w:style>
  <w:style w:type="character" w:customStyle="1" w:styleId="214">
    <w:name w:val="结束语 Char1"/>
    <w:basedOn w:val="48"/>
    <w:link w:val="16"/>
    <w:uiPriority w:val="0"/>
  </w:style>
  <w:style w:type="character" w:customStyle="1" w:styleId="215">
    <w:name w:val="批注框文本 字符"/>
    <w:uiPriority w:val="0"/>
    <w:rPr>
      <w:sz w:val="18"/>
      <w:szCs w:val="18"/>
    </w:rPr>
  </w:style>
  <w:style w:type="character" w:customStyle="1" w:styleId="216">
    <w:name w:val="批注主题 字符"/>
    <w:uiPriority w:val="0"/>
    <w:rPr>
      <w:kern w:val="2"/>
      <w:sz w:val="21"/>
    </w:rPr>
  </w:style>
  <w:style w:type="character" w:customStyle="1" w:styleId="217">
    <w:name w:val="称呼 Char"/>
    <w:basedOn w:val="48"/>
    <w:link w:val="15"/>
    <w:uiPriority w:val="0"/>
    <w:rPr>
      <w:kern w:val="2"/>
      <w:sz w:val="21"/>
      <w:szCs w:val="24"/>
    </w:rPr>
  </w:style>
  <w:style w:type="character" w:customStyle="1" w:styleId="218">
    <w:name w:val="称呼 Char1"/>
    <w:basedOn w:val="48"/>
    <w:link w:val="15"/>
    <w:uiPriority w:val="0"/>
  </w:style>
  <w:style w:type="character" w:customStyle="1" w:styleId="219">
    <w:name w:val="nav-a4"/>
    <w:basedOn w:val="48"/>
    <w:uiPriority w:val="0"/>
    <w:rPr>
      <w:color w:val="D9D9D9"/>
    </w:rPr>
  </w:style>
  <w:style w:type="character" w:customStyle="1" w:styleId="220">
    <w:name w:val="Char Char9"/>
    <w:basedOn w:val="48"/>
    <w:uiPriority w:val="0"/>
    <w:rPr>
      <w:kern w:val="2"/>
      <w:sz w:val="18"/>
    </w:rPr>
  </w:style>
  <w:style w:type="character" w:customStyle="1" w:styleId="221">
    <w:name w:val="正文文本 字符"/>
    <w:locked/>
    <w:uiPriority w:val="0"/>
    <w:rPr>
      <w:rFonts w:eastAsia="宋体"/>
      <w:spacing w:val="20"/>
      <w:kern w:val="2"/>
      <w:sz w:val="24"/>
      <w:szCs w:val="24"/>
      <w:lang w:val="en-US" w:eastAsia="zh-CN" w:bidi="ar-SA"/>
    </w:rPr>
  </w:style>
  <w:style w:type="character" w:customStyle="1" w:styleId="222">
    <w:name w:val="Char Char10"/>
    <w:basedOn w:val="48"/>
    <w:uiPriority w:val="0"/>
    <w:rPr>
      <w:kern w:val="2"/>
      <w:sz w:val="18"/>
    </w:rPr>
  </w:style>
  <w:style w:type="character" w:customStyle="1" w:styleId="223">
    <w:name w:val="正文文本缩进 3 字符"/>
    <w:locked/>
    <w:uiPriority w:val="0"/>
    <w:rPr>
      <w:rFonts w:ascii="仿宋_GB2312" w:eastAsia="仿宋_GB2312"/>
      <w:kern w:val="2"/>
      <w:sz w:val="28"/>
      <w:lang w:val="en-US" w:eastAsia="zh-CN" w:bidi="ar-SA"/>
    </w:rPr>
  </w:style>
  <w:style w:type="character" w:customStyle="1" w:styleId="224">
    <w:name w:val="结束语 字符"/>
    <w:uiPriority w:val="0"/>
    <w:rPr>
      <w:kern w:val="2"/>
      <w:sz w:val="21"/>
      <w:szCs w:val="24"/>
    </w:rPr>
  </w:style>
  <w:style w:type="character" w:customStyle="1" w:styleId="225">
    <w:name w:val="页眉 字符"/>
    <w:uiPriority w:val="99"/>
    <w:rPr>
      <w:kern w:val="2"/>
      <w:sz w:val="18"/>
    </w:rPr>
  </w:style>
  <w:style w:type="character" w:customStyle="1" w:styleId="226">
    <w:name w:val="批注文字 字符"/>
    <w:uiPriority w:val="0"/>
    <w:rPr>
      <w:kern w:val="2"/>
      <w:sz w:val="21"/>
    </w:rPr>
  </w:style>
  <w:style w:type="character" w:customStyle="1" w:styleId="227">
    <w:name w:val="标题 1 字符"/>
    <w:locked/>
    <w:uiPriority w:val="0"/>
    <w:rPr>
      <w:rFonts w:eastAsia="宋体"/>
      <w:b/>
      <w:bCs/>
      <w:kern w:val="44"/>
      <w:sz w:val="44"/>
      <w:szCs w:val="44"/>
      <w:lang w:val="en-US" w:eastAsia="zh-CN" w:bidi="ar-SA"/>
    </w:rPr>
  </w:style>
  <w:style w:type="character" w:customStyle="1" w:styleId="228">
    <w:name w:val="nav-a5"/>
    <w:basedOn w:val="48"/>
    <w:uiPriority w:val="0"/>
    <w:rPr>
      <w:color w:val="E6E6E6"/>
    </w:rPr>
  </w:style>
  <w:style w:type="paragraph" w:customStyle="1" w:styleId="229">
    <w:name w:val="引用2"/>
    <w:basedOn w:val="1"/>
    <w:next w:val="1"/>
    <w:uiPriority w:val="0"/>
    <w:pPr>
      <w:widowControl w:val="0"/>
      <w:jc w:val="both"/>
    </w:pPr>
    <w:rPr>
      <w:i/>
      <w:iCs/>
      <w:color w:val="000000"/>
      <w:kern w:val="2"/>
      <w:sz w:val="21"/>
    </w:rPr>
  </w:style>
  <w:style w:type="paragraph" w:customStyle="1" w:styleId="230">
    <w:name w:val="Char Char Char"/>
    <w:basedOn w:val="1"/>
    <w:uiPriority w:val="0"/>
    <w:pPr>
      <w:widowControl w:val="0"/>
      <w:snapToGrid w:val="0"/>
      <w:spacing w:line="360" w:lineRule="auto"/>
      <w:ind w:firstLine="200" w:firstLineChars="200"/>
      <w:jc w:val="both"/>
    </w:pPr>
    <w:rPr>
      <w:rFonts w:eastAsia="仿宋_GB2312"/>
      <w:kern w:val="2"/>
      <w:sz w:val="24"/>
      <w:szCs w:val="24"/>
    </w:rPr>
  </w:style>
  <w:style w:type="paragraph" w:customStyle="1" w:styleId="231">
    <w:name w:val="_Style 8"/>
    <w:basedOn w:val="2"/>
    <w:next w:val="1"/>
    <w:qFormat/>
    <w:uiPriority w:val="39"/>
    <w:pPr>
      <w:spacing w:before="480" w:after="0" w:line="276" w:lineRule="auto"/>
      <w:outlineLvl w:val="9"/>
    </w:pPr>
    <w:rPr>
      <w:rFonts w:ascii="Calibri" w:hAnsi="Calibri"/>
      <w:color w:val="365F91"/>
      <w:kern w:val="0"/>
      <w:sz w:val="28"/>
      <w:szCs w:val="28"/>
    </w:rPr>
  </w:style>
  <w:style w:type="paragraph" w:customStyle="1" w:styleId="232">
    <w:name w:val="引用3"/>
    <w:basedOn w:val="1"/>
    <w:next w:val="1"/>
    <w:uiPriority w:val="0"/>
    <w:pPr>
      <w:widowControl w:val="0"/>
      <w:jc w:val="both"/>
    </w:pPr>
    <w:rPr>
      <w:i/>
      <w:iCs/>
      <w:color w:val="000000"/>
      <w:kern w:val="2"/>
      <w:sz w:val="21"/>
    </w:rPr>
  </w:style>
  <w:style w:type="paragraph" w:customStyle="1" w:styleId="233">
    <w:name w:val="Revision"/>
    <w:uiPriority w:val="99"/>
    <w:rPr>
      <w:rFonts w:ascii="Times New Roman" w:hAnsi="Times New Roman" w:eastAsia="宋体" w:cs="Times New Roman"/>
      <w:lang w:val="en-US" w:eastAsia="zh-CN" w:bidi="ar-SA"/>
    </w:rPr>
  </w:style>
  <w:style w:type="character" w:customStyle="1" w:styleId="234">
    <w:name w:val="font51"/>
    <w:basedOn w:val="4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5CD92-5F7A-4FB8-AE2B-B67B1362098A}">
  <ds:schemaRefs/>
</ds:datastoreItem>
</file>

<file path=docProps/app.xml><?xml version="1.0" encoding="utf-8"?>
<Properties xmlns="http://schemas.openxmlformats.org/officeDocument/2006/extended-properties" xmlns:vt="http://schemas.openxmlformats.org/officeDocument/2006/docPropsVTypes">
  <Template>Normal</Template>
  <Company>guojia</Company>
  <Pages>20</Pages>
  <Words>9419</Words>
  <Characters>3537</Characters>
  <Lines>29</Lines>
  <Paragraphs>25</Paragraphs>
  <TotalTime>467</TotalTime>
  <ScaleCrop>false</ScaleCrop>
  <LinksUpToDate>false</LinksUpToDate>
  <CharactersWithSpaces>12931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2021-11-04T03:15:00Z</dcterms:created>
  <dc:creator>城市徐峰</dc:creator>
  <cp:lastModifiedBy>拂手唤漫天流萤</cp:lastModifiedBy>
  <cp:lastPrinted>2021-04-19T07:18:00Z</cp:lastPrinted>
  <dcterms:modified xsi:type="dcterms:W3CDTF">2022-08-24T06:05:54Z</dcterms:modified>
  <dc:title>多标的房地产估价报告-抵押</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7E602C2797714B538784FC5C2EA1B290</vt:lpwstr>
  </property>
</Properties>
</file>