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E67" w:rsidRDefault="00AA46B4">
      <w:pPr>
        <w:jc w:val="center"/>
        <w:rPr>
          <w:rFonts w:ascii="宋体" w:hAnsi="宋体"/>
          <w:b/>
          <w:bCs/>
          <w:color w:val="000000"/>
          <w:sz w:val="48"/>
        </w:rPr>
      </w:pPr>
      <w:bookmarkStart w:id="0" w:name="po_二维码"/>
      <w:bookmarkEnd w:id="0"/>
      <w:r>
        <w:rPr>
          <w:rFonts w:eastAsiaTheme="minorEastAsia" w:hint="eastAsia"/>
        </w:rPr>
        <w:t xml:space="preserve">                                                                </w:t>
      </w:r>
    </w:p>
    <w:p w:rsidR="009B4E67" w:rsidRDefault="009B4E67">
      <w:pPr>
        <w:spacing w:before="0" w:after="0" w:line="720" w:lineRule="auto"/>
        <w:rPr>
          <w:rFonts w:ascii="楷体_GB2312" w:eastAsia="楷体_GB2312" w:hAnsi="楷体_GB2312" w:cs="楷体_GB2312"/>
          <w:b/>
          <w:bCs/>
          <w:color w:val="000000"/>
          <w:sz w:val="48"/>
        </w:rPr>
      </w:pPr>
    </w:p>
    <w:p w:rsidR="009B4E67" w:rsidRDefault="00AA46B4">
      <w:pPr>
        <w:spacing w:before="0" w:after="0" w:line="720" w:lineRule="auto"/>
        <w:jc w:val="center"/>
        <w:rPr>
          <w:rFonts w:ascii="楷体_GB2312" w:eastAsia="楷体_GB2312" w:hAnsi="楷体_GB2312" w:cs="楷体_GB2312"/>
          <w:b/>
          <w:bCs/>
          <w:color w:val="000000"/>
          <w:sz w:val="16"/>
          <w:szCs w:val="6"/>
        </w:rPr>
      </w:pPr>
      <w:r>
        <w:rPr>
          <w:rFonts w:ascii="楷体_GB2312" w:eastAsia="楷体_GB2312" w:hAnsi="楷体_GB2312" w:cs="楷体_GB2312" w:hint="eastAsia"/>
          <w:b/>
          <w:bCs/>
          <w:color w:val="000000"/>
          <w:sz w:val="48"/>
        </w:rPr>
        <w:t>涉执房地产司法评估报告</w:t>
      </w:r>
    </w:p>
    <w:p w:rsidR="009B4E67" w:rsidRDefault="009B4E67">
      <w:pPr>
        <w:spacing w:before="0" w:after="0" w:line="720" w:lineRule="auto"/>
        <w:jc w:val="center"/>
        <w:rPr>
          <w:rFonts w:ascii="宋体" w:hAnsi="宋体"/>
          <w:b/>
          <w:bCs/>
          <w:color w:val="000000"/>
          <w:sz w:val="48"/>
        </w:rPr>
      </w:pPr>
    </w:p>
    <w:p w:rsidR="009B4E67" w:rsidRDefault="009B4E67">
      <w:pPr>
        <w:pStyle w:val="a0"/>
        <w:rPr>
          <w:rFonts w:ascii="宋体" w:hAnsi="宋体"/>
          <w:b/>
          <w:bCs/>
          <w:color w:val="000000"/>
          <w:sz w:val="48"/>
        </w:rPr>
      </w:pPr>
    </w:p>
    <w:p w:rsidR="009B4E67" w:rsidRDefault="009B4E67">
      <w:pPr>
        <w:rPr>
          <w:rFonts w:ascii="宋体" w:hAnsi="宋体"/>
          <w:b/>
          <w:bCs/>
          <w:color w:val="000000"/>
          <w:sz w:val="48"/>
        </w:rPr>
      </w:pPr>
    </w:p>
    <w:p w:rsidR="009B4E67" w:rsidRDefault="009B4E67"/>
    <w:p w:rsidR="009B4E67" w:rsidRDefault="00AA46B4">
      <w:pPr>
        <w:spacing w:before="0" w:after="0" w:line="480" w:lineRule="auto"/>
        <w:rPr>
          <w:rFonts w:ascii="楷体_GB2312" w:eastAsia="楷体_GB2312" w:hAnsi="宋体"/>
          <w:sz w:val="32"/>
          <w:szCs w:val="32"/>
        </w:rPr>
      </w:pPr>
      <w:r>
        <w:rPr>
          <w:rFonts w:ascii="楷体_GB2312" w:eastAsia="楷体_GB2312" w:hAnsi="宋体" w:cs="宋体" w:hint="eastAsia"/>
          <w:b/>
          <w:bCs/>
          <w:color w:val="000000"/>
          <w:spacing w:val="-5"/>
          <w:sz w:val="32"/>
          <w:szCs w:val="32"/>
        </w:rPr>
        <w:t>估 价 报 告 编 号</w:t>
      </w:r>
      <w:r>
        <w:rPr>
          <w:rFonts w:ascii="楷体_GB2312" w:eastAsia="楷体_GB2312" w:hAnsi="宋体" w:cs="宋体" w:hint="eastAsia"/>
          <w:b/>
          <w:bCs/>
          <w:color w:val="000000"/>
          <w:spacing w:val="20"/>
          <w:sz w:val="32"/>
          <w:szCs w:val="32"/>
        </w:rPr>
        <w:t>：</w:t>
      </w:r>
      <w:r>
        <w:rPr>
          <w:rFonts w:ascii="楷体_GB2312" w:eastAsia="楷体_GB2312" w:hAnsi="楷体_GB2312" w:cs="楷体_GB2312" w:hint="eastAsia"/>
          <w:spacing w:val="20"/>
          <w:sz w:val="32"/>
          <w:szCs w:val="32"/>
        </w:rPr>
        <w:t>赣仁信房估字[2022]第0091号</w:t>
      </w:r>
    </w:p>
    <w:p w:rsidR="009B4E67" w:rsidRDefault="00AA46B4" w:rsidP="00AA46B4">
      <w:pPr>
        <w:spacing w:before="0" w:after="0" w:line="480" w:lineRule="auto"/>
        <w:ind w:left="2891" w:hangingChars="900" w:hanging="2891"/>
        <w:jc w:val="left"/>
        <w:rPr>
          <w:rFonts w:ascii="楷体_GB2312" w:eastAsia="楷体_GB2312" w:hAnsi="宋体"/>
          <w:sz w:val="32"/>
          <w:szCs w:val="32"/>
        </w:rPr>
      </w:pPr>
      <w:r>
        <w:rPr>
          <w:rFonts w:ascii="楷体_GB2312" w:eastAsia="楷体_GB2312" w:hAnsi="宋体" w:hint="eastAsia"/>
          <w:b/>
          <w:bCs/>
          <w:sz w:val="32"/>
          <w:szCs w:val="32"/>
        </w:rPr>
        <w:t>估 价 项 目 名 称</w:t>
      </w:r>
      <w:r>
        <w:rPr>
          <w:rFonts w:ascii="楷体_GB2312" w:eastAsia="楷体_GB2312" w:hAnsi="宋体" w:hint="eastAsia"/>
          <w:sz w:val="32"/>
          <w:szCs w:val="32"/>
        </w:rPr>
        <w:t>：</w:t>
      </w:r>
      <w:r>
        <w:rPr>
          <w:rFonts w:eastAsia="楷体_GB2312" w:hint="eastAsia"/>
          <w:color w:val="000000"/>
          <w:sz w:val="32"/>
          <w:szCs w:val="32"/>
        </w:rPr>
        <w:t>赣州经济技术开发区人民法院</w:t>
      </w:r>
      <w:r>
        <w:rPr>
          <w:rFonts w:ascii="楷体_GB2312" w:eastAsia="楷体_GB2312" w:hAnsi="楷体_GB2312" w:cs="楷体_GB2312" w:hint="eastAsia"/>
          <w:sz w:val="32"/>
          <w:szCs w:val="32"/>
        </w:rPr>
        <w:t>执行申请人田仁凤与被执行人黄维腾、丁见娣、黄飞羽借款合同纠纷一案涉及赣州市云山路龙都商城G3185#店等共49套房地产评估报告</w:t>
      </w:r>
    </w:p>
    <w:p w:rsidR="009B4E67" w:rsidRDefault="00AA46B4">
      <w:pPr>
        <w:spacing w:before="0" w:after="0" w:line="480" w:lineRule="auto"/>
        <w:ind w:left="2249" w:hangingChars="700" w:hanging="2249"/>
        <w:rPr>
          <w:rFonts w:ascii="楷体_GB2312" w:eastAsia="楷体_GB2312" w:hAnsi="宋体"/>
          <w:sz w:val="32"/>
          <w:szCs w:val="32"/>
        </w:rPr>
      </w:pPr>
      <w:r>
        <w:rPr>
          <w:rFonts w:ascii="楷体_GB2312" w:eastAsia="楷体_GB2312" w:hAnsi="宋体" w:cs="宋体" w:hint="eastAsia"/>
          <w:b/>
          <w:bCs/>
          <w:sz w:val="32"/>
          <w:szCs w:val="32"/>
        </w:rPr>
        <w:t>估  价  委 托 人</w:t>
      </w:r>
      <w:r>
        <w:rPr>
          <w:rFonts w:ascii="楷体_GB2312" w:eastAsia="楷体_GB2312" w:hAnsi="宋体" w:cs="宋体" w:hint="eastAsia"/>
          <w:b/>
          <w:bCs/>
          <w:w w:val="96"/>
          <w:sz w:val="32"/>
          <w:szCs w:val="32"/>
        </w:rPr>
        <w:t>：</w:t>
      </w:r>
      <w:r>
        <w:rPr>
          <w:rFonts w:ascii="楷体_GB2312" w:eastAsia="楷体_GB2312" w:hAnsi="宋体" w:hint="eastAsia"/>
          <w:sz w:val="32"/>
          <w:szCs w:val="32"/>
        </w:rPr>
        <w:t>赣州经济技术开发区人民法院</w:t>
      </w:r>
    </w:p>
    <w:p w:rsidR="009B4E67" w:rsidRDefault="00AA46B4">
      <w:pPr>
        <w:spacing w:before="0" w:after="0" w:line="480" w:lineRule="auto"/>
        <w:ind w:left="1969" w:hangingChars="700" w:hanging="1969"/>
        <w:rPr>
          <w:rFonts w:ascii="楷体_GB2312" w:eastAsia="楷体_GB2312" w:hAnsi="宋体"/>
          <w:b/>
          <w:sz w:val="32"/>
          <w:szCs w:val="32"/>
        </w:rPr>
      </w:pPr>
      <w:r>
        <w:rPr>
          <w:rFonts w:ascii="楷体_GB2312" w:eastAsia="楷体_GB2312" w:hAnsi="宋体" w:cs="宋体" w:hint="eastAsia"/>
          <w:b/>
          <w:bCs/>
          <w:spacing w:val="-20"/>
          <w:sz w:val="32"/>
          <w:szCs w:val="32"/>
        </w:rPr>
        <w:t>房 地 产 估 价 机 构：</w:t>
      </w:r>
      <w:r>
        <w:rPr>
          <w:rFonts w:ascii="楷体_GB2312" w:eastAsia="楷体_GB2312" w:hAnsi="宋体" w:hint="eastAsia"/>
          <w:sz w:val="32"/>
          <w:szCs w:val="32"/>
        </w:rPr>
        <w:t>江西仁信房地产资产评估有限公司</w:t>
      </w:r>
    </w:p>
    <w:p w:rsidR="009B4E67" w:rsidRDefault="00AA46B4">
      <w:pPr>
        <w:spacing w:before="0" w:after="0" w:line="480" w:lineRule="auto"/>
        <w:ind w:left="2403" w:hangingChars="700" w:hanging="2403"/>
        <w:rPr>
          <w:rFonts w:ascii="楷体_GB2312" w:eastAsia="楷体_GB2312" w:hAnsi="宋体"/>
          <w:sz w:val="32"/>
          <w:szCs w:val="32"/>
        </w:rPr>
      </w:pPr>
      <w:r>
        <w:rPr>
          <w:rFonts w:ascii="楷体_GB2312" w:eastAsia="楷体_GB2312" w:hAnsi="宋体" w:cs="宋体" w:hint="eastAsia"/>
          <w:b/>
          <w:bCs/>
          <w:spacing w:val="11"/>
          <w:sz w:val="32"/>
          <w:szCs w:val="32"/>
        </w:rPr>
        <w:t>注册房地产估价</w:t>
      </w:r>
      <w:r>
        <w:rPr>
          <w:rFonts w:ascii="楷体_GB2312" w:eastAsia="楷体_GB2312" w:hAnsi="宋体" w:cs="宋体" w:hint="eastAsia"/>
          <w:b/>
          <w:bCs/>
          <w:sz w:val="32"/>
          <w:szCs w:val="32"/>
        </w:rPr>
        <w:t>师：</w:t>
      </w:r>
      <w:r>
        <w:rPr>
          <w:rFonts w:ascii="楷体_GB2312" w:eastAsia="楷体_GB2312" w:hAnsi="宋体" w:hint="eastAsia"/>
          <w:sz w:val="32"/>
          <w:szCs w:val="32"/>
        </w:rPr>
        <w:t>欧胜华（注册号：4320030081）</w:t>
      </w:r>
    </w:p>
    <w:p w:rsidR="009B4E67" w:rsidRDefault="00AA46B4">
      <w:pPr>
        <w:spacing w:before="0" w:after="0" w:line="480" w:lineRule="auto"/>
        <w:ind w:firstLineChars="950" w:firstLine="3040"/>
        <w:rPr>
          <w:rFonts w:ascii="楷体_GB2312" w:eastAsia="楷体_GB2312" w:hAnsi="宋体" w:cs="宋体"/>
          <w:b/>
          <w:sz w:val="32"/>
          <w:szCs w:val="32"/>
        </w:rPr>
      </w:pPr>
      <w:r>
        <w:rPr>
          <w:rFonts w:ascii="楷体_GB2312" w:eastAsia="楷体_GB2312" w:hAnsi="宋体" w:hint="eastAsia"/>
          <w:sz w:val="32"/>
          <w:szCs w:val="32"/>
        </w:rPr>
        <w:t>许  瑜（注册号：3620000070）</w:t>
      </w:r>
    </w:p>
    <w:p w:rsidR="009B4E67" w:rsidRDefault="00AA46B4">
      <w:pPr>
        <w:spacing w:before="0" w:after="0" w:line="480" w:lineRule="auto"/>
        <w:ind w:left="2403" w:hangingChars="700" w:hanging="2403"/>
        <w:rPr>
          <w:rFonts w:ascii="楷体_GB2312" w:eastAsia="楷体_GB2312" w:hAnsi="宋体"/>
          <w:sz w:val="32"/>
          <w:szCs w:val="32"/>
        </w:rPr>
      </w:pPr>
      <w:r>
        <w:rPr>
          <w:rFonts w:ascii="楷体_GB2312" w:eastAsia="楷体_GB2312" w:hAnsi="宋体" w:cs="宋体" w:hint="eastAsia"/>
          <w:b/>
          <w:bCs/>
          <w:spacing w:val="11"/>
          <w:sz w:val="32"/>
          <w:szCs w:val="32"/>
        </w:rPr>
        <w:t>估价报告出具日期：</w:t>
      </w:r>
      <w:r>
        <w:rPr>
          <w:rFonts w:ascii="楷体_GB2312" w:eastAsia="楷体_GB2312" w:hAnsi="宋体" w:hint="eastAsia"/>
          <w:sz w:val="32"/>
          <w:szCs w:val="32"/>
        </w:rPr>
        <w:t>二〇二二年十月十八日</w:t>
      </w:r>
    </w:p>
    <w:p w:rsidR="009B4E67" w:rsidRDefault="00AA46B4">
      <w:pPr>
        <w:spacing w:before="0" w:after="0" w:line="360" w:lineRule="auto"/>
        <w:jc w:val="center"/>
        <w:rPr>
          <w:rFonts w:ascii="楷体_GB2312" w:eastAsia="楷体_GB2312" w:hAnsi="楷体_GB2312" w:cs="楷体_GB2312"/>
          <w:b/>
          <w:color w:val="000000"/>
          <w:sz w:val="36"/>
          <w:szCs w:val="36"/>
          <w:lang w:val="zh-CN"/>
        </w:rPr>
      </w:pPr>
      <w:r>
        <w:rPr>
          <w:rFonts w:ascii="幼圆"/>
          <w:color w:val="000000"/>
        </w:rPr>
        <w:br w:type="page"/>
      </w:r>
      <w:r>
        <w:rPr>
          <w:rFonts w:ascii="楷体_GB2312" w:eastAsia="楷体_GB2312" w:hAnsi="楷体_GB2312" w:cs="楷体_GB2312" w:hint="eastAsia"/>
          <w:b/>
          <w:color w:val="000000"/>
          <w:sz w:val="36"/>
          <w:szCs w:val="36"/>
          <w:lang w:val="zh-CN"/>
        </w:rPr>
        <w:lastRenderedPageBreak/>
        <w:t>致估价委托人函</w:t>
      </w:r>
    </w:p>
    <w:p w:rsidR="009B4E67" w:rsidRDefault="00AA46B4">
      <w:pPr>
        <w:pStyle w:val="a8"/>
        <w:spacing w:before="0" w:after="0" w:line="360" w:lineRule="auto"/>
        <w:rPr>
          <w:rFonts w:ascii="仿宋_GB2312" w:eastAsia="仿宋_GB2312" w:hAnsi="仿宋_GB2312" w:cs="仿宋_GB2312"/>
          <w:color w:val="000000"/>
          <w:spacing w:val="0"/>
          <w:sz w:val="28"/>
          <w:szCs w:val="28"/>
        </w:rPr>
      </w:pPr>
      <w:r>
        <w:rPr>
          <w:rFonts w:ascii="仿宋_GB2312" w:eastAsia="仿宋_GB2312" w:hAnsi="仿宋_GB2312" w:cs="仿宋_GB2312" w:hint="eastAsia"/>
          <w:color w:val="000000"/>
          <w:spacing w:val="0"/>
          <w:sz w:val="28"/>
          <w:szCs w:val="28"/>
        </w:rPr>
        <w:t>赣州经济技术开发区人民法院：</w:t>
      </w:r>
    </w:p>
    <w:p w:rsidR="009B4E67" w:rsidRDefault="00AA46B4">
      <w:pPr>
        <w:widowControl/>
        <w:snapToGrid w:val="0"/>
        <w:spacing w:before="0" w:after="0"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承蒙委托，我公司对贵院执行申请人田仁凤与被执行人黄维腾、丁见娣、黄飞羽借款合同纠纷一案涉及赣州市云山路龙都商城G3185#店等共49套房地产的价格进行了估价，价值时点为2022年9月29日，估价对象房屋建筑面积合计为</w:t>
      </w:r>
      <w:r>
        <w:rPr>
          <w:rFonts w:ascii="仿宋_GB2312" w:eastAsia="仿宋_GB2312" w:hAnsi="仿宋_GB2312" w:cs="仿宋_GB2312" w:hint="eastAsia"/>
          <w:caps/>
          <w:sz w:val="28"/>
          <w:szCs w:val="28"/>
        </w:rPr>
        <w:t>1380.97</w:t>
      </w:r>
      <w:r>
        <w:rPr>
          <w:rFonts w:ascii="仿宋_GB2312" w:eastAsia="仿宋_GB2312" w:hAnsi="仿宋_GB2312" w:cs="仿宋_GB2312" w:hint="eastAsia"/>
          <w:sz w:val="28"/>
          <w:szCs w:val="28"/>
        </w:rPr>
        <w:t>平方米，估价目的是为人民法院确定财产处置参考价提供参考依据。</w:t>
      </w:r>
    </w:p>
    <w:p w:rsidR="009B4E67" w:rsidRDefault="00AA46B4">
      <w:pPr>
        <w:tabs>
          <w:tab w:val="left" w:pos="267"/>
        </w:tabs>
        <w:adjustRightInd w:val="0"/>
        <w:snapToGrid w:val="0"/>
        <w:spacing w:before="0" w:after="0" w:line="360" w:lineRule="auto"/>
        <w:ind w:firstLineChars="200" w:firstLine="560"/>
        <w:rPr>
          <w:rFonts w:ascii="仿宋_GB2312" w:eastAsia="仿宋_GB2312" w:hAnsi="仿宋_GB2312" w:cs="仿宋_GB2312"/>
          <w:snapToGrid w:val="0"/>
          <w:kern w:val="0"/>
          <w:sz w:val="28"/>
          <w:szCs w:val="20"/>
        </w:rPr>
      </w:pPr>
      <w:r>
        <w:rPr>
          <w:rFonts w:ascii="仿宋_GB2312" w:eastAsia="仿宋_GB2312" w:hAnsi="仿宋_GB2312" w:cs="仿宋_GB2312" w:hint="eastAsia"/>
          <w:snapToGrid w:val="0"/>
          <w:kern w:val="0"/>
          <w:sz w:val="28"/>
          <w:szCs w:val="20"/>
        </w:rPr>
        <w:t>经过实地查勘和市场调查，遵照《中华人民共和国城市房地产管理法》、《中华人民共和国资产评估法》、《房地产估价规范》、《房地产估价基本术语标准》及其他相关法规，遵循估价原则，按照估价程序，根据估价目的和贵方提供的相关资料，结合估价师的经验，选用比较法进行测算，在综合分析影响估价对象房地产价格因素的基础上测算出估价对象在价值时点2022年9月29日的房地产市场价值为</w:t>
      </w:r>
      <w:r>
        <w:rPr>
          <w:rFonts w:ascii="仿宋_GB2312" w:eastAsia="仿宋_GB2312" w:hAnsi="仿宋_GB2312" w:cs="仿宋_GB2312" w:hint="eastAsia"/>
          <w:b/>
          <w:bCs/>
          <w:snapToGrid w:val="0"/>
          <w:kern w:val="0"/>
          <w:sz w:val="28"/>
          <w:szCs w:val="20"/>
        </w:rPr>
        <w:t>511.33</w:t>
      </w:r>
      <w:r>
        <w:rPr>
          <w:rFonts w:ascii="仿宋_GB2312" w:eastAsia="仿宋_GB2312" w:hAnsi="仿宋_GB2312" w:cs="仿宋_GB2312" w:hint="eastAsia"/>
          <w:snapToGrid w:val="0"/>
          <w:kern w:val="0"/>
          <w:sz w:val="28"/>
          <w:szCs w:val="20"/>
        </w:rPr>
        <w:t>万元，人民币大写：</w:t>
      </w:r>
      <w:r>
        <w:rPr>
          <w:rFonts w:ascii="仿宋_GB2312" w:eastAsia="仿宋_GB2312" w:hAnsi="仿宋_GB2312" w:cs="仿宋_GB2312" w:hint="eastAsia"/>
          <w:b/>
          <w:bCs/>
          <w:sz w:val="28"/>
          <w:szCs w:val="28"/>
        </w:rPr>
        <w:t>伍佰壹拾壹万叁仟叁佰</w:t>
      </w:r>
      <w:r>
        <w:rPr>
          <w:rFonts w:ascii="仿宋_GB2312" w:eastAsia="仿宋_GB2312" w:hAnsi="仿宋_GB2312" w:cs="仿宋_GB2312" w:hint="eastAsia"/>
          <w:sz w:val="28"/>
          <w:szCs w:val="28"/>
        </w:rPr>
        <w:t>元整</w:t>
      </w:r>
      <w:r>
        <w:rPr>
          <w:rFonts w:ascii="仿宋_GB2312" w:eastAsia="仿宋_GB2312" w:hAnsi="仿宋_GB2312" w:cs="仿宋_GB2312" w:hint="eastAsia"/>
          <w:snapToGrid w:val="0"/>
          <w:kern w:val="0"/>
          <w:sz w:val="28"/>
          <w:szCs w:val="20"/>
        </w:rPr>
        <w:t>，</w:t>
      </w:r>
      <w:r>
        <w:rPr>
          <w:rFonts w:ascii="仿宋_GB2312" w:eastAsia="仿宋_GB2312" w:hAnsi="宋体" w:hint="eastAsia"/>
          <w:sz w:val="28"/>
        </w:rPr>
        <w:t>具体详见《评估结果明细表》</w:t>
      </w:r>
      <w:r>
        <w:rPr>
          <w:rFonts w:ascii="仿宋_GB2312" w:eastAsia="仿宋_GB2312" w:hAnsi="仿宋_GB2312" w:cs="仿宋_GB2312" w:hint="eastAsia"/>
          <w:snapToGrid w:val="0"/>
          <w:kern w:val="0"/>
          <w:sz w:val="28"/>
          <w:szCs w:val="20"/>
        </w:rPr>
        <w:t>。</w:t>
      </w:r>
    </w:p>
    <w:p w:rsidR="009B4E67" w:rsidRDefault="00AA46B4">
      <w:pPr>
        <w:spacing w:before="0" w:after="0" w:line="520" w:lineRule="exact"/>
        <w:jc w:val="center"/>
        <w:rPr>
          <w:rFonts w:ascii="仿宋_GB2312" w:eastAsia="仿宋_GB2312"/>
          <w:b/>
          <w:sz w:val="28"/>
          <w:szCs w:val="28"/>
        </w:rPr>
      </w:pPr>
      <w:r>
        <w:rPr>
          <w:rFonts w:ascii="仿宋_GB2312" w:eastAsia="仿宋_GB2312" w:hint="eastAsia"/>
          <w:b/>
          <w:sz w:val="28"/>
          <w:szCs w:val="28"/>
        </w:rPr>
        <w:t>评估结果明细表</w:t>
      </w:r>
    </w:p>
    <w:tbl>
      <w:tblPr>
        <w:tblW w:w="9386" w:type="dxa"/>
        <w:jc w:val="center"/>
        <w:tblLayout w:type="fixed"/>
        <w:tblLook w:val="04A0" w:firstRow="1" w:lastRow="0" w:firstColumn="1" w:lastColumn="0" w:noHBand="0" w:noVBand="1"/>
      </w:tblPr>
      <w:tblGrid>
        <w:gridCol w:w="740"/>
        <w:gridCol w:w="1532"/>
        <w:gridCol w:w="1131"/>
        <w:gridCol w:w="1988"/>
        <w:gridCol w:w="755"/>
        <w:gridCol w:w="1130"/>
        <w:gridCol w:w="985"/>
        <w:gridCol w:w="1125"/>
      </w:tblGrid>
      <w:tr w:rsidR="009B4E67">
        <w:trPr>
          <w:trHeight w:val="57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序号</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权证号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产权人</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坐落</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所在层</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面积(㎡)</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单价（元/㎡）</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总价</w:t>
            </w:r>
          </w:p>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（万元）</w:t>
            </w:r>
          </w:p>
        </w:tc>
      </w:tr>
      <w:tr w:rsidR="009B4E67">
        <w:trPr>
          <w:trHeight w:val="57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00003627</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黄维腾</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云山路龙都商城G3185#店</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41.85</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4100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17.16</w:t>
            </w:r>
          </w:p>
        </w:tc>
      </w:tr>
      <w:tr w:rsidR="009B4E67">
        <w:trPr>
          <w:trHeight w:val="57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00003650</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黄维腾</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赣州市云山路龙都商城F3152店</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42.56</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4100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17.45</w:t>
            </w:r>
          </w:p>
        </w:tc>
      </w:tr>
      <w:tr w:rsidR="009B4E67">
        <w:trPr>
          <w:trHeight w:val="57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00003665</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黄维腾</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赣州市云山路龙都商城F3163店</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42.56</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4100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17.45</w:t>
            </w:r>
          </w:p>
        </w:tc>
      </w:tr>
      <w:tr w:rsidR="009B4E67">
        <w:trPr>
          <w:trHeight w:val="57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00073388</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黄维腾</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云山路6号龙都商城附27#店</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28.61</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10100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28.9</w:t>
            </w:r>
          </w:p>
        </w:tc>
      </w:tr>
      <w:tr w:rsidR="009B4E67">
        <w:trPr>
          <w:trHeight w:val="57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00073386</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黄维腾</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云山路6号龙都商城附2#店</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46.81</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10100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47.28</w:t>
            </w:r>
          </w:p>
        </w:tc>
      </w:tr>
      <w:tr w:rsidR="009B4E67">
        <w:trPr>
          <w:trHeight w:val="57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00073387</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黄维腾</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云山路6号龙都商城附6#店</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31.62</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10100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31.94</w:t>
            </w:r>
          </w:p>
        </w:tc>
      </w:tr>
      <w:tr w:rsidR="009B4E67">
        <w:trPr>
          <w:trHeight w:val="114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7</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赣（2016）赣州市不动产权第0054891号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赣州经济技术开发区金东路13号隐龙山庄北区负一层停车场76A#车位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25.98</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7.79</w:t>
            </w:r>
          </w:p>
        </w:tc>
      </w:tr>
      <w:tr w:rsidR="009B4E67">
        <w:trPr>
          <w:trHeight w:val="114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赣（2016）赣州市不动产权第0054915号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赣州经济技术开发区金东路13号隐龙山庄北区负一层停车场141#车位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26</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7.8</w:t>
            </w:r>
          </w:p>
        </w:tc>
      </w:tr>
      <w:tr w:rsidR="009B4E67">
        <w:trPr>
          <w:trHeight w:val="114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赣（2016）赣州市不动产权第0046122号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赣州经济技术开发区金东路13号隐龙山庄北区负一层停车场46A#车位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27.06</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8.12</w:t>
            </w:r>
          </w:p>
        </w:tc>
      </w:tr>
      <w:tr w:rsidR="009B4E67">
        <w:trPr>
          <w:trHeight w:val="114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赣（2016）赣州市不动产权第0046120号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赣州经济技术开发区金东路13号隐龙山庄北区负一层停车场6#车位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25.47</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7.64</w:t>
            </w:r>
          </w:p>
        </w:tc>
      </w:tr>
      <w:tr w:rsidR="009B4E67">
        <w:trPr>
          <w:trHeight w:val="114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赣（2016）赣州市不动产权第0046121号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赣州经济技术开发区金东路13号隐龙山庄北区负一层停车场43#车位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32.29</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9.69</w:t>
            </w:r>
          </w:p>
        </w:tc>
      </w:tr>
      <w:tr w:rsidR="009B4E67">
        <w:trPr>
          <w:trHeight w:val="114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赣（2016）赣州市不动产权第0054913号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赣州经济技术开发区金东路13号隐龙山庄北区负一层停车场138#车位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26.53</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7.96</w:t>
            </w:r>
          </w:p>
        </w:tc>
      </w:tr>
      <w:tr w:rsidR="009B4E67">
        <w:trPr>
          <w:trHeight w:val="114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赣（2016）赣州市不动产权第0054896号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赣州经济技术开发区金东路13号隐龙山庄北区负一层停车场66A#车位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27.06</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8.12</w:t>
            </w:r>
          </w:p>
        </w:tc>
      </w:tr>
      <w:tr w:rsidR="009B4E67">
        <w:trPr>
          <w:trHeight w:val="114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赣（2016）赣州市不动产权第0054914号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赣州经济技术开发区金东路13号隐龙山庄北区负一层停车场122#车位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26.53</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7.96</w:t>
            </w:r>
          </w:p>
        </w:tc>
      </w:tr>
      <w:tr w:rsidR="009B4E67">
        <w:trPr>
          <w:trHeight w:val="114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15</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赣（2016）赣州市不动产权第0046114号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赣州经济技术开发区金东路13号隐龙山庄北区负一层停车场33A#车位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28.57</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8.57</w:t>
            </w:r>
          </w:p>
        </w:tc>
      </w:tr>
      <w:tr w:rsidR="009B4E67">
        <w:trPr>
          <w:trHeight w:val="114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赣（2016）赣州市不动产权第0046116号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赣州经济技术开发区金东路13号隐龙山庄北区负一层停车场23A#车位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25.98</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7.79</w:t>
            </w:r>
          </w:p>
        </w:tc>
      </w:tr>
      <w:tr w:rsidR="009B4E67">
        <w:trPr>
          <w:trHeight w:val="114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赣（2016）赣州市不动产权第0052819号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赣州经济技术开发区金东路13号隐龙山庄北区负一层停车场108#车位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26.51</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7.95</w:t>
            </w:r>
          </w:p>
        </w:tc>
      </w:tr>
      <w:tr w:rsidR="009B4E67">
        <w:trPr>
          <w:trHeight w:val="114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赣（2016）赣州市不动产权第0054917号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赣州经济技术开发区金东路13号隐龙山庄北区负一层停车场145#车位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26.53</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7.96</w:t>
            </w:r>
          </w:p>
        </w:tc>
      </w:tr>
      <w:tr w:rsidR="009B4E67">
        <w:trPr>
          <w:trHeight w:val="114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19</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赣（2016）赣州市不动产权第0054906号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赣州经济技术开发区金东路13号隐龙山庄北区负一层停车场50#车位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26.49</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7.95</w:t>
            </w:r>
          </w:p>
        </w:tc>
      </w:tr>
      <w:tr w:rsidR="009B4E67">
        <w:trPr>
          <w:trHeight w:val="114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赣（2016）赣州市不动产权第0054890号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赣州经济技术开发区金东路13号隐龙山庄北区负一层停车场80#车位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27.06</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8.12</w:t>
            </w:r>
          </w:p>
        </w:tc>
      </w:tr>
      <w:tr w:rsidR="009B4E67">
        <w:trPr>
          <w:trHeight w:val="114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21</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赣（2016）赣州市不动产权第0054893号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赣州经济技术开发区金东路13号隐龙山庄北区负一层停车场73#车位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24.9</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7.47</w:t>
            </w:r>
          </w:p>
        </w:tc>
      </w:tr>
      <w:tr w:rsidR="009B4E67">
        <w:trPr>
          <w:trHeight w:val="114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22</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赣（2016）赣州市不动产权第0052820号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赣州经济技术开发区金东路13号隐龙山庄北区负一层停车场103A#车位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26.51</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7.95</w:t>
            </w:r>
          </w:p>
        </w:tc>
      </w:tr>
      <w:tr w:rsidR="009B4E67">
        <w:trPr>
          <w:trHeight w:val="114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23</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赣（2016）赣州市不动产权第0054909号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赣州经济技术开发区金东路13号隐龙山庄北区负一层停车场129#车位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26</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7.8</w:t>
            </w:r>
          </w:p>
        </w:tc>
      </w:tr>
      <w:tr w:rsidR="009B4E67">
        <w:trPr>
          <w:trHeight w:val="114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24</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赣（2016）赣州市不动产权第0057340号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赣州经济技术开发区金东路13号隐龙山庄北区负一层停车场116#车位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28.02</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8.41</w:t>
            </w:r>
          </w:p>
        </w:tc>
      </w:tr>
      <w:tr w:rsidR="009B4E67">
        <w:trPr>
          <w:trHeight w:val="114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25</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赣（2016）赣州市不动产权第0046108号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赣州经济技术开发区金东路13号隐龙山庄北区负一层停车场41#车位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30.42</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9.13</w:t>
            </w:r>
          </w:p>
        </w:tc>
      </w:tr>
      <w:tr w:rsidR="009B4E67">
        <w:trPr>
          <w:trHeight w:val="114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26</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赣（2016）赣州市不动产权第0046113号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赣州经济技术开发区金东路13号隐龙山庄北区负一层停车场35#车位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29.8</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8.94</w:t>
            </w:r>
          </w:p>
        </w:tc>
      </w:tr>
      <w:tr w:rsidR="009B4E67">
        <w:trPr>
          <w:trHeight w:val="114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27</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赣（2016）赣州市不动产权第0046106号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赣州经济技术开发区金东路13号隐龙山庄北区负一层停车场3#车位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24.45</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7.34</w:t>
            </w:r>
          </w:p>
        </w:tc>
      </w:tr>
      <w:tr w:rsidR="009B4E67">
        <w:trPr>
          <w:trHeight w:val="114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28</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赣（2016）赣州市不动产权第0052815号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赣州经济技术开发区金东路13号隐龙山庄北区负一层停车场116A#车位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28.02</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8.41</w:t>
            </w:r>
          </w:p>
        </w:tc>
      </w:tr>
      <w:tr w:rsidR="009B4E67">
        <w:trPr>
          <w:trHeight w:val="114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29</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赣（2016）赣州市不动产权第0046112号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赣州经济技术开发区金东路13号隐龙山庄北区负一层停车场36A#车位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29.8</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8.94</w:t>
            </w:r>
          </w:p>
        </w:tc>
      </w:tr>
      <w:tr w:rsidR="009B4E67">
        <w:trPr>
          <w:trHeight w:val="114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赣（2016）赣州市不动产权第0054912号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赣州经济技术开发区金东路13号隐龙山庄北区负一层停车场136#车位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26.53</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7.96</w:t>
            </w:r>
          </w:p>
        </w:tc>
      </w:tr>
      <w:tr w:rsidR="009B4E67">
        <w:trPr>
          <w:trHeight w:val="114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31</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赣（2016）赣州市不动产权第0052824号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赣州经济技术开发区金东路13号隐龙山庄北区负一层停车场86A#车位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25.98</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7.79</w:t>
            </w:r>
          </w:p>
        </w:tc>
      </w:tr>
      <w:tr w:rsidR="009B4E67">
        <w:trPr>
          <w:trHeight w:val="114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32</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赣（2016）赣州市不动产权第0054902号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赣州经济技术开发区金东路13号隐龙山庄北区负一层停车场61#车位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25.43</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7.63</w:t>
            </w:r>
          </w:p>
        </w:tc>
      </w:tr>
      <w:tr w:rsidR="009B4E67">
        <w:trPr>
          <w:trHeight w:val="114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33</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赣（2016）赣州市不动产权第0054911号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赣州经济技术开发区金东路13号隐龙山庄北区负一层停车场133A#车位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26.53</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7.96</w:t>
            </w:r>
          </w:p>
        </w:tc>
      </w:tr>
      <w:tr w:rsidR="009B4E67">
        <w:trPr>
          <w:trHeight w:val="114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34</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赣（2016）赣州市不动产权第0054910号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赣州经济技术开发区金东路13号隐龙山庄北区负一层停车场131#车位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26</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7.8</w:t>
            </w:r>
          </w:p>
        </w:tc>
      </w:tr>
      <w:tr w:rsidR="009B4E67">
        <w:trPr>
          <w:trHeight w:val="114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35</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赣（2016）赣州市不动产权第0052818号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赣州经济技术开发区金东路13号隐龙山庄北区负一层停车场110#车位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26.51</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7.95</w:t>
            </w:r>
          </w:p>
        </w:tc>
      </w:tr>
      <w:tr w:rsidR="009B4E67">
        <w:trPr>
          <w:trHeight w:val="114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36</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赣（2016）赣州市不动产权第0052823号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赣州经济技术开发区金东路13号隐龙山庄北区负一层停车场90#车位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25.98</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7.79</w:t>
            </w:r>
          </w:p>
        </w:tc>
      </w:tr>
      <w:tr w:rsidR="009B4E67">
        <w:trPr>
          <w:trHeight w:val="1140"/>
          <w:jc w:val="center"/>
        </w:trPr>
        <w:tc>
          <w:tcPr>
            <w:tcW w:w="740" w:type="dxa"/>
            <w:tcBorders>
              <w:top w:val="single" w:sz="4" w:space="0" w:color="000000"/>
              <w:left w:val="single" w:sz="4" w:space="0" w:color="000000"/>
              <w:bottom w:val="single" w:sz="4" w:space="0" w:color="000000"/>
              <w:right w:val="nil"/>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37</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赣（2016）赣州市不动产权第0046107号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赣州经济技术开发区金东路13号隐龙山庄北区负一层停车场13#车位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26.49</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7.95</w:t>
            </w:r>
          </w:p>
        </w:tc>
      </w:tr>
      <w:tr w:rsidR="009B4E67">
        <w:trPr>
          <w:trHeight w:val="1140"/>
          <w:jc w:val="center"/>
        </w:trPr>
        <w:tc>
          <w:tcPr>
            <w:tcW w:w="740" w:type="dxa"/>
            <w:tcBorders>
              <w:top w:val="single" w:sz="4" w:space="0" w:color="000000"/>
              <w:left w:val="single" w:sz="4" w:space="0" w:color="000000"/>
              <w:bottom w:val="single" w:sz="4" w:space="0" w:color="000000"/>
              <w:right w:val="nil"/>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38</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赣（2016）赣州市不动产权第0054900号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赣州经济技术开发区金东路13号隐龙山庄北区负一层停车场63#车位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27.06</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8.12</w:t>
            </w:r>
          </w:p>
        </w:tc>
      </w:tr>
      <w:tr w:rsidR="009B4E67">
        <w:trPr>
          <w:trHeight w:val="1140"/>
          <w:jc w:val="center"/>
        </w:trPr>
        <w:tc>
          <w:tcPr>
            <w:tcW w:w="740" w:type="dxa"/>
            <w:tcBorders>
              <w:top w:val="single" w:sz="4" w:space="0" w:color="000000"/>
              <w:left w:val="single" w:sz="4" w:space="0" w:color="000000"/>
              <w:bottom w:val="single" w:sz="4" w:space="0" w:color="000000"/>
              <w:right w:val="nil"/>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39</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赣（2016）赣州市不动产权第0052821号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赣州经济技术开发区金东路13号隐龙山庄北区负一层停车场96#车位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27.06</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8.12</w:t>
            </w:r>
          </w:p>
        </w:tc>
      </w:tr>
      <w:tr w:rsidR="009B4E67">
        <w:trPr>
          <w:trHeight w:val="1140"/>
          <w:jc w:val="center"/>
        </w:trPr>
        <w:tc>
          <w:tcPr>
            <w:tcW w:w="740" w:type="dxa"/>
            <w:tcBorders>
              <w:top w:val="single" w:sz="4" w:space="0" w:color="000000"/>
              <w:left w:val="single" w:sz="4" w:space="0" w:color="000000"/>
              <w:bottom w:val="single" w:sz="4" w:space="0" w:color="000000"/>
              <w:right w:val="nil"/>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40</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赣（2016）赣州市不动产权第0052816号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赣州经济技术开发区金东路13号隐龙山庄北区负一层停车场113A#车位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28.02</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8.41</w:t>
            </w:r>
          </w:p>
        </w:tc>
      </w:tr>
      <w:tr w:rsidR="009B4E67">
        <w:trPr>
          <w:trHeight w:val="1140"/>
          <w:jc w:val="center"/>
        </w:trPr>
        <w:tc>
          <w:tcPr>
            <w:tcW w:w="740" w:type="dxa"/>
            <w:tcBorders>
              <w:top w:val="single" w:sz="4" w:space="0" w:color="000000"/>
              <w:left w:val="single" w:sz="4" w:space="0" w:color="000000"/>
              <w:bottom w:val="single" w:sz="4" w:space="0" w:color="000000"/>
              <w:right w:val="nil"/>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41</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赣（2016）赣州市不动产权第0054903号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赣州经济技术开发区金东路13号隐龙山庄北区负一层停车场52#车位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27.59</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8.28</w:t>
            </w:r>
          </w:p>
        </w:tc>
      </w:tr>
      <w:tr w:rsidR="009B4E67">
        <w:trPr>
          <w:trHeight w:val="1140"/>
          <w:jc w:val="center"/>
        </w:trPr>
        <w:tc>
          <w:tcPr>
            <w:tcW w:w="740" w:type="dxa"/>
            <w:tcBorders>
              <w:top w:val="single" w:sz="4" w:space="0" w:color="000000"/>
              <w:left w:val="single" w:sz="4" w:space="0" w:color="000000"/>
              <w:bottom w:val="single" w:sz="4" w:space="0" w:color="000000"/>
              <w:right w:val="nil"/>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42</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赣（2016）赣州市不动产权第0046105号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赣州经济技术开发区金东路13号隐龙山庄北区负一层停车场1#车位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24.45</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7.34</w:t>
            </w:r>
          </w:p>
        </w:tc>
      </w:tr>
      <w:tr w:rsidR="009B4E67">
        <w:trPr>
          <w:trHeight w:val="1140"/>
          <w:jc w:val="center"/>
        </w:trPr>
        <w:tc>
          <w:tcPr>
            <w:tcW w:w="740" w:type="dxa"/>
            <w:tcBorders>
              <w:top w:val="single" w:sz="4" w:space="0" w:color="000000"/>
              <w:left w:val="single" w:sz="4" w:space="0" w:color="000000"/>
              <w:bottom w:val="single" w:sz="4" w:space="0" w:color="000000"/>
              <w:right w:val="nil"/>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43</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赣（2016）赣州市不动产权第0054908号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赣州经济技术开发区金东路13号隐龙山庄北区负一层停车场119#车位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25.47</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7.64</w:t>
            </w:r>
          </w:p>
        </w:tc>
      </w:tr>
      <w:tr w:rsidR="009B4E67">
        <w:trPr>
          <w:trHeight w:val="1140"/>
          <w:jc w:val="center"/>
        </w:trPr>
        <w:tc>
          <w:tcPr>
            <w:tcW w:w="740" w:type="dxa"/>
            <w:tcBorders>
              <w:top w:val="single" w:sz="4" w:space="0" w:color="000000"/>
              <w:left w:val="single" w:sz="4" w:space="0" w:color="000000"/>
              <w:bottom w:val="single" w:sz="4" w:space="0" w:color="000000"/>
              <w:right w:val="nil"/>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44</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赣（2016）赣州市不动产权第0052822号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赣州经济技术开发区金东路13号隐龙山庄北区负一层停车场93#车位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25.98</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7.79</w:t>
            </w:r>
          </w:p>
        </w:tc>
      </w:tr>
      <w:tr w:rsidR="009B4E67">
        <w:trPr>
          <w:trHeight w:val="1140"/>
          <w:jc w:val="center"/>
        </w:trPr>
        <w:tc>
          <w:tcPr>
            <w:tcW w:w="740" w:type="dxa"/>
            <w:tcBorders>
              <w:top w:val="single" w:sz="4" w:space="0" w:color="000000"/>
              <w:left w:val="single" w:sz="4" w:space="0" w:color="000000"/>
              <w:bottom w:val="single" w:sz="4" w:space="0" w:color="000000"/>
              <w:right w:val="nil"/>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45</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赣（2016）赣州市不动产权第0046118号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赣州经济技术开发区金东路13号隐龙山庄北区负一层停车场16A#车位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25.98</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7.79</w:t>
            </w:r>
          </w:p>
        </w:tc>
      </w:tr>
      <w:tr w:rsidR="009B4E67">
        <w:trPr>
          <w:trHeight w:val="1140"/>
          <w:jc w:val="center"/>
        </w:trPr>
        <w:tc>
          <w:tcPr>
            <w:tcW w:w="740" w:type="dxa"/>
            <w:tcBorders>
              <w:top w:val="single" w:sz="4" w:space="0" w:color="000000"/>
              <w:left w:val="single" w:sz="4" w:space="0" w:color="000000"/>
              <w:bottom w:val="single" w:sz="4" w:space="0" w:color="000000"/>
              <w:right w:val="nil"/>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46</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赣（2016）赣州市不动产权第0052817号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赣州经济技术开发区金东路13号隐龙山庄北区负一层停车场111#车位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27.06</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8.12</w:t>
            </w:r>
          </w:p>
        </w:tc>
      </w:tr>
      <w:tr w:rsidR="009B4E67">
        <w:trPr>
          <w:trHeight w:val="1140"/>
          <w:jc w:val="center"/>
        </w:trPr>
        <w:tc>
          <w:tcPr>
            <w:tcW w:w="740" w:type="dxa"/>
            <w:tcBorders>
              <w:top w:val="single" w:sz="4" w:space="0" w:color="000000"/>
              <w:left w:val="single" w:sz="4" w:space="0" w:color="000000"/>
              <w:bottom w:val="single" w:sz="4" w:space="0" w:color="000000"/>
              <w:right w:val="nil"/>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47</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赣（2016）赣州市不动产权第0054889号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赣州经济技术开发区金东路13号隐龙山庄北区负一层停车场82#车位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27.06</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8.12</w:t>
            </w:r>
          </w:p>
        </w:tc>
      </w:tr>
      <w:tr w:rsidR="009B4E67">
        <w:trPr>
          <w:trHeight w:val="1140"/>
          <w:jc w:val="center"/>
        </w:trPr>
        <w:tc>
          <w:tcPr>
            <w:tcW w:w="740" w:type="dxa"/>
            <w:tcBorders>
              <w:top w:val="single" w:sz="4" w:space="0" w:color="000000"/>
              <w:left w:val="single" w:sz="4" w:space="0" w:color="000000"/>
              <w:bottom w:val="single" w:sz="4" w:space="0" w:color="000000"/>
              <w:right w:val="nil"/>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48</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赣（2016）赣州市不动产权第0046115号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赣州经济技术开发区金东路13号隐龙山庄北区负一层停车场31#车位</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29.8</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8.94</w:t>
            </w:r>
          </w:p>
        </w:tc>
      </w:tr>
      <w:tr w:rsidR="009B4E67">
        <w:trPr>
          <w:trHeight w:val="1140"/>
          <w:jc w:val="center"/>
        </w:trPr>
        <w:tc>
          <w:tcPr>
            <w:tcW w:w="740" w:type="dxa"/>
            <w:tcBorders>
              <w:top w:val="single" w:sz="4" w:space="0" w:color="000000"/>
              <w:left w:val="single" w:sz="4" w:space="0" w:color="000000"/>
              <w:bottom w:val="single" w:sz="4" w:space="0" w:color="000000"/>
              <w:right w:val="nil"/>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49</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赣（2016）赣州市不动产权第0009928号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黄飞羽</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赣州经济技术开发区金东北路西侧隐龙山庄9栋32号车库</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7400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11.84</w:t>
            </w:r>
          </w:p>
        </w:tc>
      </w:tr>
      <w:tr w:rsidR="009B4E67">
        <w:trPr>
          <w:trHeight w:val="285"/>
          <w:jc w:val="center"/>
        </w:trPr>
        <w:tc>
          <w:tcPr>
            <w:tcW w:w="61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合计</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1380.97</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67" w:rsidRDefault="00AA46B4">
            <w:pPr>
              <w:widowControl/>
              <w:spacing w:before="0" w:after="0" w:line="240" w:lineRule="auto"/>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511.33</w:t>
            </w:r>
          </w:p>
        </w:tc>
      </w:tr>
    </w:tbl>
    <w:p w:rsidR="009B4E67" w:rsidRDefault="00AA46B4">
      <w:pPr>
        <w:spacing w:before="0" w:after="0" w:line="360" w:lineRule="auto"/>
        <w:ind w:firstLineChars="200" w:firstLine="422"/>
        <w:rPr>
          <w:rFonts w:ascii="仿宋_GB2312" w:eastAsia="仿宋_GB2312"/>
          <w:color w:val="000000"/>
          <w:kern w:val="0"/>
          <w:szCs w:val="21"/>
          <w:lang w:bidi="ar"/>
        </w:rPr>
      </w:pPr>
      <w:r>
        <w:rPr>
          <w:rFonts w:ascii="仿宋_GB2312" w:eastAsia="仿宋_GB2312" w:hint="eastAsia"/>
          <w:b/>
          <w:bCs/>
          <w:color w:val="000000"/>
          <w:kern w:val="0"/>
          <w:szCs w:val="21"/>
          <w:lang w:bidi="ar"/>
        </w:rPr>
        <w:t>特别提示</w:t>
      </w:r>
      <w:r>
        <w:rPr>
          <w:rFonts w:ascii="仿宋_GB2312" w:eastAsia="仿宋_GB2312" w:hint="eastAsia"/>
          <w:color w:val="000000"/>
          <w:kern w:val="0"/>
          <w:szCs w:val="21"/>
          <w:lang w:bidi="ar"/>
        </w:rPr>
        <w:t xml:space="preserve">： </w:t>
      </w:r>
    </w:p>
    <w:p w:rsidR="009B4E67" w:rsidRDefault="00AA46B4">
      <w:pPr>
        <w:widowControl/>
        <w:spacing w:before="0" w:after="0" w:line="360" w:lineRule="auto"/>
        <w:ind w:leftChars="200" w:left="420" w:firstLineChars="200" w:firstLine="420"/>
        <w:jc w:val="left"/>
        <w:textAlignment w:val="center"/>
        <w:rPr>
          <w:rFonts w:ascii="仿宋_GB2312" w:eastAsia="仿宋_GB2312"/>
          <w:color w:val="000000"/>
          <w:kern w:val="0"/>
          <w:szCs w:val="21"/>
          <w:lang w:bidi="ar"/>
        </w:rPr>
      </w:pPr>
      <w:r>
        <w:rPr>
          <w:rFonts w:ascii="仿宋_GB2312" w:eastAsia="仿宋_GB2312" w:hint="eastAsia"/>
          <w:color w:val="000000"/>
          <w:kern w:val="0"/>
          <w:szCs w:val="21"/>
          <w:lang w:bidi="ar"/>
        </w:rPr>
        <w:t>1.本报告仅限于估价委托人执行申请人田仁凤与被执行人黄维腾、丁见娣、黄飞羽借款合同纠纷一案使用，不作他用。</w:t>
      </w:r>
    </w:p>
    <w:p w:rsidR="009B4E67" w:rsidRDefault="00AA46B4">
      <w:pPr>
        <w:widowControl/>
        <w:spacing w:before="0" w:after="0" w:line="360" w:lineRule="auto"/>
        <w:ind w:leftChars="200" w:left="420" w:firstLineChars="200" w:firstLine="420"/>
        <w:jc w:val="left"/>
        <w:textAlignment w:val="center"/>
        <w:rPr>
          <w:rFonts w:ascii="仿宋_GB2312" w:eastAsia="仿宋_GB2312"/>
          <w:color w:val="000000"/>
          <w:kern w:val="0"/>
          <w:szCs w:val="21"/>
          <w:lang w:bidi="ar"/>
        </w:rPr>
      </w:pPr>
      <w:r>
        <w:rPr>
          <w:rFonts w:ascii="仿宋_GB2312" w:eastAsia="仿宋_GB2312" w:hint="eastAsia"/>
          <w:color w:val="000000"/>
          <w:kern w:val="0"/>
          <w:szCs w:val="21"/>
          <w:lang w:bidi="ar"/>
        </w:rPr>
        <w:t>2.本估价报告的全文为一个不可分割的整体，报告使用者请详细查阅本报告的估价师声明、估价的假设与限制条件、房地产估价结果报告，以对本报告有一个全面正确的了解。</w:t>
      </w:r>
    </w:p>
    <w:p w:rsidR="009B4E67" w:rsidRDefault="00AA46B4">
      <w:pPr>
        <w:widowControl/>
        <w:spacing w:before="0" w:after="0" w:line="360" w:lineRule="auto"/>
        <w:ind w:leftChars="200" w:left="420" w:firstLineChars="200" w:firstLine="420"/>
        <w:jc w:val="left"/>
        <w:textAlignment w:val="center"/>
        <w:rPr>
          <w:rFonts w:ascii="仿宋_GB2312" w:eastAsia="仿宋_GB2312"/>
          <w:color w:val="000000"/>
          <w:kern w:val="0"/>
          <w:szCs w:val="21"/>
          <w:lang w:bidi="ar"/>
        </w:rPr>
      </w:pPr>
      <w:r>
        <w:rPr>
          <w:rFonts w:ascii="仿宋_GB2312" w:eastAsia="仿宋_GB2312" w:hint="eastAsia"/>
          <w:color w:val="000000"/>
          <w:kern w:val="0"/>
          <w:szCs w:val="21"/>
          <w:lang w:bidi="ar"/>
        </w:rPr>
        <w:t>3.估价对象未提供不动产权证书，本次估价对象面积等信息以委托方提供的《不动产登记信息查询结果》为准。</w:t>
      </w:r>
    </w:p>
    <w:p w:rsidR="009B4E67" w:rsidRDefault="00AA46B4">
      <w:pPr>
        <w:widowControl/>
        <w:spacing w:before="0" w:after="0" w:line="360" w:lineRule="auto"/>
        <w:ind w:leftChars="200" w:left="420" w:firstLineChars="200" w:firstLine="420"/>
        <w:jc w:val="left"/>
        <w:textAlignment w:val="center"/>
        <w:rPr>
          <w:rFonts w:ascii="仿宋_GB2312" w:eastAsia="仿宋_GB2312"/>
          <w:color w:val="000000"/>
          <w:kern w:val="0"/>
          <w:szCs w:val="21"/>
          <w:lang w:bidi="ar"/>
        </w:rPr>
      </w:pPr>
      <w:r>
        <w:rPr>
          <w:rFonts w:ascii="仿宋_GB2312" w:eastAsia="仿宋_GB2312" w:hint="eastAsia"/>
          <w:color w:val="000000"/>
          <w:kern w:val="0"/>
          <w:szCs w:val="21"/>
          <w:lang w:bidi="ar"/>
        </w:rPr>
        <w:t>4、估价结果未扣除处置时应缴纳的评估费、拍卖费、诉讼费、律师费等财产处置费用。</w:t>
      </w:r>
    </w:p>
    <w:p w:rsidR="009B4E67" w:rsidRDefault="00AA46B4">
      <w:pPr>
        <w:widowControl/>
        <w:spacing w:before="0" w:after="0" w:line="360" w:lineRule="auto"/>
        <w:ind w:leftChars="200" w:left="420" w:firstLineChars="200" w:firstLine="420"/>
        <w:jc w:val="left"/>
        <w:textAlignment w:val="center"/>
        <w:rPr>
          <w:rFonts w:ascii="仿宋_GB2312" w:eastAsia="仿宋_GB2312"/>
          <w:color w:val="000000"/>
          <w:kern w:val="0"/>
          <w:szCs w:val="21"/>
          <w:lang w:bidi="ar"/>
        </w:rPr>
      </w:pPr>
      <w:r>
        <w:rPr>
          <w:rFonts w:ascii="仿宋_GB2312" w:eastAsia="仿宋_GB2312" w:hint="eastAsia"/>
          <w:color w:val="000000"/>
          <w:kern w:val="0"/>
          <w:szCs w:val="21"/>
          <w:lang w:bidi="ar"/>
        </w:rPr>
        <w:t>5、评估结果明细表中关于楼层、用途、结构等信息为估价人员根据现场勘察时确认，如与实际不符，评估报告应作相应调整。</w:t>
      </w:r>
    </w:p>
    <w:p w:rsidR="009B4E67" w:rsidRDefault="009B4E67">
      <w:pPr>
        <w:pStyle w:val="a0"/>
      </w:pPr>
    </w:p>
    <w:p w:rsidR="009B4E67" w:rsidRDefault="00AA46B4">
      <w:pPr>
        <w:spacing w:before="0" w:after="0" w:line="360" w:lineRule="auto"/>
        <w:jc w:val="center"/>
        <w:rPr>
          <w:rFonts w:ascii="仿宋_GB2312" w:eastAsia="仿宋_GB2312" w:hAnsi="宋体"/>
          <w:color w:val="000000"/>
          <w:spacing w:val="14"/>
          <w:sz w:val="28"/>
          <w:szCs w:val="28"/>
        </w:rPr>
      </w:pPr>
      <w:r>
        <w:rPr>
          <w:rFonts w:ascii="仿宋_GB2312" w:eastAsia="仿宋_GB2312" w:hAnsi="宋体" w:hint="eastAsia"/>
          <w:color w:val="000000"/>
          <w:spacing w:val="14"/>
          <w:sz w:val="24"/>
        </w:rPr>
        <w:t xml:space="preserve">                </w:t>
      </w:r>
      <w:r>
        <w:rPr>
          <w:rFonts w:ascii="仿宋_GB2312" w:eastAsia="仿宋_GB2312" w:hAnsi="宋体" w:hint="eastAsia"/>
          <w:color w:val="000000"/>
          <w:spacing w:val="14"/>
          <w:sz w:val="28"/>
          <w:szCs w:val="28"/>
        </w:rPr>
        <w:t>江西仁信房地产资产评估有限公司</w:t>
      </w:r>
    </w:p>
    <w:p w:rsidR="009B4E67" w:rsidRDefault="00AA46B4">
      <w:pPr>
        <w:spacing w:before="0" w:after="0" w:line="360" w:lineRule="auto"/>
        <w:ind w:firstLineChars="1400" w:firstLine="4312"/>
        <w:rPr>
          <w:rFonts w:ascii="仿宋_GB2312" w:eastAsia="仿宋_GB2312" w:hAnsi="宋体"/>
          <w:color w:val="000000"/>
          <w:spacing w:val="14"/>
          <w:sz w:val="28"/>
          <w:szCs w:val="28"/>
        </w:rPr>
      </w:pPr>
      <w:r>
        <w:rPr>
          <w:rFonts w:ascii="仿宋_GB2312" w:eastAsia="仿宋_GB2312" w:hAnsi="宋体" w:hint="eastAsia"/>
          <w:color w:val="000000"/>
          <w:spacing w:val="14"/>
          <w:sz w:val="28"/>
          <w:szCs w:val="28"/>
        </w:rPr>
        <w:t>法人代表：</w:t>
      </w:r>
    </w:p>
    <w:p w:rsidR="009B4E67" w:rsidRDefault="00AA46B4">
      <w:pPr>
        <w:tabs>
          <w:tab w:val="left" w:pos="4680"/>
        </w:tabs>
        <w:spacing w:before="0" w:after="0" w:line="360" w:lineRule="auto"/>
        <w:ind w:right="536" w:firstLineChars="1600" w:firstLine="4928"/>
        <w:rPr>
          <w:rFonts w:ascii="仿宋_GB2312" w:eastAsia="仿宋_GB2312" w:hAnsi="宋体"/>
          <w:color w:val="000000"/>
          <w:spacing w:val="14"/>
          <w:sz w:val="28"/>
          <w:szCs w:val="28"/>
        </w:rPr>
      </w:pPr>
      <w:r>
        <w:rPr>
          <w:rFonts w:ascii="仿宋_GB2312" w:eastAsia="仿宋_GB2312" w:hAnsi="宋体" w:hint="eastAsia"/>
          <w:color w:val="000000"/>
          <w:spacing w:val="14"/>
          <w:sz w:val="28"/>
          <w:szCs w:val="28"/>
        </w:rPr>
        <w:t>二〇二二年十月十八日</w:t>
      </w:r>
    </w:p>
    <w:p w:rsidR="009B4E67" w:rsidRDefault="009B4E67">
      <w:pPr>
        <w:pStyle w:val="a0"/>
        <w:rPr>
          <w:rFonts w:ascii="仿宋_GB2312" w:eastAsia="仿宋_GB2312" w:hAnsi="宋体"/>
          <w:color w:val="000000"/>
          <w:spacing w:val="14"/>
          <w:sz w:val="28"/>
          <w:szCs w:val="28"/>
        </w:rPr>
      </w:pPr>
    </w:p>
    <w:p w:rsidR="009B4E67" w:rsidRDefault="009B4E67"/>
    <w:p w:rsidR="009B4E67" w:rsidRDefault="00AA46B4">
      <w:pPr>
        <w:spacing w:before="0" w:after="0" w:line="360" w:lineRule="auto"/>
        <w:jc w:val="center"/>
        <w:rPr>
          <w:b/>
          <w:color w:val="000000"/>
          <w:sz w:val="36"/>
          <w:szCs w:val="36"/>
          <w:lang w:val="zh-CN"/>
        </w:rPr>
      </w:pPr>
      <w:r>
        <w:rPr>
          <w:rFonts w:ascii="楷体_GB2312" w:eastAsia="楷体_GB2312" w:hAnsi="楷体_GB2312" w:cs="楷体_GB2312" w:hint="eastAsia"/>
          <w:b/>
          <w:color w:val="000000"/>
          <w:sz w:val="36"/>
          <w:szCs w:val="36"/>
          <w:lang w:val="zh-CN"/>
        </w:rPr>
        <w:lastRenderedPageBreak/>
        <w:t>目 录</w:t>
      </w:r>
    </w:p>
    <w:p w:rsidR="009B4E67" w:rsidRDefault="00AA46B4">
      <w:pPr>
        <w:pStyle w:val="10"/>
        <w:tabs>
          <w:tab w:val="right" w:leader="dot" w:pos="9026"/>
        </w:tabs>
      </w:pPr>
      <w:r>
        <w:rPr>
          <w:rFonts w:ascii="仿宋_GB2312" w:eastAsia="仿宋_GB2312" w:hAnsi="仿宋_GB2312" w:cs="仿宋_GB2312" w:hint="eastAsia"/>
          <w:color w:val="000000"/>
          <w:sz w:val="28"/>
          <w:szCs w:val="28"/>
        </w:rPr>
        <w:fldChar w:fldCharType="begin"/>
      </w:r>
      <w:r>
        <w:rPr>
          <w:rFonts w:ascii="仿宋_GB2312" w:eastAsia="仿宋_GB2312" w:hAnsi="仿宋_GB2312" w:cs="仿宋_GB2312" w:hint="eastAsia"/>
          <w:color w:val="000000"/>
          <w:sz w:val="28"/>
          <w:szCs w:val="28"/>
        </w:rPr>
        <w:instrText xml:space="preserve"> TOC \o "1-3" \h \z \u </w:instrText>
      </w:r>
      <w:r>
        <w:rPr>
          <w:rFonts w:ascii="仿宋_GB2312" w:eastAsia="仿宋_GB2312" w:hAnsi="仿宋_GB2312" w:cs="仿宋_GB2312" w:hint="eastAsia"/>
          <w:color w:val="000000"/>
          <w:sz w:val="28"/>
          <w:szCs w:val="28"/>
        </w:rPr>
        <w:fldChar w:fldCharType="separate"/>
      </w:r>
      <w:hyperlink w:anchor="_Toc13592" w:history="1">
        <w:r>
          <w:rPr>
            <w:rFonts w:hint="eastAsia"/>
            <w:lang w:val="zh-CN"/>
          </w:rPr>
          <w:t>一、</w:t>
        </w:r>
        <w:r>
          <w:rPr>
            <w:rFonts w:hint="eastAsia"/>
            <w:lang w:val="zh-CN"/>
          </w:rPr>
          <w:t xml:space="preserve"> </w:t>
        </w:r>
        <w:r>
          <w:rPr>
            <w:rFonts w:ascii="楷体_GB2312" w:eastAsia="楷体_GB2312" w:hAnsi="楷体_GB2312" w:cs="楷体_GB2312" w:hint="eastAsia"/>
            <w:szCs w:val="36"/>
            <w:lang w:val="zh-CN"/>
          </w:rPr>
          <w:t>估价师声明</w:t>
        </w:r>
        <w:r>
          <w:tab/>
        </w:r>
        <w:r>
          <w:fldChar w:fldCharType="begin"/>
        </w:r>
        <w:r>
          <w:instrText xml:space="preserve"> PAGEREF _Toc13592 \h </w:instrText>
        </w:r>
        <w:r>
          <w:fldChar w:fldCharType="separate"/>
        </w:r>
        <w:r>
          <w:t>1</w:t>
        </w:r>
        <w:r>
          <w:fldChar w:fldCharType="end"/>
        </w:r>
      </w:hyperlink>
    </w:p>
    <w:p w:rsidR="009B4E67" w:rsidRDefault="00B3544A">
      <w:pPr>
        <w:pStyle w:val="10"/>
        <w:tabs>
          <w:tab w:val="right" w:leader="dot" w:pos="9026"/>
        </w:tabs>
      </w:pPr>
      <w:hyperlink w:anchor="_Toc26997" w:history="1">
        <w:r w:rsidR="00AA46B4">
          <w:rPr>
            <w:rFonts w:hint="eastAsia"/>
            <w:lang w:val="zh-CN"/>
          </w:rPr>
          <w:t>二、</w:t>
        </w:r>
        <w:r w:rsidR="00AA46B4">
          <w:rPr>
            <w:rFonts w:hint="eastAsia"/>
            <w:lang w:val="zh-CN"/>
          </w:rPr>
          <w:t xml:space="preserve"> </w:t>
        </w:r>
        <w:r w:rsidR="00AA46B4">
          <w:rPr>
            <w:rFonts w:ascii="楷体_GB2312" w:eastAsia="楷体_GB2312" w:hAnsi="楷体_GB2312" w:cs="楷体_GB2312" w:hint="eastAsia"/>
            <w:szCs w:val="36"/>
            <w:lang w:val="zh-CN"/>
          </w:rPr>
          <w:t>估价的假设和限制条件</w:t>
        </w:r>
        <w:r w:rsidR="00AA46B4">
          <w:tab/>
        </w:r>
        <w:r w:rsidR="00AA46B4">
          <w:fldChar w:fldCharType="begin"/>
        </w:r>
        <w:r w:rsidR="00AA46B4">
          <w:instrText xml:space="preserve"> PAGEREF _Toc26997 \h </w:instrText>
        </w:r>
        <w:r w:rsidR="00AA46B4">
          <w:fldChar w:fldCharType="separate"/>
        </w:r>
        <w:r w:rsidR="00AA46B4">
          <w:t>3</w:t>
        </w:r>
        <w:r w:rsidR="00AA46B4">
          <w:fldChar w:fldCharType="end"/>
        </w:r>
      </w:hyperlink>
    </w:p>
    <w:p w:rsidR="009B4E67" w:rsidRDefault="00B3544A">
      <w:pPr>
        <w:pStyle w:val="10"/>
        <w:tabs>
          <w:tab w:val="right" w:leader="dot" w:pos="9026"/>
        </w:tabs>
      </w:pPr>
      <w:hyperlink w:anchor="_Toc15042" w:history="1">
        <w:r w:rsidR="00AA46B4">
          <w:rPr>
            <w:rFonts w:ascii="楷体_GB2312" w:eastAsia="楷体_GB2312" w:hAnsi="楷体_GB2312" w:cs="楷体_GB2312" w:hint="eastAsia"/>
            <w:szCs w:val="36"/>
            <w:lang w:val="zh-CN"/>
          </w:rPr>
          <w:t>三、估价结果报告</w:t>
        </w:r>
        <w:r w:rsidR="00AA46B4">
          <w:tab/>
        </w:r>
        <w:r w:rsidR="00AA46B4">
          <w:fldChar w:fldCharType="begin"/>
        </w:r>
        <w:r w:rsidR="00AA46B4">
          <w:instrText xml:space="preserve"> PAGEREF _Toc15042 \h </w:instrText>
        </w:r>
        <w:r w:rsidR="00AA46B4">
          <w:fldChar w:fldCharType="separate"/>
        </w:r>
        <w:r w:rsidR="00AA46B4">
          <w:t>6</w:t>
        </w:r>
        <w:r w:rsidR="00AA46B4">
          <w:fldChar w:fldCharType="end"/>
        </w:r>
      </w:hyperlink>
    </w:p>
    <w:p w:rsidR="009B4E67" w:rsidRDefault="00B3544A">
      <w:pPr>
        <w:pStyle w:val="21"/>
        <w:tabs>
          <w:tab w:val="right" w:leader="dot" w:pos="9026"/>
        </w:tabs>
      </w:pPr>
      <w:hyperlink w:anchor="_Toc23713" w:history="1">
        <w:r w:rsidR="00AA46B4">
          <w:rPr>
            <w:rFonts w:ascii="仿宋_GB2312" w:eastAsia="仿宋_GB2312" w:hAnsi="仿宋_GB2312" w:cs="仿宋_GB2312" w:hint="eastAsia"/>
            <w:szCs w:val="28"/>
          </w:rPr>
          <w:t>（一）估价委托人</w:t>
        </w:r>
        <w:r w:rsidR="00AA46B4">
          <w:tab/>
        </w:r>
        <w:r w:rsidR="00AA46B4">
          <w:fldChar w:fldCharType="begin"/>
        </w:r>
        <w:r w:rsidR="00AA46B4">
          <w:instrText xml:space="preserve"> PAGEREF _Toc23713 \h </w:instrText>
        </w:r>
        <w:r w:rsidR="00AA46B4">
          <w:fldChar w:fldCharType="separate"/>
        </w:r>
        <w:r w:rsidR="00AA46B4">
          <w:t>6</w:t>
        </w:r>
        <w:r w:rsidR="00AA46B4">
          <w:fldChar w:fldCharType="end"/>
        </w:r>
      </w:hyperlink>
    </w:p>
    <w:p w:rsidR="009B4E67" w:rsidRDefault="00B3544A">
      <w:pPr>
        <w:pStyle w:val="21"/>
        <w:tabs>
          <w:tab w:val="right" w:leader="dot" w:pos="9026"/>
        </w:tabs>
      </w:pPr>
      <w:hyperlink w:anchor="_Toc21218" w:history="1">
        <w:r w:rsidR="00AA46B4">
          <w:rPr>
            <w:rFonts w:ascii="仿宋_GB2312" w:eastAsia="仿宋_GB2312" w:hAnsi="仿宋_GB2312" w:cs="仿宋_GB2312" w:hint="eastAsia"/>
            <w:szCs w:val="28"/>
          </w:rPr>
          <w:t>（二）房地产估价机构</w:t>
        </w:r>
        <w:r w:rsidR="00AA46B4">
          <w:tab/>
        </w:r>
        <w:r w:rsidR="00AA46B4">
          <w:fldChar w:fldCharType="begin"/>
        </w:r>
        <w:r w:rsidR="00AA46B4">
          <w:instrText xml:space="preserve"> PAGEREF _Toc21218 \h </w:instrText>
        </w:r>
        <w:r w:rsidR="00AA46B4">
          <w:fldChar w:fldCharType="separate"/>
        </w:r>
        <w:r w:rsidR="00AA46B4">
          <w:t>6</w:t>
        </w:r>
        <w:r w:rsidR="00AA46B4">
          <w:fldChar w:fldCharType="end"/>
        </w:r>
      </w:hyperlink>
    </w:p>
    <w:p w:rsidR="009B4E67" w:rsidRDefault="00B3544A">
      <w:pPr>
        <w:pStyle w:val="21"/>
        <w:tabs>
          <w:tab w:val="right" w:leader="dot" w:pos="9026"/>
        </w:tabs>
      </w:pPr>
      <w:hyperlink w:anchor="_Toc17648" w:history="1">
        <w:r w:rsidR="00AA46B4">
          <w:rPr>
            <w:rFonts w:ascii="仿宋_GB2312" w:eastAsia="仿宋_GB2312" w:hAnsi="仿宋_GB2312" w:cs="仿宋_GB2312" w:hint="eastAsia"/>
            <w:szCs w:val="28"/>
          </w:rPr>
          <w:t>（三）估价目的</w:t>
        </w:r>
        <w:r w:rsidR="00AA46B4">
          <w:tab/>
        </w:r>
        <w:r w:rsidR="00AA46B4">
          <w:fldChar w:fldCharType="begin"/>
        </w:r>
        <w:r w:rsidR="00AA46B4">
          <w:instrText xml:space="preserve"> PAGEREF _Toc17648 \h </w:instrText>
        </w:r>
        <w:r w:rsidR="00AA46B4">
          <w:fldChar w:fldCharType="separate"/>
        </w:r>
        <w:r w:rsidR="00AA46B4">
          <w:t>6</w:t>
        </w:r>
        <w:r w:rsidR="00AA46B4">
          <w:fldChar w:fldCharType="end"/>
        </w:r>
      </w:hyperlink>
    </w:p>
    <w:p w:rsidR="009B4E67" w:rsidRDefault="00B3544A">
      <w:pPr>
        <w:pStyle w:val="21"/>
        <w:tabs>
          <w:tab w:val="right" w:leader="dot" w:pos="9026"/>
        </w:tabs>
      </w:pPr>
      <w:hyperlink w:anchor="_Toc30465" w:history="1">
        <w:r w:rsidR="00AA46B4">
          <w:rPr>
            <w:rFonts w:ascii="仿宋_GB2312" w:eastAsia="仿宋_GB2312" w:hAnsi="仿宋_GB2312" w:cs="仿宋_GB2312" w:hint="eastAsia"/>
            <w:szCs w:val="28"/>
          </w:rPr>
          <w:t>（四）估价对象</w:t>
        </w:r>
        <w:r w:rsidR="00AA46B4">
          <w:tab/>
        </w:r>
        <w:r w:rsidR="00AA46B4">
          <w:fldChar w:fldCharType="begin"/>
        </w:r>
        <w:r w:rsidR="00AA46B4">
          <w:instrText xml:space="preserve"> PAGEREF _Toc30465 \h </w:instrText>
        </w:r>
        <w:r w:rsidR="00AA46B4">
          <w:fldChar w:fldCharType="separate"/>
        </w:r>
        <w:r w:rsidR="00AA46B4">
          <w:t>6</w:t>
        </w:r>
        <w:r w:rsidR="00AA46B4">
          <w:fldChar w:fldCharType="end"/>
        </w:r>
      </w:hyperlink>
    </w:p>
    <w:p w:rsidR="009B4E67" w:rsidRDefault="00B3544A">
      <w:pPr>
        <w:pStyle w:val="21"/>
        <w:tabs>
          <w:tab w:val="right" w:leader="dot" w:pos="9026"/>
        </w:tabs>
      </w:pPr>
      <w:hyperlink w:anchor="_Toc29713" w:history="1">
        <w:r w:rsidR="00AA46B4">
          <w:rPr>
            <w:rFonts w:ascii="仿宋_GB2312" w:eastAsia="仿宋_GB2312" w:hAnsi="仿宋_GB2312" w:cs="仿宋_GB2312" w:hint="eastAsia"/>
            <w:szCs w:val="28"/>
          </w:rPr>
          <w:t>（五）价值时点</w:t>
        </w:r>
        <w:r w:rsidR="00AA46B4">
          <w:tab/>
        </w:r>
        <w:r w:rsidR="00AA46B4">
          <w:fldChar w:fldCharType="begin"/>
        </w:r>
        <w:r w:rsidR="00AA46B4">
          <w:instrText xml:space="preserve"> PAGEREF _Toc29713 \h </w:instrText>
        </w:r>
        <w:r w:rsidR="00AA46B4">
          <w:fldChar w:fldCharType="separate"/>
        </w:r>
        <w:r w:rsidR="00AA46B4">
          <w:t>8</w:t>
        </w:r>
        <w:r w:rsidR="00AA46B4">
          <w:fldChar w:fldCharType="end"/>
        </w:r>
      </w:hyperlink>
    </w:p>
    <w:p w:rsidR="009B4E67" w:rsidRDefault="00B3544A">
      <w:pPr>
        <w:pStyle w:val="21"/>
        <w:tabs>
          <w:tab w:val="right" w:leader="dot" w:pos="9026"/>
        </w:tabs>
      </w:pPr>
      <w:hyperlink w:anchor="_Toc32589" w:history="1">
        <w:r w:rsidR="00AA46B4">
          <w:rPr>
            <w:rFonts w:ascii="仿宋_GB2312" w:eastAsia="仿宋_GB2312" w:hAnsi="仿宋_GB2312" w:cs="仿宋_GB2312" w:hint="eastAsia"/>
            <w:szCs w:val="28"/>
          </w:rPr>
          <w:t>（六）价值类型</w:t>
        </w:r>
        <w:r w:rsidR="00AA46B4">
          <w:tab/>
        </w:r>
        <w:r w:rsidR="00AA46B4">
          <w:fldChar w:fldCharType="begin"/>
        </w:r>
        <w:r w:rsidR="00AA46B4">
          <w:instrText xml:space="preserve"> PAGEREF _Toc32589 \h </w:instrText>
        </w:r>
        <w:r w:rsidR="00AA46B4">
          <w:fldChar w:fldCharType="separate"/>
        </w:r>
        <w:r w:rsidR="00AA46B4">
          <w:t>9</w:t>
        </w:r>
        <w:r w:rsidR="00AA46B4">
          <w:fldChar w:fldCharType="end"/>
        </w:r>
      </w:hyperlink>
    </w:p>
    <w:p w:rsidR="009B4E67" w:rsidRDefault="00B3544A">
      <w:pPr>
        <w:pStyle w:val="21"/>
        <w:tabs>
          <w:tab w:val="right" w:leader="dot" w:pos="9026"/>
        </w:tabs>
      </w:pPr>
      <w:hyperlink w:anchor="_Toc25029" w:history="1">
        <w:r w:rsidR="00AA46B4">
          <w:rPr>
            <w:rFonts w:ascii="仿宋_GB2312" w:eastAsia="仿宋_GB2312" w:hAnsi="仿宋_GB2312" w:cs="仿宋_GB2312" w:hint="eastAsia"/>
            <w:szCs w:val="28"/>
          </w:rPr>
          <w:t>（七）估价原则</w:t>
        </w:r>
        <w:r w:rsidR="00AA46B4">
          <w:tab/>
        </w:r>
        <w:r w:rsidR="00AA46B4">
          <w:fldChar w:fldCharType="begin"/>
        </w:r>
        <w:r w:rsidR="00AA46B4">
          <w:instrText xml:space="preserve"> PAGEREF _Toc25029 \h </w:instrText>
        </w:r>
        <w:r w:rsidR="00AA46B4">
          <w:fldChar w:fldCharType="separate"/>
        </w:r>
        <w:r w:rsidR="00AA46B4">
          <w:t>9</w:t>
        </w:r>
        <w:r w:rsidR="00AA46B4">
          <w:fldChar w:fldCharType="end"/>
        </w:r>
      </w:hyperlink>
    </w:p>
    <w:p w:rsidR="009B4E67" w:rsidRDefault="00B3544A">
      <w:pPr>
        <w:pStyle w:val="21"/>
        <w:tabs>
          <w:tab w:val="right" w:leader="dot" w:pos="9026"/>
        </w:tabs>
      </w:pPr>
      <w:hyperlink w:anchor="_Toc19337" w:history="1">
        <w:r w:rsidR="00AA46B4">
          <w:rPr>
            <w:rFonts w:ascii="仿宋_GB2312" w:eastAsia="仿宋_GB2312" w:hAnsi="仿宋_GB2312" w:cs="仿宋_GB2312" w:hint="eastAsia"/>
            <w:szCs w:val="28"/>
          </w:rPr>
          <w:t>（八）估价依据</w:t>
        </w:r>
        <w:r w:rsidR="00AA46B4">
          <w:tab/>
        </w:r>
        <w:r w:rsidR="00AA46B4">
          <w:fldChar w:fldCharType="begin"/>
        </w:r>
        <w:r w:rsidR="00AA46B4">
          <w:instrText xml:space="preserve"> PAGEREF _Toc19337 \h </w:instrText>
        </w:r>
        <w:r w:rsidR="00AA46B4">
          <w:fldChar w:fldCharType="separate"/>
        </w:r>
        <w:r w:rsidR="00AA46B4">
          <w:t>10</w:t>
        </w:r>
        <w:r w:rsidR="00AA46B4">
          <w:fldChar w:fldCharType="end"/>
        </w:r>
      </w:hyperlink>
    </w:p>
    <w:p w:rsidR="009B4E67" w:rsidRDefault="00B3544A">
      <w:pPr>
        <w:pStyle w:val="21"/>
        <w:tabs>
          <w:tab w:val="right" w:leader="dot" w:pos="9026"/>
        </w:tabs>
      </w:pPr>
      <w:hyperlink w:anchor="_Toc16804" w:history="1">
        <w:r w:rsidR="00AA46B4">
          <w:rPr>
            <w:rFonts w:ascii="仿宋_GB2312" w:eastAsia="仿宋_GB2312" w:hAnsi="仿宋_GB2312" w:cs="仿宋_GB2312" w:hint="eastAsia"/>
            <w:szCs w:val="28"/>
          </w:rPr>
          <w:t>（十）估价结果</w:t>
        </w:r>
        <w:r w:rsidR="00AA46B4">
          <w:tab/>
        </w:r>
        <w:r w:rsidR="00AA46B4">
          <w:fldChar w:fldCharType="begin"/>
        </w:r>
        <w:r w:rsidR="00AA46B4">
          <w:instrText xml:space="preserve"> PAGEREF _Toc16804 \h </w:instrText>
        </w:r>
        <w:r w:rsidR="00AA46B4">
          <w:fldChar w:fldCharType="separate"/>
        </w:r>
        <w:r w:rsidR="00AA46B4">
          <w:t>13</w:t>
        </w:r>
        <w:r w:rsidR="00AA46B4">
          <w:fldChar w:fldCharType="end"/>
        </w:r>
      </w:hyperlink>
    </w:p>
    <w:p w:rsidR="009B4E67" w:rsidRDefault="00B3544A">
      <w:pPr>
        <w:pStyle w:val="21"/>
        <w:tabs>
          <w:tab w:val="right" w:leader="dot" w:pos="9026"/>
        </w:tabs>
      </w:pPr>
      <w:hyperlink w:anchor="_Toc20553" w:history="1">
        <w:r w:rsidR="00AA46B4">
          <w:rPr>
            <w:rFonts w:ascii="仿宋_GB2312" w:eastAsia="仿宋_GB2312" w:hAnsi="仿宋_GB2312" w:cs="仿宋_GB2312" w:hint="eastAsia"/>
            <w:szCs w:val="28"/>
          </w:rPr>
          <w:t>（十二）实地查勘期</w:t>
        </w:r>
        <w:r w:rsidR="00AA46B4">
          <w:tab/>
        </w:r>
        <w:r w:rsidR="00AA46B4">
          <w:fldChar w:fldCharType="begin"/>
        </w:r>
        <w:r w:rsidR="00AA46B4">
          <w:instrText xml:space="preserve"> PAGEREF _Toc20553 \h </w:instrText>
        </w:r>
        <w:r w:rsidR="00AA46B4">
          <w:fldChar w:fldCharType="separate"/>
        </w:r>
        <w:r w:rsidR="00AA46B4">
          <w:t>13</w:t>
        </w:r>
        <w:r w:rsidR="00AA46B4">
          <w:fldChar w:fldCharType="end"/>
        </w:r>
      </w:hyperlink>
    </w:p>
    <w:p w:rsidR="009B4E67" w:rsidRDefault="00B3544A">
      <w:pPr>
        <w:pStyle w:val="21"/>
        <w:tabs>
          <w:tab w:val="right" w:leader="dot" w:pos="9026"/>
        </w:tabs>
      </w:pPr>
      <w:hyperlink w:anchor="_Toc28652" w:history="1">
        <w:r w:rsidR="00AA46B4">
          <w:rPr>
            <w:rFonts w:ascii="仿宋_GB2312" w:eastAsia="仿宋_GB2312" w:hAnsi="仿宋_GB2312" w:cs="仿宋_GB2312" w:hint="eastAsia"/>
            <w:szCs w:val="28"/>
          </w:rPr>
          <w:t>（十三）估价作业日期</w:t>
        </w:r>
        <w:r w:rsidR="00AA46B4">
          <w:tab/>
        </w:r>
        <w:r w:rsidR="00AA46B4">
          <w:fldChar w:fldCharType="begin"/>
        </w:r>
        <w:r w:rsidR="00AA46B4">
          <w:instrText xml:space="preserve"> PAGEREF _Toc28652 \h </w:instrText>
        </w:r>
        <w:r w:rsidR="00AA46B4">
          <w:fldChar w:fldCharType="separate"/>
        </w:r>
        <w:r w:rsidR="00AA46B4">
          <w:t>13</w:t>
        </w:r>
        <w:r w:rsidR="00AA46B4">
          <w:fldChar w:fldCharType="end"/>
        </w:r>
      </w:hyperlink>
    </w:p>
    <w:p w:rsidR="009B4E67" w:rsidRDefault="00B3544A">
      <w:pPr>
        <w:pStyle w:val="10"/>
        <w:tabs>
          <w:tab w:val="right" w:leader="dot" w:pos="9026"/>
        </w:tabs>
      </w:pPr>
      <w:hyperlink w:anchor="_Toc4864" w:history="1">
        <w:r w:rsidR="00AA46B4">
          <w:rPr>
            <w:rFonts w:ascii="楷体_GB2312" w:eastAsia="楷体_GB2312" w:hAnsi="楷体_GB2312" w:cs="楷体_GB2312" w:hint="eastAsia"/>
            <w:szCs w:val="36"/>
            <w:lang w:val="zh-CN"/>
          </w:rPr>
          <w:t>四、附 件</w:t>
        </w:r>
        <w:r w:rsidR="00AA46B4">
          <w:tab/>
        </w:r>
        <w:r w:rsidR="00AA46B4">
          <w:fldChar w:fldCharType="begin"/>
        </w:r>
        <w:r w:rsidR="00AA46B4">
          <w:instrText xml:space="preserve"> PAGEREF _Toc4864 \h </w:instrText>
        </w:r>
        <w:r w:rsidR="00AA46B4">
          <w:fldChar w:fldCharType="separate"/>
        </w:r>
        <w:r w:rsidR="00AA46B4">
          <w:t>14</w:t>
        </w:r>
        <w:r w:rsidR="00AA46B4">
          <w:fldChar w:fldCharType="end"/>
        </w:r>
      </w:hyperlink>
    </w:p>
    <w:p w:rsidR="009B4E67" w:rsidRDefault="00AA46B4">
      <w:pPr>
        <w:spacing w:before="0" w:after="0"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szCs w:val="28"/>
        </w:rPr>
        <w:fldChar w:fldCharType="end"/>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sz w:val="28"/>
          <w:szCs w:val="28"/>
        </w:rPr>
        <w:t xml:space="preserve"> </w:t>
      </w:r>
      <w:r>
        <w:rPr>
          <w:rFonts w:ascii="仿宋" w:eastAsia="仿宋" w:hAnsi="仿宋" w:cs="仿宋" w:hint="eastAsia"/>
          <w:sz w:val="24"/>
        </w:rPr>
        <w:t xml:space="preserve"> </w:t>
      </w:r>
      <w:r>
        <w:rPr>
          <w:rFonts w:ascii="仿宋_GB2312" w:eastAsia="仿宋_GB2312" w:hAnsi="仿宋_GB2312" w:cs="仿宋_GB2312" w:hint="eastAsia"/>
          <w:sz w:val="24"/>
        </w:rPr>
        <w:t xml:space="preserve"> 1、房地产估价委托书复印件</w:t>
      </w:r>
    </w:p>
    <w:p w:rsidR="009B4E67" w:rsidRDefault="00AA46B4">
      <w:pPr>
        <w:spacing w:before="0" w:after="0" w:line="39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color w:val="000000"/>
          <w:sz w:val="24"/>
        </w:rPr>
        <w:t>、</w:t>
      </w:r>
      <w:r>
        <w:rPr>
          <w:rFonts w:ascii="仿宋_GB2312" w:eastAsia="仿宋_GB2312" w:hAnsi="仿宋_GB2312" w:cs="仿宋_GB2312" w:hint="eastAsia"/>
          <w:sz w:val="24"/>
        </w:rPr>
        <w:t>估价对象位置图</w:t>
      </w:r>
    </w:p>
    <w:p w:rsidR="009B4E67" w:rsidRDefault="00AA46B4">
      <w:pPr>
        <w:spacing w:before="0" w:after="0" w:line="39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color w:val="000000"/>
          <w:sz w:val="24"/>
        </w:rPr>
        <w:t>、</w:t>
      </w:r>
      <w:r>
        <w:rPr>
          <w:rFonts w:ascii="仿宋_GB2312" w:eastAsia="仿宋_GB2312" w:hAnsi="仿宋_GB2312" w:cs="仿宋_GB2312" w:hint="eastAsia"/>
          <w:sz w:val="24"/>
        </w:rPr>
        <w:t>估价对象现状照片</w:t>
      </w:r>
    </w:p>
    <w:p w:rsidR="009B4E67" w:rsidRDefault="00AA46B4">
      <w:pPr>
        <w:spacing w:before="0" w:after="0" w:line="39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color w:val="000000"/>
          <w:sz w:val="24"/>
        </w:rPr>
        <w:t>、</w:t>
      </w:r>
      <w:r>
        <w:rPr>
          <w:rFonts w:ascii="仿宋_GB2312" w:eastAsia="仿宋_GB2312" w:hAnsi="仿宋_GB2312" w:cs="仿宋_GB2312" w:hint="eastAsia"/>
          <w:sz w:val="24"/>
        </w:rPr>
        <w:t>估价对象产权资料复印件</w:t>
      </w:r>
    </w:p>
    <w:p w:rsidR="009B4E67" w:rsidRDefault="00AA46B4">
      <w:pPr>
        <w:spacing w:before="0" w:after="0" w:line="39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color w:val="000000"/>
          <w:sz w:val="24"/>
        </w:rPr>
        <w:t>、</w:t>
      </w:r>
      <w:r>
        <w:rPr>
          <w:rFonts w:ascii="仿宋_GB2312" w:eastAsia="仿宋_GB2312" w:hAnsi="仿宋_GB2312" w:cs="仿宋_GB2312" w:hint="eastAsia"/>
          <w:sz w:val="24"/>
        </w:rPr>
        <w:t>房地产估价机构企业营业执照复印件</w:t>
      </w:r>
    </w:p>
    <w:p w:rsidR="009B4E67" w:rsidRDefault="00AA46B4">
      <w:pPr>
        <w:spacing w:before="0" w:after="0" w:line="39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color w:val="000000"/>
          <w:sz w:val="24"/>
        </w:rPr>
        <w:t>、</w:t>
      </w:r>
      <w:r>
        <w:rPr>
          <w:rFonts w:ascii="仿宋_GB2312" w:eastAsia="仿宋_GB2312" w:hAnsi="仿宋_GB2312" w:cs="仿宋_GB2312" w:hint="eastAsia"/>
          <w:sz w:val="24"/>
        </w:rPr>
        <w:t>房地产估价机构资质证书复印件</w:t>
      </w:r>
    </w:p>
    <w:p w:rsidR="009B4E67" w:rsidRDefault="00AA46B4">
      <w:pPr>
        <w:spacing w:before="0" w:after="0" w:line="39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color w:val="000000"/>
          <w:sz w:val="24"/>
        </w:rPr>
        <w:t>、</w:t>
      </w:r>
      <w:r>
        <w:rPr>
          <w:rFonts w:ascii="仿宋_GB2312" w:eastAsia="仿宋_GB2312" w:hAnsi="仿宋_GB2312" w:cs="仿宋_GB2312" w:hint="eastAsia"/>
          <w:sz w:val="24"/>
        </w:rPr>
        <w:t>注册房地产估价师执业证书复印件</w:t>
      </w:r>
    </w:p>
    <w:p w:rsidR="009B4E67" w:rsidRDefault="009B4E67">
      <w:pPr>
        <w:rPr>
          <w:sz w:val="24"/>
        </w:rPr>
        <w:sectPr w:rsidR="009B4E67">
          <w:headerReference w:type="default" r:id="rId9"/>
          <w:footerReference w:type="even" r:id="rId10"/>
          <w:footerReference w:type="first" r:id="rId11"/>
          <w:pgSz w:w="11906" w:h="16838"/>
          <w:pgMar w:top="1984" w:right="1440" w:bottom="1440" w:left="1440" w:header="850" w:footer="992" w:gutter="0"/>
          <w:pgNumType w:fmt="numberInDash" w:start="1"/>
          <w:cols w:space="720"/>
          <w:docGrid w:type="lines" w:linePitch="312"/>
        </w:sectPr>
      </w:pPr>
    </w:p>
    <w:p w:rsidR="009B4E67" w:rsidRDefault="00AA46B4">
      <w:pPr>
        <w:pStyle w:val="ae"/>
        <w:numPr>
          <w:ilvl w:val="0"/>
          <w:numId w:val="2"/>
        </w:numPr>
        <w:spacing w:before="0" w:after="0" w:line="360" w:lineRule="auto"/>
        <w:rPr>
          <w:lang w:val="zh-CN"/>
        </w:rPr>
      </w:pPr>
      <w:bookmarkStart w:id="1" w:name="_Toc8742"/>
      <w:bookmarkStart w:id="2" w:name="_Toc13592"/>
      <w:r>
        <w:rPr>
          <w:rFonts w:ascii="楷体_GB2312" w:eastAsia="楷体_GB2312" w:hAnsi="楷体_GB2312" w:cs="楷体_GB2312" w:hint="eastAsia"/>
          <w:bCs w:val="0"/>
          <w:color w:val="000000"/>
          <w:sz w:val="36"/>
          <w:szCs w:val="36"/>
          <w:lang w:val="zh-CN"/>
        </w:rPr>
        <w:lastRenderedPageBreak/>
        <w:t>估价师声明</w:t>
      </w:r>
      <w:bookmarkEnd w:id="1"/>
      <w:bookmarkEnd w:id="2"/>
    </w:p>
    <w:p w:rsidR="009B4E67" w:rsidRDefault="009B4E67">
      <w:pPr>
        <w:rPr>
          <w:lang w:val="zh-CN"/>
        </w:rPr>
      </w:pPr>
    </w:p>
    <w:p w:rsidR="009B4E67" w:rsidRDefault="00AA46B4">
      <w:pPr>
        <w:widowControl/>
        <w:snapToGrid w:val="0"/>
        <w:spacing w:before="0" w:after="0"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对本报告我们特作如下郑重声明：</w:t>
      </w:r>
    </w:p>
    <w:p w:rsidR="009B4E67" w:rsidRDefault="00AA46B4">
      <w:pPr>
        <w:widowControl/>
        <w:adjustRightInd w:val="0"/>
        <w:snapToGrid w:val="0"/>
        <w:spacing w:before="0" w:after="0"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1、注册房地产估价师在估价报告中对事实的说明是真实和准确的，没有虚假记载、误导性陈述和重大遗漏。</w:t>
      </w:r>
    </w:p>
    <w:p w:rsidR="009B4E67" w:rsidRDefault="00AA46B4">
      <w:pPr>
        <w:widowControl/>
        <w:adjustRightInd w:val="0"/>
        <w:snapToGrid w:val="0"/>
        <w:spacing w:before="0" w:after="0"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2、估价报告中的分析、意见和结论是注册房地产估价师独立、客观、公正的专业分析、意见和结论，但受到估价报告中已说明的估价假设和限制条件的限制。</w:t>
      </w:r>
    </w:p>
    <w:p w:rsidR="009B4E67" w:rsidRDefault="00AA46B4">
      <w:pPr>
        <w:widowControl/>
        <w:adjustRightInd w:val="0"/>
        <w:snapToGrid w:val="0"/>
        <w:spacing w:before="0" w:after="0"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3、注册房地产估价师与估价报告中的估价对象没有现实或潜在的利益，与估价委托人及估价利害关系人没有利害关系，也对估价对象、估价委托人及估价利害关系人没有偏见。</w:t>
      </w:r>
    </w:p>
    <w:p w:rsidR="009B4E67" w:rsidRDefault="00AA46B4">
      <w:pPr>
        <w:widowControl/>
        <w:adjustRightInd w:val="0"/>
        <w:snapToGrid w:val="0"/>
        <w:spacing w:before="0" w:after="0"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4、注册房地产估价师是按照中华人民共和国国家标准《房地产估价规范》(GB/T50291－2015)和《房地产估价基本术语标准》(GB/T50899－2013)的规定进行估价工作</w:t>
      </w:r>
      <w:r>
        <w:rPr>
          <w:rFonts w:ascii="仿宋_GB2312" w:eastAsia="仿宋_GB2312" w:hAnsi="宋体" w:hint="eastAsia"/>
          <w:color w:val="000000"/>
          <w:sz w:val="28"/>
          <w:szCs w:val="28"/>
        </w:rPr>
        <w:t>，形成意见和结论</w:t>
      </w:r>
      <w:r>
        <w:rPr>
          <w:rFonts w:ascii="仿宋_GB2312" w:eastAsia="仿宋_GB2312" w:hAnsi="宋体" w:hint="eastAsia"/>
          <w:sz w:val="28"/>
          <w:szCs w:val="28"/>
        </w:rPr>
        <w:t>，撰写估价报告。</w:t>
      </w:r>
    </w:p>
    <w:p w:rsidR="009B4E67" w:rsidRDefault="00AA46B4">
      <w:pPr>
        <w:widowControl/>
        <w:adjustRightInd w:val="0"/>
        <w:snapToGrid w:val="0"/>
        <w:spacing w:before="0" w:after="0"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5、</w:t>
      </w:r>
      <w:r>
        <w:rPr>
          <w:rFonts w:ascii="仿宋_GB2312" w:eastAsia="仿宋_GB2312" w:hAnsi="宋体" w:hint="eastAsia"/>
          <w:color w:val="000000"/>
          <w:sz w:val="28"/>
          <w:szCs w:val="28"/>
        </w:rPr>
        <w:t>房地产估价师已于2022年9月29日对本报告中的估价对象进行了实地查勘并进行记录，但仅限于估价对象的外观与目前维护管理状况，尤其因提供资料有限，我们不承担对估价对象建筑结构质量、建筑面积数量准确性和相应权益的责任，也不承担其他被掩盖、未暴露及难于接触到的部分进行检视的责任</w:t>
      </w:r>
      <w:r>
        <w:rPr>
          <w:rFonts w:ascii="仿宋_GB2312" w:eastAsia="仿宋_GB2312" w:hAnsi="宋体" w:hint="eastAsia"/>
          <w:sz w:val="28"/>
          <w:szCs w:val="28"/>
        </w:rPr>
        <w:t>。</w:t>
      </w:r>
    </w:p>
    <w:p w:rsidR="009B4E67" w:rsidRDefault="00AA46B4">
      <w:pPr>
        <w:snapToGrid w:val="0"/>
        <w:spacing w:before="0" w:after="0"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6、随着时间、市场行情及相关条件的变化，该估价结果需做相应的调整。</w:t>
      </w:r>
    </w:p>
    <w:p w:rsidR="009B4E67" w:rsidRDefault="00AA46B4">
      <w:pPr>
        <w:widowControl/>
        <w:adjustRightInd w:val="0"/>
        <w:snapToGrid w:val="0"/>
        <w:spacing w:before="0" w:after="0"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7</w:t>
      </w:r>
      <w:r>
        <w:rPr>
          <w:rFonts w:ascii="仿宋_GB2312" w:eastAsia="仿宋_GB2312" w:hAnsi="宋体"/>
          <w:sz w:val="28"/>
          <w:szCs w:val="28"/>
        </w:rPr>
        <w:t>、没有其他专业人员对本估价报告提供重要专业帮助。</w:t>
      </w:r>
    </w:p>
    <w:p w:rsidR="009B4E67" w:rsidRDefault="00AA46B4">
      <w:pPr>
        <w:widowControl/>
        <w:adjustRightInd w:val="0"/>
        <w:snapToGrid w:val="0"/>
        <w:spacing w:before="0" w:after="0"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8、本估价报告的依据《赣州经济技术开发区人民法院司法技术委托书》【（2022）法技委字263号】及相关产权资料是委托人提供的，由委托人对其真实性和准确性负责。</w:t>
      </w:r>
    </w:p>
    <w:p w:rsidR="009B4E67" w:rsidRDefault="00AA46B4">
      <w:pPr>
        <w:widowControl/>
        <w:adjustRightInd w:val="0"/>
        <w:snapToGrid w:val="0"/>
        <w:spacing w:before="0" w:after="0"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9、本估价报告仅是在报告中说明的假设条件下对估价对象正常市场价格进行的合理估算，报告中对估价对象权属情况的披露不能作为对其权属确认的依据，估价对象权属界定以产权管理部门认定为准。</w:t>
      </w:r>
    </w:p>
    <w:p w:rsidR="009B4E67" w:rsidRDefault="00AA46B4">
      <w:pPr>
        <w:widowControl/>
        <w:adjustRightInd w:val="0"/>
        <w:snapToGrid w:val="0"/>
        <w:spacing w:before="0" w:after="0"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10、本报告的评估结果为委托人了解待估房地产客观、公正、合理的市场价格提供参考依据，不得做其他用途，没有考虑将来可能出现并影响物业价值的其它因素。未经本房地产估价机构和注册房地产估价师同意，估价报告不得向委托人及报告审查部门以外的单位及个人提供，凡因委托人使用估价报告不当而引起的后果，房地产估价机构和注册房地产估价师不承担相应的责任。</w:t>
      </w:r>
    </w:p>
    <w:p w:rsidR="009B4E67" w:rsidRDefault="009B4E67">
      <w:pPr>
        <w:widowControl/>
        <w:adjustRightInd w:val="0"/>
        <w:snapToGrid w:val="0"/>
        <w:spacing w:before="0" w:after="0" w:line="360" w:lineRule="auto"/>
        <w:ind w:firstLineChars="200" w:firstLine="560"/>
        <w:rPr>
          <w:rFonts w:ascii="仿宋_GB2312" w:eastAsia="仿宋_GB2312" w:hAnsi="宋体"/>
          <w:sz w:val="28"/>
          <w:szCs w:val="28"/>
        </w:rPr>
        <w:sectPr w:rsidR="009B4E67">
          <w:footerReference w:type="default" r:id="rId12"/>
          <w:pgSz w:w="11906" w:h="16838"/>
          <w:pgMar w:top="1928" w:right="1440" w:bottom="873" w:left="1440" w:header="850" w:footer="992" w:gutter="0"/>
          <w:pgNumType w:start="1"/>
          <w:cols w:space="720"/>
          <w:docGrid w:type="lines" w:linePitch="312"/>
        </w:sectPr>
      </w:pPr>
    </w:p>
    <w:p w:rsidR="009B4E67" w:rsidRDefault="00AA46B4">
      <w:pPr>
        <w:pStyle w:val="ae"/>
        <w:numPr>
          <w:ilvl w:val="0"/>
          <w:numId w:val="2"/>
        </w:numPr>
        <w:spacing w:before="0" w:after="0" w:line="360" w:lineRule="auto"/>
        <w:rPr>
          <w:lang w:val="zh-CN"/>
        </w:rPr>
      </w:pPr>
      <w:bookmarkStart w:id="3" w:name="_Toc22183"/>
      <w:bookmarkStart w:id="4" w:name="_Toc26997"/>
      <w:r>
        <w:rPr>
          <w:rFonts w:ascii="楷体_GB2312" w:eastAsia="楷体_GB2312" w:hAnsi="楷体_GB2312" w:cs="楷体_GB2312" w:hint="eastAsia"/>
          <w:bCs w:val="0"/>
          <w:color w:val="000000"/>
          <w:sz w:val="36"/>
          <w:szCs w:val="36"/>
          <w:lang w:val="zh-CN"/>
        </w:rPr>
        <w:lastRenderedPageBreak/>
        <w:t>估价的假设和限制条件</w:t>
      </w:r>
      <w:bookmarkEnd w:id="3"/>
      <w:bookmarkEnd w:id="4"/>
    </w:p>
    <w:p w:rsidR="009B4E67" w:rsidRDefault="00AA46B4">
      <w:pPr>
        <w:widowControl/>
        <w:snapToGrid w:val="0"/>
        <w:spacing w:before="0" w:after="0" w:line="360" w:lineRule="auto"/>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1、一般假设</w:t>
      </w:r>
    </w:p>
    <w:p w:rsidR="009B4E67" w:rsidRDefault="00AA46B4">
      <w:pPr>
        <w:widowControl/>
        <w:adjustRightInd w:val="0"/>
        <w:snapToGrid w:val="0"/>
        <w:spacing w:before="0" w:after="0"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（1）注册房地产估价师对估价委托人提供的估价对象权属、 面积等资料进行了检查，但未予以核实，在无理由怀疑其合法性、真实性、准确性和完整性的情况下，假定估价委托人提供的资料合法、真实、准确、完整，且估价对象可在公开市场上自由转让。若估价委托人提供的资料失实或有任何隐匿，本公司不承担任何责任。</w:t>
      </w:r>
    </w:p>
    <w:p w:rsidR="009B4E67" w:rsidRDefault="00AA46B4">
      <w:pPr>
        <w:widowControl/>
        <w:adjustRightInd w:val="0"/>
        <w:snapToGrid w:val="0"/>
        <w:spacing w:before="0" w:after="0"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2）注册房地产估价师对估价对象的查勘仅限于其外观和使用状况，并未进行结构测量和设备测试以确认估价对象是否存在结构性损害或其他缺陷；已对房屋安全、环境污染等影响估价对象价值的重大因素给予了关注，在无理由怀疑估价对象存在安全隐患且无相应的专业机构进行鉴定、检测的情况下，假定估价对象能正常安全使用。</w:t>
      </w:r>
    </w:p>
    <w:p w:rsidR="009B4E67" w:rsidRDefault="00AA46B4">
      <w:pPr>
        <w:widowControl/>
        <w:adjustRightInd w:val="0"/>
        <w:snapToGrid w:val="0"/>
        <w:spacing w:before="0" w:after="0"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（3）估价对象的运作方式、程序符合国家和地方的有关法律法规。在价值时点的房地产市场为公开、平等、自愿的交易市场。</w:t>
      </w:r>
    </w:p>
    <w:p w:rsidR="009B4E67" w:rsidRDefault="00AA46B4">
      <w:pPr>
        <w:widowControl/>
        <w:adjustRightInd w:val="0"/>
        <w:snapToGrid w:val="0"/>
        <w:spacing w:before="0" w:after="0"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（4）</w:t>
      </w:r>
      <w:r>
        <w:rPr>
          <w:rFonts w:ascii="仿宋_GB2312" w:eastAsia="仿宋_GB2312" w:hAnsi="仿宋_GB2312" w:cs="仿宋_GB2312" w:hint="eastAsia"/>
          <w:snapToGrid w:val="0"/>
          <w:kern w:val="0"/>
          <w:sz w:val="28"/>
          <w:szCs w:val="20"/>
        </w:rPr>
        <w:t>我们依照中华人民共和国国家标准《房地产估价规范》【GB/T 50291-2015】和《房地产估价基本术语标准》【GB/T 50899-2013】的规定进行估价工作，形成意见和结论，撰写评估报告</w:t>
      </w:r>
      <w:r>
        <w:rPr>
          <w:rFonts w:ascii="仿宋_GB2312" w:eastAsia="仿宋_GB2312" w:hAnsi="宋体" w:hint="eastAsia"/>
          <w:sz w:val="28"/>
          <w:szCs w:val="28"/>
        </w:rPr>
        <w:t>。</w:t>
      </w:r>
    </w:p>
    <w:p w:rsidR="009B4E67" w:rsidRDefault="00AA46B4">
      <w:pPr>
        <w:tabs>
          <w:tab w:val="left" w:pos="267"/>
        </w:tabs>
        <w:adjustRightInd w:val="0"/>
        <w:snapToGrid w:val="0"/>
        <w:spacing w:before="0" w:after="0" w:line="520" w:lineRule="exact"/>
        <w:ind w:firstLineChars="200" w:firstLine="560"/>
        <w:jc w:val="left"/>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（5）人民法院未明确估价对象是否存在欠缴税金及相关费用的，本次评估不考虑欠缴税金及相关费用。</w:t>
      </w:r>
    </w:p>
    <w:p w:rsidR="009B4E67" w:rsidRDefault="00AA46B4">
      <w:pPr>
        <w:widowControl/>
        <w:adjustRightInd w:val="0"/>
        <w:snapToGrid w:val="0"/>
        <w:spacing w:before="0" w:after="0" w:line="520" w:lineRule="exact"/>
        <w:ind w:firstLineChars="200" w:firstLine="560"/>
        <w:rPr>
          <w:rFonts w:ascii="仿宋_GB2312" w:eastAsia="仿宋_GB2312" w:hAnsi="宋体"/>
          <w:sz w:val="28"/>
          <w:szCs w:val="28"/>
        </w:rPr>
      </w:pPr>
      <w:r>
        <w:rPr>
          <w:rFonts w:ascii="仿宋_GB2312" w:eastAsia="仿宋_GB2312" w:hAnsi="仿宋_GB2312" w:cs="仿宋_GB2312" w:hint="eastAsia"/>
          <w:snapToGrid w:val="0"/>
          <w:kern w:val="0"/>
          <w:sz w:val="28"/>
          <w:szCs w:val="28"/>
        </w:rPr>
        <w:t>（6）人民法院未书面明确评估对象交易税费负担方式，本次评估按照法律法规规定，假定转让人和买受人各自负担交易税费</w:t>
      </w:r>
      <w:r>
        <w:rPr>
          <w:rFonts w:ascii="仿宋_GB2312" w:eastAsia="仿宋_GB2312" w:hAnsi="宋体" w:hint="eastAsia"/>
          <w:sz w:val="28"/>
          <w:szCs w:val="28"/>
        </w:rPr>
        <w:t>。</w:t>
      </w:r>
    </w:p>
    <w:p w:rsidR="009B4E67" w:rsidRDefault="00AA46B4">
      <w:pPr>
        <w:snapToGrid w:val="0"/>
        <w:spacing w:before="0" w:after="0" w:line="52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2、未定事项假设</w:t>
      </w:r>
    </w:p>
    <w:p w:rsidR="009B4E67" w:rsidRDefault="00AA46B4">
      <w:pPr>
        <w:snapToGrid w:val="0"/>
        <w:spacing w:before="0" w:after="0"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（1）本次估价对象现场查勘时，估价人员未对其做建筑物基础、房屋结构上的测量和实验，本次估价假设其无建筑物基础、结构等方面重大质量问题。</w:t>
      </w:r>
    </w:p>
    <w:p w:rsidR="009B4E67" w:rsidRDefault="00AA46B4">
      <w:pPr>
        <w:widowControl/>
        <w:snapToGrid w:val="0"/>
        <w:spacing w:before="0" w:after="0"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（2）</w:t>
      </w:r>
      <w:r>
        <w:rPr>
          <w:rFonts w:ascii="仿宋_GB2312" w:eastAsia="仿宋_GB2312" w:hAnsi="仿宋_GB2312" w:cs="仿宋_GB2312" w:hint="eastAsia"/>
          <w:snapToGrid w:val="0"/>
          <w:kern w:val="0"/>
          <w:sz w:val="28"/>
          <w:szCs w:val="20"/>
        </w:rPr>
        <w:t>本次估价涉及的房屋坐落、建筑面积、权利人等信息依据委托方提供</w:t>
      </w:r>
      <w:r>
        <w:rPr>
          <w:rFonts w:ascii="仿宋_GB2312" w:eastAsia="仿宋_GB2312" w:hAnsi="仿宋_GB2312" w:cs="仿宋_GB2312" w:hint="eastAsia"/>
          <w:snapToGrid w:val="0"/>
          <w:kern w:val="0"/>
          <w:sz w:val="28"/>
          <w:szCs w:val="28"/>
        </w:rPr>
        <w:t>《不动产登记信息查询结果》</w:t>
      </w:r>
      <w:r>
        <w:rPr>
          <w:rFonts w:ascii="仿宋_GB2312" w:eastAsia="仿宋_GB2312" w:hAnsi="仿宋_GB2312" w:cs="仿宋_GB2312" w:hint="eastAsia"/>
          <w:snapToGrid w:val="0"/>
          <w:kern w:val="0"/>
          <w:sz w:val="28"/>
          <w:szCs w:val="20"/>
        </w:rPr>
        <w:t>确定，如有不符，以当地不动产登记部门登记簿记载为准</w:t>
      </w:r>
      <w:r>
        <w:rPr>
          <w:rFonts w:ascii="仿宋_GB2312" w:eastAsia="仿宋_GB2312" w:hAnsi="宋体" w:hint="eastAsia"/>
          <w:sz w:val="28"/>
          <w:szCs w:val="28"/>
        </w:rPr>
        <w:t>。</w:t>
      </w:r>
    </w:p>
    <w:p w:rsidR="009B4E67" w:rsidRDefault="00AA46B4">
      <w:pPr>
        <w:widowControl/>
        <w:snapToGrid w:val="0"/>
        <w:spacing w:before="0" w:after="0" w:line="520" w:lineRule="exact"/>
        <w:ind w:firstLineChars="200" w:firstLine="560"/>
        <w:rPr>
          <w:rFonts w:ascii="仿宋_GB2312" w:eastAsia="仿宋_GB2312" w:hAnsi="宋体"/>
          <w:b/>
          <w:bCs/>
          <w:sz w:val="28"/>
          <w:szCs w:val="28"/>
        </w:rPr>
      </w:pPr>
      <w:r>
        <w:rPr>
          <w:rFonts w:ascii="仿宋_GB2312" w:eastAsia="仿宋_GB2312" w:hAnsi="宋体" w:hint="eastAsia"/>
          <w:sz w:val="28"/>
          <w:szCs w:val="28"/>
        </w:rPr>
        <w:t>3、</w:t>
      </w:r>
      <w:r>
        <w:rPr>
          <w:rFonts w:ascii="仿宋_GB2312" w:eastAsia="仿宋_GB2312" w:hAnsi="宋体" w:hint="eastAsia"/>
          <w:b/>
          <w:bCs/>
          <w:sz w:val="28"/>
          <w:szCs w:val="28"/>
        </w:rPr>
        <w:t>背离事实假设</w:t>
      </w:r>
    </w:p>
    <w:p w:rsidR="009B4E67" w:rsidRDefault="00AA46B4">
      <w:pPr>
        <w:widowControl/>
        <w:snapToGrid w:val="0"/>
        <w:spacing w:before="0" w:after="0" w:line="520" w:lineRule="exact"/>
        <w:ind w:firstLineChars="200" w:firstLine="560"/>
        <w:rPr>
          <w:rFonts w:ascii="仿宋_GB2312" w:eastAsia="仿宋_GB2312" w:hAnsi="宋体"/>
          <w:kern w:val="0"/>
          <w:sz w:val="28"/>
          <w:szCs w:val="28"/>
        </w:rPr>
      </w:pPr>
      <w:r>
        <w:rPr>
          <w:rFonts w:ascii="仿宋_GB2312" w:eastAsia="仿宋_GB2312" w:hAnsi="宋体" w:hint="eastAsia"/>
          <w:sz w:val="28"/>
          <w:szCs w:val="28"/>
        </w:rPr>
        <w:t>（1）估价结果是为人民法院确定财产处置参考价提供参考依据，估价时没有考虑国家宏观经济政策发生变化、市场供应发生变化、市场结构转变、遇有自然力和其他不可抗力等因素对房地产价值的影响</w:t>
      </w:r>
      <w:r>
        <w:rPr>
          <w:rFonts w:ascii="仿宋_GB2312" w:eastAsia="仿宋_GB2312" w:hAnsi="宋体" w:hint="eastAsia"/>
          <w:kern w:val="0"/>
          <w:sz w:val="28"/>
          <w:szCs w:val="28"/>
        </w:rPr>
        <w:t>，也没有考虑估价对象将来可能承担违约责任的事宜，以及特殊交易方式下的特殊交易价格等对拟评估价值的影响。当上述条件发生变化时，评估结果一般亦会发生变化。</w:t>
      </w:r>
    </w:p>
    <w:p w:rsidR="009B4E67" w:rsidRDefault="00AA46B4">
      <w:pPr>
        <w:widowControl/>
        <w:adjustRightInd w:val="0"/>
        <w:snapToGrid w:val="0"/>
        <w:spacing w:before="0" w:after="0"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（2）涉执房地产处置司法评估不应考虑评估对象被查封以及原有的担保物权和其他优先受偿权情况，本次评估假设估价对象为没有查封、未设立担保物权及其他优先受偿权的财产进行评估。</w:t>
      </w:r>
    </w:p>
    <w:p w:rsidR="009B4E67" w:rsidRDefault="00AA46B4">
      <w:pPr>
        <w:pStyle w:val="a0"/>
        <w:ind w:firstLineChars="200" w:firstLine="560"/>
      </w:pPr>
      <w:r>
        <w:rPr>
          <w:rFonts w:ascii="仿宋_GB2312" w:eastAsia="仿宋_GB2312" w:hAnsi="仿宋_GB2312" w:cs="仿宋_GB2312" w:hint="eastAsia"/>
          <w:snapToGrid w:val="0"/>
          <w:kern w:val="0"/>
          <w:sz w:val="28"/>
          <w:szCs w:val="20"/>
        </w:rPr>
        <w:t>（3）评估结果明细表中关于楼层、用途、结构等信息为估价人员根据现场勘察时确认，如与实际不符，评估报告应作相应调整。</w:t>
      </w:r>
    </w:p>
    <w:p w:rsidR="009B4E67" w:rsidRDefault="00AA46B4">
      <w:pPr>
        <w:widowControl/>
        <w:snapToGrid w:val="0"/>
        <w:spacing w:before="0" w:after="0" w:line="52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4、不相一致假设</w:t>
      </w:r>
    </w:p>
    <w:p w:rsidR="009B4E67" w:rsidRDefault="00AA46B4">
      <w:pPr>
        <w:widowControl/>
        <w:adjustRightInd w:val="0"/>
        <w:snapToGrid w:val="0"/>
        <w:spacing w:before="0" w:after="0" w:line="520" w:lineRule="exact"/>
        <w:ind w:firstLineChars="200" w:firstLine="560"/>
        <w:rPr>
          <w:rFonts w:ascii="仿宋_GB2312" w:eastAsia="仿宋_GB2312" w:hAnsi="宋体"/>
          <w:sz w:val="28"/>
          <w:szCs w:val="28"/>
        </w:rPr>
      </w:pPr>
      <w:r>
        <w:rPr>
          <w:rFonts w:ascii="仿宋_GB2312" w:eastAsia="仿宋_GB2312" w:hAnsi="宋体" w:hint="eastAsia"/>
          <w:kern w:val="0"/>
          <w:sz w:val="28"/>
          <w:szCs w:val="28"/>
        </w:rPr>
        <w:t>无不相一致假设。</w:t>
      </w:r>
    </w:p>
    <w:p w:rsidR="009B4E67" w:rsidRDefault="00AA46B4">
      <w:pPr>
        <w:widowControl/>
        <w:adjustRightInd w:val="0"/>
        <w:snapToGrid w:val="0"/>
        <w:spacing w:before="0" w:after="0" w:line="520" w:lineRule="exact"/>
        <w:ind w:firstLineChars="200" w:firstLine="562"/>
        <w:rPr>
          <w:rFonts w:ascii="仿宋_GB2312" w:eastAsia="仿宋_GB2312" w:hAnsi="宋体"/>
          <w:b/>
          <w:bCs/>
          <w:kern w:val="0"/>
          <w:sz w:val="28"/>
          <w:szCs w:val="28"/>
        </w:rPr>
      </w:pPr>
      <w:r>
        <w:rPr>
          <w:rFonts w:ascii="仿宋_GB2312" w:eastAsia="仿宋_GB2312" w:hAnsi="宋体" w:hint="eastAsia"/>
          <w:b/>
          <w:bCs/>
          <w:kern w:val="0"/>
          <w:sz w:val="28"/>
          <w:szCs w:val="28"/>
        </w:rPr>
        <w:t>5、依据不足假设</w:t>
      </w:r>
      <w:r>
        <w:rPr>
          <w:rFonts w:ascii="仿宋_GB2312" w:eastAsia="仿宋_GB2312" w:hAnsi="宋体" w:hint="eastAsia"/>
          <w:b/>
          <w:bCs/>
          <w:kern w:val="0"/>
          <w:sz w:val="28"/>
          <w:szCs w:val="28"/>
        </w:rPr>
        <w:tab/>
      </w:r>
    </w:p>
    <w:p w:rsidR="009B4E67" w:rsidRDefault="00AA46B4">
      <w:pPr>
        <w:widowControl/>
        <w:adjustRightInd w:val="0"/>
        <w:snapToGrid w:val="0"/>
        <w:spacing w:before="0" w:after="0"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无依据不足假设。</w:t>
      </w:r>
    </w:p>
    <w:p w:rsidR="009B4E67" w:rsidRDefault="00AA46B4">
      <w:pPr>
        <w:widowControl/>
        <w:snapToGrid w:val="0"/>
        <w:spacing w:before="0" w:after="0" w:line="52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6、估价报告使用限制</w:t>
      </w:r>
    </w:p>
    <w:p w:rsidR="009B4E67" w:rsidRDefault="00AA46B4">
      <w:pPr>
        <w:widowControl/>
        <w:adjustRightInd w:val="0"/>
        <w:snapToGrid w:val="0"/>
        <w:spacing w:before="0" w:after="0"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（1）本估价报告</w:t>
      </w:r>
      <w:r>
        <w:rPr>
          <w:rFonts w:ascii="仿宋_GB2312" w:eastAsia="仿宋_GB2312" w:hAnsi="仿宋_GB2312" w:cs="仿宋_GB2312" w:hint="eastAsia"/>
          <w:snapToGrid w:val="0"/>
          <w:kern w:val="0"/>
          <w:sz w:val="28"/>
          <w:szCs w:val="28"/>
        </w:rPr>
        <w:t>结果</w:t>
      </w:r>
      <w:r>
        <w:rPr>
          <w:rFonts w:ascii="仿宋_GB2312" w:eastAsia="仿宋_GB2312" w:hAnsi="宋体" w:hint="eastAsia"/>
          <w:sz w:val="28"/>
          <w:szCs w:val="28"/>
        </w:rPr>
        <w:t>仅为委托方在本次估价目的下使用，不作其他估价目的之用。如果估价条件或目的发生变化，估价报告需做相应调整。</w:t>
      </w:r>
    </w:p>
    <w:p w:rsidR="009B4E67" w:rsidRDefault="00AA46B4">
      <w:pPr>
        <w:widowControl/>
        <w:adjustRightInd w:val="0"/>
        <w:snapToGrid w:val="0"/>
        <w:spacing w:before="0" w:after="0"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（2）未经本估价机构书面同意，本报告的全部或任何一部分均不得向估价委托人、报告使用者、报告审查部门之外的单位和个人提供，也不得以任何形式公开发表，</w:t>
      </w:r>
      <w:r>
        <w:rPr>
          <w:rFonts w:ascii="仿宋_GB2312" w:eastAsia="仿宋_GB2312" w:hAnsi="宋体"/>
          <w:sz w:val="28"/>
          <w:szCs w:val="28"/>
        </w:rPr>
        <w:t>报告解释权为本</w:t>
      </w:r>
      <w:r>
        <w:rPr>
          <w:rFonts w:ascii="仿宋_GB2312" w:eastAsia="仿宋_GB2312" w:hAnsi="宋体" w:hint="eastAsia"/>
          <w:sz w:val="28"/>
          <w:szCs w:val="28"/>
        </w:rPr>
        <w:t>估价</w:t>
      </w:r>
      <w:r>
        <w:rPr>
          <w:rFonts w:ascii="仿宋_GB2312" w:eastAsia="仿宋_GB2312" w:hAnsi="宋体"/>
          <w:sz w:val="28"/>
          <w:szCs w:val="28"/>
        </w:rPr>
        <w:t>机构所有</w:t>
      </w:r>
      <w:r>
        <w:rPr>
          <w:rFonts w:ascii="仿宋_GB2312" w:eastAsia="仿宋_GB2312" w:hAnsi="宋体" w:hint="eastAsia"/>
          <w:sz w:val="28"/>
          <w:szCs w:val="28"/>
        </w:rPr>
        <w:t>。</w:t>
      </w:r>
    </w:p>
    <w:p w:rsidR="009B4E67" w:rsidRDefault="00AA46B4">
      <w:pPr>
        <w:widowControl/>
        <w:adjustRightInd w:val="0"/>
        <w:snapToGrid w:val="0"/>
        <w:spacing w:before="0" w:after="0"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（3）本报告必须完整使用方为有效，对仅使用本报告中部分内容而导致可能的损失，本估价机构不承担责任。</w:t>
      </w:r>
    </w:p>
    <w:p w:rsidR="009B4E67" w:rsidRDefault="00AA46B4">
      <w:pPr>
        <w:widowControl/>
        <w:adjustRightInd w:val="0"/>
        <w:snapToGrid w:val="0"/>
        <w:spacing w:before="0" w:after="0"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4）本次估价结果受价值时点的限制，且本估价报告使用期限自估价报告出具之日起为壹年。若报告使用期限内，房地产市场、建筑市场或估价对象自身状况发生重大变化，估价结果也需做相应调整或委托估价机构重新估价。</w:t>
      </w:r>
    </w:p>
    <w:p w:rsidR="009B4E67" w:rsidRDefault="00AA46B4">
      <w:pPr>
        <w:tabs>
          <w:tab w:val="left" w:pos="267"/>
        </w:tabs>
        <w:adjustRightInd w:val="0"/>
        <w:snapToGrid w:val="0"/>
        <w:spacing w:before="0" w:after="0" w:line="520" w:lineRule="exact"/>
        <w:ind w:firstLineChars="200" w:firstLine="560"/>
        <w:jc w:val="left"/>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（5）应当按照法律规定和评估报告载明的用途、使用人、使用期限等使用范围使用评估报告。否则，房地产估价机构和注册房地产估价师依法不承担责任。</w:t>
      </w:r>
    </w:p>
    <w:p w:rsidR="009B4E67" w:rsidRDefault="00AA46B4">
      <w:pPr>
        <w:tabs>
          <w:tab w:val="left" w:pos="267"/>
        </w:tabs>
        <w:adjustRightInd w:val="0"/>
        <w:snapToGrid w:val="0"/>
        <w:spacing w:before="0" w:after="0" w:line="520" w:lineRule="exact"/>
        <w:ind w:firstLineChars="200" w:firstLine="560"/>
        <w:jc w:val="left"/>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（6）评估结果仅为人民法院确定财产处置参考价服务，不是评估对象处置可实现的成交价格，也不应当被视为对评估对象处置成交价格的保证。</w:t>
      </w:r>
    </w:p>
    <w:p w:rsidR="009B4E67" w:rsidRDefault="00AA46B4">
      <w:pPr>
        <w:tabs>
          <w:tab w:val="left" w:pos="267"/>
        </w:tabs>
        <w:adjustRightInd w:val="0"/>
        <w:snapToGrid w:val="0"/>
        <w:spacing w:before="0" w:after="0" w:line="520" w:lineRule="exact"/>
        <w:ind w:firstLineChars="200" w:firstLine="560"/>
        <w:jc w:val="left"/>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7）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rsidR="009B4E67" w:rsidRDefault="00AA46B4">
      <w:pPr>
        <w:tabs>
          <w:tab w:val="left" w:pos="267"/>
        </w:tabs>
        <w:adjustRightInd w:val="0"/>
        <w:snapToGrid w:val="0"/>
        <w:spacing w:before="0" w:after="0" w:line="520" w:lineRule="exact"/>
        <w:ind w:firstLineChars="200" w:firstLine="560"/>
        <w:jc w:val="left"/>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（8）在评估报告使用期限或者评估结果有效期内，评估报告或者评估结果未使用之前，如果评估对象状况或者房地产市场状况发生明显变化的，评估结果应当进行相应调整后才可使用。</w:t>
      </w:r>
    </w:p>
    <w:p w:rsidR="009B4E67" w:rsidRDefault="00AA46B4">
      <w:pPr>
        <w:tabs>
          <w:tab w:val="left" w:pos="267"/>
        </w:tabs>
        <w:adjustRightInd w:val="0"/>
        <w:snapToGrid w:val="0"/>
        <w:spacing w:before="0" w:after="0" w:line="520" w:lineRule="exact"/>
        <w:ind w:firstLineChars="200" w:firstLine="560"/>
        <w:jc w:val="left"/>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9）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rsidR="009B4E67" w:rsidRDefault="00AA46B4">
      <w:pPr>
        <w:pStyle w:val="ae"/>
        <w:spacing w:before="0" w:after="0" w:line="360" w:lineRule="auto"/>
        <w:rPr>
          <w:rFonts w:ascii="楷体_GB2312" w:eastAsia="楷体_GB2312" w:hAnsi="楷体_GB2312" w:cs="楷体_GB2312"/>
          <w:bCs w:val="0"/>
          <w:color w:val="000000"/>
          <w:sz w:val="36"/>
          <w:szCs w:val="36"/>
          <w:lang w:val="zh-CN"/>
        </w:rPr>
      </w:pPr>
      <w:r>
        <w:rPr>
          <w:rFonts w:ascii="仿宋_GB2312" w:eastAsia="仿宋_GB2312"/>
          <w:color w:val="000000"/>
        </w:rPr>
        <w:br w:type="page"/>
      </w:r>
      <w:bookmarkStart w:id="5" w:name="_Toc15042"/>
      <w:r>
        <w:rPr>
          <w:rFonts w:ascii="楷体_GB2312" w:eastAsia="楷体_GB2312" w:hAnsi="楷体_GB2312" w:cs="楷体_GB2312" w:hint="eastAsia"/>
          <w:bCs w:val="0"/>
          <w:color w:val="000000"/>
          <w:sz w:val="36"/>
          <w:szCs w:val="36"/>
          <w:lang w:val="zh-CN"/>
        </w:rPr>
        <w:lastRenderedPageBreak/>
        <w:t>三、估价结果报告</w:t>
      </w:r>
      <w:bookmarkEnd w:id="5"/>
    </w:p>
    <w:p w:rsidR="009B4E67" w:rsidRDefault="00AA46B4">
      <w:pPr>
        <w:pStyle w:val="2"/>
        <w:keepLines w:val="0"/>
        <w:spacing w:before="0" w:after="0" w:line="540" w:lineRule="exact"/>
        <w:ind w:firstLineChars="200" w:firstLine="562"/>
        <w:jc w:val="left"/>
        <w:rPr>
          <w:rFonts w:ascii="仿宋_GB2312" w:eastAsia="仿宋_GB2312" w:hAnsi="仿宋_GB2312" w:cs="仿宋_GB2312"/>
          <w:color w:val="000000"/>
          <w:sz w:val="28"/>
          <w:szCs w:val="28"/>
        </w:rPr>
      </w:pPr>
      <w:bookmarkStart w:id="6" w:name="_Toc23713"/>
      <w:r>
        <w:rPr>
          <w:rFonts w:ascii="仿宋_GB2312" w:eastAsia="仿宋_GB2312" w:hAnsi="仿宋_GB2312" w:cs="仿宋_GB2312" w:hint="eastAsia"/>
          <w:color w:val="000000"/>
          <w:sz w:val="28"/>
          <w:szCs w:val="28"/>
        </w:rPr>
        <w:t>（一）估价委托人</w:t>
      </w:r>
      <w:bookmarkEnd w:id="6"/>
    </w:p>
    <w:p w:rsidR="009B4E67" w:rsidRDefault="00AA46B4">
      <w:pPr>
        <w:spacing w:before="0" w:after="0" w:line="540" w:lineRule="exact"/>
        <w:ind w:right="34"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委托人：赣州经济技术开发区人民法院</w:t>
      </w:r>
    </w:p>
    <w:p w:rsidR="009B4E67" w:rsidRDefault="00AA46B4">
      <w:pPr>
        <w:pStyle w:val="2"/>
        <w:keepLines w:val="0"/>
        <w:spacing w:before="0" w:after="0" w:line="540" w:lineRule="exact"/>
        <w:ind w:firstLineChars="200" w:firstLine="562"/>
        <w:jc w:val="left"/>
        <w:rPr>
          <w:rFonts w:ascii="仿宋_GB2312" w:eastAsia="仿宋_GB2312" w:hAnsi="仿宋_GB2312" w:cs="仿宋_GB2312"/>
          <w:color w:val="000000"/>
          <w:sz w:val="28"/>
          <w:szCs w:val="28"/>
        </w:rPr>
      </w:pPr>
      <w:bookmarkStart w:id="7" w:name="_Toc21218"/>
      <w:r>
        <w:rPr>
          <w:rFonts w:ascii="仿宋_GB2312" w:eastAsia="仿宋_GB2312" w:hAnsi="仿宋_GB2312" w:cs="仿宋_GB2312" w:hint="eastAsia"/>
          <w:color w:val="000000"/>
          <w:sz w:val="28"/>
          <w:szCs w:val="28"/>
        </w:rPr>
        <w:t>（二）房地产估价机构</w:t>
      </w:r>
      <w:bookmarkEnd w:id="7"/>
    </w:p>
    <w:p w:rsidR="009B4E67" w:rsidRDefault="00AA46B4">
      <w:pPr>
        <w:spacing w:before="0" w:after="0" w:line="540" w:lineRule="exact"/>
        <w:ind w:right="34" w:firstLineChars="200" w:firstLine="560"/>
        <w:rPr>
          <w:rFonts w:ascii="仿宋_GB2312" w:eastAsia="仿宋_GB2312" w:hAnsi="宋体"/>
          <w:sz w:val="28"/>
          <w:szCs w:val="28"/>
        </w:rPr>
      </w:pPr>
      <w:r>
        <w:rPr>
          <w:rFonts w:ascii="仿宋_GB2312" w:eastAsia="仿宋_GB2312" w:hAnsi="宋体"/>
          <w:sz w:val="28"/>
          <w:szCs w:val="28"/>
        </w:rPr>
        <w:t>机构名称：江西仁信房地产资产评估有限公司</w:t>
      </w:r>
    </w:p>
    <w:p w:rsidR="009B4E67" w:rsidRDefault="00AA46B4">
      <w:pPr>
        <w:spacing w:before="0" w:after="0" w:line="540" w:lineRule="exact"/>
        <w:ind w:right="34" w:firstLineChars="200" w:firstLine="560"/>
        <w:rPr>
          <w:rFonts w:ascii="仿宋_GB2312" w:eastAsia="仿宋_GB2312" w:hAnsi="宋体"/>
          <w:sz w:val="28"/>
          <w:szCs w:val="28"/>
        </w:rPr>
      </w:pPr>
      <w:r>
        <w:rPr>
          <w:rFonts w:ascii="仿宋_GB2312" w:eastAsia="仿宋_GB2312" w:hAnsi="宋体"/>
          <w:sz w:val="28"/>
          <w:szCs w:val="28"/>
        </w:rPr>
        <w:t>机构住所：江西省南昌市红谷滩区赣江南大道1888号滨江商务中心</w:t>
      </w:r>
    </w:p>
    <w:p w:rsidR="009B4E67" w:rsidRDefault="00AA46B4">
      <w:pPr>
        <w:spacing w:before="0" w:after="0" w:line="540" w:lineRule="exact"/>
        <w:ind w:right="34" w:firstLineChars="200" w:firstLine="560"/>
        <w:rPr>
          <w:rFonts w:ascii="仿宋_GB2312" w:eastAsia="仿宋_GB2312" w:hAnsi="宋体"/>
          <w:sz w:val="28"/>
          <w:szCs w:val="28"/>
        </w:rPr>
      </w:pPr>
      <w:r>
        <w:rPr>
          <w:rFonts w:ascii="仿宋_GB2312" w:eastAsia="仿宋_GB2312" w:hAnsi="宋体"/>
          <w:sz w:val="28"/>
          <w:szCs w:val="28"/>
        </w:rPr>
        <w:t>2#楼2916室</w:t>
      </w:r>
    </w:p>
    <w:p w:rsidR="009B4E67" w:rsidRDefault="00AA46B4">
      <w:pPr>
        <w:spacing w:before="0" w:after="0" w:line="540" w:lineRule="exact"/>
        <w:ind w:right="34" w:firstLineChars="200" w:firstLine="560"/>
        <w:rPr>
          <w:rFonts w:ascii="仿宋_GB2312" w:eastAsia="仿宋_GB2312" w:hAnsi="宋体"/>
          <w:sz w:val="28"/>
          <w:szCs w:val="28"/>
        </w:rPr>
      </w:pPr>
      <w:r>
        <w:rPr>
          <w:rFonts w:ascii="仿宋_GB2312" w:eastAsia="仿宋_GB2312" w:hAnsi="宋体"/>
          <w:sz w:val="28"/>
          <w:szCs w:val="28"/>
        </w:rPr>
        <w:t>统一社会信用代码：91</w:t>
      </w:r>
      <w:r>
        <w:rPr>
          <w:rFonts w:ascii="仿宋_GB2312" w:eastAsia="仿宋_GB2312" w:hAnsi="宋体" w:hint="eastAsia"/>
          <w:sz w:val="28"/>
          <w:szCs w:val="28"/>
        </w:rPr>
        <w:t>3610007542051843</w:t>
      </w:r>
    </w:p>
    <w:p w:rsidR="009B4E67" w:rsidRDefault="00AA46B4">
      <w:pPr>
        <w:spacing w:before="0" w:after="0" w:line="540" w:lineRule="exact"/>
        <w:ind w:right="34" w:firstLineChars="200" w:firstLine="560"/>
        <w:rPr>
          <w:rFonts w:ascii="仿宋_GB2312" w:eastAsia="仿宋_GB2312" w:hAnsi="宋体"/>
          <w:sz w:val="28"/>
          <w:szCs w:val="28"/>
        </w:rPr>
      </w:pPr>
      <w:r>
        <w:rPr>
          <w:rFonts w:ascii="仿宋_GB2312" w:eastAsia="仿宋_GB2312" w:hAnsi="宋体" w:hint="eastAsia"/>
          <w:sz w:val="28"/>
          <w:szCs w:val="28"/>
        </w:rPr>
        <w:t>证书编号</w:t>
      </w:r>
      <w:r>
        <w:rPr>
          <w:rFonts w:ascii="仿宋_GB2312" w:eastAsia="仿宋_GB2312" w:hAnsi="宋体"/>
          <w:sz w:val="28"/>
          <w:szCs w:val="28"/>
        </w:rPr>
        <w:t>：</w:t>
      </w:r>
      <w:r>
        <w:rPr>
          <w:rFonts w:ascii="仿宋_GB2312" w:eastAsia="仿宋_GB2312" w:hAnsi="宋体" w:hint="eastAsia"/>
          <w:sz w:val="28"/>
          <w:szCs w:val="28"/>
        </w:rPr>
        <w:t>赣建房评字102号</w:t>
      </w:r>
    </w:p>
    <w:p w:rsidR="009B4E67" w:rsidRDefault="00AA46B4">
      <w:pPr>
        <w:spacing w:before="0" w:after="0" w:line="540" w:lineRule="exact"/>
        <w:ind w:right="34" w:firstLineChars="200" w:firstLine="560"/>
        <w:rPr>
          <w:rFonts w:ascii="仿宋_GB2312" w:eastAsia="仿宋_GB2312" w:hAnsi="宋体"/>
          <w:sz w:val="28"/>
          <w:szCs w:val="28"/>
        </w:rPr>
      </w:pPr>
      <w:r>
        <w:rPr>
          <w:rFonts w:ascii="仿宋_GB2312" w:eastAsia="仿宋_GB2312" w:hAnsi="宋体"/>
          <w:sz w:val="28"/>
          <w:szCs w:val="28"/>
        </w:rPr>
        <w:t>备案等级：</w:t>
      </w:r>
      <w:r>
        <w:rPr>
          <w:rFonts w:ascii="仿宋_GB2312" w:eastAsia="仿宋_GB2312" w:hAnsi="宋体" w:hint="eastAsia"/>
          <w:sz w:val="28"/>
          <w:szCs w:val="28"/>
        </w:rPr>
        <w:t>贰</w:t>
      </w:r>
      <w:r>
        <w:rPr>
          <w:rFonts w:ascii="仿宋_GB2312" w:eastAsia="仿宋_GB2312" w:hAnsi="宋体"/>
          <w:sz w:val="28"/>
          <w:szCs w:val="28"/>
        </w:rPr>
        <w:t>级</w:t>
      </w:r>
    </w:p>
    <w:p w:rsidR="009B4E67" w:rsidRDefault="00AA46B4">
      <w:pPr>
        <w:spacing w:before="0" w:after="0" w:line="540" w:lineRule="exact"/>
        <w:ind w:right="34" w:firstLineChars="200" w:firstLine="560"/>
        <w:rPr>
          <w:rFonts w:ascii="仿宋_GB2312" w:eastAsia="仿宋_GB2312" w:hAnsi="宋体"/>
          <w:sz w:val="28"/>
          <w:szCs w:val="28"/>
        </w:rPr>
      </w:pPr>
      <w:r>
        <w:rPr>
          <w:rFonts w:ascii="仿宋_GB2312" w:eastAsia="仿宋_GB2312" w:hAnsi="宋体"/>
          <w:sz w:val="28"/>
          <w:szCs w:val="28"/>
        </w:rPr>
        <w:t>有 效 期：至</w:t>
      </w:r>
      <w:r>
        <w:rPr>
          <w:rFonts w:ascii="仿宋_GB2312" w:eastAsia="仿宋_GB2312" w:hAnsi="宋体" w:hint="eastAsia"/>
          <w:sz w:val="28"/>
          <w:szCs w:val="28"/>
        </w:rPr>
        <w:t>2023</w:t>
      </w:r>
      <w:r>
        <w:rPr>
          <w:rFonts w:ascii="仿宋_GB2312" w:eastAsia="仿宋_GB2312" w:hAnsi="宋体"/>
          <w:sz w:val="28"/>
          <w:szCs w:val="28"/>
        </w:rPr>
        <w:t>年</w:t>
      </w:r>
      <w:r>
        <w:rPr>
          <w:rFonts w:ascii="仿宋_GB2312" w:eastAsia="仿宋_GB2312" w:hAnsi="宋体" w:hint="eastAsia"/>
          <w:sz w:val="28"/>
          <w:szCs w:val="28"/>
        </w:rPr>
        <w:t>11</w:t>
      </w:r>
      <w:r>
        <w:rPr>
          <w:rFonts w:ascii="仿宋_GB2312" w:eastAsia="仿宋_GB2312" w:hAnsi="宋体"/>
          <w:sz w:val="28"/>
          <w:szCs w:val="28"/>
        </w:rPr>
        <w:t>月</w:t>
      </w:r>
      <w:r>
        <w:rPr>
          <w:rFonts w:ascii="仿宋_GB2312" w:eastAsia="仿宋_GB2312" w:hAnsi="宋体" w:hint="eastAsia"/>
          <w:sz w:val="28"/>
          <w:szCs w:val="28"/>
        </w:rPr>
        <w:t>11</w:t>
      </w:r>
      <w:r>
        <w:rPr>
          <w:rFonts w:ascii="仿宋_GB2312" w:eastAsia="仿宋_GB2312" w:hAnsi="宋体"/>
          <w:sz w:val="28"/>
          <w:szCs w:val="28"/>
        </w:rPr>
        <w:t>日</w:t>
      </w:r>
    </w:p>
    <w:p w:rsidR="009B4E67" w:rsidRDefault="00AA46B4">
      <w:pPr>
        <w:spacing w:before="0" w:after="0" w:line="540" w:lineRule="exact"/>
        <w:ind w:right="34" w:firstLineChars="200" w:firstLine="560"/>
        <w:rPr>
          <w:rFonts w:ascii="仿宋_GB2312" w:eastAsia="仿宋_GB2312" w:hAnsi="宋体"/>
          <w:sz w:val="28"/>
          <w:szCs w:val="28"/>
        </w:rPr>
      </w:pPr>
      <w:r>
        <w:rPr>
          <w:rFonts w:ascii="仿宋_GB2312" w:eastAsia="仿宋_GB2312" w:hAnsi="宋体"/>
          <w:sz w:val="28"/>
          <w:szCs w:val="28"/>
        </w:rPr>
        <w:t>法定代表人：欧胜华</w:t>
      </w:r>
    </w:p>
    <w:p w:rsidR="009B4E67" w:rsidRDefault="00AA46B4">
      <w:pPr>
        <w:spacing w:before="0" w:after="0" w:line="540" w:lineRule="exact"/>
        <w:ind w:right="34" w:firstLineChars="200" w:firstLine="560"/>
        <w:rPr>
          <w:rFonts w:ascii="仿宋_GB2312" w:eastAsia="仿宋_GB2312" w:hAnsi="宋体"/>
          <w:sz w:val="28"/>
          <w:szCs w:val="28"/>
        </w:rPr>
      </w:pPr>
      <w:r>
        <w:rPr>
          <w:rFonts w:ascii="仿宋_GB2312" w:eastAsia="仿宋_GB2312" w:hAnsi="宋体"/>
          <w:sz w:val="28"/>
          <w:szCs w:val="28"/>
        </w:rPr>
        <w:t>联 系 电话：0791-87678282</w:t>
      </w:r>
    </w:p>
    <w:p w:rsidR="009B4E67" w:rsidRDefault="00AA46B4">
      <w:pPr>
        <w:pStyle w:val="2"/>
        <w:keepLines w:val="0"/>
        <w:spacing w:before="0" w:after="0" w:line="540" w:lineRule="exact"/>
        <w:ind w:firstLineChars="200" w:firstLine="562"/>
        <w:jc w:val="left"/>
        <w:rPr>
          <w:rFonts w:ascii="仿宋_GB2312" w:eastAsia="仿宋_GB2312" w:hAnsi="仿宋_GB2312" w:cs="仿宋_GB2312"/>
          <w:color w:val="000000"/>
          <w:sz w:val="28"/>
          <w:szCs w:val="28"/>
        </w:rPr>
      </w:pPr>
      <w:bookmarkStart w:id="8" w:name="_Toc17648"/>
      <w:r>
        <w:rPr>
          <w:rFonts w:ascii="仿宋_GB2312" w:eastAsia="仿宋_GB2312" w:hAnsi="仿宋_GB2312" w:cs="仿宋_GB2312" w:hint="eastAsia"/>
          <w:color w:val="000000"/>
          <w:sz w:val="28"/>
          <w:szCs w:val="28"/>
        </w:rPr>
        <w:t>（三）估价目的</w:t>
      </w:r>
      <w:bookmarkEnd w:id="8"/>
    </w:p>
    <w:p w:rsidR="009B4E67" w:rsidRDefault="00AA46B4">
      <w:pPr>
        <w:spacing w:before="0" w:after="0" w:line="540" w:lineRule="exact"/>
        <w:ind w:right="34" w:firstLineChars="200" w:firstLine="560"/>
        <w:rPr>
          <w:rFonts w:ascii="仿宋_GB2312" w:eastAsia="仿宋_GB2312" w:hAnsi="宋体"/>
          <w:color w:val="000000"/>
          <w:sz w:val="28"/>
          <w:szCs w:val="28"/>
        </w:rPr>
      </w:pPr>
      <w:r>
        <w:rPr>
          <w:rFonts w:ascii="仿宋_GB2312" w:eastAsia="仿宋_GB2312" w:hAnsi="仿宋_GB2312" w:cs="仿宋_GB2312" w:hint="eastAsia"/>
          <w:snapToGrid w:val="0"/>
          <w:kern w:val="0"/>
          <w:sz w:val="28"/>
          <w:szCs w:val="20"/>
        </w:rPr>
        <w:t>为人民法院确定财产处置参考价提供参考依据。</w:t>
      </w:r>
    </w:p>
    <w:p w:rsidR="009B4E67" w:rsidRDefault="00AA46B4">
      <w:pPr>
        <w:pStyle w:val="2"/>
        <w:keepLines w:val="0"/>
        <w:spacing w:before="0" w:after="0" w:line="540" w:lineRule="exact"/>
        <w:ind w:firstLineChars="200" w:firstLine="562"/>
        <w:jc w:val="left"/>
        <w:rPr>
          <w:rFonts w:ascii="仿宋_GB2312" w:eastAsia="仿宋_GB2312" w:hAnsi="仿宋_GB2312" w:cs="仿宋_GB2312"/>
          <w:color w:val="000000"/>
          <w:sz w:val="28"/>
          <w:szCs w:val="28"/>
        </w:rPr>
      </w:pPr>
      <w:bookmarkStart w:id="9" w:name="_Toc30465"/>
      <w:r>
        <w:rPr>
          <w:rFonts w:ascii="仿宋_GB2312" w:eastAsia="仿宋_GB2312" w:hAnsi="仿宋_GB2312" w:cs="仿宋_GB2312" w:hint="eastAsia"/>
          <w:color w:val="000000"/>
          <w:sz w:val="28"/>
          <w:szCs w:val="28"/>
        </w:rPr>
        <w:t>（四）估价对象</w:t>
      </w:r>
      <w:bookmarkEnd w:id="9"/>
    </w:p>
    <w:p w:rsidR="009B4E67" w:rsidRDefault="00AA46B4">
      <w:pPr>
        <w:spacing w:before="0" w:after="0" w:line="540" w:lineRule="exact"/>
        <w:ind w:right="34"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1、估价对象范围</w:t>
      </w:r>
    </w:p>
    <w:p w:rsidR="009B4E67" w:rsidRDefault="00AA46B4">
      <w:pPr>
        <w:spacing w:before="0" w:after="0" w:line="540" w:lineRule="exact"/>
        <w:ind w:right="34" w:firstLineChars="200" w:firstLine="560"/>
        <w:rPr>
          <w:rFonts w:ascii="仿宋_GB2312" w:eastAsia="仿宋_GB2312" w:hAnsi="仿宋_GB2312" w:cs="仿宋_GB2312"/>
          <w:snapToGrid w:val="0"/>
          <w:kern w:val="0"/>
          <w:sz w:val="28"/>
          <w:szCs w:val="20"/>
        </w:rPr>
      </w:pPr>
      <w:r>
        <w:rPr>
          <w:rFonts w:ascii="仿宋_GB2312" w:eastAsia="仿宋_GB2312" w:hAnsi="仿宋_GB2312" w:cs="仿宋_GB2312" w:hint="eastAsia"/>
          <w:snapToGrid w:val="0"/>
          <w:kern w:val="0"/>
          <w:sz w:val="28"/>
          <w:szCs w:val="20"/>
        </w:rPr>
        <w:t>估价对象为赣州市云山路龙都商城G3185#店等共49套</w:t>
      </w:r>
      <w:r>
        <w:rPr>
          <w:rFonts w:ascii="仿宋_GB2312" w:eastAsia="仿宋_GB2312" w:hAnsi="仿宋_GB2312" w:cs="仿宋_GB2312" w:hint="eastAsia"/>
          <w:sz w:val="28"/>
          <w:szCs w:val="28"/>
        </w:rPr>
        <w:t>房地产</w:t>
      </w:r>
      <w:r>
        <w:rPr>
          <w:rFonts w:ascii="仿宋_GB2312" w:eastAsia="仿宋_GB2312" w:hAnsi="仿宋_GB2312" w:cs="仿宋_GB2312" w:hint="eastAsia"/>
          <w:snapToGrid w:val="0"/>
          <w:kern w:val="0"/>
          <w:sz w:val="28"/>
          <w:szCs w:val="20"/>
        </w:rPr>
        <w:t>，估价对象1-6产权人为黄维腾，估价对象7-49产权人为黄飞羽，房屋建筑面积合计为1380.97平方米，估价对象1-6实际用途</w:t>
      </w:r>
      <w:r>
        <w:rPr>
          <w:rFonts w:eastAsia="仿宋_GB2312" w:hint="eastAsia"/>
          <w:snapToGrid w:val="0"/>
          <w:kern w:val="0"/>
          <w:sz w:val="28"/>
          <w:szCs w:val="20"/>
        </w:rPr>
        <w:t>为商业，估价对象</w:t>
      </w:r>
      <w:r>
        <w:rPr>
          <w:rFonts w:eastAsia="仿宋_GB2312" w:hint="eastAsia"/>
          <w:snapToGrid w:val="0"/>
          <w:kern w:val="0"/>
          <w:sz w:val="28"/>
          <w:szCs w:val="20"/>
        </w:rPr>
        <w:t>7-48</w:t>
      </w:r>
      <w:r>
        <w:rPr>
          <w:rFonts w:eastAsia="仿宋_GB2312" w:hint="eastAsia"/>
          <w:snapToGrid w:val="0"/>
          <w:kern w:val="0"/>
          <w:sz w:val="28"/>
          <w:szCs w:val="20"/>
        </w:rPr>
        <w:t>实际用途为车位，估价对象</w:t>
      </w:r>
      <w:r>
        <w:rPr>
          <w:rFonts w:eastAsia="仿宋_GB2312" w:hint="eastAsia"/>
          <w:snapToGrid w:val="0"/>
          <w:kern w:val="0"/>
          <w:sz w:val="28"/>
          <w:szCs w:val="20"/>
        </w:rPr>
        <w:t>49</w:t>
      </w:r>
      <w:r>
        <w:rPr>
          <w:rFonts w:eastAsia="仿宋_GB2312" w:hint="eastAsia"/>
          <w:snapToGrid w:val="0"/>
          <w:kern w:val="0"/>
          <w:sz w:val="28"/>
          <w:szCs w:val="20"/>
        </w:rPr>
        <w:t>实际用途为车库；</w:t>
      </w:r>
      <w:r>
        <w:rPr>
          <w:rFonts w:ascii="仿宋_GB2312" w:eastAsia="仿宋_GB2312" w:hAnsi="仿宋_GB2312" w:cs="仿宋_GB2312" w:hint="eastAsia"/>
          <w:snapToGrid w:val="0"/>
          <w:kern w:val="0"/>
          <w:sz w:val="28"/>
          <w:szCs w:val="20"/>
        </w:rPr>
        <w:t>本次评估的对象包括房屋的所有权、分摊的土地使用权和确保其正常使用功能不可分割的基本设备设施及不可移动的装饰装修。</w:t>
      </w:r>
    </w:p>
    <w:p w:rsidR="009B4E67" w:rsidRDefault="00AA46B4">
      <w:pPr>
        <w:spacing w:before="0" w:after="0" w:line="540" w:lineRule="exact"/>
        <w:ind w:right="34" w:firstLineChars="200" w:firstLine="560"/>
        <w:rPr>
          <w:rFonts w:ascii="仿宋_GB2312" w:eastAsia="仿宋_GB2312" w:hAnsi="宋体"/>
          <w:sz w:val="28"/>
          <w:szCs w:val="28"/>
        </w:rPr>
      </w:pPr>
      <w:r>
        <w:rPr>
          <w:rFonts w:ascii="仿宋_GB2312" w:eastAsia="仿宋_GB2312" w:hAnsi="宋体" w:hint="eastAsia"/>
          <w:sz w:val="28"/>
          <w:szCs w:val="28"/>
        </w:rPr>
        <w:t>2、土地基本状况</w:t>
      </w:r>
    </w:p>
    <w:p w:rsidR="009B4E67" w:rsidRDefault="00AA46B4">
      <w:pPr>
        <w:spacing w:before="0" w:after="0" w:line="540" w:lineRule="exact"/>
        <w:ind w:right="34" w:firstLineChars="200" w:firstLine="560"/>
        <w:rPr>
          <w:rFonts w:ascii="仿宋_GB2312" w:eastAsia="仿宋_GB2312" w:hAnsi="宋体"/>
          <w:sz w:val="28"/>
          <w:szCs w:val="28"/>
        </w:rPr>
      </w:pPr>
      <w:r>
        <w:rPr>
          <w:rFonts w:ascii="仿宋_GB2312" w:eastAsia="仿宋_GB2312" w:hAnsi="宋体" w:hint="eastAsia"/>
          <w:sz w:val="28"/>
          <w:szCs w:val="28"/>
        </w:rPr>
        <w:lastRenderedPageBreak/>
        <w:t>根据委托方提供的资料及现场查勘，估价对象1-6坐落</w:t>
      </w:r>
      <w:r>
        <w:rPr>
          <w:rFonts w:ascii="仿宋_GB2312" w:eastAsia="仿宋_GB2312" w:hAnsi="仿宋_GB2312" w:cs="仿宋_GB2312" w:hint="eastAsia"/>
          <w:snapToGrid w:val="0"/>
          <w:kern w:val="0"/>
          <w:sz w:val="28"/>
          <w:szCs w:val="20"/>
        </w:rPr>
        <w:t>赣州市云山路龙都商城</w:t>
      </w:r>
      <w:r>
        <w:rPr>
          <w:rFonts w:ascii="仿宋_GB2312" w:eastAsia="仿宋_GB2312" w:hAnsi="宋体" w:hint="eastAsia"/>
          <w:sz w:val="28"/>
          <w:szCs w:val="28"/>
        </w:rPr>
        <w:t>，宗地形状较规则，地形较平坦，地质条件良好，土地开发程度为红线内外“五通”（指通路、通电、供水、排水、通讯）；估价对象7-49坐落赣州经济技术开发区金东路13号隐龙山庄，宗地形状较规则，地形较平坦，地质条件良好，土地开发程度为红线内外“五通”（指通路、通电、供水、排水、通讯）。</w:t>
      </w:r>
    </w:p>
    <w:p w:rsidR="009B4E67" w:rsidRDefault="00AA46B4">
      <w:pPr>
        <w:spacing w:before="0" w:after="0" w:line="540" w:lineRule="exact"/>
        <w:ind w:right="34" w:firstLineChars="200" w:firstLine="560"/>
        <w:rPr>
          <w:rFonts w:ascii="仿宋_GB2312" w:eastAsia="仿宋_GB2312" w:hAnsi="宋体"/>
          <w:sz w:val="28"/>
          <w:szCs w:val="28"/>
        </w:rPr>
      </w:pPr>
      <w:r>
        <w:rPr>
          <w:rFonts w:ascii="仿宋_GB2312" w:eastAsia="仿宋_GB2312" w:hAnsi="宋体" w:hint="eastAsia"/>
          <w:sz w:val="28"/>
          <w:szCs w:val="28"/>
        </w:rPr>
        <w:t>3、建筑物基本状况</w:t>
      </w:r>
    </w:p>
    <w:p w:rsidR="009B4E67" w:rsidRDefault="00AA46B4">
      <w:pPr>
        <w:spacing w:before="0" w:after="0" w:line="540" w:lineRule="exact"/>
        <w:ind w:right="34" w:firstLine="560"/>
        <w:rPr>
          <w:rFonts w:eastAsia="仿宋_GB2312"/>
          <w:snapToGrid w:val="0"/>
          <w:kern w:val="0"/>
          <w:sz w:val="28"/>
          <w:szCs w:val="20"/>
        </w:rPr>
      </w:pPr>
      <w:r>
        <w:rPr>
          <w:rFonts w:ascii="仿宋_GB2312" w:eastAsia="仿宋_GB2312" w:hAnsi="宋体" w:hint="eastAsia"/>
          <w:sz w:val="28"/>
          <w:szCs w:val="28"/>
        </w:rPr>
        <w:t>根据估价委托人提供的</w:t>
      </w:r>
      <w:r>
        <w:rPr>
          <w:rFonts w:ascii="仿宋_GB2312" w:eastAsia="仿宋_GB2312" w:hAnsi="宋体" w:hint="eastAsia"/>
          <w:kern w:val="0"/>
          <w:sz w:val="28"/>
          <w:szCs w:val="28"/>
        </w:rPr>
        <w:t>《</w:t>
      </w:r>
      <w:r>
        <w:rPr>
          <w:rFonts w:ascii="仿宋_GB2312" w:eastAsia="仿宋_GB2312" w:hAnsi="仿宋_GB2312" w:cs="仿宋_GB2312" w:hint="eastAsia"/>
          <w:snapToGrid w:val="0"/>
          <w:kern w:val="0"/>
          <w:sz w:val="28"/>
          <w:szCs w:val="28"/>
        </w:rPr>
        <w:t>不动产登记信息查询结果</w:t>
      </w:r>
      <w:r>
        <w:rPr>
          <w:rFonts w:ascii="仿宋_GB2312" w:eastAsia="仿宋_GB2312" w:hAnsi="宋体" w:hint="eastAsia"/>
          <w:kern w:val="0"/>
          <w:sz w:val="28"/>
          <w:szCs w:val="28"/>
        </w:rPr>
        <w:t>》</w:t>
      </w:r>
      <w:r>
        <w:rPr>
          <w:rFonts w:ascii="仿宋_GB2312" w:eastAsia="仿宋_GB2312" w:hAnsi="宋体" w:hint="eastAsia"/>
          <w:sz w:val="28"/>
          <w:szCs w:val="28"/>
        </w:rPr>
        <w:t>及估价师现场勘察，估价对象包含49套物业，</w:t>
      </w:r>
      <w:r>
        <w:rPr>
          <w:rFonts w:ascii="仿宋_GB2312" w:eastAsia="仿宋_GB2312" w:hAnsi="仿宋_GB2312" w:cs="仿宋_GB2312" w:hint="eastAsia"/>
          <w:snapToGrid w:val="0"/>
          <w:kern w:val="0"/>
          <w:sz w:val="28"/>
          <w:szCs w:val="20"/>
        </w:rPr>
        <w:t>建筑面积合计为1380.97平方米，</w:t>
      </w:r>
      <w:r>
        <w:rPr>
          <w:rFonts w:eastAsia="仿宋_GB2312" w:hint="eastAsia"/>
          <w:snapToGrid w:val="0"/>
          <w:kern w:val="0"/>
          <w:sz w:val="28"/>
          <w:szCs w:val="20"/>
        </w:rPr>
        <w:t>具体详见（</w:t>
      </w:r>
      <w:r>
        <w:rPr>
          <w:rFonts w:ascii="仿宋_GB2312" w:eastAsia="仿宋_GB2312" w:hAnsi="仿宋_GB2312" w:cs="仿宋_GB2312" w:hint="eastAsia"/>
          <w:sz w:val="28"/>
          <w:szCs w:val="28"/>
        </w:rPr>
        <w:t>评估结果明细表</w:t>
      </w:r>
      <w:r>
        <w:rPr>
          <w:rFonts w:eastAsia="仿宋_GB2312" w:hint="eastAsia"/>
          <w:snapToGrid w:val="0"/>
          <w:kern w:val="0"/>
          <w:sz w:val="28"/>
          <w:szCs w:val="20"/>
        </w:rPr>
        <w:t>）。</w:t>
      </w:r>
    </w:p>
    <w:p w:rsidR="009B4E67" w:rsidRDefault="00AA46B4">
      <w:pPr>
        <w:pStyle w:val="a0"/>
        <w:ind w:firstLineChars="200" w:firstLine="560"/>
      </w:pPr>
      <w:r>
        <w:rPr>
          <w:rFonts w:ascii="仿宋_GB2312" w:eastAsia="仿宋_GB2312" w:hAnsi="仿宋_GB2312" w:cs="仿宋_GB2312" w:hint="eastAsia"/>
          <w:snapToGrid w:val="0"/>
          <w:kern w:val="0"/>
          <w:sz w:val="28"/>
          <w:szCs w:val="20"/>
        </w:rPr>
        <w:t>建筑物通风采光一般，维护保养一般，新旧程度一般，估价对象1-3目前当仓库使用，估价对象4-6出租中，估价对象7-49为车位、车库。（具体详见附件估价对象图片）</w:t>
      </w:r>
    </w:p>
    <w:p w:rsidR="009B4E67" w:rsidRDefault="00AA46B4">
      <w:pPr>
        <w:spacing w:before="0" w:after="0" w:line="54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4、估价对象权益状况</w:t>
      </w:r>
    </w:p>
    <w:p w:rsidR="009B4E67" w:rsidRDefault="00AA46B4">
      <w:pPr>
        <w:spacing w:before="0" w:after="0" w:line="54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根据委托方提供的资料及现场调查，估价对象于价值时点已查封，</w:t>
      </w:r>
      <w:r>
        <w:rPr>
          <w:rFonts w:ascii="仿宋_GB2312" w:eastAsia="仿宋_GB2312" w:hAnsi="仿宋_GB2312" w:cs="仿宋_GB2312" w:hint="eastAsia"/>
          <w:sz w:val="28"/>
          <w:szCs w:val="28"/>
        </w:rPr>
        <w:t>根据委托方提供的资料显示</w:t>
      </w:r>
      <w:r>
        <w:rPr>
          <w:rFonts w:ascii="仿宋_GB2312" w:eastAsia="仿宋_GB2312" w:hAnsi="宋体" w:hint="eastAsia"/>
          <w:color w:val="000000"/>
          <w:sz w:val="28"/>
          <w:szCs w:val="28"/>
        </w:rPr>
        <w:t>无抵押情况。根据本次估价目的是为</w:t>
      </w:r>
      <w:r>
        <w:rPr>
          <w:rFonts w:ascii="仿宋_GB2312" w:eastAsia="仿宋_GB2312" w:hAnsi="仿宋_GB2312" w:cs="仿宋_GB2312" w:hint="eastAsia"/>
          <w:snapToGrid w:val="0"/>
          <w:kern w:val="0"/>
          <w:sz w:val="28"/>
          <w:szCs w:val="20"/>
        </w:rPr>
        <w:t>人民法院确定财产处置参考价提供参考依据</w:t>
      </w:r>
      <w:r>
        <w:rPr>
          <w:rFonts w:ascii="仿宋_GB2312" w:eastAsia="仿宋_GB2312" w:hAnsi="宋体" w:hint="eastAsia"/>
          <w:color w:val="000000"/>
          <w:sz w:val="28"/>
          <w:szCs w:val="28"/>
        </w:rPr>
        <w:t>，故本次评估未考虑估价对象被查封以及原有的担保物权和其他优先受偿权的影响。</w:t>
      </w:r>
    </w:p>
    <w:p w:rsidR="009B4E67" w:rsidRDefault="00AA46B4">
      <w:pPr>
        <w:spacing w:before="0" w:after="0" w:line="54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5、委估对象区位状况</w:t>
      </w:r>
    </w:p>
    <w:p w:rsidR="009B4E67" w:rsidRDefault="00AA46B4">
      <w:pPr>
        <w:spacing w:before="0" w:after="0" w:line="54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赣州，</w:t>
      </w:r>
      <w:hyperlink r:id="rId13" w:tgtFrame="https://baike.so.com/doc/_blank" w:history="1">
        <w:r>
          <w:rPr>
            <w:rFonts w:ascii="仿宋_GB2312" w:eastAsia="仿宋_GB2312" w:hAnsi="宋体"/>
            <w:color w:val="000000"/>
            <w:sz w:val="28"/>
            <w:szCs w:val="28"/>
          </w:rPr>
          <w:t>江西省</w:t>
        </w:r>
      </w:hyperlink>
      <w:r>
        <w:rPr>
          <w:rFonts w:ascii="仿宋_GB2312" w:eastAsia="仿宋_GB2312" w:hAnsi="宋体"/>
          <w:color w:val="000000"/>
          <w:sz w:val="28"/>
          <w:szCs w:val="28"/>
        </w:rPr>
        <w:t>省辖市，简称</w:t>
      </w:r>
      <w:r>
        <w:rPr>
          <w:rFonts w:ascii="仿宋_GB2312" w:eastAsia="仿宋_GB2312" w:hAnsi="宋体"/>
          <w:color w:val="000000"/>
          <w:sz w:val="28"/>
          <w:szCs w:val="28"/>
        </w:rPr>
        <w:t>“</w:t>
      </w:r>
      <w:r>
        <w:rPr>
          <w:rFonts w:ascii="仿宋_GB2312" w:eastAsia="仿宋_GB2312" w:hAnsi="宋体"/>
          <w:color w:val="000000"/>
          <w:sz w:val="28"/>
          <w:szCs w:val="28"/>
        </w:rPr>
        <w:t>虔</w:t>
      </w:r>
      <w:r>
        <w:rPr>
          <w:rFonts w:ascii="仿宋_GB2312" w:eastAsia="仿宋_GB2312" w:hAnsi="宋体"/>
          <w:color w:val="000000"/>
          <w:sz w:val="28"/>
          <w:szCs w:val="28"/>
        </w:rPr>
        <w:t>”</w:t>
      </w:r>
      <w:r>
        <w:rPr>
          <w:rFonts w:ascii="仿宋_GB2312" w:eastAsia="仿宋_GB2312" w:hAnsi="宋体"/>
          <w:color w:val="000000"/>
          <w:sz w:val="28"/>
          <w:szCs w:val="28"/>
        </w:rPr>
        <w:t>，别称</w:t>
      </w:r>
      <w:r>
        <w:rPr>
          <w:rFonts w:ascii="仿宋_GB2312" w:eastAsia="仿宋_GB2312" w:hAnsi="宋体"/>
          <w:color w:val="000000"/>
          <w:sz w:val="28"/>
          <w:szCs w:val="28"/>
        </w:rPr>
        <w:t>“</w:t>
      </w:r>
      <w:r>
        <w:rPr>
          <w:rFonts w:ascii="仿宋_GB2312" w:eastAsia="仿宋_GB2312" w:hAnsi="宋体"/>
          <w:color w:val="000000"/>
          <w:sz w:val="28"/>
          <w:szCs w:val="28"/>
        </w:rPr>
        <w:t>虔城</w:t>
      </w:r>
      <w:r>
        <w:rPr>
          <w:rFonts w:ascii="仿宋_GB2312" w:eastAsia="仿宋_GB2312" w:hAnsi="宋体"/>
          <w:color w:val="000000"/>
          <w:sz w:val="28"/>
          <w:szCs w:val="28"/>
        </w:rPr>
        <w:t>”</w:t>
      </w:r>
      <w:r>
        <w:rPr>
          <w:rFonts w:ascii="仿宋_GB2312" w:eastAsia="仿宋_GB2312" w:hAnsi="宋体"/>
          <w:color w:val="000000"/>
          <w:sz w:val="28"/>
          <w:szCs w:val="28"/>
        </w:rPr>
        <w:t>，也称</w:t>
      </w:r>
      <w:r>
        <w:rPr>
          <w:rFonts w:ascii="仿宋_GB2312" w:eastAsia="仿宋_GB2312" w:hAnsi="宋体"/>
          <w:color w:val="000000"/>
          <w:sz w:val="28"/>
          <w:szCs w:val="28"/>
        </w:rPr>
        <w:t>“</w:t>
      </w:r>
      <w:r>
        <w:rPr>
          <w:rFonts w:ascii="仿宋_GB2312" w:eastAsia="仿宋_GB2312" w:hAnsi="宋体"/>
          <w:color w:val="000000"/>
          <w:sz w:val="28"/>
          <w:szCs w:val="28"/>
        </w:rPr>
        <w:t>赣南</w:t>
      </w:r>
      <w:r>
        <w:rPr>
          <w:rFonts w:ascii="仿宋_GB2312" w:eastAsia="仿宋_GB2312" w:hAnsi="宋体"/>
          <w:color w:val="000000"/>
          <w:sz w:val="28"/>
          <w:szCs w:val="28"/>
        </w:rPr>
        <w:t>”</w:t>
      </w:r>
      <w:r>
        <w:rPr>
          <w:rFonts w:ascii="仿宋_GB2312" w:eastAsia="仿宋_GB2312" w:hAnsi="宋体"/>
          <w:color w:val="000000"/>
          <w:sz w:val="28"/>
          <w:szCs w:val="28"/>
        </w:rPr>
        <w:t>，位于江西省南部，是江西省的南大门，是江西省面积最大、人口最多的地级市。赣州地处中亚热带南缘属亚热带季风气候区，地形以山地、丘陵为主，总面积39379.64平方千米，占江西省总面积的23.6%，下辖3个市辖</w:t>
      </w:r>
      <w:r>
        <w:rPr>
          <w:rFonts w:ascii="仿宋_GB2312" w:eastAsia="仿宋_GB2312" w:hAnsi="宋体"/>
          <w:color w:val="000000"/>
          <w:sz w:val="28"/>
          <w:szCs w:val="28"/>
        </w:rPr>
        <w:lastRenderedPageBreak/>
        <w:t>区、14个县、1个县级市。2016年末全市户籍人口为970.78万人，比上年末增加10.15万人。</w:t>
      </w:r>
    </w:p>
    <w:p w:rsidR="009B4E67" w:rsidRDefault="00AA46B4">
      <w:pPr>
        <w:spacing w:before="0" w:after="0" w:line="54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赣州是江西省省域副中心城市，拥有4个国家级开发区和1个综合保税区，是全国稀有金属产业基地和先进制造业基地、原中央苏区振兴发展示范区、红色文化传承创新区和著名的红色旅游目的地，是全国区域性综合交通枢纽、赣粤闽湘四省通衢的区域性现代化中心城市。赣州都市区是江西南部重点培育和发展的都市区。</w:t>
      </w:r>
    </w:p>
    <w:p w:rsidR="009B4E67" w:rsidRDefault="00AA46B4">
      <w:pPr>
        <w:spacing w:before="0" w:after="0" w:line="54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赣州是国家历史文化名城、全国文明城市、国家森林城市、原中央苏区所在地、万里长征的起点城市，也是</w:t>
      </w:r>
      <w:hyperlink r:id="rId14" w:tgtFrame="https://baike.so.com/doc/_blank" w:history="1">
        <w:r>
          <w:rPr>
            <w:rFonts w:ascii="仿宋_GB2312" w:eastAsia="仿宋_GB2312" w:hAnsi="宋体"/>
            <w:color w:val="000000"/>
            <w:sz w:val="28"/>
            <w:szCs w:val="28"/>
          </w:rPr>
          <w:t>客家人</w:t>
        </w:r>
      </w:hyperlink>
      <w:r>
        <w:rPr>
          <w:rFonts w:ascii="仿宋_GB2312" w:eastAsia="仿宋_GB2312" w:hAnsi="宋体"/>
          <w:color w:val="000000"/>
          <w:sz w:val="28"/>
          <w:szCs w:val="28"/>
        </w:rPr>
        <w:t>主要聚居地之一，</w:t>
      </w:r>
      <w:hyperlink r:id="rId15" w:tgtFrame="https://baike.so.com/doc/_blank" w:history="1">
        <w:r>
          <w:rPr>
            <w:rFonts w:ascii="仿宋_GB2312" w:eastAsia="仿宋_GB2312" w:hAnsi="宋体"/>
            <w:color w:val="000000"/>
            <w:sz w:val="28"/>
            <w:szCs w:val="28"/>
          </w:rPr>
          <w:t>客家文化</w:t>
        </w:r>
      </w:hyperlink>
      <w:r>
        <w:rPr>
          <w:rFonts w:ascii="仿宋_GB2312" w:eastAsia="仿宋_GB2312" w:hAnsi="宋体"/>
          <w:color w:val="000000"/>
          <w:sz w:val="28"/>
          <w:szCs w:val="28"/>
        </w:rPr>
        <w:t>浓厚。</w:t>
      </w:r>
      <w:hyperlink r:id="rId16" w:tgtFrame="https://baike.so.com/doc/_blank" w:history="1">
        <w:r>
          <w:rPr>
            <w:rFonts w:ascii="仿宋_GB2312" w:eastAsia="仿宋_GB2312" w:hAnsi="宋体"/>
            <w:color w:val="000000"/>
            <w:sz w:val="28"/>
            <w:szCs w:val="28"/>
          </w:rPr>
          <w:t>文天祥</w:t>
        </w:r>
      </w:hyperlink>
      <w:r>
        <w:rPr>
          <w:rFonts w:ascii="仿宋_GB2312" w:eastAsia="仿宋_GB2312" w:hAnsi="宋体"/>
          <w:color w:val="000000"/>
          <w:sz w:val="28"/>
          <w:szCs w:val="28"/>
        </w:rPr>
        <w:t>、</w:t>
      </w:r>
      <w:hyperlink r:id="rId17" w:tgtFrame="https://baike.so.com/doc/_blank" w:history="1">
        <w:r>
          <w:rPr>
            <w:rFonts w:ascii="仿宋_GB2312" w:eastAsia="仿宋_GB2312" w:hAnsi="宋体"/>
            <w:color w:val="000000"/>
            <w:sz w:val="28"/>
            <w:szCs w:val="28"/>
          </w:rPr>
          <w:t>周敦颐</w:t>
        </w:r>
      </w:hyperlink>
      <w:r>
        <w:rPr>
          <w:rFonts w:ascii="仿宋_GB2312" w:eastAsia="仿宋_GB2312" w:hAnsi="宋体"/>
          <w:color w:val="000000"/>
          <w:sz w:val="28"/>
          <w:szCs w:val="28"/>
        </w:rPr>
        <w:t>、</w:t>
      </w:r>
      <w:hyperlink r:id="rId18" w:tgtFrame="https://baike.so.com/doc/_blank" w:history="1">
        <w:r>
          <w:rPr>
            <w:rFonts w:ascii="仿宋_GB2312" w:eastAsia="仿宋_GB2312" w:hAnsi="宋体"/>
            <w:color w:val="000000"/>
            <w:sz w:val="28"/>
            <w:szCs w:val="28"/>
          </w:rPr>
          <w:t>海瑞</w:t>
        </w:r>
      </w:hyperlink>
      <w:r>
        <w:rPr>
          <w:rFonts w:ascii="仿宋_GB2312" w:eastAsia="仿宋_GB2312" w:hAnsi="宋体"/>
          <w:color w:val="000000"/>
          <w:sz w:val="28"/>
          <w:szCs w:val="28"/>
        </w:rPr>
        <w:t>、</w:t>
      </w:r>
      <w:hyperlink r:id="rId19" w:tgtFrame="https://baike.so.com/doc/_blank" w:history="1">
        <w:r>
          <w:rPr>
            <w:rFonts w:ascii="仿宋_GB2312" w:eastAsia="仿宋_GB2312" w:hAnsi="宋体"/>
            <w:color w:val="000000"/>
            <w:sz w:val="28"/>
            <w:szCs w:val="28"/>
          </w:rPr>
          <w:t>王守仁</w:t>
        </w:r>
      </w:hyperlink>
      <w:r>
        <w:rPr>
          <w:rFonts w:ascii="仿宋_GB2312" w:eastAsia="仿宋_GB2312" w:hAnsi="宋体"/>
          <w:color w:val="000000"/>
          <w:sz w:val="28"/>
          <w:szCs w:val="28"/>
        </w:rPr>
        <w:t>、</w:t>
      </w:r>
      <w:hyperlink r:id="rId20" w:tgtFrame="https://baike.so.com/doc/_blank" w:history="1">
        <w:r>
          <w:rPr>
            <w:rFonts w:ascii="仿宋_GB2312" w:eastAsia="仿宋_GB2312" w:hAnsi="宋体"/>
            <w:color w:val="000000"/>
            <w:sz w:val="28"/>
            <w:szCs w:val="28"/>
          </w:rPr>
          <w:t>辛弃疾</w:t>
        </w:r>
      </w:hyperlink>
      <w:r>
        <w:rPr>
          <w:rFonts w:ascii="仿宋_GB2312" w:eastAsia="仿宋_GB2312" w:hAnsi="宋体"/>
          <w:color w:val="000000"/>
          <w:sz w:val="28"/>
          <w:szCs w:val="28"/>
        </w:rPr>
        <w:t>和中共第一代核心领导人皆在赣南主政过。赣州是中国魅力城市之一，有着千里赣江第一城、江南宋城、红色故都、客家摇篮、世界橙乡、世界钨都、稀土王国、和世界风水堪舆文化发源地等美誉。</w:t>
      </w:r>
    </w:p>
    <w:p w:rsidR="009B4E67" w:rsidRDefault="00AA46B4">
      <w:pPr>
        <w:spacing w:before="0" w:after="0" w:line="540" w:lineRule="exact"/>
        <w:ind w:firstLineChars="200" w:firstLine="560"/>
        <w:rPr>
          <w:rFonts w:ascii="仿宋_GB2312" w:eastAsia="仿宋_GB2312" w:hAnsi="宋体"/>
          <w:color w:val="0000FF"/>
          <w:sz w:val="28"/>
          <w:szCs w:val="28"/>
        </w:rPr>
      </w:pPr>
      <w:r>
        <w:rPr>
          <w:rFonts w:ascii="仿宋_GB2312" w:eastAsia="仿宋_GB2312" w:hAnsi="宋体" w:hint="eastAsia"/>
          <w:sz w:val="28"/>
          <w:szCs w:val="28"/>
        </w:rPr>
        <w:t>估价对象1-6位于</w:t>
      </w:r>
      <w:r>
        <w:rPr>
          <w:rFonts w:ascii="仿宋_GB2312" w:eastAsia="仿宋_GB2312" w:hAnsi="仿宋_GB2312" w:cs="仿宋_GB2312" w:hint="eastAsia"/>
          <w:snapToGrid w:val="0"/>
          <w:kern w:val="0"/>
          <w:sz w:val="28"/>
          <w:szCs w:val="20"/>
        </w:rPr>
        <w:t>赣州市云山路龙都商城</w:t>
      </w:r>
      <w:r>
        <w:rPr>
          <w:rFonts w:ascii="仿宋_GB2312" w:eastAsia="仿宋_GB2312" w:hAnsi="宋体" w:hint="eastAsia"/>
          <w:sz w:val="28"/>
          <w:szCs w:val="28"/>
        </w:rPr>
        <w:t>,紧邻云山路，交通便利；周围有前进医院、赣州汽车站、中国农业银行、白云小学等公共服务设施，周边商业氛围较好，人流量较多，附近有多条公交线路通行，公共交通便利。</w:t>
      </w:r>
    </w:p>
    <w:p w:rsidR="009B4E67" w:rsidRDefault="00AA46B4">
      <w:pPr>
        <w:pStyle w:val="a0"/>
        <w:ind w:firstLineChars="200" w:firstLine="560"/>
      </w:pPr>
      <w:r>
        <w:rPr>
          <w:rFonts w:ascii="仿宋_GB2312" w:eastAsia="仿宋_GB2312" w:hAnsi="宋体" w:hint="eastAsia"/>
          <w:sz w:val="28"/>
          <w:szCs w:val="28"/>
        </w:rPr>
        <w:t>估价对象7-49位于赣州经济技术开发区金东路13号隐龙山庄,紧邻金凤东路，交通便利；周围有杨梅幼儿园、中国邮政储蓄银行、九江银行、昌盛大药房等公共服务设施，周边商住氛围较好，人流量较多，附近有多条公交线路通行，公共交通便利。</w:t>
      </w:r>
    </w:p>
    <w:p w:rsidR="009B4E67" w:rsidRDefault="00AA46B4">
      <w:pPr>
        <w:pStyle w:val="2"/>
        <w:keepLines w:val="0"/>
        <w:spacing w:before="0" w:after="0" w:line="540" w:lineRule="exact"/>
        <w:ind w:firstLineChars="200" w:firstLine="562"/>
        <w:jc w:val="left"/>
        <w:rPr>
          <w:rFonts w:ascii="仿宋_GB2312" w:eastAsia="仿宋_GB2312" w:hAnsi="仿宋_GB2312" w:cs="仿宋_GB2312"/>
          <w:color w:val="000000"/>
          <w:sz w:val="28"/>
          <w:szCs w:val="28"/>
        </w:rPr>
      </w:pPr>
      <w:bookmarkStart w:id="10" w:name="_Toc29713"/>
      <w:r>
        <w:rPr>
          <w:rFonts w:ascii="仿宋_GB2312" w:eastAsia="仿宋_GB2312" w:hAnsi="仿宋_GB2312" w:cs="仿宋_GB2312" w:hint="eastAsia"/>
          <w:color w:val="000000"/>
          <w:sz w:val="28"/>
          <w:szCs w:val="28"/>
        </w:rPr>
        <w:t>（五）价值时点</w:t>
      </w:r>
      <w:bookmarkEnd w:id="10"/>
    </w:p>
    <w:p w:rsidR="009B4E67" w:rsidRDefault="00AA46B4">
      <w:pPr>
        <w:spacing w:before="0" w:after="0" w:line="540" w:lineRule="exact"/>
        <w:ind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涉执房地产处置司法评估的价值时点一般设定为估价对象实地查勘完</w:t>
      </w:r>
      <w:r>
        <w:rPr>
          <w:rFonts w:ascii="仿宋_GB2312" w:eastAsia="仿宋_GB2312" w:hAnsi="仿宋_GB2312" w:cs="仿宋_GB2312" w:hint="eastAsia"/>
          <w:caps/>
          <w:sz w:val="28"/>
          <w:szCs w:val="28"/>
        </w:rPr>
        <w:lastRenderedPageBreak/>
        <w:t>成之日，即2022年9月29日。</w:t>
      </w:r>
    </w:p>
    <w:p w:rsidR="009B4E67" w:rsidRDefault="00AA46B4">
      <w:pPr>
        <w:pStyle w:val="2"/>
        <w:keepLines w:val="0"/>
        <w:spacing w:before="0" w:after="0" w:line="540" w:lineRule="exact"/>
        <w:ind w:firstLineChars="200" w:firstLine="562"/>
        <w:jc w:val="left"/>
        <w:rPr>
          <w:rFonts w:ascii="仿宋_GB2312" w:eastAsia="仿宋_GB2312" w:hAnsi="仿宋_GB2312" w:cs="仿宋_GB2312"/>
          <w:color w:val="000000"/>
          <w:sz w:val="28"/>
          <w:szCs w:val="28"/>
        </w:rPr>
      </w:pPr>
      <w:bookmarkStart w:id="11" w:name="_Toc32589"/>
      <w:r>
        <w:rPr>
          <w:rFonts w:ascii="仿宋_GB2312" w:eastAsia="仿宋_GB2312" w:hAnsi="仿宋_GB2312" w:cs="仿宋_GB2312" w:hint="eastAsia"/>
          <w:color w:val="000000"/>
          <w:sz w:val="28"/>
          <w:szCs w:val="28"/>
        </w:rPr>
        <w:t>（六）价值类型</w:t>
      </w:r>
      <w:bookmarkEnd w:id="11"/>
    </w:p>
    <w:p w:rsidR="009B4E67" w:rsidRDefault="00AA46B4">
      <w:pPr>
        <w:spacing w:before="0" w:after="0" w:line="540" w:lineRule="exact"/>
        <w:ind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估价中采用市场价值标准，即所评估出的客观合理价格应是在公开市场上最可能形成或成立的价格。</w:t>
      </w:r>
    </w:p>
    <w:p w:rsidR="009B4E67" w:rsidRDefault="00AA46B4">
      <w:pPr>
        <w:spacing w:before="0" w:after="0" w:line="540" w:lineRule="exact"/>
        <w:ind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公开市场：指交易双方进行交易的目的在于最大限度地追求经济利益，并掌握必要的市场信息，有比较充裕的时间进行交易，对交易对象具有必要的专业知识，交易条件并不具有排他性。</w:t>
      </w:r>
    </w:p>
    <w:p w:rsidR="009B4E67" w:rsidRDefault="00AA46B4">
      <w:pPr>
        <w:spacing w:before="0" w:after="0" w:line="540" w:lineRule="exact"/>
        <w:ind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公开市场价值：指在公开市场上最可能形成的价格。</w:t>
      </w:r>
    </w:p>
    <w:p w:rsidR="009B4E67" w:rsidRDefault="00AA46B4">
      <w:pPr>
        <w:pStyle w:val="2"/>
        <w:keepLines w:val="0"/>
        <w:spacing w:before="0" w:after="0" w:line="540" w:lineRule="exact"/>
        <w:ind w:firstLineChars="200" w:firstLine="562"/>
        <w:jc w:val="left"/>
        <w:rPr>
          <w:rFonts w:ascii="仿宋_GB2312" w:eastAsia="仿宋_GB2312" w:hAnsi="仿宋_GB2312" w:cs="仿宋_GB2312"/>
          <w:color w:val="000000"/>
          <w:sz w:val="28"/>
          <w:szCs w:val="28"/>
        </w:rPr>
      </w:pPr>
      <w:bookmarkStart w:id="12" w:name="_Toc25029"/>
      <w:r>
        <w:rPr>
          <w:rFonts w:ascii="仿宋_GB2312" w:eastAsia="仿宋_GB2312" w:hAnsi="仿宋_GB2312" w:cs="仿宋_GB2312" w:hint="eastAsia"/>
          <w:color w:val="000000"/>
          <w:sz w:val="28"/>
          <w:szCs w:val="28"/>
        </w:rPr>
        <w:t>（七）估价原则</w:t>
      </w:r>
      <w:bookmarkEnd w:id="12"/>
    </w:p>
    <w:p w:rsidR="009B4E67" w:rsidRDefault="00AA46B4">
      <w:pPr>
        <w:spacing w:before="0" w:after="0" w:line="540" w:lineRule="exact"/>
        <w:ind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本次估价遵循的房地产估价原则有：独立、客观、公正原则、合法原则、价值时点原则、替代原则、最高最佳利用原则。</w:t>
      </w:r>
    </w:p>
    <w:p w:rsidR="009B4E67" w:rsidRDefault="00AA46B4">
      <w:pPr>
        <w:spacing w:before="0" w:after="0" w:line="540" w:lineRule="exact"/>
        <w:ind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1、独立、客观、公正原则</w:t>
      </w:r>
    </w:p>
    <w:p w:rsidR="009B4E67" w:rsidRDefault="00AA46B4">
      <w:pPr>
        <w:spacing w:before="0" w:after="0" w:line="540" w:lineRule="exact"/>
        <w:ind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独立、客观、公正原则要求房地产估价师站地中立的产场上，评估出对各方当事人来说均是公平合理的价格。</w:t>
      </w:r>
    </w:p>
    <w:p w:rsidR="009B4E67" w:rsidRDefault="00AA46B4">
      <w:pPr>
        <w:spacing w:before="0" w:after="0" w:line="540" w:lineRule="exact"/>
        <w:ind w:right="34"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2、合法原则</w:t>
      </w:r>
    </w:p>
    <w:p w:rsidR="009B4E67" w:rsidRDefault="00AA46B4">
      <w:pPr>
        <w:spacing w:before="0" w:after="0" w:line="540" w:lineRule="exact"/>
        <w:ind w:right="34" w:firstLineChars="200" w:firstLine="560"/>
        <w:rPr>
          <w:rFonts w:ascii="仿宋_GB2312" w:eastAsia="仿宋_GB2312" w:hAnsi="宋体"/>
          <w:color w:val="000000"/>
          <w:sz w:val="28"/>
          <w:szCs w:val="28"/>
        </w:rPr>
      </w:pPr>
      <w:r>
        <w:rPr>
          <w:rFonts w:ascii="仿宋_GB2312" w:eastAsia="仿宋_GB2312" w:hAnsi="仿宋_GB2312" w:cs="仿宋_GB2312" w:hint="eastAsia"/>
          <w:caps/>
          <w:sz w:val="28"/>
          <w:szCs w:val="28"/>
        </w:rPr>
        <w:t>合法原则要求房地产估价应以估价对象的合法权益为前提进行。合法权益包括合法产权、合法使用、合法处分等方面，在合法产权方面，应以房地产权属证书和有关证件为依据；在合法使用方面，应以城市规划、土地用途管制等为依据；在合法处分方面，应以法律、法规或合同等允许的处分方式为依据；在其他方面，</w:t>
      </w:r>
      <w:r>
        <w:rPr>
          <w:rFonts w:ascii="仿宋_GB2312" w:eastAsia="仿宋_GB2312" w:hAnsi="宋体" w:hint="eastAsia"/>
          <w:color w:val="000000"/>
          <w:sz w:val="28"/>
          <w:szCs w:val="28"/>
        </w:rPr>
        <w:t>如评估出的价格必须符合国家的价格政策。</w:t>
      </w:r>
    </w:p>
    <w:p w:rsidR="009B4E67" w:rsidRDefault="00AA46B4">
      <w:pPr>
        <w:spacing w:before="0" w:after="0" w:line="540" w:lineRule="exact"/>
        <w:ind w:right="34"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3、价值时点原则</w:t>
      </w:r>
    </w:p>
    <w:p w:rsidR="009B4E67" w:rsidRDefault="00AA46B4">
      <w:pPr>
        <w:spacing w:before="0" w:after="0" w:line="540" w:lineRule="exact"/>
        <w:ind w:right="34"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房地产市场是不断变化的，房地产价格具有很强的时间性，它是某一时点上的价格。在不同时点，同一宗房地产往往会有不同的价格。价值时点原则是指求取某一时点上的价格，所以在评估一宗房地产的价格时，必</w:t>
      </w:r>
      <w:r>
        <w:rPr>
          <w:rFonts w:ascii="仿宋_GB2312" w:eastAsia="仿宋_GB2312" w:hAnsi="仿宋_GB2312" w:cs="仿宋_GB2312" w:hint="eastAsia"/>
          <w:caps/>
          <w:sz w:val="28"/>
          <w:szCs w:val="28"/>
        </w:rPr>
        <w:lastRenderedPageBreak/>
        <w:t>须假定市场停止在价值时点上，同时估价对象房地产的状况通常也是以其在该时点时的状况为准。</w:t>
      </w:r>
    </w:p>
    <w:p w:rsidR="009B4E67" w:rsidRDefault="00AA46B4">
      <w:pPr>
        <w:spacing w:before="0" w:after="0" w:line="540" w:lineRule="exact"/>
        <w:ind w:right="34"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4、替代原则</w:t>
      </w:r>
    </w:p>
    <w:p w:rsidR="009B4E67" w:rsidRDefault="00AA46B4">
      <w:pPr>
        <w:spacing w:before="0" w:after="0" w:line="540" w:lineRule="exact"/>
        <w:ind w:right="34"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根据市场运行规律，在同一商品市场中，商品或提供服务的效用相同或大致相似时，价格低者吸引需求，即有两个以上互有替代性的商品或服务同时存在时，商品或服务的价格中经过相互影响与比较之后来决定。房地产价格也同样遵循替代规律，受其它具有相同使用价值的房地产，即同类型具有替代可能的房地产价格所牵制。换言之，具有相同使用价值、替代可能的房地产之间，会相互影响和竞争，使价格相互牵制而趋于一致。</w:t>
      </w:r>
    </w:p>
    <w:p w:rsidR="009B4E67" w:rsidRDefault="00AA46B4">
      <w:pPr>
        <w:spacing w:before="0" w:after="0" w:line="540" w:lineRule="exact"/>
        <w:ind w:right="34"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5、最高最佳利用原则</w:t>
      </w:r>
    </w:p>
    <w:p w:rsidR="009B4E67" w:rsidRDefault="00AA46B4">
      <w:pPr>
        <w:spacing w:before="0" w:after="0" w:line="540" w:lineRule="exact"/>
        <w:ind w:right="34"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所谓最高最佳利用是估价对象一种最可能的使用，这种最可能的使用是法律上允许、技术上可能、财务上可行、经过充分合理的论证，并能给予估价对象带来最高价值的使用。它的一种具体表现，是以能使估价对象获利最多的用途和开发强度来衡量。这是因为在房地产市场中，每位房地产拥有者在主观上都试图充分地发挥房地产的潜力，采用最高最佳利用方式，取得最大的收益。</w:t>
      </w:r>
    </w:p>
    <w:p w:rsidR="009B4E67" w:rsidRDefault="00AA46B4">
      <w:pPr>
        <w:pStyle w:val="2"/>
        <w:keepLines w:val="0"/>
        <w:spacing w:before="0" w:after="0" w:line="540" w:lineRule="exact"/>
        <w:ind w:firstLineChars="200" w:firstLine="562"/>
        <w:jc w:val="left"/>
        <w:rPr>
          <w:rFonts w:ascii="仿宋_GB2312" w:eastAsia="仿宋_GB2312" w:hAnsi="仿宋_GB2312" w:cs="仿宋_GB2312"/>
          <w:color w:val="000000"/>
          <w:sz w:val="28"/>
          <w:szCs w:val="28"/>
        </w:rPr>
      </w:pPr>
      <w:bookmarkStart w:id="13" w:name="_Toc19337"/>
      <w:r>
        <w:rPr>
          <w:rFonts w:ascii="仿宋_GB2312" w:eastAsia="仿宋_GB2312" w:hAnsi="仿宋_GB2312" w:cs="仿宋_GB2312" w:hint="eastAsia"/>
          <w:color w:val="000000"/>
          <w:sz w:val="28"/>
          <w:szCs w:val="28"/>
        </w:rPr>
        <w:t>（八）估价依据</w:t>
      </w:r>
      <w:bookmarkEnd w:id="13"/>
    </w:p>
    <w:p w:rsidR="009B4E67" w:rsidRDefault="00AA46B4">
      <w:pPr>
        <w:spacing w:before="0" w:after="0" w:line="540" w:lineRule="exact"/>
        <w:ind w:right="34"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1、法律、法规和政策文件</w:t>
      </w:r>
    </w:p>
    <w:p w:rsidR="009B4E67" w:rsidRDefault="00AA46B4">
      <w:pPr>
        <w:spacing w:before="0" w:after="0" w:line="520" w:lineRule="exact"/>
        <w:ind w:right="34"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1）《中华人民共和国房地产管理法》（根据2019年8月26日第十三届全国人民代表大会常务委员会第十二次会议《关于修改〈中华人民共和国土地管理法〉、〈中华人民共和国城市房地产管理法〉的决定》第三次修正）；</w:t>
      </w:r>
    </w:p>
    <w:p w:rsidR="009B4E67" w:rsidRDefault="00AA46B4">
      <w:pPr>
        <w:spacing w:before="0" w:after="0" w:line="520" w:lineRule="exact"/>
        <w:ind w:right="34"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（2）《中华人民共和国土地管理法》（根据2019年8月26日第十三届全国人民代表大会常务委员会第十二次会议《关于修改〈中华人民共和</w:t>
      </w:r>
      <w:r>
        <w:rPr>
          <w:rFonts w:ascii="仿宋_GB2312" w:eastAsia="仿宋_GB2312" w:hAnsi="仿宋_GB2312" w:cs="仿宋_GB2312" w:hint="eastAsia"/>
          <w:caps/>
          <w:sz w:val="28"/>
          <w:szCs w:val="28"/>
        </w:rPr>
        <w:lastRenderedPageBreak/>
        <w:t>国土地管理法〉、〈中华人民共和国城市房地产管理法〉的决定》第三次修正）；</w:t>
      </w:r>
    </w:p>
    <w:p w:rsidR="009B4E67" w:rsidRDefault="00AA46B4">
      <w:pPr>
        <w:spacing w:before="0" w:after="0" w:line="520" w:lineRule="exact"/>
        <w:ind w:right="34"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（3）《中华人民共和国资产评估法》（中华人民共和国主席令第四十六号，自2016年12月1日起施行）；</w:t>
      </w:r>
    </w:p>
    <w:p w:rsidR="009B4E67" w:rsidRDefault="00AA46B4">
      <w:pPr>
        <w:spacing w:before="0" w:after="0" w:line="520" w:lineRule="exact"/>
        <w:ind w:right="34"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（4）《中华人民共和国民法典》（中华人民共和国主席令第四十五号，自2021年1月1日起施行）；</w:t>
      </w:r>
    </w:p>
    <w:p w:rsidR="009B4E67" w:rsidRDefault="00AA46B4">
      <w:pPr>
        <w:spacing w:before="0" w:after="0" w:line="520" w:lineRule="exact"/>
        <w:ind w:right="34"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（5）《最高人民法院关于人民法院民事执行中拍卖、变卖财产的规定》（法释〔2004〕16号2004年11月15日）；</w:t>
      </w:r>
    </w:p>
    <w:p w:rsidR="009B4E67" w:rsidRDefault="00AA46B4">
      <w:pPr>
        <w:spacing w:before="0" w:after="0" w:line="520" w:lineRule="exact"/>
        <w:ind w:right="34"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（6）《司法鉴定程序通则》（中华人民共和国司法部令第132号，2016年3月2日）。</w:t>
      </w:r>
    </w:p>
    <w:p w:rsidR="009B4E67" w:rsidRDefault="00AA46B4">
      <w:pPr>
        <w:spacing w:before="0" w:after="0" w:line="520" w:lineRule="exact"/>
        <w:ind w:right="34"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2.技术标准、规程、规范</w:t>
      </w:r>
    </w:p>
    <w:p w:rsidR="009B4E67" w:rsidRDefault="00AA46B4">
      <w:pPr>
        <w:spacing w:before="0" w:after="0" w:line="520" w:lineRule="exact"/>
        <w:ind w:right="34"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（1）《房地产估价规范》（GB/T 50291-2015）；</w:t>
      </w:r>
    </w:p>
    <w:p w:rsidR="009B4E67" w:rsidRDefault="00AA46B4">
      <w:pPr>
        <w:spacing w:before="0" w:after="0" w:line="520" w:lineRule="exact"/>
        <w:ind w:right="34"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（2）《房地产估价基本术语标准》（GB/T50899-2013，2014年2月1日实施）；</w:t>
      </w:r>
    </w:p>
    <w:p w:rsidR="009B4E67" w:rsidRDefault="00AA46B4">
      <w:pPr>
        <w:spacing w:before="0" w:after="0" w:line="520" w:lineRule="exact"/>
        <w:ind w:right="34"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（3）《房地产估价报告评审标准（试行）》；</w:t>
      </w:r>
    </w:p>
    <w:p w:rsidR="009B4E67" w:rsidRDefault="00AA46B4">
      <w:pPr>
        <w:spacing w:before="0" w:after="0" w:line="520" w:lineRule="exact"/>
        <w:ind w:right="34"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（4）关于印发《涉执房地产处置司法评估指导意见（试行）》的通知（中房学〔2021〕37号）。</w:t>
      </w:r>
    </w:p>
    <w:p w:rsidR="009B4E67" w:rsidRDefault="00AA46B4">
      <w:pPr>
        <w:spacing w:before="0" w:after="0" w:line="520" w:lineRule="exact"/>
        <w:ind w:right="34"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3.其他资料</w:t>
      </w:r>
    </w:p>
    <w:p w:rsidR="009B4E67" w:rsidRDefault="00AA46B4">
      <w:pPr>
        <w:spacing w:before="0" w:after="0" w:line="520" w:lineRule="exact"/>
        <w:ind w:right="34"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（1）</w:t>
      </w:r>
      <w:r>
        <w:rPr>
          <w:rFonts w:ascii="仿宋_GB2312" w:eastAsia="仿宋_GB2312" w:hAnsi="宋体" w:hint="eastAsia"/>
          <w:sz w:val="28"/>
          <w:szCs w:val="28"/>
        </w:rPr>
        <w:t>《赣州经济技术开发区人民法院司法技术委托书》【（2022）法技委字263号】</w:t>
      </w:r>
      <w:r>
        <w:rPr>
          <w:rFonts w:ascii="仿宋_GB2312" w:eastAsia="仿宋_GB2312" w:hAnsi="仿宋_GB2312" w:cs="仿宋_GB2312" w:hint="eastAsia"/>
          <w:caps/>
          <w:sz w:val="28"/>
          <w:szCs w:val="28"/>
        </w:rPr>
        <w:t>；</w:t>
      </w:r>
    </w:p>
    <w:p w:rsidR="009B4E67" w:rsidRDefault="00AA46B4">
      <w:pPr>
        <w:spacing w:before="0" w:after="0" w:line="520" w:lineRule="exact"/>
        <w:ind w:right="34"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（2）</w:t>
      </w:r>
      <w:r>
        <w:rPr>
          <w:rFonts w:ascii="仿宋_GB2312" w:eastAsia="仿宋_GB2312" w:hAnsi="宋体" w:hint="eastAsia"/>
          <w:kern w:val="0"/>
          <w:sz w:val="28"/>
          <w:szCs w:val="28"/>
        </w:rPr>
        <w:t>《</w:t>
      </w:r>
      <w:r>
        <w:rPr>
          <w:rFonts w:ascii="仿宋_GB2312" w:eastAsia="仿宋_GB2312" w:hAnsi="仿宋_GB2312" w:cs="仿宋_GB2312" w:hint="eastAsia"/>
          <w:snapToGrid w:val="0"/>
          <w:kern w:val="0"/>
          <w:sz w:val="28"/>
          <w:szCs w:val="28"/>
        </w:rPr>
        <w:t>不动产登记信息查询结果</w:t>
      </w:r>
      <w:r>
        <w:rPr>
          <w:rFonts w:ascii="仿宋_GB2312" w:eastAsia="仿宋_GB2312" w:hAnsi="宋体" w:hint="eastAsia"/>
          <w:kern w:val="0"/>
          <w:sz w:val="28"/>
          <w:szCs w:val="28"/>
        </w:rPr>
        <w:t>》</w:t>
      </w:r>
      <w:r>
        <w:rPr>
          <w:rFonts w:ascii="仿宋_GB2312" w:eastAsia="仿宋_GB2312" w:hAnsi="仿宋_GB2312" w:cs="仿宋_GB2312" w:hint="eastAsia"/>
          <w:caps/>
          <w:sz w:val="28"/>
          <w:szCs w:val="28"/>
        </w:rPr>
        <w:t>等权属资料；</w:t>
      </w:r>
    </w:p>
    <w:p w:rsidR="009B4E67" w:rsidRDefault="00AA46B4">
      <w:pPr>
        <w:spacing w:before="0" w:after="0" w:line="520" w:lineRule="exact"/>
        <w:ind w:right="34"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（3）估价人员实地查勘和市场调查所取得的资料。</w:t>
      </w:r>
    </w:p>
    <w:p w:rsidR="009B4E67" w:rsidRDefault="00AA46B4">
      <w:pPr>
        <w:spacing w:before="0" w:after="0" w:line="520" w:lineRule="exact"/>
        <w:ind w:right="34" w:firstLineChars="200" w:firstLine="562"/>
        <w:rPr>
          <w:rFonts w:ascii="仿宋_GB2312" w:eastAsia="仿宋_GB2312" w:hAnsi="仿宋_GB2312" w:cs="仿宋_GB2312"/>
          <w:b/>
          <w:bCs/>
          <w:caps/>
          <w:sz w:val="28"/>
          <w:szCs w:val="28"/>
        </w:rPr>
      </w:pPr>
      <w:r>
        <w:rPr>
          <w:rFonts w:ascii="仿宋_GB2312" w:eastAsia="仿宋_GB2312" w:hAnsi="仿宋_GB2312" w:cs="仿宋_GB2312" w:hint="eastAsia"/>
          <w:b/>
          <w:bCs/>
          <w:caps/>
          <w:sz w:val="28"/>
          <w:szCs w:val="28"/>
        </w:rPr>
        <w:t>（九）估价方法</w:t>
      </w:r>
    </w:p>
    <w:p w:rsidR="009B4E67" w:rsidRDefault="00AA46B4">
      <w:pPr>
        <w:spacing w:before="0" w:after="0" w:line="520" w:lineRule="exact"/>
        <w:ind w:right="34"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1、估价技术路线</w:t>
      </w:r>
    </w:p>
    <w:p w:rsidR="009B4E67" w:rsidRDefault="00AA46B4">
      <w:pPr>
        <w:spacing w:before="0" w:after="0" w:line="520" w:lineRule="exact"/>
        <w:ind w:right="34"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根据《房地产估价规范》等，通行的评估方法有比较法、收益法、成</w:t>
      </w:r>
      <w:r>
        <w:rPr>
          <w:rFonts w:ascii="仿宋_GB2312" w:eastAsia="仿宋_GB2312" w:hAnsi="仿宋_GB2312" w:cs="仿宋_GB2312" w:hint="eastAsia"/>
          <w:caps/>
          <w:sz w:val="28"/>
          <w:szCs w:val="28"/>
        </w:rPr>
        <w:lastRenderedPageBreak/>
        <w:t>本法、假设开发法等。注册房地产估价师在认真分析所掌握的资料并对估价对象进行实地勘察后，根据估价对象的特点及本身的实际情况，遵照国家标准《房地产估价规范》，分析如下：</w:t>
      </w:r>
    </w:p>
    <w:p w:rsidR="009B4E67" w:rsidRDefault="00AA46B4">
      <w:pPr>
        <w:spacing w:before="0" w:after="0" w:line="520" w:lineRule="exact"/>
        <w:ind w:right="34"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（1）比较法：估价对象1-6作为商业用途，估价对象7-49分别作为车位、车库用途，区域内房地产交易市场上该物业交易实例较多，可找到足够的交易实例，故适宜采用比较法。</w:t>
      </w:r>
    </w:p>
    <w:p w:rsidR="009B4E67" w:rsidRDefault="00AA46B4">
      <w:pPr>
        <w:spacing w:before="0" w:after="0" w:line="520" w:lineRule="exact"/>
        <w:ind w:right="34"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（2）收益法：估价对象用途为商业、车位、车库用途，虽然估价对象所在区域内有一定的类似房地产出租案例，但租售比较低，难以反映市场真实成交价，故不宜采用收益法。</w:t>
      </w:r>
    </w:p>
    <w:p w:rsidR="009B4E67" w:rsidRDefault="00AA46B4">
      <w:pPr>
        <w:spacing w:before="0" w:after="0" w:line="520" w:lineRule="exact"/>
        <w:ind w:right="34"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（3）成本法：</w:t>
      </w:r>
      <w:r>
        <w:rPr>
          <w:rFonts w:ascii="仿宋_GB2312" w:eastAsia="仿宋_GB2312" w:hAnsi="仿宋_GB2312" w:cs="仿宋_GB2312" w:hint="eastAsia"/>
          <w:snapToGrid w:val="0"/>
          <w:kern w:val="0"/>
          <w:sz w:val="28"/>
          <w:szCs w:val="20"/>
        </w:rPr>
        <w:t>估价对象为已建成房地产，不是独立开发建设的整体房地产，且现时房地产价格与成本关联性弱，房地产的开发成本不能准确反映房地产的实际市场价值，故不适宜采用成本法</w:t>
      </w:r>
      <w:r>
        <w:rPr>
          <w:rFonts w:ascii="仿宋_GB2312" w:eastAsia="仿宋_GB2312" w:hAnsi="仿宋_GB2312" w:cs="仿宋_GB2312" w:hint="eastAsia"/>
          <w:caps/>
          <w:sz w:val="28"/>
          <w:szCs w:val="28"/>
        </w:rPr>
        <w:t>。</w:t>
      </w:r>
    </w:p>
    <w:p w:rsidR="009B4E67" w:rsidRDefault="00AA46B4">
      <w:pPr>
        <w:spacing w:before="0" w:after="0" w:line="520" w:lineRule="exact"/>
        <w:ind w:right="34"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（4）假设开发法：估价对象属已建成物业，本次估价是以现状用途使用对其价值最为有利为前提进行估价，不适宜更新改造、改变用途、重新开发，故不适宜采用假设开发法。</w:t>
      </w:r>
    </w:p>
    <w:p w:rsidR="009B4E67" w:rsidRDefault="00AA46B4">
      <w:pPr>
        <w:spacing w:before="0" w:after="0" w:line="520" w:lineRule="exact"/>
        <w:ind w:right="34"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根据估价对象的特点及本身的实际情况，遵照国家标准《房地产估价规范》，经研究，在此次评估中，选取比较法作为本次估价采用的基本方法来求取估价对象价值。</w:t>
      </w:r>
    </w:p>
    <w:p w:rsidR="009B4E67" w:rsidRDefault="00AA46B4">
      <w:pPr>
        <w:spacing w:before="0" w:after="0" w:line="520" w:lineRule="exact"/>
        <w:ind w:right="34"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2、本次选用估价方法定义</w:t>
      </w:r>
    </w:p>
    <w:p w:rsidR="009B4E67" w:rsidRDefault="00AA46B4">
      <w:pPr>
        <w:spacing w:before="0" w:after="0" w:line="520" w:lineRule="exact"/>
        <w:ind w:right="34"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（1）比较法原理：将估价对象与价值时点有过交易的类似房地产进行比较，对于这些类似房地产的已知价格作适当的修正，以此估算对象的客观合理价格或价值的方法。</w:t>
      </w:r>
    </w:p>
    <w:p w:rsidR="009B4E67" w:rsidRDefault="00AA46B4">
      <w:pPr>
        <w:spacing w:before="0" w:after="0" w:line="520" w:lineRule="exact"/>
        <w:ind w:right="34" w:firstLineChars="200" w:firstLine="560"/>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比较法公式：估价对象价格=可比实例价格×交易情况修正×市场状况调整系数×房地产状况调整系数</w:t>
      </w:r>
    </w:p>
    <w:p w:rsidR="009B4E67" w:rsidRDefault="00AA46B4">
      <w:pPr>
        <w:pStyle w:val="2"/>
        <w:keepLines w:val="0"/>
        <w:spacing w:before="0" w:after="0" w:line="520" w:lineRule="exact"/>
        <w:ind w:firstLineChars="200" w:firstLine="562"/>
        <w:jc w:val="left"/>
        <w:rPr>
          <w:rFonts w:ascii="仿宋_GB2312" w:eastAsia="仿宋_GB2312" w:hAnsi="仿宋_GB2312" w:cs="仿宋_GB2312"/>
          <w:color w:val="000000"/>
          <w:sz w:val="28"/>
          <w:szCs w:val="28"/>
        </w:rPr>
      </w:pPr>
      <w:bookmarkStart w:id="14" w:name="_Toc16804"/>
      <w:r>
        <w:rPr>
          <w:rFonts w:ascii="仿宋_GB2312" w:eastAsia="仿宋_GB2312" w:hAnsi="仿宋_GB2312" w:cs="仿宋_GB2312" w:hint="eastAsia"/>
          <w:color w:val="000000"/>
          <w:sz w:val="28"/>
          <w:szCs w:val="28"/>
        </w:rPr>
        <w:lastRenderedPageBreak/>
        <w:t>（十）估价结果</w:t>
      </w:r>
      <w:bookmarkEnd w:id="14"/>
    </w:p>
    <w:p w:rsidR="009B4E67" w:rsidRDefault="00AA46B4">
      <w:pPr>
        <w:spacing w:before="0" w:after="0" w:line="520" w:lineRule="exact"/>
        <w:ind w:right="34" w:firstLineChars="200" w:firstLine="560"/>
        <w:rPr>
          <w:rFonts w:ascii="仿宋_GB2312" w:eastAsia="仿宋_GB2312" w:hAnsi="宋体"/>
          <w:sz w:val="28"/>
        </w:rPr>
      </w:pPr>
      <w:r>
        <w:rPr>
          <w:rFonts w:ascii="仿宋_GB2312" w:eastAsia="仿宋_GB2312" w:hAnsi="仿宋_GB2312" w:cs="仿宋_GB2312" w:hint="eastAsia"/>
          <w:snapToGrid w:val="0"/>
          <w:kern w:val="0"/>
          <w:sz w:val="28"/>
          <w:szCs w:val="20"/>
        </w:rPr>
        <w:t>估价人员根据估价目的，遵循估价原则，根据市场调查，在认真分析所掌握资料与影响估价对象价值诸因素的基础上，结合估价对象的个别因素和使用现状，采用科学的估价方法进行分析、测算和判断，最终确定估价对象于价值时点2022年9月29日的房地产市场价值为</w:t>
      </w:r>
      <w:r>
        <w:rPr>
          <w:rFonts w:ascii="仿宋_GB2312" w:eastAsia="仿宋_GB2312" w:hAnsi="仿宋_GB2312" w:cs="仿宋_GB2312" w:hint="eastAsia"/>
          <w:b/>
          <w:bCs/>
          <w:snapToGrid w:val="0"/>
          <w:kern w:val="0"/>
          <w:sz w:val="28"/>
          <w:szCs w:val="20"/>
        </w:rPr>
        <w:t>511.33</w:t>
      </w:r>
      <w:r>
        <w:rPr>
          <w:rFonts w:ascii="仿宋_GB2312" w:eastAsia="仿宋_GB2312" w:hAnsi="仿宋_GB2312" w:cs="仿宋_GB2312" w:hint="eastAsia"/>
          <w:snapToGrid w:val="0"/>
          <w:kern w:val="0"/>
          <w:sz w:val="28"/>
          <w:szCs w:val="20"/>
        </w:rPr>
        <w:t>万元，人民币大写：</w:t>
      </w:r>
      <w:r>
        <w:rPr>
          <w:rFonts w:ascii="仿宋_GB2312" w:eastAsia="仿宋_GB2312" w:hAnsi="仿宋_GB2312" w:cs="仿宋_GB2312" w:hint="eastAsia"/>
          <w:b/>
          <w:bCs/>
          <w:sz w:val="28"/>
          <w:szCs w:val="28"/>
        </w:rPr>
        <w:t>伍佰壹拾壹万叁仟叁佰</w:t>
      </w:r>
      <w:r>
        <w:rPr>
          <w:rFonts w:ascii="仿宋_GB2312" w:eastAsia="仿宋_GB2312" w:hAnsi="仿宋_GB2312" w:cs="仿宋_GB2312" w:hint="eastAsia"/>
          <w:sz w:val="28"/>
          <w:szCs w:val="28"/>
        </w:rPr>
        <w:t>元整</w:t>
      </w:r>
      <w:r>
        <w:rPr>
          <w:rFonts w:ascii="仿宋_GB2312" w:eastAsia="仿宋_GB2312" w:hAnsi="仿宋_GB2312" w:cs="仿宋_GB2312" w:hint="eastAsia"/>
          <w:snapToGrid w:val="0"/>
          <w:kern w:val="0"/>
          <w:sz w:val="28"/>
          <w:szCs w:val="20"/>
        </w:rPr>
        <w:t>，</w:t>
      </w:r>
      <w:r>
        <w:rPr>
          <w:rFonts w:ascii="仿宋_GB2312" w:eastAsia="仿宋_GB2312" w:hAnsi="宋体" w:hint="eastAsia"/>
          <w:sz w:val="28"/>
        </w:rPr>
        <w:t>具体详见《评估结果明细表》。</w:t>
      </w:r>
    </w:p>
    <w:p w:rsidR="009B4E67" w:rsidRDefault="00AA46B4">
      <w:pPr>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color w:val="000000"/>
          <w:sz w:val="28"/>
          <w:szCs w:val="28"/>
        </w:rPr>
        <w:t>（十一）注册房地产估价师</w:t>
      </w:r>
    </w:p>
    <w:p w:rsidR="009B4E67" w:rsidRDefault="00AA46B4">
      <w:pPr>
        <w:spacing w:before="0" w:after="0" w:line="52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 xml:space="preserve">参加本次估价的注册房地产估价师为：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991"/>
        <w:gridCol w:w="2186"/>
        <w:gridCol w:w="2823"/>
      </w:tblGrid>
      <w:tr w:rsidR="009B4E67">
        <w:trPr>
          <w:trHeight w:val="878"/>
          <w:jc w:val="center"/>
        </w:trPr>
        <w:tc>
          <w:tcPr>
            <w:tcW w:w="1211" w:type="pct"/>
            <w:vAlign w:val="center"/>
          </w:tcPr>
          <w:p w:rsidR="009B4E67" w:rsidRDefault="00AA46B4">
            <w:pPr>
              <w:pStyle w:val="af5"/>
              <w:spacing w:after="0"/>
              <w:jc w:val="center"/>
              <w:rPr>
                <w:rFonts w:ascii="仿宋_GB2312" w:eastAsia="仿宋_GB2312"/>
                <w:sz w:val="28"/>
                <w:szCs w:val="28"/>
              </w:rPr>
            </w:pPr>
            <w:r>
              <w:rPr>
                <w:rFonts w:ascii="仿宋_GB2312" w:eastAsia="仿宋_GB2312" w:hint="eastAsia"/>
                <w:sz w:val="28"/>
                <w:szCs w:val="28"/>
              </w:rPr>
              <w:t>姓名</w:t>
            </w:r>
          </w:p>
        </w:tc>
        <w:tc>
          <w:tcPr>
            <w:tcW w:w="1077" w:type="pct"/>
            <w:vAlign w:val="center"/>
          </w:tcPr>
          <w:p w:rsidR="009B4E67" w:rsidRDefault="00AA46B4">
            <w:pPr>
              <w:pStyle w:val="af5"/>
              <w:spacing w:after="0"/>
              <w:jc w:val="center"/>
              <w:rPr>
                <w:rFonts w:ascii="仿宋_GB2312" w:eastAsia="仿宋_GB2312"/>
                <w:sz w:val="28"/>
                <w:szCs w:val="28"/>
              </w:rPr>
            </w:pPr>
            <w:r>
              <w:rPr>
                <w:rFonts w:ascii="仿宋_GB2312" w:eastAsia="仿宋_GB2312" w:hint="eastAsia"/>
                <w:sz w:val="28"/>
                <w:szCs w:val="28"/>
              </w:rPr>
              <w:t>注册号</w:t>
            </w:r>
          </w:p>
        </w:tc>
        <w:tc>
          <w:tcPr>
            <w:tcW w:w="1183" w:type="pct"/>
            <w:vAlign w:val="center"/>
          </w:tcPr>
          <w:p w:rsidR="009B4E67" w:rsidRDefault="00AA46B4">
            <w:pPr>
              <w:pStyle w:val="af5"/>
              <w:spacing w:after="0"/>
              <w:jc w:val="center"/>
              <w:rPr>
                <w:rFonts w:ascii="仿宋_GB2312" w:eastAsia="仿宋_GB2312"/>
                <w:sz w:val="28"/>
                <w:szCs w:val="28"/>
              </w:rPr>
            </w:pPr>
            <w:r>
              <w:rPr>
                <w:rFonts w:ascii="仿宋_GB2312" w:eastAsia="仿宋_GB2312" w:hint="eastAsia"/>
                <w:sz w:val="28"/>
                <w:szCs w:val="28"/>
              </w:rPr>
              <w:t>签名</w:t>
            </w:r>
          </w:p>
        </w:tc>
        <w:tc>
          <w:tcPr>
            <w:tcW w:w="1527" w:type="pct"/>
            <w:vAlign w:val="center"/>
          </w:tcPr>
          <w:p w:rsidR="009B4E67" w:rsidRDefault="00AA46B4">
            <w:pPr>
              <w:pStyle w:val="af5"/>
              <w:spacing w:after="0"/>
              <w:jc w:val="center"/>
              <w:rPr>
                <w:rFonts w:ascii="仿宋_GB2312" w:eastAsia="仿宋_GB2312"/>
                <w:sz w:val="28"/>
                <w:szCs w:val="28"/>
              </w:rPr>
            </w:pPr>
            <w:r>
              <w:rPr>
                <w:rFonts w:ascii="仿宋_GB2312" w:eastAsia="仿宋_GB2312" w:hint="eastAsia"/>
                <w:sz w:val="28"/>
                <w:szCs w:val="28"/>
              </w:rPr>
              <w:t>签名日期</w:t>
            </w:r>
          </w:p>
        </w:tc>
      </w:tr>
      <w:tr w:rsidR="009B4E67">
        <w:trPr>
          <w:trHeight w:val="1149"/>
          <w:jc w:val="center"/>
        </w:trPr>
        <w:tc>
          <w:tcPr>
            <w:tcW w:w="2237" w:type="dxa"/>
            <w:vAlign w:val="center"/>
          </w:tcPr>
          <w:p w:rsidR="009B4E67" w:rsidRDefault="00AA46B4">
            <w:pPr>
              <w:pStyle w:val="af5"/>
              <w:spacing w:after="0"/>
              <w:jc w:val="center"/>
              <w:rPr>
                <w:rFonts w:ascii="仿宋_GB2312" w:eastAsia="仿宋_GB2312"/>
                <w:sz w:val="28"/>
                <w:szCs w:val="28"/>
              </w:rPr>
            </w:pPr>
            <w:r>
              <w:rPr>
                <w:rFonts w:ascii="仿宋_GB2312" w:eastAsia="仿宋_GB2312" w:hint="eastAsia"/>
                <w:sz w:val="28"/>
                <w:szCs w:val="28"/>
              </w:rPr>
              <w:t>欧胜华</w:t>
            </w:r>
          </w:p>
        </w:tc>
        <w:tc>
          <w:tcPr>
            <w:tcW w:w="1991" w:type="dxa"/>
            <w:vAlign w:val="center"/>
          </w:tcPr>
          <w:p w:rsidR="009B4E67" w:rsidRDefault="00AA46B4">
            <w:pPr>
              <w:pStyle w:val="af5"/>
              <w:spacing w:after="0"/>
              <w:jc w:val="center"/>
              <w:rPr>
                <w:rFonts w:ascii="仿宋_GB2312" w:eastAsia="仿宋_GB2312"/>
                <w:sz w:val="28"/>
                <w:szCs w:val="28"/>
              </w:rPr>
            </w:pPr>
            <w:r>
              <w:rPr>
                <w:rFonts w:ascii="仿宋_GB2312" w:eastAsia="仿宋_GB2312" w:hint="eastAsia"/>
                <w:sz w:val="28"/>
                <w:szCs w:val="28"/>
              </w:rPr>
              <w:t>4320030081</w:t>
            </w:r>
          </w:p>
        </w:tc>
        <w:tc>
          <w:tcPr>
            <w:tcW w:w="2187" w:type="dxa"/>
            <w:vAlign w:val="center"/>
          </w:tcPr>
          <w:p w:rsidR="009B4E67" w:rsidRDefault="009B4E67">
            <w:pPr>
              <w:pStyle w:val="af5"/>
              <w:spacing w:after="0"/>
              <w:jc w:val="center"/>
              <w:rPr>
                <w:rFonts w:ascii="仿宋_GB2312" w:eastAsia="仿宋_GB2312"/>
                <w:sz w:val="28"/>
                <w:szCs w:val="28"/>
              </w:rPr>
            </w:pPr>
          </w:p>
        </w:tc>
        <w:tc>
          <w:tcPr>
            <w:tcW w:w="2823" w:type="dxa"/>
            <w:vAlign w:val="center"/>
          </w:tcPr>
          <w:p w:rsidR="009B4E67" w:rsidRDefault="00AA46B4">
            <w:pPr>
              <w:pStyle w:val="af5"/>
              <w:spacing w:after="0"/>
              <w:jc w:val="center"/>
              <w:rPr>
                <w:rFonts w:ascii="仿宋_GB2312" w:eastAsia="仿宋_GB2312"/>
                <w:sz w:val="28"/>
                <w:szCs w:val="28"/>
              </w:rPr>
            </w:pPr>
            <w:r>
              <w:rPr>
                <w:rFonts w:ascii="仿宋_GB2312" w:eastAsia="仿宋_GB2312" w:hAnsi="宋体" w:hint="eastAsia"/>
                <w:color w:val="000000"/>
                <w:sz w:val="28"/>
                <w:szCs w:val="28"/>
              </w:rPr>
              <w:t>2022年10月18日</w:t>
            </w:r>
          </w:p>
        </w:tc>
      </w:tr>
      <w:tr w:rsidR="009B4E67">
        <w:trPr>
          <w:trHeight w:val="1245"/>
          <w:jc w:val="center"/>
        </w:trPr>
        <w:tc>
          <w:tcPr>
            <w:tcW w:w="2237" w:type="dxa"/>
            <w:vAlign w:val="center"/>
          </w:tcPr>
          <w:p w:rsidR="009B4E67" w:rsidRDefault="00AA46B4">
            <w:pPr>
              <w:pStyle w:val="af5"/>
              <w:spacing w:after="0"/>
              <w:jc w:val="center"/>
              <w:rPr>
                <w:rFonts w:ascii="仿宋_GB2312" w:eastAsia="仿宋_GB2312"/>
                <w:sz w:val="28"/>
                <w:szCs w:val="28"/>
              </w:rPr>
            </w:pPr>
            <w:r>
              <w:rPr>
                <w:rFonts w:ascii="仿宋_GB2312" w:eastAsia="仿宋_GB2312" w:hint="eastAsia"/>
                <w:sz w:val="28"/>
                <w:szCs w:val="28"/>
              </w:rPr>
              <w:t>许  瑜</w:t>
            </w:r>
          </w:p>
        </w:tc>
        <w:tc>
          <w:tcPr>
            <w:tcW w:w="1991" w:type="dxa"/>
            <w:vAlign w:val="center"/>
          </w:tcPr>
          <w:p w:rsidR="009B4E67" w:rsidRDefault="00AA46B4">
            <w:pPr>
              <w:pStyle w:val="af5"/>
              <w:spacing w:after="0"/>
              <w:jc w:val="center"/>
              <w:rPr>
                <w:rFonts w:ascii="仿宋_GB2312" w:eastAsia="仿宋_GB2312"/>
                <w:sz w:val="28"/>
                <w:szCs w:val="28"/>
              </w:rPr>
            </w:pPr>
            <w:r>
              <w:rPr>
                <w:rFonts w:ascii="仿宋_GB2312" w:eastAsia="仿宋_GB2312" w:hint="eastAsia"/>
                <w:sz w:val="28"/>
                <w:szCs w:val="28"/>
              </w:rPr>
              <w:t>3620000070</w:t>
            </w:r>
          </w:p>
        </w:tc>
        <w:tc>
          <w:tcPr>
            <w:tcW w:w="2187" w:type="dxa"/>
            <w:vAlign w:val="center"/>
          </w:tcPr>
          <w:p w:rsidR="009B4E67" w:rsidRDefault="009B4E67">
            <w:pPr>
              <w:pStyle w:val="af5"/>
              <w:spacing w:after="0"/>
              <w:jc w:val="center"/>
              <w:rPr>
                <w:rFonts w:ascii="仿宋_GB2312" w:eastAsia="仿宋_GB2312"/>
                <w:sz w:val="28"/>
                <w:szCs w:val="28"/>
              </w:rPr>
            </w:pPr>
          </w:p>
        </w:tc>
        <w:tc>
          <w:tcPr>
            <w:tcW w:w="2823" w:type="dxa"/>
            <w:vAlign w:val="center"/>
          </w:tcPr>
          <w:p w:rsidR="009B4E67" w:rsidRDefault="00AA46B4">
            <w:pPr>
              <w:pStyle w:val="af5"/>
              <w:spacing w:after="0"/>
              <w:jc w:val="center"/>
              <w:rPr>
                <w:rFonts w:ascii="仿宋_GB2312" w:eastAsia="仿宋_GB2312"/>
                <w:sz w:val="28"/>
                <w:szCs w:val="28"/>
              </w:rPr>
            </w:pPr>
            <w:r>
              <w:rPr>
                <w:rFonts w:ascii="仿宋_GB2312" w:eastAsia="仿宋_GB2312" w:hAnsi="宋体" w:hint="eastAsia"/>
                <w:color w:val="000000"/>
                <w:sz w:val="28"/>
                <w:szCs w:val="28"/>
              </w:rPr>
              <w:t>2022年10月18日</w:t>
            </w:r>
          </w:p>
        </w:tc>
      </w:tr>
    </w:tbl>
    <w:p w:rsidR="009B4E67" w:rsidRDefault="00AA46B4">
      <w:pPr>
        <w:pStyle w:val="2"/>
        <w:keepLines w:val="0"/>
        <w:spacing w:beforeLines="50" w:before="156" w:after="0" w:line="600" w:lineRule="exact"/>
        <w:ind w:firstLineChars="200" w:firstLine="562"/>
        <w:jc w:val="left"/>
        <w:rPr>
          <w:rFonts w:ascii="仿宋_GB2312" w:eastAsia="仿宋_GB2312" w:hAnsi="仿宋_GB2312" w:cs="仿宋_GB2312"/>
          <w:color w:val="000000"/>
          <w:sz w:val="28"/>
          <w:szCs w:val="28"/>
        </w:rPr>
      </w:pPr>
      <w:bookmarkStart w:id="15" w:name="_Toc20553"/>
      <w:r>
        <w:rPr>
          <w:rFonts w:ascii="仿宋_GB2312" w:eastAsia="仿宋_GB2312" w:hAnsi="仿宋_GB2312" w:cs="仿宋_GB2312" w:hint="eastAsia"/>
          <w:color w:val="000000"/>
          <w:sz w:val="28"/>
          <w:szCs w:val="28"/>
        </w:rPr>
        <w:t>（十二）实地查勘期</w:t>
      </w:r>
      <w:bookmarkEnd w:id="15"/>
    </w:p>
    <w:p w:rsidR="009B4E67" w:rsidRDefault="00AA46B4">
      <w:pPr>
        <w:spacing w:before="0" w:after="0" w:line="600" w:lineRule="exact"/>
        <w:ind w:right="34"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2022年9月29日</w:t>
      </w:r>
    </w:p>
    <w:p w:rsidR="009B4E67" w:rsidRDefault="00AA46B4">
      <w:pPr>
        <w:pStyle w:val="2"/>
        <w:keepLines w:val="0"/>
        <w:spacing w:beforeLines="50" w:before="156" w:after="0" w:line="600" w:lineRule="exact"/>
        <w:ind w:firstLineChars="200" w:firstLine="562"/>
        <w:jc w:val="left"/>
        <w:rPr>
          <w:rFonts w:ascii="仿宋_GB2312" w:eastAsia="仿宋_GB2312" w:hAnsi="仿宋_GB2312" w:cs="仿宋_GB2312"/>
          <w:color w:val="000000"/>
          <w:sz w:val="28"/>
          <w:szCs w:val="28"/>
        </w:rPr>
      </w:pPr>
      <w:bookmarkStart w:id="16" w:name="_Toc28652"/>
      <w:r>
        <w:rPr>
          <w:rFonts w:ascii="仿宋_GB2312" w:eastAsia="仿宋_GB2312" w:hAnsi="仿宋_GB2312" w:cs="仿宋_GB2312" w:hint="eastAsia"/>
          <w:color w:val="000000"/>
          <w:sz w:val="28"/>
          <w:szCs w:val="28"/>
        </w:rPr>
        <w:t>（十三）估价作业日期</w:t>
      </w:r>
      <w:bookmarkEnd w:id="16"/>
    </w:p>
    <w:p w:rsidR="009B4E67" w:rsidRDefault="00AA46B4">
      <w:pPr>
        <w:spacing w:before="0" w:after="0" w:line="600" w:lineRule="exact"/>
        <w:ind w:right="34"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2022年9月29日至2022年10月18日</w:t>
      </w:r>
    </w:p>
    <w:p w:rsidR="009B4E67" w:rsidRDefault="009B4E67">
      <w:pPr>
        <w:pStyle w:val="a0"/>
        <w:rPr>
          <w:rFonts w:ascii="仿宋_GB2312" w:eastAsia="仿宋_GB2312" w:hAnsi="宋体"/>
          <w:color w:val="000000"/>
          <w:sz w:val="28"/>
          <w:szCs w:val="28"/>
        </w:rPr>
      </w:pPr>
    </w:p>
    <w:p w:rsidR="009B4E67" w:rsidRDefault="009B4E67">
      <w:pPr>
        <w:rPr>
          <w:rFonts w:ascii="仿宋_GB2312" w:eastAsia="仿宋_GB2312" w:hAnsi="宋体"/>
          <w:color w:val="000000"/>
          <w:sz w:val="28"/>
          <w:szCs w:val="28"/>
        </w:rPr>
      </w:pPr>
    </w:p>
    <w:p w:rsidR="009B4E67" w:rsidRPr="00B3544A" w:rsidRDefault="009B4E67" w:rsidP="00B3544A">
      <w:pPr>
        <w:pStyle w:val="a0"/>
      </w:pPr>
      <w:bookmarkStart w:id="17" w:name="_GoBack"/>
      <w:bookmarkEnd w:id="17"/>
    </w:p>
    <w:sectPr w:rsidR="009B4E67" w:rsidRPr="00B3544A">
      <w:footerReference w:type="default" r:id="rId21"/>
      <w:pgSz w:w="11906" w:h="16838"/>
      <w:pgMar w:top="1984" w:right="1440" w:bottom="1440" w:left="1440" w:header="850"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E67" w:rsidRDefault="00AA46B4">
      <w:pPr>
        <w:spacing w:line="240" w:lineRule="auto"/>
      </w:pPr>
      <w:r>
        <w:separator/>
      </w:r>
    </w:p>
  </w:endnote>
  <w:endnote w:type="continuationSeparator" w:id="0">
    <w:p w:rsidR="009B4E67" w:rsidRDefault="00AA4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67" w:rsidRDefault="00AA46B4">
    <w:pPr>
      <w:pStyle w:val="aa"/>
      <w:framePr w:wrap="around" w:vAnchor="text" w:hAnchor="margin" w:xAlign="center" w:y="1"/>
      <w:rPr>
        <w:rStyle w:val="af2"/>
      </w:rPr>
    </w:pPr>
    <w:r>
      <w:fldChar w:fldCharType="begin"/>
    </w:r>
    <w:r>
      <w:rPr>
        <w:rStyle w:val="af2"/>
      </w:rPr>
      <w:instrText xml:space="preserve">PAGE  </w:instrText>
    </w:r>
    <w:r>
      <w:fldChar w:fldCharType="separate"/>
    </w:r>
    <w:r>
      <w:rPr>
        <w:rStyle w:val="af2"/>
      </w:rPr>
      <w:t>25</w:t>
    </w:r>
    <w:r>
      <w:fldChar w:fldCharType="end"/>
    </w:r>
  </w:p>
  <w:p w:rsidR="009B4E67" w:rsidRDefault="009B4E6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67" w:rsidRDefault="00AA46B4">
    <w:pPr>
      <w:pStyle w:val="aa"/>
      <w:framePr w:wrap="around" w:vAnchor="text" w:hAnchor="margin" w:xAlign="center" w:y="1"/>
      <w:rPr>
        <w:rStyle w:val="af2"/>
      </w:rPr>
    </w:pPr>
    <w:r>
      <w:fldChar w:fldCharType="begin"/>
    </w:r>
    <w:r>
      <w:rPr>
        <w:rStyle w:val="af2"/>
      </w:rPr>
      <w:instrText xml:space="preserve">PAGE  </w:instrText>
    </w:r>
    <w:r>
      <w:fldChar w:fldCharType="separate"/>
    </w:r>
    <w:r>
      <w:rPr>
        <w:rStyle w:val="af2"/>
      </w:rPr>
      <w:t>25</w:t>
    </w:r>
    <w:r>
      <w:fldChar w:fldCharType="end"/>
    </w:r>
  </w:p>
  <w:p w:rsidR="009B4E67" w:rsidRDefault="009B4E67">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67" w:rsidRDefault="00AA46B4">
    <w:pPr>
      <w:pStyle w:val="aa"/>
      <w:tabs>
        <w:tab w:val="clear" w:pos="4153"/>
        <w:tab w:val="clear" w:pos="8306"/>
        <w:tab w:val="center" w:pos="4513"/>
      </w:tabs>
      <w:rPr>
        <w:rFonts w:ascii="Times New Roman" w:hAnsi="Times New Roman"/>
        <w:sz w:val="21"/>
        <w:szCs w:val="21"/>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B4E67" w:rsidRDefault="00AA46B4">
                          <w:pPr>
                            <w:pStyle w:val="aa"/>
                          </w:pPr>
                          <w:r>
                            <w:fldChar w:fldCharType="begin"/>
                          </w:r>
                          <w:r>
                            <w:instrText xml:space="preserve"> PAGE  \* MERGEFORMAT </w:instrText>
                          </w:r>
                          <w:r>
                            <w:fldChar w:fldCharType="separate"/>
                          </w:r>
                          <w:r w:rsidR="00B3544A">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p w:rsidR="009B4E67" w:rsidRDefault="00AA46B4">
                    <w:pPr>
                      <w:pStyle w:val="aa"/>
                    </w:pPr>
                    <w:r>
                      <w:fldChar w:fldCharType="begin"/>
                    </w:r>
                    <w:r>
                      <w:instrText xml:space="preserve"> PAGE  \* MERGEFORMAT </w:instrText>
                    </w:r>
                    <w:r>
                      <w:fldChar w:fldCharType="separate"/>
                    </w:r>
                    <w:r w:rsidR="00B3544A">
                      <w:rPr>
                        <w:noProof/>
                      </w:rPr>
                      <w:t>2</w:t>
                    </w:r>
                    <w:r>
                      <w:fldChar w:fldCharType="end"/>
                    </w:r>
                  </w:p>
                </w:txbxContent>
              </v:textbox>
              <w10:wrap anchorx="margin"/>
            </v:shape>
          </w:pict>
        </mc:Fallback>
      </mc:AlternateContent>
    </w:r>
    <w:r>
      <w:rPr>
        <w:rFonts w:hint="eastAsia"/>
      </w:rPr>
      <w:tab/>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67" w:rsidRDefault="00AA46B4">
    <w:pPr>
      <w:pStyle w:val="aa"/>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B4E67" w:rsidRDefault="00AA46B4">
                          <w:pPr>
                            <w:pStyle w:val="aa"/>
                          </w:pPr>
                          <w:r>
                            <w:fldChar w:fldCharType="begin"/>
                          </w:r>
                          <w:r>
                            <w:instrText xml:space="preserve"> PAGE  \* MERGEFORMAT </w:instrText>
                          </w:r>
                          <w:r>
                            <w:fldChar w:fldCharType="separate"/>
                          </w:r>
                          <w:r w:rsidR="00B3544A">
                            <w:rPr>
                              <w:noProof/>
                            </w:rPr>
                            <w:t>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2" o:spid="_x0000_s1027"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rGMZAIAABMFAAAOAAAAZHJzL2Uyb0RvYy54bWysVE1uEzEU3iNxB8t7OmkQVRR1UoVWRUgV&#10;rSiIteOxmxG2n2W7mQkHgBuwYtM95+o5+OzJpKiwKWLjefP+3/d+jk96a9hGhdiSq/nhwYQz5SQ1&#10;rbup+ccP5y9mnMUkXCMMOVXzrYr8ZPH82XHn52pKazKNCgxOXJx3vubrlPy8qqJcKyviAXnlINQU&#10;rEj4DTdVE0QH79ZU08nkqOooND6QVDGCezYI+aL411rJdKl1VImZmiO3VN5Q3lV+q8WxmN8E4det&#10;3KUh/iELK1qHoHtXZyIJdhvaP1zZVgaKpNOBJFuR1q1UpQZUczh5VM31WnhVagE40e9hiv/PrXy3&#10;uQqsbWo+nXLmhEWP7r9/u//x8/7uKwMPAHU+zqF37aGZ+tfUo9EjP4KZ6+51sPmLihjkgHq7h1f1&#10;iclsNJvOZhOIJGTjD/xXD+Y+xPRGkWWZqHlA/wqsYnMR06A6quRojs5bY0oPjWNdzY9evpoUg70E&#10;zo1DjFzEkGyh0tao7MG490qj/pJzZpTJU6cmsI3AzAgplUul3OIJ2llLI+xTDHf62VSVqXyK8d6i&#10;RCaX9sa2dRRKvY/Sbj6PKetBf0RgqDtDkPpVPzR+7OWKmi1aHGjYkujleYs2XIiYrkTAWqB1WPV0&#10;iUcbAty0ozhbU/jyN37Wx7RCylmHNau5wx3gzLx1mOK8kSMRRmI1Eu7WnhJ6cIgT4mUhYRCSGUkd&#10;yH7C/i9zDIiEk4hU8zSSp2lYddwPqZbLooS98yJduGsvs+vSc7+8TRilMmEZmwGJHWbYvDKjuyuR&#10;V/v3/6L1cMsWv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jSsYxkAgAAEwUAAA4AAAAAAAAAAAAAAAAALgIAAGRycy9lMm9Eb2Mu&#10;eG1sUEsBAi0AFAAGAAgAAAAhAHGq0bnXAAAABQEAAA8AAAAAAAAAAAAAAAAAvgQAAGRycy9kb3du&#10;cmV2LnhtbFBLBQYAAAAABAAEAPMAAADCBQAAAAA=&#10;" filled="f" stroked="f" strokeweight=".5pt">
              <v:textbox style="mso-fit-shape-to-text:t" inset="0,0,0,0">
                <w:txbxContent>
                  <w:p w:rsidR="009B4E67" w:rsidRDefault="00AA46B4">
                    <w:pPr>
                      <w:pStyle w:val="aa"/>
                    </w:pPr>
                    <w:r>
                      <w:fldChar w:fldCharType="begin"/>
                    </w:r>
                    <w:r>
                      <w:instrText xml:space="preserve"> PAGE  \* MERGEFORMAT </w:instrText>
                    </w:r>
                    <w:r>
                      <w:fldChar w:fldCharType="separate"/>
                    </w:r>
                    <w:r w:rsidR="00B3544A">
                      <w:rPr>
                        <w:noProof/>
                      </w:rPr>
                      <w:t>13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E67" w:rsidRDefault="00AA46B4">
      <w:pPr>
        <w:spacing w:before="0" w:after="0"/>
      </w:pPr>
      <w:r>
        <w:separator/>
      </w:r>
    </w:p>
  </w:footnote>
  <w:footnote w:type="continuationSeparator" w:id="0">
    <w:p w:rsidR="009B4E67" w:rsidRDefault="00AA46B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67" w:rsidRDefault="00AA46B4" w:rsidP="00AA46B4">
    <w:pPr>
      <w:pStyle w:val="ab"/>
      <w:pBdr>
        <w:bottom w:val="none" w:sz="0" w:space="0" w:color="auto"/>
      </w:pBdr>
      <w:tabs>
        <w:tab w:val="left" w:pos="720"/>
      </w:tabs>
      <w:spacing w:before="0" w:after="0" w:line="240" w:lineRule="atLeast"/>
      <w:ind w:firstLineChars="400" w:firstLine="1148"/>
      <w:jc w:val="distribute"/>
      <w:textAlignment w:val="top"/>
      <w:rPr>
        <w:rFonts w:eastAsia="隶书"/>
        <w:w w:val="80"/>
        <w:position w:val="6"/>
        <w:sz w:val="36"/>
      </w:rPr>
    </w:pPr>
    <w:r>
      <w:rPr>
        <w:rFonts w:ascii="Times New Roman" w:eastAsia="隶书" w:hAnsi="Times New Roman" w:hint="eastAsia"/>
        <w:noProof/>
        <w:w w:val="80"/>
        <w:position w:val="6"/>
        <w:sz w:val="36"/>
      </w:rPr>
      <w:drawing>
        <wp:anchor distT="0" distB="0" distL="114300" distR="114300" simplePos="0" relativeHeight="251660288" behindDoc="0" locked="0" layoutInCell="1" allowOverlap="1">
          <wp:simplePos x="0" y="0"/>
          <wp:positionH relativeFrom="column">
            <wp:posOffset>71755</wp:posOffset>
          </wp:positionH>
          <wp:positionV relativeFrom="paragraph">
            <wp:posOffset>49530</wp:posOffset>
          </wp:positionV>
          <wp:extent cx="609600" cy="250825"/>
          <wp:effectExtent l="0" t="0" r="0" b="15875"/>
          <wp:wrapNone/>
          <wp:docPr id="20" name="图片 23" descr="16389321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3" descr="1638932167(1)"/>
                  <pic:cNvPicPr>
                    <a:picLocks noChangeAspect="1"/>
                  </pic:cNvPicPr>
                </pic:nvPicPr>
                <pic:blipFill>
                  <a:blip r:embed="rId1"/>
                  <a:stretch>
                    <a:fillRect/>
                  </a:stretch>
                </pic:blipFill>
                <pic:spPr>
                  <a:xfrm>
                    <a:off x="0" y="0"/>
                    <a:ext cx="609600" cy="250825"/>
                  </a:xfrm>
                  <a:prstGeom prst="rect">
                    <a:avLst/>
                  </a:prstGeom>
                  <a:noFill/>
                  <a:ln>
                    <a:noFill/>
                  </a:ln>
                </pic:spPr>
              </pic:pic>
            </a:graphicData>
          </a:graphic>
        </wp:anchor>
      </w:drawing>
    </w:r>
    <w:r>
      <w:rPr>
        <w:rFonts w:ascii="Times New Roman" w:eastAsia="隶书" w:hAnsi="Times New Roman" w:hint="eastAsia"/>
        <w:w w:val="80"/>
        <w:position w:val="6"/>
        <w:sz w:val="36"/>
      </w:rPr>
      <w:t>江</w:t>
    </w:r>
    <w:r>
      <w:rPr>
        <w:rFonts w:ascii="Times New Roman" w:eastAsia="隶书" w:hAnsi="Times New Roman" w:hint="eastAsia"/>
        <w:w w:val="80"/>
        <w:position w:val="6"/>
        <w:sz w:val="36"/>
      </w:rPr>
      <w:t xml:space="preserve"> </w:t>
    </w:r>
    <w:r>
      <w:rPr>
        <w:rFonts w:ascii="Times New Roman" w:eastAsia="隶书" w:hAnsi="Times New Roman" w:hint="eastAsia"/>
        <w:w w:val="80"/>
        <w:position w:val="6"/>
        <w:sz w:val="36"/>
      </w:rPr>
      <w:t>西</w:t>
    </w:r>
    <w:r>
      <w:rPr>
        <w:rFonts w:ascii="Times New Roman" w:eastAsia="隶书" w:hAnsi="Times New Roman" w:hint="eastAsia"/>
        <w:w w:val="80"/>
        <w:position w:val="6"/>
        <w:sz w:val="36"/>
      </w:rPr>
      <w:t xml:space="preserve"> </w:t>
    </w:r>
    <w:r>
      <w:rPr>
        <w:rFonts w:eastAsia="隶书" w:hint="eastAsia"/>
        <w:w w:val="80"/>
        <w:position w:val="6"/>
        <w:sz w:val="36"/>
      </w:rPr>
      <w:t>仁</w:t>
    </w:r>
    <w:r>
      <w:rPr>
        <w:rFonts w:eastAsia="隶书" w:hint="eastAsia"/>
        <w:w w:val="80"/>
        <w:position w:val="6"/>
      </w:rPr>
      <w:t xml:space="preserve">  </w:t>
    </w:r>
    <w:r>
      <w:rPr>
        <w:rFonts w:eastAsia="隶书" w:hint="eastAsia"/>
        <w:w w:val="80"/>
        <w:position w:val="6"/>
        <w:sz w:val="36"/>
      </w:rPr>
      <w:t>信</w:t>
    </w:r>
    <w:r>
      <w:rPr>
        <w:rFonts w:eastAsia="隶书" w:hint="eastAsia"/>
        <w:w w:val="80"/>
        <w:position w:val="6"/>
        <w:sz w:val="36"/>
      </w:rPr>
      <w:t xml:space="preserve"> </w:t>
    </w:r>
    <w:r>
      <w:rPr>
        <w:rFonts w:eastAsia="隶书" w:hint="eastAsia"/>
        <w:w w:val="80"/>
        <w:position w:val="6"/>
      </w:rPr>
      <w:t xml:space="preserve"> </w:t>
    </w:r>
    <w:r>
      <w:rPr>
        <w:rFonts w:eastAsia="隶书" w:hint="eastAsia"/>
        <w:w w:val="80"/>
        <w:position w:val="6"/>
        <w:sz w:val="36"/>
      </w:rPr>
      <w:t>房</w:t>
    </w:r>
    <w:r>
      <w:rPr>
        <w:rFonts w:eastAsia="隶书" w:hint="eastAsia"/>
        <w:w w:val="80"/>
        <w:position w:val="6"/>
      </w:rPr>
      <w:t xml:space="preserve"> </w:t>
    </w:r>
    <w:r>
      <w:rPr>
        <w:rFonts w:eastAsia="隶书" w:hint="eastAsia"/>
        <w:w w:val="80"/>
        <w:position w:val="6"/>
        <w:sz w:val="36"/>
      </w:rPr>
      <w:t>地</w:t>
    </w:r>
    <w:r>
      <w:rPr>
        <w:rFonts w:eastAsia="隶书" w:hint="eastAsia"/>
        <w:w w:val="80"/>
        <w:position w:val="6"/>
      </w:rPr>
      <w:t xml:space="preserve"> </w:t>
    </w:r>
    <w:r>
      <w:rPr>
        <w:rFonts w:eastAsia="隶书" w:hint="eastAsia"/>
        <w:w w:val="80"/>
        <w:position w:val="6"/>
        <w:sz w:val="36"/>
      </w:rPr>
      <w:t>产</w:t>
    </w:r>
    <w:r>
      <w:rPr>
        <w:rFonts w:eastAsia="隶书" w:hint="eastAsia"/>
        <w:w w:val="80"/>
        <w:position w:val="6"/>
      </w:rPr>
      <w:t xml:space="preserve"> </w:t>
    </w:r>
    <w:r>
      <w:rPr>
        <w:rFonts w:ascii="Times New Roman" w:eastAsia="隶书" w:hAnsi="Times New Roman" w:hint="eastAsia"/>
        <w:w w:val="80"/>
        <w:position w:val="6"/>
        <w:sz w:val="36"/>
      </w:rPr>
      <w:t>资</w:t>
    </w:r>
    <w:r>
      <w:rPr>
        <w:rFonts w:ascii="Times New Roman" w:eastAsia="隶书" w:hAnsi="Times New Roman" w:hint="eastAsia"/>
        <w:w w:val="80"/>
        <w:position w:val="6"/>
        <w:sz w:val="36"/>
      </w:rPr>
      <w:t xml:space="preserve"> </w:t>
    </w:r>
    <w:r>
      <w:rPr>
        <w:rFonts w:ascii="Times New Roman" w:eastAsia="隶书" w:hAnsi="Times New Roman" w:hint="eastAsia"/>
        <w:w w:val="80"/>
        <w:position w:val="6"/>
        <w:sz w:val="36"/>
      </w:rPr>
      <w:t>产</w:t>
    </w:r>
    <w:r>
      <w:rPr>
        <w:rFonts w:ascii="Times New Roman" w:eastAsia="隶书" w:hAnsi="Times New Roman" w:hint="eastAsia"/>
        <w:w w:val="80"/>
        <w:position w:val="6"/>
        <w:sz w:val="36"/>
      </w:rPr>
      <w:t xml:space="preserve"> </w:t>
    </w:r>
    <w:r>
      <w:rPr>
        <w:rFonts w:eastAsia="隶书" w:hint="eastAsia"/>
        <w:w w:val="80"/>
        <w:position w:val="6"/>
        <w:sz w:val="36"/>
      </w:rPr>
      <w:t>评</w:t>
    </w:r>
    <w:r>
      <w:rPr>
        <w:rFonts w:eastAsia="隶书" w:hint="eastAsia"/>
        <w:w w:val="80"/>
        <w:position w:val="6"/>
      </w:rPr>
      <w:t xml:space="preserve"> </w:t>
    </w:r>
    <w:r>
      <w:rPr>
        <w:rFonts w:eastAsia="隶书" w:hint="eastAsia"/>
        <w:w w:val="80"/>
        <w:position w:val="6"/>
        <w:sz w:val="36"/>
      </w:rPr>
      <w:t>估</w:t>
    </w:r>
    <w:r>
      <w:rPr>
        <w:rFonts w:eastAsia="隶书" w:hint="eastAsia"/>
        <w:w w:val="80"/>
        <w:position w:val="6"/>
      </w:rPr>
      <w:t xml:space="preserve"> </w:t>
    </w:r>
    <w:r>
      <w:rPr>
        <w:rFonts w:eastAsia="隶书" w:hint="eastAsia"/>
        <w:w w:val="80"/>
        <w:position w:val="6"/>
        <w:sz w:val="36"/>
      </w:rPr>
      <w:t>有</w:t>
    </w:r>
    <w:r>
      <w:rPr>
        <w:rFonts w:eastAsia="隶书" w:hint="eastAsia"/>
        <w:w w:val="80"/>
        <w:position w:val="6"/>
      </w:rPr>
      <w:t xml:space="preserve"> </w:t>
    </w:r>
    <w:r>
      <w:rPr>
        <w:rFonts w:eastAsia="隶书" w:hint="eastAsia"/>
        <w:w w:val="80"/>
        <w:position w:val="6"/>
        <w:sz w:val="36"/>
      </w:rPr>
      <w:t>限</w:t>
    </w:r>
    <w:r>
      <w:rPr>
        <w:rFonts w:eastAsia="隶书" w:hint="eastAsia"/>
        <w:w w:val="80"/>
        <w:position w:val="6"/>
      </w:rPr>
      <w:t xml:space="preserve"> </w:t>
    </w:r>
    <w:r>
      <w:rPr>
        <w:rFonts w:eastAsia="隶书" w:hint="eastAsia"/>
        <w:w w:val="80"/>
        <w:position w:val="6"/>
        <w:sz w:val="36"/>
      </w:rPr>
      <w:t>公</w:t>
    </w:r>
    <w:r>
      <w:rPr>
        <w:rFonts w:eastAsia="隶书" w:hint="eastAsia"/>
        <w:w w:val="80"/>
        <w:position w:val="6"/>
      </w:rPr>
      <w:t xml:space="preserve"> </w:t>
    </w:r>
    <w:r>
      <w:rPr>
        <w:rFonts w:eastAsia="隶书" w:hint="eastAsia"/>
        <w:w w:val="80"/>
        <w:position w:val="6"/>
        <w:sz w:val="36"/>
      </w:rPr>
      <w:t>司</w:t>
    </w:r>
  </w:p>
  <w:p w:rsidR="009B4E67" w:rsidRDefault="00AA46B4">
    <w:pPr>
      <w:pStyle w:val="ab"/>
      <w:spacing w:before="0" w:after="0" w:line="240" w:lineRule="atLeast"/>
      <w:jc w:val="distribute"/>
    </w:pPr>
    <w:r>
      <w:rPr>
        <w:rFonts w:ascii="仿宋" w:eastAsia="仿宋" w:hAnsi="仿宋" w:cs="仿宋" w:hint="eastAsia"/>
      </w:rPr>
      <w:t>地址：江西省南昌市红谷滩区赣江南大道1888号滨江商务中心2#楼2916室  联系电话：0791-87678282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chineseCountingThousand"/>
      <w:lvlText w:val="%1"/>
      <w:lvlJc w:val="left"/>
      <w:pPr>
        <w:tabs>
          <w:tab w:val="left" w:pos="3032"/>
        </w:tabs>
        <w:ind w:left="2600" w:firstLine="0"/>
      </w:pPr>
      <w:rPr>
        <w:rFonts w:hint="eastAsia"/>
      </w:rPr>
    </w:lvl>
    <w:lvl w:ilvl="1">
      <w:start w:val="1"/>
      <w:numFmt w:val="chineseCountingThousand"/>
      <w:lvlText w:val="（%2）"/>
      <w:lvlJc w:val="left"/>
      <w:pPr>
        <w:tabs>
          <w:tab w:val="left" w:pos="5568"/>
        </w:tabs>
        <w:ind w:left="5220" w:firstLine="0"/>
      </w:pPr>
      <w:rPr>
        <w:rFonts w:hint="eastAsia"/>
      </w:rPr>
    </w:lvl>
    <w:lvl w:ilvl="2">
      <w:start w:val="1"/>
      <w:numFmt w:val="decimal"/>
      <w:lvlText w:val="%3"/>
      <w:lvlJc w:val="left"/>
      <w:pPr>
        <w:tabs>
          <w:tab w:val="left" w:pos="3320"/>
        </w:tabs>
        <w:ind w:left="2600" w:firstLine="0"/>
      </w:pPr>
      <w:rPr>
        <w:rFonts w:hint="eastAsia"/>
      </w:rPr>
    </w:lvl>
    <w:lvl w:ilvl="3">
      <w:start w:val="1"/>
      <w:numFmt w:val="decimal"/>
      <w:pStyle w:val="4"/>
      <w:lvlText w:val="(%4)"/>
      <w:lvlJc w:val="left"/>
      <w:pPr>
        <w:tabs>
          <w:tab w:val="left" w:pos="6264"/>
        </w:tabs>
        <w:ind w:left="5400" w:firstLine="0"/>
      </w:pPr>
      <w:rPr>
        <w:rFonts w:hint="eastAsia"/>
      </w:rPr>
    </w:lvl>
    <w:lvl w:ilvl="4">
      <w:start w:val="1"/>
      <w:numFmt w:val="decimal"/>
      <w:lvlText w:val="%1.%2.%3.%4.%5"/>
      <w:lvlJc w:val="left"/>
      <w:pPr>
        <w:tabs>
          <w:tab w:val="left" w:pos="3608"/>
        </w:tabs>
        <w:ind w:left="2600" w:firstLine="0"/>
      </w:pPr>
      <w:rPr>
        <w:rFonts w:hint="eastAsia"/>
      </w:rPr>
    </w:lvl>
    <w:lvl w:ilvl="5">
      <w:start w:val="1"/>
      <w:numFmt w:val="decimal"/>
      <w:lvlText w:val="%1.%2.%3.%4.%5.%6"/>
      <w:lvlJc w:val="left"/>
      <w:pPr>
        <w:tabs>
          <w:tab w:val="left" w:pos="3752"/>
        </w:tabs>
        <w:ind w:left="3752" w:hanging="1152"/>
      </w:pPr>
      <w:rPr>
        <w:rFonts w:hint="eastAsia"/>
      </w:rPr>
    </w:lvl>
    <w:lvl w:ilvl="6">
      <w:start w:val="1"/>
      <w:numFmt w:val="decimal"/>
      <w:lvlText w:val="%1.%2.%3.%4.%5.%6.%7"/>
      <w:lvlJc w:val="left"/>
      <w:pPr>
        <w:tabs>
          <w:tab w:val="left" w:pos="3896"/>
        </w:tabs>
        <w:ind w:left="3896" w:hanging="1296"/>
      </w:pPr>
      <w:rPr>
        <w:rFonts w:hint="eastAsia"/>
      </w:rPr>
    </w:lvl>
    <w:lvl w:ilvl="7">
      <w:start w:val="1"/>
      <w:numFmt w:val="decimal"/>
      <w:lvlText w:val="%1.%2.%3.%4.%5.%6.%7.%8"/>
      <w:lvlJc w:val="left"/>
      <w:pPr>
        <w:tabs>
          <w:tab w:val="left" w:pos="4040"/>
        </w:tabs>
        <w:ind w:left="4040" w:hanging="1440"/>
      </w:pPr>
      <w:rPr>
        <w:rFonts w:hint="eastAsia"/>
      </w:rPr>
    </w:lvl>
    <w:lvl w:ilvl="8">
      <w:start w:val="1"/>
      <w:numFmt w:val="decimal"/>
      <w:lvlText w:val="%1.%2.%3.%4.%5.%6.%7.%8.%9"/>
      <w:lvlJc w:val="left"/>
      <w:pPr>
        <w:tabs>
          <w:tab w:val="left" w:pos="4184"/>
        </w:tabs>
        <w:ind w:left="4184" w:hanging="1584"/>
      </w:pPr>
      <w:rPr>
        <w:rFonts w:hint="eastAsia"/>
      </w:rPr>
    </w:lvl>
  </w:abstractNum>
  <w:abstractNum w:abstractNumId="1">
    <w:nsid w:val="0626A5AE"/>
    <w:multiLevelType w:val="singleLevel"/>
    <w:tmpl w:val="0626A5AE"/>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mNTU2YWE2ODM0ZDMwOWM2YzI2ZWJlMzdlNjNlZGMifQ=="/>
  </w:docVars>
  <w:rsids>
    <w:rsidRoot w:val="009B4E67"/>
    <w:rsid w:val="009B4E67"/>
    <w:rsid w:val="00AA46B4"/>
    <w:rsid w:val="00B3544A"/>
    <w:rsid w:val="011567C7"/>
    <w:rsid w:val="02B313FF"/>
    <w:rsid w:val="04126937"/>
    <w:rsid w:val="04F27B43"/>
    <w:rsid w:val="071A5382"/>
    <w:rsid w:val="07AF3996"/>
    <w:rsid w:val="082D7CED"/>
    <w:rsid w:val="08F30446"/>
    <w:rsid w:val="09C149B3"/>
    <w:rsid w:val="0A9F23E7"/>
    <w:rsid w:val="0B66480C"/>
    <w:rsid w:val="0C907689"/>
    <w:rsid w:val="0CE642FD"/>
    <w:rsid w:val="0D0E22A2"/>
    <w:rsid w:val="0DD812EC"/>
    <w:rsid w:val="0EF76958"/>
    <w:rsid w:val="0F704352"/>
    <w:rsid w:val="0FDC6C37"/>
    <w:rsid w:val="10322272"/>
    <w:rsid w:val="105C6685"/>
    <w:rsid w:val="1096338A"/>
    <w:rsid w:val="10C738CB"/>
    <w:rsid w:val="10E7526A"/>
    <w:rsid w:val="1152643D"/>
    <w:rsid w:val="129F4701"/>
    <w:rsid w:val="13FF2128"/>
    <w:rsid w:val="142E0338"/>
    <w:rsid w:val="143370D5"/>
    <w:rsid w:val="14581B9D"/>
    <w:rsid w:val="16F27078"/>
    <w:rsid w:val="16F66F2A"/>
    <w:rsid w:val="17271E01"/>
    <w:rsid w:val="17B1305C"/>
    <w:rsid w:val="18966793"/>
    <w:rsid w:val="1B933A8D"/>
    <w:rsid w:val="1BFD22A4"/>
    <w:rsid w:val="1C3E1F30"/>
    <w:rsid w:val="1D492D4F"/>
    <w:rsid w:val="1E3C64C4"/>
    <w:rsid w:val="1ED3043E"/>
    <w:rsid w:val="1FE71F33"/>
    <w:rsid w:val="22194FD6"/>
    <w:rsid w:val="233E53C2"/>
    <w:rsid w:val="24623665"/>
    <w:rsid w:val="260A626C"/>
    <w:rsid w:val="26192586"/>
    <w:rsid w:val="26FF1804"/>
    <w:rsid w:val="281D19EE"/>
    <w:rsid w:val="28675F59"/>
    <w:rsid w:val="28D15C9D"/>
    <w:rsid w:val="2A3D0AC6"/>
    <w:rsid w:val="2A981698"/>
    <w:rsid w:val="2AC11A1D"/>
    <w:rsid w:val="2AF75C96"/>
    <w:rsid w:val="2D83386F"/>
    <w:rsid w:val="2DA15F14"/>
    <w:rsid w:val="2E3F3DC3"/>
    <w:rsid w:val="2E9B161E"/>
    <w:rsid w:val="2F0D407F"/>
    <w:rsid w:val="2F96243F"/>
    <w:rsid w:val="2FA61745"/>
    <w:rsid w:val="316D7FE4"/>
    <w:rsid w:val="31C761A0"/>
    <w:rsid w:val="3279569D"/>
    <w:rsid w:val="34874497"/>
    <w:rsid w:val="36965CF3"/>
    <w:rsid w:val="380A7E5D"/>
    <w:rsid w:val="38CD161E"/>
    <w:rsid w:val="3AB0179A"/>
    <w:rsid w:val="3FC662A1"/>
    <w:rsid w:val="401C4AAC"/>
    <w:rsid w:val="4086344D"/>
    <w:rsid w:val="41280868"/>
    <w:rsid w:val="41F11260"/>
    <w:rsid w:val="42325258"/>
    <w:rsid w:val="42342991"/>
    <w:rsid w:val="4315638C"/>
    <w:rsid w:val="44895179"/>
    <w:rsid w:val="45366256"/>
    <w:rsid w:val="47AB6E17"/>
    <w:rsid w:val="47CA3978"/>
    <w:rsid w:val="4800223A"/>
    <w:rsid w:val="48CE7303"/>
    <w:rsid w:val="4D1E2857"/>
    <w:rsid w:val="4D7F5185"/>
    <w:rsid w:val="4EA1590F"/>
    <w:rsid w:val="4F700199"/>
    <w:rsid w:val="50745A0F"/>
    <w:rsid w:val="50B12C64"/>
    <w:rsid w:val="527F273F"/>
    <w:rsid w:val="54E57C3F"/>
    <w:rsid w:val="55C4441C"/>
    <w:rsid w:val="56764C4B"/>
    <w:rsid w:val="57BB4533"/>
    <w:rsid w:val="58574C59"/>
    <w:rsid w:val="58E23662"/>
    <w:rsid w:val="597E4B39"/>
    <w:rsid w:val="5D7E1EC0"/>
    <w:rsid w:val="5ED6597D"/>
    <w:rsid w:val="5ED85ECC"/>
    <w:rsid w:val="5F337173"/>
    <w:rsid w:val="625D412A"/>
    <w:rsid w:val="63E00E3B"/>
    <w:rsid w:val="65FF358B"/>
    <w:rsid w:val="66922D55"/>
    <w:rsid w:val="67F4339F"/>
    <w:rsid w:val="6926423B"/>
    <w:rsid w:val="69E53FF5"/>
    <w:rsid w:val="6AB54047"/>
    <w:rsid w:val="6AD66392"/>
    <w:rsid w:val="6FAE52D6"/>
    <w:rsid w:val="700E61C9"/>
    <w:rsid w:val="73DE6499"/>
    <w:rsid w:val="745177ED"/>
    <w:rsid w:val="771A61DF"/>
    <w:rsid w:val="78203AA2"/>
    <w:rsid w:val="786848E4"/>
    <w:rsid w:val="787E72F4"/>
    <w:rsid w:val="78E856AB"/>
    <w:rsid w:val="79DD1417"/>
    <w:rsid w:val="7AB67B89"/>
    <w:rsid w:val="7B9F499A"/>
    <w:rsid w:val="7BF00E78"/>
    <w:rsid w:val="7D5928DD"/>
    <w:rsid w:val="7EFC7053"/>
    <w:rsid w:val="7F574F68"/>
    <w:rsid w:val="7FB27487"/>
    <w:rsid w:val="7FFB5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toc 1" w:uiPriority="39" w:qFormat="1"/>
    <w:lsdException w:name="toc 2" w:uiPriority="39" w:qFormat="1"/>
    <w:lsdException w:name="annotation text" w:qFormat="1"/>
    <w:lsdException w:name="header" w:qFormat="1"/>
    <w:lsdException w:name="footer" w:qFormat="1"/>
    <w:lsdException w:name="caption" w:semiHidden="1" w:unhideWhenUsed="1" w:qFormat="1"/>
    <w:lsdException w:name="table of figures" w:qFormat="1"/>
    <w:lsdException w:name="annotation reference" w:qFormat="1"/>
    <w:lsdException w:name="page number" w:qFormat="1"/>
    <w:lsdException w:name="toa heading"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Note Heading" w:semiHidden="1" w:uiPriority="99" w:unhideWhenUsed="1"/>
    <w:lsdException w:name="Body Text 2" w:qFormat="1"/>
    <w:lsdException w:name="Body Text Indent 2" w:qFormat="1"/>
    <w:lsdException w:name="Body Text Indent 3"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before="240" w:after="60" w:line="276" w:lineRule="auto"/>
      <w:jc w:val="both"/>
    </w:pPr>
    <w:rPr>
      <w:kern w:val="2"/>
      <w:sz w:val="21"/>
      <w:szCs w:val="24"/>
    </w:rPr>
  </w:style>
  <w:style w:type="paragraph" w:styleId="1">
    <w:name w:val="heading 1"/>
    <w:basedOn w:val="a"/>
    <w:next w:val="a"/>
    <w:qFormat/>
    <w:pPr>
      <w:keepNext/>
      <w:spacing w:line="360" w:lineRule="auto"/>
      <w:ind w:left="128"/>
      <w:jc w:val="left"/>
      <w:outlineLvl w:val="0"/>
    </w:pPr>
    <w:rPr>
      <w:rFonts w:ascii="宋体" w:eastAsia="仿宋_GB2312" w:hAnsi="宋体"/>
      <w:b/>
      <w:sz w:val="28"/>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4">
    <w:name w:val="heading 4"/>
    <w:basedOn w:val="a"/>
    <w:next w:val="a"/>
    <w:qFormat/>
    <w:pPr>
      <w:keepNext/>
      <w:keepLines/>
      <w:numPr>
        <w:ilvl w:val="3"/>
        <w:numId w:val="1"/>
      </w:numPr>
      <w:outlineLvl w:val="3"/>
    </w:pPr>
    <w:rPr>
      <w:rFonts w:ascii="华文细黑" w:eastAsia="华文细黑" w:hAnsi="Arial"/>
      <w:b/>
      <w:bCs/>
      <w:sz w:val="22"/>
      <w:szCs w:val="22"/>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pPr>
    <w:rPr>
      <w:rFonts w:ascii="Arial" w:hAnsi="Arial"/>
      <w:sz w:val="24"/>
    </w:rPr>
  </w:style>
  <w:style w:type="paragraph" w:styleId="a4">
    <w:name w:val="annotation text"/>
    <w:basedOn w:val="a"/>
    <w:qFormat/>
    <w:pPr>
      <w:jc w:val="left"/>
    </w:pPr>
  </w:style>
  <w:style w:type="paragraph" w:styleId="a5">
    <w:name w:val="Body Text"/>
    <w:basedOn w:val="a"/>
    <w:qFormat/>
    <w:rPr>
      <w:sz w:val="30"/>
      <w:szCs w:val="20"/>
    </w:rPr>
  </w:style>
  <w:style w:type="paragraph" w:styleId="a6">
    <w:name w:val="Body Text Indent"/>
    <w:basedOn w:val="a"/>
    <w:qFormat/>
    <w:pPr>
      <w:spacing w:line="300" w:lineRule="auto"/>
      <w:ind w:firstLineChars="200" w:firstLine="480"/>
    </w:pPr>
    <w:rPr>
      <w:rFonts w:ascii="宋体" w:hAnsi="宋体"/>
      <w:sz w:val="24"/>
    </w:rPr>
  </w:style>
  <w:style w:type="paragraph" w:styleId="a7">
    <w:name w:val="Plain Text"/>
    <w:basedOn w:val="a"/>
    <w:qFormat/>
    <w:rPr>
      <w:rFonts w:ascii="宋体" w:hAnsi="Courier New"/>
      <w:szCs w:val="21"/>
    </w:rPr>
  </w:style>
  <w:style w:type="paragraph" w:styleId="a8">
    <w:name w:val="Date"/>
    <w:basedOn w:val="a"/>
    <w:next w:val="a"/>
    <w:qFormat/>
    <w:rPr>
      <w:rFonts w:ascii="楷体_GB2312" w:eastAsia="楷体_GB2312"/>
      <w:spacing w:val="10"/>
      <w:sz w:val="24"/>
      <w:szCs w:val="20"/>
    </w:rPr>
  </w:style>
  <w:style w:type="paragraph" w:styleId="20">
    <w:name w:val="Body Text Indent 2"/>
    <w:basedOn w:val="a"/>
    <w:qFormat/>
    <w:pPr>
      <w:spacing w:after="120" w:line="480" w:lineRule="auto"/>
      <w:ind w:leftChars="200" w:left="420"/>
    </w:pPr>
  </w:style>
  <w:style w:type="paragraph" w:styleId="a9">
    <w:name w:val="Balloon Text"/>
    <w:basedOn w:val="a"/>
    <w:qFormat/>
    <w:rPr>
      <w:sz w:val="18"/>
      <w:szCs w:val="18"/>
    </w:rPr>
  </w:style>
  <w:style w:type="paragraph" w:styleId="aa">
    <w:name w:val="footer"/>
    <w:basedOn w:val="a"/>
    <w:qFormat/>
    <w:pPr>
      <w:tabs>
        <w:tab w:val="center" w:pos="4153"/>
        <w:tab w:val="right" w:pos="8306"/>
      </w:tabs>
      <w:snapToGrid w:val="0"/>
      <w:jc w:val="left"/>
    </w:pPr>
    <w:rPr>
      <w:rFonts w:ascii="Arial" w:eastAsia="幼圆" w:hAnsi="Arial"/>
      <w:sz w:val="18"/>
      <w:szCs w:val="18"/>
    </w:rPr>
  </w:style>
  <w:style w:type="paragraph" w:styleId="ab">
    <w:name w:val="header"/>
    <w:basedOn w:val="a"/>
    <w:qFormat/>
    <w:pPr>
      <w:pBdr>
        <w:bottom w:val="single" w:sz="6" w:space="1" w:color="auto"/>
      </w:pBdr>
      <w:tabs>
        <w:tab w:val="center" w:pos="4153"/>
        <w:tab w:val="right" w:pos="8306"/>
      </w:tabs>
      <w:snapToGrid w:val="0"/>
      <w:jc w:val="center"/>
    </w:pPr>
    <w:rPr>
      <w:rFonts w:ascii="Arial" w:eastAsia="幼圆" w:hAnsi="Arial"/>
      <w:sz w:val="18"/>
      <w:szCs w:val="18"/>
    </w:rPr>
  </w:style>
  <w:style w:type="paragraph" w:styleId="10">
    <w:name w:val="toc 1"/>
    <w:basedOn w:val="a"/>
    <w:next w:val="a"/>
    <w:uiPriority w:val="39"/>
    <w:qFormat/>
  </w:style>
  <w:style w:type="paragraph" w:styleId="3">
    <w:name w:val="Body Text Indent 3"/>
    <w:basedOn w:val="a"/>
    <w:qFormat/>
    <w:pPr>
      <w:spacing w:after="120"/>
      <w:ind w:leftChars="200" w:left="420"/>
    </w:pPr>
    <w:rPr>
      <w:sz w:val="16"/>
      <w:szCs w:val="16"/>
    </w:rPr>
  </w:style>
  <w:style w:type="paragraph" w:styleId="ac">
    <w:name w:val="table of figures"/>
    <w:basedOn w:val="a"/>
    <w:next w:val="a"/>
    <w:qFormat/>
    <w:pPr>
      <w:spacing w:before="120" w:after="120"/>
      <w:ind w:left="840" w:hanging="420"/>
      <w:jc w:val="center"/>
    </w:pPr>
    <w:rPr>
      <w:rFonts w:eastAsia="黑体"/>
      <w:szCs w:val="20"/>
    </w:rPr>
  </w:style>
  <w:style w:type="paragraph" w:styleId="21">
    <w:name w:val="toc 2"/>
    <w:basedOn w:val="a"/>
    <w:next w:val="a"/>
    <w:uiPriority w:val="39"/>
    <w:qFormat/>
    <w:pPr>
      <w:ind w:leftChars="200" w:left="420"/>
    </w:pPr>
  </w:style>
  <w:style w:type="paragraph" w:styleId="22">
    <w:name w:val="Body Text 2"/>
    <w:basedOn w:val="a"/>
    <w:qFormat/>
    <w:pPr>
      <w:spacing w:after="120" w:line="480" w:lineRule="auto"/>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styleId="ad">
    <w:name w:val="Normal (Web)"/>
    <w:basedOn w:val="a"/>
    <w:qFormat/>
    <w:pPr>
      <w:widowControl/>
      <w:spacing w:before="100" w:beforeAutospacing="1" w:after="100" w:afterAutospacing="1"/>
      <w:jc w:val="left"/>
    </w:pPr>
    <w:rPr>
      <w:rFonts w:ascii="宋体" w:hAnsi="宋体"/>
      <w:color w:val="000000"/>
      <w:kern w:val="0"/>
      <w:sz w:val="24"/>
    </w:rPr>
  </w:style>
  <w:style w:type="paragraph" w:styleId="11">
    <w:name w:val="index 1"/>
    <w:basedOn w:val="a"/>
    <w:next w:val="a"/>
    <w:qFormat/>
    <w:pPr>
      <w:spacing w:before="0" w:after="0"/>
      <w:jc w:val="center"/>
    </w:pPr>
    <w:rPr>
      <w:rFonts w:ascii="仿宋_GB2312" w:eastAsia="仿宋_GB2312" w:hAnsi="Verdana"/>
      <w:bCs/>
      <w:snapToGrid w:val="0"/>
      <w:color w:val="000000"/>
      <w:sz w:val="18"/>
      <w:szCs w:val="18"/>
    </w:rPr>
  </w:style>
  <w:style w:type="paragraph" w:styleId="ae">
    <w:name w:val="Title"/>
    <w:basedOn w:val="a"/>
    <w:next w:val="a"/>
    <w:link w:val="Char"/>
    <w:qFormat/>
    <w:pPr>
      <w:jc w:val="center"/>
      <w:outlineLvl w:val="0"/>
    </w:pPr>
    <w:rPr>
      <w:rFonts w:ascii="Cambria" w:hAnsi="Cambria"/>
      <w:b/>
      <w:bCs/>
      <w:sz w:val="32"/>
      <w:szCs w:val="32"/>
    </w:rPr>
  </w:style>
  <w:style w:type="paragraph" w:styleId="af">
    <w:name w:val="annotation subject"/>
    <w:basedOn w:val="a4"/>
    <w:next w:val="a4"/>
    <w:qFormat/>
    <w:rPr>
      <w:b/>
      <w:bCs/>
    </w:rPr>
  </w:style>
  <w:style w:type="table" w:styleId="af0">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1"/>
    <w:qFormat/>
    <w:rPr>
      <w:b/>
      <w:bCs/>
    </w:rPr>
  </w:style>
  <w:style w:type="character" w:styleId="af2">
    <w:name w:val="page number"/>
    <w:basedOn w:val="a1"/>
    <w:qFormat/>
  </w:style>
  <w:style w:type="character" w:styleId="af3">
    <w:name w:val="Hyperlink"/>
    <w:uiPriority w:val="99"/>
    <w:qFormat/>
    <w:rPr>
      <w:rFonts w:eastAsia="仿宋_GB2312"/>
      <w:color w:val="0162BC"/>
      <w:sz w:val="24"/>
      <w:u w:val="none"/>
    </w:rPr>
  </w:style>
  <w:style w:type="character" w:styleId="af4">
    <w:name w:val="annotation reference"/>
    <w:qFormat/>
    <w:rPr>
      <w:rFonts w:eastAsia="仿宋_GB2312"/>
      <w:sz w:val="21"/>
      <w:szCs w:val="21"/>
    </w:rPr>
  </w:style>
  <w:style w:type="paragraph" w:customStyle="1" w:styleId="BodyText1I">
    <w:name w:val="BodyText1I"/>
    <w:basedOn w:val="BodyText"/>
    <w:qFormat/>
    <w:pPr>
      <w:ind w:firstLineChars="100" w:firstLine="420"/>
    </w:pPr>
  </w:style>
  <w:style w:type="paragraph" w:customStyle="1" w:styleId="BodyText">
    <w:name w:val="BodyText"/>
    <w:basedOn w:val="a"/>
    <w:qFormat/>
    <w:pPr>
      <w:ind w:left="142"/>
    </w:pPr>
    <w:rPr>
      <w:rFonts w:ascii="Calibri" w:hAnsi="Calibri"/>
      <w:kern w:val="0"/>
      <w:szCs w:val="20"/>
    </w:rPr>
  </w:style>
  <w:style w:type="paragraph" w:customStyle="1" w:styleId="xl62">
    <w:name w:val="xl62"/>
    <w:basedOn w:val="a"/>
    <w:qFormat/>
    <w:pPr>
      <w:widowControl/>
      <w:pBdr>
        <w:top w:val="single" w:sz="4"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8">
    <w:name w:val="xl38"/>
    <w:basedOn w:val="a"/>
    <w:qFormat/>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xl24">
    <w:name w:val="xl24"/>
    <w:basedOn w:val="a"/>
    <w:qFormat/>
    <w:pPr>
      <w:widowControl/>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4"/>
    </w:rPr>
  </w:style>
  <w:style w:type="paragraph" w:customStyle="1" w:styleId="xl67">
    <w:name w:val="xl67"/>
    <w:basedOn w:val="a"/>
    <w:qFormat/>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CharCharChar">
    <w:name w:val="Char Char Char"/>
    <w:basedOn w:val="a"/>
    <w:next w:val="a"/>
    <w:qFormat/>
    <w:pPr>
      <w:widowControl/>
      <w:spacing w:line="360" w:lineRule="auto"/>
      <w:jc w:val="left"/>
    </w:pPr>
    <w:rPr>
      <w:kern w:val="0"/>
      <w:szCs w:val="20"/>
      <w:lang w:eastAsia="en-US"/>
    </w:rPr>
  </w:style>
  <w:style w:type="paragraph" w:customStyle="1" w:styleId="xl43">
    <w:name w:val="xl4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4"/>
    </w:rPr>
  </w:style>
  <w:style w:type="paragraph" w:customStyle="1" w:styleId="xl68">
    <w:name w:val="xl68"/>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3">
    <w:name w:val="xl33"/>
    <w:basedOn w:val="a"/>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52">
    <w:name w:val="xl52"/>
    <w:basedOn w:val="a"/>
    <w:qFormat/>
    <w:pPr>
      <w:widowControl/>
      <w:pBdr>
        <w:top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74">
    <w:name w:val="xl74"/>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50">
    <w:name w:val="xl50"/>
    <w:basedOn w:val="a"/>
    <w:qFormat/>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5">
    <w:name w:val="xl35"/>
    <w:basedOn w:val="a"/>
    <w:qFormat/>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styleId="af5">
    <w:name w:val="No Spacing"/>
    <w:uiPriority w:val="1"/>
    <w:qFormat/>
    <w:pPr>
      <w:widowControl w:val="0"/>
      <w:spacing w:after="200" w:line="276" w:lineRule="auto"/>
      <w:jc w:val="both"/>
    </w:pPr>
    <w:rPr>
      <w:kern w:val="2"/>
      <w:sz w:val="21"/>
      <w:szCs w:val="24"/>
    </w:rPr>
  </w:style>
  <w:style w:type="paragraph" w:customStyle="1" w:styleId="xl71">
    <w:name w:val="xl71"/>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8">
    <w:name w:val="xl28"/>
    <w:basedOn w:val="a"/>
    <w:qFormat/>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Char0">
    <w:name w:val="Char"/>
    <w:basedOn w:val="a"/>
    <w:qFormat/>
    <w:pPr>
      <w:snapToGrid w:val="0"/>
      <w:spacing w:line="360" w:lineRule="auto"/>
      <w:ind w:firstLineChars="200" w:firstLine="200"/>
    </w:pPr>
    <w:rPr>
      <w:rFonts w:eastAsia="仿宋_GB2312"/>
      <w:sz w:val="24"/>
    </w:rPr>
  </w:style>
  <w:style w:type="paragraph" w:customStyle="1" w:styleId="xl53">
    <w:name w:val="xl53"/>
    <w:basedOn w:val="a"/>
    <w:qFormat/>
    <w:pPr>
      <w:widowControl/>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7">
    <w:name w:val="xl27"/>
    <w:basedOn w:val="a"/>
    <w:qFormat/>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63">
    <w:name w:val="xl63"/>
    <w:basedOn w:val="a"/>
    <w:qFormat/>
    <w:pPr>
      <w:widowControl/>
      <w:pBdr>
        <w:lef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2">
    <w:name w:val="xl32"/>
    <w:basedOn w:val="a"/>
    <w:qFormat/>
    <w:pPr>
      <w:widowControl/>
      <w:pBdr>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76">
    <w:name w:val="xl76"/>
    <w:basedOn w:val="a"/>
    <w:qFormat/>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58">
    <w:name w:val="xl58"/>
    <w:basedOn w:val="a"/>
    <w:qFormat/>
    <w:pPr>
      <w:widowControl/>
      <w:pBdr>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60">
    <w:name w:val="xl60"/>
    <w:basedOn w:val="a"/>
    <w:qFormat/>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af6">
    <w:name w:val="报告正文"/>
    <w:basedOn w:val="a"/>
    <w:qFormat/>
    <w:pPr>
      <w:spacing w:line="336" w:lineRule="auto"/>
      <w:ind w:left="2603"/>
    </w:pPr>
    <w:rPr>
      <w:rFonts w:ascii="华文细黑" w:eastAsia="华文细黑" w:cs="宋体"/>
      <w:sz w:val="22"/>
    </w:rPr>
  </w:style>
  <w:style w:type="paragraph" w:customStyle="1" w:styleId="xl41">
    <w:name w:val="xl41"/>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4"/>
    </w:rPr>
  </w:style>
  <w:style w:type="paragraph" w:customStyle="1" w:styleId="xl73">
    <w:name w:val="xl73"/>
    <w:basedOn w:val="a"/>
    <w:qFormat/>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51">
    <w:name w:val="xl51"/>
    <w:basedOn w:val="a"/>
    <w:qFormat/>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0">
    <w:name w:val="xl30"/>
    <w:basedOn w:val="a"/>
    <w:qFormat/>
    <w:pPr>
      <w:widowControl/>
      <w:pBdr>
        <w:top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8">
    <w:name w:val="xl48"/>
    <w:basedOn w:val="a"/>
    <w:qFormat/>
    <w:pPr>
      <w:widowControl/>
      <w:pBdr>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5">
    <w:name w:val="xl25"/>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CharCharChar0">
    <w:name w:val="报告正文 Char Char Char"/>
    <w:basedOn w:val="a"/>
    <w:qFormat/>
    <w:pPr>
      <w:spacing w:line="336" w:lineRule="auto"/>
      <w:ind w:left="2603"/>
    </w:pPr>
    <w:rPr>
      <w:rFonts w:ascii="华文细黑" w:eastAsia="华文细黑" w:cs="宋体"/>
      <w:sz w:val="22"/>
    </w:rPr>
  </w:style>
  <w:style w:type="paragraph" w:customStyle="1" w:styleId="xl72">
    <w:name w:val="xl72"/>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55">
    <w:name w:val="xl55"/>
    <w:basedOn w:val="a"/>
    <w:qFormat/>
    <w:pPr>
      <w:widowControl/>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2">
    <w:name w:val="xl42"/>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4"/>
    </w:rPr>
  </w:style>
  <w:style w:type="paragraph" w:customStyle="1" w:styleId="xl64">
    <w:name w:val="xl64"/>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font6">
    <w:name w:val="font6"/>
    <w:basedOn w:val="a"/>
    <w:qFormat/>
    <w:pPr>
      <w:widowControl/>
      <w:spacing w:before="100" w:beforeAutospacing="1" w:after="100" w:afterAutospacing="1"/>
      <w:jc w:val="left"/>
    </w:pPr>
    <w:rPr>
      <w:rFonts w:eastAsia="Arial Unicode MS"/>
      <w:kern w:val="0"/>
      <w:sz w:val="24"/>
    </w:rPr>
  </w:style>
  <w:style w:type="paragraph" w:customStyle="1" w:styleId="xl56">
    <w:name w:val="xl56"/>
    <w:basedOn w:val="a"/>
    <w:qFormat/>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12">
    <w:name w:val="列出段落1"/>
    <w:basedOn w:val="a"/>
    <w:qFormat/>
    <w:pPr>
      <w:ind w:firstLineChars="200" w:firstLine="420"/>
    </w:pPr>
    <w:rPr>
      <w:szCs w:val="21"/>
    </w:rPr>
  </w:style>
  <w:style w:type="paragraph" w:customStyle="1" w:styleId="xl75">
    <w:name w:val="xl75"/>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font7">
    <w:name w:val="font7"/>
    <w:basedOn w:val="a"/>
    <w:qFormat/>
    <w:pPr>
      <w:widowControl/>
      <w:spacing w:before="100" w:beforeAutospacing="1" w:after="100" w:afterAutospacing="1"/>
      <w:jc w:val="left"/>
    </w:pPr>
    <w:rPr>
      <w:rFonts w:eastAsia="Arial Unicode MS"/>
      <w:kern w:val="0"/>
      <w:sz w:val="24"/>
    </w:rPr>
  </w:style>
  <w:style w:type="paragraph" w:customStyle="1" w:styleId="xl77">
    <w:name w:val="xl77"/>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78">
    <w:name w:val="xl78"/>
    <w:basedOn w:val="a"/>
    <w:qFormat/>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pic-info">
    <w:name w:val="pic-info"/>
    <w:basedOn w:val="a"/>
    <w:qFormat/>
    <w:pPr>
      <w:widowControl/>
      <w:spacing w:before="100" w:beforeAutospacing="1" w:after="100" w:afterAutospacing="1"/>
      <w:jc w:val="left"/>
    </w:pPr>
    <w:rPr>
      <w:rFonts w:ascii="宋体" w:hAnsi="宋体" w:cs="宋体"/>
      <w:kern w:val="0"/>
      <w:sz w:val="24"/>
    </w:rPr>
  </w:style>
  <w:style w:type="paragraph" w:customStyle="1" w:styleId="xl57">
    <w:name w:val="xl57"/>
    <w:basedOn w:val="a"/>
    <w:qFormat/>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69">
    <w:name w:val="xl69"/>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xl54">
    <w:name w:val="xl54"/>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61">
    <w:name w:val="xl61"/>
    <w:basedOn w:val="a"/>
    <w:qFormat/>
    <w:pPr>
      <w:widowControl/>
      <w:pBdr>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Style79">
    <w:name w:val="_Style 79"/>
    <w:basedOn w:val="1"/>
    <w:next w:val="a"/>
    <w:uiPriority w:val="39"/>
    <w:qFormat/>
    <w:pPr>
      <w:keepLines/>
      <w:widowControl/>
      <w:spacing w:before="480" w:line="276" w:lineRule="auto"/>
      <w:ind w:left="0"/>
      <w:outlineLvl w:val="9"/>
    </w:pPr>
    <w:rPr>
      <w:rFonts w:ascii="Cambria" w:eastAsia="宋体" w:hAnsi="Cambria"/>
      <w:bCs/>
      <w:color w:val="365F91"/>
      <w:kern w:val="0"/>
      <w:szCs w:val="28"/>
    </w:rPr>
  </w:style>
  <w:style w:type="paragraph" w:customStyle="1" w:styleId="xl70">
    <w:name w:val="xl70"/>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59">
    <w:name w:val="xl59"/>
    <w:basedOn w:val="a"/>
    <w:qFormat/>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37">
    <w:name w:val="xl37"/>
    <w:basedOn w:val="a"/>
    <w:qFormat/>
    <w:pPr>
      <w:widowControl/>
      <w:pBdr>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9">
    <w:name w:val="xl49"/>
    <w:basedOn w:val="a"/>
    <w:qFormat/>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1">
    <w:name w:val="xl31"/>
    <w:basedOn w:val="a"/>
    <w:qFormat/>
    <w:pPr>
      <w:widowControl/>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7">
    <w:name w:val="xl47"/>
    <w:basedOn w:val="a"/>
    <w:qFormat/>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9">
    <w:name w:val="xl29"/>
    <w:basedOn w:val="a"/>
    <w:qFormat/>
    <w:pPr>
      <w:widowControl/>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6">
    <w:name w:val="xl26"/>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4">
    <w:name w:val="xl44"/>
    <w:basedOn w:val="a"/>
    <w:qFormat/>
    <w:pPr>
      <w:widowControl/>
      <w:pBdr>
        <w:top w:val="single" w:sz="8"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9">
    <w:name w:val="xl39"/>
    <w:basedOn w:val="a"/>
    <w:qFormat/>
    <w:pPr>
      <w:widowControl/>
      <w:pBdr>
        <w:bottom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af7">
    <w:name w:val="表格内文字"/>
    <w:basedOn w:val="a"/>
    <w:qFormat/>
    <w:pPr>
      <w:spacing w:after="0" w:line="240" w:lineRule="auto"/>
      <w:textAlignment w:val="bottom"/>
    </w:pPr>
    <w:rPr>
      <w:rFonts w:ascii="华文细黑" w:eastAsia="华文细黑"/>
      <w:snapToGrid w:val="0"/>
      <w:szCs w:val="18"/>
    </w:rPr>
  </w:style>
  <w:style w:type="paragraph" w:customStyle="1" w:styleId="xl34">
    <w:name w:val="xl34"/>
    <w:basedOn w:val="a"/>
    <w:qFormat/>
    <w:pPr>
      <w:widowControl/>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6">
    <w:name w:val="xl46"/>
    <w:basedOn w:val="a"/>
    <w:qFormat/>
    <w:pPr>
      <w:widowControl/>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65">
    <w:name w:val="xl65"/>
    <w:basedOn w:val="a"/>
    <w:qFormat/>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5">
    <w:name w:val="xl45"/>
    <w:basedOn w:val="a"/>
    <w:qFormat/>
    <w:pPr>
      <w:widowControl/>
      <w:pBdr>
        <w:top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Style26">
    <w:name w:val="_Style 26"/>
    <w:basedOn w:val="a"/>
    <w:qFormat/>
    <w:pPr>
      <w:snapToGrid w:val="0"/>
      <w:spacing w:line="360" w:lineRule="auto"/>
      <w:ind w:firstLineChars="200" w:firstLine="200"/>
    </w:pPr>
  </w:style>
  <w:style w:type="paragraph" w:customStyle="1" w:styleId="xl36">
    <w:name w:val="xl36"/>
    <w:basedOn w:val="a"/>
    <w:qFormat/>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66">
    <w:name w:val="xl66"/>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character" w:customStyle="1" w:styleId="Char">
    <w:name w:val="标题 Char"/>
    <w:basedOn w:val="a1"/>
    <w:link w:val="ae"/>
    <w:qFormat/>
    <w:rPr>
      <w:rFonts w:ascii="Cambria" w:hAnsi="Cambria" w:cs="Times New Roman"/>
      <w:b/>
      <w:bCs/>
      <w:kern w:val="2"/>
      <w:sz w:val="32"/>
      <w:szCs w:val="32"/>
    </w:rPr>
  </w:style>
  <w:style w:type="character" w:customStyle="1" w:styleId="apple-converted-space">
    <w:name w:val="apple-converted-space"/>
    <w:basedOn w:val="a1"/>
    <w:qFormat/>
  </w:style>
  <w:style w:type="character" w:customStyle="1" w:styleId="newtxt1">
    <w:name w:val="newtxt1"/>
    <w:basedOn w:val="a1"/>
    <w:qFormat/>
  </w:style>
  <w:style w:type="character" w:customStyle="1" w:styleId="description">
    <w:name w:val="description"/>
    <w:basedOn w:val="a1"/>
    <w:qFormat/>
  </w:style>
  <w:style w:type="character" w:customStyle="1" w:styleId="font31">
    <w:name w:val="font31"/>
    <w:basedOn w:val="a1"/>
    <w:qFormat/>
    <w:rPr>
      <w:rFonts w:ascii="仿宋_GB2312" w:eastAsia="仿宋_GB2312" w:cs="仿宋_GB2312" w:hint="default"/>
      <w:color w:val="000000"/>
      <w:sz w:val="20"/>
      <w:szCs w:val="20"/>
      <w:u w:val="none"/>
    </w:rPr>
  </w:style>
  <w:style w:type="character" w:customStyle="1" w:styleId="font21">
    <w:name w:val="font21"/>
    <w:basedOn w:val="a1"/>
    <w:qFormat/>
    <w:rPr>
      <w:rFonts w:ascii="宋体" w:eastAsia="宋体" w:hAnsi="宋体" w:cs="宋体" w:hint="eastAsia"/>
      <w:color w:val="000000"/>
      <w:sz w:val="18"/>
      <w:szCs w:val="18"/>
      <w:u w:val="none"/>
    </w:rPr>
  </w:style>
  <w:style w:type="character" w:customStyle="1" w:styleId="font11">
    <w:name w:val="font11"/>
    <w:basedOn w:val="a1"/>
    <w:qFormat/>
    <w:rPr>
      <w:rFonts w:ascii="仿宋_GB2312" w:eastAsia="仿宋_GB2312" w:cs="仿宋_GB2312" w:hint="eastAsia"/>
      <w:color w:val="000000"/>
      <w:sz w:val="18"/>
      <w:szCs w:val="18"/>
      <w:u w:val="none"/>
    </w:rPr>
  </w:style>
  <w:style w:type="character" w:customStyle="1" w:styleId="font51">
    <w:name w:val="font51"/>
    <w:basedOn w:val="a1"/>
    <w:qFormat/>
    <w:rPr>
      <w:rFonts w:ascii="宋体" w:eastAsia="宋体" w:hAnsi="宋体" w:cs="宋体" w:hint="eastAsia"/>
      <w:color w:val="000000"/>
      <w:sz w:val="21"/>
      <w:szCs w:val="21"/>
      <w:u w:val="none"/>
    </w:rPr>
  </w:style>
  <w:style w:type="character" w:customStyle="1" w:styleId="font41">
    <w:name w:val="font41"/>
    <w:basedOn w:val="a1"/>
    <w:qFormat/>
    <w:rPr>
      <w:rFonts w:ascii="仿宋_GB2312" w:eastAsia="仿宋_GB2312" w:cs="仿宋_GB2312" w:hint="eastAsia"/>
      <w:color w:val="000000"/>
      <w:sz w:val="21"/>
      <w:szCs w:val="21"/>
      <w:u w:val="none"/>
    </w:rPr>
  </w:style>
  <w:style w:type="character" w:customStyle="1" w:styleId="font61">
    <w:name w:val="font61"/>
    <w:basedOn w:val="a1"/>
    <w:qFormat/>
    <w:rPr>
      <w:rFonts w:ascii="宋体" w:eastAsia="宋体" w:hAnsi="宋体" w:cs="宋体" w:hint="eastAsia"/>
      <w:color w:val="000000"/>
      <w:sz w:val="21"/>
      <w:szCs w:val="21"/>
      <w:u w:val="none"/>
    </w:rPr>
  </w:style>
  <w:style w:type="character" w:customStyle="1" w:styleId="font01">
    <w:name w:val="font01"/>
    <w:basedOn w:val="a1"/>
    <w:qFormat/>
    <w:rPr>
      <w:rFonts w:ascii="宋体" w:eastAsia="宋体" w:hAnsi="宋体" w:cs="宋体"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toc 1" w:uiPriority="39" w:qFormat="1"/>
    <w:lsdException w:name="toc 2" w:uiPriority="39" w:qFormat="1"/>
    <w:lsdException w:name="annotation text" w:qFormat="1"/>
    <w:lsdException w:name="header" w:qFormat="1"/>
    <w:lsdException w:name="footer" w:qFormat="1"/>
    <w:lsdException w:name="caption" w:semiHidden="1" w:unhideWhenUsed="1" w:qFormat="1"/>
    <w:lsdException w:name="table of figures" w:qFormat="1"/>
    <w:lsdException w:name="annotation reference" w:qFormat="1"/>
    <w:lsdException w:name="page number" w:qFormat="1"/>
    <w:lsdException w:name="toa heading"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Note Heading" w:semiHidden="1" w:uiPriority="99" w:unhideWhenUsed="1"/>
    <w:lsdException w:name="Body Text 2" w:qFormat="1"/>
    <w:lsdException w:name="Body Text Indent 2" w:qFormat="1"/>
    <w:lsdException w:name="Body Text Indent 3"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before="240" w:after="60" w:line="276" w:lineRule="auto"/>
      <w:jc w:val="both"/>
    </w:pPr>
    <w:rPr>
      <w:kern w:val="2"/>
      <w:sz w:val="21"/>
      <w:szCs w:val="24"/>
    </w:rPr>
  </w:style>
  <w:style w:type="paragraph" w:styleId="1">
    <w:name w:val="heading 1"/>
    <w:basedOn w:val="a"/>
    <w:next w:val="a"/>
    <w:qFormat/>
    <w:pPr>
      <w:keepNext/>
      <w:spacing w:line="360" w:lineRule="auto"/>
      <w:ind w:left="128"/>
      <w:jc w:val="left"/>
      <w:outlineLvl w:val="0"/>
    </w:pPr>
    <w:rPr>
      <w:rFonts w:ascii="宋体" w:eastAsia="仿宋_GB2312" w:hAnsi="宋体"/>
      <w:b/>
      <w:sz w:val="28"/>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4">
    <w:name w:val="heading 4"/>
    <w:basedOn w:val="a"/>
    <w:next w:val="a"/>
    <w:qFormat/>
    <w:pPr>
      <w:keepNext/>
      <w:keepLines/>
      <w:numPr>
        <w:ilvl w:val="3"/>
        <w:numId w:val="1"/>
      </w:numPr>
      <w:outlineLvl w:val="3"/>
    </w:pPr>
    <w:rPr>
      <w:rFonts w:ascii="华文细黑" w:eastAsia="华文细黑" w:hAnsi="Arial"/>
      <w:b/>
      <w:bCs/>
      <w:sz w:val="22"/>
      <w:szCs w:val="22"/>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pPr>
    <w:rPr>
      <w:rFonts w:ascii="Arial" w:hAnsi="Arial"/>
      <w:sz w:val="24"/>
    </w:rPr>
  </w:style>
  <w:style w:type="paragraph" w:styleId="a4">
    <w:name w:val="annotation text"/>
    <w:basedOn w:val="a"/>
    <w:qFormat/>
    <w:pPr>
      <w:jc w:val="left"/>
    </w:pPr>
  </w:style>
  <w:style w:type="paragraph" w:styleId="a5">
    <w:name w:val="Body Text"/>
    <w:basedOn w:val="a"/>
    <w:qFormat/>
    <w:rPr>
      <w:sz w:val="30"/>
      <w:szCs w:val="20"/>
    </w:rPr>
  </w:style>
  <w:style w:type="paragraph" w:styleId="a6">
    <w:name w:val="Body Text Indent"/>
    <w:basedOn w:val="a"/>
    <w:qFormat/>
    <w:pPr>
      <w:spacing w:line="300" w:lineRule="auto"/>
      <w:ind w:firstLineChars="200" w:firstLine="480"/>
    </w:pPr>
    <w:rPr>
      <w:rFonts w:ascii="宋体" w:hAnsi="宋体"/>
      <w:sz w:val="24"/>
    </w:rPr>
  </w:style>
  <w:style w:type="paragraph" w:styleId="a7">
    <w:name w:val="Plain Text"/>
    <w:basedOn w:val="a"/>
    <w:qFormat/>
    <w:rPr>
      <w:rFonts w:ascii="宋体" w:hAnsi="Courier New"/>
      <w:szCs w:val="21"/>
    </w:rPr>
  </w:style>
  <w:style w:type="paragraph" w:styleId="a8">
    <w:name w:val="Date"/>
    <w:basedOn w:val="a"/>
    <w:next w:val="a"/>
    <w:qFormat/>
    <w:rPr>
      <w:rFonts w:ascii="楷体_GB2312" w:eastAsia="楷体_GB2312"/>
      <w:spacing w:val="10"/>
      <w:sz w:val="24"/>
      <w:szCs w:val="20"/>
    </w:rPr>
  </w:style>
  <w:style w:type="paragraph" w:styleId="20">
    <w:name w:val="Body Text Indent 2"/>
    <w:basedOn w:val="a"/>
    <w:qFormat/>
    <w:pPr>
      <w:spacing w:after="120" w:line="480" w:lineRule="auto"/>
      <w:ind w:leftChars="200" w:left="420"/>
    </w:pPr>
  </w:style>
  <w:style w:type="paragraph" w:styleId="a9">
    <w:name w:val="Balloon Text"/>
    <w:basedOn w:val="a"/>
    <w:qFormat/>
    <w:rPr>
      <w:sz w:val="18"/>
      <w:szCs w:val="18"/>
    </w:rPr>
  </w:style>
  <w:style w:type="paragraph" w:styleId="aa">
    <w:name w:val="footer"/>
    <w:basedOn w:val="a"/>
    <w:qFormat/>
    <w:pPr>
      <w:tabs>
        <w:tab w:val="center" w:pos="4153"/>
        <w:tab w:val="right" w:pos="8306"/>
      </w:tabs>
      <w:snapToGrid w:val="0"/>
      <w:jc w:val="left"/>
    </w:pPr>
    <w:rPr>
      <w:rFonts w:ascii="Arial" w:eastAsia="幼圆" w:hAnsi="Arial"/>
      <w:sz w:val="18"/>
      <w:szCs w:val="18"/>
    </w:rPr>
  </w:style>
  <w:style w:type="paragraph" w:styleId="ab">
    <w:name w:val="header"/>
    <w:basedOn w:val="a"/>
    <w:qFormat/>
    <w:pPr>
      <w:pBdr>
        <w:bottom w:val="single" w:sz="6" w:space="1" w:color="auto"/>
      </w:pBdr>
      <w:tabs>
        <w:tab w:val="center" w:pos="4153"/>
        <w:tab w:val="right" w:pos="8306"/>
      </w:tabs>
      <w:snapToGrid w:val="0"/>
      <w:jc w:val="center"/>
    </w:pPr>
    <w:rPr>
      <w:rFonts w:ascii="Arial" w:eastAsia="幼圆" w:hAnsi="Arial"/>
      <w:sz w:val="18"/>
      <w:szCs w:val="18"/>
    </w:rPr>
  </w:style>
  <w:style w:type="paragraph" w:styleId="10">
    <w:name w:val="toc 1"/>
    <w:basedOn w:val="a"/>
    <w:next w:val="a"/>
    <w:uiPriority w:val="39"/>
    <w:qFormat/>
  </w:style>
  <w:style w:type="paragraph" w:styleId="3">
    <w:name w:val="Body Text Indent 3"/>
    <w:basedOn w:val="a"/>
    <w:qFormat/>
    <w:pPr>
      <w:spacing w:after="120"/>
      <w:ind w:leftChars="200" w:left="420"/>
    </w:pPr>
    <w:rPr>
      <w:sz w:val="16"/>
      <w:szCs w:val="16"/>
    </w:rPr>
  </w:style>
  <w:style w:type="paragraph" w:styleId="ac">
    <w:name w:val="table of figures"/>
    <w:basedOn w:val="a"/>
    <w:next w:val="a"/>
    <w:qFormat/>
    <w:pPr>
      <w:spacing w:before="120" w:after="120"/>
      <w:ind w:left="840" w:hanging="420"/>
      <w:jc w:val="center"/>
    </w:pPr>
    <w:rPr>
      <w:rFonts w:eastAsia="黑体"/>
      <w:szCs w:val="20"/>
    </w:rPr>
  </w:style>
  <w:style w:type="paragraph" w:styleId="21">
    <w:name w:val="toc 2"/>
    <w:basedOn w:val="a"/>
    <w:next w:val="a"/>
    <w:uiPriority w:val="39"/>
    <w:qFormat/>
    <w:pPr>
      <w:ind w:leftChars="200" w:left="420"/>
    </w:pPr>
  </w:style>
  <w:style w:type="paragraph" w:styleId="22">
    <w:name w:val="Body Text 2"/>
    <w:basedOn w:val="a"/>
    <w:qFormat/>
    <w:pPr>
      <w:spacing w:after="120" w:line="480" w:lineRule="auto"/>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styleId="ad">
    <w:name w:val="Normal (Web)"/>
    <w:basedOn w:val="a"/>
    <w:qFormat/>
    <w:pPr>
      <w:widowControl/>
      <w:spacing w:before="100" w:beforeAutospacing="1" w:after="100" w:afterAutospacing="1"/>
      <w:jc w:val="left"/>
    </w:pPr>
    <w:rPr>
      <w:rFonts w:ascii="宋体" w:hAnsi="宋体"/>
      <w:color w:val="000000"/>
      <w:kern w:val="0"/>
      <w:sz w:val="24"/>
    </w:rPr>
  </w:style>
  <w:style w:type="paragraph" w:styleId="11">
    <w:name w:val="index 1"/>
    <w:basedOn w:val="a"/>
    <w:next w:val="a"/>
    <w:qFormat/>
    <w:pPr>
      <w:spacing w:before="0" w:after="0"/>
      <w:jc w:val="center"/>
    </w:pPr>
    <w:rPr>
      <w:rFonts w:ascii="仿宋_GB2312" w:eastAsia="仿宋_GB2312" w:hAnsi="Verdana"/>
      <w:bCs/>
      <w:snapToGrid w:val="0"/>
      <w:color w:val="000000"/>
      <w:sz w:val="18"/>
      <w:szCs w:val="18"/>
    </w:rPr>
  </w:style>
  <w:style w:type="paragraph" w:styleId="ae">
    <w:name w:val="Title"/>
    <w:basedOn w:val="a"/>
    <w:next w:val="a"/>
    <w:link w:val="Char"/>
    <w:qFormat/>
    <w:pPr>
      <w:jc w:val="center"/>
      <w:outlineLvl w:val="0"/>
    </w:pPr>
    <w:rPr>
      <w:rFonts w:ascii="Cambria" w:hAnsi="Cambria"/>
      <w:b/>
      <w:bCs/>
      <w:sz w:val="32"/>
      <w:szCs w:val="32"/>
    </w:rPr>
  </w:style>
  <w:style w:type="paragraph" w:styleId="af">
    <w:name w:val="annotation subject"/>
    <w:basedOn w:val="a4"/>
    <w:next w:val="a4"/>
    <w:qFormat/>
    <w:rPr>
      <w:b/>
      <w:bCs/>
    </w:rPr>
  </w:style>
  <w:style w:type="table" w:styleId="af0">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1"/>
    <w:qFormat/>
    <w:rPr>
      <w:b/>
      <w:bCs/>
    </w:rPr>
  </w:style>
  <w:style w:type="character" w:styleId="af2">
    <w:name w:val="page number"/>
    <w:basedOn w:val="a1"/>
    <w:qFormat/>
  </w:style>
  <w:style w:type="character" w:styleId="af3">
    <w:name w:val="Hyperlink"/>
    <w:uiPriority w:val="99"/>
    <w:qFormat/>
    <w:rPr>
      <w:rFonts w:eastAsia="仿宋_GB2312"/>
      <w:color w:val="0162BC"/>
      <w:sz w:val="24"/>
      <w:u w:val="none"/>
    </w:rPr>
  </w:style>
  <w:style w:type="character" w:styleId="af4">
    <w:name w:val="annotation reference"/>
    <w:qFormat/>
    <w:rPr>
      <w:rFonts w:eastAsia="仿宋_GB2312"/>
      <w:sz w:val="21"/>
      <w:szCs w:val="21"/>
    </w:rPr>
  </w:style>
  <w:style w:type="paragraph" w:customStyle="1" w:styleId="BodyText1I">
    <w:name w:val="BodyText1I"/>
    <w:basedOn w:val="BodyText"/>
    <w:qFormat/>
    <w:pPr>
      <w:ind w:firstLineChars="100" w:firstLine="420"/>
    </w:pPr>
  </w:style>
  <w:style w:type="paragraph" w:customStyle="1" w:styleId="BodyText">
    <w:name w:val="BodyText"/>
    <w:basedOn w:val="a"/>
    <w:qFormat/>
    <w:pPr>
      <w:ind w:left="142"/>
    </w:pPr>
    <w:rPr>
      <w:rFonts w:ascii="Calibri" w:hAnsi="Calibri"/>
      <w:kern w:val="0"/>
      <w:szCs w:val="20"/>
    </w:rPr>
  </w:style>
  <w:style w:type="paragraph" w:customStyle="1" w:styleId="xl62">
    <w:name w:val="xl62"/>
    <w:basedOn w:val="a"/>
    <w:qFormat/>
    <w:pPr>
      <w:widowControl/>
      <w:pBdr>
        <w:top w:val="single" w:sz="4"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8">
    <w:name w:val="xl38"/>
    <w:basedOn w:val="a"/>
    <w:qFormat/>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xl24">
    <w:name w:val="xl24"/>
    <w:basedOn w:val="a"/>
    <w:qFormat/>
    <w:pPr>
      <w:widowControl/>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4"/>
    </w:rPr>
  </w:style>
  <w:style w:type="paragraph" w:customStyle="1" w:styleId="xl67">
    <w:name w:val="xl67"/>
    <w:basedOn w:val="a"/>
    <w:qFormat/>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CharCharChar">
    <w:name w:val="Char Char Char"/>
    <w:basedOn w:val="a"/>
    <w:next w:val="a"/>
    <w:qFormat/>
    <w:pPr>
      <w:widowControl/>
      <w:spacing w:line="360" w:lineRule="auto"/>
      <w:jc w:val="left"/>
    </w:pPr>
    <w:rPr>
      <w:kern w:val="0"/>
      <w:szCs w:val="20"/>
      <w:lang w:eastAsia="en-US"/>
    </w:rPr>
  </w:style>
  <w:style w:type="paragraph" w:customStyle="1" w:styleId="xl43">
    <w:name w:val="xl4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4"/>
    </w:rPr>
  </w:style>
  <w:style w:type="paragraph" w:customStyle="1" w:styleId="xl68">
    <w:name w:val="xl68"/>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3">
    <w:name w:val="xl33"/>
    <w:basedOn w:val="a"/>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52">
    <w:name w:val="xl52"/>
    <w:basedOn w:val="a"/>
    <w:qFormat/>
    <w:pPr>
      <w:widowControl/>
      <w:pBdr>
        <w:top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74">
    <w:name w:val="xl74"/>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50">
    <w:name w:val="xl50"/>
    <w:basedOn w:val="a"/>
    <w:qFormat/>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5">
    <w:name w:val="xl35"/>
    <w:basedOn w:val="a"/>
    <w:qFormat/>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styleId="af5">
    <w:name w:val="No Spacing"/>
    <w:uiPriority w:val="1"/>
    <w:qFormat/>
    <w:pPr>
      <w:widowControl w:val="0"/>
      <w:spacing w:after="200" w:line="276" w:lineRule="auto"/>
      <w:jc w:val="both"/>
    </w:pPr>
    <w:rPr>
      <w:kern w:val="2"/>
      <w:sz w:val="21"/>
      <w:szCs w:val="24"/>
    </w:rPr>
  </w:style>
  <w:style w:type="paragraph" w:customStyle="1" w:styleId="xl71">
    <w:name w:val="xl71"/>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8">
    <w:name w:val="xl28"/>
    <w:basedOn w:val="a"/>
    <w:qFormat/>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Char0">
    <w:name w:val="Char"/>
    <w:basedOn w:val="a"/>
    <w:qFormat/>
    <w:pPr>
      <w:snapToGrid w:val="0"/>
      <w:spacing w:line="360" w:lineRule="auto"/>
      <w:ind w:firstLineChars="200" w:firstLine="200"/>
    </w:pPr>
    <w:rPr>
      <w:rFonts w:eastAsia="仿宋_GB2312"/>
      <w:sz w:val="24"/>
    </w:rPr>
  </w:style>
  <w:style w:type="paragraph" w:customStyle="1" w:styleId="xl53">
    <w:name w:val="xl53"/>
    <w:basedOn w:val="a"/>
    <w:qFormat/>
    <w:pPr>
      <w:widowControl/>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7">
    <w:name w:val="xl27"/>
    <w:basedOn w:val="a"/>
    <w:qFormat/>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63">
    <w:name w:val="xl63"/>
    <w:basedOn w:val="a"/>
    <w:qFormat/>
    <w:pPr>
      <w:widowControl/>
      <w:pBdr>
        <w:lef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2">
    <w:name w:val="xl32"/>
    <w:basedOn w:val="a"/>
    <w:qFormat/>
    <w:pPr>
      <w:widowControl/>
      <w:pBdr>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76">
    <w:name w:val="xl76"/>
    <w:basedOn w:val="a"/>
    <w:qFormat/>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58">
    <w:name w:val="xl58"/>
    <w:basedOn w:val="a"/>
    <w:qFormat/>
    <w:pPr>
      <w:widowControl/>
      <w:pBdr>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60">
    <w:name w:val="xl60"/>
    <w:basedOn w:val="a"/>
    <w:qFormat/>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af6">
    <w:name w:val="报告正文"/>
    <w:basedOn w:val="a"/>
    <w:qFormat/>
    <w:pPr>
      <w:spacing w:line="336" w:lineRule="auto"/>
      <w:ind w:left="2603"/>
    </w:pPr>
    <w:rPr>
      <w:rFonts w:ascii="华文细黑" w:eastAsia="华文细黑" w:cs="宋体"/>
      <w:sz w:val="22"/>
    </w:rPr>
  </w:style>
  <w:style w:type="paragraph" w:customStyle="1" w:styleId="xl41">
    <w:name w:val="xl41"/>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4"/>
    </w:rPr>
  </w:style>
  <w:style w:type="paragraph" w:customStyle="1" w:styleId="xl73">
    <w:name w:val="xl73"/>
    <w:basedOn w:val="a"/>
    <w:qFormat/>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51">
    <w:name w:val="xl51"/>
    <w:basedOn w:val="a"/>
    <w:qFormat/>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0">
    <w:name w:val="xl30"/>
    <w:basedOn w:val="a"/>
    <w:qFormat/>
    <w:pPr>
      <w:widowControl/>
      <w:pBdr>
        <w:top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8">
    <w:name w:val="xl48"/>
    <w:basedOn w:val="a"/>
    <w:qFormat/>
    <w:pPr>
      <w:widowControl/>
      <w:pBdr>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5">
    <w:name w:val="xl25"/>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CharCharChar0">
    <w:name w:val="报告正文 Char Char Char"/>
    <w:basedOn w:val="a"/>
    <w:qFormat/>
    <w:pPr>
      <w:spacing w:line="336" w:lineRule="auto"/>
      <w:ind w:left="2603"/>
    </w:pPr>
    <w:rPr>
      <w:rFonts w:ascii="华文细黑" w:eastAsia="华文细黑" w:cs="宋体"/>
      <w:sz w:val="22"/>
    </w:rPr>
  </w:style>
  <w:style w:type="paragraph" w:customStyle="1" w:styleId="xl72">
    <w:name w:val="xl72"/>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55">
    <w:name w:val="xl55"/>
    <w:basedOn w:val="a"/>
    <w:qFormat/>
    <w:pPr>
      <w:widowControl/>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2">
    <w:name w:val="xl42"/>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4"/>
    </w:rPr>
  </w:style>
  <w:style w:type="paragraph" w:customStyle="1" w:styleId="xl64">
    <w:name w:val="xl64"/>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font6">
    <w:name w:val="font6"/>
    <w:basedOn w:val="a"/>
    <w:qFormat/>
    <w:pPr>
      <w:widowControl/>
      <w:spacing w:before="100" w:beforeAutospacing="1" w:after="100" w:afterAutospacing="1"/>
      <w:jc w:val="left"/>
    </w:pPr>
    <w:rPr>
      <w:rFonts w:eastAsia="Arial Unicode MS"/>
      <w:kern w:val="0"/>
      <w:sz w:val="24"/>
    </w:rPr>
  </w:style>
  <w:style w:type="paragraph" w:customStyle="1" w:styleId="xl56">
    <w:name w:val="xl56"/>
    <w:basedOn w:val="a"/>
    <w:qFormat/>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12">
    <w:name w:val="列出段落1"/>
    <w:basedOn w:val="a"/>
    <w:qFormat/>
    <w:pPr>
      <w:ind w:firstLineChars="200" w:firstLine="420"/>
    </w:pPr>
    <w:rPr>
      <w:szCs w:val="21"/>
    </w:rPr>
  </w:style>
  <w:style w:type="paragraph" w:customStyle="1" w:styleId="xl75">
    <w:name w:val="xl75"/>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font7">
    <w:name w:val="font7"/>
    <w:basedOn w:val="a"/>
    <w:qFormat/>
    <w:pPr>
      <w:widowControl/>
      <w:spacing w:before="100" w:beforeAutospacing="1" w:after="100" w:afterAutospacing="1"/>
      <w:jc w:val="left"/>
    </w:pPr>
    <w:rPr>
      <w:rFonts w:eastAsia="Arial Unicode MS"/>
      <w:kern w:val="0"/>
      <w:sz w:val="24"/>
    </w:rPr>
  </w:style>
  <w:style w:type="paragraph" w:customStyle="1" w:styleId="xl77">
    <w:name w:val="xl77"/>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78">
    <w:name w:val="xl78"/>
    <w:basedOn w:val="a"/>
    <w:qFormat/>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pic-info">
    <w:name w:val="pic-info"/>
    <w:basedOn w:val="a"/>
    <w:qFormat/>
    <w:pPr>
      <w:widowControl/>
      <w:spacing w:before="100" w:beforeAutospacing="1" w:after="100" w:afterAutospacing="1"/>
      <w:jc w:val="left"/>
    </w:pPr>
    <w:rPr>
      <w:rFonts w:ascii="宋体" w:hAnsi="宋体" w:cs="宋体"/>
      <w:kern w:val="0"/>
      <w:sz w:val="24"/>
    </w:rPr>
  </w:style>
  <w:style w:type="paragraph" w:customStyle="1" w:styleId="xl57">
    <w:name w:val="xl57"/>
    <w:basedOn w:val="a"/>
    <w:qFormat/>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69">
    <w:name w:val="xl69"/>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xl54">
    <w:name w:val="xl54"/>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61">
    <w:name w:val="xl61"/>
    <w:basedOn w:val="a"/>
    <w:qFormat/>
    <w:pPr>
      <w:widowControl/>
      <w:pBdr>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Style79">
    <w:name w:val="_Style 79"/>
    <w:basedOn w:val="1"/>
    <w:next w:val="a"/>
    <w:uiPriority w:val="39"/>
    <w:qFormat/>
    <w:pPr>
      <w:keepLines/>
      <w:widowControl/>
      <w:spacing w:before="480" w:line="276" w:lineRule="auto"/>
      <w:ind w:left="0"/>
      <w:outlineLvl w:val="9"/>
    </w:pPr>
    <w:rPr>
      <w:rFonts w:ascii="Cambria" w:eastAsia="宋体" w:hAnsi="Cambria"/>
      <w:bCs/>
      <w:color w:val="365F91"/>
      <w:kern w:val="0"/>
      <w:szCs w:val="28"/>
    </w:rPr>
  </w:style>
  <w:style w:type="paragraph" w:customStyle="1" w:styleId="xl70">
    <w:name w:val="xl70"/>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59">
    <w:name w:val="xl59"/>
    <w:basedOn w:val="a"/>
    <w:qFormat/>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37">
    <w:name w:val="xl37"/>
    <w:basedOn w:val="a"/>
    <w:qFormat/>
    <w:pPr>
      <w:widowControl/>
      <w:pBdr>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9">
    <w:name w:val="xl49"/>
    <w:basedOn w:val="a"/>
    <w:qFormat/>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1">
    <w:name w:val="xl31"/>
    <w:basedOn w:val="a"/>
    <w:qFormat/>
    <w:pPr>
      <w:widowControl/>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7">
    <w:name w:val="xl47"/>
    <w:basedOn w:val="a"/>
    <w:qFormat/>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9">
    <w:name w:val="xl29"/>
    <w:basedOn w:val="a"/>
    <w:qFormat/>
    <w:pPr>
      <w:widowControl/>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6">
    <w:name w:val="xl26"/>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4">
    <w:name w:val="xl44"/>
    <w:basedOn w:val="a"/>
    <w:qFormat/>
    <w:pPr>
      <w:widowControl/>
      <w:pBdr>
        <w:top w:val="single" w:sz="8"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9">
    <w:name w:val="xl39"/>
    <w:basedOn w:val="a"/>
    <w:qFormat/>
    <w:pPr>
      <w:widowControl/>
      <w:pBdr>
        <w:bottom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af7">
    <w:name w:val="表格内文字"/>
    <w:basedOn w:val="a"/>
    <w:qFormat/>
    <w:pPr>
      <w:spacing w:after="0" w:line="240" w:lineRule="auto"/>
      <w:textAlignment w:val="bottom"/>
    </w:pPr>
    <w:rPr>
      <w:rFonts w:ascii="华文细黑" w:eastAsia="华文细黑"/>
      <w:snapToGrid w:val="0"/>
      <w:szCs w:val="18"/>
    </w:rPr>
  </w:style>
  <w:style w:type="paragraph" w:customStyle="1" w:styleId="xl34">
    <w:name w:val="xl34"/>
    <w:basedOn w:val="a"/>
    <w:qFormat/>
    <w:pPr>
      <w:widowControl/>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6">
    <w:name w:val="xl46"/>
    <w:basedOn w:val="a"/>
    <w:qFormat/>
    <w:pPr>
      <w:widowControl/>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65">
    <w:name w:val="xl65"/>
    <w:basedOn w:val="a"/>
    <w:qFormat/>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5">
    <w:name w:val="xl45"/>
    <w:basedOn w:val="a"/>
    <w:qFormat/>
    <w:pPr>
      <w:widowControl/>
      <w:pBdr>
        <w:top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Style26">
    <w:name w:val="_Style 26"/>
    <w:basedOn w:val="a"/>
    <w:qFormat/>
    <w:pPr>
      <w:snapToGrid w:val="0"/>
      <w:spacing w:line="360" w:lineRule="auto"/>
      <w:ind w:firstLineChars="200" w:firstLine="200"/>
    </w:pPr>
  </w:style>
  <w:style w:type="paragraph" w:customStyle="1" w:styleId="xl36">
    <w:name w:val="xl36"/>
    <w:basedOn w:val="a"/>
    <w:qFormat/>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66">
    <w:name w:val="xl66"/>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character" w:customStyle="1" w:styleId="Char">
    <w:name w:val="标题 Char"/>
    <w:basedOn w:val="a1"/>
    <w:link w:val="ae"/>
    <w:qFormat/>
    <w:rPr>
      <w:rFonts w:ascii="Cambria" w:hAnsi="Cambria" w:cs="Times New Roman"/>
      <w:b/>
      <w:bCs/>
      <w:kern w:val="2"/>
      <w:sz w:val="32"/>
      <w:szCs w:val="32"/>
    </w:rPr>
  </w:style>
  <w:style w:type="character" w:customStyle="1" w:styleId="apple-converted-space">
    <w:name w:val="apple-converted-space"/>
    <w:basedOn w:val="a1"/>
    <w:qFormat/>
  </w:style>
  <w:style w:type="character" w:customStyle="1" w:styleId="newtxt1">
    <w:name w:val="newtxt1"/>
    <w:basedOn w:val="a1"/>
    <w:qFormat/>
  </w:style>
  <w:style w:type="character" w:customStyle="1" w:styleId="description">
    <w:name w:val="description"/>
    <w:basedOn w:val="a1"/>
    <w:qFormat/>
  </w:style>
  <w:style w:type="character" w:customStyle="1" w:styleId="font31">
    <w:name w:val="font31"/>
    <w:basedOn w:val="a1"/>
    <w:qFormat/>
    <w:rPr>
      <w:rFonts w:ascii="仿宋_GB2312" w:eastAsia="仿宋_GB2312" w:cs="仿宋_GB2312" w:hint="default"/>
      <w:color w:val="000000"/>
      <w:sz w:val="20"/>
      <w:szCs w:val="20"/>
      <w:u w:val="none"/>
    </w:rPr>
  </w:style>
  <w:style w:type="character" w:customStyle="1" w:styleId="font21">
    <w:name w:val="font21"/>
    <w:basedOn w:val="a1"/>
    <w:qFormat/>
    <w:rPr>
      <w:rFonts w:ascii="宋体" w:eastAsia="宋体" w:hAnsi="宋体" w:cs="宋体" w:hint="eastAsia"/>
      <w:color w:val="000000"/>
      <w:sz w:val="18"/>
      <w:szCs w:val="18"/>
      <w:u w:val="none"/>
    </w:rPr>
  </w:style>
  <w:style w:type="character" w:customStyle="1" w:styleId="font11">
    <w:name w:val="font11"/>
    <w:basedOn w:val="a1"/>
    <w:qFormat/>
    <w:rPr>
      <w:rFonts w:ascii="仿宋_GB2312" w:eastAsia="仿宋_GB2312" w:cs="仿宋_GB2312" w:hint="eastAsia"/>
      <w:color w:val="000000"/>
      <w:sz w:val="18"/>
      <w:szCs w:val="18"/>
      <w:u w:val="none"/>
    </w:rPr>
  </w:style>
  <w:style w:type="character" w:customStyle="1" w:styleId="font51">
    <w:name w:val="font51"/>
    <w:basedOn w:val="a1"/>
    <w:qFormat/>
    <w:rPr>
      <w:rFonts w:ascii="宋体" w:eastAsia="宋体" w:hAnsi="宋体" w:cs="宋体" w:hint="eastAsia"/>
      <w:color w:val="000000"/>
      <w:sz w:val="21"/>
      <w:szCs w:val="21"/>
      <w:u w:val="none"/>
    </w:rPr>
  </w:style>
  <w:style w:type="character" w:customStyle="1" w:styleId="font41">
    <w:name w:val="font41"/>
    <w:basedOn w:val="a1"/>
    <w:qFormat/>
    <w:rPr>
      <w:rFonts w:ascii="仿宋_GB2312" w:eastAsia="仿宋_GB2312" w:cs="仿宋_GB2312" w:hint="eastAsia"/>
      <w:color w:val="000000"/>
      <w:sz w:val="21"/>
      <w:szCs w:val="21"/>
      <w:u w:val="none"/>
    </w:rPr>
  </w:style>
  <w:style w:type="character" w:customStyle="1" w:styleId="font61">
    <w:name w:val="font61"/>
    <w:basedOn w:val="a1"/>
    <w:qFormat/>
    <w:rPr>
      <w:rFonts w:ascii="宋体" w:eastAsia="宋体" w:hAnsi="宋体" w:cs="宋体" w:hint="eastAsia"/>
      <w:color w:val="000000"/>
      <w:sz w:val="21"/>
      <w:szCs w:val="21"/>
      <w:u w:val="none"/>
    </w:rPr>
  </w:style>
  <w:style w:type="character" w:customStyle="1" w:styleId="font01">
    <w:name w:val="font01"/>
    <w:basedOn w:val="a1"/>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so.com/doc/3077221-3243305.html" TargetMode="External"/><Relationship Id="rId18" Type="http://schemas.openxmlformats.org/officeDocument/2006/relationships/hyperlink" Target="https://baike.so.com/doc/2843683-24562624.htm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baike.so.com/doc/1135193-1200892.html" TargetMode="External"/><Relationship Id="rId2" Type="http://schemas.openxmlformats.org/officeDocument/2006/relationships/numbering" Target="numbering.xml"/><Relationship Id="rId16" Type="http://schemas.openxmlformats.org/officeDocument/2006/relationships/hyperlink" Target="https://baike.so.com/doc/982864-1038983.html" TargetMode="External"/><Relationship Id="rId20" Type="http://schemas.openxmlformats.org/officeDocument/2006/relationships/hyperlink" Target="https://baike.so.com/doc/5352152-558761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baike.so.com/doc/4434611-4642558.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baike.so.com/doc/5367830-5603602.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baike.so.com/doc/5338128-5573567.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2090</Words>
  <Characters>11917</Characters>
  <Application>Microsoft Office Word</Application>
  <DocSecurity>0</DocSecurity>
  <Lines>99</Lines>
  <Paragraphs>27</Paragraphs>
  <ScaleCrop>false</ScaleCrop>
  <Company>LEGEND (Beijing) Limited</Company>
  <LinksUpToDate>false</LinksUpToDate>
  <CharactersWithSpaces>13980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 地 产 估 价 报 告</dc:title>
  <dc:creator>Legend User</dc:creator>
  <cp:lastModifiedBy>LENOVO</cp:lastModifiedBy>
  <cp:revision>3</cp:revision>
  <cp:lastPrinted>2022-07-04T10:07:00Z</cp:lastPrinted>
  <dcterms:created xsi:type="dcterms:W3CDTF">2018-09-18T05:29:00Z</dcterms:created>
  <dcterms:modified xsi:type="dcterms:W3CDTF">2022-11-07T08:22:00Z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E51030D97B35418397E6A1261E2A0CB4</vt:lpwstr>
  </property>
  <property fmtid="{D5CDD505-2E9C-101B-9397-08002B2CF9AE}" pid="3" name="KSOProductBuildVer">
    <vt:lpwstr>2052-11.1.0.12598</vt:lpwstr>
  </property>
</Properties>
</file>