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jc w:val="center"/>
        <w:rPr>
          <w:rFonts w:hint="eastAsia" w:ascii="仿宋_GB2312" w:hAnsi="宋体" w:eastAsia="仿宋_GB2312"/>
          <w:sz w:val="44"/>
          <w:szCs w:val="44"/>
        </w:rPr>
      </w:pPr>
      <w:r>
        <w:rPr>
          <w:rFonts w:hint="eastAsia" w:ascii="仿宋_GB2312" w:hAnsi="宋体" w:eastAsia="仿宋_GB2312"/>
          <w:sz w:val="44"/>
          <w:szCs w:val="44"/>
        </w:rPr>
        <w:t>房地产</w:t>
      </w:r>
      <w:r>
        <w:rPr>
          <w:rFonts w:hint="eastAsia" w:ascii="仿宋_GB2312" w:hAnsi="宋体" w:eastAsia="仿宋_GB2312"/>
          <w:sz w:val="44"/>
          <w:szCs w:val="44"/>
          <w:lang w:eastAsia="zh-CN"/>
        </w:rPr>
        <w:t>估价</w:t>
      </w:r>
      <w:r>
        <w:rPr>
          <w:rFonts w:hint="eastAsia" w:ascii="仿宋_GB2312" w:hAnsi="宋体" w:eastAsia="仿宋_GB2312"/>
          <w:sz w:val="44"/>
          <w:szCs w:val="44"/>
        </w:rPr>
        <w:t>报告</w:t>
      </w: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spacing w:line="360" w:lineRule="auto"/>
        <w:ind w:left="2559" w:leftChars="152" w:hanging="2240" w:hangingChars="700"/>
        <w:rPr>
          <w:rFonts w:hint="eastAsia" w:ascii="仿宋_GB2312" w:hAnsi="宋体" w:eastAsia="仿宋_GB2312"/>
          <w:sz w:val="32"/>
          <w:szCs w:val="32"/>
          <w:lang w:eastAsia="zh-CN"/>
        </w:rPr>
      </w:pPr>
      <w:r>
        <w:rPr>
          <w:rFonts w:hint="eastAsia" w:ascii="仿宋_GB2312" w:hAnsi="宋体" w:eastAsia="仿宋_GB2312"/>
          <w:sz w:val="32"/>
          <w:szCs w:val="32"/>
          <w:lang w:eastAsia="zh-CN"/>
        </w:rPr>
        <w:t>估价</w:t>
      </w:r>
      <w:r>
        <w:rPr>
          <w:rFonts w:hint="eastAsia" w:ascii="仿宋_GB2312" w:hAnsi="宋体" w:eastAsia="仿宋_GB2312"/>
          <w:sz w:val="32"/>
          <w:szCs w:val="32"/>
        </w:rPr>
        <w:t>项目名称：</w:t>
      </w:r>
      <w:r>
        <w:rPr>
          <w:rFonts w:hint="eastAsia" w:ascii="仿宋_GB2312" w:hAnsi="宋体" w:eastAsia="仿宋_GB2312"/>
          <w:sz w:val="32"/>
          <w:szCs w:val="32"/>
          <w:lang w:eastAsia="zh-CN"/>
        </w:rPr>
        <w:t>江西盛杰房地产开发有限公司所有的位于江西省宜丰县石市镇明珠小区1栋、5栋、4栋共三十处</w:t>
      </w:r>
      <w:r>
        <w:rPr>
          <w:rFonts w:hint="eastAsia" w:ascii="仿宋_GB2312" w:hAnsi="宋体" w:eastAsia="仿宋_GB2312"/>
          <w:sz w:val="32"/>
          <w:szCs w:val="32"/>
          <w:lang w:val="en-US" w:eastAsia="zh-CN"/>
        </w:rPr>
        <w:t>房地产</w:t>
      </w:r>
      <w:r>
        <w:rPr>
          <w:rFonts w:hint="eastAsia" w:ascii="仿宋_GB2312" w:hAnsi="宋体" w:eastAsia="仿宋_GB2312"/>
          <w:sz w:val="32"/>
          <w:szCs w:val="32"/>
          <w:lang w:eastAsia="zh-CN"/>
        </w:rPr>
        <w:t>因司法处置涉及的房地产</w:t>
      </w:r>
      <w:r>
        <w:rPr>
          <w:rFonts w:hint="eastAsia" w:ascii="仿宋_GB2312" w:hAnsi="宋体" w:eastAsia="仿宋_GB2312"/>
          <w:sz w:val="32"/>
          <w:szCs w:val="32"/>
          <w:lang w:val="en-US" w:eastAsia="zh-CN"/>
        </w:rPr>
        <w:t>价值评估</w:t>
      </w:r>
    </w:p>
    <w:p>
      <w:pPr>
        <w:keepNext w:val="0"/>
        <w:keepLines w:val="0"/>
        <w:pageBreakBefore w:val="0"/>
        <w:widowControl w:val="0"/>
        <w:kinsoku/>
        <w:wordWrap/>
        <w:overflowPunct/>
        <w:topLinePunct w:val="0"/>
        <w:autoSpaceDE/>
        <w:autoSpaceDN/>
        <w:bidi w:val="0"/>
        <w:adjustRightInd/>
        <w:snapToGrid/>
        <w:spacing w:line="240" w:lineRule="auto"/>
        <w:ind w:left="3007" w:leftChars="152" w:hanging="2688" w:hangingChars="700"/>
        <w:textAlignment w:val="auto"/>
        <w:rPr>
          <w:rFonts w:hint="eastAsia" w:ascii="仿宋_GB2312" w:hAnsi="宋体" w:eastAsia="仿宋_GB2312"/>
          <w:color w:val="0000FF"/>
          <w:sz w:val="32"/>
          <w:szCs w:val="32"/>
          <w:lang w:eastAsia="zh-CN"/>
        </w:rPr>
      </w:pPr>
      <w:r>
        <w:rPr>
          <w:rFonts w:hint="eastAsia" w:ascii="仿宋_GB2312" w:hAnsi="宋体" w:eastAsia="仿宋_GB2312"/>
          <w:spacing w:val="32"/>
          <w:sz w:val="32"/>
          <w:szCs w:val="32"/>
          <w:lang w:eastAsia="zh-CN"/>
        </w:rPr>
        <w:t>估价</w:t>
      </w:r>
      <w:r>
        <w:rPr>
          <w:rFonts w:hint="eastAsia" w:ascii="仿宋_GB2312" w:hAnsi="宋体" w:eastAsia="仿宋_GB2312"/>
          <w:spacing w:val="32"/>
          <w:sz w:val="32"/>
          <w:szCs w:val="32"/>
        </w:rPr>
        <w:t>委托人</w:t>
      </w:r>
      <w:r>
        <w:rPr>
          <w:rFonts w:hint="eastAsia" w:ascii="仿宋_GB2312" w:hAnsi="宋体" w:eastAsia="仿宋_GB2312"/>
          <w:sz w:val="32"/>
          <w:szCs w:val="32"/>
          <w:lang w:eastAsia="zh-CN"/>
        </w:rPr>
        <w:t>：宜丰县人民法院</w:t>
      </w:r>
    </w:p>
    <w:p>
      <w:pPr>
        <w:keepNext w:val="0"/>
        <w:keepLines w:val="0"/>
        <w:pageBreakBefore w:val="0"/>
        <w:widowControl w:val="0"/>
        <w:kinsoku/>
        <w:wordWrap/>
        <w:overflowPunct/>
        <w:topLinePunct w:val="0"/>
        <w:autoSpaceDE/>
        <w:autoSpaceDN/>
        <w:bidi w:val="0"/>
        <w:adjustRightInd/>
        <w:snapToGrid/>
        <w:spacing w:line="240" w:lineRule="auto"/>
        <w:ind w:left="2559" w:leftChars="152" w:hanging="2240" w:hangingChars="7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房地产估价机构</w:t>
      </w:r>
      <w:r>
        <w:rPr>
          <w:rFonts w:hint="eastAsia" w:ascii="仿宋_GB2312" w:hAnsi="宋体" w:eastAsia="仿宋_GB2312"/>
          <w:sz w:val="32"/>
          <w:szCs w:val="32"/>
        </w:rPr>
        <w:t>：</w:t>
      </w:r>
      <w:r>
        <w:rPr>
          <w:rFonts w:hint="eastAsia" w:ascii="仿宋_GB2312" w:hAnsi="宋体" w:eastAsia="仿宋_GB2312"/>
          <w:sz w:val="32"/>
          <w:szCs w:val="32"/>
          <w:lang w:eastAsia="zh-CN"/>
        </w:rPr>
        <w:t>江西万恒房地产资产评估咨询有限公司</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宋体" w:eastAsia="仿宋_GB2312"/>
          <w:sz w:val="32"/>
          <w:szCs w:val="32"/>
        </w:rPr>
      </w:pPr>
      <w:r>
        <w:rPr>
          <w:rFonts w:hint="eastAsia" w:ascii="仿宋_GB2312" w:hAnsi="宋体" w:eastAsia="仿宋_GB2312"/>
          <w:sz w:val="32"/>
          <w:szCs w:val="32"/>
        </w:rPr>
        <w:t>注册房地产估价师：</w:t>
      </w:r>
      <w:r>
        <w:rPr>
          <w:rFonts w:hint="eastAsia" w:ascii="仿宋_GB2312" w:hAnsi="宋体" w:eastAsia="仿宋_GB2312"/>
          <w:sz w:val="32"/>
          <w:szCs w:val="32"/>
          <w:lang w:eastAsia="zh-CN"/>
        </w:rPr>
        <w:t>李舰</w:t>
      </w:r>
      <w:r>
        <w:rPr>
          <w:rFonts w:hint="eastAsia" w:ascii="仿宋_GB2312" w:hAnsi="宋体" w:eastAsia="仿宋_GB2312"/>
          <w:sz w:val="32"/>
          <w:szCs w:val="32"/>
        </w:rPr>
        <w:t>（</w:t>
      </w:r>
      <w:r>
        <w:rPr>
          <w:rFonts w:hint="eastAsia" w:ascii="仿宋_GB2312" w:hAnsi="宋体" w:eastAsia="仿宋_GB2312"/>
          <w:sz w:val="32"/>
          <w:szCs w:val="32"/>
          <w:lang w:eastAsia="zh-CN"/>
        </w:rPr>
        <w:t>3620200071</w:t>
      </w:r>
      <w:r>
        <w:rPr>
          <w:rFonts w:hint="eastAsia" w:ascii="仿宋_GB2312" w:hAnsi="宋体" w:eastAsia="仿宋_GB2312"/>
          <w:sz w:val="32"/>
          <w:szCs w:val="32"/>
        </w:rPr>
        <w:t>）</w:t>
      </w:r>
      <w:r>
        <w:rPr>
          <w:rFonts w:hint="eastAsia" w:ascii="仿宋_GB2312" w:hAnsi="宋体" w:eastAsia="仿宋_GB2312"/>
          <w:sz w:val="32"/>
          <w:szCs w:val="32"/>
          <w:lang w:eastAsia="zh-CN"/>
        </w:rPr>
        <w:t>王辉</w:t>
      </w:r>
      <w:r>
        <w:rPr>
          <w:rFonts w:hint="eastAsia" w:ascii="仿宋_GB2312" w:hAnsi="宋体" w:eastAsia="仿宋_GB2312"/>
          <w:sz w:val="32"/>
          <w:szCs w:val="32"/>
        </w:rPr>
        <w:t>（</w:t>
      </w:r>
      <w:r>
        <w:rPr>
          <w:rFonts w:hint="eastAsia" w:ascii="仿宋_GB2312" w:hAnsi="宋体" w:eastAsia="仿宋_GB2312"/>
          <w:sz w:val="32"/>
          <w:szCs w:val="32"/>
          <w:lang w:eastAsia="zh-CN"/>
        </w:rPr>
        <w:t>3619970077</w:t>
      </w:r>
      <w:r>
        <w:rPr>
          <w:rFonts w:hint="eastAsia" w:ascii="仿宋_GB2312" w:hAnsi="宋体" w:eastAsia="仿宋_GB2312"/>
          <w:sz w:val="32"/>
          <w:szCs w:val="32"/>
        </w:rPr>
        <w:t>）</w:t>
      </w:r>
    </w:p>
    <w:p>
      <w:pPr>
        <w:keepNext w:val="0"/>
        <w:keepLines w:val="0"/>
        <w:pageBreakBefore w:val="0"/>
        <w:widowControl w:val="0"/>
        <w:tabs>
          <w:tab w:val="left" w:pos="315"/>
        </w:tabs>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sz w:val="32"/>
          <w:szCs w:val="32"/>
        </w:rPr>
      </w:pPr>
      <w:r>
        <w:rPr>
          <w:rFonts w:hint="eastAsia" w:ascii="仿宋_GB2312" w:hAnsi="宋体" w:eastAsia="仿宋_GB2312"/>
          <w:color w:val="000000"/>
          <w:sz w:val="32"/>
          <w:szCs w:val="32"/>
          <w:lang w:eastAsia="zh-CN"/>
        </w:rPr>
        <w:t>估价</w:t>
      </w:r>
      <w:r>
        <w:rPr>
          <w:rFonts w:hint="eastAsia" w:ascii="仿宋_GB2312" w:hAnsi="宋体" w:eastAsia="仿宋_GB2312"/>
          <w:color w:val="000000"/>
          <w:sz w:val="32"/>
          <w:szCs w:val="32"/>
        </w:rPr>
        <w:t>报告编号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万恒评字[2022]第H060701号</w:t>
      </w:r>
    </w:p>
    <w:p>
      <w:pPr>
        <w:keepNext w:val="0"/>
        <w:keepLines w:val="0"/>
        <w:pageBreakBefore w:val="0"/>
        <w:widowControl w:val="0"/>
        <w:tabs>
          <w:tab w:val="left" w:pos="315"/>
        </w:tabs>
        <w:kinsoku/>
        <w:wordWrap/>
        <w:overflowPunct/>
        <w:topLinePunct w:val="0"/>
        <w:autoSpaceDE/>
        <w:autoSpaceDN/>
        <w:bidi w:val="0"/>
        <w:adjustRightInd w:val="0"/>
        <w:snapToGrid w:val="0"/>
        <w:spacing w:line="480" w:lineRule="exact"/>
        <w:ind w:firstLine="320" w:firstLineChars="100"/>
        <w:jc w:val="both"/>
        <w:textAlignment w:val="auto"/>
        <w:rPr>
          <w:rFonts w:hint="eastAsia" w:ascii="仿宋_GB2312" w:hAnsi="宋体" w:eastAsia="仿宋_GB2312"/>
          <w:b/>
          <w:color w:val="000000"/>
          <w:sz w:val="32"/>
          <w:szCs w:val="32"/>
        </w:rPr>
        <w:sectPr>
          <w:headerReference r:id="rId4" w:type="first"/>
          <w:headerReference r:id="rId3" w:type="default"/>
          <w:pgSz w:w="11906" w:h="16838"/>
          <w:pgMar w:top="1714" w:right="1531" w:bottom="1091" w:left="1797" w:header="964" w:footer="936"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仿宋_GB2312" w:hAnsi="宋体" w:eastAsia="仿宋_GB2312"/>
          <w:color w:val="000000"/>
          <w:sz w:val="32"/>
          <w:szCs w:val="32"/>
          <w:lang w:eastAsia="zh-CN"/>
        </w:rPr>
        <w:t>估价</w:t>
      </w:r>
      <w:r>
        <w:rPr>
          <w:rFonts w:hint="eastAsia" w:ascii="仿宋_GB2312" w:hAnsi="宋体" w:eastAsia="仿宋_GB2312"/>
          <w:color w:val="000000"/>
          <w:sz w:val="32"/>
          <w:szCs w:val="32"/>
        </w:rPr>
        <w:t>报告出具日期：</w:t>
      </w:r>
      <w:r>
        <w:rPr>
          <w:rFonts w:hint="eastAsia" w:ascii="仿宋_GB2312" w:hAnsi="宋体" w:eastAsia="仿宋_GB2312"/>
          <w:sz w:val="32"/>
          <w:szCs w:val="32"/>
          <w:lang w:eastAsia="zh-CN"/>
        </w:rPr>
        <w:t>2022年6月7日</w:t>
      </w:r>
    </w:p>
    <w:p>
      <w:pPr>
        <w:keepNext w:val="0"/>
        <w:keepLines w:val="0"/>
        <w:pageBreakBefore w:val="0"/>
        <w:widowControl w:val="0"/>
        <w:tabs>
          <w:tab w:val="left" w:pos="315"/>
        </w:tabs>
        <w:kinsoku/>
        <w:wordWrap/>
        <w:overflowPunct/>
        <w:topLinePunct w:val="0"/>
        <w:autoSpaceDE/>
        <w:autoSpaceDN/>
        <w:bidi w:val="0"/>
        <w:adjustRightInd w:val="0"/>
        <w:snapToGrid w:val="0"/>
        <w:spacing w:line="380" w:lineRule="exact"/>
        <w:ind w:firstLine="321" w:firstLineChars="100"/>
        <w:jc w:val="center"/>
        <w:textAlignment w:val="auto"/>
        <w:rPr>
          <w:rFonts w:hint="eastAsia" w:ascii="仿宋_GB2312" w:hAnsi="宋体" w:eastAsia="仿宋_GB2312"/>
          <w:b/>
          <w:color w:val="000000"/>
          <w:sz w:val="32"/>
          <w:szCs w:val="32"/>
        </w:rPr>
      </w:pPr>
      <w:r>
        <w:rPr>
          <w:rFonts w:hint="eastAsia" w:ascii="仿宋_GB2312" w:hAnsi="宋体" w:eastAsia="仿宋_GB2312"/>
          <w:b/>
          <w:color w:val="000000"/>
          <w:sz w:val="32"/>
          <w:szCs w:val="32"/>
        </w:rPr>
        <w:t>致</w:t>
      </w:r>
      <w:r>
        <w:rPr>
          <w:rFonts w:hint="eastAsia" w:ascii="仿宋_GB2312" w:hAnsi="宋体" w:eastAsia="仿宋_GB2312"/>
          <w:b/>
          <w:color w:val="000000"/>
          <w:sz w:val="32"/>
          <w:szCs w:val="32"/>
          <w:lang w:eastAsia="zh-CN"/>
        </w:rPr>
        <w:t>估价</w:t>
      </w:r>
      <w:r>
        <w:rPr>
          <w:rFonts w:hint="eastAsia" w:ascii="仿宋_GB2312" w:hAnsi="宋体" w:eastAsia="仿宋_GB2312"/>
          <w:b/>
          <w:color w:val="000000"/>
          <w:sz w:val="32"/>
          <w:szCs w:val="32"/>
        </w:rPr>
        <w:t>委托人函</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宋体" w:eastAsia="仿宋_GB2312"/>
          <w:b/>
          <w:bCs/>
          <w:color w:val="auto"/>
          <w:sz w:val="28"/>
          <w:szCs w:val="28"/>
        </w:rPr>
      </w:pPr>
      <w:r>
        <w:rPr>
          <w:rFonts w:hint="eastAsia" w:ascii="仿宋_GB2312" w:hAnsi="宋体" w:eastAsia="仿宋_GB2312"/>
          <w:b/>
          <w:bCs/>
          <w:color w:val="auto"/>
          <w:sz w:val="28"/>
          <w:szCs w:val="28"/>
          <w:lang w:eastAsia="zh-CN"/>
        </w:rPr>
        <w:t>宜丰县人民法院</w:t>
      </w:r>
      <w:r>
        <w:rPr>
          <w:rFonts w:hint="eastAsia" w:ascii="仿宋_GB2312" w:hAnsi="宋体" w:eastAsia="仿宋_GB2312"/>
          <w:b/>
          <w:bCs/>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sz w:val="28"/>
          <w:szCs w:val="28"/>
        </w:rPr>
        <w:t>承蒙委托，我公司派遣注册房地产估价师，就贵院在</w:t>
      </w:r>
      <w:r>
        <w:rPr>
          <w:rFonts w:hint="eastAsia" w:ascii="仿宋_GB2312" w:hAnsi="宋体" w:eastAsia="仿宋_GB2312"/>
          <w:sz w:val="28"/>
          <w:szCs w:val="28"/>
          <w:lang w:eastAsia="zh-CN"/>
        </w:rPr>
        <w:t>办理</w:t>
      </w:r>
      <w:r>
        <w:rPr>
          <w:rFonts w:hint="eastAsia" w:ascii="仿宋_GB2312" w:hAnsi="宋体" w:eastAsia="仿宋_GB2312"/>
          <w:sz w:val="28"/>
          <w:szCs w:val="28"/>
        </w:rPr>
        <w:t>执行</w:t>
      </w:r>
      <w:r>
        <w:rPr>
          <w:rFonts w:hint="eastAsia" w:ascii="仿宋_GB2312" w:hAnsi="宋体" w:eastAsia="仿宋_GB2312"/>
          <w:sz w:val="28"/>
          <w:szCs w:val="28"/>
          <w:lang w:eastAsia="zh-CN"/>
        </w:rPr>
        <w:t>申请人与</w:t>
      </w:r>
      <w:r>
        <w:rPr>
          <w:rFonts w:hint="eastAsia" w:ascii="仿宋_GB2312" w:hAnsi="宋体" w:eastAsia="仿宋_GB2312"/>
          <w:sz w:val="28"/>
          <w:szCs w:val="28"/>
          <w:lang w:val="en-US" w:eastAsia="zh-CN"/>
        </w:rPr>
        <w:t>江西盛杰房地产开发有限公司建设工程施工合同</w:t>
      </w:r>
      <w:r>
        <w:rPr>
          <w:rFonts w:hint="eastAsia" w:ascii="仿宋_GB2312" w:hAnsi="宋体" w:eastAsia="仿宋_GB2312"/>
          <w:sz w:val="28"/>
          <w:szCs w:val="28"/>
        </w:rPr>
        <w:t>纠纷一案中</w:t>
      </w:r>
      <w:r>
        <w:rPr>
          <w:rFonts w:hint="eastAsia" w:ascii="仿宋_GB2312" w:hAnsi="宋体" w:eastAsia="仿宋_GB2312"/>
          <w:sz w:val="28"/>
          <w:szCs w:val="28"/>
          <w:lang w:eastAsia="zh-CN"/>
        </w:rPr>
        <w:t>[（202</w:t>
      </w:r>
      <w:r>
        <w:rPr>
          <w:rFonts w:hint="eastAsia" w:ascii="仿宋_GB2312" w:hAnsi="宋体" w:eastAsia="仿宋_GB2312"/>
          <w:sz w:val="28"/>
          <w:szCs w:val="28"/>
          <w:lang w:val="en-US" w:eastAsia="zh-CN"/>
        </w:rPr>
        <w:t>2</w:t>
      </w:r>
      <w:r>
        <w:rPr>
          <w:rFonts w:hint="eastAsia" w:ascii="仿宋_GB2312" w:hAnsi="宋体" w:eastAsia="仿宋_GB2312"/>
          <w:sz w:val="28"/>
          <w:szCs w:val="28"/>
          <w:lang w:eastAsia="zh-CN"/>
        </w:rPr>
        <w:t>）赣0924执</w:t>
      </w:r>
      <w:r>
        <w:rPr>
          <w:rFonts w:hint="eastAsia" w:ascii="仿宋_GB2312" w:hAnsi="宋体" w:eastAsia="仿宋_GB2312"/>
          <w:sz w:val="28"/>
          <w:szCs w:val="28"/>
          <w:lang w:val="en-US" w:eastAsia="zh-CN"/>
        </w:rPr>
        <w:t>327</w:t>
      </w:r>
      <w:r>
        <w:rPr>
          <w:rFonts w:hint="eastAsia" w:ascii="仿宋_GB2312" w:hAnsi="宋体" w:eastAsia="仿宋_GB2312"/>
          <w:sz w:val="28"/>
          <w:szCs w:val="28"/>
          <w:lang w:eastAsia="zh-CN"/>
        </w:rPr>
        <w:t>号]，所涉及的江西盛杰房地产开发有限公司所有的位于江西省宜丰县石市镇明珠小区1栋、5栋、4栋共三十处</w:t>
      </w:r>
      <w:r>
        <w:rPr>
          <w:rFonts w:hint="eastAsia" w:ascii="仿宋_GB2312" w:hAnsi="宋体" w:eastAsia="仿宋_GB2312"/>
          <w:sz w:val="28"/>
          <w:szCs w:val="28"/>
          <w:lang w:val="en-US" w:eastAsia="zh-CN"/>
        </w:rPr>
        <w:t>房地产</w:t>
      </w:r>
      <w:r>
        <w:rPr>
          <w:rFonts w:hint="eastAsia" w:ascii="仿宋_GB2312" w:hAnsi="宋体" w:eastAsia="仿宋_GB2312"/>
          <w:sz w:val="28"/>
          <w:szCs w:val="28"/>
        </w:rPr>
        <w:t>进行</w:t>
      </w:r>
      <w:r>
        <w:rPr>
          <w:rFonts w:hint="eastAsia" w:ascii="仿宋_GB2312" w:hAnsi="宋体" w:eastAsia="仿宋_GB2312"/>
          <w:sz w:val="28"/>
          <w:szCs w:val="28"/>
          <w:lang w:eastAsia="zh-CN"/>
        </w:rPr>
        <w:t>市场价值评估</w:t>
      </w:r>
      <w:r>
        <w:rPr>
          <w:rFonts w:hint="eastAsia" w:ascii="仿宋_GB2312" w:hAnsi="宋体" w:eastAsia="仿宋_GB2312"/>
          <w:sz w:val="28"/>
          <w:szCs w:val="28"/>
        </w:rPr>
        <w:t>，</w:t>
      </w:r>
      <w:r>
        <w:rPr>
          <w:rFonts w:hint="eastAsia" w:ascii="仿宋_GB2312" w:hAnsi="宋体" w:eastAsia="仿宋_GB2312"/>
          <w:sz w:val="28"/>
          <w:szCs w:val="28"/>
          <w:lang w:eastAsia="zh-CN"/>
        </w:rPr>
        <w:t>估价目的是为人民法院确定房地产处置参考价提供参考依据</w:t>
      </w:r>
      <w:r>
        <w:rPr>
          <w:rFonts w:hint="eastAsia" w:ascii="仿宋_GB2312" w:hAnsi="宋体"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80" w:lineRule="exact"/>
        <w:ind w:right="34" w:firstLine="560" w:firstLineChars="200"/>
        <w:jc w:val="both"/>
        <w:textAlignment w:val="auto"/>
        <w:rPr>
          <w:rFonts w:hint="eastAsia" w:ascii="仿宋_GB2312" w:hAnsi="仿宋" w:eastAsia="仿宋_GB2312"/>
          <w:b w:val="0"/>
          <w:bCs/>
          <w:sz w:val="28"/>
          <w:szCs w:val="28"/>
          <w:lang w:eastAsia="zh-CN"/>
        </w:rPr>
      </w:pPr>
      <w:r>
        <w:rPr>
          <w:rFonts w:hint="eastAsia" w:ascii="仿宋_GB2312" w:hAnsi="宋体" w:eastAsia="仿宋_GB2312"/>
          <w:sz w:val="28"/>
          <w:szCs w:val="28"/>
        </w:rPr>
        <w:t>经过实地查勘与市场调查，遵照《中华人民共和国城市房地产管理法》、《房地产估价规范》等法律法规和技术标准，遵循各项估价原则，选用适宜的估价方法（</w:t>
      </w:r>
      <w:r>
        <w:rPr>
          <w:rFonts w:hint="eastAsia" w:ascii="仿宋_GB2312" w:hAnsi="宋体" w:eastAsia="仿宋_GB2312"/>
          <w:sz w:val="28"/>
          <w:szCs w:val="28"/>
          <w:lang w:eastAsia="zh-CN"/>
        </w:rPr>
        <w:t>收益法</w:t>
      </w:r>
      <w:r>
        <w:rPr>
          <w:rFonts w:hint="eastAsia" w:ascii="仿宋_GB2312" w:hAnsi="宋体" w:eastAsia="仿宋_GB2312"/>
          <w:sz w:val="28"/>
          <w:szCs w:val="28"/>
        </w:rPr>
        <w:t>）对估价对象进行了测算，在认真分析所掌握的资料并充分考虑估价对象比较因素的基础上，经过综合测算，确定估价对象于价值时点</w:t>
      </w:r>
      <w:r>
        <w:rPr>
          <w:rFonts w:hint="eastAsia" w:ascii="仿宋_GB2312" w:hAnsi="宋体" w:eastAsia="仿宋_GB2312"/>
          <w:sz w:val="28"/>
          <w:szCs w:val="28"/>
          <w:lang w:val="en-US" w:eastAsia="zh-CN"/>
        </w:rPr>
        <w:t>2022年5月19日</w:t>
      </w:r>
      <w:r>
        <w:rPr>
          <w:rFonts w:hint="eastAsia" w:ascii="仿宋_GB2312" w:hAnsi="宋体" w:eastAsia="仿宋_GB2312"/>
          <w:sz w:val="28"/>
          <w:szCs w:val="28"/>
        </w:rPr>
        <w:t>在满足估价假设和限制条件下的价值进行估算和判定，得出估价结果——</w:t>
      </w:r>
      <w:r>
        <w:rPr>
          <w:rFonts w:hint="eastAsia" w:ascii="仿宋_GB2312" w:hAnsi="宋体" w:eastAsia="仿宋_GB2312"/>
          <w:sz w:val="28"/>
          <w:szCs w:val="28"/>
          <w:lang w:eastAsia="zh-CN"/>
        </w:rPr>
        <w:t>估价对象评估</w:t>
      </w:r>
      <w:r>
        <w:rPr>
          <w:rFonts w:hint="eastAsia" w:ascii="仿宋_GB2312" w:hAnsi="宋体" w:eastAsia="仿宋_GB2312"/>
          <w:sz w:val="28"/>
          <w:szCs w:val="28"/>
        </w:rPr>
        <w:t>总</w:t>
      </w:r>
      <w:r>
        <w:rPr>
          <w:rFonts w:hint="eastAsia" w:ascii="仿宋_GB2312" w:hAnsi="宋体" w:eastAsia="仿宋_GB2312"/>
          <w:sz w:val="28"/>
          <w:szCs w:val="28"/>
          <w:lang w:eastAsia="zh-CN"/>
        </w:rPr>
        <w:t>值</w:t>
      </w:r>
      <w:r>
        <w:rPr>
          <w:rFonts w:hint="eastAsia" w:ascii="仿宋_GB2312" w:hAnsi="宋体" w:eastAsia="仿宋_GB2312"/>
          <w:sz w:val="28"/>
          <w:szCs w:val="28"/>
        </w:rPr>
        <w:t>为大写人民币</w:t>
      </w:r>
      <w:r>
        <w:rPr>
          <w:rFonts w:hint="eastAsia" w:ascii="仿宋_GB2312" w:hAnsi="宋体" w:eastAsia="仿宋_GB2312"/>
          <w:b/>
          <w:bCs/>
          <w:sz w:val="28"/>
          <w:szCs w:val="28"/>
          <w:lang w:val="en-US" w:eastAsia="zh-CN"/>
        </w:rPr>
        <w:fldChar w:fldCharType="begin"/>
      </w:r>
      <w:r>
        <w:rPr>
          <w:rFonts w:hint="eastAsia" w:ascii="仿宋_GB2312" w:hAnsi="宋体" w:eastAsia="仿宋_GB2312"/>
          <w:b/>
          <w:bCs/>
          <w:sz w:val="28"/>
          <w:szCs w:val="28"/>
          <w:lang w:val="en-US" w:eastAsia="zh-CN"/>
        </w:rPr>
        <w:instrText xml:space="preserve"> = 1282651 \* CHINESENUM2 \* MERGEFORMAT </w:instrText>
      </w:r>
      <w:r>
        <w:rPr>
          <w:rFonts w:hint="eastAsia" w:ascii="仿宋_GB2312" w:hAnsi="宋体" w:eastAsia="仿宋_GB2312"/>
          <w:b/>
          <w:bCs/>
          <w:sz w:val="28"/>
          <w:szCs w:val="28"/>
          <w:lang w:val="en-US" w:eastAsia="zh-CN"/>
        </w:rPr>
        <w:fldChar w:fldCharType="separate"/>
      </w:r>
      <w:r>
        <w:rPr>
          <w:rFonts w:hint="eastAsia" w:ascii="仿宋_GB2312" w:hAnsi="宋体" w:eastAsia="仿宋_GB2312"/>
          <w:b/>
          <w:bCs/>
          <w:sz w:val="28"/>
          <w:szCs w:val="28"/>
          <w:lang w:eastAsia="zh-CN"/>
        </w:rPr>
        <w:t>柒佰伍拾贰万贰仟玖佰柒拾柒</w:t>
      </w:r>
      <w:r>
        <w:rPr>
          <w:rFonts w:hint="eastAsia" w:ascii="仿宋_GB2312" w:hAnsi="宋体" w:eastAsia="仿宋_GB2312"/>
          <w:b/>
          <w:bCs/>
          <w:sz w:val="28"/>
          <w:szCs w:val="28"/>
          <w:lang w:val="en-US" w:eastAsia="zh-CN"/>
        </w:rPr>
        <w:fldChar w:fldCharType="end"/>
      </w:r>
      <w:r>
        <w:rPr>
          <w:rFonts w:hint="eastAsia" w:ascii="仿宋_GB2312" w:hAnsi="仿宋" w:eastAsia="仿宋_GB2312"/>
          <w:b/>
          <w:bCs w:val="0"/>
          <w:color w:val="auto"/>
          <w:sz w:val="28"/>
          <w:szCs w:val="28"/>
          <w:lang w:eastAsia="zh-CN"/>
        </w:rPr>
        <w:t>元</w:t>
      </w:r>
      <w:r>
        <w:rPr>
          <w:rFonts w:hint="eastAsia" w:ascii="仿宋_GB2312" w:hAnsi="仿宋" w:eastAsia="仿宋_GB2312"/>
          <w:b/>
          <w:bCs w:val="0"/>
          <w:color w:val="auto"/>
          <w:sz w:val="28"/>
          <w:szCs w:val="28"/>
        </w:rPr>
        <w:t>整</w:t>
      </w:r>
      <w:r>
        <w:rPr>
          <w:rFonts w:hint="eastAsia" w:ascii="仿宋_GB2312" w:hAnsi="仿宋" w:eastAsia="仿宋_GB2312"/>
          <w:b/>
          <w:color w:val="auto"/>
          <w:sz w:val="28"/>
          <w:szCs w:val="28"/>
        </w:rPr>
        <w:t>（</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bCs/>
          <w:color w:val="auto"/>
          <w:sz w:val="28"/>
          <w:szCs w:val="28"/>
          <w:highlight w:val="none"/>
          <w:lang w:val="en-US" w:eastAsia="zh-CN"/>
        </w:rPr>
        <w:t>7522977</w:t>
      </w:r>
      <w:r>
        <w:rPr>
          <w:rFonts w:hint="eastAsia" w:ascii="仿宋_GB2312" w:hAnsi="仿宋" w:eastAsia="仿宋_GB2312"/>
          <w:b/>
          <w:color w:val="auto"/>
          <w:sz w:val="28"/>
          <w:szCs w:val="28"/>
        </w:rPr>
        <w:t>元）</w:t>
      </w:r>
      <w:r>
        <w:rPr>
          <w:rFonts w:hint="eastAsia" w:ascii="仿宋_GB2312" w:hAnsi="仿宋" w:eastAsia="仿宋_GB2312"/>
          <w:bCs/>
          <w:sz w:val="28"/>
          <w:szCs w:val="28"/>
        </w:rPr>
        <w:t>。</w:t>
      </w:r>
      <w:r>
        <w:rPr>
          <w:rFonts w:hint="eastAsia" w:ascii="仿宋_GB2312" w:hAnsi="仿宋" w:eastAsia="仿宋_GB2312"/>
          <w:b w:val="0"/>
          <w:bCs/>
          <w:sz w:val="28"/>
          <w:szCs w:val="28"/>
          <w:lang w:eastAsia="zh-CN"/>
        </w:rPr>
        <w:t>（详见《估价</w:t>
      </w:r>
      <w:r>
        <w:rPr>
          <w:rFonts w:hint="eastAsia" w:ascii="仿宋_GB2312" w:hAnsi="宋体" w:eastAsia="仿宋_GB2312"/>
          <w:b w:val="0"/>
          <w:bCs/>
          <w:sz w:val="28"/>
          <w:szCs w:val="28"/>
          <w:u w:val="none"/>
        </w:rPr>
        <w:t>结果一览表</w:t>
      </w:r>
      <w:r>
        <w:rPr>
          <w:rFonts w:hint="eastAsia" w:ascii="仿宋_GB2312" w:hAnsi="宋体" w:eastAsia="仿宋_GB2312"/>
          <w:b w:val="0"/>
          <w:bCs/>
          <w:sz w:val="28"/>
          <w:szCs w:val="28"/>
          <w:u w:val="none"/>
          <w:lang w:eastAsia="zh-CN"/>
        </w:rPr>
        <w:t>》</w:t>
      </w:r>
      <w:r>
        <w:rPr>
          <w:rFonts w:hint="eastAsia" w:ascii="仿宋_GB2312" w:hAnsi="仿宋" w:eastAsia="仿宋_GB2312"/>
          <w:b w:val="0"/>
          <w:bCs/>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ind w:right="34" w:firstLine="560" w:firstLineChars="200"/>
        <w:jc w:val="both"/>
        <w:textAlignment w:val="auto"/>
        <w:rPr>
          <w:rFonts w:hint="eastAsia" w:ascii="仿宋_GB2312" w:hAnsi="仿宋" w:eastAsia="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80" w:lineRule="exact"/>
        <w:ind w:firstLine="555"/>
        <w:jc w:val="left"/>
        <w:textAlignment w:val="auto"/>
        <w:rPr>
          <w:rFonts w:hint="eastAsia" w:ascii="仿宋_GB2312" w:hAnsi="宋体" w:eastAsia="仿宋_GB2312"/>
          <w:sz w:val="28"/>
          <w:szCs w:val="28"/>
        </w:rPr>
      </w:pPr>
      <w:r>
        <w:rPr>
          <w:rFonts w:hint="eastAsia" w:ascii="仿宋_GB2312" w:hAnsi="宋体" w:eastAsia="仿宋_GB2312"/>
          <w:sz w:val="28"/>
          <w:szCs w:val="28"/>
          <w:lang w:eastAsia="zh-CN"/>
        </w:rPr>
        <w:t>估价</w:t>
      </w:r>
      <w:r>
        <w:rPr>
          <w:rFonts w:hint="eastAsia" w:ascii="仿宋_GB2312" w:hAnsi="宋体" w:eastAsia="仿宋_GB2312"/>
          <w:sz w:val="28"/>
          <w:szCs w:val="28"/>
        </w:rPr>
        <w:t>的有关情况和相关专业意见，请见附后的</w:t>
      </w:r>
      <w:r>
        <w:rPr>
          <w:rFonts w:hint="eastAsia" w:ascii="仿宋_GB2312" w:hAnsi="宋体" w:eastAsia="仿宋_GB2312"/>
          <w:sz w:val="28"/>
          <w:szCs w:val="28"/>
          <w:lang w:eastAsia="zh-CN"/>
        </w:rPr>
        <w:t>估价</w:t>
      </w:r>
      <w:r>
        <w:rPr>
          <w:rFonts w:hint="eastAsia" w:ascii="仿宋_GB2312" w:hAnsi="宋体" w:eastAsia="仿宋_GB2312"/>
          <w:sz w:val="28"/>
          <w:szCs w:val="28"/>
        </w:rPr>
        <w:t>报告。本</w:t>
      </w:r>
      <w:r>
        <w:rPr>
          <w:rFonts w:hint="eastAsia" w:ascii="仿宋_GB2312" w:hAnsi="宋体" w:eastAsia="仿宋_GB2312"/>
          <w:sz w:val="28"/>
          <w:szCs w:val="28"/>
          <w:lang w:eastAsia="zh-CN"/>
        </w:rPr>
        <w:t>估价</w:t>
      </w:r>
      <w:r>
        <w:rPr>
          <w:rFonts w:hint="eastAsia" w:ascii="仿宋_GB2312" w:hAnsi="宋体" w:eastAsia="仿宋_GB2312"/>
          <w:sz w:val="28"/>
          <w:szCs w:val="28"/>
        </w:rPr>
        <w:t>报告使用期限至</w:t>
      </w:r>
      <w:r>
        <w:rPr>
          <w:rFonts w:hint="eastAsia" w:ascii="仿宋_GB2312" w:hAnsi="宋体" w:eastAsia="仿宋_GB2312"/>
          <w:sz w:val="28"/>
          <w:szCs w:val="28"/>
          <w:lang w:eastAsia="zh-CN"/>
        </w:rPr>
        <w:t>2023年</w:t>
      </w:r>
      <w:r>
        <w:rPr>
          <w:rFonts w:hint="eastAsia" w:ascii="仿宋_GB2312" w:hAnsi="宋体" w:eastAsia="仿宋_GB2312"/>
          <w:sz w:val="28"/>
          <w:szCs w:val="28"/>
          <w:lang w:val="en-US" w:eastAsia="zh-CN"/>
        </w:rPr>
        <w:t>6</w:t>
      </w:r>
      <w:r>
        <w:rPr>
          <w:rFonts w:hint="eastAsia" w:ascii="仿宋_GB2312" w:hAnsi="宋体" w:eastAsia="仿宋_GB2312"/>
          <w:sz w:val="28"/>
          <w:szCs w:val="28"/>
          <w:lang w:eastAsia="zh-CN"/>
        </w:rPr>
        <w:t>月</w:t>
      </w:r>
      <w:r>
        <w:rPr>
          <w:rFonts w:hint="eastAsia" w:ascii="仿宋_GB2312" w:hAnsi="宋体" w:eastAsia="仿宋_GB2312"/>
          <w:sz w:val="28"/>
          <w:szCs w:val="28"/>
          <w:lang w:val="en-US" w:eastAsia="zh-CN"/>
        </w:rPr>
        <w:t>6</w:t>
      </w:r>
      <w:r>
        <w:rPr>
          <w:rFonts w:hint="eastAsia" w:ascii="仿宋_GB2312" w:hAnsi="宋体" w:eastAsia="仿宋_GB2312"/>
          <w:sz w:val="28"/>
          <w:szCs w:val="28"/>
          <w:lang w:eastAsia="zh-CN"/>
        </w:rPr>
        <w:t>日</w:t>
      </w:r>
      <w:r>
        <w:rPr>
          <w:rFonts w:hint="eastAsia" w:ascii="仿宋_GB2312" w:hAnsi="宋体" w:eastAsia="仿宋_GB2312"/>
          <w:sz w:val="28"/>
          <w:szCs w:val="28"/>
        </w:rPr>
        <w:t>止。另请关注本</w:t>
      </w:r>
      <w:r>
        <w:rPr>
          <w:rFonts w:hint="eastAsia" w:ascii="仿宋_GB2312" w:hAnsi="宋体" w:eastAsia="仿宋_GB2312"/>
          <w:sz w:val="28"/>
          <w:szCs w:val="28"/>
          <w:lang w:eastAsia="zh-CN"/>
        </w:rPr>
        <w:t>估价</w:t>
      </w:r>
      <w:r>
        <w:rPr>
          <w:rFonts w:hint="eastAsia" w:ascii="仿宋_GB2312" w:hAnsi="宋体" w:eastAsia="仿宋_GB2312"/>
          <w:sz w:val="28"/>
          <w:szCs w:val="28"/>
        </w:rPr>
        <w:t>报告中的价值内涵和</w:t>
      </w:r>
      <w:r>
        <w:rPr>
          <w:rFonts w:hint="eastAsia" w:ascii="仿宋_GB2312" w:hAnsi="宋体" w:eastAsia="仿宋_GB2312"/>
          <w:sz w:val="28"/>
          <w:szCs w:val="28"/>
          <w:lang w:eastAsia="zh-CN"/>
        </w:rPr>
        <w:t>估价</w:t>
      </w:r>
      <w:r>
        <w:rPr>
          <w:rFonts w:hint="eastAsia" w:ascii="仿宋_GB2312" w:hAnsi="宋体" w:eastAsia="仿宋_GB2312"/>
          <w:sz w:val="28"/>
          <w:szCs w:val="28"/>
        </w:rPr>
        <w:t>的假设及限制条件。</w:t>
      </w:r>
    </w:p>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eastAsia" w:ascii="仿宋_GB2312" w:hAnsi="宋体" w:eastAsia="仿宋_GB2312"/>
          <w:sz w:val="28"/>
          <w:szCs w:val="28"/>
        </w:rPr>
      </w:pPr>
      <w:r>
        <w:rPr>
          <w:rFonts w:hint="eastAsia" w:ascii="仿宋_GB2312" w:hAnsi="宋体" w:eastAsia="仿宋_GB2312"/>
          <w:sz w:val="28"/>
          <w:szCs w:val="28"/>
        </w:rPr>
        <w:t xml:space="preserve">    此致！ </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lang w:eastAsia="zh-CN"/>
        </w:rPr>
        <w:t>估价</w:t>
      </w:r>
      <w:r>
        <w:rPr>
          <w:rFonts w:hint="eastAsia" w:ascii="仿宋_GB2312" w:hAnsi="宋体" w:eastAsia="仿宋_GB2312"/>
          <w:sz w:val="28"/>
          <w:szCs w:val="28"/>
        </w:rPr>
        <w:t>机构法定代表人签章：</w:t>
      </w:r>
    </w:p>
    <w:p>
      <w:pPr>
        <w:keepNext w:val="0"/>
        <w:keepLines w:val="0"/>
        <w:pageBreakBefore w:val="0"/>
        <w:widowControl w:val="0"/>
        <w:kinsoku/>
        <w:wordWrap/>
        <w:overflowPunct/>
        <w:topLinePunct w:val="0"/>
        <w:autoSpaceDE/>
        <w:autoSpaceDN/>
        <w:bidi w:val="0"/>
        <w:adjustRightInd w:val="0"/>
        <w:snapToGrid w:val="0"/>
        <w:spacing w:line="380" w:lineRule="exact"/>
        <w:jc w:val="right"/>
        <w:textAlignment w:val="auto"/>
        <w:rPr>
          <w:rFonts w:hint="eastAsia" w:ascii="仿宋_GB2312" w:hAnsi="宋体" w:eastAsia="仿宋_GB2312"/>
          <w:sz w:val="28"/>
          <w:szCs w:val="28"/>
          <w:lang w:eastAsia="zh-CN"/>
        </w:rPr>
      </w:pPr>
      <w:r>
        <w:rPr>
          <w:rFonts w:hint="eastAsia" w:ascii="仿宋_GB2312" w:hAnsi="宋体" w:eastAsia="仿宋_GB2312"/>
          <w:sz w:val="28"/>
          <w:szCs w:val="28"/>
        </w:rPr>
        <w:t xml:space="preserve">                       </w:t>
      </w:r>
      <w:r>
        <w:rPr>
          <w:rFonts w:hint="eastAsia" w:ascii="仿宋_GB2312" w:hAnsi="宋体" w:eastAsia="仿宋_GB2312"/>
          <w:sz w:val="28"/>
          <w:szCs w:val="28"/>
          <w:lang w:eastAsia="zh-CN"/>
        </w:rPr>
        <w:t>江西万恒房地产资产评估咨询有限公司</w:t>
      </w:r>
    </w:p>
    <w:p>
      <w:pPr>
        <w:keepNext w:val="0"/>
        <w:keepLines w:val="0"/>
        <w:pageBreakBefore w:val="0"/>
        <w:widowControl w:val="0"/>
        <w:kinsoku/>
        <w:wordWrap/>
        <w:overflowPunct/>
        <w:topLinePunct w:val="0"/>
        <w:autoSpaceDE/>
        <w:autoSpaceDN/>
        <w:bidi w:val="0"/>
        <w:adjustRightInd w:val="0"/>
        <w:snapToGrid w:val="0"/>
        <w:spacing w:line="380" w:lineRule="exact"/>
        <w:jc w:val="right"/>
        <w:textAlignment w:val="auto"/>
        <w:rPr>
          <w:rFonts w:hint="eastAsia" w:ascii="仿宋_GB2312" w:hAnsi="宋体" w:eastAsia="仿宋_GB2312"/>
          <w:sz w:val="28"/>
          <w:szCs w:val="28"/>
        </w:rPr>
      </w:pPr>
      <w:r>
        <w:rPr>
          <w:rFonts w:hint="eastAsia" w:ascii="仿宋_GB2312" w:hAnsi="宋体" w:eastAsia="仿宋_GB2312"/>
          <w:sz w:val="28"/>
          <w:szCs w:val="28"/>
        </w:rPr>
        <w:t>（机构公章）</w:t>
      </w:r>
    </w:p>
    <w:p>
      <w:pPr>
        <w:keepNext w:val="0"/>
        <w:keepLines w:val="0"/>
        <w:pageBreakBefore w:val="0"/>
        <w:widowControl w:val="0"/>
        <w:tabs>
          <w:tab w:val="left" w:pos="315"/>
        </w:tabs>
        <w:kinsoku/>
        <w:wordWrap/>
        <w:overflowPunct/>
        <w:topLinePunct w:val="0"/>
        <w:autoSpaceDE/>
        <w:autoSpaceDN/>
        <w:bidi w:val="0"/>
        <w:adjustRightInd w:val="0"/>
        <w:snapToGrid w:val="0"/>
        <w:spacing w:line="380" w:lineRule="exact"/>
        <w:ind w:firstLine="280" w:firstLineChars="100"/>
        <w:jc w:val="right"/>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2022年6月7日</w:t>
      </w: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380" w:lineRule="exact"/>
        <w:ind w:right="34" w:firstLine="602" w:firstLineChars="200"/>
        <w:jc w:val="center"/>
        <w:textAlignment w:val="auto"/>
        <w:rPr>
          <w:rFonts w:hint="eastAsia" w:ascii="仿宋_GB2312" w:hAnsi="宋体" w:eastAsia="仿宋_GB2312"/>
          <w:b/>
          <w:sz w:val="30"/>
          <w:szCs w:val="30"/>
          <w:u w:val="none"/>
          <w:lang w:eastAsia="zh-CN"/>
        </w:rPr>
      </w:pPr>
      <w:r>
        <w:rPr>
          <w:rFonts w:hint="eastAsia" w:ascii="仿宋" w:hAnsi="仿宋" w:eastAsia="仿宋" w:cs="仿宋"/>
          <w:b/>
          <w:sz w:val="30"/>
          <w:szCs w:val="30"/>
          <w:u w:val="dotted"/>
        </w:rPr>
        <w:t>估价</w:t>
      </w:r>
      <w:r>
        <w:rPr>
          <w:rFonts w:hint="eastAsia" w:ascii="仿宋" w:hAnsi="仿宋" w:eastAsia="仿宋" w:cs="仿宋"/>
          <w:b/>
          <w:sz w:val="30"/>
          <w:szCs w:val="30"/>
          <w:u w:val="dotted"/>
          <w:lang w:eastAsia="zh-CN"/>
        </w:rPr>
        <w:t>结果一览表</w:t>
      </w:r>
    </w:p>
    <w:tbl>
      <w:tblPr>
        <w:tblStyle w:val="12"/>
        <w:tblW w:w="103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0"/>
        <w:gridCol w:w="1012"/>
        <w:gridCol w:w="1246"/>
        <w:gridCol w:w="1695"/>
        <w:gridCol w:w="975"/>
        <w:gridCol w:w="648"/>
        <w:gridCol w:w="575"/>
        <w:gridCol w:w="865"/>
        <w:gridCol w:w="926"/>
        <w:gridCol w:w="890"/>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0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《不动产权证书》编号</w:t>
            </w:r>
          </w:p>
        </w:tc>
        <w:tc>
          <w:tcPr>
            <w:tcW w:w="124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权利人</w:t>
            </w:r>
          </w:p>
        </w:tc>
        <w:tc>
          <w:tcPr>
            <w:tcW w:w="169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地址</w:t>
            </w:r>
          </w:p>
        </w:tc>
        <w:tc>
          <w:tcPr>
            <w:tcW w:w="97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房号</w:t>
            </w:r>
          </w:p>
        </w:tc>
        <w:tc>
          <w:tcPr>
            <w:tcW w:w="64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结构</w:t>
            </w:r>
          </w:p>
        </w:tc>
        <w:tc>
          <w:tcPr>
            <w:tcW w:w="5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用途</w:t>
            </w:r>
          </w:p>
        </w:tc>
        <w:tc>
          <w:tcPr>
            <w:tcW w:w="8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评估层/总楼层</w:t>
            </w:r>
          </w:p>
        </w:tc>
        <w:tc>
          <w:tcPr>
            <w:tcW w:w="92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建筑面积（㎡）</w:t>
            </w:r>
          </w:p>
        </w:tc>
        <w:tc>
          <w:tcPr>
            <w:tcW w:w="89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评估单价（元/㎡）</w:t>
            </w:r>
          </w:p>
        </w:tc>
        <w:tc>
          <w:tcPr>
            <w:tcW w:w="102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评估总价(元）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1栋1单元401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144.84</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1栋1单元402</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144.84</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1栋1单元301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144.84</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5栋1单元301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145.19</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268601.5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5栋1单元302</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142.83</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264235.5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5栋1单元401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145.19</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268601.5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5栋1单元402</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142.83</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264235.5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5栋1单元501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145.19</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268601.5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5栋1单元502</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142.83</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264235.5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5栋3单元301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142.83</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264235.5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5栋3单元401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142.83</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264235.5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5栋3单元402</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145.73</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269600.5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5栋3单元501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142.83</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264235.5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5栋3单元502</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145.73</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269600.5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4栋1单元301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141.47</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261719.5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4栋1单元302</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4栋1单元401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141.47</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261719.5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4栋1单元402</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4栋1单元501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141.47</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261719.5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4栋1单元502</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4栋3单元301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4栋3单元302</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140.02</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4栋3单元401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4栋3单元402</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140.02</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4栋3单元501</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4栋3单元502</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140.02</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4栋137</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商铺</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44.41</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4栋138</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商铺</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59.19</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4栋139</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商铺</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56.63</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1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16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9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4栋140</w:t>
            </w:r>
          </w:p>
        </w:tc>
        <w:tc>
          <w:tcPr>
            <w:tcW w:w="6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商铺</w:t>
            </w:r>
          </w:p>
        </w:tc>
        <w:tc>
          <w:tcPr>
            <w:tcW w:w="8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26"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61.48</w:t>
            </w:r>
          </w:p>
        </w:tc>
        <w:tc>
          <w:tcPr>
            <w:tcW w:w="8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w:t>
            </w:r>
          </w:p>
        </w:tc>
        <w:tc>
          <w:tcPr>
            <w:tcW w:w="102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jc w:val="center"/>
        </w:trPr>
        <w:tc>
          <w:tcPr>
            <w:tcW w:w="7516" w:type="dxa"/>
            <w:gridSpan w:val="8"/>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2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3916.67</w:t>
            </w:r>
          </w:p>
        </w:tc>
        <w:tc>
          <w:tcPr>
            <w:tcW w:w="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102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7522977</w:t>
            </w:r>
          </w:p>
        </w:tc>
      </w:tr>
    </w:tbl>
    <w:p>
      <w:pPr>
        <w:keepNext w:val="0"/>
        <w:keepLines w:val="0"/>
        <w:pageBreakBefore w:val="0"/>
        <w:widowControl w:val="0"/>
        <w:kinsoku/>
        <w:wordWrap/>
        <w:overflowPunct/>
        <w:topLinePunct w:val="0"/>
        <w:autoSpaceDE/>
        <w:autoSpaceDN/>
        <w:bidi w:val="0"/>
        <w:adjustRightInd/>
        <w:snapToGrid/>
        <w:spacing w:line="380" w:lineRule="exact"/>
        <w:ind w:right="34" w:firstLine="562" w:firstLineChars="200"/>
        <w:jc w:val="center"/>
        <w:textAlignment w:val="auto"/>
        <w:rPr>
          <w:rFonts w:hint="eastAsia" w:ascii="仿宋_GB2312" w:hAnsi="宋体" w:eastAsia="仿宋_GB2312"/>
          <w:b/>
          <w:sz w:val="28"/>
          <w:szCs w:val="28"/>
          <w:u w:val="none"/>
          <w:lang w:eastAsia="zh-CN"/>
        </w:rPr>
        <w:sectPr>
          <w:footerReference r:id="rId6" w:type="first"/>
          <w:footerReference r:id="rId5" w:type="default"/>
          <w:pgSz w:w="11906" w:h="16838"/>
          <w:pgMar w:top="1714" w:right="1531" w:bottom="1091" w:left="1797" w:header="964" w:footer="936" w:gutter="0"/>
          <w:pgBorders>
            <w:top w:val="none" w:sz="0" w:space="0"/>
            <w:left w:val="none" w:sz="0" w:space="0"/>
            <w:bottom w:val="none" w:sz="0" w:space="0"/>
            <w:right w:val="none" w:sz="0" w:space="0"/>
          </w:pgBorders>
          <w:pgNumType w:fmt="decimal" w:start="2"/>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afterLines="-2147483648" w:line="400" w:lineRule="exact"/>
        <w:ind w:firstLine="643" w:firstLineChars="200"/>
        <w:jc w:val="center"/>
        <w:textAlignment w:val="auto"/>
        <w:rPr>
          <w:rFonts w:hint="eastAsia" w:ascii="仿宋_GB2312" w:hAnsi="宋体" w:eastAsia="仿宋_GB2312"/>
          <w:b/>
          <w:color w:val="000000"/>
          <w:sz w:val="44"/>
          <w:szCs w:val="44"/>
        </w:rPr>
      </w:pPr>
      <w:r>
        <w:rPr>
          <w:rFonts w:hint="eastAsia" w:ascii="仿宋_GB2312" w:hAnsi="宋体" w:eastAsia="仿宋_GB2312"/>
          <w:b/>
          <w:color w:val="000000"/>
          <w:sz w:val="32"/>
          <w:szCs w:val="32"/>
        </w:rPr>
        <w:t>目       录</w:t>
      </w:r>
    </w:p>
    <w:p>
      <w:pPr>
        <w:pStyle w:val="9"/>
        <w:tabs>
          <w:tab w:val="right" w:leader="dot" w:pos="8578"/>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"1-2" \h \z \u </w:instrText>
      </w:r>
      <w:r>
        <w:rPr>
          <w:rFonts w:hint="eastAsia" w:ascii="仿宋" w:hAnsi="仿宋" w:eastAsia="仿宋" w:cs="仿宋"/>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_Toc30289 </w:instrText>
      </w:r>
      <w:r>
        <w:rPr>
          <w:rFonts w:hint="eastAsia" w:ascii="仿宋" w:hAnsi="仿宋" w:eastAsia="仿宋" w:cs="仿宋"/>
          <w:sz w:val="24"/>
          <w:szCs w:val="24"/>
        </w:rPr>
        <w:fldChar w:fldCharType="separate"/>
      </w:r>
      <w:r>
        <w:rPr>
          <w:rFonts w:hint="eastAsia" w:ascii="仿宋" w:hAnsi="仿宋" w:eastAsia="仿宋" w:cs="仿宋"/>
          <w:sz w:val="24"/>
          <w:szCs w:val="24"/>
        </w:rPr>
        <w:t>一、声明</w:t>
      </w:r>
      <w:r>
        <w:rPr>
          <w:rFonts w:hint="eastAsia" w:ascii="仿宋" w:hAnsi="仿宋" w:eastAsia="仿宋" w:cs="仿宋"/>
          <w:sz w:val="24"/>
          <w:szCs w:val="24"/>
        </w:rPr>
        <w:tab/>
      </w:r>
      <w:r>
        <w:rPr>
          <w:rFonts w:hint="eastAsia" w:ascii="仿宋" w:hAnsi="仿宋" w:eastAsia="仿宋" w:cs="仿宋"/>
          <w:sz w:val="24"/>
          <w:szCs w:val="24"/>
          <w:lang w:val="en-US" w:eastAsia="zh-CN"/>
        </w:rPr>
        <w:t>7</w:t>
      </w:r>
      <w:r>
        <w:rPr>
          <w:rFonts w:hint="eastAsia" w:ascii="仿宋" w:hAnsi="仿宋" w:eastAsia="仿宋" w:cs="仿宋"/>
          <w:sz w:val="24"/>
          <w:szCs w:val="24"/>
        </w:rPr>
        <w:fldChar w:fldCharType="end"/>
      </w:r>
    </w:p>
    <w:p>
      <w:pPr>
        <w:pStyle w:val="9"/>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_Toc1309 </w:instrText>
      </w:r>
      <w:r>
        <w:rPr>
          <w:rFonts w:hint="eastAsia" w:ascii="仿宋" w:hAnsi="仿宋" w:eastAsia="仿宋" w:cs="仿宋"/>
          <w:sz w:val="24"/>
          <w:szCs w:val="24"/>
        </w:rPr>
        <w:fldChar w:fldCharType="separate"/>
      </w:r>
      <w:r>
        <w:rPr>
          <w:rFonts w:hint="eastAsia" w:ascii="仿宋" w:hAnsi="仿宋" w:eastAsia="仿宋" w:cs="仿宋"/>
          <w:sz w:val="24"/>
          <w:szCs w:val="24"/>
        </w:rPr>
        <w:t>二、</w:t>
      </w:r>
      <w:r>
        <w:rPr>
          <w:rFonts w:hint="eastAsia" w:ascii="仿宋" w:hAnsi="仿宋" w:eastAsia="仿宋" w:cs="仿宋"/>
          <w:sz w:val="24"/>
          <w:szCs w:val="24"/>
          <w:lang w:eastAsia="zh-CN"/>
        </w:rPr>
        <w:t>估价</w:t>
      </w:r>
      <w:r>
        <w:rPr>
          <w:rFonts w:hint="eastAsia" w:ascii="仿宋" w:hAnsi="仿宋" w:eastAsia="仿宋" w:cs="仿宋"/>
          <w:sz w:val="24"/>
          <w:szCs w:val="24"/>
        </w:rPr>
        <w:t>的假设和限制条件</w:t>
      </w:r>
      <w:r>
        <w:rPr>
          <w:rFonts w:hint="eastAsia" w:ascii="仿宋" w:hAnsi="仿宋" w:eastAsia="仿宋" w:cs="仿宋"/>
          <w:sz w:val="24"/>
          <w:szCs w:val="24"/>
        </w:rPr>
        <w:tab/>
      </w:r>
      <w:r>
        <w:rPr>
          <w:rFonts w:hint="eastAsia" w:ascii="仿宋" w:hAnsi="仿宋" w:eastAsia="仿宋" w:cs="仿宋"/>
          <w:sz w:val="24"/>
          <w:szCs w:val="24"/>
          <w:lang w:val="en-US" w:eastAsia="zh-CN"/>
        </w:rPr>
        <w:t>8</w:t>
      </w:r>
      <w:r>
        <w:rPr>
          <w:rFonts w:hint="eastAsia" w:ascii="仿宋" w:hAnsi="仿宋" w:eastAsia="仿宋" w:cs="仿宋"/>
          <w:sz w:val="24"/>
          <w:szCs w:val="24"/>
        </w:rPr>
        <w:fldChar w:fldCharType="end"/>
      </w:r>
    </w:p>
    <w:p>
      <w:pPr>
        <w:pStyle w:val="9"/>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_Toc561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三、</w:t>
      </w:r>
      <w:r>
        <w:rPr>
          <w:rFonts w:hint="eastAsia" w:ascii="仿宋" w:hAnsi="仿宋" w:eastAsia="仿宋" w:cs="仿宋"/>
          <w:bCs w:val="0"/>
          <w:sz w:val="24"/>
          <w:szCs w:val="24"/>
          <w:lang w:eastAsia="zh-CN"/>
        </w:rPr>
        <w:t>估价</w:t>
      </w:r>
      <w:r>
        <w:rPr>
          <w:rFonts w:hint="eastAsia" w:ascii="仿宋" w:hAnsi="仿宋" w:eastAsia="仿宋" w:cs="仿宋"/>
          <w:bCs w:val="0"/>
          <w:sz w:val="24"/>
          <w:szCs w:val="24"/>
        </w:rPr>
        <w:t>结果报告</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_Toc3578 </w:instrText>
      </w:r>
      <w:r>
        <w:rPr>
          <w:rFonts w:hint="eastAsia" w:ascii="仿宋" w:hAnsi="仿宋" w:eastAsia="仿宋" w:cs="仿宋"/>
          <w:sz w:val="24"/>
          <w:szCs w:val="24"/>
        </w:rPr>
        <w:fldChar w:fldCharType="separate"/>
      </w:r>
      <w:r>
        <w:rPr>
          <w:rFonts w:hint="eastAsia" w:ascii="仿宋" w:hAnsi="仿宋" w:eastAsia="仿宋" w:cs="仿宋"/>
          <w:sz w:val="24"/>
          <w:szCs w:val="24"/>
        </w:rPr>
        <w:t>（一）</w:t>
      </w:r>
      <w:r>
        <w:rPr>
          <w:rFonts w:hint="eastAsia" w:ascii="仿宋" w:hAnsi="仿宋" w:eastAsia="仿宋" w:cs="仿宋"/>
          <w:sz w:val="24"/>
          <w:szCs w:val="24"/>
          <w:lang w:eastAsia="zh-CN"/>
        </w:rPr>
        <w:t>估价委托人</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11</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_Toc9024 </w:instrText>
      </w:r>
      <w:r>
        <w:rPr>
          <w:rFonts w:hint="eastAsia" w:ascii="仿宋" w:hAnsi="仿宋" w:eastAsia="仿宋" w:cs="仿宋"/>
          <w:sz w:val="24"/>
          <w:szCs w:val="24"/>
        </w:rPr>
        <w:fldChar w:fldCharType="separate"/>
      </w:r>
      <w:r>
        <w:rPr>
          <w:rFonts w:hint="eastAsia" w:ascii="仿宋" w:hAnsi="仿宋" w:eastAsia="仿宋" w:cs="仿宋"/>
          <w:sz w:val="24"/>
          <w:szCs w:val="24"/>
        </w:rPr>
        <w:t>（二）</w:t>
      </w:r>
      <w:r>
        <w:rPr>
          <w:rFonts w:hint="eastAsia" w:ascii="仿宋" w:hAnsi="仿宋" w:eastAsia="仿宋" w:cs="仿宋"/>
          <w:sz w:val="24"/>
          <w:szCs w:val="24"/>
          <w:lang w:eastAsia="zh-CN"/>
        </w:rPr>
        <w:t>估价</w:t>
      </w:r>
      <w:r>
        <w:rPr>
          <w:rFonts w:hint="eastAsia" w:ascii="仿宋" w:hAnsi="仿宋" w:eastAsia="仿宋" w:cs="仿宋"/>
          <w:sz w:val="24"/>
          <w:szCs w:val="24"/>
        </w:rPr>
        <w:t>方</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11</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_Toc13433 </w:instrText>
      </w:r>
      <w:r>
        <w:rPr>
          <w:rFonts w:hint="eastAsia" w:ascii="仿宋" w:hAnsi="仿宋" w:eastAsia="仿宋" w:cs="仿宋"/>
          <w:sz w:val="24"/>
          <w:szCs w:val="24"/>
        </w:rPr>
        <w:fldChar w:fldCharType="separate"/>
      </w:r>
      <w:r>
        <w:rPr>
          <w:rFonts w:hint="eastAsia" w:ascii="仿宋" w:hAnsi="仿宋" w:eastAsia="仿宋" w:cs="仿宋"/>
          <w:sz w:val="24"/>
          <w:szCs w:val="24"/>
        </w:rPr>
        <w:t>（三）</w:t>
      </w:r>
      <w:r>
        <w:rPr>
          <w:rFonts w:hint="eastAsia" w:ascii="仿宋" w:hAnsi="仿宋" w:eastAsia="仿宋" w:cs="仿宋"/>
          <w:sz w:val="24"/>
          <w:szCs w:val="24"/>
          <w:lang w:eastAsia="zh-CN"/>
        </w:rPr>
        <w:t>估价目的</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11</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_Toc23776 </w:instrText>
      </w:r>
      <w:r>
        <w:rPr>
          <w:rFonts w:hint="eastAsia" w:ascii="仿宋" w:hAnsi="仿宋" w:eastAsia="仿宋" w:cs="仿宋"/>
          <w:sz w:val="24"/>
          <w:szCs w:val="24"/>
        </w:rPr>
        <w:fldChar w:fldCharType="separate"/>
      </w:r>
      <w:r>
        <w:rPr>
          <w:rFonts w:hint="eastAsia" w:ascii="仿宋" w:hAnsi="仿宋" w:eastAsia="仿宋" w:cs="仿宋"/>
          <w:sz w:val="24"/>
          <w:szCs w:val="24"/>
        </w:rPr>
        <w:t>（四）</w:t>
      </w:r>
      <w:r>
        <w:rPr>
          <w:rFonts w:hint="eastAsia" w:ascii="仿宋" w:hAnsi="仿宋" w:eastAsia="仿宋" w:cs="仿宋"/>
          <w:sz w:val="24"/>
          <w:szCs w:val="24"/>
          <w:lang w:eastAsia="zh-CN"/>
        </w:rPr>
        <w:t>估价对象</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11</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_Toc8676 </w:instrText>
      </w:r>
      <w:r>
        <w:rPr>
          <w:rFonts w:hint="eastAsia" w:ascii="仿宋" w:hAnsi="仿宋" w:eastAsia="仿宋" w:cs="仿宋"/>
          <w:sz w:val="24"/>
          <w:szCs w:val="24"/>
        </w:rPr>
        <w:fldChar w:fldCharType="separate"/>
      </w:r>
      <w:r>
        <w:rPr>
          <w:rFonts w:hint="eastAsia" w:ascii="仿宋" w:hAnsi="仿宋" w:eastAsia="仿宋" w:cs="仿宋"/>
          <w:sz w:val="24"/>
          <w:szCs w:val="24"/>
        </w:rPr>
        <w:t>（五）价值时点</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14</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_Toc24794 </w:instrText>
      </w:r>
      <w:r>
        <w:rPr>
          <w:rFonts w:hint="eastAsia" w:ascii="仿宋" w:hAnsi="仿宋" w:eastAsia="仿宋" w:cs="仿宋"/>
          <w:sz w:val="24"/>
          <w:szCs w:val="24"/>
        </w:rPr>
        <w:fldChar w:fldCharType="separate"/>
      </w:r>
      <w:r>
        <w:rPr>
          <w:rFonts w:hint="eastAsia" w:ascii="仿宋" w:hAnsi="仿宋" w:eastAsia="仿宋" w:cs="仿宋"/>
          <w:sz w:val="24"/>
          <w:szCs w:val="24"/>
        </w:rPr>
        <w:t>（六）价值</w:t>
      </w:r>
      <w:r>
        <w:rPr>
          <w:rFonts w:hint="eastAsia" w:ascii="仿宋" w:hAnsi="仿宋" w:eastAsia="仿宋" w:cs="仿宋"/>
          <w:sz w:val="24"/>
          <w:szCs w:val="24"/>
          <w:lang w:eastAsia="zh-CN"/>
        </w:rPr>
        <w:t>类型</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15</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_Toc24551 </w:instrText>
      </w:r>
      <w:r>
        <w:rPr>
          <w:rFonts w:hint="eastAsia" w:ascii="仿宋" w:hAnsi="仿宋" w:eastAsia="仿宋" w:cs="仿宋"/>
          <w:sz w:val="24"/>
          <w:szCs w:val="24"/>
        </w:rPr>
        <w:fldChar w:fldCharType="separate"/>
      </w:r>
      <w:r>
        <w:rPr>
          <w:rFonts w:hint="eastAsia" w:ascii="仿宋" w:hAnsi="仿宋" w:eastAsia="仿宋" w:cs="仿宋"/>
          <w:sz w:val="24"/>
          <w:szCs w:val="24"/>
        </w:rPr>
        <w:t>（七）</w:t>
      </w:r>
      <w:r>
        <w:rPr>
          <w:rFonts w:hint="eastAsia" w:ascii="仿宋" w:hAnsi="仿宋" w:eastAsia="仿宋" w:cs="仿宋"/>
          <w:sz w:val="24"/>
          <w:szCs w:val="24"/>
          <w:lang w:eastAsia="zh-CN"/>
        </w:rPr>
        <w:t>估价</w:t>
      </w:r>
      <w:r>
        <w:rPr>
          <w:rFonts w:hint="eastAsia" w:ascii="仿宋" w:hAnsi="仿宋" w:eastAsia="仿宋" w:cs="仿宋"/>
          <w:sz w:val="24"/>
          <w:szCs w:val="24"/>
        </w:rPr>
        <w:t>依据</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15</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_Toc15655 </w:instrText>
      </w:r>
      <w:r>
        <w:rPr>
          <w:rFonts w:hint="eastAsia" w:ascii="仿宋" w:hAnsi="仿宋" w:eastAsia="仿宋" w:cs="仿宋"/>
          <w:sz w:val="24"/>
          <w:szCs w:val="24"/>
        </w:rPr>
        <w:fldChar w:fldCharType="separate"/>
      </w:r>
      <w:r>
        <w:rPr>
          <w:rFonts w:hint="eastAsia" w:ascii="仿宋" w:hAnsi="仿宋" w:eastAsia="仿宋" w:cs="仿宋"/>
          <w:sz w:val="24"/>
          <w:szCs w:val="24"/>
        </w:rPr>
        <w:t>（八）</w:t>
      </w:r>
      <w:r>
        <w:rPr>
          <w:rFonts w:hint="eastAsia" w:ascii="仿宋" w:hAnsi="仿宋" w:eastAsia="仿宋" w:cs="仿宋"/>
          <w:sz w:val="24"/>
          <w:szCs w:val="24"/>
          <w:lang w:eastAsia="zh-CN"/>
        </w:rPr>
        <w:t>估价原则</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16</w:t>
      </w:r>
    </w:p>
    <w:p>
      <w:pPr>
        <w:pStyle w:val="10"/>
        <w:tabs>
          <w:tab w:val="right" w:leader="dot" w:pos="8578"/>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_Toc11171 </w:instrText>
      </w:r>
      <w:r>
        <w:rPr>
          <w:rFonts w:hint="eastAsia" w:ascii="仿宋" w:hAnsi="仿宋" w:eastAsia="仿宋" w:cs="仿宋"/>
          <w:sz w:val="24"/>
          <w:szCs w:val="24"/>
        </w:rPr>
        <w:fldChar w:fldCharType="separate"/>
      </w:r>
      <w:r>
        <w:rPr>
          <w:rFonts w:hint="eastAsia" w:ascii="仿宋" w:hAnsi="仿宋" w:eastAsia="仿宋" w:cs="仿宋"/>
          <w:sz w:val="24"/>
          <w:szCs w:val="24"/>
        </w:rPr>
        <w:t>（九）</w:t>
      </w:r>
      <w:r>
        <w:rPr>
          <w:rFonts w:hint="eastAsia" w:ascii="仿宋" w:hAnsi="仿宋" w:eastAsia="仿宋" w:cs="仿宋"/>
          <w:sz w:val="24"/>
          <w:szCs w:val="24"/>
          <w:lang w:eastAsia="zh-CN"/>
        </w:rPr>
        <w:t>估价</w:t>
      </w:r>
      <w:r>
        <w:rPr>
          <w:rFonts w:hint="eastAsia" w:ascii="仿宋" w:hAnsi="仿宋" w:eastAsia="仿宋" w:cs="仿宋"/>
          <w:sz w:val="24"/>
          <w:szCs w:val="24"/>
        </w:rPr>
        <w:t>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_Toc11171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_Toc19755 </w:instrText>
      </w:r>
      <w:r>
        <w:rPr>
          <w:rFonts w:hint="eastAsia" w:ascii="仿宋" w:hAnsi="仿宋" w:eastAsia="仿宋" w:cs="仿宋"/>
          <w:sz w:val="24"/>
          <w:szCs w:val="24"/>
        </w:rPr>
        <w:fldChar w:fldCharType="separate"/>
      </w:r>
      <w:r>
        <w:rPr>
          <w:rFonts w:hint="eastAsia" w:ascii="仿宋" w:hAnsi="仿宋" w:eastAsia="仿宋" w:cs="仿宋"/>
          <w:sz w:val="24"/>
          <w:szCs w:val="24"/>
        </w:rPr>
        <w:t>（十）</w:t>
      </w:r>
      <w:r>
        <w:rPr>
          <w:rFonts w:hint="eastAsia" w:ascii="仿宋" w:hAnsi="仿宋" w:eastAsia="仿宋" w:cs="仿宋"/>
          <w:sz w:val="24"/>
          <w:szCs w:val="24"/>
          <w:lang w:eastAsia="zh-CN"/>
        </w:rPr>
        <w:t>估价</w:t>
      </w:r>
      <w:r>
        <w:rPr>
          <w:rFonts w:hint="eastAsia" w:ascii="仿宋" w:hAnsi="仿宋" w:eastAsia="仿宋" w:cs="仿宋"/>
          <w:sz w:val="24"/>
          <w:szCs w:val="24"/>
        </w:rPr>
        <w:t>结果</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8</w:t>
      </w:r>
    </w:p>
    <w:p>
      <w:pPr>
        <w:pStyle w:val="10"/>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_Toc25231 </w:instrText>
      </w:r>
      <w:r>
        <w:rPr>
          <w:rFonts w:hint="eastAsia" w:ascii="仿宋" w:hAnsi="仿宋" w:eastAsia="仿宋" w:cs="仿宋"/>
          <w:sz w:val="24"/>
          <w:szCs w:val="24"/>
        </w:rPr>
        <w:fldChar w:fldCharType="separate"/>
      </w:r>
      <w:r>
        <w:rPr>
          <w:rFonts w:hint="eastAsia" w:ascii="仿宋" w:hAnsi="仿宋" w:eastAsia="仿宋" w:cs="仿宋"/>
          <w:sz w:val="24"/>
          <w:szCs w:val="24"/>
        </w:rPr>
        <w:t>（十</w:t>
      </w:r>
      <w:r>
        <w:rPr>
          <w:rFonts w:hint="eastAsia" w:ascii="仿宋" w:hAnsi="仿宋" w:eastAsia="仿宋" w:cs="仿宋"/>
          <w:sz w:val="24"/>
          <w:szCs w:val="24"/>
          <w:lang w:eastAsia="zh-CN"/>
        </w:rPr>
        <w:t>一</w:t>
      </w:r>
      <w:r>
        <w:rPr>
          <w:rFonts w:hint="eastAsia" w:ascii="仿宋" w:hAnsi="仿宋" w:eastAsia="仿宋" w:cs="仿宋"/>
          <w:sz w:val="24"/>
          <w:szCs w:val="24"/>
        </w:rPr>
        <w:t>）注册房地产估价师</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8</w:t>
      </w:r>
    </w:p>
    <w:p>
      <w:pPr>
        <w:pStyle w:val="10"/>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_Toc25231 </w:instrText>
      </w:r>
      <w:r>
        <w:rPr>
          <w:rFonts w:hint="eastAsia" w:ascii="仿宋" w:hAnsi="仿宋" w:eastAsia="仿宋" w:cs="仿宋"/>
          <w:sz w:val="24"/>
          <w:szCs w:val="24"/>
        </w:rPr>
        <w:fldChar w:fldCharType="separate"/>
      </w:r>
      <w:r>
        <w:rPr>
          <w:rFonts w:hint="eastAsia" w:ascii="仿宋" w:hAnsi="仿宋" w:eastAsia="仿宋" w:cs="仿宋"/>
          <w:sz w:val="24"/>
          <w:szCs w:val="24"/>
        </w:rPr>
        <w:t>（十</w:t>
      </w:r>
      <w:r>
        <w:rPr>
          <w:rFonts w:hint="eastAsia" w:ascii="仿宋" w:hAnsi="仿宋" w:eastAsia="仿宋" w:cs="仿宋"/>
          <w:sz w:val="24"/>
          <w:szCs w:val="24"/>
          <w:lang w:eastAsia="zh-CN"/>
        </w:rPr>
        <w:t>二</w:t>
      </w:r>
      <w:r>
        <w:rPr>
          <w:rFonts w:hint="eastAsia" w:ascii="仿宋" w:hAnsi="仿宋" w:eastAsia="仿宋" w:cs="仿宋"/>
          <w:sz w:val="24"/>
          <w:szCs w:val="24"/>
        </w:rPr>
        <w:t>）实地查勘日期</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8</w:t>
      </w:r>
    </w:p>
    <w:p>
      <w:pPr>
        <w:pStyle w:val="10"/>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_Toc12698 </w:instrText>
      </w:r>
      <w:r>
        <w:rPr>
          <w:rFonts w:hint="eastAsia" w:ascii="仿宋" w:hAnsi="仿宋" w:eastAsia="仿宋" w:cs="仿宋"/>
          <w:sz w:val="24"/>
          <w:szCs w:val="24"/>
        </w:rPr>
        <w:fldChar w:fldCharType="separate"/>
      </w:r>
      <w:r>
        <w:rPr>
          <w:rFonts w:hint="eastAsia" w:ascii="仿宋" w:hAnsi="仿宋" w:eastAsia="仿宋" w:cs="仿宋"/>
          <w:sz w:val="24"/>
          <w:szCs w:val="24"/>
        </w:rPr>
        <w:t>（十</w:t>
      </w:r>
      <w:r>
        <w:rPr>
          <w:rFonts w:hint="eastAsia" w:ascii="仿宋" w:hAnsi="仿宋" w:eastAsia="仿宋" w:cs="仿宋"/>
          <w:sz w:val="24"/>
          <w:szCs w:val="24"/>
          <w:lang w:eastAsia="zh-CN"/>
        </w:rPr>
        <w:t>三</w:t>
      </w:r>
      <w:r>
        <w:rPr>
          <w:rFonts w:hint="eastAsia" w:ascii="仿宋" w:hAnsi="仿宋" w:eastAsia="仿宋" w:cs="仿宋"/>
          <w:sz w:val="24"/>
          <w:szCs w:val="24"/>
        </w:rPr>
        <w:t>）估价作业日期</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8</w:t>
      </w:r>
    </w:p>
    <w:p>
      <w:pPr>
        <w:pStyle w:val="9"/>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_Toc1817 </w:instrText>
      </w:r>
      <w:r>
        <w:rPr>
          <w:rFonts w:hint="eastAsia" w:ascii="仿宋" w:hAnsi="仿宋" w:eastAsia="仿宋" w:cs="仿宋"/>
          <w:sz w:val="24"/>
          <w:szCs w:val="24"/>
        </w:rPr>
        <w:fldChar w:fldCharType="separate"/>
      </w:r>
      <w:r>
        <w:rPr>
          <w:rFonts w:hint="eastAsia" w:ascii="仿宋" w:hAnsi="仿宋" w:eastAsia="仿宋" w:cs="仿宋"/>
          <w:sz w:val="24"/>
          <w:szCs w:val="24"/>
          <w:lang w:eastAsia="zh-CN"/>
        </w:rPr>
        <w:t>四</w:t>
      </w:r>
      <w:r>
        <w:rPr>
          <w:rFonts w:hint="eastAsia" w:ascii="仿宋" w:hAnsi="仿宋" w:eastAsia="仿宋" w:cs="仿宋"/>
          <w:sz w:val="24"/>
          <w:szCs w:val="24"/>
        </w:rPr>
        <w:t>、附  件</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9</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fldChar w:fldCharType="end"/>
      </w:r>
      <w:r>
        <w:rPr>
          <w:rFonts w:hint="eastAsia" w:ascii="仿宋" w:hAnsi="仿宋" w:eastAsia="仿宋" w:cs="仿宋"/>
          <w:sz w:val="24"/>
          <w:szCs w:val="24"/>
        </w:rPr>
        <w:t>（</w:t>
      </w:r>
      <w:r>
        <w:rPr>
          <w:rFonts w:hint="eastAsia" w:ascii="仿宋" w:hAnsi="仿宋" w:eastAsia="仿宋" w:cs="仿宋"/>
          <w:sz w:val="24"/>
          <w:szCs w:val="24"/>
          <w:lang w:eastAsia="zh-CN"/>
        </w:rPr>
        <w:t>一）</w:t>
      </w:r>
      <w:r>
        <w:rPr>
          <w:rFonts w:hint="eastAsia" w:ascii="仿宋" w:hAnsi="仿宋" w:eastAsia="仿宋" w:cs="仿宋"/>
          <w:sz w:val="24"/>
          <w:szCs w:val="24"/>
        </w:rPr>
        <w:t>《估价委托书》复印件；</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（二）</w:t>
      </w:r>
      <w:r>
        <w:rPr>
          <w:rFonts w:hint="eastAsia" w:ascii="仿宋" w:hAnsi="仿宋" w:eastAsia="仿宋" w:cs="仿宋"/>
          <w:sz w:val="24"/>
          <w:szCs w:val="24"/>
        </w:rPr>
        <w:t>估价对象实地查勘照片；</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（三）</w:t>
      </w:r>
      <w:r>
        <w:rPr>
          <w:rFonts w:hint="eastAsia" w:ascii="仿宋" w:hAnsi="仿宋" w:eastAsia="仿宋" w:cs="仿宋"/>
          <w:sz w:val="24"/>
          <w:szCs w:val="24"/>
        </w:rPr>
        <w:t>估价对象</w:t>
      </w:r>
      <w:r>
        <w:rPr>
          <w:rFonts w:hint="eastAsia" w:ascii="仿宋" w:hAnsi="仿宋" w:eastAsia="仿宋" w:cs="仿宋"/>
          <w:sz w:val="24"/>
          <w:szCs w:val="24"/>
          <w:lang w:eastAsia="zh-CN"/>
        </w:rPr>
        <w:t>位置图</w:t>
      </w:r>
      <w:r>
        <w:rPr>
          <w:rFonts w:hint="eastAsia" w:ascii="仿宋" w:hAnsi="仿宋" w:eastAsia="仿宋" w:cs="仿宋"/>
          <w:sz w:val="24"/>
          <w:szCs w:val="24"/>
        </w:rPr>
        <w:t>；</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（四）</w:t>
      </w:r>
      <w:r>
        <w:rPr>
          <w:rFonts w:hint="eastAsia" w:ascii="仿宋" w:hAnsi="仿宋" w:eastAsia="仿宋" w:cs="仿宋"/>
          <w:sz w:val="24"/>
          <w:szCs w:val="24"/>
        </w:rPr>
        <w:t>估价对象相关资料；</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房地产估价机构营业执照复印件；</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房地产估价机构资质证书复印件；</w:t>
      </w:r>
    </w:p>
    <w:p>
      <w:pPr>
        <w:spacing w:line="360" w:lineRule="exact"/>
        <w:ind w:firstLine="480" w:firstLineChars="200"/>
        <w:rPr>
          <w:rFonts w:hint="eastAsia" w:ascii="仿宋_GB2312" w:hAnsi="宋体" w:eastAsia="仿宋_GB2312"/>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注册房地产估价师注册证书复印件</w:t>
      </w:r>
    </w:p>
    <w:p>
      <w:pPr>
        <w:spacing w:line="440" w:lineRule="exact"/>
        <w:rPr>
          <w:rFonts w:hint="eastAsia"/>
        </w:rPr>
      </w:pPr>
    </w:p>
    <w:p>
      <w:pPr>
        <w:pStyle w:val="2"/>
        <w:pageBreakBefore w:val="0"/>
        <w:widowControl w:val="0"/>
        <w:kinsoku/>
        <w:wordWrap/>
        <w:overflowPunct/>
        <w:topLinePunct w:val="0"/>
        <w:autoSpaceDE/>
        <w:autoSpaceDN/>
        <w:bidi w:val="0"/>
        <w:adjustRightInd w:val="0"/>
        <w:snapToGrid w:val="0"/>
        <w:spacing w:after="93" w:line="480" w:lineRule="exact"/>
        <w:textAlignment w:val="auto"/>
        <w:rPr>
          <w:rFonts w:hint="eastAsia" w:ascii="仿宋_GB2312" w:eastAsia="仿宋_GB2312"/>
          <w:b/>
        </w:rPr>
      </w:pPr>
      <w:r>
        <w:rPr>
          <w:rFonts w:hint="eastAsia" w:ascii="仿宋_GB2312" w:eastAsia="仿宋_GB2312"/>
          <w:b/>
        </w:rPr>
        <w:br w:type="page"/>
      </w:r>
      <w:bookmarkStart w:id="0" w:name="_Toc536174645"/>
      <w:bookmarkStart w:id="1" w:name="_Toc22207"/>
      <w:bookmarkStart w:id="2" w:name="_Toc30289"/>
      <w:r>
        <w:rPr>
          <w:rFonts w:hint="eastAsia" w:ascii="仿宋_GB2312" w:eastAsia="仿宋_GB2312"/>
          <w:b/>
        </w:rPr>
        <w:t>一、声明</w:t>
      </w:r>
      <w:bookmarkEnd w:id="0"/>
      <w:bookmarkEnd w:id="1"/>
      <w:bookmarkEnd w:id="2"/>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我们根据自己的专业知识和职业道德，在此郑重声明：</w:t>
      </w:r>
    </w:p>
    <w:p>
      <w:pPr>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宋体" w:eastAsia="仿宋_GB2312" w:cs="仿宋_GB2312"/>
          <w:sz w:val="28"/>
          <w:szCs w:val="28"/>
        </w:rPr>
      </w:pPr>
      <w:r>
        <w:rPr>
          <w:rFonts w:hint="eastAsia" w:ascii="仿宋_GB2312" w:hAnsi="宋体" w:eastAsia="仿宋_GB2312" w:cs="仿宋_GB2312"/>
          <w:sz w:val="30"/>
        </w:rPr>
        <w:t xml:space="preserve"> </w:t>
      </w:r>
      <w:r>
        <w:rPr>
          <w:rFonts w:hint="eastAsia" w:ascii="仿宋_GB2312" w:hAnsi="宋体" w:eastAsia="仿宋_GB2312" w:cs="仿宋_GB2312"/>
          <w:sz w:val="28"/>
          <w:szCs w:val="28"/>
        </w:rPr>
        <w:t xml:space="preserve">   1、我们在本</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报告中对事实的陈述是真实的、准确的，没有虚假记载、误导性陈述和重大遗漏。</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2、本</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报告中的分析、意见和结论是我们独立、客观、公正的专业分析、意见和结论，但受到</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报告中已经说明的</w:t>
      </w:r>
      <w:r>
        <w:rPr>
          <w:rFonts w:hint="eastAsia" w:ascii="仿宋_GB2312" w:hAnsi="宋体" w:eastAsia="仿宋_GB2312" w:cs="仿宋_GB2312"/>
          <w:sz w:val="28"/>
          <w:szCs w:val="28"/>
          <w:lang w:eastAsia="zh-CN"/>
        </w:rPr>
        <w:t>估价假设</w:t>
      </w:r>
      <w:r>
        <w:rPr>
          <w:rFonts w:hint="eastAsia" w:ascii="仿宋_GB2312" w:hAnsi="宋体" w:eastAsia="仿宋_GB2312" w:cs="仿宋_GB2312"/>
          <w:sz w:val="28"/>
          <w:szCs w:val="28"/>
        </w:rPr>
        <w:t>和限制条件的限制。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3、我们与本</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报告中的</w:t>
      </w:r>
      <w:r>
        <w:rPr>
          <w:rFonts w:hint="eastAsia" w:ascii="仿宋_GB2312" w:hAnsi="宋体" w:eastAsia="仿宋_GB2312" w:cs="仿宋_GB2312"/>
          <w:sz w:val="28"/>
          <w:szCs w:val="28"/>
          <w:lang w:eastAsia="zh-CN"/>
        </w:rPr>
        <w:t>估价对象</w:t>
      </w:r>
      <w:r>
        <w:rPr>
          <w:rFonts w:hint="eastAsia" w:ascii="仿宋_GB2312" w:hAnsi="宋体" w:eastAsia="仿宋_GB2312" w:cs="仿宋_GB2312"/>
          <w:sz w:val="28"/>
          <w:szCs w:val="28"/>
        </w:rPr>
        <w:t>没有现实或潜在的利益，与</w:t>
      </w:r>
      <w:r>
        <w:rPr>
          <w:rFonts w:hint="eastAsia" w:ascii="仿宋_GB2312" w:hAnsi="宋体" w:eastAsia="仿宋_GB2312" w:cs="仿宋_GB2312"/>
          <w:sz w:val="28"/>
          <w:szCs w:val="28"/>
          <w:lang w:eastAsia="zh-CN"/>
        </w:rPr>
        <w:t>估价委托人</w:t>
      </w:r>
      <w:r>
        <w:rPr>
          <w:rFonts w:hint="eastAsia" w:ascii="仿宋_GB2312" w:hAnsi="宋体" w:eastAsia="仿宋_GB2312" w:cs="仿宋_GB2312"/>
          <w:sz w:val="28"/>
          <w:szCs w:val="28"/>
        </w:rPr>
        <w:t>及</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利害关系人没有利害关系，也对</w:t>
      </w:r>
      <w:r>
        <w:rPr>
          <w:rFonts w:hint="eastAsia" w:ascii="仿宋_GB2312" w:hAnsi="宋体" w:eastAsia="仿宋_GB2312" w:cs="仿宋_GB2312"/>
          <w:sz w:val="28"/>
          <w:szCs w:val="28"/>
          <w:lang w:eastAsia="zh-CN"/>
        </w:rPr>
        <w:t>估价对象</w:t>
      </w:r>
      <w:r>
        <w:rPr>
          <w:rFonts w:hint="eastAsia" w:ascii="仿宋_GB2312" w:hAnsi="宋体" w:eastAsia="仿宋_GB2312" w:cs="仿宋_GB2312"/>
          <w:sz w:val="28"/>
          <w:szCs w:val="28"/>
        </w:rPr>
        <w:t>、</w:t>
      </w:r>
      <w:r>
        <w:rPr>
          <w:rFonts w:hint="eastAsia" w:ascii="仿宋_GB2312" w:hAnsi="宋体" w:eastAsia="仿宋_GB2312" w:cs="仿宋_GB2312"/>
          <w:sz w:val="28"/>
          <w:szCs w:val="28"/>
          <w:lang w:eastAsia="zh-CN"/>
        </w:rPr>
        <w:t>估价委托人</w:t>
      </w:r>
      <w:r>
        <w:rPr>
          <w:rFonts w:hint="eastAsia" w:ascii="仿宋_GB2312" w:hAnsi="宋体" w:eastAsia="仿宋_GB2312" w:cs="仿宋_GB2312"/>
          <w:sz w:val="28"/>
          <w:szCs w:val="28"/>
        </w:rPr>
        <w:t>及</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利害关系人没有偏见。</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4、我们依照中华人民共和国国家标准《房地产估价规范》、《房地产估价基本术语标准》以及相关房地产估价专项标准进行分析，形成意见和结论，撰写本</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报告。</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5、本</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报告中，除使用政府部门、行业公布的价格资料和公开市场价格信息外，主要依据</w:t>
      </w:r>
      <w:r>
        <w:rPr>
          <w:rFonts w:hint="eastAsia" w:ascii="仿宋_GB2312" w:hAnsi="宋体" w:eastAsia="仿宋_GB2312" w:cs="仿宋_GB2312"/>
          <w:sz w:val="28"/>
          <w:szCs w:val="28"/>
          <w:lang w:eastAsia="zh-CN"/>
        </w:rPr>
        <w:t>估价委托人</w:t>
      </w:r>
      <w:r>
        <w:rPr>
          <w:rFonts w:hint="eastAsia" w:ascii="仿宋_GB2312" w:hAnsi="宋体" w:eastAsia="仿宋_GB2312" w:cs="仿宋_GB2312"/>
          <w:sz w:val="28"/>
          <w:szCs w:val="28"/>
        </w:rPr>
        <w:t>提供的有关资料，包括但不限于其提供的权属证件等复印件，</w:t>
      </w:r>
      <w:r>
        <w:rPr>
          <w:rFonts w:hint="eastAsia" w:ascii="仿宋_GB2312" w:hAnsi="宋体" w:eastAsia="仿宋_GB2312" w:cs="仿宋_GB2312"/>
          <w:sz w:val="28"/>
          <w:szCs w:val="28"/>
          <w:lang w:eastAsia="zh-CN"/>
        </w:rPr>
        <w:t>估价委托人</w:t>
      </w:r>
      <w:r>
        <w:rPr>
          <w:rFonts w:hint="eastAsia" w:ascii="仿宋_GB2312" w:hAnsi="宋体" w:eastAsia="仿宋_GB2312" w:cs="仿宋_GB2312"/>
          <w:sz w:val="28"/>
          <w:szCs w:val="28"/>
        </w:rPr>
        <w:t>应对其提供的全部资料的真实性、合法性和完整性负责。</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cs="仿宋_GB2312"/>
          <w:sz w:val="28"/>
          <w:szCs w:val="28"/>
        </w:rPr>
        <w:t>6、我司</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人</w:t>
      </w:r>
      <w:r>
        <w:rPr>
          <w:rFonts w:hint="eastAsia" w:ascii="仿宋_GB2312" w:hAnsi="宋体" w:eastAsia="仿宋_GB2312" w:cs="仿宋_GB2312"/>
          <w:sz w:val="28"/>
          <w:szCs w:val="28"/>
          <w:lang w:eastAsia="zh-CN"/>
        </w:rPr>
        <w:t>员</w:t>
      </w:r>
      <w:r>
        <w:rPr>
          <w:rFonts w:hint="eastAsia" w:ascii="仿宋_GB2312" w:hAnsi="宋体" w:eastAsia="仿宋_GB2312"/>
          <w:sz w:val="28"/>
          <w:szCs w:val="28"/>
        </w:rPr>
        <w:t>已于</w:t>
      </w:r>
      <w:r>
        <w:rPr>
          <w:rFonts w:hint="eastAsia" w:ascii="仿宋_GB2312" w:hAnsi="宋体" w:eastAsia="仿宋_GB2312"/>
          <w:sz w:val="28"/>
          <w:szCs w:val="28"/>
          <w:lang w:eastAsia="zh-CN"/>
        </w:rPr>
        <w:t>2022年5月19日</w:t>
      </w:r>
      <w:r>
        <w:rPr>
          <w:rFonts w:hint="eastAsia" w:ascii="仿宋_GB2312" w:hAnsi="宋体" w:eastAsia="仿宋_GB2312"/>
          <w:sz w:val="28"/>
          <w:szCs w:val="28"/>
        </w:rPr>
        <w:t>对本报告中的</w:t>
      </w:r>
      <w:r>
        <w:rPr>
          <w:rFonts w:hint="eastAsia" w:ascii="仿宋_GB2312" w:hAnsi="宋体" w:eastAsia="仿宋_GB2312"/>
          <w:sz w:val="28"/>
          <w:szCs w:val="28"/>
          <w:lang w:eastAsia="zh-CN"/>
        </w:rPr>
        <w:t>估价对象</w:t>
      </w:r>
      <w:r>
        <w:rPr>
          <w:rFonts w:hint="eastAsia" w:ascii="仿宋_GB2312" w:hAnsi="宋体" w:eastAsia="仿宋_GB2312"/>
          <w:sz w:val="28"/>
          <w:szCs w:val="28"/>
        </w:rPr>
        <w:t>进行了实地查勘，</w:t>
      </w:r>
      <w:r>
        <w:rPr>
          <w:rFonts w:hint="eastAsia" w:ascii="仿宋_GB2312" w:hAnsi="宋体" w:eastAsia="仿宋_GB2312" w:cs="仿宋_GB2312"/>
          <w:sz w:val="28"/>
          <w:szCs w:val="28"/>
        </w:rPr>
        <w:t>但仅限于其外观和使用状况。</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人员不承担对</w:t>
      </w:r>
      <w:r>
        <w:rPr>
          <w:rFonts w:hint="eastAsia" w:ascii="仿宋_GB2312" w:hAnsi="宋体" w:eastAsia="仿宋_GB2312" w:cs="仿宋_GB2312"/>
          <w:sz w:val="28"/>
          <w:szCs w:val="28"/>
          <w:lang w:eastAsia="zh-CN"/>
        </w:rPr>
        <w:t>估价对象</w:t>
      </w:r>
      <w:r>
        <w:rPr>
          <w:rFonts w:hint="eastAsia" w:ascii="仿宋_GB2312" w:hAnsi="宋体" w:eastAsia="仿宋_GB2312" w:cs="仿宋_GB2312"/>
          <w:sz w:val="28"/>
          <w:szCs w:val="28"/>
        </w:rPr>
        <w:t>的建筑结构、质量进行调查的责任和其他被遮盖、未暴露及难于触及</w:t>
      </w:r>
      <w:r>
        <w:rPr>
          <w:rFonts w:hint="eastAsia" w:ascii="仿宋_GB2312" w:hAnsi="宋体" w:eastAsia="仿宋_GB2312"/>
          <w:sz w:val="28"/>
          <w:szCs w:val="28"/>
        </w:rPr>
        <w:t>的部分进行检视的责任。</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rPr>
      </w:pPr>
      <w:r>
        <w:rPr>
          <w:rFonts w:hint="eastAsia" w:ascii="仿宋_GB2312" w:hAnsi="宋体" w:eastAsia="仿宋_GB2312"/>
          <w:sz w:val="28"/>
          <w:szCs w:val="28"/>
        </w:rPr>
        <w:t>7、没有其他行业的专业人员对</w:t>
      </w:r>
      <w:r>
        <w:rPr>
          <w:rFonts w:hint="eastAsia" w:ascii="仿宋_GB2312" w:hAnsi="宋体" w:eastAsia="仿宋_GB2312"/>
          <w:sz w:val="28"/>
          <w:szCs w:val="28"/>
          <w:lang w:eastAsia="zh-CN"/>
        </w:rPr>
        <w:t>估价</w:t>
      </w:r>
      <w:r>
        <w:rPr>
          <w:rFonts w:hint="eastAsia" w:ascii="仿宋_GB2312" w:hAnsi="宋体" w:eastAsia="仿宋_GB2312"/>
          <w:sz w:val="28"/>
          <w:szCs w:val="28"/>
        </w:rPr>
        <w:t>报告提供了重要专业帮助。</w:t>
      </w:r>
      <w:bookmarkStart w:id="3" w:name="_Toc536174646"/>
      <w:bookmarkStart w:id="4" w:name="_Toc14172"/>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pageBreakBefore w:val="0"/>
        <w:widowControl w:val="0"/>
        <w:kinsoku/>
        <w:wordWrap/>
        <w:overflowPunct/>
        <w:topLinePunct w:val="0"/>
        <w:autoSpaceDE/>
        <w:autoSpaceDN/>
        <w:bidi w:val="0"/>
        <w:adjustRightInd w:val="0"/>
        <w:snapToGrid w:val="0"/>
        <w:spacing w:after="93" w:line="480" w:lineRule="exact"/>
        <w:textAlignment w:val="auto"/>
        <w:rPr>
          <w:rFonts w:hint="eastAsia" w:ascii="仿宋_GB2312" w:hAnsi="宋体" w:eastAsia="仿宋_GB2312"/>
          <w:b/>
        </w:rPr>
      </w:pPr>
      <w:bookmarkStart w:id="5" w:name="_Toc1309"/>
      <w:r>
        <w:rPr>
          <w:rFonts w:hint="eastAsia" w:ascii="仿宋_GB2312" w:hAnsi="宋体" w:eastAsia="仿宋_GB2312"/>
          <w:b/>
        </w:rPr>
        <w:t>二、</w:t>
      </w:r>
      <w:r>
        <w:rPr>
          <w:rFonts w:hint="eastAsia" w:ascii="仿宋_GB2312" w:hAnsi="宋体" w:eastAsia="仿宋_GB2312"/>
          <w:b/>
          <w:lang w:eastAsia="zh-CN"/>
        </w:rPr>
        <w:t>估价</w:t>
      </w:r>
      <w:r>
        <w:rPr>
          <w:rFonts w:hint="eastAsia" w:ascii="仿宋_GB2312" w:hAnsi="宋体" w:eastAsia="仿宋_GB2312"/>
          <w:b/>
        </w:rPr>
        <w:t>的假设和限制条件</w:t>
      </w:r>
      <w:bookmarkEnd w:id="3"/>
      <w:bookmarkEnd w:id="4"/>
      <w:bookmarkEnd w:id="5"/>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一、估价假设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2" w:firstLineChars="20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1、一般假设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（1）假定任何有关估价对象的运作方式、程序符合国家、地方的有关法律、法规。在价值时点时，估价对象权属合法、清晰，无争议，并能够正常上市交易。</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（2）本次估价，假定在价值时点时的房地产市场状况是公开、平等、自愿的交易市场。</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（3）以估价对象无权属纠纷，符合法律、法规规定，在市场上可转让为假设前提。</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4）本次估价中，估价人员进行的实地查勘仅限于估价对象的外观和使用状况，未进行专业面积测量和质量鉴定，不承担对估价对象建筑结构质量进行调查的责任，也不承担对其他被遮盖未暴露及难于接触到的部分进行勘查的责任，故无理由怀疑建筑物存在安全隐患，假定估价对象建筑结构是安全的，无结构性损坏。</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5）估价委托人提供的房地产估价所必需的有关情况、资料是本次估价的重要依据，估价人员无理由怀疑估价委托人提供的情况和资料的真实性、合法性、完整性和有效性，未向政府有关部门核实和查证，故假设商品房买卖合同等资料所记载数据可靠，且不存在争议。</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（6）本估价报告中的估价对象房地产市场价值为完全产权下的市场价值，未考虑估价对象可能存在的原有租赁权和用益物权的影响。</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（7）本估价报告中的估价对象房地产假定人民法院拍卖（或者变卖）财产之日的评估对象状况和房地产市场状况与实地查勘完成之日的状况相同。</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2" w:firstLineChars="20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2、未定事项假设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36" w:firstLineChars="200"/>
        <w:jc w:val="both"/>
        <w:textAlignment w:val="baseline"/>
        <w:rPr>
          <w:rFonts w:hint="eastAsia" w:ascii="仿宋" w:hAnsi="仿宋" w:eastAsia="仿宋" w:cs="仿宋"/>
          <w:spacing w:val="-6"/>
          <w:sz w:val="28"/>
          <w:szCs w:val="28"/>
          <w:lang w:val="en-US"/>
        </w:rPr>
      </w:pPr>
      <w:r>
        <w:rPr>
          <w:rFonts w:hint="eastAsia" w:ascii="仿宋" w:hAnsi="仿宋" w:eastAsia="仿宋" w:cs="仿宋"/>
          <w:color w:val="auto"/>
          <w:spacing w:val="-6"/>
          <w:kern w:val="2"/>
          <w:sz w:val="28"/>
          <w:szCs w:val="28"/>
          <w:lang w:val="en-US" w:eastAsia="zh-CN" w:bidi="ar"/>
        </w:rPr>
        <w:t>无未定事项假设。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2" w:firstLineChars="20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3、背离事实假设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b w:val="0"/>
          <w:bCs/>
          <w:color w:val="auto"/>
          <w:kern w:val="2"/>
          <w:sz w:val="28"/>
          <w:szCs w:val="28"/>
          <w:lang w:val="en-US" w:eastAsia="zh-CN" w:bidi="ar"/>
        </w:rPr>
      </w:pPr>
      <w:r>
        <w:rPr>
          <w:rFonts w:hint="eastAsia" w:ascii="仿宋" w:hAnsi="仿宋" w:eastAsia="仿宋" w:cs="仿宋"/>
          <w:b w:val="0"/>
          <w:bCs/>
          <w:color w:val="auto"/>
          <w:kern w:val="2"/>
          <w:sz w:val="28"/>
          <w:szCs w:val="28"/>
          <w:lang w:val="en-US" w:eastAsia="zh-CN" w:bidi="ar"/>
        </w:rPr>
        <w:t>本次估价报告不考虑评估对象被查封以及原有的担保物权和其他优先受偿权情况，视为没有查封、未设立担保物权及其他优先受偿权的财产进行评估。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2" w:firstLineChars="20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4、不相一致假设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无不相一致假设。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2" w:firstLineChars="20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5、依据不足假设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本次评估未掌握评估对象欠缴税费（含物业费、水电气费等）的相关情况，故本次未考虑估价对象可能存在的物业管理费、水费、电费、气费等欠费。</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二、限制条件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1、本报告仅为宜丰县人民法院进行司法处置提供价格参考依据，若改变估价目的及使用条件需向本估价机构咨询后重新出具报告。</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2、估价对象的价值内涵是因司法处置涉及的房地产市场价值，未考虑未来市场变化风险对评估价值的影响，评估价值不包括办理产权登记过程中所涉及的买卖双方所需承担的一切税、费和所需补交的相关税、费（包括但不限于所得税、增值税、土地增值税、土地出让金、契税、过户手续费、印花税、权证费、水利基金费以及房产及土地交易中规定缴纳的各种费用）。</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default"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3、本次估价结果是在估价假设和限制条件下的房地合一价值，包括房屋所有权和建设用地使用权，包括其附着于建筑物的装饰装修价值，不包括室内家具、家电等可移动资产价值。</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4、本报告使用期限为一年。即自估价报告出具之日起一年内有效，超过一年，需重新进行评估。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5、本报告专为委托人所使用，未经本公司同意，不得向委托人和估价报告审查部门之外的单位和个人提供。报告的全部或部分内容不得发表任何公开媒体上。</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default"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6、本估价报告必须完整使用（尤其是价格）方为有效，对仅使用本估价报告中的部分内容所导致的可能发生的损失，估价机构不承担任何责任，如当事人对本估价报告有异议，需在收到估价报告后五日内以书面形式提出。</w:t>
      </w:r>
    </w:p>
    <w:p>
      <w:pPr>
        <w:pageBreakBefore w:val="0"/>
        <w:widowControl w:val="0"/>
        <w:tabs>
          <w:tab w:val="left" w:pos="3023"/>
        </w:tabs>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sz w:val="28"/>
          <w:szCs w:val="28"/>
        </w:rPr>
      </w:pPr>
      <w:r>
        <w:rPr>
          <w:rFonts w:hint="eastAsia" w:ascii="仿宋" w:hAnsi="仿宋" w:eastAsia="仿宋" w:cs="仿宋"/>
          <w:color w:val="auto"/>
          <w:kern w:val="2"/>
          <w:sz w:val="28"/>
          <w:szCs w:val="28"/>
          <w:lang w:val="en-US" w:eastAsia="zh-CN" w:bidi="ar"/>
        </w:rPr>
        <w:t>7、本估价报告经估价机构盖章并由注册房地产估价师签字后方可使用。由江西万恒房地产资产评估咨询有限公司负责解释。</w:t>
      </w:r>
    </w:p>
    <w:p>
      <w:pPr>
        <w:pageBreakBefore w:val="0"/>
        <w:widowControl w:val="0"/>
        <w:kinsoku/>
        <w:wordWrap/>
        <w:overflowPunct/>
        <w:topLinePunct w:val="0"/>
        <w:autoSpaceDE/>
        <w:autoSpaceDN/>
        <w:bidi w:val="0"/>
        <w:adjustRightInd w:val="0"/>
        <w:snapToGrid w:val="0"/>
        <w:spacing w:line="480" w:lineRule="exact"/>
        <w:textAlignment w:val="auto"/>
        <w:rPr>
          <w:rFonts w:hint="eastAsia"/>
          <w:lang w:eastAsia="zh-CN"/>
        </w:rPr>
      </w:pPr>
      <w:r>
        <w:rPr>
          <w:rFonts w:hint="eastAsia" w:ascii="仿宋" w:hAnsi="仿宋" w:eastAsia="仿宋" w:cs="仿宋"/>
          <w:b/>
          <w:bCs w:val="0"/>
          <w:color w:val="auto"/>
          <w:kern w:val="2"/>
          <w:sz w:val="28"/>
          <w:szCs w:val="28"/>
          <w:lang w:val="en-US" w:eastAsia="zh-CN" w:bidi="ar"/>
        </w:rPr>
        <w:t>三、其他说明事项</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1．本估价报告中的数据全部采用电算化连续计算得出，由于在报告中计算的数据均按四舍五入进行取整，因此，可能出现个别等式左右不完全相等的情况，但此种情况不影响计算结果及估价结论的准确性。</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2.在评估结果有效期内，评估对象状况或者房地产市场发生明显变化的，评估结果应当进行相应调整。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3.委托人或者评估报告使用人应当按照法律规定和评估报告载明的使用范围使用评估报告，违反该规定使用评估报告的，房地产估价机构和注册房地产估价师依法不承担责任。</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rPr>
      </w:pPr>
      <w:r>
        <w:rPr>
          <w:rFonts w:hint="eastAsia" w:ascii="仿宋" w:hAnsi="仿宋" w:eastAsia="仿宋" w:cs="仿宋"/>
          <w:color w:val="auto"/>
          <w:kern w:val="2"/>
          <w:sz w:val="28"/>
          <w:szCs w:val="28"/>
          <w:lang w:val="en-US" w:eastAsia="zh-CN" w:bidi="ar"/>
        </w:rPr>
        <w:t>4.评估结果不等于评估对象处置可实现的成交价，不应被认为是对评估对象处置成交价的保证。</w:t>
      </w:r>
      <w:r>
        <w:rPr>
          <w:rFonts w:hint="eastAsia"/>
        </w:rPr>
        <w:br w:type="page"/>
      </w:r>
    </w:p>
    <w:p>
      <w:pPr>
        <w:pStyle w:val="2"/>
        <w:keepNext/>
        <w:keepLines/>
        <w:pageBreakBefore w:val="0"/>
        <w:widowControl w:val="0"/>
        <w:kinsoku/>
        <w:wordWrap/>
        <w:overflowPunct/>
        <w:topLinePunct w:val="0"/>
        <w:autoSpaceDE/>
        <w:autoSpaceDN/>
        <w:bidi w:val="0"/>
        <w:adjustRightInd w:val="0"/>
        <w:snapToGrid w:val="0"/>
        <w:spacing w:after="93" w:line="480" w:lineRule="exact"/>
        <w:ind w:firstLine="108"/>
        <w:textAlignment w:val="auto"/>
        <w:rPr>
          <w:rFonts w:hint="eastAsia" w:ascii="仿宋_GB2312" w:eastAsia="仿宋_GB2312"/>
          <w:b/>
          <w:bCs w:val="0"/>
        </w:rPr>
      </w:pPr>
      <w:bookmarkStart w:id="6" w:name="_Toc29780"/>
      <w:bookmarkStart w:id="7" w:name="_Toc561"/>
      <w:bookmarkStart w:id="8" w:name="_Toc536174647"/>
      <w:r>
        <w:rPr>
          <w:rFonts w:hint="eastAsia" w:ascii="仿宋_GB2312" w:eastAsia="仿宋_GB2312"/>
          <w:b/>
          <w:bCs w:val="0"/>
        </w:rPr>
        <w:t>三、</w:t>
      </w:r>
      <w:r>
        <w:rPr>
          <w:rFonts w:hint="eastAsia" w:ascii="仿宋_GB2312" w:eastAsia="仿宋_GB2312"/>
          <w:b/>
          <w:bCs w:val="0"/>
          <w:lang w:eastAsia="zh-CN"/>
        </w:rPr>
        <w:t>估价</w:t>
      </w:r>
      <w:r>
        <w:rPr>
          <w:rFonts w:hint="eastAsia" w:ascii="仿宋_GB2312" w:eastAsia="仿宋_GB2312"/>
          <w:b/>
          <w:bCs w:val="0"/>
        </w:rPr>
        <w:t>结果报告</w:t>
      </w:r>
      <w:bookmarkEnd w:id="6"/>
      <w:bookmarkEnd w:id="7"/>
      <w:bookmarkEnd w:id="8"/>
    </w:p>
    <w:p>
      <w:pPr>
        <w:pStyle w:val="4"/>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eastAsia="仿宋_GB2312"/>
          <w:b/>
        </w:rPr>
      </w:pPr>
      <w:bookmarkStart w:id="9" w:name="_Toc536174648"/>
      <w:bookmarkStart w:id="10" w:name="_Toc4725"/>
      <w:bookmarkStart w:id="11" w:name="_Toc3578"/>
      <w:r>
        <w:rPr>
          <w:rFonts w:hint="eastAsia" w:ascii="仿宋_GB2312" w:eastAsia="仿宋_GB2312"/>
          <w:b/>
        </w:rPr>
        <w:t>（一）</w:t>
      </w:r>
      <w:bookmarkEnd w:id="9"/>
      <w:bookmarkEnd w:id="10"/>
      <w:r>
        <w:rPr>
          <w:rFonts w:hint="eastAsia" w:ascii="仿宋_GB2312" w:eastAsia="仿宋_GB2312"/>
          <w:b/>
          <w:lang w:eastAsia="zh-CN"/>
        </w:rPr>
        <w:t>估价委托人</w:t>
      </w:r>
      <w:bookmarkEnd w:id="11"/>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仿宋_GB2312" w:hAnsi="宋体" w:eastAsia="仿宋_GB2312"/>
          <w:sz w:val="28"/>
          <w:szCs w:val="28"/>
          <w:lang w:val="en-US" w:eastAsia="zh-CN"/>
        </w:rPr>
      </w:pPr>
      <w:r>
        <w:rPr>
          <w:rFonts w:hint="default" w:ascii="Times New Roman" w:hAnsi="Times New Roman" w:eastAsia="仿宋_GB2312" w:cs="Times New Roman"/>
          <w:bCs/>
          <w:sz w:val="28"/>
          <w:szCs w:val="28"/>
        </w:rPr>
        <w:t>名称</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宜丰县人民法院</w:t>
      </w:r>
    </w:p>
    <w:p>
      <w:pPr>
        <w:pStyle w:val="4"/>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eastAsia="仿宋_GB2312"/>
          <w:b/>
        </w:rPr>
      </w:pPr>
      <w:bookmarkStart w:id="12" w:name="_Toc9024"/>
      <w:bookmarkStart w:id="13" w:name="_Toc536174649"/>
      <w:bookmarkStart w:id="14" w:name="_Toc9388"/>
      <w:r>
        <w:rPr>
          <w:rFonts w:hint="eastAsia" w:ascii="仿宋_GB2312" w:eastAsia="仿宋_GB2312"/>
          <w:b/>
        </w:rPr>
        <w:t>（二）</w:t>
      </w:r>
      <w:r>
        <w:rPr>
          <w:rFonts w:hint="eastAsia" w:ascii="仿宋_GB2312" w:eastAsia="仿宋_GB2312"/>
          <w:b/>
          <w:lang w:eastAsia="zh-CN"/>
        </w:rPr>
        <w:t>估价</w:t>
      </w:r>
      <w:r>
        <w:rPr>
          <w:rFonts w:hint="eastAsia" w:ascii="仿宋_GB2312" w:eastAsia="仿宋_GB2312"/>
          <w:b/>
        </w:rPr>
        <w:t>方</w:t>
      </w:r>
      <w:bookmarkEnd w:id="12"/>
      <w:bookmarkEnd w:id="13"/>
      <w:bookmarkEnd w:id="14"/>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仿宋_GB2312" w:hAnsi="宋体" w:eastAsia="仿宋_GB2312"/>
          <w:sz w:val="28"/>
          <w:szCs w:val="28"/>
          <w:lang w:val="en-US" w:eastAsia="zh-CN"/>
        </w:rPr>
      </w:pPr>
      <w:r>
        <w:rPr>
          <w:rFonts w:hint="default" w:ascii="仿宋_GB2312" w:hAnsi="宋体" w:eastAsia="仿宋_GB2312"/>
          <w:sz w:val="28"/>
          <w:szCs w:val="28"/>
          <w:lang w:val="en-US" w:eastAsia="zh-CN"/>
        </w:rPr>
        <w:t>估价机构名称：江西万恒房地产资产评估咨询有限公司</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仿宋_GB2312" w:hAnsi="宋体" w:eastAsia="仿宋_GB2312"/>
          <w:sz w:val="28"/>
          <w:szCs w:val="28"/>
          <w:lang w:val="en-US" w:eastAsia="zh-CN"/>
        </w:rPr>
      </w:pPr>
      <w:r>
        <w:rPr>
          <w:rFonts w:hint="default" w:ascii="仿宋_GB2312" w:hAnsi="宋体" w:eastAsia="仿宋_GB2312"/>
          <w:sz w:val="28"/>
          <w:szCs w:val="28"/>
          <w:lang w:val="en-US" w:eastAsia="zh-CN"/>
        </w:rPr>
        <w:t>法人代表：</w:t>
      </w:r>
      <w:r>
        <w:rPr>
          <w:rFonts w:hint="eastAsia" w:ascii="仿宋_GB2312" w:hAnsi="宋体" w:eastAsia="仿宋_GB2312"/>
          <w:sz w:val="28"/>
          <w:szCs w:val="28"/>
          <w:lang w:val="en-US" w:eastAsia="zh-CN"/>
        </w:rPr>
        <w:t>王辉</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仿宋_GB2312" w:hAnsi="宋体" w:eastAsia="仿宋_GB2312"/>
          <w:sz w:val="28"/>
          <w:szCs w:val="28"/>
          <w:lang w:val="en-US" w:eastAsia="zh-CN"/>
        </w:rPr>
      </w:pPr>
      <w:r>
        <w:rPr>
          <w:rFonts w:hint="default" w:ascii="仿宋_GB2312" w:hAnsi="宋体" w:eastAsia="仿宋_GB2312"/>
          <w:sz w:val="28"/>
          <w:szCs w:val="28"/>
          <w:lang w:val="en-US" w:eastAsia="zh-CN"/>
        </w:rPr>
        <w:t>单位地址：江西省南昌市红谷滩新区</w:t>
      </w:r>
      <w:r>
        <w:rPr>
          <w:rFonts w:hint="eastAsia" w:ascii="仿宋_GB2312" w:hAnsi="宋体" w:eastAsia="仿宋_GB2312"/>
          <w:sz w:val="28"/>
          <w:szCs w:val="28"/>
          <w:lang w:val="en-US" w:eastAsia="zh-CN"/>
        </w:rPr>
        <w:t>丰和</w:t>
      </w:r>
      <w:r>
        <w:rPr>
          <w:rFonts w:hint="default" w:ascii="仿宋_GB2312" w:hAnsi="宋体" w:eastAsia="仿宋_GB2312"/>
          <w:sz w:val="28"/>
          <w:szCs w:val="28"/>
          <w:lang w:val="en-US" w:eastAsia="zh-CN"/>
        </w:rPr>
        <w:t>北大道</w:t>
      </w:r>
      <w:r>
        <w:rPr>
          <w:rFonts w:hint="eastAsia" w:ascii="仿宋_GB2312" w:hAnsi="宋体" w:eastAsia="仿宋_GB2312"/>
          <w:sz w:val="28"/>
          <w:szCs w:val="28"/>
          <w:lang w:val="en-US" w:eastAsia="zh-CN"/>
        </w:rPr>
        <w:t>绿地外滩公馆写字楼19</w:t>
      </w:r>
      <w:r>
        <w:rPr>
          <w:rFonts w:hint="default" w:ascii="仿宋_GB2312" w:hAnsi="宋体" w:eastAsia="仿宋_GB2312"/>
          <w:sz w:val="28"/>
          <w:szCs w:val="28"/>
          <w:lang w:val="en-US" w:eastAsia="zh-CN"/>
        </w:rPr>
        <w:t>栋</w:t>
      </w:r>
      <w:r>
        <w:rPr>
          <w:rFonts w:hint="eastAsia" w:ascii="仿宋_GB2312" w:hAnsi="宋体" w:eastAsia="仿宋_GB2312"/>
          <w:sz w:val="28"/>
          <w:szCs w:val="28"/>
          <w:lang w:val="en-US" w:eastAsia="zh-CN"/>
        </w:rPr>
        <w:t>1402</w:t>
      </w:r>
      <w:r>
        <w:rPr>
          <w:rFonts w:hint="default" w:ascii="仿宋_GB2312" w:hAnsi="宋体" w:eastAsia="仿宋_GB2312"/>
          <w:sz w:val="28"/>
          <w:szCs w:val="28"/>
          <w:lang w:val="en-US" w:eastAsia="zh-CN"/>
        </w:rPr>
        <w:t>室</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仿宋_GB2312" w:hAnsi="宋体" w:eastAsia="仿宋_GB2312"/>
          <w:sz w:val="28"/>
          <w:szCs w:val="28"/>
          <w:lang w:val="en-US" w:eastAsia="zh-CN"/>
        </w:rPr>
      </w:pPr>
      <w:r>
        <w:rPr>
          <w:rFonts w:hint="default" w:ascii="仿宋_GB2312" w:hAnsi="宋体" w:eastAsia="仿宋_GB2312"/>
          <w:sz w:val="28"/>
          <w:szCs w:val="28"/>
          <w:lang w:val="en-US" w:eastAsia="zh-CN"/>
        </w:rPr>
        <w:t>证书编号：赣建房评字1712号</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仿宋_GB2312" w:hAnsi="宋体" w:eastAsia="仿宋_GB2312"/>
          <w:sz w:val="28"/>
          <w:szCs w:val="28"/>
          <w:lang w:val="en-US" w:eastAsia="zh-CN"/>
        </w:rPr>
      </w:pPr>
      <w:r>
        <w:rPr>
          <w:rFonts w:hint="default" w:ascii="仿宋_GB2312" w:hAnsi="宋体" w:eastAsia="仿宋_GB2312"/>
          <w:sz w:val="28"/>
          <w:szCs w:val="28"/>
          <w:lang w:val="en-US" w:eastAsia="zh-CN"/>
        </w:rPr>
        <w:t>备案等级：</w:t>
      </w:r>
      <w:r>
        <w:rPr>
          <w:rFonts w:hint="eastAsia" w:ascii="仿宋_GB2312" w:hAnsi="宋体" w:eastAsia="仿宋_GB2312"/>
          <w:sz w:val="28"/>
          <w:szCs w:val="28"/>
          <w:lang w:val="en-US" w:eastAsia="zh-CN"/>
        </w:rPr>
        <w:t>壹</w:t>
      </w:r>
      <w:r>
        <w:rPr>
          <w:rFonts w:hint="default" w:ascii="仿宋_GB2312" w:hAnsi="宋体" w:eastAsia="仿宋_GB2312"/>
          <w:sz w:val="28"/>
          <w:szCs w:val="28"/>
          <w:lang w:val="en-US" w:eastAsia="zh-CN"/>
        </w:rPr>
        <w:t>级</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仿宋_GB2312" w:hAnsi="宋体" w:eastAsia="仿宋_GB2312"/>
          <w:sz w:val="28"/>
          <w:szCs w:val="28"/>
          <w:lang w:val="en-US" w:eastAsia="zh-CN"/>
        </w:rPr>
      </w:pPr>
      <w:r>
        <w:rPr>
          <w:rFonts w:hint="default" w:ascii="仿宋_GB2312" w:hAnsi="宋体" w:eastAsia="仿宋_GB2312"/>
          <w:sz w:val="28"/>
          <w:szCs w:val="28"/>
          <w:lang w:val="en-US" w:eastAsia="zh-CN"/>
        </w:rPr>
        <w:t>公司类型：有限责任公司（自然人投资或控股）</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rPr>
      </w:pPr>
      <w:r>
        <w:rPr>
          <w:rFonts w:hint="default" w:ascii="仿宋_GB2312" w:hAnsi="宋体" w:eastAsia="仿宋_GB2312"/>
          <w:sz w:val="28"/>
          <w:szCs w:val="28"/>
          <w:lang w:val="en-US" w:eastAsia="zh-CN"/>
        </w:rPr>
        <w:t>经营范围：房地产评估咨询；土地评估咨询服务；房地产营销策划；房地产信息咨询；工程技术咨询服务；测绘服务</w:t>
      </w:r>
      <w:r>
        <w:rPr>
          <w:rFonts w:hint="eastAsia" w:ascii="仿宋_GB2312" w:hAnsi="宋体" w:eastAsia="仿宋_GB2312"/>
          <w:sz w:val="28"/>
          <w:szCs w:val="28"/>
          <w:lang w:val="en-US" w:eastAsia="zh-CN"/>
        </w:rPr>
        <w:t>；资产评估</w:t>
      </w:r>
      <w:r>
        <w:rPr>
          <w:rFonts w:hint="default" w:ascii="仿宋_GB2312" w:hAnsi="宋体" w:eastAsia="仿宋_GB2312"/>
          <w:sz w:val="28"/>
          <w:szCs w:val="28"/>
          <w:lang w:val="en-US" w:eastAsia="zh-CN"/>
        </w:rPr>
        <w:t>（依法须经批准的项目，经相关部门批准后方可开展经营活动）***</w:t>
      </w:r>
    </w:p>
    <w:p>
      <w:pPr>
        <w:pStyle w:val="4"/>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eastAsia="仿宋_GB2312"/>
          <w:b/>
        </w:rPr>
      </w:pPr>
      <w:bookmarkStart w:id="15" w:name="_Toc536174650"/>
      <w:bookmarkStart w:id="16" w:name="_Toc9510"/>
      <w:bookmarkStart w:id="17" w:name="_Toc13433"/>
      <w:r>
        <w:rPr>
          <w:rFonts w:hint="eastAsia" w:ascii="仿宋_GB2312" w:eastAsia="仿宋_GB2312"/>
          <w:b/>
        </w:rPr>
        <w:t>（三）</w:t>
      </w:r>
      <w:bookmarkEnd w:id="15"/>
      <w:bookmarkEnd w:id="16"/>
      <w:r>
        <w:rPr>
          <w:rFonts w:hint="eastAsia" w:ascii="仿宋_GB2312" w:eastAsia="仿宋_GB2312"/>
          <w:b/>
          <w:lang w:eastAsia="zh-CN"/>
        </w:rPr>
        <w:t>估价目的</w:t>
      </w:r>
      <w:bookmarkEnd w:id="17"/>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b/>
        </w:rPr>
      </w:pPr>
      <w:r>
        <w:rPr>
          <w:rFonts w:hint="eastAsia" w:ascii="仿宋_GB2312" w:hAnsi="宋体" w:eastAsia="仿宋_GB2312"/>
          <w:sz w:val="28"/>
          <w:szCs w:val="28"/>
          <w:lang w:eastAsia="zh-CN"/>
        </w:rPr>
        <w:t>为人民法院确定房地产处置参考价提供参考依据</w:t>
      </w:r>
      <w:r>
        <w:rPr>
          <w:rFonts w:hint="eastAsia" w:ascii="仿宋_GB2312" w:hAnsi="宋体" w:eastAsia="仿宋_GB2312"/>
          <w:color w:val="auto"/>
          <w:spacing w:val="-10"/>
          <w:sz w:val="28"/>
          <w:szCs w:val="28"/>
        </w:rPr>
        <w:t>。</w:t>
      </w:r>
    </w:p>
    <w:p>
      <w:pPr>
        <w:pStyle w:val="4"/>
        <w:pageBreakBefore w:val="0"/>
        <w:widowControl w:val="0"/>
        <w:numPr>
          <w:ilvl w:val="0"/>
          <w:numId w:val="0"/>
        </w:numPr>
        <w:kinsoku/>
        <w:wordWrap/>
        <w:overflowPunct/>
        <w:topLinePunct w:val="0"/>
        <w:autoSpaceDE/>
        <w:autoSpaceDN/>
        <w:bidi w:val="0"/>
        <w:adjustRightInd w:val="0"/>
        <w:snapToGrid w:val="0"/>
        <w:spacing w:line="480" w:lineRule="exact"/>
        <w:textAlignment w:val="auto"/>
        <w:rPr>
          <w:rFonts w:hint="eastAsia" w:ascii="仿宋_GB2312" w:eastAsia="仿宋_GB2312"/>
          <w:b/>
          <w:lang w:eastAsia="zh-CN"/>
        </w:rPr>
      </w:pPr>
      <w:bookmarkStart w:id="18" w:name="_Toc23776"/>
      <w:r>
        <w:rPr>
          <w:rFonts w:hint="eastAsia" w:ascii="仿宋_GB2312" w:eastAsia="仿宋_GB2312"/>
          <w:b/>
          <w:lang w:eastAsia="zh-CN"/>
        </w:rPr>
        <w:t>（四）估价对象</w:t>
      </w:r>
      <w:bookmarkEnd w:id="18"/>
    </w:p>
    <w:p>
      <w:pPr>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仿宋_GB2312" w:hAnsi="宋体" w:eastAsia="仿宋_GB2312"/>
          <w:sz w:val="28"/>
          <w:szCs w:val="28"/>
          <w:lang w:val="en-US"/>
        </w:rPr>
      </w:pPr>
      <w:r>
        <w:rPr>
          <w:rFonts w:hint="eastAsia"/>
          <w:lang w:val="en-US" w:eastAsia="zh-CN"/>
        </w:rPr>
        <w:t xml:space="preserve"> </w:t>
      </w:r>
      <w:r>
        <w:rPr>
          <w:rFonts w:hint="eastAsia" w:ascii="仿宋_GB2312" w:hAnsi="宋体" w:eastAsia="仿宋_GB2312"/>
          <w:b/>
          <w:bCs/>
          <w:sz w:val="28"/>
          <w:szCs w:val="28"/>
          <w:lang w:val="en-US" w:eastAsia="zh-CN"/>
        </w:rPr>
        <w:t>1、实物状况描述与分析</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val="en-US" w:eastAsia="zh-CN"/>
        </w:rPr>
      </w:pPr>
      <w:r>
        <w:rPr>
          <w:rFonts w:eastAsia="仿宋"/>
          <w:sz w:val="28"/>
        </w:rPr>
        <w:t>根据估价委托人提供的</w:t>
      </w:r>
      <w:r>
        <w:rPr>
          <w:rFonts w:hint="eastAsia" w:eastAsia="仿宋"/>
          <w:sz w:val="28"/>
          <w:lang w:eastAsia="zh-CN"/>
        </w:rPr>
        <w:t>《宜丰县人民法院委托书》【（</w:t>
      </w:r>
      <w:r>
        <w:rPr>
          <w:rFonts w:hint="eastAsia" w:eastAsia="仿宋"/>
          <w:sz w:val="28"/>
          <w:lang w:val="en-US" w:eastAsia="zh-CN"/>
        </w:rPr>
        <w:t>2022</w:t>
      </w:r>
      <w:r>
        <w:rPr>
          <w:rFonts w:hint="eastAsia" w:eastAsia="仿宋"/>
          <w:sz w:val="28"/>
          <w:lang w:eastAsia="zh-CN"/>
        </w:rPr>
        <w:t>）赣</w:t>
      </w:r>
      <w:r>
        <w:rPr>
          <w:rFonts w:hint="eastAsia" w:eastAsia="仿宋"/>
          <w:sz w:val="28"/>
          <w:lang w:val="en-US" w:eastAsia="zh-CN"/>
        </w:rPr>
        <w:t>0924执372号</w:t>
      </w:r>
      <w:r>
        <w:rPr>
          <w:rFonts w:hint="eastAsia" w:eastAsia="仿宋"/>
          <w:sz w:val="28"/>
          <w:lang w:eastAsia="zh-CN"/>
        </w:rPr>
        <w:t>】、《江西省宜丰县人民法院协助执行通知书》【（</w:t>
      </w:r>
      <w:r>
        <w:rPr>
          <w:rFonts w:hint="eastAsia" w:eastAsia="仿宋"/>
          <w:sz w:val="28"/>
          <w:lang w:val="en-US" w:eastAsia="zh-CN"/>
        </w:rPr>
        <w:t>2020</w:t>
      </w:r>
      <w:r>
        <w:rPr>
          <w:rFonts w:hint="eastAsia" w:eastAsia="仿宋"/>
          <w:sz w:val="28"/>
          <w:lang w:eastAsia="zh-CN"/>
        </w:rPr>
        <w:t>）赣</w:t>
      </w:r>
      <w:r>
        <w:rPr>
          <w:rFonts w:hint="eastAsia" w:eastAsia="仿宋"/>
          <w:sz w:val="28"/>
          <w:lang w:val="en-US" w:eastAsia="zh-CN"/>
        </w:rPr>
        <w:t>0924执保24号</w:t>
      </w:r>
      <w:r>
        <w:rPr>
          <w:rFonts w:hint="eastAsia" w:eastAsia="仿宋"/>
          <w:sz w:val="28"/>
          <w:lang w:eastAsia="zh-CN"/>
        </w:rPr>
        <w:t>】、《面积测算报告》</w:t>
      </w:r>
      <w:r>
        <w:rPr>
          <w:rFonts w:eastAsia="仿宋"/>
          <w:sz w:val="28"/>
        </w:rPr>
        <w:t>复印件和估价人员实地查勘</w:t>
      </w:r>
      <w:r>
        <w:rPr>
          <w:rFonts w:hint="eastAsia" w:eastAsia="仿宋"/>
          <w:sz w:val="28"/>
          <w:lang w:eastAsia="zh-CN"/>
        </w:rPr>
        <w:t>，</w:t>
      </w:r>
      <w:r>
        <w:rPr>
          <w:rFonts w:hint="eastAsia" w:ascii="仿宋_GB2312" w:hAnsi="宋体" w:eastAsia="仿宋_GB2312"/>
          <w:sz w:val="28"/>
          <w:szCs w:val="28"/>
          <w:lang w:val="en-US" w:eastAsia="zh-CN"/>
        </w:rPr>
        <w:t>估价对象位于</w:t>
      </w:r>
      <w:r>
        <w:rPr>
          <w:rFonts w:hint="eastAsia" w:ascii="仿宋_GB2312" w:hAnsi="宋体" w:eastAsia="仿宋_GB2312"/>
          <w:sz w:val="28"/>
          <w:szCs w:val="28"/>
          <w:lang w:eastAsia="zh-CN"/>
        </w:rPr>
        <w:t>江西省宜丰县石市镇明珠小区1栋、5栋、4栋共三十处房地产</w:t>
      </w:r>
      <w:r>
        <w:rPr>
          <w:rFonts w:hint="eastAsia" w:ascii="仿宋_GB2312" w:hAnsi="宋体" w:eastAsia="仿宋_GB2312"/>
          <w:sz w:val="28"/>
          <w:szCs w:val="28"/>
          <w:lang w:val="en-US" w:eastAsia="zh-CN"/>
        </w:rPr>
        <w:t>，实际为钢混结构，</w:t>
      </w:r>
      <w:r>
        <w:rPr>
          <w:rFonts w:hint="eastAsia" w:eastAsia="仿宋"/>
          <w:sz w:val="28"/>
          <w:lang w:eastAsia="zh-CN"/>
        </w:rPr>
        <w:t>建成</w:t>
      </w:r>
      <w:r>
        <w:rPr>
          <w:rFonts w:hint="eastAsia" w:ascii="仿宋_GB2312" w:hAnsi="宋体" w:eastAsia="仿宋_GB2312"/>
          <w:sz w:val="28"/>
          <w:szCs w:val="28"/>
          <w:lang w:val="en-US" w:eastAsia="zh-CN"/>
        </w:rPr>
        <w:t>于2018年，目前是空置，总建筑面积为3916.67平方米；住宅户型为三房两厅二卫一厨两阳台，入户门为防盗门、室内装修为毛坯；店面入户门为卷帘门、室内装修为毛坯；建筑外墙面为涂料，使用及维护状况一般；估价对象平面布置较规则。</w:t>
      </w:r>
    </w:p>
    <w:p>
      <w:pPr>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default" w:ascii="仿宋_GB2312" w:hAnsi="宋体" w:eastAsia="仿宋_GB2312"/>
          <w:sz w:val="28"/>
          <w:szCs w:val="28"/>
          <w:lang w:val="en-US" w:eastAsia="zh-CN"/>
        </w:rPr>
      </w:pPr>
      <w:r>
        <w:rPr>
          <w:rFonts w:hint="eastAsia" w:ascii="仿宋" w:hAnsi="仿宋" w:eastAsia="仿宋" w:cs="仿宋"/>
          <w:b/>
          <w:color w:val="auto"/>
          <w:kern w:val="2"/>
          <w:sz w:val="28"/>
          <w:szCs w:val="28"/>
          <w:lang w:val="en-US" w:eastAsia="zh-CN" w:bidi="ar"/>
        </w:rPr>
        <w:t>2、权益状况描述与分析</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）房屋权益状况：</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
          <w:sz w:val="28"/>
          <w:szCs w:val="28"/>
          <w:lang w:eastAsia="zh-CN"/>
        </w:rPr>
      </w:pPr>
      <w:r>
        <w:rPr>
          <w:rFonts w:eastAsia="仿宋"/>
          <w:sz w:val="28"/>
        </w:rPr>
        <w:t>根据委托方提供的</w:t>
      </w:r>
      <w:r>
        <w:rPr>
          <w:rFonts w:hint="eastAsia" w:eastAsia="仿宋"/>
          <w:sz w:val="28"/>
          <w:lang w:eastAsia="zh-CN"/>
        </w:rPr>
        <w:t>《宜丰县人民法院委托书》【（</w:t>
      </w:r>
      <w:r>
        <w:rPr>
          <w:rFonts w:hint="eastAsia" w:eastAsia="仿宋"/>
          <w:sz w:val="28"/>
          <w:lang w:val="en-US" w:eastAsia="zh-CN"/>
        </w:rPr>
        <w:t>2022</w:t>
      </w:r>
      <w:r>
        <w:rPr>
          <w:rFonts w:hint="eastAsia" w:eastAsia="仿宋"/>
          <w:sz w:val="28"/>
          <w:lang w:eastAsia="zh-CN"/>
        </w:rPr>
        <w:t>）赣</w:t>
      </w:r>
      <w:r>
        <w:rPr>
          <w:rFonts w:hint="eastAsia" w:eastAsia="仿宋"/>
          <w:sz w:val="28"/>
          <w:lang w:val="en-US" w:eastAsia="zh-CN"/>
        </w:rPr>
        <w:t>0924执372号</w:t>
      </w:r>
      <w:r>
        <w:rPr>
          <w:rFonts w:hint="eastAsia" w:eastAsia="仿宋"/>
          <w:sz w:val="28"/>
          <w:lang w:eastAsia="zh-CN"/>
        </w:rPr>
        <w:t>】、《江西省宜丰县人民法院协助执行通知书》【（</w:t>
      </w:r>
      <w:r>
        <w:rPr>
          <w:rFonts w:hint="eastAsia" w:eastAsia="仿宋"/>
          <w:sz w:val="28"/>
          <w:lang w:val="en-US" w:eastAsia="zh-CN"/>
        </w:rPr>
        <w:t>2020</w:t>
      </w:r>
      <w:r>
        <w:rPr>
          <w:rFonts w:hint="eastAsia" w:eastAsia="仿宋"/>
          <w:sz w:val="28"/>
          <w:lang w:eastAsia="zh-CN"/>
        </w:rPr>
        <w:t>）赣</w:t>
      </w:r>
      <w:r>
        <w:rPr>
          <w:rFonts w:hint="eastAsia" w:eastAsia="仿宋"/>
          <w:sz w:val="28"/>
          <w:lang w:val="en-US" w:eastAsia="zh-CN"/>
        </w:rPr>
        <w:t>0924执保24号</w:t>
      </w:r>
      <w:r>
        <w:rPr>
          <w:rFonts w:hint="eastAsia" w:eastAsia="仿宋"/>
          <w:sz w:val="28"/>
          <w:lang w:eastAsia="zh-CN"/>
        </w:rPr>
        <w:t>】、《面积测算报告》、《国有建设用地使用权成交确认书》《建设用地规划许可证》【地字第（</w:t>
      </w:r>
      <w:r>
        <w:rPr>
          <w:rFonts w:hint="eastAsia" w:eastAsia="仿宋"/>
          <w:sz w:val="28"/>
          <w:lang w:val="en-US" w:eastAsia="zh-CN"/>
        </w:rPr>
        <w:t>2015</w:t>
      </w:r>
      <w:r>
        <w:rPr>
          <w:rFonts w:hint="eastAsia" w:eastAsia="仿宋"/>
          <w:sz w:val="28"/>
          <w:lang w:eastAsia="zh-CN"/>
        </w:rPr>
        <w:t>）</w:t>
      </w:r>
      <w:r>
        <w:rPr>
          <w:rFonts w:hint="eastAsia" w:eastAsia="仿宋"/>
          <w:sz w:val="28"/>
          <w:lang w:val="en-US" w:eastAsia="zh-CN"/>
        </w:rPr>
        <w:t>023号</w:t>
      </w:r>
      <w:r>
        <w:rPr>
          <w:rFonts w:hint="eastAsia" w:eastAsia="仿宋"/>
          <w:sz w:val="28"/>
          <w:lang w:eastAsia="zh-CN"/>
        </w:rPr>
        <w:t>】、《建设工程规划许可证》【建字第（</w:t>
      </w:r>
      <w:r>
        <w:rPr>
          <w:rFonts w:hint="eastAsia" w:eastAsia="仿宋"/>
          <w:sz w:val="28"/>
          <w:lang w:val="en-US" w:eastAsia="zh-CN"/>
        </w:rPr>
        <w:t>2016</w:t>
      </w:r>
      <w:r>
        <w:rPr>
          <w:rFonts w:hint="eastAsia" w:eastAsia="仿宋"/>
          <w:sz w:val="28"/>
          <w:lang w:eastAsia="zh-CN"/>
        </w:rPr>
        <w:t>）</w:t>
      </w:r>
      <w:r>
        <w:rPr>
          <w:rFonts w:hint="eastAsia" w:eastAsia="仿宋"/>
          <w:sz w:val="28"/>
          <w:lang w:val="en-US" w:eastAsia="zh-CN"/>
        </w:rPr>
        <w:t>003号</w:t>
      </w:r>
      <w:r>
        <w:rPr>
          <w:rFonts w:hint="eastAsia" w:eastAsia="仿宋"/>
          <w:sz w:val="28"/>
          <w:lang w:eastAsia="zh-CN"/>
        </w:rPr>
        <w:t>】、《宜丰县人民政府关于</w:t>
      </w:r>
      <w:r>
        <w:rPr>
          <w:rFonts w:hint="eastAsia" w:eastAsia="仿宋"/>
          <w:sz w:val="28"/>
          <w:lang w:val="en-US" w:eastAsia="zh-CN"/>
        </w:rPr>
        <w:t>2016年城市建设用地供地的批发</w:t>
      </w:r>
      <w:r>
        <w:rPr>
          <w:rFonts w:hint="eastAsia" w:eastAsia="仿宋"/>
          <w:sz w:val="28"/>
          <w:lang w:eastAsia="zh-CN"/>
        </w:rPr>
        <w:t>》</w:t>
      </w:r>
      <w:r>
        <w:rPr>
          <w:rFonts w:hint="eastAsia" w:eastAsia="仿宋"/>
          <w:sz w:val="28"/>
          <w:lang w:val="en-US" w:eastAsia="zh-CN"/>
        </w:rPr>
        <w:t>【宜府字（2016）10号】</w:t>
      </w:r>
      <w:r>
        <w:rPr>
          <w:rFonts w:eastAsia="仿宋"/>
          <w:sz w:val="28"/>
        </w:rPr>
        <w:t>复印件，目前估价对象产权清晰，详见物业权属状况明细表</w:t>
      </w:r>
      <w:r>
        <w:rPr>
          <w:rFonts w:hint="eastAsia" w:eastAsia="仿宋"/>
          <w:sz w:val="28"/>
          <w:lang w:eastAsia="zh-CN"/>
        </w:rPr>
        <w:t>：</w:t>
      </w: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仿宋_GB2312" w:hAnsi="宋体" w:eastAsia="仿宋_GB2312"/>
          <w:b/>
          <w:bCs/>
          <w:sz w:val="28"/>
          <w:szCs w:val="28"/>
          <w:lang w:eastAsia="zh-CN"/>
        </w:rPr>
      </w:pPr>
      <w:r>
        <w:rPr>
          <w:rFonts w:hint="eastAsia" w:ascii="仿宋" w:hAnsi="仿宋" w:eastAsia="仿宋" w:cs="仿宋"/>
          <w:b/>
          <w:bCs w:val="0"/>
          <w:color w:val="auto"/>
          <w:kern w:val="2"/>
          <w:sz w:val="28"/>
          <w:szCs w:val="28"/>
          <w:lang w:val="en-US" w:eastAsia="zh-CN" w:bidi="ar"/>
        </w:rPr>
        <w:t>房屋权益状况明细表</w:t>
      </w:r>
    </w:p>
    <w:tbl>
      <w:tblPr>
        <w:tblStyle w:val="12"/>
        <w:tblW w:w="104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9"/>
        <w:gridCol w:w="1255"/>
        <w:gridCol w:w="1547"/>
        <w:gridCol w:w="2105"/>
        <w:gridCol w:w="1210"/>
        <w:gridCol w:w="804"/>
        <w:gridCol w:w="713"/>
        <w:gridCol w:w="1073"/>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6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《不动产权证书》编号</w:t>
            </w:r>
          </w:p>
        </w:tc>
        <w:tc>
          <w:tcPr>
            <w:tcW w:w="154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权利人</w:t>
            </w:r>
          </w:p>
        </w:tc>
        <w:tc>
          <w:tcPr>
            <w:tcW w:w="21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地址</w:t>
            </w:r>
          </w:p>
        </w:tc>
        <w:tc>
          <w:tcPr>
            <w:tcW w:w="121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房号</w:t>
            </w:r>
          </w:p>
        </w:tc>
        <w:tc>
          <w:tcPr>
            <w:tcW w:w="80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结构</w:t>
            </w:r>
          </w:p>
        </w:tc>
        <w:tc>
          <w:tcPr>
            <w:tcW w:w="71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用途</w:t>
            </w:r>
          </w:p>
        </w:tc>
        <w:tc>
          <w:tcPr>
            <w:tcW w:w="107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评估层/总楼层</w:t>
            </w:r>
          </w:p>
        </w:tc>
        <w:tc>
          <w:tcPr>
            <w:tcW w:w="114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61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1栋1单元401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1栋1单元402</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1栋1单元301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5栋1单元301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5栋1单元302</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5栋1单元401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5栋1单元402</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5栋1单元501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5栋1单元502</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5栋3单元301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5栋3单元401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5栋3单元402</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5栋3单元501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5栋3单元502</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4栋1单元301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4栋1单元302</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4栋1单元401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4栋1单元402</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4栋1单元501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4栋1单元502</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4栋3单元301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4栋3单元302</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4栋3单元401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4栋3单元402</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4栋3单元501</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4栋3单元502</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4栋137</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商铺</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4栋138</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商铺</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4栋139</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商铺</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江西盛杰房地产开发有限公司</w:t>
            </w:r>
          </w:p>
        </w:tc>
        <w:tc>
          <w:tcPr>
            <w:tcW w:w="2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江西省宜丰县石市镇明珠小区</w:t>
            </w:r>
          </w:p>
        </w:tc>
        <w:tc>
          <w:tcPr>
            <w:tcW w:w="121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4栋140</w:t>
            </w:r>
          </w:p>
        </w:tc>
        <w:tc>
          <w:tcPr>
            <w:tcW w:w="8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w:t>
            </w:r>
          </w:p>
        </w:tc>
        <w:tc>
          <w:tcPr>
            <w:tcW w:w="7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商铺</w:t>
            </w:r>
          </w:p>
        </w:tc>
        <w:tc>
          <w:tcPr>
            <w:tcW w:w="107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49"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9326" w:type="dxa"/>
            <w:gridSpan w:val="8"/>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14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3916.67</w:t>
            </w:r>
          </w:p>
        </w:tc>
      </w:tr>
    </w:tbl>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仿宋_GB2312" w:hAnsi="宋体" w:eastAsia="仿宋_GB2312"/>
          <w:b/>
          <w:bCs/>
          <w:sz w:val="28"/>
          <w:szCs w:val="28"/>
          <w:lang w:eastAsia="zh-CN"/>
        </w:rPr>
      </w:pPr>
    </w:p>
    <w:p>
      <w:pPr>
        <w:tabs>
          <w:tab w:val="left" w:pos="540"/>
        </w:tabs>
        <w:adjustRightInd w:val="0"/>
        <w:snapToGrid w:val="0"/>
        <w:spacing w:line="520" w:lineRule="exact"/>
        <w:jc w:val="center"/>
        <w:rPr>
          <w:rFonts w:eastAsia="仿宋"/>
          <w:b/>
          <w:sz w:val="28"/>
          <w:szCs w:val="28"/>
        </w:rPr>
      </w:pPr>
      <w:r>
        <w:rPr>
          <w:rFonts w:eastAsia="仿宋"/>
          <w:b/>
          <w:bCs/>
          <w:sz w:val="28"/>
        </w:rPr>
        <w:t>土地权属状况明细表</w:t>
      </w:r>
    </w:p>
    <w:tbl>
      <w:tblPr>
        <w:tblStyle w:val="12"/>
        <w:tblW w:w="4673" w:type="pct"/>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612"/>
        <w:gridCol w:w="1158"/>
        <w:gridCol w:w="1929"/>
        <w:gridCol w:w="986"/>
        <w:gridCol w:w="1181"/>
        <w:gridCol w:w="1194"/>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485" w:hRule="exact"/>
          <w:jc w:val="center"/>
        </w:trPr>
        <w:tc>
          <w:tcPr>
            <w:tcW w:w="1000" w:type="pct"/>
            <w:vAlign w:val="center"/>
          </w:tcPr>
          <w:p>
            <w:pPr>
              <w:widowControl/>
              <w:spacing w:line="240" w:lineRule="exact"/>
              <w:jc w:val="center"/>
              <w:rPr>
                <w:rFonts w:eastAsia="仿宋"/>
                <w:kern w:val="0"/>
                <w:sz w:val="18"/>
                <w:szCs w:val="18"/>
              </w:rPr>
            </w:pPr>
            <w:r>
              <w:rPr>
                <w:rFonts w:hint="eastAsia" w:ascii="仿宋_GB2312" w:hAnsi="宋体" w:eastAsia="仿宋_GB2312" w:cs="仿宋_GB2312"/>
                <w:b/>
                <w:bCs/>
                <w:i w:val="0"/>
                <w:color w:val="000000"/>
                <w:sz w:val="18"/>
                <w:szCs w:val="18"/>
                <w:u w:val="none"/>
                <w:lang w:val="en-US" w:eastAsia="zh-CN"/>
              </w:rPr>
              <w:t>不动产产权证书号</w:t>
            </w:r>
          </w:p>
        </w:tc>
        <w:tc>
          <w:tcPr>
            <w:tcW w:w="718" w:type="pct"/>
            <w:tcBorders>
              <w:right w:val="single" w:color="auto" w:sz="4" w:space="0"/>
            </w:tcBorders>
            <w:vAlign w:val="center"/>
          </w:tcPr>
          <w:p>
            <w:pPr>
              <w:widowControl/>
              <w:spacing w:line="240" w:lineRule="exact"/>
              <w:jc w:val="center"/>
              <w:rPr>
                <w:rFonts w:eastAsia="仿宋"/>
                <w:b/>
                <w:bCs/>
                <w:kern w:val="0"/>
                <w:sz w:val="18"/>
                <w:szCs w:val="18"/>
              </w:rPr>
            </w:pPr>
            <w:r>
              <w:rPr>
                <w:rFonts w:hint="eastAsia" w:eastAsia="仿宋"/>
                <w:b/>
                <w:bCs/>
                <w:kern w:val="0"/>
                <w:sz w:val="18"/>
                <w:szCs w:val="18"/>
                <w:lang w:val="zh-CN"/>
              </w:rPr>
              <w:t>土地使用</w:t>
            </w:r>
            <w:r>
              <w:rPr>
                <w:rFonts w:eastAsia="仿宋"/>
                <w:b/>
                <w:bCs/>
                <w:kern w:val="0"/>
                <w:sz w:val="18"/>
                <w:szCs w:val="18"/>
                <w:lang w:val="zh-CN"/>
              </w:rPr>
              <w:t>权人</w:t>
            </w:r>
          </w:p>
        </w:tc>
        <w:tc>
          <w:tcPr>
            <w:tcW w:w="1196" w:type="pct"/>
            <w:tcBorders>
              <w:left w:val="single" w:color="auto" w:sz="4" w:space="0"/>
            </w:tcBorders>
            <w:vAlign w:val="center"/>
          </w:tcPr>
          <w:p>
            <w:pPr>
              <w:widowControl/>
              <w:adjustRightInd w:val="0"/>
              <w:snapToGrid w:val="0"/>
              <w:spacing w:line="240" w:lineRule="exact"/>
              <w:jc w:val="center"/>
              <w:rPr>
                <w:rFonts w:eastAsia="仿宋"/>
                <w:b/>
                <w:bCs/>
                <w:sz w:val="18"/>
                <w:szCs w:val="18"/>
              </w:rPr>
            </w:pPr>
            <w:r>
              <w:rPr>
                <w:rFonts w:eastAsia="仿宋"/>
                <w:b/>
                <w:bCs/>
                <w:sz w:val="18"/>
                <w:szCs w:val="18"/>
              </w:rPr>
              <w:t>坐落</w:t>
            </w:r>
          </w:p>
        </w:tc>
        <w:tc>
          <w:tcPr>
            <w:tcW w:w="611" w:type="pct"/>
            <w:vAlign w:val="center"/>
          </w:tcPr>
          <w:p>
            <w:pPr>
              <w:widowControl/>
              <w:adjustRightInd w:val="0"/>
              <w:snapToGrid w:val="0"/>
              <w:spacing w:line="240" w:lineRule="exact"/>
              <w:jc w:val="center"/>
              <w:rPr>
                <w:rFonts w:eastAsia="仿宋"/>
                <w:b/>
                <w:bCs/>
                <w:sz w:val="18"/>
                <w:szCs w:val="18"/>
              </w:rPr>
            </w:pPr>
            <w:r>
              <w:rPr>
                <w:rFonts w:hint="eastAsia" w:eastAsia="仿宋"/>
                <w:b/>
                <w:bCs/>
                <w:sz w:val="18"/>
                <w:szCs w:val="18"/>
                <w:lang w:val="en-US" w:eastAsia="zh-CN"/>
              </w:rPr>
              <w:t>土地</w:t>
            </w:r>
            <w:r>
              <w:rPr>
                <w:rFonts w:eastAsia="仿宋"/>
                <w:b/>
                <w:bCs/>
                <w:sz w:val="18"/>
                <w:szCs w:val="18"/>
              </w:rPr>
              <w:t>用途</w:t>
            </w:r>
          </w:p>
        </w:tc>
        <w:tc>
          <w:tcPr>
            <w:tcW w:w="732" w:type="pct"/>
            <w:vAlign w:val="center"/>
          </w:tcPr>
          <w:p>
            <w:pPr>
              <w:widowControl/>
              <w:spacing w:line="240" w:lineRule="exact"/>
              <w:jc w:val="center"/>
              <w:rPr>
                <w:rFonts w:hint="default" w:eastAsia="仿宋"/>
                <w:b/>
                <w:bCs/>
                <w:kern w:val="0"/>
                <w:sz w:val="18"/>
                <w:szCs w:val="18"/>
                <w:lang w:val="en-US"/>
              </w:rPr>
            </w:pPr>
            <w:r>
              <w:rPr>
                <w:rFonts w:eastAsia="仿宋"/>
                <w:b/>
                <w:bCs/>
                <w:kern w:val="0"/>
                <w:sz w:val="18"/>
                <w:szCs w:val="18"/>
              </w:rPr>
              <w:t>土地</w:t>
            </w:r>
            <w:r>
              <w:rPr>
                <w:rFonts w:hint="eastAsia" w:eastAsia="仿宋"/>
                <w:b/>
                <w:bCs/>
                <w:kern w:val="0"/>
                <w:sz w:val="18"/>
                <w:szCs w:val="18"/>
                <w:lang w:val="en-US" w:eastAsia="zh-CN"/>
              </w:rPr>
              <w:t>权利性质</w:t>
            </w:r>
          </w:p>
        </w:tc>
        <w:tc>
          <w:tcPr>
            <w:tcW w:w="740" w:type="pct"/>
            <w:vAlign w:val="center"/>
          </w:tcPr>
          <w:p>
            <w:pPr>
              <w:widowControl/>
              <w:spacing w:line="240" w:lineRule="exact"/>
              <w:jc w:val="center"/>
              <w:rPr>
                <w:rFonts w:eastAsia="仿宋"/>
                <w:b/>
                <w:bCs/>
                <w:kern w:val="0"/>
                <w:sz w:val="18"/>
                <w:szCs w:val="18"/>
              </w:rPr>
            </w:pPr>
            <w:r>
              <w:rPr>
                <w:rFonts w:hint="eastAsia" w:eastAsia="仿宋"/>
                <w:b/>
                <w:bCs/>
                <w:kern w:val="0"/>
                <w:sz w:val="18"/>
                <w:szCs w:val="18"/>
                <w:lang w:val="en-US" w:eastAsia="zh-CN"/>
              </w:rPr>
              <w:t>土地</w:t>
            </w:r>
            <w:r>
              <w:rPr>
                <w:rFonts w:eastAsia="仿宋"/>
                <w:b/>
                <w:bCs/>
                <w:kern w:val="0"/>
                <w:sz w:val="18"/>
                <w:szCs w:val="18"/>
              </w:rPr>
              <w:t>使用权面积（㎡）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928" w:hRule="atLeast"/>
          <w:jc w:val="center"/>
        </w:trPr>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eastAsia="仿宋"/>
                <w:kern w:val="0"/>
                <w:sz w:val="18"/>
                <w:szCs w:val="18"/>
                <w:lang w:val="en-US" w:eastAsia="zh-CN"/>
              </w:rPr>
            </w:pPr>
            <w:r>
              <w:rPr>
                <w:rFonts w:hint="eastAsia" w:ascii="仿宋_GB2312" w:hAnsi="宋体" w:eastAsia="仿宋_GB2312" w:cs="仿宋_GB2312"/>
                <w:i w:val="0"/>
                <w:color w:val="000000"/>
                <w:sz w:val="18"/>
                <w:szCs w:val="18"/>
                <w:u w:val="none"/>
                <w:lang w:val="en-US" w:eastAsia="zh-CN"/>
              </w:rPr>
              <w:t>-</w:t>
            </w:r>
          </w:p>
        </w:tc>
        <w:tc>
          <w:tcPr>
            <w:tcW w:w="718" w:type="pct"/>
            <w:tcBorders>
              <w:right w:val="single" w:color="auto" w:sz="4" w:space="0"/>
            </w:tcBorders>
            <w:vAlign w:val="center"/>
          </w:tcPr>
          <w:p>
            <w:pPr>
              <w:widowControl/>
              <w:jc w:val="center"/>
              <w:rPr>
                <w:rFonts w:hint="eastAsia" w:eastAsia="仿宋"/>
                <w:kern w:val="0"/>
                <w:sz w:val="18"/>
                <w:szCs w:val="18"/>
                <w:lang w:eastAsia="zh-CN"/>
              </w:rPr>
            </w:pPr>
            <w:r>
              <w:rPr>
                <w:rFonts w:hint="eastAsia" w:eastAsia="仿宋"/>
                <w:kern w:val="0"/>
                <w:sz w:val="18"/>
                <w:szCs w:val="18"/>
                <w:lang w:eastAsia="zh-CN"/>
              </w:rPr>
              <w:t>江西盛杰房地产开发有限公司</w:t>
            </w:r>
          </w:p>
        </w:tc>
        <w:tc>
          <w:tcPr>
            <w:tcW w:w="1196"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eastAsia="仿宋"/>
                <w:kern w:val="0"/>
                <w:sz w:val="18"/>
                <w:szCs w:val="18"/>
                <w:lang w:val="en-US"/>
              </w:rPr>
            </w:pPr>
            <w:r>
              <w:rPr>
                <w:rFonts w:hint="eastAsia" w:ascii="仿宋_GB2312" w:hAnsi="宋体" w:eastAsia="仿宋_GB2312" w:cs="仿宋_GB2312"/>
                <w:i w:val="0"/>
                <w:color w:val="000000"/>
                <w:sz w:val="18"/>
                <w:szCs w:val="18"/>
                <w:u w:val="none"/>
                <w:lang w:val="en-US" w:eastAsia="zh-CN"/>
              </w:rPr>
              <w:t>石市镇320国道连接线西北转角宗地</w:t>
            </w:r>
          </w:p>
        </w:tc>
        <w:tc>
          <w:tcPr>
            <w:tcW w:w="611" w:type="pct"/>
            <w:vAlign w:val="center"/>
          </w:tcPr>
          <w:p>
            <w:pPr>
              <w:widowControl/>
              <w:spacing w:line="240" w:lineRule="exact"/>
              <w:jc w:val="center"/>
              <w:rPr>
                <w:rFonts w:hint="default" w:eastAsia="仿宋"/>
                <w:kern w:val="0"/>
                <w:sz w:val="18"/>
                <w:szCs w:val="18"/>
                <w:lang w:val="en-US" w:eastAsia="zh-CN"/>
              </w:rPr>
            </w:pPr>
            <w:r>
              <w:rPr>
                <w:rFonts w:hint="eastAsia" w:eastAsia="仿宋"/>
                <w:kern w:val="0"/>
                <w:sz w:val="18"/>
                <w:szCs w:val="18"/>
                <w:lang w:val="en-US" w:eastAsia="zh-CN"/>
              </w:rPr>
              <w:t>商业、住宅用地</w:t>
            </w:r>
          </w:p>
        </w:tc>
        <w:tc>
          <w:tcPr>
            <w:tcW w:w="732" w:type="pct"/>
            <w:vAlign w:val="center"/>
          </w:tcPr>
          <w:p>
            <w:pPr>
              <w:widowControl/>
              <w:spacing w:line="240" w:lineRule="exact"/>
              <w:jc w:val="center"/>
              <w:rPr>
                <w:rFonts w:eastAsia="仿宋"/>
                <w:kern w:val="0"/>
                <w:sz w:val="18"/>
                <w:szCs w:val="18"/>
              </w:rPr>
            </w:pPr>
            <w:r>
              <w:rPr>
                <w:rFonts w:eastAsia="仿宋"/>
                <w:kern w:val="0"/>
                <w:sz w:val="18"/>
                <w:szCs w:val="18"/>
              </w:rPr>
              <w:t>出让</w:t>
            </w:r>
          </w:p>
        </w:tc>
        <w:tc>
          <w:tcPr>
            <w:tcW w:w="740" w:type="pct"/>
            <w:vAlign w:val="center"/>
          </w:tcPr>
          <w:p>
            <w:pPr>
              <w:widowControl/>
              <w:spacing w:line="240" w:lineRule="exact"/>
              <w:jc w:val="center"/>
              <w:rPr>
                <w:rFonts w:hint="default" w:eastAsia="仿宋"/>
                <w:kern w:val="0"/>
                <w:sz w:val="18"/>
                <w:szCs w:val="18"/>
                <w:lang w:val="en-US" w:eastAsia="zh-CN"/>
              </w:rPr>
            </w:pPr>
            <w:r>
              <w:rPr>
                <w:rFonts w:hint="eastAsia" w:eastAsia="仿宋"/>
                <w:kern w:val="0"/>
                <w:sz w:val="18"/>
                <w:szCs w:val="18"/>
                <w:lang w:val="en-US" w:eastAsia="zh-CN"/>
              </w:rPr>
              <w:t>19.6418亩</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（2）他项权利状况</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highlight w:val="none"/>
          <w:lang w:val="en-US" w:eastAsia="zh-CN"/>
        </w:rPr>
        <w:t>至价值时点，委托方未提供《他项权证》</w:t>
      </w:r>
      <w:r>
        <w:rPr>
          <w:rFonts w:hint="eastAsia" w:ascii="仿宋_GB2312" w:hAnsi="宋体" w:eastAsia="仿宋_GB2312" w:cs="Times New Roman"/>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价格影响分析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left"/>
        <w:textAlignment w:val="auto"/>
        <w:rPr>
          <w:rFonts w:hint="default"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 xml:space="preserve">    估价对象未取得《不动产产权证》，本次评估的价值为完全产权下的市场价值。根据估价目的，本次估价报告不考虑评估对象被查封以及原有的担保物权和其他优先受偿权情况，视为没有查封、未设立担保物权及其他优先受偿权的财产进行评估。除此之外，估价对象权属清晰，权益上不存在其他影响其房地产价值的瑕疵。</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firstLine="562" w:firstLineChars="200"/>
        <w:jc w:val="left"/>
        <w:textAlignment w:val="auto"/>
        <w:rPr>
          <w:rFonts w:hint="eastAsia" w:ascii="仿宋" w:hAnsi="仿宋" w:eastAsia="仿宋" w:cs="仿宋"/>
          <w:b/>
          <w:color w:val="auto"/>
          <w:kern w:val="2"/>
          <w:sz w:val="28"/>
          <w:szCs w:val="28"/>
          <w:lang w:val="en-US" w:eastAsia="zh-CN" w:bidi="ar"/>
        </w:rPr>
      </w:pPr>
      <w:r>
        <w:rPr>
          <w:rFonts w:hint="eastAsia" w:ascii="仿宋" w:hAnsi="仿宋" w:eastAsia="仿宋" w:cs="仿宋"/>
          <w:b/>
          <w:color w:val="auto"/>
          <w:kern w:val="2"/>
          <w:sz w:val="28"/>
          <w:szCs w:val="28"/>
          <w:lang w:val="en-US" w:eastAsia="zh-CN" w:bidi="ar"/>
        </w:rPr>
        <w:t>区位状况描述与分析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560" w:firstLineChars="200"/>
        <w:jc w:val="left"/>
        <w:textAlignment w:val="auto"/>
        <w:rPr>
          <w:rFonts w:hint="default" w:ascii="仿宋" w:hAnsi="仿宋" w:eastAsia="仿宋" w:cs="仿宋"/>
          <w:b w:val="0"/>
          <w:bCs/>
          <w:color w:val="auto"/>
          <w:kern w:val="2"/>
          <w:sz w:val="28"/>
          <w:szCs w:val="28"/>
          <w:lang w:val="en-US" w:eastAsia="zh-CN" w:bidi="ar"/>
        </w:rPr>
      </w:pPr>
      <w:r>
        <w:rPr>
          <w:rFonts w:hint="eastAsia" w:ascii="仿宋" w:hAnsi="仿宋" w:eastAsia="仿宋" w:cs="仿宋"/>
          <w:b w:val="0"/>
          <w:bCs/>
          <w:color w:val="auto"/>
          <w:kern w:val="2"/>
          <w:sz w:val="28"/>
          <w:szCs w:val="28"/>
          <w:lang w:val="en-US" w:eastAsia="zh-CN" w:bidi="ar"/>
        </w:rPr>
        <w:t>估价对象：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color w:val="auto"/>
          <w:kern w:val="2"/>
          <w:sz w:val="28"/>
          <w:szCs w:val="28"/>
          <w:lang w:val="en-US" w:eastAsia="zh-CN" w:bidi="ar"/>
        </w:rPr>
      </w:pPr>
      <w:r>
        <w:rPr>
          <w:rFonts w:hint="eastAsia" w:ascii="仿宋" w:hAnsi="仿宋" w:eastAsia="仿宋" w:cs="仿宋"/>
          <w:b w:val="0"/>
          <w:bCs/>
          <w:color w:val="auto"/>
          <w:kern w:val="2"/>
          <w:sz w:val="28"/>
          <w:szCs w:val="28"/>
          <w:lang w:val="en-US" w:eastAsia="zh-CN" w:bidi="ar"/>
        </w:rPr>
        <w:t>（1）坐落：估价对象位于宜丰县石市镇320国道连接线西北转角处明珠小区。所处区域为宜丰县石市镇。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560" w:firstLineChars="200"/>
        <w:jc w:val="left"/>
        <w:textAlignment w:val="auto"/>
        <w:rPr>
          <w:rFonts w:hint="default" w:ascii="仿宋" w:hAnsi="仿宋" w:eastAsia="仿宋" w:cs="仿宋"/>
          <w:b w:val="0"/>
          <w:bCs/>
          <w:color w:val="auto"/>
          <w:kern w:val="2"/>
          <w:sz w:val="28"/>
          <w:szCs w:val="28"/>
          <w:lang w:val="en-US" w:eastAsia="zh-CN" w:bidi="ar"/>
        </w:rPr>
      </w:pPr>
      <w:r>
        <w:rPr>
          <w:rFonts w:hint="eastAsia" w:ascii="仿宋" w:hAnsi="仿宋" w:eastAsia="仿宋" w:cs="仿宋"/>
          <w:b w:val="0"/>
          <w:bCs/>
          <w:color w:val="auto"/>
          <w:kern w:val="2"/>
          <w:sz w:val="28"/>
          <w:szCs w:val="28"/>
          <w:lang w:val="en-US" w:eastAsia="zh-CN" w:bidi="ar"/>
        </w:rPr>
        <w:t>（2）交通：估价对象北邻320国道，距离宜丰南互通约3公里，对外交通便捷度一般；。</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color w:val="auto"/>
          <w:kern w:val="2"/>
          <w:sz w:val="28"/>
          <w:szCs w:val="28"/>
          <w:lang w:val="en-US" w:eastAsia="zh-CN" w:bidi="ar"/>
        </w:rPr>
      </w:pPr>
      <w:r>
        <w:rPr>
          <w:rFonts w:hint="eastAsia" w:ascii="仿宋" w:hAnsi="仿宋" w:eastAsia="仿宋" w:cs="仿宋"/>
          <w:b w:val="0"/>
          <w:bCs/>
          <w:color w:val="auto"/>
          <w:kern w:val="2"/>
          <w:sz w:val="28"/>
          <w:szCs w:val="28"/>
          <w:lang w:val="en-US" w:eastAsia="zh-CN" w:bidi="ar"/>
        </w:rPr>
        <w:t>（3）环境：周边景观环境、人文环境一般，往来人流量和车流量一般。</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color w:val="auto"/>
          <w:kern w:val="2"/>
          <w:sz w:val="28"/>
          <w:szCs w:val="28"/>
          <w:lang w:val="en-US" w:eastAsia="zh-CN" w:bidi="ar"/>
        </w:rPr>
      </w:pPr>
      <w:r>
        <w:rPr>
          <w:rFonts w:hint="eastAsia" w:ascii="仿宋" w:hAnsi="仿宋" w:eastAsia="仿宋" w:cs="仿宋"/>
          <w:b w:val="0"/>
          <w:bCs/>
          <w:color w:val="auto"/>
          <w:kern w:val="2"/>
          <w:sz w:val="28"/>
          <w:szCs w:val="28"/>
          <w:lang w:val="en-US" w:eastAsia="zh-CN" w:bidi="ar"/>
        </w:rPr>
        <w:t>（4）配套设施：区域内水、电等基础设施齐全，公共配套设施医院、中小学、各类商服设施一般。</w:t>
      </w:r>
    </w:p>
    <w:p>
      <w:pPr>
        <w:pStyle w:val="4"/>
        <w:pageBreakBefore w:val="0"/>
        <w:widowControl w:val="0"/>
        <w:kinsoku/>
        <w:wordWrap/>
        <w:overflowPunct/>
        <w:topLinePunct w:val="0"/>
        <w:autoSpaceDE/>
        <w:autoSpaceDN/>
        <w:bidi w:val="0"/>
        <w:adjustRightInd w:val="0"/>
        <w:snapToGrid w:val="0"/>
        <w:spacing w:line="480" w:lineRule="exact"/>
        <w:ind w:firstLine="420"/>
        <w:textAlignment w:val="auto"/>
        <w:rPr>
          <w:rFonts w:hint="eastAsia" w:ascii="仿宋_GB2312" w:eastAsia="仿宋_GB2312"/>
          <w:b/>
          <w:spacing w:val="-20"/>
          <w:sz w:val="28"/>
        </w:rPr>
      </w:pPr>
      <w:bookmarkStart w:id="19" w:name="_Toc22894"/>
      <w:bookmarkStart w:id="20" w:name="_Toc536174652"/>
      <w:bookmarkStart w:id="21" w:name="_Toc8676"/>
      <w:r>
        <w:rPr>
          <w:rFonts w:hint="eastAsia" w:ascii="仿宋_GB2312" w:eastAsia="仿宋_GB2312"/>
          <w:b/>
        </w:rPr>
        <w:t>（五）价值时点</w:t>
      </w:r>
      <w:bookmarkEnd w:id="19"/>
      <w:bookmarkEnd w:id="20"/>
      <w:bookmarkEnd w:id="21"/>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18"/>
          <w:szCs w:val="18"/>
        </w:rPr>
      </w:pPr>
      <w:r>
        <w:rPr>
          <w:rFonts w:hint="eastAsia" w:ascii="仿宋_GB2312" w:hAnsi="宋体" w:eastAsia="仿宋_GB2312"/>
          <w:sz w:val="28"/>
          <w:szCs w:val="28"/>
          <w:lang w:val="en-US" w:eastAsia="zh-CN"/>
        </w:rPr>
        <w:t>2022年5月19日（实地查勘之日）</w:t>
      </w:r>
      <w:r>
        <w:rPr>
          <w:rFonts w:hint="eastAsia" w:ascii="仿宋_GB2312" w:hAnsi="宋体" w:eastAsia="仿宋_GB2312"/>
          <w:sz w:val="28"/>
          <w:szCs w:val="28"/>
          <w:lang w:eastAsia="zh-CN"/>
        </w:rPr>
        <w:t>。</w:t>
      </w:r>
    </w:p>
    <w:p>
      <w:pPr>
        <w:pStyle w:val="4"/>
        <w:pageBreakBefore w:val="0"/>
        <w:widowControl w:val="0"/>
        <w:kinsoku/>
        <w:wordWrap/>
        <w:overflowPunct/>
        <w:topLinePunct w:val="0"/>
        <w:autoSpaceDE/>
        <w:autoSpaceDN/>
        <w:bidi w:val="0"/>
        <w:adjustRightInd w:val="0"/>
        <w:snapToGrid w:val="0"/>
        <w:spacing w:line="480" w:lineRule="exact"/>
        <w:ind w:firstLine="420"/>
        <w:textAlignment w:val="auto"/>
        <w:rPr>
          <w:rFonts w:hint="eastAsia" w:ascii="仿宋_GB2312" w:eastAsia="仿宋_GB2312"/>
          <w:b/>
          <w:lang w:eastAsia="zh-CN"/>
        </w:rPr>
      </w:pPr>
      <w:bookmarkStart w:id="22" w:name="_Toc24794"/>
      <w:bookmarkStart w:id="23" w:name="_Toc536174653"/>
      <w:bookmarkStart w:id="24" w:name="_Toc19285"/>
      <w:r>
        <w:rPr>
          <w:rFonts w:hint="eastAsia" w:ascii="仿宋_GB2312" w:eastAsia="仿宋_GB2312"/>
          <w:b/>
        </w:rPr>
        <w:t>（六）价值</w:t>
      </w:r>
      <w:bookmarkEnd w:id="22"/>
      <w:bookmarkEnd w:id="23"/>
      <w:bookmarkEnd w:id="24"/>
      <w:r>
        <w:rPr>
          <w:rFonts w:hint="eastAsia" w:ascii="仿宋_GB2312" w:eastAsia="仿宋_GB2312"/>
          <w:b/>
          <w:lang w:eastAsia="zh-CN"/>
        </w:rPr>
        <w:t>类型</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lang w:val="en-US" w:eastAsia="zh-CN"/>
        </w:rPr>
        <w:t>本次评估的是估价对象在价值时点的市场价值，市场价值为估价对象由熟悉情况、谨慎行事且不受强迫的交易双方，以公平交易方式在价值时点自愿进行交易的金额。</w:t>
      </w:r>
    </w:p>
    <w:p>
      <w:pPr>
        <w:pStyle w:val="4"/>
        <w:pageBreakBefore w:val="0"/>
        <w:widowControl w:val="0"/>
        <w:kinsoku/>
        <w:wordWrap/>
        <w:overflowPunct/>
        <w:topLinePunct w:val="0"/>
        <w:autoSpaceDE/>
        <w:autoSpaceDN/>
        <w:bidi w:val="0"/>
        <w:adjustRightInd w:val="0"/>
        <w:snapToGrid w:val="0"/>
        <w:spacing w:line="480" w:lineRule="exact"/>
        <w:ind w:firstLine="420"/>
        <w:textAlignment w:val="auto"/>
        <w:rPr>
          <w:rFonts w:hint="eastAsia" w:ascii="仿宋_GB2312" w:eastAsia="仿宋_GB2312"/>
          <w:b/>
          <w:color w:val="000000"/>
          <w:sz w:val="28"/>
        </w:rPr>
      </w:pPr>
      <w:bookmarkStart w:id="25" w:name="_Toc24551"/>
      <w:bookmarkStart w:id="26" w:name="_Toc1707"/>
      <w:bookmarkStart w:id="27" w:name="_Toc536174654"/>
      <w:r>
        <w:rPr>
          <w:rFonts w:hint="eastAsia" w:ascii="仿宋_GB2312" w:eastAsia="仿宋_GB2312"/>
          <w:b/>
        </w:rPr>
        <w:t>（七）</w:t>
      </w:r>
      <w:r>
        <w:rPr>
          <w:rFonts w:hint="eastAsia" w:ascii="仿宋_GB2312" w:eastAsia="仿宋_GB2312"/>
          <w:b/>
          <w:lang w:eastAsia="zh-CN"/>
        </w:rPr>
        <w:t>估价</w:t>
      </w:r>
      <w:r>
        <w:rPr>
          <w:rFonts w:hint="eastAsia" w:ascii="仿宋_GB2312" w:eastAsia="仿宋_GB2312"/>
          <w:b/>
        </w:rPr>
        <w:t>依据</w:t>
      </w:r>
      <w:bookmarkEnd w:id="25"/>
      <w:bookmarkEnd w:id="26"/>
      <w:bookmarkEnd w:id="27"/>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1、法律、法规和政策性文件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（1）《中华人民共和国资产评估法》（中华人民共和国主席令第46号，自2016年12月1日起施行）；</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2</w:t>
      </w:r>
      <w:r>
        <w:rPr>
          <w:rFonts w:hint="eastAsia" w:ascii="仿宋_GB2312" w:hAnsi="宋体" w:eastAsia="仿宋_GB2312"/>
          <w:sz w:val="28"/>
          <w:szCs w:val="28"/>
          <w:lang w:eastAsia="zh-CN"/>
        </w:rPr>
        <w:t>）《中华人民共和国城市房地产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r>
        <w:rPr>
          <w:rFonts w:hint="eastAsia" w:ascii="仿宋_GB2312" w:hAnsi="宋体" w:eastAsia="仿宋_GB2312"/>
          <w:sz w:val="28"/>
          <w:szCs w:val="28"/>
        </w:rPr>
        <w:t>；</w:t>
      </w:r>
    </w:p>
    <w:p>
      <w:pPr>
        <w:pageBreakBefore w:val="0"/>
        <w:widowControl w:val="0"/>
        <w:tabs>
          <w:tab w:val="left" w:pos="2912"/>
        </w:tabs>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中华人民共和国土地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（4）《中华人民共和国民法典》（中华人民共和国主席令第45号，中华人民共和国第十三届全国人民代表大会第三次会议于2020年5月28日通过，自2021年1月1日起施行）；</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（5）《中华人民共和国拍卖法》(中华人民共和国主席令第24号，自2015年4月24日起施行)；</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（6）《全国人民代表大会常务委员会关于司法处置管理问题的决定》(2005年2月28日第十届全国人民代表大会常务委员会第十四次会议通过 根据2015年4月24日第十二届全国人民代表大会常务委员会第十四次会议修正)；</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7</w:t>
      </w:r>
      <w:r>
        <w:rPr>
          <w:rFonts w:hint="eastAsia" w:ascii="仿宋_GB2312" w:hAnsi="宋体" w:eastAsia="仿宋_GB2312"/>
          <w:sz w:val="28"/>
          <w:szCs w:val="28"/>
        </w:rPr>
        <w:t>）《司法处置程序通则》(中华人民共和国司法部令第132号，自2016年5月1日起施行)</w:t>
      </w:r>
      <w:r>
        <w:rPr>
          <w:rFonts w:hint="eastAsia" w:ascii="仿宋_GB2312" w:hAnsi="宋体" w:eastAsia="仿宋_GB2312"/>
          <w:sz w:val="28"/>
          <w:szCs w:val="28"/>
          <w:lang w:eastAsia="zh-CN"/>
        </w:rPr>
        <w:t>；</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8</w:t>
      </w:r>
      <w:r>
        <w:rPr>
          <w:rFonts w:hint="eastAsia" w:ascii="仿宋_GB2312" w:hAnsi="宋体" w:eastAsia="仿宋_GB2312"/>
          <w:sz w:val="28"/>
          <w:szCs w:val="28"/>
          <w:lang w:eastAsia="zh-CN"/>
        </w:rPr>
        <w:t>）《最高人民法院关于人民法院民事执行中拍卖、变卖财产的规定》(法释[2004]16号)；</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9</w:t>
      </w:r>
      <w:r>
        <w:rPr>
          <w:rFonts w:hint="eastAsia" w:ascii="仿宋_GB2312" w:hAnsi="宋体" w:eastAsia="仿宋_GB2312"/>
          <w:sz w:val="28"/>
          <w:szCs w:val="28"/>
          <w:lang w:eastAsia="zh-CN"/>
        </w:rPr>
        <w:t>）《最高人民法院对外委托鉴定、评估、拍卖等工作管理规定》</w:t>
      </w:r>
    </w:p>
    <w:p>
      <w:pPr>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(法办发[2007]5号)；</w:t>
      </w:r>
    </w:p>
    <w:p>
      <w:pPr>
        <w:pageBreakBefore w:val="0"/>
        <w:widowControl w:val="0"/>
        <w:numPr>
          <w:ilvl w:val="0"/>
          <w:numId w:val="3"/>
        </w:numPr>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《最高人民法院关于人民法院委托评估、拍卖和变卖工作的若干规定》（2009年8月24日法释〔2009〕16号）；</w:t>
      </w:r>
    </w:p>
    <w:p>
      <w:pPr>
        <w:pageBreakBefore w:val="0"/>
        <w:widowControl w:val="0"/>
        <w:numPr>
          <w:ilvl w:val="0"/>
          <w:numId w:val="3"/>
        </w:numPr>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《最高人民法院关于人民法院确定财产处置参考价若干问题的规定》（法释〔2018〕15号，自2018年9月1日起施行）；</w:t>
      </w:r>
    </w:p>
    <w:p>
      <w:pPr>
        <w:pageBreakBefore w:val="0"/>
        <w:widowControl w:val="0"/>
        <w:numPr>
          <w:ilvl w:val="0"/>
          <w:numId w:val="3"/>
        </w:numPr>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《关于印发〈人民法院委托评估工作规范〉的通知》（法办（2018）273号，2018年12月10日）。</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2、技术标准、规程、规范</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（1）《房地产估价规范》（GB/T50291-2015）</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（2）《房地产估价基本术语标准》（GB/T50729-2013）</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eastAsia="zh-CN"/>
        </w:rPr>
        <w:t>估价委托人</w:t>
      </w:r>
      <w:r>
        <w:rPr>
          <w:rFonts w:hint="eastAsia" w:ascii="仿宋_GB2312" w:hAnsi="宋体" w:eastAsia="仿宋_GB2312"/>
          <w:sz w:val="28"/>
          <w:szCs w:val="28"/>
        </w:rPr>
        <w:t>提供的相关资料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eastAsia="仿宋"/>
          <w:sz w:val="28"/>
          <w:lang w:eastAsia="zh-CN"/>
        </w:rPr>
        <w:t>《宜丰县人民法院委托书》【（</w:t>
      </w:r>
      <w:r>
        <w:rPr>
          <w:rFonts w:hint="eastAsia" w:eastAsia="仿宋"/>
          <w:sz w:val="28"/>
          <w:lang w:val="en-US" w:eastAsia="zh-CN"/>
        </w:rPr>
        <w:t>2022</w:t>
      </w:r>
      <w:r>
        <w:rPr>
          <w:rFonts w:hint="eastAsia" w:eastAsia="仿宋"/>
          <w:sz w:val="28"/>
          <w:lang w:eastAsia="zh-CN"/>
        </w:rPr>
        <w:t>）赣</w:t>
      </w:r>
      <w:r>
        <w:rPr>
          <w:rFonts w:hint="eastAsia" w:eastAsia="仿宋"/>
          <w:sz w:val="28"/>
          <w:lang w:val="en-US" w:eastAsia="zh-CN"/>
        </w:rPr>
        <w:t>0924执372号</w:t>
      </w:r>
      <w:r>
        <w:rPr>
          <w:rFonts w:hint="eastAsia" w:eastAsia="仿宋"/>
          <w:sz w:val="28"/>
          <w:lang w:eastAsia="zh-CN"/>
        </w:rPr>
        <w:t>】、《江西省宜丰县人民法院协助执行通知书》【（</w:t>
      </w:r>
      <w:r>
        <w:rPr>
          <w:rFonts w:hint="eastAsia" w:eastAsia="仿宋"/>
          <w:sz w:val="28"/>
          <w:lang w:val="en-US" w:eastAsia="zh-CN"/>
        </w:rPr>
        <w:t>2020</w:t>
      </w:r>
      <w:r>
        <w:rPr>
          <w:rFonts w:hint="eastAsia" w:eastAsia="仿宋"/>
          <w:sz w:val="28"/>
          <w:lang w:eastAsia="zh-CN"/>
        </w:rPr>
        <w:t>）赣</w:t>
      </w:r>
      <w:r>
        <w:rPr>
          <w:rFonts w:hint="eastAsia" w:eastAsia="仿宋"/>
          <w:sz w:val="28"/>
          <w:lang w:val="en-US" w:eastAsia="zh-CN"/>
        </w:rPr>
        <w:t>0924执保24号</w:t>
      </w:r>
      <w:r>
        <w:rPr>
          <w:rFonts w:hint="eastAsia" w:eastAsia="仿宋"/>
          <w:sz w:val="28"/>
          <w:lang w:eastAsia="zh-CN"/>
        </w:rPr>
        <w:t>】、《面积测算报告》、《国有建设用地使用权成交确认书》《建设用地规划许可证》【地字第（</w:t>
      </w:r>
      <w:r>
        <w:rPr>
          <w:rFonts w:hint="eastAsia" w:eastAsia="仿宋"/>
          <w:sz w:val="28"/>
          <w:lang w:val="en-US" w:eastAsia="zh-CN"/>
        </w:rPr>
        <w:t>2015</w:t>
      </w:r>
      <w:r>
        <w:rPr>
          <w:rFonts w:hint="eastAsia" w:eastAsia="仿宋"/>
          <w:sz w:val="28"/>
          <w:lang w:eastAsia="zh-CN"/>
        </w:rPr>
        <w:t>）</w:t>
      </w:r>
      <w:r>
        <w:rPr>
          <w:rFonts w:hint="eastAsia" w:eastAsia="仿宋"/>
          <w:sz w:val="28"/>
          <w:lang w:val="en-US" w:eastAsia="zh-CN"/>
        </w:rPr>
        <w:t>023号</w:t>
      </w:r>
      <w:r>
        <w:rPr>
          <w:rFonts w:hint="eastAsia" w:eastAsia="仿宋"/>
          <w:sz w:val="28"/>
          <w:lang w:eastAsia="zh-CN"/>
        </w:rPr>
        <w:t>】、《建设工程规划许可证》【建字第（</w:t>
      </w:r>
      <w:r>
        <w:rPr>
          <w:rFonts w:hint="eastAsia" w:eastAsia="仿宋"/>
          <w:sz w:val="28"/>
          <w:lang w:val="en-US" w:eastAsia="zh-CN"/>
        </w:rPr>
        <w:t>2016</w:t>
      </w:r>
      <w:r>
        <w:rPr>
          <w:rFonts w:hint="eastAsia" w:eastAsia="仿宋"/>
          <w:sz w:val="28"/>
          <w:lang w:eastAsia="zh-CN"/>
        </w:rPr>
        <w:t>）</w:t>
      </w:r>
      <w:r>
        <w:rPr>
          <w:rFonts w:hint="eastAsia" w:eastAsia="仿宋"/>
          <w:sz w:val="28"/>
          <w:lang w:val="en-US" w:eastAsia="zh-CN"/>
        </w:rPr>
        <w:t>003号</w:t>
      </w:r>
      <w:r>
        <w:rPr>
          <w:rFonts w:hint="eastAsia" w:eastAsia="仿宋"/>
          <w:sz w:val="28"/>
          <w:lang w:eastAsia="zh-CN"/>
        </w:rPr>
        <w:t>】、《宜丰县人民政府关于</w:t>
      </w:r>
      <w:r>
        <w:rPr>
          <w:rFonts w:hint="eastAsia" w:eastAsia="仿宋"/>
          <w:sz w:val="28"/>
          <w:lang w:val="en-US" w:eastAsia="zh-CN"/>
        </w:rPr>
        <w:t>2016年城市建设用地供地的批发</w:t>
      </w:r>
      <w:r>
        <w:rPr>
          <w:rFonts w:hint="eastAsia" w:eastAsia="仿宋"/>
          <w:sz w:val="28"/>
          <w:lang w:eastAsia="zh-CN"/>
        </w:rPr>
        <w:t>》</w:t>
      </w:r>
      <w:r>
        <w:rPr>
          <w:rFonts w:hint="eastAsia" w:eastAsia="仿宋"/>
          <w:sz w:val="28"/>
          <w:lang w:val="en-US" w:eastAsia="zh-CN"/>
        </w:rPr>
        <w:t>【宜府字（2016）10号】</w:t>
      </w:r>
      <w:r>
        <w:rPr>
          <w:rFonts w:eastAsia="仿宋"/>
          <w:sz w:val="28"/>
        </w:rPr>
        <w:t>复印件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hAnsi="宋体" w:eastAsia="仿宋_GB2312"/>
          <w:sz w:val="28"/>
          <w:szCs w:val="28"/>
          <w:lang w:eastAsia="zh-CN"/>
        </w:rPr>
        <w:t>估价</w:t>
      </w:r>
      <w:r>
        <w:rPr>
          <w:rFonts w:hint="eastAsia" w:ascii="仿宋_GB2312" w:hAnsi="宋体" w:eastAsia="仿宋_GB2312"/>
          <w:sz w:val="28"/>
          <w:szCs w:val="28"/>
        </w:rPr>
        <w:t>人员调查收集的相关资料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eastAsia="zh-CN"/>
        </w:rPr>
        <w:t>估价</w:t>
      </w:r>
      <w:r>
        <w:rPr>
          <w:rFonts w:hint="eastAsia" w:ascii="仿宋_GB2312" w:hAnsi="宋体" w:eastAsia="仿宋_GB2312"/>
          <w:sz w:val="28"/>
          <w:szCs w:val="28"/>
        </w:rPr>
        <w:t>人员实地查勘和</w:t>
      </w:r>
      <w:r>
        <w:rPr>
          <w:rFonts w:hint="eastAsia" w:ascii="仿宋_GB2312" w:hAnsi="宋体" w:eastAsia="仿宋_GB2312"/>
          <w:sz w:val="28"/>
          <w:szCs w:val="28"/>
          <w:lang w:eastAsia="zh-CN"/>
        </w:rPr>
        <w:t>估价</w:t>
      </w:r>
      <w:r>
        <w:rPr>
          <w:rFonts w:hint="eastAsia" w:ascii="仿宋_GB2312" w:hAnsi="宋体" w:eastAsia="仿宋_GB2312"/>
          <w:sz w:val="28"/>
          <w:szCs w:val="28"/>
        </w:rPr>
        <w:t>机构掌握的其他相关资料；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eastAsia="zh-CN"/>
        </w:rPr>
        <w:t>估价对象</w:t>
      </w:r>
      <w:r>
        <w:rPr>
          <w:rFonts w:hint="eastAsia" w:ascii="仿宋_GB2312" w:hAnsi="宋体" w:eastAsia="仿宋_GB2312"/>
          <w:sz w:val="28"/>
          <w:szCs w:val="28"/>
        </w:rPr>
        <w:t>所在区域房地产市场状况、同类房地产市场交易等数据资料。</w:t>
      </w:r>
    </w:p>
    <w:p>
      <w:pPr>
        <w:pStyle w:val="4"/>
        <w:pageBreakBefore w:val="0"/>
        <w:widowControl w:val="0"/>
        <w:kinsoku/>
        <w:wordWrap/>
        <w:overflowPunct/>
        <w:topLinePunct w:val="0"/>
        <w:autoSpaceDE/>
        <w:autoSpaceDN/>
        <w:bidi w:val="0"/>
        <w:adjustRightInd w:val="0"/>
        <w:snapToGrid w:val="0"/>
        <w:spacing w:line="480" w:lineRule="exact"/>
        <w:ind w:firstLine="420"/>
        <w:textAlignment w:val="auto"/>
        <w:rPr>
          <w:rFonts w:hint="eastAsia" w:ascii="仿宋_GB2312" w:eastAsia="仿宋_GB2312"/>
          <w:b/>
        </w:rPr>
      </w:pPr>
      <w:bookmarkStart w:id="28" w:name="_Toc536174655"/>
      <w:bookmarkStart w:id="29" w:name="_Toc18868"/>
      <w:bookmarkStart w:id="30" w:name="_Toc15655"/>
      <w:r>
        <w:rPr>
          <w:rFonts w:hint="eastAsia" w:ascii="仿宋_GB2312" w:eastAsia="仿宋_GB2312"/>
          <w:b/>
        </w:rPr>
        <w:t>（八）</w:t>
      </w:r>
      <w:bookmarkEnd w:id="28"/>
      <w:bookmarkEnd w:id="29"/>
      <w:r>
        <w:rPr>
          <w:rFonts w:hint="eastAsia" w:ascii="仿宋_GB2312" w:eastAsia="仿宋_GB2312"/>
          <w:b/>
          <w:lang w:eastAsia="zh-CN"/>
        </w:rPr>
        <w:t>估价原则</w:t>
      </w:r>
      <w:bookmarkEnd w:id="30"/>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1、独立、客观、公正原则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要求站在中立的立场上，</w:t>
      </w:r>
      <w:r>
        <w:rPr>
          <w:rFonts w:hint="eastAsia" w:ascii="仿宋_GB2312" w:hAnsi="宋体" w:eastAsia="仿宋_GB2312"/>
          <w:sz w:val="28"/>
          <w:szCs w:val="28"/>
          <w:lang w:eastAsia="zh-CN"/>
        </w:rPr>
        <w:t>实事求是</w:t>
      </w:r>
      <w:r>
        <w:rPr>
          <w:rFonts w:hint="eastAsia" w:ascii="仿宋_GB2312" w:hAnsi="宋体" w:eastAsia="仿宋_GB2312"/>
          <w:sz w:val="28"/>
          <w:szCs w:val="28"/>
        </w:rPr>
        <w:t>地</w:t>
      </w:r>
      <w:r>
        <w:rPr>
          <w:rFonts w:hint="eastAsia" w:ascii="仿宋_GB2312" w:hAnsi="宋体" w:eastAsia="仿宋_GB2312"/>
          <w:sz w:val="28"/>
          <w:szCs w:val="28"/>
          <w:lang w:eastAsia="zh-CN"/>
        </w:rPr>
        <w:t>测算</w:t>
      </w:r>
      <w:r>
        <w:rPr>
          <w:rFonts w:hint="eastAsia" w:ascii="仿宋_GB2312" w:hAnsi="宋体" w:eastAsia="仿宋_GB2312"/>
          <w:sz w:val="28"/>
          <w:szCs w:val="28"/>
        </w:rPr>
        <w:t>出对各方</w:t>
      </w:r>
      <w:r>
        <w:rPr>
          <w:rFonts w:hint="eastAsia" w:ascii="仿宋_GB2312" w:hAnsi="宋体" w:eastAsia="仿宋_GB2312"/>
          <w:sz w:val="28"/>
          <w:szCs w:val="28"/>
          <w:lang w:eastAsia="zh-CN"/>
        </w:rPr>
        <w:t>估价利</w:t>
      </w:r>
      <w:r>
        <w:rPr>
          <w:rFonts w:hint="eastAsia" w:ascii="仿宋_GB2312" w:hAnsi="宋体" w:eastAsia="仿宋_GB2312"/>
          <w:sz w:val="28"/>
          <w:szCs w:val="28"/>
        </w:rPr>
        <w:t>害关系人均是公平合理价值或价格的原则。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2、合法原则</w:t>
      </w:r>
    </w:p>
    <w:p>
      <w:pPr>
        <w:pageBreakBefore w:val="0"/>
        <w:widowControl w:val="0"/>
        <w:kinsoku/>
        <w:wordWrap/>
        <w:overflowPunct/>
        <w:topLinePunct w:val="0"/>
        <w:autoSpaceDE/>
        <w:autoSpaceDN/>
        <w:bidi w:val="0"/>
        <w:adjustRightInd w:val="0"/>
        <w:snapToGrid w:val="0"/>
        <w:spacing w:line="480" w:lineRule="exact"/>
        <w:ind w:firstLine="544" w:firstLineChars="200"/>
        <w:textAlignment w:val="auto"/>
        <w:rPr>
          <w:rFonts w:hint="eastAsia" w:ascii="仿宋_GB2312" w:hAnsi="宋体" w:eastAsia="仿宋_GB2312"/>
          <w:sz w:val="28"/>
          <w:szCs w:val="28"/>
        </w:rPr>
      </w:pPr>
      <w:r>
        <w:rPr>
          <w:rFonts w:hint="eastAsia" w:ascii="仿宋_GB2312" w:hAnsi="宋体" w:eastAsia="仿宋_GB2312"/>
          <w:spacing w:val="-4"/>
          <w:sz w:val="28"/>
          <w:szCs w:val="28"/>
        </w:rPr>
        <w:t>要求</w:t>
      </w:r>
      <w:r>
        <w:rPr>
          <w:rFonts w:hint="eastAsia" w:ascii="仿宋_GB2312" w:hAnsi="宋体" w:eastAsia="仿宋_GB2312"/>
          <w:spacing w:val="-4"/>
          <w:sz w:val="28"/>
          <w:szCs w:val="28"/>
          <w:lang w:eastAsia="zh-CN"/>
        </w:rPr>
        <w:t>估价</w:t>
      </w:r>
      <w:r>
        <w:rPr>
          <w:rFonts w:hint="eastAsia" w:ascii="仿宋_GB2312" w:hAnsi="宋体" w:eastAsia="仿宋_GB2312"/>
          <w:spacing w:val="-4"/>
          <w:sz w:val="28"/>
          <w:szCs w:val="28"/>
        </w:rPr>
        <w:t>结果是在依法判定的</w:t>
      </w:r>
      <w:r>
        <w:rPr>
          <w:rFonts w:hint="eastAsia" w:ascii="仿宋_GB2312" w:hAnsi="宋体" w:eastAsia="仿宋_GB2312"/>
          <w:spacing w:val="-4"/>
          <w:sz w:val="28"/>
          <w:szCs w:val="28"/>
          <w:lang w:eastAsia="zh-CN"/>
        </w:rPr>
        <w:t>估价对象</w:t>
      </w:r>
      <w:r>
        <w:rPr>
          <w:rFonts w:hint="eastAsia" w:ascii="仿宋_GB2312" w:hAnsi="宋体" w:eastAsia="仿宋_GB2312"/>
          <w:spacing w:val="-4"/>
          <w:sz w:val="28"/>
          <w:szCs w:val="28"/>
        </w:rPr>
        <w:t>状况下的价值或价格的原则</w:t>
      </w:r>
      <w:r>
        <w:rPr>
          <w:rFonts w:hint="eastAsia" w:ascii="仿宋_GB2312" w:hAnsi="宋体" w:eastAsia="仿宋_GB2312"/>
          <w:sz w:val="28"/>
          <w:szCs w:val="28"/>
        </w:rPr>
        <w:t>。</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3、价值时点原则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要求房地产</w:t>
      </w:r>
      <w:r>
        <w:rPr>
          <w:rFonts w:hint="eastAsia" w:ascii="仿宋_GB2312" w:hAnsi="宋体" w:eastAsia="仿宋_GB2312"/>
          <w:bCs/>
          <w:sz w:val="28"/>
          <w:szCs w:val="28"/>
          <w:lang w:eastAsia="zh-CN"/>
        </w:rPr>
        <w:t>估价</w:t>
      </w:r>
      <w:r>
        <w:rPr>
          <w:rFonts w:hint="eastAsia" w:ascii="仿宋_GB2312" w:hAnsi="宋体" w:eastAsia="仿宋_GB2312"/>
          <w:bCs/>
          <w:sz w:val="28"/>
          <w:szCs w:val="28"/>
        </w:rPr>
        <w:t>结果应是</w:t>
      </w:r>
      <w:r>
        <w:rPr>
          <w:rFonts w:hint="eastAsia" w:ascii="仿宋_GB2312" w:hAnsi="宋体" w:eastAsia="仿宋_GB2312"/>
          <w:bCs/>
          <w:sz w:val="28"/>
          <w:szCs w:val="28"/>
          <w:lang w:eastAsia="zh-CN"/>
        </w:rPr>
        <w:t>估价对象</w:t>
      </w:r>
      <w:r>
        <w:rPr>
          <w:rFonts w:hint="eastAsia" w:ascii="仿宋_GB2312" w:hAnsi="宋体" w:eastAsia="仿宋_GB2312"/>
          <w:bCs/>
          <w:sz w:val="28"/>
          <w:szCs w:val="28"/>
        </w:rPr>
        <w:t>在价值时点的客观合理</w:t>
      </w:r>
      <w:r>
        <w:rPr>
          <w:rFonts w:hint="eastAsia" w:ascii="仿宋_GB2312" w:hAnsi="宋体" w:eastAsia="仿宋_GB2312"/>
          <w:spacing w:val="-4"/>
          <w:sz w:val="28"/>
          <w:szCs w:val="28"/>
        </w:rPr>
        <w:t>价值或价格</w:t>
      </w:r>
      <w:r>
        <w:rPr>
          <w:rFonts w:hint="eastAsia" w:ascii="仿宋_GB2312" w:hAnsi="宋体" w:eastAsia="仿宋_GB2312"/>
          <w:bCs/>
          <w:sz w:val="28"/>
          <w:szCs w:val="28"/>
        </w:rPr>
        <w:t>。价值时点是</w:t>
      </w:r>
      <w:r>
        <w:rPr>
          <w:rFonts w:hint="eastAsia" w:ascii="仿宋_GB2312" w:hAnsi="宋体" w:eastAsia="仿宋_GB2312"/>
          <w:bCs/>
          <w:sz w:val="28"/>
          <w:szCs w:val="28"/>
          <w:lang w:eastAsia="zh-CN"/>
        </w:rPr>
        <w:t>估价</w:t>
      </w:r>
      <w:r>
        <w:rPr>
          <w:rFonts w:hint="eastAsia" w:ascii="仿宋_GB2312" w:hAnsi="宋体" w:eastAsia="仿宋_GB2312"/>
          <w:bCs/>
          <w:sz w:val="28"/>
          <w:szCs w:val="28"/>
        </w:rPr>
        <w:t>房地产</w:t>
      </w:r>
      <w:r>
        <w:rPr>
          <w:rFonts w:hint="eastAsia" w:ascii="仿宋_GB2312" w:hAnsi="宋体" w:eastAsia="仿宋_GB2312"/>
          <w:spacing w:val="-4"/>
          <w:sz w:val="28"/>
          <w:szCs w:val="28"/>
        </w:rPr>
        <w:t>价值或</w:t>
      </w:r>
      <w:r>
        <w:rPr>
          <w:rFonts w:hint="eastAsia" w:ascii="仿宋_GB2312" w:hAnsi="宋体" w:eastAsia="仿宋_GB2312"/>
          <w:bCs/>
          <w:sz w:val="28"/>
          <w:szCs w:val="28"/>
        </w:rPr>
        <w:t>价格的时间界定。</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4、替代原则</w:t>
      </w:r>
    </w:p>
    <w:p>
      <w:pPr>
        <w:pageBreakBefore w:val="0"/>
        <w:widowControl w:val="0"/>
        <w:kinsoku/>
        <w:wordWrap/>
        <w:overflowPunct/>
        <w:topLinePunct w:val="0"/>
        <w:autoSpaceDE/>
        <w:autoSpaceDN/>
        <w:bidi w:val="0"/>
        <w:adjustRightInd w:val="0"/>
        <w:snapToGrid w:val="0"/>
        <w:spacing w:line="480" w:lineRule="exact"/>
        <w:ind w:firstLine="544" w:firstLineChars="200"/>
        <w:textAlignment w:val="auto"/>
        <w:rPr>
          <w:rFonts w:hint="eastAsia" w:ascii="仿宋_GB2312" w:hAnsi="宋体" w:eastAsia="仿宋_GB2312"/>
          <w:bCs/>
          <w:spacing w:val="-4"/>
          <w:sz w:val="28"/>
          <w:szCs w:val="28"/>
        </w:rPr>
      </w:pPr>
      <w:r>
        <w:rPr>
          <w:rFonts w:hint="eastAsia" w:ascii="仿宋_GB2312" w:hAnsi="宋体" w:eastAsia="仿宋_GB2312"/>
          <w:bCs/>
          <w:spacing w:val="-4"/>
          <w:sz w:val="28"/>
          <w:szCs w:val="28"/>
        </w:rPr>
        <w:t>要求</w:t>
      </w:r>
      <w:r>
        <w:rPr>
          <w:rFonts w:hint="eastAsia" w:ascii="仿宋_GB2312" w:hAnsi="宋体" w:eastAsia="仿宋_GB2312"/>
          <w:bCs/>
          <w:spacing w:val="-4"/>
          <w:sz w:val="28"/>
          <w:szCs w:val="28"/>
          <w:lang w:eastAsia="zh-CN"/>
        </w:rPr>
        <w:t>估价</w:t>
      </w:r>
      <w:r>
        <w:rPr>
          <w:rFonts w:hint="eastAsia" w:ascii="仿宋_GB2312" w:hAnsi="宋体" w:eastAsia="仿宋_GB2312"/>
          <w:bCs/>
          <w:spacing w:val="-4"/>
          <w:sz w:val="28"/>
          <w:szCs w:val="28"/>
        </w:rPr>
        <w:t>结果</w:t>
      </w:r>
      <w:r>
        <w:rPr>
          <w:rFonts w:hint="eastAsia" w:ascii="仿宋_GB2312" w:hAnsi="宋体" w:eastAsia="仿宋_GB2312"/>
          <w:bCs/>
          <w:spacing w:val="-4"/>
          <w:sz w:val="28"/>
          <w:szCs w:val="28"/>
          <w:lang w:eastAsia="zh-CN"/>
        </w:rPr>
        <w:t>与估价对象的类似房地产在同等条件下的价值或价格偏差应在合理范围内</w:t>
      </w:r>
      <w:r>
        <w:rPr>
          <w:rFonts w:hint="eastAsia" w:ascii="仿宋_GB2312" w:hAnsi="宋体" w:eastAsia="仿宋_GB2312"/>
          <w:bCs/>
          <w:spacing w:val="-4"/>
          <w:sz w:val="28"/>
          <w:szCs w:val="28"/>
        </w:rPr>
        <w:t>的原则。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5、最高最佳利用原则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要求</w:t>
      </w:r>
      <w:r>
        <w:rPr>
          <w:rFonts w:hint="eastAsia" w:ascii="仿宋_GB2312" w:hAnsi="宋体" w:eastAsia="仿宋_GB2312"/>
          <w:bCs/>
          <w:sz w:val="28"/>
          <w:szCs w:val="28"/>
          <w:lang w:eastAsia="zh-CN"/>
        </w:rPr>
        <w:t>估价</w:t>
      </w:r>
      <w:r>
        <w:rPr>
          <w:rFonts w:hint="eastAsia" w:ascii="仿宋_GB2312" w:hAnsi="宋体" w:eastAsia="仿宋_GB2312"/>
          <w:bCs/>
          <w:sz w:val="28"/>
          <w:szCs w:val="28"/>
        </w:rPr>
        <w:t>结果</w:t>
      </w:r>
      <w:r>
        <w:rPr>
          <w:rFonts w:hint="eastAsia" w:ascii="仿宋_GB2312" w:hAnsi="宋体" w:eastAsia="仿宋_GB2312"/>
          <w:bCs/>
          <w:sz w:val="28"/>
          <w:szCs w:val="28"/>
          <w:lang w:val="en-US" w:eastAsia="zh-CN"/>
        </w:rPr>
        <w:t>是</w:t>
      </w:r>
      <w:r>
        <w:rPr>
          <w:rFonts w:hint="eastAsia" w:ascii="仿宋_GB2312" w:hAnsi="宋体" w:eastAsia="仿宋_GB2312"/>
          <w:bCs/>
          <w:sz w:val="28"/>
          <w:szCs w:val="28"/>
        </w:rPr>
        <w:t>在</w:t>
      </w:r>
      <w:r>
        <w:rPr>
          <w:rFonts w:hint="eastAsia" w:ascii="仿宋_GB2312" w:hAnsi="宋体" w:eastAsia="仿宋_GB2312"/>
          <w:bCs/>
          <w:sz w:val="28"/>
          <w:szCs w:val="28"/>
          <w:lang w:eastAsia="zh-CN"/>
        </w:rPr>
        <w:t>估价对象</w:t>
      </w:r>
      <w:r>
        <w:rPr>
          <w:rFonts w:hint="eastAsia" w:ascii="仿宋_GB2312" w:hAnsi="宋体" w:eastAsia="仿宋_GB2312"/>
          <w:bCs/>
          <w:sz w:val="28"/>
          <w:szCs w:val="28"/>
        </w:rPr>
        <w:t>最高最佳利用状况下的价值或价格的原则。最高最佳利用指法律上允许、技术上可能、财务上可行并使价值最大</w:t>
      </w:r>
      <w:r>
        <w:rPr>
          <w:rFonts w:hint="eastAsia" w:ascii="仿宋_GB2312" w:hAnsi="宋体" w:eastAsia="仿宋_GB2312"/>
          <w:bCs/>
          <w:sz w:val="28"/>
          <w:szCs w:val="28"/>
          <w:lang w:eastAsia="zh-CN"/>
        </w:rPr>
        <w:t>化</w:t>
      </w:r>
      <w:r>
        <w:rPr>
          <w:rFonts w:hint="eastAsia" w:ascii="仿宋_GB2312" w:hAnsi="宋体" w:eastAsia="仿宋_GB2312"/>
          <w:bCs/>
          <w:sz w:val="28"/>
          <w:szCs w:val="28"/>
        </w:rPr>
        <w:t>的合理、可能的利用，包括最佳的用途、规模、档次等。</w:t>
      </w:r>
    </w:p>
    <w:p>
      <w:pPr>
        <w:pStyle w:val="4"/>
        <w:pageBreakBefore w:val="0"/>
        <w:widowControl w:val="0"/>
        <w:kinsoku/>
        <w:wordWrap/>
        <w:overflowPunct/>
        <w:topLinePunct w:val="0"/>
        <w:autoSpaceDE/>
        <w:autoSpaceDN/>
        <w:bidi w:val="0"/>
        <w:adjustRightInd w:val="0"/>
        <w:snapToGrid w:val="0"/>
        <w:spacing w:line="480" w:lineRule="exact"/>
        <w:ind w:firstLine="420"/>
        <w:textAlignment w:val="auto"/>
        <w:rPr>
          <w:rFonts w:hint="eastAsia" w:ascii="仿宋_GB2312" w:eastAsia="仿宋_GB2312"/>
          <w:b/>
        </w:rPr>
      </w:pPr>
      <w:bookmarkStart w:id="31" w:name="_Toc26857"/>
      <w:bookmarkStart w:id="32" w:name="_Toc536174656"/>
      <w:bookmarkStart w:id="33" w:name="_Toc11171"/>
      <w:r>
        <w:rPr>
          <w:rFonts w:hint="eastAsia" w:ascii="仿宋_GB2312" w:eastAsia="仿宋_GB2312"/>
          <w:b/>
        </w:rPr>
        <w:t>（九）</w:t>
      </w:r>
      <w:r>
        <w:rPr>
          <w:rFonts w:hint="eastAsia" w:ascii="仿宋_GB2312" w:eastAsia="仿宋_GB2312"/>
          <w:b/>
          <w:lang w:eastAsia="zh-CN"/>
        </w:rPr>
        <w:t>估价</w:t>
      </w:r>
      <w:r>
        <w:rPr>
          <w:rFonts w:hint="eastAsia" w:ascii="仿宋_GB2312" w:eastAsia="仿宋_GB2312"/>
          <w:b/>
        </w:rPr>
        <w:t>方法</w:t>
      </w:r>
      <w:bookmarkEnd w:id="31"/>
      <w:bookmarkEnd w:id="32"/>
      <w:bookmarkEnd w:id="33"/>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eastAsia="仿宋_GB2312"/>
          <w:sz w:val="28"/>
          <w:szCs w:val="28"/>
        </w:rPr>
      </w:pPr>
      <w:r>
        <w:rPr>
          <w:rFonts w:hint="eastAsia" w:eastAsia="仿宋_GB2312"/>
          <w:sz w:val="28"/>
          <w:szCs w:val="28"/>
        </w:rPr>
        <w:t>求取房地产市场价值时，主要的估价方法有比较法、成本法、收益法、假设开发法等，比较法适用于市场发达、交易活跃、有充足的具有替代性房地产的评估，成本法适用于无市场依据或市场依据不充分而不易采用比较法、收益法、假设开发法进行评估情况下的房地产评估，收益法适用于有现实收益或潜在收益的房地产评估，假设开发法适用于具有投资开发或有开发潜力的房地产评估。需根据特定的估价目的、估价对象状况、交易市场情况等选择适宜的估价方法。方法选择思路：</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eastAsia="仿宋_GB2312"/>
          <w:sz w:val="28"/>
          <w:szCs w:val="28"/>
        </w:rPr>
      </w:pPr>
      <w:r>
        <w:rPr>
          <w:rFonts w:hint="eastAsia" w:eastAsia="仿宋_GB2312"/>
          <w:sz w:val="28"/>
          <w:szCs w:val="28"/>
        </w:rPr>
        <w:t>（一）理论上不适用的估价方法：估价对象为</w:t>
      </w:r>
      <w:r>
        <w:rPr>
          <w:rFonts w:hint="eastAsia" w:eastAsia="仿宋_GB2312"/>
          <w:sz w:val="28"/>
          <w:szCs w:val="28"/>
          <w:lang w:val="en-US" w:eastAsia="zh-CN"/>
        </w:rPr>
        <w:t>成套住宅</w:t>
      </w:r>
      <w:r>
        <w:rPr>
          <w:rFonts w:hint="eastAsia" w:eastAsia="仿宋_GB2312"/>
          <w:sz w:val="28"/>
          <w:szCs w:val="28"/>
        </w:rPr>
        <w:t>用途房地产，根据房地产估价规范理论上不适合采用假设开发法，因为现状为正常使用且短期内重新开发或改扩建增加价值的可能性不大，故不适合采用假设开发法进行评估；</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eastAsia="仿宋_GB2312"/>
          <w:color w:val="auto"/>
          <w:sz w:val="28"/>
          <w:szCs w:val="28"/>
          <w:lang w:val="en-US" w:eastAsia="zh-CN"/>
        </w:rPr>
      </w:pPr>
      <w:r>
        <w:rPr>
          <w:rFonts w:hint="eastAsia" w:eastAsia="仿宋_GB2312"/>
          <w:sz w:val="28"/>
          <w:szCs w:val="28"/>
        </w:rPr>
        <w:t>（二）理论上适用，但客观条件不具备的估价方法：</w:t>
      </w:r>
      <w:r>
        <w:rPr>
          <w:rFonts w:hint="eastAsia" w:eastAsia="仿宋_GB2312"/>
          <w:color w:val="auto"/>
          <w:sz w:val="28"/>
          <w:szCs w:val="28"/>
        </w:rPr>
        <w:t>估价对象为</w:t>
      </w:r>
      <w:r>
        <w:rPr>
          <w:rFonts w:hint="eastAsia" w:eastAsia="仿宋_GB2312"/>
          <w:color w:val="auto"/>
          <w:sz w:val="28"/>
          <w:szCs w:val="28"/>
          <w:lang w:val="en-US" w:eastAsia="zh-CN"/>
        </w:rPr>
        <w:t>成套</w:t>
      </w:r>
      <w:r>
        <w:rPr>
          <w:rFonts w:hint="eastAsia" w:eastAsia="仿宋_GB2312"/>
          <w:color w:val="auto"/>
          <w:sz w:val="28"/>
          <w:szCs w:val="28"/>
          <w:lang w:eastAsia="zh-CN"/>
        </w:rPr>
        <w:t>住</w:t>
      </w:r>
      <w:r>
        <w:rPr>
          <w:rFonts w:hint="eastAsia" w:eastAsia="仿宋_GB2312"/>
          <w:color w:val="auto"/>
          <w:sz w:val="28"/>
          <w:szCs w:val="28"/>
          <w:lang w:val="en-US" w:eastAsia="zh-CN"/>
        </w:rPr>
        <w:t>宅</w:t>
      </w:r>
      <w:r>
        <w:rPr>
          <w:rFonts w:hint="eastAsia" w:eastAsia="仿宋_GB2312"/>
          <w:color w:val="auto"/>
          <w:sz w:val="28"/>
          <w:szCs w:val="28"/>
        </w:rPr>
        <w:t>用途房地产，为一整幢建筑物</w:t>
      </w:r>
      <w:r>
        <w:rPr>
          <w:rFonts w:hint="eastAsia" w:eastAsia="仿宋_GB2312"/>
          <w:color w:val="auto"/>
          <w:sz w:val="28"/>
          <w:szCs w:val="28"/>
          <w:lang w:val="en-US" w:eastAsia="zh-CN"/>
        </w:rPr>
        <w:t>之一部分</w:t>
      </w:r>
      <w:r>
        <w:rPr>
          <w:rFonts w:hint="eastAsia" w:eastAsia="仿宋_GB2312"/>
          <w:color w:val="auto"/>
          <w:sz w:val="28"/>
          <w:szCs w:val="28"/>
        </w:rPr>
        <w:t>，其建造成本、土地成本和公共配套设施成本不易分摊，因此不适合使用成本法进行评估；估价对象为</w:t>
      </w:r>
      <w:r>
        <w:rPr>
          <w:rFonts w:hint="eastAsia" w:eastAsia="仿宋_GB2312"/>
          <w:color w:val="auto"/>
          <w:sz w:val="28"/>
          <w:szCs w:val="28"/>
          <w:lang w:val="en-US" w:eastAsia="zh-CN"/>
        </w:rPr>
        <w:t>成套</w:t>
      </w:r>
      <w:r>
        <w:rPr>
          <w:rFonts w:hint="eastAsia" w:eastAsia="仿宋_GB2312"/>
          <w:color w:val="auto"/>
          <w:sz w:val="28"/>
          <w:szCs w:val="28"/>
          <w:lang w:eastAsia="zh-CN"/>
        </w:rPr>
        <w:t>住宅</w:t>
      </w:r>
      <w:r>
        <w:rPr>
          <w:rFonts w:hint="eastAsia" w:eastAsia="仿宋_GB2312"/>
          <w:color w:val="auto"/>
          <w:sz w:val="28"/>
          <w:szCs w:val="28"/>
        </w:rPr>
        <w:t>用途房地产，周边同类用房租赁实例较</w:t>
      </w:r>
      <w:r>
        <w:rPr>
          <w:rFonts w:hint="eastAsia" w:eastAsia="仿宋_GB2312"/>
          <w:color w:val="auto"/>
          <w:sz w:val="28"/>
          <w:szCs w:val="28"/>
          <w:lang w:eastAsia="zh-CN"/>
        </w:rPr>
        <w:t>多</w:t>
      </w:r>
      <w:r>
        <w:rPr>
          <w:rFonts w:hint="eastAsia" w:eastAsia="仿宋_GB2312"/>
          <w:color w:val="auto"/>
          <w:sz w:val="28"/>
          <w:szCs w:val="28"/>
        </w:rPr>
        <w:t>，因此，适合采用收益法对估价对象进行估价</w:t>
      </w:r>
      <w:r>
        <w:rPr>
          <w:rFonts w:hint="eastAsia" w:eastAsia="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eastAsia="仿宋_GB2312"/>
          <w:sz w:val="28"/>
          <w:szCs w:val="28"/>
          <w:lang w:val="en-US" w:eastAsia="zh-CN"/>
        </w:rPr>
      </w:pPr>
      <w:r>
        <w:rPr>
          <w:rFonts w:hint="eastAsia" w:eastAsia="仿宋_GB2312"/>
          <w:sz w:val="28"/>
          <w:szCs w:val="28"/>
        </w:rPr>
        <w:t>（三）适用的估价方法：估价对象</w:t>
      </w:r>
      <w:r>
        <w:rPr>
          <w:rFonts w:hint="eastAsia" w:eastAsia="仿宋_GB2312"/>
          <w:sz w:val="28"/>
          <w:szCs w:val="28"/>
          <w:lang w:val="en-US" w:eastAsia="zh-CN"/>
        </w:rPr>
        <w:t>为成套住宅，</w:t>
      </w:r>
      <w:r>
        <w:rPr>
          <w:rFonts w:hint="eastAsia" w:eastAsia="仿宋_GB2312"/>
          <w:sz w:val="28"/>
          <w:szCs w:val="28"/>
        </w:rPr>
        <w:t>所在区域</w:t>
      </w:r>
      <w:r>
        <w:rPr>
          <w:rFonts w:hint="eastAsia" w:eastAsia="仿宋_GB2312"/>
          <w:sz w:val="28"/>
          <w:szCs w:val="28"/>
          <w:lang w:val="en-US" w:eastAsia="zh-CN"/>
        </w:rPr>
        <w:t>住宅</w:t>
      </w:r>
      <w:r>
        <w:rPr>
          <w:rFonts w:hint="eastAsia" w:eastAsia="仿宋_GB2312"/>
          <w:sz w:val="28"/>
          <w:szCs w:val="28"/>
        </w:rPr>
        <w:t>房地产交易比较活跃，</w:t>
      </w:r>
      <w:r>
        <w:rPr>
          <w:rFonts w:hint="eastAsia" w:eastAsia="仿宋_GB2312"/>
          <w:color w:val="auto"/>
          <w:sz w:val="28"/>
          <w:szCs w:val="28"/>
        </w:rPr>
        <w:t>周边同类用房租赁实例较</w:t>
      </w:r>
      <w:r>
        <w:rPr>
          <w:rFonts w:hint="eastAsia" w:eastAsia="仿宋_GB2312"/>
          <w:color w:val="auto"/>
          <w:sz w:val="28"/>
          <w:szCs w:val="28"/>
          <w:lang w:eastAsia="zh-CN"/>
        </w:rPr>
        <w:t>多</w:t>
      </w:r>
      <w:r>
        <w:rPr>
          <w:rFonts w:hint="eastAsia" w:eastAsia="仿宋_GB2312"/>
          <w:sz w:val="28"/>
          <w:szCs w:val="28"/>
        </w:rPr>
        <w:t>，</w:t>
      </w:r>
      <w:r>
        <w:rPr>
          <w:rFonts w:hint="eastAsia" w:eastAsia="仿宋_GB2312"/>
          <w:sz w:val="28"/>
          <w:szCs w:val="28"/>
          <w:lang w:eastAsia="zh-CN"/>
        </w:rPr>
        <w:t>收益</w:t>
      </w:r>
      <w:r>
        <w:rPr>
          <w:rFonts w:hint="eastAsia" w:eastAsia="仿宋_GB2312"/>
          <w:sz w:val="28"/>
          <w:szCs w:val="28"/>
        </w:rPr>
        <w:t>法是比较合适的方法，因此，适合采用</w:t>
      </w:r>
      <w:r>
        <w:rPr>
          <w:rFonts w:hint="eastAsia" w:eastAsia="仿宋_GB2312"/>
          <w:sz w:val="28"/>
          <w:szCs w:val="28"/>
          <w:lang w:val="en-US" w:eastAsia="zh-CN"/>
        </w:rPr>
        <w:t>收益</w:t>
      </w:r>
      <w:r>
        <w:rPr>
          <w:rFonts w:hint="eastAsia" w:eastAsia="仿宋_GB2312"/>
          <w:sz w:val="28"/>
          <w:szCs w:val="28"/>
        </w:rPr>
        <w:t>法对估价对象进行估价</w:t>
      </w:r>
      <w:r>
        <w:rPr>
          <w:rFonts w:hint="eastAsia" w:eastAsia="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eastAsia="仿宋_GB2312"/>
          <w:sz w:val="28"/>
          <w:szCs w:val="28"/>
        </w:rPr>
      </w:pPr>
      <w:r>
        <w:rPr>
          <w:rFonts w:hint="eastAsia" w:eastAsia="仿宋_GB2312"/>
          <w:sz w:val="28"/>
          <w:szCs w:val="28"/>
        </w:rPr>
        <w:t>综上所述，估价人员在认真分析所掌握的资料并对邻近类似房地产进行实地查看调查后，根据估价对象的特点及本次估价目的，遵照国家有关法律、法规、估价技术标准，对估价对象采用</w:t>
      </w:r>
      <w:r>
        <w:rPr>
          <w:rFonts w:hint="eastAsia" w:eastAsia="仿宋_GB2312"/>
          <w:sz w:val="28"/>
          <w:szCs w:val="28"/>
          <w:lang w:eastAsia="zh-CN"/>
        </w:rPr>
        <w:t>收益</w:t>
      </w:r>
      <w:r>
        <w:rPr>
          <w:rFonts w:hint="eastAsia" w:eastAsia="仿宋_GB2312"/>
          <w:sz w:val="28"/>
          <w:szCs w:val="28"/>
        </w:rPr>
        <w:t>法</w:t>
      </w:r>
      <w:r>
        <w:rPr>
          <w:rFonts w:hint="eastAsia" w:eastAsia="仿宋_GB2312"/>
          <w:sz w:val="28"/>
          <w:szCs w:val="28"/>
          <w:lang w:val="en-US" w:eastAsia="zh-CN"/>
        </w:rPr>
        <w:t>进行</w:t>
      </w:r>
      <w:r>
        <w:rPr>
          <w:rFonts w:hint="eastAsia" w:eastAsia="仿宋_GB2312"/>
          <w:sz w:val="28"/>
          <w:szCs w:val="28"/>
        </w:rPr>
        <w:t>评估。</w:t>
      </w:r>
    </w:p>
    <w:p>
      <w:pPr>
        <w:pStyle w:val="4"/>
        <w:pageBreakBefore w:val="0"/>
        <w:widowControl w:val="0"/>
        <w:kinsoku/>
        <w:wordWrap/>
        <w:overflowPunct/>
        <w:topLinePunct w:val="0"/>
        <w:autoSpaceDE/>
        <w:autoSpaceDN/>
        <w:bidi w:val="0"/>
        <w:adjustRightInd w:val="0"/>
        <w:snapToGrid w:val="0"/>
        <w:spacing w:line="480" w:lineRule="exact"/>
        <w:ind w:firstLine="281" w:firstLineChars="100"/>
        <w:textAlignment w:val="auto"/>
        <w:rPr>
          <w:rFonts w:hint="eastAsia" w:ascii="仿宋_GB2312" w:eastAsia="仿宋_GB2312"/>
          <w:b/>
          <w:bCs/>
          <w:sz w:val="28"/>
        </w:rPr>
      </w:pPr>
      <w:bookmarkStart w:id="34" w:name="_Toc15374"/>
      <w:bookmarkStart w:id="35" w:name="_Toc19755"/>
      <w:bookmarkStart w:id="36" w:name="_Toc536174657"/>
      <w:r>
        <w:rPr>
          <w:rFonts w:hint="eastAsia" w:ascii="仿宋_GB2312" w:eastAsia="仿宋_GB2312"/>
          <w:b/>
          <w:bCs/>
          <w:sz w:val="28"/>
        </w:rPr>
        <w:t>（十）</w:t>
      </w:r>
      <w:r>
        <w:rPr>
          <w:rFonts w:hint="eastAsia" w:ascii="仿宋_GB2312" w:eastAsia="仿宋_GB2312"/>
          <w:b/>
          <w:bCs/>
          <w:sz w:val="28"/>
          <w:lang w:eastAsia="zh-CN"/>
        </w:rPr>
        <w:t>估价</w:t>
      </w:r>
      <w:r>
        <w:rPr>
          <w:rFonts w:hint="eastAsia" w:ascii="仿宋_GB2312" w:eastAsia="仿宋_GB2312"/>
          <w:b/>
          <w:bCs/>
          <w:sz w:val="28"/>
        </w:rPr>
        <w:t>结果</w:t>
      </w:r>
      <w:bookmarkEnd w:id="34"/>
      <w:bookmarkEnd w:id="35"/>
      <w:bookmarkEnd w:id="36"/>
    </w:p>
    <w:p>
      <w:pPr>
        <w:keepNext w:val="0"/>
        <w:keepLines w:val="0"/>
        <w:pageBreakBefore w:val="0"/>
        <w:widowControl w:val="0"/>
        <w:kinsoku/>
        <w:wordWrap/>
        <w:overflowPunct/>
        <w:topLinePunct w:val="0"/>
        <w:autoSpaceDE/>
        <w:autoSpaceDN/>
        <w:bidi w:val="0"/>
        <w:adjustRightInd w:val="0"/>
        <w:snapToGrid w:val="0"/>
        <w:spacing w:line="460" w:lineRule="exact"/>
        <w:ind w:right="34" w:firstLine="560" w:firstLineChars="200"/>
        <w:jc w:val="both"/>
        <w:textAlignment w:val="auto"/>
        <w:rPr>
          <w:rFonts w:hint="eastAsia" w:ascii="仿宋_GB2312" w:hAnsi="仿宋" w:eastAsia="仿宋_GB2312"/>
          <w:b w:val="0"/>
          <w:bCs/>
          <w:sz w:val="28"/>
          <w:szCs w:val="28"/>
          <w:lang w:eastAsia="zh-CN"/>
        </w:rPr>
      </w:pPr>
      <w:r>
        <w:rPr>
          <w:rFonts w:hint="eastAsia" w:ascii="仿宋_GB2312" w:hAnsi="宋体" w:eastAsia="仿宋_GB2312"/>
          <w:sz w:val="28"/>
          <w:szCs w:val="28"/>
        </w:rPr>
        <w:t>经过实地查勘与市场调查，遵照《中华人民共和国城市房地产管理法》、《房地产估价规范》等法律法规和技术标准，遵循各项估价原则，选用适宜的估价方法（</w:t>
      </w:r>
      <w:r>
        <w:rPr>
          <w:rFonts w:hint="eastAsia" w:ascii="仿宋_GB2312" w:hAnsi="宋体" w:eastAsia="仿宋_GB2312"/>
          <w:sz w:val="28"/>
          <w:szCs w:val="28"/>
          <w:lang w:eastAsia="zh-CN"/>
        </w:rPr>
        <w:t>收益法</w:t>
      </w:r>
      <w:r>
        <w:rPr>
          <w:rFonts w:hint="eastAsia" w:ascii="仿宋_GB2312" w:hAnsi="宋体" w:eastAsia="仿宋_GB2312"/>
          <w:sz w:val="28"/>
          <w:szCs w:val="28"/>
        </w:rPr>
        <w:t>）对估价对象进行了测算，在认真分析所掌握的资料并充分考虑估价对象比较因素的基础上，经过综合测算，最终确定</w:t>
      </w:r>
      <w:r>
        <w:rPr>
          <w:rFonts w:hint="eastAsia" w:ascii="仿宋_GB2312" w:hAnsi="宋体" w:eastAsia="仿宋_GB2312"/>
          <w:sz w:val="28"/>
          <w:szCs w:val="28"/>
          <w:lang w:eastAsia="zh-CN"/>
        </w:rPr>
        <w:t>估价对象</w:t>
      </w:r>
      <w:r>
        <w:rPr>
          <w:rFonts w:hint="eastAsia" w:ascii="仿宋_GB2312" w:hAnsi="宋体" w:eastAsia="仿宋_GB2312"/>
          <w:sz w:val="28"/>
          <w:szCs w:val="28"/>
        </w:rPr>
        <w:t>于价值时点</w:t>
      </w:r>
      <w:r>
        <w:rPr>
          <w:rFonts w:hint="eastAsia" w:ascii="仿宋_GB2312" w:hAnsi="宋体" w:eastAsia="仿宋_GB2312"/>
          <w:sz w:val="28"/>
          <w:szCs w:val="28"/>
          <w:lang w:eastAsia="zh-CN"/>
        </w:rPr>
        <w:t>2022年5月19日</w:t>
      </w:r>
      <w:r>
        <w:rPr>
          <w:rFonts w:hint="eastAsia" w:ascii="仿宋_GB2312" w:hAnsi="宋体" w:eastAsia="仿宋_GB2312"/>
          <w:sz w:val="28"/>
          <w:szCs w:val="28"/>
        </w:rPr>
        <w:t>在满足</w:t>
      </w:r>
      <w:r>
        <w:rPr>
          <w:rFonts w:hint="eastAsia" w:ascii="仿宋_GB2312" w:hAnsi="宋体" w:eastAsia="仿宋_GB2312"/>
          <w:sz w:val="28"/>
          <w:szCs w:val="28"/>
          <w:lang w:eastAsia="zh-CN"/>
        </w:rPr>
        <w:t>估价假设</w:t>
      </w:r>
      <w:r>
        <w:rPr>
          <w:rFonts w:hint="eastAsia" w:ascii="仿宋_GB2312" w:hAnsi="宋体" w:eastAsia="仿宋_GB2312"/>
          <w:sz w:val="28"/>
          <w:szCs w:val="28"/>
        </w:rPr>
        <w:t>和限制条件下的价值进行估算和判定，得出</w:t>
      </w:r>
      <w:r>
        <w:rPr>
          <w:rFonts w:hint="eastAsia" w:ascii="仿宋_GB2312" w:hAnsi="宋体" w:eastAsia="仿宋_GB2312"/>
          <w:sz w:val="28"/>
          <w:szCs w:val="28"/>
          <w:lang w:eastAsia="zh-CN"/>
        </w:rPr>
        <w:t>估价</w:t>
      </w:r>
      <w:r>
        <w:rPr>
          <w:rFonts w:hint="eastAsia" w:ascii="仿宋_GB2312" w:hAnsi="宋体" w:eastAsia="仿宋_GB2312"/>
          <w:sz w:val="28"/>
          <w:szCs w:val="28"/>
        </w:rPr>
        <w:t>结果——</w:t>
      </w:r>
      <w:r>
        <w:rPr>
          <w:rFonts w:hint="eastAsia" w:ascii="仿宋_GB2312" w:hAnsi="宋体" w:eastAsia="仿宋_GB2312"/>
          <w:sz w:val="28"/>
          <w:szCs w:val="28"/>
          <w:lang w:eastAsia="zh-CN"/>
        </w:rPr>
        <w:t>估价对象评估</w:t>
      </w:r>
      <w:r>
        <w:rPr>
          <w:rFonts w:hint="eastAsia" w:ascii="仿宋_GB2312" w:hAnsi="宋体" w:eastAsia="仿宋_GB2312"/>
          <w:sz w:val="28"/>
          <w:szCs w:val="28"/>
        </w:rPr>
        <w:t>总值为：</w:t>
      </w:r>
      <w:r>
        <w:rPr>
          <w:rFonts w:hint="eastAsia" w:ascii="仿宋_GB2312" w:hAnsi="宋体" w:eastAsia="仿宋_GB2312"/>
          <w:b/>
          <w:bCs/>
          <w:sz w:val="28"/>
          <w:szCs w:val="28"/>
          <w:lang w:val="en-US" w:eastAsia="zh-CN"/>
        </w:rPr>
        <w:fldChar w:fldCharType="begin"/>
      </w:r>
      <w:r>
        <w:rPr>
          <w:rFonts w:hint="eastAsia" w:ascii="仿宋_GB2312" w:hAnsi="宋体" w:eastAsia="仿宋_GB2312"/>
          <w:b/>
          <w:bCs/>
          <w:sz w:val="28"/>
          <w:szCs w:val="28"/>
          <w:lang w:val="en-US" w:eastAsia="zh-CN"/>
        </w:rPr>
        <w:instrText xml:space="preserve"> = 1282651 \* CHINESENUM2 \* MERGEFORMAT </w:instrText>
      </w:r>
      <w:r>
        <w:rPr>
          <w:rFonts w:hint="eastAsia" w:ascii="仿宋_GB2312" w:hAnsi="宋体" w:eastAsia="仿宋_GB2312"/>
          <w:b/>
          <w:bCs/>
          <w:sz w:val="28"/>
          <w:szCs w:val="28"/>
          <w:lang w:val="en-US" w:eastAsia="zh-CN"/>
        </w:rPr>
        <w:fldChar w:fldCharType="separate"/>
      </w:r>
      <w:r>
        <w:rPr>
          <w:rFonts w:hint="eastAsia" w:ascii="仿宋_GB2312" w:hAnsi="宋体" w:eastAsia="仿宋_GB2312"/>
          <w:b/>
          <w:bCs/>
          <w:sz w:val="28"/>
          <w:szCs w:val="28"/>
          <w:lang w:eastAsia="zh-CN"/>
        </w:rPr>
        <w:t>柒佰伍拾贰万贰仟玖佰柒拾柒</w:t>
      </w:r>
      <w:r>
        <w:rPr>
          <w:rFonts w:hint="eastAsia" w:ascii="仿宋_GB2312" w:hAnsi="宋体" w:eastAsia="仿宋_GB2312"/>
          <w:b/>
          <w:bCs/>
          <w:sz w:val="28"/>
          <w:szCs w:val="28"/>
          <w:lang w:val="en-US" w:eastAsia="zh-CN"/>
        </w:rPr>
        <w:fldChar w:fldCharType="end"/>
      </w:r>
      <w:r>
        <w:rPr>
          <w:rFonts w:hint="eastAsia" w:ascii="仿宋_GB2312" w:hAnsi="仿宋" w:eastAsia="仿宋_GB2312"/>
          <w:b/>
          <w:bCs w:val="0"/>
          <w:color w:val="auto"/>
          <w:sz w:val="28"/>
          <w:szCs w:val="28"/>
          <w:lang w:eastAsia="zh-CN"/>
        </w:rPr>
        <w:t>元</w:t>
      </w:r>
      <w:r>
        <w:rPr>
          <w:rFonts w:hint="eastAsia" w:ascii="仿宋_GB2312" w:hAnsi="仿宋" w:eastAsia="仿宋_GB2312"/>
          <w:b/>
          <w:bCs w:val="0"/>
          <w:color w:val="auto"/>
          <w:sz w:val="28"/>
          <w:szCs w:val="28"/>
        </w:rPr>
        <w:t>整</w:t>
      </w:r>
      <w:r>
        <w:rPr>
          <w:rFonts w:hint="eastAsia" w:ascii="仿宋_GB2312" w:hAnsi="仿宋" w:eastAsia="仿宋_GB2312"/>
          <w:b/>
          <w:color w:val="auto"/>
          <w:sz w:val="28"/>
          <w:szCs w:val="28"/>
        </w:rPr>
        <w:t>（</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bCs/>
          <w:color w:val="auto"/>
          <w:sz w:val="28"/>
          <w:szCs w:val="28"/>
          <w:highlight w:val="none"/>
          <w:lang w:val="en-US" w:eastAsia="zh-CN"/>
        </w:rPr>
        <w:t>7522977</w:t>
      </w:r>
      <w:r>
        <w:rPr>
          <w:rFonts w:hint="eastAsia" w:ascii="仿宋_GB2312" w:hAnsi="仿宋" w:eastAsia="仿宋_GB2312"/>
          <w:b/>
          <w:color w:val="auto"/>
          <w:sz w:val="28"/>
          <w:szCs w:val="28"/>
        </w:rPr>
        <w:t>元）</w:t>
      </w:r>
      <w:r>
        <w:rPr>
          <w:rFonts w:hint="eastAsia" w:ascii="仿宋_GB2312" w:hAnsi="仿宋" w:eastAsia="仿宋_GB2312"/>
          <w:bCs/>
          <w:sz w:val="28"/>
          <w:szCs w:val="28"/>
        </w:rPr>
        <w:t>。</w:t>
      </w:r>
      <w:r>
        <w:rPr>
          <w:rFonts w:hint="eastAsia" w:ascii="仿宋_GB2312" w:hAnsi="仿宋" w:eastAsia="仿宋_GB2312"/>
          <w:b w:val="0"/>
          <w:bCs/>
          <w:sz w:val="28"/>
          <w:szCs w:val="28"/>
          <w:lang w:eastAsia="zh-CN"/>
        </w:rPr>
        <w:t>（详见《估价</w:t>
      </w:r>
      <w:r>
        <w:rPr>
          <w:rFonts w:hint="eastAsia" w:ascii="仿宋_GB2312" w:hAnsi="宋体" w:eastAsia="仿宋_GB2312"/>
          <w:b w:val="0"/>
          <w:bCs/>
          <w:sz w:val="28"/>
          <w:szCs w:val="28"/>
          <w:u w:val="none"/>
        </w:rPr>
        <w:t>结果一览表</w:t>
      </w:r>
      <w:r>
        <w:rPr>
          <w:rFonts w:hint="eastAsia" w:ascii="仿宋_GB2312" w:hAnsi="宋体" w:eastAsia="仿宋_GB2312"/>
          <w:b w:val="0"/>
          <w:bCs/>
          <w:sz w:val="28"/>
          <w:szCs w:val="28"/>
          <w:u w:val="none"/>
          <w:lang w:eastAsia="zh-CN"/>
        </w:rPr>
        <w:t>》</w:t>
      </w:r>
      <w:r>
        <w:rPr>
          <w:rFonts w:hint="eastAsia" w:ascii="仿宋_GB2312" w:hAnsi="仿宋" w:eastAsia="仿宋_GB2312"/>
          <w:b w:val="0"/>
          <w:bCs/>
          <w:sz w:val="28"/>
          <w:szCs w:val="28"/>
          <w:lang w:eastAsia="zh-CN"/>
        </w:rPr>
        <w:t>）</w:t>
      </w:r>
    </w:p>
    <w:p>
      <w:pPr>
        <w:pStyle w:val="4"/>
        <w:numPr>
          <w:ilvl w:val="0"/>
          <w:numId w:val="0"/>
        </w:numPr>
        <w:snapToGrid w:val="0"/>
        <w:spacing w:before="0" w:after="0" w:line="500" w:lineRule="exact"/>
        <w:ind w:firstLine="281" w:firstLineChars="100"/>
        <w:jc w:val="left"/>
        <w:rPr>
          <w:rFonts w:hint="eastAsia" w:ascii="仿宋_GB2312" w:hAnsi="宋体" w:eastAsia="仿宋_GB2312"/>
          <w:sz w:val="28"/>
          <w:szCs w:val="28"/>
        </w:rPr>
      </w:pPr>
      <w:r>
        <w:rPr>
          <w:rFonts w:hint="eastAsia" w:ascii="Times New Roman" w:hAnsi="仿宋" w:eastAsia="仿宋" w:cs="Times New Roman"/>
          <w:b/>
          <w:bCs w:val="0"/>
          <w:color w:val="000000" w:themeColor="text1"/>
          <w:sz w:val="28"/>
          <w:szCs w:val="28"/>
          <w:lang w:eastAsia="zh-CN"/>
          <w14:textFill>
            <w14:solidFill>
              <w14:schemeClr w14:val="tx1"/>
            </w14:solidFill>
          </w14:textFill>
        </w:rPr>
        <w:t>（</w:t>
      </w:r>
      <w:r>
        <w:rPr>
          <w:rFonts w:hint="eastAsia" w:ascii="仿宋_GB2312" w:eastAsia="仿宋_GB2312" w:cs="Times New Roman"/>
          <w:b/>
          <w:bCs w:val="0"/>
          <w:sz w:val="28"/>
          <w:lang w:eastAsia="zh-CN"/>
        </w:rPr>
        <w:t>十一）</w:t>
      </w:r>
      <w:r>
        <w:rPr>
          <w:rFonts w:hint="eastAsia" w:ascii="仿宋_GB2312" w:eastAsia="仿宋_GB2312" w:cs="Times New Roman"/>
          <w:b/>
          <w:bCs w:val="0"/>
          <w:sz w:val="28"/>
        </w:rPr>
        <w:t>注册房地产估价师</w:t>
      </w:r>
    </w:p>
    <w:p>
      <w:pPr>
        <w:adjustRightInd w:val="0"/>
        <w:snapToGrid w:val="0"/>
        <w:spacing w:line="500" w:lineRule="exact"/>
        <w:ind w:firstLine="560" w:firstLineChars="200"/>
        <w:rPr>
          <w:rFonts w:eastAsia="仿宋"/>
          <w:color w:val="000000" w:themeColor="text1"/>
          <w:sz w:val="28"/>
          <w:szCs w:val="28"/>
          <w14:textFill>
            <w14:solidFill>
              <w14:schemeClr w14:val="tx1"/>
            </w14:solidFill>
          </w14:textFill>
        </w:rPr>
      </w:pPr>
      <w:r>
        <w:rPr>
          <w:rFonts w:hAnsi="仿宋" w:eastAsia="仿宋"/>
          <w:color w:val="000000" w:themeColor="text1"/>
          <w:sz w:val="28"/>
          <w:szCs w:val="28"/>
          <w14:textFill>
            <w14:solidFill>
              <w14:schemeClr w14:val="tx1"/>
            </w14:solidFill>
          </w14:textFill>
        </w:rPr>
        <w:t>参加本次估价的注册房地产估价师为</w:t>
      </w:r>
      <w:r>
        <w:rPr>
          <w:rFonts w:hAnsi="仿宋" w:eastAsia="仿宋"/>
          <w:color w:val="000000" w:themeColor="text1"/>
          <w:sz w:val="26"/>
          <w:szCs w:val="26"/>
          <w14:textFill>
            <w14:solidFill>
              <w14:schemeClr w14:val="tx1"/>
            </w14:solidFill>
          </w14:textFill>
        </w:rPr>
        <w:t>：</w:t>
      </w:r>
      <w:bookmarkStart w:id="91" w:name="_GoBack"/>
      <w:bookmarkEnd w:id="91"/>
    </w:p>
    <w:tbl>
      <w:tblPr>
        <w:tblStyle w:val="12"/>
        <w:tblW w:w="944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2249"/>
        <w:gridCol w:w="2526"/>
        <w:gridCol w:w="26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032" w:type="dxa"/>
            <w:tcBorders>
              <w:top w:val="double" w:color="auto" w:sz="4" w:space="0"/>
            </w:tcBorders>
            <w:vAlign w:val="center"/>
          </w:tcPr>
          <w:p>
            <w:pPr>
              <w:tabs>
                <w:tab w:val="left" w:pos="735"/>
              </w:tabs>
              <w:overflowPunct w:val="0"/>
              <w:spacing w:line="312" w:lineRule="auto"/>
              <w:jc w:val="center"/>
              <w:rPr>
                <w:rFonts w:eastAsia="仿宋"/>
                <w:color w:val="000000" w:themeColor="text1"/>
                <w:sz w:val="28"/>
                <w:szCs w:val="28"/>
                <w14:textFill>
                  <w14:solidFill>
                    <w14:schemeClr w14:val="tx1"/>
                  </w14:solidFill>
                </w14:textFill>
              </w:rPr>
            </w:pPr>
            <w:r>
              <w:rPr>
                <w:rFonts w:hAnsi="仿宋" w:eastAsia="仿宋"/>
                <w:color w:val="000000" w:themeColor="text1"/>
                <w:sz w:val="28"/>
                <w:szCs w:val="28"/>
                <w14:textFill>
                  <w14:solidFill>
                    <w14:schemeClr w14:val="tx1"/>
                  </w14:solidFill>
                </w14:textFill>
              </w:rPr>
              <w:t>姓名</w:t>
            </w:r>
          </w:p>
        </w:tc>
        <w:tc>
          <w:tcPr>
            <w:tcW w:w="2249" w:type="dxa"/>
            <w:tcBorders>
              <w:top w:val="double" w:color="auto" w:sz="4" w:space="0"/>
            </w:tcBorders>
            <w:vAlign w:val="center"/>
          </w:tcPr>
          <w:p>
            <w:pPr>
              <w:tabs>
                <w:tab w:val="left" w:pos="735"/>
              </w:tabs>
              <w:wordWrap w:val="0"/>
              <w:overflowPunct w:val="0"/>
              <w:spacing w:line="312" w:lineRule="auto"/>
              <w:jc w:val="center"/>
              <w:rPr>
                <w:rFonts w:eastAsia="仿宋"/>
                <w:color w:val="000000" w:themeColor="text1"/>
                <w:sz w:val="28"/>
                <w:szCs w:val="28"/>
                <w14:textFill>
                  <w14:solidFill>
                    <w14:schemeClr w14:val="tx1"/>
                  </w14:solidFill>
                </w14:textFill>
              </w:rPr>
            </w:pPr>
            <w:r>
              <w:rPr>
                <w:rFonts w:hAnsi="仿宋" w:eastAsia="仿宋"/>
                <w:color w:val="000000" w:themeColor="text1"/>
                <w:sz w:val="28"/>
                <w:szCs w:val="28"/>
                <w14:textFill>
                  <w14:solidFill>
                    <w14:schemeClr w14:val="tx1"/>
                  </w14:solidFill>
                </w14:textFill>
              </w:rPr>
              <w:t>注册号</w:t>
            </w:r>
          </w:p>
        </w:tc>
        <w:tc>
          <w:tcPr>
            <w:tcW w:w="2526" w:type="dxa"/>
            <w:tcBorders>
              <w:top w:val="double" w:color="auto" w:sz="4" w:space="0"/>
            </w:tcBorders>
            <w:vAlign w:val="center"/>
          </w:tcPr>
          <w:p>
            <w:pPr>
              <w:tabs>
                <w:tab w:val="left" w:pos="735"/>
              </w:tabs>
              <w:wordWrap w:val="0"/>
              <w:overflowPunct w:val="0"/>
              <w:spacing w:line="312" w:lineRule="auto"/>
              <w:jc w:val="center"/>
              <w:rPr>
                <w:rFonts w:eastAsia="仿宋"/>
                <w:color w:val="000000" w:themeColor="text1"/>
                <w:sz w:val="28"/>
                <w:szCs w:val="28"/>
                <w14:textFill>
                  <w14:solidFill>
                    <w14:schemeClr w14:val="tx1"/>
                  </w14:solidFill>
                </w14:textFill>
              </w:rPr>
            </w:pPr>
            <w:r>
              <w:rPr>
                <w:rFonts w:hAnsi="仿宋" w:eastAsia="仿宋"/>
                <w:color w:val="000000" w:themeColor="text1"/>
                <w:sz w:val="28"/>
                <w:szCs w:val="28"/>
                <w14:textFill>
                  <w14:solidFill>
                    <w14:schemeClr w14:val="tx1"/>
                  </w14:solidFill>
                </w14:textFill>
              </w:rPr>
              <w:t>签名</w:t>
            </w:r>
          </w:p>
        </w:tc>
        <w:tc>
          <w:tcPr>
            <w:tcW w:w="2635" w:type="dxa"/>
            <w:tcBorders>
              <w:top w:val="double" w:color="auto" w:sz="4" w:space="0"/>
            </w:tcBorders>
            <w:vAlign w:val="center"/>
          </w:tcPr>
          <w:p>
            <w:pPr>
              <w:tabs>
                <w:tab w:val="left" w:pos="735"/>
              </w:tabs>
              <w:wordWrap w:val="0"/>
              <w:overflowPunct w:val="0"/>
              <w:spacing w:line="312" w:lineRule="auto"/>
              <w:jc w:val="center"/>
              <w:rPr>
                <w:rFonts w:eastAsia="仿宋"/>
                <w:color w:val="000000" w:themeColor="text1"/>
                <w:sz w:val="28"/>
                <w:szCs w:val="28"/>
                <w14:textFill>
                  <w14:solidFill>
                    <w14:schemeClr w14:val="tx1"/>
                  </w14:solidFill>
                </w14:textFill>
              </w:rPr>
            </w:pPr>
            <w:r>
              <w:rPr>
                <w:rFonts w:hAnsi="仿宋" w:eastAsia="仿宋"/>
                <w:color w:val="000000" w:themeColor="text1"/>
                <w:sz w:val="28"/>
                <w:szCs w:val="28"/>
                <w14:textFill>
                  <w14:solidFill>
                    <w14:schemeClr w14:val="tx1"/>
                  </w14:solidFill>
                </w14:textFill>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032" w:type="dxa"/>
            <w:vAlign w:val="center"/>
          </w:tcPr>
          <w:p>
            <w:pPr>
              <w:tabs>
                <w:tab w:val="left" w:pos="735"/>
              </w:tabs>
              <w:overflowPunct w:val="0"/>
              <w:spacing w:line="312" w:lineRule="auto"/>
              <w:jc w:val="center"/>
              <w:rPr>
                <w:rFonts w:hint="eastAsia" w:eastAsia="仿宋"/>
                <w:color w:val="000000" w:themeColor="text1"/>
                <w:sz w:val="28"/>
                <w:szCs w:val="28"/>
                <w:lang w:eastAsia="zh-CN"/>
                <w14:textFill>
                  <w14:solidFill>
                    <w14:schemeClr w14:val="tx1"/>
                  </w14:solidFill>
                </w14:textFill>
              </w:rPr>
            </w:pPr>
            <w:r>
              <w:rPr>
                <w:rFonts w:hint="eastAsia" w:hAnsi="仿宋" w:eastAsia="仿宋"/>
                <w:color w:val="000000" w:themeColor="text1"/>
                <w:sz w:val="28"/>
                <w:szCs w:val="28"/>
                <w:lang w:eastAsia="zh-CN"/>
                <w14:textFill>
                  <w14:solidFill>
                    <w14:schemeClr w14:val="tx1"/>
                  </w14:solidFill>
                </w14:textFill>
              </w:rPr>
              <w:t>李舰</w:t>
            </w:r>
          </w:p>
        </w:tc>
        <w:tc>
          <w:tcPr>
            <w:tcW w:w="2249" w:type="dxa"/>
            <w:vAlign w:val="center"/>
          </w:tcPr>
          <w:p>
            <w:pPr>
              <w:tabs>
                <w:tab w:val="left" w:pos="735"/>
              </w:tabs>
              <w:overflowPunct w:val="0"/>
              <w:spacing w:line="312" w:lineRule="auto"/>
              <w:jc w:val="center"/>
              <w:rPr>
                <w:rFonts w:hint="eastAsia" w:eastAsia="仿宋"/>
                <w:color w:val="000000" w:themeColor="text1"/>
                <w:sz w:val="28"/>
                <w:szCs w:val="28"/>
                <w:lang w:eastAsia="zh-CN"/>
                <w14:textFill>
                  <w14:solidFill>
                    <w14:schemeClr w14:val="tx1"/>
                  </w14:solidFill>
                </w14:textFill>
              </w:rPr>
            </w:pPr>
            <w:r>
              <w:rPr>
                <w:rFonts w:hint="eastAsia" w:eastAsia="仿宋"/>
                <w:color w:val="000000" w:themeColor="text1"/>
                <w:sz w:val="28"/>
                <w:szCs w:val="28"/>
                <w:lang w:eastAsia="zh-CN"/>
                <w14:textFill>
                  <w14:solidFill>
                    <w14:schemeClr w14:val="tx1"/>
                  </w14:solidFill>
                </w14:textFill>
              </w:rPr>
              <w:t>3620200071</w:t>
            </w:r>
          </w:p>
        </w:tc>
        <w:tc>
          <w:tcPr>
            <w:tcW w:w="2526" w:type="dxa"/>
            <w:vAlign w:val="center"/>
          </w:tcPr>
          <w:p>
            <w:pPr>
              <w:tabs>
                <w:tab w:val="left" w:pos="735"/>
              </w:tabs>
              <w:wordWrap w:val="0"/>
              <w:overflowPunct w:val="0"/>
              <w:spacing w:line="312" w:lineRule="auto"/>
              <w:jc w:val="center"/>
              <w:rPr>
                <w:rFonts w:eastAsia="仿宋"/>
                <w:color w:val="000000" w:themeColor="text1"/>
                <w14:textFill>
                  <w14:solidFill>
                    <w14:schemeClr w14:val="tx1"/>
                  </w14:solidFill>
                </w14:textFill>
              </w:rPr>
            </w:pPr>
          </w:p>
        </w:tc>
        <w:tc>
          <w:tcPr>
            <w:tcW w:w="2635" w:type="dxa"/>
            <w:vAlign w:val="center"/>
          </w:tcPr>
          <w:p>
            <w:pPr>
              <w:tabs>
                <w:tab w:val="left" w:pos="735"/>
              </w:tabs>
              <w:overflowPunct w:val="0"/>
              <w:spacing w:line="312" w:lineRule="auto"/>
              <w:jc w:val="center"/>
              <w:rPr>
                <w:rFonts w:hint="eastAsia" w:hAnsi="仿宋" w:eastAsia="仿宋"/>
                <w:color w:val="000000" w:themeColor="text1"/>
                <w:sz w:val="28"/>
                <w:szCs w:val="28"/>
                <w:lang w:eastAsia="zh-CN"/>
                <w14:textFill>
                  <w14:solidFill>
                    <w14:schemeClr w14:val="tx1"/>
                  </w14:solidFill>
                </w14:textFill>
              </w:rPr>
            </w:pPr>
            <w:r>
              <w:rPr>
                <w:rFonts w:hint="eastAsia" w:hAnsi="仿宋" w:eastAsia="仿宋"/>
                <w:color w:val="000000" w:themeColor="text1"/>
                <w:sz w:val="28"/>
                <w:szCs w:val="28"/>
                <w:lang w:eastAsia="zh-CN"/>
                <w14:textFill>
                  <w14:solidFill>
                    <w14:schemeClr w14:val="tx1"/>
                  </w14:solidFill>
                </w14:textFill>
              </w:rPr>
              <w:t>2022年6月7日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032" w:type="dxa"/>
            <w:tcBorders>
              <w:bottom w:val="double" w:color="auto" w:sz="4" w:space="0"/>
            </w:tcBorders>
            <w:vAlign w:val="center"/>
          </w:tcPr>
          <w:p>
            <w:pPr>
              <w:tabs>
                <w:tab w:val="left" w:pos="735"/>
              </w:tabs>
              <w:overflowPunct w:val="0"/>
              <w:spacing w:line="312" w:lineRule="auto"/>
              <w:jc w:val="center"/>
              <w:rPr>
                <w:rFonts w:hint="eastAsia" w:eastAsia="仿宋"/>
                <w:color w:val="000000" w:themeColor="text1"/>
                <w:sz w:val="28"/>
                <w:szCs w:val="28"/>
                <w:lang w:eastAsia="zh-CN"/>
                <w14:textFill>
                  <w14:solidFill>
                    <w14:schemeClr w14:val="tx1"/>
                  </w14:solidFill>
                </w14:textFill>
              </w:rPr>
            </w:pPr>
            <w:r>
              <w:rPr>
                <w:rFonts w:hint="eastAsia" w:hAnsi="仿宋" w:eastAsia="仿宋"/>
                <w:color w:val="000000" w:themeColor="text1"/>
                <w:sz w:val="28"/>
                <w:szCs w:val="28"/>
                <w:lang w:eastAsia="zh-CN"/>
                <w14:textFill>
                  <w14:solidFill>
                    <w14:schemeClr w14:val="tx1"/>
                  </w14:solidFill>
                </w14:textFill>
              </w:rPr>
              <w:t>王辉</w:t>
            </w:r>
          </w:p>
        </w:tc>
        <w:tc>
          <w:tcPr>
            <w:tcW w:w="2249" w:type="dxa"/>
            <w:tcBorders>
              <w:bottom w:val="double" w:color="auto" w:sz="4" w:space="0"/>
            </w:tcBorders>
            <w:vAlign w:val="center"/>
          </w:tcPr>
          <w:p>
            <w:pPr>
              <w:tabs>
                <w:tab w:val="left" w:pos="735"/>
              </w:tabs>
              <w:overflowPunct w:val="0"/>
              <w:spacing w:line="312" w:lineRule="auto"/>
              <w:jc w:val="center"/>
              <w:rPr>
                <w:rFonts w:hint="eastAsia" w:eastAsia="仿宋"/>
                <w:color w:val="000000" w:themeColor="text1"/>
                <w:sz w:val="28"/>
                <w:szCs w:val="28"/>
                <w:lang w:eastAsia="zh-CN"/>
                <w14:textFill>
                  <w14:solidFill>
                    <w14:schemeClr w14:val="tx1"/>
                  </w14:solidFill>
                </w14:textFill>
              </w:rPr>
            </w:pPr>
            <w:r>
              <w:rPr>
                <w:rFonts w:hint="eastAsia" w:eastAsia="仿宋"/>
                <w:color w:val="000000" w:themeColor="text1"/>
                <w:sz w:val="28"/>
                <w:szCs w:val="28"/>
                <w:lang w:eastAsia="zh-CN"/>
                <w14:textFill>
                  <w14:solidFill>
                    <w14:schemeClr w14:val="tx1"/>
                  </w14:solidFill>
                </w14:textFill>
              </w:rPr>
              <w:t>3619970077</w:t>
            </w:r>
          </w:p>
        </w:tc>
        <w:tc>
          <w:tcPr>
            <w:tcW w:w="2526" w:type="dxa"/>
            <w:tcBorders>
              <w:bottom w:val="double" w:color="auto" w:sz="4" w:space="0"/>
            </w:tcBorders>
            <w:vAlign w:val="center"/>
          </w:tcPr>
          <w:p>
            <w:pPr>
              <w:tabs>
                <w:tab w:val="left" w:pos="735"/>
              </w:tabs>
              <w:wordWrap w:val="0"/>
              <w:overflowPunct w:val="0"/>
              <w:spacing w:line="312" w:lineRule="auto"/>
              <w:jc w:val="center"/>
              <w:rPr>
                <w:rFonts w:eastAsia="仿宋"/>
                <w:color w:val="000000" w:themeColor="text1"/>
                <w14:textFill>
                  <w14:solidFill>
                    <w14:schemeClr w14:val="tx1"/>
                  </w14:solidFill>
                </w14:textFill>
              </w:rPr>
            </w:pPr>
          </w:p>
        </w:tc>
        <w:tc>
          <w:tcPr>
            <w:tcW w:w="2635" w:type="dxa"/>
            <w:tcBorders>
              <w:bottom w:val="double" w:color="auto" w:sz="4" w:space="0"/>
            </w:tcBorders>
            <w:vAlign w:val="center"/>
          </w:tcPr>
          <w:p>
            <w:pPr>
              <w:tabs>
                <w:tab w:val="left" w:pos="735"/>
              </w:tabs>
              <w:overflowPunct w:val="0"/>
              <w:spacing w:line="312" w:lineRule="auto"/>
              <w:jc w:val="center"/>
              <w:rPr>
                <w:rFonts w:hint="eastAsia" w:hAnsi="仿宋" w:eastAsia="仿宋"/>
                <w:color w:val="000000" w:themeColor="text1"/>
                <w:sz w:val="28"/>
                <w:szCs w:val="28"/>
                <w:lang w:eastAsia="zh-CN"/>
                <w14:textFill>
                  <w14:solidFill>
                    <w14:schemeClr w14:val="tx1"/>
                  </w14:solidFill>
                </w14:textFill>
              </w:rPr>
            </w:pPr>
            <w:r>
              <w:rPr>
                <w:rFonts w:hint="eastAsia" w:hAnsi="仿宋" w:eastAsia="仿宋"/>
                <w:color w:val="000000" w:themeColor="text1"/>
                <w:sz w:val="28"/>
                <w:szCs w:val="28"/>
                <w:lang w:eastAsia="zh-CN"/>
                <w14:textFill>
                  <w14:solidFill>
                    <w14:schemeClr w14:val="tx1"/>
                  </w14:solidFill>
                </w14:textFill>
              </w:rPr>
              <w:t>2022年6月7日</w:t>
            </w:r>
          </w:p>
        </w:tc>
      </w:tr>
    </w:tbl>
    <w:p>
      <w:pPr>
        <w:pStyle w:val="4"/>
        <w:pageBreakBefore w:val="0"/>
        <w:widowControl w:val="0"/>
        <w:kinsoku/>
        <w:wordWrap/>
        <w:overflowPunct/>
        <w:topLinePunct w:val="0"/>
        <w:autoSpaceDE/>
        <w:autoSpaceDN/>
        <w:bidi w:val="0"/>
        <w:adjustRightInd w:val="0"/>
        <w:snapToGrid w:val="0"/>
        <w:spacing w:line="480" w:lineRule="exact"/>
        <w:ind w:firstLine="301" w:firstLineChars="100"/>
        <w:textAlignment w:val="auto"/>
        <w:rPr>
          <w:rFonts w:hint="eastAsia" w:ascii="仿宋_GB2312" w:eastAsia="仿宋_GB2312"/>
          <w:b/>
        </w:rPr>
      </w:pPr>
      <w:bookmarkStart w:id="37" w:name="_Toc443307026"/>
      <w:bookmarkStart w:id="38" w:name="_Toc25231"/>
      <w:bookmarkStart w:id="39" w:name="_Toc536174659"/>
      <w:bookmarkStart w:id="40" w:name="_Toc29405"/>
      <w:bookmarkStart w:id="41" w:name="_Toc18044"/>
      <w:bookmarkStart w:id="42" w:name="_Toc4282"/>
      <w:bookmarkStart w:id="43" w:name="_Toc458439944"/>
      <w:bookmarkStart w:id="44" w:name="_Toc536174663"/>
      <w:bookmarkStart w:id="45" w:name="_Toc27884"/>
      <w:bookmarkStart w:id="46" w:name="_Toc23129"/>
      <w:bookmarkStart w:id="47" w:name="_Toc14358"/>
      <w:bookmarkStart w:id="48" w:name="_Toc8404"/>
      <w:bookmarkStart w:id="49" w:name="_Toc2147"/>
      <w:bookmarkStart w:id="50" w:name="_Toc19561"/>
      <w:bookmarkStart w:id="51" w:name="_Toc3127"/>
      <w:bookmarkStart w:id="52" w:name="_Toc21598"/>
      <w:bookmarkStart w:id="53" w:name="_Toc28449"/>
      <w:bookmarkStart w:id="54" w:name="_Toc8941"/>
      <w:bookmarkStart w:id="55" w:name="_Toc447631692"/>
      <w:bookmarkStart w:id="56" w:name="_Toc9206"/>
      <w:bookmarkStart w:id="57" w:name="_Toc443307031"/>
      <w:bookmarkStart w:id="58" w:name="_Toc19983"/>
      <w:bookmarkStart w:id="59" w:name="_Toc8129"/>
      <w:bookmarkStart w:id="60" w:name="_Toc458006245"/>
      <w:bookmarkStart w:id="61" w:name="_Toc25962"/>
      <w:bookmarkStart w:id="62" w:name="_Toc2303"/>
      <w:bookmarkStart w:id="63" w:name="_Toc2268"/>
      <w:r>
        <w:rPr>
          <w:rFonts w:hint="eastAsia" w:ascii="仿宋_GB2312" w:eastAsia="仿宋_GB2312"/>
          <w:b/>
        </w:rPr>
        <w:t>（十</w:t>
      </w:r>
      <w:r>
        <w:rPr>
          <w:rFonts w:hint="eastAsia" w:ascii="仿宋_GB2312" w:eastAsia="仿宋_GB2312"/>
          <w:b/>
          <w:lang w:eastAsia="zh-CN"/>
        </w:rPr>
        <w:t>二</w:t>
      </w:r>
      <w:r>
        <w:rPr>
          <w:rFonts w:hint="eastAsia" w:ascii="仿宋_GB2312" w:eastAsia="仿宋_GB2312"/>
          <w:b/>
        </w:rPr>
        <w:t>）实地查勘日期</w:t>
      </w:r>
      <w:bookmarkEnd w:id="37"/>
      <w:bookmarkEnd w:id="38"/>
      <w:bookmarkEnd w:id="39"/>
      <w:bookmarkEnd w:id="40"/>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lang w:eastAsia="zh-CN"/>
        </w:rPr>
        <w:t>2022年5月19日</w:t>
      </w:r>
    </w:p>
    <w:p>
      <w:pPr>
        <w:pStyle w:val="4"/>
        <w:pageBreakBefore w:val="0"/>
        <w:widowControl w:val="0"/>
        <w:kinsoku/>
        <w:wordWrap/>
        <w:overflowPunct/>
        <w:topLinePunct w:val="0"/>
        <w:autoSpaceDE/>
        <w:autoSpaceDN/>
        <w:bidi w:val="0"/>
        <w:adjustRightInd w:val="0"/>
        <w:snapToGrid w:val="0"/>
        <w:spacing w:line="480" w:lineRule="exact"/>
        <w:ind w:firstLine="301" w:firstLineChars="100"/>
        <w:textAlignment w:val="auto"/>
        <w:rPr>
          <w:rFonts w:hint="eastAsia" w:ascii="仿宋_GB2312" w:eastAsia="仿宋_GB2312"/>
          <w:b/>
        </w:rPr>
      </w:pPr>
      <w:bookmarkStart w:id="64" w:name="_Toc12698"/>
      <w:bookmarkStart w:id="65" w:name="_Toc17511"/>
      <w:bookmarkStart w:id="66" w:name="_Toc536174660"/>
      <w:r>
        <w:rPr>
          <w:rFonts w:hint="eastAsia" w:ascii="仿宋_GB2312" w:eastAsia="仿宋_GB2312"/>
          <w:b/>
        </w:rPr>
        <w:t>（十</w:t>
      </w:r>
      <w:r>
        <w:rPr>
          <w:rFonts w:hint="eastAsia" w:ascii="仿宋_GB2312" w:eastAsia="仿宋_GB2312"/>
          <w:b/>
          <w:lang w:eastAsia="zh-CN"/>
        </w:rPr>
        <w:t>三</w:t>
      </w:r>
      <w:r>
        <w:rPr>
          <w:rFonts w:hint="eastAsia" w:ascii="仿宋_GB2312" w:eastAsia="仿宋_GB2312"/>
          <w:b/>
        </w:rPr>
        <w:t>）估价作业日期</w:t>
      </w:r>
      <w:bookmarkEnd w:id="64"/>
      <w:bookmarkEnd w:id="65"/>
      <w:bookmarkEnd w:id="66"/>
    </w:p>
    <w:p>
      <w:pPr>
        <w:pageBreakBefore w:val="0"/>
        <w:widowControl w:val="0"/>
        <w:kinsoku/>
        <w:wordWrap/>
        <w:overflowPunct/>
        <w:topLinePunct w:val="0"/>
        <w:autoSpaceDE/>
        <w:autoSpaceDN/>
        <w:bidi w:val="0"/>
        <w:adjustRightInd w:val="0"/>
        <w:snapToGrid w:val="0"/>
        <w:spacing w:line="480" w:lineRule="exact"/>
        <w:ind w:firstLine="600"/>
        <w:textAlignment w:val="auto"/>
        <w:rPr>
          <w:rFonts w:hint="eastAsia" w:ascii="仿宋_GB2312" w:hAnsi="宋体" w:eastAsia="仿宋_GB2312"/>
          <w:spacing w:val="-8"/>
          <w:sz w:val="28"/>
          <w:szCs w:val="28"/>
          <w:lang w:val="en-US" w:eastAsia="zh-CN"/>
        </w:rPr>
      </w:pPr>
      <w:r>
        <w:rPr>
          <w:rFonts w:hint="eastAsia" w:ascii="仿宋_GB2312" w:hAnsi="宋体" w:eastAsia="仿宋_GB2312"/>
          <w:spacing w:val="-8"/>
          <w:sz w:val="28"/>
          <w:szCs w:val="28"/>
          <w:lang w:eastAsia="zh-CN"/>
        </w:rPr>
        <w:t>202</w:t>
      </w:r>
      <w:r>
        <w:rPr>
          <w:rFonts w:hint="eastAsia" w:ascii="仿宋_GB2312" w:hAnsi="宋体" w:eastAsia="仿宋_GB2312"/>
          <w:spacing w:val="-8"/>
          <w:sz w:val="28"/>
          <w:szCs w:val="28"/>
          <w:lang w:val="en-US" w:eastAsia="zh-CN"/>
        </w:rPr>
        <w:t>2</w:t>
      </w:r>
      <w:r>
        <w:rPr>
          <w:rFonts w:hint="eastAsia" w:ascii="仿宋_GB2312" w:hAnsi="宋体" w:eastAsia="仿宋_GB2312"/>
          <w:spacing w:val="-8"/>
          <w:sz w:val="28"/>
          <w:szCs w:val="28"/>
          <w:lang w:eastAsia="zh-CN"/>
        </w:rPr>
        <w:t>年</w:t>
      </w:r>
      <w:r>
        <w:rPr>
          <w:rFonts w:hint="eastAsia" w:ascii="仿宋_GB2312" w:hAnsi="宋体" w:eastAsia="仿宋_GB2312"/>
          <w:spacing w:val="-8"/>
          <w:sz w:val="28"/>
          <w:szCs w:val="28"/>
          <w:lang w:val="en-US" w:eastAsia="zh-CN"/>
        </w:rPr>
        <w:t>5月19日</w:t>
      </w:r>
      <w:r>
        <w:rPr>
          <w:rFonts w:hint="eastAsia" w:ascii="仿宋_GB2312" w:hAnsi="宋体" w:eastAsia="仿宋_GB2312"/>
          <w:spacing w:val="-8"/>
          <w:sz w:val="28"/>
          <w:szCs w:val="28"/>
          <w:lang w:eastAsia="zh-CN"/>
        </w:rPr>
        <w:t>至</w:t>
      </w:r>
      <w:r>
        <w:rPr>
          <w:rFonts w:hint="eastAsia" w:ascii="仿宋_GB2312" w:hAnsi="宋体" w:eastAsia="仿宋_GB2312"/>
          <w:spacing w:val="-8"/>
          <w:sz w:val="28"/>
          <w:szCs w:val="28"/>
          <w:lang w:val="en-US" w:eastAsia="zh-CN"/>
        </w:rPr>
        <w:t>2022年6月7日</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Pr>
        <w:pStyle w:val="3"/>
        <w:ind w:left="0" w:leftChars="0" w:firstLine="0" w:firstLineChars="0"/>
        <w:rPr>
          <w:rFonts w:hint="eastAsia" w:ascii="仿宋_GB2312" w:eastAsia="仿宋_GB2312"/>
          <w:b/>
          <w:lang w:eastAsia="zh-CN"/>
        </w:rPr>
      </w:pPr>
      <w:bookmarkStart w:id="67" w:name="_Toc9055"/>
      <w:bookmarkStart w:id="68" w:name="_Toc18470"/>
      <w:bookmarkStart w:id="69" w:name="_Toc8246"/>
      <w:bookmarkStart w:id="70" w:name="_Toc23921"/>
      <w:bookmarkStart w:id="71" w:name="_Toc31567"/>
      <w:bookmarkStart w:id="72" w:name="_Toc13187"/>
      <w:bookmarkStart w:id="73" w:name="_Toc1817"/>
      <w:bookmarkStart w:id="74" w:name="_Toc536174670"/>
      <w:bookmarkStart w:id="75" w:name="_Toc10592"/>
      <w:bookmarkStart w:id="76" w:name="_Toc29574"/>
      <w:bookmarkStart w:id="77" w:name="_Toc4189"/>
      <w:bookmarkStart w:id="78" w:name="_Toc447631699"/>
      <w:bookmarkStart w:id="79" w:name="_Toc29914"/>
      <w:bookmarkStart w:id="80" w:name="_Toc4079"/>
      <w:bookmarkStart w:id="81" w:name="_Toc27825"/>
      <w:bookmarkStart w:id="82" w:name="_Toc27374"/>
      <w:bookmarkStart w:id="83" w:name="_Toc458439951"/>
      <w:bookmarkStart w:id="84" w:name="_Toc31148"/>
      <w:bookmarkStart w:id="85" w:name="_Toc10879"/>
      <w:bookmarkStart w:id="86" w:name="_Toc29856"/>
      <w:bookmarkStart w:id="87" w:name="_Toc24128"/>
      <w:bookmarkStart w:id="88" w:name="_Toc443307038"/>
      <w:bookmarkStart w:id="89" w:name="_Toc458006252"/>
      <w:bookmarkStart w:id="90" w:name="_Toc96"/>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rPr>
      </w:pPr>
      <w:r>
        <w:rPr>
          <w:rFonts w:hint="eastAsia" w:ascii="仿宋_GB2312" w:eastAsia="仿宋_GB2312"/>
          <w:b/>
          <w:lang w:eastAsia="zh-CN"/>
        </w:rPr>
        <w:t>四</w:t>
      </w:r>
      <w:r>
        <w:rPr>
          <w:rFonts w:hint="eastAsia" w:ascii="仿宋_GB2312" w:eastAsia="仿宋_GB2312"/>
          <w:b/>
        </w:rPr>
        <w:t>、附  件</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（一）、《估价委托书》复印件；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（二）、估价对象实地查勘照片；</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（三）、估价对象位置图；</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（四）、估价对象相关资料；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（五）、房地产估价机构营业执照复印件；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（六）、房地产估价机构资质证书复印件；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（七）、注册房地产估价师注册证书复印件</w:t>
      </w:r>
    </w:p>
    <w:p>
      <w:pPr>
        <w:pageBreakBefore w:val="0"/>
        <w:widowControl w:val="0"/>
        <w:kinsoku/>
        <w:wordWrap/>
        <w:overflowPunct/>
        <w:topLinePunct w:val="0"/>
        <w:autoSpaceDE/>
        <w:autoSpaceDN/>
        <w:bidi w:val="0"/>
        <w:adjustRightInd w:val="0"/>
        <w:snapToGrid w:val="0"/>
        <w:spacing w:line="480" w:lineRule="exact"/>
        <w:jc w:val="left"/>
        <w:textAlignment w:val="auto"/>
        <w:rPr>
          <w:rFonts w:hint="eastAsia"/>
        </w:rPr>
      </w:pPr>
    </w:p>
    <w:p>
      <w:pPr>
        <w:pageBreakBefore w:val="0"/>
        <w:widowControl w:val="0"/>
        <w:kinsoku/>
        <w:wordWrap/>
        <w:overflowPunct/>
        <w:topLinePunct w:val="0"/>
        <w:autoSpaceDE/>
        <w:autoSpaceDN/>
        <w:bidi w:val="0"/>
        <w:adjustRightInd w:val="0"/>
        <w:snapToGrid w:val="0"/>
        <w:spacing w:line="480" w:lineRule="exact"/>
        <w:jc w:val="left"/>
        <w:textAlignment w:val="auto"/>
        <w:rPr>
          <w:rFonts w:hint="eastAsia"/>
        </w:rPr>
      </w:pPr>
    </w:p>
    <w:p>
      <w:pPr>
        <w:pageBreakBefore w:val="0"/>
        <w:widowControl w:val="0"/>
        <w:kinsoku/>
        <w:wordWrap/>
        <w:overflowPunct/>
        <w:topLinePunct w:val="0"/>
        <w:autoSpaceDE/>
        <w:autoSpaceDN/>
        <w:bidi w:val="0"/>
        <w:adjustRightInd w:val="0"/>
        <w:snapToGrid w:val="0"/>
        <w:spacing w:line="480" w:lineRule="exact"/>
        <w:jc w:val="left"/>
        <w:textAlignment w:val="auto"/>
        <w:rPr>
          <w:rFonts w:hint="eastAsia"/>
        </w:rPr>
      </w:pPr>
    </w:p>
    <w:p>
      <w:pPr>
        <w:pageBreakBefore w:val="0"/>
        <w:widowControl w:val="0"/>
        <w:kinsoku/>
        <w:wordWrap/>
        <w:overflowPunct/>
        <w:topLinePunct w:val="0"/>
        <w:autoSpaceDE/>
        <w:autoSpaceDN/>
        <w:bidi w:val="0"/>
        <w:adjustRightInd w:val="0"/>
        <w:snapToGrid w:val="0"/>
        <w:spacing w:line="480" w:lineRule="exact"/>
        <w:jc w:val="left"/>
        <w:textAlignment w:val="auto"/>
        <w:rPr>
          <w:rFonts w:hint="eastAsia"/>
        </w:rPr>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eastAsia="宋体"/>
          <w:sz w:val="28"/>
          <w:szCs w:val="28"/>
          <w:lang w:val="en-US" w:eastAsia="zh-CN"/>
        </w:rPr>
      </w:pPr>
      <w:r>
        <w:rPr>
          <w:rFonts w:hint="eastAsia"/>
          <w:sz w:val="28"/>
          <w:szCs w:val="28"/>
          <w:lang w:eastAsia="zh-CN"/>
        </w:rPr>
        <w:t>估价对象照片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7"/>
        <w:gridCol w:w="4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trPr>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49855" cy="2091690"/>
                  <wp:effectExtent l="0" t="0" r="17145" b="3810"/>
                  <wp:docPr id="8" name="图片 8" descr="IMG_6856"/>
                  <wp:cNvGraphicFramePr/>
                  <a:graphic xmlns:a="http://schemas.openxmlformats.org/drawingml/2006/main">
                    <a:graphicData uri="http://schemas.openxmlformats.org/drawingml/2006/picture">
                      <pic:pic xmlns:pic="http://schemas.openxmlformats.org/drawingml/2006/picture">
                        <pic:nvPicPr>
                          <pic:cNvPr id="8" name="图片 8" descr="IMG_6856"/>
                          <pic:cNvPicPr/>
                        </pic:nvPicPr>
                        <pic:blipFill>
                          <a:blip r:embed="rId10"/>
                          <a:stretch>
                            <a:fillRect/>
                          </a:stretch>
                        </pic:blipFill>
                        <pic:spPr>
                          <a:xfrm>
                            <a:off x="0" y="0"/>
                            <a:ext cx="2649855" cy="2091690"/>
                          </a:xfrm>
                          <a:prstGeom prst="rect">
                            <a:avLst/>
                          </a:prstGeom>
                        </pic:spPr>
                      </pic:pic>
                    </a:graphicData>
                  </a:graphic>
                </wp:inline>
              </w:drawing>
            </w:r>
          </w:p>
        </w:tc>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49855" cy="2091690"/>
                  <wp:effectExtent l="0" t="0" r="17145" b="3810"/>
                  <wp:docPr id="9" name="图片 9" descr="IMG_6857"/>
                  <wp:cNvGraphicFramePr/>
                  <a:graphic xmlns:a="http://schemas.openxmlformats.org/drawingml/2006/main">
                    <a:graphicData uri="http://schemas.openxmlformats.org/drawingml/2006/picture">
                      <pic:pic xmlns:pic="http://schemas.openxmlformats.org/drawingml/2006/picture">
                        <pic:nvPicPr>
                          <pic:cNvPr id="9" name="图片 9" descr="IMG_6857"/>
                          <pic:cNvPicPr/>
                        </pic:nvPicPr>
                        <pic:blipFill>
                          <a:blip r:embed="rId11"/>
                          <a:stretch>
                            <a:fillRect/>
                          </a:stretch>
                        </pic:blipFill>
                        <pic:spPr>
                          <a:xfrm>
                            <a:off x="0" y="0"/>
                            <a:ext cx="2649855" cy="20916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atLeast"/>
        </w:trPr>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49855" cy="2091690"/>
                  <wp:effectExtent l="0" t="0" r="17145" b="3810"/>
                  <wp:docPr id="10" name="图片 10" descr="IMG_6858"/>
                  <wp:cNvGraphicFramePr/>
                  <a:graphic xmlns:a="http://schemas.openxmlformats.org/drawingml/2006/main">
                    <a:graphicData uri="http://schemas.openxmlformats.org/drawingml/2006/picture">
                      <pic:pic xmlns:pic="http://schemas.openxmlformats.org/drawingml/2006/picture">
                        <pic:nvPicPr>
                          <pic:cNvPr id="10" name="图片 10" descr="IMG_6858"/>
                          <pic:cNvPicPr/>
                        </pic:nvPicPr>
                        <pic:blipFill>
                          <a:blip r:embed="rId12"/>
                          <a:stretch>
                            <a:fillRect/>
                          </a:stretch>
                        </pic:blipFill>
                        <pic:spPr>
                          <a:xfrm>
                            <a:off x="0" y="0"/>
                            <a:ext cx="2649855" cy="2091690"/>
                          </a:xfrm>
                          <a:prstGeom prst="rect">
                            <a:avLst/>
                          </a:prstGeom>
                        </pic:spPr>
                      </pic:pic>
                    </a:graphicData>
                  </a:graphic>
                </wp:inline>
              </w:drawing>
            </w:r>
          </w:p>
        </w:tc>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49855" cy="2091690"/>
                  <wp:effectExtent l="0" t="0" r="17145" b="3810"/>
                  <wp:docPr id="11" name="图片 11" descr="IMG_6859"/>
                  <wp:cNvGraphicFramePr/>
                  <a:graphic xmlns:a="http://schemas.openxmlformats.org/drawingml/2006/main">
                    <a:graphicData uri="http://schemas.openxmlformats.org/drawingml/2006/picture">
                      <pic:pic xmlns:pic="http://schemas.openxmlformats.org/drawingml/2006/picture">
                        <pic:nvPicPr>
                          <pic:cNvPr id="11" name="图片 11" descr="IMG_6859"/>
                          <pic:cNvPicPr/>
                        </pic:nvPicPr>
                        <pic:blipFill>
                          <a:blip r:embed="rId13"/>
                          <a:stretch>
                            <a:fillRect/>
                          </a:stretch>
                        </pic:blipFill>
                        <pic:spPr>
                          <a:xfrm>
                            <a:off x="0" y="0"/>
                            <a:ext cx="2649855" cy="20916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atLeast"/>
        </w:trPr>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49855" cy="2091690"/>
                  <wp:effectExtent l="0" t="0" r="17145" b="3810"/>
                  <wp:docPr id="12" name="图片 12" descr="IMG_6860"/>
                  <wp:cNvGraphicFramePr/>
                  <a:graphic xmlns:a="http://schemas.openxmlformats.org/drawingml/2006/main">
                    <a:graphicData uri="http://schemas.openxmlformats.org/drawingml/2006/picture">
                      <pic:pic xmlns:pic="http://schemas.openxmlformats.org/drawingml/2006/picture">
                        <pic:nvPicPr>
                          <pic:cNvPr id="12" name="图片 12" descr="IMG_6860"/>
                          <pic:cNvPicPr/>
                        </pic:nvPicPr>
                        <pic:blipFill>
                          <a:blip r:embed="rId14"/>
                          <a:stretch>
                            <a:fillRect/>
                          </a:stretch>
                        </pic:blipFill>
                        <pic:spPr>
                          <a:xfrm>
                            <a:off x="0" y="0"/>
                            <a:ext cx="2649855" cy="2091690"/>
                          </a:xfrm>
                          <a:prstGeom prst="rect">
                            <a:avLst/>
                          </a:prstGeom>
                        </pic:spPr>
                      </pic:pic>
                    </a:graphicData>
                  </a:graphic>
                </wp:inline>
              </w:drawing>
            </w:r>
          </w:p>
        </w:tc>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49855" cy="2091690"/>
                  <wp:effectExtent l="0" t="0" r="17145" b="3810"/>
                  <wp:docPr id="13" name="图片 13" descr="IMG_6861"/>
                  <wp:cNvGraphicFramePr/>
                  <a:graphic xmlns:a="http://schemas.openxmlformats.org/drawingml/2006/main">
                    <a:graphicData uri="http://schemas.openxmlformats.org/drawingml/2006/picture">
                      <pic:pic xmlns:pic="http://schemas.openxmlformats.org/drawingml/2006/picture">
                        <pic:nvPicPr>
                          <pic:cNvPr id="13" name="图片 13" descr="IMG_6861"/>
                          <pic:cNvPicPr/>
                        </pic:nvPicPr>
                        <pic:blipFill>
                          <a:blip r:embed="rId15"/>
                          <a:stretch>
                            <a:fillRect/>
                          </a:stretch>
                        </pic:blipFill>
                        <pic:spPr>
                          <a:xfrm>
                            <a:off x="0" y="0"/>
                            <a:ext cx="2649855" cy="20916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atLeast"/>
        </w:trPr>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49855" cy="2091690"/>
                  <wp:effectExtent l="0" t="0" r="17145" b="3810"/>
                  <wp:docPr id="16" name="图片 16" descr="IMG_6862"/>
                  <wp:cNvGraphicFramePr/>
                  <a:graphic xmlns:a="http://schemas.openxmlformats.org/drawingml/2006/main">
                    <a:graphicData uri="http://schemas.openxmlformats.org/drawingml/2006/picture">
                      <pic:pic xmlns:pic="http://schemas.openxmlformats.org/drawingml/2006/picture">
                        <pic:nvPicPr>
                          <pic:cNvPr id="16" name="图片 16" descr="IMG_6862"/>
                          <pic:cNvPicPr/>
                        </pic:nvPicPr>
                        <pic:blipFill>
                          <a:blip r:embed="rId16"/>
                          <a:stretch>
                            <a:fillRect/>
                          </a:stretch>
                        </pic:blipFill>
                        <pic:spPr>
                          <a:xfrm>
                            <a:off x="0" y="0"/>
                            <a:ext cx="2649855" cy="2091690"/>
                          </a:xfrm>
                          <a:prstGeom prst="rect">
                            <a:avLst/>
                          </a:prstGeom>
                        </pic:spPr>
                      </pic:pic>
                    </a:graphicData>
                  </a:graphic>
                </wp:inline>
              </w:drawing>
            </w:r>
          </w:p>
        </w:tc>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49855" cy="2091690"/>
                  <wp:effectExtent l="0" t="0" r="17145" b="3810"/>
                  <wp:docPr id="17" name="图片 17" descr="IMG_6863"/>
                  <wp:cNvGraphicFramePr/>
                  <a:graphic xmlns:a="http://schemas.openxmlformats.org/drawingml/2006/main">
                    <a:graphicData uri="http://schemas.openxmlformats.org/drawingml/2006/picture">
                      <pic:pic xmlns:pic="http://schemas.openxmlformats.org/drawingml/2006/picture">
                        <pic:nvPicPr>
                          <pic:cNvPr id="17" name="图片 17" descr="IMG_6863"/>
                          <pic:cNvPicPr/>
                        </pic:nvPicPr>
                        <pic:blipFill>
                          <a:blip r:embed="rId17"/>
                          <a:stretch>
                            <a:fillRect/>
                          </a:stretch>
                        </pic:blipFill>
                        <pic:spPr>
                          <a:xfrm>
                            <a:off x="0" y="0"/>
                            <a:ext cx="2649855" cy="20916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trPr>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49855" cy="2091690"/>
                  <wp:effectExtent l="0" t="0" r="17145" b="3810"/>
                  <wp:docPr id="18" name="图片 18" descr="IMG_6864"/>
                  <wp:cNvGraphicFramePr/>
                  <a:graphic xmlns:a="http://schemas.openxmlformats.org/drawingml/2006/main">
                    <a:graphicData uri="http://schemas.openxmlformats.org/drawingml/2006/picture">
                      <pic:pic xmlns:pic="http://schemas.openxmlformats.org/drawingml/2006/picture">
                        <pic:nvPicPr>
                          <pic:cNvPr id="18" name="图片 18" descr="IMG_6864"/>
                          <pic:cNvPicPr/>
                        </pic:nvPicPr>
                        <pic:blipFill>
                          <a:blip r:embed="rId18"/>
                          <a:stretch>
                            <a:fillRect/>
                          </a:stretch>
                        </pic:blipFill>
                        <pic:spPr>
                          <a:xfrm>
                            <a:off x="0" y="0"/>
                            <a:ext cx="2649855" cy="2091690"/>
                          </a:xfrm>
                          <a:prstGeom prst="rect">
                            <a:avLst/>
                          </a:prstGeom>
                        </pic:spPr>
                      </pic:pic>
                    </a:graphicData>
                  </a:graphic>
                </wp:inline>
              </w:drawing>
            </w:r>
          </w:p>
        </w:tc>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28265" cy="2091690"/>
                  <wp:effectExtent l="0" t="0" r="635" b="3810"/>
                  <wp:docPr id="19" name="图片 19" descr="IMG_6865"/>
                  <wp:cNvGraphicFramePr/>
                  <a:graphic xmlns:a="http://schemas.openxmlformats.org/drawingml/2006/main">
                    <a:graphicData uri="http://schemas.openxmlformats.org/drawingml/2006/picture">
                      <pic:pic xmlns:pic="http://schemas.openxmlformats.org/drawingml/2006/picture">
                        <pic:nvPicPr>
                          <pic:cNvPr id="19" name="图片 19" descr="IMG_6865"/>
                          <pic:cNvPicPr/>
                        </pic:nvPicPr>
                        <pic:blipFill>
                          <a:blip r:embed="rId19"/>
                          <a:stretch>
                            <a:fillRect/>
                          </a:stretch>
                        </pic:blipFill>
                        <pic:spPr>
                          <a:xfrm>
                            <a:off x="0" y="0"/>
                            <a:ext cx="2628265" cy="20916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atLeast"/>
        </w:trPr>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62555" cy="1997075"/>
                  <wp:effectExtent l="0" t="0" r="4445" b="3175"/>
                  <wp:docPr id="20" name="图片 20" descr="IMG_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6874"/>
                          <pic:cNvPicPr>
                            <a:picLocks noChangeAspect="1"/>
                          </pic:cNvPicPr>
                        </pic:nvPicPr>
                        <pic:blipFill>
                          <a:blip r:embed="rId20"/>
                          <a:stretch>
                            <a:fillRect/>
                          </a:stretch>
                        </pic:blipFill>
                        <pic:spPr>
                          <a:xfrm>
                            <a:off x="0" y="0"/>
                            <a:ext cx="2662555" cy="1997075"/>
                          </a:xfrm>
                          <a:prstGeom prst="rect">
                            <a:avLst/>
                          </a:prstGeom>
                        </pic:spPr>
                      </pic:pic>
                    </a:graphicData>
                  </a:graphic>
                </wp:inline>
              </w:drawing>
            </w:r>
          </w:p>
        </w:tc>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11755" cy="1958340"/>
                  <wp:effectExtent l="0" t="0" r="17145" b="3810"/>
                  <wp:docPr id="21" name="图片 21" descr="IMG_6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6875"/>
                          <pic:cNvPicPr>
                            <a:picLocks noChangeAspect="1"/>
                          </pic:cNvPicPr>
                        </pic:nvPicPr>
                        <pic:blipFill>
                          <a:blip r:embed="rId21"/>
                          <a:stretch>
                            <a:fillRect/>
                          </a:stretch>
                        </pic:blipFill>
                        <pic:spPr>
                          <a:xfrm>
                            <a:off x="0" y="0"/>
                            <a:ext cx="2611755" cy="19583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atLeast"/>
        </w:trPr>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49855" cy="2091690"/>
                  <wp:effectExtent l="0" t="0" r="17145" b="3810"/>
                  <wp:docPr id="22" name="图片 22" descr="IMG_6880"/>
                  <wp:cNvGraphicFramePr/>
                  <a:graphic xmlns:a="http://schemas.openxmlformats.org/drawingml/2006/main">
                    <a:graphicData uri="http://schemas.openxmlformats.org/drawingml/2006/picture">
                      <pic:pic xmlns:pic="http://schemas.openxmlformats.org/drawingml/2006/picture">
                        <pic:nvPicPr>
                          <pic:cNvPr id="22" name="图片 22" descr="IMG_6880"/>
                          <pic:cNvPicPr/>
                        </pic:nvPicPr>
                        <pic:blipFill>
                          <a:blip r:embed="rId22"/>
                          <a:stretch>
                            <a:fillRect/>
                          </a:stretch>
                        </pic:blipFill>
                        <pic:spPr>
                          <a:xfrm>
                            <a:off x="0" y="0"/>
                            <a:ext cx="2649855" cy="2091690"/>
                          </a:xfrm>
                          <a:prstGeom prst="rect">
                            <a:avLst/>
                          </a:prstGeom>
                        </pic:spPr>
                      </pic:pic>
                    </a:graphicData>
                  </a:graphic>
                </wp:inline>
              </w:drawing>
            </w:r>
          </w:p>
        </w:tc>
        <w:tc>
          <w:tcPr>
            <w:tcW w:w="439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611755" cy="2040890"/>
                  <wp:effectExtent l="0" t="0" r="17145" b="16510"/>
                  <wp:docPr id="23" name="图片 23" descr="IMG_6881"/>
                  <wp:cNvGraphicFramePr/>
                  <a:graphic xmlns:a="http://schemas.openxmlformats.org/drawingml/2006/main">
                    <a:graphicData uri="http://schemas.openxmlformats.org/drawingml/2006/picture">
                      <pic:pic xmlns:pic="http://schemas.openxmlformats.org/drawingml/2006/picture">
                        <pic:nvPicPr>
                          <pic:cNvPr id="23" name="图片 23" descr="IMG_6881"/>
                          <pic:cNvPicPr/>
                        </pic:nvPicPr>
                        <pic:blipFill>
                          <a:blip r:embed="rId23"/>
                          <a:stretch>
                            <a:fillRect/>
                          </a:stretch>
                        </pic:blipFill>
                        <pic:spPr>
                          <a:xfrm>
                            <a:off x="0" y="0"/>
                            <a:ext cx="2611755" cy="2040890"/>
                          </a:xfrm>
                          <a:prstGeom prst="rect">
                            <a:avLst/>
                          </a:prstGeom>
                        </pic:spPr>
                      </pic:pic>
                    </a:graphicData>
                  </a:graphic>
                </wp:inline>
              </w:drawing>
            </w:r>
          </w:p>
        </w:tc>
      </w:tr>
    </w:tbl>
    <w:p>
      <w:pPr>
        <w:pageBreakBefore w:val="0"/>
        <w:widowControl w:val="0"/>
        <w:kinsoku/>
        <w:wordWrap/>
        <w:overflowPunct/>
        <w:topLinePunct w:val="0"/>
        <w:autoSpaceDE/>
        <w:autoSpaceDN/>
        <w:bidi w:val="0"/>
        <w:adjustRightInd w:val="0"/>
        <w:snapToGrid w:val="0"/>
        <w:spacing w:line="480" w:lineRule="exact"/>
        <w:jc w:val="both"/>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r>
        <w:rPr>
          <w:rFonts w:hint="eastAsia"/>
          <w:sz w:val="28"/>
          <w:szCs w:val="28"/>
          <w:lang w:eastAsia="zh-CN"/>
        </w:rPr>
        <w:t>估价对象位置示意图</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pPr>
    </w:p>
    <w:p>
      <w:pPr>
        <w:bidi w:val="0"/>
        <w:rPr>
          <w:rFonts w:hint="eastAsia" w:ascii="Times New Roman" w:hAnsi="Times New Roman" w:eastAsia="宋体" w:cs="Times New Roman"/>
          <w:kern w:val="2"/>
          <w:sz w:val="21"/>
          <w:lang w:val="en-US" w:eastAsia="zh-CN" w:bidi="ar-SA"/>
        </w:rPr>
      </w:pPr>
      <w:r>
        <w:rPr>
          <w:sz w:val="21"/>
        </w:rPr>
        <mc:AlternateContent>
          <mc:Choice Requires="wps">
            <w:drawing>
              <wp:anchor distT="0" distB="0" distL="114300" distR="114300" simplePos="0" relativeHeight="251662336" behindDoc="0" locked="0" layoutInCell="1" allowOverlap="1">
                <wp:simplePos x="0" y="0"/>
                <wp:positionH relativeFrom="column">
                  <wp:posOffset>2783205</wp:posOffset>
                </wp:positionH>
                <wp:positionV relativeFrom="paragraph">
                  <wp:posOffset>1047750</wp:posOffset>
                </wp:positionV>
                <wp:extent cx="914400" cy="325120"/>
                <wp:effectExtent l="6350" t="6350" r="12700" b="182880"/>
                <wp:wrapNone/>
                <wp:docPr id="15" name="矩形标注 15"/>
                <wp:cNvGraphicFramePr/>
                <a:graphic xmlns:a="http://schemas.openxmlformats.org/drawingml/2006/main">
                  <a:graphicData uri="http://schemas.microsoft.com/office/word/2010/wordprocessingShape">
                    <wps:wsp>
                      <wps:cNvSpPr/>
                      <wps:spPr>
                        <a:xfrm>
                          <a:off x="3808095" y="2684780"/>
                          <a:ext cx="914400" cy="325120"/>
                        </a:xfrm>
                        <a:prstGeom prst="wedgeRectCallout">
                          <a:avLst>
                            <a:gd name="adj1" fmla="val 42916"/>
                            <a:gd name="adj2" fmla="val 100781"/>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pPr>
                            <w:r>
                              <w:rPr>
                                <w:rFonts w:hint="eastAsia"/>
                                <w:sz w:val="18"/>
                                <w:szCs w:val="18"/>
                                <w:lang w:val="en-US" w:eastAsia="zh-CN"/>
                              </w:rPr>
                              <w:t>估价对象位置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19.15pt;margin-top:82.5pt;height:25.6pt;width:72pt;z-index:251662336;v-text-anchor:middle;mso-width-relative:page;mso-height-relative:page;" fillcolor="#FFFFFF [3201]" filled="t" stroked="t" coordsize="21600,21600" o:gfxdata="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JU0DANwAAAALAQAADwAAAAAAAAAB&#10;ACAAAAAiAAAAZHJzL2Rvd25yZXYueG1sUEsBAhQAFAAAAAgAh07iQE+TkhW3AgAAcAUAAA4AAAAA&#10;AAAAAQAgAAAAKwEAAGRycy9lMm9Eb2MueG1sUEsFBgAAAAAGAAYAWQEAAFQGAAAAAA==&#10;" adj="20070,32569">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pPr>
                      <w:r>
                        <w:rPr>
                          <w:rFonts w:hint="eastAsia"/>
                          <w:sz w:val="18"/>
                          <w:szCs w:val="18"/>
                          <w:lang w:val="en-US" w:eastAsia="zh-CN"/>
                        </w:rPr>
                        <w:t>估价对象位置</w:t>
                      </w:r>
                    </w:p>
                  </w:txbxContent>
                </v:textbox>
              </v:shape>
            </w:pict>
          </mc:Fallback>
        </mc:AlternateContent>
      </w:r>
      <w:r>
        <w:drawing>
          <wp:inline distT="0" distB="0" distL="114300" distR="114300">
            <wp:extent cx="5442585" cy="3620770"/>
            <wp:effectExtent l="0" t="0" r="5715" b="1778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4"/>
                    <a:stretch>
                      <a:fillRect/>
                    </a:stretch>
                  </pic:blipFill>
                  <pic:spPr>
                    <a:xfrm>
                      <a:off x="0" y="0"/>
                      <a:ext cx="5442585" cy="3620770"/>
                    </a:xfrm>
                    <a:prstGeom prst="rect">
                      <a:avLst/>
                    </a:prstGeom>
                    <a:noFill/>
                    <a:ln>
                      <a:noFill/>
                    </a:ln>
                  </pic:spPr>
                </pic:pic>
              </a:graphicData>
            </a:graphic>
          </wp:inline>
        </w:drawing>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p>
    <w:sectPr>
      <w:footerReference r:id="rId8" w:type="first"/>
      <w:footerReference r:id="rId7" w:type="default"/>
      <w:pgSz w:w="11906" w:h="16838"/>
      <w:pgMar w:top="1714" w:right="1531" w:bottom="1091" w:left="1797" w:header="964" w:footer="936"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4"/>
                            </w:rPr>
                            <w:t xml:space="preserve">- </w:t>
                          </w:r>
                          <w:r>
                            <w:rPr>
                              <w:sz w:val="24"/>
                            </w:rPr>
                            <w:fldChar w:fldCharType="begin"/>
                          </w:r>
                          <w:r>
                            <w:rPr>
                              <w:sz w:val="24"/>
                            </w:rPr>
                            <w:instrText xml:space="preserve"> PAGE </w:instrText>
                          </w:r>
                          <w:r>
                            <w:rPr>
                              <w:sz w:val="24"/>
                            </w:rPr>
                            <w:fldChar w:fldCharType="separate"/>
                          </w:r>
                          <w:r>
                            <w:rPr>
                              <w:sz w:val="24"/>
                            </w:rPr>
                            <w:t>24</w:t>
                          </w:r>
                          <w:r>
                            <w:rPr>
                              <w:sz w:val="24"/>
                            </w:rPr>
                            <w:fldChar w:fldCharType="end"/>
                          </w:r>
                          <w:r>
                            <w:rPr>
                              <w:sz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rPr>
                        <w:sz w:val="24"/>
                      </w:rPr>
                      <w:t xml:space="preserve">- </w:t>
                    </w:r>
                    <w:r>
                      <w:rPr>
                        <w:sz w:val="24"/>
                      </w:rPr>
                      <w:fldChar w:fldCharType="begin"/>
                    </w:r>
                    <w:r>
                      <w:rPr>
                        <w:sz w:val="24"/>
                      </w:rPr>
                      <w:instrText xml:space="preserve"> PAGE </w:instrText>
                    </w:r>
                    <w:r>
                      <w:rPr>
                        <w:sz w:val="24"/>
                      </w:rPr>
                      <w:fldChar w:fldCharType="separate"/>
                    </w:r>
                    <w:r>
                      <w:rPr>
                        <w:sz w:val="24"/>
                      </w:rPr>
                      <w:t>24</w:t>
                    </w:r>
                    <w:r>
                      <w:rPr>
                        <w:sz w:val="24"/>
                      </w:rPr>
                      <w:fldChar w:fldCharType="end"/>
                    </w:r>
                    <w:r>
                      <w:rPr>
                        <w:sz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4"/>
                            </w:rPr>
                            <w:t xml:space="preserve">- </w:t>
                          </w:r>
                          <w:r>
                            <w:rPr>
                              <w:sz w:val="24"/>
                            </w:rPr>
                            <w:fldChar w:fldCharType="begin"/>
                          </w:r>
                          <w:r>
                            <w:rPr>
                              <w:sz w:val="24"/>
                            </w:rPr>
                            <w:instrText xml:space="preserve"> PAGE </w:instrText>
                          </w:r>
                          <w:r>
                            <w:rPr>
                              <w:sz w:val="24"/>
                            </w:rPr>
                            <w:fldChar w:fldCharType="separate"/>
                          </w:r>
                          <w:r>
                            <w:rPr>
                              <w:sz w:val="24"/>
                            </w:rPr>
                            <w:t>24</w:t>
                          </w:r>
                          <w:r>
                            <w:rPr>
                              <w:sz w:val="24"/>
                            </w:rPr>
                            <w:fldChar w:fldCharType="end"/>
                          </w:r>
                          <w:r>
                            <w:rPr>
                              <w:sz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pPr>
                    <w:r>
                      <w:rPr>
                        <w:sz w:val="24"/>
                      </w:rPr>
                      <w:t xml:space="preserve">- </w:t>
                    </w:r>
                    <w:r>
                      <w:rPr>
                        <w:sz w:val="24"/>
                      </w:rPr>
                      <w:fldChar w:fldCharType="begin"/>
                    </w:r>
                    <w:r>
                      <w:rPr>
                        <w:sz w:val="24"/>
                      </w:rPr>
                      <w:instrText xml:space="preserve"> PAGE </w:instrText>
                    </w:r>
                    <w:r>
                      <w:rPr>
                        <w:sz w:val="24"/>
                      </w:rPr>
                      <w:fldChar w:fldCharType="separate"/>
                    </w:r>
                    <w:r>
                      <w:rPr>
                        <w:sz w:val="24"/>
                      </w:rPr>
                      <w:t>24</w:t>
                    </w:r>
                    <w:r>
                      <w:rPr>
                        <w:sz w:val="24"/>
                      </w:rPr>
                      <w:fldChar w:fldCharType="end"/>
                    </w:r>
                    <w:r>
                      <w:rPr>
                        <w:sz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single" w:color="auto" w:sz="4" w:space="1"/>
        <w:right w:val="none" w:color="auto" w:sz="0" w:space="4"/>
      </w:pBdr>
      <w:tabs>
        <w:tab w:val="right" w:pos="9180"/>
        <w:tab w:val="clear" w:pos="8306"/>
      </w:tabs>
      <w:spacing w:line="0" w:lineRule="atLeast"/>
      <w:jc w:val="both"/>
      <w:rPr>
        <w:rFonts w:ascii="仿宋_GB2312" w:eastAsia="仿宋_GB2312"/>
        <w:sz w:val="21"/>
        <w:szCs w:val="21"/>
      </w:rPr>
    </w:pPr>
    <w:r>
      <w:rPr>
        <w:rFonts w:hint="eastAsia"/>
      </w:rPr>
      <w:drawing>
        <wp:anchor distT="0" distB="0" distL="114300" distR="114300" simplePos="0" relativeHeight="251664384" behindDoc="1" locked="0" layoutInCell="1" allowOverlap="1">
          <wp:simplePos x="0" y="0"/>
          <wp:positionH relativeFrom="column">
            <wp:posOffset>35560</wp:posOffset>
          </wp:positionH>
          <wp:positionV relativeFrom="paragraph">
            <wp:posOffset>59055</wp:posOffset>
          </wp:positionV>
          <wp:extent cx="703580" cy="426085"/>
          <wp:effectExtent l="0" t="0" r="1270" b="12065"/>
          <wp:wrapNone/>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
                  <a:stretch>
                    <a:fillRect/>
                  </a:stretch>
                </pic:blipFill>
                <pic:spPr>
                  <a:xfrm>
                    <a:off x="0" y="0"/>
                    <a:ext cx="703580" cy="426085"/>
                  </a:xfrm>
                  <a:prstGeom prst="rect">
                    <a:avLst/>
                  </a:prstGeom>
                  <a:noFill/>
                  <a:ln>
                    <a:noFill/>
                  </a:ln>
                </pic:spPr>
              </pic:pic>
            </a:graphicData>
          </a:graphic>
        </wp:anchor>
      </w:drawing>
    </w:r>
  </w:p>
  <w:p>
    <w:pPr>
      <w:pStyle w:val="8"/>
      <w:keepNext w:val="0"/>
      <w:keepLines w:val="0"/>
      <w:pageBreakBefore w:val="0"/>
      <w:widowControl w:val="0"/>
      <w:pBdr>
        <w:top w:val="none" w:color="auto" w:sz="0" w:space="1"/>
        <w:left w:val="none" w:color="auto" w:sz="0" w:space="4"/>
        <w:bottom w:val="single" w:color="auto" w:sz="4" w:space="1"/>
        <w:right w:val="none" w:color="auto" w:sz="0" w:space="4"/>
      </w:pBdr>
      <w:tabs>
        <w:tab w:val="right" w:pos="9180"/>
        <w:tab w:val="clear" w:pos="8306"/>
      </w:tabs>
      <w:kinsoku/>
      <w:wordWrap/>
      <w:overflowPunct/>
      <w:topLinePunct w:val="0"/>
      <w:autoSpaceDE/>
      <w:autoSpaceDN/>
      <w:bidi w:val="0"/>
      <w:adjustRightInd w:val="0"/>
      <w:snapToGrid w:val="0"/>
      <w:spacing w:line="0" w:lineRule="atLeast"/>
      <w:ind w:right="0" w:rightChars="0" w:firstLine="720"/>
      <w:jc w:val="right"/>
      <w:textAlignment w:val="baseline"/>
      <w:outlineLvl w:val="9"/>
      <w:rPr>
        <w:rFonts w:hint="eastAsia"/>
        <w:spacing w:val="45"/>
        <w:lang w:val="en-US" w:eastAsia="zh-CN"/>
      </w:rPr>
    </w:pPr>
    <w:r>
      <w:rPr>
        <w:rFonts w:hint="eastAsia"/>
        <w:spacing w:val="45"/>
        <w:lang w:eastAsia="zh-CN"/>
      </w:rPr>
      <w:t>江西万恒房地产资产评估咨询有限公司</w:t>
    </w:r>
    <w:r>
      <w:rPr>
        <w:rFonts w:hint="eastAsia"/>
        <w:spacing w:val="45"/>
        <w:lang w:val="en-US" w:eastAsia="zh-CN"/>
      </w:rPr>
      <w:t xml:space="preserve">                   </w:t>
    </w:r>
  </w:p>
  <w:p>
    <w:pPr>
      <w:pStyle w:val="8"/>
      <w:keepNext w:val="0"/>
      <w:keepLines w:val="0"/>
      <w:pageBreakBefore w:val="0"/>
      <w:widowControl w:val="0"/>
      <w:pBdr>
        <w:top w:val="none" w:color="auto" w:sz="0" w:space="1"/>
        <w:left w:val="none" w:color="auto" w:sz="0" w:space="4"/>
        <w:bottom w:val="single" w:color="auto" w:sz="4" w:space="1"/>
        <w:right w:val="none" w:color="auto" w:sz="0" w:space="4"/>
      </w:pBdr>
      <w:tabs>
        <w:tab w:val="right" w:pos="9180"/>
        <w:tab w:val="clear" w:pos="8306"/>
      </w:tabs>
      <w:kinsoku/>
      <w:wordWrap/>
      <w:overflowPunct/>
      <w:topLinePunct w:val="0"/>
      <w:autoSpaceDE/>
      <w:autoSpaceDN/>
      <w:bidi w:val="0"/>
      <w:adjustRightInd w:val="0"/>
      <w:snapToGrid w:val="0"/>
      <w:spacing w:line="0" w:lineRule="atLeast"/>
      <w:ind w:right="0" w:rightChars="0" w:firstLine="720"/>
      <w:jc w:val="right"/>
      <w:textAlignment w:val="baseline"/>
      <w:outlineLvl w:val="9"/>
      <w:rPr>
        <w:rFonts w:hint="default"/>
        <w:u w:val="none"/>
        <w:lang w:val="en-US" w:eastAsia="zh-CN"/>
      </w:rPr>
    </w:pPr>
    <w:r>
      <w:rPr>
        <w:rFonts w:hint="eastAsia" w:ascii="仿宋" w:hAnsi="仿宋" w:eastAsia="仿宋" w:cs="仿宋"/>
        <w:b w:val="0"/>
        <w:bCs w:val="0"/>
        <w:spacing w:val="-11"/>
        <w:sz w:val="18"/>
        <w:szCs w:val="18"/>
        <w:lang w:eastAsia="zh-CN"/>
      </w:rPr>
      <w:t>Jiangxi Wan Heng real estate appraisal consulting Co., Ltd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20BEB3"/>
    <w:multiLevelType w:val="singleLevel"/>
    <w:tmpl w:val="D520BEB3"/>
    <w:lvl w:ilvl="0" w:tentative="0">
      <w:start w:val="3"/>
      <w:numFmt w:val="decimal"/>
      <w:suff w:val="nothing"/>
      <w:lvlText w:val="（%1）"/>
      <w:lvlJc w:val="left"/>
    </w:lvl>
  </w:abstractNum>
  <w:abstractNum w:abstractNumId="1">
    <w:nsid w:val="1871DDED"/>
    <w:multiLevelType w:val="singleLevel"/>
    <w:tmpl w:val="1871DDED"/>
    <w:lvl w:ilvl="0" w:tentative="0">
      <w:start w:val="10"/>
      <w:numFmt w:val="decimal"/>
      <w:suff w:val="nothing"/>
      <w:lvlText w:val="（%1）"/>
      <w:lvlJc w:val="left"/>
    </w:lvl>
  </w:abstractNum>
  <w:abstractNum w:abstractNumId="2">
    <w:nsid w:val="273AC458"/>
    <w:multiLevelType w:val="singleLevel"/>
    <w:tmpl w:val="273AC458"/>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ZjVmYjU5YzNjNGFlMjViOGRiNzcwY2U1OTE5MjEifQ=="/>
  </w:docVars>
  <w:rsids>
    <w:rsidRoot w:val="41835A8F"/>
    <w:rsid w:val="00033147"/>
    <w:rsid w:val="00291F07"/>
    <w:rsid w:val="00407C36"/>
    <w:rsid w:val="00653F53"/>
    <w:rsid w:val="008E74D5"/>
    <w:rsid w:val="00AB6E9B"/>
    <w:rsid w:val="00B0510A"/>
    <w:rsid w:val="00B134DD"/>
    <w:rsid w:val="01487AA3"/>
    <w:rsid w:val="016D2FD3"/>
    <w:rsid w:val="01852063"/>
    <w:rsid w:val="01ED1707"/>
    <w:rsid w:val="020827F7"/>
    <w:rsid w:val="020C620F"/>
    <w:rsid w:val="0238076A"/>
    <w:rsid w:val="024170C4"/>
    <w:rsid w:val="02734CAA"/>
    <w:rsid w:val="02B358DC"/>
    <w:rsid w:val="02B734F6"/>
    <w:rsid w:val="02D30EDD"/>
    <w:rsid w:val="02F37207"/>
    <w:rsid w:val="02FB0A4A"/>
    <w:rsid w:val="02FB3976"/>
    <w:rsid w:val="03424D8C"/>
    <w:rsid w:val="03547CBD"/>
    <w:rsid w:val="035C18C6"/>
    <w:rsid w:val="03857DC1"/>
    <w:rsid w:val="03DA046E"/>
    <w:rsid w:val="03F170C3"/>
    <w:rsid w:val="03FB3428"/>
    <w:rsid w:val="03FB60F4"/>
    <w:rsid w:val="03FD632C"/>
    <w:rsid w:val="04122D17"/>
    <w:rsid w:val="04407A09"/>
    <w:rsid w:val="0445446E"/>
    <w:rsid w:val="045F0C31"/>
    <w:rsid w:val="04785EAF"/>
    <w:rsid w:val="048368BF"/>
    <w:rsid w:val="04905F74"/>
    <w:rsid w:val="04B94CA0"/>
    <w:rsid w:val="04E52C1B"/>
    <w:rsid w:val="04FB663A"/>
    <w:rsid w:val="052737CD"/>
    <w:rsid w:val="052C30F5"/>
    <w:rsid w:val="052D0A47"/>
    <w:rsid w:val="05707590"/>
    <w:rsid w:val="05AB3196"/>
    <w:rsid w:val="05AF3EC4"/>
    <w:rsid w:val="05CF7D32"/>
    <w:rsid w:val="05DB28F6"/>
    <w:rsid w:val="06022E0F"/>
    <w:rsid w:val="061614DB"/>
    <w:rsid w:val="065C6F6B"/>
    <w:rsid w:val="067D537C"/>
    <w:rsid w:val="06864B02"/>
    <w:rsid w:val="06913E8A"/>
    <w:rsid w:val="06A4010A"/>
    <w:rsid w:val="06E62062"/>
    <w:rsid w:val="06E84E86"/>
    <w:rsid w:val="070662CD"/>
    <w:rsid w:val="07535D4A"/>
    <w:rsid w:val="076A7676"/>
    <w:rsid w:val="077354F2"/>
    <w:rsid w:val="078B2B53"/>
    <w:rsid w:val="078C257B"/>
    <w:rsid w:val="079E3E7E"/>
    <w:rsid w:val="079F024E"/>
    <w:rsid w:val="07AB41FD"/>
    <w:rsid w:val="07B02A34"/>
    <w:rsid w:val="07C02B14"/>
    <w:rsid w:val="07E6536F"/>
    <w:rsid w:val="07F30C66"/>
    <w:rsid w:val="080B78A1"/>
    <w:rsid w:val="080C0C36"/>
    <w:rsid w:val="0812163A"/>
    <w:rsid w:val="081C3274"/>
    <w:rsid w:val="084E7652"/>
    <w:rsid w:val="085D7377"/>
    <w:rsid w:val="086230FE"/>
    <w:rsid w:val="08771391"/>
    <w:rsid w:val="08972DCE"/>
    <w:rsid w:val="08AF0236"/>
    <w:rsid w:val="08F64464"/>
    <w:rsid w:val="08FC7EEB"/>
    <w:rsid w:val="091D2F57"/>
    <w:rsid w:val="09365A74"/>
    <w:rsid w:val="094E14FF"/>
    <w:rsid w:val="09865343"/>
    <w:rsid w:val="098B5FCB"/>
    <w:rsid w:val="09A16F6E"/>
    <w:rsid w:val="09A64126"/>
    <w:rsid w:val="09D222C4"/>
    <w:rsid w:val="09D9512C"/>
    <w:rsid w:val="09E75BB4"/>
    <w:rsid w:val="0A0F466B"/>
    <w:rsid w:val="0A4E7848"/>
    <w:rsid w:val="0A502945"/>
    <w:rsid w:val="0A540248"/>
    <w:rsid w:val="0A6E2CCF"/>
    <w:rsid w:val="0A704A10"/>
    <w:rsid w:val="0A764446"/>
    <w:rsid w:val="0AD4311F"/>
    <w:rsid w:val="0AE34AD7"/>
    <w:rsid w:val="0AF84EA7"/>
    <w:rsid w:val="0B105CE8"/>
    <w:rsid w:val="0B15024F"/>
    <w:rsid w:val="0B17357E"/>
    <w:rsid w:val="0B244298"/>
    <w:rsid w:val="0B2A23A2"/>
    <w:rsid w:val="0B630F42"/>
    <w:rsid w:val="0B664560"/>
    <w:rsid w:val="0B8309AE"/>
    <w:rsid w:val="0BAE21D6"/>
    <w:rsid w:val="0BB306DA"/>
    <w:rsid w:val="0BB579E9"/>
    <w:rsid w:val="0BD116EA"/>
    <w:rsid w:val="0BED3FD4"/>
    <w:rsid w:val="0BF13017"/>
    <w:rsid w:val="0C051876"/>
    <w:rsid w:val="0C690799"/>
    <w:rsid w:val="0C6B1ED2"/>
    <w:rsid w:val="0C6D1521"/>
    <w:rsid w:val="0C88426E"/>
    <w:rsid w:val="0CBE6A9A"/>
    <w:rsid w:val="0CC657F1"/>
    <w:rsid w:val="0CC914BA"/>
    <w:rsid w:val="0CDA2575"/>
    <w:rsid w:val="0CE46F88"/>
    <w:rsid w:val="0D057E9F"/>
    <w:rsid w:val="0D7E1D2A"/>
    <w:rsid w:val="0DBC6E0C"/>
    <w:rsid w:val="0DEB2708"/>
    <w:rsid w:val="0DF26E47"/>
    <w:rsid w:val="0DF473D5"/>
    <w:rsid w:val="0E0F1C58"/>
    <w:rsid w:val="0E271463"/>
    <w:rsid w:val="0E2A2171"/>
    <w:rsid w:val="0E2C61D7"/>
    <w:rsid w:val="0E3E3CC5"/>
    <w:rsid w:val="0E445EDA"/>
    <w:rsid w:val="0E495DA7"/>
    <w:rsid w:val="0E7F5536"/>
    <w:rsid w:val="0EA7106E"/>
    <w:rsid w:val="0EB221FE"/>
    <w:rsid w:val="0EBD4C01"/>
    <w:rsid w:val="0EC3545A"/>
    <w:rsid w:val="0ECF0DC1"/>
    <w:rsid w:val="0ED905D2"/>
    <w:rsid w:val="0EDA4739"/>
    <w:rsid w:val="0EE34E80"/>
    <w:rsid w:val="0EED39FC"/>
    <w:rsid w:val="0EFC3634"/>
    <w:rsid w:val="0F074A1D"/>
    <w:rsid w:val="0F08392B"/>
    <w:rsid w:val="0F38272C"/>
    <w:rsid w:val="0F3F1AA3"/>
    <w:rsid w:val="0F503CB0"/>
    <w:rsid w:val="0F694576"/>
    <w:rsid w:val="0F7C4B26"/>
    <w:rsid w:val="0F9227CD"/>
    <w:rsid w:val="0FBF1CE7"/>
    <w:rsid w:val="0FE01470"/>
    <w:rsid w:val="0FEF103B"/>
    <w:rsid w:val="0FF93909"/>
    <w:rsid w:val="1004533B"/>
    <w:rsid w:val="10126D3D"/>
    <w:rsid w:val="10394744"/>
    <w:rsid w:val="104B232C"/>
    <w:rsid w:val="105538D3"/>
    <w:rsid w:val="105D1AFE"/>
    <w:rsid w:val="1061329B"/>
    <w:rsid w:val="106B2178"/>
    <w:rsid w:val="107F1E74"/>
    <w:rsid w:val="10A172C5"/>
    <w:rsid w:val="10AC7FBF"/>
    <w:rsid w:val="10E9095F"/>
    <w:rsid w:val="111833F6"/>
    <w:rsid w:val="112D1081"/>
    <w:rsid w:val="11383843"/>
    <w:rsid w:val="114C6816"/>
    <w:rsid w:val="11B14D46"/>
    <w:rsid w:val="11BB0D6C"/>
    <w:rsid w:val="11D75867"/>
    <w:rsid w:val="121B7850"/>
    <w:rsid w:val="127C77EE"/>
    <w:rsid w:val="129C3BCF"/>
    <w:rsid w:val="12A06DEE"/>
    <w:rsid w:val="12CD1206"/>
    <w:rsid w:val="12D23EA0"/>
    <w:rsid w:val="12E24579"/>
    <w:rsid w:val="12F46D8E"/>
    <w:rsid w:val="130F45DF"/>
    <w:rsid w:val="130F753A"/>
    <w:rsid w:val="13147120"/>
    <w:rsid w:val="13346913"/>
    <w:rsid w:val="13456E07"/>
    <w:rsid w:val="135E1B97"/>
    <w:rsid w:val="136242B0"/>
    <w:rsid w:val="138F3A3E"/>
    <w:rsid w:val="13AA736E"/>
    <w:rsid w:val="13B30DD9"/>
    <w:rsid w:val="13BC61A3"/>
    <w:rsid w:val="13C74558"/>
    <w:rsid w:val="13E02153"/>
    <w:rsid w:val="140022A7"/>
    <w:rsid w:val="14173DB7"/>
    <w:rsid w:val="143418DB"/>
    <w:rsid w:val="143622C3"/>
    <w:rsid w:val="144551EC"/>
    <w:rsid w:val="145625BE"/>
    <w:rsid w:val="145E0C1D"/>
    <w:rsid w:val="145F6238"/>
    <w:rsid w:val="1466016B"/>
    <w:rsid w:val="14686380"/>
    <w:rsid w:val="146D625B"/>
    <w:rsid w:val="148751C8"/>
    <w:rsid w:val="14A8013D"/>
    <w:rsid w:val="14BA2B93"/>
    <w:rsid w:val="14D233B9"/>
    <w:rsid w:val="14DA7967"/>
    <w:rsid w:val="14EA2457"/>
    <w:rsid w:val="14FB46BE"/>
    <w:rsid w:val="150D7504"/>
    <w:rsid w:val="15110CF6"/>
    <w:rsid w:val="15193735"/>
    <w:rsid w:val="15323435"/>
    <w:rsid w:val="15363948"/>
    <w:rsid w:val="153F0DA4"/>
    <w:rsid w:val="155D7B75"/>
    <w:rsid w:val="15902F87"/>
    <w:rsid w:val="15B605E5"/>
    <w:rsid w:val="15C27DA5"/>
    <w:rsid w:val="160927E6"/>
    <w:rsid w:val="16332946"/>
    <w:rsid w:val="163C73AD"/>
    <w:rsid w:val="164007A6"/>
    <w:rsid w:val="16580AB5"/>
    <w:rsid w:val="16B46D2C"/>
    <w:rsid w:val="16B53CE8"/>
    <w:rsid w:val="16B67F19"/>
    <w:rsid w:val="16C339EA"/>
    <w:rsid w:val="16D606D1"/>
    <w:rsid w:val="17040AB8"/>
    <w:rsid w:val="17121482"/>
    <w:rsid w:val="171C1330"/>
    <w:rsid w:val="173A7924"/>
    <w:rsid w:val="174C7A84"/>
    <w:rsid w:val="176F3141"/>
    <w:rsid w:val="17732337"/>
    <w:rsid w:val="179F3F80"/>
    <w:rsid w:val="17A1730C"/>
    <w:rsid w:val="17C1448C"/>
    <w:rsid w:val="17C350E5"/>
    <w:rsid w:val="17E44859"/>
    <w:rsid w:val="17EB5696"/>
    <w:rsid w:val="18055854"/>
    <w:rsid w:val="18111E34"/>
    <w:rsid w:val="18530B11"/>
    <w:rsid w:val="188547BB"/>
    <w:rsid w:val="18AD439F"/>
    <w:rsid w:val="18CA4259"/>
    <w:rsid w:val="18F14419"/>
    <w:rsid w:val="18FB378C"/>
    <w:rsid w:val="191E46F6"/>
    <w:rsid w:val="19501D84"/>
    <w:rsid w:val="19691393"/>
    <w:rsid w:val="19840EEF"/>
    <w:rsid w:val="198D2573"/>
    <w:rsid w:val="19920F67"/>
    <w:rsid w:val="19A677BA"/>
    <w:rsid w:val="19C3727A"/>
    <w:rsid w:val="19CE2426"/>
    <w:rsid w:val="1A2668F8"/>
    <w:rsid w:val="1A915C99"/>
    <w:rsid w:val="1A95718B"/>
    <w:rsid w:val="1AC82D3D"/>
    <w:rsid w:val="1B2861F2"/>
    <w:rsid w:val="1B2D6B47"/>
    <w:rsid w:val="1B480DEE"/>
    <w:rsid w:val="1B491C28"/>
    <w:rsid w:val="1B496795"/>
    <w:rsid w:val="1B5E393B"/>
    <w:rsid w:val="1B9962F7"/>
    <w:rsid w:val="1BA96962"/>
    <w:rsid w:val="1BEB574D"/>
    <w:rsid w:val="1BFB512C"/>
    <w:rsid w:val="1C107B0D"/>
    <w:rsid w:val="1C1A7122"/>
    <w:rsid w:val="1C321E09"/>
    <w:rsid w:val="1C492613"/>
    <w:rsid w:val="1C8459B4"/>
    <w:rsid w:val="1C8B6369"/>
    <w:rsid w:val="1CAE44D7"/>
    <w:rsid w:val="1CE95353"/>
    <w:rsid w:val="1D063D8F"/>
    <w:rsid w:val="1D17405F"/>
    <w:rsid w:val="1D1E727E"/>
    <w:rsid w:val="1D73742E"/>
    <w:rsid w:val="1D7F334C"/>
    <w:rsid w:val="1DAB18DB"/>
    <w:rsid w:val="1DAB6FB1"/>
    <w:rsid w:val="1DB43856"/>
    <w:rsid w:val="1DBD5A64"/>
    <w:rsid w:val="1E125E1C"/>
    <w:rsid w:val="1E253A2D"/>
    <w:rsid w:val="1E2C6D65"/>
    <w:rsid w:val="1E3E57AE"/>
    <w:rsid w:val="1E511591"/>
    <w:rsid w:val="1E54315F"/>
    <w:rsid w:val="1E560918"/>
    <w:rsid w:val="1E633E0E"/>
    <w:rsid w:val="1E655EC9"/>
    <w:rsid w:val="1E696A6E"/>
    <w:rsid w:val="1E712D55"/>
    <w:rsid w:val="1E783E31"/>
    <w:rsid w:val="1E7F5F95"/>
    <w:rsid w:val="1E7F6DA6"/>
    <w:rsid w:val="1E912F65"/>
    <w:rsid w:val="1EA10DB2"/>
    <w:rsid w:val="1EBD0C36"/>
    <w:rsid w:val="1EC9639D"/>
    <w:rsid w:val="1ECC78F2"/>
    <w:rsid w:val="1EEB2C89"/>
    <w:rsid w:val="1F0146D9"/>
    <w:rsid w:val="1F0B42D2"/>
    <w:rsid w:val="1F0F33E9"/>
    <w:rsid w:val="1F23394E"/>
    <w:rsid w:val="1F2C7B4A"/>
    <w:rsid w:val="1F334269"/>
    <w:rsid w:val="1F50180B"/>
    <w:rsid w:val="1F7C0DC8"/>
    <w:rsid w:val="1F8B19D1"/>
    <w:rsid w:val="1FD96FC7"/>
    <w:rsid w:val="1FEC0D58"/>
    <w:rsid w:val="200218CA"/>
    <w:rsid w:val="20164905"/>
    <w:rsid w:val="20310A2E"/>
    <w:rsid w:val="20333789"/>
    <w:rsid w:val="20A05B9F"/>
    <w:rsid w:val="20AA3407"/>
    <w:rsid w:val="20C21C43"/>
    <w:rsid w:val="20D62A88"/>
    <w:rsid w:val="20E90D2C"/>
    <w:rsid w:val="21036033"/>
    <w:rsid w:val="2115733A"/>
    <w:rsid w:val="21216465"/>
    <w:rsid w:val="213F53EB"/>
    <w:rsid w:val="21551786"/>
    <w:rsid w:val="21560A57"/>
    <w:rsid w:val="215D2327"/>
    <w:rsid w:val="21806FA0"/>
    <w:rsid w:val="21964112"/>
    <w:rsid w:val="21C15AE3"/>
    <w:rsid w:val="21CC76AF"/>
    <w:rsid w:val="21D76D11"/>
    <w:rsid w:val="220019D8"/>
    <w:rsid w:val="22142B32"/>
    <w:rsid w:val="2234120F"/>
    <w:rsid w:val="223B79D1"/>
    <w:rsid w:val="22452F75"/>
    <w:rsid w:val="22577FCD"/>
    <w:rsid w:val="225A7CA7"/>
    <w:rsid w:val="226D1A1F"/>
    <w:rsid w:val="22806864"/>
    <w:rsid w:val="22877A2F"/>
    <w:rsid w:val="22C00CF5"/>
    <w:rsid w:val="230A4235"/>
    <w:rsid w:val="23272CE4"/>
    <w:rsid w:val="235B687B"/>
    <w:rsid w:val="23616ECC"/>
    <w:rsid w:val="236C3BA8"/>
    <w:rsid w:val="238A360C"/>
    <w:rsid w:val="23AD3553"/>
    <w:rsid w:val="23C018F1"/>
    <w:rsid w:val="23C77F56"/>
    <w:rsid w:val="23D34A58"/>
    <w:rsid w:val="23FA298F"/>
    <w:rsid w:val="24094C2F"/>
    <w:rsid w:val="240A29CD"/>
    <w:rsid w:val="243E40FE"/>
    <w:rsid w:val="245F6BB6"/>
    <w:rsid w:val="24633AC8"/>
    <w:rsid w:val="246F7A98"/>
    <w:rsid w:val="248D2E59"/>
    <w:rsid w:val="24CA1229"/>
    <w:rsid w:val="24FF2B6C"/>
    <w:rsid w:val="25017F35"/>
    <w:rsid w:val="25030820"/>
    <w:rsid w:val="251558B4"/>
    <w:rsid w:val="253B3C0A"/>
    <w:rsid w:val="2597580B"/>
    <w:rsid w:val="259A1A72"/>
    <w:rsid w:val="25DF3FBE"/>
    <w:rsid w:val="25E65D46"/>
    <w:rsid w:val="25FF1B34"/>
    <w:rsid w:val="260333D3"/>
    <w:rsid w:val="26041924"/>
    <w:rsid w:val="260B342B"/>
    <w:rsid w:val="26161406"/>
    <w:rsid w:val="26377520"/>
    <w:rsid w:val="26602FA8"/>
    <w:rsid w:val="26717002"/>
    <w:rsid w:val="2681467D"/>
    <w:rsid w:val="2685028B"/>
    <w:rsid w:val="269049D7"/>
    <w:rsid w:val="26C257BF"/>
    <w:rsid w:val="26D076C6"/>
    <w:rsid w:val="26DA7645"/>
    <w:rsid w:val="26E55FBF"/>
    <w:rsid w:val="27041C60"/>
    <w:rsid w:val="276106B6"/>
    <w:rsid w:val="2761526F"/>
    <w:rsid w:val="2768644F"/>
    <w:rsid w:val="27BB7CDD"/>
    <w:rsid w:val="27BE344C"/>
    <w:rsid w:val="27C71B72"/>
    <w:rsid w:val="27CB1A67"/>
    <w:rsid w:val="27DC01DB"/>
    <w:rsid w:val="28167ED8"/>
    <w:rsid w:val="28334846"/>
    <w:rsid w:val="28401848"/>
    <w:rsid w:val="28553C8E"/>
    <w:rsid w:val="285743BC"/>
    <w:rsid w:val="288F49C3"/>
    <w:rsid w:val="28D25BBF"/>
    <w:rsid w:val="28E27F49"/>
    <w:rsid w:val="292F3BE8"/>
    <w:rsid w:val="293E7215"/>
    <w:rsid w:val="298B0BE5"/>
    <w:rsid w:val="298F7205"/>
    <w:rsid w:val="29947A6F"/>
    <w:rsid w:val="299A569A"/>
    <w:rsid w:val="29E12186"/>
    <w:rsid w:val="29FB7F85"/>
    <w:rsid w:val="2A400A12"/>
    <w:rsid w:val="2A5E1621"/>
    <w:rsid w:val="2A766457"/>
    <w:rsid w:val="2AFB703C"/>
    <w:rsid w:val="2B266F6C"/>
    <w:rsid w:val="2B3C09C4"/>
    <w:rsid w:val="2B442A11"/>
    <w:rsid w:val="2B8C1A60"/>
    <w:rsid w:val="2BA61037"/>
    <w:rsid w:val="2BA9618D"/>
    <w:rsid w:val="2BDB0D93"/>
    <w:rsid w:val="2BDF795D"/>
    <w:rsid w:val="2C545E95"/>
    <w:rsid w:val="2C5675DE"/>
    <w:rsid w:val="2CC54C1E"/>
    <w:rsid w:val="2CD42159"/>
    <w:rsid w:val="2CEA7908"/>
    <w:rsid w:val="2CEE430A"/>
    <w:rsid w:val="2D0619FA"/>
    <w:rsid w:val="2D0A0A4B"/>
    <w:rsid w:val="2D1773EB"/>
    <w:rsid w:val="2D240D8F"/>
    <w:rsid w:val="2D2665F7"/>
    <w:rsid w:val="2D3F201D"/>
    <w:rsid w:val="2D507934"/>
    <w:rsid w:val="2D596AE2"/>
    <w:rsid w:val="2D5F0287"/>
    <w:rsid w:val="2D761C92"/>
    <w:rsid w:val="2D77338E"/>
    <w:rsid w:val="2D7C1BD2"/>
    <w:rsid w:val="2D9E1C33"/>
    <w:rsid w:val="2DAF4930"/>
    <w:rsid w:val="2DC675A7"/>
    <w:rsid w:val="2DD85145"/>
    <w:rsid w:val="2E033C92"/>
    <w:rsid w:val="2E0434D3"/>
    <w:rsid w:val="2E07001B"/>
    <w:rsid w:val="2E651FD5"/>
    <w:rsid w:val="2EB1161C"/>
    <w:rsid w:val="2EBD6CEE"/>
    <w:rsid w:val="2EDD4C94"/>
    <w:rsid w:val="2EFE0BC4"/>
    <w:rsid w:val="2F063133"/>
    <w:rsid w:val="2F277381"/>
    <w:rsid w:val="2F40041D"/>
    <w:rsid w:val="2F651C26"/>
    <w:rsid w:val="2F7E7D2A"/>
    <w:rsid w:val="2F8C0118"/>
    <w:rsid w:val="2F977782"/>
    <w:rsid w:val="2FAD62E1"/>
    <w:rsid w:val="2FEF25D8"/>
    <w:rsid w:val="2FF74304"/>
    <w:rsid w:val="300056E5"/>
    <w:rsid w:val="3004527F"/>
    <w:rsid w:val="30245A8E"/>
    <w:rsid w:val="302C660B"/>
    <w:rsid w:val="3054034B"/>
    <w:rsid w:val="308E4509"/>
    <w:rsid w:val="309B7F9D"/>
    <w:rsid w:val="309C2398"/>
    <w:rsid w:val="30CC1284"/>
    <w:rsid w:val="30D9678D"/>
    <w:rsid w:val="30E20127"/>
    <w:rsid w:val="30EC1A7F"/>
    <w:rsid w:val="31203B4D"/>
    <w:rsid w:val="312D3559"/>
    <w:rsid w:val="313528AE"/>
    <w:rsid w:val="314D4F61"/>
    <w:rsid w:val="31520EA8"/>
    <w:rsid w:val="31573A50"/>
    <w:rsid w:val="317108DB"/>
    <w:rsid w:val="31724A28"/>
    <w:rsid w:val="317C65E1"/>
    <w:rsid w:val="31806B9A"/>
    <w:rsid w:val="31CB4899"/>
    <w:rsid w:val="32034C16"/>
    <w:rsid w:val="32035BAA"/>
    <w:rsid w:val="32134996"/>
    <w:rsid w:val="32262AB6"/>
    <w:rsid w:val="323F31FE"/>
    <w:rsid w:val="32411207"/>
    <w:rsid w:val="32582463"/>
    <w:rsid w:val="326F1FC4"/>
    <w:rsid w:val="32C875F0"/>
    <w:rsid w:val="32CA1671"/>
    <w:rsid w:val="32CB5CE4"/>
    <w:rsid w:val="32D26931"/>
    <w:rsid w:val="32D57295"/>
    <w:rsid w:val="32D855C0"/>
    <w:rsid w:val="32F56799"/>
    <w:rsid w:val="330322D8"/>
    <w:rsid w:val="33432E41"/>
    <w:rsid w:val="33451442"/>
    <w:rsid w:val="33503603"/>
    <w:rsid w:val="3358196A"/>
    <w:rsid w:val="3361189B"/>
    <w:rsid w:val="33733A0F"/>
    <w:rsid w:val="339F1D3E"/>
    <w:rsid w:val="33A304FF"/>
    <w:rsid w:val="33D6199D"/>
    <w:rsid w:val="34164CBB"/>
    <w:rsid w:val="341E40C0"/>
    <w:rsid w:val="342A0F10"/>
    <w:rsid w:val="342F1E1E"/>
    <w:rsid w:val="343B1244"/>
    <w:rsid w:val="347219F0"/>
    <w:rsid w:val="3473143C"/>
    <w:rsid w:val="347946D2"/>
    <w:rsid w:val="348512FC"/>
    <w:rsid w:val="34871272"/>
    <w:rsid w:val="34875B5B"/>
    <w:rsid w:val="349B7FCC"/>
    <w:rsid w:val="34A0321C"/>
    <w:rsid w:val="34E2688C"/>
    <w:rsid w:val="34EF21AF"/>
    <w:rsid w:val="3517537F"/>
    <w:rsid w:val="35192093"/>
    <w:rsid w:val="35431A3E"/>
    <w:rsid w:val="35432BEE"/>
    <w:rsid w:val="35571548"/>
    <w:rsid w:val="3574624D"/>
    <w:rsid w:val="35A719F0"/>
    <w:rsid w:val="35B13D81"/>
    <w:rsid w:val="35D70E72"/>
    <w:rsid w:val="35E50060"/>
    <w:rsid w:val="35ED3291"/>
    <w:rsid w:val="360F1295"/>
    <w:rsid w:val="36222685"/>
    <w:rsid w:val="366E4B18"/>
    <w:rsid w:val="36BF3746"/>
    <w:rsid w:val="36C30B34"/>
    <w:rsid w:val="36CC0C7A"/>
    <w:rsid w:val="36CC46EB"/>
    <w:rsid w:val="36D31C7E"/>
    <w:rsid w:val="36E45259"/>
    <w:rsid w:val="36F50F24"/>
    <w:rsid w:val="37164DDE"/>
    <w:rsid w:val="374A5660"/>
    <w:rsid w:val="375A0217"/>
    <w:rsid w:val="37622359"/>
    <w:rsid w:val="37636530"/>
    <w:rsid w:val="3787293D"/>
    <w:rsid w:val="37AB43B7"/>
    <w:rsid w:val="37CB693D"/>
    <w:rsid w:val="37CE5802"/>
    <w:rsid w:val="37D42E17"/>
    <w:rsid w:val="380C6B29"/>
    <w:rsid w:val="381527F9"/>
    <w:rsid w:val="382711FC"/>
    <w:rsid w:val="3887112F"/>
    <w:rsid w:val="38A27A2D"/>
    <w:rsid w:val="38AC3871"/>
    <w:rsid w:val="38C3444E"/>
    <w:rsid w:val="38CA5F97"/>
    <w:rsid w:val="38FB4002"/>
    <w:rsid w:val="390E4E50"/>
    <w:rsid w:val="39194A1C"/>
    <w:rsid w:val="394923BD"/>
    <w:rsid w:val="39565AB7"/>
    <w:rsid w:val="39605CF0"/>
    <w:rsid w:val="39637456"/>
    <w:rsid w:val="396C4189"/>
    <w:rsid w:val="39732916"/>
    <w:rsid w:val="39775520"/>
    <w:rsid w:val="398E541B"/>
    <w:rsid w:val="39CE0C45"/>
    <w:rsid w:val="39E11825"/>
    <w:rsid w:val="3A281202"/>
    <w:rsid w:val="3A4F6684"/>
    <w:rsid w:val="3A7970FF"/>
    <w:rsid w:val="3A7E14C6"/>
    <w:rsid w:val="3AA34D2C"/>
    <w:rsid w:val="3ABE5933"/>
    <w:rsid w:val="3ACA3D59"/>
    <w:rsid w:val="3ADC13A2"/>
    <w:rsid w:val="3AFD443D"/>
    <w:rsid w:val="3B1C0B54"/>
    <w:rsid w:val="3B3A2868"/>
    <w:rsid w:val="3B4F5A36"/>
    <w:rsid w:val="3B6E7EC6"/>
    <w:rsid w:val="3B856133"/>
    <w:rsid w:val="3B9561F8"/>
    <w:rsid w:val="3BC75114"/>
    <w:rsid w:val="3BD95CCD"/>
    <w:rsid w:val="3BE6238C"/>
    <w:rsid w:val="3BFD0B69"/>
    <w:rsid w:val="3C123C1B"/>
    <w:rsid w:val="3C1D483C"/>
    <w:rsid w:val="3C25574C"/>
    <w:rsid w:val="3C2C5488"/>
    <w:rsid w:val="3C381A58"/>
    <w:rsid w:val="3C382F3C"/>
    <w:rsid w:val="3C3A521C"/>
    <w:rsid w:val="3C3D1751"/>
    <w:rsid w:val="3C744E4A"/>
    <w:rsid w:val="3C92700E"/>
    <w:rsid w:val="3C9349A5"/>
    <w:rsid w:val="3CA01523"/>
    <w:rsid w:val="3CB317E5"/>
    <w:rsid w:val="3CEF3364"/>
    <w:rsid w:val="3D0976C9"/>
    <w:rsid w:val="3D0C0E41"/>
    <w:rsid w:val="3D2D59A3"/>
    <w:rsid w:val="3D310A15"/>
    <w:rsid w:val="3D4F3037"/>
    <w:rsid w:val="3D682202"/>
    <w:rsid w:val="3D7A20C9"/>
    <w:rsid w:val="3DAD594F"/>
    <w:rsid w:val="3DB03956"/>
    <w:rsid w:val="3DC5497C"/>
    <w:rsid w:val="3E0F171F"/>
    <w:rsid w:val="3E103868"/>
    <w:rsid w:val="3E1B7EE3"/>
    <w:rsid w:val="3E32335D"/>
    <w:rsid w:val="3E352C9E"/>
    <w:rsid w:val="3E4748B6"/>
    <w:rsid w:val="3E5926E8"/>
    <w:rsid w:val="3E5A2DD5"/>
    <w:rsid w:val="3E626B12"/>
    <w:rsid w:val="3E885EF2"/>
    <w:rsid w:val="3E974BB7"/>
    <w:rsid w:val="3EB55562"/>
    <w:rsid w:val="3EC62590"/>
    <w:rsid w:val="3ED90476"/>
    <w:rsid w:val="3EF25025"/>
    <w:rsid w:val="3F10699F"/>
    <w:rsid w:val="3F167E83"/>
    <w:rsid w:val="3F5D20D2"/>
    <w:rsid w:val="3F8D1B98"/>
    <w:rsid w:val="3FBD3840"/>
    <w:rsid w:val="3FF52724"/>
    <w:rsid w:val="3FFE3E5D"/>
    <w:rsid w:val="4039537D"/>
    <w:rsid w:val="403F06C2"/>
    <w:rsid w:val="40796D55"/>
    <w:rsid w:val="40A6216C"/>
    <w:rsid w:val="40C07D17"/>
    <w:rsid w:val="40D6556A"/>
    <w:rsid w:val="410B7187"/>
    <w:rsid w:val="41835A8F"/>
    <w:rsid w:val="41856D8F"/>
    <w:rsid w:val="41C932CA"/>
    <w:rsid w:val="41E60855"/>
    <w:rsid w:val="41F30837"/>
    <w:rsid w:val="41FE5D05"/>
    <w:rsid w:val="421F3D94"/>
    <w:rsid w:val="423A2254"/>
    <w:rsid w:val="4253550F"/>
    <w:rsid w:val="425702CC"/>
    <w:rsid w:val="42630327"/>
    <w:rsid w:val="42796749"/>
    <w:rsid w:val="428972C3"/>
    <w:rsid w:val="42913F7D"/>
    <w:rsid w:val="429A7FF2"/>
    <w:rsid w:val="429D4DA3"/>
    <w:rsid w:val="42E11E78"/>
    <w:rsid w:val="42F5304E"/>
    <w:rsid w:val="4300593B"/>
    <w:rsid w:val="432454BF"/>
    <w:rsid w:val="433C3565"/>
    <w:rsid w:val="4341410C"/>
    <w:rsid w:val="436E41EC"/>
    <w:rsid w:val="43AA712C"/>
    <w:rsid w:val="43B82AC0"/>
    <w:rsid w:val="43C57AC2"/>
    <w:rsid w:val="43D70007"/>
    <w:rsid w:val="4409384A"/>
    <w:rsid w:val="441F5424"/>
    <w:rsid w:val="447D04FE"/>
    <w:rsid w:val="4484797D"/>
    <w:rsid w:val="44896F08"/>
    <w:rsid w:val="44C94EB6"/>
    <w:rsid w:val="45114100"/>
    <w:rsid w:val="45406B65"/>
    <w:rsid w:val="45442C68"/>
    <w:rsid w:val="45683654"/>
    <w:rsid w:val="45B3643F"/>
    <w:rsid w:val="45D3296A"/>
    <w:rsid w:val="45D417A8"/>
    <w:rsid w:val="45DB0F99"/>
    <w:rsid w:val="45E3416D"/>
    <w:rsid w:val="45EB764C"/>
    <w:rsid w:val="45F41CD8"/>
    <w:rsid w:val="45F42758"/>
    <w:rsid w:val="46314DBB"/>
    <w:rsid w:val="464E2621"/>
    <w:rsid w:val="46867153"/>
    <w:rsid w:val="46895C9A"/>
    <w:rsid w:val="46933E79"/>
    <w:rsid w:val="46B718EC"/>
    <w:rsid w:val="46CD5260"/>
    <w:rsid w:val="46F830B4"/>
    <w:rsid w:val="471C30B6"/>
    <w:rsid w:val="47277F63"/>
    <w:rsid w:val="47526CEE"/>
    <w:rsid w:val="47544C62"/>
    <w:rsid w:val="475C2EA3"/>
    <w:rsid w:val="476D45A9"/>
    <w:rsid w:val="478B070E"/>
    <w:rsid w:val="479053E5"/>
    <w:rsid w:val="479E667F"/>
    <w:rsid w:val="47A04704"/>
    <w:rsid w:val="47D80CB2"/>
    <w:rsid w:val="47EB56B6"/>
    <w:rsid w:val="47FC4441"/>
    <w:rsid w:val="47FD3BC5"/>
    <w:rsid w:val="48555B81"/>
    <w:rsid w:val="486C47C0"/>
    <w:rsid w:val="48AE760B"/>
    <w:rsid w:val="48B87B65"/>
    <w:rsid w:val="48E43727"/>
    <w:rsid w:val="490D5541"/>
    <w:rsid w:val="493044E7"/>
    <w:rsid w:val="4933371F"/>
    <w:rsid w:val="49425710"/>
    <w:rsid w:val="49493E24"/>
    <w:rsid w:val="497B0D71"/>
    <w:rsid w:val="49C03205"/>
    <w:rsid w:val="49C7524D"/>
    <w:rsid w:val="49D55A98"/>
    <w:rsid w:val="4A0D2382"/>
    <w:rsid w:val="4A270EB9"/>
    <w:rsid w:val="4A73206F"/>
    <w:rsid w:val="4A7B5618"/>
    <w:rsid w:val="4A7E0482"/>
    <w:rsid w:val="4AB24559"/>
    <w:rsid w:val="4B04529B"/>
    <w:rsid w:val="4B225637"/>
    <w:rsid w:val="4B280ACF"/>
    <w:rsid w:val="4B4009A3"/>
    <w:rsid w:val="4B441857"/>
    <w:rsid w:val="4B6046CF"/>
    <w:rsid w:val="4B6247D0"/>
    <w:rsid w:val="4B7F64A3"/>
    <w:rsid w:val="4B941289"/>
    <w:rsid w:val="4B9C33DF"/>
    <w:rsid w:val="4BB842DF"/>
    <w:rsid w:val="4BCE4974"/>
    <w:rsid w:val="4C075369"/>
    <w:rsid w:val="4C0A285A"/>
    <w:rsid w:val="4C6F5603"/>
    <w:rsid w:val="4C796596"/>
    <w:rsid w:val="4C854154"/>
    <w:rsid w:val="4CA612A0"/>
    <w:rsid w:val="4CA814D4"/>
    <w:rsid w:val="4CC454B3"/>
    <w:rsid w:val="4CCA2281"/>
    <w:rsid w:val="4CEC046F"/>
    <w:rsid w:val="4CF04F59"/>
    <w:rsid w:val="4D2B3A58"/>
    <w:rsid w:val="4D4B1038"/>
    <w:rsid w:val="4D4E03EF"/>
    <w:rsid w:val="4D6D3ED6"/>
    <w:rsid w:val="4D7E5390"/>
    <w:rsid w:val="4D8270AC"/>
    <w:rsid w:val="4D98328E"/>
    <w:rsid w:val="4D984C09"/>
    <w:rsid w:val="4DAD2100"/>
    <w:rsid w:val="4DB87B57"/>
    <w:rsid w:val="4DD1000E"/>
    <w:rsid w:val="4DDB6D12"/>
    <w:rsid w:val="4DEC75C0"/>
    <w:rsid w:val="4E0A57E3"/>
    <w:rsid w:val="4E370148"/>
    <w:rsid w:val="4E717D9A"/>
    <w:rsid w:val="4EA426A9"/>
    <w:rsid w:val="4EBD2E1C"/>
    <w:rsid w:val="4EC859E2"/>
    <w:rsid w:val="4ED975F2"/>
    <w:rsid w:val="4ED97E7C"/>
    <w:rsid w:val="4F0C04A7"/>
    <w:rsid w:val="4F2400BF"/>
    <w:rsid w:val="4F2D6B7F"/>
    <w:rsid w:val="4F460445"/>
    <w:rsid w:val="4F5F2B0E"/>
    <w:rsid w:val="4F937D69"/>
    <w:rsid w:val="4FE973DF"/>
    <w:rsid w:val="4FF15DD5"/>
    <w:rsid w:val="5014785E"/>
    <w:rsid w:val="501874B5"/>
    <w:rsid w:val="50211065"/>
    <w:rsid w:val="50350168"/>
    <w:rsid w:val="503B1623"/>
    <w:rsid w:val="50463679"/>
    <w:rsid w:val="504C4F0B"/>
    <w:rsid w:val="506E723F"/>
    <w:rsid w:val="50D35331"/>
    <w:rsid w:val="50D7154A"/>
    <w:rsid w:val="50F27097"/>
    <w:rsid w:val="511D29A1"/>
    <w:rsid w:val="511E4CB5"/>
    <w:rsid w:val="51274F5F"/>
    <w:rsid w:val="513F5C18"/>
    <w:rsid w:val="517C4606"/>
    <w:rsid w:val="517F5F1F"/>
    <w:rsid w:val="519E2619"/>
    <w:rsid w:val="51AB5672"/>
    <w:rsid w:val="51B55CA2"/>
    <w:rsid w:val="51C47027"/>
    <w:rsid w:val="51D56345"/>
    <w:rsid w:val="520C2603"/>
    <w:rsid w:val="521A298C"/>
    <w:rsid w:val="52283CFC"/>
    <w:rsid w:val="52326C6A"/>
    <w:rsid w:val="52655481"/>
    <w:rsid w:val="52716DB6"/>
    <w:rsid w:val="527C36B2"/>
    <w:rsid w:val="52B171B6"/>
    <w:rsid w:val="52D533D2"/>
    <w:rsid w:val="52E9070C"/>
    <w:rsid w:val="5305295D"/>
    <w:rsid w:val="53527F5D"/>
    <w:rsid w:val="53961ECF"/>
    <w:rsid w:val="53C1735E"/>
    <w:rsid w:val="53E56E1F"/>
    <w:rsid w:val="542A0A1D"/>
    <w:rsid w:val="54416590"/>
    <w:rsid w:val="54432850"/>
    <w:rsid w:val="544669FD"/>
    <w:rsid w:val="544A7972"/>
    <w:rsid w:val="545F4DF4"/>
    <w:rsid w:val="54B8591C"/>
    <w:rsid w:val="54C62B98"/>
    <w:rsid w:val="54EA7E61"/>
    <w:rsid w:val="550A5498"/>
    <w:rsid w:val="550D0CAD"/>
    <w:rsid w:val="550F63F8"/>
    <w:rsid w:val="55280270"/>
    <w:rsid w:val="55343F37"/>
    <w:rsid w:val="554F6987"/>
    <w:rsid w:val="555A64D1"/>
    <w:rsid w:val="55686829"/>
    <w:rsid w:val="556A01EA"/>
    <w:rsid w:val="55AF480A"/>
    <w:rsid w:val="55BF552F"/>
    <w:rsid w:val="55ED74B5"/>
    <w:rsid w:val="55ED7E44"/>
    <w:rsid w:val="55EE6201"/>
    <w:rsid w:val="56044F55"/>
    <w:rsid w:val="561B218E"/>
    <w:rsid w:val="562363E5"/>
    <w:rsid w:val="562B3FAA"/>
    <w:rsid w:val="56503B63"/>
    <w:rsid w:val="56576C9F"/>
    <w:rsid w:val="565B373E"/>
    <w:rsid w:val="56760225"/>
    <w:rsid w:val="56902C2F"/>
    <w:rsid w:val="56A35344"/>
    <w:rsid w:val="56A56C29"/>
    <w:rsid w:val="56AE5E60"/>
    <w:rsid w:val="56F55499"/>
    <w:rsid w:val="56F90583"/>
    <w:rsid w:val="57203535"/>
    <w:rsid w:val="574061E6"/>
    <w:rsid w:val="57420017"/>
    <w:rsid w:val="57426FCC"/>
    <w:rsid w:val="5755501C"/>
    <w:rsid w:val="57680F72"/>
    <w:rsid w:val="578D3AA7"/>
    <w:rsid w:val="579356C1"/>
    <w:rsid w:val="57964122"/>
    <w:rsid w:val="57AE7FC8"/>
    <w:rsid w:val="57CD1758"/>
    <w:rsid w:val="57D07051"/>
    <w:rsid w:val="57D07F46"/>
    <w:rsid w:val="57D63BF4"/>
    <w:rsid w:val="580320D2"/>
    <w:rsid w:val="58093FC9"/>
    <w:rsid w:val="58252160"/>
    <w:rsid w:val="582F49AE"/>
    <w:rsid w:val="58302553"/>
    <w:rsid w:val="58405511"/>
    <w:rsid w:val="586963E6"/>
    <w:rsid w:val="586B080E"/>
    <w:rsid w:val="58793142"/>
    <w:rsid w:val="589D6784"/>
    <w:rsid w:val="58C738DA"/>
    <w:rsid w:val="58E53B21"/>
    <w:rsid w:val="593D3617"/>
    <w:rsid w:val="595C6C7C"/>
    <w:rsid w:val="59896CB3"/>
    <w:rsid w:val="59967ADE"/>
    <w:rsid w:val="59A7395E"/>
    <w:rsid w:val="59A7507F"/>
    <w:rsid w:val="59AF4A8B"/>
    <w:rsid w:val="59B20467"/>
    <w:rsid w:val="59C517D5"/>
    <w:rsid w:val="59D559E0"/>
    <w:rsid w:val="59DF3868"/>
    <w:rsid w:val="59E56B8F"/>
    <w:rsid w:val="59F10F7C"/>
    <w:rsid w:val="5A0B2C92"/>
    <w:rsid w:val="5A174CB2"/>
    <w:rsid w:val="5A1B049E"/>
    <w:rsid w:val="5A470C5D"/>
    <w:rsid w:val="5A63411D"/>
    <w:rsid w:val="5A6746D2"/>
    <w:rsid w:val="5A93401E"/>
    <w:rsid w:val="5A986289"/>
    <w:rsid w:val="5AA17E3F"/>
    <w:rsid w:val="5AA87186"/>
    <w:rsid w:val="5AAF3872"/>
    <w:rsid w:val="5ADA311D"/>
    <w:rsid w:val="5B351579"/>
    <w:rsid w:val="5B4B19D7"/>
    <w:rsid w:val="5B650BAC"/>
    <w:rsid w:val="5B83219A"/>
    <w:rsid w:val="5BA25001"/>
    <w:rsid w:val="5BC3524B"/>
    <w:rsid w:val="5BDA78C4"/>
    <w:rsid w:val="5BE264A5"/>
    <w:rsid w:val="5BFC4568"/>
    <w:rsid w:val="5C204C37"/>
    <w:rsid w:val="5C241E69"/>
    <w:rsid w:val="5CDB4484"/>
    <w:rsid w:val="5CF768CF"/>
    <w:rsid w:val="5D0041A5"/>
    <w:rsid w:val="5D183F97"/>
    <w:rsid w:val="5D1C1541"/>
    <w:rsid w:val="5D284884"/>
    <w:rsid w:val="5D2961A8"/>
    <w:rsid w:val="5D3C19C9"/>
    <w:rsid w:val="5D4B31E0"/>
    <w:rsid w:val="5D8B1B10"/>
    <w:rsid w:val="5D9D3085"/>
    <w:rsid w:val="5DE614D0"/>
    <w:rsid w:val="5E1127CD"/>
    <w:rsid w:val="5E2D3CCF"/>
    <w:rsid w:val="5E853803"/>
    <w:rsid w:val="5E9E5C80"/>
    <w:rsid w:val="5EAC6BEA"/>
    <w:rsid w:val="5EB7435C"/>
    <w:rsid w:val="5EC12029"/>
    <w:rsid w:val="5EDD041B"/>
    <w:rsid w:val="5EE5785B"/>
    <w:rsid w:val="5EF0704B"/>
    <w:rsid w:val="5EF86F5E"/>
    <w:rsid w:val="5F145A44"/>
    <w:rsid w:val="5F30453F"/>
    <w:rsid w:val="5F5D1DFF"/>
    <w:rsid w:val="5F7A755A"/>
    <w:rsid w:val="5F7D2A80"/>
    <w:rsid w:val="5F9917F0"/>
    <w:rsid w:val="5F9B5240"/>
    <w:rsid w:val="5FBA1E47"/>
    <w:rsid w:val="5FC67835"/>
    <w:rsid w:val="5FEB114F"/>
    <w:rsid w:val="5FF45E51"/>
    <w:rsid w:val="600D184D"/>
    <w:rsid w:val="60172403"/>
    <w:rsid w:val="60321968"/>
    <w:rsid w:val="60423FA1"/>
    <w:rsid w:val="60783322"/>
    <w:rsid w:val="60A726E6"/>
    <w:rsid w:val="60BB5793"/>
    <w:rsid w:val="60D21752"/>
    <w:rsid w:val="60DE482E"/>
    <w:rsid w:val="60F5091A"/>
    <w:rsid w:val="60F70811"/>
    <w:rsid w:val="6103123D"/>
    <w:rsid w:val="6115642F"/>
    <w:rsid w:val="61191DA7"/>
    <w:rsid w:val="6143375D"/>
    <w:rsid w:val="6185786A"/>
    <w:rsid w:val="61AD7BC6"/>
    <w:rsid w:val="61E41603"/>
    <w:rsid w:val="6256021A"/>
    <w:rsid w:val="625C384C"/>
    <w:rsid w:val="626F0D31"/>
    <w:rsid w:val="62792458"/>
    <w:rsid w:val="627F47EF"/>
    <w:rsid w:val="628A08D4"/>
    <w:rsid w:val="62995EF8"/>
    <w:rsid w:val="62C0026E"/>
    <w:rsid w:val="62D8322F"/>
    <w:rsid w:val="62DB2580"/>
    <w:rsid w:val="62E72E4E"/>
    <w:rsid w:val="62ED167F"/>
    <w:rsid w:val="63090737"/>
    <w:rsid w:val="631C3E17"/>
    <w:rsid w:val="63233169"/>
    <w:rsid w:val="6332113A"/>
    <w:rsid w:val="6334235C"/>
    <w:rsid w:val="63495A2C"/>
    <w:rsid w:val="636E139D"/>
    <w:rsid w:val="636E7ED1"/>
    <w:rsid w:val="6375454B"/>
    <w:rsid w:val="63AB77AA"/>
    <w:rsid w:val="63B6072C"/>
    <w:rsid w:val="63B91087"/>
    <w:rsid w:val="64056AFA"/>
    <w:rsid w:val="641F4B74"/>
    <w:rsid w:val="642129E4"/>
    <w:rsid w:val="642B3BC0"/>
    <w:rsid w:val="642E3AF7"/>
    <w:rsid w:val="646F1CD5"/>
    <w:rsid w:val="647F7083"/>
    <w:rsid w:val="6487222F"/>
    <w:rsid w:val="648D4093"/>
    <w:rsid w:val="64CB2A9A"/>
    <w:rsid w:val="64EF7F53"/>
    <w:rsid w:val="64F83058"/>
    <w:rsid w:val="64FF796F"/>
    <w:rsid w:val="650376CB"/>
    <w:rsid w:val="651128E7"/>
    <w:rsid w:val="65140B6C"/>
    <w:rsid w:val="651E79C6"/>
    <w:rsid w:val="65227307"/>
    <w:rsid w:val="652E2279"/>
    <w:rsid w:val="652F5A5D"/>
    <w:rsid w:val="655609DD"/>
    <w:rsid w:val="65674857"/>
    <w:rsid w:val="657E3D51"/>
    <w:rsid w:val="659706DB"/>
    <w:rsid w:val="659C19A0"/>
    <w:rsid w:val="659D4BAC"/>
    <w:rsid w:val="659F685C"/>
    <w:rsid w:val="65BA333E"/>
    <w:rsid w:val="65C55682"/>
    <w:rsid w:val="65CF70B3"/>
    <w:rsid w:val="65D02052"/>
    <w:rsid w:val="65D20845"/>
    <w:rsid w:val="65D57BE0"/>
    <w:rsid w:val="65EC34F3"/>
    <w:rsid w:val="660A13DA"/>
    <w:rsid w:val="6631721E"/>
    <w:rsid w:val="6632314C"/>
    <w:rsid w:val="66474F01"/>
    <w:rsid w:val="66636E3E"/>
    <w:rsid w:val="667A719C"/>
    <w:rsid w:val="667B379C"/>
    <w:rsid w:val="6687523C"/>
    <w:rsid w:val="66BF3A9C"/>
    <w:rsid w:val="66E856F1"/>
    <w:rsid w:val="66F916AD"/>
    <w:rsid w:val="671350B5"/>
    <w:rsid w:val="671D1344"/>
    <w:rsid w:val="673E7444"/>
    <w:rsid w:val="6745110A"/>
    <w:rsid w:val="67555F12"/>
    <w:rsid w:val="675A6424"/>
    <w:rsid w:val="679B3D14"/>
    <w:rsid w:val="67A269C9"/>
    <w:rsid w:val="67B51A77"/>
    <w:rsid w:val="67C5396B"/>
    <w:rsid w:val="67E040DF"/>
    <w:rsid w:val="67EE18D3"/>
    <w:rsid w:val="680B5B3B"/>
    <w:rsid w:val="68203BE9"/>
    <w:rsid w:val="683B6EFE"/>
    <w:rsid w:val="683F3D1C"/>
    <w:rsid w:val="686A3DEB"/>
    <w:rsid w:val="686D2479"/>
    <w:rsid w:val="687706BD"/>
    <w:rsid w:val="688E4077"/>
    <w:rsid w:val="689C1EE3"/>
    <w:rsid w:val="68B677C0"/>
    <w:rsid w:val="68CA3301"/>
    <w:rsid w:val="68D8562F"/>
    <w:rsid w:val="692B4FD2"/>
    <w:rsid w:val="692F3CA9"/>
    <w:rsid w:val="693073EF"/>
    <w:rsid w:val="694C55F0"/>
    <w:rsid w:val="69903D78"/>
    <w:rsid w:val="69A92DDA"/>
    <w:rsid w:val="69B730EF"/>
    <w:rsid w:val="69D435B4"/>
    <w:rsid w:val="6A121D75"/>
    <w:rsid w:val="6A172D6D"/>
    <w:rsid w:val="6A1A0A4A"/>
    <w:rsid w:val="6A7D133D"/>
    <w:rsid w:val="6A807DF5"/>
    <w:rsid w:val="6A8E0A7C"/>
    <w:rsid w:val="6A9A1C95"/>
    <w:rsid w:val="6AC81AD0"/>
    <w:rsid w:val="6B057BDB"/>
    <w:rsid w:val="6B2B73D5"/>
    <w:rsid w:val="6B376C47"/>
    <w:rsid w:val="6B440643"/>
    <w:rsid w:val="6B50403C"/>
    <w:rsid w:val="6B504AEA"/>
    <w:rsid w:val="6B691E93"/>
    <w:rsid w:val="6B6F018F"/>
    <w:rsid w:val="6BE3070F"/>
    <w:rsid w:val="6BED2FF4"/>
    <w:rsid w:val="6C085FB0"/>
    <w:rsid w:val="6C0B2CB4"/>
    <w:rsid w:val="6C4B3E7A"/>
    <w:rsid w:val="6C5B00CD"/>
    <w:rsid w:val="6C6A086F"/>
    <w:rsid w:val="6C832144"/>
    <w:rsid w:val="6D2715E6"/>
    <w:rsid w:val="6D4D45EF"/>
    <w:rsid w:val="6D5339E4"/>
    <w:rsid w:val="6D7E3736"/>
    <w:rsid w:val="6D874650"/>
    <w:rsid w:val="6DCE2C49"/>
    <w:rsid w:val="6DE454B8"/>
    <w:rsid w:val="6E015FFF"/>
    <w:rsid w:val="6E0D5293"/>
    <w:rsid w:val="6E18358A"/>
    <w:rsid w:val="6E5F294A"/>
    <w:rsid w:val="6E62766C"/>
    <w:rsid w:val="6E6C60D7"/>
    <w:rsid w:val="6E841C7C"/>
    <w:rsid w:val="6EBE7FA5"/>
    <w:rsid w:val="6EC22971"/>
    <w:rsid w:val="6F211BF5"/>
    <w:rsid w:val="6F5252F8"/>
    <w:rsid w:val="6F69402F"/>
    <w:rsid w:val="6F6D7535"/>
    <w:rsid w:val="6FCB2946"/>
    <w:rsid w:val="6FD72CAD"/>
    <w:rsid w:val="700D2E86"/>
    <w:rsid w:val="700D5C5D"/>
    <w:rsid w:val="703E51F4"/>
    <w:rsid w:val="705855B5"/>
    <w:rsid w:val="70786E87"/>
    <w:rsid w:val="709B3617"/>
    <w:rsid w:val="70C00AF1"/>
    <w:rsid w:val="70C12D9C"/>
    <w:rsid w:val="71017503"/>
    <w:rsid w:val="71180E86"/>
    <w:rsid w:val="71185AB0"/>
    <w:rsid w:val="714571A2"/>
    <w:rsid w:val="715A6E35"/>
    <w:rsid w:val="7167048D"/>
    <w:rsid w:val="71A425E0"/>
    <w:rsid w:val="71A83375"/>
    <w:rsid w:val="71B013FA"/>
    <w:rsid w:val="72021BBE"/>
    <w:rsid w:val="72515E56"/>
    <w:rsid w:val="726A43F9"/>
    <w:rsid w:val="72783355"/>
    <w:rsid w:val="72810D01"/>
    <w:rsid w:val="72FE5269"/>
    <w:rsid w:val="735E280F"/>
    <w:rsid w:val="736331BE"/>
    <w:rsid w:val="73642930"/>
    <w:rsid w:val="73654A42"/>
    <w:rsid w:val="737C5B3F"/>
    <w:rsid w:val="738B7625"/>
    <w:rsid w:val="73A152AE"/>
    <w:rsid w:val="73A93EDE"/>
    <w:rsid w:val="73B86425"/>
    <w:rsid w:val="73F045AC"/>
    <w:rsid w:val="741F5D60"/>
    <w:rsid w:val="744E4A37"/>
    <w:rsid w:val="746C6DF4"/>
    <w:rsid w:val="747A49FF"/>
    <w:rsid w:val="7480781A"/>
    <w:rsid w:val="74985220"/>
    <w:rsid w:val="74AB0330"/>
    <w:rsid w:val="74C80FA0"/>
    <w:rsid w:val="74C82DBC"/>
    <w:rsid w:val="750121BA"/>
    <w:rsid w:val="750C2D25"/>
    <w:rsid w:val="75293887"/>
    <w:rsid w:val="752C6A65"/>
    <w:rsid w:val="75750A98"/>
    <w:rsid w:val="758C632C"/>
    <w:rsid w:val="75A02F72"/>
    <w:rsid w:val="75AF5F40"/>
    <w:rsid w:val="75B32869"/>
    <w:rsid w:val="75E8652E"/>
    <w:rsid w:val="760167EA"/>
    <w:rsid w:val="76114CE0"/>
    <w:rsid w:val="762304F4"/>
    <w:rsid w:val="76332694"/>
    <w:rsid w:val="764A2F51"/>
    <w:rsid w:val="7651275F"/>
    <w:rsid w:val="76686D15"/>
    <w:rsid w:val="767C7879"/>
    <w:rsid w:val="768717FC"/>
    <w:rsid w:val="768C43C2"/>
    <w:rsid w:val="76A44316"/>
    <w:rsid w:val="76AB06DE"/>
    <w:rsid w:val="76B86E8E"/>
    <w:rsid w:val="76E126EB"/>
    <w:rsid w:val="76FD1302"/>
    <w:rsid w:val="7717459C"/>
    <w:rsid w:val="772E0ECB"/>
    <w:rsid w:val="7763615A"/>
    <w:rsid w:val="77BE1FE6"/>
    <w:rsid w:val="77C367DD"/>
    <w:rsid w:val="77D71D14"/>
    <w:rsid w:val="77F208C9"/>
    <w:rsid w:val="77F461AD"/>
    <w:rsid w:val="78061EEC"/>
    <w:rsid w:val="78103493"/>
    <w:rsid w:val="781E20C7"/>
    <w:rsid w:val="7831045F"/>
    <w:rsid w:val="78355572"/>
    <w:rsid w:val="783E4656"/>
    <w:rsid w:val="78414A85"/>
    <w:rsid w:val="788A3340"/>
    <w:rsid w:val="78CD0F1D"/>
    <w:rsid w:val="78D54DF1"/>
    <w:rsid w:val="7932313D"/>
    <w:rsid w:val="794214D7"/>
    <w:rsid w:val="79690097"/>
    <w:rsid w:val="79837141"/>
    <w:rsid w:val="79890941"/>
    <w:rsid w:val="79AA3FA5"/>
    <w:rsid w:val="79AC2DD5"/>
    <w:rsid w:val="79B16B06"/>
    <w:rsid w:val="79BC139B"/>
    <w:rsid w:val="79DE7A01"/>
    <w:rsid w:val="79EB5404"/>
    <w:rsid w:val="7A04129B"/>
    <w:rsid w:val="7A1255D8"/>
    <w:rsid w:val="7A486292"/>
    <w:rsid w:val="7A5A050E"/>
    <w:rsid w:val="7A726011"/>
    <w:rsid w:val="7A7B7FF9"/>
    <w:rsid w:val="7A800BB7"/>
    <w:rsid w:val="7ACA79A5"/>
    <w:rsid w:val="7AD67DFB"/>
    <w:rsid w:val="7AEA0046"/>
    <w:rsid w:val="7AF8780F"/>
    <w:rsid w:val="7AFB78D5"/>
    <w:rsid w:val="7B026D06"/>
    <w:rsid w:val="7B0E490A"/>
    <w:rsid w:val="7B497F48"/>
    <w:rsid w:val="7B511D29"/>
    <w:rsid w:val="7B570793"/>
    <w:rsid w:val="7B7C3D60"/>
    <w:rsid w:val="7B82376F"/>
    <w:rsid w:val="7B8536C2"/>
    <w:rsid w:val="7B911885"/>
    <w:rsid w:val="7B9D777A"/>
    <w:rsid w:val="7BAB5D85"/>
    <w:rsid w:val="7BDC41C4"/>
    <w:rsid w:val="7C0C72F2"/>
    <w:rsid w:val="7C2327BF"/>
    <w:rsid w:val="7C3201CA"/>
    <w:rsid w:val="7C365F6F"/>
    <w:rsid w:val="7C475B0B"/>
    <w:rsid w:val="7C4F69CB"/>
    <w:rsid w:val="7C66113B"/>
    <w:rsid w:val="7CA62321"/>
    <w:rsid w:val="7CB27D3F"/>
    <w:rsid w:val="7CF56BA5"/>
    <w:rsid w:val="7CF851A1"/>
    <w:rsid w:val="7D190F91"/>
    <w:rsid w:val="7D1949CF"/>
    <w:rsid w:val="7D347719"/>
    <w:rsid w:val="7D723107"/>
    <w:rsid w:val="7D754ED2"/>
    <w:rsid w:val="7D7810DD"/>
    <w:rsid w:val="7DCC0B6E"/>
    <w:rsid w:val="7DE40DFB"/>
    <w:rsid w:val="7DEF14B4"/>
    <w:rsid w:val="7E12478C"/>
    <w:rsid w:val="7E1A7B53"/>
    <w:rsid w:val="7E1B0869"/>
    <w:rsid w:val="7E227618"/>
    <w:rsid w:val="7E3113D6"/>
    <w:rsid w:val="7E585E5A"/>
    <w:rsid w:val="7E70324F"/>
    <w:rsid w:val="7E803881"/>
    <w:rsid w:val="7EA128FE"/>
    <w:rsid w:val="7EA97F80"/>
    <w:rsid w:val="7EB046D9"/>
    <w:rsid w:val="7F1929D9"/>
    <w:rsid w:val="7F3417C9"/>
    <w:rsid w:val="7F3C2436"/>
    <w:rsid w:val="7F811B61"/>
    <w:rsid w:val="7F8871EC"/>
    <w:rsid w:val="7F8C7C71"/>
    <w:rsid w:val="7FB179DC"/>
    <w:rsid w:val="7FBE6A22"/>
    <w:rsid w:val="7FFE4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3"/>
    <w:link w:val="27"/>
    <w:qFormat/>
    <w:uiPriority w:val="0"/>
    <w:pPr>
      <w:keepNext/>
      <w:keepLines/>
      <w:spacing w:after="30" w:afterLines="30"/>
      <w:ind w:left="0"/>
      <w:jc w:val="center"/>
      <w:outlineLvl w:val="0"/>
    </w:pPr>
    <w:rPr>
      <w:rFonts w:ascii="Arial" w:hAnsi="Arial" w:eastAsia="宋体"/>
      <w:bCs/>
      <w:kern w:val="44"/>
      <w:sz w:val="32"/>
      <w:szCs w:val="32"/>
    </w:rPr>
  </w:style>
  <w:style w:type="paragraph" w:styleId="4">
    <w:name w:val="heading 2"/>
    <w:basedOn w:val="3"/>
    <w:next w:val="3"/>
    <w:qFormat/>
    <w:uiPriority w:val="0"/>
    <w:pPr>
      <w:keepNext/>
      <w:keepLines/>
      <w:tabs>
        <w:tab w:val="left" w:pos="5568"/>
      </w:tabs>
      <w:ind w:left="0"/>
      <w:jc w:val="left"/>
      <w:outlineLvl w:val="1"/>
    </w:pPr>
    <w:rPr>
      <w:rFonts w:ascii="Arial" w:hAnsi="Arial" w:eastAsia="宋体"/>
      <w:bCs/>
      <w:kern w:val="44"/>
      <w:sz w:val="30"/>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3">
    <w:name w:val="报告正文 Char Char Char"/>
    <w:basedOn w:val="1"/>
    <w:qFormat/>
    <w:uiPriority w:val="0"/>
    <w:pPr>
      <w:adjustRightInd w:val="0"/>
      <w:snapToGrid w:val="0"/>
      <w:spacing w:line="336" w:lineRule="auto"/>
      <w:ind w:left="2603"/>
    </w:pPr>
    <w:rPr>
      <w:rFonts w:ascii="华文细黑" w:hAnsi="Calibri" w:eastAsia="华文细黑" w:cs="宋体"/>
      <w:sz w:val="22"/>
      <w:szCs w:val="24"/>
    </w:rPr>
  </w:style>
  <w:style w:type="paragraph" w:styleId="5">
    <w:name w:val="Body Text"/>
    <w:basedOn w:val="1"/>
    <w:qFormat/>
    <w:uiPriority w:val="0"/>
    <w:pPr>
      <w:widowControl w:val="0"/>
      <w:tabs>
        <w:tab w:val="left" w:pos="5775"/>
      </w:tabs>
      <w:spacing w:line="360" w:lineRule="auto"/>
      <w:jc w:val="both"/>
    </w:pPr>
    <w:rPr>
      <w:rFonts w:ascii="仿宋_GB2312" w:eastAsia="仿宋_GB2312"/>
      <w:kern w:val="2"/>
      <w:sz w:val="36"/>
      <w:szCs w:val="20"/>
    </w:r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style>
  <w:style w:type="paragraph" w:styleId="10">
    <w:name w:val="toc 2"/>
    <w:basedOn w:val="1"/>
    <w:next w:val="1"/>
    <w:semiHidden/>
    <w:qFormat/>
    <w:uiPriority w:val="0"/>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qFormat/>
    <w:uiPriority w:val="0"/>
    <w:rPr>
      <w:szCs w:val="24"/>
    </w:rPr>
  </w:style>
  <w:style w:type="character" w:styleId="17">
    <w:name w:val="FollowedHyperlink"/>
    <w:basedOn w:val="14"/>
    <w:qFormat/>
    <w:uiPriority w:val="0"/>
    <w:rPr>
      <w:color w:val="222222"/>
      <w:u w:val="none"/>
    </w:rPr>
  </w:style>
  <w:style w:type="character" w:styleId="18">
    <w:name w:val="Emphasis"/>
    <w:basedOn w:val="14"/>
    <w:qFormat/>
    <w:uiPriority w:val="0"/>
  </w:style>
  <w:style w:type="character" w:styleId="19">
    <w:name w:val="HTML Definition"/>
    <w:basedOn w:val="14"/>
    <w:qFormat/>
    <w:uiPriority w:val="0"/>
  </w:style>
  <w:style w:type="character" w:styleId="20">
    <w:name w:val="HTML Variable"/>
    <w:basedOn w:val="14"/>
    <w:qFormat/>
    <w:uiPriority w:val="0"/>
  </w:style>
  <w:style w:type="character" w:styleId="21">
    <w:name w:val="Hyperlink"/>
    <w:basedOn w:val="14"/>
    <w:qFormat/>
    <w:uiPriority w:val="0"/>
    <w:rPr>
      <w:color w:val="0000FF"/>
      <w:u w:val="single"/>
    </w:rPr>
  </w:style>
  <w:style w:type="character" w:styleId="22">
    <w:name w:val="HTML Code"/>
    <w:basedOn w:val="14"/>
    <w:qFormat/>
    <w:uiPriority w:val="0"/>
    <w:rPr>
      <w:rFonts w:ascii="Courier New" w:hAnsi="Courier New" w:eastAsia="Courier New" w:cs="Courier New"/>
      <w:sz w:val="20"/>
    </w:rPr>
  </w:style>
  <w:style w:type="character" w:styleId="23">
    <w:name w:val="HTML Cite"/>
    <w:basedOn w:val="14"/>
    <w:qFormat/>
    <w:uiPriority w:val="0"/>
  </w:style>
  <w:style w:type="character" w:styleId="24">
    <w:name w:val="HTML Keyboard"/>
    <w:basedOn w:val="14"/>
    <w:qFormat/>
    <w:uiPriority w:val="0"/>
    <w:rPr>
      <w:rFonts w:hint="default" w:ascii="Courier New" w:hAnsi="Courier New" w:eastAsia="Courier New" w:cs="Courier New"/>
      <w:sz w:val="20"/>
    </w:rPr>
  </w:style>
  <w:style w:type="character" w:styleId="25">
    <w:name w:val="HTML Sample"/>
    <w:basedOn w:val="14"/>
    <w:qFormat/>
    <w:uiPriority w:val="0"/>
    <w:rPr>
      <w:rFonts w:hint="default" w:ascii="Courier New" w:hAnsi="Courier New" w:eastAsia="Courier New" w:cs="Courier New"/>
    </w:rPr>
  </w:style>
  <w:style w:type="character" w:customStyle="1" w:styleId="26">
    <w:name w:val="font41"/>
    <w:basedOn w:val="14"/>
    <w:qFormat/>
    <w:uiPriority w:val="0"/>
    <w:rPr>
      <w:rFonts w:hint="eastAsia" w:ascii="仿宋_GB2312" w:eastAsia="仿宋_GB2312" w:cs="仿宋_GB2312"/>
      <w:b/>
      <w:color w:val="000000"/>
      <w:sz w:val="24"/>
      <w:szCs w:val="24"/>
      <w:u w:val="none"/>
    </w:rPr>
  </w:style>
  <w:style w:type="character" w:customStyle="1" w:styleId="27">
    <w:name w:val="标题 1 Char"/>
    <w:link w:val="2"/>
    <w:qFormat/>
    <w:uiPriority w:val="0"/>
    <w:rPr>
      <w:rFonts w:ascii="Arial" w:hAnsi="Arial" w:eastAsia="宋体"/>
      <w:bCs/>
      <w:kern w:val="44"/>
      <w:sz w:val="32"/>
      <w:szCs w:val="32"/>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ascii="宋体" w:hAnsi="宋体" w:eastAsia="宋体" w:cs="宋体"/>
      <w:color w:val="000000"/>
      <w:sz w:val="22"/>
      <w:szCs w:val="22"/>
      <w:u w:val="none"/>
    </w:rPr>
  </w:style>
  <w:style w:type="character" w:customStyle="1" w:styleId="30">
    <w:name w:val="ml2csping"/>
    <w:basedOn w:val="14"/>
    <w:qFormat/>
    <w:uiPriority w:val="0"/>
  </w:style>
  <w:style w:type="character" w:customStyle="1" w:styleId="31">
    <w:name w:val="font21"/>
    <w:basedOn w:val="14"/>
    <w:qFormat/>
    <w:uiPriority w:val="0"/>
    <w:rPr>
      <w:rFonts w:hint="eastAsia" w:ascii="宋体" w:hAnsi="宋体" w:eastAsia="宋体" w:cs="宋体"/>
      <w:color w:val="000000"/>
      <w:sz w:val="22"/>
      <w:szCs w:val="22"/>
      <w:u w:val="none"/>
    </w:rPr>
  </w:style>
  <w:style w:type="paragraph" w:customStyle="1" w:styleId="32">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33">
    <w:name w:val="报告正文"/>
    <w:basedOn w:val="1"/>
    <w:qFormat/>
    <w:uiPriority w:val="0"/>
    <w:pPr>
      <w:adjustRightInd w:val="0"/>
      <w:snapToGrid w:val="0"/>
      <w:spacing w:line="336" w:lineRule="auto"/>
      <w:ind w:left="2603"/>
    </w:pPr>
    <w:rPr>
      <w:rFonts w:ascii="华文细黑" w:eastAsia="华文细黑" w:cs="宋体"/>
      <w:sz w:val="22"/>
    </w:rPr>
  </w:style>
  <w:style w:type="character" w:customStyle="1" w:styleId="34">
    <w:name w:val="font31"/>
    <w:basedOn w:val="14"/>
    <w:qFormat/>
    <w:uiPriority w:val="0"/>
    <w:rPr>
      <w:rFonts w:hint="default" w:ascii="仿宋_GB2312" w:eastAsia="仿宋_GB2312" w:cs="仿宋_GB2312"/>
      <w:b/>
      <w:color w:val="000000"/>
      <w:sz w:val="18"/>
      <w:szCs w:val="18"/>
      <w:u w:val="none"/>
    </w:rPr>
  </w:style>
  <w:style w:type="paragraph" w:customStyle="1" w:styleId="3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6.png"/><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9269</Words>
  <Characters>10479</Characters>
  <Lines>0</Lines>
  <Paragraphs>0</Paragraphs>
  <TotalTime>4</TotalTime>
  <ScaleCrop>false</ScaleCrop>
  <LinksUpToDate>false</LinksUpToDate>
  <CharactersWithSpaces>10545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2019-09-06T09:55:00Z</dcterms:created>
  <dc:creator>天生要强(Uzi)</dc:creator>
  <cp:lastModifiedBy>指尖的阳光</cp:lastModifiedBy>
  <cp:lastPrinted>2022-06-07T07:32:19Z</cp:lastPrinted>
  <dcterms:modified xsi:type="dcterms:W3CDTF">2022-06-07T07:48:55Z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7A759D0668C542AE82C564C6D17147E5</vt:lpwstr>
  </property>
</Properties>
</file>